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B75BE">
      <w:pPr>
        <w:pageBreakBefore w:val="0"/>
        <w:bidi w:val="0"/>
        <w:adjustRightInd w:val="0"/>
        <w:snapToGrid w:val="0"/>
        <w:jc w:val="center"/>
        <w:rPr>
          <w:rFonts w:hint="default" w:ascii="Times New Roman" w:hAnsi="Times New Roman" w:eastAsia="宋体" w:cs="Times New Roman"/>
          <w:b/>
          <w:color w:val="auto"/>
          <w:sz w:val="36"/>
          <w:szCs w:val="36"/>
          <w:highlight w:val="none"/>
          <w:lang w:val="en-US" w:eastAsia="zh-CN"/>
        </w:rPr>
      </w:pPr>
      <w:bookmarkStart w:id="1237" w:name="_GoBack"/>
      <w:bookmarkEnd w:id="1237"/>
    </w:p>
    <w:p w14:paraId="3EEBFD8C">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黑体" w:cs="Times New Roman"/>
          <w:color w:val="auto"/>
          <w:spacing w:val="20"/>
          <w:sz w:val="72"/>
          <w:highlight w:val="none"/>
        </w:rPr>
      </w:pPr>
    </w:p>
    <w:p w14:paraId="28ED2305">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黑体" w:cs="Times New Roman"/>
          <w:color w:val="auto"/>
          <w:spacing w:val="20"/>
          <w:sz w:val="72"/>
          <w:highlight w:val="none"/>
        </w:rPr>
      </w:pPr>
    </w:p>
    <w:p w14:paraId="3F7631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黑体" w:cs="Times New Roman"/>
          <w:color w:val="auto"/>
          <w:spacing w:val="20"/>
          <w:sz w:val="48"/>
          <w:szCs w:val="48"/>
          <w:highlight w:val="none"/>
          <w:lang w:val="en-US"/>
        </w:rPr>
      </w:pPr>
      <w:r>
        <w:rPr>
          <w:rFonts w:hint="default" w:ascii="Times New Roman" w:hAnsi="Times New Roman" w:eastAsia="黑体" w:cs="Times New Roman"/>
          <w:color w:val="auto"/>
          <w:spacing w:val="20"/>
          <w:sz w:val="48"/>
          <w:szCs w:val="48"/>
          <w:highlight w:val="none"/>
          <w:lang w:val="en-US" w:eastAsia="zh-CN"/>
        </w:rPr>
        <w:t>新疆若羌县卡尔恰尔萤石矿采选建设项目（重大变动）</w:t>
      </w:r>
    </w:p>
    <w:p w14:paraId="468F60A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黑体" w:cs="Times New Roman"/>
          <w:color w:val="auto"/>
          <w:spacing w:val="20"/>
          <w:sz w:val="72"/>
          <w:highlight w:val="none"/>
        </w:rPr>
      </w:pPr>
      <w:r>
        <w:rPr>
          <w:rFonts w:hint="default" w:ascii="Times New Roman" w:hAnsi="Times New Roman" w:eastAsia="黑体" w:cs="Times New Roman"/>
          <w:color w:val="auto"/>
          <w:spacing w:val="20"/>
          <w:sz w:val="72"/>
          <w:highlight w:val="none"/>
        </w:rPr>
        <w:t>环境影响报告书</w:t>
      </w:r>
    </w:p>
    <w:p w14:paraId="295039F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黑体" w:cs="Times New Roman"/>
          <w:b/>
          <w:color w:val="auto"/>
          <w:sz w:val="36"/>
          <w:szCs w:val="36"/>
          <w:highlight w:val="none"/>
        </w:rPr>
      </w:pPr>
      <w:r>
        <w:rPr>
          <w:rFonts w:hint="default" w:ascii="Times New Roman" w:hAnsi="Times New Roman" w:eastAsia="黑体" w:cs="Times New Roman"/>
          <w:color w:val="auto"/>
          <w:sz w:val="36"/>
          <w:szCs w:val="36"/>
          <w:highlight w:val="none"/>
        </w:rPr>
        <w:t>（</w:t>
      </w:r>
      <w:r>
        <w:rPr>
          <w:rFonts w:hint="eastAsia" w:eastAsia="黑体" w:cs="Times New Roman"/>
          <w:color w:val="auto"/>
          <w:sz w:val="36"/>
          <w:szCs w:val="36"/>
          <w:highlight w:val="none"/>
          <w:lang w:val="en-US" w:eastAsia="zh-CN"/>
        </w:rPr>
        <w:t>报批</w:t>
      </w:r>
      <w:r>
        <w:rPr>
          <w:rFonts w:hint="default" w:ascii="Times New Roman" w:hAnsi="Times New Roman" w:eastAsia="黑体" w:cs="Times New Roman"/>
          <w:color w:val="auto"/>
          <w:sz w:val="36"/>
          <w:szCs w:val="36"/>
          <w:highlight w:val="none"/>
          <w:lang w:val="en-US" w:eastAsia="zh-CN"/>
        </w:rPr>
        <w:t>稿</w:t>
      </w:r>
      <w:r>
        <w:rPr>
          <w:rFonts w:hint="default" w:ascii="Times New Roman" w:hAnsi="Times New Roman" w:eastAsia="黑体" w:cs="Times New Roman"/>
          <w:color w:val="auto"/>
          <w:sz w:val="36"/>
          <w:szCs w:val="36"/>
          <w:highlight w:val="none"/>
        </w:rPr>
        <w:t>）</w:t>
      </w:r>
    </w:p>
    <w:p w14:paraId="503AEA9A">
      <w:pPr>
        <w:pageBreakBefore w:val="0"/>
        <w:bidi w:val="0"/>
        <w:adjustRightInd w:val="0"/>
        <w:snapToGrid w:val="0"/>
        <w:jc w:val="both"/>
        <w:rPr>
          <w:rFonts w:hint="default" w:ascii="Times New Roman" w:hAnsi="Times New Roman" w:eastAsia="宋体" w:cs="Times New Roman"/>
          <w:b/>
          <w:color w:val="auto"/>
          <w:sz w:val="28"/>
          <w:szCs w:val="28"/>
          <w:highlight w:val="none"/>
          <w:lang w:val="en-US" w:eastAsia="zh-CN"/>
        </w:rPr>
      </w:pPr>
    </w:p>
    <w:p w14:paraId="22E9B03D">
      <w:pPr>
        <w:pageBreakBefore w:val="0"/>
        <w:bidi w:val="0"/>
        <w:adjustRightInd w:val="0"/>
        <w:snapToGrid w:val="0"/>
        <w:jc w:val="both"/>
        <w:rPr>
          <w:rFonts w:hint="default" w:ascii="Times New Roman" w:hAnsi="Times New Roman" w:eastAsia="宋体" w:cs="Times New Roman"/>
          <w:b/>
          <w:bCs/>
          <w:color w:val="auto"/>
          <w:spacing w:val="80"/>
          <w:sz w:val="28"/>
          <w:szCs w:val="28"/>
          <w:highlight w:val="none"/>
        </w:rPr>
      </w:pPr>
    </w:p>
    <w:p w14:paraId="7ACF0C83">
      <w:pPr>
        <w:pageBreakBefore w:val="0"/>
        <w:bidi w:val="0"/>
        <w:adjustRightInd w:val="0"/>
        <w:snapToGrid w:val="0"/>
        <w:jc w:val="both"/>
        <w:rPr>
          <w:rFonts w:hint="default" w:ascii="Times New Roman" w:hAnsi="Times New Roman" w:eastAsia="宋体" w:cs="Times New Roman"/>
          <w:b/>
          <w:bCs/>
          <w:color w:val="auto"/>
          <w:spacing w:val="-20"/>
          <w:sz w:val="44"/>
          <w:szCs w:val="44"/>
          <w:highlight w:val="none"/>
          <w:lang w:val="en-US" w:eastAsia="zh-CN"/>
        </w:rPr>
      </w:pPr>
    </w:p>
    <w:p w14:paraId="10D7D9F0">
      <w:pPr>
        <w:pageBreakBefore w:val="0"/>
        <w:bidi w:val="0"/>
        <w:adjustRightInd w:val="0"/>
        <w:snapToGrid w:val="0"/>
        <w:jc w:val="both"/>
        <w:rPr>
          <w:rFonts w:hint="default" w:ascii="Times New Roman" w:hAnsi="Times New Roman" w:eastAsia="宋体" w:cs="Times New Roman"/>
          <w:b/>
          <w:bCs/>
          <w:color w:val="auto"/>
          <w:spacing w:val="-20"/>
          <w:sz w:val="44"/>
          <w:szCs w:val="44"/>
          <w:highlight w:val="none"/>
        </w:rPr>
      </w:pPr>
    </w:p>
    <w:p w14:paraId="37FA1E8F">
      <w:pPr>
        <w:pageBreakBefore w:val="0"/>
        <w:bidi w:val="0"/>
        <w:adjustRightInd w:val="0"/>
        <w:snapToGrid w:val="0"/>
        <w:ind w:left="0" w:leftChars="0" w:firstLine="0" w:firstLineChars="0"/>
        <w:rPr>
          <w:rFonts w:hint="default" w:ascii="Times New Roman" w:hAnsi="Times New Roman" w:eastAsia="宋体" w:cs="Times New Roman"/>
          <w:b/>
          <w:bCs/>
          <w:color w:val="auto"/>
          <w:spacing w:val="-20"/>
          <w:sz w:val="44"/>
          <w:szCs w:val="44"/>
          <w:highlight w:val="none"/>
        </w:rPr>
      </w:pPr>
    </w:p>
    <w:p w14:paraId="3B8131B1">
      <w:pPr>
        <w:pageBreakBefore w:val="0"/>
        <w:bidi w:val="0"/>
        <w:adjustRightInd w:val="0"/>
        <w:snapToGrid w:val="0"/>
        <w:ind w:left="0" w:leftChars="0" w:firstLine="0" w:firstLineChars="0"/>
        <w:rPr>
          <w:rFonts w:hint="default" w:ascii="Times New Roman" w:hAnsi="Times New Roman" w:eastAsia="宋体" w:cs="Times New Roman"/>
          <w:b/>
          <w:bCs/>
          <w:color w:val="auto"/>
          <w:spacing w:val="-20"/>
          <w:sz w:val="44"/>
          <w:szCs w:val="44"/>
          <w:highlight w:val="none"/>
        </w:rPr>
      </w:pPr>
    </w:p>
    <w:p w14:paraId="39DC095F">
      <w:pPr>
        <w:pageBreakBefore w:val="0"/>
        <w:bidi w:val="0"/>
        <w:adjustRightInd w:val="0"/>
        <w:snapToGrid w:val="0"/>
        <w:jc w:val="both"/>
        <w:rPr>
          <w:rFonts w:hint="default" w:ascii="Times New Roman" w:hAnsi="Times New Roman" w:eastAsia="宋体" w:cs="Times New Roman"/>
          <w:b/>
          <w:bCs/>
          <w:color w:val="auto"/>
          <w:spacing w:val="-20"/>
          <w:sz w:val="44"/>
          <w:szCs w:val="44"/>
          <w:highlight w:val="none"/>
        </w:rPr>
      </w:pPr>
    </w:p>
    <w:p w14:paraId="6A13C463">
      <w:pPr>
        <w:pageBreakBefore w:val="0"/>
        <w:bidi w:val="0"/>
        <w:adjustRightInd w:val="0"/>
        <w:snapToGrid w:val="0"/>
        <w:rPr>
          <w:rFonts w:hint="default" w:ascii="Times New Roman" w:hAnsi="Times New Roman" w:cs="Times New Roman"/>
          <w:color w:val="auto"/>
          <w:highlight w:val="none"/>
        </w:rPr>
      </w:pPr>
    </w:p>
    <w:p w14:paraId="6925611D">
      <w:pPr>
        <w:pageBreakBefore w:val="0"/>
        <w:bidi w:val="0"/>
        <w:adjustRightInd w:val="0"/>
        <w:snapToGrid w:val="0"/>
        <w:rPr>
          <w:rFonts w:hint="default" w:ascii="Times New Roman" w:hAnsi="Times New Roman" w:cs="Times New Roman"/>
          <w:color w:val="auto"/>
          <w:highlight w:val="none"/>
        </w:rPr>
      </w:pPr>
    </w:p>
    <w:p w14:paraId="0D9AE6EE">
      <w:pPr>
        <w:rPr>
          <w:rFonts w:hint="default" w:ascii="Times New Roman" w:hAnsi="Times New Roman" w:cs="Times New Roman"/>
          <w:color w:val="auto"/>
          <w:highlight w:val="none"/>
        </w:rPr>
      </w:pPr>
    </w:p>
    <w:p w14:paraId="2232C5CF">
      <w:pPr>
        <w:rPr>
          <w:rFonts w:hint="default" w:ascii="Times New Roman" w:hAnsi="Times New Roman" w:cs="Times New Roman"/>
          <w:color w:val="auto"/>
          <w:highlight w:val="none"/>
        </w:rPr>
      </w:pPr>
    </w:p>
    <w:p w14:paraId="6C691A83">
      <w:pPr>
        <w:pageBreakBefore w:val="0"/>
        <w:bidi w:val="0"/>
        <w:adjustRightInd w:val="0"/>
        <w:snapToGrid w:val="0"/>
        <w:rPr>
          <w:rFonts w:hint="default" w:ascii="Times New Roman" w:hAnsi="Times New Roman" w:cs="Times New Roman"/>
          <w:color w:val="auto"/>
          <w:highlight w:val="none"/>
        </w:rPr>
      </w:pPr>
    </w:p>
    <w:p w14:paraId="1496D5EF">
      <w:pPr>
        <w:pageBreakBefore w:val="0"/>
        <w:bidi w:val="0"/>
        <w:adjustRightInd w:val="0"/>
        <w:snapToGrid w:val="0"/>
        <w:spacing w:line="360" w:lineRule="auto"/>
        <w:rPr>
          <w:rFonts w:hint="default" w:ascii="Times New Roman" w:hAnsi="Times New Roman" w:cs="Times New Roman"/>
          <w:b w:val="0"/>
          <w:bCs w:val="0"/>
          <w:color w:val="auto"/>
          <w:highlight w:val="none"/>
        </w:rPr>
      </w:pPr>
    </w:p>
    <w:p w14:paraId="51FA2086">
      <w:pPr>
        <w:pageBreakBefore w:val="0"/>
        <w:bidi w:val="0"/>
        <w:adjustRightInd w:val="0"/>
        <w:snapToGrid w:val="0"/>
        <w:spacing w:line="360" w:lineRule="auto"/>
        <w:ind w:left="0" w:leftChars="0" w:firstLine="0" w:firstLineChars="0"/>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建设单位：新疆华瓯矿业有限公司</w:t>
      </w:r>
    </w:p>
    <w:p w14:paraId="3F6D72F2">
      <w:pPr>
        <w:pageBreakBefore w:val="0"/>
        <w:bidi w:val="0"/>
        <w:adjustRightInd w:val="0"/>
        <w:snapToGrid w:val="0"/>
        <w:spacing w:line="360" w:lineRule="auto"/>
        <w:ind w:left="0" w:leftChars="0" w:firstLine="0" w:firstLineChars="0"/>
        <w:jc w:val="center"/>
        <w:rPr>
          <w:rFonts w:hint="default" w:ascii="Times New Roman" w:hAnsi="Times New Roman" w:eastAsia="宋体" w:cs="Times New Roman"/>
          <w:b/>
          <w:bCs/>
          <w:color w:val="auto"/>
          <w:sz w:val="32"/>
          <w:szCs w:val="32"/>
          <w:highlight w:val="none"/>
          <w:lang w:val="en-US" w:eastAsia="zh-CN"/>
        </w:rPr>
      </w:pPr>
      <w:r>
        <w:rPr>
          <w:rFonts w:hint="default" w:ascii="Times New Roman" w:hAnsi="Times New Roman" w:eastAsia="宋体" w:cs="Times New Roman"/>
          <w:b/>
          <w:bCs/>
          <w:color w:val="auto"/>
          <w:sz w:val="32"/>
          <w:szCs w:val="32"/>
          <w:highlight w:val="none"/>
          <w:lang w:val="en-US" w:eastAsia="zh-CN"/>
        </w:rPr>
        <w:t>编制单位：新疆领畅环保科技有限公司</w:t>
      </w:r>
    </w:p>
    <w:p w14:paraId="546BB791">
      <w:pPr>
        <w:pageBreakBefore w:val="0"/>
        <w:bidi w:val="0"/>
        <w:adjustRightInd w:val="0"/>
        <w:snapToGrid w:val="0"/>
        <w:spacing w:line="360" w:lineRule="auto"/>
        <w:ind w:left="0" w:leftChars="0" w:firstLine="0" w:firstLineChars="0"/>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lang w:eastAsia="zh-CN"/>
        </w:rPr>
        <w:t>二〇二</w:t>
      </w:r>
      <w:r>
        <w:rPr>
          <w:rFonts w:hint="default" w:ascii="Times New Roman" w:hAnsi="Times New Roman" w:eastAsia="宋体" w:cs="Times New Roman"/>
          <w:b/>
          <w:bCs/>
          <w:color w:val="auto"/>
          <w:sz w:val="32"/>
          <w:szCs w:val="32"/>
          <w:highlight w:val="none"/>
          <w:lang w:val="en-US" w:eastAsia="zh-CN"/>
        </w:rPr>
        <w:t>六</w:t>
      </w:r>
      <w:r>
        <w:rPr>
          <w:rFonts w:hint="default" w:ascii="Times New Roman" w:hAnsi="Times New Roman" w:eastAsia="宋体" w:cs="Times New Roman"/>
          <w:b/>
          <w:bCs/>
          <w:color w:val="auto"/>
          <w:sz w:val="32"/>
          <w:szCs w:val="32"/>
          <w:highlight w:val="none"/>
          <w:lang w:eastAsia="zh-CN"/>
        </w:rPr>
        <w:t>年</w:t>
      </w:r>
      <w:r>
        <w:rPr>
          <w:rFonts w:hint="eastAsia" w:cs="Times New Roman"/>
          <w:b/>
          <w:bCs/>
          <w:color w:val="auto"/>
          <w:sz w:val="32"/>
          <w:szCs w:val="32"/>
          <w:highlight w:val="none"/>
          <w:lang w:val="en-US" w:eastAsia="zh-CN"/>
        </w:rPr>
        <w:t>八</w:t>
      </w:r>
      <w:r>
        <w:rPr>
          <w:rFonts w:hint="default" w:ascii="Times New Roman" w:hAnsi="Times New Roman" w:eastAsia="宋体" w:cs="Times New Roman"/>
          <w:b/>
          <w:bCs/>
          <w:color w:val="auto"/>
          <w:sz w:val="32"/>
          <w:szCs w:val="32"/>
          <w:highlight w:val="none"/>
        </w:rPr>
        <w:t>月</w:t>
      </w:r>
    </w:p>
    <w:p w14:paraId="2B2B7280">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05878BD4">
      <w:pPr>
        <w:ind w:left="0" w:leftChars="0" w:firstLine="0" w:firstLineChars="0"/>
        <w:jc w:val="center"/>
        <w:rPr>
          <w:rFonts w:hint="eastAsia"/>
          <w:b/>
          <w:bCs/>
          <w:color w:val="auto"/>
          <w:sz w:val="36"/>
          <w:szCs w:val="36"/>
          <w:highlight w:val="none"/>
          <w:lang w:val="en-US" w:eastAsia="zh-CN"/>
        </w:rPr>
      </w:pPr>
      <w:r>
        <w:rPr>
          <w:rFonts w:hint="eastAsia"/>
          <w:b/>
          <w:bCs/>
          <w:color w:val="auto"/>
          <w:sz w:val="36"/>
          <w:szCs w:val="36"/>
          <w:highlight w:val="none"/>
          <w:lang w:val="en-US" w:eastAsia="zh-CN"/>
        </w:rPr>
        <w:t>目  录</w:t>
      </w:r>
    </w:p>
    <w:p w14:paraId="4D5E3AE9">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
          <w:bCs/>
          <w:color w:val="auto"/>
          <w:sz w:val="36"/>
          <w:szCs w:val="36"/>
          <w:highlight w:val="none"/>
          <w:lang w:val="en-US" w:eastAsia="zh-CN"/>
        </w:rPr>
        <w:fldChar w:fldCharType="begin"/>
      </w:r>
      <w:r>
        <w:rPr>
          <w:rFonts w:hint="eastAsia"/>
          <w:b/>
          <w:bCs/>
          <w:color w:val="auto"/>
          <w:sz w:val="36"/>
          <w:szCs w:val="36"/>
          <w:highlight w:val="none"/>
          <w:lang w:val="en-US" w:eastAsia="zh-CN"/>
        </w:rPr>
        <w:instrText xml:space="preserve">TOC \o "1-2" \h \u </w:instrText>
      </w:r>
      <w:r>
        <w:rPr>
          <w:rFonts w:hint="eastAsia"/>
          <w:b/>
          <w:bCs/>
          <w:color w:val="auto"/>
          <w:sz w:val="36"/>
          <w:szCs w:val="36"/>
          <w:highlight w:val="none"/>
          <w:lang w:val="en-US" w:eastAsia="zh-CN"/>
        </w:rPr>
        <w:fldChar w:fldCharType="separate"/>
      </w: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_Toc22834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1概述</w:t>
      </w:r>
      <w:r>
        <w:rPr>
          <w:color w:val="auto"/>
          <w:highlight w:val="none"/>
        </w:rPr>
        <w:tab/>
      </w:r>
      <w:r>
        <w:rPr>
          <w:color w:val="auto"/>
          <w:highlight w:val="none"/>
        </w:rPr>
        <w:fldChar w:fldCharType="begin"/>
      </w:r>
      <w:r>
        <w:rPr>
          <w:color w:val="auto"/>
          <w:highlight w:val="none"/>
        </w:rPr>
        <w:instrText xml:space="preserve"> PAGEREF _Toc22834 \h </w:instrText>
      </w:r>
      <w:r>
        <w:rPr>
          <w:color w:val="auto"/>
          <w:highlight w:val="none"/>
        </w:rPr>
        <w:fldChar w:fldCharType="separate"/>
      </w:r>
      <w:r>
        <w:rPr>
          <w:color w:val="auto"/>
          <w:highlight w:val="none"/>
        </w:rPr>
        <w:t>1</w:t>
      </w:r>
      <w:r>
        <w:rPr>
          <w:color w:val="auto"/>
          <w:highlight w:val="none"/>
        </w:rPr>
        <w:fldChar w:fldCharType="end"/>
      </w:r>
      <w:r>
        <w:rPr>
          <w:rFonts w:hint="eastAsia"/>
          <w:bCs/>
          <w:color w:val="auto"/>
          <w:szCs w:val="36"/>
          <w:highlight w:val="none"/>
          <w:lang w:val="en-US" w:eastAsia="zh-CN"/>
        </w:rPr>
        <w:fldChar w:fldCharType="end"/>
      </w:r>
    </w:p>
    <w:p w14:paraId="51914A44">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_Toc13256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1.1建设项目特点</w:t>
      </w:r>
      <w:r>
        <w:rPr>
          <w:color w:val="auto"/>
          <w:highlight w:val="none"/>
        </w:rPr>
        <w:tab/>
      </w:r>
      <w:r>
        <w:rPr>
          <w:color w:val="auto"/>
          <w:highlight w:val="none"/>
        </w:rPr>
        <w:fldChar w:fldCharType="begin"/>
      </w:r>
      <w:r>
        <w:rPr>
          <w:color w:val="auto"/>
          <w:highlight w:val="none"/>
        </w:rPr>
        <w:instrText xml:space="preserve"> PAGEREF _Toc13256 \h </w:instrText>
      </w:r>
      <w:r>
        <w:rPr>
          <w:color w:val="auto"/>
          <w:highlight w:val="none"/>
        </w:rPr>
        <w:fldChar w:fldCharType="separate"/>
      </w:r>
      <w:r>
        <w:rPr>
          <w:color w:val="auto"/>
          <w:highlight w:val="none"/>
        </w:rPr>
        <w:t>1</w:t>
      </w:r>
      <w:r>
        <w:rPr>
          <w:color w:val="auto"/>
          <w:highlight w:val="none"/>
        </w:rPr>
        <w:fldChar w:fldCharType="end"/>
      </w:r>
      <w:r>
        <w:rPr>
          <w:rFonts w:hint="eastAsia"/>
          <w:bCs/>
          <w:color w:val="auto"/>
          <w:szCs w:val="36"/>
          <w:highlight w:val="none"/>
          <w:lang w:val="en-US" w:eastAsia="zh-CN"/>
        </w:rPr>
        <w:fldChar w:fldCharType="end"/>
      </w:r>
    </w:p>
    <w:p w14:paraId="5124BE8A">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_Toc25015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1.2环境影响评价过程</w:t>
      </w:r>
      <w:r>
        <w:rPr>
          <w:color w:val="auto"/>
          <w:highlight w:val="none"/>
        </w:rPr>
        <w:tab/>
      </w:r>
      <w:r>
        <w:rPr>
          <w:color w:val="auto"/>
          <w:highlight w:val="none"/>
        </w:rPr>
        <w:fldChar w:fldCharType="begin"/>
      </w:r>
      <w:r>
        <w:rPr>
          <w:color w:val="auto"/>
          <w:highlight w:val="none"/>
        </w:rPr>
        <w:instrText xml:space="preserve"> PAGEREF _Toc25015 \h </w:instrText>
      </w:r>
      <w:r>
        <w:rPr>
          <w:color w:val="auto"/>
          <w:highlight w:val="none"/>
        </w:rPr>
        <w:fldChar w:fldCharType="separate"/>
      </w:r>
      <w:r>
        <w:rPr>
          <w:color w:val="auto"/>
          <w:highlight w:val="none"/>
        </w:rPr>
        <w:t>3</w:t>
      </w:r>
      <w:r>
        <w:rPr>
          <w:color w:val="auto"/>
          <w:highlight w:val="none"/>
        </w:rPr>
        <w:fldChar w:fldCharType="end"/>
      </w:r>
      <w:r>
        <w:rPr>
          <w:rFonts w:hint="eastAsia"/>
          <w:bCs/>
          <w:color w:val="auto"/>
          <w:szCs w:val="36"/>
          <w:highlight w:val="none"/>
          <w:lang w:val="en-US" w:eastAsia="zh-CN"/>
        </w:rPr>
        <w:fldChar w:fldCharType="end"/>
      </w:r>
    </w:p>
    <w:p w14:paraId="3A7A4B5D">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_Toc6274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1.3分析判定相关情况</w:t>
      </w:r>
      <w:r>
        <w:rPr>
          <w:color w:val="auto"/>
          <w:highlight w:val="none"/>
        </w:rPr>
        <w:tab/>
      </w:r>
      <w:r>
        <w:rPr>
          <w:color w:val="auto"/>
          <w:highlight w:val="none"/>
        </w:rPr>
        <w:fldChar w:fldCharType="begin"/>
      </w:r>
      <w:r>
        <w:rPr>
          <w:color w:val="auto"/>
          <w:highlight w:val="none"/>
        </w:rPr>
        <w:instrText xml:space="preserve"> PAGEREF _Toc6274 \h </w:instrText>
      </w:r>
      <w:r>
        <w:rPr>
          <w:color w:val="auto"/>
          <w:highlight w:val="none"/>
        </w:rPr>
        <w:fldChar w:fldCharType="separate"/>
      </w:r>
      <w:r>
        <w:rPr>
          <w:color w:val="auto"/>
          <w:highlight w:val="none"/>
        </w:rPr>
        <w:t>5</w:t>
      </w:r>
      <w:r>
        <w:rPr>
          <w:color w:val="auto"/>
          <w:highlight w:val="none"/>
        </w:rPr>
        <w:fldChar w:fldCharType="end"/>
      </w:r>
      <w:r>
        <w:rPr>
          <w:rFonts w:hint="eastAsia"/>
          <w:bCs/>
          <w:color w:val="auto"/>
          <w:szCs w:val="36"/>
          <w:highlight w:val="none"/>
          <w:lang w:val="en-US" w:eastAsia="zh-CN"/>
        </w:rPr>
        <w:fldChar w:fldCharType="end"/>
      </w:r>
    </w:p>
    <w:p w14:paraId="37A80712">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_Toc1353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1.4关注的主要环境问题及环境影响</w:t>
      </w:r>
      <w:r>
        <w:rPr>
          <w:color w:val="auto"/>
          <w:highlight w:val="none"/>
        </w:rPr>
        <w:tab/>
      </w:r>
      <w:r>
        <w:rPr>
          <w:color w:val="auto"/>
          <w:highlight w:val="none"/>
        </w:rPr>
        <w:fldChar w:fldCharType="begin"/>
      </w:r>
      <w:r>
        <w:rPr>
          <w:color w:val="auto"/>
          <w:highlight w:val="none"/>
        </w:rPr>
        <w:instrText xml:space="preserve"> PAGEREF _Toc1353 \h </w:instrText>
      </w:r>
      <w:r>
        <w:rPr>
          <w:color w:val="auto"/>
          <w:highlight w:val="none"/>
        </w:rPr>
        <w:fldChar w:fldCharType="separate"/>
      </w:r>
      <w:r>
        <w:rPr>
          <w:color w:val="auto"/>
          <w:highlight w:val="none"/>
        </w:rPr>
        <w:t>23</w:t>
      </w:r>
      <w:r>
        <w:rPr>
          <w:color w:val="auto"/>
          <w:highlight w:val="none"/>
        </w:rPr>
        <w:fldChar w:fldCharType="end"/>
      </w:r>
      <w:r>
        <w:rPr>
          <w:rFonts w:hint="eastAsia"/>
          <w:bCs/>
          <w:color w:val="auto"/>
          <w:szCs w:val="36"/>
          <w:highlight w:val="none"/>
          <w:lang w:val="en-US" w:eastAsia="zh-CN"/>
        </w:rPr>
        <w:fldChar w:fldCharType="end"/>
      </w:r>
    </w:p>
    <w:p w14:paraId="5DCE144F">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_Toc21165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1.5环境影响评价的主要结论</w:t>
      </w:r>
      <w:r>
        <w:rPr>
          <w:color w:val="auto"/>
          <w:highlight w:val="none"/>
        </w:rPr>
        <w:tab/>
      </w:r>
      <w:r>
        <w:rPr>
          <w:color w:val="auto"/>
          <w:highlight w:val="none"/>
        </w:rPr>
        <w:fldChar w:fldCharType="begin"/>
      </w:r>
      <w:r>
        <w:rPr>
          <w:color w:val="auto"/>
          <w:highlight w:val="none"/>
        </w:rPr>
        <w:instrText xml:space="preserve"> PAGEREF _Toc21165 \h </w:instrText>
      </w:r>
      <w:r>
        <w:rPr>
          <w:color w:val="auto"/>
          <w:highlight w:val="none"/>
        </w:rPr>
        <w:fldChar w:fldCharType="separate"/>
      </w:r>
      <w:r>
        <w:rPr>
          <w:color w:val="auto"/>
          <w:highlight w:val="none"/>
        </w:rPr>
        <w:t>24</w:t>
      </w:r>
      <w:r>
        <w:rPr>
          <w:color w:val="auto"/>
          <w:highlight w:val="none"/>
        </w:rPr>
        <w:fldChar w:fldCharType="end"/>
      </w:r>
      <w:r>
        <w:rPr>
          <w:rFonts w:hint="eastAsia"/>
          <w:bCs/>
          <w:color w:val="auto"/>
          <w:szCs w:val="36"/>
          <w:highlight w:val="none"/>
          <w:lang w:val="en-US" w:eastAsia="zh-CN"/>
        </w:rPr>
        <w:fldChar w:fldCharType="end"/>
      </w:r>
    </w:p>
    <w:p w14:paraId="400CAEE5">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_Toc6600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2总则</w:t>
      </w:r>
      <w:r>
        <w:rPr>
          <w:color w:val="auto"/>
          <w:highlight w:val="none"/>
        </w:rPr>
        <w:tab/>
      </w:r>
      <w:r>
        <w:rPr>
          <w:color w:val="auto"/>
          <w:highlight w:val="none"/>
        </w:rPr>
        <w:fldChar w:fldCharType="begin"/>
      </w:r>
      <w:r>
        <w:rPr>
          <w:color w:val="auto"/>
          <w:highlight w:val="none"/>
        </w:rPr>
        <w:instrText xml:space="preserve"> PAGEREF _Toc6600 \h </w:instrText>
      </w:r>
      <w:r>
        <w:rPr>
          <w:color w:val="auto"/>
          <w:highlight w:val="none"/>
        </w:rPr>
        <w:fldChar w:fldCharType="separate"/>
      </w:r>
      <w:r>
        <w:rPr>
          <w:color w:val="auto"/>
          <w:highlight w:val="none"/>
        </w:rPr>
        <w:t>25</w:t>
      </w:r>
      <w:r>
        <w:rPr>
          <w:color w:val="auto"/>
          <w:highlight w:val="none"/>
        </w:rPr>
        <w:fldChar w:fldCharType="end"/>
      </w:r>
      <w:r>
        <w:rPr>
          <w:rFonts w:hint="eastAsia"/>
          <w:bCs/>
          <w:color w:val="auto"/>
          <w:szCs w:val="36"/>
          <w:highlight w:val="none"/>
          <w:lang w:val="en-US" w:eastAsia="zh-CN"/>
        </w:rPr>
        <w:fldChar w:fldCharType="end"/>
      </w:r>
    </w:p>
    <w:p w14:paraId="1507998F">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_Toc14158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2.1评价原则与目的</w:t>
      </w:r>
      <w:r>
        <w:rPr>
          <w:color w:val="auto"/>
          <w:highlight w:val="none"/>
        </w:rPr>
        <w:tab/>
      </w:r>
      <w:r>
        <w:rPr>
          <w:color w:val="auto"/>
          <w:highlight w:val="none"/>
        </w:rPr>
        <w:fldChar w:fldCharType="begin"/>
      </w:r>
      <w:r>
        <w:rPr>
          <w:color w:val="auto"/>
          <w:highlight w:val="none"/>
        </w:rPr>
        <w:instrText xml:space="preserve"> PAGEREF _Toc14158 \h </w:instrText>
      </w:r>
      <w:r>
        <w:rPr>
          <w:color w:val="auto"/>
          <w:highlight w:val="none"/>
        </w:rPr>
        <w:fldChar w:fldCharType="separate"/>
      </w:r>
      <w:r>
        <w:rPr>
          <w:color w:val="auto"/>
          <w:highlight w:val="none"/>
        </w:rPr>
        <w:t>25</w:t>
      </w:r>
      <w:r>
        <w:rPr>
          <w:color w:val="auto"/>
          <w:highlight w:val="none"/>
        </w:rPr>
        <w:fldChar w:fldCharType="end"/>
      </w:r>
      <w:r>
        <w:rPr>
          <w:rFonts w:hint="eastAsia"/>
          <w:bCs/>
          <w:color w:val="auto"/>
          <w:szCs w:val="36"/>
          <w:highlight w:val="none"/>
          <w:lang w:val="en-US" w:eastAsia="zh-CN"/>
        </w:rPr>
        <w:fldChar w:fldCharType="end"/>
      </w:r>
    </w:p>
    <w:p w14:paraId="6CCBFC63">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_Toc17448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2.2编制依据</w:t>
      </w:r>
      <w:r>
        <w:rPr>
          <w:color w:val="auto"/>
          <w:highlight w:val="none"/>
        </w:rPr>
        <w:tab/>
      </w:r>
      <w:r>
        <w:rPr>
          <w:color w:val="auto"/>
          <w:highlight w:val="none"/>
        </w:rPr>
        <w:fldChar w:fldCharType="begin"/>
      </w:r>
      <w:r>
        <w:rPr>
          <w:color w:val="auto"/>
          <w:highlight w:val="none"/>
        </w:rPr>
        <w:instrText xml:space="preserve"> PAGEREF _Toc17448 \h </w:instrText>
      </w:r>
      <w:r>
        <w:rPr>
          <w:color w:val="auto"/>
          <w:highlight w:val="none"/>
        </w:rPr>
        <w:fldChar w:fldCharType="separate"/>
      </w:r>
      <w:r>
        <w:rPr>
          <w:color w:val="auto"/>
          <w:highlight w:val="none"/>
        </w:rPr>
        <w:t>26</w:t>
      </w:r>
      <w:r>
        <w:rPr>
          <w:color w:val="auto"/>
          <w:highlight w:val="none"/>
        </w:rPr>
        <w:fldChar w:fldCharType="end"/>
      </w:r>
      <w:r>
        <w:rPr>
          <w:rFonts w:hint="eastAsia"/>
          <w:bCs/>
          <w:color w:val="auto"/>
          <w:szCs w:val="36"/>
          <w:highlight w:val="none"/>
          <w:lang w:val="en-US" w:eastAsia="zh-CN"/>
        </w:rPr>
        <w:fldChar w:fldCharType="end"/>
      </w:r>
    </w:p>
    <w:p w14:paraId="21992E6A">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_Toc29575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2.3环境影响评价时段</w:t>
      </w:r>
      <w:r>
        <w:rPr>
          <w:color w:val="auto"/>
          <w:highlight w:val="none"/>
        </w:rPr>
        <w:tab/>
      </w:r>
      <w:r>
        <w:rPr>
          <w:color w:val="auto"/>
          <w:highlight w:val="none"/>
        </w:rPr>
        <w:fldChar w:fldCharType="begin"/>
      </w:r>
      <w:r>
        <w:rPr>
          <w:color w:val="auto"/>
          <w:highlight w:val="none"/>
        </w:rPr>
        <w:instrText xml:space="preserve"> PAGEREF _Toc29575 \h </w:instrText>
      </w:r>
      <w:r>
        <w:rPr>
          <w:color w:val="auto"/>
          <w:highlight w:val="none"/>
        </w:rPr>
        <w:fldChar w:fldCharType="separate"/>
      </w:r>
      <w:r>
        <w:rPr>
          <w:color w:val="auto"/>
          <w:highlight w:val="none"/>
        </w:rPr>
        <w:t>31</w:t>
      </w:r>
      <w:r>
        <w:rPr>
          <w:color w:val="auto"/>
          <w:highlight w:val="none"/>
        </w:rPr>
        <w:fldChar w:fldCharType="end"/>
      </w:r>
      <w:r>
        <w:rPr>
          <w:rFonts w:hint="eastAsia"/>
          <w:bCs/>
          <w:color w:val="auto"/>
          <w:szCs w:val="36"/>
          <w:highlight w:val="none"/>
          <w:lang w:val="en-US" w:eastAsia="zh-CN"/>
        </w:rPr>
        <w:fldChar w:fldCharType="end"/>
      </w:r>
    </w:p>
    <w:p w14:paraId="4C8FCB4A">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_Toc4373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2.4评价因子识别及筛选</w:t>
      </w:r>
      <w:r>
        <w:rPr>
          <w:color w:val="auto"/>
          <w:highlight w:val="none"/>
        </w:rPr>
        <w:tab/>
      </w:r>
      <w:r>
        <w:rPr>
          <w:color w:val="auto"/>
          <w:highlight w:val="none"/>
        </w:rPr>
        <w:fldChar w:fldCharType="begin"/>
      </w:r>
      <w:r>
        <w:rPr>
          <w:color w:val="auto"/>
          <w:highlight w:val="none"/>
        </w:rPr>
        <w:instrText xml:space="preserve"> PAGEREF _Toc4373 \h </w:instrText>
      </w:r>
      <w:r>
        <w:rPr>
          <w:color w:val="auto"/>
          <w:highlight w:val="none"/>
        </w:rPr>
        <w:fldChar w:fldCharType="separate"/>
      </w:r>
      <w:r>
        <w:rPr>
          <w:color w:val="auto"/>
          <w:highlight w:val="none"/>
        </w:rPr>
        <w:t>31</w:t>
      </w:r>
      <w:r>
        <w:rPr>
          <w:color w:val="auto"/>
          <w:highlight w:val="none"/>
        </w:rPr>
        <w:fldChar w:fldCharType="end"/>
      </w:r>
      <w:r>
        <w:rPr>
          <w:rFonts w:hint="eastAsia"/>
          <w:bCs/>
          <w:color w:val="auto"/>
          <w:szCs w:val="36"/>
          <w:highlight w:val="none"/>
          <w:lang w:val="en-US" w:eastAsia="zh-CN"/>
        </w:rPr>
        <w:fldChar w:fldCharType="end"/>
      </w:r>
    </w:p>
    <w:p w14:paraId="13775FBC">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_Toc27932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2.5环境功能区划和评价标准</w:t>
      </w:r>
      <w:r>
        <w:rPr>
          <w:color w:val="auto"/>
          <w:highlight w:val="none"/>
        </w:rPr>
        <w:tab/>
      </w:r>
      <w:r>
        <w:rPr>
          <w:color w:val="auto"/>
          <w:highlight w:val="none"/>
        </w:rPr>
        <w:fldChar w:fldCharType="begin"/>
      </w:r>
      <w:r>
        <w:rPr>
          <w:color w:val="auto"/>
          <w:highlight w:val="none"/>
        </w:rPr>
        <w:instrText xml:space="preserve"> PAGEREF _Toc27932 \h </w:instrText>
      </w:r>
      <w:r>
        <w:rPr>
          <w:color w:val="auto"/>
          <w:highlight w:val="none"/>
        </w:rPr>
        <w:fldChar w:fldCharType="separate"/>
      </w:r>
      <w:r>
        <w:rPr>
          <w:color w:val="auto"/>
          <w:highlight w:val="none"/>
        </w:rPr>
        <w:t>34</w:t>
      </w:r>
      <w:r>
        <w:rPr>
          <w:color w:val="auto"/>
          <w:highlight w:val="none"/>
        </w:rPr>
        <w:fldChar w:fldCharType="end"/>
      </w:r>
      <w:r>
        <w:rPr>
          <w:rFonts w:hint="eastAsia"/>
          <w:bCs/>
          <w:color w:val="auto"/>
          <w:szCs w:val="36"/>
          <w:highlight w:val="none"/>
          <w:lang w:val="en-US" w:eastAsia="zh-CN"/>
        </w:rPr>
        <w:fldChar w:fldCharType="end"/>
      </w:r>
    </w:p>
    <w:p w14:paraId="53A8CFB3">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_Toc21474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2.6评价等级和评价范围</w:t>
      </w:r>
      <w:r>
        <w:rPr>
          <w:color w:val="auto"/>
          <w:highlight w:val="none"/>
        </w:rPr>
        <w:tab/>
      </w:r>
      <w:r>
        <w:rPr>
          <w:color w:val="auto"/>
          <w:highlight w:val="none"/>
        </w:rPr>
        <w:fldChar w:fldCharType="begin"/>
      </w:r>
      <w:r>
        <w:rPr>
          <w:color w:val="auto"/>
          <w:highlight w:val="none"/>
        </w:rPr>
        <w:instrText xml:space="preserve"> PAGEREF _Toc21474 \h </w:instrText>
      </w:r>
      <w:r>
        <w:rPr>
          <w:color w:val="auto"/>
          <w:highlight w:val="none"/>
        </w:rPr>
        <w:fldChar w:fldCharType="separate"/>
      </w:r>
      <w:r>
        <w:rPr>
          <w:color w:val="auto"/>
          <w:highlight w:val="none"/>
        </w:rPr>
        <w:t>42</w:t>
      </w:r>
      <w:r>
        <w:rPr>
          <w:color w:val="auto"/>
          <w:highlight w:val="none"/>
        </w:rPr>
        <w:fldChar w:fldCharType="end"/>
      </w:r>
      <w:r>
        <w:rPr>
          <w:rFonts w:hint="eastAsia"/>
          <w:bCs/>
          <w:color w:val="auto"/>
          <w:szCs w:val="36"/>
          <w:highlight w:val="none"/>
          <w:lang w:val="en-US" w:eastAsia="zh-CN"/>
        </w:rPr>
        <w:fldChar w:fldCharType="end"/>
      </w:r>
    </w:p>
    <w:p w14:paraId="463CF676">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_Toc9260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2.7评价重点</w:t>
      </w:r>
      <w:r>
        <w:rPr>
          <w:color w:val="auto"/>
          <w:highlight w:val="none"/>
        </w:rPr>
        <w:tab/>
      </w:r>
      <w:r>
        <w:rPr>
          <w:color w:val="auto"/>
          <w:highlight w:val="none"/>
        </w:rPr>
        <w:fldChar w:fldCharType="begin"/>
      </w:r>
      <w:r>
        <w:rPr>
          <w:color w:val="auto"/>
          <w:highlight w:val="none"/>
        </w:rPr>
        <w:instrText xml:space="preserve"> PAGEREF _Toc9260 \h </w:instrText>
      </w:r>
      <w:r>
        <w:rPr>
          <w:color w:val="auto"/>
          <w:highlight w:val="none"/>
        </w:rPr>
        <w:fldChar w:fldCharType="separate"/>
      </w:r>
      <w:r>
        <w:rPr>
          <w:color w:val="auto"/>
          <w:highlight w:val="none"/>
        </w:rPr>
        <w:t>59</w:t>
      </w:r>
      <w:r>
        <w:rPr>
          <w:color w:val="auto"/>
          <w:highlight w:val="none"/>
        </w:rPr>
        <w:fldChar w:fldCharType="end"/>
      </w:r>
      <w:r>
        <w:rPr>
          <w:rFonts w:hint="eastAsia"/>
          <w:bCs/>
          <w:color w:val="auto"/>
          <w:szCs w:val="36"/>
          <w:highlight w:val="none"/>
          <w:lang w:val="en-US" w:eastAsia="zh-CN"/>
        </w:rPr>
        <w:fldChar w:fldCharType="end"/>
      </w:r>
    </w:p>
    <w:p w14:paraId="1DBE1F1E">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_Toc1510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2.8主要环境保护目标和环境敏感目标</w:t>
      </w:r>
      <w:r>
        <w:rPr>
          <w:color w:val="auto"/>
          <w:highlight w:val="none"/>
        </w:rPr>
        <w:tab/>
      </w:r>
      <w:r>
        <w:rPr>
          <w:color w:val="auto"/>
          <w:highlight w:val="none"/>
        </w:rPr>
        <w:fldChar w:fldCharType="begin"/>
      </w:r>
      <w:r>
        <w:rPr>
          <w:color w:val="auto"/>
          <w:highlight w:val="none"/>
        </w:rPr>
        <w:instrText xml:space="preserve"> PAGEREF _Toc1510 \h </w:instrText>
      </w:r>
      <w:r>
        <w:rPr>
          <w:color w:val="auto"/>
          <w:highlight w:val="none"/>
        </w:rPr>
        <w:fldChar w:fldCharType="separate"/>
      </w:r>
      <w:r>
        <w:rPr>
          <w:color w:val="auto"/>
          <w:highlight w:val="none"/>
        </w:rPr>
        <w:t>59</w:t>
      </w:r>
      <w:r>
        <w:rPr>
          <w:color w:val="auto"/>
          <w:highlight w:val="none"/>
        </w:rPr>
        <w:fldChar w:fldCharType="end"/>
      </w:r>
      <w:r>
        <w:rPr>
          <w:rFonts w:hint="eastAsia"/>
          <w:bCs/>
          <w:color w:val="auto"/>
          <w:szCs w:val="36"/>
          <w:highlight w:val="none"/>
          <w:lang w:val="en-US" w:eastAsia="zh-CN"/>
        </w:rPr>
        <w:fldChar w:fldCharType="end"/>
      </w:r>
    </w:p>
    <w:p w14:paraId="456E1D05">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_Toc1953 </w:instrText>
      </w:r>
      <w:r>
        <w:rPr>
          <w:rFonts w:hint="eastAsia"/>
          <w:bCs/>
          <w:color w:val="auto"/>
          <w:szCs w:val="36"/>
          <w:highlight w:val="none"/>
          <w:lang w:val="en-US" w:eastAsia="zh-CN"/>
        </w:rPr>
        <w:fldChar w:fldCharType="separate"/>
      </w:r>
      <w:r>
        <w:rPr>
          <w:rFonts w:hint="eastAsia"/>
          <w:color w:val="auto"/>
          <w:highlight w:val="none"/>
        </w:rPr>
        <w:t>3建设项目工程分析</w:t>
      </w:r>
      <w:r>
        <w:rPr>
          <w:color w:val="auto"/>
          <w:highlight w:val="none"/>
        </w:rPr>
        <w:tab/>
      </w:r>
      <w:r>
        <w:rPr>
          <w:color w:val="auto"/>
          <w:highlight w:val="none"/>
        </w:rPr>
        <w:fldChar w:fldCharType="begin"/>
      </w:r>
      <w:r>
        <w:rPr>
          <w:color w:val="auto"/>
          <w:highlight w:val="none"/>
        </w:rPr>
        <w:instrText xml:space="preserve"> PAGEREF _Toc1953 \h </w:instrText>
      </w:r>
      <w:r>
        <w:rPr>
          <w:color w:val="auto"/>
          <w:highlight w:val="none"/>
        </w:rPr>
        <w:fldChar w:fldCharType="separate"/>
      </w:r>
      <w:r>
        <w:rPr>
          <w:color w:val="auto"/>
          <w:highlight w:val="none"/>
        </w:rPr>
        <w:t>61</w:t>
      </w:r>
      <w:r>
        <w:rPr>
          <w:color w:val="auto"/>
          <w:highlight w:val="none"/>
        </w:rPr>
        <w:fldChar w:fldCharType="end"/>
      </w:r>
      <w:r>
        <w:rPr>
          <w:rFonts w:hint="eastAsia"/>
          <w:bCs/>
          <w:color w:val="auto"/>
          <w:szCs w:val="36"/>
          <w:highlight w:val="none"/>
          <w:lang w:val="en-US" w:eastAsia="zh-CN"/>
        </w:rPr>
        <w:fldChar w:fldCharType="end"/>
      </w:r>
    </w:p>
    <w:p w14:paraId="4AC07D22">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_Toc29096 </w:instrText>
      </w:r>
      <w:r>
        <w:rPr>
          <w:rFonts w:hint="eastAsia"/>
          <w:bCs/>
          <w:color w:val="auto"/>
          <w:szCs w:val="36"/>
          <w:highlight w:val="none"/>
          <w:lang w:val="en-US" w:eastAsia="zh-CN"/>
        </w:rPr>
        <w:fldChar w:fldCharType="separate"/>
      </w:r>
      <w:r>
        <w:rPr>
          <w:rFonts w:hint="eastAsia"/>
          <w:color w:val="auto"/>
          <w:highlight w:val="none"/>
        </w:rPr>
        <w:t>3</w:t>
      </w:r>
      <w:r>
        <w:rPr>
          <w:color w:val="auto"/>
          <w:highlight w:val="none"/>
        </w:rPr>
        <w:t>.</w:t>
      </w:r>
      <w:r>
        <w:rPr>
          <w:rFonts w:hint="eastAsia"/>
          <w:color w:val="auto"/>
          <w:highlight w:val="none"/>
          <w:lang w:val="en-US" w:eastAsia="zh-CN"/>
        </w:rPr>
        <w:t>1</w:t>
      </w:r>
      <w:r>
        <w:rPr>
          <w:rFonts w:hint="eastAsia"/>
          <w:color w:val="auto"/>
          <w:highlight w:val="none"/>
        </w:rPr>
        <w:t>项目概况</w:t>
      </w:r>
      <w:r>
        <w:rPr>
          <w:color w:val="auto"/>
          <w:highlight w:val="none"/>
        </w:rPr>
        <w:tab/>
      </w:r>
      <w:r>
        <w:rPr>
          <w:color w:val="auto"/>
          <w:highlight w:val="none"/>
        </w:rPr>
        <w:fldChar w:fldCharType="begin"/>
      </w:r>
      <w:r>
        <w:rPr>
          <w:color w:val="auto"/>
          <w:highlight w:val="none"/>
        </w:rPr>
        <w:instrText xml:space="preserve"> PAGEREF _Toc29096 \h </w:instrText>
      </w:r>
      <w:r>
        <w:rPr>
          <w:color w:val="auto"/>
          <w:highlight w:val="none"/>
        </w:rPr>
        <w:fldChar w:fldCharType="separate"/>
      </w:r>
      <w:r>
        <w:rPr>
          <w:color w:val="auto"/>
          <w:highlight w:val="none"/>
        </w:rPr>
        <w:t>61</w:t>
      </w:r>
      <w:r>
        <w:rPr>
          <w:color w:val="auto"/>
          <w:highlight w:val="none"/>
        </w:rPr>
        <w:fldChar w:fldCharType="end"/>
      </w:r>
      <w:r>
        <w:rPr>
          <w:rFonts w:hint="eastAsia"/>
          <w:bCs/>
          <w:color w:val="auto"/>
          <w:szCs w:val="36"/>
          <w:highlight w:val="none"/>
          <w:lang w:val="en-US" w:eastAsia="zh-CN"/>
        </w:rPr>
        <w:fldChar w:fldCharType="end"/>
      </w:r>
    </w:p>
    <w:p w14:paraId="074AB087">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_Toc31262 </w:instrText>
      </w:r>
      <w:r>
        <w:rPr>
          <w:rFonts w:hint="eastAsia"/>
          <w:bCs/>
          <w:color w:val="auto"/>
          <w:szCs w:val="36"/>
          <w:highlight w:val="none"/>
          <w:lang w:val="en-US" w:eastAsia="zh-CN"/>
        </w:rPr>
        <w:fldChar w:fldCharType="separate"/>
      </w:r>
      <w:r>
        <w:rPr>
          <w:rFonts w:hint="eastAsia"/>
          <w:color w:val="auto"/>
          <w:highlight w:val="none"/>
        </w:rPr>
        <w:t>3.</w:t>
      </w:r>
      <w:r>
        <w:rPr>
          <w:rFonts w:hint="eastAsia"/>
          <w:color w:val="auto"/>
          <w:highlight w:val="none"/>
          <w:lang w:val="en-US" w:eastAsia="zh-CN"/>
        </w:rPr>
        <w:t>2</w:t>
      </w:r>
      <w:r>
        <w:rPr>
          <w:rFonts w:hint="eastAsia"/>
          <w:color w:val="auto"/>
          <w:highlight w:val="none"/>
        </w:rPr>
        <w:t>工程分析</w:t>
      </w:r>
      <w:r>
        <w:rPr>
          <w:color w:val="auto"/>
          <w:highlight w:val="none"/>
        </w:rPr>
        <w:tab/>
      </w:r>
      <w:r>
        <w:rPr>
          <w:color w:val="auto"/>
          <w:highlight w:val="none"/>
        </w:rPr>
        <w:fldChar w:fldCharType="begin"/>
      </w:r>
      <w:r>
        <w:rPr>
          <w:color w:val="auto"/>
          <w:highlight w:val="none"/>
        </w:rPr>
        <w:instrText xml:space="preserve"> PAGEREF _Toc31262 \h </w:instrText>
      </w:r>
      <w:r>
        <w:rPr>
          <w:color w:val="auto"/>
          <w:highlight w:val="none"/>
        </w:rPr>
        <w:fldChar w:fldCharType="separate"/>
      </w:r>
      <w:r>
        <w:rPr>
          <w:color w:val="auto"/>
          <w:highlight w:val="none"/>
        </w:rPr>
        <w:t>93</w:t>
      </w:r>
      <w:r>
        <w:rPr>
          <w:color w:val="auto"/>
          <w:highlight w:val="none"/>
        </w:rPr>
        <w:fldChar w:fldCharType="end"/>
      </w:r>
      <w:r>
        <w:rPr>
          <w:rFonts w:hint="eastAsia"/>
          <w:bCs/>
          <w:color w:val="auto"/>
          <w:szCs w:val="36"/>
          <w:highlight w:val="none"/>
          <w:lang w:val="en-US" w:eastAsia="zh-CN"/>
        </w:rPr>
        <w:fldChar w:fldCharType="end"/>
      </w:r>
    </w:p>
    <w:p w14:paraId="093EDD96">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_Toc4236 </w:instrText>
      </w:r>
      <w:r>
        <w:rPr>
          <w:rFonts w:hint="eastAsia"/>
          <w:bCs/>
          <w:color w:val="auto"/>
          <w:szCs w:val="36"/>
          <w:highlight w:val="none"/>
          <w:lang w:val="en-US" w:eastAsia="zh-CN"/>
        </w:rPr>
        <w:fldChar w:fldCharType="separate"/>
      </w:r>
      <w:r>
        <w:rPr>
          <w:rFonts w:hint="eastAsia"/>
          <w:color w:val="auto"/>
          <w:highlight w:val="none"/>
        </w:rPr>
        <w:t>3.</w:t>
      </w:r>
      <w:r>
        <w:rPr>
          <w:rFonts w:hint="eastAsia"/>
          <w:color w:val="auto"/>
          <w:highlight w:val="none"/>
          <w:lang w:val="en-US" w:eastAsia="zh-CN"/>
        </w:rPr>
        <w:t>3</w:t>
      </w:r>
      <w:r>
        <w:rPr>
          <w:rFonts w:hint="eastAsia"/>
          <w:color w:val="auto"/>
          <w:highlight w:val="none"/>
        </w:rPr>
        <w:t>运营期污染源及污染物分析</w:t>
      </w:r>
      <w:r>
        <w:rPr>
          <w:color w:val="auto"/>
          <w:highlight w:val="none"/>
        </w:rPr>
        <w:tab/>
      </w:r>
      <w:r>
        <w:rPr>
          <w:color w:val="auto"/>
          <w:highlight w:val="none"/>
        </w:rPr>
        <w:fldChar w:fldCharType="begin"/>
      </w:r>
      <w:r>
        <w:rPr>
          <w:color w:val="auto"/>
          <w:highlight w:val="none"/>
        </w:rPr>
        <w:instrText xml:space="preserve"> PAGEREF _Toc4236 \h </w:instrText>
      </w:r>
      <w:r>
        <w:rPr>
          <w:color w:val="auto"/>
          <w:highlight w:val="none"/>
        </w:rPr>
        <w:fldChar w:fldCharType="separate"/>
      </w:r>
      <w:r>
        <w:rPr>
          <w:color w:val="auto"/>
          <w:highlight w:val="none"/>
        </w:rPr>
        <w:t>110</w:t>
      </w:r>
      <w:r>
        <w:rPr>
          <w:color w:val="auto"/>
          <w:highlight w:val="none"/>
        </w:rPr>
        <w:fldChar w:fldCharType="end"/>
      </w:r>
      <w:r>
        <w:rPr>
          <w:rFonts w:hint="eastAsia"/>
          <w:bCs/>
          <w:color w:val="auto"/>
          <w:szCs w:val="36"/>
          <w:highlight w:val="none"/>
          <w:lang w:val="en-US" w:eastAsia="zh-CN"/>
        </w:rPr>
        <w:fldChar w:fldCharType="end"/>
      </w:r>
    </w:p>
    <w:p w14:paraId="27D66A2F">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_Toc29565 </w:instrText>
      </w:r>
      <w:r>
        <w:rPr>
          <w:rFonts w:hint="eastAsia"/>
          <w:bCs/>
          <w:color w:val="auto"/>
          <w:szCs w:val="36"/>
          <w:highlight w:val="none"/>
          <w:lang w:val="en-US" w:eastAsia="zh-CN"/>
        </w:rPr>
        <w:fldChar w:fldCharType="separate"/>
      </w:r>
      <w:r>
        <w:rPr>
          <w:color w:val="auto"/>
          <w:highlight w:val="none"/>
        </w:rPr>
        <w:t>3.</w:t>
      </w:r>
      <w:r>
        <w:rPr>
          <w:rFonts w:hint="eastAsia"/>
          <w:color w:val="auto"/>
          <w:highlight w:val="none"/>
          <w:lang w:val="en-US" w:eastAsia="zh-CN"/>
        </w:rPr>
        <w:t>4</w:t>
      </w:r>
      <w:r>
        <w:rPr>
          <w:color w:val="auto"/>
          <w:highlight w:val="none"/>
        </w:rPr>
        <w:t>清洁生产分析</w:t>
      </w:r>
      <w:r>
        <w:rPr>
          <w:color w:val="auto"/>
          <w:highlight w:val="none"/>
        </w:rPr>
        <w:tab/>
      </w:r>
      <w:r>
        <w:rPr>
          <w:color w:val="auto"/>
          <w:highlight w:val="none"/>
        </w:rPr>
        <w:fldChar w:fldCharType="begin"/>
      </w:r>
      <w:r>
        <w:rPr>
          <w:color w:val="auto"/>
          <w:highlight w:val="none"/>
        </w:rPr>
        <w:instrText xml:space="preserve"> PAGEREF _Toc29565 \h </w:instrText>
      </w:r>
      <w:r>
        <w:rPr>
          <w:color w:val="auto"/>
          <w:highlight w:val="none"/>
        </w:rPr>
        <w:fldChar w:fldCharType="separate"/>
      </w:r>
      <w:r>
        <w:rPr>
          <w:color w:val="auto"/>
          <w:highlight w:val="none"/>
        </w:rPr>
        <w:t>135</w:t>
      </w:r>
      <w:r>
        <w:rPr>
          <w:color w:val="auto"/>
          <w:highlight w:val="none"/>
        </w:rPr>
        <w:fldChar w:fldCharType="end"/>
      </w:r>
      <w:r>
        <w:rPr>
          <w:rFonts w:hint="eastAsia"/>
          <w:bCs/>
          <w:color w:val="auto"/>
          <w:szCs w:val="36"/>
          <w:highlight w:val="none"/>
          <w:lang w:val="en-US" w:eastAsia="zh-CN"/>
        </w:rPr>
        <w:fldChar w:fldCharType="end"/>
      </w:r>
    </w:p>
    <w:p w14:paraId="6040E8B8">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_Toc30441 </w:instrText>
      </w:r>
      <w:r>
        <w:rPr>
          <w:rFonts w:hint="eastAsia"/>
          <w:bCs/>
          <w:color w:val="auto"/>
          <w:szCs w:val="36"/>
          <w:highlight w:val="none"/>
          <w:lang w:val="en-US" w:eastAsia="zh-CN"/>
        </w:rPr>
        <w:fldChar w:fldCharType="separate"/>
      </w:r>
      <w:r>
        <w:rPr>
          <w:color w:val="auto"/>
          <w:highlight w:val="none"/>
        </w:rPr>
        <w:t>3.</w:t>
      </w:r>
      <w:r>
        <w:rPr>
          <w:rFonts w:hint="eastAsia"/>
          <w:color w:val="auto"/>
          <w:highlight w:val="none"/>
          <w:lang w:val="en-US" w:eastAsia="zh-CN"/>
        </w:rPr>
        <w:t>5</w:t>
      </w:r>
      <w:r>
        <w:rPr>
          <w:color w:val="auto"/>
          <w:highlight w:val="none"/>
        </w:rPr>
        <w:t>总量控制</w:t>
      </w:r>
      <w:r>
        <w:rPr>
          <w:color w:val="auto"/>
          <w:highlight w:val="none"/>
        </w:rPr>
        <w:tab/>
      </w:r>
      <w:r>
        <w:rPr>
          <w:color w:val="auto"/>
          <w:highlight w:val="none"/>
        </w:rPr>
        <w:fldChar w:fldCharType="begin"/>
      </w:r>
      <w:r>
        <w:rPr>
          <w:color w:val="auto"/>
          <w:highlight w:val="none"/>
        </w:rPr>
        <w:instrText xml:space="preserve"> PAGEREF _Toc30441 \h </w:instrText>
      </w:r>
      <w:r>
        <w:rPr>
          <w:color w:val="auto"/>
          <w:highlight w:val="none"/>
        </w:rPr>
        <w:fldChar w:fldCharType="separate"/>
      </w:r>
      <w:r>
        <w:rPr>
          <w:color w:val="auto"/>
          <w:highlight w:val="none"/>
        </w:rPr>
        <w:t>137</w:t>
      </w:r>
      <w:r>
        <w:rPr>
          <w:color w:val="auto"/>
          <w:highlight w:val="none"/>
        </w:rPr>
        <w:fldChar w:fldCharType="end"/>
      </w:r>
      <w:r>
        <w:rPr>
          <w:rFonts w:hint="eastAsia"/>
          <w:bCs/>
          <w:color w:val="auto"/>
          <w:szCs w:val="36"/>
          <w:highlight w:val="none"/>
          <w:lang w:val="en-US" w:eastAsia="zh-CN"/>
        </w:rPr>
        <w:fldChar w:fldCharType="end"/>
      </w:r>
    </w:p>
    <w:p w14:paraId="62AFBD7D">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_Toc19224 </w:instrText>
      </w:r>
      <w:r>
        <w:rPr>
          <w:rFonts w:hint="eastAsia"/>
          <w:bCs/>
          <w:color w:val="auto"/>
          <w:szCs w:val="36"/>
          <w:highlight w:val="none"/>
          <w:lang w:val="en-US" w:eastAsia="zh-CN"/>
        </w:rPr>
        <w:fldChar w:fldCharType="separate"/>
      </w:r>
      <w:r>
        <w:rPr>
          <w:color w:val="auto"/>
          <w:highlight w:val="none"/>
        </w:rPr>
        <w:t>4环境现状调查与评价</w:t>
      </w:r>
      <w:r>
        <w:rPr>
          <w:color w:val="auto"/>
          <w:highlight w:val="none"/>
        </w:rPr>
        <w:tab/>
      </w:r>
      <w:r>
        <w:rPr>
          <w:color w:val="auto"/>
          <w:highlight w:val="none"/>
        </w:rPr>
        <w:fldChar w:fldCharType="begin"/>
      </w:r>
      <w:r>
        <w:rPr>
          <w:color w:val="auto"/>
          <w:highlight w:val="none"/>
        </w:rPr>
        <w:instrText xml:space="preserve"> PAGEREF _Toc19224 \h </w:instrText>
      </w:r>
      <w:r>
        <w:rPr>
          <w:color w:val="auto"/>
          <w:highlight w:val="none"/>
        </w:rPr>
        <w:fldChar w:fldCharType="separate"/>
      </w:r>
      <w:r>
        <w:rPr>
          <w:color w:val="auto"/>
          <w:highlight w:val="none"/>
        </w:rPr>
        <w:t>138</w:t>
      </w:r>
      <w:r>
        <w:rPr>
          <w:color w:val="auto"/>
          <w:highlight w:val="none"/>
        </w:rPr>
        <w:fldChar w:fldCharType="end"/>
      </w:r>
      <w:r>
        <w:rPr>
          <w:rFonts w:hint="eastAsia"/>
          <w:bCs/>
          <w:color w:val="auto"/>
          <w:szCs w:val="36"/>
          <w:highlight w:val="none"/>
          <w:lang w:val="en-US" w:eastAsia="zh-CN"/>
        </w:rPr>
        <w:fldChar w:fldCharType="end"/>
      </w:r>
    </w:p>
    <w:p w14:paraId="1C80B3B1">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_Toc18850 </w:instrText>
      </w:r>
      <w:r>
        <w:rPr>
          <w:rFonts w:hint="eastAsia"/>
          <w:bCs/>
          <w:color w:val="auto"/>
          <w:szCs w:val="36"/>
          <w:highlight w:val="none"/>
          <w:lang w:val="en-US" w:eastAsia="zh-CN"/>
        </w:rPr>
        <w:fldChar w:fldCharType="separate"/>
      </w:r>
      <w:r>
        <w:rPr>
          <w:color w:val="auto"/>
          <w:highlight w:val="none"/>
        </w:rPr>
        <w:t>4.1自然环境概况</w:t>
      </w:r>
      <w:r>
        <w:rPr>
          <w:color w:val="auto"/>
          <w:highlight w:val="none"/>
        </w:rPr>
        <w:tab/>
      </w:r>
      <w:r>
        <w:rPr>
          <w:color w:val="auto"/>
          <w:highlight w:val="none"/>
        </w:rPr>
        <w:fldChar w:fldCharType="begin"/>
      </w:r>
      <w:r>
        <w:rPr>
          <w:color w:val="auto"/>
          <w:highlight w:val="none"/>
        </w:rPr>
        <w:instrText xml:space="preserve"> PAGEREF _Toc18850 \h </w:instrText>
      </w:r>
      <w:r>
        <w:rPr>
          <w:color w:val="auto"/>
          <w:highlight w:val="none"/>
        </w:rPr>
        <w:fldChar w:fldCharType="separate"/>
      </w:r>
      <w:r>
        <w:rPr>
          <w:color w:val="auto"/>
          <w:highlight w:val="none"/>
        </w:rPr>
        <w:t>138</w:t>
      </w:r>
      <w:r>
        <w:rPr>
          <w:color w:val="auto"/>
          <w:highlight w:val="none"/>
        </w:rPr>
        <w:fldChar w:fldCharType="end"/>
      </w:r>
      <w:r>
        <w:rPr>
          <w:rFonts w:hint="eastAsia"/>
          <w:bCs/>
          <w:color w:val="auto"/>
          <w:szCs w:val="36"/>
          <w:highlight w:val="none"/>
          <w:lang w:val="en-US" w:eastAsia="zh-CN"/>
        </w:rPr>
        <w:fldChar w:fldCharType="end"/>
      </w:r>
    </w:p>
    <w:p w14:paraId="04D45AB6">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_Toc22894 </w:instrText>
      </w:r>
      <w:r>
        <w:rPr>
          <w:rFonts w:hint="eastAsia"/>
          <w:bCs/>
          <w:color w:val="auto"/>
          <w:szCs w:val="36"/>
          <w:highlight w:val="none"/>
          <w:lang w:val="en-US" w:eastAsia="zh-CN"/>
        </w:rPr>
        <w:fldChar w:fldCharType="separate"/>
      </w:r>
      <w:r>
        <w:rPr>
          <w:color w:val="auto"/>
          <w:highlight w:val="none"/>
        </w:rPr>
        <w:t>4.</w:t>
      </w:r>
      <w:r>
        <w:rPr>
          <w:rFonts w:hint="eastAsia"/>
          <w:color w:val="auto"/>
          <w:highlight w:val="none"/>
        </w:rPr>
        <w:t>2</w:t>
      </w:r>
      <w:r>
        <w:rPr>
          <w:color w:val="auto"/>
          <w:highlight w:val="none"/>
        </w:rPr>
        <w:t>环境质量现状调查与评价</w:t>
      </w:r>
      <w:r>
        <w:rPr>
          <w:color w:val="auto"/>
          <w:highlight w:val="none"/>
        </w:rPr>
        <w:tab/>
      </w:r>
      <w:r>
        <w:rPr>
          <w:color w:val="auto"/>
          <w:highlight w:val="none"/>
        </w:rPr>
        <w:fldChar w:fldCharType="begin"/>
      </w:r>
      <w:r>
        <w:rPr>
          <w:color w:val="auto"/>
          <w:highlight w:val="none"/>
        </w:rPr>
        <w:instrText xml:space="preserve"> PAGEREF _Toc22894 \h </w:instrText>
      </w:r>
      <w:r>
        <w:rPr>
          <w:color w:val="auto"/>
          <w:highlight w:val="none"/>
        </w:rPr>
        <w:fldChar w:fldCharType="separate"/>
      </w:r>
      <w:r>
        <w:rPr>
          <w:color w:val="auto"/>
          <w:highlight w:val="none"/>
        </w:rPr>
        <w:t>145</w:t>
      </w:r>
      <w:r>
        <w:rPr>
          <w:color w:val="auto"/>
          <w:highlight w:val="none"/>
        </w:rPr>
        <w:fldChar w:fldCharType="end"/>
      </w:r>
      <w:r>
        <w:rPr>
          <w:rFonts w:hint="eastAsia"/>
          <w:bCs/>
          <w:color w:val="auto"/>
          <w:szCs w:val="36"/>
          <w:highlight w:val="none"/>
          <w:lang w:val="en-US" w:eastAsia="zh-CN"/>
        </w:rPr>
        <w:fldChar w:fldCharType="end"/>
      </w:r>
    </w:p>
    <w:p w14:paraId="547EB822">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_Toc20925 </w:instrText>
      </w:r>
      <w:r>
        <w:rPr>
          <w:rFonts w:hint="eastAsia"/>
          <w:bCs/>
          <w:color w:val="auto"/>
          <w:szCs w:val="36"/>
          <w:highlight w:val="none"/>
          <w:lang w:val="en-US" w:eastAsia="zh-CN"/>
        </w:rPr>
        <w:fldChar w:fldCharType="separate"/>
      </w:r>
      <w:r>
        <w:rPr>
          <w:color w:val="auto"/>
          <w:highlight w:val="none"/>
        </w:rPr>
        <w:t>5环境影响预测与评价</w:t>
      </w:r>
      <w:r>
        <w:rPr>
          <w:color w:val="auto"/>
          <w:highlight w:val="none"/>
        </w:rPr>
        <w:tab/>
      </w:r>
      <w:r>
        <w:rPr>
          <w:color w:val="auto"/>
          <w:highlight w:val="none"/>
        </w:rPr>
        <w:fldChar w:fldCharType="begin"/>
      </w:r>
      <w:r>
        <w:rPr>
          <w:color w:val="auto"/>
          <w:highlight w:val="none"/>
        </w:rPr>
        <w:instrText xml:space="preserve"> PAGEREF _Toc20925 \h </w:instrText>
      </w:r>
      <w:r>
        <w:rPr>
          <w:color w:val="auto"/>
          <w:highlight w:val="none"/>
        </w:rPr>
        <w:fldChar w:fldCharType="separate"/>
      </w:r>
      <w:r>
        <w:rPr>
          <w:color w:val="auto"/>
          <w:highlight w:val="none"/>
        </w:rPr>
        <w:t>168</w:t>
      </w:r>
      <w:r>
        <w:rPr>
          <w:color w:val="auto"/>
          <w:highlight w:val="none"/>
        </w:rPr>
        <w:fldChar w:fldCharType="end"/>
      </w:r>
      <w:r>
        <w:rPr>
          <w:rFonts w:hint="eastAsia"/>
          <w:bCs/>
          <w:color w:val="auto"/>
          <w:szCs w:val="36"/>
          <w:highlight w:val="none"/>
          <w:lang w:val="en-US" w:eastAsia="zh-CN"/>
        </w:rPr>
        <w:fldChar w:fldCharType="end"/>
      </w:r>
    </w:p>
    <w:p w14:paraId="4151E855">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_Toc21479 </w:instrText>
      </w:r>
      <w:r>
        <w:rPr>
          <w:rFonts w:hint="eastAsia"/>
          <w:bCs/>
          <w:color w:val="auto"/>
          <w:szCs w:val="36"/>
          <w:highlight w:val="none"/>
          <w:lang w:val="en-US" w:eastAsia="zh-CN"/>
        </w:rPr>
        <w:fldChar w:fldCharType="separate"/>
      </w:r>
      <w:r>
        <w:rPr>
          <w:rFonts w:hint="eastAsia"/>
          <w:color w:val="auto"/>
          <w:highlight w:val="none"/>
        </w:rPr>
        <w:t>5</w:t>
      </w:r>
      <w:r>
        <w:rPr>
          <w:color w:val="auto"/>
          <w:highlight w:val="none"/>
        </w:rPr>
        <w:t>.1</w:t>
      </w:r>
      <w:r>
        <w:rPr>
          <w:rFonts w:hint="eastAsia"/>
          <w:color w:val="auto"/>
          <w:highlight w:val="none"/>
        </w:rPr>
        <w:t>施工期环境影响预测与评价</w:t>
      </w:r>
      <w:r>
        <w:rPr>
          <w:color w:val="auto"/>
          <w:highlight w:val="none"/>
        </w:rPr>
        <w:tab/>
      </w:r>
      <w:r>
        <w:rPr>
          <w:color w:val="auto"/>
          <w:highlight w:val="none"/>
        </w:rPr>
        <w:fldChar w:fldCharType="begin"/>
      </w:r>
      <w:r>
        <w:rPr>
          <w:color w:val="auto"/>
          <w:highlight w:val="none"/>
        </w:rPr>
        <w:instrText xml:space="preserve"> PAGEREF _Toc21479 \h </w:instrText>
      </w:r>
      <w:r>
        <w:rPr>
          <w:color w:val="auto"/>
          <w:highlight w:val="none"/>
        </w:rPr>
        <w:fldChar w:fldCharType="separate"/>
      </w:r>
      <w:r>
        <w:rPr>
          <w:color w:val="auto"/>
          <w:highlight w:val="none"/>
        </w:rPr>
        <w:t>168</w:t>
      </w:r>
      <w:r>
        <w:rPr>
          <w:color w:val="auto"/>
          <w:highlight w:val="none"/>
        </w:rPr>
        <w:fldChar w:fldCharType="end"/>
      </w:r>
      <w:r>
        <w:rPr>
          <w:rFonts w:hint="eastAsia"/>
          <w:bCs/>
          <w:color w:val="auto"/>
          <w:szCs w:val="36"/>
          <w:highlight w:val="none"/>
          <w:lang w:val="en-US" w:eastAsia="zh-CN"/>
        </w:rPr>
        <w:fldChar w:fldCharType="end"/>
      </w:r>
    </w:p>
    <w:p w14:paraId="432E4D40">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_Toc9619 </w:instrText>
      </w:r>
      <w:r>
        <w:rPr>
          <w:rFonts w:hint="eastAsia"/>
          <w:bCs/>
          <w:color w:val="auto"/>
          <w:szCs w:val="36"/>
          <w:highlight w:val="none"/>
          <w:lang w:val="en-US" w:eastAsia="zh-CN"/>
        </w:rPr>
        <w:fldChar w:fldCharType="separate"/>
      </w:r>
      <w:r>
        <w:rPr>
          <w:rFonts w:hint="eastAsia"/>
          <w:color w:val="auto"/>
          <w:highlight w:val="none"/>
        </w:rPr>
        <w:t>5</w:t>
      </w:r>
      <w:r>
        <w:rPr>
          <w:color w:val="auto"/>
          <w:highlight w:val="none"/>
        </w:rPr>
        <w:t>.</w:t>
      </w:r>
      <w:r>
        <w:rPr>
          <w:rFonts w:hint="eastAsia"/>
          <w:color w:val="auto"/>
          <w:highlight w:val="none"/>
        </w:rPr>
        <w:t>2运营期环境影响预测与评价</w:t>
      </w:r>
      <w:r>
        <w:rPr>
          <w:color w:val="auto"/>
          <w:highlight w:val="none"/>
        </w:rPr>
        <w:tab/>
      </w:r>
      <w:r>
        <w:rPr>
          <w:color w:val="auto"/>
          <w:highlight w:val="none"/>
        </w:rPr>
        <w:fldChar w:fldCharType="begin"/>
      </w:r>
      <w:r>
        <w:rPr>
          <w:color w:val="auto"/>
          <w:highlight w:val="none"/>
        </w:rPr>
        <w:instrText xml:space="preserve"> PAGEREF _Toc9619 \h </w:instrText>
      </w:r>
      <w:r>
        <w:rPr>
          <w:color w:val="auto"/>
          <w:highlight w:val="none"/>
        </w:rPr>
        <w:fldChar w:fldCharType="separate"/>
      </w:r>
      <w:r>
        <w:rPr>
          <w:color w:val="auto"/>
          <w:highlight w:val="none"/>
        </w:rPr>
        <w:t>168</w:t>
      </w:r>
      <w:r>
        <w:rPr>
          <w:color w:val="auto"/>
          <w:highlight w:val="none"/>
        </w:rPr>
        <w:fldChar w:fldCharType="end"/>
      </w:r>
      <w:r>
        <w:rPr>
          <w:rFonts w:hint="eastAsia"/>
          <w:bCs/>
          <w:color w:val="auto"/>
          <w:szCs w:val="36"/>
          <w:highlight w:val="none"/>
          <w:lang w:val="en-US" w:eastAsia="zh-CN"/>
        </w:rPr>
        <w:fldChar w:fldCharType="end"/>
      </w:r>
    </w:p>
    <w:p w14:paraId="5F2D8E38">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_Toc7108 </w:instrText>
      </w:r>
      <w:r>
        <w:rPr>
          <w:rFonts w:hint="eastAsia"/>
          <w:bCs/>
          <w:color w:val="auto"/>
          <w:szCs w:val="36"/>
          <w:highlight w:val="none"/>
          <w:lang w:val="en-US" w:eastAsia="zh-CN"/>
        </w:rPr>
        <w:fldChar w:fldCharType="separate"/>
      </w:r>
      <w:r>
        <w:rPr>
          <w:color w:val="auto"/>
          <w:highlight w:val="none"/>
        </w:rPr>
        <w:t>5.</w:t>
      </w:r>
      <w:r>
        <w:rPr>
          <w:rFonts w:hint="eastAsia"/>
          <w:color w:val="auto"/>
          <w:highlight w:val="none"/>
          <w:lang w:val="en-US" w:eastAsia="zh-CN"/>
        </w:rPr>
        <w:t>3闭矿期</w:t>
      </w:r>
      <w:r>
        <w:rPr>
          <w:rFonts w:hint="eastAsia"/>
          <w:color w:val="auto"/>
          <w:highlight w:val="none"/>
        </w:rPr>
        <w:t>环境影响分析</w:t>
      </w:r>
      <w:r>
        <w:rPr>
          <w:color w:val="auto"/>
          <w:highlight w:val="none"/>
        </w:rPr>
        <w:tab/>
      </w:r>
      <w:r>
        <w:rPr>
          <w:color w:val="auto"/>
          <w:highlight w:val="none"/>
        </w:rPr>
        <w:fldChar w:fldCharType="begin"/>
      </w:r>
      <w:r>
        <w:rPr>
          <w:color w:val="auto"/>
          <w:highlight w:val="none"/>
        </w:rPr>
        <w:instrText xml:space="preserve"> PAGEREF _Toc7108 \h </w:instrText>
      </w:r>
      <w:r>
        <w:rPr>
          <w:color w:val="auto"/>
          <w:highlight w:val="none"/>
        </w:rPr>
        <w:fldChar w:fldCharType="separate"/>
      </w:r>
      <w:r>
        <w:rPr>
          <w:color w:val="auto"/>
          <w:highlight w:val="none"/>
        </w:rPr>
        <w:t>243</w:t>
      </w:r>
      <w:r>
        <w:rPr>
          <w:color w:val="auto"/>
          <w:highlight w:val="none"/>
        </w:rPr>
        <w:fldChar w:fldCharType="end"/>
      </w:r>
      <w:r>
        <w:rPr>
          <w:rFonts w:hint="eastAsia"/>
          <w:bCs/>
          <w:color w:val="auto"/>
          <w:szCs w:val="36"/>
          <w:highlight w:val="none"/>
          <w:lang w:val="en-US" w:eastAsia="zh-CN"/>
        </w:rPr>
        <w:fldChar w:fldCharType="end"/>
      </w:r>
    </w:p>
    <w:p w14:paraId="03EA49C1">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_Toc23684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6环境保护措施及其可行性论证</w:t>
      </w:r>
      <w:r>
        <w:rPr>
          <w:color w:val="auto"/>
          <w:highlight w:val="none"/>
        </w:rPr>
        <w:tab/>
      </w:r>
      <w:r>
        <w:rPr>
          <w:color w:val="auto"/>
          <w:highlight w:val="none"/>
        </w:rPr>
        <w:fldChar w:fldCharType="begin"/>
      </w:r>
      <w:r>
        <w:rPr>
          <w:color w:val="auto"/>
          <w:highlight w:val="none"/>
        </w:rPr>
        <w:instrText xml:space="preserve"> PAGEREF _Toc23684 \h </w:instrText>
      </w:r>
      <w:r>
        <w:rPr>
          <w:color w:val="auto"/>
          <w:highlight w:val="none"/>
        </w:rPr>
        <w:fldChar w:fldCharType="separate"/>
      </w:r>
      <w:r>
        <w:rPr>
          <w:color w:val="auto"/>
          <w:highlight w:val="none"/>
        </w:rPr>
        <w:t>246</w:t>
      </w:r>
      <w:r>
        <w:rPr>
          <w:color w:val="auto"/>
          <w:highlight w:val="none"/>
        </w:rPr>
        <w:fldChar w:fldCharType="end"/>
      </w:r>
      <w:r>
        <w:rPr>
          <w:rFonts w:hint="eastAsia"/>
          <w:bCs/>
          <w:color w:val="auto"/>
          <w:szCs w:val="36"/>
          <w:highlight w:val="none"/>
          <w:lang w:val="en-US" w:eastAsia="zh-CN"/>
        </w:rPr>
        <w:fldChar w:fldCharType="end"/>
      </w:r>
    </w:p>
    <w:p w14:paraId="3A9CED80">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_Toc16763 </w:instrText>
      </w:r>
      <w:r>
        <w:rPr>
          <w:rFonts w:hint="eastAsia"/>
          <w:bCs/>
          <w:color w:val="auto"/>
          <w:szCs w:val="36"/>
          <w:highlight w:val="none"/>
          <w:lang w:val="en-US" w:eastAsia="zh-CN"/>
        </w:rPr>
        <w:fldChar w:fldCharType="separate"/>
      </w:r>
      <w:r>
        <w:rPr>
          <w:rFonts w:hint="default"/>
          <w:color w:val="auto"/>
          <w:highlight w:val="none"/>
        </w:rPr>
        <w:t>6.1施工期环境保护措施及其可行性论证</w:t>
      </w:r>
      <w:r>
        <w:rPr>
          <w:color w:val="auto"/>
          <w:highlight w:val="none"/>
        </w:rPr>
        <w:tab/>
      </w:r>
      <w:r>
        <w:rPr>
          <w:color w:val="auto"/>
          <w:highlight w:val="none"/>
        </w:rPr>
        <w:fldChar w:fldCharType="begin"/>
      </w:r>
      <w:r>
        <w:rPr>
          <w:color w:val="auto"/>
          <w:highlight w:val="none"/>
        </w:rPr>
        <w:instrText xml:space="preserve"> PAGEREF _Toc16763 \h </w:instrText>
      </w:r>
      <w:r>
        <w:rPr>
          <w:color w:val="auto"/>
          <w:highlight w:val="none"/>
        </w:rPr>
        <w:fldChar w:fldCharType="separate"/>
      </w:r>
      <w:r>
        <w:rPr>
          <w:color w:val="auto"/>
          <w:highlight w:val="none"/>
        </w:rPr>
        <w:t>246</w:t>
      </w:r>
      <w:r>
        <w:rPr>
          <w:color w:val="auto"/>
          <w:highlight w:val="none"/>
        </w:rPr>
        <w:fldChar w:fldCharType="end"/>
      </w:r>
      <w:r>
        <w:rPr>
          <w:rFonts w:hint="eastAsia"/>
          <w:bCs/>
          <w:color w:val="auto"/>
          <w:szCs w:val="36"/>
          <w:highlight w:val="none"/>
          <w:lang w:val="en-US" w:eastAsia="zh-CN"/>
        </w:rPr>
        <w:fldChar w:fldCharType="end"/>
      </w:r>
    </w:p>
    <w:p w14:paraId="37E7B614">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_Toc10589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6.2运营期环境保护措施及其可行性论证</w:t>
      </w:r>
      <w:r>
        <w:rPr>
          <w:color w:val="auto"/>
          <w:highlight w:val="none"/>
        </w:rPr>
        <w:tab/>
      </w:r>
      <w:r>
        <w:rPr>
          <w:color w:val="auto"/>
          <w:highlight w:val="none"/>
        </w:rPr>
        <w:fldChar w:fldCharType="begin"/>
      </w:r>
      <w:r>
        <w:rPr>
          <w:color w:val="auto"/>
          <w:highlight w:val="none"/>
        </w:rPr>
        <w:instrText xml:space="preserve"> PAGEREF _Toc10589 \h </w:instrText>
      </w:r>
      <w:r>
        <w:rPr>
          <w:color w:val="auto"/>
          <w:highlight w:val="none"/>
        </w:rPr>
        <w:fldChar w:fldCharType="separate"/>
      </w:r>
      <w:r>
        <w:rPr>
          <w:color w:val="auto"/>
          <w:highlight w:val="none"/>
        </w:rPr>
        <w:t>247</w:t>
      </w:r>
      <w:r>
        <w:rPr>
          <w:color w:val="auto"/>
          <w:highlight w:val="none"/>
        </w:rPr>
        <w:fldChar w:fldCharType="end"/>
      </w:r>
      <w:r>
        <w:rPr>
          <w:rFonts w:hint="eastAsia"/>
          <w:bCs/>
          <w:color w:val="auto"/>
          <w:szCs w:val="36"/>
          <w:highlight w:val="none"/>
          <w:lang w:val="en-US" w:eastAsia="zh-CN"/>
        </w:rPr>
        <w:fldChar w:fldCharType="end"/>
      </w:r>
    </w:p>
    <w:p w14:paraId="037A97FD">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_Toc18453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7环境影响经济损益分析</w:t>
      </w:r>
      <w:r>
        <w:rPr>
          <w:color w:val="auto"/>
          <w:highlight w:val="none"/>
        </w:rPr>
        <w:tab/>
      </w:r>
      <w:r>
        <w:rPr>
          <w:color w:val="auto"/>
          <w:highlight w:val="none"/>
        </w:rPr>
        <w:fldChar w:fldCharType="begin"/>
      </w:r>
      <w:r>
        <w:rPr>
          <w:color w:val="auto"/>
          <w:highlight w:val="none"/>
        </w:rPr>
        <w:instrText xml:space="preserve"> PAGEREF _Toc18453 \h </w:instrText>
      </w:r>
      <w:r>
        <w:rPr>
          <w:color w:val="auto"/>
          <w:highlight w:val="none"/>
        </w:rPr>
        <w:fldChar w:fldCharType="separate"/>
      </w:r>
      <w:r>
        <w:rPr>
          <w:color w:val="auto"/>
          <w:highlight w:val="none"/>
        </w:rPr>
        <w:t>271</w:t>
      </w:r>
      <w:r>
        <w:rPr>
          <w:color w:val="auto"/>
          <w:highlight w:val="none"/>
        </w:rPr>
        <w:fldChar w:fldCharType="end"/>
      </w:r>
      <w:r>
        <w:rPr>
          <w:rFonts w:hint="eastAsia"/>
          <w:bCs/>
          <w:color w:val="auto"/>
          <w:szCs w:val="36"/>
          <w:highlight w:val="none"/>
          <w:lang w:val="en-US" w:eastAsia="zh-CN"/>
        </w:rPr>
        <w:fldChar w:fldCharType="end"/>
      </w:r>
    </w:p>
    <w:p w14:paraId="29AD53C3">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_Toc22730 </w:instrText>
      </w:r>
      <w:r>
        <w:rPr>
          <w:rFonts w:hint="eastAsia"/>
          <w:bCs/>
          <w:color w:val="auto"/>
          <w:szCs w:val="36"/>
          <w:highlight w:val="none"/>
          <w:lang w:val="en-US" w:eastAsia="zh-CN"/>
        </w:rPr>
        <w:fldChar w:fldCharType="separate"/>
      </w:r>
      <w:r>
        <w:rPr>
          <w:rFonts w:hint="default" w:ascii="Times New Roman" w:hAnsi="Times New Roman" w:cs="Times New Roman" w:eastAsiaTheme="minorEastAsia"/>
          <w:color w:val="auto"/>
          <w:highlight w:val="none"/>
        </w:rPr>
        <w:t>7.1经济效益分析</w:t>
      </w:r>
      <w:r>
        <w:rPr>
          <w:color w:val="auto"/>
          <w:highlight w:val="none"/>
        </w:rPr>
        <w:tab/>
      </w:r>
      <w:r>
        <w:rPr>
          <w:color w:val="auto"/>
          <w:highlight w:val="none"/>
        </w:rPr>
        <w:fldChar w:fldCharType="begin"/>
      </w:r>
      <w:r>
        <w:rPr>
          <w:color w:val="auto"/>
          <w:highlight w:val="none"/>
        </w:rPr>
        <w:instrText xml:space="preserve"> PAGEREF _Toc22730 \h </w:instrText>
      </w:r>
      <w:r>
        <w:rPr>
          <w:color w:val="auto"/>
          <w:highlight w:val="none"/>
        </w:rPr>
        <w:fldChar w:fldCharType="separate"/>
      </w:r>
      <w:r>
        <w:rPr>
          <w:color w:val="auto"/>
          <w:highlight w:val="none"/>
        </w:rPr>
        <w:t>271</w:t>
      </w:r>
      <w:r>
        <w:rPr>
          <w:color w:val="auto"/>
          <w:highlight w:val="none"/>
        </w:rPr>
        <w:fldChar w:fldCharType="end"/>
      </w:r>
      <w:r>
        <w:rPr>
          <w:rFonts w:hint="eastAsia"/>
          <w:bCs/>
          <w:color w:val="auto"/>
          <w:szCs w:val="36"/>
          <w:highlight w:val="none"/>
          <w:lang w:val="en-US" w:eastAsia="zh-CN"/>
        </w:rPr>
        <w:fldChar w:fldCharType="end"/>
      </w:r>
    </w:p>
    <w:p w14:paraId="64AB7DAE">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_Toc20542 </w:instrText>
      </w:r>
      <w:r>
        <w:rPr>
          <w:rFonts w:hint="eastAsia"/>
          <w:bCs/>
          <w:color w:val="auto"/>
          <w:szCs w:val="36"/>
          <w:highlight w:val="none"/>
          <w:lang w:val="en-US" w:eastAsia="zh-CN"/>
        </w:rPr>
        <w:fldChar w:fldCharType="separate"/>
      </w:r>
      <w:r>
        <w:rPr>
          <w:rFonts w:hint="default" w:ascii="Times New Roman" w:hAnsi="Times New Roman" w:cs="Times New Roman" w:eastAsiaTheme="minorEastAsia"/>
          <w:color w:val="auto"/>
          <w:highlight w:val="none"/>
        </w:rPr>
        <w:t>7.2社会效益分析</w:t>
      </w:r>
      <w:r>
        <w:rPr>
          <w:color w:val="auto"/>
          <w:highlight w:val="none"/>
        </w:rPr>
        <w:tab/>
      </w:r>
      <w:r>
        <w:rPr>
          <w:color w:val="auto"/>
          <w:highlight w:val="none"/>
        </w:rPr>
        <w:fldChar w:fldCharType="begin"/>
      </w:r>
      <w:r>
        <w:rPr>
          <w:color w:val="auto"/>
          <w:highlight w:val="none"/>
        </w:rPr>
        <w:instrText xml:space="preserve"> PAGEREF _Toc20542 \h </w:instrText>
      </w:r>
      <w:r>
        <w:rPr>
          <w:color w:val="auto"/>
          <w:highlight w:val="none"/>
        </w:rPr>
        <w:fldChar w:fldCharType="separate"/>
      </w:r>
      <w:r>
        <w:rPr>
          <w:color w:val="auto"/>
          <w:highlight w:val="none"/>
        </w:rPr>
        <w:t>271</w:t>
      </w:r>
      <w:r>
        <w:rPr>
          <w:color w:val="auto"/>
          <w:highlight w:val="none"/>
        </w:rPr>
        <w:fldChar w:fldCharType="end"/>
      </w:r>
      <w:r>
        <w:rPr>
          <w:rFonts w:hint="eastAsia"/>
          <w:bCs/>
          <w:color w:val="auto"/>
          <w:szCs w:val="36"/>
          <w:highlight w:val="none"/>
          <w:lang w:val="en-US" w:eastAsia="zh-CN"/>
        </w:rPr>
        <w:fldChar w:fldCharType="end"/>
      </w:r>
    </w:p>
    <w:p w14:paraId="67273DB9">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_Toc23700 </w:instrText>
      </w:r>
      <w:r>
        <w:rPr>
          <w:rFonts w:hint="eastAsia"/>
          <w:bCs/>
          <w:color w:val="auto"/>
          <w:szCs w:val="36"/>
          <w:highlight w:val="none"/>
          <w:lang w:val="en-US" w:eastAsia="zh-CN"/>
        </w:rPr>
        <w:fldChar w:fldCharType="separate"/>
      </w:r>
      <w:r>
        <w:rPr>
          <w:rFonts w:hint="default" w:ascii="Times New Roman" w:hAnsi="Times New Roman" w:cs="Times New Roman" w:eastAsiaTheme="minorEastAsia"/>
          <w:color w:val="auto"/>
          <w:highlight w:val="none"/>
        </w:rPr>
        <w:t>7.3环境效益分析</w:t>
      </w:r>
      <w:r>
        <w:rPr>
          <w:color w:val="auto"/>
          <w:highlight w:val="none"/>
        </w:rPr>
        <w:tab/>
      </w:r>
      <w:r>
        <w:rPr>
          <w:color w:val="auto"/>
          <w:highlight w:val="none"/>
        </w:rPr>
        <w:fldChar w:fldCharType="begin"/>
      </w:r>
      <w:r>
        <w:rPr>
          <w:color w:val="auto"/>
          <w:highlight w:val="none"/>
        </w:rPr>
        <w:instrText xml:space="preserve"> PAGEREF _Toc23700 \h </w:instrText>
      </w:r>
      <w:r>
        <w:rPr>
          <w:color w:val="auto"/>
          <w:highlight w:val="none"/>
        </w:rPr>
        <w:fldChar w:fldCharType="separate"/>
      </w:r>
      <w:r>
        <w:rPr>
          <w:color w:val="auto"/>
          <w:highlight w:val="none"/>
        </w:rPr>
        <w:t>272</w:t>
      </w:r>
      <w:r>
        <w:rPr>
          <w:color w:val="auto"/>
          <w:highlight w:val="none"/>
        </w:rPr>
        <w:fldChar w:fldCharType="end"/>
      </w:r>
      <w:r>
        <w:rPr>
          <w:rFonts w:hint="eastAsia"/>
          <w:bCs/>
          <w:color w:val="auto"/>
          <w:szCs w:val="36"/>
          <w:highlight w:val="none"/>
          <w:lang w:val="en-US" w:eastAsia="zh-CN"/>
        </w:rPr>
        <w:fldChar w:fldCharType="end"/>
      </w:r>
    </w:p>
    <w:p w14:paraId="1662516D">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_Toc20785 </w:instrText>
      </w:r>
      <w:r>
        <w:rPr>
          <w:rFonts w:hint="eastAsia"/>
          <w:bCs/>
          <w:color w:val="auto"/>
          <w:szCs w:val="36"/>
          <w:highlight w:val="none"/>
          <w:lang w:val="en-US" w:eastAsia="zh-CN"/>
        </w:rPr>
        <w:fldChar w:fldCharType="separate"/>
      </w:r>
      <w:r>
        <w:rPr>
          <w:rFonts w:hint="default" w:ascii="Times New Roman" w:hAnsi="Times New Roman" w:cs="Times New Roman" w:eastAsiaTheme="minorEastAsia"/>
          <w:color w:val="auto"/>
          <w:highlight w:val="none"/>
        </w:rPr>
        <w:t>7.4结论</w:t>
      </w:r>
      <w:r>
        <w:rPr>
          <w:color w:val="auto"/>
          <w:highlight w:val="none"/>
        </w:rPr>
        <w:tab/>
      </w:r>
      <w:r>
        <w:rPr>
          <w:color w:val="auto"/>
          <w:highlight w:val="none"/>
        </w:rPr>
        <w:fldChar w:fldCharType="begin"/>
      </w:r>
      <w:r>
        <w:rPr>
          <w:color w:val="auto"/>
          <w:highlight w:val="none"/>
        </w:rPr>
        <w:instrText xml:space="preserve"> PAGEREF _Toc20785 \h </w:instrText>
      </w:r>
      <w:r>
        <w:rPr>
          <w:color w:val="auto"/>
          <w:highlight w:val="none"/>
        </w:rPr>
        <w:fldChar w:fldCharType="separate"/>
      </w:r>
      <w:r>
        <w:rPr>
          <w:color w:val="auto"/>
          <w:highlight w:val="none"/>
        </w:rPr>
        <w:t>273</w:t>
      </w:r>
      <w:r>
        <w:rPr>
          <w:color w:val="auto"/>
          <w:highlight w:val="none"/>
        </w:rPr>
        <w:fldChar w:fldCharType="end"/>
      </w:r>
      <w:r>
        <w:rPr>
          <w:rFonts w:hint="eastAsia"/>
          <w:bCs/>
          <w:color w:val="auto"/>
          <w:szCs w:val="36"/>
          <w:highlight w:val="none"/>
          <w:lang w:val="en-US" w:eastAsia="zh-CN"/>
        </w:rPr>
        <w:fldChar w:fldCharType="end"/>
      </w:r>
    </w:p>
    <w:p w14:paraId="633967E2">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_Toc4463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8环境管理与监测计划</w:t>
      </w:r>
      <w:r>
        <w:rPr>
          <w:color w:val="auto"/>
          <w:highlight w:val="none"/>
        </w:rPr>
        <w:tab/>
      </w:r>
      <w:r>
        <w:rPr>
          <w:color w:val="auto"/>
          <w:highlight w:val="none"/>
        </w:rPr>
        <w:fldChar w:fldCharType="begin"/>
      </w:r>
      <w:r>
        <w:rPr>
          <w:color w:val="auto"/>
          <w:highlight w:val="none"/>
        </w:rPr>
        <w:instrText xml:space="preserve"> PAGEREF _Toc4463 \h </w:instrText>
      </w:r>
      <w:r>
        <w:rPr>
          <w:color w:val="auto"/>
          <w:highlight w:val="none"/>
        </w:rPr>
        <w:fldChar w:fldCharType="separate"/>
      </w:r>
      <w:r>
        <w:rPr>
          <w:color w:val="auto"/>
          <w:highlight w:val="none"/>
        </w:rPr>
        <w:t>274</w:t>
      </w:r>
      <w:r>
        <w:rPr>
          <w:color w:val="auto"/>
          <w:highlight w:val="none"/>
        </w:rPr>
        <w:fldChar w:fldCharType="end"/>
      </w:r>
      <w:r>
        <w:rPr>
          <w:rFonts w:hint="eastAsia"/>
          <w:bCs/>
          <w:color w:val="auto"/>
          <w:szCs w:val="36"/>
          <w:highlight w:val="none"/>
          <w:lang w:val="en-US" w:eastAsia="zh-CN"/>
        </w:rPr>
        <w:fldChar w:fldCharType="end"/>
      </w:r>
    </w:p>
    <w:p w14:paraId="404E4A7B">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_Toc30117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8.1建设项目环境管理</w:t>
      </w:r>
      <w:r>
        <w:rPr>
          <w:color w:val="auto"/>
          <w:highlight w:val="none"/>
        </w:rPr>
        <w:tab/>
      </w:r>
      <w:r>
        <w:rPr>
          <w:color w:val="auto"/>
          <w:highlight w:val="none"/>
        </w:rPr>
        <w:fldChar w:fldCharType="begin"/>
      </w:r>
      <w:r>
        <w:rPr>
          <w:color w:val="auto"/>
          <w:highlight w:val="none"/>
        </w:rPr>
        <w:instrText xml:space="preserve"> PAGEREF _Toc30117 \h </w:instrText>
      </w:r>
      <w:r>
        <w:rPr>
          <w:color w:val="auto"/>
          <w:highlight w:val="none"/>
        </w:rPr>
        <w:fldChar w:fldCharType="separate"/>
      </w:r>
      <w:r>
        <w:rPr>
          <w:color w:val="auto"/>
          <w:highlight w:val="none"/>
        </w:rPr>
        <w:t>274</w:t>
      </w:r>
      <w:r>
        <w:rPr>
          <w:color w:val="auto"/>
          <w:highlight w:val="none"/>
        </w:rPr>
        <w:fldChar w:fldCharType="end"/>
      </w:r>
      <w:r>
        <w:rPr>
          <w:rFonts w:hint="eastAsia"/>
          <w:bCs/>
          <w:color w:val="auto"/>
          <w:szCs w:val="36"/>
          <w:highlight w:val="none"/>
          <w:lang w:val="en-US" w:eastAsia="zh-CN"/>
        </w:rPr>
        <w:fldChar w:fldCharType="end"/>
      </w:r>
    </w:p>
    <w:p w14:paraId="463F573C">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_Toc7337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8.</w:t>
      </w:r>
      <w:r>
        <w:rPr>
          <w:rFonts w:hint="eastAsia" w:cs="Times New Roman"/>
          <w:color w:val="auto"/>
          <w:highlight w:val="none"/>
          <w:lang w:val="en-US" w:eastAsia="zh-CN"/>
        </w:rPr>
        <w:t>2</w:t>
      </w:r>
      <w:r>
        <w:rPr>
          <w:rFonts w:hint="default" w:ascii="Times New Roman" w:hAnsi="Times New Roman" w:cs="Times New Roman"/>
          <w:color w:val="auto"/>
          <w:highlight w:val="none"/>
        </w:rPr>
        <w:t>环境监测计划</w:t>
      </w:r>
      <w:r>
        <w:rPr>
          <w:color w:val="auto"/>
          <w:highlight w:val="none"/>
        </w:rPr>
        <w:tab/>
      </w:r>
      <w:r>
        <w:rPr>
          <w:color w:val="auto"/>
          <w:highlight w:val="none"/>
        </w:rPr>
        <w:fldChar w:fldCharType="begin"/>
      </w:r>
      <w:r>
        <w:rPr>
          <w:color w:val="auto"/>
          <w:highlight w:val="none"/>
        </w:rPr>
        <w:instrText xml:space="preserve"> PAGEREF _Toc7337 \h </w:instrText>
      </w:r>
      <w:r>
        <w:rPr>
          <w:color w:val="auto"/>
          <w:highlight w:val="none"/>
        </w:rPr>
        <w:fldChar w:fldCharType="separate"/>
      </w:r>
      <w:r>
        <w:rPr>
          <w:color w:val="auto"/>
          <w:highlight w:val="none"/>
        </w:rPr>
        <w:t>281</w:t>
      </w:r>
      <w:r>
        <w:rPr>
          <w:color w:val="auto"/>
          <w:highlight w:val="none"/>
        </w:rPr>
        <w:fldChar w:fldCharType="end"/>
      </w:r>
      <w:r>
        <w:rPr>
          <w:rFonts w:hint="eastAsia"/>
          <w:bCs/>
          <w:color w:val="auto"/>
          <w:szCs w:val="36"/>
          <w:highlight w:val="none"/>
          <w:lang w:val="en-US" w:eastAsia="zh-CN"/>
        </w:rPr>
        <w:fldChar w:fldCharType="end"/>
      </w:r>
    </w:p>
    <w:p w14:paraId="24F55DD6">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_Toc9560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8.</w:t>
      </w:r>
      <w:r>
        <w:rPr>
          <w:rFonts w:hint="eastAsia" w:cs="Times New Roman"/>
          <w:color w:val="auto"/>
          <w:highlight w:val="none"/>
          <w:lang w:val="en-US" w:eastAsia="zh-CN"/>
        </w:rPr>
        <w:t>3</w:t>
      </w:r>
      <w:r>
        <w:rPr>
          <w:rFonts w:hint="default" w:ascii="Times New Roman" w:hAnsi="Times New Roman" w:cs="Times New Roman"/>
          <w:color w:val="auto"/>
          <w:highlight w:val="none"/>
        </w:rPr>
        <w:t>环境管理措施及环保行动计划</w:t>
      </w:r>
      <w:r>
        <w:rPr>
          <w:color w:val="auto"/>
          <w:highlight w:val="none"/>
        </w:rPr>
        <w:tab/>
      </w:r>
      <w:r>
        <w:rPr>
          <w:color w:val="auto"/>
          <w:highlight w:val="none"/>
        </w:rPr>
        <w:fldChar w:fldCharType="begin"/>
      </w:r>
      <w:r>
        <w:rPr>
          <w:color w:val="auto"/>
          <w:highlight w:val="none"/>
        </w:rPr>
        <w:instrText xml:space="preserve"> PAGEREF _Toc9560 \h </w:instrText>
      </w:r>
      <w:r>
        <w:rPr>
          <w:color w:val="auto"/>
          <w:highlight w:val="none"/>
        </w:rPr>
        <w:fldChar w:fldCharType="separate"/>
      </w:r>
      <w:r>
        <w:rPr>
          <w:color w:val="auto"/>
          <w:highlight w:val="none"/>
        </w:rPr>
        <w:t>282</w:t>
      </w:r>
      <w:r>
        <w:rPr>
          <w:color w:val="auto"/>
          <w:highlight w:val="none"/>
        </w:rPr>
        <w:fldChar w:fldCharType="end"/>
      </w:r>
      <w:r>
        <w:rPr>
          <w:rFonts w:hint="eastAsia"/>
          <w:bCs/>
          <w:color w:val="auto"/>
          <w:szCs w:val="36"/>
          <w:highlight w:val="none"/>
          <w:lang w:val="en-US" w:eastAsia="zh-CN"/>
        </w:rPr>
        <w:fldChar w:fldCharType="end"/>
      </w:r>
    </w:p>
    <w:p w14:paraId="74D43093">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_Toc26628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8.</w:t>
      </w:r>
      <w:r>
        <w:rPr>
          <w:rFonts w:hint="eastAsia" w:cs="Times New Roman"/>
          <w:color w:val="auto"/>
          <w:highlight w:val="none"/>
          <w:lang w:val="en-US" w:eastAsia="zh-CN"/>
        </w:rPr>
        <w:t>4</w:t>
      </w:r>
      <w:r>
        <w:rPr>
          <w:rFonts w:hint="default" w:ascii="Times New Roman" w:hAnsi="Times New Roman" w:cs="Times New Roman"/>
          <w:color w:val="auto"/>
          <w:highlight w:val="none"/>
        </w:rPr>
        <w:t>环境保护竣工验收计划</w:t>
      </w:r>
      <w:r>
        <w:rPr>
          <w:color w:val="auto"/>
          <w:highlight w:val="none"/>
        </w:rPr>
        <w:tab/>
      </w:r>
      <w:r>
        <w:rPr>
          <w:color w:val="auto"/>
          <w:highlight w:val="none"/>
        </w:rPr>
        <w:fldChar w:fldCharType="begin"/>
      </w:r>
      <w:r>
        <w:rPr>
          <w:color w:val="auto"/>
          <w:highlight w:val="none"/>
        </w:rPr>
        <w:instrText xml:space="preserve"> PAGEREF _Toc26628 \h </w:instrText>
      </w:r>
      <w:r>
        <w:rPr>
          <w:color w:val="auto"/>
          <w:highlight w:val="none"/>
        </w:rPr>
        <w:fldChar w:fldCharType="separate"/>
      </w:r>
      <w:r>
        <w:rPr>
          <w:color w:val="auto"/>
          <w:highlight w:val="none"/>
        </w:rPr>
        <w:t>283</w:t>
      </w:r>
      <w:r>
        <w:rPr>
          <w:color w:val="auto"/>
          <w:highlight w:val="none"/>
        </w:rPr>
        <w:fldChar w:fldCharType="end"/>
      </w:r>
      <w:r>
        <w:rPr>
          <w:rFonts w:hint="eastAsia"/>
          <w:bCs/>
          <w:color w:val="auto"/>
          <w:szCs w:val="36"/>
          <w:highlight w:val="none"/>
          <w:lang w:val="en-US" w:eastAsia="zh-CN"/>
        </w:rPr>
        <w:fldChar w:fldCharType="end"/>
      </w:r>
    </w:p>
    <w:p w14:paraId="66748CB9">
      <w:pPr>
        <w:pStyle w:val="10"/>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_Toc18436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9环境影响评价结论</w:t>
      </w:r>
      <w:r>
        <w:rPr>
          <w:color w:val="auto"/>
          <w:highlight w:val="none"/>
        </w:rPr>
        <w:tab/>
      </w:r>
      <w:r>
        <w:rPr>
          <w:color w:val="auto"/>
          <w:highlight w:val="none"/>
        </w:rPr>
        <w:fldChar w:fldCharType="begin"/>
      </w:r>
      <w:r>
        <w:rPr>
          <w:color w:val="auto"/>
          <w:highlight w:val="none"/>
        </w:rPr>
        <w:instrText xml:space="preserve"> PAGEREF _Toc18436 \h </w:instrText>
      </w:r>
      <w:r>
        <w:rPr>
          <w:color w:val="auto"/>
          <w:highlight w:val="none"/>
        </w:rPr>
        <w:fldChar w:fldCharType="separate"/>
      </w:r>
      <w:r>
        <w:rPr>
          <w:color w:val="auto"/>
          <w:highlight w:val="none"/>
        </w:rPr>
        <w:t>286</w:t>
      </w:r>
      <w:r>
        <w:rPr>
          <w:color w:val="auto"/>
          <w:highlight w:val="none"/>
        </w:rPr>
        <w:fldChar w:fldCharType="end"/>
      </w:r>
      <w:r>
        <w:rPr>
          <w:rFonts w:hint="eastAsia"/>
          <w:bCs/>
          <w:color w:val="auto"/>
          <w:szCs w:val="36"/>
          <w:highlight w:val="none"/>
          <w:lang w:val="en-US" w:eastAsia="zh-CN"/>
        </w:rPr>
        <w:fldChar w:fldCharType="end"/>
      </w:r>
    </w:p>
    <w:p w14:paraId="7700CDFC">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_Toc13676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9.1项目概况</w:t>
      </w:r>
      <w:r>
        <w:rPr>
          <w:color w:val="auto"/>
          <w:highlight w:val="none"/>
        </w:rPr>
        <w:tab/>
      </w:r>
      <w:r>
        <w:rPr>
          <w:color w:val="auto"/>
          <w:highlight w:val="none"/>
        </w:rPr>
        <w:fldChar w:fldCharType="begin"/>
      </w:r>
      <w:r>
        <w:rPr>
          <w:color w:val="auto"/>
          <w:highlight w:val="none"/>
        </w:rPr>
        <w:instrText xml:space="preserve"> PAGEREF _Toc13676 \h </w:instrText>
      </w:r>
      <w:r>
        <w:rPr>
          <w:color w:val="auto"/>
          <w:highlight w:val="none"/>
        </w:rPr>
        <w:fldChar w:fldCharType="separate"/>
      </w:r>
      <w:r>
        <w:rPr>
          <w:color w:val="auto"/>
          <w:highlight w:val="none"/>
        </w:rPr>
        <w:t>286</w:t>
      </w:r>
      <w:r>
        <w:rPr>
          <w:color w:val="auto"/>
          <w:highlight w:val="none"/>
        </w:rPr>
        <w:fldChar w:fldCharType="end"/>
      </w:r>
      <w:r>
        <w:rPr>
          <w:rFonts w:hint="eastAsia"/>
          <w:bCs/>
          <w:color w:val="auto"/>
          <w:szCs w:val="36"/>
          <w:highlight w:val="none"/>
          <w:lang w:val="en-US" w:eastAsia="zh-CN"/>
        </w:rPr>
        <w:fldChar w:fldCharType="end"/>
      </w:r>
    </w:p>
    <w:p w14:paraId="1AF7A297">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_Toc29867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9.2符合性分析</w:t>
      </w:r>
      <w:r>
        <w:rPr>
          <w:color w:val="auto"/>
          <w:highlight w:val="none"/>
        </w:rPr>
        <w:tab/>
      </w:r>
      <w:r>
        <w:rPr>
          <w:color w:val="auto"/>
          <w:highlight w:val="none"/>
        </w:rPr>
        <w:fldChar w:fldCharType="begin"/>
      </w:r>
      <w:r>
        <w:rPr>
          <w:color w:val="auto"/>
          <w:highlight w:val="none"/>
        </w:rPr>
        <w:instrText xml:space="preserve"> PAGEREF _Toc29867 \h </w:instrText>
      </w:r>
      <w:r>
        <w:rPr>
          <w:color w:val="auto"/>
          <w:highlight w:val="none"/>
        </w:rPr>
        <w:fldChar w:fldCharType="separate"/>
      </w:r>
      <w:r>
        <w:rPr>
          <w:color w:val="auto"/>
          <w:highlight w:val="none"/>
        </w:rPr>
        <w:t>286</w:t>
      </w:r>
      <w:r>
        <w:rPr>
          <w:color w:val="auto"/>
          <w:highlight w:val="none"/>
        </w:rPr>
        <w:fldChar w:fldCharType="end"/>
      </w:r>
      <w:r>
        <w:rPr>
          <w:rFonts w:hint="eastAsia"/>
          <w:bCs/>
          <w:color w:val="auto"/>
          <w:szCs w:val="36"/>
          <w:highlight w:val="none"/>
          <w:lang w:val="en-US" w:eastAsia="zh-CN"/>
        </w:rPr>
        <w:fldChar w:fldCharType="end"/>
      </w:r>
    </w:p>
    <w:p w14:paraId="7C27351F">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_Toc20855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9.3环境质量现状</w:t>
      </w:r>
      <w:r>
        <w:rPr>
          <w:color w:val="auto"/>
          <w:highlight w:val="none"/>
        </w:rPr>
        <w:tab/>
      </w:r>
      <w:r>
        <w:rPr>
          <w:color w:val="auto"/>
          <w:highlight w:val="none"/>
        </w:rPr>
        <w:fldChar w:fldCharType="begin"/>
      </w:r>
      <w:r>
        <w:rPr>
          <w:color w:val="auto"/>
          <w:highlight w:val="none"/>
        </w:rPr>
        <w:instrText xml:space="preserve"> PAGEREF _Toc20855 \h </w:instrText>
      </w:r>
      <w:r>
        <w:rPr>
          <w:color w:val="auto"/>
          <w:highlight w:val="none"/>
        </w:rPr>
        <w:fldChar w:fldCharType="separate"/>
      </w:r>
      <w:r>
        <w:rPr>
          <w:color w:val="auto"/>
          <w:highlight w:val="none"/>
        </w:rPr>
        <w:t>286</w:t>
      </w:r>
      <w:r>
        <w:rPr>
          <w:color w:val="auto"/>
          <w:highlight w:val="none"/>
        </w:rPr>
        <w:fldChar w:fldCharType="end"/>
      </w:r>
      <w:r>
        <w:rPr>
          <w:rFonts w:hint="eastAsia"/>
          <w:bCs/>
          <w:color w:val="auto"/>
          <w:szCs w:val="36"/>
          <w:highlight w:val="none"/>
          <w:lang w:val="en-US" w:eastAsia="zh-CN"/>
        </w:rPr>
        <w:fldChar w:fldCharType="end"/>
      </w:r>
    </w:p>
    <w:p w14:paraId="357AA1FD">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_Toc6310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9.4环境影响评价</w:t>
      </w:r>
      <w:r>
        <w:rPr>
          <w:color w:val="auto"/>
          <w:highlight w:val="none"/>
        </w:rPr>
        <w:tab/>
      </w:r>
      <w:r>
        <w:rPr>
          <w:color w:val="auto"/>
          <w:highlight w:val="none"/>
        </w:rPr>
        <w:fldChar w:fldCharType="begin"/>
      </w:r>
      <w:r>
        <w:rPr>
          <w:color w:val="auto"/>
          <w:highlight w:val="none"/>
        </w:rPr>
        <w:instrText xml:space="preserve"> PAGEREF _Toc6310 \h </w:instrText>
      </w:r>
      <w:r>
        <w:rPr>
          <w:color w:val="auto"/>
          <w:highlight w:val="none"/>
        </w:rPr>
        <w:fldChar w:fldCharType="separate"/>
      </w:r>
      <w:r>
        <w:rPr>
          <w:color w:val="auto"/>
          <w:highlight w:val="none"/>
        </w:rPr>
        <w:t>287</w:t>
      </w:r>
      <w:r>
        <w:rPr>
          <w:color w:val="auto"/>
          <w:highlight w:val="none"/>
        </w:rPr>
        <w:fldChar w:fldCharType="end"/>
      </w:r>
      <w:r>
        <w:rPr>
          <w:rFonts w:hint="eastAsia"/>
          <w:bCs/>
          <w:color w:val="auto"/>
          <w:szCs w:val="36"/>
          <w:highlight w:val="none"/>
          <w:lang w:val="en-US" w:eastAsia="zh-CN"/>
        </w:rPr>
        <w:fldChar w:fldCharType="end"/>
      </w:r>
    </w:p>
    <w:p w14:paraId="2D60B106">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_Toc25296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9.5总量控制</w:t>
      </w:r>
      <w:r>
        <w:rPr>
          <w:color w:val="auto"/>
          <w:highlight w:val="none"/>
        </w:rPr>
        <w:tab/>
      </w:r>
      <w:r>
        <w:rPr>
          <w:color w:val="auto"/>
          <w:highlight w:val="none"/>
        </w:rPr>
        <w:fldChar w:fldCharType="begin"/>
      </w:r>
      <w:r>
        <w:rPr>
          <w:color w:val="auto"/>
          <w:highlight w:val="none"/>
        </w:rPr>
        <w:instrText xml:space="preserve"> PAGEREF _Toc25296 \h </w:instrText>
      </w:r>
      <w:r>
        <w:rPr>
          <w:color w:val="auto"/>
          <w:highlight w:val="none"/>
        </w:rPr>
        <w:fldChar w:fldCharType="separate"/>
      </w:r>
      <w:r>
        <w:rPr>
          <w:color w:val="auto"/>
          <w:highlight w:val="none"/>
        </w:rPr>
        <w:t>288</w:t>
      </w:r>
      <w:r>
        <w:rPr>
          <w:color w:val="auto"/>
          <w:highlight w:val="none"/>
        </w:rPr>
        <w:fldChar w:fldCharType="end"/>
      </w:r>
      <w:r>
        <w:rPr>
          <w:rFonts w:hint="eastAsia"/>
          <w:bCs/>
          <w:color w:val="auto"/>
          <w:szCs w:val="36"/>
          <w:highlight w:val="none"/>
          <w:lang w:val="en-US" w:eastAsia="zh-CN"/>
        </w:rPr>
        <w:fldChar w:fldCharType="end"/>
      </w:r>
    </w:p>
    <w:p w14:paraId="756EE8A7">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_Toc15329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lang w:eastAsia="zh-TW"/>
        </w:rPr>
        <w:t>9.6</w:t>
      </w:r>
      <w:r>
        <w:rPr>
          <w:rFonts w:hint="default" w:ascii="Times New Roman" w:hAnsi="Times New Roman" w:cs="Times New Roman"/>
          <w:bCs w:val="0"/>
          <w:color w:val="auto"/>
          <w:highlight w:val="none"/>
          <w:lang w:eastAsia="zh-TW"/>
        </w:rPr>
        <w:t>公众参与</w:t>
      </w:r>
      <w:r>
        <w:rPr>
          <w:color w:val="auto"/>
          <w:highlight w:val="none"/>
        </w:rPr>
        <w:tab/>
      </w:r>
      <w:r>
        <w:rPr>
          <w:color w:val="auto"/>
          <w:highlight w:val="none"/>
        </w:rPr>
        <w:fldChar w:fldCharType="begin"/>
      </w:r>
      <w:r>
        <w:rPr>
          <w:color w:val="auto"/>
          <w:highlight w:val="none"/>
        </w:rPr>
        <w:instrText xml:space="preserve"> PAGEREF _Toc15329 \h </w:instrText>
      </w:r>
      <w:r>
        <w:rPr>
          <w:color w:val="auto"/>
          <w:highlight w:val="none"/>
        </w:rPr>
        <w:fldChar w:fldCharType="separate"/>
      </w:r>
      <w:r>
        <w:rPr>
          <w:color w:val="auto"/>
          <w:highlight w:val="none"/>
        </w:rPr>
        <w:t>289</w:t>
      </w:r>
      <w:r>
        <w:rPr>
          <w:color w:val="auto"/>
          <w:highlight w:val="none"/>
        </w:rPr>
        <w:fldChar w:fldCharType="end"/>
      </w:r>
      <w:r>
        <w:rPr>
          <w:rFonts w:hint="eastAsia"/>
          <w:bCs/>
          <w:color w:val="auto"/>
          <w:szCs w:val="36"/>
          <w:highlight w:val="none"/>
          <w:lang w:val="en-US" w:eastAsia="zh-CN"/>
        </w:rPr>
        <w:fldChar w:fldCharType="end"/>
      </w:r>
    </w:p>
    <w:p w14:paraId="6403759A">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_Toc1523 </w:instrText>
      </w:r>
      <w:r>
        <w:rPr>
          <w:rFonts w:hint="eastAsia"/>
          <w:bCs/>
          <w:color w:val="auto"/>
          <w:szCs w:val="36"/>
          <w:highlight w:val="none"/>
          <w:lang w:val="en-US" w:eastAsia="zh-CN"/>
        </w:rPr>
        <w:fldChar w:fldCharType="separate"/>
      </w:r>
      <w:r>
        <w:rPr>
          <w:rFonts w:hint="default"/>
          <w:color w:val="auto"/>
          <w:highlight w:val="none"/>
          <w:lang w:val="en-US" w:eastAsia="zh-CN"/>
        </w:rPr>
        <w:t>9.7环境影响经济损益分析</w:t>
      </w:r>
      <w:r>
        <w:rPr>
          <w:color w:val="auto"/>
          <w:highlight w:val="none"/>
        </w:rPr>
        <w:tab/>
      </w:r>
      <w:r>
        <w:rPr>
          <w:color w:val="auto"/>
          <w:highlight w:val="none"/>
        </w:rPr>
        <w:fldChar w:fldCharType="begin"/>
      </w:r>
      <w:r>
        <w:rPr>
          <w:color w:val="auto"/>
          <w:highlight w:val="none"/>
        </w:rPr>
        <w:instrText xml:space="preserve"> PAGEREF _Toc1523 \h </w:instrText>
      </w:r>
      <w:r>
        <w:rPr>
          <w:color w:val="auto"/>
          <w:highlight w:val="none"/>
        </w:rPr>
        <w:fldChar w:fldCharType="separate"/>
      </w:r>
      <w:r>
        <w:rPr>
          <w:color w:val="auto"/>
          <w:highlight w:val="none"/>
        </w:rPr>
        <w:t>289</w:t>
      </w:r>
      <w:r>
        <w:rPr>
          <w:color w:val="auto"/>
          <w:highlight w:val="none"/>
        </w:rPr>
        <w:fldChar w:fldCharType="end"/>
      </w:r>
      <w:r>
        <w:rPr>
          <w:rFonts w:hint="eastAsia"/>
          <w:bCs/>
          <w:color w:val="auto"/>
          <w:szCs w:val="36"/>
          <w:highlight w:val="none"/>
          <w:lang w:val="en-US" w:eastAsia="zh-CN"/>
        </w:rPr>
        <w:fldChar w:fldCharType="end"/>
      </w:r>
    </w:p>
    <w:p w14:paraId="67A8D431">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_Toc29725 </w:instrText>
      </w:r>
      <w:r>
        <w:rPr>
          <w:rFonts w:hint="eastAsia"/>
          <w:bCs/>
          <w:color w:val="auto"/>
          <w:szCs w:val="36"/>
          <w:highlight w:val="none"/>
          <w:lang w:val="en-US" w:eastAsia="zh-CN"/>
        </w:rPr>
        <w:fldChar w:fldCharType="separate"/>
      </w:r>
      <w:r>
        <w:rPr>
          <w:rFonts w:hint="default"/>
          <w:color w:val="auto"/>
          <w:highlight w:val="none"/>
          <w:lang w:val="en-US" w:eastAsia="zh-CN"/>
        </w:rPr>
        <w:t>9.8环境管理与监测计划</w:t>
      </w:r>
      <w:r>
        <w:rPr>
          <w:color w:val="auto"/>
          <w:highlight w:val="none"/>
        </w:rPr>
        <w:tab/>
      </w:r>
      <w:r>
        <w:rPr>
          <w:color w:val="auto"/>
          <w:highlight w:val="none"/>
        </w:rPr>
        <w:fldChar w:fldCharType="begin"/>
      </w:r>
      <w:r>
        <w:rPr>
          <w:color w:val="auto"/>
          <w:highlight w:val="none"/>
        </w:rPr>
        <w:instrText xml:space="preserve"> PAGEREF _Toc29725 \h </w:instrText>
      </w:r>
      <w:r>
        <w:rPr>
          <w:color w:val="auto"/>
          <w:highlight w:val="none"/>
        </w:rPr>
        <w:fldChar w:fldCharType="separate"/>
      </w:r>
      <w:r>
        <w:rPr>
          <w:color w:val="auto"/>
          <w:highlight w:val="none"/>
        </w:rPr>
        <w:t>289</w:t>
      </w:r>
      <w:r>
        <w:rPr>
          <w:color w:val="auto"/>
          <w:highlight w:val="none"/>
        </w:rPr>
        <w:fldChar w:fldCharType="end"/>
      </w:r>
      <w:r>
        <w:rPr>
          <w:rFonts w:hint="eastAsia"/>
          <w:bCs/>
          <w:color w:val="auto"/>
          <w:szCs w:val="36"/>
          <w:highlight w:val="none"/>
          <w:lang w:val="en-US" w:eastAsia="zh-CN"/>
        </w:rPr>
        <w:fldChar w:fldCharType="end"/>
      </w:r>
    </w:p>
    <w:p w14:paraId="58E6F446">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_Toc8174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9.</w:t>
      </w:r>
      <w:r>
        <w:rPr>
          <w:rFonts w:hint="eastAsia" w:cs="Times New Roman"/>
          <w:color w:val="auto"/>
          <w:highlight w:val="none"/>
          <w:lang w:val="en-US" w:eastAsia="zh-CN"/>
        </w:rPr>
        <w:t>9</w:t>
      </w:r>
      <w:r>
        <w:rPr>
          <w:rFonts w:hint="default" w:ascii="Times New Roman" w:hAnsi="Times New Roman" w:cs="Times New Roman"/>
          <w:color w:val="auto"/>
          <w:highlight w:val="none"/>
        </w:rPr>
        <w:t>总体结论</w:t>
      </w:r>
      <w:r>
        <w:rPr>
          <w:color w:val="auto"/>
          <w:highlight w:val="none"/>
        </w:rPr>
        <w:tab/>
      </w:r>
      <w:r>
        <w:rPr>
          <w:color w:val="auto"/>
          <w:highlight w:val="none"/>
        </w:rPr>
        <w:fldChar w:fldCharType="begin"/>
      </w:r>
      <w:r>
        <w:rPr>
          <w:color w:val="auto"/>
          <w:highlight w:val="none"/>
        </w:rPr>
        <w:instrText xml:space="preserve"> PAGEREF _Toc8174 \h </w:instrText>
      </w:r>
      <w:r>
        <w:rPr>
          <w:color w:val="auto"/>
          <w:highlight w:val="none"/>
        </w:rPr>
        <w:fldChar w:fldCharType="separate"/>
      </w:r>
      <w:r>
        <w:rPr>
          <w:color w:val="auto"/>
          <w:highlight w:val="none"/>
        </w:rPr>
        <w:t>289</w:t>
      </w:r>
      <w:r>
        <w:rPr>
          <w:color w:val="auto"/>
          <w:highlight w:val="none"/>
        </w:rPr>
        <w:fldChar w:fldCharType="end"/>
      </w:r>
      <w:r>
        <w:rPr>
          <w:rFonts w:hint="eastAsia"/>
          <w:bCs/>
          <w:color w:val="auto"/>
          <w:szCs w:val="36"/>
          <w:highlight w:val="none"/>
          <w:lang w:val="en-US" w:eastAsia="zh-CN"/>
        </w:rPr>
        <w:fldChar w:fldCharType="end"/>
      </w:r>
    </w:p>
    <w:p w14:paraId="54E315D6">
      <w:pPr>
        <w:pStyle w:val="12"/>
        <w:keepNext w:val="0"/>
        <w:keepLines w:val="0"/>
        <w:pageBreakBefore w:val="0"/>
        <w:widowControl w:val="0"/>
        <w:tabs>
          <w:tab w:val="right" w:leader="dot" w:pos="8313"/>
        </w:tabs>
        <w:kinsoku/>
        <w:wordWrap/>
        <w:overflowPunct/>
        <w:topLinePunct w:val="0"/>
        <w:autoSpaceDE/>
        <w:autoSpaceDN/>
        <w:bidi w:val="0"/>
        <w:adjustRightInd/>
        <w:snapToGrid/>
        <w:ind w:firstLine="0" w:firstLineChars="0"/>
        <w:textAlignment w:val="auto"/>
        <w:rPr>
          <w:color w:val="auto"/>
          <w:highlight w:val="none"/>
        </w:rPr>
      </w:pPr>
      <w:r>
        <w:rPr>
          <w:rFonts w:hint="eastAsia"/>
          <w:bCs/>
          <w:color w:val="auto"/>
          <w:szCs w:val="36"/>
          <w:highlight w:val="none"/>
          <w:lang w:val="en-US" w:eastAsia="zh-CN"/>
        </w:rPr>
        <w:fldChar w:fldCharType="begin"/>
      </w:r>
      <w:r>
        <w:rPr>
          <w:rFonts w:hint="eastAsia"/>
          <w:bCs/>
          <w:color w:val="auto"/>
          <w:szCs w:val="36"/>
          <w:highlight w:val="none"/>
          <w:lang w:val="en-US" w:eastAsia="zh-CN"/>
        </w:rPr>
        <w:instrText xml:space="preserve"> HYPERLINK \l _Toc26427 </w:instrText>
      </w:r>
      <w:r>
        <w:rPr>
          <w:rFonts w:hint="eastAsia"/>
          <w:bCs/>
          <w:color w:val="auto"/>
          <w:szCs w:val="36"/>
          <w:highlight w:val="none"/>
          <w:lang w:val="en-US" w:eastAsia="zh-CN"/>
        </w:rPr>
        <w:fldChar w:fldCharType="separate"/>
      </w:r>
      <w:r>
        <w:rPr>
          <w:rFonts w:hint="default" w:ascii="Times New Roman" w:hAnsi="Times New Roman" w:cs="Times New Roman"/>
          <w:color w:val="auto"/>
          <w:highlight w:val="none"/>
        </w:rPr>
        <w:t>9.</w:t>
      </w:r>
      <w:r>
        <w:rPr>
          <w:rFonts w:hint="eastAsia" w:cs="Times New Roman"/>
          <w:color w:val="auto"/>
          <w:highlight w:val="none"/>
          <w:lang w:val="en-US" w:eastAsia="zh-CN"/>
        </w:rPr>
        <w:t>10</w:t>
      </w:r>
      <w:r>
        <w:rPr>
          <w:rFonts w:hint="default" w:ascii="Times New Roman" w:hAnsi="Times New Roman" w:cs="Times New Roman"/>
          <w:color w:val="auto"/>
          <w:highlight w:val="none"/>
        </w:rPr>
        <w:t>建议</w:t>
      </w:r>
      <w:r>
        <w:rPr>
          <w:color w:val="auto"/>
          <w:highlight w:val="none"/>
        </w:rPr>
        <w:tab/>
      </w:r>
      <w:r>
        <w:rPr>
          <w:color w:val="auto"/>
          <w:highlight w:val="none"/>
        </w:rPr>
        <w:fldChar w:fldCharType="begin"/>
      </w:r>
      <w:r>
        <w:rPr>
          <w:color w:val="auto"/>
          <w:highlight w:val="none"/>
        </w:rPr>
        <w:instrText xml:space="preserve"> PAGEREF _Toc26427 \h </w:instrText>
      </w:r>
      <w:r>
        <w:rPr>
          <w:color w:val="auto"/>
          <w:highlight w:val="none"/>
        </w:rPr>
        <w:fldChar w:fldCharType="separate"/>
      </w:r>
      <w:r>
        <w:rPr>
          <w:color w:val="auto"/>
          <w:highlight w:val="none"/>
        </w:rPr>
        <w:t>290</w:t>
      </w:r>
      <w:r>
        <w:rPr>
          <w:color w:val="auto"/>
          <w:highlight w:val="none"/>
        </w:rPr>
        <w:fldChar w:fldCharType="end"/>
      </w:r>
      <w:r>
        <w:rPr>
          <w:rFonts w:hint="eastAsia"/>
          <w:bCs/>
          <w:color w:val="auto"/>
          <w:szCs w:val="36"/>
          <w:highlight w:val="none"/>
          <w:lang w:val="en-US" w:eastAsia="zh-CN"/>
        </w:rPr>
        <w:fldChar w:fldCharType="end"/>
      </w:r>
    </w:p>
    <w:p w14:paraId="6031849D">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b/>
          <w:bCs/>
          <w:color w:val="auto"/>
          <w:sz w:val="36"/>
          <w:szCs w:val="36"/>
          <w:highlight w:val="none"/>
          <w:lang w:val="en-US" w:eastAsia="zh-CN"/>
        </w:rPr>
      </w:pPr>
      <w:r>
        <w:rPr>
          <w:rFonts w:hint="eastAsia"/>
          <w:bCs/>
          <w:color w:val="auto"/>
          <w:szCs w:val="36"/>
          <w:highlight w:val="none"/>
          <w:lang w:val="en-US" w:eastAsia="zh-CN"/>
        </w:rPr>
        <w:fldChar w:fldCharType="end"/>
      </w:r>
    </w:p>
    <w:p w14:paraId="0BBB26F8">
      <w:pPr>
        <w:jc w:val="center"/>
        <w:rPr>
          <w:rFonts w:hint="eastAsia"/>
          <w:color w:val="auto"/>
          <w:highlight w:val="none"/>
          <w:lang w:val="en-US" w:eastAsia="zh-CN"/>
        </w:rPr>
        <w:sectPr>
          <w:headerReference r:id="rId5" w:type="default"/>
          <w:headerReference r:id="rId6" w:type="even"/>
          <w:pgSz w:w="11907" w:h="16840"/>
          <w:pgMar w:top="1440" w:right="1797" w:bottom="1440" w:left="1797" w:header="851" w:footer="964" w:gutter="0"/>
          <w:pgBorders>
            <w:top w:val="none" w:sz="0" w:space="0"/>
            <w:left w:val="none" w:sz="0" w:space="0"/>
            <w:bottom w:val="none" w:sz="0" w:space="0"/>
            <w:right w:val="none" w:sz="0" w:space="0"/>
          </w:pgBorders>
          <w:pgNumType w:start="1"/>
          <w:cols w:space="425" w:num="1"/>
          <w:docGrid w:linePitch="312" w:charSpace="0"/>
        </w:sectPr>
      </w:pPr>
    </w:p>
    <w:p w14:paraId="5EC0487D">
      <w:pPr>
        <w:pStyle w:val="4"/>
        <w:spacing w:line="720" w:lineRule="exact"/>
        <w:rPr>
          <w:rFonts w:hint="default"/>
          <w:color w:val="auto"/>
          <w:highlight w:val="none"/>
        </w:rPr>
      </w:pPr>
      <w:bookmarkStart w:id="0" w:name="_Toc107414637"/>
      <w:bookmarkStart w:id="1" w:name="_Toc23937"/>
      <w:bookmarkStart w:id="2" w:name="_Toc22834"/>
      <w:bookmarkStart w:id="3" w:name="_Toc28872"/>
      <w:bookmarkStart w:id="4" w:name="_Toc29202"/>
      <w:bookmarkStart w:id="5" w:name="_Toc107413870"/>
      <w:bookmarkStart w:id="6" w:name="_Toc17482"/>
      <w:bookmarkStart w:id="7" w:name="_Toc11149"/>
      <w:r>
        <w:rPr>
          <w:rFonts w:hint="default" w:ascii="Times New Roman" w:hAnsi="Times New Roman" w:cs="Times New Roman"/>
          <w:color w:val="auto"/>
          <w:highlight w:val="none"/>
        </w:rPr>
        <w:t>1概述</w:t>
      </w:r>
      <w:bookmarkEnd w:id="0"/>
      <w:bookmarkEnd w:id="1"/>
      <w:bookmarkEnd w:id="2"/>
      <w:bookmarkEnd w:id="3"/>
      <w:bookmarkEnd w:id="4"/>
      <w:bookmarkEnd w:id="5"/>
      <w:bookmarkEnd w:id="6"/>
      <w:bookmarkEnd w:id="7"/>
    </w:p>
    <w:p w14:paraId="72A5426D">
      <w:pPr>
        <w:pStyle w:val="5"/>
        <w:spacing w:line="560" w:lineRule="atLeast"/>
        <w:rPr>
          <w:rFonts w:hint="default" w:ascii="Times New Roman" w:hAnsi="Times New Roman" w:cs="Times New Roman"/>
          <w:color w:val="auto"/>
          <w:highlight w:val="none"/>
        </w:rPr>
      </w:pPr>
      <w:bookmarkStart w:id="8" w:name="_Toc13256"/>
      <w:bookmarkStart w:id="9" w:name="_Toc12955"/>
      <w:bookmarkStart w:id="10" w:name="_Toc23022"/>
      <w:bookmarkStart w:id="11" w:name="_Toc13386"/>
      <w:bookmarkStart w:id="12" w:name="_Toc475111945"/>
      <w:bookmarkStart w:id="13" w:name="_Toc21983"/>
      <w:bookmarkStart w:id="14" w:name="_Toc8701"/>
      <w:bookmarkStart w:id="15" w:name="_Toc107413871"/>
      <w:bookmarkStart w:id="16" w:name="_Toc107414638"/>
      <w:r>
        <w:rPr>
          <w:rFonts w:hint="default" w:ascii="Times New Roman" w:hAnsi="Times New Roman" w:cs="Times New Roman"/>
          <w:color w:val="auto"/>
          <w:highlight w:val="none"/>
        </w:rPr>
        <w:t>1.1建设项目特点</w:t>
      </w:r>
      <w:bookmarkEnd w:id="8"/>
      <w:bookmarkEnd w:id="9"/>
      <w:bookmarkEnd w:id="10"/>
      <w:bookmarkEnd w:id="11"/>
      <w:bookmarkEnd w:id="12"/>
      <w:bookmarkEnd w:id="13"/>
      <w:bookmarkEnd w:id="14"/>
      <w:bookmarkEnd w:id="15"/>
      <w:bookmarkEnd w:id="16"/>
    </w:p>
    <w:p w14:paraId="1744020E">
      <w:pPr>
        <w:pStyle w:val="6"/>
        <w:rPr>
          <w:rFonts w:hint="default" w:ascii="Times New Roman" w:hAnsi="Times New Roman" w:cs="Times New Roman"/>
          <w:color w:val="auto"/>
          <w:highlight w:val="none"/>
        </w:rPr>
      </w:pPr>
      <w:bookmarkStart w:id="17" w:name="_Toc31318"/>
      <w:bookmarkStart w:id="18" w:name="_Toc32252"/>
      <w:bookmarkStart w:id="19" w:name="_Toc18713"/>
      <w:bookmarkStart w:id="20" w:name="_Toc3959"/>
      <w:bookmarkStart w:id="21" w:name="_Toc19161"/>
      <w:bookmarkStart w:id="22" w:name="_Toc26274"/>
      <w:bookmarkStart w:id="23" w:name="_Toc18489"/>
      <w:bookmarkStart w:id="24" w:name="_Toc27128"/>
      <w:r>
        <w:rPr>
          <w:rFonts w:hint="default" w:ascii="Times New Roman" w:hAnsi="Times New Roman" w:cs="Times New Roman"/>
          <w:color w:val="auto"/>
          <w:highlight w:val="none"/>
        </w:rPr>
        <w:t>1.1.1</w:t>
      </w:r>
      <w:bookmarkEnd w:id="17"/>
      <w:bookmarkEnd w:id="18"/>
      <w:bookmarkEnd w:id="19"/>
      <w:bookmarkEnd w:id="20"/>
      <w:bookmarkEnd w:id="21"/>
      <w:r>
        <w:rPr>
          <w:rFonts w:hint="default" w:ascii="Times New Roman" w:hAnsi="Times New Roman" w:cs="Times New Roman"/>
          <w:color w:val="auto"/>
          <w:highlight w:val="none"/>
        </w:rPr>
        <w:t>项目背景及由来</w:t>
      </w:r>
      <w:bookmarkEnd w:id="22"/>
      <w:bookmarkEnd w:id="23"/>
      <w:bookmarkEnd w:id="24"/>
    </w:p>
    <w:p w14:paraId="7C686E1D">
      <w:pPr>
        <w:rPr>
          <w:rFonts w:hint="default" w:ascii="Times New Roman" w:hAnsi="Times New Roman" w:cs="Times New Roman"/>
          <w:color w:val="auto"/>
          <w:highlight w:val="none"/>
          <w:lang w:val="en-US" w:eastAsia="zh-CN"/>
        </w:rPr>
      </w:pPr>
      <w:bookmarkStart w:id="25" w:name="_Toc28947"/>
      <w:bookmarkStart w:id="26" w:name="_Toc13806"/>
      <w:bookmarkStart w:id="27" w:name="_Toc1695"/>
      <w:bookmarkStart w:id="28" w:name="OLE_LINK1"/>
      <w:r>
        <w:rPr>
          <w:rFonts w:hint="default" w:ascii="Times New Roman" w:hAnsi="Times New Roman" w:cs="Times New Roman"/>
          <w:color w:val="auto"/>
          <w:highlight w:val="none"/>
          <w:lang w:val="en-US" w:eastAsia="zh-CN"/>
        </w:rPr>
        <w:t>《新疆华瓯矿业有限公司新疆若羌县卡尔恰尔萤石矿矿产资源开发利用与生态保护修复方案》于2022年7月通过自治区自然资源厅审查。2022年10月，新疆华瓯矿业有限公司委托新疆绿境天宸环保科技有限公司编制了《新疆华瓯矿业有限公司新疆若羌县卡尔恰尔萤石矿采选项目环境影响报告书》，并于2023年6月12日取得了</w:t>
      </w:r>
      <w:r>
        <w:rPr>
          <w:rFonts w:hint="eastAsia" w:cs="Times New Roman"/>
          <w:color w:val="auto"/>
          <w:highlight w:val="none"/>
          <w:lang w:val="en-US" w:eastAsia="zh-CN"/>
        </w:rPr>
        <w:t>项目环评批复</w:t>
      </w:r>
      <w:r>
        <w:rPr>
          <w:rFonts w:hint="default" w:ascii="Times New Roman" w:hAnsi="Times New Roman" w:cs="Times New Roman"/>
          <w:color w:val="auto"/>
          <w:highlight w:val="none"/>
          <w:lang w:val="en-US" w:eastAsia="zh-CN"/>
        </w:rPr>
        <w:t>（巴环评价函〔2023〕132号），2023年6月27日，新疆华瓯矿业有限公司取得了新疆华瓯矿业有限公司新疆若羌县卡尔恰尔萤石矿采矿许可证，</w:t>
      </w:r>
      <w:r>
        <w:rPr>
          <w:rFonts w:hint="eastAsia" w:cs="Times New Roman"/>
          <w:color w:val="auto"/>
          <w:highlight w:val="none"/>
          <w:lang w:val="en-US" w:eastAsia="zh-CN"/>
        </w:rPr>
        <w:t>采</w:t>
      </w:r>
      <w:r>
        <w:rPr>
          <w:rFonts w:hint="default" w:ascii="Times New Roman" w:hAnsi="Times New Roman" w:cs="Times New Roman"/>
          <w:color w:val="auto"/>
          <w:highlight w:val="none"/>
          <w:lang w:val="en-US" w:eastAsia="zh-CN"/>
        </w:rPr>
        <w:t>矿证号为：C6500002023066210155378。</w:t>
      </w:r>
      <w:r>
        <w:rPr>
          <w:rFonts w:hint="default" w:ascii="Times New Roman" w:hAnsi="Times New Roman" w:cs="Times New Roman"/>
          <w:color w:val="auto"/>
          <w:highlight w:val="none"/>
        </w:rPr>
        <w:t>划定的矿区范围面积</w:t>
      </w:r>
      <w:r>
        <w:rPr>
          <w:rFonts w:hint="default" w:ascii="Times New Roman" w:hAnsi="Times New Roman" w:cs="Times New Roman"/>
          <w:color w:val="auto"/>
          <w:highlight w:val="none"/>
          <w:lang w:val="en-US" w:eastAsia="zh-CN"/>
        </w:rPr>
        <w:t>为</w:t>
      </w:r>
      <w:r>
        <w:rPr>
          <w:rFonts w:hint="default" w:ascii="Times New Roman" w:hAnsi="Times New Roman" w:cs="Times New Roman"/>
          <w:color w:val="auto"/>
          <w:highlight w:val="none"/>
        </w:rPr>
        <w:t>7.</w:t>
      </w:r>
      <w:r>
        <w:rPr>
          <w:rFonts w:hint="default" w:ascii="Times New Roman" w:hAnsi="Times New Roman" w:cs="Times New Roman"/>
          <w:color w:val="auto"/>
          <w:highlight w:val="none"/>
          <w:lang w:val="en-US" w:eastAsia="zh-CN"/>
        </w:rPr>
        <w:t>763</w:t>
      </w:r>
      <w:r>
        <w:rPr>
          <w:rFonts w:hint="default" w:ascii="Times New Roman" w:hAnsi="Times New Roman" w:cs="Times New Roman"/>
          <w:color w:val="auto"/>
          <w:highlight w:val="none"/>
        </w:rPr>
        <w:t>平方千米，开采标高为3203</w:t>
      </w:r>
      <w:r>
        <w:rPr>
          <w:rFonts w:hint="eastAsia" w:cs="Times New Roman"/>
          <w:color w:val="auto"/>
          <w:highlight w:val="none"/>
          <w:lang w:val="en-US" w:eastAsia="zh-CN"/>
        </w:rPr>
        <w:t>~</w:t>
      </w:r>
      <w:r>
        <w:rPr>
          <w:rFonts w:hint="default" w:ascii="Times New Roman" w:hAnsi="Times New Roman" w:cs="Times New Roman"/>
          <w:color w:val="auto"/>
          <w:highlight w:val="none"/>
        </w:rPr>
        <w:t>2354米</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2023年7月27日，取得了若羌县发展和改革委员会核发的登记备案证，项目备案名称：新疆若羌县卡尔恰尔萤石矿采选建设项目，项目代码：2307-652824-15-01-369756。2023年8月，矿山建设工作正式启动，建设规模为年采选萤石120万吨。</w:t>
      </w:r>
    </w:p>
    <w:p w14:paraId="587E0958">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项目主要建设内容包括采矿工程、选矿工程</w:t>
      </w:r>
      <w:r>
        <w:rPr>
          <w:rFonts w:hint="eastAsia" w:cs="Times New Roman"/>
          <w:color w:val="auto"/>
          <w:highlight w:val="none"/>
          <w:lang w:val="en-US" w:eastAsia="zh-CN"/>
        </w:rPr>
        <w:t>、尾矿库</w:t>
      </w:r>
      <w:r>
        <w:rPr>
          <w:rFonts w:hint="default" w:ascii="Times New Roman" w:hAnsi="Times New Roman" w:cs="Times New Roman"/>
          <w:color w:val="auto"/>
          <w:highlight w:val="none"/>
          <w:lang w:val="en-US" w:eastAsia="zh-CN"/>
        </w:rPr>
        <w:t>，其中采矿工程矿山</w:t>
      </w:r>
      <w:r>
        <w:rPr>
          <w:rFonts w:hint="default" w:ascii="Times New Roman" w:hAnsi="Times New Roman" w:cs="Times New Roman"/>
          <w:color w:val="auto"/>
          <w:highlight w:val="none"/>
          <w:lang w:val="zh-CN"/>
        </w:rPr>
        <w:t>设计生产规模为（</w:t>
      </w:r>
      <w:r>
        <w:rPr>
          <w:rFonts w:hint="default" w:ascii="Times New Roman" w:hAnsi="Times New Roman" w:cs="Times New Roman"/>
          <w:color w:val="auto"/>
          <w:highlight w:val="none"/>
          <w:lang w:val="en-US" w:eastAsia="zh-CN"/>
        </w:rPr>
        <w:t>4000t/d</w:t>
      </w:r>
      <w:r>
        <w:rPr>
          <w:rFonts w:hint="default" w:ascii="Times New Roman" w:hAnsi="Times New Roman" w:cs="Times New Roman"/>
          <w:color w:val="auto"/>
          <w:highlight w:val="none"/>
          <w:lang w:val="zh-CN"/>
        </w:rPr>
        <w:t>）120万吨/年，矿山服务年限</w:t>
      </w:r>
      <w:r>
        <w:rPr>
          <w:rFonts w:hint="default" w:ascii="Times New Roman" w:hAnsi="Times New Roman" w:cs="Times New Roman"/>
          <w:color w:val="auto"/>
          <w:highlight w:val="none"/>
          <w:lang w:val="en-US" w:eastAsia="zh-CN"/>
        </w:rPr>
        <w:t>41年</w:t>
      </w:r>
      <w:r>
        <w:rPr>
          <w:rFonts w:hint="default" w:ascii="Times New Roman" w:hAnsi="Times New Roman" w:cs="Times New Roman"/>
          <w:color w:val="auto"/>
          <w:highlight w:val="none"/>
          <w:lang w:val="zh-CN"/>
        </w:rPr>
        <w:t>，</w:t>
      </w:r>
      <w:r>
        <w:rPr>
          <w:rFonts w:hint="default" w:ascii="Times New Roman" w:hAnsi="Times New Roman" w:cs="Times New Roman"/>
          <w:color w:val="auto"/>
          <w:highlight w:val="none"/>
          <w:lang w:val="en-US" w:eastAsia="zh-CN"/>
        </w:rPr>
        <w:t>开采方式为地下开采，</w:t>
      </w:r>
      <w:r>
        <w:rPr>
          <w:rFonts w:hint="eastAsia" w:ascii="Times New Roman" w:hAnsi="Times New Roman" w:cs="Times New Roman"/>
          <w:color w:val="auto"/>
          <w:highlight w:val="none"/>
          <w:lang w:val="en-US" w:eastAsia="zh-CN"/>
        </w:rPr>
        <w:t>采用</w:t>
      </w:r>
      <w:r>
        <w:rPr>
          <w:rFonts w:hint="default" w:ascii="Times New Roman" w:hAnsi="Times New Roman" w:cs="Times New Roman"/>
          <w:color w:val="auto"/>
          <w:szCs w:val="28"/>
          <w:highlight w:val="none"/>
        </w:rPr>
        <w:t>胶带斜井+辅助斜坡道</w:t>
      </w:r>
      <w:r>
        <w:rPr>
          <w:rFonts w:hint="default" w:ascii="Times New Roman" w:hAnsi="Times New Roman" w:cs="Times New Roman"/>
          <w:color w:val="auto"/>
          <w:highlight w:val="none"/>
        </w:rPr>
        <w:t>开拓方案。</w:t>
      </w:r>
      <w:r>
        <w:rPr>
          <w:rFonts w:hint="default" w:ascii="Times New Roman" w:hAnsi="Times New Roman" w:cs="Times New Roman"/>
          <w:color w:val="auto"/>
          <w:highlight w:val="none"/>
          <w:lang w:val="zh-CN"/>
        </w:rPr>
        <w:t>设计对矿体和围岩较稳固、矿体厚度小于5米、矿体倾角小于45°的地段，采用上向分层充填采矿法，占比约20</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zh-CN"/>
        </w:rPr>
        <w:t>，其他均采用下向进路充填采矿法，占比约80</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zh-CN"/>
        </w:rPr>
        <w:t>。</w:t>
      </w:r>
    </w:p>
    <w:p w14:paraId="35878E68">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选矿工程包括中细碎厂房</w:t>
      </w:r>
      <w:r>
        <w:rPr>
          <w:rFonts w:hint="default" w:ascii="Times New Roman" w:hAnsi="Times New Roman" w:cs="Times New Roman"/>
          <w:color w:val="auto"/>
          <w:highlight w:val="none"/>
        </w:rPr>
        <w:t>、筛分</w:t>
      </w:r>
      <w:r>
        <w:rPr>
          <w:rFonts w:hint="default" w:ascii="Times New Roman" w:hAnsi="Times New Roman" w:cs="Times New Roman"/>
          <w:color w:val="auto"/>
          <w:highlight w:val="none"/>
          <w:lang w:val="en-US" w:eastAsia="zh-CN"/>
        </w:rPr>
        <w:t>厂房</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主厂房</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硫酸稀释车间、尾矿浓缩及泵站、废石仓、粗矿仓、粉矿仓</w:t>
      </w:r>
      <w:r>
        <w:rPr>
          <w:rFonts w:hint="default" w:ascii="Times New Roman" w:hAnsi="Times New Roman" w:cs="Times New Roman"/>
          <w:color w:val="auto"/>
          <w:highlight w:val="none"/>
        </w:rPr>
        <w:t>及</w:t>
      </w:r>
      <w:r>
        <w:rPr>
          <w:rFonts w:hint="default" w:ascii="Times New Roman" w:hAnsi="Times New Roman" w:cs="Times New Roman"/>
          <w:color w:val="auto"/>
          <w:highlight w:val="none"/>
          <w:lang w:val="en-US" w:eastAsia="zh-CN"/>
        </w:rPr>
        <w:t>精矿堆场等，配套建设给水、排水、供热、供电、道路及环保设施等</w:t>
      </w:r>
      <w:r>
        <w:rPr>
          <w:rFonts w:hint="eastAsia" w:cs="Times New Roman"/>
          <w:color w:val="auto"/>
          <w:highlight w:val="none"/>
          <w:lang w:val="en-US" w:eastAsia="zh-CN"/>
        </w:rPr>
        <w:t>，</w:t>
      </w:r>
      <w:r>
        <w:rPr>
          <w:rFonts w:hint="eastAsia"/>
          <w:color w:val="auto"/>
          <w:highlight w:val="none"/>
        </w:rPr>
        <w:t>原矿处理能力为</w:t>
      </w:r>
      <w:r>
        <w:rPr>
          <w:rFonts w:hint="eastAsia"/>
          <w:color w:val="auto"/>
          <w:highlight w:val="none"/>
          <w:lang w:val="en-US" w:eastAsia="zh-CN"/>
        </w:rPr>
        <w:t>120</w:t>
      </w:r>
      <w:r>
        <w:rPr>
          <w:rFonts w:hint="eastAsia"/>
          <w:color w:val="auto"/>
          <w:highlight w:val="none"/>
        </w:rPr>
        <w:t>万t/a</w:t>
      </w:r>
      <w:r>
        <w:rPr>
          <w:rFonts w:hint="eastAsia"/>
          <w:color w:val="auto"/>
          <w:highlight w:val="none"/>
          <w:lang w:eastAsia="zh-CN"/>
        </w:rPr>
        <w:t>，与配套矿山开采量相匹配</w:t>
      </w:r>
      <w:r>
        <w:rPr>
          <w:rFonts w:hint="default" w:ascii="Times New Roman" w:hAnsi="Times New Roman" w:cs="Times New Roman"/>
          <w:color w:val="auto"/>
          <w:highlight w:val="none"/>
          <w:lang w:val="en-US" w:eastAsia="zh-CN"/>
        </w:rPr>
        <w:t>。</w:t>
      </w:r>
    </w:p>
    <w:p w14:paraId="514F7D0B">
      <w:pPr>
        <w:bidi w:val="0"/>
        <w:rPr>
          <w:rFonts w:hint="default" w:ascii="Times New Roman" w:hAnsi="Times New Roman" w:cs="Times New Roman"/>
          <w:color w:val="auto"/>
          <w:highlight w:val="none"/>
          <w:lang w:val="en-US" w:eastAsia="zh-CN"/>
        </w:rPr>
      </w:pPr>
      <w:r>
        <w:rPr>
          <w:rFonts w:hint="eastAsia"/>
          <w:color w:val="auto"/>
          <w:highlight w:val="none"/>
          <w:lang w:val="en-US" w:eastAsia="zh-CN"/>
        </w:rPr>
        <w:t>配套</w:t>
      </w:r>
      <w:r>
        <w:rPr>
          <w:color w:val="auto"/>
          <w:highlight w:val="none"/>
        </w:rPr>
        <w:t>尾矿库</w:t>
      </w:r>
      <w:r>
        <w:rPr>
          <w:color w:val="auto"/>
          <w:szCs w:val="28"/>
          <w:highlight w:val="none"/>
        </w:rPr>
        <w:t>总库容</w:t>
      </w:r>
      <w:r>
        <w:rPr>
          <w:rFonts w:hint="eastAsia"/>
          <w:color w:val="auto"/>
          <w:szCs w:val="28"/>
          <w:highlight w:val="none"/>
          <w:lang w:val="en-US" w:eastAsia="zh-CN"/>
        </w:rPr>
        <w:t>2062.4</w:t>
      </w:r>
      <w:r>
        <w:rPr>
          <w:color w:val="auto"/>
          <w:szCs w:val="28"/>
          <w:highlight w:val="none"/>
        </w:rPr>
        <w:t>万m</w:t>
      </w:r>
      <w:r>
        <w:rPr>
          <w:color w:val="auto"/>
          <w:szCs w:val="28"/>
          <w:highlight w:val="none"/>
          <w:vertAlign w:val="superscript"/>
        </w:rPr>
        <w:t>3</w:t>
      </w:r>
      <w:r>
        <w:rPr>
          <w:color w:val="auto"/>
          <w:szCs w:val="28"/>
          <w:highlight w:val="none"/>
        </w:rPr>
        <w:t>，最终堆积标高</w:t>
      </w:r>
      <w:r>
        <w:rPr>
          <w:rFonts w:hint="eastAsia"/>
          <w:color w:val="auto"/>
          <w:szCs w:val="28"/>
          <w:highlight w:val="none"/>
          <w:lang w:val="en-US" w:eastAsia="zh-CN"/>
        </w:rPr>
        <w:t>3144</w:t>
      </w:r>
      <w:r>
        <w:rPr>
          <w:color w:val="auto"/>
          <w:szCs w:val="28"/>
          <w:highlight w:val="none"/>
        </w:rPr>
        <w:t>m，尾矿堆积坝总高度为</w:t>
      </w:r>
      <w:r>
        <w:rPr>
          <w:rFonts w:hint="eastAsia"/>
          <w:color w:val="auto"/>
          <w:szCs w:val="28"/>
          <w:highlight w:val="none"/>
          <w:lang w:val="en-US" w:eastAsia="zh-CN"/>
        </w:rPr>
        <w:t>73</w:t>
      </w:r>
      <w:r>
        <w:rPr>
          <w:color w:val="auto"/>
          <w:szCs w:val="28"/>
          <w:highlight w:val="none"/>
        </w:rPr>
        <w:t>m，尾矿库等别为</w:t>
      </w:r>
      <w:r>
        <w:rPr>
          <w:rFonts w:hint="eastAsia"/>
          <w:color w:val="auto"/>
          <w:szCs w:val="28"/>
          <w:highlight w:val="none"/>
        </w:rPr>
        <w:t>三</w:t>
      </w:r>
      <w:r>
        <w:rPr>
          <w:color w:val="auto"/>
          <w:szCs w:val="28"/>
          <w:highlight w:val="none"/>
        </w:rPr>
        <w:t>等，尾矿库可服务</w:t>
      </w:r>
      <w:r>
        <w:rPr>
          <w:rFonts w:hint="eastAsia"/>
          <w:color w:val="auto"/>
          <w:szCs w:val="28"/>
          <w:highlight w:val="none"/>
          <w:lang w:val="en-US" w:eastAsia="zh-CN"/>
        </w:rPr>
        <w:t>41</w:t>
      </w:r>
      <w:r>
        <w:rPr>
          <w:color w:val="auto"/>
          <w:szCs w:val="28"/>
          <w:highlight w:val="none"/>
        </w:rPr>
        <w:t>年。</w:t>
      </w:r>
    </w:p>
    <w:p w14:paraId="6B43878D">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在实施建设过程中，</w:t>
      </w:r>
      <w:r>
        <w:rPr>
          <w:rFonts w:hint="default" w:ascii="Times New Roman" w:hAnsi="Times New Roman" w:cs="Times New Roman"/>
          <w:color w:val="auto"/>
          <w:highlight w:val="none"/>
        </w:rPr>
        <w:t>鉴于酸化水玻璃理化稳定性差、储存条件要求高，常温环境下存放约一周即易发生胶凝、失效，无法满足集中采购长期储存及稳定投用的生产需求。为保障选矿药剂使用效果、稳定生产运行，本项目对萤石选矿生产工艺进行优化调整，新增酸化水玻璃配制工序。配套建设硫酸稀释车间，车间内设置2座200m³硫酸储罐，用于统一储存浓硫酸，实现酸化水玻璃厂区内即时调配、随用随制，彻底解决酸化水玻璃长期储存易变质的问题。本次调整仅为选矿药剂制备工序优化与配套设施</w:t>
      </w:r>
      <w:r>
        <w:rPr>
          <w:rFonts w:hint="eastAsia" w:cs="Times New Roman"/>
          <w:color w:val="auto"/>
          <w:highlight w:val="none"/>
          <w:lang w:val="en-US" w:eastAsia="zh-CN"/>
        </w:rPr>
        <w:t>变动</w:t>
      </w:r>
      <w:r>
        <w:rPr>
          <w:rFonts w:hint="default" w:ascii="Times New Roman" w:hAnsi="Times New Roman" w:cs="Times New Roman"/>
          <w:color w:val="auto"/>
          <w:highlight w:val="none"/>
        </w:rPr>
        <w:t>，项目选矿处理规模、产品方案、生产工艺流程主体均保持不变。</w:t>
      </w:r>
    </w:p>
    <w:p w14:paraId="6B7643A5">
      <w:pPr>
        <w:pStyle w:val="19"/>
        <w:bidi w:val="0"/>
        <w:rPr>
          <w:rFonts w:hint="eastAsia"/>
          <w:color w:val="auto"/>
          <w:highlight w:val="none"/>
          <w:lang w:val="en-US" w:eastAsia="zh-CN"/>
        </w:rPr>
      </w:pPr>
      <w:r>
        <w:rPr>
          <w:rFonts w:hint="eastAsia"/>
          <w:color w:val="auto"/>
          <w:highlight w:val="none"/>
          <w:lang w:val="en-US" w:eastAsia="zh-CN"/>
        </w:rPr>
        <w:t>表1.1-1    项目重大变动情况一览表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850"/>
        <w:gridCol w:w="2019"/>
        <w:gridCol w:w="962"/>
        <w:gridCol w:w="3050"/>
      </w:tblGrid>
      <w:tr w14:paraId="0320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dxa"/>
            <w:vAlign w:val="center"/>
          </w:tcPr>
          <w:p w14:paraId="71DE8AB7">
            <w:pPr>
              <w:pStyle w:val="17"/>
              <w:bidi w:val="0"/>
              <w:jc w:val="center"/>
              <w:rPr>
                <w:rFonts w:hint="default"/>
                <w:color w:val="auto"/>
                <w:highlight w:val="none"/>
                <w:lang w:val="en-US" w:eastAsia="zh-CN"/>
              </w:rPr>
            </w:pPr>
            <w:r>
              <w:rPr>
                <w:rFonts w:hint="eastAsia"/>
                <w:color w:val="auto"/>
                <w:highlight w:val="none"/>
                <w:lang w:val="en-US" w:eastAsia="zh-CN"/>
              </w:rPr>
              <w:t>序号</w:t>
            </w:r>
          </w:p>
        </w:tc>
        <w:tc>
          <w:tcPr>
            <w:tcW w:w="1850" w:type="dxa"/>
            <w:vAlign w:val="center"/>
          </w:tcPr>
          <w:p w14:paraId="08E2EDE2">
            <w:pPr>
              <w:pStyle w:val="17"/>
              <w:bidi w:val="0"/>
              <w:jc w:val="center"/>
              <w:rPr>
                <w:rFonts w:hint="default"/>
                <w:color w:val="auto"/>
                <w:highlight w:val="none"/>
                <w:lang w:val="en-US" w:eastAsia="zh-CN"/>
              </w:rPr>
            </w:pPr>
            <w:r>
              <w:rPr>
                <w:rFonts w:hint="default"/>
                <w:color w:val="auto"/>
                <w:highlight w:val="none"/>
                <w:lang w:val="en-US" w:eastAsia="zh-CN"/>
              </w:rPr>
              <w:t>原环评报告及批复建设内容</w:t>
            </w:r>
          </w:p>
        </w:tc>
        <w:tc>
          <w:tcPr>
            <w:tcW w:w="2019" w:type="dxa"/>
            <w:vAlign w:val="center"/>
          </w:tcPr>
          <w:p w14:paraId="07CB011A">
            <w:pPr>
              <w:pStyle w:val="17"/>
              <w:bidi w:val="0"/>
              <w:jc w:val="center"/>
              <w:rPr>
                <w:rFonts w:hint="default"/>
                <w:color w:val="auto"/>
                <w:highlight w:val="none"/>
                <w:lang w:val="en-US" w:eastAsia="zh-CN"/>
              </w:rPr>
            </w:pPr>
            <w:r>
              <w:rPr>
                <w:rFonts w:hint="default"/>
                <w:color w:val="auto"/>
                <w:highlight w:val="none"/>
                <w:lang w:val="en-US" w:eastAsia="zh-CN"/>
              </w:rPr>
              <w:t>实际建设情况</w:t>
            </w:r>
          </w:p>
        </w:tc>
        <w:tc>
          <w:tcPr>
            <w:tcW w:w="962" w:type="dxa"/>
            <w:vAlign w:val="center"/>
          </w:tcPr>
          <w:p w14:paraId="46C5C8B0">
            <w:pPr>
              <w:pStyle w:val="17"/>
              <w:bidi w:val="0"/>
              <w:jc w:val="center"/>
              <w:rPr>
                <w:rFonts w:hint="default"/>
                <w:color w:val="auto"/>
                <w:highlight w:val="none"/>
                <w:lang w:val="en-US" w:eastAsia="zh-CN"/>
              </w:rPr>
            </w:pPr>
            <w:r>
              <w:rPr>
                <w:rFonts w:hint="eastAsia"/>
                <w:color w:val="auto"/>
                <w:highlight w:val="none"/>
                <w:lang w:val="en-US" w:eastAsia="zh-CN"/>
              </w:rPr>
              <w:t>是否属于重大变动</w:t>
            </w:r>
          </w:p>
        </w:tc>
        <w:tc>
          <w:tcPr>
            <w:tcW w:w="3050" w:type="dxa"/>
            <w:vAlign w:val="center"/>
          </w:tcPr>
          <w:p w14:paraId="2AD24108">
            <w:pPr>
              <w:pStyle w:val="17"/>
              <w:bidi w:val="0"/>
              <w:jc w:val="center"/>
              <w:rPr>
                <w:rFonts w:hint="eastAsia"/>
                <w:color w:val="auto"/>
                <w:highlight w:val="no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判定依据</w:t>
            </w:r>
          </w:p>
        </w:tc>
      </w:tr>
      <w:tr w14:paraId="30A3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dxa"/>
            <w:vAlign w:val="center"/>
          </w:tcPr>
          <w:p w14:paraId="7A921559">
            <w:pPr>
              <w:pStyle w:val="17"/>
              <w:bidi w:val="0"/>
              <w:jc w:val="center"/>
              <w:rPr>
                <w:rFonts w:hint="default"/>
                <w:color w:val="auto"/>
                <w:highlight w:val="none"/>
                <w:lang w:val="en-US" w:eastAsia="zh-CN"/>
              </w:rPr>
            </w:pPr>
            <w:r>
              <w:rPr>
                <w:rFonts w:hint="eastAsia"/>
                <w:color w:val="auto"/>
                <w:highlight w:val="none"/>
                <w:lang w:val="en-US" w:eastAsia="zh-CN"/>
              </w:rPr>
              <w:t>1</w:t>
            </w:r>
          </w:p>
        </w:tc>
        <w:tc>
          <w:tcPr>
            <w:tcW w:w="1850" w:type="dxa"/>
            <w:vAlign w:val="center"/>
          </w:tcPr>
          <w:p w14:paraId="35A38639">
            <w:pPr>
              <w:pStyle w:val="17"/>
              <w:bidi w:val="0"/>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2019" w:type="dxa"/>
            <w:shd w:val="clear" w:color="auto" w:fill="auto"/>
            <w:vAlign w:val="center"/>
          </w:tcPr>
          <w:p w14:paraId="22EF7375">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新增2座200m</w:t>
            </w:r>
            <w:r>
              <w:rPr>
                <w:rFonts w:hint="eastAsia"/>
                <w:color w:val="auto"/>
                <w:highlight w:val="none"/>
                <w:vertAlign w:val="superscript"/>
                <w:lang w:val="en-US" w:eastAsia="zh-CN"/>
              </w:rPr>
              <w:t>3</w:t>
            </w:r>
            <w:r>
              <w:rPr>
                <w:rFonts w:hint="eastAsia"/>
                <w:color w:val="auto"/>
                <w:highlight w:val="none"/>
                <w:vertAlign w:val="baseline"/>
                <w:lang w:val="en-US" w:eastAsia="zh-CN"/>
              </w:rPr>
              <w:t>硫</w:t>
            </w:r>
            <w:r>
              <w:rPr>
                <w:rFonts w:hint="eastAsia"/>
                <w:color w:val="auto"/>
                <w:highlight w:val="none"/>
                <w:lang w:val="en-US" w:eastAsia="zh-CN"/>
              </w:rPr>
              <w:t>酸储罐，用于暂存浓硫酸。</w:t>
            </w:r>
          </w:p>
        </w:tc>
        <w:tc>
          <w:tcPr>
            <w:tcW w:w="962" w:type="dxa"/>
            <w:shd w:val="clear" w:color="auto" w:fill="auto"/>
            <w:vAlign w:val="center"/>
          </w:tcPr>
          <w:p w14:paraId="20C9AF9F">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是</w:t>
            </w:r>
          </w:p>
        </w:tc>
        <w:tc>
          <w:tcPr>
            <w:tcW w:w="3050" w:type="dxa"/>
            <w:vMerge w:val="restart"/>
            <w:shd w:val="clear" w:color="auto" w:fill="auto"/>
            <w:vAlign w:val="center"/>
          </w:tcPr>
          <w:p w14:paraId="163CC702">
            <w:pPr>
              <w:pStyle w:val="17"/>
              <w:bidi w:val="0"/>
              <w:rPr>
                <w:rFonts w:hint="default" w:ascii="Times New Roman" w:hAnsi="Times New Roman" w:eastAsia="宋体" w:cs="Times New Roman"/>
                <w:color w:val="auto"/>
                <w:kern w:val="0"/>
                <w:szCs w:val="20"/>
                <w:highlight w:val="none"/>
                <w:lang w:val="en-US" w:eastAsia="zh-CN" w:bidi="ar-SA"/>
              </w:rPr>
            </w:pPr>
            <w:r>
              <w:rPr>
                <w:rFonts w:hint="default"/>
                <w:color w:val="auto"/>
                <w:highlight w:val="none"/>
                <w:lang w:val="en-US" w:eastAsia="zh-CN"/>
              </w:rPr>
              <w:t>根据《污染影响类建设项目重大变动清单</w:t>
            </w:r>
            <w:r>
              <w:rPr>
                <w:rFonts w:hint="eastAsia"/>
                <w:color w:val="auto"/>
                <w:highlight w:val="none"/>
                <w:lang w:val="en-US" w:eastAsia="zh-CN"/>
              </w:rPr>
              <w:t>（试行）》</w:t>
            </w:r>
            <w:r>
              <w:rPr>
                <w:rFonts w:hint="default"/>
                <w:color w:val="auto"/>
                <w:highlight w:val="none"/>
                <w:lang w:val="en-US" w:eastAsia="zh-CN"/>
              </w:rPr>
              <w:t>2.生产、处置或储存能力增大30%及以上的。</w:t>
            </w:r>
          </w:p>
        </w:tc>
      </w:tr>
      <w:tr w14:paraId="68E6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dxa"/>
            <w:vAlign w:val="center"/>
          </w:tcPr>
          <w:p w14:paraId="0A019D59">
            <w:pPr>
              <w:pStyle w:val="17"/>
              <w:bidi w:val="0"/>
              <w:jc w:val="center"/>
              <w:rPr>
                <w:rFonts w:hint="default"/>
                <w:color w:val="auto"/>
                <w:highlight w:val="none"/>
                <w:lang w:val="en-US" w:eastAsia="zh-CN"/>
              </w:rPr>
            </w:pPr>
            <w:r>
              <w:rPr>
                <w:rFonts w:hint="eastAsia"/>
                <w:color w:val="auto"/>
                <w:highlight w:val="none"/>
                <w:lang w:val="en-US" w:eastAsia="zh-CN"/>
              </w:rPr>
              <w:t>2</w:t>
            </w:r>
          </w:p>
        </w:tc>
        <w:tc>
          <w:tcPr>
            <w:tcW w:w="1850" w:type="dxa"/>
            <w:shd w:val="clear" w:color="auto" w:fill="auto"/>
            <w:vAlign w:val="center"/>
          </w:tcPr>
          <w:p w14:paraId="493FE056">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加油站</w:t>
            </w:r>
            <w:r>
              <w:rPr>
                <w:rFonts w:hint="default"/>
                <w:color w:val="auto"/>
                <w:highlight w:val="none"/>
                <w:lang w:val="en-US" w:eastAsia="zh-CN"/>
              </w:rPr>
              <w:t>设围堰，采用水泥地面底部铺设HDPE防渗膜，并设置10m</w:t>
            </w:r>
            <w:r>
              <w:rPr>
                <w:rFonts w:hint="default"/>
                <w:color w:val="auto"/>
                <w:highlight w:val="none"/>
                <w:vertAlign w:val="superscript"/>
                <w:lang w:val="en-US" w:eastAsia="zh-CN"/>
              </w:rPr>
              <w:t>3</w:t>
            </w:r>
            <w:r>
              <w:rPr>
                <w:rFonts w:hint="default"/>
                <w:color w:val="auto"/>
                <w:highlight w:val="none"/>
                <w:lang w:val="en-US" w:eastAsia="zh-CN"/>
              </w:rPr>
              <w:t>防渗事故池。</w:t>
            </w:r>
            <w:r>
              <w:rPr>
                <w:rFonts w:hint="eastAsia"/>
                <w:color w:val="auto"/>
                <w:highlight w:val="none"/>
                <w:lang w:val="en-US" w:eastAsia="zh-CN"/>
              </w:rPr>
              <w:t>采取2座10m</w:t>
            </w:r>
            <w:r>
              <w:rPr>
                <w:rFonts w:hint="eastAsia"/>
                <w:color w:val="auto"/>
                <w:highlight w:val="none"/>
                <w:vertAlign w:val="superscript"/>
                <w:lang w:val="en-US" w:eastAsia="zh-CN"/>
              </w:rPr>
              <w:t>3</w:t>
            </w:r>
            <w:r>
              <w:rPr>
                <w:rFonts w:hint="eastAsia"/>
                <w:color w:val="auto"/>
                <w:highlight w:val="none"/>
                <w:lang w:val="en-US" w:eastAsia="zh-CN"/>
              </w:rPr>
              <w:t>卧式埋地双层柴油罐</w:t>
            </w:r>
          </w:p>
        </w:tc>
        <w:tc>
          <w:tcPr>
            <w:tcW w:w="2019" w:type="dxa"/>
            <w:shd w:val="clear" w:color="auto" w:fill="auto"/>
            <w:vAlign w:val="center"/>
          </w:tcPr>
          <w:p w14:paraId="44D7AF3C">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加油站</w:t>
            </w:r>
            <w:r>
              <w:rPr>
                <w:rFonts w:hint="default"/>
                <w:color w:val="auto"/>
                <w:highlight w:val="none"/>
                <w:lang w:val="en-US" w:eastAsia="zh-CN"/>
              </w:rPr>
              <w:t>设围堰，采用水泥地面底部铺设HDPE防渗膜。</w:t>
            </w:r>
            <w:r>
              <w:rPr>
                <w:rFonts w:hint="eastAsia"/>
                <w:color w:val="auto"/>
                <w:highlight w:val="none"/>
                <w:lang w:val="en-US" w:eastAsia="zh-CN"/>
              </w:rPr>
              <w:t>内设2座撬装式加油设备，包含2座50m</w:t>
            </w:r>
            <w:r>
              <w:rPr>
                <w:rFonts w:hint="eastAsia"/>
                <w:color w:val="auto"/>
                <w:highlight w:val="none"/>
                <w:vertAlign w:val="superscript"/>
                <w:lang w:val="en-US" w:eastAsia="zh-CN"/>
              </w:rPr>
              <w:t>3</w:t>
            </w:r>
            <w:r>
              <w:rPr>
                <w:rFonts w:hint="eastAsia"/>
                <w:color w:val="auto"/>
                <w:highlight w:val="none"/>
                <w:lang w:val="en-US" w:eastAsia="zh-CN"/>
              </w:rPr>
              <w:t>卧式双层柴油罐</w:t>
            </w:r>
          </w:p>
        </w:tc>
        <w:tc>
          <w:tcPr>
            <w:tcW w:w="962" w:type="dxa"/>
            <w:shd w:val="clear" w:color="auto" w:fill="auto"/>
            <w:vAlign w:val="center"/>
          </w:tcPr>
          <w:p w14:paraId="5E5780CD">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是</w:t>
            </w:r>
          </w:p>
        </w:tc>
        <w:tc>
          <w:tcPr>
            <w:tcW w:w="3050" w:type="dxa"/>
            <w:vMerge w:val="continue"/>
            <w:shd w:val="clear" w:color="auto" w:fill="auto"/>
            <w:vAlign w:val="center"/>
          </w:tcPr>
          <w:p w14:paraId="3F93DD5E">
            <w:pPr>
              <w:pStyle w:val="17"/>
              <w:bidi w:val="0"/>
              <w:rPr>
                <w:rFonts w:hint="default"/>
                <w:color w:val="auto"/>
                <w:highlight w:val="none"/>
                <w:lang w:val="en-US" w:eastAsia="zh-CN"/>
              </w:rPr>
            </w:pPr>
          </w:p>
        </w:tc>
      </w:tr>
      <w:tr w14:paraId="039B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dxa"/>
            <w:vAlign w:val="center"/>
          </w:tcPr>
          <w:p w14:paraId="3DF49432">
            <w:pPr>
              <w:pStyle w:val="17"/>
              <w:bidi w:val="0"/>
              <w:jc w:val="center"/>
              <w:rPr>
                <w:rFonts w:hint="default"/>
                <w:color w:val="auto"/>
                <w:highlight w:val="none"/>
                <w:lang w:val="en-US" w:eastAsia="zh-CN"/>
              </w:rPr>
            </w:pPr>
            <w:r>
              <w:rPr>
                <w:rFonts w:hint="eastAsia"/>
                <w:color w:val="auto"/>
                <w:highlight w:val="none"/>
                <w:lang w:val="en-US" w:eastAsia="zh-CN"/>
              </w:rPr>
              <w:t>3</w:t>
            </w:r>
          </w:p>
        </w:tc>
        <w:tc>
          <w:tcPr>
            <w:tcW w:w="1850" w:type="dxa"/>
            <w:shd w:val="clear" w:color="auto" w:fill="auto"/>
            <w:vAlign w:val="center"/>
          </w:tcPr>
          <w:p w14:paraId="5DB07C17">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b w:val="0"/>
                <w:bCs/>
                <w:color w:val="auto"/>
                <w:highlight w:val="none"/>
                <w:lang w:eastAsia="zh-CN"/>
              </w:rPr>
              <w:t>废石堆场</w:t>
            </w:r>
            <w:r>
              <w:rPr>
                <w:rFonts w:hint="eastAsia"/>
                <w:b w:val="0"/>
                <w:bCs/>
                <w:color w:val="auto"/>
                <w:highlight w:val="none"/>
              </w:rPr>
              <w:t>选择在采矿工业场地东南</w:t>
            </w:r>
            <w:r>
              <w:rPr>
                <w:rFonts w:hint="eastAsia"/>
                <w:b w:val="0"/>
                <w:bCs/>
                <w:color w:val="auto"/>
                <w:highlight w:val="none"/>
                <w:lang w:eastAsia="zh-CN"/>
              </w:rPr>
              <w:t>侧</w:t>
            </w:r>
            <w:r>
              <w:rPr>
                <w:rFonts w:hint="eastAsia"/>
                <w:b w:val="0"/>
                <w:bCs/>
                <w:color w:val="auto"/>
                <w:highlight w:val="none"/>
              </w:rPr>
              <w:t>，</w:t>
            </w:r>
            <w:r>
              <w:rPr>
                <w:rFonts w:hint="eastAsia"/>
                <w:b w:val="0"/>
                <w:bCs/>
                <w:color w:val="auto"/>
                <w:highlight w:val="none"/>
                <w:lang w:eastAsia="zh-CN"/>
              </w:rPr>
              <w:t>废石堆场</w:t>
            </w:r>
            <w:r>
              <w:rPr>
                <w:rFonts w:hint="eastAsia"/>
                <w:b w:val="0"/>
                <w:bCs/>
                <w:color w:val="auto"/>
                <w:highlight w:val="none"/>
              </w:rPr>
              <w:t>容量为470万m</w:t>
            </w:r>
            <w:r>
              <w:rPr>
                <w:rFonts w:hint="eastAsia"/>
                <w:b w:val="0"/>
                <w:bCs/>
                <w:color w:val="auto"/>
                <w:highlight w:val="none"/>
                <w:vertAlign w:val="superscript"/>
              </w:rPr>
              <w:t>3</w:t>
            </w:r>
            <w:r>
              <w:rPr>
                <w:rFonts w:hint="eastAsia"/>
                <w:b w:val="0"/>
                <w:bCs/>
                <w:color w:val="auto"/>
                <w:highlight w:val="none"/>
              </w:rPr>
              <w:t>，总堆置高度65m</w:t>
            </w:r>
          </w:p>
        </w:tc>
        <w:tc>
          <w:tcPr>
            <w:tcW w:w="2019" w:type="dxa"/>
            <w:shd w:val="clear" w:color="auto" w:fill="auto"/>
            <w:vAlign w:val="center"/>
          </w:tcPr>
          <w:p w14:paraId="24CDA6FD">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废石堆场</w:t>
            </w:r>
            <w:r>
              <w:rPr>
                <w:rFonts w:hint="eastAsia"/>
                <w:color w:val="auto"/>
                <w:highlight w:val="none"/>
              </w:rPr>
              <w:t>选择在采矿工业场地东南</w:t>
            </w:r>
            <w:r>
              <w:rPr>
                <w:rFonts w:hint="eastAsia"/>
                <w:color w:val="auto"/>
                <w:highlight w:val="none"/>
                <w:lang w:eastAsia="zh-CN"/>
              </w:rPr>
              <w:t>侧</w:t>
            </w:r>
            <w:r>
              <w:rPr>
                <w:rFonts w:hint="eastAsia"/>
                <w:color w:val="auto"/>
                <w:highlight w:val="none"/>
              </w:rPr>
              <w:t>，</w:t>
            </w:r>
            <w:r>
              <w:rPr>
                <w:rFonts w:hint="eastAsia"/>
                <w:color w:val="auto"/>
                <w:highlight w:val="none"/>
                <w:lang w:val="en-US" w:eastAsia="zh-CN"/>
              </w:rPr>
              <w:t>设计容积为782万m</w:t>
            </w:r>
            <w:r>
              <w:rPr>
                <w:rFonts w:hint="eastAsia"/>
                <w:color w:val="auto"/>
                <w:highlight w:val="none"/>
                <w:vertAlign w:val="superscript"/>
                <w:lang w:val="en-US" w:eastAsia="zh-CN"/>
              </w:rPr>
              <w:t>3</w:t>
            </w:r>
            <w:r>
              <w:rPr>
                <w:rFonts w:hint="eastAsia"/>
                <w:color w:val="auto"/>
                <w:highlight w:val="none"/>
                <w:lang w:val="en-US" w:eastAsia="zh-CN"/>
              </w:rPr>
              <w:t>，总堆置高度86m，为三级排土场</w:t>
            </w:r>
          </w:p>
        </w:tc>
        <w:tc>
          <w:tcPr>
            <w:tcW w:w="962" w:type="dxa"/>
            <w:shd w:val="clear" w:color="auto" w:fill="auto"/>
            <w:vAlign w:val="center"/>
          </w:tcPr>
          <w:p w14:paraId="71C88BC5">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是</w:t>
            </w:r>
          </w:p>
        </w:tc>
        <w:tc>
          <w:tcPr>
            <w:tcW w:w="3050" w:type="dxa"/>
            <w:vMerge w:val="continue"/>
            <w:shd w:val="clear" w:color="auto" w:fill="auto"/>
            <w:vAlign w:val="center"/>
          </w:tcPr>
          <w:p w14:paraId="34B10A1A">
            <w:pPr>
              <w:pStyle w:val="17"/>
              <w:bidi w:val="0"/>
              <w:rPr>
                <w:rFonts w:hint="default"/>
                <w:color w:val="auto"/>
                <w:highlight w:val="none"/>
                <w:lang w:val="en-US" w:eastAsia="zh-CN"/>
              </w:rPr>
            </w:pPr>
          </w:p>
        </w:tc>
      </w:tr>
      <w:tr w14:paraId="4939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dxa"/>
            <w:vAlign w:val="center"/>
          </w:tcPr>
          <w:p w14:paraId="48B89BD4">
            <w:pPr>
              <w:pStyle w:val="17"/>
              <w:bidi w:val="0"/>
              <w:jc w:val="center"/>
              <w:rPr>
                <w:rFonts w:hint="default"/>
                <w:color w:val="auto"/>
                <w:highlight w:val="none"/>
                <w:lang w:val="en-US" w:eastAsia="zh-CN"/>
              </w:rPr>
            </w:pPr>
            <w:r>
              <w:rPr>
                <w:rFonts w:hint="eastAsia"/>
                <w:color w:val="auto"/>
                <w:highlight w:val="none"/>
                <w:lang w:val="en-US" w:eastAsia="zh-CN"/>
              </w:rPr>
              <w:t>4</w:t>
            </w:r>
          </w:p>
        </w:tc>
        <w:tc>
          <w:tcPr>
            <w:tcW w:w="1850" w:type="dxa"/>
            <w:shd w:val="clear" w:color="auto" w:fill="auto"/>
            <w:vAlign w:val="center"/>
          </w:tcPr>
          <w:p w14:paraId="63987783">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设置</w:t>
            </w:r>
            <w:r>
              <w:rPr>
                <w:rFonts w:hint="eastAsia"/>
                <w:color w:val="auto"/>
                <w:highlight w:val="none"/>
              </w:rPr>
              <w:t>选矿厂生产水池</w:t>
            </w:r>
            <w:r>
              <w:rPr>
                <w:rFonts w:hint="eastAsia"/>
                <w:color w:val="auto"/>
                <w:highlight w:val="none"/>
                <w:lang w:eastAsia="zh-CN"/>
              </w:rPr>
              <w:t>（</w:t>
            </w:r>
            <w:r>
              <w:rPr>
                <w:rFonts w:hint="eastAsia"/>
                <w:color w:val="auto"/>
                <w:highlight w:val="none"/>
                <w:lang w:val="en-US" w:eastAsia="zh-CN"/>
              </w:rPr>
              <w:t>1000m</w:t>
            </w:r>
            <w:r>
              <w:rPr>
                <w:rFonts w:hint="eastAsia"/>
                <w:color w:val="auto"/>
                <w:highlight w:val="none"/>
                <w:vertAlign w:val="superscript"/>
                <w:lang w:val="en-US" w:eastAsia="zh-CN"/>
              </w:rPr>
              <w:t>3</w:t>
            </w:r>
            <w:r>
              <w:rPr>
                <w:rFonts w:hint="eastAsia"/>
                <w:color w:val="auto"/>
                <w:highlight w:val="none"/>
                <w:lang w:eastAsia="zh-CN"/>
              </w:rPr>
              <w:t>）、高位</w:t>
            </w:r>
            <w:r>
              <w:rPr>
                <w:rFonts w:hint="eastAsia"/>
                <w:color w:val="auto"/>
                <w:highlight w:val="none"/>
              </w:rPr>
              <w:t>生产回水池</w:t>
            </w:r>
            <w:r>
              <w:rPr>
                <w:rFonts w:hint="eastAsia"/>
                <w:color w:val="auto"/>
                <w:highlight w:val="none"/>
                <w:lang w:eastAsia="zh-CN"/>
              </w:rPr>
              <w:t>（</w:t>
            </w:r>
            <w:r>
              <w:rPr>
                <w:rFonts w:hint="eastAsia"/>
                <w:color w:val="auto"/>
                <w:highlight w:val="none"/>
                <w:lang w:val="en-US" w:eastAsia="zh-CN"/>
              </w:rPr>
              <w:t>2000m</w:t>
            </w:r>
            <w:r>
              <w:rPr>
                <w:rFonts w:hint="eastAsia"/>
                <w:color w:val="auto"/>
                <w:highlight w:val="none"/>
                <w:vertAlign w:val="superscript"/>
                <w:lang w:val="en-US" w:eastAsia="zh-CN"/>
              </w:rPr>
              <w:t>3</w:t>
            </w:r>
            <w:r>
              <w:rPr>
                <w:rFonts w:hint="eastAsia"/>
                <w:color w:val="auto"/>
                <w:highlight w:val="none"/>
                <w:lang w:eastAsia="zh-CN"/>
              </w:rPr>
              <w:t>）</w:t>
            </w:r>
          </w:p>
        </w:tc>
        <w:tc>
          <w:tcPr>
            <w:tcW w:w="2019" w:type="dxa"/>
            <w:shd w:val="clear" w:color="auto" w:fill="auto"/>
            <w:vAlign w:val="center"/>
          </w:tcPr>
          <w:p w14:paraId="31F2E12C">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设置一座2000m</w:t>
            </w:r>
            <w:r>
              <w:rPr>
                <w:rFonts w:hint="eastAsia"/>
                <w:color w:val="auto"/>
                <w:highlight w:val="none"/>
                <w:vertAlign w:val="superscript"/>
                <w:lang w:val="en-US" w:eastAsia="zh-CN"/>
              </w:rPr>
              <w:t>3</w:t>
            </w:r>
            <w:r>
              <w:rPr>
                <w:rFonts w:hint="eastAsia"/>
                <w:color w:val="auto"/>
                <w:highlight w:val="none"/>
                <w:lang w:val="en-US" w:eastAsia="zh-CN"/>
              </w:rPr>
              <w:t>生产消防高位水池，一座4000m</w:t>
            </w:r>
            <w:r>
              <w:rPr>
                <w:rFonts w:hint="eastAsia"/>
                <w:color w:val="auto"/>
                <w:highlight w:val="none"/>
                <w:vertAlign w:val="superscript"/>
                <w:lang w:val="en-US" w:eastAsia="zh-CN"/>
              </w:rPr>
              <w:t>3</w:t>
            </w:r>
            <w:r>
              <w:rPr>
                <w:rFonts w:hint="eastAsia"/>
                <w:color w:val="auto"/>
                <w:highlight w:val="none"/>
              </w:rPr>
              <w:t>选矿厂</w:t>
            </w:r>
            <w:r>
              <w:rPr>
                <w:rFonts w:hint="eastAsia"/>
                <w:color w:val="auto"/>
                <w:highlight w:val="none"/>
                <w:lang w:eastAsia="zh-CN"/>
              </w:rPr>
              <w:t>高位</w:t>
            </w:r>
            <w:r>
              <w:rPr>
                <w:rFonts w:hint="eastAsia"/>
                <w:color w:val="auto"/>
                <w:highlight w:val="none"/>
              </w:rPr>
              <w:t>生产回水池</w:t>
            </w:r>
          </w:p>
        </w:tc>
        <w:tc>
          <w:tcPr>
            <w:tcW w:w="962" w:type="dxa"/>
            <w:shd w:val="clear" w:color="auto" w:fill="auto"/>
            <w:vAlign w:val="center"/>
          </w:tcPr>
          <w:p w14:paraId="74BF7A0E">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是</w:t>
            </w:r>
          </w:p>
        </w:tc>
        <w:tc>
          <w:tcPr>
            <w:tcW w:w="3050" w:type="dxa"/>
            <w:vMerge w:val="continue"/>
            <w:shd w:val="clear" w:color="auto" w:fill="auto"/>
            <w:vAlign w:val="center"/>
          </w:tcPr>
          <w:p w14:paraId="5B796BAB">
            <w:pPr>
              <w:pStyle w:val="17"/>
              <w:bidi w:val="0"/>
              <w:rPr>
                <w:rFonts w:hint="default"/>
                <w:color w:val="auto"/>
                <w:highlight w:val="none"/>
                <w:lang w:val="en-US" w:eastAsia="zh-CN"/>
              </w:rPr>
            </w:pPr>
          </w:p>
        </w:tc>
      </w:tr>
      <w:tr w14:paraId="0F50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dxa"/>
            <w:vAlign w:val="center"/>
          </w:tcPr>
          <w:p w14:paraId="13D241B2">
            <w:pPr>
              <w:pStyle w:val="17"/>
              <w:bidi w:val="0"/>
              <w:jc w:val="center"/>
              <w:rPr>
                <w:rFonts w:hint="default"/>
                <w:color w:val="auto"/>
                <w:highlight w:val="none"/>
                <w:lang w:val="en-US" w:eastAsia="zh-CN"/>
              </w:rPr>
            </w:pPr>
            <w:r>
              <w:rPr>
                <w:rFonts w:hint="eastAsia"/>
                <w:color w:val="auto"/>
                <w:highlight w:val="none"/>
                <w:lang w:val="en-US" w:eastAsia="zh-CN"/>
              </w:rPr>
              <w:t>5</w:t>
            </w:r>
          </w:p>
        </w:tc>
        <w:tc>
          <w:tcPr>
            <w:tcW w:w="1850" w:type="dxa"/>
            <w:shd w:val="clear" w:color="auto" w:fill="auto"/>
            <w:vAlign w:val="center"/>
          </w:tcPr>
          <w:p w14:paraId="35FDF069">
            <w:pPr>
              <w:pStyle w:val="17"/>
              <w:bidi w:val="0"/>
              <w:ind w:firstLine="0" w:firstLineChars="0"/>
              <w:jc w:val="center"/>
              <w:rPr>
                <w:rFonts w:hint="eastAsia"/>
                <w:color w:val="auto"/>
                <w:highlight w:val="none"/>
              </w:rPr>
            </w:pPr>
            <w:r>
              <w:rPr>
                <w:rFonts w:hint="default"/>
                <w:color w:val="auto"/>
                <w:highlight w:val="none"/>
                <w:lang w:val="en-US" w:eastAsia="zh-CN"/>
              </w:rPr>
              <w:t>生活污水处理采用</w:t>
            </w:r>
            <w:r>
              <w:rPr>
                <w:rFonts w:hint="eastAsia"/>
                <w:color w:val="auto"/>
                <w:highlight w:val="none"/>
                <w:lang w:val="en-US" w:eastAsia="zh-CN"/>
              </w:rPr>
              <w:t>地埋式污水</w:t>
            </w:r>
            <w:r>
              <w:rPr>
                <w:rFonts w:hint="default"/>
                <w:color w:val="auto"/>
                <w:highlight w:val="none"/>
                <w:lang w:val="en-US" w:eastAsia="zh-CN"/>
              </w:rPr>
              <w:t>处理设施，处理能力</w:t>
            </w:r>
            <w:r>
              <w:rPr>
                <w:rFonts w:hint="eastAsia"/>
                <w:color w:val="auto"/>
                <w:highlight w:val="none"/>
                <w:lang w:val="en-US" w:eastAsia="zh-CN"/>
              </w:rPr>
              <w:t>3</w:t>
            </w:r>
            <w:r>
              <w:rPr>
                <w:rFonts w:hint="default"/>
                <w:color w:val="auto"/>
                <w:highlight w:val="none"/>
                <w:lang w:val="en-US" w:eastAsia="zh-CN"/>
              </w:rPr>
              <w:t>m</w:t>
            </w:r>
            <w:r>
              <w:rPr>
                <w:rFonts w:hint="default"/>
                <w:color w:val="auto"/>
                <w:highlight w:val="none"/>
                <w:vertAlign w:val="superscript"/>
                <w:lang w:val="en-US" w:eastAsia="zh-CN"/>
              </w:rPr>
              <w:t>3</w:t>
            </w:r>
            <w:r>
              <w:rPr>
                <w:rFonts w:hint="default"/>
                <w:color w:val="auto"/>
                <w:highlight w:val="none"/>
                <w:lang w:val="en-US" w:eastAsia="zh-CN"/>
              </w:rPr>
              <w:t>/h</w:t>
            </w:r>
          </w:p>
        </w:tc>
        <w:tc>
          <w:tcPr>
            <w:tcW w:w="2019" w:type="dxa"/>
            <w:shd w:val="clear" w:color="auto" w:fill="auto"/>
            <w:vAlign w:val="center"/>
          </w:tcPr>
          <w:p w14:paraId="66254FA4">
            <w:pPr>
              <w:pStyle w:val="17"/>
              <w:bidi w:val="0"/>
              <w:ind w:firstLine="0" w:firstLineChars="0"/>
              <w:jc w:val="center"/>
              <w:rPr>
                <w:rFonts w:hint="eastAsia"/>
                <w:color w:val="auto"/>
                <w:highlight w:val="none"/>
                <w:lang w:val="en-US" w:eastAsia="zh-CN"/>
              </w:rPr>
            </w:pPr>
            <w:r>
              <w:rPr>
                <w:rFonts w:hint="default"/>
                <w:color w:val="auto"/>
                <w:highlight w:val="none"/>
                <w:lang w:val="en-US" w:eastAsia="zh-CN"/>
              </w:rPr>
              <w:t>生活污水处理采用</w:t>
            </w:r>
            <w:r>
              <w:rPr>
                <w:rFonts w:hint="eastAsia"/>
                <w:color w:val="auto"/>
                <w:highlight w:val="none"/>
                <w:lang w:val="en-US" w:eastAsia="zh-CN"/>
              </w:rPr>
              <w:t>地埋式污水</w:t>
            </w:r>
            <w:r>
              <w:rPr>
                <w:rFonts w:hint="default"/>
                <w:color w:val="auto"/>
                <w:highlight w:val="none"/>
                <w:lang w:val="en-US" w:eastAsia="zh-CN"/>
              </w:rPr>
              <w:t>处理设施，处理能力</w:t>
            </w:r>
            <w:r>
              <w:rPr>
                <w:rFonts w:hint="eastAsia"/>
                <w:color w:val="auto"/>
                <w:highlight w:val="none"/>
                <w:lang w:val="en-US" w:eastAsia="zh-CN"/>
              </w:rPr>
              <w:t>200</w:t>
            </w:r>
            <w:r>
              <w:rPr>
                <w:rFonts w:hint="default"/>
                <w:color w:val="auto"/>
                <w:highlight w:val="none"/>
                <w:lang w:val="en-US" w:eastAsia="zh-CN"/>
              </w:rPr>
              <w:t>m</w:t>
            </w:r>
            <w:r>
              <w:rPr>
                <w:rFonts w:hint="default"/>
                <w:color w:val="auto"/>
                <w:highlight w:val="none"/>
                <w:vertAlign w:val="superscript"/>
                <w:lang w:val="en-US" w:eastAsia="zh-CN"/>
              </w:rPr>
              <w:t>3</w:t>
            </w:r>
            <w:r>
              <w:rPr>
                <w:rFonts w:hint="default"/>
                <w:color w:val="auto"/>
                <w:highlight w:val="none"/>
                <w:lang w:val="en-US" w:eastAsia="zh-CN"/>
              </w:rPr>
              <w:t>/</w:t>
            </w:r>
            <w:r>
              <w:rPr>
                <w:rFonts w:hint="eastAsia"/>
                <w:color w:val="auto"/>
                <w:highlight w:val="none"/>
                <w:lang w:val="en-US" w:eastAsia="zh-CN"/>
              </w:rPr>
              <w:t>d</w:t>
            </w:r>
          </w:p>
        </w:tc>
        <w:tc>
          <w:tcPr>
            <w:tcW w:w="962" w:type="dxa"/>
            <w:shd w:val="clear" w:color="auto" w:fill="auto"/>
            <w:vAlign w:val="center"/>
          </w:tcPr>
          <w:p w14:paraId="4A251130">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是</w:t>
            </w:r>
          </w:p>
        </w:tc>
        <w:tc>
          <w:tcPr>
            <w:tcW w:w="3050" w:type="dxa"/>
            <w:vMerge w:val="continue"/>
            <w:shd w:val="clear" w:color="auto" w:fill="auto"/>
            <w:vAlign w:val="center"/>
          </w:tcPr>
          <w:p w14:paraId="3D952778">
            <w:pPr>
              <w:pStyle w:val="17"/>
              <w:bidi w:val="0"/>
              <w:rPr>
                <w:rFonts w:hint="default"/>
                <w:color w:val="auto"/>
                <w:highlight w:val="none"/>
                <w:lang w:val="en-US" w:eastAsia="zh-CN"/>
              </w:rPr>
            </w:pPr>
          </w:p>
        </w:tc>
      </w:tr>
      <w:tr w14:paraId="76E0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8" w:type="dxa"/>
            <w:vAlign w:val="center"/>
          </w:tcPr>
          <w:p w14:paraId="29F7EA6B">
            <w:pPr>
              <w:pStyle w:val="17"/>
              <w:bidi w:val="0"/>
              <w:jc w:val="center"/>
              <w:rPr>
                <w:rFonts w:hint="default"/>
                <w:color w:val="auto"/>
                <w:highlight w:val="none"/>
                <w:lang w:val="en-US" w:eastAsia="zh-CN"/>
              </w:rPr>
            </w:pPr>
            <w:r>
              <w:rPr>
                <w:rFonts w:hint="eastAsia"/>
                <w:color w:val="auto"/>
                <w:highlight w:val="none"/>
                <w:lang w:val="en-US" w:eastAsia="zh-CN"/>
              </w:rPr>
              <w:t>6</w:t>
            </w:r>
          </w:p>
        </w:tc>
        <w:tc>
          <w:tcPr>
            <w:tcW w:w="1850" w:type="dxa"/>
            <w:shd w:val="clear" w:color="auto" w:fill="auto"/>
            <w:vAlign w:val="center"/>
          </w:tcPr>
          <w:p w14:paraId="1FFAF94A">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highlight w:val="none"/>
                <w:lang w:val="en-US" w:eastAsia="zh-CN"/>
              </w:rPr>
              <w:t>选矿药剂全部外购成品，由自动加药系统投加</w:t>
            </w:r>
          </w:p>
        </w:tc>
        <w:tc>
          <w:tcPr>
            <w:tcW w:w="2019" w:type="dxa"/>
            <w:shd w:val="clear" w:color="auto" w:fill="auto"/>
            <w:vAlign w:val="center"/>
          </w:tcPr>
          <w:p w14:paraId="021DB6C5">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highlight w:val="none"/>
                <w:lang w:val="en-US" w:eastAsia="zh-CN"/>
              </w:rPr>
              <w:t>新增</w:t>
            </w:r>
            <w:r>
              <w:rPr>
                <w:rFonts w:hint="eastAsia" w:cs="Times New Roman"/>
                <w:color w:val="auto"/>
                <w:highlight w:val="none"/>
                <w:lang w:val="en-US" w:eastAsia="zh-CN"/>
              </w:rPr>
              <w:t>酸化水玻璃配制工序</w:t>
            </w:r>
            <w:r>
              <w:rPr>
                <w:rFonts w:hint="eastAsia" w:ascii="Times New Roman" w:hAnsi="Times New Roman" w:eastAsia="宋体" w:cs="Times New Roman"/>
                <w:color w:val="auto"/>
                <w:highlight w:val="none"/>
                <w:lang w:val="en-US" w:eastAsia="zh-CN"/>
              </w:rPr>
              <w:t>，外购93%浓硫酸和水玻璃进行稀释调配，浓硫酸稀释过程中会产生少量硫酸雾，采用吸收塔吸收处理后，经15m高排气筒排放</w:t>
            </w:r>
          </w:p>
        </w:tc>
        <w:tc>
          <w:tcPr>
            <w:tcW w:w="962" w:type="dxa"/>
            <w:shd w:val="clear" w:color="auto" w:fill="auto"/>
            <w:vAlign w:val="center"/>
          </w:tcPr>
          <w:p w14:paraId="1670343A">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是</w:t>
            </w:r>
          </w:p>
        </w:tc>
        <w:tc>
          <w:tcPr>
            <w:tcW w:w="3050" w:type="dxa"/>
            <w:shd w:val="clear" w:color="auto" w:fill="auto"/>
            <w:vAlign w:val="center"/>
          </w:tcPr>
          <w:p w14:paraId="2169992F">
            <w:pPr>
              <w:pStyle w:val="17"/>
              <w:bidi w:val="0"/>
              <w:rPr>
                <w:rFonts w:hint="default"/>
                <w:color w:val="auto"/>
                <w:highlight w:val="none"/>
                <w:lang w:val="en-US" w:eastAsia="zh-CN"/>
              </w:rPr>
            </w:pPr>
            <w:r>
              <w:rPr>
                <w:rFonts w:hint="default"/>
                <w:color w:val="auto"/>
                <w:highlight w:val="none"/>
                <w:lang w:val="en-US" w:eastAsia="zh-CN"/>
              </w:rPr>
              <w:t>根据《污染影响类建设项目重大变动清单</w:t>
            </w:r>
            <w:r>
              <w:rPr>
                <w:rFonts w:hint="eastAsia"/>
                <w:color w:val="auto"/>
                <w:highlight w:val="none"/>
                <w:lang w:val="en-US" w:eastAsia="zh-CN"/>
              </w:rPr>
              <w:t>（试行）》</w:t>
            </w:r>
            <w:r>
              <w:rPr>
                <w:rFonts w:hint="default"/>
                <w:color w:val="auto"/>
                <w:highlight w:val="none"/>
                <w:lang w:val="en-US" w:eastAsia="zh-CN"/>
              </w:rPr>
              <w:t>6.新增产品品种或生产工艺（含主要生产装置、设备及配套设施）、主要原辅材料、燃料变化，导致以下情形之一：</w:t>
            </w:r>
          </w:p>
          <w:p w14:paraId="12851200">
            <w:pPr>
              <w:pStyle w:val="17"/>
              <w:bidi w:val="0"/>
              <w:rPr>
                <w:rFonts w:hint="default"/>
                <w:color w:val="auto"/>
                <w:highlight w:val="none"/>
                <w:lang w:val="en-US" w:eastAsia="zh-CN"/>
              </w:rPr>
            </w:pPr>
            <w:r>
              <w:rPr>
                <w:rFonts w:hint="default"/>
                <w:color w:val="auto"/>
                <w:highlight w:val="none"/>
                <w:lang w:val="en-US" w:eastAsia="zh-CN"/>
              </w:rPr>
              <w:t>（1）新增排放污染物种类的（毒性、挥发性降低的除外）；</w:t>
            </w:r>
          </w:p>
          <w:p w14:paraId="08B83B5F">
            <w:pPr>
              <w:pStyle w:val="17"/>
              <w:bidi w:val="0"/>
              <w:rPr>
                <w:rFonts w:hint="default"/>
                <w:color w:val="auto"/>
                <w:highlight w:val="none"/>
                <w:lang w:val="en-US" w:eastAsia="zh-CN"/>
              </w:rPr>
            </w:pPr>
            <w:r>
              <w:rPr>
                <w:rFonts w:hint="default"/>
                <w:color w:val="auto"/>
                <w:highlight w:val="none"/>
                <w:lang w:val="en-US" w:eastAsia="zh-CN"/>
              </w:rPr>
              <w:t>（2）位于环境质量不达标区的建设项目相应污染物排放量增加的；</w:t>
            </w:r>
          </w:p>
          <w:p w14:paraId="4327480D">
            <w:pPr>
              <w:pStyle w:val="17"/>
              <w:bidi w:val="0"/>
              <w:rPr>
                <w:rFonts w:hint="default"/>
                <w:color w:val="auto"/>
                <w:highlight w:val="none"/>
                <w:lang w:val="en-US" w:eastAsia="zh-CN"/>
              </w:rPr>
            </w:pPr>
            <w:r>
              <w:rPr>
                <w:rFonts w:hint="default"/>
                <w:color w:val="auto"/>
                <w:highlight w:val="none"/>
                <w:lang w:val="en-US" w:eastAsia="zh-CN"/>
              </w:rPr>
              <w:t>（3）废水第一类污染物排放量增加的；</w:t>
            </w:r>
          </w:p>
          <w:p w14:paraId="42AB361E">
            <w:pPr>
              <w:pStyle w:val="17"/>
              <w:bidi w:val="0"/>
              <w:rPr>
                <w:rFonts w:hint="default" w:ascii="Times New Roman" w:hAnsi="Times New Roman" w:eastAsia="宋体" w:cs="Times New Roman"/>
                <w:color w:val="auto"/>
                <w:kern w:val="0"/>
                <w:szCs w:val="20"/>
                <w:highlight w:val="none"/>
                <w:lang w:val="en-US" w:eastAsia="zh-CN" w:bidi="ar-SA"/>
              </w:rPr>
            </w:pPr>
            <w:r>
              <w:rPr>
                <w:rFonts w:hint="default"/>
                <w:color w:val="auto"/>
                <w:highlight w:val="none"/>
                <w:lang w:val="en-US" w:eastAsia="zh-CN"/>
              </w:rPr>
              <w:t>（4）其他污染物排放量增加10%及以上的。</w:t>
            </w:r>
          </w:p>
        </w:tc>
      </w:tr>
    </w:tbl>
    <w:p w14:paraId="53E70AE4">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根据环办环评函〔2020〕688号《生态环境部办公厅关于印发〈污染影响类建设项目重大变动清单（试行）〉的通知》《新疆维吾尔自治区环境影响评价管理中建设项目重大变动界定程序规定》，项目</w:t>
      </w:r>
      <w:r>
        <w:rPr>
          <w:rFonts w:hint="eastAsia" w:cs="Times New Roman"/>
          <w:color w:val="auto"/>
          <w:highlight w:val="none"/>
          <w:lang w:val="en-US" w:eastAsia="zh-CN"/>
        </w:rPr>
        <w:t>涉及</w:t>
      </w:r>
      <w:r>
        <w:rPr>
          <w:rFonts w:hint="default" w:ascii="Times New Roman" w:hAnsi="Times New Roman" w:cs="Times New Roman"/>
          <w:color w:val="auto"/>
          <w:highlight w:val="none"/>
          <w:lang w:val="en-US" w:eastAsia="zh-CN"/>
        </w:rPr>
        <w:t>重大变动</w:t>
      </w:r>
      <w:r>
        <w:rPr>
          <w:rFonts w:hint="eastAsia" w:cs="Times New Roman"/>
          <w:color w:val="auto"/>
          <w:highlight w:val="none"/>
          <w:lang w:val="en-US" w:eastAsia="zh-CN"/>
        </w:rPr>
        <w:t>情形</w:t>
      </w:r>
      <w:r>
        <w:rPr>
          <w:rFonts w:hint="default" w:ascii="Times New Roman" w:hAnsi="Times New Roman" w:cs="Times New Roman"/>
          <w:color w:val="auto"/>
          <w:highlight w:val="none"/>
          <w:lang w:val="en-US" w:eastAsia="zh-CN"/>
        </w:rPr>
        <w:t>，应当重新报批环境影响评价文件。</w:t>
      </w:r>
    </w:p>
    <w:p w14:paraId="3CAA9E4E">
      <w:pPr>
        <w:pStyle w:val="6"/>
        <w:bidi w:val="0"/>
        <w:rPr>
          <w:rFonts w:hint="default"/>
          <w:color w:val="auto"/>
          <w:highlight w:val="none"/>
        </w:rPr>
      </w:pPr>
      <w:r>
        <w:rPr>
          <w:rFonts w:hint="default"/>
          <w:color w:val="auto"/>
          <w:highlight w:val="none"/>
        </w:rPr>
        <w:t>1.1.2建设项目特点</w:t>
      </w:r>
      <w:bookmarkEnd w:id="25"/>
      <w:bookmarkEnd w:id="26"/>
      <w:bookmarkEnd w:id="27"/>
    </w:p>
    <w:p w14:paraId="2FD07286">
      <w:pPr>
        <w:overflowPunct w:val="0"/>
        <w:topLinePunct/>
        <w:snapToGrid w:val="0"/>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本项目建设内容包括</w:t>
      </w:r>
      <w:r>
        <w:rPr>
          <w:rFonts w:hint="default" w:ascii="Times New Roman" w:hAnsi="Times New Roman" w:cs="Times New Roman"/>
          <w:color w:val="auto"/>
          <w:szCs w:val="24"/>
          <w:highlight w:val="none"/>
          <w:lang w:val="en-US" w:eastAsia="zh-CN"/>
        </w:rPr>
        <w:t>采矿工程、选矿工程，</w:t>
      </w:r>
      <w:r>
        <w:rPr>
          <w:rFonts w:hint="default" w:ascii="Times New Roman" w:hAnsi="Times New Roman" w:cs="Times New Roman"/>
          <w:color w:val="auto"/>
          <w:highlight w:val="none"/>
          <w:lang w:eastAsia="zh-CN"/>
        </w:rPr>
        <w:t>项目</w:t>
      </w:r>
      <w:r>
        <w:rPr>
          <w:rFonts w:hint="default" w:ascii="Times New Roman" w:hAnsi="Times New Roman" w:cs="Times New Roman"/>
          <w:color w:val="auto"/>
          <w:highlight w:val="none"/>
        </w:rPr>
        <w:t>最终产品为</w:t>
      </w:r>
      <w:r>
        <w:rPr>
          <w:rFonts w:hint="eastAsia" w:cs="Times New Roman"/>
          <w:color w:val="auto"/>
          <w:highlight w:val="none"/>
          <w:lang w:val="en-US" w:eastAsia="zh-CN"/>
        </w:rPr>
        <w:t>97%</w:t>
      </w:r>
      <w:r>
        <w:rPr>
          <w:rFonts w:hint="default" w:ascii="Times New Roman" w:hAnsi="Times New Roman" w:cs="Times New Roman"/>
          <w:color w:val="auto"/>
          <w:highlight w:val="none"/>
        </w:rPr>
        <w:t>萤石精矿，同时精矿产品中其他杂质含量SiO</w:t>
      </w:r>
      <w:r>
        <w:rPr>
          <w:rFonts w:hint="default" w:ascii="Times New Roman" w:hAnsi="Times New Roman" w:cs="Times New Roman"/>
          <w:color w:val="auto"/>
          <w:highlight w:val="none"/>
          <w:vertAlign w:val="subscript"/>
        </w:rPr>
        <w:t>2</w:t>
      </w:r>
      <w:r>
        <w:rPr>
          <w:rFonts w:hint="default" w:ascii="Times New Roman" w:hAnsi="Times New Roman" w:cs="Times New Roman"/>
          <w:color w:val="auto"/>
          <w:highlight w:val="none"/>
        </w:rPr>
        <w:t>、CaCO</w:t>
      </w:r>
      <w:r>
        <w:rPr>
          <w:rFonts w:hint="default" w:ascii="Times New Roman" w:hAnsi="Times New Roman" w:cs="Times New Roman"/>
          <w:color w:val="auto"/>
          <w:highlight w:val="none"/>
          <w:vertAlign w:val="subscript"/>
        </w:rPr>
        <w:t>3</w:t>
      </w:r>
      <w:r>
        <w:rPr>
          <w:rFonts w:hint="default" w:ascii="Times New Roman" w:hAnsi="Times New Roman" w:cs="Times New Roman"/>
          <w:color w:val="auto"/>
          <w:highlight w:val="none"/>
        </w:rPr>
        <w:t>、S、P、As等均达到《萤石（YB/T5217-2019）》中FC97的质量标准。</w:t>
      </w:r>
    </w:p>
    <w:p w14:paraId="61E33948">
      <w:pPr>
        <w:overflowPunct w:val="0"/>
        <w:topLinePunct/>
        <w:snapToGrid w:val="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本项目具有以下特点：</w:t>
      </w:r>
    </w:p>
    <w:p w14:paraId="3196A6EB">
      <w:pPr>
        <w:overflowPunct w:val="0"/>
        <w:topLinePunct/>
        <w:snapToGrid w:val="0"/>
        <w:spacing w:line="480" w:lineRule="exact"/>
        <w:ind w:firstLine="480"/>
        <w:rPr>
          <w:rFonts w:hint="default" w:ascii="Times New Roman" w:hAnsi="Times New Roman" w:cs="Times New Roman"/>
          <w:color w:val="auto"/>
          <w:highlight w:val="none"/>
        </w:rPr>
      </w:pPr>
      <w:r>
        <w:rPr>
          <w:rFonts w:hint="default" w:ascii="Times New Roman" w:hAnsi="Times New Roman" w:cs="Times New Roman"/>
          <w:color w:val="auto"/>
          <w:szCs w:val="24"/>
          <w:highlight w:val="none"/>
        </w:rPr>
        <w:t>（1）</w:t>
      </w:r>
      <w:r>
        <w:rPr>
          <w:rFonts w:hint="eastAsia" w:cs="Times New Roman"/>
          <w:color w:val="auto"/>
          <w:szCs w:val="24"/>
          <w:highlight w:val="none"/>
          <w:lang w:val="en-US" w:eastAsia="zh-CN"/>
        </w:rPr>
        <w:t>本项目包括采矿工程和选矿工程，矿山采用全地下开采</w:t>
      </w:r>
      <w:r>
        <w:rPr>
          <w:rFonts w:hint="default" w:ascii="Times New Roman" w:hAnsi="Times New Roman" w:cs="Times New Roman"/>
          <w:color w:val="auto"/>
          <w:szCs w:val="24"/>
          <w:highlight w:val="none"/>
        </w:rPr>
        <w:t>。</w:t>
      </w:r>
    </w:p>
    <w:p w14:paraId="1FBD47AE">
      <w:pPr>
        <w:overflowPunct w:val="0"/>
        <w:topLinePunct/>
        <w:snapToGrid w:val="0"/>
        <w:spacing w:line="480" w:lineRule="exact"/>
        <w:ind w:firstLine="480"/>
        <w:rPr>
          <w:rFonts w:hint="default" w:ascii="Times New Roman" w:hAnsi="Times New Roman" w:cs="Times New Roman"/>
          <w:color w:val="auto"/>
          <w:szCs w:val="28"/>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w:t>
      </w:r>
      <w:r>
        <w:rPr>
          <w:rFonts w:hint="default" w:ascii="Times New Roman" w:hAnsi="Times New Roman" w:eastAsia="宋体" w:cs="Times New Roman"/>
          <w:color w:val="auto"/>
          <w:szCs w:val="28"/>
          <w:highlight w:val="none"/>
        </w:rPr>
        <w:t>选</w:t>
      </w:r>
      <w:r>
        <w:rPr>
          <w:rFonts w:hint="default" w:ascii="Times New Roman" w:hAnsi="Times New Roman" w:cs="Times New Roman"/>
          <w:color w:val="auto"/>
          <w:szCs w:val="28"/>
          <w:highlight w:val="none"/>
          <w:lang w:eastAsia="zh-CN"/>
        </w:rPr>
        <w:t>矿</w:t>
      </w:r>
      <w:r>
        <w:rPr>
          <w:rFonts w:hint="default" w:ascii="Times New Roman" w:hAnsi="Times New Roman" w:eastAsia="宋体" w:cs="Times New Roman"/>
          <w:color w:val="auto"/>
          <w:szCs w:val="28"/>
          <w:highlight w:val="none"/>
        </w:rPr>
        <w:t>工程</w:t>
      </w:r>
      <w:r>
        <w:rPr>
          <w:rFonts w:hint="default" w:ascii="Times New Roman" w:hAnsi="Times New Roman" w:eastAsia="宋体" w:cs="Times New Roman"/>
          <w:color w:val="auto"/>
          <w:szCs w:val="28"/>
          <w:highlight w:val="none"/>
          <w:lang w:val="en-US" w:eastAsia="zh-CN"/>
        </w:rPr>
        <w:t>配套</w:t>
      </w:r>
      <w:r>
        <w:rPr>
          <w:rFonts w:hint="default" w:ascii="Times New Roman" w:hAnsi="Times New Roman" w:eastAsia="宋体" w:cs="Times New Roman"/>
          <w:color w:val="auto"/>
          <w:szCs w:val="28"/>
          <w:highlight w:val="none"/>
        </w:rPr>
        <w:t>尾矿库，采用湿排</w:t>
      </w:r>
      <w:r>
        <w:rPr>
          <w:rFonts w:hint="default" w:ascii="Times New Roman" w:hAnsi="Times New Roman" w:eastAsia="宋体" w:cs="Times New Roman"/>
          <w:color w:val="auto"/>
          <w:szCs w:val="28"/>
          <w:highlight w:val="none"/>
          <w:lang w:val="en-US" w:eastAsia="zh-CN"/>
        </w:rPr>
        <w:t>方式，</w:t>
      </w:r>
      <w:r>
        <w:rPr>
          <w:rFonts w:hint="default" w:ascii="Times New Roman" w:hAnsi="Times New Roman" w:eastAsia="宋体" w:cs="Times New Roman"/>
          <w:color w:val="auto"/>
          <w:szCs w:val="28"/>
          <w:highlight w:val="none"/>
        </w:rPr>
        <w:t>上游法筑坝，尾矿库等别为三等，总库容为</w:t>
      </w:r>
      <w:r>
        <w:rPr>
          <w:rFonts w:hint="default" w:ascii="Times New Roman" w:hAnsi="Times New Roman" w:cs="Times New Roman"/>
          <w:color w:val="auto"/>
          <w:szCs w:val="28"/>
          <w:highlight w:val="none"/>
          <w:lang w:val="en-US" w:eastAsia="zh-CN"/>
        </w:rPr>
        <w:t>2062.4</w:t>
      </w:r>
      <w:r>
        <w:rPr>
          <w:rFonts w:hint="default" w:ascii="Times New Roman" w:hAnsi="Times New Roman" w:eastAsia="宋体" w:cs="Times New Roman"/>
          <w:color w:val="auto"/>
          <w:szCs w:val="28"/>
          <w:highlight w:val="none"/>
        </w:rPr>
        <w:t>万m</w:t>
      </w:r>
      <w:r>
        <w:rPr>
          <w:rFonts w:hint="default" w:ascii="Times New Roman" w:hAnsi="Times New Roman" w:eastAsia="宋体" w:cs="Times New Roman"/>
          <w:color w:val="auto"/>
          <w:szCs w:val="28"/>
          <w:highlight w:val="none"/>
          <w:vertAlign w:val="superscript"/>
        </w:rPr>
        <w:t>3</w:t>
      </w:r>
      <w:r>
        <w:rPr>
          <w:rFonts w:hint="default" w:ascii="Times New Roman" w:hAnsi="Times New Roman" w:eastAsia="宋体" w:cs="Times New Roman"/>
          <w:color w:val="auto"/>
          <w:szCs w:val="28"/>
          <w:highlight w:val="none"/>
        </w:rPr>
        <w:t>，有效库容</w:t>
      </w:r>
      <w:r>
        <w:rPr>
          <w:rFonts w:hint="default" w:ascii="Times New Roman" w:hAnsi="Times New Roman" w:cs="Times New Roman"/>
          <w:color w:val="auto"/>
          <w:szCs w:val="28"/>
          <w:highlight w:val="none"/>
          <w:lang w:val="en-US" w:eastAsia="zh-CN"/>
        </w:rPr>
        <w:t>1443.67</w:t>
      </w:r>
      <w:r>
        <w:rPr>
          <w:rFonts w:hint="default" w:ascii="Times New Roman" w:hAnsi="Times New Roman" w:eastAsia="宋体" w:cs="Times New Roman"/>
          <w:color w:val="auto"/>
          <w:szCs w:val="28"/>
          <w:highlight w:val="none"/>
        </w:rPr>
        <w:t>万m</w:t>
      </w:r>
      <w:r>
        <w:rPr>
          <w:rFonts w:hint="default" w:ascii="Times New Roman" w:hAnsi="Times New Roman" w:eastAsia="宋体" w:cs="Times New Roman"/>
          <w:color w:val="auto"/>
          <w:szCs w:val="28"/>
          <w:highlight w:val="none"/>
          <w:vertAlign w:val="superscript"/>
        </w:rPr>
        <w:t>3</w:t>
      </w:r>
      <w:r>
        <w:rPr>
          <w:rFonts w:hint="default" w:ascii="Times New Roman" w:hAnsi="Times New Roman" w:eastAsia="宋体" w:cs="Times New Roman"/>
          <w:color w:val="auto"/>
          <w:szCs w:val="28"/>
          <w:highlight w:val="none"/>
        </w:rPr>
        <w:t>，总坝高</w:t>
      </w:r>
      <w:r>
        <w:rPr>
          <w:rFonts w:hint="default" w:ascii="Times New Roman" w:hAnsi="Times New Roman" w:cs="Times New Roman"/>
          <w:color w:val="auto"/>
          <w:szCs w:val="28"/>
          <w:highlight w:val="none"/>
          <w:lang w:eastAsia="zh-CN"/>
        </w:rPr>
        <w:t>73</w:t>
      </w:r>
      <w:r>
        <w:rPr>
          <w:rFonts w:hint="eastAsia" w:cs="Times New Roman"/>
          <w:color w:val="auto"/>
          <w:szCs w:val="28"/>
          <w:highlight w:val="none"/>
          <w:lang w:val="en-US" w:eastAsia="zh-CN"/>
        </w:rPr>
        <w:t>m</w:t>
      </w:r>
      <w:r>
        <w:rPr>
          <w:rFonts w:hint="default" w:ascii="Times New Roman" w:hAnsi="Times New Roman" w:eastAsia="宋体" w:cs="Times New Roman"/>
          <w:color w:val="auto"/>
          <w:szCs w:val="28"/>
          <w:highlight w:val="none"/>
        </w:rPr>
        <w:t>，占地面积约</w:t>
      </w:r>
      <w:r>
        <w:rPr>
          <w:rFonts w:hint="default" w:ascii="Times New Roman" w:hAnsi="Times New Roman" w:eastAsia="宋体" w:cs="Times New Roman"/>
          <w:color w:val="auto"/>
          <w:szCs w:val="28"/>
          <w:highlight w:val="none"/>
          <w:lang w:val="en-US" w:eastAsia="zh-CN"/>
        </w:rPr>
        <w:t>78</w:t>
      </w:r>
      <w:r>
        <w:rPr>
          <w:rFonts w:hint="default" w:ascii="Times New Roman" w:hAnsi="Times New Roman" w:eastAsia="宋体" w:cs="Times New Roman"/>
          <w:color w:val="auto"/>
          <w:szCs w:val="28"/>
          <w:highlight w:val="none"/>
        </w:rPr>
        <w:t>hm</w:t>
      </w:r>
      <w:r>
        <w:rPr>
          <w:rFonts w:hint="default" w:ascii="Times New Roman" w:hAnsi="Times New Roman" w:eastAsia="宋体" w:cs="Times New Roman"/>
          <w:color w:val="auto"/>
          <w:szCs w:val="28"/>
          <w:highlight w:val="none"/>
          <w:vertAlign w:val="superscript"/>
        </w:rPr>
        <w:t>2</w:t>
      </w:r>
      <w:r>
        <w:rPr>
          <w:rFonts w:hint="default" w:ascii="Times New Roman" w:hAnsi="Times New Roman" w:eastAsia="宋体" w:cs="Times New Roman"/>
          <w:color w:val="auto"/>
          <w:szCs w:val="28"/>
          <w:highlight w:val="none"/>
        </w:rPr>
        <w:t>。</w:t>
      </w:r>
    </w:p>
    <w:p w14:paraId="145099C8">
      <w:pPr>
        <w:overflowPunct w:val="0"/>
        <w:topLinePunct/>
        <w:snapToGrid w:val="0"/>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w:t>
      </w:r>
      <w:r>
        <w:rPr>
          <w:rFonts w:hint="default" w:ascii="Times New Roman" w:hAnsi="Times New Roman" w:cs="Times New Roman"/>
          <w:color w:val="auto"/>
          <w:szCs w:val="24"/>
          <w:highlight w:val="none"/>
          <w:lang w:val="en-US" w:eastAsia="zh-CN"/>
        </w:rPr>
        <w:t>3</w:t>
      </w:r>
      <w:r>
        <w:rPr>
          <w:rFonts w:hint="default" w:ascii="Times New Roman" w:hAnsi="Times New Roman" w:cs="Times New Roman"/>
          <w:color w:val="auto"/>
          <w:szCs w:val="24"/>
          <w:highlight w:val="none"/>
        </w:rPr>
        <w:t>）本</w:t>
      </w:r>
      <w:r>
        <w:rPr>
          <w:rFonts w:hint="eastAsia" w:cs="Times New Roman"/>
          <w:color w:val="auto"/>
          <w:szCs w:val="24"/>
          <w:highlight w:val="none"/>
          <w:lang w:eastAsia="zh-CN"/>
        </w:rPr>
        <w:t>项目</w:t>
      </w:r>
      <w:r>
        <w:rPr>
          <w:rFonts w:hint="eastAsia" w:cs="Times New Roman"/>
          <w:color w:val="auto"/>
          <w:szCs w:val="24"/>
          <w:highlight w:val="none"/>
          <w:lang w:val="en-US" w:eastAsia="zh-CN"/>
        </w:rPr>
        <w:t>生活区</w:t>
      </w:r>
      <w:r>
        <w:rPr>
          <w:rFonts w:hint="default" w:ascii="Times New Roman" w:hAnsi="Times New Roman" w:cs="Times New Roman"/>
          <w:color w:val="auto"/>
          <w:szCs w:val="24"/>
          <w:highlight w:val="none"/>
        </w:rPr>
        <w:t>距</w:t>
      </w:r>
      <w:r>
        <w:rPr>
          <w:rFonts w:hint="default" w:ascii="Times New Roman" w:hAnsi="Times New Roman" w:cs="Times New Roman"/>
          <w:color w:val="auto"/>
          <w:szCs w:val="24"/>
          <w:highlight w:val="none"/>
          <w:lang w:eastAsia="zh-CN"/>
        </w:rPr>
        <w:t>阿克苏</w:t>
      </w:r>
      <w:r>
        <w:rPr>
          <w:rFonts w:hint="default" w:ascii="Times New Roman" w:hAnsi="Times New Roman" w:cs="Times New Roman"/>
          <w:color w:val="auto"/>
          <w:szCs w:val="24"/>
          <w:highlight w:val="none"/>
        </w:rPr>
        <w:t>河约</w:t>
      </w:r>
      <w:r>
        <w:rPr>
          <w:rFonts w:hint="eastAsia" w:cs="Times New Roman"/>
          <w:color w:val="auto"/>
          <w:szCs w:val="24"/>
          <w:highlight w:val="none"/>
          <w:lang w:val="en-US" w:eastAsia="zh-CN"/>
        </w:rPr>
        <w:t>50</w:t>
      </w:r>
      <w:r>
        <w:rPr>
          <w:rFonts w:hint="default" w:ascii="Times New Roman" w:hAnsi="Times New Roman" w:cs="Times New Roman"/>
          <w:color w:val="auto"/>
          <w:szCs w:val="24"/>
          <w:highlight w:val="none"/>
          <w:lang w:val="en-US" w:eastAsia="zh-CN"/>
        </w:rPr>
        <w:t>0</w:t>
      </w:r>
      <w:r>
        <w:rPr>
          <w:rFonts w:hint="default" w:ascii="Times New Roman" w:hAnsi="Times New Roman" w:cs="Times New Roman"/>
          <w:color w:val="auto"/>
          <w:szCs w:val="24"/>
          <w:highlight w:val="none"/>
        </w:rPr>
        <w:t>m</w:t>
      </w:r>
      <w:r>
        <w:rPr>
          <w:rFonts w:hint="eastAsia" w:cs="Times New Roman"/>
          <w:color w:val="auto"/>
          <w:szCs w:val="24"/>
          <w:highlight w:val="none"/>
          <w:lang w:eastAsia="zh-CN"/>
        </w:rPr>
        <w:t>，</w:t>
      </w:r>
      <w:r>
        <w:rPr>
          <w:rFonts w:hint="default" w:ascii="Times New Roman" w:hAnsi="Times New Roman" w:cs="Times New Roman"/>
          <w:color w:val="auto"/>
          <w:szCs w:val="24"/>
          <w:highlight w:val="none"/>
        </w:rPr>
        <w:t>选矿厂距离</w:t>
      </w:r>
      <w:r>
        <w:rPr>
          <w:rFonts w:hint="default" w:ascii="Times New Roman" w:hAnsi="Times New Roman" w:cs="Times New Roman"/>
          <w:color w:val="auto"/>
          <w:szCs w:val="24"/>
          <w:highlight w:val="none"/>
          <w:lang w:eastAsia="zh-CN"/>
        </w:rPr>
        <w:t>I</w:t>
      </w:r>
      <w:r>
        <w:rPr>
          <w:rFonts w:hint="default" w:ascii="Times New Roman" w:hAnsi="Times New Roman" w:cs="Times New Roman"/>
          <w:color w:val="auto"/>
          <w:szCs w:val="24"/>
          <w:highlight w:val="none"/>
        </w:rPr>
        <w:t>类水体</w:t>
      </w:r>
      <w:r>
        <w:rPr>
          <w:rFonts w:hint="default" w:ascii="Times New Roman" w:hAnsi="Times New Roman" w:cs="Times New Roman"/>
          <w:color w:val="auto"/>
          <w:szCs w:val="24"/>
          <w:highlight w:val="none"/>
          <w:lang w:eastAsia="zh-CN"/>
        </w:rPr>
        <w:t>阿克苏</w:t>
      </w:r>
      <w:r>
        <w:rPr>
          <w:rFonts w:hint="default" w:ascii="Times New Roman" w:hAnsi="Times New Roman" w:cs="Times New Roman"/>
          <w:color w:val="auto"/>
          <w:szCs w:val="24"/>
          <w:highlight w:val="none"/>
        </w:rPr>
        <w:t>河约</w:t>
      </w:r>
      <w:r>
        <w:rPr>
          <w:rFonts w:hint="default" w:ascii="Times New Roman" w:hAnsi="Times New Roman" w:cs="Times New Roman"/>
          <w:color w:val="auto"/>
          <w:szCs w:val="24"/>
          <w:highlight w:val="none"/>
          <w:lang w:val="en-US" w:eastAsia="zh-CN"/>
        </w:rPr>
        <w:t>1</w:t>
      </w:r>
      <w:r>
        <w:rPr>
          <w:rFonts w:hint="default" w:ascii="Times New Roman" w:hAnsi="Times New Roman" w:cs="Times New Roman"/>
          <w:color w:val="auto"/>
          <w:szCs w:val="24"/>
          <w:highlight w:val="none"/>
        </w:rPr>
        <w:t>km，尾矿库距离</w:t>
      </w:r>
      <w:r>
        <w:rPr>
          <w:rFonts w:hint="default" w:ascii="Times New Roman" w:hAnsi="Times New Roman" w:cs="Times New Roman"/>
          <w:color w:val="auto"/>
          <w:szCs w:val="24"/>
          <w:highlight w:val="none"/>
          <w:lang w:eastAsia="zh-CN"/>
        </w:rPr>
        <w:t>I</w:t>
      </w:r>
      <w:r>
        <w:rPr>
          <w:rFonts w:hint="default" w:ascii="Times New Roman" w:hAnsi="Times New Roman" w:cs="Times New Roman"/>
          <w:color w:val="auto"/>
          <w:szCs w:val="24"/>
          <w:highlight w:val="none"/>
        </w:rPr>
        <w:t>类水体</w:t>
      </w:r>
      <w:r>
        <w:rPr>
          <w:rFonts w:hint="default" w:ascii="Times New Roman" w:hAnsi="Times New Roman" w:cs="Times New Roman"/>
          <w:color w:val="auto"/>
          <w:szCs w:val="24"/>
          <w:highlight w:val="none"/>
          <w:lang w:eastAsia="zh-CN"/>
        </w:rPr>
        <w:t>阿克苏</w:t>
      </w:r>
      <w:r>
        <w:rPr>
          <w:rFonts w:hint="default" w:ascii="Times New Roman" w:hAnsi="Times New Roman" w:cs="Times New Roman"/>
          <w:color w:val="auto"/>
          <w:szCs w:val="24"/>
          <w:highlight w:val="none"/>
        </w:rPr>
        <w:t>河约</w:t>
      </w:r>
      <w:r>
        <w:rPr>
          <w:rFonts w:hint="default" w:ascii="Times New Roman" w:hAnsi="Times New Roman" w:cs="Times New Roman"/>
          <w:color w:val="auto"/>
          <w:szCs w:val="24"/>
          <w:highlight w:val="none"/>
          <w:lang w:val="en-US" w:eastAsia="zh-CN"/>
        </w:rPr>
        <w:t>1.1k</w:t>
      </w:r>
      <w:r>
        <w:rPr>
          <w:rFonts w:hint="default" w:ascii="Times New Roman" w:hAnsi="Times New Roman" w:cs="Times New Roman"/>
          <w:color w:val="auto"/>
          <w:szCs w:val="24"/>
          <w:highlight w:val="none"/>
        </w:rPr>
        <w:t>m。</w:t>
      </w:r>
    </w:p>
    <w:p w14:paraId="1BA278B6">
      <w:pPr>
        <w:overflowPunct w:val="0"/>
        <w:topLinePunct/>
        <w:snapToGrid w:val="0"/>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w:t>
      </w:r>
      <w:r>
        <w:rPr>
          <w:rFonts w:hint="default" w:ascii="Times New Roman" w:hAnsi="Times New Roman" w:cs="Times New Roman"/>
          <w:color w:val="auto"/>
          <w:szCs w:val="24"/>
          <w:highlight w:val="none"/>
          <w:lang w:val="en-US" w:eastAsia="zh-CN"/>
        </w:rPr>
        <w:t>4</w:t>
      </w:r>
      <w:r>
        <w:rPr>
          <w:rFonts w:hint="default" w:ascii="Times New Roman" w:hAnsi="Times New Roman" w:cs="Times New Roman"/>
          <w:color w:val="auto"/>
          <w:szCs w:val="24"/>
          <w:highlight w:val="none"/>
        </w:rPr>
        <w:t>）本项目主要污染物为选矿过程产生的粉尘、尾矿库</w:t>
      </w:r>
      <w:r>
        <w:rPr>
          <w:rFonts w:hint="default" w:ascii="Times New Roman" w:hAnsi="Times New Roman" w:cs="Times New Roman"/>
          <w:color w:val="auto"/>
          <w:szCs w:val="24"/>
          <w:highlight w:val="none"/>
          <w:lang w:eastAsia="zh-CN"/>
        </w:rPr>
        <w:t>等</w:t>
      </w:r>
      <w:r>
        <w:rPr>
          <w:rFonts w:hint="default" w:ascii="Times New Roman" w:hAnsi="Times New Roman" w:cs="Times New Roman"/>
          <w:color w:val="auto"/>
          <w:szCs w:val="24"/>
          <w:highlight w:val="none"/>
        </w:rPr>
        <w:t>无组织扬尘、生产废水、生活污水、工艺设备噪声、尾矿、生活垃圾</w:t>
      </w:r>
      <w:r>
        <w:rPr>
          <w:rFonts w:hint="default" w:ascii="Times New Roman" w:hAnsi="Times New Roman" w:cs="Times New Roman"/>
          <w:color w:val="auto"/>
          <w:szCs w:val="24"/>
          <w:highlight w:val="none"/>
          <w:lang w:eastAsia="zh-CN"/>
        </w:rPr>
        <w:t>、废机油</w:t>
      </w:r>
      <w:r>
        <w:rPr>
          <w:rFonts w:hint="default" w:ascii="Times New Roman" w:hAnsi="Times New Roman" w:cs="Times New Roman"/>
          <w:color w:val="auto"/>
          <w:szCs w:val="24"/>
          <w:highlight w:val="none"/>
        </w:rPr>
        <w:t>等。选矿过</w:t>
      </w:r>
      <w:r>
        <w:rPr>
          <w:rFonts w:hint="eastAsia" w:cs="Times New Roman"/>
          <w:color w:val="auto"/>
          <w:szCs w:val="24"/>
          <w:highlight w:val="none"/>
          <w:lang w:eastAsia="zh-CN"/>
        </w:rPr>
        <w:t>程中</w:t>
      </w:r>
      <w:r>
        <w:rPr>
          <w:rFonts w:hint="default" w:ascii="Times New Roman" w:hAnsi="Times New Roman" w:cs="Times New Roman"/>
          <w:color w:val="auto"/>
          <w:szCs w:val="24"/>
          <w:highlight w:val="none"/>
        </w:rPr>
        <w:t>产生的粉尘均采用布袋除尘器净化后经排气筒排放</w:t>
      </w:r>
      <w:r>
        <w:rPr>
          <w:rFonts w:hint="eastAsia" w:cs="Times New Roman"/>
          <w:color w:val="auto"/>
          <w:szCs w:val="24"/>
          <w:highlight w:val="none"/>
          <w:lang w:eastAsia="zh-CN"/>
        </w:rPr>
        <w:t>，</w:t>
      </w:r>
      <w:r>
        <w:rPr>
          <w:rFonts w:hint="eastAsia" w:cs="Times New Roman"/>
          <w:color w:val="auto"/>
          <w:szCs w:val="24"/>
          <w:highlight w:val="none"/>
          <w:lang w:val="en-US" w:eastAsia="zh-CN"/>
        </w:rPr>
        <w:t>硫酸稀释过程中产生的酸雾采用碱液吸收塔处理后排放</w:t>
      </w:r>
      <w:r>
        <w:rPr>
          <w:rFonts w:hint="default" w:ascii="Times New Roman" w:hAnsi="Times New Roman" w:cs="Times New Roman"/>
          <w:color w:val="auto"/>
          <w:szCs w:val="24"/>
          <w:highlight w:val="none"/>
        </w:rPr>
        <w:t>；</w:t>
      </w:r>
      <w:r>
        <w:rPr>
          <w:rFonts w:hint="default" w:ascii="Times New Roman" w:hAnsi="Times New Roman" w:cs="Times New Roman"/>
          <w:color w:val="auto"/>
          <w:szCs w:val="24"/>
          <w:highlight w:val="none"/>
          <w:lang w:eastAsia="zh-CN"/>
        </w:rPr>
        <w:t>工业</w:t>
      </w:r>
      <w:r>
        <w:rPr>
          <w:rFonts w:hint="default" w:ascii="Times New Roman" w:hAnsi="Times New Roman" w:cs="Times New Roman"/>
          <w:color w:val="auto"/>
          <w:highlight w:val="none"/>
          <w:lang w:eastAsia="zh-CN"/>
        </w:rPr>
        <w:t>场地洒水</w:t>
      </w:r>
      <w:r>
        <w:rPr>
          <w:rFonts w:hint="default" w:ascii="Times New Roman" w:hAnsi="Times New Roman" w:cs="Times New Roman"/>
          <w:color w:val="auto"/>
          <w:szCs w:val="24"/>
          <w:highlight w:val="none"/>
          <w:lang w:eastAsia="zh-CN"/>
        </w:rPr>
        <w:t>抑</w:t>
      </w:r>
      <w:r>
        <w:rPr>
          <w:rFonts w:hint="default" w:ascii="Times New Roman" w:hAnsi="Times New Roman" w:cs="Times New Roman"/>
          <w:color w:val="auto"/>
          <w:szCs w:val="24"/>
          <w:highlight w:val="none"/>
        </w:rPr>
        <w:t>尘；尾矿库采用</w:t>
      </w:r>
      <w:r>
        <w:rPr>
          <w:rFonts w:hint="default" w:ascii="Times New Roman" w:hAnsi="Times New Roman" w:cs="Times New Roman"/>
          <w:color w:val="auto"/>
          <w:szCs w:val="24"/>
          <w:highlight w:val="none"/>
          <w:lang w:eastAsia="zh-CN"/>
        </w:rPr>
        <w:t>均匀</w:t>
      </w:r>
      <w:r>
        <w:rPr>
          <w:rFonts w:hint="default" w:ascii="Times New Roman" w:hAnsi="Times New Roman" w:cs="Times New Roman"/>
          <w:color w:val="auto"/>
          <w:highlight w:val="none"/>
        </w:rPr>
        <w:t>分散放矿保持尾矿沉积滩面的湿润，减少扬尘；精矿浓缩溢流水、尾矿浓缩溢流水循环使用，尾矿浆</w:t>
      </w:r>
      <w:r>
        <w:rPr>
          <w:rFonts w:hint="default" w:ascii="Times New Roman" w:hAnsi="Times New Roman" w:cs="Times New Roman"/>
          <w:color w:val="auto"/>
          <w:szCs w:val="24"/>
          <w:highlight w:val="none"/>
        </w:rPr>
        <w:t>排入尾矿库澄清后上层澄清水泵送回用于选矿生产环节，不外排；尾矿</w:t>
      </w:r>
      <w:r>
        <w:rPr>
          <w:rFonts w:hint="default" w:ascii="Times New Roman" w:hAnsi="Times New Roman" w:cs="Times New Roman"/>
          <w:color w:val="auto"/>
          <w:szCs w:val="24"/>
          <w:highlight w:val="none"/>
          <w:lang w:eastAsia="zh-CN"/>
        </w:rPr>
        <w:t>部分</w:t>
      </w:r>
      <w:r>
        <w:rPr>
          <w:rFonts w:hint="default" w:ascii="Times New Roman" w:hAnsi="Times New Roman" w:cs="Times New Roman"/>
          <w:color w:val="auto"/>
          <w:szCs w:val="24"/>
          <w:highlight w:val="none"/>
        </w:rPr>
        <w:t>堆存于尾矿库，部分回用于</w:t>
      </w:r>
      <w:r>
        <w:rPr>
          <w:rFonts w:hint="default" w:ascii="Times New Roman" w:hAnsi="Times New Roman" w:cs="Times New Roman"/>
          <w:color w:val="auto"/>
          <w:szCs w:val="24"/>
          <w:highlight w:val="none"/>
          <w:lang w:eastAsia="zh-CN"/>
        </w:rPr>
        <w:t>井下充填</w:t>
      </w:r>
      <w:r>
        <w:rPr>
          <w:rFonts w:hint="default" w:ascii="Times New Roman" w:hAnsi="Times New Roman" w:cs="Times New Roman"/>
          <w:color w:val="auto"/>
          <w:szCs w:val="24"/>
          <w:highlight w:val="none"/>
        </w:rPr>
        <w:t>。</w:t>
      </w:r>
    </w:p>
    <w:bookmarkEnd w:id="28"/>
    <w:p w14:paraId="0187C8F5">
      <w:pPr>
        <w:pStyle w:val="5"/>
        <w:spacing w:line="560" w:lineRule="atLeast"/>
        <w:rPr>
          <w:rFonts w:hint="default" w:ascii="Times New Roman" w:hAnsi="Times New Roman" w:cs="Times New Roman"/>
          <w:color w:val="auto"/>
          <w:highlight w:val="none"/>
        </w:rPr>
      </w:pPr>
      <w:bookmarkStart w:id="29" w:name="_Toc10527"/>
      <w:bookmarkStart w:id="30" w:name="_Toc107414639"/>
      <w:bookmarkStart w:id="31" w:name="_Toc107413872"/>
      <w:bookmarkStart w:id="32" w:name="_Toc23440"/>
      <w:bookmarkStart w:id="33" w:name="_Toc25015"/>
      <w:bookmarkStart w:id="34" w:name="_Toc31091"/>
      <w:bookmarkStart w:id="35" w:name="_Toc11763"/>
      <w:bookmarkStart w:id="36" w:name="_Toc5233"/>
      <w:r>
        <w:rPr>
          <w:rFonts w:hint="default" w:ascii="Times New Roman" w:hAnsi="Times New Roman" w:cs="Times New Roman"/>
          <w:color w:val="auto"/>
          <w:highlight w:val="none"/>
        </w:rPr>
        <w:t>1.2环境影响评价过程</w:t>
      </w:r>
      <w:bookmarkEnd w:id="29"/>
      <w:bookmarkEnd w:id="30"/>
      <w:bookmarkEnd w:id="31"/>
      <w:bookmarkEnd w:id="32"/>
      <w:bookmarkEnd w:id="33"/>
      <w:bookmarkEnd w:id="34"/>
      <w:bookmarkEnd w:id="35"/>
      <w:bookmarkEnd w:id="36"/>
    </w:p>
    <w:p w14:paraId="299CF2BB">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根据《中华人民共和国生态环境法典</w:t>
      </w:r>
      <w:r>
        <w:rPr>
          <w:rFonts w:hint="eastAsia" w:cs="Times New Roman"/>
          <w:color w:val="auto"/>
          <w:highlight w:val="none"/>
          <w:lang w:eastAsia="zh-CN"/>
        </w:rPr>
        <w:t>》和《</w:t>
      </w:r>
      <w:r>
        <w:rPr>
          <w:rFonts w:hint="default" w:ascii="Times New Roman" w:hAnsi="Times New Roman" w:cs="Times New Roman"/>
          <w:color w:val="auto"/>
          <w:highlight w:val="none"/>
        </w:rPr>
        <w:t>建设项目环境保护管理条例》（国务院令第682号）</w:t>
      </w:r>
      <w:r>
        <w:rPr>
          <w:rFonts w:hint="eastAsia" w:cs="Times New Roman"/>
          <w:color w:val="auto"/>
          <w:highlight w:val="none"/>
          <w:lang w:eastAsia="zh-CN"/>
        </w:rPr>
        <w:t>的规定以及</w:t>
      </w:r>
      <w:r>
        <w:rPr>
          <w:rFonts w:hint="default" w:ascii="Times New Roman" w:hAnsi="Times New Roman" w:cs="Times New Roman"/>
          <w:color w:val="auto"/>
          <w:highlight w:val="none"/>
        </w:rPr>
        <w:t>有关环境保护政策法规的要求，</w:t>
      </w:r>
      <w:r>
        <w:rPr>
          <w:rFonts w:hint="default" w:ascii="Times New Roman" w:hAnsi="Times New Roman" w:eastAsia="宋体" w:cs="Times New Roman"/>
          <w:color w:val="auto"/>
          <w:kern w:val="0"/>
          <w:sz w:val="24"/>
          <w:szCs w:val="24"/>
          <w:highlight w:val="none"/>
          <w:lang w:val="en-US" w:eastAsia="zh-CN" w:bidi="ar"/>
        </w:rPr>
        <w:t>该项目因发生重大变动，需开展环境影响评价重新报批工作。</w:t>
      </w:r>
      <w:r>
        <w:rPr>
          <w:rFonts w:hint="default" w:ascii="Times New Roman" w:hAnsi="Times New Roman" w:cs="Times New Roman"/>
          <w:color w:val="auto"/>
          <w:highlight w:val="none"/>
        </w:rPr>
        <w:t>为此，</w:t>
      </w:r>
      <w:r>
        <w:rPr>
          <w:rFonts w:hint="default" w:ascii="Times New Roman" w:hAnsi="Times New Roman" w:cs="Times New Roman"/>
          <w:color w:val="auto"/>
          <w:highlight w:val="none"/>
          <w:lang w:eastAsia="zh-CN"/>
        </w:rPr>
        <w:t>新疆华瓯矿业有限公司</w:t>
      </w:r>
      <w:r>
        <w:rPr>
          <w:rFonts w:hint="default" w:ascii="Times New Roman" w:hAnsi="Times New Roman" w:cs="Times New Roman"/>
          <w:color w:val="auto"/>
          <w:highlight w:val="none"/>
        </w:rPr>
        <w:t>于202</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w:t>
      </w:r>
      <w:r>
        <w:rPr>
          <w:rFonts w:hint="eastAsia" w:ascii="Times New Roman" w:hAnsi="Times New Roman" w:cs="Times New Roman"/>
          <w:color w:val="auto"/>
          <w:highlight w:val="none"/>
          <w:lang w:val="en-US" w:eastAsia="zh-CN"/>
        </w:rPr>
        <w:t>11</w:t>
      </w:r>
      <w:r>
        <w:rPr>
          <w:rFonts w:hint="default" w:ascii="Times New Roman" w:hAnsi="Times New Roman" w:cs="Times New Roman"/>
          <w:color w:val="auto"/>
          <w:highlight w:val="none"/>
        </w:rPr>
        <w:t>月委托</w:t>
      </w:r>
      <w:r>
        <w:rPr>
          <w:rFonts w:hint="default" w:ascii="Times New Roman" w:hAnsi="Times New Roman" w:cs="Times New Roman"/>
          <w:color w:val="auto"/>
          <w:highlight w:val="none"/>
          <w:lang w:val="en-US" w:eastAsia="zh-CN"/>
        </w:rPr>
        <w:t>新疆领畅</w:t>
      </w:r>
      <w:r>
        <w:rPr>
          <w:rFonts w:hint="default" w:ascii="Times New Roman" w:hAnsi="Times New Roman" w:cs="Times New Roman"/>
          <w:color w:val="auto"/>
          <w:highlight w:val="none"/>
          <w:lang w:eastAsia="zh-CN"/>
        </w:rPr>
        <w:t>环保科技有限公司</w:t>
      </w:r>
      <w:r>
        <w:rPr>
          <w:rFonts w:hint="default" w:ascii="Times New Roman" w:hAnsi="Times New Roman" w:cs="Times New Roman"/>
          <w:color w:val="auto"/>
          <w:highlight w:val="none"/>
        </w:rPr>
        <w:t>（以下简称“编制单位”）承担该项目的环境影响评价工作。接受委托后，编制单位认真研究了该项目的有关材料，</w:t>
      </w:r>
      <w:r>
        <w:rPr>
          <w:rFonts w:hint="default" w:ascii="Times New Roman" w:hAnsi="Times New Roman" w:cs="Times New Roman"/>
          <w:color w:val="auto"/>
          <w:highlight w:val="none"/>
          <w:lang w:val="en-US" w:eastAsia="zh-CN"/>
        </w:rPr>
        <w:t>开展</w:t>
      </w:r>
      <w:r>
        <w:rPr>
          <w:rFonts w:hint="default" w:ascii="Times New Roman" w:hAnsi="Times New Roman" w:cs="Times New Roman"/>
          <w:color w:val="auto"/>
          <w:highlight w:val="none"/>
        </w:rPr>
        <w:t>实地踏勘和现场调研，</w:t>
      </w:r>
      <w:r>
        <w:rPr>
          <w:rFonts w:hint="default" w:ascii="Times New Roman" w:hAnsi="Times New Roman" w:eastAsia="宋体" w:cs="Times New Roman"/>
          <w:color w:val="auto"/>
          <w:kern w:val="0"/>
          <w:sz w:val="24"/>
          <w:szCs w:val="24"/>
          <w:highlight w:val="none"/>
          <w:lang w:val="en-US" w:eastAsia="zh-CN" w:bidi="ar"/>
        </w:rPr>
        <w:t>严格依据相关评价导则要求，</w:t>
      </w:r>
      <w:r>
        <w:rPr>
          <w:rFonts w:hint="default" w:ascii="Times New Roman" w:hAnsi="Times New Roman" w:cs="Times New Roman"/>
          <w:color w:val="auto"/>
          <w:highlight w:val="none"/>
        </w:rPr>
        <w:t>在认真分析预测的基础上，</w:t>
      </w:r>
      <w:r>
        <w:rPr>
          <w:rFonts w:hint="default" w:ascii="Times New Roman" w:hAnsi="Times New Roman" w:cs="Times New Roman"/>
          <w:color w:val="auto"/>
          <w:highlight w:val="none"/>
          <w:lang w:val="en-US" w:eastAsia="zh-CN"/>
        </w:rPr>
        <w:t>完成</w:t>
      </w:r>
      <w:r>
        <w:rPr>
          <w:rFonts w:hint="default" w:ascii="Times New Roman" w:hAnsi="Times New Roman" w:cs="Times New Roman"/>
          <w:color w:val="auto"/>
          <w:highlight w:val="none"/>
        </w:rPr>
        <w:t>了项目的工程分析和现状评价、环境影响预测等工作，编制完成了环境影响评价报告书后，提交生态环境主管部门审查。环境影响报告书经审查批准后，将作为开展本项目进行工程设计和施工期、运营期环境管理工作的依据。</w:t>
      </w:r>
    </w:p>
    <w:p w14:paraId="0B8C07C6">
      <w:pPr>
        <w:overflowPunct w:val="0"/>
        <w:topLinePunct/>
        <w:spacing w:line="480" w:lineRule="exact"/>
        <w:ind w:firstLine="480"/>
        <w:rPr>
          <w:rFonts w:hint="default" w:ascii="Times New Roman" w:hAnsi="Times New Roman" w:cs="Times New Roman"/>
          <w:color w:val="auto"/>
          <w:szCs w:val="24"/>
          <w:highlight w:val="none"/>
          <w:lang w:val="zh-CN"/>
        </w:rPr>
      </w:pPr>
      <w:r>
        <w:rPr>
          <w:rFonts w:hint="default" w:ascii="Times New Roman" w:hAnsi="Times New Roman" w:cs="Times New Roman"/>
          <w:color w:val="auto"/>
          <w:szCs w:val="24"/>
          <w:highlight w:val="none"/>
          <w:lang w:val="zh-CN"/>
        </w:rPr>
        <w:t>本次环境影响评价工作分三个阶段完成，即前期准备、现场调研和工作方案阶段</w:t>
      </w:r>
      <w:r>
        <w:rPr>
          <w:rFonts w:hint="eastAsia" w:cs="Times New Roman"/>
          <w:color w:val="auto"/>
          <w:szCs w:val="24"/>
          <w:highlight w:val="none"/>
          <w:lang w:val="zh-CN"/>
        </w:rPr>
        <w:t>、</w:t>
      </w:r>
      <w:r>
        <w:rPr>
          <w:rFonts w:hint="default" w:ascii="Times New Roman" w:hAnsi="Times New Roman" w:cs="Times New Roman"/>
          <w:color w:val="auto"/>
          <w:szCs w:val="24"/>
          <w:highlight w:val="none"/>
          <w:lang w:val="zh-CN"/>
        </w:rPr>
        <w:t>分析论证和预测评价阶段</w:t>
      </w:r>
      <w:r>
        <w:rPr>
          <w:rFonts w:hint="eastAsia" w:cs="Times New Roman"/>
          <w:color w:val="auto"/>
          <w:szCs w:val="24"/>
          <w:highlight w:val="none"/>
          <w:lang w:val="zh-CN"/>
        </w:rPr>
        <w:t>以及</w:t>
      </w:r>
      <w:r>
        <w:rPr>
          <w:rFonts w:hint="default" w:ascii="Times New Roman" w:hAnsi="Times New Roman" w:cs="Times New Roman"/>
          <w:color w:val="auto"/>
          <w:szCs w:val="24"/>
          <w:highlight w:val="none"/>
          <w:lang w:val="zh-CN"/>
        </w:rPr>
        <w:t>环境影响文件编制阶段。</w:t>
      </w:r>
    </w:p>
    <w:p w14:paraId="09F7E015">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环境影响评价工作程序见图1.2-1。</w:t>
      </w:r>
    </w:p>
    <w:p w14:paraId="38549AC9">
      <w:pPr>
        <w:spacing w:line="400" w:lineRule="atLeas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g">
            <w:drawing>
              <wp:anchor distT="0" distB="0" distL="114300" distR="114300" simplePos="0" relativeHeight="251661312" behindDoc="0" locked="0" layoutInCell="1" allowOverlap="1">
                <wp:simplePos x="0" y="0"/>
                <wp:positionH relativeFrom="column">
                  <wp:posOffset>-163830</wp:posOffset>
                </wp:positionH>
                <wp:positionV relativeFrom="paragraph">
                  <wp:posOffset>43815</wp:posOffset>
                </wp:positionV>
                <wp:extent cx="5429885" cy="6381115"/>
                <wp:effectExtent l="0" t="5080" r="18415" b="14605"/>
                <wp:wrapNone/>
                <wp:docPr id="176" name="组合 1027"/>
                <wp:cNvGraphicFramePr/>
                <a:graphic xmlns:a="http://schemas.openxmlformats.org/drawingml/2006/main">
                  <a:graphicData uri="http://schemas.microsoft.com/office/word/2010/wordprocessingGroup">
                    <wpg:wgp>
                      <wpg:cNvGrpSpPr/>
                      <wpg:grpSpPr>
                        <a:xfrm>
                          <a:off x="0" y="0"/>
                          <a:ext cx="5429885" cy="6381115"/>
                          <a:chOff x="14627" y="37756"/>
                          <a:chExt cx="8551" cy="10376"/>
                        </a:xfrm>
                        <a:effectLst/>
                      </wpg:grpSpPr>
                      <wps:wsp>
                        <wps:cNvPr id="148" name="Straight Connector 377"/>
                        <wps:cNvCnPr/>
                        <wps:spPr>
                          <a:xfrm>
                            <a:off x="18936" y="41282"/>
                            <a:ext cx="1" cy="309"/>
                          </a:xfrm>
                          <a:prstGeom prst="straightConnector1">
                            <a:avLst/>
                          </a:prstGeom>
                          <a:ln w="9525" cap="flat" cmpd="sng">
                            <a:solidFill>
                              <a:srgbClr val="000000"/>
                            </a:solidFill>
                            <a:prstDash val="solid"/>
                            <a:headEnd type="none" w="med" len="med"/>
                            <a:tailEnd type="triangle" w="med" len="med"/>
                          </a:ln>
                          <a:effectLst/>
                        </wps:spPr>
                        <wps:bodyPr/>
                      </wps:wsp>
                      <wps:wsp>
                        <wps:cNvPr id="149" name="Straight Connector 387"/>
                        <wps:cNvCnPr>
                          <a:stCxn id="165" idx="2"/>
                        </wps:cNvCnPr>
                        <wps:spPr>
                          <a:xfrm>
                            <a:off x="17303" y="42496"/>
                            <a:ext cx="1" cy="426"/>
                          </a:xfrm>
                          <a:prstGeom prst="straightConnector1">
                            <a:avLst/>
                          </a:prstGeom>
                          <a:ln w="9525" cap="flat" cmpd="sng">
                            <a:solidFill>
                              <a:srgbClr val="000000"/>
                            </a:solidFill>
                            <a:prstDash val="solid"/>
                            <a:headEnd type="none" w="med" len="med"/>
                            <a:tailEnd type="none" w="med" len="med"/>
                          </a:ln>
                          <a:effectLst/>
                        </wps:spPr>
                        <wps:bodyPr/>
                      </wps:wsp>
                      <wps:wsp>
                        <wps:cNvPr id="150" name="Straight Connector 388"/>
                        <wps:cNvCnPr>
                          <a:stCxn id="165" idx="2"/>
                        </wps:cNvCnPr>
                        <wps:spPr>
                          <a:xfrm>
                            <a:off x="20230" y="42511"/>
                            <a:ext cx="1" cy="446"/>
                          </a:xfrm>
                          <a:prstGeom prst="straightConnector1">
                            <a:avLst/>
                          </a:prstGeom>
                          <a:ln w="9525" cap="flat" cmpd="sng">
                            <a:solidFill>
                              <a:srgbClr val="000000"/>
                            </a:solidFill>
                            <a:prstDash val="solid"/>
                            <a:headEnd type="none" w="med" len="med"/>
                            <a:tailEnd type="none" w="med" len="med"/>
                          </a:ln>
                          <a:effectLst/>
                        </wps:spPr>
                        <wps:bodyPr/>
                      </wps:wsp>
                      <wps:wsp>
                        <wps:cNvPr id="151" name="Straight Connector 392"/>
                        <wps:cNvCnPr>
                          <a:stCxn id="165" idx="2"/>
                        </wps:cNvCnPr>
                        <wps:spPr>
                          <a:xfrm>
                            <a:off x="17317" y="43695"/>
                            <a:ext cx="1" cy="357"/>
                          </a:xfrm>
                          <a:prstGeom prst="straightConnector1">
                            <a:avLst/>
                          </a:prstGeom>
                          <a:ln w="9525" cap="flat" cmpd="sng">
                            <a:solidFill>
                              <a:srgbClr val="000000"/>
                            </a:solidFill>
                            <a:prstDash val="solid"/>
                            <a:headEnd type="none" w="med" len="med"/>
                            <a:tailEnd type="none" w="med" len="med"/>
                          </a:ln>
                          <a:effectLst/>
                        </wps:spPr>
                        <wps:bodyPr/>
                      </wps:wsp>
                      <wps:wsp>
                        <wps:cNvPr id="152" name="Straight Connector 393"/>
                        <wps:cNvCnPr>
                          <a:stCxn id="165" idx="2"/>
                        </wps:cNvCnPr>
                        <wps:spPr>
                          <a:xfrm>
                            <a:off x="20258" y="43642"/>
                            <a:ext cx="1" cy="432"/>
                          </a:xfrm>
                          <a:prstGeom prst="straightConnector1">
                            <a:avLst/>
                          </a:prstGeom>
                          <a:ln w="9525" cap="flat" cmpd="sng">
                            <a:solidFill>
                              <a:srgbClr val="000000"/>
                            </a:solidFill>
                            <a:prstDash val="solid"/>
                            <a:headEnd type="none" w="med" len="med"/>
                            <a:tailEnd type="none" w="med" len="med"/>
                          </a:ln>
                          <a:effectLst/>
                        </wps:spPr>
                        <wps:bodyPr/>
                      </wps:wsp>
                      <wps:wsp>
                        <wps:cNvPr id="153" name="Straight Connector 408"/>
                        <wps:cNvCnPr>
                          <a:stCxn id="165" idx="2"/>
                        </wps:cNvCnPr>
                        <wps:spPr>
                          <a:xfrm>
                            <a:off x="14739" y="42201"/>
                            <a:ext cx="8415" cy="1"/>
                          </a:xfrm>
                          <a:prstGeom prst="straightConnector1">
                            <a:avLst/>
                          </a:prstGeom>
                          <a:ln w="9525" cap="flat" cmpd="sng">
                            <a:solidFill>
                              <a:srgbClr val="000000"/>
                            </a:solidFill>
                            <a:prstDash val="dash"/>
                            <a:headEnd type="none" w="med" len="med"/>
                            <a:tailEnd type="none" w="med" len="med"/>
                          </a:ln>
                          <a:effectLst/>
                        </wps:spPr>
                        <wps:bodyPr/>
                      </wps:wsp>
                      <wps:wsp>
                        <wps:cNvPr id="154" name="Rectangle 410"/>
                        <wps:cNvSpPr/>
                        <wps:spPr>
                          <a:xfrm>
                            <a:off x="14856" y="38806"/>
                            <a:ext cx="420" cy="1770"/>
                          </a:xfrm>
                          <a:prstGeom prst="rect">
                            <a:avLst/>
                          </a:prstGeom>
                          <a:noFill/>
                          <a:ln>
                            <a:noFill/>
                          </a:ln>
                          <a:effectLst/>
                        </wps:spPr>
                        <wps:txbx>
                          <w:txbxContent>
                            <w:p w14:paraId="2E37381E">
                              <w:pPr>
                                <w:pStyle w:val="17"/>
                                <w:bidi w:val="0"/>
                              </w:pPr>
                              <w:r>
                                <w:rPr>
                                  <w:rFonts w:hint="eastAsia"/>
                                </w:rPr>
                                <w:t>第一阶段</w:t>
                              </w:r>
                            </w:p>
                          </w:txbxContent>
                        </wps:txbx>
                        <wps:bodyPr vert="horz" anchor="t" anchorCtr="0" upright="1"/>
                      </wps:wsp>
                      <wps:wsp>
                        <wps:cNvPr id="155" name="Rectangle 411"/>
                        <wps:cNvSpPr/>
                        <wps:spPr>
                          <a:xfrm>
                            <a:off x="14821" y="43403"/>
                            <a:ext cx="420" cy="1479"/>
                          </a:xfrm>
                          <a:prstGeom prst="rect">
                            <a:avLst/>
                          </a:prstGeom>
                          <a:noFill/>
                          <a:ln>
                            <a:noFill/>
                          </a:ln>
                          <a:effectLst/>
                        </wps:spPr>
                        <wps:txbx>
                          <w:txbxContent>
                            <w:p w14:paraId="0C856EF9">
                              <w:pPr>
                                <w:pStyle w:val="17"/>
                                <w:bidi w:val="0"/>
                              </w:pPr>
                              <w:r>
                                <w:rPr>
                                  <w:rFonts w:hint="eastAsia"/>
                                </w:rPr>
                                <w:t>第二阶段</w:t>
                              </w:r>
                            </w:p>
                          </w:txbxContent>
                        </wps:txbx>
                        <wps:bodyPr vert="horz" anchor="t" anchorCtr="0" upright="1"/>
                      </wps:wsp>
                      <wps:wsp>
                        <wps:cNvPr id="156" name="Rectangle 412"/>
                        <wps:cNvSpPr/>
                        <wps:spPr>
                          <a:xfrm>
                            <a:off x="14776" y="45853"/>
                            <a:ext cx="420" cy="1522"/>
                          </a:xfrm>
                          <a:prstGeom prst="rect">
                            <a:avLst/>
                          </a:prstGeom>
                          <a:noFill/>
                          <a:ln>
                            <a:noFill/>
                          </a:ln>
                          <a:effectLst/>
                        </wps:spPr>
                        <wps:txbx>
                          <w:txbxContent>
                            <w:p w14:paraId="17E5BF4D">
                              <w:pPr>
                                <w:pStyle w:val="17"/>
                                <w:bidi w:val="0"/>
                              </w:pPr>
                              <w:r>
                                <w:rPr>
                                  <w:rFonts w:hint="eastAsia"/>
                                </w:rPr>
                                <w:t>第三阶段</w:t>
                              </w:r>
                            </w:p>
                          </w:txbxContent>
                        </wps:txbx>
                        <wps:bodyPr vert="horz" anchor="t" anchorCtr="0" upright="1"/>
                      </wps:wsp>
                      <wps:wsp>
                        <wps:cNvPr id="157" name="Rectangle 376"/>
                        <wps:cNvSpPr/>
                        <wps:spPr>
                          <a:xfrm>
                            <a:off x="16736" y="38787"/>
                            <a:ext cx="4470" cy="108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3841B22">
                              <w:pPr>
                                <w:pStyle w:val="17"/>
                                <w:bidi w:val="0"/>
                              </w:pPr>
                              <w:r>
                                <w:t>1 研究相关技术文件和其他有关文件</w:t>
                              </w:r>
                            </w:p>
                            <w:p w14:paraId="05E048E3">
                              <w:pPr>
                                <w:pStyle w:val="17"/>
                                <w:bidi w:val="0"/>
                              </w:pPr>
                              <w:r>
                                <w:t>2 进行初步工程分析</w:t>
                              </w:r>
                            </w:p>
                            <w:p w14:paraId="1265EE5D">
                              <w:pPr>
                                <w:pStyle w:val="17"/>
                                <w:bidi w:val="0"/>
                              </w:pPr>
                              <w:r>
                                <w:t>3 开</w:t>
                              </w:r>
                              <w:r>
                                <w:rPr>
                                  <w:rFonts w:hint="eastAsia"/>
                                </w:rPr>
                                <w:t>展初步的环境状况调查</w:t>
                              </w:r>
                            </w:p>
                          </w:txbxContent>
                        </wps:txbx>
                        <wps:bodyPr vert="horz" anchor="t" anchorCtr="0" upright="1"/>
                      </wps:wsp>
                      <wps:wsp>
                        <wps:cNvPr id="158" name="Rectangle 372"/>
                        <wps:cNvSpPr/>
                        <wps:spPr>
                          <a:xfrm>
                            <a:off x="16753" y="37971"/>
                            <a:ext cx="4488" cy="42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EF985CE">
                              <w:pPr>
                                <w:pStyle w:val="17"/>
                                <w:bidi w:val="0"/>
                              </w:pPr>
                              <w:r>
                                <w:rPr>
                                  <w:rFonts w:hint="eastAsia"/>
                                </w:rPr>
                                <w:t>依据相关规定确定环境影响评价文件类型</w:t>
                              </w:r>
                            </w:p>
                          </w:txbxContent>
                        </wps:txbx>
                        <wps:bodyPr vert="horz" anchor="t" anchorCtr="0" upright="1"/>
                      </wps:wsp>
                      <wps:wsp>
                        <wps:cNvPr id="159" name="Straight Connector 373"/>
                        <wps:cNvCnPr>
                          <a:stCxn id="165" idx="2"/>
                        </wps:cNvCnPr>
                        <wps:spPr>
                          <a:xfrm>
                            <a:off x="18940" y="38434"/>
                            <a:ext cx="1" cy="349"/>
                          </a:xfrm>
                          <a:prstGeom prst="straightConnector1">
                            <a:avLst/>
                          </a:prstGeom>
                          <a:ln w="9525" cap="flat" cmpd="sng">
                            <a:solidFill>
                              <a:srgbClr val="000000"/>
                            </a:solidFill>
                            <a:prstDash val="solid"/>
                            <a:headEnd type="none" w="med" len="med"/>
                            <a:tailEnd type="triangle" w="med" len="med"/>
                          </a:ln>
                          <a:effectLst/>
                        </wps:spPr>
                        <wps:bodyPr/>
                      </wps:wsp>
                      <wps:wsp>
                        <wps:cNvPr id="160" name="Straight Connector 375"/>
                        <wps:cNvCnPr>
                          <a:stCxn id="165" idx="2"/>
                        </wps:cNvCnPr>
                        <wps:spPr>
                          <a:xfrm>
                            <a:off x="18936" y="39882"/>
                            <a:ext cx="1" cy="309"/>
                          </a:xfrm>
                          <a:prstGeom prst="straightConnector1">
                            <a:avLst/>
                          </a:prstGeom>
                          <a:ln w="9525" cap="flat" cmpd="sng">
                            <a:solidFill>
                              <a:srgbClr val="000000"/>
                            </a:solidFill>
                            <a:prstDash val="solid"/>
                            <a:headEnd type="none" w="med" len="med"/>
                            <a:tailEnd type="triangle" w="med" len="med"/>
                          </a:ln>
                          <a:effectLst/>
                        </wps:spPr>
                        <wps:bodyPr/>
                      </wps:wsp>
                      <wps:wsp>
                        <wps:cNvPr id="161" name="矩形 1032"/>
                        <wps:cNvSpPr/>
                        <wps:spPr>
                          <a:xfrm>
                            <a:off x="16710" y="40204"/>
                            <a:ext cx="4470" cy="108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AF061E">
                              <w:pPr>
                                <w:pStyle w:val="17"/>
                                <w:bidi w:val="0"/>
                              </w:pPr>
                              <w:r>
                                <w:t>1 环境影响识别和评价因子筛选</w:t>
                              </w:r>
                            </w:p>
                            <w:p w14:paraId="4DFDA75E">
                              <w:pPr>
                                <w:pStyle w:val="17"/>
                                <w:bidi w:val="0"/>
                              </w:pPr>
                              <w:r>
                                <w:t>2 明确评价重点和环境保护目标</w:t>
                              </w:r>
                            </w:p>
                            <w:p w14:paraId="70F0A37D">
                              <w:pPr>
                                <w:pStyle w:val="17"/>
                                <w:bidi w:val="0"/>
                              </w:pPr>
                              <w:r>
                                <w:t>3 确定</w:t>
                              </w:r>
                              <w:r>
                                <w:rPr>
                                  <w:rFonts w:hint="eastAsia"/>
                                </w:rPr>
                                <w:t>工作等级、评价范围和评价标准</w:t>
                              </w:r>
                            </w:p>
                          </w:txbxContent>
                        </wps:txbx>
                        <wps:bodyPr vert="horz" anchor="t" anchorCtr="0" upright="1"/>
                      </wps:wsp>
                      <wps:wsp>
                        <wps:cNvPr id="162" name="Rectangle 382"/>
                        <wps:cNvSpPr/>
                        <wps:spPr>
                          <a:xfrm>
                            <a:off x="17909" y="41589"/>
                            <a:ext cx="1935" cy="42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D363EF">
                              <w:pPr>
                                <w:pStyle w:val="17"/>
                                <w:bidi w:val="0"/>
                              </w:pPr>
                              <w:r>
                                <w:rPr>
                                  <w:rFonts w:hint="eastAsia"/>
                                </w:rPr>
                                <w:t>制定工作方案</w:t>
                              </w:r>
                            </w:p>
                          </w:txbxContent>
                        </wps:txbx>
                        <wps:bodyPr vert="horz" anchor="t" anchorCtr="0" upright="1"/>
                      </wps:wsp>
                      <wps:wsp>
                        <wps:cNvPr id="163" name="Straight Connector 385"/>
                        <wps:cNvCnPr>
                          <a:stCxn id="165" idx="2"/>
                        </wps:cNvCnPr>
                        <wps:spPr>
                          <a:xfrm flipH="1">
                            <a:off x="18893" y="42047"/>
                            <a:ext cx="7" cy="465"/>
                          </a:xfrm>
                          <a:prstGeom prst="straightConnector1">
                            <a:avLst/>
                          </a:prstGeom>
                          <a:ln w="9525" cap="flat" cmpd="sng">
                            <a:solidFill>
                              <a:srgbClr val="000000"/>
                            </a:solidFill>
                            <a:prstDash val="solid"/>
                            <a:headEnd type="none" w="med" len="med"/>
                            <a:tailEnd type="triangle" w="med" len="med"/>
                          </a:ln>
                          <a:effectLst/>
                        </wps:spPr>
                        <wps:bodyPr/>
                      </wps:wsp>
                      <wps:wsp>
                        <wps:cNvPr id="164" name="Straight Connector 386"/>
                        <wps:cNvCnPr>
                          <a:stCxn id="165" idx="2"/>
                        </wps:cNvCnPr>
                        <wps:spPr>
                          <a:xfrm>
                            <a:off x="17289" y="42510"/>
                            <a:ext cx="2940" cy="1"/>
                          </a:xfrm>
                          <a:prstGeom prst="straightConnector1">
                            <a:avLst/>
                          </a:prstGeom>
                          <a:ln w="9525" cap="flat" cmpd="sng">
                            <a:solidFill>
                              <a:srgbClr val="000000"/>
                            </a:solidFill>
                            <a:prstDash val="solid"/>
                            <a:headEnd type="none" w="med" len="med"/>
                            <a:tailEnd type="none" w="med" len="med"/>
                          </a:ln>
                          <a:effectLst/>
                        </wps:spPr>
                        <wps:bodyPr/>
                      </wps:wsp>
                      <wps:wsp>
                        <wps:cNvPr id="165" name="Rectangle 389"/>
                        <wps:cNvSpPr/>
                        <wps:spPr>
                          <a:xfrm>
                            <a:off x="16296" y="42925"/>
                            <a:ext cx="2042" cy="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A7CA3C">
                              <w:pPr>
                                <w:pStyle w:val="17"/>
                                <w:bidi w:val="0"/>
                              </w:pPr>
                              <w:r>
                                <w:rPr>
                                  <w:rFonts w:hint="eastAsia"/>
                                </w:rPr>
                                <w:t>环境现状调查监测与评价</w:t>
                              </w:r>
                            </w:p>
                          </w:txbxContent>
                        </wps:txbx>
                        <wps:bodyPr vert="horz" anchor="t" anchorCtr="0" upright="1"/>
                      </wps:wsp>
                      <wps:wsp>
                        <wps:cNvPr id="166" name="Rectangle 390"/>
                        <wps:cNvSpPr/>
                        <wps:spPr>
                          <a:xfrm>
                            <a:off x="19566" y="42937"/>
                            <a:ext cx="1315" cy="78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843E685">
                              <w:pPr>
                                <w:pStyle w:val="17"/>
                                <w:bidi w:val="0"/>
                              </w:pPr>
                              <w:r>
                                <w:rPr>
                                  <w:rFonts w:hint="eastAsia"/>
                                </w:rPr>
                                <w:t>建设项目工程分析</w:t>
                              </w:r>
                            </w:p>
                          </w:txbxContent>
                        </wps:txbx>
                        <wps:bodyPr vert="horz" anchor="t" anchorCtr="0" upright="1"/>
                      </wps:wsp>
                      <wps:wsp>
                        <wps:cNvPr id="167" name="Straight Connector 391"/>
                        <wps:cNvCnPr>
                          <a:stCxn id="165" idx="2"/>
                        </wps:cNvCnPr>
                        <wps:spPr>
                          <a:xfrm>
                            <a:off x="18871" y="44047"/>
                            <a:ext cx="1" cy="399"/>
                          </a:xfrm>
                          <a:prstGeom prst="straightConnector1">
                            <a:avLst/>
                          </a:prstGeom>
                          <a:ln w="9525" cap="flat" cmpd="sng">
                            <a:solidFill>
                              <a:srgbClr val="000000"/>
                            </a:solidFill>
                            <a:prstDash val="solid"/>
                            <a:headEnd type="none" w="med" len="med"/>
                            <a:tailEnd type="triangle" w="med" len="med"/>
                          </a:ln>
                          <a:effectLst/>
                        </wps:spPr>
                        <wps:bodyPr/>
                      </wps:wsp>
                      <wps:wsp>
                        <wps:cNvPr id="168" name="Straight Connector 394"/>
                        <wps:cNvCnPr>
                          <a:stCxn id="165" idx="2"/>
                        </wps:cNvCnPr>
                        <wps:spPr>
                          <a:xfrm>
                            <a:off x="17301" y="44048"/>
                            <a:ext cx="2940" cy="1"/>
                          </a:xfrm>
                          <a:prstGeom prst="straightConnector1">
                            <a:avLst/>
                          </a:prstGeom>
                          <a:ln w="9525" cap="flat" cmpd="sng">
                            <a:solidFill>
                              <a:srgbClr val="000000"/>
                            </a:solidFill>
                            <a:prstDash val="solid"/>
                            <a:headEnd type="none" w="med" len="med"/>
                            <a:tailEnd type="none" w="med" len="med"/>
                          </a:ln>
                          <a:effectLst/>
                        </wps:spPr>
                        <wps:bodyPr/>
                      </wps:wsp>
                      <wps:wsp>
                        <wps:cNvPr id="169" name="Rectangle 395"/>
                        <wps:cNvSpPr/>
                        <wps:spPr>
                          <a:xfrm>
                            <a:off x="16868" y="44436"/>
                            <a:ext cx="3885" cy="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23F6568">
                              <w:pPr>
                                <w:pStyle w:val="17"/>
                                <w:bidi w:val="0"/>
                              </w:pPr>
                              <w:r>
                                <w:rPr>
                                  <w:rFonts w:hint="eastAsia"/>
                                </w:rPr>
                                <w:t>1 各环境要素环境影响预测与评价</w:t>
                              </w:r>
                            </w:p>
                            <w:p w14:paraId="40E6DF38">
                              <w:pPr>
                                <w:pStyle w:val="17"/>
                                <w:bidi w:val="0"/>
                              </w:pPr>
                              <w:r>
                                <w:rPr>
                                  <w:rFonts w:hint="eastAsia"/>
                                </w:rPr>
                                <w:t>2 各专题环境影响分析与评价</w:t>
                              </w:r>
                            </w:p>
                          </w:txbxContent>
                        </wps:txbx>
                        <wps:bodyPr vert="horz" anchor="t" anchorCtr="0" upright="1"/>
                      </wps:wsp>
                      <wps:wsp>
                        <wps:cNvPr id="170" name="Rectangle 397"/>
                        <wps:cNvSpPr/>
                        <wps:spPr>
                          <a:xfrm>
                            <a:off x="16733" y="45729"/>
                            <a:ext cx="4170" cy="129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411222">
                              <w:pPr>
                                <w:pStyle w:val="17"/>
                                <w:bidi w:val="0"/>
                              </w:pPr>
                              <w:r>
                                <w:rPr>
                                  <w:rFonts w:hint="eastAsia"/>
                                </w:rPr>
                                <w:t>1 提出环境保护措施，进行技术经济论证</w:t>
                              </w:r>
                            </w:p>
                            <w:p w14:paraId="397991BC">
                              <w:pPr>
                                <w:pStyle w:val="17"/>
                                <w:bidi w:val="0"/>
                              </w:pPr>
                              <w:r>
                                <w:rPr>
                                  <w:rFonts w:hint="eastAsia"/>
                                </w:rPr>
                                <w:t>2 给出污染物排放清单</w:t>
                              </w:r>
                            </w:p>
                            <w:p w14:paraId="2150CD1E">
                              <w:pPr>
                                <w:pStyle w:val="17"/>
                                <w:bidi w:val="0"/>
                              </w:pPr>
                              <w:r>
                                <w:rPr>
                                  <w:rFonts w:hint="eastAsia"/>
                                </w:rPr>
                                <w:t>3给出建设项目环境影响评价结论</w:t>
                              </w:r>
                            </w:p>
                          </w:txbxContent>
                        </wps:txbx>
                        <wps:bodyPr vert="horz" anchor="t" anchorCtr="0" upright="1"/>
                      </wps:wsp>
                      <wps:wsp>
                        <wps:cNvPr id="171" name="Straight Connector 398"/>
                        <wps:cNvCnPr>
                          <a:stCxn id="165" idx="2"/>
                        </wps:cNvCnPr>
                        <wps:spPr>
                          <a:xfrm>
                            <a:off x="18831" y="47040"/>
                            <a:ext cx="1" cy="363"/>
                          </a:xfrm>
                          <a:prstGeom prst="straightConnector1">
                            <a:avLst/>
                          </a:prstGeom>
                          <a:ln w="9525" cap="flat" cmpd="sng">
                            <a:solidFill>
                              <a:srgbClr val="000000"/>
                            </a:solidFill>
                            <a:prstDash val="solid"/>
                            <a:headEnd type="none" w="med" len="med"/>
                            <a:tailEnd type="triangle" w="med" len="med"/>
                          </a:ln>
                          <a:effectLst/>
                        </wps:spPr>
                        <wps:bodyPr/>
                      </wps:wsp>
                      <wps:wsp>
                        <wps:cNvPr id="172" name="Rectangle 399"/>
                        <wps:cNvSpPr/>
                        <wps:spPr>
                          <a:xfrm>
                            <a:off x="17341" y="47397"/>
                            <a:ext cx="2909" cy="41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2A5B41B">
                              <w:pPr>
                                <w:pStyle w:val="17"/>
                                <w:bidi w:val="0"/>
                              </w:pPr>
                              <w:r>
                                <w:rPr>
                                  <w:rFonts w:hint="eastAsia"/>
                                </w:rPr>
                                <w:t>编制环境影响报告书（表）</w:t>
                              </w:r>
                            </w:p>
                          </w:txbxContent>
                        </wps:txbx>
                        <wps:bodyPr vert="horz" anchor="t" anchorCtr="0" upright="1"/>
                      </wps:wsp>
                      <wps:wsp>
                        <wps:cNvPr id="173" name="Straight Connector 409"/>
                        <wps:cNvCnPr>
                          <a:stCxn id="165" idx="2"/>
                        </wps:cNvCnPr>
                        <wps:spPr>
                          <a:xfrm>
                            <a:off x="14627" y="45513"/>
                            <a:ext cx="8415" cy="1"/>
                          </a:xfrm>
                          <a:prstGeom prst="straightConnector1">
                            <a:avLst/>
                          </a:prstGeom>
                          <a:ln w="9525" cap="flat" cmpd="sng">
                            <a:solidFill>
                              <a:srgbClr val="000000"/>
                            </a:solidFill>
                            <a:prstDash val="dash"/>
                            <a:headEnd type="none" w="med" len="med"/>
                            <a:tailEnd type="none" w="med" len="med"/>
                          </a:ln>
                          <a:effectLst/>
                        </wps:spPr>
                        <wps:bodyPr/>
                      </wps:wsp>
                      <wps:wsp>
                        <wps:cNvPr id="174" name="Rectangle 413"/>
                        <wps:cNvSpPr/>
                        <wps:spPr>
                          <a:xfrm>
                            <a:off x="14764" y="37756"/>
                            <a:ext cx="8415" cy="10377"/>
                          </a:xfrm>
                          <a:prstGeom prst="rect">
                            <a:avLst/>
                          </a:prstGeom>
                          <a:noFill/>
                          <a:ln w="9525" cap="flat" cmpd="sng">
                            <a:solidFill>
                              <a:srgbClr val="000000"/>
                            </a:solidFill>
                            <a:prstDash val="dash"/>
                            <a:miter/>
                            <a:headEnd type="none" w="med" len="med"/>
                            <a:tailEnd type="none" w="med" len="med"/>
                          </a:ln>
                          <a:effectLst/>
                        </wps:spPr>
                        <wps:bodyPr vert="horz" anchor="t" anchorCtr="0" upright="1"/>
                      </wps:wsp>
                      <wps:wsp>
                        <wps:cNvPr id="175" name="Straight Connector 391"/>
                        <wps:cNvCnPr/>
                        <wps:spPr>
                          <a:xfrm>
                            <a:off x="18832" y="45359"/>
                            <a:ext cx="1" cy="399"/>
                          </a:xfrm>
                          <a:prstGeom prst="straightConnector1">
                            <a:avLst/>
                          </a:prstGeom>
                          <a:ln w="9525" cap="flat" cmpd="sng">
                            <a:solidFill>
                              <a:srgbClr val="000000"/>
                            </a:solidFill>
                            <a:prstDash val="solid"/>
                            <a:headEnd type="none" w="med" len="med"/>
                            <a:tailEnd type="triangle" w="med" len="med"/>
                          </a:ln>
                          <a:effectLst/>
                        </wps:spPr>
                        <wps:bodyPr/>
                      </wps:wsp>
                    </wpg:wgp>
                  </a:graphicData>
                </a:graphic>
              </wp:anchor>
            </w:drawing>
          </mc:Choice>
          <mc:Fallback>
            <w:pict>
              <v:group id="组合 1027" o:spid="_x0000_s1026" o:spt="203" style="position:absolute;left:0pt;margin-left:-12.9pt;margin-top:3.45pt;height:502.45pt;width:427.55pt;z-index:251661312;mso-width-relative:page;mso-height-relative:page;" coordorigin="14627,37756" coordsize="8551,10376" o:gfxdata="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">
                <o:lock v:ext="edit" aspectratio="f"/>
                <v:shape id="Straight Connector 377" o:spid="_x0000_s1026" o:spt="32" type="#_x0000_t32" style="position:absolute;left:18936;top:41282;height:309;width:1;" filled="f" stroked="t" coordsize="21600,21600" o:gfxdata="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YHzJ&#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shape id="Straight Connector 387" o:spid="_x0000_s1026" o:spt="32" type="#_x0000_t32" style="position:absolute;left:17303;top:42496;height:426;width:1;" filled="f" stroked="t" coordsize="21600,21600" o:gfxdata="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TIaC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Straight Connector 388" o:spid="_x0000_s1026" o:spt="32" type="#_x0000_t32" style="position:absolute;left:20230;top:42511;height:446;width:1;" filled="f" stroked="t" coordsize="21600,21600" o:gfxdata="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e4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shape>
                <v:shape id="Straight Connector 392" o:spid="_x0000_s1026" o:spt="32" type="#_x0000_t32" style="position:absolute;left:17317;top:43695;height:357;width:1;" filled="f" stroked="t" coordsize="21600,21600" o:gfxdata="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8u3u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Straight Connector 393" o:spid="_x0000_s1026" o:spt="32" type="#_x0000_t32" style="position:absolute;left:20258;top:43642;height:432;width:1;" filled="f" stroked="t" coordsize="21600,21600" o:gfxdata="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G4lD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Straight Connector 408" o:spid="_x0000_s1026" o:spt="32" type="#_x0000_t32" style="position:absolute;left:14739;top:42201;height:1;width:8415;" filled="f" stroked="t" coordsize="21600,21600" o:gfxdata="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4JvUvQAA&#10;ANwAAAAPAAAAAAAAAAEAIAAAACIAAABkcnMvZG93bnJldi54bWxQSwECFAAUAAAACACHTuJAMy8F&#10;njsAAAA5AAAAEAAAAAAAAAABACAAAAAMAQAAZHJzL3NoYXBleG1sLnhtbFBLBQYAAAAABgAGAFsB&#10;AAC2AwAAAAA=&#10;">
                  <v:fill on="f" focussize="0,0"/>
                  <v:stroke color="#000000" joinstyle="round" dashstyle="dash"/>
                  <v:imagedata o:title=""/>
                  <o:lock v:ext="edit" aspectratio="f"/>
                </v:shape>
                <v:rect id="Rectangle 410" o:spid="_x0000_s1026" o:spt="1" style="position:absolute;left:14856;top:38806;height:1770;width:420;" filled="f" stroked="f" coordsize="21600,21600" o:gfxdata="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KS1gb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E37381E">
                        <w:pPr>
                          <w:pStyle w:val="17"/>
                          <w:bidi w:val="0"/>
                        </w:pPr>
                        <w:r>
                          <w:rPr>
                            <w:rFonts w:hint="eastAsia"/>
                          </w:rPr>
                          <w:t>第一阶段</w:t>
                        </w:r>
                      </w:p>
                    </w:txbxContent>
                  </v:textbox>
                </v:rect>
                <v:rect id="Rectangle 411" o:spid="_x0000_s1026" o:spt="1" style="position:absolute;left:14821;top:43403;height:1479;width:420;" filled="f" stroked="f" coordsize="21600,21600" o:gfxdata="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gQG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C856EF9">
                        <w:pPr>
                          <w:pStyle w:val="17"/>
                          <w:bidi w:val="0"/>
                        </w:pPr>
                        <w:r>
                          <w:rPr>
                            <w:rFonts w:hint="eastAsia"/>
                          </w:rPr>
                          <w:t>第二阶段</w:t>
                        </w:r>
                      </w:p>
                    </w:txbxContent>
                  </v:textbox>
                </v:rect>
                <v:rect id="Rectangle 412" o:spid="_x0000_s1026" o:spt="1" style="position:absolute;left:14776;top:45853;height:1522;width:420;" filled="f" stroked="f" coordsize="21600,21600" o:gfxdata="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qObb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7E5BF4D">
                        <w:pPr>
                          <w:pStyle w:val="17"/>
                          <w:bidi w:val="0"/>
                        </w:pPr>
                        <w:r>
                          <w:rPr>
                            <w:rFonts w:hint="eastAsia"/>
                          </w:rPr>
                          <w:t>第三阶段</w:t>
                        </w:r>
                      </w:p>
                    </w:txbxContent>
                  </v:textbox>
                </v:rect>
                <v:rect id="Rectangle 376" o:spid="_x0000_s1026" o:spt="1" style="position:absolute;left:16736;top:38787;height:1083;width:4470;" fillcolor="#FFFFFF" filled="t" stroked="t" coordsize="21600,21600" o:gfxdata="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rz3a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3841B22">
                        <w:pPr>
                          <w:pStyle w:val="17"/>
                          <w:bidi w:val="0"/>
                        </w:pPr>
                        <w:r>
                          <w:t>1 研究相关技术文件和其他有关文件</w:t>
                        </w:r>
                      </w:p>
                      <w:p w14:paraId="05E048E3">
                        <w:pPr>
                          <w:pStyle w:val="17"/>
                          <w:bidi w:val="0"/>
                        </w:pPr>
                        <w:r>
                          <w:t>2 进行初步工程分析</w:t>
                        </w:r>
                      </w:p>
                      <w:p w14:paraId="1265EE5D">
                        <w:pPr>
                          <w:pStyle w:val="17"/>
                          <w:bidi w:val="0"/>
                        </w:pPr>
                        <w:r>
                          <w:t>3 开</w:t>
                        </w:r>
                        <w:r>
                          <w:rPr>
                            <w:rFonts w:hint="eastAsia"/>
                          </w:rPr>
                          <w:t>展初步的环境状况调查</w:t>
                        </w:r>
                      </w:p>
                    </w:txbxContent>
                  </v:textbox>
                </v:rect>
                <v:rect id="Rectangle 372" o:spid="_x0000_s1026" o:spt="1" style="position:absolute;left:16753;top:37971;height:421;width:4488;" fillcolor="#FFFFFF" filled="t" stroked="t" coordsize="21600,21600" o:gfxdata="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RbB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EF985CE">
                        <w:pPr>
                          <w:pStyle w:val="17"/>
                          <w:bidi w:val="0"/>
                        </w:pPr>
                        <w:r>
                          <w:rPr>
                            <w:rFonts w:hint="eastAsia"/>
                          </w:rPr>
                          <w:t>依据相关规定确定环境影响评价文件类型</w:t>
                        </w:r>
                      </w:p>
                    </w:txbxContent>
                  </v:textbox>
                </v:rect>
                <v:shape id="Straight Connector 373" o:spid="_x0000_s1026" o:spt="32" type="#_x0000_t32" style="position:absolute;left:18940;top:38434;height:349;width:1;" filled="f" stroked="t" coordsize="21600,21600" o:gfxdata="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1T4+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Straight Connector 375" o:spid="_x0000_s1026" o:spt="32" type="#_x0000_t32" style="position:absolute;left:18936;top:39882;height:309;width:1;" filled="f" stroked="t" coordsize="21600,21600" o:gfxdata="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jLK+/&#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1032" o:spid="_x0000_s1026" o:spt="1" style="position:absolute;left:16710;top:40204;height:1083;width:4470;" fillcolor="#FFFFFF" filled="t" stroked="t" coordsize="21600,21600" o:gfxdata="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Yjgk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00AF061E">
                        <w:pPr>
                          <w:pStyle w:val="17"/>
                          <w:bidi w:val="0"/>
                        </w:pPr>
                        <w:r>
                          <w:t>1 环境影响识别和评价因子筛选</w:t>
                        </w:r>
                      </w:p>
                      <w:p w14:paraId="4DFDA75E">
                        <w:pPr>
                          <w:pStyle w:val="17"/>
                          <w:bidi w:val="0"/>
                        </w:pPr>
                        <w:r>
                          <w:t>2 明确评价重点和环境保护目标</w:t>
                        </w:r>
                      </w:p>
                      <w:p w14:paraId="70F0A37D">
                        <w:pPr>
                          <w:pStyle w:val="17"/>
                          <w:bidi w:val="0"/>
                        </w:pPr>
                        <w:r>
                          <w:t>3 确定</w:t>
                        </w:r>
                        <w:r>
                          <w:rPr>
                            <w:rFonts w:hint="eastAsia"/>
                          </w:rPr>
                          <w:t>工作等级、评价范围和评价标准</w:t>
                        </w:r>
                      </w:p>
                    </w:txbxContent>
                  </v:textbox>
                </v:rect>
                <v:rect id="Rectangle 382" o:spid="_x0000_s1026" o:spt="1" style="position:absolute;left:17909;top:41589;height:421;width:1935;" fillcolor="#FFFFFF" filled="t" stroked="t" coordsize="21600,21600" o:gfxdata="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sKZT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CD363EF">
                        <w:pPr>
                          <w:pStyle w:val="17"/>
                          <w:bidi w:val="0"/>
                        </w:pPr>
                        <w:r>
                          <w:rPr>
                            <w:rFonts w:hint="eastAsia"/>
                          </w:rPr>
                          <w:t>制定工作方案</w:t>
                        </w:r>
                      </w:p>
                    </w:txbxContent>
                  </v:textbox>
                </v:rect>
                <v:shape id="Straight Connector 385" o:spid="_x0000_s1026" o:spt="32" type="#_x0000_t32" style="position:absolute;left:18893;top:42047;flip:x;height:465;width:7;" filled="f" stroked="t" coordsize="21600,21600" o:gfxdata="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c34v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Straight Connector 386" o:spid="_x0000_s1026" o:spt="32" type="#_x0000_t32" style="position:absolute;left:17289;top:42510;height:1;width:2940;" filled="f" stroked="t" coordsize="21600,21600" o:gfxdata="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p9Je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rect id="Rectangle 389" o:spid="_x0000_s1026" o:spt="1" style="position:absolute;left:16296;top:42925;height:770;width:2042;" fillcolor="#FFFFFF" filled="t" stroked="t" coordsize="21600,21600" o:gfxdata="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1ZPie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4A7CA3C">
                        <w:pPr>
                          <w:pStyle w:val="17"/>
                          <w:bidi w:val="0"/>
                        </w:pPr>
                        <w:r>
                          <w:rPr>
                            <w:rFonts w:hint="eastAsia"/>
                          </w:rPr>
                          <w:t>环境现状调查监测与评价</w:t>
                        </w:r>
                      </w:p>
                    </w:txbxContent>
                  </v:textbox>
                </v:rect>
                <v:rect id="Rectangle 390" o:spid="_x0000_s1026" o:spt="1" style="position:absolute;left:19566;top:42937;height:781;width:1315;" fillcolor="#FFFFFF" filled="t" stroked="t" coordsize="21600,21600" o:gfxdata="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i6BQ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0843E685">
                        <w:pPr>
                          <w:pStyle w:val="17"/>
                          <w:bidi w:val="0"/>
                        </w:pPr>
                        <w:r>
                          <w:rPr>
                            <w:rFonts w:hint="eastAsia"/>
                          </w:rPr>
                          <w:t>建设项目工程分析</w:t>
                        </w:r>
                      </w:p>
                    </w:txbxContent>
                  </v:textbox>
                </v:rect>
                <v:shape id="Straight Connector 391" o:spid="_x0000_s1026" o:spt="32" type="#_x0000_t32" style="position:absolute;left:18871;top:44047;height:399;width:1;" filled="f" stroked="t" coordsize="21600,21600" o:gfxdata="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KtNu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Straight Connector 394" o:spid="_x0000_s1026" o:spt="32" type="#_x0000_t32" style="position:absolute;left:17301;top:44048;height:1;width:2940;" filled="f" stroked="t" coordsize="21600,21600" o:gfxdata="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rYW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shape>
                <v:rect id="Rectangle 395" o:spid="_x0000_s1026" o:spt="1" style="position:absolute;left:16868;top:44436;height:895;width:3885;" fillcolor="#FFFFFF" filled="t" stroked="t" coordsize="21600,21600" o:gfxdata="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UNCK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23F6568">
                        <w:pPr>
                          <w:pStyle w:val="17"/>
                          <w:bidi w:val="0"/>
                        </w:pPr>
                        <w:r>
                          <w:rPr>
                            <w:rFonts w:hint="eastAsia"/>
                          </w:rPr>
                          <w:t>1 各环境要素环境影响预测与评价</w:t>
                        </w:r>
                      </w:p>
                      <w:p w14:paraId="40E6DF38">
                        <w:pPr>
                          <w:pStyle w:val="17"/>
                          <w:bidi w:val="0"/>
                        </w:pPr>
                        <w:r>
                          <w:rPr>
                            <w:rFonts w:hint="eastAsia"/>
                          </w:rPr>
                          <w:t>2 各专题环境影响分析与评价</w:t>
                        </w:r>
                      </w:p>
                    </w:txbxContent>
                  </v:textbox>
                </v:rect>
                <v:rect id="Rectangle 397" o:spid="_x0000_s1026" o:spt="1" style="position:absolute;left:16733;top:45729;height:1294;width:4170;" fillcolor="#FFFFFF" filled="t" stroked="t" coordsize="21600,21600" o:gfxdata="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PcLY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C411222">
                        <w:pPr>
                          <w:pStyle w:val="17"/>
                          <w:bidi w:val="0"/>
                        </w:pPr>
                        <w:r>
                          <w:rPr>
                            <w:rFonts w:hint="eastAsia"/>
                          </w:rPr>
                          <w:t>1 提出环境保护措施，进行技术经济论证</w:t>
                        </w:r>
                      </w:p>
                      <w:p w14:paraId="397991BC">
                        <w:pPr>
                          <w:pStyle w:val="17"/>
                          <w:bidi w:val="0"/>
                        </w:pPr>
                        <w:r>
                          <w:rPr>
                            <w:rFonts w:hint="eastAsia"/>
                          </w:rPr>
                          <w:t>2 给出污染物排放清单</w:t>
                        </w:r>
                      </w:p>
                      <w:p w14:paraId="2150CD1E">
                        <w:pPr>
                          <w:pStyle w:val="17"/>
                          <w:bidi w:val="0"/>
                        </w:pPr>
                        <w:r>
                          <w:rPr>
                            <w:rFonts w:hint="eastAsia"/>
                          </w:rPr>
                          <w:t>3给出建设项目环境影响评价结论</w:t>
                        </w:r>
                      </w:p>
                    </w:txbxContent>
                  </v:textbox>
                </v:rect>
                <v:shape id="Straight Connector 398" o:spid="_x0000_s1026" o:spt="32" type="#_x0000_t32" style="position:absolute;left:18831;top:47040;height:363;width:1;" filled="f" stroked="t" coordsize="21600,21600" o:gfxdata="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02H+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Rectangle 399" o:spid="_x0000_s1026" o:spt="1" style="position:absolute;left:17341;top:47397;height:414;width:2909;" fillcolor="#FFFFFF" filled="t" stroked="t" coordsize="21600,21600" o:gfxdata="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pMI6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2A5B41B">
                        <w:pPr>
                          <w:pStyle w:val="17"/>
                          <w:bidi w:val="0"/>
                        </w:pPr>
                        <w:r>
                          <w:rPr>
                            <w:rFonts w:hint="eastAsia"/>
                          </w:rPr>
                          <w:t>编制环境影响报告书（表）</w:t>
                        </w:r>
                      </w:p>
                    </w:txbxContent>
                  </v:textbox>
                </v:rect>
                <v:shape id="Straight Connector 409" o:spid="_x0000_s1026" o:spt="32" type="#_x0000_t32" style="position:absolute;left:14627;top:45513;height:1;width:8415;" filled="f" stroked="t" coordsize="21600,21600" o:gfxdata="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Vce0vQAA&#10;ANwAAAAPAAAAAAAAAAEAIAAAACIAAABkcnMvZG93bnJldi54bWxQSwECFAAUAAAACACHTuJAMy8F&#10;njsAAAA5AAAAEAAAAAAAAAABACAAAAAMAQAAZHJzL3NoYXBleG1sLnhtbFBLBQYAAAAABgAGAFsB&#10;AAC2AwAAAAA=&#10;">
                  <v:fill on="f" focussize="0,0"/>
                  <v:stroke color="#000000" joinstyle="round" dashstyle="dash"/>
                  <v:imagedata o:title=""/>
                  <o:lock v:ext="edit" aspectratio="f"/>
                </v:shape>
                <v:rect id="Rectangle 413" o:spid="_x0000_s1026" o:spt="1" style="position:absolute;left:14764;top:37756;height:10377;width:8415;" filled="f" stroked="t" coordsize="21600,21600" o:gfxdata="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LIG8AAAA&#10;3AAAAA8AAAAAAAAAAQAgAAAAIgAAAGRycy9kb3ducmV2LnhtbFBLAQIUABQAAAAIAIdO4kAzLwWe&#10;OwAAADkAAAAQAAAAAAAAAAEAIAAAAAsBAABkcnMvc2hhcGV4bWwueG1sUEsFBgAAAAAGAAYAWwEA&#10;ALUDAAAAAA==&#10;">
                  <v:fill on="f" focussize="0,0"/>
                  <v:stroke color="#000000" joinstyle="miter" dashstyle="dash"/>
                  <v:imagedata o:title=""/>
                  <o:lock v:ext="edit" aspectratio="f"/>
                </v:rect>
                <v:shape id="Straight Connector 391" o:spid="_x0000_s1026" o:spt="32" type="#_x0000_t32" style="position:absolute;left:18832;top:45359;height:399;width:1;" filled="f" stroked="t" coordsize="21600,21600" o:gfxdata="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DRnq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group>
            </w:pict>
          </mc:Fallback>
        </mc:AlternateContent>
      </w:r>
    </w:p>
    <w:p w14:paraId="6B0C8C8B">
      <w:pPr>
        <w:spacing w:before="60" w:after="60"/>
        <w:rPr>
          <w:rFonts w:hint="default" w:ascii="Times New Roman" w:hAnsi="Times New Roman" w:cs="Times New Roman"/>
          <w:color w:val="auto"/>
          <w:highlight w:val="none"/>
        </w:rPr>
      </w:pPr>
    </w:p>
    <w:p w14:paraId="3F16F6E1">
      <w:pPr>
        <w:ind w:firstLine="560"/>
        <w:rPr>
          <w:rFonts w:hint="default" w:ascii="Times New Roman" w:hAnsi="Times New Roman" w:cs="Times New Roman"/>
          <w:color w:val="auto"/>
          <w:highlight w:val="none"/>
        </w:rPr>
      </w:pPr>
    </w:p>
    <w:p w14:paraId="1525AA90">
      <w:pPr>
        <w:ind w:firstLine="560"/>
        <w:rPr>
          <w:rFonts w:hint="default" w:ascii="Times New Roman" w:hAnsi="Times New Roman" w:cs="Times New Roman"/>
          <w:color w:val="auto"/>
          <w:highlight w:val="none"/>
        </w:rPr>
      </w:pPr>
    </w:p>
    <w:p w14:paraId="31080AF7">
      <w:pPr>
        <w:ind w:firstLine="560"/>
        <w:rPr>
          <w:rFonts w:hint="default" w:ascii="Times New Roman" w:hAnsi="Times New Roman" w:cs="Times New Roman"/>
          <w:color w:val="auto"/>
          <w:highlight w:val="none"/>
        </w:rPr>
      </w:pPr>
    </w:p>
    <w:p w14:paraId="3188EDCB">
      <w:pPr>
        <w:ind w:firstLine="560"/>
        <w:rPr>
          <w:rFonts w:hint="default" w:ascii="Times New Roman" w:hAnsi="Times New Roman" w:cs="Times New Roman"/>
          <w:color w:val="auto"/>
          <w:highlight w:val="none"/>
        </w:rPr>
      </w:pPr>
    </w:p>
    <w:p w14:paraId="45B0FF0A">
      <w:pPr>
        <w:ind w:firstLine="560"/>
        <w:rPr>
          <w:rFonts w:hint="default" w:ascii="Times New Roman" w:hAnsi="Times New Roman" w:cs="Times New Roman"/>
          <w:color w:val="auto"/>
          <w:highlight w:val="none"/>
        </w:rPr>
      </w:pPr>
    </w:p>
    <w:p w14:paraId="30517369">
      <w:pPr>
        <w:ind w:firstLine="560"/>
        <w:rPr>
          <w:rFonts w:hint="default" w:ascii="Times New Roman" w:hAnsi="Times New Roman" w:cs="Times New Roman"/>
          <w:color w:val="auto"/>
          <w:highlight w:val="none"/>
        </w:rPr>
      </w:pPr>
    </w:p>
    <w:p w14:paraId="7A3CD4A6">
      <w:pPr>
        <w:ind w:firstLine="560"/>
        <w:rPr>
          <w:rFonts w:hint="default" w:ascii="Times New Roman" w:hAnsi="Times New Roman" w:cs="Times New Roman"/>
          <w:color w:val="auto"/>
          <w:highlight w:val="none"/>
        </w:rPr>
      </w:pPr>
    </w:p>
    <w:p w14:paraId="3DC1680B">
      <w:pPr>
        <w:ind w:firstLine="560"/>
        <w:rPr>
          <w:rFonts w:hint="default" w:ascii="Times New Roman" w:hAnsi="Times New Roman" w:cs="Times New Roman"/>
          <w:color w:val="auto"/>
          <w:highlight w:val="none"/>
        </w:rPr>
      </w:pPr>
    </w:p>
    <w:p w14:paraId="2FA56679">
      <w:pPr>
        <w:ind w:firstLine="560"/>
        <w:rPr>
          <w:rFonts w:hint="default" w:ascii="Times New Roman" w:hAnsi="Times New Roman" w:cs="Times New Roman"/>
          <w:color w:val="auto"/>
          <w:highlight w:val="none"/>
        </w:rPr>
      </w:pPr>
    </w:p>
    <w:p w14:paraId="3BECB40C">
      <w:pPr>
        <w:ind w:firstLine="560"/>
        <w:rPr>
          <w:rFonts w:hint="default" w:ascii="Times New Roman" w:hAnsi="Times New Roman" w:cs="Times New Roman"/>
          <w:color w:val="auto"/>
          <w:highlight w:val="none"/>
        </w:rPr>
      </w:pPr>
    </w:p>
    <w:p w14:paraId="2D3B92B1">
      <w:pPr>
        <w:ind w:firstLine="560"/>
        <w:rPr>
          <w:rFonts w:hint="default" w:ascii="Times New Roman" w:hAnsi="Times New Roman" w:cs="Times New Roman"/>
          <w:color w:val="auto"/>
          <w:highlight w:val="none"/>
        </w:rPr>
      </w:pPr>
    </w:p>
    <w:p w14:paraId="3A4E1425">
      <w:pPr>
        <w:ind w:firstLine="560"/>
        <w:rPr>
          <w:rFonts w:hint="default" w:ascii="Times New Roman" w:hAnsi="Times New Roman" w:cs="Times New Roman"/>
          <w:color w:val="auto"/>
          <w:highlight w:val="none"/>
        </w:rPr>
      </w:pPr>
    </w:p>
    <w:p w14:paraId="2A789F8D">
      <w:pPr>
        <w:ind w:firstLine="560"/>
        <w:rPr>
          <w:rFonts w:hint="default" w:ascii="Times New Roman" w:hAnsi="Times New Roman" w:cs="Times New Roman"/>
          <w:color w:val="auto"/>
          <w:highlight w:val="none"/>
        </w:rPr>
      </w:pPr>
    </w:p>
    <w:p w14:paraId="366AE271">
      <w:pPr>
        <w:ind w:firstLine="560"/>
        <w:rPr>
          <w:rFonts w:hint="default" w:ascii="Times New Roman" w:hAnsi="Times New Roman" w:cs="Times New Roman"/>
          <w:color w:val="auto"/>
          <w:highlight w:val="none"/>
        </w:rPr>
      </w:pPr>
    </w:p>
    <w:p w14:paraId="7BECB8C5">
      <w:pPr>
        <w:ind w:firstLine="560"/>
        <w:rPr>
          <w:rFonts w:hint="default" w:ascii="Times New Roman" w:hAnsi="Times New Roman" w:cs="Times New Roman"/>
          <w:color w:val="auto"/>
          <w:highlight w:val="none"/>
        </w:rPr>
      </w:pPr>
    </w:p>
    <w:p w14:paraId="0C1C3E28">
      <w:pPr>
        <w:ind w:firstLine="560"/>
        <w:rPr>
          <w:rFonts w:hint="default" w:ascii="Times New Roman" w:hAnsi="Times New Roman" w:cs="Times New Roman"/>
          <w:color w:val="auto"/>
          <w:highlight w:val="none"/>
        </w:rPr>
      </w:pPr>
    </w:p>
    <w:p w14:paraId="24683086">
      <w:pPr>
        <w:ind w:firstLine="560"/>
        <w:rPr>
          <w:rFonts w:hint="default" w:ascii="Times New Roman" w:hAnsi="Times New Roman" w:cs="Times New Roman"/>
          <w:color w:val="auto"/>
          <w:highlight w:val="none"/>
        </w:rPr>
      </w:pPr>
    </w:p>
    <w:p w14:paraId="4B6811B9">
      <w:pPr>
        <w:ind w:firstLine="560"/>
        <w:rPr>
          <w:rFonts w:hint="default" w:ascii="Times New Roman" w:hAnsi="Times New Roman" w:cs="Times New Roman"/>
          <w:color w:val="auto"/>
          <w:highlight w:val="none"/>
        </w:rPr>
      </w:pPr>
    </w:p>
    <w:p w14:paraId="5285658B">
      <w:pPr>
        <w:ind w:left="0" w:leftChars="0" w:firstLine="0" w:firstLineChars="0"/>
        <w:rPr>
          <w:rFonts w:hint="default" w:ascii="Times New Roman" w:hAnsi="Times New Roman" w:cs="Times New Roman"/>
          <w:color w:val="auto"/>
          <w:highlight w:val="none"/>
        </w:rPr>
      </w:pPr>
    </w:p>
    <w:p w14:paraId="11DACA94">
      <w:pPr>
        <w:spacing w:line="480" w:lineRule="exact"/>
        <w:ind w:firstLine="0" w:firstLineChars="0"/>
        <w:jc w:val="center"/>
        <w:rPr>
          <w:rFonts w:hint="default" w:ascii="Times New Roman" w:hAnsi="Times New Roman" w:cs="Times New Roman"/>
          <w:b/>
          <w:bCs/>
          <w:color w:val="auto"/>
          <w:szCs w:val="24"/>
          <w:highlight w:val="none"/>
        </w:rPr>
      </w:pPr>
      <w:r>
        <w:rPr>
          <w:rFonts w:hint="default" w:ascii="Times New Roman" w:hAnsi="Times New Roman" w:cs="Times New Roman"/>
          <w:b/>
          <w:bCs/>
          <w:color w:val="auto"/>
          <w:szCs w:val="24"/>
          <w:highlight w:val="none"/>
        </w:rPr>
        <w:t>图1.2-1    环境影响评价工作程序图</w:t>
      </w:r>
    </w:p>
    <w:p w14:paraId="66E46827">
      <w:pPr>
        <w:pStyle w:val="5"/>
        <w:spacing w:line="560" w:lineRule="atLeast"/>
        <w:rPr>
          <w:rFonts w:hint="default" w:ascii="Times New Roman" w:hAnsi="Times New Roman" w:cs="Times New Roman"/>
          <w:color w:val="auto"/>
          <w:highlight w:val="none"/>
        </w:rPr>
      </w:pPr>
      <w:bookmarkStart w:id="37" w:name="_Toc23057"/>
      <w:bookmarkStart w:id="38" w:name="_Toc6274"/>
      <w:bookmarkStart w:id="39" w:name="_Toc24627"/>
      <w:bookmarkStart w:id="40" w:name="_Toc12034"/>
      <w:bookmarkStart w:id="41" w:name="_Toc4397"/>
      <w:bookmarkStart w:id="42" w:name="_Toc107413873"/>
      <w:bookmarkStart w:id="43" w:name="_Toc107414640"/>
      <w:bookmarkStart w:id="44" w:name="_Toc26741"/>
      <w:r>
        <w:rPr>
          <w:rFonts w:hint="default" w:ascii="Times New Roman" w:hAnsi="Times New Roman" w:cs="Times New Roman"/>
          <w:color w:val="auto"/>
          <w:highlight w:val="none"/>
        </w:rPr>
        <w:t>1.3分析判定相关情况</w:t>
      </w:r>
      <w:bookmarkEnd w:id="37"/>
      <w:bookmarkEnd w:id="38"/>
      <w:bookmarkEnd w:id="39"/>
      <w:bookmarkEnd w:id="40"/>
      <w:bookmarkEnd w:id="41"/>
      <w:bookmarkEnd w:id="42"/>
      <w:bookmarkEnd w:id="43"/>
      <w:bookmarkEnd w:id="44"/>
    </w:p>
    <w:p w14:paraId="53BC1D3E">
      <w:pPr>
        <w:pStyle w:val="6"/>
        <w:rPr>
          <w:rFonts w:hint="default" w:ascii="Times New Roman" w:hAnsi="Times New Roman" w:cs="Times New Roman"/>
          <w:color w:val="auto"/>
          <w:highlight w:val="none"/>
        </w:rPr>
      </w:pPr>
      <w:bookmarkStart w:id="45" w:name="_Toc14444"/>
      <w:bookmarkStart w:id="46" w:name="_Toc24395"/>
      <w:bookmarkStart w:id="47" w:name="_Toc27772"/>
      <w:r>
        <w:rPr>
          <w:rFonts w:hint="default" w:ascii="Times New Roman" w:hAnsi="Times New Roman" w:cs="Times New Roman"/>
          <w:color w:val="auto"/>
          <w:highlight w:val="none"/>
        </w:rPr>
        <w:t>1.3.1产业政策符合性</w:t>
      </w:r>
      <w:bookmarkEnd w:id="45"/>
      <w:bookmarkEnd w:id="46"/>
      <w:bookmarkEnd w:id="47"/>
    </w:p>
    <w:p w14:paraId="2CAF49C6">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根据《产业结构调整指导目录（</w:t>
      </w:r>
      <w:r>
        <w:rPr>
          <w:rFonts w:hint="default" w:ascii="Times New Roman" w:hAnsi="Times New Roman" w:cs="Times New Roman"/>
          <w:color w:val="auto"/>
          <w:highlight w:val="none"/>
          <w:lang w:val="en-US" w:eastAsia="zh-CN"/>
        </w:rPr>
        <w:t>2024</w:t>
      </w:r>
      <w:r>
        <w:rPr>
          <w:rFonts w:hint="default" w:ascii="Times New Roman" w:hAnsi="Times New Roman" w:cs="Times New Roman"/>
          <w:color w:val="auto"/>
          <w:highlight w:val="none"/>
        </w:rPr>
        <w:t>年本）》，本项目属于名录中</w:t>
      </w:r>
      <w:r>
        <w:rPr>
          <w:rFonts w:hint="default" w:ascii="Times New Roman" w:hAnsi="Times New Roman" w:cs="Times New Roman"/>
          <w:color w:val="auto"/>
          <w:highlight w:val="none"/>
          <w:lang w:eastAsia="zh-CN"/>
        </w:rPr>
        <w:t>“第一类</w:t>
      </w:r>
      <w:r>
        <w:rPr>
          <w:rFonts w:hint="default" w:ascii="Times New Roman" w:hAnsi="Times New Roman" w:cs="Times New Roman"/>
          <w:color w:val="auto"/>
          <w:highlight w:val="none"/>
        </w:rPr>
        <w:t>鼓励类</w:t>
      </w:r>
      <w:r>
        <w:rPr>
          <w:rFonts w:hint="default" w:ascii="Times New Roman" w:hAnsi="Times New Roman" w:cs="Times New Roman"/>
          <w:color w:val="auto"/>
          <w:highlight w:val="none"/>
          <w:lang w:val="en-US" w:eastAsia="zh-CN"/>
        </w:rPr>
        <w:t>-十一、石化化工-</w:t>
      </w: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kern w:val="2"/>
          <w:sz w:val="24"/>
          <w:szCs w:val="24"/>
          <w:highlight w:val="none"/>
          <w:lang w:val="en-US" w:eastAsia="zh-CN" w:bidi="ar-SA"/>
        </w:rPr>
        <w:t>矿产资源开发：</w:t>
      </w:r>
      <w:r>
        <w:rPr>
          <w:rFonts w:hint="default" w:ascii="Times New Roman" w:hAnsi="Times New Roman" w:cs="Times New Roman"/>
          <w:color w:val="auto"/>
          <w:highlight w:val="none"/>
          <w:lang w:val="en-US" w:eastAsia="zh-CN"/>
        </w:rPr>
        <w:t>硫、钾、硼、锂、溴等短缺化工矿产资源勘探开发及综合利用，磷矿选矿尾矿综合利用技术开发与应用，中低品位磷矿、萤石矿采选与利用，磷矿、萤石矿伴生资源综合利用”中的中低品位萤石矿采选项目，属于鼓励类项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本项目符合国家产业政策。</w:t>
      </w:r>
    </w:p>
    <w:p w14:paraId="09246E4A">
      <w:pPr>
        <w:pStyle w:val="6"/>
        <w:rPr>
          <w:rFonts w:hint="default" w:ascii="Times New Roman" w:hAnsi="Times New Roman" w:cs="Times New Roman"/>
          <w:color w:val="auto"/>
          <w:highlight w:val="none"/>
        </w:rPr>
      </w:pPr>
      <w:bookmarkStart w:id="48" w:name="_Toc5237"/>
      <w:bookmarkStart w:id="49" w:name="_Toc8231"/>
      <w:bookmarkStart w:id="50" w:name="_Toc18593"/>
      <w:r>
        <w:rPr>
          <w:rFonts w:hint="default" w:ascii="Times New Roman" w:hAnsi="Times New Roman" w:cs="Times New Roman"/>
          <w:color w:val="auto"/>
          <w:highlight w:val="none"/>
        </w:rPr>
        <w:t>1.3.2与</w:t>
      </w:r>
      <w:bookmarkEnd w:id="48"/>
      <w:bookmarkEnd w:id="49"/>
      <w:bookmarkEnd w:id="50"/>
      <w:r>
        <w:rPr>
          <w:rFonts w:hint="default" w:ascii="Times New Roman" w:hAnsi="Times New Roman" w:cs="Times New Roman"/>
          <w:color w:val="auto"/>
          <w:highlight w:val="none"/>
          <w:lang w:val="en-US" w:eastAsia="zh-CN"/>
        </w:rPr>
        <w:t>生态环境分区管控方案</w:t>
      </w:r>
      <w:r>
        <w:rPr>
          <w:rFonts w:hint="default" w:ascii="Times New Roman" w:hAnsi="Times New Roman" w:cs="Times New Roman"/>
          <w:color w:val="auto"/>
          <w:highlight w:val="none"/>
        </w:rPr>
        <w:t>符合性分析</w:t>
      </w:r>
    </w:p>
    <w:p w14:paraId="30D54BB4">
      <w:pPr>
        <w:pStyle w:val="7"/>
        <w:ind w:firstLine="482" w:firstLineChars="200"/>
        <w:rPr>
          <w:rFonts w:hint="default" w:ascii="Times New Roman" w:hAnsi="Times New Roman" w:cs="Times New Roman" w:eastAsiaTheme="minorEastAsia"/>
          <w:b/>
          <w:bCs/>
          <w:color w:val="auto"/>
          <w:sz w:val="24"/>
          <w:highlight w:val="none"/>
          <w:lang w:val="en-US" w:eastAsia="zh-CN"/>
        </w:rPr>
      </w:pPr>
      <w:r>
        <w:rPr>
          <w:rFonts w:hint="default" w:ascii="Times New Roman" w:hAnsi="Times New Roman" w:cs="Times New Roman"/>
          <w:color w:val="auto"/>
          <w:highlight w:val="none"/>
        </w:rPr>
        <w:t>1.3.2.1</w:t>
      </w:r>
      <w:r>
        <w:rPr>
          <w:rFonts w:hint="default" w:ascii="Times New Roman" w:hAnsi="Times New Roman" w:cs="Times New Roman" w:eastAsiaTheme="minorEastAsia"/>
          <w:b/>
          <w:bCs/>
          <w:color w:val="auto"/>
          <w:sz w:val="24"/>
          <w:highlight w:val="none"/>
          <w:lang w:val="en-US" w:eastAsia="zh-CN"/>
        </w:rPr>
        <w:t>与《关于印发〈新疆维吾尔自治区生态环境分区管控动态更新成果〉的通知》（</w:t>
      </w:r>
      <w:r>
        <w:rPr>
          <w:rFonts w:hint="eastAsia" w:ascii="宋体" w:hAnsi="宋体" w:eastAsia="宋体" w:cs="宋体"/>
          <w:color w:val="auto"/>
          <w:kern w:val="0"/>
          <w:sz w:val="24"/>
          <w:szCs w:val="24"/>
          <w:highlight w:val="none"/>
          <w:lang w:val="en-US" w:eastAsia="zh-CN" w:bidi="ar"/>
        </w:rPr>
        <w:t>新环环评发〔</w:t>
      </w:r>
      <w:r>
        <w:rPr>
          <w:rFonts w:hint="default" w:ascii="Times New Roman" w:hAnsi="Times New Roman" w:eastAsia="宋体" w:cs="Times New Roman"/>
          <w:color w:val="auto"/>
          <w:kern w:val="0"/>
          <w:sz w:val="24"/>
          <w:szCs w:val="24"/>
          <w:highlight w:val="none"/>
          <w:lang w:val="en-US" w:eastAsia="zh-CN" w:bidi="ar"/>
        </w:rPr>
        <w:t>2024</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157</w:t>
      </w:r>
      <w:r>
        <w:rPr>
          <w:rFonts w:hint="eastAsia" w:ascii="宋体" w:hAnsi="宋体" w:eastAsia="宋体" w:cs="宋体"/>
          <w:color w:val="auto"/>
          <w:kern w:val="0"/>
          <w:sz w:val="24"/>
          <w:szCs w:val="24"/>
          <w:highlight w:val="none"/>
          <w:lang w:val="en-US" w:eastAsia="zh-CN" w:bidi="ar"/>
        </w:rPr>
        <w:t>号</w:t>
      </w:r>
      <w:r>
        <w:rPr>
          <w:rFonts w:hint="default" w:ascii="Times New Roman" w:hAnsi="Times New Roman" w:cs="Times New Roman" w:eastAsiaTheme="minorEastAsia"/>
          <w:b/>
          <w:bCs/>
          <w:color w:val="auto"/>
          <w:sz w:val="24"/>
          <w:highlight w:val="none"/>
          <w:lang w:val="en-US" w:eastAsia="zh-CN"/>
        </w:rPr>
        <w:t>）的符合性分析</w:t>
      </w:r>
    </w:p>
    <w:p w14:paraId="088C70C9">
      <w:pPr>
        <w:keepNext w:val="0"/>
        <w:keepLines w:val="0"/>
        <w:widowControl/>
        <w:suppressLineNumbers w:val="0"/>
        <w:shd w:val="clear"/>
        <w:jc w:val="left"/>
        <w:rPr>
          <w:rFonts w:hint="default"/>
          <w:color w:val="auto"/>
          <w:highlight w:val="none"/>
          <w:lang w:val="en-US" w:eastAsia="zh-CN"/>
        </w:rPr>
      </w:pPr>
      <w:r>
        <w:rPr>
          <w:rFonts w:hint="eastAsia" w:ascii="宋体" w:hAnsi="宋体" w:eastAsia="宋体" w:cs="宋体"/>
          <w:color w:val="auto"/>
          <w:kern w:val="0"/>
          <w:sz w:val="24"/>
          <w:szCs w:val="24"/>
          <w:highlight w:val="none"/>
          <w:lang w:val="en-US" w:eastAsia="zh-CN" w:bidi="ar"/>
        </w:rPr>
        <w:t>根据《关于印发</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新疆维吾尔自治区生态环境分区管控动态更新成果</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的通知》（新环环评发〔</w:t>
      </w:r>
      <w:r>
        <w:rPr>
          <w:rFonts w:hint="default" w:ascii="Times New Roman" w:hAnsi="Times New Roman" w:eastAsia="宋体" w:cs="Times New Roman"/>
          <w:color w:val="auto"/>
          <w:kern w:val="0"/>
          <w:sz w:val="24"/>
          <w:szCs w:val="24"/>
          <w:highlight w:val="none"/>
          <w:lang w:val="en-US" w:eastAsia="zh-CN" w:bidi="ar"/>
        </w:rPr>
        <w:t>2024</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157</w:t>
      </w:r>
      <w:r>
        <w:rPr>
          <w:rFonts w:hint="eastAsia" w:ascii="宋体" w:hAnsi="宋体" w:eastAsia="宋体" w:cs="宋体"/>
          <w:color w:val="auto"/>
          <w:kern w:val="0"/>
          <w:sz w:val="24"/>
          <w:szCs w:val="24"/>
          <w:highlight w:val="none"/>
          <w:lang w:val="en-US" w:eastAsia="zh-CN" w:bidi="ar"/>
        </w:rPr>
        <w:t>号），新疆维吾尔自治区共划定</w:t>
      </w:r>
      <w:r>
        <w:rPr>
          <w:rFonts w:hint="default" w:ascii="Times New Roman" w:hAnsi="Times New Roman" w:eastAsia="宋体" w:cs="Times New Roman"/>
          <w:color w:val="auto"/>
          <w:kern w:val="0"/>
          <w:sz w:val="24"/>
          <w:szCs w:val="24"/>
          <w:highlight w:val="none"/>
          <w:lang w:val="en-US" w:eastAsia="zh-CN" w:bidi="ar"/>
        </w:rPr>
        <w:t>1777</w:t>
      </w:r>
      <w:r>
        <w:rPr>
          <w:rFonts w:hint="eastAsia" w:ascii="宋体" w:hAnsi="宋体" w:eastAsia="宋体" w:cs="宋体"/>
          <w:color w:val="auto"/>
          <w:kern w:val="0"/>
          <w:sz w:val="24"/>
          <w:szCs w:val="24"/>
          <w:highlight w:val="none"/>
          <w:lang w:val="en-US" w:eastAsia="zh-CN" w:bidi="ar"/>
        </w:rPr>
        <w:t>个环境管控单元，分为优先保护单元</w:t>
      </w:r>
      <w:r>
        <w:rPr>
          <w:rFonts w:hint="default" w:ascii="Times New Roman" w:hAnsi="Times New Roman" w:eastAsia="宋体" w:cs="Times New Roman"/>
          <w:color w:val="auto"/>
          <w:kern w:val="0"/>
          <w:sz w:val="24"/>
          <w:szCs w:val="24"/>
          <w:highlight w:val="none"/>
          <w:lang w:val="en-US" w:eastAsia="zh-CN" w:bidi="ar"/>
        </w:rPr>
        <w:t>925</w:t>
      </w:r>
      <w:r>
        <w:rPr>
          <w:rFonts w:hint="eastAsia" w:ascii="宋体" w:hAnsi="宋体" w:eastAsia="宋体" w:cs="宋体"/>
          <w:color w:val="auto"/>
          <w:kern w:val="0"/>
          <w:sz w:val="24"/>
          <w:szCs w:val="24"/>
          <w:highlight w:val="none"/>
          <w:lang w:val="en-US" w:eastAsia="zh-CN" w:bidi="ar"/>
        </w:rPr>
        <w:t>个、重点管控单元</w:t>
      </w:r>
      <w:r>
        <w:rPr>
          <w:rFonts w:hint="default" w:ascii="Times New Roman" w:hAnsi="Times New Roman" w:eastAsia="宋体" w:cs="Times New Roman"/>
          <w:color w:val="auto"/>
          <w:kern w:val="0"/>
          <w:sz w:val="24"/>
          <w:szCs w:val="24"/>
          <w:highlight w:val="none"/>
          <w:lang w:val="en-US" w:eastAsia="zh-CN" w:bidi="ar"/>
        </w:rPr>
        <w:t>713</w:t>
      </w:r>
      <w:r>
        <w:rPr>
          <w:rFonts w:hint="eastAsia" w:ascii="宋体" w:hAnsi="宋体" w:eastAsia="宋体" w:cs="宋体"/>
          <w:color w:val="auto"/>
          <w:kern w:val="0"/>
          <w:sz w:val="24"/>
          <w:szCs w:val="24"/>
          <w:highlight w:val="none"/>
          <w:lang w:val="en-US" w:eastAsia="zh-CN" w:bidi="ar"/>
        </w:rPr>
        <w:t>个、一般管控单元</w:t>
      </w:r>
      <w:r>
        <w:rPr>
          <w:rFonts w:hint="default" w:ascii="Times New Roman" w:hAnsi="Times New Roman" w:eastAsia="宋体" w:cs="Times New Roman"/>
          <w:color w:val="auto"/>
          <w:kern w:val="0"/>
          <w:sz w:val="24"/>
          <w:szCs w:val="24"/>
          <w:highlight w:val="none"/>
          <w:lang w:val="en-US" w:eastAsia="zh-CN" w:bidi="ar"/>
        </w:rPr>
        <w:t>139</w:t>
      </w:r>
      <w:r>
        <w:rPr>
          <w:rFonts w:hint="eastAsia" w:ascii="宋体" w:hAnsi="宋体" w:eastAsia="宋体" w:cs="宋体"/>
          <w:color w:val="auto"/>
          <w:kern w:val="0"/>
          <w:sz w:val="24"/>
          <w:szCs w:val="24"/>
          <w:highlight w:val="none"/>
          <w:lang w:val="en-US" w:eastAsia="zh-CN" w:bidi="ar"/>
        </w:rPr>
        <w:t>个三类，实施分类管控。本项目区不在生态保护红线范围内，不涉及饮用水水源保护区、防风固沙区、土地沙化防控区、水土流失防控区等区域，所在单元为一般管控单元。</w:t>
      </w:r>
    </w:p>
    <w:p w14:paraId="6150FDFF">
      <w:pPr>
        <w:adjustRightInd w:val="0"/>
        <w:snapToGrid w:val="0"/>
        <w:spacing w:before="250" w:beforeLines="50"/>
        <w:ind w:firstLine="482" w:firstLineChars="200"/>
        <w:jc w:val="center"/>
        <w:rPr>
          <w:rFonts w:hint="default" w:ascii="Times New Roman" w:hAnsi="Times New Roman" w:cs="Times New Roman" w:eastAsiaTheme="minorEastAsia"/>
          <w:b/>
          <w:color w:val="auto"/>
          <w:szCs w:val="21"/>
          <w:highlight w:val="none"/>
          <w:lang w:val="en-US" w:eastAsia="zh-CN"/>
        </w:rPr>
      </w:pPr>
      <w:r>
        <w:rPr>
          <w:rFonts w:hint="default" w:ascii="Times New Roman" w:hAnsi="Times New Roman" w:cs="Times New Roman" w:eastAsiaTheme="minorEastAsia"/>
          <w:b/>
          <w:color w:val="auto"/>
          <w:szCs w:val="21"/>
          <w:highlight w:val="none"/>
          <w:lang w:val="en-US" w:eastAsia="zh-CN"/>
        </w:rPr>
        <w:t>表1.3-</w:t>
      </w:r>
      <w:r>
        <w:rPr>
          <w:rFonts w:hint="eastAsia" w:cs="Times New Roman" w:eastAsiaTheme="minorEastAsia"/>
          <w:b/>
          <w:color w:val="auto"/>
          <w:szCs w:val="21"/>
          <w:highlight w:val="none"/>
          <w:lang w:val="en-US" w:eastAsia="zh-CN"/>
        </w:rPr>
        <w:t>1</w:t>
      </w:r>
      <w:r>
        <w:rPr>
          <w:rFonts w:hint="default" w:ascii="Times New Roman" w:hAnsi="Times New Roman" w:cs="Times New Roman" w:eastAsiaTheme="minorEastAsia"/>
          <w:b/>
          <w:color w:val="auto"/>
          <w:szCs w:val="21"/>
          <w:highlight w:val="none"/>
          <w:lang w:val="en-US" w:eastAsia="zh-CN"/>
        </w:rPr>
        <w:t xml:space="preserve">  与《关于印发〈新疆维吾尔自治区生态环境分区管控动态更新成果〉的通知》（新环环评发〔2024〕157号）的符合性表</w:t>
      </w:r>
    </w:p>
    <w:tbl>
      <w:tblPr>
        <w:tblStyle w:val="18"/>
        <w:tblW w:w="5102"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272"/>
        <w:gridCol w:w="430"/>
        <w:gridCol w:w="4549"/>
        <w:gridCol w:w="2564"/>
        <w:gridCol w:w="688"/>
      </w:tblGrid>
      <w:tr w14:paraId="499E61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13" w:type="pct"/>
            <w:gridSpan w:val="2"/>
            <w:tcBorders>
              <w:tl2br w:val="nil"/>
              <w:tr2bl w:val="nil"/>
            </w:tcBorders>
            <w:vAlign w:val="center"/>
          </w:tcPr>
          <w:p w14:paraId="2DA8D4D5">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管控维度</w:t>
            </w:r>
          </w:p>
        </w:tc>
        <w:tc>
          <w:tcPr>
            <w:tcW w:w="2674" w:type="pct"/>
            <w:tcBorders>
              <w:tl2br w:val="nil"/>
              <w:tr2bl w:val="nil"/>
            </w:tcBorders>
            <w:vAlign w:val="center"/>
          </w:tcPr>
          <w:p w14:paraId="7FE7926E">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管控要求</w:t>
            </w:r>
          </w:p>
        </w:tc>
        <w:tc>
          <w:tcPr>
            <w:tcW w:w="1507" w:type="pct"/>
            <w:tcBorders>
              <w:tl2br w:val="nil"/>
              <w:tr2bl w:val="nil"/>
            </w:tcBorders>
            <w:vAlign w:val="center"/>
          </w:tcPr>
          <w:p w14:paraId="3FC64771">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本项目情况</w:t>
            </w:r>
          </w:p>
        </w:tc>
        <w:tc>
          <w:tcPr>
            <w:tcW w:w="404" w:type="pct"/>
            <w:tcBorders>
              <w:tl2br w:val="nil"/>
              <w:tr2bl w:val="nil"/>
            </w:tcBorders>
            <w:vAlign w:val="center"/>
          </w:tcPr>
          <w:p w14:paraId="314CB98F">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符合性</w:t>
            </w:r>
          </w:p>
        </w:tc>
      </w:tr>
      <w:tr w14:paraId="22BA8C2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90" w:hRule="atLeast"/>
        </w:trPr>
        <w:tc>
          <w:tcPr>
            <w:tcW w:w="160" w:type="pct"/>
            <w:vMerge w:val="restart"/>
            <w:tcBorders>
              <w:tl2br w:val="nil"/>
              <w:tr2bl w:val="nil"/>
            </w:tcBorders>
            <w:vAlign w:val="center"/>
          </w:tcPr>
          <w:p w14:paraId="28EDBA15">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A1空间布局约束</w:t>
            </w:r>
          </w:p>
        </w:tc>
        <w:tc>
          <w:tcPr>
            <w:tcW w:w="252" w:type="pct"/>
            <w:vMerge w:val="restart"/>
            <w:tcBorders>
              <w:tl2br w:val="nil"/>
              <w:tr2bl w:val="nil"/>
            </w:tcBorders>
            <w:vAlign w:val="center"/>
          </w:tcPr>
          <w:p w14:paraId="7E36AA17">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A1.1禁止开发建设的活动</w:t>
            </w:r>
          </w:p>
        </w:tc>
        <w:tc>
          <w:tcPr>
            <w:tcW w:w="2674" w:type="pct"/>
            <w:tcBorders>
              <w:tl2br w:val="nil"/>
              <w:tr2bl w:val="nil"/>
            </w:tcBorders>
            <w:vAlign w:val="center"/>
          </w:tcPr>
          <w:p w14:paraId="1E66B6A3">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〔A1.1-1〕禁止新建、扩建《产业结构调整指导目录（2024年本）》中淘汰类项目。禁止引入《市场准入负面清单（2022年版）》禁止准入类事项。</w:t>
            </w:r>
          </w:p>
        </w:tc>
        <w:tc>
          <w:tcPr>
            <w:tcW w:w="1507" w:type="pct"/>
            <w:tcBorders>
              <w:tl2br w:val="nil"/>
              <w:tr2bl w:val="nil"/>
            </w:tcBorders>
            <w:vAlign w:val="center"/>
          </w:tcPr>
          <w:p w14:paraId="7D8320EB">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en-US"/>
              </w:rPr>
              <w:t>本项目属于《产业结构调整指导目录（2024年本）》鼓励类项目，不属于《市场准入负面清单（2025年版）》禁止准入事项。</w:t>
            </w:r>
          </w:p>
        </w:tc>
        <w:tc>
          <w:tcPr>
            <w:tcW w:w="404" w:type="pct"/>
            <w:tcBorders>
              <w:tl2br w:val="nil"/>
              <w:tr2bl w:val="nil"/>
            </w:tcBorders>
            <w:vAlign w:val="center"/>
          </w:tcPr>
          <w:p w14:paraId="4FEEC9E1">
            <w:pPr>
              <w:pStyle w:val="17"/>
              <w:bidi w:val="0"/>
              <w:rPr>
                <w:rFonts w:hint="default"/>
                <w:snapToGrid w:val="0"/>
                <w:color w:val="auto"/>
                <w:kern w:val="0"/>
                <w:highlight w:val="none"/>
                <w:lang w:val="en-US" w:eastAsia="en-US"/>
              </w:rPr>
            </w:pPr>
            <w:r>
              <w:rPr>
                <w:rFonts w:hint="default"/>
                <w:snapToGrid w:val="0"/>
                <w:color w:val="auto"/>
                <w:kern w:val="0"/>
                <w:highlight w:val="none"/>
                <w:lang w:val="en-US" w:eastAsia="en-US"/>
              </w:rPr>
              <w:t>符合</w:t>
            </w:r>
          </w:p>
        </w:tc>
      </w:tr>
      <w:tr w14:paraId="540F1B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64A84DE9">
            <w:pPr>
              <w:pStyle w:val="17"/>
              <w:bidi w:val="0"/>
              <w:rPr>
                <w:rFonts w:hint="default"/>
                <w:snapToGrid w:val="0"/>
                <w:color w:val="auto"/>
                <w:kern w:val="0"/>
                <w:highlight w:val="none"/>
                <w:lang w:val="en-US" w:eastAsia="zh-CN"/>
              </w:rPr>
            </w:pPr>
          </w:p>
        </w:tc>
        <w:tc>
          <w:tcPr>
            <w:tcW w:w="252" w:type="pct"/>
            <w:vMerge w:val="continue"/>
            <w:tcBorders>
              <w:tl2br w:val="nil"/>
              <w:tr2bl w:val="nil"/>
            </w:tcBorders>
            <w:vAlign w:val="center"/>
          </w:tcPr>
          <w:p w14:paraId="522013CD">
            <w:pPr>
              <w:pStyle w:val="17"/>
              <w:bidi w:val="0"/>
              <w:rPr>
                <w:rFonts w:hint="default"/>
                <w:snapToGrid w:val="0"/>
                <w:color w:val="auto"/>
                <w:kern w:val="0"/>
                <w:highlight w:val="none"/>
                <w:lang w:val="en-US" w:eastAsia="zh-CN"/>
              </w:rPr>
            </w:pPr>
          </w:p>
        </w:tc>
        <w:tc>
          <w:tcPr>
            <w:tcW w:w="2674" w:type="pct"/>
            <w:tcBorders>
              <w:tl2br w:val="nil"/>
              <w:tr2bl w:val="nil"/>
            </w:tcBorders>
            <w:vAlign w:val="center"/>
          </w:tcPr>
          <w:p w14:paraId="45FE9316">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〔A1.1-2〕禁止建设不符合国家和自治区环境保护标准的项目。</w:t>
            </w:r>
          </w:p>
        </w:tc>
        <w:tc>
          <w:tcPr>
            <w:tcW w:w="1507" w:type="pct"/>
            <w:tcBorders>
              <w:tl2br w:val="nil"/>
              <w:tr2bl w:val="nil"/>
            </w:tcBorders>
            <w:vAlign w:val="center"/>
          </w:tcPr>
          <w:p w14:paraId="1AEEC9D8">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本项目符合国家和自治区环境保护标准。</w:t>
            </w:r>
          </w:p>
        </w:tc>
        <w:tc>
          <w:tcPr>
            <w:tcW w:w="404" w:type="pct"/>
            <w:tcBorders>
              <w:tl2br w:val="nil"/>
              <w:tr2bl w:val="nil"/>
            </w:tcBorders>
            <w:vAlign w:val="center"/>
          </w:tcPr>
          <w:p w14:paraId="3AB0F1EE">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w:t>
            </w:r>
          </w:p>
        </w:tc>
      </w:tr>
      <w:tr w14:paraId="6366626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67029DE0">
            <w:pPr>
              <w:pStyle w:val="17"/>
              <w:bidi w:val="0"/>
              <w:rPr>
                <w:rFonts w:hint="default"/>
                <w:snapToGrid w:val="0"/>
                <w:color w:val="auto"/>
                <w:kern w:val="0"/>
                <w:highlight w:val="none"/>
                <w:lang w:val="en-US" w:eastAsia="zh-CN"/>
              </w:rPr>
            </w:pPr>
          </w:p>
        </w:tc>
        <w:tc>
          <w:tcPr>
            <w:tcW w:w="252" w:type="pct"/>
            <w:vMerge w:val="continue"/>
            <w:tcBorders>
              <w:tl2br w:val="nil"/>
              <w:tr2bl w:val="nil"/>
            </w:tcBorders>
            <w:vAlign w:val="center"/>
          </w:tcPr>
          <w:p w14:paraId="415F919D">
            <w:pPr>
              <w:pStyle w:val="17"/>
              <w:bidi w:val="0"/>
              <w:rPr>
                <w:rFonts w:hint="default"/>
                <w:snapToGrid w:val="0"/>
                <w:color w:val="auto"/>
                <w:kern w:val="0"/>
                <w:highlight w:val="none"/>
                <w:lang w:val="en-US" w:eastAsia="zh-CN"/>
              </w:rPr>
            </w:pPr>
          </w:p>
        </w:tc>
        <w:tc>
          <w:tcPr>
            <w:tcW w:w="2674" w:type="pct"/>
            <w:tcBorders>
              <w:tl2br w:val="nil"/>
              <w:tr2bl w:val="nil"/>
            </w:tcBorders>
            <w:vAlign w:val="center"/>
          </w:tcPr>
          <w:p w14:paraId="71D87613">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1.1-6〕禁止在自治区行政区域内引进能（水）耗不符合相关国家标准中准入值要求且污染物排放和环境风险防控不符合国家（地方）标准及有关产业准入条件的高污染（排放）、高能（水）耗、高环境风险的工业项目。</w:t>
            </w:r>
          </w:p>
        </w:tc>
        <w:tc>
          <w:tcPr>
            <w:tcW w:w="1507" w:type="pct"/>
            <w:tcBorders>
              <w:tl2br w:val="nil"/>
              <w:tr2bl w:val="nil"/>
            </w:tcBorders>
            <w:vAlign w:val="center"/>
          </w:tcPr>
          <w:p w14:paraId="6365C3EE">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eastAsia"/>
                <w:snapToGrid w:val="0"/>
                <w:color w:val="auto"/>
                <w:kern w:val="0"/>
                <w:highlight w:val="none"/>
                <w:lang w:val="en-US" w:eastAsia="zh-CN"/>
              </w:rPr>
              <w:t>项目不属于高污染、高能耗、高环境风险项目，其能效、水耗、污染物排放满足国家和自治区现行标准要求，采取环评提出的风险防控措施后，环境风险可控。</w:t>
            </w:r>
          </w:p>
        </w:tc>
        <w:tc>
          <w:tcPr>
            <w:tcW w:w="404" w:type="pct"/>
            <w:tcBorders>
              <w:tl2br w:val="nil"/>
              <w:tr2bl w:val="nil"/>
            </w:tcBorders>
            <w:vAlign w:val="center"/>
          </w:tcPr>
          <w:p w14:paraId="007725BE">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w:t>
            </w:r>
          </w:p>
        </w:tc>
      </w:tr>
      <w:tr w14:paraId="67D2060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1F7C57A5">
            <w:pPr>
              <w:pStyle w:val="17"/>
              <w:bidi w:val="0"/>
              <w:rPr>
                <w:rFonts w:hint="default"/>
                <w:snapToGrid w:val="0"/>
                <w:color w:val="auto"/>
                <w:kern w:val="0"/>
                <w:highlight w:val="none"/>
                <w:lang w:val="en-US" w:eastAsia="zh-CN"/>
              </w:rPr>
            </w:pPr>
          </w:p>
        </w:tc>
        <w:tc>
          <w:tcPr>
            <w:tcW w:w="252" w:type="pct"/>
            <w:vMerge w:val="restart"/>
            <w:tcBorders>
              <w:tl2br w:val="nil"/>
              <w:tr2bl w:val="nil"/>
            </w:tcBorders>
            <w:vAlign w:val="center"/>
          </w:tcPr>
          <w:p w14:paraId="3AEE4E6B">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A1.2限制开发建设的活动</w:t>
            </w:r>
          </w:p>
        </w:tc>
        <w:tc>
          <w:tcPr>
            <w:tcW w:w="2674" w:type="pct"/>
            <w:tcBorders>
              <w:tl2br w:val="nil"/>
              <w:tr2bl w:val="nil"/>
            </w:tcBorders>
            <w:vAlign w:val="center"/>
          </w:tcPr>
          <w:p w14:paraId="551D6CAB">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507" w:type="pct"/>
            <w:tcBorders>
              <w:tl2br w:val="nil"/>
              <w:tr2bl w:val="nil"/>
            </w:tcBorders>
            <w:vAlign w:val="center"/>
          </w:tcPr>
          <w:p w14:paraId="57868F80">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本项目用地不涉及占用永久基本农田、耕地、林地或草地。</w:t>
            </w:r>
          </w:p>
        </w:tc>
        <w:tc>
          <w:tcPr>
            <w:tcW w:w="404" w:type="pct"/>
            <w:tcBorders>
              <w:tl2br w:val="nil"/>
              <w:tr2bl w:val="nil"/>
            </w:tcBorders>
            <w:vAlign w:val="center"/>
          </w:tcPr>
          <w:p w14:paraId="6B09264A">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w:t>
            </w:r>
          </w:p>
        </w:tc>
      </w:tr>
      <w:tr w14:paraId="389FC7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7E9EE26E">
            <w:pPr>
              <w:pStyle w:val="17"/>
              <w:bidi w:val="0"/>
              <w:rPr>
                <w:rFonts w:hint="default"/>
                <w:snapToGrid w:val="0"/>
                <w:color w:val="auto"/>
                <w:kern w:val="0"/>
                <w:highlight w:val="none"/>
                <w:lang w:val="en-US" w:eastAsia="zh-CN"/>
              </w:rPr>
            </w:pPr>
          </w:p>
        </w:tc>
        <w:tc>
          <w:tcPr>
            <w:tcW w:w="252" w:type="pct"/>
            <w:vMerge w:val="continue"/>
            <w:tcBorders>
              <w:tl2br w:val="nil"/>
              <w:tr2bl w:val="nil"/>
            </w:tcBorders>
            <w:vAlign w:val="center"/>
          </w:tcPr>
          <w:p w14:paraId="5A8A53A0">
            <w:pPr>
              <w:pStyle w:val="17"/>
              <w:bidi w:val="0"/>
              <w:rPr>
                <w:rFonts w:hint="default"/>
                <w:snapToGrid w:val="0"/>
                <w:color w:val="auto"/>
                <w:kern w:val="0"/>
                <w:highlight w:val="none"/>
                <w:lang w:val="en-US" w:eastAsia="zh-CN"/>
              </w:rPr>
            </w:pPr>
          </w:p>
        </w:tc>
        <w:tc>
          <w:tcPr>
            <w:tcW w:w="2674" w:type="pct"/>
            <w:tcBorders>
              <w:tl2br w:val="nil"/>
              <w:tr2bl w:val="nil"/>
            </w:tcBorders>
            <w:vAlign w:val="center"/>
          </w:tcPr>
          <w:p w14:paraId="05AA5B15">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〔A1.2-</w:t>
            </w:r>
            <w:r>
              <w:rPr>
                <w:rFonts w:hint="eastAsia"/>
                <w:snapToGrid w:val="0"/>
                <w:color w:val="auto"/>
                <w:kern w:val="0"/>
                <w:highlight w:val="none"/>
                <w:lang w:val="en-US" w:eastAsia="zh-CN"/>
              </w:rPr>
              <w:t>5</w:t>
            </w:r>
            <w:r>
              <w:rPr>
                <w:rFonts w:hint="default"/>
                <w:snapToGrid w:val="0"/>
                <w:color w:val="auto"/>
                <w:kern w:val="0"/>
                <w:highlight w:val="none"/>
                <w:lang w:val="en-US" w:eastAsia="zh-CN"/>
              </w:rPr>
              <w:t>〕严格管控自然保护地范围内非生态活动，稳妥推进核心区内居民、耕地有序退出，矿权依法依规退出</w:t>
            </w:r>
            <w:r>
              <w:rPr>
                <w:rFonts w:hint="eastAsia"/>
                <w:snapToGrid w:val="0"/>
                <w:color w:val="auto"/>
                <w:kern w:val="0"/>
                <w:highlight w:val="none"/>
                <w:lang w:val="en-US" w:eastAsia="zh-CN"/>
              </w:rPr>
              <w:t>。</w:t>
            </w:r>
          </w:p>
        </w:tc>
        <w:tc>
          <w:tcPr>
            <w:tcW w:w="1507" w:type="pct"/>
            <w:tcBorders>
              <w:tl2br w:val="nil"/>
              <w:tr2bl w:val="nil"/>
            </w:tcBorders>
            <w:vAlign w:val="center"/>
          </w:tcPr>
          <w:p w14:paraId="44719F9B">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eastAsia"/>
                <w:snapToGrid w:val="0"/>
                <w:color w:val="auto"/>
                <w:kern w:val="0"/>
                <w:highlight w:val="none"/>
                <w:lang w:val="en-US" w:eastAsia="zh-CN"/>
              </w:rPr>
              <w:t>本项目不涉及自然保护区。</w:t>
            </w:r>
          </w:p>
        </w:tc>
        <w:tc>
          <w:tcPr>
            <w:tcW w:w="404" w:type="pct"/>
            <w:tcBorders>
              <w:tl2br w:val="nil"/>
              <w:tr2bl w:val="nil"/>
            </w:tcBorders>
            <w:vAlign w:val="center"/>
          </w:tcPr>
          <w:p w14:paraId="08A39B45">
            <w:pPr>
              <w:pStyle w:val="17"/>
              <w:bidi w:val="0"/>
              <w:rPr>
                <w:rFonts w:hint="default"/>
                <w:snapToGrid w:val="0"/>
                <w:color w:val="auto"/>
                <w:kern w:val="0"/>
                <w:highlight w:val="none"/>
                <w:lang w:val="en-US" w:eastAsia="zh-CN"/>
              </w:rPr>
            </w:pPr>
          </w:p>
        </w:tc>
      </w:tr>
      <w:tr w14:paraId="1F7183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36E6E8D4">
            <w:pPr>
              <w:pStyle w:val="17"/>
              <w:bidi w:val="0"/>
              <w:rPr>
                <w:rFonts w:hint="default"/>
                <w:snapToGrid w:val="0"/>
                <w:color w:val="auto"/>
                <w:kern w:val="0"/>
                <w:highlight w:val="none"/>
                <w:lang w:val="en-US" w:eastAsia="zh-CN"/>
              </w:rPr>
            </w:pPr>
          </w:p>
        </w:tc>
        <w:tc>
          <w:tcPr>
            <w:tcW w:w="252" w:type="pct"/>
            <w:tcBorders>
              <w:tl2br w:val="nil"/>
              <w:tr2bl w:val="nil"/>
            </w:tcBorders>
            <w:vAlign w:val="center"/>
          </w:tcPr>
          <w:p w14:paraId="408D4AD2">
            <w:pPr>
              <w:pStyle w:val="17"/>
              <w:bidi w:val="0"/>
              <w:rPr>
                <w:rFonts w:hint="default"/>
                <w:snapToGrid w:val="0"/>
                <w:color w:val="auto"/>
                <w:kern w:val="0"/>
                <w:highlight w:val="none"/>
                <w:lang w:val="en-US" w:eastAsia="zh-CN"/>
              </w:rPr>
            </w:pPr>
            <w:r>
              <w:rPr>
                <w:rFonts w:hint="eastAsia"/>
                <w:snapToGrid w:val="0"/>
                <w:color w:val="auto"/>
                <w:kern w:val="0"/>
                <w:highlight w:val="none"/>
                <w:lang w:val="en-US" w:eastAsia="zh-CN"/>
              </w:rPr>
              <w:t>A1.2其他布局要求</w:t>
            </w:r>
          </w:p>
        </w:tc>
        <w:tc>
          <w:tcPr>
            <w:tcW w:w="2674" w:type="pct"/>
            <w:tcBorders>
              <w:tl2br w:val="nil"/>
              <w:tr2bl w:val="nil"/>
            </w:tcBorders>
            <w:vAlign w:val="center"/>
          </w:tcPr>
          <w:p w14:paraId="37B71734">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1507" w:type="pct"/>
            <w:tcBorders>
              <w:tl2br w:val="nil"/>
              <w:tr2bl w:val="nil"/>
            </w:tcBorders>
            <w:vAlign w:val="center"/>
          </w:tcPr>
          <w:p w14:paraId="7DFBAA81">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eastAsia="宋体"/>
                <w:snapToGrid w:val="0"/>
                <w:color w:val="auto"/>
                <w:kern w:val="0"/>
                <w:highlight w:val="none"/>
                <w:lang w:val="en-US" w:eastAsia="zh-CN"/>
              </w:rPr>
            </w:pPr>
            <w:r>
              <w:rPr>
                <w:rFonts w:hint="eastAsia"/>
                <w:snapToGrid w:val="0"/>
                <w:color w:val="auto"/>
                <w:kern w:val="0"/>
                <w:highlight w:val="none"/>
                <w:lang w:val="en-US" w:eastAsia="zh-CN"/>
              </w:rPr>
              <w:t>项目符合</w:t>
            </w:r>
            <w:r>
              <w:rPr>
                <w:rFonts w:hint="eastAsia"/>
                <w:snapToGrid w:val="0"/>
                <w:color w:val="auto"/>
                <w:kern w:val="0"/>
                <w:highlight w:val="none"/>
              </w:rPr>
              <w:t>《</w:t>
            </w:r>
            <w:r>
              <w:rPr>
                <w:rFonts w:hint="eastAsia"/>
                <w:snapToGrid w:val="0"/>
                <w:color w:val="auto"/>
                <w:kern w:val="0"/>
                <w:highlight w:val="none"/>
                <w:lang w:val="en-US" w:eastAsia="zh-CN"/>
              </w:rPr>
              <w:t>新疆维吾尔自治区主体功能区规划</w:t>
            </w:r>
            <w:r>
              <w:rPr>
                <w:rFonts w:hint="eastAsia"/>
                <w:snapToGrid w:val="0"/>
                <w:color w:val="auto"/>
                <w:kern w:val="0"/>
                <w:highlight w:val="none"/>
              </w:rPr>
              <w:t>》</w:t>
            </w:r>
            <w:r>
              <w:rPr>
                <w:snapToGrid w:val="0"/>
                <w:color w:val="auto"/>
                <w:kern w:val="0"/>
                <w:highlight w:val="none"/>
              </w:rPr>
              <w:t>《</w:t>
            </w:r>
            <w:r>
              <w:rPr>
                <w:rFonts w:hint="eastAsia"/>
                <w:snapToGrid w:val="0"/>
                <w:color w:val="auto"/>
                <w:kern w:val="0"/>
                <w:highlight w:val="none"/>
              </w:rPr>
              <w:t>新疆生态功能区划</w:t>
            </w:r>
            <w:r>
              <w:rPr>
                <w:snapToGrid w:val="0"/>
                <w:color w:val="auto"/>
                <w:kern w:val="0"/>
                <w:highlight w:val="none"/>
              </w:rPr>
              <w:t>》</w:t>
            </w:r>
            <w:r>
              <w:rPr>
                <w:rFonts w:hint="default" w:ascii="Times New Roman" w:hAnsi="Times New Roman" w:cs="Times New Roman"/>
                <w:snapToGrid w:val="0"/>
                <w:color w:val="auto"/>
                <w:kern w:val="0"/>
                <w:highlight w:val="none"/>
              </w:rPr>
              <w:t>《新疆维吾尔自治区国民经济和社会发展第十</w:t>
            </w:r>
            <w:r>
              <w:rPr>
                <w:rFonts w:hint="eastAsia" w:cs="Times New Roman"/>
                <w:snapToGrid w:val="0"/>
                <w:color w:val="auto"/>
                <w:kern w:val="0"/>
                <w:highlight w:val="none"/>
                <w:lang w:val="en-US" w:eastAsia="zh-CN"/>
              </w:rPr>
              <w:t>五</w:t>
            </w:r>
            <w:r>
              <w:rPr>
                <w:rFonts w:hint="default" w:ascii="Times New Roman" w:hAnsi="Times New Roman" w:cs="Times New Roman"/>
                <w:snapToGrid w:val="0"/>
                <w:color w:val="auto"/>
                <w:kern w:val="0"/>
                <w:highlight w:val="none"/>
              </w:rPr>
              <w:t>个五年规划纲要》</w:t>
            </w:r>
            <w:r>
              <w:rPr>
                <w:rFonts w:hint="eastAsia" w:ascii="Times New Roman" w:hAnsi="Times New Roman" w:cs="Times New Roman"/>
                <w:snapToGrid w:val="0"/>
                <w:color w:val="auto"/>
                <w:kern w:val="0"/>
                <w:highlight w:val="none"/>
                <w:lang w:eastAsia="zh-CN"/>
              </w:rPr>
              <w:t>《</w:t>
            </w:r>
            <w:r>
              <w:rPr>
                <w:bCs/>
                <w:snapToGrid w:val="0"/>
                <w:color w:val="auto"/>
                <w:kern w:val="0"/>
                <w:highlight w:val="none"/>
              </w:rPr>
              <w:t>新疆维吾尔自治区矿产资源总体规划（2021</w:t>
            </w:r>
            <w:r>
              <w:rPr>
                <w:rFonts w:hint="eastAsia"/>
                <w:bCs/>
                <w:snapToGrid w:val="0"/>
                <w:color w:val="auto"/>
                <w:kern w:val="0"/>
                <w:highlight w:val="none"/>
              </w:rPr>
              <w:t>-</w:t>
            </w:r>
            <w:r>
              <w:rPr>
                <w:bCs/>
                <w:snapToGrid w:val="0"/>
                <w:color w:val="auto"/>
                <w:kern w:val="0"/>
                <w:highlight w:val="none"/>
              </w:rPr>
              <w:t>2025年）》</w:t>
            </w:r>
            <w:r>
              <w:rPr>
                <w:rFonts w:hint="eastAsia" w:ascii="Times New Roman" w:hAnsi="Times New Roman" w:cs="Times New Roman"/>
                <w:snapToGrid w:val="0"/>
                <w:color w:val="auto"/>
                <w:kern w:val="0"/>
                <w:highlight w:val="none"/>
                <w:lang w:val="en-US" w:eastAsia="zh-CN"/>
              </w:rPr>
              <w:t>等相关规划要求。</w:t>
            </w:r>
          </w:p>
        </w:tc>
        <w:tc>
          <w:tcPr>
            <w:tcW w:w="404" w:type="pct"/>
            <w:tcBorders>
              <w:tl2br w:val="nil"/>
              <w:tr2bl w:val="nil"/>
            </w:tcBorders>
            <w:vAlign w:val="center"/>
          </w:tcPr>
          <w:p w14:paraId="1781BD55">
            <w:pPr>
              <w:pStyle w:val="17"/>
              <w:bidi w:val="0"/>
              <w:rPr>
                <w:rFonts w:hint="default"/>
                <w:snapToGrid w:val="0"/>
                <w:color w:val="auto"/>
                <w:kern w:val="0"/>
                <w:highlight w:val="none"/>
                <w:lang w:val="en-US" w:eastAsia="zh-CN"/>
              </w:rPr>
            </w:pPr>
          </w:p>
        </w:tc>
      </w:tr>
      <w:tr w14:paraId="2CB9C3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tcBorders>
              <w:tl2br w:val="nil"/>
              <w:tr2bl w:val="nil"/>
            </w:tcBorders>
            <w:vAlign w:val="center"/>
          </w:tcPr>
          <w:p w14:paraId="009F4738">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A2污染物排放管控</w:t>
            </w:r>
          </w:p>
        </w:tc>
        <w:tc>
          <w:tcPr>
            <w:tcW w:w="252" w:type="pct"/>
            <w:tcBorders>
              <w:tl2br w:val="nil"/>
              <w:tr2bl w:val="nil"/>
            </w:tcBorders>
            <w:vAlign w:val="center"/>
          </w:tcPr>
          <w:p w14:paraId="2B1E2B4D">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A2.1污染物削减/替代要求</w:t>
            </w:r>
          </w:p>
        </w:tc>
        <w:tc>
          <w:tcPr>
            <w:tcW w:w="2674" w:type="pct"/>
            <w:tcBorders>
              <w:tl2br w:val="nil"/>
              <w:tr2bl w:val="nil"/>
            </w:tcBorders>
            <w:vAlign w:val="center"/>
          </w:tcPr>
          <w:p w14:paraId="415FF1AA">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2.1-1〕新、改、扩建重点行业建设项目应符合“三线一单”、产业政策、区域环评、规划环评和行业环境准入管控要求。重点区域的新、改、扩建重点行业建设项目应遵循重点重金属污染物排放“减量替代”原则。</w:t>
            </w:r>
          </w:p>
        </w:tc>
        <w:tc>
          <w:tcPr>
            <w:tcW w:w="1507" w:type="pct"/>
            <w:tcBorders>
              <w:tl2br w:val="nil"/>
              <w:tr2bl w:val="nil"/>
            </w:tcBorders>
            <w:vAlign w:val="center"/>
          </w:tcPr>
          <w:p w14:paraId="750A38E8">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本项目符合《关于印发巴音郭楞蒙古自治州“三线一单”生态环境分区管控动态更新成果（2023年）的通知》（巴政办发〔2024〕32号）中的环境管控要求。</w:t>
            </w:r>
          </w:p>
        </w:tc>
        <w:tc>
          <w:tcPr>
            <w:tcW w:w="404" w:type="pct"/>
            <w:tcBorders>
              <w:tl2br w:val="nil"/>
              <w:tr2bl w:val="nil"/>
            </w:tcBorders>
            <w:vAlign w:val="center"/>
          </w:tcPr>
          <w:p w14:paraId="4F333C61">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w:t>
            </w:r>
          </w:p>
        </w:tc>
      </w:tr>
      <w:tr w14:paraId="46CACE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41" w:hRule="atLeast"/>
        </w:trPr>
        <w:tc>
          <w:tcPr>
            <w:tcW w:w="160" w:type="pct"/>
            <w:vMerge w:val="restart"/>
            <w:tcBorders>
              <w:tl2br w:val="nil"/>
              <w:tr2bl w:val="nil"/>
            </w:tcBorders>
            <w:vAlign w:val="center"/>
          </w:tcPr>
          <w:p w14:paraId="11BFB9EA">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A3环境风险防控</w:t>
            </w:r>
          </w:p>
        </w:tc>
        <w:tc>
          <w:tcPr>
            <w:tcW w:w="252" w:type="pct"/>
            <w:vMerge w:val="restart"/>
            <w:tcBorders>
              <w:tl2br w:val="nil"/>
              <w:tr2bl w:val="nil"/>
            </w:tcBorders>
            <w:vAlign w:val="center"/>
          </w:tcPr>
          <w:p w14:paraId="4BDB0577">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A3.</w:t>
            </w:r>
            <w:r>
              <w:rPr>
                <w:rFonts w:hint="eastAsia"/>
                <w:snapToGrid w:val="0"/>
                <w:color w:val="auto"/>
                <w:kern w:val="0"/>
                <w:highlight w:val="none"/>
                <w:lang w:val="en-US" w:eastAsia="zh-CN"/>
              </w:rPr>
              <w:t>2联防联控要求</w:t>
            </w:r>
          </w:p>
        </w:tc>
        <w:tc>
          <w:tcPr>
            <w:tcW w:w="2674" w:type="pct"/>
            <w:tcBorders>
              <w:tl2br w:val="nil"/>
              <w:tr2bl w:val="nil"/>
            </w:tcBorders>
            <w:vAlign w:val="center"/>
          </w:tcPr>
          <w:p w14:paraId="01BEF739">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1507" w:type="pct"/>
            <w:tcBorders>
              <w:tl2br w:val="nil"/>
              <w:tr2bl w:val="nil"/>
            </w:tcBorders>
            <w:vAlign w:val="center"/>
          </w:tcPr>
          <w:p w14:paraId="730DA054">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eastAsia" w:ascii="Times New Roman"/>
                <w:snapToGrid w:val="0"/>
                <w:color w:val="auto"/>
                <w:kern w:val="0"/>
                <w:sz w:val="21"/>
                <w:highlight w:val="none"/>
                <w:lang w:val="en-US" w:eastAsia="zh-CN"/>
              </w:rPr>
              <w:t>本</w:t>
            </w:r>
            <w:r>
              <w:rPr>
                <w:rFonts w:ascii="Times New Roman"/>
                <w:snapToGrid w:val="0"/>
                <w:color w:val="auto"/>
                <w:kern w:val="0"/>
                <w:sz w:val="21"/>
                <w:highlight w:val="none"/>
              </w:rPr>
              <w:t>项目不涉及重点流域、饮用水源等环境敏感区域，运营期建立健全的环境管理制度，防范环境污染事故发生。</w:t>
            </w:r>
          </w:p>
        </w:tc>
        <w:tc>
          <w:tcPr>
            <w:tcW w:w="404" w:type="pct"/>
            <w:tcBorders>
              <w:tl2br w:val="nil"/>
              <w:tr2bl w:val="nil"/>
            </w:tcBorders>
            <w:vAlign w:val="center"/>
          </w:tcPr>
          <w:p w14:paraId="07536B71">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w:t>
            </w:r>
          </w:p>
        </w:tc>
      </w:tr>
      <w:tr w14:paraId="7FE7A7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bottom w:val="single" w:color="auto" w:sz="4" w:space="0"/>
              <w:tl2br w:val="nil"/>
              <w:tr2bl w:val="nil"/>
            </w:tcBorders>
            <w:vAlign w:val="center"/>
          </w:tcPr>
          <w:p w14:paraId="15F35D16">
            <w:pPr>
              <w:pStyle w:val="17"/>
              <w:bidi w:val="0"/>
              <w:rPr>
                <w:rFonts w:hint="default"/>
                <w:snapToGrid w:val="0"/>
                <w:color w:val="auto"/>
                <w:kern w:val="0"/>
                <w:highlight w:val="none"/>
                <w:lang w:val="en-US" w:eastAsia="zh-CN"/>
              </w:rPr>
            </w:pPr>
          </w:p>
        </w:tc>
        <w:tc>
          <w:tcPr>
            <w:tcW w:w="252" w:type="pct"/>
            <w:vMerge w:val="continue"/>
            <w:tcBorders>
              <w:bottom w:val="single" w:color="auto" w:sz="4" w:space="0"/>
              <w:tl2br w:val="nil"/>
              <w:tr2bl w:val="nil"/>
            </w:tcBorders>
            <w:vAlign w:val="center"/>
          </w:tcPr>
          <w:p w14:paraId="661EF085">
            <w:pPr>
              <w:pStyle w:val="17"/>
              <w:bidi w:val="0"/>
              <w:rPr>
                <w:rFonts w:hint="default"/>
                <w:snapToGrid w:val="0"/>
                <w:color w:val="auto"/>
                <w:kern w:val="0"/>
                <w:highlight w:val="none"/>
                <w:lang w:val="en-US" w:eastAsia="zh-CN"/>
              </w:rPr>
            </w:pPr>
          </w:p>
        </w:tc>
        <w:tc>
          <w:tcPr>
            <w:tcW w:w="2674" w:type="pct"/>
            <w:tcBorders>
              <w:tl2br w:val="nil"/>
              <w:tr2bl w:val="nil"/>
            </w:tcBorders>
            <w:vAlign w:val="center"/>
          </w:tcPr>
          <w:p w14:paraId="0F007DD3">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507" w:type="pct"/>
            <w:tcBorders>
              <w:tl2br w:val="nil"/>
              <w:tr2bl w:val="nil"/>
            </w:tcBorders>
            <w:vAlign w:val="center"/>
          </w:tcPr>
          <w:p w14:paraId="78CD6CC3">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本项目取得环评批复后，企业按照环评及批复要求编制突发环境事件应急预案。</w:t>
            </w:r>
          </w:p>
        </w:tc>
        <w:tc>
          <w:tcPr>
            <w:tcW w:w="404" w:type="pct"/>
            <w:tcBorders>
              <w:tl2br w:val="nil"/>
              <w:tr2bl w:val="nil"/>
            </w:tcBorders>
            <w:vAlign w:val="center"/>
          </w:tcPr>
          <w:p w14:paraId="39674579">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w:t>
            </w:r>
          </w:p>
        </w:tc>
      </w:tr>
      <w:tr w14:paraId="6B5D0B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restart"/>
            <w:tcBorders>
              <w:top w:val="single" w:color="auto" w:sz="4" w:space="0"/>
              <w:tl2br w:val="nil"/>
              <w:tr2bl w:val="nil"/>
            </w:tcBorders>
            <w:vAlign w:val="center"/>
          </w:tcPr>
          <w:p w14:paraId="09016D76">
            <w:pPr>
              <w:pStyle w:val="17"/>
              <w:bidi w:val="0"/>
              <w:rPr>
                <w:rFonts w:hint="default"/>
                <w:snapToGrid w:val="0"/>
                <w:color w:val="auto"/>
                <w:kern w:val="0"/>
                <w:highlight w:val="none"/>
                <w:lang w:val="en-US" w:eastAsia="zh-CN"/>
              </w:rPr>
            </w:pPr>
            <w:r>
              <w:rPr>
                <w:rFonts w:hint="default"/>
                <w:snapToGrid w:val="0"/>
                <w:color w:val="auto"/>
                <w:kern w:val="0"/>
                <w:highlight w:val="none"/>
                <w:lang w:val="en-US"/>
              </w:rPr>
              <w:t>A4资源利用要求</w:t>
            </w:r>
          </w:p>
        </w:tc>
        <w:tc>
          <w:tcPr>
            <w:tcW w:w="252" w:type="pct"/>
            <w:tcBorders>
              <w:top w:val="single" w:color="auto" w:sz="4" w:space="0"/>
              <w:bottom w:val="single" w:color="auto" w:sz="4" w:space="0"/>
              <w:tl2br w:val="nil"/>
              <w:tr2bl w:val="nil"/>
            </w:tcBorders>
            <w:vAlign w:val="center"/>
          </w:tcPr>
          <w:p w14:paraId="5C1C5433">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A4.</w:t>
            </w:r>
            <w:r>
              <w:rPr>
                <w:rFonts w:hint="eastAsia"/>
                <w:snapToGrid w:val="0"/>
                <w:color w:val="auto"/>
                <w:kern w:val="0"/>
                <w:highlight w:val="none"/>
                <w:lang w:val="en-US" w:eastAsia="zh-CN"/>
              </w:rPr>
              <w:t>3能源利用</w:t>
            </w:r>
          </w:p>
        </w:tc>
        <w:tc>
          <w:tcPr>
            <w:tcW w:w="2674" w:type="pct"/>
            <w:tcBorders>
              <w:tl2br w:val="nil"/>
              <w:tr2bl w:val="nil"/>
            </w:tcBorders>
            <w:vAlign w:val="center"/>
          </w:tcPr>
          <w:p w14:paraId="3050E748">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〔A4.3-4〕鼓励使用清洁能源或电厂热力、工业余热等替代锅炉、炉窑燃料用煤。</w:t>
            </w:r>
          </w:p>
        </w:tc>
        <w:tc>
          <w:tcPr>
            <w:tcW w:w="1507" w:type="pct"/>
            <w:tcBorders>
              <w:tl2br w:val="nil"/>
              <w:tr2bl w:val="nil"/>
            </w:tcBorders>
            <w:vAlign w:val="center"/>
          </w:tcPr>
          <w:p w14:paraId="02F6D56D">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eastAsia"/>
                <w:snapToGrid w:val="0"/>
                <w:color w:val="auto"/>
                <w:kern w:val="0"/>
                <w:highlight w:val="none"/>
                <w:lang w:val="en-US" w:eastAsia="zh-CN"/>
              </w:rPr>
              <w:t>本项目不使用煤燃料。</w:t>
            </w:r>
          </w:p>
        </w:tc>
        <w:tc>
          <w:tcPr>
            <w:tcW w:w="404" w:type="pct"/>
            <w:tcBorders>
              <w:tl2br w:val="nil"/>
              <w:tr2bl w:val="nil"/>
            </w:tcBorders>
            <w:vAlign w:val="center"/>
          </w:tcPr>
          <w:p w14:paraId="0E5BDCCC">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w:t>
            </w:r>
          </w:p>
        </w:tc>
      </w:tr>
      <w:tr w14:paraId="16C28E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60" w:type="pct"/>
            <w:vMerge w:val="continue"/>
            <w:tcBorders>
              <w:tl2br w:val="nil"/>
              <w:tr2bl w:val="nil"/>
            </w:tcBorders>
            <w:vAlign w:val="center"/>
          </w:tcPr>
          <w:p w14:paraId="605EE095">
            <w:pPr>
              <w:pStyle w:val="17"/>
              <w:bidi w:val="0"/>
              <w:rPr>
                <w:rFonts w:hint="default"/>
                <w:snapToGrid w:val="0"/>
                <w:color w:val="auto"/>
                <w:kern w:val="0"/>
                <w:highlight w:val="none"/>
                <w:lang w:val="en-US" w:eastAsia="zh-CN"/>
              </w:rPr>
            </w:pPr>
          </w:p>
        </w:tc>
        <w:tc>
          <w:tcPr>
            <w:tcW w:w="252" w:type="pct"/>
            <w:tcBorders>
              <w:top w:val="single" w:color="auto" w:sz="4" w:space="0"/>
              <w:tl2br w:val="nil"/>
              <w:tr2bl w:val="nil"/>
            </w:tcBorders>
            <w:vAlign w:val="center"/>
          </w:tcPr>
          <w:p w14:paraId="53BD129A">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A4.5资源综合利用</w:t>
            </w:r>
          </w:p>
        </w:tc>
        <w:tc>
          <w:tcPr>
            <w:tcW w:w="2674" w:type="pct"/>
            <w:tcBorders>
              <w:tl2br w:val="nil"/>
              <w:tr2bl w:val="nil"/>
            </w:tcBorders>
            <w:vAlign w:val="center"/>
          </w:tcPr>
          <w:p w14:paraId="6F464E6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snapToGrid w:val="0"/>
                <w:color w:val="auto"/>
                <w:kern w:val="0"/>
                <w:highlight w:val="none"/>
                <w:lang w:val="en-US" w:eastAsia="zh-CN"/>
              </w:rPr>
            </w:pPr>
            <w:r>
              <w:rPr>
                <w:rFonts w:hint="default"/>
                <w:snapToGrid w:val="0"/>
                <w:color w:val="auto"/>
                <w:kern w:val="0"/>
                <w:highlight w:val="none"/>
                <w:lang w:val="en-US" w:eastAsia="zh-CN"/>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tc>
        <w:tc>
          <w:tcPr>
            <w:tcW w:w="1507" w:type="pct"/>
            <w:tcBorders>
              <w:tl2br w:val="nil"/>
              <w:tr2bl w:val="nil"/>
            </w:tcBorders>
            <w:vAlign w:val="center"/>
          </w:tcPr>
          <w:p w14:paraId="697F1736">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eastAsia="宋体"/>
                <w:snapToGrid w:val="0"/>
                <w:color w:val="auto"/>
                <w:kern w:val="0"/>
                <w:highlight w:val="none"/>
                <w:lang w:val="en-US" w:eastAsia="zh-CN"/>
              </w:rPr>
            </w:pPr>
            <w:r>
              <w:rPr>
                <w:rFonts w:hint="eastAsia"/>
                <w:snapToGrid w:val="0"/>
                <w:color w:val="auto"/>
                <w:kern w:val="0"/>
                <w:highlight w:val="none"/>
                <w:lang w:val="en-US" w:eastAsia="zh-CN"/>
              </w:rPr>
              <w:t>项目运营过程中产生的</w:t>
            </w:r>
            <w:r>
              <w:rPr>
                <w:rFonts w:hint="default"/>
                <w:snapToGrid w:val="0"/>
                <w:color w:val="auto"/>
                <w:kern w:val="0"/>
                <w:highlight w:val="none"/>
                <w:lang w:val="zh-CN" w:eastAsia="zh-CN"/>
              </w:rPr>
              <w:t>废石堆放至</w:t>
            </w:r>
            <w:r>
              <w:rPr>
                <w:rFonts w:hint="eastAsia"/>
                <w:snapToGrid w:val="0"/>
                <w:color w:val="auto"/>
                <w:kern w:val="0"/>
                <w:highlight w:val="none"/>
                <w:lang w:val="zh-CN" w:eastAsia="zh-CN"/>
              </w:rPr>
              <w:t>废石堆场</w:t>
            </w:r>
            <w:r>
              <w:rPr>
                <w:rFonts w:hint="default"/>
                <w:snapToGrid w:val="0"/>
                <w:color w:val="auto"/>
                <w:kern w:val="0"/>
                <w:highlight w:val="none"/>
                <w:lang w:val="zh-CN" w:eastAsia="zh-CN"/>
              </w:rPr>
              <w:t>，</w:t>
            </w:r>
            <w:r>
              <w:rPr>
                <w:rFonts w:hint="eastAsia"/>
                <w:snapToGrid w:val="0"/>
                <w:color w:val="auto"/>
                <w:kern w:val="0"/>
                <w:highlight w:val="none"/>
                <w:lang w:val="zh-CN" w:eastAsia="zh-CN"/>
              </w:rPr>
              <w:t>用于配套选厂尾矿库筑坝、矿区铺路及</w:t>
            </w:r>
            <w:r>
              <w:rPr>
                <w:rFonts w:hint="default"/>
                <w:snapToGrid w:val="0"/>
                <w:color w:val="auto"/>
                <w:kern w:val="0"/>
                <w:highlight w:val="none"/>
                <w:lang w:val="zh-CN" w:eastAsia="zh-CN"/>
              </w:rPr>
              <w:t>矿山复垦</w:t>
            </w:r>
            <w:r>
              <w:rPr>
                <w:rFonts w:hint="default"/>
                <w:snapToGrid w:val="0"/>
                <w:color w:val="auto"/>
                <w:kern w:val="0"/>
                <w:highlight w:val="none"/>
                <w:lang w:val="en-US" w:eastAsia="zh-CN"/>
              </w:rPr>
              <w:t>；</w:t>
            </w:r>
            <w:r>
              <w:rPr>
                <w:rFonts w:hint="eastAsia"/>
                <w:snapToGrid w:val="0"/>
                <w:color w:val="auto"/>
                <w:kern w:val="0"/>
                <w:highlight w:val="none"/>
              </w:rPr>
              <w:t>尾矿部分用于</w:t>
            </w:r>
            <w:r>
              <w:rPr>
                <w:rFonts w:hint="eastAsia"/>
                <w:snapToGrid w:val="0"/>
                <w:color w:val="auto"/>
                <w:kern w:val="0"/>
                <w:highlight w:val="none"/>
                <w:lang w:eastAsia="zh-CN"/>
              </w:rPr>
              <w:t>井下充填，</w:t>
            </w:r>
            <w:r>
              <w:rPr>
                <w:rFonts w:hint="eastAsia"/>
                <w:snapToGrid w:val="0"/>
                <w:color w:val="auto"/>
                <w:kern w:val="0"/>
                <w:highlight w:val="none"/>
                <w:lang w:val="en-US" w:eastAsia="zh-CN"/>
              </w:rPr>
              <w:t>其余</w:t>
            </w:r>
            <w:r>
              <w:rPr>
                <w:rFonts w:hint="eastAsia"/>
                <w:snapToGrid w:val="0"/>
                <w:color w:val="auto"/>
                <w:kern w:val="0"/>
                <w:highlight w:val="none"/>
              </w:rPr>
              <w:t>排入尾矿库，尾矿库停运后随之封场。生活垃圾集中收集</w:t>
            </w:r>
            <w:r>
              <w:rPr>
                <w:snapToGrid w:val="0"/>
                <w:color w:val="auto"/>
                <w:kern w:val="0"/>
                <w:highlight w:val="none"/>
              </w:rPr>
              <w:t>后</w:t>
            </w:r>
            <w:r>
              <w:rPr>
                <w:rFonts w:hint="eastAsia"/>
                <w:snapToGrid w:val="0"/>
                <w:color w:val="auto"/>
                <w:kern w:val="0"/>
                <w:highlight w:val="none"/>
              </w:rPr>
              <w:t>，</w:t>
            </w:r>
            <w:r>
              <w:rPr>
                <w:rFonts w:hint="eastAsia"/>
                <w:snapToGrid w:val="0"/>
                <w:color w:val="auto"/>
                <w:kern w:val="0"/>
                <w:highlight w:val="none"/>
                <w:lang w:val="en-US" w:eastAsia="zh-CN"/>
              </w:rPr>
              <w:t>定期拉运处置</w:t>
            </w:r>
            <w:r>
              <w:rPr>
                <w:rFonts w:hint="eastAsia"/>
                <w:snapToGrid w:val="0"/>
                <w:color w:val="auto"/>
                <w:kern w:val="0"/>
                <w:highlight w:val="none"/>
              </w:rPr>
              <w:t>。危险废物</w:t>
            </w:r>
            <w:r>
              <w:rPr>
                <w:rFonts w:hint="eastAsia"/>
                <w:snapToGrid w:val="0"/>
                <w:color w:val="auto"/>
                <w:kern w:val="0"/>
                <w:highlight w:val="none"/>
                <w:lang w:val="en-US" w:eastAsia="zh-CN"/>
              </w:rPr>
              <w:t>暂存在</w:t>
            </w:r>
            <w:r>
              <w:rPr>
                <w:rFonts w:hint="eastAsia"/>
                <w:snapToGrid w:val="0"/>
                <w:color w:val="auto"/>
                <w:kern w:val="0"/>
                <w:highlight w:val="none"/>
                <w:lang w:eastAsia="zh-CN"/>
              </w:rPr>
              <w:t>危废贮存库</w:t>
            </w:r>
            <w:r>
              <w:rPr>
                <w:rFonts w:hint="eastAsia"/>
                <w:snapToGrid w:val="0"/>
                <w:color w:val="auto"/>
                <w:kern w:val="0"/>
                <w:highlight w:val="none"/>
                <w:lang w:val="en-US" w:eastAsia="zh-CN"/>
              </w:rPr>
              <w:t>内</w:t>
            </w:r>
            <w:r>
              <w:rPr>
                <w:rFonts w:hint="eastAsia"/>
                <w:snapToGrid w:val="0"/>
                <w:color w:val="auto"/>
                <w:kern w:val="0"/>
                <w:highlight w:val="none"/>
                <w:lang w:eastAsia="zh-CN"/>
              </w:rPr>
              <w:t>，</w:t>
            </w:r>
            <w:r>
              <w:rPr>
                <w:rFonts w:hint="eastAsia"/>
                <w:snapToGrid w:val="0"/>
                <w:color w:val="auto"/>
                <w:kern w:val="0"/>
                <w:highlight w:val="none"/>
                <w:lang w:val="en-US" w:eastAsia="zh-CN"/>
              </w:rPr>
              <w:t>定期</w:t>
            </w:r>
            <w:r>
              <w:rPr>
                <w:rFonts w:hint="eastAsia"/>
                <w:snapToGrid w:val="0"/>
                <w:color w:val="auto"/>
                <w:kern w:val="0"/>
                <w:highlight w:val="none"/>
              </w:rPr>
              <w:t>委托有资质单位处置。选矿除尘灰回用于选矿生产</w:t>
            </w:r>
            <w:r>
              <w:rPr>
                <w:rFonts w:hint="eastAsia"/>
                <w:snapToGrid w:val="0"/>
                <w:color w:val="auto"/>
                <w:kern w:val="0"/>
                <w:highlight w:val="none"/>
                <w:lang w:eastAsia="zh-CN"/>
              </w:rPr>
              <w:t>。</w:t>
            </w:r>
            <w:r>
              <w:rPr>
                <w:rFonts w:hint="eastAsia"/>
                <w:snapToGrid w:val="0"/>
                <w:color w:val="auto"/>
                <w:kern w:val="0"/>
                <w:highlight w:val="none"/>
                <w:lang w:val="en-US" w:eastAsia="zh-CN"/>
              </w:rPr>
              <w:t>项目产生的固体废物均妥善处置。</w:t>
            </w:r>
          </w:p>
        </w:tc>
        <w:tc>
          <w:tcPr>
            <w:tcW w:w="404" w:type="pct"/>
            <w:tcBorders>
              <w:tl2br w:val="nil"/>
              <w:tr2bl w:val="nil"/>
            </w:tcBorders>
            <w:vAlign w:val="center"/>
          </w:tcPr>
          <w:p w14:paraId="2C20778F">
            <w:pPr>
              <w:pStyle w:val="17"/>
              <w:bidi w:val="0"/>
              <w:rPr>
                <w:rFonts w:hint="default"/>
                <w:snapToGrid w:val="0"/>
                <w:color w:val="auto"/>
                <w:kern w:val="0"/>
                <w:highlight w:val="none"/>
                <w:lang w:val="en-US" w:eastAsia="zh-CN"/>
              </w:rPr>
            </w:pPr>
            <w:r>
              <w:rPr>
                <w:rFonts w:hint="default"/>
                <w:snapToGrid w:val="0"/>
                <w:color w:val="auto"/>
                <w:kern w:val="0"/>
                <w:highlight w:val="none"/>
                <w:lang w:val="en-US" w:eastAsia="zh-CN"/>
              </w:rPr>
              <w:t>符合</w:t>
            </w:r>
          </w:p>
        </w:tc>
      </w:tr>
    </w:tbl>
    <w:p w14:paraId="6F520A58">
      <w:pPr>
        <w:pStyle w:val="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1.3.2.2与</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巴音郭楞蒙古自治州“三线一单”生态环境分区管控动态更新成果（2023年）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的符合性分析</w:t>
      </w:r>
    </w:p>
    <w:p w14:paraId="3E935B18">
      <w:pPr>
        <w:snapToGrid w:val="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关于印发</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巴音郭楞蒙古自治州“三线一单”生态环境分区管控动态更新成果（2023年）</w:t>
      </w:r>
      <w:r>
        <w:rPr>
          <w:rFonts w:hint="eastAsia" w:ascii="Times New Roman" w:hAnsi="Times New Roman" w:cs="Times New Roman"/>
          <w:color w:val="auto"/>
          <w:highlight w:val="none"/>
          <w:lang w:eastAsia="zh-CN"/>
        </w:rPr>
        <w:t>〉的通知》</w:t>
      </w:r>
      <w:r>
        <w:rPr>
          <w:rFonts w:hint="default" w:ascii="Times New Roman" w:hAnsi="Times New Roman" w:cs="Times New Roman"/>
          <w:color w:val="auto"/>
          <w:highlight w:val="none"/>
        </w:rPr>
        <w:t>（巴政办发〔202</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〕32号），</w:t>
      </w:r>
      <w:r>
        <w:rPr>
          <w:rFonts w:hint="default" w:ascii="Times New Roman" w:hAnsi="Times New Roman" w:cs="Times New Roman"/>
          <w:color w:val="auto"/>
          <w:highlight w:val="none"/>
          <w:lang w:eastAsia="zh-CN"/>
        </w:rPr>
        <w:t>若羌</w:t>
      </w:r>
      <w:r>
        <w:rPr>
          <w:rFonts w:hint="default" w:ascii="Times New Roman" w:hAnsi="Times New Roman" w:cs="Times New Roman"/>
          <w:color w:val="auto"/>
          <w:highlight w:val="none"/>
        </w:rPr>
        <w:t>县共划分</w:t>
      </w:r>
      <w:r>
        <w:rPr>
          <w:rFonts w:hint="default" w:ascii="Times New Roman" w:hAnsi="Times New Roman" w:cs="Times New Roman"/>
          <w:color w:val="auto"/>
          <w:highlight w:val="none"/>
          <w:lang w:val="en-US" w:eastAsia="zh-CN"/>
        </w:rPr>
        <w:t>11</w:t>
      </w:r>
      <w:r>
        <w:rPr>
          <w:rFonts w:hint="default" w:ascii="Times New Roman" w:hAnsi="Times New Roman" w:cs="Times New Roman"/>
          <w:color w:val="auto"/>
          <w:highlight w:val="none"/>
        </w:rPr>
        <w:t>个环境管控单元，其中优先保护单元</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个、重点管控单元</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个、一般管控单元1个。本项目区不在生态保护红线范围内，属于一般管控单元（详见图1.3-</w:t>
      </w:r>
      <w:r>
        <w:rPr>
          <w:rFonts w:hint="eastAsia" w:cs="Times New Roman"/>
          <w:color w:val="auto"/>
          <w:highlight w:val="none"/>
          <w:lang w:val="en-US" w:eastAsia="zh-CN"/>
        </w:rPr>
        <w:t>1</w:t>
      </w:r>
      <w:r>
        <w:rPr>
          <w:rFonts w:hint="default" w:ascii="Times New Roman" w:hAnsi="Times New Roman" w:cs="Times New Roman"/>
          <w:color w:val="auto"/>
          <w:highlight w:val="none"/>
        </w:rPr>
        <w:t>）。</w:t>
      </w:r>
    </w:p>
    <w:p w14:paraId="097E0218">
      <w:pPr>
        <w:snapToGrid w:val="0"/>
        <w:ind w:firstLine="480"/>
        <w:jc w:val="center"/>
        <w:rPr>
          <w:rFonts w:hint="default" w:ascii="Times New Roman" w:hAnsi="Times New Roman" w:cs="Times New Roman"/>
          <w:b/>
          <w:color w:val="auto"/>
          <w:kern w:val="0"/>
          <w:highlight w:val="none"/>
          <w:lang w:bidi="ar"/>
        </w:rPr>
      </w:pPr>
      <w:r>
        <w:rPr>
          <w:rFonts w:hint="default" w:ascii="Times New Roman" w:hAnsi="Times New Roman" w:cs="Times New Roman"/>
          <w:b/>
          <w:color w:val="auto"/>
          <w:kern w:val="0"/>
          <w:highlight w:val="none"/>
          <w:lang w:bidi="ar"/>
        </w:rPr>
        <w:t>表1.3-</w:t>
      </w:r>
      <w:r>
        <w:rPr>
          <w:rFonts w:hint="eastAsia" w:cs="Times New Roman"/>
          <w:b/>
          <w:color w:val="auto"/>
          <w:kern w:val="0"/>
          <w:highlight w:val="none"/>
          <w:lang w:val="en-US" w:eastAsia="zh-CN" w:bidi="ar"/>
        </w:rPr>
        <w:t>2</w:t>
      </w:r>
      <w:r>
        <w:rPr>
          <w:rFonts w:hint="default" w:ascii="Times New Roman" w:hAnsi="Times New Roman" w:cs="Times New Roman"/>
          <w:b/>
          <w:color w:val="auto"/>
          <w:kern w:val="0"/>
          <w:highlight w:val="none"/>
          <w:lang w:bidi="ar"/>
        </w:rPr>
        <w:t xml:space="preserve">    本项目与</w:t>
      </w:r>
      <w:r>
        <w:rPr>
          <w:rFonts w:hint="default" w:ascii="Times New Roman" w:hAnsi="Times New Roman" w:cs="Times New Roman" w:eastAsiaTheme="minorEastAsia"/>
          <w:b/>
          <w:bCs/>
          <w:color w:val="auto"/>
          <w:sz w:val="24"/>
          <w:szCs w:val="24"/>
          <w:highlight w:val="none"/>
          <w:lang w:val="en-US" w:eastAsia="zh-CN"/>
        </w:rPr>
        <w:t>《巴音郭楞蒙古自治州“三线一单”生态环境分区管控动态更新成果（2023</w:t>
      </w:r>
      <w:r>
        <w:rPr>
          <w:rFonts w:hint="eastAsia" w:cs="Times New Roman" w:eastAsiaTheme="minorEastAsia"/>
          <w:b/>
          <w:bCs/>
          <w:color w:val="auto"/>
          <w:sz w:val="24"/>
          <w:szCs w:val="24"/>
          <w:highlight w:val="none"/>
          <w:lang w:val="en-US" w:eastAsia="zh-CN"/>
        </w:rPr>
        <w:t>年）</w:t>
      </w:r>
      <w:r>
        <w:rPr>
          <w:rFonts w:hint="default" w:ascii="Times New Roman" w:hAnsi="Times New Roman" w:cs="Times New Roman" w:eastAsiaTheme="minorEastAsia"/>
          <w:b/>
          <w:bCs/>
          <w:color w:val="auto"/>
          <w:sz w:val="24"/>
          <w:szCs w:val="24"/>
          <w:highlight w:val="none"/>
          <w:lang w:val="en-US" w:eastAsia="zh-CN"/>
        </w:rPr>
        <w:t>》</w:t>
      </w:r>
      <w:r>
        <w:rPr>
          <w:rFonts w:hint="default" w:ascii="Times New Roman" w:hAnsi="Times New Roman" w:cs="Times New Roman"/>
          <w:b/>
          <w:color w:val="auto"/>
          <w:kern w:val="0"/>
          <w:highlight w:val="none"/>
          <w:lang w:bidi="ar"/>
        </w:rPr>
        <w:t>总体管控要求的符合性分析</w:t>
      </w:r>
    </w:p>
    <w:tbl>
      <w:tblPr>
        <w:tblStyle w:val="13"/>
        <w:tblW w:w="496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677"/>
        <w:gridCol w:w="433"/>
        <w:gridCol w:w="4000"/>
        <w:gridCol w:w="2701"/>
        <w:gridCol w:w="492"/>
      </w:tblGrid>
      <w:tr w14:paraId="29478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08" w:type="pct"/>
            <w:noWrap w:val="0"/>
            <w:vAlign w:val="center"/>
          </w:tcPr>
          <w:p w14:paraId="2E6197AD">
            <w:pPr>
              <w:pStyle w:val="17"/>
              <w:bidi w:val="0"/>
              <w:rPr>
                <w:rFonts w:hint="default" w:ascii="Times New Roman" w:hAnsi="Times New Roman" w:eastAsia="宋体" w:cs="Times New Roman"/>
                <w:b/>
                <w:color w:val="auto"/>
                <w:szCs w:val="21"/>
                <w:highlight w:val="none"/>
                <w:lang w:val="en-US" w:eastAsia="zh-CN"/>
              </w:rPr>
            </w:pPr>
            <w:r>
              <w:rPr>
                <w:rFonts w:hint="eastAsia"/>
                <w:color w:val="auto"/>
                <w:highlight w:val="none"/>
                <w:lang w:val="en-US" w:eastAsia="zh-CN"/>
              </w:rPr>
              <w:t>准入要求</w:t>
            </w:r>
          </w:p>
        </w:tc>
        <w:tc>
          <w:tcPr>
            <w:tcW w:w="2669" w:type="pct"/>
            <w:gridSpan w:val="2"/>
            <w:noWrap w:val="0"/>
            <w:vAlign w:val="center"/>
          </w:tcPr>
          <w:p w14:paraId="3C787636">
            <w:pPr>
              <w:pStyle w:val="17"/>
              <w:bidi w:val="0"/>
              <w:rPr>
                <w:rFonts w:hint="default" w:ascii="Times New Roman" w:hAnsi="Times New Roman" w:eastAsia="宋体" w:cs="Times New Roman"/>
                <w:b/>
                <w:color w:val="auto"/>
                <w:szCs w:val="21"/>
                <w:highlight w:val="none"/>
              </w:rPr>
            </w:pPr>
            <w:r>
              <w:rPr>
                <w:rFonts w:hint="default"/>
                <w:color w:val="auto"/>
                <w:highlight w:val="none"/>
              </w:rPr>
              <w:t>管控要求</w:t>
            </w:r>
          </w:p>
        </w:tc>
        <w:tc>
          <w:tcPr>
            <w:tcW w:w="1626" w:type="pct"/>
            <w:noWrap w:val="0"/>
            <w:vAlign w:val="center"/>
          </w:tcPr>
          <w:p w14:paraId="2EA922F5">
            <w:pPr>
              <w:pStyle w:val="17"/>
              <w:bidi w:val="0"/>
              <w:rPr>
                <w:rFonts w:hint="default" w:ascii="Times New Roman" w:hAnsi="Times New Roman" w:eastAsia="宋体" w:cs="Times New Roman"/>
                <w:b/>
                <w:color w:val="auto"/>
                <w:szCs w:val="21"/>
                <w:highlight w:val="none"/>
              </w:rPr>
            </w:pPr>
            <w:r>
              <w:rPr>
                <w:rFonts w:hint="default"/>
                <w:color w:val="auto"/>
                <w:highlight w:val="none"/>
              </w:rPr>
              <w:t>本项目相关内容</w:t>
            </w:r>
          </w:p>
        </w:tc>
        <w:tc>
          <w:tcPr>
            <w:tcW w:w="296" w:type="pct"/>
            <w:noWrap w:val="0"/>
            <w:vAlign w:val="center"/>
          </w:tcPr>
          <w:p w14:paraId="17AAD2F4">
            <w:pPr>
              <w:pStyle w:val="17"/>
              <w:bidi w:val="0"/>
              <w:rPr>
                <w:rFonts w:hint="default" w:ascii="Times New Roman" w:hAnsi="Times New Roman" w:eastAsia="宋体" w:cs="Times New Roman"/>
                <w:b/>
                <w:color w:val="auto"/>
                <w:szCs w:val="21"/>
                <w:highlight w:val="none"/>
              </w:rPr>
            </w:pPr>
            <w:r>
              <w:rPr>
                <w:rFonts w:hint="default"/>
                <w:color w:val="auto"/>
                <w:highlight w:val="none"/>
              </w:rPr>
              <w:t>符合性</w:t>
            </w:r>
          </w:p>
        </w:tc>
      </w:tr>
      <w:tr w14:paraId="30CEA8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1" w:hRule="atLeast"/>
          <w:jc w:val="center"/>
        </w:trPr>
        <w:tc>
          <w:tcPr>
            <w:tcW w:w="408" w:type="pct"/>
            <w:vMerge w:val="restart"/>
            <w:noWrap w:val="0"/>
            <w:vAlign w:val="center"/>
          </w:tcPr>
          <w:p w14:paraId="77BBCBB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10"/>
                <w:sz w:val="21"/>
                <w:szCs w:val="21"/>
                <w:highlight w:val="none"/>
              </w:rPr>
            </w:pPr>
            <w:r>
              <w:rPr>
                <w:rFonts w:hint="default" w:ascii="Times New Roman" w:hAnsi="Times New Roman" w:eastAsia="宋体" w:cs="Times New Roman"/>
                <w:b w:val="0"/>
                <w:bCs/>
                <w:color w:val="auto"/>
                <w:spacing w:val="-10"/>
                <w:sz w:val="21"/>
                <w:szCs w:val="21"/>
                <w:highlight w:val="none"/>
              </w:rPr>
              <w:t>总体管控要求</w:t>
            </w:r>
          </w:p>
        </w:tc>
        <w:tc>
          <w:tcPr>
            <w:tcW w:w="260" w:type="pct"/>
            <w:noWrap w:val="0"/>
            <w:vAlign w:val="center"/>
          </w:tcPr>
          <w:p w14:paraId="72618B3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10"/>
                <w:sz w:val="21"/>
                <w:szCs w:val="21"/>
                <w:highlight w:val="none"/>
              </w:rPr>
            </w:pPr>
            <w:r>
              <w:rPr>
                <w:rFonts w:hint="default" w:ascii="Times New Roman" w:hAnsi="Times New Roman" w:eastAsia="宋体" w:cs="Times New Roman"/>
                <w:b w:val="0"/>
                <w:bCs/>
                <w:color w:val="auto"/>
                <w:spacing w:val="-10"/>
                <w:sz w:val="21"/>
                <w:szCs w:val="21"/>
                <w:highlight w:val="none"/>
              </w:rPr>
              <w:t>空间布局约束</w:t>
            </w:r>
          </w:p>
        </w:tc>
        <w:tc>
          <w:tcPr>
            <w:tcW w:w="2408" w:type="pct"/>
            <w:tcBorders>
              <w:bottom w:val="single" w:color="auto" w:sz="4" w:space="0"/>
            </w:tcBorders>
            <w:noWrap w:val="0"/>
            <w:vAlign w:val="center"/>
          </w:tcPr>
          <w:p w14:paraId="389D87B8">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宋体" w:cs="仿宋"/>
                <w:color w:val="auto"/>
                <w:kern w:val="0"/>
                <w:szCs w:val="21"/>
                <w:highlight w:val="none"/>
              </w:rPr>
            </w:pPr>
            <w:r>
              <w:rPr>
                <w:rFonts w:hint="default"/>
                <w:color w:val="auto"/>
                <w:highlight w:val="none"/>
                <w:lang w:val="en-US" w:eastAsia="zh-CN"/>
              </w:rPr>
              <w:t>1.12</w:t>
            </w:r>
            <w:r>
              <w:rPr>
                <w:rFonts w:hint="eastAsia"/>
                <w:color w:val="auto"/>
                <w:highlight w:val="none"/>
                <w:lang w:val="en-US" w:eastAsia="zh-CN"/>
              </w:rPr>
              <w:t>【</w:t>
            </w:r>
            <w:r>
              <w:rPr>
                <w:rFonts w:hint="default"/>
                <w:color w:val="auto"/>
                <w:highlight w:val="none"/>
                <w:lang w:val="en-US" w:eastAsia="zh-CN"/>
              </w:rPr>
              <w:t>生态红线禁止类</w:t>
            </w:r>
            <w:r>
              <w:rPr>
                <w:rFonts w:hint="eastAsia"/>
                <w:color w:val="auto"/>
                <w:highlight w:val="none"/>
                <w:lang w:val="en-US" w:eastAsia="zh-CN"/>
              </w:rPr>
              <w:t>】</w:t>
            </w:r>
            <w:r>
              <w:rPr>
                <w:rFonts w:hint="default"/>
                <w:color w:val="auto"/>
                <w:highlight w:val="none"/>
                <w:lang w:val="en-US" w:eastAsia="zh-CN"/>
              </w:rPr>
              <w:t>生态保护红线内，自然保护地核心保护区原则上禁止人为活动，其他区域严格禁止开发性、生产性建设活动。</w:t>
            </w:r>
          </w:p>
        </w:tc>
        <w:tc>
          <w:tcPr>
            <w:tcW w:w="1626" w:type="pct"/>
            <w:noWrap w:val="0"/>
            <w:vAlign w:val="center"/>
          </w:tcPr>
          <w:p w14:paraId="2E9097B6">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宋体" w:cs="Times New Roman"/>
                <w:color w:val="auto"/>
                <w:spacing w:val="-10"/>
                <w:szCs w:val="21"/>
                <w:highlight w:val="none"/>
                <w:lang w:val="en-US"/>
              </w:rPr>
            </w:pPr>
            <w:r>
              <w:rPr>
                <w:rFonts w:hint="default"/>
                <w:color w:val="auto"/>
                <w:highlight w:val="none"/>
                <w:lang w:val="en-US" w:eastAsia="zh-CN"/>
              </w:rPr>
              <w:t>本项目</w:t>
            </w:r>
            <w:r>
              <w:rPr>
                <w:rFonts w:hint="eastAsia"/>
                <w:color w:val="auto"/>
                <w:highlight w:val="none"/>
                <w:lang w:val="en-US" w:eastAsia="zh-CN"/>
              </w:rPr>
              <w:t>不涉及生态保护红线，</w:t>
            </w:r>
            <w:r>
              <w:rPr>
                <w:rFonts w:hint="default"/>
                <w:color w:val="auto"/>
                <w:highlight w:val="none"/>
                <w:lang w:val="en-US" w:eastAsia="zh-CN"/>
              </w:rPr>
              <w:t>项目采用的生产工艺、设备、产品均不属于《产业结构调整指导目录（2024本）》中所列的落后工艺、装备和产品之列，大气污染物均可达标排放。</w:t>
            </w:r>
          </w:p>
        </w:tc>
        <w:tc>
          <w:tcPr>
            <w:tcW w:w="296" w:type="pct"/>
            <w:noWrap w:val="0"/>
            <w:vAlign w:val="center"/>
          </w:tcPr>
          <w:p w14:paraId="4C742AC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符合</w:t>
            </w:r>
          </w:p>
        </w:tc>
      </w:tr>
      <w:tr w14:paraId="1F4F04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141" w:hRule="atLeast"/>
          <w:jc w:val="center"/>
        </w:trPr>
        <w:tc>
          <w:tcPr>
            <w:tcW w:w="408" w:type="pct"/>
            <w:vMerge w:val="continue"/>
            <w:noWrap w:val="0"/>
            <w:vAlign w:val="center"/>
          </w:tcPr>
          <w:p w14:paraId="5870670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10"/>
                <w:sz w:val="21"/>
                <w:szCs w:val="21"/>
                <w:highlight w:val="none"/>
              </w:rPr>
            </w:pPr>
          </w:p>
        </w:tc>
        <w:tc>
          <w:tcPr>
            <w:tcW w:w="260" w:type="pct"/>
            <w:tcBorders>
              <w:top w:val="single" w:color="auto" w:sz="4" w:space="0"/>
            </w:tcBorders>
            <w:noWrap w:val="0"/>
            <w:vAlign w:val="center"/>
          </w:tcPr>
          <w:p w14:paraId="1425CCD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pacing w:val="-10"/>
                <w:sz w:val="21"/>
                <w:szCs w:val="21"/>
                <w:highlight w:val="none"/>
              </w:rPr>
            </w:pPr>
            <w:r>
              <w:rPr>
                <w:rFonts w:hint="default" w:ascii="Times New Roman" w:hAnsi="Times New Roman" w:eastAsia="宋体" w:cs="Times New Roman"/>
                <w:b w:val="0"/>
                <w:bCs/>
                <w:color w:val="auto"/>
                <w:spacing w:val="-10"/>
                <w:sz w:val="21"/>
                <w:szCs w:val="21"/>
                <w:highlight w:val="none"/>
              </w:rPr>
              <w:t>污染物</w:t>
            </w:r>
            <w:r>
              <w:rPr>
                <w:rFonts w:hint="eastAsia" w:cs="Times New Roman"/>
                <w:b w:val="0"/>
                <w:bCs/>
                <w:color w:val="auto"/>
                <w:spacing w:val="-10"/>
                <w:sz w:val="21"/>
                <w:szCs w:val="21"/>
                <w:highlight w:val="none"/>
                <w:lang w:val="en-US" w:eastAsia="zh-CN"/>
              </w:rPr>
              <w:t>排</w:t>
            </w:r>
            <w:r>
              <w:rPr>
                <w:rFonts w:hint="default" w:ascii="Times New Roman" w:hAnsi="Times New Roman" w:eastAsia="宋体" w:cs="Times New Roman"/>
                <w:b w:val="0"/>
                <w:bCs/>
                <w:color w:val="auto"/>
                <w:spacing w:val="-10"/>
                <w:sz w:val="21"/>
                <w:szCs w:val="21"/>
                <w:highlight w:val="none"/>
              </w:rPr>
              <w:t>放管控</w:t>
            </w:r>
          </w:p>
        </w:tc>
        <w:tc>
          <w:tcPr>
            <w:tcW w:w="2408" w:type="pct"/>
            <w:tcBorders>
              <w:top w:val="single" w:color="auto" w:sz="4" w:space="0"/>
              <w:bottom w:val="single" w:color="auto" w:sz="4" w:space="0"/>
            </w:tcBorders>
            <w:noWrap w:val="0"/>
            <w:vAlign w:val="center"/>
          </w:tcPr>
          <w:p w14:paraId="227E8489">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val="en-US" w:eastAsia="zh-CN"/>
              </w:rPr>
            </w:pPr>
            <w:r>
              <w:rPr>
                <w:rFonts w:hint="default"/>
                <w:color w:val="auto"/>
                <w:highlight w:val="none"/>
                <w:lang w:val="en-US" w:eastAsia="zh-CN"/>
              </w:rPr>
              <w:t>2.1</w:t>
            </w:r>
            <w:r>
              <w:rPr>
                <w:rFonts w:hint="eastAsia"/>
                <w:color w:val="auto"/>
                <w:highlight w:val="none"/>
                <w:lang w:val="en-US" w:eastAsia="zh-CN"/>
              </w:rPr>
              <w:t>水源涵养和生物多样性维护型重点生态功能区水质达到地表水、地下水</w:t>
            </w:r>
            <w:r>
              <w:rPr>
                <w:rFonts w:hint="default"/>
                <w:color w:val="auto"/>
                <w:highlight w:val="none"/>
                <w:lang w:val="en-US" w:eastAsia="zh-CN"/>
              </w:rPr>
              <w:t>I</w:t>
            </w:r>
            <w:r>
              <w:rPr>
                <w:rFonts w:hint="eastAsia"/>
                <w:color w:val="auto"/>
                <w:highlight w:val="none"/>
                <w:lang w:val="en-US" w:eastAsia="zh-CN"/>
              </w:rPr>
              <w:t>类，空气质量达到一级。</w:t>
            </w:r>
          </w:p>
          <w:p w14:paraId="2BA0479D">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宋体" w:cs="Times New Roman"/>
                <w:bCs/>
                <w:color w:val="auto"/>
                <w:szCs w:val="21"/>
                <w:highlight w:val="none"/>
                <w:lang w:val="en-US" w:eastAsia="zh-CN"/>
              </w:rPr>
            </w:pPr>
            <w:r>
              <w:rPr>
                <w:rFonts w:hint="default"/>
                <w:color w:val="auto"/>
                <w:highlight w:val="none"/>
                <w:lang w:val="en-US" w:eastAsia="zh-CN"/>
              </w:rPr>
              <w:t>2.9</w:t>
            </w:r>
            <w:r>
              <w:rPr>
                <w:rFonts w:hint="eastAsia"/>
                <w:color w:val="auto"/>
                <w:highlight w:val="none"/>
                <w:lang w:val="en-US" w:eastAsia="zh-CN"/>
              </w:rPr>
              <w:t>所有排污单位必须依法实现全面达标排放。逐一排查工业企业排污情况，重点排污单位应按要求安装污染物在线监控设施，达标企业应采取措施确保稳定达标。定期抽查排污单位达标排放情况，结果向社会公布。加大综合惩处和处罚执行力度，建立环保领域非诉案件执行联动配合机制，对行政处罚、行政命令执行情况实施后督察。</w:t>
            </w:r>
          </w:p>
        </w:tc>
        <w:tc>
          <w:tcPr>
            <w:tcW w:w="1626" w:type="pct"/>
            <w:noWrap w:val="0"/>
            <w:vAlign w:val="center"/>
          </w:tcPr>
          <w:p w14:paraId="2AB81F8E">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宋体" w:cs="Times New Roman"/>
                <w:color w:val="auto"/>
                <w:spacing w:val="-10"/>
                <w:szCs w:val="21"/>
                <w:highlight w:val="none"/>
                <w:lang w:val="en-US" w:eastAsia="zh-CN"/>
              </w:rPr>
            </w:pPr>
            <w:r>
              <w:rPr>
                <w:rFonts w:hint="eastAsia"/>
                <w:color w:val="auto"/>
                <w:highlight w:val="none"/>
                <w:lang w:val="en-US" w:eastAsia="zh-CN"/>
              </w:rPr>
              <w:t>本项目不涉及水源涵养和生物多样性维护型重点生态功能区；</w:t>
            </w:r>
            <w:r>
              <w:rPr>
                <w:rFonts w:hint="default"/>
                <w:color w:val="auto"/>
                <w:highlight w:val="none"/>
                <w:lang w:val="en-US" w:eastAsia="zh-CN"/>
              </w:rPr>
              <w:t>大气污染物均可达标排放</w:t>
            </w:r>
            <w:r>
              <w:rPr>
                <w:rFonts w:hint="eastAsia"/>
                <w:color w:val="auto"/>
                <w:highlight w:val="none"/>
                <w:lang w:val="en-US" w:eastAsia="zh-CN"/>
              </w:rPr>
              <w:t>，</w:t>
            </w:r>
            <w:r>
              <w:rPr>
                <w:rFonts w:hint="default"/>
                <w:color w:val="auto"/>
                <w:highlight w:val="none"/>
              </w:rPr>
              <w:t>对环境空气质量影响较小，不会降低区域环境空气质量</w:t>
            </w:r>
            <w:r>
              <w:rPr>
                <w:rFonts w:hint="eastAsia"/>
                <w:color w:val="auto"/>
                <w:highlight w:val="none"/>
                <w:lang w:eastAsia="zh-CN"/>
              </w:rPr>
              <w:t>。</w:t>
            </w:r>
          </w:p>
        </w:tc>
        <w:tc>
          <w:tcPr>
            <w:tcW w:w="296" w:type="pct"/>
            <w:noWrap w:val="0"/>
            <w:vAlign w:val="center"/>
          </w:tcPr>
          <w:p w14:paraId="7F72D6E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符合</w:t>
            </w:r>
          </w:p>
        </w:tc>
      </w:tr>
      <w:tr w14:paraId="533BA5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1" w:hRule="atLeast"/>
          <w:jc w:val="center"/>
        </w:trPr>
        <w:tc>
          <w:tcPr>
            <w:tcW w:w="408" w:type="pct"/>
            <w:vMerge w:val="continue"/>
            <w:noWrap w:val="0"/>
            <w:vAlign w:val="center"/>
          </w:tcPr>
          <w:p w14:paraId="6BA872F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0"/>
                <w:sz w:val="21"/>
                <w:szCs w:val="21"/>
                <w:highlight w:val="none"/>
              </w:rPr>
            </w:pPr>
          </w:p>
        </w:tc>
        <w:tc>
          <w:tcPr>
            <w:tcW w:w="260" w:type="pct"/>
            <w:noWrap w:val="0"/>
            <w:vAlign w:val="center"/>
          </w:tcPr>
          <w:p w14:paraId="61F2B84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环境风险防控</w:t>
            </w:r>
          </w:p>
        </w:tc>
        <w:tc>
          <w:tcPr>
            <w:tcW w:w="2408" w:type="pct"/>
            <w:tcBorders>
              <w:top w:val="single" w:color="auto" w:sz="4" w:space="0"/>
              <w:bottom w:val="single" w:color="auto" w:sz="4" w:space="0"/>
            </w:tcBorders>
            <w:noWrap w:val="0"/>
            <w:vAlign w:val="center"/>
          </w:tcPr>
          <w:p w14:paraId="3788A98C">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val="en-US" w:eastAsia="zh-CN"/>
              </w:rPr>
            </w:pPr>
            <w:r>
              <w:rPr>
                <w:rFonts w:hint="default"/>
                <w:color w:val="auto"/>
                <w:highlight w:val="none"/>
                <w:lang w:val="en-US" w:eastAsia="zh-CN"/>
              </w:rPr>
              <w:t>3.5推进重点流域、饮用水源等环境敏感区域防控体系建设，落实环境风险防控措施，配备拦截、吸附等基本应急处置物资。落实饮用水源一级保护区周边人类活动频繁区域隔离墙、隔离网、视频监控等防范设施建设。</w:t>
            </w:r>
          </w:p>
          <w:p w14:paraId="107AC2D0">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宋体" w:cs="Times New Roman"/>
                <w:bCs/>
                <w:color w:val="auto"/>
                <w:szCs w:val="21"/>
                <w:highlight w:val="none"/>
                <w:lang w:val="en-US" w:eastAsia="zh-CN"/>
              </w:rPr>
            </w:pPr>
            <w:r>
              <w:rPr>
                <w:rFonts w:hint="default"/>
                <w:color w:val="auto"/>
                <w:highlight w:val="none"/>
                <w:lang w:val="en-US" w:eastAsia="zh-CN"/>
              </w:rPr>
              <w:t>3.8</w:t>
            </w:r>
            <w:r>
              <w:rPr>
                <w:rFonts w:hint="eastAsia"/>
                <w:color w:val="auto"/>
                <w:highlight w:val="none"/>
                <w:lang w:val="en-US" w:eastAsia="zh-CN"/>
              </w:rPr>
              <w:t>严格环境风险控制。防范环境风险。定期评估沿河流湖库的工业企业、工业集聚区环境和健康风险，加强预案管理，落实防控措施，排除水污染隐患。评估现有化学物质环境和健康风险，根据国家公布的优先控制化学品名录，对高风险化学品生产、使用进行严格限制，并逐步淘汰替代。</w:t>
            </w:r>
          </w:p>
        </w:tc>
        <w:tc>
          <w:tcPr>
            <w:tcW w:w="1626" w:type="pct"/>
            <w:noWrap w:val="0"/>
            <w:vAlign w:val="center"/>
          </w:tcPr>
          <w:p w14:paraId="47F0C0B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宋体" w:cs="Times New Roman"/>
                <w:color w:val="auto"/>
                <w:kern w:val="0"/>
                <w:szCs w:val="21"/>
                <w:highlight w:val="none"/>
              </w:rPr>
            </w:pPr>
            <w:r>
              <w:rPr>
                <w:rFonts w:hint="eastAsia" w:ascii="Times New Roman"/>
                <w:color w:val="auto"/>
                <w:sz w:val="21"/>
                <w:highlight w:val="none"/>
                <w:lang w:val="en-US" w:eastAsia="zh-CN"/>
              </w:rPr>
              <w:t>本</w:t>
            </w:r>
            <w:r>
              <w:rPr>
                <w:rFonts w:ascii="Times New Roman"/>
                <w:color w:val="auto"/>
                <w:sz w:val="21"/>
                <w:highlight w:val="none"/>
              </w:rPr>
              <w:t>项目不涉及重点流域、饮用水源等环境敏感区域，运营期建立健全的环境管理制度，防范环境污染事故发生。</w:t>
            </w:r>
          </w:p>
        </w:tc>
        <w:tc>
          <w:tcPr>
            <w:tcW w:w="296" w:type="pct"/>
            <w:noWrap w:val="0"/>
            <w:vAlign w:val="center"/>
          </w:tcPr>
          <w:p w14:paraId="20E4940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符合</w:t>
            </w:r>
          </w:p>
        </w:tc>
      </w:tr>
      <w:tr w14:paraId="30C5D8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1" w:hRule="atLeast"/>
          <w:jc w:val="center"/>
        </w:trPr>
        <w:tc>
          <w:tcPr>
            <w:tcW w:w="408" w:type="pct"/>
            <w:vMerge w:val="continue"/>
            <w:noWrap w:val="0"/>
            <w:vAlign w:val="center"/>
          </w:tcPr>
          <w:p w14:paraId="457201B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pacing w:val="-10"/>
                <w:sz w:val="21"/>
                <w:szCs w:val="21"/>
                <w:highlight w:val="none"/>
              </w:rPr>
            </w:pPr>
          </w:p>
        </w:tc>
        <w:tc>
          <w:tcPr>
            <w:tcW w:w="260" w:type="pct"/>
            <w:noWrap w:val="0"/>
            <w:vAlign w:val="center"/>
          </w:tcPr>
          <w:p w14:paraId="0993DCD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资源利用效率</w:t>
            </w:r>
          </w:p>
        </w:tc>
        <w:tc>
          <w:tcPr>
            <w:tcW w:w="2408" w:type="pct"/>
            <w:tcBorders>
              <w:top w:val="single" w:color="auto" w:sz="4" w:space="0"/>
              <w:bottom w:val="single" w:color="auto" w:sz="4" w:space="0"/>
            </w:tcBorders>
            <w:noWrap w:val="0"/>
            <w:vAlign w:val="center"/>
          </w:tcPr>
          <w:p w14:paraId="478BE810">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eastAsia="宋体" w:cs="仿宋"/>
                <w:color w:val="auto"/>
                <w:kern w:val="0"/>
                <w:szCs w:val="21"/>
                <w:highlight w:val="none"/>
                <w:lang w:val="en-US" w:eastAsia="zh-CN"/>
              </w:rPr>
            </w:pPr>
            <w:r>
              <w:rPr>
                <w:rFonts w:hint="default"/>
                <w:color w:val="auto"/>
                <w:highlight w:val="none"/>
                <w:lang w:val="en-US" w:eastAsia="zh-CN"/>
              </w:rPr>
              <w:t>4.1</w:t>
            </w:r>
            <w:r>
              <w:rPr>
                <w:rFonts w:hint="eastAsia"/>
                <w:color w:val="auto"/>
                <w:highlight w:val="none"/>
                <w:lang w:val="en-US" w:eastAsia="zh-CN"/>
              </w:rPr>
              <w:t>推进循环发展。加强工业水循环利用。推进矿井水综合利用，煤炭矿区的补充用水、周边地区生产和生态用水应优先使用矿井水，加强洗煤废水循环利用。鼓励钢铁、纺织印染、造纸、石油石化、化工、制革等高耗水企业废水深度处理回用。</w:t>
            </w:r>
          </w:p>
        </w:tc>
        <w:tc>
          <w:tcPr>
            <w:tcW w:w="1626" w:type="pct"/>
            <w:noWrap w:val="0"/>
            <w:vAlign w:val="center"/>
          </w:tcPr>
          <w:p w14:paraId="3B5A458D">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矿山</w:t>
            </w:r>
            <w:r>
              <w:rPr>
                <w:rFonts w:hint="eastAsia" w:ascii="Times New Roman" w:hAnsi="Times New Roman" w:eastAsia="宋体" w:cs="Times New Roman"/>
                <w:color w:val="auto"/>
                <w:kern w:val="2"/>
                <w:sz w:val="21"/>
                <w:szCs w:val="21"/>
                <w:highlight w:val="none"/>
                <w:lang w:val="en-US" w:eastAsia="zh-CN" w:bidi="ar-SA"/>
              </w:rPr>
              <w:t>采矿废水经坑内水处理站处理后</w:t>
            </w:r>
            <w:r>
              <w:rPr>
                <w:rFonts w:hint="eastAsia" w:cs="Times New Roman"/>
                <w:color w:val="auto"/>
                <w:kern w:val="2"/>
                <w:sz w:val="21"/>
                <w:szCs w:val="21"/>
                <w:highlight w:val="none"/>
                <w:lang w:val="en-US" w:eastAsia="zh-CN" w:bidi="ar-SA"/>
              </w:rPr>
              <w:t>，作为生产用水使用，不外排</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采选产生的废水循环利用不外排；项目选矿废水“闭路循环”，全部回用；生活污水达标处理后回用于选矿生产工序循环利用及绿化，不外排。</w:t>
            </w:r>
          </w:p>
        </w:tc>
        <w:tc>
          <w:tcPr>
            <w:tcW w:w="296" w:type="pct"/>
            <w:noWrap w:val="0"/>
            <w:vAlign w:val="center"/>
          </w:tcPr>
          <w:p w14:paraId="364F44C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符合</w:t>
            </w:r>
          </w:p>
        </w:tc>
      </w:tr>
    </w:tbl>
    <w:p w14:paraId="4C7D33FD">
      <w:pPr>
        <w:pStyle w:val="19"/>
        <w:bidi w:val="0"/>
        <w:rPr>
          <w:rFonts w:hint="default"/>
          <w:color w:val="auto"/>
          <w:highlight w:val="none"/>
        </w:rPr>
      </w:pPr>
      <w:r>
        <w:rPr>
          <w:rFonts w:hint="eastAsia"/>
          <w:color w:val="auto"/>
          <w:highlight w:val="none"/>
          <w:lang w:val="en-US" w:eastAsia="zh-CN"/>
        </w:rPr>
        <w:t>表1.3-3   《巴音</w:t>
      </w:r>
      <w:r>
        <w:rPr>
          <w:rFonts w:hint="default"/>
          <w:color w:val="auto"/>
          <w:highlight w:val="none"/>
          <w:lang w:val="en-US" w:eastAsia="zh-CN"/>
        </w:rPr>
        <w:t>郭楞蒙古自治州“三线一单”生态环境分区管控动态更新成果（2023</w:t>
      </w:r>
      <w:r>
        <w:rPr>
          <w:rFonts w:hint="eastAsia"/>
          <w:color w:val="auto"/>
          <w:highlight w:val="none"/>
          <w:lang w:val="en-US" w:eastAsia="zh-CN"/>
        </w:rPr>
        <w:t>年）</w:t>
      </w:r>
      <w:r>
        <w:rPr>
          <w:rFonts w:hint="default"/>
          <w:color w:val="auto"/>
          <w:highlight w:val="none"/>
          <w:lang w:val="en-US" w:eastAsia="zh-CN"/>
        </w:rPr>
        <w:t>》相符性分析（管控单元）</w:t>
      </w:r>
    </w:p>
    <w:tbl>
      <w:tblPr>
        <w:tblStyle w:val="18"/>
        <w:tblW w:w="50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1"/>
        <w:gridCol w:w="634"/>
        <w:gridCol w:w="342"/>
        <w:gridCol w:w="4080"/>
        <w:gridCol w:w="2293"/>
        <w:gridCol w:w="367"/>
      </w:tblGrid>
      <w:tr w14:paraId="2BA9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shd w:val="clear" w:color="auto" w:fill="auto"/>
            <w:vAlign w:val="center"/>
          </w:tcPr>
          <w:p w14:paraId="5A4019EE">
            <w:pPr>
              <w:pStyle w:val="17"/>
              <w:bidi w:val="0"/>
              <w:rPr>
                <w:rFonts w:hint="default"/>
                <w:color w:val="auto"/>
                <w:highlight w:val="none"/>
                <w:lang w:val="en-US" w:eastAsia="zh-CN"/>
              </w:rPr>
            </w:pPr>
            <w:r>
              <w:rPr>
                <w:rFonts w:hint="default"/>
                <w:color w:val="auto"/>
                <w:highlight w:val="none"/>
              </w:rPr>
              <w:t>环境管控单元编码</w:t>
            </w:r>
          </w:p>
        </w:tc>
        <w:tc>
          <w:tcPr>
            <w:tcW w:w="378" w:type="pct"/>
            <w:vAlign w:val="center"/>
          </w:tcPr>
          <w:p w14:paraId="32EF18F9">
            <w:pPr>
              <w:pStyle w:val="17"/>
              <w:bidi w:val="0"/>
              <w:rPr>
                <w:rFonts w:hint="default"/>
                <w:color w:val="auto"/>
                <w:highlight w:val="none"/>
              </w:rPr>
            </w:pPr>
            <w:r>
              <w:rPr>
                <w:rFonts w:hint="default"/>
                <w:color w:val="auto"/>
                <w:highlight w:val="none"/>
              </w:rPr>
              <w:t>管控</w:t>
            </w:r>
          </w:p>
          <w:p w14:paraId="2F7BD4F7">
            <w:pPr>
              <w:pStyle w:val="17"/>
              <w:bidi w:val="0"/>
              <w:rPr>
                <w:rFonts w:hint="default"/>
                <w:color w:val="auto"/>
                <w:highlight w:val="none"/>
              </w:rPr>
            </w:pPr>
            <w:r>
              <w:rPr>
                <w:rFonts w:hint="default"/>
                <w:color w:val="auto"/>
                <w:highlight w:val="none"/>
              </w:rPr>
              <w:t>类别</w:t>
            </w:r>
          </w:p>
        </w:tc>
        <w:tc>
          <w:tcPr>
            <w:tcW w:w="2642" w:type="pct"/>
            <w:gridSpan w:val="2"/>
            <w:vAlign w:val="center"/>
          </w:tcPr>
          <w:p w14:paraId="0979AD6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管控要求</w:t>
            </w:r>
          </w:p>
        </w:tc>
        <w:tc>
          <w:tcPr>
            <w:tcW w:w="1370" w:type="pct"/>
            <w:vAlign w:val="center"/>
          </w:tcPr>
          <w:p w14:paraId="24C4786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本项目情况</w:t>
            </w:r>
          </w:p>
        </w:tc>
        <w:tc>
          <w:tcPr>
            <w:tcW w:w="219" w:type="pct"/>
            <w:vAlign w:val="center"/>
          </w:tcPr>
          <w:p w14:paraId="3DFAAFC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符合性分析</w:t>
            </w:r>
          </w:p>
        </w:tc>
      </w:tr>
      <w:tr w14:paraId="22C1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restart"/>
            <w:shd w:val="clear" w:color="auto" w:fill="auto"/>
            <w:vAlign w:val="center"/>
          </w:tcPr>
          <w:p w14:paraId="6B143C6F">
            <w:pPr>
              <w:widowControl/>
              <w:adjustRightInd w:val="0"/>
              <w:snapToGrid w:val="0"/>
              <w:spacing w:line="360" w:lineRule="exact"/>
              <w:ind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若羌</w:t>
            </w:r>
            <w:r>
              <w:rPr>
                <w:rFonts w:hint="default" w:ascii="Times New Roman" w:hAnsi="Times New Roman" w:cs="Times New Roman"/>
                <w:color w:val="auto"/>
                <w:kern w:val="0"/>
                <w:sz w:val="21"/>
                <w:szCs w:val="21"/>
                <w:highlight w:val="none"/>
              </w:rPr>
              <w:t>县一般管控单元</w:t>
            </w:r>
          </w:p>
          <w:p w14:paraId="5CDBDB74">
            <w:pPr>
              <w:widowControl/>
              <w:adjustRightInd w:val="0"/>
              <w:snapToGrid w:val="0"/>
              <w:spacing w:line="360" w:lineRule="exact"/>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eastAsia="zh-CN"/>
              </w:rPr>
              <w:t>（</w:t>
            </w:r>
            <w:r>
              <w:rPr>
                <w:rFonts w:hint="default" w:ascii="Times New Roman" w:hAnsi="Times New Roman" w:cs="Times New Roman"/>
                <w:color w:val="auto"/>
                <w:kern w:val="0"/>
                <w:sz w:val="21"/>
                <w:szCs w:val="21"/>
                <w:highlight w:val="none"/>
                <w:lang w:val="en-US" w:eastAsia="zh-CN"/>
              </w:rPr>
              <w:t>ZH65282430001）</w:t>
            </w:r>
          </w:p>
        </w:tc>
        <w:tc>
          <w:tcPr>
            <w:tcW w:w="378" w:type="pct"/>
            <w:vMerge w:val="restart"/>
            <w:vAlign w:val="center"/>
          </w:tcPr>
          <w:p w14:paraId="06BEBF70">
            <w:pPr>
              <w:widowControl/>
              <w:adjustRightInd w:val="0"/>
              <w:snapToGrid w:val="0"/>
              <w:spacing w:line="360" w:lineRule="exact"/>
              <w:ind w:firstLine="0" w:firstLineChars="0"/>
              <w:jc w:val="center"/>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一般管控单元</w:t>
            </w:r>
          </w:p>
        </w:tc>
        <w:tc>
          <w:tcPr>
            <w:tcW w:w="204" w:type="pct"/>
            <w:vMerge w:val="restart"/>
            <w:vAlign w:val="center"/>
          </w:tcPr>
          <w:p w14:paraId="0B37596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空间布局约束</w:t>
            </w:r>
          </w:p>
        </w:tc>
        <w:tc>
          <w:tcPr>
            <w:tcW w:w="2438" w:type="pct"/>
            <w:vAlign w:val="center"/>
          </w:tcPr>
          <w:p w14:paraId="64171F00">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1.建设项目用地原则上不得占用基本农田，确需占用基本农田的建设项目须符合《中华人民共和国基本农田保护条例》中相关要求，占用耕地、林地或草地的建设项目须按照国家、自治区相关补偿要求进行补偿。</w:t>
            </w:r>
          </w:p>
        </w:tc>
        <w:tc>
          <w:tcPr>
            <w:tcW w:w="1370" w:type="pct"/>
            <w:vAlign w:val="center"/>
          </w:tcPr>
          <w:p w14:paraId="7B928B91">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本项目区为新建矿山，不占用基本农田。</w:t>
            </w:r>
          </w:p>
        </w:tc>
        <w:tc>
          <w:tcPr>
            <w:tcW w:w="219" w:type="pct"/>
            <w:vAlign w:val="center"/>
          </w:tcPr>
          <w:p w14:paraId="05071AA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99F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2BD94BEE">
            <w:pPr>
              <w:pStyle w:val="17"/>
              <w:bidi w:val="0"/>
              <w:rPr>
                <w:rFonts w:hint="default" w:ascii="Times New Roman" w:hAnsi="Times New Roman" w:cs="Times New Roman"/>
                <w:color w:val="auto"/>
                <w:highlight w:val="none"/>
              </w:rPr>
            </w:pPr>
          </w:p>
        </w:tc>
        <w:tc>
          <w:tcPr>
            <w:tcW w:w="378" w:type="pct"/>
            <w:vMerge w:val="continue"/>
            <w:vAlign w:val="center"/>
          </w:tcPr>
          <w:p w14:paraId="3CD829D4">
            <w:pPr>
              <w:pStyle w:val="17"/>
              <w:bidi w:val="0"/>
              <w:rPr>
                <w:rFonts w:hint="default" w:ascii="Times New Roman" w:hAnsi="Times New Roman" w:cs="Times New Roman"/>
                <w:color w:val="auto"/>
                <w:highlight w:val="none"/>
              </w:rPr>
            </w:pPr>
          </w:p>
        </w:tc>
        <w:tc>
          <w:tcPr>
            <w:tcW w:w="204" w:type="pct"/>
            <w:vMerge w:val="continue"/>
            <w:vAlign w:val="center"/>
          </w:tcPr>
          <w:p w14:paraId="5C5C2BBA">
            <w:pPr>
              <w:pStyle w:val="17"/>
              <w:bidi w:val="0"/>
              <w:rPr>
                <w:rFonts w:hint="default" w:ascii="Times New Roman" w:hAnsi="Times New Roman" w:cs="Times New Roman"/>
                <w:color w:val="auto"/>
                <w:highlight w:val="none"/>
              </w:rPr>
            </w:pPr>
          </w:p>
        </w:tc>
        <w:tc>
          <w:tcPr>
            <w:tcW w:w="2438" w:type="pct"/>
            <w:vAlign w:val="center"/>
          </w:tcPr>
          <w:p w14:paraId="17C87C95">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tc>
        <w:tc>
          <w:tcPr>
            <w:tcW w:w="1370" w:type="pct"/>
            <w:vAlign w:val="center"/>
          </w:tcPr>
          <w:p w14:paraId="52228966">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本项目属于新建矿山，不属于违反资源环境法律法规、规划，污染环境、破坏生态、乱采滥挖的露天矿山。</w:t>
            </w:r>
          </w:p>
        </w:tc>
        <w:tc>
          <w:tcPr>
            <w:tcW w:w="219" w:type="pct"/>
            <w:vAlign w:val="center"/>
          </w:tcPr>
          <w:p w14:paraId="5FD938D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1C91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654765E7">
            <w:pPr>
              <w:pStyle w:val="17"/>
              <w:bidi w:val="0"/>
              <w:rPr>
                <w:rFonts w:hint="default" w:ascii="Times New Roman" w:hAnsi="Times New Roman" w:cs="Times New Roman"/>
                <w:color w:val="auto"/>
                <w:highlight w:val="none"/>
              </w:rPr>
            </w:pPr>
          </w:p>
        </w:tc>
        <w:tc>
          <w:tcPr>
            <w:tcW w:w="378" w:type="pct"/>
            <w:vMerge w:val="continue"/>
            <w:vAlign w:val="center"/>
          </w:tcPr>
          <w:p w14:paraId="6F28BC49">
            <w:pPr>
              <w:pStyle w:val="17"/>
              <w:bidi w:val="0"/>
              <w:rPr>
                <w:rFonts w:hint="default" w:ascii="Times New Roman" w:hAnsi="Times New Roman" w:cs="Times New Roman"/>
                <w:color w:val="auto"/>
                <w:highlight w:val="none"/>
              </w:rPr>
            </w:pPr>
          </w:p>
        </w:tc>
        <w:tc>
          <w:tcPr>
            <w:tcW w:w="204" w:type="pct"/>
            <w:vMerge w:val="continue"/>
            <w:vAlign w:val="center"/>
          </w:tcPr>
          <w:p w14:paraId="13F6E02D">
            <w:pPr>
              <w:pStyle w:val="17"/>
              <w:bidi w:val="0"/>
              <w:rPr>
                <w:rFonts w:hint="default" w:ascii="Times New Roman" w:hAnsi="Times New Roman" w:cs="Times New Roman"/>
                <w:color w:val="auto"/>
                <w:highlight w:val="none"/>
              </w:rPr>
            </w:pPr>
          </w:p>
        </w:tc>
        <w:tc>
          <w:tcPr>
            <w:tcW w:w="2438" w:type="pct"/>
            <w:vAlign w:val="center"/>
          </w:tcPr>
          <w:p w14:paraId="4BA74CA0">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3.永久基本农田集中区域禁止规划新建可能造成土壤污染的建设项目。涉及有毒有害物质可能造成土壤污染的新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改、扩</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建项目，提出并落实土壤和地下水污染防治要求。</w:t>
            </w:r>
          </w:p>
        </w:tc>
        <w:tc>
          <w:tcPr>
            <w:tcW w:w="1370" w:type="pct"/>
            <w:vAlign w:val="center"/>
          </w:tcPr>
          <w:p w14:paraId="24BF8B8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78BA68F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2582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673933C9">
            <w:pPr>
              <w:pStyle w:val="17"/>
              <w:bidi w:val="0"/>
              <w:rPr>
                <w:rFonts w:hint="default" w:ascii="Times New Roman" w:hAnsi="Times New Roman" w:cs="Times New Roman"/>
                <w:color w:val="auto"/>
                <w:highlight w:val="none"/>
              </w:rPr>
            </w:pPr>
          </w:p>
        </w:tc>
        <w:tc>
          <w:tcPr>
            <w:tcW w:w="378" w:type="pct"/>
            <w:vMerge w:val="continue"/>
            <w:vAlign w:val="center"/>
          </w:tcPr>
          <w:p w14:paraId="09B2D841">
            <w:pPr>
              <w:pStyle w:val="17"/>
              <w:bidi w:val="0"/>
              <w:rPr>
                <w:rFonts w:hint="default" w:ascii="Times New Roman" w:hAnsi="Times New Roman" w:cs="Times New Roman"/>
                <w:color w:val="auto"/>
                <w:highlight w:val="none"/>
              </w:rPr>
            </w:pPr>
          </w:p>
        </w:tc>
        <w:tc>
          <w:tcPr>
            <w:tcW w:w="204" w:type="pct"/>
            <w:vMerge w:val="continue"/>
            <w:vAlign w:val="center"/>
          </w:tcPr>
          <w:p w14:paraId="3F4D4B85">
            <w:pPr>
              <w:pStyle w:val="17"/>
              <w:bidi w:val="0"/>
              <w:rPr>
                <w:rFonts w:hint="default" w:ascii="Times New Roman" w:hAnsi="Times New Roman" w:cs="Times New Roman"/>
                <w:color w:val="auto"/>
                <w:highlight w:val="none"/>
              </w:rPr>
            </w:pPr>
          </w:p>
        </w:tc>
        <w:tc>
          <w:tcPr>
            <w:tcW w:w="2438" w:type="pct"/>
            <w:vAlign w:val="center"/>
          </w:tcPr>
          <w:p w14:paraId="6252FC1C">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4.严格执行畜禽养殖禁养区规定，根据区域用地和消纳水平，合理确定养殖规模。</w:t>
            </w:r>
          </w:p>
        </w:tc>
        <w:tc>
          <w:tcPr>
            <w:tcW w:w="1370" w:type="pct"/>
            <w:vAlign w:val="center"/>
          </w:tcPr>
          <w:p w14:paraId="5E6488CE">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4E2071D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1FB0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59FCA603">
            <w:pPr>
              <w:pStyle w:val="17"/>
              <w:bidi w:val="0"/>
              <w:rPr>
                <w:rFonts w:hint="default" w:ascii="Times New Roman" w:hAnsi="Times New Roman" w:cs="Times New Roman"/>
                <w:color w:val="auto"/>
                <w:highlight w:val="none"/>
              </w:rPr>
            </w:pPr>
          </w:p>
        </w:tc>
        <w:tc>
          <w:tcPr>
            <w:tcW w:w="378" w:type="pct"/>
            <w:vMerge w:val="continue"/>
            <w:vAlign w:val="center"/>
          </w:tcPr>
          <w:p w14:paraId="62055FAA">
            <w:pPr>
              <w:pStyle w:val="17"/>
              <w:bidi w:val="0"/>
              <w:rPr>
                <w:rFonts w:hint="default" w:ascii="Times New Roman" w:hAnsi="Times New Roman" w:cs="Times New Roman"/>
                <w:color w:val="auto"/>
                <w:highlight w:val="none"/>
              </w:rPr>
            </w:pPr>
          </w:p>
        </w:tc>
        <w:tc>
          <w:tcPr>
            <w:tcW w:w="204" w:type="pct"/>
            <w:vMerge w:val="continue"/>
            <w:vAlign w:val="center"/>
          </w:tcPr>
          <w:p w14:paraId="1D7EDCE1">
            <w:pPr>
              <w:pStyle w:val="17"/>
              <w:bidi w:val="0"/>
              <w:rPr>
                <w:rFonts w:hint="default" w:ascii="Times New Roman" w:hAnsi="Times New Roman" w:cs="Times New Roman"/>
                <w:color w:val="auto"/>
                <w:highlight w:val="none"/>
              </w:rPr>
            </w:pPr>
          </w:p>
        </w:tc>
        <w:tc>
          <w:tcPr>
            <w:tcW w:w="2438" w:type="pct"/>
            <w:vAlign w:val="center"/>
          </w:tcPr>
          <w:p w14:paraId="36F141EC">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5.禁止向沙漠、滩涂、盐碱地、沼泽地等非法排污、倾倒有毒有害物质。</w:t>
            </w:r>
          </w:p>
        </w:tc>
        <w:tc>
          <w:tcPr>
            <w:tcW w:w="1370" w:type="pct"/>
            <w:vAlign w:val="center"/>
          </w:tcPr>
          <w:p w14:paraId="44B74236">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本项目生产废水循环利用不外排，生活污水处理后用于厂区绿化，不外排。</w:t>
            </w:r>
          </w:p>
        </w:tc>
        <w:tc>
          <w:tcPr>
            <w:tcW w:w="219" w:type="pct"/>
            <w:vAlign w:val="center"/>
          </w:tcPr>
          <w:p w14:paraId="05BC66E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E10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75C1934E">
            <w:pPr>
              <w:pStyle w:val="17"/>
              <w:bidi w:val="0"/>
              <w:rPr>
                <w:rFonts w:hint="default" w:ascii="Times New Roman" w:hAnsi="Times New Roman" w:cs="Times New Roman"/>
                <w:color w:val="auto"/>
                <w:highlight w:val="none"/>
              </w:rPr>
            </w:pPr>
          </w:p>
        </w:tc>
        <w:tc>
          <w:tcPr>
            <w:tcW w:w="378" w:type="pct"/>
            <w:vMerge w:val="continue"/>
            <w:vAlign w:val="center"/>
          </w:tcPr>
          <w:p w14:paraId="3275527F">
            <w:pPr>
              <w:pStyle w:val="17"/>
              <w:bidi w:val="0"/>
              <w:rPr>
                <w:rFonts w:hint="default" w:ascii="Times New Roman" w:hAnsi="Times New Roman" w:cs="Times New Roman"/>
                <w:color w:val="auto"/>
                <w:highlight w:val="none"/>
              </w:rPr>
            </w:pPr>
          </w:p>
        </w:tc>
        <w:tc>
          <w:tcPr>
            <w:tcW w:w="204" w:type="pct"/>
            <w:vMerge w:val="continue"/>
            <w:vAlign w:val="center"/>
          </w:tcPr>
          <w:p w14:paraId="1779E036">
            <w:pPr>
              <w:pStyle w:val="17"/>
              <w:bidi w:val="0"/>
              <w:rPr>
                <w:rFonts w:hint="default" w:ascii="Times New Roman" w:hAnsi="Times New Roman" w:cs="Times New Roman"/>
                <w:color w:val="auto"/>
                <w:highlight w:val="none"/>
              </w:rPr>
            </w:pPr>
          </w:p>
        </w:tc>
        <w:tc>
          <w:tcPr>
            <w:tcW w:w="2438" w:type="pct"/>
            <w:vAlign w:val="center"/>
          </w:tcPr>
          <w:p w14:paraId="56AA8F67">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6.禁止利用渗坑、裂隙、溶洞或者采用稀释等方法处置危险废物。</w:t>
            </w:r>
          </w:p>
        </w:tc>
        <w:tc>
          <w:tcPr>
            <w:tcW w:w="1370" w:type="pct"/>
            <w:vAlign w:val="center"/>
          </w:tcPr>
          <w:p w14:paraId="0DD0EC27">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项目区设</w:t>
            </w:r>
            <w:r>
              <w:rPr>
                <w:rFonts w:hint="default" w:ascii="Times New Roman" w:hAnsi="Times New Roman" w:cs="Times New Roman"/>
                <w:color w:val="auto"/>
                <w:highlight w:val="none"/>
                <w:lang w:eastAsia="zh-CN"/>
              </w:rPr>
              <w:t>危废贮存库</w:t>
            </w:r>
            <w:r>
              <w:rPr>
                <w:rFonts w:hint="default" w:ascii="Times New Roman" w:hAnsi="Times New Roman" w:cs="Times New Roman"/>
                <w:color w:val="auto"/>
                <w:highlight w:val="none"/>
              </w:rPr>
              <w:t>，产生的危险废物暂存后委托有危险废物处置资质单位进行处置。</w:t>
            </w:r>
          </w:p>
        </w:tc>
        <w:tc>
          <w:tcPr>
            <w:tcW w:w="219" w:type="pct"/>
            <w:vAlign w:val="center"/>
          </w:tcPr>
          <w:p w14:paraId="4C2ACC4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7804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25A23DE3">
            <w:pPr>
              <w:pStyle w:val="17"/>
              <w:bidi w:val="0"/>
              <w:rPr>
                <w:rFonts w:hint="default" w:ascii="Times New Roman" w:hAnsi="Times New Roman" w:cs="Times New Roman"/>
                <w:color w:val="auto"/>
                <w:highlight w:val="none"/>
              </w:rPr>
            </w:pPr>
          </w:p>
        </w:tc>
        <w:tc>
          <w:tcPr>
            <w:tcW w:w="378" w:type="pct"/>
            <w:vMerge w:val="continue"/>
            <w:vAlign w:val="center"/>
          </w:tcPr>
          <w:p w14:paraId="7436C1B0">
            <w:pPr>
              <w:pStyle w:val="17"/>
              <w:bidi w:val="0"/>
              <w:rPr>
                <w:rFonts w:hint="default" w:ascii="Times New Roman" w:hAnsi="Times New Roman" w:cs="Times New Roman"/>
                <w:color w:val="auto"/>
                <w:highlight w:val="none"/>
              </w:rPr>
            </w:pPr>
          </w:p>
        </w:tc>
        <w:tc>
          <w:tcPr>
            <w:tcW w:w="204" w:type="pct"/>
            <w:vMerge w:val="continue"/>
            <w:vAlign w:val="center"/>
          </w:tcPr>
          <w:p w14:paraId="6DEA1DEC">
            <w:pPr>
              <w:pStyle w:val="17"/>
              <w:bidi w:val="0"/>
              <w:rPr>
                <w:rFonts w:hint="default" w:ascii="Times New Roman" w:hAnsi="Times New Roman" w:cs="Times New Roman"/>
                <w:color w:val="auto"/>
                <w:highlight w:val="none"/>
              </w:rPr>
            </w:pPr>
          </w:p>
        </w:tc>
        <w:tc>
          <w:tcPr>
            <w:tcW w:w="2438" w:type="pct"/>
            <w:vAlign w:val="center"/>
          </w:tcPr>
          <w:p w14:paraId="3D54FB4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7.金属和非金属矿山采选企业新建、改建、扩建执行《新疆维吾尔自治区重点行业环境准入条件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修订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》相关要求。</w:t>
            </w:r>
          </w:p>
        </w:tc>
        <w:tc>
          <w:tcPr>
            <w:tcW w:w="1370" w:type="pct"/>
            <w:vAlign w:val="center"/>
          </w:tcPr>
          <w:p w14:paraId="300E5D7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项目符合《新疆维吾尔自治区重点行业生态环境准入条件（2024年）》。</w:t>
            </w:r>
          </w:p>
        </w:tc>
        <w:tc>
          <w:tcPr>
            <w:tcW w:w="219" w:type="pct"/>
            <w:vAlign w:val="center"/>
          </w:tcPr>
          <w:p w14:paraId="600098D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67C1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2583964B">
            <w:pPr>
              <w:pStyle w:val="17"/>
              <w:bidi w:val="0"/>
              <w:rPr>
                <w:rFonts w:hint="default" w:ascii="Times New Roman" w:hAnsi="Times New Roman" w:cs="Times New Roman"/>
                <w:color w:val="auto"/>
                <w:highlight w:val="none"/>
              </w:rPr>
            </w:pPr>
          </w:p>
        </w:tc>
        <w:tc>
          <w:tcPr>
            <w:tcW w:w="378" w:type="pct"/>
            <w:vMerge w:val="continue"/>
            <w:vAlign w:val="center"/>
          </w:tcPr>
          <w:p w14:paraId="2472E4E2">
            <w:pPr>
              <w:pStyle w:val="17"/>
              <w:bidi w:val="0"/>
              <w:rPr>
                <w:rFonts w:hint="default" w:ascii="Times New Roman" w:hAnsi="Times New Roman" w:cs="Times New Roman"/>
                <w:color w:val="auto"/>
                <w:highlight w:val="none"/>
              </w:rPr>
            </w:pPr>
          </w:p>
        </w:tc>
        <w:tc>
          <w:tcPr>
            <w:tcW w:w="204" w:type="pct"/>
            <w:vMerge w:val="restart"/>
            <w:vAlign w:val="center"/>
          </w:tcPr>
          <w:p w14:paraId="249AE3B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污染排放管控</w:t>
            </w:r>
          </w:p>
        </w:tc>
        <w:tc>
          <w:tcPr>
            <w:tcW w:w="2438" w:type="pct"/>
            <w:vAlign w:val="center"/>
          </w:tcPr>
          <w:p w14:paraId="4F7F854D">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1.强化畜禽粪污资源化利用，改善养殖场通风环境，提高畜禽粪污综合利用率，减少氨挥发排放。鼓励和支持散养密集区实行畜禽粪污分户收集、集中处理。</w:t>
            </w:r>
          </w:p>
        </w:tc>
        <w:tc>
          <w:tcPr>
            <w:tcW w:w="1370" w:type="pct"/>
            <w:vAlign w:val="center"/>
          </w:tcPr>
          <w:p w14:paraId="1F996156">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本项目为萤石矿采选项目，不涉及畜禽养殖。</w:t>
            </w:r>
          </w:p>
        </w:tc>
        <w:tc>
          <w:tcPr>
            <w:tcW w:w="219" w:type="pct"/>
            <w:vAlign w:val="center"/>
          </w:tcPr>
          <w:p w14:paraId="5E487D3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2F10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6C7DEEAC">
            <w:pPr>
              <w:pStyle w:val="17"/>
              <w:bidi w:val="0"/>
              <w:rPr>
                <w:rFonts w:hint="default" w:ascii="Times New Roman" w:hAnsi="Times New Roman" w:cs="Times New Roman"/>
                <w:color w:val="auto"/>
                <w:highlight w:val="none"/>
              </w:rPr>
            </w:pPr>
          </w:p>
        </w:tc>
        <w:tc>
          <w:tcPr>
            <w:tcW w:w="378" w:type="pct"/>
            <w:vMerge w:val="continue"/>
            <w:vAlign w:val="center"/>
          </w:tcPr>
          <w:p w14:paraId="19705433">
            <w:pPr>
              <w:pStyle w:val="17"/>
              <w:bidi w:val="0"/>
              <w:rPr>
                <w:rFonts w:hint="default" w:ascii="Times New Roman" w:hAnsi="Times New Roman" w:cs="Times New Roman"/>
                <w:color w:val="auto"/>
                <w:highlight w:val="none"/>
              </w:rPr>
            </w:pPr>
          </w:p>
        </w:tc>
        <w:tc>
          <w:tcPr>
            <w:tcW w:w="204" w:type="pct"/>
            <w:vMerge w:val="continue"/>
            <w:vAlign w:val="center"/>
          </w:tcPr>
          <w:p w14:paraId="54F1F367">
            <w:pPr>
              <w:pStyle w:val="17"/>
              <w:bidi w:val="0"/>
              <w:rPr>
                <w:rFonts w:hint="default" w:ascii="Times New Roman" w:hAnsi="Times New Roman" w:cs="Times New Roman"/>
                <w:color w:val="auto"/>
                <w:highlight w:val="none"/>
              </w:rPr>
            </w:pPr>
          </w:p>
        </w:tc>
        <w:tc>
          <w:tcPr>
            <w:tcW w:w="2438" w:type="pct"/>
            <w:vAlign w:val="center"/>
          </w:tcPr>
          <w:p w14:paraId="2E389354">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2.严格控制林地、草地、园地农药使用量，禁止使用高毒、高残留农药。</w:t>
            </w:r>
          </w:p>
        </w:tc>
        <w:tc>
          <w:tcPr>
            <w:tcW w:w="1370" w:type="pct"/>
            <w:vAlign w:val="center"/>
          </w:tcPr>
          <w:p w14:paraId="11789472">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685C9B7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2007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6DEFF2EB">
            <w:pPr>
              <w:pStyle w:val="17"/>
              <w:bidi w:val="0"/>
              <w:rPr>
                <w:rFonts w:hint="default" w:ascii="Times New Roman" w:hAnsi="Times New Roman" w:cs="Times New Roman"/>
                <w:color w:val="auto"/>
                <w:highlight w:val="none"/>
              </w:rPr>
            </w:pPr>
          </w:p>
        </w:tc>
        <w:tc>
          <w:tcPr>
            <w:tcW w:w="378" w:type="pct"/>
            <w:vMerge w:val="continue"/>
            <w:vAlign w:val="center"/>
          </w:tcPr>
          <w:p w14:paraId="782E1B89">
            <w:pPr>
              <w:pStyle w:val="17"/>
              <w:bidi w:val="0"/>
              <w:rPr>
                <w:rFonts w:hint="default" w:ascii="Times New Roman" w:hAnsi="Times New Roman" w:cs="Times New Roman"/>
                <w:color w:val="auto"/>
                <w:highlight w:val="none"/>
              </w:rPr>
            </w:pPr>
          </w:p>
        </w:tc>
        <w:tc>
          <w:tcPr>
            <w:tcW w:w="204" w:type="pct"/>
            <w:vMerge w:val="continue"/>
            <w:vAlign w:val="center"/>
          </w:tcPr>
          <w:p w14:paraId="33A9586B">
            <w:pPr>
              <w:pStyle w:val="17"/>
              <w:bidi w:val="0"/>
              <w:rPr>
                <w:rFonts w:hint="default" w:ascii="Times New Roman" w:hAnsi="Times New Roman" w:cs="Times New Roman"/>
                <w:color w:val="auto"/>
                <w:highlight w:val="none"/>
              </w:rPr>
            </w:pPr>
          </w:p>
        </w:tc>
        <w:tc>
          <w:tcPr>
            <w:tcW w:w="2438" w:type="pct"/>
            <w:vAlign w:val="center"/>
          </w:tcPr>
          <w:p w14:paraId="10C976B7">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tc>
        <w:tc>
          <w:tcPr>
            <w:tcW w:w="1370" w:type="pct"/>
            <w:vAlign w:val="center"/>
          </w:tcPr>
          <w:p w14:paraId="7B5C8DCB">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5C64F63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4485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7828CF1A">
            <w:pPr>
              <w:pStyle w:val="17"/>
              <w:bidi w:val="0"/>
              <w:rPr>
                <w:rFonts w:hint="default" w:ascii="Times New Roman" w:hAnsi="Times New Roman" w:cs="Times New Roman"/>
                <w:color w:val="auto"/>
                <w:highlight w:val="none"/>
              </w:rPr>
            </w:pPr>
          </w:p>
        </w:tc>
        <w:tc>
          <w:tcPr>
            <w:tcW w:w="378" w:type="pct"/>
            <w:vMerge w:val="continue"/>
            <w:vAlign w:val="center"/>
          </w:tcPr>
          <w:p w14:paraId="7D1CE93E">
            <w:pPr>
              <w:pStyle w:val="17"/>
              <w:bidi w:val="0"/>
              <w:rPr>
                <w:rFonts w:hint="default" w:ascii="Times New Roman" w:hAnsi="Times New Roman" w:cs="Times New Roman"/>
                <w:color w:val="auto"/>
                <w:highlight w:val="none"/>
              </w:rPr>
            </w:pPr>
          </w:p>
        </w:tc>
        <w:tc>
          <w:tcPr>
            <w:tcW w:w="204" w:type="pct"/>
            <w:vMerge w:val="continue"/>
            <w:vAlign w:val="center"/>
          </w:tcPr>
          <w:p w14:paraId="7B01B6F4">
            <w:pPr>
              <w:pStyle w:val="17"/>
              <w:bidi w:val="0"/>
              <w:rPr>
                <w:rFonts w:hint="default" w:ascii="Times New Roman" w:hAnsi="Times New Roman" w:cs="Times New Roman"/>
                <w:color w:val="auto"/>
                <w:highlight w:val="none"/>
              </w:rPr>
            </w:pPr>
          </w:p>
        </w:tc>
        <w:tc>
          <w:tcPr>
            <w:tcW w:w="2438" w:type="pct"/>
            <w:vAlign w:val="center"/>
          </w:tcPr>
          <w:p w14:paraId="46E92104">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4.对化学品生产企业、工业集聚区、尾矿库、矿山开采区、危险废物处置场、垃圾填埋场等地下水污染源及周边区域，逐步开展地下水环境状况调查评估，加强风险管控。</w:t>
            </w:r>
          </w:p>
        </w:tc>
        <w:tc>
          <w:tcPr>
            <w:tcW w:w="1370" w:type="pct"/>
            <w:vAlign w:val="center"/>
          </w:tcPr>
          <w:p w14:paraId="2E54F61C">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本项目为矿山采选项目，采取分区防控措施，避免对地下水的污染，同时加强风险管控。</w:t>
            </w:r>
          </w:p>
        </w:tc>
        <w:tc>
          <w:tcPr>
            <w:tcW w:w="219" w:type="pct"/>
            <w:vAlign w:val="center"/>
          </w:tcPr>
          <w:p w14:paraId="501629B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718B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0770D58C">
            <w:pPr>
              <w:pStyle w:val="17"/>
              <w:bidi w:val="0"/>
              <w:rPr>
                <w:rFonts w:hint="default" w:ascii="Times New Roman" w:hAnsi="Times New Roman" w:cs="Times New Roman"/>
                <w:color w:val="auto"/>
                <w:highlight w:val="none"/>
              </w:rPr>
            </w:pPr>
          </w:p>
        </w:tc>
        <w:tc>
          <w:tcPr>
            <w:tcW w:w="378" w:type="pct"/>
            <w:vMerge w:val="continue"/>
            <w:vAlign w:val="center"/>
          </w:tcPr>
          <w:p w14:paraId="5A4D8E52">
            <w:pPr>
              <w:pStyle w:val="17"/>
              <w:bidi w:val="0"/>
              <w:rPr>
                <w:rFonts w:hint="default" w:ascii="Times New Roman" w:hAnsi="Times New Roman" w:cs="Times New Roman"/>
                <w:color w:val="auto"/>
                <w:highlight w:val="none"/>
              </w:rPr>
            </w:pPr>
          </w:p>
        </w:tc>
        <w:tc>
          <w:tcPr>
            <w:tcW w:w="204" w:type="pct"/>
            <w:vMerge w:val="continue"/>
            <w:vAlign w:val="center"/>
          </w:tcPr>
          <w:p w14:paraId="45075DA7">
            <w:pPr>
              <w:pStyle w:val="17"/>
              <w:bidi w:val="0"/>
              <w:rPr>
                <w:rFonts w:hint="default" w:ascii="Times New Roman" w:hAnsi="Times New Roman" w:cs="Times New Roman"/>
                <w:color w:val="auto"/>
                <w:highlight w:val="none"/>
              </w:rPr>
            </w:pPr>
          </w:p>
        </w:tc>
        <w:tc>
          <w:tcPr>
            <w:tcW w:w="2438" w:type="pct"/>
            <w:vAlign w:val="center"/>
          </w:tcPr>
          <w:p w14:paraId="0F3DB128">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5.严控土壤重金属污染，加强油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气</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田开发土壤污染防治，以历史遗留工业企业污染场地为重点，开展土壤污染风险管控与修复工程。</w:t>
            </w:r>
          </w:p>
        </w:tc>
        <w:tc>
          <w:tcPr>
            <w:tcW w:w="1370" w:type="pct"/>
            <w:vAlign w:val="center"/>
          </w:tcPr>
          <w:p w14:paraId="3F7718ED">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579C709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5690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055C614B">
            <w:pPr>
              <w:pStyle w:val="17"/>
              <w:bidi w:val="0"/>
              <w:rPr>
                <w:rFonts w:hint="default" w:ascii="Times New Roman" w:hAnsi="Times New Roman" w:cs="Times New Roman"/>
                <w:color w:val="auto"/>
                <w:highlight w:val="none"/>
              </w:rPr>
            </w:pPr>
          </w:p>
        </w:tc>
        <w:tc>
          <w:tcPr>
            <w:tcW w:w="378" w:type="pct"/>
            <w:vMerge w:val="continue"/>
            <w:vAlign w:val="center"/>
          </w:tcPr>
          <w:p w14:paraId="62713A49">
            <w:pPr>
              <w:pStyle w:val="17"/>
              <w:bidi w:val="0"/>
              <w:rPr>
                <w:rFonts w:hint="default" w:ascii="Times New Roman" w:hAnsi="Times New Roman" w:cs="Times New Roman"/>
                <w:color w:val="auto"/>
                <w:highlight w:val="none"/>
              </w:rPr>
            </w:pPr>
          </w:p>
        </w:tc>
        <w:tc>
          <w:tcPr>
            <w:tcW w:w="204" w:type="pct"/>
            <w:vMerge w:val="continue"/>
            <w:vAlign w:val="center"/>
          </w:tcPr>
          <w:p w14:paraId="33B233DD">
            <w:pPr>
              <w:pStyle w:val="17"/>
              <w:bidi w:val="0"/>
              <w:rPr>
                <w:rFonts w:hint="default" w:ascii="Times New Roman" w:hAnsi="Times New Roman" w:cs="Times New Roman"/>
                <w:color w:val="auto"/>
                <w:highlight w:val="none"/>
              </w:rPr>
            </w:pPr>
          </w:p>
        </w:tc>
        <w:tc>
          <w:tcPr>
            <w:tcW w:w="2438" w:type="pct"/>
            <w:vAlign w:val="center"/>
          </w:tcPr>
          <w:p w14:paraId="5094E2C5">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6.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tc>
        <w:tc>
          <w:tcPr>
            <w:tcW w:w="1370" w:type="pct"/>
            <w:vAlign w:val="center"/>
          </w:tcPr>
          <w:p w14:paraId="64825F1A">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37F527E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6207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2D96D30E">
            <w:pPr>
              <w:pStyle w:val="17"/>
              <w:bidi w:val="0"/>
              <w:rPr>
                <w:rFonts w:hint="default" w:ascii="Times New Roman" w:hAnsi="Times New Roman" w:cs="Times New Roman"/>
                <w:color w:val="auto"/>
                <w:highlight w:val="none"/>
              </w:rPr>
            </w:pPr>
          </w:p>
        </w:tc>
        <w:tc>
          <w:tcPr>
            <w:tcW w:w="378" w:type="pct"/>
            <w:vMerge w:val="continue"/>
            <w:vAlign w:val="center"/>
          </w:tcPr>
          <w:p w14:paraId="5B338AAF">
            <w:pPr>
              <w:pStyle w:val="17"/>
              <w:bidi w:val="0"/>
              <w:rPr>
                <w:rFonts w:hint="default" w:ascii="Times New Roman" w:hAnsi="Times New Roman" w:cs="Times New Roman"/>
                <w:color w:val="auto"/>
                <w:highlight w:val="none"/>
              </w:rPr>
            </w:pPr>
          </w:p>
        </w:tc>
        <w:tc>
          <w:tcPr>
            <w:tcW w:w="204" w:type="pct"/>
            <w:vMerge w:val="continue"/>
            <w:vAlign w:val="center"/>
          </w:tcPr>
          <w:p w14:paraId="52BC0A40">
            <w:pPr>
              <w:pStyle w:val="17"/>
              <w:bidi w:val="0"/>
              <w:rPr>
                <w:rFonts w:hint="default" w:ascii="Times New Roman" w:hAnsi="Times New Roman" w:cs="Times New Roman"/>
                <w:color w:val="auto"/>
                <w:highlight w:val="none"/>
              </w:rPr>
            </w:pPr>
          </w:p>
        </w:tc>
        <w:tc>
          <w:tcPr>
            <w:tcW w:w="2438" w:type="pct"/>
            <w:vAlign w:val="center"/>
          </w:tcPr>
          <w:p w14:paraId="5802F72C">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7.矿山采选污染物排放执行相应行业标准。稳步推进废水循环利用技术改造升级。采选产生废水排放有行业标准的执行行业标准，否则执行《污水综合排放标准》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GB8978</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采选活动矿石转运、破碎、筛分等粉尘产生工序，应配备抑尘、除尘设备，除尘效率不低于99%，有效控制无组织粉尘排放。采选矿各环节废气排放有行业标准的执行行业标准，否则执行《大气污染物综合排放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GB16297</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。一般固体废弃物应根据《一般工业固体废物贮存、处置场污染控制标准》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GB18599</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进行管理，属危险废物的按危险废物相关要求依法进行管理，其贮存设施须符合《危险废物贮存污染控制标准》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GB18597</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。矿山生态环境保护和恢复要达到《矿山生态环境保护与恢复治理技术规范》</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HJ651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及其他有关环保法律法规的相关要求。</w:t>
            </w:r>
          </w:p>
        </w:tc>
        <w:tc>
          <w:tcPr>
            <w:tcW w:w="1370" w:type="pct"/>
            <w:vAlign w:val="center"/>
          </w:tcPr>
          <w:p w14:paraId="7A8739C7">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矿山采选产生的</w:t>
            </w:r>
            <w:r>
              <w:rPr>
                <w:rFonts w:hint="eastAsia" w:cs="Times New Roman"/>
                <w:color w:val="auto"/>
                <w:highlight w:val="none"/>
                <w:lang w:eastAsia="zh-CN"/>
              </w:rPr>
              <w:t>废水处理</w:t>
            </w:r>
            <w:r>
              <w:rPr>
                <w:rFonts w:hint="eastAsia" w:cs="Times New Roman"/>
                <w:color w:val="auto"/>
                <w:highlight w:val="none"/>
                <w:lang w:val="en-US" w:eastAsia="zh-CN"/>
              </w:rPr>
              <w:t>后用于生产，</w:t>
            </w:r>
            <w:r>
              <w:rPr>
                <w:rFonts w:hint="default" w:ascii="Times New Roman" w:hAnsi="Times New Roman" w:cs="Times New Roman"/>
                <w:color w:val="auto"/>
                <w:highlight w:val="none"/>
              </w:rPr>
              <w:t>不外排；项目选矿废水“闭路循环”，全部回用；生活污水达标处理后回用于选矿生产工序循环利用及绿化，不外排。矿石转运、破碎、筛分等粉尘产生工序，配备抑尘、除尘设备，除尘效率不低于99%，大气污染排放执行《大气污染物综合排放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GB16297-96</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表 2中新污染源大气污染物排放限值二级标准及无组织排放标准限值。固体废物执行《一般工业固体废物贮存和填埋污染控制标准》（GB18599-2020）中的相关要求。项目设危废</w:t>
            </w:r>
            <w:r>
              <w:rPr>
                <w:rFonts w:hint="eastAsia" w:cs="Times New Roman"/>
                <w:color w:val="auto"/>
                <w:highlight w:val="none"/>
                <w:lang w:val="en-US" w:eastAsia="zh-CN"/>
              </w:rPr>
              <w:t>贮存库</w:t>
            </w:r>
            <w:r>
              <w:rPr>
                <w:rFonts w:hint="default" w:ascii="Times New Roman" w:hAnsi="Times New Roman" w:cs="Times New Roman"/>
                <w:color w:val="auto"/>
                <w:highlight w:val="none"/>
              </w:rPr>
              <w:t>，执行《危险废物贮存污染控制标准》（GB18597-2023）。建设单位已编制《矿产资源开发利用与生态保护修复方案》。</w:t>
            </w:r>
          </w:p>
        </w:tc>
        <w:tc>
          <w:tcPr>
            <w:tcW w:w="219" w:type="pct"/>
            <w:vAlign w:val="center"/>
          </w:tcPr>
          <w:p w14:paraId="5BE3A56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815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77995FEE">
            <w:pPr>
              <w:pStyle w:val="17"/>
              <w:bidi w:val="0"/>
              <w:rPr>
                <w:rFonts w:hint="default" w:ascii="Times New Roman" w:hAnsi="Times New Roman" w:cs="Times New Roman"/>
                <w:color w:val="auto"/>
                <w:highlight w:val="none"/>
              </w:rPr>
            </w:pPr>
          </w:p>
        </w:tc>
        <w:tc>
          <w:tcPr>
            <w:tcW w:w="378" w:type="pct"/>
            <w:vMerge w:val="continue"/>
            <w:vAlign w:val="center"/>
          </w:tcPr>
          <w:p w14:paraId="1675A81C">
            <w:pPr>
              <w:pStyle w:val="17"/>
              <w:bidi w:val="0"/>
              <w:rPr>
                <w:rFonts w:hint="default" w:ascii="Times New Roman" w:hAnsi="Times New Roman" w:cs="Times New Roman"/>
                <w:color w:val="auto"/>
                <w:highlight w:val="none"/>
              </w:rPr>
            </w:pPr>
          </w:p>
        </w:tc>
        <w:tc>
          <w:tcPr>
            <w:tcW w:w="204" w:type="pct"/>
            <w:vMerge w:val="restart"/>
            <w:vAlign w:val="center"/>
          </w:tcPr>
          <w:p w14:paraId="2F8EAD2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环境风险防控</w:t>
            </w:r>
          </w:p>
        </w:tc>
        <w:tc>
          <w:tcPr>
            <w:tcW w:w="2438" w:type="pct"/>
            <w:vAlign w:val="center"/>
          </w:tcPr>
          <w:p w14:paraId="6901813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1.加强对矿山、油田等矿产资源开采影响区域内未利用地的环境监管，发现土壤污染问题的，要坚决查处，并及时督促有关单位采取有效防治措施消除或减轻污染。</w:t>
            </w:r>
          </w:p>
        </w:tc>
        <w:tc>
          <w:tcPr>
            <w:tcW w:w="1370" w:type="pct"/>
            <w:vAlign w:val="center"/>
          </w:tcPr>
          <w:p w14:paraId="7F3D977C">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本项目属于新建矿山，建设单位将加强环境管理，制定环境监测计划。</w:t>
            </w:r>
          </w:p>
        </w:tc>
        <w:tc>
          <w:tcPr>
            <w:tcW w:w="219" w:type="pct"/>
            <w:vAlign w:val="center"/>
          </w:tcPr>
          <w:p w14:paraId="410B8D7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714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572FD97A">
            <w:pPr>
              <w:pStyle w:val="17"/>
              <w:bidi w:val="0"/>
              <w:rPr>
                <w:rFonts w:hint="default" w:ascii="Times New Roman" w:hAnsi="Times New Roman" w:cs="Times New Roman"/>
                <w:color w:val="auto"/>
                <w:highlight w:val="none"/>
              </w:rPr>
            </w:pPr>
          </w:p>
        </w:tc>
        <w:tc>
          <w:tcPr>
            <w:tcW w:w="378" w:type="pct"/>
            <w:vMerge w:val="continue"/>
            <w:vAlign w:val="center"/>
          </w:tcPr>
          <w:p w14:paraId="7E612356">
            <w:pPr>
              <w:pStyle w:val="17"/>
              <w:bidi w:val="0"/>
              <w:rPr>
                <w:rFonts w:hint="default" w:ascii="Times New Roman" w:hAnsi="Times New Roman" w:cs="Times New Roman"/>
                <w:color w:val="auto"/>
                <w:highlight w:val="none"/>
              </w:rPr>
            </w:pPr>
          </w:p>
        </w:tc>
        <w:tc>
          <w:tcPr>
            <w:tcW w:w="204" w:type="pct"/>
            <w:vMerge w:val="continue"/>
            <w:vAlign w:val="center"/>
          </w:tcPr>
          <w:p w14:paraId="669CBDB1">
            <w:pPr>
              <w:pStyle w:val="17"/>
              <w:bidi w:val="0"/>
              <w:rPr>
                <w:rFonts w:hint="default" w:ascii="Times New Roman" w:hAnsi="Times New Roman" w:cs="Times New Roman"/>
                <w:color w:val="auto"/>
                <w:highlight w:val="none"/>
              </w:rPr>
            </w:pPr>
          </w:p>
        </w:tc>
        <w:tc>
          <w:tcPr>
            <w:tcW w:w="2438" w:type="pct"/>
            <w:vAlign w:val="center"/>
          </w:tcPr>
          <w:p w14:paraId="44998000">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2.对排查出的危库和病库以及风险评估有严重环境安全隐患的尾矿库，要求企业完善污染治理设施、进行治理和修复。全面整治历史遗留尾矿库，完善覆膜、压土、排洪、堤坝加固等隐患治理和闭库措施。</w:t>
            </w:r>
          </w:p>
        </w:tc>
        <w:tc>
          <w:tcPr>
            <w:tcW w:w="1370" w:type="pct"/>
            <w:vAlign w:val="center"/>
          </w:tcPr>
          <w:p w14:paraId="0E3718C0">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5198130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52E1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364EF178">
            <w:pPr>
              <w:pStyle w:val="17"/>
              <w:bidi w:val="0"/>
              <w:rPr>
                <w:rFonts w:hint="default" w:ascii="Times New Roman" w:hAnsi="Times New Roman" w:cs="Times New Roman"/>
                <w:color w:val="auto"/>
                <w:highlight w:val="none"/>
              </w:rPr>
            </w:pPr>
          </w:p>
        </w:tc>
        <w:tc>
          <w:tcPr>
            <w:tcW w:w="378" w:type="pct"/>
            <w:vMerge w:val="continue"/>
            <w:vAlign w:val="center"/>
          </w:tcPr>
          <w:p w14:paraId="2DDA68F8">
            <w:pPr>
              <w:pStyle w:val="17"/>
              <w:bidi w:val="0"/>
              <w:rPr>
                <w:rFonts w:hint="default" w:ascii="Times New Roman" w:hAnsi="Times New Roman" w:cs="Times New Roman"/>
                <w:color w:val="auto"/>
                <w:highlight w:val="none"/>
              </w:rPr>
            </w:pPr>
          </w:p>
        </w:tc>
        <w:tc>
          <w:tcPr>
            <w:tcW w:w="204" w:type="pct"/>
            <w:vMerge w:val="continue"/>
            <w:vAlign w:val="center"/>
          </w:tcPr>
          <w:p w14:paraId="1D1AF924">
            <w:pPr>
              <w:pStyle w:val="17"/>
              <w:bidi w:val="0"/>
              <w:rPr>
                <w:rFonts w:hint="default" w:ascii="Times New Roman" w:hAnsi="Times New Roman" w:cs="Times New Roman"/>
                <w:color w:val="auto"/>
                <w:highlight w:val="none"/>
              </w:rPr>
            </w:pPr>
          </w:p>
        </w:tc>
        <w:tc>
          <w:tcPr>
            <w:tcW w:w="2438" w:type="pct"/>
            <w:vAlign w:val="center"/>
          </w:tcPr>
          <w:p w14:paraId="14288AA5">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3.依法推行农用地分类管理制度，强化受污染耕地安全利用和风险管控。因地制宜制定实施安全利用方案，鼓励采取种植结构调整等措施 ，确保受污染耕地全部实现安全利用。</w:t>
            </w:r>
          </w:p>
        </w:tc>
        <w:tc>
          <w:tcPr>
            <w:tcW w:w="1370" w:type="pct"/>
            <w:vAlign w:val="center"/>
          </w:tcPr>
          <w:p w14:paraId="2BB41C3D">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6F85BD8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0A47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3A9C0779">
            <w:pPr>
              <w:pStyle w:val="17"/>
              <w:bidi w:val="0"/>
              <w:rPr>
                <w:rFonts w:hint="default" w:ascii="Times New Roman" w:hAnsi="Times New Roman" w:cs="Times New Roman"/>
                <w:color w:val="auto"/>
                <w:highlight w:val="none"/>
              </w:rPr>
            </w:pPr>
          </w:p>
        </w:tc>
        <w:tc>
          <w:tcPr>
            <w:tcW w:w="378" w:type="pct"/>
            <w:vMerge w:val="continue"/>
            <w:vAlign w:val="center"/>
          </w:tcPr>
          <w:p w14:paraId="74AC65CD">
            <w:pPr>
              <w:pStyle w:val="17"/>
              <w:bidi w:val="0"/>
              <w:rPr>
                <w:rFonts w:hint="default" w:ascii="Times New Roman" w:hAnsi="Times New Roman" w:cs="Times New Roman"/>
                <w:color w:val="auto"/>
                <w:highlight w:val="none"/>
              </w:rPr>
            </w:pPr>
          </w:p>
        </w:tc>
        <w:tc>
          <w:tcPr>
            <w:tcW w:w="204" w:type="pct"/>
            <w:vMerge w:val="continue"/>
            <w:vAlign w:val="center"/>
          </w:tcPr>
          <w:p w14:paraId="53531841">
            <w:pPr>
              <w:pStyle w:val="17"/>
              <w:bidi w:val="0"/>
              <w:rPr>
                <w:rFonts w:hint="default" w:ascii="Times New Roman" w:hAnsi="Times New Roman" w:cs="Times New Roman"/>
                <w:color w:val="auto"/>
                <w:highlight w:val="none"/>
              </w:rPr>
            </w:pPr>
          </w:p>
        </w:tc>
        <w:tc>
          <w:tcPr>
            <w:tcW w:w="2438" w:type="pct"/>
            <w:vAlign w:val="center"/>
          </w:tcPr>
          <w:p w14:paraId="1AA45AEE">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定期对企业及周边土壤进行监测；对不符合法律法规和相关标准要求的，应当根据监测结果，要求运营单位采取相应改进措施。土壤环境监管重点行业企业拆除生产设施设备、构筑物和污染治理设施，要事先制定残留污染物清理和安全处置方案，并报所在地县级</w:t>
            </w:r>
            <w:r>
              <w:rPr>
                <w:rFonts w:hint="eastAsia" w:cs="Times New Roman"/>
                <w:color w:val="auto"/>
                <w:highlight w:val="none"/>
                <w:lang w:eastAsia="zh-CN"/>
              </w:rPr>
              <w:t>生态环境部门和工业和信息化部</w:t>
            </w:r>
            <w:r>
              <w:rPr>
                <w:rFonts w:hint="default" w:ascii="Times New Roman" w:hAnsi="Times New Roman" w:cs="Times New Roman"/>
                <w:color w:val="auto"/>
                <w:highlight w:val="none"/>
              </w:rPr>
              <w:t>门备案；要严格按照有关规定实施安全处理处置，防范拆除活动污染土壤。</w:t>
            </w:r>
          </w:p>
        </w:tc>
        <w:tc>
          <w:tcPr>
            <w:tcW w:w="1370" w:type="pct"/>
            <w:vAlign w:val="center"/>
          </w:tcPr>
          <w:p w14:paraId="7DD3925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环评提出环境监测计划，对土壤进行监测。</w:t>
            </w:r>
          </w:p>
        </w:tc>
        <w:tc>
          <w:tcPr>
            <w:tcW w:w="219" w:type="pct"/>
            <w:vAlign w:val="center"/>
          </w:tcPr>
          <w:p w14:paraId="5FBFA91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3B42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62A704DD">
            <w:pPr>
              <w:pStyle w:val="17"/>
              <w:bidi w:val="0"/>
              <w:rPr>
                <w:rFonts w:hint="default" w:ascii="Times New Roman" w:hAnsi="Times New Roman" w:cs="Times New Roman"/>
                <w:color w:val="auto"/>
                <w:highlight w:val="none"/>
              </w:rPr>
            </w:pPr>
          </w:p>
        </w:tc>
        <w:tc>
          <w:tcPr>
            <w:tcW w:w="378" w:type="pct"/>
            <w:vMerge w:val="continue"/>
            <w:vAlign w:val="center"/>
          </w:tcPr>
          <w:p w14:paraId="44DA17E9">
            <w:pPr>
              <w:pStyle w:val="17"/>
              <w:bidi w:val="0"/>
              <w:rPr>
                <w:rFonts w:hint="default" w:ascii="Times New Roman" w:hAnsi="Times New Roman" w:cs="Times New Roman"/>
                <w:color w:val="auto"/>
                <w:highlight w:val="none"/>
              </w:rPr>
            </w:pPr>
          </w:p>
        </w:tc>
        <w:tc>
          <w:tcPr>
            <w:tcW w:w="204" w:type="pct"/>
            <w:vMerge w:val="restart"/>
            <w:vAlign w:val="center"/>
          </w:tcPr>
          <w:p w14:paraId="551C3ED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资源开发利用效率</w:t>
            </w:r>
          </w:p>
        </w:tc>
        <w:tc>
          <w:tcPr>
            <w:tcW w:w="2438" w:type="pct"/>
            <w:vAlign w:val="center"/>
          </w:tcPr>
          <w:p w14:paraId="34C196B8">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1.全面推进秸秆综合利用，鼓励秸秆资源化、饲料化、肥料化利用，推动秸秆还田与离田收集。</w:t>
            </w:r>
          </w:p>
        </w:tc>
        <w:tc>
          <w:tcPr>
            <w:tcW w:w="1370" w:type="pct"/>
            <w:vAlign w:val="center"/>
          </w:tcPr>
          <w:p w14:paraId="75681D93">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5AF2129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2F4F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78AD4CF3">
            <w:pPr>
              <w:pStyle w:val="17"/>
              <w:bidi w:val="0"/>
              <w:rPr>
                <w:rFonts w:hint="default" w:ascii="Times New Roman" w:hAnsi="Times New Roman" w:cs="Times New Roman"/>
                <w:color w:val="auto"/>
                <w:highlight w:val="none"/>
              </w:rPr>
            </w:pPr>
          </w:p>
        </w:tc>
        <w:tc>
          <w:tcPr>
            <w:tcW w:w="378" w:type="pct"/>
            <w:vMerge w:val="continue"/>
            <w:vAlign w:val="center"/>
          </w:tcPr>
          <w:p w14:paraId="202EBFFC">
            <w:pPr>
              <w:pStyle w:val="17"/>
              <w:bidi w:val="0"/>
              <w:rPr>
                <w:rFonts w:hint="default" w:ascii="Times New Roman" w:hAnsi="Times New Roman" w:cs="Times New Roman"/>
                <w:color w:val="auto"/>
                <w:highlight w:val="none"/>
              </w:rPr>
            </w:pPr>
          </w:p>
        </w:tc>
        <w:tc>
          <w:tcPr>
            <w:tcW w:w="204" w:type="pct"/>
            <w:vMerge w:val="continue"/>
            <w:vAlign w:val="center"/>
          </w:tcPr>
          <w:p w14:paraId="31618B2F">
            <w:pPr>
              <w:pStyle w:val="17"/>
              <w:bidi w:val="0"/>
              <w:rPr>
                <w:rFonts w:hint="default" w:ascii="Times New Roman" w:hAnsi="Times New Roman" w:cs="Times New Roman"/>
                <w:color w:val="auto"/>
                <w:highlight w:val="none"/>
              </w:rPr>
            </w:pPr>
          </w:p>
        </w:tc>
        <w:tc>
          <w:tcPr>
            <w:tcW w:w="2438" w:type="pct"/>
            <w:vAlign w:val="center"/>
          </w:tcPr>
          <w:p w14:paraId="10D9FC4D">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2.减少化肥农药使用量，增加有机肥使用量，实现化肥农药使用量负增长。</w:t>
            </w:r>
          </w:p>
        </w:tc>
        <w:tc>
          <w:tcPr>
            <w:tcW w:w="1370" w:type="pct"/>
            <w:vAlign w:val="center"/>
          </w:tcPr>
          <w:p w14:paraId="7F6C2962">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3B76032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3E98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142B34F0">
            <w:pPr>
              <w:pStyle w:val="17"/>
              <w:bidi w:val="0"/>
              <w:rPr>
                <w:rFonts w:hint="default" w:ascii="Times New Roman" w:hAnsi="Times New Roman" w:cs="Times New Roman"/>
                <w:color w:val="auto"/>
                <w:highlight w:val="none"/>
              </w:rPr>
            </w:pPr>
          </w:p>
        </w:tc>
        <w:tc>
          <w:tcPr>
            <w:tcW w:w="378" w:type="pct"/>
            <w:vMerge w:val="continue"/>
            <w:vAlign w:val="center"/>
          </w:tcPr>
          <w:p w14:paraId="5DE7E06D">
            <w:pPr>
              <w:pStyle w:val="17"/>
              <w:bidi w:val="0"/>
              <w:rPr>
                <w:rFonts w:hint="default" w:ascii="Times New Roman" w:hAnsi="Times New Roman" w:cs="Times New Roman"/>
                <w:color w:val="auto"/>
                <w:highlight w:val="none"/>
              </w:rPr>
            </w:pPr>
          </w:p>
        </w:tc>
        <w:tc>
          <w:tcPr>
            <w:tcW w:w="204" w:type="pct"/>
            <w:vMerge w:val="continue"/>
            <w:vAlign w:val="center"/>
          </w:tcPr>
          <w:p w14:paraId="09ABA201">
            <w:pPr>
              <w:pStyle w:val="17"/>
              <w:bidi w:val="0"/>
              <w:rPr>
                <w:rFonts w:hint="default" w:ascii="Times New Roman" w:hAnsi="Times New Roman" w:cs="Times New Roman"/>
                <w:color w:val="auto"/>
                <w:highlight w:val="none"/>
              </w:rPr>
            </w:pPr>
          </w:p>
        </w:tc>
        <w:tc>
          <w:tcPr>
            <w:tcW w:w="2438" w:type="pct"/>
            <w:vAlign w:val="center"/>
          </w:tcPr>
          <w:p w14:paraId="576F3358">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3.推广渠道防渗、管道输水、喷灌、微灌等节水灌溉技术，完善灌溉用水计量设施。推进规模化高效节水灌溉，推广农作物节水</w:t>
            </w:r>
            <w:r>
              <w:rPr>
                <w:rFonts w:hint="eastAsia" w:cs="Times New Roman"/>
                <w:color w:val="auto"/>
                <w:highlight w:val="none"/>
                <w:lang w:eastAsia="zh-CN"/>
              </w:rPr>
              <w:t>抗旱</w:t>
            </w:r>
            <w:r>
              <w:rPr>
                <w:rFonts w:hint="default" w:ascii="Times New Roman" w:hAnsi="Times New Roman" w:cs="Times New Roman"/>
                <w:color w:val="auto"/>
                <w:highlight w:val="none"/>
              </w:rPr>
              <w:t>技术。建立灌区墒情测报网络，提高农业用水效率，降低农业用水比重。</w:t>
            </w:r>
          </w:p>
        </w:tc>
        <w:tc>
          <w:tcPr>
            <w:tcW w:w="1370" w:type="pct"/>
            <w:vAlign w:val="center"/>
          </w:tcPr>
          <w:p w14:paraId="1E5BB87E">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highlight w:val="none"/>
              </w:rPr>
              <w:t>不涉及</w:t>
            </w:r>
            <w:r>
              <w:rPr>
                <w:rFonts w:hint="eastAsia" w:cs="Times New Roman"/>
                <w:color w:val="auto"/>
                <w:highlight w:val="none"/>
                <w:lang w:eastAsia="zh-CN"/>
              </w:rPr>
              <w:t>。</w:t>
            </w:r>
          </w:p>
        </w:tc>
        <w:tc>
          <w:tcPr>
            <w:tcW w:w="219" w:type="pct"/>
            <w:vAlign w:val="center"/>
          </w:tcPr>
          <w:p w14:paraId="5289C35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3B98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388" w:type="pct"/>
            <w:vMerge w:val="continue"/>
            <w:vAlign w:val="center"/>
          </w:tcPr>
          <w:p w14:paraId="1A78121F">
            <w:pPr>
              <w:pStyle w:val="17"/>
              <w:bidi w:val="0"/>
              <w:rPr>
                <w:rFonts w:hint="default" w:ascii="Times New Roman" w:hAnsi="Times New Roman" w:cs="Times New Roman"/>
                <w:color w:val="auto"/>
                <w:highlight w:val="none"/>
              </w:rPr>
            </w:pPr>
          </w:p>
        </w:tc>
        <w:tc>
          <w:tcPr>
            <w:tcW w:w="378" w:type="pct"/>
            <w:vMerge w:val="continue"/>
            <w:vAlign w:val="center"/>
          </w:tcPr>
          <w:p w14:paraId="068D81FD">
            <w:pPr>
              <w:pStyle w:val="17"/>
              <w:bidi w:val="0"/>
              <w:rPr>
                <w:rFonts w:hint="default" w:ascii="Times New Roman" w:hAnsi="Times New Roman" w:cs="Times New Roman"/>
                <w:color w:val="auto"/>
                <w:highlight w:val="none"/>
              </w:rPr>
            </w:pPr>
          </w:p>
        </w:tc>
        <w:tc>
          <w:tcPr>
            <w:tcW w:w="204" w:type="pct"/>
            <w:vMerge w:val="continue"/>
            <w:vAlign w:val="center"/>
          </w:tcPr>
          <w:p w14:paraId="2A85231D">
            <w:pPr>
              <w:pStyle w:val="17"/>
              <w:bidi w:val="0"/>
              <w:rPr>
                <w:rFonts w:hint="default" w:ascii="Times New Roman" w:hAnsi="Times New Roman" w:cs="Times New Roman"/>
                <w:color w:val="auto"/>
                <w:highlight w:val="none"/>
              </w:rPr>
            </w:pPr>
          </w:p>
        </w:tc>
        <w:tc>
          <w:tcPr>
            <w:tcW w:w="2438" w:type="pct"/>
            <w:vAlign w:val="center"/>
          </w:tcPr>
          <w:p w14:paraId="20D05AD2">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4.废石综合回用、尾矿砂利用率参考《新疆维吾尔自治区重点行业环境准入条件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修订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》等相关文件要求。</w:t>
            </w:r>
          </w:p>
        </w:tc>
        <w:tc>
          <w:tcPr>
            <w:tcW w:w="1370" w:type="pct"/>
            <w:vAlign w:val="center"/>
          </w:tcPr>
          <w:p w14:paraId="4AB5017A">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本项目产生的废石用于道路铺设，地面硬化等综合利用，剩余排至排土场。尾矿砂部分用于井下充</w:t>
            </w:r>
            <w:r>
              <w:rPr>
                <w:rFonts w:hint="eastAsia" w:cs="Times New Roman"/>
                <w:color w:val="auto"/>
                <w:highlight w:val="none"/>
                <w:lang w:val="en-US" w:eastAsia="zh-CN"/>
              </w:rPr>
              <w:t>填</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剩余</w:t>
            </w:r>
            <w:r>
              <w:rPr>
                <w:rFonts w:hint="default" w:ascii="Times New Roman" w:hAnsi="Times New Roman" w:cs="Times New Roman"/>
                <w:color w:val="auto"/>
                <w:highlight w:val="none"/>
              </w:rPr>
              <w:t>输送至尾矿库</w:t>
            </w:r>
            <w:r>
              <w:rPr>
                <w:rFonts w:hint="eastAsia" w:cs="Times New Roman"/>
                <w:color w:val="auto"/>
                <w:highlight w:val="none"/>
                <w:lang w:eastAsia="zh-CN"/>
              </w:rPr>
              <w:t>，</w:t>
            </w:r>
            <w:r>
              <w:rPr>
                <w:rFonts w:hint="default" w:ascii="Times New Roman" w:hAnsi="Times New Roman" w:cs="Times New Roman"/>
                <w:color w:val="auto"/>
                <w:highlight w:val="none"/>
              </w:rPr>
              <w:t>符合《新疆维吾尔自治区重点行业生态环境准入条件（2024年）》的相关要求。</w:t>
            </w:r>
          </w:p>
        </w:tc>
        <w:tc>
          <w:tcPr>
            <w:tcW w:w="219" w:type="pct"/>
            <w:vAlign w:val="center"/>
          </w:tcPr>
          <w:p w14:paraId="7F06319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bl>
    <w:p w14:paraId="2D656529">
      <w:pPr>
        <w:snapToGrid w:val="0"/>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本项目区未占用生态保护红线区</w:t>
      </w:r>
      <w:r>
        <w:rPr>
          <w:rFonts w:hint="eastAsia"/>
          <w:color w:val="auto"/>
          <w:highlight w:val="none"/>
          <w:lang w:eastAsia="zh-CN"/>
        </w:rPr>
        <w:t>，</w:t>
      </w:r>
      <w:r>
        <w:rPr>
          <w:rFonts w:hint="default" w:ascii="Times New Roman" w:hAnsi="Times New Roman" w:cs="Times New Roman"/>
          <w:color w:val="auto"/>
          <w:highlight w:val="none"/>
        </w:rPr>
        <w:t>项目建设符合</w:t>
      </w:r>
      <w:r>
        <w:rPr>
          <w:rFonts w:hint="default" w:ascii="Times New Roman" w:hAnsi="Times New Roman" w:eastAsia="宋体" w:cs="Times New Roman"/>
          <w:color w:val="auto"/>
          <w:sz w:val="24"/>
          <w:highlight w:val="none"/>
          <w:lang w:val="en-US" w:eastAsia="zh-CN"/>
        </w:rPr>
        <w:t>《巴音郭楞蒙古自治州“三线一单”生态环境分区管控动态更新成果（2023）》</w:t>
      </w:r>
      <w:r>
        <w:rPr>
          <w:rFonts w:hint="default" w:ascii="Times New Roman" w:hAnsi="Times New Roman" w:eastAsia="宋体" w:cs="Times New Roman"/>
          <w:color w:val="auto"/>
          <w:sz w:val="24"/>
          <w:highlight w:val="none"/>
        </w:rPr>
        <w:t>文件</w:t>
      </w:r>
      <w:r>
        <w:rPr>
          <w:rFonts w:hint="default" w:ascii="Times New Roman" w:hAnsi="Times New Roman" w:eastAsia="宋体" w:cs="Times New Roman"/>
          <w:color w:val="auto"/>
          <w:sz w:val="24"/>
          <w:highlight w:val="none"/>
          <w:lang w:eastAsia="zh-CN"/>
        </w:rPr>
        <w:t>要求</w:t>
      </w:r>
      <w:r>
        <w:rPr>
          <w:rFonts w:hint="default" w:ascii="Times New Roman" w:hAnsi="Times New Roman" w:cs="Times New Roman"/>
          <w:color w:val="auto"/>
          <w:highlight w:val="none"/>
        </w:rPr>
        <w:t>。</w:t>
      </w:r>
    </w:p>
    <w:p w14:paraId="157897D2">
      <w:pPr>
        <w:pStyle w:val="6"/>
        <w:bidi w:val="0"/>
        <w:rPr>
          <w:rFonts w:hint="default"/>
          <w:color w:val="auto"/>
          <w:highlight w:val="none"/>
        </w:rPr>
      </w:pPr>
      <w:r>
        <w:rPr>
          <w:rFonts w:hint="eastAsia"/>
          <w:color w:val="auto"/>
          <w:highlight w:val="none"/>
          <w:lang w:val="en-US" w:eastAsia="zh-CN"/>
        </w:rPr>
        <w:t>1.3.3</w:t>
      </w:r>
      <w:r>
        <w:rPr>
          <w:rFonts w:hint="default"/>
          <w:color w:val="auto"/>
          <w:highlight w:val="none"/>
        </w:rPr>
        <w:t>与《新疆维吾尔自治区重点行业生态环境准入条件（2024年）》符合性</w:t>
      </w:r>
    </w:p>
    <w:p w14:paraId="50FAF855">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color w:val="auto"/>
          <w:highlight w:val="none"/>
        </w:rPr>
        <w:t>新疆维吾尔自治区重点行业生态环境准入条件</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2024年</w:t>
      </w:r>
      <w:r>
        <w:rPr>
          <w:rFonts w:hint="default" w:ascii="Times New Roman" w:hAnsi="Times New Roman" w:cs="Times New Roman"/>
          <w:color w:val="auto"/>
          <w:highlight w:val="none"/>
        </w:rPr>
        <w:t>）》对</w:t>
      </w:r>
      <w:r>
        <w:rPr>
          <w:rFonts w:hint="default" w:ascii="Times New Roman" w:hAnsi="Times New Roman" w:cs="Times New Roman"/>
          <w:color w:val="auto"/>
          <w:highlight w:val="none"/>
          <w:lang w:eastAsia="zh-CN"/>
        </w:rPr>
        <w:t>非</w:t>
      </w:r>
      <w:r>
        <w:rPr>
          <w:rFonts w:hint="default" w:ascii="Times New Roman" w:hAnsi="Times New Roman" w:cs="Times New Roman"/>
          <w:color w:val="auto"/>
          <w:highlight w:val="none"/>
        </w:rPr>
        <w:t>金属矿采选行业的选址及污染防治进行了要求，本项目与环境准入条件的符合性分析见表1.3-</w:t>
      </w:r>
      <w:r>
        <w:rPr>
          <w:rFonts w:hint="eastAsia" w:cs="Times New Roman"/>
          <w:color w:val="auto"/>
          <w:highlight w:val="none"/>
          <w:lang w:val="en-US" w:eastAsia="zh-CN"/>
        </w:rPr>
        <w:t>4</w:t>
      </w:r>
      <w:r>
        <w:rPr>
          <w:rFonts w:hint="default" w:ascii="Times New Roman" w:hAnsi="Times New Roman" w:cs="Times New Roman"/>
          <w:color w:val="auto"/>
          <w:highlight w:val="none"/>
        </w:rPr>
        <w:t>。</w:t>
      </w:r>
    </w:p>
    <w:p w14:paraId="115C3035">
      <w:pPr>
        <w:ind w:firstLine="0" w:firstLineChars="0"/>
        <w:jc w:val="center"/>
        <w:rPr>
          <w:rFonts w:hint="default" w:ascii="Times New Roman" w:hAnsi="Times New Roman" w:cs="Times New Roman"/>
          <w:b/>
          <w:color w:val="auto"/>
          <w:kern w:val="0"/>
          <w:highlight w:val="none"/>
        </w:rPr>
      </w:pPr>
      <w:r>
        <w:rPr>
          <w:rFonts w:hint="default" w:ascii="Times New Roman" w:hAnsi="Times New Roman" w:cs="Times New Roman"/>
          <w:b/>
          <w:color w:val="auto"/>
          <w:kern w:val="0"/>
          <w:highlight w:val="none"/>
        </w:rPr>
        <w:t>表1.3-</w:t>
      </w:r>
      <w:r>
        <w:rPr>
          <w:rFonts w:hint="eastAsia" w:cs="Times New Roman"/>
          <w:b/>
          <w:color w:val="auto"/>
          <w:kern w:val="0"/>
          <w:highlight w:val="none"/>
          <w:lang w:val="en-US" w:eastAsia="zh-CN"/>
        </w:rPr>
        <w:t>4</w:t>
      </w:r>
      <w:r>
        <w:rPr>
          <w:rFonts w:hint="default" w:ascii="Times New Roman" w:hAnsi="Times New Roman" w:cs="Times New Roman"/>
          <w:b/>
          <w:color w:val="auto"/>
          <w:kern w:val="0"/>
          <w:highlight w:val="none"/>
        </w:rPr>
        <w:t xml:space="preserve">    本项目与环境准入条件符合性分析表</w:t>
      </w:r>
    </w:p>
    <w:tbl>
      <w:tblPr>
        <w:tblStyle w:val="13"/>
        <w:tblW w:w="8527" w:type="dxa"/>
        <w:jc w:val="center"/>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Layout w:type="fixed"/>
        <w:tblCellMar>
          <w:top w:w="0" w:type="dxa"/>
          <w:left w:w="108" w:type="dxa"/>
          <w:bottom w:w="0" w:type="dxa"/>
          <w:right w:w="108" w:type="dxa"/>
        </w:tblCellMar>
      </w:tblPr>
      <w:tblGrid>
        <w:gridCol w:w="641"/>
        <w:gridCol w:w="3819"/>
        <w:gridCol w:w="3196"/>
        <w:gridCol w:w="871"/>
      </w:tblGrid>
      <w:tr w14:paraId="5304D3FB">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trHeight w:val="611" w:hRule="atLeast"/>
          <w:tblHeader/>
          <w:jc w:val="center"/>
        </w:trPr>
        <w:tc>
          <w:tcPr>
            <w:tcW w:w="641" w:type="dxa"/>
            <w:tcBorders>
              <w:tl2br w:val="nil"/>
              <w:tr2bl w:val="nil"/>
            </w:tcBorders>
            <w:vAlign w:val="center"/>
          </w:tcPr>
          <w:p w14:paraId="10B8D320">
            <w:pPr>
              <w:pStyle w:val="17"/>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p>
        </w:tc>
        <w:tc>
          <w:tcPr>
            <w:tcW w:w="3819" w:type="dxa"/>
            <w:tcBorders>
              <w:tl2br w:val="nil"/>
              <w:tr2bl w:val="nil"/>
            </w:tcBorders>
            <w:vAlign w:val="center"/>
          </w:tcPr>
          <w:p w14:paraId="7696448E">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准入条件要求</w:t>
            </w:r>
          </w:p>
        </w:tc>
        <w:tc>
          <w:tcPr>
            <w:tcW w:w="3196" w:type="dxa"/>
            <w:tcBorders>
              <w:tl2br w:val="nil"/>
              <w:tr2bl w:val="nil"/>
            </w:tcBorders>
            <w:vAlign w:val="center"/>
          </w:tcPr>
          <w:p w14:paraId="717C04B7">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本项目情况</w:t>
            </w:r>
          </w:p>
        </w:tc>
        <w:tc>
          <w:tcPr>
            <w:tcW w:w="871" w:type="dxa"/>
            <w:tcBorders>
              <w:tl2br w:val="nil"/>
              <w:tr2bl w:val="nil"/>
            </w:tcBorders>
            <w:vAlign w:val="center"/>
          </w:tcPr>
          <w:p w14:paraId="1DF733FD">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符合性</w:t>
            </w:r>
          </w:p>
        </w:tc>
      </w:tr>
      <w:tr w14:paraId="318AFBB1">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trHeight w:val="185" w:hRule="atLeast"/>
          <w:jc w:val="center"/>
        </w:trPr>
        <w:tc>
          <w:tcPr>
            <w:tcW w:w="641" w:type="dxa"/>
            <w:tcBorders>
              <w:tl2br w:val="nil"/>
              <w:tr2bl w:val="nil"/>
            </w:tcBorders>
            <w:vAlign w:val="center"/>
          </w:tcPr>
          <w:p w14:paraId="07903D89">
            <w:pPr>
              <w:pStyle w:val="17"/>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选址与空间布局</w:t>
            </w:r>
          </w:p>
        </w:tc>
        <w:tc>
          <w:tcPr>
            <w:tcW w:w="3819" w:type="dxa"/>
            <w:tcBorders>
              <w:tl2br w:val="nil"/>
              <w:tr2bl w:val="nil"/>
            </w:tcBorders>
            <w:vAlign w:val="center"/>
          </w:tcPr>
          <w:p w14:paraId="30944E0C">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禁止在重要工业区、大型水利工程设施、城镇市政工程设施所在区域，军事管理区、机场、国防工程设施圈定的区域，高速公路、国道、省道等重要交通干线两侧用地外缘200米范围内（确有必要可根据实际情况论证），铁路线路两侧路堤坡脚、路堑坡顶、铁路桥梁外侧起各1000米范围内及在铁路隧道上方中心线两侧各1000米范围内建设非金属矿采矿项目。居民聚集区1千米以内禁止石灰石开采。</w:t>
            </w:r>
          </w:p>
          <w:p w14:paraId="42EBFCEE">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2.河道范围及其附近的非金属矿采选项目应符合国家和自治区河道管理条例要求，具体根据矿产资源开发利用结论和环境影响评价结论管控。</w:t>
            </w:r>
          </w:p>
        </w:tc>
        <w:tc>
          <w:tcPr>
            <w:tcW w:w="3196" w:type="dxa"/>
            <w:tcBorders>
              <w:tl2br w:val="nil"/>
              <w:tr2bl w:val="nil"/>
            </w:tcBorders>
            <w:vAlign w:val="center"/>
          </w:tcPr>
          <w:p w14:paraId="190DE17E">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本项目不在高速公路、国道、省道等重要交通干线范围内，项目位于无人区，周边无居民聚集区。阿克苏河位于矿区西侧</w:t>
            </w:r>
            <w:r>
              <w:rPr>
                <w:rFonts w:hint="eastAsia" w:cs="Times New Roman"/>
                <w:color w:val="auto"/>
                <w:highlight w:val="none"/>
                <w:lang w:eastAsia="zh-CN"/>
              </w:rPr>
              <w:t>，</w:t>
            </w:r>
            <w:r>
              <w:rPr>
                <w:rFonts w:hint="default" w:ascii="Times New Roman" w:hAnsi="Times New Roman" w:cs="Times New Roman"/>
                <w:color w:val="auto"/>
                <w:highlight w:val="none"/>
              </w:rPr>
              <w:t>为I类水体，开采范围</w:t>
            </w:r>
            <w:r>
              <w:rPr>
                <w:rFonts w:hint="eastAsia" w:cs="Times New Roman"/>
                <w:color w:val="auto"/>
                <w:highlight w:val="none"/>
                <w:lang w:val="en-US" w:eastAsia="zh-CN"/>
              </w:rPr>
              <w:t>避让河道保护范围</w:t>
            </w:r>
            <w:r>
              <w:rPr>
                <w:rFonts w:hint="default" w:ascii="Times New Roman" w:hAnsi="Times New Roman" w:cs="Times New Roman"/>
                <w:color w:val="auto"/>
                <w:highlight w:val="none"/>
              </w:rPr>
              <w:t>，</w:t>
            </w:r>
            <w:r>
              <w:rPr>
                <w:rFonts w:hint="eastAsia" w:cs="Times New Roman"/>
                <w:color w:val="auto"/>
                <w:highlight w:val="none"/>
                <w:lang w:val="en-US" w:eastAsia="zh-CN"/>
              </w:rPr>
              <w:t>符合</w:t>
            </w:r>
            <w:r>
              <w:rPr>
                <w:color w:val="auto"/>
                <w:highlight w:val="none"/>
              </w:rPr>
              <w:t>《中华人民共和国河道管理条例》</w:t>
            </w:r>
            <w:r>
              <w:rPr>
                <w:rFonts w:hint="eastAsia" w:eastAsia="宋体"/>
                <w:color w:val="auto"/>
                <w:highlight w:val="none"/>
                <w:lang w:eastAsia="zh-CN"/>
              </w:rPr>
              <w:t>及《新疆维吾尔自治区河道管理条例》</w:t>
            </w:r>
            <w:r>
              <w:rPr>
                <w:rFonts w:hint="eastAsia" w:eastAsia="宋体"/>
                <w:color w:val="auto"/>
                <w:highlight w:val="none"/>
                <w:lang w:val="en-US" w:eastAsia="zh-CN"/>
              </w:rPr>
              <w:t>要求</w:t>
            </w:r>
            <w:r>
              <w:rPr>
                <w:rFonts w:hint="default" w:ascii="Times New Roman" w:hAnsi="Times New Roman" w:cs="Times New Roman"/>
                <w:color w:val="auto"/>
                <w:highlight w:val="none"/>
              </w:rPr>
              <w:t>。</w:t>
            </w:r>
          </w:p>
        </w:tc>
        <w:tc>
          <w:tcPr>
            <w:tcW w:w="871" w:type="dxa"/>
            <w:tcBorders>
              <w:tl2br w:val="nil"/>
              <w:tr2bl w:val="nil"/>
            </w:tcBorders>
            <w:vAlign w:val="center"/>
          </w:tcPr>
          <w:p w14:paraId="13B1C771">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403AF0B2">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trHeight w:val="1390" w:hRule="atLeast"/>
          <w:jc w:val="center"/>
        </w:trPr>
        <w:tc>
          <w:tcPr>
            <w:tcW w:w="641" w:type="dxa"/>
            <w:vMerge w:val="restart"/>
            <w:tcBorders>
              <w:tl2br w:val="nil"/>
              <w:tr2bl w:val="nil"/>
            </w:tcBorders>
            <w:vAlign w:val="center"/>
          </w:tcPr>
          <w:p w14:paraId="0DD17873">
            <w:pPr>
              <w:pStyle w:val="17"/>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污染防治与环境影响</w:t>
            </w:r>
          </w:p>
        </w:tc>
        <w:tc>
          <w:tcPr>
            <w:tcW w:w="3819" w:type="dxa"/>
            <w:tcBorders>
              <w:tl2br w:val="nil"/>
              <w:tr2bl w:val="nil"/>
            </w:tcBorders>
            <w:vAlign w:val="center"/>
          </w:tcPr>
          <w:p w14:paraId="62D7AE7B">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1.采矿</w:t>
            </w:r>
          </w:p>
          <w:p w14:paraId="03D5AF11">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矿石开采须采用湿式凿岩作业方式。矿石转运、破碎、筛分等粉尘产生工序，须配备抑尘、除尘设施，除尘效率不低于99%。矿石、废石堆场须采用洒水抑尘、设置围挡等无组织粉尘防治措施。大气污染物排放须满足《大气污染物综合排放标准》（GB16297）要求，有行业排放标准的执行行业标准。</w:t>
            </w:r>
          </w:p>
          <w:p w14:paraId="3878CD9A">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严禁未经处理的采矿废水直接排放，禁止利用渗井、渗坑、裂隙和溶洞等排放废水。鼓励将矿坑水优先作为生产用水和辅助水源利用。在干旱缺水地区，鼓励将外排矿坑水处理达标后用于农林灌溉，生活污水处理达标后尽量综合利用，边远矿区的生活污水排放和综合利用可参照《农村生活污水处理排放标准》（DB65/4275）要求管控。</w:t>
            </w:r>
          </w:p>
          <w:p w14:paraId="390CF4AC">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（3）噪声排放执行《工业企业厂界环境噪声排放标准》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GB12348</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14:paraId="02B769E7">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应对采矿废石等固体废物采取回填、筑路、制作建筑材料等方式资源综合利用，提高综合利用率。无法利用的必须使用专用场所堆放，并采取有效措施防止二次环境污染及诱发次生地质灾害，固体废物处置率100%。废石堆场按《一般工业固体废物贮存和填埋污染控制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GB18599</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要求建设。生活垃圾实现100%无害化处置。</w:t>
            </w:r>
          </w:p>
          <w:p w14:paraId="125D0416">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5）新建、改（扩）建矿山应在矿山开采前完成《矿山生态环境保护与恢复治理方案》编制工作。位于荒漠和风沙区的矿产资源开发应尽可能避开易发生风蚀和生态退化地带；排土场、料场等场地应采取围挡和覆盖等防风蚀措施。水蚀敏感区矿产资源开发应科学设置露天采场、排土场及料场，并采取边坡防护、工程拦挡等水土保持措施。矿山生产过程中应采取复垦措施，对露天坑、废石场等永久性坡面进行稳定化处理，防止水土流失和滑坡。历史遗留矿山开采破坏土地复垦率达到 45%以上，新建矿山应做到边开采、边复垦，破坏土地复垦率达到85%以上。</w:t>
            </w:r>
          </w:p>
        </w:tc>
        <w:tc>
          <w:tcPr>
            <w:tcW w:w="3196" w:type="dxa"/>
            <w:tcBorders>
              <w:tl2br w:val="nil"/>
              <w:tr2bl w:val="nil"/>
            </w:tcBorders>
            <w:vAlign w:val="center"/>
          </w:tcPr>
          <w:p w14:paraId="5E5B0D72">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采矿采用湿式凿岩作业方式，矿石破碎、筛分工序配备了布袋除尘器，除尘效率大于99%。排土场采用洒水降尘和车辆冲洗措施，防治无组织粉尘排放，经计算，项目无组织粉尘排放能够满足《大气污染物综合排放标准》（GB16297）要求。生活污水达到</w:t>
            </w:r>
            <w:r>
              <w:rPr>
                <w:rFonts w:hint="default" w:ascii="Times New Roman" w:hAnsi="Times New Roman" w:cs="Times New Roman"/>
                <w:color w:val="auto"/>
                <w:highlight w:val="none"/>
                <w:lang w:val="en-US" w:eastAsia="zh-CN"/>
              </w:rPr>
              <w:t>《农村生活污水处理排放标准》（DB65 4275-2019）表2中A级标准限值后，用于项目区</w:t>
            </w:r>
            <w:r>
              <w:rPr>
                <w:rFonts w:hint="eastAsia"/>
                <w:color w:val="auto"/>
                <w:highlight w:val="none"/>
                <w:lang w:val="en-US" w:eastAsia="zh-CN"/>
              </w:rPr>
              <w:t>洒水</w:t>
            </w:r>
            <w:r>
              <w:rPr>
                <w:rFonts w:hint="default" w:ascii="Times New Roman" w:hAnsi="Times New Roman" w:cs="Times New Roman"/>
                <w:color w:val="auto"/>
                <w:highlight w:val="none"/>
                <w:lang w:val="en-US" w:eastAsia="zh-CN"/>
              </w:rPr>
              <w:t>绿化，不外排</w:t>
            </w:r>
            <w:r>
              <w:rPr>
                <w:rFonts w:hint="default" w:ascii="Times New Roman" w:hAnsi="Times New Roman" w:cs="Times New Roman"/>
                <w:color w:val="auto"/>
                <w:highlight w:val="none"/>
              </w:rPr>
              <w:t>。本项目噪声排放符合《工业企业厂界环境噪声排放标准》（GB12348-2008）2 类标准要求。本项目采矿废石用于道路铺设，地面硬化等，剩余堆存于排土场，采用洒水降尘，防治扬尘污染；排土场上游及两侧修建截排水沟，下游修建挡石墙。按《一般工业固体废物贮存、处置场污染控制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GB18599</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要求建设。生活垃圾集中收集后拉运至若羌县生活垃圾填埋场处置。本项目已编制《矿产资源开发利用与生态保护修复方案》，矿区开采过程中要求做到“边开采、边复垦”，本项目占地为裸岩石砾地，复垦后，土地复垦率可达到85%以上。</w:t>
            </w:r>
          </w:p>
        </w:tc>
        <w:tc>
          <w:tcPr>
            <w:tcW w:w="871" w:type="dxa"/>
            <w:tcBorders>
              <w:tl2br w:val="nil"/>
              <w:tr2bl w:val="nil"/>
            </w:tcBorders>
            <w:vAlign w:val="center"/>
          </w:tcPr>
          <w:p w14:paraId="2CABDF62">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r w14:paraId="5408A19B">
        <w:tblPrEx>
          <w:tblBorders>
            <w:top w:val="single" w:color="auto" w:sz="4" w:space="0"/>
            <w:left w:val="single" w:color="auto" w:sz="4" w:space="0"/>
            <w:bottom w:val="single" w:color="auto" w:sz="4" w:space="0"/>
            <w:right w:val="single" w:color="auto" w:sz="4" w:space="0"/>
            <w:insideH w:val="single" w:color="auto" w:sz="4" w:space="0"/>
            <w:insideV w:val="single" w:color="000000" w:sz="4" w:space="0"/>
          </w:tblBorders>
          <w:tblCellMar>
            <w:top w:w="0" w:type="dxa"/>
            <w:left w:w="108" w:type="dxa"/>
            <w:bottom w:w="0" w:type="dxa"/>
            <w:right w:w="108" w:type="dxa"/>
          </w:tblCellMar>
        </w:tblPrEx>
        <w:trPr>
          <w:trHeight w:val="283" w:hRule="atLeast"/>
          <w:jc w:val="center"/>
        </w:trPr>
        <w:tc>
          <w:tcPr>
            <w:tcW w:w="641" w:type="dxa"/>
            <w:vMerge w:val="continue"/>
            <w:tcBorders>
              <w:tl2br w:val="nil"/>
              <w:tr2bl w:val="nil"/>
            </w:tcBorders>
            <w:vAlign w:val="center"/>
          </w:tcPr>
          <w:p w14:paraId="2B4414AC">
            <w:pPr>
              <w:pStyle w:val="17"/>
              <w:bidi w:val="0"/>
              <w:jc w:val="left"/>
              <w:rPr>
                <w:rFonts w:hint="default" w:ascii="Times New Roman" w:hAnsi="Times New Roman" w:cs="Times New Roman"/>
                <w:color w:val="auto"/>
                <w:highlight w:val="none"/>
              </w:rPr>
            </w:pPr>
          </w:p>
        </w:tc>
        <w:tc>
          <w:tcPr>
            <w:tcW w:w="3819" w:type="dxa"/>
            <w:tcBorders>
              <w:tl2br w:val="nil"/>
              <w:tr2bl w:val="nil"/>
            </w:tcBorders>
            <w:vAlign w:val="center"/>
          </w:tcPr>
          <w:p w14:paraId="73265E6E">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2.选矿</w:t>
            </w:r>
          </w:p>
          <w:p w14:paraId="5CCDCC83">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破碎、筛分车间应采用尘源密闭、局部通风方式，并安装高效除尘设施防治粉尘污染，除尘效率≥99%，大气污染物排放有行业标准的应达到行业标准要求，无行业标准的应达到《大气污染物综合排放标准》（GB16297）要求。</w:t>
            </w:r>
          </w:p>
          <w:p w14:paraId="7C208D68">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（2）选矿废水（含尾矿库溢流水）应循环利用，循环利用率≥80% ，无循环利用条件的废水应进行收集，处理达标后排放。</w:t>
            </w:r>
          </w:p>
          <w:p w14:paraId="635D7D24">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（3）噪声排放执行《工业企业厂界环境噪声排放标准》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GB12348</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14:paraId="43D0F42A">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（4）选矿项目应设置专用尾矿库，尾矿库按《尾矿设施设计规范》（GB50863）、《尾矿库安全监督管理规定</w:t>
            </w:r>
            <w:r>
              <w:rPr>
                <w:rFonts w:hint="eastAsia" w:cs="Times New Roman"/>
                <w:color w:val="auto"/>
                <w:highlight w:val="none"/>
                <w:lang w:eastAsia="zh-CN"/>
              </w:rPr>
              <w:t>》《</w:t>
            </w:r>
            <w:r>
              <w:rPr>
                <w:rFonts w:hint="default" w:ascii="Times New Roman" w:hAnsi="Times New Roman" w:cs="Times New Roman"/>
                <w:color w:val="auto"/>
                <w:highlight w:val="none"/>
              </w:rPr>
              <w:t>尾矿库环境应急管理工作指南（试行）》（环办〔2010〕138 号）、《防范化解尾矿库安全风险工作方案》（应急〔2020〕15号）、《尾矿污染环境防治管理办法》（中华人民共和国生态环境部令第 26 号）等要求进行选址、建设、运行和闭库。鼓励尾矿综合利用，尾矿利用率≥10%。现有尾矿库应按《深入开展尾矿库综合治理行动方案》（安监总管</w:t>
            </w:r>
            <w:r>
              <w:rPr>
                <w:rFonts w:hint="eastAsia" w:cs="Times New Roman"/>
                <w:color w:val="auto"/>
                <w:highlight w:val="none"/>
                <w:lang w:val="en-US" w:eastAsia="zh-CN"/>
              </w:rPr>
              <w:t>一</w:t>
            </w:r>
            <w:r>
              <w:rPr>
                <w:rFonts w:hint="default" w:ascii="Times New Roman" w:hAnsi="Times New Roman" w:cs="Times New Roman"/>
                <w:color w:val="auto"/>
                <w:highlight w:val="none"/>
              </w:rPr>
              <w:t>〔2013〕58号）进行整改。</w:t>
            </w:r>
          </w:p>
        </w:tc>
        <w:tc>
          <w:tcPr>
            <w:tcW w:w="3196" w:type="dxa"/>
            <w:tcBorders>
              <w:tl2br w:val="nil"/>
              <w:tr2bl w:val="nil"/>
            </w:tcBorders>
            <w:vAlign w:val="center"/>
          </w:tcPr>
          <w:p w14:paraId="6944FC8E">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矿石破碎、筛分工序配备了旋风+布袋除尘器，除尘效率大于99%。选矿废水经回水系统回用于生产，不外排。本项目噪声排放符合《工业企业厂界环境噪声排放标准》（GB12348-2008）2类标准要求。</w:t>
            </w:r>
          </w:p>
          <w:p w14:paraId="651C8BF5">
            <w:pPr>
              <w:pStyle w:val="17"/>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eastAsia="zh-CN"/>
              </w:rPr>
              <w:t>本项目设置专用尾矿库，</w:t>
            </w:r>
            <w:r>
              <w:rPr>
                <w:rFonts w:hint="eastAsia" w:ascii="Times New Roman" w:hAnsi="Times New Roman" w:eastAsia="宋体" w:cs="Times New Roman"/>
                <w:color w:val="auto"/>
                <w:highlight w:val="none"/>
              </w:rPr>
              <w:t>选址不在风景名胜区、自然保护区、饮用水源保护区以及国家法律禁止的矿产开采区域，尾矿库下游1km范围无大型工矿企业、大型水源地、重要铁路和公路、居民区等，尾矿库选址未占用农田，选址符合</w:t>
            </w:r>
            <w:r>
              <w:rPr>
                <w:rFonts w:hint="default" w:ascii="Times New Roman" w:hAnsi="Times New Roman" w:eastAsia="宋体" w:cs="Times New Roman"/>
                <w:color w:val="auto"/>
                <w:highlight w:val="none"/>
              </w:rPr>
              <w:t>《尾矿设施设计规范》（GB50863）、《尾矿库安全规程》（GB39496-2020）、</w:t>
            </w:r>
            <w:r>
              <w:rPr>
                <w:rFonts w:hint="eastAsia" w:ascii="Times New Roman" w:hAnsi="Times New Roman" w:eastAsia="宋体" w:cs="Times New Roman"/>
                <w:color w:val="auto"/>
                <w:highlight w:val="none"/>
              </w:rPr>
              <w:t>环境保护部办公厅《关于印发〈尾矿库环境应急管理工作指南（试行）〉的通知》（环办〔2010〕138号）</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《尾矿库安全监督管理规定（2015年修正）》（国家安全生产监督管理总局令第78号）的相关要求</w:t>
            </w:r>
            <w:r>
              <w:rPr>
                <w:rFonts w:hint="eastAsia" w:ascii="Times New Roman" w:hAnsi="Times New Roman" w:eastAsia="宋体" w:cs="Times New Roman"/>
                <w:color w:val="auto"/>
                <w:highlight w:val="none"/>
                <w:lang w:eastAsia="zh-CN"/>
              </w:rPr>
              <w:t>，</w:t>
            </w:r>
            <w:r>
              <w:rPr>
                <w:rFonts w:hint="default" w:ascii="Times New Roman" w:hAnsi="Times New Roman" w:cs="Times New Roman"/>
                <w:color w:val="auto"/>
                <w:highlight w:val="none"/>
              </w:rPr>
              <w:t>尾矿砂部分用于井下充</w:t>
            </w:r>
            <w:r>
              <w:rPr>
                <w:rFonts w:hint="eastAsia" w:cs="Times New Roman"/>
                <w:color w:val="auto"/>
                <w:highlight w:val="none"/>
                <w:lang w:val="en-US" w:eastAsia="zh-CN"/>
              </w:rPr>
              <w:t>填</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剩余</w:t>
            </w:r>
            <w:r>
              <w:rPr>
                <w:rFonts w:hint="default" w:ascii="Times New Roman" w:hAnsi="Times New Roman" w:cs="Times New Roman"/>
                <w:color w:val="auto"/>
                <w:highlight w:val="none"/>
              </w:rPr>
              <w:t>输送至尾矿库</w:t>
            </w:r>
            <w:r>
              <w:rPr>
                <w:rFonts w:hint="eastAsia"/>
                <w:color w:val="auto"/>
                <w:sz w:val="21"/>
                <w:szCs w:val="21"/>
                <w:highlight w:val="none"/>
              </w:rPr>
              <w:t>，综合利用率可达到</w:t>
            </w:r>
            <w:r>
              <w:rPr>
                <w:rFonts w:hint="eastAsia"/>
                <w:color w:val="auto"/>
                <w:sz w:val="21"/>
                <w:szCs w:val="21"/>
                <w:highlight w:val="none"/>
                <w:lang w:val="en-US" w:eastAsia="zh-CN"/>
              </w:rPr>
              <w:t>6</w:t>
            </w:r>
            <w:r>
              <w:rPr>
                <w:rFonts w:hint="eastAsia"/>
                <w:color w:val="auto"/>
                <w:sz w:val="21"/>
                <w:szCs w:val="21"/>
                <w:highlight w:val="none"/>
              </w:rPr>
              <w:t>0%。</w:t>
            </w:r>
            <w:r>
              <w:rPr>
                <w:rFonts w:hint="eastAsia" w:ascii="Times New Roman" w:hAnsi="Times New Roman" w:eastAsia="宋体" w:cs="Times New Roman"/>
                <w:color w:val="auto"/>
                <w:highlight w:val="none"/>
                <w:lang w:val="en-US" w:eastAsia="zh-CN"/>
              </w:rPr>
              <w:t>安全设施设计已取得新疆维吾尔自治区应急管理厅核发的《非煤矿山建设项目安全许可意见书》（应急非煤项目设施设计审字</w:t>
            </w:r>
            <w:r>
              <w:rPr>
                <w:rFonts w:hint="eastAsia" w:ascii="仿宋" w:hAnsi="仿宋" w:eastAsia="仿宋" w:cs="仿宋"/>
                <w:color w:val="auto"/>
                <w:highlight w:val="none"/>
                <w:lang w:val="en-US" w:eastAsia="zh-CN"/>
              </w:rPr>
              <w:t>〔</w:t>
            </w:r>
            <w:r>
              <w:rPr>
                <w:rFonts w:hint="eastAsia" w:ascii="Times New Roman" w:hAnsi="Times New Roman" w:eastAsia="宋体" w:cs="Times New Roman"/>
                <w:color w:val="auto"/>
                <w:highlight w:val="none"/>
                <w:lang w:val="en-US" w:eastAsia="zh-CN"/>
              </w:rPr>
              <w:t>2024</w:t>
            </w:r>
            <w:r>
              <w:rPr>
                <w:rFonts w:hint="eastAsia" w:ascii="仿宋" w:hAnsi="仿宋" w:eastAsia="仿宋" w:cs="仿宋"/>
                <w:color w:val="auto"/>
                <w:highlight w:val="none"/>
                <w:lang w:val="en-US" w:eastAsia="zh-CN"/>
              </w:rPr>
              <w:t>〕</w:t>
            </w:r>
            <w:r>
              <w:rPr>
                <w:rFonts w:hint="eastAsia" w:ascii="Times New Roman" w:hAnsi="Times New Roman" w:eastAsia="宋体" w:cs="Times New Roman"/>
                <w:color w:val="auto"/>
                <w:highlight w:val="none"/>
                <w:lang w:val="en-US" w:eastAsia="zh-CN"/>
              </w:rPr>
              <w:t>163号）。</w:t>
            </w:r>
          </w:p>
        </w:tc>
        <w:tc>
          <w:tcPr>
            <w:tcW w:w="871" w:type="dxa"/>
            <w:tcBorders>
              <w:tl2br w:val="nil"/>
              <w:tr2bl w:val="nil"/>
            </w:tcBorders>
            <w:vAlign w:val="center"/>
          </w:tcPr>
          <w:p w14:paraId="61CD8471">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符合</w:t>
            </w:r>
          </w:p>
        </w:tc>
      </w:tr>
    </w:tbl>
    <w:p w14:paraId="37AE429E">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综上，本项目符合《</w:t>
      </w:r>
      <w:r>
        <w:rPr>
          <w:rFonts w:hint="default"/>
          <w:color w:val="auto"/>
          <w:highlight w:val="none"/>
        </w:rPr>
        <w:t>新疆维吾尔自治区重点行业生态环境准入条件</w:t>
      </w:r>
      <w:r>
        <w:rPr>
          <w:rFonts w:hint="default" w:ascii="Times New Roman" w:hAnsi="Times New Roman" w:cs="Times New Roman"/>
          <w:color w:val="auto"/>
          <w:highlight w:val="none"/>
        </w:rPr>
        <w:t>（2024年）》</w:t>
      </w:r>
      <w:r>
        <w:rPr>
          <w:rFonts w:hint="eastAsia" w:ascii="Times New Roman" w:hAnsi="Times New Roman" w:cs="Times New Roman"/>
          <w:color w:val="auto"/>
          <w:highlight w:val="none"/>
          <w:lang w:eastAsia="zh-CN"/>
        </w:rPr>
        <w:t>中</w:t>
      </w:r>
      <w:r>
        <w:rPr>
          <w:rFonts w:hint="default" w:ascii="Times New Roman" w:hAnsi="Times New Roman" w:cs="Times New Roman"/>
          <w:color w:val="auto"/>
          <w:highlight w:val="none"/>
        </w:rPr>
        <w:t>关于</w:t>
      </w:r>
      <w:r>
        <w:rPr>
          <w:rFonts w:hint="default" w:ascii="Times New Roman" w:hAnsi="Times New Roman" w:cs="Times New Roman"/>
          <w:color w:val="auto"/>
          <w:highlight w:val="none"/>
          <w:lang w:eastAsia="zh-CN"/>
        </w:rPr>
        <w:t>非</w:t>
      </w:r>
      <w:r>
        <w:rPr>
          <w:rFonts w:hint="default" w:ascii="Times New Roman" w:hAnsi="Times New Roman" w:cs="Times New Roman"/>
          <w:color w:val="auto"/>
          <w:highlight w:val="none"/>
        </w:rPr>
        <w:t>金属矿采选行业的相关要求。</w:t>
      </w:r>
    </w:p>
    <w:p w14:paraId="4AAD1187">
      <w:pPr>
        <w:pStyle w:val="6"/>
        <w:rPr>
          <w:rFonts w:hint="default" w:ascii="Times New Roman" w:hAnsi="Times New Roman" w:cs="Times New Roman"/>
          <w:color w:val="auto"/>
          <w:highlight w:val="none"/>
        </w:rPr>
      </w:pPr>
      <w:bookmarkStart w:id="51" w:name="_Toc548"/>
      <w:bookmarkStart w:id="52" w:name="_Toc31491"/>
      <w:bookmarkStart w:id="53" w:name="_Toc13231"/>
      <w:r>
        <w:rPr>
          <w:rFonts w:hint="eastAsia" w:cs="Times New Roman"/>
          <w:color w:val="auto"/>
          <w:highlight w:val="none"/>
          <w:lang w:val="en-US" w:eastAsia="zh-CN"/>
        </w:rPr>
        <w:t>1.3</w:t>
      </w:r>
      <w:r>
        <w:rPr>
          <w:rFonts w:hint="default" w:cs="Times New Roman"/>
          <w:color w:val="auto"/>
          <w:highlight w:val="none"/>
          <w:lang w:eastAsia="zh-CN"/>
        </w:rPr>
        <w:t>.</w:t>
      </w:r>
      <w:r>
        <w:rPr>
          <w:rFonts w:hint="eastAsia" w:cs="Times New Roman"/>
          <w:color w:val="auto"/>
          <w:highlight w:val="none"/>
          <w:lang w:val="en-US" w:eastAsia="zh-CN"/>
        </w:rPr>
        <w:t>4</w:t>
      </w:r>
      <w:r>
        <w:rPr>
          <w:rFonts w:hint="default" w:ascii="Times New Roman" w:hAnsi="Times New Roman" w:cs="Times New Roman"/>
          <w:color w:val="auto"/>
          <w:highlight w:val="none"/>
        </w:rPr>
        <w:t>其他相关政策及规划符合性分析</w:t>
      </w:r>
      <w:bookmarkEnd w:id="51"/>
      <w:bookmarkEnd w:id="52"/>
      <w:bookmarkEnd w:id="53"/>
    </w:p>
    <w:p w14:paraId="2A463D66">
      <w:pPr>
        <w:pStyle w:val="7"/>
        <w:ind w:firstLine="482" w:firstLineChars="200"/>
        <w:rPr>
          <w:color w:val="auto"/>
          <w:highlight w:val="none"/>
        </w:rPr>
      </w:pPr>
      <w:r>
        <w:rPr>
          <w:rFonts w:hint="eastAsia"/>
          <w:color w:val="auto"/>
          <w:highlight w:val="none"/>
        </w:rPr>
        <w:t>1.3.</w:t>
      </w:r>
      <w:r>
        <w:rPr>
          <w:rFonts w:hint="eastAsia"/>
          <w:color w:val="auto"/>
          <w:highlight w:val="none"/>
          <w:lang w:val="en-US" w:eastAsia="zh-CN"/>
        </w:rPr>
        <w:t>4</w:t>
      </w:r>
      <w:r>
        <w:rPr>
          <w:rFonts w:hint="eastAsia"/>
          <w:color w:val="auto"/>
          <w:highlight w:val="none"/>
        </w:rPr>
        <w:t>.1与《</w:t>
      </w:r>
      <w:r>
        <w:rPr>
          <w:rFonts w:hint="eastAsia"/>
          <w:color w:val="auto"/>
          <w:highlight w:val="none"/>
          <w:lang w:val="en-US" w:eastAsia="zh-CN"/>
        </w:rPr>
        <w:t>新疆维吾尔自治区主体功能区规划</w:t>
      </w:r>
      <w:r>
        <w:rPr>
          <w:rFonts w:hint="eastAsia"/>
          <w:color w:val="auto"/>
          <w:highlight w:val="none"/>
        </w:rPr>
        <w:t>》</w:t>
      </w:r>
      <w:r>
        <w:rPr>
          <w:rFonts w:hint="eastAsia"/>
          <w:color w:val="auto"/>
          <w:highlight w:val="none"/>
          <w:lang w:eastAsia="zh-CN"/>
        </w:rPr>
        <w:t>等</w:t>
      </w:r>
      <w:r>
        <w:rPr>
          <w:rFonts w:hint="eastAsia"/>
          <w:color w:val="auto"/>
          <w:highlight w:val="none"/>
        </w:rPr>
        <w:t>的符合性</w:t>
      </w:r>
    </w:p>
    <w:p w14:paraId="43D6BA65">
      <w:pPr>
        <w:bidi w:val="0"/>
        <w:rPr>
          <w:rFonts w:hint="default"/>
          <w:color w:val="auto"/>
          <w:highlight w:val="none"/>
          <w:lang w:val="en-US" w:eastAsia="zh-CN"/>
        </w:rPr>
      </w:pPr>
      <w:r>
        <w:rPr>
          <w:rFonts w:hint="default"/>
          <w:color w:val="auto"/>
          <w:highlight w:val="none"/>
          <w:lang w:val="en-US" w:eastAsia="zh-CN"/>
        </w:rPr>
        <w:t>根据《新疆维吾尔自治区主体功能区规划》可知，根据主体功能区开发的理念，结合新疆独特的自然地理状况和新时期跨越式发展的需要，本规划将新疆国土空间划分为重点开发、限制开发和禁止开发区域；按开发内容，分为城市化地区、农产品主产区和重点生态功能区；按层级，包括国家和自治区两个层面（其中：国家层面主体功能区是《全国主体功能区规划》从我国战略全局出发划定的，自治区层面主体功能区是按要求在国家层面以外的区域划定的）。兵团各团场的主体功能定位遵照所在县（市）的主体功能执行。</w:t>
      </w:r>
    </w:p>
    <w:p w14:paraId="296CECF9">
      <w:pPr>
        <w:keepNext w:val="0"/>
        <w:keepLines w:val="0"/>
        <w:widowControl/>
        <w:suppressLineNumbers w:val="0"/>
        <w:jc w:val="left"/>
        <w:rPr>
          <w:color w:val="auto"/>
          <w:highlight w:val="none"/>
        </w:rPr>
      </w:pPr>
      <w:r>
        <w:rPr>
          <w:rFonts w:hint="default" w:ascii="Times New Roman" w:hAnsi="Times New Roman" w:eastAsia="宋体" w:cs="Times New Roman"/>
          <w:color w:val="auto"/>
          <w:highlight w:val="none"/>
          <w:lang w:val="en-US" w:eastAsia="zh-CN"/>
        </w:rPr>
        <w:t>根据《新疆维吾尔自治区主体功能区规划》，项目所在区域</w:t>
      </w:r>
      <w:r>
        <w:rPr>
          <w:rFonts w:hint="eastAsia" w:ascii="Times New Roman" w:hAnsi="Times New Roman" w:eastAsia="宋体" w:cs="Times New Roman"/>
          <w:color w:val="auto"/>
          <w:highlight w:val="none"/>
          <w:lang w:val="en-US" w:eastAsia="zh-CN"/>
        </w:rPr>
        <w:t>不</w:t>
      </w:r>
      <w:r>
        <w:rPr>
          <w:rFonts w:hint="default" w:ascii="Times New Roman" w:hAnsi="Times New Roman" w:eastAsia="宋体" w:cs="Times New Roman"/>
          <w:color w:val="auto"/>
          <w:highlight w:val="none"/>
          <w:lang w:val="en-US" w:eastAsia="zh-CN"/>
        </w:rPr>
        <w:t>属于禁止开发区域</w:t>
      </w:r>
      <w:r>
        <w:rPr>
          <w:rFonts w:hint="eastAsia" w:ascii="Times New Roman" w:hAnsi="Times New Roman" w:eastAsia="宋体" w:cs="Times New Roman"/>
          <w:color w:val="auto"/>
          <w:highlight w:val="none"/>
          <w:lang w:val="en-US" w:eastAsia="zh-CN"/>
        </w:rPr>
        <w:t>，属于</w:t>
      </w:r>
      <w:r>
        <w:rPr>
          <w:rFonts w:hint="default" w:ascii="Times New Roman" w:hAnsi="Times New Roman" w:eastAsia="宋体" w:cs="Times New Roman"/>
          <w:color w:val="auto"/>
          <w:highlight w:val="none"/>
          <w:lang w:val="en-US" w:eastAsia="zh-CN"/>
        </w:rPr>
        <w:t>阿尔金草原荒漠化防治生态功能区</w:t>
      </w:r>
      <w:r>
        <w:rPr>
          <w:rFonts w:hint="eastAsia" w:ascii="Times New Roman" w:hAnsi="Times New Roman" w:eastAsia="宋体" w:cs="Times New Roman"/>
          <w:color w:val="auto"/>
          <w:highlight w:val="none"/>
          <w:lang w:val="en-US" w:eastAsia="zh-CN"/>
        </w:rPr>
        <w:t>（重点生态功能区），</w:t>
      </w:r>
      <w:r>
        <w:rPr>
          <w:rFonts w:hint="eastAsia"/>
          <w:color w:val="auto"/>
          <w:highlight w:val="none"/>
          <w:lang w:val="en-US" w:eastAsia="zh-CN"/>
        </w:rPr>
        <w:t>距离阿尔金山国家级自然保护区约78km，距离罗布泊野骆驼国家级自然保护区约46km。</w:t>
      </w:r>
      <w:r>
        <w:rPr>
          <w:rFonts w:hint="default"/>
          <w:color w:val="auto"/>
          <w:highlight w:val="none"/>
          <w:lang w:val="en-US" w:eastAsia="zh-CN"/>
        </w:rPr>
        <w:t>本项目不</w:t>
      </w:r>
      <w:r>
        <w:rPr>
          <w:rFonts w:hint="eastAsia"/>
          <w:color w:val="auto"/>
          <w:highlight w:val="none"/>
          <w:lang w:val="en-US" w:eastAsia="zh-CN"/>
        </w:rPr>
        <w:t>在</w:t>
      </w:r>
      <w:r>
        <w:rPr>
          <w:rFonts w:hint="default"/>
          <w:color w:val="auto"/>
          <w:highlight w:val="none"/>
          <w:lang w:val="en-US" w:eastAsia="zh-CN"/>
        </w:rPr>
        <w:t>《关于印发新疆维吾尔自治区28个国家重点生态功能区县</w:t>
      </w:r>
      <w:r>
        <w:rPr>
          <w:rFonts w:hint="eastAsia"/>
          <w:color w:val="auto"/>
          <w:highlight w:val="none"/>
          <w:lang w:val="en-US" w:eastAsia="zh-CN"/>
        </w:rPr>
        <w:t>（</w:t>
      </w:r>
      <w:r>
        <w:rPr>
          <w:rFonts w:hint="default"/>
          <w:color w:val="auto"/>
          <w:highlight w:val="none"/>
          <w:lang w:val="en-US" w:eastAsia="zh-CN"/>
        </w:rPr>
        <w:t>市</w:t>
      </w:r>
      <w:r>
        <w:rPr>
          <w:rFonts w:hint="eastAsia"/>
          <w:color w:val="auto"/>
          <w:highlight w:val="none"/>
          <w:lang w:val="en-US" w:eastAsia="zh-CN"/>
        </w:rPr>
        <w:t>）</w:t>
      </w:r>
      <w:r>
        <w:rPr>
          <w:rFonts w:hint="default"/>
          <w:color w:val="auto"/>
          <w:highlight w:val="none"/>
          <w:lang w:val="en-US" w:eastAsia="zh-CN"/>
        </w:rPr>
        <w:t>产业准入负面清单</w:t>
      </w:r>
      <w:r>
        <w:rPr>
          <w:rFonts w:hint="eastAsia"/>
          <w:color w:val="auto"/>
          <w:highlight w:val="none"/>
          <w:lang w:val="en-US" w:eastAsia="zh-CN"/>
        </w:rPr>
        <w:t>（</w:t>
      </w:r>
      <w:r>
        <w:rPr>
          <w:rFonts w:hint="default"/>
          <w:color w:val="auto"/>
          <w:highlight w:val="none"/>
          <w:lang w:val="en-US" w:eastAsia="zh-CN"/>
        </w:rPr>
        <w:t>试行</w:t>
      </w:r>
      <w:r>
        <w:rPr>
          <w:rFonts w:hint="eastAsia"/>
          <w:color w:val="auto"/>
          <w:highlight w:val="none"/>
          <w:lang w:val="en-US" w:eastAsia="zh-CN"/>
        </w:rPr>
        <w:t>）</w:t>
      </w:r>
      <w:r>
        <w:rPr>
          <w:rFonts w:hint="default"/>
          <w:color w:val="auto"/>
          <w:highlight w:val="none"/>
          <w:lang w:val="en-US" w:eastAsia="zh-CN"/>
        </w:rPr>
        <w:t>的通知》</w:t>
      </w:r>
      <w:r>
        <w:rPr>
          <w:rFonts w:hint="eastAsia"/>
          <w:color w:val="auto"/>
          <w:highlight w:val="none"/>
          <w:lang w:val="en-US" w:eastAsia="zh-CN"/>
        </w:rPr>
        <w:t>（</w:t>
      </w:r>
      <w:r>
        <w:rPr>
          <w:rFonts w:hint="default"/>
          <w:color w:val="auto"/>
          <w:highlight w:val="none"/>
          <w:lang w:val="en-US" w:eastAsia="zh-CN"/>
        </w:rPr>
        <w:t>新发改规划〔2017〕891号</w:t>
      </w:r>
      <w:r>
        <w:rPr>
          <w:rFonts w:hint="eastAsia"/>
          <w:color w:val="auto"/>
          <w:highlight w:val="none"/>
          <w:lang w:val="en-US" w:eastAsia="zh-CN"/>
        </w:rPr>
        <w:t>）中若羌县产业准入负面清单内</w:t>
      </w:r>
      <w:r>
        <w:rPr>
          <w:rFonts w:hint="default"/>
          <w:color w:val="auto"/>
          <w:highlight w:val="none"/>
          <w:lang w:val="en-US" w:eastAsia="zh-CN"/>
        </w:rPr>
        <w:t>。本项目不属于新增240个国家重点生态功能区县市</w:t>
      </w:r>
      <w:r>
        <w:rPr>
          <w:rFonts w:hint="eastAsia"/>
          <w:color w:val="auto"/>
          <w:highlight w:val="none"/>
          <w:lang w:val="en-US" w:eastAsia="zh-CN"/>
        </w:rPr>
        <w:t>和《新疆维吾尔自治区17个新增纳入国家重点生态功能区县（市）产业准入负面清单》</w:t>
      </w:r>
      <w:r>
        <w:rPr>
          <w:rFonts w:hint="default"/>
          <w:color w:val="auto"/>
          <w:highlight w:val="none"/>
          <w:lang w:val="en-US" w:eastAsia="zh-CN"/>
        </w:rPr>
        <w:t>，符合《国家发展改革委办公厅关于明确新增国家重点生态功能区类型的通知》（发改办规划〔2017〕201号）要求。</w:t>
      </w:r>
    </w:p>
    <w:p w14:paraId="6632A343">
      <w:pPr>
        <w:widowControl/>
        <w:overflowPunct w:val="0"/>
        <w:topLinePunct/>
        <w:ind w:firstLine="480"/>
        <w:rPr>
          <w:rFonts w:hint="eastAsia"/>
          <w:color w:val="auto"/>
          <w:highlight w:val="none"/>
        </w:rPr>
      </w:pPr>
      <w:r>
        <w:rPr>
          <w:rFonts w:hint="eastAsia" w:cs="宋体"/>
          <w:color w:val="auto"/>
          <w:kern w:val="0"/>
          <w:highlight w:val="none"/>
        </w:rPr>
        <w:t>本项目为</w:t>
      </w:r>
      <w:r>
        <w:rPr>
          <w:rFonts w:hint="eastAsia" w:cs="宋体"/>
          <w:color w:val="auto"/>
          <w:kern w:val="0"/>
          <w:highlight w:val="none"/>
          <w:lang w:val="en-US" w:eastAsia="zh-CN"/>
        </w:rPr>
        <w:t>萤石矿采选</w:t>
      </w:r>
      <w:r>
        <w:rPr>
          <w:rFonts w:hint="eastAsia" w:cs="宋体"/>
          <w:color w:val="auto"/>
          <w:kern w:val="0"/>
          <w:highlight w:val="none"/>
        </w:rPr>
        <w:t>工程，项目区行政区划隶属</w:t>
      </w:r>
      <w:r>
        <w:rPr>
          <w:rFonts w:hint="eastAsia" w:cs="宋体"/>
          <w:color w:val="auto"/>
          <w:kern w:val="0"/>
          <w:highlight w:val="none"/>
          <w:lang w:eastAsia="zh-CN"/>
        </w:rPr>
        <w:t>若羌</w:t>
      </w:r>
      <w:r>
        <w:rPr>
          <w:rFonts w:hint="eastAsia" w:cs="宋体"/>
          <w:color w:val="auto"/>
          <w:kern w:val="0"/>
          <w:highlight w:val="none"/>
        </w:rPr>
        <w:t>县管辖，属于限制开发区域（重点生态功能区）。</w:t>
      </w:r>
      <w:r>
        <w:rPr>
          <w:rFonts w:hint="eastAsia" w:cs="宋体"/>
          <w:color w:val="auto"/>
          <w:kern w:val="0"/>
          <w:highlight w:val="none"/>
          <w:lang w:val="en-US" w:eastAsia="zh-CN"/>
        </w:rPr>
        <w:t>采用地下开采方式，</w:t>
      </w:r>
      <w:r>
        <w:rPr>
          <w:rFonts w:hint="eastAsia"/>
          <w:color w:val="auto"/>
          <w:highlight w:val="none"/>
        </w:rPr>
        <w:t>有组织产尘点需按照要求设置高效除尘器等除尘设施，无组织产尘点需</w:t>
      </w:r>
      <w:r>
        <w:rPr>
          <w:color w:val="auto"/>
          <w:highlight w:val="none"/>
        </w:rPr>
        <w:t>定期进行洒水降尘</w:t>
      </w:r>
      <w:r>
        <w:rPr>
          <w:rFonts w:hint="eastAsia"/>
          <w:color w:val="auto"/>
          <w:highlight w:val="none"/>
        </w:rPr>
        <w:t>等抑尘措施</w:t>
      </w:r>
      <w:r>
        <w:rPr>
          <w:color w:val="auto"/>
          <w:highlight w:val="none"/>
        </w:rPr>
        <w:t>。运输车辆加盖</w:t>
      </w:r>
      <w:r>
        <w:rPr>
          <w:rFonts w:hint="eastAsia"/>
          <w:color w:val="auto"/>
          <w:highlight w:val="none"/>
          <w:lang w:eastAsia="zh-CN"/>
        </w:rPr>
        <w:t>篷布</w:t>
      </w:r>
      <w:r>
        <w:rPr>
          <w:color w:val="auto"/>
          <w:highlight w:val="none"/>
        </w:rPr>
        <w:t>，运输全程均需密闭，做到无逸散、无撒漏，防止运输中抛撒引起的扬尘</w:t>
      </w:r>
      <w:r>
        <w:rPr>
          <w:rFonts w:hint="eastAsia"/>
          <w:color w:val="auto"/>
          <w:highlight w:val="none"/>
        </w:rPr>
        <w:t>；加强尾矿库及应急设施的建设及管理</w:t>
      </w:r>
      <w:r>
        <w:rPr>
          <w:rFonts w:hint="eastAsia"/>
          <w:color w:val="auto"/>
          <w:highlight w:val="none"/>
          <w:lang w:eastAsia="zh-CN"/>
        </w:rPr>
        <w:t>；禁止破坏占地范围外自然植被，禁止捕猎野生动物</w:t>
      </w:r>
      <w:r>
        <w:rPr>
          <w:rFonts w:hint="eastAsia" w:ascii="宋体" w:hAnsi="宋体" w:cs="宋体"/>
          <w:color w:val="auto"/>
          <w:kern w:val="0"/>
          <w:highlight w:val="none"/>
        </w:rPr>
        <w:t>。在采取各项生态保护措施的前提下，项目区植被将得以最大程度地恢复，项目建设</w:t>
      </w:r>
      <w:r>
        <w:rPr>
          <w:rFonts w:hint="eastAsia"/>
          <w:color w:val="auto"/>
          <w:highlight w:val="none"/>
        </w:rPr>
        <w:t>对区域生态影响可接受。综上，</w:t>
      </w:r>
      <w:r>
        <w:rPr>
          <w:rFonts w:hint="eastAsia" w:ascii="宋体" w:hAnsi="宋体" w:cs="宋体"/>
          <w:color w:val="auto"/>
          <w:kern w:val="0"/>
          <w:highlight w:val="none"/>
        </w:rPr>
        <w:t>本项目符合《新疆维吾尔自治区主体功能区规划》中的相关要求。</w:t>
      </w:r>
    </w:p>
    <w:p w14:paraId="328E1947">
      <w:pPr>
        <w:pStyle w:val="7"/>
        <w:ind w:firstLine="482" w:firstLineChars="200"/>
        <w:rPr>
          <w:color w:val="auto"/>
          <w:highlight w:val="none"/>
        </w:rPr>
      </w:pPr>
      <w:r>
        <w:rPr>
          <w:rFonts w:hint="eastAsia"/>
          <w:color w:val="auto"/>
          <w:highlight w:val="none"/>
        </w:rPr>
        <w:t>1.3.</w:t>
      </w:r>
      <w:r>
        <w:rPr>
          <w:rFonts w:hint="eastAsia"/>
          <w:color w:val="auto"/>
          <w:highlight w:val="none"/>
          <w:lang w:val="en-US" w:eastAsia="zh-CN"/>
        </w:rPr>
        <w:t>4</w:t>
      </w:r>
      <w:r>
        <w:rPr>
          <w:rFonts w:hint="eastAsia"/>
          <w:color w:val="auto"/>
          <w:highlight w:val="none"/>
        </w:rPr>
        <w:t>.</w:t>
      </w:r>
      <w:r>
        <w:rPr>
          <w:color w:val="auto"/>
          <w:highlight w:val="none"/>
        </w:rPr>
        <w:t>2与《</w:t>
      </w:r>
      <w:r>
        <w:rPr>
          <w:rFonts w:hint="eastAsia"/>
          <w:color w:val="auto"/>
          <w:highlight w:val="none"/>
        </w:rPr>
        <w:t>新疆生态功能区划</w:t>
      </w:r>
      <w:r>
        <w:rPr>
          <w:color w:val="auto"/>
          <w:highlight w:val="none"/>
        </w:rPr>
        <w:t>》的符合性分析</w:t>
      </w:r>
    </w:p>
    <w:p w14:paraId="6AB4F4AE">
      <w:pPr>
        <w:bidi w:val="0"/>
        <w:rPr>
          <w:color w:val="auto"/>
          <w:highlight w:val="none"/>
        </w:rPr>
      </w:pPr>
      <w:r>
        <w:rPr>
          <w:rFonts w:hint="eastAsia"/>
          <w:color w:val="auto"/>
          <w:highlight w:val="none"/>
        </w:rPr>
        <w:t>根据《全国生态功能区划（修编版）》，项目所在区域属</w:t>
      </w:r>
      <w:r>
        <w:rPr>
          <w:rFonts w:hint="eastAsia"/>
          <w:color w:val="auto"/>
          <w:highlight w:val="none"/>
          <w:lang w:val="en-US" w:eastAsia="zh-CN"/>
        </w:rPr>
        <w:t>阿尔金山生物多样性保护功能区</w:t>
      </w:r>
      <w:r>
        <w:rPr>
          <w:rFonts w:hint="eastAsia"/>
          <w:color w:val="auto"/>
          <w:highlight w:val="none"/>
        </w:rPr>
        <w:t>。</w:t>
      </w:r>
      <w:r>
        <w:rPr>
          <w:color w:val="auto"/>
          <w:highlight w:val="none"/>
        </w:rPr>
        <w:t>根据《新疆生态功能区划》，</w:t>
      </w:r>
      <w:r>
        <w:rPr>
          <w:color w:val="auto"/>
          <w:highlight w:val="none"/>
          <w:lang w:val="zh-CN"/>
        </w:rPr>
        <w:t>项目所在地属于</w:t>
      </w:r>
      <w:r>
        <w:rPr>
          <w:rFonts w:hint="eastAsia"/>
          <w:color w:val="auto"/>
          <w:highlight w:val="none"/>
          <w:lang w:val="zh-CN"/>
        </w:rPr>
        <w:t>帕米尔</w:t>
      </w:r>
      <w:r>
        <w:rPr>
          <w:rFonts w:hint="eastAsia"/>
          <w:color w:val="auto"/>
          <w:highlight w:val="none"/>
          <w:lang w:val="en-US" w:eastAsia="zh-CN"/>
        </w:rPr>
        <w:t>-昆仑山-阿尔金山荒漠干旱草原生态区</w:t>
      </w:r>
      <w:r>
        <w:rPr>
          <w:rFonts w:hint="eastAsia"/>
          <w:color w:val="auto"/>
          <w:highlight w:val="none"/>
          <w:lang w:val="zh-CN"/>
        </w:rPr>
        <w:t>，阿尔金山荒漠草原生物多样性保护</w:t>
      </w:r>
      <w:r>
        <w:rPr>
          <w:color w:val="auto"/>
          <w:highlight w:val="none"/>
          <w:lang w:val="zh-CN"/>
        </w:rPr>
        <w:t>生态亚区</w:t>
      </w:r>
      <w:r>
        <w:rPr>
          <w:rFonts w:hint="eastAsia"/>
          <w:color w:val="auto"/>
          <w:highlight w:val="none"/>
          <w:lang w:val="zh-CN"/>
        </w:rPr>
        <w:t>，阿尔金山荒漠草原及野骆驼保护</w:t>
      </w:r>
      <w:r>
        <w:rPr>
          <w:color w:val="auto"/>
          <w:highlight w:val="none"/>
          <w:lang w:val="zh-CN"/>
        </w:rPr>
        <w:t>生态功能区</w:t>
      </w:r>
      <w:r>
        <w:rPr>
          <w:rFonts w:hint="eastAsia"/>
          <w:color w:val="auto"/>
          <w:highlight w:val="none"/>
          <w:lang w:val="zh-CN"/>
        </w:rPr>
        <w:t>。</w:t>
      </w:r>
      <w:r>
        <w:rPr>
          <w:color w:val="auto"/>
          <w:highlight w:val="none"/>
        </w:rPr>
        <w:t>该生态功能区的主要生态服务功能</w:t>
      </w:r>
      <w:r>
        <w:rPr>
          <w:rFonts w:hint="eastAsia"/>
          <w:color w:val="auto"/>
          <w:highlight w:val="none"/>
        </w:rPr>
        <w:t>、</w:t>
      </w:r>
      <w:r>
        <w:rPr>
          <w:color w:val="auto"/>
          <w:highlight w:val="none"/>
        </w:rPr>
        <w:t>生态敏感因子、主要生态环境问题和主要保护目标见表</w:t>
      </w:r>
      <w:r>
        <w:rPr>
          <w:rFonts w:hint="eastAsia"/>
          <w:color w:val="auto"/>
          <w:highlight w:val="none"/>
        </w:rPr>
        <w:t>1.3-</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新疆生态功能区划图见图</w:t>
      </w:r>
      <w:r>
        <w:rPr>
          <w:rFonts w:hint="eastAsia"/>
          <w:color w:val="auto"/>
          <w:highlight w:val="none"/>
          <w:lang w:val="en-US" w:eastAsia="zh-CN"/>
        </w:rPr>
        <w:t>1.3-2</w:t>
      </w:r>
      <w:r>
        <w:rPr>
          <w:color w:val="auto"/>
          <w:highlight w:val="none"/>
        </w:rPr>
        <w:t>。</w:t>
      </w:r>
    </w:p>
    <w:p w14:paraId="662751F7">
      <w:pPr>
        <w:adjustRightInd w:val="0"/>
        <w:snapToGrid w:val="0"/>
        <w:ind w:firstLine="0" w:firstLineChars="0"/>
        <w:jc w:val="center"/>
        <w:rPr>
          <w:b/>
          <w:color w:val="auto"/>
          <w:kern w:val="0"/>
          <w:highlight w:val="none"/>
        </w:rPr>
      </w:pPr>
      <w:r>
        <w:rPr>
          <w:b/>
          <w:color w:val="auto"/>
          <w:kern w:val="0"/>
          <w:highlight w:val="none"/>
        </w:rPr>
        <w:t>表</w:t>
      </w:r>
      <w:r>
        <w:rPr>
          <w:rFonts w:hint="eastAsia"/>
          <w:b/>
          <w:color w:val="auto"/>
          <w:kern w:val="0"/>
          <w:highlight w:val="none"/>
        </w:rPr>
        <w:t>1.3-</w:t>
      </w:r>
      <w:r>
        <w:rPr>
          <w:rFonts w:hint="eastAsia"/>
          <w:b/>
          <w:color w:val="auto"/>
          <w:kern w:val="0"/>
          <w:highlight w:val="none"/>
          <w:lang w:val="en-US" w:eastAsia="zh-CN"/>
        </w:rPr>
        <w:t>5</w:t>
      </w:r>
      <w:r>
        <w:rPr>
          <w:b/>
          <w:color w:val="auto"/>
          <w:kern w:val="0"/>
          <w:highlight w:val="none"/>
        </w:rPr>
        <w:t xml:space="preserve">    项目区生态功能区划</w:t>
      </w:r>
    </w:p>
    <w:tbl>
      <w:tblPr>
        <w:tblStyle w:val="1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1605"/>
        <w:gridCol w:w="5419"/>
      </w:tblGrid>
      <w:tr w14:paraId="229B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5" w:type="dxa"/>
            <w:vMerge w:val="restart"/>
            <w:tcBorders>
              <w:tl2br w:val="nil"/>
              <w:tr2bl w:val="nil"/>
            </w:tcBorders>
            <w:vAlign w:val="center"/>
          </w:tcPr>
          <w:p w14:paraId="6A66CDE5">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生态功能分区单元</w:t>
            </w:r>
          </w:p>
        </w:tc>
        <w:tc>
          <w:tcPr>
            <w:tcW w:w="1605" w:type="dxa"/>
            <w:tcBorders>
              <w:tl2br w:val="nil"/>
              <w:tr2bl w:val="nil"/>
            </w:tcBorders>
            <w:vAlign w:val="center"/>
          </w:tcPr>
          <w:p w14:paraId="0A477DAD">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生态区</w:t>
            </w:r>
          </w:p>
        </w:tc>
        <w:tc>
          <w:tcPr>
            <w:tcW w:w="5419" w:type="dxa"/>
            <w:tcBorders>
              <w:tl2br w:val="nil"/>
              <w:tr2bl w:val="nil"/>
            </w:tcBorders>
            <w:vAlign w:val="center"/>
          </w:tcPr>
          <w:p w14:paraId="43AF4BCC">
            <w:pPr>
              <w:autoSpaceDE w:val="0"/>
              <w:autoSpaceDN w:val="0"/>
              <w:adjustRightInd w:val="0"/>
              <w:spacing w:line="360" w:lineRule="exact"/>
              <w:ind w:firstLine="0" w:firstLineChars="0"/>
              <w:jc w:val="center"/>
              <w:rPr>
                <w:color w:val="auto"/>
                <w:sz w:val="21"/>
                <w:szCs w:val="21"/>
                <w:highlight w:val="none"/>
                <w:lang w:val="zh-CN"/>
              </w:rPr>
            </w:pPr>
            <w:r>
              <w:rPr>
                <w:rFonts w:hint="eastAsia"/>
                <w:color w:val="auto"/>
                <w:sz w:val="21"/>
                <w:szCs w:val="21"/>
                <w:highlight w:val="none"/>
                <w:lang w:val="en-US" w:eastAsia="zh-CN"/>
              </w:rPr>
              <w:t>V</w:t>
            </w:r>
            <w:r>
              <w:rPr>
                <w:rFonts w:hint="eastAsia"/>
                <w:color w:val="auto"/>
                <w:sz w:val="21"/>
                <w:szCs w:val="21"/>
                <w:highlight w:val="none"/>
                <w:lang w:val="zh-CN"/>
              </w:rPr>
              <w:t>帕米尔</w:t>
            </w:r>
            <w:r>
              <w:rPr>
                <w:rFonts w:hint="eastAsia"/>
                <w:color w:val="auto"/>
                <w:sz w:val="21"/>
                <w:szCs w:val="21"/>
                <w:highlight w:val="none"/>
                <w:lang w:val="zh-CN" w:eastAsia="zh-CN"/>
              </w:rPr>
              <w:t>-昆仑山-阿尔金山荒漠干旱草原生态区</w:t>
            </w:r>
          </w:p>
        </w:tc>
      </w:tr>
      <w:tr w14:paraId="7FFD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5" w:type="dxa"/>
            <w:vMerge w:val="continue"/>
            <w:tcBorders>
              <w:tl2br w:val="nil"/>
              <w:tr2bl w:val="nil"/>
            </w:tcBorders>
            <w:vAlign w:val="center"/>
          </w:tcPr>
          <w:p w14:paraId="5A307E64">
            <w:pPr>
              <w:autoSpaceDE w:val="0"/>
              <w:autoSpaceDN w:val="0"/>
              <w:adjustRightInd w:val="0"/>
              <w:spacing w:line="360" w:lineRule="exact"/>
              <w:ind w:firstLine="0" w:firstLineChars="0"/>
              <w:jc w:val="center"/>
              <w:rPr>
                <w:color w:val="auto"/>
                <w:sz w:val="21"/>
                <w:szCs w:val="21"/>
                <w:highlight w:val="none"/>
              </w:rPr>
            </w:pPr>
          </w:p>
        </w:tc>
        <w:tc>
          <w:tcPr>
            <w:tcW w:w="1605" w:type="dxa"/>
            <w:tcBorders>
              <w:tl2br w:val="nil"/>
              <w:tr2bl w:val="nil"/>
            </w:tcBorders>
            <w:vAlign w:val="center"/>
          </w:tcPr>
          <w:p w14:paraId="0D852832">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生态亚区</w:t>
            </w:r>
          </w:p>
        </w:tc>
        <w:tc>
          <w:tcPr>
            <w:tcW w:w="5419" w:type="dxa"/>
            <w:tcBorders>
              <w:tl2br w:val="nil"/>
              <w:tr2bl w:val="nil"/>
            </w:tcBorders>
            <w:vAlign w:val="center"/>
          </w:tcPr>
          <w:p w14:paraId="09172C0E">
            <w:pPr>
              <w:autoSpaceDE w:val="0"/>
              <w:autoSpaceDN w:val="0"/>
              <w:adjustRightInd w:val="0"/>
              <w:spacing w:line="360" w:lineRule="exact"/>
              <w:ind w:firstLine="0" w:firstLineChars="0"/>
              <w:jc w:val="center"/>
              <w:rPr>
                <w:color w:val="auto"/>
                <w:sz w:val="21"/>
                <w:szCs w:val="21"/>
                <w:highlight w:val="none"/>
                <w:lang w:val="zh-CN"/>
              </w:rPr>
            </w:pPr>
            <w:r>
              <w:rPr>
                <w:rFonts w:hint="eastAsia"/>
                <w:color w:val="auto"/>
                <w:sz w:val="21"/>
                <w:szCs w:val="21"/>
                <w:highlight w:val="none"/>
                <w:lang w:val="en-US" w:eastAsia="zh-CN"/>
              </w:rPr>
              <w:t>V3</w:t>
            </w:r>
            <w:r>
              <w:rPr>
                <w:rFonts w:hint="eastAsia"/>
                <w:color w:val="auto"/>
                <w:sz w:val="21"/>
                <w:szCs w:val="21"/>
                <w:highlight w:val="none"/>
                <w:lang w:val="zh-CN"/>
              </w:rPr>
              <w:t>阿尔金山荒漠草原生物多样性保护</w:t>
            </w:r>
            <w:r>
              <w:rPr>
                <w:color w:val="auto"/>
                <w:sz w:val="21"/>
                <w:szCs w:val="21"/>
                <w:highlight w:val="none"/>
                <w:lang w:val="zh-CN"/>
              </w:rPr>
              <w:t>生态亚区</w:t>
            </w:r>
          </w:p>
        </w:tc>
      </w:tr>
      <w:tr w14:paraId="07A1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5" w:type="dxa"/>
            <w:vMerge w:val="continue"/>
            <w:tcBorders>
              <w:tl2br w:val="nil"/>
              <w:tr2bl w:val="nil"/>
            </w:tcBorders>
            <w:vAlign w:val="center"/>
          </w:tcPr>
          <w:p w14:paraId="1FAFA08A">
            <w:pPr>
              <w:autoSpaceDE w:val="0"/>
              <w:autoSpaceDN w:val="0"/>
              <w:adjustRightInd w:val="0"/>
              <w:spacing w:line="360" w:lineRule="exact"/>
              <w:ind w:firstLine="0" w:firstLineChars="0"/>
              <w:jc w:val="center"/>
              <w:rPr>
                <w:color w:val="auto"/>
                <w:sz w:val="21"/>
                <w:szCs w:val="21"/>
                <w:highlight w:val="none"/>
              </w:rPr>
            </w:pPr>
          </w:p>
        </w:tc>
        <w:tc>
          <w:tcPr>
            <w:tcW w:w="1605" w:type="dxa"/>
            <w:tcBorders>
              <w:tl2br w:val="nil"/>
              <w:tr2bl w:val="nil"/>
            </w:tcBorders>
            <w:vAlign w:val="center"/>
          </w:tcPr>
          <w:p w14:paraId="3953AE32">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生态功能区</w:t>
            </w:r>
          </w:p>
        </w:tc>
        <w:tc>
          <w:tcPr>
            <w:tcW w:w="5419" w:type="dxa"/>
            <w:tcBorders>
              <w:tl2br w:val="nil"/>
              <w:tr2bl w:val="nil"/>
            </w:tcBorders>
            <w:vAlign w:val="center"/>
          </w:tcPr>
          <w:p w14:paraId="79497AA0">
            <w:pPr>
              <w:autoSpaceDE w:val="0"/>
              <w:autoSpaceDN w:val="0"/>
              <w:adjustRightInd w:val="0"/>
              <w:spacing w:line="360" w:lineRule="exact"/>
              <w:ind w:firstLine="0" w:firstLineChars="0"/>
              <w:jc w:val="center"/>
              <w:rPr>
                <w:color w:val="auto"/>
                <w:sz w:val="21"/>
                <w:szCs w:val="21"/>
                <w:highlight w:val="none"/>
                <w:lang w:val="zh-CN"/>
              </w:rPr>
            </w:pPr>
            <w:r>
              <w:rPr>
                <w:rFonts w:hint="eastAsia"/>
                <w:color w:val="auto"/>
                <w:sz w:val="21"/>
                <w:szCs w:val="21"/>
                <w:highlight w:val="none"/>
                <w:lang w:val="en-US" w:eastAsia="zh-CN"/>
              </w:rPr>
              <w:t>76.</w:t>
            </w:r>
            <w:r>
              <w:rPr>
                <w:rFonts w:hint="eastAsia"/>
                <w:color w:val="auto"/>
                <w:sz w:val="21"/>
                <w:szCs w:val="21"/>
                <w:highlight w:val="none"/>
                <w:lang w:val="zh-CN"/>
              </w:rPr>
              <w:t>阿尔金山荒漠草原及野骆驼保护</w:t>
            </w:r>
            <w:r>
              <w:rPr>
                <w:color w:val="auto"/>
                <w:sz w:val="21"/>
                <w:szCs w:val="21"/>
                <w:highlight w:val="none"/>
                <w:lang w:val="zh-CN"/>
              </w:rPr>
              <w:t>生态功能区</w:t>
            </w:r>
          </w:p>
        </w:tc>
      </w:tr>
      <w:tr w14:paraId="26CD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0" w:type="dxa"/>
            <w:gridSpan w:val="2"/>
            <w:tcBorders>
              <w:tl2br w:val="nil"/>
              <w:tr2bl w:val="nil"/>
            </w:tcBorders>
            <w:vAlign w:val="center"/>
          </w:tcPr>
          <w:p w14:paraId="2632EB02">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主要生态服务功能</w:t>
            </w:r>
          </w:p>
        </w:tc>
        <w:tc>
          <w:tcPr>
            <w:tcW w:w="5419" w:type="dxa"/>
            <w:tcBorders>
              <w:tl2br w:val="nil"/>
              <w:tr2bl w:val="nil"/>
            </w:tcBorders>
            <w:vAlign w:val="center"/>
          </w:tcPr>
          <w:p w14:paraId="5D5CBC1A">
            <w:pPr>
              <w:autoSpaceDE w:val="0"/>
              <w:autoSpaceDN w:val="0"/>
              <w:adjustRightInd w:val="0"/>
              <w:spacing w:line="360" w:lineRule="exact"/>
              <w:ind w:firstLine="0" w:firstLineChars="0"/>
              <w:jc w:val="center"/>
              <w:rPr>
                <w:color w:val="auto"/>
                <w:sz w:val="21"/>
                <w:szCs w:val="21"/>
                <w:highlight w:val="none"/>
                <w:lang w:val="zh-CN"/>
              </w:rPr>
            </w:pPr>
            <w:r>
              <w:rPr>
                <w:rFonts w:hint="eastAsia"/>
                <w:color w:val="auto"/>
                <w:sz w:val="21"/>
                <w:szCs w:val="21"/>
                <w:highlight w:val="none"/>
                <w:lang w:val="zh-CN"/>
              </w:rPr>
              <w:t>土壤保持、生物多样性维护</w:t>
            </w:r>
          </w:p>
        </w:tc>
      </w:tr>
      <w:tr w14:paraId="7FE9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0" w:type="dxa"/>
            <w:gridSpan w:val="2"/>
            <w:tcBorders>
              <w:tl2br w:val="nil"/>
              <w:tr2bl w:val="nil"/>
            </w:tcBorders>
            <w:vAlign w:val="center"/>
          </w:tcPr>
          <w:p w14:paraId="7B2C9C0B">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主要生态环境问题</w:t>
            </w:r>
          </w:p>
        </w:tc>
        <w:tc>
          <w:tcPr>
            <w:tcW w:w="5419" w:type="dxa"/>
            <w:tcBorders>
              <w:tl2br w:val="nil"/>
              <w:tr2bl w:val="nil"/>
            </w:tcBorders>
          </w:tcPr>
          <w:p w14:paraId="086E954E">
            <w:pPr>
              <w:autoSpaceDE w:val="0"/>
              <w:autoSpaceDN w:val="0"/>
              <w:adjustRightInd w:val="0"/>
              <w:spacing w:line="360" w:lineRule="exact"/>
              <w:ind w:firstLine="0" w:firstLineChars="0"/>
              <w:jc w:val="center"/>
              <w:rPr>
                <w:rFonts w:hint="eastAsia" w:eastAsia="宋体"/>
                <w:color w:val="auto"/>
                <w:sz w:val="21"/>
                <w:szCs w:val="21"/>
                <w:highlight w:val="none"/>
                <w:lang w:eastAsia="zh-CN"/>
              </w:rPr>
            </w:pPr>
            <w:r>
              <w:rPr>
                <w:rFonts w:hint="eastAsia"/>
                <w:color w:val="auto"/>
                <w:sz w:val="21"/>
                <w:szCs w:val="21"/>
                <w:highlight w:val="none"/>
              </w:rPr>
              <w:t>草</w:t>
            </w:r>
            <w:r>
              <w:rPr>
                <w:rFonts w:hint="eastAsia"/>
                <w:color w:val="auto"/>
                <w:sz w:val="21"/>
                <w:szCs w:val="21"/>
                <w:highlight w:val="none"/>
                <w:lang w:eastAsia="zh-CN"/>
              </w:rPr>
              <w:t>地</w:t>
            </w:r>
            <w:r>
              <w:rPr>
                <w:rFonts w:hint="eastAsia"/>
                <w:color w:val="auto"/>
                <w:sz w:val="21"/>
                <w:szCs w:val="21"/>
                <w:highlight w:val="none"/>
              </w:rPr>
              <w:t>退化、</w:t>
            </w:r>
            <w:r>
              <w:rPr>
                <w:rFonts w:hint="eastAsia"/>
                <w:color w:val="auto"/>
                <w:sz w:val="21"/>
                <w:szCs w:val="21"/>
                <w:highlight w:val="none"/>
                <w:lang w:eastAsia="zh-CN"/>
              </w:rPr>
              <w:t>水土流失、洪水危害</w:t>
            </w:r>
          </w:p>
        </w:tc>
      </w:tr>
      <w:tr w14:paraId="405C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0" w:type="dxa"/>
            <w:gridSpan w:val="2"/>
            <w:tcBorders>
              <w:tl2br w:val="nil"/>
              <w:tr2bl w:val="nil"/>
            </w:tcBorders>
            <w:vAlign w:val="center"/>
          </w:tcPr>
          <w:p w14:paraId="244185A9">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主要生态敏感因子、敏感程度</w:t>
            </w:r>
          </w:p>
        </w:tc>
        <w:tc>
          <w:tcPr>
            <w:tcW w:w="5419" w:type="dxa"/>
            <w:tcBorders>
              <w:tl2br w:val="nil"/>
              <w:tr2bl w:val="nil"/>
            </w:tcBorders>
            <w:vAlign w:val="center"/>
          </w:tcPr>
          <w:p w14:paraId="7BFDD6E7">
            <w:pPr>
              <w:autoSpaceDE w:val="0"/>
              <w:autoSpaceDN w:val="0"/>
              <w:adjustRightInd w:val="0"/>
              <w:spacing w:line="360" w:lineRule="exact"/>
              <w:ind w:firstLine="0" w:firstLineChars="0"/>
              <w:jc w:val="center"/>
              <w:rPr>
                <w:color w:val="auto"/>
                <w:sz w:val="21"/>
                <w:szCs w:val="21"/>
                <w:highlight w:val="none"/>
                <w:lang w:val="zh-CN"/>
              </w:rPr>
            </w:pPr>
            <w:r>
              <w:rPr>
                <w:rFonts w:hint="eastAsia"/>
                <w:color w:val="auto"/>
                <w:sz w:val="21"/>
                <w:szCs w:val="21"/>
                <w:highlight w:val="none"/>
                <w:lang w:val="zh-CN"/>
              </w:rPr>
              <w:t>生物多样性及其生境高度敏感，土壤侵蚀高度敏感</w:t>
            </w:r>
          </w:p>
        </w:tc>
      </w:tr>
      <w:tr w14:paraId="6CC6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0" w:type="dxa"/>
            <w:gridSpan w:val="2"/>
            <w:tcBorders>
              <w:tl2br w:val="nil"/>
              <w:tr2bl w:val="nil"/>
            </w:tcBorders>
            <w:vAlign w:val="center"/>
          </w:tcPr>
          <w:p w14:paraId="04F228CF">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主要保护目标</w:t>
            </w:r>
          </w:p>
        </w:tc>
        <w:tc>
          <w:tcPr>
            <w:tcW w:w="5419" w:type="dxa"/>
            <w:tcBorders>
              <w:tl2br w:val="nil"/>
              <w:tr2bl w:val="nil"/>
            </w:tcBorders>
            <w:vAlign w:val="center"/>
          </w:tcPr>
          <w:p w14:paraId="3E8F9000">
            <w:pPr>
              <w:autoSpaceDE w:val="0"/>
              <w:autoSpaceDN w:val="0"/>
              <w:adjustRightInd w:val="0"/>
              <w:spacing w:line="360" w:lineRule="exact"/>
              <w:ind w:firstLine="0" w:firstLineChars="0"/>
              <w:jc w:val="center"/>
              <w:rPr>
                <w:color w:val="auto"/>
                <w:sz w:val="21"/>
                <w:szCs w:val="21"/>
                <w:highlight w:val="none"/>
                <w:lang w:val="zh-CN"/>
              </w:rPr>
            </w:pPr>
            <w:r>
              <w:rPr>
                <w:rFonts w:hint="eastAsia"/>
                <w:color w:val="auto"/>
                <w:sz w:val="21"/>
                <w:szCs w:val="21"/>
                <w:highlight w:val="none"/>
                <w:lang w:val="zh-CN"/>
              </w:rPr>
              <w:t>保护荒漠草原和野骆驼</w:t>
            </w:r>
          </w:p>
        </w:tc>
      </w:tr>
      <w:tr w14:paraId="1AD9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0" w:type="dxa"/>
            <w:gridSpan w:val="2"/>
            <w:tcBorders>
              <w:tl2br w:val="nil"/>
              <w:tr2bl w:val="nil"/>
            </w:tcBorders>
            <w:vAlign w:val="center"/>
          </w:tcPr>
          <w:p w14:paraId="39C41905">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主要保护措施</w:t>
            </w:r>
          </w:p>
        </w:tc>
        <w:tc>
          <w:tcPr>
            <w:tcW w:w="5419" w:type="dxa"/>
            <w:tcBorders>
              <w:tl2br w:val="nil"/>
              <w:tr2bl w:val="nil"/>
            </w:tcBorders>
            <w:vAlign w:val="center"/>
          </w:tcPr>
          <w:p w14:paraId="6479789E">
            <w:pPr>
              <w:autoSpaceDE w:val="0"/>
              <w:autoSpaceDN w:val="0"/>
              <w:adjustRightInd w:val="0"/>
              <w:spacing w:line="360" w:lineRule="exact"/>
              <w:ind w:firstLine="0" w:firstLineChars="0"/>
              <w:jc w:val="center"/>
              <w:rPr>
                <w:rFonts w:hint="eastAsia"/>
                <w:color w:val="auto"/>
                <w:sz w:val="21"/>
                <w:szCs w:val="21"/>
                <w:highlight w:val="none"/>
                <w:lang w:val="zh-CN"/>
              </w:rPr>
            </w:pPr>
            <w:r>
              <w:rPr>
                <w:rFonts w:hint="eastAsia"/>
                <w:color w:val="auto"/>
                <w:sz w:val="21"/>
                <w:szCs w:val="21"/>
                <w:highlight w:val="none"/>
                <w:lang w:val="zh-CN"/>
              </w:rPr>
              <w:t>保护区退牧、禁止偷猎、禁止乱采玉石矿、</w:t>
            </w:r>
          </w:p>
          <w:p w14:paraId="4691733E">
            <w:pPr>
              <w:autoSpaceDE w:val="0"/>
              <w:autoSpaceDN w:val="0"/>
              <w:adjustRightInd w:val="0"/>
              <w:spacing w:line="360" w:lineRule="exact"/>
              <w:ind w:firstLine="0" w:firstLineChars="0"/>
              <w:jc w:val="center"/>
              <w:rPr>
                <w:color w:val="auto"/>
                <w:sz w:val="21"/>
                <w:szCs w:val="21"/>
                <w:highlight w:val="none"/>
                <w:lang w:val="zh-CN"/>
              </w:rPr>
            </w:pPr>
            <w:r>
              <w:rPr>
                <w:rFonts w:hint="eastAsia"/>
                <w:color w:val="auto"/>
                <w:sz w:val="21"/>
                <w:szCs w:val="21"/>
                <w:highlight w:val="none"/>
                <w:lang w:val="zh-CN"/>
              </w:rPr>
              <w:t>加强保护区管理</w:t>
            </w:r>
          </w:p>
        </w:tc>
      </w:tr>
      <w:tr w14:paraId="3722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00" w:type="dxa"/>
            <w:gridSpan w:val="2"/>
            <w:tcBorders>
              <w:tl2br w:val="nil"/>
              <w:tr2bl w:val="nil"/>
            </w:tcBorders>
            <w:vAlign w:val="center"/>
          </w:tcPr>
          <w:p w14:paraId="0AFA766F">
            <w:pPr>
              <w:autoSpaceDE w:val="0"/>
              <w:autoSpaceDN w:val="0"/>
              <w:adjustRightInd w:val="0"/>
              <w:spacing w:line="360" w:lineRule="exact"/>
              <w:ind w:firstLine="0" w:firstLineChars="0"/>
              <w:jc w:val="center"/>
              <w:rPr>
                <w:color w:val="auto"/>
                <w:sz w:val="21"/>
                <w:szCs w:val="21"/>
                <w:highlight w:val="none"/>
              </w:rPr>
            </w:pPr>
            <w:r>
              <w:rPr>
                <w:color w:val="auto"/>
                <w:sz w:val="21"/>
                <w:szCs w:val="21"/>
                <w:highlight w:val="none"/>
                <w:lang w:val="zh-CN"/>
              </w:rPr>
              <w:t>适宜发展方向</w:t>
            </w:r>
          </w:p>
        </w:tc>
        <w:tc>
          <w:tcPr>
            <w:tcW w:w="5419" w:type="dxa"/>
            <w:tcBorders>
              <w:tl2br w:val="nil"/>
              <w:tr2bl w:val="nil"/>
            </w:tcBorders>
            <w:vAlign w:val="center"/>
          </w:tcPr>
          <w:p w14:paraId="677EB6CD">
            <w:pPr>
              <w:autoSpaceDE w:val="0"/>
              <w:autoSpaceDN w:val="0"/>
              <w:adjustRightInd w:val="0"/>
              <w:spacing w:line="360" w:lineRule="exact"/>
              <w:ind w:firstLine="0" w:firstLineChars="0"/>
              <w:jc w:val="center"/>
              <w:rPr>
                <w:color w:val="auto"/>
                <w:sz w:val="21"/>
                <w:szCs w:val="21"/>
                <w:highlight w:val="none"/>
                <w:lang w:val="zh-CN"/>
              </w:rPr>
            </w:pPr>
            <w:r>
              <w:rPr>
                <w:rFonts w:hint="eastAsia"/>
                <w:color w:val="auto"/>
                <w:sz w:val="21"/>
                <w:szCs w:val="21"/>
                <w:highlight w:val="none"/>
                <w:lang w:val="zh-CN"/>
              </w:rPr>
              <w:t>保护野生动物栖息地，维持自然生态平衡</w:t>
            </w:r>
          </w:p>
        </w:tc>
      </w:tr>
    </w:tbl>
    <w:p w14:paraId="1399033B">
      <w:pPr>
        <w:bidi w:val="0"/>
        <w:rPr>
          <w:color w:val="auto"/>
          <w:highlight w:val="none"/>
        </w:rPr>
      </w:pPr>
      <w:r>
        <w:rPr>
          <w:rFonts w:hint="eastAsia"/>
          <w:color w:val="auto"/>
          <w:highlight w:val="none"/>
        </w:rPr>
        <w:t>项目施工期及运营期占用土地将改变原有的土地利用类型，本项目在生产活动中，</w:t>
      </w:r>
      <w:r>
        <w:rPr>
          <w:rFonts w:hint="eastAsia"/>
          <w:color w:val="auto"/>
          <w:highlight w:val="none"/>
          <w:lang w:val="en-US" w:eastAsia="zh-CN"/>
        </w:rPr>
        <w:t>萤石开采、选矿</w:t>
      </w:r>
      <w:r>
        <w:rPr>
          <w:rFonts w:hint="eastAsia"/>
          <w:color w:val="auto"/>
          <w:highlight w:val="none"/>
        </w:rPr>
        <w:t>、尾矿堆放及运输过程等，会引起粉尘污染、破坏地表植被、加剧水土流失。本次评价要求有组织产尘点需按照要求设置高效除尘器等除尘设施，无组织产尘点需</w:t>
      </w:r>
      <w:r>
        <w:rPr>
          <w:color w:val="auto"/>
          <w:highlight w:val="none"/>
        </w:rPr>
        <w:t>定期进行洒水降尘</w:t>
      </w:r>
      <w:r>
        <w:rPr>
          <w:rFonts w:hint="eastAsia"/>
          <w:color w:val="auto"/>
          <w:highlight w:val="none"/>
        </w:rPr>
        <w:t>等抑尘措施</w:t>
      </w:r>
      <w:r>
        <w:rPr>
          <w:color w:val="auto"/>
          <w:highlight w:val="none"/>
        </w:rPr>
        <w:t>。运输车辆加盖</w:t>
      </w:r>
      <w:r>
        <w:rPr>
          <w:rFonts w:hint="eastAsia"/>
          <w:color w:val="auto"/>
          <w:highlight w:val="none"/>
          <w:lang w:eastAsia="zh-CN"/>
        </w:rPr>
        <w:t>篷布</w:t>
      </w:r>
      <w:r>
        <w:rPr>
          <w:color w:val="auto"/>
          <w:highlight w:val="none"/>
        </w:rPr>
        <w:t>，运输全程均需密闭，做到无逸散、无撒漏，防止运输中抛撒引起的扬尘</w:t>
      </w:r>
      <w:r>
        <w:rPr>
          <w:rFonts w:hint="eastAsia"/>
          <w:color w:val="auto"/>
          <w:highlight w:val="none"/>
        </w:rPr>
        <w:t>；</w:t>
      </w:r>
      <w:r>
        <w:rPr>
          <w:color w:val="auto"/>
          <w:highlight w:val="none"/>
        </w:rPr>
        <w:t>定期进行道路修筑与养护，不得另外</w:t>
      </w:r>
      <w:r>
        <w:rPr>
          <w:rFonts w:hint="eastAsia"/>
          <w:color w:val="auto"/>
          <w:highlight w:val="none"/>
          <w:lang w:eastAsia="zh-CN"/>
        </w:rPr>
        <w:t>违规</w:t>
      </w:r>
      <w:r>
        <w:rPr>
          <w:color w:val="auto"/>
          <w:highlight w:val="none"/>
        </w:rPr>
        <w:t>建设便道，不得占用其他临时占地</w:t>
      </w:r>
      <w:r>
        <w:rPr>
          <w:rFonts w:hint="eastAsia"/>
          <w:color w:val="auto"/>
          <w:highlight w:val="none"/>
        </w:rPr>
        <w:t>；加强尾矿库及应急设施的建设及管理</w:t>
      </w:r>
      <w:r>
        <w:rPr>
          <w:rFonts w:hint="eastAsia"/>
          <w:color w:val="auto"/>
          <w:highlight w:val="none"/>
          <w:lang w:eastAsia="zh-CN"/>
        </w:rPr>
        <w:t>；禁止破坏占地范围外自然植被，禁止捕猎野生动物</w:t>
      </w:r>
      <w:r>
        <w:rPr>
          <w:color w:val="auto"/>
          <w:highlight w:val="none"/>
        </w:rPr>
        <w:t>。</w:t>
      </w:r>
      <w:r>
        <w:rPr>
          <w:rFonts w:hint="eastAsia"/>
          <w:color w:val="auto"/>
          <w:highlight w:val="none"/>
        </w:rPr>
        <w:t>在采取各项生态保护措施的前提下，项目建设不会超出生态承载力，对区域生态影响可接受，生态环境保护目标与保护措施与</w:t>
      </w:r>
      <w:r>
        <w:rPr>
          <w:color w:val="auto"/>
          <w:highlight w:val="none"/>
        </w:rPr>
        <w:t>《</w:t>
      </w:r>
      <w:r>
        <w:rPr>
          <w:rFonts w:hint="eastAsia"/>
          <w:color w:val="auto"/>
          <w:highlight w:val="none"/>
        </w:rPr>
        <w:t>新疆生态功能区划</w:t>
      </w:r>
      <w:r>
        <w:rPr>
          <w:color w:val="auto"/>
          <w:highlight w:val="none"/>
        </w:rPr>
        <w:t>》</w:t>
      </w:r>
      <w:r>
        <w:rPr>
          <w:rFonts w:hint="eastAsia"/>
          <w:color w:val="auto"/>
          <w:highlight w:val="none"/>
        </w:rPr>
        <w:t>相协调。综上所述，本项目符合</w:t>
      </w:r>
      <w:r>
        <w:rPr>
          <w:color w:val="auto"/>
          <w:highlight w:val="none"/>
        </w:rPr>
        <w:t>《新疆生态功能区划》</w:t>
      </w:r>
      <w:r>
        <w:rPr>
          <w:rFonts w:hint="eastAsia"/>
          <w:color w:val="auto"/>
          <w:highlight w:val="none"/>
        </w:rPr>
        <w:t>相关内容。</w:t>
      </w:r>
    </w:p>
    <w:p w14:paraId="69932C8D">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r>
        <w:rPr>
          <w:rFonts w:hint="eastAsia" w:cs="Times New Roman"/>
          <w:color w:val="auto"/>
          <w:highlight w:val="none"/>
          <w:lang w:val="en-US" w:eastAsia="zh-CN"/>
        </w:rPr>
        <w:t>4</w:t>
      </w:r>
      <w:r>
        <w:rPr>
          <w:rFonts w:hint="default" w:ascii="Times New Roman" w:hAnsi="Times New Roman" w:cs="Times New Roman"/>
          <w:color w:val="auto"/>
          <w:highlight w:val="none"/>
        </w:rPr>
        <w:t>.</w:t>
      </w:r>
      <w:r>
        <w:rPr>
          <w:rFonts w:hint="eastAsia" w:cs="Times New Roman"/>
          <w:color w:val="auto"/>
          <w:highlight w:val="none"/>
          <w:lang w:val="en-US" w:eastAsia="zh-CN"/>
        </w:rPr>
        <w:t>3</w:t>
      </w:r>
      <w:r>
        <w:rPr>
          <w:rFonts w:hint="default" w:ascii="Times New Roman" w:hAnsi="Times New Roman" w:cs="Times New Roman"/>
          <w:color w:val="auto"/>
          <w:highlight w:val="none"/>
        </w:rPr>
        <w:t>与《新疆维吾尔自治区国民经济和社会发展第十五个五年规划纲要》的符合性</w:t>
      </w:r>
    </w:p>
    <w:p w14:paraId="3EB34B0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新疆维吾尔自治区国民经济和社会发展第十五个五年规划纲要》：分类有序推进绿色矿山建设，发展矿业循环经济，新建矿山全部按照绿色矿山标准建设，在产矿山加快绿色低碳技术工艺装备改造升级。压实生产矿山生态修复主体责任，加强矿山生态保护修复。到2030年，90%以上持证在产的大中型矿山达到绿色矿山标准要求。推动矿山智能化建设，建立矿山智能化技术、装备、管理体系，提升矿山本质安全水平。</w:t>
      </w:r>
    </w:p>
    <w:p w14:paraId="566243A8">
      <w:pPr>
        <w:bidi w:val="0"/>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本项目位于新疆巴音郭楞蒙古自治州若羌县东南144°方向，直线距离若羌县城74km，行政区划隶属若羌县管辖，属于非金属萤石矿采选工程。项目贯彻绿色发展理念，严格按照绿色矿山标准统筹规划建设，积极推行</w:t>
      </w:r>
      <w:r>
        <w:rPr>
          <w:rStyle w:val="16"/>
          <w:rFonts w:hint="default" w:ascii="Times New Roman" w:hAnsi="Times New Roman" w:eastAsia="宋体" w:cs="Times New Roman"/>
          <w:b w:val="0"/>
          <w:bCs/>
          <w:color w:val="auto"/>
          <w:sz w:val="24"/>
          <w:szCs w:val="24"/>
          <w:highlight w:val="none"/>
        </w:rPr>
        <w:t>萤石尾矿砂井下充填采空区</w:t>
      </w:r>
      <w:r>
        <w:rPr>
          <w:rFonts w:hint="default" w:ascii="Times New Roman" w:hAnsi="Times New Roman" w:eastAsia="宋体" w:cs="Times New Roman"/>
          <w:b w:val="0"/>
          <w:bCs/>
          <w:color w:val="auto"/>
          <w:sz w:val="24"/>
          <w:szCs w:val="24"/>
          <w:highlight w:val="none"/>
        </w:rPr>
        <w:t>模式，推动尾矿资源化消纳，发展矿业循环经济。项目规划配套选用智能化开采、监测管控装备，持续完善矿山智能管理体系，不断提升井下开采本质安全水平。项目建设路径、生态治理思路、固废综合利用举措与自治区“十五五”规划纲要中推进绿色矿山建设、发展矿业循环经济、强化矿山生态保护修复、推动矿山智能化升级的导向保持一致，</w:t>
      </w:r>
      <w:r>
        <w:rPr>
          <w:rStyle w:val="16"/>
          <w:rFonts w:hint="default" w:ascii="Times New Roman" w:hAnsi="Times New Roman" w:eastAsia="宋体" w:cs="Times New Roman"/>
          <w:b w:val="0"/>
          <w:bCs/>
          <w:color w:val="auto"/>
          <w:sz w:val="24"/>
          <w:szCs w:val="24"/>
          <w:highlight w:val="none"/>
        </w:rPr>
        <w:t>符合《新疆维吾尔自治区国民经济和社会发展第十五个五年规划纲要》相关要求</w:t>
      </w:r>
      <w:r>
        <w:rPr>
          <w:rFonts w:hint="default" w:ascii="Times New Roman" w:hAnsi="Times New Roman" w:eastAsia="宋体" w:cs="Times New Roman"/>
          <w:b w:val="0"/>
          <w:bCs/>
          <w:color w:val="auto"/>
          <w:sz w:val="24"/>
          <w:szCs w:val="24"/>
          <w:highlight w:val="none"/>
        </w:rPr>
        <w:t>。</w:t>
      </w:r>
    </w:p>
    <w:p w14:paraId="25E08044">
      <w:pPr>
        <w:pStyle w:val="7"/>
        <w:ind w:firstLine="482"/>
        <w:rPr>
          <w:rFonts w:hint="default" w:ascii="Times New Roman" w:hAnsi="Times New Roman" w:cs="Times New Roman"/>
          <w:color w:val="auto"/>
          <w:spacing w:val="-6"/>
          <w:highlight w:val="none"/>
        </w:rPr>
      </w:pPr>
      <w:r>
        <w:rPr>
          <w:rFonts w:hint="default" w:ascii="Times New Roman" w:hAnsi="Times New Roman" w:cs="Times New Roman"/>
          <w:color w:val="auto"/>
          <w:spacing w:val="-6"/>
          <w:highlight w:val="none"/>
        </w:rPr>
        <w:t>1.3.</w:t>
      </w:r>
      <w:r>
        <w:rPr>
          <w:rFonts w:hint="eastAsia" w:cs="Times New Roman"/>
          <w:color w:val="auto"/>
          <w:spacing w:val="-6"/>
          <w:highlight w:val="none"/>
          <w:lang w:val="en-US" w:eastAsia="zh-CN"/>
        </w:rPr>
        <w:t>4</w:t>
      </w:r>
      <w:r>
        <w:rPr>
          <w:rFonts w:hint="default" w:ascii="Times New Roman" w:hAnsi="Times New Roman" w:cs="Times New Roman"/>
          <w:color w:val="auto"/>
          <w:spacing w:val="-6"/>
          <w:highlight w:val="none"/>
        </w:rPr>
        <w:t>.</w:t>
      </w:r>
      <w:r>
        <w:rPr>
          <w:rFonts w:hint="eastAsia" w:cs="Times New Roman"/>
          <w:color w:val="auto"/>
          <w:spacing w:val="-6"/>
          <w:highlight w:val="none"/>
          <w:lang w:val="en-US" w:eastAsia="zh-CN"/>
        </w:rPr>
        <w:t>4</w:t>
      </w:r>
      <w:r>
        <w:rPr>
          <w:rFonts w:hint="default" w:ascii="Times New Roman" w:hAnsi="Times New Roman" w:cs="Times New Roman"/>
          <w:bCs/>
          <w:color w:val="auto"/>
          <w:highlight w:val="none"/>
        </w:rPr>
        <w:t>与《新疆维吾尔自治区矿产资源总体规划（2021-2025年）》的符合性分析</w:t>
      </w:r>
    </w:p>
    <w:p w14:paraId="76326FA4">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highlight w:val="none"/>
        </w:rPr>
        <w:t>根据《新疆维吾尔自治区矿产资源总体规划（2021-2025年）》，“依据矿产资源分布特点及勘查开发利用现状，按照“深化北疆东疆，加快南疆勘查开发”的总体思路，划分环准噶尔、环塔里木、阿尔泰、东准噶尔、西准噶尔、东天山、西天山、西南天山、西昆仑、东昆仑—阿尔金等“两环八带”十个勘查开发区。”</w:t>
      </w:r>
      <w:r>
        <w:rPr>
          <w:rFonts w:hint="default" w:ascii="Times New Roman" w:hAnsi="Times New Roman" w:cs="Times New Roman"/>
          <w:color w:val="auto"/>
          <w:kern w:val="0"/>
          <w:highlight w:val="none"/>
        </w:rPr>
        <w:t>本项目位于</w:t>
      </w:r>
      <w:r>
        <w:rPr>
          <w:rFonts w:hint="default" w:ascii="Times New Roman" w:hAnsi="Times New Roman" w:cs="Times New Roman"/>
          <w:color w:val="auto"/>
          <w:highlight w:val="none"/>
        </w:rPr>
        <w:t>巴音郭楞蒙古自治州</w:t>
      </w:r>
      <w:r>
        <w:rPr>
          <w:rFonts w:hint="default" w:ascii="Times New Roman" w:hAnsi="Times New Roman" w:cs="Times New Roman"/>
          <w:color w:val="auto"/>
          <w:highlight w:val="none"/>
          <w:lang w:eastAsia="zh-CN"/>
        </w:rPr>
        <w:t>若羌</w:t>
      </w:r>
      <w:r>
        <w:rPr>
          <w:rFonts w:hint="default" w:ascii="Times New Roman" w:hAnsi="Times New Roman" w:cs="Times New Roman"/>
          <w:color w:val="auto"/>
          <w:highlight w:val="none"/>
        </w:rPr>
        <w:t>县</w:t>
      </w:r>
      <w:r>
        <w:rPr>
          <w:rFonts w:hint="default" w:ascii="Times New Roman" w:hAnsi="Times New Roman" w:cs="Times New Roman"/>
          <w:color w:val="auto"/>
          <w:highlight w:val="none"/>
          <w:lang w:eastAsia="zh-CN"/>
        </w:rPr>
        <w:t>东南</w:t>
      </w:r>
      <w:r>
        <w:rPr>
          <w:rFonts w:hint="default" w:ascii="Times New Roman" w:hAnsi="Times New Roman" w:cs="Times New Roman"/>
          <w:color w:val="auto"/>
          <w:highlight w:val="none"/>
          <w:lang w:val="en-US" w:eastAsia="zh-CN"/>
        </w:rPr>
        <w:t>144</w:t>
      </w:r>
      <w:r>
        <w:rPr>
          <w:rFonts w:hint="default" w:ascii="Times New Roman" w:hAnsi="Times New Roman" w:cs="Times New Roman"/>
          <w:color w:val="auto"/>
          <w:highlight w:val="none"/>
        </w:rPr>
        <w:t>°方向，</w:t>
      </w:r>
      <w:r>
        <w:rPr>
          <w:rFonts w:hint="default" w:ascii="Times New Roman" w:hAnsi="Times New Roman" w:cs="Times New Roman"/>
          <w:color w:val="auto"/>
          <w:highlight w:val="none"/>
          <w:lang w:eastAsia="zh-CN"/>
        </w:rPr>
        <w:t>直线</w:t>
      </w:r>
      <w:r>
        <w:rPr>
          <w:rFonts w:hint="default" w:ascii="Times New Roman" w:hAnsi="Times New Roman" w:cs="Times New Roman"/>
          <w:color w:val="auto"/>
          <w:highlight w:val="none"/>
        </w:rPr>
        <w:t>距</w:t>
      </w:r>
      <w:r>
        <w:rPr>
          <w:rFonts w:hint="default" w:ascii="Times New Roman" w:hAnsi="Times New Roman" w:cs="Times New Roman"/>
          <w:color w:val="auto"/>
          <w:highlight w:val="none"/>
          <w:lang w:eastAsia="zh-CN"/>
        </w:rPr>
        <w:t>离若羌</w:t>
      </w:r>
      <w:r>
        <w:rPr>
          <w:rFonts w:hint="default" w:ascii="Times New Roman" w:hAnsi="Times New Roman" w:cs="Times New Roman"/>
          <w:color w:val="auto"/>
          <w:highlight w:val="none"/>
        </w:rPr>
        <w:t>县城</w:t>
      </w:r>
      <w:r>
        <w:rPr>
          <w:rFonts w:hint="default" w:ascii="Times New Roman" w:hAnsi="Times New Roman" w:cs="Times New Roman"/>
          <w:color w:val="auto"/>
          <w:highlight w:val="none"/>
          <w:lang w:val="en-US" w:eastAsia="zh-CN"/>
        </w:rPr>
        <w:t>74</w:t>
      </w:r>
      <w:r>
        <w:rPr>
          <w:rFonts w:hint="default" w:ascii="Times New Roman" w:hAnsi="Times New Roman" w:cs="Times New Roman"/>
          <w:color w:val="auto"/>
          <w:highlight w:val="none"/>
        </w:rPr>
        <w:t>公里，</w:t>
      </w:r>
      <w:r>
        <w:rPr>
          <w:rFonts w:hint="default" w:ascii="Times New Roman" w:hAnsi="Times New Roman" w:cs="Times New Roman"/>
          <w:color w:val="auto"/>
          <w:kern w:val="0"/>
          <w:highlight w:val="none"/>
        </w:rPr>
        <w:t>行政区划隶属于</w:t>
      </w:r>
      <w:r>
        <w:rPr>
          <w:rFonts w:hint="default" w:ascii="Times New Roman" w:hAnsi="Times New Roman" w:cs="Times New Roman"/>
          <w:color w:val="auto"/>
          <w:kern w:val="0"/>
          <w:highlight w:val="none"/>
          <w:lang w:eastAsia="zh-CN"/>
        </w:rPr>
        <w:t>若羌</w:t>
      </w:r>
      <w:r>
        <w:rPr>
          <w:rFonts w:hint="default" w:ascii="Times New Roman" w:hAnsi="Times New Roman" w:cs="Times New Roman"/>
          <w:color w:val="auto"/>
          <w:kern w:val="0"/>
          <w:highlight w:val="none"/>
        </w:rPr>
        <w:t>县，处于</w:t>
      </w:r>
      <w:r>
        <w:rPr>
          <w:rFonts w:hint="default" w:ascii="Times New Roman" w:hAnsi="Times New Roman" w:cs="Times New Roman"/>
          <w:color w:val="auto"/>
          <w:highlight w:val="none"/>
        </w:rPr>
        <w:t>《新疆维吾尔自治区矿产资源总体规划（2021-2025年）》划定的东昆仑—阿尔金黑色、有色、稀有及非金属勘查开发区。</w:t>
      </w:r>
    </w:p>
    <w:p w14:paraId="6436C402">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——东昆仑—阿尔金黑色、有色、稀有及非金属勘查开发区。以铁、金、锑、稀有金属、萤石、石英岩等矿产资源勘查开发为主。加大若羌喀拉大湾—且末迪木那里克铁矿、</w:t>
      </w:r>
      <w:r>
        <w:rPr>
          <w:rFonts w:hint="default" w:ascii="Times New Roman" w:hAnsi="Times New Roman" w:cs="Times New Roman"/>
          <w:b/>
          <w:bCs/>
          <w:color w:val="auto"/>
          <w:kern w:val="0"/>
          <w:highlight w:val="none"/>
        </w:rPr>
        <w:t>若羌卡尔恰尔</w:t>
      </w:r>
      <w:r>
        <w:rPr>
          <w:rFonts w:hint="default" w:ascii="Times New Roman" w:hAnsi="Times New Roman" w:cs="Times New Roman"/>
          <w:color w:val="auto"/>
          <w:kern w:val="0"/>
          <w:highlight w:val="none"/>
        </w:rPr>
        <w:t>—皮亚孜达坂萤石矿、吐格曼—瓦石峡稀有金属矿、托盖里克—古尔嘎一带石英岩矿、民丰屈库勒克—黄羊岭金锑矿等矿区勘查开发，提交大中型矿产地8-10处，新增金资源量20吨、锑10万吨、锂20万吨、铍2000吨、萤石1000万吨、硅质原料8000万吨。尽快形成一批铁、金、锑、萤石、石英岩矿山产能，打造若羌国家级氟化工产业集群。</w:t>
      </w:r>
    </w:p>
    <w:p w14:paraId="18622DB3">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——重点勘查开采矿种：石油、天然气、页岩气、煤层气、煤、地热等能源矿产，铁、铬、锰、铜、镍、钴、铅锌、金、锂、铍、钒、钛等金属矿产，以及钾盐、</w:t>
      </w:r>
      <w:r>
        <w:rPr>
          <w:rFonts w:hint="default" w:ascii="Times New Roman" w:hAnsi="Times New Roman" w:cs="Times New Roman"/>
          <w:b/>
          <w:bCs/>
          <w:color w:val="auto"/>
          <w:kern w:val="0"/>
          <w:highlight w:val="none"/>
        </w:rPr>
        <w:t>萤石</w:t>
      </w:r>
      <w:r>
        <w:rPr>
          <w:rFonts w:hint="default" w:ascii="Times New Roman" w:hAnsi="Times New Roman" w:cs="Times New Roman"/>
          <w:color w:val="auto"/>
          <w:kern w:val="0"/>
          <w:highlight w:val="none"/>
        </w:rPr>
        <w:t>、硅质原料等非金属矿产。</w:t>
      </w:r>
    </w:p>
    <w:p w14:paraId="4A6B947F">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重点开采区。划定重点开采区75处。在重点开采区内向资源利用率高、技术先进的大型矿山企业倾斜，引导和支持各类生产要素集聚，优化资源配置，进一步做好矿产资源整合，推动资源的规模化开发和集约利用，稳定矿产资源产业链、供应链，提高资源保障能力。</w:t>
      </w:r>
    </w:p>
    <w:p w14:paraId="1A9C877E">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lang w:eastAsia="zh-CN"/>
        </w:rPr>
        <w:t>重点开采区非金属矿产（</w:t>
      </w:r>
      <w:r>
        <w:rPr>
          <w:rFonts w:hint="default" w:ascii="Times New Roman" w:hAnsi="Times New Roman" w:cs="Times New Roman"/>
          <w:color w:val="auto"/>
          <w:kern w:val="0"/>
          <w:highlight w:val="none"/>
          <w:lang w:val="en-US" w:eastAsia="zh-CN"/>
        </w:rPr>
        <w:t>3个</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包括若羌罗布泊钾盐、</w:t>
      </w:r>
      <w:r>
        <w:rPr>
          <w:rFonts w:hint="default" w:ascii="Times New Roman" w:hAnsi="Times New Roman" w:cs="Times New Roman"/>
          <w:b/>
          <w:bCs/>
          <w:color w:val="auto"/>
          <w:kern w:val="0"/>
          <w:highlight w:val="none"/>
        </w:rPr>
        <w:t>若羌卡尔恰尔萤石矿</w:t>
      </w:r>
      <w:r>
        <w:rPr>
          <w:rFonts w:hint="default" w:ascii="Times New Roman" w:hAnsi="Times New Roman" w:cs="Times New Roman"/>
          <w:color w:val="auto"/>
          <w:kern w:val="0"/>
          <w:highlight w:val="none"/>
        </w:rPr>
        <w:t>、精河石灰岩矿。</w:t>
      </w:r>
    </w:p>
    <w:p w14:paraId="0C2FDEAC">
      <w:pPr>
        <w:overflowPunct w:val="0"/>
        <w:topLinePunct/>
        <w:ind w:firstLine="480"/>
        <w:rPr>
          <w:rFonts w:hint="default" w:ascii="Times New Roman" w:hAnsi="Times New Roman" w:cs="Times New Roman"/>
          <w:b w:val="0"/>
          <w:bCs w:val="0"/>
          <w:color w:val="auto"/>
          <w:kern w:val="0"/>
          <w:highlight w:val="none"/>
        </w:rPr>
      </w:pPr>
      <w:r>
        <w:rPr>
          <w:rFonts w:hint="default" w:ascii="Times New Roman" w:hAnsi="Times New Roman" w:cs="Times New Roman"/>
          <w:color w:val="auto"/>
          <w:highlight w:val="none"/>
        </w:rPr>
        <w:t>《新疆维吾尔自治区矿产资源总体规划（2021-2025年）》</w:t>
      </w:r>
      <w:r>
        <w:rPr>
          <w:rFonts w:hint="default" w:ascii="Times New Roman" w:hAnsi="Times New Roman" w:cs="Times New Roman"/>
          <w:color w:val="auto"/>
          <w:kern w:val="0"/>
          <w:highlight w:val="none"/>
        </w:rPr>
        <w:t>在绿色矿山建设方面提出：“</w:t>
      </w:r>
      <w:r>
        <w:rPr>
          <w:rFonts w:hint="default" w:ascii="Times New Roman" w:hAnsi="Times New Roman" w:cs="Times New Roman"/>
          <w:color w:val="auto"/>
          <w:highlight w:val="none"/>
        </w:rPr>
        <w:t>从理念、制度、技术、监管四个方面推动资源绿色开采。</w:t>
      </w:r>
      <w:r>
        <w:rPr>
          <w:rFonts w:hint="default" w:ascii="Times New Roman" w:hAnsi="Times New Roman" w:cs="Times New Roman"/>
          <w:b w:val="0"/>
          <w:bCs w:val="0"/>
          <w:color w:val="auto"/>
          <w:highlight w:val="none"/>
        </w:rPr>
        <w:t>将绿色发展理念贯穿于矿产资源利用与保护的全过程，引导和督促企业采用环境友好、资源利用效率高、能耗低排放少的开采方式、工艺和设备，将资源开发对矿区及周边生态环境扰动控制在最小范围，努力构建科技含量高、资源消耗低、环境污染少的绿色矿业发展模式。按照政策引导、地方主体、突出特色、创新驱动、示范引领的原则，统筹生态保护与经济发展，统筹矿区生态环境综合整治，创新绿色发展管理机制。新建矿山全部按照绿色矿山标准建设，生产矿山加快改造升级，逐步达标。在矿业权出让、延续等审批中明确矿业权人落实绿色开采的要求。</w:t>
      </w:r>
      <w:r>
        <w:rPr>
          <w:rFonts w:hint="default" w:ascii="Times New Roman" w:hAnsi="Times New Roman" w:cs="Times New Roman"/>
          <w:b w:val="0"/>
          <w:bCs w:val="0"/>
          <w:color w:val="auto"/>
          <w:kern w:val="0"/>
          <w:highlight w:val="none"/>
        </w:rPr>
        <w:t>”</w:t>
      </w:r>
    </w:p>
    <w:p w14:paraId="0D272B13">
      <w:pPr>
        <w:overflowPunct w:val="0"/>
        <w:topLinePunct/>
        <w:ind w:firstLine="48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kern w:val="0"/>
          <w:highlight w:val="none"/>
        </w:rPr>
        <w:t>本项目位于</w:t>
      </w:r>
      <w:r>
        <w:rPr>
          <w:rFonts w:hint="default" w:ascii="Times New Roman" w:hAnsi="Times New Roman" w:cs="Times New Roman"/>
          <w:color w:val="auto"/>
          <w:highlight w:val="none"/>
        </w:rPr>
        <w:t>东昆仑—阿尔金黑色、有色、稀有及非金属勘查开发区，</w:t>
      </w:r>
      <w:r>
        <w:rPr>
          <w:rFonts w:hint="default" w:ascii="Times New Roman" w:hAnsi="Times New Roman" w:cs="Times New Roman"/>
          <w:color w:val="auto"/>
          <w:kern w:val="0"/>
          <w:highlight w:val="none"/>
        </w:rPr>
        <w:t>属于</w:t>
      </w:r>
      <w:r>
        <w:rPr>
          <w:rFonts w:hint="default" w:ascii="Times New Roman" w:hAnsi="Times New Roman" w:cs="Times New Roman"/>
          <w:color w:val="auto"/>
          <w:highlight w:val="none"/>
        </w:rPr>
        <w:t>《新疆维吾尔自治区矿产资源总体规划（2021-2025年）》划定的若羌卡尔恰尔萤石矿，为国家级重点勘查区</w:t>
      </w:r>
      <w:r>
        <w:rPr>
          <w:rFonts w:hint="default" w:ascii="Times New Roman" w:hAnsi="Times New Roman" w:cs="Times New Roman"/>
          <w:color w:val="auto"/>
          <w:highlight w:val="none"/>
          <w:lang w:eastAsia="zh-CN"/>
        </w:rPr>
        <w:t>，并且本项目属于重点开采区非金属矿产。</w:t>
      </w:r>
      <w:r>
        <w:rPr>
          <w:rFonts w:hint="default" w:ascii="Times New Roman" w:hAnsi="Times New Roman" w:cs="Times New Roman"/>
          <w:color w:val="auto"/>
          <w:kern w:val="0"/>
          <w:highlight w:val="none"/>
        </w:rPr>
        <w:t>本项目</w:t>
      </w:r>
      <w:r>
        <w:rPr>
          <w:rFonts w:hint="default" w:ascii="Times New Roman" w:hAnsi="Times New Roman" w:cs="Times New Roman"/>
          <w:b w:val="0"/>
          <w:bCs w:val="0"/>
          <w:color w:val="auto"/>
          <w:highlight w:val="none"/>
          <w:lang w:eastAsia="zh-CN"/>
        </w:rPr>
        <w:t>按照</w:t>
      </w:r>
      <w:r>
        <w:rPr>
          <w:rFonts w:hint="default" w:ascii="Times New Roman" w:hAnsi="Times New Roman" w:cs="Times New Roman"/>
          <w:b w:val="0"/>
          <w:bCs w:val="0"/>
          <w:color w:val="auto"/>
          <w:highlight w:val="none"/>
        </w:rPr>
        <w:t>绿色矿山标准建设，</w:t>
      </w:r>
      <w:r>
        <w:rPr>
          <w:rFonts w:hint="default" w:ascii="Times New Roman" w:hAnsi="Times New Roman" w:cs="Times New Roman"/>
          <w:color w:val="auto"/>
          <w:kern w:val="0"/>
          <w:highlight w:val="none"/>
        </w:rPr>
        <w:t>在工艺系统、设备选型、安全、环保、劳动生产率等方面按照智能化、绿色化、生态化的标准进行设计，符合</w:t>
      </w:r>
      <w:r>
        <w:rPr>
          <w:rFonts w:hint="default" w:ascii="Times New Roman" w:hAnsi="Times New Roman" w:cs="Times New Roman"/>
          <w:color w:val="auto"/>
          <w:highlight w:val="none"/>
        </w:rPr>
        <w:t>《新疆维吾尔自治区矿产资源总体规划（2021-2025年）》关于绿色矿山建设、矿山智能化建设的相关要求，</w:t>
      </w:r>
      <w:r>
        <w:rPr>
          <w:rFonts w:hint="default" w:ascii="Times New Roman" w:hAnsi="Times New Roman" w:cs="Times New Roman"/>
          <w:color w:val="auto"/>
          <w:kern w:val="0"/>
          <w:highlight w:val="none"/>
        </w:rPr>
        <w:t>符合国家对矿山绿色、智能、高效的产业政策要求。</w:t>
      </w:r>
    </w:p>
    <w:p w14:paraId="0D6E40FE">
      <w:pPr>
        <w:overflowPunct w:val="0"/>
        <w:topLinePunct/>
        <w:ind w:firstLine="480"/>
        <w:rPr>
          <w:rFonts w:hint="default" w:ascii="Times New Roman" w:hAnsi="Times New Roman" w:cs="Times New Roman"/>
          <w:bCs/>
          <w:color w:val="auto"/>
          <w:highlight w:val="none"/>
        </w:rPr>
      </w:pPr>
      <w:r>
        <w:rPr>
          <w:rFonts w:hint="default" w:ascii="Times New Roman" w:hAnsi="Times New Roman" w:cs="Times New Roman"/>
          <w:color w:val="auto"/>
          <w:highlight w:val="none"/>
        </w:rPr>
        <w:t>综上，本项目符合</w:t>
      </w:r>
      <w:r>
        <w:rPr>
          <w:rFonts w:hint="default" w:ascii="Times New Roman" w:hAnsi="Times New Roman" w:cs="Times New Roman"/>
          <w:bCs/>
          <w:color w:val="auto"/>
          <w:highlight w:val="none"/>
        </w:rPr>
        <w:t>《新疆维吾尔自治区矿产资源总体规划（2021-2025年）》的相关要求。</w:t>
      </w:r>
    </w:p>
    <w:p w14:paraId="46470029">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r>
        <w:rPr>
          <w:rFonts w:hint="eastAsia" w:cs="Times New Roman"/>
          <w:color w:val="auto"/>
          <w:highlight w:val="none"/>
          <w:lang w:val="en-US" w:eastAsia="zh-CN"/>
        </w:rPr>
        <w:t>4</w:t>
      </w:r>
      <w:r>
        <w:rPr>
          <w:rFonts w:hint="default" w:ascii="Times New Roman" w:hAnsi="Times New Roman" w:cs="Times New Roman"/>
          <w:color w:val="auto"/>
          <w:highlight w:val="none"/>
        </w:rPr>
        <w:t>.</w:t>
      </w:r>
      <w:r>
        <w:rPr>
          <w:rFonts w:hint="eastAsia" w:cs="Times New Roman"/>
          <w:color w:val="auto"/>
          <w:highlight w:val="none"/>
          <w:lang w:val="en-US" w:eastAsia="zh-CN"/>
        </w:rPr>
        <w:t>5</w:t>
      </w:r>
      <w:r>
        <w:rPr>
          <w:rFonts w:hint="default" w:ascii="Times New Roman" w:hAnsi="Times New Roman" w:cs="Times New Roman"/>
          <w:color w:val="auto"/>
          <w:highlight w:val="none"/>
        </w:rPr>
        <w:t>与《新疆生态环境保护“十四五”规划》</w:t>
      </w:r>
      <w:r>
        <w:rPr>
          <w:rFonts w:hint="default" w:ascii="Times New Roman" w:hAnsi="Times New Roman" w:cs="Times New Roman"/>
          <w:color w:val="auto"/>
          <w:highlight w:val="none"/>
          <w:lang w:eastAsia="zh-CN"/>
        </w:rPr>
        <w:t>及《巴州生态环境“十四五”规划》</w:t>
      </w:r>
      <w:r>
        <w:rPr>
          <w:rFonts w:hint="default" w:ascii="Times New Roman" w:hAnsi="Times New Roman" w:cs="Times New Roman"/>
          <w:color w:val="auto"/>
          <w:highlight w:val="none"/>
        </w:rPr>
        <w:t>的符合性</w:t>
      </w:r>
    </w:p>
    <w:p w14:paraId="644A67FE">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highlight w:val="none"/>
        </w:rPr>
        <w:t>本项目与生态环境保护</w:t>
      </w:r>
      <w:r>
        <w:rPr>
          <w:rFonts w:hint="default" w:ascii="Times New Roman" w:hAnsi="Times New Roman" w:cs="Times New Roman"/>
          <w:color w:val="auto"/>
          <w:highlight w:val="none"/>
          <w:lang w:eastAsia="zh-CN"/>
        </w:rPr>
        <w:t>规划</w:t>
      </w:r>
      <w:r>
        <w:rPr>
          <w:rFonts w:hint="default" w:ascii="Times New Roman" w:hAnsi="Times New Roman" w:cs="Times New Roman"/>
          <w:color w:val="auto"/>
          <w:highlight w:val="none"/>
        </w:rPr>
        <w:t>相符性见下表。</w:t>
      </w:r>
    </w:p>
    <w:p w14:paraId="7CF9FFD0">
      <w:pPr>
        <w:adjustRightInd w:val="0"/>
        <w:snapToGrid w:val="0"/>
        <w:ind w:firstLine="0" w:firstLineChars="0"/>
        <w:jc w:val="center"/>
        <w:rPr>
          <w:rFonts w:hint="default" w:ascii="Times New Roman" w:hAnsi="Times New Roman" w:cs="Times New Roman"/>
          <w:b/>
          <w:color w:val="auto"/>
          <w:kern w:val="0"/>
          <w:highlight w:val="none"/>
        </w:rPr>
      </w:pPr>
      <w:r>
        <w:rPr>
          <w:rFonts w:hint="default" w:ascii="Times New Roman" w:hAnsi="Times New Roman" w:cs="Times New Roman"/>
          <w:b/>
          <w:color w:val="auto"/>
          <w:kern w:val="0"/>
          <w:highlight w:val="none"/>
        </w:rPr>
        <w:t>表1.3-</w:t>
      </w:r>
      <w:r>
        <w:rPr>
          <w:rFonts w:hint="eastAsia" w:cs="Times New Roman"/>
          <w:b/>
          <w:color w:val="auto"/>
          <w:kern w:val="0"/>
          <w:highlight w:val="none"/>
          <w:lang w:val="en-US" w:eastAsia="zh-CN"/>
        </w:rPr>
        <w:t>6</w:t>
      </w:r>
      <w:r>
        <w:rPr>
          <w:rFonts w:hint="default" w:ascii="Times New Roman" w:hAnsi="Times New Roman" w:cs="Times New Roman"/>
          <w:b/>
          <w:color w:val="auto"/>
          <w:kern w:val="0"/>
          <w:highlight w:val="none"/>
        </w:rPr>
        <w:t xml:space="preserve">    </w:t>
      </w:r>
      <w:r>
        <w:rPr>
          <w:rFonts w:hint="default" w:ascii="Times New Roman" w:hAnsi="Times New Roman" w:cs="Times New Roman"/>
          <w:b/>
          <w:color w:val="auto"/>
          <w:kern w:val="0"/>
          <w:highlight w:val="none"/>
          <w:lang w:bidi="ar"/>
        </w:rPr>
        <w:t>与生态环境保护</w:t>
      </w:r>
      <w:r>
        <w:rPr>
          <w:rFonts w:hint="default" w:ascii="Times New Roman" w:hAnsi="Times New Roman" w:cs="Times New Roman"/>
          <w:b/>
          <w:color w:val="auto"/>
          <w:kern w:val="0"/>
          <w:highlight w:val="none"/>
          <w:lang w:eastAsia="zh-CN" w:bidi="ar"/>
        </w:rPr>
        <w:t>规划</w:t>
      </w:r>
      <w:r>
        <w:rPr>
          <w:rFonts w:hint="default" w:ascii="Times New Roman" w:hAnsi="Times New Roman" w:cs="Times New Roman"/>
          <w:b/>
          <w:color w:val="auto"/>
          <w:kern w:val="0"/>
          <w:highlight w:val="none"/>
          <w:lang w:bidi="ar"/>
        </w:rPr>
        <w:t>符合性分析表</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3919"/>
        <w:gridCol w:w="2977"/>
        <w:gridCol w:w="766"/>
      </w:tblGrid>
      <w:tr w14:paraId="01AE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867" w:type="dxa"/>
            <w:tcBorders>
              <w:tl2br w:val="nil"/>
              <w:tr2bl w:val="nil"/>
            </w:tcBorders>
            <w:shd w:val="clear" w:color="auto" w:fill="auto"/>
            <w:vAlign w:val="center"/>
          </w:tcPr>
          <w:p w14:paraId="17411C7E">
            <w:pPr>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类别</w:t>
            </w:r>
          </w:p>
        </w:tc>
        <w:tc>
          <w:tcPr>
            <w:tcW w:w="3919" w:type="dxa"/>
            <w:tcBorders>
              <w:tl2br w:val="nil"/>
              <w:tr2bl w:val="nil"/>
            </w:tcBorders>
            <w:shd w:val="clear" w:color="auto" w:fill="auto"/>
            <w:vAlign w:val="center"/>
          </w:tcPr>
          <w:p w14:paraId="7C621A61">
            <w:pPr>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规划要求</w:t>
            </w:r>
          </w:p>
        </w:tc>
        <w:tc>
          <w:tcPr>
            <w:tcW w:w="2977" w:type="dxa"/>
            <w:tcBorders>
              <w:tl2br w:val="nil"/>
              <w:tr2bl w:val="nil"/>
            </w:tcBorders>
            <w:shd w:val="clear" w:color="auto" w:fill="auto"/>
            <w:vAlign w:val="center"/>
          </w:tcPr>
          <w:p w14:paraId="233D9FC5">
            <w:pPr>
              <w:spacing w:line="240" w:lineRule="auto"/>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本工程情况</w:t>
            </w:r>
          </w:p>
        </w:tc>
        <w:tc>
          <w:tcPr>
            <w:tcW w:w="766" w:type="dxa"/>
            <w:tcBorders>
              <w:tl2br w:val="nil"/>
              <w:tr2bl w:val="nil"/>
            </w:tcBorders>
            <w:shd w:val="clear" w:color="auto" w:fill="auto"/>
            <w:vAlign w:val="center"/>
          </w:tcPr>
          <w:p w14:paraId="5532AC3F">
            <w:pPr>
              <w:spacing w:line="240" w:lineRule="auto"/>
              <w:ind w:left="-120" w:leftChars="-50" w:right="-120" w:rightChars="-5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符合性</w:t>
            </w:r>
          </w:p>
        </w:tc>
      </w:tr>
      <w:tr w14:paraId="759E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7" w:type="dxa"/>
            <w:tcBorders>
              <w:tl2br w:val="nil"/>
              <w:tr2bl w:val="nil"/>
            </w:tcBorders>
            <w:shd w:val="clear" w:color="auto" w:fill="auto"/>
            <w:vAlign w:val="center"/>
          </w:tcPr>
          <w:p w14:paraId="0197C0AB">
            <w:pPr>
              <w:spacing w:line="240" w:lineRule="auto"/>
              <w:ind w:left="-120" w:leftChars="-50" w:right="-120" w:rightChars="-5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大气环境</w:t>
            </w:r>
          </w:p>
        </w:tc>
        <w:tc>
          <w:tcPr>
            <w:tcW w:w="3919" w:type="dxa"/>
            <w:tcBorders>
              <w:tl2br w:val="nil"/>
              <w:tr2bl w:val="nil"/>
            </w:tcBorders>
            <w:shd w:val="clear" w:color="auto" w:fill="auto"/>
            <w:vAlign w:val="center"/>
          </w:tcPr>
          <w:p w14:paraId="17BA9B1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充分运用新型、高效的防尘、降尘、除尘技术，加强矿山粉尘治理。</w:t>
            </w:r>
          </w:p>
        </w:tc>
        <w:tc>
          <w:tcPr>
            <w:tcW w:w="2977" w:type="dxa"/>
            <w:tcBorders>
              <w:tl2br w:val="nil"/>
              <w:tr2bl w:val="nil"/>
            </w:tcBorders>
            <w:shd w:val="clear" w:color="auto" w:fill="auto"/>
            <w:vAlign w:val="center"/>
          </w:tcPr>
          <w:p w14:paraId="39229A1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本项目选矿生产过程中的有组织粉尘采用袋式除尘器处理，除尘效率约99.9%，可有效</w:t>
            </w:r>
            <w:r>
              <w:rPr>
                <w:rFonts w:hint="default" w:ascii="Times New Roman" w:hAnsi="Times New Roman" w:cs="Times New Roman"/>
                <w:color w:val="auto"/>
                <w:sz w:val="21"/>
                <w:szCs w:val="21"/>
                <w:highlight w:val="none"/>
                <w:lang w:eastAsia="zh-CN"/>
              </w:rPr>
              <w:t>降低有</w:t>
            </w:r>
            <w:r>
              <w:rPr>
                <w:rFonts w:hint="default" w:ascii="Times New Roman" w:hAnsi="Times New Roman" w:cs="Times New Roman"/>
                <w:color w:val="auto"/>
                <w:sz w:val="21"/>
                <w:szCs w:val="21"/>
                <w:highlight w:val="none"/>
              </w:rPr>
              <w:t>组织</w:t>
            </w:r>
            <w:r>
              <w:rPr>
                <w:rFonts w:hint="default" w:ascii="Times New Roman" w:hAnsi="Times New Roman" w:cs="Times New Roman"/>
                <w:color w:val="auto"/>
                <w:sz w:val="21"/>
                <w:szCs w:val="21"/>
                <w:highlight w:val="none"/>
                <w:lang w:eastAsia="zh-CN"/>
              </w:rPr>
              <w:t>和无组织</w:t>
            </w:r>
            <w:r>
              <w:rPr>
                <w:rFonts w:hint="default" w:ascii="Times New Roman" w:hAnsi="Times New Roman" w:cs="Times New Roman"/>
                <w:color w:val="auto"/>
                <w:sz w:val="21"/>
                <w:szCs w:val="21"/>
                <w:highlight w:val="none"/>
              </w:rPr>
              <w:t>粉尘排放；各生产车间为全封闭状态，为了有效防止粉尘污染，在车间设置喷雾降尘；尾矿放矿均匀分散放矿，采用喷洒生态高效抑制剂作为辅助抑尘手段。</w:t>
            </w:r>
          </w:p>
        </w:tc>
        <w:tc>
          <w:tcPr>
            <w:tcW w:w="766" w:type="dxa"/>
            <w:tcBorders>
              <w:tl2br w:val="nil"/>
              <w:tr2bl w:val="nil"/>
            </w:tcBorders>
            <w:shd w:val="clear" w:color="auto" w:fill="auto"/>
            <w:vAlign w:val="center"/>
          </w:tcPr>
          <w:p w14:paraId="7C5C756C">
            <w:pPr>
              <w:spacing w:line="240" w:lineRule="auto"/>
              <w:ind w:left="-120" w:leftChars="-50" w:right="-120" w:rightChars="-5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298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7" w:type="dxa"/>
            <w:tcBorders>
              <w:tl2br w:val="nil"/>
              <w:tr2bl w:val="nil"/>
            </w:tcBorders>
            <w:shd w:val="clear" w:color="auto" w:fill="auto"/>
            <w:vAlign w:val="center"/>
          </w:tcPr>
          <w:p w14:paraId="74821103">
            <w:pPr>
              <w:spacing w:line="240" w:lineRule="auto"/>
              <w:ind w:left="-120" w:leftChars="-50" w:right="-120" w:rightChars="-5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地下水、土壤环境</w:t>
            </w:r>
          </w:p>
        </w:tc>
        <w:tc>
          <w:tcPr>
            <w:tcW w:w="3919" w:type="dxa"/>
            <w:tcBorders>
              <w:tl2br w:val="nil"/>
              <w:tr2bl w:val="nil"/>
            </w:tcBorders>
            <w:shd w:val="clear" w:color="auto" w:fill="auto"/>
            <w:vAlign w:val="center"/>
          </w:tcPr>
          <w:p w14:paraId="3596C51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强化重点区域地下水环境风险管控。对化学品生产企业、工业集聚区、尾矿库、矿山开采区、危险废物处置场、垃圾填埋场等地下水污染源及周边区域，逐步开展地下水环境状况调查评估，加强风险管控。</w:t>
            </w:r>
          </w:p>
        </w:tc>
        <w:tc>
          <w:tcPr>
            <w:tcW w:w="2977" w:type="dxa"/>
            <w:tcBorders>
              <w:tl2br w:val="nil"/>
              <w:tr2bl w:val="nil"/>
            </w:tcBorders>
            <w:shd w:val="clear" w:color="auto" w:fill="auto"/>
            <w:vAlign w:val="center"/>
          </w:tcPr>
          <w:p w14:paraId="7500BB1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w:t>
            </w:r>
            <w:r>
              <w:rPr>
                <w:rFonts w:hint="eastAsia" w:ascii="Times New Roman" w:hAnsi="Times New Roman" w:cs="Times New Roman"/>
                <w:color w:val="auto"/>
                <w:sz w:val="21"/>
                <w:szCs w:val="21"/>
                <w:highlight w:val="none"/>
                <w:lang w:eastAsia="zh-CN"/>
              </w:rPr>
              <w:t>项目</w:t>
            </w:r>
            <w:r>
              <w:rPr>
                <w:rFonts w:hint="eastAsia" w:cs="Times New Roman"/>
                <w:color w:val="auto"/>
                <w:sz w:val="21"/>
                <w:szCs w:val="21"/>
                <w:highlight w:val="none"/>
                <w:lang w:eastAsia="zh-CN"/>
              </w:rPr>
              <w:t>在</w:t>
            </w:r>
            <w:r>
              <w:rPr>
                <w:rFonts w:hint="default" w:ascii="Times New Roman" w:hAnsi="Times New Roman" w:cs="Times New Roman"/>
                <w:color w:val="auto"/>
                <w:sz w:val="21"/>
                <w:szCs w:val="21"/>
                <w:highlight w:val="none"/>
              </w:rPr>
              <w:t>周边区域开展地下水环境质量调查工作，实施地下水监测井，并对地下水实行定期监测。</w:t>
            </w:r>
          </w:p>
        </w:tc>
        <w:tc>
          <w:tcPr>
            <w:tcW w:w="766" w:type="dxa"/>
            <w:tcBorders>
              <w:tl2br w:val="nil"/>
              <w:tr2bl w:val="nil"/>
            </w:tcBorders>
            <w:shd w:val="clear" w:color="auto" w:fill="auto"/>
            <w:vAlign w:val="center"/>
          </w:tcPr>
          <w:p w14:paraId="0211B514">
            <w:pPr>
              <w:spacing w:line="240" w:lineRule="auto"/>
              <w:ind w:left="-120" w:leftChars="-50" w:right="-120" w:rightChars="-5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8E6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7" w:type="dxa"/>
            <w:tcBorders>
              <w:tl2br w:val="nil"/>
              <w:tr2bl w:val="nil"/>
            </w:tcBorders>
            <w:shd w:val="clear" w:color="auto" w:fill="auto"/>
            <w:vAlign w:val="center"/>
          </w:tcPr>
          <w:p w14:paraId="395819DA">
            <w:pPr>
              <w:spacing w:line="240" w:lineRule="auto"/>
              <w:ind w:left="-120" w:leftChars="-50" w:right="-120" w:rightChars="-5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风险防控</w:t>
            </w:r>
          </w:p>
        </w:tc>
        <w:tc>
          <w:tcPr>
            <w:tcW w:w="3919" w:type="dxa"/>
            <w:tcBorders>
              <w:tl2br w:val="nil"/>
              <w:tr2bl w:val="nil"/>
            </w:tcBorders>
            <w:shd w:val="clear" w:color="auto" w:fill="auto"/>
            <w:vAlign w:val="center"/>
          </w:tcPr>
          <w:p w14:paraId="19D7483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开展尾矿污染治理。建立尾矿库分级分类环境管理制度，加强尾矿库环境风险隐患排查治理。严格新（改、扩）建尾矿库环境准入，开展伊犁河、额尔齐斯河、额敏河流域尾矿库污染治理。实施矿井涌水、废渣风险管控与治理工程，坚持“一矿一策”，因地制宜推进一批重点尾矿库污染治理。</w:t>
            </w:r>
          </w:p>
        </w:tc>
        <w:tc>
          <w:tcPr>
            <w:tcW w:w="2977" w:type="dxa"/>
            <w:tcBorders>
              <w:tl2br w:val="nil"/>
              <w:tr2bl w:val="nil"/>
            </w:tcBorders>
            <w:shd w:val="clear" w:color="auto" w:fill="auto"/>
            <w:vAlign w:val="center"/>
          </w:tcPr>
          <w:p w14:paraId="5972BAE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本项目不属于重点尾矿库，不位于伊犁河、额尔齐斯河、额敏河流域。各项固体废物按照本次评价要求妥善处置。</w:t>
            </w:r>
          </w:p>
        </w:tc>
        <w:tc>
          <w:tcPr>
            <w:tcW w:w="766" w:type="dxa"/>
            <w:tcBorders>
              <w:tl2br w:val="nil"/>
              <w:tr2bl w:val="nil"/>
            </w:tcBorders>
            <w:shd w:val="clear" w:color="auto" w:fill="auto"/>
            <w:vAlign w:val="center"/>
          </w:tcPr>
          <w:p w14:paraId="505DFC08">
            <w:pPr>
              <w:spacing w:line="240" w:lineRule="auto"/>
              <w:ind w:left="-120" w:leftChars="-50" w:right="-120" w:rightChars="-5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47B6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7" w:type="dxa"/>
            <w:tcBorders>
              <w:tl2br w:val="nil"/>
              <w:tr2bl w:val="nil"/>
            </w:tcBorders>
            <w:shd w:val="clear" w:color="auto" w:fill="auto"/>
            <w:vAlign w:val="center"/>
          </w:tcPr>
          <w:p w14:paraId="5E1F7409">
            <w:pPr>
              <w:spacing w:line="240" w:lineRule="auto"/>
              <w:ind w:left="-120" w:leftChars="-50" w:right="-120" w:rightChars="-5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固体废物</w:t>
            </w:r>
          </w:p>
        </w:tc>
        <w:tc>
          <w:tcPr>
            <w:tcW w:w="3919" w:type="dxa"/>
            <w:tcBorders>
              <w:tl2br w:val="nil"/>
              <w:tr2bl w:val="nil"/>
            </w:tcBorders>
            <w:shd w:val="clear" w:color="auto" w:fill="auto"/>
            <w:vAlign w:val="center"/>
          </w:tcPr>
          <w:p w14:paraId="002E003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以尾矿和共伴生矿、煤矸石、炉渣、粉煤灰、脱硫石膏、冶炼渣、建筑垃圾等为重点，持续推进固体废物综合利用和环境整治，不断提高大宗固体废物资源化利用水平。</w:t>
            </w:r>
          </w:p>
        </w:tc>
        <w:tc>
          <w:tcPr>
            <w:tcW w:w="2977" w:type="dxa"/>
            <w:tcBorders>
              <w:tl2br w:val="nil"/>
              <w:tr2bl w:val="nil"/>
            </w:tcBorders>
            <w:shd w:val="clear" w:color="auto" w:fill="auto"/>
            <w:vAlign w:val="center"/>
          </w:tcPr>
          <w:p w14:paraId="6D13ED0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本项目尾矿砂用于尾矿库堆积坝筑坝</w:t>
            </w:r>
            <w:r>
              <w:rPr>
                <w:rFonts w:hint="default" w:ascii="Times New Roman" w:hAnsi="Times New Roman" w:cs="Times New Roman"/>
                <w:color w:val="auto"/>
                <w:sz w:val="21"/>
                <w:szCs w:val="21"/>
                <w:highlight w:val="none"/>
                <w:lang w:eastAsia="zh-CN"/>
              </w:rPr>
              <w:t>和井下充填</w:t>
            </w:r>
            <w:r>
              <w:rPr>
                <w:rFonts w:hint="default" w:ascii="Times New Roman" w:hAnsi="Times New Roman" w:cs="Times New Roman"/>
                <w:color w:val="auto"/>
                <w:sz w:val="21"/>
                <w:szCs w:val="21"/>
                <w:highlight w:val="none"/>
              </w:rPr>
              <w:t>，其余堆存于尾矿库内，综合利用率可达到</w:t>
            </w:r>
            <w:r>
              <w:rPr>
                <w:rFonts w:hint="default" w:ascii="Times New Roman" w:hAnsi="Times New Roman" w:cs="Times New Roman"/>
                <w:color w:val="auto"/>
                <w:sz w:val="21"/>
                <w:szCs w:val="21"/>
                <w:highlight w:val="none"/>
                <w:lang w:val="en-US" w:eastAsia="zh-CN"/>
              </w:rPr>
              <w:t>60</w:t>
            </w:r>
            <w:r>
              <w:rPr>
                <w:rFonts w:hint="default" w:ascii="Times New Roman" w:hAnsi="Times New Roman" w:cs="Times New Roman"/>
                <w:color w:val="auto"/>
                <w:sz w:val="21"/>
                <w:szCs w:val="21"/>
                <w:highlight w:val="none"/>
              </w:rPr>
              <w:t>%，尾矿砂利用措施合理可行。</w:t>
            </w:r>
          </w:p>
        </w:tc>
        <w:tc>
          <w:tcPr>
            <w:tcW w:w="766" w:type="dxa"/>
            <w:tcBorders>
              <w:tl2br w:val="nil"/>
              <w:tr2bl w:val="nil"/>
            </w:tcBorders>
            <w:shd w:val="clear" w:color="auto" w:fill="auto"/>
            <w:vAlign w:val="center"/>
          </w:tcPr>
          <w:p w14:paraId="2E5D3C9A">
            <w:pPr>
              <w:spacing w:line="240" w:lineRule="auto"/>
              <w:ind w:left="-120" w:leftChars="-50" w:right="-120" w:rightChars="-5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bl>
    <w:p w14:paraId="461C381C">
      <w:pPr>
        <w:pStyle w:val="7"/>
        <w:bidi w:val="0"/>
        <w:rPr>
          <w:rFonts w:hint="eastAsia"/>
          <w:color w:val="auto"/>
          <w:highlight w:val="none"/>
          <w:lang w:val="en-US" w:eastAsia="zh-CN"/>
        </w:rPr>
      </w:pPr>
      <w:r>
        <w:rPr>
          <w:rFonts w:hint="eastAsia"/>
          <w:color w:val="auto"/>
          <w:highlight w:val="none"/>
          <w:lang w:val="en-US" w:eastAsia="zh-CN"/>
        </w:rPr>
        <w:t>1.3.4.6与《非金属矿行业绿色矿山建设规范》的符合性分析</w:t>
      </w:r>
    </w:p>
    <w:p w14:paraId="4C7A721A">
      <w:pPr>
        <w:spacing w:line="480" w:lineRule="exact"/>
        <w:ind w:firstLine="480" w:firstLineChars="200"/>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本工程参考</w:t>
      </w:r>
      <w:r>
        <w:rPr>
          <w:rFonts w:hint="default" w:ascii="Times New Roman" w:hAnsi="Times New Roman" w:cs="Times New Roman"/>
          <w:color w:val="auto"/>
          <w:sz w:val="24"/>
          <w:highlight w:val="none"/>
        </w:rPr>
        <w:t>《</w:t>
      </w:r>
      <w:r>
        <w:rPr>
          <w:rFonts w:hint="eastAsia"/>
          <w:color w:val="auto"/>
          <w:highlight w:val="none"/>
          <w:lang w:val="en-US" w:eastAsia="zh-CN"/>
        </w:rPr>
        <w:t>非金属矿行业绿色矿山建设规范</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DZ/T0312-2018</w:t>
      </w:r>
      <w:r>
        <w:rPr>
          <w:rFonts w:hint="default" w:ascii="Times New Roman" w:hAnsi="Times New Roman" w:cs="Times New Roman"/>
          <w:color w:val="auto"/>
          <w:sz w:val="24"/>
          <w:highlight w:val="none"/>
        </w:rPr>
        <w:t>）中相关要求的符合性</w:t>
      </w:r>
      <w:r>
        <w:rPr>
          <w:rFonts w:hint="eastAsia" w:ascii="Times New Roman" w:hAnsi="Times New Roman" w:cs="Times New Roman"/>
          <w:color w:val="auto"/>
          <w:sz w:val="24"/>
          <w:highlight w:val="none"/>
          <w:lang w:eastAsia="zh-CN"/>
        </w:rPr>
        <w:t>分析</w:t>
      </w:r>
      <w:r>
        <w:rPr>
          <w:rFonts w:hint="default" w:ascii="Times New Roman" w:hAnsi="Times New Roman" w:cs="Times New Roman"/>
          <w:color w:val="auto"/>
          <w:sz w:val="24"/>
          <w:highlight w:val="none"/>
        </w:rPr>
        <w:t>见下表。</w:t>
      </w:r>
    </w:p>
    <w:p w14:paraId="712967F3">
      <w:pPr>
        <w:spacing w:line="480" w:lineRule="exact"/>
        <w:ind w:left="0" w:leftChars="0" w:firstLine="0" w:firstLineChars="0"/>
        <w:jc w:val="center"/>
        <w:rPr>
          <w:rFonts w:hint="default" w:ascii="Times New Roman" w:hAnsi="Times New Roman" w:cs="Times New Roman"/>
          <w:b/>
          <w:color w:val="auto"/>
          <w:kern w:val="0"/>
          <w:sz w:val="24"/>
          <w:szCs w:val="24"/>
          <w:highlight w:val="none"/>
          <w:lang w:bidi="ar"/>
        </w:rPr>
      </w:pPr>
      <w:r>
        <w:rPr>
          <w:rFonts w:hint="default" w:ascii="Times New Roman" w:hAnsi="Times New Roman" w:cs="Times New Roman"/>
          <w:b/>
          <w:color w:val="auto"/>
          <w:kern w:val="0"/>
          <w:sz w:val="24"/>
          <w:szCs w:val="24"/>
          <w:highlight w:val="none"/>
          <w:lang w:bidi="ar"/>
        </w:rPr>
        <w:t>表</w:t>
      </w:r>
      <w:r>
        <w:rPr>
          <w:rFonts w:hint="eastAsia" w:cs="Times New Roman"/>
          <w:b/>
          <w:color w:val="auto"/>
          <w:kern w:val="0"/>
          <w:sz w:val="24"/>
          <w:szCs w:val="24"/>
          <w:highlight w:val="none"/>
          <w:lang w:val="en-US" w:eastAsia="zh-CN" w:bidi="ar"/>
        </w:rPr>
        <w:t>1</w:t>
      </w:r>
      <w:r>
        <w:rPr>
          <w:rFonts w:hint="default" w:ascii="Times New Roman" w:hAnsi="Times New Roman" w:cs="Times New Roman"/>
          <w:b/>
          <w:color w:val="auto"/>
          <w:kern w:val="0"/>
          <w:sz w:val="24"/>
          <w:szCs w:val="24"/>
          <w:highlight w:val="none"/>
          <w:lang w:bidi="ar"/>
        </w:rPr>
        <w:t>.</w:t>
      </w:r>
      <w:r>
        <w:rPr>
          <w:rFonts w:hint="eastAsia" w:cs="Times New Roman"/>
          <w:b/>
          <w:color w:val="auto"/>
          <w:kern w:val="0"/>
          <w:sz w:val="24"/>
          <w:szCs w:val="24"/>
          <w:highlight w:val="none"/>
          <w:lang w:val="en-US" w:eastAsia="zh-CN" w:bidi="ar"/>
        </w:rPr>
        <w:t>3</w:t>
      </w:r>
      <w:r>
        <w:rPr>
          <w:rFonts w:hint="default" w:ascii="Times New Roman" w:hAnsi="Times New Roman" w:cs="Times New Roman"/>
          <w:b/>
          <w:color w:val="auto"/>
          <w:kern w:val="0"/>
          <w:sz w:val="24"/>
          <w:szCs w:val="24"/>
          <w:highlight w:val="none"/>
          <w:lang w:bidi="ar"/>
        </w:rPr>
        <w:t>-</w:t>
      </w:r>
      <w:r>
        <w:rPr>
          <w:rFonts w:hint="eastAsia" w:cs="Times New Roman"/>
          <w:b/>
          <w:color w:val="auto"/>
          <w:kern w:val="0"/>
          <w:sz w:val="24"/>
          <w:szCs w:val="24"/>
          <w:highlight w:val="none"/>
          <w:lang w:val="en-US" w:eastAsia="zh-CN" w:bidi="ar"/>
        </w:rPr>
        <w:t>7</w:t>
      </w:r>
      <w:r>
        <w:rPr>
          <w:rFonts w:hint="default" w:ascii="Times New Roman" w:hAnsi="Times New Roman" w:cs="Times New Roman"/>
          <w:b/>
          <w:color w:val="auto"/>
          <w:kern w:val="0"/>
          <w:sz w:val="24"/>
          <w:szCs w:val="24"/>
          <w:highlight w:val="none"/>
          <w:lang w:bidi="ar"/>
        </w:rPr>
        <w:t xml:space="preserve">    与《</w:t>
      </w:r>
      <w:r>
        <w:rPr>
          <w:rFonts w:hint="default" w:ascii="Times New Roman" w:hAnsi="Times New Roman" w:cs="Times New Roman"/>
          <w:b/>
          <w:color w:val="auto"/>
          <w:kern w:val="0"/>
          <w:sz w:val="24"/>
          <w:szCs w:val="24"/>
          <w:highlight w:val="none"/>
          <w:lang w:val="en-US" w:eastAsia="zh-CN" w:bidi="ar"/>
        </w:rPr>
        <w:t>非金属矿行业绿色矿山建设规范</w:t>
      </w:r>
      <w:r>
        <w:rPr>
          <w:rFonts w:hint="default" w:ascii="Times New Roman" w:hAnsi="Times New Roman" w:cs="Times New Roman"/>
          <w:b/>
          <w:color w:val="auto"/>
          <w:kern w:val="0"/>
          <w:sz w:val="24"/>
          <w:szCs w:val="24"/>
          <w:highlight w:val="none"/>
          <w:lang w:bidi="ar"/>
        </w:rPr>
        <w:t>》的符合性分析表</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3940"/>
        <w:gridCol w:w="3807"/>
      </w:tblGrid>
      <w:tr w14:paraId="01DD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767" w:type="pct"/>
            <w:gridSpan w:val="2"/>
            <w:noWrap w:val="0"/>
            <w:vAlign w:val="center"/>
          </w:tcPr>
          <w:p w14:paraId="7224E59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规范要求</w:t>
            </w:r>
          </w:p>
        </w:tc>
        <w:tc>
          <w:tcPr>
            <w:tcW w:w="2232" w:type="pct"/>
            <w:noWrap w:val="0"/>
            <w:vAlign w:val="center"/>
          </w:tcPr>
          <w:p w14:paraId="03ED078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本工程情况</w:t>
            </w:r>
          </w:p>
        </w:tc>
      </w:tr>
      <w:tr w14:paraId="0CB5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pct"/>
            <w:noWrap w:val="0"/>
            <w:vAlign w:val="center"/>
          </w:tcPr>
          <w:p w14:paraId="1545D62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绿色开发</w:t>
            </w:r>
          </w:p>
        </w:tc>
        <w:tc>
          <w:tcPr>
            <w:tcW w:w="2310" w:type="pct"/>
            <w:noWrap w:val="0"/>
            <w:vAlign w:val="center"/>
          </w:tcPr>
          <w:p w14:paraId="0E2B2C7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eastAsia"/>
                <w:color w:val="auto"/>
                <w:highlight w:val="none"/>
                <w:lang w:eastAsia="zh-CN"/>
              </w:rPr>
              <w:t>采矿工艺要求</w:t>
            </w:r>
            <w:r>
              <w:rPr>
                <w:rFonts w:hint="default"/>
                <w:color w:val="auto"/>
                <w:highlight w:val="none"/>
              </w:rPr>
              <w:t>：</w:t>
            </w:r>
            <w:r>
              <w:rPr>
                <w:rFonts w:hint="default"/>
                <w:color w:val="auto"/>
                <w:highlight w:val="none"/>
                <w:lang w:val="en-US" w:eastAsia="zh-CN"/>
              </w:rPr>
              <w:t>地下开采应根据矿石、围岩等地质条件，结合矿山技术条件和经济因素，选择合理的可减轻地表沉陷的技术</w:t>
            </w:r>
            <w:r>
              <w:rPr>
                <w:rFonts w:hint="default"/>
                <w:color w:val="auto"/>
                <w:highlight w:val="none"/>
              </w:rPr>
              <w:t>。</w:t>
            </w:r>
          </w:p>
        </w:tc>
        <w:tc>
          <w:tcPr>
            <w:tcW w:w="2232" w:type="pct"/>
            <w:noWrap w:val="0"/>
            <w:vAlign w:val="center"/>
          </w:tcPr>
          <w:p w14:paraId="4A11DD1E">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eastAsia"/>
                <w:color w:val="auto"/>
                <w:highlight w:val="none"/>
                <w:lang w:eastAsia="zh-CN"/>
              </w:rPr>
              <w:t>本工程</w:t>
            </w:r>
            <w:r>
              <w:rPr>
                <w:rFonts w:hint="default"/>
                <w:color w:val="auto"/>
                <w:highlight w:val="none"/>
              </w:rPr>
              <w:t>为</w:t>
            </w:r>
            <w:r>
              <w:rPr>
                <w:rFonts w:hint="eastAsia"/>
                <w:color w:val="auto"/>
                <w:highlight w:val="none"/>
                <w:lang w:eastAsia="zh-CN"/>
              </w:rPr>
              <w:t>地下</w:t>
            </w:r>
            <w:r>
              <w:rPr>
                <w:rFonts w:hint="default"/>
                <w:color w:val="auto"/>
                <w:highlight w:val="none"/>
              </w:rPr>
              <w:t>开采矿山</w:t>
            </w:r>
            <w:r>
              <w:rPr>
                <w:rFonts w:hint="eastAsia"/>
                <w:color w:val="auto"/>
                <w:highlight w:val="none"/>
                <w:lang w:eastAsia="zh-CN"/>
              </w:rPr>
              <w:t>，采取充填开采，最大限度降低</w:t>
            </w:r>
            <w:r>
              <w:rPr>
                <w:rFonts w:hint="default"/>
                <w:color w:val="auto"/>
                <w:highlight w:val="none"/>
                <w:lang w:val="en-US" w:eastAsia="zh-CN"/>
              </w:rPr>
              <w:t>地表沉陷</w:t>
            </w:r>
            <w:r>
              <w:rPr>
                <w:rFonts w:hint="eastAsia"/>
                <w:color w:val="auto"/>
                <w:highlight w:val="none"/>
                <w:lang w:val="en-US" w:eastAsia="zh-CN"/>
              </w:rPr>
              <w:t>程度</w:t>
            </w:r>
            <w:r>
              <w:rPr>
                <w:rFonts w:hint="default"/>
                <w:color w:val="auto"/>
                <w:highlight w:val="none"/>
              </w:rPr>
              <w:t>，</w:t>
            </w:r>
            <w:r>
              <w:rPr>
                <w:rFonts w:hint="default"/>
                <w:color w:val="auto"/>
                <w:highlight w:val="none"/>
                <w:lang w:val="en-US" w:eastAsia="zh-Hans"/>
              </w:rPr>
              <w:t>矿山开采过程中采用</w:t>
            </w:r>
            <w:r>
              <w:rPr>
                <w:rFonts w:hint="eastAsia"/>
                <w:color w:val="auto"/>
                <w:highlight w:val="none"/>
                <w:lang w:val="en-US" w:eastAsia="zh-CN"/>
              </w:rPr>
              <w:t>“</w:t>
            </w:r>
            <w:r>
              <w:rPr>
                <w:rFonts w:hint="default"/>
                <w:color w:val="auto"/>
                <w:highlight w:val="none"/>
                <w:lang w:val="en-US" w:eastAsia="zh-Hans"/>
              </w:rPr>
              <w:t>边开采</w:t>
            </w:r>
            <w:r>
              <w:rPr>
                <w:rFonts w:hint="default"/>
                <w:color w:val="auto"/>
                <w:highlight w:val="none"/>
                <w:lang w:eastAsia="zh-Hans"/>
              </w:rPr>
              <w:t>、</w:t>
            </w:r>
            <w:r>
              <w:rPr>
                <w:rFonts w:hint="default"/>
                <w:color w:val="auto"/>
                <w:highlight w:val="none"/>
                <w:lang w:val="en-US" w:eastAsia="zh-Hans"/>
              </w:rPr>
              <w:t>边复垦</w:t>
            </w:r>
            <w:r>
              <w:rPr>
                <w:rFonts w:hint="eastAsia"/>
                <w:color w:val="auto"/>
                <w:highlight w:val="none"/>
                <w:lang w:val="en-US" w:eastAsia="zh-CN"/>
              </w:rPr>
              <w:t>”</w:t>
            </w:r>
            <w:r>
              <w:rPr>
                <w:rFonts w:hint="default"/>
                <w:color w:val="auto"/>
                <w:highlight w:val="none"/>
                <w:lang w:val="en-US" w:eastAsia="zh-Hans"/>
              </w:rPr>
              <w:t>的方针</w:t>
            </w:r>
            <w:r>
              <w:rPr>
                <w:rFonts w:hint="default"/>
                <w:color w:val="auto"/>
                <w:highlight w:val="none"/>
              </w:rPr>
              <w:t>。</w:t>
            </w:r>
          </w:p>
        </w:tc>
      </w:tr>
      <w:tr w14:paraId="7146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pct"/>
            <w:noWrap w:val="0"/>
            <w:vAlign w:val="center"/>
          </w:tcPr>
          <w:p w14:paraId="70B956E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生态环境保护与恢复</w:t>
            </w:r>
          </w:p>
        </w:tc>
        <w:tc>
          <w:tcPr>
            <w:tcW w:w="2310" w:type="pct"/>
            <w:noWrap w:val="0"/>
            <w:vAlign w:val="center"/>
          </w:tcPr>
          <w:p w14:paraId="44AAB053">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color w:val="auto"/>
                <w:highlight w:val="none"/>
                <w:lang w:eastAsia="zh-CN"/>
              </w:rPr>
            </w:pPr>
            <w:r>
              <w:rPr>
                <w:rFonts w:hint="eastAsia"/>
                <w:color w:val="auto"/>
                <w:highlight w:val="none"/>
                <w:lang w:val="en-US" w:eastAsia="zh-CN"/>
              </w:rPr>
              <w:t>按照矿山地质环境保护与土地复垦方案，建立责任机制，将治理和复垦与生产建设活动统一部署、统筹实施，制定年度计划，及时完成地质环境治理和土地复垦。</w:t>
            </w:r>
          </w:p>
        </w:tc>
        <w:tc>
          <w:tcPr>
            <w:tcW w:w="2232" w:type="pct"/>
            <w:noWrap w:val="0"/>
            <w:vAlign w:val="center"/>
          </w:tcPr>
          <w:p w14:paraId="6773BF21">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color w:val="auto"/>
                <w:highlight w:val="none"/>
                <w:lang w:eastAsia="zh-CN"/>
              </w:rPr>
            </w:pPr>
            <w:r>
              <w:rPr>
                <w:rFonts w:hint="eastAsia"/>
                <w:color w:val="auto"/>
                <w:highlight w:val="none"/>
                <w:lang w:val="en-US" w:eastAsia="zh-CN"/>
              </w:rPr>
              <w:t>建设单位已制定《新疆华瓯矿业若羌县卡尔恰尔萤石矿</w:t>
            </w:r>
            <w:r>
              <w:rPr>
                <w:rFonts w:hint="eastAsia"/>
                <w:color w:val="auto"/>
                <w:highlight w:val="none"/>
                <w:lang w:eastAsia="zh-CN"/>
              </w:rPr>
              <w:t>矿产资源开发利用与生态保护修复方案</w:t>
            </w:r>
            <w:r>
              <w:rPr>
                <w:rFonts w:hint="eastAsia"/>
                <w:color w:val="auto"/>
                <w:highlight w:val="none"/>
                <w:lang w:val="en-US" w:eastAsia="zh-CN"/>
              </w:rPr>
              <w:t>》并通过评审，严格按照方案进行治理、复垦和生产建设活动。</w:t>
            </w:r>
          </w:p>
        </w:tc>
      </w:tr>
      <w:tr w14:paraId="3EE8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pct"/>
            <w:vMerge w:val="restart"/>
            <w:noWrap w:val="0"/>
            <w:vAlign w:val="center"/>
          </w:tcPr>
          <w:p w14:paraId="1B9909B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资源综合利用</w:t>
            </w:r>
          </w:p>
        </w:tc>
        <w:tc>
          <w:tcPr>
            <w:tcW w:w="2310" w:type="pct"/>
            <w:noWrap w:val="0"/>
            <w:vAlign w:val="center"/>
          </w:tcPr>
          <w:p w14:paraId="73CB20FB">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default"/>
                <w:color w:val="auto"/>
                <w:highlight w:val="none"/>
              </w:rPr>
              <w:t>固体废物利用：</w:t>
            </w:r>
            <w:r>
              <w:rPr>
                <w:rFonts w:hint="default"/>
                <w:color w:val="auto"/>
                <w:highlight w:val="none"/>
                <w:lang w:val="en-US" w:eastAsia="zh-CN"/>
              </w:rPr>
              <w:t>矿山宜对废石、尾矿等固体废弃物开展回填、筑路、制作建筑材料等资源综合利用工作。废石、尾矿等固体废弃物处置率应达100%</w:t>
            </w:r>
            <w:r>
              <w:rPr>
                <w:rFonts w:hint="eastAsia"/>
                <w:color w:val="auto"/>
                <w:highlight w:val="none"/>
                <w:lang w:eastAsia="zh-CN"/>
              </w:rPr>
              <w:t>。</w:t>
            </w:r>
          </w:p>
        </w:tc>
        <w:tc>
          <w:tcPr>
            <w:tcW w:w="2232" w:type="pct"/>
            <w:noWrap w:val="0"/>
            <w:vAlign w:val="center"/>
          </w:tcPr>
          <w:p w14:paraId="577205DB">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eastAsia"/>
                <w:color w:val="auto"/>
                <w:highlight w:val="none"/>
                <w:lang w:eastAsia="zh-CN"/>
              </w:rPr>
              <w:t>本工程</w:t>
            </w:r>
            <w:r>
              <w:rPr>
                <w:rFonts w:hint="default"/>
                <w:color w:val="auto"/>
                <w:highlight w:val="none"/>
                <w:lang w:val="en-US" w:eastAsia="zh-Hans"/>
              </w:rPr>
              <w:t>废石堆放至</w:t>
            </w:r>
            <w:r>
              <w:rPr>
                <w:rFonts w:hint="default"/>
                <w:color w:val="auto"/>
                <w:highlight w:val="none"/>
                <w:lang w:val="en-US" w:eastAsia="zh-CN"/>
              </w:rPr>
              <w:t>排土场</w:t>
            </w:r>
            <w:r>
              <w:rPr>
                <w:rFonts w:hint="default"/>
                <w:color w:val="auto"/>
                <w:highlight w:val="none"/>
                <w:lang w:val="en-US" w:eastAsia="zh-Hans"/>
              </w:rPr>
              <w:t>内</w:t>
            </w:r>
            <w:r>
              <w:rPr>
                <w:rFonts w:hint="eastAsia"/>
                <w:color w:val="auto"/>
                <w:highlight w:val="none"/>
                <w:lang w:val="en-US" w:eastAsia="zh-CN"/>
              </w:rPr>
              <w:t>，可用于道路修筑</w:t>
            </w:r>
            <w:r>
              <w:rPr>
                <w:rFonts w:hint="default"/>
                <w:color w:val="auto"/>
                <w:highlight w:val="none"/>
                <w:lang w:val="en-US" w:eastAsia="zh-Hans"/>
              </w:rPr>
              <w:t>，</w:t>
            </w:r>
            <w:r>
              <w:rPr>
                <w:rFonts w:hint="default"/>
                <w:color w:val="auto"/>
                <w:highlight w:val="none"/>
                <w:lang w:eastAsia="zh-Hans"/>
              </w:rPr>
              <w:t>后期闭矿后用于矿山生态恢复与土地复垦，</w:t>
            </w:r>
            <w:r>
              <w:rPr>
                <w:rFonts w:hint="default"/>
                <w:color w:val="auto"/>
                <w:highlight w:val="none"/>
              </w:rPr>
              <w:t>可实现废石综合利用。</w:t>
            </w:r>
            <w:r>
              <w:rPr>
                <w:rFonts w:hint="default"/>
                <w:color w:val="auto"/>
                <w:highlight w:val="none"/>
                <w:lang w:val="en-US" w:eastAsia="zh-CN"/>
              </w:rPr>
              <w:t>废石等固体废弃物处置率</w:t>
            </w:r>
            <w:r>
              <w:rPr>
                <w:rFonts w:hint="eastAsia"/>
                <w:color w:val="auto"/>
                <w:highlight w:val="none"/>
                <w:lang w:val="en-US" w:eastAsia="zh-CN"/>
              </w:rPr>
              <w:t>可</w:t>
            </w:r>
            <w:r>
              <w:rPr>
                <w:rFonts w:hint="default"/>
                <w:color w:val="auto"/>
                <w:highlight w:val="none"/>
                <w:lang w:val="en-US" w:eastAsia="zh-CN"/>
              </w:rPr>
              <w:t>达100%</w:t>
            </w:r>
            <w:r>
              <w:rPr>
                <w:rFonts w:hint="eastAsia"/>
                <w:color w:val="auto"/>
                <w:highlight w:val="none"/>
                <w:lang w:val="en-US" w:eastAsia="zh-CN"/>
              </w:rPr>
              <w:t>。</w:t>
            </w:r>
          </w:p>
        </w:tc>
      </w:tr>
      <w:tr w14:paraId="697D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pct"/>
            <w:vMerge w:val="continue"/>
            <w:noWrap w:val="0"/>
            <w:vAlign w:val="center"/>
          </w:tcPr>
          <w:p w14:paraId="52EED68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sz w:val="21"/>
                <w:szCs w:val="21"/>
                <w:highlight w:val="none"/>
              </w:rPr>
            </w:pPr>
          </w:p>
        </w:tc>
        <w:tc>
          <w:tcPr>
            <w:tcW w:w="2310" w:type="pct"/>
            <w:noWrap w:val="0"/>
            <w:vAlign w:val="center"/>
          </w:tcPr>
          <w:p w14:paraId="3415812D">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default"/>
                <w:color w:val="auto"/>
                <w:highlight w:val="none"/>
              </w:rPr>
              <w:t>废水利用：</w:t>
            </w:r>
            <w:r>
              <w:rPr>
                <w:rFonts w:hint="default"/>
                <w:color w:val="auto"/>
                <w:highlight w:val="none"/>
                <w:lang w:val="en-US" w:eastAsia="zh-CN"/>
              </w:rPr>
              <w:t>矿井水、选矿废水应采用洁净化、资源化技术和工艺合理处置</w:t>
            </w:r>
            <w:r>
              <w:rPr>
                <w:rFonts w:hint="default"/>
                <w:color w:val="auto"/>
                <w:highlight w:val="none"/>
              </w:rPr>
              <w:t>。</w:t>
            </w:r>
          </w:p>
        </w:tc>
        <w:tc>
          <w:tcPr>
            <w:tcW w:w="2232" w:type="pct"/>
            <w:noWrap w:val="0"/>
            <w:vAlign w:val="center"/>
          </w:tcPr>
          <w:p w14:paraId="4BBA010C">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eastAsia"/>
                <w:color w:val="auto"/>
                <w:highlight w:val="none"/>
                <w:lang w:eastAsia="zh-CN"/>
              </w:rPr>
              <w:t>本工程</w:t>
            </w:r>
            <w:r>
              <w:rPr>
                <w:rFonts w:hint="default"/>
                <w:color w:val="auto"/>
                <w:highlight w:val="none"/>
                <w:lang w:val="en-US" w:eastAsia="zh-CN"/>
              </w:rPr>
              <w:t>矿</w:t>
            </w:r>
            <w:r>
              <w:rPr>
                <w:rFonts w:hint="eastAsia"/>
                <w:color w:val="auto"/>
                <w:highlight w:val="none"/>
                <w:lang w:val="en-US" w:eastAsia="zh-CN"/>
              </w:rPr>
              <w:t>井</w:t>
            </w:r>
            <w:r>
              <w:rPr>
                <w:rFonts w:hint="default"/>
                <w:color w:val="auto"/>
                <w:highlight w:val="none"/>
              </w:rPr>
              <w:t>涌水</w:t>
            </w:r>
            <w:r>
              <w:rPr>
                <w:rFonts w:hint="eastAsia"/>
                <w:color w:val="auto"/>
                <w:highlight w:val="none"/>
                <w:lang w:val="en-US" w:eastAsia="zh-CN"/>
              </w:rPr>
              <w:t>处理后</w:t>
            </w:r>
            <w:r>
              <w:rPr>
                <w:rFonts w:hint="eastAsia"/>
                <w:color w:val="auto"/>
                <w:highlight w:val="none"/>
                <w:lang w:eastAsia="zh-CN"/>
              </w:rPr>
              <w:t>，</w:t>
            </w:r>
            <w:r>
              <w:rPr>
                <w:rFonts w:hint="default"/>
                <w:color w:val="auto"/>
                <w:highlight w:val="none"/>
              </w:rPr>
              <w:t>用于生产不外排；生活污水</w:t>
            </w:r>
            <w:r>
              <w:rPr>
                <w:rFonts w:hint="eastAsia"/>
                <w:color w:val="auto"/>
                <w:highlight w:val="none"/>
                <w:lang w:eastAsia="zh-CN"/>
              </w:rPr>
              <w:t>采取生化处理</w:t>
            </w:r>
            <w:r>
              <w:rPr>
                <w:rFonts w:hint="default"/>
                <w:color w:val="auto"/>
                <w:highlight w:val="none"/>
              </w:rPr>
              <w:t>达标</w:t>
            </w:r>
            <w:r>
              <w:rPr>
                <w:rFonts w:hint="eastAsia"/>
                <w:color w:val="auto"/>
                <w:highlight w:val="none"/>
                <w:lang w:eastAsia="zh-CN"/>
              </w:rPr>
              <w:t>后用</w:t>
            </w:r>
            <w:r>
              <w:rPr>
                <w:rFonts w:hint="default"/>
                <w:color w:val="auto"/>
                <w:highlight w:val="none"/>
              </w:rPr>
              <w:t>于</w:t>
            </w:r>
            <w:r>
              <w:rPr>
                <w:rFonts w:hint="eastAsia"/>
                <w:color w:val="auto"/>
                <w:highlight w:val="none"/>
                <w:lang w:eastAsia="zh-CN"/>
              </w:rPr>
              <w:t>配套选矿厂</w:t>
            </w:r>
            <w:r>
              <w:rPr>
                <w:rFonts w:hint="default"/>
                <w:color w:val="auto"/>
                <w:highlight w:val="none"/>
              </w:rPr>
              <w:t>绿化</w:t>
            </w:r>
            <w:r>
              <w:rPr>
                <w:rFonts w:hint="eastAsia"/>
                <w:color w:val="auto"/>
                <w:highlight w:val="none"/>
                <w:lang w:eastAsia="zh-CN"/>
              </w:rPr>
              <w:t>和降尘</w:t>
            </w:r>
            <w:r>
              <w:rPr>
                <w:rFonts w:hint="default"/>
                <w:color w:val="auto"/>
                <w:highlight w:val="none"/>
              </w:rPr>
              <w:t>，废水全部利用，利用率为100%。</w:t>
            </w:r>
          </w:p>
        </w:tc>
      </w:tr>
      <w:tr w14:paraId="27AC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pct"/>
            <w:vMerge w:val="restart"/>
            <w:noWrap w:val="0"/>
            <w:vAlign w:val="center"/>
          </w:tcPr>
          <w:p w14:paraId="6046197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节能减排</w:t>
            </w:r>
          </w:p>
        </w:tc>
        <w:tc>
          <w:tcPr>
            <w:tcW w:w="2310" w:type="pct"/>
            <w:noWrap w:val="0"/>
            <w:vAlign w:val="center"/>
          </w:tcPr>
          <w:p w14:paraId="5E304DD7">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default"/>
                <w:color w:val="auto"/>
                <w:highlight w:val="none"/>
                <w:lang w:val="en-US" w:eastAsia="zh-CN"/>
              </w:rPr>
              <w:t>矿山应建立生产全过程能耗核算体系，采取节能减排措施，控制并减少单位产品能耗、物耗、水耗，减少污染物排放</w:t>
            </w:r>
            <w:r>
              <w:rPr>
                <w:rFonts w:hint="default"/>
                <w:color w:val="auto"/>
                <w:highlight w:val="none"/>
              </w:rPr>
              <w:t>。</w:t>
            </w:r>
          </w:p>
        </w:tc>
        <w:tc>
          <w:tcPr>
            <w:tcW w:w="2232" w:type="pct"/>
            <w:noWrap w:val="0"/>
            <w:vAlign w:val="center"/>
          </w:tcPr>
          <w:p w14:paraId="592F8DC9">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default"/>
                <w:color w:val="auto"/>
                <w:highlight w:val="none"/>
              </w:rPr>
              <w:t>本次评价要求矿山建立生产全过程能耗核算体系</w:t>
            </w:r>
            <w:r>
              <w:rPr>
                <w:rFonts w:hint="eastAsia"/>
                <w:color w:val="auto"/>
                <w:highlight w:val="none"/>
                <w:lang w:eastAsia="zh-CN"/>
              </w:rPr>
              <w:t>，</w:t>
            </w:r>
            <w:r>
              <w:rPr>
                <w:rFonts w:hint="default"/>
                <w:color w:val="auto"/>
                <w:highlight w:val="none"/>
              </w:rPr>
              <w:t>通过采取节能减排措施，控制单位产品能耗、物耗、水耗，减少“三废”排放。</w:t>
            </w:r>
          </w:p>
        </w:tc>
      </w:tr>
      <w:tr w14:paraId="46FC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457" w:type="pct"/>
            <w:vMerge w:val="continue"/>
            <w:noWrap w:val="0"/>
            <w:vAlign w:val="center"/>
          </w:tcPr>
          <w:p w14:paraId="4BBD342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sz w:val="21"/>
                <w:szCs w:val="21"/>
                <w:highlight w:val="none"/>
              </w:rPr>
            </w:pPr>
          </w:p>
        </w:tc>
        <w:tc>
          <w:tcPr>
            <w:tcW w:w="2310" w:type="pct"/>
            <w:noWrap w:val="0"/>
            <w:vAlign w:val="center"/>
          </w:tcPr>
          <w:p w14:paraId="33B7EE64">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default"/>
                <w:color w:val="auto"/>
                <w:highlight w:val="none"/>
                <w:lang w:val="en-US" w:eastAsia="zh-CN"/>
              </w:rPr>
              <w:t>矿山应采取有效措施，减少粉尘、</w:t>
            </w:r>
            <w:r>
              <w:rPr>
                <w:rFonts w:hint="eastAsia"/>
                <w:color w:val="auto"/>
                <w:highlight w:val="none"/>
                <w:lang w:val="en-US" w:eastAsia="zh-CN"/>
              </w:rPr>
              <w:t>噪声</w:t>
            </w:r>
            <w:r>
              <w:rPr>
                <w:rFonts w:hint="default"/>
                <w:color w:val="auto"/>
                <w:highlight w:val="none"/>
                <w:lang w:val="en-US" w:eastAsia="zh-CN"/>
              </w:rPr>
              <w:t>、废水、废气、废石、尾矿等污染物的排放</w:t>
            </w:r>
            <w:r>
              <w:rPr>
                <w:rFonts w:hint="default"/>
                <w:color w:val="auto"/>
                <w:highlight w:val="none"/>
              </w:rPr>
              <w:t>。</w:t>
            </w:r>
          </w:p>
        </w:tc>
        <w:tc>
          <w:tcPr>
            <w:tcW w:w="2232" w:type="pct"/>
            <w:noWrap w:val="0"/>
            <w:vAlign w:val="center"/>
          </w:tcPr>
          <w:p w14:paraId="248699EA">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color w:val="auto"/>
                <w:highlight w:val="none"/>
                <w:lang w:eastAsia="zh-CN"/>
              </w:rPr>
            </w:pPr>
            <w:r>
              <w:rPr>
                <w:rFonts w:hint="eastAsia"/>
                <w:color w:val="auto"/>
                <w:highlight w:val="none"/>
                <w:lang w:eastAsia="zh-CN"/>
              </w:rPr>
              <w:t>本工程</w:t>
            </w:r>
            <w:r>
              <w:rPr>
                <w:rFonts w:hint="default"/>
                <w:color w:val="auto"/>
                <w:highlight w:val="none"/>
                <w:lang w:val="en-US" w:eastAsia="zh-CN"/>
              </w:rPr>
              <w:t>矿坑</w:t>
            </w:r>
            <w:r>
              <w:rPr>
                <w:rFonts w:hint="default"/>
                <w:color w:val="auto"/>
                <w:highlight w:val="none"/>
              </w:rPr>
              <w:t>涌水</w:t>
            </w:r>
            <w:r>
              <w:rPr>
                <w:rFonts w:hint="eastAsia"/>
                <w:color w:val="auto"/>
                <w:highlight w:val="none"/>
                <w:lang w:val="en-US" w:eastAsia="zh-CN"/>
              </w:rPr>
              <w:t>经处理后</w:t>
            </w:r>
            <w:r>
              <w:rPr>
                <w:rFonts w:hint="default"/>
                <w:color w:val="auto"/>
                <w:highlight w:val="none"/>
              </w:rPr>
              <w:t>用于生产</w:t>
            </w:r>
            <w:r>
              <w:rPr>
                <w:rFonts w:hint="eastAsia"/>
                <w:color w:val="auto"/>
                <w:highlight w:val="none"/>
                <w:lang w:eastAsia="zh-CN"/>
              </w:rPr>
              <w:t>，</w:t>
            </w:r>
            <w:r>
              <w:rPr>
                <w:rFonts w:hint="default"/>
                <w:color w:val="auto"/>
                <w:highlight w:val="none"/>
              </w:rPr>
              <w:t>不外排；生活污水达标处理</w:t>
            </w:r>
            <w:r>
              <w:rPr>
                <w:rFonts w:hint="eastAsia"/>
                <w:color w:val="auto"/>
                <w:highlight w:val="none"/>
                <w:lang w:eastAsia="zh-CN"/>
              </w:rPr>
              <w:t>后用于配套选矿厂</w:t>
            </w:r>
            <w:r>
              <w:rPr>
                <w:rFonts w:hint="default"/>
                <w:color w:val="auto"/>
                <w:highlight w:val="none"/>
              </w:rPr>
              <w:t>绿化，废水全部利用，利用率为100%；项目运营期洒水、降尘，可最大程度</w:t>
            </w:r>
            <w:r>
              <w:rPr>
                <w:rFonts w:hint="eastAsia"/>
                <w:color w:val="auto"/>
                <w:highlight w:val="none"/>
                <w:lang w:eastAsia="zh-CN"/>
              </w:rPr>
              <w:t>减少</w:t>
            </w:r>
            <w:r>
              <w:rPr>
                <w:rFonts w:hint="default"/>
                <w:color w:val="auto"/>
                <w:highlight w:val="none"/>
              </w:rPr>
              <w:t>废气排放。</w:t>
            </w:r>
            <w:r>
              <w:rPr>
                <w:rFonts w:hint="eastAsia"/>
                <w:color w:val="auto"/>
                <w:highlight w:val="none"/>
                <w:lang w:eastAsia="zh-CN"/>
              </w:rPr>
              <w:t>本工程</w:t>
            </w:r>
            <w:r>
              <w:rPr>
                <w:rFonts w:hint="default"/>
                <w:color w:val="auto"/>
                <w:highlight w:val="none"/>
                <w:lang w:val="en-US" w:eastAsia="zh-Hans"/>
              </w:rPr>
              <w:t>废石堆放至</w:t>
            </w:r>
            <w:r>
              <w:rPr>
                <w:rFonts w:hint="default"/>
                <w:color w:val="auto"/>
                <w:highlight w:val="none"/>
                <w:lang w:val="en-US" w:eastAsia="zh-CN"/>
              </w:rPr>
              <w:t>排土场</w:t>
            </w:r>
            <w:r>
              <w:rPr>
                <w:rFonts w:hint="default"/>
                <w:color w:val="auto"/>
                <w:highlight w:val="none"/>
                <w:lang w:val="en-US" w:eastAsia="zh-Hans"/>
              </w:rPr>
              <w:t>内</w:t>
            </w:r>
            <w:r>
              <w:rPr>
                <w:rFonts w:hint="eastAsia"/>
                <w:color w:val="auto"/>
                <w:highlight w:val="none"/>
                <w:lang w:val="en-US" w:eastAsia="zh-CN"/>
              </w:rPr>
              <w:t>，合理利用和处置废石。</w:t>
            </w:r>
          </w:p>
        </w:tc>
      </w:tr>
    </w:tbl>
    <w:p w14:paraId="287AC29A">
      <w:pPr>
        <w:bidi w:val="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综上，</w:t>
      </w:r>
      <w:r>
        <w:rPr>
          <w:rFonts w:hint="eastAsia" w:ascii="Times New Roman" w:hAnsi="Times New Roman" w:cs="Times New Roman"/>
          <w:color w:val="auto"/>
          <w:sz w:val="24"/>
          <w:highlight w:val="none"/>
          <w:lang w:eastAsia="zh-CN"/>
        </w:rPr>
        <w:t>本工程</w:t>
      </w:r>
      <w:r>
        <w:rPr>
          <w:rFonts w:hint="default" w:ascii="Times New Roman" w:hAnsi="Times New Roman" w:cs="Times New Roman"/>
          <w:color w:val="auto"/>
          <w:sz w:val="24"/>
          <w:highlight w:val="none"/>
        </w:rPr>
        <w:t>的建设符合《</w:t>
      </w:r>
      <w:r>
        <w:rPr>
          <w:rFonts w:hint="eastAsia"/>
          <w:color w:val="auto"/>
          <w:highlight w:val="none"/>
          <w:lang w:val="en-US" w:eastAsia="zh-CN"/>
        </w:rPr>
        <w:t>非金属矿行业绿色矿山建设规范</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DZ/T0312-2018</w:t>
      </w:r>
      <w:r>
        <w:rPr>
          <w:rFonts w:hint="default" w:ascii="Times New Roman" w:hAnsi="Times New Roman" w:cs="Times New Roman"/>
          <w:color w:val="auto"/>
          <w:sz w:val="24"/>
          <w:highlight w:val="none"/>
        </w:rPr>
        <w:t>）中的相关要求。</w:t>
      </w:r>
    </w:p>
    <w:p w14:paraId="34A96ECB">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r>
        <w:rPr>
          <w:rFonts w:hint="eastAsia" w:cs="Times New Roman"/>
          <w:color w:val="auto"/>
          <w:highlight w:val="none"/>
          <w:lang w:val="en-US" w:eastAsia="zh-CN"/>
        </w:rPr>
        <w:t>4</w:t>
      </w:r>
      <w:r>
        <w:rPr>
          <w:rFonts w:hint="default" w:ascii="Times New Roman" w:hAnsi="Times New Roman" w:cs="Times New Roman"/>
          <w:color w:val="auto"/>
          <w:highlight w:val="none"/>
        </w:rPr>
        <w:t>.</w:t>
      </w:r>
      <w:r>
        <w:rPr>
          <w:rFonts w:hint="eastAsia" w:cs="Times New Roman"/>
          <w:color w:val="auto"/>
          <w:highlight w:val="none"/>
          <w:lang w:val="en-US" w:eastAsia="zh-CN"/>
        </w:rPr>
        <w:t>7</w:t>
      </w:r>
      <w:r>
        <w:rPr>
          <w:rFonts w:hint="default" w:ascii="Times New Roman" w:hAnsi="Times New Roman" w:cs="Times New Roman"/>
          <w:color w:val="auto"/>
          <w:highlight w:val="none"/>
        </w:rPr>
        <w:t>与《关于划定并严守生态保护红线的若干意见》等政策的符合性</w:t>
      </w:r>
    </w:p>
    <w:p w14:paraId="479807CE">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根据《关于划定并严守生态保护红线的若干意见》，本项目位于巴音郭楞蒙古自治州</w:t>
      </w:r>
      <w:r>
        <w:rPr>
          <w:rFonts w:hint="default" w:ascii="Times New Roman" w:hAnsi="Times New Roman" w:cs="Times New Roman"/>
          <w:color w:val="auto"/>
          <w:highlight w:val="none"/>
          <w:lang w:eastAsia="zh-CN"/>
        </w:rPr>
        <w:t>若羌</w:t>
      </w:r>
      <w:r>
        <w:rPr>
          <w:rFonts w:hint="default" w:ascii="Times New Roman" w:hAnsi="Times New Roman" w:cs="Times New Roman"/>
          <w:color w:val="auto"/>
          <w:highlight w:val="none"/>
        </w:rPr>
        <w:t>县</w:t>
      </w:r>
      <w:r>
        <w:rPr>
          <w:rFonts w:hint="default" w:ascii="Times New Roman" w:hAnsi="Times New Roman" w:cs="Times New Roman"/>
          <w:color w:val="auto"/>
          <w:highlight w:val="none"/>
          <w:lang w:eastAsia="zh-CN"/>
        </w:rPr>
        <w:t>东南</w:t>
      </w:r>
      <w:r>
        <w:rPr>
          <w:rFonts w:hint="default" w:ascii="Times New Roman" w:hAnsi="Times New Roman" w:cs="Times New Roman"/>
          <w:color w:val="auto"/>
          <w:highlight w:val="none"/>
          <w:lang w:val="en-US" w:eastAsia="zh-CN"/>
        </w:rPr>
        <w:t>144</w:t>
      </w:r>
      <w:r>
        <w:rPr>
          <w:rFonts w:hint="default" w:ascii="Times New Roman" w:hAnsi="Times New Roman" w:cs="Times New Roman"/>
          <w:color w:val="auto"/>
          <w:highlight w:val="none"/>
        </w:rPr>
        <w:t>°方向</w:t>
      </w:r>
      <w:r>
        <w:rPr>
          <w:rFonts w:hint="default" w:ascii="Times New Roman" w:hAnsi="Times New Roman" w:cs="Times New Roman"/>
          <w:color w:val="auto"/>
          <w:kern w:val="0"/>
          <w:highlight w:val="none"/>
        </w:rPr>
        <w:t>，距</w:t>
      </w:r>
      <w:r>
        <w:rPr>
          <w:rFonts w:hint="default" w:ascii="Times New Roman" w:hAnsi="Times New Roman" w:cs="Times New Roman"/>
          <w:color w:val="auto"/>
          <w:kern w:val="0"/>
          <w:highlight w:val="none"/>
          <w:lang w:eastAsia="zh-CN"/>
        </w:rPr>
        <w:t>若羌</w:t>
      </w:r>
      <w:r>
        <w:rPr>
          <w:rFonts w:hint="default" w:ascii="Times New Roman" w:hAnsi="Times New Roman" w:cs="Times New Roman"/>
          <w:color w:val="auto"/>
          <w:kern w:val="0"/>
          <w:highlight w:val="none"/>
        </w:rPr>
        <w:t>县城</w:t>
      </w:r>
      <w:r>
        <w:rPr>
          <w:rFonts w:hint="default" w:ascii="Times New Roman" w:hAnsi="Times New Roman" w:cs="Times New Roman"/>
          <w:color w:val="auto"/>
          <w:kern w:val="0"/>
          <w:highlight w:val="none"/>
          <w:lang w:eastAsia="zh-CN"/>
        </w:rPr>
        <w:t>直线距离</w:t>
      </w:r>
      <w:r>
        <w:rPr>
          <w:rFonts w:hint="default" w:ascii="Times New Roman" w:hAnsi="Times New Roman" w:cs="Times New Roman"/>
          <w:color w:val="auto"/>
          <w:kern w:val="0"/>
          <w:highlight w:val="none"/>
          <w:lang w:val="en-US" w:eastAsia="zh-CN"/>
        </w:rPr>
        <w:t>74</w:t>
      </w:r>
      <w:r>
        <w:rPr>
          <w:rFonts w:hint="default" w:ascii="Times New Roman" w:hAnsi="Times New Roman" w:cs="Times New Roman"/>
          <w:color w:val="auto"/>
          <w:kern w:val="0"/>
          <w:highlight w:val="none"/>
        </w:rPr>
        <w:t>公里，选矿厂周边5km范围内没有居民区，本项目</w:t>
      </w:r>
      <w:r>
        <w:rPr>
          <w:rFonts w:hint="eastAsia" w:cs="Times New Roman"/>
          <w:color w:val="auto"/>
          <w:kern w:val="0"/>
          <w:highlight w:val="none"/>
          <w:lang w:val="en-US" w:eastAsia="zh-CN"/>
        </w:rPr>
        <w:t>不涉及</w:t>
      </w:r>
      <w:r>
        <w:rPr>
          <w:rFonts w:hint="default" w:ascii="Times New Roman" w:hAnsi="Times New Roman" w:cs="Times New Roman"/>
          <w:color w:val="auto"/>
          <w:kern w:val="0"/>
          <w:highlight w:val="none"/>
        </w:rPr>
        <w:t>生态</w:t>
      </w:r>
      <w:r>
        <w:rPr>
          <w:rFonts w:hint="eastAsia" w:cs="Times New Roman"/>
          <w:color w:val="auto"/>
          <w:kern w:val="0"/>
          <w:highlight w:val="none"/>
          <w:lang w:val="en-US" w:eastAsia="zh-CN"/>
        </w:rPr>
        <w:t>保护</w:t>
      </w:r>
      <w:r>
        <w:rPr>
          <w:rFonts w:hint="default" w:ascii="Times New Roman" w:hAnsi="Times New Roman" w:cs="Times New Roman"/>
          <w:color w:val="auto"/>
          <w:kern w:val="0"/>
          <w:highlight w:val="none"/>
        </w:rPr>
        <w:t>红线。</w:t>
      </w:r>
    </w:p>
    <w:p w14:paraId="6F7DCBF6">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根据《新疆维吾尔自治区主体功能区规划》附件《新疆重点生态功能区范围</w:t>
      </w:r>
      <w:r>
        <w:rPr>
          <w:rFonts w:hint="eastAsia"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新疆禁止开发区域名录》：根据主体功能区开发的理念，结合新疆独特的自然地理状况和新时期跨越式发展的需要，本规划将新疆国土空间划分为重点开发、限制开发和禁止开发区域；按开发内容，分为城市化地区、农产品主产区和重点生态功能区；按层级，包括国家和自治区两个层面（其中：国家层面主体功能区是《全国主体功能区规划》从我国战略全局出发划定的，自治区层面主体功能区是按要求在国家层面以外的区域划定的）</w:t>
      </w:r>
      <w:r>
        <w:rPr>
          <w:rFonts w:hint="default" w:ascii="Times New Roman" w:hAnsi="Times New Roman" w:cs="Times New Roman"/>
          <w:color w:val="auto"/>
          <w:kern w:val="0"/>
          <w:highlight w:val="none"/>
          <w:lang w:eastAsia="zh-CN"/>
        </w:rPr>
        <w:t>，项目区域</w:t>
      </w:r>
      <w:r>
        <w:rPr>
          <w:rFonts w:hint="default" w:ascii="Times New Roman" w:hAnsi="Times New Roman" w:cs="Times New Roman"/>
          <w:color w:val="auto"/>
          <w:kern w:val="0"/>
          <w:highlight w:val="none"/>
        </w:rPr>
        <w:t>属于限制开发区域（重点生态功能区）。根据《矿山生态环境保护与恢复治理方案编制导则》等相关要求，加强厂区生态环境管理，推进矿产资源开发过程中的生态环境保护与恢复治理。本项目不属于禁止开发区域，项目建设符合《关于划定并严守生态保护红线的若干意见</w:t>
      </w:r>
      <w:r>
        <w:rPr>
          <w:rFonts w:hint="eastAsia"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新疆维吾尔自治区主体功能区规划》《新疆维吾尔自治区环境保护条例》等相关要求。</w:t>
      </w:r>
    </w:p>
    <w:p w14:paraId="77C41C90">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r>
        <w:rPr>
          <w:rFonts w:hint="eastAsia" w:cs="Times New Roman"/>
          <w:color w:val="auto"/>
          <w:highlight w:val="none"/>
          <w:lang w:val="en-US" w:eastAsia="zh-CN"/>
        </w:rPr>
        <w:t>4</w:t>
      </w:r>
      <w:r>
        <w:rPr>
          <w:rFonts w:hint="default" w:ascii="Times New Roman" w:hAnsi="Times New Roman" w:cs="Times New Roman"/>
          <w:color w:val="auto"/>
          <w:highlight w:val="none"/>
        </w:rPr>
        <w:t>.</w:t>
      </w:r>
      <w:r>
        <w:rPr>
          <w:rFonts w:hint="eastAsia" w:cs="Times New Roman"/>
          <w:color w:val="auto"/>
          <w:highlight w:val="none"/>
          <w:lang w:val="en-US" w:eastAsia="zh-CN"/>
        </w:rPr>
        <w:t>8</w:t>
      </w:r>
      <w:r>
        <w:rPr>
          <w:rFonts w:hint="default" w:ascii="Times New Roman" w:hAnsi="Times New Roman" w:cs="Times New Roman"/>
          <w:color w:val="auto"/>
          <w:highlight w:val="none"/>
        </w:rPr>
        <w:t>与《土壤污染防治行动计划》符合性分析</w:t>
      </w:r>
    </w:p>
    <w:p w14:paraId="7CB415E7">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20</w:t>
      </w:r>
      <w:r>
        <w:rPr>
          <w:rFonts w:hint="eastAsia" w:cs="Times New Roman"/>
          <w:color w:val="auto"/>
          <w:highlight w:val="none"/>
          <w:lang w:val="en-US" w:eastAsia="zh-CN"/>
        </w:rPr>
        <w:t>24</w:t>
      </w:r>
      <w:r>
        <w:rPr>
          <w:rFonts w:hint="default" w:ascii="Times New Roman" w:hAnsi="Times New Roman" w:cs="Times New Roman"/>
          <w:color w:val="auto"/>
          <w:highlight w:val="none"/>
        </w:rPr>
        <w:t>年</w:t>
      </w:r>
      <w:r>
        <w:rPr>
          <w:rFonts w:hint="eastAsia" w:cs="Times New Roman"/>
          <w:color w:val="auto"/>
          <w:highlight w:val="none"/>
          <w:lang w:val="en-US" w:eastAsia="zh-CN"/>
        </w:rPr>
        <w:t>11</w:t>
      </w:r>
      <w:r>
        <w:rPr>
          <w:rFonts w:hint="default" w:ascii="Times New Roman" w:hAnsi="Times New Roman" w:cs="Times New Roman"/>
          <w:color w:val="auto"/>
          <w:highlight w:val="none"/>
        </w:rPr>
        <w:t>月</w:t>
      </w:r>
      <w:r>
        <w:rPr>
          <w:rFonts w:hint="eastAsia" w:cs="Times New Roman"/>
          <w:color w:val="auto"/>
          <w:highlight w:val="none"/>
          <w:lang w:val="en-US" w:eastAsia="zh-CN"/>
        </w:rPr>
        <w:t>7</w:t>
      </w:r>
      <w:r>
        <w:rPr>
          <w:rFonts w:hint="default" w:ascii="Times New Roman" w:hAnsi="Times New Roman" w:cs="Times New Roman"/>
          <w:color w:val="auto"/>
          <w:highlight w:val="none"/>
        </w:rPr>
        <w:t>日，生态环境部办公厅印发《土壤污染源头防控行动计划》（环土壤〔2024〕80号）。项目与《土壤污染防治行动计划》符合性分析如下。</w:t>
      </w:r>
    </w:p>
    <w:p w14:paraId="2B844048">
      <w:pPr>
        <w:pStyle w:val="1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表1.3-8    与《土壤污染防治行动计划》符合性分析</w:t>
      </w:r>
    </w:p>
    <w:tbl>
      <w:tblPr>
        <w:tblStyle w:val="14"/>
        <w:tblW w:w="8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4306"/>
        <w:gridCol w:w="2868"/>
        <w:gridCol w:w="663"/>
      </w:tblGrid>
      <w:tr w14:paraId="556D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blHeader/>
          <w:jc w:val="center"/>
        </w:trPr>
        <w:tc>
          <w:tcPr>
            <w:tcW w:w="689" w:type="dxa"/>
            <w:tcBorders>
              <w:tl2br w:val="nil"/>
              <w:tr2bl w:val="nil"/>
            </w:tcBorders>
            <w:vAlign w:val="center"/>
          </w:tcPr>
          <w:p w14:paraId="5AAFFF41">
            <w:pPr>
              <w:pStyle w:val="17"/>
              <w:bidi w:val="0"/>
              <w:rPr>
                <w:rFonts w:hint="default"/>
                <w:color w:val="auto"/>
                <w:highlight w:val="none"/>
              </w:rPr>
            </w:pPr>
            <w:r>
              <w:rPr>
                <w:rFonts w:hint="default"/>
                <w:color w:val="auto"/>
                <w:highlight w:val="none"/>
              </w:rPr>
              <w:t>序号</w:t>
            </w:r>
          </w:p>
        </w:tc>
        <w:tc>
          <w:tcPr>
            <w:tcW w:w="4306" w:type="dxa"/>
            <w:tcBorders>
              <w:tl2br w:val="nil"/>
              <w:tr2bl w:val="nil"/>
            </w:tcBorders>
            <w:vAlign w:val="center"/>
          </w:tcPr>
          <w:p w14:paraId="77E30783">
            <w:pPr>
              <w:pStyle w:val="17"/>
              <w:bidi w:val="0"/>
              <w:rPr>
                <w:rFonts w:hint="default"/>
                <w:color w:val="auto"/>
                <w:highlight w:val="none"/>
              </w:rPr>
            </w:pPr>
            <w:r>
              <w:rPr>
                <w:rFonts w:hint="default"/>
                <w:color w:val="auto"/>
                <w:highlight w:val="none"/>
              </w:rPr>
              <w:t>相关要求</w:t>
            </w:r>
          </w:p>
        </w:tc>
        <w:tc>
          <w:tcPr>
            <w:tcW w:w="2868" w:type="dxa"/>
            <w:tcBorders>
              <w:tl2br w:val="nil"/>
              <w:tr2bl w:val="nil"/>
            </w:tcBorders>
            <w:vAlign w:val="center"/>
          </w:tcPr>
          <w:p w14:paraId="654F1B80">
            <w:pPr>
              <w:pStyle w:val="17"/>
              <w:bidi w:val="0"/>
              <w:rPr>
                <w:rFonts w:hint="default"/>
                <w:color w:val="auto"/>
                <w:highlight w:val="none"/>
              </w:rPr>
            </w:pPr>
            <w:r>
              <w:rPr>
                <w:rFonts w:hint="default"/>
                <w:color w:val="auto"/>
                <w:highlight w:val="none"/>
              </w:rPr>
              <w:t>本项目情况</w:t>
            </w:r>
          </w:p>
        </w:tc>
        <w:tc>
          <w:tcPr>
            <w:tcW w:w="663" w:type="dxa"/>
            <w:tcBorders>
              <w:tl2br w:val="nil"/>
              <w:tr2bl w:val="nil"/>
            </w:tcBorders>
            <w:vAlign w:val="center"/>
          </w:tcPr>
          <w:p w14:paraId="5DE59A56">
            <w:pPr>
              <w:pStyle w:val="17"/>
              <w:bidi w:val="0"/>
              <w:rPr>
                <w:rFonts w:hint="default"/>
                <w:color w:val="auto"/>
                <w:highlight w:val="none"/>
              </w:rPr>
            </w:pPr>
            <w:r>
              <w:rPr>
                <w:rFonts w:hint="default"/>
                <w:color w:val="auto"/>
                <w:highlight w:val="none"/>
              </w:rPr>
              <w:t>符合性</w:t>
            </w:r>
          </w:p>
        </w:tc>
      </w:tr>
      <w:tr w14:paraId="44CD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89" w:type="dxa"/>
            <w:tcBorders>
              <w:tl2br w:val="nil"/>
              <w:tr2bl w:val="nil"/>
            </w:tcBorders>
            <w:vAlign w:val="center"/>
          </w:tcPr>
          <w:p w14:paraId="316EBE6C">
            <w:pPr>
              <w:pStyle w:val="17"/>
              <w:bidi w:val="0"/>
              <w:rPr>
                <w:rFonts w:hint="default"/>
                <w:color w:val="auto"/>
                <w:highlight w:val="none"/>
              </w:rPr>
            </w:pPr>
            <w:r>
              <w:rPr>
                <w:rFonts w:hint="default"/>
                <w:color w:val="auto"/>
                <w:highlight w:val="none"/>
              </w:rPr>
              <w:t>1</w:t>
            </w:r>
          </w:p>
        </w:tc>
        <w:tc>
          <w:tcPr>
            <w:tcW w:w="4306" w:type="dxa"/>
            <w:tcBorders>
              <w:tl2br w:val="nil"/>
              <w:tr2bl w:val="nil"/>
            </w:tcBorders>
            <w:vAlign w:val="center"/>
          </w:tcPr>
          <w:p w14:paraId="0523FCD5">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color w:val="auto"/>
                <w:highlight w:val="none"/>
              </w:rPr>
              <w:t>（一）落实生态环境分区管控。加强农用地分类管理，衔接国土空间规划，根据土壤污染程度和相关标准，动态调整优先保护类、安全利用类和严格管控类农用地的数量和边界，细化并落实分类管理措施。城镇开发边界外不得规划建设各类开发区，区内各类开发建设活动应严格落实生态环境准入清单。严格重点建设用地安全利用。完善地下水环境风险管控划定技术要求，划定地下水污染防治重点区，精准编制差异化准入清单，提出土壤和地下水污染风险管控要求。形成地下水环境风险管控分区成果，纳入生态环境分区管控体系，并加强与国土空间规划的动态衔接。</w:t>
            </w:r>
          </w:p>
        </w:tc>
        <w:tc>
          <w:tcPr>
            <w:tcW w:w="2868" w:type="dxa"/>
            <w:tcBorders>
              <w:tl2br w:val="nil"/>
              <w:tr2bl w:val="nil"/>
            </w:tcBorders>
            <w:vAlign w:val="center"/>
          </w:tcPr>
          <w:p w14:paraId="3E6C34E9">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default"/>
                <w:color w:val="auto"/>
                <w:highlight w:val="none"/>
              </w:rPr>
              <w:t>本项目</w:t>
            </w:r>
            <w:r>
              <w:rPr>
                <w:rFonts w:hint="eastAsia"/>
                <w:color w:val="auto"/>
                <w:highlight w:val="none"/>
                <w:lang w:val="en-US" w:eastAsia="zh-CN"/>
              </w:rPr>
              <w:t>符合所在生态环境管控单元管控要求，用地为工业用地。项目采取分区防渗措施，不会对周边土壤、地下水环境造成影响</w:t>
            </w:r>
            <w:r>
              <w:rPr>
                <w:rFonts w:hint="default"/>
                <w:color w:val="auto"/>
                <w:highlight w:val="none"/>
              </w:rPr>
              <w:t>。</w:t>
            </w:r>
          </w:p>
        </w:tc>
        <w:tc>
          <w:tcPr>
            <w:tcW w:w="663" w:type="dxa"/>
            <w:tcBorders>
              <w:tl2br w:val="nil"/>
              <w:tr2bl w:val="nil"/>
            </w:tcBorders>
            <w:vAlign w:val="center"/>
          </w:tcPr>
          <w:p w14:paraId="1AF8A92F">
            <w:pPr>
              <w:pStyle w:val="17"/>
              <w:bidi w:val="0"/>
              <w:rPr>
                <w:rFonts w:hint="default"/>
                <w:color w:val="auto"/>
                <w:highlight w:val="none"/>
              </w:rPr>
            </w:pPr>
            <w:r>
              <w:rPr>
                <w:rFonts w:hint="default"/>
                <w:color w:val="auto"/>
                <w:highlight w:val="none"/>
              </w:rPr>
              <w:t>符合</w:t>
            </w:r>
          </w:p>
        </w:tc>
      </w:tr>
      <w:tr w14:paraId="4468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89" w:type="dxa"/>
            <w:tcBorders>
              <w:tl2br w:val="nil"/>
              <w:tr2bl w:val="nil"/>
            </w:tcBorders>
            <w:vAlign w:val="center"/>
          </w:tcPr>
          <w:p w14:paraId="44DEC0F7">
            <w:pPr>
              <w:pStyle w:val="17"/>
              <w:bidi w:val="0"/>
              <w:rPr>
                <w:rFonts w:hint="default"/>
                <w:color w:val="auto"/>
                <w:highlight w:val="none"/>
              </w:rPr>
            </w:pPr>
            <w:r>
              <w:rPr>
                <w:rFonts w:hint="default"/>
                <w:color w:val="auto"/>
                <w:highlight w:val="none"/>
              </w:rPr>
              <w:t>2</w:t>
            </w:r>
          </w:p>
        </w:tc>
        <w:tc>
          <w:tcPr>
            <w:tcW w:w="4306" w:type="dxa"/>
            <w:tcBorders>
              <w:tl2br w:val="nil"/>
              <w:tr2bl w:val="nil"/>
            </w:tcBorders>
            <w:vAlign w:val="center"/>
          </w:tcPr>
          <w:p w14:paraId="6F4CBDF2">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eastAsia="宋体"/>
                <w:color w:val="auto"/>
                <w:highlight w:val="none"/>
                <w:lang w:eastAsia="zh-CN"/>
              </w:rPr>
            </w:pPr>
            <w:r>
              <w:rPr>
                <w:color w:val="auto"/>
                <w:highlight w:val="none"/>
              </w:rPr>
              <w:t>（四）加强未污染土壤保护。强化优先保护类耕地管理，加强土壤生态环境质量监测和保护。鼓励黑龙江等省份探索开展黑土地土壤生态环境保护监督管理。加强盐碱地生态环境保护。新建涉重金属排放企业，要在相关建设项目中加强重金属排放对周边耕地土壤的累积性风险分析，存在风险的，要采取防控措施</w:t>
            </w:r>
            <w:r>
              <w:rPr>
                <w:rFonts w:hint="eastAsia"/>
                <w:color w:val="auto"/>
                <w:highlight w:val="none"/>
                <w:lang w:eastAsia="zh-CN"/>
              </w:rPr>
              <w:t>。</w:t>
            </w:r>
          </w:p>
        </w:tc>
        <w:tc>
          <w:tcPr>
            <w:tcW w:w="2868" w:type="dxa"/>
            <w:tcBorders>
              <w:tl2br w:val="nil"/>
              <w:tr2bl w:val="nil"/>
            </w:tcBorders>
            <w:vAlign w:val="center"/>
          </w:tcPr>
          <w:p w14:paraId="7C83FAA2">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default"/>
                <w:color w:val="auto"/>
                <w:highlight w:val="none"/>
              </w:rPr>
              <w:t>本项目</w:t>
            </w:r>
            <w:r>
              <w:rPr>
                <w:rFonts w:hint="eastAsia"/>
                <w:color w:val="auto"/>
                <w:highlight w:val="none"/>
                <w:lang w:val="en-US" w:eastAsia="zh-CN"/>
              </w:rPr>
              <w:t>不涉及耕地。</w:t>
            </w:r>
          </w:p>
        </w:tc>
        <w:tc>
          <w:tcPr>
            <w:tcW w:w="663" w:type="dxa"/>
            <w:tcBorders>
              <w:tl2br w:val="nil"/>
              <w:tr2bl w:val="nil"/>
            </w:tcBorders>
            <w:vAlign w:val="center"/>
          </w:tcPr>
          <w:p w14:paraId="0B664AA4">
            <w:pPr>
              <w:pStyle w:val="17"/>
              <w:bidi w:val="0"/>
              <w:rPr>
                <w:rFonts w:hint="default"/>
                <w:color w:val="auto"/>
                <w:highlight w:val="none"/>
              </w:rPr>
            </w:pPr>
            <w:r>
              <w:rPr>
                <w:rFonts w:hint="default"/>
                <w:color w:val="auto"/>
                <w:highlight w:val="none"/>
              </w:rPr>
              <w:t>符合</w:t>
            </w:r>
          </w:p>
        </w:tc>
      </w:tr>
      <w:tr w14:paraId="0CBF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9" w:type="dxa"/>
            <w:tcBorders>
              <w:tl2br w:val="nil"/>
              <w:tr2bl w:val="nil"/>
            </w:tcBorders>
            <w:vAlign w:val="center"/>
          </w:tcPr>
          <w:p w14:paraId="4F74E513">
            <w:pPr>
              <w:pStyle w:val="17"/>
              <w:bidi w:val="0"/>
              <w:rPr>
                <w:rFonts w:hint="default"/>
                <w:color w:val="auto"/>
                <w:highlight w:val="none"/>
              </w:rPr>
            </w:pPr>
            <w:r>
              <w:rPr>
                <w:rFonts w:hint="default"/>
                <w:color w:val="auto"/>
                <w:highlight w:val="none"/>
              </w:rPr>
              <w:t>3</w:t>
            </w:r>
          </w:p>
        </w:tc>
        <w:tc>
          <w:tcPr>
            <w:tcW w:w="4306" w:type="dxa"/>
            <w:tcBorders>
              <w:tl2br w:val="nil"/>
              <w:tr2bl w:val="nil"/>
            </w:tcBorders>
            <w:vAlign w:val="center"/>
          </w:tcPr>
          <w:p w14:paraId="3C968ED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eastAsia"/>
                <w:color w:val="auto"/>
                <w:highlight w:val="none"/>
                <w:lang w:eastAsia="zh-CN"/>
              </w:rPr>
              <w:t>（</w:t>
            </w:r>
            <w:r>
              <w:rPr>
                <w:rFonts w:hint="default"/>
                <w:color w:val="auto"/>
                <w:highlight w:val="none"/>
              </w:rPr>
              <w:t>八</w:t>
            </w:r>
            <w:r>
              <w:rPr>
                <w:rFonts w:hint="eastAsia"/>
                <w:color w:val="auto"/>
                <w:highlight w:val="none"/>
                <w:lang w:eastAsia="zh-CN"/>
              </w:rPr>
              <w:t>）</w:t>
            </w:r>
            <w:r>
              <w:rPr>
                <w:rFonts w:hint="default"/>
                <w:color w:val="auto"/>
                <w:highlight w:val="none"/>
              </w:rPr>
              <w:t>推进固体废物源头减量和综合利用。加强一般工业固体废物规范化环境管理，开展历史遗留固体废物堆存场摸底排查和分级分类整改，全面完善防渗漏、防流失、防扬散等措施。严密防控危险废物环境风险，深化危险废物规范化环境管理评估，推进全过程信息化环境管理，严格管控最终填埋处置。严厉打击非法排放、倾倒、转移、处置固体废物，尤其是危险废物环境违法犯罪行为。加快推进大宗固体废弃物综合利用示范基地、工业资源综合利用基地建设，推动提升磷石膏、赤泥等复杂难用大宗固废净化处理和综合利用水平。加强废弃电器电子产品、报废机动车、废有色金属等再生资源加工利用企业土壤和地下水污染防治监管，强化防渗等措施落实。加强生活垃圾填埋场和危险废物处置场运行监管，严格落实雨污分流、地表水与地下水导排、渗沥液收集与处理等污染防治措施，对库容已满的规范有序开展封场治理。加强建筑垃圾处置监管。</w:t>
            </w:r>
          </w:p>
        </w:tc>
        <w:tc>
          <w:tcPr>
            <w:tcW w:w="2868" w:type="dxa"/>
            <w:tcBorders>
              <w:tl2br w:val="nil"/>
              <w:tr2bl w:val="nil"/>
            </w:tcBorders>
            <w:vAlign w:val="center"/>
          </w:tcPr>
          <w:p w14:paraId="555F1779">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eastAsia="宋体"/>
                <w:color w:val="auto"/>
                <w:highlight w:val="none"/>
                <w:lang w:val="en-US" w:eastAsia="zh-CN"/>
              </w:rPr>
            </w:pPr>
            <w:r>
              <w:rPr>
                <w:rFonts w:hint="eastAsia"/>
                <w:color w:val="auto"/>
                <w:highlight w:val="none"/>
                <w:lang w:val="en-US" w:eastAsia="zh-CN"/>
              </w:rPr>
              <w:t>项目产生的固体废物均妥善处置。</w:t>
            </w:r>
            <w:r>
              <w:rPr>
                <w:rFonts w:hint="default"/>
                <w:color w:val="auto"/>
                <w:highlight w:val="none"/>
                <w:lang w:val="zh-CN" w:eastAsia="zh-CN"/>
              </w:rPr>
              <w:t>废石堆放至</w:t>
            </w:r>
            <w:r>
              <w:rPr>
                <w:rFonts w:hint="eastAsia"/>
                <w:color w:val="auto"/>
                <w:highlight w:val="none"/>
                <w:lang w:val="zh-CN" w:eastAsia="zh-CN"/>
              </w:rPr>
              <w:t>废石堆场</w:t>
            </w:r>
            <w:r>
              <w:rPr>
                <w:rFonts w:hint="default"/>
                <w:color w:val="auto"/>
                <w:highlight w:val="none"/>
                <w:lang w:val="zh-CN" w:eastAsia="zh-CN"/>
              </w:rPr>
              <w:t>，</w:t>
            </w:r>
            <w:r>
              <w:rPr>
                <w:rFonts w:hint="eastAsia"/>
                <w:color w:val="auto"/>
                <w:highlight w:val="none"/>
                <w:lang w:val="zh-CN" w:eastAsia="zh-CN"/>
              </w:rPr>
              <w:t>用于配套选厂尾矿库筑坝、矿区铺路及</w:t>
            </w:r>
            <w:r>
              <w:rPr>
                <w:rFonts w:hint="default"/>
                <w:color w:val="auto"/>
                <w:highlight w:val="none"/>
                <w:lang w:val="zh-CN" w:eastAsia="zh-CN"/>
              </w:rPr>
              <w:t>矿山复垦</w:t>
            </w:r>
            <w:r>
              <w:rPr>
                <w:rFonts w:hint="default"/>
                <w:color w:val="auto"/>
                <w:highlight w:val="none"/>
                <w:lang w:val="en-US" w:eastAsia="zh-CN"/>
              </w:rPr>
              <w:t>；</w:t>
            </w:r>
            <w:r>
              <w:rPr>
                <w:rFonts w:hint="eastAsia"/>
                <w:color w:val="auto"/>
                <w:highlight w:val="none"/>
              </w:rPr>
              <w:t>尾矿排入尾矿库，部分用于</w:t>
            </w:r>
            <w:r>
              <w:rPr>
                <w:rFonts w:hint="eastAsia"/>
                <w:color w:val="auto"/>
                <w:highlight w:val="none"/>
                <w:lang w:eastAsia="zh-CN"/>
              </w:rPr>
              <w:t>井下充填和</w:t>
            </w:r>
            <w:r>
              <w:rPr>
                <w:rFonts w:hint="eastAsia"/>
                <w:color w:val="auto"/>
                <w:highlight w:val="none"/>
              </w:rPr>
              <w:t>筑坝，尾矿库停运后随之封场。</w:t>
            </w:r>
            <w:r>
              <w:rPr>
                <w:rFonts w:hint="eastAsia"/>
                <w:color w:val="auto"/>
                <w:kern w:val="0"/>
                <w:highlight w:val="none"/>
                <w:lang w:val="en-US" w:eastAsia="zh-CN"/>
              </w:rPr>
              <w:t>回水</w:t>
            </w:r>
            <w:r>
              <w:rPr>
                <w:rFonts w:hint="eastAsia"/>
                <w:color w:val="auto"/>
                <w:kern w:val="0"/>
                <w:highlight w:val="none"/>
              </w:rPr>
              <w:t>底泥</w:t>
            </w:r>
            <w:r>
              <w:rPr>
                <w:rFonts w:hint="eastAsia"/>
                <w:color w:val="auto"/>
                <w:kern w:val="0"/>
                <w:highlight w:val="none"/>
                <w:lang w:val="en-US" w:eastAsia="zh-CN"/>
              </w:rPr>
              <w:t>全部</w:t>
            </w:r>
            <w:r>
              <w:rPr>
                <w:rFonts w:hint="eastAsia"/>
                <w:color w:val="auto"/>
                <w:kern w:val="0"/>
                <w:highlight w:val="none"/>
              </w:rPr>
              <w:t>返回生产工序回用于选矿</w:t>
            </w:r>
            <w:r>
              <w:rPr>
                <w:rFonts w:hint="eastAsia"/>
                <w:color w:val="auto"/>
                <w:kern w:val="0"/>
                <w:highlight w:val="none"/>
                <w:lang w:eastAsia="zh-CN"/>
              </w:rPr>
              <w:t>；</w:t>
            </w:r>
            <w:r>
              <w:rPr>
                <w:rFonts w:hint="eastAsia"/>
                <w:color w:val="auto"/>
                <w:kern w:val="0"/>
                <w:highlight w:val="none"/>
                <w:lang w:val="en-US" w:eastAsia="zh-CN"/>
              </w:rPr>
              <w:t>坑内水、水源地生产水处理产生的底泥，</w:t>
            </w:r>
            <w:r>
              <w:rPr>
                <w:rFonts w:hint="eastAsia"/>
                <w:color w:val="auto"/>
                <w:highlight w:val="none"/>
              </w:rPr>
              <w:t>定期拉运至</w:t>
            </w:r>
            <w:r>
              <w:rPr>
                <w:rFonts w:hint="eastAsia"/>
                <w:color w:val="auto"/>
                <w:highlight w:val="none"/>
                <w:lang w:eastAsia="zh-CN"/>
              </w:rPr>
              <w:t>若羌</w:t>
            </w:r>
            <w:r>
              <w:rPr>
                <w:rFonts w:hint="eastAsia"/>
                <w:color w:val="auto"/>
                <w:highlight w:val="none"/>
              </w:rPr>
              <w:t>县一般工业固体废物填埋场进行处置</w:t>
            </w:r>
            <w:r>
              <w:rPr>
                <w:rFonts w:hint="eastAsia"/>
                <w:color w:val="auto"/>
                <w:kern w:val="0"/>
                <w:highlight w:val="none"/>
                <w:lang w:val="en-US" w:eastAsia="zh-CN"/>
              </w:rPr>
              <w:t>。废包装材料由厂家定期回收。废石英砂、废活性炭外售处置利用；</w:t>
            </w:r>
            <w:r>
              <w:rPr>
                <w:rFonts w:hint="eastAsia"/>
                <w:color w:val="auto"/>
                <w:highlight w:val="none"/>
              </w:rPr>
              <w:t>选矿除尘灰回用于选矿生产。</w:t>
            </w:r>
            <w:r>
              <w:rPr>
                <w:rFonts w:hint="eastAsia"/>
                <w:color w:val="auto"/>
                <w:kern w:val="0"/>
                <w:highlight w:val="none"/>
              </w:rPr>
              <w:t>废布袋集中收集后定期拉运至</w:t>
            </w:r>
            <w:r>
              <w:rPr>
                <w:rFonts w:hint="eastAsia"/>
                <w:color w:val="auto"/>
                <w:kern w:val="0"/>
                <w:highlight w:val="none"/>
                <w:lang w:eastAsia="zh-CN"/>
              </w:rPr>
              <w:t>若羌</w:t>
            </w:r>
            <w:r>
              <w:rPr>
                <w:rFonts w:hint="eastAsia"/>
                <w:color w:val="auto"/>
                <w:kern w:val="0"/>
                <w:highlight w:val="none"/>
              </w:rPr>
              <w:t>县一般工业固体废物填埋场进行处置。</w:t>
            </w:r>
            <w:r>
              <w:rPr>
                <w:rFonts w:hint="eastAsia"/>
                <w:color w:val="auto"/>
                <w:highlight w:val="none"/>
              </w:rPr>
              <w:t>生活垃圾集中收集</w:t>
            </w:r>
            <w:r>
              <w:rPr>
                <w:color w:val="auto"/>
                <w:highlight w:val="none"/>
              </w:rPr>
              <w:t>后</w:t>
            </w:r>
            <w:r>
              <w:rPr>
                <w:rFonts w:hint="eastAsia"/>
                <w:color w:val="auto"/>
                <w:highlight w:val="none"/>
              </w:rPr>
              <w:t>，</w:t>
            </w:r>
            <w:r>
              <w:rPr>
                <w:rFonts w:hint="eastAsia"/>
                <w:color w:val="auto"/>
                <w:highlight w:val="none"/>
                <w:lang w:val="en-US" w:eastAsia="zh-CN"/>
              </w:rPr>
              <w:t>定期拉运处置</w:t>
            </w:r>
            <w:r>
              <w:rPr>
                <w:rFonts w:hint="eastAsia"/>
                <w:color w:val="auto"/>
                <w:highlight w:val="none"/>
              </w:rPr>
              <w:t>。危险废物</w:t>
            </w:r>
            <w:r>
              <w:rPr>
                <w:rFonts w:hint="eastAsia"/>
                <w:color w:val="auto"/>
                <w:highlight w:val="none"/>
                <w:lang w:val="en-US" w:eastAsia="zh-CN"/>
              </w:rPr>
              <w:t>暂存在</w:t>
            </w:r>
            <w:r>
              <w:rPr>
                <w:rFonts w:hint="eastAsia"/>
                <w:color w:val="auto"/>
                <w:highlight w:val="none"/>
                <w:lang w:eastAsia="zh-CN"/>
              </w:rPr>
              <w:t>危废贮存库</w:t>
            </w:r>
            <w:r>
              <w:rPr>
                <w:rFonts w:hint="eastAsia"/>
                <w:color w:val="auto"/>
                <w:highlight w:val="none"/>
                <w:lang w:val="en-US" w:eastAsia="zh-CN"/>
              </w:rPr>
              <w:t>内</w:t>
            </w:r>
            <w:r>
              <w:rPr>
                <w:rFonts w:hint="eastAsia"/>
                <w:color w:val="auto"/>
                <w:highlight w:val="none"/>
                <w:lang w:eastAsia="zh-CN"/>
              </w:rPr>
              <w:t>，</w:t>
            </w:r>
            <w:r>
              <w:rPr>
                <w:rFonts w:hint="eastAsia"/>
                <w:color w:val="auto"/>
                <w:highlight w:val="none"/>
                <w:lang w:val="en-US" w:eastAsia="zh-CN"/>
              </w:rPr>
              <w:t>定期</w:t>
            </w:r>
            <w:r>
              <w:rPr>
                <w:rFonts w:hint="eastAsia"/>
                <w:color w:val="auto"/>
                <w:highlight w:val="none"/>
              </w:rPr>
              <w:t>委托有资质单位处置。</w:t>
            </w:r>
          </w:p>
        </w:tc>
        <w:tc>
          <w:tcPr>
            <w:tcW w:w="663" w:type="dxa"/>
            <w:tcBorders>
              <w:tl2br w:val="nil"/>
              <w:tr2bl w:val="nil"/>
            </w:tcBorders>
            <w:vAlign w:val="center"/>
          </w:tcPr>
          <w:p w14:paraId="2963203A">
            <w:pPr>
              <w:pStyle w:val="17"/>
              <w:bidi w:val="0"/>
              <w:rPr>
                <w:rFonts w:hint="default"/>
                <w:color w:val="auto"/>
                <w:highlight w:val="none"/>
              </w:rPr>
            </w:pPr>
            <w:r>
              <w:rPr>
                <w:rFonts w:hint="default"/>
                <w:color w:val="auto"/>
                <w:highlight w:val="none"/>
              </w:rPr>
              <w:t>符合</w:t>
            </w:r>
          </w:p>
        </w:tc>
      </w:tr>
    </w:tbl>
    <w:p w14:paraId="0DAB215C">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综上分析可见，本项目不</w:t>
      </w:r>
      <w:r>
        <w:rPr>
          <w:rFonts w:hint="eastAsia" w:cs="Times New Roman"/>
          <w:color w:val="auto"/>
          <w:highlight w:val="none"/>
          <w:lang w:val="en-US" w:eastAsia="zh-CN"/>
        </w:rPr>
        <w:t>涉及耕地</w:t>
      </w:r>
      <w:r>
        <w:rPr>
          <w:rFonts w:hint="default" w:ascii="Times New Roman" w:hAnsi="Times New Roman" w:cs="Times New Roman"/>
          <w:color w:val="auto"/>
          <w:highlight w:val="none"/>
        </w:rPr>
        <w:t>，产生固废均采取相应有效措施进行治理。因此，项目的建设与《土壤污染防治行动计划》相符。</w:t>
      </w:r>
    </w:p>
    <w:p w14:paraId="031A3529">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r>
        <w:rPr>
          <w:rFonts w:hint="eastAsia" w:cs="Times New Roman"/>
          <w:color w:val="auto"/>
          <w:highlight w:val="none"/>
          <w:lang w:val="en-US" w:eastAsia="zh-CN"/>
        </w:rPr>
        <w:t>4</w:t>
      </w:r>
      <w:r>
        <w:rPr>
          <w:rFonts w:hint="default" w:ascii="Times New Roman" w:hAnsi="Times New Roman" w:cs="Times New Roman"/>
          <w:color w:val="auto"/>
          <w:highlight w:val="none"/>
        </w:rPr>
        <w:t>.</w:t>
      </w:r>
      <w:r>
        <w:rPr>
          <w:rFonts w:hint="eastAsia" w:cs="Times New Roman"/>
          <w:color w:val="auto"/>
          <w:highlight w:val="none"/>
          <w:lang w:val="en-US" w:eastAsia="zh-CN"/>
        </w:rPr>
        <w:t>9</w:t>
      </w:r>
      <w:r>
        <w:rPr>
          <w:rFonts w:hint="default" w:ascii="Times New Roman" w:hAnsi="Times New Roman" w:cs="Times New Roman"/>
          <w:color w:val="auto"/>
          <w:highlight w:val="none"/>
        </w:rPr>
        <w:t>与</w:t>
      </w:r>
      <w:r>
        <w:rPr>
          <w:rFonts w:hint="eastAsia" w:cs="Times New Roman"/>
          <w:color w:val="auto"/>
          <w:highlight w:val="none"/>
          <w:lang w:eastAsia="zh-CN"/>
        </w:rPr>
        <w:t>《</w:t>
      </w:r>
      <w:r>
        <w:rPr>
          <w:rFonts w:hint="default" w:ascii="Times New Roman" w:hAnsi="Times New Roman" w:cs="Times New Roman"/>
          <w:color w:val="auto"/>
          <w:highlight w:val="none"/>
        </w:rPr>
        <w:t>关于印发</w:t>
      </w:r>
      <w:r>
        <w:rPr>
          <w:rFonts w:hint="eastAsia" w:cs="Times New Roman"/>
          <w:color w:val="auto"/>
          <w:highlight w:val="none"/>
          <w:lang w:eastAsia="zh-CN"/>
        </w:rPr>
        <w:t>〈</w:t>
      </w:r>
      <w:r>
        <w:rPr>
          <w:rFonts w:hint="default" w:ascii="Times New Roman" w:hAnsi="Times New Roman" w:cs="Times New Roman"/>
          <w:color w:val="auto"/>
          <w:highlight w:val="none"/>
        </w:rPr>
        <w:t>防范化解尾矿库安全风险工作方案</w:t>
      </w:r>
      <w:r>
        <w:rPr>
          <w:rFonts w:hint="eastAsia" w:cs="Times New Roman"/>
          <w:color w:val="auto"/>
          <w:highlight w:val="none"/>
          <w:lang w:eastAsia="zh-CN"/>
        </w:rPr>
        <w:t>〉</w:t>
      </w:r>
      <w:r>
        <w:rPr>
          <w:rFonts w:hint="default" w:ascii="Times New Roman" w:hAnsi="Times New Roman" w:cs="Times New Roman"/>
          <w:color w:val="auto"/>
          <w:highlight w:val="none"/>
        </w:rPr>
        <w:t>的通知</w:t>
      </w:r>
      <w:r>
        <w:rPr>
          <w:rFonts w:hint="eastAsia" w:cs="Times New Roman"/>
          <w:color w:val="auto"/>
          <w:highlight w:val="none"/>
          <w:lang w:eastAsia="zh-CN"/>
        </w:rPr>
        <w:t>》</w:t>
      </w:r>
      <w:r>
        <w:rPr>
          <w:rFonts w:hint="default" w:ascii="Times New Roman" w:hAnsi="Times New Roman" w:cs="Times New Roman"/>
          <w:color w:val="auto"/>
          <w:highlight w:val="none"/>
        </w:rPr>
        <w:t>符合性分析</w:t>
      </w:r>
    </w:p>
    <w:p w14:paraId="6D5713A8">
      <w:pPr>
        <w:overflowPunct w:val="0"/>
        <w:topLinePunct/>
        <w:ind w:firstLine="48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根据《防范化解尾矿库安全风险工作方案》可知：</w:t>
      </w:r>
    </w:p>
    <w:p w14:paraId="47496B11">
      <w:pPr>
        <w:overflowPunct w:val="0"/>
        <w:topLinePunct/>
        <w:ind w:firstLine="48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“（二）强化源头准入，严格控制尾矿库数量。</w:t>
      </w:r>
    </w:p>
    <w:p w14:paraId="75E4640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严格实行总量控制。各省（自治区、直辖市）要结合本地区国民经济和社会发展规划、土地利用、安全生产、水土保持和生态环境保护等要求，采取等量或减量置换等政策措施对本地区尾矿库实施总量控制，自2020年起，在保证紧缺和战略性矿产矿山正常建设开发的前提下，尾矿库数量原则上只减不增。要实行尾矿库基本情况公告制度，每年年初将上年度尾矿库数量、名称、地址、所属或管理单位等信息在当地政府和有关部门网站以及当地其他主流媒体上公告，主动接受新闻舆论和社会公众监督。</w:t>
      </w:r>
    </w:p>
    <w:p w14:paraId="34F5B94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严格准入条件审查。鼓励新开发矿山项目优先利用现有尾矿库；确需配套新建尾矿库的，严格新建尾矿库项目立项、项目选址、河道保护、安全生产、生态环境保护等方面的审查，对于不符合产业总体布局、国土空间规划、河道保护、安全生产、水土保持、生态环境保护等国家有关法律法规、标准和政策要求的，一律不予批准。严格控制新建独立选矿厂尾矿库，严禁新建“头顶库”、总坝高超过200米的尾矿库，严禁在距离长江和黄河干流岸线3公里、重要支流岸线1公里范围内新（改、扩）建尾矿库，新建四等、五等尾矿库必须采用一次建坝方式。”</w:t>
      </w:r>
    </w:p>
    <w:p w14:paraId="29F4566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本项目选矿厂</w:t>
      </w:r>
      <w:r>
        <w:rPr>
          <w:rFonts w:hint="default" w:ascii="Times New Roman" w:hAnsi="Times New Roman" w:cs="Times New Roman"/>
          <w:color w:val="auto"/>
          <w:highlight w:val="none"/>
          <w:lang w:eastAsia="zh-CN"/>
        </w:rPr>
        <w:t>新建</w:t>
      </w:r>
      <w:r>
        <w:rPr>
          <w:rFonts w:hint="default" w:ascii="Times New Roman" w:hAnsi="Times New Roman" w:cs="Times New Roman"/>
          <w:color w:val="auto"/>
          <w:highlight w:val="none"/>
        </w:rPr>
        <w:t>后生产过程中产生的尾矿排放至尾矿库</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本项目尾矿库下游1公里距离内无居民或重要设施，所以尾矿库不属于“头顶库”。尾矿库为三等库，非一次建坝，后期坝采用“上游式”尾矿筑坝，利用尾矿在初期堆石坝上加高。</w:t>
      </w:r>
    </w:p>
    <w:p w14:paraId="43D7303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综上所述，本项目尾矿库建设符合《防范化解尾矿库安全风险工作方案》的准入条件。</w:t>
      </w:r>
    </w:p>
    <w:p w14:paraId="6D0F9272">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r>
        <w:rPr>
          <w:rFonts w:hint="eastAsia" w:cs="Times New Roman"/>
          <w:color w:val="auto"/>
          <w:highlight w:val="none"/>
          <w:lang w:val="en-US" w:eastAsia="zh-CN"/>
        </w:rPr>
        <w:t>4</w:t>
      </w:r>
      <w:r>
        <w:rPr>
          <w:rFonts w:hint="default" w:ascii="Times New Roman" w:hAnsi="Times New Roman" w:cs="Times New Roman"/>
          <w:color w:val="auto"/>
          <w:highlight w:val="none"/>
        </w:rPr>
        <w:t>.1</w:t>
      </w:r>
      <w:r>
        <w:rPr>
          <w:rFonts w:hint="eastAsia" w:cs="Times New Roman"/>
          <w:color w:val="auto"/>
          <w:highlight w:val="none"/>
          <w:lang w:val="en-US" w:eastAsia="zh-CN"/>
        </w:rPr>
        <w:t>0</w:t>
      </w:r>
      <w:r>
        <w:rPr>
          <w:rFonts w:hint="default" w:ascii="Times New Roman" w:hAnsi="Times New Roman" w:cs="Times New Roman"/>
          <w:color w:val="auto"/>
          <w:highlight w:val="none"/>
        </w:rPr>
        <w:t>与《固体废物污染防治“十五五”规划》符合性分析</w:t>
      </w:r>
    </w:p>
    <w:p w14:paraId="763D812F">
      <w:pPr>
        <w:bidi w:val="0"/>
        <w:rPr>
          <w:rFonts w:hint="default"/>
          <w:color w:val="auto"/>
          <w:highlight w:val="none"/>
        </w:rPr>
      </w:pPr>
      <w:r>
        <w:rPr>
          <w:rFonts w:hint="eastAsia"/>
          <w:color w:val="auto"/>
          <w:highlight w:val="none"/>
          <w:lang w:val="en-US" w:eastAsia="zh-CN"/>
        </w:rPr>
        <w:t>根据《</w:t>
      </w:r>
      <w:r>
        <w:rPr>
          <w:rFonts w:hint="eastAsia"/>
          <w:color w:val="auto"/>
          <w:highlight w:val="none"/>
        </w:rPr>
        <w:t>关于印发</w:t>
      </w:r>
      <w:r>
        <w:rPr>
          <w:rFonts w:hint="eastAsia"/>
          <w:color w:val="auto"/>
          <w:highlight w:val="none"/>
          <w:lang w:eastAsia="zh-CN"/>
        </w:rPr>
        <w:t>〈</w:t>
      </w:r>
      <w:r>
        <w:rPr>
          <w:rFonts w:hint="eastAsia"/>
          <w:color w:val="auto"/>
          <w:highlight w:val="none"/>
        </w:rPr>
        <w:t>固体废物污染防治“十五五”规划</w:t>
      </w:r>
      <w:r>
        <w:rPr>
          <w:rFonts w:hint="eastAsia"/>
          <w:color w:val="auto"/>
          <w:highlight w:val="none"/>
          <w:lang w:eastAsia="zh-CN"/>
        </w:rPr>
        <w:t>〉的通知》（</w:t>
      </w:r>
      <w:r>
        <w:rPr>
          <w:color w:val="auto"/>
          <w:highlight w:val="none"/>
        </w:rPr>
        <w:t>环固体〔2026〕39号</w:t>
      </w:r>
      <w:r>
        <w:rPr>
          <w:rFonts w:hint="eastAsia"/>
          <w:color w:val="auto"/>
          <w:highlight w:val="none"/>
          <w:lang w:eastAsia="zh-CN"/>
        </w:rPr>
        <w:t>），</w:t>
      </w:r>
      <w:r>
        <w:rPr>
          <w:rFonts w:hint="default"/>
          <w:color w:val="auto"/>
          <w:highlight w:val="none"/>
        </w:rPr>
        <w:t>本项目与</w:t>
      </w:r>
      <w:r>
        <w:rPr>
          <w:rFonts w:hint="default" w:ascii="Times New Roman" w:hAnsi="Times New Roman" w:cs="Times New Roman"/>
          <w:color w:val="auto"/>
          <w:highlight w:val="none"/>
        </w:rPr>
        <w:t>《固体废物污染防治“十五五”规划》</w:t>
      </w:r>
      <w:r>
        <w:rPr>
          <w:rFonts w:hint="default"/>
          <w:color w:val="auto"/>
          <w:highlight w:val="none"/>
        </w:rPr>
        <w:t>符合性分析详见下表。</w:t>
      </w:r>
    </w:p>
    <w:p w14:paraId="35D1FA2D">
      <w:pPr>
        <w:widowControl/>
        <w:overflowPunct w:val="0"/>
        <w:topLinePunct/>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表1.3-9    与《固体废物污染防治“十五五”规划》符合性分析一览表</w:t>
      </w:r>
    </w:p>
    <w:tbl>
      <w:tblPr>
        <w:tblStyle w:val="13"/>
        <w:tblW w:w="8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4"/>
        <w:gridCol w:w="2440"/>
        <w:gridCol w:w="892"/>
      </w:tblGrid>
      <w:tr w14:paraId="5EAC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5194" w:type="dxa"/>
            <w:shd w:val="clear" w:color="auto" w:fill="auto"/>
            <w:vAlign w:val="center"/>
          </w:tcPr>
          <w:p w14:paraId="374BFE8C">
            <w:pPr>
              <w:spacing w:line="240" w:lineRule="auto"/>
              <w:ind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有关规定</w:t>
            </w:r>
          </w:p>
        </w:tc>
        <w:tc>
          <w:tcPr>
            <w:tcW w:w="2440" w:type="dxa"/>
            <w:shd w:val="clear" w:color="auto" w:fill="auto"/>
            <w:vAlign w:val="center"/>
          </w:tcPr>
          <w:p w14:paraId="4554D752">
            <w:pPr>
              <w:spacing w:line="240" w:lineRule="auto"/>
              <w:ind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项目情况</w:t>
            </w:r>
          </w:p>
        </w:tc>
        <w:tc>
          <w:tcPr>
            <w:tcW w:w="892" w:type="dxa"/>
            <w:shd w:val="clear" w:color="auto" w:fill="auto"/>
            <w:vAlign w:val="center"/>
          </w:tcPr>
          <w:p w14:paraId="3CF93F42">
            <w:pPr>
              <w:spacing w:line="240" w:lineRule="auto"/>
              <w:ind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相符性结论</w:t>
            </w:r>
          </w:p>
        </w:tc>
      </w:tr>
      <w:tr w14:paraId="5845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4" w:hRule="atLeast"/>
          <w:jc w:val="center"/>
        </w:trPr>
        <w:tc>
          <w:tcPr>
            <w:tcW w:w="5194" w:type="dxa"/>
            <w:shd w:val="clear" w:color="auto" w:fill="auto"/>
            <w:vAlign w:val="center"/>
          </w:tcPr>
          <w:p w14:paraId="45A35224">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六）健全工业固体废物全链条环境监管体系。推动将工业固体废物环境污染风险较大的单位纳入排污许可重点管理范围，明确工业固体废物贮存、利用、处置要求。强化工业固体废物管理台账和排污单位环境管理台账、生态环境统计与排污许可统一信息报表数据的衔接。建设全国工业固体废物信息管理平台，逐步推行工业固体废物全链条信息实时采集和轨迹监控，90%以上的工业固体废物排污许可重点管理单位纳入平台监管。</w:t>
            </w:r>
          </w:p>
        </w:tc>
        <w:tc>
          <w:tcPr>
            <w:tcW w:w="2440" w:type="dxa"/>
            <w:vMerge w:val="restart"/>
            <w:shd w:val="clear" w:color="auto" w:fill="auto"/>
            <w:vAlign w:val="center"/>
          </w:tcPr>
          <w:p w14:paraId="7F43612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项目产生的固体废物均妥善处置。</w:t>
            </w:r>
            <w:r>
              <w:rPr>
                <w:rFonts w:hint="default" w:ascii="Times New Roman" w:hAnsi="Times New Roman" w:cs="Times New Roman"/>
                <w:color w:val="auto"/>
                <w:sz w:val="21"/>
                <w:highlight w:val="none"/>
                <w:lang w:val="zh-CN" w:eastAsia="zh-CN"/>
              </w:rPr>
              <w:t>废石堆放至废石堆场，用于配套选厂尾矿库筑坝、矿区铺路及矿山复垦</w:t>
            </w:r>
            <w:r>
              <w:rPr>
                <w:rFonts w:hint="default" w:ascii="Times New Roman" w:hAnsi="Times New Roman" w:cs="Times New Roman"/>
                <w:color w:val="auto"/>
                <w:sz w:val="21"/>
                <w:highlight w:val="none"/>
                <w:lang w:val="en-US" w:eastAsia="zh-CN"/>
              </w:rPr>
              <w:t>；</w:t>
            </w:r>
            <w:r>
              <w:rPr>
                <w:rFonts w:hint="default" w:ascii="Times New Roman" w:hAnsi="Times New Roman" w:cs="Times New Roman"/>
                <w:color w:val="auto"/>
                <w:sz w:val="21"/>
                <w:highlight w:val="none"/>
              </w:rPr>
              <w:t>尾矿排入尾矿库，部分用于</w:t>
            </w:r>
            <w:r>
              <w:rPr>
                <w:rFonts w:hint="default" w:ascii="Times New Roman" w:hAnsi="Times New Roman" w:cs="Times New Roman"/>
                <w:color w:val="auto"/>
                <w:sz w:val="21"/>
                <w:highlight w:val="none"/>
                <w:lang w:eastAsia="zh-CN"/>
              </w:rPr>
              <w:t>井下充填和</w:t>
            </w:r>
            <w:r>
              <w:rPr>
                <w:rFonts w:hint="default" w:ascii="Times New Roman" w:hAnsi="Times New Roman" w:cs="Times New Roman"/>
                <w:color w:val="auto"/>
                <w:sz w:val="21"/>
                <w:highlight w:val="none"/>
              </w:rPr>
              <w:t>筑坝，尾矿库停运后随之封场。</w:t>
            </w:r>
            <w:r>
              <w:rPr>
                <w:rFonts w:hint="default" w:ascii="Times New Roman" w:hAnsi="Times New Roman" w:cs="Times New Roman"/>
                <w:color w:val="auto"/>
                <w:sz w:val="21"/>
                <w:highlight w:val="none"/>
                <w:lang w:val="en-US" w:eastAsia="zh-CN"/>
              </w:rPr>
              <w:t>回水</w:t>
            </w:r>
            <w:r>
              <w:rPr>
                <w:rFonts w:hint="default" w:ascii="Times New Roman" w:hAnsi="Times New Roman" w:cs="Times New Roman"/>
                <w:color w:val="auto"/>
                <w:sz w:val="21"/>
                <w:highlight w:val="none"/>
              </w:rPr>
              <w:t>底泥</w:t>
            </w:r>
            <w:r>
              <w:rPr>
                <w:rFonts w:hint="default" w:ascii="Times New Roman" w:hAnsi="Times New Roman" w:cs="Times New Roman"/>
                <w:color w:val="auto"/>
                <w:sz w:val="21"/>
                <w:highlight w:val="none"/>
                <w:lang w:val="en-US" w:eastAsia="zh-CN"/>
              </w:rPr>
              <w:t>全部</w:t>
            </w:r>
            <w:r>
              <w:rPr>
                <w:rFonts w:hint="default" w:ascii="Times New Roman" w:hAnsi="Times New Roman" w:cs="Times New Roman"/>
                <w:color w:val="auto"/>
                <w:sz w:val="21"/>
                <w:highlight w:val="none"/>
              </w:rPr>
              <w:t>返回生产工序回用于选矿</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坑内水、水源地生产水处理产生的底泥，</w:t>
            </w:r>
            <w:r>
              <w:rPr>
                <w:rFonts w:hint="default" w:ascii="Times New Roman" w:hAnsi="Times New Roman" w:cs="Times New Roman"/>
                <w:color w:val="auto"/>
                <w:sz w:val="21"/>
                <w:highlight w:val="none"/>
              </w:rPr>
              <w:t>定期拉运至</w:t>
            </w:r>
            <w:r>
              <w:rPr>
                <w:rFonts w:hint="default" w:ascii="Times New Roman" w:hAnsi="Times New Roman" w:cs="Times New Roman"/>
                <w:color w:val="auto"/>
                <w:sz w:val="21"/>
                <w:highlight w:val="none"/>
                <w:lang w:eastAsia="zh-CN"/>
              </w:rPr>
              <w:t>若羌</w:t>
            </w:r>
            <w:r>
              <w:rPr>
                <w:rFonts w:hint="default" w:ascii="Times New Roman" w:hAnsi="Times New Roman" w:cs="Times New Roman"/>
                <w:color w:val="auto"/>
                <w:sz w:val="21"/>
                <w:highlight w:val="none"/>
              </w:rPr>
              <w:t>县一般工业固体废物填埋场进行处置</w:t>
            </w:r>
            <w:r>
              <w:rPr>
                <w:rFonts w:hint="default" w:ascii="Times New Roman" w:hAnsi="Times New Roman" w:cs="Times New Roman"/>
                <w:color w:val="auto"/>
                <w:sz w:val="21"/>
                <w:highlight w:val="none"/>
                <w:lang w:val="en-US" w:eastAsia="zh-CN"/>
              </w:rPr>
              <w:t>。废包装材料由厂家定期回收。废石英砂、废活性炭外售处置利用；</w:t>
            </w:r>
            <w:r>
              <w:rPr>
                <w:rFonts w:hint="default" w:ascii="Times New Roman" w:hAnsi="Times New Roman" w:cs="Times New Roman"/>
                <w:color w:val="auto"/>
                <w:sz w:val="21"/>
                <w:highlight w:val="none"/>
              </w:rPr>
              <w:t>选矿除尘灰回用于选矿生产。废布袋集中收集后定期拉运至</w:t>
            </w:r>
            <w:r>
              <w:rPr>
                <w:rFonts w:hint="default" w:ascii="Times New Roman" w:hAnsi="Times New Roman" w:cs="Times New Roman"/>
                <w:color w:val="auto"/>
                <w:sz w:val="21"/>
                <w:highlight w:val="none"/>
                <w:lang w:eastAsia="zh-CN"/>
              </w:rPr>
              <w:t>若羌</w:t>
            </w:r>
            <w:r>
              <w:rPr>
                <w:rFonts w:hint="default" w:ascii="Times New Roman" w:hAnsi="Times New Roman" w:cs="Times New Roman"/>
                <w:color w:val="auto"/>
                <w:sz w:val="21"/>
                <w:highlight w:val="none"/>
              </w:rPr>
              <w:t>县一般工业固体废物填埋场进行处置。生活垃圾集中收集后，</w:t>
            </w:r>
            <w:r>
              <w:rPr>
                <w:rFonts w:hint="default" w:ascii="Times New Roman" w:hAnsi="Times New Roman" w:cs="Times New Roman"/>
                <w:color w:val="auto"/>
                <w:sz w:val="21"/>
                <w:highlight w:val="none"/>
                <w:lang w:val="en-US" w:eastAsia="zh-CN"/>
              </w:rPr>
              <w:t>定期拉运处置</w:t>
            </w:r>
            <w:r>
              <w:rPr>
                <w:rFonts w:hint="default" w:ascii="Times New Roman" w:hAnsi="Times New Roman" w:cs="Times New Roman"/>
                <w:color w:val="auto"/>
                <w:sz w:val="21"/>
                <w:highlight w:val="none"/>
              </w:rPr>
              <w:t>。危险废物</w:t>
            </w:r>
            <w:r>
              <w:rPr>
                <w:rFonts w:hint="default" w:ascii="Times New Roman" w:hAnsi="Times New Roman" w:cs="Times New Roman"/>
                <w:color w:val="auto"/>
                <w:sz w:val="21"/>
                <w:highlight w:val="none"/>
                <w:lang w:val="en-US" w:eastAsia="zh-CN"/>
              </w:rPr>
              <w:t>暂存在</w:t>
            </w:r>
            <w:r>
              <w:rPr>
                <w:rFonts w:hint="default" w:ascii="Times New Roman" w:hAnsi="Times New Roman" w:cs="Times New Roman"/>
                <w:color w:val="auto"/>
                <w:sz w:val="21"/>
                <w:highlight w:val="none"/>
                <w:lang w:eastAsia="zh-CN"/>
              </w:rPr>
              <w:t>危废贮存库</w:t>
            </w:r>
            <w:r>
              <w:rPr>
                <w:rFonts w:hint="default" w:ascii="Times New Roman" w:hAnsi="Times New Roman" w:cs="Times New Roman"/>
                <w:color w:val="auto"/>
                <w:sz w:val="21"/>
                <w:highlight w:val="none"/>
                <w:lang w:val="en-US" w:eastAsia="zh-CN"/>
              </w:rPr>
              <w:t>内</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定期</w:t>
            </w:r>
            <w:r>
              <w:rPr>
                <w:rFonts w:hint="default" w:ascii="Times New Roman" w:hAnsi="Times New Roman" w:cs="Times New Roman"/>
                <w:color w:val="auto"/>
                <w:sz w:val="21"/>
                <w:highlight w:val="none"/>
              </w:rPr>
              <w:t>委托有资质单位处置。</w:t>
            </w:r>
          </w:p>
        </w:tc>
        <w:tc>
          <w:tcPr>
            <w:tcW w:w="892" w:type="dxa"/>
            <w:shd w:val="clear" w:color="auto" w:fill="auto"/>
            <w:vAlign w:val="center"/>
          </w:tcPr>
          <w:p w14:paraId="6E2A6BE2">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符合</w:t>
            </w:r>
          </w:p>
        </w:tc>
      </w:tr>
      <w:tr w14:paraId="6308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94" w:type="dxa"/>
            <w:shd w:val="clear" w:color="auto" w:fill="auto"/>
            <w:vAlign w:val="center"/>
          </w:tcPr>
          <w:p w14:paraId="77D4D35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七）加强工业固体废物综合利用环境监管。强化工业窑炉协同处理固体废物过程有毒有害物质排放管控。制定一般工业固体废物规模化消纳利用工作指南，明确相关项目审批程序及监测监管要求，严防不规范充填回填造成土壤和地下水污染；在国土空间规划实施管理中因地制宜保障大宗工业固体废物充填回填相关用地需求，稳妥有序推进规模化消纳利用。加强磷石膏等综合利用，推动无法利用的磷石膏、赤泥、锰渣等工业固体废物无害化预处理，降低贮存填埋环境风险。</w:t>
            </w:r>
          </w:p>
        </w:tc>
        <w:tc>
          <w:tcPr>
            <w:tcW w:w="2440" w:type="dxa"/>
            <w:vMerge w:val="continue"/>
            <w:shd w:val="clear" w:color="auto" w:fill="auto"/>
            <w:vAlign w:val="center"/>
          </w:tcPr>
          <w:p w14:paraId="28ED987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p>
        </w:tc>
        <w:tc>
          <w:tcPr>
            <w:tcW w:w="892" w:type="dxa"/>
            <w:shd w:val="clear" w:color="auto" w:fill="auto"/>
            <w:vAlign w:val="center"/>
          </w:tcPr>
          <w:p w14:paraId="30FFFED4">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符合</w:t>
            </w:r>
          </w:p>
        </w:tc>
      </w:tr>
    </w:tbl>
    <w:p w14:paraId="193EC97C">
      <w:pPr>
        <w:widowControl/>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由</w:t>
      </w:r>
      <w:r>
        <w:rPr>
          <w:rFonts w:hint="default" w:ascii="Times New Roman" w:hAnsi="Times New Roman" w:cs="Times New Roman"/>
          <w:color w:val="auto"/>
          <w:highlight w:val="none"/>
          <w:lang w:eastAsia="zh-CN"/>
        </w:rPr>
        <w:t>上</w:t>
      </w:r>
      <w:r>
        <w:rPr>
          <w:rFonts w:hint="default" w:ascii="Times New Roman" w:hAnsi="Times New Roman" w:cs="Times New Roman"/>
          <w:color w:val="auto"/>
          <w:highlight w:val="none"/>
        </w:rPr>
        <w:t>表分析可知，本项目建设符合《固体废物污染防治“十五五”规划》的相关要求。</w:t>
      </w:r>
    </w:p>
    <w:p w14:paraId="5B2C7F00">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r>
        <w:rPr>
          <w:rFonts w:hint="eastAsia" w:cs="Times New Roman"/>
          <w:color w:val="auto"/>
          <w:highlight w:val="none"/>
          <w:lang w:val="en-US" w:eastAsia="zh-CN"/>
        </w:rPr>
        <w:t>4</w:t>
      </w:r>
      <w:r>
        <w:rPr>
          <w:rFonts w:hint="default" w:ascii="Times New Roman" w:hAnsi="Times New Roman" w:cs="Times New Roman"/>
          <w:color w:val="auto"/>
          <w:highlight w:val="none"/>
        </w:rPr>
        <w:t>.1</w:t>
      </w:r>
      <w:r>
        <w:rPr>
          <w:rFonts w:hint="eastAsia" w:cs="Times New Roman"/>
          <w:color w:val="auto"/>
          <w:highlight w:val="none"/>
          <w:lang w:val="en-US" w:eastAsia="zh-CN"/>
        </w:rPr>
        <w:t>1</w:t>
      </w:r>
      <w:r>
        <w:rPr>
          <w:rFonts w:hint="default" w:ascii="Times New Roman" w:hAnsi="Times New Roman" w:cs="Times New Roman"/>
          <w:color w:val="auto"/>
          <w:highlight w:val="none"/>
        </w:rPr>
        <w:t>与《</w:t>
      </w:r>
      <w:r>
        <w:rPr>
          <w:rFonts w:hint="default" w:ascii="Times New Roman" w:hAnsi="Times New Roman" w:cs="Times New Roman"/>
          <w:color w:val="auto"/>
          <w:highlight w:val="none"/>
          <w:lang w:val="en-US" w:eastAsia="zh-CN"/>
        </w:rPr>
        <w:t>萤石行业准入标准公告</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（工联原</w:t>
      </w:r>
      <w:r>
        <w:rPr>
          <w:rFonts w:hint="eastAsia" w:cs="Times New Roman"/>
          <w:color w:val="auto"/>
          <w:highlight w:val="none"/>
          <w:lang w:eastAsia="zh-CN"/>
        </w:rPr>
        <w:t>〔2010〕87号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符合性分析</w:t>
      </w:r>
    </w:p>
    <w:p w14:paraId="65B74D50">
      <w:pPr>
        <w:widowControl/>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本项目与《</w:t>
      </w:r>
      <w:r>
        <w:rPr>
          <w:rFonts w:hint="default" w:ascii="Times New Roman" w:hAnsi="Times New Roman" w:cs="Times New Roman"/>
          <w:color w:val="auto"/>
          <w:highlight w:val="none"/>
          <w:lang w:val="en-US" w:eastAsia="zh-CN"/>
        </w:rPr>
        <w:t>萤石行业准入标准公告</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符合性分析详见下表。</w:t>
      </w:r>
    </w:p>
    <w:p w14:paraId="3995D49B">
      <w:pPr>
        <w:widowControl/>
        <w:overflowPunct w:val="0"/>
        <w:topLinePunct/>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表1.3-</w:t>
      </w:r>
      <w:r>
        <w:rPr>
          <w:rFonts w:hint="default" w:ascii="Times New Roman" w:hAnsi="Times New Roman" w:cs="Times New Roman"/>
          <w:b/>
          <w:color w:val="auto"/>
          <w:highlight w:val="none"/>
          <w:lang w:val="en-US" w:eastAsia="zh-CN"/>
        </w:rPr>
        <w:t>10</w:t>
      </w:r>
      <w:r>
        <w:rPr>
          <w:rFonts w:hint="default" w:ascii="Times New Roman" w:hAnsi="Times New Roman" w:cs="Times New Roman"/>
          <w:b/>
          <w:color w:val="auto"/>
          <w:highlight w:val="none"/>
        </w:rPr>
        <w:t xml:space="preserve">    与《</w:t>
      </w:r>
      <w:r>
        <w:rPr>
          <w:rFonts w:hint="default" w:ascii="Times New Roman" w:hAnsi="Times New Roman" w:cs="Times New Roman"/>
          <w:b/>
          <w:color w:val="auto"/>
          <w:highlight w:val="none"/>
          <w:lang w:val="en-US" w:eastAsia="zh-CN"/>
        </w:rPr>
        <w:t>萤石行业准入标准公告</w:t>
      </w:r>
      <w:r>
        <w:rPr>
          <w:rFonts w:hint="default" w:ascii="Times New Roman" w:hAnsi="Times New Roman" w:cs="Times New Roman"/>
          <w:b/>
          <w:color w:val="auto"/>
          <w:highlight w:val="none"/>
        </w:rPr>
        <w:t>》</w:t>
      </w:r>
      <w:r>
        <w:rPr>
          <w:rFonts w:hint="default" w:ascii="Times New Roman" w:hAnsi="Times New Roman" w:cs="Times New Roman"/>
          <w:b/>
          <w:color w:val="auto"/>
          <w:highlight w:val="none"/>
          <w:lang w:eastAsia="zh-CN"/>
        </w:rPr>
        <w:t>等</w:t>
      </w:r>
      <w:r>
        <w:rPr>
          <w:rFonts w:hint="default" w:ascii="Times New Roman" w:hAnsi="Times New Roman" w:cs="Times New Roman"/>
          <w:b/>
          <w:color w:val="auto"/>
          <w:highlight w:val="none"/>
        </w:rPr>
        <w:t>符合性分析一览表</w:t>
      </w:r>
    </w:p>
    <w:tbl>
      <w:tblPr>
        <w:tblStyle w:val="13"/>
        <w:tblW w:w="8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4404"/>
        <w:gridCol w:w="2804"/>
        <w:gridCol w:w="892"/>
      </w:tblGrid>
      <w:tr w14:paraId="24D5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30" w:type="dxa"/>
            <w:gridSpan w:val="2"/>
            <w:shd w:val="clear" w:color="auto" w:fill="auto"/>
            <w:vAlign w:val="center"/>
          </w:tcPr>
          <w:p w14:paraId="0C7321E8">
            <w:pPr>
              <w:spacing w:line="240" w:lineRule="auto"/>
              <w:ind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有关规定</w:t>
            </w:r>
          </w:p>
        </w:tc>
        <w:tc>
          <w:tcPr>
            <w:tcW w:w="2804" w:type="dxa"/>
            <w:shd w:val="clear" w:color="auto" w:fill="auto"/>
            <w:vAlign w:val="center"/>
          </w:tcPr>
          <w:p w14:paraId="5A0BA531">
            <w:pPr>
              <w:spacing w:line="240" w:lineRule="auto"/>
              <w:ind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项目情况</w:t>
            </w:r>
          </w:p>
        </w:tc>
        <w:tc>
          <w:tcPr>
            <w:tcW w:w="892" w:type="dxa"/>
            <w:shd w:val="clear" w:color="auto" w:fill="auto"/>
            <w:vAlign w:val="center"/>
          </w:tcPr>
          <w:p w14:paraId="042CCB0D">
            <w:pPr>
              <w:spacing w:line="240" w:lineRule="auto"/>
              <w:ind w:firstLine="0" w:firstLineChars="0"/>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相符性结论</w:t>
            </w:r>
          </w:p>
        </w:tc>
      </w:tr>
      <w:tr w14:paraId="26E9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526" w:type="dxa"/>
            <w:gridSpan w:val="4"/>
            <w:shd w:val="clear" w:color="auto" w:fill="auto"/>
            <w:vAlign w:val="center"/>
          </w:tcPr>
          <w:p w14:paraId="3CAE6A29">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w:t>
            </w:r>
            <w:r>
              <w:rPr>
                <w:rFonts w:hint="default" w:ascii="Times New Roman" w:hAnsi="Times New Roman" w:cs="Times New Roman"/>
                <w:color w:val="auto"/>
                <w:sz w:val="21"/>
                <w:highlight w:val="none"/>
                <w:lang w:val="en-US" w:eastAsia="zh-CN"/>
              </w:rPr>
              <w:t>萤石行业准入标准公告</w:t>
            </w:r>
            <w:r>
              <w:rPr>
                <w:rFonts w:hint="default" w:ascii="Times New Roman" w:hAnsi="Times New Roman" w:cs="Times New Roman"/>
                <w:color w:val="auto"/>
                <w:sz w:val="21"/>
                <w:highlight w:val="none"/>
              </w:rPr>
              <w:t>》</w:t>
            </w:r>
          </w:p>
        </w:tc>
      </w:tr>
      <w:tr w14:paraId="197B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shd w:val="clear" w:color="auto" w:fill="auto"/>
            <w:vAlign w:val="center"/>
          </w:tcPr>
          <w:p w14:paraId="209EDFB5">
            <w:pPr>
              <w:spacing w:line="240" w:lineRule="auto"/>
              <w:ind w:firstLine="0" w:firstLineChars="0"/>
              <w:jc w:val="center"/>
              <w:rPr>
                <w:rFonts w:hint="default" w:ascii="Times New Roman" w:hAnsi="Times New Roman" w:cs="Times New Roman"/>
                <w:color w:val="auto"/>
                <w:sz w:val="21"/>
                <w:highlight w:val="none"/>
                <w:lang w:eastAsia="zh-CN"/>
              </w:rPr>
            </w:pPr>
            <w:r>
              <w:rPr>
                <w:rFonts w:hint="default" w:ascii="Times New Roman" w:hAnsi="Times New Roman" w:cs="Times New Roman"/>
                <w:color w:val="auto"/>
                <w:sz w:val="21"/>
                <w:highlight w:val="none"/>
                <w:lang w:eastAsia="zh-CN"/>
              </w:rPr>
              <w:t>生产布局条件</w:t>
            </w:r>
          </w:p>
        </w:tc>
        <w:tc>
          <w:tcPr>
            <w:tcW w:w="4404" w:type="dxa"/>
            <w:shd w:val="clear" w:color="auto" w:fill="auto"/>
            <w:vAlign w:val="center"/>
          </w:tcPr>
          <w:p w14:paraId="6C054E8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萤石矿开采、选矿生产企业必须符合国家产业政策、矿产资源规划和产业规划，符合各省（自治区、直辖市）萤石行业发展规划、城市建设规划、土地利用总体规划、矿产资源规划、环境保护和污染防治规划要求。</w:t>
            </w:r>
          </w:p>
        </w:tc>
        <w:tc>
          <w:tcPr>
            <w:tcW w:w="2804" w:type="dxa"/>
            <w:shd w:val="clear" w:color="auto" w:fill="auto"/>
            <w:vAlign w:val="center"/>
          </w:tcPr>
          <w:p w14:paraId="7F7591D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本项目</w:t>
            </w:r>
            <w:r>
              <w:rPr>
                <w:rFonts w:hint="default" w:ascii="Times New Roman" w:hAnsi="Times New Roman" w:cs="Times New Roman"/>
                <w:color w:val="auto"/>
                <w:sz w:val="21"/>
                <w:highlight w:val="none"/>
                <w:lang w:eastAsia="zh-CN"/>
              </w:rPr>
              <w:t>萤石</w:t>
            </w:r>
            <w:r>
              <w:rPr>
                <w:rFonts w:hint="default" w:ascii="Times New Roman" w:hAnsi="Times New Roman" w:cs="Times New Roman"/>
                <w:color w:val="auto"/>
                <w:sz w:val="21"/>
                <w:highlight w:val="none"/>
              </w:rPr>
              <w:t>选矿工程，</w:t>
            </w:r>
            <w:r>
              <w:rPr>
                <w:rFonts w:hint="default" w:ascii="Times New Roman" w:hAnsi="Times New Roman" w:cs="Times New Roman"/>
                <w:color w:val="auto"/>
                <w:sz w:val="21"/>
                <w:highlight w:val="none"/>
                <w:lang w:val="en-US" w:eastAsia="zh-CN"/>
              </w:rPr>
              <w:t>符合国家产业政策、新疆维吾尔自治区矿产资源规划，在采取污染防治措施的情况下，符合环境保护和污染防治规划要求</w:t>
            </w:r>
            <w:r>
              <w:rPr>
                <w:rFonts w:hint="default" w:ascii="Times New Roman" w:hAnsi="Times New Roman" w:cs="Times New Roman"/>
                <w:color w:val="auto"/>
                <w:sz w:val="21"/>
                <w:highlight w:val="none"/>
              </w:rPr>
              <w:t>。</w:t>
            </w:r>
          </w:p>
        </w:tc>
        <w:tc>
          <w:tcPr>
            <w:tcW w:w="892" w:type="dxa"/>
            <w:shd w:val="clear" w:color="auto" w:fill="auto"/>
            <w:vAlign w:val="center"/>
          </w:tcPr>
          <w:p w14:paraId="757D4099">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符合</w:t>
            </w:r>
          </w:p>
        </w:tc>
      </w:tr>
      <w:tr w14:paraId="2819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shd w:val="clear" w:color="auto" w:fill="auto"/>
            <w:vAlign w:val="center"/>
          </w:tcPr>
          <w:p w14:paraId="2EB7E41D">
            <w:pPr>
              <w:spacing w:line="240" w:lineRule="auto"/>
              <w:ind w:firstLine="0" w:firstLineChars="0"/>
              <w:jc w:val="center"/>
              <w:rPr>
                <w:rFonts w:hint="default" w:ascii="Times New Roman" w:hAnsi="Times New Roman" w:cs="Times New Roman"/>
                <w:color w:val="auto"/>
                <w:sz w:val="21"/>
                <w:highlight w:val="none"/>
                <w:lang w:eastAsia="zh-CN"/>
              </w:rPr>
            </w:pPr>
          </w:p>
        </w:tc>
        <w:tc>
          <w:tcPr>
            <w:tcW w:w="4404" w:type="dxa"/>
            <w:shd w:val="clear" w:color="auto" w:fill="auto"/>
            <w:vAlign w:val="center"/>
          </w:tcPr>
          <w:p w14:paraId="599292E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严格限制在国家和地方规定的限采区新设开采矿山。禁止在禁采区内新设开采矿山，已建矿山应按照矿产资源规划和国家有关规定进行处置。</w:t>
            </w:r>
          </w:p>
          <w:p w14:paraId="7F2B12A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在饮用水水源保护区、自然保护区、风景名胜区、生态功能保护区和基本农田保护区等需要特殊保护的地区，大中城市及其近郊，居民集中区、学校与托幼机构、疗养地、医院和食品、药品、电子等对环境质量要求高的企业周边1公里内，主要河流两岸、公路、铁路干线两侧一定范围，不得新建萤石生产加工企业。</w:t>
            </w:r>
          </w:p>
        </w:tc>
        <w:tc>
          <w:tcPr>
            <w:tcW w:w="2804" w:type="dxa"/>
            <w:shd w:val="clear" w:color="auto" w:fill="auto"/>
            <w:vAlign w:val="center"/>
          </w:tcPr>
          <w:p w14:paraId="16F0613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highlight w:val="none"/>
                <w:lang w:eastAsia="zh-CN"/>
              </w:rPr>
            </w:pPr>
            <w:r>
              <w:rPr>
                <w:rFonts w:hint="default" w:ascii="Times New Roman" w:hAnsi="Times New Roman" w:cs="Times New Roman"/>
                <w:color w:val="auto"/>
                <w:sz w:val="21"/>
                <w:highlight w:val="none"/>
                <w:lang w:eastAsia="zh-CN"/>
              </w:rPr>
              <w:t>本项目位于若羌县东南</w:t>
            </w:r>
            <w:r>
              <w:rPr>
                <w:rFonts w:hint="default" w:ascii="Times New Roman" w:hAnsi="Times New Roman" w:cs="Times New Roman"/>
                <w:color w:val="auto"/>
                <w:sz w:val="21"/>
                <w:highlight w:val="none"/>
                <w:lang w:val="en-US" w:eastAsia="zh-CN"/>
              </w:rPr>
              <w:t>144</w:t>
            </w:r>
            <w:r>
              <w:rPr>
                <w:rFonts w:hint="default" w:ascii="Times New Roman" w:hAnsi="Times New Roman" w:cs="Times New Roman"/>
                <w:color w:val="auto"/>
                <w:sz w:val="21"/>
                <w:highlight w:val="none"/>
                <w:lang w:eastAsia="zh-CN"/>
              </w:rPr>
              <w:t>°方向，不</w:t>
            </w:r>
            <w:r>
              <w:rPr>
                <w:rFonts w:hint="default" w:ascii="Times New Roman" w:hAnsi="Times New Roman" w:cs="Times New Roman"/>
                <w:color w:val="auto"/>
                <w:sz w:val="21"/>
                <w:highlight w:val="none"/>
                <w:lang w:val="en-US" w:eastAsia="zh-CN"/>
              </w:rPr>
              <w:t>在饮用水水源保护区、自然保护区、风景名胜区、生态功能保护区和基本农田保护区等需要特殊保护的地区，不在大中城市及其近郊，不在居民集中区、学校与托幼机构、疗养地、医院和食品、药品、电子等对环境质量要求高的企业周边1公里内，不在主要河流两岸、公路、铁路干线两侧一定范围。</w:t>
            </w:r>
          </w:p>
        </w:tc>
        <w:tc>
          <w:tcPr>
            <w:tcW w:w="892" w:type="dxa"/>
            <w:shd w:val="clear" w:color="auto" w:fill="auto"/>
            <w:vAlign w:val="center"/>
          </w:tcPr>
          <w:p w14:paraId="598CB02E">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符合</w:t>
            </w:r>
          </w:p>
        </w:tc>
      </w:tr>
      <w:tr w14:paraId="0819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426" w:type="dxa"/>
            <w:vMerge w:val="restart"/>
            <w:shd w:val="clear" w:color="auto" w:fill="auto"/>
            <w:vAlign w:val="center"/>
          </w:tcPr>
          <w:p w14:paraId="6E374332">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生产规模、工艺与装备</w:t>
            </w:r>
          </w:p>
        </w:tc>
        <w:tc>
          <w:tcPr>
            <w:tcW w:w="4404" w:type="dxa"/>
            <w:shd w:val="clear" w:color="auto" w:fill="auto"/>
            <w:vAlign w:val="center"/>
          </w:tcPr>
          <w:p w14:paraId="087D634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萤石选矿单条生产线日处理矿石能力应≥100吨（每年按300天计算）。矿山开采规模在3万吨/年以上的企业，要求有相应配套的选厂。</w:t>
            </w:r>
          </w:p>
        </w:tc>
        <w:tc>
          <w:tcPr>
            <w:tcW w:w="2804" w:type="dxa"/>
            <w:shd w:val="clear" w:color="auto" w:fill="auto"/>
            <w:vAlign w:val="center"/>
          </w:tcPr>
          <w:p w14:paraId="1990F2A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highlight w:val="none"/>
                <w:lang w:eastAsia="zh-CN"/>
              </w:rPr>
            </w:pPr>
            <w:r>
              <w:rPr>
                <w:rFonts w:hint="default" w:ascii="Times New Roman" w:hAnsi="Times New Roman" w:cs="Times New Roman"/>
                <w:color w:val="auto"/>
                <w:sz w:val="21"/>
                <w:highlight w:val="none"/>
                <w:lang w:eastAsia="zh-CN"/>
              </w:rPr>
              <w:t>本项目</w:t>
            </w:r>
            <w:r>
              <w:rPr>
                <w:rFonts w:hint="default" w:ascii="Times New Roman" w:hAnsi="Times New Roman" w:cs="Times New Roman"/>
                <w:color w:val="auto"/>
                <w:sz w:val="21"/>
                <w:highlight w:val="none"/>
                <w:lang w:val="en-US" w:eastAsia="zh-CN"/>
              </w:rPr>
              <w:t>选矿单条生产线日处理矿石能力≥100吨。</w:t>
            </w:r>
          </w:p>
        </w:tc>
        <w:tc>
          <w:tcPr>
            <w:tcW w:w="892" w:type="dxa"/>
            <w:shd w:val="clear" w:color="auto" w:fill="auto"/>
            <w:vAlign w:val="center"/>
          </w:tcPr>
          <w:p w14:paraId="68BE15A4">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符合</w:t>
            </w:r>
          </w:p>
        </w:tc>
      </w:tr>
      <w:tr w14:paraId="24C0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shd w:val="clear" w:color="auto" w:fill="auto"/>
            <w:vAlign w:val="center"/>
          </w:tcPr>
          <w:p w14:paraId="640182EA">
            <w:pPr>
              <w:spacing w:line="240" w:lineRule="auto"/>
              <w:ind w:firstLine="0" w:firstLineChars="0"/>
              <w:jc w:val="center"/>
              <w:rPr>
                <w:rFonts w:hint="default" w:ascii="Times New Roman" w:hAnsi="Times New Roman" w:cs="Times New Roman"/>
                <w:color w:val="auto"/>
                <w:sz w:val="21"/>
                <w:highlight w:val="none"/>
              </w:rPr>
            </w:pPr>
          </w:p>
        </w:tc>
        <w:tc>
          <w:tcPr>
            <w:tcW w:w="4404" w:type="dxa"/>
            <w:shd w:val="clear" w:color="auto" w:fill="auto"/>
            <w:vAlign w:val="center"/>
          </w:tcPr>
          <w:p w14:paraId="64073BB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val="en-US" w:eastAsia="zh-CN"/>
              </w:rPr>
              <w:t>新建和改（扩）建萤石选矿厂，必须具备相匹配的自备矿山、尾矿库、污水（物）处理设施，不得新建“三无”萤石浮选厂。</w:t>
            </w:r>
          </w:p>
        </w:tc>
        <w:tc>
          <w:tcPr>
            <w:tcW w:w="2804" w:type="dxa"/>
            <w:shd w:val="clear" w:color="auto" w:fill="auto"/>
            <w:vAlign w:val="center"/>
          </w:tcPr>
          <w:p w14:paraId="0ED9B81D">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highlight w:val="none"/>
                <w:lang w:eastAsia="zh-CN"/>
              </w:rPr>
            </w:pPr>
            <w:r>
              <w:rPr>
                <w:rFonts w:hint="default" w:ascii="Times New Roman" w:hAnsi="Times New Roman" w:cs="Times New Roman"/>
                <w:color w:val="auto"/>
                <w:sz w:val="21"/>
                <w:highlight w:val="none"/>
                <w:lang w:eastAsia="zh-CN"/>
              </w:rPr>
              <w:t>本项目萤石矿山的配套选矿厂设有尾矿库和</w:t>
            </w:r>
            <w:r>
              <w:rPr>
                <w:rFonts w:hint="default" w:ascii="Times New Roman" w:hAnsi="Times New Roman" w:cs="Times New Roman"/>
                <w:color w:val="auto"/>
                <w:sz w:val="21"/>
                <w:highlight w:val="none"/>
                <w:lang w:val="en-US" w:eastAsia="zh-CN"/>
              </w:rPr>
              <w:t>污水（物）处理设施。</w:t>
            </w:r>
          </w:p>
        </w:tc>
        <w:tc>
          <w:tcPr>
            <w:tcW w:w="892" w:type="dxa"/>
            <w:shd w:val="clear" w:color="auto" w:fill="auto"/>
            <w:vAlign w:val="center"/>
          </w:tcPr>
          <w:p w14:paraId="18BD57AD">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符合</w:t>
            </w:r>
          </w:p>
        </w:tc>
      </w:tr>
      <w:tr w14:paraId="634C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shd w:val="clear" w:color="auto" w:fill="auto"/>
            <w:vAlign w:val="center"/>
          </w:tcPr>
          <w:p w14:paraId="2CD8FE11">
            <w:pPr>
              <w:spacing w:line="240" w:lineRule="auto"/>
              <w:ind w:firstLine="0" w:firstLineChars="0"/>
              <w:jc w:val="center"/>
              <w:rPr>
                <w:rFonts w:hint="default" w:ascii="Times New Roman" w:hAnsi="Times New Roman" w:eastAsia="宋体" w:cs="Times New Roman"/>
                <w:color w:val="auto"/>
                <w:sz w:val="21"/>
                <w:highlight w:val="none"/>
                <w:lang w:eastAsia="zh-CN"/>
              </w:rPr>
            </w:pPr>
            <w:r>
              <w:rPr>
                <w:rFonts w:hint="default" w:ascii="Times New Roman" w:hAnsi="Times New Roman" w:cs="Times New Roman"/>
                <w:color w:val="auto"/>
                <w:sz w:val="21"/>
                <w:highlight w:val="none"/>
                <w:lang w:eastAsia="zh-CN"/>
              </w:rPr>
              <w:t>资源综合利用</w:t>
            </w:r>
          </w:p>
        </w:tc>
        <w:tc>
          <w:tcPr>
            <w:tcW w:w="4404" w:type="dxa"/>
            <w:shd w:val="clear" w:color="auto" w:fill="auto"/>
            <w:vAlign w:val="center"/>
          </w:tcPr>
          <w:p w14:paraId="760C5736">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val="en-US" w:eastAsia="zh-CN"/>
              </w:rPr>
            </w:pPr>
            <w:r>
              <w:rPr>
                <w:rFonts w:hint="default"/>
                <w:color w:val="auto"/>
                <w:highlight w:val="none"/>
                <w:lang w:val="en-US" w:eastAsia="zh-CN"/>
              </w:rPr>
              <w:t>选矿回收率应达到80%以上（伴生矿、尾矿利用除外）。企业应制定尾矿综合利用和治理方案。</w:t>
            </w:r>
          </w:p>
        </w:tc>
        <w:tc>
          <w:tcPr>
            <w:tcW w:w="2804" w:type="dxa"/>
            <w:shd w:val="clear" w:color="auto" w:fill="auto"/>
            <w:vAlign w:val="center"/>
          </w:tcPr>
          <w:p w14:paraId="0109256B">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rPr>
            </w:pPr>
            <w:r>
              <w:rPr>
                <w:rFonts w:hint="default"/>
                <w:color w:val="auto"/>
                <w:highlight w:val="none"/>
                <w:lang w:eastAsia="zh-CN"/>
              </w:rPr>
              <w:t>本项目为萤石</w:t>
            </w:r>
            <w:r>
              <w:rPr>
                <w:rFonts w:hint="eastAsia"/>
                <w:color w:val="auto"/>
                <w:highlight w:val="none"/>
                <w:lang w:val="en-US" w:eastAsia="zh-CN"/>
              </w:rPr>
              <w:t>采选</w:t>
            </w:r>
            <w:r>
              <w:rPr>
                <w:rFonts w:hint="default"/>
                <w:color w:val="auto"/>
                <w:highlight w:val="none"/>
                <w:lang w:eastAsia="zh-CN"/>
              </w:rPr>
              <w:t>项目</w:t>
            </w:r>
            <w:r>
              <w:rPr>
                <w:rFonts w:hint="eastAsia"/>
                <w:color w:val="auto"/>
                <w:highlight w:val="none"/>
                <w:lang w:eastAsia="zh-CN"/>
              </w:rPr>
              <w:t>，</w:t>
            </w:r>
            <w:r>
              <w:rPr>
                <w:rFonts w:hint="default"/>
                <w:color w:val="auto"/>
                <w:highlight w:val="none"/>
                <w:lang w:val="en-US" w:eastAsia="zh-CN"/>
              </w:rPr>
              <w:t>选矿回收率可达到80%</w:t>
            </w:r>
            <w:r>
              <w:rPr>
                <w:rFonts w:hint="eastAsia"/>
                <w:color w:val="auto"/>
                <w:highlight w:val="none"/>
                <w:lang w:val="en-US" w:eastAsia="zh-CN"/>
              </w:rPr>
              <w:t>以上</w:t>
            </w:r>
            <w:r>
              <w:rPr>
                <w:rFonts w:hint="default"/>
                <w:color w:val="auto"/>
                <w:highlight w:val="none"/>
                <w:lang w:val="en-US" w:eastAsia="zh-CN"/>
              </w:rPr>
              <w:t>。企业在设计阶段制定了尾矿综合利用和治理方案。</w:t>
            </w:r>
          </w:p>
        </w:tc>
        <w:tc>
          <w:tcPr>
            <w:tcW w:w="892" w:type="dxa"/>
            <w:shd w:val="clear" w:color="auto" w:fill="auto"/>
            <w:vAlign w:val="center"/>
          </w:tcPr>
          <w:p w14:paraId="78938811">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符合</w:t>
            </w:r>
          </w:p>
        </w:tc>
      </w:tr>
      <w:tr w14:paraId="1724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shd w:val="clear" w:color="auto" w:fill="auto"/>
            <w:vAlign w:val="center"/>
          </w:tcPr>
          <w:p w14:paraId="28B21BC9">
            <w:pPr>
              <w:spacing w:line="240" w:lineRule="auto"/>
              <w:ind w:firstLine="0" w:firstLineChars="0"/>
              <w:jc w:val="center"/>
              <w:rPr>
                <w:rFonts w:hint="default" w:ascii="Times New Roman" w:hAnsi="Times New Roman" w:cs="Times New Roman"/>
                <w:color w:val="auto"/>
                <w:sz w:val="21"/>
                <w:highlight w:val="none"/>
                <w:lang w:eastAsia="zh-CN"/>
              </w:rPr>
            </w:pPr>
          </w:p>
        </w:tc>
        <w:tc>
          <w:tcPr>
            <w:tcW w:w="4404" w:type="dxa"/>
            <w:shd w:val="clear" w:color="auto" w:fill="auto"/>
            <w:vAlign w:val="center"/>
          </w:tcPr>
          <w:p w14:paraId="3F3B657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val="en-US" w:eastAsia="zh-CN"/>
              </w:rPr>
            </w:pPr>
            <w:r>
              <w:rPr>
                <w:rFonts w:hint="default"/>
                <w:color w:val="auto"/>
                <w:highlight w:val="none"/>
                <w:lang w:val="en-US" w:eastAsia="zh-CN"/>
              </w:rPr>
              <w:t>鼓励对低品位萤石矿进行选矿加工提纯，分级选别、分级使用，实现资源综合利用。鼓励对矿物品位大于10%的萤石尾矿进行浮选回收。</w:t>
            </w:r>
          </w:p>
        </w:tc>
        <w:tc>
          <w:tcPr>
            <w:tcW w:w="2804" w:type="dxa"/>
            <w:shd w:val="clear" w:color="auto" w:fill="auto"/>
            <w:vAlign w:val="center"/>
          </w:tcPr>
          <w:p w14:paraId="0D44C709">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eastAsia="zh-CN"/>
              </w:rPr>
            </w:pPr>
            <w:r>
              <w:rPr>
                <w:rFonts w:hint="default"/>
                <w:color w:val="auto"/>
                <w:highlight w:val="none"/>
                <w:lang w:eastAsia="zh-CN"/>
              </w:rPr>
              <w:t>本项目选矿加工的萤石矿为中低品位矿石，采取浮选的方式进行选别。</w:t>
            </w:r>
          </w:p>
        </w:tc>
        <w:tc>
          <w:tcPr>
            <w:tcW w:w="892" w:type="dxa"/>
            <w:shd w:val="clear" w:color="auto" w:fill="auto"/>
            <w:vAlign w:val="center"/>
          </w:tcPr>
          <w:p w14:paraId="60309396">
            <w:pPr>
              <w:spacing w:line="240" w:lineRule="auto"/>
              <w:ind w:firstLine="0" w:firstLineChars="0"/>
              <w:jc w:val="center"/>
              <w:rPr>
                <w:rFonts w:hint="default" w:ascii="Times New Roman" w:hAnsi="Times New Roman" w:eastAsia="宋体" w:cs="Times New Roman"/>
                <w:color w:val="auto"/>
                <w:sz w:val="21"/>
                <w:highlight w:val="none"/>
                <w:lang w:eastAsia="zh-CN"/>
              </w:rPr>
            </w:pPr>
            <w:r>
              <w:rPr>
                <w:rFonts w:hint="default" w:ascii="Times New Roman" w:hAnsi="Times New Roman" w:cs="Times New Roman"/>
                <w:color w:val="auto"/>
                <w:sz w:val="21"/>
                <w:highlight w:val="none"/>
                <w:lang w:eastAsia="zh-CN"/>
              </w:rPr>
              <w:t>符合</w:t>
            </w:r>
          </w:p>
        </w:tc>
      </w:tr>
      <w:tr w14:paraId="15BC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shd w:val="clear" w:color="auto" w:fill="auto"/>
            <w:vAlign w:val="center"/>
          </w:tcPr>
          <w:p w14:paraId="170C03E3">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环境保护</w:t>
            </w:r>
          </w:p>
        </w:tc>
        <w:tc>
          <w:tcPr>
            <w:tcW w:w="4404" w:type="dxa"/>
            <w:shd w:val="clear" w:color="auto" w:fill="auto"/>
            <w:vAlign w:val="center"/>
          </w:tcPr>
          <w:p w14:paraId="0011CBFF">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val="en-US" w:eastAsia="zh-CN"/>
              </w:rPr>
            </w:pPr>
            <w:r>
              <w:rPr>
                <w:rFonts w:hint="default"/>
                <w:color w:val="auto"/>
                <w:highlight w:val="none"/>
                <w:lang w:val="en-US" w:eastAsia="zh-CN"/>
              </w:rPr>
              <w:t>采选生产过程中应实施清洁生产，保护环境。污染物排放要符合国家《大气污染物综合排放标准》（GB16297-1996）、《污水综合排放标准》（GB8978-1996）、《一般工业固体废物贮存和填埋污染控制标准》（GB18599）的有关要求和有关地方标准的规定。</w:t>
            </w:r>
          </w:p>
        </w:tc>
        <w:tc>
          <w:tcPr>
            <w:tcW w:w="2804" w:type="dxa"/>
            <w:shd w:val="clear" w:color="auto" w:fill="auto"/>
            <w:vAlign w:val="center"/>
          </w:tcPr>
          <w:p w14:paraId="64E09F4C">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eastAsia="zh-CN"/>
              </w:rPr>
            </w:pPr>
            <w:r>
              <w:rPr>
                <w:rFonts w:hint="default"/>
                <w:color w:val="auto"/>
                <w:highlight w:val="none"/>
                <w:lang w:eastAsia="zh-CN"/>
              </w:rPr>
              <w:t>本项目运行后实施清洁生产审核。在采取有效污染防治措施后，本项目污染物排放符合国家和地方有关要求及标准的规定</w:t>
            </w:r>
            <w:r>
              <w:rPr>
                <w:rFonts w:hint="default"/>
                <w:color w:val="auto"/>
                <w:highlight w:val="none"/>
                <w:lang w:val="en-US" w:eastAsia="zh-CN"/>
              </w:rPr>
              <w:t>。</w:t>
            </w:r>
          </w:p>
        </w:tc>
        <w:tc>
          <w:tcPr>
            <w:tcW w:w="892" w:type="dxa"/>
            <w:shd w:val="clear" w:color="auto" w:fill="auto"/>
            <w:vAlign w:val="center"/>
          </w:tcPr>
          <w:p w14:paraId="0B8D83F1">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eastAsia="zh-CN"/>
              </w:rPr>
              <w:t>符合</w:t>
            </w:r>
          </w:p>
        </w:tc>
      </w:tr>
      <w:tr w14:paraId="593E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shd w:val="clear" w:color="auto" w:fill="auto"/>
            <w:vAlign w:val="center"/>
          </w:tcPr>
          <w:p w14:paraId="75F1148B">
            <w:pPr>
              <w:spacing w:line="240" w:lineRule="auto"/>
              <w:ind w:firstLine="0" w:firstLineChars="0"/>
              <w:jc w:val="center"/>
              <w:rPr>
                <w:rFonts w:hint="default" w:ascii="Times New Roman" w:hAnsi="Times New Roman" w:cs="Times New Roman"/>
                <w:color w:val="auto"/>
                <w:sz w:val="21"/>
                <w:highlight w:val="none"/>
              </w:rPr>
            </w:pPr>
          </w:p>
        </w:tc>
        <w:tc>
          <w:tcPr>
            <w:tcW w:w="4404" w:type="dxa"/>
            <w:shd w:val="clear" w:color="auto" w:fill="auto"/>
            <w:vAlign w:val="center"/>
          </w:tcPr>
          <w:p w14:paraId="758299DE">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val="en-US" w:eastAsia="zh-CN"/>
              </w:rPr>
            </w:pPr>
            <w:r>
              <w:rPr>
                <w:rFonts w:hint="default"/>
                <w:color w:val="auto"/>
                <w:highlight w:val="none"/>
                <w:lang w:val="en-US" w:eastAsia="zh-CN"/>
              </w:rPr>
              <w:t>企业必须按照环保、水土保持和耕地保护等要求，严格执行相关法律法规和标准规范，防止土壤污染，保护生态环境，严格执行土地复垦和生态恢复规定，履行土地复垦与生态恢复义务。</w:t>
            </w:r>
          </w:p>
        </w:tc>
        <w:tc>
          <w:tcPr>
            <w:tcW w:w="2804" w:type="dxa"/>
            <w:shd w:val="clear" w:color="auto" w:fill="auto"/>
            <w:vAlign w:val="center"/>
          </w:tcPr>
          <w:p w14:paraId="0FF1D674">
            <w:pPr>
              <w:pStyle w:val="1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color w:val="auto"/>
                <w:highlight w:val="none"/>
                <w:lang w:eastAsia="zh-CN"/>
              </w:rPr>
            </w:pPr>
            <w:r>
              <w:rPr>
                <w:rFonts w:hint="default"/>
                <w:color w:val="auto"/>
                <w:highlight w:val="none"/>
                <w:lang w:eastAsia="zh-CN"/>
              </w:rPr>
              <w:t>企业前期已开展环保、水土保持、土地复垦等相关报告的编制工作。</w:t>
            </w:r>
          </w:p>
        </w:tc>
        <w:tc>
          <w:tcPr>
            <w:tcW w:w="892" w:type="dxa"/>
            <w:shd w:val="clear" w:color="auto" w:fill="auto"/>
            <w:vAlign w:val="center"/>
          </w:tcPr>
          <w:p w14:paraId="22BAF907">
            <w:pPr>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lang w:eastAsia="zh-CN"/>
              </w:rPr>
              <w:t>符合</w:t>
            </w:r>
          </w:p>
        </w:tc>
      </w:tr>
    </w:tbl>
    <w:p w14:paraId="3FB6B04A">
      <w:pPr>
        <w:widowControl/>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由</w:t>
      </w:r>
      <w:r>
        <w:rPr>
          <w:rFonts w:hint="default" w:ascii="Times New Roman" w:hAnsi="Times New Roman" w:cs="Times New Roman"/>
          <w:color w:val="auto"/>
          <w:highlight w:val="none"/>
          <w:lang w:eastAsia="zh-CN"/>
        </w:rPr>
        <w:t>上</w:t>
      </w:r>
      <w:r>
        <w:rPr>
          <w:rFonts w:hint="default" w:ascii="Times New Roman" w:hAnsi="Times New Roman" w:cs="Times New Roman"/>
          <w:color w:val="auto"/>
          <w:highlight w:val="none"/>
        </w:rPr>
        <w:t>表分析可知，本项目建设符合《</w:t>
      </w:r>
      <w:r>
        <w:rPr>
          <w:rFonts w:hint="default" w:ascii="Times New Roman" w:hAnsi="Times New Roman" w:cs="Times New Roman"/>
          <w:color w:val="auto"/>
          <w:highlight w:val="none"/>
          <w:lang w:val="en-US" w:eastAsia="zh-CN"/>
        </w:rPr>
        <w:t>萤石行业准入标准公告</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相关要求。</w:t>
      </w:r>
    </w:p>
    <w:p w14:paraId="426D4BEF">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r>
        <w:rPr>
          <w:rFonts w:hint="eastAsia" w:cs="Times New Roman"/>
          <w:color w:val="auto"/>
          <w:highlight w:val="none"/>
          <w:lang w:val="en-US" w:eastAsia="zh-CN"/>
        </w:rPr>
        <w:t>4</w:t>
      </w:r>
      <w:r>
        <w:rPr>
          <w:rFonts w:hint="default" w:ascii="Times New Roman" w:hAnsi="Times New Roman" w:cs="Times New Roman"/>
          <w:color w:val="auto"/>
          <w:highlight w:val="none"/>
        </w:rPr>
        <w:t>.1</w:t>
      </w:r>
      <w:r>
        <w:rPr>
          <w:rFonts w:hint="eastAsia" w:cs="Times New Roman"/>
          <w:color w:val="auto"/>
          <w:highlight w:val="none"/>
          <w:lang w:val="en-US" w:eastAsia="zh-CN"/>
        </w:rPr>
        <w:t>2</w:t>
      </w:r>
      <w:r>
        <w:rPr>
          <w:rFonts w:hint="default" w:ascii="Times New Roman" w:hAnsi="Times New Roman" w:cs="Times New Roman"/>
          <w:color w:val="auto"/>
          <w:highlight w:val="none"/>
        </w:rPr>
        <w:t>与</w:t>
      </w:r>
      <w:r>
        <w:rPr>
          <w:rFonts w:hint="default" w:ascii="Times New Roman" w:hAnsi="Times New Roman" w:cs="Times New Roman"/>
          <w:color w:val="auto"/>
          <w:highlight w:val="none"/>
          <w:lang w:val="en-US" w:eastAsia="zh-CN"/>
        </w:rPr>
        <w:t>《中华人民共和国河道管理条例</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新疆维吾尔自治区河道管理条例》</w:t>
      </w:r>
      <w:r>
        <w:rPr>
          <w:rFonts w:hint="default" w:ascii="Times New Roman" w:hAnsi="Times New Roman" w:cs="Times New Roman"/>
          <w:color w:val="auto"/>
          <w:highlight w:val="none"/>
        </w:rPr>
        <w:t>符合性分析</w:t>
      </w:r>
    </w:p>
    <w:p w14:paraId="72C4743B">
      <w:pPr>
        <w:bidi w:val="0"/>
        <w:rPr>
          <w:rFonts w:hint="default"/>
          <w:color w:val="auto"/>
          <w:highlight w:val="none"/>
          <w:lang w:val="en-US" w:eastAsia="zh-CN"/>
        </w:rPr>
      </w:pPr>
      <w:bookmarkStart w:id="54" w:name="_Toc14582"/>
      <w:bookmarkStart w:id="55" w:name="_Toc12116"/>
      <w:bookmarkStart w:id="56" w:name="_Toc107413874"/>
      <w:bookmarkStart w:id="57" w:name="_Toc25649"/>
      <w:bookmarkStart w:id="58" w:name="_Toc6774"/>
      <w:bookmarkStart w:id="59" w:name="_Toc30600"/>
      <w:bookmarkStart w:id="60" w:name="_Toc107414641"/>
      <w:r>
        <w:rPr>
          <w:rFonts w:hint="eastAsia"/>
          <w:color w:val="auto"/>
          <w:highlight w:val="none"/>
          <w:lang w:val="en-US" w:eastAsia="zh-CN"/>
        </w:rPr>
        <w:t>（1）《中华人民共和国河道管理条例》</w:t>
      </w:r>
    </w:p>
    <w:p w14:paraId="5FAE80BC">
      <w:pPr>
        <w:bidi w:val="0"/>
        <w:rPr>
          <w:rFonts w:hint="eastAsia"/>
          <w:color w:val="auto"/>
          <w:highlight w:val="none"/>
          <w:lang w:val="en-US" w:eastAsia="zh-CN"/>
        </w:rPr>
      </w:pPr>
      <w:r>
        <w:rPr>
          <w:rFonts w:hint="default"/>
          <w:color w:val="auto"/>
          <w:highlight w:val="none"/>
          <w:lang w:val="en-US" w:eastAsia="zh-CN"/>
        </w:rPr>
        <w:t>根据国务院令第698号《中华人民共和国河道管理条例》（2018年第四次修订</w:t>
      </w:r>
      <w:r>
        <w:rPr>
          <w:rFonts w:hint="eastAsia"/>
          <w:color w:val="auto"/>
          <w:highlight w:val="none"/>
          <w:lang w:val="en-US" w:eastAsia="zh-CN"/>
        </w:rPr>
        <w:t>），第二条：“本条例适用于中华人民共和国领域内的河道（包括湖泊、人工水道、行洪区、蓄洪区、滞洪区）。”第二十四条：“在堤防和护堤地，禁止建房、放牧、开渠、打井、挖窖、葬坟、晒粮、存放物料、开采地下资源、进行考古发掘以及开展集市贸易活动。”</w:t>
      </w:r>
    </w:p>
    <w:p w14:paraId="316C115E">
      <w:pPr>
        <w:bidi w:val="0"/>
        <w:rPr>
          <w:rFonts w:hint="eastAsia"/>
          <w:color w:val="auto"/>
          <w:highlight w:val="none"/>
          <w:lang w:val="en-US" w:eastAsia="zh-CN"/>
        </w:rPr>
      </w:pPr>
      <w:r>
        <w:rPr>
          <w:rFonts w:hint="eastAsia"/>
          <w:color w:val="auto"/>
          <w:highlight w:val="none"/>
          <w:lang w:val="en-US" w:eastAsia="zh-CN"/>
        </w:rPr>
        <w:t>根据现场勘查及相关资料</w:t>
      </w:r>
      <w:r>
        <w:rPr>
          <w:rFonts w:hint="default"/>
          <w:color w:val="auto"/>
          <w:highlight w:val="none"/>
          <w:lang w:val="en-US" w:eastAsia="zh-CN"/>
        </w:rPr>
        <w:t>，</w:t>
      </w:r>
      <w:r>
        <w:rPr>
          <w:rFonts w:hint="eastAsia"/>
          <w:color w:val="auto"/>
          <w:highlight w:val="none"/>
          <w:lang w:val="en-US" w:eastAsia="zh-CN"/>
        </w:rPr>
        <w:t>阿克苏</w:t>
      </w:r>
      <w:r>
        <w:rPr>
          <w:rFonts w:hint="default"/>
          <w:color w:val="auto"/>
          <w:highlight w:val="none"/>
          <w:lang w:val="en-US" w:eastAsia="zh-CN"/>
        </w:rPr>
        <w:t>河</w:t>
      </w:r>
      <w:r>
        <w:rPr>
          <w:rFonts w:hint="eastAsia"/>
          <w:color w:val="auto"/>
          <w:highlight w:val="none"/>
          <w:lang w:val="en-US" w:eastAsia="zh-CN"/>
        </w:rPr>
        <w:t>无堤防和护堤地，阿克苏河流经西段47至63勘查线之间</w:t>
      </w:r>
      <w:r>
        <w:rPr>
          <w:rFonts w:hint="eastAsia"/>
          <w:color w:val="auto"/>
          <w:highlight w:val="none"/>
        </w:rPr>
        <w:t>Ⅵ</w:t>
      </w:r>
      <w:r>
        <w:rPr>
          <w:rFonts w:hint="eastAsia"/>
          <w:color w:val="auto"/>
          <w:highlight w:val="none"/>
          <w:lang w:eastAsia="zh-CN"/>
        </w:rPr>
        <w:t>号</w:t>
      </w:r>
      <w:r>
        <w:rPr>
          <w:rFonts w:hint="eastAsia"/>
          <w:color w:val="auto"/>
          <w:highlight w:val="none"/>
          <w:lang w:val="en-US" w:eastAsia="zh-CN"/>
        </w:rPr>
        <w:t>矿体</w:t>
      </w:r>
      <w:r>
        <w:rPr>
          <w:rFonts w:hint="default"/>
          <w:color w:val="auto"/>
          <w:highlight w:val="none"/>
          <w:lang w:val="en-US" w:eastAsia="zh-CN"/>
        </w:rPr>
        <w:t>，</w:t>
      </w:r>
      <w:r>
        <w:rPr>
          <w:rFonts w:hint="eastAsia"/>
          <w:color w:val="auto"/>
          <w:highlight w:val="none"/>
          <w:lang w:val="en-US" w:eastAsia="zh-CN"/>
        </w:rPr>
        <w:t>本工程</w:t>
      </w:r>
      <w:r>
        <w:rPr>
          <w:rFonts w:hint="default"/>
          <w:color w:val="auto"/>
          <w:highlight w:val="none"/>
          <w:lang w:val="en-US" w:eastAsia="zh-CN"/>
        </w:rPr>
        <w:t>开采方式为</w:t>
      </w:r>
      <w:r>
        <w:rPr>
          <w:rFonts w:hint="eastAsia"/>
          <w:color w:val="auto"/>
          <w:highlight w:val="none"/>
          <w:lang w:val="en-US" w:eastAsia="zh-CN"/>
        </w:rPr>
        <w:t>地下</w:t>
      </w:r>
      <w:r>
        <w:rPr>
          <w:rFonts w:hint="default"/>
          <w:color w:val="auto"/>
          <w:highlight w:val="none"/>
          <w:lang w:val="en-US" w:eastAsia="zh-CN"/>
        </w:rPr>
        <w:t>开采</w:t>
      </w:r>
      <w:r>
        <w:rPr>
          <w:rFonts w:hint="eastAsia"/>
          <w:color w:val="auto"/>
          <w:highlight w:val="none"/>
          <w:lang w:val="en-US" w:eastAsia="zh-CN"/>
        </w:rPr>
        <w:t>，阿克苏河与第四系地下水存在一定的相互水力联系，阿克苏河与基岩裂隙水无直接水力联系，第四系地下水与基岩裂隙水水力联系相对较弱。F1断层靠近阿克苏河一侧接受河水入渗补给，东侧水力联系微弱；F2断层与河水无直接联系。矿床距离断层带有一定距离，矿区断层与主要矿体之间为有厚层相对隔水的围岩，断层水与矿体的水力联系较弱。</w:t>
      </w:r>
    </w:p>
    <w:p w14:paraId="7D4492BE">
      <w:pPr>
        <w:bidi w:val="0"/>
        <w:rPr>
          <w:rFonts w:hint="eastAsia"/>
          <w:color w:val="auto"/>
          <w:highlight w:val="none"/>
          <w:lang w:val="en-US" w:eastAsia="zh-CN"/>
        </w:rPr>
      </w:pPr>
      <w:r>
        <w:rPr>
          <w:rFonts w:hint="eastAsia"/>
          <w:color w:val="auto"/>
          <w:highlight w:val="none"/>
          <w:lang w:val="en-US" w:eastAsia="zh-CN"/>
        </w:rPr>
        <w:t>（2）《新疆维吾尔自治区河道管理条例》</w:t>
      </w:r>
    </w:p>
    <w:p w14:paraId="058788E7">
      <w:pPr>
        <w:bidi w:val="0"/>
        <w:rPr>
          <w:rFonts w:hint="eastAsia"/>
          <w:color w:val="auto"/>
          <w:highlight w:val="none"/>
          <w:lang w:val="en-US" w:eastAsia="zh-CN"/>
        </w:rPr>
      </w:pPr>
      <w:r>
        <w:rPr>
          <w:rFonts w:hint="default"/>
          <w:color w:val="auto"/>
          <w:highlight w:val="none"/>
          <w:lang w:val="en-US" w:eastAsia="zh-CN"/>
        </w:rPr>
        <w:t>根据《</w:t>
      </w:r>
      <w:r>
        <w:rPr>
          <w:rFonts w:hint="eastAsia"/>
          <w:color w:val="auto"/>
          <w:highlight w:val="none"/>
          <w:lang w:val="en-US" w:eastAsia="zh-CN"/>
        </w:rPr>
        <w:t>新疆维吾尔自治区河道管理条例》，第十八条：“山区河道有山体滑坡、崩岸、泥石流等自然灾害的河段，禁止从事开山、采石、采矿、开荒等危及山体稳定的活动。”</w:t>
      </w:r>
    </w:p>
    <w:p w14:paraId="50DB61C7">
      <w:pPr>
        <w:bidi w:val="0"/>
        <w:rPr>
          <w:rFonts w:hint="eastAsia" w:cs="Times New Roman"/>
          <w:color w:val="auto"/>
          <w:highlight w:val="none"/>
          <w:lang w:val="en-US" w:eastAsia="zh-CN"/>
        </w:rPr>
      </w:pPr>
      <w:r>
        <w:rPr>
          <w:rFonts w:hint="eastAsia"/>
          <w:color w:val="auto"/>
          <w:highlight w:val="none"/>
          <w:lang w:val="en-US" w:eastAsia="zh-CN"/>
        </w:rPr>
        <w:t>本工程</w:t>
      </w:r>
      <w:r>
        <w:rPr>
          <w:rFonts w:hint="default"/>
          <w:color w:val="auto"/>
          <w:highlight w:val="none"/>
          <w:lang w:val="en-US" w:eastAsia="zh-CN"/>
        </w:rPr>
        <w:t>开采方式为</w:t>
      </w:r>
      <w:r>
        <w:rPr>
          <w:rFonts w:hint="eastAsia"/>
          <w:color w:val="auto"/>
          <w:highlight w:val="none"/>
          <w:lang w:val="en-US" w:eastAsia="zh-CN"/>
        </w:rPr>
        <w:t>地下</w:t>
      </w:r>
      <w:r>
        <w:rPr>
          <w:rFonts w:hint="default"/>
          <w:color w:val="auto"/>
          <w:highlight w:val="none"/>
          <w:lang w:val="en-US" w:eastAsia="zh-CN"/>
        </w:rPr>
        <w:t>开采</w:t>
      </w:r>
      <w:r>
        <w:rPr>
          <w:rFonts w:hint="eastAsia"/>
          <w:color w:val="auto"/>
          <w:highlight w:val="none"/>
          <w:lang w:val="en-US" w:eastAsia="zh-CN"/>
        </w:rPr>
        <w:t>，河道两侧地下矿体采取保留矿柱的措施，避免开采对河道产生影响，矿区</w:t>
      </w:r>
      <w:r>
        <w:rPr>
          <w:rFonts w:hint="default"/>
          <w:color w:val="auto"/>
          <w:highlight w:val="none"/>
          <w:lang w:val="en-US" w:eastAsia="zh-CN"/>
        </w:rPr>
        <w:t>河道</w:t>
      </w:r>
      <w:r>
        <w:rPr>
          <w:rFonts w:hint="eastAsia"/>
          <w:color w:val="auto"/>
          <w:highlight w:val="none"/>
          <w:lang w:val="en-US" w:eastAsia="zh-CN"/>
        </w:rPr>
        <w:t>无</w:t>
      </w:r>
      <w:r>
        <w:rPr>
          <w:rFonts w:hint="default"/>
          <w:color w:val="auto"/>
          <w:highlight w:val="none"/>
          <w:lang w:val="en-US" w:eastAsia="zh-CN"/>
        </w:rPr>
        <w:t>山体滑坡、崩岸、泥石流等自然灾害</w:t>
      </w:r>
      <w:r>
        <w:rPr>
          <w:rFonts w:hint="eastAsia"/>
          <w:color w:val="auto"/>
          <w:highlight w:val="none"/>
          <w:lang w:val="en-US" w:eastAsia="zh-CN"/>
        </w:rPr>
        <w:t>现象</w:t>
      </w:r>
      <w:r>
        <w:rPr>
          <w:rFonts w:hint="eastAsia" w:cs="Times New Roman"/>
          <w:color w:val="auto"/>
          <w:highlight w:val="none"/>
          <w:lang w:val="en-US" w:eastAsia="zh-CN"/>
        </w:rPr>
        <w:t>。</w:t>
      </w:r>
    </w:p>
    <w:p w14:paraId="0A7F3A10">
      <w:pPr>
        <w:pStyle w:val="5"/>
        <w:spacing w:line="560" w:lineRule="atLeast"/>
        <w:rPr>
          <w:rFonts w:hint="default" w:ascii="Times New Roman" w:hAnsi="Times New Roman" w:cs="Times New Roman"/>
          <w:color w:val="auto"/>
          <w:highlight w:val="none"/>
        </w:rPr>
      </w:pPr>
      <w:bookmarkStart w:id="61" w:name="_Toc1353"/>
      <w:r>
        <w:rPr>
          <w:rFonts w:hint="default" w:ascii="Times New Roman" w:hAnsi="Times New Roman" w:cs="Times New Roman"/>
          <w:color w:val="auto"/>
          <w:highlight w:val="none"/>
        </w:rPr>
        <w:t>1.4关注的主要环境问题及环境影响</w:t>
      </w:r>
      <w:bookmarkEnd w:id="54"/>
      <w:bookmarkEnd w:id="55"/>
      <w:bookmarkEnd w:id="56"/>
      <w:bookmarkEnd w:id="57"/>
      <w:bookmarkEnd w:id="58"/>
      <w:bookmarkEnd w:id="59"/>
      <w:bookmarkEnd w:id="60"/>
      <w:bookmarkEnd w:id="61"/>
    </w:p>
    <w:p w14:paraId="7C7B0001">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highlight w:val="none"/>
        </w:rPr>
        <w:t>本项目运营期以废气、废水、固废排放为主要污染特征，其大气污染物处理措施合理性、生产废水闭路循环可行性、固体废物处置可行性等是减少项目建设对外环境污染的重点关注问题。还需重视项目施工及运营引发的环境影响能否满足区域环境功能，采取的污染防治措施能否保证各项污染物达标排放，项目环境风险是否可以接受。</w:t>
      </w:r>
    </w:p>
    <w:p w14:paraId="21C74D81">
      <w:pPr>
        <w:pStyle w:val="5"/>
        <w:spacing w:line="560" w:lineRule="atLeast"/>
        <w:rPr>
          <w:rFonts w:hint="default" w:ascii="Times New Roman" w:hAnsi="Times New Roman" w:cs="Times New Roman"/>
          <w:color w:val="auto"/>
          <w:highlight w:val="none"/>
        </w:rPr>
      </w:pPr>
      <w:bookmarkStart w:id="62" w:name="_Toc107414642"/>
      <w:bookmarkStart w:id="63" w:name="_Toc13281"/>
      <w:bookmarkStart w:id="64" w:name="_Toc5133"/>
      <w:bookmarkStart w:id="65" w:name="_Toc107413875"/>
      <w:bookmarkStart w:id="66" w:name="_Toc2314"/>
      <w:bookmarkStart w:id="67" w:name="_Toc21165"/>
      <w:bookmarkStart w:id="68" w:name="_Toc17117"/>
      <w:bookmarkStart w:id="69" w:name="_Toc20694"/>
      <w:r>
        <w:rPr>
          <w:rFonts w:hint="default" w:ascii="Times New Roman" w:hAnsi="Times New Roman" w:cs="Times New Roman"/>
          <w:color w:val="auto"/>
          <w:highlight w:val="none"/>
        </w:rPr>
        <w:t>1.5环境影响评价的主要结论</w:t>
      </w:r>
      <w:bookmarkEnd w:id="62"/>
      <w:bookmarkEnd w:id="63"/>
      <w:bookmarkEnd w:id="64"/>
      <w:bookmarkEnd w:id="65"/>
      <w:bookmarkEnd w:id="66"/>
      <w:bookmarkEnd w:id="67"/>
      <w:bookmarkEnd w:id="68"/>
      <w:bookmarkEnd w:id="69"/>
    </w:p>
    <w:p w14:paraId="46A4F703">
      <w:pPr>
        <w:overflowPunct w:val="0"/>
        <w:topLinePunct/>
        <w:spacing w:after="0"/>
        <w:ind w:firstLine="48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根据《产业结构调整指导目录（</w:t>
      </w:r>
      <w:r>
        <w:rPr>
          <w:rFonts w:hint="default" w:ascii="Times New Roman" w:hAnsi="Times New Roman" w:eastAsia="宋体" w:cs="Times New Roman"/>
          <w:color w:val="auto"/>
          <w:highlight w:val="none"/>
          <w:lang w:val="en-US" w:eastAsia="zh-CN"/>
        </w:rPr>
        <w:t>2024</w:t>
      </w:r>
      <w:r>
        <w:rPr>
          <w:rFonts w:hint="default" w:ascii="Times New Roman" w:hAnsi="Times New Roman" w:eastAsia="宋体" w:cs="Times New Roman"/>
          <w:color w:val="auto"/>
          <w:highlight w:val="none"/>
        </w:rPr>
        <w:t>年本）》，本项目属于名录</w:t>
      </w:r>
      <w:r>
        <w:rPr>
          <w:rFonts w:hint="default" w:ascii="Times New Roman" w:hAnsi="Times New Roman" w:eastAsia="宋体" w:cs="Times New Roman"/>
          <w:color w:val="auto"/>
          <w:highlight w:val="none"/>
          <w:lang w:val="en-US" w:eastAsia="zh-CN"/>
        </w:rPr>
        <w:t>中“十一、石化化工-1．矿产资源开发：硫、钾、硼、锂、溴等短缺化工矿产资源勘探开发及综合利用，磷矿和萤石矿的中低品位矿、选矿尾矿、伴生资源综合利用”，属于鼓励类项目</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本项目符合国家产业政策。</w:t>
      </w:r>
    </w:p>
    <w:p w14:paraId="41CEEE4D">
      <w:pPr>
        <w:overflowPunct w:val="0"/>
        <w:topLinePunct/>
        <w:spacing w:after="0"/>
        <w:ind w:firstLine="480"/>
        <w:jc w:val="both"/>
        <w:rPr>
          <w:rFonts w:hint="default" w:ascii="Times New Roman" w:hAnsi="Times New Roman" w:cs="Times New Roman"/>
          <w:color w:val="auto"/>
          <w:highlight w:val="none"/>
          <w:shd w:val="clear" w:color="auto" w:fill="FFC000"/>
        </w:rPr>
      </w:pPr>
      <w:r>
        <w:rPr>
          <w:rFonts w:hint="default" w:ascii="Times New Roman" w:hAnsi="Times New Roman" w:cs="Times New Roman"/>
          <w:color w:val="auto"/>
          <w:highlight w:val="none"/>
        </w:rPr>
        <w:t>项目选址与空间布局符合性及污染防治与环境影响符合性，满足《</w:t>
      </w:r>
      <w:r>
        <w:rPr>
          <w:rFonts w:hint="default"/>
          <w:color w:val="auto"/>
          <w:highlight w:val="none"/>
        </w:rPr>
        <w:t>新疆维吾尔自治区重点行业生态环境准入条件</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2024年</w:t>
      </w:r>
      <w:r>
        <w:rPr>
          <w:rFonts w:hint="default" w:ascii="Times New Roman" w:hAnsi="Times New Roman" w:cs="Times New Roman"/>
          <w:color w:val="auto"/>
          <w:highlight w:val="none"/>
        </w:rPr>
        <w:t>）》的有关要求。</w:t>
      </w:r>
    </w:p>
    <w:p w14:paraId="06CFC2EE">
      <w:pPr>
        <w:overflowPunct w:val="0"/>
        <w:topLinePunct/>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符合清洁生产要求，按照清洁生产二级标准执行环境管理工作；项目产生的各类废物污染物均采取了有效的防治措施，可达标排放并符合污染物总量控制要求，经预测本项目投产后对周围环境影响较小；环境风险水平在可接受程度内；公众参与调查工作中，未收到公众对该项目的反馈意见。建设单位应加强环保设施的运行维护和管理，保证各种环保设施的正常运行和污染物长期稳定达标排放。在落实并保证以上条件实施的前提下，从环保角度分析，该项目的建设是可行的。</w:t>
      </w:r>
    </w:p>
    <w:p w14:paraId="34E55D4A">
      <w:pPr>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在报告书的编制过程中，得到了</w:t>
      </w:r>
      <w:r>
        <w:rPr>
          <w:rFonts w:hint="default" w:ascii="Times New Roman" w:hAnsi="Times New Roman" w:cs="Times New Roman"/>
          <w:color w:val="auto"/>
          <w:sz w:val="24"/>
          <w:szCs w:val="24"/>
          <w:highlight w:val="none"/>
          <w:lang w:eastAsia="zh-CN"/>
        </w:rPr>
        <w:t>巴</w:t>
      </w:r>
      <w:r>
        <w:rPr>
          <w:rFonts w:hint="default" w:ascii="Times New Roman" w:hAnsi="Times New Roman" w:cs="Times New Roman"/>
          <w:color w:val="auto"/>
          <w:sz w:val="24"/>
          <w:szCs w:val="24"/>
          <w:highlight w:val="none"/>
        </w:rPr>
        <w:t>州</w:t>
      </w:r>
      <w:r>
        <w:rPr>
          <w:rFonts w:hint="default" w:ascii="Times New Roman" w:hAnsi="Times New Roman" w:cs="Times New Roman"/>
          <w:color w:val="auto"/>
          <w:sz w:val="24"/>
          <w:szCs w:val="24"/>
          <w:highlight w:val="none"/>
          <w:lang w:eastAsia="zh-CN"/>
        </w:rPr>
        <w:t>生态环境</w:t>
      </w:r>
      <w:r>
        <w:rPr>
          <w:rFonts w:hint="default" w:ascii="Times New Roman" w:hAnsi="Times New Roman" w:cs="Times New Roman"/>
          <w:color w:val="auto"/>
          <w:sz w:val="24"/>
          <w:szCs w:val="24"/>
          <w:highlight w:val="none"/>
        </w:rPr>
        <w:t>局、</w:t>
      </w:r>
      <w:r>
        <w:rPr>
          <w:rFonts w:hint="default" w:ascii="Times New Roman" w:hAnsi="Times New Roman" w:cs="Times New Roman"/>
          <w:color w:val="auto"/>
          <w:sz w:val="24"/>
          <w:szCs w:val="24"/>
          <w:highlight w:val="none"/>
          <w:lang w:eastAsia="zh-CN"/>
        </w:rPr>
        <w:t>巴</w:t>
      </w:r>
      <w:r>
        <w:rPr>
          <w:rFonts w:hint="default" w:ascii="Times New Roman" w:hAnsi="Times New Roman" w:cs="Times New Roman"/>
          <w:color w:val="auto"/>
          <w:sz w:val="24"/>
          <w:szCs w:val="24"/>
          <w:highlight w:val="none"/>
        </w:rPr>
        <w:t>州</w:t>
      </w:r>
      <w:r>
        <w:rPr>
          <w:rFonts w:hint="default" w:ascii="Times New Roman" w:hAnsi="Times New Roman" w:cs="Times New Roman"/>
          <w:color w:val="auto"/>
          <w:sz w:val="24"/>
          <w:szCs w:val="24"/>
          <w:highlight w:val="none"/>
          <w:lang w:eastAsia="zh-CN"/>
        </w:rPr>
        <w:t>生态环境</w:t>
      </w:r>
      <w:r>
        <w:rPr>
          <w:rFonts w:hint="default" w:ascii="Times New Roman" w:hAnsi="Times New Roman" w:cs="Times New Roman"/>
          <w:color w:val="auto"/>
          <w:sz w:val="24"/>
          <w:szCs w:val="24"/>
          <w:highlight w:val="none"/>
        </w:rPr>
        <w:t>局</w:t>
      </w:r>
      <w:r>
        <w:rPr>
          <w:rFonts w:hint="default" w:ascii="Times New Roman" w:hAnsi="Times New Roman" w:cs="Times New Roman"/>
          <w:color w:val="auto"/>
          <w:sz w:val="24"/>
          <w:szCs w:val="24"/>
          <w:highlight w:val="none"/>
          <w:lang w:eastAsia="zh-CN"/>
        </w:rPr>
        <w:t>若羌</w:t>
      </w:r>
      <w:r>
        <w:rPr>
          <w:rFonts w:hint="default" w:ascii="Times New Roman" w:hAnsi="Times New Roman" w:cs="Times New Roman"/>
          <w:color w:val="auto"/>
          <w:sz w:val="24"/>
          <w:szCs w:val="24"/>
          <w:highlight w:val="none"/>
        </w:rPr>
        <w:t>县</w:t>
      </w:r>
      <w:r>
        <w:rPr>
          <w:rFonts w:hint="default" w:ascii="Times New Roman" w:hAnsi="Times New Roman" w:cs="Times New Roman"/>
          <w:color w:val="auto"/>
          <w:sz w:val="24"/>
          <w:szCs w:val="24"/>
          <w:highlight w:val="none"/>
          <w:lang w:eastAsia="zh-CN"/>
        </w:rPr>
        <w:t>分局以</w:t>
      </w:r>
      <w:r>
        <w:rPr>
          <w:rFonts w:hint="default" w:ascii="Times New Roman" w:hAnsi="Times New Roman" w:cs="Times New Roman"/>
          <w:color w:val="auto"/>
          <w:sz w:val="24"/>
          <w:szCs w:val="24"/>
          <w:highlight w:val="none"/>
        </w:rPr>
        <w:t>及建设单位等的指导与帮助</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并获得了建设单位的积极配合，在此一并表示感谢</w:t>
      </w:r>
      <w:r>
        <w:rPr>
          <w:rFonts w:hint="default" w:ascii="Times New Roman" w:hAnsi="Times New Roman" w:cs="Times New Roman"/>
          <w:color w:val="auto"/>
          <w:sz w:val="24"/>
          <w:szCs w:val="24"/>
          <w:highlight w:val="none"/>
          <w:lang w:eastAsia="zh-CN"/>
        </w:rPr>
        <w:t>！</w:t>
      </w:r>
    </w:p>
    <w:p w14:paraId="2DB0BF66">
      <w:pPr>
        <w:autoSpaceDE w:val="0"/>
        <w:autoSpaceDN w:val="0"/>
        <w:adjustRightInd w:val="0"/>
        <w:spacing w:line="560" w:lineRule="exact"/>
        <w:ind w:firstLine="480"/>
        <w:rPr>
          <w:rFonts w:hint="default" w:ascii="Times New Roman" w:hAnsi="Times New Roman" w:cs="Times New Roman"/>
          <w:color w:val="auto"/>
          <w:highlight w:val="none"/>
        </w:rPr>
        <w:sectPr>
          <w:headerReference r:id="rId7" w:type="default"/>
          <w:footerReference r:id="rId9" w:type="default"/>
          <w:headerReference r:id="rId8" w:type="even"/>
          <w:footerReference r:id="rId10" w:type="even"/>
          <w:pgSz w:w="11907" w:h="16840"/>
          <w:pgMar w:top="1440" w:right="1797" w:bottom="1440" w:left="1797" w:header="851" w:footer="964" w:gutter="0"/>
          <w:pgBorders>
            <w:top w:val="none" w:sz="0" w:space="0"/>
            <w:left w:val="none" w:sz="0" w:space="0"/>
            <w:bottom w:val="none" w:sz="0" w:space="0"/>
            <w:right w:val="none" w:sz="0" w:space="0"/>
          </w:pgBorders>
          <w:pgNumType w:fmt="decimal" w:start="1"/>
          <w:cols w:space="425" w:num="1"/>
          <w:docGrid w:linePitch="312" w:charSpace="0"/>
        </w:sectPr>
      </w:pPr>
    </w:p>
    <w:p w14:paraId="0ED57BC6">
      <w:pPr>
        <w:pStyle w:val="4"/>
        <w:spacing w:line="720" w:lineRule="exact"/>
        <w:rPr>
          <w:rFonts w:hint="default" w:ascii="Times New Roman" w:hAnsi="Times New Roman" w:cs="Times New Roman"/>
          <w:color w:val="auto"/>
          <w:highlight w:val="none"/>
        </w:rPr>
      </w:pPr>
      <w:bookmarkStart w:id="70" w:name="_Toc6600"/>
      <w:bookmarkStart w:id="71" w:name="_Toc107414643"/>
      <w:bookmarkStart w:id="72" w:name="_Toc9287"/>
      <w:bookmarkStart w:id="73" w:name="_Toc107413876"/>
      <w:bookmarkStart w:id="74" w:name="_Toc20555"/>
      <w:bookmarkStart w:id="75" w:name="_Toc5046"/>
      <w:bookmarkStart w:id="76" w:name="_Toc20670"/>
      <w:bookmarkStart w:id="77" w:name="_Toc31238"/>
      <w:r>
        <w:rPr>
          <w:rFonts w:hint="default" w:ascii="Times New Roman" w:hAnsi="Times New Roman" w:cs="Times New Roman"/>
          <w:color w:val="auto"/>
          <w:highlight w:val="none"/>
        </w:rPr>
        <w:t>2总则</w:t>
      </w:r>
      <w:bookmarkEnd w:id="70"/>
      <w:bookmarkEnd w:id="71"/>
      <w:bookmarkEnd w:id="72"/>
      <w:bookmarkEnd w:id="73"/>
      <w:bookmarkEnd w:id="74"/>
      <w:bookmarkEnd w:id="75"/>
      <w:bookmarkEnd w:id="76"/>
      <w:bookmarkEnd w:id="77"/>
    </w:p>
    <w:p w14:paraId="6F5B2120">
      <w:pPr>
        <w:pStyle w:val="5"/>
        <w:rPr>
          <w:rFonts w:hint="default" w:ascii="Times New Roman" w:hAnsi="Times New Roman" w:cs="Times New Roman"/>
          <w:color w:val="auto"/>
          <w:highlight w:val="none"/>
        </w:rPr>
      </w:pPr>
      <w:bookmarkStart w:id="78" w:name="_Toc312148931"/>
      <w:bookmarkStart w:id="79" w:name="_Toc475111950"/>
      <w:bookmarkStart w:id="80" w:name="_Toc24626"/>
      <w:bookmarkStart w:id="81" w:name="_Toc11946"/>
      <w:bookmarkStart w:id="82" w:name="_Toc1972"/>
      <w:bookmarkStart w:id="83" w:name="_Toc3671"/>
      <w:bookmarkStart w:id="84" w:name="_Toc1176"/>
      <w:bookmarkStart w:id="85" w:name="_Toc16457"/>
      <w:bookmarkStart w:id="86" w:name="_Toc29099"/>
      <w:bookmarkStart w:id="87" w:name="_Toc24352"/>
      <w:bookmarkStart w:id="88" w:name="_Toc10163"/>
      <w:bookmarkStart w:id="89" w:name="_Toc107413877"/>
      <w:bookmarkStart w:id="90" w:name="_Toc27409"/>
      <w:bookmarkStart w:id="91" w:name="_Toc650"/>
      <w:bookmarkStart w:id="92" w:name="_Toc5693"/>
      <w:bookmarkStart w:id="93" w:name="_Toc14158"/>
      <w:bookmarkStart w:id="94" w:name="_Toc2817"/>
      <w:bookmarkStart w:id="95" w:name="_Toc7119"/>
      <w:bookmarkStart w:id="96" w:name="_Toc23503"/>
      <w:bookmarkStart w:id="97" w:name="_Toc22808"/>
      <w:bookmarkStart w:id="98" w:name="_Toc107414644"/>
      <w:bookmarkStart w:id="99" w:name="_Toc14873"/>
      <w:bookmarkStart w:id="100" w:name="_Toc27448"/>
      <w:r>
        <w:rPr>
          <w:rFonts w:hint="default" w:ascii="Times New Roman" w:hAnsi="Times New Roman" w:cs="Times New Roman"/>
          <w:color w:val="auto"/>
          <w:highlight w:val="none"/>
        </w:rPr>
        <w:t>2.1评价</w:t>
      </w:r>
      <w:bookmarkEnd w:id="78"/>
      <w:r>
        <w:rPr>
          <w:rFonts w:hint="default" w:ascii="Times New Roman" w:hAnsi="Times New Roman" w:cs="Times New Roman"/>
          <w:color w:val="auto"/>
          <w:highlight w:val="none"/>
        </w:rPr>
        <w:t>原则与</w:t>
      </w:r>
      <w:bookmarkEnd w:id="79"/>
      <w:r>
        <w:rPr>
          <w:rFonts w:hint="default" w:ascii="Times New Roman" w:hAnsi="Times New Roman" w:cs="Times New Roman"/>
          <w:color w:val="auto"/>
          <w:highlight w:val="none"/>
        </w:rPr>
        <w:t>目的</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1071DD26">
      <w:pPr>
        <w:pStyle w:val="6"/>
        <w:rPr>
          <w:rFonts w:hint="default" w:ascii="Times New Roman" w:hAnsi="Times New Roman" w:cs="Times New Roman"/>
          <w:color w:val="auto"/>
          <w:highlight w:val="none"/>
        </w:rPr>
      </w:pPr>
      <w:bookmarkStart w:id="101" w:name="_Toc10657"/>
      <w:bookmarkStart w:id="102" w:name="_Toc27705"/>
      <w:bookmarkStart w:id="103" w:name="_Toc4690"/>
      <w:bookmarkStart w:id="104" w:name="_Toc14651"/>
      <w:bookmarkStart w:id="105" w:name="_Toc30249"/>
      <w:r>
        <w:rPr>
          <w:rFonts w:hint="default" w:ascii="Times New Roman" w:hAnsi="Times New Roman" w:cs="Times New Roman"/>
          <w:color w:val="auto"/>
          <w:highlight w:val="none"/>
        </w:rPr>
        <w:t>2.1.1评价原则</w:t>
      </w:r>
      <w:bookmarkEnd w:id="101"/>
      <w:bookmarkEnd w:id="102"/>
      <w:bookmarkEnd w:id="103"/>
      <w:bookmarkEnd w:id="104"/>
      <w:bookmarkEnd w:id="105"/>
    </w:p>
    <w:p w14:paraId="481CB089">
      <w:pPr>
        <w:overflowPunct w:val="0"/>
        <w:topLinePunct/>
        <w:ind w:firstLine="480"/>
        <w:rPr>
          <w:rFonts w:hint="default" w:ascii="Times New Roman" w:hAnsi="Times New Roman" w:cs="Times New Roman"/>
          <w:color w:val="auto"/>
          <w:highlight w:val="none"/>
        </w:rPr>
      </w:pPr>
      <w:bookmarkStart w:id="106" w:name="_Toc384828343"/>
      <w:r>
        <w:rPr>
          <w:rFonts w:hint="default" w:ascii="Times New Roman" w:hAnsi="Times New Roman" w:cs="Times New Roman"/>
          <w:color w:val="auto"/>
          <w:highlight w:val="none"/>
        </w:rPr>
        <w:t>突出环境影响评价的源头预防作用，坚持保护和改善环境质量。</w:t>
      </w:r>
    </w:p>
    <w:p w14:paraId="378814C6">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（1）依法评价</w:t>
      </w:r>
    </w:p>
    <w:p w14:paraId="4AD1D8E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贯彻执行我国环境保护相关法律法规、标准、政策和规划等，优化项目建设，服务环境管理。</w:t>
      </w:r>
    </w:p>
    <w:p w14:paraId="247F41C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（2）科学评价</w:t>
      </w:r>
    </w:p>
    <w:p w14:paraId="32BDF22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规范环境影响评价方法，科学分析项目建设对环境质量的影响。</w:t>
      </w:r>
    </w:p>
    <w:p w14:paraId="7B48B69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（3）突出重点</w:t>
      </w:r>
    </w:p>
    <w:p w14:paraId="3423DA0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根据建设项目的工程内容及其特点，明确与环境要素间的作用效应关系，充分利用符合时效的数据资料及成果，对建设项目主要环境影响予以重点分析和评价。</w:t>
      </w:r>
    </w:p>
    <w:p w14:paraId="090ABC0F">
      <w:pPr>
        <w:pStyle w:val="6"/>
        <w:rPr>
          <w:rFonts w:hint="default" w:ascii="Times New Roman" w:hAnsi="Times New Roman" w:cs="Times New Roman"/>
          <w:color w:val="auto"/>
          <w:highlight w:val="none"/>
        </w:rPr>
      </w:pPr>
      <w:bookmarkStart w:id="107" w:name="_Toc6915"/>
      <w:bookmarkStart w:id="108" w:name="_Toc32653"/>
      <w:bookmarkStart w:id="109" w:name="_Toc12557"/>
      <w:bookmarkStart w:id="110" w:name="_Toc12265"/>
      <w:bookmarkStart w:id="111" w:name="_Toc11031"/>
      <w:bookmarkStart w:id="112" w:name="_Toc26663"/>
      <w:bookmarkStart w:id="113" w:name="_Toc29884"/>
      <w:bookmarkStart w:id="114" w:name="_Toc17480"/>
      <w:bookmarkStart w:id="115" w:name="_Toc13743"/>
      <w:r>
        <w:rPr>
          <w:rFonts w:hint="default" w:ascii="Times New Roman" w:hAnsi="Times New Roman" w:cs="Times New Roman"/>
          <w:color w:val="auto"/>
          <w:highlight w:val="none"/>
        </w:rPr>
        <w:t>2.1.2评价</w:t>
      </w:r>
      <w:bookmarkEnd w:id="106"/>
      <w:r>
        <w:rPr>
          <w:rFonts w:hint="default" w:ascii="Times New Roman" w:hAnsi="Times New Roman" w:cs="Times New Roman"/>
          <w:color w:val="auto"/>
          <w:highlight w:val="none"/>
        </w:rPr>
        <w:t>目的</w:t>
      </w:r>
      <w:bookmarkEnd w:id="107"/>
      <w:bookmarkEnd w:id="108"/>
      <w:bookmarkEnd w:id="109"/>
      <w:bookmarkEnd w:id="110"/>
      <w:bookmarkEnd w:id="111"/>
      <w:bookmarkEnd w:id="112"/>
      <w:bookmarkEnd w:id="113"/>
      <w:bookmarkEnd w:id="114"/>
      <w:bookmarkEnd w:id="115"/>
    </w:p>
    <w:p w14:paraId="7D441FA5">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（1）通过现场调查、资料收集及环境监测，了解项目所在地自然环境、社会经济环境、环境质量现状以及存在的主要环境问题。</w:t>
      </w:r>
    </w:p>
    <w:p w14:paraId="105F6F0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通过工程分析，明确建设项目的主要环境影响，筛选对环境造成影响的因子，尤其关注建设项目产生的主要污染因子。并通过类比调查、物料衡算，核算污染源源强，预测项目建设对环境影响的程度与范围。</w:t>
      </w:r>
    </w:p>
    <w:p w14:paraId="78389E3F">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（3）从工艺着手，分析生产工艺、生产设备及原辅材料的消耗，掌握主要污染源及排放状况。</w:t>
      </w:r>
    </w:p>
    <w:p w14:paraId="55D3440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（4）通过分析和计算，预测污染物排放对周围环境的影响程度，判断其是否满足环境质量标准和总量控制要求。</w:t>
      </w:r>
    </w:p>
    <w:p w14:paraId="5EE33DC2">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（5）从技术、经济角度分析拟采取的环保措施的可行性，为工程环保措施的设计和环境管理提供依据。</w:t>
      </w:r>
    </w:p>
    <w:p w14:paraId="3349B93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（6）从环保法规、产业政策、环境特点、污染防治等方面进行综合分析，对拟建项目的环境可行性做出明确结论，为项目的决策、污染控制和环境管理提供科学依据。</w:t>
      </w:r>
    </w:p>
    <w:p w14:paraId="3A33153B">
      <w:pPr>
        <w:pStyle w:val="5"/>
        <w:spacing w:line="560" w:lineRule="atLeast"/>
        <w:rPr>
          <w:rFonts w:hint="default" w:ascii="Times New Roman" w:hAnsi="Times New Roman" w:cs="Times New Roman"/>
          <w:color w:val="auto"/>
          <w:highlight w:val="none"/>
        </w:rPr>
      </w:pPr>
      <w:bookmarkStart w:id="116" w:name="_Toc21338"/>
      <w:bookmarkStart w:id="117" w:name="_Toc19680"/>
      <w:bookmarkStart w:id="118" w:name="_Toc107414645"/>
      <w:bookmarkStart w:id="119" w:name="_Toc28811"/>
      <w:bookmarkStart w:id="120" w:name="_Toc3095"/>
      <w:bookmarkStart w:id="121" w:name="_Toc17448"/>
      <w:bookmarkStart w:id="122" w:name="_Toc6758"/>
      <w:bookmarkStart w:id="123" w:name="_Toc107413878"/>
      <w:r>
        <w:rPr>
          <w:rFonts w:hint="default" w:ascii="Times New Roman" w:hAnsi="Times New Roman" w:cs="Times New Roman"/>
          <w:color w:val="auto"/>
          <w:highlight w:val="none"/>
        </w:rPr>
        <w:t>2.2编制依据</w:t>
      </w:r>
      <w:bookmarkEnd w:id="116"/>
      <w:bookmarkEnd w:id="117"/>
      <w:bookmarkEnd w:id="118"/>
      <w:bookmarkEnd w:id="119"/>
      <w:bookmarkEnd w:id="120"/>
      <w:bookmarkEnd w:id="121"/>
      <w:bookmarkEnd w:id="122"/>
      <w:bookmarkEnd w:id="123"/>
    </w:p>
    <w:p w14:paraId="395EA744">
      <w:pPr>
        <w:pStyle w:val="6"/>
        <w:rPr>
          <w:rFonts w:hint="default" w:ascii="Times New Roman" w:hAnsi="Times New Roman" w:cs="Times New Roman"/>
          <w:color w:val="auto"/>
          <w:highlight w:val="none"/>
        </w:rPr>
      </w:pPr>
      <w:bookmarkStart w:id="124" w:name="_Toc19960"/>
      <w:bookmarkStart w:id="125" w:name="_Toc23138"/>
      <w:bookmarkStart w:id="126" w:name="_Toc27672"/>
      <w:r>
        <w:rPr>
          <w:rFonts w:hint="default" w:ascii="Times New Roman" w:hAnsi="Times New Roman" w:cs="Times New Roman"/>
          <w:color w:val="auto"/>
          <w:highlight w:val="none"/>
        </w:rPr>
        <w:t>2.2.1国家及地方有关法律、法规和规章</w:t>
      </w:r>
      <w:bookmarkEnd w:id="124"/>
      <w:bookmarkEnd w:id="125"/>
      <w:bookmarkEnd w:id="126"/>
    </w:p>
    <w:tbl>
      <w:tblPr>
        <w:tblStyle w:val="13"/>
        <w:tblW w:w="8423"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448"/>
        <w:gridCol w:w="4464"/>
        <w:gridCol w:w="2337"/>
        <w:gridCol w:w="1174"/>
      </w:tblGrid>
      <w:tr w14:paraId="3975933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448" w:type="dxa"/>
            <w:tcBorders>
              <w:tl2br w:val="nil"/>
              <w:tr2bl w:val="nil"/>
            </w:tcBorders>
            <w:vAlign w:val="center"/>
          </w:tcPr>
          <w:p w14:paraId="0DAF4BC4">
            <w:pPr>
              <w:spacing w:before="0" w:beforeAutospacing="0"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4464" w:type="dxa"/>
            <w:tcBorders>
              <w:tl2br w:val="nil"/>
              <w:tr2bl w:val="nil"/>
            </w:tcBorders>
            <w:vAlign w:val="center"/>
          </w:tcPr>
          <w:p w14:paraId="7719439B">
            <w:pPr>
              <w:spacing w:before="0" w:beforeAutospacing="0"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依据名称</w:t>
            </w:r>
          </w:p>
        </w:tc>
        <w:tc>
          <w:tcPr>
            <w:tcW w:w="2337" w:type="dxa"/>
            <w:tcBorders>
              <w:tl2br w:val="nil"/>
              <w:tr2bl w:val="nil"/>
            </w:tcBorders>
            <w:vAlign w:val="center"/>
          </w:tcPr>
          <w:p w14:paraId="4D2AE0C3">
            <w:pPr>
              <w:spacing w:before="0" w:beforeAutospacing="0"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会议、主席令、文号</w:t>
            </w:r>
          </w:p>
        </w:tc>
        <w:tc>
          <w:tcPr>
            <w:tcW w:w="1174" w:type="dxa"/>
            <w:tcBorders>
              <w:tl2br w:val="nil"/>
              <w:tr2bl w:val="nil"/>
            </w:tcBorders>
            <w:vAlign w:val="center"/>
          </w:tcPr>
          <w:p w14:paraId="7E36F0F5">
            <w:pPr>
              <w:spacing w:before="0" w:beforeAutospacing="0"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实施时间</w:t>
            </w:r>
          </w:p>
        </w:tc>
      </w:tr>
      <w:tr w14:paraId="4ED78BE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5833281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一</w:t>
            </w:r>
          </w:p>
        </w:tc>
        <w:tc>
          <w:tcPr>
            <w:tcW w:w="7975" w:type="dxa"/>
            <w:gridSpan w:val="3"/>
            <w:tcBorders>
              <w:tl2br w:val="nil"/>
              <w:tr2bl w:val="nil"/>
            </w:tcBorders>
            <w:vAlign w:val="center"/>
          </w:tcPr>
          <w:p w14:paraId="0BD1685E">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环境保护相关法律</w:t>
            </w:r>
          </w:p>
        </w:tc>
      </w:tr>
      <w:tr w14:paraId="70DFAAF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338" w:hRule="atLeast"/>
          <w:jc w:val="center"/>
        </w:trPr>
        <w:tc>
          <w:tcPr>
            <w:tcW w:w="448" w:type="dxa"/>
            <w:tcBorders>
              <w:tl2br w:val="nil"/>
              <w:tr2bl w:val="nil"/>
            </w:tcBorders>
            <w:vAlign w:val="center"/>
          </w:tcPr>
          <w:p w14:paraId="6363F5B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4464" w:type="dxa"/>
            <w:tcBorders>
              <w:tl2br w:val="nil"/>
              <w:tr2bl w:val="nil"/>
            </w:tcBorders>
            <w:vAlign w:val="center"/>
          </w:tcPr>
          <w:p w14:paraId="4C94432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《中华人民共和国生态环境法典》</w:t>
            </w:r>
          </w:p>
        </w:tc>
        <w:tc>
          <w:tcPr>
            <w:tcW w:w="2337" w:type="dxa"/>
            <w:tcBorders>
              <w:tl2br w:val="nil"/>
              <w:tr2bl w:val="nil"/>
            </w:tcBorders>
            <w:vAlign w:val="center"/>
          </w:tcPr>
          <w:p w14:paraId="0B57783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14届人大第4次会议</w:t>
            </w:r>
          </w:p>
        </w:tc>
        <w:tc>
          <w:tcPr>
            <w:tcW w:w="1174" w:type="dxa"/>
            <w:tcBorders>
              <w:tl2br w:val="nil"/>
              <w:tr2bl w:val="nil"/>
            </w:tcBorders>
            <w:vAlign w:val="center"/>
          </w:tcPr>
          <w:p w14:paraId="150716D3">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2026-8-15</w:t>
            </w:r>
          </w:p>
        </w:tc>
      </w:tr>
      <w:tr w14:paraId="567E5B5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18E2D48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4464" w:type="dxa"/>
            <w:tcBorders>
              <w:tl2br w:val="nil"/>
              <w:tr2bl w:val="nil"/>
            </w:tcBorders>
            <w:shd w:val="clear" w:color="auto" w:fill="auto"/>
            <w:vAlign w:val="center"/>
          </w:tcPr>
          <w:p w14:paraId="576D75A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《中华人民共和国水法》</w:t>
            </w:r>
          </w:p>
        </w:tc>
        <w:tc>
          <w:tcPr>
            <w:tcW w:w="2337" w:type="dxa"/>
            <w:tcBorders>
              <w:tl2br w:val="nil"/>
              <w:tr2bl w:val="nil"/>
            </w:tcBorders>
            <w:shd w:val="clear" w:color="auto" w:fill="auto"/>
            <w:vAlign w:val="center"/>
          </w:tcPr>
          <w:p w14:paraId="74944AC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12届人大第21次会议</w:t>
            </w:r>
          </w:p>
        </w:tc>
        <w:tc>
          <w:tcPr>
            <w:tcW w:w="1174" w:type="dxa"/>
            <w:tcBorders>
              <w:tl2br w:val="nil"/>
              <w:tr2bl w:val="nil"/>
            </w:tcBorders>
            <w:shd w:val="clear" w:color="auto" w:fill="auto"/>
            <w:vAlign w:val="center"/>
          </w:tcPr>
          <w:p w14:paraId="155ED2B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2016-07-02</w:t>
            </w:r>
          </w:p>
        </w:tc>
      </w:tr>
      <w:tr w14:paraId="288E73A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05FA47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4464" w:type="dxa"/>
            <w:tcBorders>
              <w:tl2br w:val="nil"/>
              <w:tr2bl w:val="nil"/>
            </w:tcBorders>
            <w:shd w:val="clear" w:color="auto" w:fill="auto"/>
            <w:vAlign w:val="center"/>
          </w:tcPr>
          <w:p w14:paraId="5648B4D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《中华人民共和国水土保持法》</w:t>
            </w:r>
          </w:p>
        </w:tc>
        <w:tc>
          <w:tcPr>
            <w:tcW w:w="2337" w:type="dxa"/>
            <w:tcBorders>
              <w:tl2br w:val="nil"/>
              <w:tr2bl w:val="nil"/>
            </w:tcBorders>
            <w:shd w:val="clear" w:color="auto" w:fill="auto"/>
            <w:vAlign w:val="center"/>
          </w:tcPr>
          <w:p w14:paraId="650990D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11届人大第18次会议</w:t>
            </w:r>
          </w:p>
        </w:tc>
        <w:tc>
          <w:tcPr>
            <w:tcW w:w="1174" w:type="dxa"/>
            <w:tcBorders>
              <w:tl2br w:val="nil"/>
              <w:tr2bl w:val="nil"/>
            </w:tcBorders>
            <w:shd w:val="clear" w:color="auto" w:fill="auto"/>
            <w:vAlign w:val="center"/>
          </w:tcPr>
          <w:p w14:paraId="7547D965">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2011-03-01</w:t>
            </w:r>
          </w:p>
        </w:tc>
      </w:tr>
      <w:tr w14:paraId="3C48F5A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8F2EAC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4464" w:type="dxa"/>
            <w:tcBorders>
              <w:tl2br w:val="nil"/>
              <w:tr2bl w:val="nil"/>
            </w:tcBorders>
            <w:shd w:val="clear" w:color="auto" w:fill="auto"/>
            <w:vAlign w:val="center"/>
          </w:tcPr>
          <w:p w14:paraId="1DF10EB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《中华人民共和国循环经济促进法》</w:t>
            </w:r>
          </w:p>
        </w:tc>
        <w:tc>
          <w:tcPr>
            <w:tcW w:w="2337" w:type="dxa"/>
            <w:tcBorders>
              <w:tl2br w:val="nil"/>
              <w:tr2bl w:val="nil"/>
            </w:tcBorders>
            <w:shd w:val="clear" w:color="auto" w:fill="auto"/>
            <w:vAlign w:val="center"/>
          </w:tcPr>
          <w:p w14:paraId="0C11BDB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13届人大第6次会议</w:t>
            </w:r>
          </w:p>
        </w:tc>
        <w:tc>
          <w:tcPr>
            <w:tcW w:w="1174" w:type="dxa"/>
            <w:tcBorders>
              <w:tl2br w:val="nil"/>
              <w:tr2bl w:val="nil"/>
            </w:tcBorders>
            <w:shd w:val="clear" w:color="auto" w:fill="auto"/>
            <w:vAlign w:val="center"/>
          </w:tcPr>
          <w:p w14:paraId="3FFB699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2018-10-26</w:t>
            </w:r>
          </w:p>
        </w:tc>
      </w:tr>
      <w:tr w14:paraId="44A6003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335" w:hRule="atLeast"/>
          <w:jc w:val="center"/>
        </w:trPr>
        <w:tc>
          <w:tcPr>
            <w:tcW w:w="448" w:type="dxa"/>
            <w:tcBorders>
              <w:tl2br w:val="nil"/>
              <w:tr2bl w:val="nil"/>
            </w:tcBorders>
            <w:vAlign w:val="center"/>
          </w:tcPr>
          <w:p w14:paraId="71C307A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4464" w:type="dxa"/>
            <w:tcBorders>
              <w:tl2br w:val="nil"/>
              <w:tr2bl w:val="nil"/>
            </w:tcBorders>
            <w:shd w:val="clear" w:color="auto" w:fill="auto"/>
            <w:vAlign w:val="center"/>
          </w:tcPr>
          <w:p w14:paraId="241FF47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《中华人民共和国节约能源法》</w:t>
            </w:r>
          </w:p>
        </w:tc>
        <w:tc>
          <w:tcPr>
            <w:tcW w:w="2337" w:type="dxa"/>
            <w:tcBorders>
              <w:tl2br w:val="nil"/>
              <w:tr2bl w:val="nil"/>
            </w:tcBorders>
            <w:shd w:val="clear" w:color="auto" w:fill="auto"/>
            <w:vAlign w:val="center"/>
          </w:tcPr>
          <w:p w14:paraId="6606031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13届人大第6次会议</w:t>
            </w:r>
          </w:p>
        </w:tc>
        <w:tc>
          <w:tcPr>
            <w:tcW w:w="1174" w:type="dxa"/>
            <w:tcBorders>
              <w:tl2br w:val="nil"/>
              <w:tr2bl w:val="nil"/>
            </w:tcBorders>
            <w:shd w:val="clear" w:color="auto" w:fill="auto"/>
            <w:vAlign w:val="center"/>
          </w:tcPr>
          <w:p w14:paraId="42717D05">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2018-10-26</w:t>
            </w:r>
          </w:p>
        </w:tc>
      </w:tr>
      <w:tr w14:paraId="201EDF1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18DBBE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4464" w:type="dxa"/>
            <w:tcBorders>
              <w:tl2br w:val="nil"/>
              <w:tr2bl w:val="nil"/>
            </w:tcBorders>
            <w:shd w:val="clear" w:color="auto" w:fill="auto"/>
            <w:vAlign w:val="center"/>
          </w:tcPr>
          <w:p w14:paraId="012FB90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《中华人民共和国城乡规划法》</w:t>
            </w:r>
          </w:p>
        </w:tc>
        <w:tc>
          <w:tcPr>
            <w:tcW w:w="2337" w:type="dxa"/>
            <w:tcBorders>
              <w:tl2br w:val="nil"/>
              <w:tr2bl w:val="nil"/>
            </w:tcBorders>
            <w:shd w:val="clear" w:color="auto" w:fill="auto"/>
            <w:vAlign w:val="center"/>
          </w:tcPr>
          <w:p w14:paraId="1D2F2FE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13届人大第10次会议</w:t>
            </w:r>
          </w:p>
        </w:tc>
        <w:tc>
          <w:tcPr>
            <w:tcW w:w="1174" w:type="dxa"/>
            <w:tcBorders>
              <w:tl2br w:val="nil"/>
              <w:tr2bl w:val="nil"/>
            </w:tcBorders>
            <w:shd w:val="clear" w:color="auto" w:fill="auto"/>
            <w:vAlign w:val="center"/>
          </w:tcPr>
          <w:p w14:paraId="1A82999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r>
              <w:rPr>
                <w:rFonts w:hint="eastAsia" w:cs="Times New Roman"/>
                <w:color w:val="auto"/>
                <w:sz w:val="21"/>
                <w:szCs w:val="21"/>
                <w:highlight w:val="none"/>
                <w:lang w:val="en-US" w:eastAsia="zh-CN"/>
              </w:rPr>
              <w:t>19</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04</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23</w:t>
            </w:r>
          </w:p>
        </w:tc>
      </w:tr>
      <w:tr w14:paraId="0E6D146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5134C54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4464" w:type="dxa"/>
            <w:tcBorders>
              <w:tl2br w:val="nil"/>
              <w:tr2bl w:val="nil"/>
            </w:tcBorders>
            <w:shd w:val="clear" w:color="auto" w:fill="auto"/>
            <w:vAlign w:val="center"/>
          </w:tcPr>
          <w:p w14:paraId="6BCA5B2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《中华人民共和国矿产资源法》</w:t>
            </w:r>
          </w:p>
        </w:tc>
        <w:tc>
          <w:tcPr>
            <w:tcW w:w="2337" w:type="dxa"/>
            <w:tcBorders>
              <w:tl2br w:val="nil"/>
              <w:tr2bl w:val="nil"/>
            </w:tcBorders>
            <w:shd w:val="clear" w:color="auto" w:fill="auto"/>
            <w:vAlign w:val="center"/>
          </w:tcPr>
          <w:p w14:paraId="2ADFAA6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14</w:t>
            </w:r>
            <w:r>
              <w:rPr>
                <w:rFonts w:hint="default" w:ascii="Times New Roman" w:hAnsi="Times New Roman" w:cs="Times New Roman"/>
                <w:color w:val="auto"/>
                <w:sz w:val="21"/>
                <w:szCs w:val="21"/>
                <w:highlight w:val="none"/>
              </w:rPr>
              <w:t>届人大第</w:t>
            </w:r>
            <w:r>
              <w:rPr>
                <w:rFonts w:hint="eastAsia" w:cs="Times New Roman"/>
                <w:color w:val="auto"/>
                <w:sz w:val="21"/>
                <w:szCs w:val="21"/>
                <w:highlight w:val="none"/>
                <w:lang w:val="en-US" w:eastAsia="zh-CN"/>
              </w:rPr>
              <w:t>12</w:t>
            </w:r>
            <w:r>
              <w:rPr>
                <w:rFonts w:hint="default" w:ascii="Times New Roman" w:hAnsi="Times New Roman" w:cs="Times New Roman"/>
                <w:color w:val="auto"/>
                <w:sz w:val="21"/>
                <w:szCs w:val="21"/>
                <w:highlight w:val="none"/>
              </w:rPr>
              <w:t>次会议</w:t>
            </w:r>
          </w:p>
        </w:tc>
        <w:tc>
          <w:tcPr>
            <w:tcW w:w="1174" w:type="dxa"/>
            <w:tcBorders>
              <w:tl2br w:val="nil"/>
              <w:tr2bl w:val="nil"/>
            </w:tcBorders>
            <w:shd w:val="clear" w:color="auto" w:fill="auto"/>
            <w:vAlign w:val="center"/>
          </w:tcPr>
          <w:p w14:paraId="2A943D6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2025-07-01</w:t>
            </w:r>
          </w:p>
        </w:tc>
      </w:tr>
      <w:tr w14:paraId="0569C5B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333" w:hRule="atLeast"/>
          <w:jc w:val="center"/>
        </w:trPr>
        <w:tc>
          <w:tcPr>
            <w:tcW w:w="448" w:type="dxa"/>
            <w:tcBorders>
              <w:tl2br w:val="nil"/>
              <w:tr2bl w:val="nil"/>
            </w:tcBorders>
            <w:vAlign w:val="center"/>
          </w:tcPr>
          <w:p w14:paraId="1BF5D60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4464" w:type="dxa"/>
            <w:tcBorders>
              <w:tl2br w:val="nil"/>
              <w:tr2bl w:val="nil"/>
            </w:tcBorders>
            <w:shd w:val="clear" w:color="auto" w:fill="auto"/>
            <w:vAlign w:val="center"/>
          </w:tcPr>
          <w:p w14:paraId="7FE4F01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《中华人民共和国矿山安全法》</w:t>
            </w:r>
          </w:p>
        </w:tc>
        <w:tc>
          <w:tcPr>
            <w:tcW w:w="2337" w:type="dxa"/>
            <w:tcBorders>
              <w:tl2br w:val="nil"/>
              <w:tr2bl w:val="nil"/>
            </w:tcBorders>
            <w:shd w:val="clear" w:color="auto" w:fill="auto"/>
            <w:vAlign w:val="center"/>
          </w:tcPr>
          <w:p w14:paraId="3138772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主席令 第18号</w:t>
            </w:r>
          </w:p>
        </w:tc>
        <w:tc>
          <w:tcPr>
            <w:tcW w:w="1174" w:type="dxa"/>
            <w:tcBorders>
              <w:tl2br w:val="nil"/>
              <w:tr2bl w:val="nil"/>
            </w:tcBorders>
            <w:shd w:val="clear" w:color="auto" w:fill="auto"/>
            <w:vAlign w:val="center"/>
          </w:tcPr>
          <w:p w14:paraId="5C85C12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2009-08-27</w:t>
            </w:r>
          </w:p>
        </w:tc>
      </w:tr>
      <w:tr w14:paraId="799E244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9261A63">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4464" w:type="dxa"/>
            <w:tcBorders>
              <w:tl2br w:val="nil"/>
              <w:tr2bl w:val="nil"/>
            </w:tcBorders>
            <w:shd w:val="clear" w:color="auto" w:fill="auto"/>
            <w:vAlign w:val="center"/>
          </w:tcPr>
          <w:p w14:paraId="684C63B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《中华人民共和国安全生产法》</w:t>
            </w:r>
          </w:p>
        </w:tc>
        <w:tc>
          <w:tcPr>
            <w:tcW w:w="2337" w:type="dxa"/>
            <w:tcBorders>
              <w:tl2br w:val="nil"/>
              <w:tr2bl w:val="nil"/>
            </w:tcBorders>
            <w:shd w:val="clear" w:color="auto" w:fill="auto"/>
            <w:vAlign w:val="center"/>
          </w:tcPr>
          <w:p w14:paraId="0E9FAD7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13届人大第29次会议</w:t>
            </w:r>
          </w:p>
        </w:tc>
        <w:tc>
          <w:tcPr>
            <w:tcW w:w="1174" w:type="dxa"/>
            <w:tcBorders>
              <w:tl2br w:val="nil"/>
              <w:tr2bl w:val="nil"/>
            </w:tcBorders>
            <w:shd w:val="clear" w:color="auto" w:fill="auto"/>
            <w:vAlign w:val="center"/>
          </w:tcPr>
          <w:p w14:paraId="7117597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2021-06-10</w:t>
            </w:r>
          </w:p>
        </w:tc>
      </w:tr>
      <w:tr w14:paraId="4721C99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3A3710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4464" w:type="dxa"/>
            <w:tcBorders>
              <w:tl2br w:val="nil"/>
              <w:tr2bl w:val="nil"/>
            </w:tcBorders>
            <w:shd w:val="clear" w:color="auto" w:fill="auto"/>
            <w:vAlign w:val="center"/>
          </w:tcPr>
          <w:p w14:paraId="797DB80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《中华人民共和国突发事件应对法》</w:t>
            </w:r>
          </w:p>
        </w:tc>
        <w:tc>
          <w:tcPr>
            <w:tcW w:w="2337" w:type="dxa"/>
            <w:tcBorders>
              <w:tl2br w:val="nil"/>
              <w:tr2bl w:val="nil"/>
            </w:tcBorders>
            <w:shd w:val="clear" w:color="auto" w:fill="auto"/>
            <w:vAlign w:val="center"/>
          </w:tcPr>
          <w:p w14:paraId="3036BAA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aps w:val="0"/>
                <w:color w:val="auto"/>
                <w:spacing w:val="0"/>
                <w:sz w:val="21"/>
                <w:szCs w:val="21"/>
                <w:highlight w:val="none"/>
                <w:shd w:val="clear" w:fill="FFFFFF"/>
                <w:lang w:val="en-US" w:eastAsia="zh-CN"/>
              </w:rPr>
              <w:t>14</w:t>
            </w:r>
            <w:r>
              <w:rPr>
                <w:rFonts w:hint="default" w:ascii="Times New Roman" w:hAnsi="Times New Roman" w:eastAsia="宋体" w:cs="Times New Roman"/>
                <w:i w:val="0"/>
                <w:iCs w:val="0"/>
                <w:caps w:val="0"/>
                <w:color w:val="auto"/>
                <w:spacing w:val="0"/>
                <w:sz w:val="21"/>
                <w:szCs w:val="21"/>
                <w:highlight w:val="none"/>
                <w:shd w:val="clear" w:fill="FFFFFF"/>
              </w:rPr>
              <w:t>届</w:t>
            </w:r>
            <w:r>
              <w:rPr>
                <w:rFonts w:hint="default" w:ascii="Times New Roman" w:hAnsi="Times New Roman" w:eastAsia="宋体" w:cs="Times New Roman"/>
                <w:i w:val="0"/>
                <w:iCs w:val="0"/>
                <w:caps w:val="0"/>
                <w:color w:val="auto"/>
                <w:spacing w:val="0"/>
                <w:sz w:val="21"/>
                <w:szCs w:val="21"/>
                <w:highlight w:val="none"/>
                <w:shd w:val="clear" w:fill="FFFFFF"/>
                <w:lang w:val="en-US" w:eastAsia="zh-CN"/>
              </w:rPr>
              <w:t>人大</w:t>
            </w:r>
            <w:r>
              <w:rPr>
                <w:rFonts w:hint="default" w:ascii="Times New Roman" w:hAnsi="Times New Roman" w:eastAsia="宋体" w:cs="Times New Roman"/>
                <w:i w:val="0"/>
                <w:iCs w:val="0"/>
                <w:caps w:val="0"/>
                <w:color w:val="auto"/>
                <w:spacing w:val="0"/>
                <w:sz w:val="21"/>
                <w:szCs w:val="21"/>
                <w:highlight w:val="none"/>
                <w:shd w:val="clear" w:fill="FFFFFF"/>
              </w:rPr>
              <w:t>第</w:t>
            </w:r>
            <w:r>
              <w:rPr>
                <w:rFonts w:hint="default" w:ascii="Times New Roman" w:hAnsi="Times New Roman" w:eastAsia="宋体" w:cs="Times New Roman"/>
                <w:i w:val="0"/>
                <w:iCs w:val="0"/>
                <w:caps w:val="0"/>
                <w:color w:val="auto"/>
                <w:spacing w:val="0"/>
                <w:sz w:val="21"/>
                <w:szCs w:val="21"/>
                <w:highlight w:val="none"/>
                <w:shd w:val="clear" w:fill="FFFFFF"/>
                <w:lang w:val="en-US" w:eastAsia="zh-CN"/>
              </w:rPr>
              <w:t>10</w:t>
            </w:r>
            <w:r>
              <w:rPr>
                <w:rFonts w:hint="default" w:ascii="Times New Roman" w:hAnsi="Times New Roman" w:eastAsia="宋体" w:cs="Times New Roman"/>
                <w:i w:val="0"/>
                <w:iCs w:val="0"/>
                <w:caps w:val="0"/>
                <w:color w:val="auto"/>
                <w:spacing w:val="0"/>
                <w:sz w:val="21"/>
                <w:szCs w:val="21"/>
                <w:highlight w:val="none"/>
                <w:shd w:val="clear" w:fill="FFFFFF"/>
              </w:rPr>
              <w:t>次会议</w:t>
            </w:r>
          </w:p>
        </w:tc>
        <w:tc>
          <w:tcPr>
            <w:tcW w:w="1174" w:type="dxa"/>
            <w:tcBorders>
              <w:tl2br w:val="nil"/>
              <w:tr2bl w:val="nil"/>
            </w:tcBorders>
            <w:shd w:val="clear" w:color="auto" w:fill="auto"/>
            <w:vAlign w:val="center"/>
          </w:tcPr>
          <w:p w14:paraId="7AFD9A0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r>
              <w:rPr>
                <w:rFonts w:hint="eastAsia"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-11-01</w:t>
            </w:r>
          </w:p>
        </w:tc>
      </w:tr>
      <w:tr w14:paraId="3343B65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C425D7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w:t>
            </w:r>
          </w:p>
        </w:tc>
        <w:tc>
          <w:tcPr>
            <w:tcW w:w="4464" w:type="dxa"/>
            <w:tcBorders>
              <w:tl2br w:val="nil"/>
              <w:tr2bl w:val="nil"/>
            </w:tcBorders>
            <w:shd w:val="clear" w:color="auto" w:fill="auto"/>
            <w:vAlign w:val="center"/>
          </w:tcPr>
          <w:p w14:paraId="1AC588E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《中华人民共和国草原法》</w:t>
            </w:r>
          </w:p>
        </w:tc>
        <w:tc>
          <w:tcPr>
            <w:tcW w:w="2337" w:type="dxa"/>
            <w:tcBorders>
              <w:tl2br w:val="nil"/>
              <w:tr2bl w:val="nil"/>
            </w:tcBorders>
            <w:shd w:val="clear" w:color="auto" w:fill="auto"/>
            <w:vAlign w:val="center"/>
          </w:tcPr>
          <w:p w14:paraId="1066A24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13届人大第</w:t>
            </w:r>
            <w:r>
              <w:rPr>
                <w:rFonts w:hint="default" w:ascii="Times New Roman" w:hAnsi="Times New Roman" w:cs="Times New Roman"/>
                <w:color w:val="auto"/>
                <w:sz w:val="21"/>
                <w:szCs w:val="21"/>
                <w:highlight w:val="none"/>
                <w:lang w:val="en-US" w:eastAsia="zh-CN"/>
              </w:rPr>
              <w:t>28</w:t>
            </w:r>
            <w:r>
              <w:rPr>
                <w:rFonts w:hint="default" w:ascii="Times New Roman" w:hAnsi="Times New Roman" w:cs="Times New Roman"/>
                <w:color w:val="auto"/>
                <w:sz w:val="21"/>
                <w:szCs w:val="21"/>
                <w:highlight w:val="none"/>
              </w:rPr>
              <w:t>次会议</w:t>
            </w:r>
          </w:p>
        </w:tc>
        <w:tc>
          <w:tcPr>
            <w:tcW w:w="1174" w:type="dxa"/>
            <w:tcBorders>
              <w:tl2br w:val="nil"/>
              <w:tr2bl w:val="nil"/>
            </w:tcBorders>
            <w:shd w:val="clear" w:color="auto" w:fill="auto"/>
            <w:vAlign w:val="center"/>
          </w:tcPr>
          <w:p w14:paraId="797E9FF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w:t>
            </w: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29</w:t>
            </w:r>
          </w:p>
        </w:tc>
      </w:tr>
      <w:tr w14:paraId="2F6DC53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9BCB09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4464" w:type="dxa"/>
            <w:tcBorders>
              <w:tl2br w:val="nil"/>
              <w:tr2bl w:val="nil"/>
            </w:tcBorders>
            <w:shd w:val="clear" w:color="auto" w:fill="auto"/>
            <w:vAlign w:val="center"/>
          </w:tcPr>
          <w:p w14:paraId="49184FD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《中华人民共和国野生动物保护法》</w:t>
            </w:r>
          </w:p>
        </w:tc>
        <w:tc>
          <w:tcPr>
            <w:tcW w:w="2337" w:type="dxa"/>
            <w:tcBorders>
              <w:tl2br w:val="nil"/>
              <w:tr2bl w:val="nil"/>
            </w:tcBorders>
            <w:shd w:val="clear" w:color="auto" w:fill="auto"/>
            <w:vAlign w:val="center"/>
          </w:tcPr>
          <w:p w14:paraId="1E6B72F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届人大第</w:t>
            </w:r>
            <w:r>
              <w:rPr>
                <w:rFonts w:hint="eastAsia" w:cs="Times New Roman"/>
                <w:color w:val="auto"/>
                <w:sz w:val="21"/>
                <w:szCs w:val="21"/>
                <w:highlight w:val="none"/>
                <w:lang w:val="en-US" w:eastAsia="zh-CN"/>
              </w:rPr>
              <w:t>38</w:t>
            </w:r>
            <w:r>
              <w:rPr>
                <w:rFonts w:hint="default" w:ascii="Times New Roman" w:hAnsi="Times New Roman" w:cs="Times New Roman"/>
                <w:color w:val="auto"/>
                <w:sz w:val="21"/>
                <w:szCs w:val="21"/>
                <w:highlight w:val="none"/>
              </w:rPr>
              <w:t>次会议</w:t>
            </w:r>
          </w:p>
        </w:tc>
        <w:tc>
          <w:tcPr>
            <w:tcW w:w="1174" w:type="dxa"/>
            <w:tcBorders>
              <w:tl2br w:val="nil"/>
              <w:tr2bl w:val="nil"/>
            </w:tcBorders>
            <w:shd w:val="clear" w:color="auto" w:fill="auto"/>
            <w:vAlign w:val="center"/>
          </w:tcPr>
          <w:p w14:paraId="7E3348C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r>
              <w:rPr>
                <w:rFonts w:hint="eastAsia" w:cs="Times New Roman"/>
                <w:color w:val="auto"/>
                <w:sz w:val="21"/>
                <w:szCs w:val="21"/>
                <w:highlight w:val="none"/>
                <w:lang w:val="en-US" w:eastAsia="zh-CN"/>
              </w:rPr>
              <w:t>23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05</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01</w:t>
            </w:r>
          </w:p>
        </w:tc>
      </w:tr>
      <w:tr w14:paraId="695F619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52A6973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二</w:t>
            </w:r>
          </w:p>
        </w:tc>
        <w:tc>
          <w:tcPr>
            <w:tcW w:w="7975" w:type="dxa"/>
            <w:gridSpan w:val="3"/>
            <w:tcBorders>
              <w:tl2br w:val="nil"/>
              <w:tr2bl w:val="nil"/>
            </w:tcBorders>
            <w:vAlign w:val="center"/>
          </w:tcPr>
          <w:p w14:paraId="728CAB7E">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行政法规与国务院发布的规范性文件</w:t>
            </w:r>
          </w:p>
        </w:tc>
      </w:tr>
      <w:tr w14:paraId="308DAD6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1A2E85B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4464" w:type="dxa"/>
            <w:tcBorders>
              <w:tl2br w:val="nil"/>
              <w:tr2bl w:val="nil"/>
            </w:tcBorders>
            <w:vAlign w:val="center"/>
          </w:tcPr>
          <w:p w14:paraId="4635CFB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《建设项目环境保护管理条例》</w:t>
            </w:r>
          </w:p>
        </w:tc>
        <w:tc>
          <w:tcPr>
            <w:tcW w:w="2337" w:type="dxa"/>
            <w:tcBorders>
              <w:tl2br w:val="nil"/>
              <w:tr2bl w:val="nil"/>
            </w:tcBorders>
            <w:vAlign w:val="center"/>
          </w:tcPr>
          <w:p w14:paraId="6949B4E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国务院令第682号</w:t>
            </w:r>
          </w:p>
        </w:tc>
        <w:tc>
          <w:tcPr>
            <w:tcW w:w="1174" w:type="dxa"/>
            <w:tcBorders>
              <w:tl2br w:val="nil"/>
              <w:tr2bl w:val="nil"/>
            </w:tcBorders>
            <w:vAlign w:val="center"/>
          </w:tcPr>
          <w:p w14:paraId="696F503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2017-10-01</w:t>
            </w:r>
          </w:p>
        </w:tc>
      </w:tr>
      <w:tr w14:paraId="59564AA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4B50A22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4464" w:type="dxa"/>
            <w:tcBorders>
              <w:tl2br w:val="nil"/>
              <w:tr2bl w:val="nil"/>
            </w:tcBorders>
            <w:vAlign w:val="center"/>
          </w:tcPr>
          <w:p w14:paraId="5C0C935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《中华人民共和国野生植物保护条例》</w:t>
            </w:r>
          </w:p>
        </w:tc>
        <w:tc>
          <w:tcPr>
            <w:tcW w:w="2337" w:type="dxa"/>
            <w:tcBorders>
              <w:tl2br w:val="nil"/>
              <w:tr2bl w:val="nil"/>
            </w:tcBorders>
            <w:vAlign w:val="center"/>
          </w:tcPr>
          <w:p w14:paraId="1F954AC3">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国务院令第687号</w:t>
            </w:r>
          </w:p>
        </w:tc>
        <w:tc>
          <w:tcPr>
            <w:tcW w:w="1174" w:type="dxa"/>
            <w:tcBorders>
              <w:tl2br w:val="nil"/>
              <w:tr2bl w:val="nil"/>
            </w:tcBorders>
            <w:vAlign w:val="center"/>
          </w:tcPr>
          <w:p w14:paraId="101384F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2017-10-07</w:t>
            </w:r>
          </w:p>
        </w:tc>
      </w:tr>
      <w:tr w14:paraId="370E58F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9BB836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4464" w:type="dxa"/>
            <w:tcBorders>
              <w:tl2br w:val="nil"/>
              <w:tr2bl w:val="nil"/>
            </w:tcBorders>
            <w:vAlign w:val="center"/>
          </w:tcPr>
          <w:p w14:paraId="4545F802">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《地质灾害防治条例》</w:t>
            </w:r>
          </w:p>
        </w:tc>
        <w:tc>
          <w:tcPr>
            <w:tcW w:w="2337" w:type="dxa"/>
            <w:tcBorders>
              <w:tl2br w:val="nil"/>
              <w:tr2bl w:val="nil"/>
            </w:tcBorders>
            <w:vAlign w:val="center"/>
          </w:tcPr>
          <w:p w14:paraId="217D2A7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国务院令第394号</w:t>
            </w:r>
          </w:p>
        </w:tc>
        <w:tc>
          <w:tcPr>
            <w:tcW w:w="1174" w:type="dxa"/>
            <w:tcBorders>
              <w:tl2br w:val="nil"/>
              <w:tr2bl w:val="nil"/>
            </w:tcBorders>
            <w:vAlign w:val="center"/>
          </w:tcPr>
          <w:p w14:paraId="48E85D1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2004-03-01</w:t>
            </w:r>
          </w:p>
        </w:tc>
      </w:tr>
      <w:tr w14:paraId="3AE10A6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6FAEE7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4464" w:type="dxa"/>
            <w:tcBorders>
              <w:tl2br w:val="nil"/>
              <w:tr2bl w:val="nil"/>
            </w:tcBorders>
            <w:vAlign w:val="center"/>
          </w:tcPr>
          <w:p w14:paraId="0A6912C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《中华人民共和国道路交通安全法实施条例》</w:t>
            </w:r>
          </w:p>
        </w:tc>
        <w:tc>
          <w:tcPr>
            <w:tcW w:w="2337" w:type="dxa"/>
            <w:tcBorders>
              <w:tl2br w:val="nil"/>
              <w:tr2bl w:val="nil"/>
            </w:tcBorders>
            <w:vAlign w:val="center"/>
          </w:tcPr>
          <w:p w14:paraId="333FA3F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国务院令第687号</w:t>
            </w:r>
          </w:p>
        </w:tc>
        <w:tc>
          <w:tcPr>
            <w:tcW w:w="1174" w:type="dxa"/>
            <w:tcBorders>
              <w:tl2br w:val="nil"/>
              <w:tr2bl w:val="nil"/>
            </w:tcBorders>
            <w:vAlign w:val="center"/>
          </w:tcPr>
          <w:p w14:paraId="2BB1A75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2017-10-07</w:t>
            </w:r>
          </w:p>
        </w:tc>
      </w:tr>
      <w:tr w14:paraId="2B4441C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4891BF5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4464" w:type="dxa"/>
            <w:tcBorders>
              <w:tl2br w:val="nil"/>
              <w:tr2bl w:val="nil"/>
            </w:tcBorders>
            <w:vAlign w:val="center"/>
          </w:tcPr>
          <w:p w14:paraId="3F16E83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《民用爆炸物品安全管理条例》</w:t>
            </w:r>
          </w:p>
        </w:tc>
        <w:tc>
          <w:tcPr>
            <w:tcW w:w="2337" w:type="dxa"/>
            <w:tcBorders>
              <w:tl2br w:val="nil"/>
              <w:tr2bl w:val="nil"/>
            </w:tcBorders>
            <w:vAlign w:val="center"/>
          </w:tcPr>
          <w:p w14:paraId="003B20F2">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国务院令第466号</w:t>
            </w:r>
          </w:p>
        </w:tc>
        <w:tc>
          <w:tcPr>
            <w:tcW w:w="1174" w:type="dxa"/>
            <w:tcBorders>
              <w:tl2br w:val="nil"/>
              <w:tr2bl w:val="nil"/>
            </w:tcBorders>
            <w:vAlign w:val="center"/>
          </w:tcPr>
          <w:p w14:paraId="3E47AFB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2006-09-01</w:t>
            </w:r>
          </w:p>
        </w:tc>
      </w:tr>
      <w:tr w14:paraId="0B85CD9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0CEC82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4464" w:type="dxa"/>
            <w:tcBorders>
              <w:tl2br w:val="nil"/>
              <w:tr2bl w:val="nil"/>
            </w:tcBorders>
            <w:shd w:val="clear" w:color="auto" w:fill="auto"/>
            <w:vAlign w:val="center"/>
          </w:tcPr>
          <w:p w14:paraId="220E158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《土地复垦条例》</w:t>
            </w:r>
          </w:p>
        </w:tc>
        <w:tc>
          <w:tcPr>
            <w:tcW w:w="2337" w:type="dxa"/>
            <w:tcBorders>
              <w:tl2br w:val="nil"/>
              <w:tr2bl w:val="nil"/>
            </w:tcBorders>
            <w:shd w:val="clear" w:color="auto" w:fill="auto"/>
            <w:vAlign w:val="center"/>
          </w:tcPr>
          <w:p w14:paraId="6C2388F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国务院令第592号</w:t>
            </w:r>
          </w:p>
        </w:tc>
        <w:tc>
          <w:tcPr>
            <w:tcW w:w="1174" w:type="dxa"/>
            <w:tcBorders>
              <w:tl2br w:val="nil"/>
              <w:tr2bl w:val="nil"/>
            </w:tcBorders>
            <w:shd w:val="clear" w:color="auto" w:fill="auto"/>
            <w:vAlign w:val="center"/>
          </w:tcPr>
          <w:p w14:paraId="418FEA9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2011-02-22</w:t>
            </w:r>
          </w:p>
        </w:tc>
      </w:tr>
      <w:tr w14:paraId="7D9334C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1870EB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4464" w:type="dxa"/>
            <w:tcBorders>
              <w:tl2br w:val="nil"/>
              <w:tr2bl w:val="nil"/>
            </w:tcBorders>
            <w:shd w:val="clear" w:color="auto" w:fill="auto"/>
            <w:vAlign w:val="center"/>
          </w:tcPr>
          <w:p w14:paraId="7368AEC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《土地复垦条例实施办法》</w:t>
            </w:r>
          </w:p>
        </w:tc>
        <w:tc>
          <w:tcPr>
            <w:tcW w:w="2337" w:type="dxa"/>
            <w:tcBorders>
              <w:tl2br w:val="nil"/>
              <w:tr2bl w:val="nil"/>
            </w:tcBorders>
            <w:shd w:val="clear" w:color="auto" w:fill="auto"/>
            <w:vAlign w:val="center"/>
          </w:tcPr>
          <w:p w14:paraId="125977F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国土资源部第56号令</w:t>
            </w:r>
          </w:p>
        </w:tc>
        <w:tc>
          <w:tcPr>
            <w:tcW w:w="1174" w:type="dxa"/>
            <w:tcBorders>
              <w:tl2br w:val="nil"/>
              <w:tr2bl w:val="nil"/>
            </w:tcBorders>
            <w:shd w:val="clear" w:color="auto" w:fill="auto"/>
            <w:vAlign w:val="center"/>
          </w:tcPr>
          <w:p w14:paraId="2C31226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2013-03-01</w:t>
            </w:r>
          </w:p>
        </w:tc>
      </w:tr>
      <w:tr w14:paraId="43F9412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F3ACE8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4464" w:type="dxa"/>
            <w:tcBorders>
              <w:tl2br w:val="nil"/>
              <w:tr2bl w:val="nil"/>
            </w:tcBorders>
            <w:shd w:val="clear" w:color="auto" w:fill="auto"/>
            <w:vAlign w:val="center"/>
          </w:tcPr>
          <w:p w14:paraId="6992228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《中华人民共和国矿山安全法实施条例》</w:t>
            </w:r>
          </w:p>
        </w:tc>
        <w:tc>
          <w:tcPr>
            <w:tcW w:w="2337" w:type="dxa"/>
            <w:tcBorders>
              <w:tl2br w:val="nil"/>
              <w:tr2bl w:val="nil"/>
            </w:tcBorders>
            <w:shd w:val="clear" w:color="auto" w:fill="auto"/>
            <w:vAlign w:val="center"/>
          </w:tcPr>
          <w:p w14:paraId="45E1A2D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劳动部令第4号</w:t>
            </w:r>
          </w:p>
        </w:tc>
        <w:tc>
          <w:tcPr>
            <w:tcW w:w="1174" w:type="dxa"/>
            <w:tcBorders>
              <w:tl2br w:val="nil"/>
              <w:tr2bl w:val="nil"/>
            </w:tcBorders>
            <w:shd w:val="clear" w:color="auto" w:fill="auto"/>
            <w:vAlign w:val="center"/>
          </w:tcPr>
          <w:p w14:paraId="5A092DB5">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1996-10-30</w:t>
            </w:r>
          </w:p>
        </w:tc>
      </w:tr>
      <w:tr w14:paraId="3FA3767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8CCC4D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4464" w:type="dxa"/>
            <w:tcBorders>
              <w:tl2br w:val="nil"/>
              <w:tr2bl w:val="nil"/>
            </w:tcBorders>
            <w:shd w:val="clear" w:color="auto" w:fill="auto"/>
            <w:vAlign w:val="center"/>
          </w:tcPr>
          <w:p w14:paraId="6A2A469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《危险化学品安全管理条例》</w:t>
            </w:r>
          </w:p>
        </w:tc>
        <w:tc>
          <w:tcPr>
            <w:tcW w:w="2337" w:type="dxa"/>
            <w:tcBorders>
              <w:tl2br w:val="nil"/>
              <w:tr2bl w:val="nil"/>
            </w:tcBorders>
            <w:shd w:val="clear" w:color="auto" w:fill="auto"/>
            <w:vAlign w:val="center"/>
          </w:tcPr>
          <w:p w14:paraId="453C4AE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国务院令第591号</w:t>
            </w:r>
          </w:p>
        </w:tc>
        <w:tc>
          <w:tcPr>
            <w:tcW w:w="1174" w:type="dxa"/>
            <w:tcBorders>
              <w:tl2br w:val="nil"/>
              <w:tr2bl w:val="nil"/>
            </w:tcBorders>
            <w:shd w:val="clear" w:color="auto" w:fill="auto"/>
            <w:vAlign w:val="center"/>
          </w:tcPr>
          <w:p w14:paraId="542C67A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2011-12-01</w:t>
            </w:r>
          </w:p>
        </w:tc>
      </w:tr>
      <w:tr w14:paraId="523C1E6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52AC8F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4464" w:type="dxa"/>
            <w:tcBorders>
              <w:tl2br w:val="nil"/>
              <w:tr2bl w:val="nil"/>
            </w:tcBorders>
            <w:shd w:val="clear" w:color="auto" w:fill="auto"/>
            <w:vAlign w:val="center"/>
          </w:tcPr>
          <w:p w14:paraId="2222C39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《中华人民共和国河道管理条例》</w:t>
            </w:r>
          </w:p>
        </w:tc>
        <w:tc>
          <w:tcPr>
            <w:tcW w:w="2337" w:type="dxa"/>
            <w:tcBorders>
              <w:tl2br w:val="nil"/>
              <w:tr2bl w:val="nil"/>
            </w:tcBorders>
            <w:shd w:val="clear" w:color="auto" w:fill="auto"/>
            <w:vAlign w:val="center"/>
          </w:tcPr>
          <w:p w14:paraId="74CD73D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国务院令第687号</w:t>
            </w:r>
          </w:p>
        </w:tc>
        <w:tc>
          <w:tcPr>
            <w:tcW w:w="1174" w:type="dxa"/>
            <w:tcBorders>
              <w:tl2br w:val="nil"/>
              <w:tr2bl w:val="nil"/>
            </w:tcBorders>
            <w:shd w:val="clear" w:color="auto" w:fill="auto"/>
            <w:vAlign w:val="center"/>
          </w:tcPr>
          <w:p w14:paraId="408D33C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w:t>
            </w:r>
            <w:r>
              <w:rPr>
                <w:rFonts w:hint="default"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03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19</w:t>
            </w:r>
          </w:p>
        </w:tc>
      </w:tr>
      <w:tr w14:paraId="31349E6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9AB3B9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w:t>
            </w:r>
          </w:p>
        </w:tc>
        <w:tc>
          <w:tcPr>
            <w:tcW w:w="4464" w:type="dxa"/>
            <w:tcBorders>
              <w:tl2br w:val="nil"/>
              <w:tr2bl w:val="nil"/>
            </w:tcBorders>
            <w:shd w:val="clear" w:color="auto" w:fill="auto"/>
            <w:vAlign w:val="center"/>
          </w:tcPr>
          <w:p w14:paraId="1546705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《中华人民共和国土地管理法实施条例》</w:t>
            </w:r>
          </w:p>
        </w:tc>
        <w:tc>
          <w:tcPr>
            <w:tcW w:w="2337" w:type="dxa"/>
            <w:tcBorders>
              <w:tl2br w:val="nil"/>
              <w:tr2bl w:val="nil"/>
            </w:tcBorders>
            <w:shd w:val="clear" w:color="auto" w:fill="auto"/>
            <w:vAlign w:val="center"/>
          </w:tcPr>
          <w:p w14:paraId="0AF2C8E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国务院令第653号</w:t>
            </w:r>
          </w:p>
        </w:tc>
        <w:tc>
          <w:tcPr>
            <w:tcW w:w="1174" w:type="dxa"/>
            <w:tcBorders>
              <w:tl2br w:val="nil"/>
              <w:tr2bl w:val="nil"/>
            </w:tcBorders>
            <w:shd w:val="clear" w:color="auto" w:fill="auto"/>
            <w:vAlign w:val="center"/>
          </w:tcPr>
          <w:p w14:paraId="5E8A12F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2014-07-29</w:t>
            </w:r>
          </w:p>
        </w:tc>
      </w:tr>
      <w:tr w14:paraId="18CD9DF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2F4ED2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4464" w:type="dxa"/>
            <w:tcBorders>
              <w:tl2br w:val="nil"/>
              <w:tr2bl w:val="nil"/>
            </w:tcBorders>
            <w:shd w:val="clear" w:color="auto" w:fill="auto"/>
            <w:vAlign w:val="center"/>
          </w:tcPr>
          <w:p w14:paraId="22C7880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《国务院关于加强环境保护重点工作的意见》</w:t>
            </w:r>
          </w:p>
        </w:tc>
        <w:tc>
          <w:tcPr>
            <w:tcW w:w="2337" w:type="dxa"/>
            <w:tcBorders>
              <w:tl2br w:val="nil"/>
              <w:tr2bl w:val="nil"/>
            </w:tcBorders>
            <w:shd w:val="clear" w:color="auto" w:fill="auto"/>
            <w:vAlign w:val="center"/>
          </w:tcPr>
          <w:p w14:paraId="7B6FA7D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国发〔2012〕35号</w:t>
            </w:r>
          </w:p>
        </w:tc>
        <w:tc>
          <w:tcPr>
            <w:tcW w:w="1174" w:type="dxa"/>
            <w:tcBorders>
              <w:tl2br w:val="nil"/>
              <w:tr2bl w:val="nil"/>
            </w:tcBorders>
            <w:shd w:val="clear" w:color="auto" w:fill="auto"/>
            <w:vAlign w:val="center"/>
          </w:tcPr>
          <w:p w14:paraId="4FFFB42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2011-10-17</w:t>
            </w:r>
          </w:p>
        </w:tc>
      </w:tr>
      <w:tr w14:paraId="0458E4B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D40884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w:t>
            </w:r>
          </w:p>
        </w:tc>
        <w:tc>
          <w:tcPr>
            <w:tcW w:w="4464" w:type="dxa"/>
            <w:tcBorders>
              <w:tl2br w:val="nil"/>
              <w:tr2bl w:val="nil"/>
            </w:tcBorders>
            <w:shd w:val="clear" w:color="auto" w:fill="auto"/>
            <w:vAlign w:val="center"/>
          </w:tcPr>
          <w:p w14:paraId="6181AEB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《国务院关于印发水污染防治行动计划的通知》</w:t>
            </w:r>
          </w:p>
        </w:tc>
        <w:tc>
          <w:tcPr>
            <w:tcW w:w="2337" w:type="dxa"/>
            <w:tcBorders>
              <w:tl2br w:val="nil"/>
              <w:tr2bl w:val="nil"/>
            </w:tcBorders>
            <w:shd w:val="clear" w:color="auto" w:fill="auto"/>
            <w:vAlign w:val="center"/>
          </w:tcPr>
          <w:p w14:paraId="58541C0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国发〔2015〕17号</w:t>
            </w:r>
          </w:p>
        </w:tc>
        <w:tc>
          <w:tcPr>
            <w:tcW w:w="1174" w:type="dxa"/>
            <w:tcBorders>
              <w:tl2br w:val="nil"/>
              <w:tr2bl w:val="nil"/>
            </w:tcBorders>
            <w:shd w:val="clear" w:color="auto" w:fill="auto"/>
            <w:vAlign w:val="center"/>
          </w:tcPr>
          <w:p w14:paraId="05393C9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2015-04-02</w:t>
            </w:r>
          </w:p>
        </w:tc>
      </w:tr>
      <w:tr w14:paraId="48E9039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AC2911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w:t>
            </w:r>
          </w:p>
        </w:tc>
        <w:tc>
          <w:tcPr>
            <w:tcW w:w="4464" w:type="dxa"/>
            <w:tcBorders>
              <w:tl2br w:val="nil"/>
              <w:tr2bl w:val="nil"/>
            </w:tcBorders>
            <w:shd w:val="clear" w:color="auto" w:fill="auto"/>
            <w:vAlign w:val="center"/>
          </w:tcPr>
          <w:p w14:paraId="1BD031A5">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《土壤污染源头防控行动计划》</w:t>
            </w:r>
          </w:p>
        </w:tc>
        <w:tc>
          <w:tcPr>
            <w:tcW w:w="2337" w:type="dxa"/>
            <w:tcBorders>
              <w:tl2br w:val="nil"/>
              <w:tr2bl w:val="nil"/>
            </w:tcBorders>
            <w:shd w:val="clear" w:color="auto" w:fill="auto"/>
            <w:vAlign w:val="center"/>
          </w:tcPr>
          <w:p w14:paraId="6860E7A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环土壤〔2024〕80号</w:t>
            </w:r>
          </w:p>
        </w:tc>
        <w:tc>
          <w:tcPr>
            <w:tcW w:w="1174" w:type="dxa"/>
            <w:tcBorders>
              <w:tl2br w:val="nil"/>
              <w:tr2bl w:val="nil"/>
            </w:tcBorders>
            <w:shd w:val="clear" w:color="auto" w:fill="auto"/>
            <w:vAlign w:val="center"/>
          </w:tcPr>
          <w:p w14:paraId="2EB55BF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r>
              <w:rPr>
                <w:rFonts w:hint="eastAsia"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06</w:t>
            </w:r>
          </w:p>
        </w:tc>
      </w:tr>
      <w:tr w14:paraId="4E5AD58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007C93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4464" w:type="dxa"/>
            <w:tcBorders>
              <w:tl2br w:val="nil"/>
              <w:tr2bl w:val="nil"/>
            </w:tcBorders>
            <w:shd w:val="clear" w:color="auto" w:fill="auto"/>
            <w:vAlign w:val="center"/>
          </w:tcPr>
          <w:p w14:paraId="7724782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eastAsia="zh-CN"/>
              </w:rPr>
              <w:t>《中共中央办公厅 国务院办公厅</w:t>
            </w:r>
            <w:r>
              <w:rPr>
                <w:rFonts w:hint="default" w:ascii="Times New Roman" w:hAnsi="Times New Roman" w:cs="Times New Roman"/>
                <w:color w:val="auto"/>
                <w:sz w:val="21"/>
                <w:szCs w:val="21"/>
                <w:highlight w:val="none"/>
              </w:rPr>
              <w:t>印发关于划定并严守生态保护红线的若干意见》</w:t>
            </w:r>
          </w:p>
        </w:tc>
        <w:tc>
          <w:tcPr>
            <w:tcW w:w="2337" w:type="dxa"/>
            <w:tcBorders>
              <w:tl2br w:val="nil"/>
              <w:tr2bl w:val="nil"/>
            </w:tcBorders>
            <w:shd w:val="clear" w:color="auto" w:fill="auto"/>
            <w:vAlign w:val="center"/>
          </w:tcPr>
          <w:p w14:paraId="7E68169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1174" w:type="dxa"/>
            <w:tcBorders>
              <w:tl2br w:val="nil"/>
              <w:tr2bl w:val="nil"/>
            </w:tcBorders>
            <w:shd w:val="clear" w:color="auto" w:fill="auto"/>
            <w:vAlign w:val="center"/>
          </w:tcPr>
          <w:p w14:paraId="590B539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2017-02-07</w:t>
            </w:r>
          </w:p>
        </w:tc>
      </w:tr>
      <w:tr w14:paraId="528B461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6663A5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w:t>
            </w:r>
          </w:p>
        </w:tc>
        <w:tc>
          <w:tcPr>
            <w:tcW w:w="4464" w:type="dxa"/>
            <w:tcBorders>
              <w:tl2br w:val="nil"/>
              <w:tr2bl w:val="nil"/>
            </w:tcBorders>
            <w:shd w:val="clear" w:color="auto" w:fill="auto"/>
            <w:vAlign w:val="center"/>
          </w:tcPr>
          <w:p w14:paraId="3873182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《地下水管理条例》</w:t>
            </w:r>
          </w:p>
        </w:tc>
        <w:tc>
          <w:tcPr>
            <w:tcW w:w="2337" w:type="dxa"/>
            <w:tcBorders>
              <w:tl2br w:val="nil"/>
              <w:tr2bl w:val="nil"/>
            </w:tcBorders>
            <w:shd w:val="clear" w:color="auto" w:fill="auto"/>
            <w:vAlign w:val="center"/>
          </w:tcPr>
          <w:p w14:paraId="1307702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国务院令第748号</w:t>
            </w:r>
          </w:p>
        </w:tc>
        <w:tc>
          <w:tcPr>
            <w:tcW w:w="1174" w:type="dxa"/>
            <w:tcBorders>
              <w:tl2br w:val="nil"/>
              <w:tr2bl w:val="nil"/>
            </w:tcBorders>
            <w:shd w:val="clear" w:color="auto" w:fill="auto"/>
            <w:vAlign w:val="center"/>
          </w:tcPr>
          <w:p w14:paraId="376E4A4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2021-12-01</w:t>
            </w:r>
          </w:p>
        </w:tc>
      </w:tr>
      <w:tr w14:paraId="6839E86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675F558">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w:t>
            </w:r>
          </w:p>
        </w:tc>
        <w:tc>
          <w:tcPr>
            <w:tcW w:w="4464" w:type="dxa"/>
            <w:tcBorders>
              <w:tl2br w:val="nil"/>
              <w:tr2bl w:val="nil"/>
            </w:tcBorders>
            <w:shd w:val="clear" w:color="auto" w:fill="auto"/>
            <w:vAlign w:val="center"/>
          </w:tcPr>
          <w:p w14:paraId="75D488A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《国务院关于全面加强生态环境保护坚决打好污染防治攻坚战的意见》</w:t>
            </w:r>
          </w:p>
        </w:tc>
        <w:tc>
          <w:tcPr>
            <w:tcW w:w="2337" w:type="dxa"/>
            <w:tcBorders>
              <w:tl2br w:val="nil"/>
              <w:tr2bl w:val="nil"/>
            </w:tcBorders>
            <w:shd w:val="clear" w:color="auto" w:fill="auto"/>
            <w:vAlign w:val="center"/>
          </w:tcPr>
          <w:p w14:paraId="61060BE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中共中央、国务院发布</w:t>
            </w:r>
          </w:p>
        </w:tc>
        <w:tc>
          <w:tcPr>
            <w:tcW w:w="1174" w:type="dxa"/>
            <w:tcBorders>
              <w:tl2br w:val="nil"/>
              <w:tr2bl w:val="nil"/>
            </w:tcBorders>
            <w:shd w:val="clear" w:color="auto" w:fill="auto"/>
            <w:vAlign w:val="center"/>
          </w:tcPr>
          <w:p w14:paraId="7A16B9F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2018-06-16</w:t>
            </w:r>
          </w:p>
        </w:tc>
      </w:tr>
      <w:tr w14:paraId="1BB50D8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5FDB23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三</w:t>
            </w:r>
          </w:p>
        </w:tc>
        <w:tc>
          <w:tcPr>
            <w:tcW w:w="7975" w:type="dxa"/>
            <w:gridSpan w:val="3"/>
            <w:tcBorders>
              <w:tl2br w:val="nil"/>
              <w:tr2bl w:val="nil"/>
            </w:tcBorders>
            <w:vAlign w:val="center"/>
          </w:tcPr>
          <w:p w14:paraId="179ED00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部门规章与部门发布的规范性文件</w:t>
            </w:r>
          </w:p>
        </w:tc>
      </w:tr>
      <w:tr w14:paraId="772E216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461698F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4464" w:type="dxa"/>
            <w:tcBorders>
              <w:tl2br w:val="nil"/>
              <w:tr2bl w:val="nil"/>
            </w:tcBorders>
            <w:vAlign w:val="center"/>
          </w:tcPr>
          <w:p w14:paraId="2B3A83C3">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《关于进一步加强企业安全生产工作的通知》</w:t>
            </w:r>
          </w:p>
        </w:tc>
        <w:tc>
          <w:tcPr>
            <w:tcW w:w="2337" w:type="dxa"/>
            <w:tcBorders>
              <w:tl2br w:val="nil"/>
              <w:tr2bl w:val="nil"/>
            </w:tcBorders>
            <w:vAlign w:val="center"/>
          </w:tcPr>
          <w:p w14:paraId="17EC58D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国发〔2010〕23号</w:t>
            </w:r>
          </w:p>
        </w:tc>
        <w:tc>
          <w:tcPr>
            <w:tcW w:w="1174" w:type="dxa"/>
            <w:tcBorders>
              <w:tl2br w:val="nil"/>
              <w:tr2bl w:val="nil"/>
            </w:tcBorders>
            <w:vAlign w:val="center"/>
          </w:tcPr>
          <w:p w14:paraId="4E473C5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2010-07-19</w:t>
            </w:r>
          </w:p>
        </w:tc>
      </w:tr>
      <w:tr w14:paraId="7D8C870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12D91D7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4464" w:type="dxa"/>
            <w:tcBorders>
              <w:tl2br w:val="nil"/>
              <w:tr2bl w:val="nil"/>
            </w:tcBorders>
            <w:vAlign w:val="center"/>
          </w:tcPr>
          <w:p w14:paraId="47FC90F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《国务院关于加强节能工作的决定》</w:t>
            </w:r>
          </w:p>
        </w:tc>
        <w:tc>
          <w:tcPr>
            <w:tcW w:w="2337" w:type="dxa"/>
            <w:tcBorders>
              <w:tl2br w:val="nil"/>
              <w:tr2bl w:val="nil"/>
            </w:tcBorders>
            <w:vAlign w:val="center"/>
          </w:tcPr>
          <w:p w14:paraId="4EB5DEB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国发〔2006〕28号</w:t>
            </w:r>
          </w:p>
        </w:tc>
        <w:tc>
          <w:tcPr>
            <w:tcW w:w="1174" w:type="dxa"/>
            <w:tcBorders>
              <w:tl2br w:val="nil"/>
              <w:tr2bl w:val="nil"/>
            </w:tcBorders>
            <w:vAlign w:val="center"/>
          </w:tcPr>
          <w:p w14:paraId="26991D6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2006-08-06</w:t>
            </w:r>
          </w:p>
        </w:tc>
      </w:tr>
      <w:tr w14:paraId="5B730C0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C6A393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4464" w:type="dxa"/>
            <w:tcBorders>
              <w:tl2br w:val="nil"/>
              <w:tr2bl w:val="nil"/>
            </w:tcBorders>
            <w:vAlign w:val="center"/>
          </w:tcPr>
          <w:p w14:paraId="6753B962">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《国务院关于落实科学发展观加强环境保护的决定》</w:t>
            </w:r>
          </w:p>
        </w:tc>
        <w:tc>
          <w:tcPr>
            <w:tcW w:w="2337" w:type="dxa"/>
            <w:tcBorders>
              <w:tl2br w:val="nil"/>
              <w:tr2bl w:val="nil"/>
            </w:tcBorders>
            <w:vAlign w:val="center"/>
          </w:tcPr>
          <w:p w14:paraId="60D8F8F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国发〔2005〕39号</w:t>
            </w:r>
          </w:p>
        </w:tc>
        <w:tc>
          <w:tcPr>
            <w:tcW w:w="1174" w:type="dxa"/>
            <w:tcBorders>
              <w:tl2br w:val="nil"/>
              <w:tr2bl w:val="nil"/>
            </w:tcBorders>
            <w:vAlign w:val="center"/>
          </w:tcPr>
          <w:p w14:paraId="6222116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2005-12-03</w:t>
            </w:r>
          </w:p>
        </w:tc>
      </w:tr>
      <w:tr w14:paraId="50327C5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5D1565A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4464" w:type="dxa"/>
            <w:tcBorders>
              <w:tl2br w:val="nil"/>
              <w:tr2bl w:val="nil"/>
            </w:tcBorders>
            <w:shd w:val="clear" w:color="auto" w:fill="auto"/>
            <w:vAlign w:val="center"/>
          </w:tcPr>
          <w:p w14:paraId="2D645A8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《建设项目环境影响评价分类管理名录》</w:t>
            </w:r>
          </w:p>
        </w:tc>
        <w:tc>
          <w:tcPr>
            <w:tcW w:w="2337" w:type="dxa"/>
            <w:tcBorders>
              <w:tl2br w:val="nil"/>
              <w:tr2bl w:val="nil"/>
            </w:tcBorders>
            <w:shd w:val="clear" w:color="auto" w:fill="auto"/>
            <w:vAlign w:val="center"/>
          </w:tcPr>
          <w:p w14:paraId="1756E3C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生态环境部令第16号</w:t>
            </w:r>
          </w:p>
        </w:tc>
        <w:tc>
          <w:tcPr>
            <w:tcW w:w="1174" w:type="dxa"/>
            <w:tcBorders>
              <w:tl2br w:val="nil"/>
              <w:tr2bl w:val="nil"/>
            </w:tcBorders>
            <w:shd w:val="clear" w:color="auto" w:fill="auto"/>
            <w:vAlign w:val="center"/>
          </w:tcPr>
          <w:p w14:paraId="3E85236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2021-01-01</w:t>
            </w:r>
          </w:p>
        </w:tc>
      </w:tr>
      <w:tr w14:paraId="2B9E216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E13D6F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4464" w:type="dxa"/>
            <w:tcBorders>
              <w:tl2br w:val="nil"/>
              <w:tr2bl w:val="nil"/>
            </w:tcBorders>
            <w:shd w:val="clear" w:color="auto" w:fill="auto"/>
            <w:vAlign w:val="center"/>
          </w:tcPr>
          <w:p w14:paraId="651D3DA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《关于加强环境影响评价管理防范环境风险的通知》</w:t>
            </w:r>
          </w:p>
        </w:tc>
        <w:tc>
          <w:tcPr>
            <w:tcW w:w="2337" w:type="dxa"/>
            <w:tcBorders>
              <w:tl2br w:val="nil"/>
              <w:tr2bl w:val="nil"/>
            </w:tcBorders>
            <w:shd w:val="clear" w:color="auto" w:fill="auto"/>
            <w:vAlign w:val="center"/>
          </w:tcPr>
          <w:p w14:paraId="7304DB4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环发〔2005〕152号</w:t>
            </w:r>
          </w:p>
        </w:tc>
        <w:tc>
          <w:tcPr>
            <w:tcW w:w="1174" w:type="dxa"/>
            <w:tcBorders>
              <w:tl2br w:val="nil"/>
              <w:tr2bl w:val="nil"/>
            </w:tcBorders>
            <w:shd w:val="clear" w:color="auto" w:fill="auto"/>
            <w:vAlign w:val="center"/>
          </w:tcPr>
          <w:p w14:paraId="0972163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2006-01-13</w:t>
            </w:r>
          </w:p>
        </w:tc>
      </w:tr>
      <w:tr w14:paraId="5F30AFD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373348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4464" w:type="dxa"/>
            <w:tcBorders>
              <w:tl2br w:val="nil"/>
              <w:tr2bl w:val="nil"/>
            </w:tcBorders>
            <w:shd w:val="clear" w:color="auto" w:fill="auto"/>
            <w:vAlign w:val="center"/>
          </w:tcPr>
          <w:p w14:paraId="6B8519C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《全国生态脆弱区保护规划纲要》</w:t>
            </w:r>
          </w:p>
        </w:tc>
        <w:tc>
          <w:tcPr>
            <w:tcW w:w="2337" w:type="dxa"/>
            <w:tcBorders>
              <w:tl2br w:val="nil"/>
              <w:tr2bl w:val="nil"/>
            </w:tcBorders>
            <w:shd w:val="clear" w:color="auto" w:fill="auto"/>
            <w:vAlign w:val="center"/>
          </w:tcPr>
          <w:p w14:paraId="2351AF1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环发〔2008〕92号</w:t>
            </w:r>
          </w:p>
        </w:tc>
        <w:tc>
          <w:tcPr>
            <w:tcW w:w="1174" w:type="dxa"/>
            <w:tcBorders>
              <w:tl2br w:val="nil"/>
              <w:tr2bl w:val="nil"/>
            </w:tcBorders>
            <w:shd w:val="clear" w:color="auto" w:fill="auto"/>
            <w:vAlign w:val="center"/>
          </w:tcPr>
          <w:p w14:paraId="3C41198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2008-09-27</w:t>
            </w:r>
          </w:p>
        </w:tc>
      </w:tr>
      <w:tr w14:paraId="45996C4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A353C28">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4464" w:type="dxa"/>
            <w:tcBorders>
              <w:tl2br w:val="nil"/>
              <w:tr2bl w:val="nil"/>
            </w:tcBorders>
            <w:shd w:val="clear" w:color="auto" w:fill="auto"/>
            <w:vAlign w:val="center"/>
          </w:tcPr>
          <w:p w14:paraId="11C3FE1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《全国生态功能区划（修编版）》</w:t>
            </w:r>
          </w:p>
        </w:tc>
        <w:tc>
          <w:tcPr>
            <w:tcW w:w="2337" w:type="dxa"/>
            <w:tcBorders>
              <w:tl2br w:val="nil"/>
              <w:tr2bl w:val="nil"/>
            </w:tcBorders>
            <w:shd w:val="clear" w:color="auto" w:fill="auto"/>
            <w:vAlign w:val="center"/>
          </w:tcPr>
          <w:p w14:paraId="2E771FB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环保部公告2015年第61号</w:t>
            </w:r>
          </w:p>
        </w:tc>
        <w:tc>
          <w:tcPr>
            <w:tcW w:w="1174" w:type="dxa"/>
            <w:tcBorders>
              <w:tl2br w:val="nil"/>
              <w:tr2bl w:val="nil"/>
            </w:tcBorders>
            <w:shd w:val="clear" w:color="auto" w:fill="auto"/>
            <w:vAlign w:val="center"/>
          </w:tcPr>
          <w:p w14:paraId="777235F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2015-11-13</w:t>
            </w:r>
          </w:p>
        </w:tc>
      </w:tr>
      <w:tr w14:paraId="7E553CC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5175677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4464" w:type="dxa"/>
            <w:tcBorders>
              <w:tl2br w:val="nil"/>
              <w:tr2bl w:val="nil"/>
            </w:tcBorders>
            <w:shd w:val="clear" w:color="auto" w:fill="auto"/>
            <w:vAlign w:val="center"/>
          </w:tcPr>
          <w:p w14:paraId="1968612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《关于加强河流污染防治</w:t>
            </w:r>
            <w:r>
              <w:rPr>
                <w:rFonts w:hint="eastAsia" w:cs="Times New Roman"/>
                <w:color w:val="auto"/>
                <w:sz w:val="21"/>
                <w:szCs w:val="21"/>
                <w:highlight w:val="none"/>
                <w:lang w:eastAsia="zh-CN"/>
              </w:rPr>
              <w:t>工作</w:t>
            </w:r>
            <w:r>
              <w:rPr>
                <w:rFonts w:hint="default" w:ascii="Times New Roman" w:hAnsi="Times New Roman" w:cs="Times New Roman"/>
                <w:color w:val="auto"/>
                <w:sz w:val="21"/>
                <w:szCs w:val="21"/>
                <w:highlight w:val="none"/>
              </w:rPr>
              <w:t>的通知》</w:t>
            </w:r>
          </w:p>
        </w:tc>
        <w:tc>
          <w:tcPr>
            <w:tcW w:w="2337" w:type="dxa"/>
            <w:tcBorders>
              <w:tl2br w:val="nil"/>
              <w:tr2bl w:val="nil"/>
            </w:tcBorders>
            <w:shd w:val="clear" w:color="auto" w:fill="auto"/>
            <w:vAlign w:val="center"/>
          </w:tcPr>
          <w:p w14:paraId="0C4C832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环发〔2007〕201号</w:t>
            </w:r>
          </w:p>
        </w:tc>
        <w:tc>
          <w:tcPr>
            <w:tcW w:w="1174" w:type="dxa"/>
            <w:tcBorders>
              <w:tl2br w:val="nil"/>
              <w:tr2bl w:val="nil"/>
            </w:tcBorders>
            <w:shd w:val="clear" w:color="auto" w:fill="auto"/>
            <w:vAlign w:val="center"/>
          </w:tcPr>
          <w:p w14:paraId="1C2A4AF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2007-12-29</w:t>
            </w:r>
          </w:p>
        </w:tc>
      </w:tr>
      <w:tr w14:paraId="36357FD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76060E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4464" w:type="dxa"/>
            <w:tcBorders>
              <w:tl2br w:val="nil"/>
              <w:tr2bl w:val="nil"/>
            </w:tcBorders>
            <w:shd w:val="clear" w:color="auto" w:fill="auto"/>
            <w:vAlign w:val="center"/>
          </w:tcPr>
          <w:p w14:paraId="0868EB7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《关于加强国家重点生态功能区环境保护和管理的意见》</w:t>
            </w:r>
          </w:p>
        </w:tc>
        <w:tc>
          <w:tcPr>
            <w:tcW w:w="2337" w:type="dxa"/>
            <w:tcBorders>
              <w:tl2br w:val="nil"/>
              <w:tr2bl w:val="nil"/>
            </w:tcBorders>
            <w:shd w:val="clear" w:color="auto" w:fill="auto"/>
            <w:vAlign w:val="center"/>
          </w:tcPr>
          <w:p w14:paraId="608B951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环发〔2013〕16号</w:t>
            </w:r>
          </w:p>
        </w:tc>
        <w:tc>
          <w:tcPr>
            <w:tcW w:w="1174" w:type="dxa"/>
            <w:tcBorders>
              <w:tl2br w:val="nil"/>
              <w:tr2bl w:val="nil"/>
            </w:tcBorders>
            <w:shd w:val="clear" w:color="auto" w:fill="auto"/>
            <w:vAlign w:val="center"/>
          </w:tcPr>
          <w:p w14:paraId="373A088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2013-01-22</w:t>
            </w:r>
          </w:p>
        </w:tc>
      </w:tr>
      <w:tr w14:paraId="05BB34A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F6AC80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4464" w:type="dxa"/>
            <w:tcBorders>
              <w:tl2br w:val="nil"/>
              <w:tr2bl w:val="nil"/>
            </w:tcBorders>
            <w:shd w:val="clear" w:color="auto" w:fill="auto"/>
            <w:vAlign w:val="center"/>
          </w:tcPr>
          <w:p w14:paraId="58CC3E18">
            <w:pPr>
              <w:spacing w:before="0" w:beforeAutospacing="0" w:line="360" w:lineRule="exact"/>
              <w:ind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《关于切实加强风险防范严格环境影响评价管理的通知》</w:t>
            </w:r>
          </w:p>
        </w:tc>
        <w:tc>
          <w:tcPr>
            <w:tcW w:w="2337" w:type="dxa"/>
            <w:tcBorders>
              <w:tl2br w:val="nil"/>
              <w:tr2bl w:val="nil"/>
            </w:tcBorders>
            <w:shd w:val="clear" w:color="auto" w:fill="auto"/>
            <w:vAlign w:val="center"/>
          </w:tcPr>
          <w:p w14:paraId="6E799CA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环发〔2012〕98号</w:t>
            </w:r>
          </w:p>
        </w:tc>
        <w:tc>
          <w:tcPr>
            <w:tcW w:w="1174" w:type="dxa"/>
            <w:tcBorders>
              <w:tl2br w:val="nil"/>
              <w:tr2bl w:val="nil"/>
            </w:tcBorders>
            <w:shd w:val="clear" w:color="auto" w:fill="auto"/>
            <w:vAlign w:val="center"/>
          </w:tcPr>
          <w:p w14:paraId="097685F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2012-08-07</w:t>
            </w:r>
          </w:p>
        </w:tc>
      </w:tr>
      <w:tr w14:paraId="073625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646EFC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w:t>
            </w:r>
          </w:p>
        </w:tc>
        <w:tc>
          <w:tcPr>
            <w:tcW w:w="4464" w:type="dxa"/>
            <w:tcBorders>
              <w:tl2br w:val="nil"/>
              <w:tr2bl w:val="nil"/>
            </w:tcBorders>
            <w:shd w:val="clear" w:color="auto" w:fill="auto"/>
            <w:vAlign w:val="center"/>
          </w:tcPr>
          <w:p w14:paraId="0055BA2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《矿山生态环境保护与污染防治技术政策》</w:t>
            </w:r>
          </w:p>
        </w:tc>
        <w:tc>
          <w:tcPr>
            <w:tcW w:w="2337" w:type="dxa"/>
            <w:tcBorders>
              <w:tl2br w:val="nil"/>
              <w:tr2bl w:val="nil"/>
            </w:tcBorders>
            <w:shd w:val="clear" w:color="auto" w:fill="auto"/>
            <w:vAlign w:val="center"/>
          </w:tcPr>
          <w:p w14:paraId="64F327B5">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环发〔2005〕109号</w:t>
            </w:r>
          </w:p>
        </w:tc>
        <w:tc>
          <w:tcPr>
            <w:tcW w:w="1174" w:type="dxa"/>
            <w:tcBorders>
              <w:tl2br w:val="nil"/>
              <w:tr2bl w:val="nil"/>
            </w:tcBorders>
            <w:shd w:val="clear" w:color="auto" w:fill="auto"/>
            <w:vAlign w:val="center"/>
          </w:tcPr>
          <w:p w14:paraId="57DC50A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2005-09-07</w:t>
            </w:r>
          </w:p>
        </w:tc>
      </w:tr>
      <w:tr w14:paraId="5627E0E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320" w:hRule="atLeast"/>
          <w:jc w:val="center"/>
        </w:trPr>
        <w:tc>
          <w:tcPr>
            <w:tcW w:w="448" w:type="dxa"/>
            <w:tcBorders>
              <w:tl2br w:val="nil"/>
              <w:tr2bl w:val="nil"/>
            </w:tcBorders>
            <w:vAlign w:val="center"/>
          </w:tcPr>
          <w:p w14:paraId="4669BD7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4464" w:type="dxa"/>
            <w:tcBorders>
              <w:tl2br w:val="nil"/>
              <w:tr2bl w:val="nil"/>
            </w:tcBorders>
            <w:shd w:val="clear" w:color="auto" w:fill="auto"/>
            <w:vAlign w:val="center"/>
          </w:tcPr>
          <w:p w14:paraId="23A4BFB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《建设项目环境影响评价政府信息公开指南（试行）》</w:t>
            </w:r>
          </w:p>
        </w:tc>
        <w:tc>
          <w:tcPr>
            <w:tcW w:w="2337" w:type="dxa"/>
            <w:tcBorders>
              <w:tl2br w:val="nil"/>
              <w:tr2bl w:val="nil"/>
            </w:tcBorders>
            <w:shd w:val="clear" w:color="auto" w:fill="auto"/>
            <w:vAlign w:val="center"/>
          </w:tcPr>
          <w:p w14:paraId="6C55030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环办〔2013〕103号</w:t>
            </w:r>
          </w:p>
        </w:tc>
        <w:tc>
          <w:tcPr>
            <w:tcW w:w="1174" w:type="dxa"/>
            <w:tcBorders>
              <w:tl2br w:val="nil"/>
              <w:tr2bl w:val="nil"/>
            </w:tcBorders>
            <w:shd w:val="clear" w:color="auto" w:fill="auto"/>
            <w:vAlign w:val="center"/>
          </w:tcPr>
          <w:p w14:paraId="2F3E3D0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2014-01-01</w:t>
            </w:r>
          </w:p>
        </w:tc>
      </w:tr>
      <w:tr w14:paraId="0EA3302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5DAD91F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w:t>
            </w:r>
          </w:p>
        </w:tc>
        <w:tc>
          <w:tcPr>
            <w:tcW w:w="4464" w:type="dxa"/>
            <w:tcBorders>
              <w:tl2br w:val="nil"/>
              <w:tr2bl w:val="nil"/>
            </w:tcBorders>
            <w:shd w:val="clear" w:color="auto" w:fill="auto"/>
            <w:vAlign w:val="center"/>
          </w:tcPr>
          <w:p w14:paraId="365EEE6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《产业结构调整指导目录（</w:t>
            </w:r>
            <w:r>
              <w:rPr>
                <w:rFonts w:hint="default" w:ascii="Times New Roman" w:hAnsi="Times New Roman" w:cs="Times New Roman"/>
                <w:color w:val="auto"/>
                <w:sz w:val="21"/>
                <w:szCs w:val="21"/>
                <w:highlight w:val="none"/>
                <w:lang w:val="en-US" w:eastAsia="zh-CN"/>
              </w:rPr>
              <w:t>2</w:t>
            </w:r>
            <w:r>
              <w:rPr>
                <w:rFonts w:hint="eastAsia"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年本）》</w:t>
            </w:r>
          </w:p>
        </w:tc>
        <w:tc>
          <w:tcPr>
            <w:tcW w:w="2337" w:type="dxa"/>
            <w:tcBorders>
              <w:tl2br w:val="nil"/>
              <w:tr2bl w:val="nil"/>
            </w:tcBorders>
            <w:shd w:val="clear" w:color="auto" w:fill="auto"/>
            <w:vAlign w:val="center"/>
          </w:tcPr>
          <w:p w14:paraId="09AE036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国家发展和改革委员会第</w:t>
            </w:r>
            <w:r>
              <w:rPr>
                <w:rFonts w:hint="default"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号</w:t>
            </w:r>
          </w:p>
        </w:tc>
        <w:tc>
          <w:tcPr>
            <w:tcW w:w="1174" w:type="dxa"/>
            <w:tcBorders>
              <w:tl2br w:val="nil"/>
              <w:tr2bl w:val="nil"/>
            </w:tcBorders>
            <w:shd w:val="clear" w:color="auto" w:fill="auto"/>
            <w:vAlign w:val="center"/>
          </w:tcPr>
          <w:p w14:paraId="57930EA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w:t>
            </w: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en-US" w:eastAsia="zh-CN"/>
              </w:rPr>
              <w:t>1</w:t>
            </w:r>
          </w:p>
        </w:tc>
      </w:tr>
      <w:tr w14:paraId="754D85B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594DEA8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w:t>
            </w:r>
          </w:p>
        </w:tc>
        <w:tc>
          <w:tcPr>
            <w:tcW w:w="4464" w:type="dxa"/>
            <w:tcBorders>
              <w:tl2br w:val="nil"/>
              <w:tr2bl w:val="nil"/>
            </w:tcBorders>
            <w:shd w:val="clear" w:color="auto" w:fill="auto"/>
            <w:vAlign w:val="center"/>
          </w:tcPr>
          <w:p w14:paraId="5A1BFC3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《国家危险废物名录（202</w:t>
            </w:r>
            <w:r>
              <w:rPr>
                <w:rFonts w:hint="default"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版）》</w:t>
            </w:r>
          </w:p>
        </w:tc>
        <w:tc>
          <w:tcPr>
            <w:tcW w:w="2337" w:type="dxa"/>
            <w:tcBorders>
              <w:tl2br w:val="nil"/>
              <w:tr2bl w:val="nil"/>
            </w:tcBorders>
            <w:shd w:val="clear" w:color="auto" w:fill="auto"/>
            <w:vAlign w:val="center"/>
          </w:tcPr>
          <w:p w14:paraId="2E7DC3E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生态环境部、国家发展和改革委员会、公安部、交通运输部、国家卫生健康委员会令第36号</w:t>
            </w:r>
          </w:p>
        </w:tc>
        <w:tc>
          <w:tcPr>
            <w:tcW w:w="1174" w:type="dxa"/>
            <w:tcBorders>
              <w:tl2br w:val="nil"/>
              <w:tr2bl w:val="nil"/>
            </w:tcBorders>
            <w:shd w:val="clear" w:color="auto" w:fill="auto"/>
            <w:vAlign w:val="center"/>
          </w:tcPr>
          <w:p w14:paraId="69EF610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w:t>
            </w:r>
            <w:r>
              <w:rPr>
                <w:rFonts w:hint="default"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val="en-US" w:eastAsia="zh-CN"/>
              </w:rPr>
              <w:t>1</w:t>
            </w:r>
          </w:p>
        </w:tc>
      </w:tr>
      <w:tr w14:paraId="065F0EE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111D814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4464" w:type="dxa"/>
            <w:tcBorders>
              <w:tl2br w:val="nil"/>
              <w:tr2bl w:val="nil"/>
            </w:tcBorders>
            <w:shd w:val="clear" w:color="auto" w:fill="auto"/>
            <w:vAlign w:val="center"/>
          </w:tcPr>
          <w:p w14:paraId="00E32345">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《危险废物转移管理办法》</w:t>
            </w:r>
          </w:p>
        </w:tc>
        <w:tc>
          <w:tcPr>
            <w:tcW w:w="2337" w:type="dxa"/>
            <w:tcBorders>
              <w:tl2br w:val="nil"/>
              <w:tr2bl w:val="nil"/>
            </w:tcBorders>
            <w:shd w:val="clear" w:color="auto" w:fill="auto"/>
            <w:vAlign w:val="center"/>
          </w:tcPr>
          <w:p w14:paraId="5205434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生态环境部、公安部、交通运输部令第23号</w:t>
            </w:r>
          </w:p>
        </w:tc>
        <w:tc>
          <w:tcPr>
            <w:tcW w:w="1174" w:type="dxa"/>
            <w:tcBorders>
              <w:tl2br w:val="nil"/>
              <w:tr2bl w:val="nil"/>
            </w:tcBorders>
            <w:shd w:val="clear" w:color="auto" w:fill="auto"/>
            <w:vAlign w:val="center"/>
          </w:tcPr>
          <w:p w14:paraId="51E422D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2022-01-01</w:t>
            </w:r>
          </w:p>
        </w:tc>
      </w:tr>
      <w:tr w14:paraId="58F4404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C49F73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w:t>
            </w:r>
          </w:p>
        </w:tc>
        <w:tc>
          <w:tcPr>
            <w:tcW w:w="4464" w:type="dxa"/>
            <w:tcBorders>
              <w:tl2br w:val="nil"/>
              <w:tr2bl w:val="nil"/>
            </w:tcBorders>
            <w:shd w:val="clear" w:color="auto" w:fill="auto"/>
            <w:vAlign w:val="center"/>
          </w:tcPr>
          <w:p w14:paraId="1C113D9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《关于进一步加强环境影响评价管理防范环境风险的通知》</w:t>
            </w:r>
          </w:p>
        </w:tc>
        <w:tc>
          <w:tcPr>
            <w:tcW w:w="2337" w:type="dxa"/>
            <w:tcBorders>
              <w:tl2br w:val="nil"/>
              <w:tr2bl w:val="nil"/>
            </w:tcBorders>
            <w:shd w:val="clear" w:color="auto" w:fill="auto"/>
            <w:vAlign w:val="center"/>
          </w:tcPr>
          <w:p w14:paraId="19AE6C6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环发〔2012〕77号</w:t>
            </w:r>
          </w:p>
        </w:tc>
        <w:tc>
          <w:tcPr>
            <w:tcW w:w="1174" w:type="dxa"/>
            <w:tcBorders>
              <w:tl2br w:val="nil"/>
              <w:tr2bl w:val="nil"/>
            </w:tcBorders>
            <w:shd w:val="clear" w:color="auto" w:fill="auto"/>
            <w:vAlign w:val="center"/>
          </w:tcPr>
          <w:p w14:paraId="448DD3E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2012-07-03</w:t>
            </w:r>
          </w:p>
        </w:tc>
      </w:tr>
      <w:tr w14:paraId="63A0389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3772E23">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w:t>
            </w:r>
          </w:p>
        </w:tc>
        <w:tc>
          <w:tcPr>
            <w:tcW w:w="4464" w:type="dxa"/>
            <w:tcBorders>
              <w:tl2br w:val="nil"/>
              <w:tr2bl w:val="nil"/>
            </w:tcBorders>
            <w:shd w:val="clear" w:color="auto" w:fill="auto"/>
            <w:vAlign w:val="center"/>
          </w:tcPr>
          <w:p w14:paraId="353B2AE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《国家重点保护野生动物名录》</w:t>
            </w:r>
          </w:p>
        </w:tc>
        <w:tc>
          <w:tcPr>
            <w:tcW w:w="2337" w:type="dxa"/>
            <w:tcBorders>
              <w:tl2br w:val="nil"/>
              <w:tr2bl w:val="nil"/>
            </w:tcBorders>
            <w:shd w:val="clear" w:color="auto" w:fill="auto"/>
            <w:vAlign w:val="center"/>
          </w:tcPr>
          <w:p w14:paraId="27FB4F3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国家林业和草原局 农业农村部</w:t>
            </w:r>
          </w:p>
        </w:tc>
        <w:tc>
          <w:tcPr>
            <w:tcW w:w="1174" w:type="dxa"/>
            <w:tcBorders>
              <w:tl2br w:val="nil"/>
              <w:tr2bl w:val="nil"/>
            </w:tcBorders>
            <w:shd w:val="clear" w:color="auto" w:fill="auto"/>
            <w:vAlign w:val="center"/>
          </w:tcPr>
          <w:p w14:paraId="2B6D6DC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2021-02-05</w:t>
            </w:r>
          </w:p>
        </w:tc>
      </w:tr>
      <w:tr w14:paraId="672A22F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4F36867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w:t>
            </w:r>
          </w:p>
        </w:tc>
        <w:tc>
          <w:tcPr>
            <w:tcW w:w="4464" w:type="dxa"/>
            <w:tcBorders>
              <w:tl2br w:val="nil"/>
              <w:tr2bl w:val="nil"/>
            </w:tcBorders>
            <w:shd w:val="clear" w:color="auto" w:fill="auto"/>
            <w:vAlign w:val="center"/>
          </w:tcPr>
          <w:p w14:paraId="65B7D9A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《国家重点保护野生植物名录》</w:t>
            </w:r>
          </w:p>
        </w:tc>
        <w:tc>
          <w:tcPr>
            <w:tcW w:w="2337" w:type="dxa"/>
            <w:tcBorders>
              <w:tl2br w:val="nil"/>
              <w:tr2bl w:val="nil"/>
            </w:tcBorders>
            <w:shd w:val="clear" w:color="auto" w:fill="auto"/>
            <w:vAlign w:val="center"/>
          </w:tcPr>
          <w:p w14:paraId="7DCCD39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国家林业和草原局 农业农村部</w:t>
            </w:r>
          </w:p>
        </w:tc>
        <w:tc>
          <w:tcPr>
            <w:tcW w:w="1174" w:type="dxa"/>
            <w:tcBorders>
              <w:tl2br w:val="nil"/>
              <w:tr2bl w:val="nil"/>
            </w:tcBorders>
            <w:shd w:val="clear" w:color="auto" w:fill="auto"/>
            <w:vAlign w:val="center"/>
          </w:tcPr>
          <w:p w14:paraId="713D3A1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2021-09-07</w:t>
            </w:r>
          </w:p>
        </w:tc>
      </w:tr>
      <w:tr w14:paraId="5F534B3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F7B01D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w:t>
            </w:r>
          </w:p>
        </w:tc>
        <w:tc>
          <w:tcPr>
            <w:tcW w:w="4464" w:type="dxa"/>
            <w:tcBorders>
              <w:tl2br w:val="nil"/>
              <w:tr2bl w:val="nil"/>
            </w:tcBorders>
            <w:shd w:val="clear" w:color="auto" w:fill="auto"/>
            <w:vAlign w:val="center"/>
          </w:tcPr>
          <w:p w14:paraId="663891B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《环境影响评价公众参与办法》</w:t>
            </w:r>
          </w:p>
        </w:tc>
        <w:tc>
          <w:tcPr>
            <w:tcW w:w="2337" w:type="dxa"/>
            <w:tcBorders>
              <w:tl2br w:val="nil"/>
              <w:tr2bl w:val="nil"/>
            </w:tcBorders>
            <w:shd w:val="clear" w:color="auto" w:fill="auto"/>
            <w:vAlign w:val="center"/>
          </w:tcPr>
          <w:p w14:paraId="671DCEA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生态环境部令第4号</w:t>
            </w:r>
          </w:p>
        </w:tc>
        <w:tc>
          <w:tcPr>
            <w:tcW w:w="1174" w:type="dxa"/>
            <w:tcBorders>
              <w:tl2br w:val="nil"/>
              <w:tr2bl w:val="nil"/>
            </w:tcBorders>
            <w:shd w:val="clear" w:color="auto" w:fill="auto"/>
            <w:vAlign w:val="center"/>
          </w:tcPr>
          <w:p w14:paraId="4750367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2019-01-01</w:t>
            </w:r>
          </w:p>
        </w:tc>
      </w:tr>
      <w:tr w14:paraId="4218D8A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6AC322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4464" w:type="dxa"/>
            <w:tcBorders>
              <w:tl2br w:val="nil"/>
              <w:tr2bl w:val="nil"/>
            </w:tcBorders>
            <w:shd w:val="clear" w:color="auto" w:fill="auto"/>
            <w:vAlign w:val="center"/>
          </w:tcPr>
          <w:p w14:paraId="1B39787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关于印发《企业事业单位突发环境事件应急预案备案管理办法（试行）》的通知</w:t>
            </w:r>
          </w:p>
        </w:tc>
        <w:tc>
          <w:tcPr>
            <w:tcW w:w="2337" w:type="dxa"/>
            <w:tcBorders>
              <w:tl2br w:val="nil"/>
              <w:tr2bl w:val="nil"/>
            </w:tcBorders>
            <w:shd w:val="clear" w:color="auto" w:fill="auto"/>
            <w:vAlign w:val="center"/>
          </w:tcPr>
          <w:p w14:paraId="48C759C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环发〔2015〕4号</w:t>
            </w:r>
          </w:p>
        </w:tc>
        <w:tc>
          <w:tcPr>
            <w:tcW w:w="1174" w:type="dxa"/>
            <w:tcBorders>
              <w:tl2br w:val="nil"/>
              <w:tr2bl w:val="nil"/>
            </w:tcBorders>
            <w:shd w:val="clear" w:color="auto" w:fill="auto"/>
            <w:vAlign w:val="center"/>
          </w:tcPr>
          <w:p w14:paraId="65A29AF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2015-01-08</w:t>
            </w:r>
          </w:p>
        </w:tc>
      </w:tr>
      <w:tr w14:paraId="290EEC8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52EFAF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w:t>
            </w:r>
          </w:p>
        </w:tc>
        <w:tc>
          <w:tcPr>
            <w:tcW w:w="4464" w:type="dxa"/>
            <w:tcBorders>
              <w:tl2br w:val="nil"/>
              <w:tr2bl w:val="nil"/>
            </w:tcBorders>
            <w:shd w:val="clear" w:color="auto" w:fill="auto"/>
            <w:vAlign w:val="center"/>
          </w:tcPr>
          <w:p w14:paraId="2B0F7E8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危险废物污染防治技术政策</w:t>
            </w:r>
          </w:p>
        </w:tc>
        <w:tc>
          <w:tcPr>
            <w:tcW w:w="2337" w:type="dxa"/>
            <w:tcBorders>
              <w:tl2br w:val="nil"/>
              <w:tr2bl w:val="nil"/>
            </w:tcBorders>
            <w:shd w:val="clear" w:color="auto" w:fill="auto"/>
            <w:vAlign w:val="center"/>
          </w:tcPr>
          <w:p w14:paraId="5B5C27D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环发〔2001〕199号</w:t>
            </w:r>
          </w:p>
        </w:tc>
        <w:tc>
          <w:tcPr>
            <w:tcW w:w="1174" w:type="dxa"/>
            <w:tcBorders>
              <w:tl2br w:val="nil"/>
              <w:tr2bl w:val="nil"/>
            </w:tcBorders>
            <w:shd w:val="clear" w:color="auto" w:fill="auto"/>
            <w:vAlign w:val="center"/>
          </w:tcPr>
          <w:p w14:paraId="2203A98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2001-12-17</w:t>
            </w:r>
          </w:p>
        </w:tc>
      </w:tr>
      <w:tr w14:paraId="34BA767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35DF9A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w:t>
            </w:r>
          </w:p>
        </w:tc>
        <w:tc>
          <w:tcPr>
            <w:tcW w:w="4464" w:type="dxa"/>
            <w:tcBorders>
              <w:tl2br w:val="nil"/>
              <w:tr2bl w:val="nil"/>
            </w:tcBorders>
            <w:shd w:val="clear" w:color="auto" w:fill="auto"/>
            <w:vAlign w:val="center"/>
          </w:tcPr>
          <w:p w14:paraId="50917DE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《关于加强资源开发生态环境保护监管工作的意见》</w:t>
            </w:r>
          </w:p>
        </w:tc>
        <w:tc>
          <w:tcPr>
            <w:tcW w:w="2337" w:type="dxa"/>
            <w:tcBorders>
              <w:tl2br w:val="nil"/>
              <w:tr2bl w:val="nil"/>
            </w:tcBorders>
            <w:shd w:val="clear" w:color="auto" w:fill="auto"/>
            <w:vAlign w:val="center"/>
          </w:tcPr>
          <w:p w14:paraId="7381DAE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环发〔2004〕24号</w:t>
            </w:r>
          </w:p>
        </w:tc>
        <w:tc>
          <w:tcPr>
            <w:tcW w:w="1174" w:type="dxa"/>
            <w:tcBorders>
              <w:tl2br w:val="nil"/>
              <w:tr2bl w:val="nil"/>
            </w:tcBorders>
            <w:shd w:val="clear" w:color="auto" w:fill="auto"/>
            <w:vAlign w:val="center"/>
          </w:tcPr>
          <w:p w14:paraId="492ECFA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2004-02-12</w:t>
            </w:r>
          </w:p>
        </w:tc>
      </w:tr>
      <w:tr w14:paraId="54D6504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1711A77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23</w:t>
            </w:r>
          </w:p>
        </w:tc>
        <w:tc>
          <w:tcPr>
            <w:tcW w:w="4464" w:type="dxa"/>
            <w:tcBorders>
              <w:tl2br w:val="nil"/>
              <w:tr2bl w:val="nil"/>
            </w:tcBorders>
            <w:shd w:val="clear" w:color="auto" w:fill="auto"/>
            <w:vAlign w:val="center"/>
          </w:tcPr>
          <w:p w14:paraId="0787D3B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《关于以改善环境质量为核心加强环境影响评价管理的通知》</w:t>
            </w:r>
          </w:p>
        </w:tc>
        <w:tc>
          <w:tcPr>
            <w:tcW w:w="2337" w:type="dxa"/>
            <w:tcBorders>
              <w:tl2br w:val="nil"/>
              <w:tr2bl w:val="nil"/>
            </w:tcBorders>
            <w:shd w:val="clear" w:color="auto" w:fill="auto"/>
            <w:vAlign w:val="center"/>
          </w:tcPr>
          <w:p w14:paraId="46735DC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环环评〔2016〕150号</w:t>
            </w:r>
          </w:p>
        </w:tc>
        <w:tc>
          <w:tcPr>
            <w:tcW w:w="1174" w:type="dxa"/>
            <w:tcBorders>
              <w:tl2br w:val="nil"/>
              <w:tr2bl w:val="nil"/>
            </w:tcBorders>
            <w:shd w:val="clear" w:color="auto" w:fill="auto"/>
            <w:vAlign w:val="center"/>
          </w:tcPr>
          <w:p w14:paraId="4CB7739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2016-10-26</w:t>
            </w:r>
          </w:p>
        </w:tc>
      </w:tr>
      <w:tr w14:paraId="77AABF1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81AB4E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w:t>
            </w:r>
          </w:p>
        </w:tc>
        <w:tc>
          <w:tcPr>
            <w:tcW w:w="4464" w:type="dxa"/>
            <w:tcBorders>
              <w:tl2br w:val="nil"/>
              <w:tr2bl w:val="nil"/>
            </w:tcBorders>
            <w:shd w:val="clear" w:color="auto" w:fill="auto"/>
            <w:vAlign w:val="center"/>
          </w:tcPr>
          <w:p w14:paraId="304FEA8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《“生态保护红线、环境质量底线、资源利用上线和环境准入负面清单”编制技术指南》</w:t>
            </w:r>
          </w:p>
        </w:tc>
        <w:tc>
          <w:tcPr>
            <w:tcW w:w="2337" w:type="dxa"/>
            <w:tcBorders>
              <w:tl2br w:val="nil"/>
              <w:tr2bl w:val="nil"/>
            </w:tcBorders>
            <w:shd w:val="clear" w:color="auto" w:fill="auto"/>
            <w:vAlign w:val="center"/>
          </w:tcPr>
          <w:p w14:paraId="15ECF78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环办环评〔2017〕99号</w:t>
            </w:r>
          </w:p>
        </w:tc>
        <w:tc>
          <w:tcPr>
            <w:tcW w:w="1174" w:type="dxa"/>
            <w:tcBorders>
              <w:tl2br w:val="nil"/>
              <w:tr2bl w:val="nil"/>
            </w:tcBorders>
            <w:shd w:val="clear" w:color="auto" w:fill="auto"/>
            <w:vAlign w:val="center"/>
          </w:tcPr>
          <w:p w14:paraId="4A631EA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2017-12-01</w:t>
            </w:r>
          </w:p>
        </w:tc>
      </w:tr>
      <w:tr w14:paraId="559DFB3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48" w:type="dxa"/>
            <w:tcBorders>
              <w:tl2br w:val="nil"/>
              <w:tr2bl w:val="nil"/>
            </w:tcBorders>
            <w:vAlign w:val="center"/>
          </w:tcPr>
          <w:p w14:paraId="1942DA0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w:t>
            </w:r>
          </w:p>
        </w:tc>
        <w:tc>
          <w:tcPr>
            <w:tcW w:w="4464" w:type="dxa"/>
            <w:tcBorders>
              <w:tl2br w:val="nil"/>
              <w:tr2bl w:val="nil"/>
            </w:tcBorders>
            <w:shd w:val="clear" w:color="auto" w:fill="auto"/>
            <w:vAlign w:val="center"/>
          </w:tcPr>
          <w:p w14:paraId="38ABA67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关于印发《重点行业挥发性有机物综合治理方案》的通知</w:t>
            </w:r>
          </w:p>
        </w:tc>
        <w:tc>
          <w:tcPr>
            <w:tcW w:w="2337" w:type="dxa"/>
            <w:tcBorders>
              <w:tl2br w:val="nil"/>
              <w:tr2bl w:val="nil"/>
            </w:tcBorders>
            <w:shd w:val="clear" w:color="auto" w:fill="auto"/>
            <w:vAlign w:val="center"/>
          </w:tcPr>
          <w:p w14:paraId="1E61C3D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环大气〔2019〕53号</w:t>
            </w:r>
          </w:p>
        </w:tc>
        <w:tc>
          <w:tcPr>
            <w:tcW w:w="1174" w:type="dxa"/>
            <w:tcBorders>
              <w:tl2br w:val="nil"/>
              <w:tr2bl w:val="nil"/>
            </w:tcBorders>
            <w:shd w:val="clear" w:color="auto" w:fill="auto"/>
            <w:vAlign w:val="center"/>
          </w:tcPr>
          <w:p w14:paraId="48A19F8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2019-06-26</w:t>
            </w:r>
          </w:p>
        </w:tc>
      </w:tr>
      <w:tr w14:paraId="5BD8B4B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48" w:type="dxa"/>
            <w:tcBorders>
              <w:tl2br w:val="nil"/>
              <w:tr2bl w:val="nil"/>
            </w:tcBorders>
            <w:vAlign w:val="center"/>
          </w:tcPr>
          <w:p w14:paraId="702FD048">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26</w:t>
            </w:r>
          </w:p>
        </w:tc>
        <w:tc>
          <w:tcPr>
            <w:tcW w:w="4464" w:type="dxa"/>
            <w:tcBorders>
              <w:tl2br w:val="nil"/>
              <w:tr2bl w:val="nil"/>
            </w:tcBorders>
            <w:shd w:val="clear" w:color="auto" w:fill="auto"/>
            <w:vAlign w:val="center"/>
          </w:tcPr>
          <w:p w14:paraId="7F15DC1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《尾矿库安全监督管理规定》</w:t>
            </w:r>
          </w:p>
        </w:tc>
        <w:tc>
          <w:tcPr>
            <w:tcW w:w="2337" w:type="dxa"/>
            <w:tcBorders>
              <w:tl2br w:val="nil"/>
              <w:tr2bl w:val="nil"/>
            </w:tcBorders>
            <w:shd w:val="clear" w:color="auto" w:fill="auto"/>
            <w:vAlign w:val="center"/>
          </w:tcPr>
          <w:p w14:paraId="49D2670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国家安全生产监督管理总局令第6号</w:t>
            </w:r>
          </w:p>
        </w:tc>
        <w:tc>
          <w:tcPr>
            <w:tcW w:w="1174" w:type="dxa"/>
            <w:tcBorders>
              <w:tl2br w:val="nil"/>
              <w:tr2bl w:val="nil"/>
            </w:tcBorders>
            <w:shd w:val="clear" w:color="auto" w:fill="auto"/>
            <w:vAlign w:val="center"/>
          </w:tcPr>
          <w:p w14:paraId="4A4809D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2011-07-01</w:t>
            </w:r>
          </w:p>
        </w:tc>
      </w:tr>
      <w:tr w14:paraId="3F48BF9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48" w:type="dxa"/>
            <w:tcBorders>
              <w:tl2br w:val="nil"/>
              <w:tr2bl w:val="nil"/>
            </w:tcBorders>
            <w:vAlign w:val="center"/>
          </w:tcPr>
          <w:p w14:paraId="0E2CBC2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27</w:t>
            </w:r>
          </w:p>
        </w:tc>
        <w:tc>
          <w:tcPr>
            <w:tcW w:w="4464" w:type="dxa"/>
            <w:tcBorders>
              <w:tl2br w:val="nil"/>
              <w:tr2bl w:val="nil"/>
            </w:tcBorders>
            <w:shd w:val="clear" w:color="auto" w:fill="auto"/>
            <w:vAlign w:val="center"/>
          </w:tcPr>
          <w:p w14:paraId="68DE29C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《尾矿污染环境防治管理办法》</w:t>
            </w:r>
          </w:p>
        </w:tc>
        <w:tc>
          <w:tcPr>
            <w:tcW w:w="2337" w:type="dxa"/>
            <w:tcBorders>
              <w:tl2br w:val="nil"/>
              <w:tr2bl w:val="nil"/>
            </w:tcBorders>
            <w:shd w:val="clear" w:color="auto" w:fill="auto"/>
            <w:vAlign w:val="center"/>
          </w:tcPr>
          <w:p w14:paraId="33ED635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生态环境部令 第26号</w:t>
            </w:r>
          </w:p>
        </w:tc>
        <w:tc>
          <w:tcPr>
            <w:tcW w:w="1174" w:type="dxa"/>
            <w:tcBorders>
              <w:tl2br w:val="nil"/>
              <w:tr2bl w:val="nil"/>
            </w:tcBorders>
            <w:shd w:val="clear" w:color="auto" w:fill="auto"/>
            <w:vAlign w:val="center"/>
          </w:tcPr>
          <w:p w14:paraId="7172CF1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2022-07-01</w:t>
            </w:r>
          </w:p>
        </w:tc>
      </w:tr>
      <w:tr w14:paraId="22F525B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48" w:type="dxa"/>
            <w:tcBorders>
              <w:tl2br w:val="nil"/>
              <w:tr2bl w:val="nil"/>
            </w:tcBorders>
            <w:vAlign w:val="center"/>
          </w:tcPr>
          <w:p w14:paraId="7E958222">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w:t>
            </w:r>
          </w:p>
        </w:tc>
        <w:tc>
          <w:tcPr>
            <w:tcW w:w="4464" w:type="dxa"/>
            <w:tcBorders>
              <w:tl2br w:val="nil"/>
              <w:tr2bl w:val="nil"/>
            </w:tcBorders>
            <w:shd w:val="clear" w:color="auto" w:fill="auto"/>
            <w:vAlign w:val="center"/>
          </w:tcPr>
          <w:p w14:paraId="2329914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关于印发《尾矿库企业环境应急预案的编制指南》的通知</w:t>
            </w:r>
          </w:p>
        </w:tc>
        <w:tc>
          <w:tcPr>
            <w:tcW w:w="2337" w:type="dxa"/>
            <w:tcBorders>
              <w:tl2br w:val="nil"/>
              <w:tr2bl w:val="nil"/>
            </w:tcBorders>
            <w:shd w:val="clear" w:color="auto" w:fill="auto"/>
            <w:vAlign w:val="center"/>
          </w:tcPr>
          <w:p w14:paraId="652B1F6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环办〔2015〕48号</w:t>
            </w:r>
          </w:p>
        </w:tc>
        <w:tc>
          <w:tcPr>
            <w:tcW w:w="1174" w:type="dxa"/>
            <w:tcBorders>
              <w:tl2br w:val="nil"/>
              <w:tr2bl w:val="nil"/>
            </w:tcBorders>
            <w:shd w:val="clear" w:color="auto" w:fill="auto"/>
            <w:vAlign w:val="center"/>
          </w:tcPr>
          <w:p w14:paraId="79F1D4E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2015-05-19</w:t>
            </w:r>
          </w:p>
        </w:tc>
      </w:tr>
      <w:tr w14:paraId="3455B42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48" w:type="dxa"/>
            <w:tcBorders>
              <w:tl2br w:val="nil"/>
              <w:tr2bl w:val="nil"/>
            </w:tcBorders>
            <w:vAlign w:val="center"/>
          </w:tcPr>
          <w:p w14:paraId="583EFFC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29</w:t>
            </w:r>
          </w:p>
        </w:tc>
        <w:tc>
          <w:tcPr>
            <w:tcW w:w="4464" w:type="dxa"/>
            <w:tcBorders>
              <w:tl2br w:val="nil"/>
              <w:tr2bl w:val="nil"/>
            </w:tcBorders>
            <w:shd w:val="clear" w:color="auto" w:fill="auto"/>
            <w:vAlign w:val="center"/>
          </w:tcPr>
          <w:p w14:paraId="1197654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《矿产资源开发利用辐射环境监督管理名录》</w:t>
            </w:r>
          </w:p>
        </w:tc>
        <w:tc>
          <w:tcPr>
            <w:tcW w:w="2337" w:type="dxa"/>
            <w:tcBorders>
              <w:tl2br w:val="nil"/>
              <w:tr2bl w:val="nil"/>
            </w:tcBorders>
            <w:shd w:val="clear" w:color="auto" w:fill="auto"/>
            <w:vAlign w:val="center"/>
          </w:tcPr>
          <w:p w14:paraId="043D5BC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生态环境部第54号</w:t>
            </w:r>
          </w:p>
        </w:tc>
        <w:tc>
          <w:tcPr>
            <w:tcW w:w="1174" w:type="dxa"/>
            <w:tcBorders>
              <w:tl2br w:val="nil"/>
              <w:tr2bl w:val="nil"/>
            </w:tcBorders>
            <w:shd w:val="clear" w:color="auto" w:fill="auto"/>
            <w:vAlign w:val="center"/>
          </w:tcPr>
          <w:p w14:paraId="0C13912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2021-01-01</w:t>
            </w:r>
          </w:p>
        </w:tc>
      </w:tr>
      <w:tr w14:paraId="11D6729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448" w:type="dxa"/>
            <w:tcBorders>
              <w:tl2br w:val="nil"/>
              <w:tr2bl w:val="nil"/>
            </w:tcBorders>
            <w:vAlign w:val="center"/>
          </w:tcPr>
          <w:p w14:paraId="56DA744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4464" w:type="dxa"/>
            <w:tcBorders>
              <w:tl2br w:val="nil"/>
              <w:tr2bl w:val="nil"/>
            </w:tcBorders>
            <w:shd w:val="clear" w:color="auto" w:fill="auto"/>
            <w:vAlign w:val="center"/>
          </w:tcPr>
          <w:p w14:paraId="1679F1B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关于印发《污染影响类建设项目重大变动清单（试行）》的通知</w:t>
            </w:r>
          </w:p>
        </w:tc>
        <w:tc>
          <w:tcPr>
            <w:tcW w:w="2337" w:type="dxa"/>
            <w:tcBorders>
              <w:tl2br w:val="nil"/>
              <w:tr2bl w:val="nil"/>
            </w:tcBorders>
            <w:shd w:val="clear" w:color="auto" w:fill="auto"/>
            <w:vAlign w:val="center"/>
          </w:tcPr>
          <w:p w14:paraId="632096D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环办环评函〔2020〕688号</w:t>
            </w:r>
          </w:p>
        </w:tc>
        <w:tc>
          <w:tcPr>
            <w:tcW w:w="1174" w:type="dxa"/>
            <w:tcBorders>
              <w:tl2br w:val="nil"/>
              <w:tr2bl w:val="nil"/>
            </w:tcBorders>
            <w:shd w:val="clear" w:color="auto" w:fill="auto"/>
            <w:vAlign w:val="center"/>
          </w:tcPr>
          <w:p w14:paraId="5DD7E75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2020-12-13</w:t>
            </w:r>
          </w:p>
        </w:tc>
      </w:tr>
      <w:tr w14:paraId="7E1A7F4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48" w:type="dxa"/>
            <w:tcBorders>
              <w:tl2br w:val="nil"/>
              <w:tr2bl w:val="nil"/>
            </w:tcBorders>
            <w:vAlign w:val="center"/>
          </w:tcPr>
          <w:p w14:paraId="22F5944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31</w:t>
            </w:r>
          </w:p>
        </w:tc>
        <w:tc>
          <w:tcPr>
            <w:tcW w:w="4464" w:type="dxa"/>
            <w:tcBorders>
              <w:tl2br w:val="nil"/>
              <w:tr2bl w:val="nil"/>
            </w:tcBorders>
            <w:shd w:val="clear" w:color="auto" w:fill="auto"/>
            <w:vAlign w:val="center"/>
          </w:tcPr>
          <w:p w14:paraId="71983EB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《关于加快建设绿色矿山的实施意见》</w:t>
            </w:r>
          </w:p>
        </w:tc>
        <w:tc>
          <w:tcPr>
            <w:tcW w:w="2337" w:type="dxa"/>
            <w:tcBorders>
              <w:tl2br w:val="nil"/>
              <w:tr2bl w:val="nil"/>
            </w:tcBorders>
            <w:shd w:val="clear" w:color="auto" w:fill="auto"/>
            <w:vAlign w:val="center"/>
          </w:tcPr>
          <w:p w14:paraId="2AE226F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国土资规〔2017〕4号</w:t>
            </w:r>
          </w:p>
        </w:tc>
        <w:tc>
          <w:tcPr>
            <w:tcW w:w="1174" w:type="dxa"/>
            <w:tcBorders>
              <w:tl2br w:val="nil"/>
              <w:tr2bl w:val="nil"/>
            </w:tcBorders>
            <w:shd w:val="clear" w:color="auto" w:fill="auto"/>
            <w:vAlign w:val="center"/>
          </w:tcPr>
          <w:p w14:paraId="6E9F551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2017-03-22</w:t>
            </w:r>
          </w:p>
        </w:tc>
      </w:tr>
      <w:tr w14:paraId="2A36B10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48" w:type="dxa"/>
            <w:tcBorders>
              <w:tl2br w:val="nil"/>
              <w:tr2bl w:val="nil"/>
            </w:tcBorders>
            <w:vAlign w:val="center"/>
          </w:tcPr>
          <w:p w14:paraId="5EFD03F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w:t>
            </w:r>
          </w:p>
        </w:tc>
        <w:tc>
          <w:tcPr>
            <w:tcW w:w="4464" w:type="dxa"/>
            <w:tcBorders>
              <w:tl2br w:val="nil"/>
              <w:tr2bl w:val="nil"/>
            </w:tcBorders>
            <w:shd w:val="clear" w:color="auto" w:fill="auto"/>
            <w:vAlign w:val="center"/>
          </w:tcPr>
          <w:p w14:paraId="10CE871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《关于进一步加强工业节水工作的意见》</w:t>
            </w:r>
          </w:p>
        </w:tc>
        <w:tc>
          <w:tcPr>
            <w:tcW w:w="2337" w:type="dxa"/>
            <w:tcBorders>
              <w:tl2br w:val="nil"/>
              <w:tr2bl w:val="nil"/>
            </w:tcBorders>
            <w:shd w:val="clear" w:color="auto" w:fill="auto"/>
            <w:vAlign w:val="center"/>
          </w:tcPr>
          <w:p w14:paraId="0A5E334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工信部节〔2010〕218号</w:t>
            </w:r>
          </w:p>
        </w:tc>
        <w:tc>
          <w:tcPr>
            <w:tcW w:w="1174" w:type="dxa"/>
            <w:tcBorders>
              <w:tl2br w:val="nil"/>
              <w:tr2bl w:val="nil"/>
            </w:tcBorders>
            <w:shd w:val="clear" w:color="auto" w:fill="auto"/>
            <w:vAlign w:val="center"/>
          </w:tcPr>
          <w:p w14:paraId="2A9C171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2010-05-04</w:t>
            </w:r>
          </w:p>
        </w:tc>
      </w:tr>
      <w:tr w14:paraId="5C4DD11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48" w:type="dxa"/>
            <w:tcBorders>
              <w:tl2br w:val="nil"/>
              <w:tr2bl w:val="nil"/>
            </w:tcBorders>
            <w:vAlign w:val="center"/>
          </w:tcPr>
          <w:p w14:paraId="41F19BC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33</w:t>
            </w:r>
          </w:p>
        </w:tc>
        <w:tc>
          <w:tcPr>
            <w:tcW w:w="4464" w:type="dxa"/>
            <w:tcBorders>
              <w:tl2br w:val="nil"/>
              <w:tr2bl w:val="nil"/>
            </w:tcBorders>
            <w:shd w:val="clear" w:color="auto" w:fill="auto"/>
            <w:vAlign w:val="center"/>
          </w:tcPr>
          <w:p w14:paraId="75CE195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《企业环境信息依法披露管理办法》</w:t>
            </w:r>
          </w:p>
        </w:tc>
        <w:tc>
          <w:tcPr>
            <w:tcW w:w="2337" w:type="dxa"/>
            <w:tcBorders>
              <w:tl2br w:val="nil"/>
              <w:tr2bl w:val="nil"/>
            </w:tcBorders>
            <w:shd w:val="clear" w:color="auto" w:fill="auto"/>
            <w:vAlign w:val="center"/>
          </w:tcPr>
          <w:p w14:paraId="147ED79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生态环境部令第24号</w:t>
            </w:r>
          </w:p>
        </w:tc>
        <w:tc>
          <w:tcPr>
            <w:tcW w:w="1174" w:type="dxa"/>
            <w:tcBorders>
              <w:tl2br w:val="nil"/>
              <w:tr2bl w:val="nil"/>
            </w:tcBorders>
            <w:shd w:val="clear" w:color="auto" w:fill="auto"/>
            <w:vAlign w:val="center"/>
          </w:tcPr>
          <w:p w14:paraId="1ADEDDF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2022-02-08</w:t>
            </w:r>
          </w:p>
        </w:tc>
      </w:tr>
      <w:tr w14:paraId="7A1626A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cantSplit/>
          <w:trHeight w:val="90" w:hRule="atLeast"/>
          <w:jc w:val="center"/>
        </w:trPr>
        <w:tc>
          <w:tcPr>
            <w:tcW w:w="448" w:type="dxa"/>
            <w:tcBorders>
              <w:tl2br w:val="nil"/>
              <w:tr2bl w:val="nil"/>
            </w:tcBorders>
            <w:vAlign w:val="center"/>
          </w:tcPr>
          <w:p w14:paraId="1228554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34</w:t>
            </w:r>
          </w:p>
        </w:tc>
        <w:tc>
          <w:tcPr>
            <w:tcW w:w="4464" w:type="dxa"/>
            <w:tcBorders>
              <w:tl2br w:val="nil"/>
              <w:tr2bl w:val="nil"/>
            </w:tcBorders>
            <w:shd w:val="clear" w:color="auto" w:fill="auto"/>
            <w:vAlign w:val="center"/>
          </w:tcPr>
          <w:p w14:paraId="72ED29BA">
            <w:pPr>
              <w:widowControl w:val="0"/>
              <w:autoSpaceDE w:val="0"/>
              <w:autoSpaceDN w:val="0"/>
              <w:adjustRightInd w:val="0"/>
              <w:snapToGrid w:val="0"/>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《萤石行业准入标准》</w:t>
            </w:r>
          </w:p>
        </w:tc>
        <w:tc>
          <w:tcPr>
            <w:tcW w:w="2337" w:type="dxa"/>
            <w:tcBorders>
              <w:tl2br w:val="nil"/>
              <w:tr2bl w:val="nil"/>
            </w:tcBorders>
            <w:shd w:val="clear" w:color="auto" w:fill="auto"/>
            <w:vAlign w:val="center"/>
          </w:tcPr>
          <w:p w14:paraId="20A94EB3">
            <w:pPr>
              <w:keepNext w:val="0"/>
              <w:keepLines w:val="0"/>
              <w:pageBreakBefore w:val="0"/>
              <w:widowControl w:val="0"/>
              <w:kinsoku/>
              <w:wordWrap/>
              <w:overflowPunct/>
              <w:topLinePunct w:val="0"/>
              <w:autoSpaceDE/>
              <w:autoSpaceDN/>
              <w:bidi w:val="0"/>
              <w:adjustRightInd/>
              <w:snapToGrid/>
              <w:spacing w:before="0" w:beforeAutospacing="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工业和信息化部公告2010年第87号</w:t>
            </w:r>
          </w:p>
        </w:tc>
        <w:tc>
          <w:tcPr>
            <w:tcW w:w="1174" w:type="dxa"/>
            <w:tcBorders>
              <w:tl2br w:val="nil"/>
              <w:tr2bl w:val="nil"/>
            </w:tcBorders>
            <w:shd w:val="clear" w:color="auto" w:fill="auto"/>
            <w:vAlign w:val="center"/>
          </w:tcPr>
          <w:p w14:paraId="0A451957">
            <w:pPr>
              <w:spacing w:before="0" w:beforeAutospacing="0" w:line="360" w:lineRule="exact"/>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2010-02-24</w:t>
            </w:r>
          </w:p>
        </w:tc>
      </w:tr>
      <w:tr w14:paraId="381223C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09ABBC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四</w:t>
            </w:r>
          </w:p>
        </w:tc>
        <w:tc>
          <w:tcPr>
            <w:tcW w:w="7975" w:type="dxa"/>
            <w:gridSpan w:val="3"/>
            <w:tcBorders>
              <w:tl2br w:val="nil"/>
              <w:tr2bl w:val="nil"/>
            </w:tcBorders>
            <w:vAlign w:val="center"/>
          </w:tcPr>
          <w:p w14:paraId="00BF46ED">
            <w:pPr>
              <w:spacing w:line="360" w:lineRule="exact"/>
              <w:ind w:firstLine="0" w:firstLineChars="0"/>
              <w:jc w:val="center"/>
              <w:rPr>
                <w:rFonts w:hint="default" w:ascii="Times New Roman" w:hAnsi="Times New Roman" w:cs="Times New Roman"/>
                <w:color w:val="auto"/>
                <w:sz w:val="21"/>
                <w:szCs w:val="21"/>
                <w:highlight w:val="none"/>
              </w:rPr>
            </w:pPr>
            <w:r>
              <w:rPr>
                <w:rFonts w:hint="eastAsia" w:cs="Times New Roman"/>
                <w:b/>
                <w:bCs/>
                <w:color w:val="auto"/>
                <w:sz w:val="21"/>
                <w:szCs w:val="21"/>
                <w:highlight w:val="none"/>
                <w:lang w:eastAsia="zh-CN"/>
              </w:rPr>
              <w:t>地方性法规</w:t>
            </w:r>
            <w:r>
              <w:rPr>
                <w:rFonts w:hint="default" w:ascii="Times New Roman" w:hAnsi="Times New Roman" w:cs="Times New Roman"/>
                <w:b/>
                <w:bCs/>
                <w:color w:val="auto"/>
                <w:sz w:val="21"/>
                <w:szCs w:val="21"/>
                <w:highlight w:val="none"/>
              </w:rPr>
              <w:t>及通知</w:t>
            </w:r>
          </w:p>
        </w:tc>
      </w:tr>
      <w:tr w14:paraId="2D2CBE6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FAC7C4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4464" w:type="dxa"/>
            <w:tcBorders>
              <w:tl2br w:val="nil"/>
              <w:tr2bl w:val="nil"/>
            </w:tcBorders>
            <w:vAlign w:val="center"/>
          </w:tcPr>
          <w:p w14:paraId="1404F3B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《新疆维吾尔自治区环境保护条例》</w:t>
            </w:r>
          </w:p>
        </w:tc>
        <w:tc>
          <w:tcPr>
            <w:tcW w:w="2337" w:type="dxa"/>
            <w:tcBorders>
              <w:tl2br w:val="nil"/>
              <w:tr2bl w:val="nil"/>
            </w:tcBorders>
            <w:vAlign w:val="center"/>
          </w:tcPr>
          <w:p w14:paraId="7410A32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13届人大第6次会议</w:t>
            </w:r>
          </w:p>
        </w:tc>
        <w:tc>
          <w:tcPr>
            <w:tcW w:w="1174" w:type="dxa"/>
            <w:tcBorders>
              <w:tl2br w:val="nil"/>
              <w:tr2bl w:val="nil"/>
            </w:tcBorders>
            <w:vAlign w:val="center"/>
          </w:tcPr>
          <w:p w14:paraId="08122A5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2018-09-21</w:t>
            </w:r>
          </w:p>
        </w:tc>
      </w:tr>
      <w:tr w14:paraId="71A2464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5FE2DD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4464" w:type="dxa"/>
            <w:tcBorders>
              <w:tl2br w:val="nil"/>
              <w:tr2bl w:val="nil"/>
            </w:tcBorders>
            <w:vAlign w:val="center"/>
          </w:tcPr>
          <w:p w14:paraId="4795CE08">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《新疆维吾尔自治区野生植物保护条例》</w:t>
            </w:r>
          </w:p>
        </w:tc>
        <w:tc>
          <w:tcPr>
            <w:tcW w:w="2337" w:type="dxa"/>
            <w:tcBorders>
              <w:tl2br w:val="nil"/>
              <w:tr2bl w:val="nil"/>
            </w:tcBorders>
            <w:vAlign w:val="center"/>
          </w:tcPr>
          <w:p w14:paraId="1CC8FB9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13届人大第6次会议</w:t>
            </w:r>
          </w:p>
        </w:tc>
        <w:tc>
          <w:tcPr>
            <w:tcW w:w="1174" w:type="dxa"/>
            <w:tcBorders>
              <w:tl2br w:val="nil"/>
              <w:tr2bl w:val="nil"/>
            </w:tcBorders>
            <w:vAlign w:val="center"/>
          </w:tcPr>
          <w:p w14:paraId="78C96F7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2018-09-21</w:t>
            </w:r>
          </w:p>
        </w:tc>
      </w:tr>
      <w:tr w14:paraId="33EA05F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9FDADB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4464" w:type="dxa"/>
            <w:tcBorders>
              <w:tl2br w:val="nil"/>
              <w:tr2bl w:val="nil"/>
            </w:tcBorders>
            <w:vAlign w:val="center"/>
          </w:tcPr>
          <w:p w14:paraId="06B669C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《新疆维吾尔自治区自然保护区管理条例》</w:t>
            </w:r>
          </w:p>
        </w:tc>
        <w:tc>
          <w:tcPr>
            <w:tcW w:w="2337" w:type="dxa"/>
            <w:tcBorders>
              <w:tl2br w:val="nil"/>
              <w:tr2bl w:val="nil"/>
            </w:tcBorders>
            <w:vAlign w:val="center"/>
          </w:tcPr>
          <w:p w14:paraId="274F30F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13届人大第6次会议</w:t>
            </w:r>
          </w:p>
        </w:tc>
        <w:tc>
          <w:tcPr>
            <w:tcW w:w="1174" w:type="dxa"/>
            <w:tcBorders>
              <w:tl2br w:val="nil"/>
              <w:tr2bl w:val="nil"/>
            </w:tcBorders>
            <w:vAlign w:val="center"/>
          </w:tcPr>
          <w:p w14:paraId="793B28C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2018-09-21</w:t>
            </w:r>
          </w:p>
        </w:tc>
      </w:tr>
      <w:tr w14:paraId="2BBBA5C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47229D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4464" w:type="dxa"/>
            <w:tcBorders>
              <w:tl2br w:val="nil"/>
              <w:tr2bl w:val="nil"/>
            </w:tcBorders>
            <w:shd w:val="clear" w:color="auto" w:fill="auto"/>
            <w:vAlign w:val="center"/>
          </w:tcPr>
          <w:p w14:paraId="233C906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《新疆维吾尔自治区水环境功能区划》</w:t>
            </w:r>
          </w:p>
        </w:tc>
        <w:tc>
          <w:tcPr>
            <w:tcW w:w="2337" w:type="dxa"/>
            <w:tcBorders>
              <w:tl2br w:val="nil"/>
              <w:tr2bl w:val="nil"/>
            </w:tcBorders>
            <w:shd w:val="clear" w:color="auto" w:fill="auto"/>
            <w:vAlign w:val="center"/>
          </w:tcPr>
          <w:p w14:paraId="477029E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新政函〔2002〕194号</w:t>
            </w:r>
          </w:p>
        </w:tc>
        <w:tc>
          <w:tcPr>
            <w:tcW w:w="1174" w:type="dxa"/>
            <w:tcBorders>
              <w:tl2br w:val="nil"/>
              <w:tr2bl w:val="nil"/>
            </w:tcBorders>
            <w:shd w:val="clear" w:color="auto" w:fill="auto"/>
            <w:vAlign w:val="center"/>
          </w:tcPr>
          <w:p w14:paraId="189D43A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2002-12</w:t>
            </w:r>
          </w:p>
        </w:tc>
      </w:tr>
      <w:tr w14:paraId="174BAA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1C32B68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4464" w:type="dxa"/>
            <w:tcBorders>
              <w:tl2br w:val="nil"/>
              <w:tr2bl w:val="nil"/>
            </w:tcBorders>
            <w:shd w:val="clear" w:color="auto" w:fill="auto"/>
            <w:vAlign w:val="center"/>
          </w:tcPr>
          <w:p w14:paraId="115F632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《新疆生态功能区划》</w:t>
            </w:r>
          </w:p>
        </w:tc>
        <w:tc>
          <w:tcPr>
            <w:tcW w:w="2337" w:type="dxa"/>
            <w:tcBorders>
              <w:tl2br w:val="nil"/>
              <w:tr2bl w:val="nil"/>
            </w:tcBorders>
            <w:shd w:val="clear" w:color="auto" w:fill="auto"/>
            <w:vAlign w:val="center"/>
          </w:tcPr>
          <w:p w14:paraId="20BBBBA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新政函〔2005〕96号</w:t>
            </w:r>
          </w:p>
        </w:tc>
        <w:tc>
          <w:tcPr>
            <w:tcW w:w="1174" w:type="dxa"/>
            <w:tcBorders>
              <w:tl2br w:val="nil"/>
              <w:tr2bl w:val="nil"/>
            </w:tcBorders>
            <w:shd w:val="clear" w:color="auto" w:fill="auto"/>
            <w:vAlign w:val="center"/>
          </w:tcPr>
          <w:p w14:paraId="18DDD22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2005-07-14</w:t>
            </w:r>
          </w:p>
        </w:tc>
      </w:tr>
      <w:tr w14:paraId="4E5BA28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BBD81D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4464" w:type="dxa"/>
            <w:tcBorders>
              <w:tl2br w:val="nil"/>
              <w:tr2bl w:val="nil"/>
            </w:tcBorders>
            <w:shd w:val="clear" w:color="auto" w:fill="auto"/>
            <w:vAlign w:val="center"/>
          </w:tcPr>
          <w:p w14:paraId="36AF2CD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《新疆维吾尔自治区重点保护野生植物名录》</w:t>
            </w:r>
          </w:p>
        </w:tc>
        <w:tc>
          <w:tcPr>
            <w:tcW w:w="2337" w:type="dxa"/>
            <w:tcBorders>
              <w:tl2br w:val="nil"/>
              <w:tr2bl w:val="nil"/>
            </w:tcBorders>
            <w:shd w:val="clear" w:color="auto" w:fill="auto"/>
            <w:vAlign w:val="center"/>
          </w:tcPr>
          <w:p w14:paraId="783044B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新政发〔2023〕63号</w:t>
            </w:r>
          </w:p>
        </w:tc>
        <w:tc>
          <w:tcPr>
            <w:tcW w:w="1174" w:type="dxa"/>
            <w:tcBorders>
              <w:tl2br w:val="nil"/>
              <w:tr2bl w:val="nil"/>
            </w:tcBorders>
            <w:shd w:val="clear" w:color="auto" w:fill="auto"/>
            <w:vAlign w:val="center"/>
          </w:tcPr>
          <w:p w14:paraId="646EA02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r>
              <w:rPr>
                <w:rFonts w:hint="eastAsia" w:cs="Times New Roman"/>
                <w:color w:val="auto"/>
                <w:sz w:val="21"/>
                <w:szCs w:val="21"/>
                <w:highlight w:val="none"/>
                <w:lang w:val="en-US" w:eastAsia="zh-CN"/>
              </w:rPr>
              <w:t>23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12</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29</w:t>
            </w:r>
          </w:p>
        </w:tc>
      </w:tr>
      <w:tr w14:paraId="2741991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411B685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4464" w:type="dxa"/>
            <w:tcBorders>
              <w:tl2br w:val="nil"/>
              <w:tr2bl w:val="nil"/>
            </w:tcBorders>
            <w:shd w:val="clear" w:color="auto" w:fill="auto"/>
            <w:vAlign w:val="center"/>
          </w:tcPr>
          <w:p w14:paraId="69E1357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《新疆维吾尔自治区重点保护野生动物名录</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修订）</w:t>
            </w:r>
            <w:r>
              <w:rPr>
                <w:rFonts w:hint="default" w:ascii="Times New Roman" w:hAnsi="Times New Roman" w:cs="Times New Roman"/>
                <w:color w:val="auto"/>
                <w:sz w:val="21"/>
                <w:szCs w:val="21"/>
                <w:highlight w:val="none"/>
              </w:rPr>
              <w:t>》</w:t>
            </w:r>
          </w:p>
        </w:tc>
        <w:tc>
          <w:tcPr>
            <w:tcW w:w="2337" w:type="dxa"/>
            <w:tcBorders>
              <w:tl2br w:val="nil"/>
              <w:tr2bl w:val="nil"/>
            </w:tcBorders>
            <w:shd w:val="clear" w:color="auto" w:fill="auto"/>
            <w:vAlign w:val="center"/>
          </w:tcPr>
          <w:p w14:paraId="58BA413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新政发〔2022〕75号</w:t>
            </w:r>
          </w:p>
        </w:tc>
        <w:tc>
          <w:tcPr>
            <w:tcW w:w="1174" w:type="dxa"/>
            <w:tcBorders>
              <w:tl2br w:val="nil"/>
              <w:tr2bl w:val="nil"/>
            </w:tcBorders>
            <w:shd w:val="clear" w:color="auto" w:fill="auto"/>
            <w:vAlign w:val="center"/>
          </w:tcPr>
          <w:p w14:paraId="413EF88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r>
              <w:rPr>
                <w:rFonts w:hint="eastAsia" w:cs="Times New Roman"/>
                <w:color w:val="auto"/>
                <w:sz w:val="21"/>
                <w:szCs w:val="21"/>
                <w:highlight w:val="none"/>
                <w:lang w:val="en-US" w:eastAsia="zh-CN"/>
              </w:rPr>
              <w:t>22</w:t>
            </w:r>
            <w:r>
              <w:rPr>
                <w:rFonts w:hint="default" w:ascii="Times New Roman" w:hAnsi="Times New Roman" w:cs="Times New Roman"/>
                <w:color w:val="auto"/>
                <w:sz w:val="21"/>
                <w:szCs w:val="21"/>
                <w:highlight w:val="none"/>
              </w:rPr>
              <w:t>-0</w:t>
            </w:r>
            <w:r>
              <w:rPr>
                <w:rFonts w:hint="eastAsia"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18</w:t>
            </w:r>
          </w:p>
        </w:tc>
      </w:tr>
      <w:tr w14:paraId="2B3E345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48E41A4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4464" w:type="dxa"/>
            <w:tcBorders>
              <w:tl2br w:val="nil"/>
              <w:tr2bl w:val="nil"/>
            </w:tcBorders>
            <w:shd w:val="clear" w:color="auto" w:fill="auto"/>
            <w:vAlign w:val="center"/>
          </w:tcPr>
          <w:p w14:paraId="6368F30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《关于印发新疆维吾尔自治区水污染防治工作方案的通知》</w:t>
            </w:r>
          </w:p>
        </w:tc>
        <w:tc>
          <w:tcPr>
            <w:tcW w:w="2337" w:type="dxa"/>
            <w:tcBorders>
              <w:tl2br w:val="nil"/>
              <w:tr2bl w:val="nil"/>
            </w:tcBorders>
            <w:shd w:val="clear" w:color="auto" w:fill="auto"/>
            <w:vAlign w:val="center"/>
          </w:tcPr>
          <w:p w14:paraId="307F7BB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新政发〔2016〕21号</w:t>
            </w:r>
          </w:p>
        </w:tc>
        <w:tc>
          <w:tcPr>
            <w:tcW w:w="1174" w:type="dxa"/>
            <w:tcBorders>
              <w:tl2br w:val="nil"/>
              <w:tr2bl w:val="nil"/>
            </w:tcBorders>
            <w:shd w:val="clear" w:color="auto" w:fill="auto"/>
            <w:vAlign w:val="center"/>
          </w:tcPr>
          <w:p w14:paraId="265F36F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2016-01-29</w:t>
            </w:r>
          </w:p>
        </w:tc>
      </w:tr>
      <w:tr w14:paraId="0F1C672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839DAD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4464" w:type="dxa"/>
            <w:tcBorders>
              <w:tl2br w:val="nil"/>
              <w:tr2bl w:val="nil"/>
            </w:tcBorders>
            <w:shd w:val="clear" w:color="auto" w:fill="auto"/>
            <w:vAlign w:val="center"/>
          </w:tcPr>
          <w:p w14:paraId="176F295A">
            <w:pPr>
              <w:spacing w:before="0" w:before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《关于印发新疆维吾尔自治区土壤污染防治工作方案的通知》</w:t>
            </w:r>
          </w:p>
        </w:tc>
        <w:tc>
          <w:tcPr>
            <w:tcW w:w="2337" w:type="dxa"/>
            <w:tcBorders>
              <w:tl2br w:val="nil"/>
              <w:tr2bl w:val="nil"/>
            </w:tcBorders>
            <w:shd w:val="clear" w:color="auto" w:fill="auto"/>
            <w:vAlign w:val="center"/>
          </w:tcPr>
          <w:p w14:paraId="50CF3B2E">
            <w:pPr>
              <w:spacing w:before="0" w:beforeAutospacing="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新政发〔2017〕25号</w:t>
            </w:r>
          </w:p>
        </w:tc>
        <w:tc>
          <w:tcPr>
            <w:tcW w:w="1174" w:type="dxa"/>
            <w:tcBorders>
              <w:tl2br w:val="nil"/>
              <w:tr2bl w:val="nil"/>
            </w:tcBorders>
            <w:shd w:val="clear" w:color="auto" w:fill="auto"/>
            <w:vAlign w:val="center"/>
          </w:tcPr>
          <w:p w14:paraId="314534E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2017-03-01</w:t>
            </w:r>
          </w:p>
        </w:tc>
      </w:tr>
      <w:tr w14:paraId="5432415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B0804E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4464" w:type="dxa"/>
            <w:tcBorders>
              <w:tl2br w:val="nil"/>
              <w:tr2bl w:val="nil"/>
            </w:tcBorders>
            <w:shd w:val="clear" w:color="auto" w:fill="auto"/>
            <w:vAlign w:val="center"/>
          </w:tcPr>
          <w:p w14:paraId="214983B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《新疆维吾尔自治区重点行业生态环境准入条件</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2024年）</w:t>
            </w:r>
            <w:r>
              <w:rPr>
                <w:rFonts w:hint="default" w:ascii="Times New Roman" w:hAnsi="Times New Roman" w:cs="Times New Roman"/>
                <w:color w:val="auto"/>
                <w:sz w:val="21"/>
                <w:szCs w:val="21"/>
                <w:highlight w:val="none"/>
              </w:rPr>
              <w:t>》</w:t>
            </w:r>
          </w:p>
        </w:tc>
        <w:tc>
          <w:tcPr>
            <w:tcW w:w="2337" w:type="dxa"/>
            <w:tcBorders>
              <w:tl2br w:val="nil"/>
              <w:tr2bl w:val="nil"/>
            </w:tcBorders>
            <w:shd w:val="clear" w:color="auto" w:fill="auto"/>
            <w:vAlign w:val="center"/>
          </w:tcPr>
          <w:p w14:paraId="478C2CE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新环环评发〔2024〕93号</w:t>
            </w:r>
          </w:p>
        </w:tc>
        <w:tc>
          <w:tcPr>
            <w:tcW w:w="1174" w:type="dxa"/>
            <w:tcBorders>
              <w:tl2br w:val="nil"/>
              <w:tr2bl w:val="nil"/>
            </w:tcBorders>
            <w:shd w:val="clear" w:color="auto" w:fill="auto"/>
            <w:vAlign w:val="center"/>
          </w:tcPr>
          <w:p w14:paraId="49193AE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r>
              <w:rPr>
                <w:rFonts w:hint="eastAsia"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-0</w:t>
            </w:r>
            <w:r>
              <w:rPr>
                <w:rFonts w:hint="eastAsia"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-0</w:t>
            </w:r>
            <w:r>
              <w:rPr>
                <w:rFonts w:hint="eastAsia" w:cs="Times New Roman"/>
                <w:color w:val="auto"/>
                <w:sz w:val="21"/>
                <w:szCs w:val="21"/>
                <w:highlight w:val="none"/>
                <w:lang w:val="en-US" w:eastAsia="zh-CN"/>
              </w:rPr>
              <w:t>9</w:t>
            </w:r>
          </w:p>
        </w:tc>
      </w:tr>
      <w:tr w14:paraId="1DBEF7F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061B6A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w:t>
            </w:r>
          </w:p>
        </w:tc>
        <w:tc>
          <w:tcPr>
            <w:tcW w:w="4464" w:type="dxa"/>
            <w:tcBorders>
              <w:tl2br w:val="nil"/>
              <w:tr2bl w:val="nil"/>
            </w:tcBorders>
            <w:shd w:val="clear" w:color="auto" w:fill="auto"/>
            <w:vAlign w:val="center"/>
          </w:tcPr>
          <w:p w14:paraId="3476D4C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《新疆自然资源“十四五”规划》</w:t>
            </w:r>
          </w:p>
        </w:tc>
        <w:tc>
          <w:tcPr>
            <w:tcW w:w="2337" w:type="dxa"/>
            <w:tcBorders>
              <w:tl2br w:val="nil"/>
              <w:tr2bl w:val="nil"/>
            </w:tcBorders>
            <w:shd w:val="clear" w:color="auto" w:fill="auto"/>
            <w:vAlign w:val="center"/>
          </w:tcPr>
          <w:p w14:paraId="752F491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新疆维吾尔自治区自然资源厅</w:t>
            </w:r>
          </w:p>
        </w:tc>
        <w:tc>
          <w:tcPr>
            <w:tcW w:w="1174" w:type="dxa"/>
            <w:tcBorders>
              <w:tl2br w:val="nil"/>
              <w:tr2bl w:val="nil"/>
            </w:tcBorders>
            <w:shd w:val="clear" w:color="auto" w:fill="auto"/>
            <w:vAlign w:val="center"/>
          </w:tcPr>
          <w:p w14:paraId="3ECC318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2022-03-16</w:t>
            </w:r>
          </w:p>
        </w:tc>
      </w:tr>
      <w:tr w14:paraId="13A4E17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578905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4464" w:type="dxa"/>
            <w:tcBorders>
              <w:tl2br w:val="nil"/>
              <w:tr2bl w:val="nil"/>
            </w:tcBorders>
            <w:shd w:val="clear" w:color="auto" w:fill="auto"/>
            <w:vAlign w:val="center"/>
          </w:tcPr>
          <w:p w14:paraId="151E420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《新疆生态环境保护“十四五”规划》</w:t>
            </w:r>
          </w:p>
        </w:tc>
        <w:tc>
          <w:tcPr>
            <w:tcW w:w="2337" w:type="dxa"/>
            <w:tcBorders>
              <w:tl2br w:val="nil"/>
              <w:tr2bl w:val="nil"/>
            </w:tcBorders>
            <w:shd w:val="clear" w:color="auto" w:fill="auto"/>
            <w:vAlign w:val="center"/>
          </w:tcPr>
          <w:p w14:paraId="785E56F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新疆维吾尔自治区党委、人民政府印发</w:t>
            </w:r>
          </w:p>
        </w:tc>
        <w:tc>
          <w:tcPr>
            <w:tcW w:w="1174" w:type="dxa"/>
            <w:tcBorders>
              <w:tl2br w:val="nil"/>
              <w:tr2bl w:val="nil"/>
            </w:tcBorders>
            <w:shd w:val="clear" w:color="auto" w:fill="auto"/>
            <w:vAlign w:val="center"/>
          </w:tcPr>
          <w:p w14:paraId="2C419EC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2021-12-24</w:t>
            </w:r>
          </w:p>
        </w:tc>
      </w:tr>
      <w:tr w14:paraId="58A49B6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619FE9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w:t>
            </w:r>
          </w:p>
        </w:tc>
        <w:tc>
          <w:tcPr>
            <w:tcW w:w="4464" w:type="dxa"/>
            <w:tcBorders>
              <w:tl2br w:val="nil"/>
              <w:tr2bl w:val="nil"/>
            </w:tcBorders>
            <w:shd w:val="clear" w:color="auto" w:fill="auto"/>
            <w:vAlign w:val="center"/>
          </w:tcPr>
          <w:p w14:paraId="4990A90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《新疆维吾尔自治区大气</w:t>
            </w:r>
            <w:r>
              <w:rPr>
                <w:rFonts w:hint="eastAsia" w:cs="Times New Roman"/>
                <w:color w:val="auto"/>
                <w:sz w:val="21"/>
                <w:szCs w:val="21"/>
                <w:highlight w:val="none"/>
                <w:lang w:val="en-US" w:eastAsia="zh-CN"/>
              </w:rPr>
              <w:t>污染</w:t>
            </w:r>
            <w:r>
              <w:rPr>
                <w:rFonts w:hint="default" w:ascii="Times New Roman" w:hAnsi="Times New Roman" w:cs="Times New Roman"/>
                <w:color w:val="auto"/>
                <w:sz w:val="21"/>
                <w:szCs w:val="21"/>
                <w:highlight w:val="none"/>
              </w:rPr>
              <w:t>防治条例》</w:t>
            </w:r>
          </w:p>
        </w:tc>
        <w:tc>
          <w:tcPr>
            <w:tcW w:w="2337" w:type="dxa"/>
            <w:tcBorders>
              <w:tl2br w:val="nil"/>
              <w:tr2bl w:val="nil"/>
            </w:tcBorders>
            <w:shd w:val="clear" w:color="auto" w:fill="auto"/>
            <w:vAlign w:val="center"/>
          </w:tcPr>
          <w:p w14:paraId="7EEEAB3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13届人大第7次会议</w:t>
            </w:r>
          </w:p>
        </w:tc>
        <w:tc>
          <w:tcPr>
            <w:tcW w:w="1174" w:type="dxa"/>
            <w:tcBorders>
              <w:tl2br w:val="nil"/>
              <w:tr2bl w:val="nil"/>
            </w:tcBorders>
            <w:shd w:val="clear" w:color="auto" w:fill="auto"/>
            <w:vAlign w:val="center"/>
          </w:tcPr>
          <w:p w14:paraId="0257B00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2019-01-01</w:t>
            </w:r>
          </w:p>
        </w:tc>
      </w:tr>
      <w:tr w14:paraId="203A6BB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794B799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w:t>
            </w:r>
          </w:p>
        </w:tc>
        <w:tc>
          <w:tcPr>
            <w:tcW w:w="4464" w:type="dxa"/>
            <w:tcBorders>
              <w:tl2br w:val="nil"/>
              <w:tr2bl w:val="nil"/>
            </w:tcBorders>
            <w:shd w:val="clear" w:color="auto" w:fill="auto"/>
            <w:vAlign w:val="center"/>
          </w:tcPr>
          <w:p w14:paraId="48DAC05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《关于进一步做好矿产资源开发环境影响评价工作的通知》</w:t>
            </w:r>
          </w:p>
        </w:tc>
        <w:tc>
          <w:tcPr>
            <w:tcW w:w="2337" w:type="dxa"/>
            <w:tcBorders>
              <w:tl2br w:val="nil"/>
              <w:tr2bl w:val="nil"/>
            </w:tcBorders>
            <w:shd w:val="clear" w:color="auto" w:fill="auto"/>
            <w:vAlign w:val="center"/>
          </w:tcPr>
          <w:p w14:paraId="643C1B1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新环自发〔2006〕7号</w:t>
            </w:r>
          </w:p>
        </w:tc>
        <w:tc>
          <w:tcPr>
            <w:tcW w:w="1174" w:type="dxa"/>
            <w:tcBorders>
              <w:tl2br w:val="nil"/>
              <w:tr2bl w:val="nil"/>
            </w:tcBorders>
            <w:shd w:val="clear" w:color="auto" w:fill="auto"/>
            <w:vAlign w:val="center"/>
          </w:tcPr>
          <w:p w14:paraId="6E0D5CD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2006-01</w:t>
            </w:r>
            <w:r>
              <w:rPr>
                <w:rFonts w:hint="eastAsia" w:cs="Times New Roman"/>
                <w:color w:val="auto"/>
                <w:sz w:val="21"/>
                <w:szCs w:val="21"/>
                <w:highlight w:val="none"/>
                <w:lang w:val="en-US" w:eastAsia="zh-CN"/>
              </w:rPr>
              <w:t>-08</w:t>
            </w:r>
          </w:p>
        </w:tc>
      </w:tr>
      <w:tr w14:paraId="6191D26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2A4B5338">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4464" w:type="dxa"/>
            <w:tcBorders>
              <w:tl2br w:val="nil"/>
              <w:tr2bl w:val="nil"/>
            </w:tcBorders>
            <w:shd w:val="clear" w:color="auto" w:fill="auto"/>
            <w:vAlign w:val="center"/>
          </w:tcPr>
          <w:p w14:paraId="795919E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新疆维吾尔自治区矿产资源总体规划（2021-2025年）</w:t>
            </w:r>
            <w:r>
              <w:rPr>
                <w:rFonts w:hint="default" w:ascii="Times New Roman" w:hAnsi="Times New Roman" w:cs="Times New Roman"/>
                <w:color w:val="auto"/>
                <w:sz w:val="21"/>
                <w:szCs w:val="21"/>
                <w:highlight w:val="none"/>
                <w:lang w:eastAsia="zh-CN"/>
              </w:rPr>
              <w:t>》</w:t>
            </w:r>
          </w:p>
        </w:tc>
        <w:tc>
          <w:tcPr>
            <w:tcW w:w="2337" w:type="dxa"/>
            <w:tcBorders>
              <w:tl2br w:val="nil"/>
              <w:tr2bl w:val="nil"/>
            </w:tcBorders>
            <w:shd w:val="clear" w:color="auto" w:fill="auto"/>
            <w:vAlign w:val="center"/>
          </w:tcPr>
          <w:p w14:paraId="1582A7F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新疆维吾尔自治区人民政府</w:t>
            </w:r>
          </w:p>
        </w:tc>
        <w:tc>
          <w:tcPr>
            <w:tcW w:w="1174" w:type="dxa"/>
            <w:tcBorders>
              <w:tl2br w:val="nil"/>
              <w:tr2bl w:val="nil"/>
            </w:tcBorders>
            <w:shd w:val="clear" w:color="auto" w:fill="auto"/>
            <w:vAlign w:val="center"/>
          </w:tcPr>
          <w:p w14:paraId="756B6B2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2022-08-28</w:t>
            </w:r>
          </w:p>
        </w:tc>
      </w:tr>
      <w:tr w14:paraId="296D0CA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56E362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w:t>
            </w:r>
          </w:p>
        </w:tc>
        <w:tc>
          <w:tcPr>
            <w:tcW w:w="4464" w:type="dxa"/>
            <w:tcBorders>
              <w:tl2br w:val="nil"/>
              <w:tr2bl w:val="nil"/>
            </w:tcBorders>
            <w:shd w:val="clear" w:color="auto" w:fill="auto"/>
            <w:vAlign w:val="center"/>
          </w:tcPr>
          <w:p w14:paraId="30A420D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《关于印发新疆</w:t>
            </w:r>
            <w:r>
              <w:rPr>
                <w:rFonts w:hint="default" w:ascii="Times New Roman" w:hAnsi="Times New Roman" w:cs="Times New Roman"/>
                <w:color w:val="auto"/>
                <w:sz w:val="21"/>
                <w:szCs w:val="21"/>
                <w:highlight w:val="none"/>
                <w:lang w:eastAsia="zh-CN"/>
              </w:rPr>
              <w:t>维吾尔</w:t>
            </w:r>
            <w:r>
              <w:rPr>
                <w:rFonts w:hint="default" w:ascii="Times New Roman" w:hAnsi="Times New Roman" w:cs="Times New Roman"/>
                <w:color w:val="auto"/>
                <w:sz w:val="21"/>
                <w:szCs w:val="21"/>
                <w:highlight w:val="none"/>
              </w:rPr>
              <w:t>自治区级水土流失重点预防区和重点治理区复核划分成果的通知》</w:t>
            </w:r>
          </w:p>
        </w:tc>
        <w:tc>
          <w:tcPr>
            <w:tcW w:w="2337" w:type="dxa"/>
            <w:tcBorders>
              <w:tl2br w:val="nil"/>
              <w:tr2bl w:val="nil"/>
            </w:tcBorders>
            <w:shd w:val="clear" w:color="auto" w:fill="auto"/>
            <w:vAlign w:val="center"/>
          </w:tcPr>
          <w:p w14:paraId="5E1D548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新水水保〔2019〕4号</w:t>
            </w:r>
          </w:p>
        </w:tc>
        <w:tc>
          <w:tcPr>
            <w:tcW w:w="1174" w:type="dxa"/>
            <w:tcBorders>
              <w:tl2br w:val="nil"/>
              <w:tr2bl w:val="nil"/>
            </w:tcBorders>
            <w:shd w:val="clear" w:color="auto" w:fill="auto"/>
            <w:vAlign w:val="center"/>
          </w:tcPr>
          <w:p w14:paraId="27044F8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2019-01-21</w:t>
            </w:r>
          </w:p>
        </w:tc>
      </w:tr>
      <w:tr w14:paraId="545533E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1B90DF6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w:t>
            </w:r>
          </w:p>
        </w:tc>
        <w:tc>
          <w:tcPr>
            <w:tcW w:w="4464" w:type="dxa"/>
            <w:tcBorders>
              <w:tl2br w:val="nil"/>
              <w:tr2bl w:val="nil"/>
            </w:tcBorders>
            <w:shd w:val="clear" w:color="auto" w:fill="auto"/>
            <w:vAlign w:val="center"/>
          </w:tcPr>
          <w:p w14:paraId="5AAD990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《新疆维吾尔自治区国民经济和社会发展第十</w:t>
            </w:r>
            <w:r>
              <w:rPr>
                <w:rFonts w:hint="eastAsia" w:cs="Times New Roman"/>
                <w:color w:val="auto"/>
                <w:sz w:val="21"/>
                <w:szCs w:val="21"/>
                <w:highlight w:val="none"/>
                <w:lang w:val="en-US" w:eastAsia="zh-CN"/>
              </w:rPr>
              <w:t>五</w:t>
            </w:r>
            <w:r>
              <w:rPr>
                <w:rFonts w:hint="default" w:ascii="Times New Roman" w:hAnsi="Times New Roman" w:cs="Times New Roman"/>
                <w:color w:val="auto"/>
                <w:sz w:val="21"/>
                <w:szCs w:val="21"/>
                <w:highlight w:val="none"/>
              </w:rPr>
              <w:t>个五年规划纲要》</w:t>
            </w:r>
          </w:p>
        </w:tc>
        <w:tc>
          <w:tcPr>
            <w:tcW w:w="2337" w:type="dxa"/>
            <w:tcBorders>
              <w:tl2br w:val="nil"/>
              <w:tr2bl w:val="nil"/>
            </w:tcBorders>
            <w:shd w:val="clear" w:color="auto" w:fill="auto"/>
            <w:vAlign w:val="center"/>
          </w:tcPr>
          <w:p w14:paraId="526C2D5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新疆维吾尔自治区第</w:t>
            </w:r>
            <w:r>
              <w:rPr>
                <w:rFonts w:hint="eastAsia" w:cs="Times New Roman"/>
                <w:color w:val="auto"/>
                <w:sz w:val="21"/>
                <w:szCs w:val="21"/>
                <w:highlight w:val="none"/>
                <w:lang w:val="en-US" w:eastAsia="zh-CN"/>
              </w:rPr>
              <w:t>十四</w:t>
            </w:r>
            <w:r>
              <w:rPr>
                <w:rFonts w:hint="default" w:ascii="Times New Roman" w:hAnsi="Times New Roman" w:cs="Times New Roman"/>
                <w:color w:val="auto"/>
                <w:sz w:val="21"/>
                <w:szCs w:val="21"/>
                <w:highlight w:val="none"/>
              </w:rPr>
              <w:t>届人民代表大会第四次会议通过</w:t>
            </w:r>
          </w:p>
        </w:tc>
        <w:tc>
          <w:tcPr>
            <w:tcW w:w="1174" w:type="dxa"/>
            <w:tcBorders>
              <w:tl2br w:val="nil"/>
              <w:tr2bl w:val="nil"/>
            </w:tcBorders>
            <w:shd w:val="clear" w:color="auto" w:fill="auto"/>
            <w:vAlign w:val="center"/>
          </w:tcPr>
          <w:p w14:paraId="4E8418AE">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2026-01-31</w:t>
            </w:r>
          </w:p>
        </w:tc>
      </w:tr>
      <w:tr w14:paraId="1D4644E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3949AB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w:t>
            </w:r>
          </w:p>
        </w:tc>
        <w:tc>
          <w:tcPr>
            <w:tcW w:w="4464" w:type="dxa"/>
            <w:tcBorders>
              <w:tl2br w:val="nil"/>
              <w:tr2bl w:val="nil"/>
            </w:tcBorders>
            <w:shd w:val="clear" w:color="auto" w:fill="auto"/>
            <w:vAlign w:val="center"/>
          </w:tcPr>
          <w:p w14:paraId="0183C84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关于印发《新疆维吾尔自治区“三线一单”生态环境分区管控方案》的通知</w:t>
            </w:r>
          </w:p>
        </w:tc>
        <w:tc>
          <w:tcPr>
            <w:tcW w:w="2337" w:type="dxa"/>
            <w:tcBorders>
              <w:tl2br w:val="nil"/>
              <w:tr2bl w:val="nil"/>
            </w:tcBorders>
            <w:shd w:val="clear" w:color="auto" w:fill="auto"/>
            <w:vAlign w:val="center"/>
          </w:tcPr>
          <w:p w14:paraId="703CC67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新政发〔2021〕18号</w:t>
            </w:r>
          </w:p>
        </w:tc>
        <w:tc>
          <w:tcPr>
            <w:tcW w:w="1174" w:type="dxa"/>
            <w:tcBorders>
              <w:tl2br w:val="nil"/>
              <w:tr2bl w:val="nil"/>
            </w:tcBorders>
            <w:shd w:val="clear" w:color="auto" w:fill="auto"/>
            <w:vAlign w:val="center"/>
          </w:tcPr>
          <w:p w14:paraId="1F7D0EA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2021-02-22</w:t>
            </w:r>
          </w:p>
        </w:tc>
      </w:tr>
      <w:tr w14:paraId="7D967AD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069995B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w:t>
            </w:r>
          </w:p>
        </w:tc>
        <w:tc>
          <w:tcPr>
            <w:tcW w:w="4464" w:type="dxa"/>
            <w:tcBorders>
              <w:tl2br w:val="nil"/>
              <w:tr2bl w:val="nil"/>
            </w:tcBorders>
            <w:shd w:val="clear" w:color="auto" w:fill="auto"/>
            <w:vAlign w:val="center"/>
          </w:tcPr>
          <w:p w14:paraId="60C344A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关于印发《新疆维吾尔自治区七大片区“三线一单”生态环境分区管控要求》（2021年版）的通知</w:t>
            </w:r>
          </w:p>
        </w:tc>
        <w:tc>
          <w:tcPr>
            <w:tcW w:w="2337" w:type="dxa"/>
            <w:tcBorders>
              <w:tl2br w:val="nil"/>
              <w:tr2bl w:val="nil"/>
            </w:tcBorders>
            <w:shd w:val="clear" w:color="auto" w:fill="auto"/>
            <w:vAlign w:val="center"/>
          </w:tcPr>
          <w:p w14:paraId="4D8EB1B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新环环评发〔2021〕162号</w:t>
            </w:r>
          </w:p>
        </w:tc>
        <w:tc>
          <w:tcPr>
            <w:tcW w:w="1174" w:type="dxa"/>
            <w:tcBorders>
              <w:tl2br w:val="nil"/>
              <w:tr2bl w:val="nil"/>
            </w:tcBorders>
            <w:shd w:val="clear" w:color="auto" w:fill="auto"/>
            <w:vAlign w:val="center"/>
          </w:tcPr>
          <w:p w14:paraId="5F83C6E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2021-07-26</w:t>
            </w:r>
          </w:p>
        </w:tc>
      </w:tr>
      <w:tr w14:paraId="568C63B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30E56C18">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4464" w:type="dxa"/>
            <w:tcBorders>
              <w:tl2br w:val="nil"/>
              <w:tr2bl w:val="nil"/>
            </w:tcBorders>
            <w:shd w:val="clear" w:color="auto" w:fill="auto"/>
            <w:vAlign w:val="center"/>
          </w:tcPr>
          <w:p w14:paraId="283ECF1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关于印发</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巴音郭楞蒙古自治州“三线一单”生态环境分区管控动态更新成果（2023年）</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的通知</w:t>
            </w:r>
          </w:p>
        </w:tc>
        <w:tc>
          <w:tcPr>
            <w:tcW w:w="2337" w:type="dxa"/>
            <w:tcBorders>
              <w:tl2br w:val="nil"/>
              <w:tr2bl w:val="nil"/>
            </w:tcBorders>
            <w:shd w:val="clear" w:color="auto" w:fill="auto"/>
            <w:vAlign w:val="center"/>
          </w:tcPr>
          <w:p w14:paraId="75C0B6B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巴政办发〔2024〕32号</w:t>
            </w:r>
          </w:p>
        </w:tc>
        <w:tc>
          <w:tcPr>
            <w:tcW w:w="1174" w:type="dxa"/>
            <w:tcBorders>
              <w:tl2br w:val="nil"/>
              <w:tr2bl w:val="nil"/>
            </w:tcBorders>
            <w:shd w:val="clear" w:color="auto" w:fill="auto"/>
            <w:vAlign w:val="center"/>
          </w:tcPr>
          <w:p w14:paraId="2FB0A88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w:t>
            </w: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12</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9</w:t>
            </w:r>
          </w:p>
        </w:tc>
      </w:tr>
      <w:tr w14:paraId="1F038EB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448" w:type="dxa"/>
            <w:tcBorders>
              <w:tl2br w:val="nil"/>
              <w:tr2bl w:val="nil"/>
            </w:tcBorders>
            <w:vAlign w:val="center"/>
          </w:tcPr>
          <w:p w14:paraId="681ECE7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w:t>
            </w:r>
          </w:p>
        </w:tc>
        <w:tc>
          <w:tcPr>
            <w:tcW w:w="4464" w:type="dxa"/>
            <w:tcBorders>
              <w:tl2br w:val="nil"/>
              <w:tr2bl w:val="nil"/>
            </w:tcBorders>
            <w:shd w:val="clear" w:color="auto" w:fill="auto"/>
            <w:vAlign w:val="center"/>
          </w:tcPr>
          <w:p w14:paraId="19184777">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《新疆国家重点保护野生植物名录》</w:t>
            </w:r>
          </w:p>
        </w:tc>
        <w:tc>
          <w:tcPr>
            <w:tcW w:w="2337" w:type="dxa"/>
            <w:tcBorders>
              <w:tl2br w:val="nil"/>
              <w:tr2bl w:val="nil"/>
            </w:tcBorders>
            <w:shd w:val="clear" w:color="auto" w:fill="auto"/>
            <w:vAlign w:val="center"/>
          </w:tcPr>
          <w:p w14:paraId="315E5A6D">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新林护字〔2022〕8号</w:t>
            </w:r>
          </w:p>
        </w:tc>
        <w:tc>
          <w:tcPr>
            <w:tcW w:w="1174" w:type="dxa"/>
            <w:tcBorders>
              <w:tl2br w:val="nil"/>
              <w:tr2bl w:val="nil"/>
            </w:tcBorders>
            <w:shd w:val="clear" w:color="auto" w:fill="auto"/>
            <w:vAlign w:val="center"/>
          </w:tcPr>
          <w:p w14:paraId="02C2E26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2022-03-08</w:t>
            </w:r>
          </w:p>
        </w:tc>
      </w:tr>
      <w:tr w14:paraId="4A3781C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1033" w:hRule="atLeast"/>
          <w:jc w:val="center"/>
        </w:trPr>
        <w:tc>
          <w:tcPr>
            <w:tcW w:w="448" w:type="dxa"/>
            <w:tcBorders>
              <w:tl2br w:val="nil"/>
              <w:tr2bl w:val="nil"/>
            </w:tcBorders>
            <w:vAlign w:val="center"/>
          </w:tcPr>
          <w:p w14:paraId="4FB53FF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w:t>
            </w:r>
          </w:p>
        </w:tc>
        <w:tc>
          <w:tcPr>
            <w:tcW w:w="4464" w:type="dxa"/>
            <w:tcBorders>
              <w:tl2br w:val="nil"/>
              <w:tr2bl w:val="nil"/>
            </w:tcBorders>
            <w:shd w:val="clear" w:color="auto" w:fill="auto"/>
            <w:vAlign w:val="center"/>
          </w:tcPr>
          <w:p w14:paraId="6D0F9B7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《新疆国家重点保护野生动物名录》</w:t>
            </w:r>
          </w:p>
        </w:tc>
        <w:tc>
          <w:tcPr>
            <w:tcW w:w="2337" w:type="dxa"/>
            <w:tcBorders>
              <w:tl2br w:val="nil"/>
              <w:tr2bl w:val="nil"/>
            </w:tcBorders>
            <w:shd w:val="clear" w:color="auto" w:fill="auto"/>
            <w:vAlign w:val="center"/>
          </w:tcPr>
          <w:p w14:paraId="6A14D17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自治区林业和草原局、自治区农业农村厅</w:t>
            </w:r>
          </w:p>
        </w:tc>
        <w:tc>
          <w:tcPr>
            <w:tcW w:w="1174" w:type="dxa"/>
            <w:tcBorders>
              <w:tl2br w:val="nil"/>
              <w:tr2bl w:val="nil"/>
            </w:tcBorders>
            <w:shd w:val="clear" w:color="auto" w:fill="auto"/>
            <w:vAlign w:val="center"/>
          </w:tcPr>
          <w:p w14:paraId="523538A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2021-07-28</w:t>
            </w:r>
          </w:p>
        </w:tc>
      </w:tr>
    </w:tbl>
    <w:p w14:paraId="5FB2E5ED">
      <w:pPr>
        <w:pStyle w:val="6"/>
        <w:rPr>
          <w:rFonts w:hint="default" w:ascii="Times New Roman" w:hAnsi="Times New Roman" w:cs="Times New Roman"/>
          <w:color w:val="auto"/>
          <w:highlight w:val="none"/>
        </w:rPr>
      </w:pPr>
      <w:bookmarkStart w:id="127" w:name="_Toc32434"/>
      <w:bookmarkStart w:id="128" w:name="_Toc29643"/>
      <w:bookmarkStart w:id="129" w:name="_Toc27197"/>
      <w:r>
        <w:rPr>
          <w:rFonts w:hint="default" w:ascii="Times New Roman" w:hAnsi="Times New Roman" w:cs="Times New Roman"/>
          <w:color w:val="auto"/>
          <w:highlight w:val="none"/>
        </w:rPr>
        <w:t>2.2.2技术导则、规范及标准</w:t>
      </w:r>
      <w:bookmarkEnd w:id="127"/>
      <w:bookmarkEnd w:id="128"/>
      <w:bookmarkEnd w:id="129"/>
    </w:p>
    <w:tbl>
      <w:tblPr>
        <w:tblStyle w:val="13"/>
        <w:tblW w:w="8363"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529"/>
        <w:gridCol w:w="5551"/>
        <w:gridCol w:w="2283"/>
      </w:tblGrid>
      <w:tr w14:paraId="4591F15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529" w:type="dxa"/>
            <w:tcBorders>
              <w:tl2br w:val="nil"/>
              <w:tr2bl w:val="nil"/>
            </w:tcBorders>
            <w:vAlign w:val="center"/>
          </w:tcPr>
          <w:p w14:paraId="73D43FBD">
            <w:pPr>
              <w:spacing w:before="0" w:beforeAutospacing="0"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5551" w:type="dxa"/>
            <w:tcBorders>
              <w:tl2br w:val="nil"/>
              <w:tr2bl w:val="nil"/>
            </w:tcBorders>
            <w:vAlign w:val="center"/>
          </w:tcPr>
          <w:p w14:paraId="4019388D">
            <w:pPr>
              <w:spacing w:before="0" w:beforeAutospacing="0"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依据名称</w:t>
            </w:r>
          </w:p>
        </w:tc>
        <w:tc>
          <w:tcPr>
            <w:tcW w:w="2283" w:type="dxa"/>
            <w:tcBorders>
              <w:tl2br w:val="nil"/>
              <w:tr2bl w:val="nil"/>
            </w:tcBorders>
            <w:vAlign w:val="center"/>
          </w:tcPr>
          <w:p w14:paraId="48FBF561">
            <w:pPr>
              <w:spacing w:before="0" w:beforeAutospacing="0"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标准号</w:t>
            </w:r>
          </w:p>
        </w:tc>
      </w:tr>
      <w:tr w14:paraId="5D1EBA4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7E5E33F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5551" w:type="dxa"/>
            <w:tcBorders>
              <w:tl2br w:val="nil"/>
              <w:tr2bl w:val="nil"/>
            </w:tcBorders>
            <w:vAlign w:val="center"/>
          </w:tcPr>
          <w:p w14:paraId="22B606B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《建设项目环境影响评价技术导则 总纲》</w:t>
            </w:r>
          </w:p>
        </w:tc>
        <w:tc>
          <w:tcPr>
            <w:tcW w:w="2283" w:type="dxa"/>
            <w:tcBorders>
              <w:tl2br w:val="nil"/>
              <w:tr2bl w:val="nil"/>
            </w:tcBorders>
            <w:vAlign w:val="center"/>
          </w:tcPr>
          <w:p w14:paraId="2077F710">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HJ2.1-2016</w:t>
            </w:r>
          </w:p>
        </w:tc>
      </w:tr>
      <w:tr w14:paraId="35DFFEE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rHeight w:val="338" w:hRule="atLeast"/>
          <w:jc w:val="center"/>
        </w:trPr>
        <w:tc>
          <w:tcPr>
            <w:tcW w:w="529" w:type="dxa"/>
            <w:tcBorders>
              <w:tl2br w:val="nil"/>
              <w:tr2bl w:val="nil"/>
            </w:tcBorders>
            <w:vAlign w:val="center"/>
          </w:tcPr>
          <w:p w14:paraId="1EF7FD0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5551" w:type="dxa"/>
            <w:tcBorders>
              <w:tl2br w:val="nil"/>
              <w:tr2bl w:val="nil"/>
            </w:tcBorders>
            <w:vAlign w:val="center"/>
          </w:tcPr>
          <w:p w14:paraId="7F04FAB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《环境影响评价技术导则 大气环境》</w:t>
            </w:r>
          </w:p>
        </w:tc>
        <w:tc>
          <w:tcPr>
            <w:tcW w:w="2283" w:type="dxa"/>
            <w:tcBorders>
              <w:tl2br w:val="nil"/>
              <w:tr2bl w:val="nil"/>
            </w:tcBorders>
            <w:vAlign w:val="center"/>
          </w:tcPr>
          <w:p w14:paraId="62CE6B5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HJ2.2-2018</w:t>
            </w:r>
          </w:p>
        </w:tc>
      </w:tr>
      <w:tr w14:paraId="0F8D736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1878665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5551" w:type="dxa"/>
            <w:tcBorders>
              <w:tl2br w:val="nil"/>
              <w:tr2bl w:val="nil"/>
            </w:tcBorders>
            <w:vAlign w:val="center"/>
          </w:tcPr>
          <w:p w14:paraId="0D392E43">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《环境影响评价技术导则 地表水》</w:t>
            </w:r>
          </w:p>
        </w:tc>
        <w:tc>
          <w:tcPr>
            <w:tcW w:w="2283" w:type="dxa"/>
            <w:tcBorders>
              <w:tl2br w:val="nil"/>
              <w:tr2bl w:val="nil"/>
            </w:tcBorders>
            <w:vAlign w:val="center"/>
          </w:tcPr>
          <w:p w14:paraId="0970334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HJ2.3-2018</w:t>
            </w:r>
          </w:p>
        </w:tc>
      </w:tr>
      <w:tr w14:paraId="1182708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5AD9B353">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5551" w:type="dxa"/>
            <w:tcBorders>
              <w:tl2br w:val="nil"/>
              <w:tr2bl w:val="nil"/>
            </w:tcBorders>
            <w:vAlign w:val="center"/>
          </w:tcPr>
          <w:p w14:paraId="5500B03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《环境影响评价技术导则 声环境》</w:t>
            </w:r>
          </w:p>
        </w:tc>
        <w:tc>
          <w:tcPr>
            <w:tcW w:w="2283" w:type="dxa"/>
            <w:tcBorders>
              <w:tl2br w:val="nil"/>
              <w:tr2bl w:val="nil"/>
            </w:tcBorders>
            <w:vAlign w:val="center"/>
          </w:tcPr>
          <w:p w14:paraId="60DDCDD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HJ2.4-2021</w:t>
            </w:r>
          </w:p>
        </w:tc>
      </w:tr>
      <w:tr w14:paraId="42A0188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7BAD22E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5551" w:type="dxa"/>
            <w:tcBorders>
              <w:tl2br w:val="nil"/>
              <w:tr2bl w:val="nil"/>
            </w:tcBorders>
            <w:vAlign w:val="center"/>
          </w:tcPr>
          <w:p w14:paraId="5428605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《环境影响评价技术导则 地下水环境》</w:t>
            </w:r>
          </w:p>
        </w:tc>
        <w:tc>
          <w:tcPr>
            <w:tcW w:w="2283" w:type="dxa"/>
            <w:tcBorders>
              <w:tl2br w:val="nil"/>
              <w:tr2bl w:val="nil"/>
            </w:tcBorders>
            <w:vAlign w:val="center"/>
          </w:tcPr>
          <w:p w14:paraId="602B491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HJ610-2016</w:t>
            </w:r>
          </w:p>
        </w:tc>
      </w:tr>
      <w:tr w14:paraId="74F153E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6F512E22">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5551" w:type="dxa"/>
            <w:tcBorders>
              <w:tl2br w:val="nil"/>
              <w:tr2bl w:val="nil"/>
            </w:tcBorders>
            <w:vAlign w:val="center"/>
          </w:tcPr>
          <w:p w14:paraId="57BB912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《环境影响评价技术导则 生态影响》</w:t>
            </w:r>
          </w:p>
        </w:tc>
        <w:tc>
          <w:tcPr>
            <w:tcW w:w="2283" w:type="dxa"/>
            <w:tcBorders>
              <w:tl2br w:val="nil"/>
              <w:tr2bl w:val="nil"/>
            </w:tcBorders>
            <w:vAlign w:val="center"/>
          </w:tcPr>
          <w:p w14:paraId="7C2755F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HJ19-2022</w:t>
            </w:r>
          </w:p>
        </w:tc>
      </w:tr>
      <w:tr w14:paraId="7954F3C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2AF4C75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5551" w:type="dxa"/>
            <w:tcBorders>
              <w:tl2br w:val="nil"/>
              <w:tr2bl w:val="nil"/>
            </w:tcBorders>
            <w:vAlign w:val="center"/>
          </w:tcPr>
          <w:p w14:paraId="798A2F7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《环境影响评价技术导则 土壤环境（试行）》</w:t>
            </w:r>
          </w:p>
        </w:tc>
        <w:tc>
          <w:tcPr>
            <w:tcW w:w="2283" w:type="dxa"/>
            <w:tcBorders>
              <w:tl2br w:val="nil"/>
              <w:tr2bl w:val="nil"/>
            </w:tcBorders>
            <w:vAlign w:val="center"/>
          </w:tcPr>
          <w:p w14:paraId="053212E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HJ964-2018</w:t>
            </w:r>
          </w:p>
        </w:tc>
      </w:tr>
      <w:tr w14:paraId="1AABFC3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2057FC5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5551" w:type="dxa"/>
            <w:tcBorders>
              <w:tl2br w:val="nil"/>
              <w:tr2bl w:val="nil"/>
            </w:tcBorders>
            <w:vAlign w:val="center"/>
          </w:tcPr>
          <w:p w14:paraId="639B916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《尾矿库环境风险评估技术导则（试行）》</w:t>
            </w:r>
          </w:p>
        </w:tc>
        <w:tc>
          <w:tcPr>
            <w:tcW w:w="2283" w:type="dxa"/>
            <w:tcBorders>
              <w:tl2br w:val="nil"/>
              <w:tr2bl w:val="nil"/>
            </w:tcBorders>
            <w:vAlign w:val="center"/>
          </w:tcPr>
          <w:p w14:paraId="5350F0C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HJ740-2015</w:t>
            </w:r>
          </w:p>
        </w:tc>
      </w:tr>
      <w:tr w14:paraId="6FAEBA7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3A6D31A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5551" w:type="dxa"/>
            <w:tcBorders>
              <w:tl2br w:val="nil"/>
              <w:tr2bl w:val="nil"/>
            </w:tcBorders>
            <w:vAlign w:val="center"/>
          </w:tcPr>
          <w:p w14:paraId="68E1EF6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《建设项目环境风险评价技术导则》</w:t>
            </w:r>
          </w:p>
        </w:tc>
        <w:tc>
          <w:tcPr>
            <w:tcW w:w="2283" w:type="dxa"/>
            <w:tcBorders>
              <w:tl2br w:val="nil"/>
              <w:tr2bl w:val="nil"/>
            </w:tcBorders>
            <w:vAlign w:val="center"/>
          </w:tcPr>
          <w:p w14:paraId="03E21E2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HJ169-2018</w:t>
            </w:r>
          </w:p>
        </w:tc>
      </w:tr>
      <w:tr w14:paraId="48C04CF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3ED612F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5551" w:type="dxa"/>
            <w:tcBorders>
              <w:tl2br w:val="nil"/>
              <w:tr2bl w:val="nil"/>
            </w:tcBorders>
            <w:vAlign w:val="center"/>
          </w:tcPr>
          <w:p w14:paraId="39C6394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《环境空气质量标准》</w:t>
            </w:r>
          </w:p>
        </w:tc>
        <w:tc>
          <w:tcPr>
            <w:tcW w:w="2283" w:type="dxa"/>
            <w:tcBorders>
              <w:tl2br w:val="nil"/>
              <w:tr2bl w:val="nil"/>
            </w:tcBorders>
            <w:vAlign w:val="center"/>
          </w:tcPr>
          <w:p w14:paraId="3D4A0243">
            <w:pPr>
              <w:spacing w:before="0" w:beforeAutospacing="0"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GB3095-20</w:t>
            </w:r>
            <w:r>
              <w:rPr>
                <w:rFonts w:hint="default" w:ascii="Times New Roman" w:hAnsi="Times New Roman" w:cs="Times New Roman"/>
                <w:color w:val="auto"/>
                <w:sz w:val="21"/>
                <w:szCs w:val="21"/>
                <w:highlight w:val="none"/>
                <w:lang w:val="en-US" w:eastAsia="zh-CN"/>
              </w:rPr>
              <w:t>26</w:t>
            </w:r>
          </w:p>
        </w:tc>
      </w:tr>
      <w:tr w14:paraId="453B603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21DACB7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w:t>
            </w:r>
          </w:p>
        </w:tc>
        <w:tc>
          <w:tcPr>
            <w:tcW w:w="5551" w:type="dxa"/>
            <w:tcBorders>
              <w:tl2br w:val="nil"/>
              <w:tr2bl w:val="nil"/>
            </w:tcBorders>
            <w:vAlign w:val="center"/>
          </w:tcPr>
          <w:p w14:paraId="12E4C99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《地表水环境质量标准》</w:t>
            </w:r>
          </w:p>
        </w:tc>
        <w:tc>
          <w:tcPr>
            <w:tcW w:w="2283" w:type="dxa"/>
            <w:tcBorders>
              <w:tl2br w:val="nil"/>
              <w:tr2bl w:val="nil"/>
            </w:tcBorders>
            <w:vAlign w:val="center"/>
          </w:tcPr>
          <w:p w14:paraId="66FB7BE2">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GB3838-2002</w:t>
            </w:r>
          </w:p>
        </w:tc>
      </w:tr>
      <w:tr w14:paraId="50345D5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6657FE43">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5551" w:type="dxa"/>
            <w:tcBorders>
              <w:tl2br w:val="nil"/>
              <w:tr2bl w:val="nil"/>
            </w:tcBorders>
            <w:vAlign w:val="center"/>
          </w:tcPr>
          <w:p w14:paraId="63B2316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《地下水质量标准》</w:t>
            </w:r>
          </w:p>
        </w:tc>
        <w:tc>
          <w:tcPr>
            <w:tcW w:w="2283" w:type="dxa"/>
            <w:tcBorders>
              <w:tl2br w:val="nil"/>
              <w:tr2bl w:val="nil"/>
            </w:tcBorders>
            <w:vAlign w:val="center"/>
          </w:tcPr>
          <w:p w14:paraId="4B53B157">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GB/T14848-2017</w:t>
            </w:r>
          </w:p>
        </w:tc>
      </w:tr>
      <w:tr w14:paraId="1E6F669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5F2EBDF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w:t>
            </w:r>
          </w:p>
        </w:tc>
        <w:tc>
          <w:tcPr>
            <w:tcW w:w="5551" w:type="dxa"/>
            <w:tcBorders>
              <w:tl2br w:val="nil"/>
              <w:tr2bl w:val="nil"/>
            </w:tcBorders>
            <w:vAlign w:val="center"/>
          </w:tcPr>
          <w:p w14:paraId="0DA2671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《声环境质量标准》</w:t>
            </w:r>
          </w:p>
        </w:tc>
        <w:tc>
          <w:tcPr>
            <w:tcW w:w="2283" w:type="dxa"/>
            <w:tcBorders>
              <w:tl2br w:val="nil"/>
              <w:tr2bl w:val="nil"/>
            </w:tcBorders>
            <w:vAlign w:val="center"/>
          </w:tcPr>
          <w:p w14:paraId="214551D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GB3096-2008</w:t>
            </w:r>
          </w:p>
        </w:tc>
      </w:tr>
      <w:tr w14:paraId="199A645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358B49C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w:t>
            </w:r>
          </w:p>
        </w:tc>
        <w:tc>
          <w:tcPr>
            <w:tcW w:w="5551" w:type="dxa"/>
            <w:tcBorders>
              <w:tl2br w:val="nil"/>
              <w:tr2bl w:val="nil"/>
            </w:tcBorders>
            <w:vAlign w:val="center"/>
          </w:tcPr>
          <w:p w14:paraId="7459F31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《生活饮用水卫生标准》</w:t>
            </w:r>
          </w:p>
        </w:tc>
        <w:tc>
          <w:tcPr>
            <w:tcW w:w="2283" w:type="dxa"/>
            <w:tcBorders>
              <w:tl2br w:val="nil"/>
              <w:tr2bl w:val="nil"/>
            </w:tcBorders>
            <w:vAlign w:val="center"/>
          </w:tcPr>
          <w:p w14:paraId="13E5C300">
            <w:pPr>
              <w:spacing w:before="0" w:beforeAutospacing="0" w:line="360" w:lineRule="exact"/>
              <w:ind w:firstLine="0" w:firstLineChars="0"/>
              <w:jc w:val="center"/>
              <w:rPr>
                <w:rFonts w:hint="default" w:ascii="Times New Roman" w:hAnsi="Times New Roman" w:eastAsia="宋体" w:cs="Times New Roman"/>
                <w:color w:val="auto"/>
                <w:spacing w:val="-3"/>
                <w:sz w:val="21"/>
                <w:szCs w:val="21"/>
                <w:highlight w:val="none"/>
                <w:lang w:val="en-US" w:eastAsia="zh-CN"/>
              </w:rPr>
            </w:pPr>
            <w:r>
              <w:rPr>
                <w:rFonts w:hint="default" w:ascii="Times New Roman" w:hAnsi="Times New Roman" w:cs="Times New Roman"/>
                <w:color w:val="auto"/>
                <w:spacing w:val="-3"/>
                <w:sz w:val="21"/>
                <w:szCs w:val="21"/>
                <w:highlight w:val="none"/>
                <w:lang w:val="en-US" w:eastAsia="zh-CN"/>
              </w:rPr>
              <w:t>GB5749</w:t>
            </w:r>
            <w:r>
              <w:rPr>
                <w:rFonts w:hint="default" w:ascii="Times New Roman" w:hAnsi="Times New Roman" w:cs="Times New Roman"/>
                <w:color w:val="auto"/>
                <w:spacing w:val="-3"/>
                <w:sz w:val="21"/>
                <w:szCs w:val="21"/>
                <w:highlight w:val="none"/>
              </w:rPr>
              <w:t>-</w:t>
            </w:r>
            <w:r>
              <w:rPr>
                <w:rFonts w:hint="default" w:ascii="Times New Roman" w:hAnsi="Times New Roman" w:cs="Times New Roman"/>
                <w:color w:val="auto"/>
                <w:spacing w:val="-3"/>
                <w:sz w:val="21"/>
                <w:szCs w:val="21"/>
                <w:highlight w:val="none"/>
                <w:lang w:val="en-US" w:eastAsia="zh-CN"/>
              </w:rPr>
              <w:t>2022</w:t>
            </w:r>
          </w:p>
        </w:tc>
      </w:tr>
      <w:tr w14:paraId="4D9D305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76F57D4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5551" w:type="dxa"/>
            <w:tcBorders>
              <w:tl2br w:val="nil"/>
              <w:tr2bl w:val="nil"/>
            </w:tcBorders>
            <w:vAlign w:val="center"/>
          </w:tcPr>
          <w:p w14:paraId="307B4F7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《土壤环境质量</w:t>
            </w:r>
            <w:r>
              <w:rPr>
                <w:rFonts w:hint="eastAsia"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建设用地土壤污染风险管控标准（试行）》</w:t>
            </w:r>
          </w:p>
        </w:tc>
        <w:tc>
          <w:tcPr>
            <w:tcW w:w="2283" w:type="dxa"/>
            <w:tcBorders>
              <w:tl2br w:val="nil"/>
              <w:tr2bl w:val="nil"/>
            </w:tcBorders>
            <w:vAlign w:val="center"/>
          </w:tcPr>
          <w:p w14:paraId="6FCD1DE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GB36600-2018</w:t>
            </w:r>
          </w:p>
        </w:tc>
      </w:tr>
      <w:tr w14:paraId="652B258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370F907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w:t>
            </w:r>
          </w:p>
        </w:tc>
        <w:tc>
          <w:tcPr>
            <w:tcW w:w="5551" w:type="dxa"/>
            <w:tcBorders>
              <w:tl2br w:val="nil"/>
              <w:tr2bl w:val="nil"/>
            </w:tcBorders>
            <w:vAlign w:val="center"/>
          </w:tcPr>
          <w:p w14:paraId="2759734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《大气污染物综合排放标准》</w:t>
            </w:r>
          </w:p>
        </w:tc>
        <w:tc>
          <w:tcPr>
            <w:tcW w:w="2283" w:type="dxa"/>
            <w:tcBorders>
              <w:tl2br w:val="nil"/>
              <w:tr2bl w:val="nil"/>
            </w:tcBorders>
            <w:vAlign w:val="center"/>
          </w:tcPr>
          <w:p w14:paraId="30F8D3C4">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GB16297-1996</w:t>
            </w:r>
          </w:p>
        </w:tc>
      </w:tr>
      <w:tr w14:paraId="75FE709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36CB281B">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w:t>
            </w:r>
          </w:p>
        </w:tc>
        <w:tc>
          <w:tcPr>
            <w:tcW w:w="5551" w:type="dxa"/>
            <w:tcBorders>
              <w:tl2br w:val="nil"/>
              <w:tr2bl w:val="nil"/>
            </w:tcBorders>
            <w:vAlign w:val="center"/>
          </w:tcPr>
          <w:p w14:paraId="0824352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《污水综合排放标准》</w:t>
            </w:r>
          </w:p>
        </w:tc>
        <w:tc>
          <w:tcPr>
            <w:tcW w:w="2283" w:type="dxa"/>
            <w:tcBorders>
              <w:tl2br w:val="nil"/>
              <w:tr2bl w:val="nil"/>
            </w:tcBorders>
            <w:vAlign w:val="center"/>
          </w:tcPr>
          <w:p w14:paraId="2C801BF8">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GB8978-1996</w:t>
            </w:r>
          </w:p>
        </w:tc>
      </w:tr>
      <w:tr w14:paraId="0B47E43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30BD561C">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w:t>
            </w:r>
          </w:p>
        </w:tc>
        <w:tc>
          <w:tcPr>
            <w:tcW w:w="5551" w:type="dxa"/>
            <w:tcBorders>
              <w:tl2br w:val="nil"/>
              <w:tr2bl w:val="nil"/>
            </w:tcBorders>
            <w:vAlign w:val="center"/>
          </w:tcPr>
          <w:p w14:paraId="53936CF2">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《农村生活污水处理排放标准》</w:t>
            </w:r>
          </w:p>
        </w:tc>
        <w:tc>
          <w:tcPr>
            <w:tcW w:w="2283" w:type="dxa"/>
            <w:tcBorders>
              <w:tl2br w:val="nil"/>
              <w:tr2bl w:val="nil"/>
            </w:tcBorders>
            <w:vAlign w:val="center"/>
          </w:tcPr>
          <w:p w14:paraId="64D733B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DB65 4275-2019</w:t>
            </w:r>
          </w:p>
        </w:tc>
      </w:tr>
      <w:tr w14:paraId="0239817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669FAAB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w:t>
            </w:r>
          </w:p>
        </w:tc>
        <w:tc>
          <w:tcPr>
            <w:tcW w:w="5551" w:type="dxa"/>
            <w:tcBorders>
              <w:tl2br w:val="nil"/>
              <w:tr2bl w:val="nil"/>
            </w:tcBorders>
            <w:vAlign w:val="center"/>
          </w:tcPr>
          <w:p w14:paraId="7C0FDD4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《城市污水再生利用 城市杂用水水质》</w:t>
            </w:r>
          </w:p>
        </w:tc>
        <w:tc>
          <w:tcPr>
            <w:tcW w:w="2283" w:type="dxa"/>
            <w:tcBorders>
              <w:tl2br w:val="nil"/>
              <w:tr2bl w:val="nil"/>
            </w:tcBorders>
            <w:vAlign w:val="center"/>
          </w:tcPr>
          <w:p w14:paraId="68BE318F">
            <w:pPr>
              <w:spacing w:before="0" w:beforeAutospacing="0"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GB/T18920-2020</w:t>
            </w:r>
          </w:p>
        </w:tc>
      </w:tr>
      <w:tr w14:paraId="777B195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037F7BF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5551" w:type="dxa"/>
            <w:tcBorders>
              <w:tl2br w:val="nil"/>
              <w:tr2bl w:val="nil"/>
            </w:tcBorders>
            <w:vAlign w:val="center"/>
          </w:tcPr>
          <w:p w14:paraId="4748121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《建筑施工噪声排放标准》</w:t>
            </w:r>
          </w:p>
        </w:tc>
        <w:tc>
          <w:tcPr>
            <w:tcW w:w="2283" w:type="dxa"/>
            <w:tcBorders>
              <w:tl2br w:val="nil"/>
              <w:tr2bl w:val="nil"/>
            </w:tcBorders>
            <w:vAlign w:val="center"/>
          </w:tcPr>
          <w:p w14:paraId="39204739">
            <w:pPr>
              <w:spacing w:before="0" w:beforeAutospacing="0"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GB12523-20</w:t>
            </w:r>
            <w:r>
              <w:rPr>
                <w:rFonts w:hint="eastAsia" w:cs="Times New Roman"/>
                <w:color w:val="auto"/>
                <w:sz w:val="21"/>
                <w:szCs w:val="21"/>
                <w:highlight w:val="none"/>
                <w:lang w:val="en-US" w:eastAsia="zh-CN"/>
              </w:rPr>
              <w:t>25</w:t>
            </w:r>
          </w:p>
        </w:tc>
      </w:tr>
      <w:tr w14:paraId="51BE993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79FEB8F3">
            <w:pPr>
              <w:spacing w:before="0" w:beforeAutospacing="0" w:line="360" w:lineRule="exac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en-US" w:eastAsia="zh-CN"/>
              </w:rPr>
              <w:t>1</w:t>
            </w:r>
          </w:p>
        </w:tc>
        <w:tc>
          <w:tcPr>
            <w:tcW w:w="5551" w:type="dxa"/>
            <w:tcBorders>
              <w:tl2br w:val="nil"/>
              <w:tr2bl w:val="nil"/>
            </w:tcBorders>
            <w:vAlign w:val="center"/>
          </w:tcPr>
          <w:p w14:paraId="66E217A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《矿山生态环境保护与恢复治理技术规范（试行）》</w:t>
            </w:r>
          </w:p>
        </w:tc>
        <w:tc>
          <w:tcPr>
            <w:tcW w:w="2283" w:type="dxa"/>
            <w:tcBorders>
              <w:tl2br w:val="nil"/>
              <w:tr2bl w:val="nil"/>
            </w:tcBorders>
            <w:vAlign w:val="center"/>
          </w:tcPr>
          <w:p w14:paraId="06359FF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HJ651-2013</w:t>
            </w:r>
          </w:p>
        </w:tc>
      </w:tr>
      <w:tr w14:paraId="4BD1B6C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59518E23">
            <w:pPr>
              <w:spacing w:before="0" w:beforeAutospacing="0" w:line="360" w:lineRule="exac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en-US" w:eastAsia="zh-CN"/>
              </w:rPr>
              <w:t>2</w:t>
            </w:r>
          </w:p>
        </w:tc>
        <w:tc>
          <w:tcPr>
            <w:tcW w:w="5551" w:type="dxa"/>
            <w:tcBorders>
              <w:tl2br w:val="nil"/>
              <w:tr2bl w:val="nil"/>
            </w:tcBorders>
            <w:vAlign w:val="center"/>
          </w:tcPr>
          <w:p w14:paraId="52898CBD">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《尾矿库安全规程》</w:t>
            </w:r>
          </w:p>
        </w:tc>
        <w:tc>
          <w:tcPr>
            <w:tcW w:w="2283" w:type="dxa"/>
            <w:tcBorders>
              <w:tl2br w:val="nil"/>
              <w:tr2bl w:val="nil"/>
            </w:tcBorders>
            <w:vAlign w:val="center"/>
          </w:tcPr>
          <w:p w14:paraId="028D6C10">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GB39496-2020</w:t>
            </w:r>
          </w:p>
        </w:tc>
      </w:tr>
      <w:tr w14:paraId="41AF241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4673BE6F">
            <w:pPr>
              <w:spacing w:before="0" w:beforeAutospacing="0" w:line="360" w:lineRule="exac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2</w:t>
            </w:r>
            <w:r>
              <w:rPr>
                <w:rFonts w:hint="default" w:ascii="Times New Roman" w:hAnsi="Times New Roman" w:cs="Times New Roman"/>
                <w:color w:val="auto"/>
                <w:sz w:val="21"/>
                <w:szCs w:val="21"/>
                <w:highlight w:val="none"/>
                <w:lang w:val="en-US" w:eastAsia="zh-CN"/>
              </w:rPr>
              <w:t>3</w:t>
            </w:r>
          </w:p>
        </w:tc>
        <w:tc>
          <w:tcPr>
            <w:tcW w:w="5551" w:type="dxa"/>
            <w:tcBorders>
              <w:tl2br w:val="nil"/>
              <w:tr2bl w:val="nil"/>
            </w:tcBorders>
            <w:vAlign w:val="center"/>
          </w:tcPr>
          <w:p w14:paraId="24D9C87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《水土保持综合治理技术规范》</w:t>
            </w:r>
          </w:p>
        </w:tc>
        <w:tc>
          <w:tcPr>
            <w:tcW w:w="2283" w:type="dxa"/>
            <w:tcBorders>
              <w:tl2br w:val="nil"/>
              <w:tr2bl w:val="nil"/>
            </w:tcBorders>
            <w:vAlign w:val="center"/>
          </w:tcPr>
          <w:p w14:paraId="2BDCE53A">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GB16453.1</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16453.6-2011</w:t>
            </w:r>
          </w:p>
        </w:tc>
      </w:tr>
      <w:tr w14:paraId="58794D5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4BD37669">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26</w:t>
            </w:r>
          </w:p>
        </w:tc>
        <w:tc>
          <w:tcPr>
            <w:tcW w:w="5551" w:type="dxa"/>
            <w:tcBorders>
              <w:tl2br w:val="nil"/>
              <w:tr2bl w:val="nil"/>
            </w:tcBorders>
            <w:shd w:val="clear" w:color="auto" w:fill="auto"/>
            <w:vAlign w:val="center"/>
          </w:tcPr>
          <w:p w14:paraId="3D76D55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《尾矿库安全监测技术规范》</w:t>
            </w:r>
          </w:p>
        </w:tc>
        <w:tc>
          <w:tcPr>
            <w:tcW w:w="2283" w:type="dxa"/>
            <w:tcBorders>
              <w:tl2br w:val="nil"/>
              <w:tr2bl w:val="nil"/>
            </w:tcBorders>
            <w:shd w:val="clear" w:color="auto" w:fill="auto"/>
            <w:vAlign w:val="center"/>
          </w:tcPr>
          <w:p w14:paraId="3DFE831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AQ2030-2010</w:t>
            </w:r>
          </w:p>
        </w:tc>
      </w:tr>
      <w:tr w14:paraId="4D1FAB8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40D4476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27</w:t>
            </w:r>
          </w:p>
        </w:tc>
        <w:tc>
          <w:tcPr>
            <w:tcW w:w="5551" w:type="dxa"/>
            <w:tcBorders>
              <w:tl2br w:val="nil"/>
              <w:tr2bl w:val="nil"/>
            </w:tcBorders>
            <w:shd w:val="clear" w:color="auto" w:fill="auto"/>
            <w:vAlign w:val="center"/>
          </w:tcPr>
          <w:p w14:paraId="7809D75B">
            <w:pPr>
              <w:widowControl/>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rPr>
              <w:t>《排污许可证申请与核发技术规范 总则》</w:t>
            </w:r>
          </w:p>
        </w:tc>
        <w:tc>
          <w:tcPr>
            <w:tcW w:w="2283" w:type="dxa"/>
            <w:tcBorders>
              <w:tl2br w:val="nil"/>
              <w:tr2bl w:val="nil"/>
            </w:tcBorders>
            <w:shd w:val="clear" w:color="auto" w:fill="auto"/>
            <w:vAlign w:val="center"/>
          </w:tcPr>
          <w:p w14:paraId="5D48DC5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HJ942-2018</w:t>
            </w:r>
          </w:p>
        </w:tc>
      </w:tr>
      <w:tr w14:paraId="0630B8D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1E215F35">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w:t>
            </w:r>
          </w:p>
        </w:tc>
        <w:tc>
          <w:tcPr>
            <w:tcW w:w="5551" w:type="dxa"/>
            <w:tcBorders>
              <w:tl2br w:val="nil"/>
              <w:tr2bl w:val="nil"/>
            </w:tcBorders>
            <w:shd w:val="clear" w:color="auto" w:fill="auto"/>
            <w:vAlign w:val="center"/>
          </w:tcPr>
          <w:p w14:paraId="43482A3C">
            <w:pPr>
              <w:widowControl/>
              <w:spacing w:line="360" w:lineRule="exact"/>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《排污许可证申请与核发技术规范水处理通用工序》</w:t>
            </w:r>
          </w:p>
        </w:tc>
        <w:tc>
          <w:tcPr>
            <w:tcW w:w="2283" w:type="dxa"/>
            <w:tcBorders>
              <w:tl2br w:val="nil"/>
              <w:tr2bl w:val="nil"/>
            </w:tcBorders>
            <w:shd w:val="clear" w:color="auto" w:fill="auto"/>
            <w:vAlign w:val="center"/>
          </w:tcPr>
          <w:p w14:paraId="31F8611B">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HJ1120-2020</w:t>
            </w:r>
          </w:p>
        </w:tc>
      </w:tr>
      <w:tr w14:paraId="442A87F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5FB1F2DE">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29</w:t>
            </w:r>
          </w:p>
        </w:tc>
        <w:tc>
          <w:tcPr>
            <w:tcW w:w="5551" w:type="dxa"/>
            <w:tcBorders>
              <w:tl2br w:val="nil"/>
              <w:tr2bl w:val="nil"/>
            </w:tcBorders>
            <w:shd w:val="clear" w:color="auto" w:fill="auto"/>
            <w:vAlign w:val="center"/>
          </w:tcPr>
          <w:p w14:paraId="3F01A106">
            <w:pPr>
              <w:widowControl/>
              <w:spacing w:line="360" w:lineRule="exact"/>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"http://www.mee.gov.cn/ywgz/fgbz/bz/bzwb/jcffbz/202012/W020201203608473632069.pdf"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kern w:val="0"/>
                <w:sz w:val="21"/>
                <w:szCs w:val="21"/>
                <w:highlight w:val="none"/>
              </w:rPr>
              <w:t>地下水环境监测技术规范</w:t>
            </w:r>
            <w:r>
              <w:rPr>
                <w:rFonts w:hint="default" w:ascii="Times New Roman" w:hAnsi="Times New Roman" w:cs="Times New Roman"/>
                <w:color w:val="auto"/>
                <w:kern w:val="0"/>
                <w:sz w:val="21"/>
                <w:szCs w:val="21"/>
                <w:highlight w:val="none"/>
              </w:rPr>
              <w:fldChar w:fldCharType="end"/>
            </w:r>
            <w:r>
              <w:rPr>
                <w:rFonts w:hint="default" w:ascii="Times New Roman" w:hAnsi="Times New Roman" w:cs="Times New Roman"/>
                <w:color w:val="auto"/>
                <w:kern w:val="0"/>
                <w:sz w:val="21"/>
                <w:szCs w:val="21"/>
                <w:highlight w:val="none"/>
                <w:lang w:eastAsia="zh-CN"/>
              </w:rPr>
              <w:t>》</w:t>
            </w:r>
          </w:p>
        </w:tc>
        <w:tc>
          <w:tcPr>
            <w:tcW w:w="2283" w:type="dxa"/>
            <w:tcBorders>
              <w:tl2br w:val="nil"/>
              <w:tr2bl w:val="nil"/>
            </w:tcBorders>
            <w:shd w:val="clear" w:color="auto" w:fill="auto"/>
            <w:vAlign w:val="center"/>
          </w:tcPr>
          <w:p w14:paraId="43F468DA">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HJ164-2020</w:t>
            </w:r>
          </w:p>
        </w:tc>
      </w:tr>
      <w:tr w14:paraId="0CC161C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75544361">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5551" w:type="dxa"/>
            <w:tcBorders>
              <w:tl2br w:val="nil"/>
              <w:tr2bl w:val="nil"/>
            </w:tcBorders>
            <w:shd w:val="clear" w:color="auto" w:fill="auto"/>
            <w:vAlign w:val="center"/>
          </w:tcPr>
          <w:p w14:paraId="29D3A743">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《一般工业固体废物贮存和填埋污染控制标准》</w:t>
            </w:r>
          </w:p>
        </w:tc>
        <w:tc>
          <w:tcPr>
            <w:tcW w:w="2283" w:type="dxa"/>
            <w:tcBorders>
              <w:tl2br w:val="nil"/>
              <w:tr2bl w:val="nil"/>
            </w:tcBorders>
            <w:shd w:val="clear" w:color="auto" w:fill="auto"/>
            <w:vAlign w:val="center"/>
          </w:tcPr>
          <w:p w14:paraId="187093C8">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GB18599-2020</w:t>
            </w:r>
          </w:p>
        </w:tc>
      </w:tr>
      <w:tr w14:paraId="25DB028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55D7C47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31</w:t>
            </w:r>
          </w:p>
        </w:tc>
        <w:tc>
          <w:tcPr>
            <w:tcW w:w="5551" w:type="dxa"/>
            <w:tcBorders>
              <w:tl2br w:val="nil"/>
              <w:tr2bl w:val="nil"/>
            </w:tcBorders>
            <w:shd w:val="clear" w:color="auto" w:fill="auto"/>
            <w:vAlign w:val="center"/>
          </w:tcPr>
          <w:p w14:paraId="5B24D861">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《排污单位自行监测技术指南</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总则》</w:t>
            </w:r>
          </w:p>
        </w:tc>
        <w:tc>
          <w:tcPr>
            <w:tcW w:w="2283" w:type="dxa"/>
            <w:tcBorders>
              <w:tl2br w:val="nil"/>
              <w:tr2bl w:val="nil"/>
            </w:tcBorders>
            <w:shd w:val="clear" w:color="auto" w:fill="auto"/>
            <w:vAlign w:val="center"/>
          </w:tcPr>
          <w:p w14:paraId="1198B320">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HJ819-2017</w:t>
            </w:r>
          </w:p>
        </w:tc>
      </w:tr>
      <w:tr w14:paraId="2F70289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2F8E6C0F">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w:t>
            </w:r>
          </w:p>
        </w:tc>
        <w:tc>
          <w:tcPr>
            <w:tcW w:w="5551" w:type="dxa"/>
            <w:tcBorders>
              <w:tl2br w:val="nil"/>
              <w:tr2bl w:val="nil"/>
            </w:tcBorders>
            <w:shd w:val="clear" w:color="auto" w:fill="auto"/>
            <w:vAlign w:val="center"/>
          </w:tcPr>
          <w:p w14:paraId="70D6B0EF">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《污染源源强核算技术指南 准则》</w:t>
            </w:r>
          </w:p>
        </w:tc>
        <w:tc>
          <w:tcPr>
            <w:tcW w:w="2283" w:type="dxa"/>
            <w:tcBorders>
              <w:tl2br w:val="nil"/>
              <w:tr2bl w:val="nil"/>
            </w:tcBorders>
            <w:shd w:val="clear" w:color="auto" w:fill="auto"/>
            <w:vAlign w:val="center"/>
          </w:tcPr>
          <w:p w14:paraId="712D7CB9">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HJ884-2018</w:t>
            </w:r>
          </w:p>
        </w:tc>
      </w:tr>
      <w:tr w14:paraId="12697CF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4455B1B6">
            <w:pPr>
              <w:spacing w:before="0" w:beforeAutospacing="0"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33</w:t>
            </w:r>
          </w:p>
        </w:tc>
        <w:tc>
          <w:tcPr>
            <w:tcW w:w="5551" w:type="dxa"/>
            <w:tcBorders>
              <w:tl2br w:val="nil"/>
              <w:tr2bl w:val="nil"/>
            </w:tcBorders>
            <w:shd w:val="clear" w:color="auto" w:fill="auto"/>
            <w:vAlign w:val="center"/>
          </w:tcPr>
          <w:p w14:paraId="08E8337C">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《非金属矿行业绿色矿山建设规范》</w:t>
            </w:r>
          </w:p>
        </w:tc>
        <w:tc>
          <w:tcPr>
            <w:tcW w:w="2283" w:type="dxa"/>
            <w:tcBorders>
              <w:tl2br w:val="nil"/>
              <w:tr2bl w:val="nil"/>
            </w:tcBorders>
            <w:shd w:val="clear" w:color="auto" w:fill="auto"/>
            <w:vAlign w:val="center"/>
          </w:tcPr>
          <w:p w14:paraId="031DC102">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DZ/T0312-2018</w:t>
            </w:r>
          </w:p>
        </w:tc>
      </w:tr>
      <w:tr w14:paraId="7BAF9BA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29" w:type="dxa"/>
            <w:tcBorders>
              <w:tl2br w:val="nil"/>
              <w:tr2bl w:val="nil"/>
            </w:tcBorders>
            <w:vAlign w:val="center"/>
          </w:tcPr>
          <w:p w14:paraId="30829AF1">
            <w:pPr>
              <w:spacing w:before="0" w:beforeAutospacing="0"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34</w:t>
            </w:r>
          </w:p>
        </w:tc>
        <w:tc>
          <w:tcPr>
            <w:tcW w:w="5551" w:type="dxa"/>
            <w:tcBorders>
              <w:tl2br w:val="nil"/>
              <w:tr2bl w:val="nil"/>
            </w:tcBorders>
            <w:shd w:val="clear" w:color="auto" w:fill="auto"/>
            <w:vAlign w:val="center"/>
          </w:tcPr>
          <w:p w14:paraId="1DE792F4">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《危险废物贮存污染控制标准》</w:t>
            </w:r>
          </w:p>
        </w:tc>
        <w:tc>
          <w:tcPr>
            <w:tcW w:w="2283" w:type="dxa"/>
            <w:tcBorders>
              <w:tl2br w:val="nil"/>
              <w:tr2bl w:val="nil"/>
            </w:tcBorders>
            <w:shd w:val="clear" w:color="auto" w:fill="auto"/>
            <w:vAlign w:val="center"/>
          </w:tcPr>
          <w:p w14:paraId="4AE1D266">
            <w:pPr>
              <w:spacing w:before="0" w:beforeAutospacing="0"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GB1859</w:t>
            </w:r>
            <w:r>
              <w:rPr>
                <w:rFonts w:hint="eastAsia"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2023</w:t>
            </w:r>
          </w:p>
        </w:tc>
      </w:tr>
    </w:tbl>
    <w:p w14:paraId="6990522D">
      <w:pPr>
        <w:pStyle w:val="6"/>
        <w:rPr>
          <w:rFonts w:hint="default" w:ascii="Times New Roman" w:hAnsi="Times New Roman" w:cs="Times New Roman"/>
          <w:color w:val="auto"/>
          <w:highlight w:val="none"/>
        </w:rPr>
      </w:pPr>
      <w:bookmarkStart w:id="130" w:name="_Toc11471"/>
      <w:bookmarkStart w:id="131" w:name="_Toc28718"/>
      <w:bookmarkStart w:id="132" w:name="_Toc26242"/>
      <w:r>
        <w:rPr>
          <w:rFonts w:hint="default" w:ascii="Times New Roman" w:hAnsi="Times New Roman" w:cs="Times New Roman"/>
          <w:color w:val="auto"/>
          <w:highlight w:val="none"/>
        </w:rPr>
        <w:t>2.2.3</w:t>
      </w:r>
      <w:bookmarkEnd w:id="130"/>
      <w:bookmarkEnd w:id="131"/>
      <w:bookmarkEnd w:id="132"/>
      <w:r>
        <w:rPr>
          <w:rFonts w:hint="default" w:ascii="Times New Roman" w:hAnsi="Times New Roman" w:cs="Times New Roman"/>
          <w:color w:val="auto"/>
          <w:highlight w:val="none"/>
        </w:rPr>
        <w:t>与项目有关的其他文件</w:t>
      </w:r>
    </w:p>
    <w:p w14:paraId="4C4AA452">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新疆华瓯矿业有限公司新疆若羌县卡尔恰尔萤石矿采选项目（</w:t>
      </w:r>
      <w:r>
        <w:rPr>
          <w:rFonts w:hint="default" w:ascii="Times New Roman" w:hAnsi="Times New Roman" w:cs="Times New Roman"/>
          <w:color w:val="auto"/>
          <w:highlight w:val="none"/>
          <w:lang w:val="en-US" w:eastAsia="zh-CN"/>
        </w:rPr>
        <w:t>重大变动）</w:t>
      </w:r>
      <w:r>
        <w:rPr>
          <w:rFonts w:hint="default" w:ascii="Times New Roman" w:hAnsi="Times New Roman" w:cs="Times New Roman"/>
          <w:color w:val="auto"/>
          <w:highlight w:val="none"/>
        </w:rPr>
        <w:t>环评委托书</w:t>
      </w:r>
      <w:r>
        <w:rPr>
          <w:rFonts w:hint="default" w:ascii="Times New Roman" w:hAnsi="Times New Roman" w:cs="Times New Roman"/>
          <w:color w:val="auto"/>
          <w:highlight w:val="none"/>
          <w:lang w:eastAsia="zh-CN"/>
        </w:rPr>
        <w:t>；</w:t>
      </w:r>
    </w:p>
    <w:p w14:paraId="5ED39134">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（2）《新疆华瓯矿业有限公司新疆若羌县卡尔恰尔萤石矿采选</w:t>
      </w:r>
      <w:r>
        <w:rPr>
          <w:rFonts w:hint="eastAsia" w:cs="Times New Roman"/>
          <w:color w:val="auto"/>
          <w:highlight w:val="none"/>
          <w:lang w:val="en-US" w:eastAsia="zh-CN"/>
        </w:rPr>
        <w:t>工程</w:t>
      </w:r>
      <w:r>
        <w:rPr>
          <w:rFonts w:hint="default" w:ascii="Times New Roman" w:hAnsi="Times New Roman" w:cs="Times New Roman"/>
          <w:color w:val="auto"/>
          <w:highlight w:val="none"/>
          <w:lang w:val="en-US" w:eastAsia="zh-CN"/>
        </w:rPr>
        <w:t>环境影响报告书》</w:t>
      </w:r>
      <w:r>
        <w:rPr>
          <w:rFonts w:hint="eastAsia" w:cs="Times New Roman"/>
          <w:color w:val="auto"/>
          <w:highlight w:val="none"/>
          <w:lang w:val="en-US" w:eastAsia="zh-CN"/>
        </w:rPr>
        <w:t>（2023年5月）；</w:t>
      </w:r>
    </w:p>
    <w:p w14:paraId="3090317C">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关于</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新疆华瓯矿业有限公司新疆若羌县卡尔恰尔萤石矿采选</w:t>
      </w:r>
      <w:r>
        <w:rPr>
          <w:rFonts w:hint="eastAsia" w:cs="Times New Roman"/>
          <w:color w:val="auto"/>
          <w:highlight w:val="none"/>
          <w:lang w:val="en-US" w:eastAsia="zh-CN"/>
        </w:rPr>
        <w:t>工程</w:t>
      </w:r>
      <w:r>
        <w:rPr>
          <w:rFonts w:hint="default" w:ascii="Times New Roman" w:hAnsi="Times New Roman" w:cs="Times New Roman"/>
          <w:color w:val="auto"/>
          <w:highlight w:val="none"/>
          <w:lang w:val="en-US" w:eastAsia="zh-CN"/>
        </w:rPr>
        <w:t>环境影响报告书</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的批复</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（巴环评价函〔2023〕132号）；</w:t>
      </w:r>
    </w:p>
    <w:p w14:paraId="5C65186C">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新疆华瓯矿业有限公司新疆若羌县卡尔恰尔萤石矿初步设计（代可研）</w:t>
      </w:r>
      <w:r>
        <w:rPr>
          <w:rFonts w:hint="eastAsia" w:ascii="Times New Roman" w:hAnsi="Times New Roman" w:cs="Times New Roman"/>
          <w:color w:val="auto"/>
          <w:highlight w:val="none"/>
          <w:lang w:val="en-US" w:eastAsia="zh-CN"/>
        </w:rPr>
        <w:t>》（2024年4月）；</w:t>
      </w:r>
    </w:p>
    <w:p w14:paraId="0489AE78">
      <w:pPr>
        <w:bidi w:val="0"/>
        <w:rPr>
          <w:rFonts w:hint="eastAsia" w:cs="Times New Roman"/>
          <w:color w:val="auto"/>
          <w:highlight w:val="none"/>
          <w:lang w:val="en-US" w:eastAsia="zh-CN"/>
        </w:rPr>
      </w:pP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eastAsia="zh-CN"/>
        </w:rPr>
        <w:t>新疆华瓯矿业有限公司</w:t>
      </w:r>
      <w:r>
        <w:rPr>
          <w:rFonts w:hint="eastAsia" w:ascii="Times New Roman" w:hAnsi="Times New Roman" w:cs="Times New Roman"/>
          <w:color w:val="auto"/>
          <w:highlight w:val="none"/>
          <w:lang w:val="en-US" w:eastAsia="zh-CN"/>
        </w:rPr>
        <w:t>新疆若羌县卡尔恰尔萤石矿尾矿库安全设施设计》</w:t>
      </w:r>
      <w:r>
        <w:rPr>
          <w:rFonts w:hint="eastAsia" w:cs="Times New Roman"/>
          <w:color w:val="auto"/>
          <w:highlight w:val="none"/>
          <w:lang w:val="en-US" w:eastAsia="zh-CN"/>
        </w:rPr>
        <w:t>（2024年9月）；</w:t>
      </w:r>
    </w:p>
    <w:p w14:paraId="74136EEC">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（6）</w:t>
      </w:r>
      <w:r>
        <w:rPr>
          <w:rFonts w:hint="default" w:ascii="Times New Roman" w:hAnsi="Times New Roman" w:cs="Times New Roman"/>
          <w:color w:val="auto"/>
          <w:highlight w:val="none"/>
        </w:rPr>
        <w:t>其他与项目相关的技术资料</w:t>
      </w:r>
      <w:r>
        <w:rPr>
          <w:rFonts w:hint="default" w:ascii="Times New Roman" w:hAnsi="Times New Roman" w:cs="Times New Roman"/>
          <w:color w:val="auto"/>
          <w:highlight w:val="none"/>
          <w:lang w:eastAsia="zh-CN"/>
        </w:rPr>
        <w:t>。</w:t>
      </w:r>
    </w:p>
    <w:p w14:paraId="11E44CE0">
      <w:pPr>
        <w:pStyle w:val="5"/>
        <w:spacing w:line="560" w:lineRule="atLeast"/>
        <w:rPr>
          <w:rFonts w:hint="default" w:ascii="Times New Roman" w:hAnsi="Times New Roman" w:cs="Times New Roman"/>
          <w:color w:val="auto"/>
          <w:highlight w:val="none"/>
        </w:rPr>
      </w:pPr>
      <w:bookmarkStart w:id="133" w:name="_Toc10746"/>
      <w:bookmarkStart w:id="134" w:name="_Toc107414646"/>
      <w:bookmarkStart w:id="135" w:name="_Toc20392"/>
      <w:bookmarkStart w:id="136" w:name="_Toc29575"/>
      <w:bookmarkStart w:id="137" w:name="_Toc107413879"/>
      <w:bookmarkStart w:id="138" w:name="_Toc13789"/>
      <w:bookmarkStart w:id="139" w:name="_Toc26518"/>
      <w:bookmarkStart w:id="140" w:name="_Toc24102"/>
      <w:r>
        <w:rPr>
          <w:rFonts w:hint="default" w:ascii="Times New Roman" w:hAnsi="Times New Roman" w:cs="Times New Roman"/>
          <w:color w:val="auto"/>
          <w:highlight w:val="none"/>
        </w:rPr>
        <w:t>2.3环境影响评价时段</w:t>
      </w:r>
      <w:bookmarkEnd w:id="133"/>
      <w:bookmarkEnd w:id="134"/>
      <w:bookmarkEnd w:id="135"/>
      <w:bookmarkEnd w:id="136"/>
      <w:bookmarkEnd w:id="137"/>
      <w:bookmarkEnd w:id="138"/>
      <w:bookmarkEnd w:id="139"/>
      <w:bookmarkEnd w:id="140"/>
    </w:p>
    <w:p w14:paraId="22DED64C">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本项目分为三个评价时段：</w:t>
      </w:r>
    </w:p>
    <w:p w14:paraId="6ABE1EC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（1）施工期；</w:t>
      </w:r>
    </w:p>
    <w:p w14:paraId="01FC89C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（2）运营期；</w:t>
      </w:r>
    </w:p>
    <w:p w14:paraId="5A1B5703">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闭矿期</w:t>
      </w:r>
      <w:r>
        <w:rPr>
          <w:rFonts w:hint="default" w:ascii="Times New Roman" w:hAnsi="Times New Roman" w:cs="Times New Roman"/>
          <w:color w:val="auto"/>
          <w:highlight w:val="none"/>
        </w:rPr>
        <w:t>。</w:t>
      </w:r>
    </w:p>
    <w:p w14:paraId="5D1EEB48">
      <w:pPr>
        <w:pStyle w:val="5"/>
        <w:spacing w:line="560" w:lineRule="atLeast"/>
        <w:rPr>
          <w:rFonts w:hint="default" w:ascii="Times New Roman" w:hAnsi="Times New Roman" w:cs="Times New Roman"/>
          <w:color w:val="auto"/>
          <w:highlight w:val="none"/>
        </w:rPr>
      </w:pPr>
      <w:bookmarkStart w:id="141" w:name="_Toc107413880"/>
      <w:bookmarkStart w:id="142" w:name="_Toc21200"/>
      <w:bookmarkStart w:id="143" w:name="_Toc15441"/>
      <w:bookmarkStart w:id="144" w:name="_Toc13881"/>
      <w:bookmarkStart w:id="145" w:name="_Toc703"/>
      <w:bookmarkStart w:id="146" w:name="_Toc27166"/>
      <w:bookmarkStart w:id="147" w:name="_Toc107414647"/>
      <w:bookmarkStart w:id="148" w:name="_Toc4373"/>
      <w:r>
        <w:rPr>
          <w:rFonts w:hint="default" w:ascii="Times New Roman" w:hAnsi="Times New Roman" w:cs="Times New Roman"/>
          <w:color w:val="auto"/>
          <w:highlight w:val="none"/>
        </w:rPr>
        <w:t>2.4评价因子识别及筛选</w:t>
      </w:r>
      <w:bookmarkEnd w:id="141"/>
      <w:bookmarkEnd w:id="142"/>
      <w:bookmarkEnd w:id="143"/>
      <w:bookmarkEnd w:id="144"/>
      <w:bookmarkEnd w:id="145"/>
      <w:bookmarkEnd w:id="146"/>
      <w:bookmarkEnd w:id="147"/>
      <w:bookmarkEnd w:id="148"/>
    </w:p>
    <w:p w14:paraId="1489DC2D">
      <w:pPr>
        <w:pStyle w:val="6"/>
        <w:rPr>
          <w:rFonts w:hint="default" w:ascii="Times New Roman" w:hAnsi="Times New Roman" w:cs="Times New Roman"/>
          <w:color w:val="auto"/>
          <w:highlight w:val="none"/>
        </w:rPr>
      </w:pPr>
      <w:bookmarkStart w:id="149" w:name="_Toc8082"/>
      <w:bookmarkStart w:id="150" w:name="_Toc1207"/>
      <w:bookmarkStart w:id="151" w:name="_Toc31514"/>
      <w:bookmarkStart w:id="152" w:name="_Toc21190"/>
      <w:bookmarkStart w:id="153" w:name="_Toc8897"/>
      <w:bookmarkStart w:id="154" w:name="_Toc16194"/>
      <w:bookmarkStart w:id="155" w:name="_Toc13960"/>
      <w:bookmarkStart w:id="156" w:name="_Toc27907"/>
      <w:bookmarkStart w:id="157" w:name="_Toc5447"/>
      <w:r>
        <w:rPr>
          <w:rFonts w:hint="default" w:ascii="Times New Roman" w:hAnsi="Times New Roman" w:cs="Times New Roman"/>
          <w:color w:val="auto"/>
          <w:highlight w:val="none"/>
        </w:rPr>
        <w:t>2.4.1环境影响因素识别</w:t>
      </w:r>
      <w:bookmarkEnd w:id="149"/>
      <w:bookmarkEnd w:id="150"/>
      <w:bookmarkEnd w:id="151"/>
      <w:bookmarkEnd w:id="152"/>
      <w:bookmarkEnd w:id="153"/>
      <w:bookmarkEnd w:id="154"/>
      <w:bookmarkEnd w:id="155"/>
      <w:bookmarkEnd w:id="156"/>
      <w:bookmarkEnd w:id="157"/>
    </w:p>
    <w:p w14:paraId="0E50459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本项目为选矿工程，经过对本项目生产工艺和污染物排放特征分析及对周围环境状况的调查，采用矩阵法对可能受本项目影响的环境要素进行识别筛选</w:t>
      </w:r>
      <w:r>
        <w:rPr>
          <w:rFonts w:hint="default" w:ascii="Times New Roman" w:hAnsi="Times New Roman" w:cs="Times New Roman"/>
          <w:color w:val="auto"/>
          <w:highlight w:val="none"/>
        </w:rPr>
        <w:t>，项目环境影响因素识别见表2.4-1。</w:t>
      </w:r>
    </w:p>
    <w:p w14:paraId="01B4BB7A">
      <w:pPr>
        <w:pStyle w:val="19"/>
        <w:bidi w:val="0"/>
        <w:rPr>
          <w:rFonts w:hint="default" w:ascii="Times New Roman" w:hAnsi="Times New Roman" w:cs="Times New Roman"/>
          <w:color w:val="auto"/>
          <w:highlight w:val="none"/>
        </w:rPr>
        <w:sectPr>
          <w:pgSz w:w="11906" w:h="16838"/>
          <w:pgMar w:top="1440" w:right="1800" w:bottom="1440" w:left="1800" w:header="851" w:footer="992" w:gutter="0"/>
          <w:cols w:space="425" w:num="1"/>
          <w:docGrid w:type="lines" w:linePitch="312" w:charSpace="0"/>
        </w:sectPr>
      </w:pPr>
    </w:p>
    <w:p w14:paraId="13E0D24D">
      <w:pPr>
        <w:pStyle w:val="1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表2.4-1    主要环境影响因素识别表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2518"/>
        <w:gridCol w:w="970"/>
        <w:gridCol w:w="915"/>
        <w:gridCol w:w="998"/>
        <w:gridCol w:w="990"/>
        <w:gridCol w:w="943"/>
        <w:gridCol w:w="1735"/>
        <w:gridCol w:w="1086"/>
        <w:gridCol w:w="1038"/>
        <w:gridCol w:w="1103"/>
        <w:gridCol w:w="1091"/>
      </w:tblGrid>
      <w:tr w14:paraId="40E1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276" w:type="pct"/>
            <w:vMerge w:val="restart"/>
            <w:tcBorders>
              <w:tl2br w:val="nil"/>
              <w:tr2bl w:val="nil"/>
            </w:tcBorders>
            <w:vAlign w:val="center"/>
          </w:tcPr>
          <w:p w14:paraId="737F537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评价时段</w:t>
            </w:r>
          </w:p>
        </w:tc>
        <w:tc>
          <w:tcPr>
            <w:tcW w:w="888" w:type="pct"/>
            <w:vMerge w:val="restart"/>
            <w:tcBorders>
              <w:tl2br w:val="nil"/>
              <w:tr2bl w:val="nil"/>
            </w:tcBorders>
            <w:vAlign w:val="center"/>
          </w:tcPr>
          <w:p w14:paraId="6478C7C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污染因素</w:t>
            </w:r>
          </w:p>
        </w:tc>
        <w:tc>
          <w:tcPr>
            <w:tcW w:w="3834" w:type="pct"/>
            <w:gridSpan w:val="10"/>
            <w:tcBorders>
              <w:tl2br w:val="nil"/>
              <w:tr2bl w:val="nil"/>
            </w:tcBorders>
            <w:vAlign w:val="center"/>
          </w:tcPr>
          <w:p w14:paraId="5061D5D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环境要素</w:t>
            </w:r>
          </w:p>
        </w:tc>
      </w:tr>
      <w:tr w14:paraId="3AE4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276" w:type="pct"/>
            <w:vMerge w:val="continue"/>
            <w:tcBorders>
              <w:tl2br w:val="nil"/>
              <w:tr2bl w:val="nil"/>
            </w:tcBorders>
            <w:vAlign w:val="center"/>
          </w:tcPr>
          <w:p w14:paraId="2F84E1DB">
            <w:pPr>
              <w:pStyle w:val="17"/>
              <w:bidi w:val="0"/>
              <w:rPr>
                <w:rFonts w:hint="default" w:ascii="Times New Roman" w:hAnsi="Times New Roman" w:cs="Times New Roman"/>
                <w:color w:val="auto"/>
                <w:highlight w:val="none"/>
              </w:rPr>
            </w:pPr>
          </w:p>
        </w:tc>
        <w:tc>
          <w:tcPr>
            <w:tcW w:w="888" w:type="pct"/>
            <w:vMerge w:val="continue"/>
            <w:tcBorders>
              <w:tl2br w:val="nil"/>
              <w:tr2bl w:val="nil"/>
            </w:tcBorders>
            <w:vAlign w:val="center"/>
          </w:tcPr>
          <w:p w14:paraId="3ACB3315">
            <w:pPr>
              <w:pStyle w:val="17"/>
              <w:bidi w:val="0"/>
              <w:rPr>
                <w:rFonts w:hint="default" w:ascii="Times New Roman" w:hAnsi="Times New Roman" w:cs="Times New Roman"/>
                <w:color w:val="auto"/>
                <w:highlight w:val="none"/>
              </w:rPr>
            </w:pPr>
          </w:p>
        </w:tc>
        <w:tc>
          <w:tcPr>
            <w:tcW w:w="342" w:type="pct"/>
            <w:vMerge w:val="restart"/>
            <w:tcBorders>
              <w:tl2br w:val="nil"/>
              <w:tr2bl w:val="nil"/>
            </w:tcBorders>
            <w:vAlign w:val="center"/>
          </w:tcPr>
          <w:p w14:paraId="45C202E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环境空气</w:t>
            </w:r>
          </w:p>
        </w:tc>
        <w:tc>
          <w:tcPr>
            <w:tcW w:w="322" w:type="pct"/>
            <w:vMerge w:val="restart"/>
            <w:tcBorders>
              <w:tl2br w:val="nil"/>
              <w:tr2bl w:val="nil"/>
            </w:tcBorders>
            <w:vAlign w:val="center"/>
          </w:tcPr>
          <w:p w14:paraId="45F85FB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w:t>
            </w:r>
          </w:p>
        </w:tc>
        <w:tc>
          <w:tcPr>
            <w:tcW w:w="352" w:type="pct"/>
            <w:vMerge w:val="restart"/>
            <w:tcBorders>
              <w:tl2br w:val="nil"/>
              <w:tr2bl w:val="nil"/>
            </w:tcBorders>
            <w:vAlign w:val="center"/>
          </w:tcPr>
          <w:p w14:paraId="70074C9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w:t>
            </w:r>
          </w:p>
        </w:tc>
        <w:tc>
          <w:tcPr>
            <w:tcW w:w="349" w:type="pct"/>
            <w:vMerge w:val="restart"/>
            <w:tcBorders>
              <w:tl2br w:val="nil"/>
              <w:tr2bl w:val="nil"/>
            </w:tcBorders>
            <w:vAlign w:val="center"/>
          </w:tcPr>
          <w:p w14:paraId="40BA9A8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声环境</w:t>
            </w:r>
          </w:p>
        </w:tc>
        <w:tc>
          <w:tcPr>
            <w:tcW w:w="2083" w:type="pct"/>
            <w:gridSpan w:val="5"/>
            <w:tcBorders>
              <w:tl2br w:val="nil"/>
              <w:tr2bl w:val="nil"/>
            </w:tcBorders>
            <w:vAlign w:val="center"/>
          </w:tcPr>
          <w:p w14:paraId="542C591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生态</w:t>
            </w:r>
          </w:p>
        </w:tc>
        <w:tc>
          <w:tcPr>
            <w:tcW w:w="385" w:type="pct"/>
            <w:vMerge w:val="restart"/>
            <w:tcBorders>
              <w:tl2br w:val="nil"/>
              <w:tr2bl w:val="nil"/>
            </w:tcBorders>
            <w:vAlign w:val="center"/>
          </w:tcPr>
          <w:p w14:paraId="57016AB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w:t>
            </w:r>
          </w:p>
        </w:tc>
      </w:tr>
      <w:tr w14:paraId="20CA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276" w:type="pct"/>
            <w:vMerge w:val="continue"/>
            <w:tcBorders>
              <w:tl2br w:val="nil"/>
              <w:tr2bl w:val="nil"/>
            </w:tcBorders>
            <w:vAlign w:val="center"/>
          </w:tcPr>
          <w:p w14:paraId="627F4FEB">
            <w:pPr>
              <w:pStyle w:val="17"/>
              <w:bidi w:val="0"/>
              <w:rPr>
                <w:rFonts w:hint="default" w:ascii="Times New Roman" w:hAnsi="Times New Roman" w:cs="Times New Roman"/>
                <w:color w:val="auto"/>
                <w:highlight w:val="none"/>
              </w:rPr>
            </w:pPr>
          </w:p>
        </w:tc>
        <w:tc>
          <w:tcPr>
            <w:tcW w:w="888" w:type="pct"/>
            <w:vMerge w:val="continue"/>
            <w:tcBorders>
              <w:tl2br w:val="nil"/>
              <w:tr2bl w:val="nil"/>
            </w:tcBorders>
            <w:vAlign w:val="center"/>
          </w:tcPr>
          <w:p w14:paraId="7F913B76">
            <w:pPr>
              <w:pStyle w:val="17"/>
              <w:bidi w:val="0"/>
              <w:rPr>
                <w:rFonts w:hint="default" w:ascii="Times New Roman" w:hAnsi="Times New Roman" w:cs="Times New Roman"/>
                <w:color w:val="auto"/>
                <w:highlight w:val="none"/>
              </w:rPr>
            </w:pPr>
          </w:p>
        </w:tc>
        <w:tc>
          <w:tcPr>
            <w:tcW w:w="342" w:type="pct"/>
            <w:vMerge w:val="continue"/>
            <w:tcBorders>
              <w:tl2br w:val="nil"/>
              <w:tr2bl w:val="nil"/>
            </w:tcBorders>
            <w:vAlign w:val="center"/>
          </w:tcPr>
          <w:p w14:paraId="69690EAF">
            <w:pPr>
              <w:pStyle w:val="17"/>
              <w:bidi w:val="0"/>
              <w:rPr>
                <w:rFonts w:hint="default" w:ascii="Times New Roman" w:hAnsi="Times New Roman" w:cs="Times New Roman"/>
                <w:color w:val="auto"/>
                <w:highlight w:val="none"/>
              </w:rPr>
            </w:pPr>
          </w:p>
        </w:tc>
        <w:tc>
          <w:tcPr>
            <w:tcW w:w="322" w:type="pct"/>
            <w:vMerge w:val="continue"/>
            <w:tcBorders>
              <w:tl2br w:val="nil"/>
              <w:tr2bl w:val="nil"/>
            </w:tcBorders>
            <w:vAlign w:val="center"/>
          </w:tcPr>
          <w:p w14:paraId="5026F1FE">
            <w:pPr>
              <w:pStyle w:val="17"/>
              <w:bidi w:val="0"/>
              <w:rPr>
                <w:rFonts w:hint="default" w:ascii="Times New Roman" w:hAnsi="Times New Roman" w:cs="Times New Roman"/>
                <w:color w:val="auto"/>
                <w:highlight w:val="none"/>
              </w:rPr>
            </w:pPr>
          </w:p>
        </w:tc>
        <w:tc>
          <w:tcPr>
            <w:tcW w:w="352" w:type="pct"/>
            <w:vMerge w:val="continue"/>
            <w:tcBorders>
              <w:tl2br w:val="nil"/>
              <w:tr2bl w:val="nil"/>
            </w:tcBorders>
            <w:vAlign w:val="center"/>
          </w:tcPr>
          <w:p w14:paraId="00F051BF">
            <w:pPr>
              <w:pStyle w:val="17"/>
              <w:bidi w:val="0"/>
              <w:rPr>
                <w:rFonts w:hint="default" w:ascii="Times New Roman" w:hAnsi="Times New Roman" w:cs="Times New Roman"/>
                <w:color w:val="auto"/>
                <w:highlight w:val="none"/>
              </w:rPr>
            </w:pPr>
          </w:p>
        </w:tc>
        <w:tc>
          <w:tcPr>
            <w:tcW w:w="349" w:type="pct"/>
            <w:vMerge w:val="continue"/>
            <w:tcBorders>
              <w:tl2br w:val="nil"/>
              <w:tr2bl w:val="nil"/>
            </w:tcBorders>
            <w:vAlign w:val="center"/>
          </w:tcPr>
          <w:p w14:paraId="17319B22">
            <w:pPr>
              <w:pStyle w:val="17"/>
              <w:bidi w:val="0"/>
              <w:rPr>
                <w:rFonts w:hint="default" w:ascii="Times New Roman" w:hAnsi="Times New Roman" w:cs="Times New Roman"/>
                <w:color w:val="auto"/>
                <w:highlight w:val="none"/>
              </w:rPr>
            </w:pPr>
          </w:p>
        </w:tc>
        <w:tc>
          <w:tcPr>
            <w:tcW w:w="332" w:type="pct"/>
            <w:tcBorders>
              <w:tl2br w:val="nil"/>
              <w:tr2bl w:val="nil"/>
            </w:tcBorders>
            <w:vAlign w:val="center"/>
          </w:tcPr>
          <w:p w14:paraId="5F85036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植被</w:t>
            </w:r>
          </w:p>
        </w:tc>
        <w:tc>
          <w:tcPr>
            <w:tcW w:w="612" w:type="pct"/>
            <w:tcBorders>
              <w:tl2br w:val="nil"/>
              <w:tr2bl w:val="nil"/>
            </w:tcBorders>
            <w:vAlign w:val="center"/>
          </w:tcPr>
          <w:p w14:paraId="364BBA0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土壤或土地利用</w:t>
            </w:r>
          </w:p>
        </w:tc>
        <w:tc>
          <w:tcPr>
            <w:tcW w:w="383" w:type="pct"/>
            <w:tcBorders>
              <w:tl2br w:val="nil"/>
              <w:tr2bl w:val="nil"/>
            </w:tcBorders>
            <w:vAlign w:val="center"/>
          </w:tcPr>
          <w:p w14:paraId="501561D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水土流失</w:t>
            </w:r>
          </w:p>
        </w:tc>
        <w:tc>
          <w:tcPr>
            <w:tcW w:w="366" w:type="pct"/>
            <w:tcBorders>
              <w:tl2br w:val="nil"/>
              <w:tr2bl w:val="nil"/>
            </w:tcBorders>
            <w:vAlign w:val="center"/>
          </w:tcPr>
          <w:p w14:paraId="6017A39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自然景观</w:t>
            </w:r>
          </w:p>
        </w:tc>
        <w:tc>
          <w:tcPr>
            <w:tcW w:w="389" w:type="pct"/>
            <w:tcBorders>
              <w:tl2br w:val="nil"/>
              <w:tr2bl w:val="nil"/>
            </w:tcBorders>
            <w:vAlign w:val="center"/>
          </w:tcPr>
          <w:p w14:paraId="2D99F82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野生生物</w:t>
            </w:r>
          </w:p>
        </w:tc>
        <w:tc>
          <w:tcPr>
            <w:tcW w:w="385" w:type="pct"/>
            <w:vMerge w:val="continue"/>
            <w:tcBorders>
              <w:tl2br w:val="nil"/>
              <w:tr2bl w:val="nil"/>
            </w:tcBorders>
            <w:vAlign w:val="center"/>
          </w:tcPr>
          <w:p w14:paraId="7B5201EF">
            <w:pPr>
              <w:pStyle w:val="17"/>
              <w:bidi w:val="0"/>
              <w:rPr>
                <w:rFonts w:hint="default" w:ascii="Times New Roman" w:hAnsi="Times New Roman" w:cs="Times New Roman"/>
                <w:color w:val="auto"/>
                <w:highlight w:val="none"/>
              </w:rPr>
            </w:pPr>
          </w:p>
        </w:tc>
      </w:tr>
      <w:tr w14:paraId="4E39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restart"/>
            <w:tcBorders>
              <w:tl2br w:val="nil"/>
              <w:tr2bl w:val="nil"/>
            </w:tcBorders>
            <w:vAlign w:val="center"/>
          </w:tcPr>
          <w:p w14:paraId="3323ECE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施工期</w:t>
            </w:r>
          </w:p>
        </w:tc>
        <w:tc>
          <w:tcPr>
            <w:tcW w:w="888" w:type="pct"/>
            <w:tcBorders>
              <w:tl2br w:val="nil"/>
              <w:tr2bl w:val="nil"/>
            </w:tcBorders>
            <w:shd w:val="clear" w:color="auto" w:fill="auto"/>
            <w:vAlign w:val="center"/>
          </w:tcPr>
          <w:p w14:paraId="1D8D4A70">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井巷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硐</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开拓</w:t>
            </w:r>
          </w:p>
        </w:tc>
        <w:tc>
          <w:tcPr>
            <w:tcW w:w="342" w:type="pct"/>
            <w:tcBorders>
              <w:tl2br w:val="nil"/>
              <w:tr2bl w:val="nil"/>
            </w:tcBorders>
            <w:shd w:val="clear" w:color="auto" w:fill="auto"/>
            <w:vAlign w:val="center"/>
          </w:tcPr>
          <w:p w14:paraId="61D2EB18">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22" w:type="pct"/>
            <w:tcBorders>
              <w:tl2br w:val="nil"/>
              <w:tr2bl w:val="nil"/>
            </w:tcBorders>
            <w:shd w:val="clear" w:color="auto" w:fill="auto"/>
            <w:vAlign w:val="center"/>
          </w:tcPr>
          <w:p w14:paraId="5D25BE64">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352" w:type="pct"/>
            <w:tcBorders>
              <w:tl2br w:val="nil"/>
              <w:tr2bl w:val="nil"/>
            </w:tcBorders>
            <w:shd w:val="clear" w:color="auto" w:fill="auto"/>
            <w:vAlign w:val="center"/>
          </w:tcPr>
          <w:p w14:paraId="1FB083C0">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49" w:type="pct"/>
            <w:tcBorders>
              <w:tl2br w:val="nil"/>
              <w:tr2bl w:val="nil"/>
            </w:tcBorders>
            <w:shd w:val="clear" w:color="auto" w:fill="auto"/>
            <w:vAlign w:val="center"/>
          </w:tcPr>
          <w:p w14:paraId="7C416CE8">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-2D</w:t>
            </w:r>
          </w:p>
        </w:tc>
        <w:tc>
          <w:tcPr>
            <w:tcW w:w="332" w:type="pct"/>
            <w:tcBorders>
              <w:tl2br w:val="nil"/>
              <w:tr2bl w:val="nil"/>
            </w:tcBorders>
            <w:shd w:val="clear" w:color="auto" w:fill="auto"/>
            <w:vAlign w:val="center"/>
          </w:tcPr>
          <w:p w14:paraId="7D0D6E5A">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612" w:type="pct"/>
            <w:tcBorders>
              <w:tl2br w:val="nil"/>
              <w:tr2bl w:val="nil"/>
            </w:tcBorders>
            <w:shd w:val="clear" w:color="auto" w:fill="auto"/>
            <w:vAlign w:val="center"/>
          </w:tcPr>
          <w:p w14:paraId="0F92AE91">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83" w:type="pct"/>
            <w:tcBorders>
              <w:tl2br w:val="nil"/>
              <w:tr2bl w:val="nil"/>
            </w:tcBorders>
            <w:shd w:val="clear" w:color="auto" w:fill="auto"/>
            <w:vAlign w:val="center"/>
          </w:tcPr>
          <w:p w14:paraId="720C8001">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66" w:type="pct"/>
            <w:tcBorders>
              <w:tl2br w:val="nil"/>
              <w:tr2bl w:val="nil"/>
            </w:tcBorders>
            <w:shd w:val="clear" w:color="auto" w:fill="auto"/>
            <w:vAlign w:val="center"/>
          </w:tcPr>
          <w:p w14:paraId="7243FB84">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89" w:type="pct"/>
            <w:tcBorders>
              <w:tl2br w:val="nil"/>
              <w:tr2bl w:val="nil"/>
            </w:tcBorders>
            <w:shd w:val="clear" w:color="auto" w:fill="auto"/>
            <w:vAlign w:val="center"/>
          </w:tcPr>
          <w:p w14:paraId="00F77EF8">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85" w:type="pct"/>
            <w:tcBorders>
              <w:tl2br w:val="nil"/>
              <w:tr2bl w:val="nil"/>
            </w:tcBorders>
            <w:shd w:val="clear" w:color="auto" w:fill="auto"/>
            <w:vAlign w:val="center"/>
          </w:tcPr>
          <w:p w14:paraId="573E8552">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r>
      <w:tr w14:paraId="37A1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7B2F9FC6">
            <w:pPr>
              <w:pStyle w:val="17"/>
              <w:bidi w:val="0"/>
              <w:rPr>
                <w:rFonts w:hint="default" w:ascii="Times New Roman" w:hAnsi="Times New Roman" w:cs="Times New Roman"/>
                <w:color w:val="auto"/>
                <w:highlight w:val="none"/>
              </w:rPr>
            </w:pPr>
          </w:p>
        </w:tc>
        <w:tc>
          <w:tcPr>
            <w:tcW w:w="888" w:type="pct"/>
            <w:tcBorders>
              <w:tl2br w:val="nil"/>
              <w:tr2bl w:val="nil"/>
            </w:tcBorders>
            <w:shd w:val="clear" w:color="auto" w:fill="auto"/>
            <w:vAlign w:val="center"/>
          </w:tcPr>
          <w:p w14:paraId="510BAB0D">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场地及废石临时堆场</w:t>
            </w:r>
          </w:p>
        </w:tc>
        <w:tc>
          <w:tcPr>
            <w:tcW w:w="342" w:type="pct"/>
            <w:tcBorders>
              <w:tl2br w:val="nil"/>
              <w:tr2bl w:val="nil"/>
            </w:tcBorders>
            <w:shd w:val="clear" w:color="auto" w:fill="auto"/>
            <w:vAlign w:val="center"/>
          </w:tcPr>
          <w:p w14:paraId="2BD175A2">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-2D</w:t>
            </w:r>
          </w:p>
        </w:tc>
        <w:tc>
          <w:tcPr>
            <w:tcW w:w="322" w:type="pct"/>
            <w:tcBorders>
              <w:tl2br w:val="nil"/>
              <w:tr2bl w:val="nil"/>
            </w:tcBorders>
            <w:shd w:val="clear" w:color="auto" w:fill="auto"/>
            <w:vAlign w:val="center"/>
          </w:tcPr>
          <w:p w14:paraId="0D0C69EC">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352" w:type="pct"/>
            <w:tcBorders>
              <w:tl2br w:val="nil"/>
              <w:tr2bl w:val="nil"/>
            </w:tcBorders>
            <w:shd w:val="clear" w:color="auto" w:fill="auto"/>
            <w:vAlign w:val="center"/>
          </w:tcPr>
          <w:p w14:paraId="277B0BB4">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349" w:type="pct"/>
            <w:tcBorders>
              <w:tl2br w:val="nil"/>
              <w:tr2bl w:val="nil"/>
            </w:tcBorders>
            <w:shd w:val="clear" w:color="auto" w:fill="auto"/>
            <w:vAlign w:val="center"/>
          </w:tcPr>
          <w:p w14:paraId="1D61A3FD">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32" w:type="pct"/>
            <w:tcBorders>
              <w:tl2br w:val="nil"/>
              <w:tr2bl w:val="nil"/>
            </w:tcBorders>
            <w:shd w:val="clear" w:color="auto" w:fill="auto"/>
            <w:vAlign w:val="center"/>
          </w:tcPr>
          <w:p w14:paraId="5C8A1697">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-2D</w:t>
            </w:r>
          </w:p>
        </w:tc>
        <w:tc>
          <w:tcPr>
            <w:tcW w:w="612" w:type="pct"/>
            <w:tcBorders>
              <w:tl2br w:val="nil"/>
              <w:tr2bl w:val="nil"/>
            </w:tcBorders>
            <w:shd w:val="clear" w:color="auto" w:fill="auto"/>
            <w:vAlign w:val="center"/>
          </w:tcPr>
          <w:p w14:paraId="542C5F27">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-2D</w:t>
            </w:r>
          </w:p>
        </w:tc>
        <w:tc>
          <w:tcPr>
            <w:tcW w:w="383" w:type="pct"/>
            <w:tcBorders>
              <w:tl2br w:val="nil"/>
              <w:tr2bl w:val="nil"/>
            </w:tcBorders>
            <w:shd w:val="clear" w:color="auto" w:fill="auto"/>
            <w:vAlign w:val="center"/>
          </w:tcPr>
          <w:p w14:paraId="65783293">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-2D</w:t>
            </w:r>
          </w:p>
        </w:tc>
        <w:tc>
          <w:tcPr>
            <w:tcW w:w="366" w:type="pct"/>
            <w:tcBorders>
              <w:tl2br w:val="nil"/>
              <w:tr2bl w:val="nil"/>
            </w:tcBorders>
            <w:shd w:val="clear" w:color="auto" w:fill="auto"/>
            <w:vAlign w:val="center"/>
          </w:tcPr>
          <w:p w14:paraId="1EE8AE45">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89" w:type="pct"/>
            <w:tcBorders>
              <w:tl2br w:val="nil"/>
              <w:tr2bl w:val="nil"/>
            </w:tcBorders>
            <w:shd w:val="clear" w:color="auto" w:fill="auto"/>
            <w:vAlign w:val="center"/>
          </w:tcPr>
          <w:p w14:paraId="409A2CF9">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c>
          <w:tcPr>
            <w:tcW w:w="385" w:type="pct"/>
            <w:tcBorders>
              <w:tl2br w:val="nil"/>
              <w:tr2bl w:val="nil"/>
            </w:tcBorders>
            <w:shd w:val="clear" w:color="auto" w:fill="auto"/>
            <w:vAlign w:val="center"/>
          </w:tcPr>
          <w:p w14:paraId="49E05CC4">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-1D</w:t>
            </w:r>
          </w:p>
        </w:tc>
      </w:tr>
      <w:tr w14:paraId="11F7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6BBF0BB0">
            <w:pPr>
              <w:pStyle w:val="17"/>
              <w:bidi w:val="0"/>
              <w:rPr>
                <w:rFonts w:hint="default" w:ascii="Times New Roman" w:hAnsi="Times New Roman" w:cs="Times New Roman"/>
                <w:color w:val="auto"/>
                <w:highlight w:val="none"/>
              </w:rPr>
            </w:pPr>
          </w:p>
        </w:tc>
        <w:tc>
          <w:tcPr>
            <w:tcW w:w="888" w:type="pct"/>
            <w:tcBorders>
              <w:tl2br w:val="nil"/>
              <w:tr2bl w:val="nil"/>
            </w:tcBorders>
            <w:vAlign w:val="center"/>
          </w:tcPr>
          <w:p w14:paraId="4B86B8A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土建工程</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土地平整</w:t>
            </w:r>
          </w:p>
        </w:tc>
        <w:tc>
          <w:tcPr>
            <w:tcW w:w="342" w:type="pct"/>
            <w:tcBorders>
              <w:tl2br w:val="nil"/>
              <w:tr2bl w:val="nil"/>
            </w:tcBorders>
            <w:vAlign w:val="center"/>
          </w:tcPr>
          <w:p w14:paraId="39B7652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-2D</w:t>
            </w:r>
          </w:p>
        </w:tc>
        <w:tc>
          <w:tcPr>
            <w:tcW w:w="915" w:type="dxa"/>
            <w:tcBorders>
              <w:tl2br w:val="nil"/>
              <w:tr2bl w:val="nil"/>
            </w:tcBorders>
            <w:vAlign w:val="center"/>
          </w:tcPr>
          <w:p w14:paraId="362D06D1">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8" w:type="dxa"/>
            <w:tcBorders>
              <w:tl2br w:val="nil"/>
              <w:tr2bl w:val="nil"/>
            </w:tcBorders>
            <w:vAlign w:val="center"/>
          </w:tcPr>
          <w:p w14:paraId="125D94EF">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49" w:type="pct"/>
            <w:tcBorders>
              <w:tl2br w:val="nil"/>
              <w:tr2bl w:val="nil"/>
            </w:tcBorders>
            <w:vAlign w:val="center"/>
          </w:tcPr>
          <w:p w14:paraId="28BCF91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332" w:type="pct"/>
            <w:tcBorders>
              <w:tl2br w:val="nil"/>
              <w:tr2bl w:val="nil"/>
            </w:tcBorders>
            <w:vAlign w:val="center"/>
          </w:tcPr>
          <w:p w14:paraId="556643D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612" w:type="pct"/>
            <w:tcBorders>
              <w:tl2br w:val="nil"/>
              <w:tr2bl w:val="nil"/>
            </w:tcBorders>
            <w:vAlign w:val="center"/>
          </w:tcPr>
          <w:p w14:paraId="188CE7B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383" w:type="pct"/>
            <w:tcBorders>
              <w:tl2br w:val="nil"/>
              <w:tr2bl w:val="nil"/>
            </w:tcBorders>
            <w:vAlign w:val="center"/>
          </w:tcPr>
          <w:p w14:paraId="6AC16B1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366" w:type="pct"/>
            <w:tcBorders>
              <w:tl2br w:val="nil"/>
              <w:tr2bl w:val="nil"/>
            </w:tcBorders>
            <w:vAlign w:val="center"/>
          </w:tcPr>
          <w:p w14:paraId="514F294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389" w:type="pct"/>
            <w:tcBorders>
              <w:tl2br w:val="nil"/>
              <w:tr2bl w:val="nil"/>
            </w:tcBorders>
            <w:vAlign w:val="center"/>
          </w:tcPr>
          <w:p w14:paraId="5153EA5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1091" w:type="dxa"/>
            <w:tcBorders>
              <w:tl2br w:val="nil"/>
              <w:tr2bl w:val="nil"/>
            </w:tcBorders>
            <w:vAlign w:val="center"/>
          </w:tcPr>
          <w:p w14:paraId="146656F0">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4AF0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7954AC38">
            <w:pPr>
              <w:pStyle w:val="17"/>
              <w:bidi w:val="0"/>
              <w:rPr>
                <w:rFonts w:hint="default" w:ascii="Times New Roman" w:hAnsi="Times New Roman" w:cs="Times New Roman"/>
                <w:color w:val="auto"/>
                <w:highlight w:val="none"/>
              </w:rPr>
            </w:pPr>
          </w:p>
        </w:tc>
        <w:tc>
          <w:tcPr>
            <w:tcW w:w="888" w:type="pct"/>
            <w:tcBorders>
              <w:tl2br w:val="nil"/>
              <w:tr2bl w:val="nil"/>
            </w:tcBorders>
            <w:vAlign w:val="center"/>
          </w:tcPr>
          <w:p w14:paraId="313CC64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物料运输</w:t>
            </w:r>
          </w:p>
        </w:tc>
        <w:tc>
          <w:tcPr>
            <w:tcW w:w="342" w:type="pct"/>
            <w:tcBorders>
              <w:tl2br w:val="nil"/>
              <w:tr2bl w:val="nil"/>
            </w:tcBorders>
            <w:vAlign w:val="center"/>
          </w:tcPr>
          <w:p w14:paraId="012D7F4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915" w:type="dxa"/>
            <w:tcBorders>
              <w:tl2br w:val="nil"/>
              <w:tr2bl w:val="nil"/>
            </w:tcBorders>
            <w:vAlign w:val="center"/>
          </w:tcPr>
          <w:p w14:paraId="68E34C7C">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8" w:type="dxa"/>
            <w:tcBorders>
              <w:tl2br w:val="nil"/>
              <w:tr2bl w:val="nil"/>
            </w:tcBorders>
            <w:vAlign w:val="center"/>
          </w:tcPr>
          <w:p w14:paraId="5FF4A48A">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49" w:type="pct"/>
            <w:tcBorders>
              <w:tl2br w:val="nil"/>
              <w:tr2bl w:val="nil"/>
            </w:tcBorders>
            <w:vAlign w:val="center"/>
          </w:tcPr>
          <w:p w14:paraId="711515D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943" w:type="dxa"/>
            <w:tcBorders>
              <w:tl2br w:val="nil"/>
              <w:tr2bl w:val="nil"/>
            </w:tcBorders>
            <w:vAlign w:val="center"/>
          </w:tcPr>
          <w:p w14:paraId="0801BF63">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735" w:type="dxa"/>
            <w:tcBorders>
              <w:tl2br w:val="nil"/>
              <w:tr2bl w:val="nil"/>
            </w:tcBorders>
            <w:vAlign w:val="center"/>
          </w:tcPr>
          <w:p w14:paraId="2F38DD55">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86" w:type="dxa"/>
            <w:tcBorders>
              <w:tl2br w:val="nil"/>
              <w:tr2bl w:val="nil"/>
            </w:tcBorders>
            <w:vAlign w:val="center"/>
          </w:tcPr>
          <w:p w14:paraId="4CB13149">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66" w:type="pct"/>
            <w:tcBorders>
              <w:tl2br w:val="nil"/>
              <w:tr2bl w:val="nil"/>
            </w:tcBorders>
            <w:vAlign w:val="center"/>
          </w:tcPr>
          <w:p w14:paraId="3FC15B85">
            <w:pPr>
              <w:pStyle w:val="17"/>
              <w:bidi w:val="0"/>
              <w:rPr>
                <w:rFonts w:hint="default" w:ascii="Times New Roman" w:hAnsi="Times New Roman" w:cs="Times New Roman"/>
                <w:color w:val="auto"/>
                <w:highlight w:val="none"/>
              </w:rPr>
            </w:pPr>
          </w:p>
        </w:tc>
        <w:tc>
          <w:tcPr>
            <w:tcW w:w="389" w:type="pct"/>
            <w:tcBorders>
              <w:tl2br w:val="nil"/>
              <w:tr2bl w:val="nil"/>
            </w:tcBorders>
            <w:vAlign w:val="center"/>
          </w:tcPr>
          <w:p w14:paraId="3613B1D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1091" w:type="dxa"/>
            <w:tcBorders>
              <w:tl2br w:val="nil"/>
              <w:tr2bl w:val="nil"/>
            </w:tcBorders>
            <w:vAlign w:val="center"/>
          </w:tcPr>
          <w:p w14:paraId="6CD0A60F">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5CB4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26599430">
            <w:pPr>
              <w:pStyle w:val="17"/>
              <w:bidi w:val="0"/>
              <w:rPr>
                <w:rFonts w:hint="default" w:ascii="Times New Roman" w:hAnsi="Times New Roman" w:cs="Times New Roman"/>
                <w:color w:val="auto"/>
                <w:highlight w:val="none"/>
              </w:rPr>
            </w:pPr>
          </w:p>
        </w:tc>
        <w:tc>
          <w:tcPr>
            <w:tcW w:w="888" w:type="pct"/>
            <w:tcBorders>
              <w:tl2br w:val="nil"/>
              <w:tr2bl w:val="nil"/>
            </w:tcBorders>
            <w:vAlign w:val="center"/>
          </w:tcPr>
          <w:p w14:paraId="6A0C037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施工安装</w:t>
            </w:r>
          </w:p>
        </w:tc>
        <w:tc>
          <w:tcPr>
            <w:tcW w:w="342" w:type="pct"/>
            <w:tcBorders>
              <w:tl2br w:val="nil"/>
              <w:tr2bl w:val="nil"/>
            </w:tcBorders>
            <w:vAlign w:val="center"/>
          </w:tcPr>
          <w:p w14:paraId="4F34774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915" w:type="dxa"/>
            <w:tcBorders>
              <w:tl2br w:val="nil"/>
              <w:tr2bl w:val="nil"/>
            </w:tcBorders>
            <w:vAlign w:val="center"/>
          </w:tcPr>
          <w:p w14:paraId="65ADF55C">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8" w:type="dxa"/>
            <w:tcBorders>
              <w:tl2br w:val="nil"/>
              <w:tr2bl w:val="nil"/>
            </w:tcBorders>
            <w:vAlign w:val="center"/>
          </w:tcPr>
          <w:p w14:paraId="3D8DBAEE">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49" w:type="pct"/>
            <w:tcBorders>
              <w:tl2br w:val="nil"/>
              <w:tr2bl w:val="nil"/>
            </w:tcBorders>
            <w:vAlign w:val="center"/>
          </w:tcPr>
          <w:p w14:paraId="6293566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943" w:type="dxa"/>
            <w:tcBorders>
              <w:tl2br w:val="nil"/>
              <w:tr2bl w:val="nil"/>
            </w:tcBorders>
            <w:vAlign w:val="center"/>
          </w:tcPr>
          <w:p w14:paraId="0BB03A52">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735" w:type="dxa"/>
            <w:tcBorders>
              <w:tl2br w:val="nil"/>
              <w:tr2bl w:val="nil"/>
            </w:tcBorders>
            <w:vAlign w:val="center"/>
          </w:tcPr>
          <w:p w14:paraId="27DE3A64">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86" w:type="dxa"/>
            <w:tcBorders>
              <w:tl2br w:val="nil"/>
              <w:tr2bl w:val="nil"/>
            </w:tcBorders>
            <w:vAlign w:val="center"/>
          </w:tcPr>
          <w:p w14:paraId="0E8461EE">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66" w:type="pct"/>
            <w:tcBorders>
              <w:tl2br w:val="nil"/>
              <w:tr2bl w:val="nil"/>
            </w:tcBorders>
            <w:vAlign w:val="center"/>
          </w:tcPr>
          <w:p w14:paraId="27B8622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389" w:type="pct"/>
            <w:tcBorders>
              <w:tl2br w:val="nil"/>
              <w:tr2bl w:val="nil"/>
            </w:tcBorders>
            <w:vAlign w:val="center"/>
          </w:tcPr>
          <w:p w14:paraId="72C8592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1091" w:type="dxa"/>
            <w:tcBorders>
              <w:tl2br w:val="nil"/>
              <w:tr2bl w:val="nil"/>
            </w:tcBorders>
            <w:vAlign w:val="center"/>
          </w:tcPr>
          <w:p w14:paraId="377AC287">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7A20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restart"/>
            <w:tcBorders>
              <w:tl2br w:val="nil"/>
              <w:tr2bl w:val="nil"/>
            </w:tcBorders>
            <w:vAlign w:val="center"/>
          </w:tcPr>
          <w:p w14:paraId="1EB4344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运营</w:t>
            </w:r>
          </w:p>
          <w:p w14:paraId="519A64D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期</w:t>
            </w:r>
          </w:p>
        </w:tc>
        <w:tc>
          <w:tcPr>
            <w:tcW w:w="888" w:type="pct"/>
            <w:tcBorders>
              <w:tl2br w:val="nil"/>
              <w:tr2bl w:val="nil"/>
            </w:tcBorders>
            <w:shd w:val="clear" w:color="auto" w:fill="auto"/>
            <w:vAlign w:val="center"/>
          </w:tcPr>
          <w:p w14:paraId="2FBA987B">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井下开采</w:t>
            </w:r>
          </w:p>
        </w:tc>
        <w:tc>
          <w:tcPr>
            <w:tcW w:w="342" w:type="pct"/>
            <w:tcBorders>
              <w:tl2br w:val="nil"/>
              <w:tr2bl w:val="nil"/>
            </w:tcBorders>
            <w:shd w:val="clear" w:color="auto" w:fill="auto"/>
            <w:vAlign w:val="center"/>
          </w:tcPr>
          <w:p w14:paraId="2B9C6D45">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22" w:type="pct"/>
            <w:tcBorders>
              <w:tl2br w:val="nil"/>
              <w:tr2bl w:val="nil"/>
            </w:tcBorders>
            <w:shd w:val="clear" w:color="auto" w:fill="auto"/>
            <w:vAlign w:val="center"/>
          </w:tcPr>
          <w:p w14:paraId="732CBC7E">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52" w:type="pct"/>
            <w:tcBorders>
              <w:tl2br w:val="nil"/>
              <w:tr2bl w:val="nil"/>
            </w:tcBorders>
            <w:shd w:val="clear" w:color="auto" w:fill="auto"/>
            <w:vAlign w:val="center"/>
          </w:tcPr>
          <w:p w14:paraId="63CF5B39">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49" w:type="pct"/>
            <w:tcBorders>
              <w:tl2br w:val="nil"/>
              <w:tr2bl w:val="nil"/>
            </w:tcBorders>
            <w:shd w:val="clear" w:color="auto" w:fill="auto"/>
            <w:vAlign w:val="center"/>
          </w:tcPr>
          <w:p w14:paraId="7AFE4BF9">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-2C</w:t>
            </w:r>
          </w:p>
        </w:tc>
        <w:tc>
          <w:tcPr>
            <w:tcW w:w="332" w:type="pct"/>
            <w:tcBorders>
              <w:tl2br w:val="nil"/>
              <w:tr2bl w:val="nil"/>
            </w:tcBorders>
            <w:shd w:val="clear" w:color="auto" w:fill="auto"/>
            <w:vAlign w:val="center"/>
          </w:tcPr>
          <w:p w14:paraId="65031B39">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-2C</w:t>
            </w:r>
          </w:p>
        </w:tc>
        <w:tc>
          <w:tcPr>
            <w:tcW w:w="612" w:type="pct"/>
            <w:tcBorders>
              <w:tl2br w:val="nil"/>
              <w:tr2bl w:val="nil"/>
            </w:tcBorders>
            <w:shd w:val="clear" w:color="auto" w:fill="auto"/>
            <w:vAlign w:val="center"/>
          </w:tcPr>
          <w:p w14:paraId="7A7F4554">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83" w:type="pct"/>
            <w:tcBorders>
              <w:tl2br w:val="nil"/>
              <w:tr2bl w:val="nil"/>
            </w:tcBorders>
            <w:shd w:val="clear" w:color="auto" w:fill="auto"/>
            <w:vAlign w:val="center"/>
          </w:tcPr>
          <w:p w14:paraId="7D9F064A">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366" w:type="pct"/>
            <w:tcBorders>
              <w:tl2br w:val="nil"/>
              <w:tr2bl w:val="nil"/>
            </w:tcBorders>
            <w:shd w:val="clear" w:color="auto" w:fill="auto"/>
            <w:vAlign w:val="center"/>
          </w:tcPr>
          <w:p w14:paraId="7D924593">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89" w:type="pct"/>
            <w:tcBorders>
              <w:tl2br w:val="nil"/>
              <w:tr2bl w:val="nil"/>
            </w:tcBorders>
            <w:shd w:val="clear" w:color="auto" w:fill="auto"/>
            <w:vAlign w:val="center"/>
          </w:tcPr>
          <w:p w14:paraId="0AFD478E">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-2C</w:t>
            </w:r>
          </w:p>
        </w:tc>
        <w:tc>
          <w:tcPr>
            <w:tcW w:w="385" w:type="pct"/>
            <w:tcBorders>
              <w:tl2br w:val="nil"/>
              <w:tr2bl w:val="nil"/>
            </w:tcBorders>
            <w:shd w:val="clear" w:color="auto" w:fill="auto"/>
            <w:vAlign w:val="center"/>
          </w:tcPr>
          <w:p w14:paraId="45C2BBC5">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r>
      <w:tr w14:paraId="394E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2AE80E21">
            <w:pPr>
              <w:pStyle w:val="17"/>
              <w:bidi w:val="0"/>
              <w:rPr>
                <w:rFonts w:hint="default" w:ascii="Times New Roman" w:hAnsi="Times New Roman" w:cs="Times New Roman"/>
                <w:color w:val="auto"/>
                <w:highlight w:val="none"/>
              </w:rPr>
            </w:pPr>
          </w:p>
        </w:tc>
        <w:tc>
          <w:tcPr>
            <w:tcW w:w="888" w:type="pct"/>
            <w:tcBorders>
              <w:tl2br w:val="nil"/>
              <w:tr2bl w:val="nil"/>
            </w:tcBorders>
            <w:shd w:val="clear" w:color="auto" w:fill="auto"/>
            <w:vAlign w:val="center"/>
          </w:tcPr>
          <w:p w14:paraId="7E3F0A04">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矿石转运</w:t>
            </w:r>
          </w:p>
        </w:tc>
        <w:tc>
          <w:tcPr>
            <w:tcW w:w="342" w:type="pct"/>
            <w:tcBorders>
              <w:tl2br w:val="nil"/>
              <w:tr2bl w:val="nil"/>
            </w:tcBorders>
            <w:shd w:val="clear" w:color="auto" w:fill="auto"/>
            <w:vAlign w:val="center"/>
          </w:tcPr>
          <w:p w14:paraId="090481E2">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22" w:type="pct"/>
            <w:tcBorders>
              <w:tl2br w:val="nil"/>
              <w:tr2bl w:val="nil"/>
            </w:tcBorders>
            <w:shd w:val="clear" w:color="auto" w:fill="auto"/>
            <w:vAlign w:val="center"/>
          </w:tcPr>
          <w:p w14:paraId="6BA974A7">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352" w:type="pct"/>
            <w:tcBorders>
              <w:tl2br w:val="nil"/>
              <w:tr2bl w:val="nil"/>
            </w:tcBorders>
            <w:shd w:val="clear" w:color="auto" w:fill="auto"/>
            <w:vAlign w:val="center"/>
          </w:tcPr>
          <w:p w14:paraId="2B6E5872">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349" w:type="pct"/>
            <w:tcBorders>
              <w:tl2br w:val="nil"/>
              <w:tr2bl w:val="nil"/>
            </w:tcBorders>
            <w:shd w:val="clear" w:color="auto" w:fill="auto"/>
            <w:vAlign w:val="center"/>
          </w:tcPr>
          <w:p w14:paraId="26A24AE7">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332" w:type="pct"/>
            <w:tcBorders>
              <w:tl2br w:val="nil"/>
              <w:tr2bl w:val="nil"/>
            </w:tcBorders>
            <w:shd w:val="clear" w:color="auto" w:fill="auto"/>
            <w:vAlign w:val="center"/>
          </w:tcPr>
          <w:p w14:paraId="580D7AF1">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612" w:type="pct"/>
            <w:tcBorders>
              <w:tl2br w:val="nil"/>
              <w:tr2bl w:val="nil"/>
            </w:tcBorders>
            <w:shd w:val="clear" w:color="auto" w:fill="auto"/>
            <w:vAlign w:val="center"/>
          </w:tcPr>
          <w:p w14:paraId="2AF4F159">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83" w:type="pct"/>
            <w:tcBorders>
              <w:tl2br w:val="nil"/>
              <w:tr2bl w:val="nil"/>
            </w:tcBorders>
            <w:shd w:val="clear" w:color="auto" w:fill="auto"/>
            <w:vAlign w:val="center"/>
          </w:tcPr>
          <w:p w14:paraId="065B47B7">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66" w:type="pct"/>
            <w:tcBorders>
              <w:tl2br w:val="nil"/>
              <w:tr2bl w:val="nil"/>
            </w:tcBorders>
            <w:shd w:val="clear" w:color="auto" w:fill="auto"/>
            <w:vAlign w:val="center"/>
          </w:tcPr>
          <w:p w14:paraId="04AD809B">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c>
          <w:tcPr>
            <w:tcW w:w="389" w:type="pct"/>
            <w:tcBorders>
              <w:tl2br w:val="nil"/>
              <w:tr2bl w:val="nil"/>
            </w:tcBorders>
            <w:shd w:val="clear" w:color="auto" w:fill="auto"/>
            <w:vAlign w:val="center"/>
          </w:tcPr>
          <w:p w14:paraId="48346210">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w:t>
            </w:r>
          </w:p>
        </w:tc>
        <w:tc>
          <w:tcPr>
            <w:tcW w:w="385" w:type="pct"/>
            <w:tcBorders>
              <w:tl2br w:val="nil"/>
              <w:tr2bl w:val="nil"/>
            </w:tcBorders>
            <w:shd w:val="clear" w:color="auto" w:fill="auto"/>
            <w:vAlign w:val="center"/>
          </w:tcPr>
          <w:p w14:paraId="78CE22DF">
            <w:pPr>
              <w:pStyle w:val="17"/>
              <w:bidi w:val="0"/>
              <w:rPr>
                <w:rFonts w:hint="default" w:ascii="Times New Roman" w:hAnsi="Times New Roman" w:eastAsia="宋体" w:cs="Times New Roman"/>
                <w:b w:val="0"/>
                <w:color w:val="auto"/>
                <w:kern w:val="0"/>
                <w:szCs w:val="21"/>
                <w:highlight w:val="none"/>
                <w:lang w:val="en-US" w:eastAsia="en-US" w:bidi="en-US"/>
              </w:rPr>
            </w:pPr>
            <w:r>
              <w:rPr>
                <w:rFonts w:hint="default" w:ascii="Times New Roman" w:hAnsi="Times New Roman" w:cs="Times New Roman"/>
                <w:color w:val="auto"/>
                <w:highlight w:val="none"/>
              </w:rPr>
              <w:t>-1C</w:t>
            </w:r>
          </w:p>
        </w:tc>
      </w:tr>
      <w:tr w14:paraId="09F2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37C07F69">
            <w:pPr>
              <w:pStyle w:val="17"/>
              <w:bidi w:val="0"/>
              <w:rPr>
                <w:rFonts w:hint="default" w:ascii="Times New Roman" w:hAnsi="Times New Roman" w:cs="Times New Roman"/>
                <w:color w:val="auto"/>
                <w:highlight w:val="none"/>
              </w:rPr>
            </w:pPr>
          </w:p>
        </w:tc>
        <w:tc>
          <w:tcPr>
            <w:tcW w:w="888" w:type="pct"/>
            <w:tcBorders>
              <w:tl2br w:val="nil"/>
              <w:tr2bl w:val="nil"/>
            </w:tcBorders>
            <w:vAlign w:val="center"/>
          </w:tcPr>
          <w:p w14:paraId="1DA3D62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原料/成品运输</w:t>
            </w:r>
          </w:p>
        </w:tc>
        <w:tc>
          <w:tcPr>
            <w:tcW w:w="342" w:type="pct"/>
            <w:tcBorders>
              <w:tl2br w:val="nil"/>
              <w:tr2bl w:val="nil"/>
            </w:tcBorders>
            <w:vAlign w:val="center"/>
          </w:tcPr>
          <w:p w14:paraId="1B9B440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915" w:type="dxa"/>
            <w:tcBorders>
              <w:tl2br w:val="nil"/>
              <w:tr2bl w:val="nil"/>
            </w:tcBorders>
            <w:vAlign w:val="center"/>
          </w:tcPr>
          <w:p w14:paraId="73478DC6">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52" w:type="pct"/>
            <w:tcBorders>
              <w:tl2br w:val="nil"/>
              <w:tr2bl w:val="nil"/>
            </w:tcBorders>
            <w:vAlign w:val="center"/>
          </w:tcPr>
          <w:p w14:paraId="332C8BF2">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349" w:type="pct"/>
            <w:tcBorders>
              <w:tl2br w:val="nil"/>
              <w:tr2bl w:val="nil"/>
            </w:tcBorders>
            <w:vAlign w:val="center"/>
          </w:tcPr>
          <w:p w14:paraId="367B377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332" w:type="pct"/>
            <w:tcBorders>
              <w:tl2br w:val="nil"/>
              <w:tr2bl w:val="nil"/>
            </w:tcBorders>
            <w:vAlign w:val="center"/>
          </w:tcPr>
          <w:p w14:paraId="12C9288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1735" w:type="dxa"/>
            <w:tcBorders>
              <w:tl2br w:val="nil"/>
              <w:tr2bl w:val="nil"/>
            </w:tcBorders>
            <w:vAlign w:val="center"/>
          </w:tcPr>
          <w:p w14:paraId="61DDCB13">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86" w:type="dxa"/>
            <w:tcBorders>
              <w:tl2br w:val="nil"/>
              <w:tr2bl w:val="nil"/>
            </w:tcBorders>
            <w:vAlign w:val="center"/>
          </w:tcPr>
          <w:p w14:paraId="5E9D1095">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38" w:type="dxa"/>
            <w:tcBorders>
              <w:tl2br w:val="nil"/>
              <w:tr2bl w:val="nil"/>
            </w:tcBorders>
            <w:vAlign w:val="center"/>
          </w:tcPr>
          <w:p w14:paraId="57D374A9">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103" w:type="dxa"/>
            <w:tcBorders>
              <w:tl2br w:val="nil"/>
              <w:tr2bl w:val="nil"/>
            </w:tcBorders>
            <w:vAlign w:val="center"/>
          </w:tcPr>
          <w:p w14:paraId="427F0BA5">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85" w:type="pct"/>
            <w:tcBorders>
              <w:tl2br w:val="nil"/>
              <w:tr2bl w:val="nil"/>
            </w:tcBorders>
            <w:vAlign w:val="center"/>
          </w:tcPr>
          <w:p w14:paraId="23C3A903">
            <w:pPr>
              <w:pStyle w:val="17"/>
              <w:bidi w:val="0"/>
              <w:rPr>
                <w:rFonts w:hint="default" w:ascii="Times New Roman" w:hAnsi="Times New Roman" w:cs="Times New Roman"/>
                <w:color w:val="auto"/>
                <w:highlight w:val="none"/>
              </w:rPr>
            </w:pPr>
          </w:p>
        </w:tc>
      </w:tr>
      <w:tr w14:paraId="3059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70354ED3">
            <w:pPr>
              <w:pStyle w:val="17"/>
              <w:bidi w:val="0"/>
              <w:rPr>
                <w:rFonts w:hint="default" w:ascii="Times New Roman" w:hAnsi="Times New Roman" w:cs="Times New Roman"/>
                <w:color w:val="auto"/>
                <w:highlight w:val="none"/>
              </w:rPr>
            </w:pPr>
          </w:p>
        </w:tc>
        <w:tc>
          <w:tcPr>
            <w:tcW w:w="888" w:type="pct"/>
            <w:tcBorders>
              <w:tl2br w:val="nil"/>
              <w:tr2bl w:val="nil"/>
            </w:tcBorders>
            <w:vAlign w:val="center"/>
          </w:tcPr>
          <w:p w14:paraId="5F22C4E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废气排放</w:t>
            </w:r>
          </w:p>
        </w:tc>
        <w:tc>
          <w:tcPr>
            <w:tcW w:w="342" w:type="pct"/>
            <w:tcBorders>
              <w:tl2br w:val="nil"/>
              <w:tr2bl w:val="nil"/>
            </w:tcBorders>
            <w:vAlign w:val="center"/>
          </w:tcPr>
          <w:p w14:paraId="6FEEA8A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-2C</w:t>
            </w:r>
          </w:p>
        </w:tc>
        <w:tc>
          <w:tcPr>
            <w:tcW w:w="915" w:type="dxa"/>
            <w:tcBorders>
              <w:tl2br w:val="nil"/>
              <w:tr2bl w:val="nil"/>
            </w:tcBorders>
            <w:vAlign w:val="center"/>
          </w:tcPr>
          <w:p w14:paraId="705924C0">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52" w:type="pct"/>
            <w:tcBorders>
              <w:tl2br w:val="nil"/>
              <w:tr2bl w:val="nil"/>
            </w:tcBorders>
            <w:vAlign w:val="center"/>
          </w:tcPr>
          <w:p w14:paraId="414E0EC1">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349" w:type="pct"/>
            <w:tcBorders>
              <w:tl2br w:val="nil"/>
              <w:tr2bl w:val="nil"/>
            </w:tcBorders>
            <w:vAlign w:val="center"/>
          </w:tcPr>
          <w:p w14:paraId="3691E36B">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332" w:type="pct"/>
            <w:tcBorders>
              <w:tl2br w:val="nil"/>
              <w:tr2bl w:val="nil"/>
            </w:tcBorders>
            <w:vAlign w:val="center"/>
          </w:tcPr>
          <w:p w14:paraId="12389C0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c>
          <w:tcPr>
            <w:tcW w:w="1735" w:type="dxa"/>
            <w:tcBorders>
              <w:tl2br w:val="nil"/>
              <w:tr2bl w:val="nil"/>
            </w:tcBorders>
            <w:vAlign w:val="center"/>
          </w:tcPr>
          <w:p w14:paraId="5B650076">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86" w:type="dxa"/>
            <w:tcBorders>
              <w:tl2br w:val="nil"/>
              <w:tr2bl w:val="nil"/>
            </w:tcBorders>
            <w:vAlign w:val="center"/>
          </w:tcPr>
          <w:p w14:paraId="09971476">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38" w:type="dxa"/>
            <w:tcBorders>
              <w:tl2br w:val="nil"/>
              <w:tr2bl w:val="nil"/>
            </w:tcBorders>
            <w:vAlign w:val="center"/>
          </w:tcPr>
          <w:p w14:paraId="041E9E7E">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103" w:type="dxa"/>
            <w:tcBorders>
              <w:tl2br w:val="nil"/>
              <w:tr2bl w:val="nil"/>
            </w:tcBorders>
            <w:vAlign w:val="center"/>
          </w:tcPr>
          <w:p w14:paraId="56B7821A">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85" w:type="pct"/>
            <w:tcBorders>
              <w:tl2br w:val="nil"/>
              <w:tr2bl w:val="nil"/>
            </w:tcBorders>
            <w:vAlign w:val="center"/>
          </w:tcPr>
          <w:p w14:paraId="560DE6D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r>
      <w:tr w14:paraId="3C37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3DD83014">
            <w:pPr>
              <w:pStyle w:val="17"/>
              <w:bidi w:val="0"/>
              <w:rPr>
                <w:rFonts w:hint="default" w:ascii="Times New Roman" w:hAnsi="Times New Roman" w:cs="Times New Roman"/>
                <w:color w:val="auto"/>
                <w:highlight w:val="none"/>
              </w:rPr>
            </w:pPr>
          </w:p>
        </w:tc>
        <w:tc>
          <w:tcPr>
            <w:tcW w:w="888" w:type="pct"/>
            <w:tcBorders>
              <w:tl2br w:val="nil"/>
              <w:tr2bl w:val="nil"/>
            </w:tcBorders>
            <w:vAlign w:val="center"/>
          </w:tcPr>
          <w:p w14:paraId="05C6537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废水排放</w:t>
            </w:r>
          </w:p>
        </w:tc>
        <w:tc>
          <w:tcPr>
            <w:tcW w:w="342" w:type="pct"/>
            <w:tcBorders>
              <w:tl2br w:val="nil"/>
              <w:tr2bl w:val="nil"/>
            </w:tcBorders>
            <w:vAlign w:val="center"/>
          </w:tcPr>
          <w:p w14:paraId="0C2CCEC5">
            <w:pPr>
              <w:pStyle w:val="17"/>
              <w:bidi w:val="0"/>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w:t>
            </w:r>
          </w:p>
        </w:tc>
        <w:tc>
          <w:tcPr>
            <w:tcW w:w="915" w:type="dxa"/>
            <w:tcBorders>
              <w:tl2br w:val="nil"/>
              <w:tr2bl w:val="nil"/>
            </w:tcBorders>
            <w:vAlign w:val="center"/>
          </w:tcPr>
          <w:p w14:paraId="4B99750D">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52" w:type="pct"/>
            <w:tcBorders>
              <w:tl2br w:val="nil"/>
              <w:tr2bl w:val="nil"/>
            </w:tcBorders>
            <w:vAlign w:val="center"/>
          </w:tcPr>
          <w:p w14:paraId="7BCE8CD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349" w:type="pct"/>
            <w:tcBorders>
              <w:tl2br w:val="nil"/>
              <w:tr2bl w:val="nil"/>
            </w:tcBorders>
            <w:vAlign w:val="center"/>
          </w:tcPr>
          <w:p w14:paraId="73E31202">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332" w:type="pct"/>
            <w:tcBorders>
              <w:tl2br w:val="nil"/>
              <w:tr2bl w:val="nil"/>
            </w:tcBorders>
            <w:vAlign w:val="center"/>
          </w:tcPr>
          <w:p w14:paraId="1A535767">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1735" w:type="dxa"/>
            <w:tcBorders>
              <w:tl2br w:val="nil"/>
              <w:tr2bl w:val="nil"/>
            </w:tcBorders>
            <w:vAlign w:val="center"/>
          </w:tcPr>
          <w:p w14:paraId="38A95C55">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86" w:type="dxa"/>
            <w:tcBorders>
              <w:tl2br w:val="nil"/>
              <w:tr2bl w:val="nil"/>
            </w:tcBorders>
            <w:vAlign w:val="center"/>
          </w:tcPr>
          <w:p w14:paraId="0C16395F">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38" w:type="dxa"/>
            <w:tcBorders>
              <w:tl2br w:val="nil"/>
              <w:tr2bl w:val="nil"/>
            </w:tcBorders>
            <w:vAlign w:val="center"/>
          </w:tcPr>
          <w:p w14:paraId="7BEE684F">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103" w:type="dxa"/>
            <w:tcBorders>
              <w:tl2br w:val="nil"/>
              <w:tr2bl w:val="nil"/>
            </w:tcBorders>
            <w:vAlign w:val="center"/>
          </w:tcPr>
          <w:p w14:paraId="344B5F0B">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85" w:type="pct"/>
            <w:tcBorders>
              <w:tl2br w:val="nil"/>
              <w:tr2bl w:val="nil"/>
            </w:tcBorders>
            <w:vAlign w:val="center"/>
          </w:tcPr>
          <w:p w14:paraId="532ECF8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-1D</w:t>
            </w:r>
          </w:p>
        </w:tc>
      </w:tr>
      <w:tr w14:paraId="1AFC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7463D81D">
            <w:pPr>
              <w:pStyle w:val="17"/>
              <w:bidi w:val="0"/>
              <w:rPr>
                <w:rFonts w:hint="default" w:ascii="Times New Roman" w:hAnsi="Times New Roman" w:cs="Times New Roman"/>
                <w:color w:val="auto"/>
                <w:highlight w:val="none"/>
              </w:rPr>
            </w:pPr>
          </w:p>
        </w:tc>
        <w:tc>
          <w:tcPr>
            <w:tcW w:w="888" w:type="pct"/>
            <w:tcBorders>
              <w:tl2br w:val="nil"/>
              <w:tr2bl w:val="nil"/>
            </w:tcBorders>
            <w:vAlign w:val="center"/>
          </w:tcPr>
          <w:p w14:paraId="431BA48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噪声排放</w:t>
            </w:r>
          </w:p>
        </w:tc>
        <w:tc>
          <w:tcPr>
            <w:tcW w:w="342" w:type="pct"/>
            <w:tcBorders>
              <w:tl2br w:val="nil"/>
              <w:tr2bl w:val="nil"/>
            </w:tcBorders>
            <w:vAlign w:val="center"/>
          </w:tcPr>
          <w:p w14:paraId="473FF804">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915" w:type="dxa"/>
            <w:tcBorders>
              <w:tl2br w:val="nil"/>
              <w:tr2bl w:val="nil"/>
            </w:tcBorders>
            <w:vAlign w:val="center"/>
          </w:tcPr>
          <w:p w14:paraId="56AC2B74">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52" w:type="pct"/>
            <w:tcBorders>
              <w:tl2br w:val="nil"/>
              <w:tr2bl w:val="nil"/>
            </w:tcBorders>
            <w:vAlign w:val="center"/>
          </w:tcPr>
          <w:p w14:paraId="79D64F34">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349" w:type="pct"/>
            <w:tcBorders>
              <w:tl2br w:val="nil"/>
              <w:tr2bl w:val="nil"/>
            </w:tcBorders>
            <w:vAlign w:val="center"/>
          </w:tcPr>
          <w:p w14:paraId="61C961C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332" w:type="pct"/>
            <w:tcBorders>
              <w:tl2br w:val="nil"/>
              <w:tr2bl w:val="nil"/>
            </w:tcBorders>
            <w:vAlign w:val="center"/>
          </w:tcPr>
          <w:p w14:paraId="25915716">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1735" w:type="dxa"/>
            <w:tcBorders>
              <w:tl2br w:val="nil"/>
              <w:tr2bl w:val="nil"/>
            </w:tcBorders>
            <w:vAlign w:val="center"/>
          </w:tcPr>
          <w:p w14:paraId="7FB73C91">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86" w:type="dxa"/>
            <w:tcBorders>
              <w:tl2br w:val="nil"/>
              <w:tr2bl w:val="nil"/>
            </w:tcBorders>
            <w:vAlign w:val="center"/>
          </w:tcPr>
          <w:p w14:paraId="148E0A72">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038" w:type="dxa"/>
            <w:tcBorders>
              <w:tl2br w:val="nil"/>
              <w:tr2bl w:val="nil"/>
            </w:tcBorders>
            <w:vAlign w:val="center"/>
          </w:tcPr>
          <w:p w14:paraId="7D51F4F7">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89" w:type="pct"/>
            <w:tcBorders>
              <w:tl2br w:val="nil"/>
              <w:tr2bl w:val="nil"/>
            </w:tcBorders>
            <w:vAlign w:val="center"/>
          </w:tcPr>
          <w:p w14:paraId="590F9E5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385" w:type="pct"/>
            <w:tcBorders>
              <w:tl2br w:val="nil"/>
              <w:tr2bl w:val="nil"/>
            </w:tcBorders>
            <w:vAlign w:val="center"/>
          </w:tcPr>
          <w:p w14:paraId="2294BE54">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r>
      <w:tr w14:paraId="3772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vMerge w:val="continue"/>
            <w:tcBorders>
              <w:tl2br w:val="nil"/>
              <w:tr2bl w:val="nil"/>
            </w:tcBorders>
            <w:vAlign w:val="center"/>
          </w:tcPr>
          <w:p w14:paraId="3FCD167D">
            <w:pPr>
              <w:pStyle w:val="17"/>
              <w:bidi w:val="0"/>
              <w:rPr>
                <w:rFonts w:hint="default" w:ascii="Times New Roman" w:hAnsi="Times New Roman" w:cs="Times New Roman"/>
                <w:color w:val="auto"/>
                <w:highlight w:val="none"/>
              </w:rPr>
            </w:pPr>
          </w:p>
        </w:tc>
        <w:tc>
          <w:tcPr>
            <w:tcW w:w="888" w:type="pct"/>
            <w:tcBorders>
              <w:tl2br w:val="nil"/>
              <w:tr2bl w:val="nil"/>
            </w:tcBorders>
            <w:vAlign w:val="center"/>
          </w:tcPr>
          <w:p w14:paraId="6273B63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固废处置</w:t>
            </w:r>
          </w:p>
        </w:tc>
        <w:tc>
          <w:tcPr>
            <w:tcW w:w="342" w:type="pct"/>
            <w:tcBorders>
              <w:tl2br w:val="nil"/>
              <w:tr2bl w:val="nil"/>
            </w:tcBorders>
            <w:vAlign w:val="center"/>
          </w:tcPr>
          <w:p w14:paraId="00AEBB1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915" w:type="dxa"/>
            <w:tcBorders>
              <w:tl2br w:val="nil"/>
              <w:tr2bl w:val="nil"/>
            </w:tcBorders>
            <w:vAlign w:val="center"/>
          </w:tcPr>
          <w:p w14:paraId="7C02401E">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52" w:type="pct"/>
            <w:tcBorders>
              <w:tl2br w:val="nil"/>
              <w:tr2bl w:val="nil"/>
            </w:tcBorders>
            <w:vAlign w:val="center"/>
          </w:tcPr>
          <w:p w14:paraId="35B48B3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349" w:type="pct"/>
            <w:tcBorders>
              <w:tl2br w:val="nil"/>
              <w:tr2bl w:val="nil"/>
            </w:tcBorders>
            <w:vAlign w:val="center"/>
          </w:tcPr>
          <w:p w14:paraId="73857548">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332" w:type="pct"/>
            <w:tcBorders>
              <w:tl2br w:val="nil"/>
              <w:tr2bl w:val="nil"/>
            </w:tcBorders>
            <w:vAlign w:val="center"/>
          </w:tcPr>
          <w:p w14:paraId="051AF5E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612" w:type="pct"/>
            <w:tcBorders>
              <w:tl2br w:val="nil"/>
              <w:tr2bl w:val="nil"/>
            </w:tcBorders>
            <w:vAlign w:val="center"/>
          </w:tcPr>
          <w:p w14:paraId="2459B97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383" w:type="pct"/>
            <w:tcBorders>
              <w:tl2br w:val="nil"/>
              <w:tr2bl w:val="nil"/>
            </w:tcBorders>
            <w:vAlign w:val="center"/>
          </w:tcPr>
          <w:p w14:paraId="780CBA2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366" w:type="pct"/>
            <w:tcBorders>
              <w:tl2br w:val="nil"/>
              <w:tr2bl w:val="nil"/>
            </w:tcBorders>
            <w:vAlign w:val="center"/>
          </w:tcPr>
          <w:p w14:paraId="54CDDDE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389" w:type="pct"/>
            <w:tcBorders>
              <w:tl2br w:val="nil"/>
              <w:tr2bl w:val="nil"/>
            </w:tcBorders>
            <w:vAlign w:val="center"/>
          </w:tcPr>
          <w:p w14:paraId="2E3D535D">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385" w:type="pct"/>
            <w:tcBorders>
              <w:tl2br w:val="nil"/>
              <w:tr2bl w:val="nil"/>
            </w:tcBorders>
            <w:vAlign w:val="center"/>
          </w:tcPr>
          <w:p w14:paraId="5BC5A59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r>
      <w:tr w14:paraId="4FBC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76" w:type="pct"/>
            <w:tcBorders>
              <w:tl2br w:val="nil"/>
              <w:tr2bl w:val="nil"/>
            </w:tcBorders>
            <w:vAlign w:val="center"/>
          </w:tcPr>
          <w:p w14:paraId="4E06AF1F">
            <w:pPr>
              <w:pStyle w:val="17"/>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闭矿期</w:t>
            </w:r>
          </w:p>
        </w:tc>
        <w:tc>
          <w:tcPr>
            <w:tcW w:w="888" w:type="pct"/>
            <w:tcBorders>
              <w:tl2br w:val="nil"/>
              <w:tr2bl w:val="nil"/>
            </w:tcBorders>
            <w:vAlign w:val="center"/>
          </w:tcPr>
          <w:p w14:paraId="53E4936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生态恢复</w:t>
            </w:r>
          </w:p>
        </w:tc>
        <w:tc>
          <w:tcPr>
            <w:tcW w:w="970" w:type="dxa"/>
            <w:tcBorders>
              <w:tl2br w:val="nil"/>
              <w:tr2bl w:val="nil"/>
            </w:tcBorders>
            <w:vAlign w:val="center"/>
          </w:tcPr>
          <w:p w14:paraId="79EC1FA9">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15" w:type="dxa"/>
            <w:tcBorders>
              <w:tl2br w:val="nil"/>
              <w:tr2bl w:val="nil"/>
            </w:tcBorders>
            <w:vAlign w:val="center"/>
          </w:tcPr>
          <w:p w14:paraId="74B393DA">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8" w:type="dxa"/>
            <w:tcBorders>
              <w:tl2br w:val="nil"/>
              <w:tr2bl w:val="nil"/>
            </w:tcBorders>
            <w:vAlign w:val="center"/>
          </w:tcPr>
          <w:p w14:paraId="04ABF511">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990" w:type="dxa"/>
            <w:tcBorders>
              <w:tl2br w:val="nil"/>
              <w:tr2bl w:val="nil"/>
            </w:tcBorders>
            <w:vAlign w:val="center"/>
          </w:tcPr>
          <w:p w14:paraId="405380A3">
            <w:pPr>
              <w:pStyle w:val="17"/>
              <w:bidi w:val="0"/>
              <w:ind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32" w:type="pct"/>
            <w:tcBorders>
              <w:tl2br w:val="nil"/>
              <w:tr2bl w:val="nil"/>
            </w:tcBorders>
            <w:vAlign w:val="center"/>
          </w:tcPr>
          <w:p w14:paraId="6242D46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+2C</w:t>
            </w:r>
          </w:p>
        </w:tc>
        <w:tc>
          <w:tcPr>
            <w:tcW w:w="612" w:type="pct"/>
            <w:tcBorders>
              <w:tl2br w:val="nil"/>
              <w:tr2bl w:val="nil"/>
            </w:tcBorders>
            <w:vAlign w:val="center"/>
          </w:tcPr>
          <w:p w14:paraId="0258142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+2C</w:t>
            </w:r>
          </w:p>
        </w:tc>
        <w:tc>
          <w:tcPr>
            <w:tcW w:w="383" w:type="pct"/>
            <w:tcBorders>
              <w:tl2br w:val="nil"/>
              <w:tr2bl w:val="nil"/>
            </w:tcBorders>
            <w:vAlign w:val="center"/>
          </w:tcPr>
          <w:p w14:paraId="0A2D8355">
            <w:pPr>
              <w:pStyle w:val="17"/>
              <w:bidi w:val="0"/>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+C</w:t>
            </w:r>
          </w:p>
        </w:tc>
        <w:tc>
          <w:tcPr>
            <w:tcW w:w="366" w:type="pct"/>
            <w:tcBorders>
              <w:tl2br w:val="nil"/>
              <w:tr2bl w:val="nil"/>
            </w:tcBorders>
            <w:vAlign w:val="center"/>
          </w:tcPr>
          <w:p w14:paraId="4C10077F">
            <w:pPr>
              <w:pStyle w:val="17"/>
              <w:bidi w:val="0"/>
              <w:rPr>
                <w:rFonts w:hint="default" w:ascii="Times New Roman" w:hAnsi="Times New Roman" w:cs="Times New Roman"/>
                <w:color w:val="auto"/>
                <w:highlight w:val="none"/>
              </w:rPr>
            </w:pPr>
            <w:r>
              <w:rPr>
                <w:rFonts w:hint="eastAsia"/>
                <w:color w:val="auto"/>
                <w:highlight w:val="none"/>
                <w:lang w:val="en-US" w:eastAsia="zh-CN"/>
              </w:rPr>
              <w:t>+C</w:t>
            </w:r>
          </w:p>
        </w:tc>
        <w:tc>
          <w:tcPr>
            <w:tcW w:w="389" w:type="pct"/>
            <w:tcBorders>
              <w:tl2br w:val="nil"/>
              <w:tr2bl w:val="nil"/>
            </w:tcBorders>
            <w:vAlign w:val="center"/>
          </w:tcPr>
          <w:p w14:paraId="7A5A89D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+1C</w:t>
            </w:r>
          </w:p>
        </w:tc>
        <w:tc>
          <w:tcPr>
            <w:tcW w:w="385" w:type="pct"/>
            <w:tcBorders>
              <w:tl2br w:val="nil"/>
              <w:tr2bl w:val="nil"/>
            </w:tcBorders>
            <w:vAlign w:val="center"/>
          </w:tcPr>
          <w:p w14:paraId="23656532">
            <w:pPr>
              <w:pStyle w:val="17"/>
              <w:bidi w:val="0"/>
              <w:rPr>
                <w:rFonts w:hint="default" w:ascii="Times New Roman" w:hAnsi="Times New Roman" w:cs="Times New Roman"/>
                <w:color w:val="auto"/>
                <w:highlight w:val="none"/>
              </w:rPr>
            </w:pPr>
            <w:r>
              <w:rPr>
                <w:rFonts w:hint="eastAsia"/>
                <w:color w:val="auto"/>
                <w:highlight w:val="none"/>
                <w:lang w:val="en-US" w:eastAsia="zh-CN"/>
              </w:rPr>
              <w:t>+C</w:t>
            </w:r>
          </w:p>
        </w:tc>
      </w:tr>
      <w:tr w14:paraId="1EC2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12"/>
            <w:tcBorders>
              <w:tl2br w:val="nil"/>
              <w:tr2bl w:val="nil"/>
            </w:tcBorders>
            <w:vAlign w:val="center"/>
          </w:tcPr>
          <w:p w14:paraId="4EB290D5">
            <w:pPr>
              <w:pStyle w:val="17"/>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备注：</w:t>
            </w:r>
          </w:p>
          <w:p w14:paraId="43BDEBB8">
            <w:pPr>
              <w:pStyle w:val="17"/>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1、表中“＋”表示有利影响，“－”表示不利影响；</w:t>
            </w:r>
          </w:p>
          <w:p w14:paraId="4995250A">
            <w:pPr>
              <w:pStyle w:val="17"/>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2、表中数字表示影响的相对程度，“1”表示影响较小，“2”表示影响中等，“3”表示影响较大；</w:t>
            </w:r>
          </w:p>
          <w:p w14:paraId="65865040">
            <w:pPr>
              <w:pStyle w:val="17"/>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3、表中“D”表示短期影响，“C”表示长期影响。</w:t>
            </w:r>
          </w:p>
        </w:tc>
      </w:tr>
    </w:tbl>
    <w:p w14:paraId="25440F7C">
      <w:pPr>
        <w:pStyle w:val="19"/>
        <w:bidi w:val="0"/>
        <w:rPr>
          <w:rFonts w:hint="default" w:ascii="Times New Roman" w:hAnsi="Times New Roman" w:cs="Times New Roman"/>
          <w:color w:val="auto"/>
          <w:highlight w:val="none"/>
        </w:rPr>
        <w:sectPr>
          <w:pgSz w:w="16838" w:h="11906" w:orient="landscape"/>
          <w:pgMar w:top="1800" w:right="1440" w:bottom="1800" w:left="1440" w:header="851" w:footer="992" w:gutter="0"/>
          <w:cols w:space="425" w:num="1"/>
          <w:docGrid w:type="lines" w:linePitch="312" w:charSpace="0"/>
        </w:sectPr>
      </w:pPr>
    </w:p>
    <w:p w14:paraId="281224B6">
      <w:pPr>
        <w:pStyle w:val="6"/>
        <w:rPr>
          <w:rFonts w:hint="default" w:ascii="Times New Roman" w:hAnsi="Times New Roman" w:cs="Times New Roman"/>
          <w:color w:val="auto"/>
          <w:highlight w:val="none"/>
        </w:rPr>
      </w:pPr>
      <w:bookmarkStart w:id="158" w:name="_Toc8949"/>
      <w:bookmarkStart w:id="159" w:name="_Toc24657"/>
      <w:bookmarkStart w:id="160" w:name="_Toc31497"/>
      <w:bookmarkStart w:id="161" w:name="_Toc24816"/>
      <w:bookmarkStart w:id="162" w:name="_Toc4614"/>
      <w:bookmarkStart w:id="163" w:name="_Toc27656"/>
      <w:bookmarkStart w:id="164" w:name="_Toc6132"/>
      <w:bookmarkStart w:id="165" w:name="_Toc5739"/>
      <w:bookmarkStart w:id="166" w:name="_Toc26910"/>
      <w:r>
        <w:rPr>
          <w:rFonts w:hint="default" w:ascii="Times New Roman" w:hAnsi="Times New Roman" w:cs="Times New Roman"/>
          <w:color w:val="auto"/>
          <w:highlight w:val="none"/>
        </w:rPr>
        <w:t>2.4.2主要污染因子筛选</w:t>
      </w:r>
      <w:bookmarkEnd w:id="158"/>
      <w:bookmarkEnd w:id="159"/>
      <w:bookmarkEnd w:id="160"/>
      <w:bookmarkEnd w:id="161"/>
      <w:bookmarkEnd w:id="162"/>
      <w:bookmarkEnd w:id="163"/>
      <w:bookmarkEnd w:id="164"/>
      <w:bookmarkEnd w:id="165"/>
      <w:bookmarkEnd w:id="166"/>
    </w:p>
    <w:p w14:paraId="22D3781F">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根据项目特点、污染物排放特征及所在地区环境质量状况，将最终对环境影响较大的污染因子作为主要污染因子，见表2.4-2。</w:t>
      </w:r>
    </w:p>
    <w:p w14:paraId="48FCCE5D">
      <w:pPr>
        <w:pStyle w:val="19"/>
        <w:rPr>
          <w:rFonts w:hint="default" w:ascii="Times New Roman" w:hAnsi="Times New Roman" w:cs="Times New Roman"/>
          <w:color w:val="auto"/>
          <w:highlight w:val="none"/>
        </w:rPr>
      </w:pPr>
      <w:r>
        <w:rPr>
          <w:rFonts w:hint="default" w:ascii="Times New Roman" w:hAnsi="Times New Roman" w:cs="Times New Roman"/>
          <w:color w:val="auto"/>
          <w:highlight w:val="none"/>
        </w:rPr>
        <w:t>表2.4-2    本项目主要污染因子识别</w:t>
      </w:r>
    </w:p>
    <w:tbl>
      <w:tblPr>
        <w:tblStyle w:val="13"/>
        <w:tblW w:w="8603"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757"/>
        <w:gridCol w:w="1000"/>
        <w:gridCol w:w="4452"/>
        <w:gridCol w:w="2394"/>
      </w:tblGrid>
      <w:tr w14:paraId="186B607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757" w:type="dxa"/>
            <w:vAlign w:val="center"/>
          </w:tcPr>
          <w:p w14:paraId="6C3F4BA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阶段</w:t>
            </w:r>
          </w:p>
        </w:tc>
        <w:tc>
          <w:tcPr>
            <w:tcW w:w="1000" w:type="dxa"/>
            <w:vAlign w:val="center"/>
          </w:tcPr>
          <w:p w14:paraId="2199757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环境要素</w:t>
            </w:r>
          </w:p>
        </w:tc>
        <w:tc>
          <w:tcPr>
            <w:tcW w:w="4452" w:type="dxa"/>
            <w:vAlign w:val="center"/>
          </w:tcPr>
          <w:p w14:paraId="78A79BA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现状评价因子</w:t>
            </w:r>
          </w:p>
        </w:tc>
        <w:tc>
          <w:tcPr>
            <w:tcW w:w="2394" w:type="dxa"/>
            <w:vAlign w:val="center"/>
          </w:tcPr>
          <w:p w14:paraId="0B01E54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影响评价因子</w:t>
            </w:r>
          </w:p>
        </w:tc>
      </w:tr>
      <w:tr w14:paraId="6D7D5B6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jc w:val="center"/>
        </w:trPr>
        <w:tc>
          <w:tcPr>
            <w:tcW w:w="757" w:type="dxa"/>
            <w:vMerge w:val="restart"/>
            <w:vAlign w:val="center"/>
          </w:tcPr>
          <w:p w14:paraId="5929BE5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运营期</w:t>
            </w:r>
          </w:p>
        </w:tc>
        <w:tc>
          <w:tcPr>
            <w:tcW w:w="1000" w:type="dxa"/>
            <w:vAlign w:val="center"/>
          </w:tcPr>
          <w:p w14:paraId="5C90AEE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环境空气</w:t>
            </w:r>
          </w:p>
        </w:tc>
        <w:tc>
          <w:tcPr>
            <w:tcW w:w="4452" w:type="dxa"/>
            <w:vAlign w:val="center"/>
          </w:tcPr>
          <w:p w14:paraId="6321D80D">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SO</w:t>
            </w:r>
            <w:r>
              <w:rPr>
                <w:rFonts w:hint="default" w:ascii="Times New Roman" w:hAnsi="Times New Roman" w:cs="Times New Roman"/>
                <w:color w:val="auto"/>
                <w:highlight w:val="none"/>
                <w:vertAlign w:val="subscript"/>
              </w:rPr>
              <w:t>2</w:t>
            </w:r>
            <w:r>
              <w:rPr>
                <w:rFonts w:hint="default" w:ascii="Times New Roman" w:hAnsi="Times New Roman" w:cs="Times New Roman"/>
                <w:color w:val="auto"/>
                <w:highlight w:val="none"/>
              </w:rPr>
              <w:t>、NO</w:t>
            </w:r>
            <w:r>
              <w:rPr>
                <w:rFonts w:hint="default" w:ascii="Times New Roman" w:hAnsi="Times New Roman" w:cs="Times New Roman"/>
                <w:color w:val="auto"/>
                <w:highlight w:val="none"/>
                <w:vertAlign w:val="subscript"/>
              </w:rPr>
              <w:t>2</w:t>
            </w:r>
            <w:r>
              <w:rPr>
                <w:rFonts w:hint="default" w:ascii="Times New Roman" w:hAnsi="Times New Roman" w:cs="Times New Roman"/>
                <w:color w:val="auto"/>
                <w:highlight w:val="none"/>
              </w:rPr>
              <w:t>、PM</w:t>
            </w:r>
            <w:r>
              <w:rPr>
                <w:rFonts w:hint="default" w:ascii="Times New Roman" w:hAnsi="Times New Roman" w:cs="Times New Roman"/>
                <w:color w:val="auto"/>
                <w:highlight w:val="none"/>
                <w:vertAlign w:val="subscript"/>
              </w:rPr>
              <w:t>10</w:t>
            </w:r>
            <w:r>
              <w:rPr>
                <w:rFonts w:hint="default" w:ascii="Times New Roman" w:hAnsi="Times New Roman" w:cs="Times New Roman"/>
                <w:color w:val="auto"/>
                <w:highlight w:val="none"/>
              </w:rPr>
              <w:t>、PM</w:t>
            </w:r>
            <w:r>
              <w:rPr>
                <w:rFonts w:hint="default" w:ascii="Times New Roman" w:hAnsi="Times New Roman" w:cs="Times New Roman"/>
                <w:color w:val="auto"/>
                <w:highlight w:val="none"/>
                <w:vertAlign w:val="subscript"/>
              </w:rPr>
              <w:t>2.5</w:t>
            </w:r>
            <w:r>
              <w:rPr>
                <w:rFonts w:hint="default" w:ascii="Times New Roman" w:hAnsi="Times New Roman" w:cs="Times New Roman"/>
                <w:color w:val="auto"/>
                <w:highlight w:val="none"/>
              </w:rPr>
              <w:t>、CO</w:t>
            </w:r>
            <w:r>
              <w:rPr>
                <w:rFonts w:hint="default" w:ascii="Times New Roman" w:hAnsi="Times New Roman" w:cs="Times New Roman"/>
                <w:color w:val="auto"/>
                <w:highlight w:val="none"/>
                <w:lang w:val="zh-CN"/>
              </w:rPr>
              <w:t>、</w:t>
            </w:r>
            <w:r>
              <w:rPr>
                <w:rFonts w:hint="default" w:ascii="Times New Roman" w:hAnsi="Times New Roman" w:cs="Times New Roman"/>
                <w:color w:val="auto"/>
                <w:highlight w:val="none"/>
              </w:rPr>
              <w:t>O</w:t>
            </w:r>
            <w:r>
              <w:rPr>
                <w:rFonts w:hint="default" w:ascii="Times New Roman" w:hAnsi="Times New Roman" w:cs="Times New Roman"/>
                <w:color w:val="auto"/>
                <w:highlight w:val="none"/>
                <w:vertAlign w:val="subscript"/>
              </w:rPr>
              <w:t>3</w:t>
            </w:r>
            <w:r>
              <w:rPr>
                <w:rFonts w:hint="default" w:ascii="Times New Roman" w:hAnsi="Times New Roman" w:cs="Times New Roman"/>
                <w:color w:val="auto"/>
                <w:highlight w:val="none"/>
              </w:rPr>
              <w:t>、TSP、</w:t>
            </w:r>
            <w:r>
              <w:rPr>
                <w:rFonts w:hint="default" w:ascii="Times New Roman" w:hAnsi="Times New Roman" w:cs="Times New Roman"/>
                <w:color w:val="auto"/>
                <w:highlight w:val="none"/>
                <w:lang w:eastAsia="zh-CN"/>
              </w:rPr>
              <w:t>氟化物、</w:t>
            </w:r>
            <w:r>
              <w:rPr>
                <w:rFonts w:hint="default" w:ascii="Times New Roman" w:hAnsi="Times New Roman" w:cs="Times New Roman"/>
                <w:color w:val="auto"/>
                <w:highlight w:val="none"/>
                <w:lang w:val="en-US" w:eastAsia="zh-CN"/>
              </w:rPr>
              <w:t>硫酸雾</w:t>
            </w:r>
          </w:p>
        </w:tc>
        <w:tc>
          <w:tcPr>
            <w:tcW w:w="2394" w:type="dxa"/>
            <w:vAlign w:val="center"/>
          </w:tcPr>
          <w:p w14:paraId="1B96FA9E">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TSP、PM</w:t>
            </w:r>
            <w:r>
              <w:rPr>
                <w:rFonts w:hint="default" w:ascii="Times New Roman" w:hAnsi="Times New Roman" w:cs="Times New Roman"/>
                <w:color w:val="auto"/>
                <w:highlight w:val="none"/>
                <w:vertAlign w:val="subscript"/>
              </w:rPr>
              <w:t>10</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氟化物、</w:t>
            </w:r>
            <w:r>
              <w:rPr>
                <w:rFonts w:hint="default" w:ascii="Times New Roman" w:hAnsi="Times New Roman" w:cs="Times New Roman"/>
                <w:color w:val="auto"/>
                <w:highlight w:val="none"/>
                <w:lang w:val="en-US" w:eastAsia="zh-CN"/>
              </w:rPr>
              <w:t>硫酸雾</w:t>
            </w:r>
          </w:p>
        </w:tc>
      </w:tr>
      <w:tr w14:paraId="27A84EE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jc w:val="center"/>
        </w:trPr>
        <w:tc>
          <w:tcPr>
            <w:tcW w:w="757" w:type="dxa"/>
            <w:vMerge w:val="continue"/>
            <w:vAlign w:val="center"/>
          </w:tcPr>
          <w:p w14:paraId="171DDA37">
            <w:pPr>
              <w:pStyle w:val="17"/>
              <w:bidi w:val="0"/>
              <w:rPr>
                <w:rFonts w:hint="default" w:ascii="Times New Roman" w:hAnsi="Times New Roman" w:cs="Times New Roman"/>
                <w:color w:val="auto"/>
                <w:highlight w:val="none"/>
              </w:rPr>
            </w:pPr>
          </w:p>
        </w:tc>
        <w:tc>
          <w:tcPr>
            <w:tcW w:w="1000" w:type="dxa"/>
            <w:vAlign w:val="center"/>
          </w:tcPr>
          <w:p w14:paraId="6495FE2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地表水环境</w:t>
            </w:r>
          </w:p>
        </w:tc>
        <w:tc>
          <w:tcPr>
            <w:tcW w:w="4452" w:type="dxa"/>
            <w:vAlign w:val="center"/>
          </w:tcPr>
          <w:p w14:paraId="7FC54EB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pH、溶解氧、高锰酸盐指数、COD、BOD</w:t>
            </w:r>
            <w:r>
              <w:rPr>
                <w:rFonts w:hint="default" w:ascii="Times New Roman" w:hAnsi="Times New Roman" w:cs="Times New Roman"/>
                <w:color w:val="auto"/>
                <w:highlight w:val="none"/>
                <w:vertAlign w:val="subscript"/>
                <w:lang w:val="en-US" w:eastAsia="zh-CN"/>
              </w:rPr>
              <w:t>5</w:t>
            </w:r>
            <w:r>
              <w:rPr>
                <w:rFonts w:hint="default" w:ascii="Times New Roman" w:hAnsi="Times New Roman" w:cs="Times New Roman"/>
                <w:color w:val="auto"/>
                <w:highlight w:val="none"/>
                <w:lang w:val="en-US" w:eastAsia="zh-CN"/>
              </w:rPr>
              <w:t>、氨氮、总磷、铜、锌、氟化物、硒、砷、汞、六价铬、铅、氰化物、挥发酚、石油类、硫化物、粪大肠菌群、氯化物、硝酸盐氮</w:t>
            </w:r>
          </w:p>
        </w:tc>
        <w:tc>
          <w:tcPr>
            <w:tcW w:w="2394" w:type="dxa"/>
            <w:vAlign w:val="center"/>
          </w:tcPr>
          <w:p w14:paraId="304065F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COD、氨氮</w:t>
            </w:r>
          </w:p>
        </w:tc>
      </w:tr>
      <w:tr w14:paraId="26F5480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jc w:val="center"/>
        </w:trPr>
        <w:tc>
          <w:tcPr>
            <w:tcW w:w="757" w:type="dxa"/>
            <w:vMerge w:val="continue"/>
            <w:vAlign w:val="center"/>
          </w:tcPr>
          <w:p w14:paraId="48BBB27D">
            <w:pPr>
              <w:pStyle w:val="17"/>
              <w:bidi w:val="0"/>
              <w:rPr>
                <w:rFonts w:hint="default" w:ascii="Times New Roman" w:hAnsi="Times New Roman" w:cs="Times New Roman"/>
                <w:color w:val="auto"/>
                <w:highlight w:val="none"/>
              </w:rPr>
            </w:pPr>
          </w:p>
        </w:tc>
        <w:tc>
          <w:tcPr>
            <w:tcW w:w="1000" w:type="dxa"/>
            <w:vAlign w:val="center"/>
          </w:tcPr>
          <w:p w14:paraId="1D14048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地下水环境</w:t>
            </w:r>
          </w:p>
        </w:tc>
        <w:tc>
          <w:tcPr>
            <w:tcW w:w="4452" w:type="dxa"/>
            <w:vAlign w:val="center"/>
          </w:tcPr>
          <w:p w14:paraId="074547C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K</w:t>
            </w:r>
            <w:r>
              <w:rPr>
                <w:rFonts w:hint="default" w:ascii="Times New Roman" w:hAnsi="Times New Roman" w:cs="Times New Roman"/>
                <w:color w:val="auto"/>
                <w:highlight w:val="none"/>
                <w:vertAlign w:val="superscript"/>
                <w:lang w:val="en-US" w:eastAsia="zh-CN"/>
              </w:rPr>
              <w:t>+</w:t>
            </w:r>
            <w:r>
              <w:rPr>
                <w:rFonts w:hint="default" w:ascii="Times New Roman" w:hAnsi="Times New Roman" w:cs="Times New Roman"/>
                <w:color w:val="auto"/>
                <w:highlight w:val="none"/>
                <w:lang w:val="en-US" w:eastAsia="zh-CN"/>
              </w:rPr>
              <w:t>、Na</w:t>
            </w:r>
            <w:r>
              <w:rPr>
                <w:rFonts w:hint="default" w:ascii="Times New Roman" w:hAnsi="Times New Roman" w:cs="Times New Roman"/>
                <w:color w:val="auto"/>
                <w:highlight w:val="none"/>
                <w:vertAlign w:val="superscript"/>
                <w:lang w:val="en-US" w:eastAsia="zh-CN"/>
              </w:rPr>
              <w:t>+</w:t>
            </w:r>
            <w:r>
              <w:rPr>
                <w:rFonts w:hint="default" w:ascii="Times New Roman" w:hAnsi="Times New Roman" w:cs="Times New Roman"/>
                <w:color w:val="auto"/>
                <w:highlight w:val="none"/>
                <w:lang w:val="en-US" w:eastAsia="zh-CN"/>
              </w:rPr>
              <w:t>、Ca</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、Mg</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、CO</w:t>
            </w:r>
            <w:r>
              <w:rPr>
                <w:rFonts w:hint="default" w:ascii="Times New Roman" w:hAnsi="Times New Roman" w:cs="Times New Roman"/>
                <w:color w:val="auto"/>
                <w:highlight w:val="none"/>
                <w:vertAlign w:val="subscript"/>
                <w:lang w:val="en-US" w:eastAsia="zh-CN"/>
              </w:rPr>
              <w:t>3</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、HCO</w:t>
            </w:r>
            <w:r>
              <w:rPr>
                <w:rFonts w:hint="default" w:ascii="Times New Roman" w:hAnsi="Times New Roman" w:cs="Times New Roman"/>
                <w:color w:val="auto"/>
                <w:highlight w:val="none"/>
                <w:vertAlign w:val="subscript"/>
                <w:lang w:val="en-US" w:eastAsia="zh-CN"/>
              </w:rPr>
              <w:t>3</w:t>
            </w:r>
            <w:r>
              <w:rPr>
                <w:rFonts w:hint="default" w:ascii="Times New Roman" w:hAnsi="Times New Roman" w:cs="Times New Roman"/>
                <w:color w:val="auto"/>
                <w:highlight w:val="none"/>
                <w:vertAlign w:val="superscript"/>
                <w:lang w:val="en-US" w:eastAsia="zh-CN"/>
              </w:rPr>
              <w:t>-</w:t>
            </w:r>
            <w:r>
              <w:rPr>
                <w:rFonts w:hint="default" w:ascii="Times New Roman" w:hAnsi="Times New Roman" w:cs="Times New Roman"/>
                <w:color w:val="auto"/>
                <w:highlight w:val="none"/>
                <w:lang w:val="en-US" w:eastAsia="zh-CN"/>
              </w:rPr>
              <w:t>、Cl-、SO</w:t>
            </w:r>
            <w:r>
              <w:rPr>
                <w:rFonts w:hint="default" w:ascii="Times New Roman" w:hAnsi="Times New Roman" w:cs="Times New Roman"/>
                <w:color w:val="auto"/>
                <w:highlight w:val="none"/>
                <w:vertAlign w:val="subscript"/>
                <w:lang w:val="en-US" w:eastAsia="zh-CN"/>
              </w:rPr>
              <w:t>4</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以及</w:t>
            </w:r>
            <w:r>
              <w:rPr>
                <w:rFonts w:hint="default" w:ascii="Times New Roman" w:hAnsi="Times New Roman" w:cs="Times New Roman"/>
                <w:color w:val="auto"/>
                <w:highlight w:val="none"/>
              </w:rPr>
              <w:t>pH值、总硬度</w:t>
            </w:r>
            <w:r>
              <w:rPr>
                <w:rFonts w:hint="default" w:ascii="Times New Roman" w:hAnsi="Times New Roman" w:cs="Times New Roman"/>
                <w:color w:val="auto"/>
                <w:highlight w:val="none"/>
                <w:lang w:eastAsia="zh-CN"/>
              </w:rPr>
              <w:t>、溶解性总固体、铁、锰、铜、</w:t>
            </w:r>
            <w:r>
              <w:rPr>
                <w:rFonts w:hint="default" w:ascii="Times New Roman" w:hAnsi="Times New Roman" w:cs="Times New Roman"/>
                <w:color w:val="auto"/>
                <w:highlight w:val="none"/>
              </w:rPr>
              <w:t>锌、挥发性酚类、氨氮、总大肠菌群、亚硝酸盐、硝酸盐</w:t>
            </w:r>
            <w:r>
              <w:rPr>
                <w:rFonts w:hint="default" w:ascii="Times New Roman" w:hAnsi="Times New Roman" w:cs="Times New Roman"/>
                <w:color w:val="auto"/>
                <w:highlight w:val="none"/>
                <w:lang w:eastAsia="zh-CN"/>
              </w:rPr>
              <w:t>、氰化物、氟化物</w:t>
            </w:r>
            <w:r>
              <w:rPr>
                <w:rFonts w:hint="default" w:ascii="Times New Roman" w:hAnsi="Times New Roman" w:cs="Times New Roman"/>
                <w:color w:val="auto"/>
                <w:highlight w:val="none"/>
              </w:rPr>
              <w:t>、汞、砷、镉、铬（六价）、铅、镍</w:t>
            </w:r>
          </w:p>
        </w:tc>
        <w:tc>
          <w:tcPr>
            <w:tcW w:w="2394" w:type="dxa"/>
            <w:vAlign w:val="center"/>
          </w:tcPr>
          <w:p w14:paraId="1B34FED2">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氟化物、镉</w:t>
            </w:r>
          </w:p>
        </w:tc>
      </w:tr>
      <w:tr w14:paraId="6308A9D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757" w:type="dxa"/>
            <w:vMerge w:val="continue"/>
            <w:vAlign w:val="center"/>
          </w:tcPr>
          <w:p w14:paraId="15489BCB">
            <w:pPr>
              <w:pStyle w:val="17"/>
              <w:bidi w:val="0"/>
              <w:rPr>
                <w:rFonts w:hint="default" w:ascii="Times New Roman" w:hAnsi="Times New Roman" w:cs="Times New Roman"/>
                <w:color w:val="auto"/>
                <w:highlight w:val="none"/>
              </w:rPr>
            </w:pPr>
          </w:p>
        </w:tc>
        <w:tc>
          <w:tcPr>
            <w:tcW w:w="1000" w:type="dxa"/>
            <w:vAlign w:val="center"/>
          </w:tcPr>
          <w:p w14:paraId="39144A1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声环境</w:t>
            </w:r>
          </w:p>
        </w:tc>
        <w:tc>
          <w:tcPr>
            <w:tcW w:w="4452" w:type="dxa"/>
            <w:vAlign w:val="center"/>
          </w:tcPr>
          <w:p w14:paraId="34EAF21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连续等效A声级</w:t>
            </w:r>
          </w:p>
        </w:tc>
        <w:tc>
          <w:tcPr>
            <w:tcW w:w="2394" w:type="dxa"/>
            <w:vAlign w:val="center"/>
          </w:tcPr>
          <w:p w14:paraId="19AFCF1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连续等效A声级</w:t>
            </w:r>
          </w:p>
        </w:tc>
      </w:tr>
      <w:tr w14:paraId="759B4E4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jc w:val="center"/>
        </w:trPr>
        <w:tc>
          <w:tcPr>
            <w:tcW w:w="757" w:type="dxa"/>
            <w:vMerge w:val="continue"/>
            <w:vAlign w:val="center"/>
          </w:tcPr>
          <w:p w14:paraId="49A345D6">
            <w:pPr>
              <w:pStyle w:val="17"/>
              <w:bidi w:val="0"/>
              <w:rPr>
                <w:rFonts w:hint="default" w:ascii="Times New Roman" w:hAnsi="Times New Roman" w:cs="Times New Roman"/>
                <w:color w:val="auto"/>
                <w:highlight w:val="none"/>
              </w:rPr>
            </w:pPr>
          </w:p>
        </w:tc>
        <w:tc>
          <w:tcPr>
            <w:tcW w:w="1000" w:type="dxa"/>
            <w:vAlign w:val="center"/>
          </w:tcPr>
          <w:p w14:paraId="4F06B3D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固体废物</w:t>
            </w:r>
          </w:p>
        </w:tc>
        <w:tc>
          <w:tcPr>
            <w:tcW w:w="4452" w:type="dxa"/>
            <w:vAlign w:val="center"/>
          </w:tcPr>
          <w:p w14:paraId="04FBBCE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2394" w:type="dxa"/>
            <w:vAlign w:val="center"/>
          </w:tcPr>
          <w:p w14:paraId="45C292E8">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尾矿砂、除尘器除尘灰、生活垃圾、废机油</w:t>
            </w:r>
            <w:r>
              <w:rPr>
                <w:rFonts w:hint="eastAsia" w:cs="Times New Roman"/>
                <w:color w:val="auto"/>
                <w:highlight w:val="none"/>
                <w:lang w:val="en-US" w:eastAsia="zh-CN"/>
              </w:rPr>
              <w:t>及油桶</w:t>
            </w:r>
            <w:r>
              <w:rPr>
                <w:rFonts w:hint="default" w:ascii="Times New Roman" w:hAnsi="Times New Roman" w:cs="Times New Roman"/>
                <w:color w:val="auto"/>
                <w:highlight w:val="none"/>
              </w:rPr>
              <w:t>、污泥</w:t>
            </w:r>
            <w:r>
              <w:rPr>
                <w:rFonts w:hint="default" w:ascii="Times New Roman" w:hAnsi="Times New Roman" w:cs="Times New Roman"/>
                <w:color w:val="auto"/>
                <w:highlight w:val="none"/>
                <w:lang w:eastAsia="zh-CN"/>
              </w:rPr>
              <w:t>、</w:t>
            </w:r>
            <w:r>
              <w:rPr>
                <w:rFonts w:hint="eastAsia" w:cs="Times New Roman"/>
                <w:color w:val="auto"/>
                <w:highlight w:val="none"/>
                <w:lang w:val="en-US" w:eastAsia="zh-CN"/>
              </w:rPr>
              <w:t>化验废物</w:t>
            </w:r>
          </w:p>
        </w:tc>
      </w:tr>
      <w:tr w14:paraId="1775A4B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57" w:type="dxa"/>
            <w:vMerge w:val="continue"/>
            <w:vAlign w:val="center"/>
          </w:tcPr>
          <w:p w14:paraId="3E6F407B">
            <w:pPr>
              <w:pStyle w:val="17"/>
              <w:bidi w:val="0"/>
              <w:rPr>
                <w:rFonts w:hint="default" w:ascii="Times New Roman" w:hAnsi="Times New Roman" w:cs="Times New Roman"/>
                <w:color w:val="auto"/>
                <w:highlight w:val="none"/>
              </w:rPr>
            </w:pPr>
          </w:p>
        </w:tc>
        <w:tc>
          <w:tcPr>
            <w:tcW w:w="1000" w:type="dxa"/>
            <w:vAlign w:val="center"/>
          </w:tcPr>
          <w:p w14:paraId="50A8F03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土壤环境</w:t>
            </w:r>
          </w:p>
        </w:tc>
        <w:tc>
          <w:tcPr>
            <w:tcW w:w="4452" w:type="dxa"/>
            <w:vAlign w:val="center"/>
          </w:tcPr>
          <w:p w14:paraId="3AA79A15">
            <w:pPr>
              <w:pStyle w:val="17"/>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GB36600-2018表1中45项基本项+pH值</w:t>
            </w:r>
            <w:r>
              <w:rPr>
                <w:rFonts w:hint="eastAsia" w:cs="Times New Roman"/>
                <w:color w:val="auto"/>
                <w:highlight w:val="none"/>
                <w:lang w:val="en-US" w:eastAsia="zh-CN"/>
              </w:rPr>
              <w:t>+含盐量+石油烃</w:t>
            </w:r>
          </w:p>
        </w:tc>
        <w:tc>
          <w:tcPr>
            <w:tcW w:w="2394" w:type="dxa"/>
            <w:vAlign w:val="center"/>
          </w:tcPr>
          <w:p w14:paraId="46BF731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镉</w:t>
            </w:r>
          </w:p>
        </w:tc>
      </w:tr>
      <w:tr w14:paraId="605E43F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060" w:hRule="atLeast"/>
          <w:jc w:val="center"/>
        </w:trPr>
        <w:tc>
          <w:tcPr>
            <w:tcW w:w="757" w:type="dxa"/>
            <w:vMerge w:val="continue"/>
            <w:vAlign w:val="center"/>
          </w:tcPr>
          <w:p w14:paraId="10ED8F50">
            <w:pPr>
              <w:pStyle w:val="17"/>
              <w:bidi w:val="0"/>
              <w:rPr>
                <w:rFonts w:hint="default" w:ascii="Times New Roman" w:hAnsi="Times New Roman" w:cs="Times New Roman"/>
                <w:color w:val="auto"/>
                <w:highlight w:val="none"/>
              </w:rPr>
            </w:pPr>
          </w:p>
        </w:tc>
        <w:tc>
          <w:tcPr>
            <w:tcW w:w="1000" w:type="dxa"/>
            <w:vAlign w:val="center"/>
          </w:tcPr>
          <w:p w14:paraId="29FE9DD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w:t>
            </w:r>
          </w:p>
        </w:tc>
        <w:tc>
          <w:tcPr>
            <w:tcW w:w="4452" w:type="dxa"/>
            <w:vAlign w:val="center"/>
          </w:tcPr>
          <w:p w14:paraId="09DA9FC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2394" w:type="dxa"/>
            <w:vAlign w:val="center"/>
          </w:tcPr>
          <w:p w14:paraId="6525FC2C">
            <w:pPr>
              <w:pStyle w:val="17"/>
              <w:bidi w:val="0"/>
              <w:rPr>
                <w:rFonts w:hint="default" w:ascii="Times New Roman" w:hAnsi="Times New Roman" w:cs="Times New Roman"/>
                <w:color w:val="auto"/>
                <w:highlight w:val="none"/>
              </w:rPr>
            </w:pPr>
            <w:r>
              <w:rPr>
                <w:rFonts w:hint="eastAsia" w:cs="Times New Roman"/>
                <w:color w:val="auto"/>
                <w:highlight w:val="none"/>
                <w:lang w:val="en-US" w:eastAsia="zh-CN"/>
              </w:rPr>
              <w:t>硫酸泄漏、</w:t>
            </w:r>
            <w:r>
              <w:rPr>
                <w:rFonts w:hint="default" w:ascii="Times New Roman" w:hAnsi="Times New Roman" w:cs="Times New Roman"/>
                <w:color w:val="auto"/>
                <w:highlight w:val="none"/>
              </w:rPr>
              <w:t>尾矿库溃坝、渗漏、管道破裂事故</w:t>
            </w:r>
          </w:p>
        </w:tc>
      </w:tr>
      <w:tr w14:paraId="228F330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19" w:hRule="atLeast"/>
          <w:jc w:val="center"/>
        </w:trPr>
        <w:tc>
          <w:tcPr>
            <w:tcW w:w="757" w:type="dxa"/>
            <w:vAlign w:val="center"/>
          </w:tcPr>
          <w:p w14:paraId="7C306FE0">
            <w:pPr>
              <w:pStyle w:val="17"/>
              <w:bidi w:val="0"/>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闭矿期</w:t>
            </w:r>
          </w:p>
        </w:tc>
        <w:tc>
          <w:tcPr>
            <w:tcW w:w="7846" w:type="dxa"/>
            <w:gridSpan w:val="3"/>
            <w:vAlign w:val="center"/>
          </w:tcPr>
          <w:p w14:paraId="07B70828">
            <w:pPr>
              <w:pStyle w:val="17"/>
              <w:bidi w:val="0"/>
              <w:rPr>
                <w:rFonts w:hint="default" w:ascii="Times New Roman" w:hAnsi="Times New Roman" w:cs="Times New Roman"/>
                <w:color w:val="auto"/>
                <w:highlight w:val="none"/>
                <w:lang w:val="zh-CN"/>
              </w:rPr>
            </w:pPr>
            <w:r>
              <w:rPr>
                <w:rFonts w:hint="default" w:ascii="Times New Roman" w:hAnsi="Times New Roman" w:cs="Times New Roman"/>
                <w:color w:val="auto"/>
                <w:highlight w:val="none"/>
              </w:rPr>
              <w:t>选矿厂、尾矿库土地复垦及生态恢复等</w:t>
            </w:r>
          </w:p>
        </w:tc>
      </w:tr>
    </w:tbl>
    <w:p w14:paraId="6DFEAFA0">
      <w:pPr>
        <w:pStyle w:val="19"/>
        <w:keepNext w:val="0"/>
        <w:keepLines w:val="0"/>
        <w:pageBreakBefore w:val="0"/>
        <w:kinsoku/>
        <w:wordWrap/>
        <w:overflowPunct/>
        <w:topLinePunct w:val="0"/>
        <w:autoSpaceDE/>
        <w:autoSpaceDN/>
        <w:bidi w:val="0"/>
        <w:adjustRightInd/>
        <w:snapToGrid/>
        <w:spacing w:before="0" w:beforeLines="0" w:after="0" w:afterLines="0" w:line="480" w:lineRule="exact"/>
        <w:textAlignment w:val="auto"/>
        <w:outlineLvl w:val="9"/>
        <w:rPr>
          <w:rFonts w:hint="default" w:ascii="Times New Roman" w:hAnsi="Times New Roman" w:cs="Times New Roman"/>
          <w:color w:val="auto"/>
          <w:highlight w:val="none"/>
        </w:rPr>
      </w:pPr>
      <w:bookmarkStart w:id="167" w:name="_Toc26176"/>
      <w:bookmarkStart w:id="168" w:name="_Toc11599"/>
      <w:bookmarkStart w:id="169" w:name="_Toc4593"/>
      <w:bookmarkStart w:id="170" w:name="_Toc31241"/>
      <w:bookmarkStart w:id="171" w:name="_Toc30587"/>
      <w:bookmarkStart w:id="172" w:name="_Toc107413881"/>
      <w:bookmarkStart w:id="173" w:name="_Toc107414648"/>
      <w:r>
        <w:rPr>
          <w:rFonts w:hint="default" w:ascii="Times New Roman" w:hAnsi="Times New Roman" w:cs="Times New Roman"/>
          <w:color w:val="auto"/>
          <w:highlight w:val="none"/>
        </w:rPr>
        <w:t>表2.</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 xml:space="preserve">   </w:t>
      </w:r>
      <w:r>
        <w:rPr>
          <w:rFonts w:hint="default" w:ascii="Times New Roman" w:hAnsi="Times New Roman" w:cs="Times New Roman"/>
          <w:color w:val="auto"/>
          <w:highlight w:val="none"/>
          <w:lang w:val="en-US" w:eastAsia="zh-CN"/>
        </w:rPr>
        <w:t xml:space="preserve"> 生态影响评价因子一览表</w:t>
      </w:r>
    </w:p>
    <w:tbl>
      <w:tblPr>
        <w:tblStyle w:val="18"/>
        <w:tblW w:w="5146" w:type="pct"/>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autofit"/>
        <w:tblCellMar>
          <w:top w:w="0" w:type="dxa"/>
          <w:left w:w="0" w:type="dxa"/>
          <w:bottom w:w="0" w:type="dxa"/>
          <w:right w:w="0" w:type="dxa"/>
        </w:tblCellMar>
      </w:tblPr>
      <w:tblGrid>
        <w:gridCol w:w="1378"/>
        <w:gridCol w:w="2424"/>
        <w:gridCol w:w="2213"/>
        <w:gridCol w:w="1312"/>
        <w:gridCol w:w="1232"/>
      </w:tblGrid>
      <w:tr w14:paraId="2071A47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0" w:hRule="atLeast"/>
          <w:tblHeader/>
          <w:jc w:val="center"/>
        </w:trPr>
        <w:tc>
          <w:tcPr>
            <w:tcW w:w="805" w:type="pct"/>
            <w:tcBorders>
              <w:bottom w:val="single" w:color="000000" w:sz="4" w:space="0"/>
              <w:right w:val="single" w:color="000000" w:sz="4" w:space="0"/>
            </w:tcBorders>
            <w:vAlign w:val="center"/>
          </w:tcPr>
          <w:p w14:paraId="7C83887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受影响对象</w:t>
            </w:r>
          </w:p>
        </w:tc>
        <w:tc>
          <w:tcPr>
            <w:tcW w:w="1415" w:type="pct"/>
            <w:tcBorders>
              <w:left w:val="single" w:color="000000" w:sz="4" w:space="0"/>
              <w:bottom w:val="single" w:color="000000" w:sz="4" w:space="0"/>
              <w:right w:val="single" w:color="000000" w:sz="4" w:space="0"/>
            </w:tcBorders>
            <w:vAlign w:val="center"/>
          </w:tcPr>
          <w:p w14:paraId="7CAA4A4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评价因子</w:t>
            </w:r>
          </w:p>
        </w:tc>
        <w:tc>
          <w:tcPr>
            <w:tcW w:w="1292" w:type="pct"/>
            <w:tcBorders>
              <w:left w:val="single" w:color="000000" w:sz="4" w:space="0"/>
              <w:bottom w:val="single" w:color="000000" w:sz="4" w:space="0"/>
              <w:right w:val="single" w:color="000000" w:sz="4" w:space="0"/>
            </w:tcBorders>
            <w:vAlign w:val="center"/>
          </w:tcPr>
          <w:p w14:paraId="41144C8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工程内容及影响方式</w:t>
            </w:r>
          </w:p>
        </w:tc>
        <w:tc>
          <w:tcPr>
            <w:tcW w:w="766" w:type="pct"/>
            <w:tcBorders>
              <w:left w:val="single" w:color="000000" w:sz="4" w:space="0"/>
              <w:bottom w:val="single" w:color="000000" w:sz="4" w:space="0"/>
              <w:right w:val="single" w:color="000000" w:sz="4" w:space="0"/>
            </w:tcBorders>
            <w:vAlign w:val="center"/>
          </w:tcPr>
          <w:p w14:paraId="17BAC53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影响性质</w:t>
            </w:r>
          </w:p>
        </w:tc>
        <w:tc>
          <w:tcPr>
            <w:tcW w:w="719" w:type="pct"/>
            <w:tcBorders>
              <w:left w:val="single" w:color="000000" w:sz="4" w:space="0"/>
              <w:bottom w:val="single" w:color="000000" w:sz="4" w:space="0"/>
            </w:tcBorders>
            <w:vAlign w:val="center"/>
          </w:tcPr>
          <w:p w14:paraId="3AF5FE3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影响程度</w:t>
            </w:r>
          </w:p>
        </w:tc>
      </w:tr>
      <w:tr w14:paraId="4BE2617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05" w:type="pct"/>
            <w:tcBorders>
              <w:top w:val="single" w:color="000000" w:sz="4" w:space="0"/>
              <w:bottom w:val="single" w:color="000000" w:sz="4" w:space="0"/>
              <w:right w:val="single" w:color="000000" w:sz="4" w:space="0"/>
            </w:tcBorders>
            <w:vAlign w:val="center"/>
          </w:tcPr>
          <w:p w14:paraId="04340B2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物种</w:t>
            </w:r>
          </w:p>
        </w:tc>
        <w:tc>
          <w:tcPr>
            <w:tcW w:w="1415" w:type="pct"/>
            <w:tcBorders>
              <w:top w:val="single" w:color="000000" w:sz="4" w:space="0"/>
              <w:left w:val="single" w:color="000000" w:sz="4" w:space="0"/>
              <w:bottom w:val="single" w:color="000000" w:sz="4" w:space="0"/>
              <w:right w:val="single" w:color="000000" w:sz="4" w:space="0"/>
            </w:tcBorders>
            <w:vAlign w:val="center"/>
          </w:tcPr>
          <w:p w14:paraId="16A6D0A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分布范围、种群数量、种群结构</w:t>
            </w:r>
          </w:p>
        </w:tc>
        <w:tc>
          <w:tcPr>
            <w:tcW w:w="1292" w:type="pct"/>
            <w:tcBorders>
              <w:top w:val="single" w:color="000000" w:sz="4" w:space="0"/>
              <w:left w:val="single" w:color="000000" w:sz="4" w:space="0"/>
              <w:bottom w:val="single" w:color="000000" w:sz="4" w:space="0"/>
              <w:right w:val="single" w:color="000000" w:sz="4" w:space="0"/>
            </w:tcBorders>
            <w:vAlign w:val="center"/>
          </w:tcPr>
          <w:p w14:paraId="1748E9F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占地</w:t>
            </w:r>
            <w:r>
              <w:rPr>
                <w:rFonts w:hint="default" w:ascii="Times New Roman" w:hAnsi="Times New Roman" w:cs="Times New Roman"/>
                <w:color w:val="auto"/>
                <w:highlight w:val="none"/>
              </w:rPr>
              <w:t>；直接生态影响</w:t>
            </w:r>
          </w:p>
        </w:tc>
        <w:tc>
          <w:tcPr>
            <w:tcW w:w="766" w:type="pct"/>
            <w:tcBorders>
              <w:top w:val="single" w:color="000000" w:sz="4" w:space="0"/>
              <w:left w:val="single" w:color="000000" w:sz="4" w:space="0"/>
              <w:bottom w:val="single" w:color="000000" w:sz="4" w:space="0"/>
              <w:right w:val="single" w:color="000000" w:sz="4" w:space="0"/>
            </w:tcBorders>
            <w:vAlign w:val="center"/>
          </w:tcPr>
          <w:p w14:paraId="6361FB9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长期、可逆</w:t>
            </w:r>
          </w:p>
        </w:tc>
        <w:tc>
          <w:tcPr>
            <w:tcW w:w="719" w:type="pct"/>
            <w:tcBorders>
              <w:top w:val="single" w:color="000000" w:sz="4" w:space="0"/>
              <w:left w:val="single" w:color="000000" w:sz="4" w:space="0"/>
              <w:bottom w:val="single" w:color="000000" w:sz="4" w:space="0"/>
            </w:tcBorders>
            <w:vAlign w:val="center"/>
          </w:tcPr>
          <w:p w14:paraId="57DED2D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弱</w:t>
            </w:r>
          </w:p>
        </w:tc>
      </w:tr>
      <w:tr w14:paraId="6A08155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05" w:type="pct"/>
            <w:tcBorders>
              <w:top w:val="single" w:color="000000" w:sz="4" w:space="0"/>
              <w:bottom w:val="single" w:color="000000" w:sz="4" w:space="0"/>
              <w:right w:val="single" w:color="000000" w:sz="4" w:space="0"/>
            </w:tcBorders>
            <w:vAlign w:val="center"/>
          </w:tcPr>
          <w:p w14:paraId="2B41F43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生境</w:t>
            </w:r>
          </w:p>
        </w:tc>
        <w:tc>
          <w:tcPr>
            <w:tcW w:w="1415" w:type="pct"/>
            <w:tcBorders>
              <w:top w:val="single" w:color="000000" w:sz="4" w:space="0"/>
              <w:left w:val="single" w:color="000000" w:sz="4" w:space="0"/>
              <w:bottom w:val="single" w:color="000000" w:sz="4" w:space="0"/>
              <w:right w:val="single" w:color="000000" w:sz="4" w:space="0"/>
            </w:tcBorders>
            <w:vAlign w:val="center"/>
          </w:tcPr>
          <w:p w14:paraId="689B3BE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生境面积、质量、连通性</w:t>
            </w:r>
          </w:p>
        </w:tc>
        <w:tc>
          <w:tcPr>
            <w:tcW w:w="1292" w:type="pct"/>
            <w:tcBorders>
              <w:top w:val="single" w:color="000000" w:sz="4" w:space="0"/>
              <w:left w:val="single" w:color="000000" w:sz="4" w:space="0"/>
              <w:bottom w:val="single" w:color="000000" w:sz="4" w:space="0"/>
              <w:right w:val="single" w:color="000000" w:sz="4" w:space="0"/>
            </w:tcBorders>
            <w:vAlign w:val="center"/>
          </w:tcPr>
          <w:p w14:paraId="23888A0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占地、生产运营；</w:t>
            </w:r>
            <w:r>
              <w:rPr>
                <w:rFonts w:hint="default" w:ascii="Times New Roman" w:hAnsi="Times New Roman" w:cs="Times New Roman"/>
                <w:color w:val="auto"/>
                <w:highlight w:val="none"/>
              </w:rPr>
              <w:t>直接生态影响</w:t>
            </w:r>
          </w:p>
        </w:tc>
        <w:tc>
          <w:tcPr>
            <w:tcW w:w="766" w:type="pct"/>
            <w:tcBorders>
              <w:top w:val="single" w:color="000000" w:sz="4" w:space="0"/>
              <w:left w:val="single" w:color="000000" w:sz="4" w:space="0"/>
              <w:bottom w:val="single" w:color="000000" w:sz="4" w:space="0"/>
              <w:right w:val="single" w:color="000000" w:sz="4" w:space="0"/>
            </w:tcBorders>
            <w:vAlign w:val="center"/>
          </w:tcPr>
          <w:p w14:paraId="249AAF7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长期、可逆</w:t>
            </w:r>
          </w:p>
        </w:tc>
        <w:tc>
          <w:tcPr>
            <w:tcW w:w="719" w:type="pct"/>
            <w:tcBorders>
              <w:top w:val="single" w:color="000000" w:sz="4" w:space="0"/>
              <w:left w:val="single" w:color="000000" w:sz="4" w:space="0"/>
              <w:bottom w:val="single" w:color="000000" w:sz="4" w:space="0"/>
            </w:tcBorders>
            <w:vAlign w:val="center"/>
          </w:tcPr>
          <w:p w14:paraId="29FE02D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中等</w:t>
            </w:r>
          </w:p>
        </w:tc>
      </w:tr>
      <w:tr w14:paraId="6DDB3F9B">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05" w:type="pct"/>
            <w:tcBorders>
              <w:top w:val="single" w:color="000000" w:sz="4" w:space="0"/>
              <w:bottom w:val="single" w:color="000000" w:sz="4" w:space="0"/>
              <w:right w:val="single" w:color="000000" w:sz="4" w:space="0"/>
            </w:tcBorders>
            <w:vAlign w:val="center"/>
          </w:tcPr>
          <w:p w14:paraId="700D8CB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生物群落</w:t>
            </w:r>
          </w:p>
        </w:tc>
        <w:tc>
          <w:tcPr>
            <w:tcW w:w="1415" w:type="pct"/>
            <w:tcBorders>
              <w:top w:val="single" w:color="000000" w:sz="4" w:space="0"/>
              <w:left w:val="single" w:color="000000" w:sz="4" w:space="0"/>
              <w:bottom w:val="single" w:color="000000" w:sz="4" w:space="0"/>
              <w:right w:val="single" w:color="000000" w:sz="4" w:space="0"/>
            </w:tcBorders>
            <w:vAlign w:val="center"/>
          </w:tcPr>
          <w:p w14:paraId="73E092C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物种组成、群落结构</w:t>
            </w:r>
          </w:p>
        </w:tc>
        <w:tc>
          <w:tcPr>
            <w:tcW w:w="1292" w:type="pct"/>
            <w:tcBorders>
              <w:top w:val="single" w:color="000000" w:sz="4" w:space="0"/>
              <w:left w:val="single" w:color="000000" w:sz="4" w:space="0"/>
              <w:bottom w:val="single" w:color="000000" w:sz="4" w:space="0"/>
              <w:right w:val="single" w:color="000000" w:sz="4" w:space="0"/>
            </w:tcBorders>
            <w:vAlign w:val="center"/>
          </w:tcPr>
          <w:p w14:paraId="34AB259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占地</w:t>
            </w:r>
            <w:r>
              <w:rPr>
                <w:rFonts w:hint="default" w:ascii="Times New Roman" w:hAnsi="Times New Roman" w:cs="Times New Roman"/>
                <w:color w:val="auto"/>
                <w:highlight w:val="none"/>
              </w:rPr>
              <w:t>；直接生态影响</w:t>
            </w:r>
          </w:p>
        </w:tc>
        <w:tc>
          <w:tcPr>
            <w:tcW w:w="766" w:type="pct"/>
            <w:tcBorders>
              <w:top w:val="single" w:color="000000" w:sz="4" w:space="0"/>
              <w:left w:val="single" w:color="000000" w:sz="4" w:space="0"/>
              <w:bottom w:val="single" w:color="000000" w:sz="4" w:space="0"/>
              <w:right w:val="single" w:color="000000" w:sz="4" w:space="0"/>
            </w:tcBorders>
            <w:vAlign w:val="center"/>
          </w:tcPr>
          <w:p w14:paraId="27EAE70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长期、可逆</w:t>
            </w:r>
          </w:p>
        </w:tc>
        <w:tc>
          <w:tcPr>
            <w:tcW w:w="719" w:type="pct"/>
            <w:tcBorders>
              <w:top w:val="single" w:color="000000" w:sz="4" w:space="0"/>
              <w:left w:val="single" w:color="000000" w:sz="4" w:space="0"/>
              <w:bottom w:val="single" w:color="000000" w:sz="4" w:space="0"/>
            </w:tcBorders>
            <w:vAlign w:val="center"/>
          </w:tcPr>
          <w:p w14:paraId="783C8D2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弱</w:t>
            </w:r>
          </w:p>
        </w:tc>
      </w:tr>
      <w:tr w14:paraId="559AC10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05" w:type="pct"/>
            <w:tcBorders>
              <w:top w:val="single" w:color="000000" w:sz="4" w:space="0"/>
              <w:bottom w:val="single" w:color="000000" w:sz="4" w:space="0"/>
              <w:right w:val="single" w:color="000000" w:sz="4" w:space="0"/>
            </w:tcBorders>
            <w:vAlign w:val="center"/>
          </w:tcPr>
          <w:p w14:paraId="2C559CC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生态系统</w:t>
            </w:r>
          </w:p>
        </w:tc>
        <w:tc>
          <w:tcPr>
            <w:tcW w:w="1415" w:type="pct"/>
            <w:tcBorders>
              <w:top w:val="single" w:color="000000" w:sz="4" w:space="0"/>
              <w:left w:val="single" w:color="000000" w:sz="4" w:space="0"/>
              <w:bottom w:val="single" w:color="000000" w:sz="4" w:space="0"/>
              <w:right w:val="single" w:color="000000" w:sz="4" w:space="0"/>
            </w:tcBorders>
            <w:vAlign w:val="center"/>
          </w:tcPr>
          <w:p w14:paraId="6A8F6C4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植被覆盖度、生态系统功能</w:t>
            </w:r>
          </w:p>
        </w:tc>
        <w:tc>
          <w:tcPr>
            <w:tcW w:w="1292" w:type="pct"/>
            <w:tcBorders>
              <w:top w:val="single" w:color="000000" w:sz="4" w:space="0"/>
              <w:left w:val="single" w:color="000000" w:sz="4" w:space="0"/>
              <w:bottom w:val="single" w:color="000000" w:sz="4" w:space="0"/>
              <w:right w:val="single" w:color="000000" w:sz="4" w:space="0"/>
            </w:tcBorders>
            <w:vAlign w:val="center"/>
          </w:tcPr>
          <w:p w14:paraId="309A4F1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占地</w:t>
            </w:r>
            <w:r>
              <w:rPr>
                <w:rFonts w:hint="default" w:ascii="Times New Roman" w:hAnsi="Times New Roman" w:cs="Times New Roman"/>
                <w:color w:val="auto"/>
                <w:highlight w:val="none"/>
              </w:rPr>
              <w:t>；直接生态影响</w:t>
            </w:r>
          </w:p>
        </w:tc>
        <w:tc>
          <w:tcPr>
            <w:tcW w:w="766" w:type="pct"/>
            <w:tcBorders>
              <w:top w:val="single" w:color="000000" w:sz="4" w:space="0"/>
              <w:left w:val="single" w:color="000000" w:sz="4" w:space="0"/>
              <w:bottom w:val="single" w:color="000000" w:sz="4" w:space="0"/>
              <w:right w:val="single" w:color="000000" w:sz="4" w:space="0"/>
            </w:tcBorders>
            <w:vAlign w:val="center"/>
          </w:tcPr>
          <w:p w14:paraId="339A160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长期、可逆</w:t>
            </w:r>
          </w:p>
        </w:tc>
        <w:tc>
          <w:tcPr>
            <w:tcW w:w="719" w:type="pct"/>
            <w:tcBorders>
              <w:top w:val="single" w:color="000000" w:sz="4" w:space="0"/>
              <w:left w:val="single" w:color="000000" w:sz="4" w:space="0"/>
              <w:bottom w:val="single" w:color="000000" w:sz="4" w:space="0"/>
            </w:tcBorders>
            <w:vAlign w:val="center"/>
          </w:tcPr>
          <w:p w14:paraId="5464DCF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弱</w:t>
            </w:r>
          </w:p>
        </w:tc>
      </w:tr>
      <w:tr w14:paraId="6181794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05" w:type="pct"/>
            <w:tcBorders>
              <w:top w:val="single" w:color="000000" w:sz="4" w:space="0"/>
              <w:bottom w:val="single" w:color="000000" w:sz="4" w:space="0"/>
              <w:right w:val="single" w:color="000000" w:sz="4" w:space="0"/>
            </w:tcBorders>
            <w:vAlign w:val="center"/>
          </w:tcPr>
          <w:p w14:paraId="2904D6D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生物多样性</w:t>
            </w:r>
          </w:p>
        </w:tc>
        <w:tc>
          <w:tcPr>
            <w:tcW w:w="1415" w:type="pct"/>
            <w:tcBorders>
              <w:top w:val="single" w:color="000000" w:sz="4" w:space="0"/>
              <w:left w:val="single" w:color="000000" w:sz="4" w:space="0"/>
              <w:bottom w:val="single" w:color="000000" w:sz="4" w:space="0"/>
              <w:right w:val="single" w:color="000000" w:sz="4" w:space="0"/>
            </w:tcBorders>
            <w:vAlign w:val="center"/>
          </w:tcPr>
          <w:p w14:paraId="439AF46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物种丰富度</w:t>
            </w:r>
          </w:p>
        </w:tc>
        <w:tc>
          <w:tcPr>
            <w:tcW w:w="1292" w:type="pct"/>
            <w:tcBorders>
              <w:top w:val="single" w:color="000000" w:sz="4" w:space="0"/>
              <w:left w:val="single" w:color="000000" w:sz="4" w:space="0"/>
              <w:bottom w:val="single" w:color="000000" w:sz="4" w:space="0"/>
              <w:right w:val="single" w:color="000000" w:sz="4" w:space="0"/>
            </w:tcBorders>
            <w:vAlign w:val="center"/>
          </w:tcPr>
          <w:p w14:paraId="4A86318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占地</w:t>
            </w:r>
            <w:r>
              <w:rPr>
                <w:rFonts w:hint="default" w:ascii="Times New Roman" w:hAnsi="Times New Roman" w:cs="Times New Roman"/>
                <w:color w:val="auto"/>
                <w:highlight w:val="none"/>
              </w:rPr>
              <w:t>；间接生态影响</w:t>
            </w:r>
          </w:p>
        </w:tc>
        <w:tc>
          <w:tcPr>
            <w:tcW w:w="766" w:type="pct"/>
            <w:tcBorders>
              <w:top w:val="single" w:color="000000" w:sz="4" w:space="0"/>
              <w:left w:val="single" w:color="000000" w:sz="4" w:space="0"/>
              <w:bottom w:val="single" w:color="000000" w:sz="4" w:space="0"/>
              <w:right w:val="single" w:color="000000" w:sz="4" w:space="0"/>
            </w:tcBorders>
            <w:vAlign w:val="center"/>
          </w:tcPr>
          <w:p w14:paraId="4CDA280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长期、可逆</w:t>
            </w:r>
          </w:p>
        </w:tc>
        <w:tc>
          <w:tcPr>
            <w:tcW w:w="719" w:type="pct"/>
            <w:tcBorders>
              <w:top w:val="single" w:color="000000" w:sz="4" w:space="0"/>
              <w:left w:val="single" w:color="000000" w:sz="4" w:space="0"/>
              <w:bottom w:val="single" w:color="000000" w:sz="4" w:space="0"/>
            </w:tcBorders>
            <w:vAlign w:val="center"/>
          </w:tcPr>
          <w:p w14:paraId="53DA5D2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弱</w:t>
            </w:r>
          </w:p>
        </w:tc>
      </w:tr>
      <w:tr w14:paraId="78C0BF1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805" w:type="pct"/>
            <w:tcBorders>
              <w:top w:val="single" w:color="000000" w:sz="4" w:space="0"/>
              <w:right w:val="single" w:color="000000" w:sz="4" w:space="0"/>
            </w:tcBorders>
            <w:vAlign w:val="center"/>
          </w:tcPr>
          <w:p w14:paraId="77B872C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自然景观</w:t>
            </w:r>
          </w:p>
        </w:tc>
        <w:tc>
          <w:tcPr>
            <w:tcW w:w="1415" w:type="pct"/>
            <w:tcBorders>
              <w:top w:val="single" w:color="000000" w:sz="4" w:space="0"/>
              <w:left w:val="single" w:color="000000" w:sz="4" w:space="0"/>
              <w:right w:val="single" w:color="000000" w:sz="4" w:space="0"/>
            </w:tcBorders>
            <w:vAlign w:val="center"/>
          </w:tcPr>
          <w:p w14:paraId="02709FF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景观多样性、完整性</w:t>
            </w:r>
          </w:p>
        </w:tc>
        <w:tc>
          <w:tcPr>
            <w:tcW w:w="1292" w:type="pct"/>
            <w:tcBorders>
              <w:top w:val="single" w:color="000000" w:sz="4" w:space="0"/>
              <w:left w:val="single" w:color="000000" w:sz="4" w:space="0"/>
              <w:right w:val="single" w:color="000000" w:sz="4" w:space="0"/>
            </w:tcBorders>
            <w:vAlign w:val="center"/>
          </w:tcPr>
          <w:p w14:paraId="1806975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占地；</w:t>
            </w:r>
            <w:r>
              <w:rPr>
                <w:rFonts w:hint="default" w:ascii="Times New Roman" w:hAnsi="Times New Roman" w:cs="Times New Roman"/>
                <w:color w:val="auto"/>
                <w:highlight w:val="none"/>
              </w:rPr>
              <w:t>直接生态影响</w:t>
            </w:r>
          </w:p>
        </w:tc>
        <w:tc>
          <w:tcPr>
            <w:tcW w:w="766" w:type="pct"/>
            <w:tcBorders>
              <w:top w:val="single" w:color="000000" w:sz="4" w:space="0"/>
              <w:left w:val="single" w:color="000000" w:sz="4" w:space="0"/>
              <w:right w:val="single" w:color="000000" w:sz="4" w:space="0"/>
            </w:tcBorders>
            <w:vAlign w:val="center"/>
          </w:tcPr>
          <w:p w14:paraId="17D36CE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长期、可逆</w:t>
            </w:r>
          </w:p>
        </w:tc>
        <w:tc>
          <w:tcPr>
            <w:tcW w:w="719" w:type="pct"/>
            <w:tcBorders>
              <w:top w:val="single" w:color="000000" w:sz="4" w:space="0"/>
              <w:left w:val="single" w:color="000000" w:sz="4" w:space="0"/>
            </w:tcBorders>
            <w:vAlign w:val="center"/>
          </w:tcPr>
          <w:p w14:paraId="3A223FA6">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中等</w:t>
            </w:r>
          </w:p>
        </w:tc>
      </w:tr>
    </w:tbl>
    <w:p w14:paraId="17683704">
      <w:pPr>
        <w:pStyle w:val="5"/>
        <w:rPr>
          <w:rFonts w:hint="default" w:ascii="Times New Roman" w:hAnsi="Times New Roman" w:cs="Times New Roman"/>
          <w:color w:val="auto"/>
          <w:highlight w:val="none"/>
        </w:rPr>
      </w:pPr>
      <w:bookmarkStart w:id="174" w:name="_Toc27932"/>
      <w:r>
        <w:rPr>
          <w:rFonts w:hint="default" w:ascii="Times New Roman" w:hAnsi="Times New Roman" w:cs="Times New Roman"/>
          <w:color w:val="auto"/>
          <w:highlight w:val="none"/>
        </w:rPr>
        <w:t>2.5环境功能区划和评价标准</w:t>
      </w:r>
      <w:bookmarkEnd w:id="167"/>
      <w:bookmarkEnd w:id="168"/>
      <w:bookmarkEnd w:id="169"/>
      <w:bookmarkEnd w:id="170"/>
      <w:bookmarkEnd w:id="171"/>
      <w:bookmarkEnd w:id="172"/>
      <w:bookmarkEnd w:id="173"/>
      <w:bookmarkEnd w:id="174"/>
    </w:p>
    <w:p w14:paraId="4E8E3C4D">
      <w:pPr>
        <w:pStyle w:val="6"/>
        <w:rPr>
          <w:rFonts w:hint="default" w:ascii="Times New Roman" w:hAnsi="Times New Roman" w:cs="Times New Roman"/>
          <w:color w:val="auto"/>
          <w:highlight w:val="none"/>
        </w:rPr>
      </w:pPr>
      <w:bookmarkStart w:id="175" w:name="_Toc16118"/>
      <w:bookmarkStart w:id="176" w:name="_Toc13718"/>
      <w:bookmarkStart w:id="177" w:name="_Toc1486"/>
      <w:bookmarkStart w:id="178" w:name="_Toc3134"/>
      <w:bookmarkStart w:id="179" w:name="_Toc2407"/>
      <w:bookmarkStart w:id="180" w:name="_Toc4203"/>
      <w:bookmarkStart w:id="181" w:name="_Toc2756"/>
      <w:bookmarkStart w:id="182" w:name="_Toc15413"/>
      <w:bookmarkStart w:id="183" w:name="_Toc11648"/>
      <w:r>
        <w:rPr>
          <w:rFonts w:hint="default" w:ascii="Times New Roman" w:hAnsi="Times New Roman" w:cs="Times New Roman"/>
          <w:color w:val="auto"/>
          <w:highlight w:val="none"/>
        </w:rPr>
        <w:t>2.5.1环境功能区划</w:t>
      </w:r>
      <w:bookmarkEnd w:id="175"/>
      <w:bookmarkEnd w:id="176"/>
      <w:bookmarkEnd w:id="177"/>
      <w:bookmarkEnd w:id="178"/>
      <w:bookmarkEnd w:id="179"/>
      <w:bookmarkEnd w:id="180"/>
      <w:bookmarkEnd w:id="181"/>
      <w:bookmarkEnd w:id="182"/>
      <w:bookmarkEnd w:id="183"/>
    </w:p>
    <w:p w14:paraId="25B1F232">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2.5.1.1空气环境功能区划</w:t>
      </w:r>
    </w:p>
    <w:p w14:paraId="31F04DD4">
      <w:pPr>
        <w:overflowPunct w:val="0"/>
        <w:topLinePunct/>
        <w:adjustRightInd/>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本项目评价区域属于《环境空气质量标准》（GB3095-20</w:t>
      </w:r>
      <w:r>
        <w:rPr>
          <w:rFonts w:hint="default" w:ascii="Times New Roman" w:hAnsi="Times New Roman" w:cs="Times New Roman"/>
          <w:color w:val="auto"/>
          <w:highlight w:val="none"/>
          <w:lang w:val="en-US" w:eastAsia="zh-CN"/>
        </w:rPr>
        <w:t>26</w:t>
      </w:r>
      <w:r>
        <w:rPr>
          <w:rFonts w:hint="default" w:ascii="Times New Roman" w:hAnsi="Times New Roman" w:cs="Times New Roman"/>
          <w:color w:val="auto"/>
          <w:highlight w:val="none"/>
        </w:rPr>
        <w:t>）中规定的二类功能区。</w:t>
      </w:r>
    </w:p>
    <w:p w14:paraId="2A2DAE36">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2.5.1.2水环境功能区划</w:t>
      </w:r>
    </w:p>
    <w:p w14:paraId="04C87BCD">
      <w:pPr>
        <w:bidi w:val="0"/>
        <w:rPr>
          <w:rFonts w:hint="default" w:ascii="Times New Roman" w:hAnsi="Times New Roman" w:cs="Times New Roman"/>
          <w:color w:val="auto"/>
          <w:highlight w:val="none"/>
        </w:rPr>
      </w:pPr>
      <w:r>
        <w:rPr>
          <w:rFonts w:hint="eastAsia"/>
          <w:color w:val="auto"/>
          <w:sz w:val="24"/>
          <w:szCs w:val="24"/>
          <w:highlight w:val="none"/>
          <w:lang w:val="en-US" w:eastAsia="zh-CN"/>
        </w:rPr>
        <w:t>阿克苏河</w:t>
      </w:r>
      <w:r>
        <w:rPr>
          <w:rFonts w:hint="eastAsia"/>
          <w:color w:val="auto"/>
          <w:sz w:val="24"/>
          <w:szCs w:val="24"/>
          <w:highlight w:val="none"/>
        </w:rPr>
        <w:t>由</w:t>
      </w:r>
      <w:r>
        <w:rPr>
          <w:rFonts w:hint="eastAsia"/>
          <w:color w:val="auto"/>
          <w:sz w:val="24"/>
          <w:szCs w:val="24"/>
          <w:highlight w:val="none"/>
          <w:lang w:val="en-US" w:eastAsia="zh-CN"/>
        </w:rPr>
        <w:t>南向北</w:t>
      </w:r>
      <w:r>
        <w:rPr>
          <w:rFonts w:hint="eastAsia"/>
          <w:color w:val="auto"/>
          <w:sz w:val="24"/>
          <w:szCs w:val="24"/>
          <w:highlight w:val="none"/>
        </w:rPr>
        <w:t>流经矿区</w:t>
      </w:r>
      <w:r>
        <w:rPr>
          <w:rFonts w:hint="default" w:ascii="Times New Roman" w:hAnsi="Times New Roman" w:cs="Times New Roman"/>
          <w:color w:val="auto"/>
          <w:highlight w:val="none"/>
          <w:lang w:eastAsia="zh-CN"/>
        </w:rPr>
        <w:t>，阿克苏河为若羌河上游沟谷内支流</w:t>
      </w:r>
      <w:r>
        <w:rPr>
          <w:rFonts w:hint="default" w:ascii="Times New Roman" w:hAnsi="Times New Roman" w:cs="Times New Roman"/>
          <w:color w:val="auto"/>
          <w:highlight w:val="none"/>
        </w:rPr>
        <w:t>，地表水环境功能区划属</w:t>
      </w:r>
      <w:r>
        <w:rPr>
          <w:rFonts w:hint="default" w:ascii="Times New Roman" w:hAnsi="Times New Roman" w:cs="Times New Roman"/>
          <w:color w:val="auto"/>
          <w:highlight w:val="none"/>
          <w:lang w:eastAsia="zh-CN"/>
        </w:rPr>
        <w:t>I</w:t>
      </w:r>
      <w:r>
        <w:rPr>
          <w:rFonts w:hint="default" w:ascii="Times New Roman" w:hAnsi="Times New Roman" w:cs="Times New Roman"/>
          <w:color w:val="auto"/>
          <w:highlight w:val="none"/>
        </w:rPr>
        <w:t>类功能区。</w:t>
      </w:r>
    </w:p>
    <w:p w14:paraId="644FF7E3">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项目所在区域地下水未进行功能区划分，根据其用途执行《地下水质量标准》（GB/T14848-2017）</w:t>
      </w:r>
      <w:r>
        <w:rPr>
          <w:rFonts w:hint="default" w:ascii="Times New Roman" w:hAnsi="Times New Roman" w:cs="Times New Roman"/>
          <w:color w:val="auto"/>
          <w:highlight w:val="none"/>
          <w:lang w:val="en-US" w:eastAsia="zh-CN"/>
        </w:rPr>
        <w:t>Ⅲ</w:t>
      </w:r>
      <w:r>
        <w:rPr>
          <w:rFonts w:hint="default" w:ascii="Times New Roman" w:hAnsi="Times New Roman" w:cs="Times New Roman"/>
          <w:color w:val="auto"/>
          <w:highlight w:val="none"/>
        </w:rPr>
        <w:t>类标准。区域水系图见图2.5-1。</w:t>
      </w:r>
    </w:p>
    <w:p w14:paraId="60AED56F">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2.5.1.3声环境功能区划</w:t>
      </w:r>
    </w:p>
    <w:p w14:paraId="04482EF3">
      <w:pPr>
        <w:overflowPunct w:val="0"/>
        <w:topLinePunct/>
        <w:ind w:firstLine="476" w:firstLineChars="200"/>
        <w:rPr>
          <w:rFonts w:hint="default" w:ascii="Times New Roman" w:hAnsi="Times New Roman" w:cs="Times New Roman"/>
          <w:color w:val="auto"/>
          <w:spacing w:val="-1"/>
          <w:highlight w:val="none"/>
        </w:rPr>
      </w:pPr>
      <w:r>
        <w:rPr>
          <w:rFonts w:hint="default" w:ascii="Times New Roman" w:hAnsi="Times New Roman" w:cs="Times New Roman"/>
          <w:color w:val="auto"/>
          <w:spacing w:val="-1"/>
          <w:highlight w:val="none"/>
        </w:rPr>
        <w:t>本项目为</w:t>
      </w:r>
      <w:r>
        <w:rPr>
          <w:rFonts w:hint="default" w:ascii="Times New Roman" w:hAnsi="Times New Roman" w:cs="Times New Roman"/>
          <w:color w:val="auto"/>
          <w:spacing w:val="-1"/>
          <w:highlight w:val="none"/>
          <w:lang w:eastAsia="zh-CN"/>
        </w:rPr>
        <w:t>萤石</w:t>
      </w:r>
      <w:r>
        <w:rPr>
          <w:rFonts w:hint="default" w:ascii="Times New Roman" w:hAnsi="Times New Roman" w:cs="Times New Roman"/>
          <w:color w:val="auto"/>
          <w:spacing w:val="-1"/>
          <w:highlight w:val="none"/>
        </w:rPr>
        <w:t>选矿</w:t>
      </w:r>
      <w:r>
        <w:rPr>
          <w:rFonts w:hint="default" w:ascii="Times New Roman" w:hAnsi="Times New Roman" w:cs="Times New Roman"/>
          <w:color w:val="auto"/>
          <w:spacing w:val="-1"/>
          <w:highlight w:val="none"/>
          <w:lang w:eastAsia="zh-CN"/>
        </w:rPr>
        <w:t>新建</w:t>
      </w:r>
      <w:r>
        <w:rPr>
          <w:rFonts w:hint="default" w:ascii="Times New Roman" w:hAnsi="Times New Roman" w:cs="Times New Roman"/>
          <w:color w:val="auto"/>
          <w:spacing w:val="-1"/>
          <w:highlight w:val="none"/>
        </w:rPr>
        <w:t>工程，以工业生产为主要功能，本项目区属于《声环境质量标准》（GB3096-2008）中的</w:t>
      </w:r>
      <w:r>
        <w:rPr>
          <w:rFonts w:hint="default" w:ascii="Times New Roman" w:hAnsi="Times New Roman" w:cs="Times New Roman"/>
          <w:color w:val="auto"/>
          <w:spacing w:val="-1"/>
          <w:highlight w:val="none"/>
          <w:lang w:val="en-US" w:eastAsia="zh-CN"/>
        </w:rPr>
        <w:t>2</w:t>
      </w:r>
      <w:r>
        <w:rPr>
          <w:rFonts w:hint="default" w:ascii="Times New Roman" w:hAnsi="Times New Roman" w:cs="Times New Roman"/>
          <w:color w:val="auto"/>
          <w:spacing w:val="-1"/>
          <w:highlight w:val="none"/>
        </w:rPr>
        <w:t>类功能区。</w:t>
      </w:r>
    </w:p>
    <w:p w14:paraId="7730CC63">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2.5.1.4生态环境功能区划</w:t>
      </w:r>
    </w:p>
    <w:p w14:paraId="1D19F3C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val="zh-CN"/>
        </w:rPr>
        <w:t>根据《新疆生态功能区划》，</w:t>
      </w:r>
      <w:r>
        <w:rPr>
          <w:rFonts w:hint="default" w:ascii="Times New Roman" w:hAnsi="Times New Roman" w:cs="Times New Roman"/>
          <w:color w:val="auto"/>
          <w:szCs w:val="24"/>
          <w:highlight w:val="none"/>
          <w:lang w:val="zh-CN"/>
        </w:rPr>
        <w:t>项目所在地属于</w:t>
      </w:r>
      <w:r>
        <w:rPr>
          <w:rFonts w:hint="default" w:ascii="Times New Roman" w:hAnsi="Times New Roman" w:cs="Times New Roman"/>
          <w:color w:val="auto"/>
          <w:kern w:val="0"/>
          <w:highlight w:val="none"/>
        </w:rPr>
        <w:t>Ⅴ帕米尔-昆仑山-阿尔金山荒漠干旱草原生态区</w:t>
      </w:r>
      <w:r>
        <w:rPr>
          <w:rFonts w:hint="default" w:ascii="Times New Roman" w:hAnsi="Times New Roman" w:cs="Times New Roman"/>
          <w:color w:val="auto"/>
          <w:kern w:val="0"/>
          <w:highlight w:val="none"/>
          <w:lang w:eastAsia="zh-CN"/>
        </w:rPr>
        <w:t>——Ⅴ</w:t>
      </w:r>
      <w:r>
        <w:rPr>
          <w:rFonts w:hint="default" w:ascii="Times New Roman" w:hAnsi="Times New Roman" w:cs="Times New Roman"/>
          <w:color w:val="auto"/>
          <w:kern w:val="0"/>
          <w:highlight w:val="none"/>
          <w:vertAlign w:val="subscript"/>
          <w:lang w:val="en-US" w:eastAsia="zh-CN"/>
        </w:rPr>
        <w:t>3</w:t>
      </w:r>
      <w:r>
        <w:rPr>
          <w:rFonts w:hint="default" w:ascii="Times New Roman" w:hAnsi="Times New Roman" w:cs="Times New Roman"/>
          <w:color w:val="auto"/>
          <w:kern w:val="0"/>
          <w:highlight w:val="none"/>
        </w:rPr>
        <w:t>阿尔金山荒漠草原生物多样性保护生态亚区</w:t>
      </w:r>
      <w:r>
        <w:rPr>
          <w:rFonts w:hint="default" w:ascii="Times New Roman" w:hAnsi="Times New Roman" w:cs="Times New Roman"/>
          <w:color w:val="auto"/>
          <w:kern w:val="0"/>
          <w:highlight w:val="none"/>
          <w:lang w:val="en-US" w:eastAsia="zh-CN"/>
        </w:rPr>
        <w:t>——76</w:t>
      </w:r>
      <w:r>
        <w:rPr>
          <w:rFonts w:hint="default" w:ascii="Times New Roman" w:hAnsi="Times New Roman" w:cs="Times New Roman"/>
          <w:color w:val="auto"/>
          <w:kern w:val="0"/>
          <w:highlight w:val="none"/>
        </w:rPr>
        <w:t>阿尔金山荒漠草原及野骆驼保护生态功能区</w:t>
      </w:r>
      <w:r>
        <w:rPr>
          <w:rFonts w:hint="default" w:ascii="Times New Roman" w:hAnsi="Times New Roman" w:cs="Times New Roman"/>
          <w:color w:val="auto"/>
          <w:highlight w:val="none"/>
          <w:lang w:val="zh-CN"/>
        </w:rPr>
        <w:t>。</w:t>
      </w:r>
    </w:p>
    <w:p w14:paraId="05D14EAB">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2.5.1.5土壤环境功能区划</w:t>
      </w:r>
    </w:p>
    <w:p w14:paraId="6D237090">
      <w:pPr>
        <w:overflowPunct w:val="0"/>
        <w:topLinePunct/>
        <w:ind w:firstLine="476"/>
        <w:rPr>
          <w:rFonts w:hint="default" w:ascii="Times New Roman" w:hAnsi="Times New Roman" w:cs="Times New Roman"/>
          <w:color w:val="auto"/>
          <w:highlight w:val="none"/>
        </w:rPr>
      </w:pPr>
      <w:r>
        <w:rPr>
          <w:rFonts w:hint="default" w:ascii="Times New Roman" w:hAnsi="Times New Roman" w:cs="Times New Roman"/>
          <w:color w:val="auto"/>
          <w:spacing w:val="-1"/>
          <w:highlight w:val="none"/>
        </w:rPr>
        <w:t>项目属于工业用地，根据《土壤环境质量 建设用地土壤污染风险管控标准（试行）》（GB36600-2018），本项目属于第二类用地中的工业用地（M）。</w:t>
      </w:r>
    </w:p>
    <w:p w14:paraId="0BED256D">
      <w:pPr>
        <w:pStyle w:val="6"/>
        <w:rPr>
          <w:rFonts w:hint="default" w:ascii="Times New Roman" w:hAnsi="Times New Roman" w:cs="Times New Roman"/>
          <w:color w:val="auto"/>
          <w:highlight w:val="none"/>
        </w:rPr>
      </w:pPr>
      <w:bookmarkStart w:id="184" w:name="_Toc29325"/>
      <w:bookmarkStart w:id="185" w:name="_Toc24772"/>
      <w:bookmarkStart w:id="186" w:name="_Toc31747"/>
      <w:bookmarkStart w:id="187" w:name="_Toc12662"/>
      <w:bookmarkStart w:id="188" w:name="_Toc7992"/>
      <w:bookmarkStart w:id="189" w:name="_Toc16621"/>
      <w:bookmarkStart w:id="190" w:name="_Toc16394"/>
      <w:bookmarkStart w:id="191" w:name="_Toc31745"/>
      <w:bookmarkStart w:id="192" w:name="_Toc20204"/>
      <w:r>
        <w:rPr>
          <w:rFonts w:hint="default" w:ascii="Times New Roman" w:hAnsi="Times New Roman" w:cs="Times New Roman"/>
          <w:color w:val="auto"/>
          <w:highlight w:val="none"/>
        </w:rPr>
        <w:t>2.5.2评价标准</w:t>
      </w:r>
      <w:bookmarkEnd w:id="184"/>
      <w:bookmarkEnd w:id="185"/>
      <w:bookmarkEnd w:id="186"/>
      <w:bookmarkEnd w:id="187"/>
      <w:bookmarkEnd w:id="188"/>
      <w:bookmarkEnd w:id="189"/>
      <w:bookmarkEnd w:id="190"/>
      <w:bookmarkEnd w:id="191"/>
      <w:bookmarkEnd w:id="192"/>
    </w:p>
    <w:p w14:paraId="422655F1">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2.5.2.1环境质量标准</w:t>
      </w:r>
    </w:p>
    <w:p w14:paraId="6AA1DA92">
      <w:pPr>
        <w:overflowPunct w:val="0"/>
        <w:topLinePunct/>
        <w:adjustRightInd/>
        <w:ind w:firstLine="476" w:firstLineChars="200"/>
        <w:rPr>
          <w:rFonts w:hint="default" w:ascii="Times New Roman" w:hAnsi="Times New Roman" w:cs="Times New Roman"/>
          <w:color w:val="auto"/>
          <w:spacing w:val="-1"/>
          <w:highlight w:val="none"/>
        </w:rPr>
      </w:pPr>
      <w:r>
        <w:rPr>
          <w:rFonts w:hint="default" w:ascii="Times New Roman" w:hAnsi="Times New Roman" w:cs="Times New Roman"/>
          <w:color w:val="auto"/>
          <w:spacing w:val="-1"/>
          <w:highlight w:val="none"/>
        </w:rPr>
        <w:t>（1）大气环境</w:t>
      </w:r>
    </w:p>
    <w:p w14:paraId="476C9B23">
      <w:pPr>
        <w:widowControl/>
        <w:overflowPunct w:val="0"/>
        <w:topLinePunct/>
        <w:adjustRightInd/>
        <w:ind w:firstLine="476" w:firstLineChars="200"/>
        <w:rPr>
          <w:rFonts w:hint="default" w:ascii="Times New Roman" w:hAnsi="Times New Roman" w:cs="Times New Roman"/>
          <w:color w:val="auto"/>
          <w:spacing w:val="-1"/>
          <w:highlight w:val="none"/>
        </w:rPr>
      </w:pPr>
      <w:r>
        <w:rPr>
          <w:rFonts w:hint="default" w:ascii="Times New Roman" w:hAnsi="Times New Roman" w:cs="Times New Roman"/>
          <w:color w:val="auto"/>
          <w:spacing w:val="-1"/>
          <w:highlight w:val="none"/>
        </w:rPr>
        <w:t>按照《环境空气质量标准》（GB3095-20</w:t>
      </w:r>
      <w:r>
        <w:rPr>
          <w:rFonts w:hint="default" w:ascii="Times New Roman" w:hAnsi="Times New Roman" w:cs="Times New Roman"/>
          <w:color w:val="auto"/>
          <w:spacing w:val="-1"/>
          <w:highlight w:val="none"/>
          <w:lang w:val="en-US" w:eastAsia="zh-CN"/>
        </w:rPr>
        <w:t>26</w:t>
      </w:r>
      <w:r>
        <w:rPr>
          <w:rFonts w:hint="default" w:ascii="Times New Roman" w:hAnsi="Times New Roman" w:cs="Times New Roman"/>
          <w:color w:val="auto"/>
          <w:spacing w:val="-1"/>
          <w:highlight w:val="none"/>
        </w:rPr>
        <w:t>），本项目区的环境空气功能区划属二类功能区</w:t>
      </w:r>
      <w:r>
        <w:rPr>
          <w:rFonts w:hint="default" w:ascii="Times New Roman" w:hAnsi="Times New Roman" w:cs="Times New Roman"/>
          <w:color w:val="auto"/>
          <w:spacing w:val="-1"/>
          <w:highlight w:val="none"/>
          <w:lang w:eastAsia="zh-CN"/>
        </w:rPr>
        <w:t>，</w:t>
      </w:r>
      <w:r>
        <w:rPr>
          <w:rFonts w:hint="default" w:ascii="Times New Roman" w:hAnsi="Times New Roman" w:cs="Times New Roman"/>
          <w:color w:val="auto"/>
          <w:spacing w:val="-1"/>
          <w:highlight w:val="none"/>
        </w:rPr>
        <w:t>执行《环境空气质量标准》（GB3095-20</w:t>
      </w:r>
      <w:r>
        <w:rPr>
          <w:rFonts w:hint="default" w:ascii="Times New Roman" w:hAnsi="Times New Roman" w:cs="Times New Roman"/>
          <w:color w:val="auto"/>
          <w:spacing w:val="-1"/>
          <w:highlight w:val="none"/>
          <w:lang w:val="en-US" w:eastAsia="zh-CN"/>
        </w:rPr>
        <w:t>26</w:t>
      </w:r>
      <w:r>
        <w:rPr>
          <w:rFonts w:hint="default" w:ascii="Times New Roman" w:hAnsi="Times New Roman" w:cs="Times New Roman"/>
          <w:color w:val="auto"/>
          <w:spacing w:val="-1"/>
          <w:highlight w:val="none"/>
        </w:rPr>
        <w:t>）二级标准</w:t>
      </w:r>
      <w:r>
        <w:rPr>
          <w:rFonts w:hint="eastAsia" w:cs="Times New Roman"/>
          <w:color w:val="auto"/>
          <w:spacing w:val="-1"/>
          <w:highlight w:val="none"/>
          <w:lang w:eastAsia="zh-CN"/>
        </w:rPr>
        <w:t>（</w:t>
      </w:r>
      <w:r>
        <w:rPr>
          <w:rFonts w:hint="eastAsia" w:cs="Times New Roman"/>
          <w:color w:val="auto"/>
          <w:spacing w:val="-1"/>
          <w:highlight w:val="none"/>
          <w:lang w:val="en-US" w:eastAsia="zh-CN"/>
        </w:rPr>
        <w:t>过渡阶段浓度限值</w:t>
      </w:r>
      <w:r>
        <w:rPr>
          <w:rFonts w:hint="eastAsia" w:cs="Times New Roman"/>
          <w:color w:val="auto"/>
          <w:spacing w:val="-1"/>
          <w:highlight w:val="none"/>
          <w:lang w:eastAsia="zh-CN"/>
        </w:rPr>
        <w:t>）</w:t>
      </w:r>
      <w:r>
        <w:rPr>
          <w:rFonts w:hint="default" w:ascii="Times New Roman" w:hAnsi="Times New Roman" w:cs="Times New Roman"/>
          <w:color w:val="auto"/>
          <w:spacing w:val="-1"/>
          <w:highlight w:val="none"/>
        </w:rPr>
        <w:t>；颗粒物执行《环境空气质量标准》（GB3095-20</w:t>
      </w:r>
      <w:r>
        <w:rPr>
          <w:rFonts w:hint="default" w:ascii="Times New Roman" w:hAnsi="Times New Roman" w:cs="Times New Roman"/>
          <w:color w:val="auto"/>
          <w:spacing w:val="-1"/>
          <w:highlight w:val="none"/>
          <w:lang w:val="en-US" w:eastAsia="zh-CN"/>
        </w:rPr>
        <w:t>26</w:t>
      </w:r>
      <w:r>
        <w:rPr>
          <w:rFonts w:hint="default" w:ascii="Times New Roman" w:hAnsi="Times New Roman" w:cs="Times New Roman"/>
          <w:color w:val="auto"/>
          <w:spacing w:val="-1"/>
          <w:highlight w:val="none"/>
        </w:rPr>
        <w:t>）中表1的二级</w:t>
      </w:r>
      <w:r>
        <w:rPr>
          <w:rFonts w:hint="eastAsia" w:cs="Times New Roman"/>
          <w:color w:val="auto"/>
          <w:spacing w:val="-1"/>
          <w:highlight w:val="none"/>
          <w:lang w:val="en-US" w:eastAsia="zh-CN"/>
        </w:rPr>
        <w:t>过渡阶段</w:t>
      </w:r>
      <w:r>
        <w:rPr>
          <w:rFonts w:hint="default" w:ascii="Times New Roman" w:hAnsi="Times New Roman" w:cs="Times New Roman"/>
          <w:color w:val="auto"/>
          <w:spacing w:val="-1"/>
          <w:highlight w:val="none"/>
        </w:rPr>
        <w:t>浓度限值，</w:t>
      </w:r>
      <w:r>
        <w:rPr>
          <w:rFonts w:hint="eastAsia" w:cs="Times New Roman"/>
          <w:color w:val="auto"/>
          <w:spacing w:val="-1"/>
          <w:highlight w:val="none"/>
          <w:lang w:val="en-US" w:eastAsia="zh-CN"/>
        </w:rPr>
        <w:t>氟化物执行</w:t>
      </w:r>
      <w:r>
        <w:rPr>
          <w:rFonts w:hint="default" w:ascii="Times New Roman" w:hAnsi="Times New Roman" w:cs="Times New Roman"/>
          <w:color w:val="auto"/>
          <w:spacing w:val="-1"/>
          <w:highlight w:val="none"/>
        </w:rPr>
        <w:t>《环境空气质量标准》（GB3095-20</w:t>
      </w:r>
      <w:r>
        <w:rPr>
          <w:rFonts w:hint="default" w:ascii="Times New Roman" w:hAnsi="Times New Roman" w:cs="Times New Roman"/>
          <w:color w:val="auto"/>
          <w:spacing w:val="-1"/>
          <w:highlight w:val="none"/>
          <w:lang w:val="en-US" w:eastAsia="zh-CN"/>
        </w:rPr>
        <w:t>26</w:t>
      </w:r>
      <w:r>
        <w:rPr>
          <w:rFonts w:hint="default" w:ascii="Times New Roman" w:hAnsi="Times New Roman" w:cs="Times New Roman"/>
          <w:color w:val="auto"/>
          <w:spacing w:val="-1"/>
          <w:highlight w:val="none"/>
        </w:rPr>
        <w:t>）中</w:t>
      </w:r>
      <w:r>
        <w:rPr>
          <w:rFonts w:hint="eastAsia" w:cs="Times New Roman"/>
          <w:color w:val="auto"/>
          <w:spacing w:val="-1"/>
          <w:highlight w:val="none"/>
          <w:lang w:val="en-US" w:eastAsia="zh-CN"/>
        </w:rPr>
        <w:t>表A.1参考浓度限值</w:t>
      </w:r>
      <w:r>
        <w:rPr>
          <w:rFonts w:hint="eastAsia" w:cs="Times New Roman"/>
          <w:color w:val="auto"/>
          <w:spacing w:val="-1"/>
          <w:highlight w:val="none"/>
          <w:lang w:eastAsia="zh-CN"/>
        </w:rPr>
        <w:t>，</w:t>
      </w:r>
      <w:r>
        <w:rPr>
          <w:rFonts w:hint="default" w:ascii="Times New Roman" w:hAnsi="Times New Roman" w:cs="Times New Roman"/>
          <w:color w:val="auto"/>
          <w:spacing w:val="-1"/>
          <w:highlight w:val="none"/>
          <w:lang w:val="en-US" w:eastAsia="zh-CN"/>
        </w:rPr>
        <w:t>硫酸雾参照《环境影响评价技术导则 大气环境》（HJ2.2-2018）附录D中浓度限值，</w:t>
      </w:r>
      <w:r>
        <w:rPr>
          <w:rFonts w:hint="default" w:ascii="Times New Roman" w:hAnsi="Times New Roman" w:cs="Times New Roman"/>
          <w:color w:val="auto"/>
          <w:spacing w:val="-1"/>
          <w:highlight w:val="none"/>
        </w:rPr>
        <w:t>具体标准值见表2.5-1。</w:t>
      </w:r>
    </w:p>
    <w:p w14:paraId="66D8A193">
      <w:pPr>
        <w:pStyle w:val="19"/>
        <w:widowControl w:val="0"/>
        <w:rPr>
          <w:rFonts w:hint="default" w:ascii="Times New Roman" w:hAnsi="Times New Roman" w:cs="Times New Roman"/>
          <w:color w:val="auto"/>
          <w:highlight w:val="none"/>
          <w:lang w:val="zh-CN"/>
        </w:rPr>
      </w:pPr>
      <w:r>
        <w:rPr>
          <w:rFonts w:hint="default" w:ascii="Times New Roman" w:hAnsi="Times New Roman" w:cs="Times New Roman"/>
          <w:color w:val="auto"/>
          <w:highlight w:val="none"/>
          <w:lang w:val="zh-CN"/>
        </w:rPr>
        <w:t>表</w:t>
      </w: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zh-CN"/>
        </w:rPr>
        <w:t>.</w:t>
      </w:r>
      <w:r>
        <w:rPr>
          <w:rFonts w:hint="default" w:ascii="Times New Roman" w:hAnsi="Times New Roman" w:cs="Times New Roman"/>
          <w:color w:val="auto"/>
          <w:highlight w:val="none"/>
        </w:rPr>
        <w:t>5-1</w:t>
      </w:r>
      <w:r>
        <w:rPr>
          <w:rFonts w:hint="default" w:ascii="Times New Roman" w:hAnsi="Times New Roman" w:cs="Times New Roman"/>
          <w:color w:val="auto"/>
          <w:highlight w:val="none"/>
          <w:lang w:val="zh-CN"/>
        </w:rPr>
        <w:t xml:space="preserve">   </w:t>
      </w:r>
      <w:r>
        <w:rPr>
          <w:rFonts w:hint="default" w:ascii="Times New Roman" w:hAnsi="Times New Roman" w:cs="Times New Roman"/>
          <w:color w:val="auto"/>
          <w:highlight w:val="none"/>
          <w:lang w:val="en-US" w:eastAsia="zh-CN"/>
        </w:rPr>
        <w:t>环境空气</w:t>
      </w:r>
      <w:r>
        <w:rPr>
          <w:rFonts w:hint="default" w:ascii="Times New Roman" w:hAnsi="Times New Roman" w:cs="Times New Roman"/>
          <w:color w:val="auto"/>
          <w:highlight w:val="none"/>
        </w:rPr>
        <w:t>质量标准</w:t>
      </w:r>
    </w:p>
    <w:tbl>
      <w:tblPr>
        <w:tblStyle w:val="14"/>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3023"/>
        <w:gridCol w:w="2408"/>
        <w:gridCol w:w="1515"/>
        <w:gridCol w:w="843"/>
      </w:tblGrid>
      <w:tr w14:paraId="7220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727" w:type="dxa"/>
            <w:tcBorders>
              <w:tl2br w:val="nil"/>
              <w:tr2bl w:val="nil"/>
            </w:tcBorders>
            <w:vAlign w:val="center"/>
          </w:tcPr>
          <w:p w14:paraId="73EAA3B4">
            <w:pPr>
              <w:spacing w:line="240" w:lineRule="auto"/>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序号</w:t>
            </w:r>
          </w:p>
        </w:tc>
        <w:tc>
          <w:tcPr>
            <w:tcW w:w="3023" w:type="dxa"/>
            <w:tcBorders>
              <w:tl2br w:val="nil"/>
              <w:tr2bl w:val="nil"/>
            </w:tcBorders>
            <w:vAlign w:val="center"/>
          </w:tcPr>
          <w:p w14:paraId="5A4819B9">
            <w:pPr>
              <w:spacing w:line="240" w:lineRule="auto"/>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污染物项目</w:t>
            </w:r>
          </w:p>
        </w:tc>
        <w:tc>
          <w:tcPr>
            <w:tcW w:w="2408" w:type="dxa"/>
            <w:tcBorders>
              <w:tl2br w:val="nil"/>
              <w:tr2bl w:val="nil"/>
            </w:tcBorders>
            <w:vAlign w:val="center"/>
          </w:tcPr>
          <w:p w14:paraId="19D2F70B">
            <w:pPr>
              <w:spacing w:line="240" w:lineRule="auto"/>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平均时间</w:t>
            </w:r>
          </w:p>
        </w:tc>
        <w:tc>
          <w:tcPr>
            <w:tcW w:w="1515" w:type="dxa"/>
            <w:tcBorders>
              <w:tl2br w:val="nil"/>
              <w:tr2bl w:val="nil"/>
            </w:tcBorders>
            <w:vAlign w:val="center"/>
          </w:tcPr>
          <w:p w14:paraId="07482920">
            <w:pPr>
              <w:spacing w:line="240" w:lineRule="auto"/>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二级浓度限值</w:t>
            </w:r>
          </w:p>
        </w:tc>
        <w:tc>
          <w:tcPr>
            <w:tcW w:w="843" w:type="dxa"/>
            <w:tcBorders>
              <w:tl2br w:val="nil"/>
              <w:tr2bl w:val="nil"/>
            </w:tcBorders>
            <w:vAlign w:val="center"/>
          </w:tcPr>
          <w:p w14:paraId="1C3F840A">
            <w:pPr>
              <w:spacing w:line="240" w:lineRule="auto"/>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单位</w:t>
            </w:r>
          </w:p>
        </w:tc>
      </w:tr>
      <w:tr w14:paraId="021E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1EF10E2C">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w:t>
            </w:r>
          </w:p>
        </w:tc>
        <w:tc>
          <w:tcPr>
            <w:tcW w:w="3023" w:type="dxa"/>
            <w:vMerge w:val="restart"/>
            <w:tcBorders>
              <w:tl2br w:val="nil"/>
              <w:tr2bl w:val="nil"/>
            </w:tcBorders>
            <w:vAlign w:val="center"/>
          </w:tcPr>
          <w:p w14:paraId="5EB89AD6">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二氧化硫（SO</w:t>
            </w:r>
            <w:r>
              <w:rPr>
                <w:rFonts w:hint="default" w:ascii="Times New Roman" w:hAnsi="Times New Roman" w:cs="Times New Roman"/>
                <w:color w:val="auto"/>
                <w:spacing w:val="-1"/>
                <w:sz w:val="21"/>
                <w:szCs w:val="21"/>
                <w:highlight w:val="none"/>
                <w:vertAlign w:val="subscript"/>
              </w:rPr>
              <w:t>2</w:t>
            </w:r>
            <w:r>
              <w:rPr>
                <w:rFonts w:hint="default" w:ascii="Times New Roman" w:hAnsi="Times New Roman" w:cs="Times New Roman"/>
                <w:color w:val="auto"/>
                <w:spacing w:val="-1"/>
                <w:sz w:val="21"/>
                <w:szCs w:val="21"/>
                <w:highlight w:val="none"/>
              </w:rPr>
              <w:t>）</w:t>
            </w:r>
          </w:p>
        </w:tc>
        <w:tc>
          <w:tcPr>
            <w:tcW w:w="2408" w:type="dxa"/>
            <w:tcBorders>
              <w:tl2br w:val="nil"/>
              <w:tr2bl w:val="nil"/>
            </w:tcBorders>
            <w:vAlign w:val="center"/>
          </w:tcPr>
          <w:p w14:paraId="77C78834">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年平均</w:t>
            </w:r>
          </w:p>
        </w:tc>
        <w:tc>
          <w:tcPr>
            <w:tcW w:w="1515" w:type="dxa"/>
            <w:tcBorders>
              <w:tl2br w:val="nil"/>
              <w:tr2bl w:val="nil"/>
            </w:tcBorders>
            <w:vAlign w:val="center"/>
          </w:tcPr>
          <w:p w14:paraId="6D6EC343">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60</w:t>
            </w:r>
          </w:p>
        </w:tc>
        <w:tc>
          <w:tcPr>
            <w:tcW w:w="843" w:type="dxa"/>
            <w:vMerge w:val="restart"/>
            <w:tcBorders>
              <w:tl2br w:val="nil"/>
              <w:tr2bl w:val="nil"/>
            </w:tcBorders>
            <w:vAlign w:val="center"/>
          </w:tcPr>
          <w:p w14:paraId="2F8D71C4">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r w14:paraId="3A9C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37529294">
            <w:pPr>
              <w:spacing w:line="240" w:lineRule="auto"/>
              <w:ind w:firstLine="0" w:firstLineChars="0"/>
              <w:jc w:val="center"/>
              <w:rPr>
                <w:rFonts w:hint="default" w:ascii="Times New Roman" w:hAnsi="Times New Roman" w:cs="Times New Roman"/>
                <w:color w:val="auto"/>
                <w:sz w:val="21"/>
                <w:szCs w:val="21"/>
                <w:highlight w:val="none"/>
              </w:rPr>
            </w:pPr>
          </w:p>
        </w:tc>
        <w:tc>
          <w:tcPr>
            <w:tcW w:w="3023" w:type="dxa"/>
            <w:vMerge w:val="continue"/>
            <w:tcBorders>
              <w:tl2br w:val="nil"/>
              <w:tr2bl w:val="nil"/>
            </w:tcBorders>
            <w:vAlign w:val="center"/>
          </w:tcPr>
          <w:p w14:paraId="02AC1B81">
            <w:pPr>
              <w:spacing w:line="240" w:lineRule="auto"/>
              <w:ind w:firstLine="0" w:firstLineChars="0"/>
              <w:jc w:val="center"/>
              <w:rPr>
                <w:rFonts w:hint="default" w:ascii="Times New Roman" w:hAnsi="Times New Roman" w:cs="Times New Roman"/>
                <w:color w:val="auto"/>
                <w:sz w:val="21"/>
                <w:szCs w:val="21"/>
                <w:highlight w:val="none"/>
              </w:rPr>
            </w:pPr>
          </w:p>
        </w:tc>
        <w:tc>
          <w:tcPr>
            <w:tcW w:w="2408" w:type="dxa"/>
            <w:tcBorders>
              <w:tl2br w:val="nil"/>
              <w:tr2bl w:val="nil"/>
            </w:tcBorders>
            <w:vAlign w:val="center"/>
          </w:tcPr>
          <w:p w14:paraId="566CB373">
            <w:pPr>
              <w:spacing w:line="240" w:lineRule="auto"/>
              <w:ind w:firstLine="0" w:firstLineChars="0"/>
              <w:jc w:val="center"/>
              <w:rPr>
                <w:rFonts w:hint="default" w:ascii="Times New Roman" w:hAnsi="Times New Roman" w:eastAsia="宋体"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日平均</w:t>
            </w:r>
          </w:p>
        </w:tc>
        <w:tc>
          <w:tcPr>
            <w:tcW w:w="1515" w:type="dxa"/>
            <w:tcBorders>
              <w:tl2br w:val="nil"/>
              <w:tr2bl w:val="nil"/>
            </w:tcBorders>
            <w:vAlign w:val="center"/>
          </w:tcPr>
          <w:p w14:paraId="154C2F80">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150</w:t>
            </w:r>
          </w:p>
        </w:tc>
        <w:tc>
          <w:tcPr>
            <w:tcW w:w="843" w:type="dxa"/>
            <w:vMerge w:val="continue"/>
            <w:tcBorders>
              <w:tl2br w:val="nil"/>
              <w:tr2bl w:val="nil"/>
            </w:tcBorders>
            <w:vAlign w:val="center"/>
          </w:tcPr>
          <w:p w14:paraId="0D95C5E6">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46BF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5EF5796D">
            <w:pPr>
              <w:spacing w:line="240" w:lineRule="auto"/>
              <w:ind w:firstLine="0" w:firstLineChars="0"/>
              <w:jc w:val="center"/>
              <w:rPr>
                <w:rFonts w:hint="default" w:ascii="Times New Roman" w:hAnsi="Times New Roman" w:cs="Times New Roman"/>
                <w:color w:val="auto"/>
                <w:spacing w:val="-1"/>
                <w:sz w:val="21"/>
                <w:szCs w:val="21"/>
                <w:highlight w:val="none"/>
              </w:rPr>
            </w:pPr>
          </w:p>
        </w:tc>
        <w:tc>
          <w:tcPr>
            <w:tcW w:w="3023" w:type="dxa"/>
            <w:vMerge w:val="continue"/>
            <w:tcBorders>
              <w:tl2br w:val="nil"/>
              <w:tr2bl w:val="nil"/>
            </w:tcBorders>
            <w:vAlign w:val="center"/>
          </w:tcPr>
          <w:p w14:paraId="1C823872">
            <w:pPr>
              <w:spacing w:line="240" w:lineRule="auto"/>
              <w:ind w:firstLine="0" w:firstLineChars="0"/>
              <w:jc w:val="center"/>
              <w:rPr>
                <w:rFonts w:hint="default" w:ascii="Times New Roman" w:hAnsi="Times New Roman" w:cs="Times New Roman"/>
                <w:color w:val="auto"/>
                <w:spacing w:val="-1"/>
                <w:sz w:val="21"/>
                <w:szCs w:val="21"/>
                <w:highlight w:val="none"/>
              </w:rPr>
            </w:pPr>
          </w:p>
        </w:tc>
        <w:tc>
          <w:tcPr>
            <w:tcW w:w="2408" w:type="dxa"/>
            <w:tcBorders>
              <w:tl2br w:val="nil"/>
              <w:tr2bl w:val="nil"/>
            </w:tcBorders>
            <w:vAlign w:val="center"/>
          </w:tcPr>
          <w:p w14:paraId="7B19184B">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1小时平均</w:t>
            </w:r>
          </w:p>
        </w:tc>
        <w:tc>
          <w:tcPr>
            <w:tcW w:w="1515" w:type="dxa"/>
            <w:tcBorders>
              <w:tl2br w:val="nil"/>
              <w:tr2bl w:val="nil"/>
            </w:tcBorders>
            <w:vAlign w:val="center"/>
          </w:tcPr>
          <w:p w14:paraId="5BA618A4">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500</w:t>
            </w:r>
          </w:p>
        </w:tc>
        <w:tc>
          <w:tcPr>
            <w:tcW w:w="843" w:type="dxa"/>
            <w:vMerge w:val="continue"/>
            <w:tcBorders>
              <w:tl2br w:val="nil"/>
              <w:tr2bl w:val="nil"/>
            </w:tcBorders>
            <w:vAlign w:val="center"/>
          </w:tcPr>
          <w:p w14:paraId="193D754A">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1E0D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092A3D49">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2</w:t>
            </w:r>
          </w:p>
        </w:tc>
        <w:tc>
          <w:tcPr>
            <w:tcW w:w="3023" w:type="dxa"/>
            <w:vMerge w:val="restart"/>
            <w:tcBorders>
              <w:tl2br w:val="nil"/>
              <w:tr2bl w:val="nil"/>
            </w:tcBorders>
            <w:vAlign w:val="center"/>
          </w:tcPr>
          <w:p w14:paraId="0CB8ABB0">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二氧化氮（NO</w:t>
            </w:r>
            <w:r>
              <w:rPr>
                <w:rFonts w:hint="default" w:ascii="Times New Roman" w:hAnsi="Times New Roman" w:cs="Times New Roman"/>
                <w:color w:val="auto"/>
                <w:spacing w:val="-1"/>
                <w:sz w:val="21"/>
                <w:szCs w:val="21"/>
                <w:highlight w:val="none"/>
                <w:vertAlign w:val="subscript"/>
              </w:rPr>
              <w:t>2</w:t>
            </w:r>
            <w:r>
              <w:rPr>
                <w:rFonts w:hint="default" w:ascii="Times New Roman" w:hAnsi="Times New Roman" w:cs="Times New Roman"/>
                <w:color w:val="auto"/>
                <w:spacing w:val="-1"/>
                <w:sz w:val="21"/>
                <w:szCs w:val="21"/>
                <w:highlight w:val="none"/>
              </w:rPr>
              <w:t>）</w:t>
            </w:r>
          </w:p>
        </w:tc>
        <w:tc>
          <w:tcPr>
            <w:tcW w:w="2408" w:type="dxa"/>
            <w:tcBorders>
              <w:tl2br w:val="nil"/>
              <w:tr2bl w:val="nil"/>
            </w:tcBorders>
            <w:vAlign w:val="center"/>
          </w:tcPr>
          <w:p w14:paraId="56AE93AC">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年平均</w:t>
            </w:r>
          </w:p>
        </w:tc>
        <w:tc>
          <w:tcPr>
            <w:tcW w:w="1515" w:type="dxa"/>
            <w:tcBorders>
              <w:tl2br w:val="nil"/>
              <w:tr2bl w:val="nil"/>
            </w:tcBorders>
            <w:vAlign w:val="center"/>
          </w:tcPr>
          <w:p w14:paraId="7C81BD73">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40</w:t>
            </w:r>
          </w:p>
        </w:tc>
        <w:tc>
          <w:tcPr>
            <w:tcW w:w="843" w:type="dxa"/>
            <w:vMerge w:val="restart"/>
            <w:tcBorders>
              <w:tl2br w:val="nil"/>
              <w:tr2bl w:val="nil"/>
            </w:tcBorders>
            <w:vAlign w:val="center"/>
          </w:tcPr>
          <w:p w14:paraId="1D352A29">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r w14:paraId="05B9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6A200CD6">
            <w:pPr>
              <w:spacing w:line="240" w:lineRule="auto"/>
              <w:ind w:firstLine="0" w:firstLineChars="0"/>
              <w:jc w:val="center"/>
              <w:rPr>
                <w:rFonts w:hint="default" w:ascii="Times New Roman" w:hAnsi="Times New Roman" w:cs="Times New Roman"/>
                <w:color w:val="auto"/>
                <w:sz w:val="21"/>
                <w:szCs w:val="21"/>
                <w:highlight w:val="none"/>
              </w:rPr>
            </w:pPr>
          </w:p>
        </w:tc>
        <w:tc>
          <w:tcPr>
            <w:tcW w:w="3023" w:type="dxa"/>
            <w:vMerge w:val="continue"/>
            <w:tcBorders>
              <w:tl2br w:val="nil"/>
              <w:tr2bl w:val="nil"/>
            </w:tcBorders>
            <w:vAlign w:val="center"/>
          </w:tcPr>
          <w:p w14:paraId="6EE9E81F">
            <w:pPr>
              <w:spacing w:line="240" w:lineRule="auto"/>
              <w:ind w:firstLine="0" w:firstLineChars="0"/>
              <w:jc w:val="center"/>
              <w:rPr>
                <w:rFonts w:hint="default" w:ascii="Times New Roman" w:hAnsi="Times New Roman" w:cs="Times New Roman"/>
                <w:color w:val="auto"/>
                <w:sz w:val="21"/>
                <w:szCs w:val="21"/>
                <w:highlight w:val="none"/>
              </w:rPr>
            </w:pPr>
          </w:p>
        </w:tc>
        <w:tc>
          <w:tcPr>
            <w:tcW w:w="2408" w:type="dxa"/>
            <w:tcBorders>
              <w:tl2br w:val="nil"/>
              <w:tr2bl w:val="nil"/>
            </w:tcBorders>
            <w:vAlign w:val="center"/>
          </w:tcPr>
          <w:p w14:paraId="6450795B">
            <w:pPr>
              <w:spacing w:line="240" w:lineRule="auto"/>
              <w:ind w:firstLine="0" w:firstLineChars="0"/>
              <w:jc w:val="center"/>
              <w:rPr>
                <w:rFonts w:hint="eastAsia" w:ascii="Times New Roman" w:hAnsi="Times New Roman" w:eastAsia="宋体" w:cs="Times New Roman"/>
                <w:color w:val="auto"/>
                <w:spacing w:val="-1"/>
                <w:sz w:val="21"/>
                <w:szCs w:val="21"/>
                <w:highlight w:val="none"/>
                <w:lang w:eastAsia="zh-CN"/>
              </w:rPr>
            </w:pPr>
            <w:r>
              <w:rPr>
                <w:rFonts w:hint="eastAsia" w:cs="Times New Roman"/>
                <w:color w:val="auto"/>
                <w:spacing w:val="-1"/>
                <w:sz w:val="21"/>
                <w:szCs w:val="21"/>
                <w:highlight w:val="none"/>
                <w:lang w:val="en-US" w:eastAsia="zh-CN"/>
              </w:rPr>
              <w:t>日平均</w:t>
            </w:r>
          </w:p>
        </w:tc>
        <w:tc>
          <w:tcPr>
            <w:tcW w:w="1515" w:type="dxa"/>
            <w:tcBorders>
              <w:tl2br w:val="nil"/>
              <w:tr2bl w:val="nil"/>
            </w:tcBorders>
            <w:vAlign w:val="center"/>
          </w:tcPr>
          <w:p w14:paraId="13FA00F1">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80</w:t>
            </w:r>
          </w:p>
        </w:tc>
        <w:tc>
          <w:tcPr>
            <w:tcW w:w="843" w:type="dxa"/>
            <w:vMerge w:val="continue"/>
            <w:tcBorders>
              <w:tl2br w:val="nil"/>
              <w:tr2bl w:val="nil"/>
            </w:tcBorders>
            <w:vAlign w:val="center"/>
          </w:tcPr>
          <w:p w14:paraId="2DE04367">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0165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6CEB3F93">
            <w:pPr>
              <w:spacing w:line="240" w:lineRule="auto"/>
              <w:ind w:firstLine="0" w:firstLineChars="0"/>
              <w:jc w:val="center"/>
              <w:rPr>
                <w:rFonts w:hint="default" w:ascii="Times New Roman" w:hAnsi="Times New Roman" w:cs="Times New Roman"/>
                <w:color w:val="auto"/>
                <w:spacing w:val="-1"/>
                <w:sz w:val="21"/>
                <w:szCs w:val="21"/>
                <w:highlight w:val="none"/>
              </w:rPr>
            </w:pPr>
          </w:p>
        </w:tc>
        <w:tc>
          <w:tcPr>
            <w:tcW w:w="3023" w:type="dxa"/>
            <w:vMerge w:val="continue"/>
            <w:tcBorders>
              <w:tl2br w:val="nil"/>
              <w:tr2bl w:val="nil"/>
            </w:tcBorders>
            <w:vAlign w:val="center"/>
          </w:tcPr>
          <w:p w14:paraId="0910A381">
            <w:pPr>
              <w:spacing w:line="240" w:lineRule="auto"/>
              <w:ind w:firstLine="0" w:firstLineChars="0"/>
              <w:jc w:val="center"/>
              <w:rPr>
                <w:rFonts w:hint="default" w:ascii="Times New Roman" w:hAnsi="Times New Roman" w:cs="Times New Roman"/>
                <w:color w:val="auto"/>
                <w:spacing w:val="-1"/>
                <w:sz w:val="21"/>
                <w:szCs w:val="21"/>
                <w:highlight w:val="none"/>
              </w:rPr>
            </w:pPr>
          </w:p>
        </w:tc>
        <w:tc>
          <w:tcPr>
            <w:tcW w:w="2408" w:type="dxa"/>
            <w:tcBorders>
              <w:tl2br w:val="nil"/>
              <w:tr2bl w:val="nil"/>
            </w:tcBorders>
            <w:vAlign w:val="center"/>
          </w:tcPr>
          <w:p w14:paraId="62C20E11">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1小时平均</w:t>
            </w:r>
          </w:p>
        </w:tc>
        <w:tc>
          <w:tcPr>
            <w:tcW w:w="1515" w:type="dxa"/>
            <w:tcBorders>
              <w:tl2br w:val="nil"/>
              <w:tr2bl w:val="nil"/>
            </w:tcBorders>
            <w:vAlign w:val="center"/>
          </w:tcPr>
          <w:p w14:paraId="4E1290AF">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200</w:t>
            </w:r>
          </w:p>
        </w:tc>
        <w:tc>
          <w:tcPr>
            <w:tcW w:w="843" w:type="dxa"/>
            <w:vMerge w:val="continue"/>
            <w:tcBorders>
              <w:tl2br w:val="nil"/>
              <w:tr2bl w:val="nil"/>
            </w:tcBorders>
            <w:vAlign w:val="center"/>
          </w:tcPr>
          <w:p w14:paraId="6BDB483D">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0CF9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14614D88">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3</w:t>
            </w:r>
          </w:p>
        </w:tc>
        <w:tc>
          <w:tcPr>
            <w:tcW w:w="3023" w:type="dxa"/>
            <w:vMerge w:val="restart"/>
            <w:tcBorders>
              <w:tl2br w:val="nil"/>
              <w:tr2bl w:val="nil"/>
            </w:tcBorders>
            <w:vAlign w:val="center"/>
          </w:tcPr>
          <w:p w14:paraId="55ED20F4">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一氧化碳（CO）</w:t>
            </w:r>
          </w:p>
        </w:tc>
        <w:tc>
          <w:tcPr>
            <w:tcW w:w="2408" w:type="dxa"/>
            <w:tcBorders>
              <w:tl2br w:val="nil"/>
              <w:tr2bl w:val="nil"/>
            </w:tcBorders>
            <w:vAlign w:val="center"/>
          </w:tcPr>
          <w:p w14:paraId="74D07504">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eastAsia" w:cs="Times New Roman"/>
                <w:color w:val="auto"/>
                <w:spacing w:val="-1"/>
                <w:sz w:val="21"/>
                <w:szCs w:val="21"/>
                <w:highlight w:val="none"/>
                <w:lang w:val="en-US" w:eastAsia="zh-CN"/>
              </w:rPr>
              <w:t>日</w:t>
            </w:r>
            <w:r>
              <w:rPr>
                <w:rFonts w:hint="default" w:ascii="Times New Roman" w:hAnsi="Times New Roman" w:cs="Times New Roman"/>
                <w:color w:val="auto"/>
                <w:spacing w:val="-1"/>
                <w:sz w:val="21"/>
                <w:szCs w:val="21"/>
                <w:highlight w:val="none"/>
              </w:rPr>
              <w:t>平均</w:t>
            </w:r>
          </w:p>
        </w:tc>
        <w:tc>
          <w:tcPr>
            <w:tcW w:w="1515" w:type="dxa"/>
            <w:tcBorders>
              <w:tl2br w:val="nil"/>
              <w:tr2bl w:val="nil"/>
            </w:tcBorders>
            <w:vAlign w:val="center"/>
          </w:tcPr>
          <w:p w14:paraId="574F5E99">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4</w:t>
            </w:r>
          </w:p>
        </w:tc>
        <w:tc>
          <w:tcPr>
            <w:tcW w:w="843" w:type="dxa"/>
            <w:vMerge w:val="restart"/>
            <w:tcBorders>
              <w:tl2br w:val="nil"/>
              <w:tr2bl w:val="nil"/>
            </w:tcBorders>
            <w:vAlign w:val="center"/>
          </w:tcPr>
          <w:p w14:paraId="1F063ADA">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mg/m</w:t>
            </w:r>
            <w:r>
              <w:rPr>
                <w:rFonts w:hint="default" w:ascii="Times New Roman" w:hAnsi="Times New Roman" w:cs="Times New Roman"/>
                <w:color w:val="auto"/>
                <w:spacing w:val="-1"/>
                <w:sz w:val="21"/>
                <w:szCs w:val="21"/>
                <w:highlight w:val="none"/>
                <w:vertAlign w:val="superscript"/>
              </w:rPr>
              <w:t>3</w:t>
            </w:r>
          </w:p>
        </w:tc>
      </w:tr>
      <w:tr w14:paraId="17F6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11D2C168">
            <w:pPr>
              <w:spacing w:line="240" w:lineRule="auto"/>
              <w:ind w:firstLine="0" w:firstLineChars="0"/>
              <w:jc w:val="center"/>
              <w:rPr>
                <w:rFonts w:hint="default" w:ascii="Times New Roman" w:hAnsi="Times New Roman" w:cs="Times New Roman"/>
                <w:color w:val="auto"/>
                <w:sz w:val="21"/>
                <w:szCs w:val="21"/>
                <w:highlight w:val="none"/>
              </w:rPr>
            </w:pPr>
          </w:p>
        </w:tc>
        <w:tc>
          <w:tcPr>
            <w:tcW w:w="3023" w:type="dxa"/>
            <w:vMerge w:val="continue"/>
            <w:tcBorders>
              <w:tl2br w:val="nil"/>
              <w:tr2bl w:val="nil"/>
            </w:tcBorders>
            <w:vAlign w:val="center"/>
          </w:tcPr>
          <w:p w14:paraId="3196C0FD">
            <w:pPr>
              <w:spacing w:line="240" w:lineRule="auto"/>
              <w:ind w:firstLine="0" w:firstLineChars="0"/>
              <w:jc w:val="center"/>
              <w:rPr>
                <w:rFonts w:hint="default" w:ascii="Times New Roman" w:hAnsi="Times New Roman" w:cs="Times New Roman"/>
                <w:color w:val="auto"/>
                <w:sz w:val="21"/>
                <w:szCs w:val="21"/>
                <w:highlight w:val="none"/>
              </w:rPr>
            </w:pPr>
          </w:p>
        </w:tc>
        <w:tc>
          <w:tcPr>
            <w:tcW w:w="2408" w:type="dxa"/>
            <w:tcBorders>
              <w:tl2br w:val="nil"/>
              <w:tr2bl w:val="nil"/>
            </w:tcBorders>
            <w:vAlign w:val="center"/>
          </w:tcPr>
          <w:p w14:paraId="34CBA583">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1小时平均</w:t>
            </w:r>
          </w:p>
        </w:tc>
        <w:tc>
          <w:tcPr>
            <w:tcW w:w="1515" w:type="dxa"/>
            <w:tcBorders>
              <w:tl2br w:val="nil"/>
              <w:tr2bl w:val="nil"/>
            </w:tcBorders>
            <w:vAlign w:val="center"/>
          </w:tcPr>
          <w:p w14:paraId="6E574463">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10</w:t>
            </w:r>
          </w:p>
        </w:tc>
        <w:tc>
          <w:tcPr>
            <w:tcW w:w="843" w:type="dxa"/>
            <w:vMerge w:val="continue"/>
            <w:tcBorders>
              <w:tl2br w:val="nil"/>
              <w:tr2bl w:val="nil"/>
            </w:tcBorders>
            <w:vAlign w:val="center"/>
          </w:tcPr>
          <w:p w14:paraId="49D3BC7D">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03F8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44CD6911">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4</w:t>
            </w:r>
          </w:p>
        </w:tc>
        <w:tc>
          <w:tcPr>
            <w:tcW w:w="3023" w:type="dxa"/>
            <w:vMerge w:val="restart"/>
            <w:tcBorders>
              <w:tl2br w:val="nil"/>
              <w:tr2bl w:val="nil"/>
            </w:tcBorders>
            <w:vAlign w:val="center"/>
          </w:tcPr>
          <w:p w14:paraId="331D6BDB">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臭氧（O</w:t>
            </w:r>
            <w:r>
              <w:rPr>
                <w:rFonts w:hint="default" w:ascii="Times New Roman" w:hAnsi="Times New Roman" w:cs="Times New Roman"/>
                <w:color w:val="auto"/>
                <w:spacing w:val="-1"/>
                <w:sz w:val="21"/>
                <w:szCs w:val="21"/>
                <w:highlight w:val="none"/>
                <w:vertAlign w:val="subscript"/>
              </w:rPr>
              <w:t>3</w:t>
            </w:r>
            <w:r>
              <w:rPr>
                <w:rFonts w:hint="default" w:ascii="Times New Roman" w:hAnsi="Times New Roman" w:cs="Times New Roman"/>
                <w:color w:val="auto"/>
                <w:spacing w:val="-1"/>
                <w:sz w:val="21"/>
                <w:szCs w:val="21"/>
                <w:highlight w:val="none"/>
              </w:rPr>
              <w:t>）</w:t>
            </w:r>
          </w:p>
        </w:tc>
        <w:tc>
          <w:tcPr>
            <w:tcW w:w="2408" w:type="dxa"/>
            <w:tcBorders>
              <w:tl2br w:val="nil"/>
              <w:tr2bl w:val="nil"/>
            </w:tcBorders>
            <w:vAlign w:val="center"/>
          </w:tcPr>
          <w:p w14:paraId="4E7D4479">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日最大8小时平均</w:t>
            </w:r>
          </w:p>
        </w:tc>
        <w:tc>
          <w:tcPr>
            <w:tcW w:w="1515" w:type="dxa"/>
            <w:tcBorders>
              <w:tl2br w:val="nil"/>
              <w:tr2bl w:val="nil"/>
            </w:tcBorders>
            <w:vAlign w:val="center"/>
          </w:tcPr>
          <w:p w14:paraId="33DFF19C">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160</w:t>
            </w:r>
          </w:p>
        </w:tc>
        <w:tc>
          <w:tcPr>
            <w:tcW w:w="843" w:type="dxa"/>
            <w:vMerge w:val="restart"/>
            <w:tcBorders>
              <w:tl2br w:val="nil"/>
              <w:tr2bl w:val="nil"/>
            </w:tcBorders>
            <w:vAlign w:val="center"/>
          </w:tcPr>
          <w:p w14:paraId="69AEE21E">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r w14:paraId="6996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59B0B496">
            <w:pPr>
              <w:spacing w:line="240" w:lineRule="auto"/>
              <w:ind w:firstLine="0" w:firstLineChars="0"/>
              <w:jc w:val="center"/>
              <w:rPr>
                <w:rFonts w:hint="default" w:ascii="Times New Roman" w:hAnsi="Times New Roman" w:cs="Times New Roman"/>
                <w:color w:val="auto"/>
                <w:sz w:val="21"/>
                <w:szCs w:val="21"/>
                <w:highlight w:val="none"/>
              </w:rPr>
            </w:pPr>
          </w:p>
        </w:tc>
        <w:tc>
          <w:tcPr>
            <w:tcW w:w="3023" w:type="dxa"/>
            <w:vMerge w:val="continue"/>
            <w:tcBorders>
              <w:tl2br w:val="nil"/>
              <w:tr2bl w:val="nil"/>
            </w:tcBorders>
            <w:vAlign w:val="center"/>
          </w:tcPr>
          <w:p w14:paraId="499FA3F0">
            <w:pPr>
              <w:spacing w:line="240" w:lineRule="auto"/>
              <w:ind w:firstLine="0" w:firstLineChars="0"/>
              <w:jc w:val="center"/>
              <w:rPr>
                <w:rFonts w:hint="default" w:ascii="Times New Roman" w:hAnsi="Times New Roman" w:cs="Times New Roman"/>
                <w:color w:val="auto"/>
                <w:sz w:val="21"/>
                <w:szCs w:val="21"/>
                <w:highlight w:val="none"/>
              </w:rPr>
            </w:pPr>
          </w:p>
        </w:tc>
        <w:tc>
          <w:tcPr>
            <w:tcW w:w="2408" w:type="dxa"/>
            <w:tcBorders>
              <w:tl2br w:val="nil"/>
              <w:tr2bl w:val="nil"/>
            </w:tcBorders>
            <w:vAlign w:val="center"/>
          </w:tcPr>
          <w:p w14:paraId="0C86EC7C">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1小时平均</w:t>
            </w:r>
          </w:p>
        </w:tc>
        <w:tc>
          <w:tcPr>
            <w:tcW w:w="1515" w:type="dxa"/>
            <w:tcBorders>
              <w:tl2br w:val="nil"/>
              <w:tr2bl w:val="nil"/>
            </w:tcBorders>
            <w:vAlign w:val="center"/>
          </w:tcPr>
          <w:p w14:paraId="216008DF">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200</w:t>
            </w:r>
          </w:p>
        </w:tc>
        <w:tc>
          <w:tcPr>
            <w:tcW w:w="843" w:type="dxa"/>
            <w:vMerge w:val="continue"/>
            <w:tcBorders>
              <w:tl2br w:val="nil"/>
              <w:tr2bl w:val="nil"/>
            </w:tcBorders>
            <w:vAlign w:val="center"/>
          </w:tcPr>
          <w:p w14:paraId="3654D90C">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34F0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79E61ACB">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5</w:t>
            </w:r>
          </w:p>
        </w:tc>
        <w:tc>
          <w:tcPr>
            <w:tcW w:w="3023" w:type="dxa"/>
            <w:vMerge w:val="restart"/>
            <w:tcBorders>
              <w:tl2br w:val="nil"/>
              <w:tr2bl w:val="nil"/>
            </w:tcBorders>
            <w:vAlign w:val="center"/>
          </w:tcPr>
          <w:p w14:paraId="1AC24A7B">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PM</w:t>
            </w:r>
            <w:r>
              <w:rPr>
                <w:rFonts w:hint="default" w:ascii="Times New Roman" w:hAnsi="Times New Roman" w:cs="Times New Roman"/>
                <w:color w:val="auto"/>
                <w:spacing w:val="-1"/>
                <w:sz w:val="21"/>
                <w:szCs w:val="21"/>
                <w:highlight w:val="none"/>
                <w:vertAlign w:val="subscript"/>
              </w:rPr>
              <w:t>10</w:t>
            </w:r>
            <w:r>
              <w:rPr>
                <w:rFonts w:hint="default" w:ascii="Times New Roman" w:hAnsi="Times New Roman" w:cs="Times New Roman"/>
                <w:color w:val="auto"/>
                <w:spacing w:val="-1"/>
                <w:sz w:val="21"/>
                <w:szCs w:val="21"/>
                <w:highlight w:val="none"/>
              </w:rPr>
              <w:t>（粒径小于等于10μm）</w:t>
            </w:r>
          </w:p>
        </w:tc>
        <w:tc>
          <w:tcPr>
            <w:tcW w:w="2408" w:type="dxa"/>
            <w:tcBorders>
              <w:tl2br w:val="nil"/>
              <w:tr2bl w:val="nil"/>
            </w:tcBorders>
            <w:vAlign w:val="center"/>
          </w:tcPr>
          <w:p w14:paraId="3F9F96CB">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年平均</w:t>
            </w:r>
          </w:p>
        </w:tc>
        <w:tc>
          <w:tcPr>
            <w:tcW w:w="1515" w:type="dxa"/>
            <w:tcBorders>
              <w:tl2br w:val="nil"/>
              <w:tr2bl w:val="nil"/>
            </w:tcBorders>
            <w:vAlign w:val="center"/>
          </w:tcPr>
          <w:p w14:paraId="2D984E51">
            <w:pPr>
              <w:spacing w:line="240" w:lineRule="auto"/>
              <w:ind w:firstLine="0" w:firstLineChars="0"/>
              <w:jc w:val="center"/>
              <w:rPr>
                <w:rFonts w:hint="default" w:ascii="Times New Roman" w:hAnsi="Times New Roman" w:eastAsia="宋体"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60</w:t>
            </w:r>
          </w:p>
        </w:tc>
        <w:tc>
          <w:tcPr>
            <w:tcW w:w="843" w:type="dxa"/>
            <w:vMerge w:val="restart"/>
            <w:tcBorders>
              <w:tl2br w:val="nil"/>
              <w:tr2bl w:val="nil"/>
            </w:tcBorders>
            <w:vAlign w:val="center"/>
          </w:tcPr>
          <w:p w14:paraId="077DE56A">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r w14:paraId="7E0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2648B0A5">
            <w:pPr>
              <w:spacing w:line="240" w:lineRule="auto"/>
              <w:ind w:firstLine="0" w:firstLineChars="0"/>
              <w:jc w:val="center"/>
              <w:rPr>
                <w:rFonts w:hint="default" w:ascii="Times New Roman" w:hAnsi="Times New Roman" w:cs="Times New Roman"/>
                <w:color w:val="auto"/>
                <w:sz w:val="21"/>
                <w:szCs w:val="21"/>
                <w:highlight w:val="none"/>
              </w:rPr>
            </w:pPr>
          </w:p>
        </w:tc>
        <w:tc>
          <w:tcPr>
            <w:tcW w:w="3023" w:type="dxa"/>
            <w:vMerge w:val="continue"/>
            <w:tcBorders>
              <w:tl2br w:val="nil"/>
              <w:tr2bl w:val="nil"/>
            </w:tcBorders>
            <w:vAlign w:val="center"/>
          </w:tcPr>
          <w:p w14:paraId="1A61E33B">
            <w:pPr>
              <w:spacing w:line="240" w:lineRule="auto"/>
              <w:ind w:firstLine="0" w:firstLineChars="0"/>
              <w:jc w:val="center"/>
              <w:rPr>
                <w:rFonts w:hint="default" w:ascii="Times New Roman" w:hAnsi="Times New Roman" w:cs="Times New Roman"/>
                <w:color w:val="auto"/>
                <w:sz w:val="21"/>
                <w:szCs w:val="21"/>
                <w:highlight w:val="none"/>
              </w:rPr>
            </w:pPr>
          </w:p>
        </w:tc>
        <w:tc>
          <w:tcPr>
            <w:tcW w:w="2408" w:type="dxa"/>
            <w:tcBorders>
              <w:tl2br w:val="nil"/>
              <w:tr2bl w:val="nil"/>
            </w:tcBorders>
            <w:vAlign w:val="center"/>
          </w:tcPr>
          <w:p w14:paraId="7495DA6A">
            <w:pPr>
              <w:spacing w:line="240" w:lineRule="auto"/>
              <w:ind w:firstLine="0" w:firstLineChars="0"/>
              <w:jc w:val="center"/>
              <w:rPr>
                <w:rFonts w:hint="eastAsia" w:ascii="Times New Roman" w:hAnsi="Times New Roman" w:eastAsia="宋体" w:cs="Times New Roman"/>
                <w:color w:val="auto"/>
                <w:spacing w:val="-1"/>
                <w:sz w:val="21"/>
                <w:szCs w:val="21"/>
                <w:highlight w:val="none"/>
                <w:lang w:eastAsia="zh-CN"/>
              </w:rPr>
            </w:pPr>
            <w:r>
              <w:rPr>
                <w:rFonts w:hint="eastAsia" w:cs="Times New Roman"/>
                <w:color w:val="auto"/>
                <w:spacing w:val="-1"/>
                <w:sz w:val="21"/>
                <w:szCs w:val="21"/>
                <w:highlight w:val="none"/>
                <w:lang w:val="en-US" w:eastAsia="zh-CN"/>
              </w:rPr>
              <w:t>日平均</w:t>
            </w:r>
          </w:p>
        </w:tc>
        <w:tc>
          <w:tcPr>
            <w:tcW w:w="1515" w:type="dxa"/>
            <w:tcBorders>
              <w:tl2br w:val="nil"/>
              <w:tr2bl w:val="nil"/>
            </w:tcBorders>
            <w:vAlign w:val="center"/>
          </w:tcPr>
          <w:p w14:paraId="16D23F0A">
            <w:pPr>
              <w:spacing w:line="240" w:lineRule="auto"/>
              <w:ind w:firstLine="0" w:firstLineChars="0"/>
              <w:jc w:val="center"/>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cs="Times New Roman"/>
                <w:color w:val="auto"/>
                <w:spacing w:val="-1"/>
                <w:sz w:val="21"/>
                <w:szCs w:val="21"/>
                <w:highlight w:val="none"/>
                <w:lang w:val="en-US" w:eastAsia="zh-CN"/>
              </w:rPr>
              <w:t>120</w:t>
            </w:r>
          </w:p>
        </w:tc>
        <w:tc>
          <w:tcPr>
            <w:tcW w:w="843" w:type="dxa"/>
            <w:vMerge w:val="continue"/>
            <w:tcBorders>
              <w:tl2br w:val="nil"/>
              <w:tr2bl w:val="nil"/>
            </w:tcBorders>
            <w:vAlign w:val="center"/>
          </w:tcPr>
          <w:p w14:paraId="5433F51F">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7496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6F60579A">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6</w:t>
            </w:r>
          </w:p>
        </w:tc>
        <w:tc>
          <w:tcPr>
            <w:tcW w:w="3023" w:type="dxa"/>
            <w:vMerge w:val="restart"/>
            <w:tcBorders>
              <w:tl2br w:val="nil"/>
              <w:tr2bl w:val="nil"/>
            </w:tcBorders>
            <w:vAlign w:val="center"/>
          </w:tcPr>
          <w:p w14:paraId="72112959">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PM</w:t>
            </w:r>
            <w:r>
              <w:rPr>
                <w:rFonts w:hint="default" w:ascii="Times New Roman" w:hAnsi="Times New Roman" w:cs="Times New Roman"/>
                <w:color w:val="auto"/>
                <w:spacing w:val="-1"/>
                <w:sz w:val="21"/>
                <w:szCs w:val="21"/>
                <w:highlight w:val="none"/>
                <w:vertAlign w:val="subscript"/>
              </w:rPr>
              <w:t>2.5</w:t>
            </w:r>
            <w:r>
              <w:rPr>
                <w:rFonts w:hint="default" w:ascii="Times New Roman" w:hAnsi="Times New Roman" w:cs="Times New Roman"/>
                <w:color w:val="auto"/>
                <w:spacing w:val="-1"/>
                <w:sz w:val="21"/>
                <w:szCs w:val="21"/>
                <w:highlight w:val="none"/>
              </w:rPr>
              <w:t>（粒径小于等于2.5μm）</w:t>
            </w:r>
          </w:p>
        </w:tc>
        <w:tc>
          <w:tcPr>
            <w:tcW w:w="2408" w:type="dxa"/>
            <w:tcBorders>
              <w:tl2br w:val="nil"/>
              <w:tr2bl w:val="nil"/>
            </w:tcBorders>
            <w:vAlign w:val="center"/>
          </w:tcPr>
          <w:p w14:paraId="496B47D9">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年平均</w:t>
            </w:r>
          </w:p>
        </w:tc>
        <w:tc>
          <w:tcPr>
            <w:tcW w:w="1515" w:type="dxa"/>
            <w:tcBorders>
              <w:tl2br w:val="nil"/>
              <w:tr2bl w:val="nil"/>
            </w:tcBorders>
            <w:vAlign w:val="center"/>
          </w:tcPr>
          <w:p w14:paraId="375925FB">
            <w:pPr>
              <w:spacing w:line="240" w:lineRule="auto"/>
              <w:ind w:firstLine="0" w:firstLineChars="0"/>
              <w:jc w:val="center"/>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cs="Times New Roman"/>
                <w:color w:val="auto"/>
                <w:spacing w:val="-1"/>
                <w:sz w:val="21"/>
                <w:szCs w:val="21"/>
                <w:highlight w:val="none"/>
                <w:lang w:val="en-US" w:eastAsia="zh-CN"/>
              </w:rPr>
              <w:t>30</w:t>
            </w:r>
          </w:p>
        </w:tc>
        <w:tc>
          <w:tcPr>
            <w:tcW w:w="843" w:type="dxa"/>
            <w:vMerge w:val="restart"/>
            <w:tcBorders>
              <w:tl2br w:val="nil"/>
              <w:tr2bl w:val="nil"/>
            </w:tcBorders>
            <w:vAlign w:val="center"/>
          </w:tcPr>
          <w:p w14:paraId="2F184B35">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r w14:paraId="3E59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0EB09231">
            <w:pPr>
              <w:spacing w:line="240" w:lineRule="auto"/>
              <w:ind w:firstLine="0" w:firstLineChars="0"/>
              <w:jc w:val="center"/>
              <w:rPr>
                <w:rFonts w:hint="default" w:ascii="Times New Roman" w:hAnsi="Times New Roman" w:cs="Times New Roman"/>
                <w:color w:val="auto"/>
                <w:sz w:val="21"/>
                <w:szCs w:val="21"/>
                <w:highlight w:val="none"/>
              </w:rPr>
            </w:pPr>
          </w:p>
        </w:tc>
        <w:tc>
          <w:tcPr>
            <w:tcW w:w="3023" w:type="dxa"/>
            <w:vMerge w:val="continue"/>
            <w:tcBorders>
              <w:tl2br w:val="nil"/>
              <w:tr2bl w:val="nil"/>
            </w:tcBorders>
            <w:vAlign w:val="center"/>
          </w:tcPr>
          <w:p w14:paraId="33F787F5">
            <w:pPr>
              <w:spacing w:line="240" w:lineRule="auto"/>
              <w:ind w:firstLine="0" w:firstLineChars="0"/>
              <w:jc w:val="center"/>
              <w:rPr>
                <w:rFonts w:hint="default" w:ascii="Times New Roman" w:hAnsi="Times New Roman" w:cs="Times New Roman"/>
                <w:color w:val="auto"/>
                <w:sz w:val="21"/>
                <w:szCs w:val="21"/>
                <w:highlight w:val="none"/>
              </w:rPr>
            </w:pPr>
          </w:p>
        </w:tc>
        <w:tc>
          <w:tcPr>
            <w:tcW w:w="2408" w:type="dxa"/>
            <w:tcBorders>
              <w:tl2br w:val="nil"/>
              <w:tr2bl w:val="nil"/>
            </w:tcBorders>
            <w:vAlign w:val="center"/>
          </w:tcPr>
          <w:p w14:paraId="12A3436E">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eastAsia" w:cs="Times New Roman"/>
                <w:color w:val="auto"/>
                <w:spacing w:val="-1"/>
                <w:sz w:val="21"/>
                <w:szCs w:val="21"/>
                <w:highlight w:val="none"/>
                <w:lang w:val="en-US" w:eastAsia="zh-CN"/>
              </w:rPr>
              <w:t>日平均</w:t>
            </w:r>
          </w:p>
        </w:tc>
        <w:tc>
          <w:tcPr>
            <w:tcW w:w="1515" w:type="dxa"/>
            <w:tcBorders>
              <w:tl2br w:val="nil"/>
              <w:tr2bl w:val="nil"/>
            </w:tcBorders>
            <w:vAlign w:val="center"/>
          </w:tcPr>
          <w:p w14:paraId="421C3FDC">
            <w:pPr>
              <w:spacing w:line="240" w:lineRule="auto"/>
              <w:ind w:firstLine="0" w:firstLineChars="0"/>
              <w:jc w:val="center"/>
              <w:rPr>
                <w:rFonts w:hint="default" w:ascii="Times New Roman" w:hAnsi="Times New Roman" w:eastAsia="宋体"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60</w:t>
            </w:r>
          </w:p>
        </w:tc>
        <w:tc>
          <w:tcPr>
            <w:tcW w:w="843" w:type="dxa"/>
            <w:vMerge w:val="continue"/>
            <w:tcBorders>
              <w:tl2br w:val="nil"/>
              <w:tr2bl w:val="nil"/>
            </w:tcBorders>
            <w:vAlign w:val="center"/>
          </w:tcPr>
          <w:p w14:paraId="1BB1893C">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3FB5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3735E771">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3023" w:type="dxa"/>
            <w:vMerge w:val="restart"/>
            <w:tcBorders>
              <w:tl2br w:val="nil"/>
              <w:tr2bl w:val="nil"/>
            </w:tcBorders>
            <w:vAlign w:val="center"/>
          </w:tcPr>
          <w:p w14:paraId="6D9A56E1">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总悬浮颗粒物（TSP）</w:t>
            </w:r>
          </w:p>
        </w:tc>
        <w:tc>
          <w:tcPr>
            <w:tcW w:w="2408" w:type="dxa"/>
            <w:tcBorders>
              <w:tl2br w:val="nil"/>
              <w:tr2bl w:val="nil"/>
            </w:tcBorders>
            <w:vAlign w:val="center"/>
          </w:tcPr>
          <w:p w14:paraId="668B79C5">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年平均</w:t>
            </w:r>
          </w:p>
        </w:tc>
        <w:tc>
          <w:tcPr>
            <w:tcW w:w="1515" w:type="dxa"/>
            <w:tcBorders>
              <w:tl2br w:val="nil"/>
              <w:tr2bl w:val="nil"/>
            </w:tcBorders>
            <w:vAlign w:val="center"/>
          </w:tcPr>
          <w:p w14:paraId="24E6C906">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200</w:t>
            </w:r>
          </w:p>
        </w:tc>
        <w:tc>
          <w:tcPr>
            <w:tcW w:w="843" w:type="dxa"/>
            <w:vMerge w:val="restart"/>
            <w:tcBorders>
              <w:tl2br w:val="nil"/>
              <w:tr2bl w:val="nil"/>
            </w:tcBorders>
            <w:vAlign w:val="center"/>
          </w:tcPr>
          <w:p w14:paraId="45D198AB">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r w14:paraId="6F9B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513AEF38">
            <w:pPr>
              <w:spacing w:line="240" w:lineRule="auto"/>
              <w:ind w:firstLine="0" w:firstLineChars="0"/>
              <w:jc w:val="center"/>
              <w:rPr>
                <w:rFonts w:hint="default" w:ascii="Times New Roman" w:hAnsi="Times New Roman" w:cs="Times New Roman"/>
                <w:color w:val="auto"/>
                <w:sz w:val="21"/>
                <w:szCs w:val="21"/>
                <w:highlight w:val="none"/>
              </w:rPr>
            </w:pPr>
          </w:p>
        </w:tc>
        <w:tc>
          <w:tcPr>
            <w:tcW w:w="3023" w:type="dxa"/>
            <w:vMerge w:val="continue"/>
            <w:tcBorders>
              <w:tl2br w:val="nil"/>
              <w:tr2bl w:val="nil"/>
            </w:tcBorders>
            <w:vAlign w:val="center"/>
          </w:tcPr>
          <w:p w14:paraId="175607F6">
            <w:pPr>
              <w:spacing w:line="240" w:lineRule="auto"/>
              <w:ind w:firstLine="0" w:firstLineChars="0"/>
              <w:jc w:val="center"/>
              <w:rPr>
                <w:rFonts w:hint="default" w:ascii="Times New Roman" w:hAnsi="Times New Roman" w:cs="Times New Roman"/>
                <w:color w:val="auto"/>
                <w:sz w:val="21"/>
                <w:szCs w:val="21"/>
                <w:highlight w:val="none"/>
              </w:rPr>
            </w:pPr>
          </w:p>
        </w:tc>
        <w:tc>
          <w:tcPr>
            <w:tcW w:w="2408" w:type="dxa"/>
            <w:tcBorders>
              <w:tl2br w:val="nil"/>
              <w:tr2bl w:val="nil"/>
            </w:tcBorders>
            <w:vAlign w:val="center"/>
          </w:tcPr>
          <w:p w14:paraId="77586789">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eastAsia" w:cs="Times New Roman"/>
                <w:color w:val="auto"/>
                <w:spacing w:val="-1"/>
                <w:sz w:val="21"/>
                <w:szCs w:val="21"/>
                <w:highlight w:val="none"/>
                <w:lang w:val="en-US" w:eastAsia="zh-CN"/>
              </w:rPr>
              <w:t>日平均</w:t>
            </w:r>
          </w:p>
        </w:tc>
        <w:tc>
          <w:tcPr>
            <w:tcW w:w="1515" w:type="dxa"/>
            <w:tcBorders>
              <w:tl2br w:val="nil"/>
              <w:tr2bl w:val="nil"/>
            </w:tcBorders>
            <w:vAlign w:val="center"/>
          </w:tcPr>
          <w:p w14:paraId="17C0EC8E">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300</w:t>
            </w:r>
          </w:p>
        </w:tc>
        <w:tc>
          <w:tcPr>
            <w:tcW w:w="843" w:type="dxa"/>
            <w:vMerge w:val="continue"/>
            <w:tcBorders>
              <w:tl2br w:val="nil"/>
              <w:tr2bl w:val="nil"/>
            </w:tcBorders>
            <w:vAlign w:val="center"/>
          </w:tcPr>
          <w:p w14:paraId="4500ADC9">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7ABE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299454C5">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3023" w:type="dxa"/>
            <w:vMerge w:val="restart"/>
            <w:tcBorders>
              <w:tl2br w:val="nil"/>
              <w:tr2bl w:val="nil"/>
            </w:tcBorders>
            <w:vAlign w:val="center"/>
          </w:tcPr>
          <w:p w14:paraId="45B63AD8">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氟化物</w:t>
            </w:r>
          </w:p>
        </w:tc>
        <w:tc>
          <w:tcPr>
            <w:tcW w:w="2408" w:type="dxa"/>
            <w:tcBorders>
              <w:tl2br w:val="nil"/>
              <w:tr2bl w:val="nil"/>
            </w:tcBorders>
            <w:vAlign w:val="center"/>
          </w:tcPr>
          <w:p w14:paraId="7D444243">
            <w:pPr>
              <w:spacing w:line="240" w:lineRule="auto"/>
              <w:ind w:firstLine="0" w:firstLineChars="0"/>
              <w:jc w:val="center"/>
              <w:rPr>
                <w:rFonts w:hint="default" w:ascii="Times New Roman" w:hAnsi="Times New Roman" w:eastAsia="宋体" w:cs="Times New Roman"/>
                <w:color w:val="auto"/>
                <w:spacing w:val="-1"/>
                <w:sz w:val="21"/>
                <w:szCs w:val="21"/>
                <w:highlight w:val="none"/>
                <w:lang w:eastAsia="zh-CN"/>
              </w:rPr>
            </w:pPr>
            <w:r>
              <w:rPr>
                <w:rFonts w:hint="default" w:ascii="Times New Roman" w:hAnsi="Times New Roman" w:cs="Times New Roman"/>
                <w:color w:val="auto"/>
                <w:spacing w:val="-1"/>
                <w:sz w:val="21"/>
                <w:szCs w:val="21"/>
                <w:highlight w:val="none"/>
                <w:lang w:val="en-US" w:eastAsia="zh-CN"/>
              </w:rPr>
              <w:t>1</w:t>
            </w:r>
            <w:r>
              <w:rPr>
                <w:rFonts w:hint="default" w:ascii="Times New Roman" w:hAnsi="Times New Roman" w:cs="Times New Roman"/>
                <w:color w:val="auto"/>
                <w:spacing w:val="-1"/>
                <w:sz w:val="21"/>
                <w:szCs w:val="21"/>
                <w:highlight w:val="none"/>
                <w:lang w:eastAsia="zh-CN"/>
              </w:rPr>
              <w:t>小时平均</w:t>
            </w:r>
          </w:p>
        </w:tc>
        <w:tc>
          <w:tcPr>
            <w:tcW w:w="1515" w:type="dxa"/>
            <w:tcBorders>
              <w:tl2br w:val="nil"/>
              <w:tr2bl w:val="nil"/>
            </w:tcBorders>
            <w:vAlign w:val="center"/>
          </w:tcPr>
          <w:p w14:paraId="7198AE0E">
            <w:pPr>
              <w:spacing w:line="240" w:lineRule="auto"/>
              <w:ind w:firstLine="0" w:firstLineChars="0"/>
              <w:jc w:val="center"/>
              <w:rPr>
                <w:rFonts w:hint="default" w:ascii="Times New Roman" w:hAnsi="Times New Roman" w:eastAsia="宋体" w:cs="Times New Roman"/>
                <w:color w:val="auto"/>
                <w:spacing w:val="-1"/>
                <w:sz w:val="21"/>
                <w:szCs w:val="21"/>
                <w:highlight w:val="none"/>
                <w:lang w:val="en-US" w:eastAsia="zh-CN"/>
              </w:rPr>
            </w:pPr>
            <w:r>
              <w:rPr>
                <w:rFonts w:hint="default" w:ascii="Times New Roman" w:hAnsi="Times New Roman" w:cs="Times New Roman"/>
                <w:color w:val="auto"/>
                <w:spacing w:val="-1"/>
                <w:sz w:val="21"/>
                <w:szCs w:val="21"/>
                <w:highlight w:val="none"/>
                <w:lang w:val="en-US" w:eastAsia="zh-CN"/>
              </w:rPr>
              <w:t>20</w:t>
            </w:r>
          </w:p>
        </w:tc>
        <w:tc>
          <w:tcPr>
            <w:tcW w:w="843" w:type="dxa"/>
            <w:vMerge w:val="restart"/>
            <w:tcBorders>
              <w:tl2br w:val="nil"/>
              <w:tr2bl w:val="nil"/>
            </w:tcBorders>
            <w:vAlign w:val="center"/>
          </w:tcPr>
          <w:p w14:paraId="3B8064F9">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r w14:paraId="649B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30716A68">
            <w:pPr>
              <w:spacing w:line="240" w:lineRule="auto"/>
              <w:ind w:firstLine="0" w:firstLineChars="0"/>
              <w:jc w:val="center"/>
              <w:rPr>
                <w:rFonts w:hint="default" w:ascii="Times New Roman" w:hAnsi="Times New Roman" w:cs="Times New Roman"/>
                <w:color w:val="auto"/>
                <w:sz w:val="21"/>
                <w:szCs w:val="21"/>
                <w:highlight w:val="none"/>
              </w:rPr>
            </w:pPr>
          </w:p>
        </w:tc>
        <w:tc>
          <w:tcPr>
            <w:tcW w:w="3023" w:type="dxa"/>
            <w:vMerge w:val="continue"/>
            <w:tcBorders>
              <w:tl2br w:val="nil"/>
              <w:tr2bl w:val="nil"/>
            </w:tcBorders>
            <w:vAlign w:val="center"/>
          </w:tcPr>
          <w:p w14:paraId="2457102A">
            <w:pPr>
              <w:spacing w:line="240" w:lineRule="auto"/>
              <w:ind w:firstLine="0" w:firstLineChars="0"/>
              <w:jc w:val="center"/>
              <w:rPr>
                <w:rFonts w:hint="default" w:ascii="Times New Roman" w:hAnsi="Times New Roman" w:cs="Times New Roman"/>
                <w:color w:val="auto"/>
                <w:sz w:val="21"/>
                <w:szCs w:val="21"/>
                <w:highlight w:val="none"/>
                <w:lang w:eastAsia="zh-CN"/>
              </w:rPr>
            </w:pPr>
          </w:p>
        </w:tc>
        <w:tc>
          <w:tcPr>
            <w:tcW w:w="2408" w:type="dxa"/>
            <w:tcBorders>
              <w:tl2br w:val="nil"/>
              <w:tr2bl w:val="nil"/>
            </w:tcBorders>
            <w:vAlign w:val="center"/>
          </w:tcPr>
          <w:p w14:paraId="4DA191E6">
            <w:pPr>
              <w:spacing w:line="240" w:lineRule="auto"/>
              <w:ind w:firstLine="0" w:firstLineChars="0"/>
              <w:jc w:val="center"/>
              <w:rPr>
                <w:rFonts w:hint="default" w:ascii="Times New Roman" w:hAnsi="Times New Roman" w:cs="Times New Roman"/>
                <w:color w:val="auto"/>
                <w:spacing w:val="-1"/>
                <w:sz w:val="21"/>
                <w:szCs w:val="21"/>
                <w:highlight w:val="none"/>
                <w:lang w:val="en-US" w:eastAsia="zh-CN"/>
              </w:rPr>
            </w:pPr>
            <w:r>
              <w:rPr>
                <w:rFonts w:hint="eastAsia" w:cs="Times New Roman"/>
                <w:color w:val="auto"/>
                <w:spacing w:val="-1"/>
                <w:sz w:val="21"/>
                <w:szCs w:val="21"/>
                <w:highlight w:val="none"/>
                <w:lang w:val="en-US" w:eastAsia="zh-CN"/>
              </w:rPr>
              <w:t>日平均</w:t>
            </w:r>
          </w:p>
        </w:tc>
        <w:tc>
          <w:tcPr>
            <w:tcW w:w="1515" w:type="dxa"/>
            <w:tcBorders>
              <w:tl2br w:val="nil"/>
              <w:tr2bl w:val="nil"/>
            </w:tcBorders>
            <w:vAlign w:val="center"/>
          </w:tcPr>
          <w:p w14:paraId="00E639C1">
            <w:pPr>
              <w:spacing w:line="240" w:lineRule="auto"/>
              <w:ind w:firstLine="0" w:firstLineChars="0"/>
              <w:jc w:val="center"/>
              <w:rPr>
                <w:rFonts w:hint="default" w:ascii="Times New Roman" w:hAnsi="Times New Roman" w:cs="Times New Roman"/>
                <w:color w:val="auto"/>
                <w:spacing w:val="-1"/>
                <w:sz w:val="21"/>
                <w:szCs w:val="21"/>
                <w:highlight w:val="none"/>
                <w:lang w:val="en-US" w:eastAsia="zh-CN"/>
              </w:rPr>
            </w:pPr>
            <w:r>
              <w:rPr>
                <w:rFonts w:hint="default" w:ascii="Times New Roman" w:hAnsi="Times New Roman" w:cs="Times New Roman"/>
                <w:color w:val="auto"/>
                <w:spacing w:val="-1"/>
                <w:sz w:val="21"/>
                <w:szCs w:val="21"/>
                <w:highlight w:val="none"/>
                <w:lang w:val="en-US" w:eastAsia="zh-CN"/>
              </w:rPr>
              <w:t>7</w:t>
            </w:r>
          </w:p>
        </w:tc>
        <w:tc>
          <w:tcPr>
            <w:tcW w:w="843" w:type="dxa"/>
            <w:vMerge w:val="continue"/>
            <w:tcBorders>
              <w:tl2br w:val="nil"/>
              <w:tr2bl w:val="nil"/>
            </w:tcBorders>
            <w:vAlign w:val="center"/>
          </w:tcPr>
          <w:p w14:paraId="373BA5D1">
            <w:pPr>
              <w:spacing w:line="240" w:lineRule="auto"/>
              <w:ind w:firstLine="0" w:firstLineChars="0"/>
              <w:jc w:val="center"/>
              <w:rPr>
                <w:rFonts w:hint="default" w:ascii="Times New Roman" w:hAnsi="Times New Roman" w:cs="Times New Roman"/>
                <w:color w:val="auto"/>
                <w:spacing w:val="-1"/>
                <w:sz w:val="21"/>
                <w:szCs w:val="21"/>
                <w:highlight w:val="none"/>
              </w:rPr>
            </w:pPr>
          </w:p>
        </w:tc>
      </w:tr>
      <w:tr w14:paraId="5A2D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restart"/>
            <w:tcBorders>
              <w:tl2br w:val="nil"/>
              <w:tr2bl w:val="nil"/>
            </w:tcBorders>
            <w:vAlign w:val="center"/>
          </w:tcPr>
          <w:p w14:paraId="001958BB">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w:t>
            </w:r>
          </w:p>
        </w:tc>
        <w:tc>
          <w:tcPr>
            <w:tcW w:w="3023" w:type="dxa"/>
            <w:vMerge w:val="restart"/>
            <w:tcBorders>
              <w:tl2br w:val="nil"/>
              <w:tr2bl w:val="nil"/>
            </w:tcBorders>
            <w:vAlign w:val="center"/>
          </w:tcPr>
          <w:p w14:paraId="4877FEB5">
            <w:pPr>
              <w:pStyle w:val="17"/>
              <w:bidi w:val="0"/>
              <w:spacing w:line="240" w:lineRule="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硫酸雾</w:t>
            </w:r>
          </w:p>
        </w:tc>
        <w:tc>
          <w:tcPr>
            <w:tcW w:w="2408" w:type="dxa"/>
            <w:tcBorders>
              <w:tl2br w:val="nil"/>
              <w:tr2bl w:val="nil"/>
            </w:tcBorders>
            <w:vAlign w:val="center"/>
          </w:tcPr>
          <w:p w14:paraId="525BA59E">
            <w:pPr>
              <w:pStyle w:val="17"/>
              <w:bidi w:val="0"/>
              <w:spacing w:line="24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1h平均</w:t>
            </w:r>
          </w:p>
        </w:tc>
        <w:tc>
          <w:tcPr>
            <w:tcW w:w="1515" w:type="dxa"/>
            <w:tcBorders>
              <w:tl2br w:val="nil"/>
              <w:tr2bl w:val="nil"/>
            </w:tcBorders>
            <w:vAlign w:val="center"/>
          </w:tcPr>
          <w:p w14:paraId="3D3C86D7">
            <w:pPr>
              <w:pStyle w:val="17"/>
              <w:bidi w:val="0"/>
              <w:spacing w:line="24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300</w:t>
            </w:r>
          </w:p>
        </w:tc>
        <w:tc>
          <w:tcPr>
            <w:tcW w:w="843" w:type="dxa"/>
            <w:tcBorders>
              <w:tl2br w:val="nil"/>
              <w:tr2bl w:val="nil"/>
            </w:tcBorders>
            <w:vAlign w:val="center"/>
          </w:tcPr>
          <w:p w14:paraId="56451E40">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r w14:paraId="2530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27" w:type="dxa"/>
            <w:vMerge w:val="continue"/>
            <w:tcBorders>
              <w:tl2br w:val="nil"/>
              <w:tr2bl w:val="nil"/>
            </w:tcBorders>
            <w:vAlign w:val="center"/>
          </w:tcPr>
          <w:p w14:paraId="4E1B81F6">
            <w:pPr>
              <w:spacing w:line="240" w:lineRule="auto"/>
              <w:ind w:firstLine="0" w:firstLineChars="0"/>
              <w:jc w:val="center"/>
              <w:rPr>
                <w:rFonts w:hint="default" w:ascii="Times New Roman" w:hAnsi="Times New Roman" w:cs="Times New Roman"/>
                <w:color w:val="auto"/>
                <w:sz w:val="21"/>
                <w:szCs w:val="21"/>
                <w:highlight w:val="none"/>
                <w:lang w:val="en-US" w:eastAsia="zh-CN"/>
              </w:rPr>
            </w:pPr>
          </w:p>
        </w:tc>
        <w:tc>
          <w:tcPr>
            <w:tcW w:w="3023" w:type="dxa"/>
            <w:vMerge w:val="continue"/>
            <w:tcBorders>
              <w:tl2br w:val="nil"/>
              <w:tr2bl w:val="nil"/>
            </w:tcBorders>
            <w:vAlign w:val="center"/>
          </w:tcPr>
          <w:p w14:paraId="1AF015B3">
            <w:pPr>
              <w:pStyle w:val="17"/>
              <w:bidi w:val="0"/>
              <w:spacing w:line="240" w:lineRule="auto"/>
              <w:rPr>
                <w:rFonts w:hint="default" w:ascii="Times New Roman" w:hAnsi="Times New Roman" w:cs="Times New Roman"/>
                <w:color w:val="auto"/>
                <w:highlight w:val="none"/>
                <w:lang w:val="en-US" w:eastAsia="zh-CN"/>
              </w:rPr>
            </w:pPr>
          </w:p>
        </w:tc>
        <w:tc>
          <w:tcPr>
            <w:tcW w:w="2408" w:type="dxa"/>
            <w:tcBorders>
              <w:tl2br w:val="nil"/>
              <w:tr2bl w:val="nil"/>
            </w:tcBorders>
            <w:vAlign w:val="center"/>
          </w:tcPr>
          <w:p w14:paraId="4A4D8275">
            <w:pPr>
              <w:pStyle w:val="17"/>
              <w:bidi w:val="0"/>
              <w:spacing w:line="240" w:lineRule="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日平均</w:t>
            </w:r>
          </w:p>
        </w:tc>
        <w:tc>
          <w:tcPr>
            <w:tcW w:w="1515" w:type="dxa"/>
            <w:tcBorders>
              <w:tl2br w:val="nil"/>
              <w:tr2bl w:val="nil"/>
            </w:tcBorders>
            <w:vAlign w:val="center"/>
          </w:tcPr>
          <w:p w14:paraId="230ADC86">
            <w:pPr>
              <w:pStyle w:val="17"/>
              <w:bidi w:val="0"/>
              <w:spacing w:line="240" w:lineRule="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100</w:t>
            </w:r>
          </w:p>
        </w:tc>
        <w:tc>
          <w:tcPr>
            <w:tcW w:w="843" w:type="dxa"/>
            <w:tcBorders>
              <w:tl2br w:val="nil"/>
              <w:tr2bl w:val="nil"/>
            </w:tcBorders>
            <w:vAlign w:val="center"/>
          </w:tcPr>
          <w:p w14:paraId="0DCF08C3">
            <w:pPr>
              <w:spacing w:line="240" w:lineRule="auto"/>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μg/m</w:t>
            </w:r>
            <w:r>
              <w:rPr>
                <w:rFonts w:hint="default" w:ascii="Times New Roman" w:hAnsi="Times New Roman" w:cs="Times New Roman"/>
                <w:color w:val="auto"/>
                <w:spacing w:val="-1"/>
                <w:sz w:val="21"/>
                <w:szCs w:val="21"/>
                <w:highlight w:val="none"/>
                <w:vertAlign w:val="superscript"/>
              </w:rPr>
              <w:t>3</w:t>
            </w:r>
          </w:p>
        </w:tc>
      </w:tr>
    </w:tbl>
    <w:p w14:paraId="6B6BCDBE">
      <w:pPr>
        <w:overflowPunct w:val="0"/>
        <w:topLinePunct/>
        <w:adjustRightInd/>
        <w:ind w:firstLine="476" w:firstLineChars="200"/>
        <w:rPr>
          <w:rFonts w:hint="default" w:ascii="Times New Roman" w:hAnsi="Times New Roman" w:cs="Times New Roman"/>
          <w:color w:val="auto"/>
          <w:spacing w:val="-1"/>
          <w:highlight w:val="none"/>
        </w:rPr>
      </w:pPr>
      <w:r>
        <w:rPr>
          <w:rFonts w:hint="default" w:ascii="Times New Roman" w:hAnsi="Times New Roman" w:cs="Times New Roman"/>
          <w:color w:val="auto"/>
          <w:spacing w:val="-1"/>
          <w:highlight w:val="none"/>
        </w:rPr>
        <w:t>（2）地表水环境</w:t>
      </w:r>
    </w:p>
    <w:p w14:paraId="4682D5E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按照《地表水环境质量标准》（GB3838-2002），本项目选矿厂</w:t>
      </w:r>
      <w:r>
        <w:rPr>
          <w:rFonts w:hint="default" w:ascii="Times New Roman" w:hAnsi="Times New Roman" w:cs="Times New Roman"/>
          <w:color w:val="auto"/>
          <w:highlight w:val="none"/>
          <w:lang w:eastAsia="zh-CN"/>
        </w:rPr>
        <w:t>西</w:t>
      </w:r>
      <w:r>
        <w:rPr>
          <w:rFonts w:hint="default" w:ascii="Times New Roman" w:hAnsi="Times New Roman" w:cs="Times New Roman"/>
          <w:color w:val="auto"/>
          <w:highlight w:val="none"/>
        </w:rPr>
        <w:t>侧约</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km处为</w:t>
      </w:r>
      <w:r>
        <w:rPr>
          <w:rFonts w:hint="default" w:ascii="Times New Roman" w:hAnsi="Times New Roman" w:cs="Times New Roman"/>
          <w:color w:val="auto"/>
          <w:highlight w:val="none"/>
          <w:lang w:eastAsia="zh-CN"/>
        </w:rPr>
        <w:t>阿克苏</w:t>
      </w:r>
      <w:r>
        <w:rPr>
          <w:rFonts w:hint="default" w:ascii="Times New Roman" w:hAnsi="Times New Roman" w:cs="Times New Roman"/>
          <w:color w:val="auto"/>
          <w:highlight w:val="none"/>
        </w:rPr>
        <w:t>河，地表水环境功能区划属</w:t>
      </w:r>
      <w:r>
        <w:rPr>
          <w:rFonts w:hint="default" w:ascii="Times New Roman" w:hAnsi="Times New Roman" w:cs="Times New Roman"/>
          <w:color w:val="auto"/>
          <w:highlight w:val="none"/>
          <w:lang w:eastAsia="zh-CN"/>
        </w:rPr>
        <w:t>I</w:t>
      </w:r>
      <w:r>
        <w:rPr>
          <w:rFonts w:hint="default" w:ascii="Times New Roman" w:hAnsi="Times New Roman" w:cs="Times New Roman"/>
          <w:color w:val="auto"/>
          <w:highlight w:val="none"/>
        </w:rPr>
        <w:t>类功能区；执行《地表水环境质量标准》（GB3838-2002）</w:t>
      </w:r>
      <w:r>
        <w:rPr>
          <w:rFonts w:hint="default" w:ascii="Times New Roman" w:hAnsi="Times New Roman" w:cs="Times New Roman"/>
          <w:color w:val="auto"/>
          <w:highlight w:val="none"/>
          <w:lang w:eastAsia="zh-CN"/>
        </w:rPr>
        <w:t>I</w:t>
      </w:r>
      <w:r>
        <w:rPr>
          <w:rFonts w:hint="default" w:ascii="Times New Roman" w:hAnsi="Times New Roman" w:cs="Times New Roman"/>
          <w:color w:val="auto"/>
          <w:highlight w:val="none"/>
        </w:rPr>
        <w:t>类标准。标准限值见下表。</w:t>
      </w:r>
    </w:p>
    <w:p w14:paraId="5BBAFD9B">
      <w:pPr>
        <w:pStyle w:val="19"/>
        <w:widowControl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zh-CN"/>
        </w:rPr>
        <w:t>表</w:t>
      </w: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zh-CN"/>
        </w:rPr>
        <w:t>.</w:t>
      </w:r>
      <w:r>
        <w:rPr>
          <w:rFonts w:hint="default" w:ascii="Times New Roman" w:hAnsi="Times New Roman" w:cs="Times New Roman"/>
          <w:color w:val="auto"/>
          <w:highlight w:val="none"/>
        </w:rPr>
        <w:t>5-2</w:t>
      </w:r>
      <w:r>
        <w:rPr>
          <w:rFonts w:hint="default" w:ascii="Times New Roman" w:hAnsi="Times New Roman" w:cs="Times New Roman"/>
          <w:color w:val="auto"/>
          <w:highlight w:val="none"/>
          <w:lang w:val="zh-CN"/>
        </w:rPr>
        <w:t xml:space="preserve">    《</w:t>
      </w:r>
      <w:r>
        <w:rPr>
          <w:rFonts w:hint="default" w:ascii="Times New Roman" w:hAnsi="Times New Roman" w:cs="Times New Roman"/>
          <w:color w:val="auto"/>
          <w:highlight w:val="none"/>
        </w:rPr>
        <w:t>地表水环境质量标准</w:t>
      </w:r>
      <w:r>
        <w:rPr>
          <w:rFonts w:hint="default" w:ascii="Times New Roman" w:hAnsi="Times New Roman" w:cs="Times New Roman"/>
          <w:color w:val="auto"/>
          <w:highlight w:val="none"/>
          <w:lang w:val="zh-CN"/>
        </w:rPr>
        <w:t>》（</w:t>
      </w:r>
      <w:r>
        <w:rPr>
          <w:rFonts w:hint="default" w:ascii="Times New Roman" w:hAnsi="Times New Roman" w:cs="Times New Roman"/>
          <w:color w:val="auto"/>
          <w:highlight w:val="none"/>
        </w:rPr>
        <w:t>部分</w:t>
      </w:r>
      <w:r>
        <w:rPr>
          <w:rFonts w:hint="default" w:ascii="Times New Roman" w:hAnsi="Times New Roman" w:cs="Times New Roman"/>
          <w:color w:val="auto"/>
          <w:highlight w:val="none"/>
          <w:lang w:val="zh-CN"/>
        </w:rPr>
        <w:t>）</w:t>
      </w:r>
    </w:p>
    <w:tbl>
      <w:tblPr>
        <w:tblStyle w:val="13"/>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2"/>
        <w:gridCol w:w="2429"/>
        <w:gridCol w:w="1286"/>
        <w:gridCol w:w="2296"/>
      </w:tblGrid>
      <w:tr w14:paraId="11C2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502" w:type="dxa"/>
            <w:tcBorders>
              <w:tl2br w:val="nil"/>
              <w:tr2bl w:val="nil"/>
            </w:tcBorders>
            <w:vAlign w:val="center"/>
          </w:tcPr>
          <w:p w14:paraId="4EBA612C">
            <w:pPr>
              <w:tabs>
                <w:tab w:val="left" w:pos="1080"/>
                <w:tab w:val="left" w:pos="6090"/>
              </w:tabs>
              <w:snapToGrid w:val="0"/>
              <w:spacing w:line="240" w:lineRule="auto"/>
              <w:ind w:firstLine="0" w:firstLineChars="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执行标准</w:t>
            </w:r>
          </w:p>
        </w:tc>
        <w:tc>
          <w:tcPr>
            <w:tcW w:w="2429" w:type="dxa"/>
            <w:tcBorders>
              <w:tl2br w:val="nil"/>
              <w:tr2bl w:val="nil"/>
            </w:tcBorders>
            <w:vAlign w:val="center"/>
          </w:tcPr>
          <w:p w14:paraId="0474E7B4">
            <w:pPr>
              <w:tabs>
                <w:tab w:val="left" w:pos="1080"/>
                <w:tab w:val="left" w:pos="6090"/>
              </w:tabs>
              <w:snapToGrid w:val="0"/>
              <w:spacing w:line="240" w:lineRule="auto"/>
              <w:ind w:firstLine="0" w:firstLineChars="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项目</w:t>
            </w:r>
          </w:p>
        </w:tc>
        <w:tc>
          <w:tcPr>
            <w:tcW w:w="1286" w:type="dxa"/>
            <w:tcBorders>
              <w:tl2br w:val="nil"/>
              <w:tr2bl w:val="nil"/>
            </w:tcBorders>
            <w:vAlign w:val="center"/>
          </w:tcPr>
          <w:p w14:paraId="782ECD17">
            <w:pPr>
              <w:tabs>
                <w:tab w:val="left" w:pos="1080"/>
                <w:tab w:val="left" w:pos="6090"/>
              </w:tabs>
              <w:snapToGrid w:val="0"/>
              <w:spacing w:line="240" w:lineRule="auto"/>
              <w:ind w:firstLine="0" w:firstLineChars="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单位</w:t>
            </w:r>
          </w:p>
        </w:tc>
        <w:tc>
          <w:tcPr>
            <w:tcW w:w="2296" w:type="dxa"/>
            <w:tcBorders>
              <w:tl2br w:val="nil"/>
              <w:tr2bl w:val="nil"/>
            </w:tcBorders>
            <w:vAlign w:val="center"/>
          </w:tcPr>
          <w:p w14:paraId="6134B8A0">
            <w:pPr>
              <w:tabs>
                <w:tab w:val="left" w:pos="1080"/>
                <w:tab w:val="left" w:pos="6090"/>
              </w:tabs>
              <w:snapToGrid w:val="0"/>
              <w:spacing w:line="240" w:lineRule="auto"/>
              <w:ind w:firstLine="0" w:firstLineChars="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限值</w:t>
            </w:r>
          </w:p>
        </w:tc>
      </w:tr>
      <w:tr w14:paraId="7CE9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restart"/>
            <w:tcBorders>
              <w:tl2br w:val="nil"/>
              <w:tr2bl w:val="nil"/>
            </w:tcBorders>
            <w:vAlign w:val="center"/>
          </w:tcPr>
          <w:p w14:paraId="3D61D11B">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《地表水环境质量标准》（GB3838-2002）</w:t>
            </w:r>
            <w:r>
              <w:rPr>
                <w:rFonts w:hint="default" w:ascii="Times New Roman" w:hAnsi="Times New Roman" w:cs="Times New Roman"/>
                <w:bCs/>
                <w:color w:val="auto"/>
                <w:kern w:val="0"/>
                <w:sz w:val="21"/>
                <w:szCs w:val="21"/>
                <w:highlight w:val="none"/>
                <w:lang w:eastAsia="zh-CN"/>
              </w:rPr>
              <w:t>I</w:t>
            </w:r>
            <w:r>
              <w:rPr>
                <w:rFonts w:hint="default" w:ascii="Times New Roman" w:hAnsi="Times New Roman" w:cs="Times New Roman"/>
                <w:bCs/>
                <w:color w:val="auto"/>
                <w:kern w:val="0"/>
                <w:sz w:val="21"/>
                <w:szCs w:val="21"/>
                <w:highlight w:val="none"/>
              </w:rPr>
              <w:t>类标准</w:t>
            </w:r>
          </w:p>
        </w:tc>
        <w:tc>
          <w:tcPr>
            <w:tcW w:w="2429" w:type="dxa"/>
            <w:tcBorders>
              <w:tl2br w:val="nil"/>
              <w:tr2bl w:val="nil"/>
            </w:tcBorders>
            <w:vAlign w:val="center"/>
          </w:tcPr>
          <w:p w14:paraId="7526B1C6">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pH</w:t>
            </w:r>
          </w:p>
        </w:tc>
        <w:tc>
          <w:tcPr>
            <w:tcW w:w="1286" w:type="dxa"/>
            <w:tcBorders>
              <w:tl2br w:val="nil"/>
              <w:tr2bl w:val="nil"/>
            </w:tcBorders>
            <w:vAlign w:val="center"/>
          </w:tcPr>
          <w:p w14:paraId="4635DE92">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无量纲</w:t>
            </w:r>
          </w:p>
        </w:tc>
        <w:tc>
          <w:tcPr>
            <w:tcW w:w="2296" w:type="dxa"/>
            <w:tcBorders>
              <w:tl2br w:val="nil"/>
              <w:tr2bl w:val="nil"/>
            </w:tcBorders>
            <w:vAlign w:val="center"/>
          </w:tcPr>
          <w:p w14:paraId="374E08C9">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6</w:t>
            </w:r>
            <w:r>
              <w:rPr>
                <w:rFonts w:hint="eastAsia" w:ascii="Times New Roman" w:hAnsi="Times New Roman" w:cs="Times New Roman"/>
                <w:bCs/>
                <w:color w:val="auto"/>
                <w:kern w:val="0"/>
                <w:sz w:val="21"/>
                <w:szCs w:val="21"/>
                <w:highlight w:val="none"/>
                <w:lang w:eastAsia="zh-CN"/>
              </w:rPr>
              <w:t>~</w:t>
            </w:r>
            <w:r>
              <w:rPr>
                <w:rFonts w:hint="default" w:ascii="Times New Roman" w:hAnsi="Times New Roman" w:cs="Times New Roman"/>
                <w:bCs/>
                <w:color w:val="auto"/>
                <w:kern w:val="0"/>
                <w:sz w:val="21"/>
                <w:szCs w:val="21"/>
                <w:highlight w:val="none"/>
              </w:rPr>
              <w:t>9</w:t>
            </w:r>
          </w:p>
        </w:tc>
      </w:tr>
      <w:tr w14:paraId="4232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2556B789">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6F53641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高锰酸盐指数</w:t>
            </w:r>
          </w:p>
        </w:tc>
        <w:tc>
          <w:tcPr>
            <w:tcW w:w="1286" w:type="dxa"/>
            <w:vMerge w:val="restart"/>
            <w:tcBorders>
              <w:tl2br w:val="nil"/>
              <w:tr2bl w:val="nil"/>
            </w:tcBorders>
            <w:vAlign w:val="center"/>
          </w:tcPr>
          <w:p w14:paraId="055787C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mg/L</w:t>
            </w:r>
          </w:p>
        </w:tc>
        <w:tc>
          <w:tcPr>
            <w:tcW w:w="2296" w:type="dxa"/>
            <w:tcBorders>
              <w:tl2br w:val="nil"/>
              <w:tr2bl w:val="nil"/>
            </w:tcBorders>
            <w:vAlign w:val="center"/>
          </w:tcPr>
          <w:p w14:paraId="2B9AE3B2">
            <w:pPr>
              <w:tabs>
                <w:tab w:val="left" w:pos="1080"/>
                <w:tab w:val="left" w:pos="6090"/>
              </w:tabs>
              <w:snapToGrid w:val="0"/>
              <w:spacing w:line="240" w:lineRule="auto"/>
              <w:ind w:firstLine="0" w:firstLineChars="0"/>
              <w:jc w:val="center"/>
              <w:rPr>
                <w:rFonts w:hint="default" w:ascii="Times New Roman" w:hAnsi="Times New Roman" w:eastAsia="宋体" w:cs="Times New Roman"/>
                <w:bCs/>
                <w:color w:val="auto"/>
                <w:kern w:val="0"/>
                <w:sz w:val="21"/>
                <w:szCs w:val="21"/>
                <w:highlight w:val="none"/>
                <w:lang w:eastAsia="zh-CN"/>
              </w:rPr>
            </w:pPr>
            <w:r>
              <w:rPr>
                <w:rFonts w:hint="default" w:ascii="Times New Roman" w:hAnsi="Times New Roman" w:cs="Times New Roman"/>
                <w:bCs/>
                <w:color w:val="auto"/>
                <w:kern w:val="0"/>
                <w:sz w:val="21"/>
                <w:szCs w:val="21"/>
                <w:highlight w:val="none"/>
                <w:lang w:val="en-US" w:eastAsia="zh-CN"/>
              </w:rPr>
              <w:t>2</w:t>
            </w:r>
          </w:p>
        </w:tc>
      </w:tr>
      <w:tr w14:paraId="7A64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0457F4DA">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689FFFE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化学需氧量</w:t>
            </w:r>
          </w:p>
        </w:tc>
        <w:tc>
          <w:tcPr>
            <w:tcW w:w="1286" w:type="dxa"/>
            <w:vMerge w:val="continue"/>
            <w:tcBorders>
              <w:tl2br w:val="nil"/>
              <w:tr2bl w:val="nil"/>
            </w:tcBorders>
            <w:vAlign w:val="center"/>
          </w:tcPr>
          <w:p w14:paraId="37B1EE29">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71D00DFE">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15</w:t>
            </w:r>
          </w:p>
        </w:tc>
      </w:tr>
      <w:tr w14:paraId="2058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1AC7C24D">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54C06310">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五日生化需氧量</w:t>
            </w:r>
          </w:p>
        </w:tc>
        <w:tc>
          <w:tcPr>
            <w:tcW w:w="1286" w:type="dxa"/>
            <w:vMerge w:val="continue"/>
            <w:tcBorders>
              <w:tl2br w:val="nil"/>
              <w:tr2bl w:val="nil"/>
            </w:tcBorders>
            <w:vAlign w:val="center"/>
          </w:tcPr>
          <w:p w14:paraId="5793985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1CB7824D">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3</w:t>
            </w:r>
          </w:p>
        </w:tc>
      </w:tr>
      <w:tr w14:paraId="55EA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38FE4CD4">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757F43A0">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氨氮</w:t>
            </w:r>
          </w:p>
        </w:tc>
        <w:tc>
          <w:tcPr>
            <w:tcW w:w="1286" w:type="dxa"/>
            <w:vMerge w:val="continue"/>
            <w:tcBorders>
              <w:tl2br w:val="nil"/>
              <w:tr2bl w:val="nil"/>
            </w:tcBorders>
            <w:vAlign w:val="center"/>
          </w:tcPr>
          <w:p w14:paraId="1FC965D5">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58A6E090">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0.15</w:t>
            </w:r>
          </w:p>
        </w:tc>
      </w:tr>
      <w:tr w14:paraId="729D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217A617E">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2EF7EED6">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总磷</w:t>
            </w:r>
          </w:p>
        </w:tc>
        <w:tc>
          <w:tcPr>
            <w:tcW w:w="1286" w:type="dxa"/>
            <w:vMerge w:val="continue"/>
            <w:tcBorders>
              <w:tl2br w:val="nil"/>
              <w:tr2bl w:val="nil"/>
            </w:tcBorders>
            <w:vAlign w:val="center"/>
          </w:tcPr>
          <w:p w14:paraId="6AE4DCA2">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6F0B1D9B">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0.02</w:t>
            </w:r>
          </w:p>
        </w:tc>
      </w:tr>
      <w:tr w14:paraId="1E14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70DC28F3">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0892F944">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总氮</w:t>
            </w:r>
          </w:p>
        </w:tc>
        <w:tc>
          <w:tcPr>
            <w:tcW w:w="1286" w:type="dxa"/>
            <w:vMerge w:val="continue"/>
            <w:tcBorders>
              <w:tl2br w:val="nil"/>
              <w:tr2bl w:val="nil"/>
            </w:tcBorders>
            <w:vAlign w:val="center"/>
          </w:tcPr>
          <w:p w14:paraId="66113338">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27726F95">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0.2</w:t>
            </w:r>
          </w:p>
        </w:tc>
      </w:tr>
      <w:tr w14:paraId="0495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1A545D00">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75D00380">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铜</w:t>
            </w:r>
          </w:p>
        </w:tc>
        <w:tc>
          <w:tcPr>
            <w:tcW w:w="1286" w:type="dxa"/>
            <w:vMerge w:val="continue"/>
            <w:tcBorders>
              <w:tl2br w:val="nil"/>
              <w:tr2bl w:val="nil"/>
            </w:tcBorders>
            <w:vAlign w:val="center"/>
          </w:tcPr>
          <w:p w14:paraId="59842F91">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7C43666F">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0.01</w:t>
            </w:r>
          </w:p>
        </w:tc>
      </w:tr>
      <w:tr w14:paraId="3959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08952D0D">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120DF1A4">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锌</w:t>
            </w:r>
          </w:p>
        </w:tc>
        <w:tc>
          <w:tcPr>
            <w:tcW w:w="1286" w:type="dxa"/>
            <w:vMerge w:val="continue"/>
            <w:tcBorders>
              <w:tl2br w:val="nil"/>
              <w:tr2bl w:val="nil"/>
            </w:tcBorders>
            <w:vAlign w:val="center"/>
          </w:tcPr>
          <w:p w14:paraId="7AF14168">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3544FACA">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0.05</w:t>
            </w:r>
          </w:p>
        </w:tc>
      </w:tr>
      <w:tr w14:paraId="5092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10B1DF02">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2E542327">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氟化物</w:t>
            </w:r>
          </w:p>
        </w:tc>
        <w:tc>
          <w:tcPr>
            <w:tcW w:w="1286" w:type="dxa"/>
            <w:vMerge w:val="continue"/>
            <w:tcBorders>
              <w:tl2br w:val="nil"/>
              <w:tr2bl w:val="nil"/>
            </w:tcBorders>
            <w:vAlign w:val="center"/>
          </w:tcPr>
          <w:p w14:paraId="1C54335D">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40A3CD5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1.0</w:t>
            </w:r>
          </w:p>
        </w:tc>
      </w:tr>
      <w:tr w14:paraId="43BE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0508BDE5">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3FB4B25B">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硒</w:t>
            </w:r>
          </w:p>
        </w:tc>
        <w:tc>
          <w:tcPr>
            <w:tcW w:w="1286" w:type="dxa"/>
            <w:vMerge w:val="continue"/>
            <w:tcBorders>
              <w:tl2br w:val="nil"/>
              <w:tr2bl w:val="nil"/>
            </w:tcBorders>
            <w:vAlign w:val="center"/>
          </w:tcPr>
          <w:p w14:paraId="611B60C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758275F1">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0.01</w:t>
            </w:r>
          </w:p>
        </w:tc>
      </w:tr>
      <w:tr w14:paraId="6B23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057B791D">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0DFDE44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砷</w:t>
            </w:r>
          </w:p>
        </w:tc>
        <w:tc>
          <w:tcPr>
            <w:tcW w:w="1286" w:type="dxa"/>
            <w:vMerge w:val="continue"/>
            <w:tcBorders>
              <w:tl2br w:val="nil"/>
              <w:tr2bl w:val="nil"/>
            </w:tcBorders>
            <w:vAlign w:val="center"/>
          </w:tcPr>
          <w:p w14:paraId="2C693DE7">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50C32308">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0.05</w:t>
            </w:r>
          </w:p>
        </w:tc>
      </w:tr>
      <w:tr w14:paraId="2272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23BF9D37">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497A2C17">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汞</w:t>
            </w:r>
          </w:p>
        </w:tc>
        <w:tc>
          <w:tcPr>
            <w:tcW w:w="1286" w:type="dxa"/>
            <w:vMerge w:val="continue"/>
            <w:tcBorders>
              <w:tl2br w:val="nil"/>
              <w:tr2bl w:val="nil"/>
            </w:tcBorders>
            <w:vAlign w:val="center"/>
          </w:tcPr>
          <w:p w14:paraId="32D6D557">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2931C8EA">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0.00005</w:t>
            </w:r>
          </w:p>
        </w:tc>
      </w:tr>
      <w:tr w14:paraId="5CE8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00CE9666">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09CD966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镉</w:t>
            </w:r>
          </w:p>
        </w:tc>
        <w:tc>
          <w:tcPr>
            <w:tcW w:w="1286" w:type="dxa"/>
            <w:vMerge w:val="continue"/>
            <w:tcBorders>
              <w:tl2br w:val="nil"/>
              <w:tr2bl w:val="nil"/>
            </w:tcBorders>
            <w:vAlign w:val="center"/>
          </w:tcPr>
          <w:p w14:paraId="4D0ED82A">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271D3ABD">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0.001</w:t>
            </w:r>
          </w:p>
        </w:tc>
      </w:tr>
      <w:tr w14:paraId="7A8D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3AED52E0">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507BD246">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铬（六价）</w:t>
            </w:r>
          </w:p>
        </w:tc>
        <w:tc>
          <w:tcPr>
            <w:tcW w:w="1286" w:type="dxa"/>
            <w:vMerge w:val="continue"/>
            <w:tcBorders>
              <w:tl2br w:val="nil"/>
              <w:tr2bl w:val="nil"/>
            </w:tcBorders>
            <w:vAlign w:val="center"/>
          </w:tcPr>
          <w:p w14:paraId="306D7F49">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38D036F5">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0.01</w:t>
            </w:r>
          </w:p>
        </w:tc>
      </w:tr>
      <w:tr w14:paraId="4D50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1DE24CD1">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1F70F69D">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铅</w:t>
            </w:r>
          </w:p>
        </w:tc>
        <w:tc>
          <w:tcPr>
            <w:tcW w:w="1286" w:type="dxa"/>
            <w:vMerge w:val="continue"/>
            <w:tcBorders>
              <w:tl2br w:val="nil"/>
              <w:tr2bl w:val="nil"/>
            </w:tcBorders>
            <w:vAlign w:val="center"/>
          </w:tcPr>
          <w:p w14:paraId="019821AB">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3BB912A4">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0.01</w:t>
            </w:r>
          </w:p>
        </w:tc>
      </w:tr>
      <w:tr w14:paraId="7E7B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69C11961">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2B7BD49E">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石油类</w:t>
            </w:r>
          </w:p>
        </w:tc>
        <w:tc>
          <w:tcPr>
            <w:tcW w:w="1286" w:type="dxa"/>
            <w:vMerge w:val="continue"/>
            <w:tcBorders>
              <w:tl2br w:val="nil"/>
              <w:tr2bl w:val="nil"/>
            </w:tcBorders>
            <w:vAlign w:val="center"/>
          </w:tcPr>
          <w:p w14:paraId="2AF9572B">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460B4DCE">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0.05</w:t>
            </w:r>
          </w:p>
        </w:tc>
      </w:tr>
      <w:tr w14:paraId="448E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6124BC9D">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7BA07F61">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粪大肠菌群</w:t>
            </w:r>
          </w:p>
        </w:tc>
        <w:tc>
          <w:tcPr>
            <w:tcW w:w="1286" w:type="dxa"/>
            <w:tcBorders>
              <w:tl2br w:val="nil"/>
              <w:tr2bl w:val="nil"/>
            </w:tcBorders>
            <w:vAlign w:val="center"/>
          </w:tcPr>
          <w:p w14:paraId="62DC86BA">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个/L</w:t>
            </w:r>
          </w:p>
        </w:tc>
        <w:tc>
          <w:tcPr>
            <w:tcW w:w="2296" w:type="dxa"/>
            <w:tcBorders>
              <w:tl2br w:val="nil"/>
              <w:tr2bl w:val="nil"/>
            </w:tcBorders>
            <w:vAlign w:val="center"/>
          </w:tcPr>
          <w:p w14:paraId="09D1E429">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200</w:t>
            </w:r>
          </w:p>
        </w:tc>
      </w:tr>
      <w:tr w14:paraId="3DB3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2A13D2F0">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0C93588B">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硫酸盐</w:t>
            </w:r>
          </w:p>
        </w:tc>
        <w:tc>
          <w:tcPr>
            <w:tcW w:w="1286" w:type="dxa"/>
            <w:vMerge w:val="restart"/>
            <w:tcBorders>
              <w:tl2br w:val="nil"/>
              <w:tr2bl w:val="nil"/>
            </w:tcBorders>
            <w:vAlign w:val="center"/>
          </w:tcPr>
          <w:p w14:paraId="48186BF3">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mg/L</w:t>
            </w:r>
          </w:p>
        </w:tc>
        <w:tc>
          <w:tcPr>
            <w:tcW w:w="2296" w:type="dxa"/>
            <w:tcBorders>
              <w:tl2br w:val="nil"/>
              <w:tr2bl w:val="nil"/>
            </w:tcBorders>
            <w:vAlign w:val="center"/>
          </w:tcPr>
          <w:p w14:paraId="3171F522">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250</w:t>
            </w:r>
          </w:p>
        </w:tc>
      </w:tr>
      <w:tr w14:paraId="7D40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1186C413">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24C6FB7E">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氯化物</w:t>
            </w:r>
          </w:p>
        </w:tc>
        <w:tc>
          <w:tcPr>
            <w:tcW w:w="1286" w:type="dxa"/>
            <w:vMerge w:val="continue"/>
            <w:tcBorders>
              <w:tl2br w:val="nil"/>
              <w:tr2bl w:val="nil"/>
            </w:tcBorders>
            <w:vAlign w:val="center"/>
          </w:tcPr>
          <w:p w14:paraId="08441ACF">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3E5B179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250</w:t>
            </w:r>
          </w:p>
        </w:tc>
      </w:tr>
      <w:tr w14:paraId="3B69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02AE4E92">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0E559062">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硝酸盐</w:t>
            </w:r>
          </w:p>
        </w:tc>
        <w:tc>
          <w:tcPr>
            <w:tcW w:w="1286" w:type="dxa"/>
            <w:vMerge w:val="continue"/>
            <w:tcBorders>
              <w:tl2br w:val="nil"/>
              <w:tr2bl w:val="nil"/>
            </w:tcBorders>
            <w:vAlign w:val="center"/>
          </w:tcPr>
          <w:p w14:paraId="561FA624">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2282C033">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10</w:t>
            </w:r>
          </w:p>
        </w:tc>
      </w:tr>
      <w:tr w14:paraId="45D0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3526F2EB">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662B5AC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铁</w:t>
            </w:r>
          </w:p>
        </w:tc>
        <w:tc>
          <w:tcPr>
            <w:tcW w:w="1286" w:type="dxa"/>
            <w:vMerge w:val="continue"/>
            <w:tcBorders>
              <w:tl2br w:val="nil"/>
              <w:tr2bl w:val="nil"/>
            </w:tcBorders>
            <w:vAlign w:val="center"/>
          </w:tcPr>
          <w:p w14:paraId="2E6E219E">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7AB131DC">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0.3</w:t>
            </w:r>
          </w:p>
        </w:tc>
      </w:tr>
      <w:tr w14:paraId="0A9C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dxa"/>
            <w:vMerge w:val="continue"/>
            <w:tcBorders>
              <w:tl2br w:val="nil"/>
              <w:tr2bl w:val="nil"/>
            </w:tcBorders>
            <w:vAlign w:val="center"/>
          </w:tcPr>
          <w:p w14:paraId="0F4640B7">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429" w:type="dxa"/>
            <w:tcBorders>
              <w:tl2br w:val="nil"/>
              <w:tr2bl w:val="nil"/>
            </w:tcBorders>
            <w:vAlign w:val="center"/>
          </w:tcPr>
          <w:p w14:paraId="12C3CB08">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color w:val="auto"/>
                <w:sz w:val="21"/>
                <w:szCs w:val="21"/>
                <w:highlight w:val="none"/>
              </w:rPr>
              <w:t>锰</w:t>
            </w:r>
          </w:p>
        </w:tc>
        <w:tc>
          <w:tcPr>
            <w:tcW w:w="1286" w:type="dxa"/>
            <w:vMerge w:val="continue"/>
            <w:tcBorders>
              <w:tl2br w:val="nil"/>
              <w:tr2bl w:val="nil"/>
            </w:tcBorders>
            <w:vAlign w:val="center"/>
          </w:tcPr>
          <w:p w14:paraId="7F9D0515">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p>
        </w:tc>
        <w:tc>
          <w:tcPr>
            <w:tcW w:w="2296" w:type="dxa"/>
            <w:tcBorders>
              <w:tl2br w:val="nil"/>
              <w:tr2bl w:val="nil"/>
            </w:tcBorders>
            <w:vAlign w:val="center"/>
          </w:tcPr>
          <w:p w14:paraId="70E66CDB">
            <w:pPr>
              <w:tabs>
                <w:tab w:val="left" w:pos="1080"/>
                <w:tab w:val="left" w:pos="6090"/>
              </w:tabs>
              <w:snapToGrid w:val="0"/>
              <w:spacing w:line="240" w:lineRule="auto"/>
              <w:ind w:firstLine="0" w:firstLineChars="0"/>
              <w:jc w:val="center"/>
              <w:rPr>
                <w:rFonts w:hint="default" w:ascii="Times New Roman" w:hAnsi="Times New Roman" w:cs="Times New Roman"/>
                <w:bCs/>
                <w:color w:val="auto"/>
                <w:kern w:val="0"/>
                <w:sz w:val="21"/>
                <w:szCs w:val="21"/>
                <w:highlight w:val="none"/>
              </w:rPr>
            </w:pPr>
            <w:r>
              <w:rPr>
                <w:rFonts w:hint="default" w:ascii="Times New Roman" w:hAnsi="Times New Roman" w:cs="Times New Roman"/>
                <w:bCs/>
                <w:color w:val="auto"/>
                <w:kern w:val="0"/>
                <w:sz w:val="21"/>
                <w:szCs w:val="21"/>
                <w:highlight w:val="none"/>
              </w:rPr>
              <w:t>0.1</w:t>
            </w:r>
          </w:p>
        </w:tc>
      </w:tr>
    </w:tbl>
    <w:p w14:paraId="5B96B8C6">
      <w:pPr>
        <w:overflowPunct w:val="0"/>
        <w:topLinePunct/>
        <w:adjustRightInd/>
        <w:ind w:firstLine="476" w:firstLineChars="200"/>
        <w:rPr>
          <w:rFonts w:hint="default" w:ascii="Times New Roman" w:hAnsi="Times New Roman" w:cs="Times New Roman"/>
          <w:color w:val="auto"/>
          <w:spacing w:val="-1"/>
          <w:highlight w:val="none"/>
        </w:rPr>
      </w:pPr>
      <w:r>
        <w:rPr>
          <w:rFonts w:hint="default" w:ascii="Times New Roman" w:hAnsi="Times New Roman" w:cs="Times New Roman"/>
          <w:color w:val="auto"/>
          <w:spacing w:val="-1"/>
          <w:highlight w:val="none"/>
        </w:rPr>
        <w:t>（3）地下水环境</w:t>
      </w:r>
    </w:p>
    <w:p w14:paraId="05D03052">
      <w:pPr>
        <w:overflowPunct w:val="0"/>
        <w:topLinePunct/>
        <w:ind w:firstLine="476"/>
        <w:rPr>
          <w:rFonts w:hint="default" w:ascii="Times New Roman" w:hAnsi="Times New Roman" w:cs="Times New Roman"/>
          <w:color w:val="auto"/>
          <w:highlight w:val="none"/>
        </w:rPr>
      </w:pPr>
      <w:r>
        <w:rPr>
          <w:rFonts w:hint="default" w:ascii="Times New Roman" w:hAnsi="Times New Roman" w:cs="Times New Roman"/>
          <w:color w:val="auto"/>
          <w:spacing w:val="-1"/>
          <w:highlight w:val="none"/>
        </w:rPr>
        <w:t>项目区地下水执行《地下水质量标准》（GB/T14848-2017）</w:t>
      </w:r>
      <w:r>
        <w:rPr>
          <w:rFonts w:hint="default" w:ascii="Times New Roman" w:hAnsi="Times New Roman" w:cs="Times New Roman"/>
          <w:color w:val="auto"/>
          <w:spacing w:val="-1"/>
          <w:highlight w:val="none"/>
          <w:lang w:eastAsia="zh-CN"/>
        </w:rPr>
        <w:t>Ⅲ</w:t>
      </w:r>
      <w:r>
        <w:rPr>
          <w:rFonts w:hint="default" w:ascii="Times New Roman" w:hAnsi="Times New Roman" w:cs="Times New Roman"/>
          <w:color w:val="auto"/>
          <w:spacing w:val="-1"/>
          <w:highlight w:val="none"/>
        </w:rPr>
        <w:t>类标准。具体标准值见表2.5-3。</w:t>
      </w:r>
    </w:p>
    <w:p w14:paraId="433E0BEE">
      <w:pPr>
        <w:pStyle w:val="19"/>
        <w:widowControl w:val="0"/>
        <w:rPr>
          <w:rFonts w:hint="default" w:ascii="Times New Roman" w:hAnsi="Times New Roman" w:cs="Times New Roman"/>
          <w:color w:val="auto"/>
          <w:highlight w:val="none"/>
          <w:lang w:val="zh-CN"/>
        </w:rPr>
      </w:pPr>
      <w:r>
        <w:rPr>
          <w:rFonts w:hint="default" w:ascii="Times New Roman" w:hAnsi="Times New Roman" w:cs="Times New Roman"/>
          <w:color w:val="auto"/>
          <w:highlight w:val="none"/>
          <w:lang w:val="zh-CN"/>
        </w:rPr>
        <w:t>表</w:t>
      </w: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zh-CN"/>
        </w:rPr>
        <w:t>.</w:t>
      </w:r>
      <w:r>
        <w:rPr>
          <w:rFonts w:hint="default" w:ascii="Times New Roman" w:hAnsi="Times New Roman" w:cs="Times New Roman"/>
          <w:color w:val="auto"/>
          <w:highlight w:val="none"/>
        </w:rPr>
        <w:t>5-3</w:t>
      </w:r>
      <w:r>
        <w:rPr>
          <w:rFonts w:hint="default" w:ascii="Times New Roman" w:hAnsi="Times New Roman" w:cs="Times New Roman"/>
          <w:color w:val="auto"/>
          <w:highlight w:val="none"/>
          <w:lang w:val="zh-CN"/>
        </w:rPr>
        <w:t xml:space="preserve">    《地下水质量标准》（</w:t>
      </w:r>
      <w:r>
        <w:rPr>
          <w:rFonts w:hint="default" w:ascii="Times New Roman" w:hAnsi="Times New Roman" w:cs="Times New Roman"/>
          <w:color w:val="auto"/>
          <w:highlight w:val="none"/>
        </w:rPr>
        <w:t>部分</w:t>
      </w:r>
      <w:r>
        <w:rPr>
          <w:rFonts w:hint="default" w:ascii="Times New Roman" w:hAnsi="Times New Roman" w:cs="Times New Roman"/>
          <w:color w:val="auto"/>
          <w:highlight w:val="none"/>
          <w:lang w:val="zh-CN"/>
        </w:rPr>
        <w:t>）</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单位：mg/L</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3575"/>
        <w:gridCol w:w="2839"/>
      </w:tblGrid>
      <w:tr w14:paraId="2F1A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108" w:type="dxa"/>
            <w:tcBorders>
              <w:tl2br w:val="nil"/>
              <w:tr2bl w:val="nil"/>
            </w:tcBorders>
            <w:vAlign w:val="center"/>
          </w:tcPr>
          <w:p w14:paraId="4419A351">
            <w:pPr>
              <w:spacing w:line="240" w:lineRule="auto"/>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序号</w:t>
            </w:r>
          </w:p>
        </w:tc>
        <w:tc>
          <w:tcPr>
            <w:tcW w:w="3575" w:type="dxa"/>
            <w:tcBorders>
              <w:tl2br w:val="nil"/>
              <w:tr2bl w:val="nil"/>
            </w:tcBorders>
            <w:vAlign w:val="center"/>
          </w:tcPr>
          <w:p w14:paraId="7CE03F17">
            <w:pPr>
              <w:spacing w:line="240" w:lineRule="auto"/>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项目</w:t>
            </w:r>
          </w:p>
        </w:tc>
        <w:tc>
          <w:tcPr>
            <w:tcW w:w="2839" w:type="dxa"/>
            <w:tcBorders>
              <w:tl2br w:val="nil"/>
              <w:tr2bl w:val="nil"/>
            </w:tcBorders>
            <w:vAlign w:val="center"/>
          </w:tcPr>
          <w:p w14:paraId="103F7490">
            <w:pPr>
              <w:spacing w:line="240" w:lineRule="auto"/>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lang w:eastAsia="zh-CN"/>
              </w:rPr>
              <w:t>Ⅲ</w:t>
            </w:r>
            <w:r>
              <w:rPr>
                <w:rFonts w:hint="default" w:ascii="Times New Roman" w:hAnsi="Times New Roman" w:cs="Times New Roman"/>
                <w:b/>
                <w:bCs/>
                <w:color w:val="auto"/>
                <w:spacing w:val="-1"/>
                <w:sz w:val="21"/>
                <w:szCs w:val="21"/>
                <w:highlight w:val="none"/>
              </w:rPr>
              <w:t>类标准限值</w:t>
            </w:r>
          </w:p>
        </w:tc>
      </w:tr>
      <w:tr w14:paraId="2562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8" w:type="dxa"/>
            <w:tcBorders>
              <w:tl2br w:val="nil"/>
              <w:tr2bl w:val="nil"/>
            </w:tcBorders>
            <w:vAlign w:val="center"/>
          </w:tcPr>
          <w:p w14:paraId="5546D011">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3575" w:type="dxa"/>
            <w:tcBorders>
              <w:tl2br w:val="nil"/>
              <w:tr2bl w:val="nil"/>
            </w:tcBorders>
            <w:vAlign w:val="center"/>
          </w:tcPr>
          <w:p w14:paraId="4421A511">
            <w:pPr>
              <w:snapToGrid w:val="0"/>
              <w:spacing w:line="240" w:lineRule="auto"/>
              <w:ind w:firstLine="0" w:firstLineChars="0"/>
              <w:contextualSpacing/>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z w:val="21"/>
                <w:szCs w:val="21"/>
                <w:highlight w:val="none"/>
              </w:rPr>
              <w:t>pH</w:t>
            </w:r>
          </w:p>
        </w:tc>
        <w:tc>
          <w:tcPr>
            <w:tcW w:w="2839" w:type="dxa"/>
            <w:tcBorders>
              <w:tl2br w:val="nil"/>
              <w:tr2bl w:val="nil"/>
            </w:tcBorders>
            <w:vAlign w:val="center"/>
          </w:tcPr>
          <w:p w14:paraId="00746405">
            <w:pPr>
              <w:snapToGrid w:val="0"/>
              <w:spacing w:line="240" w:lineRule="auto"/>
              <w:ind w:firstLine="0" w:firstLineChars="0"/>
              <w:contextualSpacing/>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z w:val="21"/>
                <w:szCs w:val="21"/>
                <w:highlight w:val="none"/>
              </w:rPr>
              <w:t>6</w:t>
            </w:r>
            <w:r>
              <w:rPr>
                <w:rFonts w:hint="default" w:ascii="Times New Roman" w:hAnsi="Times New Roman" w:cs="Times New Roman"/>
                <w:color w:val="auto"/>
                <w:sz w:val="21"/>
                <w:szCs w:val="21"/>
                <w:highlight w:val="none"/>
                <w:lang w:val="en-US" w:eastAsia="zh-CN"/>
              </w:rPr>
              <w:t>.5</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8.5</w:t>
            </w:r>
          </w:p>
        </w:tc>
      </w:tr>
      <w:tr w14:paraId="4B52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0B30031F">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3575" w:type="dxa"/>
            <w:tcBorders>
              <w:tl2br w:val="nil"/>
              <w:tr2bl w:val="nil"/>
            </w:tcBorders>
            <w:vAlign w:val="center"/>
          </w:tcPr>
          <w:p w14:paraId="41A31256">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总硬度</w:t>
            </w:r>
          </w:p>
        </w:tc>
        <w:tc>
          <w:tcPr>
            <w:tcW w:w="2839" w:type="dxa"/>
            <w:tcBorders>
              <w:tl2br w:val="nil"/>
              <w:tr2bl w:val="nil"/>
            </w:tcBorders>
            <w:vAlign w:val="center"/>
          </w:tcPr>
          <w:p w14:paraId="595F1905">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450</w:t>
            </w:r>
          </w:p>
        </w:tc>
      </w:tr>
      <w:tr w14:paraId="3353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61EAB4DB">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3575" w:type="dxa"/>
            <w:tcBorders>
              <w:tl2br w:val="nil"/>
              <w:tr2bl w:val="nil"/>
            </w:tcBorders>
            <w:vAlign w:val="center"/>
          </w:tcPr>
          <w:p w14:paraId="21673A5A">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溶解性总固体</w:t>
            </w:r>
          </w:p>
        </w:tc>
        <w:tc>
          <w:tcPr>
            <w:tcW w:w="2839" w:type="dxa"/>
            <w:tcBorders>
              <w:tl2br w:val="nil"/>
              <w:tr2bl w:val="nil"/>
            </w:tcBorders>
            <w:vAlign w:val="center"/>
          </w:tcPr>
          <w:p w14:paraId="519BCD21">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1000</w:t>
            </w:r>
          </w:p>
        </w:tc>
      </w:tr>
      <w:tr w14:paraId="1208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5B9F0C87">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3575" w:type="dxa"/>
            <w:tcBorders>
              <w:tl2br w:val="nil"/>
              <w:tr2bl w:val="nil"/>
            </w:tcBorders>
            <w:vAlign w:val="center"/>
          </w:tcPr>
          <w:p w14:paraId="550C780C">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铁</w:t>
            </w:r>
          </w:p>
        </w:tc>
        <w:tc>
          <w:tcPr>
            <w:tcW w:w="2839" w:type="dxa"/>
            <w:tcBorders>
              <w:tl2br w:val="nil"/>
              <w:tr2bl w:val="nil"/>
            </w:tcBorders>
            <w:vAlign w:val="center"/>
          </w:tcPr>
          <w:p w14:paraId="5E3FD7B1">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0.3</w:t>
            </w:r>
          </w:p>
        </w:tc>
      </w:tr>
      <w:tr w14:paraId="07DD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5C0B4094">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5</w:t>
            </w:r>
          </w:p>
        </w:tc>
        <w:tc>
          <w:tcPr>
            <w:tcW w:w="3575" w:type="dxa"/>
            <w:tcBorders>
              <w:tl2br w:val="nil"/>
              <w:tr2bl w:val="nil"/>
            </w:tcBorders>
            <w:vAlign w:val="center"/>
          </w:tcPr>
          <w:p w14:paraId="08A3EEFD">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锰</w:t>
            </w:r>
          </w:p>
        </w:tc>
        <w:tc>
          <w:tcPr>
            <w:tcW w:w="2839" w:type="dxa"/>
            <w:tcBorders>
              <w:tl2br w:val="nil"/>
              <w:tr2bl w:val="nil"/>
            </w:tcBorders>
            <w:vAlign w:val="center"/>
          </w:tcPr>
          <w:p w14:paraId="6F1D3D3C">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0.10</w:t>
            </w:r>
          </w:p>
        </w:tc>
      </w:tr>
      <w:tr w14:paraId="7038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3FA2F265">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3575" w:type="dxa"/>
            <w:tcBorders>
              <w:tl2br w:val="nil"/>
              <w:tr2bl w:val="nil"/>
            </w:tcBorders>
            <w:vAlign w:val="center"/>
          </w:tcPr>
          <w:p w14:paraId="31D2C186">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锌</w:t>
            </w:r>
          </w:p>
        </w:tc>
        <w:tc>
          <w:tcPr>
            <w:tcW w:w="2839" w:type="dxa"/>
            <w:tcBorders>
              <w:tl2br w:val="nil"/>
              <w:tr2bl w:val="nil"/>
            </w:tcBorders>
            <w:vAlign w:val="center"/>
          </w:tcPr>
          <w:p w14:paraId="6E3FEC44">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r>
      <w:tr w14:paraId="3176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210602CA">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7</w:t>
            </w:r>
          </w:p>
        </w:tc>
        <w:tc>
          <w:tcPr>
            <w:tcW w:w="3575" w:type="dxa"/>
            <w:tcBorders>
              <w:tl2br w:val="nil"/>
              <w:tr2bl w:val="nil"/>
            </w:tcBorders>
            <w:vAlign w:val="center"/>
          </w:tcPr>
          <w:p w14:paraId="38934264">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挥发酚</w:t>
            </w:r>
          </w:p>
        </w:tc>
        <w:tc>
          <w:tcPr>
            <w:tcW w:w="2839" w:type="dxa"/>
            <w:tcBorders>
              <w:tl2br w:val="nil"/>
              <w:tr2bl w:val="nil"/>
            </w:tcBorders>
            <w:vAlign w:val="center"/>
          </w:tcPr>
          <w:p w14:paraId="583C68EE">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0.002</w:t>
            </w:r>
          </w:p>
        </w:tc>
      </w:tr>
      <w:tr w14:paraId="6475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34BB214C">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8</w:t>
            </w:r>
          </w:p>
        </w:tc>
        <w:tc>
          <w:tcPr>
            <w:tcW w:w="3575" w:type="dxa"/>
            <w:tcBorders>
              <w:tl2br w:val="nil"/>
              <w:tr2bl w:val="nil"/>
            </w:tcBorders>
            <w:vAlign w:val="center"/>
          </w:tcPr>
          <w:p w14:paraId="10355549">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氨氮</w:t>
            </w:r>
          </w:p>
        </w:tc>
        <w:tc>
          <w:tcPr>
            <w:tcW w:w="2839" w:type="dxa"/>
            <w:tcBorders>
              <w:tl2br w:val="nil"/>
              <w:tr2bl w:val="nil"/>
            </w:tcBorders>
            <w:vAlign w:val="center"/>
          </w:tcPr>
          <w:p w14:paraId="039A5542">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0.50</w:t>
            </w:r>
          </w:p>
        </w:tc>
      </w:tr>
      <w:tr w14:paraId="3354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10EE375C">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9</w:t>
            </w:r>
          </w:p>
        </w:tc>
        <w:tc>
          <w:tcPr>
            <w:tcW w:w="3575" w:type="dxa"/>
            <w:tcBorders>
              <w:tl2br w:val="nil"/>
              <w:tr2bl w:val="nil"/>
            </w:tcBorders>
            <w:vAlign w:val="center"/>
          </w:tcPr>
          <w:p w14:paraId="201E9C91">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总大肠菌群</w:t>
            </w:r>
          </w:p>
        </w:tc>
        <w:tc>
          <w:tcPr>
            <w:tcW w:w="2839" w:type="dxa"/>
            <w:tcBorders>
              <w:tl2br w:val="nil"/>
              <w:tr2bl w:val="nil"/>
            </w:tcBorders>
            <w:vAlign w:val="center"/>
          </w:tcPr>
          <w:p w14:paraId="428777A1">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3.0MPN/100mL</w:t>
            </w:r>
          </w:p>
        </w:tc>
      </w:tr>
      <w:tr w14:paraId="0014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147DF820">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10</w:t>
            </w:r>
          </w:p>
        </w:tc>
        <w:tc>
          <w:tcPr>
            <w:tcW w:w="3575" w:type="dxa"/>
            <w:tcBorders>
              <w:tl2br w:val="nil"/>
              <w:tr2bl w:val="nil"/>
            </w:tcBorders>
            <w:vAlign w:val="center"/>
          </w:tcPr>
          <w:p w14:paraId="7B6B73C7">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菌落总数</w:t>
            </w:r>
          </w:p>
        </w:tc>
        <w:tc>
          <w:tcPr>
            <w:tcW w:w="2839" w:type="dxa"/>
            <w:tcBorders>
              <w:tl2br w:val="nil"/>
              <w:tr2bl w:val="nil"/>
            </w:tcBorders>
            <w:vAlign w:val="center"/>
          </w:tcPr>
          <w:p w14:paraId="2D6C6515">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100CFU/mL</w:t>
            </w:r>
          </w:p>
        </w:tc>
      </w:tr>
      <w:tr w14:paraId="7260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2688376E">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11</w:t>
            </w:r>
          </w:p>
        </w:tc>
        <w:tc>
          <w:tcPr>
            <w:tcW w:w="3575" w:type="dxa"/>
            <w:tcBorders>
              <w:tl2br w:val="nil"/>
              <w:tr2bl w:val="nil"/>
            </w:tcBorders>
            <w:vAlign w:val="center"/>
          </w:tcPr>
          <w:p w14:paraId="54F2E4FF">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亚硝酸盐</w:t>
            </w:r>
          </w:p>
        </w:tc>
        <w:tc>
          <w:tcPr>
            <w:tcW w:w="2839" w:type="dxa"/>
            <w:tcBorders>
              <w:tl2br w:val="nil"/>
              <w:tr2bl w:val="nil"/>
            </w:tcBorders>
            <w:vAlign w:val="center"/>
          </w:tcPr>
          <w:p w14:paraId="7F8E26FD">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r>
      <w:tr w14:paraId="3A11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652700C3">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12</w:t>
            </w:r>
          </w:p>
        </w:tc>
        <w:tc>
          <w:tcPr>
            <w:tcW w:w="3575" w:type="dxa"/>
            <w:tcBorders>
              <w:tl2br w:val="nil"/>
              <w:tr2bl w:val="nil"/>
            </w:tcBorders>
            <w:vAlign w:val="center"/>
          </w:tcPr>
          <w:p w14:paraId="2E0AAB52">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硝酸盐</w:t>
            </w:r>
          </w:p>
        </w:tc>
        <w:tc>
          <w:tcPr>
            <w:tcW w:w="2839" w:type="dxa"/>
            <w:tcBorders>
              <w:tl2br w:val="nil"/>
              <w:tr2bl w:val="nil"/>
            </w:tcBorders>
            <w:vAlign w:val="center"/>
          </w:tcPr>
          <w:p w14:paraId="0097681D">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20.0</w:t>
            </w:r>
          </w:p>
        </w:tc>
      </w:tr>
      <w:tr w14:paraId="514F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2DE97F50">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p>
        </w:tc>
        <w:tc>
          <w:tcPr>
            <w:tcW w:w="3575" w:type="dxa"/>
            <w:tcBorders>
              <w:tl2br w:val="nil"/>
              <w:tr2bl w:val="nil"/>
            </w:tcBorders>
            <w:vAlign w:val="center"/>
          </w:tcPr>
          <w:p w14:paraId="6A2027D1">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汞</w:t>
            </w:r>
          </w:p>
        </w:tc>
        <w:tc>
          <w:tcPr>
            <w:tcW w:w="2839" w:type="dxa"/>
            <w:tcBorders>
              <w:tl2br w:val="nil"/>
              <w:tr2bl w:val="nil"/>
            </w:tcBorders>
            <w:vAlign w:val="center"/>
          </w:tcPr>
          <w:p w14:paraId="7CD60774">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0.001</w:t>
            </w:r>
          </w:p>
        </w:tc>
      </w:tr>
      <w:tr w14:paraId="6D99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2E6EE839">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14</w:t>
            </w:r>
          </w:p>
        </w:tc>
        <w:tc>
          <w:tcPr>
            <w:tcW w:w="3575" w:type="dxa"/>
            <w:tcBorders>
              <w:tl2br w:val="nil"/>
              <w:tr2bl w:val="nil"/>
            </w:tcBorders>
            <w:vAlign w:val="center"/>
          </w:tcPr>
          <w:p w14:paraId="367156F9">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砷</w:t>
            </w:r>
          </w:p>
        </w:tc>
        <w:tc>
          <w:tcPr>
            <w:tcW w:w="2839" w:type="dxa"/>
            <w:tcBorders>
              <w:tl2br w:val="nil"/>
              <w:tr2bl w:val="nil"/>
            </w:tcBorders>
            <w:vAlign w:val="center"/>
          </w:tcPr>
          <w:p w14:paraId="7BED1E15">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w:t>
            </w:r>
          </w:p>
        </w:tc>
      </w:tr>
      <w:tr w14:paraId="16DA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19DD2463">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15</w:t>
            </w:r>
          </w:p>
        </w:tc>
        <w:tc>
          <w:tcPr>
            <w:tcW w:w="3575" w:type="dxa"/>
            <w:tcBorders>
              <w:tl2br w:val="nil"/>
              <w:tr2bl w:val="nil"/>
            </w:tcBorders>
            <w:vAlign w:val="center"/>
          </w:tcPr>
          <w:p w14:paraId="11C9D4AC">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镉</w:t>
            </w:r>
          </w:p>
        </w:tc>
        <w:tc>
          <w:tcPr>
            <w:tcW w:w="2839" w:type="dxa"/>
            <w:tcBorders>
              <w:tl2br w:val="nil"/>
              <w:tr2bl w:val="nil"/>
            </w:tcBorders>
            <w:vAlign w:val="center"/>
          </w:tcPr>
          <w:p w14:paraId="3B8CA649">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0.005</w:t>
            </w:r>
          </w:p>
        </w:tc>
      </w:tr>
      <w:tr w14:paraId="3DDE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5672F555">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16</w:t>
            </w:r>
          </w:p>
        </w:tc>
        <w:tc>
          <w:tcPr>
            <w:tcW w:w="3575" w:type="dxa"/>
            <w:tcBorders>
              <w:tl2br w:val="nil"/>
              <w:tr2bl w:val="nil"/>
            </w:tcBorders>
            <w:vAlign w:val="center"/>
          </w:tcPr>
          <w:p w14:paraId="7643E824">
            <w:pPr>
              <w:snapToGrid w:val="0"/>
              <w:spacing w:line="240" w:lineRule="auto"/>
              <w:ind w:firstLine="0" w:firstLineChars="0"/>
              <w:contextualSpacing/>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z w:val="21"/>
                <w:szCs w:val="21"/>
                <w:highlight w:val="none"/>
              </w:rPr>
              <w:t>六价铬</w:t>
            </w:r>
          </w:p>
        </w:tc>
        <w:tc>
          <w:tcPr>
            <w:tcW w:w="2839" w:type="dxa"/>
            <w:tcBorders>
              <w:tl2br w:val="nil"/>
              <w:tr2bl w:val="nil"/>
            </w:tcBorders>
            <w:vAlign w:val="center"/>
          </w:tcPr>
          <w:p w14:paraId="478B29FE">
            <w:pPr>
              <w:snapToGrid w:val="0"/>
              <w:spacing w:line="240" w:lineRule="auto"/>
              <w:ind w:firstLine="0" w:firstLineChars="0"/>
              <w:contextualSpacing/>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0.05</w:t>
            </w:r>
          </w:p>
        </w:tc>
      </w:tr>
      <w:tr w14:paraId="648E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521F9230">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17</w:t>
            </w:r>
          </w:p>
        </w:tc>
        <w:tc>
          <w:tcPr>
            <w:tcW w:w="3575" w:type="dxa"/>
            <w:tcBorders>
              <w:tl2br w:val="nil"/>
              <w:tr2bl w:val="nil"/>
            </w:tcBorders>
            <w:vAlign w:val="center"/>
          </w:tcPr>
          <w:p w14:paraId="05696585">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铅</w:t>
            </w:r>
          </w:p>
        </w:tc>
        <w:tc>
          <w:tcPr>
            <w:tcW w:w="2839" w:type="dxa"/>
            <w:tcBorders>
              <w:tl2br w:val="nil"/>
              <w:tr2bl w:val="nil"/>
            </w:tcBorders>
            <w:vAlign w:val="center"/>
          </w:tcPr>
          <w:p w14:paraId="6B36286A">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0.01</w:t>
            </w:r>
          </w:p>
        </w:tc>
      </w:tr>
      <w:tr w14:paraId="3732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5F55B769">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18</w:t>
            </w:r>
          </w:p>
        </w:tc>
        <w:tc>
          <w:tcPr>
            <w:tcW w:w="3575" w:type="dxa"/>
            <w:tcBorders>
              <w:tl2br w:val="nil"/>
              <w:tr2bl w:val="nil"/>
            </w:tcBorders>
            <w:vAlign w:val="center"/>
          </w:tcPr>
          <w:p w14:paraId="240EDF93">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氯化物</w:t>
            </w:r>
          </w:p>
        </w:tc>
        <w:tc>
          <w:tcPr>
            <w:tcW w:w="2839" w:type="dxa"/>
            <w:tcBorders>
              <w:tl2br w:val="nil"/>
              <w:tr2bl w:val="nil"/>
            </w:tcBorders>
            <w:vAlign w:val="center"/>
          </w:tcPr>
          <w:p w14:paraId="372A7E67">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w:t>
            </w:r>
          </w:p>
        </w:tc>
      </w:tr>
      <w:tr w14:paraId="4C12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1082A595">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19</w:t>
            </w:r>
          </w:p>
        </w:tc>
        <w:tc>
          <w:tcPr>
            <w:tcW w:w="3575" w:type="dxa"/>
            <w:tcBorders>
              <w:tl2br w:val="nil"/>
              <w:tr2bl w:val="nil"/>
            </w:tcBorders>
            <w:vAlign w:val="center"/>
          </w:tcPr>
          <w:p w14:paraId="6826B8CC">
            <w:pPr>
              <w:pStyle w:val="17"/>
              <w:bidi w:val="0"/>
              <w:spacing w:line="240" w:lineRule="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耗氧量</w:t>
            </w:r>
          </w:p>
        </w:tc>
        <w:tc>
          <w:tcPr>
            <w:tcW w:w="2839" w:type="dxa"/>
            <w:tcBorders>
              <w:tl2br w:val="nil"/>
              <w:tr2bl w:val="nil"/>
            </w:tcBorders>
            <w:vAlign w:val="center"/>
          </w:tcPr>
          <w:p w14:paraId="61A9FB9F">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r>
      <w:tr w14:paraId="45C9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33E90356">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20</w:t>
            </w:r>
          </w:p>
        </w:tc>
        <w:tc>
          <w:tcPr>
            <w:tcW w:w="3575" w:type="dxa"/>
            <w:tcBorders>
              <w:tl2br w:val="nil"/>
              <w:tr2bl w:val="nil"/>
            </w:tcBorders>
            <w:vAlign w:val="center"/>
          </w:tcPr>
          <w:p w14:paraId="5DDEA80E">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氟化物</w:t>
            </w:r>
          </w:p>
        </w:tc>
        <w:tc>
          <w:tcPr>
            <w:tcW w:w="2839" w:type="dxa"/>
            <w:tcBorders>
              <w:tl2br w:val="nil"/>
              <w:tr2bl w:val="nil"/>
            </w:tcBorders>
            <w:vAlign w:val="center"/>
          </w:tcPr>
          <w:p w14:paraId="211DED9F">
            <w:pPr>
              <w:snapToGrid w:val="0"/>
              <w:spacing w:line="240" w:lineRule="auto"/>
              <w:ind w:firstLine="0" w:firstLineChars="0"/>
              <w:contextualSpacing/>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1.0</w:t>
            </w:r>
          </w:p>
        </w:tc>
      </w:tr>
      <w:tr w14:paraId="0781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6948A83B">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21</w:t>
            </w:r>
          </w:p>
        </w:tc>
        <w:tc>
          <w:tcPr>
            <w:tcW w:w="3575" w:type="dxa"/>
            <w:tcBorders>
              <w:tl2br w:val="nil"/>
              <w:tr2bl w:val="nil"/>
            </w:tcBorders>
            <w:vAlign w:val="center"/>
          </w:tcPr>
          <w:p w14:paraId="7068B305">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氰化物</w:t>
            </w:r>
          </w:p>
        </w:tc>
        <w:tc>
          <w:tcPr>
            <w:tcW w:w="2839" w:type="dxa"/>
            <w:tcBorders>
              <w:tl2br w:val="nil"/>
              <w:tr2bl w:val="nil"/>
            </w:tcBorders>
            <w:vAlign w:val="center"/>
          </w:tcPr>
          <w:p w14:paraId="5C91423C">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0.05</w:t>
            </w:r>
          </w:p>
        </w:tc>
      </w:tr>
      <w:tr w14:paraId="512C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00397663">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22</w:t>
            </w:r>
          </w:p>
        </w:tc>
        <w:tc>
          <w:tcPr>
            <w:tcW w:w="3575" w:type="dxa"/>
            <w:tcBorders>
              <w:tl2br w:val="nil"/>
              <w:tr2bl w:val="nil"/>
            </w:tcBorders>
            <w:vAlign w:val="center"/>
          </w:tcPr>
          <w:p w14:paraId="24A91819">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硫酸盐</w:t>
            </w:r>
          </w:p>
        </w:tc>
        <w:tc>
          <w:tcPr>
            <w:tcW w:w="2839" w:type="dxa"/>
            <w:tcBorders>
              <w:tl2br w:val="nil"/>
              <w:tr2bl w:val="nil"/>
            </w:tcBorders>
            <w:vAlign w:val="center"/>
          </w:tcPr>
          <w:p w14:paraId="47614284">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w:t>
            </w:r>
          </w:p>
        </w:tc>
      </w:tr>
      <w:tr w14:paraId="7C37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5362A0AE">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23</w:t>
            </w:r>
          </w:p>
        </w:tc>
        <w:tc>
          <w:tcPr>
            <w:tcW w:w="3575" w:type="dxa"/>
            <w:tcBorders>
              <w:tl2br w:val="nil"/>
              <w:tr2bl w:val="nil"/>
            </w:tcBorders>
            <w:vAlign w:val="center"/>
          </w:tcPr>
          <w:p w14:paraId="6803E05C">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HCO</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vertAlign w:val="superscript"/>
              </w:rPr>
              <w:t>-</w:t>
            </w:r>
          </w:p>
        </w:tc>
        <w:tc>
          <w:tcPr>
            <w:tcW w:w="2839" w:type="dxa"/>
            <w:tcBorders>
              <w:tl2br w:val="nil"/>
              <w:tr2bl w:val="nil"/>
            </w:tcBorders>
            <w:vAlign w:val="center"/>
          </w:tcPr>
          <w:p w14:paraId="74EDEFB7">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7F33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6C67D58D">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24</w:t>
            </w:r>
          </w:p>
        </w:tc>
        <w:tc>
          <w:tcPr>
            <w:tcW w:w="3575" w:type="dxa"/>
            <w:tcBorders>
              <w:tl2br w:val="nil"/>
              <w:tr2bl w:val="nil"/>
            </w:tcBorders>
            <w:vAlign w:val="center"/>
          </w:tcPr>
          <w:p w14:paraId="3C711AC8">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w:t>
            </w:r>
            <w:r>
              <w:rPr>
                <w:rFonts w:hint="default" w:ascii="Times New Roman" w:hAnsi="Times New Roman" w:cs="Times New Roman"/>
                <w:color w:val="auto"/>
                <w:sz w:val="21"/>
                <w:szCs w:val="21"/>
                <w:highlight w:val="none"/>
                <w:vertAlign w:val="subscript"/>
              </w:rPr>
              <w:t>3</w:t>
            </w:r>
            <w:r>
              <w:rPr>
                <w:rFonts w:hint="default" w:ascii="Times New Roman" w:hAnsi="Times New Roman" w:cs="Times New Roman"/>
                <w:color w:val="auto"/>
                <w:sz w:val="21"/>
                <w:szCs w:val="21"/>
                <w:highlight w:val="none"/>
                <w:vertAlign w:val="superscript"/>
              </w:rPr>
              <w:t>2-</w:t>
            </w:r>
          </w:p>
        </w:tc>
        <w:tc>
          <w:tcPr>
            <w:tcW w:w="2839" w:type="dxa"/>
            <w:tcBorders>
              <w:tl2br w:val="nil"/>
              <w:tr2bl w:val="nil"/>
            </w:tcBorders>
            <w:vAlign w:val="center"/>
          </w:tcPr>
          <w:p w14:paraId="1E59B715">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6787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289E6B98">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25</w:t>
            </w:r>
          </w:p>
        </w:tc>
        <w:tc>
          <w:tcPr>
            <w:tcW w:w="3575" w:type="dxa"/>
            <w:tcBorders>
              <w:tl2br w:val="nil"/>
              <w:tr2bl w:val="nil"/>
            </w:tcBorders>
            <w:vAlign w:val="center"/>
          </w:tcPr>
          <w:p w14:paraId="435B05FB">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w:t>
            </w:r>
            <w:r>
              <w:rPr>
                <w:rFonts w:hint="default" w:ascii="Times New Roman" w:hAnsi="Times New Roman" w:cs="Times New Roman"/>
                <w:color w:val="auto"/>
                <w:sz w:val="21"/>
                <w:szCs w:val="21"/>
                <w:highlight w:val="none"/>
                <w:vertAlign w:val="superscript"/>
              </w:rPr>
              <w:t>2+</w:t>
            </w:r>
          </w:p>
        </w:tc>
        <w:tc>
          <w:tcPr>
            <w:tcW w:w="2839" w:type="dxa"/>
            <w:tcBorders>
              <w:tl2br w:val="nil"/>
              <w:tr2bl w:val="nil"/>
            </w:tcBorders>
            <w:vAlign w:val="center"/>
          </w:tcPr>
          <w:p w14:paraId="793ED749">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1C67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56CE5D16">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26</w:t>
            </w:r>
          </w:p>
        </w:tc>
        <w:tc>
          <w:tcPr>
            <w:tcW w:w="3575" w:type="dxa"/>
            <w:tcBorders>
              <w:tl2br w:val="nil"/>
              <w:tr2bl w:val="nil"/>
            </w:tcBorders>
            <w:vAlign w:val="center"/>
          </w:tcPr>
          <w:p w14:paraId="0C6527FE">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Ca</w:t>
            </w:r>
            <w:r>
              <w:rPr>
                <w:rFonts w:hint="default" w:ascii="Times New Roman" w:hAnsi="Times New Roman" w:cs="Times New Roman"/>
                <w:color w:val="auto"/>
                <w:sz w:val="21"/>
                <w:szCs w:val="21"/>
                <w:highlight w:val="none"/>
                <w:vertAlign w:val="superscript"/>
              </w:rPr>
              <w:t>2+</w:t>
            </w:r>
          </w:p>
        </w:tc>
        <w:tc>
          <w:tcPr>
            <w:tcW w:w="2839" w:type="dxa"/>
            <w:tcBorders>
              <w:tl2br w:val="nil"/>
              <w:tr2bl w:val="nil"/>
            </w:tcBorders>
            <w:vAlign w:val="center"/>
          </w:tcPr>
          <w:p w14:paraId="462E2FA1">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4492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3163AA18">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27</w:t>
            </w:r>
          </w:p>
        </w:tc>
        <w:tc>
          <w:tcPr>
            <w:tcW w:w="3575" w:type="dxa"/>
            <w:tcBorders>
              <w:tl2br w:val="nil"/>
              <w:tr2bl w:val="nil"/>
            </w:tcBorders>
            <w:vAlign w:val="center"/>
          </w:tcPr>
          <w:p w14:paraId="22CF6267">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Na</w:t>
            </w:r>
            <w:r>
              <w:rPr>
                <w:rFonts w:hint="default" w:ascii="Times New Roman" w:hAnsi="Times New Roman" w:cs="Times New Roman"/>
                <w:color w:val="auto"/>
                <w:sz w:val="21"/>
                <w:szCs w:val="21"/>
                <w:highlight w:val="none"/>
                <w:vertAlign w:val="superscript"/>
              </w:rPr>
              <w:t>+</w:t>
            </w:r>
          </w:p>
        </w:tc>
        <w:tc>
          <w:tcPr>
            <w:tcW w:w="2839" w:type="dxa"/>
            <w:tcBorders>
              <w:tl2br w:val="nil"/>
              <w:tr2bl w:val="nil"/>
            </w:tcBorders>
            <w:vAlign w:val="center"/>
          </w:tcPr>
          <w:p w14:paraId="54B58117">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50EB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08" w:type="dxa"/>
            <w:tcBorders>
              <w:tl2br w:val="nil"/>
              <w:tr2bl w:val="nil"/>
            </w:tcBorders>
            <w:vAlign w:val="center"/>
          </w:tcPr>
          <w:p w14:paraId="56ECA583">
            <w:pPr>
              <w:pStyle w:val="17"/>
              <w:bidi w:val="0"/>
              <w:spacing w:line="24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28</w:t>
            </w:r>
          </w:p>
        </w:tc>
        <w:tc>
          <w:tcPr>
            <w:tcW w:w="3575" w:type="dxa"/>
            <w:tcBorders>
              <w:tl2br w:val="nil"/>
              <w:tr2bl w:val="nil"/>
            </w:tcBorders>
            <w:vAlign w:val="center"/>
          </w:tcPr>
          <w:p w14:paraId="6839B20C">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K</w:t>
            </w:r>
            <w:r>
              <w:rPr>
                <w:rFonts w:hint="default" w:ascii="Times New Roman" w:hAnsi="Times New Roman" w:cs="Times New Roman"/>
                <w:color w:val="auto"/>
                <w:sz w:val="21"/>
                <w:szCs w:val="21"/>
                <w:highlight w:val="none"/>
                <w:vertAlign w:val="superscript"/>
              </w:rPr>
              <w:t>+</w:t>
            </w:r>
          </w:p>
        </w:tc>
        <w:tc>
          <w:tcPr>
            <w:tcW w:w="2839" w:type="dxa"/>
            <w:tcBorders>
              <w:tl2br w:val="nil"/>
              <w:tr2bl w:val="nil"/>
            </w:tcBorders>
            <w:vAlign w:val="center"/>
          </w:tcPr>
          <w:p w14:paraId="2EBD0D1D">
            <w:pPr>
              <w:snapToGrid w:val="0"/>
              <w:spacing w:line="240" w:lineRule="auto"/>
              <w:ind w:firstLine="0" w:firstLineChars="0"/>
              <w:contextualSpacing/>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bl>
    <w:p w14:paraId="6A7396B0">
      <w:pPr>
        <w:overflowPunct w:val="0"/>
        <w:topLinePunct/>
        <w:adjustRightInd/>
        <w:ind w:firstLine="476" w:firstLineChars="200"/>
        <w:rPr>
          <w:rFonts w:hint="default" w:ascii="Times New Roman" w:hAnsi="Times New Roman" w:cs="Times New Roman"/>
          <w:color w:val="auto"/>
          <w:spacing w:val="-1"/>
          <w:highlight w:val="none"/>
        </w:rPr>
      </w:pPr>
      <w:r>
        <w:rPr>
          <w:rFonts w:hint="default" w:ascii="Times New Roman" w:hAnsi="Times New Roman" w:cs="Times New Roman"/>
          <w:color w:val="auto"/>
          <w:spacing w:val="-1"/>
          <w:highlight w:val="none"/>
        </w:rPr>
        <w:t>（4）声环境</w:t>
      </w:r>
    </w:p>
    <w:p w14:paraId="28F7EE12">
      <w:pPr>
        <w:overflowPunct w:val="0"/>
        <w:topLinePunct/>
        <w:ind w:firstLine="476"/>
        <w:rPr>
          <w:rFonts w:hint="default" w:ascii="Times New Roman" w:hAnsi="Times New Roman" w:cs="Times New Roman"/>
          <w:color w:val="auto"/>
          <w:highlight w:val="none"/>
        </w:rPr>
      </w:pPr>
      <w:r>
        <w:rPr>
          <w:rFonts w:hint="default" w:ascii="Times New Roman" w:hAnsi="Times New Roman" w:cs="Times New Roman"/>
          <w:color w:val="auto"/>
          <w:spacing w:val="-1"/>
          <w:highlight w:val="none"/>
        </w:rPr>
        <w:t>项目声环境执行《声环境质量标准》（GB3096-2008）</w:t>
      </w:r>
      <w:r>
        <w:rPr>
          <w:rFonts w:hint="default" w:ascii="Times New Roman" w:hAnsi="Times New Roman" w:cs="Times New Roman"/>
          <w:color w:val="auto"/>
          <w:spacing w:val="-1"/>
          <w:highlight w:val="none"/>
          <w:lang w:val="en-US" w:eastAsia="zh-CN"/>
        </w:rPr>
        <w:t>2</w:t>
      </w:r>
      <w:r>
        <w:rPr>
          <w:rFonts w:hint="default" w:ascii="Times New Roman" w:hAnsi="Times New Roman" w:cs="Times New Roman"/>
          <w:color w:val="auto"/>
          <w:spacing w:val="-1"/>
          <w:highlight w:val="none"/>
        </w:rPr>
        <w:t>类标准，评价标准限值见表2.5-4。</w:t>
      </w:r>
    </w:p>
    <w:p w14:paraId="2DB0FCA4">
      <w:pPr>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表2.5-4    声环境质量标准    单位：dB（A）</w:t>
      </w:r>
    </w:p>
    <w:tbl>
      <w:tblPr>
        <w:tblStyle w:val="13"/>
        <w:tblW w:w="852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078"/>
        <w:gridCol w:w="2345"/>
        <w:gridCol w:w="3097"/>
      </w:tblGrid>
      <w:tr w14:paraId="11118F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078" w:type="dxa"/>
            <w:vAlign w:val="center"/>
          </w:tcPr>
          <w:p w14:paraId="0D03246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类  别</w:t>
            </w:r>
          </w:p>
        </w:tc>
        <w:tc>
          <w:tcPr>
            <w:tcW w:w="2345" w:type="dxa"/>
            <w:vAlign w:val="center"/>
          </w:tcPr>
          <w:p w14:paraId="10B52C2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昼  间</w:t>
            </w:r>
          </w:p>
        </w:tc>
        <w:tc>
          <w:tcPr>
            <w:tcW w:w="3097" w:type="dxa"/>
            <w:vAlign w:val="center"/>
          </w:tcPr>
          <w:p w14:paraId="298604B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夜  间</w:t>
            </w:r>
          </w:p>
        </w:tc>
      </w:tr>
      <w:tr w14:paraId="5C4712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3078" w:type="dxa"/>
            <w:vAlign w:val="center"/>
          </w:tcPr>
          <w:p w14:paraId="5CC3D3B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环境噪声</w:t>
            </w:r>
          </w:p>
        </w:tc>
        <w:tc>
          <w:tcPr>
            <w:tcW w:w="2345" w:type="dxa"/>
            <w:vAlign w:val="center"/>
          </w:tcPr>
          <w:p w14:paraId="2F4A080B">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6</w:t>
            </w:r>
            <w:r>
              <w:rPr>
                <w:rFonts w:hint="default" w:ascii="Times New Roman" w:hAnsi="Times New Roman" w:cs="Times New Roman"/>
                <w:color w:val="auto"/>
                <w:highlight w:val="none"/>
                <w:lang w:val="en-US" w:eastAsia="zh-CN"/>
              </w:rPr>
              <w:t>0</w:t>
            </w:r>
          </w:p>
        </w:tc>
        <w:tc>
          <w:tcPr>
            <w:tcW w:w="3097" w:type="dxa"/>
            <w:vAlign w:val="center"/>
          </w:tcPr>
          <w:p w14:paraId="0DBE2371">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5</w:t>
            </w:r>
            <w:r>
              <w:rPr>
                <w:rFonts w:hint="default" w:ascii="Times New Roman" w:hAnsi="Times New Roman" w:cs="Times New Roman"/>
                <w:color w:val="auto"/>
                <w:highlight w:val="none"/>
                <w:lang w:val="en-US" w:eastAsia="zh-CN"/>
              </w:rPr>
              <w:t>0</w:t>
            </w:r>
          </w:p>
        </w:tc>
      </w:tr>
    </w:tbl>
    <w:p w14:paraId="1C390F8E">
      <w:pPr>
        <w:overflowPunct w:val="0"/>
        <w:topLinePunct/>
        <w:ind w:firstLine="476"/>
        <w:rPr>
          <w:rFonts w:hint="default" w:ascii="Times New Roman" w:hAnsi="Times New Roman" w:cs="Times New Roman"/>
          <w:color w:val="auto"/>
          <w:spacing w:val="-1"/>
          <w:highlight w:val="none"/>
        </w:rPr>
      </w:pPr>
      <w:r>
        <w:rPr>
          <w:rFonts w:hint="default" w:ascii="Times New Roman" w:hAnsi="Times New Roman" w:cs="Times New Roman"/>
          <w:color w:val="auto"/>
          <w:spacing w:val="-1"/>
          <w:highlight w:val="none"/>
        </w:rPr>
        <w:t>（5）土壤环境</w:t>
      </w:r>
    </w:p>
    <w:p w14:paraId="5820BE9B">
      <w:pPr>
        <w:overflowPunct w:val="0"/>
        <w:topLinePunct/>
        <w:ind w:firstLine="476"/>
        <w:rPr>
          <w:rFonts w:hint="default" w:ascii="Times New Roman" w:hAnsi="Times New Roman" w:cs="Times New Roman"/>
          <w:color w:val="auto"/>
          <w:highlight w:val="none"/>
        </w:rPr>
      </w:pPr>
      <w:r>
        <w:rPr>
          <w:rFonts w:hint="default" w:ascii="Times New Roman" w:hAnsi="Times New Roman" w:cs="Times New Roman"/>
          <w:color w:val="auto"/>
          <w:spacing w:val="-1"/>
          <w:highlight w:val="none"/>
        </w:rPr>
        <w:t>本工程属于《城市用地分类与规划建设用地标准》（GB50137-2011）中规定的二类工业用地（M2），因此土壤环境质量执行《土壤环境质量 建设用地土壤污染风险管控标准（试行）》（GB36600-2018）中的第二类筛选值标准；项目区占地范围外为</w:t>
      </w:r>
      <w:r>
        <w:rPr>
          <w:rFonts w:hint="default" w:ascii="Times New Roman" w:hAnsi="Times New Roman" w:cs="Times New Roman"/>
          <w:color w:val="auto"/>
          <w:spacing w:val="-1"/>
          <w:highlight w:val="none"/>
          <w:lang w:val="en-US" w:eastAsia="zh-CN"/>
        </w:rPr>
        <w:t>裸岩石砾地</w:t>
      </w:r>
      <w:r>
        <w:rPr>
          <w:rFonts w:hint="default" w:ascii="Times New Roman" w:hAnsi="Times New Roman" w:cs="Times New Roman"/>
          <w:color w:val="auto"/>
          <w:spacing w:val="-1"/>
          <w:highlight w:val="none"/>
        </w:rPr>
        <w:t>，土壤环境质量执行《土壤环境质量 农用地土壤污染风险管控标准（试行）》（GB15618-2018）中的筛选值标准；评价标准限值见表2.5-5。</w:t>
      </w:r>
    </w:p>
    <w:p w14:paraId="210F0C80">
      <w:pPr>
        <w:pStyle w:val="19"/>
        <w:widowControl w:val="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表2.5-5    </w:t>
      </w:r>
      <w:r>
        <w:rPr>
          <w:rFonts w:hint="default" w:ascii="Times New Roman" w:hAnsi="Times New Roman" w:cs="Times New Roman"/>
          <w:color w:val="auto"/>
          <w:highlight w:val="none"/>
          <w:lang w:val="zh-CN"/>
        </w:rPr>
        <w:t>建设用地、</w:t>
      </w:r>
      <w:r>
        <w:rPr>
          <w:rFonts w:hint="default" w:ascii="Times New Roman" w:hAnsi="Times New Roman" w:cs="Times New Roman"/>
          <w:color w:val="auto"/>
          <w:highlight w:val="none"/>
        </w:rPr>
        <w:t>农用地</w:t>
      </w:r>
      <w:r>
        <w:rPr>
          <w:rFonts w:hint="default" w:ascii="Times New Roman" w:hAnsi="Times New Roman" w:cs="Times New Roman"/>
          <w:color w:val="auto"/>
          <w:highlight w:val="none"/>
          <w:lang w:val="zh-CN"/>
        </w:rPr>
        <w:t>土壤污染风险管控标准</w:t>
      </w:r>
      <w:r>
        <w:rPr>
          <w:rFonts w:hint="default" w:ascii="Times New Roman" w:hAnsi="Times New Roman" w:cs="Times New Roman"/>
          <w:color w:val="auto"/>
          <w:highlight w:val="none"/>
        </w:rPr>
        <w:t xml:space="preserve">    单位：mg/kg</w:t>
      </w:r>
    </w:p>
    <w:tbl>
      <w:tblPr>
        <w:tblStyle w:val="13"/>
        <w:tblW w:w="8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58"/>
        <w:gridCol w:w="669"/>
        <w:gridCol w:w="2311"/>
        <w:gridCol w:w="2066"/>
        <w:gridCol w:w="2258"/>
      </w:tblGrid>
      <w:tr w14:paraId="6AD3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blHeader/>
          <w:jc w:val="center"/>
        </w:trPr>
        <w:tc>
          <w:tcPr>
            <w:tcW w:w="1058" w:type="dxa"/>
            <w:tcBorders>
              <w:tl2br w:val="nil"/>
              <w:tr2bl w:val="nil"/>
            </w:tcBorders>
            <w:vAlign w:val="center"/>
          </w:tcPr>
          <w:p w14:paraId="20F37E29">
            <w:pPr>
              <w:spacing w:line="240" w:lineRule="auto"/>
              <w:ind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类别</w:t>
            </w:r>
          </w:p>
        </w:tc>
        <w:tc>
          <w:tcPr>
            <w:tcW w:w="669" w:type="dxa"/>
            <w:tcBorders>
              <w:tl2br w:val="nil"/>
              <w:tr2bl w:val="nil"/>
            </w:tcBorders>
            <w:vAlign w:val="center"/>
          </w:tcPr>
          <w:p w14:paraId="0EA3B1DD">
            <w:pPr>
              <w:spacing w:line="240" w:lineRule="auto"/>
              <w:ind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2311" w:type="dxa"/>
            <w:tcBorders>
              <w:tl2br w:val="nil"/>
              <w:tr2bl w:val="nil"/>
            </w:tcBorders>
            <w:vAlign w:val="center"/>
          </w:tcPr>
          <w:p w14:paraId="785F2A5A">
            <w:pPr>
              <w:spacing w:line="240" w:lineRule="auto"/>
              <w:ind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污染物项目</w:t>
            </w:r>
          </w:p>
        </w:tc>
        <w:tc>
          <w:tcPr>
            <w:tcW w:w="2066" w:type="dxa"/>
            <w:tcBorders>
              <w:tl2br w:val="nil"/>
              <w:tr2bl w:val="nil"/>
            </w:tcBorders>
            <w:vAlign w:val="center"/>
          </w:tcPr>
          <w:p w14:paraId="2D981617">
            <w:pPr>
              <w:spacing w:line="240" w:lineRule="auto"/>
              <w:ind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标准值</w:t>
            </w:r>
          </w:p>
        </w:tc>
        <w:tc>
          <w:tcPr>
            <w:tcW w:w="2258" w:type="dxa"/>
            <w:tcBorders>
              <w:tl2br w:val="nil"/>
              <w:tr2bl w:val="nil"/>
            </w:tcBorders>
            <w:vAlign w:val="center"/>
          </w:tcPr>
          <w:p w14:paraId="35796F71">
            <w:pPr>
              <w:spacing w:line="240" w:lineRule="auto"/>
              <w:ind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执行标准</w:t>
            </w:r>
          </w:p>
        </w:tc>
      </w:tr>
      <w:tr w14:paraId="3DD7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8362" w:type="dxa"/>
            <w:gridSpan w:val="5"/>
            <w:tcBorders>
              <w:tl2br w:val="nil"/>
              <w:tr2bl w:val="nil"/>
            </w:tcBorders>
            <w:vAlign w:val="center"/>
          </w:tcPr>
          <w:p w14:paraId="69F258A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重金属和无机物</w:t>
            </w:r>
          </w:p>
        </w:tc>
      </w:tr>
      <w:tr w14:paraId="020B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restart"/>
            <w:tcBorders>
              <w:tl2br w:val="nil"/>
              <w:tr2bl w:val="nil"/>
            </w:tcBorders>
            <w:vAlign w:val="center"/>
          </w:tcPr>
          <w:p w14:paraId="79E71F20">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第二类用地筛选值</w:t>
            </w:r>
          </w:p>
        </w:tc>
        <w:tc>
          <w:tcPr>
            <w:tcW w:w="669" w:type="dxa"/>
            <w:tcBorders>
              <w:tl2br w:val="nil"/>
              <w:tr2bl w:val="nil"/>
            </w:tcBorders>
            <w:vAlign w:val="center"/>
          </w:tcPr>
          <w:p w14:paraId="7FC19BD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2311" w:type="dxa"/>
            <w:tcBorders>
              <w:tl2br w:val="nil"/>
              <w:tr2bl w:val="nil"/>
            </w:tcBorders>
            <w:vAlign w:val="center"/>
          </w:tcPr>
          <w:p w14:paraId="48FFE963">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砷</w:t>
            </w:r>
          </w:p>
        </w:tc>
        <w:tc>
          <w:tcPr>
            <w:tcW w:w="2066" w:type="dxa"/>
            <w:tcBorders>
              <w:tl2br w:val="nil"/>
              <w:tr2bl w:val="nil"/>
            </w:tcBorders>
            <w:vAlign w:val="center"/>
          </w:tcPr>
          <w:p w14:paraId="42C0817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60</w:t>
            </w:r>
          </w:p>
        </w:tc>
        <w:tc>
          <w:tcPr>
            <w:tcW w:w="2258" w:type="dxa"/>
            <w:vMerge w:val="restart"/>
            <w:tcBorders>
              <w:tl2br w:val="nil"/>
              <w:tr2bl w:val="nil"/>
            </w:tcBorders>
            <w:vAlign w:val="center"/>
          </w:tcPr>
          <w:p w14:paraId="7732C4EB">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《土壤环境质量 建设用地土壤污染风险管控标准》（GB36600-2018）</w:t>
            </w:r>
          </w:p>
        </w:tc>
      </w:tr>
      <w:tr w14:paraId="3A96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336EFC1E">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76A8587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2311" w:type="dxa"/>
            <w:tcBorders>
              <w:tl2br w:val="nil"/>
              <w:tr2bl w:val="nil"/>
            </w:tcBorders>
            <w:vAlign w:val="center"/>
          </w:tcPr>
          <w:p w14:paraId="05B5FCF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镉</w:t>
            </w:r>
          </w:p>
        </w:tc>
        <w:tc>
          <w:tcPr>
            <w:tcW w:w="2066" w:type="dxa"/>
            <w:tcBorders>
              <w:tl2br w:val="nil"/>
              <w:tr2bl w:val="nil"/>
            </w:tcBorders>
            <w:vAlign w:val="center"/>
          </w:tcPr>
          <w:p w14:paraId="599BD19E">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65</w:t>
            </w:r>
          </w:p>
        </w:tc>
        <w:tc>
          <w:tcPr>
            <w:tcW w:w="2258" w:type="dxa"/>
            <w:vMerge w:val="continue"/>
            <w:tcBorders>
              <w:tl2br w:val="nil"/>
              <w:tr2bl w:val="nil"/>
            </w:tcBorders>
            <w:vAlign w:val="center"/>
          </w:tcPr>
          <w:p w14:paraId="04AD54ED">
            <w:pPr>
              <w:spacing w:line="240" w:lineRule="auto"/>
              <w:ind w:firstLine="0" w:firstLineChars="0"/>
              <w:jc w:val="center"/>
              <w:rPr>
                <w:rFonts w:hint="default" w:ascii="Times New Roman" w:hAnsi="Times New Roman" w:cs="Times New Roman"/>
                <w:bCs/>
                <w:color w:val="auto"/>
                <w:sz w:val="21"/>
                <w:szCs w:val="21"/>
                <w:highlight w:val="none"/>
              </w:rPr>
            </w:pPr>
          </w:p>
        </w:tc>
      </w:tr>
      <w:tr w14:paraId="1AF5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058" w:type="dxa"/>
            <w:vMerge w:val="continue"/>
            <w:tcBorders>
              <w:tl2br w:val="nil"/>
              <w:tr2bl w:val="nil"/>
            </w:tcBorders>
            <w:vAlign w:val="center"/>
          </w:tcPr>
          <w:p w14:paraId="27E79562">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63058500">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2311" w:type="dxa"/>
            <w:tcBorders>
              <w:tl2br w:val="nil"/>
              <w:tr2bl w:val="nil"/>
            </w:tcBorders>
            <w:vAlign w:val="center"/>
          </w:tcPr>
          <w:p w14:paraId="3AAD8A3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铬（六价）</w:t>
            </w:r>
          </w:p>
        </w:tc>
        <w:tc>
          <w:tcPr>
            <w:tcW w:w="2066" w:type="dxa"/>
            <w:tcBorders>
              <w:tl2br w:val="nil"/>
              <w:tr2bl w:val="nil"/>
            </w:tcBorders>
            <w:vAlign w:val="center"/>
          </w:tcPr>
          <w:p w14:paraId="7091AA5B">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5.7</w:t>
            </w:r>
          </w:p>
        </w:tc>
        <w:tc>
          <w:tcPr>
            <w:tcW w:w="2258" w:type="dxa"/>
            <w:vMerge w:val="continue"/>
            <w:tcBorders>
              <w:tl2br w:val="nil"/>
              <w:tr2bl w:val="nil"/>
            </w:tcBorders>
            <w:vAlign w:val="center"/>
          </w:tcPr>
          <w:p w14:paraId="5E7735B5">
            <w:pPr>
              <w:spacing w:line="240" w:lineRule="auto"/>
              <w:ind w:firstLine="0" w:firstLineChars="0"/>
              <w:jc w:val="center"/>
              <w:rPr>
                <w:rFonts w:hint="default" w:ascii="Times New Roman" w:hAnsi="Times New Roman" w:cs="Times New Roman"/>
                <w:bCs/>
                <w:color w:val="auto"/>
                <w:sz w:val="21"/>
                <w:szCs w:val="21"/>
                <w:highlight w:val="none"/>
              </w:rPr>
            </w:pPr>
          </w:p>
        </w:tc>
      </w:tr>
      <w:tr w14:paraId="415D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A6FCDB4">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4403245D">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w:t>
            </w:r>
          </w:p>
        </w:tc>
        <w:tc>
          <w:tcPr>
            <w:tcW w:w="2311" w:type="dxa"/>
            <w:tcBorders>
              <w:tl2br w:val="nil"/>
              <w:tr2bl w:val="nil"/>
            </w:tcBorders>
            <w:vAlign w:val="center"/>
          </w:tcPr>
          <w:p w14:paraId="7E54A3FD">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铜</w:t>
            </w:r>
          </w:p>
        </w:tc>
        <w:tc>
          <w:tcPr>
            <w:tcW w:w="2066" w:type="dxa"/>
            <w:tcBorders>
              <w:tl2br w:val="nil"/>
              <w:tr2bl w:val="nil"/>
            </w:tcBorders>
            <w:vAlign w:val="center"/>
          </w:tcPr>
          <w:p w14:paraId="7634231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18000</w:t>
            </w:r>
          </w:p>
        </w:tc>
        <w:tc>
          <w:tcPr>
            <w:tcW w:w="2258" w:type="dxa"/>
            <w:vMerge w:val="continue"/>
            <w:tcBorders>
              <w:tl2br w:val="nil"/>
              <w:tr2bl w:val="nil"/>
            </w:tcBorders>
            <w:vAlign w:val="center"/>
          </w:tcPr>
          <w:p w14:paraId="138FC59C">
            <w:pPr>
              <w:spacing w:line="240" w:lineRule="auto"/>
              <w:ind w:firstLine="0" w:firstLineChars="0"/>
              <w:jc w:val="center"/>
              <w:rPr>
                <w:rFonts w:hint="default" w:ascii="Times New Roman" w:hAnsi="Times New Roman" w:cs="Times New Roman"/>
                <w:bCs/>
                <w:color w:val="auto"/>
                <w:sz w:val="21"/>
                <w:szCs w:val="21"/>
                <w:highlight w:val="none"/>
              </w:rPr>
            </w:pPr>
          </w:p>
        </w:tc>
      </w:tr>
      <w:tr w14:paraId="2D5D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53F69546">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032BDA5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2311" w:type="dxa"/>
            <w:tcBorders>
              <w:tl2br w:val="nil"/>
              <w:tr2bl w:val="nil"/>
            </w:tcBorders>
            <w:vAlign w:val="center"/>
          </w:tcPr>
          <w:p w14:paraId="7BEEAB4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铅</w:t>
            </w:r>
          </w:p>
        </w:tc>
        <w:tc>
          <w:tcPr>
            <w:tcW w:w="2066" w:type="dxa"/>
            <w:tcBorders>
              <w:tl2br w:val="nil"/>
              <w:tr2bl w:val="nil"/>
            </w:tcBorders>
            <w:vAlign w:val="center"/>
          </w:tcPr>
          <w:p w14:paraId="7B77DDB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800</w:t>
            </w:r>
          </w:p>
        </w:tc>
        <w:tc>
          <w:tcPr>
            <w:tcW w:w="2258" w:type="dxa"/>
            <w:vMerge w:val="continue"/>
            <w:tcBorders>
              <w:tl2br w:val="nil"/>
              <w:tr2bl w:val="nil"/>
            </w:tcBorders>
            <w:vAlign w:val="center"/>
          </w:tcPr>
          <w:p w14:paraId="4F68CF94">
            <w:pPr>
              <w:spacing w:line="240" w:lineRule="auto"/>
              <w:ind w:firstLine="0" w:firstLineChars="0"/>
              <w:jc w:val="center"/>
              <w:rPr>
                <w:rFonts w:hint="default" w:ascii="Times New Roman" w:hAnsi="Times New Roman" w:cs="Times New Roman"/>
                <w:bCs/>
                <w:color w:val="auto"/>
                <w:sz w:val="21"/>
                <w:szCs w:val="21"/>
                <w:highlight w:val="none"/>
              </w:rPr>
            </w:pPr>
          </w:p>
        </w:tc>
      </w:tr>
      <w:tr w14:paraId="56A4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3ED52E5D">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509D7BB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w:t>
            </w:r>
          </w:p>
        </w:tc>
        <w:tc>
          <w:tcPr>
            <w:tcW w:w="2311" w:type="dxa"/>
            <w:tcBorders>
              <w:tl2br w:val="nil"/>
              <w:tr2bl w:val="nil"/>
            </w:tcBorders>
            <w:vAlign w:val="center"/>
          </w:tcPr>
          <w:p w14:paraId="3AE0A28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汞</w:t>
            </w:r>
          </w:p>
        </w:tc>
        <w:tc>
          <w:tcPr>
            <w:tcW w:w="2066" w:type="dxa"/>
            <w:tcBorders>
              <w:tl2br w:val="nil"/>
              <w:tr2bl w:val="nil"/>
            </w:tcBorders>
            <w:vAlign w:val="center"/>
          </w:tcPr>
          <w:p w14:paraId="48870D0C">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38</w:t>
            </w:r>
          </w:p>
        </w:tc>
        <w:tc>
          <w:tcPr>
            <w:tcW w:w="2258" w:type="dxa"/>
            <w:vMerge w:val="continue"/>
            <w:tcBorders>
              <w:tl2br w:val="nil"/>
              <w:tr2bl w:val="nil"/>
            </w:tcBorders>
            <w:vAlign w:val="center"/>
          </w:tcPr>
          <w:p w14:paraId="49FAC083">
            <w:pPr>
              <w:spacing w:line="240" w:lineRule="auto"/>
              <w:ind w:firstLine="0" w:firstLineChars="0"/>
              <w:jc w:val="center"/>
              <w:rPr>
                <w:rFonts w:hint="default" w:ascii="Times New Roman" w:hAnsi="Times New Roman" w:cs="Times New Roman"/>
                <w:bCs/>
                <w:color w:val="auto"/>
                <w:sz w:val="21"/>
                <w:szCs w:val="21"/>
                <w:highlight w:val="none"/>
              </w:rPr>
            </w:pPr>
          </w:p>
        </w:tc>
      </w:tr>
      <w:tr w14:paraId="3378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058" w:type="dxa"/>
            <w:vMerge w:val="continue"/>
            <w:tcBorders>
              <w:tl2br w:val="nil"/>
              <w:tr2bl w:val="nil"/>
            </w:tcBorders>
            <w:vAlign w:val="center"/>
          </w:tcPr>
          <w:p w14:paraId="102F3211">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462ED6A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w:t>
            </w:r>
          </w:p>
        </w:tc>
        <w:tc>
          <w:tcPr>
            <w:tcW w:w="2311" w:type="dxa"/>
            <w:tcBorders>
              <w:tl2br w:val="nil"/>
              <w:tr2bl w:val="nil"/>
            </w:tcBorders>
            <w:vAlign w:val="center"/>
          </w:tcPr>
          <w:p w14:paraId="6A5C5AA8">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镍</w:t>
            </w:r>
          </w:p>
        </w:tc>
        <w:tc>
          <w:tcPr>
            <w:tcW w:w="2066" w:type="dxa"/>
            <w:tcBorders>
              <w:tl2br w:val="nil"/>
              <w:tr2bl w:val="nil"/>
            </w:tcBorders>
            <w:vAlign w:val="center"/>
          </w:tcPr>
          <w:p w14:paraId="1720036E">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900</w:t>
            </w:r>
          </w:p>
        </w:tc>
        <w:tc>
          <w:tcPr>
            <w:tcW w:w="2258" w:type="dxa"/>
            <w:vMerge w:val="continue"/>
            <w:tcBorders>
              <w:tl2br w:val="nil"/>
              <w:tr2bl w:val="nil"/>
            </w:tcBorders>
            <w:vAlign w:val="center"/>
          </w:tcPr>
          <w:p w14:paraId="2EF73F53">
            <w:pPr>
              <w:spacing w:line="240" w:lineRule="auto"/>
              <w:ind w:firstLine="0" w:firstLineChars="0"/>
              <w:jc w:val="center"/>
              <w:rPr>
                <w:rFonts w:hint="default" w:ascii="Times New Roman" w:hAnsi="Times New Roman" w:cs="Times New Roman"/>
                <w:bCs/>
                <w:color w:val="auto"/>
                <w:sz w:val="21"/>
                <w:szCs w:val="21"/>
                <w:highlight w:val="none"/>
              </w:rPr>
            </w:pPr>
          </w:p>
        </w:tc>
      </w:tr>
      <w:tr w14:paraId="2891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8362" w:type="dxa"/>
            <w:gridSpan w:val="5"/>
            <w:tcBorders>
              <w:tl2br w:val="nil"/>
              <w:tr2bl w:val="nil"/>
            </w:tcBorders>
            <w:vAlign w:val="center"/>
          </w:tcPr>
          <w:p w14:paraId="7FBD374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挥发性有机物</w:t>
            </w:r>
          </w:p>
        </w:tc>
      </w:tr>
      <w:tr w14:paraId="21DE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restart"/>
            <w:tcBorders>
              <w:tl2br w:val="nil"/>
              <w:tr2bl w:val="nil"/>
            </w:tcBorders>
            <w:vAlign w:val="center"/>
          </w:tcPr>
          <w:p w14:paraId="7D799128">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第二类用地筛选值</w:t>
            </w:r>
          </w:p>
        </w:tc>
        <w:tc>
          <w:tcPr>
            <w:tcW w:w="669" w:type="dxa"/>
            <w:tcBorders>
              <w:tl2br w:val="nil"/>
              <w:tr2bl w:val="nil"/>
            </w:tcBorders>
            <w:vAlign w:val="center"/>
          </w:tcPr>
          <w:p w14:paraId="1BCF41E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w:t>
            </w:r>
          </w:p>
        </w:tc>
        <w:tc>
          <w:tcPr>
            <w:tcW w:w="2311" w:type="dxa"/>
            <w:tcBorders>
              <w:tl2br w:val="nil"/>
              <w:tr2bl w:val="nil"/>
            </w:tcBorders>
            <w:vAlign w:val="center"/>
          </w:tcPr>
          <w:p w14:paraId="0782D6B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四氯化碳</w:t>
            </w:r>
          </w:p>
        </w:tc>
        <w:tc>
          <w:tcPr>
            <w:tcW w:w="2066" w:type="dxa"/>
            <w:tcBorders>
              <w:tl2br w:val="nil"/>
              <w:tr2bl w:val="nil"/>
            </w:tcBorders>
            <w:vAlign w:val="center"/>
          </w:tcPr>
          <w:p w14:paraId="1847490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2.8</w:t>
            </w:r>
          </w:p>
        </w:tc>
        <w:tc>
          <w:tcPr>
            <w:tcW w:w="2258" w:type="dxa"/>
            <w:vMerge w:val="restart"/>
            <w:tcBorders>
              <w:tl2br w:val="nil"/>
              <w:tr2bl w:val="nil"/>
            </w:tcBorders>
            <w:vAlign w:val="center"/>
          </w:tcPr>
          <w:p w14:paraId="455580D0">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《土壤环境质量 建设用地土壤污染风险管控标准》（GB36600-2018）</w:t>
            </w:r>
          </w:p>
        </w:tc>
      </w:tr>
      <w:tr w14:paraId="7C61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5FA52AE">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0F837F1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9</w:t>
            </w:r>
          </w:p>
        </w:tc>
        <w:tc>
          <w:tcPr>
            <w:tcW w:w="2311" w:type="dxa"/>
            <w:tcBorders>
              <w:tl2br w:val="nil"/>
              <w:tr2bl w:val="nil"/>
            </w:tcBorders>
            <w:vAlign w:val="center"/>
          </w:tcPr>
          <w:p w14:paraId="3E3E22B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氯仿</w:t>
            </w:r>
          </w:p>
        </w:tc>
        <w:tc>
          <w:tcPr>
            <w:tcW w:w="2066" w:type="dxa"/>
            <w:tcBorders>
              <w:tl2br w:val="nil"/>
              <w:tr2bl w:val="nil"/>
            </w:tcBorders>
            <w:vAlign w:val="center"/>
          </w:tcPr>
          <w:p w14:paraId="64B978B6">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0.9</w:t>
            </w:r>
          </w:p>
        </w:tc>
        <w:tc>
          <w:tcPr>
            <w:tcW w:w="2258" w:type="dxa"/>
            <w:vMerge w:val="continue"/>
            <w:tcBorders>
              <w:tl2br w:val="nil"/>
              <w:tr2bl w:val="nil"/>
            </w:tcBorders>
            <w:vAlign w:val="center"/>
          </w:tcPr>
          <w:p w14:paraId="3DBE3B17">
            <w:pPr>
              <w:spacing w:line="240" w:lineRule="auto"/>
              <w:ind w:firstLine="0" w:firstLineChars="0"/>
              <w:jc w:val="center"/>
              <w:rPr>
                <w:rFonts w:hint="default" w:ascii="Times New Roman" w:hAnsi="Times New Roman" w:cs="Times New Roman"/>
                <w:bCs/>
                <w:color w:val="auto"/>
                <w:sz w:val="21"/>
                <w:szCs w:val="21"/>
                <w:highlight w:val="none"/>
              </w:rPr>
            </w:pPr>
          </w:p>
        </w:tc>
      </w:tr>
      <w:tr w14:paraId="4D66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2C9D1798">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3ED7C2E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w:t>
            </w:r>
          </w:p>
        </w:tc>
        <w:tc>
          <w:tcPr>
            <w:tcW w:w="2311" w:type="dxa"/>
            <w:tcBorders>
              <w:tl2br w:val="nil"/>
              <w:tr2bl w:val="nil"/>
            </w:tcBorders>
            <w:vAlign w:val="center"/>
          </w:tcPr>
          <w:p w14:paraId="48E2F21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氯甲烷</w:t>
            </w:r>
          </w:p>
        </w:tc>
        <w:tc>
          <w:tcPr>
            <w:tcW w:w="2066" w:type="dxa"/>
            <w:tcBorders>
              <w:tl2br w:val="nil"/>
              <w:tr2bl w:val="nil"/>
            </w:tcBorders>
            <w:vAlign w:val="center"/>
          </w:tcPr>
          <w:p w14:paraId="11608A73">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37</w:t>
            </w:r>
          </w:p>
        </w:tc>
        <w:tc>
          <w:tcPr>
            <w:tcW w:w="2258" w:type="dxa"/>
            <w:vMerge w:val="continue"/>
            <w:tcBorders>
              <w:tl2br w:val="nil"/>
              <w:tr2bl w:val="nil"/>
            </w:tcBorders>
            <w:vAlign w:val="center"/>
          </w:tcPr>
          <w:p w14:paraId="1374D8B2">
            <w:pPr>
              <w:spacing w:line="240" w:lineRule="auto"/>
              <w:ind w:firstLine="0" w:firstLineChars="0"/>
              <w:jc w:val="center"/>
              <w:rPr>
                <w:rFonts w:hint="default" w:ascii="Times New Roman" w:hAnsi="Times New Roman" w:cs="Times New Roman"/>
                <w:bCs/>
                <w:color w:val="auto"/>
                <w:sz w:val="21"/>
                <w:szCs w:val="21"/>
                <w:highlight w:val="none"/>
              </w:rPr>
            </w:pPr>
          </w:p>
        </w:tc>
      </w:tr>
      <w:tr w14:paraId="65A9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3F457287">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7B3614B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w:t>
            </w:r>
          </w:p>
        </w:tc>
        <w:tc>
          <w:tcPr>
            <w:tcW w:w="2311" w:type="dxa"/>
            <w:tcBorders>
              <w:tl2br w:val="nil"/>
              <w:tr2bl w:val="nil"/>
            </w:tcBorders>
            <w:vAlign w:val="center"/>
          </w:tcPr>
          <w:p w14:paraId="7232C68C">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1，1-二氯乙烷</w:t>
            </w:r>
          </w:p>
        </w:tc>
        <w:tc>
          <w:tcPr>
            <w:tcW w:w="2066" w:type="dxa"/>
            <w:tcBorders>
              <w:tl2br w:val="nil"/>
              <w:tr2bl w:val="nil"/>
            </w:tcBorders>
            <w:vAlign w:val="center"/>
          </w:tcPr>
          <w:p w14:paraId="0111C323">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9</w:t>
            </w:r>
          </w:p>
        </w:tc>
        <w:tc>
          <w:tcPr>
            <w:tcW w:w="2258" w:type="dxa"/>
            <w:vMerge w:val="continue"/>
            <w:tcBorders>
              <w:tl2br w:val="nil"/>
              <w:tr2bl w:val="nil"/>
            </w:tcBorders>
            <w:vAlign w:val="center"/>
          </w:tcPr>
          <w:p w14:paraId="1FBE7202">
            <w:pPr>
              <w:spacing w:line="240" w:lineRule="auto"/>
              <w:ind w:firstLine="0" w:firstLineChars="0"/>
              <w:jc w:val="center"/>
              <w:rPr>
                <w:rFonts w:hint="default" w:ascii="Times New Roman" w:hAnsi="Times New Roman" w:cs="Times New Roman"/>
                <w:bCs/>
                <w:color w:val="auto"/>
                <w:sz w:val="21"/>
                <w:szCs w:val="21"/>
                <w:highlight w:val="none"/>
              </w:rPr>
            </w:pPr>
          </w:p>
        </w:tc>
      </w:tr>
      <w:tr w14:paraId="13B6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1E6372C0">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2CDEC4F8">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w:t>
            </w:r>
          </w:p>
        </w:tc>
        <w:tc>
          <w:tcPr>
            <w:tcW w:w="2311" w:type="dxa"/>
            <w:tcBorders>
              <w:tl2br w:val="nil"/>
              <w:tr2bl w:val="nil"/>
            </w:tcBorders>
            <w:vAlign w:val="center"/>
          </w:tcPr>
          <w:p w14:paraId="2E7CDE7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1.2-二氯乙烷</w:t>
            </w:r>
          </w:p>
        </w:tc>
        <w:tc>
          <w:tcPr>
            <w:tcW w:w="2066" w:type="dxa"/>
            <w:tcBorders>
              <w:tl2br w:val="nil"/>
              <w:tr2bl w:val="nil"/>
            </w:tcBorders>
            <w:vAlign w:val="center"/>
          </w:tcPr>
          <w:p w14:paraId="64DAA37E">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2258" w:type="dxa"/>
            <w:vMerge w:val="continue"/>
            <w:tcBorders>
              <w:tl2br w:val="nil"/>
              <w:tr2bl w:val="nil"/>
            </w:tcBorders>
            <w:vAlign w:val="center"/>
          </w:tcPr>
          <w:p w14:paraId="0AFBCCE8">
            <w:pPr>
              <w:spacing w:line="240" w:lineRule="auto"/>
              <w:ind w:firstLine="0" w:firstLineChars="0"/>
              <w:jc w:val="center"/>
              <w:rPr>
                <w:rFonts w:hint="default" w:ascii="Times New Roman" w:hAnsi="Times New Roman" w:cs="Times New Roman"/>
                <w:bCs/>
                <w:color w:val="auto"/>
                <w:sz w:val="21"/>
                <w:szCs w:val="21"/>
                <w:highlight w:val="none"/>
              </w:rPr>
            </w:pPr>
          </w:p>
        </w:tc>
      </w:tr>
      <w:tr w14:paraId="1CB3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147AFC14">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1CF992A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13</w:t>
            </w:r>
          </w:p>
        </w:tc>
        <w:tc>
          <w:tcPr>
            <w:tcW w:w="2311" w:type="dxa"/>
            <w:tcBorders>
              <w:tl2br w:val="nil"/>
              <w:tr2bl w:val="nil"/>
            </w:tcBorders>
            <w:vAlign w:val="center"/>
          </w:tcPr>
          <w:p w14:paraId="45EC1060">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1，1-二氯乙烯</w:t>
            </w:r>
          </w:p>
        </w:tc>
        <w:tc>
          <w:tcPr>
            <w:tcW w:w="2066" w:type="dxa"/>
            <w:tcBorders>
              <w:tl2br w:val="nil"/>
              <w:tr2bl w:val="nil"/>
            </w:tcBorders>
            <w:vAlign w:val="center"/>
          </w:tcPr>
          <w:p w14:paraId="0EB3E5F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66</w:t>
            </w:r>
          </w:p>
        </w:tc>
        <w:tc>
          <w:tcPr>
            <w:tcW w:w="2258" w:type="dxa"/>
            <w:vMerge w:val="continue"/>
            <w:tcBorders>
              <w:tl2br w:val="nil"/>
              <w:tr2bl w:val="nil"/>
            </w:tcBorders>
            <w:vAlign w:val="center"/>
          </w:tcPr>
          <w:p w14:paraId="4C6ECFE4">
            <w:pPr>
              <w:spacing w:line="240" w:lineRule="auto"/>
              <w:ind w:firstLine="0" w:firstLineChars="0"/>
              <w:jc w:val="center"/>
              <w:rPr>
                <w:rFonts w:hint="default" w:ascii="Times New Roman" w:hAnsi="Times New Roman" w:cs="Times New Roman"/>
                <w:bCs/>
                <w:color w:val="auto"/>
                <w:sz w:val="21"/>
                <w:szCs w:val="21"/>
                <w:highlight w:val="none"/>
              </w:rPr>
            </w:pPr>
          </w:p>
        </w:tc>
      </w:tr>
      <w:tr w14:paraId="530B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06B89E67">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75D299BC">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14</w:t>
            </w:r>
          </w:p>
        </w:tc>
        <w:tc>
          <w:tcPr>
            <w:tcW w:w="2311" w:type="dxa"/>
            <w:tcBorders>
              <w:tl2br w:val="nil"/>
              <w:tr2bl w:val="nil"/>
            </w:tcBorders>
            <w:vAlign w:val="center"/>
          </w:tcPr>
          <w:p w14:paraId="09F6B4A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顺-1，2-二氯乙烯</w:t>
            </w:r>
          </w:p>
        </w:tc>
        <w:tc>
          <w:tcPr>
            <w:tcW w:w="2066" w:type="dxa"/>
            <w:tcBorders>
              <w:tl2br w:val="nil"/>
              <w:tr2bl w:val="nil"/>
            </w:tcBorders>
            <w:vAlign w:val="center"/>
          </w:tcPr>
          <w:p w14:paraId="2982687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596</w:t>
            </w:r>
          </w:p>
        </w:tc>
        <w:tc>
          <w:tcPr>
            <w:tcW w:w="2258" w:type="dxa"/>
            <w:vMerge w:val="continue"/>
            <w:tcBorders>
              <w:tl2br w:val="nil"/>
              <w:tr2bl w:val="nil"/>
            </w:tcBorders>
            <w:vAlign w:val="center"/>
          </w:tcPr>
          <w:p w14:paraId="3AA5AE13">
            <w:pPr>
              <w:spacing w:line="240" w:lineRule="auto"/>
              <w:ind w:firstLine="0" w:firstLineChars="0"/>
              <w:jc w:val="center"/>
              <w:rPr>
                <w:rFonts w:hint="default" w:ascii="Times New Roman" w:hAnsi="Times New Roman" w:cs="Times New Roman"/>
                <w:bCs/>
                <w:color w:val="auto"/>
                <w:sz w:val="21"/>
                <w:szCs w:val="21"/>
                <w:highlight w:val="none"/>
              </w:rPr>
            </w:pPr>
          </w:p>
        </w:tc>
      </w:tr>
      <w:tr w14:paraId="454C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42FDA56A">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104AAD4D">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2311" w:type="dxa"/>
            <w:tcBorders>
              <w:tl2br w:val="nil"/>
              <w:tr2bl w:val="nil"/>
            </w:tcBorders>
            <w:vAlign w:val="center"/>
          </w:tcPr>
          <w:p w14:paraId="33CA3E0D">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反-1.2-二氯乙烯</w:t>
            </w:r>
          </w:p>
        </w:tc>
        <w:tc>
          <w:tcPr>
            <w:tcW w:w="2066" w:type="dxa"/>
            <w:tcBorders>
              <w:tl2br w:val="nil"/>
              <w:tr2bl w:val="nil"/>
            </w:tcBorders>
            <w:vAlign w:val="center"/>
          </w:tcPr>
          <w:p w14:paraId="2455A6C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54</w:t>
            </w:r>
          </w:p>
        </w:tc>
        <w:tc>
          <w:tcPr>
            <w:tcW w:w="2258" w:type="dxa"/>
            <w:vMerge w:val="continue"/>
            <w:tcBorders>
              <w:tl2br w:val="nil"/>
              <w:tr2bl w:val="nil"/>
            </w:tcBorders>
            <w:vAlign w:val="center"/>
          </w:tcPr>
          <w:p w14:paraId="0BA2AA16">
            <w:pPr>
              <w:spacing w:line="240" w:lineRule="auto"/>
              <w:ind w:firstLine="0" w:firstLineChars="0"/>
              <w:jc w:val="center"/>
              <w:rPr>
                <w:rFonts w:hint="default" w:ascii="Times New Roman" w:hAnsi="Times New Roman" w:cs="Times New Roman"/>
                <w:bCs/>
                <w:color w:val="auto"/>
                <w:sz w:val="21"/>
                <w:szCs w:val="21"/>
                <w:highlight w:val="none"/>
              </w:rPr>
            </w:pPr>
          </w:p>
        </w:tc>
      </w:tr>
      <w:tr w14:paraId="03C4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808BAD6">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66A4B8A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16</w:t>
            </w:r>
          </w:p>
        </w:tc>
        <w:tc>
          <w:tcPr>
            <w:tcW w:w="2311" w:type="dxa"/>
            <w:tcBorders>
              <w:tl2br w:val="nil"/>
              <w:tr2bl w:val="nil"/>
            </w:tcBorders>
            <w:vAlign w:val="center"/>
          </w:tcPr>
          <w:p w14:paraId="500C69AC">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二氯甲烷</w:t>
            </w:r>
          </w:p>
        </w:tc>
        <w:tc>
          <w:tcPr>
            <w:tcW w:w="2066" w:type="dxa"/>
            <w:tcBorders>
              <w:tl2br w:val="nil"/>
              <w:tr2bl w:val="nil"/>
            </w:tcBorders>
            <w:vAlign w:val="center"/>
          </w:tcPr>
          <w:p w14:paraId="79BC4C4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616</w:t>
            </w:r>
          </w:p>
        </w:tc>
        <w:tc>
          <w:tcPr>
            <w:tcW w:w="2258" w:type="dxa"/>
            <w:vMerge w:val="continue"/>
            <w:tcBorders>
              <w:tl2br w:val="nil"/>
              <w:tr2bl w:val="nil"/>
            </w:tcBorders>
            <w:vAlign w:val="center"/>
          </w:tcPr>
          <w:p w14:paraId="34E4A093">
            <w:pPr>
              <w:spacing w:line="240" w:lineRule="auto"/>
              <w:ind w:firstLine="0" w:firstLineChars="0"/>
              <w:jc w:val="center"/>
              <w:rPr>
                <w:rFonts w:hint="default" w:ascii="Times New Roman" w:hAnsi="Times New Roman" w:cs="Times New Roman"/>
                <w:bCs/>
                <w:color w:val="auto"/>
                <w:sz w:val="21"/>
                <w:szCs w:val="21"/>
                <w:highlight w:val="none"/>
              </w:rPr>
            </w:pPr>
          </w:p>
        </w:tc>
      </w:tr>
      <w:tr w14:paraId="31AE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4181BAD3">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1951A73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17</w:t>
            </w:r>
          </w:p>
        </w:tc>
        <w:tc>
          <w:tcPr>
            <w:tcW w:w="2311" w:type="dxa"/>
            <w:tcBorders>
              <w:tl2br w:val="nil"/>
              <w:tr2bl w:val="nil"/>
            </w:tcBorders>
            <w:vAlign w:val="center"/>
          </w:tcPr>
          <w:p w14:paraId="0F57EFE0">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1，2-二氯丙烷</w:t>
            </w:r>
          </w:p>
        </w:tc>
        <w:tc>
          <w:tcPr>
            <w:tcW w:w="2066" w:type="dxa"/>
            <w:tcBorders>
              <w:tl2br w:val="nil"/>
              <w:tr2bl w:val="nil"/>
            </w:tcBorders>
            <w:vAlign w:val="center"/>
          </w:tcPr>
          <w:p w14:paraId="6B7DCE9B">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2258" w:type="dxa"/>
            <w:vMerge w:val="continue"/>
            <w:tcBorders>
              <w:tl2br w:val="nil"/>
              <w:tr2bl w:val="nil"/>
            </w:tcBorders>
            <w:vAlign w:val="center"/>
          </w:tcPr>
          <w:p w14:paraId="4AF3F3D5">
            <w:pPr>
              <w:spacing w:line="240" w:lineRule="auto"/>
              <w:ind w:firstLine="0" w:firstLineChars="0"/>
              <w:jc w:val="center"/>
              <w:rPr>
                <w:rFonts w:hint="default" w:ascii="Times New Roman" w:hAnsi="Times New Roman" w:cs="Times New Roman"/>
                <w:bCs/>
                <w:color w:val="auto"/>
                <w:sz w:val="21"/>
                <w:szCs w:val="21"/>
                <w:highlight w:val="none"/>
              </w:rPr>
            </w:pPr>
          </w:p>
        </w:tc>
      </w:tr>
      <w:tr w14:paraId="0B9F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44BCEAA5">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2FEE134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18</w:t>
            </w:r>
          </w:p>
        </w:tc>
        <w:tc>
          <w:tcPr>
            <w:tcW w:w="2311" w:type="dxa"/>
            <w:tcBorders>
              <w:tl2br w:val="nil"/>
              <w:tr2bl w:val="nil"/>
            </w:tcBorders>
            <w:vAlign w:val="center"/>
          </w:tcPr>
          <w:p w14:paraId="32BEA72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1，1，1，2-四氯乙烷</w:t>
            </w:r>
          </w:p>
        </w:tc>
        <w:tc>
          <w:tcPr>
            <w:tcW w:w="2066" w:type="dxa"/>
            <w:tcBorders>
              <w:tl2br w:val="nil"/>
              <w:tr2bl w:val="nil"/>
            </w:tcBorders>
            <w:vAlign w:val="center"/>
          </w:tcPr>
          <w:p w14:paraId="1CA25E4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w:t>
            </w:r>
          </w:p>
        </w:tc>
        <w:tc>
          <w:tcPr>
            <w:tcW w:w="2258" w:type="dxa"/>
            <w:vMerge w:val="continue"/>
            <w:tcBorders>
              <w:tl2br w:val="nil"/>
              <w:tr2bl w:val="nil"/>
            </w:tcBorders>
            <w:vAlign w:val="center"/>
          </w:tcPr>
          <w:p w14:paraId="7BAF756F">
            <w:pPr>
              <w:spacing w:line="240" w:lineRule="auto"/>
              <w:ind w:firstLine="0" w:firstLineChars="0"/>
              <w:jc w:val="center"/>
              <w:rPr>
                <w:rFonts w:hint="default" w:ascii="Times New Roman" w:hAnsi="Times New Roman" w:cs="Times New Roman"/>
                <w:bCs/>
                <w:color w:val="auto"/>
                <w:sz w:val="21"/>
                <w:szCs w:val="21"/>
                <w:highlight w:val="none"/>
              </w:rPr>
            </w:pPr>
          </w:p>
        </w:tc>
      </w:tr>
      <w:tr w14:paraId="736D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4C4DB463">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5EC1DAFC">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19</w:t>
            </w:r>
          </w:p>
        </w:tc>
        <w:tc>
          <w:tcPr>
            <w:tcW w:w="2311" w:type="dxa"/>
            <w:tcBorders>
              <w:tl2br w:val="nil"/>
              <w:tr2bl w:val="nil"/>
            </w:tcBorders>
            <w:vAlign w:val="center"/>
          </w:tcPr>
          <w:p w14:paraId="7C52837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1，1，2，2-四氯乙烷</w:t>
            </w:r>
          </w:p>
        </w:tc>
        <w:tc>
          <w:tcPr>
            <w:tcW w:w="2066" w:type="dxa"/>
            <w:tcBorders>
              <w:tl2br w:val="nil"/>
              <w:tr2bl w:val="nil"/>
            </w:tcBorders>
            <w:vAlign w:val="center"/>
          </w:tcPr>
          <w:p w14:paraId="6130C2F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6.8</w:t>
            </w:r>
          </w:p>
        </w:tc>
        <w:tc>
          <w:tcPr>
            <w:tcW w:w="2258" w:type="dxa"/>
            <w:vMerge w:val="continue"/>
            <w:tcBorders>
              <w:tl2br w:val="nil"/>
              <w:tr2bl w:val="nil"/>
            </w:tcBorders>
            <w:vAlign w:val="center"/>
          </w:tcPr>
          <w:p w14:paraId="663297A9">
            <w:pPr>
              <w:spacing w:line="240" w:lineRule="auto"/>
              <w:ind w:firstLine="0" w:firstLineChars="0"/>
              <w:jc w:val="center"/>
              <w:rPr>
                <w:rFonts w:hint="default" w:ascii="Times New Roman" w:hAnsi="Times New Roman" w:cs="Times New Roman"/>
                <w:bCs/>
                <w:color w:val="auto"/>
                <w:sz w:val="21"/>
                <w:szCs w:val="21"/>
                <w:highlight w:val="none"/>
              </w:rPr>
            </w:pPr>
          </w:p>
        </w:tc>
      </w:tr>
      <w:tr w14:paraId="5778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7B557B0F">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22D262A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20</w:t>
            </w:r>
          </w:p>
        </w:tc>
        <w:tc>
          <w:tcPr>
            <w:tcW w:w="2311" w:type="dxa"/>
            <w:tcBorders>
              <w:tl2br w:val="nil"/>
              <w:tr2bl w:val="nil"/>
            </w:tcBorders>
            <w:vAlign w:val="center"/>
          </w:tcPr>
          <w:p w14:paraId="61381828">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四氯乙烯</w:t>
            </w:r>
          </w:p>
        </w:tc>
        <w:tc>
          <w:tcPr>
            <w:tcW w:w="2066" w:type="dxa"/>
            <w:tcBorders>
              <w:tl2br w:val="nil"/>
              <w:tr2bl w:val="nil"/>
            </w:tcBorders>
            <w:vAlign w:val="center"/>
          </w:tcPr>
          <w:p w14:paraId="343F724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53</w:t>
            </w:r>
          </w:p>
        </w:tc>
        <w:tc>
          <w:tcPr>
            <w:tcW w:w="2258" w:type="dxa"/>
            <w:vMerge w:val="continue"/>
            <w:tcBorders>
              <w:tl2br w:val="nil"/>
              <w:tr2bl w:val="nil"/>
            </w:tcBorders>
            <w:vAlign w:val="center"/>
          </w:tcPr>
          <w:p w14:paraId="678C67D5">
            <w:pPr>
              <w:spacing w:line="240" w:lineRule="auto"/>
              <w:ind w:firstLine="0" w:firstLineChars="0"/>
              <w:jc w:val="center"/>
              <w:rPr>
                <w:rFonts w:hint="default" w:ascii="Times New Roman" w:hAnsi="Times New Roman" w:cs="Times New Roman"/>
                <w:bCs/>
                <w:color w:val="auto"/>
                <w:sz w:val="21"/>
                <w:szCs w:val="21"/>
                <w:highlight w:val="none"/>
              </w:rPr>
            </w:pPr>
          </w:p>
        </w:tc>
      </w:tr>
      <w:tr w14:paraId="08B1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352CF057">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59D4DCD0">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21</w:t>
            </w:r>
          </w:p>
        </w:tc>
        <w:tc>
          <w:tcPr>
            <w:tcW w:w="2311" w:type="dxa"/>
            <w:tcBorders>
              <w:tl2br w:val="nil"/>
              <w:tr2bl w:val="nil"/>
            </w:tcBorders>
            <w:vAlign w:val="center"/>
          </w:tcPr>
          <w:p w14:paraId="141BBDDB">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1，1，1-三氯乙烷</w:t>
            </w:r>
          </w:p>
        </w:tc>
        <w:tc>
          <w:tcPr>
            <w:tcW w:w="2066" w:type="dxa"/>
            <w:tcBorders>
              <w:tl2br w:val="nil"/>
              <w:tr2bl w:val="nil"/>
            </w:tcBorders>
            <w:vAlign w:val="center"/>
          </w:tcPr>
          <w:p w14:paraId="1EE2253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840</w:t>
            </w:r>
          </w:p>
        </w:tc>
        <w:tc>
          <w:tcPr>
            <w:tcW w:w="2258" w:type="dxa"/>
            <w:vMerge w:val="continue"/>
            <w:tcBorders>
              <w:tl2br w:val="nil"/>
              <w:tr2bl w:val="nil"/>
            </w:tcBorders>
            <w:vAlign w:val="center"/>
          </w:tcPr>
          <w:p w14:paraId="13DA84B1">
            <w:pPr>
              <w:spacing w:line="240" w:lineRule="auto"/>
              <w:ind w:firstLine="0" w:firstLineChars="0"/>
              <w:jc w:val="center"/>
              <w:rPr>
                <w:rFonts w:hint="default" w:ascii="Times New Roman" w:hAnsi="Times New Roman" w:cs="Times New Roman"/>
                <w:bCs/>
                <w:color w:val="auto"/>
                <w:sz w:val="21"/>
                <w:szCs w:val="21"/>
                <w:highlight w:val="none"/>
              </w:rPr>
            </w:pPr>
          </w:p>
        </w:tc>
      </w:tr>
      <w:tr w14:paraId="2E7C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385B1D66">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72B0F55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22</w:t>
            </w:r>
          </w:p>
        </w:tc>
        <w:tc>
          <w:tcPr>
            <w:tcW w:w="2311" w:type="dxa"/>
            <w:tcBorders>
              <w:tl2br w:val="nil"/>
              <w:tr2bl w:val="nil"/>
            </w:tcBorders>
            <w:vAlign w:val="center"/>
          </w:tcPr>
          <w:p w14:paraId="73C3882B">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1，1，2-三氯乙烷</w:t>
            </w:r>
          </w:p>
        </w:tc>
        <w:tc>
          <w:tcPr>
            <w:tcW w:w="2066" w:type="dxa"/>
            <w:tcBorders>
              <w:tl2br w:val="nil"/>
              <w:tr2bl w:val="nil"/>
            </w:tcBorders>
            <w:vAlign w:val="center"/>
          </w:tcPr>
          <w:p w14:paraId="7ADAF5D6">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2.8</w:t>
            </w:r>
          </w:p>
        </w:tc>
        <w:tc>
          <w:tcPr>
            <w:tcW w:w="2258" w:type="dxa"/>
            <w:vMerge w:val="continue"/>
            <w:tcBorders>
              <w:tl2br w:val="nil"/>
              <w:tr2bl w:val="nil"/>
            </w:tcBorders>
            <w:vAlign w:val="center"/>
          </w:tcPr>
          <w:p w14:paraId="7D1F0A26">
            <w:pPr>
              <w:spacing w:line="240" w:lineRule="auto"/>
              <w:ind w:firstLine="0" w:firstLineChars="0"/>
              <w:jc w:val="center"/>
              <w:rPr>
                <w:rFonts w:hint="default" w:ascii="Times New Roman" w:hAnsi="Times New Roman" w:cs="Times New Roman"/>
                <w:bCs/>
                <w:color w:val="auto"/>
                <w:sz w:val="21"/>
                <w:szCs w:val="21"/>
                <w:highlight w:val="none"/>
              </w:rPr>
            </w:pPr>
          </w:p>
        </w:tc>
      </w:tr>
      <w:tr w14:paraId="163B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001463CE">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5D6305E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23</w:t>
            </w:r>
          </w:p>
        </w:tc>
        <w:tc>
          <w:tcPr>
            <w:tcW w:w="2311" w:type="dxa"/>
            <w:tcBorders>
              <w:tl2br w:val="nil"/>
              <w:tr2bl w:val="nil"/>
            </w:tcBorders>
            <w:vAlign w:val="center"/>
          </w:tcPr>
          <w:p w14:paraId="5D20DB3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三氯乙烯</w:t>
            </w:r>
          </w:p>
        </w:tc>
        <w:tc>
          <w:tcPr>
            <w:tcW w:w="2066" w:type="dxa"/>
            <w:tcBorders>
              <w:tl2br w:val="nil"/>
              <w:tr2bl w:val="nil"/>
            </w:tcBorders>
            <w:vAlign w:val="center"/>
          </w:tcPr>
          <w:p w14:paraId="25AEB48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2.8</w:t>
            </w:r>
          </w:p>
        </w:tc>
        <w:tc>
          <w:tcPr>
            <w:tcW w:w="2258" w:type="dxa"/>
            <w:vMerge w:val="continue"/>
            <w:tcBorders>
              <w:tl2br w:val="nil"/>
              <w:tr2bl w:val="nil"/>
            </w:tcBorders>
            <w:vAlign w:val="center"/>
          </w:tcPr>
          <w:p w14:paraId="7443D281">
            <w:pPr>
              <w:spacing w:line="240" w:lineRule="auto"/>
              <w:ind w:firstLine="0" w:firstLineChars="0"/>
              <w:jc w:val="center"/>
              <w:rPr>
                <w:rFonts w:hint="default" w:ascii="Times New Roman" w:hAnsi="Times New Roman" w:cs="Times New Roman"/>
                <w:bCs/>
                <w:color w:val="auto"/>
                <w:sz w:val="21"/>
                <w:szCs w:val="21"/>
                <w:highlight w:val="none"/>
              </w:rPr>
            </w:pPr>
          </w:p>
        </w:tc>
      </w:tr>
      <w:tr w14:paraId="4074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058" w:type="dxa"/>
            <w:vMerge w:val="continue"/>
            <w:tcBorders>
              <w:tl2br w:val="nil"/>
              <w:tr2bl w:val="nil"/>
            </w:tcBorders>
            <w:vAlign w:val="center"/>
          </w:tcPr>
          <w:p w14:paraId="63D88D6F">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77331A0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24</w:t>
            </w:r>
          </w:p>
        </w:tc>
        <w:tc>
          <w:tcPr>
            <w:tcW w:w="2311" w:type="dxa"/>
            <w:tcBorders>
              <w:tl2br w:val="nil"/>
              <w:tr2bl w:val="nil"/>
            </w:tcBorders>
            <w:vAlign w:val="center"/>
          </w:tcPr>
          <w:p w14:paraId="3A67214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1，2，3-三氯丙烷</w:t>
            </w:r>
          </w:p>
        </w:tc>
        <w:tc>
          <w:tcPr>
            <w:tcW w:w="2066" w:type="dxa"/>
            <w:tcBorders>
              <w:tl2br w:val="nil"/>
              <w:tr2bl w:val="nil"/>
            </w:tcBorders>
            <w:vAlign w:val="center"/>
          </w:tcPr>
          <w:p w14:paraId="06453A5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0.5</w:t>
            </w:r>
          </w:p>
        </w:tc>
        <w:tc>
          <w:tcPr>
            <w:tcW w:w="2258" w:type="dxa"/>
            <w:vMerge w:val="continue"/>
            <w:tcBorders>
              <w:tl2br w:val="nil"/>
              <w:tr2bl w:val="nil"/>
            </w:tcBorders>
            <w:vAlign w:val="center"/>
          </w:tcPr>
          <w:p w14:paraId="1F1D4DEE">
            <w:pPr>
              <w:spacing w:line="240" w:lineRule="auto"/>
              <w:ind w:firstLine="0" w:firstLineChars="0"/>
              <w:jc w:val="center"/>
              <w:rPr>
                <w:rFonts w:hint="default" w:ascii="Times New Roman" w:hAnsi="Times New Roman" w:cs="Times New Roman"/>
                <w:bCs/>
                <w:color w:val="auto"/>
                <w:sz w:val="21"/>
                <w:szCs w:val="21"/>
                <w:highlight w:val="none"/>
              </w:rPr>
            </w:pPr>
          </w:p>
        </w:tc>
      </w:tr>
      <w:tr w14:paraId="49AF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5406F07">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6EB8854B">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25</w:t>
            </w:r>
          </w:p>
        </w:tc>
        <w:tc>
          <w:tcPr>
            <w:tcW w:w="2311" w:type="dxa"/>
            <w:tcBorders>
              <w:tl2br w:val="nil"/>
              <w:tr2bl w:val="nil"/>
            </w:tcBorders>
            <w:vAlign w:val="center"/>
          </w:tcPr>
          <w:p w14:paraId="6F2664AE">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氯乙烯</w:t>
            </w:r>
          </w:p>
        </w:tc>
        <w:tc>
          <w:tcPr>
            <w:tcW w:w="2066" w:type="dxa"/>
            <w:tcBorders>
              <w:tl2br w:val="nil"/>
              <w:tr2bl w:val="nil"/>
            </w:tcBorders>
            <w:vAlign w:val="center"/>
          </w:tcPr>
          <w:p w14:paraId="08D910AD">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0.43</w:t>
            </w:r>
          </w:p>
        </w:tc>
        <w:tc>
          <w:tcPr>
            <w:tcW w:w="2258" w:type="dxa"/>
            <w:vMerge w:val="continue"/>
            <w:tcBorders>
              <w:tl2br w:val="nil"/>
              <w:tr2bl w:val="nil"/>
            </w:tcBorders>
            <w:vAlign w:val="center"/>
          </w:tcPr>
          <w:p w14:paraId="32EBCD7F">
            <w:pPr>
              <w:spacing w:line="240" w:lineRule="auto"/>
              <w:ind w:firstLine="0" w:firstLineChars="0"/>
              <w:jc w:val="center"/>
              <w:rPr>
                <w:rFonts w:hint="default" w:ascii="Times New Roman" w:hAnsi="Times New Roman" w:cs="Times New Roman"/>
                <w:bCs/>
                <w:color w:val="auto"/>
                <w:sz w:val="21"/>
                <w:szCs w:val="21"/>
                <w:highlight w:val="none"/>
              </w:rPr>
            </w:pPr>
          </w:p>
        </w:tc>
      </w:tr>
      <w:tr w14:paraId="5B1A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2ABCF21">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3D1817D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26</w:t>
            </w:r>
          </w:p>
        </w:tc>
        <w:tc>
          <w:tcPr>
            <w:tcW w:w="2311" w:type="dxa"/>
            <w:tcBorders>
              <w:tl2br w:val="nil"/>
              <w:tr2bl w:val="nil"/>
            </w:tcBorders>
            <w:vAlign w:val="center"/>
          </w:tcPr>
          <w:p w14:paraId="54D33E3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苯</w:t>
            </w:r>
          </w:p>
        </w:tc>
        <w:tc>
          <w:tcPr>
            <w:tcW w:w="2066" w:type="dxa"/>
            <w:tcBorders>
              <w:tl2br w:val="nil"/>
              <w:tr2bl w:val="nil"/>
            </w:tcBorders>
            <w:vAlign w:val="center"/>
          </w:tcPr>
          <w:p w14:paraId="2EFCE32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w:t>
            </w:r>
          </w:p>
        </w:tc>
        <w:tc>
          <w:tcPr>
            <w:tcW w:w="2258" w:type="dxa"/>
            <w:vMerge w:val="continue"/>
            <w:tcBorders>
              <w:tl2br w:val="nil"/>
              <w:tr2bl w:val="nil"/>
            </w:tcBorders>
            <w:vAlign w:val="center"/>
          </w:tcPr>
          <w:p w14:paraId="6901CB46">
            <w:pPr>
              <w:spacing w:line="240" w:lineRule="auto"/>
              <w:ind w:firstLine="0" w:firstLineChars="0"/>
              <w:jc w:val="center"/>
              <w:rPr>
                <w:rFonts w:hint="default" w:ascii="Times New Roman" w:hAnsi="Times New Roman" w:cs="Times New Roman"/>
                <w:bCs/>
                <w:color w:val="auto"/>
                <w:sz w:val="21"/>
                <w:szCs w:val="21"/>
                <w:highlight w:val="none"/>
              </w:rPr>
            </w:pPr>
          </w:p>
        </w:tc>
      </w:tr>
      <w:tr w14:paraId="5674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34780ACA">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5B0B7E6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27</w:t>
            </w:r>
          </w:p>
        </w:tc>
        <w:tc>
          <w:tcPr>
            <w:tcW w:w="2311" w:type="dxa"/>
            <w:tcBorders>
              <w:tl2br w:val="nil"/>
              <w:tr2bl w:val="nil"/>
            </w:tcBorders>
            <w:vAlign w:val="center"/>
          </w:tcPr>
          <w:p w14:paraId="05E7099B">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氯苯</w:t>
            </w:r>
          </w:p>
        </w:tc>
        <w:tc>
          <w:tcPr>
            <w:tcW w:w="2066" w:type="dxa"/>
            <w:tcBorders>
              <w:tl2br w:val="nil"/>
              <w:tr2bl w:val="nil"/>
            </w:tcBorders>
            <w:vAlign w:val="center"/>
          </w:tcPr>
          <w:p w14:paraId="3E046B8D">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270</w:t>
            </w:r>
          </w:p>
        </w:tc>
        <w:tc>
          <w:tcPr>
            <w:tcW w:w="2258" w:type="dxa"/>
            <w:vMerge w:val="continue"/>
            <w:tcBorders>
              <w:tl2br w:val="nil"/>
              <w:tr2bl w:val="nil"/>
            </w:tcBorders>
            <w:vAlign w:val="center"/>
          </w:tcPr>
          <w:p w14:paraId="4A1D8FAA">
            <w:pPr>
              <w:spacing w:line="240" w:lineRule="auto"/>
              <w:ind w:firstLine="0" w:firstLineChars="0"/>
              <w:jc w:val="center"/>
              <w:rPr>
                <w:rFonts w:hint="default" w:ascii="Times New Roman" w:hAnsi="Times New Roman" w:cs="Times New Roman"/>
                <w:bCs/>
                <w:color w:val="auto"/>
                <w:sz w:val="21"/>
                <w:szCs w:val="21"/>
                <w:highlight w:val="none"/>
              </w:rPr>
            </w:pPr>
          </w:p>
        </w:tc>
      </w:tr>
      <w:tr w14:paraId="50F8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F1EE50C">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4246C0F3">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28</w:t>
            </w:r>
          </w:p>
        </w:tc>
        <w:tc>
          <w:tcPr>
            <w:tcW w:w="2311" w:type="dxa"/>
            <w:tcBorders>
              <w:tl2br w:val="nil"/>
              <w:tr2bl w:val="nil"/>
            </w:tcBorders>
            <w:vAlign w:val="center"/>
          </w:tcPr>
          <w:p w14:paraId="0835E4FE">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1，2-二氯苯</w:t>
            </w:r>
          </w:p>
        </w:tc>
        <w:tc>
          <w:tcPr>
            <w:tcW w:w="2066" w:type="dxa"/>
            <w:tcBorders>
              <w:tl2br w:val="nil"/>
              <w:tr2bl w:val="nil"/>
            </w:tcBorders>
            <w:vAlign w:val="center"/>
          </w:tcPr>
          <w:p w14:paraId="53D46D2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560</w:t>
            </w:r>
          </w:p>
        </w:tc>
        <w:tc>
          <w:tcPr>
            <w:tcW w:w="2258" w:type="dxa"/>
            <w:vMerge w:val="continue"/>
            <w:tcBorders>
              <w:tl2br w:val="nil"/>
              <w:tr2bl w:val="nil"/>
            </w:tcBorders>
            <w:vAlign w:val="center"/>
          </w:tcPr>
          <w:p w14:paraId="3C3ABEBA">
            <w:pPr>
              <w:spacing w:line="240" w:lineRule="auto"/>
              <w:ind w:firstLine="0" w:firstLineChars="0"/>
              <w:jc w:val="center"/>
              <w:rPr>
                <w:rFonts w:hint="default" w:ascii="Times New Roman" w:hAnsi="Times New Roman" w:cs="Times New Roman"/>
                <w:bCs/>
                <w:color w:val="auto"/>
                <w:sz w:val="21"/>
                <w:szCs w:val="21"/>
                <w:highlight w:val="none"/>
              </w:rPr>
            </w:pPr>
          </w:p>
        </w:tc>
      </w:tr>
      <w:tr w14:paraId="135D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2EFD085E">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12D80C86">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29</w:t>
            </w:r>
          </w:p>
        </w:tc>
        <w:tc>
          <w:tcPr>
            <w:tcW w:w="2311" w:type="dxa"/>
            <w:tcBorders>
              <w:tl2br w:val="nil"/>
              <w:tr2bl w:val="nil"/>
            </w:tcBorders>
            <w:vAlign w:val="center"/>
          </w:tcPr>
          <w:p w14:paraId="167FFDA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1，4-二氯苯</w:t>
            </w:r>
          </w:p>
        </w:tc>
        <w:tc>
          <w:tcPr>
            <w:tcW w:w="2066" w:type="dxa"/>
            <w:tcBorders>
              <w:tl2br w:val="nil"/>
              <w:tr2bl w:val="nil"/>
            </w:tcBorders>
            <w:vAlign w:val="center"/>
          </w:tcPr>
          <w:p w14:paraId="6446AA6E">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20</w:t>
            </w:r>
          </w:p>
        </w:tc>
        <w:tc>
          <w:tcPr>
            <w:tcW w:w="2258" w:type="dxa"/>
            <w:vMerge w:val="continue"/>
            <w:tcBorders>
              <w:tl2br w:val="nil"/>
              <w:tr2bl w:val="nil"/>
            </w:tcBorders>
            <w:vAlign w:val="center"/>
          </w:tcPr>
          <w:p w14:paraId="113E1D5C">
            <w:pPr>
              <w:spacing w:line="240" w:lineRule="auto"/>
              <w:ind w:firstLine="0" w:firstLineChars="0"/>
              <w:jc w:val="center"/>
              <w:rPr>
                <w:rFonts w:hint="default" w:ascii="Times New Roman" w:hAnsi="Times New Roman" w:cs="Times New Roman"/>
                <w:bCs/>
                <w:color w:val="auto"/>
                <w:sz w:val="21"/>
                <w:szCs w:val="21"/>
                <w:highlight w:val="none"/>
              </w:rPr>
            </w:pPr>
          </w:p>
        </w:tc>
      </w:tr>
      <w:tr w14:paraId="236B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1A5DAECD">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61ED6373">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30</w:t>
            </w:r>
          </w:p>
        </w:tc>
        <w:tc>
          <w:tcPr>
            <w:tcW w:w="2311" w:type="dxa"/>
            <w:tcBorders>
              <w:tl2br w:val="nil"/>
              <w:tr2bl w:val="nil"/>
            </w:tcBorders>
            <w:vAlign w:val="center"/>
          </w:tcPr>
          <w:p w14:paraId="7B513B5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乙苯</w:t>
            </w:r>
          </w:p>
        </w:tc>
        <w:tc>
          <w:tcPr>
            <w:tcW w:w="2066" w:type="dxa"/>
            <w:tcBorders>
              <w:tl2br w:val="nil"/>
              <w:tr2bl w:val="nil"/>
            </w:tcBorders>
            <w:vAlign w:val="center"/>
          </w:tcPr>
          <w:p w14:paraId="46701A68">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28</w:t>
            </w:r>
          </w:p>
        </w:tc>
        <w:tc>
          <w:tcPr>
            <w:tcW w:w="2258" w:type="dxa"/>
            <w:vMerge w:val="continue"/>
            <w:tcBorders>
              <w:tl2br w:val="nil"/>
              <w:tr2bl w:val="nil"/>
            </w:tcBorders>
            <w:vAlign w:val="center"/>
          </w:tcPr>
          <w:p w14:paraId="2BBEBE1B">
            <w:pPr>
              <w:spacing w:line="240" w:lineRule="auto"/>
              <w:ind w:firstLine="0" w:firstLineChars="0"/>
              <w:jc w:val="center"/>
              <w:rPr>
                <w:rFonts w:hint="default" w:ascii="Times New Roman" w:hAnsi="Times New Roman" w:cs="Times New Roman"/>
                <w:bCs/>
                <w:color w:val="auto"/>
                <w:sz w:val="21"/>
                <w:szCs w:val="21"/>
                <w:highlight w:val="none"/>
              </w:rPr>
            </w:pPr>
          </w:p>
        </w:tc>
      </w:tr>
      <w:tr w14:paraId="4DE1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273C0A2B">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35E3F30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31</w:t>
            </w:r>
          </w:p>
        </w:tc>
        <w:tc>
          <w:tcPr>
            <w:tcW w:w="2311" w:type="dxa"/>
            <w:tcBorders>
              <w:tl2br w:val="nil"/>
              <w:tr2bl w:val="nil"/>
            </w:tcBorders>
            <w:vAlign w:val="center"/>
          </w:tcPr>
          <w:p w14:paraId="118A3AE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苯乙烯</w:t>
            </w:r>
          </w:p>
        </w:tc>
        <w:tc>
          <w:tcPr>
            <w:tcW w:w="2066" w:type="dxa"/>
            <w:tcBorders>
              <w:tl2br w:val="nil"/>
              <w:tr2bl w:val="nil"/>
            </w:tcBorders>
            <w:vAlign w:val="center"/>
          </w:tcPr>
          <w:p w14:paraId="09C51FD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1290</w:t>
            </w:r>
          </w:p>
        </w:tc>
        <w:tc>
          <w:tcPr>
            <w:tcW w:w="2258" w:type="dxa"/>
            <w:vMerge w:val="continue"/>
            <w:tcBorders>
              <w:tl2br w:val="nil"/>
              <w:tr2bl w:val="nil"/>
            </w:tcBorders>
            <w:vAlign w:val="center"/>
          </w:tcPr>
          <w:p w14:paraId="7EDCAF24">
            <w:pPr>
              <w:spacing w:line="240" w:lineRule="auto"/>
              <w:ind w:firstLine="0" w:firstLineChars="0"/>
              <w:jc w:val="center"/>
              <w:rPr>
                <w:rFonts w:hint="default" w:ascii="Times New Roman" w:hAnsi="Times New Roman" w:cs="Times New Roman"/>
                <w:bCs/>
                <w:color w:val="auto"/>
                <w:sz w:val="21"/>
                <w:szCs w:val="21"/>
                <w:highlight w:val="none"/>
              </w:rPr>
            </w:pPr>
          </w:p>
        </w:tc>
      </w:tr>
      <w:tr w14:paraId="60D3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232B0EC5">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07252779">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32</w:t>
            </w:r>
          </w:p>
        </w:tc>
        <w:tc>
          <w:tcPr>
            <w:tcW w:w="2311" w:type="dxa"/>
            <w:tcBorders>
              <w:tl2br w:val="nil"/>
              <w:tr2bl w:val="nil"/>
            </w:tcBorders>
            <w:vAlign w:val="center"/>
          </w:tcPr>
          <w:p w14:paraId="6EC2B5C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甲苯</w:t>
            </w:r>
          </w:p>
        </w:tc>
        <w:tc>
          <w:tcPr>
            <w:tcW w:w="2066" w:type="dxa"/>
            <w:tcBorders>
              <w:tl2br w:val="nil"/>
              <w:tr2bl w:val="nil"/>
            </w:tcBorders>
            <w:vAlign w:val="center"/>
          </w:tcPr>
          <w:p w14:paraId="1F2E299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1200</w:t>
            </w:r>
          </w:p>
        </w:tc>
        <w:tc>
          <w:tcPr>
            <w:tcW w:w="2258" w:type="dxa"/>
            <w:vMerge w:val="continue"/>
            <w:tcBorders>
              <w:tl2br w:val="nil"/>
              <w:tr2bl w:val="nil"/>
            </w:tcBorders>
            <w:vAlign w:val="center"/>
          </w:tcPr>
          <w:p w14:paraId="6C8CCB5D">
            <w:pPr>
              <w:spacing w:line="240" w:lineRule="auto"/>
              <w:ind w:firstLine="0" w:firstLineChars="0"/>
              <w:jc w:val="center"/>
              <w:rPr>
                <w:rFonts w:hint="default" w:ascii="Times New Roman" w:hAnsi="Times New Roman" w:cs="Times New Roman"/>
                <w:bCs/>
                <w:color w:val="auto"/>
                <w:sz w:val="21"/>
                <w:szCs w:val="21"/>
                <w:highlight w:val="none"/>
              </w:rPr>
            </w:pPr>
          </w:p>
        </w:tc>
      </w:tr>
      <w:tr w14:paraId="69FA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4945FE10">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0A679F8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33</w:t>
            </w:r>
          </w:p>
        </w:tc>
        <w:tc>
          <w:tcPr>
            <w:tcW w:w="2311" w:type="dxa"/>
            <w:tcBorders>
              <w:tl2br w:val="nil"/>
              <w:tr2bl w:val="nil"/>
            </w:tcBorders>
            <w:vAlign w:val="center"/>
          </w:tcPr>
          <w:p w14:paraId="4808697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间二甲苯+对二甲苯</w:t>
            </w:r>
          </w:p>
        </w:tc>
        <w:tc>
          <w:tcPr>
            <w:tcW w:w="2066" w:type="dxa"/>
            <w:tcBorders>
              <w:tl2br w:val="nil"/>
              <w:tr2bl w:val="nil"/>
            </w:tcBorders>
            <w:vAlign w:val="center"/>
          </w:tcPr>
          <w:p w14:paraId="6599E3A9">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570</w:t>
            </w:r>
          </w:p>
        </w:tc>
        <w:tc>
          <w:tcPr>
            <w:tcW w:w="2258" w:type="dxa"/>
            <w:vMerge w:val="continue"/>
            <w:tcBorders>
              <w:tl2br w:val="nil"/>
              <w:tr2bl w:val="nil"/>
            </w:tcBorders>
            <w:vAlign w:val="center"/>
          </w:tcPr>
          <w:p w14:paraId="2BAD77E4">
            <w:pPr>
              <w:spacing w:line="240" w:lineRule="auto"/>
              <w:ind w:firstLine="0" w:firstLineChars="0"/>
              <w:jc w:val="center"/>
              <w:rPr>
                <w:rFonts w:hint="default" w:ascii="Times New Roman" w:hAnsi="Times New Roman" w:cs="Times New Roman"/>
                <w:bCs/>
                <w:color w:val="auto"/>
                <w:sz w:val="21"/>
                <w:szCs w:val="21"/>
                <w:highlight w:val="none"/>
              </w:rPr>
            </w:pPr>
          </w:p>
        </w:tc>
      </w:tr>
      <w:tr w14:paraId="3696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07E4B71D">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63641C8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34</w:t>
            </w:r>
          </w:p>
        </w:tc>
        <w:tc>
          <w:tcPr>
            <w:tcW w:w="2311" w:type="dxa"/>
            <w:tcBorders>
              <w:tl2br w:val="nil"/>
              <w:tr2bl w:val="nil"/>
            </w:tcBorders>
            <w:vAlign w:val="center"/>
          </w:tcPr>
          <w:p w14:paraId="4D59E8E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邻二甲苯</w:t>
            </w:r>
          </w:p>
        </w:tc>
        <w:tc>
          <w:tcPr>
            <w:tcW w:w="2066" w:type="dxa"/>
            <w:tcBorders>
              <w:tl2br w:val="nil"/>
              <w:tr2bl w:val="nil"/>
            </w:tcBorders>
            <w:vAlign w:val="center"/>
          </w:tcPr>
          <w:p w14:paraId="3A8C1298">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640</w:t>
            </w:r>
          </w:p>
        </w:tc>
        <w:tc>
          <w:tcPr>
            <w:tcW w:w="2258" w:type="dxa"/>
            <w:vMerge w:val="continue"/>
            <w:tcBorders>
              <w:tl2br w:val="nil"/>
              <w:tr2bl w:val="nil"/>
            </w:tcBorders>
            <w:vAlign w:val="center"/>
          </w:tcPr>
          <w:p w14:paraId="6D5A6394">
            <w:pPr>
              <w:spacing w:line="240" w:lineRule="auto"/>
              <w:ind w:firstLine="0" w:firstLineChars="0"/>
              <w:jc w:val="center"/>
              <w:rPr>
                <w:rFonts w:hint="default" w:ascii="Times New Roman" w:hAnsi="Times New Roman" w:cs="Times New Roman"/>
                <w:bCs/>
                <w:color w:val="auto"/>
                <w:sz w:val="21"/>
                <w:szCs w:val="21"/>
                <w:highlight w:val="none"/>
              </w:rPr>
            </w:pPr>
          </w:p>
        </w:tc>
      </w:tr>
      <w:tr w14:paraId="0DB4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8362" w:type="dxa"/>
            <w:gridSpan w:val="5"/>
            <w:tcBorders>
              <w:tl2br w:val="nil"/>
              <w:tr2bl w:val="nil"/>
            </w:tcBorders>
            <w:vAlign w:val="center"/>
          </w:tcPr>
          <w:p w14:paraId="2996D073">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半挥发性有机物</w:t>
            </w:r>
          </w:p>
        </w:tc>
      </w:tr>
      <w:tr w14:paraId="3D78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restart"/>
            <w:tcBorders>
              <w:tl2br w:val="nil"/>
              <w:tr2bl w:val="nil"/>
            </w:tcBorders>
            <w:vAlign w:val="center"/>
          </w:tcPr>
          <w:p w14:paraId="6898C28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第二类用地筛选值</w:t>
            </w:r>
          </w:p>
        </w:tc>
        <w:tc>
          <w:tcPr>
            <w:tcW w:w="669" w:type="dxa"/>
            <w:tcBorders>
              <w:tl2br w:val="nil"/>
              <w:tr2bl w:val="nil"/>
            </w:tcBorders>
            <w:vAlign w:val="center"/>
          </w:tcPr>
          <w:p w14:paraId="04A50DE3">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35</w:t>
            </w:r>
          </w:p>
        </w:tc>
        <w:tc>
          <w:tcPr>
            <w:tcW w:w="2311" w:type="dxa"/>
            <w:tcBorders>
              <w:tl2br w:val="nil"/>
              <w:tr2bl w:val="nil"/>
            </w:tcBorders>
            <w:vAlign w:val="center"/>
          </w:tcPr>
          <w:p w14:paraId="47F96D5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硝基苯</w:t>
            </w:r>
          </w:p>
        </w:tc>
        <w:tc>
          <w:tcPr>
            <w:tcW w:w="2066" w:type="dxa"/>
            <w:tcBorders>
              <w:tl2br w:val="nil"/>
              <w:tr2bl w:val="nil"/>
            </w:tcBorders>
            <w:vAlign w:val="center"/>
          </w:tcPr>
          <w:p w14:paraId="51BE4699">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76</w:t>
            </w:r>
          </w:p>
        </w:tc>
        <w:tc>
          <w:tcPr>
            <w:tcW w:w="2258" w:type="dxa"/>
            <w:vMerge w:val="restart"/>
            <w:tcBorders>
              <w:tl2br w:val="nil"/>
              <w:tr2bl w:val="nil"/>
            </w:tcBorders>
            <w:vAlign w:val="center"/>
          </w:tcPr>
          <w:p w14:paraId="7C00F16A">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《土壤环境质量 建设用地土壤污染风险管控标准》（GB36600-2018）</w:t>
            </w:r>
          </w:p>
        </w:tc>
      </w:tr>
      <w:tr w14:paraId="59CB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725B878F">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5E0A8918">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36</w:t>
            </w:r>
          </w:p>
        </w:tc>
        <w:tc>
          <w:tcPr>
            <w:tcW w:w="2311" w:type="dxa"/>
            <w:tcBorders>
              <w:tl2br w:val="nil"/>
              <w:tr2bl w:val="nil"/>
            </w:tcBorders>
            <w:vAlign w:val="center"/>
          </w:tcPr>
          <w:p w14:paraId="6059413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苯胺</w:t>
            </w:r>
          </w:p>
        </w:tc>
        <w:tc>
          <w:tcPr>
            <w:tcW w:w="2066" w:type="dxa"/>
            <w:tcBorders>
              <w:tl2br w:val="nil"/>
              <w:tr2bl w:val="nil"/>
            </w:tcBorders>
            <w:vAlign w:val="center"/>
          </w:tcPr>
          <w:p w14:paraId="71E3548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260</w:t>
            </w:r>
          </w:p>
        </w:tc>
        <w:tc>
          <w:tcPr>
            <w:tcW w:w="2258" w:type="dxa"/>
            <w:vMerge w:val="continue"/>
            <w:tcBorders>
              <w:tl2br w:val="nil"/>
              <w:tr2bl w:val="nil"/>
            </w:tcBorders>
            <w:vAlign w:val="center"/>
          </w:tcPr>
          <w:p w14:paraId="775B9018">
            <w:pPr>
              <w:spacing w:line="240" w:lineRule="auto"/>
              <w:ind w:firstLine="0" w:firstLineChars="0"/>
              <w:jc w:val="center"/>
              <w:rPr>
                <w:rFonts w:hint="default" w:ascii="Times New Roman" w:hAnsi="Times New Roman" w:cs="Times New Roman"/>
                <w:bCs/>
                <w:color w:val="auto"/>
                <w:sz w:val="21"/>
                <w:szCs w:val="21"/>
                <w:highlight w:val="none"/>
              </w:rPr>
            </w:pPr>
          </w:p>
        </w:tc>
      </w:tr>
      <w:tr w14:paraId="7317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03B25B3E">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684125F8">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37</w:t>
            </w:r>
          </w:p>
        </w:tc>
        <w:tc>
          <w:tcPr>
            <w:tcW w:w="2311" w:type="dxa"/>
            <w:tcBorders>
              <w:tl2br w:val="nil"/>
              <w:tr2bl w:val="nil"/>
            </w:tcBorders>
            <w:vAlign w:val="center"/>
          </w:tcPr>
          <w:p w14:paraId="1DC05346">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2-氯酚</w:t>
            </w:r>
          </w:p>
        </w:tc>
        <w:tc>
          <w:tcPr>
            <w:tcW w:w="2066" w:type="dxa"/>
            <w:tcBorders>
              <w:tl2br w:val="nil"/>
              <w:tr2bl w:val="nil"/>
            </w:tcBorders>
            <w:vAlign w:val="center"/>
          </w:tcPr>
          <w:p w14:paraId="19A96E56">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2256</w:t>
            </w:r>
          </w:p>
        </w:tc>
        <w:tc>
          <w:tcPr>
            <w:tcW w:w="2258" w:type="dxa"/>
            <w:vMerge w:val="continue"/>
            <w:tcBorders>
              <w:tl2br w:val="nil"/>
              <w:tr2bl w:val="nil"/>
            </w:tcBorders>
            <w:vAlign w:val="center"/>
          </w:tcPr>
          <w:p w14:paraId="474C9E68">
            <w:pPr>
              <w:spacing w:line="240" w:lineRule="auto"/>
              <w:ind w:firstLine="0" w:firstLineChars="0"/>
              <w:jc w:val="center"/>
              <w:rPr>
                <w:rFonts w:hint="default" w:ascii="Times New Roman" w:hAnsi="Times New Roman" w:cs="Times New Roman"/>
                <w:bCs/>
                <w:color w:val="auto"/>
                <w:sz w:val="21"/>
                <w:szCs w:val="21"/>
                <w:highlight w:val="none"/>
              </w:rPr>
            </w:pPr>
          </w:p>
        </w:tc>
      </w:tr>
      <w:tr w14:paraId="06DF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2C7AD2EE">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4FEB12F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38</w:t>
            </w:r>
          </w:p>
        </w:tc>
        <w:tc>
          <w:tcPr>
            <w:tcW w:w="2311" w:type="dxa"/>
            <w:tcBorders>
              <w:tl2br w:val="nil"/>
              <w:tr2bl w:val="nil"/>
            </w:tcBorders>
            <w:vAlign w:val="center"/>
          </w:tcPr>
          <w:p w14:paraId="30BC05D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苯并[a]蒽</w:t>
            </w:r>
          </w:p>
        </w:tc>
        <w:tc>
          <w:tcPr>
            <w:tcW w:w="2066" w:type="dxa"/>
            <w:tcBorders>
              <w:tl2br w:val="nil"/>
              <w:tr2bl w:val="nil"/>
            </w:tcBorders>
            <w:vAlign w:val="center"/>
          </w:tcPr>
          <w:p w14:paraId="0E5AE8A9">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2258" w:type="dxa"/>
            <w:vMerge w:val="continue"/>
            <w:tcBorders>
              <w:tl2br w:val="nil"/>
              <w:tr2bl w:val="nil"/>
            </w:tcBorders>
            <w:vAlign w:val="center"/>
          </w:tcPr>
          <w:p w14:paraId="197EBD00">
            <w:pPr>
              <w:spacing w:line="240" w:lineRule="auto"/>
              <w:ind w:firstLine="0" w:firstLineChars="0"/>
              <w:jc w:val="center"/>
              <w:rPr>
                <w:rFonts w:hint="default" w:ascii="Times New Roman" w:hAnsi="Times New Roman" w:cs="Times New Roman"/>
                <w:bCs/>
                <w:color w:val="auto"/>
                <w:sz w:val="21"/>
                <w:szCs w:val="21"/>
                <w:highlight w:val="none"/>
              </w:rPr>
            </w:pPr>
          </w:p>
        </w:tc>
      </w:tr>
      <w:tr w14:paraId="0393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058" w:type="dxa"/>
            <w:vMerge w:val="continue"/>
            <w:tcBorders>
              <w:tl2br w:val="nil"/>
              <w:tr2bl w:val="nil"/>
            </w:tcBorders>
            <w:vAlign w:val="center"/>
          </w:tcPr>
          <w:p w14:paraId="229EA4C4">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26B443B6">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39</w:t>
            </w:r>
          </w:p>
        </w:tc>
        <w:tc>
          <w:tcPr>
            <w:tcW w:w="2311" w:type="dxa"/>
            <w:tcBorders>
              <w:tl2br w:val="nil"/>
              <w:tr2bl w:val="nil"/>
            </w:tcBorders>
            <w:vAlign w:val="center"/>
          </w:tcPr>
          <w:p w14:paraId="3EAAD83D">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苯并[a]芘</w:t>
            </w:r>
          </w:p>
        </w:tc>
        <w:tc>
          <w:tcPr>
            <w:tcW w:w="2066" w:type="dxa"/>
            <w:tcBorders>
              <w:tl2br w:val="nil"/>
              <w:tr2bl w:val="nil"/>
            </w:tcBorders>
            <w:vAlign w:val="center"/>
          </w:tcPr>
          <w:p w14:paraId="02E7F61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2258" w:type="dxa"/>
            <w:vMerge w:val="continue"/>
            <w:tcBorders>
              <w:tl2br w:val="nil"/>
              <w:tr2bl w:val="nil"/>
            </w:tcBorders>
            <w:vAlign w:val="center"/>
          </w:tcPr>
          <w:p w14:paraId="75C555A7">
            <w:pPr>
              <w:spacing w:line="240" w:lineRule="auto"/>
              <w:ind w:firstLine="0" w:firstLineChars="0"/>
              <w:jc w:val="center"/>
              <w:rPr>
                <w:rFonts w:hint="default" w:ascii="Times New Roman" w:hAnsi="Times New Roman" w:cs="Times New Roman"/>
                <w:bCs/>
                <w:color w:val="auto"/>
                <w:sz w:val="21"/>
                <w:szCs w:val="21"/>
                <w:highlight w:val="none"/>
              </w:rPr>
            </w:pPr>
          </w:p>
        </w:tc>
      </w:tr>
      <w:tr w14:paraId="2C48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058" w:type="dxa"/>
            <w:vMerge w:val="continue"/>
            <w:tcBorders>
              <w:tl2br w:val="nil"/>
              <w:tr2bl w:val="nil"/>
            </w:tcBorders>
            <w:vAlign w:val="center"/>
          </w:tcPr>
          <w:p w14:paraId="2B214D57">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35EF85A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40</w:t>
            </w:r>
          </w:p>
        </w:tc>
        <w:tc>
          <w:tcPr>
            <w:tcW w:w="2311" w:type="dxa"/>
            <w:tcBorders>
              <w:tl2br w:val="nil"/>
              <w:tr2bl w:val="nil"/>
            </w:tcBorders>
            <w:vAlign w:val="center"/>
          </w:tcPr>
          <w:p w14:paraId="4351846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苯并[b]荧蒽</w:t>
            </w:r>
          </w:p>
        </w:tc>
        <w:tc>
          <w:tcPr>
            <w:tcW w:w="2066" w:type="dxa"/>
            <w:tcBorders>
              <w:tl2br w:val="nil"/>
              <w:tr2bl w:val="nil"/>
            </w:tcBorders>
            <w:vAlign w:val="center"/>
          </w:tcPr>
          <w:p w14:paraId="1CDCDBC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2258" w:type="dxa"/>
            <w:vMerge w:val="continue"/>
            <w:tcBorders>
              <w:tl2br w:val="nil"/>
              <w:tr2bl w:val="nil"/>
            </w:tcBorders>
            <w:vAlign w:val="center"/>
          </w:tcPr>
          <w:p w14:paraId="4BA84C12">
            <w:pPr>
              <w:spacing w:line="240" w:lineRule="auto"/>
              <w:ind w:firstLine="0" w:firstLineChars="0"/>
              <w:jc w:val="center"/>
              <w:rPr>
                <w:rFonts w:hint="default" w:ascii="Times New Roman" w:hAnsi="Times New Roman" w:cs="Times New Roman"/>
                <w:bCs/>
                <w:color w:val="auto"/>
                <w:sz w:val="21"/>
                <w:szCs w:val="21"/>
                <w:highlight w:val="none"/>
              </w:rPr>
            </w:pPr>
          </w:p>
        </w:tc>
      </w:tr>
      <w:tr w14:paraId="1FF9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3122DB3D">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5976C490">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41</w:t>
            </w:r>
          </w:p>
        </w:tc>
        <w:tc>
          <w:tcPr>
            <w:tcW w:w="2311" w:type="dxa"/>
            <w:tcBorders>
              <w:tl2br w:val="nil"/>
              <w:tr2bl w:val="nil"/>
            </w:tcBorders>
            <w:vAlign w:val="center"/>
          </w:tcPr>
          <w:p w14:paraId="2BD09C4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苯并[k]荧蒽</w:t>
            </w:r>
          </w:p>
        </w:tc>
        <w:tc>
          <w:tcPr>
            <w:tcW w:w="2066" w:type="dxa"/>
            <w:tcBorders>
              <w:tl2br w:val="nil"/>
              <w:tr2bl w:val="nil"/>
            </w:tcBorders>
            <w:vAlign w:val="center"/>
          </w:tcPr>
          <w:p w14:paraId="32C87B11">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151</w:t>
            </w:r>
          </w:p>
        </w:tc>
        <w:tc>
          <w:tcPr>
            <w:tcW w:w="2258" w:type="dxa"/>
            <w:vMerge w:val="continue"/>
            <w:tcBorders>
              <w:tl2br w:val="nil"/>
              <w:tr2bl w:val="nil"/>
            </w:tcBorders>
            <w:vAlign w:val="center"/>
          </w:tcPr>
          <w:p w14:paraId="29581575">
            <w:pPr>
              <w:spacing w:line="240" w:lineRule="auto"/>
              <w:ind w:firstLine="0" w:firstLineChars="0"/>
              <w:jc w:val="center"/>
              <w:rPr>
                <w:rFonts w:hint="default" w:ascii="Times New Roman" w:hAnsi="Times New Roman" w:cs="Times New Roman"/>
                <w:bCs/>
                <w:color w:val="auto"/>
                <w:sz w:val="21"/>
                <w:szCs w:val="21"/>
                <w:highlight w:val="none"/>
              </w:rPr>
            </w:pPr>
          </w:p>
        </w:tc>
      </w:tr>
      <w:tr w14:paraId="7EE1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588E3A8A">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2DEB9D6F">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42</w:t>
            </w:r>
          </w:p>
        </w:tc>
        <w:tc>
          <w:tcPr>
            <w:tcW w:w="2311" w:type="dxa"/>
            <w:tcBorders>
              <w:tl2br w:val="nil"/>
              <w:tr2bl w:val="nil"/>
            </w:tcBorders>
            <w:vAlign w:val="center"/>
          </w:tcPr>
          <w:p w14:paraId="1BDC824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䓛</w:t>
            </w:r>
          </w:p>
        </w:tc>
        <w:tc>
          <w:tcPr>
            <w:tcW w:w="2066" w:type="dxa"/>
            <w:tcBorders>
              <w:tl2br w:val="nil"/>
              <w:tr2bl w:val="nil"/>
            </w:tcBorders>
            <w:vAlign w:val="center"/>
          </w:tcPr>
          <w:p w14:paraId="6BC7CB3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1293</w:t>
            </w:r>
          </w:p>
        </w:tc>
        <w:tc>
          <w:tcPr>
            <w:tcW w:w="2258" w:type="dxa"/>
            <w:vMerge w:val="continue"/>
            <w:tcBorders>
              <w:tl2br w:val="nil"/>
              <w:tr2bl w:val="nil"/>
            </w:tcBorders>
            <w:vAlign w:val="center"/>
          </w:tcPr>
          <w:p w14:paraId="67A143B4">
            <w:pPr>
              <w:spacing w:line="240" w:lineRule="auto"/>
              <w:ind w:firstLine="0" w:firstLineChars="0"/>
              <w:jc w:val="center"/>
              <w:rPr>
                <w:rFonts w:hint="default" w:ascii="Times New Roman" w:hAnsi="Times New Roman" w:cs="Times New Roman"/>
                <w:bCs/>
                <w:color w:val="auto"/>
                <w:sz w:val="21"/>
                <w:szCs w:val="21"/>
                <w:highlight w:val="none"/>
              </w:rPr>
            </w:pPr>
          </w:p>
        </w:tc>
      </w:tr>
      <w:tr w14:paraId="627D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4F19C972">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13712FE9">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43</w:t>
            </w:r>
          </w:p>
        </w:tc>
        <w:tc>
          <w:tcPr>
            <w:tcW w:w="2311" w:type="dxa"/>
            <w:tcBorders>
              <w:tl2br w:val="nil"/>
              <w:tr2bl w:val="nil"/>
            </w:tcBorders>
            <w:vAlign w:val="center"/>
          </w:tcPr>
          <w:p w14:paraId="035A0E56">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二苯并[a，h]蒽</w:t>
            </w:r>
          </w:p>
        </w:tc>
        <w:tc>
          <w:tcPr>
            <w:tcW w:w="2066" w:type="dxa"/>
            <w:tcBorders>
              <w:tl2br w:val="nil"/>
              <w:tr2bl w:val="nil"/>
            </w:tcBorders>
            <w:vAlign w:val="center"/>
          </w:tcPr>
          <w:p w14:paraId="4DD75E60">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2258" w:type="dxa"/>
            <w:vMerge w:val="continue"/>
            <w:tcBorders>
              <w:tl2br w:val="nil"/>
              <w:tr2bl w:val="nil"/>
            </w:tcBorders>
            <w:vAlign w:val="center"/>
          </w:tcPr>
          <w:p w14:paraId="302AB10A">
            <w:pPr>
              <w:spacing w:line="240" w:lineRule="auto"/>
              <w:ind w:firstLine="0" w:firstLineChars="0"/>
              <w:jc w:val="center"/>
              <w:rPr>
                <w:rFonts w:hint="default" w:ascii="Times New Roman" w:hAnsi="Times New Roman" w:cs="Times New Roman"/>
                <w:bCs/>
                <w:color w:val="auto"/>
                <w:sz w:val="21"/>
                <w:szCs w:val="21"/>
                <w:highlight w:val="none"/>
              </w:rPr>
            </w:pPr>
          </w:p>
        </w:tc>
      </w:tr>
      <w:tr w14:paraId="476A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46A2824">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0BAAF247">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44</w:t>
            </w:r>
          </w:p>
        </w:tc>
        <w:tc>
          <w:tcPr>
            <w:tcW w:w="2311" w:type="dxa"/>
            <w:tcBorders>
              <w:tl2br w:val="nil"/>
              <w:tr2bl w:val="nil"/>
            </w:tcBorders>
            <w:vAlign w:val="center"/>
          </w:tcPr>
          <w:p w14:paraId="3A67F59C">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茚并[1，2，3-cd]芘</w:t>
            </w:r>
          </w:p>
        </w:tc>
        <w:tc>
          <w:tcPr>
            <w:tcW w:w="2066" w:type="dxa"/>
            <w:tcBorders>
              <w:tl2br w:val="nil"/>
              <w:tr2bl w:val="nil"/>
            </w:tcBorders>
            <w:vAlign w:val="center"/>
          </w:tcPr>
          <w:p w14:paraId="4B81A495">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2258" w:type="dxa"/>
            <w:vMerge w:val="continue"/>
            <w:tcBorders>
              <w:tl2br w:val="nil"/>
              <w:tr2bl w:val="nil"/>
            </w:tcBorders>
            <w:vAlign w:val="center"/>
          </w:tcPr>
          <w:p w14:paraId="60B84479">
            <w:pPr>
              <w:spacing w:line="240" w:lineRule="auto"/>
              <w:ind w:firstLine="0" w:firstLineChars="0"/>
              <w:jc w:val="center"/>
              <w:rPr>
                <w:rFonts w:hint="default" w:ascii="Times New Roman" w:hAnsi="Times New Roman" w:cs="Times New Roman"/>
                <w:bCs/>
                <w:color w:val="auto"/>
                <w:sz w:val="21"/>
                <w:szCs w:val="21"/>
                <w:highlight w:val="none"/>
              </w:rPr>
            </w:pPr>
          </w:p>
        </w:tc>
      </w:tr>
      <w:tr w14:paraId="700C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1C1E53D2">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39C32A79">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45</w:t>
            </w:r>
          </w:p>
        </w:tc>
        <w:tc>
          <w:tcPr>
            <w:tcW w:w="2311" w:type="dxa"/>
            <w:tcBorders>
              <w:tl2br w:val="nil"/>
              <w:tr2bl w:val="nil"/>
            </w:tcBorders>
            <w:vAlign w:val="center"/>
          </w:tcPr>
          <w:p w14:paraId="3CF562B9">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萘</w:t>
            </w:r>
          </w:p>
        </w:tc>
        <w:tc>
          <w:tcPr>
            <w:tcW w:w="2066" w:type="dxa"/>
            <w:tcBorders>
              <w:tl2br w:val="nil"/>
              <w:tr2bl w:val="nil"/>
            </w:tcBorders>
            <w:vAlign w:val="center"/>
          </w:tcPr>
          <w:p w14:paraId="419165C2">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70</w:t>
            </w:r>
          </w:p>
        </w:tc>
        <w:tc>
          <w:tcPr>
            <w:tcW w:w="2258" w:type="dxa"/>
            <w:vMerge w:val="continue"/>
            <w:tcBorders>
              <w:tl2br w:val="nil"/>
              <w:tr2bl w:val="nil"/>
            </w:tcBorders>
            <w:vAlign w:val="center"/>
          </w:tcPr>
          <w:p w14:paraId="12834497">
            <w:pPr>
              <w:spacing w:line="240" w:lineRule="auto"/>
              <w:ind w:firstLine="0" w:firstLineChars="0"/>
              <w:jc w:val="center"/>
              <w:rPr>
                <w:rFonts w:hint="default" w:ascii="Times New Roman" w:hAnsi="Times New Roman" w:cs="Times New Roman"/>
                <w:bCs/>
                <w:color w:val="auto"/>
                <w:sz w:val="21"/>
                <w:szCs w:val="21"/>
                <w:highlight w:val="none"/>
              </w:rPr>
            </w:pPr>
          </w:p>
        </w:tc>
      </w:tr>
      <w:tr w14:paraId="1605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1FD62FB5">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0D7CFC89">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46</w:t>
            </w:r>
          </w:p>
        </w:tc>
        <w:tc>
          <w:tcPr>
            <w:tcW w:w="2311" w:type="dxa"/>
            <w:tcBorders>
              <w:tl2br w:val="nil"/>
              <w:tr2bl w:val="nil"/>
            </w:tcBorders>
            <w:vAlign w:val="center"/>
          </w:tcPr>
          <w:p w14:paraId="7933A5B7">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石油类</w:t>
            </w:r>
          </w:p>
        </w:tc>
        <w:tc>
          <w:tcPr>
            <w:tcW w:w="2066" w:type="dxa"/>
            <w:tcBorders>
              <w:tl2br w:val="nil"/>
              <w:tr2bl w:val="nil"/>
            </w:tcBorders>
            <w:vAlign w:val="center"/>
          </w:tcPr>
          <w:p w14:paraId="02ECA7F1">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4500</w:t>
            </w:r>
          </w:p>
        </w:tc>
        <w:tc>
          <w:tcPr>
            <w:tcW w:w="2258" w:type="dxa"/>
            <w:vMerge w:val="continue"/>
            <w:tcBorders>
              <w:tl2br w:val="nil"/>
              <w:tr2bl w:val="nil"/>
            </w:tcBorders>
            <w:vAlign w:val="center"/>
          </w:tcPr>
          <w:p w14:paraId="13B1C76F">
            <w:pPr>
              <w:spacing w:line="240" w:lineRule="auto"/>
              <w:ind w:firstLine="0" w:firstLineChars="0"/>
              <w:jc w:val="center"/>
              <w:rPr>
                <w:rFonts w:hint="default" w:ascii="Times New Roman" w:hAnsi="Times New Roman" w:cs="Times New Roman"/>
                <w:bCs/>
                <w:color w:val="auto"/>
                <w:sz w:val="21"/>
                <w:szCs w:val="21"/>
                <w:highlight w:val="none"/>
              </w:rPr>
            </w:pPr>
          </w:p>
        </w:tc>
      </w:tr>
      <w:tr w14:paraId="463A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restart"/>
            <w:tcBorders>
              <w:tl2br w:val="nil"/>
              <w:tr2bl w:val="nil"/>
            </w:tcBorders>
            <w:vAlign w:val="center"/>
          </w:tcPr>
          <w:p w14:paraId="52AE1E7D">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农用地</w:t>
            </w:r>
          </w:p>
        </w:tc>
        <w:tc>
          <w:tcPr>
            <w:tcW w:w="669" w:type="dxa"/>
            <w:tcBorders>
              <w:tl2br w:val="nil"/>
              <w:tr2bl w:val="nil"/>
            </w:tcBorders>
            <w:vAlign w:val="center"/>
          </w:tcPr>
          <w:p w14:paraId="101F248A">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2311" w:type="dxa"/>
            <w:tcBorders>
              <w:tl2br w:val="nil"/>
              <w:tr2bl w:val="nil"/>
            </w:tcBorders>
            <w:vAlign w:val="center"/>
          </w:tcPr>
          <w:p w14:paraId="159E98AB">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镉</w:t>
            </w:r>
          </w:p>
        </w:tc>
        <w:tc>
          <w:tcPr>
            <w:tcW w:w="2066" w:type="dxa"/>
            <w:tcBorders>
              <w:tl2br w:val="nil"/>
              <w:tr2bl w:val="nil"/>
            </w:tcBorders>
            <w:vAlign w:val="center"/>
          </w:tcPr>
          <w:p w14:paraId="0EB09568">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w:t>
            </w:r>
          </w:p>
        </w:tc>
        <w:tc>
          <w:tcPr>
            <w:tcW w:w="2258" w:type="dxa"/>
            <w:vMerge w:val="restart"/>
            <w:tcBorders>
              <w:tl2br w:val="nil"/>
              <w:tr2bl w:val="nil"/>
            </w:tcBorders>
            <w:vAlign w:val="center"/>
          </w:tcPr>
          <w:p w14:paraId="24362F94">
            <w:pPr>
              <w:spacing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rPr>
              <w:t>《土壤环境质量 农用地土壤污染风险管控标准（试行）》（GB15618-2018）</w:t>
            </w:r>
          </w:p>
        </w:tc>
      </w:tr>
      <w:tr w14:paraId="268C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1A005E5D">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2828918C">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2311" w:type="dxa"/>
            <w:tcBorders>
              <w:tl2br w:val="nil"/>
              <w:tr2bl w:val="nil"/>
            </w:tcBorders>
            <w:vAlign w:val="center"/>
          </w:tcPr>
          <w:p w14:paraId="5F2AA2B2">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汞</w:t>
            </w:r>
          </w:p>
        </w:tc>
        <w:tc>
          <w:tcPr>
            <w:tcW w:w="2066" w:type="dxa"/>
            <w:tcBorders>
              <w:tl2br w:val="nil"/>
              <w:tr2bl w:val="nil"/>
            </w:tcBorders>
            <w:vAlign w:val="center"/>
          </w:tcPr>
          <w:p w14:paraId="5696A150">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3.4</w:t>
            </w:r>
          </w:p>
        </w:tc>
        <w:tc>
          <w:tcPr>
            <w:tcW w:w="2258" w:type="dxa"/>
            <w:vMerge w:val="continue"/>
            <w:tcBorders>
              <w:tl2br w:val="nil"/>
              <w:tr2bl w:val="nil"/>
            </w:tcBorders>
            <w:vAlign w:val="center"/>
          </w:tcPr>
          <w:p w14:paraId="069AB7CD">
            <w:pPr>
              <w:spacing w:line="240" w:lineRule="auto"/>
              <w:ind w:firstLine="0" w:firstLineChars="0"/>
              <w:jc w:val="center"/>
              <w:rPr>
                <w:rFonts w:hint="default" w:ascii="Times New Roman" w:hAnsi="Times New Roman" w:cs="Times New Roman"/>
                <w:bCs/>
                <w:color w:val="auto"/>
                <w:sz w:val="21"/>
                <w:szCs w:val="21"/>
                <w:highlight w:val="none"/>
              </w:rPr>
            </w:pPr>
          </w:p>
        </w:tc>
      </w:tr>
      <w:tr w14:paraId="060E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6CC8235">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74812D32">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2311" w:type="dxa"/>
            <w:tcBorders>
              <w:tl2br w:val="nil"/>
              <w:tr2bl w:val="nil"/>
            </w:tcBorders>
            <w:vAlign w:val="center"/>
          </w:tcPr>
          <w:p w14:paraId="294FDFE5">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砷</w:t>
            </w:r>
          </w:p>
        </w:tc>
        <w:tc>
          <w:tcPr>
            <w:tcW w:w="2066" w:type="dxa"/>
            <w:tcBorders>
              <w:tl2br w:val="nil"/>
              <w:tr2bl w:val="nil"/>
            </w:tcBorders>
            <w:vAlign w:val="center"/>
          </w:tcPr>
          <w:p w14:paraId="7BED98FA">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w:t>
            </w:r>
          </w:p>
        </w:tc>
        <w:tc>
          <w:tcPr>
            <w:tcW w:w="2258" w:type="dxa"/>
            <w:vMerge w:val="continue"/>
            <w:tcBorders>
              <w:tl2br w:val="nil"/>
              <w:tr2bl w:val="nil"/>
            </w:tcBorders>
            <w:vAlign w:val="center"/>
          </w:tcPr>
          <w:p w14:paraId="4438A48E">
            <w:pPr>
              <w:spacing w:line="240" w:lineRule="auto"/>
              <w:ind w:firstLine="0" w:firstLineChars="0"/>
              <w:jc w:val="center"/>
              <w:rPr>
                <w:rFonts w:hint="default" w:ascii="Times New Roman" w:hAnsi="Times New Roman" w:cs="Times New Roman"/>
                <w:bCs/>
                <w:color w:val="auto"/>
                <w:sz w:val="21"/>
                <w:szCs w:val="21"/>
                <w:highlight w:val="none"/>
              </w:rPr>
            </w:pPr>
          </w:p>
        </w:tc>
      </w:tr>
      <w:tr w14:paraId="7589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60E64425">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1924CB71">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2311" w:type="dxa"/>
            <w:tcBorders>
              <w:tl2br w:val="nil"/>
              <w:tr2bl w:val="nil"/>
            </w:tcBorders>
            <w:vAlign w:val="center"/>
          </w:tcPr>
          <w:p w14:paraId="7683FFF1">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铅</w:t>
            </w:r>
          </w:p>
        </w:tc>
        <w:tc>
          <w:tcPr>
            <w:tcW w:w="2066" w:type="dxa"/>
            <w:tcBorders>
              <w:tl2br w:val="nil"/>
              <w:tr2bl w:val="nil"/>
            </w:tcBorders>
            <w:vAlign w:val="center"/>
          </w:tcPr>
          <w:p w14:paraId="7C197AE1">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170</w:t>
            </w:r>
          </w:p>
        </w:tc>
        <w:tc>
          <w:tcPr>
            <w:tcW w:w="2258" w:type="dxa"/>
            <w:vMerge w:val="continue"/>
            <w:tcBorders>
              <w:tl2br w:val="nil"/>
              <w:tr2bl w:val="nil"/>
            </w:tcBorders>
            <w:vAlign w:val="center"/>
          </w:tcPr>
          <w:p w14:paraId="64ECE59E">
            <w:pPr>
              <w:spacing w:line="240" w:lineRule="auto"/>
              <w:ind w:firstLine="0" w:firstLineChars="0"/>
              <w:jc w:val="center"/>
              <w:rPr>
                <w:rFonts w:hint="default" w:ascii="Times New Roman" w:hAnsi="Times New Roman" w:cs="Times New Roman"/>
                <w:bCs/>
                <w:color w:val="auto"/>
                <w:sz w:val="21"/>
                <w:szCs w:val="21"/>
                <w:highlight w:val="none"/>
              </w:rPr>
            </w:pPr>
          </w:p>
        </w:tc>
      </w:tr>
      <w:tr w14:paraId="71F9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7797AE1C">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3D71AF41">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2311" w:type="dxa"/>
            <w:tcBorders>
              <w:tl2br w:val="nil"/>
              <w:tr2bl w:val="nil"/>
            </w:tcBorders>
            <w:vAlign w:val="center"/>
          </w:tcPr>
          <w:p w14:paraId="3778697A">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铬</w:t>
            </w:r>
          </w:p>
        </w:tc>
        <w:tc>
          <w:tcPr>
            <w:tcW w:w="2066" w:type="dxa"/>
            <w:tcBorders>
              <w:tl2br w:val="nil"/>
              <w:tr2bl w:val="nil"/>
            </w:tcBorders>
            <w:vAlign w:val="center"/>
          </w:tcPr>
          <w:p w14:paraId="49D0E209">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250</w:t>
            </w:r>
          </w:p>
        </w:tc>
        <w:tc>
          <w:tcPr>
            <w:tcW w:w="2258" w:type="dxa"/>
            <w:vMerge w:val="continue"/>
            <w:tcBorders>
              <w:tl2br w:val="nil"/>
              <w:tr2bl w:val="nil"/>
            </w:tcBorders>
            <w:vAlign w:val="center"/>
          </w:tcPr>
          <w:p w14:paraId="272ADE79">
            <w:pPr>
              <w:spacing w:line="240" w:lineRule="auto"/>
              <w:ind w:firstLine="0" w:firstLineChars="0"/>
              <w:jc w:val="center"/>
              <w:rPr>
                <w:rFonts w:hint="default" w:ascii="Times New Roman" w:hAnsi="Times New Roman" w:cs="Times New Roman"/>
                <w:bCs/>
                <w:color w:val="auto"/>
                <w:sz w:val="21"/>
                <w:szCs w:val="21"/>
                <w:highlight w:val="none"/>
              </w:rPr>
            </w:pPr>
          </w:p>
        </w:tc>
      </w:tr>
      <w:tr w14:paraId="4F98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1D030BB1">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10320750">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2311" w:type="dxa"/>
            <w:tcBorders>
              <w:tl2br w:val="nil"/>
              <w:tr2bl w:val="nil"/>
            </w:tcBorders>
            <w:vAlign w:val="center"/>
          </w:tcPr>
          <w:p w14:paraId="36536066">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铜</w:t>
            </w:r>
          </w:p>
        </w:tc>
        <w:tc>
          <w:tcPr>
            <w:tcW w:w="2066" w:type="dxa"/>
            <w:tcBorders>
              <w:tl2br w:val="nil"/>
              <w:tr2bl w:val="nil"/>
            </w:tcBorders>
            <w:vAlign w:val="center"/>
          </w:tcPr>
          <w:p w14:paraId="61B6D868">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c>
          <w:tcPr>
            <w:tcW w:w="2258" w:type="dxa"/>
            <w:vMerge w:val="continue"/>
            <w:tcBorders>
              <w:tl2br w:val="nil"/>
              <w:tr2bl w:val="nil"/>
            </w:tcBorders>
            <w:vAlign w:val="center"/>
          </w:tcPr>
          <w:p w14:paraId="3AC5E242">
            <w:pPr>
              <w:spacing w:line="240" w:lineRule="auto"/>
              <w:ind w:firstLine="0" w:firstLineChars="0"/>
              <w:jc w:val="center"/>
              <w:rPr>
                <w:rFonts w:hint="default" w:ascii="Times New Roman" w:hAnsi="Times New Roman" w:cs="Times New Roman"/>
                <w:bCs/>
                <w:color w:val="auto"/>
                <w:sz w:val="21"/>
                <w:szCs w:val="21"/>
                <w:highlight w:val="none"/>
              </w:rPr>
            </w:pPr>
          </w:p>
        </w:tc>
      </w:tr>
      <w:tr w14:paraId="6D33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55232433">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5FF81503">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2311" w:type="dxa"/>
            <w:tcBorders>
              <w:tl2br w:val="nil"/>
              <w:tr2bl w:val="nil"/>
            </w:tcBorders>
            <w:vAlign w:val="center"/>
          </w:tcPr>
          <w:p w14:paraId="230CB45D">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镍</w:t>
            </w:r>
          </w:p>
        </w:tc>
        <w:tc>
          <w:tcPr>
            <w:tcW w:w="2066" w:type="dxa"/>
            <w:tcBorders>
              <w:tl2br w:val="nil"/>
              <w:tr2bl w:val="nil"/>
            </w:tcBorders>
            <w:vAlign w:val="center"/>
          </w:tcPr>
          <w:p w14:paraId="0EFFBCCA">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190</w:t>
            </w:r>
          </w:p>
        </w:tc>
        <w:tc>
          <w:tcPr>
            <w:tcW w:w="2258" w:type="dxa"/>
            <w:vMerge w:val="continue"/>
            <w:tcBorders>
              <w:tl2br w:val="nil"/>
              <w:tr2bl w:val="nil"/>
            </w:tcBorders>
            <w:vAlign w:val="center"/>
          </w:tcPr>
          <w:p w14:paraId="29297581">
            <w:pPr>
              <w:spacing w:line="240" w:lineRule="auto"/>
              <w:ind w:firstLine="0" w:firstLineChars="0"/>
              <w:jc w:val="center"/>
              <w:rPr>
                <w:rFonts w:hint="default" w:ascii="Times New Roman" w:hAnsi="Times New Roman" w:cs="Times New Roman"/>
                <w:bCs/>
                <w:color w:val="auto"/>
                <w:sz w:val="21"/>
                <w:szCs w:val="21"/>
                <w:highlight w:val="none"/>
              </w:rPr>
            </w:pPr>
          </w:p>
        </w:tc>
      </w:tr>
      <w:tr w14:paraId="006B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1058" w:type="dxa"/>
            <w:vMerge w:val="continue"/>
            <w:tcBorders>
              <w:tl2br w:val="nil"/>
              <w:tr2bl w:val="nil"/>
            </w:tcBorders>
            <w:vAlign w:val="center"/>
          </w:tcPr>
          <w:p w14:paraId="150283BD">
            <w:pPr>
              <w:spacing w:line="240" w:lineRule="auto"/>
              <w:ind w:firstLine="0" w:firstLineChars="0"/>
              <w:jc w:val="center"/>
              <w:rPr>
                <w:rFonts w:hint="default" w:ascii="Times New Roman" w:hAnsi="Times New Roman" w:cs="Times New Roman"/>
                <w:bCs/>
                <w:color w:val="auto"/>
                <w:sz w:val="21"/>
                <w:szCs w:val="21"/>
                <w:highlight w:val="none"/>
              </w:rPr>
            </w:pPr>
          </w:p>
        </w:tc>
        <w:tc>
          <w:tcPr>
            <w:tcW w:w="669" w:type="dxa"/>
            <w:tcBorders>
              <w:tl2br w:val="nil"/>
              <w:tr2bl w:val="nil"/>
            </w:tcBorders>
            <w:vAlign w:val="center"/>
          </w:tcPr>
          <w:p w14:paraId="20AAAE5B">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2311" w:type="dxa"/>
            <w:tcBorders>
              <w:tl2br w:val="nil"/>
              <w:tr2bl w:val="nil"/>
            </w:tcBorders>
            <w:vAlign w:val="center"/>
          </w:tcPr>
          <w:p w14:paraId="68458492">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锌</w:t>
            </w:r>
          </w:p>
        </w:tc>
        <w:tc>
          <w:tcPr>
            <w:tcW w:w="2066" w:type="dxa"/>
            <w:tcBorders>
              <w:tl2br w:val="nil"/>
              <w:tr2bl w:val="nil"/>
            </w:tcBorders>
            <w:vAlign w:val="center"/>
          </w:tcPr>
          <w:p w14:paraId="4D77DF76">
            <w:pPr>
              <w:spacing w:line="240" w:lineRule="auto"/>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300</w:t>
            </w:r>
          </w:p>
        </w:tc>
        <w:tc>
          <w:tcPr>
            <w:tcW w:w="2258" w:type="dxa"/>
            <w:vMerge w:val="continue"/>
            <w:tcBorders>
              <w:tl2br w:val="nil"/>
              <w:tr2bl w:val="nil"/>
            </w:tcBorders>
            <w:vAlign w:val="center"/>
          </w:tcPr>
          <w:p w14:paraId="07FE9C2E">
            <w:pPr>
              <w:spacing w:line="240" w:lineRule="auto"/>
              <w:ind w:firstLine="0" w:firstLineChars="0"/>
              <w:jc w:val="center"/>
              <w:rPr>
                <w:rFonts w:hint="default" w:ascii="Times New Roman" w:hAnsi="Times New Roman" w:cs="Times New Roman"/>
                <w:bCs/>
                <w:color w:val="auto"/>
                <w:sz w:val="21"/>
                <w:szCs w:val="21"/>
                <w:highlight w:val="none"/>
              </w:rPr>
            </w:pPr>
          </w:p>
        </w:tc>
      </w:tr>
    </w:tbl>
    <w:p w14:paraId="06E7F844">
      <w:pPr>
        <w:pStyle w:val="7"/>
        <w:tabs>
          <w:tab w:val="left" w:pos="2041"/>
          <w:tab w:val="left" w:pos="3402"/>
        </w:tabs>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2.5.2.2污染物排放标准</w:t>
      </w:r>
    </w:p>
    <w:p w14:paraId="447FF014">
      <w:pPr>
        <w:overflowPunct w:val="0"/>
        <w:topLinePunct/>
        <w:adjustRightInd/>
        <w:ind w:firstLine="476" w:firstLineChars="200"/>
        <w:rPr>
          <w:rFonts w:hint="default" w:ascii="Times New Roman" w:hAnsi="Times New Roman" w:cs="Times New Roman"/>
          <w:color w:val="auto"/>
          <w:spacing w:val="-1"/>
          <w:highlight w:val="none"/>
        </w:rPr>
      </w:pPr>
      <w:r>
        <w:rPr>
          <w:rFonts w:hint="default" w:ascii="Times New Roman" w:hAnsi="Times New Roman" w:cs="Times New Roman"/>
          <w:color w:val="auto"/>
          <w:spacing w:val="-1"/>
          <w:highlight w:val="none"/>
        </w:rPr>
        <w:t>（1）废气</w:t>
      </w:r>
    </w:p>
    <w:p w14:paraId="0F43692C">
      <w:pPr>
        <w:overflowPunct w:val="0"/>
        <w:topLinePunct/>
        <w:ind w:firstLine="476"/>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r>
        <w:rPr>
          <w:rFonts w:hint="eastAsia" w:cs="Times New Roman"/>
          <w:color w:val="auto"/>
          <w:highlight w:val="none"/>
          <w:lang w:val="en-US" w:eastAsia="zh-CN"/>
        </w:rPr>
        <w:t>生产</w:t>
      </w:r>
      <w:r>
        <w:rPr>
          <w:rFonts w:hint="default" w:ascii="Times New Roman" w:hAnsi="Times New Roman" w:cs="Times New Roman"/>
          <w:color w:val="auto"/>
          <w:highlight w:val="none"/>
        </w:rPr>
        <w:t>过程中</w:t>
      </w:r>
      <w:r>
        <w:rPr>
          <w:rFonts w:hint="default" w:ascii="Times New Roman" w:hAnsi="Times New Roman" w:cs="Times New Roman"/>
          <w:color w:val="auto"/>
          <w:highlight w:val="none"/>
          <w:lang w:val="en-US" w:eastAsia="zh-CN"/>
        </w:rPr>
        <w:t>厂界无组织</w:t>
      </w:r>
      <w:r>
        <w:rPr>
          <w:rFonts w:hint="default" w:ascii="Times New Roman" w:hAnsi="Times New Roman" w:cs="Times New Roman"/>
          <w:color w:val="auto"/>
          <w:highlight w:val="none"/>
        </w:rPr>
        <w:t>大气污染物</w:t>
      </w:r>
      <w:r>
        <w:rPr>
          <w:rFonts w:hint="default" w:ascii="Times New Roman" w:hAnsi="Times New Roman" w:cs="Times New Roman"/>
          <w:color w:val="auto"/>
          <w:highlight w:val="none"/>
          <w:lang w:val="en-US" w:eastAsia="zh-CN"/>
        </w:rPr>
        <w:t>浓度</w:t>
      </w:r>
      <w:r>
        <w:rPr>
          <w:rFonts w:hint="default" w:ascii="Times New Roman" w:hAnsi="Times New Roman" w:cs="Times New Roman"/>
          <w:color w:val="auto"/>
          <w:highlight w:val="none"/>
        </w:rPr>
        <w:t>参照执行《大气污染物综合排放标准》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GB16297-</w:t>
      </w:r>
      <w:r>
        <w:rPr>
          <w:rFonts w:hint="default" w:ascii="Times New Roman" w:hAnsi="Times New Roman" w:cs="Times New Roman"/>
          <w:color w:val="auto"/>
          <w:highlight w:val="none"/>
          <w:lang w:val="en-US" w:eastAsia="zh-CN"/>
        </w:rPr>
        <w:t>19</w:t>
      </w:r>
      <w:r>
        <w:rPr>
          <w:rFonts w:hint="default" w:ascii="Times New Roman" w:hAnsi="Times New Roman" w:cs="Times New Roman"/>
          <w:color w:val="auto"/>
          <w:highlight w:val="none"/>
        </w:rPr>
        <w:t>96</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w:t>
      </w:r>
      <w:r>
        <w:rPr>
          <w:rFonts w:hint="default" w:ascii="Times New Roman" w:hAnsi="Times New Roman" w:cs="Times New Roman"/>
          <w:color w:val="auto"/>
          <w:highlight w:val="none"/>
          <w:lang w:val="en-US" w:eastAsia="zh-CN"/>
        </w:rPr>
        <w:t>表2无组织排放浓度限值</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有组织排放浓度执行</w:t>
      </w:r>
      <w:r>
        <w:rPr>
          <w:rFonts w:hint="default" w:ascii="Times New Roman" w:hAnsi="Times New Roman" w:cs="Times New Roman"/>
          <w:color w:val="auto"/>
          <w:highlight w:val="none"/>
        </w:rPr>
        <w:t>《大气污染物综合排放标准》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GB16297-</w:t>
      </w:r>
      <w:r>
        <w:rPr>
          <w:rFonts w:hint="default" w:ascii="Times New Roman" w:hAnsi="Times New Roman" w:cs="Times New Roman"/>
          <w:color w:val="auto"/>
          <w:highlight w:val="none"/>
          <w:lang w:val="en-US" w:eastAsia="zh-CN"/>
        </w:rPr>
        <w:t>19</w:t>
      </w:r>
      <w:r>
        <w:rPr>
          <w:rFonts w:hint="default" w:ascii="Times New Roman" w:hAnsi="Times New Roman" w:cs="Times New Roman"/>
          <w:color w:val="auto"/>
          <w:highlight w:val="none"/>
        </w:rPr>
        <w:t>96</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中新污染源大气污染物排放限值二级标准</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pacing w:val="-1"/>
          <w:highlight w:val="none"/>
        </w:rPr>
        <w:t>见表2.5-</w:t>
      </w:r>
      <w:r>
        <w:rPr>
          <w:rFonts w:hint="eastAsia" w:cs="Times New Roman"/>
          <w:color w:val="auto"/>
          <w:spacing w:val="-1"/>
          <w:highlight w:val="none"/>
          <w:lang w:val="en-US" w:eastAsia="zh-CN"/>
        </w:rPr>
        <w:t>6</w:t>
      </w:r>
      <w:r>
        <w:rPr>
          <w:rFonts w:hint="default" w:ascii="Times New Roman" w:hAnsi="Times New Roman" w:cs="Times New Roman"/>
          <w:color w:val="auto"/>
          <w:spacing w:val="-1"/>
          <w:highlight w:val="none"/>
        </w:rPr>
        <w:t>。</w:t>
      </w:r>
    </w:p>
    <w:p w14:paraId="268F2FBB">
      <w:pPr>
        <w:ind w:firstLine="0" w:firstLineChars="0"/>
        <w:jc w:val="center"/>
        <w:rPr>
          <w:rFonts w:hint="default" w:ascii="Times New Roman" w:hAnsi="Times New Roman" w:cs="Times New Roman"/>
          <w:color w:val="auto"/>
          <w:highlight w:val="none"/>
        </w:rPr>
      </w:pPr>
      <w:r>
        <w:rPr>
          <w:rFonts w:hint="default" w:ascii="Times New Roman" w:hAnsi="Times New Roman" w:cs="Times New Roman"/>
          <w:b/>
          <w:bCs/>
          <w:color w:val="auto"/>
          <w:kern w:val="0"/>
          <w:highlight w:val="none"/>
        </w:rPr>
        <w:t>表2.5-</w:t>
      </w:r>
      <w:r>
        <w:rPr>
          <w:rFonts w:hint="eastAsia" w:cs="Times New Roman"/>
          <w:b/>
          <w:bCs/>
          <w:color w:val="auto"/>
          <w:kern w:val="0"/>
          <w:highlight w:val="none"/>
          <w:lang w:val="en-US" w:eastAsia="zh-CN"/>
        </w:rPr>
        <w:t>6</w:t>
      </w:r>
      <w:r>
        <w:rPr>
          <w:rFonts w:hint="default" w:ascii="Times New Roman" w:hAnsi="Times New Roman" w:cs="Times New Roman"/>
          <w:b/>
          <w:bCs/>
          <w:color w:val="auto"/>
          <w:kern w:val="0"/>
          <w:highlight w:val="none"/>
        </w:rPr>
        <w:t xml:space="preserve">   大气污染物综合排放标准</w:t>
      </w:r>
    </w:p>
    <w:tbl>
      <w:tblPr>
        <w:tblStyle w:val="1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280"/>
        <w:gridCol w:w="1234"/>
        <w:gridCol w:w="1234"/>
        <w:gridCol w:w="1235"/>
        <w:gridCol w:w="2620"/>
      </w:tblGrid>
      <w:tr w14:paraId="4CF7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16" w:type="dxa"/>
            <w:tcBorders>
              <w:tl2br w:val="nil"/>
              <w:tr2bl w:val="nil"/>
            </w:tcBorders>
            <w:vAlign w:val="center"/>
          </w:tcPr>
          <w:p w14:paraId="73A2F612">
            <w:pPr>
              <w:spacing w:line="360" w:lineRule="atLeast"/>
              <w:ind w:firstLine="0" w:firstLineChars="0"/>
              <w:jc w:val="center"/>
              <w:rPr>
                <w:rFonts w:hint="default" w:ascii="Times New Roman" w:hAnsi="Times New Roman" w:cs="Times New Roman"/>
                <w:b w:val="0"/>
                <w:bCs w:val="0"/>
                <w:color w:val="auto"/>
                <w:kern w:val="0"/>
                <w:sz w:val="21"/>
                <w:szCs w:val="21"/>
                <w:highlight w:val="none"/>
                <w:lang w:val="zh-CN"/>
              </w:rPr>
            </w:pPr>
            <w:r>
              <w:rPr>
                <w:rFonts w:hint="default" w:ascii="Times New Roman" w:hAnsi="Times New Roman" w:cs="Times New Roman"/>
                <w:b w:val="0"/>
                <w:bCs w:val="0"/>
                <w:color w:val="auto"/>
                <w:kern w:val="0"/>
                <w:sz w:val="21"/>
                <w:szCs w:val="21"/>
                <w:highlight w:val="none"/>
                <w:lang w:val="zh-CN"/>
              </w:rPr>
              <w:t>污染源</w:t>
            </w:r>
          </w:p>
        </w:tc>
        <w:tc>
          <w:tcPr>
            <w:tcW w:w="1280" w:type="dxa"/>
            <w:tcBorders>
              <w:tl2br w:val="nil"/>
              <w:tr2bl w:val="nil"/>
            </w:tcBorders>
            <w:vAlign w:val="center"/>
          </w:tcPr>
          <w:p w14:paraId="302DDDA0">
            <w:pPr>
              <w:spacing w:line="360" w:lineRule="atLeast"/>
              <w:ind w:firstLine="0" w:firstLineChars="0"/>
              <w:jc w:val="center"/>
              <w:rPr>
                <w:rFonts w:hint="default" w:ascii="Times New Roman" w:hAnsi="Times New Roman" w:cs="Times New Roman"/>
                <w:b w:val="0"/>
                <w:bCs w:val="0"/>
                <w:color w:val="auto"/>
                <w:kern w:val="0"/>
                <w:sz w:val="21"/>
                <w:szCs w:val="21"/>
                <w:highlight w:val="none"/>
                <w:lang w:val="zh-CN"/>
              </w:rPr>
            </w:pPr>
            <w:r>
              <w:rPr>
                <w:rFonts w:hint="default" w:ascii="Times New Roman" w:hAnsi="Times New Roman" w:cs="Times New Roman"/>
                <w:b w:val="0"/>
                <w:bCs w:val="0"/>
                <w:color w:val="auto"/>
                <w:kern w:val="0"/>
                <w:sz w:val="21"/>
                <w:szCs w:val="21"/>
                <w:highlight w:val="none"/>
                <w:lang w:val="zh-CN"/>
              </w:rPr>
              <w:t>污染物类型</w:t>
            </w:r>
          </w:p>
        </w:tc>
        <w:tc>
          <w:tcPr>
            <w:tcW w:w="3703" w:type="dxa"/>
            <w:gridSpan w:val="3"/>
            <w:tcBorders>
              <w:tl2br w:val="nil"/>
              <w:tr2bl w:val="nil"/>
            </w:tcBorders>
            <w:vAlign w:val="center"/>
          </w:tcPr>
          <w:p w14:paraId="5CBD4D69">
            <w:pPr>
              <w:spacing w:line="360" w:lineRule="atLeast"/>
              <w:ind w:firstLine="0" w:firstLineChars="0"/>
              <w:jc w:val="center"/>
              <w:rPr>
                <w:rFonts w:hint="default" w:ascii="Times New Roman" w:hAnsi="Times New Roman" w:cs="Times New Roman"/>
                <w:b w:val="0"/>
                <w:bCs w:val="0"/>
                <w:color w:val="auto"/>
                <w:kern w:val="0"/>
                <w:sz w:val="21"/>
                <w:szCs w:val="21"/>
                <w:highlight w:val="none"/>
                <w:lang w:val="zh-CN"/>
              </w:rPr>
            </w:pPr>
            <w:r>
              <w:rPr>
                <w:rFonts w:hint="default" w:ascii="Times New Roman" w:hAnsi="Times New Roman" w:cs="Times New Roman"/>
                <w:b w:val="0"/>
                <w:bCs w:val="0"/>
                <w:color w:val="auto"/>
                <w:sz w:val="21"/>
                <w:szCs w:val="21"/>
                <w:highlight w:val="none"/>
              </w:rPr>
              <w:t>污染物排放浓度限值</w:t>
            </w:r>
          </w:p>
        </w:tc>
        <w:tc>
          <w:tcPr>
            <w:tcW w:w="2620" w:type="dxa"/>
            <w:tcBorders>
              <w:tl2br w:val="nil"/>
              <w:tr2bl w:val="nil"/>
            </w:tcBorders>
            <w:vAlign w:val="center"/>
          </w:tcPr>
          <w:p w14:paraId="448C8E59">
            <w:pPr>
              <w:spacing w:line="360" w:lineRule="atLeast"/>
              <w:ind w:firstLine="0" w:firstLineChars="0"/>
              <w:jc w:val="center"/>
              <w:rPr>
                <w:rFonts w:hint="default" w:ascii="Times New Roman" w:hAnsi="Times New Roman" w:cs="Times New Roman"/>
                <w:b w:val="0"/>
                <w:bCs w:val="0"/>
                <w:color w:val="auto"/>
                <w:kern w:val="0"/>
                <w:sz w:val="21"/>
                <w:szCs w:val="21"/>
                <w:highlight w:val="none"/>
                <w:lang w:val="zh-CN"/>
              </w:rPr>
            </w:pPr>
            <w:r>
              <w:rPr>
                <w:rFonts w:hint="default" w:ascii="Times New Roman" w:hAnsi="Times New Roman" w:cs="Times New Roman"/>
                <w:b w:val="0"/>
                <w:bCs w:val="0"/>
                <w:color w:val="auto"/>
                <w:sz w:val="21"/>
                <w:szCs w:val="21"/>
                <w:highlight w:val="none"/>
              </w:rPr>
              <w:t>标准来源</w:t>
            </w:r>
          </w:p>
        </w:tc>
      </w:tr>
      <w:tr w14:paraId="6786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16" w:type="dxa"/>
            <w:vMerge w:val="restart"/>
            <w:tcBorders>
              <w:tl2br w:val="nil"/>
              <w:tr2bl w:val="nil"/>
            </w:tcBorders>
            <w:vAlign w:val="center"/>
          </w:tcPr>
          <w:p w14:paraId="2DBE9AAD">
            <w:pPr>
              <w:spacing w:line="360"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无组织</w:t>
            </w:r>
          </w:p>
        </w:tc>
        <w:tc>
          <w:tcPr>
            <w:tcW w:w="1280" w:type="dxa"/>
            <w:tcBorders>
              <w:tl2br w:val="nil"/>
              <w:tr2bl w:val="nil"/>
            </w:tcBorders>
            <w:vAlign w:val="center"/>
          </w:tcPr>
          <w:p w14:paraId="1A53F467">
            <w:pPr>
              <w:adjustRightInd w:val="0"/>
              <w:spacing w:line="360"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3703" w:type="dxa"/>
            <w:gridSpan w:val="3"/>
            <w:tcBorders>
              <w:tl2br w:val="nil"/>
              <w:tr2bl w:val="nil"/>
            </w:tcBorders>
            <w:vAlign w:val="center"/>
          </w:tcPr>
          <w:p w14:paraId="2CB92299">
            <w:pPr>
              <w:adjustRightInd w:val="0"/>
              <w:spacing w:line="360"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r>
              <w:rPr>
                <w:rFonts w:hint="default" w:ascii="Times New Roman" w:hAnsi="Times New Roman" w:cs="Times New Roman"/>
                <w:color w:val="auto"/>
                <w:kern w:val="0"/>
                <w:sz w:val="21"/>
                <w:szCs w:val="21"/>
                <w:highlight w:val="none"/>
                <w:lang w:val="zh-CN"/>
              </w:rPr>
              <w:t>mg/m</w:t>
            </w:r>
            <w:r>
              <w:rPr>
                <w:rFonts w:hint="default" w:ascii="Times New Roman" w:hAnsi="Times New Roman" w:cs="Times New Roman"/>
                <w:color w:val="auto"/>
                <w:kern w:val="0"/>
                <w:sz w:val="21"/>
                <w:szCs w:val="21"/>
                <w:highlight w:val="none"/>
                <w:vertAlign w:val="superscript"/>
                <w:lang w:val="zh-CN"/>
              </w:rPr>
              <w:t>3</w:t>
            </w:r>
          </w:p>
        </w:tc>
        <w:tc>
          <w:tcPr>
            <w:tcW w:w="2620" w:type="dxa"/>
            <w:vMerge w:val="restart"/>
            <w:tcBorders>
              <w:tl2br w:val="nil"/>
              <w:tr2bl w:val="nil"/>
            </w:tcBorders>
            <w:vAlign w:val="center"/>
          </w:tcPr>
          <w:p w14:paraId="79992388">
            <w:pPr>
              <w:spacing w:line="360"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6"/>
                <w:sz w:val="21"/>
                <w:szCs w:val="21"/>
                <w:highlight w:val="none"/>
              </w:rPr>
              <w:t>《大气污染物综合排放标准》（GB16297-1996）</w:t>
            </w:r>
          </w:p>
        </w:tc>
      </w:tr>
      <w:tr w14:paraId="6A84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16" w:type="dxa"/>
            <w:vMerge w:val="continue"/>
            <w:tcBorders>
              <w:tl2br w:val="nil"/>
              <w:tr2bl w:val="nil"/>
            </w:tcBorders>
            <w:vAlign w:val="center"/>
          </w:tcPr>
          <w:p w14:paraId="798D445F">
            <w:pPr>
              <w:spacing w:line="360" w:lineRule="atLeast"/>
              <w:ind w:firstLine="0" w:firstLineChars="0"/>
              <w:jc w:val="center"/>
              <w:rPr>
                <w:rFonts w:hint="default" w:ascii="Times New Roman" w:hAnsi="Times New Roman" w:cs="Times New Roman"/>
                <w:color w:val="auto"/>
                <w:sz w:val="21"/>
                <w:szCs w:val="21"/>
                <w:highlight w:val="none"/>
              </w:rPr>
            </w:pPr>
          </w:p>
        </w:tc>
        <w:tc>
          <w:tcPr>
            <w:tcW w:w="1280" w:type="dxa"/>
            <w:tcBorders>
              <w:tl2br w:val="nil"/>
              <w:tr2bl w:val="nil"/>
            </w:tcBorders>
            <w:vAlign w:val="center"/>
          </w:tcPr>
          <w:p w14:paraId="2C496EA0">
            <w:pPr>
              <w:adjustRightInd w:val="0"/>
              <w:spacing w:line="36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氟化物</w:t>
            </w:r>
          </w:p>
        </w:tc>
        <w:tc>
          <w:tcPr>
            <w:tcW w:w="3703" w:type="dxa"/>
            <w:gridSpan w:val="3"/>
            <w:tcBorders>
              <w:tl2br w:val="nil"/>
              <w:tr2bl w:val="nil"/>
            </w:tcBorders>
            <w:vAlign w:val="center"/>
          </w:tcPr>
          <w:p w14:paraId="008BE9E8">
            <w:pPr>
              <w:adjustRightInd w:val="0"/>
              <w:spacing w:line="36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r>
              <w:rPr>
                <w:rFonts w:hint="default" w:ascii="Times New Roman" w:hAnsi="Times New Roman" w:cs="Times New Roman"/>
                <w:color w:val="auto"/>
                <w:kern w:val="0"/>
                <w:sz w:val="21"/>
                <w:szCs w:val="21"/>
                <w:highlight w:val="none"/>
                <w:lang w:val="zh-CN"/>
              </w:rPr>
              <w:t>μg/m</w:t>
            </w:r>
            <w:r>
              <w:rPr>
                <w:rFonts w:hint="default" w:ascii="Times New Roman" w:hAnsi="Times New Roman" w:cs="Times New Roman"/>
                <w:color w:val="auto"/>
                <w:kern w:val="0"/>
                <w:sz w:val="21"/>
                <w:szCs w:val="21"/>
                <w:highlight w:val="none"/>
                <w:vertAlign w:val="superscript"/>
                <w:lang w:val="zh-CN"/>
              </w:rPr>
              <w:t>3</w:t>
            </w:r>
          </w:p>
        </w:tc>
        <w:tc>
          <w:tcPr>
            <w:tcW w:w="2620" w:type="dxa"/>
            <w:vMerge w:val="continue"/>
            <w:tcBorders>
              <w:tl2br w:val="nil"/>
              <w:tr2bl w:val="nil"/>
            </w:tcBorders>
            <w:vAlign w:val="center"/>
          </w:tcPr>
          <w:p w14:paraId="6DEB6D02">
            <w:pPr>
              <w:spacing w:line="360" w:lineRule="atLeast"/>
              <w:ind w:firstLine="0" w:firstLineChars="0"/>
              <w:jc w:val="center"/>
              <w:rPr>
                <w:rFonts w:hint="default" w:ascii="Times New Roman" w:hAnsi="Times New Roman" w:cs="Times New Roman"/>
                <w:color w:val="auto"/>
                <w:spacing w:val="-6"/>
                <w:sz w:val="21"/>
                <w:szCs w:val="21"/>
                <w:highlight w:val="none"/>
              </w:rPr>
            </w:pPr>
          </w:p>
        </w:tc>
      </w:tr>
      <w:tr w14:paraId="05D7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16" w:type="dxa"/>
            <w:vMerge w:val="continue"/>
            <w:tcBorders>
              <w:tl2br w:val="nil"/>
              <w:tr2bl w:val="nil"/>
            </w:tcBorders>
            <w:vAlign w:val="center"/>
          </w:tcPr>
          <w:p w14:paraId="0D0E609F">
            <w:pPr>
              <w:spacing w:line="360" w:lineRule="atLeast"/>
              <w:ind w:firstLine="0" w:firstLineChars="0"/>
              <w:jc w:val="center"/>
              <w:rPr>
                <w:rFonts w:hint="default" w:ascii="Times New Roman" w:hAnsi="Times New Roman" w:cs="Times New Roman"/>
                <w:color w:val="auto"/>
                <w:sz w:val="21"/>
                <w:szCs w:val="21"/>
                <w:highlight w:val="none"/>
              </w:rPr>
            </w:pPr>
          </w:p>
        </w:tc>
        <w:tc>
          <w:tcPr>
            <w:tcW w:w="1280" w:type="dxa"/>
            <w:tcBorders>
              <w:tl2br w:val="nil"/>
              <w:tr2bl w:val="nil"/>
            </w:tcBorders>
            <w:vAlign w:val="center"/>
          </w:tcPr>
          <w:p w14:paraId="180143A5">
            <w:pPr>
              <w:adjustRightInd w:val="0"/>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硫酸雾</w:t>
            </w:r>
          </w:p>
        </w:tc>
        <w:tc>
          <w:tcPr>
            <w:tcW w:w="3703" w:type="dxa"/>
            <w:gridSpan w:val="3"/>
            <w:tcBorders>
              <w:tl2br w:val="nil"/>
              <w:tr2bl w:val="nil"/>
            </w:tcBorders>
            <w:vAlign w:val="center"/>
          </w:tcPr>
          <w:p w14:paraId="230C6C6A">
            <w:pPr>
              <w:adjustRightInd w:val="0"/>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w:t>
            </w:r>
            <w:r>
              <w:rPr>
                <w:rFonts w:hint="default" w:ascii="Times New Roman" w:hAnsi="Times New Roman" w:cs="Times New Roman"/>
                <w:color w:val="auto"/>
                <w:kern w:val="0"/>
                <w:sz w:val="21"/>
                <w:szCs w:val="21"/>
                <w:highlight w:val="none"/>
                <w:lang w:val="zh-CN"/>
              </w:rPr>
              <w:t>mg/m</w:t>
            </w:r>
            <w:r>
              <w:rPr>
                <w:rFonts w:hint="default" w:ascii="Times New Roman" w:hAnsi="Times New Roman" w:cs="Times New Roman"/>
                <w:color w:val="auto"/>
                <w:kern w:val="0"/>
                <w:sz w:val="21"/>
                <w:szCs w:val="21"/>
                <w:highlight w:val="none"/>
                <w:vertAlign w:val="superscript"/>
                <w:lang w:val="zh-CN"/>
              </w:rPr>
              <w:t>3</w:t>
            </w:r>
          </w:p>
        </w:tc>
        <w:tc>
          <w:tcPr>
            <w:tcW w:w="2620" w:type="dxa"/>
            <w:vMerge w:val="continue"/>
            <w:tcBorders>
              <w:tl2br w:val="nil"/>
              <w:tr2bl w:val="nil"/>
            </w:tcBorders>
            <w:vAlign w:val="center"/>
          </w:tcPr>
          <w:p w14:paraId="5691AF6B">
            <w:pPr>
              <w:spacing w:line="360" w:lineRule="atLeast"/>
              <w:ind w:firstLine="0" w:firstLineChars="0"/>
              <w:jc w:val="center"/>
              <w:rPr>
                <w:rFonts w:hint="default" w:ascii="Times New Roman" w:hAnsi="Times New Roman" w:cs="Times New Roman"/>
                <w:color w:val="auto"/>
                <w:spacing w:val="-6"/>
                <w:sz w:val="21"/>
                <w:szCs w:val="21"/>
                <w:highlight w:val="none"/>
              </w:rPr>
            </w:pPr>
          </w:p>
        </w:tc>
      </w:tr>
      <w:tr w14:paraId="5E63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blHeader/>
          <w:jc w:val="center"/>
        </w:trPr>
        <w:tc>
          <w:tcPr>
            <w:tcW w:w="916" w:type="dxa"/>
            <w:vMerge w:val="restart"/>
            <w:tcBorders>
              <w:tl2br w:val="nil"/>
              <w:tr2bl w:val="nil"/>
            </w:tcBorders>
            <w:vAlign w:val="center"/>
          </w:tcPr>
          <w:p w14:paraId="47B0D3BB">
            <w:pPr>
              <w:spacing w:line="360" w:lineRule="atLeas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有组织</w:t>
            </w:r>
          </w:p>
        </w:tc>
        <w:tc>
          <w:tcPr>
            <w:tcW w:w="1280" w:type="dxa"/>
            <w:tcBorders>
              <w:tl2br w:val="nil"/>
              <w:tr2bl w:val="nil"/>
            </w:tcBorders>
            <w:vAlign w:val="center"/>
          </w:tcPr>
          <w:p w14:paraId="0670A97F">
            <w:pPr>
              <w:adjustRightInd w:val="0"/>
              <w:spacing w:line="360" w:lineRule="atLeas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b w:val="0"/>
                <w:bCs w:val="0"/>
                <w:color w:val="auto"/>
                <w:kern w:val="0"/>
                <w:sz w:val="21"/>
                <w:szCs w:val="21"/>
                <w:highlight w:val="none"/>
                <w:lang w:val="zh-CN"/>
              </w:rPr>
              <w:t>污染物类型</w:t>
            </w:r>
          </w:p>
        </w:tc>
        <w:tc>
          <w:tcPr>
            <w:tcW w:w="1234" w:type="dxa"/>
            <w:tcBorders>
              <w:tl2br w:val="nil"/>
              <w:tr2bl w:val="nil"/>
            </w:tcBorders>
            <w:vAlign w:val="center"/>
          </w:tcPr>
          <w:p w14:paraId="6459E637">
            <w:pPr>
              <w:adjustRightInd w:val="0"/>
              <w:spacing w:line="360" w:lineRule="atLeas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最高允许排放浓度</w:t>
            </w:r>
          </w:p>
        </w:tc>
        <w:tc>
          <w:tcPr>
            <w:tcW w:w="1234" w:type="dxa"/>
            <w:tcBorders>
              <w:tl2br w:val="nil"/>
              <w:tr2bl w:val="nil"/>
            </w:tcBorders>
            <w:vAlign w:val="center"/>
          </w:tcPr>
          <w:p w14:paraId="5154C7F0">
            <w:pPr>
              <w:adjustRightInd w:val="0"/>
              <w:spacing w:line="360" w:lineRule="atLeas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排气筒高度</w:t>
            </w:r>
          </w:p>
        </w:tc>
        <w:tc>
          <w:tcPr>
            <w:tcW w:w="1235" w:type="dxa"/>
            <w:tcBorders>
              <w:tl2br w:val="nil"/>
              <w:tr2bl w:val="nil"/>
            </w:tcBorders>
            <w:vAlign w:val="center"/>
          </w:tcPr>
          <w:p w14:paraId="21C062B6">
            <w:pPr>
              <w:adjustRightInd w:val="0"/>
              <w:spacing w:line="360"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最高允许排放速率</w:t>
            </w:r>
          </w:p>
        </w:tc>
        <w:tc>
          <w:tcPr>
            <w:tcW w:w="2620" w:type="dxa"/>
            <w:vMerge w:val="continue"/>
            <w:tcBorders>
              <w:tl2br w:val="nil"/>
              <w:tr2bl w:val="nil"/>
            </w:tcBorders>
            <w:vAlign w:val="center"/>
          </w:tcPr>
          <w:p w14:paraId="356A543A">
            <w:pPr>
              <w:spacing w:line="360" w:lineRule="atLeast"/>
              <w:ind w:firstLine="0" w:firstLineChars="0"/>
              <w:jc w:val="center"/>
              <w:rPr>
                <w:rFonts w:hint="default" w:ascii="Times New Roman" w:hAnsi="Times New Roman" w:cs="Times New Roman"/>
                <w:color w:val="auto"/>
                <w:spacing w:val="-6"/>
                <w:sz w:val="21"/>
                <w:szCs w:val="21"/>
                <w:highlight w:val="none"/>
              </w:rPr>
            </w:pPr>
          </w:p>
        </w:tc>
      </w:tr>
      <w:tr w14:paraId="6FE9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blHeader/>
          <w:jc w:val="center"/>
        </w:trPr>
        <w:tc>
          <w:tcPr>
            <w:tcW w:w="916" w:type="dxa"/>
            <w:vMerge w:val="continue"/>
            <w:tcBorders>
              <w:tl2br w:val="nil"/>
              <w:tr2bl w:val="nil"/>
            </w:tcBorders>
            <w:vAlign w:val="center"/>
          </w:tcPr>
          <w:p w14:paraId="70E8BBB1">
            <w:pPr>
              <w:adjustRightInd w:val="0"/>
              <w:spacing w:line="360" w:lineRule="atLeast"/>
              <w:ind w:firstLine="0" w:firstLineChars="0"/>
              <w:jc w:val="center"/>
              <w:rPr>
                <w:rFonts w:hint="default" w:ascii="Times New Roman" w:hAnsi="Times New Roman" w:cs="Times New Roman"/>
                <w:color w:val="auto"/>
                <w:highlight w:val="none"/>
              </w:rPr>
            </w:pPr>
          </w:p>
        </w:tc>
        <w:tc>
          <w:tcPr>
            <w:tcW w:w="1280" w:type="dxa"/>
            <w:tcBorders>
              <w:tl2br w:val="nil"/>
              <w:tr2bl w:val="nil"/>
            </w:tcBorders>
            <w:vAlign w:val="center"/>
          </w:tcPr>
          <w:p w14:paraId="07F78BE2">
            <w:pPr>
              <w:adjustRightInd w:val="0"/>
              <w:spacing w:line="360" w:lineRule="atLeas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颗粒物</w:t>
            </w:r>
          </w:p>
        </w:tc>
        <w:tc>
          <w:tcPr>
            <w:tcW w:w="1234" w:type="dxa"/>
            <w:tcBorders>
              <w:tl2br w:val="nil"/>
              <w:tr2bl w:val="nil"/>
            </w:tcBorders>
            <w:vAlign w:val="center"/>
          </w:tcPr>
          <w:p w14:paraId="23A3C7AF">
            <w:pPr>
              <w:adjustRightInd w:val="0"/>
              <w:spacing w:line="36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120</w:t>
            </w:r>
            <w:r>
              <w:rPr>
                <w:rFonts w:hint="default" w:ascii="Times New Roman" w:hAnsi="Times New Roman" w:cs="Times New Roman"/>
                <w:color w:val="auto"/>
                <w:kern w:val="0"/>
                <w:sz w:val="21"/>
                <w:szCs w:val="21"/>
                <w:highlight w:val="none"/>
                <w:lang w:val="zh-CN"/>
              </w:rPr>
              <w:t>mg/m</w:t>
            </w:r>
            <w:r>
              <w:rPr>
                <w:rFonts w:hint="default" w:ascii="Times New Roman" w:hAnsi="Times New Roman" w:cs="Times New Roman"/>
                <w:color w:val="auto"/>
                <w:kern w:val="0"/>
                <w:sz w:val="21"/>
                <w:szCs w:val="21"/>
                <w:highlight w:val="none"/>
                <w:vertAlign w:val="superscript"/>
                <w:lang w:val="zh-CN"/>
              </w:rPr>
              <w:t>3</w:t>
            </w:r>
          </w:p>
        </w:tc>
        <w:tc>
          <w:tcPr>
            <w:tcW w:w="1234" w:type="dxa"/>
            <w:tcBorders>
              <w:tl2br w:val="nil"/>
              <w:tr2bl w:val="nil"/>
            </w:tcBorders>
            <w:vAlign w:val="center"/>
          </w:tcPr>
          <w:p w14:paraId="293AEBFD">
            <w:pPr>
              <w:adjustRightInd w:val="0"/>
              <w:spacing w:line="36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15m</w:t>
            </w:r>
          </w:p>
        </w:tc>
        <w:tc>
          <w:tcPr>
            <w:tcW w:w="1235" w:type="dxa"/>
            <w:tcBorders>
              <w:tl2br w:val="nil"/>
              <w:tr2bl w:val="nil"/>
            </w:tcBorders>
            <w:vAlign w:val="center"/>
          </w:tcPr>
          <w:p w14:paraId="354EF38C">
            <w:pPr>
              <w:adjustRightInd w:val="0"/>
              <w:spacing w:line="360" w:lineRule="atLeast"/>
              <w:ind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3.5</w:t>
            </w:r>
            <w:r>
              <w:rPr>
                <w:rFonts w:hint="default" w:ascii="Times New Roman" w:hAnsi="Times New Roman" w:cs="Times New Roman"/>
                <w:color w:val="auto"/>
                <w:sz w:val="21"/>
                <w:szCs w:val="21"/>
                <w:highlight w:val="none"/>
                <w:lang w:val="en-US" w:eastAsia="zh-CN"/>
              </w:rPr>
              <w:t>kg/h</w:t>
            </w:r>
          </w:p>
        </w:tc>
        <w:tc>
          <w:tcPr>
            <w:tcW w:w="2620" w:type="dxa"/>
            <w:vMerge w:val="continue"/>
            <w:tcBorders>
              <w:tl2br w:val="nil"/>
              <w:tr2bl w:val="nil"/>
            </w:tcBorders>
            <w:vAlign w:val="center"/>
          </w:tcPr>
          <w:p w14:paraId="2EA641C3">
            <w:pPr>
              <w:adjustRightInd w:val="0"/>
              <w:spacing w:line="360" w:lineRule="atLeast"/>
              <w:ind w:firstLine="0" w:firstLineChars="0"/>
              <w:jc w:val="center"/>
              <w:rPr>
                <w:rFonts w:hint="default" w:ascii="Times New Roman" w:hAnsi="Times New Roman" w:cs="Times New Roman"/>
                <w:color w:val="auto"/>
                <w:highlight w:val="none"/>
              </w:rPr>
            </w:pPr>
          </w:p>
        </w:tc>
      </w:tr>
      <w:tr w14:paraId="518B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blHeader/>
          <w:jc w:val="center"/>
        </w:trPr>
        <w:tc>
          <w:tcPr>
            <w:tcW w:w="916" w:type="dxa"/>
            <w:vMerge w:val="continue"/>
            <w:tcBorders>
              <w:tl2br w:val="nil"/>
              <w:tr2bl w:val="nil"/>
            </w:tcBorders>
            <w:vAlign w:val="center"/>
          </w:tcPr>
          <w:p w14:paraId="4C1BBE8E">
            <w:pPr>
              <w:adjustRightInd w:val="0"/>
              <w:spacing w:line="360" w:lineRule="atLeast"/>
              <w:ind w:firstLine="0" w:firstLineChars="0"/>
              <w:jc w:val="center"/>
              <w:rPr>
                <w:rFonts w:hint="default" w:ascii="Times New Roman" w:hAnsi="Times New Roman" w:cs="Times New Roman"/>
                <w:color w:val="auto"/>
                <w:highlight w:val="none"/>
              </w:rPr>
            </w:pPr>
          </w:p>
        </w:tc>
        <w:tc>
          <w:tcPr>
            <w:tcW w:w="1280" w:type="dxa"/>
            <w:tcBorders>
              <w:tl2br w:val="nil"/>
              <w:tr2bl w:val="nil"/>
            </w:tcBorders>
            <w:vAlign w:val="center"/>
          </w:tcPr>
          <w:p w14:paraId="7E2218CD">
            <w:pPr>
              <w:adjustRightInd w:val="0"/>
              <w:spacing w:line="360" w:lineRule="atLeas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氟化物</w:t>
            </w:r>
          </w:p>
        </w:tc>
        <w:tc>
          <w:tcPr>
            <w:tcW w:w="1234" w:type="dxa"/>
            <w:tcBorders>
              <w:tl2br w:val="nil"/>
              <w:tr2bl w:val="nil"/>
            </w:tcBorders>
            <w:vAlign w:val="center"/>
          </w:tcPr>
          <w:p w14:paraId="4CD291D4">
            <w:pPr>
              <w:adjustRightInd w:val="0"/>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9.0</w:t>
            </w:r>
            <w:r>
              <w:rPr>
                <w:rFonts w:hint="default" w:ascii="Times New Roman" w:hAnsi="Times New Roman" w:cs="Times New Roman"/>
                <w:color w:val="auto"/>
                <w:kern w:val="0"/>
                <w:sz w:val="21"/>
                <w:szCs w:val="21"/>
                <w:highlight w:val="none"/>
                <w:lang w:val="zh-CN"/>
              </w:rPr>
              <w:t>mg/m</w:t>
            </w:r>
            <w:r>
              <w:rPr>
                <w:rFonts w:hint="default" w:ascii="Times New Roman" w:hAnsi="Times New Roman" w:cs="Times New Roman"/>
                <w:color w:val="auto"/>
                <w:kern w:val="0"/>
                <w:sz w:val="21"/>
                <w:szCs w:val="21"/>
                <w:highlight w:val="none"/>
                <w:vertAlign w:val="superscript"/>
                <w:lang w:val="zh-CN"/>
              </w:rPr>
              <w:t>3</w:t>
            </w:r>
          </w:p>
        </w:tc>
        <w:tc>
          <w:tcPr>
            <w:tcW w:w="1234" w:type="dxa"/>
            <w:tcBorders>
              <w:tl2br w:val="nil"/>
              <w:tr2bl w:val="nil"/>
            </w:tcBorders>
            <w:vAlign w:val="center"/>
          </w:tcPr>
          <w:p w14:paraId="718A4057">
            <w:pPr>
              <w:adjustRightInd w:val="0"/>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15m</w:t>
            </w:r>
          </w:p>
        </w:tc>
        <w:tc>
          <w:tcPr>
            <w:tcW w:w="1235" w:type="dxa"/>
            <w:tcBorders>
              <w:tl2br w:val="nil"/>
              <w:tr2bl w:val="nil"/>
            </w:tcBorders>
            <w:vAlign w:val="center"/>
          </w:tcPr>
          <w:p w14:paraId="1F869F0D">
            <w:pPr>
              <w:adjustRightInd w:val="0"/>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0.1kg/h</w:t>
            </w:r>
          </w:p>
        </w:tc>
        <w:tc>
          <w:tcPr>
            <w:tcW w:w="2620" w:type="dxa"/>
            <w:vMerge w:val="continue"/>
            <w:tcBorders>
              <w:tl2br w:val="nil"/>
              <w:tr2bl w:val="nil"/>
            </w:tcBorders>
            <w:vAlign w:val="center"/>
          </w:tcPr>
          <w:p w14:paraId="67E675D8">
            <w:pPr>
              <w:adjustRightInd w:val="0"/>
              <w:spacing w:line="360" w:lineRule="atLeast"/>
              <w:ind w:firstLine="0" w:firstLineChars="0"/>
              <w:jc w:val="center"/>
              <w:rPr>
                <w:rFonts w:hint="default" w:ascii="Times New Roman" w:hAnsi="Times New Roman" w:cs="Times New Roman"/>
                <w:color w:val="auto"/>
                <w:highlight w:val="none"/>
              </w:rPr>
            </w:pPr>
          </w:p>
        </w:tc>
      </w:tr>
      <w:tr w14:paraId="7494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blHeader/>
          <w:jc w:val="center"/>
        </w:trPr>
        <w:tc>
          <w:tcPr>
            <w:tcW w:w="916" w:type="dxa"/>
            <w:vMerge w:val="continue"/>
            <w:tcBorders>
              <w:tl2br w:val="nil"/>
              <w:tr2bl w:val="nil"/>
            </w:tcBorders>
            <w:vAlign w:val="center"/>
          </w:tcPr>
          <w:p w14:paraId="0FC5038E">
            <w:pPr>
              <w:adjustRightInd w:val="0"/>
              <w:spacing w:line="360" w:lineRule="atLeast"/>
              <w:ind w:firstLine="0" w:firstLineChars="0"/>
              <w:jc w:val="center"/>
              <w:rPr>
                <w:rFonts w:hint="default" w:ascii="Times New Roman" w:hAnsi="Times New Roman" w:cs="Times New Roman"/>
                <w:color w:val="auto"/>
                <w:highlight w:val="none"/>
              </w:rPr>
            </w:pPr>
          </w:p>
        </w:tc>
        <w:tc>
          <w:tcPr>
            <w:tcW w:w="1280" w:type="dxa"/>
            <w:tcBorders>
              <w:tl2br w:val="nil"/>
              <w:tr2bl w:val="nil"/>
            </w:tcBorders>
            <w:vAlign w:val="center"/>
          </w:tcPr>
          <w:p w14:paraId="2B338F3C">
            <w:pPr>
              <w:adjustRightInd w:val="0"/>
              <w:spacing w:line="360" w:lineRule="atLeast"/>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硫酸雾</w:t>
            </w:r>
          </w:p>
        </w:tc>
        <w:tc>
          <w:tcPr>
            <w:tcW w:w="1234" w:type="dxa"/>
            <w:tcBorders>
              <w:tl2br w:val="nil"/>
              <w:tr2bl w:val="nil"/>
            </w:tcBorders>
            <w:vAlign w:val="center"/>
          </w:tcPr>
          <w:p w14:paraId="7CC92163">
            <w:pPr>
              <w:adjustRightInd w:val="0"/>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45</w:t>
            </w:r>
            <w:r>
              <w:rPr>
                <w:rFonts w:hint="default" w:ascii="Times New Roman" w:hAnsi="Times New Roman" w:cs="Times New Roman"/>
                <w:color w:val="auto"/>
                <w:kern w:val="0"/>
                <w:sz w:val="21"/>
                <w:szCs w:val="21"/>
                <w:highlight w:val="none"/>
                <w:lang w:val="zh-CN"/>
              </w:rPr>
              <w:t>mg/m</w:t>
            </w:r>
            <w:r>
              <w:rPr>
                <w:rFonts w:hint="default" w:ascii="Times New Roman" w:hAnsi="Times New Roman" w:cs="Times New Roman"/>
                <w:color w:val="auto"/>
                <w:kern w:val="0"/>
                <w:sz w:val="21"/>
                <w:szCs w:val="21"/>
                <w:highlight w:val="none"/>
                <w:vertAlign w:val="superscript"/>
                <w:lang w:val="zh-CN"/>
              </w:rPr>
              <w:t>3</w:t>
            </w:r>
          </w:p>
        </w:tc>
        <w:tc>
          <w:tcPr>
            <w:tcW w:w="1234" w:type="dxa"/>
            <w:tcBorders>
              <w:tl2br w:val="nil"/>
              <w:tr2bl w:val="nil"/>
            </w:tcBorders>
            <w:vAlign w:val="center"/>
          </w:tcPr>
          <w:p w14:paraId="7B15D257">
            <w:pPr>
              <w:adjustRightInd w:val="0"/>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15m</w:t>
            </w:r>
          </w:p>
        </w:tc>
        <w:tc>
          <w:tcPr>
            <w:tcW w:w="1235" w:type="dxa"/>
            <w:tcBorders>
              <w:tl2br w:val="nil"/>
              <w:tr2bl w:val="nil"/>
            </w:tcBorders>
            <w:vAlign w:val="center"/>
          </w:tcPr>
          <w:p w14:paraId="64B11974">
            <w:pPr>
              <w:adjustRightInd w:val="0"/>
              <w:spacing w:line="360" w:lineRule="atLeast"/>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1.5kg/h</w:t>
            </w:r>
          </w:p>
        </w:tc>
        <w:tc>
          <w:tcPr>
            <w:tcW w:w="2620" w:type="dxa"/>
            <w:vMerge w:val="continue"/>
            <w:tcBorders>
              <w:tl2br w:val="nil"/>
              <w:tr2bl w:val="nil"/>
            </w:tcBorders>
            <w:vAlign w:val="center"/>
          </w:tcPr>
          <w:p w14:paraId="4CA34465">
            <w:pPr>
              <w:adjustRightInd w:val="0"/>
              <w:spacing w:line="360" w:lineRule="atLeast"/>
              <w:ind w:firstLine="0" w:firstLineChars="0"/>
              <w:jc w:val="center"/>
              <w:rPr>
                <w:rFonts w:hint="default" w:ascii="Times New Roman" w:hAnsi="Times New Roman" w:cs="Times New Roman"/>
                <w:color w:val="auto"/>
                <w:highlight w:val="none"/>
              </w:rPr>
            </w:pPr>
          </w:p>
        </w:tc>
      </w:tr>
    </w:tbl>
    <w:p w14:paraId="0434581E">
      <w:pPr>
        <w:overflowPunct w:val="0"/>
        <w:topLinePunct/>
        <w:ind w:firstLine="480"/>
        <w:rPr>
          <w:rFonts w:hint="default" w:ascii="Times New Roman" w:hAnsi="Times New Roman" w:cs="Times New Roman"/>
          <w:color w:val="auto"/>
          <w:szCs w:val="20"/>
          <w:highlight w:val="none"/>
        </w:rPr>
      </w:pPr>
      <w:r>
        <w:rPr>
          <w:rFonts w:hint="default" w:ascii="Times New Roman" w:hAnsi="Times New Roman" w:cs="Times New Roman"/>
          <w:color w:val="auto"/>
          <w:szCs w:val="20"/>
          <w:highlight w:val="none"/>
        </w:rPr>
        <w:t>（2）废水</w:t>
      </w:r>
    </w:p>
    <w:p w14:paraId="42479395">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矿井排水</w:t>
      </w:r>
      <w:r>
        <w:rPr>
          <w:rFonts w:hint="default" w:ascii="Times New Roman" w:hAnsi="Times New Roman" w:eastAsia="宋体" w:cs="Times New Roman"/>
          <w:color w:val="auto"/>
          <w:sz w:val="24"/>
          <w:szCs w:val="24"/>
          <w:highlight w:val="none"/>
          <w:shd w:val="clear"/>
          <w:lang w:val="en-US" w:eastAsia="zh-CN"/>
        </w:rPr>
        <w:t>采用</w:t>
      </w:r>
      <w:r>
        <w:rPr>
          <w:rFonts w:hint="default" w:ascii="Times New Roman" w:hAnsi="Times New Roman" w:cs="Times New Roman"/>
          <w:color w:val="auto"/>
          <w:sz w:val="24"/>
          <w:szCs w:val="24"/>
          <w:highlight w:val="none"/>
          <w:shd w:val="clear"/>
          <w:lang w:val="en-US" w:eastAsia="zh-CN"/>
        </w:rPr>
        <w:t>混凝沉淀</w:t>
      </w:r>
      <w:r>
        <w:rPr>
          <w:rFonts w:hint="default" w:ascii="Times New Roman" w:hAnsi="Times New Roman" w:eastAsia="宋体" w:cs="Times New Roman"/>
          <w:color w:val="auto"/>
          <w:sz w:val="24"/>
          <w:szCs w:val="24"/>
          <w:highlight w:val="none"/>
          <w:shd w:val="clear"/>
          <w:lang w:val="en-US" w:eastAsia="zh-CN"/>
        </w:rPr>
        <w:t>处理后，满足《污水综合排放标准》（GB8978-1996）表1第一类污染物最高允许排放浓度限值</w:t>
      </w:r>
      <w:r>
        <w:rPr>
          <w:rFonts w:hint="default" w:ascii="Times New Roman" w:hAnsi="Times New Roman" w:eastAsia="宋体" w:cs="Times New Roman"/>
          <w:color w:val="auto"/>
          <w:sz w:val="24"/>
          <w:highlight w:val="none"/>
          <w:lang w:val="en-US" w:eastAsia="zh-CN"/>
        </w:rPr>
        <w:t>和</w:t>
      </w:r>
      <w:r>
        <w:rPr>
          <w:rFonts w:hint="default" w:ascii="Times New Roman" w:hAnsi="Times New Roman" w:cs="Times New Roman"/>
          <w:color w:val="auto"/>
          <w:highlight w:val="none"/>
          <w:lang w:val="en-US" w:eastAsia="zh-CN"/>
        </w:rPr>
        <w:t>《城市污水再生利用 城市杂用水水质》（GB/T 18920-2020）中城市绿化、道路清扫、消防、建筑施工等水质标准后回</w:t>
      </w:r>
      <w:r>
        <w:rPr>
          <w:rFonts w:hint="eastAsia" w:ascii="Times New Roman" w:hAnsi="Times New Roman" w:cs="Times New Roman"/>
          <w:color w:val="auto"/>
          <w:highlight w:val="none"/>
          <w:lang w:val="en-US" w:eastAsia="zh-CN"/>
        </w:rPr>
        <w:t>用于</w:t>
      </w:r>
      <w:r>
        <w:rPr>
          <w:rFonts w:hint="default" w:ascii="Times New Roman" w:hAnsi="Times New Roman" w:cs="Times New Roman"/>
          <w:color w:val="auto"/>
          <w:highlight w:val="none"/>
          <w:lang w:val="en-US" w:eastAsia="zh-CN"/>
        </w:rPr>
        <w:t>生产及矿山降尘、绿化用水，不外排。标准值见表2.5-</w:t>
      </w:r>
      <w:r>
        <w:rPr>
          <w:rFonts w:hint="eastAsia" w:cs="Times New Roman"/>
          <w:color w:val="auto"/>
          <w:highlight w:val="none"/>
          <w:lang w:val="en-US" w:eastAsia="zh-CN"/>
        </w:rPr>
        <w:t>7</w:t>
      </w:r>
      <w:r>
        <w:rPr>
          <w:rFonts w:hint="default" w:ascii="Times New Roman" w:hAnsi="Times New Roman" w:cs="Times New Roman"/>
          <w:color w:val="auto"/>
          <w:highlight w:val="none"/>
          <w:lang w:val="en-US" w:eastAsia="zh-CN"/>
        </w:rPr>
        <w:t>。</w:t>
      </w:r>
    </w:p>
    <w:p w14:paraId="7453C0F1">
      <w:pPr>
        <w:pStyle w:val="19"/>
        <w:bidi w:val="0"/>
        <w:rPr>
          <w:rFonts w:hint="default" w:ascii="Times New Roman" w:hAnsi="Times New Roman" w:cs="Times New Roman"/>
          <w:color w:val="auto"/>
          <w:highlight w:val="none"/>
        </w:rPr>
      </w:pPr>
      <w:r>
        <w:rPr>
          <w:rFonts w:hint="default" w:ascii="Times New Roman" w:hAnsi="Times New Roman" w:eastAsia="宋体" w:cs="Times New Roman"/>
          <w:b/>
          <w:bCs w:val="0"/>
          <w:color w:val="auto"/>
          <w:sz w:val="24"/>
          <w:szCs w:val="24"/>
          <w:highlight w:val="none"/>
          <w:lang w:val="en-US" w:eastAsia="en-US" w:bidi="ar-SA"/>
        </w:rPr>
        <w:t>表2.</w:t>
      </w:r>
      <w:r>
        <w:rPr>
          <w:rFonts w:hint="default" w:ascii="Times New Roman" w:hAnsi="Times New Roman" w:eastAsia="宋体" w:cs="Times New Roman"/>
          <w:b/>
          <w:bCs w:val="0"/>
          <w:color w:val="auto"/>
          <w:sz w:val="24"/>
          <w:szCs w:val="24"/>
          <w:highlight w:val="none"/>
          <w:lang w:val="en-US" w:eastAsia="zh-CN" w:bidi="ar-SA"/>
        </w:rPr>
        <w:t>5</w:t>
      </w:r>
      <w:r>
        <w:rPr>
          <w:rFonts w:hint="default" w:ascii="Times New Roman" w:hAnsi="Times New Roman" w:eastAsia="宋体" w:cs="Times New Roman"/>
          <w:b/>
          <w:bCs w:val="0"/>
          <w:color w:val="auto"/>
          <w:sz w:val="24"/>
          <w:szCs w:val="24"/>
          <w:highlight w:val="none"/>
          <w:lang w:val="en-US" w:eastAsia="en-US" w:bidi="ar-SA"/>
        </w:rPr>
        <w:t>-</w:t>
      </w:r>
      <w:r>
        <w:rPr>
          <w:rFonts w:hint="eastAsia" w:cs="Times New Roman"/>
          <w:b/>
          <w:bCs w:val="0"/>
          <w:color w:val="auto"/>
          <w:sz w:val="24"/>
          <w:szCs w:val="24"/>
          <w:highlight w:val="none"/>
          <w:lang w:val="en-US" w:eastAsia="zh-CN" w:bidi="ar-SA"/>
        </w:rPr>
        <w:t>7</w:t>
      </w:r>
      <w:r>
        <w:rPr>
          <w:rFonts w:hint="default" w:ascii="Times New Roman" w:hAnsi="Times New Roman" w:eastAsia="宋体" w:cs="Times New Roman"/>
          <w:b/>
          <w:bCs w:val="0"/>
          <w:color w:val="auto"/>
          <w:sz w:val="24"/>
          <w:szCs w:val="24"/>
          <w:highlight w:val="none"/>
          <w:lang w:val="en-US" w:eastAsia="en-US" w:bidi="ar-SA"/>
        </w:rPr>
        <w:t xml:space="preserve">    水污染物排放限值    单位：mg/L（pH无量纲）</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2615"/>
        <w:gridCol w:w="2880"/>
        <w:gridCol w:w="2351"/>
      </w:tblGrid>
      <w:tr w14:paraId="1A2C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395" w:type="pct"/>
            <w:vAlign w:val="center"/>
          </w:tcPr>
          <w:p w14:paraId="3210D07F">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序号</w:t>
            </w:r>
          </w:p>
        </w:tc>
        <w:tc>
          <w:tcPr>
            <w:tcW w:w="1534" w:type="pct"/>
            <w:vAlign w:val="center"/>
          </w:tcPr>
          <w:p w14:paraId="31ECB731">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w:t>
            </w:r>
          </w:p>
        </w:tc>
        <w:tc>
          <w:tcPr>
            <w:tcW w:w="1690" w:type="pct"/>
            <w:vAlign w:val="center"/>
          </w:tcPr>
          <w:p w14:paraId="21409A8B">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标准值</w:t>
            </w:r>
          </w:p>
        </w:tc>
        <w:tc>
          <w:tcPr>
            <w:tcW w:w="1379" w:type="pct"/>
            <w:vAlign w:val="center"/>
          </w:tcPr>
          <w:p w14:paraId="02775FD5">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标准来源</w:t>
            </w:r>
          </w:p>
        </w:tc>
      </w:tr>
      <w:tr w14:paraId="288E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593EDD74">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w:t>
            </w:r>
          </w:p>
        </w:tc>
        <w:tc>
          <w:tcPr>
            <w:tcW w:w="1534" w:type="pct"/>
            <w:vAlign w:val="center"/>
          </w:tcPr>
          <w:p w14:paraId="1C04A5A2">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总汞</w:t>
            </w:r>
          </w:p>
        </w:tc>
        <w:tc>
          <w:tcPr>
            <w:tcW w:w="1690" w:type="pct"/>
            <w:vAlign w:val="center"/>
          </w:tcPr>
          <w:p w14:paraId="52671F55">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0.05</w:t>
            </w:r>
          </w:p>
        </w:tc>
        <w:tc>
          <w:tcPr>
            <w:tcW w:w="1379" w:type="pct"/>
            <w:vMerge w:val="restart"/>
            <w:vAlign w:val="center"/>
          </w:tcPr>
          <w:p w14:paraId="6D620677">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《污水综合排放标准》（GB8978-1996）表1第一类污染物最高允许排放浓度限值</w:t>
            </w:r>
          </w:p>
        </w:tc>
      </w:tr>
      <w:tr w14:paraId="49C5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7EF19367">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p>
        </w:tc>
        <w:tc>
          <w:tcPr>
            <w:tcW w:w="1534" w:type="pct"/>
            <w:vAlign w:val="center"/>
          </w:tcPr>
          <w:p w14:paraId="712DD960">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烷基汞</w:t>
            </w:r>
          </w:p>
        </w:tc>
        <w:tc>
          <w:tcPr>
            <w:tcW w:w="1690" w:type="pct"/>
            <w:vAlign w:val="center"/>
          </w:tcPr>
          <w:p w14:paraId="5D03C43F">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不得检出</w:t>
            </w:r>
          </w:p>
        </w:tc>
        <w:tc>
          <w:tcPr>
            <w:tcW w:w="1379" w:type="pct"/>
            <w:vMerge w:val="continue"/>
            <w:vAlign w:val="center"/>
          </w:tcPr>
          <w:p w14:paraId="29714C47">
            <w:pPr>
              <w:pStyle w:val="17"/>
              <w:bidi w:val="0"/>
              <w:rPr>
                <w:rFonts w:hint="default" w:ascii="Times New Roman" w:hAnsi="Times New Roman" w:cs="Times New Roman"/>
                <w:color w:val="auto"/>
                <w:highlight w:val="none"/>
                <w:lang w:val="en-US" w:eastAsia="zh-CN"/>
              </w:rPr>
            </w:pPr>
          </w:p>
        </w:tc>
      </w:tr>
      <w:tr w14:paraId="5F5F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36A43F4B">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w:t>
            </w:r>
          </w:p>
        </w:tc>
        <w:tc>
          <w:tcPr>
            <w:tcW w:w="1534" w:type="pct"/>
            <w:vAlign w:val="center"/>
          </w:tcPr>
          <w:p w14:paraId="7C77C6D2">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总镉</w:t>
            </w:r>
          </w:p>
        </w:tc>
        <w:tc>
          <w:tcPr>
            <w:tcW w:w="1690" w:type="pct"/>
            <w:vAlign w:val="center"/>
          </w:tcPr>
          <w:p w14:paraId="53877814">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0.1</w:t>
            </w:r>
          </w:p>
        </w:tc>
        <w:tc>
          <w:tcPr>
            <w:tcW w:w="1379" w:type="pct"/>
            <w:vMerge w:val="continue"/>
            <w:vAlign w:val="center"/>
          </w:tcPr>
          <w:p w14:paraId="39876711">
            <w:pPr>
              <w:pStyle w:val="17"/>
              <w:bidi w:val="0"/>
              <w:rPr>
                <w:rFonts w:hint="default" w:ascii="Times New Roman" w:hAnsi="Times New Roman" w:cs="Times New Roman"/>
                <w:color w:val="auto"/>
                <w:highlight w:val="none"/>
                <w:lang w:val="en-US" w:eastAsia="zh-CN"/>
              </w:rPr>
            </w:pPr>
          </w:p>
        </w:tc>
      </w:tr>
      <w:tr w14:paraId="07EC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2DFD9E79">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w:t>
            </w:r>
          </w:p>
        </w:tc>
        <w:tc>
          <w:tcPr>
            <w:tcW w:w="1534" w:type="pct"/>
            <w:vAlign w:val="center"/>
          </w:tcPr>
          <w:p w14:paraId="3A267832">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总铬</w:t>
            </w:r>
          </w:p>
        </w:tc>
        <w:tc>
          <w:tcPr>
            <w:tcW w:w="1690" w:type="pct"/>
            <w:vAlign w:val="center"/>
          </w:tcPr>
          <w:p w14:paraId="5753A99C">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1.5</w:t>
            </w:r>
          </w:p>
        </w:tc>
        <w:tc>
          <w:tcPr>
            <w:tcW w:w="1379" w:type="pct"/>
            <w:vMerge w:val="continue"/>
            <w:vAlign w:val="center"/>
          </w:tcPr>
          <w:p w14:paraId="454B0C76">
            <w:pPr>
              <w:pStyle w:val="17"/>
              <w:bidi w:val="0"/>
              <w:rPr>
                <w:rFonts w:hint="default" w:ascii="Times New Roman" w:hAnsi="Times New Roman" w:cs="Times New Roman"/>
                <w:color w:val="auto"/>
                <w:highlight w:val="none"/>
                <w:lang w:val="en-US" w:eastAsia="zh-CN"/>
              </w:rPr>
            </w:pPr>
          </w:p>
        </w:tc>
      </w:tr>
      <w:tr w14:paraId="4BE6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7D7366B8">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w:t>
            </w:r>
          </w:p>
        </w:tc>
        <w:tc>
          <w:tcPr>
            <w:tcW w:w="1534" w:type="pct"/>
            <w:vAlign w:val="center"/>
          </w:tcPr>
          <w:p w14:paraId="6FE7D926">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六价铬</w:t>
            </w:r>
          </w:p>
        </w:tc>
        <w:tc>
          <w:tcPr>
            <w:tcW w:w="1690" w:type="pct"/>
            <w:vAlign w:val="center"/>
          </w:tcPr>
          <w:p w14:paraId="46BF32F5">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0.5</w:t>
            </w:r>
          </w:p>
        </w:tc>
        <w:tc>
          <w:tcPr>
            <w:tcW w:w="1379" w:type="pct"/>
            <w:vMerge w:val="continue"/>
            <w:vAlign w:val="center"/>
          </w:tcPr>
          <w:p w14:paraId="031EEB35">
            <w:pPr>
              <w:pStyle w:val="17"/>
              <w:bidi w:val="0"/>
              <w:rPr>
                <w:rFonts w:hint="default" w:ascii="Times New Roman" w:hAnsi="Times New Roman" w:cs="Times New Roman"/>
                <w:color w:val="auto"/>
                <w:highlight w:val="none"/>
                <w:lang w:val="en-US" w:eastAsia="zh-CN"/>
              </w:rPr>
            </w:pPr>
          </w:p>
        </w:tc>
      </w:tr>
      <w:tr w14:paraId="010F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315EC654">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w:t>
            </w:r>
          </w:p>
        </w:tc>
        <w:tc>
          <w:tcPr>
            <w:tcW w:w="1534" w:type="pct"/>
            <w:vAlign w:val="center"/>
          </w:tcPr>
          <w:p w14:paraId="5E23E3BD">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总砷</w:t>
            </w:r>
          </w:p>
        </w:tc>
        <w:tc>
          <w:tcPr>
            <w:tcW w:w="1690" w:type="pct"/>
            <w:vAlign w:val="center"/>
          </w:tcPr>
          <w:p w14:paraId="31CB8A1B">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0.5</w:t>
            </w:r>
          </w:p>
        </w:tc>
        <w:tc>
          <w:tcPr>
            <w:tcW w:w="1379" w:type="pct"/>
            <w:vMerge w:val="continue"/>
            <w:vAlign w:val="center"/>
          </w:tcPr>
          <w:p w14:paraId="20E1509F">
            <w:pPr>
              <w:pStyle w:val="17"/>
              <w:bidi w:val="0"/>
              <w:rPr>
                <w:rFonts w:hint="default" w:ascii="Times New Roman" w:hAnsi="Times New Roman" w:cs="Times New Roman"/>
                <w:color w:val="auto"/>
                <w:highlight w:val="none"/>
                <w:lang w:val="en-US" w:eastAsia="zh-CN"/>
              </w:rPr>
            </w:pPr>
          </w:p>
        </w:tc>
      </w:tr>
      <w:tr w14:paraId="1230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5B4DE964">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w:t>
            </w:r>
          </w:p>
        </w:tc>
        <w:tc>
          <w:tcPr>
            <w:tcW w:w="1534" w:type="pct"/>
            <w:vAlign w:val="center"/>
          </w:tcPr>
          <w:p w14:paraId="588536DA">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总铅</w:t>
            </w:r>
          </w:p>
        </w:tc>
        <w:tc>
          <w:tcPr>
            <w:tcW w:w="1690" w:type="pct"/>
            <w:vAlign w:val="center"/>
          </w:tcPr>
          <w:p w14:paraId="4D63EB03">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1.0</w:t>
            </w:r>
          </w:p>
        </w:tc>
        <w:tc>
          <w:tcPr>
            <w:tcW w:w="1379" w:type="pct"/>
            <w:vMerge w:val="continue"/>
            <w:vAlign w:val="center"/>
          </w:tcPr>
          <w:p w14:paraId="5D529460">
            <w:pPr>
              <w:pStyle w:val="17"/>
              <w:bidi w:val="0"/>
              <w:rPr>
                <w:rFonts w:hint="default" w:ascii="Times New Roman" w:hAnsi="Times New Roman" w:cs="Times New Roman"/>
                <w:color w:val="auto"/>
                <w:highlight w:val="none"/>
                <w:lang w:val="en-US" w:eastAsia="zh-CN"/>
              </w:rPr>
            </w:pPr>
          </w:p>
        </w:tc>
      </w:tr>
      <w:tr w14:paraId="3AFF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7920FAFA">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w:t>
            </w:r>
          </w:p>
        </w:tc>
        <w:tc>
          <w:tcPr>
            <w:tcW w:w="1534" w:type="pct"/>
            <w:vAlign w:val="center"/>
          </w:tcPr>
          <w:p w14:paraId="521CCAA3">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总镍</w:t>
            </w:r>
          </w:p>
        </w:tc>
        <w:tc>
          <w:tcPr>
            <w:tcW w:w="1690" w:type="pct"/>
            <w:vAlign w:val="center"/>
          </w:tcPr>
          <w:p w14:paraId="4CA3F229">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1.0</w:t>
            </w:r>
          </w:p>
        </w:tc>
        <w:tc>
          <w:tcPr>
            <w:tcW w:w="1379" w:type="pct"/>
            <w:vMerge w:val="continue"/>
            <w:vAlign w:val="center"/>
          </w:tcPr>
          <w:p w14:paraId="5AF1F840">
            <w:pPr>
              <w:pStyle w:val="17"/>
              <w:bidi w:val="0"/>
              <w:rPr>
                <w:rFonts w:hint="default" w:ascii="Times New Roman" w:hAnsi="Times New Roman" w:cs="Times New Roman"/>
                <w:color w:val="auto"/>
                <w:highlight w:val="none"/>
                <w:lang w:val="en-US" w:eastAsia="zh-CN"/>
              </w:rPr>
            </w:pPr>
          </w:p>
        </w:tc>
      </w:tr>
      <w:tr w14:paraId="6AF2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182605CB">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9</w:t>
            </w:r>
          </w:p>
        </w:tc>
        <w:tc>
          <w:tcPr>
            <w:tcW w:w="1534" w:type="pct"/>
            <w:vAlign w:val="center"/>
          </w:tcPr>
          <w:p w14:paraId="673AEAD5">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苯并（α）芘</w:t>
            </w:r>
          </w:p>
        </w:tc>
        <w:tc>
          <w:tcPr>
            <w:tcW w:w="1690" w:type="pct"/>
            <w:vAlign w:val="center"/>
          </w:tcPr>
          <w:p w14:paraId="0F7783E3">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0.00003</w:t>
            </w:r>
          </w:p>
        </w:tc>
        <w:tc>
          <w:tcPr>
            <w:tcW w:w="1379" w:type="pct"/>
            <w:vMerge w:val="continue"/>
            <w:vAlign w:val="center"/>
          </w:tcPr>
          <w:p w14:paraId="312DFC7B">
            <w:pPr>
              <w:pStyle w:val="17"/>
              <w:bidi w:val="0"/>
              <w:rPr>
                <w:rFonts w:hint="default" w:ascii="Times New Roman" w:hAnsi="Times New Roman" w:cs="Times New Roman"/>
                <w:color w:val="auto"/>
                <w:highlight w:val="none"/>
                <w:lang w:val="en-US" w:eastAsia="zh-CN"/>
              </w:rPr>
            </w:pPr>
          </w:p>
        </w:tc>
      </w:tr>
      <w:tr w14:paraId="0A43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4DCAFAF8">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10</w:t>
            </w:r>
          </w:p>
        </w:tc>
        <w:tc>
          <w:tcPr>
            <w:tcW w:w="1534" w:type="pct"/>
            <w:vAlign w:val="center"/>
          </w:tcPr>
          <w:p w14:paraId="3E5B1A77">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总铍</w:t>
            </w:r>
          </w:p>
        </w:tc>
        <w:tc>
          <w:tcPr>
            <w:tcW w:w="1690" w:type="pct"/>
            <w:vAlign w:val="center"/>
          </w:tcPr>
          <w:p w14:paraId="3205B817">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0.005</w:t>
            </w:r>
          </w:p>
        </w:tc>
        <w:tc>
          <w:tcPr>
            <w:tcW w:w="1379" w:type="pct"/>
            <w:vMerge w:val="continue"/>
            <w:vAlign w:val="center"/>
          </w:tcPr>
          <w:p w14:paraId="4FD0FB21">
            <w:pPr>
              <w:pStyle w:val="17"/>
              <w:bidi w:val="0"/>
              <w:rPr>
                <w:rFonts w:hint="default" w:ascii="Times New Roman" w:hAnsi="Times New Roman" w:cs="Times New Roman"/>
                <w:color w:val="auto"/>
                <w:highlight w:val="none"/>
                <w:lang w:val="en-US" w:eastAsia="zh-CN"/>
              </w:rPr>
            </w:pPr>
          </w:p>
        </w:tc>
      </w:tr>
      <w:tr w14:paraId="0142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7699E5B0">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11</w:t>
            </w:r>
          </w:p>
        </w:tc>
        <w:tc>
          <w:tcPr>
            <w:tcW w:w="1534" w:type="pct"/>
            <w:vAlign w:val="center"/>
          </w:tcPr>
          <w:p w14:paraId="6F605F3F">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总银</w:t>
            </w:r>
          </w:p>
        </w:tc>
        <w:tc>
          <w:tcPr>
            <w:tcW w:w="1690" w:type="pct"/>
            <w:vAlign w:val="center"/>
          </w:tcPr>
          <w:p w14:paraId="5C356C65">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0.5</w:t>
            </w:r>
          </w:p>
        </w:tc>
        <w:tc>
          <w:tcPr>
            <w:tcW w:w="1379" w:type="pct"/>
            <w:vMerge w:val="continue"/>
            <w:vAlign w:val="center"/>
          </w:tcPr>
          <w:p w14:paraId="1B2EBEB2">
            <w:pPr>
              <w:pStyle w:val="17"/>
              <w:bidi w:val="0"/>
              <w:rPr>
                <w:rFonts w:hint="default" w:ascii="Times New Roman" w:hAnsi="Times New Roman" w:cs="Times New Roman"/>
                <w:color w:val="auto"/>
                <w:highlight w:val="none"/>
                <w:lang w:val="en-US" w:eastAsia="zh-CN"/>
              </w:rPr>
            </w:pPr>
          </w:p>
        </w:tc>
      </w:tr>
      <w:tr w14:paraId="745A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2AA06561">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19</w:t>
            </w:r>
          </w:p>
        </w:tc>
        <w:tc>
          <w:tcPr>
            <w:tcW w:w="1534" w:type="pct"/>
            <w:vAlign w:val="center"/>
          </w:tcPr>
          <w:p w14:paraId="51E84703">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溶解性总固体</w:t>
            </w:r>
          </w:p>
        </w:tc>
        <w:tc>
          <w:tcPr>
            <w:tcW w:w="1690" w:type="pct"/>
            <w:vAlign w:val="center"/>
          </w:tcPr>
          <w:p w14:paraId="1119B2B1">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≤1000</w:t>
            </w:r>
          </w:p>
        </w:tc>
        <w:tc>
          <w:tcPr>
            <w:tcW w:w="1379" w:type="pct"/>
            <w:vMerge w:val="restart"/>
            <w:vAlign w:val="center"/>
          </w:tcPr>
          <w:p w14:paraId="13764217">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《城市污水再生利用 城市杂用水水质》（GB/T18920-2020）中的城市绿化、道路清扫、消防、建筑施工限值</w:t>
            </w:r>
          </w:p>
        </w:tc>
      </w:tr>
      <w:tr w14:paraId="24E2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7D2E0F53">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20</w:t>
            </w:r>
          </w:p>
        </w:tc>
        <w:tc>
          <w:tcPr>
            <w:tcW w:w="1534" w:type="pct"/>
            <w:vAlign w:val="center"/>
          </w:tcPr>
          <w:p w14:paraId="1231D8F3">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五日生化需氧量</w:t>
            </w:r>
          </w:p>
        </w:tc>
        <w:tc>
          <w:tcPr>
            <w:tcW w:w="1690" w:type="pct"/>
            <w:vAlign w:val="center"/>
          </w:tcPr>
          <w:p w14:paraId="29436504">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≤10</w:t>
            </w:r>
          </w:p>
        </w:tc>
        <w:tc>
          <w:tcPr>
            <w:tcW w:w="1379" w:type="pct"/>
            <w:vMerge w:val="continue"/>
            <w:vAlign w:val="center"/>
          </w:tcPr>
          <w:p w14:paraId="1408B68D">
            <w:pPr>
              <w:pStyle w:val="17"/>
              <w:bidi w:val="0"/>
              <w:rPr>
                <w:rFonts w:hint="default" w:ascii="Times New Roman" w:hAnsi="Times New Roman" w:cs="Times New Roman"/>
                <w:color w:val="auto"/>
                <w:highlight w:val="none"/>
                <w:lang w:val="en-US" w:eastAsia="zh-CN"/>
              </w:rPr>
            </w:pPr>
          </w:p>
        </w:tc>
      </w:tr>
      <w:tr w14:paraId="73AE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03AB9C9E">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21</w:t>
            </w:r>
          </w:p>
        </w:tc>
        <w:tc>
          <w:tcPr>
            <w:tcW w:w="1534" w:type="pct"/>
            <w:vAlign w:val="center"/>
          </w:tcPr>
          <w:p w14:paraId="7F450875">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氨氮</w:t>
            </w:r>
          </w:p>
        </w:tc>
        <w:tc>
          <w:tcPr>
            <w:tcW w:w="1690" w:type="pct"/>
            <w:vAlign w:val="center"/>
          </w:tcPr>
          <w:p w14:paraId="3D83C39D">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≤8</w:t>
            </w:r>
          </w:p>
        </w:tc>
        <w:tc>
          <w:tcPr>
            <w:tcW w:w="1379" w:type="pct"/>
            <w:vMerge w:val="continue"/>
            <w:vAlign w:val="center"/>
          </w:tcPr>
          <w:p w14:paraId="3B15F41D">
            <w:pPr>
              <w:pStyle w:val="17"/>
              <w:bidi w:val="0"/>
              <w:rPr>
                <w:rFonts w:hint="default" w:ascii="Times New Roman" w:hAnsi="Times New Roman" w:cs="Times New Roman"/>
                <w:color w:val="auto"/>
                <w:highlight w:val="none"/>
                <w:lang w:val="en-US" w:eastAsia="zh-CN"/>
              </w:rPr>
            </w:pPr>
          </w:p>
        </w:tc>
      </w:tr>
      <w:tr w14:paraId="21B3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2529C890">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22</w:t>
            </w:r>
          </w:p>
        </w:tc>
        <w:tc>
          <w:tcPr>
            <w:tcW w:w="1534" w:type="pct"/>
            <w:vAlign w:val="center"/>
          </w:tcPr>
          <w:p w14:paraId="336A3B53">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阴离子表面活性剂</w:t>
            </w:r>
          </w:p>
        </w:tc>
        <w:tc>
          <w:tcPr>
            <w:tcW w:w="1690" w:type="pct"/>
            <w:vAlign w:val="center"/>
          </w:tcPr>
          <w:p w14:paraId="5924941E">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≤0.5</w:t>
            </w:r>
          </w:p>
        </w:tc>
        <w:tc>
          <w:tcPr>
            <w:tcW w:w="1379" w:type="pct"/>
            <w:vMerge w:val="continue"/>
            <w:vAlign w:val="center"/>
          </w:tcPr>
          <w:p w14:paraId="6BE17E06">
            <w:pPr>
              <w:pStyle w:val="17"/>
              <w:bidi w:val="0"/>
              <w:rPr>
                <w:rFonts w:hint="default" w:ascii="Times New Roman" w:hAnsi="Times New Roman" w:cs="Times New Roman"/>
                <w:color w:val="auto"/>
                <w:highlight w:val="none"/>
                <w:lang w:val="en-US" w:eastAsia="zh-CN"/>
              </w:rPr>
            </w:pPr>
          </w:p>
        </w:tc>
      </w:tr>
      <w:tr w14:paraId="45E8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3D712BAA">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23</w:t>
            </w:r>
          </w:p>
        </w:tc>
        <w:tc>
          <w:tcPr>
            <w:tcW w:w="1534" w:type="pct"/>
            <w:vAlign w:val="center"/>
          </w:tcPr>
          <w:p w14:paraId="28BE5C00">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溶解氧</w:t>
            </w:r>
          </w:p>
        </w:tc>
        <w:tc>
          <w:tcPr>
            <w:tcW w:w="1690" w:type="pct"/>
            <w:vAlign w:val="center"/>
          </w:tcPr>
          <w:p w14:paraId="5E23C3B5">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≥2.0</w:t>
            </w:r>
          </w:p>
        </w:tc>
        <w:tc>
          <w:tcPr>
            <w:tcW w:w="1379" w:type="pct"/>
            <w:vMerge w:val="continue"/>
            <w:vAlign w:val="center"/>
          </w:tcPr>
          <w:p w14:paraId="33E24ACF">
            <w:pPr>
              <w:pStyle w:val="17"/>
              <w:bidi w:val="0"/>
              <w:rPr>
                <w:rFonts w:hint="default" w:ascii="Times New Roman" w:hAnsi="Times New Roman" w:cs="Times New Roman"/>
                <w:color w:val="auto"/>
                <w:highlight w:val="none"/>
                <w:lang w:val="en-US" w:eastAsia="zh-CN"/>
              </w:rPr>
            </w:pPr>
          </w:p>
        </w:tc>
      </w:tr>
      <w:tr w14:paraId="1500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5" w:type="pct"/>
            <w:vAlign w:val="center"/>
          </w:tcPr>
          <w:p w14:paraId="054F18AB">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24</w:t>
            </w:r>
          </w:p>
        </w:tc>
        <w:tc>
          <w:tcPr>
            <w:tcW w:w="1534" w:type="pct"/>
            <w:vAlign w:val="center"/>
          </w:tcPr>
          <w:p w14:paraId="1FFCF2F6">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总氯</w:t>
            </w:r>
          </w:p>
        </w:tc>
        <w:tc>
          <w:tcPr>
            <w:tcW w:w="1690" w:type="pct"/>
            <w:vAlign w:val="center"/>
          </w:tcPr>
          <w:p w14:paraId="03AEE8B6">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出厂≥1.0，管网末端≥0.2</w:t>
            </w:r>
          </w:p>
        </w:tc>
        <w:tc>
          <w:tcPr>
            <w:tcW w:w="1379" w:type="pct"/>
            <w:vMerge w:val="continue"/>
            <w:vAlign w:val="center"/>
          </w:tcPr>
          <w:p w14:paraId="0978150C">
            <w:pPr>
              <w:pStyle w:val="17"/>
              <w:bidi w:val="0"/>
              <w:rPr>
                <w:rFonts w:hint="default" w:ascii="Times New Roman" w:hAnsi="Times New Roman" w:cs="Times New Roman"/>
                <w:color w:val="auto"/>
                <w:highlight w:val="none"/>
                <w:lang w:val="en-US" w:eastAsia="zh-CN"/>
              </w:rPr>
            </w:pPr>
          </w:p>
        </w:tc>
      </w:tr>
    </w:tbl>
    <w:p w14:paraId="61530B8B">
      <w:pPr>
        <w:overflowPunct w:val="0"/>
        <w:topLinePunct/>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选矿工艺废水“闭路循环”，正常工况下不外排；生活污水</w:t>
      </w:r>
      <w:r>
        <w:rPr>
          <w:rFonts w:hint="default" w:ascii="Times New Roman" w:hAnsi="Times New Roman" w:cs="Times New Roman"/>
          <w:color w:val="auto"/>
          <w:highlight w:val="none"/>
          <w:lang w:val="en-US" w:eastAsia="zh-CN"/>
        </w:rPr>
        <w:t>经</w:t>
      </w:r>
      <w:r>
        <w:rPr>
          <w:rFonts w:hint="default" w:ascii="Times New Roman" w:hAnsi="Times New Roman" w:cs="Times New Roman"/>
          <w:color w:val="auto"/>
          <w:highlight w:val="none"/>
          <w:lang w:eastAsia="zh-CN"/>
        </w:rPr>
        <w:t>生活区</w:t>
      </w:r>
      <w:r>
        <w:rPr>
          <w:rFonts w:hint="default" w:ascii="Times New Roman" w:hAnsi="Times New Roman" w:cs="Times New Roman"/>
          <w:color w:val="auto"/>
          <w:highlight w:val="none"/>
          <w:lang w:val="en-US" w:eastAsia="zh-CN"/>
        </w:rPr>
        <w:t>地埋式污水处理设施</w:t>
      </w:r>
      <w:r>
        <w:rPr>
          <w:rFonts w:hint="default" w:ascii="Times New Roman" w:hAnsi="Times New Roman" w:cs="Times New Roman"/>
          <w:color w:val="auto"/>
          <w:highlight w:val="none"/>
        </w:rPr>
        <w:t>处理，</w:t>
      </w:r>
      <w:r>
        <w:rPr>
          <w:rFonts w:hint="default" w:ascii="Times New Roman" w:hAnsi="Times New Roman" w:eastAsia="宋体" w:cs="Times New Roman"/>
          <w:color w:val="auto"/>
          <w:sz w:val="24"/>
          <w:szCs w:val="24"/>
          <w:highlight w:val="none"/>
          <w:shd w:val="clear" w:color="auto" w:fill="auto"/>
          <w:lang w:val="en-US" w:eastAsia="zh-CN"/>
        </w:rPr>
        <w:t>满足《农村生活污水处理排放标准》（DB65 4275-2019）表</w:t>
      </w:r>
      <w:r>
        <w:rPr>
          <w:rFonts w:hint="eastAsia" w:cs="Times New Roman"/>
          <w:color w:val="auto"/>
          <w:sz w:val="24"/>
          <w:szCs w:val="24"/>
          <w:highlight w:val="none"/>
          <w:shd w:val="clear" w:color="auto" w:fill="auto"/>
          <w:lang w:val="en-US" w:eastAsia="zh-CN"/>
        </w:rPr>
        <w:t>2</w:t>
      </w:r>
      <w:r>
        <w:rPr>
          <w:rFonts w:hint="default" w:ascii="Times New Roman" w:hAnsi="Times New Roman" w:eastAsia="宋体" w:cs="Times New Roman"/>
          <w:color w:val="auto"/>
          <w:sz w:val="24"/>
          <w:szCs w:val="24"/>
          <w:highlight w:val="none"/>
          <w:shd w:val="clear" w:color="auto" w:fill="auto"/>
          <w:lang w:val="en-US" w:eastAsia="zh-CN"/>
        </w:rPr>
        <w:t>中</w:t>
      </w:r>
      <w:r>
        <w:rPr>
          <w:rFonts w:hint="eastAsia" w:cs="Times New Roman"/>
          <w:color w:val="auto"/>
          <w:sz w:val="24"/>
          <w:szCs w:val="24"/>
          <w:highlight w:val="none"/>
          <w:shd w:val="clear" w:color="auto" w:fill="auto"/>
          <w:lang w:val="en-US" w:eastAsia="zh-CN"/>
        </w:rPr>
        <w:t>A</w:t>
      </w:r>
      <w:r>
        <w:rPr>
          <w:rFonts w:hint="default" w:ascii="Times New Roman" w:hAnsi="Times New Roman" w:eastAsia="宋体" w:cs="Times New Roman"/>
          <w:color w:val="auto"/>
          <w:sz w:val="24"/>
          <w:szCs w:val="24"/>
          <w:highlight w:val="none"/>
          <w:shd w:val="clear" w:color="auto" w:fill="auto"/>
          <w:lang w:val="en-US" w:eastAsia="zh-CN"/>
        </w:rPr>
        <w:t>级标准限值</w:t>
      </w:r>
      <w:r>
        <w:rPr>
          <w:rFonts w:hint="eastAsia" w:cs="Times New Roman"/>
          <w:color w:val="auto"/>
          <w:sz w:val="24"/>
          <w:szCs w:val="24"/>
          <w:highlight w:val="none"/>
          <w:shd w:val="clear" w:color="auto" w:fill="auto"/>
          <w:lang w:val="en-US" w:eastAsia="zh-CN"/>
        </w:rPr>
        <w:t>后，</w:t>
      </w:r>
      <w:r>
        <w:rPr>
          <w:rFonts w:hint="eastAsia"/>
          <w:color w:val="auto"/>
          <w:highlight w:val="none"/>
          <w:lang w:val="en-US" w:eastAsia="zh-CN"/>
        </w:rPr>
        <w:t>用于项目区绿化</w:t>
      </w:r>
      <w:r>
        <w:rPr>
          <w:rFonts w:hint="default" w:ascii="Times New Roman" w:hAnsi="Times New Roman" w:cs="Times New Roman"/>
          <w:color w:val="auto"/>
          <w:highlight w:val="none"/>
        </w:rPr>
        <w:t>。主要污染物标准浓度限值见表2.5-</w:t>
      </w:r>
      <w:r>
        <w:rPr>
          <w:rFonts w:hint="eastAsia" w:cs="Times New Roman"/>
          <w:color w:val="auto"/>
          <w:highlight w:val="none"/>
          <w:lang w:val="en-US" w:eastAsia="zh-CN"/>
        </w:rPr>
        <w:t>8</w:t>
      </w:r>
      <w:r>
        <w:rPr>
          <w:rFonts w:hint="default" w:ascii="Times New Roman" w:hAnsi="Times New Roman" w:cs="Times New Roman"/>
          <w:color w:val="auto"/>
          <w:highlight w:val="none"/>
        </w:rPr>
        <w:t>。</w:t>
      </w:r>
    </w:p>
    <w:p w14:paraId="7D214A83">
      <w:pPr>
        <w:spacing w:after="0"/>
        <w:ind w:firstLine="0" w:firstLineChars="0"/>
        <w:jc w:val="center"/>
        <w:rPr>
          <w:rFonts w:hint="default" w:ascii="Times New Roman" w:hAnsi="Times New Roman" w:cs="Times New Roman"/>
          <w:b/>
          <w:color w:val="auto"/>
          <w:highlight w:val="none"/>
        </w:rPr>
      </w:pPr>
      <w:r>
        <w:rPr>
          <w:rFonts w:hint="eastAsia" w:ascii="Times New Roman" w:hAnsi="Times New Roman" w:cs="Times New Roman"/>
          <w:b/>
          <w:color w:val="auto"/>
          <w:highlight w:val="none"/>
          <w:lang w:eastAsia="zh-CN"/>
        </w:rPr>
        <w:t>表</w:t>
      </w:r>
      <w:r>
        <w:rPr>
          <w:rFonts w:hint="default" w:ascii="Times New Roman" w:hAnsi="Times New Roman" w:cs="Times New Roman"/>
          <w:b/>
          <w:color w:val="auto"/>
          <w:highlight w:val="none"/>
        </w:rPr>
        <w:t>2.5-</w:t>
      </w:r>
      <w:r>
        <w:rPr>
          <w:rFonts w:hint="eastAsia" w:cs="Times New Roman"/>
          <w:b/>
          <w:color w:val="auto"/>
          <w:highlight w:val="none"/>
          <w:lang w:val="en-US" w:eastAsia="zh-CN"/>
        </w:rPr>
        <w:t>8</w:t>
      </w:r>
      <w:r>
        <w:rPr>
          <w:rFonts w:hint="default" w:ascii="Times New Roman" w:hAnsi="Times New Roman" w:cs="Times New Roman"/>
          <w:b/>
          <w:color w:val="auto"/>
          <w:highlight w:val="none"/>
        </w:rPr>
        <w:t xml:space="preserve">    </w:t>
      </w:r>
      <w:r>
        <w:rPr>
          <w:rFonts w:hint="default" w:ascii="Times New Roman" w:hAnsi="Times New Roman" w:cs="Times New Roman"/>
          <w:b/>
          <w:color w:val="auto"/>
          <w:highlight w:val="none"/>
          <w:lang w:val="en-US" w:eastAsia="zh-CN"/>
        </w:rPr>
        <w:t>《农村生活污水处理排放标准》</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2279"/>
        <w:gridCol w:w="1925"/>
        <w:gridCol w:w="2218"/>
        <w:gridCol w:w="1575"/>
      </w:tblGrid>
      <w:tr w14:paraId="4A86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Align w:val="center"/>
          </w:tcPr>
          <w:p w14:paraId="572353C4">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序号</w:t>
            </w:r>
          </w:p>
        </w:tc>
        <w:tc>
          <w:tcPr>
            <w:tcW w:w="1337" w:type="pct"/>
            <w:vAlign w:val="center"/>
          </w:tcPr>
          <w:p w14:paraId="46595D74">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项目</w:t>
            </w:r>
          </w:p>
        </w:tc>
        <w:tc>
          <w:tcPr>
            <w:tcW w:w="1129" w:type="pct"/>
            <w:vAlign w:val="center"/>
          </w:tcPr>
          <w:p w14:paraId="78A3A075">
            <w:pPr>
              <w:pStyle w:val="17"/>
              <w:bidi w:val="0"/>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单位</w:t>
            </w:r>
          </w:p>
        </w:tc>
        <w:tc>
          <w:tcPr>
            <w:tcW w:w="1301" w:type="pct"/>
            <w:vAlign w:val="center"/>
          </w:tcPr>
          <w:p w14:paraId="7FFFB822">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标准值</w:t>
            </w:r>
          </w:p>
        </w:tc>
        <w:tc>
          <w:tcPr>
            <w:tcW w:w="924" w:type="pct"/>
            <w:vAlign w:val="center"/>
          </w:tcPr>
          <w:p w14:paraId="3F11E073">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标准来源</w:t>
            </w:r>
          </w:p>
        </w:tc>
      </w:tr>
      <w:tr w14:paraId="2694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Align w:val="center"/>
          </w:tcPr>
          <w:p w14:paraId="5DD5EBE4">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1</w:t>
            </w:r>
          </w:p>
        </w:tc>
        <w:tc>
          <w:tcPr>
            <w:tcW w:w="1337" w:type="pct"/>
            <w:vAlign w:val="center"/>
          </w:tcPr>
          <w:p w14:paraId="2DEDE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snapToGrid/>
                <w:color w:val="auto"/>
                <w:kern w:val="0"/>
                <w:sz w:val="21"/>
                <w:szCs w:val="21"/>
                <w:highlight w:val="none"/>
                <w:lang w:val="en-US" w:eastAsia="zh-CN" w:bidi="ar-SA"/>
              </w:rPr>
              <w:t>pH</w:t>
            </w:r>
          </w:p>
        </w:tc>
        <w:tc>
          <w:tcPr>
            <w:tcW w:w="1129" w:type="pct"/>
            <w:vAlign w:val="center"/>
          </w:tcPr>
          <w:p w14:paraId="5D889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eastAsia="宋体" w:cs="Times New Roman"/>
                <w:b w:val="0"/>
                <w:bCs w:val="0"/>
                <w:snapToGrid/>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mg/L</w:t>
            </w:r>
          </w:p>
        </w:tc>
        <w:tc>
          <w:tcPr>
            <w:tcW w:w="1301" w:type="pct"/>
            <w:vAlign w:val="center"/>
          </w:tcPr>
          <w:p w14:paraId="4D1F7D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snapToGrid/>
                <w:color w:val="auto"/>
                <w:kern w:val="0"/>
                <w:sz w:val="21"/>
                <w:szCs w:val="21"/>
                <w:highlight w:val="none"/>
                <w:lang w:val="en-US" w:eastAsia="zh-CN" w:bidi="ar-SA"/>
              </w:rPr>
              <w:t>6～9</w:t>
            </w:r>
          </w:p>
        </w:tc>
        <w:tc>
          <w:tcPr>
            <w:tcW w:w="924" w:type="pct"/>
            <w:vMerge w:val="restart"/>
            <w:vAlign w:val="center"/>
          </w:tcPr>
          <w:p w14:paraId="797082F9">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snapToGrid/>
                <w:color w:val="auto"/>
                <w:kern w:val="2"/>
                <w:sz w:val="21"/>
                <w:szCs w:val="21"/>
                <w:highlight w:val="none"/>
                <w:lang w:val="en-US" w:eastAsia="zh-CN" w:bidi="ar-SA"/>
              </w:rPr>
              <w:t>《农村生活污水处理排放标准》（DB65 4275-2019）表</w:t>
            </w:r>
            <w:r>
              <w:rPr>
                <w:rFonts w:hint="eastAsia" w:cs="Times New Roman"/>
                <w:b w:val="0"/>
                <w:bCs w:val="0"/>
                <w:snapToGrid/>
                <w:color w:val="auto"/>
                <w:kern w:val="2"/>
                <w:sz w:val="21"/>
                <w:szCs w:val="21"/>
                <w:highlight w:val="none"/>
                <w:lang w:val="en-US" w:eastAsia="zh-CN" w:bidi="ar-SA"/>
              </w:rPr>
              <w:t>2</w:t>
            </w:r>
            <w:r>
              <w:rPr>
                <w:rFonts w:hint="default" w:ascii="Times New Roman" w:hAnsi="Times New Roman" w:eastAsia="宋体" w:cs="Times New Roman"/>
                <w:b w:val="0"/>
                <w:bCs w:val="0"/>
                <w:snapToGrid/>
                <w:color w:val="auto"/>
                <w:kern w:val="2"/>
                <w:sz w:val="21"/>
                <w:szCs w:val="21"/>
                <w:highlight w:val="none"/>
                <w:lang w:val="en-US" w:eastAsia="zh-CN" w:bidi="ar-SA"/>
              </w:rPr>
              <w:t>中</w:t>
            </w:r>
            <w:r>
              <w:rPr>
                <w:rFonts w:hint="eastAsia" w:cs="Times New Roman"/>
                <w:b w:val="0"/>
                <w:bCs w:val="0"/>
                <w:snapToGrid/>
                <w:color w:val="auto"/>
                <w:kern w:val="2"/>
                <w:sz w:val="21"/>
                <w:szCs w:val="21"/>
                <w:highlight w:val="none"/>
                <w:lang w:val="en-US" w:eastAsia="zh-CN" w:bidi="ar-SA"/>
              </w:rPr>
              <w:t>A</w:t>
            </w:r>
            <w:r>
              <w:rPr>
                <w:rFonts w:hint="default" w:ascii="Times New Roman" w:hAnsi="Times New Roman" w:eastAsia="宋体" w:cs="Times New Roman"/>
                <w:b w:val="0"/>
                <w:bCs w:val="0"/>
                <w:snapToGrid/>
                <w:color w:val="auto"/>
                <w:kern w:val="2"/>
                <w:sz w:val="21"/>
                <w:szCs w:val="21"/>
                <w:highlight w:val="none"/>
                <w:lang w:val="en-US" w:eastAsia="zh-CN" w:bidi="ar-SA"/>
              </w:rPr>
              <w:t>级标准</w:t>
            </w:r>
          </w:p>
        </w:tc>
      </w:tr>
      <w:tr w14:paraId="69C0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Align w:val="center"/>
          </w:tcPr>
          <w:p w14:paraId="3AAB06A1">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2</w:t>
            </w:r>
          </w:p>
        </w:tc>
        <w:tc>
          <w:tcPr>
            <w:tcW w:w="1337" w:type="pct"/>
            <w:vAlign w:val="center"/>
          </w:tcPr>
          <w:p w14:paraId="4AC266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snapToGrid/>
                <w:color w:val="auto"/>
                <w:kern w:val="0"/>
                <w:sz w:val="21"/>
                <w:szCs w:val="21"/>
                <w:highlight w:val="none"/>
                <w:lang w:val="en-US" w:eastAsia="zh-CN" w:bidi="ar-SA"/>
              </w:rPr>
              <w:t>化学需氧量</w:t>
            </w:r>
            <w:r>
              <w:rPr>
                <w:rFonts w:hint="eastAsia" w:ascii="Times New Roman" w:hAnsi="Times New Roman" w:eastAsia="宋体" w:cs="Times New Roman"/>
                <w:b w:val="0"/>
                <w:bCs w:val="0"/>
                <w:snapToGrid/>
                <w:color w:val="auto"/>
                <w:kern w:val="0"/>
                <w:sz w:val="21"/>
                <w:szCs w:val="21"/>
                <w:highlight w:val="none"/>
                <w:lang w:val="en-US" w:eastAsia="zh-CN" w:bidi="ar-SA"/>
              </w:rPr>
              <w:t>（</w:t>
            </w:r>
            <w:r>
              <w:rPr>
                <w:rFonts w:hint="default" w:ascii="Times New Roman" w:hAnsi="Times New Roman" w:eastAsia="宋体" w:cs="Times New Roman"/>
                <w:b w:val="0"/>
                <w:bCs w:val="0"/>
                <w:snapToGrid/>
                <w:color w:val="auto"/>
                <w:kern w:val="0"/>
                <w:sz w:val="21"/>
                <w:szCs w:val="21"/>
                <w:highlight w:val="none"/>
                <w:lang w:val="en-US" w:eastAsia="zh-CN" w:bidi="ar-SA"/>
              </w:rPr>
              <w:t>COD</w:t>
            </w:r>
            <w:r>
              <w:rPr>
                <w:rFonts w:hint="default" w:ascii="Times New Roman" w:hAnsi="Times New Roman" w:eastAsia="宋体" w:cs="Times New Roman"/>
                <w:b w:val="0"/>
                <w:bCs w:val="0"/>
                <w:snapToGrid/>
                <w:color w:val="auto"/>
                <w:kern w:val="0"/>
                <w:sz w:val="21"/>
                <w:szCs w:val="21"/>
                <w:highlight w:val="none"/>
                <w:vertAlign w:val="subscript"/>
                <w:lang w:val="en-US" w:eastAsia="zh-CN" w:bidi="ar-SA"/>
              </w:rPr>
              <w:t>cr</w:t>
            </w:r>
            <w:r>
              <w:rPr>
                <w:rFonts w:hint="eastAsia" w:ascii="Times New Roman" w:hAnsi="Times New Roman" w:eastAsia="宋体" w:cs="Times New Roman"/>
                <w:b w:val="0"/>
                <w:bCs w:val="0"/>
                <w:snapToGrid/>
                <w:color w:val="auto"/>
                <w:kern w:val="0"/>
                <w:sz w:val="21"/>
                <w:szCs w:val="21"/>
                <w:highlight w:val="none"/>
                <w:lang w:val="en-US" w:eastAsia="zh-CN" w:bidi="ar-SA"/>
              </w:rPr>
              <w:t>）</w:t>
            </w:r>
          </w:p>
        </w:tc>
        <w:tc>
          <w:tcPr>
            <w:tcW w:w="1129" w:type="pct"/>
            <w:vAlign w:val="center"/>
          </w:tcPr>
          <w:p w14:paraId="1DCF4B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eastAsia="宋体" w:cs="Times New Roman"/>
                <w:b w:val="0"/>
                <w:bCs w:val="0"/>
                <w:snapToGrid/>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mg/L</w:t>
            </w:r>
          </w:p>
        </w:tc>
        <w:tc>
          <w:tcPr>
            <w:tcW w:w="1301" w:type="pct"/>
            <w:vAlign w:val="center"/>
          </w:tcPr>
          <w:p w14:paraId="00E57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cs="Times New Roman"/>
                <w:b w:val="0"/>
                <w:bCs w:val="0"/>
                <w:color w:val="auto"/>
                <w:sz w:val="21"/>
                <w:szCs w:val="21"/>
                <w:highlight w:val="none"/>
              </w:rPr>
            </w:pPr>
            <w:r>
              <w:rPr>
                <w:rFonts w:hint="eastAsia" w:cs="Times New Roman"/>
                <w:b w:val="0"/>
                <w:bCs w:val="0"/>
                <w:snapToGrid/>
                <w:color w:val="auto"/>
                <w:kern w:val="2"/>
                <w:sz w:val="21"/>
                <w:szCs w:val="21"/>
                <w:highlight w:val="none"/>
                <w:lang w:val="en-US" w:eastAsia="zh-CN" w:bidi="ar-SA"/>
              </w:rPr>
              <w:t>60</w:t>
            </w:r>
          </w:p>
        </w:tc>
        <w:tc>
          <w:tcPr>
            <w:tcW w:w="924" w:type="pct"/>
            <w:vMerge w:val="continue"/>
            <w:vAlign w:val="center"/>
          </w:tcPr>
          <w:p w14:paraId="74DB3D27">
            <w:pPr>
              <w:pStyle w:val="17"/>
              <w:bidi w:val="0"/>
              <w:rPr>
                <w:rFonts w:hint="default" w:ascii="Times New Roman" w:hAnsi="Times New Roman" w:cs="Times New Roman"/>
                <w:b w:val="0"/>
                <w:bCs w:val="0"/>
                <w:color w:val="auto"/>
                <w:sz w:val="21"/>
                <w:szCs w:val="21"/>
                <w:highlight w:val="none"/>
              </w:rPr>
            </w:pPr>
          </w:p>
        </w:tc>
      </w:tr>
      <w:tr w14:paraId="1CD8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Align w:val="center"/>
          </w:tcPr>
          <w:p w14:paraId="4D99CA97">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3</w:t>
            </w:r>
          </w:p>
        </w:tc>
        <w:tc>
          <w:tcPr>
            <w:tcW w:w="1337" w:type="pct"/>
            <w:vAlign w:val="center"/>
          </w:tcPr>
          <w:p w14:paraId="6837FF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snapToGrid/>
                <w:color w:val="auto"/>
                <w:kern w:val="0"/>
                <w:sz w:val="21"/>
                <w:szCs w:val="21"/>
                <w:highlight w:val="none"/>
                <w:lang w:val="en-US" w:eastAsia="zh-CN" w:bidi="ar-SA"/>
              </w:rPr>
              <w:t>悬浮物</w:t>
            </w:r>
            <w:r>
              <w:rPr>
                <w:rFonts w:hint="eastAsia" w:ascii="Times New Roman" w:hAnsi="Times New Roman" w:eastAsia="宋体" w:cs="Times New Roman"/>
                <w:b w:val="0"/>
                <w:bCs w:val="0"/>
                <w:snapToGrid/>
                <w:color w:val="auto"/>
                <w:kern w:val="0"/>
                <w:sz w:val="21"/>
                <w:szCs w:val="21"/>
                <w:highlight w:val="none"/>
                <w:lang w:val="en-US" w:eastAsia="zh-CN" w:bidi="ar-SA"/>
              </w:rPr>
              <w:t>（</w:t>
            </w:r>
            <w:r>
              <w:rPr>
                <w:rFonts w:hint="default" w:ascii="Times New Roman" w:hAnsi="Times New Roman" w:eastAsia="宋体" w:cs="Times New Roman"/>
                <w:b w:val="0"/>
                <w:bCs w:val="0"/>
                <w:snapToGrid/>
                <w:color w:val="auto"/>
                <w:kern w:val="0"/>
                <w:sz w:val="21"/>
                <w:szCs w:val="21"/>
                <w:highlight w:val="none"/>
                <w:lang w:val="en-US" w:eastAsia="zh-CN" w:bidi="ar-SA"/>
              </w:rPr>
              <w:t>SS</w:t>
            </w:r>
            <w:r>
              <w:rPr>
                <w:rFonts w:hint="eastAsia" w:ascii="Times New Roman" w:hAnsi="Times New Roman" w:eastAsia="宋体" w:cs="Times New Roman"/>
                <w:b w:val="0"/>
                <w:bCs w:val="0"/>
                <w:snapToGrid/>
                <w:color w:val="auto"/>
                <w:kern w:val="0"/>
                <w:sz w:val="21"/>
                <w:szCs w:val="21"/>
                <w:highlight w:val="none"/>
                <w:lang w:val="en-US" w:eastAsia="zh-CN" w:bidi="ar-SA"/>
              </w:rPr>
              <w:t>）</w:t>
            </w:r>
          </w:p>
        </w:tc>
        <w:tc>
          <w:tcPr>
            <w:tcW w:w="1129" w:type="pct"/>
            <w:vAlign w:val="center"/>
          </w:tcPr>
          <w:p w14:paraId="55BECB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eastAsia="宋体" w:cs="Times New Roman"/>
                <w:b w:val="0"/>
                <w:bCs w:val="0"/>
                <w:snapToGrid/>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mg/L</w:t>
            </w:r>
          </w:p>
        </w:tc>
        <w:tc>
          <w:tcPr>
            <w:tcW w:w="1301" w:type="pct"/>
            <w:vAlign w:val="center"/>
          </w:tcPr>
          <w:p w14:paraId="47A7C8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cs="Times New Roman"/>
                <w:b w:val="0"/>
                <w:bCs w:val="0"/>
                <w:color w:val="auto"/>
                <w:sz w:val="21"/>
                <w:szCs w:val="21"/>
                <w:highlight w:val="none"/>
                <w:lang w:val="en-US"/>
              </w:rPr>
            </w:pPr>
            <w:r>
              <w:rPr>
                <w:rFonts w:hint="eastAsia" w:cs="Times New Roman"/>
                <w:b w:val="0"/>
                <w:bCs w:val="0"/>
                <w:snapToGrid/>
                <w:color w:val="auto"/>
                <w:kern w:val="2"/>
                <w:sz w:val="21"/>
                <w:szCs w:val="21"/>
                <w:highlight w:val="none"/>
                <w:lang w:val="en-US" w:eastAsia="zh-CN" w:bidi="ar-SA"/>
              </w:rPr>
              <w:t>30</w:t>
            </w:r>
          </w:p>
        </w:tc>
        <w:tc>
          <w:tcPr>
            <w:tcW w:w="924" w:type="pct"/>
            <w:vMerge w:val="continue"/>
            <w:vAlign w:val="center"/>
          </w:tcPr>
          <w:p w14:paraId="151C60EA">
            <w:pPr>
              <w:pStyle w:val="17"/>
              <w:bidi w:val="0"/>
              <w:rPr>
                <w:rFonts w:hint="default" w:ascii="Times New Roman" w:hAnsi="Times New Roman" w:cs="Times New Roman"/>
                <w:b w:val="0"/>
                <w:bCs w:val="0"/>
                <w:color w:val="auto"/>
                <w:sz w:val="21"/>
                <w:szCs w:val="21"/>
                <w:highlight w:val="none"/>
              </w:rPr>
            </w:pPr>
          </w:p>
        </w:tc>
      </w:tr>
      <w:tr w14:paraId="3272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Align w:val="center"/>
          </w:tcPr>
          <w:p w14:paraId="04A11A80">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4</w:t>
            </w:r>
          </w:p>
        </w:tc>
        <w:tc>
          <w:tcPr>
            <w:tcW w:w="1337" w:type="pct"/>
            <w:shd w:val="clear" w:color="auto" w:fill="auto"/>
            <w:vAlign w:val="center"/>
          </w:tcPr>
          <w:p w14:paraId="154BD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snapToGrid/>
                <w:color w:val="auto"/>
                <w:kern w:val="0"/>
                <w:sz w:val="21"/>
                <w:szCs w:val="21"/>
                <w:highlight w:val="none"/>
                <w:lang w:val="en-US" w:eastAsia="zh-CN" w:bidi="ar-SA"/>
              </w:rPr>
              <w:t>粪大肠菌群</w:t>
            </w:r>
          </w:p>
        </w:tc>
        <w:tc>
          <w:tcPr>
            <w:tcW w:w="1129" w:type="pct"/>
            <w:shd w:val="clear" w:color="auto" w:fill="auto"/>
            <w:vAlign w:val="center"/>
          </w:tcPr>
          <w:p w14:paraId="2135E1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eastAsia" w:ascii="Times New Roman" w:hAnsi="Times New Roman" w:eastAsia="宋体" w:cs="Times New Roman"/>
                <w:b w:val="0"/>
                <w:bCs w:val="0"/>
                <w:snapToGrid/>
                <w:color w:val="auto"/>
                <w:kern w:val="0"/>
                <w:sz w:val="21"/>
                <w:szCs w:val="21"/>
                <w:highlight w:val="none"/>
                <w:lang w:val="en-US" w:eastAsia="zh-CN" w:bidi="ar-SA"/>
              </w:rPr>
            </w:pPr>
            <w:r>
              <w:rPr>
                <w:rFonts w:hint="eastAsia" w:ascii="Times New Roman" w:hAnsi="Times New Roman" w:eastAsia="宋体" w:cs="Times New Roman"/>
                <w:b w:val="0"/>
                <w:bCs w:val="0"/>
                <w:snapToGrid/>
                <w:color w:val="auto"/>
                <w:kern w:val="0"/>
                <w:sz w:val="21"/>
                <w:szCs w:val="21"/>
                <w:highlight w:val="none"/>
                <w:lang w:val="en-US" w:eastAsia="zh-CN" w:bidi="ar-SA"/>
              </w:rPr>
              <w:t>MPN/L</w:t>
            </w:r>
          </w:p>
        </w:tc>
        <w:tc>
          <w:tcPr>
            <w:tcW w:w="1301" w:type="pct"/>
            <w:shd w:val="clear" w:color="auto" w:fill="auto"/>
            <w:vAlign w:val="center"/>
          </w:tcPr>
          <w:p w14:paraId="666F9B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snapToGrid/>
                <w:color w:val="auto"/>
                <w:kern w:val="2"/>
                <w:sz w:val="21"/>
                <w:szCs w:val="21"/>
                <w:highlight w:val="none"/>
                <w:lang w:val="en-US" w:eastAsia="zh-CN" w:bidi="ar-SA"/>
              </w:rPr>
              <w:t>1</w:t>
            </w:r>
            <w:r>
              <w:rPr>
                <w:rFonts w:hint="eastAsia" w:ascii="Times New Roman" w:hAnsi="Times New Roman" w:eastAsia="宋体" w:cs="Times New Roman"/>
                <w:b w:val="0"/>
                <w:bCs w:val="0"/>
                <w:snapToGrid/>
                <w:color w:val="auto"/>
                <w:kern w:val="2"/>
                <w:sz w:val="21"/>
                <w:szCs w:val="21"/>
                <w:highlight w:val="none"/>
                <w:lang w:val="en-US" w:eastAsia="zh-CN" w:bidi="ar-SA"/>
              </w:rPr>
              <w:t>0000</w:t>
            </w:r>
          </w:p>
        </w:tc>
        <w:tc>
          <w:tcPr>
            <w:tcW w:w="924" w:type="pct"/>
            <w:vMerge w:val="continue"/>
            <w:vAlign w:val="center"/>
          </w:tcPr>
          <w:p w14:paraId="1766B1D6">
            <w:pPr>
              <w:pStyle w:val="17"/>
              <w:bidi w:val="0"/>
              <w:rPr>
                <w:rFonts w:hint="default" w:ascii="Times New Roman" w:hAnsi="Times New Roman" w:cs="Times New Roman"/>
                <w:b w:val="0"/>
                <w:bCs w:val="0"/>
                <w:color w:val="auto"/>
                <w:sz w:val="21"/>
                <w:szCs w:val="21"/>
                <w:highlight w:val="none"/>
              </w:rPr>
            </w:pPr>
          </w:p>
        </w:tc>
      </w:tr>
      <w:tr w14:paraId="3C5D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6" w:type="pct"/>
            <w:vAlign w:val="center"/>
          </w:tcPr>
          <w:p w14:paraId="2FA13F1E">
            <w:pPr>
              <w:pStyle w:val="17"/>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5</w:t>
            </w:r>
          </w:p>
        </w:tc>
        <w:tc>
          <w:tcPr>
            <w:tcW w:w="1337" w:type="pct"/>
            <w:vAlign w:val="center"/>
          </w:tcPr>
          <w:p w14:paraId="61D3FE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蛔虫卵个数</w:t>
            </w:r>
          </w:p>
        </w:tc>
        <w:tc>
          <w:tcPr>
            <w:tcW w:w="1129" w:type="pct"/>
            <w:vAlign w:val="center"/>
          </w:tcPr>
          <w:p w14:paraId="53517E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个/L</w:t>
            </w:r>
          </w:p>
        </w:tc>
        <w:tc>
          <w:tcPr>
            <w:tcW w:w="1301" w:type="pct"/>
            <w:vAlign w:val="center"/>
          </w:tcPr>
          <w:p w14:paraId="25D7D1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outlineLvl w:val="9"/>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924" w:type="pct"/>
            <w:vMerge w:val="continue"/>
            <w:vAlign w:val="center"/>
          </w:tcPr>
          <w:p w14:paraId="4C7A63AC">
            <w:pPr>
              <w:pStyle w:val="17"/>
              <w:bidi w:val="0"/>
              <w:rPr>
                <w:rFonts w:hint="default" w:ascii="Times New Roman" w:hAnsi="Times New Roman" w:cs="Times New Roman"/>
                <w:b w:val="0"/>
                <w:bCs w:val="0"/>
                <w:color w:val="auto"/>
                <w:sz w:val="21"/>
                <w:szCs w:val="21"/>
                <w:highlight w:val="none"/>
              </w:rPr>
            </w:pPr>
          </w:p>
        </w:tc>
      </w:tr>
    </w:tbl>
    <w:p w14:paraId="574C8944">
      <w:pPr>
        <w:overflowPunct w:val="0"/>
        <w:topLinePunct/>
        <w:ind w:firstLine="480"/>
        <w:rPr>
          <w:rFonts w:hint="default" w:ascii="Times New Roman" w:hAnsi="Times New Roman" w:cs="Times New Roman"/>
          <w:color w:val="auto"/>
          <w:szCs w:val="20"/>
          <w:highlight w:val="none"/>
        </w:rPr>
      </w:pPr>
      <w:r>
        <w:rPr>
          <w:rFonts w:hint="default" w:ascii="Times New Roman" w:hAnsi="Times New Roman" w:cs="Times New Roman"/>
          <w:color w:val="auto"/>
          <w:szCs w:val="20"/>
          <w:highlight w:val="none"/>
        </w:rPr>
        <w:t>（3）噪声</w:t>
      </w:r>
    </w:p>
    <w:p w14:paraId="4B53F203">
      <w:pPr>
        <w:overflowPunct w:val="0"/>
        <w:topLinePunct/>
        <w:ind w:firstLine="476"/>
        <w:rPr>
          <w:rFonts w:hint="default" w:ascii="Times New Roman" w:hAnsi="Times New Roman" w:cs="Times New Roman"/>
          <w:color w:val="auto"/>
          <w:spacing w:val="-1"/>
          <w:szCs w:val="32"/>
          <w:highlight w:val="none"/>
        </w:rPr>
      </w:pPr>
      <w:r>
        <w:rPr>
          <w:rFonts w:hint="eastAsia" w:cs="Times New Roman"/>
          <w:color w:val="auto"/>
          <w:spacing w:val="-1"/>
          <w:szCs w:val="32"/>
          <w:highlight w:val="none"/>
          <w:lang w:val="en-US" w:eastAsia="zh-CN"/>
        </w:rPr>
        <w:t>项目</w:t>
      </w:r>
      <w:r>
        <w:rPr>
          <w:rFonts w:hint="default" w:ascii="Times New Roman" w:hAnsi="Times New Roman" w:cs="Times New Roman"/>
          <w:color w:val="auto"/>
          <w:spacing w:val="-1"/>
          <w:szCs w:val="32"/>
          <w:highlight w:val="none"/>
        </w:rPr>
        <w:t>运营期噪声执行《工业企业厂界环境噪声排放标准》（GB12348-2008）中</w:t>
      </w:r>
      <w:r>
        <w:rPr>
          <w:rFonts w:hint="default" w:ascii="Times New Roman" w:hAnsi="Times New Roman" w:cs="Times New Roman"/>
          <w:color w:val="auto"/>
          <w:spacing w:val="-1"/>
          <w:szCs w:val="32"/>
          <w:highlight w:val="none"/>
          <w:lang w:val="en-US" w:eastAsia="zh-CN"/>
        </w:rPr>
        <w:t>2</w:t>
      </w:r>
      <w:r>
        <w:rPr>
          <w:rFonts w:hint="default" w:ascii="Times New Roman" w:hAnsi="Times New Roman" w:cs="Times New Roman"/>
          <w:color w:val="auto"/>
          <w:spacing w:val="-1"/>
          <w:szCs w:val="32"/>
          <w:highlight w:val="none"/>
        </w:rPr>
        <w:t>类标准。详见表2.5-</w:t>
      </w:r>
      <w:r>
        <w:rPr>
          <w:rFonts w:hint="eastAsia" w:cs="Times New Roman"/>
          <w:color w:val="auto"/>
          <w:spacing w:val="-1"/>
          <w:szCs w:val="32"/>
          <w:highlight w:val="none"/>
          <w:lang w:val="en-US" w:eastAsia="zh-CN"/>
        </w:rPr>
        <w:t>9</w:t>
      </w:r>
      <w:r>
        <w:rPr>
          <w:rFonts w:hint="default" w:ascii="Times New Roman" w:hAnsi="Times New Roman" w:cs="Times New Roman"/>
          <w:color w:val="auto"/>
          <w:spacing w:val="-1"/>
          <w:szCs w:val="32"/>
          <w:highlight w:val="none"/>
        </w:rPr>
        <w:t>。</w:t>
      </w:r>
    </w:p>
    <w:p w14:paraId="5C6DA45F">
      <w:pPr>
        <w:pStyle w:val="19"/>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表2.5-</w:t>
      </w:r>
      <w:r>
        <w:rPr>
          <w:rFonts w:hint="eastAsia" w:cs="Times New Roman"/>
          <w:color w:val="auto"/>
          <w:highlight w:val="none"/>
          <w:lang w:val="en-US" w:eastAsia="zh-CN"/>
        </w:rPr>
        <w:t>9</w:t>
      </w:r>
      <w:r>
        <w:rPr>
          <w:rFonts w:hint="default" w:ascii="Times New Roman" w:hAnsi="Times New Roman" w:cs="Times New Roman"/>
          <w:color w:val="auto"/>
          <w:highlight w:val="none"/>
        </w:rPr>
        <w:t xml:space="preserve">    工业企业厂界环境噪声排放标准    单位：dB</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A</w:t>
      </w:r>
      <w:r>
        <w:rPr>
          <w:rFonts w:hint="default" w:ascii="Times New Roman" w:hAnsi="Times New Roman" w:cs="Times New Roman"/>
          <w:color w:val="auto"/>
          <w:highlight w:val="none"/>
          <w:lang w:eastAsia="zh-CN"/>
        </w:rPr>
        <w:t>）</w:t>
      </w:r>
    </w:p>
    <w:tbl>
      <w:tblPr>
        <w:tblStyle w:val="13"/>
        <w:tblW w:w="8334"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3022"/>
        <w:gridCol w:w="2633"/>
        <w:gridCol w:w="2679"/>
      </w:tblGrid>
      <w:tr w14:paraId="1FDC740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40" w:hRule="atLeast"/>
          <w:jc w:val="center"/>
        </w:trPr>
        <w:tc>
          <w:tcPr>
            <w:tcW w:w="3022" w:type="dxa"/>
            <w:vMerge w:val="restart"/>
            <w:tcBorders>
              <w:bottom w:val="single" w:color="000000" w:sz="4" w:space="0"/>
              <w:right w:val="single" w:color="000000" w:sz="4" w:space="0"/>
            </w:tcBorders>
            <w:vAlign w:val="center"/>
          </w:tcPr>
          <w:p w14:paraId="13607B1C">
            <w:pPr>
              <w:pStyle w:val="17"/>
              <w:bidi w:val="0"/>
              <w:rPr>
                <w:rFonts w:hint="default" w:ascii="Times New Roman" w:hAnsi="Times New Roman" w:cs="Times New Roman"/>
                <w:color w:val="auto"/>
                <w:highlight w:val="none"/>
              </w:rPr>
            </w:pPr>
            <w:bookmarkStart w:id="193" w:name="_Toc10644"/>
            <w:bookmarkStart w:id="194" w:name="_Toc3399"/>
            <w:bookmarkStart w:id="195" w:name="_Toc15161"/>
            <w:r>
              <w:rPr>
                <w:rFonts w:hint="default" w:ascii="Times New Roman" w:hAnsi="Times New Roman" w:cs="Times New Roman"/>
                <w:color w:val="auto"/>
                <w:highlight w:val="none"/>
              </w:rPr>
              <w:t>声环境功能区类别</w:t>
            </w:r>
            <w:bookmarkEnd w:id="193"/>
            <w:bookmarkEnd w:id="194"/>
            <w:bookmarkEnd w:id="195"/>
          </w:p>
        </w:tc>
        <w:tc>
          <w:tcPr>
            <w:tcW w:w="5312" w:type="dxa"/>
            <w:gridSpan w:val="2"/>
            <w:tcBorders>
              <w:left w:val="single" w:color="000000" w:sz="4" w:space="0"/>
              <w:bottom w:val="single" w:color="000000" w:sz="4" w:space="0"/>
            </w:tcBorders>
            <w:vAlign w:val="center"/>
          </w:tcPr>
          <w:p w14:paraId="6B71E4AB">
            <w:pPr>
              <w:pStyle w:val="17"/>
              <w:bidi w:val="0"/>
              <w:rPr>
                <w:rFonts w:hint="default" w:ascii="Times New Roman" w:hAnsi="Times New Roman" w:cs="Times New Roman"/>
                <w:color w:val="auto"/>
                <w:highlight w:val="none"/>
              </w:rPr>
            </w:pPr>
            <w:bookmarkStart w:id="196" w:name="_Toc23131"/>
            <w:bookmarkStart w:id="197" w:name="_Toc17925"/>
            <w:bookmarkStart w:id="198" w:name="_Toc9852"/>
            <w:r>
              <w:rPr>
                <w:rFonts w:hint="default" w:ascii="Times New Roman" w:hAnsi="Times New Roman" w:cs="Times New Roman"/>
                <w:color w:val="auto"/>
                <w:highlight w:val="none"/>
              </w:rPr>
              <w:t>时段</w:t>
            </w:r>
            <w:bookmarkEnd w:id="196"/>
            <w:bookmarkEnd w:id="197"/>
            <w:bookmarkEnd w:id="198"/>
          </w:p>
        </w:tc>
      </w:tr>
      <w:tr w14:paraId="41F3E75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40" w:hRule="atLeast"/>
          <w:jc w:val="center"/>
        </w:trPr>
        <w:tc>
          <w:tcPr>
            <w:tcW w:w="3022" w:type="dxa"/>
            <w:vMerge w:val="continue"/>
            <w:tcBorders>
              <w:top w:val="single" w:color="000000" w:sz="4" w:space="0"/>
              <w:bottom w:val="single" w:color="000000" w:sz="4" w:space="0"/>
              <w:right w:val="single" w:color="000000" w:sz="4" w:space="0"/>
            </w:tcBorders>
            <w:vAlign w:val="center"/>
          </w:tcPr>
          <w:p w14:paraId="39FD1B16">
            <w:pPr>
              <w:pStyle w:val="17"/>
              <w:bidi w:val="0"/>
              <w:rPr>
                <w:rFonts w:hint="default" w:ascii="Times New Roman" w:hAnsi="Times New Roman" w:cs="Times New Roman"/>
                <w:color w:val="auto"/>
                <w:highlight w:val="none"/>
              </w:rPr>
            </w:pPr>
          </w:p>
        </w:tc>
        <w:tc>
          <w:tcPr>
            <w:tcW w:w="2633" w:type="dxa"/>
            <w:tcBorders>
              <w:top w:val="single" w:color="000000" w:sz="4" w:space="0"/>
              <w:left w:val="single" w:color="000000" w:sz="4" w:space="0"/>
              <w:bottom w:val="single" w:color="000000" w:sz="4" w:space="0"/>
              <w:right w:val="single" w:color="000000" w:sz="4" w:space="0"/>
            </w:tcBorders>
            <w:vAlign w:val="center"/>
          </w:tcPr>
          <w:p w14:paraId="2A5CD9F3">
            <w:pPr>
              <w:pStyle w:val="17"/>
              <w:bidi w:val="0"/>
              <w:rPr>
                <w:rFonts w:hint="default" w:ascii="Times New Roman" w:hAnsi="Times New Roman" w:cs="Times New Roman"/>
                <w:color w:val="auto"/>
                <w:highlight w:val="none"/>
              </w:rPr>
            </w:pPr>
            <w:bookmarkStart w:id="199" w:name="_Toc32714"/>
            <w:bookmarkStart w:id="200" w:name="_Toc4263"/>
            <w:bookmarkStart w:id="201" w:name="_Toc12601"/>
            <w:r>
              <w:rPr>
                <w:rFonts w:hint="default" w:ascii="Times New Roman" w:hAnsi="Times New Roman" w:cs="Times New Roman"/>
                <w:color w:val="auto"/>
                <w:highlight w:val="none"/>
              </w:rPr>
              <w:t>昼间</w:t>
            </w:r>
            <w:bookmarkEnd w:id="199"/>
            <w:bookmarkEnd w:id="200"/>
            <w:bookmarkEnd w:id="201"/>
          </w:p>
        </w:tc>
        <w:tc>
          <w:tcPr>
            <w:tcW w:w="2679" w:type="dxa"/>
            <w:tcBorders>
              <w:top w:val="single" w:color="000000" w:sz="4" w:space="0"/>
              <w:left w:val="single" w:color="000000" w:sz="4" w:space="0"/>
              <w:bottom w:val="single" w:color="000000" w:sz="4" w:space="0"/>
            </w:tcBorders>
            <w:vAlign w:val="center"/>
          </w:tcPr>
          <w:p w14:paraId="1796B7F2">
            <w:pPr>
              <w:pStyle w:val="17"/>
              <w:bidi w:val="0"/>
              <w:rPr>
                <w:rFonts w:hint="default" w:ascii="Times New Roman" w:hAnsi="Times New Roman" w:cs="Times New Roman"/>
                <w:color w:val="auto"/>
                <w:highlight w:val="none"/>
              </w:rPr>
            </w:pPr>
            <w:bookmarkStart w:id="202" w:name="_Toc31272"/>
            <w:bookmarkStart w:id="203" w:name="_Toc11999"/>
            <w:bookmarkStart w:id="204" w:name="_Toc31120"/>
            <w:r>
              <w:rPr>
                <w:rFonts w:hint="default" w:ascii="Times New Roman" w:hAnsi="Times New Roman" w:cs="Times New Roman"/>
                <w:color w:val="auto"/>
                <w:highlight w:val="none"/>
              </w:rPr>
              <w:t>夜间</w:t>
            </w:r>
            <w:bookmarkEnd w:id="202"/>
            <w:bookmarkEnd w:id="203"/>
            <w:bookmarkEnd w:id="204"/>
          </w:p>
        </w:tc>
      </w:tr>
      <w:tr w14:paraId="2E3242F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40" w:hRule="atLeast"/>
          <w:jc w:val="center"/>
        </w:trPr>
        <w:tc>
          <w:tcPr>
            <w:tcW w:w="3022" w:type="dxa"/>
            <w:tcBorders>
              <w:top w:val="single" w:color="000000" w:sz="4" w:space="0"/>
              <w:right w:val="single" w:color="000000" w:sz="4" w:space="0"/>
            </w:tcBorders>
            <w:vAlign w:val="center"/>
          </w:tcPr>
          <w:p w14:paraId="1FDE1E6A">
            <w:pPr>
              <w:pStyle w:val="17"/>
              <w:bidi w:val="0"/>
              <w:rPr>
                <w:rFonts w:hint="default" w:ascii="Times New Roman" w:hAnsi="Times New Roman" w:cs="Times New Roman"/>
                <w:color w:val="auto"/>
                <w:highlight w:val="none"/>
              </w:rPr>
            </w:pPr>
            <w:bookmarkStart w:id="205" w:name="_Toc23629"/>
            <w:bookmarkStart w:id="206" w:name="_Toc22781"/>
            <w:bookmarkStart w:id="207" w:name="_Toc24599"/>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类</w:t>
            </w:r>
            <w:bookmarkEnd w:id="205"/>
            <w:bookmarkEnd w:id="206"/>
            <w:bookmarkEnd w:id="207"/>
          </w:p>
        </w:tc>
        <w:tc>
          <w:tcPr>
            <w:tcW w:w="2633" w:type="dxa"/>
            <w:tcBorders>
              <w:top w:val="single" w:color="000000" w:sz="4" w:space="0"/>
              <w:left w:val="single" w:color="000000" w:sz="4" w:space="0"/>
              <w:right w:val="single" w:color="000000" w:sz="4" w:space="0"/>
            </w:tcBorders>
            <w:vAlign w:val="center"/>
          </w:tcPr>
          <w:p w14:paraId="7EADDF6F">
            <w:pPr>
              <w:pStyle w:val="17"/>
              <w:bidi w:val="0"/>
              <w:rPr>
                <w:rFonts w:hint="default" w:ascii="Times New Roman" w:hAnsi="Times New Roman" w:cs="Times New Roman"/>
                <w:color w:val="auto"/>
                <w:highlight w:val="none"/>
                <w:lang w:eastAsia="zh-CN"/>
              </w:rPr>
            </w:pPr>
            <w:bookmarkStart w:id="208" w:name="_Toc26847"/>
            <w:bookmarkStart w:id="209" w:name="_Toc7392"/>
            <w:bookmarkStart w:id="210" w:name="_Toc29809"/>
            <w:r>
              <w:rPr>
                <w:rFonts w:hint="default" w:ascii="Times New Roman" w:hAnsi="Times New Roman" w:cs="Times New Roman"/>
                <w:color w:val="auto"/>
                <w:highlight w:val="none"/>
              </w:rPr>
              <w:t>6</w:t>
            </w:r>
            <w:bookmarkEnd w:id="208"/>
            <w:bookmarkEnd w:id="209"/>
            <w:bookmarkEnd w:id="210"/>
            <w:r>
              <w:rPr>
                <w:rFonts w:hint="default" w:ascii="Times New Roman" w:hAnsi="Times New Roman" w:cs="Times New Roman"/>
                <w:color w:val="auto"/>
                <w:highlight w:val="none"/>
                <w:lang w:val="en-US" w:eastAsia="zh-CN"/>
              </w:rPr>
              <w:t>0</w:t>
            </w:r>
          </w:p>
        </w:tc>
        <w:tc>
          <w:tcPr>
            <w:tcW w:w="2679" w:type="dxa"/>
            <w:tcBorders>
              <w:top w:val="single" w:color="000000" w:sz="4" w:space="0"/>
              <w:left w:val="single" w:color="000000" w:sz="4" w:space="0"/>
            </w:tcBorders>
            <w:vAlign w:val="center"/>
          </w:tcPr>
          <w:p w14:paraId="1A4A814D">
            <w:pPr>
              <w:pStyle w:val="17"/>
              <w:bidi w:val="0"/>
              <w:rPr>
                <w:rFonts w:hint="default" w:ascii="Times New Roman" w:hAnsi="Times New Roman" w:cs="Times New Roman"/>
                <w:color w:val="auto"/>
                <w:highlight w:val="none"/>
                <w:lang w:eastAsia="zh-CN"/>
              </w:rPr>
            </w:pPr>
            <w:bookmarkStart w:id="211" w:name="_Toc24749"/>
            <w:bookmarkStart w:id="212" w:name="_Toc13905"/>
            <w:bookmarkStart w:id="213" w:name="_Toc365"/>
            <w:r>
              <w:rPr>
                <w:rFonts w:hint="default" w:ascii="Times New Roman" w:hAnsi="Times New Roman" w:cs="Times New Roman"/>
                <w:color w:val="auto"/>
                <w:highlight w:val="none"/>
              </w:rPr>
              <w:t>5</w:t>
            </w:r>
            <w:bookmarkEnd w:id="211"/>
            <w:bookmarkEnd w:id="212"/>
            <w:bookmarkEnd w:id="213"/>
            <w:r>
              <w:rPr>
                <w:rFonts w:hint="default" w:ascii="Times New Roman" w:hAnsi="Times New Roman" w:cs="Times New Roman"/>
                <w:color w:val="auto"/>
                <w:highlight w:val="none"/>
                <w:lang w:val="en-US" w:eastAsia="zh-CN"/>
              </w:rPr>
              <w:t>0</w:t>
            </w:r>
          </w:p>
        </w:tc>
      </w:tr>
    </w:tbl>
    <w:p w14:paraId="10E7720D">
      <w:pPr>
        <w:overflowPunct w:val="0"/>
        <w:topLinePunct/>
        <w:ind w:firstLine="480"/>
        <w:rPr>
          <w:rFonts w:hint="default" w:ascii="Times New Roman" w:hAnsi="Times New Roman" w:cs="Times New Roman"/>
          <w:color w:val="auto"/>
          <w:szCs w:val="20"/>
          <w:highlight w:val="none"/>
        </w:rPr>
      </w:pPr>
      <w:r>
        <w:rPr>
          <w:rFonts w:hint="default" w:ascii="Times New Roman" w:hAnsi="Times New Roman" w:cs="Times New Roman"/>
          <w:color w:val="auto"/>
          <w:szCs w:val="20"/>
          <w:highlight w:val="none"/>
        </w:rPr>
        <w:t>（4）固体废物</w:t>
      </w:r>
    </w:p>
    <w:p w14:paraId="512882E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项目主要固体废物</w:t>
      </w:r>
      <w:r>
        <w:rPr>
          <w:rFonts w:hint="eastAsia" w:cs="Times New Roman"/>
          <w:color w:val="auto"/>
          <w:kern w:val="0"/>
          <w:highlight w:val="none"/>
          <w:lang w:val="en-US" w:eastAsia="zh-CN"/>
        </w:rPr>
        <w:t>主要</w:t>
      </w:r>
      <w:r>
        <w:rPr>
          <w:rFonts w:hint="default" w:ascii="Times New Roman" w:hAnsi="Times New Roman" w:cs="Times New Roman"/>
          <w:color w:val="auto"/>
          <w:kern w:val="0"/>
          <w:highlight w:val="none"/>
        </w:rPr>
        <w:t>包括尾矿砂、除尘灰、废药剂及包装物、废离子交换树脂、废布袋、循环水池底泥、生活垃圾及少量废机油、废油桶、化验废液等。一般固体废物执行《一般工业固体废物贮存和填埋污染控制标准》（GB18599-2020）中的固体废物执行标准，尾矿鉴别执行《危险废物鉴别标准-腐蚀性鉴别》（GB5085.1-2007）和《危险废物鉴别标准-浸出毒性鉴别》（GB5085.3-2007）（浸出液最高允许浓度）标准有关标准限值见表2.5-</w:t>
      </w:r>
      <w:r>
        <w:rPr>
          <w:rFonts w:hint="eastAsia" w:cs="Times New Roman"/>
          <w:color w:val="auto"/>
          <w:kern w:val="0"/>
          <w:highlight w:val="none"/>
          <w:lang w:val="en-US" w:eastAsia="zh-CN"/>
        </w:rPr>
        <w:t>10</w:t>
      </w:r>
      <w:r>
        <w:rPr>
          <w:rFonts w:hint="default" w:ascii="Times New Roman" w:hAnsi="Times New Roman" w:cs="Times New Roman"/>
          <w:color w:val="auto"/>
          <w:kern w:val="0"/>
          <w:highlight w:val="none"/>
        </w:rPr>
        <w:t>。</w:t>
      </w:r>
    </w:p>
    <w:p w14:paraId="4D1BC5C3">
      <w:pPr>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kern w:val="0"/>
          <w:highlight w:val="none"/>
        </w:rPr>
        <w:t>表2.5-</w:t>
      </w:r>
      <w:r>
        <w:rPr>
          <w:rFonts w:hint="eastAsia" w:cs="Times New Roman"/>
          <w:b/>
          <w:color w:val="auto"/>
          <w:kern w:val="0"/>
          <w:highlight w:val="none"/>
          <w:lang w:val="en-US" w:eastAsia="zh-CN"/>
        </w:rPr>
        <w:t>10</w:t>
      </w:r>
      <w:r>
        <w:rPr>
          <w:rFonts w:hint="default" w:ascii="Times New Roman" w:hAnsi="Times New Roman" w:cs="Times New Roman"/>
          <w:b/>
          <w:color w:val="auto"/>
          <w:kern w:val="0"/>
          <w:highlight w:val="none"/>
        </w:rPr>
        <w:t xml:space="preserve">    项目危险固体废物鉴别标准    单位：mg/L</w:t>
      </w:r>
    </w:p>
    <w:tbl>
      <w:tblPr>
        <w:tblStyle w:val="13"/>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9"/>
        <w:gridCol w:w="1377"/>
        <w:gridCol w:w="2937"/>
        <w:gridCol w:w="1827"/>
      </w:tblGrid>
      <w:tr w14:paraId="7C6A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379" w:type="dxa"/>
            <w:vAlign w:val="center"/>
          </w:tcPr>
          <w:p w14:paraId="7D3F1B14">
            <w:pPr>
              <w:pStyle w:val="17"/>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《危险废物鉴别标准-</w:t>
            </w:r>
            <w:r>
              <w:rPr>
                <w:rFonts w:hint="default" w:ascii="Times New Roman" w:hAnsi="Times New Roman" w:cs="Times New Roman"/>
                <w:color w:val="auto"/>
                <w:highlight w:val="none"/>
              </w:rPr>
              <w:t>腐蚀性鉴别</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GB5085.1-2007</w:t>
            </w:r>
            <w:r>
              <w:rPr>
                <w:rFonts w:hint="default" w:ascii="Times New Roman" w:hAnsi="Times New Roman" w:cs="Times New Roman"/>
                <w:color w:val="auto"/>
                <w:highlight w:val="none"/>
                <w:lang w:eastAsia="zh-CN"/>
              </w:rPr>
              <w:t>）</w:t>
            </w:r>
          </w:p>
        </w:tc>
        <w:tc>
          <w:tcPr>
            <w:tcW w:w="6141" w:type="dxa"/>
            <w:gridSpan w:val="3"/>
            <w:vAlign w:val="center"/>
          </w:tcPr>
          <w:p w14:paraId="3F95A40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按照GB/T15555.12-1995制备的浸出液，pH≥12.5或pH≤2.0时，该废物是具有腐蚀性的危险物</w:t>
            </w:r>
          </w:p>
        </w:tc>
      </w:tr>
      <w:tr w14:paraId="0884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restart"/>
            <w:vAlign w:val="center"/>
          </w:tcPr>
          <w:p w14:paraId="40F7A8F1">
            <w:pPr>
              <w:spacing w:line="360" w:lineRule="exact"/>
              <w:ind w:firstLine="0" w:firstLineChars="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浸出毒性鉴别标准</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GB5085.3-2007</w:t>
            </w:r>
            <w:r>
              <w:rPr>
                <w:rFonts w:hint="default" w:ascii="Times New Roman" w:hAnsi="Times New Roman" w:cs="Times New Roman"/>
                <w:b w:val="0"/>
                <w:bCs w:val="0"/>
                <w:color w:val="auto"/>
                <w:sz w:val="21"/>
                <w:szCs w:val="21"/>
                <w:highlight w:val="none"/>
                <w:lang w:eastAsia="zh-CN"/>
              </w:rPr>
              <w:t>）</w:t>
            </w:r>
          </w:p>
        </w:tc>
        <w:tc>
          <w:tcPr>
            <w:tcW w:w="6141" w:type="dxa"/>
            <w:gridSpan w:val="3"/>
            <w:vAlign w:val="center"/>
          </w:tcPr>
          <w:p w14:paraId="29A04B50">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浸出液中任何一种危险成分的浓度超过下列浓度值，则该废物是具有浸出毒性的危险废物。</w:t>
            </w:r>
          </w:p>
        </w:tc>
      </w:tr>
      <w:tr w14:paraId="4314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205AC24C">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7120C6D1">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2937" w:type="dxa"/>
            <w:vAlign w:val="center"/>
          </w:tcPr>
          <w:p w14:paraId="09955C4D">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汞及其化合物（以总汞计）</w:t>
            </w:r>
          </w:p>
        </w:tc>
        <w:tc>
          <w:tcPr>
            <w:tcW w:w="1827" w:type="dxa"/>
            <w:vAlign w:val="center"/>
          </w:tcPr>
          <w:p w14:paraId="745FC6D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777F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4A87FA0A">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275FA970">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2937" w:type="dxa"/>
            <w:vAlign w:val="center"/>
          </w:tcPr>
          <w:p w14:paraId="06599C8F">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铅（以总铅计）</w:t>
            </w:r>
          </w:p>
        </w:tc>
        <w:tc>
          <w:tcPr>
            <w:tcW w:w="1827" w:type="dxa"/>
            <w:vAlign w:val="center"/>
          </w:tcPr>
          <w:p w14:paraId="565CAF4E">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r>
      <w:tr w14:paraId="328D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63692DF6">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6FF94CD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2937" w:type="dxa"/>
            <w:vAlign w:val="center"/>
          </w:tcPr>
          <w:p w14:paraId="3FC58D45">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镉（以总隔计）</w:t>
            </w:r>
          </w:p>
        </w:tc>
        <w:tc>
          <w:tcPr>
            <w:tcW w:w="1827" w:type="dxa"/>
            <w:vAlign w:val="center"/>
          </w:tcPr>
          <w:p w14:paraId="3B245E3A">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r>
      <w:tr w14:paraId="5C95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07AF9E93">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4F3086F7">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2937" w:type="dxa"/>
            <w:vAlign w:val="center"/>
          </w:tcPr>
          <w:p w14:paraId="6A7D86C6">
            <w:pPr>
              <w:tabs>
                <w:tab w:val="center" w:pos="1413"/>
              </w:tabs>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总铬</w:t>
            </w:r>
          </w:p>
        </w:tc>
        <w:tc>
          <w:tcPr>
            <w:tcW w:w="1827" w:type="dxa"/>
            <w:vAlign w:val="center"/>
          </w:tcPr>
          <w:p w14:paraId="5550DDA1">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r>
      <w:tr w14:paraId="2509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13BDFB70">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13BDD6A8">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2937" w:type="dxa"/>
            <w:vAlign w:val="center"/>
          </w:tcPr>
          <w:p w14:paraId="54C195F2">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六价铬</w:t>
            </w:r>
          </w:p>
        </w:tc>
        <w:tc>
          <w:tcPr>
            <w:tcW w:w="1827" w:type="dxa"/>
            <w:vAlign w:val="center"/>
          </w:tcPr>
          <w:p w14:paraId="71B980C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r>
      <w:tr w14:paraId="5EDE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731F90CD">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5BC12BB0">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2937" w:type="dxa"/>
            <w:vAlign w:val="center"/>
          </w:tcPr>
          <w:p w14:paraId="506C7048">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铜（以总铜计）</w:t>
            </w:r>
          </w:p>
        </w:tc>
        <w:tc>
          <w:tcPr>
            <w:tcW w:w="1827" w:type="dxa"/>
            <w:vAlign w:val="center"/>
          </w:tcPr>
          <w:p w14:paraId="6C979125">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r>
      <w:tr w14:paraId="11D5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3C4476D1">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1B10BB5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2937" w:type="dxa"/>
            <w:vAlign w:val="center"/>
          </w:tcPr>
          <w:p w14:paraId="3BA0C68D">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锌（以总锌计）</w:t>
            </w:r>
          </w:p>
        </w:tc>
        <w:tc>
          <w:tcPr>
            <w:tcW w:w="1827" w:type="dxa"/>
            <w:vAlign w:val="center"/>
          </w:tcPr>
          <w:p w14:paraId="0181B942">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r>
      <w:tr w14:paraId="19B9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612DD2D6">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22769D20">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2937" w:type="dxa"/>
            <w:vAlign w:val="center"/>
          </w:tcPr>
          <w:p w14:paraId="13E6EC0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镍（以总镍计）</w:t>
            </w:r>
          </w:p>
        </w:tc>
        <w:tc>
          <w:tcPr>
            <w:tcW w:w="1827" w:type="dxa"/>
            <w:vAlign w:val="center"/>
          </w:tcPr>
          <w:p w14:paraId="53F9BF76">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r>
      <w:tr w14:paraId="56F6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103B56A6">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18019144">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2937" w:type="dxa"/>
            <w:vAlign w:val="center"/>
          </w:tcPr>
          <w:p w14:paraId="2524E0A0">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砷（以总砷计）</w:t>
            </w:r>
          </w:p>
        </w:tc>
        <w:tc>
          <w:tcPr>
            <w:tcW w:w="1827" w:type="dxa"/>
            <w:vAlign w:val="center"/>
          </w:tcPr>
          <w:p w14:paraId="51402A2D">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r>
      <w:tr w14:paraId="1AE2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7A8BE4F5">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5EB3D348">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2937" w:type="dxa"/>
            <w:vAlign w:val="center"/>
          </w:tcPr>
          <w:p w14:paraId="63AA188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铍（以总铍计）</w:t>
            </w:r>
          </w:p>
        </w:tc>
        <w:tc>
          <w:tcPr>
            <w:tcW w:w="1827" w:type="dxa"/>
            <w:vAlign w:val="center"/>
          </w:tcPr>
          <w:p w14:paraId="3383D701">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0.02</w:t>
            </w:r>
          </w:p>
        </w:tc>
      </w:tr>
      <w:tr w14:paraId="3D6B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74D91052">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04CA27AA">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w:t>
            </w:r>
          </w:p>
        </w:tc>
        <w:tc>
          <w:tcPr>
            <w:tcW w:w="2937" w:type="dxa"/>
            <w:vAlign w:val="center"/>
          </w:tcPr>
          <w:p w14:paraId="08A7176F">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钡（以总钡计）</w:t>
            </w:r>
          </w:p>
        </w:tc>
        <w:tc>
          <w:tcPr>
            <w:tcW w:w="1827" w:type="dxa"/>
            <w:vAlign w:val="center"/>
          </w:tcPr>
          <w:p w14:paraId="40E50DC4">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100</w:t>
            </w:r>
          </w:p>
        </w:tc>
      </w:tr>
      <w:tr w14:paraId="4061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20A0899B">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43C697D1">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2937" w:type="dxa"/>
            <w:vAlign w:val="center"/>
          </w:tcPr>
          <w:p w14:paraId="3DA06DF8">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总银</w:t>
            </w:r>
          </w:p>
        </w:tc>
        <w:tc>
          <w:tcPr>
            <w:tcW w:w="1827" w:type="dxa"/>
            <w:vAlign w:val="center"/>
          </w:tcPr>
          <w:p w14:paraId="3528B012">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r>
      <w:tr w14:paraId="04ED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9" w:type="dxa"/>
            <w:vMerge w:val="continue"/>
            <w:vAlign w:val="center"/>
          </w:tcPr>
          <w:p w14:paraId="623635FA">
            <w:pPr>
              <w:spacing w:line="360" w:lineRule="exact"/>
              <w:ind w:firstLine="420"/>
              <w:jc w:val="center"/>
              <w:rPr>
                <w:rFonts w:hint="default" w:ascii="Times New Roman" w:hAnsi="Times New Roman" w:cs="Times New Roman"/>
                <w:color w:val="auto"/>
                <w:sz w:val="21"/>
                <w:szCs w:val="21"/>
                <w:highlight w:val="none"/>
              </w:rPr>
            </w:pPr>
          </w:p>
        </w:tc>
        <w:tc>
          <w:tcPr>
            <w:tcW w:w="1377" w:type="dxa"/>
            <w:vAlign w:val="center"/>
          </w:tcPr>
          <w:p w14:paraId="127B8D46">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w:t>
            </w:r>
          </w:p>
        </w:tc>
        <w:tc>
          <w:tcPr>
            <w:tcW w:w="2937" w:type="dxa"/>
            <w:vAlign w:val="center"/>
          </w:tcPr>
          <w:p w14:paraId="4F3D31AA">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硒（以总硒计）</w:t>
            </w:r>
          </w:p>
        </w:tc>
        <w:tc>
          <w:tcPr>
            <w:tcW w:w="1827" w:type="dxa"/>
            <w:vAlign w:val="center"/>
          </w:tcPr>
          <w:p w14:paraId="5135A19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r>
    </w:tbl>
    <w:p w14:paraId="549CA028">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一般工业固体废物类别：</w:t>
      </w:r>
    </w:p>
    <w:p w14:paraId="5F4C50A0">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①第I类一般工业固体废物</w:t>
      </w:r>
    </w:p>
    <w:p w14:paraId="1F38FFBC">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按照HJ 557规定方法获得的浸出液中任何一种特征污染物浓度均未超过 GB 8978最高允许排放浓度（第二类污染物最高允许排放浓度按照一级标准执行），且pH值在6～9范围之内的一般工业固体废物。</w:t>
      </w:r>
    </w:p>
    <w:p w14:paraId="3287808C">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②第II类一般工业固体废物</w:t>
      </w:r>
    </w:p>
    <w:p w14:paraId="00AEDBC9">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按照HJ557规定方法获得的浸</w:t>
      </w:r>
      <w:r>
        <w:rPr>
          <w:rFonts w:hint="eastAsia" w:ascii="Times New Roman" w:hAnsi="Times New Roman" w:cs="Times New Roman"/>
          <w:color w:val="auto"/>
          <w:highlight w:val="none"/>
          <w:lang w:val="en-US" w:eastAsia="zh-CN"/>
        </w:rPr>
        <w:t>出液中有一种或一种以上的特征污染物浓度超过</w:t>
      </w:r>
      <w:r>
        <w:rPr>
          <w:rFonts w:hint="default" w:ascii="Times New Roman" w:hAnsi="Times New Roman" w:cs="Times New Roman"/>
          <w:color w:val="auto"/>
          <w:highlight w:val="none"/>
          <w:lang w:val="en-US" w:eastAsia="zh-CN"/>
        </w:rPr>
        <w:t>GB8978</w:t>
      </w:r>
      <w:r>
        <w:rPr>
          <w:rFonts w:hint="eastAsia" w:ascii="Times New Roman" w:hAnsi="Times New Roman" w:cs="Times New Roman"/>
          <w:color w:val="auto"/>
          <w:highlight w:val="none"/>
          <w:lang w:val="en-US" w:eastAsia="zh-CN"/>
        </w:rPr>
        <w:t>最高允许排放浓度（第二类污染物最高允许排放浓度按照一级标准执行），或</w:t>
      </w:r>
      <w:r>
        <w:rPr>
          <w:rFonts w:hint="default" w:ascii="Times New Roman" w:hAnsi="Times New Roman" w:cs="Times New Roman"/>
          <w:color w:val="auto"/>
          <w:highlight w:val="none"/>
          <w:lang w:val="en-US" w:eastAsia="zh-CN"/>
        </w:rPr>
        <w:t>pH</w:t>
      </w:r>
      <w:r>
        <w:rPr>
          <w:rFonts w:hint="eastAsia" w:ascii="Times New Roman" w:hAnsi="Times New Roman" w:cs="Times New Roman"/>
          <w:color w:val="auto"/>
          <w:highlight w:val="none"/>
          <w:lang w:val="en-US" w:eastAsia="zh-CN"/>
        </w:rPr>
        <w:t>值在</w:t>
      </w:r>
      <w:r>
        <w:rPr>
          <w:rFonts w:hint="default" w:ascii="Times New Roman" w:hAnsi="Times New Roman" w:cs="Times New Roman"/>
          <w:color w:val="auto"/>
          <w:highlight w:val="none"/>
          <w:lang w:val="en-US" w:eastAsia="zh-CN"/>
        </w:rPr>
        <w:t>6</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9</w:t>
      </w:r>
      <w:r>
        <w:rPr>
          <w:rFonts w:hint="eastAsia" w:ascii="Times New Roman" w:hAnsi="Times New Roman" w:cs="Times New Roman"/>
          <w:color w:val="auto"/>
          <w:highlight w:val="none"/>
          <w:lang w:val="en-US" w:eastAsia="zh-CN"/>
        </w:rPr>
        <w:t>范围之外的一般工业固体废物。</w:t>
      </w:r>
    </w:p>
    <w:p w14:paraId="45C1A407">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项目产生的危险废物贮存、转运过程执行《危险废物贮存污染控制标准》（GB18597-2023）及《危险废物转移管理办法》（部令 第23号）</w:t>
      </w:r>
      <w:r>
        <w:rPr>
          <w:rFonts w:hint="default" w:ascii="Times New Roman" w:hAnsi="Times New Roman" w:cs="Times New Roman"/>
          <w:color w:val="auto"/>
          <w:highlight w:val="none"/>
        </w:rPr>
        <w:t>。</w:t>
      </w:r>
    </w:p>
    <w:p w14:paraId="4792F313">
      <w:pPr>
        <w:pStyle w:val="5"/>
        <w:rPr>
          <w:rFonts w:hint="default" w:ascii="Times New Roman" w:hAnsi="Times New Roman" w:cs="Times New Roman"/>
          <w:color w:val="auto"/>
          <w:highlight w:val="none"/>
        </w:rPr>
      </w:pPr>
      <w:bookmarkStart w:id="214" w:name="_Toc22368"/>
      <w:bookmarkStart w:id="215" w:name="_Toc20299"/>
      <w:bookmarkStart w:id="216" w:name="_Toc21779"/>
      <w:bookmarkStart w:id="217" w:name="_Toc29847"/>
      <w:bookmarkStart w:id="218" w:name="_Toc3507"/>
      <w:bookmarkStart w:id="219" w:name="_Toc20103"/>
      <w:bookmarkStart w:id="220" w:name="_Toc107414649"/>
      <w:bookmarkStart w:id="221" w:name="_Toc25028"/>
      <w:bookmarkStart w:id="222" w:name="_Toc107413882"/>
      <w:bookmarkStart w:id="223" w:name="_Toc276469897"/>
      <w:bookmarkStart w:id="224" w:name="_Toc21624"/>
      <w:bookmarkStart w:id="225" w:name="_Toc191903738"/>
      <w:bookmarkStart w:id="226" w:name="_Toc7705"/>
      <w:bookmarkStart w:id="227" w:name="_Toc9923"/>
      <w:bookmarkStart w:id="228" w:name="_Toc474747835"/>
      <w:bookmarkStart w:id="229" w:name="_Toc10208"/>
      <w:bookmarkStart w:id="230" w:name="_Toc273372167"/>
      <w:bookmarkStart w:id="231" w:name="_Toc366104786"/>
      <w:bookmarkStart w:id="232" w:name="_Toc266374523"/>
      <w:bookmarkStart w:id="233" w:name="_Toc9312"/>
      <w:bookmarkStart w:id="234" w:name="_Toc20548"/>
      <w:bookmarkStart w:id="235" w:name="_Toc273373252"/>
      <w:bookmarkStart w:id="236" w:name="_Toc312318138"/>
      <w:bookmarkStart w:id="237" w:name="_Toc286827182"/>
      <w:bookmarkStart w:id="238" w:name="_Toc30637"/>
      <w:bookmarkStart w:id="239" w:name="_Toc15246"/>
      <w:bookmarkStart w:id="240" w:name="_Toc21474"/>
      <w:bookmarkStart w:id="241" w:name="_Toc190909896"/>
      <w:bookmarkStart w:id="242" w:name="_Toc28742"/>
      <w:bookmarkStart w:id="243" w:name="_Toc13885"/>
      <w:bookmarkStart w:id="244" w:name="_Toc218485490"/>
      <w:bookmarkStart w:id="245" w:name="_Toc12636"/>
      <w:r>
        <w:rPr>
          <w:rFonts w:hint="default" w:ascii="Times New Roman" w:hAnsi="Times New Roman" w:cs="Times New Roman"/>
          <w:color w:val="auto"/>
          <w:highlight w:val="none"/>
        </w:rPr>
        <w:t>2.6评价等级和评价范围</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2B25A3E2">
      <w:pPr>
        <w:pStyle w:val="6"/>
        <w:bidi w:val="0"/>
        <w:rPr>
          <w:rFonts w:hint="default"/>
          <w:color w:val="auto"/>
          <w:highlight w:val="none"/>
          <w:lang w:val="en-US" w:eastAsia="zh-CN"/>
        </w:rPr>
      </w:pPr>
      <w:r>
        <w:rPr>
          <w:rFonts w:hint="default"/>
          <w:color w:val="auto"/>
          <w:highlight w:val="none"/>
        </w:rPr>
        <w:t>2.6.1大气环境影响评价等级</w:t>
      </w:r>
      <w:r>
        <w:rPr>
          <w:rFonts w:hint="eastAsia"/>
          <w:color w:val="auto"/>
          <w:highlight w:val="none"/>
          <w:lang w:val="en-US" w:eastAsia="zh-CN"/>
        </w:rPr>
        <w:t>及评价范围</w:t>
      </w:r>
    </w:p>
    <w:p w14:paraId="13B62B2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（1）判定依据</w:t>
      </w:r>
    </w:p>
    <w:p w14:paraId="6D5F8CBF">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根据《环境影响评价技术导则 大气环境》（HJ2.2-2018）中的推荐模式AERSCREEN，选择粉尘作为主要污染物，计算粉尘的最大地面空气质量浓度占标率</w:t>
      </w:r>
      <w:r>
        <w:rPr>
          <w:rFonts w:hint="default" w:ascii="Times New Roman" w:hAnsi="Times New Roman" w:cs="Times New Roman"/>
          <w:i/>
          <w:color w:val="auto"/>
          <w:highlight w:val="none"/>
        </w:rPr>
        <w:t>P</w:t>
      </w:r>
      <w:r>
        <w:rPr>
          <w:rFonts w:hint="default" w:ascii="Times New Roman" w:hAnsi="Times New Roman" w:cs="Times New Roman"/>
          <w:i/>
          <w:color w:val="auto"/>
          <w:highlight w:val="none"/>
          <w:vertAlign w:val="subscript"/>
        </w:rPr>
        <w:t>i</w:t>
      </w:r>
      <w:r>
        <w:rPr>
          <w:rFonts w:hint="default" w:ascii="Times New Roman" w:hAnsi="Times New Roman" w:cs="Times New Roman"/>
          <w:color w:val="auto"/>
          <w:highlight w:val="none"/>
        </w:rPr>
        <w:t>（第i个污染物）</w:t>
      </w:r>
      <w:r>
        <w:rPr>
          <w:rFonts w:hint="eastAsia" w:ascii="Times New Roman" w:hAnsi="Times New Roman" w:cs="Times New Roman"/>
          <w:color w:val="auto"/>
          <w:highlight w:val="none"/>
          <w:lang w:eastAsia="zh-CN"/>
        </w:rPr>
        <w:t>，以</w:t>
      </w:r>
      <w:r>
        <w:rPr>
          <w:rFonts w:hint="default" w:ascii="Times New Roman" w:hAnsi="Times New Roman" w:cs="Times New Roman"/>
          <w:color w:val="auto"/>
          <w:highlight w:val="none"/>
        </w:rPr>
        <w:t>及第i个污染物的地面空气质量浓度达标值10%时所对应的最远距离D</w:t>
      </w:r>
      <w:r>
        <w:rPr>
          <w:rFonts w:hint="default" w:ascii="Times New Roman" w:hAnsi="Times New Roman" w:cs="Times New Roman"/>
          <w:color w:val="auto"/>
          <w:highlight w:val="none"/>
          <w:vertAlign w:val="subscript"/>
        </w:rPr>
        <w:t>10%</w:t>
      </w:r>
      <w:r>
        <w:rPr>
          <w:rFonts w:hint="default" w:ascii="Times New Roman" w:hAnsi="Times New Roman" w:cs="Times New Roman"/>
          <w:color w:val="auto"/>
          <w:highlight w:val="none"/>
        </w:rPr>
        <w:t>，其中</w:t>
      </w:r>
      <w:r>
        <w:rPr>
          <w:rFonts w:hint="default" w:ascii="Times New Roman" w:hAnsi="Times New Roman" w:cs="Times New Roman"/>
          <w:i/>
          <w:color w:val="auto"/>
          <w:highlight w:val="none"/>
        </w:rPr>
        <w:t>P</w:t>
      </w:r>
      <w:r>
        <w:rPr>
          <w:rFonts w:hint="default" w:ascii="Times New Roman" w:hAnsi="Times New Roman" w:cs="Times New Roman"/>
          <w:i/>
          <w:color w:val="auto"/>
          <w:highlight w:val="none"/>
          <w:vertAlign w:val="subscript"/>
        </w:rPr>
        <w:t>i</w:t>
      </w:r>
      <w:r>
        <w:rPr>
          <w:rFonts w:hint="default" w:ascii="Times New Roman" w:hAnsi="Times New Roman" w:cs="Times New Roman"/>
          <w:color w:val="auto"/>
          <w:highlight w:val="none"/>
        </w:rPr>
        <w:t>定义为：</w:t>
      </w:r>
    </w:p>
    <w:p w14:paraId="232CE54D">
      <w:pPr>
        <w:overflowPunct w:val="0"/>
        <w:topLinePunct/>
        <w:ind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P</w:t>
      </w:r>
      <w:r>
        <w:rPr>
          <w:rFonts w:hint="default" w:ascii="Times New Roman" w:hAnsi="Times New Roman" w:cs="Times New Roman"/>
          <w:color w:val="auto"/>
          <w:highlight w:val="none"/>
          <w:vertAlign w:val="subscript"/>
        </w:rPr>
        <w:t>i</w:t>
      </w:r>
      <w:r>
        <w:rPr>
          <w:rFonts w:hint="default" w:ascii="Times New Roman" w:hAnsi="Times New Roman" w:cs="Times New Roman"/>
          <w:color w:val="auto"/>
          <w:highlight w:val="none"/>
        </w:rPr>
        <w:t>=C</w:t>
      </w:r>
      <w:r>
        <w:rPr>
          <w:rFonts w:hint="default" w:ascii="Times New Roman" w:hAnsi="Times New Roman" w:cs="Times New Roman"/>
          <w:color w:val="auto"/>
          <w:highlight w:val="none"/>
          <w:vertAlign w:val="subscript"/>
        </w:rPr>
        <w:t>i</w:t>
      </w:r>
      <w:r>
        <w:rPr>
          <w:rFonts w:hint="default" w:ascii="Times New Roman" w:hAnsi="Times New Roman" w:cs="Times New Roman"/>
          <w:color w:val="auto"/>
          <w:highlight w:val="none"/>
        </w:rPr>
        <w:t>/C</w:t>
      </w:r>
      <w:r>
        <w:rPr>
          <w:rFonts w:hint="default" w:ascii="Times New Roman" w:hAnsi="Times New Roman" w:cs="Times New Roman"/>
          <w:color w:val="auto"/>
          <w:highlight w:val="none"/>
          <w:vertAlign w:val="subscript"/>
        </w:rPr>
        <w:t>oi</w:t>
      </w:r>
      <w:r>
        <w:rPr>
          <w:rFonts w:hint="default" w:ascii="Times New Roman" w:hAnsi="Times New Roman" w:cs="Times New Roman"/>
          <w:color w:val="auto"/>
          <w:highlight w:val="none"/>
        </w:rPr>
        <w:t>×100%</w:t>
      </w:r>
    </w:p>
    <w:p w14:paraId="3B4DE3B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式中：P</w:t>
      </w:r>
      <w:r>
        <w:rPr>
          <w:rFonts w:hint="default" w:ascii="Times New Roman" w:hAnsi="Times New Roman" w:cs="Times New Roman"/>
          <w:color w:val="auto"/>
          <w:highlight w:val="none"/>
          <w:vertAlign w:val="subscript"/>
        </w:rPr>
        <w:t>i</w:t>
      </w:r>
      <w:r>
        <w:rPr>
          <w:rFonts w:hint="default" w:ascii="Times New Roman" w:hAnsi="Times New Roman" w:cs="Times New Roman"/>
          <w:color w:val="auto"/>
          <w:highlight w:val="none"/>
        </w:rPr>
        <w:t>—第i个污染物的最大地面空气质量浓度占标率，%；</w:t>
      </w:r>
    </w:p>
    <w:p w14:paraId="1072F6F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C</w:t>
      </w:r>
      <w:r>
        <w:rPr>
          <w:rFonts w:hint="default" w:ascii="Times New Roman" w:hAnsi="Times New Roman" w:cs="Times New Roman"/>
          <w:color w:val="auto"/>
          <w:highlight w:val="none"/>
          <w:vertAlign w:val="subscript"/>
        </w:rPr>
        <w:t>i</w:t>
      </w:r>
      <w:r>
        <w:rPr>
          <w:rFonts w:hint="default" w:ascii="Times New Roman" w:hAnsi="Times New Roman" w:cs="Times New Roman"/>
          <w:color w:val="auto"/>
          <w:highlight w:val="none"/>
        </w:rPr>
        <w:t>—采用估算模式计算出的第i个污染物的最大1h地面空气质量浓度，mg/m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p>
    <w:p w14:paraId="4FA6E2A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C</w:t>
      </w:r>
      <w:r>
        <w:rPr>
          <w:rFonts w:hint="default" w:ascii="Times New Roman" w:hAnsi="Times New Roman" w:cs="Times New Roman"/>
          <w:color w:val="auto"/>
          <w:highlight w:val="none"/>
          <w:vertAlign w:val="subscript"/>
        </w:rPr>
        <w:t>oi</w:t>
      </w:r>
      <w:r>
        <w:rPr>
          <w:rFonts w:hint="default" w:ascii="Times New Roman" w:hAnsi="Times New Roman" w:cs="Times New Roman"/>
          <w:color w:val="auto"/>
          <w:highlight w:val="none"/>
        </w:rPr>
        <w:t>—第i个污染物的环境空气质量标准，</w:t>
      </w:r>
      <w:r>
        <w:rPr>
          <w:rFonts w:hint="default" w:ascii="Times New Roman" w:hAnsi="Times New Roman" w:cs="Times New Roman"/>
          <w:color w:val="auto"/>
          <w:highlight w:val="none"/>
          <w:lang w:eastAsia="zh-CN"/>
        </w:rPr>
        <w:t>μg/m</w:t>
      </w:r>
      <w:r>
        <w:rPr>
          <w:rFonts w:hint="default" w:ascii="Times New Roman" w:hAnsi="Times New Roman" w:cs="Times New Roman"/>
          <w:color w:val="auto"/>
          <w:highlight w:val="none"/>
          <w:vertAlign w:val="superscript"/>
          <w:lang w:eastAsia="zh-CN"/>
        </w:rPr>
        <w:t>3</w:t>
      </w:r>
      <w:r>
        <w:rPr>
          <w:rFonts w:hint="default" w:ascii="Times New Roman" w:hAnsi="Times New Roman" w:cs="Times New Roman"/>
          <w:color w:val="auto"/>
          <w:highlight w:val="none"/>
        </w:rPr>
        <w:t>；一般选用GB3095中1小时平均质量浓度的二级浓度限值。</w:t>
      </w:r>
    </w:p>
    <w:p w14:paraId="187DC9DF">
      <w:pPr>
        <w:overflowPunct w:val="0"/>
        <w:topLinePunct/>
        <w:ind w:firstLine="470" w:firstLineChars="196"/>
        <w:rPr>
          <w:rFonts w:hint="default" w:ascii="Times New Roman" w:hAnsi="Times New Roman" w:cs="Times New Roman"/>
          <w:color w:val="auto"/>
          <w:highlight w:val="none"/>
        </w:rPr>
      </w:pPr>
      <w:r>
        <w:rPr>
          <w:rFonts w:hint="default" w:ascii="Times New Roman" w:hAnsi="Times New Roman" w:cs="Times New Roman"/>
          <w:color w:val="auto"/>
          <w:highlight w:val="none"/>
        </w:rPr>
        <w:t>大气环境影响评价工作等级判据见表2.6-1、2.6-2。</w:t>
      </w:r>
    </w:p>
    <w:p w14:paraId="57E20912">
      <w:pPr>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表2.6-1    大气环境影响评价工作等级</w:t>
      </w:r>
    </w:p>
    <w:tbl>
      <w:tblPr>
        <w:tblStyle w:val="13"/>
        <w:tblW w:w="8520" w:type="dxa"/>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108" w:type="dxa"/>
          <w:bottom w:w="0" w:type="dxa"/>
          <w:right w:w="108" w:type="dxa"/>
        </w:tblCellMar>
      </w:tblPr>
      <w:tblGrid>
        <w:gridCol w:w="1546"/>
        <w:gridCol w:w="6974"/>
      </w:tblGrid>
      <w:tr w14:paraId="0F65783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1546" w:type="dxa"/>
            <w:vAlign w:val="center"/>
          </w:tcPr>
          <w:p w14:paraId="2B9AD9E0">
            <w:pPr>
              <w:adjustRightInd w:val="0"/>
              <w:snapToGrid w:val="0"/>
              <w:spacing w:line="360" w:lineRule="exact"/>
              <w:ind w:firstLine="0" w:firstLineChars="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评价工作等级</w:t>
            </w:r>
          </w:p>
        </w:tc>
        <w:tc>
          <w:tcPr>
            <w:tcW w:w="6974" w:type="dxa"/>
            <w:vAlign w:val="center"/>
          </w:tcPr>
          <w:p w14:paraId="29958EC2">
            <w:pPr>
              <w:adjustRightInd w:val="0"/>
              <w:snapToGrid w:val="0"/>
              <w:spacing w:line="360" w:lineRule="exact"/>
              <w:ind w:firstLine="0" w:firstLineChars="0"/>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评价工作分级判据</w:t>
            </w:r>
          </w:p>
        </w:tc>
      </w:tr>
      <w:tr w14:paraId="210C376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1546" w:type="dxa"/>
            <w:vAlign w:val="center"/>
          </w:tcPr>
          <w:p w14:paraId="698303D2">
            <w:pPr>
              <w:adjustRightInd w:val="0"/>
              <w:snapToGrid w:val="0"/>
              <w:spacing w:line="360" w:lineRule="exact"/>
              <w:ind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一级</w:t>
            </w:r>
          </w:p>
        </w:tc>
        <w:tc>
          <w:tcPr>
            <w:tcW w:w="6974" w:type="dxa"/>
            <w:vAlign w:val="center"/>
          </w:tcPr>
          <w:p w14:paraId="3C66E7C6">
            <w:pPr>
              <w:adjustRightInd w:val="0"/>
              <w:snapToGrid w:val="0"/>
              <w:spacing w:line="360" w:lineRule="exact"/>
              <w:ind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P</w:t>
            </w:r>
            <w:r>
              <w:rPr>
                <w:rFonts w:hint="default" w:ascii="Times New Roman" w:hAnsi="Times New Roman" w:cs="Times New Roman"/>
                <w:color w:val="auto"/>
                <w:kern w:val="0"/>
                <w:sz w:val="21"/>
                <w:szCs w:val="21"/>
                <w:highlight w:val="none"/>
                <w:vertAlign w:val="subscript"/>
              </w:rPr>
              <w:t>max</w:t>
            </w:r>
            <w:r>
              <w:rPr>
                <w:rFonts w:hint="default" w:ascii="Times New Roman" w:hAnsi="Times New Roman" w:cs="Times New Roman"/>
                <w:color w:val="auto"/>
                <w:kern w:val="0"/>
                <w:sz w:val="21"/>
                <w:szCs w:val="21"/>
                <w:highlight w:val="none"/>
              </w:rPr>
              <w:t>≥10%</w:t>
            </w:r>
          </w:p>
        </w:tc>
      </w:tr>
      <w:tr w14:paraId="62EF53A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1546" w:type="dxa"/>
            <w:vAlign w:val="center"/>
          </w:tcPr>
          <w:p w14:paraId="2A9A227F">
            <w:pPr>
              <w:adjustRightInd w:val="0"/>
              <w:snapToGrid w:val="0"/>
              <w:spacing w:line="360" w:lineRule="exact"/>
              <w:ind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二级</w:t>
            </w:r>
          </w:p>
        </w:tc>
        <w:tc>
          <w:tcPr>
            <w:tcW w:w="6974" w:type="dxa"/>
            <w:vAlign w:val="center"/>
          </w:tcPr>
          <w:p w14:paraId="6870C9D5">
            <w:pPr>
              <w:adjustRightInd w:val="0"/>
              <w:snapToGrid w:val="0"/>
              <w:spacing w:line="360" w:lineRule="exact"/>
              <w:ind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1%≤P</w:t>
            </w:r>
            <w:r>
              <w:rPr>
                <w:rFonts w:hint="default" w:ascii="Times New Roman" w:hAnsi="Times New Roman" w:cs="Times New Roman"/>
                <w:color w:val="auto"/>
                <w:kern w:val="0"/>
                <w:sz w:val="21"/>
                <w:szCs w:val="21"/>
                <w:highlight w:val="none"/>
                <w:vertAlign w:val="subscript"/>
              </w:rPr>
              <w:t>max</w:t>
            </w:r>
            <w:r>
              <w:rPr>
                <w:rFonts w:hint="default" w:ascii="Times New Roman" w:hAnsi="Times New Roman" w:cs="Times New Roman"/>
                <w:color w:val="auto"/>
                <w:kern w:val="0"/>
                <w:sz w:val="21"/>
                <w:szCs w:val="21"/>
                <w:highlight w:val="none"/>
              </w:rPr>
              <w:t>＜10%</w:t>
            </w:r>
          </w:p>
        </w:tc>
      </w:tr>
      <w:tr w14:paraId="141D3E8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1546" w:type="dxa"/>
            <w:vAlign w:val="center"/>
          </w:tcPr>
          <w:p w14:paraId="4B21977F">
            <w:pPr>
              <w:adjustRightInd w:val="0"/>
              <w:snapToGrid w:val="0"/>
              <w:spacing w:line="360" w:lineRule="exact"/>
              <w:ind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三级</w:t>
            </w:r>
          </w:p>
        </w:tc>
        <w:tc>
          <w:tcPr>
            <w:tcW w:w="6974" w:type="dxa"/>
            <w:vAlign w:val="center"/>
          </w:tcPr>
          <w:p w14:paraId="6C84ADBA">
            <w:pPr>
              <w:adjustRightInd w:val="0"/>
              <w:snapToGrid w:val="0"/>
              <w:spacing w:line="360" w:lineRule="exact"/>
              <w:ind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P</w:t>
            </w:r>
            <w:r>
              <w:rPr>
                <w:rFonts w:hint="default" w:ascii="Times New Roman" w:hAnsi="Times New Roman" w:cs="Times New Roman"/>
                <w:color w:val="auto"/>
                <w:kern w:val="0"/>
                <w:sz w:val="21"/>
                <w:szCs w:val="21"/>
                <w:highlight w:val="none"/>
                <w:vertAlign w:val="subscript"/>
              </w:rPr>
              <w:t>max</w:t>
            </w:r>
            <w:r>
              <w:rPr>
                <w:rFonts w:hint="default" w:ascii="Times New Roman" w:hAnsi="Times New Roman" w:cs="Times New Roman"/>
                <w:color w:val="auto"/>
                <w:kern w:val="0"/>
                <w:sz w:val="21"/>
                <w:szCs w:val="21"/>
                <w:highlight w:val="none"/>
              </w:rPr>
              <w:t>&lt;1%</w:t>
            </w:r>
          </w:p>
        </w:tc>
      </w:tr>
    </w:tbl>
    <w:p w14:paraId="716B2F25">
      <w:pPr>
        <w:overflowPunct w:val="0"/>
        <w:topLinePunct/>
        <w:ind w:firstLine="480"/>
        <w:rPr>
          <w:rFonts w:hint="default" w:ascii="Times New Roman" w:hAnsi="Times New Roman" w:cs="Times New Roman"/>
          <w:color w:val="auto"/>
          <w:kern w:val="0"/>
          <w:szCs w:val="22"/>
          <w:highlight w:val="none"/>
        </w:rPr>
      </w:pPr>
      <w:r>
        <w:rPr>
          <w:rFonts w:hint="default" w:ascii="Times New Roman" w:hAnsi="Times New Roman" w:cs="Times New Roman"/>
          <w:color w:val="auto"/>
          <w:kern w:val="0"/>
          <w:szCs w:val="22"/>
          <w:highlight w:val="none"/>
        </w:rPr>
        <w:t>（2）采用数据及评价结果</w:t>
      </w:r>
    </w:p>
    <w:p w14:paraId="196FDA88">
      <w:pPr>
        <w:overflowPunct w:val="0"/>
        <w:topLinePunct/>
        <w:ind w:firstLine="480"/>
        <w:rPr>
          <w:rFonts w:hint="default" w:ascii="Times New Roman" w:hAnsi="Times New Roman" w:cs="Times New Roman"/>
          <w:color w:val="auto"/>
          <w:kern w:val="0"/>
          <w:szCs w:val="20"/>
          <w:highlight w:val="none"/>
        </w:rPr>
      </w:pPr>
      <w:r>
        <w:rPr>
          <w:rFonts w:hint="default" w:ascii="Times New Roman" w:hAnsi="Times New Roman" w:cs="Times New Roman"/>
          <w:color w:val="auto"/>
          <w:kern w:val="0"/>
          <w:szCs w:val="22"/>
          <w:highlight w:val="none"/>
        </w:rPr>
        <w:t>根据项目初步工</w:t>
      </w:r>
      <w:r>
        <w:rPr>
          <w:rFonts w:hint="default" w:ascii="Times New Roman" w:hAnsi="Times New Roman" w:cs="Times New Roman"/>
          <w:color w:val="auto"/>
          <w:kern w:val="0"/>
          <w:szCs w:val="20"/>
          <w:highlight w:val="none"/>
        </w:rPr>
        <w:t>程分析，选取了</w:t>
      </w:r>
      <w:r>
        <w:rPr>
          <w:rFonts w:hint="eastAsia" w:cs="Times New Roman"/>
          <w:color w:val="auto"/>
          <w:kern w:val="0"/>
          <w:szCs w:val="20"/>
          <w:highlight w:val="none"/>
          <w:lang w:val="en-US" w:eastAsia="zh-CN"/>
        </w:rPr>
        <w:t>粗矿仓</w:t>
      </w:r>
      <w:r>
        <w:rPr>
          <w:rFonts w:hint="default" w:ascii="Times New Roman" w:hAnsi="Times New Roman" w:cs="Times New Roman"/>
          <w:color w:val="auto"/>
          <w:kern w:val="0"/>
          <w:szCs w:val="20"/>
          <w:highlight w:val="none"/>
          <w:lang w:eastAsia="zh-CN"/>
        </w:rPr>
        <w:t>、</w:t>
      </w:r>
      <w:r>
        <w:rPr>
          <w:rFonts w:hint="eastAsia" w:cs="Times New Roman"/>
          <w:color w:val="auto"/>
          <w:kern w:val="0"/>
          <w:szCs w:val="20"/>
          <w:highlight w:val="none"/>
          <w:lang w:val="en-US" w:eastAsia="zh-CN"/>
        </w:rPr>
        <w:t>中细碎厂房</w:t>
      </w:r>
      <w:r>
        <w:rPr>
          <w:rFonts w:hint="default" w:ascii="Times New Roman" w:hAnsi="Times New Roman" w:cs="Times New Roman"/>
          <w:color w:val="auto"/>
          <w:kern w:val="0"/>
          <w:szCs w:val="20"/>
          <w:highlight w:val="none"/>
        </w:rPr>
        <w:t>、</w:t>
      </w:r>
      <w:r>
        <w:rPr>
          <w:rFonts w:hint="eastAsia" w:cs="Times New Roman"/>
          <w:color w:val="auto"/>
          <w:kern w:val="0"/>
          <w:szCs w:val="20"/>
          <w:highlight w:val="none"/>
          <w:lang w:val="en-US" w:eastAsia="zh-CN"/>
        </w:rPr>
        <w:t>筛分厂房</w:t>
      </w:r>
      <w:r>
        <w:rPr>
          <w:rFonts w:hint="eastAsia"/>
          <w:color w:val="auto"/>
          <w:highlight w:val="none"/>
          <w:lang w:eastAsia="zh-CN"/>
        </w:rPr>
        <w:t>、</w:t>
      </w:r>
      <w:r>
        <w:rPr>
          <w:rFonts w:hint="eastAsia"/>
          <w:color w:val="auto"/>
          <w:highlight w:val="none"/>
          <w:lang w:val="en-US" w:eastAsia="zh-CN"/>
        </w:rPr>
        <w:t>硫酸稀释车间</w:t>
      </w:r>
      <w:r>
        <w:rPr>
          <w:rFonts w:hint="eastAsia" w:cs="Times New Roman"/>
          <w:color w:val="auto"/>
          <w:kern w:val="0"/>
          <w:szCs w:val="20"/>
          <w:highlight w:val="none"/>
          <w:lang w:val="en-US" w:eastAsia="zh-CN"/>
        </w:rPr>
        <w:t>、粉矿仓</w:t>
      </w:r>
      <w:r>
        <w:rPr>
          <w:rFonts w:hint="default" w:ascii="Times New Roman" w:hAnsi="Times New Roman" w:cs="Times New Roman"/>
          <w:color w:val="auto"/>
          <w:kern w:val="0"/>
          <w:szCs w:val="20"/>
          <w:highlight w:val="none"/>
        </w:rPr>
        <w:t>有组织粉尘</w:t>
      </w:r>
      <w:r>
        <w:rPr>
          <w:rFonts w:hint="eastAsia" w:cs="Times New Roman"/>
          <w:color w:val="auto"/>
          <w:kern w:val="0"/>
          <w:szCs w:val="20"/>
          <w:highlight w:val="none"/>
          <w:lang w:eastAsia="zh-CN"/>
        </w:rPr>
        <w:t>、</w:t>
      </w:r>
      <w:r>
        <w:rPr>
          <w:rFonts w:hint="eastAsia" w:cs="Times New Roman"/>
          <w:color w:val="auto"/>
          <w:kern w:val="0"/>
          <w:szCs w:val="20"/>
          <w:highlight w:val="none"/>
          <w:lang w:val="en-US" w:eastAsia="zh-CN"/>
        </w:rPr>
        <w:t>氟化物、硫酸雾</w:t>
      </w:r>
      <w:r>
        <w:rPr>
          <w:rFonts w:hint="default" w:ascii="Times New Roman" w:hAnsi="Times New Roman" w:cs="Times New Roman"/>
          <w:color w:val="auto"/>
          <w:kern w:val="0"/>
          <w:szCs w:val="20"/>
          <w:highlight w:val="none"/>
        </w:rPr>
        <w:t>及尾矿库</w:t>
      </w:r>
      <w:r>
        <w:rPr>
          <w:rFonts w:hint="eastAsia" w:cs="Times New Roman"/>
          <w:color w:val="auto"/>
          <w:kern w:val="0"/>
          <w:szCs w:val="20"/>
          <w:highlight w:val="none"/>
          <w:lang w:eastAsia="zh-CN"/>
        </w:rPr>
        <w:t>、</w:t>
      </w:r>
      <w:r>
        <w:rPr>
          <w:rFonts w:hint="eastAsia" w:cs="Times New Roman"/>
          <w:color w:val="auto"/>
          <w:kern w:val="0"/>
          <w:szCs w:val="20"/>
          <w:highlight w:val="none"/>
          <w:lang w:val="en-US" w:eastAsia="zh-CN"/>
        </w:rPr>
        <w:t>废石堆场</w:t>
      </w:r>
      <w:r>
        <w:rPr>
          <w:rFonts w:hint="default" w:ascii="Times New Roman" w:hAnsi="Times New Roman" w:cs="Times New Roman"/>
          <w:color w:val="auto"/>
          <w:kern w:val="0"/>
          <w:szCs w:val="20"/>
          <w:highlight w:val="none"/>
        </w:rPr>
        <w:t>无组织粉尘进行预测，污染因子为PM</w:t>
      </w:r>
      <w:r>
        <w:rPr>
          <w:rFonts w:hint="default" w:ascii="Times New Roman" w:hAnsi="Times New Roman" w:cs="Times New Roman"/>
          <w:color w:val="auto"/>
          <w:kern w:val="0"/>
          <w:szCs w:val="20"/>
          <w:highlight w:val="none"/>
          <w:vertAlign w:val="subscript"/>
        </w:rPr>
        <w:t>10</w:t>
      </w:r>
      <w:r>
        <w:rPr>
          <w:rFonts w:hint="default" w:ascii="Times New Roman" w:hAnsi="Times New Roman" w:cs="Times New Roman"/>
          <w:color w:val="auto"/>
          <w:kern w:val="0"/>
          <w:szCs w:val="20"/>
          <w:highlight w:val="none"/>
        </w:rPr>
        <w:t>、TSP</w:t>
      </w:r>
      <w:r>
        <w:rPr>
          <w:rFonts w:hint="default" w:ascii="Times New Roman" w:hAnsi="Times New Roman" w:cs="Times New Roman"/>
          <w:color w:val="auto"/>
          <w:kern w:val="0"/>
          <w:szCs w:val="20"/>
          <w:highlight w:val="none"/>
          <w:lang w:eastAsia="zh-CN"/>
        </w:rPr>
        <w:t>、氟化物</w:t>
      </w:r>
      <w:r>
        <w:rPr>
          <w:rFonts w:hint="eastAsia" w:cs="Times New Roman"/>
          <w:color w:val="auto"/>
          <w:kern w:val="0"/>
          <w:szCs w:val="20"/>
          <w:highlight w:val="none"/>
          <w:lang w:eastAsia="zh-CN"/>
        </w:rPr>
        <w:t>、</w:t>
      </w:r>
      <w:r>
        <w:rPr>
          <w:rFonts w:hint="eastAsia" w:cs="Times New Roman"/>
          <w:color w:val="auto"/>
          <w:kern w:val="0"/>
          <w:szCs w:val="20"/>
          <w:highlight w:val="none"/>
          <w:lang w:val="en-US" w:eastAsia="zh-CN"/>
        </w:rPr>
        <w:t>硫酸雾</w:t>
      </w:r>
      <w:r>
        <w:rPr>
          <w:rFonts w:hint="default" w:ascii="Times New Roman" w:hAnsi="Times New Roman" w:cs="Times New Roman"/>
          <w:color w:val="auto"/>
          <w:kern w:val="0"/>
          <w:szCs w:val="20"/>
          <w:highlight w:val="none"/>
        </w:rPr>
        <w:t>，预测因子为PM</w:t>
      </w:r>
      <w:r>
        <w:rPr>
          <w:rFonts w:hint="default" w:ascii="Times New Roman" w:hAnsi="Times New Roman" w:cs="Times New Roman"/>
          <w:color w:val="auto"/>
          <w:kern w:val="0"/>
          <w:szCs w:val="20"/>
          <w:highlight w:val="none"/>
          <w:vertAlign w:val="subscript"/>
        </w:rPr>
        <w:t>10</w:t>
      </w:r>
      <w:r>
        <w:rPr>
          <w:rFonts w:hint="default" w:ascii="Times New Roman" w:hAnsi="Times New Roman" w:cs="Times New Roman"/>
          <w:color w:val="auto"/>
          <w:kern w:val="0"/>
          <w:szCs w:val="20"/>
          <w:highlight w:val="none"/>
        </w:rPr>
        <w:t>、TSP</w:t>
      </w:r>
      <w:r>
        <w:rPr>
          <w:rFonts w:hint="default" w:ascii="Times New Roman" w:hAnsi="Times New Roman" w:cs="Times New Roman"/>
          <w:color w:val="auto"/>
          <w:kern w:val="0"/>
          <w:szCs w:val="20"/>
          <w:highlight w:val="none"/>
          <w:lang w:eastAsia="zh-CN"/>
        </w:rPr>
        <w:t>、氟化物</w:t>
      </w:r>
      <w:r>
        <w:rPr>
          <w:rFonts w:hint="eastAsia" w:cs="Times New Roman"/>
          <w:color w:val="auto"/>
          <w:kern w:val="0"/>
          <w:szCs w:val="20"/>
          <w:highlight w:val="none"/>
          <w:lang w:eastAsia="zh-CN"/>
        </w:rPr>
        <w:t>、</w:t>
      </w:r>
      <w:r>
        <w:rPr>
          <w:rFonts w:hint="eastAsia" w:cs="Times New Roman"/>
          <w:color w:val="auto"/>
          <w:kern w:val="0"/>
          <w:szCs w:val="20"/>
          <w:highlight w:val="none"/>
          <w:lang w:val="en-US" w:eastAsia="zh-CN"/>
        </w:rPr>
        <w:t>硫酸雾</w:t>
      </w:r>
      <w:r>
        <w:rPr>
          <w:rFonts w:hint="default" w:ascii="Times New Roman" w:hAnsi="Times New Roman" w:cs="Times New Roman"/>
          <w:color w:val="auto"/>
          <w:kern w:val="0"/>
          <w:szCs w:val="20"/>
          <w:highlight w:val="none"/>
        </w:rPr>
        <w:t>。本评价根据其排放污染物源强，利用导则推荐的估算模式AERSCREEN，对上述污染源进行预测，计算P</w:t>
      </w:r>
      <w:r>
        <w:rPr>
          <w:rFonts w:hint="default" w:ascii="Times New Roman" w:hAnsi="Times New Roman" w:cs="Times New Roman"/>
          <w:color w:val="auto"/>
          <w:kern w:val="0"/>
          <w:szCs w:val="20"/>
          <w:highlight w:val="none"/>
          <w:vertAlign w:val="subscript"/>
        </w:rPr>
        <w:t>max</w:t>
      </w:r>
      <w:r>
        <w:rPr>
          <w:rFonts w:hint="default" w:ascii="Times New Roman" w:hAnsi="Times New Roman" w:cs="Times New Roman"/>
          <w:color w:val="auto"/>
          <w:kern w:val="0"/>
          <w:szCs w:val="20"/>
          <w:highlight w:val="none"/>
        </w:rPr>
        <w:t>（P</w:t>
      </w:r>
      <w:r>
        <w:rPr>
          <w:rFonts w:hint="default" w:ascii="Times New Roman" w:hAnsi="Times New Roman" w:cs="Times New Roman"/>
          <w:color w:val="auto"/>
          <w:kern w:val="0"/>
          <w:szCs w:val="20"/>
          <w:highlight w:val="none"/>
          <w:vertAlign w:val="subscript"/>
        </w:rPr>
        <w:t>i</w:t>
      </w:r>
      <w:r>
        <w:rPr>
          <w:rFonts w:hint="default" w:ascii="Times New Roman" w:hAnsi="Times New Roman" w:cs="Times New Roman"/>
          <w:color w:val="auto"/>
          <w:kern w:val="0"/>
          <w:szCs w:val="20"/>
          <w:highlight w:val="none"/>
        </w:rPr>
        <w:t>值中最大者）和D</w:t>
      </w:r>
      <w:r>
        <w:rPr>
          <w:rFonts w:hint="default" w:ascii="Times New Roman" w:hAnsi="Times New Roman" w:cs="Times New Roman"/>
          <w:color w:val="auto"/>
          <w:kern w:val="0"/>
          <w:szCs w:val="20"/>
          <w:highlight w:val="none"/>
          <w:vertAlign w:val="subscript"/>
        </w:rPr>
        <w:t>10%</w:t>
      </w:r>
      <w:r>
        <w:rPr>
          <w:rFonts w:hint="default" w:ascii="Times New Roman" w:hAnsi="Times New Roman" w:cs="Times New Roman"/>
          <w:color w:val="auto"/>
          <w:kern w:val="0"/>
          <w:szCs w:val="20"/>
          <w:highlight w:val="none"/>
        </w:rPr>
        <w:t>（占标率为10%时所对应的最远距离）。</w:t>
      </w:r>
    </w:p>
    <w:p w14:paraId="564EE2DB">
      <w:pPr>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表2.6-2    估算模型参数表</w:t>
      </w:r>
    </w:p>
    <w:tbl>
      <w:tblPr>
        <w:tblStyle w:val="1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7"/>
        <w:gridCol w:w="2149"/>
        <w:gridCol w:w="3173"/>
      </w:tblGrid>
      <w:tr w14:paraId="5F2A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346" w:type="dxa"/>
            <w:gridSpan w:val="2"/>
            <w:tcBorders>
              <w:tl2br w:val="nil"/>
              <w:tr2bl w:val="nil"/>
            </w:tcBorders>
            <w:vAlign w:val="center"/>
          </w:tcPr>
          <w:p w14:paraId="20310EA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参数</w:t>
            </w:r>
          </w:p>
        </w:tc>
        <w:tc>
          <w:tcPr>
            <w:tcW w:w="3173" w:type="dxa"/>
            <w:tcBorders>
              <w:tl2br w:val="nil"/>
              <w:tr2bl w:val="nil"/>
            </w:tcBorders>
            <w:vAlign w:val="center"/>
          </w:tcPr>
          <w:p w14:paraId="32DBAD3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取值</w:t>
            </w:r>
          </w:p>
        </w:tc>
      </w:tr>
      <w:tr w14:paraId="07A0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7" w:type="dxa"/>
            <w:vMerge w:val="restart"/>
            <w:tcBorders>
              <w:tl2br w:val="nil"/>
              <w:tr2bl w:val="nil"/>
            </w:tcBorders>
            <w:vAlign w:val="center"/>
          </w:tcPr>
          <w:p w14:paraId="18101A1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城市/农村选项</w:t>
            </w:r>
          </w:p>
        </w:tc>
        <w:tc>
          <w:tcPr>
            <w:tcW w:w="2149" w:type="dxa"/>
            <w:tcBorders>
              <w:tl2br w:val="nil"/>
              <w:tr2bl w:val="nil"/>
            </w:tcBorders>
            <w:vAlign w:val="center"/>
          </w:tcPr>
          <w:p w14:paraId="6640E80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城市/农村</w:t>
            </w:r>
          </w:p>
        </w:tc>
        <w:tc>
          <w:tcPr>
            <w:tcW w:w="3173" w:type="dxa"/>
            <w:tcBorders>
              <w:tl2br w:val="nil"/>
              <w:tr2bl w:val="nil"/>
            </w:tcBorders>
            <w:vAlign w:val="center"/>
          </w:tcPr>
          <w:p w14:paraId="50E1817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农村</w:t>
            </w:r>
          </w:p>
        </w:tc>
      </w:tr>
      <w:tr w14:paraId="2DAA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7" w:type="dxa"/>
            <w:vMerge w:val="continue"/>
            <w:tcBorders>
              <w:tl2br w:val="nil"/>
              <w:tr2bl w:val="nil"/>
            </w:tcBorders>
            <w:vAlign w:val="center"/>
          </w:tcPr>
          <w:p w14:paraId="418194B1">
            <w:pPr>
              <w:pStyle w:val="17"/>
              <w:bidi w:val="0"/>
              <w:rPr>
                <w:rFonts w:hint="default" w:ascii="Times New Roman" w:hAnsi="Times New Roman" w:cs="Times New Roman"/>
                <w:color w:val="auto"/>
                <w:highlight w:val="none"/>
              </w:rPr>
            </w:pPr>
          </w:p>
        </w:tc>
        <w:tc>
          <w:tcPr>
            <w:tcW w:w="2149" w:type="dxa"/>
            <w:tcBorders>
              <w:tl2br w:val="nil"/>
              <w:tr2bl w:val="nil"/>
            </w:tcBorders>
            <w:vAlign w:val="center"/>
          </w:tcPr>
          <w:p w14:paraId="05ECB35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人口数（城市选项时）</w:t>
            </w:r>
          </w:p>
        </w:tc>
        <w:tc>
          <w:tcPr>
            <w:tcW w:w="3173" w:type="dxa"/>
            <w:tcBorders>
              <w:tl2br w:val="nil"/>
              <w:tr2bl w:val="nil"/>
            </w:tcBorders>
            <w:vAlign w:val="center"/>
          </w:tcPr>
          <w:p w14:paraId="3188527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5915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6" w:type="dxa"/>
            <w:gridSpan w:val="2"/>
            <w:tcBorders>
              <w:tl2br w:val="nil"/>
              <w:tr2bl w:val="nil"/>
            </w:tcBorders>
            <w:vAlign w:val="center"/>
          </w:tcPr>
          <w:p w14:paraId="40F40D9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最高环境温度/℃</w:t>
            </w:r>
          </w:p>
        </w:tc>
        <w:tc>
          <w:tcPr>
            <w:tcW w:w="3173" w:type="dxa"/>
            <w:tcBorders>
              <w:tl2br w:val="nil"/>
              <w:tr2bl w:val="nil"/>
            </w:tcBorders>
            <w:vAlign w:val="center"/>
          </w:tcPr>
          <w:p w14:paraId="519C430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28.7</w:t>
            </w:r>
          </w:p>
        </w:tc>
      </w:tr>
      <w:tr w14:paraId="218D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6" w:type="dxa"/>
            <w:gridSpan w:val="2"/>
            <w:tcBorders>
              <w:tl2br w:val="nil"/>
              <w:tr2bl w:val="nil"/>
            </w:tcBorders>
            <w:vAlign w:val="center"/>
          </w:tcPr>
          <w:p w14:paraId="4ACF1DB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最低环境温度/℃</w:t>
            </w:r>
          </w:p>
        </w:tc>
        <w:tc>
          <w:tcPr>
            <w:tcW w:w="3173" w:type="dxa"/>
            <w:tcBorders>
              <w:tl2br w:val="nil"/>
              <w:tr2bl w:val="nil"/>
            </w:tcBorders>
            <w:vAlign w:val="center"/>
          </w:tcPr>
          <w:p w14:paraId="0CF65C5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29.5</w:t>
            </w:r>
          </w:p>
        </w:tc>
      </w:tr>
      <w:tr w14:paraId="7204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6" w:type="dxa"/>
            <w:gridSpan w:val="2"/>
            <w:tcBorders>
              <w:tl2br w:val="nil"/>
              <w:tr2bl w:val="nil"/>
            </w:tcBorders>
            <w:vAlign w:val="center"/>
          </w:tcPr>
          <w:p w14:paraId="4341C88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土地利用类型</w:t>
            </w:r>
          </w:p>
        </w:tc>
        <w:tc>
          <w:tcPr>
            <w:tcW w:w="3173" w:type="dxa"/>
            <w:tcBorders>
              <w:tl2br w:val="nil"/>
              <w:tr2bl w:val="nil"/>
            </w:tcBorders>
            <w:vAlign w:val="center"/>
          </w:tcPr>
          <w:p w14:paraId="1FABD830">
            <w:pPr>
              <w:pStyle w:val="17"/>
              <w:bidi w:val="0"/>
              <w:rPr>
                <w:rFonts w:hint="eastAsia" w:ascii="Times New Roman" w:hAnsi="Times New Roman" w:eastAsia="宋体" w:cs="Times New Roman"/>
                <w:color w:val="auto"/>
                <w:highlight w:val="none"/>
                <w:lang w:eastAsia="zh-CN"/>
              </w:rPr>
            </w:pPr>
            <w:r>
              <w:rPr>
                <w:rFonts w:hint="eastAsia"/>
                <w:color w:val="auto"/>
                <w:spacing w:val="0"/>
                <w:w w:val="100"/>
                <w:kern w:val="0"/>
                <w:position w:val="0"/>
                <w:highlight w:val="none"/>
                <w:lang w:val="en-US" w:eastAsia="zh-CN"/>
              </w:rPr>
              <w:t>沙漠化荒地</w:t>
            </w:r>
          </w:p>
        </w:tc>
      </w:tr>
      <w:tr w14:paraId="2A7D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6" w:type="dxa"/>
            <w:gridSpan w:val="2"/>
            <w:tcBorders>
              <w:tl2br w:val="nil"/>
              <w:tr2bl w:val="nil"/>
            </w:tcBorders>
            <w:vAlign w:val="center"/>
          </w:tcPr>
          <w:p w14:paraId="22F1280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区域湿度条件</w:t>
            </w:r>
          </w:p>
        </w:tc>
        <w:tc>
          <w:tcPr>
            <w:tcW w:w="3173" w:type="dxa"/>
            <w:tcBorders>
              <w:tl2br w:val="nil"/>
              <w:tr2bl w:val="nil"/>
            </w:tcBorders>
            <w:vAlign w:val="center"/>
          </w:tcPr>
          <w:p w14:paraId="34C145F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干燥气候</w:t>
            </w:r>
          </w:p>
        </w:tc>
      </w:tr>
      <w:tr w14:paraId="4650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7" w:type="dxa"/>
            <w:vMerge w:val="restart"/>
            <w:tcBorders>
              <w:tl2br w:val="nil"/>
              <w:tr2bl w:val="nil"/>
            </w:tcBorders>
            <w:vAlign w:val="center"/>
          </w:tcPr>
          <w:p w14:paraId="54E4720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是否考虑地形</w:t>
            </w:r>
          </w:p>
        </w:tc>
        <w:tc>
          <w:tcPr>
            <w:tcW w:w="2149" w:type="dxa"/>
            <w:tcBorders>
              <w:tl2br w:val="nil"/>
              <w:tr2bl w:val="nil"/>
            </w:tcBorders>
            <w:vAlign w:val="center"/>
          </w:tcPr>
          <w:p w14:paraId="2CB4C7F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考虑地形</w:t>
            </w:r>
          </w:p>
        </w:tc>
        <w:tc>
          <w:tcPr>
            <w:tcW w:w="3173" w:type="dxa"/>
            <w:tcBorders>
              <w:tl2br w:val="nil"/>
              <w:tr2bl w:val="nil"/>
            </w:tcBorders>
            <w:vAlign w:val="center"/>
          </w:tcPr>
          <w:p w14:paraId="140DBD4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是</w:t>
            </w:r>
          </w:p>
        </w:tc>
      </w:tr>
      <w:tr w14:paraId="02F2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7" w:type="dxa"/>
            <w:vMerge w:val="continue"/>
            <w:tcBorders>
              <w:tl2br w:val="nil"/>
              <w:tr2bl w:val="nil"/>
            </w:tcBorders>
            <w:vAlign w:val="center"/>
          </w:tcPr>
          <w:p w14:paraId="7CDBF7C1">
            <w:pPr>
              <w:pStyle w:val="17"/>
              <w:bidi w:val="0"/>
              <w:rPr>
                <w:rFonts w:hint="default" w:ascii="Times New Roman" w:hAnsi="Times New Roman" w:cs="Times New Roman"/>
                <w:color w:val="auto"/>
                <w:highlight w:val="none"/>
              </w:rPr>
            </w:pPr>
          </w:p>
        </w:tc>
        <w:tc>
          <w:tcPr>
            <w:tcW w:w="2149" w:type="dxa"/>
            <w:tcBorders>
              <w:tl2br w:val="nil"/>
              <w:tr2bl w:val="nil"/>
            </w:tcBorders>
            <w:vAlign w:val="center"/>
          </w:tcPr>
          <w:p w14:paraId="2A5CEC9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地形数据分辨率/m</w:t>
            </w:r>
          </w:p>
        </w:tc>
        <w:tc>
          <w:tcPr>
            <w:tcW w:w="3173" w:type="dxa"/>
            <w:tcBorders>
              <w:tl2br w:val="nil"/>
              <w:tr2bl w:val="nil"/>
            </w:tcBorders>
            <w:vAlign w:val="center"/>
          </w:tcPr>
          <w:p w14:paraId="08E52A5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90</w:t>
            </w:r>
          </w:p>
        </w:tc>
      </w:tr>
      <w:tr w14:paraId="7FDE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7" w:type="dxa"/>
            <w:vMerge w:val="restart"/>
            <w:tcBorders>
              <w:tl2br w:val="nil"/>
              <w:tr2bl w:val="nil"/>
            </w:tcBorders>
            <w:vAlign w:val="center"/>
          </w:tcPr>
          <w:p w14:paraId="7CC476F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是否考虑岸线熏烟</w:t>
            </w:r>
          </w:p>
        </w:tc>
        <w:tc>
          <w:tcPr>
            <w:tcW w:w="2149" w:type="dxa"/>
            <w:tcBorders>
              <w:tl2br w:val="nil"/>
              <w:tr2bl w:val="nil"/>
            </w:tcBorders>
            <w:vAlign w:val="center"/>
          </w:tcPr>
          <w:p w14:paraId="507FC2D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考虑岸线熏烟</w:t>
            </w:r>
          </w:p>
        </w:tc>
        <w:tc>
          <w:tcPr>
            <w:tcW w:w="3173" w:type="dxa"/>
            <w:tcBorders>
              <w:tl2br w:val="nil"/>
              <w:tr2bl w:val="nil"/>
            </w:tcBorders>
            <w:vAlign w:val="center"/>
          </w:tcPr>
          <w:p w14:paraId="0CEE48A0">
            <w:pPr>
              <w:pStyle w:val="17"/>
              <w:bidi w:val="0"/>
              <w:rPr>
                <w:rFonts w:hint="default" w:ascii="Times New Roman" w:hAnsi="Times New Roman" w:cs="Times New Roman"/>
                <w:color w:val="auto"/>
                <w:highlight w:val="none"/>
              </w:rPr>
            </w:pPr>
            <w:r>
              <w:rPr>
                <w:rFonts w:hint="eastAsia" w:cs="Times New Roman"/>
                <w:color w:val="auto"/>
                <w:highlight w:val="none"/>
                <w:lang w:eastAsia="zh-CN"/>
              </w:rPr>
              <w:t>□</w:t>
            </w:r>
            <w:r>
              <w:rPr>
                <w:rFonts w:hint="default" w:ascii="Times New Roman" w:hAnsi="Times New Roman" w:cs="Times New Roman"/>
                <w:color w:val="auto"/>
                <w:highlight w:val="none"/>
              </w:rPr>
              <w:t>是  ☑否</w:t>
            </w:r>
          </w:p>
        </w:tc>
      </w:tr>
      <w:tr w14:paraId="7B22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7" w:type="dxa"/>
            <w:vMerge w:val="continue"/>
            <w:tcBorders>
              <w:tl2br w:val="nil"/>
              <w:tr2bl w:val="nil"/>
            </w:tcBorders>
            <w:vAlign w:val="center"/>
          </w:tcPr>
          <w:p w14:paraId="5DBD6F92">
            <w:pPr>
              <w:pStyle w:val="17"/>
              <w:bidi w:val="0"/>
              <w:rPr>
                <w:rFonts w:hint="default" w:ascii="Times New Roman" w:hAnsi="Times New Roman" w:cs="Times New Roman"/>
                <w:color w:val="auto"/>
                <w:highlight w:val="none"/>
              </w:rPr>
            </w:pPr>
          </w:p>
        </w:tc>
        <w:tc>
          <w:tcPr>
            <w:tcW w:w="2149" w:type="dxa"/>
            <w:tcBorders>
              <w:tl2br w:val="nil"/>
              <w:tr2bl w:val="nil"/>
            </w:tcBorders>
            <w:vAlign w:val="center"/>
          </w:tcPr>
          <w:p w14:paraId="17E8F77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岸线距离/km</w:t>
            </w:r>
          </w:p>
        </w:tc>
        <w:tc>
          <w:tcPr>
            <w:tcW w:w="3173" w:type="dxa"/>
            <w:tcBorders>
              <w:tl2br w:val="nil"/>
              <w:tr2bl w:val="nil"/>
            </w:tcBorders>
            <w:vAlign w:val="center"/>
          </w:tcPr>
          <w:p w14:paraId="0746BEB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0D3F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7" w:type="dxa"/>
            <w:vMerge w:val="continue"/>
            <w:tcBorders>
              <w:tl2br w:val="nil"/>
              <w:tr2bl w:val="nil"/>
            </w:tcBorders>
            <w:vAlign w:val="center"/>
          </w:tcPr>
          <w:p w14:paraId="09300A43">
            <w:pPr>
              <w:pStyle w:val="17"/>
              <w:bidi w:val="0"/>
              <w:rPr>
                <w:rFonts w:hint="default" w:ascii="Times New Roman" w:hAnsi="Times New Roman" w:cs="Times New Roman"/>
                <w:color w:val="auto"/>
                <w:highlight w:val="none"/>
              </w:rPr>
            </w:pPr>
          </w:p>
        </w:tc>
        <w:tc>
          <w:tcPr>
            <w:tcW w:w="2149" w:type="dxa"/>
            <w:tcBorders>
              <w:tl2br w:val="nil"/>
              <w:tr2bl w:val="nil"/>
            </w:tcBorders>
            <w:vAlign w:val="center"/>
          </w:tcPr>
          <w:p w14:paraId="5BA1129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岸线方向/°</w:t>
            </w:r>
          </w:p>
        </w:tc>
        <w:tc>
          <w:tcPr>
            <w:tcW w:w="3173" w:type="dxa"/>
            <w:tcBorders>
              <w:tl2br w:val="nil"/>
              <w:tr2bl w:val="nil"/>
            </w:tcBorders>
            <w:vAlign w:val="center"/>
          </w:tcPr>
          <w:p w14:paraId="325E77B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bl>
    <w:p w14:paraId="17A82AF0">
      <w:pPr>
        <w:ind w:firstLine="0" w:firstLineChars="0"/>
        <w:jc w:val="center"/>
        <w:rPr>
          <w:rFonts w:hint="default" w:ascii="Times New Roman" w:hAnsi="Times New Roman" w:cs="Times New Roman"/>
          <w:b/>
          <w:color w:val="auto"/>
          <w:kern w:val="0"/>
          <w:highlight w:val="none"/>
        </w:rPr>
        <w:sectPr>
          <w:pgSz w:w="11906" w:h="16838"/>
          <w:pgMar w:top="1440" w:right="1800" w:bottom="1440" w:left="1800" w:header="851" w:footer="992" w:gutter="0"/>
          <w:cols w:space="425" w:num="1"/>
          <w:docGrid w:type="lines" w:linePitch="312" w:charSpace="0"/>
        </w:sectPr>
      </w:pPr>
    </w:p>
    <w:p w14:paraId="442064E9">
      <w:pPr>
        <w:ind w:firstLine="0" w:firstLineChars="0"/>
        <w:jc w:val="center"/>
        <w:rPr>
          <w:rFonts w:hint="default" w:ascii="Times New Roman" w:hAnsi="Times New Roman" w:cs="Times New Roman"/>
          <w:b/>
          <w:color w:val="auto"/>
          <w:kern w:val="0"/>
          <w:highlight w:val="none"/>
        </w:rPr>
      </w:pPr>
      <w:r>
        <w:rPr>
          <w:rFonts w:hint="default" w:ascii="Times New Roman" w:hAnsi="Times New Roman" w:cs="Times New Roman"/>
          <w:b/>
          <w:color w:val="auto"/>
          <w:kern w:val="0"/>
          <w:highlight w:val="none"/>
        </w:rPr>
        <w:t>表2.6</w:t>
      </w:r>
      <w:r>
        <w:rPr>
          <w:rFonts w:hint="default" w:ascii="Times New Roman" w:hAnsi="Times New Roman" w:cs="Times New Roman"/>
          <w:b/>
          <w:color w:val="auto"/>
          <w:kern w:val="0"/>
          <w:highlight w:val="none"/>
        </w:rPr>
        <w:noBreakHyphen/>
      </w:r>
      <w:r>
        <w:rPr>
          <w:rFonts w:hint="default" w:ascii="Times New Roman" w:hAnsi="Times New Roman" w:cs="Times New Roman"/>
          <w:b/>
          <w:color w:val="auto"/>
          <w:kern w:val="0"/>
          <w:highlight w:val="none"/>
        </w:rPr>
        <w:t>3</w:t>
      </w:r>
      <w:r>
        <w:rPr>
          <w:rFonts w:hint="default" w:ascii="Times New Roman" w:hAnsi="Times New Roman" w:cs="Times New Roman"/>
          <w:color w:val="auto"/>
          <w:highlight w:val="none"/>
        </w:rPr>
        <w:t xml:space="preserve">    </w:t>
      </w:r>
      <w:r>
        <w:rPr>
          <w:rFonts w:hint="default" w:ascii="Times New Roman" w:hAnsi="Times New Roman" w:cs="Times New Roman"/>
          <w:b/>
          <w:color w:val="auto"/>
          <w:kern w:val="0"/>
          <w:highlight w:val="none"/>
        </w:rPr>
        <w:t>估算模式主要计算参数一览表</w:t>
      </w:r>
    </w:p>
    <w:tbl>
      <w:tblPr>
        <w:tblStyle w:val="1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067"/>
        <w:gridCol w:w="694"/>
        <w:gridCol w:w="904"/>
        <w:gridCol w:w="952"/>
        <w:gridCol w:w="666"/>
        <w:gridCol w:w="1176"/>
        <w:gridCol w:w="1405"/>
        <w:gridCol w:w="1006"/>
        <w:gridCol w:w="756"/>
        <w:gridCol w:w="272"/>
        <w:gridCol w:w="683"/>
        <w:gridCol w:w="858"/>
        <w:gridCol w:w="312"/>
        <w:gridCol w:w="1575"/>
        <w:gridCol w:w="1246"/>
      </w:tblGrid>
      <w:tr w14:paraId="3CBC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16"/>
            <w:tcBorders>
              <w:tl2br w:val="nil"/>
              <w:tr2bl w:val="nil"/>
            </w:tcBorders>
            <w:vAlign w:val="center"/>
          </w:tcPr>
          <w:p w14:paraId="1C95846E">
            <w:pPr>
              <w:pStyle w:val="17"/>
              <w:bidi w:val="0"/>
              <w:rPr>
                <w:b/>
                <w:bCs/>
                <w:color w:val="auto"/>
                <w:highlight w:val="none"/>
              </w:rPr>
            </w:pPr>
            <w:r>
              <w:rPr>
                <w:b/>
                <w:bCs/>
                <w:color w:val="auto"/>
                <w:highlight w:val="none"/>
              </w:rPr>
              <w:t>点源</w:t>
            </w:r>
          </w:p>
        </w:tc>
      </w:tr>
      <w:tr w14:paraId="05AB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 w:type="pct"/>
            <w:vMerge w:val="restart"/>
            <w:tcBorders>
              <w:tl2br w:val="nil"/>
              <w:tr2bl w:val="nil"/>
            </w:tcBorders>
            <w:vAlign w:val="center"/>
          </w:tcPr>
          <w:p w14:paraId="5BD387B2">
            <w:pPr>
              <w:pStyle w:val="17"/>
              <w:bidi w:val="0"/>
              <w:rPr>
                <w:b/>
                <w:bCs/>
                <w:color w:val="auto"/>
                <w:highlight w:val="none"/>
              </w:rPr>
            </w:pPr>
            <w:r>
              <w:rPr>
                <w:b/>
                <w:bCs/>
                <w:color w:val="auto"/>
                <w:highlight w:val="none"/>
              </w:rPr>
              <w:t>编号</w:t>
            </w:r>
          </w:p>
        </w:tc>
        <w:tc>
          <w:tcPr>
            <w:tcW w:w="377" w:type="pct"/>
            <w:vMerge w:val="restart"/>
            <w:tcBorders>
              <w:tl2br w:val="nil"/>
              <w:tr2bl w:val="nil"/>
            </w:tcBorders>
            <w:vAlign w:val="center"/>
          </w:tcPr>
          <w:p w14:paraId="45A2FB1E">
            <w:pPr>
              <w:pStyle w:val="17"/>
              <w:bidi w:val="0"/>
              <w:rPr>
                <w:b/>
                <w:bCs/>
                <w:color w:val="auto"/>
                <w:highlight w:val="none"/>
              </w:rPr>
            </w:pPr>
            <w:r>
              <w:rPr>
                <w:b/>
                <w:bCs/>
                <w:color w:val="auto"/>
                <w:highlight w:val="none"/>
              </w:rPr>
              <w:t>名称</w:t>
            </w:r>
          </w:p>
        </w:tc>
        <w:tc>
          <w:tcPr>
            <w:tcW w:w="564" w:type="pct"/>
            <w:gridSpan w:val="2"/>
            <w:tcBorders>
              <w:tl2br w:val="nil"/>
              <w:tr2bl w:val="nil"/>
            </w:tcBorders>
            <w:vAlign w:val="center"/>
          </w:tcPr>
          <w:p w14:paraId="4691BEF9">
            <w:pPr>
              <w:pStyle w:val="17"/>
              <w:bidi w:val="0"/>
              <w:rPr>
                <w:b/>
                <w:bCs/>
                <w:color w:val="auto"/>
                <w:highlight w:val="none"/>
              </w:rPr>
            </w:pPr>
            <w:r>
              <w:rPr>
                <w:b/>
                <w:bCs/>
                <w:color w:val="auto"/>
                <w:highlight w:val="none"/>
              </w:rPr>
              <w:t>排气筒底部中心坐标</w:t>
            </w:r>
          </w:p>
        </w:tc>
        <w:tc>
          <w:tcPr>
            <w:tcW w:w="336" w:type="pct"/>
            <w:vMerge w:val="restart"/>
            <w:tcBorders>
              <w:tl2br w:val="nil"/>
              <w:tr2bl w:val="nil"/>
            </w:tcBorders>
            <w:vAlign w:val="center"/>
          </w:tcPr>
          <w:p w14:paraId="02EFAB74">
            <w:pPr>
              <w:pStyle w:val="17"/>
              <w:bidi w:val="0"/>
              <w:rPr>
                <w:b/>
                <w:bCs/>
                <w:color w:val="auto"/>
                <w:highlight w:val="none"/>
              </w:rPr>
            </w:pPr>
            <w:r>
              <w:rPr>
                <w:b/>
                <w:bCs/>
                <w:color w:val="auto"/>
                <w:highlight w:val="none"/>
              </w:rPr>
              <w:t>排气筒底部</w:t>
            </w:r>
            <w:r>
              <w:rPr>
                <w:rFonts w:hint="eastAsia"/>
                <w:b/>
                <w:bCs/>
                <w:color w:val="auto"/>
                <w:highlight w:val="none"/>
                <w:lang w:eastAsia="zh-CN"/>
              </w:rPr>
              <w:t>海拔</w:t>
            </w:r>
            <w:r>
              <w:rPr>
                <w:b/>
                <w:bCs/>
                <w:color w:val="auto"/>
                <w:highlight w:val="none"/>
              </w:rPr>
              <w:t>/m</w:t>
            </w:r>
          </w:p>
        </w:tc>
        <w:tc>
          <w:tcPr>
            <w:tcW w:w="235" w:type="pct"/>
            <w:vMerge w:val="restart"/>
            <w:tcBorders>
              <w:tl2br w:val="nil"/>
              <w:tr2bl w:val="nil"/>
            </w:tcBorders>
            <w:vAlign w:val="center"/>
          </w:tcPr>
          <w:p w14:paraId="547C96B8">
            <w:pPr>
              <w:pStyle w:val="17"/>
              <w:bidi w:val="0"/>
              <w:rPr>
                <w:b/>
                <w:bCs/>
                <w:color w:val="auto"/>
                <w:highlight w:val="none"/>
              </w:rPr>
            </w:pPr>
            <w:r>
              <w:rPr>
                <w:b/>
                <w:bCs/>
                <w:color w:val="auto"/>
                <w:highlight w:val="none"/>
              </w:rPr>
              <w:t>排气筒高度/m</w:t>
            </w:r>
          </w:p>
        </w:tc>
        <w:tc>
          <w:tcPr>
            <w:tcW w:w="415" w:type="pct"/>
            <w:vMerge w:val="restart"/>
            <w:tcBorders>
              <w:tl2br w:val="nil"/>
              <w:tr2bl w:val="nil"/>
            </w:tcBorders>
            <w:vAlign w:val="center"/>
          </w:tcPr>
          <w:p w14:paraId="0C1FC58D">
            <w:pPr>
              <w:pStyle w:val="17"/>
              <w:bidi w:val="0"/>
              <w:rPr>
                <w:b/>
                <w:bCs/>
                <w:color w:val="auto"/>
                <w:highlight w:val="none"/>
              </w:rPr>
            </w:pPr>
            <w:r>
              <w:rPr>
                <w:b/>
                <w:bCs/>
                <w:color w:val="auto"/>
                <w:highlight w:val="none"/>
              </w:rPr>
              <w:t>排气筒出口内径/m</w:t>
            </w:r>
          </w:p>
        </w:tc>
        <w:tc>
          <w:tcPr>
            <w:tcW w:w="496" w:type="pct"/>
            <w:vMerge w:val="restart"/>
            <w:tcBorders>
              <w:tl2br w:val="nil"/>
              <w:tr2bl w:val="nil"/>
            </w:tcBorders>
            <w:vAlign w:val="center"/>
          </w:tcPr>
          <w:p w14:paraId="48674F1A">
            <w:pPr>
              <w:pStyle w:val="17"/>
              <w:bidi w:val="0"/>
              <w:rPr>
                <w:b/>
                <w:bCs/>
                <w:color w:val="auto"/>
                <w:highlight w:val="none"/>
              </w:rPr>
            </w:pPr>
            <w:r>
              <w:rPr>
                <w:b/>
                <w:bCs/>
                <w:color w:val="auto"/>
                <w:highlight w:val="none"/>
              </w:rPr>
              <w:t>烟气</w:t>
            </w:r>
            <w:r>
              <w:rPr>
                <w:rFonts w:hint="eastAsia"/>
                <w:b/>
                <w:bCs/>
                <w:color w:val="auto"/>
                <w:highlight w:val="none"/>
              </w:rPr>
              <w:t>流量</w:t>
            </w:r>
            <w:r>
              <w:rPr>
                <w:b/>
                <w:bCs/>
                <w:color w:val="auto"/>
                <w:highlight w:val="none"/>
              </w:rPr>
              <w:t>/（m</w:t>
            </w:r>
            <w:r>
              <w:rPr>
                <w:rFonts w:hint="eastAsia"/>
                <w:b/>
                <w:bCs/>
                <w:color w:val="auto"/>
                <w:highlight w:val="none"/>
                <w:vertAlign w:val="superscript"/>
              </w:rPr>
              <w:t>3</w:t>
            </w:r>
            <w:r>
              <w:rPr>
                <w:b/>
                <w:bCs/>
                <w:color w:val="auto"/>
                <w:highlight w:val="none"/>
              </w:rPr>
              <w:t>/</w:t>
            </w:r>
            <w:r>
              <w:rPr>
                <w:rFonts w:hint="eastAsia"/>
                <w:b/>
                <w:bCs/>
                <w:color w:val="auto"/>
                <w:highlight w:val="none"/>
              </w:rPr>
              <w:t>h</w:t>
            </w:r>
            <w:r>
              <w:rPr>
                <w:b/>
                <w:bCs/>
                <w:color w:val="auto"/>
                <w:highlight w:val="none"/>
              </w:rPr>
              <w:t>）</w:t>
            </w:r>
          </w:p>
        </w:tc>
        <w:tc>
          <w:tcPr>
            <w:tcW w:w="355" w:type="pct"/>
            <w:vMerge w:val="restart"/>
            <w:tcBorders>
              <w:tl2br w:val="nil"/>
              <w:tr2bl w:val="nil"/>
            </w:tcBorders>
            <w:vAlign w:val="center"/>
          </w:tcPr>
          <w:p w14:paraId="0BCB7FB2">
            <w:pPr>
              <w:pStyle w:val="17"/>
              <w:bidi w:val="0"/>
              <w:rPr>
                <w:b/>
                <w:bCs/>
                <w:color w:val="auto"/>
                <w:highlight w:val="none"/>
              </w:rPr>
            </w:pPr>
            <w:r>
              <w:rPr>
                <w:b/>
                <w:bCs/>
                <w:color w:val="auto"/>
                <w:highlight w:val="none"/>
              </w:rPr>
              <w:t>烟气温度/℃</w:t>
            </w:r>
          </w:p>
        </w:tc>
        <w:tc>
          <w:tcPr>
            <w:tcW w:w="267" w:type="pct"/>
            <w:vMerge w:val="restart"/>
            <w:tcBorders>
              <w:tl2br w:val="nil"/>
              <w:tr2bl w:val="nil"/>
            </w:tcBorders>
            <w:vAlign w:val="center"/>
          </w:tcPr>
          <w:p w14:paraId="46F1B35C">
            <w:pPr>
              <w:pStyle w:val="17"/>
              <w:bidi w:val="0"/>
              <w:rPr>
                <w:b/>
                <w:bCs/>
                <w:color w:val="auto"/>
                <w:highlight w:val="none"/>
              </w:rPr>
            </w:pPr>
            <w:r>
              <w:rPr>
                <w:b/>
                <w:bCs/>
                <w:color w:val="auto"/>
                <w:highlight w:val="none"/>
              </w:rPr>
              <w:t>年排放小时数/h</w:t>
            </w:r>
          </w:p>
        </w:tc>
        <w:tc>
          <w:tcPr>
            <w:tcW w:w="337" w:type="pct"/>
            <w:gridSpan w:val="2"/>
            <w:vMerge w:val="restart"/>
            <w:tcBorders>
              <w:tl2br w:val="nil"/>
              <w:tr2bl w:val="nil"/>
            </w:tcBorders>
            <w:vAlign w:val="center"/>
          </w:tcPr>
          <w:p w14:paraId="7B8F14DC">
            <w:pPr>
              <w:pStyle w:val="17"/>
              <w:bidi w:val="0"/>
              <w:rPr>
                <w:b/>
                <w:bCs/>
                <w:color w:val="auto"/>
                <w:highlight w:val="none"/>
              </w:rPr>
            </w:pPr>
            <w:r>
              <w:rPr>
                <w:b/>
                <w:bCs/>
                <w:color w:val="auto"/>
                <w:highlight w:val="none"/>
              </w:rPr>
              <w:t>排放工况</w:t>
            </w:r>
          </w:p>
        </w:tc>
        <w:tc>
          <w:tcPr>
            <w:tcW w:w="1405" w:type="pct"/>
            <w:gridSpan w:val="4"/>
            <w:tcBorders>
              <w:tl2br w:val="nil"/>
              <w:tr2bl w:val="nil"/>
            </w:tcBorders>
            <w:vAlign w:val="center"/>
          </w:tcPr>
          <w:p w14:paraId="57469826">
            <w:pPr>
              <w:pStyle w:val="17"/>
              <w:bidi w:val="0"/>
              <w:rPr>
                <w:b/>
                <w:bCs/>
                <w:color w:val="auto"/>
                <w:highlight w:val="none"/>
              </w:rPr>
            </w:pPr>
            <w:r>
              <w:rPr>
                <w:b/>
                <w:bCs/>
                <w:color w:val="auto"/>
                <w:highlight w:val="none"/>
              </w:rPr>
              <w:t>污染物排放速率/</w:t>
            </w:r>
          </w:p>
          <w:p w14:paraId="2E4FBC01">
            <w:pPr>
              <w:pStyle w:val="17"/>
              <w:bidi w:val="0"/>
              <w:rPr>
                <w:b/>
                <w:bCs/>
                <w:color w:val="auto"/>
                <w:highlight w:val="none"/>
              </w:rPr>
            </w:pPr>
            <w:r>
              <w:rPr>
                <w:b/>
                <w:bCs/>
                <w:color w:val="auto"/>
                <w:highlight w:val="none"/>
              </w:rPr>
              <w:t>（kg/h）</w:t>
            </w:r>
          </w:p>
        </w:tc>
      </w:tr>
      <w:tr w14:paraId="5C7C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 w:type="pct"/>
            <w:vMerge w:val="continue"/>
            <w:tcBorders>
              <w:tl2br w:val="nil"/>
              <w:tr2bl w:val="nil"/>
            </w:tcBorders>
            <w:vAlign w:val="center"/>
          </w:tcPr>
          <w:p w14:paraId="451C42EC">
            <w:pPr>
              <w:pStyle w:val="17"/>
              <w:bidi w:val="0"/>
              <w:rPr>
                <w:b/>
                <w:bCs/>
                <w:color w:val="auto"/>
                <w:highlight w:val="none"/>
              </w:rPr>
            </w:pPr>
          </w:p>
        </w:tc>
        <w:tc>
          <w:tcPr>
            <w:tcW w:w="377" w:type="pct"/>
            <w:vMerge w:val="continue"/>
            <w:tcBorders>
              <w:tl2br w:val="nil"/>
              <w:tr2bl w:val="nil"/>
            </w:tcBorders>
            <w:vAlign w:val="center"/>
          </w:tcPr>
          <w:p w14:paraId="703B4926">
            <w:pPr>
              <w:pStyle w:val="17"/>
              <w:bidi w:val="0"/>
              <w:rPr>
                <w:b/>
                <w:bCs/>
                <w:color w:val="auto"/>
                <w:highlight w:val="none"/>
              </w:rPr>
            </w:pPr>
          </w:p>
        </w:tc>
        <w:tc>
          <w:tcPr>
            <w:tcW w:w="245" w:type="pct"/>
            <w:tcBorders>
              <w:tl2br w:val="nil"/>
              <w:tr2bl w:val="nil"/>
            </w:tcBorders>
            <w:vAlign w:val="center"/>
          </w:tcPr>
          <w:p w14:paraId="752860F9">
            <w:pPr>
              <w:pStyle w:val="17"/>
              <w:bidi w:val="0"/>
              <w:rPr>
                <w:b/>
                <w:bCs/>
                <w:color w:val="auto"/>
                <w:highlight w:val="none"/>
              </w:rPr>
            </w:pPr>
            <w:r>
              <w:rPr>
                <w:b/>
                <w:bCs/>
                <w:color w:val="auto"/>
                <w:highlight w:val="none"/>
              </w:rPr>
              <w:t>X</w:t>
            </w:r>
          </w:p>
        </w:tc>
        <w:tc>
          <w:tcPr>
            <w:tcW w:w="319" w:type="pct"/>
            <w:tcBorders>
              <w:tl2br w:val="nil"/>
              <w:tr2bl w:val="nil"/>
            </w:tcBorders>
            <w:vAlign w:val="center"/>
          </w:tcPr>
          <w:p w14:paraId="1E133FB3">
            <w:pPr>
              <w:pStyle w:val="17"/>
              <w:bidi w:val="0"/>
              <w:rPr>
                <w:b/>
                <w:bCs/>
                <w:color w:val="auto"/>
                <w:highlight w:val="none"/>
              </w:rPr>
            </w:pPr>
            <w:r>
              <w:rPr>
                <w:b/>
                <w:bCs/>
                <w:color w:val="auto"/>
                <w:highlight w:val="none"/>
              </w:rPr>
              <w:t>Y</w:t>
            </w:r>
          </w:p>
        </w:tc>
        <w:tc>
          <w:tcPr>
            <w:tcW w:w="336" w:type="pct"/>
            <w:vMerge w:val="continue"/>
            <w:tcBorders>
              <w:tl2br w:val="nil"/>
              <w:tr2bl w:val="nil"/>
            </w:tcBorders>
            <w:vAlign w:val="center"/>
          </w:tcPr>
          <w:p w14:paraId="1801207A">
            <w:pPr>
              <w:pStyle w:val="17"/>
              <w:bidi w:val="0"/>
              <w:rPr>
                <w:b/>
                <w:bCs/>
                <w:color w:val="auto"/>
                <w:highlight w:val="none"/>
              </w:rPr>
            </w:pPr>
          </w:p>
        </w:tc>
        <w:tc>
          <w:tcPr>
            <w:tcW w:w="235" w:type="pct"/>
            <w:vMerge w:val="continue"/>
            <w:tcBorders>
              <w:tl2br w:val="nil"/>
              <w:tr2bl w:val="nil"/>
            </w:tcBorders>
            <w:vAlign w:val="center"/>
          </w:tcPr>
          <w:p w14:paraId="53A24244">
            <w:pPr>
              <w:pStyle w:val="17"/>
              <w:bidi w:val="0"/>
              <w:rPr>
                <w:b/>
                <w:bCs/>
                <w:color w:val="auto"/>
                <w:highlight w:val="none"/>
              </w:rPr>
            </w:pPr>
          </w:p>
        </w:tc>
        <w:tc>
          <w:tcPr>
            <w:tcW w:w="415" w:type="pct"/>
            <w:vMerge w:val="continue"/>
            <w:tcBorders>
              <w:tl2br w:val="nil"/>
              <w:tr2bl w:val="nil"/>
            </w:tcBorders>
            <w:vAlign w:val="center"/>
          </w:tcPr>
          <w:p w14:paraId="0F335749">
            <w:pPr>
              <w:pStyle w:val="17"/>
              <w:bidi w:val="0"/>
              <w:rPr>
                <w:b/>
                <w:bCs/>
                <w:color w:val="auto"/>
                <w:highlight w:val="none"/>
              </w:rPr>
            </w:pPr>
          </w:p>
        </w:tc>
        <w:tc>
          <w:tcPr>
            <w:tcW w:w="496" w:type="pct"/>
            <w:vMerge w:val="continue"/>
            <w:tcBorders>
              <w:tl2br w:val="nil"/>
              <w:tr2bl w:val="nil"/>
            </w:tcBorders>
            <w:vAlign w:val="center"/>
          </w:tcPr>
          <w:p w14:paraId="182CC9E4">
            <w:pPr>
              <w:pStyle w:val="17"/>
              <w:bidi w:val="0"/>
              <w:rPr>
                <w:b/>
                <w:bCs/>
                <w:color w:val="auto"/>
                <w:highlight w:val="none"/>
              </w:rPr>
            </w:pPr>
          </w:p>
        </w:tc>
        <w:tc>
          <w:tcPr>
            <w:tcW w:w="355" w:type="pct"/>
            <w:vMerge w:val="continue"/>
            <w:tcBorders>
              <w:tl2br w:val="nil"/>
              <w:tr2bl w:val="nil"/>
            </w:tcBorders>
            <w:vAlign w:val="center"/>
          </w:tcPr>
          <w:p w14:paraId="061B20DB">
            <w:pPr>
              <w:pStyle w:val="17"/>
              <w:bidi w:val="0"/>
              <w:rPr>
                <w:b/>
                <w:bCs/>
                <w:color w:val="auto"/>
                <w:highlight w:val="none"/>
              </w:rPr>
            </w:pPr>
          </w:p>
        </w:tc>
        <w:tc>
          <w:tcPr>
            <w:tcW w:w="267" w:type="pct"/>
            <w:vMerge w:val="continue"/>
            <w:tcBorders>
              <w:tl2br w:val="nil"/>
              <w:tr2bl w:val="nil"/>
            </w:tcBorders>
            <w:vAlign w:val="center"/>
          </w:tcPr>
          <w:p w14:paraId="48DCC225">
            <w:pPr>
              <w:pStyle w:val="17"/>
              <w:bidi w:val="0"/>
              <w:rPr>
                <w:b/>
                <w:bCs/>
                <w:color w:val="auto"/>
                <w:highlight w:val="none"/>
              </w:rPr>
            </w:pPr>
          </w:p>
        </w:tc>
        <w:tc>
          <w:tcPr>
            <w:tcW w:w="337" w:type="pct"/>
            <w:gridSpan w:val="2"/>
            <w:vMerge w:val="continue"/>
            <w:tcBorders>
              <w:tl2br w:val="nil"/>
              <w:tr2bl w:val="nil"/>
            </w:tcBorders>
            <w:vAlign w:val="center"/>
          </w:tcPr>
          <w:p w14:paraId="019F0951">
            <w:pPr>
              <w:pStyle w:val="17"/>
              <w:bidi w:val="0"/>
              <w:rPr>
                <w:b/>
                <w:bCs/>
                <w:color w:val="auto"/>
                <w:highlight w:val="none"/>
              </w:rPr>
            </w:pPr>
          </w:p>
        </w:tc>
        <w:tc>
          <w:tcPr>
            <w:tcW w:w="413" w:type="pct"/>
            <w:gridSpan w:val="2"/>
            <w:tcBorders>
              <w:tl2br w:val="nil"/>
              <w:tr2bl w:val="nil"/>
            </w:tcBorders>
            <w:vAlign w:val="center"/>
          </w:tcPr>
          <w:p w14:paraId="71E42F71">
            <w:pPr>
              <w:pStyle w:val="17"/>
              <w:bidi w:val="0"/>
              <w:rPr>
                <w:rFonts w:hint="eastAsia"/>
                <w:b/>
                <w:bCs/>
                <w:color w:val="auto"/>
                <w:highlight w:val="none"/>
                <w:lang w:eastAsia="zh-CN"/>
              </w:rPr>
            </w:pPr>
            <w:r>
              <w:rPr>
                <w:b/>
                <w:bCs/>
                <w:color w:val="auto"/>
                <w:highlight w:val="none"/>
              </w:rPr>
              <w:t>PM</w:t>
            </w:r>
            <w:r>
              <w:rPr>
                <w:b/>
                <w:bCs/>
                <w:color w:val="auto"/>
                <w:highlight w:val="none"/>
                <w:vertAlign w:val="subscript"/>
              </w:rPr>
              <w:t>10</w:t>
            </w:r>
          </w:p>
        </w:tc>
        <w:tc>
          <w:tcPr>
            <w:tcW w:w="552" w:type="pct"/>
            <w:tcBorders>
              <w:tl2br w:val="nil"/>
              <w:tr2bl w:val="nil"/>
            </w:tcBorders>
            <w:vAlign w:val="center"/>
          </w:tcPr>
          <w:p w14:paraId="668EE4D0">
            <w:pPr>
              <w:pStyle w:val="17"/>
              <w:bidi w:val="0"/>
              <w:rPr>
                <w:b/>
                <w:bCs/>
                <w:color w:val="auto"/>
                <w:highlight w:val="none"/>
              </w:rPr>
            </w:pPr>
            <w:r>
              <w:rPr>
                <w:rFonts w:hint="eastAsia"/>
                <w:b/>
                <w:bCs/>
                <w:color w:val="auto"/>
                <w:highlight w:val="none"/>
                <w:lang w:eastAsia="zh-CN"/>
              </w:rPr>
              <w:t>氟化物</w:t>
            </w:r>
          </w:p>
        </w:tc>
        <w:tc>
          <w:tcPr>
            <w:tcW w:w="439" w:type="pct"/>
            <w:tcBorders>
              <w:tl2br w:val="nil"/>
              <w:tr2bl w:val="nil"/>
            </w:tcBorders>
            <w:vAlign w:val="center"/>
          </w:tcPr>
          <w:p w14:paraId="5737E8DD">
            <w:pPr>
              <w:pStyle w:val="17"/>
              <w:bidi w:val="0"/>
              <w:rPr>
                <w:rFonts w:hint="default"/>
                <w:b/>
                <w:bCs/>
                <w:color w:val="auto"/>
                <w:highlight w:val="none"/>
                <w:lang w:val="en-US" w:eastAsia="zh-CN"/>
              </w:rPr>
            </w:pPr>
            <w:r>
              <w:rPr>
                <w:rFonts w:hint="eastAsia"/>
                <w:b/>
                <w:bCs/>
                <w:color w:val="auto"/>
                <w:highlight w:val="none"/>
                <w:lang w:val="en-US" w:eastAsia="zh-CN"/>
              </w:rPr>
              <w:t>硫酸雾</w:t>
            </w:r>
          </w:p>
        </w:tc>
      </w:tr>
      <w:tr w14:paraId="1570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 w:type="pct"/>
            <w:tcBorders>
              <w:tl2br w:val="nil"/>
              <w:tr2bl w:val="nil"/>
            </w:tcBorders>
            <w:vAlign w:val="center"/>
          </w:tcPr>
          <w:p w14:paraId="3B607058">
            <w:pPr>
              <w:pStyle w:val="17"/>
              <w:bidi w:val="0"/>
              <w:rPr>
                <w:color w:val="auto"/>
                <w:highlight w:val="none"/>
              </w:rPr>
            </w:pPr>
            <w:r>
              <w:rPr>
                <w:color w:val="auto"/>
                <w:highlight w:val="none"/>
              </w:rPr>
              <w:t>P1</w:t>
            </w:r>
          </w:p>
        </w:tc>
        <w:tc>
          <w:tcPr>
            <w:tcW w:w="377" w:type="pct"/>
            <w:tcBorders>
              <w:tl2br w:val="nil"/>
              <w:tr2bl w:val="nil"/>
            </w:tcBorders>
            <w:vAlign w:val="center"/>
          </w:tcPr>
          <w:p w14:paraId="771E7856">
            <w:pPr>
              <w:pStyle w:val="17"/>
              <w:bidi w:val="0"/>
              <w:rPr>
                <w:color w:val="auto"/>
                <w:highlight w:val="none"/>
                <w:lang w:val="zh-CN"/>
              </w:rPr>
            </w:pPr>
            <w:r>
              <w:rPr>
                <w:rFonts w:hint="eastAsia"/>
                <w:color w:val="auto"/>
                <w:highlight w:val="none"/>
                <w:lang w:val="en-US" w:eastAsia="zh-CN"/>
              </w:rPr>
              <w:t>粗矿仓</w:t>
            </w:r>
            <w:r>
              <w:rPr>
                <w:rFonts w:hint="eastAsia"/>
                <w:color w:val="auto"/>
                <w:highlight w:val="none"/>
              </w:rPr>
              <w:t>排气筒</w:t>
            </w:r>
          </w:p>
        </w:tc>
        <w:tc>
          <w:tcPr>
            <w:tcW w:w="245" w:type="pct"/>
            <w:tcBorders>
              <w:tl2br w:val="nil"/>
              <w:tr2bl w:val="nil"/>
            </w:tcBorders>
            <w:shd w:val="clear" w:color="auto" w:fill="auto"/>
            <w:vAlign w:val="center"/>
          </w:tcPr>
          <w:p w14:paraId="548AE850">
            <w:pPr>
              <w:pStyle w:val="17"/>
              <w:bidi w:val="0"/>
              <w:rPr>
                <w:rFonts w:hint="default"/>
                <w:color w:val="auto"/>
                <w:highlight w:val="none"/>
                <w:lang w:val="en-US" w:eastAsia="zh-CN"/>
              </w:rPr>
            </w:pPr>
            <w:r>
              <w:rPr>
                <w:rFonts w:hint="eastAsia"/>
                <w:color w:val="auto"/>
                <w:highlight w:val="none"/>
                <w:lang w:val="en-US" w:eastAsia="zh-CN"/>
              </w:rPr>
              <w:t>3261</w:t>
            </w:r>
          </w:p>
        </w:tc>
        <w:tc>
          <w:tcPr>
            <w:tcW w:w="319" w:type="pct"/>
            <w:tcBorders>
              <w:tl2br w:val="nil"/>
              <w:tr2bl w:val="nil"/>
            </w:tcBorders>
            <w:shd w:val="clear" w:color="auto" w:fill="auto"/>
            <w:vAlign w:val="center"/>
          </w:tcPr>
          <w:p w14:paraId="5AA5055D">
            <w:pPr>
              <w:pStyle w:val="17"/>
              <w:bidi w:val="0"/>
              <w:rPr>
                <w:rFonts w:hint="default"/>
                <w:color w:val="auto"/>
                <w:highlight w:val="none"/>
                <w:lang w:val="en-US" w:eastAsia="zh-CN"/>
              </w:rPr>
            </w:pPr>
            <w:r>
              <w:rPr>
                <w:rFonts w:hint="eastAsia"/>
                <w:color w:val="auto"/>
                <w:highlight w:val="none"/>
                <w:lang w:val="en-US" w:eastAsia="zh-CN"/>
              </w:rPr>
              <w:t>-800</w:t>
            </w:r>
          </w:p>
        </w:tc>
        <w:tc>
          <w:tcPr>
            <w:tcW w:w="336" w:type="pct"/>
            <w:tcBorders>
              <w:tl2br w:val="nil"/>
              <w:tr2bl w:val="nil"/>
            </w:tcBorders>
            <w:shd w:val="clear" w:color="auto" w:fill="auto"/>
            <w:vAlign w:val="center"/>
          </w:tcPr>
          <w:p w14:paraId="798DE029">
            <w:pPr>
              <w:pStyle w:val="17"/>
              <w:bidi w:val="0"/>
              <w:rPr>
                <w:rFonts w:hint="default"/>
                <w:color w:val="auto"/>
                <w:highlight w:val="none"/>
                <w:lang w:val="en-US" w:eastAsia="zh-CN"/>
              </w:rPr>
            </w:pPr>
            <w:r>
              <w:rPr>
                <w:rFonts w:hint="eastAsia"/>
                <w:color w:val="auto"/>
                <w:highlight w:val="none"/>
                <w:lang w:val="en-US" w:eastAsia="zh-CN"/>
              </w:rPr>
              <w:t>3035</w:t>
            </w:r>
          </w:p>
        </w:tc>
        <w:tc>
          <w:tcPr>
            <w:tcW w:w="235" w:type="pct"/>
            <w:tcBorders>
              <w:tl2br w:val="nil"/>
              <w:tr2bl w:val="nil"/>
            </w:tcBorders>
            <w:vAlign w:val="center"/>
          </w:tcPr>
          <w:p w14:paraId="63FA9303">
            <w:pPr>
              <w:pStyle w:val="17"/>
              <w:bidi w:val="0"/>
              <w:rPr>
                <w:color w:val="auto"/>
                <w:highlight w:val="none"/>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72D1BB5C">
            <w:pPr>
              <w:pStyle w:val="17"/>
              <w:bidi w:val="0"/>
              <w:rPr>
                <w:rFonts w:hint="default"/>
                <w:color w:val="auto"/>
                <w:highlight w:val="none"/>
                <w:lang w:val="en-US" w:eastAsia="zh-CN"/>
              </w:rPr>
            </w:pPr>
            <w:r>
              <w:rPr>
                <w:rFonts w:hint="eastAsia"/>
                <w:color w:val="auto"/>
                <w:highlight w:val="none"/>
                <w:lang w:val="en-US" w:eastAsia="zh-CN"/>
              </w:rPr>
              <w:t>0.35</w:t>
            </w:r>
          </w:p>
        </w:tc>
        <w:tc>
          <w:tcPr>
            <w:tcW w:w="496" w:type="pct"/>
            <w:tcBorders>
              <w:tl2br w:val="nil"/>
              <w:tr2bl w:val="nil"/>
            </w:tcBorders>
            <w:vAlign w:val="center"/>
          </w:tcPr>
          <w:p w14:paraId="7114C9B9">
            <w:pPr>
              <w:pStyle w:val="17"/>
              <w:bidi w:val="0"/>
              <w:rPr>
                <w:rFonts w:hint="default"/>
                <w:color w:val="auto"/>
                <w:highlight w:val="none"/>
                <w:lang w:val="en-US" w:eastAsia="zh-CN"/>
              </w:rPr>
            </w:pPr>
            <w:r>
              <w:rPr>
                <w:rFonts w:hint="eastAsia"/>
                <w:color w:val="auto"/>
                <w:highlight w:val="none"/>
                <w:lang w:val="en-US" w:eastAsia="zh-CN"/>
              </w:rPr>
              <w:t>6000</w:t>
            </w:r>
          </w:p>
        </w:tc>
        <w:tc>
          <w:tcPr>
            <w:tcW w:w="355" w:type="pct"/>
            <w:tcBorders>
              <w:tl2br w:val="nil"/>
              <w:tr2bl w:val="nil"/>
            </w:tcBorders>
            <w:vAlign w:val="center"/>
          </w:tcPr>
          <w:p w14:paraId="758A76B4">
            <w:pPr>
              <w:pStyle w:val="17"/>
              <w:bidi w:val="0"/>
              <w:rPr>
                <w:color w:val="auto"/>
                <w:highlight w:val="none"/>
              </w:rPr>
            </w:pPr>
            <w:r>
              <w:rPr>
                <w:rFonts w:hint="eastAsia"/>
                <w:color w:val="auto"/>
                <w:highlight w:val="none"/>
              </w:rPr>
              <w:t>20</w:t>
            </w:r>
          </w:p>
        </w:tc>
        <w:tc>
          <w:tcPr>
            <w:tcW w:w="267" w:type="pct"/>
            <w:tcBorders>
              <w:tl2br w:val="nil"/>
              <w:tr2bl w:val="nil"/>
            </w:tcBorders>
            <w:vAlign w:val="center"/>
          </w:tcPr>
          <w:p w14:paraId="4B7FE876">
            <w:pPr>
              <w:pStyle w:val="17"/>
              <w:bidi w:val="0"/>
              <w:rPr>
                <w:rFonts w:hint="default"/>
                <w:color w:val="auto"/>
                <w:highlight w:val="none"/>
                <w:lang w:val="en-US" w:eastAsia="zh-CN"/>
              </w:rPr>
            </w:pPr>
            <w:r>
              <w:rPr>
                <w:rFonts w:hint="eastAsia"/>
                <w:color w:val="auto"/>
                <w:highlight w:val="none"/>
                <w:lang w:val="en-US" w:eastAsia="zh-CN"/>
              </w:rPr>
              <w:t>4500</w:t>
            </w:r>
          </w:p>
        </w:tc>
        <w:tc>
          <w:tcPr>
            <w:tcW w:w="337" w:type="pct"/>
            <w:gridSpan w:val="2"/>
            <w:tcBorders>
              <w:tl2br w:val="nil"/>
              <w:tr2bl w:val="nil"/>
            </w:tcBorders>
            <w:vAlign w:val="center"/>
          </w:tcPr>
          <w:p w14:paraId="395D97D2">
            <w:pPr>
              <w:pStyle w:val="17"/>
              <w:bidi w:val="0"/>
              <w:rPr>
                <w:color w:val="auto"/>
                <w:highlight w:val="none"/>
                <w:lang w:val="zh-CN"/>
              </w:rPr>
            </w:pPr>
            <w:r>
              <w:rPr>
                <w:color w:val="auto"/>
                <w:highlight w:val="none"/>
              </w:rPr>
              <w:t>正常</w:t>
            </w:r>
          </w:p>
        </w:tc>
        <w:tc>
          <w:tcPr>
            <w:tcW w:w="413" w:type="pct"/>
            <w:gridSpan w:val="2"/>
            <w:tcBorders>
              <w:tl2br w:val="nil"/>
              <w:tr2bl w:val="nil"/>
            </w:tcBorders>
            <w:vAlign w:val="center"/>
          </w:tcPr>
          <w:p w14:paraId="1A7F9CD4">
            <w:pPr>
              <w:pStyle w:val="17"/>
              <w:bidi w:val="0"/>
              <w:ind w:firstLine="0" w:firstLineChars="0"/>
              <w:rPr>
                <w:rFonts w:hint="default"/>
                <w:color w:val="auto"/>
                <w:highlight w:val="none"/>
                <w:lang w:val="en-US" w:eastAsia="zh-CN"/>
              </w:rPr>
            </w:pPr>
            <w:r>
              <w:rPr>
                <w:rFonts w:hint="eastAsia"/>
                <w:color w:val="auto"/>
                <w:highlight w:val="none"/>
                <w:lang w:val="en-US" w:eastAsia="zh-CN"/>
              </w:rPr>
              <w:t>0.0075</w:t>
            </w:r>
          </w:p>
        </w:tc>
        <w:tc>
          <w:tcPr>
            <w:tcW w:w="552" w:type="pct"/>
            <w:tcBorders>
              <w:tl2br w:val="nil"/>
              <w:tr2bl w:val="nil"/>
            </w:tcBorders>
            <w:vAlign w:val="center"/>
          </w:tcPr>
          <w:p w14:paraId="3C9244A5">
            <w:pPr>
              <w:pStyle w:val="17"/>
              <w:bidi w:val="0"/>
              <w:ind w:firstLine="0" w:firstLineChars="0"/>
              <w:rPr>
                <w:rFonts w:hint="default"/>
                <w:color w:val="auto"/>
                <w:highlight w:val="none"/>
                <w:lang w:val="en-US" w:eastAsia="zh-CN"/>
              </w:rPr>
            </w:pPr>
            <w:r>
              <w:rPr>
                <w:rFonts w:hint="eastAsia"/>
                <w:color w:val="auto"/>
                <w:highlight w:val="none"/>
                <w:lang w:val="en-US" w:eastAsia="zh-CN"/>
              </w:rPr>
              <w:t>0.0012</w:t>
            </w:r>
          </w:p>
        </w:tc>
        <w:tc>
          <w:tcPr>
            <w:tcW w:w="439" w:type="pct"/>
            <w:tcBorders>
              <w:tl2br w:val="nil"/>
              <w:tr2bl w:val="nil"/>
            </w:tcBorders>
            <w:vAlign w:val="center"/>
          </w:tcPr>
          <w:p w14:paraId="42B867D2">
            <w:pPr>
              <w:pStyle w:val="17"/>
              <w:bidi w:val="0"/>
              <w:rPr>
                <w:rFonts w:hint="default"/>
                <w:color w:val="auto"/>
                <w:highlight w:val="none"/>
                <w:lang w:val="en-US" w:eastAsia="zh-CN"/>
              </w:rPr>
            </w:pPr>
            <w:r>
              <w:rPr>
                <w:rFonts w:hint="eastAsia"/>
                <w:color w:val="auto"/>
                <w:highlight w:val="none"/>
                <w:lang w:val="en-US" w:eastAsia="zh-CN"/>
              </w:rPr>
              <w:t>/</w:t>
            </w:r>
          </w:p>
        </w:tc>
      </w:tr>
      <w:tr w14:paraId="7297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 w:type="pct"/>
            <w:tcBorders>
              <w:tl2br w:val="nil"/>
              <w:tr2bl w:val="nil"/>
            </w:tcBorders>
            <w:vAlign w:val="center"/>
          </w:tcPr>
          <w:p w14:paraId="1297D114">
            <w:pPr>
              <w:pStyle w:val="17"/>
              <w:bidi w:val="0"/>
              <w:rPr>
                <w:color w:val="auto"/>
                <w:highlight w:val="none"/>
                <w:lang w:val="zh-CN"/>
              </w:rPr>
            </w:pPr>
            <w:r>
              <w:rPr>
                <w:color w:val="auto"/>
                <w:highlight w:val="none"/>
              </w:rPr>
              <w:t>P2</w:t>
            </w:r>
          </w:p>
        </w:tc>
        <w:tc>
          <w:tcPr>
            <w:tcW w:w="377" w:type="pct"/>
            <w:tcBorders>
              <w:tl2br w:val="nil"/>
              <w:tr2bl w:val="nil"/>
            </w:tcBorders>
            <w:vAlign w:val="center"/>
          </w:tcPr>
          <w:p w14:paraId="173DF6DB">
            <w:pPr>
              <w:pStyle w:val="17"/>
              <w:bidi w:val="0"/>
              <w:rPr>
                <w:color w:val="auto"/>
                <w:highlight w:val="none"/>
                <w:lang w:val="zh-CN"/>
              </w:rPr>
            </w:pPr>
            <w:r>
              <w:rPr>
                <w:rFonts w:hint="default"/>
                <w:color w:val="auto"/>
                <w:highlight w:val="none"/>
                <w:lang w:eastAsia="zh-CN"/>
              </w:rPr>
              <w:t>中</w:t>
            </w:r>
            <w:r>
              <w:rPr>
                <w:rFonts w:hint="eastAsia"/>
                <w:color w:val="auto"/>
                <w:highlight w:val="none"/>
                <w:lang w:val="en-US" w:eastAsia="zh-CN"/>
              </w:rPr>
              <w:t>细</w:t>
            </w:r>
            <w:r>
              <w:rPr>
                <w:rFonts w:hint="default"/>
                <w:color w:val="auto"/>
                <w:highlight w:val="none"/>
                <w:lang w:eastAsia="zh-CN"/>
              </w:rPr>
              <w:t>碎</w:t>
            </w:r>
            <w:r>
              <w:rPr>
                <w:rFonts w:hint="eastAsia"/>
                <w:color w:val="auto"/>
                <w:highlight w:val="none"/>
                <w:lang w:val="en-US" w:eastAsia="zh-CN"/>
              </w:rPr>
              <w:t>厂房</w:t>
            </w:r>
            <w:r>
              <w:rPr>
                <w:rFonts w:hint="eastAsia"/>
                <w:color w:val="auto"/>
                <w:highlight w:val="none"/>
              </w:rPr>
              <w:t>排气筒</w:t>
            </w:r>
          </w:p>
        </w:tc>
        <w:tc>
          <w:tcPr>
            <w:tcW w:w="245" w:type="pct"/>
            <w:tcBorders>
              <w:tl2br w:val="nil"/>
              <w:tr2bl w:val="nil"/>
            </w:tcBorders>
            <w:shd w:val="clear" w:color="auto" w:fill="auto"/>
            <w:vAlign w:val="center"/>
          </w:tcPr>
          <w:p w14:paraId="2B1C4FC2">
            <w:pPr>
              <w:pStyle w:val="17"/>
              <w:bidi w:val="0"/>
              <w:rPr>
                <w:rFonts w:hint="default"/>
                <w:color w:val="auto"/>
                <w:highlight w:val="none"/>
                <w:lang w:val="en-US" w:eastAsia="zh-CN"/>
              </w:rPr>
            </w:pPr>
            <w:r>
              <w:rPr>
                <w:rFonts w:hint="eastAsia"/>
                <w:color w:val="auto"/>
                <w:highlight w:val="none"/>
                <w:lang w:val="en-US" w:eastAsia="zh-CN"/>
              </w:rPr>
              <w:t>3109</w:t>
            </w:r>
          </w:p>
        </w:tc>
        <w:tc>
          <w:tcPr>
            <w:tcW w:w="319" w:type="pct"/>
            <w:tcBorders>
              <w:tl2br w:val="nil"/>
              <w:tr2bl w:val="nil"/>
            </w:tcBorders>
            <w:shd w:val="clear" w:color="auto" w:fill="auto"/>
            <w:vAlign w:val="center"/>
          </w:tcPr>
          <w:p w14:paraId="13FBA33B">
            <w:pPr>
              <w:pStyle w:val="17"/>
              <w:bidi w:val="0"/>
              <w:rPr>
                <w:rFonts w:hint="default"/>
                <w:color w:val="auto"/>
                <w:highlight w:val="none"/>
                <w:lang w:val="en-US" w:eastAsia="zh-CN"/>
              </w:rPr>
            </w:pPr>
            <w:r>
              <w:rPr>
                <w:rFonts w:hint="eastAsia"/>
                <w:color w:val="auto"/>
                <w:highlight w:val="none"/>
                <w:lang w:val="en-US" w:eastAsia="zh-CN"/>
              </w:rPr>
              <w:t>-899</w:t>
            </w:r>
          </w:p>
        </w:tc>
        <w:tc>
          <w:tcPr>
            <w:tcW w:w="336" w:type="pct"/>
            <w:tcBorders>
              <w:tl2br w:val="nil"/>
              <w:tr2bl w:val="nil"/>
            </w:tcBorders>
            <w:shd w:val="clear" w:color="auto" w:fill="auto"/>
            <w:vAlign w:val="center"/>
          </w:tcPr>
          <w:p w14:paraId="14022095">
            <w:pPr>
              <w:pStyle w:val="17"/>
              <w:bidi w:val="0"/>
              <w:rPr>
                <w:rFonts w:hint="default"/>
                <w:color w:val="auto"/>
                <w:highlight w:val="none"/>
                <w:lang w:val="en-US" w:eastAsia="zh-CN"/>
              </w:rPr>
            </w:pPr>
            <w:r>
              <w:rPr>
                <w:rFonts w:hint="eastAsia"/>
                <w:color w:val="auto"/>
                <w:highlight w:val="none"/>
                <w:lang w:val="en-US" w:eastAsia="zh-CN"/>
              </w:rPr>
              <w:t>3030</w:t>
            </w:r>
          </w:p>
        </w:tc>
        <w:tc>
          <w:tcPr>
            <w:tcW w:w="235" w:type="pct"/>
            <w:tcBorders>
              <w:tl2br w:val="nil"/>
              <w:tr2bl w:val="nil"/>
            </w:tcBorders>
            <w:vAlign w:val="center"/>
          </w:tcPr>
          <w:p w14:paraId="47D856B5">
            <w:pPr>
              <w:pStyle w:val="17"/>
              <w:bidi w:val="0"/>
              <w:rPr>
                <w:rFonts w:hint="default"/>
                <w:color w:val="auto"/>
                <w:highlight w:val="none"/>
                <w:lang w:val="en-US"/>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595A84B4">
            <w:pPr>
              <w:pStyle w:val="17"/>
              <w:bidi w:val="0"/>
              <w:rPr>
                <w:color w:val="auto"/>
                <w:highlight w:val="none"/>
              </w:rPr>
            </w:pPr>
            <w:r>
              <w:rPr>
                <w:rFonts w:hint="eastAsia"/>
                <w:color w:val="auto"/>
                <w:highlight w:val="none"/>
                <w:lang w:val="en-US" w:eastAsia="zh-CN"/>
              </w:rPr>
              <w:t>0.8</w:t>
            </w:r>
          </w:p>
        </w:tc>
        <w:tc>
          <w:tcPr>
            <w:tcW w:w="496" w:type="pct"/>
            <w:tcBorders>
              <w:tl2br w:val="nil"/>
              <w:tr2bl w:val="nil"/>
            </w:tcBorders>
            <w:vAlign w:val="center"/>
          </w:tcPr>
          <w:p w14:paraId="5A877EBD">
            <w:pPr>
              <w:pStyle w:val="17"/>
              <w:bidi w:val="0"/>
              <w:rPr>
                <w:rFonts w:hint="default"/>
                <w:color w:val="auto"/>
                <w:highlight w:val="none"/>
                <w:lang w:val="en-US" w:eastAsia="zh-CN"/>
              </w:rPr>
            </w:pPr>
            <w:r>
              <w:rPr>
                <w:rFonts w:hint="eastAsia"/>
                <w:color w:val="auto"/>
                <w:highlight w:val="none"/>
                <w:lang w:val="en-US" w:eastAsia="zh-CN"/>
              </w:rPr>
              <w:t>45000</w:t>
            </w:r>
          </w:p>
        </w:tc>
        <w:tc>
          <w:tcPr>
            <w:tcW w:w="355" w:type="pct"/>
            <w:tcBorders>
              <w:tl2br w:val="nil"/>
              <w:tr2bl w:val="nil"/>
            </w:tcBorders>
            <w:vAlign w:val="center"/>
          </w:tcPr>
          <w:p w14:paraId="6A8617CB">
            <w:pPr>
              <w:pStyle w:val="17"/>
              <w:bidi w:val="0"/>
              <w:rPr>
                <w:color w:val="auto"/>
                <w:highlight w:val="none"/>
              </w:rPr>
            </w:pPr>
            <w:r>
              <w:rPr>
                <w:rFonts w:hint="eastAsia"/>
                <w:color w:val="auto"/>
                <w:highlight w:val="none"/>
              </w:rPr>
              <w:t>20</w:t>
            </w:r>
          </w:p>
        </w:tc>
        <w:tc>
          <w:tcPr>
            <w:tcW w:w="267" w:type="pct"/>
            <w:tcBorders>
              <w:tl2br w:val="nil"/>
              <w:tr2bl w:val="nil"/>
            </w:tcBorders>
            <w:vAlign w:val="center"/>
          </w:tcPr>
          <w:p w14:paraId="40405E08">
            <w:pPr>
              <w:pStyle w:val="17"/>
              <w:bidi w:val="0"/>
              <w:rPr>
                <w:color w:val="auto"/>
                <w:highlight w:val="none"/>
              </w:rPr>
            </w:pPr>
            <w:r>
              <w:rPr>
                <w:rFonts w:hint="eastAsia"/>
                <w:color w:val="auto"/>
                <w:highlight w:val="none"/>
                <w:lang w:val="en-US" w:eastAsia="zh-CN"/>
              </w:rPr>
              <w:t>4500</w:t>
            </w:r>
          </w:p>
        </w:tc>
        <w:tc>
          <w:tcPr>
            <w:tcW w:w="337" w:type="pct"/>
            <w:gridSpan w:val="2"/>
            <w:tcBorders>
              <w:tl2br w:val="nil"/>
              <w:tr2bl w:val="nil"/>
            </w:tcBorders>
            <w:vAlign w:val="center"/>
          </w:tcPr>
          <w:p w14:paraId="077FCC45">
            <w:pPr>
              <w:pStyle w:val="17"/>
              <w:bidi w:val="0"/>
              <w:rPr>
                <w:color w:val="auto"/>
                <w:highlight w:val="none"/>
              </w:rPr>
            </w:pPr>
            <w:r>
              <w:rPr>
                <w:color w:val="auto"/>
                <w:highlight w:val="none"/>
              </w:rPr>
              <w:t>正常</w:t>
            </w:r>
          </w:p>
        </w:tc>
        <w:tc>
          <w:tcPr>
            <w:tcW w:w="413" w:type="pct"/>
            <w:gridSpan w:val="2"/>
            <w:tcBorders>
              <w:tl2br w:val="nil"/>
              <w:tr2bl w:val="nil"/>
            </w:tcBorders>
            <w:vAlign w:val="center"/>
          </w:tcPr>
          <w:p w14:paraId="00081CF1">
            <w:pPr>
              <w:pStyle w:val="17"/>
              <w:bidi w:val="0"/>
              <w:ind w:firstLine="0" w:firstLineChars="0"/>
              <w:rPr>
                <w:rFonts w:hint="default"/>
                <w:color w:val="auto"/>
                <w:highlight w:val="none"/>
                <w:lang w:val="en-US" w:eastAsia="zh-CN"/>
              </w:rPr>
            </w:pPr>
            <w:r>
              <w:rPr>
                <w:rFonts w:hint="eastAsia"/>
                <w:color w:val="auto"/>
                <w:highlight w:val="none"/>
                <w:lang w:val="en-US" w:eastAsia="zh-CN"/>
              </w:rPr>
              <w:t>0.075</w:t>
            </w:r>
          </w:p>
        </w:tc>
        <w:tc>
          <w:tcPr>
            <w:tcW w:w="552" w:type="pct"/>
            <w:tcBorders>
              <w:tl2br w:val="nil"/>
              <w:tr2bl w:val="nil"/>
            </w:tcBorders>
            <w:vAlign w:val="center"/>
          </w:tcPr>
          <w:p w14:paraId="657E6EC9">
            <w:pPr>
              <w:pStyle w:val="17"/>
              <w:bidi w:val="0"/>
              <w:ind w:firstLine="0" w:firstLineChars="0"/>
              <w:rPr>
                <w:rFonts w:hint="default"/>
                <w:color w:val="auto"/>
                <w:highlight w:val="none"/>
                <w:lang w:val="en-US" w:eastAsia="zh-CN"/>
              </w:rPr>
            </w:pPr>
            <w:r>
              <w:rPr>
                <w:rFonts w:hint="eastAsia"/>
                <w:color w:val="auto"/>
                <w:highlight w:val="none"/>
                <w:lang w:val="en-US" w:eastAsia="zh-CN"/>
              </w:rPr>
              <w:t>0.0118</w:t>
            </w:r>
          </w:p>
        </w:tc>
        <w:tc>
          <w:tcPr>
            <w:tcW w:w="439" w:type="pct"/>
            <w:tcBorders>
              <w:tl2br w:val="nil"/>
              <w:tr2bl w:val="nil"/>
            </w:tcBorders>
            <w:vAlign w:val="center"/>
          </w:tcPr>
          <w:p w14:paraId="4AAA67F6">
            <w:pPr>
              <w:pStyle w:val="17"/>
              <w:bidi w:val="0"/>
              <w:rPr>
                <w:rFonts w:hint="default"/>
                <w:color w:val="auto"/>
                <w:highlight w:val="none"/>
                <w:lang w:val="en-US" w:eastAsia="zh-CN"/>
              </w:rPr>
            </w:pPr>
            <w:r>
              <w:rPr>
                <w:rFonts w:hint="eastAsia"/>
                <w:color w:val="auto"/>
                <w:highlight w:val="none"/>
                <w:lang w:val="en-US" w:eastAsia="zh-CN"/>
              </w:rPr>
              <w:t>/</w:t>
            </w:r>
          </w:p>
        </w:tc>
      </w:tr>
      <w:tr w14:paraId="2339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 w:type="pct"/>
            <w:tcBorders>
              <w:tl2br w:val="nil"/>
              <w:tr2bl w:val="nil"/>
            </w:tcBorders>
            <w:vAlign w:val="center"/>
          </w:tcPr>
          <w:p w14:paraId="676D0BCB">
            <w:pPr>
              <w:pStyle w:val="17"/>
              <w:bidi w:val="0"/>
              <w:rPr>
                <w:color w:val="auto"/>
                <w:highlight w:val="none"/>
              </w:rPr>
            </w:pPr>
            <w:r>
              <w:rPr>
                <w:color w:val="auto"/>
                <w:highlight w:val="none"/>
              </w:rPr>
              <w:t>P3</w:t>
            </w:r>
          </w:p>
        </w:tc>
        <w:tc>
          <w:tcPr>
            <w:tcW w:w="377" w:type="pct"/>
            <w:tcBorders>
              <w:tl2br w:val="nil"/>
              <w:tr2bl w:val="nil"/>
            </w:tcBorders>
            <w:vAlign w:val="center"/>
          </w:tcPr>
          <w:p w14:paraId="3FC38786">
            <w:pPr>
              <w:pStyle w:val="17"/>
              <w:bidi w:val="0"/>
              <w:rPr>
                <w:color w:val="auto"/>
                <w:highlight w:val="none"/>
              </w:rPr>
            </w:pPr>
            <w:r>
              <w:rPr>
                <w:rFonts w:hint="default"/>
                <w:color w:val="auto"/>
                <w:highlight w:val="none"/>
                <w:lang w:eastAsia="zh-CN"/>
              </w:rPr>
              <w:t>筛分</w:t>
            </w:r>
            <w:r>
              <w:rPr>
                <w:rFonts w:hint="eastAsia"/>
                <w:color w:val="auto"/>
                <w:highlight w:val="none"/>
                <w:lang w:val="en-US" w:eastAsia="zh-CN"/>
              </w:rPr>
              <w:t>厂房</w:t>
            </w:r>
            <w:r>
              <w:rPr>
                <w:rFonts w:hint="eastAsia"/>
                <w:color w:val="auto"/>
                <w:highlight w:val="none"/>
              </w:rPr>
              <w:t>排气筒</w:t>
            </w:r>
          </w:p>
        </w:tc>
        <w:tc>
          <w:tcPr>
            <w:tcW w:w="245" w:type="pct"/>
            <w:tcBorders>
              <w:tl2br w:val="nil"/>
              <w:tr2bl w:val="nil"/>
            </w:tcBorders>
            <w:shd w:val="clear" w:color="auto" w:fill="auto"/>
            <w:vAlign w:val="center"/>
          </w:tcPr>
          <w:p w14:paraId="2CA291A7">
            <w:pPr>
              <w:pStyle w:val="17"/>
              <w:bidi w:val="0"/>
              <w:rPr>
                <w:rFonts w:hint="default"/>
                <w:color w:val="auto"/>
                <w:highlight w:val="none"/>
                <w:lang w:val="en-US" w:eastAsia="zh-CN"/>
              </w:rPr>
            </w:pPr>
            <w:r>
              <w:rPr>
                <w:rFonts w:hint="eastAsia"/>
                <w:color w:val="auto"/>
                <w:highlight w:val="none"/>
                <w:lang w:val="en-US" w:eastAsia="zh-CN"/>
              </w:rPr>
              <w:t>2966</w:t>
            </w:r>
          </w:p>
        </w:tc>
        <w:tc>
          <w:tcPr>
            <w:tcW w:w="319" w:type="pct"/>
            <w:tcBorders>
              <w:tl2br w:val="nil"/>
              <w:tr2bl w:val="nil"/>
            </w:tcBorders>
            <w:shd w:val="clear" w:color="auto" w:fill="auto"/>
            <w:vAlign w:val="center"/>
          </w:tcPr>
          <w:p w14:paraId="27899088">
            <w:pPr>
              <w:pStyle w:val="17"/>
              <w:bidi w:val="0"/>
              <w:rPr>
                <w:rFonts w:hint="default"/>
                <w:color w:val="auto"/>
                <w:highlight w:val="none"/>
                <w:lang w:val="en-US" w:eastAsia="zh-CN"/>
              </w:rPr>
            </w:pPr>
            <w:r>
              <w:rPr>
                <w:rFonts w:hint="eastAsia"/>
                <w:color w:val="auto"/>
                <w:highlight w:val="none"/>
                <w:lang w:val="en-US" w:eastAsia="zh-CN"/>
              </w:rPr>
              <w:t>-961</w:t>
            </w:r>
          </w:p>
        </w:tc>
        <w:tc>
          <w:tcPr>
            <w:tcW w:w="336" w:type="pct"/>
            <w:tcBorders>
              <w:tl2br w:val="nil"/>
              <w:tr2bl w:val="nil"/>
            </w:tcBorders>
            <w:shd w:val="clear" w:color="auto" w:fill="auto"/>
            <w:vAlign w:val="center"/>
          </w:tcPr>
          <w:p w14:paraId="6706C933">
            <w:pPr>
              <w:pStyle w:val="17"/>
              <w:bidi w:val="0"/>
              <w:rPr>
                <w:rFonts w:hint="default"/>
                <w:color w:val="auto"/>
                <w:highlight w:val="none"/>
                <w:lang w:val="en-US" w:eastAsia="zh-CN"/>
              </w:rPr>
            </w:pPr>
            <w:r>
              <w:rPr>
                <w:rFonts w:hint="eastAsia"/>
                <w:color w:val="auto"/>
                <w:highlight w:val="none"/>
                <w:lang w:val="en-US" w:eastAsia="zh-CN"/>
              </w:rPr>
              <w:t>3010</w:t>
            </w:r>
          </w:p>
        </w:tc>
        <w:tc>
          <w:tcPr>
            <w:tcW w:w="235" w:type="pct"/>
            <w:tcBorders>
              <w:tl2br w:val="nil"/>
              <w:tr2bl w:val="nil"/>
            </w:tcBorders>
            <w:vAlign w:val="center"/>
          </w:tcPr>
          <w:p w14:paraId="01423461">
            <w:pPr>
              <w:pStyle w:val="17"/>
              <w:bidi w:val="0"/>
              <w:rPr>
                <w:rFonts w:hint="default"/>
                <w:color w:val="auto"/>
                <w:highlight w:val="none"/>
                <w:lang w:val="en-US"/>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4250FA28">
            <w:pPr>
              <w:pStyle w:val="17"/>
              <w:bidi w:val="0"/>
              <w:rPr>
                <w:rFonts w:hint="default"/>
                <w:color w:val="auto"/>
                <w:highlight w:val="none"/>
                <w:lang w:val="en-US"/>
              </w:rPr>
            </w:pPr>
            <w:r>
              <w:rPr>
                <w:rFonts w:hint="eastAsia"/>
                <w:color w:val="auto"/>
                <w:highlight w:val="none"/>
                <w:lang w:val="en-US" w:eastAsia="zh-CN"/>
              </w:rPr>
              <w:t>1.1</w:t>
            </w:r>
          </w:p>
        </w:tc>
        <w:tc>
          <w:tcPr>
            <w:tcW w:w="496" w:type="pct"/>
            <w:tcBorders>
              <w:tl2br w:val="nil"/>
              <w:tr2bl w:val="nil"/>
            </w:tcBorders>
            <w:vAlign w:val="center"/>
          </w:tcPr>
          <w:p w14:paraId="277F07E1">
            <w:pPr>
              <w:pStyle w:val="17"/>
              <w:bidi w:val="0"/>
              <w:rPr>
                <w:rFonts w:hint="default"/>
                <w:color w:val="auto"/>
                <w:highlight w:val="none"/>
                <w:lang w:val="en-US" w:eastAsia="zh-CN"/>
              </w:rPr>
            </w:pPr>
            <w:r>
              <w:rPr>
                <w:rFonts w:hint="eastAsia"/>
                <w:color w:val="auto"/>
                <w:highlight w:val="none"/>
                <w:lang w:val="en-US" w:eastAsia="zh-CN"/>
              </w:rPr>
              <w:t>70000</w:t>
            </w:r>
          </w:p>
        </w:tc>
        <w:tc>
          <w:tcPr>
            <w:tcW w:w="355" w:type="pct"/>
            <w:tcBorders>
              <w:tl2br w:val="nil"/>
              <w:tr2bl w:val="nil"/>
            </w:tcBorders>
            <w:vAlign w:val="center"/>
          </w:tcPr>
          <w:p w14:paraId="7AB328CC">
            <w:pPr>
              <w:pStyle w:val="17"/>
              <w:bidi w:val="0"/>
              <w:rPr>
                <w:rFonts w:hint="default"/>
                <w:color w:val="auto"/>
                <w:highlight w:val="none"/>
                <w:lang w:val="en-US" w:eastAsia="zh-CN"/>
              </w:rPr>
            </w:pPr>
            <w:r>
              <w:rPr>
                <w:rFonts w:hint="eastAsia"/>
                <w:color w:val="auto"/>
                <w:highlight w:val="none"/>
                <w:lang w:val="en-US" w:eastAsia="zh-CN"/>
              </w:rPr>
              <w:t>20</w:t>
            </w:r>
          </w:p>
        </w:tc>
        <w:tc>
          <w:tcPr>
            <w:tcW w:w="267" w:type="pct"/>
            <w:tcBorders>
              <w:tl2br w:val="nil"/>
              <w:tr2bl w:val="nil"/>
            </w:tcBorders>
            <w:vAlign w:val="center"/>
          </w:tcPr>
          <w:p w14:paraId="311C05EB">
            <w:pPr>
              <w:pStyle w:val="17"/>
              <w:bidi w:val="0"/>
              <w:rPr>
                <w:color w:val="auto"/>
                <w:highlight w:val="none"/>
              </w:rPr>
            </w:pPr>
            <w:r>
              <w:rPr>
                <w:rFonts w:hint="eastAsia"/>
                <w:color w:val="auto"/>
                <w:highlight w:val="none"/>
                <w:lang w:val="en-US" w:eastAsia="zh-CN"/>
              </w:rPr>
              <w:t>4500</w:t>
            </w:r>
          </w:p>
        </w:tc>
        <w:tc>
          <w:tcPr>
            <w:tcW w:w="337" w:type="pct"/>
            <w:gridSpan w:val="2"/>
            <w:tcBorders>
              <w:tl2br w:val="nil"/>
              <w:tr2bl w:val="nil"/>
            </w:tcBorders>
            <w:vAlign w:val="center"/>
          </w:tcPr>
          <w:p w14:paraId="11BEFAA8">
            <w:pPr>
              <w:pStyle w:val="17"/>
              <w:bidi w:val="0"/>
              <w:rPr>
                <w:color w:val="auto"/>
                <w:highlight w:val="none"/>
              </w:rPr>
            </w:pPr>
            <w:r>
              <w:rPr>
                <w:color w:val="auto"/>
                <w:highlight w:val="none"/>
              </w:rPr>
              <w:t>正常</w:t>
            </w:r>
          </w:p>
        </w:tc>
        <w:tc>
          <w:tcPr>
            <w:tcW w:w="413" w:type="pct"/>
            <w:gridSpan w:val="2"/>
            <w:tcBorders>
              <w:tl2br w:val="nil"/>
              <w:tr2bl w:val="nil"/>
            </w:tcBorders>
            <w:vAlign w:val="center"/>
          </w:tcPr>
          <w:p w14:paraId="6B94A5C6">
            <w:pPr>
              <w:pStyle w:val="17"/>
              <w:bidi w:val="0"/>
              <w:ind w:firstLine="0" w:firstLineChars="0"/>
              <w:rPr>
                <w:rFonts w:hint="default"/>
                <w:color w:val="auto"/>
                <w:highlight w:val="none"/>
                <w:lang w:val="en-US" w:eastAsia="zh-CN"/>
              </w:rPr>
            </w:pPr>
            <w:r>
              <w:rPr>
                <w:rFonts w:hint="eastAsia"/>
                <w:color w:val="auto"/>
                <w:highlight w:val="none"/>
                <w:lang w:val="en-US" w:eastAsia="zh-CN"/>
              </w:rPr>
              <w:t>0.075</w:t>
            </w:r>
          </w:p>
        </w:tc>
        <w:tc>
          <w:tcPr>
            <w:tcW w:w="552" w:type="pct"/>
            <w:tcBorders>
              <w:tl2br w:val="nil"/>
              <w:tr2bl w:val="nil"/>
            </w:tcBorders>
            <w:vAlign w:val="center"/>
          </w:tcPr>
          <w:p w14:paraId="5DD50365">
            <w:pPr>
              <w:pStyle w:val="17"/>
              <w:bidi w:val="0"/>
              <w:ind w:firstLine="0" w:firstLineChars="0"/>
              <w:rPr>
                <w:rFonts w:hint="default"/>
                <w:color w:val="auto"/>
                <w:highlight w:val="none"/>
                <w:lang w:val="en-US" w:eastAsia="zh-CN"/>
              </w:rPr>
            </w:pPr>
            <w:r>
              <w:rPr>
                <w:rFonts w:hint="eastAsia"/>
                <w:color w:val="auto"/>
                <w:highlight w:val="none"/>
                <w:lang w:val="en-US" w:eastAsia="zh-CN"/>
              </w:rPr>
              <w:t>0.0118</w:t>
            </w:r>
          </w:p>
        </w:tc>
        <w:tc>
          <w:tcPr>
            <w:tcW w:w="439" w:type="pct"/>
            <w:tcBorders>
              <w:tl2br w:val="nil"/>
              <w:tr2bl w:val="nil"/>
            </w:tcBorders>
            <w:vAlign w:val="center"/>
          </w:tcPr>
          <w:p w14:paraId="1A5A459D">
            <w:pPr>
              <w:pStyle w:val="17"/>
              <w:bidi w:val="0"/>
              <w:rPr>
                <w:rFonts w:hint="default"/>
                <w:color w:val="auto"/>
                <w:highlight w:val="none"/>
                <w:lang w:val="en-US" w:eastAsia="zh-CN"/>
              </w:rPr>
            </w:pPr>
            <w:r>
              <w:rPr>
                <w:rFonts w:hint="eastAsia"/>
                <w:color w:val="auto"/>
                <w:highlight w:val="none"/>
                <w:lang w:val="en-US" w:eastAsia="zh-CN"/>
              </w:rPr>
              <w:t>/</w:t>
            </w:r>
          </w:p>
        </w:tc>
      </w:tr>
      <w:tr w14:paraId="632D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 w:type="pct"/>
            <w:tcBorders>
              <w:tl2br w:val="nil"/>
              <w:tr2bl w:val="nil"/>
            </w:tcBorders>
            <w:vAlign w:val="center"/>
          </w:tcPr>
          <w:p w14:paraId="1901DA8C">
            <w:pPr>
              <w:pStyle w:val="17"/>
              <w:bidi w:val="0"/>
              <w:rPr>
                <w:rFonts w:hint="default"/>
                <w:color w:val="auto"/>
                <w:highlight w:val="none"/>
                <w:lang w:val="en-US" w:eastAsia="zh-CN"/>
              </w:rPr>
            </w:pPr>
            <w:r>
              <w:rPr>
                <w:rFonts w:hint="eastAsia"/>
                <w:color w:val="auto"/>
                <w:highlight w:val="none"/>
                <w:lang w:val="en-US" w:eastAsia="zh-CN"/>
              </w:rPr>
              <w:t>P4</w:t>
            </w:r>
          </w:p>
        </w:tc>
        <w:tc>
          <w:tcPr>
            <w:tcW w:w="377" w:type="pct"/>
            <w:tcBorders>
              <w:tl2br w:val="nil"/>
              <w:tr2bl w:val="nil"/>
            </w:tcBorders>
            <w:vAlign w:val="center"/>
          </w:tcPr>
          <w:p w14:paraId="5296CAE1">
            <w:pPr>
              <w:pStyle w:val="17"/>
              <w:bidi w:val="0"/>
              <w:rPr>
                <w:color w:val="auto"/>
                <w:highlight w:val="none"/>
              </w:rPr>
            </w:pPr>
            <w:r>
              <w:rPr>
                <w:rFonts w:hint="eastAsia"/>
                <w:color w:val="auto"/>
                <w:highlight w:val="none"/>
                <w:lang w:val="en-US" w:eastAsia="zh-CN"/>
              </w:rPr>
              <w:t>粉料仓</w:t>
            </w:r>
            <w:r>
              <w:rPr>
                <w:rFonts w:hint="eastAsia"/>
                <w:color w:val="auto"/>
                <w:highlight w:val="none"/>
              </w:rPr>
              <w:t>车间排气筒</w:t>
            </w:r>
          </w:p>
        </w:tc>
        <w:tc>
          <w:tcPr>
            <w:tcW w:w="245" w:type="pct"/>
            <w:tcBorders>
              <w:tl2br w:val="nil"/>
              <w:tr2bl w:val="nil"/>
            </w:tcBorders>
            <w:vAlign w:val="center"/>
          </w:tcPr>
          <w:p w14:paraId="3CC242B3">
            <w:pPr>
              <w:pStyle w:val="17"/>
              <w:bidi w:val="0"/>
              <w:rPr>
                <w:rFonts w:hint="default"/>
                <w:color w:val="auto"/>
                <w:highlight w:val="none"/>
                <w:lang w:val="en-US" w:eastAsia="zh-CN"/>
              </w:rPr>
            </w:pPr>
            <w:r>
              <w:rPr>
                <w:rFonts w:hint="eastAsia"/>
                <w:color w:val="auto"/>
                <w:highlight w:val="none"/>
                <w:lang w:val="en-US" w:eastAsia="zh-CN"/>
              </w:rPr>
              <w:t>2778</w:t>
            </w:r>
          </w:p>
        </w:tc>
        <w:tc>
          <w:tcPr>
            <w:tcW w:w="319" w:type="pct"/>
            <w:tcBorders>
              <w:tl2br w:val="nil"/>
              <w:tr2bl w:val="nil"/>
            </w:tcBorders>
            <w:vAlign w:val="center"/>
          </w:tcPr>
          <w:p w14:paraId="16C2BA21">
            <w:pPr>
              <w:pStyle w:val="17"/>
              <w:bidi w:val="0"/>
              <w:rPr>
                <w:rFonts w:hint="default"/>
                <w:color w:val="auto"/>
                <w:highlight w:val="none"/>
                <w:lang w:val="en-US" w:eastAsia="zh-CN"/>
              </w:rPr>
            </w:pPr>
            <w:r>
              <w:rPr>
                <w:rFonts w:hint="eastAsia"/>
                <w:color w:val="auto"/>
                <w:highlight w:val="none"/>
                <w:lang w:val="en-US" w:eastAsia="zh-CN"/>
              </w:rPr>
              <w:t>-1203</w:t>
            </w:r>
          </w:p>
        </w:tc>
        <w:tc>
          <w:tcPr>
            <w:tcW w:w="336" w:type="pct"/>
            <w:tcBorders>
              <w:tl2br w:val="nil"/>
              <w:tr2bl w:val="nil"/>
            </w:tcBorders>
            <w:vAlign w:val="center"/>
          </w:tcPr>
          <w:p w14:paraId="666A98C4">
            <w:pPr>
              <w:pStyle w:val="17"/>
              <w:bidi w:val="0"/>
              <w:rPr>
                <w:rFonts w:hint="default"/>
                <w:color w:val="auto"/>
                <w:highlight w:val="none"/>
                <w:lang w:val="en-US" w:eastAsia="zh-CN"/>
              </w:rPr>
            </w:pPr>
            <w:r>
              <w:rPr>
                <w:rFonts w:hint="eastAsia"/>
                <w:color w:val="auto"/>
                <w:highlight w:val="none"/>
                <w:lang w:val="en-US" w:eastAsia="zh-CN"/>
              </w:rPr>
              <w:t>3038</w:t>
            </w:r>
          </w:p>
        </w:tc>
        <w:tc>
          <w:tcPr>
            <w:tcW w:w="235" w:type="pct"/>
            <w:tcBorders>
              <w:tl2br w:val="nil"/>
              <w:tr2bl w:val="nil"/>
            </w:tcBorders>
            <w:vAlign w:val="center"/>
          </w:tcPr>
          <w:p w14:paraId="7AD590C8">
            <w:pPr>
              <w:pStyle w:val="17"/>
              <w:bidi w:val="0"/>
              <w:rPr>
                <w:rFonts w:hint="default"/>
                <w:color w:val="auto"/>
                <w:highlight w:val="none"/>
                <w:lang w:val="en-US"/>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1B29F9EB">
            <w:pPr>
              <w:pStyle w:val="17"/>
              <w:bidi w:val="0"/>
              <w:rPr>
                <w:rFonts w:hint="default"/>
                <w:color w:val="auto"/>
                <w:highlight w:val="none"/>
                <w:lang w:val="en-US"/>
              </w:rPr>
            </w:pPr>
            <w:r>
              <w:rPr>
                <w:rFonts w:hint="eastAsia"/>
                <w:color w:val="auto"/>
                <w:highlight w:val="none"/>
                <w:lang w:val="en-US" w:eastAsia="zh-CN"/>
              </w:rPr>
              <w:t>0.35</w:t>
            </w:r>
          </w:p>
        </w:tc>
        <w:tc>
          <w:tcPr>
            <w:tcW w:w="496" w:type="pct"/>
            <w:tcBorders>
              <w:tl2br w:val="nil"/>
              <w:tr2bl w:val="nil"/>
            </w:tcBorders>
            <w:vAlign w:val="center"/>
          </w:tcPr>
          <w:p w14:paraId="6133AE20">
            <w:pPr>
              <w:pStyle w:val="17"/>
              <w:bidi w:val="0"/>
              <w:rPr>
                <w:rFonts w:hint="default"/>
                <w:color w:val="auto"/>
                <w:highlight w:val="none"/>
                <w:lang w:val="en-US" w:eastAsia="zh-CN"/>
              </w:rPr>
            </w:pPr>
            <w:r>
              <w:rPr>
                <w:rFonts w:hint="eastAsia"/>
                <w:color w:val="auto"/>
                <w:highlight w:val="none"/>
                <w:lang w:val="en-US" w:eastAsia="zh-CN"/>
              </w:rPr>
              <w:t>6000</w:t>
            </w:r>
          </w:p>
        </w:tc>
        <w:tc>
          <w:tcPr>
            <w:tcW w:w="355" w:type="pct"/>
            <w:tcBorders>
              <w:tl2br w:val="nil"/>
              <w:tr2bl w:val="nil"/>
            </w:tcBorders>
            <w:vAlign w:val="center"/>
          </w:tcPr>
          <w:p w14:paraId="664BBF09">
            <w:pPr>
              <w:pStyle w:val="17"/>
              <w:bidi w:val="0"/>
              <w:rPr>
                <w:rFonts w:hint="default"/>
                <w:color w:val="auto"/>
                <w:highlight w:val="none"/>
                <w:lang w:val="en-US" w:eastAsia="zh-CN"/>
              </w:rPr>
            </w:pPr>
            <w:r>
              <w:rPr>
                <w:rFonts w:hint="eastAsia"/>
                <w:color w:val="auto"/>
                <w:highlight w:val="none"/>
                <w:lang w:val="en-US" w:eastAsia="zh-CN"/>
              </w:rPr>
              <w:t>20</w:t>
            </w:r>
          </w:p>
        </w:tc>
        <w:tc>
          <w:tcPr>
            <w:tcW w:w="267" w:type="pct"/>
            <w:tcBorders>
              <w:tl2br w:val="nil"/>
              <w:tr2bl w:val="nil"/>
            </w:tcBorders>
            <w:vAlign w:val="center"/>
          </w:tcPr>
          <w:p w14:paraId="6FB341DB">
            <w:pPr>
              <w:pStyle w:val="17"/>
              <w:bidi w:val="0"/>
              <w:rPr>
                <w:rFonts w:hint="eastAsia"/>
                <w:color w:val="auto"/>
                <w:highlight w:val="none"/>
              </w:rPr>
            </w:pPr>
            <w:r>
              <w:rPr>
                <w:rFonts w:hint="eastAsia"/>
                <w:color w:val="auto"/>
                <w:highlight w:val="none"/>
                <w:lang w:val="en-US" w:eastAsia="zh-CN"/>
              </w:rPr>
              <w:t>7200</w:t>
            </w:r>
          </w:p>
        </w:tc>
        <w:tc>
          <w:tcPr>
            <w:tcW w:w="337" w:type="pct"/>
            <w:gridSpan w:val="2"/>
            <w:tcBorders>
              <w:tl2br w:val="nil"/>
              <w:tr2bl w:val="nil"/>
            </w:tcBorders>
            <w:vAlign w:val="center"/>
          </w:tcPr>
          <w:p w14:paraId="2D121077">
            <w:pPr>
              <w:pStyle w:val="17"/>
              <w:bidi w:val="0"/>
              <w:rPr>
                <w:color w:val="auto"/>
                <w:highlight w:val="none"/>
              </w:rPr>
            </w:pPr>
            <w:r>
              <w:rPr>
                <w:color w:val="auto"/>
                <w:highlight w:val="none"/>
              </w:rPr>
              <w:t>正常</w:t>
            </w:r>
          </w:p>
        </w:tc>
        <w:tc>
          <w:tcPr>
            <w:tcW w:w="413" w:type="pct"/>
            <w:gridSpan w:val="2"/>
            <w:tcBorders>
              <w:tl2br w:val="nil"/>
              <w:tr2bl w:val="nil"/>
            </w:tcBorders>
            <w:vAlign w:val="center"/>
          </w:tcPr>
          <w:p w14:paraId="37BC9818">
            <w:pPr>
              <w:pStyle w:val="17"/>
              <w:bidi w:val="0"/>
              <w:rPr>
                <w:rFonts w:hint="default"/>
                <w:color w:val="auto"/>
                <w:highlight w:val="none"/>
                <w:lang w:val="en-US" w:eastAsia="zh-CN"/>
              </w:rPr>
            </w:pPr>
            <w:r>
              <w:rPr>
                <w:rFonts w:hint="eastAsia"/>
                <w:color w:val="auto"/>
                <w:highlight w:val="none"/>
                <w:lang w:val="en-US" w:eastAsia="zh-CN"/>
              </w:rPr>
              <w:t>0.0075</w:t>
            </w:r>
          </w:p>
        </w:tc>
        <w:tc>
          <w:tcPr>
            <w:tcW w:w="552" w:type="pct"/>
            <w:tcBorders>
              <w:tl2br w:val="nil"/>
              <w:tr2bl w:val="nil"/>
            </w:tcBorders>
            <w:vAlign w:val="center"/>
          </w:tcPr>
          <w:p w14:paraId="64B4E76F">
            <w:pPr>
              <w:pStyle w:val="17"/>
              <w:bidi w:val="0"/>
              <w:rPr>
                <w:rFonts w:hint="default"/>
                <w:color w:val="auto"/>
                <w:highlight w:val="none"/>
                <w:lang w:val="en-US" w:eastAsia="zh-CN"/>
              </w:rPr>
            </w:pPr>
            <w:r>
              <w:rPr>
                <w:rFonts w:hint="eastAsia"/>
                <w:color w:val="auto"/>
                <w:highlight w:val="none"/>
                <w:lang w:val="en-US" w:eastAsia="zh-CN"/>
              </w:rPr>
              <w:t>0.0012</w:t>
            </w:r>
          </w:p>
        </w:tc>
        <w:tc>
          <w:tcPr>
            <w:tcW w:w="439" w:type="pct"/>
            <w:tcBorders>
              <w:tl2br w:val="nil"/>
              <w:tr2bl w:val="nil"/>
            </w:tcBorders>
            <w:vAlign w:val="center"/>
          </w:tcPr>
          <w:p w14:paraId="308279D0">
            <w:pPr>
              <w:pStyle w:val="17"/>
              <w:bidi w:val="0"/>
              <w:rPr>
                <w:rFonts w:hint="default"/>
                <w:color w:val="auto"/>
                <w:highlight w:val="none"/>
                <w:lang w:val="en-US" w:eastAsia="zh-CN"/>
              </w:rPr>
            </w:pPr>
            <w:r>
              <w:rPr>
                <w:rFonts w:hint="eastAsia"/>
                <w:color w:val="auto"/>
                <w:highlight w:val="none"/>
                <w:lang w:val="en-US" w:eastAsia="zh-CN"/>
              </w:rPr>
              <w:t>/</w:t>
            </w:r>
          </w:p>
        </w:tc>
      </w:tr>
      <w:tr w14:paraId="18C3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9" w:type="pct"/>
            <w:tcBorders>
              <w:tl2br w:val="nil"/>
              <w:tr2bl w:val="nil"/>
            </w:tcBorders>
            <w:vAlign w:val="center"/>
          </w:tcPr>
          <w:p w14:paraId="2077C32D">
            <w:pPr>
              <w:pStyle w:val="17"/>
              <w:bidi w:val="0"/>
              <w:rPr>
                <w:rFonts w:hint="default"/>
                <w:color w:val="auto"/>
                <w:highlight w:val="none"/>
                <w:lang w:val="en-US" w:eastAsia="zh-CN"/>
              </w:rPr>
            </w:pPr>
            <w:r>
              <w:rPr>
                <w:rFonts w:hint="eastAsia"/>
                <w:color w:val="auto"/>
                <w:highlight w:val="none"/>
                <w:lang w:val="en-US" w:eastAsia="zh-CN"/>
              </w:rPr>
              <w:t>P5</w:t>
            </w:r>
          </w:p>
        </w:tc>
        <w:tc>
          <w:tcPr>
            <w:tcW w:w="377" w:type="pct"/>
            <w:tcBorders>
              <w:tl2br w:val="nil"/>
              <w:tr2bl w:val="nil"/>
            </w:tcBorders>
            <w:vAlign w:val="center"/>
          </w:tcPr>
          <w:p w14:paraId="1C0E1807">
            <w:pPr>
              <w:pStyle w:val="17"/>
              <w:bidi w:val="0"/>
              <w:rPr>
                <w:color w:val="auto"/>
                <w:highlight w:val="none"/>
              </w:rPr>
            </w:pPr>
            <w:r>
              <w:rPr>
                <w:rFonts w:hint="eastAsia"/>
                <w:color w:val="auto"/>
                <w:highlight w:val="none"/>
                <w:lang w:val="en-US" w:eastAsia="zh-CN"/>
              </w:rPr>
              <w:t>硫酸稀释车间</w:t>
            </w:r>
            <w:r>
              <w:rPr>
                <w:rFonts w:hint="eastAsia"/>
                <w:color w:val="auto"/>
                <w:highlight w:val="none"/>
              </w:rPr>
              <w:t>排气筒</w:t>
            </w:r>
          </w:p>
        </w:tc>
        <w:tc>
          <w:tcPr>
            <w:tcW w:w="245" w:type="pct"/>
            <w:tcBorders>
              <w:tl2br w:val="nil"/>
              <w:tr2bl w:val="nil"/>
            </w:tcBorders>
            <w:vAlign w:val="center"/>
          </w:tcPr>
          <w:p w14:paraId="276CDCD2">
            <w:pPr>
              <w:pStyle w:val="17"/>
              <w:bidi w:val="0"/>
              <w:rPr>
                <w:rFonts w:hint="default"/>
                <w:color w:val="auto"/>
                <w:highlight w:val="none"/>
                <w:lang w:val="en-US" w:eastAsia="zh-CN"/>
              </w:rPr>
            </w:pPr>
            <w:r>
              <w:rPr>
                <w:rFonts w:hint="eastAsia"/>
                <w:color w:val="auto"/>
                <w:highlight w:val="none"/>
                <w:lang w:val="en-US" w:eastAsia="zh-CN"/>
              </w:rPr>
              <w:t>2483</w:t>
            </w:r>
          </w:p>
        </w:tc>
        <w:tc>
          <w:tcPr>
            <w:tcW w:w="319" w:type="pct"/>
            <w:tcBorders>
              <w:tl2br w:val="nil"/>
              <w:tr2bl w:val="nil"/>
            </w:tcBorders>
            <w:vAlign w:val="center"/>
          </w:tcPr>
          <w:p w14:paraId="2500DD89">
            <w:pPr>
              <w:pStyle w:val="17"/>
              <w:bidi w:val="0"/>
              <w:rPr>
                <w:rFonts w:hint="default"/>
                <w:color w:val="auto"/>
                <w:highlight w:val="none"/>
                <w:lang w:val="en-US" w:eastAsia="zh-CN"/>
              </w:rPr>
            </w:pPr>
            <w:r>
              <w:rPr>
                <w:rFonts w:hint="eastAsia"/>
                <w:color w:val="auto"/>
                <w:highlight w:val="none"/>
                <w:lang w:val="en-US" w:eastAsia="zh-CN"/>
              </w:rPr>
              <w:t>-1203</w:t>
            </w:r>
          </w:p>
        </w:tc>
        <w:tc>
          <w:tcPr>
            <w:tcW w:w="336" w:type="pct"/>
            <w:tcBorders>
              <w:tl2br w:val="nil"/>
              <w:tr2bl w:val="nil"/>
            </w:tcBorders>
            <w:vAlign w:val="center"/>
          </w:tcPr>
          <w:p w14:paraId="408367F7">
            <w:pPr>
              <w:pStyle w:val="17"/>
              <w:bidi w:val="0"/>
              <w:rPr>
                <w:rFonts w:hint="default"/>
                <w:color w:val="auto"/>
                <w:highlight w:val="none"/>
                <w:lang w:val="en-US" w:eastAsia="zh-CN"/>
              </w:rPr>
            </w:pPr>
            <w:r>
              <w:rPr>
                <w:rFonts w:hint="eastAsia"/>
                <w:color w:val="auto"/>
                <w:highlight w:val="none"/>
                <w:lang w:val="en-US" w:eastAsia="zh-CN"/>
              </w:rPr>
              <w:t>3008</w:t>
            </w:r>
          </w:p>
        </w:tc>
        <w:tc>
          <w:tcPr>
            <w:tcW w:w="235" w:type="pct"/>
            <w:tcBorders>
              <w:tl2br w:val="nil"/>
              <w:tr2bl w:val="nil"/>
            </w:tcBorders>
            <w:vAlign w:val="center"/>
          </w:tcPr>
          <w:p w14:paraId="3B9C954C">
            <w:pPr>
              <w:pStyle w:val="17"/>
              <w:bidi w:val="0"/>
              <w:rPr>
                <w:rFonts w:hint="default"/>
                <w:color w:val="auto"/>
                <w:highlight w:val="none"/>
                <w:lang w:val="en-US"/>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432F49E3">
            <w:pPr>
              <w:pStyle w:val="17"/>
              <w:bidi w:val="0"/>
              <w:rPr>
                <w:rFonts w:hint="default"/>
                <w:color w:val="auto"/>
                <w:highlight w:val="none"/>
                <w:lang w:val="en-US"/>
              </w:rPr>
            </w:pPr>
            <w:r>
              <w:rPr>
                <w:rFonts w:hint="eastAsia"/>
                <w:color w:val="auto"/>
                <w:highlight w:val="none"/>
                <w:lang w:val="en-US" w:eastAsia="zh-CN"/>
              </w:rPr>
              <w:t>0.3</w:t>
            </w:r>
          </w:p>
        </w:tc>
        <w:tc>
          <w:tcPr>
            <w:tcW w:w="496" w:type="pct"/>
            <w:tcBorders>
              <w:tl2br w:val="nil"/>
              <w:tr2bl w:val="nil"/>
            </w:tcBorders>
            <w:vAlign w:val="center"/>
          </w:tcPr>
          <w:p w14:paraId="04ACF32D">
            <w:pPr>
              <w:pStyle w:val="17"/>
              <w:bidi w:val="0"/>
              <w:rPr>
                <w:rFonts w:hint="default"/>
                <w:color w:val="auto"/>
                <w:highlight w:val="none"/>
                <w:lang w:val="en-US" w:eastAsia="zh-CN"/>
              </w:rPr>
            </w:pPr>
            <w:r>
              <w:rPr>
                <w:rFonts w:hint="eastAsia"/>
                <w:color w:val="auto"/>
                <w:highlight w:val="none"/>
                <w:lang w:val="en-US" w:eastAsia="zh-CN"/>
              </w:rPr>
              <w:t>1000</w:t>
            </w:r>
          </w:p>
        </w:tc>
        <w:tc>
          <w:tcPr>
            <w:tcW w:w="355" w:type="pct"/>
            <w:tcBorders>
              <w:tl2br w:val="nil"/>
              <w:tr2bl w:val="nil"/>
            </w:tcBorders>
            <w:vAlign w:val="center"/>
          </w:tcPr>
          <w:p w14:paraId="315838BC">
            <w:pPr>
              <w:pStyle w:val="17"/>
              <w:bidi w:val="0"/>
              <w:rPr>
                <w:rFonts w:hint="default"/>
                <w:color w:val="auto"/>
                <w:highlight w:val="none"/>
                <w:lang w:val="en-US" w:eastAsia="zh-CN"/>
              </w:rPr>
            </w:pPr>
            <w:r>
              <w:rPr>
                <w:rFonts w:hint="eastAsia"/>
                <w:color w:val="auto"/>
                <w:highlight w:val="none"/>
                <w:lang w:val="en-US" w:eastAsia="zh-CN"/>
              </w:rPr>
              <w:t>20</w:t>
            </w:r>
          </w:p>
        </w:tc>
        <w:tc>
          <w:tcPr>
            <w:tcW w:w="267" w:type="pct"/>
            <w:tcBorders>
              <w:tl2br w:val="nil"/>
              <w:tr2bl w:val="nil"/>
            </w:tcBorders>
            <w:vAlign w:val="center"/>
          </w:tcPr>
          <w:p w14:paraId="5C7EADFA">
            <w:pPr>
              <w:pStyle w:val="17"/>
              <w:bidi w:val="0"/>
              <w:rPr>
                <w:rFonts w:hint="eastAsia"/>
                <w:color w:val="auto"/>
                <w:highlight w:val="none"/>
              </w:rPr>
            </w:pPr>
            <w:r>
              <w:rPr>
                <w:rFonts w:hint="eastAsia"/>
                <w:color w:val="auto"/>
                <w:highlight w:val="none"/>
                <w:lang w:val="en-US" w:eastAsia="zh-CN"/>
              </w:rPr>
              <w:t>7200</w:t>
            </w:r>
          </w:p>
        </w:tc>
        <w:tc>
          <w:tcPr>
            <w:tcW w:w="337" w:type="pct"/>
            <w:gridSpan w:val="2"/>
            <w:tcBorders>
              <w:tl2br w:val="nil"/>
              <w:tr2bl w:val="nil"/>
            </w:tcBorders>
            <w:vAlign w:val="center"/>
          </w:tcPr>
          <w:p w14:paraId="1FE4438B">
            <w:pPr>
              <w:pStyle w:val="17"/>
              <w:bidi w:val="0"/>
              <w:rPr>
                <w:color w:val="auto"/>
                <w:highlight w:val="none"/>
              </w:rPr>
            </w:pPr>
            <w:r>
              <w:rPr>
                <w:color w:val="auto"/>
                <w:highlight w:val="none"/>
              </w:rPr>
              <w:t>正常</w:t>
            </w:r>
          </w:p>
        </w:tc>
        <w:tc>
          <w:tcPr>
            <w:tcW w:w="413" w:type="pct"/>
            <w:gridSpan w:val="2"/>
            <w:tcBorders>
              <w:tl2br w:val="nil"/>
              <w:tr2bl w:val="nil"/>
            </w:tcBorders>
            <w:vAlign w:val="center"/>
          </w:tcPr>
          <w:p w14:paraId="22732276">
            <w:pPr>
              <w:pStyle w:val="17"/>
              <w:bidi w:val="0"/>
              <w:rPr>
                <w:rFonts w:hint="default"/>
                <w:color w:val="auto"/>
                <w:highlight w:val="none"/>
                <w:lang w:val="en-US" w:eastAsia="zh-CN"/>
              </w:rPr>
            </w:pPr>
            <w:r>
              <w:rPr>
                <w:rFonts w:hint="eastAsia"/>
                <w:color w:val="auto"/>
                <w:highlight w:val="none"/>
                <w:lang w:val="en-US" w:eastAsia="zh-CN"/>
              </w:rPr>
              <w:t>/</w:t>
            </w:r>
          </w:p>
        </w:tc>
        <w:tc>
          <w:tcPr>
            <w:tcW w:w="552" w:type="pct"/>
            <w:tcBorders>
              <w:tl2br w:val="nil"/>
              <w:tr2bl w:val="nil"/>
            </w:tcBorders>
            <w:vAlign w:val="center"/>
          </w:tcPr>
          <w:p w14:paraId="0FB3D14D">
            <w:pPr>
              <w:pStyle w:val="17"/>
              <w:bidi w:val="0"/>
              <w:rPr>
                <w:rFonts w:hint="default"/>
                <w:color w:val="auto"/>
                <w:highlight w:val="none"/>
                <w:lang w:val="en-US" w:eastAsia="zh-CN"/>
              </w:rPr>
            </w:pPr>
            <w:r>
              <w:rPr>
                <w:rFonts w:hint="eastAsia"/>
                <w:color w:val="auto"/>
                <w:highlight w:val="none"/>
                <w:lang w:val="en-US" w:eastAsia="zh-CN"/>
              </w:rPr>
              <w:t>/</w:t>
            </w:r>
          </w:p>
        </w:tc>
        <w:tc>
          <w:tcPr>
            <w:tcW w:w="439" w:type="pct"/>
            <w:tcBorders>
              <w:tl2br w:val="nil"/>
              <w:tr2bl w:val="nil"/>
            </w:tcBorders>
            <w:vAlign w:val="center"/>
          </w:tcPr>
          <w:p w14:paraId="6378DF94">
            <w:pPr>
              <w:pStyle w:val="17"/>
              <w:bidi w:val="0"/>
              <w:rPr>
                <w:rFonts w:hint="default"/>
                <w:color w:val="auto"/>
                <w:highlight w:val="none"/>
                <w:lang w:val="en-US" w:eastAsia="zh-CN"/>
              </w:rPr>
            </w:pPr>
            <w:r>
              <w:rPr>
                <w:rFonts w:hint="eastAsia"/>
                <w:color w:val="auto"/>
                <w:highlight w:val="none"/>
                <w:lang w:val="en-US" w:eastAsia="zh-CN"/>
              </w:rPr>
              <w:t>0.0178</w:t>
            </w:r>
          </w:p>
        </w:tc>
      </w:tr>
      <w:tr w14:paraId="3B27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60" w:type="pct"/>
            <w:gridSpan w:val="15"/>
            <w:tcBorders>
              <w:tl2br w:val="nil"/>
              <w:tr2bl w:val="nil"/>
            </w:tcBorders>
            <w:vAlign w:val="center"/>
          </w:tcPr>
          <w:p w14:paraId="525A8635">
            <w:pPr>
              <w:pStyle w:val="17"/>
              <w:bidi w:val="0"/>
              <w:rPr>
                <w:color w:val="auto"/>
                <w:highlight w:val="none"/>
              </w:rPr>
            </w:pPr>
            <w:r>
              <w:rPr>
                <w:color w:val="auto"/>
                <w:highlight w:val="none"/>
              </w:rPr>
              <w:t>面源</w:t>
            </w:r>
          </w:p>
        </w:tc>
        <w:tc>
          <w:tcPr>
            <w:tcW w:w="439" w:type="pct"/>
            <w:tcBorders>
              <w:tl2br w:val="nil"/>
              <w:tr2bl w:val="nil"/>
            </w:tcBorders>
            <w:vAlign w:val="center"/>
          </w:tcPr>
          <w:p w14:paraId="0F68A682">
            <w:pPr>
              <w:pStyle w:val="17"/>
              <w:bidi w:val="0"/>
              <w:rPr>
                <w:color w:val="auto"/>
                <w:highlight w:val="none"/>
              </w:rPr>
            </w:pPr>
          </w:p>
        </w:tc>
      </w:tr>
      <w:tr w14:paraId="1E6F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 w:type="pct"/>
            <w:vMerge w:val="restart"/>
            <w:tcBorders>
              <w:tl2br w:val="nil"/>
              <w:tr2bl w:val="nil"/>
            </w:tcBorders>
            <w:vAlign w:val="center"/>
          </w:tcPr>
          <w:p w14:paraId="3E8202C6">
            <w:pPr>
              <w:pStyle w:val="17"/>
              <w:bidi w:val="0"/>
              <w:rPr>
                <w:b/>
                <w:bCs/>
                <w:color w:val="auto"/>
                <w:highlight w:val="none"/>
              </w:rPr>
            </w:pPr>
            <w:r>
              <w:rPr>
                <w:b/>
                <w:bCs/>
                <w:color w:val="auto"/>
                <w:highlight w:val="none"/>
              </w:rPr>
              <w:t>编号</w:t>
            </w:r>
          </w:p>
        </w:tc>
        <w:tc>
          <w:tcPr>
            <w:tcW w:w="377" w:type="pct"/>
            <w:vMerge w:val="restart"/>
            <w:tcBorders>
              <w:tl2br w:val="nil"/>
              <w:tr2bl w:val="nil"/>
            </w:tcBorders>
            <w:vAlign w:val="center"/>
          </w:tcPr>
          <w:p w14:paraId="30B7AB0C">
            <w:pPr>
              <w:pStyle w:val="17"/>
              <w:bidi w:val="0"/>
              <w:rPr>
                <w:b/>
                <w:bCs/>
                <w:color w:val="auto"/>
                <w:highlight w:val="none"/>
              </w:rPr>
            </w:pPr>
            <w:r>
              <w:rPr>
                <w:b/>
                <w:bCs/>
                <w:color w:val="auto"/>
                <w:highlight w:val="none"/>
              </w:rPr>
              <w:t>名称</w:t>
            </w:r>
          </w:p>
        </w:tc>
        <w:tc>
          <w:tcPr>
            <w:tcW w:w="564" w:type="pct"/>
            <w:gridSpan w:val="2"/>
            <w:tcBorders>
              <w:tl2br w:val="nil"/>
              <w:tr2bl w:val="nil"/>
            </w:tcBorders>
            <w:vAlign w:val="center"/>
          </w:tcPr>
          <w:p w14:paraId="3AA22E19">
            <w:pPr>
              <w:pStyle w:val="17"/>
              <w:bidi w:val="0"/>
              <w:rPr>
                <w:b/>
                <w:bCs/>
                <w:color w:val="auto"/>
                <w:highlight w:val="none"/>
              </w:rPr>
            </w:pPr>
            <w:r>
              <w:rPr>
                <w:b/>
                <w:bCs/>
                <w:color w:val="auto"/>
                <w:highlight w:val="none"/>
              </w:rPr>
              <w:t>中心坐标</w:t>
            </w:r>
          </w:p>
        </w:tc>
        <w:tc>
          <w:tcPr>
            <w:tcW w:w="336" w:type="pct"/>
            <w:vMerge w:val="restart"/>
            <w:tcBorders>
              <w:tl2br w:val="nil"/>
              <w:tr2bl w:val="nil"/>
            </w:tcBorders>
            <w:vAlign w:val="center"/>
          </w:tcPr>
          <w:p w14:paraId="23CFF33A">
            <w:pPr>
              <w:pStyle w:val="17"/>
              <w:bidi w:val="0"/>
              <w:rPr>
                <w:b/>
                <w:bCs/>
                <w:color w:val="auto"/>
                <w:highlight w:val="none"/>
                <w:lang w:val="zh-CN"/>
              </w:rPr>
            </w:pPr>
            <w:r>
              <w:rPr>
                <w:b/>
                <w:bCs/>
                <w:color w:val="auto"/>
                <w:highlight w:val="none"/>
              </w:rPr>
              <w:t>面源</w:t>
            </w:r>
            <w:r>
              <w:rPr>
                <w:rFonts w:hint="eastAsia"/>
                <w:b/>
                <w:bCs/>
                <w:color w:val="auto"/>
                <w:highlight w:val="none"/>
                <w:lang w:eastAsia="zh-CN"/>
              </w:rPr>
              <w:t>海拔</w:t>
            </w:r>
            <w:r>
              <w:rPr>
                <w:b/>
                <w:bCs/>
                <w:color w:val="auto"/>
                <w:highlight w:val="none"/>
              </w:rPr>
              <w:t>/m</w:t>
            </w:r>
          </w:p>
        </w:tc>
        <w:tc>
          <w:tcPr>
            <w:tcW w:w="235" w:type="pct"/>
            <w:vMerge w:val="restart"/>
            <w:tcBorders>
              <w:tl2br w:val="nil"/>
              <w:tr2bl w:val="nil"/>
            </w:tcBorders>
            <w:vAlign w:val="center"/>
          </w:tcPr>
          <w:p w14:paraId="318D0B3E">
            <w:pPr>
              <w:pStyle w:val="17"/>
              <w:bidi w:val="0"/>
              <w:rPr>
                <w:b/>
                <w:bCs/>
                <w:color w:val="auto"/>
                <w:highlight w:val="none"/>
              </w:rPr>
            </w:pPr>
            <w:r>
              <w:rPr>
                <w:b/>
                <w:bCs/>
                <w:color w:val="auto"/>
                <w:highlight w:val="none"/>
              </w:rPr>
              <w:t>面源长度/m</w:t>
            </w:r>
          </w:p>
        </w:tc>
        <w:tc>
          <w:tcPr>
            <w:tcW w:w="415" w:type="pct"/>
            <w:vMerge w:val="restart"/>
            <w:tcBorders>
              <w:tl2br w:val="nil"/>
              <w:tr2bl w:val="nil"/>
            </w:tcBorders>
            <w:vAlign w:val="center"/>
          </w:tcPr>
          <w:p w14:paraId="26B65237">
            <w:pPr>
              <w:pStyle w:val="17"/>
              <w:bidi w:val="0"/>
              <w:rPr>
                <w:b/>
                <w:bCs/>
                <w:color w:val="auto"/>
                <w:highlight w:val="none"/>
              </w:rPr>
            </w:pPr>
            <w:r>
              <w:rPr>
                <w:b/>
                <w:bCs/>
                <w:color w:val="auto"/>
                <w:highlight w:val="none"/>
              </w:rPr>
              <w:t>面源宽度/m</w:t>
            </w:r>
          </w:p>
        </w:tc>
        <w:tc>
          <w:tcPr>
            <w:tcW w:w="496" w:type="pct"/>
            <w:vMerge w:val="restart"/>
            <w:tcBorders>
              <w:tl2br w:val="nil"/>
              <w:tr2bl w:val="nil"/>
            </w:tcBorders>
            <w:vAlign w:val="center"/>
          </w:tcPr>
          <w:p w14:paraId="730E7550">
            <w:pPr>
              <w:pStyle w:val="17"/>
              <w:bidi w:val="0"/>
              <w:rPr>
                <w:b/>
                <w:bCs/>
                <w:color w:val="auto"/>
                <w:highlight w:val="none"/>
              </w:rPr>
            </w:pPr>
            <w:r>
              <w:rPr>
                <w:b/>
                <w:bCs/>
                <w:color w:val="auto"/>
                <w:highlight w:val="none"/>
              </w:rPr>
              <w:t>与正北向夹角/°</w:t>
            </w:r>
          </w:p>
        </w:tc>
        <w:tc>
          <w:tcPr>
            <w:tcW w:w="355" w:type="pct"/>
            <w:vMerge w:val="restart"/>
            <w:tcBorders>
              <w:tl2br w:val="nil"/>
              <w:tr2bl w:val="nil"/>
            </w:tcBorders>
            <w:shd w:val="clear" w:color="auto" w:fill="auto"/>
            <w:vAlign w:val="center"/>
          </w:tcPr>
          <w:p w14:paraId="2E179473">
            <w:pPr>
              <w:pStyle w:val="17"/>
              <w:bidi w:val="0"/>
              <w:ind w:firstLine="0" w:firstLineChars="0"/>
              <w:rPr>
                <w:rFonts w:ascii="Times New Roman" w:hAnsi="Times New Roman" w:eastAsia="宋体" w:cs="Times New Roman"/>
                <w:b/>
                <w:bCs/>
                <w:color w:val="auto"/>
                <w:kern w:val="2"/>
                <w:sz w:val="21"/>
                <w:szCs w:val="21"/>
                <w:highlight w:val="none"/>
                <w:lang w:val="en-US" w:eastAsia="zh-CN" w:bidi="ar-SA"/>
              </w:rPr>
            </w:pPr>
            <w:r>
              <w:rPr>
                <w:b/>
                <w:bCs/>
                <w:color w:val="auto"/>
                <w:highlight w:val="none"/>
              </w:rPr>
              <w:t>面源有效排放高度/m</w:t>
            </w:r>
          </w:p>
        </w:tc>
        <w:tc>
          <w:tcPr>
            <w:tcW w:w="363" w:type="pct"/>
            <w:gridSpan w:val="2"/>
            <w:vMerge w:val="restart"/>
            <w:tcBorders>
              <w:tl2br w:val="nil"/>
              <w:tr2bl w:val="nil"/>
            </w:tcBorders>
            <w:vAlign w:val="center"/>
          </w:tcPr>
          <w:p w14:paraId="4094FB01">
            <w:pPr>
              <w:pStyle w:val="17"/>
              <w:bidi w:val="0"/>
              <w:rPr>
                <w:b/>
                <w:bCs/>
                <w:color w:val="auto"/>
                <w:highlight w:val="none"/>
                <w:lang w:val="zh-CN"/>
              </w:rPr>
            </w:pPr>
            <w:r>
              <w:rPr>
                <w:b/>
                <w:bCs/>
                <w:color w:val="auto"/>
                <w:highlight w:val="none"/>
              </w:rPr>
              <w:t>年排放小时数/h</w:t>
            </w:r>
          </w:p>
        </w:tc>
        <w:tc>
          <w:tcPr>
            <w:tcW w:w="544" w:type="pct"/>
            <w:gridSpan w:val="2"/>
            <w:vMerge w:val="restart"/>
            <w:tcBorders>
              <w:tl2br w:val="nil"/>
              <w:tr2bl w:val="nil"/>
            </w:tcBorders>
            <w:vAlign w:val="center"/>
          </w:tcPr>
          <w:p w14:paraId="6A568EA5">
            <w:pPr>
              <w:pStyle w:val="17"/>
              <w:bidi w:val="0"/>
              <w:rPr>
                <w:b/>
                <w:bCs/>
                <w:color w:val="auto"/>
                <w:highlight w:val="none"/>
                <w:lang w:val="zh-CN"/>
              </w:rPr>
            </w:pPr>
            <w:r>
              <w:rPr>
                <w:b/>
                <w:bCs/>
                <w:color w:val="auto"/>
                <w:highlight w:val="none"/>
              </w:rPr>
              <w:t>排放工况</w:t>
            </w:r>
          </w:p>
        </w:tc>
        <w:tc>
          <w:tcPr>
            <w:tcW w:w="1102" w:type="pct"/>
            <w:gridSpan w:val="3"/>
            <w:tcBorders>
              <w:tl2br w:val="nil"/>
              <w:tr2bl w:val="nil"/>
            </w:tcBorders>
            <w:vAlign w:val="center"/>
          </w:tcPr>
          <w:p w14:paraId="11A551B7">
            <w:pPr>
              <w:pStyle w:val="17"/>
              <w:bidi w:val="0"/>
              <w:rPr>
                <w:b/>
                <w:bCs/>
                <w:color w:val="auto"/>
                <w:highlight w:val="none"/>
              </w:rPr>
            </w:pPr>
            <w:r>
              <w:rPr>
                <w:b/>
                <w:bCs/>
                <w:color w:val="auto"/>
                <w:highlight w:val="none"/>
              </w:rPr>
              <w:t>污染物排放速率/（kg/h）</w:t>
            </w:r>
          </w:p>
        </w:tc>
      </w:tr>
      <w:tr w14:paraId="4444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 w:type="pct"/>
            <w:vMerge w:val="continue"/>
            <w:tcBorders>
              <w:tl2br w:val="nil"/>
              <w:tr2bl w:val="nil"/>
            </w:tcBorders>
            <w:vAlign w:val="center"/>
          </w:tcPr>
          <w:p w14:paraId="23DD9BE9">
            <w:pPr>
              <w:pStyle w:val="17"/>
              <w:bidi w:val="0"/>
              <w:rPr>
                <w:b/>
                <w:bCs/>
                <w:color w:val="auto"/>
                <w:highlight w:val="none"/>
              </w:rPr>
            </w:pPr>
          </w:p>
        </w:tc>
        <w:tc>
          <w:tcPr>
            <w:tcW w:w="377" w:type="pct"/>
            <w:vMerge w:val="continue"/>
            <w:tcBorders>
              <w:tl2br w:val="nil"/>
              <w:tr2bl w:val="nil"/>
            </w:tcBorders>
            <w:vAlign w:val="center"/>
          </w:tcPr>
          <w:p w14:paraId="1643A221">
            <w:pPr>
              <w:pStyle w:val="17"/>
              <w:bidi w:val="0"/>
              <w:rPr>
                <w:b/>
                <w:bCs/>
                <w:color w:val="auto"/>
                <w:highlight w:val="none"/>
              </w:rPr>
            </w:pPr>
          </w:p>
        </w:tc>
        <w:tc>
          <w:tcPr>
            <w:tcW w:w="245" w:type="pct"/>
            <w:tcBorders>
              <w:tl2br w:val="nil"/>
              <w:tr2bl w:val="nil"/>
            </w:tcBorders>
            <w:vAlign w:val="center"/>
          </w:tcPr>
          <w:p w14:paraId="28B2DF22">
            <w:pPr>
              <w:pStyle w:val="17"/>
              <w:bidi w:val="0"/>
              <w:rPr>
                <w:rFonts w:hint="eastAsia"/>
                <w:b/>
                <w:bCs/>
                <w:color w:val="auto"/>
                <w:highlight w:val="none"/>
                <w:lang w:val="en-US" w:eastAsia="zh-CN"/>
              </w:rPr>
            </w:pPr>
            <w:r>
              <w:rPr>
                <w:rFonts w:hint="eastAsia"/>
                <w:b/>
                <w:bCs/>
                <w:color w:val="auto"/>
                <w:highlight w:val="none"/>
                <w:lang w:val="en-US" w:eastAsia="zh-CN"/>
              </w:rPr>
              <w:t>X</w:t>
            </w:r>
          </w:p>
        </w:tc>
        <w:tc>
          <w:tcPr>
            <w:tcW w:w="319" w:type="pct"/>
            <w:tcBorders>
              <w:tl2br w:val="nil"/>
              <w:tr2bl w:val="nil"/>
            </w:tcBorders>
            <w:vAlign w:val="center"/>
          </w:tcPr>
          <w:p w14:paraId="647A4AF6">
            <w:pPr>
              <w:pStyle w:val="17"/>
              <w:bidi w:val="0"/>
              <w:rPr>
                <w:rFonts w:hint="eastAsia"/>
                <w:b/>
                <w:bCs/>
                <w:color w:val="auto"/>
                <w:highlight w:val="none"/>
                <w:lang w:val="en-US" w:eastAsia="zh-CN"/>
              </w:rPr>
            </w:pPr>
            <w:r>
              <w:rPr>
                <w:rFonts w:hint="eastAsia"/>
                <w:b/>
                <w:bCs/>
                <w:color w:val="auto"/>
                <w:highlight w:val="none"/>
                <w:lang w:val="en-US" w:eastAsia="zh-CN"/>
              </w:rPr>
              <w:t>Y</w:t>
            </w:r>
          </w:p>
        </w:tc>
        <w:tc>
          <w:tcPr>
            <w:tcW w:w="336" w:type="pct"/>
            <w:vMerge w:val="continue"/>
            <w:tcBorders>
              <w:tl2br w:val="nil"/>
              <w:tr2bl w:val="nil"/>
            </w:tcBorders>
            <w:vAlign w:val="center"/>
          </w:tcPr>
          <w:p w14:paraId="1A943F30">
            <w:pPr>
              <w:pStyle w:val="17"/>
              <w:bidi w:val="0"/>
              <w:rPr>
                <w:b/>
                <w:bCs/>
                <w:color w:val="auto"/>
                <w:highlight w:val="none"/>
              </w:rPr>
            </w:pPr>
          </w:p>
        </w:tc>
        <w:tc>
          <w:tcPr>
            <w:tcW w:w="235" w:type="pct"/>
            <w:vMerge w:val="continue"/>
            <w:tcBorders>
              <w:tl2br w:val="nil"/>
              <w:tr2bl w:val="nil"/>
            </w:tcBorders>
            <w:vAlign w:val="center"/>
          </w:tcPr>
          <w:p w14:paraId="735CD920">
            <w:pPr>
              <w:pStyle w:val="17"/>
              <w:bidi w:val="0"/>
              <w:rPr>
                <w:b/>
                <w:bCs/>
                <w:color w:val="auto"/>
                <w:highlight w:val="none"/>
              </w:rPr>
            </w:pPr>
          </w:p>
        </w:tc>
        <w:tc>
          <w:tcPr>
            <w:tcW w:w="415" w:type="pct"/>
            <w:vMerge w:val="continue"/>
            <w:tcBorders>
              <w:tl2br w:val="nil"/>
              <w:tr2bl w:val="nil"/>
            </w:tcBorders>
            <w:vAlign w:val="center"/>
          </w:tcPr>
          <w:p w14:paraId="6266D633">
            <w:pPr>
              <w:pStyle w:val="17"/>
              <w:bidi w:val="0"/>
              <w:rPr>
                <w:b/>
                <w:bCs/>
                <w:color w:val="auto"/>
                <w:highlight w:val="none"/>
              </w:rPr>
            </w:pPr>
          </w:p>
        </w:tc>
        <w:tc>
          <w:tcPr>
            <w:tcW w:w="496" w:type="pct"/>
            <w:vMerge w:val="continue"/>
            <w:tcBorders>
              <w:tl2br w:val="nil"/>
              <w:tr2bl w:val="nil"/>
            </w:tcBorders>
            <w:vAlign w:val="center"/>
          </w:tcPr>
          <w:p w14:paraId="521341EA">
            <w:pPr>
              <w:pStyle w:val="17"/>
              <w:bidi w:val="0"/>
              <w:rPr>
                <w:b/>
                <w:bCs/>
                <w:color w:val="auto"/>
                <w:highlight w:val="none"/>
              </w:rPr>
            </w:pPr>
          </w:p>
        </w:tc>
        <w:tc>
          <w:tcPr>
            <w:tcW w:w="355" w:type="pct"/>
            <w:vMerge w:val="continue"/>
            <w:tcBorders>
              <w:tl2br w:val="nil"/>
              <w:tr2bl w:val="nil"/>
            </w:tcBorders>
            <w:vAlign w:val="center"/>
          </w:tcPr>
          <w:p w14:paraId="5EF8FA4C">
            <w:pPr>
              <w:pStyle w:val="17"/>
              <w:bidi w:val="0"/>
              <w:rPr>
                <w:b/>
                <w:bCs/>
                <w:color w:val="auto"/>
                <w:highlight w:val="none"/>
              </w:rPr>
            </w:pPr>
          </w:p>
        </w:tc>
        <w:tc>
          <w:tcPr>
            <w:tcW w:w="363" w:type="pct"/>
            <w:gridSpan w:val="2"/>
            <w:vMerge w:val="continue"/>
            <w:tcBorders>
              <w:tl2br w:val="nil"/>
              <w:tr2bl w:val="nil"/>
            </w:tcBorders>
            <w:vAlign w:val="center"/>
          </w:tcPr>
          <w:p w14:paraId="41B19029">
            <w:pPr>
              <w:pStyle w:val="17"/>
              <w:bidi w:val="0"/>
              <w:rPr>
                <w:b/>
                <w:bCs/>
                <w:color w:val="auto"/>
                <w:highlight w:val="none"/>
              </w:rPr>
            </w:pPr>
          </w:p>
        </w:tc>
        <w:tc>
          <w:tcPr>
            <w:tcW w:w="544" w:type="pct"/>
            <w:gridSpan w:val="2"/>
            <w:vMerge w:val="continue"/>
            <w:tcBorders>
              <w:tl2br w:val="nil"/>
              <w:tr2bl w:val="nil"/>
            </w:tcBorders>
            <w:vAlign w:val="center"/>
          </w:tcPr>
          <w:p w14:paraId="1BF264E2">
            <w:pPr>
              <w:pStyle w:val="17"/>
              <w:bidi w:val="0"/>
              <w:rPr>
                <w:b/>
                <w:bCs/>
                <w:color w:val="auto"/>
                <w:highlight w:val="none"/>
              </w:rPr>
            </w:pPr>
          </w:p>
        </w:tc>
        <w:tc>
          <w:tcPr>
            <w:tcW w:w="1102" w:type="pct"/>
            <w:gridSpan w:val="3"/>
            <w:tcBorders>
              <w:tl2br w:val="nil"/>
              <w:tr2bl w:val="nil"/>
            </w:tcBorders>
            <w:vAlign w:val="center"/>
          </w:tcPr>
          <w:p w14:paraId="5BF6768B">
            <w:pPr>
              <w:pStyle w:val="17"/>
              <w:bidi w:val="0"/>
              <w:rPr>
                <w:rFonts w:hint="eastAsia"/>
                <w:b/>
                <w:bCs/>
                <w:color w:val="auto"/>
                <w:highlight w:val="none"/>
                <w:lang w:val="en-US" w:eastAsia="zh-CN"/>
              </w:rPr>
            </w:pPr>
            <w:r>
              <w:rPr>
                <w:b/>
                <w:bCs/>
                <w:color w:val="auto"/>
                <w:highlight w:val="none"/>
              </w:rPr>
              <w:t>TSP</w:t>
            </w:r>
          </w:p>
        </w:tc>
      </w:tr>
      <w:tr w14:paraId="18BD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09" w:type="pct"/>
            <w:tcBorders>
              <w:tl2br w:val="nil"/>
              <w:tr2bl w:val="nil"/>
            </w:tcBorders>
            <w:vAlign w:val="center"/>
          </w:tcPr>
          <w:p w14:paraId="53ED0A40">
            <w:pPr>
              <w:pStyle w:val="17"/>
              <w:bidi w:val="0"/>
              <w:rPr>
                <w:rFonts w:hint="eastAsia"/>
                <w:color w:val="auto"/>
                <w:highlight w:val="none"/>
                <w:lang w:eastAsia="zh-CN"/>
              </w:rPr>
            </w:pPr>
            <w:r>
              <w:rPr>
                <w:color w:val="auto"/>
                <w:highlight w:val="none"/>
              </w:rPr>
              <w:t>P</w:t>
            </w:r>
            <w:r>
              <w:rPr>
                <w:rFonts w:hint="eastAsia"/>
                <w:color w:val="auto"/>
                <w:highlight w:val="none"/>
                <w:lang w:val="en-US" w:eastAsia="zh-CN"/>
              </w:rPr>
              <w:t>6</w:t>
            </w:r>
          </w:p>
        </w:tc>
        <w:tc>
          <w:tcPr>
            <w:tcW w:w="377" w:type="pct"/>
            <w:tcBorders>
              <w:tl2br w:val="nil"/>
              <w:tr2bl w:val="nil"/>
            </w:tcBorders>
            <w:vAlign w:val="center"/>
          </w:tcPr>
          <w:p w14:paraId="54C06653">
            <w:pPr>
              <w:pStyle w:val="17"/>
              <w:bidi w:val="0"/>
              <w:rPr>
                <w:color w:val="auto"/>
                <w:highlight w:val="none"/>
                <w:lang w:val="zh-CN"/>
              </w:rPr>
            </w:pPr>
            <w:r>
              <w:rPr>
                <w:color w:val="auto"/>
                <w:highlight w:val="none"/>
              </w:rPr>
              <w:t>尾矿库</w:t>
            </w:r>
          </w:p>
        </w:tc>
        <w:tc>
          <w:tcPr>
            <w:tcW w:w="245" w:type="pct"/>
            <w:tcBorders>
              <w:tl2br w:val="nil"/>
              <w:tr2bl w:val="nil"/>
            </w:tcBorders>
            <w:vAlign w:val="center"/>
          </w:tcPr>
          <w:p w14:paraId="2936C40B">
            <w:pPr>
              <w:pStyle w:val="17"/>
              <w:bidi w:val="0"/>
              <w:rPr>
                <w:rFonts w:hint="default"/>
                <w:color w:val="auto"/>
                <w:highlight w:val="none"/>
                <w:lang w:val="en-US" w:eastAsia="zh-CN"/>
              </w:rPr>
            </w:pPr>
            <w:r>
              <w:rPr>
                <w:rFonts w:hint="eastAsia"/>
                <w:color w:val="auto"/>
                <w:highlight w:val="none"/>
                <w:lang w:val="en-US" w:eastAsia="zh-CN"/>
              </w:rPr>
              <w:t>6090</w:t>
            </w:r>
          </w:p>
        </w:tc>
        <w:tc>
          <w:tcPr>
            <w:tcW w:w="319" w:type="pct"/>
            <w:tcBorders>
              <w:tl2br w:val="nil"/>
              <w:tr2bl w:val="nil"/>
            </w:tcBorders>
            <w:vAlign w:val="center"/>
          </w:tcPr>
          <w:p w14:paraId="5B5928E5">
            <w:pPr>
              <w:pStyle w:val="17"/>
              <w:bidi w:val="0"/>
              <w:rPr>
                <w:rFonts w:hint="default"/>
                <w:color w:val="auto"/>
                <w:highlight w:val="none"/>
                <w:lang w:val="en-US" w:eastAsia="zh-CN"/>
              </w:rPr>
            </w:pPr>
            <w:r>
              <w:rPr>
                <w:rFonts w:hint="eastAsia"/>
                <w:color w:val="auto"/>
                <w:highlight w:val="none"/>
                <w:lang w:val="en-US" w:eastAsia="zh-CN"/>
              </w:rPr>
              <w:t>-2384</w:t>
            </w:r>
          </w:p>
        </w:tc>
        <w:tc>
          <w:tcPr>
            <w:tcW w:w="336" w:type="pct"/>
            <w:tcBorders>
              <w:tl2br w:val="nil"/>
              <w:tr2bl w:val="nil"/>
            </w:tcBorders>
            <w:vAlign w:val="center"/>
          </w:tcPr>
          <w:p w14:paraId="0ACB242B">
            <w:pPr>
              <w:pStyle w:val="17"/>
              <w:bidi w:val="0"/>
              <w:rPr>
                <w:rFonts w:hint="default"/>
                <w:color w:val="auto"/>
                <w:highlight w:val="none"/>
                <w:lang w:val="en-US" w:eastAsia="zh-CN"/>
              </w:rPr>
            </w:pPr>
            <w:r>
              <w:rPr>
                <w:rFonts w:hint="eastAsia"/>
                <w:color w:val="auto"/>
                <w:highlight w:val="none"/>
                <w:lang w:val="en-US" w:eastAsia="zh-CN"/>
              </w:rPr>
              <w:t>3105</w:t>
            </w:r>
          </w:p>
        </w:tc>
        <w:tc>
          <w:tcPr>
            <w:tcW w:w="235" w:type="pct"/>
            <w:tcBorders>
              <w:tl2br w:val="nil"/>
              <w:tr2bl w:val="nil"/>
            </w:tcBorders>
            <w:vAlign w:val="center"/>
          </w:tcPr>
          <w:p w14:paraId="464A54B8">
            <w:pPr>
              <w:pStyle w:val="17"/>
              <w:bidi w:val="0"/>
              <w:rPr>
                <w:rFonts w:hint="default"/>
                <w:color w:val="auto"/>
                <w:highlight w:val="none"/>
                <w:lang w:val="en-US" w:eastAsia="zh-CN"/>
              </w:rPr>
            </w:pPr>
            <w:r>
              <w:rPr>
                <w:rFonts w:hint="eastAsia"/>
                <w:color w:val="auto"/>
                <w:highlight w:val="none"/>
                <w:lang w:val="en-US" w:eastAsia="zh-CN"/>
              </w:rPr>
              <w:t>1330</w:t>
            </w:r>
          </w:p>
        </w:tc>
        <w:tc>
          <w:tcPr>
            <w:tcW w:w="415" w:type="pct"/>
            <w:tcBorders>
              <w:tl2br w:val="nil"/>
              <w:tr2bl w:val="nil"/>
            </w:tcBorders>
            <w:vAlign w:val="center"/>
          </w:tcPr>
          <w:p w14:paraId="4DFA02A0">
            <w:pPr>
              <w:pStyle w:val="17"/>
              <w:bidi w:val="0"/>
              <w:rPr>
                <w:rFonts w:hint="default"/>
                <w:color w:val="auto"/>
                <w:highlight w:val="none"/>
                <w:lang w:val="en-US" w:eastAsia="zh-CN"/>
              </w:rPr>
            </w:pPr>
            <w:r>
              <w:rPr>
                <w:rFonts w:hint="eastAsia"/>
                <w:color w:val="auto"/>
                <w:highlight w:val="none"/>
                <w:lang w:val="en-US" w:eastAsia="zh-CN"/>
              </w:rPr>
              <w:t>900</w:t>
            </w:r>
          </w:p>
        </w:tc>
        <w:tc>
          <w:tcPr>
            <w:tcW w:w="496" w:type="pct"/>
            <w:tcBorders>
              <w:tl2br w:val="nil"/>
              <w:tr2bl w:val="nil"/>
            </w:tcBorders>
            <w:vAlign w:val="center"/>
          </w:tcPr>
          <w:p w14:paraId="222FB222">
            <w:pPr>
              <w:pStyle w:val="17"/>
              <w:bidi w:val="0"/>
              <w:rPr>
                <w:rFonts w:hint="default"/>
                <w:color w:val="auto"/>
                <w:highlight w:val="none"/>
                <w:lang w:val="en-US" w:eastAsia="zh-CN"/>
              </w:rPr>
            </w:pPr>
            <w:r>
              <w:rPr>
                <w:rFonts w:hint="eastAsia"/>
                <w:color w:val="auto"/>
                <w:highlight w:val="none"/>
                <w:lang w:val="en-US" w:eastAsia="zh-CN"/>
              </w:rPr>
              <w:t>45</w:t>
            </w:r>
          </w:p>
        </w:tc>
        <w:tc>
          <w:tcPr>
            <w:tcW w:w="355" w:type="pct"/>
            <w:tcBorders>
              <w:tl2br w:val="nil"/>
              <w:tr2bl w:val="nil"/>
            </w:tcBorders>
            <w:vAlign w:val="center"/>
          </w:tcPr>
          <w:p w14:paraId="7FBB1817">
            <w:pPr>
              <w:pStyle w:val="17"/>
              <w:bidi w:val="0"/>
              <w:rPr>
                <w:rFonts w:hint="default"/>
                <w:color w:val="auto"/>
                <w:highlight w:val="none"/>
                <w:lang w:val="en-US" w:eastAsia="zh-CN"/>
              </w:rPr>
            </w:pPr>
            <w:r>
              <w:rPr>
                <w:rFonts w:hint="eastAsia"/>
                <w:color w:val="auto"/>
                <w:highlight w:val="none"/>
                <w:lang w:val="en-US" w:eastAsia="zh-CN"/>
              </w:rPr>
              <w:t>73</w:t>
            </w:r>
          </w:p>
        </w:tc>
        <w:tc>
          <w:tcPr>
            <w:tcW w:w="363" w:type="pct"/>
            <w:gridSpan w:val="2"/>
            <w:tcBorders>
              <w:tl2br w:val="nil"/>
              <w:tr2bl w:val="nil"/>
            </w:tcBorders>
            <w:vAlign w:val="center"/>
          </w:tcPr>
          <w:p w14:paraId="20B38AFE">
            <w:pPr>
              <w:pStyle w:val="17"/>
              <w:bidi w:val="0"/>
              <w:rPr>
                <w:color w:val="auto"/>
                <w:highlight w:val="none"/>
              </w:rPr>
            </w:pPr>
            <w:r>
              <w:rPr>
                <w:color w:val="auto"/>
                <w:highlight w:val="none"/>
              </w:rPr>
              <w:t>8760</w:t>
            </w:r>
          </w:p>
        </w:tc>
        <w:tc>
          <w:tcPr>
            <w:tcW w:w="544" w:type="pct"/>
            <w:gridSpan w:val="2"/>
            <w:tcBorders>
              <w:tl2br w:val="nil"/>
              <w:tr2bl w:val="nil"/>
            </w:tcBorders>
            <w:vAlign w:val="center"/>
          </w:tcPr>
          <w:p w14:paraId="5EB3BC96">
            <w:pPr>
              <w:pStyle w:val="17"/>
              <w:bidi w:val="0"/>
              <w:rPr>
                <w:color w:val="auto"/>
                <w:highlight w:val="none"/>
              </w:rPr>
            </w:pPr>
            <w:r>
              <w:rPr>
                <w:color w:val="auto"/>
                <w:highlight w:val="none"/>
              </w:rPr>
              <w:t>正常</w:t>
            </w:r>
          </w:p>
        </w:tc>
        <w:tc>
          <w:tcPr>
            <w:tcW w:w="1102" w:type="pct"/>
            <w:gridSpan w:val="3"/>
            <w:tcBorders>
              <w:tl2br w:val="nil"/>
              <w:tr2bl w:val="nil"/>
            </w:tcBorders>
            <w:vAlign w:val="center"/>
          </w:tcPr>
          <w:p w14:paraId="58B96BC6">
            <w:pPr>
              <w:pStyle w:val="17"/>
              <w:bidi w:val="0"/>
              <w:rPr>
                <w:rFonts w:hint="default"/>
                <w:color w:val="auto"/>
                <w:highlight w:val="none"/>
                <w:lang w:val="en-US" w:eastAsia="zh-CN"/>
              </w:rPr>
            </w:pPr>
            <w:r>
              <w:rPr>
                <w:rFonts w:hint="eastAsia"/>
                <w:color w:val="auto"/>
                <w:highlight w:val="none"/>
                <w:lang w:val="en-US" w:eastAsia="zh-CN"/>
              </w:rPr>
              <w:t>0.0581</w:t>
            </w:r>
          </w:p>
        </w:tc>
      </w:tr>
      <w:tr w14:paraId="7DFE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9" w:type="pct"/>
            <w:tcBorders>
              <w:tl2br w:val="nil"/>
              <w:tr2bl w:val="nil"/>
            </w:tcBorders>
            <w:vAlign w:val="center"/>
          </w:tcPr>
          <w:p w14:paraId="5BB76FC9">
            <w:pPr>
              <w:pStyle w:val="17"/>
              <w:bidi w:val="0"/>
              <w:rPr>
                <w:rFonts w:hint="default"/>
                <w:color w:val="auto"/>
                <w:highlight w:val="none"/>
                <w:lang w:val="en-US" w:eastAsia="zh-CN"/>
              </w:rPr>
            </w:pPr>
            <w:r>
              <w:rPr>
                <w:rFonts w:hint="eastAsia"/>
                <w:color w:val="auto"/>
                <w:highlight w:val="none"/>
                <w:lang w:val="en-US" w:eastAsia="zh-CN"/>
              </w:rPr>
              <w:t>P7</w:t>
            </w:r>
          </w:p>
        </w:tc>
        <w:tc>
          <w:tcPr>
            <w:tcW w:w="377" w:type="pct"/>
            <w:tcBorders>
              <w:tl2br w:val="nil"/>
              <w:tr2bl w:val="nil"/>
            </w:tcBorders>
            <w:vAlign w:val="center"/>
          </w:tcPr>
          <w:p w14:paraId="6500D476">
            <w:pPr>
              <w:pStyle w:val="17"/>
              <w:bidi w:val="0"/>
              <w:rPr>
                <w:rFonts w:hint="default"/>
                <w:color w:val="auto"/>
                <w:highlight w:val="none"/>
                <w:lang w:val="en-US" w:eastAsia="zh-CN"/>
              </w:rPr>
            </w:pPr>
            <w:r>
              <w:rPr>
                <w:rFonts w:hint="eastAsia"/>
                <w:color w:val="auto"/>
                <w:highlight w:val="none"/>
                <w:lang w:val="en-US" w:eastAsia="zh-CN"/>
              </w:rPr>
              <w:t>废石堆场</w:t>
            </w:r>
          </w:p>
        </w:tc>
        <w:tc>
          <w:tcPr>
            <w:tcW w:w="245" w:type="pct"/>
            <w:tcBorders>
              <w:tl2br w:val="nil"/>
              <w:tr2bl w:val="nil"/>
            </w:tcBorders>
            <w:vAlign w:val="center"/>
          </w:tcPr>
          <w:p w14:paraId="0B13A1C1">
            <w:pPr>
              <w:pStyle w:val="17"/>
              <w:bidi w:val="0"/>
              <w:rPr>
                <w:rFonts w:hint="eastAsia"/>
                <w:color w:val="auto"/>
                <w:highlight w:val="none"/>
                <w:lang w:val="en-US" w:eastAsia="zh-CN"/>
              </w:rPr>
            </w:pPr>
            <w:r>
              <w:rPr>
                <w:rFonts w:hint="eastAsia"/>
                <w:color w:val="auto"/>
                <w:highlight w:val="none"/>
                <w:lang w:val="en-US" w:eastAsia="zh-CN"/>
              </w:rPr>
              <w:t>3405</w:t>
            </w:r>
          </w:p>
        </w:tc>
        <w:tc>
          <w:tcPr>
            <w:tcW w:w="319" w:type="pct"/>
            <w:tcBorders>
              <w:tl2br w:val="nil"/>
              <w:tr2bl w:val="nil"/>
            </w:tcBorders>
            <w:vAlign w:val="center"/>
          </w:tcPr>
          <w:p w14:paraId="7E91C70C">
            <w:pPr>
              <w:pStyle w:val="17"/>
              <w:bidi w:val="0"/>
              <w:rPr>
                <w:rFonts w:hint="eastAsia"/>
                <w:color w:val="auto"/>
                <w:highlight w:val="none"/>
                <w:lang w:val="en-US" w:eastAsia="zh-CN"/>
              </w:rPr>
            </w:pPr>
            <w:r>
              <w:rPr>
                <w:rFonts w:hint="eastAsia"/>
                <w:color w:val="auto"/>
                <w:highlight w:val="none"/>
                <w:lang w:val="en-US" w:eastAsia="zh-CN"/>
              </w:rPr>
              <w:t>-1113</w:t>
            </w:r>
          </w:p>
        </w:tc>
        <w:tc>
          <w:tcPr>
            <w:tcW w:w="336" w:type="pct"/>
            <w:tcBorders>
              <w:tl2br w:val="nil"/>
              <w:tr2bl w:val="nil"/>
            </w:tcBorders>
            <w:vAlign w:val="center"/>
          </w:tcPr>
          <w:p w14:paraId="7CE8EA18">
            <w:pPr>
              <w:pStyle w:val="17"/>
              <w:bidi w:val="0"/>
              <w:rPr>
                <w:rFonts w:hint="eastAsia"/>
                <w:color w:val="auto"/>
                <w:highlight w:val="none"/>
                <w:lang w:val="en-US" w:eastAsia="zh-CN"/>
              </w:rPr>
            </w:pPr>
            <w:r>
              <w:rPr>
                <w:rFonts w:hint="eastAsia"/>
                <w:color w:val="auto"/>
                <w:highlight w:val="none"/>
                <w:lang w:val="en-US" w:eastAsia="zh-CN"/>
              </w:rPr>
              <w:t>3082</w:t>
            </w:r>
          </w:p>
        </w:tc>
        <w:tc>
          <w:tcPr>
            <w:tcW w:w="235" w:type="pct"/>
            <w:tcBorders>
              <w:tl2br w:val="nil"/>
              <w:tr2bl w:val="nil"/>
            </w:tcBorders>
            <w:vAlign w:val="center"/>
          </w:tcPr>
          <w:p w14:paraId="2478E0B5">
            <w:pPr>
              <w:pStyle w:val="17"/>
              <w:bidi w:val="0"/>
              <w:rPr>
                <w:rFonts w:hint="default"/>
                <w:color w:val="auto"/>
                <w:highlight w:val="none"/>
                <w:lang w:val="en-US" w:eastAsia="zh-CN"/>
              </w:rPr>
            </w:pPr>
            <w:r>
              <w:rPr>
                <w:rFonts w:hint="eastAsia"/>
                <w:color w:val="auto"/>
                <w:highlight w:val="none"/>
                <w:lang w:val="en-US" w:eastAsia="zh-CN"/>
              </w:rPr>
              <w:t>900</w:t>
            </w:r>
          </w:p>
        </w:tc>
        <w:tc>
          <w:tcPr>
            <w:tcW w:w="415" w:type="pct"/>
            <w:tcBorders>
              <w:tl2br w:val="nil"/>
              <w:tr2bl w:val="nil"/>
            </w:tcBorders>
            <w:vAlign w:val="center"/>
          </w:tcPr>
          <w:p w14:paraId="0FCB9892">
            <w:pPr>
              <w:pStyle w:val="17"/>
              <w:bidi w:val="0"/>
              <w:rPr>
                <w:rFonts w:hint="default"/>
                <w:color w:val="auto"/>
                <w:highlight w:val="none"/>
                <w:lang w:val="en-US" w:eastAsia="zh-CN"/>
              </w:rPr>
            </w:pPr>
            <w:r>
              <w:rPr>
                <w:rFonts w:hint="eastAsia"/>
                <w:color w:val="auto"/>
                <w:highlight w:val="none"/>
                <w:lang w:val="en-US" w:eastAsia="zh-CN"/>
              </w:rPr>
              <w:t>300</w:t>
            </w:r>
          </w:p>
        </w:tc>
        <w:tc>
          <w:tcPr>
            <w:tcW w:w="496" w:type="pct"/>
            <w:tcBorders>
              <w:tl2br w:val="nil"/>
              <w:tr2bl w:val="nil"/>
            </w:tcBorders>
            <w:vAlign w:val="center"/>
          </w:tcPr>
          <w:p w14:paraId="006FDE48">
            <w:pPr>
              <w:pStyle w:val="17"/>
              <w:bidi w:val="0"/>
              <w:rPr>
                <w:rFonts w:hint="default"/>
                <w:color w:val="auto"/>
                <w:highlight w:val="none"/>
                <w:lang w:val="en-US" w:eastAsia="zh-CN"/>
              </w:rPr>
            </w:pPr>
            <w:r>
              <w:rPr>
                <w:rFonts w:hint="eastAsia"/>
                <w:color w:val="auto"/>
                <w:highlight w:val="none"/>
                <w:lang w:val="en-US" w:eastAsia="zh-CN"/>
              </w:rPr>
              <w:t>-30</w:t>
            </w:r>
          </w:p>
        </w:tc>
        <w:tc>
          <w:tcPr>
            <w:tcW w:w="355" w:type="pct"/>
            <w:tcBorders>
              <w:tl2br w:val="nil"/>
              <w:tr2bl w:val="nil"/>
            </w:tcBorders>
            <w:vAlign w:val="center"/>
          </w:tcPr>
          <w:p w14:paraId="57F442A3">
            <w:pPr>
              <w:pStyle w:val="17"/>
              <w:bidi w:val="0"/>
              <w:rPr>
                <w:rFonts w:hint="default"/>
                <w:color w:val="auto"/>
                <w:highlight w:val="none"/>
                <w:lang w:val="en-US" w:eastAsia="zh-CN"/>
              </w:rPr>
            </w:pPr>
            <w:r>
              <w:rPr>
                <w:rFonts w:hint="eastAsia"/>
                <w:color w:val="auto"/>
                <w:highlight w:val="none"/>
                <w:lang w:val="en-US" w:eastAsia="zh-CN"/>
              </w:rPr>
              <w:t>86</w:t>
            </w:r>
          </w:p>
        </w:tc>
        <w:tc>
          <w:tcPr>
            <w:tcW w:w="363" w:type="pct"/>
            <w:gridSpan w:val="2"/>
            <w:tcBorders>
              <w:tl2br w:val="nil"/>
              <w:tr2bl w:val="nil"/>
            </w:tcBorders>
            <w:vAlign w:val="center"/>
          </w:tcPr>
          <w:p w14:paraId="2EBE6531">
            <w:pPr>
              <w:pStyle w:val="17"/>
              <w:bidi w:val="0"/>
              <w:rPr>
                <w:color w:val="auto"/>
                <w:highlight w:val="none"/>
              </w:rPr>
            </w:pPr>
            <w:r>
              <w:rPr>
                <w:color w:val="auto"/>
                <w:highlight w:val="none"/>
              </w:rPr>
              <w:t>8760</w:t>
            </w:r>
          </w:p>
        </w:tc>
        <w:tc>
          <w:tcPr>
            <w:tcW w:w="544" w:type="pct"/>
            <w:gridSpan w:val="2"/>
            <w:tcBorders>
              <w:tl2br w:val="nil"/>
              <w:tr2bl w:val="nil"/>
            </w:tcBorders>
            <w:vAlign w:val="center"/>
          </w:tcPr>
          <w:p w14:paraId="5FC6ADD1">
            <w:pPr>
              <w:pStyle w:val="17"/>
              <w:bidi w:val="0"/>
              <w:rPr>
                <w:color w:val="auto"/>
                <w:highlight w:val="none"/>
              </w:rPr>
            </w:pPr>
            <w:r>
              <w:rPr>
                <w:color w:val="auto"/>
                <w:highlight w:val="none"/>
              </w:rPr>
              <w:t>正常</w:t>
            </w:r>
          </w:p>
        </w:tc>
        <w:tc>
          <w:tcPr>
            <w:tcW w:w="1102" w:type="pct"/>
            <w:gridSpan w:val="3"/>
            <w:tcBorders>
              <w:tl2br w:val="nil"/>
              <w:tr2bl w:val="nil"/>
            </w:tcBorders>
            <w:vAlign w:val="center"/>
          </w:tcPr>
          <w:p w14:paraId="28A3488A">
            <w:pPr>
              <w:pStyle w:val="17"/>
              <w:bidi w:val="0"/>
              <w:rPr>
                <w:rFonts w:hint="default"/>
                <w:color w:val="auto"/>
                <w:highlight w:val="none"/>
                <w:lang w:val="en-US"/>
              </w:rPr>
            </w:pPr>
            <w:r>
              <w:rPr>
                <w:rFonts w:hint="eastAsia"/>
                <w:color w:val="auto"/>
                <w:highlight w:val="none"/>
                <w:lang w:val="en-US" w:eastAsia="zh-CN"/>
              </w:rPr>
              <w:t>1.46</w:t>
            </w:r>
          </w:p>
        </w:tc>
      </w:tr>
    </w:tbl>
    <w:p w14:paraId="15C73A72">
      <w:pPr>
        <w:ind w:firstLine="0" w:firstLineChars="0"/>
        <w:jc w:val="center"/>
        <w:rPr>
          <w:rFonts w:hint="default" w:ascii="Times New Roman" w:hAnsi="Times New Roman" w:cs="Times New Roman"/>
          <w:b/>
          <w:color w:val="auto"/>
          <w:kern w:val="0"/>
          <w:highlight w:val="none"/>
        </w:rPr>
        <w:sectPr>
          <w:pgSz w:w="16838" w:h="11906" w:orient="landscape"/>
          <w:pgMar w:top="1800" w:right="1440" w:bottom="1800" w:left="1440" w:header="851" w:footer="992" w:gutter="0"/>
          <w:cols w:space="425" w:num="1"/>
          <w:docGrid w:type="lines" w:linePitch="312" w:charSpace="0"/>
        </w:sectPr>
      </w:pPr>
    </w:p>
    <w:p w14:paraId="376F2AD2">
      <w:pPr>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表2.6-4    污染物最大落地浓度统计表</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143"/>
        <w:gridCol w:w="1333"/>
        <w:gridCol w:w="1506"/>
        <w:gridCol w:w="1497"/>
        <w:gridCol w:w="1188"/>
        <w:gridCol w:w="875"/>
      </w:tblGrid>
      <w:tr w14:paraId="249C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86" w:type="pct"/>
            <w:vAlign w:val="center"/>
          </w:tcPr>
          <w:p w14:paraId="1CEFB536">
            <w:pPr>
              <w:pStyle w:val="17"/>
              <w:bidi w:val="0"/>
              <w:rPr>
                <w:rFonts w:hint="default"/>
                <w:color w:val="auto"/>
                <w:highlight w:val="none"/>
              </w:rPr>
            </w:pPr>
            <w:r>
              <w:rPr>
                <w:rFonts w:hint="default"/>
                <w:color w:val="auto"/>
                <w:highlight w:val="none"/>
              </w:rPr>
              <w:t>污染源</w:t>
            </w:r>
          </w:p>
        </w:tc>
        <w:tc>
          <w:tcPr>
            <w:tcW w:w="623" w:type="pct"/>
            <w:vAlign w:val="center"/>
          </w:tcPr>
          <w:p w14:paraId="0F72E10D">
            <w:pPr>
              <w:pStyle w:val="17"/>
              <w:bidi w:val="0"/>
              <w:rPr>
                <w:rFonts w:hint="default"/>
                <w:color w:val="auto"/>
                <w:highlight w:val="none"/>
              </w:rPr>
            </w:pPr>
            <w:r>
              <w:rPr>
                <w:rFonts w:hint="default"/>
                <w:color w:val="auto"/>
                <w:highlight w:val="none"/>
              </w:rPr>
              <w:t>污染物</w:t>
            </w:r>
          </w:p>
        </w:tc>
        <w:tc>
          <w:tcPr>
            <w:tcW w:w="726" w:type="pct"/>
            <w:vAlign w:val="center"/>
          </w:tcPr>
          <w:p w14:paraId="23C89795">
            <w:pPr>
              <w:pStyle w:val="17"/>
              <w:bidi w:val="0"/>
              <w:rPr>
                <w:rFonts w:hint="default"/>
                <w:color w:val="auto"/>
                <w:highlight w:val="none"/>
              </w:rPr>
            </w:pPr>
            <w:r>
              <w:rPr>
                <w:rFonts w:hint="default"/>
                <w:color w:val="auto"/>
                <w:highlight w:val="none"/>
                <w:lang w:val="en-US" w:eastAsia="zh-CN"/>
              </w:rPr>
              <w:t>评价标准（μg/m³）</w:t>
            </w:r>
          </w:p>
        </w:tc>
        <w:tc>
          <w:tcPr>
            <w:tcW w:w="821" w:type="pct"/>
            <w:vAlign w:val="center"/>
          </w:tcPr>
          <w:p w14:paraId="0F88F8EA">
            <w:pPr>
              <w:pStyle w:val="17"/>
              <w:bidi w:val="0"/>
              <w:rPr>
                <w:rFonts w:hint="default"/>
                <w:color w:val="auto"/>
                <w:highlight w:val="none"/>
              </w:rPr>
            </w:pPr>
            <w:r>
              <w:rPr>
                <w:rFonts w:hint="default"/>
                <w:color w:val="auto"/>
                <w:highlight w:val="none"/>
              </w:rPr>
              <w:t>最大落地浓度（mg/m</w:t>
            </w:r>
            <w:r>
              <w:rPr>
                <w:rFonts w:hint="default"/>
                <w:color w:val="auto"/>
                <w:highlight w:val="none"/>
                <w:vertAlign w:val="superscript"/>
              </w:rPr>
              <w:t>3</w:t>
            </w:r>
            <w:r>
              <w:rPr>
                <w:rFonts w:hint="default"/>
                <w:color w:val="auto"/>
                <w:highlight w:val="none"/>
              </w:rPr>
              <w:t>）</w:t>
            </w:r>
          </w:p>
        </w:tc>
        <w:tc>
          <w:tcPr>
            <w:tcW w:w="816" w:type="pct"/>
            <w:vAlign w:val="center"/>
          </w:tcPr>
          <w:p w14:paraId="4CBB3C4E">
            <w:pPr>
              <w:pStyle w:val="17"/>
              <w:bidi w:val="0"/>
              <w:rPr>
                <w:rFonts w:hint="default"/>
                <w:color w:val="auto"/>
                <w:highlight w:val="none"/>
                <w:lang w:eastAsia="zh-CN"/>
              </w:rPr>
            </w:pPr>
            <w:r>
              <w:rPr>
                <w:rFonts w:hint="default"/>
                <w:color w:val="auto"/>
                <w:highlight w:val="none"/>
                <w:lang w:val="en-US" w:eastAsia="zh-CN"/>
              </w:rPr>
              <w:t>最大浓度落地距离</w:t>
            </w:r>
            <w:r>
              <w:rPr>
                <w:rFonts w:hint="eastAsia"/>
                <w:color w:val="auto"/>
                <w:highlight w:val="none"/>
                <w:lang w:val="en-US" w:eastAsia="zh-CN"/>
              </w:rPr>
              <w:t>（</w:t>
            </w:r>
            <w:r>
              <w:rPr>
                <w:rFonts w:hint="default"/>
                <w:color w:val="auto"/>
                <w:highlight w:val="none"/>
                <w:lang w:val="en-US" w:eastAsia="zh-CN"/>
              </w:rPr>
              <w:t>m</w:t>
            </w:r>
            <w:r>
              <w:rPr>
                <w:rFonts w:hint="eastAsia"/>
                <w:color w:val="auto"/>
                <w:highlight w:val="none"/>
                <w:lang w:val="en-US" w:eastAsia="zh-CN"/>
              </w:rPr>
              <w:t>）</w:t>
            </w:r>
          </w:p>
        </w:tc>
        <w:tc>
          <w:tcPr>
            <w:tcW w:w="648" w:type="pct"/>
            <w:vAlign w:val="center"/>
          </w:tcPr>
          <w:p w14:paraId="5DD88B05">
            <w:pPr>
              <w:pStyle w:val="17"/>
              <w:bidi w:val="0"/>
              <w:rPr>
                <w:rFonts w:hint="eastAsia"/>
                <w:color w:val="auto"/>
                <w:highlight w:val="none"/>
                <w:lang w:eastAsia="zh-CN"/>
              </w:rPr>
            </w:pPr>
            <w:r>
              <w:rPr>
                <w:rFonts w:hint="default"/>
                <w:color w:val="auto"/>
                <w:highlight w:val="none"/>
              </w:rPr>
              <w:t>占标率</w:t>
            </w:r>
            <w:r>
              <w:rPr>
                <w:rFonts w:hint="eastAsia"/>
                <w:color w:val="auto"/>
                <w:highlight w:val="none"/>
                <w:lang w:eastAsia="zh-CN"/>
              </w:rPr>
              <w:t>（</w:t>
            </w:r>
            <w:r>
              <w:rPr>
                <w:rFonts w:hint="default"/>
                <w:color w:val="auto"/>
                <w:highlight w:val="none"/>
              </w:rPr>
              <w:t>%</w:t>
            </w:r>
            <w:r>
              <w:rPr>
                <w:rFonts w:hint="eastAsia"/>
                <w:color w:val="auto"/>
                <w:highlight w:val="none"/>
                <w:lang w:eastAsia="zh-CN"/>
              </w:rPr>
              <w:t>）</w:t>
            </w:r>
          </w:p>
        </w:tc>
        <w:tc>
          <w:tcPr>
            <w:tcW w:w="477" w:type="pct"/>
            <w:vAlign w:val="center"/>
          </w:tcPr>
          <w:p w14:paraId="15411473">
            <w:pPr>
              <w:pStyle w:val="17"/>
              <w:bidi w:val="0"/>
              <w:rPr>
                <w:rFonts w:hint="default"/>
                <w:color w:val="auto"/>
                <w:highlight w:val="none"/>
                <w:lang w:val="en-US" w:eastAsia="zh-CN"/>
              </w:rPr>
            </w:pPr>
            <w:r>
              <w:rPr>
                <w:rFonts w:hint="default"/>
                <w:color w:val="auto"/>
                <w:highlight w:val="none"/>
                <w:lang w:val="en-US" w:eastAsia="zh-CN"/>
              </w:rPr>
              <w:t>D10%</w:t>
            </w:r>
          </w:p>
          <w:p w14:paraId="329F68BC">
            <w:pPr>
              <w:pStyle w:val="17"/>
              <w:bidi w:val="0"/>
              <w:rPr>
                <w:rFonts w:hint="default"/>
                <w:color w:val="auto"/>
                <w:highlight w:val="none"/>
                <w:lang w:val="en-US" w:eastAsia="zh-CN"/>
              </w:rPr>
            </w:pPr>
            <w:r>
              <w:rPr>
                <w:rFonts w:hint="default"/>
                <w:color w:val="auto"/>
                <w:highlight w:val="none"/>
                <w:lang w:val="en-US" w:eastAsia="zh-CN"/>
              </w:rPr>
              <w:t>（m）</w:t>
            </w:r>
          </w:p>
        </w:tc>
      </w:tr>
      <w:tr w14:paraId="1191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restart"/>
            <w:vAlign w:val="center"/>
          </w:tcPr>
          <w:p w14:paraId="5FAA48AB">
            <w:pPr>
              <w:pStyle w:val="17"/>
              <w:bidi w:val="0"/>
              <w:rPr>
                <w:rFonts w:hint="default" w:eastAsia="宋体"/>
                <w:color w:val="auto"/>
                <w:highlight w:val="none"/>
                <w:lang w:val="en-US" w:eastAsia="zh-CN"/>
              </w:rPr>
            </w:pPr>
            <w:r>
              <w:rPr>
                <w:rFonts w:hint="default"/>
                <w:color w:val="auto"/>
                <w:highlight w:val="none"/>
                <w:lang w:eastAsia="zh-CN"/>
              </w:rPr>
              <w:t>粗</w:t>
            </w:r>
            <w:r>
              <w:rPr>
                <w:rFonts w:hint="eastAsia"/>
                <w:color w:val="auto"/>
                <w:highlight w:val="none"/>
                <w:lang w:eastAsia="zh-CN"/>
              </w:rPr>
              <w:t>碎</w:t>
            </w:r>
            <w:r>
              <w:rPr>
                <w:rFonts w:hint="eastAsia"/>
                <w:color w:val="auto"/>
                <w:highlight w:val="none"/>
                <w:lang w:val="en-US" w:eastAsia="zh-CN"/>
              </w:rPr>
              <w:t>仓</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DA001）</w:t>
            </w:r>
          </w:p>
        </w:tc>
        <w:tc>
          <w:tcPr>
            <w:tcW w:w="623" w:type="pct"/>
            <w:vAlign w:val="center"/>
          </w:tcPr>
          <w:p w14:paraId="6AAD9009">
            <w:pPr>
              <w:pStyle w:val="17"/>
              <w:bidi w:val="0"/>
              <w:rPr>
                <w:rFonts w:hint="default"/>
                <w:color w:val="auto"/>
                <w:highlight w:val="none"/>
                <w:lang w:val="en-US" w:eastAsia="zh-CN"/>
              </w:rPr>
            </w:pPr>
            <w:r>
              <w:rPr>
                <w:rFonts w:hint="eastAsia"/>
                <w:color w:val="auto"/>
                <w:highlight w:val="none"/>
                <w:lang w:val="en-US" w:eastAsia="zh-CN"/>
              </w:rPr>
              <w:t>PM</w:t>
            </w:r>
            <w:r>
              <w:rPr>
                <w:rFonts w:hint="eastAsia"/>
                <w:color w:val="auto"/>
                <w:highlight w:val="none"/>
                <w:vertAlign w:val="subscript"/>
                <w:lang w:val="en-US" w:eastAsia="zh-CN"/>
              </w:rPr>
              <w:t>10</w:t>
            </w:r>
          </w:p>
        </w:tc>
        <w:tc>
          <w:tcPr>
            <w:tcW w:w="726" w:type="pct"/>
            <w:vAlign w:val="center"/>
          </w:tcPr>
          <w:p w14:paraId="4E51970B">
            <w:pPr>
              <w:pStyle w:val="17"/>
              <w:bidi w:val="0"/>
              <w:rPr>
                <w:rFonts w:hint="default"/>
                <w:color w:val="auto"/>
                <w:highlight w:val="none"/>
                <w:lang w:val="en-US" w:eastAsia="zh-CN"/>
              </w:rPr>
            </w:pPr>
            <w:r>
              <w:rPr>
                <w:rFonts w:hint="eastAsia"/>
                <w:color w:val="auto"/>
                <w:highlight w:val="none"/>
                <w:lang w:val="en-US" w:eastAsia="zh-CN"/>
              </w:rPr>
              <w:t>360</w:t>
            </w:r>
          </w:p>
        </w:tc>
        <w:tc>
          <w:tcPr>
            <w:tcW w:w="1399" w:type="dxa"/>
            <w:vAlign w:val="center"/>
          </w:tcPr>
          <w:p w14:paraId="41E8F1E8">
            <w:pPr>
              <w:pStyle w:val="17"/>
              <w:bidi w:val="0"/>
              <w:rPr>
                <w:rFonts w:hint="default"/>
                <w:color w:val="auto"/>
                <w:highlight w:val="none"/>
                <w:lang w:val="en-US" w:eastAsia="zh-CN"/>
              </w:rPr>
            </w:pPr>
            <w:r>
              <w:rPr>
                <w:rFonts w:hint="eastAsia"/>
                <w:color w:val="auto"/>
                <w:highlight w:val="none"/>
                <w:lang w:val="en-US" w:eastAsia="zh-CN"/>
              </w:rPr>
              <w:t>0.936</w:t>
            </w:r>
          </w:p>
        </w:tc>
        <w:tc>
          <w:tcPr>
            <w:tcW w:w="816" w:type="pct"/>
            <w:vAlign w:val="center"/>
          </w:tcPr>
          <w:p w14:paraId="71FC792F">
            <w:pPr>
              <w:pStyle w:val="17"/>
              <w:bidi w:val="0"/>
              <w:rPr>
                <w:rFonts w:hint="default"/>
                <w:color w:val="auto"/>
                <w:highlight w:val="none"/>
                <w:lang w:val="en-US" w:eastAsia="zh-CN"/>
              </w:rPr>
            </w:pPr>
            <w:r>
              <w:rPr>
                <w:rFonts w:hint="eastAsia"/>
                <w:color w:val="auto"/>
                <w:highlight w:val="none"/>
                <w:lang w:val="en-US" w:eastAsia="zh-CN"/>
              </w:rPr>
              <w:t>125</w:t>
            </w:r>
          </w:p>
        </w:tc>
        <w:tc>
          <w:tcPr>
            <w:tcW w:w="648" w:type="pct"/>
            <w:vAlign w:val="center"/>
          </w:tcPr>
          <w:p w14:paraId="18F03455">
            <w:pPr>
              <w:pStyle w:val="17"/>
              <w:bidi w:val="0"/>
              <w:rPr>
                <w:rFonts w:hint="default"/>
                <w:color w:val="auto"/>
                <w:highlight w:val="none"/>
                <w:lang w:val="en-US" w:eastAsia="zh-CN"/>
              </w:rPr>
            </w:pPr>
            <w:r>
              <w:rPr>
                <w:rFonts w:hint="eastAsia"/>
                <w:color w:val="auto"/>
                <w:highlight w:val="none"/>
                <w:lang w:val="en-US" w:eastAsia="zh-CN"/>
              </w:rPr>
              <w:t>0.26</w:t>
            </w:r>
          </w:p>
        </w:tc>
        <w:tc>
          <w:tcPr>
            <w:tcW w:w="477" w:type="pct"/>
            <w:vAlign w:val="center"/>
          </w:tcPr>
          <w:p w14:paraId="76945B8C">
            <w:pPr>
              <w:pStyle w:val="17"/>
              <w:bidi w:val="0"/>
              <w:rPr>
                <w:rFonts w:hint="default"/>
                <w:color w:val="auto"/>
                <w:highlight w:val="none"/>
                <w:lang w:val="en-US" w:eastAsia="zh-CN"/>
              </w:rPr>
            </w:pPr>
            <w:r>
              <w:rPr>
                <w:rFonts w:hint="eastAsia"/>
                <w:color w:val="auto"/>
                <w:highlight w:val="none"/>
                <w:lang w:val="en-US" w:eastAsia="zh-CN"/>
              </w:rPr>
              <w:t>--</w:t>
            </w:r>
          </w:p>
        </w:tc>
      </w:tr>
      <w:tr w14:paraId="3FF2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continue"/>
            <w:vAlign w:val="center"/>
          </w:tcPr>
          <w:p w14:paraId="0AF26DA3">
            <w:pPr>
              <w:pStyle w:val="17"/>
              <w:bidi w:val="0"/>
              <w:rPr>
                <w:rFonts w:hint="default"/>
                <w:color w:val="auto"/>
                <w:highlight w:val="none"/>
                <w:lang w:eastAsia="zh-CN"/>
              </w:rPr>
            </w:pPr>
          </w:p>
        </w:tc>
        <w:tc>
          <w:tcPr>
            <w:tcW w:w="623" w:type="pct"/>
            <w:vAlign w:val="center"/>
          </w:tcPr>
          <w:p w14:paraId="6B392322">
            <w:pPr>
              <w:pStyle w:val="17"/>
              <w:bidi w:val="0"/>
              <w:rPr>
                <w:rFonts w:hint="eastAsia"/>
                <w:color w:val="auto"/>
                <w:highlight w:val="none"/>
                <w:lang w:val="en-US" w:eastAsia="zh-CN"/>
              </w:rPr>
            </w:pPr>
            <w:r>
              <w:rPr>
                <w:rFonts w:hint="eastAsia"/>
                <w:color w:val="auto"/>
                <w:highlight w:val="none"/>
                <w:lang w:val="en-US" w:eastAsia="zh-CN"/>
              </w:rPr>
              <w:t>氟化物</w:t>
            </w:r>
          </w:p>
        </w:tc>
        <w:tc>
          <w:tcPr>
            <w:tcW w:w="726" w:type="pct"/>
            <w:vAlign w:val="center"/>
          </w:tcPr>
          <w:p w14:paraId="5AF0C5DE">
            <w:pPr>
              <w:pStyle w:val="17"/>
              <w:bidi w:val="0"/>
              <w:rPr>
                <w:rFonts w:hint="default"/>
                <w:color w:val="auto"/>
                <w:highlight w:val="none"/>
                <w:lang w:val="en-US" w:eastAsia="zh-CN"/>
              </w:rPr>
            </w:pPr>
            <w:r>
              <w:rPr>
                <w:rFonts w:hint="eastAsia"/>
                <w:color w:val="auto"/>
                <w:highlight w:val="none"/>
                <w:lang w:val="en-US" w:eastAsia="zh-CN"/>
              </w:rPr>
              <w:t>20</w:t>
            </w:r>
          </w:p>
        </w:tc>
        <w:tc>
          <w:tcPr>
            <w:tcW w:w="1399" w:type="dxa"/>
            <w:vAlign w:val="center"/>
          </w:tcPr>
          <w:p w14:paraId="7EBD931A">
            <w:pPr>
              <w:pStyle w:val="17"/>
              <w:bidi w:val="0"/>
              <w:rPr>
                <w:rFonts w:hint="default"/>
                <w:color w:val="auto"/>
                <w:highlight w:val="none"/>
                <w:lang w:val="en-US" w:eastAsia="zh-CN"/>
              </w:rPr>
            </w:pPr>
            <w:r>
              <w:rPr>
                <w:rFonts w:hint="eastAsia"/>
                <w:color w:val="auto"/>
                <w:highlight w:val="none"/>
                <w:lang w:val="en-US" w:eastAsia="zh-CN"/>
              </w:rPr>
              <w:t>0.152</w:t>
            </w:r>
          </w:p>
        </w:tc>
        <w:tc>
          <w:tcPr>
            <w:tcW w:w="816" w:type="pct"/>
            <w:vAlign w:val="center"/>
          </w:tcPr>
          <w:p w14:paraId="0C0F9713">
            <w:pPr>
              <w:pStyle w:val="17"/>
              <w:bidi w:val="0"/>
              <w:rPr>
                <w:rFonts w:hint="default"/>
                <w:color w:val="auto"/>
                <w:highlight w:val="none"/>
                <w:lang w:val="en-US" w:eastAsia="zh-CN"/>
              </w:rPr>
            </w:pPr>
            <w:r>
              <w:rPr>
                <w:rFonts w:hint="eastAsia"/>
                <w:color w:val="auto"/>
                <w:highlight w:val="none"/>
                <w:lang w:val="en-US" w:eastAsia="zh-CN"/>
              </w:rPr>
              <w:t>125</w:t>
            </w:r>
          </w:p>
        </w:tc>
        <w:tc>
          <w:tcPr>
            <w:tcW w:w="648" w:type="pct"/>
            <w:vAlign w:val="center"/>
          </w:tcPr>
          <w:p w14:paraId="45050780">
            <w:pPr>
              <w:pStyle w:val="17"/>
              <w:bidi w:val="0"/>
              <w:rPr>
                <w:rFonts w:hint="default"/>
                <w:color w:val="auto"/>
                <w:highlight w:val="none"/>
                <w:lang w:val="en-US" w:eastAsia="zh-CN"/>
              </w:rPr>
            </w:pPr>
            <w:r>
              <w:rPr>
                <w:rFonts w:hint="eastAsia"/>
                <w:color w:val="auto"/>
                <w:highlight w:val="none"/>
                <w:lang w:val="en-US" w:eastAsia="zh-CN"/>
              </w:rPr>
              <w:t>0.76</w:t>
            </w:r>
          </w:p>
        </w:tc>
        <w:tc>
          <w:tcPr>
            <w:tcW w:w="477" w:type="pct"/>
            <w:vAlign w:val="center"/>
          </w:tcPr>
          <w:p w14:paraId="1BA021CF">
            <w:pPr>
              <w:pStyle w:val="17"/>
              <w:bidi w:val="0"/>
              <w:rPr>
                <w:rFonts w:hint="eastAsia"/>
                <w:color w:val="auto"/>
                <w:highlight w:val="none"/>
                <w:lang w:val="en-US" w:eastAsia="zh-CN"/>
              </w:rPr>
            </w:pPr>
            <w:r>
              <w:rPr>
                <w:rFonts w:hint="eastAsia"/>
                <w:color w:val="auto"/>
                <w:highlight w:val="none"/>
                <w:lang w:val="en-US" w:eastAsia="zh-CN"/>
              </w:rPr>
              <w:t>--</w:t>
            </w:r>
          </w:p>
        </w:tc>
      </w:tr>
      <w:tr w14:paraId="0C18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restart"/>
            <w:vAlign w:val="center"/>
          </w:tcPr>
          <w:p w14:paraId="5AAB129E">
            <w:pPr>
              <w:pStyle w:val="17"/>
              <w:bidi w:val="0"/>
              <w:rPr>
                <w:rFonts w:hint="default" w:eastAsia="宋体"/>
                <w:color w:val="auto"/>
                <w:highlight w:val="none"/>
                <w:lang w:val="en-US" w:eastAsia="zh-CN"/>
              </w:rPr>
            </w:pPr>
            <w:r>
              <w:rPr>
                <w:rFonts w:hint="eastAsia"/>
                <w:color w:val="auto"/>
                <w:highlight w:val="none"/>
                <w:lang w:val="en-US" w:eastAsia="zh-CN"/>
              </w:rPr>
              <w:t>中细碎厂房</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DA002）</w:t>
            </w:r>
          </w:p>
        </w:tc>
        <w:tc>
          <w:tcPr>
            <w:tcW w:w="623" w:type="pct"/>
            <w:vAlign w:val="center"/>
          </w:tcPr>
          <w:p w14:paraId="15BFB391">
            <w:pPr>
              <w:pStyle w:val="17"/>
              <w:bidi w:val="0"/>
              <w:rPr>
                <w:rFonts w:hint="default"/>
                <w:color w:val="auto"/>
                <w:highlight w:val="none"/>
                <w:lang w:val="en-US" w:eastAsia="zh-CN"/>
              </w:rPr>
            </w:pPr>
            <w:r>
              <w:rPr>
                <w:rFonts w:hint="eastAsia"/>
                <w:color w:val="auto"/>
                <w:highlight w:val="none"/>
                <w:lang w:val="en-US" w:eastAsia="zh-CN"/>
              </w:rPr>
              <w:t>PM</w:t>
            </w:r>
            <w:r>
              <w:rPr>
                <w:rFonts w:hint="eastAsia"/>
                <w:color w:val="auto"/>
                <w:highlight w:val="none"/>
                <w:vertAlign w:val="subscript"/>
                <w:lang w:val="en-US" w:eastAsia="zh-CN"/>
              </w:rPr>
              <w:t>10</w:t>
            </w:r>
          </w:p>
        </w:tc>
        <w:tc>
          <w:tcPr>
            <w:tcW w:w="726" w:type="pct"/>
            <w:vAlign w:val="center"/>
          </w:tcPr>
          <w:p w14:paraId="1D4DB03A">
            <w:pPr>
              <w:pStyle w:val="17"/>
              <w:bidi w:val="0"/>
              <w:rPr>
                <w:rFonts w:hint="eastAsia"/>
                <w:color w:val="auto"/>
                <w:highlight w:val="none"/>
                <w:lang w:val="en-US" w:eastAsia="zh-CN"/>
              </w:rPr>
            </w:pPr>
            <w:r>
              <w:rPr>
                <w:rFonts w:hint="eastAsia"/>
                <w:color w:val="auto"/>
                <w:highlight w:val="none"/>
                <w:lang w:val="en-US" w:eastAsia="zh-CN"/>
              </w:rPr>
              <w:t>360</w:t>
            </w:r>
          </w:p>
        </w:tc>
        <w:tc>
          <w:tcPr>
            <w:tcW w:w="1399" w:type="dxa"/>
            <w:vAlign w:val="center"/>
          </w:tcPr>
          <w:p w14:paraId="588A6FF4">
            <w:pPr>
              <w:pStyle w:val="17"/>
              <w:bidi w:val="0"/>
              <w:rPr>
                <w:rFonts w:hint="default"/>
                <w:color w:val="auto"/>
                <w:highlight w:val="none"/>
                <w:lang w:val="en-US" w:eastAsia="zh-CN"/>
              </w:rPr>
            </w:pPr>
            <w:r>
              <w:rPr>
                <w:rFonts w:hint="eastAsia"/>
                <w:color w:val="auto"/>
                <w:highlight w:val="none"/>
                <w:lang w:val="en-US" w:eastAsia="zh-CN"/>
              </w:rPr>
              <w:t>9.504</w:t>
            </w:r>
          </w:p>
        </w:tc>
        <w:tc>
          <w:tcPr>
            <w:tcW w:w="816" w:type="pct"/>
            <w:vAlign w:val="center"/>
          </w:tcPr>
          <w:p w14:paraId="4F85FF38">
            <w:pPr>
              <w:pStyle w:val="17"/>
              <w:bidi w:val="0"/>
              <w:rPr>
                <w:rFonts w:hint="default"/>
                <w:color w:val="auto"/>
                <w:highlight w:val="none"/>
                <w:lang w:val="en-US" w:eastAsia="zh-CN"/>
              </w:rPr>
            </w:pPr>
            <w:r>
              <w:rPr>
                <w:rFonts w:hint="eastAsia"/>
                <w:color w:val="auto"/>
                <w:highlight w:val="none"/>
                <w:lang w:val="en-US" w:eastAsia="zh-CN"/>
              </w:rPr>
              <w:t>133</w:t>
            </w:r>
          </w:p>
        </w:tc>
        <w:tc>
          <w:tcPr>
            <w:tcW w:w="648" w:type="pct"/>
            <w:vAlign w:val="center"/>
          </w:tcPr>
          <w:p w14:paraId="33E6EABE">
            <w:pPr>
              <w:pStyle w:val="17"/>
              <w:bidi w:val="0"/>
              <w:rPr>
                <w:rFonts w:hint="default"/>
                <w:color w:val="auto"/>
                <w:highlight w:val="none"/>
                <w:lang w:val="en-US" w:eastAsia="zh-CN"/>
              </w:rPr>
            </w:pPr>
            <w:r>
              <w:rPr>
                <w:rFonts w:hint="eastAsia"/>
                <w:color w:val="auto"/>
                <w:highlight w:val="none"/>
                <w:lang w:val="en-US" w:eastAsia="zh-CN"/>
              </w:rPr>
              <w:t>2.64</w:t>
            </w:r>
          </w:p>
        </w:tc>
        <w:tc>
          <w:tcPr>
            <w:tcW w:w="477" w:type="pct"/>
            <w:vAlign w:val="center"/>
          </w:tcPr>
          <w:p w14:paraId="749C31F2">
            <w:pPr>
              <w:pStyle w:val="17"/>
              <w:bidi w:val="0"/>
              <w:rPr>
                <w:rFonts w:hint="default"/>
                <w:color w:val="auto"/>
                <w:highlight w:val="none"/>
                <w:lang w:val="en-US" w:eastAsia="zh-CN"/>
              </w:rPr>
            </w:pPr>
            <w:r>
              <w:rPr>
                <w:rFonts w:hint="eastAsia"/>
                <w:color w:val="auto"/>
                <w:highlight w:val="none"/>
                <w:lang w:val="en-US" w:eastAsia="zh-CN"/>
              </w:rPr>
              <w:t>--</w:t>
            </w:r>
          </w:p>
        </w:tc>
      </w:tr>
      <w:tr w14:paraId="216E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continue"/>
            <w:vAlign w:val="center"/>
          </w:tcPr>
          <w:p w14:paraId="01EE19A2">
            <w:pPr>
              <w:pStyle w:val="17"/>
              <w:bidi w:val="0"/>
              <w:rPr>
                <w:rFonts w:hint="default"/>
                <w:color w:val="auto"/>
                <w:highlight w:val="none"/>
                <w:lang w:eastAsia="zh-CN"/>
              </w:rPr>
            </w:pPr>
          </w:p>
        </w:tc>
        <w:tc>
          <w:tcPr>
            <w:tcW w:w="623" w:type="pct"/>
            <w:vAlign w:val="center"/>
          </w:tcPr>
          <w:p w14:paraId="215751AF">
            <w:pPr>
              <w:pStyle w:val="17"/>
              <w:bidi w:val="0"/>
              <w:rPr>
                <w:rFonts w:hint="eastAsia"/>
                <w:color w:val="auto"/>
                <w:highlight w:val="none"/>
                <w:lang w:val="en-US" w:eastAsia="zh-CN"/>
              </w:rPr>
            </w:pPr>
            <w:r>
              <w:rPr>
                <w:rFonts w:hint="eastAsia"/>
                <w:color w:val="auto"/>
                <w:highlight w:val="none"/>
                <w:lang w:val="en-US" w:eastAsia="zh-CN"/>
              </w:rPr>
              <w:t>氟化物</w:t>
            </w:r>
          </w:p>
        </w:tc>
        <w:tc>
          <w:tcPr>
            <w:tcW w:w="726" w:type="pct"/>
            <w:vAlign w:val="center"/>
          </w:tcPr>
          <w:p w14:paraId="512C5CF0">
            <w:pPr>
              <w:pStyle w:val="17"/>
              <w:bidi w:val="0"/>
              <w:rPr>
                <w:rFonts w:hint="eastAsia"/>
                <w:color w:val="auto"/>
                <w:highlight w:val="none"/>
                <w:lang w:val="en-US" w:eastAsia="zh-CN"/>
              </w:rPr>
            </w:pPr>
            <w:r>
              <w:rPr>
                <w:rFonts w:hint="eastAsia"/>
                <w:color w:val="auto"/>
                <w:highlight w:val="none"/>
                <w:lang w:val="en-US" w:eastAsia="zh-CN"/>
              </w:rPr>
              <w:t>20</w:t>
            </w:r>
          </w:p>
        </w:tc>
        <w:tc>
          <w:tcPr>
            <w:tcW w:w="1399" w:type="dxa"/>
            <w:vAlign w:val="center"/>
          </w:tcPr>
          <w:p w14:paraId="6A157142">
            <w:pPr>
              <w:pStyle w:val="17"/>
              <w:bidi w:val="0"/>
              <w:rPr>
                <w:rFonts w:hint="default"/>
                <w:color w:val="auto"/>
                <w:highlight w:val="none"/>
                <w:lang w:val="en-US" w:eastAsia="zh-CN"/>
              </w:rPr>
            </w:pPr>
            <w:r>
              <w:rPr>
                <w:rFonts w:hint="eastAsia"/>
                <w:color w:val="auto"/>
                <w:highlight w:val="none"/>
                <w:lang w:val="en-US" w:eastAsia="zh-CN"/>
              </w:rPr>
              <w:t>1.494</w:t>
            </w:r>
          </w:p>
        </w:tc>
        <w:tc>
          <w:tcPr>
            <w:tcW w:w="816" w:type="pct"/>
            <w:vAlign w:val="center"/>
          </w:tcPr>
          <w:p w14:paraId="14F396C3">
            <w:pPr>
              <w:pStyle w:val="17"/>
              <w:bidi w:val="0"/>
              <w:rPr>
                <w:rFonts w:hint="default"/>
                <w:color w:val="auto"/>
                <w:highlight w:val="none"/>
                <w:lang w:val="en-US" w:eastAsia="zh-CN"/>
              </w:rPr>
            </w:pPr>
            <w:r>
              <w:rPr>
                <w:rFonts w:hint="eastAsia"/>
                <w:color w:val="auto"/>
                <w:highlight w:val="none"/>
                <w:lang w:val="en-US" w:eastAsia="zh-CN"/>
              </w:rPr>
              <w:t>133</w:t>
            </w:r>
          </w:p>
        </w:tc>
        <w:tc>
          <w:tcPr>
            <w:tcW w:w="648" w:type="pct"/>
            <w:vAlign w:val="center"/>
          </w:tcPr>
          <w:p w14:paraId="01281F8A">
            <w:pPr>
              <w:pStyle w:val="17"/>
              <w:bidi w:val="0"/>
              <w:rPr>
                <w:rFonts w:hint="default"/>
                <w:color w:val="auto"/>
                <w:highlight w:val="none"/>
                <w:lang w:val="en-US" w:eastAsia="zh-CN"/>
              </w:rPr>
            </w:pPr>
            <w:r>
              <w:rPr>
                <w:rFonts w:hint="eastAsia"/>
                <w:color w:val="auto"/>
                <w:highlight w:val="none"/>
                <w:lang w:val="en-US" w:eastAsia="zh-CN"/>
              </w:rPr>
              <w:t>7.47</w:t>
            </w:r>
          </w:p>
        </w:tc>
        <w:tc>
          <w:tcPr>
            <w:tcW w:w="477" w:type="pct"/>
            <w:vAlign w:val="center"/>
          </w:tcPr>
          <w:p w14:paraId="05BD4986">
            <w:pPr>
              <w:pStyle w:val="17"/>
              <w:bidi w:val="0"/>
              <w:rPr>
                <w:rFonts w:hint="eastAsia"/>
                <w:color w:val="auto"/>
                <w:highlight w:val="none"/>
                <w:lang w:val="en-US" w:eastAsia="zh-CN"/>
              </w:rPr>
            </w:pPr>
            <w:r>
              <w:rPr>
                <w:rFonts w:hint="eastAsia"/>
                <w:color w:val="auto"/>
                <w:highlight w:val="none"/>
                <w:lang w:val="en-US" w:eastAsia="zh-CN"/>
              </w:rPr>
              <w:t>--</w:t>
            </w:r>
          </w:p>
        </w:tc>
      </w:tr>
      <w:tr w14:paraId="2A2C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restart"/>
            <w:vAlign w:val="center"/>
          </w:tcPr>
          <w:p w14:paraId="7C8FD12F">
            <w:pPr>
              <w:pStyle w:val="17"/>
              <w:bidi w:val="0"/>
              <w:rPr>
                <w:rFonts w:hint="default"/>
                <w:color w:val="auto"/>
                <w:highlight w:val="none"/>
                <w:lang w:eastAsia="zh-CN"/>
              </w:rPr>
            </w:pPr>
            <w:r>
              <w:rPr>
                <w:rFonts w:hint="default"/>
                <w:color w:val="auto"/>
                <w:highlight w:val="none"/>
                <w:lang w:eastAsia="zh-CN"/>
              </w:rPr>
              <w:t>筛分</w:t>
            </w:r>
            <w:r>
              <w:rPr>
                <w:rFonts w:hint="eastAsia"/>
                <w:color w:val="auto"/>
                <w:highlight w:val="none"/>
                <w:lang w:eastAsia="zh-CN"/>
              </w:rPr>
              <w:t>车间</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DA003）</w:t>
            </w:r>
          </w:p>
        </w:tc>
        <w:tc>
          <w:tcPr>
            <w:tcW w:w="623" w:type="pct"/>
            <w:vAlign w:val="center"/>
          </w:tcPr>
          <w:p w14:paraId="539C31AB">
            <w:pPr>
              <w:pStyle w:val="17"/>
              <w:bidi w:val="0"/>
              <w:rPr>
                <w:rFonts w:hint="eastAsia"/>
                <w:color w:val="auto"/>
                <w:highlight w:val="none"/>
                <w:lang w:val="en-US" w:eastAsia="zh-CN"/>
              </w:rPr>
            </w:pPr>
            <w:r>
              <w:rPr>
                <w:rFonts w:hint="eastAsia"/>
                <w:color w:val="auto"/>
                <w:highlight w:val="none"/>
                <w:lang w:val="en-US" w:eastAsia="zh-CN"/>
              </w:rPr>
              <w:t>PM</w:t>
            </w:r>
            <w:r>
              <w:rPr>
                <w:rFonts w:hint="eastAsia"/>
                <w:color w:val="auto"/>
                <w:highlight w:val="none"/>
                <w:vertAlign w:val="subscript"/>
                <w:lang w:val="en-US" w:eastAsia="zh-CN"/>
              </w:rPr>
              <w:t>10</w:t>
            </w:r>
          </w:p>
        </w:tc>
        <w:tc>
          <w:tcPr>
            <w:tcW w:w="726" w:type="pct"/>
            <w:vAlign w:val="center"/>
          </w:tcPr>
          <w:p w14:paraId="18DE129C">
            <w:pPr>
              <w:pStyle w:val="17"/>
              <w:bidi w:val="0"/>
              <w:rPr>
                <w:rFonts w:hint="eastAsia"/>
                <w:color w:val="auto"/>
                <w:highlight w:val="none"/>
                <w:lang w:val="en-US" w:eastAsia="zh-CN"/>
              </w:rPr>
            </w:pPr>
            <w:r>
              <w:rPr>
                <w:rFonts w:hint="eastAsia"/>
                <w:color w:val="auto"/>
                <w:highlight w:val="none"/>
                <w:lang w:val="en-US" w:eastAsia="zh-CN"/>
              </w:rPr>
              <w:t>360</w:t>
            </w:r>
          </w:p>
        </w:tc>
        <w:tc>
          <w:tcPr>
            <w:tcW w:w="1399" w:type="dxa"/>
            <w:vAlign w:val="center"/>
          </w:tcPr>
          <w:p w14:paraId="7CB4B869">
            <w:pPr>
              <w:pStyle w:val="17"/>
              <w:bidi w:val="0"/>
              <w:rPr>
                <w:rFonts w:hint="default"/>
                <w:color w:val="auto"/>
                <w:highlight w:val="none"/>
                <w:lang w:val="en-US" w:eastAsia="zh-CN"/>
              </w:rPr>
            </w:pPr>
            <w:r>
              <w:rPr>
                <w:rFonts w:hint="eastAsia"/>
                <w:color w:val="auto"/>
                <w:highlight w:val="none"/>
                <w:lang w:val="en-US" w:eastAsia="zh-CN"/>
              </w:rPr>
              <w:t>9.504</w:t>
            </w:r>
          </w:p>
        </w:tc>
        <w:tc>
          <w:tcPr>
            <w:tcW w:w="816" w:type="pct"/>
            <w:vAlign w:val="center"/>
          </w:tcPr>
          <w:p w14:paraId="197D014B">
            <w:pPr>
              <w:pStyle w:val="17"/>
              <w:bidi w:val="0"/>
              <w:rPr>
                <w:rFonts w:hint="default"/>
                <w:color w:val="auto"/>
                <w:highlight w:val="none"/>
                <w:lang w:val="en-US" w:eastAsia="zh-CN"/>
              </w:rPr>
            </w:pPr>
            <w:r>
              <w:rPr>
                <w:rFonts w:hint="eastAsia"/>
                <w:color w:val="auto"/>
                <w:highlight w:val="none"/>
                <w:lang w:val="en-US" w:eastAsia="zh-CN"/>
              </w:rPr>
              <w:t>133</w:t>
            </w:r>
          </w:p>
        </w:tc>
        <w:tc>
          <w:tcPr>
            <w:tcW w:w="648" w:type="pct"/>
            <w:vAlign w:val="center"/>
          </w:tcPr>
          <w:p w14:paraId="102C7786">
            <w:pPr>
              <w:pStyle w:val="17"/>
              <w:bidi w:val="0"/>
              <w:rPr>
                <w:rFonts w:hint="default"/>
                <w:color w:val="auto"/>
                <w:highlight w:val="none"/>
                <w:lang w:val="en-US" w:eastAsia="zh-CN"/>
              </w:rPr>
            </w:pPr>
            <w:r>
              <w:rPr>
                <w:rFonts w:hint="eastAsia"/>
                <w:color w:val="auto"/>
                <w:highlight w:val="none"/>
                <w:lang w:val="en-US" w:eastAsia="zh-CN"/>
              </w:rPr>
              <w:t>2.64</w:t>
            </w:r>
          </w:p>
        </w:tc>
        <w:tc>
          <w:tcPr>
            <w:tcW w:w="477" w:type="pct"/>
            <w:vAlign w:val="center"/>
          </w:tcPr>
          <w:p w14:paraId="258C2140">
            <w:pPr>
              <w:pStyle w:val="17"/>
              <w:bidi w:val="0"/>
              <w:rPr>
                <w:rFonts w:hint="default"/>
                <w:color w:val="auto"/>
                <w:highlight w:val="none"/>
                <w:lang w:val="en-US" w:eastAsia="zh-CN"/>
              </w:rPr>
            </w:pPr>
            <w:r>
              <w:rPr>
                <w:rFonts w:hint="eastAsia"/>
                <w:color w:val="auto"/>
                <w:highlight w:val="none"/>
                <w:lang w:val="en-US" w:eastAsia="zh-CN"/>
              </w:rPr>
              <w:t>--</w:t>
            </w:r>
          </w:p>
        </w:tc>
      </w:tr>
      <w:tr w14:paraId="046D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continue"/>
            <w:vAlign w:val="center"/>
          </w:tcPr>
          <w:p w14:paraId="07191E5E">
            <w:pPr>
              <w:pStyle w:val="17"/>
              <w:bidi w:val="0"/>
              <w:rPr>
                <w:rFonts w:hint="default"/>
                <w:color w:val="auto"/>
                <w:highlight w:val="none"/>
                <w:lang w:eastAsia="zh-CN"/>
              </w:rPr>
            </w:pPr>
          </w:p>
        </w:tc>
        <w:tc>
          <w:tcPr>
            <w:tcW w:w="623" w:type="pct"/>
            <w:vAlign w:val="center"/>
          </w:tcPr>
          <w:p w14:paraId="65BEB530">
            <w:pPr>
              <w:pStyle w:val="17"/>
              <w:bidi w:val="0"/>
              <w:rPr>
                <w:rFonts w:hint="eastAsia"/>
                <w:color w:val="auto"/>
                <w:highlight w:val="none"/>
                <w:lang w:val="en-US" w:eastAsia="zh-CN"/>
              </w:rPr>
            </w:pPr>
            <w:r>
              <w:rPr>
                <w:rFonts w:hint="eastAsia"/>
                <w:color w:val="auto"/>
                <w:highlight w:val="none"/>
                <w:lang w:val="en-US" w:eastAsia="zh-CN"/>
              </w:rPr>
              <w:t>氟化物</w:t>
            </w:r>
          </w:p>
        </w:tc>
        <w:tc>
          <w:tcPr>
            <w:tcW w:w="726" w:type="pct"/>
            <w:vAlign w:val="center"/>
          </w:tcPr>
          <w:p w14:paraId="508824E5">
            <w:pPr>
              <w:pStyle w:val="17"/>
              <w:bidi w:val="0"/>
              <w:rPr>
                <w:rFonts w:hint="eastAsia"/>
                <w:color w:val="auto"/>
                <w:highlight w:val="none"/>
                <w:lang w:val="en-US" w:eastAsia="zh-CN"/>
              </w:rPr>
            </w:pPr>
            <w:r>
              <w:rPr>
                <w:rFonts w:hint="eastAsia"/>
                <w:color w:val="auto"/>
                <w:highlight w:val="none"/>
                <w:lang w:val="en-US" w:eastAsia="zh-CN"/>
              </w:rPr>
              <w:t>20</w:t>
            </w:r>
          </w:p>
        </w:tc>
        <w:tc>
          <w:tcPr>
            <w:tcW w:w="1399" w:type="dxa"/>
            <w:vAlign w:val="center"/>
          </w:tcPr>
          <w:p w14:paraId="0BC21AC2">
            <w:pPr>
              <w:pStyle w:val="17"/>
              <w:bidi w:val="0"/>
              <w:rPr>
                <w:rFonts w:hint="default"/>
                <w:color w:val="auto"/>
                <w:highlight w:val="none"/>
                <w:lang w:val="en-US" w:eastAsia="zh-CN"/>
              </w:rPr>
            </w:pPr>
            <w:r>
              <w:rPr>
                <w:rFonts w:hint="eastAsia"/>
                <w:color w:val="auto"/>
                <w:highlight w:val="none"/>
                <w:lang w:val="en-US" w:eastAsia="zh-CN"/>
              </w:rPr>
              <w:t>1.494</w:t>
            </w:r>
          </w:p>
        </w:tc>
        <w:tc>
          <w:tcPr>
            <w:tcW w:w="816" w:type="pct"/>
            <w:vAlign w:val="center"/>
          </w:tcPr>
          <w:p w14:paraId="4CB78226">
            <w:pPr>
              <w:pStyle w:val="17"/>
              <w:bidi w:val="0"/>
              <w:rPr>
                <w:rFonts w:hint="default"/>
                <w:color w:val="auto"/>
                <w:highlight w:val="none"/>
                <w:lang w:val="en-US" w:eastAsia="zh-CN"/>
              </w:rPr>
            </w:pPr>
            <w:r>
              <w:rPr>
                <w:rFonts w:hint="eastAsia"/>
                <w:color w:val="auto"/>
                <w:highlight w:val="none"/>
                <w:lang w:val="en-US" w:eastAsia="zh-CN"/>
              </w:rPr>
              <w:t>133</w:t>
            </w:r>
          </w:p>
        </w:tc>
        <w:tc>
          <w:tcPr>
            <w:tcW w:w="648" w:type="pct"/>
            <w:vAlign w:val="center"/>
          </w:tcPr>
          <w:p w14:paraId="28E13971">
            <w:pPr>
              <w:pStyle w:val="17"/>
              <w:bidi w:val="0"/>
              <w:rPr>
                <w:rFonts w:hint="default"/>
                <w:color w:val="auto"/>
                <w:highlight w:val="none"/>
                <w:lang w:val="en-US" w:eastAsia="zh-CN"/>
              </w:rPr>
            </w:pPr>
            <w:r>
              <w:rPr>
                <w:rFonts w:hint="eastAsia"/>
                <w:color w:val="auto"/>
                <w:highlight w:val="none"/>
                <w:lang w:val="en-US" w:eastAsia="zh-CN"/>
              </w:rPr>
              <w:t>7.47</w:t>
            </w:r>
          </w:p>
        </w:tc>
        <w:tc>
          <w:tcPr>
            <w:tcW w:w="477" w:type="pct"/>
            <w:vAlign w:val="center"/>
          </w:tcPr>
          <w:p w14:paraId="79B3A718">
            <w:pPr>
              <w:pStyle w:val="17"/>
              <w:bidi w:val="0"/>
              <w:rPr>
                <w:rFonts w:hint="eastAsia"/>
                <w:color w:val="auto"/>
                <w:highlight w:val="none"/>
                <w:lang w:val="en-US" w:eastAsia="zh-CN"/>
              </w:rPr>
            </w:pPr>
            <w:r>
              <w:rPr>
                <w:rFonts w:hint="eastAsia"/>
                <w:color w:val="auto"/>
                <w:highlight w:val="none"/>
                <w:lang w:val="en-US" w:eastAsia="zh-CN"/>
              </w:rPr>
              <w:t>--</w:t>
            </w:r>
          </w:p>
        </w:tc>
      </w:tr>
      <w:tr w14:paraId="5C86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restart"/>
            <w:vAlign w:val="center"/>
          </w:tcPr>
          <w:p w14:paraId="225AAD83">
            <w:pPr>
              <w:pStyle w:val="17"/>
              <w:bidi w:val="0"/>
              <w:rPr>
                <w:rFonts w:hint="default"/>
                <w:color w:val="auto"/>
                <w:highlight w:val="none"/>
                <w:lang w:eastAsia="zh-CN"/>
              </w:rPr>
            </w:pPr>
            <w:r>
              <w:rPr>
                <w:rFonts w:hint="eastAsia"/>
                <w:color w:val="auto"/>
                <w:highlight w:val="none"/>
                <w:lang w:val="en-US" w:eastAsia="zh-CN"/>
              </w:rPr>
              <w:t>粉矿仓</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DA004）</w:t>
            </w:r>
          </w:p>
        </w:tc>
        <w:tc>
          <w:tcPr>
            <w:tcW w:w="623" w:type="pct"/>
            <w:vAlign w:val="center"/>
          </w:tcPr>
          <w:p w14:paraId="5C2E9B0A">
            <w:pPr>
              <w:pStyle w:val="17"/>
              <w:bidi w:val="0"/>
              <w:rPr>
                <w:rFonts w:hint="eastAsia"/>
                <w:color w:val="auto"/>
                <w:highlight w:val="none"/>
                <w:lang w:val="en-US" w:eastAsia="zh-CN"/>
              </w:rPr>
            </w:pPr>
            <w:r>
              <w:rPr>
                <w:rFonts w:hint="eastAsia"/>
                <w:color w:val="auto"/>
                <w:highlight w:val="none"/>
                <w:lang w:val="en-US" w:eastAsia="zh-CN"/>
              </w:rPr>
              <w:t>PM</w:t>
            </w:r>
            <w:r>
              <w:rPr>
                <w:rFonts w:hint="eastAsia"/>
                <w:color w:val="auto"/>
                <w:highlight w:val="none"/>
                <w:vertAlign w:val="subscript"/>
                <w:lang w:val="en-US" w:eastAsia="zh-CN"/>
              </w:rPr>
              <w:t>10</w:t>
            </w:r>
          </w:p>
        </w:tc>
        <w:tc>
          <w:tcPr>
            <w:tcW w:w="726" w:type="pct"/>
            <w:vAlign w:val="center"/>
          </w:tcPr>
          <w:p w14:paraId="570BAB1E">
            <w:pPr>
              <w:pStyle w:val="17"/>
              <w:bidi w:val="0"/>
              <w:rPr>
                <w:rFonts w:hint="eastAsia"/>
                <w:color w:val="auto"/>
                <w:highlight w:val="none"/>
                <w:lang w:val="en-US" w:eastAsia="zh-CN"/>
              </w:rPr>
            </w:pPr>
            <w:r>
              <w:rPr>
                <w:rFonts w:hint="eastAsia"/>
                <w:color w:val="auto"/>
                <w:highlight w:val="none"/>
                <w:lang w:val="en-US" w:eastAsia="zh-CN"/>
              </w:rPr>
              <w:t>360</w:t>
            </w:r>
          </w:p>
        </w:tc>
        <w:tc>
          <w:tcPr>
            <w:tcW w:w="1399" w:type="dxa"/>
            <w:vAlign w:val="center"/>
          </w:tcPr>
          <w:p w14:paraId="1CF33423">
            <w:pPr>
              <w:pStyle w:val="17"/>
              <w:bidi w:val="0"/>
              <w:rPr>
                <w:rFonts w:hint="default"/>
                <w:color w:val="auto"/>
                <w:highlight w:val="none"/>
                <w:lang w:val="en-US" w:eastAsia="zh-CN"/>
              </w:rPr>
            </w:pPr>
            <w:r>
              <w:rPr>
                <w:rFonts w:hint="eastAsia"/>
                <w:color w:val="auto"/>
                <w:highlight w:val="none"/>
                <w:lang w:val="en-US" w:eastAsia="zh-CN"/>
              </w:rPr>
              <w:t>0.936</w:t>
            </w:r>
          </w:p>
        </w:tc>
        <w:tc>
          <w:tcPr>
            <w:tcW w:w="1391" w:type="dxa"/>
            <w:vAlign w:val="center"/>
          </w:tcPr>
          <w:p w14:paraId="3C4B1E6F">
            <w:pPr>
              <w:pStyle w:val="17"/>
              <w:bidi w:val="0"/>
              <w:ind w:firstLine="0" w:firstLineChars="0"/>
              <w:rPr>
                <w:rFonts w:hint="default"/>
                <w:color w:val="auto"/>
                <w:highlight w:val="none"/>
                <w:lang w:val="en-US" w:eastAsia="zh-CN"/>
              </w:rPr>
            </w:pPr>
            <w:r>
              <w:rPr>
                <w:rFonts w:hint="eastAsia"/>
                <w:color w:val="auto"/>
                <w:highlight w:val="none"/>
                <w:lang w:val="en-US" w:eastAsia="zh-CN"/>
              </w:rPr>
              <w:t>125</w:t>
            </w:r>
          </w:p>
        </w:tc>
        <w:tc>
          <w:tcPr>
            <w:tcW w:w="648" w:type="pct"/>
            <w:vAlign w:val="center"/>
          </w:tcPr>
          <w:p w14:paraId="6C27F963">
            <w:pPr>
              <w:pStyle w:val="17"/>
              <w:bidi w:val="0"/>
              <w:rPr>
                <w:rFonts w:hint="default"/>
                <w:color w:val="auto"/>
                <w:highlight w:val="none"/>
                <w:lang w:val="en-US" w:eastAsia="zh-CN"/>
              </w:rPr>
            </w:pPr>
            <w:r>
              <w:rPr>
                <w:rFonts w:hint="eastAsia"/>
                <w:color w:val="auto"/>
                <w:highlight w:val="none"/>
                <w:lang w:val="en-US" w:eastAsia="zh-CN"/>
              </w:rPr>
              <w:t>0.26</w:t>
            </w:r>
          </w:p>
        </w:tc>
        <w:tc>
          <w:tcPr>
            <w:tcW w:w="477" w:type="pct"/>
            <w:vAlign w:val="center"/>
          </w:tcPr>
          <w:p w14:paraId="1C3202C7">
            <w:pPr>
              <w:pStyle w:val="17"/>
              <w:bidi w:val="0"/>
              <w:rPr>
                <w:rFonts w:hint="default"/>
                <w:color w:val="auto"/>
                <w:highlight w:val="none"/>
                <w:lang w:val="en-US" w:eastAsia="zh-CN"/>
              </w:rPr>
            </w:pPr>
            <w:r>
              <w:rPr>
                <w:rFonts w:hint="eastAsia"/>
                <w:color w:val="auto"/>
                <w:highlight w:val="none"/>
                <w:lang w:val="en-US" w:eastAsia="zh-CN"/>
              </w:rPr>
              <w:t>--</w:t>
            </w:r>
          </w:p>
        </w:tc>
      </w:tr>
      <w:tr w14:paraId="0750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continue"/>
            <w:vAlign w:val="center"/>
          </w:tcPr>
          <w:p w14:paraId="72131C52">
            <w:pPr>
              <w:pStyle w:val="17"/>
              <w:bidi w:val="0"/>
              <w:rPr>
                <w:rFonts w:hint="eastAsia"/>
                <w:color w:val="auto"/>
                <w:highlight w:val="none"/>
              </w:rPr>
            </w:pPr>
          </w:p>
        </w:tc>
        <w:tc>
          <w:tcPr>
            <w:tcW w:w="623" w:type="pct"/>
            <w:vAlign w:val="center"/>
          </w:tcPr>
          <w:p w14:paraId="368D5B60">
            <w:pPr>
              <w:pStyle w:val="17"/>
              <w:bidi w:val="0"/>
              <w:rPr>
                <w:rFonts w:hint="eastAsia"/>
                <w:color w:val="auto"/>
                <w:highlight w:val="none"/>
                <w:lang w:val="en-US" w:eastAsia="zh-CN"/>
              </w:rPr>
            </w:pPr>
            <w:r>
              <w:rPr>
                <w:rFonts w:hint="eastAsia"/>
                <w:color w:val="auto"/>
                <w:highlight w:val="none"/>
                <w:lang w:val="en-US" w:eastAsia="zh-CN"/>
              </w:rPr>
              <w:t>氟化物</w:t>
            </w:r>
          </w:p>
        </w:tc>
        <w:tc>
          <w:tcPr>
            <w:tcW w:w="726" w:type="pct"/>
            <w:vAlign w:val="center"/>
          </w:tcPr>
          <w:p w14:paraId="3CEC978B">
            <w:pPr>
              <w:pStyle w:val="17"/>
              <w:bidi w:val="0"/>
              <w:rPr>
                <w:rFonts w:hint="eastAsia"/>
                <w:color w:val="auto"/>
                <w:highlight w:val="none"/>
                <w:lang w:val="en-US" w:eastAsia="zh-CN"/>
              </w:rPr>
            </w:pPr>
            <w:r>
              <w:rPr>
                <w:rFonts w:hint="eastAsia"/>
                <w:color w:val="auto"/>
                <w:highlight w:val="none"/>
                <w:lang w:val="en-US" w:eastAsia="zh-CN"/>
              </w:rPr>
              <w:t>20</w:t>
            </w:r>
          </w:p>
        </w:tc>
        <w:tc>
          <w:tcPr>
            <w:tcW w:w="1399" w:type="dxa"/>
            <w:vAlign w:val="center"/>
          </w:tcPr>
          <w:p w14:paraId="64F3284E">
            <w:pPr>
              <w:pStyle w:val="17"/>
              <w:bidi w:val="0"/>
              <w:rPr>
                <w:rFonts w:hint="default"/>
                <w:color w:val="auto"/>
                <w:highlight w:val="none"/>
                <w:lang w:val="en-US" w:eastAsia="zh-CN"/>
              </w:rPr>
            </w:pPr>
            <w:r>
              <w:rPr>
                <w:rFonts w:hint="eastAsia"/>
                <w:color w:val="auto"/>
                <w:highlight w:val="none"/>
                <w:lang w:val="en-US" w:eastAsia="zh-CN"/>
              </w:rPr>
              <w:t>0.152</w:t>
            </w:r>
          </w:p>
        </w:tc>
        <w:tc>
          <w:tcPr>
            <w:tcW w:w="1391" w:type="dxa"/>
            <w:vAlign w:val="center"/>
          </w:tcPr>
          <w:p w14:paraId="317BA207">
            <w:pPr>
              <w:pStyle w:val="17"/>
              <w:bidi w:val="0"/>
              <w:ind w:firstLine="0" w:firstLineChars="0"/>
              <w:rPr>
                <w:rFonts w:hint="default"/>
                <w:color w:val="auto"/>
                <w:highlight w:val="none"/>
                <w:lang w:val="en-US" w:eastAsia="zh-CN"/>
              </w:rPr>
            </w:pPr>
            <w:r>
              <w:rPr>
                <w:rFonts w:hint="eastAsia"/>
                <w:color w:val="auto"/>
                <w:highlight w:val="none"/>
                <w:lang w:val="en-US" w:eastAsia="zh-CN"/>
              </w:rPr>
              <w:t>125</w:t>
            </w:r>
          </w:p>
        </w:tc>
        <w:tc>
          <w:tcPr>
            <w:tcW w:w="648" w:type="pct"/>
            <w:vAlign w:val="center"/>
          </w:tcPr>
          <w:p w14:paraId="5A625994">
            <w:pPr>
              <w:pStyle w:val="17"/>
              <w:bidi w:val="0"/>
              <w:rPr>
                <w:rFonts w:hint="default"/>
                <w:color w:val="auto"/>
                <w:highlight w:val="none"/>
                <w:lang w:val="en-US" w:eastAsia="zh-CN"/>
              </w:rPr>
            </w:pPr>
            <w:r>
              <w:rPr>
                <w:rFonts w:hint="eastAsia"/>
                <w:color w:val="auto"/>
                <w:highlight w:val="none"/>
                <w:lang w:val="en-US" w:eastAsia="zh-CN"/>
              </w:rPr>
              <w:t>0.76</w:t>
            </w:r>
          </w:p>
        </w:tc>
        <w:tc>
          <w:tcPr>
            <w:tcW w:w="477" w:type="pct"/>
            <w:vAlign w:val="center"/>
          </w:tcPr>
          <w:p w14:paraId="3263D26F">
            <w:pPr>
              <w:pStyle w:val="17"/>
              <w:bidi w:val="0"/>
              <w:rPr>
                <w:rFonts w:hint="eastAsia"/>
                <w:color w:val="auto"/>
                <w:highlight w:val="none"/>
                <w:lang w:val="en-US" w:eastAsia="zh-CN"/>
              </w:rPr>
            </w:pPr>
            <w:r>
              <w:rPr>
                <w:rFonts w:hint="eastAsia"/>
                <w:color w:val="auto"/>
                <w:highlight w:val="none"/>
                <w:lang w:val="en-US" w:eastAsia="zh-CN"/>
              </w:rPr>
              <w:t>--</w:t>
            </w:r>
          </w:p>
        </w:tc>
      </w:tr>
      <w:tr w14:paraId="5140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Align w:val="center"/>
          </w:tcPr>
          <w:p w14:paraId="27280183">
            <w:pPr>
              <w:pStyle w:val="17"/>
              <w:bidi w:val="0"/>
              <w:rPr>
                <w:rFonts w:hint="eastAsia"/>
                <w:color w:val="auto"/>
                <w:highlight w:val="none"/>
                <w:lang w:val="en-US" w:eastAsia="zh-CN"/>
              </w:rPr>
            </w:pPr>
            <w:r>
              <w:rPr>
                <w:rFonts w:hint="eastAsia"/>
                <w:color w:val="auto"/>
                <w:highlight w:val="none"/>
                <w:lang w:val="en-US" w:eastAsia="zh-CN"/>
              </w:rPr>
              <w:t>硫酸稀释车间</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DA005）</w:t>
            </w:r>
          </w:p>
        </w:tc>
        <w:tc>
          <w:tcPr>
            <w:tcW w:w="623" w:type="pct"/>
            <w:vAlign w:val="center"/>
          </w:tcPr>
          <w:p w14:paraId="01163D1C">
            <w:pPr>
              <w:pStyle w:val="17"/>
              <w:bidi w:val="0"/>
              <w:rPr>
                <w:rFonts w:hint="default"/>
                <w:color w:val="auto"/>
                <w:highlight w:val="none"/>
                <w:lang w:val="en-US" w:eastAsia="zh-CN"/>
              </w:rPr>
            </w:pPr>
            <w:r>
              <w:rPr>
                <w:rFonts w:hint="eastAsia"/>
                <w:color w:val="auto"/>
                <w:highlight w:val="none"/>
                <w:lang w:val="en-US" w:eastAsia="zh-CN"/>
              </w:rPr>
              <w:t>硫酸雾</w:t>
            </w:r>
          </w:p>
        </w:tc>
        <w:tc>
          <w:tcPr>
            <w:tcW w:w="726" w:type="pct"/>
            <w:vAlign w:val="center"/>
          </w:tcPr>
          <w:p w14:paraId="3E5E6B77">
            <w:pPr>
              <w:pStyle w:val="17"/>
              <w:bidi w:val="0"/>
              <w:rPr>
                <w:rFonts w:hint="default"/>
                <w:color w:val="auto"/>
                <w:highlight w:val="none"/>
                <w:lang w:val="en-US" w:eastAsia="zh-CN"/>
              </w:rPr>
            </w:pPr>
            <w:r>
              <w:rPr>
                <w:rFonts w:hint="eastAsia"/>
                <w:color w:val="auto"/>
                <w:highlight w:val="none"/>
                <w:lang w:val="en-US" w:eastAsia="zh-CN"/>
              </w:rPr>
              <w:t>300</w:t>
            </w:r>
          </w:p>
        </w:tc>
        <w:tc>
          <w:tcPr>
            <w:tcW w:w="1399" w:type="dxa"/>
            <w:vAlign w:val="center"/>
          </w:tcPr>
          <w:p w14:paraId="303BF9FB">
            <w:pPr>
              <w:pStyle w:val="17"/>
              <w:bidi w:val="0"/>
              <w:rPr>
                <w:rFonts w:hint="default"/>
                <w:color w:val="auto"/>
                <w:highlight w:val="none"/>
                <w:lang w:val="en-US" w:eastAsia="zh-CN"/>
              </w:rPr>
            </w:pPr>
            <w:r>
              <w:rPr>
                <w:rFonts w:hint="eastAsia"/>
                <w:color w:val="auto"/>
                <w:highlight w:val="none"/>
                <w:lang w:val="en-US" w:eastAsia="zh-CN"/>
              </w:rPr>
              <w:t>2.67</w:t>
            </w:r>
          </w:p>
        </w:tc>
        <w:tc>
          <w:tcPr>
            <w:tcW w:w="816" w:type="pct"/>
            <w:vAlign w:val="center"/>
          </w:tcPr>
          <w:p w14:paraId="77C312E7">
            <w:pPr>
              <w:pStyle w:val="17"/>
              <w:bidi w:val="0"/>
              <w:rPr>
                <w:rFonts w:hint="default"/>
                <w:color w:val="auto"/>
                <w:highlight w:val="none"/>
                <w:lang w:val="en-US" w:eastAsia="zh-CN"/>
              </w:rPr>
            </w:pPr>
            <w:r>
              <w:rPr>
                <w:rFonts w:hint="eastAsia"/>
                <w:color w:val="auto"/>
                <w:highlight w:val="none"/>
                <w:lang w:val="en-US" w:eastAsia="zh-CN"/>
              </w:rPr>
              <w:t>41</w:t>
            </w:r>
          </w:p>
        </w:tc>
        <w:tc>
          <w:tcPr>
            <w:tcW w:w="648" w:type="pct"/>
            <w:vAlign w:val="center"/>
          </w:tcPr>
          <w:p w14:paraId="69DF5F38">
            <w:pPr>
              <w:pStyle w:val="17"/>
              <w:bidi w:val="0"/>
              <w:rPr>
                <w:rFonts w:hint="default"/>
                <w:color w:val="auto"/>
                <w:highlight w:val="none"/>
                <w:lang w:val="en-US" w:eastAsia="zh-CN"/>
              </w:rPr>
            </w:pPr>
            <w:r>
              <w:rPr>
                <w:rFonts w:hint="eastAsia"/>
                <w:color w:val="auto"/>
                <w:highlight w:val="none"/>
                <w:lang w:val="en-US" w:eastAsia="zh-CN"/>
              </w:rPr>
              <w:t>0.89</w:t>
            </w:r>
          </w:p>
        </w:tc>
        <w:tc>
          <w:tcPr>
            <w:tcW w:w="477" w:type="pct"/>
            <w:vAlign w:val="center"/>
          </w:tcPr>
          <w:p w14:paraId="4948D155">
            <w:pPr>
              <w:pStyle w:val="17"/>
              <w:bidi w:val="0"/>
              <w:rPr>
                <w:rFonts w:hint="default"/>
                <w:color w:val="auto"/>
                <w:highlight w:val="none"/>
                <w:lang w:val="en-US" w:eastAsia="zh-CN"/>
              </w:rPr>
            </w:pPr>
            <w:r>
              <w:rPr>
                <w:rFonts w:hint="eastAsia"/>
                <w:color w:val="auto"/>
                <w:highlight w:val="none"/>
                <w:lang w:val="en-US" w:eastAsia="zh-CN"/>
              </w:rPr>
              <w:t>--</w:t>
            </w:r>
          </w:p>
        </w:tc>
      </w:tr>
      <w:tr w14:paraId="28EE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shd w:val="clear" w:color="auto" w:fill="auto"/>
            <w:vAlign w:val="center"/>
          </w:tcPr>
          <w:p w14:paraId="5FB14E0F">
            <w:pPr>
              <w:pStyle w:val="17"/>
              <w:bidi w:val="0"/>
              <w:rPr>
                <w:rFonts w:hint="eastAsia"/>
                <w:color w:val="auto"/>
                <w:highlight w:val="none"/>
                <w:lang w:val="en-US" w:eastAsia="zh-CN"/>
              </w:rPr>
            </w:pPr>
            <w:r>
              <w:rPr>
                <w:color w:val="auto"/>
                <w:highlight w:val="none"/>
              </w:rPr>
              <w:t>尾矿库</w:t>
            </w:r>
          </w:p>
        </w:tc>
        <w:tc>
          <w:tcPr>
            <w:tcW w:w="623" w:type="pct"/>
            <w:shd w:val="clear" w:color="auto" w:fill="auto"/>
            <w:vAlign w:val="center"/>
          </w:tcPr>
          <w:p w14:paraId="2D4774DB">
            <w:pPr>
              <w:pStyle w:val="17"/>
              <w:bidi w:val="0"/>
              <w:rPr>
                <w:rFonts w:hint="eastAsia"/>
                <w:color w:val="auto"/>
                <w:highlight w:val="none"/>
                <w:lang w:val="en-US" w:eastAsia="zh-CN"/>
              </w:rPr>
            </w:pPr>
            <w:r>
              <w:rPr>
                <w:rFonts w:hint="eastAsia"/>
                <w:color w:val="auto"/>
                <w:highlight w:val="none"/>
                <w:lang w:val="en-US" w:eastAsia="zh-CN"/>
              </w:rPr>
              <w:t>TSP</w:t>
            </w:r>
          </w:p>
        </w:tc>
        <w:tc>
          <w:tcPr>
            <w:tcW w:w="726" w:type="pct"/>
            <w:shd w:val="clear" w:color="auto" w:fill="auto"/>
            <w:vAlign w:val="center"/>
          </w:tcPr>
          <w:p w14:paraId="0931DCD0">
            <w:pPr>
              <w:pStyle w:val="17"/>
              <w:bidi w:val="0"/>
              <w:rPr>
                <w:rFonts w:hint="default"/>
                <w:color w:val="auto"/>
                <w:highlight w:val="none"/>
                <w:lang w:val="en-US" w:eastAsia="zh-CN"/>
              </w:rPr>
            </w:pPr>
            <w:r>
              <w:rPr>
                <w:rFonts w:hint="eastAsia"/>
                <w:color w:val="auto"/>
                <w:highlight w:val="none"/>
                <w:lang w:val="en-US" w:eastAsia="zh-CN"/>
              </w:rPr>
              <w:t>900</w:t>
            </w:r>
          </w:p>
        </w:tc>
        <w:tc>
          <w:tcPr>
            <w:tcW w:w="1399" w:type="dxa"/>
            <w:shd w:val="clear" w:color="auto" w:fill="auto"/>
            <w:vAlign w:val="center"/>
          </w:tcPr>
          <w:p w14:paraId="54490B0E">
            <w:pPr>
              <w:pStyle w:val="17"/>
              <w:bidi w:val="0"/>
              <w:rPr>
                <w:rFonts w:hint="eastAsia"/>
                <w:color w:val="auto"/>
                <w:highlight w:val="none"/>
                <w:lang w:val="en-US" w:eastAsia="zh-CN"/>
              </w:rPr>
            </w:pPr>
            <w:r>
              <w:rPr>
                <w:rFonts w:hint="eastAsia"/>
                <w:color w:val="auto"/>
                <w:highlight w:val="none"/>
                <w:lang w:val="en-US" w:eastAsia="zh-CN"/>
              </w:rPr>
              <w:t>0.36</w:t>
            </w:r>
          </w:p>
        </w:tc>
        <w:tc>
          <w:tcPr>
            <w:tcW w:w="816" w:type="pct"/>
            <w:shd w:val="clear" w:color="auto" w:fill="auto"/>
            <w:vAlign w:val="center"/>
          </w:tcPr>
          <w:p w14:paraId="4C27722B">
            <w:pPr>
              <w:pStyle w:val="17"/>
              <w:bidi w:val="0"/>
              <w:rPr>
                <w:rFonts w:hint="default"/>
                <w:color w:val="auto"/>
                <w:highlight w:val="none"/>
                <w:lang w:val="en-US" w:eastAsia="zh-CN"/>
              </w:rPr>
            </w:pPr>
            <w:r>
              <w:rPr>
                <w:rFonts w:hint="eastAsia"/>
                <w:color w:val="auto"/>
                <w:highlight w:val="none"/>
                <w:lang w:val="en-US" w:eastAsia="zh-CN"/>
              </w:rPr>
              <w:t>600</w:t>
            </w:r>
          </w:p>
        </w:tc>
        <w:tc>
          <w:tcPr>
            <w:tcW w:w="648" w:type="pct"/>
            <w:shd w:val="clear" w:color="auto" w:fill="auto"/>
            <w:vAlign w:val="center"/>
          </w:tcPr>
          <w:p w14:paraId="23C560F9">
            <w:pPr>
              <w:pStyle w:val="17"/>
              <w:bidi w:val="0"/>
              <w:rPr>
                <w:rFonts w:hint="default"/>
                <w:color w:val="auto"/>
                <w:highlight w:val="none"/>
                <w:lang w:val="en-US" w:eastAsia="zh-CN"/>
              </w:rPr>
            </w:pPr>
            <w:r>
              <w:rPr>
                <w:rFonts w:hint="eastAsia"/>
                <w:color w:val="auto"/>
                <w:highlight w:val="none"/>
                <w:lang w:val="en-US" w:eastAsia="zh-CN"/>
              </w:rPr>
              <w:t>0.04</w:t>
            </w:r>
          </w:p>
        </w:tc>
        <w:tc>
          <w:tcPr>
            <w:tcW w:w="477" w:type="pct"/>
            <w:shd w:val="clear" w:color="auto" w:fill="auto"/>
            <w:vAlign w:val="center"/>
          </w:tcPr>
          <w:p w14:paraId="426A7B5F">
            <w:pPr>
              <w:pStyle w:val="17"/>
              <w:bidi w:val="0"/>
              <w:rPr>
                <w:rFonts w:hint="eastAsia"/>
                <w:color w:val="auto"/>
                <w:highlight w:val="none"/>
                <w:lang w:val="en-US" w:eastAsia="zh-CN"/>
              </w:rPr>
            </w:pPr>
            <w:r>
              <w:rPr>
                <w:rFonts w:hint="eastAsia"/>
                <w:color w:val="auto"/>
                <w:highlight w:val="none"/>
                <w:lang w:val="en-US" w:eastAsia="zh-CN"/>
              </w:rPr>
              <w:t>--</w:t>
            </w:r>
          </w:p>
        </w:tc>
      </w:tr>
      <w:tr w14:paraId="5CDE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Align w:val="center"/>
          </w:tcPr>
          <w:p w14:paraId="2B212CE4">
            <w:pPr>
              <w:pStyle w:val="17"/>
              <w:bidi w:val="0"/>
              <w:rPr>
                <w:rFonts w:hint="default"/>
                <w:color w:val="auto"/>
                <w:highlight w:val="none"/>
                <w:lang w:val="en-US" w:eastAsia="zh-CN"/>
              </w:rPr>
            </w:pPr>
            <w:r>
              <w:rPr>
                <w:rFonts w:hint="eastAsia"/>
                <w:color w:val="auto"/>
                <w:highlight w:val="none"/>
                <w:lang w:val="en-US" w:eastAsia="zh-CN"/>
              </w:rPr>
              <w:t>废石堆场</w:t>
            </w:r>
          </w:p>
        </w:tc>
        <w:tc>
          <w:tcPr>
            <w:tcW w:w="623" w:type="pct"/>
            <w:vAlign w:val="center"/>
          </w:tcPr>
          <w:p w14:paraId="069CDFE9">
            <w:pPr>
              <w:pStyle w:val="17"/>
              <w:bidi w:val="0"/>
              <w:rPr>
                <w:rFonts w:hint="eastAsia"/>
                <w:color w:val="auto"/>
                <w:highlight w:val="none"/>
                <w:lang w:val="en-US" w:eastAsia="zh-CN"/>
              </w:rPr>
            </w:pPr>
            <w:r>
              <w:rPr>
                <w:rFonts w:hint="eastAsia"/>
                <w:color w:val="auto"/>
                <w:highlight w:val="none"/>
                <w:lang w:val="en-US" w:eastAsia="zh-CN"/>
              </w:rPr>
              <w:t>TSP</w:t>
            </w:r>
          </w:p>
        </w:tc>
        <w:tc>
          <w:tcPr>
            <w:tcW w:w="726" w:type="pct"/>
            <w:vAlign w:val="center"/>
          </w:tcPr>
          <w:p w14:paraId="46D9A3B3">
            <w:pPr>
              <w:pStyle w:val="17"/>
              <w:bidi w:val="0"/>
              <w:rPr>
                <w:rFonts w:hint="default"/>
                <w:color w:val="auto"/>
                <w:highlight w:val="none"/>
                <w:lang w:val="en-US" w:eastAsia="zh-CN"/>
              </w:rPr>
            </w:pPr>
            <w:r>
              <w:rPr>
                <w:rFonts w:hint="eastAsia"/>
                <w:color w:val="auto"/>
                <w:highlight w:val="none"/>
                <w:lang w:val="en-US" w:eastAsia="zh-CN"/>
              </w:rPr>
              <w:t>900</w:t>
            </w:r>
          </w:p>
        </w:tc>
        <w:tc>
          <w:tcPr>
            <w:tcW w:w="1399" w:type="dxa"/>
            <w:vAlign w:val="center"/>
          </w:tcPr>
          <w:p w14:paraId="1BD53916">
            <w:pPr>
              <w:pStyle w:val="17"/>
              <w:bidi w:val="0"/>
              <w:rPr>
                <w:rFonts w:hint="eastAsia"/>
                <w:color w:val="auto"/>
                <w:highlight w:val="none"/>
                <w:lang w:val="en-US" w:eastAsia="zh-CN"/>
              </w:rPr>
            </w:pPr>
            <w:r>
              <w:rPr>
                <w:rFonts w:hint="eastAsia"/>
                <w:color w:val="auto"/>
                <w:highlight w:val="none"/>
                <w:lang w:val="en-US" w:eastAsia="zh-CN"/>
              </w:rPr>
              <w:t>18.09</w:t>
            </w:r>
          </w:p>
        </w:tc>
        <w:tc>
          <w:tcPr>
            <w:tcW w:w="816" w:type="pct"/>
            <w:vAlign w:val="center"/>
          </w:tcPr>
          <w:p w14:paraId="4D5A0B7F">
            <w:pPr>
              <w:pStyle w:val="17"/>
              <w:bidi w:val="0"/>
              <w:rPr>
                <w:rFonts w:hint="default"/>
                <w:color w:val="auto"/>
                <w:highlight w:val="none"/>
                <w:lang w:val="en-US" w:eastAsia="zh-CN"/>
              </w:rPr>
            </w:pPr>
            <w:r>
              <w:rPr>
                <w:rFonts w:hint="eastAsia"/>
                <w:color w:val="auto"/>
                <w:highlight w:val="none"/>
                <w:lang w:val="en-US" w:eastAsia="zh-CN"/>
              </w:rPr>
              <w:t>500</w:t>
            </w:r>
          </w:p>
        </w:tc>
        <w:tc>
          <w:tcPr>
            <w:tcW w:w="648" w:type="pct"/>
            <w:vAlign w:val="center"/>
          </w:tcPr>
          <w:p w14:paraId="40A6F42C">
            <w:pPr>
              <w:pStyle w:val="17"/>
              <w:bidi w:val="0"/>
              <w:rPr>
                <w:rFonts w:hint="default"/>
                <w:color w:val="auto"/>
                <w:highlight w:val="none"/>
                <w:lang w:val="en-US" w:eastAsia="zh-CN"/>
              </w:rPr>
            </w:pPr>
            <w:r>
              <w:rPr>
                <w:rFonts w:hint="eastAsia"/>
                <w:color w:val="auto"/>
                <w:highlight w:val="none"/>
                <w:lang w:val="en-US" w:eastAsia="zh-CN"/>
              </w:rPr>
              <w:t>2.01</w:t>
            </w:r>
          </w:p>
        </w:tc>
        <w:tc>
          <w:tcPr>
            <w:tcW w:w="477" w:type="pct"/>
            <w:vAlign w:val="center"/>
          </w:tcPr>
          <w:p w14:paraId="276F5EAC">
            <w:pPr>
              <w:pStyle w:val="17"/>
              <w:bidi w:val="0"/>
              <w:rPr>
                <w:rFonts w:hint="eastAsia"/>
                <w:color w:val="auto"/>
                <w:highlight w:val="none"/>
                <w:lang w:val="en-US" w:eastAsia="zh-CN"/>
              </w:rPr>
            </w:pPr>
          </w:p>
        </w:tc>
      </w:tr>
    </w:tbl>
    <w:p w14:paraId="2D4EC54E">
      <w:pPr>
        <w:bidi w:val="0"/>
        <w:rPr>
          <w:rFonts w:hint="default"/>
          <w:color w:val="auto"/>
          <w:highlight w:val="none"/>
          <w:lang w:val="en-US" w:eastAsia="zh-CN"/>
        </w:rPr>
      </w:pPr>
      <w:r>
        <w:rPr>
          <w:rFonts w:hint="default"/>
          <w:color w:val="auto"/>
          <w:highlight w:val="none"/>
        </w:rPr>
        <w:t>根据</w:t>
      </w:r>
      <w:r>
        <w:rPr>
          <w:rFonts w:hint="default"/>
          <w:color w:val="auto"/>
          <w:highlight w:val="none"/>
          <w:lang w:eastAsia="zh-CN"/>
        </w:rPr>
        <w:t>上表</w:t>
      </w:r>
      <w:r>
        <w:rPr>
          <w:rFonts w:hint="default"/>
          <w:color w:val="auto"/>
          <w:highlight w:val="none"/>
        </w:rPr>
        <w:t>，比较表2.6-</w:t>
      </w:r>
      <w:r>
        <w:rPr>
          <w:rFonts w:hint="default"/>
          <w:color w:val="auto"/>
          <w:highlight w:val="none"/>
          <w:lang w:val="en-US" w:eastAsia="zh-CN"/>
        </w:rPr>
        <w:t>1</w:t>
      </w:r>
      <w:r>
        <w:rPr>
          <w:rFonts w:hint="default"/>
          <w:color w:val="auto"/>
          <w:highlight w:val="none"/>
        </w:rPr>
        <w:t>评价工作分级判据，由计算结果可知，本主要污染物的Pmax为</w:t>
      </w:r>
      <w:r>
        <w:rPr>
          <w:rFonts w:hint="eastAsia"/>
          <w:color w:val="auto"/>
          <w:highlight w:val="none"/>
          <w:lang w:val="en-US" w:eastAsia="zh-CN"/>
        </w:rPr>
        <w:t>7.47</w:t>
      </w:r>
      <w:r>
        <w:rPr>
          <w:rFonts w:hint="default"/>
          <w:color w:val="auto"/>
          <w:highlight w:val="none"/>
        </w:rPr>
        <w:t>%，</w:t>
      </w:r>
      <w:r>
        <w:rPr>
          <w:rFonts w:hint="default"/>
          <w:color w:val="auto"/>
          <w:highlight w:val="none"/>
          <w:lang w:eastAsia="zh-CN"/>
        </w:rPr>
        <w:t>小</w:t>
      </w:r>
      <w:r>
        <w:rPr>
          <w:rFonts w:hint="default"/>
          <w:color w:val="auto"/>
          <w:highlight w:val="none"/>
        </w:rPr>
        <w:t>于10%，根据《环境影响评价技术导则大气环境》（HJ2.2-2018）分级判据，确定本项目大气环境影响评价工作等级为二级</w:t>
      </w:r>
      <w:r>
        <w:rPr>
          <w:rFonts w:hint="default"/>
          <w:color w:val="auto"/>
          <w:highlight w:val="none"/>
          <w:lang w:eastAsia="zh-CN"/>
        </w:rPr>
        <w:t>。</w:t>
      </w:r>
    </w:p>
    <w:p w14:paraId="6F809796">
      <w:pPr>
        <w:overflowPunct w:val="0"/>
        <w:topLinePunct/>
        <w:ind w:firstLine="480"/>
        <w:rPr>
          <w:rFonts w:hint="eastAsia" w:cs="Times New Roman"/>
          <w:color w:val="auto"/>
          <w:highlight w:val="none"/>
          <w:lang w:val="en-US" w:eastAsia="zh-CN"/>
        </w:rPr>
      </w:pPr>
      <w:r>
        <w:rPr>
          <w:rFonts w:hint="eastAsia" w:cs="Times New Roman"/>
          <w:color w:val="auto"/>
          <w:highlight w:val="none"/>
          <w:lang w:eastAsia="zh-CN"/>
        </w:rPr>
        <w:t>（</w:t>
      </w:r>
      <w:r>
        <w:rPr>
          <w:rFonts w:hint="eastAsia" w:cs="Times New Roman"/>
          <w:color w:val="auto"/>
          <w:highlight w:val="none"/>
          <w:lang w:val="en-US" w:eastAsia="zh-CN"/>
        </w:rPr>
        <w:t>4）评价范围</w:t>
      </w:r>
    </w:p>
    <w:p w14:paraId="2410EE53">
      <w:pPr>
        <w:overflowPunct w:val="0"/>
        <w:topLinePunct/>
        <w:ind w:firstLine="480"/>
        <w:rPr>
          <w:rFonts w:hint="default" w:cs="Times New Roman"/>
          <w:color w:val="auto"/>
          <w:highlight w:val="none"/>
          <w:lang w:val="en-US" w:eastAsia="zh-CN"/>
        </w:rPr>
      </w:pPr>
      <w:r>
        <w:rPr>
          <w:color w:val="auto"/>
          <w:sz w:val="24"/>
          <w:highlight w:val="none"/>
        </w:rPr>
        <w:t>根据《环境影响评价技术导则 大气环境》（HJ2.2-2018）的规定和表的估算结果，同时考虑项目建设性质，确定本次环境空气评价范围为</w:t>
      </w:r>
      <w:r>
        <w:rPr>
          <w:rFonts w:hint="default"/>
          <w:color w:val="auto"/>
          <w:highlight w:val="none"/>
          <w:lang w:eastAsia="zh-CN"/>
        </w:rPr>
        <w:t>以</w:t>
      </w:r>
      <w:r>
        <w:rPr>
          <w:rFonts w:hint="eastAsia" w:ascii="Times New Roman" w:hAnsi="Times New Roman" w:eastAsia="宋体" w:cs="Times New Roman"/>
          <w:color w:val="auto"/>
          <w:sz w:val="24"/>
          <w:highlight w:val="none"/>
          <w:lang w:val="en-US" w:eastAsia="zh-CN"/>
        </w:rPr>
        <w:t>选矿厂、尾矿库为中心</w:t>
      </w:r>
      <w:r>
        <w:rPr>
          <w:rFonts w:hint="eastAsia"/>
          <w:color w:val="auto"/>
          <w:highlight w:val="none"/>
          <w:lang w:val="en-US" w:eastAsia="zh-CN"/>
        </w:rPr>
        <w:t>，各</w:t>
      </w:r>
      <w:r>
        <w:rPr>
          <w:rFonts w:hint="default"/>
          <w:color w:val="auto"/>
          <w:highlight w:val="none"/>
          <w:lang w:val="en-US" w:eastAsia="zh-CN"/>
        </w:rPr>
        <w:t>边长5km</w:t>
      </w:r>
      <w:r>
        <w:rPr>
          <w:rFonts w:hint="default"/>
          <w:color w:val="auto"/>
          <w:highlight w:val="none"/>
          <w:lang w:eastAsia="zh-CN"/>
        </w:rPr>
        <w:t>的矩形区域</w:t>
      </w:r>
      <w:r>
        <w:rPr>
          <w:color w:val="auto"/>
          <w:sz w:val="24"/>
          <w:highlight w:val="none"/>
        </w:rPr>
        <w:t>。</w:t>
      </w:r>
    </w:p>
    <w:p w14:paraId="40A64931">
      <w:pPr>
        <w:pStyle w:val="6"/>
        <w:bidi w:val="0"/>
        <w:rPr>
          <w:rFonts w:hint="default"/>
          <w:color w:val="auto"/>
          <w:highlight w:val="none"/>
          <w:lang w:val="en-US" w:eastAsia="zh-CN"/>
        </w:rPr>
      </w:pPr>
      <w:bookmarkStart w:id="246" w:name="_Toc266374525"/>
      <w:bookmarkStart w:id="247" w:name="_Toc474747836"/>
      <w:bookmarkStart w:id="248" w:name="_Toc190909898"/>
      <w:bookmarkStart w:id="249" w:name="_Toc277781476"/>
      <w:bookmarkStart w:id="250" w:name="_Toc191903740"/>
      <w:bookmarkStart w:id="251" w:name="_Toc218485492"/>
      <w:bookmarkStart w:id="252" w:name="_Toc366104788"/>
      <w:r>
        <w:rPr>
          <w:rFonts w:hint="default"/>
          <w:color w:val="auto"/>
          <w:highlight w:val="none"/>
        </w:rPr>
        <w:t>2.6.2地表水评价等级</w:t>
      </w:r>
      <w:r>
        <w:rPr>
          <w:rFonts w:hint="eastAsia"/>
          <w:color w:val="auto"/>
          <w:highlight w:val="none"/>
          <w:lang w:val="en-US" w:eastAsia="zh-CN"/>
        </w:rPr>
        <w:t>及评价范围</w:t>
      </w:r>
    </w:p>
    <w:p w14:paraId="71640503">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kern w:val="0"/>
          <w:highlight w:val="none"/>
        </w:rPr>
        <w:t>本项目</w:t>
      </w:r>
      <w:r>
        <w:rPr>
          <w:rFonts w:hint="default" w:ascii="Times New Roman" w:hAnsi="Times New Roman" w:cs="Times New Roman"/>
          <w:color w:val="auto"/>
          <w:highlight w:val="none"/>
        </w:rPr>
        <w:t>矿井涌水</w:t>
      </w:r>
      <w:r>
        <w:rPr>
          <w:rFonts w:hint="eastAsia" w:ascii="Times New Roman" w:hAnsi="Times New Roman" w:cs="Times New Roman"/>
          <w:color w:val="auto"/>
          <w:highlight w:val="none"/>
          <w:lang w:val="en-US" w:eastAsia="zh-CN"/>
        </w:rPr>
        <w:t>经坑内水净化站处理后，泵送</w:t>
      </w:r>
      <w:r>
        <w:rPr>
          <w:rFonts w:hint="eastAsia"/>
          <w:color w:val="auto"/>
          <w:highlight w:val="none"/>
          <w:lang w:val="en-US" w:eastAsia="zh-CN"/>
        </w:rPr>
        <w:t>至选厂容积2000m</w:t>
      </w:r>
      <w:r>
        <w:rPr>
          <w:rFonts w:hint="eastAsia"/>
          <w:color w:val="auto"/>
          <w:highlight w:val="none"/>
          <w:vertAlign w:val="superscript"/>
          <w:lang w:val="en-US" w:eastAsia="zh-CN"/>
        </w:rPr>
        <w:t>3</w:t>
      </w:r>
      <w:r>
        <w:rPr>
          <w:rFonts w:hint="eastAsia"/>
          <w:color w:val="auto"/>
          <w:highlight w:val="none"/>
          <w:lang w:val="en-US" w:eastAsia="zh-CN"/>
        </w:rPr>
        <w:t>生产消防高位水池</w:t>
      </w:r>
      <w:r>
        <w:rPr>
          <w:rFonts w:hint="default" w:ascii="Times New Roman" w:hAnsi="Times New Roman" w:cs="Times New Roman"/>
          <w:color w:val="auto"/>
          <w:highlight w:val="none"/>
        </w:rPr>
        <w:t>，</w:t>
      </w:r>
      <w:r>
        <w:rPr>
          <w:rFonts w:hint="eastAsia"/>
          <w:color w:val="auto"/>
          <w:highlight w:val="none"/>
          <w:lang w:val="en-US" w:eastAsia="zh-CN"/>
        </w:rPr>
        <w:t>作为生产水使用</w:t>
      </w:r>
      <w:r>
        <w:rPr>
          <w:rFonts w:hint="default" w:ascii="Times New Roman" w:hAnsi="Times New Roman" w:cs="Times New Roman"/>
          <w:color w:val="auto"/>
          <w:highlight w:val="none"/>
          <w:lang w:val="en-US" w:eastAsia="zh-CN"/>
        </w:rPr>
        <w:t>。</w:t>
      </w:r>
      <w:r>
        <w:rPr>
          <w:rFonts w:hint="eastAsia" w:cs="Times New Roman"/>
          <w:color w:val="auto"/>
          <w:kern w:val="0"/>
          <w:highlight w:val="none"/>
          <w:lang w:val="en-US" w:eastAsia="zh-CN"/>
        </w:rPr>
        <w:t>选矿</w:t>
      </w:r>
      <w:r>
        <w:rPr>
          <w:rFonts w:hint="default" w:ascii="Times New Roman" w:hAnsi="Times New Roman" w:cs="Times New Roman"/>
          <w:color w:val="auto"/>
          <w:kern w:val="0"/>
          <w:highlight w:val="none"/>
        </w:rPr>
        <w:t>废水“闭路循环”不外排</w:t>
      </w:r>
      <w:r>
        <w:rPr>
          <w:rFonts w:hint="eastAsia" w:cs="Times New Roman"/>
          <w:color w:val="auto"/>
          <w:kern w:val="0"/>
          <w:highlight w:val="none"/>
          <w:lang w:eastAsia="zh-CN"/>
        </w:rPr>
        <w:t>。</w:t>
      </w:r>
      <w:r>
        <w:rPr>
          <w:rFonts w:hint="eastAsia"/>
          <w:color w:val="auto"/>
          <w:highlight w:val="none"/>
        </w:rPr>
        <w:t>锅炉排污水、软水废水</w:t>
      </w:r>
      <w:r>
        <w:rPr>
          <w:rFonts w:hint="eastAsia"/>
          <w:color w:val="auto"/>
          <w:highlight w:val="none"/>
          <w:lang w:val="en-US" w:eastAsia="zh-CN"/>
        </w:rPr>
        <w:t>回用于选矿</w:t>
      </w:r>
      <w:r>
        <w:rPr>
          <w:rFonts w:hint="eastAsia"/>
          <w:color w:val="auto"/>
          <w:highlight w:val="none"/>
        </w:rPr>
        <w:t>。化验废水全部通过管路输入选矿生产工序循环使用，做到零排放</w:t>
      </w:r>
      <w:r>
        <w:rPr>
          <w:rFonts w:hint="default" w:ascii="Times New Roman" w:hAnsi="Times New Roman" w:cs="Times New Roman"/>
          <w:color w:val="auto"/>
          <w:kern w:val="0"/>
          <w:highlight w:val="none"/>
        </w:rPr>
        <w:t>；生活污水</w:t>
      </w:r>
      <w:r>
        <w:rPr>
          <w:rFonts w:hint="eastAsia" w:cs="Times New Roman"/>
          <w:color w:val="auto"/>
          <w:kern w:val="0"/>
          <w:highlight w:val="none"/>
          <w:lang w:val="en-US" w:eastAsia="zh-CN"/>
        </w:rPr>
        <w:t>经</w:t>
      </w:r>
      <w:r>
        <w:rPr>
          <w:rFonts w:hint="default" w:ascii="Times New Roman" w:hAnsi="Times New Roman" w:cs="Times New Roman"/>
          <w:color w:val="auto"/>
          <w:kern w:val="0"/>
          <w:highlight w:val="none"/>
          <w:lang w:val="en-US" w:eastAsia="zh-CN"/>
        </w:rPr>
        <w:t>地埋式污水处理设施</w:t>
      </w:r>
      <w:r>
        <w:rPr>
          <w:rFonts w:hint="default" w:ascii="Times New Roman" w:hAnsi="Times New Roman" w:cs="Times New Roman"/>
          <w:color w:val="auto"/>
          <w:highlight w:val="none"/>
        </w:rPr>
        <w:t>处理达到</w:t>
      </w:r>
      <w:r>
        <w:rPr>
          <w:rFonts w:hint="default" w:ascii="Times New Roman" w:hAnsi="Times New Roman" w:eastAsia="宋体" w:cs="Times New Roman"/>
          <w:b w:val="0"/>
          <w:bCs/>
          <w:color w:val="auto"/>
          <w:sz w:val="24"/>
          <w:szCs w:val="24"/>
          <w:highlight w:val="none"/>
          <w:shd w:val="clear" w:color="auto" w:fill="auto"/>
          <w:lang w:val="en-US" w:eastAsia="zh-CN"/>
        </w:rPr>
        <w:t>《农村生活污水处理排放标准》（DB65 4275-2019）表</w:t>
      </w:r>
      <w:r>
        <w:rPr>
          <w:rFonts w:hint="eastAsia" w:cs="Times New Roman"/>
          <w:b w:val="0"/>
          <w:bCs/>
          <w:color w:val="auto"/>
          <w:sz w:val="24"/>
          <w:szCs w:val="24"/>
          <w:highlight w:val="none"/>
          <w:shd w:val="clear" w:color="auto" w:fill="auto"/>
          <w:lang w:val="en-US" w:eastAsia="zh-CN"/>
        </w:rPr>
        <w:t>2</w:t>
      </w:r>
      <w:r>
        <w:rPr>
          <w:rFonts w:hint="default" w:ascii="Times New Roman" w:hAnsi="Times New Roman" w:eastAsia="宋体" w:cs="Times New Roman"/>
          <w:b w:val="0"/>
          <w:bCs/>
          <w:color w:val="auto"/>
          <w:sz w:val="24"/>
          <w:szCs w:val="24"/>
          <w:highlight w:val="none"/>
          <w:shd w:val="clear" w:color="auto" w:fill="auto"/>
          <w:lang w:val="en-US" w:eastAsia="zh-CN"/>
        </w:rPr>
        <w:t>中</w:t>
      </w:r>
      <w:r>
        <w:rPr>
          <w:rFonts w:hint="eastAsia" w:cs="Times New Roman"/>
          <w:b w:val="0"/>
          <w:bCs/>
          <w:color w:val="auto"/>
          <w:sz w:val="24"/>
          <w:szCs w:val="24"/>
          <w:highlight w:val="none"/>
          <w:shd w:val="clear" w:color="auto" w:fill="auto"/>
          <w:lang w:val="en-US" w:eastAsia="zh-CN"/>
        </w:rPr>
        <w:t>A</w:t>
      </w:r>
      <w:r>
        <w:rPr>
          <w:rFonts w:hint="default" w:ascii="Times New Roman" w:hAnsi="Times New Roman" w:eastAsia="宋体" w:cs="Times New Roman"/>
          <w:b w:val="0"/>
          <w:bCs/>
          <w:color w:val="auto"/>
          <w:sz w:val="24"/>
          <w:szCs w:val="24"/>
          <w:highlight w:val="none"/>
          <w:shd w:val="clear" w:color="auto" w:fill="auto"/>
          <w:lang w:val="en-US" w:eastAsia="zh-CN"/>
        </w:rPr>
        <w:t>级标准限值</w:t>
      </w:r>
      <w:r>
        <w:rPr>
          <w:rFonts w:hint="eastAsia" w:cs="Times New Roman"/>
          <w:b w:val="0"/>
          <w:bCs/>
          <w:color w:val="auto"/>
          <w:sz w:val="24"/>
          <w:szCs w:val="24"/>
          <w:highlight w:val="none"/>
          <w:shd w:val="clear" w:color="auto" w:fill="auto"/>
          <w:lang w:val="en-US" w:eastAsia="zh-CN"/>
        </w:rPr>
        <w:t>后，</w:t>
      </w:r>
      <w:r>
        <w:rPr>
          <w:rFonts w:hint="eastAsia"/>
          <w:b w:val="0"/>
          <w:bCs/>
          <w:color w:val="auto"/>
          <w:highlight w:val="none"/>
          <w:lang w:val="en-US" w:eastAsia="zh-CN"/>
        </w:rPr>
        <w:t>用于项目区绿化</w:t>
      </w:r>
      <w:r>
        <w:rPr>
          <w:rFonts w:hint="default" w:ascii="Times New Roman" w:hAnsi="Times New Roman" w:cs="Times New Roman"/>
          <w:color w:val="auto"/>
          <w:highlight w:val="none"/>
        </w:rPr>
        <w:t>，不外排。根据《环境影响评价技术导则 地表水环境》（HJ2.3-2018）中水污染影响型建设项目评价等级判定，本项目废水不排入外环境，因此本项目地表水环境影响评价工作等级确定为三级B。</w:t>
      </w:r>
      <w:r>
        <w:rPr>
          <w:rFonts w:hint="default" w:ascii="Times New Roman" w:hAnsi="Times New Roman" w:cs="Times New Roman"/>
          <w:color w:val="auto"/>
          <w:highlight w:val="none"/>
          <w:lang w:val="en-US" w:eastAsia="zh-CN"/>
        </w:rPr>
        <w:t>可不进行水环境影响预测。只需要对其简要分析，不设评价范围。</w:t>
      </w:r>
    </w:p>
    <w:p w14:paraId="69FCD40F">
      <w:pPr>
        <w:pStyle w:val="6"/>
        <w:bidi w:val="0"/>
        <w:rPr>
          <w:rFonts w:hint="default"/>
          <w:color w:val="auto"/>
          <w:highlight w:val="none"/>
          <w:lang w:val="en-US" w:eastAsia="zh-CN"/>
        </w:rPr>
      </w:pPr>
      <w:r>
        <w:rPr>
          <w:rFonts w:hint="default"/>
          <w:color w:val="auto"/>
          <w:highlight w:val="none"/>
        </w:rPr>
        <w:t>2.6.3地下水评价等级</w:t>
      </w:r>
      <w:r>
        <w:rPr>
          <w:rFonts w:hint="eastAsia"/>
          <w:color w:val="auto"/>
          <w:highlight w:val="none"/>
          <w:lang w:val="en-US" w:eastAsia="zh-CN"/>
        </w:rPr>
        <w:t>及评价范围</w:t>
      </w:r>
    </w:p>
    <w:p w14:paraId="7DC6459B">
      <w:pPr>
        <w:bidi w:val="0"/>
        <w:rPr>
          <w:rFonts w:hint="default" w:ascii="Times New Roman" w:hAnsi="Times New Roman" w:cs="Times New Roman"/>
          <w:color w:val="auto"/>
          <w:highlight w:val="none"/>
        </w:rPr>
      </w:pPr>
      <w:r>
        <w:rPr>
          <w:rFonts w:hint="default"/>
          <w:color w:val="auto"/>
          <w:highlight w:val="none"/>
        </w:rPr>
        <w:t>本项目</w:t>
      </w:r>
      <w:r>
        <w:rPr>
          <w:rFonts w:hint="eastAsia"/>
          <w:color w:val="auto"/>
          <w:highlight w:val="none"/>
          <w:lang w:eastAsia="zh-CN"/>
        </w:rPr>
        <w:t>属于</w:t>
      </w:r>
      <w:r>
        <w:rPr>
          <w:rFonts w:hint="default"/>
          <w:color w:val="auto"/>
          <w:highlight w:val="none"/>
          <w:lang w:eastAsia="zh-CN"/>
        </w:rPr>
        <w:t>非</w:t>
      </w:r>
      <w:r>
        <w:rPr>
          <w:rFonts w:hint="default"/>
          <w:color w:val="auto"/>
          <w:highlight w:val="none"/>
        </w:rPr>
        <w:t>金属矿采选业，建设内容包括</w:t>
      </w:r>
      <w:r>
        <w:rPr>
          <w:rFonts w:hint="default"/>
          <w:color w:val="auto"/>
          <w:highlight w:val="none"/>
          <w:lang w:val="en-US" w:eastAsia="zh-CN"/>
        </w:rPr>
        <w:t>采矿工程、选矿工程及</w:t>
      </w:r>
      <w:r>
        <w:rPr>
          <w:rFonts w:hint="default"/>
          <w:color w:val="auto"/>
          <w:highlight w:val="none"/>
        </w:rPr>
        <w:t>尾矿库，根据《环境影响评价技术导则 地下水环境》（HJ610-2016）中附录A，</w:t>
      </w:r>
      <w:r>
        <w:rPr>
          <w:rFonts w:hint="default"/>
          <w:color w:val="auto"/>
          <w:highlight w:val="none"/>
          <w:lang w:val="en-US" w:eastAsia="zh-CN"/>
        </w:rPr>
        <w:t>非金属矿采选属于</w:t>
      </w:r>
      <w:r>
        <w:rPr>
          <w:rFonts w:hint="default"/>
          <w:color w:val="auto"/>
          <w:highlight w:val="none"/>
        </w:rPr>
        <w:fldChar w:fldCharType="begin"/>
      </w:r>
      <w:r>
        <w:rPr>
          <w:rFonts w:hint="default"/>
          <w:color w:val="auto"/>
          <w:highlight w:val="none"/>
        </w:rPr>
        <w:instrText xml:space="preserve"> = 3 \* ROMAN \* MERGEFORMAT </w:instrText>
      </w:r>
      <w:r>
        <w:rPr>
          <w:rFonts w:hint="default"/>
          <w:color w:val="auto"/>
          <w:highlight w:val="none"/>
        </w:rPr>
        <w:fldChar w:fldCharType="separate"/>
      </w:r>
      <w:r>
        <w:rPr>
          <w:rFonts w:hint="default"/>
          <w:color w:val="auto"/>
          <w:highlight w:val="none"/>
          <w:lang w:eastAsia="zh-CN"/>
        </w:rPr>
        <w:t>Ⅲ</w:t>
      </w:r>
      <w:r>
        <w:rPr>
          <w:rFonts w:hint="default"/>
          <w:color w:val="auto"/>
          <w:highlight w:val="none"/>
        </w:rPr>
        <w:fldChar w:fldCharType="end"/>
      </w:r>
      <w:r>
        <w:rPr>
          <w:rFonts w:hint="default"/>
          <w:color w:val="auto"/>
          <w:highlight w:val="none"/>
        </w:rPr>
        <w:t>类项目。</w:t>
      </w:r>
      <w:r>
        <w:rPr>
          <w:rFonts w:hint="default" w:ascii="Times New Roman" w:hAnsi="Times New Roman" w:cs="Times New Roman"/>
          <w:color w:val="auto"/>
          <w:highlight w:val="none"/>
        </w:rPr>
        <w:t>项目场地不位于集中式饮用水水源（包括已建成的在用、备用、应急水源地，在建和规划的饮用水水源）准保护区、除集中式饮用水水源以外的国家或地方政府设定的与地下水环境</w:t>
      </w:r>
      <w:r>
        <w:rPr>
          <w:rFonts w:hint="eastAsia" w:ascii="Times New Roman" w:hAnsi="Times New Roman" w:cs="Times New Roman"/>
          <w:color w:val="auto"/>
          <w:highlight w:val="none"/>
          <w:lang w:eastAsia="zh-CN"/>
        </w:rPr>
        <w:t>相关的其他</w:t>
      </w:r>
      <w:r>
        <w:rPr>
          <w:rFonts w:hint="default" w:ascii="Times New Roman" w:hAnsi="Times New Roman" w:cs="Times New Roman"/>
          <w:color w:val="auto"/>
          <w:highlight w:val="none"/>
        </w:rPr>
        <w:t>保护区内，</w:t>
      </w:r>
      <w:r>
        <w:rPr>
          <w:rFonts w:hint="eastAsia" w:ascii="Times New Roman" w:hAnsi="Times New Roman" w:cs="Times New Roman"/>
          <w:color w:val="auto"/>
          <w:highlight w:val="none"/>
          <w:lang w:val="en-US" w:eastAsia="zh-CN"/>
        </w:rPr>
        <w:t>敏感程度为不敏感</w:t>
      </w:r>
      <w:r>
        <w:rPr>
          <w:rFonts w:hint="default" w:ascii="Times New Roman" w:hAnsi="Times New Roman" w:cs="Times New Roman"/>
          <w:color w:val="auto"/>
          <w:highlight w:val="none"/>
        </w:rPr>
        <w:t>，依据《环境影响评价技术导则 地下水环境》（HJ610-2016）中的地下水环境敏感程度分级表及建设项目评价工作等级分级表（表2.6-5、表2.6-6）</w:t>
      </w:r>
    </w:p>
    <w:p w14:paraId="6ACC41DD">
      <w:pPr>
        <w:pStyle w:val="19"/>
        <w:widowControl w:val="0"/>
        <w:rPr>
          <w:rFonts w:hint="default" w:ascii="Times New Roman" w:hAnsi="Times New Roman" w:cs="Times New Roman"/>
          <w:color w:val="auto"/>
          <w:szCs w:val="32"/>
          <w:highlight w:val="none"/>
          <w:lang w:val="zh-CN"/>
        </w:rPr>
      </w:pPr>
      <w:r>
        <w:rPr>
          <w:rFonts w:hint="default" w:ascii="Times New Roman" w:hAnsi="Times New Roman" w:cs="Times New Roman"/>
          <w:color w:val="auto"/>
          <w:szCs w:val="32"/>
          <w:highlight w:val="none"/>
          <w:lang w:val="zh-CN"/>
        </w:rPr>
        <w:t>表2.6-</w:t>
      </w:r>
      <w:r>
        <w:rPr>
          <w:rFonts w:hint="default" w:ascii="Times New Roman" w:hAnsi="Times New Roman" w:cs="Times New Roman"/>
          <w:color w:val="auto"/>
          <w:szCs w:val="32"/>
          <w:highlight w:val="none"/>
        </w:rPr>
        <w:t>5</w:t>
      </w:r>
      <w:r>
        <w:rPr>
          <w:rFonts w:hint="default" w:ascii="Times New Roman" w:hAnsi="Times New Roman" w:cs="Times New Roman"/>
          <w:color w:val="auto"/>
          <w:szCs w:val="32"/>
          <w:highlight w:val="none"/>
          <w:lang w:val="zh-CN"/>
        </w:rPr>
        <w:t xml:space="preserve"> </w:t>
      </w:r>
      <w:r>
        <w:rPr>
          <w:rFonts w:hint="default" w:ascii="Times New Roman" w:hAnsi="Times New Roman" w:cs="Times New Roman"/>
          <w:color w:val="auto"/>
          <w:szCs w:val="32"/>
          <w:highlight w:val="none"/>
        </w:rPr>
        <w:t xml:space="preserve">  </w:t>
      </w:r>
      <w:r>
        <w:rPr>
          <w:rFonts w:hint="default" w:ascii="Times New Roman" w:hAnsi="Times New Roman" w:cs="Times New Roman"/>
          <w:color w:val="auto"/>
          <w:szCs w:val="32"/>
          <w:highlight w:val="none"/>
          <w:lang w:val="zh-CN"/>
        </w:rPr>
        <w:t xml:space="preserve"> 地下水环境敏感程度分级</w:t>
      </w:r>
    </w:p>
    <w:tbl>
      <w:tblPr>
        <w:tblStyle w:val="13"/>
        <w:tblW w:w="851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29"/>
        <w:gridCol w:w="7590"/>
      </w:tblGrid>
      <w:tr w14:paraId="7120BB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0" w:hRule="atLeast"/>
          <w:tblHeader/>
          <w:jc w:val="center"/>
        </w:trPr>
        <w:tc>
          <w:tcPr>
            <w:tcW w:w="929" w:type="dxa"/>
            <w:vAlign w:val="center"/>
          </w:tcPr>
          <w:p w14:paraId="6218F926">
            <w:pPr>
              <w:adjustRightInd w:val="0"/>
              <w:snapToGrid w:val="0"/>
              <w:spacing w:line="360" w:lineRule="exact"/>
              <w:ind w:firstLine="0" w:firstLineChars="0"/>
              <w:jc w:val="center"/>
              <w:rPr>
                <w:rFonts w:hint="default" w:ascii="Times New Roman" w:hAnsi="Times New Roman" w:cs="Times New Roman"/>
                <w:b/>
                <w:bCs/>
                <w:color w:val="auto"/>
                <w:sz w:val="21"/>
                <w:highlight w:val="none"/>
              </w:rPr>
            </w:pPr>
            <w:r>
              <w:rPr>
                <w:rFonts w:hint="default" w:ascii="Times New Roman" w:hAnsi="Times New Roman" w:cs="Times New Roman"/>
                <w:b/>
                <w:bCs/>
                <w:color w:val="auto"/>
                <w:sz w:val="21"/>
                <w:highlight w:val="none"/>
              </w:rPr>
              <w:t>分级</w:t>
            </w:r>
          </w:p>
        </w:tc>
        <w:tc>
          <w:tcPr>
            <w:tcW w:w="7590" w:type="dxa"/>
            <w:vAlign w:val="center"/>
          </w:tcPr>
          <w:p w14:paraId="214CEC84">
            <w:pPr>
              <w:adjustRightInd w:val="0"/>
              <w:snapToGrid w:val="0"/>
              <w:spacing w:line="360" w:lineRule="exact"/>
              <w:ind w:firstLine="0" w:firstLineChars="0"/>
              <w:jc w:val="center"/>
              <w:rPr>
                <w:rFonts w:hint="default" w:ascii="Times New Roman" w:hAnsi="Times New Roman" w:cs="Times New Roman"/>
                <w:b/>
                <w:bCs/>
                <w:color w:val="auto"/>
                <w:sz w:val="21"/>
                <w:highlight w:val="none"/>
              </w:rPr>
            </w:pPr>
            <w:r>
              <w:rPr>
                <w:rFonts w:hint="default" w:ascii="Times New Roman" w:hAnsi="Times New Roman" w:cs="Times New Roman"/>
                <w:b/>
                <w:bCs/>
                <w:color w:val="auto"/>
                <w:sz w:val="21"/>
                <w:highlight w:val="none"/>
              </w:rPr>
              <w:t>项目场地的地下水环境敏感特征</w:t>
            </w:r>
          </w:p>
        </w:tc>
      </w:tr>
      <w:tr w14:paraId="2668A9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dxa"/>
            <w:vAlign w:val="center"/>
          </w:tcPr>
          <w:p w14:paraId="4E9C8735">
            <w:pPr>
              <w:adjustRightInd w:val="0"/>
              <w:snapToGrid w:val="0"/>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敏感</w:t>
            </w:r>
          </w:p>
        </w:tc>
        <w:tc>
          <w:tcPr>
            <w:tcW w:w="7590" w:type="dxa"/>
            <w:vAlign w:val="center"/>
          </w:tcPr>
          <w:p w14:paraId="76DCE2BB">
            <w:pPr>
              <w:adjustRightInd w:val="0"/>
              <w:snapToGrid w:val="0"/>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集中式饮用水水源</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包括已建成的在用、备用、应急水源地，在建和规划的饮用水水源</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准保护区；除集中式饮用水水源以外的国家或地方政府设定的与地下水环境</w:t>
            </w:r>
            <w:r>
              <w:rPr>
                <w:rFonts w:hint="eastAsia" w:ascii="Times New Roman" w:hAnsi="Times New Roman" w:cs="Times New Roman"/>
                <w:color w:val="auto"/>
                <w:sz w:val="21"/>
                <w:highlight w:val="none"/>
                <w:lang w:eastAsia="zh-CN"/>
              </w:rPr>
              <w:t>相关的其他</w:t>
            </w:r>
            <w:r>
              <w:rPr>
                <w:rFonts w:hint="default" w:ascii="Times New Roman" w:hAnsi="Times New Roman" w:cs="Times New Roman"/>
                <w:color w:val="auto"/>
                <w:sz w:val="21"/>
                <w:highlight w:val="none"/>
              </w:rPr>
              <w:t>保护区，如热水、矿泉水、温泉等特殊地下水资源保护区。</w:t>
            </w:r>
          </w:p>
        </w:tc>
      </w:tr>
      <w:tr w14:paraId="187D8B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dxa"/>
            <w:vAlign w:val="center"/>
          </w:tcPr>
          <w:p w14:paraId="3F1AF92F">
            <w:pPr>
              <w:adjustRightInd w:val="0"/>
              <w:snapToGrid w:val="0"/>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较敏感</w:t>
            </w:r>
          </w:p>
        </w:tc>
        <w:tc>
          <w:tcPr>
            <w:tcW w:w="7590" w:type="dxa"/>
            <w:vAlign w:val="center"/>
          </w:tcPr>
          <w:p w14:paraId="33072E4F">
            <w:pPr>
              <w:adjustRightInd w:val="0"/>
              <w:snapToGrid w:val="0"/>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集中式饮用水水源</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包括已建成的在用、备用、应急水源，在建和规划的饮用水水源</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rPr>
              <w:t>准保护区以外的补给径流区；未划定准保护区的集中式饮用水水源，其保护区以外的补给径流区；分散式饮用水水源地；特殊地下水资源（矿泉水、温泉等）保护区以外的分布区等</w:t>
            </w:r>
            <w:r>
              <w:rPr>
                <w:rFonts w:hint="eastAsia" w:ascii="Times New Roman" w:hAnsi="Times New Roman" w:cs="Times New Roman"/>
                <w:color w:val="auto"/>
                <w:sz w:val="21"/>
                <w:highlight w:val="none"/>
                <w:lang w:eastAsia="zh-CN"/>
              </w:rPr>
              <w:t>其他未</w:t>
            </w:r>
            <w:r>
              <w:rPr>
                <w:rFonts w:hint="default" w:ascii="Times New Roman" w:hAnsi="Times New Roman" w:cs="Times New Roman"/>
                <w:color w:val="auto"/>
                <w:sz w:val="21"/>
                <w:highlight w:val="none"/>
              </w:rPr>
              <w:t>列入上述敏感分级的环境敏感区。</w:t>
            </w:r>
          </w:p>
        </w:tc>
      </w:tr>
      <w:tr w14:paraId="766F57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29" w:type="dxa"/>
            <w:vAlign w:val="center"/>
          </w:tcPr>
          <w:p w14:paraId="137CB3B0">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不敏感</w:t>
            </w:r>
          </w:p>
        </w:tc>
        <w:tc>
          <w:tcPr>
            <w:tcW w:w="7590" w:type="dxa"/>
            <w:vAlign w:val="center"/>
          </w:tcPr>
          <w:p w14:paraId="0C4F1369">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上述地区之外的其它地区。</w:t>
            </w:r>
          </w:p>
        </w:tc>
      </w:tr>
      <w:tr w14:paraId="5088F2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9" w:type="dxa"/>
            <w:gridSpan w:val="2"/>
            <w:vAlign w:val="center"/>
          </w:tcPr>
          <w:p w14:paraId="0B062118">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注：“环境敏感区”是指《建设项目环境影响评价分类管理名录》中所界定的涉及地下水的环境敏感区。</w:t>
            </w:r>
          </w:p>
        </w:tc>
      </w:tr>
    </w:tbl>
    <w:p w14:paraId="3F955F92">
      <w:pPr>
        <w:pStyle w:val="19"/>
        <w:widowControl w:val="0"/>
        <w:rPr>
          <w:rFonts w:hint="default" w:ascii="Times New Roman" w:hAnsi="Times New Roman" w:cs="Times New Roman"/>
          <w:color w:val="auto"/>
          <w:szCs w:val="32"/>
          <w:highlight w:val="none"/>
          <w:lang w:val="zh-CN"/>
        </w:rPr>
      </w:pPr>
      <w:r>
        <w:rPr>
          <w:rFonts w:hint="default" w:ascii="Times New Roman" w:hAnsi="Times New Roman" w:cs="Times New Roman"/>
          <w:color w:val="auto"/>
          <w:szCs w:val="32"/>
          <w:highlight w:val="none"/>
          <w:lang w:val="zh-CN"/>
        </w:rPr>
        <w:t>表2.6-</w:t>
      </w:r>
      <w:r>
        <w:rPr>
          <w:rFonts w:hint="default" w:ascii="Times New Roman" w:hAnsi="Times New Roman" w:cs="Times New Roman"/>
          <w:color w:val="auto"/>
          <w:szCs w:val="32"/>
          <w:highlight w:val="none"/>
        </w:rPr>
        <w:t xml:space="preserve">6    </w:t>
      </w:r>
      <w:r>
        <w:rPr>
          <w:rFonts w:hint="default" w:ascii="Times New Roman" w:hAnsi="Times New Roman" w:cs="Times New Roman"/>
          <w:color w:val="auto"/>
          <w:szCs w:val="32"/>
          <w:highlight w:val="none"/>
          <w:lang w:val="zh-CN"/>
        </w:rPr>
        <w:t>评价区地下水环境影响评价工作等级划分</w:t>
      </w:r>
    </w:p>
    <w:tbl>
      <w:tblPr>
        <w:tblStyle w:val="1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2134"/>
        <w:gridCol w:w="1986"/>
        <w:gridCol w:w="1989"/>
      </w:tblGrid>
      <w:tr w14:paraId="1E1E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10" w:type="dxa"/>
            <w:tcBorders>
              <w:tl2br w:val="single" w:color="auto" w:sz="4" w:space="0"/>
            </w:tcBorders>
          </w:tcPr>
          <w:p w14:paraId="0755B160">
            <w:pPr>
              <w:spacing w:line="360" w:lineRule="exact"/>
              <w:ind w:firstLine="0" w:firstLineChars="0"/>
              <w:jc w:val="center"/>
              <w:rPr>
                <w:rFonts w:hint="default" w:ascii="Times New Roman" w:hAnsi="Times New Roman" w:cs="Times New Roman"/>
                <w:b/>
                <w:bCs/>
                <w:color w:val="auto"/>
                <w:sz w:val="21"/>
                <w:highlight w:val="none"/>
              </w:rPr>
            </w:pPr>
            <w:r>
              <w:rPr>
                <w:rFonts w:hint="default" w:ascii="Times New Roman" w:hAnsi="Times New Roman" w:cs="Times New Roman"/>
                <w:b/>
                <w:bCs/>
                <w:color w:val="auto"/>
                <w:sz w:val="21"/>
                <w:highlight w:val="none"/>
              </w:rPr>
              <w:t xml:space="preserve">           目类别</w:t>
            </w:r>
          </w:p>
          <w:p w14:paraId="1A83D6C8">
            <w:pPr>
              <w:spacing w:line="360" w:lineRule="exact"/>
              <w:ind w:firstLine="0" w:firstLineChars="0"/>
              <w:rPr>
                <w:rFonts w:hint="default" w:ascii="Times New Roman" w:hAnsi="Times New Roman" w:cs="Times New Roman"/>
                <w:b/>
                <w:bCs/>
                <w:color w:val="auto"/>
                <w:sz w:val="21"/>
                <w:highlight w:val="none"/>
              </w:rPr>
            </w:pPr>
            <w:r>
              <w:rPr>
                <w:rFonts w:hint="default" w:ascii="Times New Roman" w:hAnsi="Times New Roman" w:cs="Times New Roman"/>
                <w:b/>
                <w:bCs/>
                <w:color w:val="auto"/>
                <w:sz w:val="21"/>
                <w:highlight w:val="none"/>
              </w:rPr>
              <w:t>环境敏感程度</w:t>
            </w:r>
          </w:p>
        </w:tc>
        <w:tc>
          <w:tcPr>
            <w:tcW w:w="2134" w:type="dxa"/>
            <w:vAlign w:val="center"/>
          </w:tcPr>
          <w:p w14:paraId="29F944C9">
            <w:pPr>
              <w:spacing w:line="360" w:lineRule="exact"/>
              <w:ind w:firstLine="0" w:firstLineChars="0"/>
              <w:jc w:val="center"/>
              <w:rPr>
                <w:rFonts w:hint="default" w:ascii="Times New Roman" w:hAnsi="Times New Roman" w:cs="Times New Roman"/>
                <w:b/>
                <w:bCs/>
                <w:color w:val="auto"/>
                <w:sz w:val="21"/>
                <w:highlight w:val="none"/>
              </w:rPr>
            </w:pPr>
            <w:r>
              <w:rPr>
                <w:rFonts w:hint="default" w:ascii="Times New Roman" w:hAnsi="Times New Roman" w:cs="Times New Roman"/>
                <w:b/>
                <w:bCs/>
                <w:color w:val="auto"/>
                <w:sz w:val="21"/>
                <w:highlight w:val="none"/>
              </w:rPr>
              <w:t>I类项目</w:t>
            </w:r>
          </w:p>
        </w:tc>
        <w:tc>
          <w:tcPr>
            <w:tcW w:w="1986" w:type="dxa"/>
            <w:vAlign w:val="center"/>
          </w:tcPr>
          <w:p w14:paraId="522D137B">
            <w:pPr>
              <w:spacing w:line="360" w:lineRule="exact"/>
              <w:ind w:firstLine="0" w:firstLineChars="0"/>
              <w:jc w:val="center"/>
              <w:rPr>
                <w:rFonts w:hint="default" w:ascii="Times New Roman" w:hAnsi="Times New Roman" w:cs="Times New Roman"/>
                <w:b/>
                <w:bCs/>
                <w:color w:val="auto"/>
                <w:sz w:val="21"/>
                <w:highlight w:val="none"/>
              </w:rPr>
            </w:pPr>
            <w:r>
              <w:rPr>
                <w:rFonts w:hint="default" w:ascii="Times New Roman" w:hAnsi="Times New Roman" w:cs="Times New Roman"/>
                <w:b/>
                <w:bCs/>
                <w:color w:val="auto"/>
                <w:sz w:val="21"/>
                <w:highlight w:val="none"/>
              </w:rPr>
              <w:t>II类项目</w:t>
            </w:r>
          </w:p>
        </w:tc>
        <w:tc>
          <w:tcPr>
            <w:tcW w:w="1989" w:type="dxa"/>
            <w:vAlign w:val="center"/>
          </w:tcPr>
          <w:p w14:paraId="7FC334CC">
            <w:pPr>
              <w:spacing w:line="360" w:lineRule="exact"/>
              <w:ind w:firstLine="0" w:firstLineChars="0"/>
              <w:jc w:val="center"/>
              <w:rPr>
                <w:rFonts w:hint="default" w:ascii="Times New Roman" w:hAnsi="Times New Roman" w:cs="Times New Roman"/>
                <w:b/>
                <w:bCs/>
                <w:color w:val="auto"/>
                <w:sz w:val="21"/>
                <w:highlight w:val="none"/>
              </w:rPr>
            </w:pPr>
            <w:r>
              <w:rPr>
                <w:rFonts w:hint="default" w:ascii="Times New Roman" w:hAnsi="Times New Roman" w:cs="Times New Roman"/>
                <w:b/>
                <w:bCs/>
                <w:color w:val="auto"/>
                <w:sz w:val="21"/>
                <w:highlight w:val="none"/>
                <w:lang w:eastAsia="zh-CN"/>
              </w:rPr>
              <w:t>Ⅲ</w:t>
            </w:r>
            <w:r>
              <w:rPr>
                <w:rFonts w:hint="default" w:ascii="Times New Roman" w:hAnsi="Times New Roman" w:cs="Times New Roman"/>
                <w:b/>
                <w:bCs/>
                <w:color w:val="auto"/>
                <w:sz w:val="21"/>
                <w:highlight w:val="none"/>
              </w:rPr>
              <w:t>类项目</w:t>
            </w:r>
          </w:p>
        </w:tc>
      </w:tr>
      <w:tr w14:paraId="3B16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10" w:type="dxa"/>
            <w:vAlign w:val="center"/>
          </w:tcPr>
          <w:p w14:paraId="77602B05">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敏感</w:t>
            </w:r>
          </w:p>
        </w:tc>
        <w:tc>
          <w:tcPr>
            <w:tcW w:w="2134" w:type="dxa"/>
            <w:vAlign w:val="center"/>
          </w:tcPr>
          <w:p w14:paraId="43E38745">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w:t>
            </w:r>
          </w:p>
        </w:tc>
        <w:tc>
          <w:tcPr>
            <w:tcW w:w="1986" w:type="dxa"/>
            <w:vAlign w:val="center"/>
          </w:tcPr>
          <w:p w14:paraId="0DF65ADF">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w:t>
            </w:r>
          </w:p>
        </w:tc>
        <w:tc>
          <w:tcPr>
            <w:tcW w:w="1989" w:type="dxa"/>
            <w:vAlign w:val="center"/>
          </w:tcPr>
          <w:p w14:paraId="74673405">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w:t>
            </w:r>
          </w:p>
        </w:tc>
      </w:tr>
      <w:tr w14:paraId="6254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10" w:type="dxa"/>
            <w:vAlign w:val="center"/>
          </w:tcPr>
          <w:p w14:paraId="5B8C7977">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较敏感</w:t>
            </w:r>
          </w:p>
        </w:tc>
        <w:tc>
          <w:tcPr>
            <w:tcW w:w="2134" w:type="dxa"/>
            <w:vAlign w:val="center"/>
          </w:tcPr>
          <w:p w14:paraId="1A48B7CD">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一</w:t>
            </w:r>
          </w:p>
        </w:tc>
        <w:tc>
          <w:tcPr>
            <w:tcW w:w="1986" w:type="dxa"/>
            <w:vAlign w:val="center"/>
          </w:tcPr>
          <w:p w14:paraId="09124B59">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w:t>
            </w:r>
          </w:p>
        </w:tc>
        <w:tc>
          <w:tcPr>
            <w:tcW w:w="1989" w:type="dxa"/>
            <w:vAlign w:val="center"/>
          </w:tcPr>
          <w:p w14:paraId="6264ECDA">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w:t>
            </w:r>
          </w:p>
        </w:tc>
      </w:tr>
      <w:tr w14:paraId="2C4B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10" w:type="dxa"/>
            <w:vAlign w:val="center"/>
          </w:tcPr>
          <w:p w14:paraId="7FAC15CA">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不敏感</w:t>
            </w:r>
          </w:p>
        </w:tc>
        <w:tc>
          <w:tcPr>
            <w:tcW w:w="2134" w:type="dxa"/>
            <w:vAlign w:val="center"/>
          </w:tcPr>
          <w:p w14:paraId="791F7204">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二</w:t>
            </w:r>
          </w:p>
        </w:tc>
        <w:tc>
          <w:tcPr>
            <w:tcW w:w="1986" w:type="dxa"/>
            <w:vAlign w:val="center"/>
          </w:tcPr>
          <w:p w14:paraId="0DD6DC43">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w:t>
            </w:r>
          </w:p>
        </w:tc>
        <w:tc>
          <w:tcPr>
            <w:tcW w:w="1989" w:type="dxa"/>
            <w:vAlign w:val="center"/>
          </w:tcPr>
          <w:p w14:paraId="295BEA63">
            <w:pPr>
              <w:spacing w:line="360" w:lineRule="exact"/>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三</w:t>
            </w:r>
          </w:p>
        </w:tc>
      </w:tr>
    </w:tbl>
    <w:p w14:paraId="5F1D86B1">
      <w:pPr>
        <w:bidi w:val="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由此</w:t>
      </w:r>
      <w:r>
        <w:rPr>
          <w:rFonts w:hint="default" w:ascii="Times New Roman" w:hAnsi="Times New Roman" w:cs="Times New Roman"/>
          <w:color w:val="auto"/>
          <w:highlight w:val="none"/>
        </w:rPr>
        <w:t>确定本项目</w:t>
      </w:r>
      <w:r>
        <w:rPr>
          <w:rFonts w:hint="eastAsia" w:cs="Times New Roman"/>
          <w:color w:val="auto"/>
          <w:highlight w:val="none"/>
          <w:lang w:val="en-US" w:eastAsia="zh-CN"/>
        </w:rPr>
        <w:t>采选工程</w:t>
      </w:r>
      <w:r>
        <w:rPr>
          <w:rFonts w:hint="default" w:ascii="Times New Roman" w:hAnsi="Times New Roman" w:cs="Times New Roman"/>
          <w:color w:val="auto"/>
          <w:highlight w:val="none"/>
          <w:lang w:eastAsia="zh-CN"/>
        </w:rPr>
        <w:t>及尾矿库</w:t>
      </w:r>
      <w:r>
        <w:rPr>
          <w:rFonts w:hint="default" w:ascii="Times New Roman" w:hAnsi="Times New Roman" w:cs="Times New Roman"/>
          <w:color w:val="auto"/>
          <w:highlight w:val="none"/>
        </w:rPr>
        <w:t>地下水评价等级为三级。</w:t>
      </w:r>
    </w:p>
    <w:p w14:paraId="4ED49274">
      <w:pPr>
        <w:bidi w:val="0"/>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2）评价范围</w:t>
      </w:r>
    </w:p>
    <w:p w14:paraId="645EFA65">
      <w:pPr>
        <w:bidi w:val="0"/>
        <w:rPr>
          <w:rFonts w:hint="eastAsia"/>
          <w:color w:val="auto"/>
          <w:highlight w:val="none"/>
          <w:lang w:val="en-US" w:eastAsia="zh-CN"/>
        </w:rPr>
      </w:pPr>
      <w:r>
        <w:rPr>
          <w:rFonts w:hint="eastAsia"/>
          <w:color w:val="auto"/>
          <w:highlight w:val="none"/>
          <w:lang w:val="en-US" w:eastAsia="zh-CN"/>
        </w:rPr>
        <w:t>本项目地下水评价等级为三级，所在区域地下水流向自西北向东南，</w:t>
      </w:r>
      <w:r>
        <w:rPr>
          <w:rFonts w:hint="default"/>
          <w:color w:val="auto"/>
          <w:highlight w:val="none"/>
          <w:lang w:val="en-US" w:eastAsia="zh-CN"/>
        </w:rPr>
        <w:t>根据HJ610-2016</w:t>
      </w:r>
      <w:r>
        <w:rPr>
          <w:rFonts w:hint="eastAsia"/>
          <w:color w:val="auto"/>
          <w:highlight w:val="none"/>
          <w:lang w:val="en-US" w:eastAsia="zh-CN"/>
        </w:rPr>
        <w:t>中8.2.2调查评价范围确定：</w:t>
      </w:r>
    </w:p>
    <w:p w14:paraId="51AB440B">
      <w:pPr>
        <w:bidi w:val="0"/>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a</w:t>
      </w:r>
      <w:r>
        <w:rPr>
          <w:rFonts w:hint="eastAsia" w:ascii="Times New Roman" w:hAnsi="Times New Roman" w:cs="Times New Roman" w:eastAsiaTheme="minorEastAsia"/>
          <w:color w:val="auto"/>
          <w:sz w:val="24"/>
          <w:highlight w:val="none"/>
          <w:lang w:val="en-US" w:eastAsia="zh-CN"/>
        </w:rPr>
        <w:t>）</w:t>
      </w:r>
      <w:r>
        <w:rPr>
          <w:rFonts w:hint="eastAsia" w:ascii="Times New Roman" w:hAnsi="Times New Roman" w:cs="Times New Roman"/>
          <w:color w:val="auto"/>
          <w:sz w:val="24"/>
          <w:highlight w:val="none"/>
          <w:lang w:val="en-US" w:eastAsia="zh-CN"/>
        </w:rPr>
        <w:t>公式</w:t>
      </w:r>
      <w:r>
        <w:rPr>
          <w:rFonts w:hint="eastAsia" w:cs="Times New Roman"/>
          <w:color w:val="auto"/>
          <w:sz w:val="24"/>
          <w:highlight w:val="none"/>
          <w:lang w:val="en-US" w:eastAsia="zh-CN"/>
        </w:rPr>
        <w:t>计算</w:t>
      </w:r>
      <w:r>
        <w:rPr>
          <w:rFonts w:hint="eastAsia" w:ascii="Times New Roman" w:hAnsi="Times New Roman" w:cs="Times New Roman"/>
          <w:color w:val="auto"/>
          <w:sz w:val="24"/>
          <w:highlight w:val="none"/>
          <w:lang w:val="en-US" w:eastAsia="zh-CN"/>
        </w:rPr>
        <w:t>法</w:t>
      </w:r>
    </w:p>
    <w:p w14:paraId="3CC653B1">
      <w:pPr>
        <w:bidi w:val="0"/>
        <w:spacing w:line="240" w:lineRule="auto"/>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L=α×K×I×T/n</w:t>
      </w:r>
      <w:r>
        <w:rPr>
          <w:rFonts w:hint="default" w:ascii="Times New Roman" w:hAnsi="Times New Roman" w:cs="Times New Roman"/>
          <w:color w:val="auto"/>
          <w:highlight w:val="none"/>
          <w:vertAlign w:val="subscript"/>
          <w:lang w:val="en-US" w:eastAsia="zh-CN"/>
        </w:rPr>
        <w:t>e</w:t>
      </w:r>
    </w:p>
    <w:p w14:paraId="433A60C2">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式中：L—下游迁移距离，m；</w:t>
      </w:r>
    </w:p>
    <w:p w14:paraId="2FF59E1E">
      <w:pPr>
        <w:keepNext w:val="0"/>
        <w:keepLines w:val="0"/>
        <w:pageBreakBefore w:val="0"/>
        <w:widowControl w:val="0"/>
        <w:kinsoku/>
        <w:wordWrap/>
        <w:overflowPunct/>
        <w:topLinePunct w:val="0"/>
        <w:autoSpaceDE/>
        <w:autoSpaceDN/>
        <w:bidi w:val="0"/>
        <w:adjustRightInd/>
        <w:snapToGrid/>
        <w:ind w:firstLine="1200" w:firstLineChars="5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α—变化系数，a≥1，一般取2；</w:t>
      </w:r>
    </w:p>
    <w:p w14:paraId="0B3F6F8D">
      <w:pPr>
        <w:keepNext w:val="0"/>
        <w:keepLines w:val="0"/>
        <w:pageBreakBefore w:val="0"/>
        <w:widowControl w:val="0"/>
        <w:kinsoku/>
        <w:wordWrap/>
        <w:overflowPunct/>
        <w:topLinePunct w:val="0"/>
        <w:autoSpaceDE/>
        <w:autoSpaceDN/>
        <w:bidi w:val="0"/>
        <w:adjustRightInd/>
        <w:snapToGrid/>
        <w:ind w:firstLine="1200" w:firstLineChars="5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K—渗透系数，m/d，5m/d；</w:t>
      </w:r>
    </w:p>
    <w:p w14:paraId="5DCCC64D">
      <w:pPr>
        <w:keepNext w:val="0"/>
        <w:keepLines w:val="0"/>
        <w:pageBreakBefore w:val="0"/>
        <w:widowControl w:val="0"/>
        <w:kinsoku/>
        <w:wordWrap/>
        <w:overflowPunct/>
        <w:topLinePunct w:val="0"/>
        <w:autoSpaceDE/>
        <w:autoSpaceDN/>
        <w:bidi w:val="0"/>
        <w:adjustRightInd/>
        <w:snapToGrid/>
        <w:ind w:firstLine="1200" w:firstLineChars="5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I—水力坡度，无量纲，本项目取0.016；</w:t>
      </w:r>
    </w:p>
    <w:p w14:paraId="7A125BBF">
      <w:pPr>
        <w:keepNext w:val="0"/>
        <w:keepLines w:val="0"/>
        <w:pageBreakBefore w:val="0"/>
        <w:widowControl w:val="0"/>
        <w:kinsoku/>
        <w:wordWrap/>
        <w:overflowPunct/>
        <w:topLinePunct w:val="0"/>
        <w:autoSpaceDE/>
        <w:autoSpaceDN/>
        <w:bidi w:val="0"/>
        <w:adjustRightInd/>
        <w:snapToGrid/>
        <w:spacing w:line="480" w:lineRule="exact"/>
        <w:ind w:firstLine="1200" w:firstLineChars="50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T—质点迁移天数，取值5000d；</w:t>
      </w:r>
    </w:p>
    <w:p w14:paraId="53CCC5E2">
      <w:pPr>
        <w:keepNext w:val="0"/>
        <w:keepLines w:val="0"/>
        <w:pageBreakBefore w:val="0"/>
        <w:widowControl w:val="0"/>
        <w:kinsoku/>
        <w:wordWrap/>
        <w:overflowPunct/>
        <w:topLinePunct w:val="0"/>
        <w:autoSpaceDE/>
        <w:autoSpaceDN/>
        <w:bidi w:val="0"/>
        <w:adjustRightInd/>
        <w:snapToGrid/>
        <w:spacing w:line="480" w:lineRule="exact"/>
        <w:ind w:firstLine="1200" w:firstLineChars="50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n</w:t>
      </w:r>
      <w:r>
        <w:rPr>
          <w:rFonts w:hint="default" w:ascii="Times New Roman" w:hAnsi="Times New Roman" w:cs="Times New Roman"/>
          <w:color w:val="auto"/>
          <w:highlight w:val="none"/>
          <w:vertAlign w:val="subscript"/>
          <w:lang w:val="en-US" w:eastAsia="zh-CN"/>
        </w:rPr>
        <w:t>e</w:t>
      </w:r>
      <w:r>
        <w:rPr>
          <w:rFonts w:hint="default" w:ascii="Times New Roman" w:hAnsi="Times New Roman" w:cs="Times New Roman"/>
          <w:color w:val="auto"/>
          <w:highlight w:val="none"/>
          <w:lang w:val="en-US" w:eastAsia="zh-CN"/>
        </w:rPr>
        <w:t>—有效孔隙度，无量纲，取0.28。</w:t>
      </w:r>
    </w:p>
    <w:p w14:paraId="57734DB3">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highlight w:val="none"/>
          <w:lang w:val="en-US" w:eastAsia="zh-CN"/>
        </w:rPr>
        <w:t>经上式计算，L取值约为2.9km，</w:t>
      </w:r>
      <w:r>
        <w:rPr>
          <w:rFonts w:hint="default" w:ascii="Times New Roman" w:hAnsi="Times New Roman" w:cs="Times New Roman" w:eastAsiaTheme="minorEastAsia"/>
          <w:color w:val="auto"/>
          <w:sz w:val="24"/>
          <w:highlight w:val="none"/>
          <w:lang w:val="en-US" w:eastAsia="zh-CN"/>
        </w:rPr>
        <w:t>因此项目地下水评价范围为采选区、尾矿库下游2.9km，上游</w:t>
      </w:r>
      <w:r>
        <w:rPr>
          <w:rFonts w:hint="default" w:ascii="Times New Roman" w:hAnsi="Times New Roman" w:cs="Times New Roman"/>
          <w:color w:val="auto"/>
          <w:sz w:val="24"/>
          <w:highlight w:val="none"/>
          <w:lang w:val="en-US" w:eastAsia="zh-CN"/>
        </w:rPr>
        <w:t>1.5</w:t>
      </w:r>
      <w:r>
        <w:rPr>
          <w:rFonts w:hint="default" w:ascii="Times New Roman" w:hAnsi="Times New Roman" w:cs="Times New Roman" w:eastAsiaTheme="minorEastAsia"/>
          <w:color w:val="auto"/>
          <w:sz w:val="24"/>
          <w:highlight w:val="none"/>
          <w:lang w:val="en-US" w:eastAsia="zh-CN"/>
        </w:rPr>
        <w:t>km及两侧</w:t>
      </w:r>
      <w:r>
        <w:rPr>
          <w:rFonts w:hint="default" w:ascii="Times New Roman" w:hAnsi="Times New Roman" w:cs="Times New Roman"/>
          <w:color w:val="auto"/>
          <w:sz w:val="24"/>
          <w:highlight w:val="none"/>
          <w:lang w:val="en-US" w:eastAsia="zh-CN"/>
        </w:rPr>
        <w:t>1.5</w:t>
      </w:r>
      <w:r>
        <w:rPr>
          <w:rFonts w:hint="default" w:ascii="Times New Roman" w:hAnsi="Times New Roman" w:cs="Times New Roman" w:eastAsiaTheme="minorEastAsia"/>
          <w:color w:val="auto"/>
          <w:sz w:val="24"/>
          <w:highlight w:val="none"/>
          <w:lang w:val="en-US" w:eastAsia="zh-CN"/>
        </w:rPr>
        <w:t>km的矩形区域。</w:t>
      </w:r>
    </w:p>
    <w:p w14:paraId="70F728C4">
      <w:pPr>
        <w:pStyle w:val="6"/>
        <w:bidi w:val="0"/>
        <w:rPr>
          <w:rFonts w:hint="default"/>
          <w:color w:val="auto"/>
          <w:highlight w:val="none"/>
          <w:lang w:val="en-US" w:eastAsia="zh-CN"/>
        </w:rPr>
      </w:pPr>
      <w:r>
        <w:rPr>
          <w:rFonts w:hint="default"/>
          <w:color w:val="auto"/>
          <w:highlight w:val="none"/>
        </w:rPr>
        <w:t>2.6.4声评价等级</w:t>
      </w:r>
      <w:r>
        <w:rPr>
          <w:rFonts w:hint="eastAsia"/>
          <w:color w:val="auto"/>
          <w:highlight w:val="none"/>
          <w:lang w:val="en-US" w:eastAsia="zh-CN"/>
        </w:rPr>
        <w:t>及评价范围</w:t>
      </w:r>
    </w:p>
    <w:p w14:paraId="50705D02">
      <w:pPr>
        <w:bidi w:val="0"/>
        <w:rPr>
          <w:rFonts w:hint="default"/>
          <w:color w:val="auto"/>
          <w:highlight w:val="none"/>
          <w:lang w:val="en-US" w:eastAsia="zh-CN"/>
        </w:rPr>
      </w:pPr>
      <w:r>
        <w:rPr>
          <w:rFonts w:hint="eastAsia"/>
          <w:color w:val="auto"/>
          <w:highlight w:val="none"/>
          <w:lang w:val="en-US" w:eastAsia="zh-CN"/>
        </w:rPr>
        <w:t>（1）评价等级</w:t>
      </w:r>
    </w:p>
    <w:p w14:paraId="1F45A599">
      <w:pPr>
        <w:bidi w:val="0"/>
        <w:rPr>
          <w:rFonts w:hint="eastAsia" w:ascii="Times New Roman" w:hAnsi="Times New Roman" w:eastAsia="华文中宋" w:cs="Times New Roman"/>
          <w:color w:val="auto"/>
          <w:sz w:val="24"/>
          <w:highlight w:val="none"/>
          <w:lang w:val="en-US" w:eastAsia="zh-CN"/>
        </w:rPr>
      </w:pPr>
      <w:r>
        <w:rPr>
          <w:rFonts w:hint="default"/>
          <w:color w:val="auto"/>
          <w:highlight w:val="none"/>
          <w:lang w:val="en-US" w:eastAsia="zh-CN"/>
        </w:rPr>
        <w:t>项目所在区域适用《声环境质量标准》（GB3096-2008）规定的2类标准，根据《环境影响评价技术导则</w:t>
      </w:r>
      <w:r>
        <w:rPr>
          <w:rFonts w:hint="eastAsia"/>
          <w:color w:val="auto"/>
          <w:highlight w:val="none"/>
          <w:lang w:val="en-US" w:eastAsia="zh-CN"/>
        </w:rPr>
        <w:t xml:space="preserve"> </w:t>
      </w:r>
      <w:r>
        <w:rPr>
          <w:rFonts w:hint="default"/>
          <w:color w:val="auto"/>
          <w:highlight w:val="none"/>
          <w:lang w:val="en-US" w:eastAsia="zh-CN"/>
        </w:rPr>
        <w:t>声环境》（HJ2.4-2021）中的划分依据，本项目符合导则5.1.3的规定，即</w:t>
      </w:r>
      <w:r>
        <w:rPr>
          <w:rFonts w:hint="eastAsia"/>
          <w:color w:val="auto"/>
          <w:highlight w:val="none"/>
          <w:lang w:val="en-US" w:eastAsia="zh-CN"/>
        </w:rPr>
        <w:t>“</w:t>
      </w:r>
      <w:r>
        <w:rPr>
          <w:rFonts w:hint="default"/>
          <w:color w:val="auto"/>
          <w:highlight w:val="none"/>
          <w:lang w:val="en-US" w:eastAsia="zh-CN"/>
        </w:rPr>
        <w:t>建设项目所处的声环境功能区为GB3096规定的1类、2类地区，或建设项目建设前后评价范围内敏感目标噪声级增高量达3～5dB（A），或受噪声影响人口数量增加较多时，按二级评价</w:t>
      </w:r>
      <w:r>
        <w:rPr>
          <w:rFonts w:hint="eastAsia"/>
          <w:color w:val="auto"/>
          <w:highlight w:val="none"/>
          <w:lang w:val="en-US" w:eastAsia="zh-CN"/>
        </w:rPr>
        <w:t>”</w:t>
      </w:r>
      <w:r>
        <w:rPr>
          <w:rFonts w:hint="default"/>
          <w:color w:val="auto"/>
          <w:highlight w:val="none"/>
          <w:lang w:val="en-US" w:eastAsia="zh-CN"/>
        </w:rPr>
        <w:t>。本项目位于2类区，</w:t>
      </w:r>
      <w:r>
        <w:rPr>
          <w:rFonts w:hint="eastAsia"/>
          <w:color w:val="auto"/>
          <w:highlight w:val="none"/>
          <w:lang w:val="en-US" w:eastAsia="zh-CN"/>
        </w:rPr>
        <w:t>建设项目建设前后评价范围内敏感目标噪声级增高量＜3dB（A），且受影响人口数量变化不大，根据《环境影响评价技术导则 声环境》（HJ2.4-2021）中声环境影响评价等级划分的规定，本项目声环境评价等级判定为二级</w:t>
      </w:r>
      <w:r>
        <w:rPr>
          <w:rFonts w:hint="eastAsia" w:ascii="Times New Roman" w:hAnsi="Times New Roman" w:eastAsia="华文中宋" w:cs="Times New Roman"/>
          <w:color w:val="auto"/>
          <w:sz w:val="24"/>
          <w:highlight w:val="none"/>
          <w:lang w:val="en-US" w:eastAsia="zh-CN"/>
        </w:rPr>
        <w:t>。</w:t>
      </w:r>
    </w:p>
    <w:p w14:paraId="76A13205">
      <w:pPr>
        <w:bidi w:val="0"/>
        <w:rPr>
          <w:rFonts w:hint="eastAsia"/>
          <w:color w:val="auto"/>
          <w:highlight w:val="none"/>
          <w:lang w:val="en-US" w:eastAsia="zh-CN"/>
        </w:rPr>
      </w:pPr>
      <w:r>
        <w:rPr>
          <w:rFonts w:hint="eastAsia"/>
          <w:color w:val="auto"/>
          <w:highlight w:val="none"/>
          <w:lang w:val="en-US" w:eastAsia="zh-CN"/>
        </w:rPr>
        <w:t>（2）评价范围</w:t>
      </w:r>
    </w:p>
    <w:p w14:paraId="32D1625E">
      <w:pPr>
        <w:bidi w:val="0"/>
        <w:rPr>
          <w:rFonts w:hint="default"/>
          <w:color w:val="auto"/>
          <w:highlight w:val="none"/>
          <w:lang w:val="en-US" w:eastAsia="zh-CN"/>
        </w:rPr>
      </w:pPr>
      <w:r>
        <w:rPr>
          <w:rFonts w:hint="default"/>
          <w:color w:val="auto"/>
          <w:highlight w:val="none"/>
        </w:rPr>
        <w:t>本项目声环境评价范围为</w:t>
      </w:r>
      <w:r>
        <w:rPr>
          <w:rFonts w:hint="eastAsia"/>
          <w:color w:val="auto"/>
          <w:highlight w:val="none"/>
          <w:lang w:val="en-US" w:eastAsia="zh-CN"/>
        </w:rPr>
        <w:t>矿区、</w:t>
      </w:r>
      <w:r>
        <w:rPr>
          <w:rFonts w:hint="default"/>
          <w:color w:val="auto"/>
          <w:highlight w:val="none"/>
        </w:rPr>
        <w:t>选矿厂、尾矿库边界</w:t>
      </w:r>
      <w:r>
        <w:rPr>
          <w:rFonts w:hint="default"/>
          <w:color w:val="auto"/>
          <w:highlight w:val="none"/>
          <w:lang w:val="en-US" w:eastAsia="zh-CN"/>
        </w:rPr>
        <w:t>周围200m以内范围</w:t>
      </w:r>
      <w:r>
        <w:rPr>
          <w:rFonts w:hint="eastAsia"/>
          <w:color w:val="auto"/>
          <w:highlight w:val="none"/>
          <w:lang w:val="en-US" w:eastAsia="zh-CN"/>
        </w:rPr>
        <w:t>。</w:t>
      </w:r>
    </w:p>
    <w:p w14:paraId="4EF48021">
      <w:pPr>
        <w:pStyle w:val="6"/>
        <w:bidi w:val="0"/>
        <w:rPr>
          <w:rFonts w:hint="default" w:eastAsia="宋体"/>
          <w:color w:val="auto"/>
          <w:highlight w:val="none"/>
          <w:lang w:val="en-US" w:eastAsia="zh-CN"/>
        </w:rPr>
      </w:pPr>
      <w:r>
        <w:rPr>
          <w:rFonts w:hint="default"/>
          <w:color w:val="auto"/>
          <w:highlight w:val="none"/>
        </w:rPr>
        <w:t>2.6.5土壤环境评价等级</w:t>
      </w:r>
      <w:r>
        <w:rPr>
          <w:rFonts w:hint="eastAsia"/>
          <w:color w:val="auto"/>
          <w:highlight w:val="none"/>
          <w:lang w:val="en-US" w:eastAsia="zh-CN"/>
        </w:rPr>
        <w:t>及评价范围</w:t>
      </w:r>
    </w:p>
    <w:p w14:paraId="63795B2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（1）项目类别</w:t>
      </w:r>
    </w:p>
    <w:p w14:paraId="5E76BD24">
      <w:pPr>
        <w:pStyle w:val="11"/>
        <w:rPr>
          <w:rFonts w:hint="default"/>
          <w:color w:val="auto"/>
          <w:highlight w:val="none"/>
        </w:rPr>
      </w:pPr>
      <w:r>
        <w:rPr>
          <w:rFonts w:hint="default" w:ascii="Times New Roman" w:hAnsi="Times New Roman" w:cs="Times New Roman"/>
          <w:color w:val="auto"/>
          <w:szCs w:val="24"/>
          <w:highlight w:val="none"/>
        </w:rPr>
        <w:t>根据《环境影响评价技术导则 土壤环境（试行）》（HJ964-2018）附录A土壤环境影响评价项目类别表（表2.6-7），本项目属于采矿业中的</w:t>
      </w:r>
      <w:r>
        <w:rPr>
          <w:rFonts w:hint="default" w:ascii="Times New Roman" w:hAnsi="Times New Roman" w:cs="Times New Roman"/>
          <w:color w:val="auto"/>
          <w:szCs w:val="24"/>
          <w:highlight w:val="none"/>
        </w:rPr>
        <w:fldChar w:fldCharType="begin"/>
      </w:r>
      <w:r>
        <w:rPr>
          <w:rFonts w:hint="default" w:ascii="Times New Roman" w:hAnsi="Times New Roman" w:cs="Times New Roman"/>
          <w:color w:val="auto"/>
          <w:szCs w:val="24"/>
          <w:highlight w:val="none"/>
        </w:rPr>
        <w:instrText xml:space="preserve"> = 3 \* ROMAN \* MERGEFORMAT </w:instrText>
      </w:r>
      <w:r>
        <w:rPr>
          <w:rFonts w:hint="default" w:ascii="Times New Roman" w:hAnsi="Times New Roman" w:cs="Times New Roman"/>
          <w:color w:val="auto"/>
          <w:szCs w:val="24"/>
          <w:highlight w:val="none"/>
        </w:rPr>
        <w:fldChar w:fldCharType="separate"/>
      </w:r>
      <w:r>
        <w:rPr>
          <w:rFonts w:hint="default" w:ascii="Times New Roman" w:hAnsi="Times New Roman" w:cs="Times New Roman"/>
          <w:color w:val="auto"/>
          <w:highlight w:val="none"/>
          <w:lang w:eastAsia="zh-CN"/>
        </w:rPr>
        <w:t>Ⅲ</w:t>
      </w:r>
      <w:r>
        <w:rPr>
          <w:rFonts w:hint="default" w:ascii="Times New Roman" w:hAnsi="Times New Roman" w:cs="Times New Roman"/>
          <w:color w:val="auto"/>
          <w:szCs w:val="24"/>
          <w:highlight w:val="none"/>
        </w:rPr>
        <w:fldChar w:fldCharType="end"/>
      </w:r>
      <w:r>
        <w:rPr>
          <w:rFonts w:hint="default" w:ascii="Times New Roman" w:hAnsi="Times New Roman" w:cs="Times New Roman"/>
          <w:color w:val="auto"/>
          <w:szCs w:val="24"/>
          <w:highlight w:val="none"/>
        </w:rPr>
        <w:t>类项目。</w:t>
      </w:r>
    </w:p>
    <w:p w14:paraId="1D802838">
      <w:pPr>
        <w:pStyle w:val="19"/>
        <w:bidi w:val="0"/>
        <w:rPr>
          <w:rFonts w:hint="default"/>
          <w:color w:val="auto"/>
          <w:highlight w:val="none"/>
        </w:rPr>
      </w:pPr>
      <w:r>
        <w:rPr>
          <w:rFonts w:hint="default"/>
          <w:color w:val="auto"/>
          <w:highlight w:val="none"/>
        </w:rPr>
        <w:t>表2.6-7   土壤环境影响评价项目类别</w:t>
      </w:r>
    </w:p>
    <w:tbl>
      <w:tblPr>
        <w:tblStyle w:val="14"/>
        <w:tblW w:w="8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559"/>
        <w:gridCol w:w="5245"/>
        <w:gridCol w:w="708"/>
      </w:tblGrid>
      <w:tr w14:paraId="1256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1100" w:type="dxa"/>
            <w:vMerge w:val="restart"/>
            <w:tcBorders>
              <w:tl2br w:val="nil"/>
              <w:tr2bl w:val="nil"/>
            </w:tcBorders>
            <w:vAlign w:val="center"/>
          </w:tcPr>
          <w:p w14:paraId="7FB84DD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行业类别</w:t>
            </w:r>
          </w:p>
        </w:tc>
        <w:tc>
          <w:tcPr>
            <w:tcW w:w="7512" w:type="dxa"/>
            <w:gridSpan w:val="3"/>
            <w:tcBorders>
              <w:tl2br w:val="nil"/>
              <w:tr2bl w:val="nil"/>
            </w:tcBorders>
            <w:vAlign w:val="center"/>
          </w:tcPr>
          <w:p w14:paraId="5D8F4A5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项目类别</w:t>
            </w:r>
          </w:p>
        </w:tc>
      </w:tr>
      <w:tr w14:paraId="3DD3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blHeader/>
          <w:jc w:val="center"/>
        </w:trPr>
        <w:tc>
          <w:tcPr>
            <w:tcW w:w="1100" w:type="dxa"/>
            <w:vMerge w:val="continue"/>
            <w:tcBorders>
              <w:tl2br w:val="nil"/>
              <w:tr2bl w:val="nil"/>
            </w:tcBorders>
            <w:vAlign w:val="center"/>
          </w:tcPr>
          <w:p w14:paraId="7CF30792">
            <w:pPr>
              <w:pStyle w:val="17"/>
              <w:bidi w:val="0"/>
              <w:rPr>
                <w:rFonts w:hint="default" w:ascii="Times New Roman" w:hAnsi="Times New Roman" w:cs="Times New Roman"/>
                <w:color w:val="auto"/>
                <w:highlight w:val="none"/>
              </w:rPr>
            </w:pPr>
          </w:p>
        </w:tc>
        <w:tc>
          <w:tcPr>
            <w:tcW w:w="1559" w:type="dxa"/>
            <w:tcBorders>
              <w:tl2br w:val="nil"/>
              <w:tr2bl w:val="nil"/>
            </w:tcBorders>
            <w:vAlign w:val="center"/>
          </w:tcPr>
          <w:p w14:paraId="5158B46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I类</w:t>
            </w:r>
          </w:p>
        </w:tc>
        <w:tc>
          <w:tcPr>
            <w:tcW w:w="5245" w:type="dxa"/>
            <w:tcBorders>
              <w:tl2br w:val="nil"/>
              <w:tr2bl w:val="nil"/>
            </w:tcBorders>
            <w:vAlign w:val="center"/>
          </w:tcPr>
          <w:p w14:paraId="3D8119E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II类</w:t>
            </w:r>
          </w:p>
        </w:tc>
        <w:tc>
          <w:tcPr>
            <w:tcW w:w="708" w:type="dxa"/>
            <w:tcBorders>
              <w:tl2br w:val="nil"/>
              <w:tr2bl w:val="nil"/>
            </w:tcBorders>
            <w:vAlign w:val="center"/>
          </w:tcPr>
          <w:p w14:paraId="3E284A0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Ⅲ</w:t>
            </w:r>
            <w:r>
              <w:rPr>
                <w:rFonts w:hint="default" w:ascii="Times New Roman" w:hAnsi="Times New Roman" w:cs="Times New Roman"/>
                <w:color w:val="auto"/>
                <w:highlight w:val="none"/>
              </w:rPr>
              <w:t>类</w:t>
            </w:r>
          </w:p>
        </w:tc>
      </w:tr>
      <w:tr w14:paraId="7934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blHeader/>
          <w:jc w:val="center"/>
        </w:trPr>
        <w:tc>
          <w:tcPr>
            <w:tcW w:w="1100" w:type="dxa"/>
            <w:tcBorders>
              <w:tl2br w:val="nil"/>
              <w:tr2bl w:val="nil"/>
            </w:tcBorders>
            <w:vAlign w:val="center"/>
          </w:tcPr>
          <w:p w14:paraId="2337967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采矿业</w:t>
            </w:r>
          </w:p>
        </w:tc>
        <w:tc>
          <w:tcPr>
            <w:tcW w:w="1559" w:type="dxa"/>
            <w:tcBorders>
              <w:tl2br w:val="nil"/>
              <w:tr2bl w:val="nil"/>
            </w:tcBorders>
            <w:vAlign w:val="center"/>
          </w:tcPr>
          <w:p w14:paraId="6367848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金属矿、石油、页岩油开采</w:t>
            </w:r>
          </w:p>
        </w:tc>
        <w:tc>
          <w:tcPr>
            <w:tcW w:w="5245" w:type="dxa"/>
            <w:tcBorders>
              <w:tl2br w:val="nil"/>
              <w:tr2bl w:val="nil"/>
            </w:tcBorders>
            <w:vAlign w:val="center"/>
          </w:tcPr>
          <w:p w14:paraId="6191509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化学矿采选；石棉矿采选；煤矿采选、天然气开采、页岩气开采、砂岩气开采、煤气层开采（含净化、液化）</w:t>
            </w:r>
          </w:p>
        </w:tc>
        <w:tc>
          <w:tcPr>
            <w:tcW w:w="708" w:type="dxa"/>
            <w:tcBorders>
              <w:tl2br w:val="nil"/>
              <w:tr2bl w:val="nil"/>
            </w:tcBorders>
            <w:vAlign w:val="center"/>
          </w:tcPr>
          <w:p w14:paraId="617AD6C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其他</w:t>
            </w:r>
          </w:p>
        </w:tc>
      </w:tr>
    </w:tbl>
    <w:p w14:paraId="001FD32A">
      <w:pPr>
        <w:bidi w:val="0"/>
        <w:rPr>
          <w:rFonts w:hint="default"/>
          <w:color w:val="auto"/>
          <w:highlight w:val="none"/>
          <w:lang w:val="en-US" w:eastAsia="zh-CN"/>
        </w:rPr>
      </w:pPr>
      <w:r>
        <w:rPr>
          <w:rFonts w:hint="default"/>
          <w:color w:val="auto"/>
          <w:highlight w:val="none"/>
          <w:lang w:eastAsia="zh-CN"/>
        </w:rPr>
        <w:t>（</w:t>
      </w:r>
      <w:r>
        <w:rPr>
          <w:rFonts w:hint="default"/>
          <w:color w:val="auto"/>
          <w:highlight w:val="none"/>
          <w:lang w:val="en-US" w:eastAsia="zh-CN"/>
        </w:rPr>
        <w:t>2</w:t>
      </w:r>
      <w:r>
        <w:rPr>
          <w:rFonts w:hint="default"/>
          <w:color w:val="auto"/>
          <w:highlight w:val="none"/>
          <w:lang w:eastAsia="zh-CN"/>
        </w:rPr>
        <w:t>）</w:t>
      </w:r>
      <w:r>
        <w:rPr>
          <w:rFonts w:hint="default"/>
          <w:color w:val="auto"/>
          <w:highlight w:val="none"/>
          <w:lang w:val="en-US" w:eastAsia="zh-CN"/>
        </w:rPr>
        <w:t>生态影响型评价工作等级判定</w:t>
      </w:r>
    </w:p>
    <w:p w14:paraId="65395E2C">
      <w:pPr>
        <w:pStyle w:val="19"/>
        <w:bidi w:val="0"/>
        <w:rPr>
          <w:rFonts w:hint="default"/>
          <w:color w:val="auto"/>
          <w:highlight w:val="none"/>
          <w:lang w:val="en-US" w:eastAsia="zh-CN"/>
        </w:rPr>
      </w:pPr>
      <w:r>
        <w:rPr>
          <w:rFonts w:hint="default"/>
          <w:color w:val="auto"/>
          <w:highlight w:val="none"/>
          <w:lang w:val="en-US" w:eastAsia="zh-CN"/>
        </w:rPr>
        <w:t>表2.</w:t>
      </w:r>
      <w:r>
        <w:rPr>
          <w:rFonts w:hint="eastAsia"/>
          <w:color w:val="auto"/>
          <w:highlight w:val="none"/>
          <w:lang w:val="en-US" w:eastAsia="zh-CN"/>
        </w:rPr>
        <w:t>6</w:t>
      </w:r>
      <w:r>
        <w:rPr>
          <w:rFonts w:hint="default"/>
          <w:color w:val="auto"/>
          <w:highlight w:val="none"/>
          <w:lang w:val="en-US" w:eastAsia="zh-CN"/>
        </w:rPr>
        <w:t>-</w:t>
      </w:r>
      <w:r>
        <w:rPr>
          <w:rFonts w:hint="eastAsia"/>
          <w:color w:val="auto"/>
          <w:highlight w:val="none"/>
          <w:lang w:val="en-US" w:eastAsia="zh-CN"/>
        </w:rPr>
        <w:t>8</w:t>
      </w:r>
      <w:r>
        <w:rPr>
          <w:rFonts w:hint="default"/>
          <w:color w:val="auto"/>
          <w:highlight w:val="none"/>
          <w:lang w:val="en-US" w:eastAsia="zh-CN"/>
        </w:rPr>
        <w:t xml:space="preserve">  </w:t>
      </w:r>
      <w:r>
        <w:rPr>
          <w:rFonts w:hint="eastAsia"/>
          <w:color w:val="auto"/>
          <w:highlight w:val="none"/>
          <w:lang w:val="en-US" w:eastAsia="zh-CN"/>
        </w:rPr>
        <w:t xml:space="preserve"> </w:t>
      </w:r>
      <w:r>
        <w:rPr>
          <w:rFonts w:hint="default"/>
          <w:color w:val="auto"/>
          <w:highlight w:val="none"/>
          <w:lang w:val="en-US" w:eastAsia="zh-CN"/>
        </w:rPr>
        <w:t>生态影响型敏感程度分级表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4393"/>
        <w:gridCol w:w="1743"/>
        <w:gridCol w:w="1921"/>
      </w:tblGrid>
      <w:tr w14:paraId="1CE2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608" w:type="pct"/>
            <w:vMerge w:val="restart"/>
            <w:vAlign w:val="center"/>
          </w:tcPr>
          <w:p w14:paraId="43D2EA87">
            <w:pPr>
              <w:pStyle w:val="17"/>
              <w:bidi w:val="0"/>
              <w:rPr>
                <w:rFonts w:hint="default"/>
                <w:color w:val="auto"/>
                <w:highlight w:val="none"/>
                <w:lang w:val="en-US" w:eastAsia="zh-CN"/>
              </w:rPr>
            </w:pPr>
            <w:r>
              <w:rPr>
                <w:rFonts w:hint="default"/>
                <w:color w:val="auto"/>
                <w:highlight w:val="none"/>
                <w:lang w:val="en-US" w:eastAsia="zh-CN"/>
              </w:rPr>
              <w:t>敏感程度</w:t>
            </w:r>
          </w:p>
        </w:tc>
        <w:tc>
          <w:tcPr>
            <w:tcW w:w="4391" w:type="pct"/>
            <w:gridSpan w:val="3"/>
            <w:vAlign w:val="center"/>
          </w:tcPr>
          <w:p w14:paraId="6488C70E">
            <w:pPr>
              <w:pStyle w:val="17"/>
              <w:bidi w:val="0"/>
              <w:rPr>
                <w:rFonts w:hint="default"/>
                <w:color w:val="auto"/>
                <w:highlight w:val="none"/>
                <w:lang w:val="en-US" w:eastAsia="zh-CN"/>
              </w:rPr>
            </w:pPr>
            <w:r>
              <w:rPr>
                <w:rFonts w:hint="default"/>
                <w:color w:val="auto"/>
                <w:highlight w:val="none"/>
                <w:lang w:val="en-US" w:eastAsia="zh-CN"/>
              </w:rPr>
              <w:t>判别依据</w:t>
            </w:r>
          </w:p>
        </w:tc>
      </w:tr>
      <w:tr w14:paraId="5BE2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08" w:type="pct"/>
            <w:vMerge w:val="continue"/>
            <w:vAlign w:val="center"/>
          </w:tcPr>
          <w:p w14:paraId="555CDF9A">
            <w:pPr>
              <w:pStyle w:val="17"/>
              <w:bidi w:val="0"/>
              <w:rPr>
                <w:rFonts w:hint="default"/>
                <w:color w:val="auto"/>
                <w:highlight w:val="none"/>
                <w:lang w:val="en-US" w:eastAsia="zh-CN"/>
              </w:rPr>
            </w:pPr>
          </w:p>
        </w:tc>
        <w:tc>
          <w:tcPr>
            <w:tcW w:w="2395" w:type="pct"/>
            <w:vAlign w:val="center"/>
          </w:tcPr>
          <w:p w14:paraId="42B23FD6">
            <w:pPr>
              <w:pStyle w:val="17"/>
              <w:bidi w:val="0"/>
              <w:rPr>
                <w:rFonts w:hint="default"/>
                <w:color w:val="auto"/>
                <w:highlight w:val="none"/>
                <w:lang w:val="en-US" w:eastAsia="zh-CN"/>
              </w:rPr>
            </w:pPr>
            <w:r>
              <w:rPr>
                <w:rFonts w:hint="eastAsia"/>
                <w:color w:val="auto"/>
                <w:highlight w:val="none"/>
                <w:lang w:val="en-US" w:eastAsia="zh-CN"/>
              </w:rPr>
              <w:t>盐化</w:t>
            </w:r>
          </w:p>
        </w:tc>
        <w:tc>
          <w:tcPr>
            <w:tcW w:w="950" w:type="pct"/>
            <w:vAlign w:val="center"/>
          </w:tcPr>
          <w:p w14:paraId="455BFF2B">
            <w:pPr>
              <w:pStyle w:val="17"/>
              <w:bidi w:val="0"/>
              <w:rPr>
                <w:rFonts w:hint="default"/>
                <w:color w:val="auto"/>
                <w:highlight w:val="none"/>
                <w:lang w:val="en-US" w:eastAsia="zh-CN"/>
              </w:rPr>
            </w:pPr>
            <w:r>
              <w:rPr>
                <w:rFonts w:hint="eastAsia"/>
                <w:color w:val="auto"/>
                <w:highlight w:val="none"/>
                <w:lang w:val="en-US" w:eastAsia="zh-CN"/>
              </w:rPr>
              <w:t>酸化</w:t>
            </w:r>
          </w:p>
        </w:tc>
        <w:tc>
          <w:tcPr>
            <w:tcW w:w="1045" w:type="pct"/>
            <w:vAlign w:val="center"/>
          </w:tcPr>
          <w:p w14:paraId="3491862A">
            <w:pPr>
              <w:pStyle w:val="17"/>
              <w:bidi w:val="0"/>
              <w:rPr>
                <w:rFonts w:hint="default"/>
                <w:color w:val="auto"/>
                <w:highlight w:val="none"/>
                <w:lang w:val="en-US" w:eastAsia="zh-CN"/>
              </w:rPr>
            </w:pPr>
            <w:r>
              <w:rPr>
                <w:rFonts w:hint="eastAsia"/>
                <w:color w:val="auto"/>
                <w:highlight w:val="none"/>
                <w:lang w:val="en-US" w:eastAsia="zh-CN"/>
              </w:rPr>
              <w:t>碱化</w:t>
            </w:r>
          </w:p>
        </w:tc>
      </w:tr>
      <w:tr w14:paraId="40A9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764B00A0">
            <w:pPr>
              <w:pStyle w:val="17"/>
              <w:bidi w:val="0"/>
              <w:rPr>
                <w:rFonts w:hint="default"/>
                <w:color w:val="auto"/>
                <w:highlight w:val="none"/>
                <w:lang w:val="en-US" w:eastAsia="zh-CN"/>
              </w:rPr>
            </w:pPr>
            <w:r>
              <w:rPr>
                <w:rFonts w:hint="default"/>
                <w:color w:val="auto"/>
                <w:highlight w:val="none"/>
                <w:lang w:val="en-US" w:eastAsia="zh-CN"/>
              </w:rPr>
              <w:t>敏感</w:t>
            </w:r>
          </w:p>
        </w:tc>
        <w:tc>
          <w:tcPr>
            <w:tcW w:w="2395" w:type="pct"/>
            <w:vAlign w:val="center"/>
          </w:tcPr>
          <w:p w14:paraId="5E9788A8">
            <w:pPr>
              <w:pStyle w:val="17"/>
              <w:bidi w:val="0"/>
              <w:rPr>
                <w:rFonts w:hint="default"/>
                <w:color w:val="auto"/>
                <w:highlight w:val="none"/>
                <w:lang w:val="en-US" w:eastAsia="zh-CN"/>
              </w:rPr>
            </w:pPr>
            <w:r>
              <w:rPr>
                <w:rFonts w:hint="default"/>
                <w:color w:val="auto"/>
                <w:highlight w:val="none"/>
                <w:lang w:val="en-US" w:eastAsia="zh-CN"/>
              </w:rPr>
              <w:t>建设项目所在地干燥度&gt;2.5且常年地下水位平均埋深&lt;1.5m的地势平坦区域；或土壤含盐量&gt;4g/kg的区域</w:t>
            </w:r>
          </w:p>
        </w:tc>
        <w:tc>
          <w:tcPr>
            <w:tcW w:w="950" w:type="pct"/>
            <w:vAlign w:val="center"/>
          </w:tcPr>
          <w:p w14:paraId="26A29FCA">
            <w:pPr>
              <w:pStyle w:val="17"/>
              <w:bidi w:val="0"/>
              <w:rPr>
                <w:rFonts w:hint="default"/>
                <w:color w:val="auto"/>
                <w:highlight w:val="none"/>
                <w:lang w:val="en-US" w:eastAsia="zh-CN"/>
              </w:rPr>
            </w:pPr>
            <w:r>
              <w:rPr>
                <w:rFonts w:hint="default"/>
                <w:color w:val="auto"/>
                <w:highlight w:val="none"/>
                <w:lang w:val="en-US" w:eastAsia="zh-CN"/>
              </w:rPr>
              <w:t>pH≤4.5</w:t>
            </w:r>
          </w:p>
        </w:tc>
        <w:tc>
          <w:tcPr>
            <w:tcW w:w="1045" w:type="pct"/>
            <w:vAlign w:val="center"/>
          </w:tcPr>
          <w:p w14:paraId="0C2C0746">
            <w:pPr>
              <w:pStyle w:val="17"/>
              <w:bidi w:val="0"/>
              <w:rPr>
                <w:rFonts w:hint="default"/>
                <w:color w:val="auto"/>
                <w:highlight w:val="none"/>
                <w:lang w:val="en-US" w:eastAsia="zh-CN"/>
              </w:rPr>
            </w:pPr>
            <w:r>
              <w:rPr>
                <w:rFonts w:hint="default"/>
                <w:color w:val="auto"/>
                <w:highlight w:val="none"/>
                <w:lang w:val="en-US" w:eastAsia="zh-CN"/>
              </w:rPr>
              <w:t>pH≥9.0</w:t>
            </w:r>
          </w:p>
        </w:tc>
      </w:tr>
      <w:tr w14:paraId="15FB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vAlign w:val="center"/>
          </w:tcPr>
          <w:p w14:paraId="62446099">
            <w:pPr>
              <w:pStyle w:val="17"/>
              <w:bidi w:val="0"/>
              <w:rPr>
                <w:rFonts w:hint="default"/>
                <w:color w:val="auto"/>
                <w:highlight w:val="none"/>
                <w:lang w:val="en-US" w:eastAsia="zh-CN"/>
              </w:rPr>
            </w:pPr>
            <w:r>
              <w:rPr>
                <w:rFonts w:hint="default"/>
                <w:color w:val="auto"/>
                <w:highlight w:val="none"/>
                <w:lang w:val="en-US" w:eastAsia="zh-CN"/>
              </w:rPr>
              <w:t>较敏感</w:t>
            </w:r>
          </w:p>
        </w:tc>
        <w:tc>
          <w:tcPr>
            <w:tcW w:w="2395" w:type="pct"/>
            <w:vAlign w:val="center"/>
          </w:tcPr>
          <w:p w14:paraId="7C514A58">
            <w:pPr>
              <w:pStyle w:val="17"/>
              <w:bidi w:val="0"/>
              <w:rPr>
                <w:rFonts w:hint="default"/>
                <w:color w:val="auto"/>
                <w:highlight w:val="none"/>
                <w:lang w:val="en-US" w:eastAsia="zh-CN"/>
              </w:rPr>
            </w:pPr>
            <w:r>
              <w:rPr>
                <w:rFonts w:hint="default"/>
                <w:color w:val="auto"/>
                <w:highlight w:val="none"/>
                <w:lang w:val="en-US" w:eastAsia="zh-CN"/>
              </w:rPr>
              <w:t>建设项目所在地干燥度&gt;2.5且常年地下水位平均埋深</w:t>
            </w:r>
            <w:r>
              <w:rPr>
                <w:rFonts w:hint="eastAsia"/>
                <w:color w:val="auto"/>
                <w:highlight w:val="none"/>
                <w:lang w:val="en-US" w:eastAsia="zh-CN"/>
              </w:rPr>
              <w:t>≥</w:t>
            </w:r>
            <w:r>
              <w:rPr>
                <w:rFonts w:hint="default"/>
                <w:color w:val="auto"/>
                <w:highlight w:val="none"/>
                <w:lang w:val="en-US" w:eastAsia="zh-CN"/>
              </w:rPr>
              <w:t>1.</w:t>
            </w:r>
            <w:r>
              <w:rPr>
                <w:rFonts w:hint="eastAsia"/>
                <w:color w:val="auto"/>
                <w:highlight w:val="none"/>
                <w:lang w:val="en-US" w:eastAsia="zh-CN"/>
              </w:rPr>
              <w:t>5</w:t>
            </w:r>
            <w:r>
              <w:rPr>
                <w:rFonts w:hint="default"/>
                <w:color w:val="auto"/>
                <w:highlight w:val="none"/>
                <w:lang w:val="en-US" w:eastAsia="zh-CN"/>
              </w:rPr>
              <w:t>m的</w:t>
            </w:r>
            <w:r>
              <w:rPr>
                <w:rFonts w:hint="eastAsia"/>
                <w:color w:val="auto"/>
                <w:highlight w:val="none"/>
                <w:lang w:val="en-US" w:eastAsia="zh-CN"/>
              </w:rPr>
              <w:t>，或1.8</w:t>
            </w:r>
            <w:r>
              <w:rPr>
                <w:rFonts w:hint="default"/>
                <w:color w:val="auto"/>
                <w:highlight w:val="none"/>
                <w:lang w:val="en-US" w:eastAsia="zh-CN"/>
              </w:rPr>
              <w:t>&lt;</w:t>
            </w:r>
            <w:r>
              <w:rPr>
                <w:rFonts w:hint="eastAsia"/>
                <w:color w:val="auto"/>
                <w:highlight w:val="none"/>
                <w:lang w:val="en-US" w:eastAsia="zh-CN"/>
              </w:rPr>
              <w:t>干燥度≤2.5且常年地下水水位平均埋深</w:t>
            </w:r>
            <w:r>
              <w:rPr>
                <w:rFonts w:hint="default"/>
                <w:color w:val="auto"/>
                <w:highlight w:val="none"/>
                <w:lang w:val="en-US" w:eastAsia="zh-CN"/>
              </w:rPr>
              <w:t>&lt;</w:t>
            </w:r>
            <w:r>
              <w:rPr>
                <w:rFonts w:hint="eastAsia"/>
                <w:color w:val="auto"/>
                <w:highlight w:val="none"/>
                <w:lang w:val="en-US" w:eastAsia="zh-CN"/>
              </w:rPr>
              <w:t>1.8m的地势平坦区域</w:t>
            </w:r>
            <w:r>
              <w:rPr>
                <w:rFonts w:hint="default"/>
                <w:color w:val="auto"/>
                <w:highlight w:val="none"/>
                <w:lang w:val="en-US" w:eastAsia="zh-CN"/>
              </w:rPr>
              <w:t>；建设项目所在地干燥度&gt;2.5或常年地下水位平均埋深&lt;1.5m的平原区；或2g/kg&lt;土壤含盐量≤4g/kg的区域</w:t>
            </w:r>
          </w:p>
        </w:tc>
        <w:tc>
          <w:tcPr>
            <w:tcW w:w="950" w:type="pct"/>
            <w:vAlign w:val="center"/>
          </w:tcPr>
          <w:p w14:paraId="7F95A8EC">
            <w:pPr>
              <w:pStyle w:val="17"/>
              <w:bidi w:val="0"/>
              <w:rPr>
                <w:rFonts w:hint="default"/>
                <w:color w:val="auto"/>
                <w:highlight w:val="none"/>
                <w:lang w:val="en-US" w:eastAsia="zh-CN"/>
              </w:rPr>
            </w:pPr>
            <w:r>
              <w:rPr>
                <w:rFonts w:hint="default"/>
                <w:color w:val="auto"/>
                <w:highlight w:val="none"/>
                <w:lang w:val="en-US" w:eastAsia="zh-CN"/>
              </w:rPr>
              <w:t>4.5&lt;pH≤5.5</w:t>
            </w:r>
          </w:p>
        </w:tc>
        <w:tc>
          <w:tcPr>
            <w:tcW w:w="1045" w:type="pct"/>
            <w:vAlign w:val="center"/>
          </w:tcPr>
          <w:p w14:paraId="20DF9F35">
            <w:pPr>
              <w:pStyle w:val="17"/>
              <w:bidi w:val="0"/>
              <w:rPr>
                <w:rFonts w:hint="default"/>
                <w:color w:val="auto"/>
                <w:highlight w:val="none"/>
                <w:lang w:val="en-US" w:eastAsia="zh-CN"/>
              </w:rPr>
            </w:pPr>
            <w:r>
              <w:rPr>
                <w:rFonts w:hint="default"/>
                <w:color w:val="auto"/>
                <w:highlight w:val="none"/>
                <w:lang w:val="en-US" w:eastAsia="zh-CN"/>
              </w:rPr>
              <w:t>8.5≤pH&lt;9.0</w:t>
            </w:r>
          </w:p>
        </w:tc>
      </w:tr>
      <w:tr w14:paraId="74B1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08" w:type="pct"/>
            <w:vAlign w:val="center"/>
          </w:tcPr>
          <w:p w14:paraId="569A7ABD">
            <w:pPr>
              <w:pStyle w:val="17"/>
              <w:bidi w:val="0"/>
              <w:rPr>
                <w:rFonts w:hint="default"/>
                <w:color w:val="auto"/>
                <w:highlight w:val="none"/>
                <w:lang w:val="en-US" w:eastAsia="zh-CN"/>
              </w:rPr>
            </w:pPr>
            <w:r>
              <w:rPr>
                <w:rFonts w:hint="default"/>
                <w:color w:val="auto"/>
                <w:highlight w:val="none"/>
                <w:lang w:val="en-US" w:eastAsia="zh-CN"/>
              </w:rPr>
              <w:t>不敏感</w:t>
            </w:r>
          </w:p>
        </w:tc>
        <w:tc>
          <w:tcPr>
            <w:tcW w:w="2395" w:type="pct"/>
            <w:vAlign w:val="center"/>
          </w:tcPr>
          <w:p w14:paraId="5E46B235">
            <w:pPr>
              <w:pStyle w:val="17"/>
              <w:bidi w:val="0"/>
              <w:rPr>
                <w:rFonts w:hint="default"/>
                <w:color w:val="auto"/>
                <w:highlight w:val="none"/>
                <w:lang w:val="en-US" w:eastAsia="zh-CN"/>
              </w:rPr>
            </w:pPr>
            <w:r>
              <w:rPr>
                <w:rFonts w:hint="default"/>
                <w:color w:val="auto"/>
                <w:highlight w:val="none"/>
                <w:lang w:val="en-US" w:eastAsia="zh-CN"/>
              </w:rPr>
              <w:t>其他</w:t>
            </w:r>
          </w:p>
        </w:tc>
        <w:tc>
          <w:tcPr>
            <w:tcW w:w="1995" w:type="pct"/>
            <w:gridSpan w:val="2"/>
            <w:vAlign w:val="center"/>
          </w:tcPr>
          <w:p w14:paraId="18F79642">
            <w:pPr>
              <w:pStyle w:val="17"/>
              <w:bidi w:val="0"/>
              <w:rPr>
                <w:rFonts w:hint="default"/>
                <w:color w:val="auto"/>
                <w:highlight w:val="none"/>
                <w:lang w:val="en-US" w:eastAsia="zh-CN"/>
              </w:rPr>
            </w:pPr>
            <w:r>
              <w:rPr>
                <w:rFonts w:hint="default"/>
                <w:color w:val="auto"/>
                <w:highlight w:val="none"/>
                <w:lang w:val="en-US" w:eastAsia="zh-CN"/>
              </w:rPr>
              <w:t>5.5&lt;pH&lt;8.5</w:t>
            </w:r>
          </w:p>
        </w:tc>
      </w:tr>
      <w:tr w14:paraId="157D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5000" w:type="pct"/>
            <w:gridSpan w:val="4"/>
            <w:vAlign w:val="center"/>
          </w:tcPr>
          <w:p w14:paraId="1120E043">
            <w:pPr>
              <w:pStyle w:val="17"/>
              <w:bidi w:val="0"/>
              <w:rPr>
                <w:rFonts w:hint="default"/>
                <w:color w:val="auto"/>
                <w:highlight w:val="none"/>
                <w:lang w:val="en-US" w:eastAsia="zh-CN"/>
              </w:rPr>
            </w:pPr>
            <w:r>
              <w:rPr>
                <w:rFonts w:hint="default"/>
                <w:color w:val="auto"/>
                <w:highlight w:val="none"/>
                <w:lang w:val="en-US" w:eastAsia="zh-CN"/>
              </w:rPr>
              <w:t>a是指采用E601观测的多年平均水面蒸发量与降水量的比值，即蒸降比值。</w:t>
            </w:r>
          </w:p>
        </w:tc>
      </w:tr>
    </w:tbl>
    <w:p w14:paraId="18B08B9C">
      <w:pPr>
        <w:bidi w:val="0"/>
        <w:rPr>
          <w:rFonts w:hint="default"/>
          <w:color w:val="auto"/>
          <w:highlight w:val="none"/>
          <w:lang w:val="en-US" w:eastAsia="zh-CN"/>
        </w:rPr>
      </w:pPr>
      <w:r>
        <w:rPr>
          <w:rFonts w:hint="default"/>
          <w:color w:val="auto"/>
          <w:highlight w:val="none"/>
          <w:lang w:val="en-US" w:eastAsia="zh-CN"/>
        </w:rPr>
        <w:t>项目所在区域干燥度＞2.5</w:t>
      </w:r>
      <w:r>
        <w:rPr>
          <w:rFonts w:hint="eastAsia"/>
          <w:color w:val="auto"/>
          <w:highlight w:val="none"/>
          <w:lang w:val="en-US" w:eastAsia="zh-CN"/>
        </w:rPr>
        <w:t>，土壤全盐量＞4</w:t>
      </w:r>
      <w:r>
        <w:rPr>
          <w:rFonts w:hint="default"/>
          <w:color w:val="auto"/>
          <w:highlight w:val="none"/>
          <w:lang w:val="en-US" w:eastAsia="zh-CN"/>
        </w:rPr>
        <w:t>g/kg</w:t>
      </w:r>
      <w:r>
        <w:rPr>
          <w:rFonts w:hint="eastAsia"/>
          <w:color w:val="auto"/>
          <w:highlight w:val="none"/>
          <w:lang w:val="en-US" w:eastAsia="zh-CN"/>
        </w:rPr>
        <w:t>，</w:t>
      </w:r>
      <w:r>
        <w:rPr>
          <w:rFonts w:hint="default"/>
          <w:color w:val="auto"/>
          <w:highlight w:val="none"/>
          <w:lang w:val="en-US" w:eastAsia="zh-CN"/>
        </w:rPr>
        <w:t>因此判定本项目的土壤环境敏感程度为敏感。</w:t>
      </w:r>
    </w:p>
    <w:p w14:paraId="58AFB7A0">
      <w:pPr>
        <w:pStyle w:val="19"/>
        <w:bidi w:val="0"/>
        <w:rPr>
          <w:rFonts w:hint="default"/>
          <w:color w:val="auto"/>
          <w:highlight w:val="none"/>
        </w:rPr>
      </w:pPr>
      <w:r>
        <w:rPr>
          <w:rFonts w:hint="default"/>
          <w:color w:val="auto"/>
          <w:highlight w:val="none"/>
          <w:lang w:val="en-US" w:eastAsia="zh-CN"/>
        </w:rPr>
        <w:t>表2.</w:t>
      </w:r>
      <w:r>
        <w:rPr>
          <w:rFonts w:hint="eastAsia"/>
          <w:color w:val="auto"/>
          <w:highlight w:val="none"/>
          <w:lang w:val="en-US" w:eastAsia="zh-CN"/>
        </w:rPr>
        <w:t>6</w:t>
      </w:r>
      <w:r>
        <w:rPr>
          <w:rFonts w:hint="default"/>
          <w:color w:val="auto"/>
          <w:highlight w:val="none"/>
          <w:lang w:val="en-US" w:eastAsia="zh-CN"/>
        </w:rPr>
        <w:t>-</w:t>
      </w:r>
      <w:r>
        <w:rPr>
          <w:rFonts w:hint="eastAsia"/>
          <w:color w:val="auto"/>
          <w:highlight w:val="none"/>
          <w:lang w:val="en-US" w:eastAsia="zh-CN"/>
        </w:rPr>
        <w:t>9</w:t>
      </w:r>
      <w:r>
        <w:rPr>
          <w:rFonts w:hint="default"/>
          <w:color w:val="auto"/>
          <w:highlight w:val="none"/>
          <w:lang w:val="en-US" w:eastAsia="zh-CN"/>
        </w:rPr>
        <w:t xml:space="preserve">  </w:t>
      </w:r>
      <w:r>
        <w:rPr>
          <w:rFonts w:hint="eastAsia"/>
          <w:color w:val="auto"/>
          <w:highlight w:val="none"/>
          <w:lang w:val="en-US" w:eastAsia="zh-CN"/>
        </w:rPr>
        <w:t xml:space="preserve"> </w:t>
      </w:r>
      <w:r>
        <w:rPr>
          <w:rFonts w:hint="default"/>
          <w:color w:val="auto"/>
          <w:highlight w:val="none"/>
          <w:lang w:val="en-US" w:eastAsia="zh-CN"/>
        </w:rPr>
        <w:t>生态影响型评价工作等级划分表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41"/>
        <w:gridCol w:w="2284"/>
        <w:gridCol w:w="2284"/>
        <w:gridCol w:w="2461"/>
      </w:tblGrid>
      <w:tr w14:paraId="2E0FCB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95" w:hRule="atLeast"/>
          <w:jc w:val="center"/>
        </w:trPr>
        <w:tc>
          <w:tcPr>
            <w:tcW w:w="1167" w:type="pct"/>
            <w:tcBorders>
              <w:tl2br w:val="nil"/>
              <w:tr2bl w:val="nil"/>
            </w:tcBorders>
            <w:noWrap w:val="0"/>
            <w:vAlign w:val="center"/>
          </w:tcPr>
          <w:p w14:paraId="62D8743B">
            <w:pPr>
              <w:pStyle w:val="17"/>
              <w:bidi w:val="0"/>
              <w:rPr>
                <w:rFonts w:hint="default"/>
                <w:color w:val="auto"/>
                <w:highlight w:val="none"/>
                <w:lang w:val="en-US" w:eastAsia="zh-CN"/>
              </w:rPr>
            </w:pPr>
            <w:r>
              <w:rPr>
                <w:rFonts w:hint="default"/>
                <w:color w:val="auto"/>
                <w:highlight w:val="none"/>
                <w:lang w:val="en-US" w:eastAsia="zh-CN"/>
              </w:rPr>
              <w:t>项目类别敏感程度</w:t>
            </w:r>
          </w:p>
        </w:tc>
        <w:tc>
          <w:tcPr>
            <w:tcW w:w="1245" w:type="pct"/>
            <w:tcBorders>
              <w:tl2br w:val="nil"/>
              <w:tr2bl w:val="nil"/>
            </w:tcBorders>
            <w:noWrap w:val="0"/>
            <w:vAlign w:val="center"/>
          </w:tcPr>
          <w:p w14:paraId="14FA5639">
            <w:pPr>
              <w:pStyle w:val="17"/>
              <w:bidi w:val="0"/>
              <w:rPr>
                <w:rFonts w:hint="default"/>
                <w:color w:val="auto"/>
                <w:highlight w:val="none"/>
                <w:lang w:val="en-US" w:eastAsia="zh-CN"/>
              </w:rPr>
            </w:pPr>
            <w:r>
              <w:rPr>
                <w:rFonts w:hint="default"/>
                <w:color w:val="auto"/>
                <w:highlight w:val="none"/>
                <w:lang w:val="en-US" w:eastAsia="zh-CN"/>
              </w:rPr>
              <w:t>Ⅰ类</w:t>
            </w:r>
          </w:p>
        </w:tc>
        <w:tc>
          <w:tcPr>
            <w:tcW w:w="1245" w:type="pct"/>
            <w:tcBorders>
              <w:tl2br w:val="nil"/>
              <w:tr2bl w:val="nil"/>
            </w:tcBorders>
            <w:noWrap w:val="0"/>
            <w:vAlign w:val="center"/>
          </w:tcPr>
          <w:p w14:paraId="27A54743">
            <w:pPr>
              <w:pStyle w:val="17"/>
              <w:bidi w:val="0"/>
              <w:rPr>
                <w:rFonts w:hint="default"/>
                <w:color w:val="auto"/>
                <w:highlight w:val="none"/>
                <w:lang w:val="en-US" w:eastAsia="zh-CN"/>
              </w:rPr>
            </w:pPr>
            <w:r>
              <w:rPr>
                <w:rFonts w:hint="default"/>
                <w:color w:val="auto"/>
                <w:highlight w:val="none"/>
                <w:lang w:val="en-US" w:eastAsia="zh-CN"/>
              </w:rPr>
              <w:t>Ⅱ类</w:t>
            </w:r>
          </w:p>
        </w:tc>
        <w:tc>
          <w:tcPr>
            <w:tcW w:w="1341" w:type="pct"/>
            <w:tcBorders>
              <w:tl2br w:val="nil"/>
              <w:tr2bl w:val="nil"/>
            </w:tcBorders>
            <w:noWrap w:val="0"/>
            <w:vAlign w:val="center"/>
          </w:tcPr>
          <w:p w14:paraId="4A0A1269">
            <w:pPr>
              <w:pStyle w:val="17"/>
              <w:bidi w:val="0"/>
              <w:rPr>
                <w:rFonts w:hint="default"/>
                <w:color w:val="auto"/>
                <w:highlight w:val="none"/>
                <w:lang w:val="en-US" w:eastAsia="zh-CN"/>
              </w:rPr>
            </w:pPr>
            <w:r>
              <w:rPr>
                <w:rFonts w:hint="default"/>
                <w:color w:val="auto"/>
                <w:highlight w:val="none"/>
                <w:lang w:val="en-US" w:eastAsia="zh-CN"/>
              </w:rPr>
              <w:t>Ⅲ类</w:t>
            </w:r>
          </w:p>
        </w:tc>
      </w:tr>
      <w:tr w14:paraId="0ED7F2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2" w:hRule="atLeast"/>
          <w:jc w:val="center"/>
        </w:trPr>
        <w:tc>
          <w:tcPr>
            <w:tcW w:w="1167" w:type="pct"/>
            <w:tcBorders>
              <w:tl2br w:val="nil"/>
              <w:tr2bl w:val="nil"/>
            </w:tcBorders>
            <w:noWrap w:val="0"/>
            <w:vAlign w:val="center"/>
          </w:tcPr>
          <w:p w14:paraId="754D3127">
            <w:pPr>
              <w:pStyle w:val="17"/>
              <w:bidi w:val="0"/>
              <w:rPr>
                <w:rFonts w:hint="default"/>
                <w:color w:val="auto"/>
                <w:highlight w:val="none"/>
                <w:lang w:val="en-US" w:eastAsia="zh-CN"/>
              </w:rPr>
            </w:pPr>
            <w:r>
              <w:rPr>
                <w:rFonts w:hint="default"/>
                <w:color w:val="auto"/>
                <w:highlight w:val="none"/>
                <w:lang w:val="en-US" w:eastAsia="zh-CN"/>
              </w:rPr>
              <w:t>敏感</w:t>
            </w:r>
          </w:p>
        </w:tc>
        <w:tc>
          <w:tcPr>
            <w:tcW w:w="1245" w:type="pct"/>
            <w:tcBorders>
              <w:tl2br w:val="nil"/>
              <w:tr2bl w:val="nil"/>
            </w:tcBorders>
            <w:noWrap w:val="0"/>
            <w:vAlign w:val="center"/>
          </w:tcPr>
          <w:p w14:paraId="3741B8A8">
            <w:pPr>
              <w:pStyle w:val="17"/>
              <w:bidi w:val="0"/>
              <w:rPr>
                <w:rFonts w:hint="default"/>
                <w:color w:val="auto"/>
                <w:highlight w:val="none"/>
                <w:lang w:val="en-US" w:eastAsia="zh-CN"/>
              </w:rPr>
            </w:pPr>
            <w:r>
              <w:rPr>
                <w:rFonts w:hint="default"/>
                <w:color w:val="auto"/>
                <w:highlight w:val="none"/>
                <w:lang w:val="en-US" w:eastAsia="zh-CN"/>
              </w:rPr>
              <w:t>一级</w:t>
            </w:r>
          </w:p>
        </w:tc>
        <w:tc>
          <w:tcPr>
            <w:tcW w:w="1245" w:type="pct"/>
            <w:tcBorders>
              <w:tl2br w:val="nil"/>
              <w:tr2bl w:val="nil"/>
            </w:tcBorders>
            <w:noWrap w:val="0"/>
            <w:vAlign w:val="center"/>
          </w:tcPr>
          <w:p w14:paraId="080F7730">
            <w:pPr>
              <w:pStyle w:val="17"/>
              <w:bidi w:val="0"/>
              <w:rPr>
                <w:rFonts w:hint="default"/>
                <w:color w:val="auto"/>
                <w:highlight w:val="none"/>
                <w:lang w:val="en-US" w:eastAsia="zh-CN"/>
              </w:rPr>
            </w:pPr>
            <w:r>
              <w:rPr>
                <w:rFonts w:hint="default"/>
                <w:color w:val="auto"/>
                <w:highlight w:val="none"/>
                <w:lang w:val="en-US" w:eastAsia="zh-CN"/>
              </w:rPr>
              <w:t>二级</w:t>
            </w:r>
          </w:p>
        </w:tc>
        <w:tc>
          <w:tcPr>
            <w:tcW w:w="1341" w:type="pct"/>
            <w:tcBorders>
              <w:tl2br w:val="nil"/>
              <w:tr2bl w:val="nil"/>
            </w:tcBorders>
            <w:noWrap w:val="0"/>
            <w:vAlign w:val="center"/>
          </w:tcPr>
          <w:p w14:paraId="08CCB620">
            <w:pPr>
              <w:pStyle w:val="17"/>
              <w:bidi w:val="0"/>
              <w:rPr>
                <w:rFonts w:hint="default"/>
                <w:color w:val="auto"/>
                <w:highlight w:val="none"/>
                <w:lang w:val="en-US" w:eastAsia="zh-CN"/>
              </w:rPr>
            </w:pPr>
            <w:r>
              <w:rPr>
                <w:rFonts w:hint="default"/>
                <w:color w:val="auto"/>
                <w:highlight w:val="none"/>
                <w:lang w:val="en-US" w:eastAsia="zh-CN"/>
              </w:rPr>
              <w:t>三级</w:t>
            </w:r>
          </w:p>
        </w:tc>
      </w:tr>
      <w:tr w14:paraId="53D96CD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2" w:hRule="atLeast"/>
          <w:jc w:val="center"/>
        </w:trPr>
        <w:tc>
          <w:tcPr>
            <w:tcW w:w="1167" w:type="pct"/>
            <w:tcBorders>
              <w:tl2br w:val="nil"/>
              <w:tr2bl w:val="nil"/>
            </w:tcBorders>
            <w:noWrap w:val="0"/>
            <w:vAlign w:val="center"/>
          </w:tcPr>
          <w:p w14:paraId="4F17AE96">
            <w:pPr>
              <w:pStyle w:val="17"/>
              <w:bidi w:val="0"/>
              <w:rPr>
                <w:rFonts w:hint="default"/>
                <w:color w:val="auto"/>
                <w:highlight w:val="none"/>
                <w:lang w:val="en-US" w:eastAsia="zh-CN"/>
              </w:rPr>
            </w:pPr>
            <w:r>
              <w:rPr>
                <w:rFonts w:hint="default"/>
                <w:color w:val="auto"/>
                <w:highlight w:val="none"/>
                <w:lang w:val="en-US" w:eastAsia="zh-CN"/>
              </w:rPr>
              <w:t>较敏感</w:t>
            </w:r>
          </w:p>
        </w:tc>
        <w:tc>
          <w:tcPr>
            <w:tcW w:w="1245" w:type="pct"/>
            <w:tcBorders>
              <w:tl2br w:val="nil"/>
              <w:tr2bl w:val="nil"/>
            </w:tcBorders>
            <w:noWrap w:val="0"/>
            <w:vAlign w:val="center"/>
          </w:tcPr>
          <w:p w14:paraId="015554BB">
            <w:pPr>
              <w:pStyle w:val="17"/>
              <w:bidi w:val="0"/>
              <w:rPr>
                <w:rFonts w:hint="default"/>
                <w:color w:val="auto"/>
                <w:highlight w:val="none"/>
                <w:lang w:val="en-US" w:eastAsia="zh-CN"/>
              </w:rPr>
            </w:pPr>
            <w:r>
              <w:rPr>
                <w:rFonts w:hint="default"/>
                <w:color w:val="auto"/>
                <w:highlight w:val="none"/>
                <w:lang w:val="en-US" w:eastAsia="zh-CN"/>
              </w:rPr>
              <w:t>二级</w:t>
            </w:r>
          </w:p>
        </w:tc>
        <w:tc>
          <w:tcPr>
            <w:tcW w:w="1245" w:type="pct"/>
            <w:tcBorders>
              <w:tl2br w:val="nil"/>
              <w:tr2bl w:val="nil"/>
            </w:tcBorders>
            <w:noWrap w:val="0"/>
            <w:vAlign w:val="center"/>
          </w:tcPr>
          <w:p w14:paraId="4BA94FCD">
            <w:pPr>
              <w:pStyle w:val="17"/>
              <w:bidi w:val="0"/>
              <w:rPr>
                <w:rFonts w:hint="default"/>
                <w:color w:val="auto"/>
                <w:highlight w:val="none"/>
                <w:lang w:val="en-US" w:eastAsia="zh-CN"/>
              </w:rPr>
            </w:pPr>
            <w:r>
              <w:rPr>
                <w:rFonts w:hint="default"/>
                <w:color w:val="auto"/>
                <w:highlight w:val="none"/>
                <w:lang w:val="en-US" w:eastAsia="zh-CN"/>
              </w:rPr>
              <w:t>二级</w:t>
            </w:r>
          </w:p>
        </w:tc>
        <w:tc>
          <w:tcPr>
            <w:tcW w:w="1341" w:type="pct"/>
            <w:tcBorders>
              <w:tl2br w:val="nil"/>
              <w:tr2bl w:val="nil"/>
            </w:tcBorders>
            <w:noWrap w:val="0"/>
            <w:vAlign w:val="center"/>
          </w:tcPr>
          <w:p w14:paraId="523998DC">
            <w:pPr>
              <w:pStyle w:val="17"/>
              <w:bidi w:val="0"/>
              <w:rPr>
                <w:rFonts w:hint="default"/>
                <w:color w:val="auto"/>
                <w:highlight w:val="none"/>
                <w:lang w:val="en-US" w:eastAsia="zh-CN"/>
              </w:rPr>
            </w:pPr>
            <w:r>
              <w:rPr>
                <w:rFonts w:hint="default"/>
                <w:color w:val="auto"/>
                <w:highlight w:val="none"/>
                <w:lang w:val="en-US" w:eastAsia="zh-CN"/>
              </w:rPr>
              <w:t>三级</w:t>
            </w:r>
          </w:p>
        </w:tc>
      </w:tr>
      <w:tr w14:paraId="156C70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90" w:hRule="atLeast"/>
          <w:jc w:val="center"/>
        </w:trPr>
        <w:tc>
          <w:tcPr>
            <w:tcW w:w="1167" w:type="pct"/>
            <w:tcBorders>
              <w:tl2br w:val="nil"/>
              <w:tr2bl w:val="nil"/>
            </w:tcBorders>
            <w:noWrap w:val="0"/>
            <w:vAlign w:val="center"/>
          </w:tcPr>
          <w:p w14:paraId="1C0DD8CE">
            <w:pPr>
              <w:pStyle w:val="17"/>
              <w:bidi w:val="0"/>
              <w:rPr>
                <w:rFonts w:hint="default"/>
                <w:color w:val="auto"/>
                <w:highlight w:val="none"/>
                <w:lang w:val="en-US" w:eastAsia="zh-CN"/>
              </w:rPr>
            </w:pPr>
            <w:r>
              <w:rPr>
                <w:rFonts w:hint="default"/>
                <w:color w:val="auto"/>
                <w:highlight w:val="none"/>
                <w:lang w:val="en-US" w:eastAsia="zh-CN"/>
              </w:rPr>
              <w:t>不敏感</w:t>
            </w:r>
          </w:p>
        </w:tc>
        <w:tc>
          <w:tcPr>
            <w:tcW w:w="1245" w:type="pct"/>
            <w:tcBorders>
              <w:tl2br w:val="nil"/>
              <w:tr2bl w:val="nil"/>
            </w:tcBorders>
            <w:noWrap w:val="0"/>
            <w:vAlign w:val="center"/>
          </w:tcPr>
          <w:p w14:paraId="55FAFBC8">
            <w:pPr>
              <w:pStyle w:val="17"/>
              <w:bidi w:val="0"/>
              <w:rPr>
                <w:rFonts w:hint="default"/>
                <w:color w:val="auto"/>
                <w:highlight w:val="none"/>
                <w:lang w:val="en-US" w:eastAsia="zh-CN"/>
              </w:rPr>
            </w:pPr>
            <w:r>
              <w:rPr>
                <w:rFonts w:hint="default"/>
                <w:color w:val="auto"/>
                <w:highlight w:val="none"/>
                <w:lang w:val="en-US" w:eastAsia="zh-CN"/>
              </w:rPr>
              <w:t>二级</w:t>
            </w:r>
          </w:p>
        </w:tc>
        <w:tc>
          <w:tcPr>
            <w:tcW w:w="1245" w:type="pct"/>
            <w:tcBorders>
              <w:tl2br w:val="nil"/>
              <w:tr2bl w:val="nil"/>
            </w:tcBorders>
            <w:noWrap w:val="0"/>
            <w:vAlign w:val="center"/>
          </w:tcPr>
          <w:p w14:paraId="50549EB7">
            <w:pPr>
              <w:pStyle w:val="17"/>
              <w:bidi w:val="0"/>
              <w:rPr>
                <w:rFonts w:hint="default"/>
                <w:color w:val="auto"/>
                <w:highlight w:val="none"/>
                <w:lang w:val="en-US" w:eastAsia="zh-CN"/>
              </w:rPr>
            </w:pPr>
            <w:r>
              <w:rPr>
                <w:rFonts w:hint="default"/>
                <w:color w:val="auto"/>
                <w:highlight w:val="none"/>
                <w:lang w:val="en-US" w:eastAsia="zh-CN"/>
              </w:rPr>
              <w:t>三级</w:t>
            </w:r>
          </w:p>
        </w:tc>
        <w:tc>
          <w:tcPr>
            <w:tcW w:w="1341" w:type="pct"/>
            <w:tcBorders>
              <w:tl2br w:val="nil"/>
              <w:tr2bl w:val="nil"/>
            </w:tcBorders>
            <w:noWrap w:val="0"/>
            <w:vAlign w:val="center"/>
          </w:tcPr>
          <w:p w14:paraId="4498F0FE">
            <w:pPr>
              <w:pStyle w:val="17"/>
              <w:bidi w:val="0"/>
              <w:rPr>
                <w:rFonts w:hint="default"/>
                <w:color w:val="auto"/>
                <w:highlight w:val="none"/>
                <w:lang w:val="en-US" w:eastAsia="zh-CN"/>
              </w:rPr>
            </w:pPr>
            <w:r>
              <w:rPr>
                <w:rFonts w:hint="default"/>
                <w:color w:val="auto"/>
                <w:highlight w:val="none"/>
                <w:lang w:val="en-US" w:eastAsia="zh-CN"/>
              </w:rPr>
              <w:t>——</w:t>
            </w:r>
          </w:p>
        </w:tc>
      </w:tr>
    </w:tbl>
    <w:p w14:paraId="61350892">
      <w:pPr>
        <w:bidi w:val="0"/>
        <w:rPr>
          <w:rFonts w:hint="default"/>
          <w:color w:val="auto"/>
          <w:highlight w:val="none"/>
          <w:lang w:val="en-US" w:eastAsia="zh-CN"/>
        </w:rPr>
      </w:pPr>
      <w:r>
        <w:rPr>
          <w:rFonts w:hint="default"/>
          <w:color w:val="auto"/>
          <w:highlight w:val="none"/>
          <w:lang w:val="en-US" w:eastAsia="zh-CN"/>
        </w:rPr>
        <w:t>根据导则附录A，本项目为</w:t>
      </w:r>
      <w:r>
        <w:rPr>
          <w:rFonts w:hint="eastAsia"/>
          <w:color w:val="auto"/>
          <w:highlight w:val="none"/>
          <w:lang w:val="en-US" w:eastAsia="zh-CN"/>
        </w:rPr>
        <w:t>三</w:t>
      </w:r>
      <w:r>
        <w:rPr>
          <w:rFonts w:hint="default"/>
          <w:color w:val="auto"/>
          <w:highlight w:val="none"/>
          <w:lang w:val="en-US" w:eastAsia="zh-CN"/>
        </w:rPr>
        <w:t>类项目，本项目的土壤环境敏感程度为敏感。综上，判断本项目土壤生态环境评价工作等级为</w:t>
      </w:r>
      <w:r>
        <w:rPr>
          <w:rFonts w:hint="eastAsia"/>
          <w:color w:val="auto"/>
          <w:highlight w:val="none"/>
          <w:lang w:val="en-US" w:eastAsia="zh-CN"/>
        </w:rPr>
        <w:t>三</w:t>
      </w:r>
      <w:r>
        <w:rPr>
          <w:rFonts w:hint="default"/>
          <w:color w:val="auto"/>
          <w:highlight w:val="none"/>
          <w:lang w:val="en-US" w:eastAsia="zh-CN"/>
        </w:rPr>
        <w:t>级。</w:t>
      </w:r>
    </w:p>
    <w:p w14:paraId="3ACECA23">
      <w:pPr>
        <w:bidi w:val="0"/>
        <w:rPr>
          <w:rFonts w:hint="default"/>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3</w:t>
      </w:r>
      <w:r>
        <w:rPr>
          <w:rFonts w:hint="default"/>
          <w:color w:val="auto"/>
          <w:highlight w:val="none"/>
          <w:lang w:val="en-US" w:eastAsia="zh-CN"/>
        </w:rPr>
        <w:t>）污染影响型评价工作等级判定</w:t>
      </w:r>
    </w:p>
    <w:p w14:paraId="0BB99186">
      <w:pPr>
        <w:pStyle w:val="19"/>
        <w:bidi w:val="0"/>
        <w:rPr>
          <w:rFonts w:hint="default"/>
          <w:color w:val="auto"/>
          <w:highlight w:val="none"/>
          <w:lang w:val="en-US" w:eastAsia="zh-CN"/>
        </w:rPr>
      </w:pPr>
      <w:r>
        <w:rPr>
          <w:rFonts w:hint="default"/>
          <w:color w:val="auto"/>
          <w:highlight w:val="none"/>
          <w:lang w:val="en-US" w:eastAsia="zh-CN"/>
        </w:rPr>
        <w:t>表2.</w:t>
      </w:r>
      <w:r>
        <w:rPr>
          <w:rFonts w:hint="eastAsia"/>
          <w:color w:val="auto"/>
          <w:highlight w:val="none"/>
          <w:lang w:val="en-US" w:eastAsia="zh-CN"/>
        </w:rPr>
        <w:t>6</w:t>
      </w:r>
      <w:r>
        <w:rPr>
          <w:rFonts w:hint="default"/>
          <w:color w:val="auto"/>
          <w:highlight w:val="none"/>
          <w:lang w:val="en-US" w:eastAsia="zh-CN"/>
        </w:rPr>
        <w:t>-</w:t>
      </w:r>
      <w:r>
        <w:rPr>
          <w:rFonts w:hint="eastAsia"/>
          <w:color w:val="auto"/>
          <w:highlight w:val="none"/>
          <w:lang w:val="en-US" w:eastAsia="zh-CN"/>
        </w:rPr>
        <w:t>10</w:t>
      </w:r>
      <w:r>
        <w:rPr>
          <w:rFonts w:hint="default"/>
          <w:color w:val="auto"/>
          <w:highlight w:val="none"/>
          <w:lang w:val="en-US" w:eastAsia="zh-CN"/>
        </w:rPr>
        <w:t xml:space="preserve">  污染影响型敏感程度分级表</w:t>
      </w:r>
    </w:p>
    <w:tbl>
      <w:tblPr>
        <w:tblStyle w:val="1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7862"/>
      </w:tblGrid>
      <w:tr w14:paraId="7EE9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14" w:type="pct"/>
            <w:vAlign w:val="center"/>
          </w:tcPr>
          <w:p w14:paraId="3BC1DDD7">
            <w:pPr>
              <w:pStyle w:val="17"/>
              <w:bidi w:val="0"/>
              <w:rPr>
                <w:rFonts w:hint="default"/>
                <w:color w:val="auto"/>
                <w:highlight w:val="none"/>
                <w:lang w:val="en-US" w:eastAsia="zh-CN"/>
              </w:rPr>
            </w:pPr>
            <w:r>
              <w:rPr>
                <w:rFonts w:hint="default"/>
                <w:color w:val="auto"/>
                <w:highlight w:val="none"/>
                <w:lang w:val="en-US" w:eastAsia="zh-CN"/>
              </w:rPr>
              <w:t>敏感程度</w:t>
            </w:r>
          </w:p>
        </w:tc>
        <w:tc>
          <w:tcPr>
            <w:tcW w:w="4285" w:type="pct"/>
            <w:vAlign w:val="center"/>
          </w:tcPr>
          <w:p w14:paraId="31CA3DC1">
            <w:pPr>
              <w:pStyle w:val="17"/>
              <w:bidi w:val="0"/>
              <w:rPr>
                <w:rFonts w:hint="default"/>
                <w:color w:val="auto"/>
                <w:highlight w:val="none"/>
                <w:lang w:val="en-US" w:eastAsia="zh-CN"/>
              </w:rPr>
            </w:pPr>
            <w:r>
              <w:rPr>
                <w:rFonts w:hint="default"/>
                <w:color w:val="auto"/>
                <w:highlight w:val="none"/>
                <w:lang w:val="en-US" w:eastAsia="zh-CN"/>
              </w:rPr>
              <w:t>判别依据</w:t>
            </w:r>
          </w:p>
        </w:tc>
      </w:tr>
      <w:tr w14:paraId="5A20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pct"/>
            <w:vAlign w:val="center"/>
          </w:tcPr>
          <w:p w14:paraId="1AFAFD64">
            <w:pPr>
              <w:pStyle w:val="17"/>
              <w:bidi w:val="0"/>
              <w:rPr>
                <w:rFonts w:hint="default"/>
                <w:color w:val="auto"/>
                <w:highlight w:val="none"/>
                <w:lang w:val="en-US" w:eastAsia="zh-CN"/>
              </w:rPr>
            </w:pPr>
            <w:r>
              <w:rPr>
                <w:rFonts w:hint="default"/>
                <w:color w:val="auto"/>
                <w:highlight w:val="none"/>
                <w:lang w:val="en-US" w:eastAsia="zh-CN"/>
              </w:rPr>
              <w:t>敏感</w:t>
            </w:r>
          </w:p>
        </w:tc>
        <w:tc>
          <w:tcPr>
            <w:tcW w:w="4285" w:type="pct"/>
            <w:vAlign w:val="center"/>
          </w:tcPr>
          <w:p w14:paraId="4F4A8B71">
            <w:pPr>
              <w:pStyle w:val="17"/>
              <w:bidi w:val="0"/>
              <w:rPr>
                <w:rFonts w:hint="default"/>
                <w:color w:val="auto"/>
                <w:highlight w:val="none"/>
                <w:lang w:val="en-US" w:eastAsia="zh-CN"/>
              </w:rPr>
            </w:pPr>
            <w:r>
              <w:rPr>
                <w:rFonts w:hint="default"/>
                <w:color w:val="auto"/>
                <w:highlight w:val="none"/>
                <w:lang w:val="en-US" w:eastAsia="zh-CN"/>
              </w:rPr>
              <w:t>建设项目周边存在耕地、园地、牧草地、饮用水水源地或居民区、学校、医院、疗养院、养老院等土壤敏感目标的</w:t>
            </w:r>
          </w:p>
        </w:tc>
      </w:tr>
      <w:tr w14:paraId="0640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14" w:type="pct"/>
            <w:vAlign w:val="center"/>
          </w:tcPr>
          <w:p w14:paraId="1C88A96C">
            <w:pPr>
              <w:pStyle w:val="17"/>
              <w:bidi w:val="0"/>
              <w:rPr>
                <w:rFonts w:hint="default"/>
                <w:color w:val="auto"/>
                <w:highlight w:val="none"/>
                <w:lang w:val="en-US" w:eastAsia="zh-CN"/>
              </w:rPr>
            </w:pPr>
            <w:r>
              <w:rPr>
                <w:rFonts w:hint="default"/>
                <w:color w:val="auto"/>
                <w:highlight w:val="none"/>
                <w:lang w:val="en-US" w:eastAsia="zh-CN"/>
              </w:rPr>
              <w:t>较敏感</w:t>
            </w:r>
          </w:p>
        </w:tc>
        <w:tc>
          <w:tcPr>
            <w:tcW w:w="4285" w:type="pct"/>
            <w:vAlign w:val="center"/>
          </w:tcPr>
          <w:p w14:paraId="2C5F779E">
            <w:pPr>
              <w:pStyle w:val="17"/>
              <w:bidi w:val="0"/>
              <w:rPr>
                <w:rFonts w:hint="default"/>
                <w:color w:val="auto"/>
                <w:highlight w:val="none"/>
                <w:lang w:val="en-US" w:eastAsia="zh-CN"/>
              </w:rPr>
            </w:pPr>
            <w:r>
              <w:rPr>
                <w:rFonts w:hint="default"/>
                <w:color w:val="auto"/>
                <w:highlight w:val="none"/>
                <w:lang w:val="en-US" w:eastAsia="zh-CN"/>
              </w:rPr>
              <w:t>建设项目周边存在其他土壤环境敏感目标的</w:t>
            </w:r>
          </w:p>
        </w:tc>
      </w:tr>
      <w:tr w14:paraId="3E70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14" w:type="pct"/>
            <w:vAlign w:val="center"/>
          </w:tcPr>
          <w:p w14:paraId="0E58079F">
            <w:pPr>
              <w:pStyle w:val="17"/>
              <w:bidi w:val="0"/>
              <w:rPr>
                <w:rFonts w:hint="default"/>
                <w:color w:val="auto"/>
                <w:highlight w:val="none"/>
                <w:lang w:val="en-US" w:eastAsia="zh-CN"/>
              </w:rPr>
            </w:pPr>
            <w:r>
              <w:rPr>
                <w:rFonts w:hint="default"/>
                <w:color w:val="auto"/>
                <w:highlight w:val="none"/>
                <w:lang w:val="en-US" w:eastAsia="zh-CN"/>
              </w:rPr>
              <w:t>不敏感</w:t>
            </w:r>
          </w:p>
        </w:tc>
        <w:tc>
          <w:tcPr>
            <w:tcW w:w="4285" w:type="pct"/>
            <w:vAlign w:val="center"/>
          </w:tcPr>
          <w:p w14:paraId="1B3236AC">
            <w:pPr>
              <w:pStyle w:val="17"/>
              <w:bidi w:val="0"/>
              <w:rPr>
                <w:rFonts w:hint="default"/>
                <w:color w:val="auto"/>
                <w:highlight w:val="none"/>
                <w:lang w:val="en-US" w:eastAsia="zh-CN"/>
              </w:rPr>
            </w:pPr>
            <w:r>
              <w:rPr>
                <w:rFonts w:hint="default"/>
                <w:color w:val="auto"/>
                <w:highlight w:val="none"/>
                <w:lang w:val="en-US" w:eastAsia="zh-CN"/>
              </w:rPr>
              <w:t>其他情况</w:t>
            </w:r>
          </w:p>
        </w:tc>
      </w:tr>
    </w:tbl>
    <w:p w14:paraId="27601CAC">
      <w:pPr>
        <w:pStyle w:val="19"/>
        <w:bidi w:val="0"/>
        <w:rPr>
          <w:rFonts w:hint="default"/>
          <w:color w:val="auto"/>
          <w:highlight w:val="none"/>
          <w:lang w:val="en-US" w:eastAsia="zh-CN"/>
        </w:rPr>
      </w:pPr>
      <w:r>
        <w:rPr>
          <w:rFonts w:hint="default"/>
          <w:color w:val="auto"/>
          <w:highlight w:val="none"/>
          <w:lang w:val="en-US" w:eastAsia="zh-CN"/>
        </w:rPr>
        <w:t>表2.</w:t>
      </w:r>
      <w:r>
        <w:rPr>
          <w:rFonts w:hint="eastAsia"/>
          <w:color w:val="auto"/>
          <w:highlight w:val="none"/>
          <w:lang w:val="en-US" w:eastAsia="zh-CN"/>
        </w:rPr>
        <w:t>6</w:t>
      </w:r>
      <w:r>
        <w:rPr>
          <w:rFonts w:hint="default"/>
          <w:color w:val="auto"/>
          <w:highlight w:val="none"/>
          <w:lang w:val="en-US" w:eastAsia="zh-CN"/>
        </w:rPr>
        <w:t>-</w:t>
      </w:r>
      <w:r>
        <w:rPr>
          <w:rFonts w:hint="eastAsia"/>
          <w:color w:val="auto"/>
          <w:highlight w:val="none"/>
          <w:lang w:val="en-US" w:eastAsia="zh-CN"/>
        </w:rPr>
        <w:t>11</w:t>
      </w:r>
      <w:r>
        <w:rPr>
          <w:rFonts w:hint="default"/>
          <w:color w:val="auto"/>
          <w:highlight w:val="none"/>
          <w:lang w:val="en-US" w:eastAsia="zh-CN"/>
        </w:rPr>
        <w:t xml:space="preserve">  污染影响型评价工作等级划分表</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886"/>
        <w:gridCol w:w="886"/>
        <w:gridCol w:w="891"/>
        <w:gridCol w:w="886"/>
        <w:gridCol w:w="886"/>
        <w:gridCol w:w="891"/>
        <w:gridCol w:w="886"/>
        <w:gridCol w:w="886"/>
        <w:gridCol w:w="895"/>
      </w:tblGrid>
      <w:tr w14:paraId="2F3A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642" w:type="pct"/>
            <w:vMerge w:val="restart"/>
            <w:vAlign w:val="center"/>
            <mc:AlternateContent>
              <mc:Choice Requires="wpsCustomData">
                <wpsCustomData:diagonals>
                  <wpsCustomData:diagonal from="30000" to="14800">
                    <wpsCustomData:border w:val="single" w:color="auto" w:sz="4" w:space="0"/>
                  </wpsCustomData:diagonal>
                  <wpsCustomData:diagonal from="30000" to="6700">
                    <wpsCustomData:border w:val="single" w:color="auto" w:sz="4" w:space="0"/>
                  </wpsCustomData:diagonal>
                </wpsCustomData:diagonals>
              </mc:Choice>
            </mc:AlternateContent>
          </w:tcPr>
          <w:p w14:paraId="6154BF10">
            <w:pPr>
              <w:pStyle w:val="17"/>
              <w:bidi w:val="0"/>
              <mc:AlternateContent>
                <mc:Choice Requires="wpsCustomData">
                  <wpsCustomData:diagonalParaType/>
                </mc:Choice>
              </mc:AlternateContent>
              <w:rPr>
                <w:rFonts w:hint="default"/>
                <w:color w:val="auto"/>
                <w:highlight w:val="none"/>
                <w:lang w:val="en-US" w:eastAsia="zh-CN"/>
              </w:rPr>
            </w:pPr>
            <w:r>
              <w:rPr>
                <w:rFonts w:hint="default"/>
                <w:color w:val="auto"/>
                <w:highlight w:val="none"/>
                <w:lang w:val="en-US" w:eastAsia="zh-CN"/>
              </w:rPr>
              <w:t>敏感程度</w:t>
            </w:r>
          </w:p>
          <w:p w14:paraId="4C307033">
            <w:pPr>
              <w:pStyle w:val="17"/>
              <w:bidi w:val="0"/>
              <mc:AlternateContent>
                <mc:Choice Requires="wpsCustomData">
                  <wpsCustomData:diagonalParaType/>
                </mc:Choice>
              </mc:AlternateContent>
              <w:rPr>
                <w:rFonts w:hint="default"/>
                <w:color w:val="auto"/>
                <w:highlight w:val="none"/>
                <w:lang w:val="en-US" w:eastAsia="zh-CN"/>
              </w:rPr>
            </w:pPr>
            <w:r>
              <w:rPr>
                <w:rFonts w:hint="default"/>
                <w:color w:val="auto"/>
                <w:highlight w:val="none"/>
                <w:lang w:val="en-US" w:eastAsia="zh-CN"/>
              </w:rPr>
              <w:t>评价工作等级</w:t>
            </w:r>
          </w:p>
          <w:p w14:paraId="45DA10C3">
            <w:pPr>
              <w:pStyle w:val="17"/>
              <w:bidi w:val="0"/>
              <w:rPr>
                <w:rFonts w:hint="default"/>
                <w:color w:val="auto"/>
                <w:highlight w:val="none"/>
                <w:lang w:val="en-US" w:eastAsia="zh-CN"/>
              </w:rPr>
            </w:pPr>
            <w:r>
              <w:rPr>
                <w:rFonts w:hint="default"/>
                <w:color w:val="auto"/>
                <w:highlight w:val="none"/>
                <w:lang w:val="en-US" w:eastAsia="zh-CN"/>
              </w:rPr>
              <w:t>占地规模</w:t>
            </w:r>
          </w:p>
        </w:tc>
        <w:tc>
          <w:tcPr>
            <w:tcW w:w="1452" w:type="pct"/>
            <w:gridSpan w:val="3"/>
            <w:shd w:val="clear" w:color="auto" w:fill="auto"/>
            <w:vAlign w:val="center"/>
          </w:tcPr>
          <w:p w14:paraId="450E78CE">
            <w:pPr>
              <w:pStyle w:val="17"/>
              <w:bidi w:val="0"/>
              <w:rPr>
                <w:rFonts w:hint="default"/>
                <w:color w:val="auto"/>
                <w:highlight w:val="none"/>
                <w:lang w:val="en-US" w:eastAsia="zh-CN"/>
              </w:rPr>
            </w:pPr>
            <w:r>
              <w:rPr>
                <w:rFonts w:hint="default"/>
                <w:color w:val="auto"/>
                <w:highlight w:val="none"/>
              </w:rPr>
              <w:t>Ⅰ类</w:t>
            </w:r>
          </w:p>
        </w:tc>
        <w:tc>
          <w:tcPr>
            <w:tcW w:w="1452" w:type="pct"/>
            <w:gridSpan w:val="3"/>
            <w:shd w:val="clear" w:color="auto" w:fill="auto"/>
            <w:vAlign w:val="center"/>
          </w:tcPr>
          <w:p w14:paraId="54525CE3">
            <w:pPr>
              <w:pStyle w:val="17"/>
              <w:bidi w:val="0"/>
              <w:rPr>
                <w:rFonts w:hint="default"/>
                <w:color w:val="auto"/>
                <w:highlight w:val="none"/>
                <w:lang w:val="en-US" w:eastAsia="zh-CN"/>
              </w:rPr>
            </w:pPr>
            <w:r>
              <w:rPr>
                <w:rFonts w:hint="default"/>
                <w:color w:val="auto"/>
                <w:highlight w:val="none"/>
              </w:rPr>
              <w:t>Ⅱ类</w:t>
            </w:r>
          </w:p>
        </w:tc>
        <w:tc>
          <w:tcPr>
            <w:tcW w:w="1453" w:type="pct"/>
            <w:gridSpan w:val="3"/>
            <w:vAlign w:val="center"/>
          </w:tcPr>
          <w:p w14:paraId="00CD4BDE">
            <w:pPr>
              <w:pStyle w:val="17"/>
              <w:bidi w:val="0"/>
              <w:rPr>
                <w:rFonts w:hint="default"/>
                <w:color w:val="auto"/>
                <w:highlight w:val="none"/>
                <w:lang w:val="en-US" w:eastAsia="zh-CN"/>
              </w:rPr>
            </w:pPr>
            <w:r>
              <w:rPr>
                <w:rFonts w:hint="default"/>
                <w:color w:val="auto"/>
                <w:highlight w:val="none"/>
              </w:rPr>
              <w:t>Ⅲ类</w:t>
            </w:r>
          </w:p>
        </w:tc>
      </w:tr>
      <w:tr w14:paraId="56AB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pct"/>
            <w:vMerge w:val="continue"/>
            <w:vAlign w:val="center"/>
          </w:tcPr>
          <w:p w14:paraId="713B40A5">
            <w:pPr>
              <w:pStyle w:val="17"/>
              <w:bidi w:val="0"/>
              <w:rPr>
                <w:rFonts w:hint="default"/>
                <w:color w:val="auto"/>
                <w:highlight w:val="none"/>
                <w:lang w:val="en-US" w:eastAsia="zh-CN"/>
              </w:rPr>
            </w:pPr>
          </w:p>
        </w:tc>
        <w:tc>
          <w:tcPr>
            <w:tcW w:w="483" w:type="pct"/>
            <w:vAlign w:val="center"/>
          </w:tcPr>
          <w:p w14:paraId="03E7F94D">
            <w:pPr>
              <w:pStyle w:val="17"/>
              <w:bidi w:val="0"/>
              <w:rPr>
                <w:rFonts w:hint="default"/>
                <w:color w:val="auto"/>
                <w:highlight w:val="none"/>
                <w:lang w:val="en-US" w:eastAsia="zh-CN"/>
              </w:rPr>
            </w:pPr>
            <w:r>
              <w:rPr>
                <w:rFonts w:hint="default"/>
                <w:color w:val="auto"/>
                <w:highlight w:val="none"/>
                <w:lang w:val="en-US" w:eastAsia="zh-CN"/>
              </w:rPr>
              <w:t>大</w:t>
            </w:r>
          </w:p>
        </w:tc>
        <w:tc>
          <w:tcPr>
            <w:tcW w:w="483" w:type="pct"/>
            <w:vAlign w:val="center"/>
          </w:tcPr>
          <w:p w14:paraId="27EEAB1C">
            <w:pPr>
              <w:pStyle w:val="17"/>
              <w:bidi w:val="0"/>
              <w:rPr>
                <w:rFonts w:hint="default"/>
                <w:color w:val="auto"/>
                <w:highlight w:val="none"/>
                <w:lang w:val="en-US" w:eastAsia="zh-CN"/>
              </w:rPr>
            </w:pPr>
            <w:r>
              <w:rPr>
                <w:rFonts w:hint="default"/>
                <w:color w:val="auto"/>
                <w:highlight w:val="none"/>
                <w:lang w:val="en-US" w:eastAsia="zh-CN"/>
              </w:rPr>
              <w:t>中</w:t>
            </w:r>
          </w:p>
        </w:tc>
        <w:tc>
          <w:tcPr>
            <w:tcW w:w="485" w:type="pct"/>
            <w:vAlign w:val="center"/>
          </w:tcPr>
          <w:p w14:paraId="2EDE67D2">
            <w:pPr>
              <w:pStyle w:val="17"/>
              <w:bidi w:val="0"/>
              <w:rPr>
                <w:rFonts w:hint="default"/>
                <w:color w:val="auto"/>
                <w:highlight w:val="none"/>
                <w:lang w:val="en-US" w:eastAsia="zh-CN"/>
              </w:rPr>
            </w:pPr>
            <w:r>
              <w:rPr>
                <w:rFonts w:hint="default"/>
                <w:color w:val="auto"/>
                <w:highlight w:val="none"/>
                <w:lang w:val="en-US" w:eastAsia="zh-CN"/>
              </w:rPr>
              <w:t>小</w:t>
            </w:r>
          </w:p>
        </w:tc>
        <w:tc>
          <w:tcPr>
            <w:tcW w:w="483" w:type="pct"/>
            <w:shd w:val="clear" w:color="auto" w:fill="auto"/>
            <w:vAlign w:val="center"/>
          </w:tcPr>
          <w:p w14:paraId="5056F0A1">
            <w:pPr>
              <w:pStyle w:val="17"/>
              <w:bidi w:val="0"/>
              <w:rPr>
                <w:rFonts w:hint="default"/>
                <w:color w:val="auto"/>
                <w:highlight w:val="none"/>
                <w:lang w:val="en-US" w:eastAsia="zh-CN"/>
              </w:rPr>
            </w:pPr>
            <w:r>
              <w:rPr>
                <w:rFonts w:hint="default"/>
                <w:color w:val="auto"/>
                <w:highlight w:val="none"/>
                <w:lang w:val="en-US" w:eastAsia="zh-CN"/>
              </w:rPr>
              <w:t>大</w:t>
            </w:r>
          </w:p>
        </w:tc>
        <w:tc>
          <w:tcPr>
            <w:tcW w:w="483" w:type="pct"/>
            <w:shd w:val="clear" w:color="auto" w:fill="auto"/>
            <w:vAlign w:val="center"/>
          </w:tcPr>
          <w:p w14:paraId="2D79988D">
            <w:pPr>
              <w:pStyle w:val="17"/>
              <w:bidi w:val="0"/>
              <w:rPr>
                <w:rFonts w:hint="default"/>
                <w:color w:val="auto"/>
                <w:highlight w:val="none"/>
                <w:lang w:val="en-US" w:eastAsia="zh-CN"/>
              </w:rPr>
            </w:pPr>
            <w:r>
              <w:rPr>
                <w:rFonts w:hint="default"/>
                <w:color w:val="auto"/>
                <w:highlight w:val="none"/>
                <w:lang w:val="en-US" w:eastAsia="zh-CN"/>
              </w:rPr>
              <w:t>中</w:t>
            </w:r>
          </w:p>
        </w:tc>
        <w:tc>
          <w:tcPr>
            <w:tcW w:w="485" w:type="pct"/>
            <w:shd w:val="clear" w:color="auto" w:fill="auto"/>
            <w:vAlign w:val="center"/>
          </w:tcPr>
          <w:p w14:paraId="7FAF8F92">
            <w:pPr>
              <w:pStyle w:val="17"/>
              <w:bidi w:val="0"/>
              <w:rPr>
                <w:rFonts w:hint="default"/>
                <w:color w:val="auto"/>
                <w:highlight w:val="none"/>
                <w:lang w:val="en-US" w:eastAsia="zh-CN"/>
              </w:rPr>
            </w:pPr>
            <w:r>
              <w:rPr>
                <w:rFonts w:hint="default"/>
                <w:color w:val="auto"/>
                <w:highlight w:val="none"/>
                <w:lang w:val="en-US" w:eastAsia="zh-CN"/>
              </w:rPr>
              <w:t>小</w:t>
            </w:r>
          </w:p>
        </w:tc>
        <w:tc>
          <w:tcPr>
            <w:tcW w:w="483" w:type="pct"/>
            <w:shd w:val="clear" w:color="auto" w:fill="auto"/>
            <w:vAlign w:val="center"/>
          </w:tcPr>
          <w:p w14:paraId="406CBDFA">
            <w:pPr>
              <w:pStyle w:val="17"/>
              <w:bidi w:val="0"/>
              <w:rPr>
                <w:rFonts w:hint="default"/>
                <w:color w:val="auto"/>
                <w:highlight w:val="none"/>
                <w:lang w:val="en-US" w:eastAsia="zh-CN"/>
              </w:rPr>
            </w:pPr>
            <w:r>
              <w:rPr>
                <w:rFonts w:hint="default"/>
                <w:color w:val="auto"/>
                <w:highlight w:val="none"/>
                <w:lang w:val="en-US" w:eastAsia="zh-CN"/>
              </w:rPr>
              <w:t>大</w:t>
            </w:r>
          </w:p>
        </w:tc>
        <w:tc>
          <w:tcPr>
            <w:tcW w:w="483" w:type="pct"/>
            <w:shd w:val="clear" w:color="auto" w:fill="auto"/>
            <w:vAlign w:val="center"/>
          </w:tcPr>
          <w:p w14:paraId="034105AC">
            <w:pPr>
              <w:pStyle w:val="17"/>
              <w:bidi w:val="0"/>
              <w:rPr>
                <w:rFonts w:hint="default"/>
                <w:color w:val="auto"/>
                <w:highlight w:val="none"/>
                <w:lang w:val="en-US" w:eastAsia="zh-CN"/>
              </w:rPr>
            </w:pPr>
            <w:r>
              <w:rPr>
                <w:rFonts w:hint="default"/>
                <w:color w:val="auto"/>
                <w:highlight w:val="none"/>
                <w:lang w:val="en-US" w:eastAsia="zh-CN"/>
              </w:rPr>
              <w:t>中</w:t>
            </w:r>
          </w:p>
        </w:tc>
        <w:tc>
          <w:tcPr>
            <w:tcW w:w="487" w:type="pct"/>
            <w:shd w:val="clear" w:color="auto" w:fill="auto"/>
            <w:vAlign w:val="center"/>
          </w:tcPr>
          <w:p w14:paraId="47D19AE0">
            <w:pPr>
              <w:pStyle w:val="17"/>
              <w:bidi w:val="0"/>
              <w:rPr>
                <w:rFonts w:hint="default"/>
                <w:color w:val="auto"/>
                <w:highlight w:val="none"/>
                <w:lang w:val="en-US" w:eastAsia="zh-CN"/>
              </w:rPr>
            </w:pPr>
            <w:r>
              <w:rPr>
                <w:rFonts w:hint="default"/>
                <w:color w:val="auto"/>
                <w:highlight w:val="none"/>
                <w:lang w:val="en-US" w:eastAsia="zh-CN"/>
              </w:rPr>
              <w:t>小</w:t>
            </w:r>
          </w:p>
        </w:tc>
      </w:tr>
      <w:tr w14:paraId="7C55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pct"/>
            <w:vAlign w:val="center"/>
          </w:tcPr>
          <w:p w14:paraId="42FF02D5">
            <w:pPr>
              <w:pStyle w:val="17"/>
              <w:bidi w:val="0"/>
              <w:rPr>
                <w:rFonts w:hint="default"/>
                <w:color w:val="auto"/>
                <w:highlight w:val="none"/>
                <w:lang w:val="en-US" w:eastAsia="zh-CN"/>
              </w:rPr>
            </w:pPr>
            <w:r>
              <w:rPr>
                <w:rFonts w:hint="default"/>
                <w:color w:val="auto"/>
                <w:highlight w:val="none"/>
                <w:lang w:val="en-US" w:eastAsia="zh-CN"/>
              </w:rPr>
              <w:t>敏感</w:t>
            </w:r>
          </w:p>
        </w:tc>
        <w:tc>
          <w:tcPr>
            <w:tcW w:w="483" w:type="pct"/>
            <w:vAlign w:val="center"/>
          </w:tcPr>
          <w:p w14:paraId="4D10EE61">
            <w:pPr>
              <w:pStyle w:val="17"/>
              <w:bidi w:val="0"/>
              <w:rPr>
                <w:rFonts w:hint="default"/>
                <w:color w:val="auto"/>
                <w:highlight w:val="none"/>
                <w:lang w:val="en-US" w:eastAsia="zh-CN"/>
              </w:rPr>
            </w:pPr>
            <w:r>
              <w:rPr>
                <w:rFonts w:hint="default"/>
                <w:color w:val="auto"/>
                <w:highlight w:val="none"/>
                <w:lang w:val="en-US" w:eastAsia="zh-CN"/>
              </w:rPr>
              <w:t>一级</w:t>
            </w:r>
          </w:p>
        </w:tc>
        <w:tc>
          <w:tcPr>
            <w:tcW w:w="483" w:type="pct"/>
            <w:vAlign w:val="center"/>
          </w:tcPr>
          <w:p w14:paraId="511C6B9A">
            <w:pPr>
              <w:pStyle w:val="17"/>
              <w:bidi w:val="0"/>
              <w:rPr>
                <w:rFonts w:hint="default"/>
                <w:color w:val="auto"/>
                <w:highlight w:val="none"/>
                <w:lang w:val="en-US" w:eastAsia="zh-CN"/>
              </w:rPr>
            </w:pPr>
            <w:r>
              <w:rPr>
                <w:rFonts w:hint="default"/>
                <w:color w:val="auto"/>
                <w:highlight w:val="none"/>
                <w:lang w:val="en-US" w:eastAsia="zh-CN"/>
              </w:rPr>
              <w:t>一级</w:t>
            </w:r>
          </w:p>
        </w:tc>
        <w:tc>
          <w:tcPr>
            <w:tcW w:w="485" w:type="pct"/>
            <w:vAlign w:val="center"/>
          </w:tcPr>
          <w:p w14:paraId="073E0B0C">
            <w:pPr>
              <w:pStyle w:val="17"/>
              <w:bidi w:val="0"/>
              <w:rPr>
                <w:rFonts w:hint="default"/>
                <w:color w:val="auto"/>
                <w:highlight w:val="none"/>
                <w:lang w:val="en-US" w:eastAsia="zh-CN"/>
              </w:rPr>
            </w:pPr>
            <w:r>
              <w:rPr>
                <w:rFonts w:hint="default"/>
                <w:color w:val="auto"/>
                <w:highlight w:val="none"/>
                <w:lang w:val="en-US" w:eastAsia="zh-CN"/>
              </w:rPr>
              <w:t>一级</w:t>
            </w:r>
          </w:p>
        </w:tc>
        <w:tc>
          <w:tcPr>
            <w:tcW w:w="483" w:type="pct"/>
            <w:vAlign w:val="center"/>
          </w:tcPr>
          <w:p w14:paraId="1CF4AF0E">
            <w:pPr>
              <w:pStyle w:val="17"/>
              <w:bidi w:val="0"/>
              <w:rPr>
                <w:rFonts w:hint="default"/>
                <w:color w:val="auto"/>
                <w:highlight w:val="none"/>
                <w:lang w:val="en-US" w:eastAsia="zh-CN"/>
              </w:rPr>
            </w:pPr>
            <w:r>
              <w:rPr>
                <w:rFonts w:hint="default"/>
                <w:color w:val="auto"/>
                <w:highlight w:val="none"/>
                <w:lang w:val="en-US" w:eastAsia="zh-CN"/>
              </w:rPr>
              <w:t>二级</w:t>
            </w:r>
          </w:p>
        </w:tc>
        <w:tc>
          <w:tcPr>
            <w:tcW w:w="483" w:type="pct"/>
            <w:vAlign w:val="center"/>
          </w:tcPr>
          <w:p w14:paraId="040FF604">
            <w:pPr>
              <w:pStyle w:val="17"/>
              <w:bidi w:val="0"/>
              <w:rPr>
                <w:rFonts w:hint="default"/>
                <w:color w:val="auto"/>
                <w:highlight w:val="none"/>
                <w:lang w:val="en-US" w:eastAsia="zh-CN"/>
              </w:rPr>
            </w:pPr>
            <w:r>
              <w:rPr>
                <w:rFonts w:hint="default"/>
                <w:color w:val="auto"/>
                <w:highlight w:val="none"/>
                <w:lang w:val="en-US" w:eastAsia="zh-CN"/>
              </w:rPr>
              <w:t>二级</w:t>
            </w:r>
          </w:p>
        </w:tc>
        <w:tc>
          <w:tcPr>
            <w:tcW w:w="485" w:type="pct"/>
            <w:vAlign w:val="center"/>
          </w:tcPr>
          <w:p w14:paraId="05A092F8">
            <w:pPr>
              <w:pStyle w:val="17"/>
              <w:bidi w:val="0"/>
              <w:rPr>
                <w:rFonts w:hint="default"/>
                <w:color w:val="auto"/>
                <w:highlight w:val="none"/>
                <w:lang w:val="en-US" w:eastAsia="zh-CN"/>
              </w:rPr>
            </w:pPr>
            <w:r>
              <w:rPr>
                <w:rFonts w:hint="default"/>
                <w:color w:val="auto"/>
                <w:highlight w:val="none"/>
                <w:lang w:val="en-US" w:eastAsia="zh-CN"/>
              </w:rPr>
              <w:t>二级</w:t>
            </w:r>
          </w:p>
        </w:tc>
        <w:tc>
          <w:tcPr>
            <w:tcW w:w="483" w:type="pct"/>
            <w:vAlign w:val="center"/>
          </w:tcPr>
          <w:p w14:paraId="435AAEBC">
            <w:pPr>
              <w:pStyle w:val="17"/>
              <w:bidi w:val="0"/>
              <w:rPr>
                <w:rFonts w:hint="default"/>
                <w:color w:val="auto"/>
                <w:highlight w:val="none"/>
                <w:lang w:val="en-US" w:eastAsia="zh-CN"/>
              </w:rPr>
            </w:pPr>
            <w:r>
              <w:rPr>
                <w:rFonts w:hint="default"/>
                <w:color w:val="auto"/>
                <w:highlight w:val="none"/>
                <w:lang w:val="en-US" w:eastAsia="zh-CN"/>
              </w:rPr>
              <w:t>三级</w:t>
            </w:r>
          </w:p>
        </w:tc>
        <w:tc>
          <w:tcPr>
            <w:tcW w:w="483" w:type="pct"/>
            <w:vAlign w:val="center"/>
          </w:tcPr>
          <w:p w14:paraId="7A494241">
            <w:pPr>
              <w:pStyle w:val="17"/>
              <w:bidi w:val="0"/>
              <w:rPr>
                <w:rFonts w:hint="default"/>
                <w:color w:val="auto"/>
                <w:highlight w:val="none"/>
                <w:lang w:val="en-US" w:eastAsia="zh-CN"/>
              </w:rPr>
            </w:pPr>
            <w:r>
              <w:rPr>
                <w:rFonts w:hint="default"/>
                <w:color w:val="auto"/>
                <w:highlight w:val="none"/>
                <w:lang w:val="en-US" w:eastAsia="zh-CN"/>
              </w:rPr>
              <w:t>三级</w:t>
            </w:r>
          </w:p>
        </w:tc>
        <w:tc>
          <w:tcPr>
            <w:tcW w:w="487" w:type="pct"/>
            <w:vAlign w:val="center"/>
          </w:tcPr>
          <w:p w14:paraId="760C78E5">
            <w:pPr>
              <w:pStyle w:val="17"/>
              <w:bidi w:val="0"/>
              <w:rPr>
                <w:rFonts w:hint="default"/>
                <w:color w:val="auto"/>
                <w:highlight w:val="none"/>
                <w:lang w:val="en-US" w:eastAsia="zh-CN"/>
              </w:rPr>
            </w:pPr>
            <w:r>
              <w:rPr>
                <w:rFonts w:hint="default"/>
                <w:color w:val="auto"/>
                <w:highlight w:val="none"/>
                <w:lang w:val="en-US" w:eastAsia="zh-CN"/>
              </w:rPr>
              <w:t>三级</w:t>
            </w:r>
          </w:p>
        </w:tc>
      </w:tr>
      <w:tr w14:paraId="4D0B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pct"/>
            <w:vAlign w:val="center"/>
          </w:tcPr>
          <w:p w14:paraId="2596C193">
            <w:pPr>
              <w:pStyle w:val="17"/>
              <w:bidi w:val="0"/>
              <w:rPr>
                <w:rFonts w:hint="default"/>
                <w:color w:val="auto"/>
                <w:highlight w:val="none"/>
                <w:lang w:val="en-US" w:eastAsia="zh-CN"/>
              </w:rPr>
            </w:pPr>
            <w:r>
              <w:rPr>
                <w:rFonts w:hint="default"/>
                <w:color w:val="auto"/>
                <w:highlight w:val="none"/>
                <w:lang w:val="en-US" w:eastAsia="zh-CN"/>
              </w:rPr>
              <w:t>较敏感</w:t>
            </w:r>
          </w:p>
        </w:tc>
        <w:tc>
          <w:tcPr>
            <w:tcW w:w="483" w:type="pct"/>
            <w:vAlign w:val="center"/>
          </w:tcPr>
          <w:p w14:paraId="3E948983">
            <w:pPr>
              <w:pStyle w:val="17"/>
              <w:bidi w:val="0"/>
              <w:rPr>
                <w:rFonts w:hint="default"/>
                <w:color w:val="auto"/>
                <w:highlight w:val="none"/>
                <w:lang w:val="en-US" w:eastAsia="zh-CN"/>
              </w:rPr>
            </w:pPr>
            <w:r>
              <w:rPr>
                <w:rFonts w:hint="default"/>
                <w:color w:val="auto"/>
                <w:highlight w:val="none"/>
                <w:lang w:val="en-US" w:eastAsia="zh-CN"/>
              </w:rPr>
              <w:t>一级</w:t>
            </w:r>
          </w:p>
        </w:tc>
        <w:tc>
          <w:tcPr>
            <w:tcW w:w="483" w:type="pct"/>
            <w:vAlign w:val="center"/>
          </w:tcPr>
          <w:p w14:paraId="154A7035">
            <w:pPr>
              <w:pStyle w:val="17"/>
              <w:bidi w:val="0"/>
              <w:rPr>
                <w:rFonts w:hint="default"/>
                <w:color w:val="auto"/>
                <w:highlight w:val="none"/>
                <w:lang w:val="en-US" w:eastAsia="zh-CN"/>
              </w:rPr>
            </w:pPr>
            <w:r>
              <w:rPr>
                <w:rFonts w:hint="default"/>
                <w:color w:val="auto"/>
                <w:highlight w:val="none"/>
                <w:lang w:val="en-US" w:eastAsia="zh-CN"/>
              </w:rPr>
              <w:t>一级</w:t>
            </w:r>
          </w:p>
        </w:tc>
        <w:tc>
          <w:tcPr>
            <w:tcW w:w="485" w:type="pct"/>
            <w:vAlign w:val="center"/>
          </w:tcPr>
          <w:p w14:paraId="56E5C95C">
            <w:pPr>
              <w:pStyle w:val="17"/>
              <w:bidi w:val="0"/>
              <w:rPr>
                <w:rFonts w:hint="default"/>
                <w:color w:val="auto"/>
                <w:highlight w:val="none"/>
                <w:lang w:val="en-US" w:eastAsia="zh-CN"/>
              </w:rPr>
            </w:pPr>
            <w:r>
              <w:rPr>
                <w:rFonts w:hint="default"/>
                <w:color w:val="auto"/>
                <w:highlight w:val="none"/>
                <w:lang w:val="en-US" w:eastAsia="zh-CN"/>
              </w:rPr>
              <w:t>二级</w:t>
            </w:r>
          </w:p>
        </w:tc>
        <w:tc>
          <w:tcPr>
            <w:tcW w:w="483" w:type="pct"/>
            <w:vAlign w:val="center"/>
          </w:tcPr>
          <w:p w14:paraId="68B38BCA">
            <w:pPr>
              <w:pStyle w:val="17"/>
              <w:bidi w:val="0"/>
              <w:rPr>
                <w:rFonts w:hint="default"/>
                <w:color w:val="auto"/>
                <w:highlight w:val="none"/>
                <w:lang w:val="en-US" w:eastAsia="zh-CN"/>
              </w:rPr>
            </w:pPr>
            <w:r>
              <w:rPr>
                <w:rFonts w:hint="default"/>
                <w:color w:val="auto"/>
                <w:highlight w:val="none"/>
                <w:lang w:val="en-US" w:eastAsia="zh-CN"/>
              </w:rPr>
              <w:t>二级</w:t>
            </w:r>
          </w:p>
        </w:tc>
        <w:tc>
          <w:tcPr>
            <w:tcW w:w="483" w:type="pct"/>
            <w:vAlign w:val="center"/>
          </w:tcPr>
          <w:p w14:paraId="16D60A4F">
            <w:pPr>
              <w:pStyle w:val="17"/>
              <w:bidi w:val="0"/>
              <w:rPr>
                <w:rFonts w:hint="default"/>
                <w:color w:val="auto"/>
                <w:highlight w:val="none"/>
                <w:lang w:val="en-US" w:eastAsia="zh-CN"/>
              </w:rPr>
            </w:pPr>
            <w:r>
              <w:rPr>
                <w:rFonts w:hint="default"/>
                <w:color w:val="auto"/>
                <w:highlight w:val="none"/>
                <w:lang w:val="en-US" w:eastAsia="zh-CN"/>
              </w:rPr>
              <w:t>二级</w:t>
            </w:r>
          </w:p>
        </w:tc>
        <w:tc>
          <w:tcPr>
            <w:tcW w:w="485" w:type="pct"/>
            <w:vAlign w:val="center"/>
          </w:tcPr>
          <w:p w14:paraId="11B36DC0">
            <w:pPr>
              <w:pStyle w:val="17"/>
              <w:bidi w:val="0"/>
              <w:rPr>
                <w:rFonts w:hint="default"/>
                <w:color w:val="auto"/>
                <w:highlight w:val="none"/>
                <w:lang w:val="en-US" w:eastAsia="zh-CN"/>
              </w:rPr>
            </w:pPr>
            <w:r>
              <w:rPr>
                <w:rFonts w:hint="default"/>
                <w:color w:val="auto"/>
                <w:highlight w:val="none"/>
                <w:lang w:val="en-US" w:eastAsia="zh-CN"/>
              </w:rPr>
              <w:t>三级</w:t>
            </w:r>
          </w:p>
        </w:tc>
        <w:tc>
          <w:tcPr>
            <w:tcW w:w="483" w:type="pct"/>
            <w:vAlign w:val="center"/>
          </w:tcPr>
          <w:p w14:paraId="0C9990ED">
            <w:pPr>
              <w:pStyle w:val="17"/>
              <w:bidi w:val="0"/>
              <w:rPr>
                <w:rFonts w:hint="default"/>
                <w:color w:val="auto"/>
                <w:highlight w:val="none"/>
                <w:lang w:val="en-US" w:eastAsia="zh-CN"/>
              </w:rPr>
            </w:pPr>
            <w:r>
              <w:rPr>
                <w:rFonts w:hint="default"/>
                <w:color w:val="auto"/>
                <w:highlight w:val="none"/>
                <w:lang w:val="en-US" w:eastAsia="zh-CN"/>
              </w:rPr>
              <w:t>三级</w:t>
            </w:r>
          </w:p>
        </w:tc>
        <w:tc>
          <w:tcPr>
            <w:tcW w:w="483" w:type="pct"/>
            <w:vAlign w:val="center"/>
          </w:tcPr>
          <w:p w14:paraId="17625FCD">
            <w:pPr>
              <w:pStyle w:val="17"/>
              <w:bidi w:val="0"/>
              <w:rPr>
                <w:rFonts w:hint="default"/>
                <w:color w:val="auto"/>
                <w:highlight w:val="none"/>
                <w:lang w:val="en-US" w:eastAsia="zh-CN"/>
              </w:rPr>
            </w:pPr>
            <w:r>
              <w:rPr>
                <w:rFonts w:hint="default"/>
                <w:color w:val="auto"/>
                <w:highlight w:val="none"/>
                <w:lang w:val="en-US" w:eastAsia="zh-CN"/>
              </w:rPr>
              <w:t>三级</w:t>
            </w:r>
          </w:p>
        </w:tc>
        <w:tc>
          <w:tcPr>
            <w:tcW w:w="487" w:type="pct"/>
            <w:vAlign w:val="center"/>
          </w:tcPr>
          <w:p w14:paraId="0A281865">
            <w:pPr>
              <w:pStyle w:val="17"/>
              <w:bidi w:val="0"/>
              <w:rPr>
                <w:rFonts w:hint="default"/>
                <w:color w:val="auto"/>
                <w:highlight w:val="none"/>
                <w:lang w:val="en-US" w:eastAsia="zh-CN"/>
              </w:rPr>
            </w:pPr>
            <w:r>
              <w:rPr>
                <w:rFonts w:hint="default"/>
                <w:color w:val="auto"/>
                <w:highlight w:val="none"/>
                <w:lang w:val="en-US" w:eastAsia="zh-CN"/>
              </w:rPr>
              <w:t>-</w:t>
            </w:r>
          </w:p>
        </w:tc>
      </w:tr>
      <w:tr w14:paraId="014B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pct"/>
            <w:vAlign w:val="center"/>
          </w:tcPr>
          <w:p w14:paraId="35D42D63">
            <w:pPr>
              <w:pStyle w:val="17"/>
              <w:bidi w:val="0"/>
              <w:rPr>
                <w:rFonts w:hint="default"/>
                <w:color w:val="auto"/>
                <w:highlight w:val="none"/>
                <w:lang w:val="en-US" w:eastAsia="zh-CN"/>
              </w:rPr>
            </w:pPr>
            <w:r>
              <w:rPr>
                <w:rFonts w:hint="default"/>
                <w:color w:val="auto"/>
                <w:highlight w:val="none"/>
                <w:lang w:val="en-US" w:eastAsia="zh-CN"/>
              </w:rPr>
              <w:t>不敏感</w:t>
            </w:r>
          </w:p>
        </w:tc>
        <w:tc>
          <w:tcPr>
            <w:tcW w:w="483" w:type="pct"/>
            <w:vAlign w:val="center"/>
          </w:tcPr>
          <w:p w14:paraId="7AE4CCF5">
            <w:pPr>
              <w:pStyle w:val="17"/>
              <w:bidi w:val="0"/>
              <w:rPr>
                <w:rFonts w:hint="default"/>
                <w:color w:val="auto"/>
                <w:highlight w:val="none"/>
                <w:lang w:val="en-US" w:eastAsia="zh-CN"/>
              </w:rPr>
            </w:pPr>
            <w:r>
              <w:rPr>
                <w:rFonts w:hint="default"/>
                <w:color w:val="auto"/>
                <w:highlight w:val="none"/>
                <w:lang w:val="en-US" w:eastAsia="zh-CN"/>
              </w:rPr>
              <w:t>一级</w:t>
            </w:r>
          </w:p>
        </w:tc>
        <w:tc>
          <w:tcPr>
            <w:tcW w:w="483" w:type="pct"/>
            <w:vAlign w:val="center"/>
          </w:tcPr>
          <w:p w14:paraId="44AF9FD5">
            <w:pPr>
              <w:pStyle w:val="17"/>
              <w:bidi w:val="0"/>
              <w:rPr>
                <w:rFonts w:hint="default"/>
                <w:color w:val="auto"/>
                <w:highlight w:val="none"/>
                <w:lang w:val="en-US" w:eastAsia="zh-CN"/>
              </w:rPr>
            </w:pPr>
            <w:r>
              <w:rPr>
                <w:rFonts w:hint="default"/>
                <w:color w:val="auto"/>
                <w:highlight w:val="none"/>
                <w:lang w:val="en-US" w:eastAsia="zh-CN"/>
              </w:rPr>
              <w:t>二级</w:t>
            </w:r>
          </w:p>
        </w:tc>
        <w:tc>
          <w:tcPr>
            <w:tcW w:w="485" w:type="pct"/>
            <w:vAlign w:val="center"/>
          </w:tcPr>
          <w:p w14:paraId="6F72B83F">
            <w:pPr>
              <w:pStyle w:val="17"/>
              <w:bidi w:val="0"/>
              <w:rPr>
                <w:rFonts w:hint="default"/>
                <w:color w:val="auto"/>
                <w:highlight w:val="none"/>
                <w:lang w:val="en-US" w:eastAsia="zh-CN"/>
              </w:rPr>
            </w:pPr>
            <w:r>
              <w:rPr>
                <w:rFonts w:hint="default"/>
                <w:color w:val="auto"/>
                <w:highlight w:val="none"/>
                <w:lang w:val="en-US" w:eastAsia="zh-CN"/>
              </w:rPr>
              <w:t>二级</w:t>
            </w:r>
          </w:p>
        </w:tc>
        <w:tc>
          <w:tcPr>
            <w:tcW w:w="483" w:type="pct"/>
            <w:vAlign w:val="center"/>
          </w:tcPr>
          <w:p w14:paraId="040FCB63">
            <w:pPr>
              <w:pStyle w:val="17"/>
              <w:bidi w:val="0"/>
              <w:rPr>
                <w:rFonts w:hint="default"/>
                <w:color w:val="auto"/>
                <w:highlight w:val="none"/>
                <w:lang w:val="en-US" w:eastAsia="zh-CN"/>
              </w:rPr>
            </w:pPr>
            <w:r>
              <w:rPr>
                <w:rFonts w:hint="default"/>
                <w:color w:val="auto"/>
                <w:highlight w:val="none"/>
                <w:lang w:val="en-US" w:eastAsia="zh-CN"/>
              </w:rPr>
              <w:t>二级</w:t>
            </w:r>
          </w:p>
        </w:tc>
        <w:tc>
          <w:tcPr>
            <w:tcW w:w="483" w:type="pct"/>
            <w:vAlign w:val="center"/>
          </w:tcPr>
          <w:p w14:paraId="67B8AE90">
            <w:pPr>
              <w:pStyle w:val="17"/>
              <w:bidi w:val="0"/>
              <w:rPr>
                <w:rFonts w:hint="default"/>
                <w:color w:val="auto"/>
                <w:highlight w:val="none"/>
                <w:lang w:val="en-US" w:eastAsia="zh-CN"/>
              </w:rPr>
            </w:pPr>
            <w:r>
              <w:rPr>
                <w:rFonts w:hint="default"/>
                <w:color w:val="auto"/>
                <w:highlight w:val="none"/>
                <w:lang w:val="en-US" w:eastAsia="zh-CN"/>
              </w:rPr>
              <w:t>三级</w:t>
            </w:r>
          </w:p>
        </w:tc>
        <w:tc>
          <w:tcPr>
            <w:tcW w:w="485" w:type="pct"/>
            <w:vAlign w:val="center"/>
          </w:tcPr>
          <w:p w14:paraId="726DC155">
            <w:pPr>
              <w:pStyle w:val="17"/>
              <w:bidi w:val="0"/>
              <w:rPr>
                <w:rFonts w:hint="default"/>
                <w:color w:val="auto"/>
                <w:highlight w:val="none"/>
                <w:lang w:val="en-US" w:eastAsia="zh-CN"/>
              </w:rPr>
            </w:pPr>
            <w:r>
              <w:rPr>
                <w:rFonts w:hint="default"/>
                <w:color w:val="auto"/>
                <w:highlight w:val="none"/>
                <w:lang w:val="en-US" w:eastAsia="zh-CN"/>
              </w:rPr>
              <w:t>三级</w:t>
            </w:r>
          </w:p>
        </w:tc>
        <w:tc>
          <w:tcPr>
            <w:tcW w:w="483" w:type="pct"/>
            <w:vAlign w:val="center"/>
          </w:tcPr>
          <w:p w14:paraId="5E8870DF">
            <w:pPr>
              <w:pStyle w:val="17"/>
              <w:bidi w:val="0"/>
              <w:rPr>
                <w:rFonts w:hint="default"/>
                <w:color w:val="auto"/>
                <w:highlight w:val="none"/>
                <w:lang w:val="en-US" w:eastAsia="zh-CN"/>
              </w:rPr>
            </w:pPr>
            <w:r>
              <w:rPr>
                <w:rFonts w:hint="default"/>
                <w:color w:val="auto"/>
                <w:highlight w:val="none"/>
                <w:lang w:val="en-US" w:eastAsia="zh-CN"/>
              </w:rPr>
              <w:t>三级</w:t>
            </w:r>
          </w:p>
        </w:tc>
        <w:tc>
          <w:tcPr>
            <w:tcW w:w="483" w:type="pct"/>
            <w:vAlign w:val="center"/>
          </w:tcPr>
          <w:p w14:paraId="69ED48F0">
            <w:pPr>
              <w:pStyle w:val="17"/>
              <w:bidi w:val="0"/>
              <w:rPr>
                <w:rFonts w:hint="default"/>
                <w:color w:val="auto"/>
                <w:highlight w:val="none"/>
                <w:lang w:val="en-US" w:eastAsia="zh-CN"/>
              </w:rPr>
            </w:pPr>
            <w:r>
              <w:rPr>
                <w:rFonts w:hint="default"/>
                <w:color w:val="auto"/>
                <w:highlight w:val="none"/>
                <w:lang w:val="en-US" w:eastAsia="zh-CN"/>
              </w:rPr>
              <w:t>-</w:t>
            </w:r>
          </w:p>
        </w:tc>
        <w:tc>
          <w:tcPr>
            <w:tcW w:w="487" w:type="pct"/>
            <w:vAlign w:val="center"/>
          </w:tcPr>
          <w:p w14:paraId="12698925">
            <w:pPr>
              <w:pStyle w:val="17"/>
              <w:bidi w:val="0"/>
              <w:rPr>
                <w:rFonts w:hint="default"/>
                <w:color w:val="auto"/>
                <w:highlight w:val="none"/>
                <w:lang w:val="en-US" w:eastAsia="zh-CN"/>
              </w:rPr>
            </w:pPr>
            <w:r>
              <w:rPr>
                <w:rFonts w:hint="default"/>
                <w:color w:val="auto"/>
                <w:highlight w:val="none"/>
                <w:lang w:val="en-US" w:eastAsia="zh-CN"/>
              </w:rPr>
              <w:t>-</w:t>
            </w:r>
          </w:p>
        </w:tc>
      </w:tr>
      <w:tr w14:paraId="7D0A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438ACFB1">
            <w:pPr>
              <w:pStyle w:val="17"/>
              <w:bidi w:val="0"/>
              <w:rPr>
                <w:rFonts w:hint="default"/>
                <w:color w:val="auto"/>
                <w:highlight w:val="none"/>
                <w:lang w:val="en-US" w:eastAsia="zh-CN"/>
              </w:rPr>
            </w:pPr>
            <w:r>
              <w:rPr>
                <w:rFonts w:hint="default"/>
                <w:color w:val="auto"/>
                <w:highlight w:val="none"/>
                <w:lang w:val="en-US" w:eastAsia="zh-CN"/>
              </w:rPr>
              <w:t>注：“－”表示可不开展土壤环境影响评价工作</w:t>
            </w:r>
          </w:p>
        </w:tc>
      </w:tr>
    </w:tbl>
    <w:p w14:paraId="54957F58">
      <w:pPr>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本项目区域土壤环境影响评价项目类别为</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 3 \* ROMAN \* MERGEFORMAT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lang w:eastAsia="zh-CN"/>
        </w:rPr>
        <w:t>Ⅲ</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类，本项目</w:t>
      </w:r>
      <w:r>
        <w:rPr>
          <w:rFonts w:hint="eastAsia" w:cs="Times New Roman"/>
          <w:color w:val="auto"/>
          <w:sz w:val="24"/>
          <w:szCs w:val="24"/>
          <w:highlight w:val="none"/>
          <w:lang w:val="en-US" w:eastAsia="zh-CN"/>
        </w:rPr>
        <w:t>采矿工程</w:t>
      </w:r>
      <w:r>
        <w:rPr>
          <w:rFonts w:hint="default" w:ascii="Times New Roman" w:hAnsi="Times New Roman" w:cs="Times New Roman"/>
          <w:color w:val="auto"/>
          <w:sz w:val="24"/>
          <w:szCs w:val="24"/>
          <w:highlight w:val="none"/>
        </w:rPr>
        <w:t>占地面积</w:t>
      </w:r>
      <w:r>
        <w:rPr>
          <w:rFonts w:hint="eastAsia" w:cs="Times New Roman"/>
          <w:color w:val="auto"/>
          <w:sz w:val="24"/>
          <w:szCs w:val="24"/>
          <w:highlight w:val="none"/>
          <w:lang w:val="en-US" w:eastAsia="zh-CN"/>
        </w:rPr>
        <w:t>29.4</w:t>
      </w:r>
      <w:r>
        <w:rPr>
          <w:rFonts w:hint="default" w:ascii="Times New Roman" w:hAnsi="Times New Roman" w:cs="Times New Roman"/>
          <w:color w:val="auto"/>
          <w:sz w:val="24"/>
          <w:szCs w:val="24"/>
          <w:highlight w:val="none"/>
        </w:rPr>
        <w:t>h</w:t>
      </w:r>
      <w:r>
        <w:rPr>
          <w:rFonts w:hint="default" w:ascii="Times New Roman" w:hAnsi="Times New Roman" w:cs="Times New Roman"/>
          <w:color w:val="auto"/>
          <w:kern w:val="0"/>
          <w:sz w:val="24"/>
          <w:szCs w:val="24"/>
          <w:highlight w:val="none"/>
        </w:rPr>
        <w:t>m</w:t>
      </w:r>
      <w:r>
        <w:rPr>
          <w:rFonts w:hint="default" w:ascii="Times New Roman" w:hAnsi="Times New Roman" w:cs="Times New Roman"/>
          <w:color w:val="auto"/>
          <w:kern w:val="0"/>
          <w:sz w:val="24"/>
          <w:szCs w:val="24"/>
          <w:highlight w:val="none"/>
          <w:vertAlign w:val="superscript"/>
        </w:rPr>
        <w:t>2</w:t>
      </w:r>
      <w:r>
        <w:rPr>
          <w:rFonts w:hint="eastAsia" w:cs="Times New Roman"/>
          <w:color w:val="auto"/>
          <w:sz w:val="24"/>
          <w:szCs w:val="24"/>
          <w:highlight w:val="none"/>
          <w:lang w:eastAsia="zh-CN"/>
        </w:rPr>
        <w:t>，</w:t>
      </w:r>
      <w:r>
        <w:rPr>
          <w:rFonts w:hint="default" w:ascii="Times New Roman" w:hAnsi="Times New Roman" w:cs="Times New Roman"/>
          <w:color w:val="auto"/>
          <w:kern w:val="0"/>
          <w:sz w:val="24"/>
          <w:szCs w:val="24"/>
          <w:highlight w:val="none"/>
        </w:rPr>
        <w:t>占地规模为</w:t>
      </w:r>
      <w:r>
        <w:rPr>
          <w:rFonts w:hint="eastAsia" w:cs="Times New Roman"/>
          <w:color w:val="auto"/>
          <w:kern w:val="0"/>
          <w:sz w:val="24"/>
          <w:szCs w:val="24"/>
          <w:highlight w:val="none"/>
          <w:lang w:val="en-US" w:eastAsia="zh-CN"/>
        </w:rPr>
        <w:t>中</w:t>
      </w:r>
      <w:r>
        <w:rPr>
          <w:rFonts w:hint="default" w:ascii="Times New Roman" w:hAnsi="Times New Roman" w:cs="Times New Roman"/>
          <w:color w:val="auto"/>
          <w:kern w:val="0"/>
          <w:sz w:val="24"/>
          <w:szCs w:val="24"/>
          <w:highlight w:val="none"/>
        </w:rPr>
        <w:t>型</w:t>
      </w:r>
      <w:r>
        <w:rPr>
          <w:rFonts w:hint="eastAsia" w:cs="Times New Roman"/>
          <w:color w:val="auto"/>
          <w:kern w:val="0"/>
          <w:sz w:val="24"/>
          <w:szCs w:val="24"/>
          <w:highlight w:val="none"/>
          <w:lang w:eastAsia="zh-CN"/>
        </w:rPr>
        <w:t>；</w:t>
      </w:r>
      <w:r>
        <w:rPr>
          <w:rFonts w:hint="eastAsia" w:cs="Times New Roman"/>
          <w:color w:val="auto"/>
          <w:sz w:val="24"/>
          <w:szCs w:val="24"/>
          <w:highlight w:val="none"/>
          <w:lang w:val="en-US" w:eastAsia="zh-CN"/>
        </w:rPr>
        <w:t>选矿工程占地40.94</w:t>
      </w:r>
      <w:r>
        <w:rPr>
          <w:rFonts w:hint="default" w:ascii="Times New Roman" w:hAnsi="Times New Roman" w:cs="Times New Roman"/>
          <w:color w:val="auto"/>
          <w:sz w:val="24"/>
          <w:szCs w:val="24"/>
          <w:highlight w:val="none"/>
        </w:rPr>
        <w:t>h</w:t>
      </w:r>
      <w:r>
        <w:rPr>
          <w:rFonts w:hint="default" w:ascii="Times New Roman" w:hAnsi="Times New Roman" w:cs="Times New Roman"/>
          <w:color w:val="auto"/>
          <w:kern w:val="0"/>
          <w:sz w:val="24"/>
          <w:szCs w:val="24"/>
          <w:highlight w:val="none"/>
        </w:rPr>
        <w:t>m</w:t>
      </w:r>
      <w:r>
        <w:rPr>
          <w:rFonts w:hint="default" w:ascii="Times New Roman" w:hAnsi="Times New Roman" w:cs="Times New Roman"/>
          <w:color w:val="auto"/>
          <w:kern w:val="0"/>
          <w:sz w:val="24"/>
          <w:szCs w:val="24"/>
          <w:highlight w:val="none"/>
          <w:vertAlign w:val="superscript"/>
        </w:rPr>
        <w:t>2</w:t>
      </w:r>
      <w:r>
        <w:rPr>
          <w:rFonts w:hint="default" w:ascii="Times New Roman" w:hAnsi="Times New Roman" w:cs="Times New Roman"/>
          <w:color w:val="auto"/>
          <w:kern w:val="0"/>
          <w:sz w:val="24"/>
          <w:szCs w:val="24"/>
          <w:highlight w:val="none"/>
        </w:rPr>
        <w:t>，占地规模为</w:t>
      </w:r>
      <w:r>
        <w:rPr>
          <w:rFonts w:hint="eastAsia" w:cs="Times New Roman"/>
          <w:color w:val="auto"/>
          <w:kern w:val="0"/>
          <w:sz w:val="24"/>
          <w:szCs w:val="24"/>
          <w:highlight w:val="none"/>
          <w:lang w:val="en-US" w:eastAsia="zh-CN"/>
        </w:rPr>
        <w:t>中</w:t>
      </w:r>
      <w:r>
        <w:rPr>
          <w:rFonts w:hint="default" w:ascii="Times New Roman" w:hAnsi="Times New Roman" w:cs="Times New Roman"/>
          <w:color w:val="auto"/>
          <w:kern w:val="0"/>
          <w:sz w:val="24"/>
          <w:szCs w:val="24"/>
          <w:highlight w:val="none"/>
        </w:rPr>
        <w:t>型</w:t>
      </w:r>
      <w:r>
        <w:rPr>
          <w:rFonts w:hint="eastAsia"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lang w:eastAsia="zh-CN"/>
        </w:rPr>
        <w:t>尾矿库</w:t>
      </w:r>
      <w:r>
        <w:rPr>
          <w:rFonts w:hint="default" w:ascii="Times New Roman" w:hAnsi="Times New Roman" w:cs="Times New Roman"/>
          <w:color w:val="auto"/>
          <w:sz w:val="24"/>
          <w:szCs w:val="24"/>
          <w:highlight w:val="none"/>
        </w:rPr>
        <w:t>占地面积</w:t>
      </w:r>
      <w:r>
        <w:rPr>
          <w:rFonts w:hint="default" w:ascii="Times New Roman" w:hAnsi="Times New Roman" w:cs="Times New Roman"/>
          <w:color w:val="auto"/>
          <w:sz w:val="24"/>
          <w:szCs w:val="24"/>
          <w:highlight w:val="none"/>
          <w:lang w:val="en-US" w:eastAsia="zh-CN"/>
        </w:rPr>
        <w:t>78</w:t>
      </w:r>
      <w:r>
        <w:rPr>
          <w:rFonts w:hint="default" w:ascii="Times New Roman" w:hAnsi="Times New Roman" w:cs="Times New Roman"/>
          <w:color w:val="auto"/>
          <w:sz w:val="24"/>
          <w:szCs w:val="24"/>
          <w:highlight w:val="none"/>
        </w:rPr>
        <w:t>h</w:t>
      </w:r>
      <w:r>
        <w:rPr>
          <w:rFonts w:hint="default" w:ascii="Times New Roman" w:hAnsi="Times New Roman" w:cs="Times New Roman"/>
          <w:color w:val="auto"/>
          <w:kern w:val="0"/>
          <w:sz w:val="24"/>
          <w:szCs w:val="24"/>
          <w:highlight w:val="none"/>
        </w:rPr>
        <w:t>m</w:t>
      </w:r>
      <w:r>
        <w:rPr>
          <w:rFonts w:hint="default" w:ascii="Times New Roman" w:hAnsi="Times New Roman" w:cs="Times New Roman"/>
          <w:color w:val="auto"/>
          <w:kern w:val="0"/>
          <w:sz w:val="24"/>
          <w:szCs w:val="24"/>
          <w:highlight w:val="none"/>
          <w:vertAlign w:val="superscript"/>
        </w:rPr>
        <w:t>2</w:t>
      </w:r>
      <w:r>
        <w:rPr>
          <w:rFonts w:hint="default" w:ascii="Times New Roman" w:hAnsi="Times New Roman" w:cs="Times New Roman"/>
          <w:color w:val="auto"/>
          <w:kern w:val="0"/>
          <w:sz w:val="24"/>
          <w:szCs w:val="24"/>
          <w:highlight w:val="none"/>
        </w:rPr>
        <w:t>，占地规模为大型。</w:t>
      </w:r>
      <w:r>
        <w:rPr>
          <w:rFonts w:hint="default" w:ascii="Times New Roman" w:hAnsi="Times New Roman" w:cs="Times New Roman"/>
          <w:color w:val="auto"/>
          <w:sz w:val="24"/>
          <w:szCs w:val="24"/>
          <w:highlight w:val="none"/>
          <w:lang w:val="en-US" w:eastAsia="zh-CN"/>
        </w:rPr>
        <w:t>项目周边无耕地园地、饮用水水源地或居民区、学校、医院、疗养院、养老院及其他土壤环境敏感目标，属于不敏感。</w:t>
      </w:r>
      <w:r>
        <w:rPr>
          <w:rFonts w:hint="default" w:ascii="Times New Roman" w:hAnsi="Times New Roman" w:cs="Times New Roman"/>
          <w:color w:val="auto"/>
          <w:sz w:val="24"/>
          <w:szCs w:val="24"/>
          <w:highlight w:val="none"/>
        </w:rPr>
        <w:t>因此，确定本项目</w:t>
      </w:r>
      <w:r>
        <w:rPr>
          <w:rFonts w:hint="eastAsia" w:cs="Times New Roman"/>
          <w:color w:val="auto"/>
          <w:sz w:val="24"/>
          <w:szCs w:val="24"/>
          <w:highlight w:val="none"/>
          <w:lang w:val="en-US" w:eastAsia="zh-CN"/>
        </w:rPr>
        <w:t>采矿区、</w:t>
      </w:r>
      <w:r>
        <w:rPr>
          <w:rFonts w:hint="default" w:ascii="Times New Roman" w:hAnsi="Times New Roman" w:cs="Times New Roman"/>
          <w:color w:val="auto"/>
          <w:sz w:val="24"/>
          <w:szCs w:val="24"/>
          <w:highlight w:val="none"/>
          <w:lang w:eastAsia="zh-CN"/>
        </w:rPr>
        <w:t>选矿厂和尾矿库</w:t>
      </w:r>
      <w:r>
        <w:rPr>
          <w:rFonts w:hint="default" w:ascii="Times New Roman" w:hAnsi="Times New Roman" w:cs="Times New Roman"/>
          <w:color w:val="auto"/>
          <w:sz w:val="24"/>
          <w:szCs w:val="24"/>
          <w:highlight w:val="none"/>
        </w:rPr>
        <w:t>土壤环境影响评价等级</w:t>
      </w:r>
      <w:r>
        <w:rPr>
          <w:rFonts w:hint="default" w:ascii="Times New Roman" w:hAnsi="Times New Roman" w:cs="Times New Roman"/>
          <w:color w:val="auto"/>
          <w:sz w:val="24"/>
          <w:szCs w:val="24"/>
          <w:highlight w:val="none"/>
          <w:lang w:eastAsia="zh-CN"/>
        </w:rPr>
        <w:t>均</w:t>
      </w:r>
      <w:r>
        <w:rPr>
          <w:rFonts w:hint="default" w:ascii="Times New Roman" w:hAnsi="Times New Roman" w:cs="Times New Roman"/>
          <w:color w:val="auto"/>
          <w:sz w:val="24"/>
          <w:szCs w:val="24"/>
          <w:highlight w:val="none"/>
        </w:rPr>
        <w:t>为</w:t>
      </w:r>
      <w:r>
        <w:rPr>
          <w:rFonts w:hint="default" w:ascii="Times New Roman" w:hAnsi="Times New Roman" w:cs="Times New Roman"/>
          <w:color w:val="auto"/>
          <w:sz w:val="24"/>
          <w:szCs w:val="24"/>
          <w:highlight w:val="none"/>
          <w:lang w:eastAsia="zh-CN"/>
        </w:rPr>
        <w:t>三</w:t>
      </w:r>
      <w:r>
        <w:rPr>
          <w:rFonts w:hint="default" w:ascii="Times New Roman" w:hAnsi="Times New Roman" w:cs="Times New Roman"/>
          <w:color w:val="auto"/>
          <w:sz w:val="24"/>
          <w:szCs w:val="24"/>
          <w:highlight w:val="none"/>
        </w:rPr>
        <w:t>级。</w:t>
      </w:r>
    </w:p>
    <w:p w14:paraId="027991C2">
      <w:pPr>
        <w:bidi w:val="0"/>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4）评价范围</w:t>
      </w:r>
    </w:p>
    <w:p w14:paraId="7673231E">
      <w:pPr>
        <w:bidi w:val="0"/>
        <w:rPr>
          <w:rFonts w:hint="eastAsia" w:ascii="Times New Roman" w:hAnsi="Times New Roman" w:eastAsia="宋体" w:cs="Times New Roman"/>
          <w:color w:val="auto"/>
          <w:sz w:val="24"/>
          <w:szCs w:val="24"/>
          <w:highlight w:val="none"/>
          <w:lang w:val="en-US" w:eastAsia="zh-CN"/>
        </w:rPr>
      </w:pPr>
      <w:r>
        <w:rPr>
          <w:color w:val="auto"/>
          <w:highlight w:val="none"/>
        </w:rPr>
        <w:t>评价范围为项目</w:t>
      </w:r>
      <w:r>
        <w:rPr>
          <w:rFonts w:hint="eastAsia"/>
          <w:color w:val="auto"/>
          <w:highlight w:val="none"/>
          <w:lang w:val="en-US" w:eastAsia="zh-CN"/>
        </w:rPr>
        <w:t>矿区外延1km范围，选矿厂</w:t>
      </w:r>
      <w:r>
        <w:rPr>
          <w:color w:val="auto"/>
          <w:highlight w:val="none"/>
        </w:rPr>
        <w:t>及</w:t>
      </w:r>
      <w:r>
        <w:rPr>
          <w:rFonts w:hint="eastAsia"/>
          <w:color w:val="auto"/>
          <w:highlight w:val="none"/>
          <w:lang w:val="en-US" w:eastAsia="zh-CN"/>
        </w:rPr>
        <w:t>尾矿库边界</w:t>
      </w:r>
      <w:r>
        <w:rPr>
          <w:color w:val="auto"/>
          <w:highlight w:val="none"/>
        </w:rPr>
        <w:t>外</w:t>
      </w:r>
      <w:r>
        <w:rPr>
          <w:rFonts w:hint="eastAsia"/>
          <w:color w:val="auto"/>
          <w:highlight w:val="none"/>
          <w:lang w:val="en-US" w:eastAsia="zh-CN"/>
        </w:rPr>
        <w:t>延0.05</w:t>
      </w:r>
      <w:r>
        <w:rPr>
          <w:color w:val="auto"/>
          <w:highlight w:val="none"/>
        </w:rPr>
        <w:t>km范围</w:t>
      </w:r>
      <w:r>
        <w:rPr>
          <w:rFonts w:hint="eastAsia"/>
          <w:color w:val="auto"/>
          <w:highlight w:val="none"/>
          <w:lang w:eastAsia="zh-CN"/>
        </w:rPr>
        <w:t>。</w:t>
      </w:r>
    </w:p>
    <w:p w14:paraId="682E0314">
      <w:pPr>
        <w:pStyle w:val="6"/>
        <w:bidi w:val="0"/>
        <w:rPr>
          <w:rFonts w:hint="default" w:eastAsia="宋体"/>
          <w:color w:val="auto"/>
          <w:highlight w:val="none"/>
          <w:lang w:val="en-US" w:eastAsia="zh-CN"/>
        </w:rPr>
      </w:pPr>
      <w:r>
        <w:rPr>
          <w:rFonts w:hint="default"/>
          <w:color w:val="auto"/>
          <w:highlight w:val="none"/>
        </w:rPr>
        <w:t>2.6.6生态环境影响评价等级</w:t>
      </w:r>
      <w:r>
        <w:rPr>
          <w:rFonts w:hint="eastAsia"/>
          <w:color w:val="auto"/>
          <w:highlight w:val="none"/>
          <w:lang w:val="en-US" w:eastAsia="zh-CN"/>
        </w:rPr>
        <w:t>及评价范围</w:t>
      </w:r>
    </w:p>
    <w:p w14:paraId="3DA7D8C7">
      <w:pPr>
        <w:overflowPunct w:val="0"/>
        <w:topLinePunct/>
        <w:ind w:firstLine="480"/>
        <w:rPr>
          <w:rFonts w:hint="default" w:ascii="Times New Roman" w:hAnsi="Times New Roman" w:eastAsia="宋体" w:cs="Times New Roman"/>
          <w:color w:val="auto"/>
          <w:highlight w:val="none"/>
          <w:lang w:val="en-US" w:eastAsia="zh-CN"/>
        </w:rPr>
      </w:pPr>
      <w:r>
        <w:rPr>
          <w:rFonts w:hint="eastAsia" w:cs="Times New Roman"/>
          <w:color w:val="auto"/>
          <w:highlight w:val="none"/>
          <w:lang w:eastAsia="zh-CN"/>
        </w:rPr>
        <w:t>（</w:t>
      </w:r>
      <w:r>
        <w:rPr>
          <w:rFonts w:hint="eastAsia" w:cs="Times New Roman"/>
          <w:color w:val="auto"/>
          <w:highlight w:val="none"/>
          <w:lang w:val="en-US" w:eastAsia="zh-CN"/>
        </w:rPr>
        <w:t>1）评价等级</w:t>
      </w:r>
    </w:p>
    <w:p w14:paraId="1BC3F49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本项目生态影响评价等级判定情况见表2.6-1</w:t>
      </w:r>
      <w:r>
        <w:rPr>
          <w:rFonts w:hint="eastAsia" w:cs="Times New Roman"/>
          <w:color w:val="auto"/>
          <w:highlight w:val="none"/>
          <w:lang w:val="en-US" w:eastAsia="zh-CN"/>
        </w:rPr>
        <w:t>2</w:t>
      </w:r>
      <w:r>
        <w:rPr>
          <w:rFonts w:hint="default" w:ascii="Times New Roman" w:hAnsi="Times New Roman" w:cs="Times New Roman"/>
          <w:color w:val="auto"/>
          <w:highlight w:val="none"/>
        </w:rPr>
        <w:t>。</w:t>
      </w:r>
    </w:p>
    <w:p w14:paraId="27A19F1F">
      <w:pPr>
        <w:pStyle w:val="1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表2.6-1</w:t>
      </w:r>
      <w:r>
        <w:rPr>
          <w:rFonts w:hint="eastAsia" w:cs="Times New Roman"/>
          <w:color w:val="auto"/>
          <w:highlight w:val="none"/>
          <w:lang w:val="en-US" w:eastAsia="zh-CN"/>
        </w:rPr>
        <w:t>2</w:t>
      </w:r>
      <w:r>
        <w:rPr>
          <w:rFonts w:hint="default" w:ascii="Times New Roman" w:hAnsi="Times New Roman" w:cs="Times New Roman"/>
          <w:color w:val="auto"/>
          <w:highlight w:val="none"/>
        </w:rPr>
        <w:t xml:space="preserve">    本项目生态影响评价等级判定表</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4915"/>
        <w:gridCol w:w="2035"/>
      </w:tblGrid>
      <w:tr w14:paraId="3930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572" w:type="dxa"/>
            <w:tcBorders>
              <w:tl2br w:val="nil"/>
              <w:tr2bl w:val="nil"/>
            </w:tcBorders>
            <w:shd w:val="clear" w:color="auto" w:fill="auto"/>
            <w:vAlign w:val="center"/>
          </w:tcPr>
          <w:p w14:paraId="7DEF0480">
            <w:pPr>
              <w:spacing w:before="0" w:beforeAutospacing="0" w:line="360" w:lineRule="exact"/>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判定依据</w:t>
            </w:r>
          </w:p>
        </w:tc>
        <w:tc>
          <w:tcPr>
            <w:tcW w:w="4915" w:type="dxa"/>
            <w:tcBorders>
              <w:tl2br w:val="nil"/>
              <w:tr2bl w:val="nil"/>
            </w:tcBorders>
            <w:shd w:val="clear" w:color="auto" w:fill="auto"/>
            <w:vAlign w:val="center"/>
          </w:tcPr>
          <w:p w14:paraId="20FCA2AA">
            <w:pPr>
              <w:spacing w:before="0" w:beforeAutospacing="0" w:line="360" w:lineRule="exact"/>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生态影响评价等级判定原则</w:t>
            </w:r>
          </w:p>
        </w:tc>
        <w:tc>
          <w:tcPr>
            <w:tcW w:w="2035" w:type="dxa"/>
            <w:tcBorders>
              <w:tl2br w:val="nil"/>
              <w:tr2bl w:val="nil"/>
            </w:tcBorders>
            <w:shd w:val="clear" w:color="auto" w:fill="auto"/>
            <w:vAlign w:val="center"/>
          </w:tcPr>
          <w:p w14:paraId="4C9443A7">
            <w:pPr>
              <w:spacing w:before="0" w:beforeAutospacing="0" w:line="360" w:lineRule="exact"/>
              <w:ind w:firstLine="0" w:firstLineChars="0"/>
              <w:jc w:val="center"/>
              <w:rPr>
                <w:rFonts w:hint="default" w:ascii="Times New Roman" w:hAnsi="Times New Roman" w:cs="Times New Roman"/>
                <w:b/>
                <w:bCs/>
                <w:color w:val="auto"/>
                <w:spacing w:val="-1"/>
                <w:sz w:val="21"/>
                <w:szCs w:val="21"/>
                <w:highlight w:val="none"/>
              </w:rPr>
            </w:pPr>
            <w:r>
              <w:rPr>
                <w:rFonts w:hint="default" w:ascii="Times New Roman" w:hAnsi="Times New Roman" w:cs="Times New Roman"/>
                <w:b/>
                <w:bCs/>
                <w:color w:val="auto"/>
                <w:spacing w:val="-1"/>
                <w:sz w:val="21"/>
                <w:szCs w:val="21"/>
                <w:highlight w:val="none"/>
              </w:rPr>
              <w:t>本项目情况</w:t>
            </w:r>
          </w:p>
        </w:tc>
      </w:tr>
      <w:tr w14:paraId="7577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2" w:type="dxa"/>
            <w:vMerge w:val="restart"/>
            <w:tcBorders>
              <w:tl2br w:val="nil"/>
              <w:tr2bl w:val="nil"/>
            </w:tcBorders>
            <w:shd w:val="clear" w:color="auto" w:fill="auto"/>
            <w:vAlign w:val="center"/>
          </w:tcPr>
          <w:p w14:paraId="19E37F20">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z w:val="21"/>
                <w:szCs w:val="24"/>
                <w:highlight w:val="none"/>
              </w:rPr>
              <w:t>《环境影响评价技术导则 生态环境》（HJ19-2022）</w:t>
            </w:r>
          </w:p>
        </w:tc>
        <w:tc>
          <w:tcPr>
            <w:tcW w:w="4915" w:type="dxa"/>
            <w:tcBorders>
              <w:tl2br w:val="nil"/>
              <w:tr2bl w:val="nil"/>
            </w:tcBorders>
            <w:shd w:val="clear" w:color="auto" w:fill="auto"/>
            <w:vAlign w:val="center"/>
          </w:tcPr>
          <w:p w14:paraId="3B72EB53">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eastAsia" w:ascii="Times New Roman" w:hAnsi="Times New Roman" w:cs="Times New Roman"/>
                <w:color w:val="auto"/>
                <w:spacing w:val="-1"/>
                <w:sz w:val="21"/>
                <w:szCs w:val="21"/>
                <w:highlight w:val="none"/>
                <w:lang w:eastAsia="zh-CN"/>
              </w:rPr>
              <w:t>a.</w:t>
            </w:r>
            <w:r>
              <w:rPr>
                <w:rFonts w:hint="default" w:ascii="Times New Roman" w:hAnsi="Times New Roman" w:cs="Times New Roman"/>
                <w:color w:val="auto"/>
                <w:spacing w:val="-1"/>
                <w:sz w:val="21"/>
                <w:szCs w:val="21"/>
                <w:highlight w:val="none"/>
              </w:rPr>
              <w:t>涉及国家公园、自然保护区、世界自然遗产、重要生境时，评价等级为一级</w:t>
            </w:r>
          </w:p>
        </w:tc>
        <w:tc>
          <w:tcPr>
            <w:tcW w:w="2035" w:type="dxa"/>
            <w:tcBorders>
              <w:tl2br w:val="nil"/>
              <w:tr2bl w:val="nil"/>
            </w:tcBorders>
            <w:shd w:val="clear" w:color="auto" w:fill="auto"/>
            <w:vAlign w:val="center"/>
          </w:tcPr>
          <w:p w14:paraId="7E5DE1C7">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不涉及</w:t>
            </w:r>
          </w:p>
        </w:tc>
      </w:tr>
      <w:tr w14:paraId="00EA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2" w:type="dxa"/>
            <w:vMerge w:val="continue"/>
            <w:tcBorders>
              <w:tl2br w:val="nil"/>
              <w:tr2bl w:val="nil"/>
            </w:tcBorders>
            <w:shd w:val="clear" w:color="auto" w:fill="auto"/>
            <w:vAlign w:val="center"/>
          </w:tcPr>
          <w:p w14:paraId="73A72A8A">
            <w:pPr>
              <w:spacing w:before="0" w:beforeAutospacing="0" w:line="360" w:lineRule="exact"/>
              <w:ind w:firstLine="0" w:firstLineChars="0"/>
              <w:jc w:val="center"/>
              <w:rPr>
                <w:rFonts w:hint="default" w:ascii="Times New Roman" w:hAnsi="Times New Roman" w:cs="Times New Roman"/>
                <w:color w:val="auto"/>
                <w:sz w:val="21"/>
                <w:szCs w:val="24"/>
                <w:highlight w:val="none"/>
              </w:rPr>
            </w:pPr>
          </w:p>
        </w:tc>
        <w:tc>
          <w:tcPr>
            <w:tcW w:w="4915" w:type="dxa"/>
            <w:tcBorders>
              <w:tl2br w:val="nil"/>
              <w:tr2bl w:val="nil"/>
            </w:tcBorders>
            <w:shd w:val="clear" w:color="auto" w:fill="auto"/>
            <w:vAlign w:val="center"/>
          </w:tcPr>
          <w:p w14:paraId="63203361">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eastAsia" w:ascii="Times New Roman" w:hAnsi="Times New Roman" w:cs="Times New Roman"/>
                <w:color w:val="auto"/>
                <w:spacing w:val="-1"/>
                <w:sz w:val="21"/>
                <w:szCs w:val="21"/>
                <w:highlight w:val="none"/>
                <w:lang w:eastAsia="zh-CN"/>
              </w:rPr>
              <w:t>b.</w:t>
            </w:r>
            <w:r>
              <w:rPr>
                <w:rFonts w:hint="default" w:ascii="Times New Roman" w:hAnsi="Times New Roman" w:cs="Times New Roman"/>
                <w:color w:val="auto"/>
                <w:spacing w:val="-1"/>
                <w:sz w:val="21"/>
                <w:szCs w:val="21"/>
                <w:highlight w:val="none"/>
              </w:rPr>
              <w:t>涉及自然公园时，评价等级为二级</w:t>
            </w:r>
          </w:p>
        </w:tc>
        <w:tc>
          <w:tcPr>
            <w:tcW w:w="2035" w:type="dxa"/>
            <w:tcBorders>
              <w:tl2br w:val="nil"/>
              <w:tr2bl w:val="nil"/>
            </w:tcBorders>
            <w:shd w:val="clear" w:color="auto" w:fill="auto"/>
            <w:vAlign w:val="center"/>
          </w:tcPr>
          <w:p w14:paraId="11B6D508">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不涉及</w:t>
            </w:r>
          </w:p>
        </w:tc>
      </w:tr>
      <w:tr w14:paraId="1E52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2" w:type="dxa"/>
            <w:vMerge w:val="continue"/>
            <w:tcBorders>
              <w:tl2br w:val="nil"/>
              <w:tr2bl w:val="nil"/>
            </w:tcBorders>
            <w:shd w:val="clear" w:color="auto" w:fill="auto"/>
            <w:vAlign w:val="center"/>
          </w:tcPr>
          <w:p w14:paraId="72F4A7F7">
            <w:pPr>
              <w:spacing w:before="0" w:beforeAutospacing="0" w:line="360" w:lineRule="exact"/>
              <w:ind w:firstLine="0" w:firstLineChars="0"/>
              <w:jc w:val="center"/>
              <w:rPr>
                <w:rFonts w:hint="default" w:ascii="Times New Roman" w:hAnsi="Times New Roman" w:cs="Times New Roman"/>
                <w:color w:val="auto"/>
                <w:sz w:val="21"/>
                <w:szCs w:val="24"/>
                <w:highlight w:val="none"/>
              </w:rPr>
            </w:pPr>
          </w:p>
        </w:tc>
        <w:tc>
          <w:tcPr>
            <w:tcW w:w="4915" w:type="dxa"/>
            <w:tcBorders>
              <w:tl2br w:val="nil"/>
              <w:tr2bl w:val="nil"/>
            </w:tcBorders>
            <w:shd w:val="clear" w:color="auto" w:fill="auto"/>
            <w:vAlign w:val="center"/>
          </w:tcPr>
          <w:p w14:paraId="42C99C51">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eastAsia" w:ascii="Times New Roman" w:hAnsi="Times New Roman" w:cs="Times New Roman"/>
                <w:color w:val="auto"/>
                <w:spacing w:val="-1"/>
                <w:sz w:val="21"/>
                <w:szCs w:val="21"/>
                <w:highlight w:val="none"/>
                <w:lang w:eastAsia="zh-CN"/>
              </w:rPr>
              <w:t>c.</w:t>
            </w:r>
            <w:r>
              <w:rPr>
                <w:rFonts w:hint="default" w:ascii="Times New Roman" w:hAnsi="Times New Roman" w:cs="Times New Roman"/>
                <w:color w:val="auto"/>
                <w:spacing w:val="-1"/>
                <w:sz w:val="21"/>
                <w:szCs w:val="21"/>
                <w:highlight w:val="none"/>
              </w:rPr>
              <w:t>涉及生态保护红线时，评价等级不低于二级</w:t>
            </w:r>
          </w:p>
        </w:tc>
        <w:tc>
          <w:tcPr>
            <w:tcW w:w="2035" w:type="dxa"/>
            <w:tcBorders>
              <w:tl2br w:val="nil"/>
              <w:tr2bl w:val="nil"/>
            </w:tcBorders>
            <w:shd w:val="clear" w:color="auto" w:fill="auto"/>
            <w:vAlign w:val="center"/>
          </w:tcPr>
          <w:p w14:paraId="7B200C48">
            <w:pPr>
              <w:spacing w:before="0" w:beforeAutospacing="0" w:line="360" w:lineRule="exact"/>
              <w:ind w:firstLine="0" w:firstLineChars="0"/>
              <w:jc w:val="center"/>
              <w:rPr>
                <w:rFonts w:hint="default" w:ascii="Times New Roman" w:hAnsi="Times New Roman" w:cs="Times New Roman"/>
                <w:b/>
                <w:color w:val="auto"/>
                <w:spacing w:val="-1"/>
                <w:sz w:val="21"/>
                <w:szCs w:val="21"/>
                <w:highlight w:val="none"/>
              </w:rPr>
            </w:pPr>
            <w:r>
              <w:rPr>
                <w:rFonts w:hint="default" w:ascii="Times New Roman" w:hAnsi="Times New Roman" w:cs="Times New Roman"/>
                <w:color w:val="auto"/>
                <w:spacing w:val="-1"/>
                <w:sz w:val="21"/>
                <w:szCs w:val="21"/>
                <w:highlight w:val="none"/>
              </w:rPr>
              <w:t>不涉及</w:t>
            </w:r>
          </w:p>
        </w:tc>
      </w:tr>
      <w:tr w14:paraId="0FA7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2" w:type="dxa"/>
            <w:vMerge w:val="continue"/>
            <w:tcBorders>
              <w:tl2br w:val="nil"/>
              <w:tr2bl w:val="nil"/>
            </w:tcBorders>
            <w:shd w:val="clear" w:color="auto" w:fill="auto"/>
            <w:vAlign w:val="center"/>
          </w:tcPr>
          <w:p w14:paraId="3922D31E">
            <w:pPr>
              <w:spacing w:before="0" w:beforeAutospacing="0" w:line="360" w:lineRule="exact"/>
              <w:ind w:firstLine="0" w:firstLineChars="0"/>
              <w:jc w:val="center"/>
              <w:rPr>
                <w:rFonts w:hint="default" w:ascii="Times New Roman" w:hAnsi="Times New Roman" w:cs="Times New Roman"/>
                <w:color w:val="auto"/>
                <w:sz w:val="21"/>
                <w:szCs w:val="24"/>
                <w:highlight w:val="none"/>
              </w:rPr>
            </w:pPr>
          </w:p>
        </w:tc>
        <w:tc>
          <w:tcPr>
            <w:tcW w:w="4915" w:type="dxa"/>
            <w:tcBorders>
              <w:tl2br w:val="nil"/>
              <w:tr2bl w:val="nil"/>
            </w:tcBorders>
            <w:shd w:val="clear" w:color="auto" w:fill="auto"/>
            <w:vAlign w:val="center"/>
          </w:tcPr>
          <w:p w14:paraId="1ECA123C">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eastAsia" w:ascii="Times New Roman" w:hAnsi="Times New Roman" w:cs="Times New Roman"/>
                <w:color w:val="auto"/>
                <w:spacing w:val="-1"/>
                <w:sz w:val="21"/>
                <w:szCs w:val="21"/>
                <w:highlight w:val="none"/>
                <w:lang w:eastAsia="zh-CN"/>
              </w:rPr>
              <w:t>d.</w:t>
            </w:r>
            <w:r>
              <w:rPr>
                <w:rFonts w:hint="default" w:ascii="Times New Roman" w:hAnsi="Times New Roman" w:cs="Times New Roman"/>
                <w:color w:val="auto"/>
                <w:spacing w:val="-1"/>
                <w:sz w:val="21"/>
                <w:szCs w:val="21"/>
                <w:highlight w:val="none"/>
              </w:rPr>
              <w:t>根据HJ2.3判断属于水文要素影响型且地表水评价等级不低于二级的建设项目，生态影响评价等级不低于二级</w:t>
            </w:r>
          </w:p>
        </w:tc>
        <w:tc>
          <w:tcPr>
            <w:tcW w:w="2035" w:type="dxa"/>
            <w:tcBorders>
              <w:tl2br w:val="nil"/>
              <w:tr2bl w:val="nil"/>
            </w:tcBorders>
            <w:shd w:val="clear" w:color="auto" w:fill="auto"/>
            <w:vAlign w:val="center"/>
          </w:tcPr>
          <w:p w14:paraId="4378D076">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本项目不属于水文要素影响型项目，地表水评价等级为三级B</w:t>
            </w:r>
          </w:p>
        </w:tc>
      </w:tr>
      <w:tr w14:paraId="733F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2" w:type="dxa"/>
            <w:vMerge w:val="continue"/>
            <w:tcBorders>
              <w:tl2br w:val="nil"/>
              <w:tr2bl w:val="nil"/>
            </w:tcBorders>
            <w:shd w:val="clear" w:color="auto" w:fill="auto"/>
            <w:vAlign w:val="center"/>
          </w:tcPr>
          <w:p w14:paraId="32D94AA5">
            <w:pPr>
              <w:spacing w:before="0" w:beforeAutospacing="0" w:line="360" w:lineRule="exact"/>
              <w:ind w:firstLine="0" w:firstLineChars="0"/>
              <w:jc w:val="center"/>
              <w:rPr>
                <w:rFonts w:hint="default" w:ascii="Times New Roman" w:hAnsi="Times New Roman" w:cs="Times New Roman"/>
                <w:color w:val="auto"/>
                <w:sz w:val="21"/>
                <w:szCs w:val="24"/>
                <w:highlight w:val="none"/>
              </w:rPr>
            </w:pPr>
          </w:p>
        </w:tc>
        <w:tc>
          <w:tcPr>
            <w:tcW w:w="4915" w:type="dxa"/>
            <w:tcBorders>
              <w:tl2br w:val="nil"/>
              <w:tr2bl w:val="nil"/>
            </w:tcBorders>
            <w:shd w:val="clear" w:color="auto" w:fill="auto"/>
            <w:vAlign w:val="center"/>
          </w:tcPr>
          <w:p w14:paraId="70FE175E">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eastAsia" w:ascii="Times New Roman" w:hAnsi="Times New Roman" w:cs="Times New Roman"/>
                <w:color w:val="auto"/>
                <w:spacing w:val="-1"/>
                <w:sz w:val="21"/>
                <w:szCs w:val="21"/>
                <w:highlight w:val="none"/>
                <w:lang w:eastAsia="zh-CN"/>
              </w:rPr>
              <w:t>e.</w:t>
            </w:r>
            <w:r>
              <w:rPr>
                <w:rFonts w:hint="default" w:ascii="Times New Roman" w:hAnsi="Times New Roman" w:cs="Times New Roman"/>
                <w:color w:val="auto"/>
                <w:spacing w:val="-1"/>
                <w:sz w:val="21"/>
                <w:szCs w:val="21"/>
                <w:highlight w:val="none"/>
              </w:rPr>
              <w:t>根据HJ610、HJ964判断地下水水位或土壤影响范围内分布有天然林、公益林、湿地等生态保护目标的建设项目，生态影响评价等级不低于二级</w:t>
            </w:r>
          </w:p>
        </w:tc>
        <w:tc>
          <w:tcPr>
            <w:tcW w:w="2035" w:type="dxa"/>
            <w:tcBorders>
              <w:tl2br w:val="nil"/>
              <w:tr2bl w:val="nil"/>
            </w:tcBorders>
            <w:shd w:val="clear" w:color="auto" w:fill="auto"/>
            <w:vAlign w:val="center"/>
          </w:tcPr>
          <w:p w14:paraId="17C64C99">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不涉及</w:t>
            </w:r>
          </w:p>
        </w:tc>
      </w:tr>
      <w:tr w14:paraId="47D0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2" w:type="dxa"/>
            <w:vMerge w:val="continue"/>
            <w:tcBorders>
              <w:tl2br w:val="nil"/>
              <w:tr2bl w:val="nil"/>
            </w:tcBorders>
            <w:shd w:val="clear" w:color="auto" w:fill="auto"/>
            <w:vAlign w:val="center"/>
          </w:tcPr>
          <w:p w14:paraId="253DC6D4">
            <w:pPr>
              <w:spacing w:before="0" w:beforeAutospacing="0" w:line="360" w:lineRule="exact"/>
              <w:ind w:firstLine="0" w:firstLineChars="0"/>
              <w:jc w:val="center"/>
              <w:rPr>
                <w:rFonts w:hint="default" w:ascii="Times New Roman" w:hAnsi="Times New Roman" w:cs="Times New Roman"/>
                <w:color w:val="auto"/>
                <w:sz w:val="21"/>
                <w:szCs w:val="24"/>
                <w:highlight w:val="none"/>
              </w:rPr>
            </w:pPr>
          </w:p>
        </w:tc>
        <w:tc>
          <w:tcPr>
            <w:tcW w:w="4915" w:type="dxa"/>
            <w:tcBorders>
              <w:tl2br w:val="nil"/>
              <w:tr2bl w:val="nil"/>
            </w:tcBorders>
            <w:shd w:val="clear" w:color="auto" w:fill="auto"/>
            <w:vAlign w:val="center"/>
          </w:tcPr>
          <w:p w14:paraId="5EC795C1">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eastAsia" w:ascii="Times New Roman" w:hAnsi="Times New Roman" w:cs="Times New Roman"/>
                <w:color w:val="auto"/>
                <w:spacing w:val="-1"/>
                <w:sz w:val="21"/>
                <w:szCs w:val="21"/>
                <w:highlight w:val="none"/>
                <w:lang w:eastAsia="zh-CN"/>
              </w:rPr>
              <w:t>f.</w:t>
            </w:r>
            <w:r>
              <w:rPr>
                <w:rFonts w:hint="default" w:ascii="Times New Roman" w:hAnsi="Times New Roman" w:cs="Times New Roman"/>
                <w:color w:val="auto"/>
                <w:spacing w:val="-1"/>
                <w:sz w:val="21"/>
                <w:szCs w:val="21"/>
                <w:highlight w:val="none"/>
              </w:rPr>
              <w:t>当工程占地规模大于20km</w:t>
            </w:r>
            <w:r>
              <w:rPr>
                <w:rFonts w:hint="default" w:ascii="Times New Roman" w:hAnsi="Times New Roman" w:cs="Times New Roman"/>
                <w:color w:val="auto"/>
                <w:spacing w:val="-1"/>
                <w:sz w:val="21"/>
                <w:szCs w:val="21"/>
                <w:highlight w:val="none"/>
                <w:vertAlign w:val="superscript"/>
              </w:rPr>
              <w:t>2</w:t>
            </w:r>
            <w:r>
              <w:rPr>
                <w:rFonts w:hint="default" w:ascii="Times New Roman" w:hAnsi="Times New Roman" w:cs="Times New Roman"/>
                <w:color w:val="auto"/>
                <w:spacing w:val="-1"/>
                <w:sz w:val="21"/>
                <w:szCs w:val="21"/>
                <w:highlight w:val="none"/>
              </w:rPr>
              <w:t>时（包括永久和临时占用陆域和水域），评价等级不低于二级；改</w:t>
            </w:r>
            <w:r>
              <w:rPr>
                <w:rFonts w:hint="default" w:ascii="Times New Roman" w:hAnsi="Times New Roman" w:cs="Times New Roman"/>
                <w:color w:val="auto"/>
                <w:spacing w:val="-1"/>
                <w:sz w:val="21"/>
                <w:szCs w:val="21"/>
                <w:highlight w:val="none"/>
                <w:lang w:eastAsia="zh-CN"/>
              </w:rPr>
              <w:t>新建</w:t>
            </w:r>
            <w:r>
              <w:rPr>
                <w:rFonts w:hint="default" w:ascii="Times New Roman" w:hAnsi="Times New Roman" w:cs="Times New Roman"/>
                <w:color w:val="auto"/>
                <w:spacing w:val="-1"/>
                <w:sz w:val="21"/>
                <w:szCs w:val="21"/>
                <w:highlight w:val="none"/>
              </w:rPr>
              <w:t>项目的占地范围以新增占地（包括陆域和水域）确定</w:t>
            </w:r>
          </w:p>
        </w:tc>
        <w:tc>
          <w:tcPr>
            <w:tcW w:w="2035" w:type="dxa"/>
            <w:tcBorders>
              <w:tl2br w:val="nil"/>
              <w:tr2bl w:val="nil"/>
            </w:tcBorders>
            <w:shd w:val="clear" w:color="auto" w:fill="auto"/>
            <w:vAlign w:val="center"/>
          </w:tcPr>
          <w:p w14:paraId="3B45E67A">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本项目</w:t>
            </w:r>
            <w:r>
              <w:rPr>
                <w:rFonts w:hint="eastAsia" w:cs="Times New Roman"/>
                <w:color w:val="auto"/>
                <w:spacing w:val="-1"/>
                <w:sz w:val="21"/>
                <w:szCs w:val="21"/>
                <w:highlight w:val="none"/>
                <w:lang w:val="en-US" w:eastAsia="zh-CN"/>
              </w:rPr>
              <w:t>总占地面积为148.34hm</w:t>
            </w:r>
            <w:r>
              <w:rPr>
                <w:rFonts w:hint="eastAsia" w:cs="Times New Roman"/>
                <w:color w:val="auto"/>
                <w:spacing w:val="-1"/>
                <w:sz w:val="21"/>
                <w:szCs w:val="21"/>
                <w:highlight w:val="none"/>
                <w:vertAlign w:val="superscript"/>
                <w:lang w:val="en-US" w:eastAsia="zh-CN"/>
              </w:rPr>
              <w:t>2</w:t>
            </w:r>
            <w:r>
              <w:rPr>
                <w:rFonts w:hint="eastAsia" w:cs="Times New Roman"/>
                <w:color w:val="auto"/>
                <w:spacing w:val="-1"/>
                <w:sz w:val="21"/>
                <w:szCs w:val="21"/>
                <w:highlight w:val="none"/>
                <w:lang w:val="en-US" w:eastAsia="zh-CN"/>
              </w:rPr>
              <w:t>，</w:t>
            </w:r>
            <w:r>
              <w:rPr>
                <w:rFonts w:hint="default" w:ascii="Times New Roman" w:hAnsi="Times New Roman" w:cs="Times New Roman"/>
                <w:color w:val="auto"/>
                <w:spacing w:val="-1"/>
                <w:sz w:val="21"/>
                <w:szCs w:val="21"/>
                <w:highlight w:val="none"/>
              </w:rPr>
              <w:t>小于20km</w:t>
            </w:r>
            <w:r>
              <w:rPr>
                <w:rFonts w:hint="default" w:ascii="Times New Roman" w:hAnsi="Times New Roman" w:cs="Times New Roman"/>
                <w:color w:val="auto"/>
                <w:spacing w:val="-1"/>
                <w:sz w:val="21"/>
                <w:szCs w:val="21"/>
                <w:highlight w:val="none"/>
                <w:vertAlign w:val="superscript"/>
              </w:rPr>
              <w:t>2</w:t>
            </w:r>
          </w:p>
        </w:tc>
      </w:tr>
      <w:tr w14:paraId="0E07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2" w:type="dxa"/>
            <w:vMerge w:val="continue"/>
            <w:tcBorders>
              <w:tl2br w:val="nil"/>
              <w:tr2bl w:val="nil"/>
            </w:tcBorders>
            <w:shd w:val="clear" w:color="auto" w:fill="auto"/>
            <w:vAlign w:val="center"/>
          </w:tcPr>
          <w:p w14:paraId="154CA57F">
            <w:pPr>
              <w:spacing w:before="0" w:beforeAutospacing="0" w:line="360" w:lineRule="exact"/>
              <w:ind w:firstLine="0" w:firstLineChars="0"/>
              <w:jc w:val="center"/>
              <w:rPr>
                <w:rFonts w:hint="default" w:ascii="Times New Roman" w:hAnsi="Times New Roman" w:cs="Times New Roman"/>
                <w:color w:val="auto"/>
                <w:sz w:val="21"/>
                <w:szCs w:val="24"/>
                <w:highlight w:val="none"/>
              </w:rPr>
            </w:pPr>
          </w:p>
        </w:tc>
        <w:tc>
          <w:tcPr>
            <w:tcW w:w="4915" w:type="dxa"/>
            <w:tcBorders>
              <w:tl2br w:val="nil"/>
              <w:tr2bl w:val="nil"/>
            </w:tcBorders>
            <w:shd w:val="clear" w:color="auto" w:fill="auto"/>
            <w:vAlign w:val="center"/>
          </w:tcPr>
          <w:p w14:paraId="79A1AE13">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eastAsia" w:ascii="Times New Roman" w:hAnsi="Times New Roman" w:cs="Times New Roman"/>
                <w:color w:val="auto"/>
                <w:spacing w:val="-1"/>
                <w:sz w:val="21"/>
                <w:szCs w:val="21"/>
                <w:highlight w:val="none"/>
                <w:lang w:eastAsia="zh-CN"/>
              </w:rPr>
              <w:t>g.</w:t>
            </w:r>
            <w:r>
              <w:rPr>
                <w:rFonts w:hint="default" w:ascii="Times New Roman" w:hAnsi="Times New Roman" w:cs="Times New Roman"/>
                <w:color w:val="auto"/>
                <w:spacing w:val="-1"/>
                <w:sz w:val="21"/>
                <w:szCs w:val="21"/>
                <w:highlight w:val="none"/>
              </w:rPr>
              <w:t>除本条a、b、c、d、e、f以外的情况，评价等级为三级</w:t>
            </w:r>
          </w:p>
        </w:tc>
        <w:tc>
          <w:tcPr>
            <w:tcW w:w="2035" w:type="dxa"/>
            <w:tcBorders>
              <w:tl2br w:val="nil"/>
              <w:tr2bl w:val="nil"/>
            </w:tcBorders>
            <w:shd w:val="clear" w:color="auto" w:fill="auto"/>
            <w:vAlign w:val="center"/>
          </w:tcPr>
          <w:p w14:paraId="16487AE2">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属于</w:t>
            </w:r>
          </w:p>
        </w:tc>
      </w:tr>
      <w:tr w14:paraId="485C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2" w:type="dxa"/>
            <w:vMerge w:val="continue"/>
            <w:tcBorders>
              <w:tl2br w:val="nil"/>
              <w:tr2bl w:val="nil"/>
            </w:tcBorders>
            <w:shd w:val="clear" w:color="auto" w:fill="auto"/>
            <w:vAlign w:val="center"/>
          </w:tcPr>
          <w:p w14:paraId="3A35C01D">
            <w:pPr>
              <w:spacing w:before="0" w:beforeAutospacing="0" w:line="360" w:lineRule="exact"/>
              <w:ind w:firstLine="0" w:firstLineChars="0"/>
              <w:jc w:val="center"/>
              <w:rPr>
                <w:rFonts w:hint="default" w:ascii="Times New Roman" w:hAnsi="Times New Roman" w:cs="Times New Roman"/>
                <w:color w:val="auto"/>
                <w:sz w:val="21"/>
                <w:szCs w:val="24"/>
                <w:highlight w:val="none"/>
              </w:rPr>
            </w:pPr>
          </w:p>
        </w:tc>
        <w:tc>
          <w:tcPr>
            <w:tcW w:w="4915" w:type="dxa"/>
            <w:tcBorders>
              <w:tl2br w:val="nil"/>
              <w:tr2bl w:val="nil"/>
            </w:tcBorders>
            <w:shd w:val="clear" w:color="auto" w:fill="auto"/>
            <w:vAlign w:val="center"/>
          </w:tcPr>
          <w:p w14:paraId="4E12E5BA">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eastAsia" w:ascii="Times New Roman" w:hAnsi="Times New Roman" w:cs="Times New Roman"/>
                <w:color w:val="auto"/>
                <w:spacing w:val="-1"/>
                <w:sz w:val="21"/>
                <w:szCs w:val="21"/>
                <w:highlight w:val="none"/>
                <w:lang w:eastAsia="zh-CN"/>
              </w:rPr>
              <w:t>h.</w:t>
            </w:r>
            <w:r>
              <w:rPr>
                <w:rFonts w:hint="default" w:ascii="Times New Roman" w:hAnsi="Times New Roman" w:cs="Times New Roman"/>
                <w:color w:val="auto"/>
                <w:spacing w:val="-1"/>
                <w:sz w:val="21"/>
                <w:szCs w:val="21"/>
                <w:highlight w:val="none"/>
              </w:rPr>
              <w:t>当评价等级判定同时符合上述多种情况时，应采用其中最高的评价等级</w:t>
            </w:r>
          </w:p>
        </w:tc>
        <w:tc>
          <w:tcPr>
            <w:tcW w:w="2035" w:type="dxa"/>
            <w:tcBorders>
              <w:tl2br w:val="nil"/>
              <w:tr2bl w:val="nil"/>
            </w:tcBorders>
            <w:shd w:val="clear" w:color="auto" w:fill="auto"/>
            <w:vAlign w:val="center"/>
          </w:tcPr>
          <w:p w14:paraId="39D18449">
            <w:pPr>
              <w:spacing w:before="0" w:beforeAutospacing="0" w:line="360" w:lineRule="exact"/>
              <w:ind w:firstLine="0" w:firstLineChars="0"/>
              <w:jc w:val="center"/>
              <w:rPr>
                <w:rFonts w:hint="default" w:ascii="Times New Roman" w:hAnsi="Times New Roman" w:cs="Times New Roman"/>
                <w:color w:val="auto"/>
                <w:spacing w:val="-1"/>
                <w:sz w:val="21"/>
                <w:szCs w:val="21"/>
                <w:highlight w:val="none"/>
              </w:rPr>
            </w:pPr>
            <w:r>
              <w:rPr>
                <w:rFonts w:hint="default" w:ascii="Times New Roman" w:hAnsi="Times New Roman" w:cs="Times New Roman"/>
                <w:color w:val="auto"/>
                <w:spacing w:val="-1"/>
                <w:sz w:val="21"/>
                <w:szCs w:val="21"/>
                <w:highlight w:val="none"/>
              </w:rPr>
              <w:t>/</w:t>
            </w:r>
          </w:p>
        </w:tc>
      </w:tr>
    </w:tbl>
    <w:p w14:paraId="10713E0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根据《环境影响评价技术导则 生态环境》（HJ19-2022）的评价等级判定要求，确定本项目生态影响评价等级为</w:t>
      </w:r>
      <w:r>
        <w:rPr>
          <w:rFonts w:hint="default" w:ascii="Times New Roman" w:hAnsi="Times New Roman" w:cs="Times New Roman"/>
          <w:color w:val="auto"/>
          <w:highlight w:val="none"/>
          <w:lang w:eastAsia="zh-CN"/>
        </w:rPr>
        <w:t>三</w:t>
      </w:r>
      <w:r>
        <w:rPr>
          <w:rFonts w:hint="default" w:ascii="Times New Roman" w:hAnsi="Times New Roman" w:cs="Times New Roman"/>
          <w:color w:val="auto"/>
          <w:highlight w:val="none"/>
        </w:rPr>
        <w:t>级</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在矿山开采可能导致矿区土地利用类型明显改变，或拦河闸坝建设可能明显改变水文情势等情况下，评价等级应上调一级，</w:t>
      </w:r>
      <w:r>
        <w:rPr>
          <w:rFonts w:hint="default" w:ascii="Times New Roman" w:hAnsi="Times New Roman" w:cs="Times New Roman"/>
          <w:color w:val="auto"/>
          <w:highlight w:val="none"/>
        </w:rPr>
        <w:t>确定本项目生态影响评价等级为</w:t>
      </w:r>
      <w:r>
        <w:rPr>
          <w:rFonts w:hint="default" w:ascii="Times New Roman" w:hAnsi="Times New Roman" w:cs="Times New Roman"/>
          <w:color w:val="auto"/>
          <w:highlight w:val="none"/>
          <w:lang w:eastAsia="zh-CN"/>
        </w:rPr>
        <w:t>二</w:t>
      </w:r>
      <w:r>
        <w:rPr>
          <w:rFonts w:hint="default" w:ascii="Times New Roman" w:hAnsi="Times New Roman" w:cs="Times New Roman"/>
          <w:color w:val="auto"/>
          <w:highlight w:val="none"/>
        </w:rPr>
        <w:t>级。</w:t>
      </w:r>
    </w:p>
    <w:p w14:paraId="777A1FCC">
      <w:pPr>
        <w:overflowPunct w:val="0"/>
        <w:topLinePunct/>
        <w:ind w:firstLine="480"/>
        <w:rPr>
          <w:rFonts w:hint="eastAsia" w:cs="Times New Roman"/>
          <w:color w:val="auto"/>
          <w:highlight w:val="none"/>
          <w:lang w:val="en-US" w:eastAsia="zh-CN"/>
        </w:rPr>
      </w:pPr>
      <w:r>
        <w:rPr>
          <w:rFonts w:hint="eastAsia" w:cs="Times New Roman"/>
          <w:color w:val="auto"/>
          <w:highlight w:val="none"/>
          <w:lang w:eastAsia="zh-CN"/>
        </w:rPr>
        <w:t>（</w:t>
      </w:r>
      <w:r>
        <w:rPr>
          <w:rFonts w:hint="eastAsia" w:cs="Times New Roman"/>
          <w:color w:val="auto"/>
          <w:highlight w:val="none"/>
          <w:lang w:val="en-US" w:eastAsia="zh-CN"/>
        </w:rPr>
        <w:t>2）评价范围</w:t>
      </w:r>
    </w:p>
    <w:p w14:paraId="096E0A4B">
      <w:pPr>
        <w:bidi w:val="0"/>
        <w:rPr>
          <w:rFonts w:hint="default"/>
          <w:color w:val="auto"/>
          <w:highlight w:val="none"/>
          <w:lang w:val="en-US" w:eastAsia="zh-CN"/>
        </w:rPr>
      </w:pPr>
      <w:r>
        <w:rPr>
          <w:rFonts w:hint="default"/>
          <w:color w:val="auto"/>
          <w:highlight w:val="none"/>
          <w:lang w:val="en-US" w:eastAsia="zh-CN"/>
        </w:rPr>
        <w:t>生态环境评价范围以矿区</w:t>
      </w:r>
      <w:r>
        <w:rPr>
          <w:rFonts w:hint="eastAsia"/>
          <w:color w:val="auto"/>
          <w:highlight w:val="none"/>
          <w:lang w:val="en-US" w:eastAsia="zh-CN"/>
        </w:rPr>
        <w:t>、选矿厂以及尾矿库</w:t>
      </w:r>
      <w:r>
        <w:rPr>
          <w:rFonts w:hint="default"/>
          <w:color w:val="auto"/>
          <w:highlight w:val="none"/>
          <w:lang w:val="en-US" w:eastAsia="zh-CN"/>
        </w:rPr>
        <w:t>各外扩</w:t>
      </w:r>
      <w:r>
        <w:rPr>
          <w:rFonts w:hint="eastAsia"/>
          <w:color w:val="auto"/>
          <w:highlight w:val="none"/>
          <w:lang w:val="en-US" w:eastAsia="zh-CN"/>
        </w:rPr>
        <w:t>1000</w:t>
      </w:r>
      <w:r>
        <w:rPr>
          <w:rFonts w:hint="default"/>
          <w:color w:val="auto"/>
          <w:highlight w:val="none"/>
          <w:lang w:val="en-US" w:eastAsia="zh-CN"/>
        </w:rPr>
        <w:t>m为生态环境影响评价范围。</w:t>
      </w:r>
    </w:p>
    <w:p w14:paraId="2AA770C0">
      <w:pPr>
        <w:pStyle w:val="6"/>
        <w:bidi w:val="0"/>
        <w:rPr>
          <w:rFonts w:hint="default" w:eastAsia="宋体"/>
          <w:color w:val="auto"/>
          <w:highlight w:val="none"/>
          <w:lang w:val="en-US" w:eastAsia="zh-CN"/>
        </w:rPr>
      </w:pPr>
      <w:r>
        <w:rPr>
          <w:rFonts w:hint="default"/>
          <w:color w:val="auto"/>
          <w:highlight w:val="none"/>
        </w:rPr>
        <w:t>2.6.7环境风险评价等级</w:t>
      </w:r>
      <w:r>
        <w:rPr>
          <w:rFonts w:hint="eastAsia"/>
          <w:color w:val="auto"/>
          <w:highlight w:val="none"/>
          <w:lang w:val="en-US" w:eastAsia="zh-CN"/>
        </w:rPr>
        <w:t>及评价范围</w:t>
      </w:r>
    </w:p>
    <w:p w14:paraId="69FF7B21">
      <w:pPr>
        <w:overflowPunct w:val="0"/>
        <w:topLinePunct/>
        <w:ind w:firstLine="48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1）采选工程</w:t>
      </w:r>
    </w:p>
    <w:p w14:paraId="45E75AC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根据《建设项目环境风险评价技术导则》（HJ169-2018），建设项目涉及的物质及工艺系统危险性和所在地的环境敏感性确定环境风险潜势，按照表2.6-1</w:t>
      </w:r>
      <w:r>
        <w:rPr>
          <w:rFonts w:hint="eastAsia" w:cs="Times New Roman"/>
          <w:color w:val="auto"/>
          <w:highlight w:val="none"/>
          <w:lang w:val="en-US" w:eastAsia="zh-CN"/>
        </w:rPr>
        <w:t>3</w:t>
      </w:r>
      <w:r>
        <w:rPr>
          <w:rFonts w:hint="default" w:ascii="Times New Roman" w:hAnsi="Times New Roman" w:cs="Times New Roman"/>
          <w:color w:val="auto"/>
          <w:highlight w:val="none"/>
        </w:rPr>
        <w:t>确定评价工作等级。风险潜势为</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4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IV</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及以上，进行一级评价；风险潜势为</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3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lang w:eastAsia="zh-CN"/>
        </w:rPr>
        <w:t>Ⅲ</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，进行二级评价；风险潜势为</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2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II</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，进行三级评价；风险潜势为</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1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，可开展简单分析。</w:t>
      </w:r>
    </w:p>
    <w:p w14:paraId="6F421BEA">
      <w:pPr>
        <w:ind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b/>
          <w:color w:val="auto"/>
          <w:kern w:val="0"/>
          <w:highlight w:val="none"/>
        </w:rPr>
        <w:t>表2.6-1</w:t>
      </w:r>
      <w:r>
        <w:rPr>
          <w:rFonts w:hint="eastAsia" w:cs="Times New Roman"/>
          <w:b/>
          <w:color w:val="auto"/>
          <w:kern w:val="0"/>
          <w:highlight w:val="none"/>
          <w:lang w:val="en-US" w:eastAsia="zh-CN"/>
        </w:rPr>
        <w:t>3</w:t>
      </w:r>
      <w:r>
        <w:rPr>
          <w:rFonts w:hint="default" w:ascii="Times New Roman" w:hAnsi="Times New Roman" w:cs="Times New Roman"/>
          <w:b/>
          <w:color w:val="auto"/>
          <w:kern w:val="0"/>
          <w:highlight w:val="none"/>
        </w:rPr>
        <w:t xml:space="preserve">   评价工作等级划分</w:t>
      </w:r>
    </w:p>
    <w:tbl>
      <w:tblPr>
        <w:tblStyle w:val="1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1671"/>
        <w:gridCol w:w="1636"/>
        <w:gridCol w:w="1680"/>
        <w:gridCol w:w="1661"/>
      </w:tblGrid>
      <w:tr w14:paraId="1117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71" w:type="dxa"/>
            <w:tcBorders>
              <w:tl2br w:val="nil"/>
              <w:tr2bl w:val="nil"/>
            </w:tcBorders>
            <w:vAlign w:val="center"/>
          </w:tcPr>
          <w:p w14:paraId="426D14D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环境风险潜势</w:t>
            </w:r>
          </w:p>
        </w:tc>
        <w:tc>
          <w:tcPr>
            <w:tcW w:w="1671" w:type="dxa"/>
            <w:tcBorders>
              <w:tl2br w:val="nil"/>
              <w:tr2bl w:val="nil"/>
            </w:tcBorders>
            <w:vAlign w:val="center"/>
          </w:tcPr>
          <w:p w14:paraId="0582394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4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IV</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4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IV</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w:t>
            </w:r>
          </w:p>
        </w:tc>
        <w:tc>
          <w:tcPr>
            <w:tcW w:w="1636" w:type="dxa"/>
            <w:tcBorders>
              <w:tl2br w:val="nil"/>
              <w:tr2bl w:val="nil"/>
            </w:tcBorders>
            <w:vAlign w:val="center"/>
          </w:tcPr>
          <w:p w14:paraId="14BF70B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3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lang w:eastAsia="zh-CN"/>
              </w:rPr>
              <w:t>Ⅲ</w:t>
            </w:r>
            <w:r>
              <w:rPr>
                <w:rFonts w:hint="default" w:ascii="Times New Roman" w:hAnsi="Times New Roman" w:cs="Times New Roman"/>
                <w:color w:val="auto"/>
                <w:highlight w:val="none"/>
              </w:rPr>
              <w:fldChar w:fldCharType="end"/>
            </w:r>
          </w:p>
        </w:tc>
        <w:tc>
          <w:tcPr>
            <w:tcW w:w="1680" w:type="dxa"/>
            <w:tcBorders>
              <w:tl2br w:val="nil"/>
              <w:tr2bl w:val="nil"/>
            </w:tcBorders>
            <w:vAlign w:val="center"/>
          </w:tcPr>
          <w:p w14:paraId="2B98901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2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II</w:t>
            </w:r>
            <w:r>
              <w:rPr>
                <w:rFonts w:hint="default" w:ascii="Times New Roman" w:hAnsi="Times New Roman" w:cs="Times New Roman"/>
                <w:color w:val="auto"/>
                <w:highlight w:val="none"/>
              </w:rPr>
              <w:fldChar w:fldCharType="end"/>
            </w:r>
          </w:p>
        </w:tc>
        <w:tc>
          <w:tcPr>
            <w:tcW w:w="1661" w:type="dxa"/>
            <w:tcBorders>
              <w:tl2br w:val="nil"/>
              <w:tr2bl w:val="nil"/>
            </w:tcBorders>
            <w:vAlign w:val="center"/>
          </w:tcPr>
          <w:p w14:paraId="14B6D27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1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w:t>
            </w:r>
            <w:r>
              <w:rPr>
                <w:rFonts w:hint="default" w:ascii="Times New Roman" w:hAnsi="Times New Roman" w:cs="Times New Roman"/>
                <w:color w:val="auto"/>
                <w:highlight w:val="none"/>
              </w:rPr>
              <w:fldChar w:fldCharType="end"/>
            </w:r>
          </w:p>
        </w:tc>
      </w:tr>
      <w:tr w14:paraId="760E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71" w:type="dxa"/>
            <w:tcBorders>
              <w:tl2br w:val="nil"/>
              <w:tr2bl w:val="nil"/>
            </w:tcBorders>
            <w:vAlign w:val="center"/>
          </w:tcPr>
          <w:p w14:paraId="21DAA0E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评价工作等级</w:t>
            </w:r>
          </w:p>
        </w:tc>
        <w:tc>
          <w:tcPr>
            <w:tcW w:w="1671" w:type="dxa"/>
            <w:tcBorders>
              <w:tl2br w:val="nil"/>
              <w:tr2bl w:val="nil"/>
            </w:tcBorders>
            <w:vAlign w:val="center"/>
          </w:tcPr>
          <w:p w14:paraId="5276867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w:t>
            </w:r>
          </w:p>
        </w:tc>
        <w:tc>
          <w:tcPr>
            <w:tcW w:w="1636" w:type="dxa"/>
            <w:tcBorders>
              <w:tl2br w:val="nil"/>
              <w:tr2bl w:val="nil"/>
            </w:tcBorders>
            <w:vAlign w:val="center"/>
          </w:tcPr>
          <w:p w14:paraId="6A05CB8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二</w:t>
            </w:r>
          </w:p>
        </w:tc>
        <w:tc>
          <w:tcPr>
            <w:tcW w:w="1680" w:type="dxa"/>
            <w:tcBorders>
              <w:tl2br w:val="nil"/>
              <w:tr2bl w:val="nil"/>
            </w:tcBorders>
            <w:vAlign w:val="center"/>
          </w:tcPr>
          <w:p w14:paraId="2A63C1F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三</w:t>
            </w:r>
          </w:p>
        </w:tc>
        <w:tc>
          <w:tcPr>
            <w:tcW w:w="1661" w:type="dxa"/>
            <w:tcBorders>
              <w:tl2br w:val="nil"/>
              <w:tr2bl w:val="nil"/>
            </w:tcBorders>
            <w:vAlign w:val="center"/>
          </w:tcPr>
          <w:p w14:paraId="46F0731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简单分析a</w:t>
            </w:r>
          </w:p>
        </w:tc>
      </w:tr>
      <w:tr w14:paraId="6D10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19" w:type="dxa"/>
            <w:gridSpan w:val="5"/>
            <w:tcBorders>
              <w:tl2br w:val="nil"/>
              <w:tr2bl w:val="nil"/>
            </w:tcBorders>
            <w:vAlign w:val="center"/>
          </w:tcPr>
          <w:p w14:paraId="342F964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a是相对于详细评价工作内容而言，在描述危险物质、环境影响途径、环境危害后果、风险防范措施等方面给出定性的说明。</w:t>
            </w:r>
          </w:p>
        </w:tc>
      </w:tr>
    </w:tbl>
    <w:p w14:paraId="2F1D32F2">
      <w:pPr>
        <w:spacing w:line="48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fldChar w:fldCharType="begin"/>
      </w:r>
      <w:r>
        <w:rPr>
          <w:rFonts w:hint="default" w:ascii="Times New Roman" w:hAnsi="Times New Roman" w:eastAsia="宋体" w:cs="Times New Roman"/>
          <w:color w:val="auto"/>
          <w:sz w:val="24"/>
          <w:highlight w:val="none"/>
          <w:lang w:eastAsia="zh-CN"/>
        </w:rPr>
        <w:instrText xml:space="preserve"> = 1 \* GB3 \* MERGEFORMAT </w:instrText>
      </w:r>
      <w:r>
        <w:rPr>
          <w:rFonts w:hint="default" w:ascii="Times New Roman" w:hAnsi="Times New Roman" w:eastAsia="宋体" w:cs="Times New Roman"/>
          <w:color w:val="auto"/>
          <w:sz w:val="24"/>
          <w:highlight w:val="none"/>
          <w:lang w:eastAsia="zh-CN"/>
        </w:rPr>
        <w:fldChar w:fldCharType="separate"/>
      </w:r>
      <w:r>
        <w:rPr>
          <w:rFonts w:hint="default" w:ascii="Times New Roman" w:hAnsi="Times New Roman" w:cs="Times New Roman"/>
          <w:color w:val="auto"/>
          <w:highlight w:val="none"/>
        </w:rPr>
        <w:t>①</w:t>
      </w:r>
      <w:r>
        <w:rPr>
          <w:rFonts w:hint="default" w:ascii="Times New Roman" w:hAnsi="Times New Roman" w:eastAsia="宋体" w:cs="Times New Roman"/>
          <w:color w:val="auto"/>
          <w:sz w:val="24"/>
          <w:highlight w:val="none"/>
          <w:lang w:eastAsia="zh-CN"/>
        </w:rPr>
        <w:fldChar w:fldCharType="end"/>
      </w:r>
      <w:r>
        <w:rPr>
          <w:rFonts w:hint="default" w:ascii="Times New Roman" w:hAnsi="Times New Roman" w:eastAsia="宋体" w:cs="Times New Roman"/>
          <w:color w:val="auto"/>
          <w:sz w:val="24"/>
          <w:highlight w:val="none"/>
        </w:rPr>
        <w:t>环境风险潜势划分</w:t>
      </w:r>
    </w:p>
    <w:p w14:paraId="4D7C0B7A">
      <w:pPr>
        <w:spacing w:line="48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建设项目环境风险潜势划分为</w:t>
      </w:r>
      <w:r>
        <w:rPr>
          <w:rFonts w:hint="default" w:ascii="Times New Roman" w:hAnsi="Times New Roman" w:cs="Times New Roman"/>
          <w:color w:val="auto"/>
          <w:sz w:val="24"/>
          <w:highlight w:val="none"/>
          <w:lang w:eastAsia="zh-CN"/>
        </w:rPr>
        <w:t>I</w:t>
      </w:r>
      <w:r>
        <w:rPr>
          <w:rFonts w:hint="default" w:ascii="Times New Roman" w:hAnsi="Times New Roman" w:eastAsia="宋体" w:cs="Times New Roman"/>
          <w:color w:val="auto"/>
          <w:sz w:val="24"/>
          <w:highlight w:val="none"/>
        </w:rPr>
        <w:t>、</w:t>
      </w:r>
      <w:r>
        <w:rPr>
          <w:rFonts w:hint="default" w:ascii="Times New Roman" w:hAnsi="Times New Roman" w:cs="Times New Roman"/>
          <w:color w:val="auto"/>
          <w:sz w:val="24"/>
          <w:highlight w:val="none"/>
          <w:lang w:eastAsia="zh-CN"/>
        </w:rPr>
        <w:t>II</w:t>
      </w:r>
      <w:r>
        <w:rPr>
          <w:rFonts w:hint="default" w:ascii="Times New Roman" w:hAnsi="Times New Roman" w:eastAsia="宋体" w:cs="Times New Roman"/>
          <w:color w:val="auto"/>
          <w:sz w:val="24"/>
          <w:highlight w:val="none"/>
        </w:rPr>
        <w:t>、</w:t>
      </w:r>
      <w:r>
        <w:rPr>
          <w:rFonts w:hint="default" w:ascii="Times New Roman" w:hAnsi="Times New Roman" w:cs="Times New Roman"/>
          <w:color w:val="auto"/>
          <w:sz w:val="24"/>
          <w:highlight w:val="none"/>
          <w:lang w:eastAsia="zh-CN"/>
        </w:rPr>
        <w:t>Ⅲ</w:t>
      </w:r>
      <w:r>
        <w:rPr>
          <w:rFonts w:hint="default" w:ascii="Times New Roman" w:hAnsi="Times New Roman" w:eastAsia="宋体" w:cs="Times New Roman"/>
          <w:color w:val="auto"/>
          <w:sz w:val="24"/>
          <w:highlight w:val="none"/>
        </w:rPr>
        <w:t>、</w:t>
      </w:r>
      <w:r>
        <w:rPr>
          <w:rFonts w:hint="default" w:ascii="Times New Roman" w:hAnsi="Times New Roman" w:cs="Times New Roman"/>
          <w:color w:val="auto"/>
          <w:sz w:val="24"/>
          <w:highlight w:val="none"/>
          <w:lang w:eastAsia="zh-CN"/>
        </w:rPr>
        <w:t>IV</w:t>
      </w:r>
      <w:r>
        <w:rPr>
          <w:rFonts w:hint="default" w:ascii="Times New Roman" w:hAnsi="Times New Roman" w:eastAsia="宋体" w:cs="Times New Roman"/>
          <w:color w:val="auto"/>
          <w:sz w:val="24"/>
          <w:highlight w:val="none"/>
        </w:rPr>
        <w:t>/</w:t>
      </w:r>
      <w:r>
        <w:rPr>
          <w:rFonts w:hint="default" w:ascii="Times New Roman" w:hAnsi="Times New Roman" w:cs="Times New Roman"/>
          <w:color w:val="auto"/>
          <w:sz w:val="24"/>
          <w:highlight w:val="none"/>
          <w:lang w:eastAsia="zh-CN"/>
        </w:rPr>
        <w:t>IV</w:t>
      </w:r>
      <w:r>
        <w:rPr>
          <w:rFonts w:hint="default" w:ascii="Times New Roman" w:hAnsi="Times New Roman" w:eastAsia="宋体" w:cs="Times New Roman"/>
          <w:color w:val="auto"/>
          <w:sz w:val="24"/>
          <w:highlight w:val="none"/>
          <w:vertAlign w:val="superscript"/>
        </w:rPr>
        <w:t>+</w:t>
      </w:r>
      <w:r>
        <w:rPr>
          <w:rFonts w:hint="default" w:ascii="Times New Roman" w:hAnsi="Times New Roman" w:eastAsia="宋体" w:cs="Times New Roman"/>
          <w:color w:val="auto"/>
          <w:sz w:val="24"/>
          <w:highlight w:val="none"/>
        </w:rPr>
        <w:t>级。根据建设项目涉及的物质和工艺系统的危险性及其所在地的环境敏感程度，结合事故情形下环境影响途径，对建设项目潜在环境危害程度进行概化分析，按照</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"_bookmark10"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z w:val="24"/>
          <w:highlight w:val="none"/>
        </w:rPr>
        <w:t>表2.</w:t>
      </w:r>
      <w:r>
        <w:rPr>
          <w:rFonts w:hint="default"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1</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rPr>
        <w:t>确定环境风险潜势。</w:t>
      </w:r>
    </w:p>
    <w:p w14:paraId="221A4EC6">
      <w:pPr>
        <w:spacing w:line="480" w:lineRule="exact"/>
        <w:ind w:left="0" w:leftChars="0" w:firstLine="0" w:firstLineChars="0"/>
        <w:jc w:val="center"/>
        <w:rPr>
          <w:rFonts w:hint="default" w:ascii="Times New Roman" w:hAnsi="Times New Roman" w:cs="Times New Roman"/>
          <w:b/>
          <w:color w:val="auto"/>
          <w:kern w:val="0"/>
          <w:sz w:val="24"/>
          <w:highlight w:val="none"/>
          <w:lang w:val="zh-CN" w:bidi="ar"/>
        </w:rPr>
      </w:pPr>
      <w:r>
        <w:rPr>
          <w:rFonts w:hint="default" w:ascii="Times New Roman" w:hAnsi="Times New Roman" w:cs="Times New Roman"/>
          <w:b/>
          <w:color w:val="auto"/>
          <w:kern w:val="0"/>
          <w:sz w:val="24"/>
          <w:highlight w:val="none"/>
          <w:lang w:val="zh-CN" w:bidi="ar"/>
        </w:rPr>
        <w:t>表2.</w:t>
      </w:r>
      <w:r>
        <w:rPr>
          <w:rFonts w:hint="default" w:ascii="Times New Roman" w:hAnsi="Times New Roman" w:cs="Times New Roman"/>
          <w:b/>
          <w:color w:val="auto"/>
          <w:kern w:val="0"/>
          <w:sz w:val="24"/>
          <w:highlight w:val="none"/>
          <w:lang w:val="en-US" w:eastAsia="zh-CN" w:bidi="ar"/>
        </w:rPr>
        <w:t>6</w:t>
      </w:r>
      <w:r>
        <w:rPr>
          <w:rFonts w:hint="default" w:ascii="Times New Roman" w:hAnsi="Times New Roman" w:cs="Times New Roman"/>
          <w:b/>
          <w:color w:val="auto"/>
          <w:kern w:val="0"/>
          <w:sz w:val="24"/>
          <w:highlight w:val="none"/>
          <w:lang w:val="zh-CN" w:bidi="ar"/>
        </w:rPr>
        <w:t>-</w:t>
      </w:r>
      <w:r>
        <w:rPr>
          <w:rFonts w:hint="default" w:ascii="Times New Roman" w:hAnsi="Times New Roman" w:cs="Times New Roman"/>
          <w:b/>
          <w:color w:val="auto"/>
          <w:kern w:val="0"/>
          <w:sz w:val="24"/>
          <w:highlight w:val="none"/>
          <w:lang w:val="en-US" w:eastAsia="zh-CN" w:bidi="ar"/>
        </w:rPr>
        <w:t>1</w:t>
      </w:r>
      <w:r>
        <w:rPr>
          <w:rFonts w:hint="eastAsia" w:cs="Times New Roman"/>
          <w:b/>
          <w:color w:val="auto"/>
          <w:kern w:val="0"/>
          <w:sz w:val="24"/>
          <w:highlight w:val="none"/>
          <w:lang w:val="en-US" w:eastAsia="zh-CN" w:bidi="ar"/>
        </w:rPr>
        <w:t>4</w:t>
      </w:r>
      <w:r>
        <w:rPr>
          <w:rFonts w:hint="default" w:ascii="Times New Roman" w:hAnsi="Times New Roman" w:cs="Times New Roman"/>
          <w:b/>
          <w:color w:val="auto"/>
          <w:kern w:val="0"/>
          <w:sz w:val="24"/>
          <w:highlight w:val="none"/>
          <w:lang w:val="zh-CN" w:bidi="ar"/>
        </w:rPr>
        <w:t xml:space="preserve">    建设项目环境风险潜势划分</w:t>
      </w:r>
    </w:p>
    <w:tbl>
      <w:tblPr>
        <w:tblStyle w:val="13"/>
        <w:tblW w:w="4999"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0" w:type="dxa"/>
          <w:bottom w:w="0" w:type="dxa"/>
          <w:right w:w="0" w:type="dxa"/>
        </w:tblCellMar>
      </w:tblPr>
      <w:tblGrid>
        <w:gridCol w:w="2198"/>
        <w:gridCol w:w="1639"/>
        <w:gridCol w:w="1784"/>
        <w:gridCol w:w="1637"/>
        <w:gridCol w:w="1708"/>
      </w:tblGrid>
      <w:tr w14:paraId="575A673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tblHeader/>
          <w:jc w:val="center"/>
        </w:trPr>
        <w:tc>
          <w:tcPr>
            <w:tcW w:w="1226" w:type="pct"/>
            <w:vMerge w:val="restart"/>
            <w:tcBorders>
              <w:right w:val="single" w:color="000000" w:sz="6" w:space="0"/>
            </w:tcBorders>
            <w:noWrap w:val="0"/>
            <w:vAlign w:val="center"/>
          </w:tcPr>
          <w:p w14:paraId="3F1CBD6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环境敏感程度（E）</w:t>
            </w:r>
          </w:p>
        </w:tc>
        <w:tc>
          <w:tcPr>
            <w:tcW w:w="3773" w:type="pct"/>
            <w:gridSpan w:val="4"/>
            <w:tcBorders>
              <w:left w:val="single" w:color="000000" w:sz="6" w:space="0"/>
              <w:bottom w:val="single" w:color="000000" w:sz="6" w:space="0"/>
            </w:tcBorders>
            <w:noWrap w:val="0"/>
            <w:vAlign w:val="center"/>
          </w:tcPr>
          <w:p w14:paraId="474250C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危险物质及工艺系统危险性（P）</w:t>
            </w:r>
          </w:p>
        </w:tc>
      </w:tr>
      <w:tr w14:paraId="36EF140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tblHeader/>
          <w:jc w:val="center"/>
        </w:trPr>
        <w:tc>
          <w:tcPr>
            <w:tcW w:w="1226" w:type="pct"/>
            <w:vMerge w:val="continue"/>
            <w:tcBorders>
              <w:bottom w:val="single" w:color="000000" w:sz="6" w:space="0"/>
              <w:right w:val="single" w:color="000000" w:sz="6" w:space="0"/>
            </w:tcBorders>
            <w:noWrap w:val="0"/>
            <w:vAlign w:val="center"/>
          </w:tcPr>
          <w:p w14:paraId="4061E5FD">
            <w:pPr>
              <w:pStyle w:val="17"/>
              <w:bidi w:val="0"/>
              <w:rPr>
                <w:rFonts w:hint="default" w:ascii="Times New Roman" w:hAnsi="Times New Roman" w:cs="Times New Roman"/>
                <w:color w:val="auto"/>
                <w:highlight w:val="none"/>
              </w:rPr>
            </w:pPr>
          </w:p>
        </w:tc>
        <w:tc>
          <w:tcPr>
            <w:tcW w:w="914" w:type="pct"/>
            <w:tcBorders>
              <w:top w:val="single" w:color="000000" w:sz="6" w:space="0"/>
              <w:left w:val="single" w:color="000000" w:sz="6" w:space="0"/>
              <w:bottom w:val="single" w:color="000000" w:sz="6" w:space="0"/>
              <w:right w:val="single" w:color="000000" w:sz="6" w:space="0"/>
            </w:tcBorders>
            <w:noWrap w:val="0"/>
            <w:vAlign w:val="center"/>
          </w:tcPr>
          <w:p w14:paraId="7688015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极高危害（P1）</w:t>
            </w:r>
          </w:p>
        </w:tc>
        <w:tc>
          <w:tcPr>
            <w:tcW w:w="995" w:type="pct"/>
            <w:tcBorders>
              <w:top w:val="single" w:color="000000" w:sz="6" w:space="0"/>
              <w:left w:val="single" w:color="000000" w:sz="6" w:space="0"/>
              <w:bottom w:val="single" w:color="000000" w:sz="6" w:space="0"/>
              <w:right w:val="single" w:color="000000" w:sz="6" w:space="0"/>
            </w:tcBorders>
            <w:noWrap w:val="0"/>
            <w:vAlign w:val="center"/>
          </w:tcPr>
          <w:p w14:paraId="71C2CCA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高度危害（P2）</w:t>
            </w:r>
          </w:p>
        </w:tc>
        <w:tc>
          <w:tcPr>
            <w:tcW w:w="913" w:type="pct"/>
            <w:tcBorders>
              <w:top w:val="single" w:color="000000" w:sz="6" w:space="0"/>
              <w:left w:val="single" w:color="000000" w:sz="6" w:space="0"/>
              <w:bottom w:val="single" w:color="000000" w:sz="6" w:space="0"/>
              <w:right w:val="single" w:color="000000" w:sz="6" w:space="0"/>
            </w:tcBorders>
            <w:noWrap w:val="0"/>
            <w:vAlign w:val="center"/>
          </w:tcPr>
          <w:p w14:paraId="66055B8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中度危害（P3）</w:t>
            </w:r>
          </w:p>
        </w:tc>
        <w:tc>
          <w:tcPr>
            <w:tcW w:w="950" w:type="pct"/>
            <w:tcBorders>
              <w:top w:val="single" w:color="000000" w:sz="6" w:space="0"/>
              <w:left w:val="single" w:color="000000" w:sz="6" w:space="0"/>
              <w:bottom w:val="single" w:color="000000" w:sz="6" w:space="0"/>
            </w:tcBorders>
            <w:noWrap w:val="0"/>
            <w:vAlign w:val="center"/>
          </w:tcPr>
          <w:p w14:paraId="6F82A08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轻度危害（P4）</w:t>
            </w:r>
          </w:p>
        </w:tc>
      </w:tr>
      <w:tr w14:paraId="45EFCB1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1226" w:type="pct"/>
            <w:tcBorders>
              <w:top w:val="single" w:color="000000" w:sz="6" w:space="0"/>
              <w:bottom w:val="single" w:color="000000" w:sz="6" w:space="0"/>
              <w:right w:val="single" w:color="000000" w:sz="6" w:space="0"/>
            </w:tcBorders>
            <w:noWrap w:val="0"/>
            <w:vAlign w:val="center"/>
          </w:tcPr>
          <w:p w14:paraId="7341CF1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环境高度敏感区（E1）</w:t>
            </w:r>
          </w:p>
        </w:tc>
        <w:tc>
          <w:tcPr>
            <w:tcW w:w="914" w:type="pct"/>
            <w:tcBorders>
              <w:top w:val="single" w:color="000000" w:sz="6" w:space="0"/>
              <w:left w:val="single" w:color="000000" w:sz="6" w:space="0"/>
              <w:bottom w:val="single" w:color="000000" w:sz="6" w:space="0"/>
              <w:right w:val="single" w:color="000000" w:sz="6" w:space="0"/>
            </w:tcBorders>
            <w:noWrap w:val="0"/>
            <w:vAlign w:val="center"/>
          </w:tcPr>
          <w:p w14:paraId="07DC3D5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IV</w:t>
            </w:r>
            <w:r>
              <w:rPr>
                <w:rFonts w:hint="default" w:ascii="Times New Roman" w:hAnsi="Times New Roman" w:cs="Times New Roman"/>
                <w:color w:val="auto"/>
                <w:highlight w:val="none"/>
              </w:rPr>
              <w:t>+</w:t>
            </w:r>
          </w:p>
        </w:tc>
        <w:tc>
          <w:tcPr>
            <w:tcW w:w="995" w:type="pct"/>
            <w:tcBorders>
              <w:top w:val="single" w:color="000000" w:sz="6" w:space="0"/>
              <w:left w:val="single" w:color="000000" w:sz="6" w:space="0"/>
              <w:bottom w:val="single" w:color="000000" w:sz="6" w:space="0"/>
              <w:right w:val="single" w:color="000000" w:sz="6" w:space="0"/>
            </w:tcBorders>
            <w:noWrap w:val="0"/>
            <w:vAlign w:val="center"/>
          </w:tcPr>
          <w:p w14:paraId="6599DAE5">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IV</w:t>
            </w:r>
          </w:p>
        </w:tc>
        <w:tc>
          <w:tcPr>
            <w:tcW w:w="913" w:type="pct"/>
            <w:tcBorders>
              <w:top w:val="single" w:color="000000" w:sz="6" w:space="0"/>
              <w:left w:val="single" w:color="000000" w:sz="6" w:space="0"/>
              <w:bottom w:val="single" w:color="000000" w:sz="6" w:space="0"/>
              <w:right w:val="single" w:color="000000" w:sz="6" w:space="0"/>
            </w:tcBorders>
            <w:noWrap w:val="0"/>
            <w:vAlign w:val="center"/>
          </w:tcPr>
          <w:p w14:paraId="11F1F6C7">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Ⅲ</w:t>
            </w:r>
          </w:p>
        </w:tc>
        <w:tc>
          <w:tcPr>
            <w:tcW w:w="950" w:type="pct"/>
            <w:tcBorders>
              <w:top w:val="single" w:color="000000" w:sz="6" w:space="0"/>
              <w:left w:val="single" w:color="000000" w:sz="6" w:space="0"/>
              <w:bottom w:val="single" w:color="000000" w:sz="6" w:space="0"/>
            </w:tcBorders>
            <w:noWrap w:val="0"/>
            <w:vAlign w:val="center"/>
          </w:tcPr>
          <w:p w14:paraId="7E55E152">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Ⅲ</w:t>
            </w:r>
          </w:p>
        </w:tc>
      </w:tr>
      <w:tr w14:paraId="5F35D0D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1226" w:type="pct"/>
            <w:tcBorders>
              <w:top w:val="single" w:color="000000" w:sz="6" w:space="0"/>
              <w:bottom w:val="single" w:color="000000" w:sz="6" w:space="0"/>
              <w:right w:val="single" w:color="000000" w:sz="6" w:space="0"/>
            </w:tcBorders>
            <w:noWrap w:val="0"/>
            <w:vAlign w:val="center"/>
          </w:tcPr>
          <w:p w14:paraId="43D6822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环境中度敏感区（E2）</w:t>
            </w:r>
          </w:p>
        </w:tc>
        <w:tc>
          <w:tcPr>
            <w:tcW w:w="914" w:type="pct"/>
            <w:tcBorders>
              <w:top w:val="single" w:color="000000" w:sz="6" w:space="0"/>
              <w:left w:val="single" w:color="000000" w:sz="6" w:space="0"/>
              <w:bottom w:val="single" w:color="000000" w:sz="6" w:space="0"/>
              <w:right w:val="single" w:color="000000" w:sz="6" w:space="0"/>
            </w:tcBorders>
            <w:noWrap w:val="0"/>
            <w:vAlign w:val="center"/>
          </w:tcPr>
          <w:p w14:paraId="6D22784A">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IV</w:t>
            </w:r>
          </w:p>
        </w:tc>
        <w:tc>
          <w:tcPr>
            <w:tcW w:w="995" w:type="pct"/>
            <w:tcBorders>
              <w:top w:val="single" w:color="000000" w:sz="6" w:space="0"/>
              <w:left w:val="single" w:color="000000" w:sz="6" w:space="0"/>
              <w:bottom w:val="single" w:color="000000" w:sz="6" w:space="0"/>
              <w:right w:val="single" w:color="000000" w:sz="6" w:space="0"/>
            </w:tcBorders>
            <w:noWrap w:val="0"/>
            <w:vAlign w:val="center"/>
          </w:tcPr>
          <w:p w14:paraId="17623E9E">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Ⅲ</w:t>
            </w:r>
          </w:p>
        </w:tc>
        <w:tc>
          <w:tcPr>
            <w:tcW w:w="913" w:type="pct"/>
            <w:tcBorders>
              <w:top w:val="single" w:color="000000" w:sz="6" w:space="0"/>
              <w:left w:val="single" w:color="000000" w:sz="6" w:space="0"/>
              <w:bottom w:val="single" w:color="000000" w:sz="6" w:space="0"/>
              <w:right w:val="single" w:color="000000" w:sz="6" w:space="0"/>
            </w:tcBorders>
            <w:noWrap w:val="0"/>
            <w:vAlign w:val="center"/>
          </w:tcPr>
          <w:p w14:paraId="6E0B616F">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Ⅲ</w:t>
            </w:r>
          </w:p>
        </w:tc>
        <w:tc>
          <w:tcPr>
            <w:tcW w:w="950" w:type="pct"/>
            <w:tcBorders>
              <w:top w:val="single" w:color="000000" w:sz="6" w:space="0"/>
              <w:left w:val="single" w:color="000000" w:sz="6" w:space="0"/>
              <w:bottom w:val="single" w:color="000000" w:sz="6" w:space="0"/>
            </w:tcBorders>
            <w:noWrap w:val="0"/>
            <w:vAlign w:val="center"/>
          </w:tcPr>
          <w:p w14:paraId="5901E037">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II</w:t>
            </w:r>
          </w:p>
        </w:tc>
      </w:tr>
      <w:tr w14:paraId="3EA9654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1226" w:type="pct"/>
            <w:tcBorders>
              <w:top w:val="single" w:color="000000" w:sz="6" w:space="0"/>
              <w:bottom w:val="single" w:color="000000" w:sz="6" w:space="0"/>
              <w:right w:val="single" w:color="000000" w:sz="6" w:space="0"/>
            </w:tcBorders>
            <w:noWrap w:val="0"/>
            <w:vAlign w:val="center"/>
          </w:tcPr>
          <w:p w14:paraId="48A1FBA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环境低度敏感区（E3）</w:t>
            </w:r>
          </w:p>
        </w:tc>
        <w:tc>
          <w:tcPr>
            <w:tcW w:w="914" w:type="pct"/>
            <w:tcBorders>
              <w:top w:val="single" w:color="000000" w:sz="6" w:space="0"/>
              <w:left w:val="single" w:color="000000" w:sz="6" w:space="0"/>
              <w:bottom w:val="single" w:color="000000" w:sz="6" w:space="0"/>
              <w:right w:val="single" w:color="000000" w:sz="6" w:space="0"/>
            </w:tcBorders>
            <w:noWrap w:val="0"/>
            <w:vAlign w:val="center"/>
          </w:tcPr>
          <w:p w14:paraId="549A68BB">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Ⅲ</w:t>
            </w:r>
          </w:p>
        </w:tc>
        <w:tc>
          <w:tcPr>
            <w:tcW w:w="995" w:type="pct"/>
            <w:tcBorders>
              <w:top w:val="single" w:color="000000" w:sz="6" w:space="0"/>
              <w:left w:val="single" w:color="000000" w:sz="6" w:space="0"/>
              <w:bottom w:val="single" w:color="000000" w:sz="6" w:space="0"/>
              <w:right w:val="single" w:color="000000" w:sz="6" w:space="0"/>
            </w:tcBorders>
            <w:noWrap w:val="0"/>
            <w:vAlign w:val="center"/>
          </w:tcPr>
          <w:p w14:paraId="73B1F984">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Ⅲ</w:t>
            </w:r>
          </w:p>
        </w:tc>
        <w:tc>
          <w:tcPr>
            <w:tcW w:w="913" w:type="pct"/>
            <w:tcBorders>
              <w:top w:val="single" w:color="000000" w:sz="6" w:space="0"/>
              <w:left w:val="single" w:color="000000" w:sz="6" w:space="0"/>
              <w:bottom w:val="single" w:color="000000" w:sz="6" w:space="0"/>
              <w:right w:val="single" w:color="000000" w:sz="6" w:space="0"/>
            </w:tcBorders>
            <w:noWrap w:val="0"/>
            <w:vAlign w:val="center"/>
          </w:tcPr>
          <w:p w14:paraId="030BA5FA">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II</w:t>
            </w:r>
          </w:p>
        </w:tc>
        <w:tc>
          <w:tcPr>
            <w:tcW w:w="950" w:type="pct"/>
            <w:tcBorders>
              <w:top w:val="single" w:color="000000" w:sz="6" w:space="0"/>
              <w:left w:val="single" w:color="000000" w:sz="6" w:space="0"/>
              <w:bottom w:val="single" w:color="000000" w:sz="6" w:space="0"/>
            </w:tcBorders>
            <w:noWrap w:val="0"/>
            <w:vAlign w:val="center"/>
          </w:tcPr>
          <w:p w14:paraId="5F971E28">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I</w:t>
            </w:r>
          </w:p>
        </w:tc>
      </w:tr>
      <w:tr w14:paraId="770F3B1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5000" w:type="pct"/>
            <w:gridSpan w:val="5"/>
            <w:tcBorders>
              <w:top w:val="single" w:color="000000" w:sz="6" w:space="0"/>
            </w:tcBorders>
            <w:noWrap w:val="0"/>
            <w:vAlign w:val="center"/>
          </w:tcPr>
          <w:p w14:paraId="4DD9832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注：</w:t>
            </w:r>
            <w:r>
              <w:rPr>
                <w:rFonts w:hint="default" w:ascii="Times New Roman" w:hAnsi="Times New Roman" w:cs="Times New Roman"/>
                <w:color w:val="auto"/>
                <w:highlight w:val="none"/>
                <w:lang w:eastAsia="zh-CN"/>
              </w:rPr>
              <w:t>IV</w:t>
            </w:r>
            <w:r>
              <w:rPr>
                <w:rFonts w:hint="default" w:ascii="Times New Roman" w:hAnsi="Times New Roman" w:cs="Times New Roman"/>
                <w:color w:val="auto"/>
                <w:highlight w:val="none"/>
              </w:rPr>
              <w:t>+为极高环境风险</w:t>
            </w:r>
          </w:p>
        </w:tc>
      </w:tr>
    </w:tbl>
    <w:p w14:paraId="4E8AA8AC">
      <w:pPr>
        <w:spacing w:line="480" w:lineRule="exact"/>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fldChar w:fldCharType="begin"/>
      </w:r>
      <w:r>
        <w:rPr>
          <w:rFonts w:hint="default" w:ascii="Times New Roman" w:hAnsi="Times New Roman" w:eastAsia="宋体" w:cs="Times New Roman"/>
          <w:color w:val="auto"/>
          <w:sz w:val="24"/>
          <w:highlight w:val="none"/>
          <w:lang w:eastAsia="zh-CN"/>
        </w:rPr>
        <w:instrText xml:space="preserve"> = 2 \* GB3 \* MERGEFORMAT </w:instrText>
      </w:r>
      <w:r>
        <w:rPr>
          <w:rFonts w:hint="default" w:ascii="Times New Roman" w:hAnsi="Times New Roman" w:eastAsia="宋体" w:cs="Times New Roman"/>
          <w:color w:val="auto"/>
          <w:sz w:val="24"/>
          <w:highlight w:val="none"/>
          <w:lang w:eastAsia="zh-CN"/>
        </w:rPr>
        <w:fldChar w:fldCharType="separate"/>
      </w:r>
      <w:r>
        <w:rPr>
          <w:rFonts w:hint="default" w:ascii="Times New Roman" w:hAnsi="Times New Roman" w:cs="Times New Roman"/>
          <w:color w:val="auto"/>
          <w:highlight w:val="none"/>
        </w:rPr>
        <w:t>②</w:t>
      </w:r>
      <w:r>
        <w:rPr>
          <w:rFonts w:hint="default" w:ascii="Times New Roman" w:hAnsi="Times New Roman" w:eastAsia="宋体" w:cs="Times New Roman"/>
          <w:color w:val="auto"/>
          <w:sz w:val="24"/>
          <w:highlight w:val="none"/>
          <w:lang w:eastAsia="zh-CN"/>
        </w:rPr>
        <w:fldChar w:fldCharType="end"/>
      </w:r>
      <w:r>
        <w:rPr>
          <w:rFonts w:hint="default" w:ascii="Times New Roman" w:hAnsi="Times New Roman" w:eastAsia="宋体" w:cs="Times New Roman"/>
          <w:color w:val="auto"/>
          <w:sz w:val="24"/>
          <w:highlight w:val="none"/>
        </w:rPr>
        <w:t>危险物质数量与临界量的比值（Q）</w:t>
      </w:r>
      <w:r>
        <w:rPr>
          <w:rFonts w:hint="default" w:ascii="Times New Roman" w:hAnsi="Times New Roman" w:eastAsia="宋体" w:cs="Times New Roman"/>
          <w:color w:val="auto"/>
          <w:sz w:val="24"/>
          <w:highlight w:val="none"/>
          <w:lang w:eastAsia="zh-CN"/>
        </w:rPr>
        <w:t>：</w:t>
      </w:r>
    </w:p>
    <w:p w14:paraId="2A2E2801">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针对企业的生产原料、燃料、辅助生产物料等，对照《建设项目环境风险评价技术导则》（HJ169-2018）附录B环境风险物质，该项目危险物质数量与临界量比值情况具体见表2.5-1</w:t>
      </w:r>
      <w:r>
        <w:rPr>
          <w:rFonts w:hint="eastAsia" w:cs="Times New Roman"/>
          <w:color w:val="auto"/>
          <w:highlight w:val="none"/>
          <w:lang w:val="en-US" w:eastAsia="zh-CN"/>
        </w:rPr>
        <w:t>5</w:t>
      </w:r>
      <w:r>
        <w:rPr>
          <w:rFonts w:hint="default" w:ascii="Times New Roman" w:hAnsi="Times New Roman" w:cs="Times New Roman"/>
          <w:color w:val="auto"/>
          <w:highlight w:val="none"/>
        </w:rPr>
        <w:t>。</w:t>
      </w:r>
    </w:p>
    <w:p w14:paraId="4023F9CE">
      <w:pPr>
        <w:ind w:left="0" w:leftChars="0" w:firstLine="0" w:firstLineChars="0"/>
        <w:jc w:val="center"/>
        <w:rPr>
          <w:rFonts w:hint="default" w:ascii="Times New Roman" w:hAnsi="Times New Roman" w:cs="Times New Roman"/>
          <w:color w:val="auto"/>
          <w:sz w:val="12"/>
          <w:szCs w:val="12"/>
          <w:highlight w:val="none"/>
        </w:rPr>
      </w:pPr>
      <w:r>
        <w:rPr>
          <w:rFonts w:hint="default" w:ascii="Times New Roman" w:hAnsi="Times New Roman" w:eastAsia="宋体" w:cs="Times New Roman"/>
          <w:b/>
          <w:color w:val="auto"/>
          <w:kern w:val="0"/>
          <w:sz w:val="24"/>
          <w:highlight w:val="none"/>
        </w:rPr>
        <w:t>表</w:t>
      </w:r>
      <w:r>
        <w:rPr>
          <w:rFonts w:hint="default" w:ascii="Times New Roman" w:hAnsi="Times New Roman" w:eastAsia="宋体" w:cs="Times New Roman"/>
          <w:b/>
          <w:color w:val="auto"/>
          <w:kern w:val="0"/>
          <w:sz w:val="24"/>
          <w:highlight w:val="none"/>
          <w:lang w:val="en-US" w:eastAsia="zh-CN"/>
        </w:rPr>
        <w:t>2.5-1</w:t>
      </w:r>
      <w:r>
        <w:rPr>
          <w:rFonts w:hint="eastAsia" w:cs="Times New Roman"/>
          <w:b/>
          <w:color w:val="auto"/>
          <w:kern w:val="0"/>
          <w:sz w:val="24"/>
          <w:highlight w:val="none"/>
          <w:lang w:val="en-US" w:eastAsia="zh-CN"/>
        </w:rPr>
        <w:t>5</w:t>
      </w:r>
      <w:r>
        <w:rPr>
          <w:rFonts w:hint="default" w:ascii="Times New Roman" w:hAnsi="Times New Roman" w:eastAsia="宋体" w:cs="Times New Roman"/>
          <w:b/>
          <w:color w:val="auto"/>
          <w:kern w:val="0"/>
          <w:sz w:val="24"/>
          <w:highlight w:val="none"/>
        </w:rPr>
        <w:t xml:space="preserve">    本工程危险物质数量与临界量的比值</w:t>
      </w:r>
    </w:p>
    <w:tbl>
      <w:tblPr>
        <w:tblStyle w:val="13"/>
        <w:tblW w:w="4998"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1406"/>
        <w:gridCol w:w="2209"/>
        <w:gridCol w:w="1791"/>
        <w:gridCol w:w="1834"/>
        <w:gridCol w:w="1724"/>
      </w:tblGrid>
      <w:tr w14:paraId="261D78A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tblHeader/>
          <w:jc w:val="center"/>
        </w:trPr>
        <w:tc>
          <w:tcPr>
            <w:tcW w:w="784" w:type="pct"/>
            <w:tcBorders>
              <w:tl2br w:val="nil"/>
              <w:tr2bl w:val="nil"/>
            </w:tcBorders>
            <w:noWrap w:val="0"/>
            <w:vAlign w:val="center"/>
          </w:tcPr>
          <w:p w14:paraId="7F676D3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设施</w:t>
            </w:r>
          </w:p>
        </w:tc>
        <w:tc>
          <w:tcPr>
            <w:tcW w:w="1232" w:type="pct"/>
            <w:tcBorders>
              <w:tl2br w:val="nil"/>
              <w:tr2bl w:val="nil"/>
            </w:tcBorders>
            <w:noWrap w:val="0"/>
            <w:vAlign w:val="center"/>
          </w:tcPr>
          <w:p w14:paraId="25F960E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物质名称</w:t>
            </w:r>
          </w:p>
        </w:tc>
        <w:tc>
          <w:tcPr>
            <w:tcW w:w="999" w:type="pct"/>
            <w:tcBorders>
              <w:tl2br w:val="nil"/>
              <w:tr2bl w:val="nil"/>
            </w:tcBorders>
            <w:shd w:val="clear" w:color="auto" w:fill="auto"/>
            <w:noWrap w:val="0"/>
            <w:vAlign w:val="center"/>
          </w:tcPr>
          <w:p w14:paraId="4426E1CC">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rPr>
              <w:t>储存量/t</w:t>
            </w:r>
          </w:p>
        </w:tc>
        <w:tc>
          <w:tcPr>
            <w:tcW w:w="1022" w:type="pct"/>
            <w:tcBorders>
              <w:tl2br w:val="nil"/>
              <w:tr2bl w:val="nil"/>
            </w:tcBorders>
            <w:shd w:val="clear" w:color="auto" w:fill="auto"/>
            <w:noWrap w:val="0"/>
            <w:vAlign w:val="center"/>
          </w:tcPr>
          <w:p w14:paraId="31A5BB6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rPr>
              <w:t>临界量/t</w:t>
            </w:r>
          </w:p>
        </w:tc>
        <w:tc>
          <w:tcPr>
            <w:tcW w:w="961" w:type="pct"/>
            <w:tcBorders>
              <w:tl2br w:val="nil"/>
              <w:tr2bl w:val="nil"/>
            </w:tcBorders>
            <w:noWrap w:val="0"/>
            <w:vAlign w:val="center"/>
          </w:tcPr>
          <w:p w14:paraId="5CAF1C8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Q</w:t>
            </w:r>
          </w:p>
        </w:tc>
      </w:tr>
      <w:tr w14:paraId="3D1060D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84" w:type="pct"/>
            <w:tcBorders>
              <w:tl2br w:val="nil"/>
              <w:tr2bl w:val="nil"/>
            </w:tcBorders>
            <w:shd w:val="clear" w:color="auto" w:fill="auto"/>
            <w:noWrap w:val="0"/>
            <w:vAlign w:val="center"/>
          </w:tcPr>
          <w:p w14:paraId="7AF34F0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危废贮存库</w:t>
            </w:r>
          </w:p>
        </w:tc>
        <w:tc>
          <w:tcPr>
            <w:tcW w:w="1232" w:type="pct"/>
            <w:tcBorders>
              <w:tl2br w:val="nil"/>
              <w:tr2bl w:val="nil"/>
            </w:tcBorders>
            <w:shd w:val="clear" w:color="auto" w:fill="auto"/>
            <w:noWrap w:val="0"/>
            <w:vAlign w:val="center"/>
          </w:tcPr>
          <w:p w14:paraId="0B5701B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废机油</w:t>
            </w:r>
          </w:p>
        </w:tc>
        <w:tc>
          <w:tcPr>
            <w:tcW w:w="999" w:type="pct"/>
            <w:tcBorders>
              <w:tl2br w:val="nil"/>
              <w:tr2bl w:val="nil"/>
            </w:tcBorders>
            <w:shd w:val="clear" w:color="auto" w:fill="auto"/>
            <w:noWrap w:val="0"/>
            <w:vAlign w:val="center"/>
          </w:tcPr>
          <w:p w14:paraId="49E49C8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10</w:t>
            </w:r>
          </w:p>
        </w:tc>
        <w:tc>
          <w:tcPr>
            <w:tcW w:w="1022" w:type="pct"/>
            <w:tcBorders>
              <w:tl2br w:val="nil"/>
              <w:tr2bl w:val="nil"/>
            </w:tcBorders>
            <w:shd w:val="clear" w:color="auto" w:fill="auto"/>
            <w:noWrap w:val="0"/>
            <w:vAlign w:val="center"/>
          </w:tcPr>
          <w:p w14:paraId="45CE298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2500</w:t>
            </w:r>
          </w:p>
        </w:tc>
        <w:tc>
          <w:tcPr>
            <w:tcW w:w="961" w:type="pct"/>
            <w:tcBorders>
              <w:tl2br w:val="nil"/>
              <w:tr2bl w:val="nil"/>
            </w:tcBorders>
            <w:shd w:val="clear" w:color="auto" w:fill="auto"/>
            <w:noWrap w:val="0"/>
            <w:vAlign w:val="center"/>
          </w:tcPr>
          <w:p w14:paraId="13368D7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0.004</w:t>
            </w:r>
          </w:p>
        </w:tc>
      </w:tr>
      <w:tr w14:paraId="7C5FF1A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784" w:type="pct"/>
            <w:tcBorders>
              <w:tl2br w:val="nil"/>
              <w:tr2bl w:val="nil"/>
            </w:tcBorders>
            <w:shd w:val="clear" w:color="auto" w:fill="auto"/>
            <w:noWrap w:val="0"/>
            <w:vAlign w:val="center"/>
          </w:tcPr>
          <w:p w14:paraId="356DE059">
            <w:pPr>
              <w:pStyle w:val="17"/>
              <w:bidi w:val="0"/>
              <w:rPr>
                <w:rFonts w:hint="default" w:ascii="Times New Roman" w:hAnsi="Times New Roman" w:eastAsia="Times New Roman" w:cs="Times New Roman"/>
                <w:color w:val="auto"/>
                <w:spacing w:val="-1"/>
                <w:kern w:val="2"/>
                <w:szCs w:val="21"/>
                <w:highlight w:val="none"/>
                <w:lang w:val="en-US" w:eastAsia="zh-CN" w:bidi="zh-CN"/>
              </w:rPr>
            </w:pPr>
            <w:r>
              <w:rPr>
                <w:rFonts w:hint="default" w:ascii="Times New Roman" w:hAnsi="Times New Roman" w:cs="Times New Roman"/>
                <w:color w:val="auto"/>
                <w:highlight w:val="none"/>
              </w:rPr>
              <w:t>爆破器材库</w:t>
            </w:r>
          </w:p>
        </w:tc>
        <w:tc>
          <w:tcPr>
            <w:tcW w:w="1232" w:type="pct"/>
            <w:tcBorders>
              <w:tl2br w:val="nil"/>
              <w:tr2bl w:val="nil"/>
            </w:tcBorders>
            <w:shd w:val="clear" w:color="auto" w:fill="auto"/>
            <w:noWrap w:val="0"/>
            <w:vAlign w:val="center"/>
          </w:tcPr>
          <w:p w14:paraId="37660DC1">
            <w:pPr>
              <w:pStyle w:val="17"/>
              <w:bidi w:val="0"/>
              <w:rPr>
                <w:rFonts w:hint="default" w:ascii="Times New Roman" w:hAnsi="Times New Roman" w:eastAsia="Times New Roman" w:cs="Times New Roman"/>
                <w:color w:val="auto"/>
                <w:spacing w:val="-1"/>
                <w:kern w:val="2"/>
                <w:szCs w:val="21"/>
                <w:highlight w:val="none"/>
                <w:lang w:val="en-US" w:eastAsia="zh-CN" w:bidi="zh-CN"/>
              </w:rPr>
            </w:pPr>
            <w:r>
              <w:rPr>
                <w:rFonts w:hint="default" w:ascii="Times New Roman" w:hAnsi="Times New Roman" w:cs="Times New Roman"/>
                <w:color w:val="auto"/>
                <w:highlight w:val="none"/>
              </w:rPr>
              <w:t>炸药（硝酸铵）</w:t>
            </w:r>
          </w:p>
        </w:tc>
        <w:tc>
          <w:tcPr>
            <w:tcW w:w="999" w:type="pct"/>
            <w:tcBorders>
              <w:tl2br w:val="nil"/>
              <w:tr2bl w:val="nil"/>
            </w:tcBorders>
            <w:shd w:val="clear" w:color="auto" w:fill="auto"/>
            <w:noWrap w:val="0"/>
            <w:vAlign w:val="center"/>
          </w:tcPr>
          <w:p w14:paraId="21E9490F">
            <w:pPr>
              <w:pStyle w:val="17"/>
              <w:bidi w:val="0"/>
              <w:ind w:firstLine="0" w:firstLineChars="0"/>
              <w:rPr>
                <w:rFonts w:hint="eastAsia" w:ascii="Times New Roman" w:hAnsi="Times New Roman" w:eastAsia="宋体" w:cs="Times New Roman"/>
                <w:color w:val="auto"/>
                <w:spacing w:val="-1"/>
                <w:kern w:val="2"/>
                <w:sz w:val="21"/>
                <w:szCs w:val="21"/>
                <w:highlight w:val="none"/>
                <w:lang w:val="en-US" w:eastAsia="zh-CN" w:bidi="zh-CN"/>
              </w:rPr>
            </w:pPr>
            <w:r>
              <w:rPr>
                <w:rFonts w:hint="eastAsia" w:cs="Times New Roman"/>
                <w:color w:val="auto"/>
                <w:highlight w:val="none"/>
                <w:lang w:val="en-US" w:eastAsia="zh-CN"/>
              </w:rPr>
              <w:t>20</w:t>
            </w:r>
          </w:p>
        </w:tc>
        <w:tc>
          <w:tcPr>
            <w:tcW w:w="1022" w:type="pct"/>
            <w:tcBorders>
              <w:tl2br w:val="nil"/>
              <w:tr2bl w:val="nil"/>
            </w:tcBorders>
            <w:shd w:val="clear" w:color="auto" w:fill="auto"/>
            <w:noWrap w:val="0"/>
            <w:vAlign w:val="center"/>
          </w:tcPr>
          <w:p w14:paraId="5C59CC2C">
            <w:pPr>
              <w:pStyle w:val="17"/>
              <w:bidi w:val="0"/>
              <w:ind w:firstLine="0" w:firstLineChars="0"/>
              <w:rPr>
                <w:rFonts w:hint="eastAsia" w:ascii="Times New Roman" w:hAnsi="Times New Roman" w:eastAsia="Times New Roman" w:cs="Times New Roman"/>
                <w:color w:val="auto"/>
                <w:spacing w:val="-1"/>
                <w:kern w:val="2"/>
                <w:sz w:val="21"/>
                <w:szCs w:val="21"/>
                <w:highlight w:val="none"/>
                <w:lang w:val="en-US" w:eastAsia="zh-CN" w:bidi="zh-CN"/>
              </w:rPr>
            </w:pPr>
            <w:r>
              <w:rPr>
                <w:rFonts w:hint="default" w:ascii="Times New Roman" w:hAnsi="Times New Roman" w:cs="Times New Roman"/>
                <w:color w:val="auto"/>
                <w:highlight w:val="none"/>
              </w:rPr>
              <w:t>50</w:t>
            </w:r>
          </w:p>
        </w:tc>
        <w:tc>
          <w:tcPr>
            <w:tcW w:w="961" w:type="pct"/>
            <w:tcBorders>
              <w:tl2br w:val="nil"/>
              <w:tr2bl w:val="nil"/>
            </w:tcBorders>
            <w:shd w:val="clear" w:color="auto" w:fill="auto"/>
            <w:noWrap w:val="0"/>
            <w:vAlign w:val="center"/>
          </w:tcPr>
          <w:p w14:paraId="628680C5">
            <w:pPr>
              <w:pStyle w:val="17"/>
              <w:bidi w:val="0"/>
              <w:rPr>
                <w:rFonts w:hint="default" w:ascii="Times New Roman" w:hAnsi="Times New Roman" w:eastAsia="宋体" w:cs="Times New Roman"/>
                <w:color w:val="auto"/>
                <w:spacing w:val="-1"/>
                <w:kern w:val="2"/>
                <w:szCs w:val="21"/>
                <w:highlight w:val="none"/>
                <w:lang w:val="en-US" w:eastAsia="zh-CN" w:bidi="zh-CN"/>
              </w:rPr>
            </w:pPr>
            <w:r>
              <w:rPr>
                <w:rFonts w:hint="eastAsia" w:cs="Times New Roman"/>
                <w:color w:val="auto"/>
                <w:highlight w:val="none"/>
                <w:lang w:val="en-US" w:eastAsia="zh-CN"/>
              </w:rPr>
              <w:t>0.4</w:t>
            </w:r>
          </w:p>
        </w:tc>
      </w:tr>
      <w:tr w14:paraId="6AA8B0D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784" w:type="pct"/>
            <w:tcBorders>
              <w:tl2br w:val="nil"/>
              <w:tr2bl w:val="nil"/>
            </w:tcBorders>
            <w:shd w:val="clear" w:color="auto" w:fill="auto"/>
            <w:noWrap w:val="0"/>
            <w:vAlign w:val="center"/>
          </w:tcPr>
          <w:p w14:paraId="56D903C4">
            <w:pPr>
              <w:pStyle w:val="17"/>
              <w:bidi w:val="0"/>
              <w:rPr>
                <w:rFonts w:hint="default" w:ascii="Times New Roman" w:hAnsi="Times New Roman" w:eastAsia="宋体" w:cs="Times New Roman"/>
                <w:color w:val="auto"/>
                <w:spacing w:val="-1"/>
                <w:kern w:val="2"/>
                <w:szCs w:val="21"/>
                <w:highlight w:val="none"/>
                <w:lang w:val="en-US" w:eastAsia="zh-CN" w:bidi="zh-CN"/>
              </w:rPr>
            </w:pPr>
            <w:r>
              <w:rPr>
                <w:rFonts w:hint="default" w:ascii="Times New Roman" w:hAnsi="Times New Roman" w:cs="Times New Roman"/>
                <w:color w:val="auto"/>
                <w:highlight w:val="none"/>
                <w:lang w:val="en-US" w:eastAsia="zh-CN"/>
              </w:rPr>
              <w:t>加油站</w:t>
            </w:r>
          </w:p>
        </w:tc>
        <w:tc>
          <w:tcPr>
            <w:tcW w:w="1232" w:type="pct"/>
            <w:tcBorders>
              <w:tl2br w:val="nil"/>
              <w:tr2bl w:val="nil"/>
            </w:tcBorders>
            <w:shd w:val="clear" w:color="auto" w:fill="auto"/>
            <w:noWrap w:val="0"/>
            <w:vAlign w:val="center"/>
          </w:tcPr>
          <w:p w14:paraId="6706E6DC">
            <w:pPr>
              <w:pStyle w:val="17"/>
              <w:bidi w:val="0"/>
              <w:rPr>
                <w:rFonts w:hint="default" w:ascii="Times New Roman" w:hAnsi="Times New Roman" w:eastAsia="宋体" w:cs="Times New Roman"/>
                <w:color w:val="auto"/>
                <w:spacing w:val="-1"/>
                <w:kern w:val="2"/>
                <w:szCs w:val="21"/>
                <w:highlight w:val="none"/>
                <w:lang w:val="en-US" w:eastAsia="zh-CN" w:bidi="zh-CN"/>
              </w:rPr>
            </w:pPr>
            <w:r>
              <w:rPr>
                <w:rFonts w:hint="default" w:ascii="Times New Roman" w:hAnsi="Times New Roman" w:cs="Times New Roman"/>
                <w:color w:val="auto"/>
                <w:highlight w:val="none"/>
                <w:lang w:val="en-US" w:eastAsia="zh-CN"/>
              </w:rPr>
              <w:t>柴油</w:t>
            </w:r>
          </w:p>
        </w:tc>
        <w:tc>
          <w:tcPr>
            <w:tcW w:w="999" w:type="pct"/>
            <w:tcBorders>
              <w:tl2br w:val="nil"/>
              <w:tr2bl w:val="nil"/>
            </w:tcBorders>
            <w:shd w:val="clear" w:color="auto" w:fill="auto"/>
            <w:noWrap w:val="0"/>
            <w:vAlign w:val="center"/>
          </w:tcPr>
          <w:p w14:paraId="5BA268A5">
            <w:pPr>
              <w:pStyle w:val="17"/>
              <w:bidi w:val="0"/>
              <w:ind w:firstLine="0" w:firstLineChars="0"/>
              <w:rPr>
                <w:rFonts w:hint="default" w:ascii="Times New Roman" w:hAnsi="Times New Roman" w:eastAsia="宋体" w:cs="Times New Roman"/>
                <w:color w:val="auto"/>
                <w:spacing w:val="-1"/>
                <w:kern w:val="2"/>
                <w:sz w:val="21"/>
                <w:szCs w:val="21"/>
                <w:highlight w:val="none"/>
                <w:lang w:val="en-US" w:eastAsia="zh-CN" w:bidi="zh-CN"/>
              </w:rPr>
            </w:pPr>
            <w:r>
              <w:rPr>
                <w:rFonts w:hint="eastAsia" w:ascii="Times New Roman" w:hAnsi="Times New Roman" w:cs="Times New Roman"/>
                <w:color w:val="auto"/>
                <w:highlight w:val="none"/>
                <w:lang w:val="en-US" w:eastAsia="zh-CN"/>
              </w:rPr>
              <w:t>76.5</w:t>
            </w:r>
          </w:p>
        </w:tc>
        <w:tc>
          <w:tcPr>
            <w:tcW w:w="1022" w:type="pct"/>
            <w:tcBorders>
              <w:tl2br w:val="nil"/>
              <w:tr2bl w:val="nil"/>
            </w:tcBorders>
            <w:shd w:val="clear" w:color="auto" w:fill="auto"/>
            <w:noWrap w:val="0"/>
            <w:vAlign w:val="center"/>
          </w:tcPr>
          <w:p w14:paraId="11210F6A">
            <w:pPr>
              <w:pStyle w:val="17"/>
              <w:bidi w:val="0"/>
              <w:ind w:firstLine="0" w:firstLineChars="0"/>
              <w:rPr>
                <w:rFonts w:hint="default" w:ascii="Times New Roman" w:hAnsi="Times New Roman" w:eastAsia="宋体" w:cs="Times New Roman"/>
                <w:color w:val="auto"/>
                <w:spacing w:val="-1"/>
                <w:kern w:val="2"/>
                <w:sz w:val="21"/>
                <w:szCs w:val="21"/>
                <w:highlight w:val="none"/>
                <w:lang w:val="en-US" w:eastAsia="zh-CN" w:bidi="zh-CN"/>
              </w:rPr>
            </w:pPr>
            <w:r>
              <w:rPr>
                <w:rFonts w:hint="default" w:ascii="Times New Roman" w:hAnsi="Times New Roman" w:cs="Times New Roman"/>
                <w:color w:val="auto"/>
                <w:highlight w:val="none"/>
                <w:lang w:val="en-US" w:eastAsia="zh-CN"/>
              </w:rPr>
              <w:t>2500</w:t>
            </w:r>
          </w:p>
        </w:tc>
        <w:tc>
          <w:tcPr>
            <w:tcW w:w="961" w:type="pct"/>
            <w:tcBorders>
              <w:tl2br w:val="nil"/>
              <w:tr2bl w:val="nil"/>
            </w:tcBorders>
            <w:shd w:val="clear" w:color="auto" w:fill="auto"/>
            <w:noWrap w:val="0"/>
            <w:vAlign w:val="center"/>
          </w:tcPr>
          <w:p w14:paraId="3ED218AA">
            <w:pPr>
              <w:pStyle w:val="17"/>
              <w:bidi w:val="0"/>
              <w:rPr>
                <w:rFonts w:hint="default" w:ascii="Times New Roman" w:hAnsi="Times New Roman" w:eastAsia="宋体" w:cs="Times New Roman"/>
                <w:color w:val="auto"/>
                <w:spacing w:val="-1"/>
                <w:kern w:val="2"/>
                <w:szCs w:val="21"/>
                <w:highlight w:val="none"/>
                <w:lang w:val="en-US" w:eastAsia="zh-CN" w:bidi="zh-CN"/>
              </w:rPr>
            </w:pPr>
            <w:r>
              <w:rPr>
                <w:rFonts w:hint="eastAsia" w:cs="Times New Roman"/>
                <w:color w:val="auto"/>
                <w:highlight w:val="none"/>
                <w:lang w:val="en-US" w:eastAsia="zh-CN"/>
              </w:rPr>
              <w:t>0.0306</w:t>
            </w:r>
          </w:p>
        </w:tc>
      </w:tr>
      <w:tr w14:paraId="5CBA15E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784" w:type="pct"/>
            <w:tcBorders>
              <w:tl2br w:val="nil"/>
              <w:tr2bl w:val="nil"/>
            </w:tcBorders>
            <w:shd w:val="clear" w:color="auto" w:fill="auto"/>
            <w:noWrap w:val="0"/>
            <w:vAlign w:val="center"/>
          </w:tcPr>
          <w:p w14:paraId="374577FA">
            <w:pPr>
              <w:pStyle w:val="17"/>
              <w:bidi w:val="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硫酸稀释车间</w:t>
            </w:r>
          </w:p>
        </w:tc>
        <w:tc>
          <w:tcPr>
            <w:tcW w:w="1232" w:type="pct"/>
            <w:tcBorders>
              <w:tl2br w:val="nil"/>
              <w:tr2bl w:val="nil"/>
            </w:tcBorders>
            <w:shd w:val="clear" w:color="auto" w:fill="auto"/>
            <w:noWrap w:val="0"/>
            <w:vAlign w:val="center"/>
          </w:tcPr>
          <w:p w14:paraId="51ECE63D">
            <w:pPr>
              <w:pStyle w:val="17"/>
              <w:bidi w:val="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93%硫酸</w:t>
            </w:r>
          </w:p>
        </w:tc>
        <w:tc>
          <w:tcPr>
            <w:tcW w:w="999" w:type="pct"/>
            <w:tcBorders>
              <w:tl2br w:val="nil"/>
              <w:tr2bl w:val="nil"/>
            </w:tcBorders>
            <w:shd w:val="clear" w:color="auto" w:fill="auto"/>
            <w:noWrap w:val="0"/>
            <w:vAlign w:val="center"/>
          </w:tcPr>
          <w:p w14:paraId="168C9B78">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659</w:t>
            </w:r>
          </w:p>
        </w:tc>
        <w:tc>
          <w:tcPr>
            <w:tcW w:w="1022" w:type="pct"/>
            <w:tcBorders>
              <w:tl2br w:val="nil"/>
              <w:tr2bl w:val="nil"/>
            </w:tcBorders>
            <w:shd w:val="clear" w:color="auto" w:fill="auto"/>
            <w:noWrap w:val="0"/>
            <w:vAlign w:val="center"/>
          </w:tcPr>
          <w:p w14:paraId="516A842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10</w:t>
            </w:r>
          </w:p>
        </w:tc>
        <w:tc>
          <w:tcPr>
            <w:tcW w:w="961" w:type="pct"/>
            <w:tcBorders>
              <w:tl2br w:val="nil"/>
              <w:tr2bl w:val="nil"/>
            </w:tcBorders>
            <w:shd w:val="clear" w:color="auto" w:fill="auto"/>
            <w:noWrap w:val="0"/>
            <w:vAlign w:val="center"/>
          </w:tcPr>
          <w:p w14:paraId="055F1BA7">
            <w:pPr>
              <w:pStyle w:val="17"/>
              <w:bidi w:val="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65.9</w:t>
            </w:r>
          </w:p>
        </w:tc>
      </w:tr>
      <w:tr w14:paraId="333CA01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784" w:type="pct"/>
            <w:vMerge w:val="restart"/>
            <w:tcBorders>
              <w:tl2br w:val="nil"/>
              <w:tr2bl w:val="nil"/>
            </w:tcBorders>
            <w:shd w:val="clear" w:color="auto" w:fill="auto"/>
            <w:noWrap w:val="0"/>
            <w:vAlign w:val="center"/>
          </w:tcPr>
          <w:p w14:paraId="36ACBF50">
            <w:pPr>
              <w:pStyle w:val="17"/>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采场机修车间</w:t>
            </w:r>
          </w:p>
        </w:tc>
        <w:tc>
          <w:tcPr>
            <w:tcW w:w="1232" w:type="pct"/>
            <w:tcBorders>
              <w:tl2br w:val="nil"/>
              <w:tr2bl w:val="nil"/>
            </w:tcBorders>
            <w:shd w:val="clear" w:color="auto" w:fill="auto"/>
            <w:noWrap w:val="0"/>
            <w:vAlign w:val="center"/>
          </w:tcPr>
          <w:p w14:paraId="238110F4">
            <w:pPr>
              <w:pStyle w:val="17"/>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机油</w:t>
            </w:r>
          </w:p>
        </w:tc>
        <w:tc>
          <w:tcPr>
            <w:tcW w:w="999" w:type="pct"/>
            <w:tcBorders>
              <w:tl2br w:val="nil"/>
              <w:tr2bl w:val="nil"/>
            </w:tcBorders>
            <w:shd w:val="clear" w:color="auto" w:fill="auto"/>
            <w:noWrap w:val="0"/>
            <w:vAlign w:val="center"/>
          </w:tcPr>
          <w:p w14:paraId="168D6A2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5</w:t>
            </w:r>
          </w:p>
        </w:tc>
        <w:tc>
          <w:tcPr>
            <w:tcW w:w="1022" w:type="pct"/>
            <w:tcBorders>
              <w:tl2br w:val="nil"/>
              <w:tr2bl w:val="nil"/>
            </w:tcBorders>
            <w:shd w:val="clear" w:color="auto" w:fill="auto"/>
            <w:noWrap w:val="0"/>
            <w:vAlign w:val="center"/>
          </w:tcPr>
          <w:p w14:paraId="4D6E4688">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2500</w:t>
            </w:r>
          </w:p>
        </w:tc>
        <w:tc>
          <w:tcPr>
            <w:tcW w:w="961" w:type="pct"/>
            <w:tcBorders>
              <w:tl2br w:val="nil"/>
              <w:tr2bl w:val="nil"/>
            </w:tcBorders>
            <w:shd w:val="clear" w:color="auto" w:fill="auto"/>
            <w:noWrap w:val="0"/>
            <w:vAlign w:val="center"/>
          </w:tcPr>
          <w:p w14:paraId="0DBCC0FB">
            <w:pPr>
              <w:pStyle w:val="17"/>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0.002</w:t>
            </w:r>
          </w:p>
        </w:tc>
      </w:tr>
      <w:tr w14:paraId="68BB844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784" w:type="pct"/>
            <w:vMerge w:val="continue"/>
            <w:tcBorders>
              <w:tl2br w:val="nil"/>
              <w:tr2bl w:val="nil"/>
            </w:tcBorders>
            <w:shd w:val="clear" w:color="auto" w:fill="auto"/>
            <w:noWrap w:val="0"/>
            <w:vAlign w:val="center"/>
          </w:tcPr>
          <w:p w14:paraId="05CD84A9">
            <w:pPr>
              <w:pStyle w:val="17"/>
              <w:bidi w:val="0"/>
              <w:rPr>
                <w:rFonts w:hint="eastAsia" w:ascii="Times New Roman" w:hAnsi="Times New Roman" w:cs="Times New Roman"/>
                <w:color w:val="auto"/>
                <w:highlight w:val="none"/>
                <w:lang w:val="en-US" w:eastAsia="zh-CN"/>
              </w:rPr>
            </w:pPr>
          </w:p>
        </w:tc>
        <w:tc>
          <w:tcPr>
            <w:tcW w:w="1232" w:type="pct"/>
            <w:tcBorders>
              <w:tl2br w:val="nil"/>
              <w:tr2bl w:val="nil"/>
            </w:tcBorders>
            <w:shd w:val="clear" w:color="auto" w:fill="auto"/>
            <w:noWrap w:val="0"/>
            <w:vAlign w:val="center"/>
          </w:tcPr>
          <w:p w14:paraId="64528588">
            <w:pPr>
              <w:pStyle w:val="17"/>
              <w:bidi w:val="0"/>
              <w:rPr>
                <w:rFonts w:hint="default" w:cs="Times New Roman"/>
                <w:color w:val="auto"/>
                <w:highlight w:val="none"/>
                <w:lang w:val="en-US" w:eastAsia="zh-CN"/>
              </w:rPr>
            </w:pPr>
            <w:r>
              <w:rPr>
                <w:rFonts w:hint="eastAsia" w:cs="Times New Roman"/>
                <w:color w:val="auto"/>
                <w:highlight w:val="none"/>
                <w:lang w:val="en-US" w:eastAsia="zh-CN"/>
              </w:rPr>
              <w:t>液压油</w:t>
            </w:r>
          </w:p>
        </w:tc>
        <w:tc>
          <w:tcPr>
            <w:tcW w:w="999" w:type="pct"/>
            <w:tcBorders>
              <w:tl2br w:val="nil"/>
              <w:tr2bl w:val="nil"/>
            </w:tcBorders>
            <w:shd w:val="clear" w:color="auto" w:fill="auto"/>
            <w:noWrap w:val="0"/>
            <w:vAlign w:val="center"/>
          </w:tcPr>
          <w:p w14:paraId="735145F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1</w:t>
            </w:r>
          </w:p>
        </w:tc>
        <w:tc>
          <w:tcPr>
            <w:tcW w:w="1022" w:type="pct"/>
            <w:tcBorders>
              <w:tl2br w:val="nil"/>
              <w:tr2bl w:val="nil"/>
            </w:tcBorders>
            <w:shd w:val="clear" w:color="auto" w:fill="auto"/>
            <w:noWrap w:val="0"/>
            <w:vAlign w:val="center"/>
          </w:tcPr>
          <w:p w14:paraId="21FC8ED6">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2500</w:t>
            </w:r>
          </w:p>
        </w:tc>
        <w:tc>
          <w:tcPr>
            <w:tcW w:w="961" w:type="pct"/>
            <w:tcBorders>
              <w:tl2br w:val="nil"/>
              <w:tr2bl w:val="nil"/>
            </w:tcBorders>
            <w:shd w:val="clear" w:color="auto" w:fill="auto"/>
            <w:noWrap w:val="0"/>
            <w:vAlign w:val="center"/>
          </w:tcPr>
          <w:p w14:paraId="1491EB34">
            <w:pPr>
              <w:pStyle w:val="17"/>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0.0004</w:t>
            </w:r>
          </w:p>
        </w:tc>
      </w:tr>
      <w:tr w14:paraId="1017FE3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784" w:type="pct"/>
            <w:vMerge w:val="continue"/>
            <w:tcBorders>
              <w:tl2br w:val="nil"/>
              <w:tr2bl w:val="nil"/>
            </w:tcBorders>
            <w:shd w:val="clear" w:color="auto" w:fill="auto"/>
            <w:noWrap w:val="0"/>
            <w:vAlign w:val="center"/>
          </w:tcPr>
          <w:p w14:paraId="55189E68">
            <w:pPr>
              <w:pStyle w:val="17"/>
              <w:bidi w:val="0"/>
              <w:rPr>
                <w:rFonts w:hint="eastAsia" w:ascii="Times New Roman" w:hAnsi="Times New Roman" w:cs="Times New Roman"/>
                <w:color w:val="auto"/>
                <w:highlight w:val="none"/>
                <w:lang w:val="en-US" w:eastAsia="zh-CN"/>
              </w:rPr>
            </w:pPr>
          </w:p>
        </w:tc>
        <w:tc>
          <w:tcPr>
            <w:tcW w:w="1232" w:type="pct"/>
            <w:tcBorders>
              <w:tl2br w:val="nil"/>
              <w:tr2bl w:val="nil"/>
            </w:tcBorders>
            <w:shd w:val="clear" w:color="auto" w:fill="auto"/>
            <w:noWrap w:val="0"/>
            <w:vAlign w:val="center"/>
          </w:tcPr>
          <w:p w14:paraId="30921AE6">
            <w:pPr>
              <w:pStyle w:val="17"/>
              <w:bidi w:val="0"/>
              <w:rPr>
                <w:rFonts w:hint="default" w:cs="Times New Roman"/>
                <w:color w:val="auto"/>
                <w:highlight w:val="none"/>
                <w:lang w:val="en-US" w:eastAsia="zh-CN"/>
              </w:rPr>
            </w:pPr>
            <w:r>
              <w:rPr>
                <w:rFonts w:hint="eastAsia" w:cs="Times New Roman"/>
                <w:color w:val="auto"/>
                <w:highlight w:val="none"/>
                <w:lang w:val="en-US" w:eastAsia="zh-CN"/>
              </w:rPr>
              <w:t>传动油</w:t>
            </w:r>
          </w:p>
        </w:tc>
        <w:tc>
          <w:tcPr>
            <w:tcW w:w="999" w:type="pct"/>
            <w:tcBorders>
              <w:tl2br w:val="nil"/>
              <w:tr2bl w:val="nil"/>
            </w:tcBorders>
            <w:shd w:val="clear" w:color="auto" w:fill="auto"/>
            <w:noWrap w:val="0"/>
            <w:vAlign w:val="center"/>
          </w:tcPr>
          <w:p w14:paraId="6BF00CD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1</w:t>
            </w:r>
          </w:p>
        </w:tc>
        <w:tc>
          <w:tcPr>
            <w:tcW w:w="1022" w:type="pct"/>
            <w:tcBorders>
              <w:tl2br w:val="nil"/>
              <w:tr2bl w:val="nil"/>
            </w:tcBorders>
            <w:shd w:val="clear" w:color="auto" w:fill="auto"/>
            <w:noWrap w:val="0"/>
            <w:vAlign w:val="center"/>
          </w:tcPr>
          <w:p w14:paraId="76BBC83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2500</w:t>
            </w:r>
          </w:p>
        </w:tc>
        <w:tc>
          <w:tcPr>
            <w:tcW w:w="961" w:type="pct"/>
            <w:tcBorders>
              <w:tl2br w:val="nil"/>
              <w:tr2bl w:val="nil"/>
            </w:tcBorders>
            <w:shd w:val="clear" w:color="auto" w:fill="auto"/>
            <w:noWrap w:val="0"/>
            <w:vAlign w:val="center"/>
          </w:tcPr>
          <w:p w14:paraId="72C00016">
            <w:pPr>
              <w:pStyle w:val="17"/>
              <w:bidi w:val="0"/>
              <w:rPr>
                <w:rFonts w:hint="eastAsia" w:ascii="Times New Roman" w:hAnsi="Times New Roman" w:cs="Times New Roman"/>
                <w:color w:val="auto"/>
                <w:highlight w:val="none"/>
                <w:lang w:val="en-US" w:eastAsia="zh-CN"/>
              </w:rPr>
            </w:pPr>
            <w:r>
              <w:rPr>
                <w:rFonts w:hint="eastAsia" w:cs="Times New Roman"/>
                <w:color w:val="auto"/>
                <w:highlight w:val="none"/>
                <w:lang w:val="en-US" w:eastAsia="zh-CN"/>
              </w:rPr>
              <w:t>0.0004</w:t>
            </w:r>
          </w:p>
        </w:tc>
      </w:tr>
      <w:tr w14:paraId="0EA6037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784" w:type="pct"/>
            <w:vMerge w:val="continue"/>
            <w:tcBorders>
              <w:tl2br w:val="nil"/>
              <w:tr2bl w:val="nil"/>
            </w:tcBorders>
            <w:shd w:val="clear" w:color="auto" w:fill="auto"/>
            <w:noWrap w:val="0"/>
            <w:vAlign w:val="center"/>
          </w:tcPr>
          <w:p w14:paraId="70182E70">
            <w:pPr>
              <w:pStyle w:val="17"/>
              <w:bidi w:val="0"/>
              <w:rPr>
                <w:rFonts w:hint="eastAsia" w:ascii="Times New Roman" w:hAnsi="Times New Roman" w:cs="Times New Roman"/>
                <w:color w:val="auto"/>
                <w:highlight w:val="none"/>
                <w:lang w:val="en-US" w:eastAsia="zh-CN"/>
              </w:rPr>
            </w:pPr>
          </w:p>
        </w:tc>
        <w:tc>
          <w:tcPr>
            <w:tcW w:w="1232" w:type="pct"/>
            <w:tcBorders>
              <w:tl2br w:val="nil"/>
              <w:tr2bl w:val="nil"/>
            </w:tcBorders>
            <w:shd w:val="clear" w:color="auto" w:fill="auto"/>
            <w:noWrap w:val="0"/>
            <w:vAlign w:val="center"/>
          </w:tcPr>
          <w:p w14:paraId="777FD9D9">
            <w:pPr>
              <w:pStyle w:val="17"/>
              <w:bidi w:val="0"/>
              <w:rPr>
                <w:rFonts w:hint="default" w:cs="Times New Roman"/>
                <w:color w:val="auto"/>
                <w:highlight w:val="none"/>
                <w:lang w:val="en-US" w:eastAsia="zh-CN"/>
              </w:rPr>
            </w:pPr>
            <w:r>
              <w:rPr>
                <w:rFonts w:hint="eastAsia" w:cs="Times New Roman"/>
                <w:color w:val="auto"/>
                <w:highlight w:val="none"/>
                <w:lang w:val="en-US" w:eastAsia="zh-CN"/>
              </w:rPr>
              <w:t>齿轮油</w:t>
            </w:r>
          </w:p>
        </w:tc>
        <w:tc>
          <w:tcPr>
            <w:tcW w:w="999" w:type="pct"/>
            <w:tcBorders>
              <w:tl2br w:val="nil"/>
              <w:tr2bl w:val="nil"/>
            </w:tcBorders>
            <w:shd w:val="clear" w:color="auto" w:fill="auto"/>
            <w:noWrap w:val="0"/>
            <w:vAlign w:val="center"/>
          </w:tcPr>
          <w:p w14:paraId="53C445C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0.2</w:t>
            </w:r>
          </w:p>
        </w:tc>
        <w:tc>
          <w:tcPr>
            <w:tcW w:w="1022" w:type="pct"/>
            <w:tcBorders>
              <w:tl2br w:val="nil"/>
              <w:tr2bl w:val="nil"/>
            </w:tcBorders>
            <w:shd w:val="clear" w:color="auto" w:fill="auto"/>
            <w:noWrap w:val="0"/>
            <w:vAlign w:val="center"/>
          </w:tcPr>
          <w:p w14:paraId="3DD52C6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2500</w:t>
            </w:r>
          </w:p>
        </w:tc>
        <w:tc>
          <w:tcPr>
            <w:tcW w:w="961" w:type="pct"/>
            <w:tcBorders>
              <w:tl2br w:val="nil"/>
              <w:tr2bl w:val="nil"/>
            </w:tcBorders>
            <w:shd w:val="clear" w:color="auto" w:fill="auto"/>
            <w:noWrap w:val="0"/>
            <w:vAlign w:val="center"/>
          </w:tcPr>
          <w:p w14:paraId="43C6D121">
            <w:pPr>
              <w:pStyle w:val="17"/>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0.00008</w:t>
            </w:r>
          </w:p>
        </w:tc>
      </w:tr>
      <w:tr w14:paraId="62D7C87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784" w:type="pct"/>
            <w:vMerge w:val="continue"/>
            <w:tcBorders>
              <w:tl2br w:val="nil"/>
              <w:tr2bl w:val="nil"/>
            </w:tcBorders>
            <w:shd w:val="clear" w:color="auto" w:fill="auto"/>
            <w:noWrap w:val="0"/>
            <w:vAlign w:val="center"/>
          </w:tcPr>
          <w:p w14:paraId="10095F80">
            <w:pPr>
              <w:pStyle w:val="17"/>
              <w:bidi w:val="0"/>
              <w:rPr>
                <w:rFonts w:hint="eastAsia" w:ascii="Times New Roman" w:hAnsi="Times New Roman" w:cs="Times New Roman"/>
                <w:color w:val="auto"/>
                <w:highlight w:val="none"/>
                <w:lang w:val="en-US" w:eastAsia="zh-CN"/>
              </w:rPr>
            </w:pPr>
          </w:p>
        </w:tc>
        <w:tc>
          <w:tcPr>
            <w:tcW w:w="1232" w:type="pct"/>
            <w:tcBorders>
              <w:tl2br w:val="nil"/>
              <w:tr2bl w:val="nil"/>
            </w:tcBorders>
            <w:shd w:val="clear" w:color="auto" w:fill="auto"/>
            <w:noWrap w:val="0"/>
            <w:vAlign w:val="center"/>
          </w:tcPr>
          <w:p w14:paraId="2A5CB93A">
            <w:pPr>
              <w:pStyle w:val="17"/>
              <w:bidi w:val="0"/>
              <w:rPr>
                <w:rFonts w:hint="default" w:cs="Times New Roman"/>
                <w:color w:val="auto"/>
                <w:highlight w:val="none"/>
                <w:lang w:val="en-US" w:eastAsia="zh-CN"/>
              </w:rPr>
            </w:pPr>
            <w:r>
              <w:rPr>
                <w:rFonts w:hint="eastAsia" w:cs="Times New Roman"/>
                <w:color w:val="auto"/>
                <w:highlight w:val="none"/>
                <w:lang w:val="en-US" w:eastAsia="zh-CN"/>
              </w:rPr>
              <w:t>黄油</w:t>
            </w:r>
          </w:p>
        </w:tc>
        <w:tc>
          <w:tcPr>
            <w:tcW w:w="999" w:type="pct"/>
            <w:tcBorders>
              <w:tl2br w:val="nil"/>
              <w:tr2bl w:val="nil"/>
            </w:tcBorders>
            <w:shd w:val="clear" w:color="auto" w:fill="auto"/>
            <w:noWrap w:val="0"/>
            <w:vAlign w:val="center"/>
          </w:tcPr>
          <w:p w14:paraId="68FF8BE6">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10</w:t>
            </w:r>
          </w:p>
        </w:tc>
        <w:tc>
          <w:tcPr>
            <w:tcW w:w="1022" w:type="pct"/>
            <w:tcBorders>
              <w:tl2br w:val="nil"/>
              <w:tr2bl w:val="nil"/>
            </w:tcBorders>
            <w:shd w:val="clear" w:color="auto" w:fill="auto"/>
            <w:noWrap w:val="0"/>
            <w:vAlign w:val="center"/>
          </w:tcPr>
          <w:p w14:paraId="253F055D">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2500</w:t>
            </w:r>
          </w:p>
        </w:tc>
        <w:tc>
          <w:tcPr>
            <w:tcW w:w="961" w:type="pct"/>
            <w:tcBorders>
              <w:tl2br w:val="nil"/>
              <w:tr2bl w:val="nil"/>
            </w:tcBorders>
            <w:shd w:val="clear" w:color="auto" w:fill="auto"/>
            <w:noWrap w:val="0"/>
            <w:vAlign w:val="center"/>
          </w:tcPr>
          <w:p w14:paraId="19BD947B">
            <w:pPr>
              <w:pStyle w:val="17"/>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0.004</w:t>
            </w:r>
          </w:p>
        </w:tc>
      </w:tr>
      <w:tr w14:paraId="032B727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4038" w:type="pct"/>
            <w:gridSpan w:val="4"/>
            <w:tcBorders>
              <w:tl2br w:val="nil"/>
              <w:tr2bl w:val="nil"/>
            </w:tcBorders>
            <w:shd w:val="clear" w:color="auto" w:fill="auto"/>
            <w:noWrap w:val="0"/>
            <w:vAlign w:val="center"/>
          </w:tcPr>
          <w:p w14:paraId="563D310E">
            <w:pPr>
              <w:pStyle w:val="17"/>
              <w:bidi w:val="0"/>
              <w:ind w:firstLine="0" w:firstLineChars="0"/>
              <w:rPr>
                <w:rFonts w:hint="default"/>
                <w:color w:val="auto"/>
                <w:highlight w:val="none"/>
                <w:lang w:val="en-US" w:eastAsia="zh-CN"/>
              </w:rPr>
            </w:pPr>
            <w:r>
              <w:rPr>
                <w:rFonts w:hint="eastAsia"/>
                <w:color w:val="auto"/>
                <w:highlight w:val="none"/>
                <w:lang w:val="en-US" w:eastAsia="zh-CN"/>
              </w:rPr>
              <w:t>合计</w:t>
            </w:r>
          </w:p>
        </w:tc>
        <w:tc>
          <w:tcPr>
            <w:tcW w:w="961" w:type="pct"/>
            <w:tcBorders>
              <w:tl2br w:val="nil"/>
              <w:tr2bl w:val="nil"/>
            </w:tcBorders>
            <w:shd w:val="clear" w:color="auto" w:fill="auto"/>
            <w:noWrap w:val="0"/>
            <w:vAlign w:val="center"/>
          </w:tcPr>
          <w:p w14:paraId="5CB09A26">
            <w:pPr>
              <w:pStyle w:val="17"/>
              <w:bidi w:val="0"/>
              <w:rPr>
                <w:rFonts w:hint="default" w:cs="Times New Roman"/>
                <w:color w:val="auto"/>
                <w:highlight w:val="none"/>
                <w:lang w:val="en-US" w:eastAsia="zh-CN"/>
              </w:rPr>
            </w:pPr>
            <w:r>
              <w:rPr>
                <w:rFonts w:hint="eastAsia" w:cs="Times New Roman"/>
                <w:color w:val="auto"/>
                <w:highlight w:val="none"/>
                <w:lang w:val="en-US" w:eastAsia="zh-CN"/>
              </w:rPr>
              <w:t>66.34</w:t>
            </w:r>
          </w:p>
        </w:tc>
      </w:tr>
    </w:tbl>
    <w:p w14:paraId="4B505A6C">
      <w:pPr>
        <w:ind w:firstLine="480"/>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rPr>
        <w:t>因此，本工程Q值为</w:t>
      </w:r>
      <w:r>
        <w:rPr>
          <w:rFonts w:hint="eastAsia" w:ascii="Times New Roman" w:hAnsi="Times New Roman" w:cs="Times New Roman"/>
          <w:color w:val="auto"/>
          <w:sz w:val="24"/>
          <w:highlight w:val="none"/>
          <w:lang w:val="en-US" w:eastAsia="zh-CN"/>
        </w:rPr>
        <w:t>66.</w:t>
      </w:r>
      <w:r>
        <w:rPr>
          <w:rFonts w:hint="eastAsia" w:cs="Times New Roman"/>
          <w:color w:val="auto"/>
          <w:sz w:val="24"/>
          <w:highlight w:val="none"/>
          <w:lang w:val="en-US" w:eastAsia="zh-CN"/>
        </w:rPr>
        <w:t>34</w:t>
      </w:r>
      <w:r>
        <w:rPr>
          <w:rFonts w:hint="eastAsia" w:ascii="Times New Roman" w:hAnsi="Times New Roman" w:cs="Times New Roman"/>
          <w:color w:val="auto"/>
          <w:sz w:val="24"/>
          <w:highlight w:val="none"/>
          <w:lang w:val="en-US" w:eastAsia="zh-CN"/>
        </w:rPr>
        <w:t>，10</w:t>
      </w:r>
      <w:r>
        <w:rPr>
          <w:rFonts w:hint="default" w:ascii="Times New Roman" w:hAnsi="Times New Roman" w:cs="Times New Roman"/>
          <w:color w:val="auto"/>
          <w:highlight w:val="none"/>
        </w:rPr>
        <w:t>≤</w:t>
      </w:r>
      <w:r>
        <w:rPr>
          <w:rFonts w:hint="eastAsia" w:ascii="Times New Roman" w:hAnsi="Times New Roman" w:cs="Times New Roman"/>
          <w:color w:val="auto"/>
          <w:sz w:val="24"/>
          <w:highlight w:val="none"/>
          <w:lang w:val="en-US" w:eastAsia="zh-CN"/>
        </w:rPr>
        <w:t>66.</w:t>
      </w:r>
      <w:r>
        <w:rPr>
          <w:rFonts w:hint="eastAsia" w:cs="Times New Roman"/>
          <w:color w:val="auto"/>
          <w:sz w:val="24"/>
          <w:highlight w:val="none"/>
          <w:lang w:val="en-US" w:eastAsia="zh-CN"/>
        </w:rPr>
        <w:t>34</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100</w:t>
      </w:r>
      <w:r>
        <w:rPr>
          <w:rFonts w:hint="default" w:ascii="Times New Roman" w:hAnsi="Times New Roman" w:eastAsia="宋体" w:cs="Times New Roman"/>
          <w:color w:val="auto"/>
          <w:sz w:val="24"/>
          <w:highlight w:val="none"/>
        </w:rPr>
        <w:t>。</w:t>
      </w:r>
    </w:p>
    <w:p w14:paraId="045F2586">
      <w:pPr>
        <w:spacing w:line="480" w:lineRule="exact"/>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highlight w:val="none"/>
          <w:lang w:eastAsia="zh-CN"/>
        </w:rPr>
        <w:fldChar w:fldCharType="begin"/>
      </w:r>
      <w:r>
        <w:rPr>
          <w:rFonts w:hint="default" w:ascii="Times New Roman" w:hAnsi="Times New Roman" w:eastAsia="宋体" w:cs="Times New Roman"/>
          <w:color w:val="auto"/>
          <w:sz w:val="24"/>
          <w:highlight w:val="none"/>
          <w:lang w:eastAsia="zh-CN"/>
        </w:rPr>
        <w:instrText xml:space="preserve"> = 3 \* GB3 \* MERGEFORMAT </w:instrText>
      </w:r>
      <w:r>
        <w:rPr>
          <w:rFonts w:hint="default" w:ascii="Times New Roman" w:hAnsi="Times New Roman" w:eastAsia="宋体" w:cs="Times New Roman"/>
          <w:color w:val="auto"/>
          <w:sz w:val="24"/>
          <w:highlight w:val="none"/>
          <w:lang w:eastAsia="zh-CN"/>
        </w:rPr>
        <w:fldChar w:fldCharType="separate"/>
      </w:r>
      <w:r>
        <w:rPr>
          <w:rFonts w:hint="default" w:ascii="Times New Roman" w:hAnsi="Times New Roman" w:eastAsia="宋体" w:cs="Times New Roman"/>
          <w:color w:val="auto"/>
          <w:sz w:val="24"/>
          <w:highlight w:val="none"/>
        </w:rPr>
        <w:t>③</w:t>
      </w:r>
      <w:r>
        <w:rPr>
          <w:rFonts w:hint="default" w:ascii="Times New Roman" w:hAnsi="Times New Roman" w:eastAsia="宋体" w:cs="Times New Roman"/>
          <w:color w:val="auto"/>
          <w:sz w:val="24"/>
          <w:highlight w:val="none"/>
          <w:lang w:eastAsia="zh-CN"/>
        </w:rPr>
        <w:fldChar w:fldCharType="end"/>
      </w:r>
      <w:r>
        <w:rPr>
          <w:rFonts w:hint="default" w:ascii="Times New Roman" w:hAnsi="Times New Roman" w:cs="Times New Roman"/>
          <w:color w:val="auto"/>
          <w:sz w:val="24"/>
          <w:szCs w:val="24"/>
          <w:highlight w:val="none"/>
        </w:rPr>
        <w:t>所属行业及生产工艺特点（M）</w:t>
      </w:r>
    </w:p>
    <w:p w14:paraId="3502B097">
      <w:pPr>
        <w:spacing w:line="4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风险评价技术导则》（HJ169-2018）附录C“危险物质及工艺系统危险性（P）的分级”中表C.1，分析项目所属行业及生产工艺特点，具有多套工艺单元的项目，对每套生产工艺分别评分并求和。将M划分为（1）M＞20；（2）10＜M≤20；（3）5＜M≤10；（4）M=5，分别以M1、M2、M3和M4表示。根据本项目</w:t>
      </w:r>
      <w:r>
        <w:rPr>
          <w:rFonts w:hint="eastAsia" w:cs="Times New Roman"/>
          <w:color w:val="auto"/>
          <w:sz w:val="24"/>
          <w:highlight w:val="none"/>
          <w:lang w:eastAsia="zh-CN"/>
        </w:rPr>
        <w:t>生产工艺</w:t>
      </w:r>
      <w:r>
        <w:rPr>
          <w:rFonts w:hint="default" w:ascii="Times New Roman" w:hAnsi="Times New Roman" w:cs="Times New Roman"/>
          <w:color w:val="auto"/>
          <w:sz w:val="24"/>
          <w:highlight w:val="none"/>
        </w:rPr>
        <w:t>特点，M值计算入下表。</w:t>
      </w:r>
    </w:p>
    <w:p w14:paraId="3C53C86E">
      <w:pPr>
        <w:spacing w:line="480" w:lineRule="exact"/>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表2.5-1</w:t>
      </w:r>
      <w:r>
        <w:rPr>
          <w:rFonts w:hint="eastAsia" w:cs="Times New Roman"/>
          <w:b/>
          <w:bCs/>
          <w:color w:val="auto"/>
          <w:sz w:val="24"/>
          <w:highlight w:val="none"/>
          <w:lang w:val="en-US" w:eastAsia="zh-CN"/>
        </w:rPr>
        <w:t>6</w:t>
      </w:r>
      <w:r>
        <w:rPr>
          <w:rFonts w:hint="default" w:ascii="Times New Roman" w:hAnsi="Times New Roman" w:cs="Times New Roman"/>
          <w:b/>
          <w:bCs/>
          <w:color w:val="auto"/>
          <w:sz w:val="24"/>
          <w:highlight w:val="none"/>
        </w:rPr>
        <w:t xml:space="preserve">    行业及生产工艺</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2599"/>
        <w:gridCol w:w="2182"/>
        <w:gridCol w:w="1246"/>
        <w:gridCol w:w="2135"/>
      </w:tblGrid>
      <w:tr w14:paraId="6CFA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49" w:type="pct"/>
            <w:vAlign w:val="center"/>
          </w:tcPr>
          <w:p w14:paraId="1F95388E">
            <w:pPr>
              <w:pStyle w:val="17"/>
              <w:bidi w:val="0"/>
              <w:rPr>
                <w:rFonts w:ascii="Times New Roman" w:hAnsi="Times New Roman"/>
                <w:b/>
                <w:bCs/>
                <w:color w:val="auto"/>
                <w:spacing w:val="-1"/>
                <w:szCs w:val="21"/>
                <w:highlight w:val="none"/>
              </w:rPr>
            </w:pPr>
            <w:r>
              <w:rPr>
                <w:rFonts w:hint="eastAsia"/>
                <w:color w:val="auto"/>
                <w:highlight w:val="none"/>
              </w:rPr>
              <w:t>行业</w:t>
            </w:r>
          </w:p>
        </w:tc>
        <w:tc>
          <w:tcPr>
            <w:tcW w:w="1416" w:type="pct"/>
            <w:vAlign w:val="center"/>
          </w:tcPr>
          <w:p w14:paraId="1A8A19A0">
            <w:pPr>
              <w:pStyle w:val="17"/>
              <w:bidi w:val="0"/>
              <w:rPr>
                <w:rFonts w:ascii="Times New Roman" w:hAnsi="Times New Roman"/>
                <w:b/>
                <w:bCs/>
                <w:color w:val="auto"/>
                <w:spacing w:val="-1"/>
                <w:szCs w:val="21"/>
                <w:highlight w:val="none"/>
              </w:rPr>
            </w:pPr>
            <w:r>
              <w:rPr>
                <w:rFonts w:hint="eastAsia"/>
                <w:color w:val="auto"/>
                <w:highlight w:val="none"/>
              </w:rPr>
              <w:t>评估依据</w:t>
            </w:r>
          </w:p>
        </w:tc>
        <w:tc>
          <w:tcPr>
            <w:tcW w:w="1189" w:type="pct"/>
            <w:vAlign w:val="center"/>
          </w:tcPr>
          <w:p w14:paraId="4B77E31A">
            <w:pPr>
              <w:pStyle w:val="17"/>
              <w:bidi w:val="0"/>
              <w:rPr>
                <w:rFonts w:hint="default" w:ascii="Times New Roman" w:hAnsi="Times New Roman" w:eastAsia="宋体"/>
                <w:b/>
                <w:bCs/>
                <w:color w:val="auto"/>
                <w:spacing w:val="-1"/>
                <w:szCs w:val="21"/>
                <w:highlight w:val="none"/>
                <w:lang w:val="en-US" w:eastAsia="zh-CN"/>
              </w:rPr>
            </w:pPr>
            <w:r>
              <w:rPr>
                <w:rFonts w:hint="eastAsia"/>
                <w:color w:val="auto"/>
                <w:highlight w:val="none"/>
                <w:lang w:val="en-US" w:eastAsia="zh-CN"/>
              </w:rPr>
              <w:t>本项目情况</w:t>
            </w:r>
          </w:p>
        </w:tc>
        <w:tc>
          <w:tcPr>
            <w:tcW w:w="679" w:type="pct"/>
            <w:vAlign w:val="center"/>
          </w:tcPr>
          <w:p w14:paraId="73BF5585">
            <w:pPr>
              <w:pStyle w:val="17"/>
              <w:bidi w:val="0"/>
              <w:rPr>
                <w:rFonts w:ascii="Times New Roman" w:hAnsi="Times New Roman"/>
                <w:b/>
                <w:bCs/>
                <w:color w:val="auto"/>
                <w:spacing w:val="-1"/>
                <w:szCs w:val="21"/>
                <w:highlight w:val="none"/>
              </w:rPr>
            </w:pPr>
            <w:r>
              <w:rPr>
                <w:rFonts w:hint="eastAsia"/>
                <w:color w:val="auto"/>
                <w:highlight w:val="none"/>
                <w:lang w:val="en-US" w:eastAsia="zh-CN"/>
              </w:rPr>
              <w:t>分</w:t>
            </w:r>
            <w:r>
              <w:rPr>
                <w:rFonts w:hint="eastAsia"/>
                <w:color w:val="auto"/>
                <w:highlight w:val="none"/>
              </w:rPr>
              <w:t>值</w:t>
            </w:r>
          </w:p>
        </w:tc>
        <w:tc>
          <w:tcPr>
            <w:tcW w:w="1163" w:type="pct"/>
            <w:vAlign w:val="center"/>
          </w:tcPr>
          <w:p w14:paraId="72EC54C3">
            <w:pPr>
              <w:pStyle w:val="17"/>
              <w:bidi w:val="0"/>
              <w:rPr>
                <w:rFonts w:ascii="Times New Roman" w:hAnsi="Times New Roman"/>
                <w:b/>
                <w:bCs/>
                <w:color w:val="auto"/>
                <w:spacing w:val="-1"/>
                <w:szCs w:val="21"/>
                <w:highlight w:val="none"/>
              </w:rPr>
            </w:pPr>
            <w:r>
              <w:rPr>
                <w:rFonts w:hint="eastAsia"/>
                <w:color w:val="auto"/>
                <w:highlight w:val="none"/>
              </w:rPr>
              <w:t>M值</w:t>
            </w:r>
          </w:p>
        </w:tc>
      </w:tr>
      <w:tr w14:paraId="5E5A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9" w:type="pct"/>
            <w:vAlign w:val="center"/>
          </w:tcPr>
          <w:p w14:paraId="783C1882">
            <w:pPr>
              <w:pStyle w:val="17"/>
              <w:bidi w:val="0"/>
              <w:rPr>
                <w:rFonts w:ascii="Times New Roman" w:hAnsi="Times New Roman"/>
                <w:color w:val="auto"/>
                <w:spacing w:val="-1"/>
                <w:szCs w:val="21"/>
                <w:highlight w:val="none"/>
              </w:rPr>
            </w:pPr>
            <w:r>
              <w:rPr>
                <w:rFonts w:hint="eastAsia"/>
                <w:color w:val="auto"/>
                <w:highlight w:val="none"/>
              </w:rPr>
              <w:t>其他</w:t>
            </w:r>
          </w:p>
        </w:tc>
        <w:tc>
          <w:tcPr>
            <w:tcW w:w="1416" w:type="pct"/>
            <w:vAlign w:val="center"/>
          </w:tcPr>
          <w:p w14:paraId="7DB03929">
            <w:pPr>
              <w:pStyle w:val="17"/>
              <w:bidi w:val="0"/>
              <w:rPr>
                <w:rFonts w:ascii="Times New Roman" w:hAnsi="Times New Roman"/>
                <w:color w:val="auto"/>
                <w:spacing w:val="-1"/>
                <w:szCs w:val="21"/>
                <w:highlight w:val="none"/>
              </w:rPr>
            </w:pPr>
            <w:r>
              <w:rPr>
                <w:color w:val="auto"/>
                <w:highlight w:val="none"/>
              </w:rPr>
              <w:t>涉及危险物质使用、贮存的项目</w:t>
            </w:r>
          </w:p>
        </w:tc>
        <w:tc>
          <w:tcPr>
            <w:tcW w:w="1189" w:type="pct"/>
            <w:vAlign w:val="center"/>
          </w:tcPr>
          <w:p w14:paraId="1F39CA80">
            <w:pPr>
              <w:pStyle w:val="17"/>
              <w:bidi w:val="0"/>
              <w:rPr>
                <w:rFonts w:hint="default" w:ascii="Times New Roman" w:hAnsi="Times New Roman" w:eastAsia="宋体"/>
                <w:color w:val="auto"/>
                <w:spacing w:val="-1"/>
                <w:szCs w:val="21"/>
                <w:highlight w:val="none"/>
                <w:lang w:val="en-US" w:eastAsia="zh-CN"/>
              </w:rPr>
            </w:pPr>
            <w:r>
              <w:rPr>
                <w:rFonts w:hint="eastAsia"/>
                <w:color w:val="auto"/>
                <w:highlight w:val="none"/>
                <w:lang w:val="en-US" w:eastAsia="zh-CN"/>
              </w:rPr>
              <w:t>项目设有</w:t>
            </w:r>
            <w:r>
              <w:rPr>
                <w:rFonts w:hint="eastAsia"/>
                <w:color w:val="auto"/>
                <w:highlight w:val="none"/>
              </w:rPr>
              <w:t>爆破器材库</w:t>
            </w:r>
            <w:r>
              <w:rPr>
                <w:rFonts w:hint="eastAsia"/>
                <w:color w:val="auto"/>
                <w:highlight w:val="none"/>
                <w:lang w:eastAsia="zh-CN"/>
              </w:rPr>
              <w:t>、</w:t>
            </w:r>
            <w:r>
              <w:rPr>
                <w:rFonts w:hint="eastAsia"/>
                <w:color w:val="auto"/>
                <w:highlight w:val="none"/>
                <w:lang w:val="en-US" w:eastAsia="zh-CN"/>
              </w:rPr>
              <w:t>柴油储罐、浓硫酸储罐、危险废物贮存库</w:t>
            </w:r>
          </w:p>
        </w:tc>
        <w:tc>
          <w:tcPr>
            <w:tcW w:w="679" w:type="pct"/>
            <w:vAlign w:val="center"/>
          </w:tcPr>
          <w:p w14:paraId="3B5BA9F7">
            <w:pPr>
              <w:pStyle w:val="17"/>
              <w:bidi w:val="0"/>
              <w:rPr>
                <w:rFonts w:ascii="Times New Roman" w:hAnsi="Times New Roman"/>
                <w:color w:val="auto"/>
                <w:spacing w:val="-1"/>
                <w:szCs w:val="21"/>
                <w:highlight w:val="none"/>
              </w:rPr>
            </w:pPr>
            <w:r>
              <w:rPr>
                <w:rFonts w:hint="eastAsia"/>
                <w:color w:val="auto"/>
                <w:highlight w:val="none"/>
              </w:rPr>
              <w:t>5</w:t>
            </w:r>
          </w:p>
        </w:tc>
        <w:tc>
          <w:tcPr>
            <w:tcW w:w="1163" w:type="pct"/>
            <w:vAlign w:val="center"/>
          </w:tcPr>
          <w:p w14:paraId="7AAB61EE">
            <w:pPr>
              <w:pStyle w:val="17"/>
              <w:bidi w:val="0"/>
              <w:rPr>
                <w:rFonts w:ascii="Times New Roman" w:hAnsi="Times New Roman"/>
                <w:color w:val="auto"/>
                <w:spacing w:val="-1"/>
                <w:szCs w:val="21"/>
                <w:highlight w:val="none"/>
              </w:rPr>
            </w:pPr>
            <w:r>
              <w:rPr>
                <w:rFonts w:hint="eastAsia"/>
                <w:color w:val="auto"/>
                <w:highlight w:val="none"/>
              </w:rPr>
              <w:t>M4</w:t>
            </w:r>
          </w:p>
        </w:tc>
      </w:tr>
    </w:tbl>
    <w:p w14:paraId="641BDFFA">
      <w:pPr>
        <w:spacing w:line="480" w:lineRule="exact"/>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lang w:val="en-US" w:eastAsia="zh-CN"/>
        </w:rPr>
        <w:t>④</w:t>
      </w:r>
      <w:r>
        <w:rPr>
          <w:rFonts w:hint="default" w:ascii="Times New Roman" w:hAnsi="Times New Roman" w:cs="Times New Roman"/>
          <w:color w:val="auto"/>
          <w:sz w:val="24"/>
          <w:highlight w:val="none"/>
        </w:rPr>
        <w:t>危险物质及工艺系统危险性（P）分级</w:t>
      </w:r>
    </w:p>
    <w:p w14:paraId="10B708BD">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分析建设项目生产、使用、储存过程中涉及的有毒有害、易燃易爆物质，根据HJ169-2018附录B确定危险物质的临界量。定量分析危险物质数量与临界量的比值（Q）和所属行业及生产工艺特点（M），按照HJ169-2018附录C对危险物质及工艺系统危险性（P</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"_bookmark11"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z w:val="24"/>
          <w:highlight w:val="none"/>
        </w:rPr>
        <w:t>）等级进行判断，如表2.</w:t>
      </w:r>
      <w:r>
        <w:rPr>
          <w:rFonts w:hint="default"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fldChar w:fldCharType="end"/>
      </w:r>
      <w:r>
        <w:rPr>
          <w:rFonts w:hint="default" w:ascii="Times New Roman" w:hAnsi="Times New Roman" w:cs="Times New Roman"/>
          <w:color w:val="auto"/>
          <w:sz w:val="24"/>
          <w:highlight w:val="none"/>
          <w:lang w:val="en-US" w:eastAsia="zh-CN"/>
        </w:rPr>
        <w:t>3</w:t>
      </w:r>
      <w:r>
        <w:rPr>
          <w:rFonts w:hint="default" w:ascii="Times New Roman" w:hAnsi="Times New Roman" w:eastAsia="宋体" w:cs="Times New Roman"/>
          <w:color w:val="auto"/>
          <w:sz w:val="24"/>
          <w:highlight w:val="none"/>
        </w:rPr>
        <w:t>所示，分别以P1、P2、P3、P4表示。</w:t>
      </w:r>
    </w:p>
    <w:p w14:paraId="45A3033A">
      <w:pPr>
        <w:spacing w:line="360" w:lineRule="exact"/>
        <w:ind w:firstLine="0" w:firstLineChars="0"/>
        <w:jc w:val="center"/>
        <w:rPr>
          <w:rFonts w:hint="default" w:ascii="Times New Roman" w:hAnsi="Times New Roman" w:eastAsia="宋体" w:cs="Times New Roman"/>
          <w:b/>
          <w:color w:val="auto"/>
          <w:kern w:val="0"/>
          <w:sz w:val="24"/>
          <w:highlight w:val="none"/>
        </w:rPr>
      </w:pPr>
      <w:bookmarkStart w:id="253" w:name="_bookmark11"/>
      <w:bookmarkEnd w:id="253"/>
      <w:r>
        <w:rPr>
          <w:rFonts w:hint="default" w:ascii="Times New Roman" w:hAnsi="Times New Roman" w:cs="Times New Roman"/>
          <w:b/>
          <w:color w:val="auto"/>
          <w:kern w:val="0"/>
          <w:sz w:val="24"/>
          <w:highlight w:val="none"/>
          <w:lang w:val="zh-CN" w:bidi="ar"/>
        </w:rPr>
        <w:t>表2.</w:t>
      </w:r>
      <w:r>
        <w:rPr>
          <w:rFonts w:hint="default" w:ascii="Times New Roman" w:hAnsi="Times New Roman" w:cs="Times New Roman"/>
          <w:b/>
          <w:color w:val="auto"/>
          <w:kern w:val="0"/>
          <w:sz w:val="24"/>
          <w:highlight w:val="none"/>
          <w:lang w:val="en-US" w:eastAsia="zh-CN" w:bidi="ar"/>
        </w:rPr>
        <w:t>6</w:t>
      </w:r>
      <w:r>
        <w:rPr>
          <w:rFonts w:hint="default" w:ascii="Times New Roman" w:hAnsi="Times New Roman" w:cs="Times New Roman"/>
          <w:b/>
          <w:color w:val="auto"/>
          <w:kern w:val="0"/>
          <w:sz w:val="24"/>
          <w:highlight w:val="none"/>
          <w:lang w:val="zh-CN" w:bidi="ar"/>
        </w:rPr>
        <w:t>-</w:t>
      </w:r>
      <w:r>
        <w:rPr>
          <w:rFonts w:hint="default" w:ascii="Times New Roman" w:hAnsi="Times New Roman" w:cs="Times New Roman"/>
          <w:b/>
          <w:color w:val="auto"/>
          <w:kern w:val="0"/>
          <w:sz w:val="24"/>
          <w:highlight w:val="none"/>
          <w:lang w:val="en-US" w:eastAsia="zh-CN" w:bidi="ar"/>
        </w:rPr>
        <w:t>1</w:t>
      </w:r>
      <w:r>
        <w:rPr>
          <w:rFonts w:hint="eastAsia" w:cs="Times New Roman"/>
          <w:b/>
          <w:color w:val="auto"/>
          <w:kern w:val="0"/>
          <w:sz w:val="24"/>
          <w:highlight w:val="none"/>
          <w:lang w:val="en-US" w:eastAsia="zh-CN" w:bidi="ar"/>
        </w:rPr>
        <w:t>7</w:t>
      </w:r>
      <w:r>
        <w:rPr>
          <w:rFonts w:hint="default" w:ascii="Times New Roman" w:hAnsi="Times New Roman" w:cs="Times New Roman"/>
          <w:b/>
          <w:color w:val="auto"/>
          <w:kern w:val="0"/>
          <w:sz w:val="24"/>
          <w:highlight w:val="none"/>
          <w:lang w:val="zh-CN" w:bidi="ar"/>
        </w:rPr>
        <w:t xml:space="preserve">    危险物质及工艺系统危险性等级判断（P）</w:t>
      </w:r>
    </w:p>
    <w:tbl>
      <w:tblPr>
        <w:tblStyle w:val="13"/>
        <w:tblW w:w="0" w:type="auto"/>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0" w:type="dxa"/>
          <w:bottom w:w="0" w:type="dxa"/>
          <w:right w:w="0" w:type="dxa"/>
        </w:tblCellMar>
      </w:tblPr>
      <w:tblGrid>
        <w:gridCol w:w="1790"/>
        <w:gridCol w:w="1794"/>
        <w:gridCol w:w="1794"/>
        <w:gridCol w:w="1794"/>
        <w:gridCol w:w="1796"/>
      </w:tblGrid>
      <w:tr w14:paraId="44E532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998" w:type="pct"/>
            <w:vMerge w:val="restart"/>
            <w:tcBorders>
              <w:right w:val="single" w:color="000000" w:sz="6" w:space="0"/>
            </w:tcBorders>
            <w:noWrap w:val="0"/>
            <w:vAlign w:val="center"/>
          </w:tcPr>
          <w:p w14:paraId="40F8191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危险物质数量与临界量比值（Q）</w:t>
            </w:r>
          </w:p>
        </w:tc>
        <w:tc>
          <w:tcPr>
            <w:tcW w:w="4001" w:type="pct"/>
            <w:gridSpan w:val="4"/>
            <w:tcBorders>
              <w:left w:val="single" w:color="000000" w:sz="6" w:space="0"/>
              <w:bottom w:val="single" w:color="000000" w:sz="6" w:space="0"/>
            </w:tcBorders>
            <w:noWrap w:val="0"/>
            <w:vAlign w:val="center"/>
          </w:tcPr>
          <w:p w14:paraId="4CA3DE0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行业及生产工艺（M）</w:t>
            </w:r>
          </w:p>
        </w:tc>
      </w:tr>
      <w:tr w14:paraId="512E932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998" w:type="pct"/>
            <w:vMerge w:val="continue"/>
            <w:tcBorders>
              <w:bottom w:val="single" w:color="000000" w:sz="6" w:space="0"/>
              <w:right w:val="single" w:color="000000" w:sz="6" w:space="0"/>
            </w:tcBorders>
            <w:noWrap w:val="0"/>
            <w:vAlign w:val="center"/>
          </w:tcPr>
          <w:p w14:paraId="55029592">
            <w:pPr>
              <w:pStyle w:val="17"/>
              <w:bidi w:val="0"/>
              <w:rPr>
                <w:rFonts w:hint="default" w:ascii="Times New Roman" w:hAnsi="Times New Roman" w:cs="Times New Roman"/>
                <w:color w:val="auto"/>
                <w:highlight w:val="none"/>
              </w:rPr>
            </w:pP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54ED988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M1</w:t>
            </w: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5E6662B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M2</w:t>
            </w: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2624376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M3</w:t>
            </w:r>
          </w:p>
        </w:tc>
        <w:tc>
          <w:tcPr>
            <w:tcW w:w="1000" w:type="pct"/>
            <w:tcBorders>
              <w:top w:val="single" w:color="000000" w:sz="6" w:space="0"/>
              <w:left w:val="single" w:color="000000" w:sz="6" w:space="0"/>
              <w:bottom w:val="single" w:color="000000" w:sz="6" w:space="0"/>
            </w:tcBorders>
            <w:noWrap w:val="0"/>
            <w:vAlign w:val="center"/>
          </w:tcPr>
          <w:p w14:paraId="2AD3E42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M4</w:t>
            </w:r>
          </w:p>
        </w:tc>
      </w:tr>
      <w:tr w14:paraId="4419A4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998" w:type="pct"/>
            <w:tcBorders>
              <w:top w:val="single" w:color="000000" w:sz="6" w:space="0"/>
              <w:bottom w:val="single" w:color="000000" w:sz="6" w:space="0"/>
              <w:right w:val="single" w:color="000000" w:sz="6" w:space="0"/>
            </w:tcBorders>
            <w:noWrap w:val="0"/>
            <w:vAlign w:val="center"/>
          </w:tcPr>
          <w:p w14:paraId="4310698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Q≥100</w:t>
            </w: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3E6C3A4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P1</w:t>
            </w: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508C2F1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P1</w:t>
            </w: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7910E8C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P2</w:t>
            </w:r>
          </w:p>
        </w:tc>
        <w:tc>
          <w:tcPr>
            <w:tcW w:w="1000" w:type="pct"/>
            <w:tcBorders>
              <w:top w:val="single" w:color="000000" w:sz="6" w:space="0"/>
              <w:left w:val="single" w:color="000000" w:sz="6" w:space="0"/>
              <w:bottom w:val="single" w:color="000000" w:sz="6" w:space="0"/>
            </w:tcBorders>
            <w:noWrap w:val="0"/>
            <w:vAlign w:val="center"/>
          </w:tcPr>
          <w:p w14:paraId="64DBBB6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P3</w:t>
            </w:r>
          </w:p>
        </w:tc>
      </w:tr>
      <w:tr w14:paraId="03380B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998" w:type="pct"/>
            <w:tcBorders>
              <w:top w:val="single" w:color="000000" w:sz="6" w:space="0"/>
              <w:bottom w:val="single" w:color="000000" w:sz="6" w:space="0"/>
              <w:right w:val="single" w:color="000000" w:sz="6" w:space="0"/>
            </w:tcBorders>
            <w:noWrap w:val="0"/>
            <w:vAlign w:val="center"/>
          </w:tcPr>
          <w:p w14:paraId="426D617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10≤Q＜100</w:t>
            </w: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15FC72F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P1</w:t>
            </w: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18AFB6F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P2</w:t>
            </w:r>
          </w:p>
        </w:tc>
        <w:tc>
          <w:tcPr>
            <w:tcW w:w="1000" w:type="pct"/>
            <w:tcBorders>
              <w:top w:val="single" w:color="000000" w:sz="6" w:space="0"/>
              <w:left w:val="single" w:color="000000" w:sz="6" w:space="0"/>
              <w:bottom w:val="single" w:color="000000" w:sz="6" w:space="0"/>
              <w:right w:val="single" w:color="000000" w:sz="6" w:space="0"/>
            </w:tcBorders>
            <w:noWrap w:val="0"/>
            <w:vAlign w:val="center"/>
          </w:tcPr>
          <w:p w14:paraId="27913ED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P3</w:t>
            </w:r>
          </w:p>
        </w:tc>
        <w:tc>
          <w:tcPr>
            <w:tcW w:w="1000" w:type="pct"/>
            <w:tcBorders>
              <w:top w:val="single" w:color="000000" w:sz="6" w:space="0"/>
              <w:left w:val="single" w:color="000000" w:sz="6" w:space="0"/>
              <w:bottom w:val="single" w:color="000000" w:sz="6" w:space="0"/>
            </w:tcBorders>
            <w:noWrap w:val="0"/>
            <w:vAlign w:val="center"/>
          </w:tcPr>
          <w:p w14:paraId="3A1E71D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P4</w:t>
            </w:r>
          </w:p>
        </w:tc>
      </w:tr>
      <w:tr w14:paraId="3237655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97" w:hRule="atLeast"/>
          <w:jc w:val="center"/>
        </w:trPr>
        <w:tc>
          <w:tcPr>
            <w:tcW w:w="998" w:type="pct"/>
            <w:tcBorders>
              <w:top w:val="single" w:color="000000" w:sz="6" w:space="0"/>
              <w:right w:val="single" w:color="000000" w:sz="6" w:space="0"/>
            </w:tcBorders>
            <w:noWrap w:val="0"/>
            <w:vAlign w:val="center"/>
          </w:tcPr>
          <w:p w14:paraId="0D8E968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1≤Q＜10</w:t>
            </w:r>
          </w:p>
        </w:tc>
        <w:tc>
          <w:tcPr>
            <w:tcW w:w="1000" w:type="pct"/>
            <w:tcBorders>
              <w:top w:val="single" w:color="000000" w:sz="6" w:space="0"/>
              <w:left w:val="single" w:color="000000" w:sz="6" w:space="0"/>
              <w:right w:val="single" w:color="000000" w:sz="6" w:space="0"/>
            </w:tcBorders>
            <w:noWrap w:val="0"/>
            <w:vAlign w:val="center"/>
          </w:tcPr>
          <w:p w14:paraId="60BF878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P2</w:t>
            </w:r>
          </w:p>
        </w:tc>
        <w:tc>
          <w:tcPr>
            <w:tcW w:w="1000" w:type="pct"/>
            <w:tcBorders>
              <w:top w:val="single" w:color="000000" w:sz="6" w:space="0"/>
              <w:left w:val="single" w:color="000000" w:sz="6" w:space="0"/>
              <w:right w:val="single" w:color="000000" w:sz="6" w:space="0"/>
            </w:tcBorders>
            <w:noWrap w:val="0"/>
            <w:vAlign w:val="center"/>
          </w:tcPr>
          <w:p w14:paraId="34C5720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P3</w:t>
            </w:r>
          </w:p>
        </w:tc>
        <w:tc>
          <w:tcPr>
            <w:tcW w:w="1000" w:type="pct"/>
            <w:tcBorders>
              <w:top w:val="single" w:color="000000" w:sz="6" w:space="0"/>
              <w:left w:val="single" w:color="000000" w:sz="6" w:space="0"/>
              <w:right w:val="single" w:color="000000" w:sz="6" w:space="0"/>
            </w:tcBorders>
            <w:noWrap w:val="0"/>
            <w:vAlign w:val="center"/>
          </w:tcPr>
          <w:p w14:paraId="63C0A64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P4</w:t>
            </w:r>
          </w:p>
        </w:tc>
        <w:tc>
          <w:tcPr>
            <w:tcW w:w="1000" w:type="pct"/>
            <w:tcBorders>
              <w:top w:val="single" w:color="000000" w:sz="6" w:space="0"/>
              <w:left w:val="single" w:color="000000" w:sz="6" w:space="0"/>
            </w:tcBorders>
            <w:noWrap w:val="0"/>
            <w:vAlign w:val="center"/>
          </w:tcPr>
          <w:p w14:paraId="6EB3807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P4</w:t>
            </w:r>
          </w:p>
        </w:tc>
      </w:tr>
    </w:tbl>
    <w:p w14:paraId="767A9A96">
      <w:pPr>
        <w:spacing w:line="48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本项目Q值为</w:t>
      </w:r>
      <w:r>
        <w:rPr>
          <w:rFonts w:hint="eastAsia" w:ascii="Times New Roman" w:hAnsi="Times New Roman" w:cs="Times New Roman"/>
          <w:color w:val="auto"/>
          <w:sz w:val="24"/>
          <w:highlight w:val="none"/>
          <w:lang w:val="en-US" w:eastAsia="zh-CN"/>
        </w:rPr>
        <w:t>66.</w:t>
      </w:r>
      <w:r>
        <w:rPr>
          <w:rFonts w:hint="eastAsia" w:cs="Times New Roman"/>
          <w:color w:val="auto"/>
          <w:sz w:val="24"/>
          <w:highlight w:val="none"/>
          <w:lang w:val="en-US" w:eastAsia="zh-CN"/>
        </w:rPr>
        <w:t>34</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10</w:t>
      </w:r>
      <w:r>
        <w:rPr>
          <w:rFonts w:hint="default" w:ascii="Times New Roman" w:hAnsi="Times New Roman" w:cs="Times New Roman"/>
          <w:color w:val="auto"/>
          <w:highlight w:val="none"/>
        </w:rPr>
        <w:t>≤</w:t>
      </w:r>
      <w:r>
        <w:rPr>
          <w:rFonts w:hint="eastAsia" w:ascii="Times New Roman" w:hAnsi="Times New Roman" w:cs="Times New Roman"/>
          <w:color w:val="auto"/>
          <w:sz w:val="24"/>
          <w:highlight w:val="none"/>
          <w:lang w:val="en-US" w:eastAsia="zh-CN"/>
        </w:rPr>
        <w:t>66.</w:t>
      </w:r>
      <w:r>
        <w:rPr>
          <w:rFonts w:hint="eastAsia" w:cs="Times New Roman"/>
          <w:color w:val="auto"/>
          <w:sz w:val="24"/>
          <w:highlight w:val="none"/>
          <w:lang w:val="en-US" w:eastAsia="zh-CN"/>
        </w:rPr>
        <w:t>34</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100</w:t>
      </w:r>
      <w:r>
        <w:rPr>
          <w:rFonts w:hint="default" w:ascii="Times New Roman" w:hAnsi="Times New Roman" w:cs="Times New Roman"/>
          <w:color w:val="auto"/>
          <w:sz w:val="24"/>
          <w:highlight w:val="none"/>
        </w:rPr>
        <w:t>，行业及生产工艺（M）为M4，根据上表，得出本项目危险物质及工艺系统危险性等级为P4。</w:t>
      </w:r>
    </w:p>
    <w:p w14:paraId="3D12562F">
      <w:pPr>
        <w:spacing w:line="480" w:lineRule="exact"/>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⑤</w:t>
      </w:r>
      <w:r>
        <w:rPr>
          <w:rFonts w:hint="default" w:ascii="Times New Roman" w:hAnsi="Times New Roman" w:cs="Times New Roman"/>
          <w:color w:val="auto"/>
          <w:sz w:val="24"/>
          <w:szCs w:val="24"/>
          <w:highlight w:val="none"/>
        </w:rPr>
        <w:t>各要素环境敏感程度（E）等级判定</w:t>
      </w:r>
    </w:p>
    <w:p w14:paraId="176C62AF">
      <w:pPr>
        <w:spacing w:line="480" w:lineRule="exact"/>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a</w:t>
      </w:r>
      <w:r>
        <w:rPr>
          <w:rFonts w:hint="default" w:ascii="Times New Roman" w:hAnsi="Times New Roman" w:cs="Times New Roman"/>
          <w:color w:val="auto"/>
          <w:sz w:val="24"/>
          <w:szCs w:val="24"/>
          <w:highlight w:val="none"/>
        </w:rPr>
        <w:t>大气环境</w:t>
      </w:r>
    </w:p>
    <w:p w14:paraId="4D4D7342">
      <w:pPr>
        <w:spacing w:line="480" w:lineRule="exact"/>
        <w:ind w:firstLine="480" w:firstLineChars="200"/>
        <w:rPr>
          <w:rFonts w:hint="eastAsia"/>
          <w:color w:val="auto"/>
          <w:sz w:val="24"/>
          <w:highlight w:val="none"/>
        </w:rPr>
      </w:pPr>
      <w:r>
        <w:rPr>
          <w:rFonts w:hint="eastAsia"/>
          <w:color w:val="auto"/>
          <w:sz w:val="24"/>
          <w:highlight w:val="none"/>
        </w:rPr>
        <w:t>依据环境敏感目标环境敏感性及人口密度划分环境风险受体的敏感性，共分为三种类型，E1为环境高度敏感区，E2为环境中度敏感区，E3为环境低度敏感区，具体分级原则见下表。</w:t>
      </w:r>
    </w:p>
    <w:p w14:paraId="14BDEB9F">
      <w:pPr>
        <w:tabs>
          <w:tab w:val="left" w:pos="720"/>
        </w:tabs>
        <w:spacing w:line="480" w:lineRule="exact"/>
        <w:jc w:val="center"/>
        <w:rPr>
          <w:b/>
          <w:color w:val="auto"/>
          <w:sz w:val="24"/>
          <w:szCs w:val="24"/>
          <w:highlight w:val="none"/>
        </w:rPr>
      </w:pPr>
      <w:r>
        <w:rPr>
          <w:rFonts w:hint="eastAsia"/>
          <w:b/>
          <w:color w:val="auto"/>
          <w:sz w:val="24"/>
          <w:szCs w:val="24"/>
          <w:highlight w:val="none"/>
        </w:rPr>
        <w:t>表</w:t>
      </w:r>
      <w:r>
        <w:rPr>
          <w:rFonts w:hint="eastAsia"/>
          <w:b/>
          <w:color w:val="auto"/>
          <w:sz w:val="24"/>
          <w:szCs w:val="24"/>
          <w:highlight w:val="none"/>
          <w:lang w:val="en-US" w:eastAsia="zh-CN"/>
        </w:rPr>
        <w:t>2.6-18</w:t>
      </w:r>
      <w:r>
        <w:rPr>
          <w:b/>
          <w:color w:val="auto"/>
          <w:sz w:val="24"/>
          <w:szCs w:val="24"/>
          <w:highlight w:val="none"/>
        </w:rPr>
        <w:t xml:space="preserve">    </w:t>
      </w:r>
      <w:r>
        <w:rPr>
          <w:rFonts w:hint="eastAsia"/>
          <w:b/>
          <w:color w:val="auto"/>
          <w:sz w:val="24"/>
          <w:szCs w:val="24"/>
          <w:highlight w:val="none"/>
        </w:rPr>
        <w:t>大气环境敏感程度分级</w:t>
      </w:r>
    </w:p>
    <w:tbl>
      <w:tblPr>
        <w:tblStyle w:val="13"/>
        <w:tblW w:w="832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718"/>
        <w:gridCol w:w="7609"/>
      </w:tblGrid>
      <w:tr w14:paraId="182BA8E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718" w:type="dxa"/>
            <w:tcBorders>
              <w:bottom w:val="single" w:color="000000" w:sz="4" w:space="0"/>
              <w:right w:val="single" w:color="000000" w:sz="4" w:space="0"/>
            </w:tcBorders>
            <w:vAlign w:val="center"/>
          </w:tcPr>
          <w:p w14:paraId="4CA7BE2C">
            <w:pPr>
              <w:pStyle w:val="17"/>
              <w:bidi w:val="0"/>
              <w:rPr>
                <w:rFonts w:ascii="Times New Roman" w:hAnsi="Times New Roman"/>
                <w:b/>
                <w:bCs/>
                <w:color w:val="auto"/>
                <w:kern w:val="2"/>
                <w:szCs w:val="21"/>
                <w:highlight w:val="none"/>
              </w:rPr>
            </w:pPr>
            <w:r>
              <w:rPr>
                <w:rFonts w:hint="eastAsia"/>
                <w:b/>
                <w:bCs/>
                <w:color w:val="auto"/>
                <w:highlight w:val="none"/>
              </w:rPr>
              <w:t>分级</w:t>
            </w:r>
          </w:p>
        </w:tc>
        <w:tc>
          <w:tcPr>
            <w:tcW w:w="7609" w:type="dxa"/>
            <w:tcBorders>
              <w:left w:val="single" w:color="000000" w:sz="4" w:space="0"/>
              <w:bottom w:val="single" w:color="000000" w:sz="4" w:space="0"/>
            </w:tcBorders>
            <w:vAlign w:val="center"/>
          </w:tcPr>
          <w:p w14:paraId="67F97B1A">
            <w:pPr>
              <w:pStyle w:val="17"/>
              <w:bidi w:val="0"/>
              <w:rPr>
                <w:rFonts w:ascii="Times New Roman" w:hAnsi="Times New Roman"/>
                <w:b/>
                <w:bCs/>
                <w:color w:val="auto"/>
                <w:kern w:val="2"/>
                <w:szCs w:val="21"/>
                <w:highlight w:val="none"/>
              </w:rPr>
            </w:pPr>
            <w:r>
              <w:rPr>
                <w:rFonts w:hint="eastAsia"/>
                <w:b/>
                <w:bCs/>
                <w:color w:val="auto"/>
                <w:highlight w:val="none"/>
              </w:rPr>
              <w:t>大气环境敏感性</w:t>
            </w:r>
          </w:p>
        </w:tc>
      </w:tr>
      <w:tr w14:paraId="71A049D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18" w:type="dxa"/>
            <w:tcBorders>
              <w:top w:val="single" w:color="000000" w:sz="4" w:space="0"/>
              <w:bottom w:val="single" w:color="000000" w:sz="4" w:space="0"/>
              <w:right w:val="single" w:color="000000" w:sz="4" w:space="0"/>
            </w:tcBorders>
            <w:vAlign w:val="center"/>
          </w:tcPr>
          <w:p w14:paraId="73A823D6">
            <w:pPr>
              <w:pStyle w:val="17"/>
              <w:bidi w:val="0"/>
              <w:rPr>
                <w:rFonts w:ascii="Times New Roman" w:hAnsi="Times New Roman"/>
                <w:color w:val="auto"/>
                <w:kern w:val="2"/>
                <w:szCs w:val="21"/>
                <w:highlight w:val="none"/>
              </w:rPr>
            </w:pPr>
            <w:r>
              <w:rPr>
                <w:color w:val="auto"/>
                <w:highlight w:val="none"/>
              </w:rPr>
              <w:t>E1</w:t>
            </w:r>
          </w:p>
        </w:tc>
        <w:tc>
          <w:tcPr>
            <w:tcW w:w="7609" w:type="dxa"/>
            <w:tcBorders>
              <w:top w:val="single" w:color="000000" w:sz="4" w:space="0"/>
              <w:left w:val="single" w:color="000000" w:sz="4" w:space="0"/>
              <w:bottom w:val="single" w:color="000000" w:sz="4" w:space="0"/>
            </w:tcBorders>
            <w:vAlign w:val="center"/>
          </w:tcPr>
          <w:p w14:paraId="012076A0">
            <w:pPr>
              <w:pStyle w:val="17"/>
              <w:bidi w:val="0"/>
              <w:rPr>
                <w:rFonts w:ascii="Times New Roman" w:hAnsi="Times New Roman"/>
                <w:color w:val="auto"/>
                <w:kern w:val="2"/>
                <w:szCs w:val="21"/>
                <w:highlight w:val="none"/>
              </w:rPr>
            </w:pPr>
            <w:r>
              <w:rPr>
                <w:rFonts w:hint="eastAsia"/>
                <w:color w:val="auto"/>
                <w:highlight w:val="none"/>
              </w:rPr>
              <w:t>周边</w:t>
            </w:r>
            <w:r>
              <w:rPr>
                <w:color w:val="auto"/>
                <w:highlight w:val="none"/>
              </w:rPr>
              <w:t>5km</w:t>
            </w:r>
            <w:r>
              <w:rPr>
                <w:rFonts w:hint="eastAsia"/>
                <w:color w:val="auto"/>
                <w:highlight w:val="none"/>
              </w:rPr>
              <w:t>范围内居住区、医疗卫生、文化教育、科研、行政办公等机构人口总数大于</w:t>
            </w:r>
            <w:r>
              <w:rPr>
                <w:color w:val="auto"/>
                <w:highlight w:val="none"/>
              </w:rPr>
              <w:t>5</w:t>
            </w:r>
            <w:r>
              <w:rPr>
                <w:rFonts w:hint="eastAsia"/>
                <w:color w:val="auto"/>
                <w:highlight w:val="none"/>
              </w:rPr>
              <w:t>万人，或其他需要特殊保护区域；或周边</w:t>
            </w:r>
            <w:r>
              <w:rPr>
                <w:color w:val="auto"/>
                <w:highlight w:val="none"/>
              </w:rPr>
              <w:t>500m</w:t>
            </w:r>
            <w:r>
              <w:rPr>
                <w:rFonts w:hint="eastAsia"/>
                <w:color w:val="auto"/>
                <w:highlight w:val="none"/>
              </w:rPr>
              <w:t>范围内人口总数大于</w:t>
            </w:r>
            <w:r>
              <w:rPr>
                <w:color w:val="auto"/>
                <w:highlight w:val="none"/>
              </w:rPr>
              <w:t>1000</w:t>
            </w:r>
            <w:r>
              <w:rPr>
                <w:rFonts w:hint="eastAsia"/>
                <w:color w:val="auto"/>
                <w:highlight w:val="none"/>
              </w:rPr>
              <w:t>人；油气、化学品输送管线管段周边</w:t>
            </w:r>
            <w:r>
              <w:rPr>
                <w:color w:val="auto"/>
                <w:highlight w:val="none"/>
              </w:rPr>
              <w:t>200m</w:t>
            </w:r>
            <w:r>
              <w:rPr>
                <w:rFonts w:hint="eastAsia"/>
                <w:color w:val="auto"/>
                <w:highlight w:val="none"/>
              </w:rPr>
              <w:t>范围内，每千米管段人口数大于</w:t>
            </w:r>
            <w:r>
              <w:rPr>
                <w:color w:val="auto"/>
                <w:highlight w:val="none"/>
              </w:rPr>
              <w:t>200</w:t>
            </w:r>
            <w:r>
              <w:rPr>
                <w:rFonts w:hint="eastAsia"/>
                <w:color w:val="auto"/>
                <w:highlight w:val="none"/>
              </w:rPr>
              <w:t>人。</w:t>
            </w:r>
          </w:p>
        </w:tc>
      </w:tr>
      <w:tr w14:paraId="6448CA7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18" w:type="dxa"/>
            <w:tcBorders>
              <w:top w:val="single" w:color="000000" w:sz="4" w:space="0"/>
              <w:bottom w:val="single" w:color="000000" w:sz="4" w:space="0"/>
              <w:right w:val="single" w:color="000000" w:sz="4" w:space="0"/>
            </w:tcBorders>
            <w:vAlign w:val="center"/>
          </w:tcPr>
          <w:p w14:paraId="5A5CB41B">
            <w:pPr>
              <w:pStyle w:val="17"/>
              <w:bidi w:val="0"/>
              <w:rPr>
                <w:rFonts w:ascii="Times New Roman" w:hAnsi="Times New Roman"/>
                <w:color w:val="auto"/>
                <w:kern w:val="2"/>
                <w:szCs w:val="21"/>
                <w:highlight w:val="none"/>
              </w:rPr>
            </w:pPr>
            <w:r>
              <w:rPr>
                <w:color w:val="auto"/>
                <w:highlight w:val="none"/>
              </w:rPr>
              <w:t>E2</w:t>
            </w:r>
          </w:p>
        </w:tc>
        <w:tc>
          <w:tcPr>
            <w:tcW w:w="7609" w:type="dxa"/>
            <w:tcBorders>
              <w:top w:val="single" w:color="000000" w:sz="4" w:space="0"/>
              <w:left w:val="single" w:color="000000" w:sz="4" w:space="0"/>
              <w:bottom w:val="single" w:color="000000" w:sz="4" w:space="0"/>
            </w:tcBorders>
            <w:vAlign w:val="center"/>
          </w:tcPr>
          <w:p w14:paraId="63A91884">
            <w:pPr>
              <w:pStyle w:val="17"/>
              <w:bidi w:val="0"/>
              <w:rPr>
                <w:rFonts w:ascii="Times New Roman" w:hAnsi="Times New Roman"/>
                <w:color w:val="auto"/>
                <w:kern w:val="2"/>
                <w:szCs w:val="21"/>
                <w:highlight w:val="none"/>
              </w:rPr>
            </w:pPr>
            <w:r>
              <w:rPr>
                <w:rFonts w:hint="eastAsia"/>
                <w:color w:val="auto"/>
                <w:highlight w:val="none"/>
              </w:rPr>
              <w:t>周边</w:t>
            </w:r>
            <w:r>
              <w:rPr>
                <w:color w:val="auto"/>
                <w:highlight w:val="none"/>
              </w:rPr>
              <w:t>5km</w:t>
            </w:r>
            <w:r>
              <w:rPr>
                <w:rFonts w:hint="eastAsia"/>
                <w:color w:val="auto"/>
                <w:highlight w:val="none"/>
              </w:rPr>
              <w:t>范围内居住区、医疗卫生、文化教育、科研、行政办公等机构人口总数大于</w:t>
            </w:r>
            <w:r>
              <w:rPr>
                <w:color w:val="auto"/>
                <w:highlight w:val="none"/>
              </w:rPr>
              <w:t>1</w:t>
            </w:r>
            <w:r>
              <w:rPr>
                <w:rFonts w:hint="eastAsia"/>
                <w:color w:val="auto"/>
                <w:highlight w:val="none"/>
              </w:rPr>
              <w:t>万人，小于</w:t>
            </w:r>
            <w:r>
              <w:rPr>
                <w:color w:val="auto"/>
                <w:highlight w:val="none"/>
              </w:rPr>
              <w:t>5</w:t>
            </w:r>
            <w:r>
              <w:rPr>
                <w:rFonts w:hint="eastAsia"/>
                <w:color w:val="auto"/>
                <w:highlight w:val="none"/>
              </w:rPr>
              <w:t>万人；或周边</w:t>
            </w:r>
            <w:r>
              <w:rPr>
                <w:color w:val="auto"/>
                <w:highlight w:val="none"/>
              </w:rPr>
              <w:t>500m</w:t>
            </w:r>
            <w:r>
              <w:rPr>
                <w:rFonts w:hint="eastAsia"/>
                <w:color w:val="auto"/>
                <w:highlight w:val="none"/>
              </w:rPr>
              <w:t>范围内人口总数大于</w:t>
            </w:r>
            <w:r>
              <w:rPr>
                <w:color w:val="auto"/>
                <w:highlight w:val="none"/>
              </w:rPr>
              <w:t>500</w:t>
            </w:r>
            <w:r>
              <w:rPr>
                <w:rFonts w:hint="eastAsia"/>
                <w:color w:val="auto"/>
                <w:highlight w:val="none"/>
              </w:rPr>
              <w:t>人，小于</w:t>
            </w:r>
            <w:r>
              <w:rPr>
                <w:color w:val="auto"/>
                <w:highlight w:val="none"/>
              </w:rPr>
              <w:t>1000</w:t>
            </w:r>
            <w:r>
              <w:rPr>
                <w:rFonts w:hint="eastAsia"/>
                <w:color w:val="auto"/>
                <w:highlight w:val="none"/>
              </w:rPr>
              <w:t>人；油气、化学品输送管线管段周边</w:t>
            </w:r>
            <w:r>
              <w:rPr>
                <w:color w:val="auto"/>
                <w:highlight w:val="none"/>
              </w:rPr>
              <w:t>200m</w:t>
            </w:r>
            <w:r>
              <w:rPr>
                <w:rFonts w:hint="eastAsia"/>
                <w:color w:val="auto"/>
                <w:highlight w:val="none"/>
              </w:rPr>
              <w:t>范围内，每千米管段人口数大于</w:t>
            </w:r>
            <w:r>
              <w:rPr>
                <w:color w:val="auto"/>
                <w:highlight w:val="none"/>
              </w:rPr>
              <w:t>100</w:t>
            </w:r>
            <w:r>
              <w:rPr>
                <w:rFonts w:hint="eastAsia"/>
                <w:color w:val="auto"/>
                <w:highlight w:val="none"/>
              </w:rPr>
              <w:t>人，小于</w:t>
            </w:r>
            <w:r>
              <w:rPr>
                <w:color w:val="auto"/>
                <w:highlight w:val="none"/>
              </w:rPr>
              <w:t>200</w:t>
            </w:r>
            <w:r>
              <w:rPr>
                <w:rFonts w:hint="eastAsia"/>
                <w:color w:val="auto"/>
                <w:highlight w:val="none"/>
              </w:rPr>
              <w:t>人。</w:t>
            </w:r>
          </w:p>
        </w:tc>
      </w:tr>
      <w:tr w14:paraId="1D401A2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18" w:type="dxa"/>
            <w:tcBorders>
              <w:top w:val="single" w:color="000000" w:sz="4" w:space="0"/>
              <w:right w:val="single" w:color="000000" w:sz="4" w:space="0"/>
            </w:tcBorders>
            <w:vAlign w:val="center"/>
          </w:tcPr>
          <w:p w14:paraId="658A1A8C">
            <w:pPr>
              <w:pStyle w:val="17"/>
              <w:bidi w:val="0"/>
              <w:rPr>
                <w:rFonts w:ascii="Times New Roman" w:hAnsi="Times New Roman"/>
                <w:color w:val="auto"/>
                <w:kern w:val="2"/>
                <w:szCs w:val="21"/>
                <w:highlight w:val="none"/>
              </w:rPr>
            </w:pPr>
            <w:r>
              <w:rPr>
                <w:color w:val="auto"/>
                <w:highlight w:val="none"/>
              </w:rPr>
              <w:t>E3</w:t>
            </w:r>
          </w:p>
        </w:tc>
        <w:tc>
          <w:tcPr>
            <w:tcW w:w="7609" w:type="dxa"/>
            <w:tcBorders>
              <w:top w:val="single" w:color="000000" w:sz="4" w:space="0"/>
              <w:left w:val="single" w:color="000000" w:sz="4" w:space="0"/>
            </w:tcBorders>
            <w:vAlign w:val="center"/>
          </w:tcPr>
          <w:p w14:paraId="73972BCC">
            <w:pPr>
              <w:pStyle w:val="17"/>
              <w:bidi w:val="0"/>
              <w:rPr>
                <w:rFonts w:ascii="Times New Roman" w:hAnsi="Times New Roman"/>
                <w:color w:val="auto"/>
                <w:kern w:val="2"/>
                <w:szCs w:val="21"/>
                <w:highlight w:val="none"/>
                <w:lang w:bidi="ar"/>
              </w:rPr>
            </w:pPr>
            <w:r>
              <w:rPr>
                <w:rFonts w:hint="eastAsia"/>
                <w:color w:val="auto"/>
                <w:highlight w:val="none"/>
              </w:rPr>
              <w:t>周边</w:t>
            </w:r>
            <w:r>
              <w:rPr>
                <w:color w:val="auto"/>
                <w:highlight w:val="none"/>
              </w:rPr>
              <w:t>5km</w:t>
            </w:r>
            <w:r>
              <w:rPr>
                <w:rFonts w:hint="eastAsia"/>
                <w:color w:val="auto"/>
                <w:highlight w:val="none"/>
              </w:rPr>
              <w:t>范围内居住区、医疗卫生、文化教育、科研、行政办公等机构人口总数小于</w:t>
            </w:r>
            <w:r>
              <w:rPr>
                <w:color w:val="auto"/>
                <w:highlight w:val="none"/>
              </w:rPr>
              <w:t>1</w:t>
            </w:r>
            <w:r>
              <w:rPr>
                <w:rFonts w:hint="eastAsia"/>
                <w:color w:val="auto"/>
                <w:highlight w:val="none"/>
              </w:rPr>
              <w:t>万人；或周边</w:t>
            </w:r>
            <w:r>
              <w:rPr>
                <w:color w:val="auto"/>
                <w:highlight w:val="none"/>
              </w:rPr>
              <w:t>500m</w:t>
            </w:r>
            <w:r>
              <w:rPr>
                <w:rFonts w:hint="eastAsia"/>
                <w:color w:val="auto"/>
                <w:highlight w:val="none"/>
              </w:rPr>
              <w:t>范围内人口总数小于</w:t>
            </w:r>
            <w:r>
              <w:rPr>
                <w:color w:val="auto"/>
                <w:highlight w:val="none"/>
              </w:rPr>
              <w:t>500</w:t>
            </w:r>
            <w:r>
              <w:rPr>
                <w:rFonts w:hint="eastAsia"/>
                <w:color w:val="auto"/>
                <w:highlight w:val="none"/>
              </w:rPr>
              <w:t>人；油气、化学品输送管线管段周边</w:t>
            </w:r>
            <w:r>
              <w:rPr>
                <w:color w:val="auto"/>
                <w:highlight w:val="none"/>
              </w:rPr>
              <w:t>200m</w:t>
            </w:r>
            <w:r>
              <w:rPr>
                <w:rFonts w:hint="eastAsia"/>
                <w:color w:val="auto"/>
                <w:highlight w:val="none"/>
              </w:rPr>
              <w:t>范围内，每千米管段人口数小于</w:t>
            </w:r>
            <w:r>
              <w:rPr>
                <w:color w:val="auto"/>
                <w:highlight w:val="none"/>
              </w:rPr>
              <w:t>100</w:t>
            </w:r>
            <w:r>
              <w:rPr>
                <w:rFonts w:hint="eastAsia"/>
                <w:color w:val="auto"/>
                <w:highlight w:val="none"/>
              </w:rPr>
              <w:t>人。</w:t>
            </w:r>
          </w:p>
        </w:tc>
      </w:tr>
    </w:tbl>
    <w:p w14:paraId="2666B80F">
      <w:pPr>
        <w:spacing w:line="480" w:lineRule="exact"/>
        <w:ind w:firstLine="480" w:firstLineChars="200"/>
        <w:rPr>
          <w:color w:val="auto"/>
          <w:sz w:val="24"/>
          <w:szCs w:val="24"/>
          <w:highlight w:val="none"/>
        </w:rPr>
      </w:pPr>
      <w:r>
        <w:rPr>
          <w:rFonts w:hint="eastAsia"/>
          <w:color w:val="auto"/>
          <w:sz w:val="24"/>
          <w:highlight w:val="none"/>
        </w:rPr>
        <w:t>本项目周边</w:t>
      </w:r>
      <w:r>
        <w:rPr>
          <w:rFonts w:hint="eastAsia"/>
          <w:color w:val="auto"/>
          <w:sz w:val="24"/>
          <w:highlight w:val="none"/>
          <w:lang w:val="en-US" w:eastAsia="zh-CN"/>
        </w:rPr>
        <w:t>5</w:t>
      </w:r>
      <w:r>
        <w:rPr>
          <w:rFonts w:hint="eastAsia"/>
          <w:color w:val="auto"/>
          <w:sz w:val="24"/>
          <w:highlight w:val="none"/>
        </w:rPr>
        <w:t>km范围内居住区、医疗卫生、文化教育、科研、行政办公等机构人口总数小于1万人，周边500m范围内人口总数小于500人</w:t>
      </w:r>
      <w:r>
        <w:rPr>
          <w:rFonts w:hint="eastAsia"/>
          <w:color w:val="auto"/>
          <w:sz w:val="24"/>
          <w:highlight w:val="none"/>
          <w:lang w:eastAsia="zh-CN"/>
        </w:rPr>
        <w:t>，</w:t>
      </w:r>
      <w:r>
        <w:rPr>
          <w:rFonts w:hint="eastAsia"/>
          <w:color w:val="auto"/>
          <w:sz w:val="24"/>
          <w:highlight w:val="none"/>
        </w:rPr>
        <w:t>根据《建设项目环境风险评价技术导则》（HJ169－2018）附录D，项目大气环境敏感程度为环境低度敏感区（E3）。</w:t>
      </w:r>
    </w:p>
    <w:p w14:paraId="01F95724">
      <w:pPr>
        <w:spacing w:line="480" w:lineRule="exact"/>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b</w:t>
      </w:r>
      <w:r>
        <w:rPr>
          <w:rFonts w:hint="default" w:ascii="Times New Roman" w:hAnsi="Times New Roman" w:cs="Times New Roman"/>
          <w:color w:val="auto"/>
          <w:sz w:val="24"/>
          <w:szCs w:val="24"/>
          <w:highlight w:val="none"/>
        </w:rPr>
        <w:t>地表水环境</w:t>
      </w:r>
    </w:p>
    <w:p w14:paraId="36B9D246">
      <w:pPr>
        <w:bidi w:val="0"/>
        <w:rPr>
          <w:color w:val="auto"/>
          <w:highlight w:val="none"/>
        </w:rPr>
      </w:pPr>
      <w:r>
        <w:rPr>
          <w:rFonts w:hint="eastAsia"/>
          <w:color w:val="auto"/>
          <w:highlight w:val="none"/>
        </w:rPr>
        <w:t>依据事故情况下危险物质泄漏到水体的排放点受纳地表水体功能敏感性，与下游环境敏感目标情况，共分为三种类型，</w:t>
      </w:r>
      <w:r>
        <w:rPr>
          <w:color w:val="auto"/>
          <w:highlight w:val="none"/>
        </w:rPr>
        <w:t>E1</w:t>
      </w:r>
      <w:r>
        <w:rPr>
          <w:rFonts w:hint="eastAsia"/>
          <w:color w:val="auto"/>
          <w:highlight w:val="none"/>
        </w:rPr>
        <w:t>为环境高度敏感区，</w:t>
      </w:r>
      <w:r>
        <w:rPr>
          <w:color w:val="auto"/>
          <w:highlight w:val="none"/>
        </w:rPr>
        <w:t>E2</w:t>
      </w:r>
      <w:r>
        <w:rPr>
          <w:rFonts w:hint="eastAsia"/>
          <w:color w:val="auto"/>
          <w:highlight w:val="none"/>
        </w:rPr>
        <w:t>为环境中度敏感区，</w:t>
      </w:r>
      <w:r>
        <w:rPr>
          <w:color w:val="auto"/>
          <w:highlight w:val="none"/>
        </w:rPr>
        <w:t>E3</w:t>
      </w:r>
      <w:r>
        <w:rPr>
          <w:rFonts w:hint="eastAsia"/>
          <w:color w:val="auto"/>
          <w:highlight w:val="none"/>
        </w:rPr>
        <w:t>为环境低度敏感区。地表水功能敏感性分区见表</w:t>
      </w:r>
      <w:r>
        <w:rPr>
          <w:rFonts w:hint="eastAsia"/>
          <w:color w:val="auto"/>
          <w:highlight w:val="none"/>
          <w:lang w:val="en-US" w:eastAsia="zh-CN"/>
        </w:rPr>
        <w:t>2.6-19</w:t>
      </w:r>
      <w:r>
        <w:rPr>
          <w:rFonts w:hint="eastAsia"/>
          <w:color w:val="auto"/>
          <w:highlight w:val="none"/>
        </w:rPr>
        <w:t>。</w:t>
      </w:r>
    </w:p>
    <w:p w14:paraId="67D261F9">
      <w:pPr>
        <w:tabs>
          <w:tab w:val="left" w:pos="720"/>
        </w:tabs>
        <w:spacing w:line="480" w:lineRule="exact"/>
        <w:jc w:val="center"/>
        <w:rPr>
          <w:b/>
          <w:color w:val="auto"/>
          <w:sz w:val="24"/>
          <w:szCs w:val="24"/>
          <w:highlight w:val="none"/>
        </w:rPr>
      </w:pPr>
      <w:r>
        <w:rPr>
          <w:rFonts w:hint="eastAsia"/>
          <w:b/>
          <w:color w:val="auto"/>
          <w:sz w:val="24"/>
          <w:szCs w:val="24"/>
          <w:highlight w:val="none"/>
        </w:rPr>
        <w:t>表</w:t>
      </w:r>
      <w:r>
        <w:rPr>
          <w:rFonts w:hint="eastAsia"/>
          <w:b/>
          <w:color w:val="auto"/>
          <w:sz w:val="24"/>
          <w:szCs w:val="24"/>
          <w:highlight w:val="none"/>
          <w:lang w:val="en-US" w:eastAsia="zh-CN"/>
        </w:rPr>
        <w:t>2.6-19</w:t>
      </w:r>
      <w:r>
        <w:rPr>
          <w:rFonts w:hint="eastAsia"/>
          <w:b/>
          <w:color w:val="auto"/>
          <w:sz w:val="24"/>
          <w:szCs w:val="24"/>
          <w:highlight w:val="none"/>
        </w:rPr>
        <w:t xml:space="preserve">   地表水功能敏感性分区</w:t>
      </w:r>
    </w:p>
    <w:tbl>
      <w:tblPr>
        <w:tblStyle w:val="13"/>
        <w:tblW w:w="832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7373"/>
      </w:tblGrid>
      <w:tr w14:paraId="457129E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4" w:type="dxa"/>
            <w:tcBorders>
              <w:bottom w:val="single" w:color="000000" w:sz="4" w:space="0"/>
              <w:right w:val="single" w:color="000000" w:sz="4" w:space="0"/>
            </w:tcBorders>
            <w:vAlign w:val="center"/>
          </w:tcPr>
          <w:p w14:paraId="593CE3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rFonts w:hint="eastAsia"/>
                <w:b/>
                <w:bCs/>
                <w:color w:val="auto"/>
                <w:sz w:val="21"/>
                <w:szCs w:val="21"/>
                <w:highlight w:val="none"/>
              </w:rPr>
              <w:t>分级</w:t>
            </w:r>
          </w:p>
        </w:tc>
        <w:tc>
          <w:tcPr>
            <w:tcW w:w="7373" w:type="dxa"/>
            <w:tcBorders>
              <w:left w:val="single" w:color="000000" w:sz="4" w:space="0"/>
              <w:bottom w:val="single" w:color="000000" w:sz="4" w:space="0"/>
            </w:tcBorders>
            <w:vAlign w:val="center"/>
          </w:tcPr>
          <w:p w14:paraId="524352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rFonts w:hint="eastAsia"/>
                <w:b/>
                <w:bCs/>
                <w:color w:val="auto"/>
                <w:sz w:val="21"/>
                <w:szCs w:val="21"/>
                <w:highlight w:val="none"/>
              </w:rPr>
              <w:t>地表水环境敏感特征</w:t>
            </w:r>
          </w:p>
        </w:tc>
      </w:tr>
      <w:tr w14:paraId="299D2B4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4" w:type="dxa"/>
            <w:tcBorders>
              <w:top w:val="single" w:color="000000" w:sz="4" w:space="0"/>
              <w:bottom w:val="single" w:color="000000" w:sz="4" w:space="0"/>
              <w:right w:val="single" w:color="000000" w:sz="4" w:space="0"/>
            </w:tcBorders>
            <w:vAlign w:val="center"/>
          </w:tcPr>
          <w:p w14:paraId="1A51C6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敏感</w:t>
            </w:r>
            <w:r>
              <w:rPr>
                <w:color w:val="auto"/>
                <w:highlight w:val="none"/>
              </w:rPr>
              <w:t>E</w:t>
            </w:r>
            <w:r>
              <w:rPr>
                <w:color w:val="auto"/>
                <w:sz w:val="21"/>
                <w:szCs w:val="21"/>
                <w:highlight w:val="none"/>
              </w:rPr>
              <w:t>1</w:t>
            </w:r>
          </w:p>
        </w:tc>
        <w:tc>
          <w:tcPr>
            <w:tcW w:w="7373" w:type="dxa"/>
            <w:tcBorders>
              <w:top w:val="single" w:color="000000" w:sz="4" w:space="0"/>
              <w:left w:val="single" w:color="000000" w:sz="4" w:space="0"/>
              <w:bottom w:val="single" w:color="000000" w:sz="4" w:space="0"/>
            </w:tcBorders>
            <w:vAlign w:val="center"/>
          </w:tcPr>
          <w:p w14:paraId="73DD87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排放点进入地表水水域环境功能为</w:t>
            </w:r>
            <w:r>
              <w:rPr>
                <w:color w:val="auto"/>
                <w:sz w:val="21"/>
                <w:szCs w:val="21"/>
                <w:highlight w:val="none"/>
              </w:rPr>
              <w:t>Ⅱ</w:t>
            </w:r>
            <w:r>
              <w:rPr>
                <w:rFonts w:hint="eastAsia"/>
                <w:color w:val="auto"/>
                <w:sz w:val="21"/>
                <w:szCs w:val="21"/>
                <w:highlight w:val="none"/>
              </w:rPr>
              <w:t>类及以上，或海水水质分类第一类；</w:t>
            </w:r>
          </w:p>
          <w:p w14:paraId="420BDA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或以发生事故时，危险物质泄漏到水体的排放点算起，排放进入受纳河流最大流速时，</w:t>
            </w:r>
            <w:r>
              <w:rPr>
                <w:color w:val="auto"/>
                <w:sz w:val="21"/>
                <w:szCs w:val="21"/>
                <w:highlight w:val="none"/>
              </w:rPr>
              <w:t>24h</w:t>
            </w:r>
            <w:r>
              <w:rPr>
                <w:rFonts w:hint="eastAsia"/>
                <w:color w:val="auto"/>
                <w:sz w:val="21"/>
                <w:szCs w:val="21"/>
                <w:highlight w:val="none"/>
              </w:rPr>
              <w:t>流经范围内涉跨国界的。</w:t>
            </w:r>
          </w:p>
        </w:tc>
      </w:tr>
      <w:tr w14:paraId="34A3C4D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4" w:type="dxa"/>
            <w:tcBorders>
              <w:top w:val="single" w:color="000000" w:sz="4" w:space="0"/>
              <w:bottom w:val="single" w:color="000000" w:sz="4" w:space="0"/>
              <w:right w:val="single" w:color="000000" w:sz="4" w:space="0"/>
            </w:tcBorders>
            <w:vAlign w:val="center"/>
          </w:tcPr>
          <w:p w14:paraId="04393A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较敏感</w:t>
            </w:r>
            <w:r>
              <w:rPr>
                <w:color w:val="auto"/>
                <w:highlight w:val="none"/>
              </w:rPr>
              <w:t>E</w:t>
            </w:r>
            <w:r>
              <w:rPr>
                <w:color w:val="auto"/>
                <w:sz w:val="21"/>
                <w:szCs w:val="21"/>
                <w:highlight w:val="none"/>
              </w:rPr>
              <w:t>2</w:t>
            </w:r>
          </w:p>
        </w:tc>
        <w:tc>
          <w:tcPr>
            <w:tcW w:w="7373" w:type="dxa"/>
            <w:tcBorders>
              <w:top w:val="single" w:color="000000" w:sz="4" w:space="0"/>
              <w:left w:val="single" w:color="000000" w:sz="4" w:space="0"/>
              <w:bottom w:val="single" w:color="000000" w:sz="4" w:space="0"/>
            </w:tcBorders>
            <w:vAlign w:val="center"/>
          </w:tcPr>
          <w:p w14:paraId="7CA0E3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排放点进入地表水水域环境功能为</w:t>
            </w:r>
            <w:r>
              <w:rPr>
                <w:color w:val="auto"/>
                <w:sz w:val="21"/>
                <w:szCs w:val="21"/>
                <w:highlight w:val="none"/>
              </w:rPr>
              <w:t>Ⅲ</w:t>
            </w:r>
            <w:r>
              <w:rPr>
                <w:rFonts w:hint="eastAsia"/>
                <w:color w:val="auto"/>
                <w:sz w:val="21"/>
                <w:szCs w:val="21"/>
                <w:highlight w:val="none"/>
              </w:rPr>
              <w:t>类，或海水水质分类第二类；</w:t>
            </w:r>
          </w:p>
          <w:p w14:paraId="328FC4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或以发生事故时，危险物质泄漏到水体的排放点算起，排放进入受纳河流最大流速时，</w:t>
            </w:r>
            <w:r>
              <w:rPr>
                <w:color w:val="auto"/>
                <w:sz w:val="21"/>
                <w:szCs w:val="21"/>
                <w:highlight w:val="none"/>
              </w:rPr>
              <w:t>24h</w:t>
            </w:r>
            <w:r>
              <w:rPr>
                <w:rFonts w:hint="eastAsia"/>
                <w:color w:val="auto"/>
                <w:sz w:val="21"/>
                <w:szCs w:val="21"/>
                <w:highlight w:val="none"/>
              </w:rPr>
              <w:t>流经范围内涉跨省界的。</w:t>
            </w:r>
          </w:p>
        </w:tc>
      </w:tr>
      <w:tr w14:paraId="5C7B1E5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4" w:type="dxa"/>
            <w:tcBorders>
              <w:top w:val="single" w:color="000000" w:sz="4" w:space="0"/>
              <w:right w:val="single" w:color="000000" w:sz="4" w:space="0"/>
            </w:tcBorders>
            <w:vAlign w:val="center"/>
          </w:tcPr>
          <w:p w14:paraId="0D098D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低敏感</w:t>
            </w:r>
            <w:r>
              <w:rPr>
                <w:color w:val="auto"/>
                <w:highlight w:val="none"/>
              </w:rPr>
              <w:t>E</w:t>
            </w:r>
            <w:r>
              <w:rPr>
                <w:color w:val="auto"/>
                <w:sz w:val="21"/>
                <w:szCs w:val="21"/>
                <w:highlight w:val="none"/>
              </w:rPr>
              <w:t>3</w:t>
            </w:r>
          </w:p>
        </w:tc>
        <w:tc>
          <w:tcPr>
            <w:tcW w:w="7373" w:type="dxa"/>
            <w:tcBorders>
              <w:top w:val="single" w:color="000000" w:sz="4" w:space="0"/>
              <w:left w:val="single" w:color="000000" w:sz="4" w:space="0"/>
            </w:tcBorders>
            <w:vAlign w:val="center"/>
          </w:tcPr>
          <w:p w14:paraId="38DF26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上述地区之外的其他地区。</w:t>
            </w:r>
          </w:p>
        </w:tc>
      </w:tr>
    </w:tbl>
    <w:p w14:paraId="468BBDF0">
      <w:pPr>
        <w:bidi w:val="0"/>
        <w:rPr>
          <w:rFonts w:hint="default" w:ascii="Times New Roman" w:hAnsi="Times New Roman" w:cs="Times New Roman"/>
          <w:color w:val="auto"/>
          <w:highlight w:val="none"/>
        </w:rPr>
      </w:pPr>
      <w:r>
        <w:rPr>
          <w:rFonts w:hint="default"/>
          <w:color w:val="auto"/>
          <w:highlight w:val="none"/>
        </w:rPr>
        <w:t>本项目</w:t>
      </w:r>
      <w:r>
        <w:rPr>
          <w:rFonts w:hint="default"/>
          <w:color w:val="auto"/>
          <w:highlight w:val="none"/>
          <w:lang w:val="en-US" w:eastAsia="zh-CN"/>
        </w:rPr>
        <w:t>阿克苏河</w:t>
      </w:r>
      <w:r>
        <w:rPr>
          <w:rFonts w:hint="default"/>
          <w:color w:val="auto"/>
          <w:highlight w:val="none"/>
        </w:rPr>
        <w:t>由</w:t>
      </w:r>
      <w:r>
        <w:rPr>
          <w:rFonts w:hint="default"/>
          <w:color w:val="auto"/>
          <w:highlight w:val="none"/>
          <w:lang w:val="en-US" w:eastAsia="zh-CN"/>
        </w:rPr>
        <w:t>南向北穿越本矿区</w:t>
      </w:r>
      <w:r>
        <w:rPr>
          <w:rFonts w:hint="default"/>
          <w:color w:val="auto"/>
          <w:highlight w:val="none"/>
        </w:rPr>
        <w:t>，</w:t>
      </w:r>
      <w:r>
        <w:rPr>
          <w:color w:val="auto"/>
          <w:highlight w:val="none"/>
        </w:rPr>
        <w:t>本项目</w:t>
      </w:r>
      <w:r>
        <w:rPr>
          <w:rFonts w:hint="eastAsia"/>
          <w:color w:val="auto"/>
          <w:highlight w:val="none"/>
          <w:lang w:val="en-US" w:eastAsia="zh-CN"/>
        </w:rPr>
        <w:t>无废水排放口</w:t>
      </w:r>
      <w:r>
        <w:rPr>
          <w:color w:val="auto"/>
          <w:highlight w:val="none"/>
        </w:rPr>
        <w:t>，柴油储罐、爆破器材库、硫酸储罐等危险物质储存设施均布置远离河道区域，</w:t>
      </w:r>
      <w:r>
        <w:rPr>
          <w:rFonts w:hint="eastAsia"/>
          <w:color w:val="auto"/>
          <w:highlight w:val="none"/>
          <w:lang w:val="en-US" w:eastAsia="zh-CN"/>
        </w:rPr>
        <w:t>并</w:t>
      </w:r>
      <w:r>
        <w:rPr>
          <w:color w:val="auto"/>
          <w:highlight w:val="none"/>
        </w:rPr>
        <w:t>设置</w:t>
      </w:r>
      <w:r>
        <w:rPr>
          <w:rFonts w:hint="eastAsia"/>
          <w:color w:val="auto"/>
          <w:highlight w:val="none"/>
          <w:lang w:val="en-US" w:eastAsia="zh-CN"/>
        </w:rPr>
        <w:t>有</w:t>
      </w:r>
      <w:r>
        <w:rPr>
          <w:color w:val="auto"/>
          <w:highlight w:val="none"/>
        </w:rPr>
        <w:t>防渗、截排水、应急收集及封堵设施，</w:t>
      </w:r>
      <w:r>
        <w:rPr>
          <w:rFonts w:hint="default"/>
          <w:color w:val="auto"/>
          <w:highlight w:val="none"/>
        </w:rPr>
        <w:t>不存在危险物质泄漏排放至地表水水域的情况，根据《建设项</w:t>
      </w:r>
      <w:r>
        <w:rPr>
          <w:rFonts w:hint="default" w:ascii="Times New Roman" w:hAnsi="Times New Roman" w:cs="Times New Roman"/>
          <w:color w:val="auto"/>
          <w:highlight w:val="none"/>
        </w:rPr>
        <w:t>目环境风险评价技术导则》（HJ169－2018）附录D，项目地表水环境敏感程度为环境低度敏感区（E3）。</w:t>
      </w:r>
    </w:p>
    <w:p w14:paraId="2B8FBB79">
      <w:pPr>
        <w:spacing w:line="480" w:lineRule="exact"/>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c</w:t>
      </w:r>
      <w:r>
        <w:rPr>
          <w:rFonts w:hint="default" w:ascii="Times New Roman" w:hAnsi="Times New Roman" w:cs="Times New Roman"/>
          <w:color w:val="auto"/>
          <w:sz w:val="24"/>
          <w:szCs w:val="24"/>
          <w:highlight w:val="none"/>
        </w:rPr>
        <w:t>地下水环境</w:t>
      </w:r>
    </w:p>
    <w:p w14:paraId="15228FD8">
      <w:pPr>
        <w:bidi w:val="0"/>
        <w:rPr>
          <w:color w:val="auto"/>
          <w:highlight w:val="none"/>
        </w:rPr>
      </w:pPr>
      <w:r>
        <w:rPr>
          <w:rFonts w:hint="eastAsia"/>
          <w:color w:val="auto"/>
          <w:highlight w:val="none"/>
        </w:rPr>
        <w:t>依据地下水功能敏感性与包气带防污性能，共分为三种类型，</w:t>
      </w:r>
      <w:r>
        <w:rPr>
          <w:color w:val="auto"/>
          <w:highlight w:val="none"/>
        </w:rPr>
        <w:t>E1</w:t>
      </w:r>
      <w:r>
        <w:rPr>
          <w:rFonts w:hint="eastAsia"/>
          <w:color w:val="auto"/>
          <w:highlight w:val="none"/>
        </w:rPr>
        <w:t>为环境高度敏感区，</w:t>
      </w:r>
      <w:r>
        <w:rPr>
          <w:color w:val="auto"/>
          <w:highlight w:val="none"/>
        </w:rPr>
        <w:t>E2</w:t>
      </w:r>
      <w:r>
        <w:rPr>
          <w:rFonts w:hint="eastAsia"/>
          <w:color w:val="auto"/>
          <w:highlight w:val="none"/>
        </w:rPr>
        <w:t>为环境中度敏感区，</w:t>
      </w:r>
      <w:r>
        <w:rPr>
          <w:color w:val="auto"/>
          <w:highlight w:val="none"/>
        </w:rPr>
        <w:t>E3</w:t>
      </w:r>
      <w:r>
        <w:rPr>
          <w:rFonts w:hint="eastAsia"/>
          <w:color w:val="auto"/>
          <w:highlight w:val="none"/>
        </w:rPr>
        <w:t>为环境低度敏感区。其中地下水功能敏感性分区和包气带防污性能分级分别见表</w:t>
      </w:r>
      <w:r>
        <w:rPr>
          <w:rFonts w:hint="eastAsia"/>
          <w:color w:val="auto"/>
          <w:highlight w:val="none"/>
          <w:lang w:val="en-US" w:eastAsia="zh-CN"/>
        </w:rPr>
        <w:t>2.6-20</w:t>
      </w:r>
      <w:r>
        <w:rPr>
          <w:rFonts w:hint="eastAsia"/>
          <w:color w:val="auto"/>
          <w:highlight w:val="none"/>
        </w:rPr>
        <w:t>和表</w:t>
      </w:r>
      <w:r>
        <w:rPr>
          <w:rFonts w:hint="eastAsia"/>
          <w:color w:val="auto"/>
          <w:highlight w:val="none"/>
          <w:lang w:val="en-US" w:eastAsia="zh-CN"/>
        </w:rPr>
        <w:t>2.6-21</w:t>
      </w:r>
      <w:r>
        <w:rPr>
          <w:rFonts w:hint="eastAsia"/>
          <w:color w:val="auto"/>
          <w:highlight w:val="none"/>
        </w:rPr>
        <w:t>。当同一建设项目涉及两个G分区或D分级及以上时，取相对高值。</w:t>
      </w:r>
    </w:p>
    <w:p w14:paraId="02CE156E">
      <w:pPr>
        <w:tabs>
          <w:tab w:val="left" w:pos="720"/>
        </w:tabs>
        <w:spacing w:line="480" w:lineRule="exact"/>
        <w:jc w:val="center"/>
        <w:rPr>
          <w:rFonts w:hint="eastAsia"/>
          <w:b/>
          <w:color w:val="auto"/>
          <w:sz w:val="24"/>
          <w:szCs w:val="24"/>
          <w:highlight w:val="none"/>
        </w:rPr>
      </w:pPr>
      <w:r>
        <w:rPr>
          <w:rFonts w:hint="eastAsia"/>
          <w:b/>
          <w:color w:val="auto"/>
          <w:sz w:val="24"/>
          <w:szCs w:val="24"/>
          <w:highlight w:val="none"/>
        </w:rPr>
        <w:t>表</w:t>
      </w:r>
      <w:r>
        <w:rPr>
          <w:rFonts w:hint="eastAsia"/>
          <w:b/>
          <w:color w:val="auto"/>
          <w:sz w:val="24"/>
          <w:szCs w:val="24"/>
          <w:highlight w:val="none"/>
          <w:lang w:val="en-US" w:eastAsia="zh-CN"/>
        </w:rPr>
        <w:t>2.6-20</w:t>
      </w:r>
      <w:r>
        <w:rPr>
          <w:rFonts w:hint="eastAsia"/>
          <w:b/>
          <w:color w:val="auto"/>
          <w:sz w:val="24"/>
          <w:szCs w:val="24"/>
          <w:highlight w:val="none"/>
        </w:rPr>
        <w:t xml:space="preserve">   地下水功能敏感性分区</w:t>
      </w:r>
    </w:p>
    <w:tbl>
      <w:tblPr>
        <w:tblStyle w:val="13"/>
        <w:tblW w:w="832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956"/>
        <w:gridCol w:w="7371"/>
      </w:tblGrid>
      <w:tr w14:paraId="7CCA31C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23" w:hRule="atLeast"/>
          <w:jc w:val="center"/>
        </w:trPr>
        <w:tc>
          <w:tcPr>
            <w:tcW w:w="956" w:type="dxa"/>
            <w:tcBorders>
              <w:bottom w:val="single" w:color="000000" w:sz="4" w:space="0"/>
              <w:right w:val="single" w:color="000000" w:sz="4" w:space="0"/>
            </w:tcBorders>
            <w:vAlign w:val="center"/>
          </w:tcPr>
          <w:p w14:paraId="64C994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rFonts w:hint="eastAsia"/>
                <w:b/>
                <w:bCs/>
                <w:color w:val="auto"/>
                <w:sz w:val="21"/>
                <w:szCs w:val="21"/>
                <w:highlight w:val="none"/>
              </w:rPr>
              <w:t>分级</w:t>
            </w:r>
          </w:p>
        </w:tc>
        <w:tc>
          <w:tcPr>
            <w:tcW w:w="7371" w:type="dxa"/>
            <w:tcBorders>
              <w:left w:val="single" w:color="000000" w:sz="4" w:space="0"/>
              <w:bottom w:val="single" w:color="000000" w:sz="4" w:space="0"/>
            </w:tcBorders>
            <w:vAlign w:val="center"/>
          </w:tcPr>
          <w:p w14:paraId="57FC13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rFonts w:hint="eastAsia"/>
                <w:b/>
                <w:bCs/>
                <w:color w:val="auto"/>
                <w:sz w:val="21"/>
                <w:szCs w:val="21"/>
                <w:highlight w:val="none"/>
              </w:rPr>
              <w:t>地下水环境敏感特征</w:t>
            </w:r>
          </w:p>
        </w:tc>
      </w:tr>
      <w:tr w14:paraId="66BF83A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56" w:type="dxa"/>
            <w:tcBorders>
              <w:top w:val="single" w:color="000000" w:sz="4" w:space="0"/>
              <w:bottom w:val="single" w:color="000000" w:sz="4" w:space="0"/>
              <w:right w:val="single" w:color="000000" w:sz="4" w:space="0"/>
            </w:tcBorders>
            <w:vAlign w:val="center"/>
          </w:tcPr>
          <w:p w14:paraId="437EC0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敏感</w:t>
            </w:r>
            <w:r>
              <w:rPr>
                <w:color w:val="auto"/>
                <w:sz w:val="21"/>
                <w:szCs w:val="21"/>
                <w:highlight w:val="none"/>
              </w:rPr>
              <w:t>G1</w:t>
            </w:r>
          </w:p>
        </w:tc>
        <w:tc>
          <w:tcPr>
            <w:tcW w:w="7371" w:type="dxa"/>
            <w:tcBorders>
              <w:top w:val="single" w:color="000000" w:sz="4" w:space="0"/>
              <w:left w:val="single" w:color="000000" w:sz="4" w:space="0"/>
              <w:bottom w:val="single" w:color="000000" w:sz="4" w:space="0"/>
            </w:tcBorders>
            <w:vAlign w:val="center"/>
          </w:tcPr>
          <w:p w14:paraId="1A6EDC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36FEAA2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56" w:type="dxa"/>
            <w:tcBorders>
              <w:top w:val="single" w:color="000000" w:sz="4" w:space="0"/>
              <w:bottom w:val="single" w:color="000000" w:sz="4" w:space="0"/>
              <w:right w:val="single" w:color="000000" w:sz="4" w:space="0"/>
            </w:tcBorders>
            <w:vAlign w:val="center"/>
          </w:tcPr>
          <w:p w14:paraId="22EAB0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较敏感</w:t>
            </w:r>
            <w:r>
              <w:rPr>
                <w:color w:val="auto"/>
                <w:sz w:val="21"/>
                <w:szCs w:val="21"/>
                <w:highlight w:val="none"/>
              </w:rPr>
              <w:t>G2</w:t>
            </w:r>
          </w:p>
        </w:tc>
        <w:tc>
          <w:tcPr>
            <w:tcW w:w="7371" w:type="dxa"/>
            <w:tcBorders>
              <w:top w:val="single" w:color="000000" w:sz="4" w:space="0"/>
              <w:left w:val="single" w:color="000000" w:sz="4" w:space="0"/>
              <w:bottom w:val="single" w:color="000000" w:sz="4" w:space="0"/>
            </w:tcBorders>
            <w:vAlign w:val="center"/>
          </w:tcPr>
          <w:p w14:paraId="342331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w:t>
            </w:r>
            <w:r>
              <w:rPr>
                <w:color w:val="auto"/>
                <w:sz w:val="21"/>
                <w:szCs w:val="21"/>
                <w:highlight w:val="none"/>
              </w:rPr>
              <w:t>a</w:t>
            </w:r>
            <w:r>
              <w:rPr>
                <w:rFonts w:hint="eastAsia"/>
                <w:color w:val="auto"/>
                <w:sz w:val="21"/>
                <w:szCs w:val="21"/>
                <w:highlight w:val="none"/>
              </w:rPr>
              <w:t>。</w:t>
            </w:r>
          </w:p>
        </w:tc>
      </w:tr>
      <w:tr w14:paraId="0D1E4CC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56" w:type="dxa"/>
            <w:tcBorders>
              <w:top w:val="single" w:color="000000" w:sz="4" w:space="0"/>
              <w:bottom w:val="single" w:color="000000" w:sz="4" w:space="0"/>
              <w:right w:val="single" w:color="000000" w:sz="4" w:space="0"/>
            </w:tcBorders>
            <w:vAlign w:val="center"/>
          </w:tcPr>
          <w:p w14:paraId="077686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低敏感</w:t>
            </w:r>
            <w:r>
              <w:rPr>
                <w:color w:val="auto"/>
                <w:sz w:val="21"/>
                <w:szCs w:val="21"/>
                <w:highlight w:val="none"/>
              </w:rPr>
              <w:t>G3</w:t>
            </w:r>
          </w:p>
        </w:tc>
        <w:tc>
          <w:tcPr>
            <w:tcW w:w="7371" w:type="dxa"/>
            <w:tcBorders>
              <w:top w:val="single" w:color="000000" w:sz="4" w:space="0"/>
              <w:left w:val="single" w:color="000000" w:sz="4" w:space="0"/>
              <w:bottom w:val="single" w:color="000000" w:sz="4" w:space="0"/>
            </w:tcBorders>
            <w:vAlign w:val="center"/>
          </w:tcPr>
          <w:p w14:paraId="449633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rFonts w:hint="eastAsia"/>
                <w:color w:val="auto"/>
                <w:sz w:val="21"/>
                <w:szCs w:val="21"/>
                <w:highlight w:val="none"/>
              </w:rPr>
              <w:t>上述地区之外的其他地区。</w:t>
            </w:r>
          </w:p>
        </w:tc>
      </w:tr>
      <w:tr w14:paraId="311B9AE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327" w:type="dxa"/>
            <w:gridSpan w:val="2"/>
            <w:tcBorders>
              <w:top w:val="single" w:color="000000" w:sz="4" w:space="0"/>
            </w:tcBorders>
            <w:vAlign w:val="center"/>
          </w:tcPr>
          <w:p w14:paraId="73716A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A“</w:t>
            </w:r>
            <w:r>
              <w:rPr>
                <w:rFonts w:hint="eastAsia"/>
                <w:color w:val="auto"/>
                <w:sz w:val="21"/>
                <w:szCs w:val="21"/>
                <w:highlight w:val="none"/>
              </w:rPr>
              <w:t>环境敏感区</w:t>
            </w:r>
            <w:r>
              <w:rPr>
                <w:color w:val="auto"/>
                <w:sz w:val="21"/>
                <w:szCs w:val="21"/>
                <w:highlight w:val="none"/>
              </w:rPr>
              <w:t>”</w:t>
            </w:r>
            <w:r>
              <w:rPr>
                <w:rFonts w:hint="eastAsia"/>
                <w:color w:val="auto"/>
                <w:sz w:val="21"/>
                <w:szCs w:val="21"/>
                <w:highlight w:val="none"/>
              </w:rPr>
              <w:t>是指《建设项目环境影响评价分类管理名录》中所界定的涉及地下水的环境敏感区</w:t>
            </w:r>
          </w:p>
        </w:tc>
      </w:tr>
    </w:tbl>
    <w:p w14:paraId="016758E8">
      <w:pPr>
        <w:bidi w:val="0"/>
        <w:rPr>
          <w:color w:val="auto"/>
          <w:highlight w:val="none"/>
        </w:rPr>
      </w:pPr>
      <w:r>
        <w:rPr>
          <w:color w:val="auto"/>
          <w:highlight w:val="none"/>
        </w:rPr>
        <w:t>本项目附近无集中式饮用水水源保护区，地下水功能敏感性分区为不敏感</w:t>
      </w:r>
      <w:r>
        <w:rPr>
          <w:rFonts w:hint="eastAsia"/>
          <w:color w:val="auto"/>
          <w:highlight w:val="none"/>
        </w:rPr>
        <w:t>，因此，本项目地下水功能敏感性分区为</w:t>
      </w:r>
      <w:r>
        <w:rPr>
          <w:color w:val="auto"/>
          <w:highlight w:val="none"/>
        </w:rPr>
        <w:t>G</w:t>
      </w:r>
      <w:r>
        <w:rPr>
          <w:rFonts w:hint="eastAsia"/>
          <w:color w:val="auto"/>
          <w:highlight w:val="none"/>
        </w:rPr>
        <w:t>3。</w:t>
      </w:r>
    </w:p>
    <w:p w14:paraId="25ECEE77">
      <w:pPr>
        <w:tabs>
          <w:tab w:val="left" w:pos="720"/>
        </w:tabs>
        <w:spacing w:line="480" w:lineRule="exact"/>
        <w:jc w:val="center"/>
        <w:rPr>
          <w:b/>
          <w:color w:val="auto"/>
          <w:sz w:val="24"/>
          <w:szCs w:val="24"/>
          <w:highlight w:val="none"/>
        </w:rPr>
      </w:pPr>
      <w:r>
        <w:rPr>
          <w:rFonts w:hint="eastAsia"/>
          <w:b/>
          <w:color w:val="auto"/>
          <w:sz w:val="24"/>
          <w:szCs w:val="24"/>
          <w:highlight w:val="none"/>
        </w:rPr>
        <w:t>表</w:t>
      </w:r>
      <w:r>
        <w:rPr>
          <w:rFonts w:hint="eastAsia"/>
          <w:b/>
          <w:color w:val="auto"/>
          <w:sz w:val="24"/>
          <w:szCs w:val="24"/>
          <w:highlight w:val="none"/>
          <w:lang w:val="en-US" w:eastAsia="zh-CN"/>
        </w:rPr>
        <w:t>2.6-21</w:t>
      </w:r>
      <w:r>
        <w:rPr>
          <w:rFonts w:hint="eastAsia"/>
          <w:b/>
          <w:color w:val="auto"/>
          <w:sz w:val="24"/>
          <w:szCs w:val="24"/>
          <w:highlight w:val="none"/>
        </w:rPr>
        <w:t xml:space="preserve">   包气带防污性能分级</w:t>
      </w:r>
    </w:p>
    <w:tbl>
      <w:tblPr>
        <w:tblStyle w:val="13"/>
        <w:tblW w:w="832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956"/>
        <w:gridCol w:w="7371"/>
      </w:tblGrid>
      <w:tr w14:paraId="1276CFF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6" w:type="dxa"/>
            <w:tcBorders>
              <w:bottom w:val="single" w:color="000000" w:sz="4" w:space="0"/>
              <w:right w:val="single" w:color="000000" w:sz="4" w:space="0"/>
            </w:tcBorders>
            <w:vAlign w:val="center"/>
          </w:tcPr>
          <w:p w14:paraId="1A0DB3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b/>
                <w:bCs/>
                <w:color w:val="auto"/>
                <w:sz w:val="21"/>
                <w:szCs w:val="21"/>
                <w:highlight w:val="none"/>
              </w:rPr>
            </w:pPr>
            <w:r>
              <w:rPr>
                <w:rFonts w:hint="eastAsia"/>
                <w:b/>
                <w:bCs/>
                <w:color w:val="auto"/>
                <w:sz w:val="21"/>
                <w:szCs w:val="21"/>
                <w:highlight w:val="none"/>
              </w:rPr>
              <w:t>分级</w:t>
            </w:r>
          </w:p>
        </w:tc>
        <w:tc>
          <w:tcPr>
            <w:tcW w:w="7371" w:type="dxa"/>
            <w:tcBorders>
              <w:left w:val="single" w:color="000000" w:sz="4" w:space="0"/>
              <w:bottom w:val="single" w:color="000000" w:sz="4" w:space="0"/>
            </w:tcBorders>
            <w:vAlign w:val="center"/>
          </w:tcPr>
          <w:p w14:paraId="361B64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b/>
                <w:bCs/>
                <w:color w:val="auto"/>
                <w:sz w:val="21"/>
                <w:szCs w:val="21"/>
                <w:highlight w:val="none"/>
              </w:rPr>
            </w:pPr>
            <w:r>
              <w:rPr>
                <w:rFonts w:hint="eastAsia"/>
                <w:b/>
                <w:bCs/>
                <w:color w:val="auto"/>
                <w:sz w:val="21"/>
                <w:szCs w:val="21"/>
                <w:highlight w:val="none"/>
              </w:rPr>
              <w:t>包气带岩土的渗透性能</w:t>
            </w:r>
          </w:p>
        </w:tc>
      </w:tr>
      <w:tr w14:paraId="2F766A8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6" w:type="dxa"/>
            <w:tcBorders>
              <w:top w:val="single" w:color="000000" w:sz="4" w:space="0"/>
              <w:bottom w:val="single" w:color="000000" w:sz="4" w:space="0"/>
              <w:right w:val="single" w:color="000000" w:sz="4" w:space="0"/>
            </w:tcBorders>
            <w:vAlign w:val="center"/>
          </w:tcPr>
          <w:p w14:paraId="358E5C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highlight w:val="none"/>
              </w:rPr>
            </w:pPr>
            <w:r>
              <w:rPr>
                <w:color w:val="auto"/>
                <w:sz w:val="21"/>
                <w:szCs w:val="21"/>
                <w:highlight w:val="none"/>
              </w:rPr>
              <w:t>D3</w:t>
            </w:r>
          </w:p>
        </w:tc>
        <w:tc>
          <w:tcPr>
            <w:tcW w:w="7371" w:type="dxa"/>
            <w:tcBorders>
              <w:top w:val="single" w:color="000000" w:sz="4" w:space="0"/>
              <w:left w:val="single" w:color="000000" w:sz="4" w:space="0"/>
              <w:bottom w:val="single" w:color="000000" w:sz="4" w:space="0"/>
            </w:tcBorders>
            <w:vAlign w:val="center"/>
          </w:tcPr>
          <w:p w14:paraId="5DFE5C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highlight w:val="none"/>
              </w:rPr>
            </w:pPr>
            <w:r>
              <w:rPr>
                <w:color w:val="auto"/>
                <w:sz w:val="21"/>
                <w:szCs w:val="21"/>
                <w:highlight w:val="none"/>
              </w:rPr>
              <w:t>Mb≥1.0m</w:t>
            </w:r>
            <w:r>
              <w:rPr>
                <w:rFonts w:hint="eastAsia"/>
                <w:color w:val="auto"/>
                <w:sz w:val="21"/>
                <w:szCs w:val="21"/>
                <w:highlight w:val="none"/>
              </w:rPr>
              <w:t>，</w:t>
            </w:r>
            <w:r>
              <w:rPr>
                <w:color w:val="auto"/>
                <w:sz w:val="21"/>
                <w:szCs w:val="21"/>
                <w:highlight w:val="none"/>
              </w:rPr>
              <w:t>K≤1.0×10</w:t>
            </w:r>
            <w:r>
              <w:rPr>
                <w:color w:val="auto"/>
                <w:sz w:val="21"/>
                <w:szCs w:val="21"/>
                <w:highlight w:val="none"/>
                <w:vertAlign w:val="superscript"/>
              </w:rPr>
              <w:t>-6</w:t>
            </w:r>
            <w:r>
              <w:rPr>
                <w:color w:val="auto"/>
                <w:sz w:val="21"/>
                <w:szCs w:val="21"/>
                <w:highlight w:val="none"/>
              </w:rPr>
              <w:t>cm/s</w:t>
            </w:r>
            <w:r>
              <w:rPr>
                <w:rFonts w:hint="eastAsia"/>
                <w:color w:val="auto"/>
                <w:sz w:val="21"/>
                <w:szCs w:val="21"/>
                <w:highlight w:val="none"/>
              </w:rPr>
              <w:t>，且分布连续、稳定。</w:t>
            </w:r>
          </w:p>
        </w:tc>
      </w:tr>
      <w:tr w14:paraId="420FDF1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6" w:type="dxa"/>
            <w:tcBorders>
              <w:top w:val="single" w:color="000000" w:sz="4" w:space="0"/>
              <w:bottom w:val="single" w:color="000000" w:sz="4" w:space="0"/>
              <w:right w:val="single" w:color="000000" w:sz="4" w:space="0"/>
            </w:tcBorders>
            <w:vAlign w:val="center"/>
          </w:tcPr>
          <w:p w14:paraId="4189CA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highlight w:val="none"/>
              </w:rPr>
            </w:pPr>
            <w:r>
              <w:rPr>
                <w:color w:val="auto"/>
                <w:sz w:val="21"/>
                <w:szCs w:val="21"/>
                <w:highlight w:val="none"/>
              </w:rPr>
              <w:t>D2</w:t>
            </w:r>
          </w:p>
        </w:tc>
        <w:tc>
          <w:tcPr>
            <w:tcW w:w="7371" w:type="dxa"/>
            <w:tcBorders>
              <w:top w:val="single" w:color="000000" w:sz="4" w:space="0"/>
              <w:left w:val="single" w:color="000000" w:sz="4" w:space="0"/>
              <w:bottom w:val="single" w:color="000000" w:sz="4" w:space="0"/>
            </w:tcBorders>
            <w:vAlign w:val="center"/>
          </w:tcPr>
          <w:p w14:paraId="0BB258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highlight w:val="none"/>
              </w:rPr>
            </w:pPr>
            <w:r>
              <w:rPr>
                <w:color w:val="auto"/>
                <w:sz w:val="21"/>
                <w:szCs w:val="21"/>
                <w:highlight w:val="none"/>
              </w:rPr>
              <w:t>0.5m≤Mb</w:t>
            </w:r>
            <w:r>
              <w:rPr>
                <w:rFonts w:hint="eastAsia"/>
                <w:color w:val="auto"/>
                <w:sz w:val="21"/>
                <w:szCs w:val="21"/>
                <w:highlight w:val="none"/>
              </w:rPr>
              <w:t>＜</w:t>
            </w:r>
            <w:r>
              <w:rPr>
                <w:color w:val="auto"/>
                <w:sz w:val="21"/>
                <w:szCs w:val="21"/>
                <w:highlight w:val="none"/>
              </w:rPr>
              <w:t>1.0m</w:t>
            </w:r>
            <w:r>
              <w:rPr>
                <w:rFonts w:hint="eastAsia"/>
                <w:color w:val="auto"/>
                <w:sz w:val="21"/>
                <w:szCs w:val="21"/>
                <w:highlight w:val="none"/>
              </w:rPr>
              <w:t>，</w:t>
            </w:r>
            <w:r>
              <w:rPr>
                <w:color w:val="auto"/>
                <w:sz w:val="21"/>
                <w:szCs w:val="21"/>
                <w:highlight w:val="none"/>
              </w:rPr>
              <w:t>K≤1.0×10</w:t>
            </w:r>
            <w:r>
              <w:rPr>
                <w:color w:val="auto"/>
                <w:sz w:val="21"/>
                <w:szCs w:val="21"/>
                <w:highlight w:val="none"/>
                <w:vertAlign w:val="superscript"/>
              </w:rPr>
              <w:t>-6</w:t>
            </w:r>
            <w:r>
              <w:rPr>
                <w:color w:val="auto"/>
                <w:sz w:val="21"/>
                <w:szCs w:val="21"/>
                <w:highlight w:val="none"/>
              </w:rPr>
              <w:t>cm/s</w:t>
            </w:r>
            <w:r>
              <w:rPr>
                <w:rFonts w:hint="eastAsia"/>
                <w:color w:val="auto"/>
                <w:sz w:val="21"/>
                <w:szCs w:val="21"/>
                <w:highlight w:val="none"/>
              </w:rPr>
              <w:t>，且分布连续、稳定</w:t>
            </w:r>
          </w:p>
          <w:p w14:paraId="588288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highlight w:val="none"/>
              </w:rPr>
            </w:pPr>
            <w:r>
              <w:rPr>
                <w:color w:val="auto"/>
                <w:sz w:val="21"/>
                <w:szCs w:val="21"/>
                <w:highlight w:val="none"/>
              </w:rPr>
              <w:t>Mb≥1.0m</w:t>
            </w:r>
            <w:r>
              <w:rPr>
                <w:rFonts w:hint="eastAsia"/>
                <w:color w:val="auto"/>
                <w:sz w:val="21"/>
                <w:szCs w:val="21"/>
                <w:highlight w:val="none"/>
              </w:rPr>
              <w:t>，</w:t>
            </w:r>
            <w:r>
              <w:rPr>
                <w:color w:val="auto"/>
                <w:sz w:val="21"/>
                <w:szCs w:val="21"/>
                <w:highlight w:val="none"/>
              </w:rPr>
              <w:t>1.0×10</w:t>
            </w:r>
            <w:r>
              <w:rPr>
                <w:color w:val="auto"/>
                <w:sz w:val="21"/>
                <w:szCs w:val="21"/>
                <w:highlight w:val="none"/>
                <w:vertAlign w:val="superscript"/>
              </w:rPr>
              <w:t>-6</w:t>
            </w:r>
            <w:r>
              <w:rPr>
                <w:color w:val="auto"/>
                <w:sz w:val="21"/>
                <w:szCs w:val="21"/>
                <w:highlight w:val="none"/>
              </w:rPr>
              <w:t>cm/s</w:t>
            </w:r>
            <w:r>
              <w:rPr>
                <w:rFonts w:hint="eastAsia"/>
                <w:color w:val="auto"/>
                <w:sz w:val="21"/>
                <w:szCs w:val="21"/>
                <w:highlight w:val="none"/>
              </w:rPr>
              <w:t>＜</w:t>
            </w:r>
            <w:r>
              <w:rPr>
                <w:color w:val="auto"/>
                <w:sz w:val="21"/>
                <w:szCs w:val="21"/>
                <w:highlight w:val="none"/>
              </w:rPr>
              <w:t>K≤1.0×10</w:t>
            </w:r>
            <w:r>
              <w:rPr>
                <w:color w:val="auto"/>
                <w:sz w:val="21"/>
                <w:szCs w:val="21"/>
                <w:highlight w:val="none"/>
                <w:vertAlign w:val="superscript"/>
              </w:rPr>
              <w:t>-4</w:t>
            </w:r>
            <w:r>
              <w:rPr>
                <w:color w:val="auto"/>
                <w:sz w:val="21"/>
                <w:szCs w:val="21"/>
                <w:highlight w:val="none"/>
              </w:rPr>
              <w:t>cm/s</w:t>
            </w:r>
            <w:r>
              <w:rPr>
                <w:rFonts w:hint="eastAsia"/>
                <w:color w:val="auto"/>
                <w:sz w:val="21"/>
                <w:szCs w:val="21"/>
                <w:highlight w:val="none"/>
              </w:rPr>
              <w:t>，且分布连续、稳定。</w:t>
            </w:r>
          </w:p>
        </w:tc>
      </w:tr>
      <w:tr w14:paraId="32EE921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56" w:type="dxa"/>
            <w:tcBorders>
              <w:top w:val="single" w:color="000000" w:sz="4" w:space="0"/>
              <w:bottom w:val="single" w:color="000000" w:sz="4" w:space="0"/>
              <w:right w:val="single" w:color="000000" w:sz="4" w:space="0"/>
            </w:tcBorders>
            <w:vAlign w:val="center"/>
          </w:tcPr>
          <w:p w14:paraId="341CDD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highlight w:val="none"/>
              </w:rPr>
            </w:pPr>
            <w:r>
              <w:rPr>
                <w:color w:val="auto"/>
                <w:sz w:val="21"/>
                <w:szCs w:val="21"/>
                <w:highlight w:val="none"/>
              </w:rPr>
              <w:t>D1</w:t>
            </w:r>
          </w:p>
        </w:tc>
        <w:tc>
          <w:tcPr>
            <w:tcW w:w="7371" w:type="dxa"/>
            <w:tcBorders>
              <w:top w:val="single" w:color="000000" w:sz="4" w:space="0"/>
              <w:left w:val="single" w:color="000000" w:sz="4" w:space="0"/>
              <w:bottom w:val="single" w:color="000000" w:sz="4" w:space="0"/>
            </w:tcBorders>
            <w:vAlign w:val="center"/>
          </w:tcPr>
          <w:p w14:paraId="54548B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highlight w:val="none"/>
              </w:rPr>
            </w:pPr>
            <w:r>
              <w:rPr>
                <w:rFonts w:hint="eastAsia"/>
                <w:color w:val="auto"/>
                <w:sz w:val="21"/>
                <w:szCs w:val="21"/>
                <w:highlight w:val="none"/>
              </w:rPr>
              <w:t>岩（土）层不满足上述</w:t>
            </w:r>
            <w:r>
              <w:rPr>
                <w:color w:val="auto"/>
                <w:sz w:val="21"/>
                <w:szCs w:val="21"/>
                <w:highlight w:val="none"/>
              </w:rPr>
              <w:t>“D2”</w:t>
            </w:r>
            <w:r>
              <w:rPr>
                <w:rFonts w:hint="eastAsia"/>
                <w:color w:val="auto"/>
                <w:sz w:val="21"/>
                <w:szCs w:val="21"/>
                <w:highlight w:val="none"/>
              </w:rPr>
              <w:t>和</w:t>
            </w:r>
            <w:r>
              <w:rPr>
                <w:color w:val="auto"/>
                <w:sz w:val="21"/>
                <w:szCs w:val="21"/>
                <w:highlight w:val="none"/>
              </w:rPr>
              <w:t>“D3”</w:t>
            </w:r>
            <w:r>
              <w:rPr>
                <w:rFonts w:hint="eastAsia"/>
                <w:color w:val="auto"/>
                <w:sz w:val="21"/>
                <w:szCs w:val="21"/>
                <w:highlight w:val="none"/>
              </w:rPr>
              <w:t>条件。</w:t>
            </w:r>
          </w:p>
        </w:tc>
      </w:tr>
      <w:tr w14:paraId="13D00D9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327" w:type="dxa"/>
            <w:gridSpan w:val="2"/>
            <w:tcBorders>
              <w:top w:val="single" w:color="000000" w:sz="4" w:space="0"/>
            </w:tcBorders>
            <w:vAlign w:val="center"/>
          </w:tcPr>
          <w:p w14:paraId="3FF455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highlight w:val="none"/>
              </w:rPr>
            </w:pPr>
            <w:r>
              <w:rPr>
                <w:color w:val="auto"/>
                <w:sz w:val="21"/>
                <w:szCs w:val="21"/>
                <w:highlight w:val="none"/>
              </w:rPr>
              <w:t>Mb</w:t>
            </w:r>
            <w:r>
              <w:rPr>
                <w:rFonts w:hint="eastAsia"/>
                <w:color w:val="auto"/>
                <w:sz w:val="21"/>
                <w:szCs w:val="21"/>
                <w:highlight w:val="none"/>
              </w:rPr>
              <w:t>：岩土层单层厚度。</w:t>
            </w:r>
            <w:r>
              <w:rPr>
                <w:color w:val="auto"/>
                <w:sz w:val="21"/>
                <w:szCs w:val="21"/>
                <w:highlight w:val="none"/>
              </w:rPr>
              <w:t>K</w:t>
            </w:r>
            <w:r>
              <w:rPr>
                <w:rFonts w:hint="eastAsia"/>
                <w:color w:val="auto"/>
                <w:sz w:val="21"/>
                <w:szCs w:val="21"/>
                <w:highlight w:val="none"/>
              </w:rPr>
              <w:t>：渗透系数。</w:t>
            </w:r>
          </w:p>
        </w:tc>
      </w:tr>
    </w:tbl>
    <w:p w14:paraId="1F34CBF2">
      <w:pPr>
        <w:bidi w:val="0"/>
        <w:rPr>
          <w:rFonts w:hint="eastAsia"/>
          <w:color w:val="auto"/>
          <w:highlight w:val="none"/>
        </w:rPr>
      </w:pPr>
      <w:r>
        <w:rPr>
          <w:rFonts w:hint="eastAsia"/>
          <w:color w:val="auto"/>
          <w:highlight w:val="none"/>
        </w:rPr>
        <w:t>本项目岩（土）层不属于上述</w:t>
      </w:r>
      <w:r>
        <w:rPr>
          <w:color w:val="auto"/>
          <w:highlight w:val="none"/>
        </w:rPr>
        <w:t>“D2”</w:t>
      </w:r>
      <w:r>
        <w:rPr>
          <w:rFonts w:hint="eastAsia"/>
          <w:color w:val="auto"/>
          <w:highlight w:val="none"/>
        </w:rPr>
        <w:t>和</w:t>
      </w:r>
      <w:r>
        <w:rPr>
          <w:color w:val="auto"/>
          <w:highlight w:val="none"/>
        </w:rPr>
        <w:t>“D3”</w:t>
      </w:r>
      <w:r>
        <w:rPr>
          <w:rFonts w:hint="eastAsia"/>
          <w:color w:val="auto"/>
          <w:highlight w:val="none"/>
        </w:rPr>
        <w:t>条件，包气带防污性能分级为</w:t>
      </w:r>
      <w:r>
        <w:rPr>
          <w:color w:val="auto"/>
          <w:highlight w:val="none"/>
        </w:rPr>
        <w:t>D1</w:t>
      </w:r>
      <w:r>
        <w:rPr>
          <w:rFonts w:hint="eastAsia"/>
          <w:color w:val="auto"/>
          <w:highlight w:val="none"/>
        </w:rPr>
        <w:t>。</w:t>
      </w:r>
    </w:p>
    <w:p w14:paraId="0470BFF5">
      <w:pPr>
        <w:bidi w:val="0"/>
        <w:rPr>
          <w:color w:val="auto"/>
          <w:highlight w:val="none"/>
        </w:rPr>
      </w:pPr>
      <w:r>
        <w:rPr>
          <w:rFonts w:hint="eastAsia"/>
          <w:color w:val="auto"/>
          <w:highlight w:val="none"/>
        </w:rPr>
        <w:t>依据地下水功能敏感性与包气带防污性能，共分为三种类型，E1为环境高度敏感区，E2为环境中度敏感区，E3为环境低度敏感区，分级原则见表</w:t>
      </w:r>
      <w:r>
        <w:rPr>
          <w:rFonts w:hint="eastAsia"/>
          <w:color w:val="auto"/>
          <w:highlight w:val="none"/>
          <w:lang w:val="en-US" w:eastAsia="zh-CN"/>
        </w:rPr>
        <w:t>2.6-22</w:t>
      </w:r>
      <w:r>
        <w:rPr>
          <w:rFonts w:hint="eastAsia"/>
          <w:color w:val="auto"/>
          <w:highlight w:val="none"/>
        </w:rPr>
        <w:t>。</w:t>
      </w:r>
    </w:p>
    <w:p w14:paraId="39A4D397">
      <w:pPr>
        <w:tabs>
          <w:tab w:val="left" w:pos="720"/>
        </w:tabs>
        <w:spacing w:line="480" w:lineRule="exact"/>
        <w:jc w:val="center"/>
        <w:rPr>
          <w:rFonts w:hint="eastAsia"/>
          <w:b/>
          <w:color w:val="auto"/>
          <w:sz w:val="24"/>
          <w:szCs w:val="24"/>
          <w:highlight w:val="none"/>
        </w:rPr>
      </w:pPr>
      <w:r>
        <w:rPr>
          <w:rFonts w:hint="eastAsia"/>
          <w:b/>
          <w:color w:val="auto"/>
          <w:sz w:val="24"/>
          <w:szCs w:val="24"/>
          <w:highlight w:val="none"/>
        </w:rPr>
        <w:t>表</w:t>
      </w:r>
      <w:r>
        <w:rPr>
          <w:rFonts w:hint="eastAsia"/>
          <w:b/>
          <w:color w:val="auto"/>
          <w:sz w:val="24"/>
          <w:szCs w:val="24"/>
          <w:highlight w:val="none"/>
          <w:lang w:val="en-US" w:eastAsia="zh-CN"/>
        </w:rPr>
        <w:t>2.6-22</w:t>
      </w:r>
      <w:r>
        <w:rPr>
          <w:rFonts w:hint="eastAsia"/>
          <w:b/>
          <w:color w:val="auto"/>
          <w:sz w:val="24"/>
          <w:szCs w:val="24"/>
          <w:highlight w:val="none"/>
        </w:rPr>
        <w:t xml:space="preserve">    地下水环境敏感程度分级</w:t>
      </w:r>
    </w:p>
    <w:tbl>
      <w:tblPr>
        <w:tblStyle w:val="13"/>
        <w:tblW w:w="832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2080"/>
        <w:gridCol w:w="2081"/>
        <w:gridCol w:w="2084"/>
        <w:gridCol w:w="2082"/>
      </w:tblGrid>
      <w:tr w14:paraId="4146FA0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2080" w:type="dxa"/>
            <w:vMerge w:val="restart"/>
            <w:vAlign w:val="center"/>
          </w:tcPr>
          <w:p w14:paraId="06DDFC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rFonts w:hint="eastAsia"/>
                <w:b/>
                <w:bCs/>
                <w:color w:val="auto"/>
                <w:sz w:val="21"/>
                <w:szCs w:val="21"/>
                <w:highlight w:val="none"/>
              </w:rPr>
              <w:t>环境敏感目标</w:t>
            </w:r>
          </w:p>
        </w:tc>
        <w:tc>
          <w:tcPr>
            <w:tcW w:w="6247" w:type="dxa"/>
            <w:gridSpan w:val="3"/>
            <w:vAlign w:val="center"/>
          </w:tcPr>
          <w:p w14:paraId="4EFEFD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rFonts w:hint="eastAsia"/>
                <w:b/>
                <w:bCs/>
                <w:color w:val="auto"/>
                <w:sz w:val="21"/>
                <w:szCs w:val="21"/>
                <w:highlight w:val="none"/>
              </w:rPr>
              <w:t>地下水功能敏感性</w:t>
            </w:r>
          </w:p>
        </w:tc>
      </w:tr>
      <w:tr w14:paraId="32FE2CE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2080" w:type="dxa"/>
            <w:vMerge w:val="continue"/>
            <w:vAlign w:val="center"/>
          </w:tcPr>
          <w:p w14:paraId="5FCA32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p>
        </w:tc>
        <w:tc>
          <w:tcPr>
            <w:tcW w:w="2081" w:type="dxa"/>
            <w:vAlign w:val="center"/>
          </w:tcPr>
          <w:p w14:paraId="2EB167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b/>
                <w:bCs/>
                <w:color w:val="auto"/>
                <w:sz w:val="21"/>
                <w:szCs w:val="21"/>
                <w:highlight w:val="none"/>
              </w:rPr>
              <w:t>G1</w:t>
            </w:r>
          </w:p>
        </w:tc>
        <w:tc>
          <w:tcPr>
            <w:tcW w:w="2084" w:type="dxa"/>
            <w:vAlign w:val="center"/>
          </w:tcPr>
          <w:p w14:paraId="103762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b/>
                <w:bCs/>
                <w:color w:val="auto"/>
                <w:sz w:val="21"/>
                <w:szCs w:val="21"/>
                <w:highlight w:val="none"/>
              </w:rPr>
              <w:t>G2</w:t>
            </w:r>
          </w:p>
        </w:tc>
        <w:tc>
          <w:tcPr>
            <w:tcW w:w="2082" w:type="dxa"/>
            <w:vAlign w:val="center"/>
          </w:tcPr>
          <w:p w14:paraId="7E18D4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b/>
                <w:bCs/>
                <w:color w:val="auto"/>
                <w:sz w:val="21"/>
                <w:szCs w:val="21"/>
                <w:highlight w:val="none"/>
              </w:rPr>
            </w:pPr>
            <w:r>
              <w:rPr>
                <w:b/>
                <w:bCs/>
                <w:color w:val="auto"/>
                <w:sz w:val="21"/>
                <w:szCs w:val="21"/>
                <w:highlight w:val="none"/>
              </w:rPr>
              <w:t>G3</w:t>
            </w:r>
          </w:p>
        </w:tc>
      </w:tr>
      <w:tr w14:paraId="5561B61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80" w:type="dxa"/>
            <w:shd w:val="clear" w:color="auto" w:fill="auto"/>
            <w:vAlign w:val="center"/>
          </w:tcPr>
          <w:p w14:paraId="2DE47A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D1</w:t>
            </w:r>
          </w:p>
        </w:tc>
        <w:tc>
          <w:tcPr>
            <w:tcW w:w="2081" w:type="dxa"/>
            <w:shd w:val="clear" w:color="auto" w:fill="auto"/>
            <w:vAlign w:val="center"/>
          </w:tcPr>
          <w:p w14:paraId="2014D1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E1</w:t>
            </w:r>
          </w:p>
        </w:tc>
        <w:tc>
          <w:tcPr>
            <w:tcW w:w="2084" w:type="dxa"/>
            <w:shd w:val="clear" w:color="auto" w:fill="auto"/>
            <w:vAlign w:val="center"/>
          </w:tcPr>
          <w:p w14:paraId="565333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E1</w:t>
            </w:r>
          </w:p>
        </w:tc>
        <w:tc>
          <w:tcPr>
            <w:tcW w:w="2082" w:type="dxa"/>
            <w:shd w:val="pct10" w:color="auto" w:fill="auto"/>
            <w:vAlign w:val="center"/>
          </w:tcPr>
          <w:p w14:paraId="1B53DE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E2</w:t>
            </w:r>
          </w:p>
        </w:tc>
      </w:tr>
      <w:tr w14:paraId="54F50CD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80" w:type="dxa"/>
            <w:vAlign w:val="center"/>
          </w:tcPr>
          <w:p w14:paraId="254AC1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D2</w:t>
            </w:r>
          </w:p>
        </w:tc>
        <w:tc>
          <w:tcPr>
            <w:tcW w:w="2081" w:type="dxa"/>
            <w:vAlign w:val="center"/>
          </w:tcPr>
          <w:p w14:paraId="2BE724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E1</w:t>
            </w:r>
          </w:p>
        </w:tc>
        <w:tc>
          <w:tcPr>
            <w:tcW w:w="2084" w:type="dxa"/>
            <w:vAlign w:val="center"/>
          </w:tcPr>
          <w:p w14:paraId="0C9BB8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E2</w:t>
            </w:r>
          </w:p>
        </w:tc>
        <w:tc>
          <w:tcPr>
            <w:tcW w:w="2082" w:type="dxa"/>
            <w:vAlign w:val="center"/>
          </w:tcPr>
          <w:p w14:paraId="10A4EB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E3</w:t>
            </w:r>
          </w:p>
        </w:tc>
      </w:tr>
      <w:tr w14:paraId="335DB3D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80" w:type="dxa"/>
            <w:vAlign w:val="center"/>
          </w:tcPr>
          <w:p w14:paraId="228FE0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D3</w:t>
            </w:r>
          </w:p>
        </w:tc>
        <w:tc>
          <w:tcPr>
            <w:tcW w:w="2081" w:type="dxa"/>
            <w:vAlign w:val="center"/>
          </w:tcPr>
          <w:p w14:paraId="1DCBE6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E2</w:t>
            </w:r>
          </w:p>
        </w:tc>
        <w:tc>
          <w:tcPr>
            <w:tcW w:w="2084" w:type="dxa"/>
            <w:vAlign w:val="center"/>
          </w:tcPr>
          <w:p w14:paraId="6DADA4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E3</w:t>
            </w:r>
          </w:p>
        </w:tc>
        <w:tc>
          <w:tcPr>
            <w:tcW w:w="2082" w:type="dxa"/>
            <w:vAlign w:val="center"/>
          </w:tcPr>
          <w:p w14:paraId="312B92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baseline"/>
              <w:rPr>
                <w:color w:val="auto"/>
                <w:sz w:val="21"/>
                <w:szCs w:val="21"/>
                <w:highlight w:val="none"/>
              </w:rPr>
            </w:pPr>
            <w:r>
              <w:rPr>
                <w:color w:val="auto"/>
                <w:sz w:val="21"/>
                <w:szCs w:val="21"/>
                <w:highlight w:val="none"/>
              </w:rPr>
              <w:t>E3</w:t>
            </w:r>
          </w:p>
        </w:tc>
      </w:tr>
    </w:tbl>
    <w:p w14:paraId="43A4685B">
      <w:pPr>
        <w:spacing w:line="48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附近无集中式饮用水水源保护区，地下水功能敏感性分区为不敏感，包气带防污性能分级为D1。根据《建设项目环境风险评价技术导则》（HJ169-2018）附录D，项目地下水环境敏感程度为环境低度敏感区（E2）。</w:t>
      </w:r>
    </w:p>
    <w:p w14:paraId="12C014E5">
      <w:pPr>
        <w:spacing w:line="480" w:lineRule="exact"/>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⑥</w:t>
      </w:r>
      <w:r>
        <w:rPr>
          <w:rFonts w:hint="default" w:ascii="Times New Roman" w:hAnsi="Times New Roman" w:cs="Times New Roman"/>
          <w:color w:val="auto"/>
          <w:sz w:val="24"/>
          <w:szCs w:val="24"/>
          <w:highlight w:val="none"/>
        </w:rPr>
        <w:t>各环境要素风险潜势判定</w:t>
      </w:r>
    </w:p>
    <w:p w14:paraId="492ACED5">
      <w:pPr>
        <w:spacing w:line="48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综上分析，项目大气环境敏感程度分级为E3，地表水环境敏感程度分级为E3，地下水环境敏感程度分级为E2；项目危险物质及工艺系统危险性等级为P4，本项目大气环境风险潜势为Ⅰ类，项目地表水环境风险潜势为Ⅰ类，项目地下水环境风险潜势为Ⅱ类。</w:t>
      </w:r>
    </w:p>
    <w:p w14:paraId="7AECA8FE">
      <w:pPr>
        <w:spacing w:line="48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根据导则：建设项目环境风险潜势综合等级取各要素等级的相对高值。因此，本项目环境风险潜势为Ⅱ类。</w:t>
      </w:r>
    </w:p>
    <w:p w14:paraId="17508936">
      <w:pPr>
        <w:spacing w:line="480" w:lineRule="exact"/>
        <w:ind w:firstLine="480" w:firstLineChars="200"/>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⑦</w:t>
      </w:r>
      <w:r>
        <w:rPr>
          <w:rFonts w:hint="default" w:ascii="Times New Roman" w:hAnsi="Times New Roman" w:cs="Times New Roman"/>
          <w:color w:val="auto"/>
          <w:sz w:val="24"/>
          <w:szCs w:val="24"/>
          <w:highlight w:val="none"/>
        </w:rPr>
        <w:t>环境风险评价工作等级判断</w:t>
      </w:r>
    </w:p>
    <w:p w14:paraId="2546B28C">
      <w:pPr>
        <w:spacing w:line="48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本项目环境风险潜势为Ⅱ类，根据表2.</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，本项目风险评价等级为三级。本项目主要的环境风险为爆破器材库爆炸、</w:t>
      </w:r>
      <w:r>
        <w:rPr>
          <w:rFonts w:hint="eastAsia" w:cs="Times New Roman"/>
          <w:color w:val="auto"/>
          <w:sz w:val="24"/>
          <w:szCs w:val="24"/>
          <w:highlight w:val="none"/>
          <w:lang w:val="en-US" w:eastAsia="zh-CN"/>
        </w:rPr>
        <w:t>硫酸泄漏、</w:t>
      </w:r>
      <w:r>
        <w:rPr>
          <w:rFonts w:hint="default" w:ascii="Times New Roman" w:hAnsi="Times New Roman" w:cs="Times New Roman"/>
          <w:color w:val="auto"/>
          <w:sz w:val="24"/>
          <w:szCs w:val="24"/>
          <w:highlight w:val="none"/>
        </w:rPr>
        <w:t>火灾等引发的环境污染风险。</w:t>
      </w:r>
    </w:p>
    <w:p w14:paraId="73D69E59">
      <w:pPr>
        <w:bidi w:val="0"/>
        <w:outlineLvl w:val="9"/>
        <w:rPr>
          <w:rFonts w:hint="default" w:ascii="Times New Roman" w:hAnsi="Times New Roman" w:cs="Times New Roman"/>
          <w:color w:val="auto"/>
          <w:highlight w:val="none"/>
        </w:rPr>
      </w:pPr>
      <w:r>
        <w:rPr>
          <w:rFonts w:hint="eastAsia" w:cs="Times New Roman"/>
          <w:color w:val="auto"/>
          <w:highlight w:val="none"/>
          <w:lang w:val="en-US" w:eastAsia="zh-CN"/>
        </w:rPr>
        <w:t>⑧</w:t>
      </w:r>
      <w:r>
        <w:rPr>
          <w:rFonts w:hint="default" w:ascii="Times New Roman" w:hAnsi="Times New Roman" w:cs="Times New Roman"/>
          <w:color w:val="auto"/>
          <w:highlight w:val="none"/>
        </w:rPr>
        <w:t>环境风险评价范围</w:t>
      </w:r>
    </w:p>
    <w:p w14:paraId="30523338">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大气环境风险评价范围：以建设项目边界为起点，距建设项目边界3km；</w:t>
      </w:r>
    </w:p>
    <w:p w14:paraId="6926941D">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地表水环境风险评价范围：同地表水环境评价范围；</w:t>
      </w:r>
    </w:p>
    <w:p w14:paraId="62F287D8">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地下水环境风险评价范围：同地下水环境评价范围。</w:t>
      </w:r>
    </w:p>
    <w:p w14:paraId="74B4C5B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（2）尾矿库</w:t>
      </w:r>
    </w:p>
    <w:p w14:paraId="64676B5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《尾矿库环境风险评估技术导则（试行）》（HJ740-2015）从尾矿库的环境危害性（H）、周边环境敏感性（S）、控制机制可靠性（R）三个方面进行环境风险等级的划分。评价等级划分指标体系见图2.6-1。</w:t>
      </w:r>
    </w:p>
    <w:p w14:paraId="16DF5FAB">
      <w:pPr>
        <w:ind w:firstLine="480"/>
        <w:jc w:val="center"/>
        <w:rPr>
          <w:rFonts w:hint="default" w:ascii="Times New Roman" w:hAnsi="Times New Roman" w:cs="Times New Roman"/>
          <w:b/>
          <w:color w:val="auto"/>
          <w:highlight w:val="none"/>
        </w:rPr>
      </w:pPr>
      <w:r>
        <w:rPr>
          <w:rFonts w:hint="default" w:ascii="Times New Roman" w:hAnsi="Times New Roman" w:cs="Times New Roman"/>
          <w:color w:val="auto"/>
          <w:highlight w:val="none"/>
        </w:rPr>
        <w:drawing>
          <wp:anchor distT="0" distB="0" distL="0" distR="0" simplePos="0" relativeHeight="251662336" behindDoc="0" locked="0" layoutInCell="1" allowOverlap="1">
            <wp:simplePos x="0" y="0"/>
            <wp:positionH relativeFrom="margin">
              <wp:align>center</wp:align>
            </wp:positionH>
            <wp:positionV relativeFrom="paragraph">
              <wp:posOffset>78740</wp:posOffset>
            </wp:positionV>
            <wp:extent cx="5257165" cy="1304290"/>
            <wp:effectExtent l="0" t="0" r="635" b="10160"/>
            <wp:wrapTopAndBottom/>
            <wp:docPr id="3"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78"/>
                    <pic:cNvPicPr>
                      <a:picLocks noChangeAspect="1"/>
                    </pic:cNvPicPr>
                  </pic:nvPicPr>
                  <pic:blipFill>
                    <a:blip r:embed="rId21" cstate="print"/>
                    <a:stretch>
                      <a:fillRect/>
                    </a:stretch>
                  </pic:blipFill>
                  <pic:spPr>
                    <a:xfrm>
                      <a:off x="0" y="0"/>
                      <a:ext cx="5257165" cy="1304290"/>
                    </a:xfrm>
                    <a:prstGeom prst="rect">
                      <a:avLst/>
                    </a:prstGeom>
                    <a:noFill/>
                    <a:ln w="9525">
                      <a:noFill/>
                      <a:miter/>
                    </a:ln>
                  </pic:spPr>
                </pic:pic>
              </a:graphicData>
            </a:graphic>
          </wp:anchor>
        </w:drawing>
      </w:r>
      <w:r>
        <w:rPr>
          <w:rFonts w:hint="default" w:ascii="Times New Roman" w:hAnsi="Times New Roman" w:cs="Times New Roman"/>
          <w:b/>
          <w:color w:val="auto"/>
          <w:kern w:val="0"/>
          <w:highlight w:val="none"/>
        </w:rPr>
        <w:t>图2.6-1    评价等级划分指标体系</w:t>
      </w:r>
    </w:p>
    <w:p w14:paraId="1C6DB3BC">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①环境危害性（H）</w:t>
      </w:r>
    </w:p>
    <w:p w14:paraId="4993D93E">
      <w:pPr>
        <w:keepNext w:val="0"/>
        <w:keepLines w:val="0"/>
        <w:pageBreakBefore w:val="0"/>
        <w:widowControl w:val="0"/>
        <w:kinsoku/>
        <w:wordWrap/>
        <w:overflowPunct w:val="0"/>
        <w:topLinePunct/>
        <w:autoSpaceDE/>
        <w:autoSpaceDN/>
        <w:bidi w:val="0"/>
        <w:adjustRightInd/>
        <w:snapToGrid/>
        <w:spacing w:line="480" w:lineRule="exact"/>
        <w:ind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采用评分方法，对类型、性质和规模三方面指标进行评分与累加求和，评估尾矿库环境危害性（H），危险性等别划分指标见表2.6-</w:t>
      </w:r>
      <w:r>
        <w:rPr>
          <w:rFonts w:hint="eastAsia" w:cs="Times New Roman"/>
          <w:color w:val="auto"/>
          <w:highlight w:val="none"/>
          <w:lang w:val="en-US" w:eastAsia="zh-CN"/>
        </w:rPr>
        <w:t>23</w:t>
      </w:r>
      <w:r>
        <w:rPr>
          <w:rFonts w:hint="default" w:ascii="Times New Roman" w:hAnsi="Times New Roman" w:cs="Times New Roman"/>
          <w:color w:val="auto"/>
          <w:highlight w:val="none"/>
        </w:rPr>
        <w:t>。</w:t>
      </w:r>
    </w:p>
    <w:p w14:paraId="1FAA0221">
      <w:pPr>
        <w:keepNext w:val="0"/>
        <w:keepLines w:val="0"/>
        <w:pageBreakBefore w:val="0"/>
        <w:widowControl w:val="0"/>
        <w:kinsoku/>
        <w:wordWrap/>
        <w:autoSpaceDE/>
        <w:autoSpaceDN/>
        <w:bidi w:val="0"/>
        <w:adjustRightInd/>
        <w:snapToGrid/>
        <w:spacing w:line="480" w:lineRule="exact"/>
        <w:ind w:firstLine="482"/>
        <w:jc w:val="center"/>
        <w:textAlignment w:val="auto"/>
        <w:rPr>
          <w:rFonts w:hint="default" w:ascii="Times New Roman" w:hAnsi="Times New Roman" w:cs="Times New Roman"/>
          <w:color w:val="auto"/>
          <w:highlight w:val="none"/>
        </w:rPr>
      </w:pPr>
      <w:r>
        <w:rPr>
          <w:rFonts w:hint="default" w:ascii="Times New Roman" w:hAnsi="Times New Roman" w:cs="Times New Roman"/>
          <w:b/>
          <w:color w:val="auto"/>
          <w:kern w:val="0"/>
          <w:highlight w:val="none"/>
        </w:rPr>
        <w:t>表2.6-</w:t>
      </w:r>
      <w:r>
        <w:rPr>
          <w:rFonts w:hint="eastAsia" w:cs="Times New Roman"/>
          <w:b/>
          <w:color w:val="auto"/>
          <w:kern w:val="0"/>
          <w:highlight w:val="none"/>
          <w:lang w:val="en-US" w:eastAsia="zh-CN"/>
        </w:rPr>
        <w:t>23</w:t>
      </w:r>
      <w:r>
        <w:rPr>
          <w:rFonts w:hint="default" w:ascii="Times New Roman" w:hAnsi="Times New Roman" w:cs="Times New Roman"/>
          <w:b/>
          <w:color w:val="auto"/>
          <w:kern w:val="0"/>
          <w:highlight w:val="none"/>
        </w:rPr>
        <w:t xml:space="preserve">    尾矿库环境危害性（H）等别划分指标体系</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733"/>
        <w:gridCol w:w="861"/>
        <w:gridCol w:w="1708"/>
        <w:gridCol w:w="1059"/>
        <w:gridCol w:w="2015"/>
        <w:gridCol w:w="1059"/>
        <w:gridCol w:w="936"/>
      </w:tblGrid>
      <w:tr w14:paraId="6976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36" w:type="pct"/>
            <w:vAlign w:val="center"/>
          </w:tcPr>
          <w:p w14:paraId="2522FF8E">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3475" w:type="pct"/>
            <w:gridSpan w:val="5"/>
            <w:vAlign w:val="center"/>
          </w:tcPr>
          <w:p w14:paraId="1835D5D3">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指标项目</w:t>
            </w:r>
          </w:p>
        </w:tc>
        <w:tc>
          <w:tcPr>
            <w:tcW w:w="577" w:type="pct"/>
            <w:vAlign w:val="center"/>
          </w:tcPr>
          <w:p w14:paraId="2EC6E8D8">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指标分值</w:t>
            </w:r>
          </w:p>
        </w:tc>
        <w:tc>
          <w:tcPr>
            <w:tcW w:w="510" w:type="pct"/>
            <w:shd w:val="clear" w:color="auto" w:fill="auto"/>
            <w:vAlign w:val="center"/>
          </w:tcPr>
          <w:p w14:paraId="07ADF7DF">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尾矿库</w:t>
            </w:r>
          </w:p>
        </w:tc>
      </w:tr>
      <w:tr w14:paraId="6E21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 w:type="pct"/>
            <w:vAlign w:val="center"/>
          </w:tcPr>
          <w:p w14:paraId="1F95AE27">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400" w:type="pct"/>
            <w:vMerge w:val="restart"/>
            <w:vAlign w:val="center"/>
          </w:tcPr>
          <w:p w14:paraId="0C493A89">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尾矿库环境危害性</w:t>
            </w:r>
          </w:p>
        </w:tc>
        <w:tc>
          <w:tcPr>
            <w:tcW w:w="469" w:type="pct"/>
            <w:vAlign w:val="center"/>
          </w:tcPr>
          <w:p w14:paraId="173AEEAA">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类型</w:t>
            </w:r>
          </w:p>
        </w:tc>
        <w:tc>
          <w:tcPr>
            <w:tcW w:w="2605" w:type="pct"/>
            <w:gridSpan w:val="3"/>
            <w:vAlign w:val="center"/>
          </w:tcPr>
          <w:p w14:paraId="48678E89">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矿种类型/固体废物类型/尾矿（或尾矿水）成分类型</w:t>
            </w:r>
          </w:p>
        </w:tc>
        <w:tc>
          <w:tcPr>
            <w:tcW w:w="577" w:type="pct"/>
            <w:vAlign w:val="center"/>
          </w:tcPr>
          <w:p w14:paraId="5741838F">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48</w:t>
            </w:r>
          </w:p>
        </w:tc>
        <w:tc>
          <w:tcPr>
            <w:tcW w:w="510" w:type="pct"/>
            <w:shd w:val="clear" w:color="auto" w:fill="auto"/>
            <w:vAlign w:val="center"/>
          </w:tcPr>
          <w:p w14:paraId="2DEA605A">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0</w:t>
            </w:r>
          </w:p>
        </w:tc>
      </w:tr>
      <w:tr w14:paraId="4BD0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 w:type="pct"/>
            <w:vAlign w:val="center"/>
          </w:tcPr>
          <w:p w14:paraId="56B933FB">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400" w:type="pct"/>
            <w:vMerge w:val="continue"/>
            <w:vAlign w:val="center"/>
          </w:tcPr>
          <w:p w14:paraId="326ECD15">
            <w:pPr>
              <w:pStyle w:val="17"/>
              <w:bidi w:val="0"/>
              <w:jc w:val="center"/>
              <w:rPr>
                <w:rFonts w:hint="default" w:ascii="Times New Roman" w:hAnsi="Times New Roman" w:cs="Times New Roman"/>
                <w:color w:val="auto"/>
                <w:highlight w:val="none"/>
              </w:rPr>
            </w:pPr>
          </w:p>
        </w:tc>
        <w:tc>
          <w:tcPr>
            <w:tcW w:w="469" w:type="pct"/>
            <w:vMerge w:val="restart"/>
            <w:vAlign w:val="center"/>
          </w:tcPr>
          <w:p w14:paraId="10AF8536">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性质</w:t>
            </w:r>
          </w:p>
        </w:tc>
        <w:tc>
          <w:tcPr>
            <w:tcW w:w="931" w:type="pct"/>
            <w:vMerge w:val="restart"/>
            <w:vAlign w:val="center"/>
          </w:tcPr>
          <w:p w14:paraId="21D26A72">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特征污染物指标浓度情况</w:t>
            </w:r>
          </w:p>
        </w:tc>
        <w:tc>
          <w:tcPr>
            <w:tcW w:w="577" w:type="pct"/>
            <w:vMerge w:val="restart"/>
            <w:vAlign w:val="center"/>
          </w:tcPr>
          <w:p w14:paraId="6FC1A662">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浓度倍数情况</w:t>
            </w:r>
          </w:p>
        </w:tc>
        <w:tc>
          <w:tcPr>
            <w:tcW w:w="1096" w:type="pct"/>
            <w:vAlign w:val="center"/>
          </w:tcPr>
          <w:p w14:paraId="68607579">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pH值</w:t>
            </w:r>
          </w:p>
        </w:tc>
        <w:tc>
          <w:tcPr>
            <w:tcW w:w="577" w:type="pct"/>
            <w:vAlign w:val="center"/>
          </w:tcPr>
          <w:p w14:paraId="45DBE503">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w:t>
            </w:r>
          </w:p>
        </w:tc>
        <w:tc>
          <w:tcPr>
            <w:tcW w:w="510" w:type="pct"/>
            <w:shd w:val="clear" w:color="auto" w:fill="auto"/>
            <w:vAlign w:val="center"/>
          </w:tcPr>
          <w:p w14:paraId="0A6C9719">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0</w:t>
            </w:r>
          </w:p>
        </w:tc>
      </w:tr>
      <w:tr w14:paraId="4140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 w:type="pct"/>
            <w:vAlign w:val="center"/>
          </w:tcPr>
          <w:p w14:paraId="786D273E">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400" w:type="pct"/>
            <w:vMerge w:val="continue"/>
            <w:vAlign w:val="center"/>
          </w:tcPr>
          <w:p w14:paraId="60DCA3E8">
            <w:pPr>
              <w:pStyle w:val="17"/>
              <w:bidi w:val="0"/>
              <w:jc w:val="center"/>
              <w:rPr>
                <w:rFonts w:hint="default" w:ascii="Times New Roman" w:hAnsi="Times New Roman" w:cs="Times New Roman"/>
                <w:color w:val="auto"/>
                <w:highlight w:val="none"/>
              </w:rPr>
            </w:pPr>
          </w:p>
        </w:tc>
        <w:tc>
          <w:tcPr>
            <w:tcW w:w="469" w:type="pct"/>
            <w:vMerge w:val="continue"/>
            <w:vAlign w:val="center"/>
          </w:tcPr>
          <w:p w14:paraId="40DCE578">
            <w:pPr>
              <w:pStyle w:val="17"/>
              <w:bidi w:val="0"/>
              <w:jc w:val="center"/>
              <w:rPr>
                <w:rFonts w:hint="default" w:ascii="Times New Roman" w:hAnsi="Times New Roman" w:cs="Times New Roman"/>
                <w:color w:val="auto"/>
                <w:highlight w:val="none"/>
              </w:rPr>
            </w:pPr>
          </w:p>
        </w:tc>
        <w:tc>
          <w:tcPr>
            <w:tcW w:w="931" w:type="pct"/>
            <w:vMerge w:val="continue"/>
            <w:vAlign w:val="center"/>
          </w:tcPr>
          <w:p w14:paraId="3F881E67">
            <w:pPr>
              <w:pStyle w:val="17"/>
              <w:bidi w:val="0"/>
              <w:jc w:val="center"/>
              <w:rPr>
                <w:rFonts w:hint="default" w:ascii="Times New Roman" w:hAnsi="Times New Roman" w:cs="Times New Roman"/>
                <w:color w:val="auto"/>
                <w:highlight w:val="none"/>
              </w:rPr>
            </w:pPr>
          </w:p>
        </w:tc>
        <w:tc>
          <w:tcPr>
            <w:tcW w:w="577" w:type="pct"/>
            <w:vMerge w:val="continue"/>
            <w:vAlign w:val="center"/>
          </w:tcPr>
          <w:p w14:paraId="5206155A">
            <w:pPr>
              <w:pStyle w:val="17"/>
              <w:bidi w:val="0"/>
              <w:jc w:val="center"/>
              <w:rPr>
                <w:rFonts w:hint="default" w:ascii="Times New Roman" w:hAnsi="Times New Roman" w:cs="Times New Roman"/>
                <w:color w:val="auto"/>
                <w:highlight w:val="none"/>
              </w:rPr>
            </w:pPr>
          </w:p>
        </w:tc>
        <w:tc>
          <w:tcPr>
            <w:tcW w:w="1096" w:type="pct"/>
            <w:vAlign w:val="center"/>
          </w:tcPr>
          <w:p w14:paraId="60351209">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指标最高浓度倍数</w:t>
            </w:r>
          </w:p>
        </w:tc>
        <w:tc>
          <w:tcPr>
            <w:tcW w:w="577" w:type="pct"/>
            <w:vAlign w:val="center"/>
          </w:tcPr>
          <w:p w14:paraId="441292E6">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14</w:t>
            </w:r>
          </w:p>
        </w:tc>
        <w:tc>
          <w:tcPr>
            <w:tcW w:w="510" w:type="pct"/>
            <w:shd w:val="clear" w:color="auto" w:fill="auto"/>
            <w:vAlign w:val="center"/>
          </w:tcPr>
          <w:p w14:paraId="0CABB5B7">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0</w:t>
            </w:r>
          </w:p>
        </w:tc>
      </w:tr>
      <w:tr w14:paraId="5217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 w:type="pct"/>
            <w:vAlign w:val="center"/>
          </w:tcPr>
          <w:p w14:paraId="61768036">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400" w:type="pct"/>
            <w:vMerge w:val="continue"/>
            <w:vAlign w:val="center"/>
          </w:tcPr>
          <w:p w14:paraId="4F750121">
            <w:pPr>
              <w:pStyle w:val="17"/>
              <w:bidi w:val="0"/>
              <w:jc w:val="center"/>
              <w:rPr>
                <w:rFonts w:hint="default" w:ascii="Times New Roman" w:hAnsi="Times New Roman" w:cs="Times New Roman"/>
                <w:color w:val="auto"/>
                <w:highlight w:val="none"/>
              </w:rPr>
            </w:pPr>
          </w:p>
        </w:tc>
        <w:tc>
          <w:tcPr>
            <w:tcW w:w="469" w:type="pct"/>
            <w:vMerge w:val="continue"/>
            <w:vAlign w:val="center"/>
          </w:tcPr>
          <w:p w14:paraId="4344C8B8">
            <w:pPr>
              <w:pStyle w:val="17"/>
              <w:bidi w:val="0"/>
              <w:jc w:val="center"/>
              <w:rPr>
                <w:rFonts w:hint="default" w:ascii="Times New Roman" w:hAnsi="Times New Roman" w:cs="Times New Roman"/>
                <w:color w:val="auto"/>
                <w:highlight w:val="none"/>
              </w:rPr>
            </w:pPr>
          </w:p>
        </w:tc>
        <w:tc>
          <w:tcPr>
            <w:tcW w:w="931" w:type="pct"/>
            <w:vMerge w:val="continue"/>
            <w:vAlign w:val="center"/>
          </w:tcPr>
          <w:p w14:paraId="3960E3E1">
            <w:pPr>
              <w:pStyle w:val="17"/>
              <w:bidi w:val="0"/>
              <w:jc w:val="center"/>
              <w:rPr>
                <w:rFonts w:hint="default" w:ascii="Times New Roman" w:hAnsi="Times New Roman" w:cs="Times New Roman"/>
                <w:color w:val="auto"/>
                <w:highlight w:val="none"/>
              </w:rPr>
            </w:pPr>
          </w:p>
        </w:tc>
        <w:tc>
          <w:tcPr>
            <w:tcW w:w="1674" w:type="pct"/>
            <w:gridSpan w:val="2"/>
            <w:vAlign w:val="center"/>
          </w:tcPr>
          <w:p w14:paraId="1B91EC14">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浓度倍数3倍及以上指标项数</w:t>
            </w:r>
          </w:p>
        </w:tc>
        <w:tc>
          <w:tcPr>
            <w:tcW w:w="577" w:type="pct"/>
            <w:vAlign w:val="center"/>
          </w:tcPr>
          <w:p w14:paraId="75A6605E">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510" w:type="pct"/>
            <w:shd w:val="clear" w:color="auto" w:fill="auto"/>
            <w:vAlign w:val="center"/>
          </w:tcPr>
          <w:p w14:paraId="67595A52">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0</w:t>
            </w:r>
          </w:p>
        </w:tc>
      </w:tr>
      <w:tr w14:paraId="436D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 w:type="pct"/>
            <w:vAlign w:val="center"/>
          </w:tcPr>
          <w:p w14:paraId="170D433B">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w:t>
            </w:r>
          </w:p>
        </w:tc>
        <w:tc>
          <w:tcPr>
            <w:tcW w:w="400" w:type="pct"/>
            <w:vMerge w:val="continue"/>
            <w:vAlign w:val="center"/>
          </w:tcPr>
          <w:p w14:paraId="1FB49BB5">
            <w:pPr>
              <w:pStyle w:val="17"/>
              <w:bidi w:val="0"/>
              <w:jc w:val="center"/>
              <w:rPr>
                <w:rFonts w:hint="default" w:ascii="Times New Roman" w:hAnsi="Times New Roman" w:cs="Times New Roman"/>
                <w:color w:val="auto"/>
                <w:highlight w:val="none"/>
              </w:rPr>
            </w:pPr>
          </w:p>
        </w:tc>
        <w:tc>
          <w:tcPr>
            <w:tcW w:w="469" w:type="pct"/>
            <w:vAlign w:val="center"/>
          </w:tcPr>
          <w:p w14:paraId="68628AE5">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规模</w:t>
            </w:r>
          </w:p>
        </w:tc>
        <w:tc>
          <w:tcPr>
            <w:tcW w:w="2605" w:type="pct"/>
            <w:gridSpan w:val="3"/>
            <w:vAlign w:val="center"/>
          </w:tcPr>
          <w:p w14:paraId="710B657B">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现状库容</w:t>
            </w:r>
          </w:p>
        </w:tc>
        <w:tc>
          <w:tcPr>
            <w:tcW w:w="577" w:type="pct"/>
            <w:vAlign w:val="center"/>
          </w:tcPr>
          <w:p w14:paraId="2B77CE9B">
            <w:pPr>
              <w:pStyle w:val="17"/>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24</w:t>
            </w:r>
          </w:p>
        </w:tc>
        <w:tc>
          <w:tcPr>
            <w:tcW w:w="510" w:type="pct"/>
            <w:shd w:val="clear" w:color="auto" w:fill="auto"/>
            <w:vAlign w:val="center"/>
          </w:tcPr>
          <w:p w14:paraId="1231F61E">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1</w:t>
            </w:r>
            <w:r>
              <w:rPr>
                <w:rFonts w:hint="eastAsia"/>
                <w:color w:val="auto"/>
                <w:highlight w:val="none"/>
                <w:lang w:val="en-US" w:eastAsia="zh-CN"/>
              </w:rPr>
              <w:t>8</w:t>
            </w:r>
          </w:p>
        </w:tc>
      </w:tr>
      <w:tr w14:paraId="4258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11" w:type="pct"/>
            <w:gridSpan w:val="6"/>
            <w:vAlign w:val="center"/>
          </w:tcPr>
          <w:p w14:paraId="3117B30C">
            <w:pPr>
              <w:pStyle w:val="17"/>
              <w:bidi w:val="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合计</w:t>
            </w:r>
          </w:p>
        </w:tc>
        <w:tc>
          <w:tcPr>
            <w:tcW w:w="577" w:type="pct"/>
            <w:vAlign w:val="center"/>
          </w:tcPr>
          <w:p w14:paraId="4ED66E82">
            <w:pPr>
              <w:pStyle w:val="17"/>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100</w:t>
            </w:r>
          </w:p>
        </w:tc>
        <w:tc>
          <w:tcPr>
            <w:tcW w:w="510" w:type="pct"/>
            <w:shd w:val="clear" w:color="auto" w:fill="auto"/>
            <w:vAlign w:val="center"/>
          </w:tcPr>
          <w:p w14:paraId="15ACB61F">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1</w:t>
            </w:r>
            <w:r>
              <w:rPr>
                <w:rFonts w:hint="eastAsia"/>
                <w:color w:val="auto"/>
                <w:highlight w:val="none"/>
                <w:lang w:val="en-US" w:eastAsia="zh-CN"/>
              </w:rPr>
              <w:t>8</w:t>
            </w:r>
          </w:p>
        </w:tc>
      </w:tr>
    </w:tbl>
    <w:p w14:paraId="723EF16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尾矿库等别划分见表2.6-</w:t>
      </w:r>
      <w:r>
        <w:rPr>
          <w:rFonts w:hint="eastAsia" w:cs="Times New Roman"/>
          <w:color w:val="auto"/>
          <w:highlight w:val="none"/>
          <w:lang w:val="en-US" w:eastAsia="zh-CN"/>
        </w:rPr>
        <w:t>24</w:t>
      </w:r>
      <w:r>
        <w:rPr>
          <w:rFonts w:hint="default" w:ascii="Times New Roman" w:hAnsi="Times New Roman" w:cs="Times New Roman"/>
          <w:color w:val="auto"/>
          <w:highlight w:val="none"/>
        </w:rPr>
        <w:t>。</w:t>
      </w:r>
    </w:p>
    <w:p w14:paraId="55D5B04B">
      <w:pPr>
        <w:ind w:firstLine="0" w:firstLineChars="0"/>
        <w:jc w:val="center"/>
        <w:rPr>
          <w:rFonts w:hint="default" w:ascii="Times New Roman" w:hAnsi="Times New Roman" w:cs="Times New Roman"/>
          <w:b/>
          <w:color w:val="auto"/>
          <w:kern w:val="0"/>
          <w:highlight w:val="none"/>
        </w:rPr>
      </w:pPr>
      <w:r>
        <w:rPr>
          <w:rFonts w:hint="default" w:ascii="Times New Roman" w:hAnsi="Times New Roman" w:cs="Times New Roman"/>
          <w:b/>
          <w:color w:val="auto"/>
          <w:kern w:val="0"/>
          <w:highlight w:val="none"/>
        </w:rPr>
        <w:t>表2.6-</w:t>
      </w:r>
      <w:r>
        <w:rPr>
          <w:rFonts w:hint="eastAsia" w:cs="Times New Roman"/>
          <w:b/>
          <w:color w:val="auto"/>
          <w:kern w:val="0"/>
          <w:highlight w:val="none"/>
          <w:lang w:val="en-US" w:eastAsia="zh-CN"/>
        </w:rPr>
        <w:t>24</w:t>
      </w:r>
      <w:r>
        <w:rPr>
          <w:rFonts w:hint="default" w:ascii="Times New Roman" w:hAnsi="Times New Roman" w:cs="Times New Roman"/>
          <w:b/>
          <w:color w:val="auto"/>
          <w:kern w:val="0"/>
          <w:highlight w:val="none"/>
        </w:rPr>
        <w:t xml:space="preserve">    尾矿库环境危害性（H）等别划分表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7"/>
        <w:gridCol w:w="4345"/>
      </w:tblGrid>
      <w:tr w14:paraId="14CB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31" w:type="pct"/>
            <w:vAlign w:val="center"/>
          </w:tcPr>
          <w:p w14:paraId="11DC584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尾矿库环境危害性得分（DH）</w:t>
            </w:r>
          </w:p>
        </w:tc>
        <w:tc>
          <w:tcPr>
            <w:tcW w:w="2368" w:type="pct"/>
            <w:vAlign w:val="center"/>
          </w:tcPr>
          <w:p w14:paraId="3E096FC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尾矿库环境危害性等别代码</w:t>
            </w:r>
          </w:p>
        </w:tc>
      </w:tr>
      <w:tr w14:paraId="1E6B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1" w:type="pct"/>
            <w:vAlign w:val="center"/>
          </w:tcPr>
          <w:p w14:paraId="340D50C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DH&gt;60</w:t>
            </w:r>
          </w:p>
        </w:tc>
        <w:tc>
          <w:tcPr>
            <w:tcW w:w="2368" w:type="pct"/>
            <w:vAlign w:val="center"/>
          </w:tcPr>
          <w:p w14:paraId="25D0A87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H1</w:t>
            </w:r>
          </w:p>
        </w:tc>
      </w:tr>
      <w:tr w14:paraId="13A1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1" w:type="pct"/>
            <w:vAlign w:val="center"/>
          </w:tcPr>
          <w:p w14:paraId="27386E5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30&lt;DH≦60</w:t>
            </w:r>
          </w:p>
        </w:tc>
        <w:tc>
          <w:tcPr>
            <w:tcW w:w="2368" w:type="pct"/>
            <w:vAlign w:val="center"/>
          </w:tcPr>
          <w:p w14:paraId="2028D33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H2</w:t>
            </w:r>
          </w:p>
        </w:tc>
      </w:tr>
      <w:tr w14:paraId="5E13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31" w:type="pct"/>
            <w:vAlign w:val="center"/>
          </w:tcPr>
          <w:p w14:paraId="3388BE2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DH≦30</w:t>
            </w:r>
          </w:p>
        </w:tc>
        <w:tc>
          <w:tcPr>
            <w:tcW w:w="2368" w:type="pct"/>
            <w:vAlign w:val="center"/>
          </w:tcPr>
          <w:p w14:paraId="1837EB9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H3</w:t>
            </w:r>
          </w:p>
        </w:tc>
      </w:tr>
    </w:tbl>
    <w:p w14:paraId="607D34C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根据《尾矿库环境风险评估技术导则（试行）》（HJ740-2015）附录B中各指标评分方法，本项目尾矿砂主要矿种为</w:t>
      </w:r>
      <w:r>
        <w:rPr>
          <w:rFonts w:hint="default" w:ascii="Times New Roman" w:hAnsi="Times New Roman" w:cs="Times New Roman"/>
          <w:color w:val="auto"/>
          <w:highlight w:val="none"/>
          <w:lang w:eastAsia="zh-CN"/>
        </w:rPr>
        <w:t>非</w:t>
      </w:r>
      <w:r>
        <w:rPr>
          <w:rFonts w:hint="default" w:ascii="Times New Roman" w:hAnsi="Times New Roman" w:cs="Times New Roman"/>
          <w:color w:val="auto"/>
          <w:highlight w:val="none"/>
        </w:rPr>
        <w:t>金属矿种，尾矿属于</w:t>
      </w:r>
      <w:r>
        <w:rPr>
          <w:rFonts w:hint="default" w:ascii="Times New Roman" w:hAnsi="Times New Roman" w:cs="Times New Roman"/>
          <w:color w:val="auto"/>
          <w:highlight w:val="none"/>
          <w:lang w:eastAsia="zh-CN"/>
        </w:rPr>
        <w:t>I</w:t>
      </w:r>
      <w:r>
        <w:rPr>
          <w:rFonts w:hint="default" w:ascii="Times New Roman" w:hAnsi="Times New Roman" w:cs="Times New Roman"/>
          <w:color w:val="auto"/>
          <w:highlight w:val="none"/>
        </w:rPr>
        <w:t>类工业固体废弃物，评分取0；特征污染物指标pH介于6~9，评分取0；所有污染物浓度指标倍数均在3倍以下，评分取0；浓度倍数3倍及以上的指标项数为0，评分取0；</w:t>
      </w:r>
      <w:r>
        <w:rPr>
          <w:rFonts w:hint="eastAsia" w:cs="Times New Roman"/>
          <w:color w:val="auto"/>
          <w:highlight w:val="none"/>
          <w:lang w:val="en-US" w:eastAsia="zh-CN"/>
        </w:rPr>
        <w:t>尾</w:t>
      </w:r>
      <w:r>
        <w:rPr>
          <w:rFonts w:hint="default" w:ascii="Times New Roman" w:hAnsi="Times New Roman" w:cs="Times New Roman"/>
          <w:color w:val="auto"/>
          <w:highlight w:val="none"/>
        </w:rPr>
        <w:t>矿库</w:t>
      </w:r>
      <w:r>
        <w:rPr>
          <w:rFonts w:hint="eastAsia" w:cs="Times New Roman"/>
          <w:color w:val="auto"/>
          <w:highlight w:val="none"/>
          <w:lang w:val="en-US" w:eastAsia="zh-CN"/>
        </w:rPr>
        <w:t>总</w:t>
      </w:r>
      <w:r>
        <w:rPr>
          <w:rFonts w:hint="default" w:ascii="Times New Roman" w:hAnsi="Times New Roman" w:cs="Times New Roman"/>
          <w:color w:val="auto"/>
          <w:highlight w:val="none"/>
        </w:rPr>
        <w:t>库容为</w:t>
      </w:r>
      <w:r>
        <w:rPr>
          <w:rFonts w:hint="eastAsia" w:cs="Times New Roman"/>
          <w:color w:val="auto"/>
          <w:highlight w:val="none"/>
          <w:lang w:val="en-US" w:eastAsia="zh-CN"/>
        </w:rPr>
        <w:t>2062.4</w:t>
      </w:r>
      <w:r>
        <w:rPr>
          <w:rFonts w:hint="default" w:ascii="Times New Roman" w:hAnsi="Times New Roman" w:cs="Times New Roman"/>
          <w:color w:val="auto"/>
          <w:highlight w:val="none"/>
        </w:rPr>
        <w:t>万m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，评分取</w:t>
      </w:r>
      <w:r>
        <w:rPr>
          <w:rFonts w:hint="default" w:ascii="Times New Roman" w:hAnsi="Times New Roman" w:cs="Times New Roman"/>
          <w:color w:val="auto"/>
          <w:highlight w:val="none"/>
          <w:lang w:val="en-US" w:eastAsia="zh-CN"/>
        </w:rPr>
        <w:t>18</w:t>
      </w:r>
      <w:r>
        <w:rPr>
          <w:rFonts w:hint="default" w:ascii="Times New Roman" w:hAnsi="Times New Roman" w:cs="Times New Roman"/>
          <w:color w:val="auto"/>
          <w:highlight w:val="none"/>
        </w:rPr>
        <w:t>，由此得出总得为</w:t>
      </w:r>
      <w:r>
        <w:rPr>
          <w:rFonts w:hint="default" w:ascii="Times New Roman" w:hAnsi="Times New Roman" w:cs="Times New Roman"/>
          <w:color w:val="auto"/>
          <w:highlight w:val="none"/>
          <w:lang w:val="en-US" w:eastAsia="zh-CN"/>
        </w:rPr>
        <w:t>18</w:t>
      </w:r>
      <w:r>
        <w:rPr>
          <w:rFonts w:hint="default" w:ascii="Times New Roman" w:hAnsi="Times New Roman" w:cs="Times New Roman"/>
          <w:color w:val="auto"/>
          <w:highlight w:val="none"/>
        </w:rPr>
        <w:t>，环境危险性等别均为H3。</w:t>
      </w:r>
    </w:p>
    <w:p w14:paraId="4EFB2D7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②周边环境敏感性</w:t>
      </w:r>
    </w:p>
    <w:p w14:paraId="6C5F6B22">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采用评分方法，对尾矿库下游涉及的跨界情况、周边环境风险受体情况、周边环境功能类别情况三方面指标进行评分与累加求和，评估尾矿库周边环境敏感性（S），尾矿库周边环境敏感性等别划分体系见表2.6-</w:t>
      </w:r>
      <w:r>
        <w:rPr>
          <w:rFonts w:hint="eastAsia" w:cs="Times New Roman"/>
          <w:color w:val="auto"/>
          <w:highlight w:val="none"/>
          <w:lang w:val="en-US" w:eastAsia="zh-CN"/>
        </w:rPr>
        <w:t>25</w:t>
      </w:r>
      <w:r>
        <w:rPr>
          <w:rFonts w:hint="default" w:ascii="Times New Roman" w:hAnsi="Times New Roman" w:cs="Times New Roman"/>
          <w:color w:val="auto"/>
          <w:highlight w:val="none"/>
        </w:rPr>
        <w:t>。</w:t>
      </w:r>
    </w:p>
    <w:p w14:paraId="09D4F832">
      <w:pPr>
        <w:pStyle w:val="1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表2.6-</w:t>
      </w:r>
      <w:r>
        <w:rPr>
          <w:rFonts w:hint="eastAsia" w:cs="Times New Roman"/>
          <w:color w:val="auto"/>
          <w:highlight w:val="none"/>
          <w:lang w:val="en-US" w:eastAsia="zh-CN"/>
        </w:rPr>
        <w:t>25</w:t>
      </w:r>
      <w:r>
        <w:rPr>
          <w:rFonts w:hint="default" w:ascii="Times New Roman" w:hAnsi="Times New Roman" w:cs="Times New Roman"/>
          <w:color w:val="auto"/>
          <w:highlight w:val="none"/>
        </w:rPr>
        <w:t xml:space="preserve">    尾矿库周边环境敏感性（S）等别划分指标体系</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384"/>
        <w:gridCol w:w="1435"/>
        <w:gridCol w:w="1165"/>
        <w:gridCol w:w="1167"/>
        <w:gridCol w:w="1183"/>
        <w:gridCol w:w="1167"/>
        <w:gridCol w:w="1002"/>
      </w:tblGrid>
      <w:tr w14:paraId="23F4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64" w:type="pct"/>
            <w:tcBorders>
              <w:tl2br w:val="nil"/>
              <w:tr2bl w:val="nil"/>
            </w:tcBorders>
            <w:vAlign w:val="center"/>
          </w:tcPr>
          <w:p w14:paraId="2B904F30">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3452" w:type="pct"/>
            <w:gridSpan w:val="5"/>
            <w:tcBorders>
              <w:tl2br w:val="nil"/>
              <w:tr2bl w:val="nil"/>
            </w:tcBorders>
            <w:vAlign w:val="center"/>
          </w:tcPr>
          <w:p w14:paraId="3BA99FD0">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指标项目</w:t>
            </w:r>
          </w:p>
        </w:tc>
        <w:tc>
          <w:tcPr>
            <w:tcW w:w="636" w:type="pct"/>
            <w:tcBorders>
              <w:tl2br w:val="nil"/>
              <w:tr2bl w:val="nil"/>
            </w:tcBorders>
            <w:vAlign w:val="center"/>
          </w:tcPr>
          <w:p w14:paraId="3B68A6CA">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指标分值</w:t>
            </w:r>
          </w:p>
        </w:tc>
        <w:tc>
          <w:tcPr>
            <w:tcW w:w="546" w:type="pct"/>
            <w:tcBorders>
              <w:tl2br w:val="nil"/>
              <w:tr2bl w:val="nil"/>
            </w:tcBorders>
            <w:shd w:val="clear" w:color="auto" w:fill="auto"/>
            <w:vAlign w:val="center"/>
          </w:tcPr>
          <w:p w14:paraId="04D63F3B">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尾矿库</w:t>
            </w:r>
          </w:p>
        </w:tc>
      </w:tr>
      <w:tr w14:paraId="6A3D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499205C0">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755" w:type="pct"/>
            <w:vMerge w:val="restart"/>
            <w:tcBorders>
              <w:tl2br w:val="nil"/>
              <w:tr2bl w:val="nil"/>
            </w:tcBorders>
            <w:vAlign w:val="center"/>
          </w:tcPr>
          <w:p w14:paraId="65CF058D">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尾矿库周边环境敏感性</w:t>
            </w:r>
          </w:p>
        </w:tc>
        <w:tc>
          <w:tcPr>
            <w:tcW w:w="782" w:type="pct"/>
            <w:vMerge w:val="restart"/>
            <w:tcBorders>
              <w:tl2br w:val="nil"/>
              <w:tr2bl w:val="nil"/>
            </w:tcBorders>
            <w:vAlign w:val="center"/>
          </w:tcPr>
          <w:p w14:paraId="4418B60A">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下游涉及的跨界情况</w:t>
            </w:r>
          </w:p>
        </w:tc>
        <w:tc>
          <w:tcPr>
            <w:tcW w:w="1914" w:type="pct"/>
            <w:gridSpan w:val="3"/>
            <w:tcBorders>
              <w:tl2br w:val="nil"/>
              <w:tr2bl w:val="nil"/>
            </w:tcBorders>
            <w:vAlign w:val="center"/>
          </w:tcPr>
          <w:p w14:paraId="795A1E75">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涉及跨界类型</w:t>
            </w:r>
          </w:p>
        </w:tc>
        <w:tc>
          <w:tcPr>
            <w:tcW w:w="636" w:type="pct"/>
            <w:tcBorders>
              <w:tl2br w:val="nil"/>
              <w:tr2bl w:val="nil"/>
            </w:tcBorders>
            <w:vAlign w:val="center"/>
          </w:tcPr>
          <w:p w14:paraId="6554AA18">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18</w:t>
            </w:r>
          </w:p>
        </w:tc>
        <w:tc>
          <w:tcPr>
            <w:tcW w:w="546" w:type="pct"/>
            <w:tcBorders>
              <w:tl2br w:val="nil"/>
              <w:tr2bl w:val="nil"/>
            </w:tcBorders>
            <w:shd w:val="clear" w:color="auto" w:fill="auto"/>
            <w:vAlign w:val="center"/>
          </w:tcPr>
          <w:p w14:paraId="28F640EC">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0</w:t>
            </w:r>
          </w:p>
        </w:tc>
      </w:tr>
      <w:tr w14:paraId="3D79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4F1702F8">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755" w:type="pct"/>
            <w:vMerge w:val="continue"/>
            <w:tcBorders>
              <w:tl2br w:val="nil"/>
              <w:tr2bl w:val="nil"/>
            </w:tcBorders>
            <w:vAlign w:val="center"/>
          </w:tcPr>
          <w:p w14:paraId="56855B85">
            <w:pPr>
              <w:pStyle w:val="17"/>
              <w:bidi w:val="0"/>
              <w:spacing w:line="240" w:lineRule="auto"/>
              <w:jc w:val="center"/>
              <w:rPr>
                <w:rFonts w:hint="default" w:ascii="Times New Roman" w:hAnsi="Times New Roman" w:cs="Times New Roman"/>
                <w:color w:val="auto"/>
                <w:highlight w:val="none"/>
              </w:rPr>
            </w:pPr>
          </w:p>
        </w:tc>
        <w:tc>
          <w:tcPr>
            <w:tcW w:w="782" w:type="pct"/>
            <w:vMerge w:val="continue"/>
            <w:tcBorders>
              <w:tl2br w:val="nil"/>
              <w:tr2bl w:val="nil"/>
            </w:tcBorders>
            <w:vAlign w:val="center"/>
          </w:tcPr>
          <w:p w14:paraId="05552A5D">
            <w:pPr>
              <w:pStyle w:val="17"/>
              <w:bidi w:val="0"/>
              <w:spacing w:line="240" w:lineRule="auto"/>
              <w:jc w:val="center"/>
              <w:rPr>
                <w:rFonts w:hint="default" w:ascii="Times New Roman" w:hAnsi="Times New Roman" w:cs="Times New Roman"/>
                <w:color w:val="auto"/>
                <w:highlight w:val="none"/>
              </w:rPr>
            </w:pPr>
          </w:p>
        </w:tc>
        <w:tc>
          <w:tcPr>
            <w:tcW w:w="1914" w:type="pct"/>
            <w:gridSpan w:val="3"/>
            <w:tcBorders>
              <w:tl2br w:val="nil"/>
              <w:tr2bl w:val="nil"/>
            </w:tcBorders>
            <w:vAlign w:val="center"/>
          </w:tcPr>
          <w:p w14:paraId="1F916500">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涉及跨界距离</w:t>
            </w:r>
          </w:p>
        </w:tc>
        <w:tc>
          <w:tcPr>
            <w:tcW w:w="636" w:type="pct"/>
            <w:tcBorders>
              <w:tl2br w:val="nil"/>
              <w:tr2bl w:val="nil"/>
            </w:tcBorders>
            <w:vAlign w:val="center"/>
          </w:tcPr>
          <w:p w14:paraId="76DAA322">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546" w:type="pct"/>
            <w:tcBorders>
              <w:tl2br w:val="nil"/>
              <w:tr2bl w:val="nil"/>
            </w:tcBorders>
            <w:shd w:val="clear" w:color="auto" w:fill="auto"/>
            <w:vAlign w:val="center"/>
          </w:tcPr>
          <w:p w14:paraId="7FA4E18B">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0</w:t>
            </w:r>
          </w:p>
        </w:tc>
      </w:tr>
      <w:tr w14:paraId="68DE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0C567788">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755" w:type="pct"/>
            <w:vMerge w:val="continue"/>
            <w:tcBorders>
              <w:tl2br w:val="nil"/>
              <w:tr2bl w:val="nil"/>
            </w:tcBorders>
            <w:vAlign w:val="center"/>
          </w:tcPr>
          <w:p w14:paraId="0ADF2AC3">
            <w:pPr>
              <w:pStyle w:val="17"/>
              <w:bidi w:val="0"/>
              <w:spacing w:line="240" w:lineRule="auto"/>
              <w:jc w:val="center"/>
              <w:rPr>
                <w:rFonts w:hint="default" w:ascii="Times New Roman" w:hAnsi="Times New Roman" w:cs="Times New Roman"/>
                <w:color w:val="auto"/>
                <w:highlight w:val="none"/>
              </w:rPr>
            </w:pPr>
          </w:p>
        </w:tc>
        <w:tc>
          <w:tcPr>
            <w:tcW w:w="2697" w:type="pct"/>
            <w:gridSpan w:val="4"/>
            <w:tcBorders>
              <w:tl2br w:val="nil"/>
              <w:tr2bl w:val="nil"/>
            </w:tcBorders>
            <w:vAlign w:val="center"/>
          </w:tcPr>
          <w:p w14:paraId="343AB99F">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周边环境风险受体情况</w:t>
            </w:r>
          </w:p>
        </w:tc>
        <w:tc>
          <w:tcPr>
            <w:tcW w:w="636" w:type="pct"/>
            <w:tcBorders>
              <w:tl2br w:val="nil"/>
              <w:tr2bl w:val="nil"/>
            </w:tcBorders>
            <w:vAlign w:val="center"/>
          </w:tcPr>
          <w:p w14:paraId="14C320A2">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54</w:t>
            </w:r>
          </w:p>
        </w:tc>
        <w:tc>
          <w:tcPr>
            <w:tcW w:w="546" w:type="pct"/>
            <w:tcBorders>
              <w:tl2br w:val="nil"/>
              <w:tr2bl w:val="nil"/>
            </w:tcBorders>
            <w:shd w:val="clear" w:color="auto" w:fill="auto"/>
            <w:vAlign w:val="center"/>
          </w:tcPr>
          <w:p w14:paraId="633438C9">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54</w:t>
            </w:r>
          </w:p>
        </w:tc>
      </w:tr>
      <w:tr w14:paraId="62DB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1CDC477B">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755" w:type="pct"/>
            <w:vMerge w:val="continue"/>
            <w:tcBorders>
              <w:tl2br w:val="nil"/>
              <w:tr2bl w:val="nil"/>
            </w:tcBorders>
            <w:vAlign w:val="center"/>
          </w:tcPr>
          <w:p w14:paraId="5133888E">
            <w:pPr>
              <w:pStyle w:val="17"/>
              <w:bidi w:val="0"/>
              <w:spacing w:line="240" w:lineRule="auto"/>
              <w:jc w:val="center"/>
              <w:rPr>
                <w:rFonts w:hint="default" w:ascii="Times New Roman" w:hAnsi="Times New Roman" w:cs="Times New Roman"/>
                <w:color w:val="auto"/>
                <w:highlight w:val="none"/>
              </w:rPr>
            </w:pPr>
          </w:p>
        </w:tc>
        <w:tc>
          <w:tcPr>
            <w:tcW w:w="782" w:type="pct"/>
            <w:vMerge w:val="restart"/>
            <w:tcBorders>
              <w:tl2br w:val="nil"/>
              <w:tr2bl w:val="nil"/>
            </w:tcBorders>
            <w:vAlign w:val="center"/>
          </w:tcPr>
          <w:p w14:paraId="09425D35">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周边环境功能类别情况</w:t>
            </w:r>
          </w:p>
        </w:tc>
        <w:tc>
          <w:tcPr>
            <w:tcW w:w="635" w:type="pct"/>
            <w:vMerge w:val="restart"/>
            <w:tcBorders>
              <w:tl2br w:val="nil"/>
              <w:tr2bl w:val="nil"/>
            </w:tcBorders>
            <w:vAlign w:val="center"/>
          </w:tcPr>
          <w:p w14:paraId="5003F395">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水环境</w:t>
            </w:r>
          </w:p>
        </w:tc>
        <w:tc>
          <w:tcPr>
            <w:tcW w:w="636" w:type="pct"/>
            <w:vMerge w:val="restart"/>
            <w:tcBorders>
              <w:tl2br w:val="nil"/>
              <w:tr2bl w:val="nil"/>
            </w:tcBorders>
            <w:vAlign w:val="center"/>
          </w:tcPr>
          <w:p w14:paraId="4FEB4299">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下游水体</w:t>
            </w:r>
          </w:p>
        </w:tc>
        <w:tc>
          <w:tcPr>
            <w:tcW w:w="643" w:type="pct"/>
            <w:tcBorders>
              <w:tl2br w:val="nil"/>
              <w:tr2bl w:val="nil"/>
            </w:tcBorders>
            <w:vAlign w:val="center"/>
          </w:tcPr>
          <w:p w14:paraId="4A4395E4">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w:t>
            </w:r>
          </w:p>
        </w:tc>
        <w:tc>
          <w:tcPr>
            <w:tcW w:w="636" w:type="pct"/>
            <w:vMerge w:val="restart"/>
            <w:tcBorders>
              <w:tl2br w:val="nil"/>
              <w:tr2bl w:val="nil"/>
            </w:tcBorders>
            <w:vAlign w:val="center"/>
          </w:tcPr>
          <w:p w14:paraId="04107F6F">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9</w:t>
            </w:r>
          </w:p>
        </w:tc>
        <w:tc>
          <w:tcPr>
            <w:tcW w:w="546" w:type="pct"/>
            <w:tcBorders>
              <w:tl2br w:val="nil"/>
              <w:tr2bl w:val="nil"/>
            </w:tcBorders>
            <w:shd w:val="clear" w:color="auto" w:fill="auto"/>
            <w:vAlign w:val="center"/>
          </w:tcPr>
          <w:p w14:paraId="3D421274">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9</w:t>
            </w:r>
          </w:p>
        </w:tc>
      </w:tr>
      <w:tr w14:paraId="4C17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0B323D94">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w:t>
            </w:r>
          </w:p>
        </w:tc>
        <w:tc>
          <w:tcPr>
            <w:tcW w:w="755" w:type="pct"/>
            <w:vMerge w:val="continue"/>
            <w:tcBorders>
              <w:tl2br w:val="nil"/>
              <w:tr2bl w:val="nil"/>
            </w:tcBorders>
            <w:vAlign w:val="center"/>
          </w:tcPr>
          <w:p w14:paraId="417F77CD">
            <w:pPr>
              <w:pStyle w:val="17"/>
              <w:bidi w:val="0"/>
              <w:spacing w:line="240" w:lineRule="auto"/>
              <w:jc w:val="center"/>
              <w:rPr>
                <w:rFonts w:hint="default" w:ascii="Times New Roman" w:hAnsi="Times New Roman" w:cs="Times New Roman"/>
                <w:color w:val="auto"/>
                <w:highlight w:val="none"/>
              </w:rPr>
            </w:pPr>
          </w:p>
        </w:tc>
        <w:tc>
          <w:tcPr>
            <w:tcW w:w="782" w:type="pct"/>
            <w:vMerge w:val="continue"/>
            <w:tcBorders>
              <w:tl2br w:val="nil"/>
              <w:tr2bl w:val="nil"/>
            </w:tcBorders>
            <w:vAlign w:val="center"/>
          </w:tcPr>
          <w:p w14:paraId="2355F150">
            <w:pPr>
              <w:pStyle w:val="17"/>
              <w:bidi w:val="0"/>
              <w:spacing w:line="240" w:lineRule="auto"/>
              <w:jc w:val="center"/>
              <w:rPr>
                <w:rFonts w:hint="default" w:ascii="Times New Roman" w:hAnsi="Times New Roman" w:cs="Times New Roman"/>
                <w:color w:val="auto"/>
                <w:highlight w:val="none"/>
              </w:rPr>
            </w:pPr>
          </w:p>
        </w:tc>
        <w:tc>
          <w:tcPr>
            <w:tcW w:w="635" w:type="pct"/>
            <w:vMerge w:val="continue"/>
            <w:tcBorders>
              <w:tl2br w:val="nil"/>
              <w:tr2bl w:val="nil"/>
            </w:tcBorders>
            <w:vAlign w:val="center"/>
          </w:tcPr>
          <w:p w14:paraId="27E57792">
            <w:pPr>
              <w:pStyle w:val="17"/>
              <w:bidi w:val="0"/>
              <w:spacing w:line="240" w:lineRule="auto"/>
              <w:jc w:val="center"/>
              <w:rPr>
                <w:rFonts w:hint="default" w:ascii="Times New Roman" w:hAnsi="Times New Roman" w:cs="Times New Roman"/>
                <w:color w:val="auto"/>
                <w:highlight w:val="none"/>
              </w:rPr>
            </w:pPr>
          </w:p>
        </w:tc>
        <w:tc>
          <w:tcPr>
            <w:tcW w:w="636" w:type="pct"/>
            <w:vMerge w:val="continue"/>
            <w:tcBorders>
              <w:tl2br w:val="nil"/>
              <w:tr2bl w:val="nil"/>
            </w:tcBorders>
            <w:vAlign w:val="center"/>
          </w:tcPr>
          <w:p w14:paraId="7C4C0DB9">
            <w:pPr>
              <w:pStyle w:val="17"/>
              <w:bidi w:val="0"/>
              <w:spacing w:line="240" w:lineRule="auto"/>
              <w:jc w:val="center"/>
              <w:rPr>
                <w:rFonts w:hint="default" w:ascii="Times New Roman" w:hAnsi="Times New Roman" w:cs="Times New Roman"/>
                <w:color w:val="auto"/>
                <w:highlight w:val="none"/>
              </w:rPr>
            </w:pPr>
          </w:p>
        </w:tc>
        <w:tc>
          <w:tcPr>
            <w:tcW w:w="643" w:type="pct"/>
            <w:tcBorders>
              <w:tl2br w:val="nil"/>
              <w:tr2bl w:val="nil"/>
            </w:tcBorders>
            <w:vAlign w:val="center"/>
          </w:tcPr>
          <w:p w14:paraId="49514EAF">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海水</w:t>
            </w:r>
          </w:p>
        </w:tc>
        <w:tc>
          <w:tcPr>
            <w:tcW w:w="636" w:type="pct"/>
            <w:vMerge w:val="continue"/>
            <w:tcBorders>
              <w:tl2br w:val="nil"/>
              <w:tr2bl w:val="nil"/>
            </w:tcBorders>
            <w:vAlign w:val="center"/>
          </w:tcPr>
          <w:p w14:paraId="0E6E8100">
            <w:pPr>
              <w:pStyle w:val="17"/>
              <w:bidi w:val="0"/>
              <w:spacing w:line="240" w:lineRule="auto"/>
              <w:jc w:val="center"/>
              <w:rPr>
                <w:rFonts w:hint="default" w:ascii="Times New Roman" w:hAnsi="Times New Roman" w:cs="Times New Roman"/>
                <w:color w:val="auto"/>
                <w:highlight w:val="none"/>
              </w:rPr>
            </w:pPr>
          </w:p>
        </w:tc>
        <w:tc>
          <w:tcPr>
            <w:tcW w:w="546" w:type="pct"/>
            <w:tcBorders>
              <w:tl2br w:val="nil"/>
              <w:tr2bl w:val="nil"/>
            </w:tcBorders>
            <w:shd w:val="clear" w:color="auto" w:fill="auto"/>
            <w:vAlign w:val="center"/>
          </w:tcPr>
          <w:p w14:paraId="6174F34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0</w:t>
            </w:r>
          </w:p>
        </w:tc>
      </w:tr>
      <w:tr w14:paraId="69E8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61BD2B85">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755" w:type="pct"/>
            <w:vMerge w:val="continue"/>
            <w:tcBorders>
              <w:tl2br w:val="nil"/>
              <w:tr2bl w:val="nil"/>
            </w:tcBorders>
            <w:vAlign w:val="center"/>
          </w:tcPr>
          <w:p w14:paraId="32ADD90C">
            <w:pPr>
              <w:pStyle w:val="17"/>
              <w:bidi w:val="0"/>
              <w:spacing w:line="240" w:lineRule="auto"/>
              <w:jc w:val="center"/>
              <w:rPr>
                <w:rFonts w:hint="default" w:ascii="Times New Roman" w:hAnsi="Times New Roman" w:cs="Times New Roman"/>
                <w:color w:val="auto"/>
                <w:highlight w:val="none"/>
              </w:rPr>
            </w:pPr>
          </w:p>
        </w:tc>
        <w:tc>
          <w:tcPr>
            <w:tcW w:w="782" w:type="pct"/>
            <w:vMerge w:val="continue"/>
            <w:tcBorders>
              <w:tl2br w:val="nil"/>
              <w:tr2bl w:val="nil"/>
            </w:tcBorders>
            <w:vAlign w:val="center"/>
          </w:tcPr>
          <w:p w14:paraId="6DE93CC4">
            <w:pPr>
              <w:pStyle w:val="17"/>
              <w:bidi w:val="0"/>
              <w:spacing w:line="240" w:lineRule="auto"/>
              <w:jc w:val="center"/>
              <w:rPr>
                <w:rFonts w:hint="default" w:ascii="Times New Roman" w:hAnsi="Times New Roman" w:cs="Times New Roman"/>
                <w:color w:val="auto"/>
                <w:highlight w:val="none"/>
              </w:rPr>
            </w:pPr>
          </w:p>
        </w:tc>
        <w:tc>
          <w:tcPr>
            <w:tcW w:w="635" w:type="pct"/>
            <w:vMerge w:val="continue"/>
            <w:tcBorders>
              <w:tl2br w:val="nil"/>
              <w:tr2bl w:val="nil"/>
            </w:tcBorders>
            <w:vAlign w:val="center"/>
          </w:tcPr>
          <w:p w14:paraId="4EE4E8EE">
            <w:pPr>
              <w:pStyle w:val="17"/>
              <w:bidi w:val="0"/>
              <w:spacing w:line="240" w:lineRule="auto"/>
              <w:jc w:val="center"/>
              <w:rPr>
                <w:rFonts w:hint="default" w:ascii="Times New Roman" w:hAnsi="Times New Roman" w:cs="Times New Roman"/>
                <w:color w:val="auto"/>
                <w:highlight w:val="none"/>
              </w:rPr>
            </w:pPr>
          </w:p>
        </w:tc>
        <w:tc>
          <w:tcPr>
            <w:tcW w:w="1279" w:type="pct"/>
            <w:gridSpan w:val="2"/>
            <w:tcBorders>
              <w:tl2br w:val="nil"/>
              <w:tr2bl w:val="nil"/>
            </w:tcBorders>
            <w:vAlign w:val="center"/>
          </w:tcPr>
          <w:p w14:paraId="11EFACB1">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w:t>
            </w:r>
          </w:p>
        </w:tc>
        <w:tc>
          <w:tcPr>
            <w:tcW w:w="636" w:type="pct"/>
            <w:tcBorders>
              <w:tl2br w:val="nil"/>
              <w:tr2bl w:val="nil"/>
            </w:tcBorders>
            <w:vAlign w:val="center"/>
          </w:tcPr>
          <w:p w14:paraId="289E9440">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546" w:type="pct"/>
            <w:tcBorders>
              <w:tl2br w:val="nil"/>
              <w:tr2bl w:val="nil"/>
            </w:tcBorders>
            <w:shd w:val="clear" w:color="auto" w:fill="auto"/>
            <w:vAlign w:val="center"/>
          </w:tcPr>
          <w:p w14:paraId="7713682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4</w:t>
            </w:r>
          </w:p>
        </w:tc>
      </w:tr>
      <w:tr w14:paraId="594C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0CA12F07">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w:t>
            </w:r>
          </w:p>
        </w:tc>
        <w:tc>
          <w:tcPr>
            <w:tcW w:w="755" w:type="pct"/>
            <w:vMerge w:val="continue"/>
            <w:tcBorders>
              <w:tl2br w:val="nil"/>
              <w:tr2bl w:val="nil"/>
            </w:tcBorders>
            <w:vAlign w:val="center"/>
          </w:tcPr>
          <w:p w14:paraId="68BDBEFF">
            <w:pPr>
              <w:pStyle w:val="17"/>
              <w:bidi w:val="0"/>
              <w:spacing w:line="240" w:lineRule="auto"/>
              <w:jc w:val="center"/>
              <w:rPr>
                <w:rFonts w:hint="default" w:ascii="Times New Roman" w:hAnsi="Times New Roman" w:cs="Times New Roman"/>
                <w:color w:val="auto"/>
                <w:highlight w:val="none"/>
              </w:rPr>
            </w:pPr>
          </w:p>
        </w:tc>
        <w:tc>
          <w:tcPr>
            <w:tcW w:w="782" w:type="pct"/>
            <w:vMerge w:val="continue"/>
            <w:tcBorders>
              <w:tl2br w:val="nil"/>
              <w:tr2bl w:val="nil"/>
            </w:tcBorders>
            <w:vAlign w:val="center"/>
          </w:tcPr>
          <w:p w14:paraId="004838FF">
            <w:pPr>
              <w:pStyle w:val="17"/>
              <w:bidi w:val="0"/>
              <w:spacing w:line="240" w:lineRule="auto"/>
              <w:jc w:val="center"/>
              <w:rPr>
                <w:rFonts w:hint="default" w:ascii="Times New Roman" w:hAnsi="Times New Roman" w:cs="Times New Roman"/>
                <w:color w:val="auto"/>
                <w:highlight w:val="none"/>
              </w:rPr>
            </w:pPr>
          </w:p>
        </w:tc>
        <w:tc>
          <w:tcPr>
            <w:tcW w:w="1914" w:type="pct"/>
            <w:gridSpan w:val="3"/>
            <w:tcBorders>
              <w:tl2br w:val="nil"/>
              <w:tr2bl w:val="nil"/>
            </w:tcBorders>
            <w:vAlign w:val="center"/>
          </w:tcPr>
          <w:p w14:paraId="394C9705">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土壤环境</w:t>
            </w:r>
          </w:p>
        </w:tc>
        <w:tc>
          <w:tcPr>
            <w:tcW w:w="636" w:type="pct"/>
            <w:tcBorders>
              <w:tl2br w:val="nil"/>
              <w:tr2bl w:val="nil"/>
            </w:tcBorders>
            <w:vAlign w:val="center"/>
          </w:tcPr>
          <w:p w14:paraId="4DDB1E82">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546" w:type="pct"/>
            <w:tcBorders>
              <w:tl2br w:val="nil"/>
              <w:tr2bl w:val="nil"/>
            </w:tcBorders>
            <w:shd w:val="clear" w:color="auto" w:fill="auto"/>
            <w:vAlign w:val="center"/>
          </w:tcPr>
          <w:p w14:paraId="2067D27F">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3</w:t>
            </w:r>
          </w:p>
        </w:tc>
      </w:tr>
      <w:tr w14:paraId="2710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4" w:type="pct"/>
            <w:tcBorders>
              <w:tl2br w:val="nil"/>
              <w:tr2bl w:val="nil"/>
            </w:tcBorders>
            <w:vAlign w:val="center"/>
          </w:tcPr>
          <w:p w14:paraId="5A351D1F">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w:t>
            </w:r>
          </w:p>
        </w:tc>
        <w:tc>
          <w:tcPr>
            <w:tcW w:w="755" w:type="pct"/>
            <w:vMerge w:val="continue"/>
            <w:tcBorders>
              <w:tl2br w:val="nil"/>
              <w:tr2bl w:val="nil"/>
            </w:tcBorders>
            <w:vAlign w:val="center"/>
          </w:tcPr>
          <w:p w14:paraId="6363F309">
            <w:pPr>
              <w:pStyle w:val="17"/>
              <w:bidi w:val="0"/>
              <w:spacing w:line="240" w:lineRule="auto"/>
              <w:jc w:val="center"/>
              <w:rPr>
                <w:rFonts w:hint="default" w:ascii="Times New Roman" w:hAnsi="Times New Roman" w:cs="Times New Roman"/>
                <w:color w:val="auto"/>
                <w:highlight w:val="none"/>
              </w:rPr>
            </w:pPr>
          </w:p>
        </w:tc>
        <w:tc>
          <w:tcPr>
            <w:tcW w:w="782" w:type="pct"/>
            <w:vMerge w:val="continue"/>
            <w:tcBorders>
              <w:tl2br w:val="nil"/>
              <w:tr2bl w:val="nil"/>
            </w:tcBorders>
            <w:vAlign w:val="center"/>
          </w:tcPr>
          <w:p w14:paraId="1D26DDB4">
            <w:pPr>
              <w:pStyle w:val="17"/>
              <w:bidi w:val="0"/>
              <w:spacing w:line="240" w:lineRule="auto"/>
              <w:jc w:val="center"/>
              <w:rPr>
                <w:rFonts w:hint="default" w:ascii="Times New Roman" w:hAnsi="Times New Roman" w:cs="Times New Roman"/>
                <w:color w:val="auto"/>
                <w:highlight w:val="none"/>
              </w:rPr>
            </w:pPr>
          </w:p>
        </w:tc>
        <w:tc>
          <w:tcPr>
            <w:tcW w:w="1914" w:type="pct"/>
            <w:gridSpan w:val="3"/>
            <w:tcBorders>
              <w:tl2br w:val="nil"/>
              <w:tr2bl w:val="nil"/>
            </w:tcBorders>
            <w:vAlign w:val="center"/>
          </w:tcPr>
          <w:p w14:paraId="6BE8A4B9">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大气环境</w:t>
            </w:r>
          </w:p>
        </w:tc>
        <w:tc>
          <w:tcPr>
            <w:tcW w:w="636" w:type="pct"/>
            <w:tcBorders>
              <w:tl2br w:val="nil"/>
              <w:tr2bl w:val="nil"/>
            </w:tcBorders>
            <w:vAlign w:val="center"/>
          </w:tcPr>
          <w:p w14:paraId="63F19322">
            <w:pPr>
              <w:pStyle w:val="17"/>
              <w:bidi w:val="0"/>
              <w:spacing w:line="24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546" w:type="pct"/>
            <w:tcBorders>
              <w:tl2br w:val="nil"/>
              <w:tr2bl w:val="nil"/>
            </w:tcBorders>
            <w:shd w:val="clear" w:color="auto" w:fill="auto"/>
            <w:vAlign w:val="center"/>
          </w:tcPr>
          <w:p w14:paraId="43422851">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1.5</w:t>
            </w:r>
          </w:p>
        </w:tc>
      </w:tr>
      <w:tr w14:paraId="2388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7" w:type="pct"/>
            <w:gridSpan w:val="6"/>
            <w:vAlign w:val="center"/>
          </w:tcPr>
          <w:p w14:paraId="5C7FCE01">
            <w:pPr>
              <w:pStyle w:val="17"/>
              <w:bidi w:val="0"/>
              <w:spacing w:line="240" w:lineRule="auto"/>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合计</w:t>
            </w:r>
          </w:p>
        </w:tc>
        <w:tc>
          <w:tcPr>
            <w:tcW w:w="636" w:type="pct"/>
            <w:vAlign w:val="center"/>
          </w:tcPr>
          <w:p w14:paraId="33FE9B90">
            <w:pPr>
              <w:pStyle w:val="17"/>
              <w:bidi w:val="0"/>
              <w:spacing w:line="240" w:lineRule="auto"/>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100</w:t>
            </w:r>
          </w:p>
        </w:tc>
        <w:tc>
          <w:tcPr>
            <w:tcW w:w="546" w:type="pct"/>
            <w:shd w:val="clear" w:color="auto" w:fill="auto"/>
            <w:vAlign w:val="center"/>
          </w:tcPr>
          <w:p w14:paraId="7AC957BD">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color w:val="auto"/>
                <w:highlight w:val="none"/>
              </w:rPr>
              <w:t>71.5</w:t>
            </w:r>
          </w:p>
        </w:tc>
      </w:tr>
    </w:tbl>
    <w:p w14:paraId="38A7B5CE">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依据尾矿库周边环境敏感性等别划分表，将周边环境敏感性（S）划分为S1、S2、S3三个等别，见表2.6-</w:t>
      </w:r>
      <w:r>
        <w:rPr>
          <w:rFonts w:hint="eastAsia" w:cs="Times New Roman"/>
          <w:color w:val="auto"/>
          <w:highlight w:val="none"/>
          <w:lang w:val="en-US" w:eastAsia="zh-CN"/>
        </w:rPr>
        <w:t>26</w:t>
      </w:r>
      <w:r>
        <w:rPr>
          <w:rFonts w:hint="default" w:ascii="Times New Roman" w:hAnsi="Times New Roman" w:cs="Times New Roman"/>
          <w:color w:val="auto"/>
          <w:highlight w:val="none"/>
        </w:rPr>
        <w:t>。</w:t>
      </w:r>
    </w:p>
    <w:p w14:paraId="1EB68740">
      <w:pPr>
        <w:pStyle w:val="1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表2.6-</w:t>
      </w:r>
      <w:r>
        <w:rPr>
          <w:rFonts w:hint="eastAsia" w:cs="Times New Roman"/>
          <w:color w:val="auto"/>
          <w:highlight w:val="none"/>
          <w:lang w:val="en-US" w:eastAsia="zh-CN"/>
        </w:rPr>
        <w:t>26</w:t>
      </w:r>
      <w:r>
        <w:rPr>
          <w:rFonts w:hint="default" w:ascii="Times New Roman" w:hAnsi="Times New Roman" w:cs="Times New Roman"/>
          <w:color w:val="auto"/>
          <w:highlight w:val="none"/>
        </w:rPr>
        <w:t xml:space="preserve">    尾矿库周边环境敏感性（S）等别划分表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7"/>
        <w:gridCol w:w="4587"/>
      </w:tblGrid>
      <w:tr w14:paraId="323E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500" w:type="pct"/>
            <w:vAlign w:val="center"/>
          </w:tcPr>
          <w:p w14:paraId="3F376D9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尾矿库周边环境敏感性得分（DS）</w:t>
            </w:r>
          </w:p>
        </w:tc>
        <w:tc>
          <w:tcPr>
            <w:tcW w:w="2500" w:type="pct"/>
            <w:vAlign w:val="center"/>
          </w:tcPr>
          <w:p w14:paraId="1BC34A9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尾矿库周边环境敏感性（S）等别代码</w:t>
            </w:r>
          </w:p>
        </w:tc>
      </w:tr>
      <w:tr w14:paraId="040E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14:paraId="4752057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DS&gt;60</w:t>
            </w:r>
          </w:p>
        </w:tc>
        <w:tc>
          <w:tcPr>
            <w:tcW w:w="2500" w:type="pct"/>
            <w:vAlign w:val="center"/>
          </w:tcPr>
          <w:p w14:paraId="483FF8C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S1</w:t>
            </w:r>
          </w:p>
        </w:tc>
      </w:tr>
      <w:tr w14:paraId="2383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14:paraId="1809FD8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30&lt;DS≦60</w:t>
            </w:r>
          </w:p>
        </w:tc>
        <w:tc>
          <w:tcPr>
            <w:tcW w:w="2500" w:type="pct"/>
            <w:vAlign w:val="center"/>
          </w:tcPr>
          <w:p w14:paraId="6FA6A7F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S2</w:t>
            </w:r>
          </w:p>
        </w:tc>
      </w:tr>
      <w:tr w14:paraId="1759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14:paraId="099B951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DS≦30</w:t>
            </w:r>
          </w:p>
        </w:tc>
        <w:tc>
          <w:tcPr>
            <w:tcW w:w="2500" w:type="pct"/>
            <w:vAlign w:val="center"/>
          </w:tcPr>
          <w:p w14:paraId="4156F9F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S3</w:t>
            </w:r>
          </w:p>
        </w:tc>
      </w:tr>
    </w:tbl>
    <w:p w14:paraId="3B9D773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根据《尾矿库环境风险评估技术导则（试行）》（HJ740-2015）附录C中各指标评分方法，本项目尾矿库位于</w:t>
      </w:r>
      <w:r>
        <w:rPr>
          <w:rFonts w:hint="default" w:ascii="Times New Roman" w:hAnsi="Times New Roman" w:cs="Times New Roman"/>
          <w:color w:val="auto"/>
          <w:highlight w:val="none"/>
          <w:lang w:eastAsia="zh-CN"/>
        </w:rPr>
        <w:t>若羌</w:t>
      </w:r>
      <w:r>
        <w:rPr>
          <w:rFonts w:hint="default" w:ascii="Times New Roman" w:hAnsi="Times New Roman" w:cs="Times New Roman"/>
          <w:color w:val="auto"/>
          <w:highlight w:val="none"/>
        </w:rPr>
        <w:t>县，不</w:t>
      </w:r>
      <w:r>
        <w:rPr>
          <w:rFonts w:hint="eastAsia" w:ascii="Times New Roman" w:hAnsi="Times New Roman" w:cs="Times New Roman"/>
          <w:color w:val="auto"/>
          <w:highlight w:val="none"/>
          <w:lang w:eastAsia="zh-CN"/>
        </w:rPr>
        <w:t>涉及</w:t>
      </w:r>
      <w:r>
        <w:rPr>
          <w:rFonts w:hint="default" w:ascii="Times New Roman" w:hAnsi="Times New Roman" w:cs="Times New Roman"/>
          <w:color w:val="auto"/>
          <w:highlight w:val="none"/>
        </w:rPr>
        <w:t>跨界情况，</w:t>
      </w:r>
      <w:r>
        <w:rPr>
          <w:rFonts w:hint="eastAsia" w:ascii="Times New Roman" w:hAnsi="Times New Roman" w:cs="Times New Roman"/>
          <w:color w:val="auto"/>
          <w:highlight w:val="none"/>
          <w:lang w:eastAsia="zh-CN"/>
        </w:rPr>
        <w:t>属于</w:t>
      </w:r>
      <w:r>
        <w:rPr>
          <w:rFonts w:hint="default" w:ascii="Times New Roman" w:hAnsi="Times New Roman" w:cs="Times New Roman"/>
          <w:color w:val="auto"/>
          <w:highlight w:val="none"/>
        </w:rPr>
        <w:t>其他类，评分取0；尾矿库周边及下游可能涉及</w:t>
      </w:r>
      <w:r>
        <w:rPr>
          <w:rFonts w:hint="default" w:ascii="Times New Roman" w:hAnsi="Times New Roman" w:cs="Times New Roman"/>
          <w:color w:val="auto"/>
          <w:highlight w:val="none"/>
          <w:lang w:val="en-US" w:eastAsia="zh-CN"/>
        </w:rPr>
        <w:t>阿尔金草原荒漠化防治生态功能区</w:t>
      </w:r>
      <w:r>
        <w:rPr>
          <w:rFonts w:hint="default" w:ascii="Times New Roman" w:hAnsi="Times New Roman" w:cs="Times New Roman"/>
          <w:color w:val="auto"/>
          <w:highlight w:val="none"/>
        </w:rPr>
        <w:t>，评分取54；地表水属于一类，评分取9分；地下水属于三类，评分取4分；土壤环境属二类，评分取3分；大气环境为二类，评分取1.5。综上，总得</w:t>
      </w:r>
      <w:r>
        <w:rPr>
          <w:rFonts w:hint="default" w:ascii="Times New Roman" w:hAnsi="Times New Roman" w:cs="Times New Roman"/>
          <w:color w:val="auto"/>
          <w:highlight w:val="none"/>
          <w:lang w:eastAsia="zh-CN"/>
        </w:rPr>
        <w:t>分</w:t>
      </w:r>
      <w:r>
        <w:rPr>
          <w:rFonts w:hint="default" w:ascii="Times New Roman" w:hAnsi="Times New Roman" w:cs="Times New Roman"/>
          <w:color w:val="auto"/>
          <w:highlight w:val="none"/>
        </w:rPr>
        <w:t>为71.5，环境敏感性等别均为S1。</w:t>
      </w:r>
    </w:p>
    <w:p w14:paraId="42D9042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③控制机制可靠性</w:t>
      </w:r>
    </w:p>
    <w:p w14:paraId="014F8DE2">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采用评分方法，对尾矿库的基本情况、自然条件情况、生产安全情况、环境保护情况和历史事件情况五方面指标进行评分与累加求和，评估尾矿库控制机制可靠性（R），控制机制可靠性等别划分指标体系见表2.6-</w:t>
      </w:r>
      <w:r>
        <w:rPr>
          <w:rFonts w:hint="eastAsia" w:cs="Times New Roman"/>
          <w:color w:val="auto"/>
          <w:highlight w:val="none"/>
          <w:lang w:val="en-US" w:eastAsia="zh-CN"/>
        </w:rPr>
        <w:t>27</w:t>
      </w:r>
      <w:r>
        <w:rPr>
          <w:rFonts w:hint="default" w:ascii="Times New Roman" w:hAnsi="Times New Roman" w:cs="Times New Roman"/>
          <w:color w:val="auto"/>
          <w:highlight w:val="none"/>
        </w:rPr>
        <w:t>。</w:t>
      </w:r>
    </w:p>
    <w:p w14:paraId="71C56E9C">
      <w:pPr>
        <w:pStyle w:val="1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表2.6-</w:t>
      </w:r>
      <w:r>
        <w:rPr>
          <w:rFonts w:hint="eastAsia" w:cs="Times New Roman"/>
          <w:color w:val="auto"/>
          <w:highlight w:val="none"/>
          <w:lang w:val="en-US" w:eastAsia="zh-CN"/>
        </w:rPr>
        <w:t>27</w:t>
      </w:r>
      <w:r>
        <w:rPr>
          <w:rFonts w:hint="default" w:ascii="Times New Roman" w:hAnsi="Times New Roman" w:cs="Times New Roman"/>
          <w:color w:val="auto"/>
          <w:highlight w:val="none"/>
        </w:rPr>
        <w:t xml:space="preserve">    尾矿库控制机制可靠性（R）等别划分指标体系</w:t>
      </w:r>
    </w:p>
    <w:tbl>
      <w:tblPr>
        <w:tblStyle w:val="1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763"/>
        <w:gridCol w:w="721"/>
        <w:gridCol w:w="2119"/>
        <w:gridCol w:w="1841"/>
        <w:gridCol w:w="1934"/>
        <w:gridCol w:w="699"/>
        <w:gridCol w:w="642"/>
      </w:tblGrid>
      <w:tr w14:paraId="5F02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45" w:type="pct"/>
            <w:tcBorders>
              <w:tl2br w:val="nil"/>
              <w:tr2bl w:val="nil"/>
            </w:tcBorders>
            <w:vAlign w:val="center"/>
          </w:tcPr>
          <w:p w14:paraId="56378523">
            <w:pPr>
              <w:spacing w:after="0" w:line="240" w:lineRule="auto"/>
              <w:ind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4024" w:type="pct"/>
            <w:gridSpan w:val="5"/>
            <w:tcBorders>
              <w:tl2br w:val="nil"/>
              <w:tr2bl w:val="nil"/>
            </w:tcBorders>
            <w:vAlign w:val="center"/>
          </w:tcPr>
          <w:p w14:paraId="7CD0C333">
            <w:pPr>
              <w:spacing w:after="0" w:line="240" w:lineRule="auto"/>
              <w:ind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指标项目</w:t>
            </w:r>
          </w:p>
        </w:tc>
        <w:tc>
          <w:tcPr>
            <w:tcW w:w="377" w:type="pct"/>
            <w:tcBorders>
              <w:tl2br w:val="nil"/>
              <w:tr2bl w:val="nil"/>
            </w:tcBorders>
            <w:vAlign w:val="center"/>
          </w:tcPr>
          <w:p w14:paraId="6CCB2C3C">
            <w:pPr>
              <w:spacing w:after="0" w:line="240" w:lineRule="auto"/>
              <w:ind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指标分值</w:t>
            </w:r>
          </w:p>
        </w:tc>
        <w:tc>
          <w:tcPr>
            <w:tcW w:w="351" w:type="pct"/>
            <w:tcBorders>
              <w:tl2br w:val="nil"/>
              <w:tr2bl w:val="nil"/>
            </w:tcBorders>
            <w:vAlign w:val="center"/>
          </w:tcPr>
          <w:p w14:paraId="5F7F7977">
            <w:pPr>
              <w:spacing w:after="0" w:line="240" w:lineRule="auto"/>
              <w:ind w:firstLine="0" w:firstLineChars="0"/>
              <w:jc w:val="center"/>
              <w:rPr>
                <w:rFonts w:hint="eastAsia" w:ascii="Times New Roman" w:hAnsi="Times New Roman" w:eastAsia="宋体" w:cs="Times New Roman"/>
                <w:b/>
                <w:color w:val="auto"/>
                <w:sz w:val="21"/>
                <w:szCs w:val="21"/>
                <w:highlight w:val="none"/>
                <w:lang w:val="en-US" w:eastAsia="zh-CN"/>
              </w:rPr>
            </w:pPr>
            <w:r>
              <w:rPr>
                <w:rFonts w:hint="eastAsia" w:cs="Times New Roman"/>
                <w:b/>
                <w:color w:val="auto"/>
                <w:sz w:val="21"/>
                <w:szCs w:val="21"/>
                <w:highlight w:val="none"/>
                <w:lang w:val="en-US" w:eastAsia="zh-CN"/>
              </w:rPr>
              <w:t>尾矿库</w:t>
            </w:r>
          </w:p>
        </w:tc>
      </w:tr>
      <w:tr w14:paraId="4D82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2C7DC61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416" w:type="pct"/>
            <w:vMerge w:val="restart"/>
            <w:tcBorders>
              <w:tl2br w:val="nil"/>
              <w:tr2bl w:val="nil"/>
            </w:tcBorders>
            <w:vAlign w:val="center"/>
          </w:tcPr>
          <w:p w14:paraId="483B5E2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尾矿库控制机制可靠性</w:t>
            </w:r>
          </w:p>
        </w:tc>
        <w:tc>
          <w:tcPr>
            <w:tcW w:w="393" w:type="pct"/>
            <w:vMerge w:val="restart"/>
            <w:tcBorders>
              <w:tl2br w:val="nil"/>
              <w:tr2bl w:val="nil"/>
            </w:tcBorders>
            <w:vAlign w:val="center"/>
          </w:tcPr>
          <w:p w14:paraId="3FBF47F1">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基本</w:t>
            </w:r>
          </w:p>
          <w:p w14:paraId="38279042">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情况</w:t>
            </w:r>
          </w:p>
        </w:tc>
        <w:tc>
          <w:tcPr>
            <w:tcW w:w="1156" w:type="pct"/>
            <w:vMerge w:val="restart"/>
            <w:tcBorders>
              <w:tl2br w:val="nil"/>
              <w:tr2bl w:val="nil"/>
            </w:tcBorders>
            <w:vAlign w:val="center"/>
          </w:tcPr>
          <w:p w14:paraId="7E1F60C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堆存</w:t>
            </w:r>
          </w:p>
        </w:tc>
        <w:tc>
          <w:tcPr>
            <w:tcW w:w="2058" w:type="pct"/>
            <w:gridSpan w:val="2"/>
            <w:tcBorders>
              <w:tl2br w:val="nil"/>
              <w:tr2bl w:val="nil"/>
            </w:tcBorders>
            <w:vAlign w:val="center"/>
          </w:tcPr>
          <w:p w14:paraId="41CC3D5A">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堆存种类</w:t>
            </w:r>
          </w:p>
        </w:tc>
        <w:tc>
          <w:tcPr>
            <w:tcW w:w="377" w:type="pct"/>
            <w:tcBorders>
              <w:tl2br w:val="nil"/>
              <w:tr2bl w:val="nil"/>
            </w:tcBorders>
            <w:vAlign w:val="center"/>
          </w:tcPr>
          <w:p w14:paraId="2D7A8AD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351" w:type="pct"/>
            <w:tcBorders>
              <w:tl2br w:val="nil"/>
              <w:tr2bl w:val="nil"/>
            </w:tcBorders>
            <w:vAlign w:val="center"/>
          </w:tcPr>
          <w:p w14:paraId="2EB32025">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04F8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653EDEC8">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416" w:type="pct"/>
            <w:vMerge w:val="continue"/>
            <w:tcBorders>
              <w:tl2br w:val="nil"/>
              <w:tr2bl w:val="nil"/>
            </w:tcBorders>
            <w:vAlign w:val="center"/>
          </w:tcPr>
          <w:p w14:paraId="4110D655">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083BCAFA">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6B028B0A">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35522D4B">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堆存方式</w:t>
            </w:r>
          </w:p>
        </w:tc>
        <w:tc>
          <w:tcPr>
            <w:tcW w:w="377" w:type="pct"/>
            <w:tcBorders>
              <w:tl2br w:val="nil"/>
              <w:tr2bl w:val="nil"/>
            </w:tcBorders>
            <w:vAlign w:val="center"/>
          </w:tcPr>
          <w:p w14:paraId="2E4B2F58">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351" w:type="pct"/>
            <w:tcBorders>
              <w:tl2br w:val="nil"/>
              <w:tr2bl w:val="nil"/>
            </w:tcBorders>
            <w:vAlign w:val="center"/>
          </w:tcPr>
          <w:p w14:paraId="372C2A12">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1</w:t>
            </w:r>
          </w:p>
        </w:tc>
      </w:tr>
      <w:tr w14:paraId="06E2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04C3E32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416" w:type="pct"/>
            <w:vMerge w:val="continue"/>
            <w:tcBorders>
              <w:tl2br w:val="nil"/>
              <w:tr2bl w:val="nil"/>
            </w:tcBorders>
            <w:vAlign w:val="center"/>
          </w:tcPr>
          <w:p w14:paraId="5F744872">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4896F4D4">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47D9E7E0">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2B37D5D2">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坝体透水情况</w:t>
            </w:r>
          </w:p>
        </w:tc>
        <w:tc>
          <w:tcPr>
            <w:tcW w:w="377" w:type="pct"/>
            <w:tcBorders>
              <w:tl2br w:val="nil"/>
              <w:tr2bl w:val="nil"/>
            </w:tcBorders>
            <w:vAlign w:val="center"/>
          </w:tcPr>
          <w:p w14:paraId="37932BF5">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351" w:type="pct"/>
            <w:tcBorders>
              <w:tl2br w:val="nil"/>
              <w:tr2bl w:val="nil"/>
            </w:tcBorders>
            <w:vAlign w:val="center"/>
          </w:tcPr>
          <w:p w14:paraId="63EEC6F5">
            <w:pPr>
              <w:pStyle w:val="17"/>
              <w:bidi w:val="0"/>
              <w:ind w:firstLine="0" w:firstLineChars="0"/>
              <w:rPr>
                <w:rFonts w:hint="default" w:ascii="Times New Roman" w:hAnsi="Times New Roman" w:cs="Times New Roman"/>
                <w:bCs/>
                <w:color w:val="auto"/>
                <w:sz w:val="21"/>
                <w:szCs w:val="21"/>
                <w:highlight w:val="none"/>
              </w:rPr>
            </w:pPr>
            <w:r>
              <w:rPr>
                <w:rFonts w:hint="eastAsia"/>
                <w:color w:val="auto"/>
                <w:highlight w:val="none"/>
                <w:lang w:val="en-US" w:eastAsia="zh-CN"/>
              </w:rPr>
              <w:t>1</w:t>
            </w:r>
          </w:p>
        </w:tc>
      </w:tr>
      <w:tr w14:paraId="534A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39D68E4F">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w:t>
            </w:r>
          </w:p>
        </w:tc>
        <w:tc>
          <w:tcPr>
            <w:tcW w:w="416" w:type="pct"/>
            <w:vMerge w:val="continue"/>
            <w:tcBorders>
              <w:tl2br w:val="nil"/>
              <w:tr2bl w:val="nil"/>
            </w:tcBorders>
            <w:vAlign w:val="center"/>
          </w:tcPr>
          <w:p w14:paraId="44D4BA4C">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1DDBFEF4">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restart"/>
            <w:tcBorders>
              <w:tl2br w:val="nil"/>
              <w:tr2bl w:val="nil"/>
            </w:tcBorders>
            <w:vAlign w:val="center"/>
          </w:tcPr>
          <w:p w14:paraId="0B9FCC4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输送</w:t>
            </w:r>
          </w:p>
        </w:tc>
        <w:tc>
          <w:tcPr>
            <w:tcW w:w="2058" w:type="pct"/>
            <w:gridSpan w:val="2"/>
            <w:tcBorders>
              <w:tl2br w:val="nil"/>
              <w:tr2bl w:val="nil"/>
            </w:tcBorders>
            <w:vAlign w:val="center"/>
          </w:tcPr>
          <w:p w14:paraId="425C597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输送方式</w:t>
            </w:r>
          </w:p>
        </w:tc>
        <w:tc>
          <w:tcPr>
            <w:tcW w:w="377" w:type="pct"/>
            <w:tcBorders>
              <w:tl2br w:val="nil"/>
              <w:tr2bl w:val="nil"/>
            </w:tcBorders>
            <w:vAlign w:val="center"/>
          </w:tcPr>
          <w:p w14:paraId="40776C96">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351" w:type="pct"/>
            <w:tcBorders>
              <w:tl2br w:val="nil"/>
              <w:tr2bl w:val="nil"/>
            </w:tcBorders>
            <w:vAlign w:val="center"/>
          </w:tcPr>
          <w:p w14:paraId="1A67D277">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1</w:t>
            </w:r>
          </w:p>
        </w:tc>
      </w:tr>
      <w:tr w14:paraId="62B4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1EEA66D3">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416" w:type="pct"/>
            <w:vMerge w:val="continue"/>
            <w:tcBorders>
              <w:tl2br w:val="nil"/>
              <w:tr2bl w:val="nil"/>
            </w:tcBorders>
            <w:vAlign w:val="center"/>
          </w:tcPr>
          <w:p w14:paraId="76A9907E">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393A3D24">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03C13E31">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181C2439">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输送量</w:t>
            </w:r>
          </w:p>
        </w:tc>
        <w:tc>
          <w:tcPr>
            <w:tcW w:w="377" w:type="pct"/>
            <w:tcBorders>
              <w:tl2br w:val="nil"/>
              <w:tr2bl w:val="nil"/>
            </w:tcBorders>
            <w:vAlign w:val="center"/>
          </w:tcPr>
          <w:p w14:paraId="58E90856">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351" w:type="pct"/>
            <w:tcBorders>
              <w:tl2br w:val="nil"/>
              <w:tr2bl w:val="nil"/>
            </w:tcBorders>
            <w:vAlign w:val="center"/>
          </w:tcPr>
          <w:p w14:paraId="2D45B216">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0.5</w:t>
            </w:r>
          </w:p>
        </w:tc>
      </w:tr>
      <w:tr w14:paraId="2C3E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39FFD1D9">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w:t>
            </w:r>
          </w:p>
        </w:tc>
        <w:tc>
          <w:tcPr>
            <w:tcW w:w="416" w:type="pct"/>
            <w:vMerge w:val="continue"/>
            <w:tcBorders>
              <w:tl2br w:val="nil"/>
              <w:tr2bl w:val="nil"/>
            </w:tcBorders>
            <w:vAlign w:val="center"/>
          </w:tcPr>
          <w:p w14:paraId="757D42B1">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42F0E676">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6D1E77CA">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3D9CFF5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输送距离</w:t>
            </w:r>
          </w:p>
        </w:tc>
        <w:tc>
          <w:tcPr>
            <w:tcW w:w="377" w:type="pct"/>
            <w:tcBorders>
              <w:tl2br w:val="nil"/>
              <w:tr2bl w:val="nil"/>
            </w:tcBorders>
            <w:vAlign w:val="center"/>
          </w:tcPr>
          <w:p w14:paraId="2A6F716B">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351" w:type="pct"/>
            <w:tcBorders>
              <w:tl2br w:val="nil"/>
              <w:tr2bl w:val="nil"/>
            </w:tcBorders>
            <w:vAlign w:val="center"/>
          </w:tcPr>
          <w:p w14:paraId="787A615F">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0.75</w:t>
            </w:r>
          </w:p>
        </w:tc>
      </w:tr>
      <w:tr w14:paraId="41A5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2B022F8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w:t>
            </w:r>
          </w:p>
        </w:tc>
        <w:tc>
          <w:tcPr>
            <w:tcW w:w="416" w:type="pct"/>
            <w:vMerge w:val="continue"/>
            <w:tcBorders>
              <w:tl2br w:val="nil"/>
              <w:tr2bl w:val="nil"/>
            </w:tcBorders>
            <w:vAlign w:val="center"/>
          </w:tcPr>
          <w:p w14:paraId="50FBC20B">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12288849">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restart"/>
            <w:tcBorders>
              <w:tl2br w:val="nil"/>
              <w:tr2bl w:val="nil"/>
            </w:tcBorders>
            <w:vAlign w:val="center"/>
          </w:tcPr>
          <w:p w14:paraId="690372F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回水</w:t>
            </w:r>
          </w:p>
        </w:tc>
        <w:tc>
          <w:tcPr>
            <w:tcW w:w="2058" w:type="pct"/>
            <w:gridSpan w:val="2"/>
            <w:tcBorders>
              <w:tl2br w:val="nil"/>
              <w:tr2bl w:val="nil"/>
            </w:tcBorders>
            <w:vAlign w:val="center"/>
          </w:tcPr>
          <w:p w14:paraId="7E8B82B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回水方式</w:t>
            </w:r>
          </w:p>
        </w:tc>
        <w:tc>
          <w:tcPr>
            <w:tcW w:w="377" w:type="pct"/>
            <w:tcBorders>
              <w:tl2br w:val="nil"/>
              <w:tr2bl w:val="nil"/>
            </w:tcBorders>
            <w:vAlign w:val="center"/>
          </w:tcPr>
          <w:p w14:paraId="032E7FF5">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351" w:type="pct"/>
            <w:tcBorders>
              <w:tl2br w:val="nil"/>
              <w:tr2bl w:val="nil"/>
            </w:tcBorders>
            <w:vAlign w:val="center"/>
          </w:tcPr>
          <w:p w14:paraId="3349CBD9">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0.5</w:t>
            </w:r>
          </w:p>
        </w:tc>
      </w:tr>
      <w:tr w14:paraId="57CF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39476EAF">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w:t>
            </w:r>
          </w:p>
        </w:tc>
        <w:tc>
          <w:tcPr>
            <w:tcW w:w="416" w:type="pct"/>
            <w:vMerge w:val="continue"/>
            <w:tcBorders>
              <w:tl2br w:val="nil"/>
              <w:tr2bl w:val="nil"/>
            </w:tcBorders>
            <w:vAlign w:val="center"/>
          </w:tcPr>
          <w:p w14:paraId="713FD09E">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0A11C474">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6392ED9A">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34B94F5D">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回水量</w:t>
            </w:r>
          </w:p>
        </w:tc>
        <w:tc>
          <w:tcPr>
            <w:tcW w:w="377" w:type="pct"/>
            <w:tcBorders>
              <w:tl2br w:val="nil"/>
              <w:tr2bl w:val="nil"/>
            </w:tcBorders>
            <w:vAlign w:val="center"/>
          </w:tcPr>
          <w:p w14:paraId="16AE82CD">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0.5</w:t>
            </w:r>
          </w:p>
        </w:tc>
        <w:tc>
          <w:tcPr>
            <w:tcW w:w="351" w:type="pct"/>
            <w:tcBorders>
              <w:tl2br w:val="nil"/>
              <w:tr2bl w:val="nil"/>
            </w:tcBorders>
            <w:vAlign w:val="center"/>
          </w:tcPr>
          <w:p w14:paraId="6E8422F9">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0.25</w:t>
            </w:r>
          </w:p>
        </w:tc>
      </w:tr>
      <w:tr w14:paraId="4B6D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5037FEEA">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9</w:t>
            </w:r>
          </w:p>
        </w:tc>
        <w:tc>
          <w:tcPr>
            <w:tcW w:w="416" w:type="pct"/>
            <w:vMerge w:val="continue"/>
            <w:tcBorders>
              <w:tl2br w:val="nil"/>
              <w:tr2bl w:val="nil"/>
            </w:tcBorders>
            <w:vAlign w:val="center"/>
          </w:tcPr>
          <w:p w14:paraId="243F9676">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76BAC64F">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3D555F2B">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4669C42D">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回水距离</w:t>
            </w:r>
          </w:p>
        </w:tc>
        <w:tc>
          <w:tcPr>
            <w:tcW w:w="377" w:type="pct"/>
            <w:tcBorders>
              <w:tl2br w:val="nil"/>
              <w:tr2bl w:val="nil"/>
            </w:tcBorders>
            <w:vAlign w:val="center"/>
          </w:tcPr>
          <w:p w14:paraId="21136E93">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351" w:type="pct"/>
            <w:tcBorders>
              <w:tl2br w:val="nil"/>
              <w:tr2bl w:val="nil"/>
            </w:tcBorders>
            <w:vAlign w:val="center"/>
          </w:tcPr>
          <w:p w14:paraId="3CA4A0F7">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0.5</w:t>
            </w:r>
          </w:p>
        </w:tc>
      </w:tr>
      <w:tr w14:paraId="5422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66F03FE2">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w:t>
            </w:r>
          </w:p>
        </w:tc>
        <w:tc>
          <w:tcPr>
            <w:tcW w:w="416" w:type="pct"/>
            <w:vMerge w:val="continue"/>
            <w:tcBorders>
              <w:tl2br w:val="nil"/>
              <w:tr2bl w:val="nil"/>
            </w:tcBorders>
            <w:vAlign w:val="center"/>
          </w:tcPr>
          <w:p w14:paraId="36420B33">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4AA10671">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restart"/>
            <w:tcBorders>
              <w:tl2br w:val="nil"/>
              <w:tr2bl w:val="nil"/>
            </w:tcBorders>
            <w:vAlign w:val="center"/>
          </w:tcPr>
          <w:p w14:paraId="24F277E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防洪</w:t>
            </w:r>
          </w:p>
        </w:tc>
        <w:tc>
          <w:tcPr>
            <w:tcW w:w="2058" w:type="pct"/>
            <w:gridSpan w:val="2"/>
            <w:tcBorders>
              <w:tl2br w:val="nil"/>
              <w:tr2bl w:val="nil"/>
            </w:tcBorders>
            <w:vAlign w:val="center"/>
          </w:tcPr>
          <w:p w14:paraId="1F43AF4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库外截洪设施</w:t>
            </w:r>
          </w:p>
        </w:tc>
        <w:tc>
          <w:tcPr>
            <w:tcW w:w="377" w:type="pct"/>
            <w:tcBorders>
              <w:tl2br w:val="nil"/>
              <w:tr2bl w:val="nil"/>
            </w:tcBorders>
            <w:vAlign w:val="center"/>
          </w:tcPr>
          <w:p w14:paraId="1804B54B">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351" w:type="pct"/>
            <w:tcBorders>
              <w:tl2br w:val="nil"/>
              <w:tr2bl w:val="nil"/>
            </w:tcBorders>
            <w:vAlign w:val="center"/>
          </w:tcPr>
          <w:p w14:paraId="432078CF">
            <w:pPr>
              <w:pStyle w:val="17"/>
              <w:bidi w:val="0"/>
              <w:ind w:firstLine="0" w:firstLineChars="0"/>
              <w:rPr>
                <w:rFonts w:hint="default" w:ascii="Times New Roman" w:hAnsi="Times New Roman" w:cs="Times New Roman"/>
                <w:bCs/>
                <w:color w:val="auto"/>
                <w:sz w:val="21"/>
                <w:szCs w:val="21"/>
                <w:highlight w:val="none"/>
              </w:rPr>
            </w:pPr>
            <w:r>
              <w:rPr>
                <w:rFonts w:hint="eastAsia"/>
                <w:color w:val="auto"/>
                <w:highlight w:val="none"/>
                <w:lang w:val="en-US" w:eastAsia="zh-CN"/>
              </w:rPr>
              <w:t>1</w:t>
            </w:r>
          </w:p>
        </w:tc>
      </w:tr>
      <w:tr w14:paraId="48BB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6B0BAF0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w:t>
            </w:r>
          </w:p>
        </w:tc>
        <w:tc>
          <w:tcPr>
            <w:tcW w:w="416" w:type="pct"/>
            <w:vMerge w:val="continue"/>
            <w:tcBorders>
              <w:tl2br w:val="nil"/>
              <w:tr2bl w:val="nil"/>
            </w:tcBorders>
            <w:vAlign w:val="center"/>
          </w:tcPr>
          <w:p w14:paraId="40EEB407">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4B625783">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5262F4ED">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4C72EEB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库内排洪设施</w:t>
            </w:r>
          </w:p>
        </w:tc>
        <w:tc>
          <w:tcPr>
            <w:tcW w:w="377" w:type="pct"/>
            <w:tcBorders>
              <w:tl2br w:val="nil"/>
              <w:tr2bl w:val="nil"/>
            </w:tcBorders>
            <w:vAlign w:val="center"/>
          </w:tcPr>
          <w:p w14:paraId="10FBFAA5">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351" w:type="pct"/>
            <w:tcBorders>
              <w:tl2br w:val="nil"/>
              <w:tr2bl w:val="nil"/>
            </w:tcBorders>
            <w:vAlign w:val="center"/>
          </w:tcPr>
          <w:p w14:paraId="12DED8C3">
            <w:pPr>
              <w:pStyle w:val="17"/>
              <w:bidi w:val="0"/>
              <w:ind w:firstLine="0" w:firstLineChars="0"/>
              <w:rPr>
                <w:rFonts w:hint="default" w:ascii="Times New Roman" w:hAnsi="Times New Roman" w:cs="Times New Roman"/>
                <w:bCs/>
                <w:color w:val="auto"/>
                <w:sz w:val="21"/>
                <w:szCs w:val="21"/>
                <w:highlight w:val="none"/>
              </w:rPr>
            </w:pPr>
            <w:r>
              <w:rPr>
                <w:rFonts w:hint="eastAsia"/>
                <w:color w:val="auto"/>
                <w:highlight w:val="none"/>
                <w:lang w:val="en-US" w:eastAsia="zh-CN"/>
              </w:rPr>
              <w:t>1</w:t>
            </w:r>
          </w:p>
        </w:tc>
      </w:tr>
      <w:tr w14:paraId="5D39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0D588969">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w:t>
            </w:r>
          </w:p>
        </w:tc>
        <w:tc>
          <w:tcPr>
            <w:tcW w:w="416" w:type="pct"/>
            <w:vMerge w:val="continue"/>
            <w:tcBorders>
              <w:tl2br w:val="nil"/>
              <w:tr2bl w:val="nil"/>
            </w:tcBorders>
            <w:vAlign w:val="center"/>
          </w:tcPr>
          <w:p w14:paraId="47C304F0">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tcBorders>
              <w:tl2br w:val="nil"/>
              <w:tr2bl w:val="nil"/>
            </w:tcBorders>
            <w:vAlign w:val="center"/>
          </w:tcPr>
          <w:p w14:paraId="10749121">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自然条件情况</w:t>
            </w:r>
          </w:p>
        </w:tc>
        <w:tc>
          <w:tcPr>
            <w:tcW w:w="3214" w:type="pct"/>
            <w:gridSpan w:val="3"/>
            <w:tcBorders>
              <w:tl2br w:val="nil"/>
              <w:tr2bl w:val="nil"/>
            </w:tcBorders>
            <w:vAlign w:val="center"/>
          </w:tcPr>
          <w:p w14:paraId="3A87577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是否处于按《地质灾害危险性评估技术要求（试行）》评定为“危害性中等”或“危害性大”的区域，或者处于地质灾害易灾区、岩溶（喀斯特）地貌区</w:t>
            </w:r>
          </w:p>
        </w:tc>
        <w:tc>
          <w:tcPr>
            <w:tcW w:w="377" w:type="pct"/>
            <w:tcBorders>
              <w:tl2br w:val="nil"/>
              <w:tr2bl w:val="nil"/>
            </w:tcBorders>
            <w:vAlign w:val="center"/>
          </w:tcPr>
          <w:p w14:paraId="3C4ED2F4">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9</w:t>
            </w:r>
          </w:p>
        </w:tc>
        <w:tc>
          <w:tcPr>
            <w:tcW w:w="351" w:type="pct"/>
            <w:tcBorders>
              <w:tl2br w:val="nil"/>
              <w:tr2bl w:val="nil"/>
            </w:tcBorders>
            <w:vAlign w:val="center"/>
          </w:tcPr>
          <w:p w14:paraId="67951A86">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0D1F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27B7F6B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13</w:t>
            </w:r>
          </w:p>
        </w:tc>
        <w:tc>
          <w:tcPr>
            <w:tcW w:w="416" w:type="pct"/>
            <w:vMerge w:val="continue"/>
            <w:tcBorders>
              <w:tl2br w:val="nil"/>
              <w:tr2bl w:val="nil"/>
            </w:tcBorders>
            <w:vAlign w:val="center"/>
          </w:tcPr>
          <w:p w14:paraId="610A1993">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tcBorders>
              <w:tl2br w:val="nil"/>
              <w:tr2bl w:val="nil"/>
            </w:tcBorders>
            <w:vAlign w:val="center"/>
          </w:tcPr>
          <w:p w14:paraId="581428C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生产安全情况</w:t>
            </w:r>
          </w:p>
        </w:tc>
        <w:tc>
          <w:tcPr>
            <w:tcW w:w="3214" w:type="pct"/>
            <w:gridSpan w:val="3"/>
            <w:tcBorders>
              <w:tl2br w:val="nil"/>
              <w:tr2bl w:val="nil"/>
            </w:tcBorders>
            <w:vAlign w:val="center"/>
          </w:tcPr>
          <w:p w14:paraId="4AF06831">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尾矿库安全度等别</w:t>
            </w:r>
          </w:p>
        </w:tc>
        <w:tc>
          <w:tcPr>
            <w:tcW w:w="377" w:type="pct"/>
            <w:tcBorders>
              <w:tl2br w:val="nil"/>
              <w:tr2bl w:val="nil"/>
            </w:tcBorders>
            <w:vAlign w:val="center"/>
          </w:tcPr>
          <w:p w14:paraId="173203D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351" w:type="pct"/>
            <w:tcBorders>
              <w:tl2br w:val="nil"/>
              <w:tr2bl w:val="nil"/>
            </w:tcBorders>
            <w:vAlign w:val="center"/>
          </w:tcPr>
          <w:p w14:paraId="34510E11">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2BE3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5663A82D">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14</w:t>
            </w:r>
          </w:p>
        </w:tc>
        <w:tc>
          <w:tcPr>
            <w:tcW w:w="416" w:type="pct"/>
            <w:vMerge w:val="continue"/>
            <w:tcBorders>
              <w:tl2br w:val="nil"/>
              <w:tr2bl w:val="nil"/>
            </w:tcBorders>
            <w:vAlign w:val="center"/>
          </w:tcPr>
          <w:p w14:paraId="522427C0">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restart"/>
            <w:tcBorders>
              <w:tl2br w:val="nil"/>
              <w:tr2bl w:val="nil"/>
            </w:tcBorders>
            <w:vAlign w:val="center"/>
          </w:tcPr>
          <w:p w14:paraId="53F6CA7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环境保护情况</w:t>
            </w:r>
          </w:p>
        </w:tc>
        <w:tc>
          <w:tcPr>
            <w:tcW w:w="1156" w:type="pct"/>
            <w:tcBorders>
              <w:tl2br w:val="nil"/>
              <w:tr2bl w:val="nil"/>
            </w:tcBorders>
            <w:vAlign w:val="center"/>
          </w:tcPr>
          <w:p w14:paraId="1332A90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环保审批</w:t>
            </w:r>
          </w:p>
        </w:tc>
        <w:tc>
          <w:tcPr>
            <w:tcW w:w="2058" w:type="pct"/>
            <w:gridSpan w:val="2"/>
            <w:tcBorders>
              <w:tl2br w:val="nil"/>
              <w:tr2bl w:val="nil"/>
            </w:tcBorders>
            <w:vAlign w:val="center"/>
          </w:tcPr>
          <w:p w14:paraId="62C98BF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是否通过“三同时”验收</w:t>
            </w:r>
          </w:p>
        </w:tc>
        <w:tc>
          <w:tcPr>
            <w:tcW w:w="377" w:type="pct"/>
            <w:tcBorders>
              <w:tl2br w:val="nil"/>
              <w:tr2bl w:val="nil"/>
            </w:tcBorders>
            <w:vAlign w:val="center"/>
          </w:tcPr>
          <w:p w14:paraId="1AD110C6">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w:t>
            </w:r>
          </w:p>
        </w:tc>
        <w:tc>
          <w:tcPr>
            <w:tcW w:w="351" w:type="pct"/>
            <w:tcBorders>
              <w:tl2br w:val="nil"/>
              <w:tr2bl w:val="nil"/>
            </w:tcBorders>
            <w:vAlign w:val="center"/>
          </w:tcPr>
          <w:p w14:paraId="730B82B9">
            <w:pPr>
              <w:pStyle w:val="17"/>
              <w:bidi w:val="0"/>
              <w:ind w:firstLine="0" w:firstLineChars="0"/>
              <w:rPr>
                <w:rFonts w:hint="default" w:ascii="Times New Roman" w:hAnsi="Times New Roman" w:cs="Times New Roman"/>
                <w:bCs/>
                <w:color w:val="auto"/>
                <w:sz w:val="21"/>
                <w:szCs w:val="21"/>
                <w:highlight w:val="none"/>
              </w:rPr>
            </w:pPr>
            <w:r>
              <w:rPr>
                <w:rFonts w:hint="eastAsia"/>
                <w:color w:val="auto"/>
                <w:highlight w:val="none"/>
                <w:lang w:val="en-US" w:eastAsia="zh-CN"/>
              </w:rPr>
              <w:t>0</w:t>
            </w:r>
          </w:p>
        </w:tc>
      </w:tr>
      <w:tr w14:paraId="0A9D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3AC3BF1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416" w:type="pct"/>
            <w:vMerge w:val="continue"/>
            <w:tcBorders>
              <w:tl2br w:val="nil"/>
              <w:tr2bl w:val="nil"/>
            </w:tcBorders>
            <w:vAlign w:val="center"/>
          </w:tcPr>
          <w:p w14:paraId="5871BE8E">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6DF361FB">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restart"/>
            <w:tcBorders>
              <w:tl2br w:val="nil"/>
              <w:tr2bl w:val="nil"/>
            </w:tcBorders>
            <w:vAlign w:val="center"/>
          </w:tcPr>
          <w:p w14:paraId="4105C4A6">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污染防治</w:t>
            </w:r>
          </w:p>
        </w:tc>
        <w:tc>
          <w:tcPr>
            <w:tcW w:w="2058" w:type="pct"/>
            <w:gridSpan w:val="2"/>
            <w:tcBorders>
              <w:tl2br w:val="nil"/>
              <w:tr2bl w:val="nil"/>
            </w:tcBorders>
            <w:vAlign w:val="center"/>
          </w:tcPr>
          <w:p w14:paraId="07EDEB18">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水排放情况</w:t>
            </w:r>
          </w:p>
        </w:tc>
        <w:tc>
          <w:tcPr>
            <w:tcW w:w="377" w:type="pct"/>
            <w:tcBorders>
              <w:tl2br w:val="nil"/>
              <w:tr2bl w:val="nil"/>
            </w:tcBorders>
            <w:vAlign w:val="center"/>
          </w:tcPr>
          <w:p w14:paraId="5146981A">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351" w:type="pct"/>
            <w:tcBorders>
              <w:tl2br w:val="nil"/>
              <w:tr2bl w:val="nil"/>
            </w:tcBorders>
            <w:vAlign w:val="center"/>
          </w:tcPr>
          <w:p w14:paraId="14023A43">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426E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79734C5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16</w:t>
            </w:r>
          </w:p>
        </w:tc>
        <w:tc>
          <w:tcPr>
            <w:tcW w:w="416" w:type="pct"/>
            <w:vMerge w:val="continue"/>
            <w:tcBorders>
              <w:tl2br w:val="nil"/>
              <w:tr2bl w:val="nil"/>
            </w:tcBorders>
            <w:vAlign w:val="center"/>
          </w:tcPr>
          <w:p w14:paraId="2657D9D9">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7751F6F1">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33E65E72">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5612C09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防流失情况</w:t>
            </w:r>
          </w:p>
        </w:tc>
        <w:tc>
          <w:tcPr>
            <w:tcW w:w="377" w:type="pct"/>
            <w:tcBorders>
              <w:tl2br w:val="nil"/>
              <w:tr2bl w:val="nil"/>
            </w:tcBorders>
            <w:vAlign w:val="center"/>
          </w:tcPr>
          <w:p w14:paraId="6885C582">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351" w:type="pct"/>
            <w:tcBorders>
              <w:tl2br w:val="nil"/>
              <w:tr2bl w:val="nil"/>
            </w:tcBorders>
            <w:vAlign w:val="center"/>
          </w:tcPr>
          <w:p w14:paraId="4E5C15E1">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09B3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50450BD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17</w:t>
            </w:r>
          </w:p>
        </w:tc>
        <w:tc>
          <w:tcPr>
            <w:tcW w:w="416" w:type="pct"/>
            <w:vMerge w:val="continue"/>
            <w:tcBorders>
              <w:tl2br w:val="nil"/>
              <w:tr2bl w:val="nil"/>
            </w:tcBorders>
            <w:vAlign w:val="center"/>
          </w:tcPr>
          <w:p w14:paraId="158D92AC">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397B7790">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5A3ED659">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0C152BEA">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防渗漏情况</w:t>
            </w:r>
          </w:p>
        </w:tc>
        <w:tc>
          <w:tcPr>
            <w:tcW w:w="377" w:type="pct"/>
            <w:tcBorders>
              <w:tl2br w:val="nil"/>
              <w:tr2bl w:val="nil"/>
            </w:tcBorders>
            <w:vAlign w:val="center"/>
          </w:tcPr>
          <w:p w14:paraId="1CA0C00F">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2.5</w:t>
            </w:r>
          </w:p>
        </w:tc>
        <w:tc>
          <w:tcPr>
            <w:tcW w:w="351" w:type="pct"/>
            <w:tcBorders>
              <w:tl2br w:val="nil"/>
              <w:tr2bl w:val="nil"/>
            </w:tcBorders>
            <w:vAlign w:val="center"/>
          </w:tcPr>
          <w:p w14:paraId="301CB7C3">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4D70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7944EFC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18</w:t>
            </w:r>
          </w:p>
        </w:tc>
        <w:tc>
          <w:tcPr>
            <w:tcW w:w="416" w:type="pct"/>
            <w:vMerge w:val="continue"/>
            <w:tcBorders>
              <w:tl2br w:val="nil"/>
              <w:tr2bl w:val="nil"/>
            </w:tcBorders>
            <w:vAlign w:val="center"/>
          </w:tcPr>
          <w:p w14:paraId="37FF62E2">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6A3C2BE5">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42845803">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3166ECFB">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防扬散情况</w:t>
            </w:r>
          </w:p>
        </w:tc>
        <w:tc>
          <w:tcPr>
            <w:tcW w:w="377" w:type="pct"/>
            <w:tcBorders>
              <w:tl2br w:val="nil"/>
              <w:tr2bl w:val="nil"/>
            </w:tcBorders>
            <w:vAlign w:val="center"/>
          </w:tcPr>
          <w:p w14:paraId="0C6FDE4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351" w:type="pct"/>
            <w:tcBorders>
              <w:tl2br w:val="nil"/>
              <w:tr2bl w:val="nil"/>
            </w:tcBorders>
            <w:vAlign w:val="center"/>
          </w:tcPr>
          <w:p w14:paraId="6A9EA28D">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20DC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004B7156">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19</w:t>
            </w:r>
          </w:p>
        </w:tc>
        <w:tc>
          <w:tcPr>
            <w:tcW w:w="416" w:type="pct"/>
            <w:vMerge w:val="continue"/>
            <w:tcBorders>
              <w:tl2br w:val="nil"/>
              <w:tr2bl w:val="nil"/>
            </w:tcBorders>
            <w:vAlign w:val="center"/>
          </w:tcPr>
          <w:p w14:paraId="6B121E39">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5C6F6E9C">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restart"/>
            <w:tcBorders>
              <w:tl2br w:val="nil"/>
              <w:tr2bl w:val="nil"/>
            </w:tcBorders>
            <w:vAlign w:val="center"/>
          </w:tcPr>
          <w:p w14:paraId="4942CAA6">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环境应急</w:t>
            </w:r>
          </w:p>
        </w:tc>
        <w:tc>
          <w:tcPr>
            <w:tcW w:w="1004" w:type="pct"/>
            <w:vMerge w:val="restart"/>
            <w:tcBorders>
              <w:tl2br w:val="nil"/>
              <w:tr2bl w:val="nil"/>
            </w:tcBorders>
            <w:vAlign w:val="center"/>
          </w:tcPr>
          <w:p w14:paraId="01C06F91">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环境应急设施</w:t>
            </w:r>
          </w:p>
        </w:tc>
        <w:tc>
          <w:tcPr>
            <w:tcW w:w="1053" w:type="pct"/>
            <w:tcBorders>
              <w:tl2br w:val="nil"/>
              <w:tr2bl w:val="nil"/>
            </w:tcBorders>
            <w:vAlign w:val="center"/>
          </w:tcPr>
          <w:p w14:paraId="1A51CDD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事故应急池建设情况</w:t>
            </w:r>
          </w:p>
        </w:tc>
        <w:tc>
          <w:tcPr>
            <w:tcW w:w="377" w:type="pct"/>
            <w:tcBorders>
              <w:tl2br w:val="nil"/>
              <w:tr2bl w:val="nil"/>
            </w:tcBorders>
            <w:vAlign w:val="center"/>
          </w:tcPr>
          <w:p w14:paraId="48FD5314">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351" w:type="pct"/>
            <w:tcBorders>
              <w:tl2br w:val="nil"/>
              <w:tr2bl w:val="nil"/>
            </w:tcBorders>
            <w:vAlign w:val="center"/>
          </w:tcPr>
          <w:p w14:paraId="292567EB">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3534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7B00D519">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20</w:t>
            </w:r>
          </w:p>
        </w:tc>
        <w:tc>
          <w:tcPr>
            <w:tcW w:w="416" w:type="pct"/>
            <w:vMerge w:val="continue"/>
            <w:tcBorders>
              <w:tl2br w:val="nil"/>
              <w:tr2bl w:val="nil"/>
            </w:tcBorders>
            <w:vAlign w:val="center"/>
          </w:tcPr>
          <w:p w14:paraId="35B2A38D">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2304420F">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0EF35107">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04" w:type="pct"/>
            <w:vMerge w:val="continue"/>
            <w:tcBorders>
              <w:tl2br w:val="nil"/>
              <w:tr2bl w:val="nil"/>
            </w:tcBorders>
            <w:vAlign w:val="center"/>
          </w:tcPr>
          <w:p w14:paraId="6385F070">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53" w:type="pct"/>
            <w:tcBorders>
              <w:tl2br w:val="nil"/>
              <w:tr2bl w:val="nil"/>
            </w:tcBorders>
            <w:vAlign w:val="center"/>
          </w:tcPr>
          <w:p w14:paraId="78966132">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输送系统环境应急设施建设情况</w:t>
            </w:r>
          </w:p>
        </w:tc>
        <w:tc>
          <w:tcPr>
            <w:tcW w:w="377" w:type="pct"/>
            <w:tcBorders>
              <w:tl2br w:val="nil"/>
              <w:tr2bl w:val="nil"/>
            </w:tcBorders>
            <w:vAlign w:val="center"/>
          </w:tcPr>
          <w:p w14:paraId="41FE5DBF">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351" w:type="pct"/>
            <w:tcBorders>
              <w:tl2br w:val="nil"/>
              <w:tr2bl w:val="nil"/>
            </w:tcBorders>
            <w:vAlign w:val="center"/>
          </w:tcPr>
          <w:p w14:paraId="6A08D2FB">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5BEA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178AB44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21</w:t>
            </w:r>
          </w:p>
        </w:tc>
        <w:tc>
          <w:tcPr>
            <w:tcW w:w="416" w:type="pct"/>
            <w:vMerge w:val="continue"/>
            <w:tcBorders>
              <w:tl2br w:val="nil"/>
              <w:tr2bl w:val="nil"/>
            </w:tcBorders>
            <w:vAlign w:val="center"/>
          </w:tcPr>
          <w:p w14:paraId="6ABBD7B4">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4C0AF367">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3AC1391F">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04" w:type="pct"/>
            <w:vMerge w:val="continue"/>
            <w:tcBorders>
              <w:tl2br w:val="nil"/>
              <w:tr2bl w:val="nil"/>
            </w:tcBorders>
            <w:vAlign w:val="center"/>
          </w:tcPr>
          <w:p w14:paraId="478E4E3B">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53" w:type="pct"/>
            <w:tcBorders>
              <w:tl2br w:val="nil"/>
              <w:tr2bl w:val="nil"/>
            </w:tcBorders>
            <w:vAlign w:val="center"/>
          </w:tcPr>
          <w:p w14:paraId="0F89996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回水系统环境应急设施建设情况</w:t>
            </w:r>
          </w:p>
        </w:tc>
        <w:tc>
          <w:tcPr>
            <w:tcW w:w="377" w:type="pct"/>
            <w:tcBorders>
              <w:tl2br w:val="nil"/>
              <w:tr2bl w:val="nil"/>
            </w:tcBorders>
            <w:vAlign w:val="center"/>
          </w:tcPr>
          <w:p w14:paraId="325255C4">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1.5</w:t>
            </w:r>
          </w:p>
        </w:tc>
        <w:tc>
          <w:tcPr>
            <w:tcW w:w="351" w:type="pct"/>
            <w:tcBorders>
              <w:tl2br w:val="nil"/>
              <w:tr2bl w:val="nil"/>
            </w:tcBorders>
            <w:vAlign w:val="center"/>
          </w:tcPr>
          <w:p w14:paraId="57E28F38">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3626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1F1C7BD9">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22</w:t>
            </w:r>
          </w:p>
        </w:tc>
        <w:tc>
          <w:tcPr>
            <w:tcW w:w="416" w:type="pct"/>
            <w:vMerge w:val="continue"/>
            <w:tcBorders>
              <w:tl2br w:val="nil"/>
              <w:tr2bl w:val="nil"/>
            </w:tcBorders>
            <w:vAlign w:val="center"/>
          </w:tcPr>
          <w:p w14:paraId="312BFEFA">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28CA5C45">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10AAD415">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7A9EA714">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环境应急预案</w:t>
            </w:r>
          </w:p>
        </w:tc>
        <w:tc>
          <w:tcPr>
            <w:tcW w:w="377" w:type="pct"/>
            <w:tcBorders>
              <w:tl2br w:val="nil"/>
              <w:tr2bl w:val="nil"/>
            </w:tcBorders>
            <w:vAlign w:val="center"/>
          </w:tcPr>
          <w:p w14:paraId="351A2162">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6.5</w:t>
            </w:r>
          </w:p>
        </w:tc>
        <w:tc>
          <w:tcPr>
            <w:tcW w:w="351" w:type="pct"/>
            <w:tcBorders>
              <w:tl2br w:val="nil"/>
              <w:tr2bl w:val="nil"/>
            </w:tcBorders>
            <w:vAlign w:val="center"/>
          </w:tcPr>
          <w:p w14:paraId="4F02AB39">
            <w:pPr>
              <w:pStyle w:val="17"/>
              <w:bidi w:val="0"/>
              <w:ind w:firstLine="0" w:firstLineChars="0"/>
              <w:rPr>
                <w:rFonts w:hint="default" w:ascii="Times New Roman" w:hAnsi="Times New Roman" w:cs="Times New Roman"/>
                <w:bCs/>
                <w:color w:val="auto"/>
                <w:sz w:val="21"/>
                <w:szCs w:val="21"/>
                <w:highlight w:val="none"/>
              </w:rPr>
            </w:pPr>
            <w:r>
              <w:rPr>
                <w:rFonts w:hint="eastAsia"/>
                <w:color w:val="auto"/>
                <w:highlight w:val="none"/>
                <w:lang w:val="en-US" w:eastAsia="zh-CN"/>
              </w:rPr>
              <w:t>0</w:t>
            </w:r>
          </w:p>
        </w:tc>
      </w:tr>
      <w:tr w14:paraId="1FF5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04633F4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23</w:t>
            </w:r>
          </w:p>
        </w:tc>
        <w:tc>
          <w:tcPr>
            <w:tcW w:w="416" w:type="pct"/>
            <w:vMerge w:val="continue"/>
            <w:tcBorders>
              <w:tl2br w:val="nil"/>
              <w:tr2bl w:val="nil"/>
            </w:tcBorders>
            <w:vAlign w:val="center"/>
          </w:tcPr>
          <w:p w14:paraId="616565E7">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1680BEB3">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7B010575">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0D19828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环境应急资源</w:t>
            </w:r>
          </w:p>
        </w:tc>
        <w:tc>
          <w:tcPr>
            <w:tcW w:w="377" w:type="pct"/>
            <w:tcBorders>
              <w:tl2br w:val="nil"/>
              <w:tr2bl w:val="nil"/>
            </w:tcBorders>
            <w:vAlign w:val="center"/>
          </w:tcPr>
          <w:p w14:paraId="3C01BCB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351" w:type="pct"/>
            <w:tcBorders>
              <w:tl2br w:val="nil"/>
              <w:tr2bl w:val="nil"/>
            </w:tcBorders>
            <w:vAlign w:val="center"/>
          </w:tcPr>
          <w:p w14:paraId="1C756E8F">
            <w:pPr>
              <w:pStyle w:val="17"/>
              <w:bidi w:val="0"/>
              <w:ind w:firstLine="0" w:firstLineChars="0"/>
              <w:rPr>
                <w:rFonts w:hint="default" w:ascii="Times New Roman" w:hAnsi="Times New Roman" w:cs="Times New Roman"/>
                <w:bCs/>
                <w:color w:val="auto"/>
                <w:sz w:val="21"/>
                <w:szCs w:val="21"/>
                <w:highlight w:val="none"/>
              </w:rPr>
            </w:pPr>
            <w:r>
              <w:rPr>
                <w:rFonts w:hint="eastAsia"/>
                <w:color w:val="auto"/>
                <w:highlight w:val="none"/>
                <w:lang w:val="en-US" w:eastAsia="zh-CN"/>
              </w:rPr>
              <w:t>0</w:t>
            </w:r>
          </w:p>
        </w:tc>
      </w:tr>
      <w:tr w14:paraId="7005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0AABF05F">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24</w:t>
            </w:r>
          </w:p>
        </w:tc>
        <w:tc>
          <w:tcPr>
            <w:tcW w:w="416" w:type="pct"/>
            <w:vMerge w:val="continue"/>
            <w:tcBorders>
              <w:tl2br w:val="nil"/>
              <w:tr2bl w:val="nil"/>
            </w:tcBorders>
            <w:vAlign w:val="center"/>
          </w:tcPr>
          <w:p w14:paraId="6860F5FC">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3B2F71AA">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5C7D6E2A">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04" w:type="pct"/>
            <w:vMerge w:val="restart"/>
            <w:tcBorders>
              <w:tl2br w:val="nil"/>
              <w:tr2bl w:val="nil"/>
            </w:tcBorders>
            <w:vAlign w:val="center"/>
          </w:tcPr>
          <w:p w14:paraId="2BC0FC1F">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环境监测预警与日常检查</w:t>
            </w:r>
          </w:p>
        </w:tc>
        <w:tc>
          <w:tcPr>
            <w:tcW w:w="1053" w:type="pct"/>
            <w:tcBorders>
              <w:tl2br w:val="nil"/>
              <w:tr2bl w:val="nil"/>
            </w:tcBorders>
            <w:vAlign w:val="center"/>
          </w:tcPr>
          <w:p w14:paraId="7731CE03">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监测预警</w:t>
            </w:r>
          </w:p>
        </w:tc>
        <w:tc>
          <w:tcPr>
            <w:tcW w:w="377" w:type="pct"/>
            <w:tcBorders>
              <w:tl2br w:val="nil"/>
              <w:tr2bl w:val="nil"/>
            </w:tcBorders>
            <w:vAlign w:val="center"/>
          </w:tcPr>
          <w:p w14:paraId="28ABE64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351" w:type="pct"/>
            <w:tcBorders>
              <w:tl2br w:val="nil"/>
              <w:tr2bl w:val="nil"/>
            </w:tcBorders>
            <w:vAlign w:val="center"/>
          </w:tcPr>
          <w:p w14:paraId="5F3348B6">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519D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3FC8E712">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25</w:t>
            </w:r>
          </w:p>
        </w:tc>
        <w:tc>
          <w:tcPr>
            <w:tcW w:w="416" w:type="pct"/>
            <w:vMerge w:val="continue"/>
            <w:tcBorders>
              <w:tl2br w:val="nil"/>
              <w:tr2bl w:val="nil"/>
            </w:tcBorders>
            <w:vAlign w:val="center"/>
          </w:tcPr>
          <w:p w14:paraId="4FC12E29">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3855A830">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0EBBE1B8">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04" w:type="pct"/>
            <w:vMerge w:val="continue"/>
            <w:tcBorders>
              <w:tl2br w:val="nil"/>
              <w:tr2bl w:val="nil"/>
            </w:tcBorders>
            <w:vAlign w:val="center"/>
          </w:tcPr>
          <w:p w14:paraId="7819399B">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53" w:type="pct"/>
            <w:tcBorders>
              <w:tl2br w:val="nil"/>
              <w:tr2bl w:val="nil"/>
            </w:tcBorders>
            <w:vAlign w:val="center"/>
          </w:tcPr>
          <w:p w14:paraId="2F508074">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日常检查</w:t>
            </w:r>
          </w:p>
        </w:tc>
        <w:tc>
          <w:tcPr>
            <w:tcW w:w="377" w:type="pct"/>
            <w:tcBorders>
              <w:tl2br w:val="nil"/>
              <w:tr2bl w:val="nil"/>
            </w:tcBorders>
            <w:vAlign w:val="center"/>
          </w:tcPr>
          <w:p w14:paraId="71FEA1FD">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351" w:type="pct"/>
            <w:tcBorders>
              <w:tl2br w:val="nil"/>
              <w:tr2bl w:val="nil"/>
            </w:tcBorders>
            <w:vAlign w:val="center"/>
          </w:tcPr>
          <w:p w14:paraId="28B919A4">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4E51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2A4F0AA8">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26</w:t>
            </w:r>
          </w:p>
        </w:tc>
        <w:tc>
          <w:tcPr>
            <w:tcW w:w="416" w:type="pct"/>
            <w:vMerge w:val="continue"/>
            <w:tcBorders>
              <w:tl2br w:val="nil"/>
              <w:tr2bl w:val="nil"/>
            </w:tcBorders>
            <w:vAlign w:val="center"/>
          </w:tcPr>
          <w:p w14:paraId="78770CD5">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0269613E">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684E3B17">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04" w:type="pct"/>
            <w:vMerge w:val="restart"/>
            <w:tcBorders>
              <w:tl2br w:val="nil"/>
              <w:tr2bl w:val="nil"/>
            </w:tcBorders>
            <w:vAlign w:val="center"/>
          </w:tcPr>
          <w:p w14:paraId="3C37AB7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环境安全隐患排查与治理</w:t>
            </w:r>
          </w:p>
        </w:tc>
        <w:tc>
          <w:tcPr>
            <w:tcW w:w="1053" w:type="pct"/>
            <w:tcBorders>
              <w:tl2br w:val="nil"/>
              <w:tr2bl w:val="nil"/>
            </w:tcBorders>
            <w:vAlign w:val="center"/>
          </w:tcPr>
          <w:p w14:paraId="298FFD98">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安全隐患排查</w:t>
            </w:r>
          </w:p>
        </w:tc>
        <w:tc>
          <w:tcPr>
            <w:tcW w:w="377" w:type="pct"/>
            <w:tcBorders>
              <w:tl2br w:val="nil"/>
              <w:tr2bl w:val="nil"/>
            </w:tcBorders>
            <w:vAlign w:val="center"/>
          </w:tcPr>
          <w:p w14:paraId="3D36CEF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351" w:type="pct"/>
            <w:tcBorders>
              <w:tl2br w:val="nil"/>
              <w:tr2bl w:val="nil"/>
            </w:tcBorders>
            <w:vAlign w:val="center"/>
          </w:tcPr>
          <w:p w14:paraId="790B00A8">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1169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5966186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27</w:t>
            </w:r>
          </w:p>
        </w:tc>
        <w:tc>
          <w:tcPr>
            <w:tcW w:w="416" w:type="pct"/>
            <w:vMerge w:val="continue"/>
            <w:tcBorders>
              <w:tl2br w:val="nil"/>
              <w:tr2bl w:val="nil"/>
            </w:tcBorders>
            <w:vAlign w:val="center"/>
          </w:tcPr>
          <w:p w14:paraId="3617D8B9">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74366718">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5228635C">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04" w:type="pct"/>
            <w:vMerge w:val="continue"/>
            <w:tcBorders>
              <w:tl2br w:val="nil"/>
              <w:tr2bl w:val="nil"/>
            </w:tcBorders>
            <w:vAlign w:val="center"/>
          </w:tcPr>
          <w:p w14:paraId="7606E3EF">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053" w:type="pct"/>
            <w:tcBorders>
              <w:tl2br w:val="nil"/>
              <w:tr2bl w:val="nil"/>
            </w:tcBorders>
            <w:vAlign w:val="center"/>
          </w:tcPr>
          <w:p w14:paraId="7E50ECC1">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环境安全隐患治理</w:t>
            </w:r>
          </w:p>
        </w:tc>
        <w:tc>
          <w:tcPr>
            <w:tcW w:w="377" w:type="pct"/>
            <w:tcBorders>
              <w:tl2br w:val="nil"/>
              <w:tr2bl w:val="nil"/>
            </w:tcBorders>
            <w:vAlign w:val="center"/>
          </w:tcPr>
          <w:p w14:paraId="0D2081F2">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2.5</w:t>
            </w:r>
          </w:p>
        </w:tc>
        <w:tc>
          <w:tcPr>
            <w:tcW w:w="351" w:type="pct"/>
            <w:tcBorders>
              <w:tl2br w:val="nil"/>
              <w:tr2bl w:val="nil"/>
            </w:tcBorders>
            <w:vAlign w:val="center"/>
          </w:tcPr>
          <w:p w14:paraId="0FE8F823">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23D3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75DF7746">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28</w:t>
            </w:r>
          </w:p>
        </w:tc>
        <w:tc>
          <w:tcPr>
            <w:tcW w:w="416" w:type="pct"/>
            <w:vMerge w:val="continue"/>
            <w:tcBorders>
              <w:tl2br w:val="nil"/>
              <w:tr2bl w:val="nil"/>
            </w:tcBorders>
            <w:vAlign w:val="center"/>
          </w:tcPr>
          <w:p w14:paraId="0E2D2458">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7762F824">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tcBorders>
              <w:tl2br w:val="nil"/>
              <w:tr2bl w:val="nil"/>
            </w:tcBorders>
            <w:vAlign w:val="center"/>
          </w:tcPr>
          <w:p w14:paraId="02791E2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环境违法与环境纠纷情况</w:t>
            </w:r>
          </w:p>
        </w:tc>
        <w:tc>
          <w:tcPr>
            <w:tcW w:w="2058" w:type="pct"/>
            <w:gridSpan w:val="2"/>
            <w:tcBorders>
              <w:tl2br w:val="nil"/>
              <w:tr2bl w:val="nil"/>
            </w:tcBorders>
            <w:vAlign w:val="center"/>
          </w:tcPr>
          <w:p w14:paraId="1BBEAA1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近三年来是否存在环境违法行为或与周边存在环境纠纷</w:t>
            </w:r>
          </w:p>
        </w:tc>
        <w:tc>
          <w:tcPr>
            <w:tcW w:w="377" w:type="pct"/>
            <w:tcBorders>
              <w:tl2br w:val="nil"/>
              <w:tr2bl w:val="nil"/>
            </w:tcBorders>
            <w:vAlign w:val="center"/>
          </w:tcPr>
          <w:p w14:paraId="58695F7E">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w:t>
            </w:r>
          </w:p>
        </w:tc>
        <w:tc>
          <w:tcPr>
            <w:tcW w:w="351" w:type="pct"/>
            <w:tcBorders>
              <w:tl2br w:val="nil"/>
              <w:tr2bl w:val="nil"/>
            </w:tcBorders>
            <w:vAlign w:val="center"/>
          </w:tcPr>
          <w:p w14:paraId="482F6C23">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5206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2204DE4C">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29</w:t>
            </w:r>
          </w:p>
        </w:tc>
        <w:tc>
          <w:tcPr>
            <w:tcW w:w="416" w:type="pct"/>
            <w:vMerge w:val="continue"/>
            <w:tcBorders>
              <w:tl2br w:val="nil"/>
              <w:tr2bl w:val="nil"/>
            </w:tcBorders>
            <w:vAlign w:val="center"/>
          </w:tcPr>
          <w:p w14:paraId="4F2EBC4D">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restart"/>
            <w:tcBorders>
              <w:tl2br w:val="nil"/>
              <w:tr2bl w:val="nil"/>
            </w:tcBorders>
            <w:vAlign w:val="center"/>
          </w:tcPr>
          <w:p w14:paraId="2160224A">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历史事件情况</w:t>
            </w:r>
          </w:p>
        </w:tc>
        <w:tc>
          <w:tcPr>
            <w:tcW w:w="1156" w:type="pct"/>
            <w:vMerge w:val="restart"/>
            <w:tcBorders>
              <w:tl2br w:val="nil"/>
              <w:tr2bl w:val="nil"/>
            </w:tcBorders>
            <w:vAlign w:val="center"/>
          </w:tcPr>
          <w:p w14:paraId="1BBDB6D9">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近三年来发生事故或事件情况（包括安全和环境方面）</w:t>
            </w:r>
          </w:p>
        </w:tc>
        <w:tc>
          <w:tcPr>
            <w:tcW w:w="2058" w:type="pct"/>
            <w:gridSpan w:val="2"/>
            <w:tcBorders>
              <w:tl2br w:val="nil"/>
              <w:tr2bl w:val="nil"/>
            </w:tcBorders>
            <w:vAlign w:val="center"/>
          </w:tcPr>
          <w:p w14:paraId="2328CA50">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事件等级</w:t>
            </w:r>
          </w:p>
        </w:tc>
        <w:tc>
          <w:tcPr>
            <w:tcW w:w="377" w:type="pct"/>
            <w:tcBorders>
              <w:tl2br w:val="nil"/>
              <w:tr2bl w:val="nil"/>
            </w:tcBorders>
            <w:vAlign w:val="center"/>
          </w:tcPr>
          <w:p w14:paraId="5C474DD5">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w:t>
            </w:r>
          </w:p>
        </w:tc>
        <w:tc>
          <w:tcPr>
            <w:tcW w:w="351" w:type="pct"/>
            <w:tcBorders>
              <w:tl2br w:val="nil"/>
              <w:tr2bl w:val="nil"/>
            </w:tcBorders>
            <w:vAlign w:val="center"/>
          </w:tcPr>
          <w:p w14:paraId="39A1FBA0">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3BDF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 w:type="pct"/>
            <w:tcBorders>
              <w:tl2br w:val="nil"/>
              <w:tr2bl w:val="nil"/>
            </w:tcBorders>
            <w:vAlign w:val="center"/>
          </w:tcPr>
          <w:p w14:paraId="257F4AD3">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30</w:t>
            </w:r>
          </w:p>
        </w:tc>
        <w:tc>
          <w:tcPr>
            <w:tcW w:w="416" w:type="pct"/>
            <w:vMerge w:val="continue"/>
            <w:tcBorders>
              <w:tl2br w:val="nil"/>
              <w:tr2bl w:val="nil"/>
            </w:tcBorders>
            <w:vAlign w:val="center"/>
          </w:tcPr>
          <w:p w14:paraId="115C8933">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393" w:type="pct"/>
            <w:vMerge w:val="continue"/>
            <w:tcBorders>
              <w:tl2br w:val="nil"/>
              <w:tr2bl w:val="nil"/>
            </w:tcBorders>
            <w:vAlign w:val="center"/>
          </w:tcPr>
          <w:p w14:paraId="5E854B40">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1156" w:type="pct"/>
            <w:vMerge w:val="continue"/>
            <w:tcBorders>
              <w:tl2br w:val="nil"/>
              <w:tr2bl w:val="nil"/>
            </w:tcBorders>
            <w:vAlign w:val="center"/>
          </w:tcPr>
          <w:p w14:paraId="6AA0E65A">
            <w:pPr>
              <w:spacing w:after="0" w:line="240" w:lineRule="auto"/>
              <w:ind w:firstLine="0" w:firstLineChars="0"/>
              <w:jc w:val="center"/>
              <w:rPr>
                <w:rFonts w:hint="default" w:ascii="Times New Roman" w:hAnsi="Times New Roman" w:cs="Times New Roman"/>
                <w:bCs/>
                <w:color w:val="auto"/>
                <w:sz w:val="21"/>
                <w:szCs w:val="21"/>
                <w:highlight w:val="none"/>
              </w:rPr>
            </w:pPr>
          </w:p>
        </w:tc>
        <w:tc>
          <w:tcPr>
            <w:tcW w:w="2058" w:type="pct"/>
            <w:gridSpan w:val="2"/>
            <w:tcBorders>
              <w:tl2br w:val="nil"/>
              <w:tr2bl w:val="nil"/>
            </w:tcBorders>
            <w:vAlign w:val="center"/>
          </w:tcPr>
          <w:p w14:paraId="2995E243">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事件次数</w:t>
            </w:r>
          </w:p>
        </w:tc>
        <w:tc>
          <w:tcPr>
            <w:tcW w:w="377" w:type="pct"/>
            <w:tcBorders>
              <w:tl2br w:val="nil"/>
              <w:tr2bl w:val="nil"/>
            </w:tcBorders>
            <w:vAlign w:val="center"/>
          </w:tcPr>
          <w:p w14:paraId="368EEA51">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351" w:type="pct"/>
            <w:tcBorders>
              <w:tl2br w:val="nil"/>
              <w:tr2bl w:val="nil"/>
            </w:tcBorders>
            <w:vAlign w:val="center"/>
          </w:tcPr>
          <w:p w14:paraId="1A4F1AB3">
            <w:pPr>
              <w:pStyle w:val="17"/>
              <w:bidi w:val="0"/>
              <w:ind w:firstLine="0" w:firstLineChars="0"/>
              <w:rPr>
                <w:rFonts w:hint="default" w:ascii="Times New Roman" w:hAnsi="Times New Roman" w:cs="Times New Roman"/>
                <w:bCs/>
                <w:color w:val="auto"/>
                <w:sz w:val="21"/>
                <w:szCs w:val="21"/>
                <w:highlight w:val="none"/>
              </w:rPr>
            </w:pPr>
            <w:r>
              <w:rPr>
                <w:color w:val="auto"/>
                <w:highlight w:val="none"/>
              </w:rPr>
              <w:t>0</w:t>
            </w:r>
          </w:p>
        </w:tc>
      </w:tr>
      <w:tr w14:paraId="24D1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48" w:type="pct"/>
            <w:gridSpan w:val="7"/>
            <w:tcBorders>
              <w:tl2br w:val="nil"/>
              <w:tr2bl w:val="nil"/>
            </w:tcBorders>
            <w:vAlign w:val="center"/>
          </w:tcPr>
          <w:p w14:paraId="3D62CB57">
            <w:pPr>
              <w:spacing w:after="0" w:line="240" w:lineRule="auto"/>
              <w:ind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合计</w:t>
            </w:r>
          </w:p>
        </w:tc>
        <w:tc>
          <w:tcPr>
            <w:tcW w:w="351" w:type="pct"/>
            <w:tcBorders>
              <w:tl2br w:val="nil"/>
              <w:tr2bl w:val="nil"/>
            </w:tcBorders>
            <w:vAlign w:val="center"/>
          </w:tcPr>
          <w:p w14:paraId="3E91C8A7">
            <w:pPr>
              <w:pStyle w:val="17"/>
              <w:bidi w:val="0"/>
              <w:ind w:firstLine="0" w:firstLineChars="0"/>
              <w:rPr>
                <w:rFonts w:hint="default" w:ascii="Times New Roman" w:hAnsi="Times New Roman" w:cs="Times New Roman"/>
                <w:bCs/>
                <w:color w:val="auto"/>
                <w:sz w:val="21"/>
                <w:szCs w:val="21"/>
                <w:highlight w:val="none"/>
              </w:rPr>
            </w:pPr>
            <w:r>
              <w:rPr>
                <w:rFonts w:hint="eastAsia"/>
                <w:color w:val="auto"/>
                <w:highlight w:val="none"/>
                <w:lang w:val="en-US" w:eastAsia="zh-CN"/>
              </w:rPr>
              <w:t>7</w:t>
            </w:r>
            <w:r>
              <w:rPr>
                <w:color w:val="auto"/>
                <w:highlight w:val="none"/>
              </w:rPr>
              <w:t>.5</w:t>
            </w:r>
          </w:p>
        </w:tc>
      </w:tr>
    </w:tbl>
    <w:p w14:paraId="08C42B25">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依据尾矿库控制机制可靠性等别划分表，将控制机制可靠性（R）划分为R1、R2、R3三个等别，控制机制可靠性等别划分见表2.6-</w:t>
      </w:r>
      <w:r>
        <w:rPr>
          <w:rFonts w:hint="eastAsia" w:cs="Times New Roman"/>
          <w:color w:val="auto"/>
          <w:highlight w:val="none"/>
          <w:lang w:val="en-US" w:eastAsia="zh-CN"/>
        </w:rPr>
        <w:t>28</w:t>
      </w:r>
      <w:r>
        <w:rPr>
          <w:rFonts w:hint="default" w:ascii="Times New Roman" w:hAnsi="Times New Roman" w:cs="Times New Roman"/>
          <w:color w:val="auto"/>
          <w:highlight w:val="none"/>
        </w:rPr>
        <w:t>。</w:t>
      </w:r>
    </w:p>
    <w:p w14:paraId="74BEE013">
      <w:pPr>
        <w:pStyle w:val="1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表2.6-</w:t>
      </w:r>
      <w:r>
        <w:rPr>
          <w:rFonts w:hint="eastAsia" w:cs="Times New Roman"/>
          <w:color w:val="auto"/>
          <w:highlight w:val="none"/>
          <w:lang w:val="en-US" w:eastAsia="zh-CN"/>
        </w:rPr>
        <w:t>28</w:t>
      </w:r>
      <w:r>
        <w:rPr>
          <w:rFonts w:hint="default" w:ascii="Times New Roman" w:hAnsi="Times New Roman" w:cs="Times New Roman"/>
          <w:color w:val="auto"/>
          <w:highlight w:val="none"/>
        </w:rPr>
        <w:t xml:space="preserve">    尾矿库控制机制可靠性（R）等别划分表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7"/>
        <w:gridCol w:w="4587"/>
      </w:tblGrid>
      <w:tr w14:paraId="7438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14:paraId="11156DE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尾矿库控制机制可靠性（DR）</w:t>
            </w:r>
          </w:p>
        </w:tc>
        <w:tc>
          <w:tcPr>
            <w:tcW w:w="2500" w:type="pct"/>
            <w:vAlign w:val="center"/>
          </w:tcPr>
          <w:p w14:paraId="6405BCE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尾矿库环境危害性（R）等别代码</w:t>
            </w:r>
          </w:p>
        </w:tc>
      </w:tr>
      <w:tr w14:paraId="571D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14:paraId="7A5DB40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DR&gt;60</w:t>
            </w:r>
          </w:p>
        </w:tc>
        <w:tc>
          <w:tcPr>
            <w:tcW w:w="2500" w:type="pct"/>
            <w:vAlign w:val="center"/>
          </w:tcPr>
          <w:p w14:paraId="1368BD6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r>
      <w:tr w14:paraId="7FD7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14:paraId="37370EF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30&lt;DR≦60</w:t>
            </w:r>
          </w:p>
        </w:tc>
        <w:tc>
          <w:tcPr>
            <w:tcW w:w="2500" w:type="pct"/>
            <w:vAlign w:val="center"/>
          </w:tcPr>
          <w:p w14:paraId="7ABFB45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r>
      <w:tr w14:paraId="40A9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pct"/>
            <w:vAlign w:val="center"/>
          </w:tcPr>
          <w:p w14:paraId="7A98097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DR≦30</w:t>
            </w:r>
          </w:p>
        </w:tc>
        <w:tc>
          <w:tcPr>
            <w:tcW w:w="2500" w:type="pct"/>
            <w:vAlign w:val="center"/>
          </w:tcPr>
          <w:p w14:paraId="559B909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r>
    </w:tbl>
    <w:p w14:paraId="07506A9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根据《尾矿库环境风险评估技术导则（试行）》（HJ740-2015）附录D中各指标评分方法，本项目尾矿库得出总得分为</w:t>
      </w:r>
      <w:r>
        <w:rPr>
          <w:rFonts w:hint="default" w:ascii="Times New Roman" w:hAnsi="Times New Roman" w:cs="Times New Roman"/>
          <w:color w:val="auto"/>
          <w:highlight w:val="none"/>
          <w:lang w:val="en-US" w:eastAsia="zh-CN"/>
        </w:rPr>
        <w:t>7.5</w:t>
      </w:r>
      <w:r>
        <w:rPr>
          <w:rFonts w:hint="default" w:ascii="Times New Roman" w:hAnsi="Times New Roman" w:cs="Times New Roman"/>
          <w:color w:val="auto"/>
          <w:highlight w:val="none"/>
        </w:rPr>
        <w:t>，控制机制可靠性等别均为R3。</w:t>
      </w:r>
    </w:p>
    <w:p w14:paraId="7304039E">
      <w:pPr>
        <w:pStyle w:val="19"/>
        <w:bidi w:val="0"/>
        <w:rPr>
          <w:rFonts w:hint="default" w:ascii="Times New Roman" w:hAnsi="Times New Roman" w:cs="Times New Roman"/>
          <w:color w:val="auto"/>
          <w:highlight w:val="none"/>
        </w:rPr>
      </w:pPr>
      <w:r>
        <w:rPr>
          <w:rFonts w:hint="default" w:ascii="Times New Roman" w:hAnsi="Times New Roman" w:cs="Times New Roman"/>
          <w:b/>
          <w:color w:val="auto"/>
          <w:szCs w:val="21"/>
          <w:highlight w:val="none"/>
          <w:lang w:val="zh-CN" w:bidi="ar"/>
        </w:rPr>
        <w:t>表</w:t>
      </w:r>
      <w:r>
        <w:rPr>
          <w:rFonts w:hint="default" w:ascii="Times New Roman" w:hAnsi="Times New Roman" w:cs="Times New Roman"/>
          <w:b/>
          <w:color w:val="auto"/>
          <w:szCs w:val="21"/>
          <w:highlight w:val="none"/>
          <w:lang w:bidi="ar"/>
        </w:rPr>
        <w:t>2.6-</w:t>
      </w:r>
      <w:r>
        <w:rPr>
          <w:rFonts w:hint="eastAsia" w:cs="Times New Roman"/>
          <w:b/>
          <w:color w:val="auto"/>
          <w:szCs w:val="21"/>
          <w:highlight w:val="none"/>
          <w:lang w:val="en-US" w:eastAsia="zh-CN" w:bidi="ar"/>
        </w:rPr>
        <w:t>29</w:t>
      </w:r>
      <w:r>
        <w:rPr>
          <w:rFonts w:hint="default" w:ascii="Times New Roman" w:hAnsi="Times New Roman" w:cs="Times New Roman"/>
          <w:b/>
          <w:color w:val="auto"/>
          <w:szCs w:val="21"/>
          <w:highlight w:val="none"/>
          <w:lang w:bidi="ar"/>
        </w:rPr>
        <w:t xml:space="preserve">    尾矿库环境风险等级划分矩阵</w:t>
      </w:r>
    </w:p>
    <w:tbl>
      <w:tblPr>
        <w:tblStyle w:val="13"/>
        <w:tblW w:w="4999" w:type="pct"/>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Layout w:type="autofit"/>
        <w:tblCellMar>
          <w:top w:w="0" w:type="dxa"/>
          <w:left w:w="108" w:type="dxa"/>
          <w:bottom w:w="0" w:type="dxa"/>
          <w:right w:w="108" w:type="dxa"/>
        </w:tblCellMar>
      </w:tblPr>
      <w:tblGrid>
        <w:gridCol w:w="872"/>
        <w:gridCol w:w="1886"/>
        <w:gridCol w:w="2196"/>
        <w:gridCol w:w="2299"/>
        <w:gridCol w:w="1919"/>
      </w:tblGrid>
      <w:tr w14:paraId="416D1688">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665" w:hRule="atLeast"/>
          <w:tblHeader/>
        </w:trPr>
        <w:tc>
          <w:tcPr>
            <w:tcW w:w="475" w:type="pct"/>
            <w:vMerge w:val="restart"/>
            <w:tcBorders>
              <w:tl2br w:val="nil"/>
              <w:tr2bl w:val="nil"/>
            </w:tcBorders>
            <w:shd w:val="clear" w:color="auto" w:fill="auto"/>
            <w:vAlign w:val="center"/>
          </w:tcPr>
          <w:p w14:paraId="1D386EC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3478" w:type="pct"/>
            <w:gridSpan w:val="3"/>
            <w:tcBorders>
              <w:tl2br w:val="nil"/>
              <w:tr2bl w:val="nil"/>
            </w:tcBorders>
            <w:shd w:val="clear" w:color="auto" w:fill="auto"/>
            <w:vAlign w:val="center"/>
          </w:tcPr>
          <w:p w14:paraId="664E3AE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情形</w:t>
            </w:r>
          </w:p>
        </w:tc>
        <w:tc>
          <w:tcPr>
            <w:tcW w:w="1046" w:type="pct"/>
            <w:vMerge w:val="restart"/>
            <w:tcBorders>
              <w:tl2br w:val="nil"/>
              <w:tr2bl w:val="nil"/>
            </w:tcBorders>
            <w:shd w:val="clear" w:color="auto" w:fill="auto"/>
            <w:vAlign w:val="center"/>
          </w:tcPr>
          <w:p w14:paraId="2AC0D1F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w:t>
            </w:r>
          </w:p>
          <w:p w14:paraId="740EF53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等级</w:t>
            </w:r>
          </w:p>
        </w:tc>
      </w:tr>
      <w:tr w14:paraId="1790717B">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vMerge w:val="continue"/>
            <w:tcBorders>
              <w:tl2br w:val="nil"/>
              <w:tr2bl w:val="nil"/>
            </w:tcBorders>
            <w:shd w:val="clear" w:color="auto" w:fill="auto"/>
            <w:vAlign w:val="center"/>
          </w:tcPr>
          <w:p w14:paraId="0AA5A428">
            <w:pPr>
              <w:pStyle w:val="17"/>
              <w:bidi w:val="0"/>
              <w:rPr>
                <w:rFonts w:hint="default" w:ascii="Times New Roman" w:hAnsi="Times New Roman" w:cs="Times New Roman"/>
                <w:color w:val="auto"/>
                <w:highlight w:val="none"/>
              </w:rPr>
            </w:pPr>
          </w:p>
        </w:tc>
        <w:tc>
          <w:tcPr>
            <w:tcW w:w="1028" w:type="pct"/>
            <w:tcBorders>
              <w:tl2br w:val="nil"/>
              <w:tr2bl w:val="nil"/>
            </w:tcBorders>
            <w:shd w:val="clear" w:color="auto" w:fill="auto"/>
            <w:vAlign w:val="center"/>
          </w:tcPr>
          <w:p w14:paraId="482FB46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环境危害性（H）</w:t>
            </w:r>
          </w:p>
        </w:tc>
        <w:tc>
          <w:tcPr>
            <w:tcW w:w="1197" w:type="pct"/>
            <w:tcBorders>
              <w:tl2br w:val="nil"/>
              <w:tr2bl w:val="nil"/>
            </w:tcBorders>
            <w:shd w:val="clear" w:color="auto" w:fill="auto"/>
            <w:vAlign w:val="center"/>
          </w:tcPr>
          <w:p w14:paraId="686E758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周边环境敏感性（S）</w:t>
            </w:r>
          </w:p>
        </w:tc>
        <w:tc>
          <w:tcPr>
            <w:tcW w:w="1253" w:type="pct"/>
            <w:tcBorders>
              <w:tl2br w:val="nil"/>
              <w:tr2bl w:val="nil"/>
            </w:tcBorders>
            <w:shd w:val="clear" w:color="auto" w:fill="auto"/>
            <w:vAlign w:val="center"/>
          </w:tcPr>
          <w:p w14:paraId="146CB3F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控制机制可靠性（R）</w:t>
            </w:r>
          </w:p>
        </w:tc>
        <w:tc>
          <w:tcPr>
            <w:tcW w:w="1046" w:type="pct"/>
            <w:vMerge w:val="continue"/>
            <w:tcBorders>
              <w:tl2br w:val="nil"/>
              <w:tr2bl w:val="nil"/>
            </w:tcBorders>
            <w:shd w:val="clear" w:color="auto" w:fill="auto"/>
            <w:vAlign w:val="center"/>
          </w:tcPr>
          <w:p w14:paraId="235B245A">
            <w:pPr>
              <w:pStyle w:val="17"/>
              <w:bidi w:val="0"/>
              <w:rPr>
                <w:rFonts w:hint="default" w:ascii="Times New Roman" w:hAnsi="Times New Roman" w:cs="Times New Roman"/>
                <w:color w:val="auto"/>
                <w:highlight w:val="none"/>
              </w:rPr>
            </w:pPr>
          </w:p>
        </w:tc>
      </w:tr>
      <w:tr w14:paraId="1D58B683">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15A7E73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1028" w:type="pct"/>
            <w:vMerge w:val="restart"/>
            <w:tcBorders>
              <w:tl2br w:val="nil"/>
              <w:tr2bl w:val="nil"/>
            </w:tcBorders>
            <w:shd w:val="clear" w:color="auto" w:fill="auto"/>
            <w:vAlign w:val="center"/>
          </w:tcPr>
          <w:p w14:paraId="32CA7DA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H1</w:t>
            </w:r>
          </w:p>
        </w:tc>
        <w:tc>
          <w:tcPr>
            <w:tcW w:w="1197" w:type="pct"/>
            <w:vMerge w:val="restart"/>
            <w:tcBorders>
              <w:tl2br w:val="nil"/>
              <w:tr2bl w:val="nil"/>
            </w:tcBorders>
            <w:shd w:val="clear" w:color="auto" w:fill="auto"/>
            <w:vAlign w:val="center"/>
          </w:tcPr>
          <w:p w14:paraId="3CB13F3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S1</w:t>
            </w:r>
          </w:p>
        </w:tc>
        <w:tc>
          <w:tcPr>
            <w:tcW w:w="1253" w:type="pct"/>
            <w:tcBorders>
              <w:tl2br w:val="nil"/>
              <w:tr2bl w:val="nil"/>
            </w:tcBorders>
            <w:shd w:val="clear" w:color="auto" w:fill="auto"/>
            <w:vAlign w:val="center"/>
          </w:tcPr>
          <w:p w14:paraId="03D81A9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62455E9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重大</w:t>
            </w:r>
          </w:p>
        </w:tc>
      </w:tr>
      <w:tr w14:paraId="0C5B8738">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43A2E14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1028" w:type="pct"/>
            <w:vMerge w:val="continue"/>
            <w:tcBorders>
              <w:tl2br w:val="nil"/>
              <w:tr2bl w:val="nil"/>
            </w:tcBorders>
            <w:shd w:val="clear" w:color="auto" w:fill="auto"/>
            <w:vAlign w:val="center"/>
          </w:tcPr>
          <w:p w14:paraId="76B1C82B">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63AF3345">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153B20E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4939ACB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重大</w:t>
            </w:r>
          </w:p>
        </w:tc>
      </w:tr>
      <w:tr w14:paraId="7BEAEFC8">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6847AE7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1028" w:type="pct"/>
            <w:vMerge w:val="continue"/>
            <w:tcBorders>
              <w:tl2br w:val="nil"/>
              <w:tr2bl w:val="nil"/>
            </w:tcBorders>
            <w:shd w:val="clear" w:color="auto" w:fill="auto"/>
            <w:vAlign w:val="center"/>
          </w:tcPr>
          <w:p w14:paraId="38BAB826">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72D2B976">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7E7F8A4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6C1BC43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253F8A8C">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7F0BB00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1028" w:type="pct"/>
            <w:vMerge w:val="continue"/>
            <w:tcBorders>
              <w:tl2br w:val="nil"/>
              <w:tr2bl w:val="nil"/>
            </w:tcBorders>
            <w:shd w:val="clear" w:color="auto" w:fill="auto"/>
            <w:vAlign w:val="center"/>
          </w:tcPr>
          <w:p w14:paraId="443583B3">
            <w:pPr>
              <w:pStyle w:val="17"/>
              <w:bidi w:val="0"/>
              <w:rPr>
                <w:rFonts w:hint="default" w:ascii="Times New Roman" w:hAnsi="Times New Roman" w:cs="Times New Roman"/>
                <w:color w:val="auto"/>
                <w:highlight w:val="none"/>
              </w:rPr>
            </w:pPr>
          </w:p>
        </w:tc>
        <w:tc>
          <w:tcPr>
            <w:tcW w:w="1197" w:type="pct"/>
            <w:vMerge w:val="restart"/>
            <w:tcBorders>
              <w:tl2br w:val="nil"/>
              <w:tr2bl w:val="nil"/>
            </w:tcBorders>
            <w:shd w:val="clear" w:color="auto" w:fill="auto"/>
            <w:vAlign w:val="center"/>
          </w:tcPr>
          <w:p w14:paraId="3ACD594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S2</w:t>
            </w:r>
          </w:p>
        </w:tc>
        <w:tc>
          <w:tcPr>
            <w:tcW w:w="1253" w:type="pct"/>
            <w:tcBorders>
              <w:tl2br w:val="nil"/>
              <w:tr2bl w:val="nil"/>
            </w:tcBorders>
            <w:shd w:val="clear" w:color="auto" w:fill="auto"/>
            <w:vAlign w:val="center"/>
          </w:tcPr>
          <w:p w14:paraId="465A088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6D1AA17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重大</w:t>
            </w:r>
          </w:p>
        </w:tc>
      </w:tr>
      <w:tr w14:paraId="351C8670">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5F197E9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5</w:t>
            </w:r>
          </w:p>
        </w:tc>
        <w:tc>
          <w:tcPr>
            <w:tcW w:w="1028" w:type="pct"/>
            <w:vMerge w:val="continue"/>
            <w:tcBorders>
              <w:tl2br w:val="nil"/>
              <w:tr2bl w:val="nil"/>
            </w:tcBorders>
            <w:shd w:val="clear" w:color="auto" w:fill="auto"/>
            <w:vAlign w:val="center"/>
          </w:tcPr>
          <w:p w14:paraId="0BFD6018">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12434FD2">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5516179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3567754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78376C78">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5763F07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6</w:t>
            </w:r>
          </w:p>
        </w:tc>
        <w:tc>
          <w:tcPr>
            <w:tcW w:w="1028" w:type="pct"/>
            <w:vMerge w:val="continue"/>
            <w:tcBorders>
              <w:tl2br w:val="nil"/>
              <w:tr2bl w:val="nil"/>
            </w:tcBorders>
            <w:shd w:val="clear" w:color="auto" w:fill="auto"/>
            <w:vAlign w:val="center"/>
          </w:tcPr>
          <w:p w14:paraId="33F7E9D5">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200F5F15">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4511683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38F115A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22B94E40">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471DA6B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7</w:t>
            </w:r>
          </w:p>
        </w:tc>
        <w:tc>
          <w:tcPr>
            <w:tcW w:w="1028" w:type="pct"/>
            <w:vMerge w:val="continue"/>
            <w:tcBorders>
              <w:tl2br w:val="nil"/>
              <w:tr2bl w:val="nil"/>
            </w:tcBorders>
            <w:shd w:val="clear" w:color="auto" w:fill="auto"/>
            <w:vAlign w:val="center"/>
          </w:tcPr>
          <w:p w14:paraId="4B6C07DF">
            <w:pPr>
              <w:pStyle w:val="17"/>
              <w:bidi w:val="0"/>
              <w:rPr>
                <w:rFonts w:hint="default" w:ascii="Times New Roman" w:hAnsi="Times New Roman" w:cs="Times New Roman"/>
                <w:color w:val="auto"/>
                <w:highlight w:val="none"/>
              </w:rPr>
            </w:pPr>
          </w:p>
        </w:tc>
        <w:tc>
          <w:tcPr>
            <w:tcW w:w="1197" w:type="pct"/>
            <w:vMerge w:val="restart"/>
            <w:tcBorders>
              <w:tl2br w:val="nil"/>
              <w:tr2bl w:val="nil"/>
            </w:tcBorders>
            <w:shd w:val="clear" w:color="auto" w:fill="auto"/>
            <w:vAlign w:val="center"/>
          </w:tcPr>
          <w:p w14:paraId="22DCC5F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S3</w:t>
            </w:r>
          </w:p>
        </w:tc>
        <w:tc>
          <w:tcPr>
            <w:tcW w:w="1253" w:type="pct"/>
            <w:tcBorders>
              <w:tl2br w:val="nil"/>
              <w:tr2bl w:val="nil"/>
            </w:tcBorders>
            <w:shd w:val="clear" w:color="auto" w:fill="auto"/>
            <w:vAlign w:val="center"/>
          </w:tcPr>
          <w:p w14:paraId="48298FB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1697DA3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重大</w:t>
            </w:r>
          </w:p>
        </w:tc>
      </w:tr>
      <w:tr w14:paraId="274E5ED2">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5562677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8</w:t>
            </w:r>
          </w:p>
        </w:tc>
        <w:tc>
          <w:tcPr>
            <w:tcW w:w="1028" w:type="pct"/>
            <w:vMerge w:val="continue"/>
            <w:tcBorders>
              <w:tl2br w:val="nil"/>
              <w:tr2bl w:val="nil"/>
            </w:tcBorders>
            <w:shd w:val="clear" w:color="auto" w:fill="auto"/>
            <w:vAlign w:val="center"/>
          </w:tcPr>
          <w:p w14:paraId="2D9F76A5">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26368545">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7C71055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4BF1EC9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7F7C759E">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3629400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9</w:t>
            </w:r>
          </w:p>
        </w:tc>
        <w:tc>
          <w:tcPr>
            <w:tcW w:w="1028" w:type="pct"/>
            <w:vMerge w:val="continue"/>
            <w:tcBorders>
              <w:tl2br w:val="nil"/>
              <w:tr2bl w:val="nil"/>
            </w:tcBorders>
            <w:shd w:val="clear" w:color="auto" w:fill="auto"/>
            <w:vAlign w:val="center"/>
          </w:tcPr>
          <w:p w14:paraId="377184C0">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319FDB74">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45C67EF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21381E2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5A2AD000">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0308E85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10</w:t>
            </w:r>
          </w:p>
        </w:tc>
        <w:tc>
          <w:tcPr>
            <w:tcW w:w="1028" w:type="pct"/>
            <w:vMerge w:val="restart"/>
            <w:tcBorders>
              <w:tl2br w:val="nil"/>
              <w:tr2bl w:val="nil"/>
            </w:tcBorders>
            <w:shd w:val="clear" w:color="auto" w:fill="auto"/>
            <w:vAlign w:val="center"/>
          </w:tcPr>
          <w:p w14:paraId="1871AC9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H2</w:t>
            </w:r>
          </w:p>
        </w:tc>
        <w:tc>
          <w:tcPr>
            <w:tcW w:w="1197" w:type="pct"/>
            <w:vMerge w:val="restart"/>
            <w:tcBorders>
              <w:tl2br w:val="nil"/>
              <w:tr2bl w:val="nil"/>
            </w:tcBorders>
            <w:shd w:val="clear" w:color="auto" w:fill="auto"/>
            <w:vAlign w:val="center"/>
          </w:tcPr>
          <w:p w14:paraId="037DED1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S1</w:t>
            </w:r>
          </w:p>
        </w:tc>
        <w:tc>
          <w:tcPr>
            <w:tcW w:w="1253" w:type="pct"/>
            <w:tcBorders>
              <w:tl2br w:val="nil"/>
              <w:tr2bl w:val="nil"/>
            </w:tcBorders>
            <w:shd w:val="clear" w:color="auto" w:fill="auto"/>
            <w:vAlign w:val="center"/>
          </w:tcPr>
          <w:p w14:paraId="69506E8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32F4BFC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重大</w:t>
            </w:r>
          </w:p>
        </w:tc>
      </w:tr>
      <w:tr w14:paraId="55B8B2BF">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102589F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11</w:t>
            </w:r>
          </w:p>
        </w:tc>
        <w:tc>
          <w:tcPr>
            <w:tcW w:w="1028" w:type="pct"/>
            <w:vMerge w:val="continue"/>
            <w:tcBorders>
              <w:tl2br w:val="nil"/>
              <w:tr2bl w:val="nil"/>
            </w:tcBorders>
            <w:shd w:val="clear" w:color="auto" w:fill="auto"/>
            <w:vAlign w:val="center"/>
          </w:tcPr>
          <w:p w14:paraId="272A2273">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546ED8DD">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6D15904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398668E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2C9D6F42">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6304D75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12</w:t>
            </w:r>
          </w:p>
        </w:tc>
        <w:tc>
          <w:tcPr>
            <w:tcW w:w="1028" w:type="pct"/>
            <w:vMerge w:val="continue"/>
            <w:tcBorders>
              <w:tl2br w:val="nil"/>
              <w:tr2bl w:val="nil"/>
            </w:tcBorders>
            <w:shd w:val="clear" w:color="auto" w:fill="auto"/>
            <w:vAlign w:val="center"/>
          </w:tcPr>
          <w:p w14:paraId="558988B2">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35BDE5E2">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27010BA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49A48E7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5BB7992A">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4D1AB01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13</w:t>
            </w:r>
          </w:p>
        </w:tc>
        <w:tc>
          <w:tcPr>
            <w:tcW w:w="1028" w:type="pct"/>
            <w:vMerge w:val="continue"/>
            <w:tcBorders>
              <w:tl2br w:val="nil"/>
              <w:tr2bl w:val="nil"/>
            </w:tcBorders>
            <w:shd w:val="clear" w:color="auto" w:fill="auto"/>
            <w:vAlign w:val="center"/>
          </w:tcPr>
          <w:p w14:paraId="163FE27A">
            <w:pPr>
              <w:pStyle w:val="17"/>
              <w:bidi w:val="0"/>
              <w:rPr>
                <w:rFonts w:hint="default" w:ascii="Times New Roman" w:hAnsi="Times New Roman" w:cs="Times New Roman"/>
                <w:color w:val="auto"/>
                <w:highlight w:val="none"/>
              </w:rPr>
            </w:pPr>
          </w:p>
        </w:tc>
        <w:tc>
          <w:tcPr>
            <w:tcW w:w="1197" w:type="pct"/>
            <w:vMerge w:val="restart"/>
            <w:tcBorders>
              <w:tl2br w:val="nil"/>
              <w:tr2bl w:val="nil"/>
            </w:tcBorders>
            <w:shd w:val="clear" w:color="auto" w:fill="auto"/>
            <w:vAlign w:val="center"/>
          </w:tcPr>
          <w:p w14:paraId="7BD1D07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S2</w:t>
            </w:r>
          </w:p>
        </w:tc>
        <w:tc>
          <w:tcPr>
            <w:tcW w:w="1253" w:type="pct"/>
            <w:tcBorders>
              <w:tl2br w:val="nil"/>
              <w:tr2bl w:val="nil"/>
            </w:tcBorders>
            <w:shd w:val="clear" w:color="auto" w:fill="auto"/>
            <w:vAlign w:val="center"/>
          </w:tcPr>
          <w:p w14:paraId="047FE7C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05D64F0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4F971AB4">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0C32CFF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14</w:t>
            </w:r>
          </w:p>
        </w:tc>
        <w:tc>
          <w:tcPr>
            <w:tcW w:w="1028" w:type="pct"/>
            <w:vMerge w:val="continue"/>
            <w:tcBorders>
              <w:tl2br w:val="nil"/>
              <w:tr2bl w:val="nil"/>
            </w:tcBorders>
            <w:shd w:val="clear" w:color="auto" w:fill="auto"/>
            <w:vAlign w:val="center"/>
          </w:tcPr>
          <w:p w14:paraId="13B95F9A">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59633FEA">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55DF698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5C24088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3304A577">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06812FE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15</w:t>
            </w:r>
          </w:p>
        </w:tc>
        <w:tc>
          <w:tcPr>
            <w:tcW w:w="1028" w:type="pct"/>
            <w:vMerge w:val="continue"/>
            <w:tcBorders>
              <w:tl2br w:val="nil"/>
              <w:tr2bl w:val="nil"/>
            </w:tcBorders>
            <w:shd w:val="clear" w:color="auto" w:fill="auto"/>
            <w:vAlign w:val="center"/>
          </w:tcPr>
          <w:p w14:paraId="73479670">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380E12DC">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6BCA800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1005C47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5A7CBD8B">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26E2BE2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16</w:t>
            </w:r>
          </w:p>
        </w:tc>
        <w:tc>
          <w:tcPr>
            <w:tcW w:w="1028" w:type="pct"/>
            <w:vMerge w:val="continue"/>
            <w:tcBorders>
              <w:tl2br w:val="nil"/>
              <w:tr2bl w:val="nil"/>
            </w:tcBorders>
            <w:shd w:val="clear" w:color="auto" w:fill="auto"/>
            <w:vAlign w:val="center"/>
          </w:tcPr>
          <w:p w14:paraId="187DAE57">
            <w:pPr>
              <w:pStyle w:val="17"/>
              <w:bidi w:val="0"/>
              <w:rPr>
                <w:rFonts w:hint="default" w:ascii="Times New Roman" w:hAnsi="Times New Roman" w:cs="Times New Roman"/>
                <w:color w:val="auto"/>
                <w:highlight w:val="none"/>
              </w:rPr>
            </w:pPr>
          </w:p>
        </w:tc>
        <w:tc>
          <w:tcPr>
            <w:tcW w:w="1197" w:type="pct"/>
            <w:vMerge w:val="restart"/>
            <w:tcBorders>
              <w:tl2br w:val="nil"/>
              <w:tr2bl w:val="nil"/>
            </w:tcBorders>
            <w:shd w:val="clear" w:color="auto" w:fill="auto"/>
            <w:vAlign w:val="center"/>
          </w:tcPr>
          <w:p w14:paraId="481CF71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S3</w:t>
            </w:r>
          </w:p>
        </w:tc>
        <w:tc>
          <w:tcPr>
            <w:tcW w:w="1253" w:type="pct"/>
            <w:tcBorders>
              <w:tl2br w:val="nil"/>
              <w:tr2bl w:val="nil"/>
            </w:tcBorders>
            <w:shd w:val="clear" w:color="auto" w:fill="auto"/>
            <w:vAlign w:val="center"/>
          </w:tcPr>
          <w:p w14:paraId="26CED5B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1A3BF73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62EF783A">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37078CA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17</w:t>
            </w:r>
          </w:p>
        </w:tc>
        <w:tc>
          <w:tcPr>
            <w:tcW w:w="1028" w:type="pct"/>
            <w:vMerge w:val="continue"/>
            <w:tcBorders>
              <w:tl2br w:val="nil"/>
              <w:tr2bl w:val="nil"/>
            </w:tcBorders>
            <w:shd w:val="clear" w:color="auto" w:fill="auto"/>
            <w:vAlign w:val="center"/>
          </w:tcPr>
          <w:p w14:paraId="44460EA5">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3ECFD6B3">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4E8EBAA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074F57F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69B86FDD">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2E4D72F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18</w:t>
            </w:r>
          </w:p>
        </w:tc>
        <w:tc>
          <w:tcPr>
            <w:tcW w:w="1028" w:type="pct"/>
            <w:vMerge w:val="continue"/>
            <w:tcBorders>
              <w:tl2br w:val="nil"/>
              <w:tr2bl w:val="nil"/>
            </w:tcBorders>
            <w:shd w:val="clear" w:color="auto" w:fill="auto"/>
            <w:vAlign w:val="center"/>
          </w:tcPr>
          <w:p w14:paraId="4477BA66">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013AB3BD">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4C7AEDA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542FF8A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60DA1AF1">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67F5578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19</w:t>
            </w:r>
          </w:p>
        </w:tc>
        <w:tc>
          <w:tcPr>
            <w:tcW w:w="1028" w:type="pct"/>
            <w:vMerge w:val="restart"/>
            <w:tcBorders>
              <w:tl2br w:val="nil"/>
              <w:tr2bl w:val="nil"/>
            </w:tcBorders>
            <w:shd w:val="clear" w:color="auto" w:fill="auto"/>
            <w:vAlign w:val="center"/>
          </w:tcPr>
          <w:p w14:paraId="6A9AD71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H3</w:t>
            </w:r>
          </w:p>
        </w:tc>
        <w:tc>
          <w:tcPr>
            <w:tcW w:w="1197" w:type="pct"/>
            <w:vMerge w:val="restart"/>
            <w:tcBorders>
              <w:tl2br w:val="nil"/>
              <w:tr2bl w:val="nil"/>
            </w:tcBorders>
            <w:shd w:val="clear" w:color="auto" w:fill="auto"/>
            <w:vAlign w:val="center"/>
          </w:tcPr>
          <w:p w14:paraId="35D06E5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S1</w:t>
            </w:r>
          </w:p>
        </w:tc>
        <w:tc>
          <w:tcPr>
            <w:tcW w:w="1253" w:type="pct"/>
            <w:tcBorders>
              <w:tl2br w:val="nil"/>
              <w:tr2bl w:val="nil"/>
            </w:tcBorders>
            <w:shd w:val="clear" w:color="auto" w:fill="auto"/>
            <w:vAlign w:val="center"/>
          </w:tcPr>
          <w:p w14:paraId="2C23F0F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33C51CC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1DF6849C">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0333AF8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20</w:t>
            </w:r>
          </w:p>
        </w:tc>
        <w:tc>
          <w:tcPr>
            <w:tcW w:w="1028" w:type="pct"/>
            <w:vMerge w:val="continue"/>
            <w:tcBorders>
              <w:tl2br w:val="nil"/>
              <w:tr2bl w:val="nil"/>
            </w:tcBorders>
            <w:shd w:val="clear" w:color="auto" w:fill="auto"/>
            <w:vAlign w:val="center"/>
          </w:tcPr>
          <w:p w14:paraId="6A015184">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5A03AB65">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042CBAC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22084EE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较大</w:t>
            </w:r>
          </w:p>
        </w:tc>
      </w:tr>
      <w:tr w14:paraId="561BAF66">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4F776EC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21</w:t>
            </w:r>
          </w:p>
        </w:tc>
        <w:tc>
          <w:tcPr>
            <w:tcW w:w="1028" w:type="pct"/>
            <w:vMerge w:val="continue"/>
            <w:tcBorders>
              <w:tl2br w:val="nil"/>
              <w:tr2bl w:val="nil"/>
            </w:tcBorders>
            <w:shd w:val="clear" w:color="auto" w:fill="auto"/>
            <w:vAlign w:val="center"/>
          </w:tcPr>
          <w:p w14:paraId="6643CFAC">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31598E3B">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431A1E2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1106A25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6ED9999A">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77E2349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22</w:t>
            </w:r>
          </w:p>
        </w:tc>
        <w:tc>
          <w:tcPr>
            <w:tcW w:w="1028" w:type="pct"/>
            <w:vMerge w:val="continue"/>
            <w:tcBorders>
              <w:tl2br w:val="nil"/>
              <w:tr2bl w:val="nil"/>
            </w:tcBorders>
            <w:shd w:val="clear" w:color="auto" w:fill="auto"/>
            <w:vAlign w:val="center"/>
          </w:tcPr>
          <w:p w14:paraId="5A161146">
            <w:pPr>
              <w:pStyle w:val="17"/>
              <w:bidi w:val="0"/>
              <w:rPr>
                <w:rFonts w:hint="default" w:ascii="Times New Roman" w:hAnsi="Times New Roman" w:cs="Times New Roman"/>
                <w:color w:val="auto"/>
                <w:highlight w:val="none"/>
              </w:rPr>
            </w:pPr>
          </w:p>
        </w:tc>
        <w:tc>
          <w:tcPr>
            <w:tcW w:w="1197" w:type="pct"/>
            <w:vMerge w:val="restart"/>
            <w:tcBorders>
              <w:tl2br w:val="nil"/>
              <w:tr2bl w:val="nil"/>
            </w:tcBorders>
            <w:shd w:val="clear" w:color="auto" w:fill="auto"/>
            <w:vAlign w:val="center"/>
          </w:tcPr>
          <w:p w14:paraId="6508A3E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S2</w:t>
            </w:r>
          </w:p>
        </w:tc>
        <w:tc>
          <w:tcPr>
            <w:tcW w:w="1253" w:type="pct"/>
            <w:tcBorders>
              <w:tl2br w:val="nil"/>
              <w:tr2bl w:val="nil"/>
            </w:tcBorders>
            <w:shd w:val="clear" w:color="auto" w:fill="auto"/>
            <w:vAlign w:val="center"/>
          </w:tcPr>
          <w:p w14:paraId="00AE346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14C6665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4E36081A">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3EAB04F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23</w:t>
            </w:r>
          </w:p>
        </w:tc>
        <w:tc>
          <w:tcPr>
            <w:tcW w:w="1028" w:type="pct"/>
            <w:vMerge w:val="continue"/>
            <w:tcBorders>
              <w:tl2br w:val="nil"/>
              <w:tr2bl w:val="nil"/>
            </w:tcBorders>
            <w:shd w:val="clear" w:color="auto" w:fill="auto"/>
            <w:vAlign w:val="center"/>
          </w:tcPr>
          <w:p w14:paraId="574D41D1">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3B026EDF">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19F5D0A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2874022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240143AC">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07D44B9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24</w:t>
            </w:r>
          </w:p>
        </w:tc>
        <w:tc>
          <w:tcPr>
            <w:tcW w:w="1028" w:type="pct"/>
            <w:vMerge w:val="continue"/>
            <w:tcBorders>
              <w:tl2br w:val="nil"/>
              <w:tr2bl w:val="nil"/>
            </w:tcBorders>
            <w:shd w:val="clear" w:color="auto" w:fill="auto"/>
            <w:vAlign w:val="center"/>
          </w:tcPr>
          <w:p w14:paraId="019E677E">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5DC2A4AA">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12F1088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11FAFE7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74E63A12">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4F22533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25</w:t>
            </w:r>
          </w:p>
        </w:tc>
        <w:tc>
          <w:tcPr>
            <w:tcW w:w="1028" w:type="pct"/>
            <w:vMerge w:val="continue"/>
            <w:tcBorders>
              <w:tl2br w:val="nil"/>
              <w:tr2bl w:val="nil"/>
            </w:tcBorders>
            <w:shd w:val="clear" w:color="auto" w:fill="auto"/>
            <w:vAlign w:val="center"/>
          </w:tcPr>
          <w:p w14:paraId="0B4E33C2">
            <w:pPr>
              <w:pStyle w:val="17"/>
              <w:bidi w:val="0"/>
              <w:rPr>
                <w:rFonts w:hint="default" w:ascii="Times New Roman" w:hAnsi="Times New Roman" w:cs="Times New Roman"/>
                <w:color w:val="auto"/>
                <w:highlight w:val="none"/>
              </w:rPr>
            </w:pPr>
          </w:p>
        </w:tc>
        <w:tc>
          <w:tcPr>
            <w:tcW w:w="1197" w:type="pct"/>
            <w:vMerge w:val="restart"/>
            <w:tcBorders>
              <w:tl2br w:val="nil"/>
              <w:tr2bl w:val="nil"/>
            </w:tcBorders>
            <w:shd w:val="clear" w:color="auto" w:fill="auto"/>
            <w:vAlign w:val="center"/>
          </w:tcPr>
          <w:p w14:paraId="4DA955A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S3</w:t>
            </w:r>
          </w:p>
        </w:tc>
        <w:tc>
          <w:tcPr>
            <w:tcW w:w="1253" w:type="pct"/>
            <w:tcBorders>
              <w:tl2br w:val="nil"/>
              <w:tr2bl w:val="nil"/>
            </w:tcBorders>
            <w:shd w:val="clear" w:color="auto" w:fill="auto"/>
            <w:vAlign w:val="center"/>
          </w:tcPr>
          <w:p w14:paraId="588005F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R1</w:t>
            </w:r>
          </w:p>
        </w:tc>
        <w:tc>
          <w:tcPr>
            <w:tcW w:w="1046" w:type="pct"/>
            <w:tcBorders>
              <w:tl2br w:val="nil"/>
              <w:tr2bl w:val="nil"/>
            </w:tcBorders>
            <w:shd w:val="clear" w:color="auto" w:fill="auto"/>
            <w:vAlign w:val="center"/>
          </w:tcPr>
          <w:p w14:paraId="60783E0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6E3DE1CA">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0A0093BD">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26</w:t>
            </w:r>
          </w:p>
        </w:tc>
        <w:tc>
          <w:tcPr>
            <w:tcW w:w="1028" w:type="pct"/>
            <w:vMerge w:val="continue"/>
            <w:tcBorders>
              <w:tl2br w:val="nil"/>
              <w:tr2bl w:val="nil"/>
            </w:tcBorders>
            <w:shd w:val="clear" w:color="auto" w:fill="auto"/>
            <w:vAlign w:val="center"/>
          </w:tcPr>
          <w:p w14:paraId="2A7B86A5">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1F6A0C4E">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7556349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R2</w:t>
            </w:r>
          </w:p>
        </w:tc>
        <w:tc>
          <w:tcPr>
            <w:tcW w:w="1046" w:type="pct"/>
            <w:tcBorders>
              <w:tl2br w:val="nil"/>
              <w:tr2bl w:val="nil"/>
            </w:tcBorders>
            <w:shd w:val="clear" w:color="auto" w:fill="auto"/>
            <w:vAlign w:val="center"/>
          </w:tcPr>
          <w:p w14:paraId="511B89D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r w14:paraId="0A87DE06">
        <w:tblPrEx>
          <w:tblBorders>
            <w:top w:val="single" w:color="auto" w:sz="4" w:space="0"/>
            <w:left w:val="single" w:color="auto" w:sz="4" w:space="0"/>
            <w:bottom w:val="single" w:color="auto" w:sz="4" w:space="0"/>
            <w:right w:val="single" w:color="auto" w:sz="4" w:space="0"/>
            <w:insideH w:val="single" w:color="000000" w:sz="4" w:space="0"/>
            <w:insideV w:val="single" w:color="000000" w:sz="6" w:space="0"/>
          </w:tblBorders>
          <w:tblCellMar>
            <w:top w:w="0" w:type="dxa"/>
            <w:left w:w="108" w:type="dxa"/>
            <w:bottom w:w="0" w:type="dxa"/>
            <w:right w:w="108" w:type="dxa"/>
          </w:tblCellMar>
        </w:tblPrEx>
        <w:trPr>
          <w:trHeight w:val="340" w:hRule="atLeast"/>
        </w:trPr>
        <w:tc>
          <w:tcPr>
            <w:tcW w:w="475" w:type="pct"/>
            <w:tcBorders>
              <w:tl2br w:val="nil"/>
              <w:tr2bl w:val="nil"/>
            </w:tcBorders>
            <w:shd w:val="clear" w:color="auto" w:fill="auto"/>
            <w:vAlign w:val="center"/>
          </w:tcPr>
          <w:p w14:paraId="2CC272C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27</w:t>
            </w:r>
          </w:p>
        </w:tc>
        <w:tc>
          <w:tcPr>
            <w:tcW w:w="1028" w:type="pct"/>
            <w:vMerge w:val="continue"/>
            <w:tcBorders>
              <w:tl2br w:val="nil"/>
              <w:tr2bl w:val="nil"/>
            </w:tcBorders>
            <w:shd w:val="clear" w:color="auto" w:fill="auto"/>
            <w:vAlign w:val="center"/>
          </w:tcPr>
          <w:p w14:paraId="42E32FBB">
            <w:pPr>
              <w:pStyle w:val="17"/>
              <w:bidi w:val="0"/>
              <w:rPr>
                <w:rFonts w:hint="default" w:ascii="Times New Roman" w:hAnsi="Times New Roman" w:cs="Times New Roman"/>
                <w:color w:val="auto"/>
                <w:highlight w:val="none"/>
              </w:rPr>
            </w:pPr>
          </w:p>
        </w:tc>
        <w:tc>
          <w:tcPr>
            <w:tcW w:w="1197" w:type="pct"/>
            <w:vMerge w:val="continue"/>
            <w:tcBorders>
              <w:tl2br w:val="nil"/>
              <w:tr2bl w:val="nil"/>
            </w:tcBorders>
            <w:shd w:val="clear" w:color="auto" w:fill="auto"/>
            <w:vAlign w:val="center"/>
          </w:tcPr>
          <w:p w14:paraId="57FAA1F0">
            <w:pPr>
              <w:pStyle w:val="17"/>
              <w:bidi w:val="0"/>
              <w:rPr>
                <w:rFonts w:hint="default" w:ascii="Times New Roman" w:hAnsi="Times New Roman" w:cs="Times New Roman"/>
                <w:color w:val="auto"/>
                <w:highlight w:val="none"/>
              </w:rPr>
            </w:pPr>
          </w:p>
        </w:tc>
        <w:tc>
          <w:tcPr>
            <w:tcW w:w="1253" w:type="pct"/>
            <w:tcBorders>
              <w:tl2br w:val="nil"/>
              <w:tr2bl w:val="nil"/>
            </w:tcBorders>
            <w:shd w:val="clear" w:color="auto" w:fill="auto"/>
            <w:vAlign w:val="center"/>
          </w:tcPr>
          <w:p w14:paraId="7CF1D37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R3</w:t>
            </w:r>
          </w:p>
        </w:tc>
        <w:tc>
          <w:tcPr>
            <w:tcW w:w="1046" w:type="pct"/>
            <w:tcBorders>
              <w:tl2br w:val="nil"/>
              <w:tr2bl w:val="nil"/>
            </w:tcBorders>
            <w:shd w:val="clear" w:color="auto" w:fill="auto"/>
            <w:vAlign w:val="center"/>
          </w:tcPr>
          <w:p w14:paraId="11D090E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一般</w:t>
            </w:r>
          </w:p>
        </w:tc>
      </w:tr>
    </w:tbl>
    <w:p w14:paraId="57BAF95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根据以上判定，结合《尾矿库环境风险评估技术导则（试行）》（HJ740-2015）表7中等级划分矩阵，确定本次评价尾矿库环境风险等级均为一般（H3S1R3）。</w:t>
      </w:r>
    </w:p>
    <w:p w14:paraId="4E5828BC">
      <w:pPr>
        <w:pStyle w:val="5"/>
        <w:rPr>
          <w:rFonts w:hint="default" w:ascii="Times New Roman" w:hAnsi="Times New Roman" w:cs="Times New Roman"/>
          <w:color w:val="auto"/>
          <w:highlight w:val="none"/>
        </w:rPr>
      </w:pPr>
      <w:bookmarkStart w:id="254" w:name="_Toc30962"/>
      <w:bookmarkStart w:id="255" w:name="_Toc608"/>
      <w:bookmarkStart w:id="256" w:name="_Toc345"/>
      <w:bookmarkStart w:id="257" w:name="_Toc5734"/>
      <w:bookmarkStart w:id="258" w:name="_Toc107413883"/>
      <w:bookmarkStart w:id="259" w:name="_Toc9260"/>
      <w:bookmarkStart w:id="260" w:name="_Toc8946"/>
      <w:bookmarkStart w:id="261" w:name="_Toc2244"/>
      <w:bookmarkStart w:id="262" w:name="_Toc27638"/>
      <w:bookmarkStart w:id="263" w:name="_Toc8160"/>
      <w:bookmarkStart w:id="264" w:name="_Toc25882"/>
      <w:bookmarkStart w:id="265" w:name="_Toc13137"/>
      <w:bookmarkStart w:id="266" w:name="_Toc3436"/>
      <w:bookmarkStart w:id="267" w:name="_Toc2877"/>
      <w:bookmarkStart w:id="268" w:name="_Toc22576"/>
      <w:bookmarkStart w:id="269" w:name="_Toc29172"/>
      <w:bookmarkStart w:id="270" w:name="_Toc107414650"/>
      <w:bookmarkStart w:id="271" w:name="_Toc844"/>
      <w:bookmarkStart w:id="272" w:name="_Toc24725"/>
      <w:bookmarkStart w:id="273" w:name="_Toc14359"/>
      <w:r>
        <w:rPr>
          <w:rFonts w:hint="default" w:ascii="Times New Roman" w:hAnsi="Times New Roman" w:cs="Times New Roman"/>
          <w:color w:val="auto"/>
          <w:highlight w:val="none"/>
        </w:rPr>
        <w:t>2.7</w:t>
      </w:r>
      <w:bookmarkEnd w:id="246"/>
      <w:bookmarkEnd w:id="247"/>
      <w:bookmarkEnd w:id="248"/>
      <w:bookmarkEnd w:id="249"/>
      <w:bookmarkEnd w:id="250"/>
      <w:bookmarkEnd w:id="251"/>
      <w:bookmarkEnd w:id="252"/>
      <w:r>
        <w:rPr>
          <w:rFonts w:hint="default" w:ascii="Times New Roman" w:hAnsi="Times New Roman" w:cs="Times New Roman"/>
          <w:color w:val="auto"/>
          <w:highlight w:val="none"/>
        </w:rPr>
        <w:t>评价重点</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117CBF2C">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根据项目区周边自然环境概况和环境质量现状，结合建设项目环境影响识别与评价因子的筛选结果，确定本次评价工作重点为：在工程分析的基础上，</w:t>
      </w:r>
      <w:r>
        <w:rPr>
          <w:rFonts w:hint="default" w:ascii="Times New Roman" w:hAnsi="Times New Roman" w:cs="Times New Roman"/>
          <w:color w:val="auto"/>
          <w:kern w:val="0"/>
          <w:highlight w:val="none"/>
        </w:rPr>
        <w:t>以环境空气预测与影响分析、固体废物处理处置分析、环境风险分析、选址合理性分析</w:t>
      </w:r>
      <w:r>
        <w:rPr>
          <w:rFonts w:hint="default" w:ascii="Times New Roman" w:hAnsi="Times New Roman" w:cs="Times New Roman"/>
          <w:color w:val="auto"/>
          <w:highlight w:val="none"/>
        </w:rPr>
        <w:t>，同时关注影响范围内公众对本项目的意见和建议。</w:t>
      </w:r>
    </w:p>
    <w:p w14:paraId="006BBF4F">
      <w:pPr>
        <w:pStyle w:val="5"/>
        <w:rPr>
          <w:rFonts w:hint="default" w:ascii="Times New Roman" w:hAnsi="Times New Roman" w:cs="Times New Roman"/>
          <w:color w:val="auto"/>
          <w:highlight w:val="none"/>
        </w:rPr>
      </w:pPr>
      <w:bookmarkStart w:id="274" w:name="_Toc30976"/>
      <w:bookmarkStart w:id="275" w:name="_Toc13331"/>
      <w:bookmarkStart w:id="276" w:name="_Toc26918"/>
      <w:bookmarkStart w:id="277" w:name="_Toc23105"/>
      <w:bookmarkStart w:id="278" w:name="_Toc26798"/>
      <w:bookmarkStart w:id="279" w:name="_Toc32291"/>
      <w:bookmarkStart w:id="280" w:name="_Toc107413884"/>
      <w:bookmarkStart w:id="281" w:name="_Toc6410"/>
      <w:bookmarkStart w:id="282" w:name="_Toc287"/>
      <w:bookmarkStart w:id="283" w:name="_Toc1979"/>
      <w:bookmarkStart w:id="284" w:name="_Toc10016"/>
      <w:bookmarkStart w:id="285" w:name="_Toc107414651"/>
      <w:bookmarkStart w:id="286" w:name="_Toc3493"/>
      <w:bookmarkStart w:id="287" w:name="_Toc2971"/>
      <w:bookmarkStart w:id="288" w:name="_Toc15615"/>
      <w:bookmarkStart w:id="289" w:name="_Toc1768"/>
      <w:bookmarkStart w:id="290" w:name="_Toc2585"/>
      <w:bookmarkStart w:id="291" w:name="_Toc484105092"/>
      <w:bookmarkStart w:id="292" w:name="_Toc15606"/>
      <w:bookmarkStart w:id="293" w:name="_Toc1510"/>
      <w:bookmarkStart w:id="294" w:name="_Toc31751"/>
      <w:bookmarkStart w:id="295" w:name="_Toc20394"/>
      <w:bookmarkStart w:id="296" w:name="_Toc5384"/>
      <w:bookmarkStart w:id="297" w:name="_Toc493523096"/>
      <w:r>
        <w:rPr>
          <w:rFonts w:hint="default" w:ascii="Times New Roman" w:hAnsi="Times New Roman" w:cs="Times New Roman"/>
          <w:color w:val="auto"/>
          <w:highlight w:val="none"/>
        </w:rPr>
        <w:t>2.8主要环境保护目标和环境敏感目标</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475552FD">
      <w:pPr>
        <w:pStyle w:val="6"/>
        <w:rPr>
          <w:rFonts w:hint="default" w:ascii="Times New Roman" w:hAnsi="Times New Roman" w:cs="Times New Roman"/>
          <w:color w:val="auto"/>
          <w:highlight w:val="none"/>
        </w:rPr>
      </w:pPr>
      <w:bookmarkStart w:id="298" w:name="_Toc18437"/>
      <w:bookmarkStart w:id="299" w:name="_Toc1019"/>
      <w:bookmarkStart w:id="300" w:name="_Toc22431"/>
      <w:bookmarkStart w:id="301" w:name="_Toc1182"/>
      <w:bookmarkStart w:id="302" w:name="_Toc3084"/>
      <w:bookmarkStart w:id="303" w:name="_Toc12567"/>
      <w:bookmarkStart w:id="304" w:name="_Toc6584"/>
      <w:bookmarkStart w:id="305" w:name="_Toc10590"/>
      <w:bookmarkStart w:id="306" w:name="_Toc4199"/>
      <w:r>
        <w:rPr>
          <w:rFonts w:hint="default" w:ascii="Times New Roman" w:hAnsi="Times New Roman" w:cs="Times New Roman"/>
          <w:color w:val="auto"/>
          <w:highlight w:val="none"/>
        </w:rPr>
        <w:t>2.8.1主要环境保护目标</w:t>
      </w:r>
      <w:bookmarkEnd w:id="298"/>
      <w:bookmarkEnd w:id="299"/>
      <w:bookmarkEnd w:id="300"/>
      <w:bookmarkEnd w:id="301"/>
      <w:bookmarkEnd w:id="302"/>
      <w:bookmarkEnd w:id="303"/>
      <w:bookmarkEnd w:id="304"/>
      <w:bookmarkEnd w:id="305"/>
      <w:bookmarkEnd w:id="306"/>
    </w:p>
    <w:p w14:paraId="7688255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（1）大气环境</w:t>
      </w:r>
    </w:p>
    <w:p w14:paraId="3EE56F7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保护评价区环境空气，保证不因本项目而降低区域环境空气质量现状级别</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执行</w:t>
      </w:r>
      <w:r>
        <w:rPr>
          <w:rFonts w:hint="default" w:ascii="Times New Roman" w:hAnsi="Times New Roman" w:cs="Times New Roman"/>
          <w:color w:val="auto"/>
          <w:highlight w:val="none"/>
        </w:rPr>
        <w:t>《环境空气质量标准》（GB3095-20</w:t>
      </w:r>
      <w:r>
        <w:rPr>
          <w:rFonts w:hint="default" w:ascii="Times New Roman" w:hAnsi="Times New Roman" w:cs="Times New Roman"/>
          <w:color w:val="auto"/>
          <w:highlight w:val="none"/>
          <w:lang w:val="en-US" w:eastAsia="zh-CN"/>
        </w:rPr>
        <w:t>26</w:t>
      </w:r>
      <w:r>
        <w:rPr>
          <w:rFonts w:hint="default" w:ascii="Times New Roman" w:hAnsi="Times New Roman" w:cs="Times New Roman"/>
          <w:color w:val="auto"/>
          <w:highlight w:val="none"/>
        </w:rPr>
        <w:t>）二级标准。应确保评价区域内的大气环境质量不受本项目排放大气污染物的明显影响。</w:t>
      </w:r>
    </w:p>
    <w:p w14:paraId="709C094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（2）地表水环境</w:t>
      </w:r>
    </w:p>
    <w:p w14:paraId="235174D6">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本项目选矿厂</w:t>
      </w:r>
      <w:r>
        <w:rPr>
          <w:rFonts w:hint="default" w:ascii="Times New Roman" w:hAnsi="Times New Roman" w:cs="Times New Roman"/>
          <w:color w:val="auto"/>
          <w:highlight w:val="none"/>
          <w:lang w:eastAsia="zh-CN"/>
        </w:rPr>
        <w:t>西</w:t>
      </w:r>
      <w:r>
        <w:rPr>
          <w:rFonts w:hint="default" w:ascii="Times New Roman" w:hAnsi="Times New Roman" w:cs="Times New Roman"/>
          <w:color w:val="auto"/>
          <w:highlight w:val="none"/>
        </w:rPr>
        <w:t>侧约</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km处为</w:t>
      </w:r>
      <w:r>
        <w:rPr>
          <w:rFonts w:hint="default" w:ascii="Times New Roman" w:hAnsi="Times New Roman" w:cs="Times New Roman"/>
          <w:color w:val="auto"/>
          <w:highlight w:val="none"/>
          <w:lang w:eastAsia="zh-CN"/>
        </w:rPr>
        <w:t>阿克苏</w:t>
      </w:r>
      <w:r>
        <w:rPr>
          <w:rFonts w:hint="default" w:ascii="Times New Roman" w:hAnsi="Times New Roman" w:cs="Times New Roman"/>
          <w:color w:val="auto"/>
          <w:highlight w:val="none"/>
        </w:rPr>
        <w:t>河。根据《新疆水环境功能区划》，</w:t>
      </w:r>
      <w:r>
        <w:rPr>
          <w:rFonts w:hint="default" w:ascii="Times New Roman" w:hAnsi="Times New Roman" w:cs="Times New Roman"/>
          <w:color w:val="auto"/>
          <w:highlight w:val="none"/>
          <w:lang w:eastAsia="zh-CN"/>
        </w:rPr>
        <w:t>阿克苏河</w:t>
      </w:r>
      <w:r>
        <w:rPr>
          <w:rFonts w:hint="default" w:ascii="Times New Roman" w:hAnsi="Times New Roman" w:cs="Times New Roman"/>
          <w:color w:val="auto"/>
          <w:highlight w:val="none"/>
        </w:rPr>
        <w:t>的地表水环境功能区划属</w:t>
      </w:r>
      <w:r>
        <w:rPr>
          <w:rFonts w:hint="default" w:ascii="Times New Roman" w:hAnsi="Times New Roman" w:cs="Times New Roman"/>
          <w:color w:val="auto"/>
          <w:highlight w:val="none"/>
          <w:lang w:eastAsia="zh-CN"/>
        </w:rPr>
        <w:t>I</w:t>
      </w:r>
      <w:r>
        <w:rPr>
          <w:rFonts w:hint="default" w:ascii="Times New Roman" w:hAnsi="Times New Roman" w:cs="Times New Roman"/>
          <w:color w:val="auto"/>
          <w:highlight w:val="none"/>
        </w:rPr>
        <w:t>类功能区，确保不因本项目而降低区域地表水质量现状级别——《地表水环境质量标准》（GB3838-2002）</w:t>
      </w:r>
      <w:r>
        <w:rPr>
          <w:rFonts w:hint="default" w:ascii="Times New Roman" w:hAnsi="Times New Roman" w:cs="Times New Roman"/>
          <w:color w:val="auto"/>
          <w:highlight w:val="none"/>
          <w:lang w:eastAsia="zh-CN"/>
        </w:rPr>
        <w:t>I</w:t>
      </w:r>
      <w:r>
        <w:rPr>
          <w:rFonts w:hint="default" w:ascii="Times New Roman" w:hAnsi="Times New Roman" w:cs="Times New Roman"/>
          <w:color w:val="auto"/>
          <w:highlight w:val="none"/>
        </w:rPr>
        <w:t>类标准。</w:t>
      </w:r>
    </w:p>
    <w:p w14:paraId="4D8CC02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（3）地下水环境</w:t>
      </w:r>
    </w:p>
    <w:p w14:paraId="2FD39F06">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保护厂址上游及下游区域地下水水质，保证不因本项目而降低区域地下水环境质量现状级别——《地下水质量标准》（GB/T14848-2017）</w:t>
      </w:r>
      <w:r>
        <w:rPr>
          <w:rFonts w:hint="default" w:ascii="Times New Roman" w:hAnsi="Times New Roman" w:cs="Times New Roman"/>
          <w:color w:val="auto"/>
          <w:highlight w:val="none"/>
          <w:lang w:eastAsia="zh-CN"/>
        </w:rPr>
        <w:t>Ⅲ</w:t>
      </w:r>
      <w:r>
        <w:rPr>
          <w:rFonts w:hint="default" w:ascii="Times New Roman" w:hAnsi="Times New Roman" w:cs="Times New Roman"/>
          <w:color w:val="auto"/>
          <w:highlight w:val="none"/>
        </w:rPr>
        <w:t>类标准。</w:t>
      </w:r>
    </w:p>
    <w:p w14:paraId="54F5495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（4）声环境</w:t>
      </w:r>
    </w:p>
    <w:p w14:paraId="22F8135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控制厂界噪声满足《工业企业厂界环境噪声排放标准》（GB12348-2008）中</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类标准。确保本项目区域声环境依旧满足《声环境质量标准》（GB3096-2008）中的</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类区要求。</w:t>
      </w:r>
    </w:p>
    <w:p w14:paraId="7093CCA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（5）土壤环境</w:t>
      </w:r>
    </w:p>
    <w:p w14:paraId="2513ED4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保护项目区域土壤环境，保证不因本项目而降低区域土壤环境质量现状——项目区内土壤环境质量满足《土壤环境质量 建设用地土壤污染风险管控标准（试行）》（GB36600-2018）的第二类筛选值标准、项目区外土壤环境质量满足</w:t>
      </w:r>
      <w:r>
        <w:rPr>
          <w:rFonts w:hint="default" w:ascii="Times New Roman" w:hAnsi="Times New Roman" w:cs="Times New Roman"/>
          <w:color w:val="auto"/>
          <w:spacing w:val="-1"/>
          <w:highlight w:val="none"/>
        </w:rPr>
        <w:t>《土壤环境质量 农用地土壤污染风险管控标准（试行）》（GB15618-2018）中的筛选值标准。</w:t>
      </w:r>
    </w:p>
    <w:p w14:paraId="3E32244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（6）环境风险保护目标</w:t>
      </w:r>
    </w:p>
    <w:p w14:paraId="2666662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降低环境风险发生概率，保证环境风险发生时能够得到及时控制，保护</w:t>
      </w:r>
      <w:r>
        <w:rPr>
          <w:rFonts w:hint="default" w:ascii="Times New Roman" w:hAnsi="Times New Roman" w:cs="Times New Roman"/>
          <w:color w:val="auto"/>
          <w:highlight w:val="none"/>
          <w:lang w:val="en-US" w:eastAsia="zh-CN"/>
        </w:rPr>
        <w:t>厂内</w:t>
      </w:r>
      <w:r>
        <w:rPr>
          <w:rFonts w:hint="default" w:ascii="Times New Roman" w:hAnsi="Times New Roman" w:cs="Times New Roman"/>
          <w:color w:val="auto"/>
          <w:highlight w:val="none"/>
          <w:lang w:eastAsia="zh-CN"/>
        </w:rPr>
        <w:t>工作</w:t>
      </w:r>
      <w:r>
        <w:rPr>
          <w:rFonts w:hint="default" w:ascii="Times New Roman" w:hAnsi="Times New Roman" w:cs="Times New Roman"/>
          <w:color w:val="auto"/>
          <w:highlight w:val="none"/>
        </w:rPr>
        <w:t>人员，降低事故状态下对区域地表水质量的影响。</w:t>
      </w:r>
    </w:p>
    <w:p w14:paraId="7EAD341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（7）生态环境</w:t>
      </w:r>
    </w:p>
    <w:p w14:paraId="70435E97">
      <w:pPr>
        <w:overflowPunct w:val="0"/>
        <w:topLinePunct/>
        <w:ind w:firstLine="480"/>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保护区域水源涵养、生物多样性，</w:t>
      </w:r>
      <w:r>
        <w:rPr>
          <w:rFonts w:hint="default" w:ascii="Times New Roman" w:hAnsi="Times New Roman" w:cs="Times New Roman"/>
          <w:color w:val="auto"/>
          <w:highlight w:val="none"/>
        </w:rPr>
        <w:t>维持区域生态功能，将生态环境影响降低到最小；保护项目区</w:t>
      </w:r>
      <w:r>
        <w:rPr>
          <w:rFonts w:hint="default" w:ascii="Times New Roman" w:hAnsi="Times New Roman" w:cs="Times New Roman"/>
          <w:bCs/>
          <w:color w:val="auto"/>
          <w:kern w:val="0"/>
          <w:szCs w:val="21"/>
          <w:highlight w:val="none"/>
        </w:rPr>
        <w:t>地表植被、动物、土壤</w:t>
      </w:r>
      <w:r>
        <w:rPr>
          <w:rFonts w:hint="default" w:ascii="Times New Roman" w:hAnsi="Times New Roman" w:cs="Times New Roman"/>
          <w:color w:val="auto"/>
          <w:highlight w:val="none"/>
        </w:rPr>
        <w:t>环境，</w:t>
      </w:r>
      <w:r>
        <w:rPr>
          <w:rFonts w:hint="default" w:ascii="Times New Roman" w:hAnsi="Times New Roman" w:cs="Times New Roman"/>
          <w:bCs/>
          <w:color w:val="auto"/>
          <w:kern w:val="0"/>
          <w:szCs w:val="21"/>
          <w:highlight w:val="none"/>
        </w:rPr>
        <w:t>保护生态系统结构和功能的完整性、稳定性，防止水土流失。</w:t>
      </w:r>
    </w:p>
    <w:p w14:paraId="7F871080">
      <w:pPr>
        <w:pStyle w:val="6"/>
        <w:rPr>
          <w:rFonts w:hint="default" w:ascii="Times New Roman" w:hAnsi="Times New Roman" w:cs="Times New Roman"/>
          <w:color w:val="auto"/>
          <w:highlight w:val="none"/>
        </w:rPr>
      </w:pPr>
      <w:bookmarkStart w:id="307" w:name="_Toc9345"/>
      <w:bookmarkStart w:id="308" w:name="_Toc25672"/>
      <w:bookmarkStart w:id="309" w:name="_Toc14966"/>
      <w:bookmarkStart w:id="310" w:name="_Toc20745"/>
      <w:bookmarkStart w:id="311" w:name="_Toc14964"/>
      <w:bookmarkStart w:id="312" w:name="_Toc5013"/>
      <w:bookmarkStart w:id="313" w:name="_Toc12398"/>
      <w:bookmarkStart w:id="314" w:name="_Toc23801"/>
      <w:bookmarkStart w:id="315" w:name="_Toc6951"/>
      <w:r>
        <w:rPr>
          <w:rFonts w:hint="default" w:ascii="Times New Roman" w:hAnsi="Times New Roman" w:cs="Times New Roman"/>
          <w:color w:val="auto"/>
          <w:highlight w:val="none"/>
        </w:rPr>
        <w:t>2.8.2环境敏感目标分布</w:t>
      </w:r>
      <w:bookmarkEnd w:id="307"/>
      <w:bookmarkEnd w:id="308"/>
      <w:bookmarkEnd w:id="309"/>
      <w:bookmarkEnd w:id="310"/>
      <w:bookmarkEnd w:id="311"/>
      <w:bookmarkEnd w:id="312"/>
      <w:bookmarkEnd w:id="313"/>
      <w:bookmarkEnd w:id="314"/>
      <w:bookmarkEnd w:id="315"/>
    </w:p>
    <w:p w14:paraId="6620758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本项目环境敏感目标见表2.8-1。</w:t>
      </w:r>
    </w:p>
    <w:p w14:paraId="7BEBBDE9">
      <w:pPr>
        <w:pStyle w:val="19"/>
        <w:widowControl w:val="0"/>
        <w:rPr>
          <w:rFonts w:hint="default" w:ascii="Times New Roman" w:hAnsi="Times New Roman" w:cs="Times New Roman"/>
          <w:color w:val="auto"/>
          <w:szCs w:val="32"/>
          <w:highlight w:val="none"/>
          <w:lang w:val="zh-CN"/>
        </w:rPr>
      </w:pPr>
      <w:r>
        <w:rPr>
          <w:rFonts w:hint="default" w:ascii="Times New Roman" w:hAnsi="Times New Roman" w:cs="Times New Roman"/>
          <w:color w:val="auto"/>
          <w:szCs w:val="32"/>
          <w:highlight w:val="none"/>
          <w:lang w:val="zh-CN"/>
        </w:rPr>
        <w:t>表</w:t>
      </w:r>
      <w:r>
        <w:rPr>
          <w:rFonts w:hint="default" w:ascii="Times New Roman" w:hAnsi="Times New Roman" w:cs="Times New Roman"/>
          <w:color w:val="auto"/>
          <w:szCs w:val="32"/>
          <w:highlight w:val="none"/>
        </w:rPr>
        <w:t>2</w:t>
      </w:r>
      <w:r>
        <w:rPr>
          <w:rFonts w:hint="default" w:ascii="Times New Roman" w:hAnsi="Times New Roman" w:cs="Times New Roman"/>
          <w:color w:val="auto"/>
          <w:szCs w:val="32"/>
          <w:highlight w:val="none"/>
          <w:lang w:val="zh-CN"/>
        </w:rPr>
        <w:t>.</w:t>
      </w:r>
      <w:r>
        <w:rPr>
          <w:rFonts w:hint="default" w:ascii="Times New Roman" w:hAnsi="Times New Roman" w:cs="Times New Roman"/>
          <w:color w:val="auto"/>
          <w:szCs w:val="32"/>
          <w:highlight w:val="none"/>
        </w:rPr>
        <w:t>8</w:t>
      </w:r>
      <w:r>
        <w:rPr>
          <w:rFonts w:hint="default" w:ascii="Times New Roman" w:hAnsi="Times New Roman" w:cs="Times New Roman"/>
          <w:color w:val="auto"/>
          <w:szCs w:val="32"/>
          <w:highlight w:val="none"/>
          <w:lang w:val="zh-CN"/>
        </w:rPr>
        <w:t>-1</w:t>
      </w:r>
      <w:r>
        <w:rPr>
          <w:rFonts w:hint="default" w:ascii="Times New Roman" w:hAnsi="Times New Roman" w:cs="Times New Roman"/>
          <w:color w:val="auto"/>
          <w:szCs w:val="32"/>
          <w:highlight w:val="none"/>
        </w:rPr>
        <w:t xml:space="preserve">   </w:t>
      </w:r>
      <w:r>
        <w:rPr>
          <w:rFonts w:hint="default" w:ascii="Times New Roman" w:hAnsi="Times New Roman" w:cs="Times New Roman"/>
          <w:color w:val="auto"/>
          <w:szCs w:val="32"/>
          <w:highlight w:val="none"/>
          <w:lang w:val="zh-CN"/>
        </w:rPr>
        <w:t>本项目的环境敏感目标</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1416"/>
        <w:gridCol w:w="1792"/>
        <w:gridCol w:w="2651"/>
        <w:gridCol w:w="2392"/>
      </w:tblGrid>
      <w:tr w14:paraId="545A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blHeader/>
          <w:jc w:val="center"/>
        </w:trPr>
        <w:tc>
          <w:tcPr>
            <w:tcW w:w="501" w:type="pct"/>
            <w:vAlign w:val="center"/>
          </w:tcPr>
          <w:p w14:paraId="3931CE8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w:t>
            </w:r>
          </w:p>
          <w:p w14:paraId="04006E72">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要素</w:t>
            </w:r>
          </w:p>
        </w:tc>
        <w:tc>
          <w:tcPr>
            <w:tcW w:w="772" w:type="pct"/>
            <w:vAlign w:val="center"/>
          </w:tcPr>
          <w:p w14:paraId="31B35E9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保护对象</w:t>
            </w:r>
          </w:p>
        </w:tc>
        <w:tc>
          <w:tcPr>
            <w:tcW w:w="976" w:type="pct"/>
            <w:vAlign w:val="center"/>
          </w:tcPr>
          <w:p w14:paraId="0F3EC2BE">
            <w:pPr>
              <w:pStyle w:val="17"/>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相对本项目</w:t>
            </w:r>
            <w:r>
              <w:rPr>
                <w:rFonts w:hint="default" w:ascii="Times New Roman" w:hAnsi="Times New Roman" w:cs="Times New Roman"/>
                <w:color w:val="auto"/>
                <w:highlight w:val="none"/>
                <w:lang w:val="en-US" w:eastAsia="zh-CN"/>
              </w:rPr>
              <w:t>位置</w:t>
            </w:r>
          </w:p>
        </w:tc>
        <w:tc>
          <w:tcPr>
            <w:tcW w:w="1445" w:type="pct"/>
            <w:vAlign w:val="center"/>
          </w:tcPr>
          <w:p w14:paraId="337517E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保护内容</w:t>
            </w:r>
          </w:p>
        </w:tc>
        <w:tc>
          <w:tcPr>
            <w:tcW w:w="1304" w:type="pct"/>
            <w:vAlign w:val="center"/>
          </w:tcPr>
          <w:p w14:paraId="05660BB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保护目标</w:t>
            </w:r>
          </w:p>
        </w:tc>
      </w:tr>
      <w:tr w14:paraId="1738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01" w:type="pct"/>
            <w:vAlign w:val="center"/>
          </w:tcPr>
          <w:p w14:paraId="18A2420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w:t>
            </w:r>
          </w:p>
        </w:tc>
        <w:tc>
          <w:tcPr>
            <w:tcW w:w="772" w:type="pct"/>
            <w:vAlign w:val="center"/>
          </w:tcPr>
          <w:p w14:paraId="02884FA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阿克苏</w:t>
            </w:r>
            <w:r>
              <w:rPr>
                <w:rFonts w:hint="default" w:ascii="Times New Roman" w:hAnsi="Times New Roman" w:cs="Times New Roman"/>
                <w:color w:val="auto"/>
                <w:highlight w:val="none"/>
              </w:rPr>
              <w:t>河</w:t>
            </w:r>
          </w:p>
        </w:tc>
        <w:tc>
          <w:tcPr>
            <w:tcW w:w="976" w:type="pct"/>
            <w:vAlign w:val="center"/>
          </w:tcPr>
          <w:p w14:paraId="102385FD">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由</w:t>
            </w:r>
            <w:r>
              <w:rPr>
                <w:rFonts w:hint="default" w:ascii="Times New Roman" w:hAnsi="Times New Roman" w:cs="Times New Roman"/>
                <w:color w:val="auto"/>
                <w:highlight w:val="none"/>
                <w:lang w:val="en-US" w:eastAsia="zh-CN"/>
              </w:rPr>
              <w:t>南向北流经矿区</w:t>
            </w:r>
          </w:p>
        </w:tc>
        <w:tc>
          <w:tcPr>
            <w:tcW w:w="1445" w:type="pct"/>
            <w:vAlign w:val="center"/>
          </w:tcPr>
          <w:p w14:paraId="552E5CDF">
            <w:pPr>
              <w:pStyle w:val="17"/>
              <w:bidi w:val="0"/>
              <w:rPr>
                <w:rFonts w:hint="default" w:ascii="Times New Roman" w:hAnsi="Times New Roman" w:cs="Times New Roman"/>
                <w:color w:val="auto"/>
                <w:highlight w:val="none"/>
                <w:lang w:eastAsia="zh-CN"/>
              </w:rPr>
            </w:pPr>
            <w:r>
              <w:rPr>
                <w:rFonts w:hint="eastAsia" w:cs="Times New Roman"/>
                <w:color w:val="auto"/>
                <w:highlight w:val="none"/>
                <w:lang w:val="en-US" w:eastAsia="zh-CN"/>
              </w:rPr>
              <w:t>矿区、</w:t>
            </w:r>
            <w:r>
              <w:rPr>
                <w:rFonts w:hint="default" w:ascii="Times New Roman" w:hAnsi="Times New Roman" w:cs="Times New Roman"/>
                <w:color w:val="auto"/>
                <w:highlight w:val="none"/>
              </w:rPr>
              <w:t>选矿厂</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尾矿库</w:t>
            </w:r>
            <w:r>
              <w:rPr>
                <w:rFonts w:hint="default" w:ascii="Times New Roman" w:hAnsi="Times New Roman" w:cs="Times New Roman"/>
                <w:color w:val="auto"/>
                <w:highlight w:val="none"/>
                <w:lang w:eastAsia="zh-CN"/>
              </w:rPr>
              <w:t>西侧河道</w:t>
            </w:r>
            <w:r>
              <w:rPr>
                <w:rFonts w:hint="default" w:ascii="Times New Roman" w:hAnsi="Times New Roman" w:cs="Times New Roman"/>
                <w:color w:val="auto"/>
                <w:highlight w:val="none"/>
              </w:rPr>
              <w:t>上游500m、下游1km地表水环境质量</w:t>
            </w:r>
          </w:p>
        </w:tc>
        <w:tc>
          <w:tcPr>
            <w:tcW w:w="1304" w:type="pct"/>
            <w:vAlign w:val="center"/>
          </w:tcPr>
          <w:p w14:paraId="63A6687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《地表水环境质量标准》（GB3838-2002）</w:t>
            </w:r>
            <w:r>
              <w:rPr>
                <w:rFonts w:hint="default" w:ascii="Times New Roman" w:hAnsi="Times New Roman" w:cs="Times New Roman"/>
                <w:color w:val="auto"/>
                <w:highlight w:val="none"/>
                <w:lang w:eastAsia="zh-CN"/>
              </w:rPr>
              <w:t>I</w:t>
            </w:r>
            <w:r>
              <w:rPr>
                <w:rFonts w:hint="default" w:ascii="Times New Roman" w:hAnsi="Times New Roman" w:cs="Times New Roman"/>
                <w:color w:val="auto"/>
                <w:highlight w:val="none"/>
              </w:rPr>
              <w:t>类标准</w:t>
            </w:r>
          </w:p>
        </w:tc>
      </w:tr>
      <w:tr w14:paraId="7CF0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501" w:type="pct"/>
            <w:vAlign w:val="center"/>
          </w:tcPr>
          <w:p w14:paraId="465E1E97">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w:t>
            </w:r>
          </w:p>
        </w:tc>
        <w:tc>
          <w:tcPr>
            <w:tcW w:w="772" w:type="pct"/>
            <w:vAlign w:val="center"/>
          </w:tcPr>
          <w:p w14:paraId="1C79F65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项目区</w:t>
            </w:r>
          </w:p>
          <w:p w14:paraId="6C6850C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w:t>
            </w:r>
          </w:p>
        </w:tc>
        <w:tc>
          <w:tcPr>
            <w:tcW w:w="976" w:type="pct"/>
            <w:vAlign w:val="center"/>
          </w:tcPr>
          <w:p w14:paraId="17B9618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445" w:type="pct"/>
            <w:vAlign w:val="center"/>
          </w:tcPr>
          <w:p w14:paraId="60D785DD">
            <w:pPr>
              <w:pStyle w:val="17"/>
              <w:bidi w:val="0"/>
              <w:rPr>
                <w:rFonts w:hint="default" w:ascii="Times New Roman" w:hAnsi="Times New Roman" w:cs="Times New Roman"/>
                <w:color w:val="auto"/>
                <w:highlight w:val="none"/>
              </w:rPr>
            </w:pPr>
            <w:r>
              <w:rPr>
                <w:rFonts w:hint="eastAsia" w:cs="Times New Roman"/>
                <w:color w:val="auto"/>
                <w:highlight w:val="none"/>
                <w:lang w:val="en-US" w:eastAsia="zh-CN"/>
              </w:rPr>
              <w:t>矿区、</w:t>
            </w:r>
            <w:r>
              <w:rPr>
                <w:rFonts w:hint="default" w:ascii="Times New Roman" w:hAnsi="Times New Roman" w:cs="Times New Roman"/>
                <w:color w:val="auto"/>
                <w:highlight w:val="none"/>
              </w:rPr>
              <w:t>选矿厂、尾矿库周边地下水</w:t>
            </w:r>
            <w:r>
              <w:rPr>
                <w:rFonts w:hint="default" w:ascii="Times New Roman" w:hAnsi="Times New Roman" w:cs="Times New Roman"/>
                <w:color w:val="auto"/>
                <w:highlight w:val="none"/>
                <w:lang w:eastAsia="zh-CN"/>
              </w:rPr>
              <w:t>潜水</w:t>
            </w:r>
            <w:r>
              <w:rPr>
                <w:rFonts w:hint="default" w:ascii="Times New Roman" w:hAnsi="Times New Roman" w:cs="Times New Roman"/>
                <w:color w:val="auto"/>
                <w:highlight w:val="none"/>
              </w:rPr>
              <w:t>水量和水质</w:t>
            </w:r>
          </w:p>
        </w:tc>
        <w:tc>
          <w:tcPr>
            <w:tcW w:w="1304" w:type="pct"/>
            <w:vAlign w:val="center"/>
          </w:tcPr>
          <w:p w14:paraId="748BFD9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《地下水质量标准》（GB/T14848-2017）</w:t>
            </w:r>
            <w:r>
              <w:rPr>
                <w:rFonts w:hint="default" w:ascii="Times New Roman" w:hAnsi="Times New Roman" w:cs="Times New Roman"/>
                <w:color w:val="auto"/>
                <w:highlight w:val="none"/>
                <w:lang w:eastAsia="zh-CN"/>
              </w:rPr>
              <w:fldChar w:fldCharType="begin"/>
            </w:r>
            <w:r>
              <w:rPr>
                <w:rFonts w:hint="default" w:ascii="Times New Roman" w:hAnsi="Times New Roman" w:cs="Times New Roman"/>
                <w:color w:val="auto"/>
                <w:highlight w:val="none"/>
                <w:lang w:eastAsia="zh-CN"/>
              </w:rPr>
              <w:instrText xml:space="preserve"> = 3 \* ROMAN \* MERGEFORMAT </w:instrText>
            </w:r>
            <w:r>
              <w:rPr>
                <w:rFonts w:hint="default" w:ascii="Times New Roman" w:hAnsi="Times New Roman" w:cs="Times New Roman"/>
                <w:color w:val="auto"/>
                <w:highlight w:val="none"/>
                <w:lang w:eastAsia="zh-CN"/>
              </w:rPr>
              <w:fldChar w:fldCharType="separate"/>
            </w:r>
            <w:r>
              <w:rPr>
                <w:rFonts w:hint="default" w:ascii="Times New Roman" w:hAnsi="Times New Roman" w:cs="Times New Roman"/>
                <w:color w:val="auto"/>
                <w:highlight w:val="none"/>
                <w:lang w:eastAsia="zh-CN"/>
              </w:rPr>
              <w:t>Ⅲ</w:t>
            </w:r>
            <w:r>
              <w:rPr>
                <w:rFonts w:hint="default" w:ascii="Times New Roman" w:hAnsi="Times New Roman" w:cs="Times New Roman"/>
                <w:color w:val="auto"/>
                <w:highlight w:val="none"/>
                <w:lang w:eastAsia="zh-CN"/>
              </w:rPr>
              <w:fldChar w:fldCharType="end"/>
            </w:r>
            <w:r>
              <w:rPr>
                <w:rFonts w:hint="default" w:ascii="Times New Roman" w:hAnsi="Times New Roman" w:cs="Times New Roman"/>
                <w:color w:val="auto"/>
                <w:highlight w:val="none"/>
              </w:rPr>
              <w:t>类</w:t>
            </w:r>
          </w:p>
        </w:tc>
      </w:tr>
      <w:tr w14:paraId="5592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01" w:type="pct"/>
            <w:vAlign w:val="center"/>
          </w:tcPr>
          <w:p w14:paraId="0D55C7C0">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w:t>
            </w:r>
          </w:p>
          <w:p w14:paraId="6705762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空气</w:t>
            </w:r>
          </w:p>
        </w:tc>
        <w:tc>
          <w:tcPr>
            <w:tcW w:w="772" w:type="pct"/>
            <w:vAlign w:val="center"/>
          </w:tcPr>
          <w:p w14:paraId="57E9874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采矿</w:t>
            </w:r>
            <w:r>
              <w:rPr>
                <w:rFonts w:hint="default" w:ascii="Times New Roman" w:hAnsi="Times New Roman" w:cs="Times New Roman"/>
                <w:color w:val="auto"/>
                <w:highlight w:val="none"/>
              </w:rPr>
              <w:t>生活区</w:t>
            </w:r>
          </w:p>
        </w:tc>
        <w:tc>
          <w:tcPr>
            <w:tcW w:w="976" w:type="pct"/>
            <w:vAlign w:val="center"/>
          </w:tcPr>
          <w:p w14:paraId="3C4CF34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选厂</w:t>
            </w:r>
            <w:r>
              <w:rPr>
                <w:rFonts w:hint="default" w:ascii="Times New Roman" w:hAnsi="Times New Roman" w:cs="Times New Roman"/>
                <w:color w:val="auto"/>
                <w:highlight w:val="none"/>
                <w:lang w:eastAsia="zh-CN"/>
              </w:rPr>
              <w:t>西</w:t>
            </w:r>
            <w:r>
              <w:rPr>
                <w:rFonts w:hint="default" w:ascii="Times New Roman" w:hAnsi="Times New Roman" w:cs="Times New Roman"/>
                <w:color w:val="auto"/>
                <w:highlight w:val="none"/>
              </w:rPr>
              <w:t>侧</w:t>
            </w:r>
          </w:p>
        </w:tc>
        <w:tc>
          <w:tcPr>
            <w:tcW w:w="1445" w:type="pct"/>
            <w:vAlign w:val="center"/>
          </w:tcPr>
          <w:p w14:paraId="0D5BA8C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厂区人群健康</w:t>
            </w:r>
          </w:p>
        </w:tc>
        <w:tc>
          <w:tcPr>
            <w:tcW w:w="1304" w:type="pct"/>
            <w:vAlign w:val="center"/>
          </w:tcPr>
          <w:p w14:paraId="1AE7A9C5">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《环境空气质量标准》（GB3095-20</w:t>
            </w:r>
            <w:r>
              <w:rPr>
                <w:rFonts w:hint="default" w:ascii="Times New Roman" w:hAnsi="Times New Roman" w:cs="Times New Roman"/>
                <w:color w:val="auto"/>
                <w:highlight w:val="none"/>
                <w:lang w:val="en-US" w:eastAsia="zh-CN"/>
              </w:rPr>
              <w:t>26</w:t>
            </w:r>
            <w:r>
              <w:rPr>
                <w:rFonts w:hint="default" w:ascii="Times New Roman" w:hAnsi="Times New Roman" w:cs="Times New Roman"/>
                <w:color w:val="auto"/>
                <w:highlight w:val="none"/>
              </w:rPr>
              <w:t>）二级</w:t>
            </w:r>
          </w:p>
        </w:tc>
      </w:tr>
      <w:tr w14:paraId="0AFF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01" w:type="pct"/>
            <w:vAlign w:val="center"/>
          </w:tcPr>
          <w:p w14:paraId="777F7A4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声环境</w:t>
            </w:r>
          </w:p>
        </w:tc>
        <w:tc>
          <w:tcPr>
            <w:tcW w:w="1749" w:type="pct"/>
            <w:gridSpan w:val="2"/>
            <w:vAlign w:val="center"/>
          </w:tcPr>
          <w:p w14:paraId="4B276A7A">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项目区厂界外</w:t>
            </w:r>
            <w:r>
              <w:rPr>
                <w:rFonts w:hint="default" w:ascii="Times New Roman" w:hAnsi="Times New Roman" w:cs="Times New Roman"/>
                <w:color w:val="auto"/>
                <w:highlight w:val="none"/>
                <w:lang w:val="en-US" w:eastAsia="zh-CN"/>
              </w:rPr>
              <w:t>200</w:t>
            </w:r>
            <w:r>
              <w:rPr>
                <w:rFonts w:hint="default" w:ascii="Times New Roman" w:hAnsi="Times New Roman" w:cs="Times New Roman"/>
                <w:color w:val="auto"/>
                <w:highlight w:val="none"/>
              </w:rPr>
              <w:t>m</w:t>
            </w:r>
          </w:p>
        </w:tc>
        <w:tc>
          <w:tcPr>
            <w:tcW w:w="1445" w:type="pct"/>
            <w:vAlign w:val="center"/>
          </w:tcPr>
          <w:p w14:paraId="1821835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厂界噪声达标排放</w:t>
            </w:r>
          </w:p>
        </w:tc>
        <w:tc>
          <w:tcPr>
            <w:tcW w:w="1304" w:type="pct"/>
            <w:vAlign w:val="center"/>
          </w:tcPr>
          <w:p w14:paraId="74A5F2E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《声环境质量标准》（GB3096-2008）</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类</w:t>
            </w:r>
          </w:p>
        </w:tc>
      </w:tr>
      <w:tr w14:paraId="1C4A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01" w:type="pct"/>
            <w:vAlign w:val="center"/>
          </w:tcPr>
          <w:p w14:paraId="50F62D2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土壤</w:t>
            </w:r>
          </w:p>
          <w:p w14:paraId="1464364C">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w:t>
            </w:r>
          </w:p>
        </w:tc>
        <w:tc>
          <w:tcPr>
            <w:tcW w:w="1749" w:type="pct"/>
            <w:gridSpan w:val="2"/>
            <w:shd w:val="clear" w:color="auto" w:fill="auto"/>
            <w:vAlign w:val="center"/>
          </w:tcPr>
          <w:p w14:paraId="7AE6D74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矿区</w:t>
            </w:r>
            <w:r>
              <w:rPr>
                <w:rFonts w:hint="default" w:ascii="Times New Roman" w:hAnsi="Times New Roman" w:cs="Times New Roman"/>
                <w:color w:val="auto"/>
                <w:highlight w:val="none"/>
              </w:rPr>
              <w:t>范围及外延</w:t>
            </w:r>
            <w:r>
              <w:rPr>
                <w:rFonts w:hint="eastAsia" w:ascii="Times New Roman" w:hAnsi="Times New Roman" w:cs="Times New Roman"/>
                <w:color w:val="auto"/>
                <w:highlight w:val="none"/>
                <w:lang w:val="en-US" w:eastAsia="zh-CN"/>
              </w:rPr>
              <w:t>1000</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eastAsia="zh-CN"/>
              </w:rPr>
              <w:t>的范围内</w:t>
            </w:r>
            <w:r>
              <w:rPr>
                <w:rFonts w:hint="eastAsia" w:cs="Times New Roman"/>
                <w:color w:val="auto"/>
                <w:highlight w:val="none"/>
                <w:lang w:val="en-US" w:eastAsia="zh-CN"/>
              </w:rPr>
              <w:t>，</w:t>
            </w:r>
            <w:r>
              <w:rPr>
                <w:rFonts w:hint="default" w:ascii="Times New Roman" w:hAnsi="Times New Roman" w:cs="Times New Roman"/>
                <w:color w:val="auto"/>
                <w:highlight w:val="none"/>
              </w:rPr>
              <w:t>选厂</w:t>
            </w:r>
            <w:r>
              <w:rPr>
                <w:rFonts w:hint="default" w:ascii="Times New Roman" w:hAnsi="Times New Roman" w:cs="Times New Roman"/>
                <w:color w:val="auto"/>
                <w:highlight w:val="none"/>
                <w:lang w:eastAsia="zh-CN"/>
              </w:rPr>
              <w:t>、尾矿库</w:t>
            </w:r>
            <w:r>
              <w:rPr>
                <w:rFonts w:hint="default" w:ascii="Times New Roman" w:hAnsi="Times New Roman" w:cs="Times New Roman"/>
                <w:color w:val="auto"/>
                <w:highlight w:val="none"/>
              </w:rPr>
              <w:t>用地范围及外延</w:t>
            </w:r>
            <w:r>
              <w:rPr>
                <w:rFonts w:hint="eastAsia" w:cs="Times New Roman"/>
                <w:color w:val="auto"/>
                <w:highlight w:val="none"/>
                <w:lang w:val="en-US" w:eastAsia="zh-CN"/>
              </w:rPr>
              <w:t>50</w:t>
            </w:r>
            <w:r>
              <w:rPr>
                <w:rFonts w:hint="default" w:ascii="Times New Roman" w:hAnsi="Times New Roman" w:cs="Times New Roman"/>
                <w:color w:val="auto"/>
                <w:highlight w:val="none"/>
              </w:rPr>
              <w:t>m</w:t>
            </w:r>
            <w:r>
              <w:rPr>
                <w:rFonts w:hint="default" w:ascii="Times New Roman" w:hAnsi="Times New Roman" w:cs="Times New Roman"/>
                <w:color w:val="auto"/>
                <w:highlight w:val="none"/>
                <w:lang w:eastAsia="zh-CN"/>
              </w:rPr>
              <w:t>的范围内</w:t>
            </w:r>
          </w:p>
        </w:tc>
        <w:tc>
          <w:tcPr>
            <w:tcW w:w="1445" w:type="pct"/>
            <w:shd w:val="clear" w:color="auto" w:fill="auto"/>
            <w:vAlign w:val="center"/>
          </w:tcPr>
          <w:p w14:paraId="5A647F6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rPr>
              <w:t>不受明显影响</w:t>
            </w:r>
          </w:p>
        </w:tc>
        <w:tc>
          <w:tcPr>
            <w:tcW w:w="1304" w:type="pct"/>
            <w:vAlign w:val="center"/>
          </w:tcPr>
          <w:p w14:paraId="03451FCB">
            <w:pPr>
              <w:pStyle w:val="17"/>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占地范围内执行</w:t>
            </w:r>
            <w:r>
              <w:rPr>
                <w:rFonts w:hint="default" w:ascii="Times New Roman" w:hAnsi="Times New Roman" w:cs="Times New Roman"/>
                <w:color w:val="auto"/>
                <w:highlight w:val="none"/>
              </w:rPr>
              <w:t>《土壤环境质量 建设用地土壤污染风险管控标准（试行）》（GB36600-2018）</w:t>
            </w:r>
            <w:r>
              <w:rPr>
                <w:rFonts w:hint="eastAsia" w:cs="Times New Roman"/>
                <w:color w:val="auto"/>
                <w:highlight w:val="none"/>
                <w:lang w:eastAsia="zh-CN"/>
              </w:rPr>
              <w:t>，</w:t>
            </w:r>
            <w:r>
              <w:rPr>
                <w:rFonts w:hint="eastAsia" w:cs="Times New Roman"/>
                <w:color w:val="auto"/>
                <w:highlight w:val="none"/>
                <w:lang w:val="en-US" w:eastAsia="zh-CN"/>
              </w:rPr>
              <w:t>占地范围外执行《土壤环境质量 农用地土壤污染风险管控标准（试行）》（GB15618-2018）</w:t>
            </w:r>
          </w:p>
        </w:tc>
      </w:tr>
      <w:tr w14:paraId="096B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 w:type="pct"/>
            <w:vAlign w:val="center"/>
          </w:tcPr>
          <w:p w14:paraId="24F9EACA">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生态</w:t>
            </w:r>
          </w:p>
        </w:tc>
        <w:tc>
          <w:tcPr>
            <w:tcW w:w="1749" w:type="pct"/>
            <w:gridSpan w:val="2"/>
            <w:vAlign w:val="center"/>
          </w:tcPr>
          <w:p w14:paraId="4D36FA10">
            <w:pPr>
              <w:pStyle w:val="17"/>
              <w:bidi w:val="0"/>
              <w:rPr>
                <w:rFonts w:hint="default" w:ascii="Times New Roman" w:hAnsi="Times New Roman" w:cs="Times New Roman"/>
                <w:color w:val="auto"/>
                <w:highlight w:val="none"/>
                <w:lang w:eastAsia="zh-CN"/>
              </w:rPr>
            </w:pPr>
            <w:r>
              <w:rPr>
                <w:rFonts w:hint="eastAsia" w:cs="Times New Roman"/>
                <w:color w:val="auto"/>
                <w:highlight w:val="none"/>
                <w:lang w:val="en-US" w:eastAsia="zh-CN"/>
              </w:rPr>
              <w:t>矿区、</w:t>
            </w:r>
            <w:r>
              <w:rPr>
                <w:rFonts w:hint="default" w:ascii="Times New Roman" w:hAnsi="Times New Roman" w:cs="Times New Roman"/>
                <w:color w:val="auto"/>
                <w:highlight w:val="none"/>
              </w:rPr>
              <w:t>尾矿库、选矿厂边界外延</w:t>
            </w:r>
            <w:r>
              <w:rPr>
                <w:rFonts w:hint="eastAsia" w:cs="Times New Roman"/>
                <w:color w:val="auto"/>
                <w:highlight w:val="none"/>
                <w:lang w:val="en-US" w:eastAsia="zh-CN"/>
              </w:rPr>
              <w:t>100</w:t>
            </w:r>
            <w:r>
              <w:rPr>
                <w:rFonts w:hint="default" w:ascii="Times New Roman" w:hAnsi="Times New Roman" w:cs="Times New Roman"/>
                <w:color w:val="auto"/>
                <w:highlight w:val="none"/>
              </w:rPr>
              <w:t>0m</w:t>
            </w:r>
            <w:r>
              <w:rPr>
                <w:rFonts w:hint="default" w:ascii="Times New Roman" w:hAnsi="Times New Roman" w:cs="Times New Roman"/>
                <w:color w:val="auto"/>
                <w:highlight w:val="none"/>
                <w:lang w:eastAsia="zh-CN"/>
              </w:rPr>
              <w:t>范围</w:t>
            </w:r>
          </w:p>
        </w:tc>
        <w:tc>
          <w:tcPr>
            <w:tcW w:w="1445" w:type="pct"/>
            <w:vAlign w:val="center"/>
          </w:tcPr>
          <w:p w14:paraId="07982B7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地表植被、动物、土壤</w:t>
            </w:r>
          </w:p>
        </w:tc>
        <w:tc>
          <w:tcPr>
            <w:tcW w:w="1304" w:type="pct"/>
            <w:vAlign w:val="center"/>
          </w:tcPr>
          <w:p w14:paraId="6BA5687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保护生态系统结构和功能的完整性、稳定性；防止水土流失</w:t>
            </w:r>
          </w:p>
        </w:tc>
      </w:tr>
      <w:tr w14:paraId="7469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01" w:type="pct"/>
            <w:vMerge w:val="restart"/>
            <w:vAlign w:val="center"/>
          </w:tcPr>
          <w:p w14:paraId="52209314">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w:t>
            </w:r>
          </w:p>
          <w:p w14:paraId="375274BB">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风险</w:t>
            </w:r>
          </w:p>
        </w:tc>
        <w:tc>
          <w:tcPr>
            <w:tcW w:w="772" w:type="pct"/>
            <w:vAlign w:val="center"/>
          </w:tcPr>
          <w:p w14:paraId="74521FB6">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生活区</w:t>
            </w:r>
          </w:p>
        </w:tc>
        <w:tc>
          <w:tcPr>
            <w:tcW w:w="976" w:type="pct"/>
            <w:vAlign w:val="center"/>
          </w:tcPr>
          <w:p w14:paraId="79886BF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选厂</w:t>
            </w:r>
            <w:r>
              <w:rPr>
                <w:rFonts w:hint="default" w:ascii="Times New Roman" w:hAnsi="Times New Roman" w:cs="Times New Roman"/>
                <w:color w:val="auto"/>
                <w:highlight w:val="none"/>
                <w:lang w:eastAsia="zh-CN"/>
              </w:rPr>
              <w:t>西</w:t>
            </w:r>
            <w:r>
              <w:rPr>
                <w:rFonts w:hint="default" w:ascii="Times New Roman" w:hAnsi="Times New Roman" w:cs="Times New Roman"/>
                <w:color w:val="auto"/>
                <w:highlight w:val="none"/>
              </w:rPr>
              <w:t>侧</w:t>
            </w:r>
          </w:p>
        </w:tc>
        <w:tc>
          <w:tcPr>
            <w:tcW w:w="2749" w:type="pct"/>
            <w:gridSpan w:val="2"/>
            <w:vAlign w:val="center"/>
          </w:tcPr>
          <w:p w14:paraId="00F7EF5E">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不受风险事故明显影响</w:t>
            </w:r>
          </w:p>
        </w:tc>
      </w:tr>
      <w:tr w14:paraId="4DF1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01" w:type="pct"/>
            <w:vMerge w:val="continue"/>
            <w:vAlign w:val="center"/>
          </w:tcPr>
          <w:p w14:paraId="421D2479">
            <w:pPr>
              <w:pStyle w:val="17"/>
              <w:bidi w:val="0"/>
              <w:rPr>
                <w:rFonts w:hint="default" w:ascii="Times New Roman" w:hAnsi="Times New Roman" w:cs="Times New Roman"/>
                <w:color w:val="auto"/>
                <w:highlight w:val="none"/>
              </w:rPr>
            </w:pPr>
          </w:p>
        </w:tc>
        <w:tc>
          <w:tcPr>
            <w:tcW w:w="1749" w:type="pct"/>
            <w:gridSpan w:val="2"/>
            <w:vAlign w:val="center"/>
          </w:tcPr>
          <w:p w14:paraId="33C79533">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w:t>
            </w:r>
          </w:p>
        </w:tc>
        <w:tc>
          <w:tcPr>
            <w:tcW w:w="1445" w:type="pct"/>
            <w:vAlign w:val="center"/>
          </w:tcPr>
          <w:p w14:paraId="10EAD6D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防止溃坝</w:t>
            </w:r>
          </w:p>
        </w:tc>
        <w:tc>
          <w:tcPr>
            <w:tcW w:w="1304" w:type="pct"/>
            <w:vAlign w:val="center"/>
          </w:tcPr>
          <w:p w14:paraId="5183C239">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环境风险可控</w:t>
            </w:r>
          </w:p>
        </w:tc>
      </w:tr>
      <w:tr w14:paraId="17FC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01" w:type="pct"/>
            <w:vMerge w:val="continue"/>
            <w:vAlign w:val="center"/>
          </w:tcPr>
          <w:p w14:paraId="4F8E17F1">
            <w:pPr>
              <w:pStyle w:val="17"/>
              <w:bidi w:val="0"/>
              <w:rPr>
                <w:rFonts w:hint="default" w:ascii="Times New Roman" w:hAnsi="Times New Roman" w:cs="Times New Roman"/>
                <w:color w:val="auto"/>
                <w:highlight w:val="none"/>
              </w:rPr>
            </w:pPr>
          </w:p>
        </w:tc>
        <w:tc>
          <w:tcPr>
            <w:tcW w:w="772" w:type="pct"/>
            <w:vAlign w:val="center"/>
          </w:tcPr>
          <w:p w14:paraId="7A4B8F4F">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阿克苏</w:t>
            </w:r>
            <w:r>
              <w:rPr>
                <w:rFonts w:hint="default" w:ascii="Times New Roman" w:hAnsi="Times New Roman" w:cs="Times New Roman"/>
                <w:color w:val="auto"/>
                <w:highlight w:val="none"/>
              </w:rPr>
              <w:t>河</w:t>
            </w:r>
          </w:p>
        </w:tc>
        <w:tc>
          <w:tcPr>
            <w:tcW w:w="976" w:type="pct"/>
            <w:vAlign w:val="center"/>
          </w:tcPr>
          <w:p w14:paraId="6156FF8B">
            <w:pPr>
              <w:pStyle w:val="17"/>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由</w:t>
            </w:r>
            <w:r>
              <w:rPr>
                <w:rFonts w:hint="default" w:ascii="Times New Roman" w:hAnsi="Times New Roman" w:cs="Times New Roman"/>
                <w:color w:val="auto"/>
                <w:highlight w:val="none"/>
                <w:lang w:val="en-US" w:eastAsia="zh-CN"/>
              </w:rPr>
              <w:t>南向北流经矿区</w:t>
            </w:r>
          </w:p>
        </w:tc>
        <w:tc>
          <w:tcPr>
            <w:tcW w:w="1445" w:type="pct"/>
            <w:vAlign w:val="center"/>
          </w:tcPr>
          <w:p w14:paraId="2B11B9E8">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地表水环境质量</w:t>
            </w:r>
          </w:p>
        </w:tc>
        <w:tc>
          <w:tcPr>
            <w:tcW w:w="1304" w:type="pct"/>
            <w:vAlign w:val="center"/>
          </w:tcPr>
          <w:p w14:paraId="2C01A397">
            <w:pPr>
              <w:pStyle w:val="17"/>
              <w:bidi w:val="0"/>
              <w:rPr>
                <w:rFonts w:hint="default" w:ascii="Times New Roman" w:hAnsi="Times New Roman" w:cs="Times New Roman"/>
                <w:color w:val="auto"/>
                <w:highlight w:val="none"/>
              </w:rPr>
            </w:pPr>
            <w:r>
              <w:rPr>
                <w:rFonts w:hint="eastAsia" w:cs="Times New Roman"/>
                <w:color w:val="auto"/>
                <w:highlight w:val="none"/>
                <w:lang w:val="en-US" w:eastAsia="zh-CN"/>
              </w:rPr>
              <w:t>防治</w:t>
            </w:r>
            <w:r>
              <w:rPr>
                <w:rFonts w:hint="default" w:ascii="Times New Roman" w:hAnsi="Times New Roman" w:cs="Times New Roman"/>
                <w:color w:val="auto"/>
                <w:highlight w:val="none"/>
              </w:rPr>
              <w:t>事故状态下对区域地表水质量的影响</w:t>
            </w:r>
          </w:p>
        </w:tc>
      </w:tr>
    </w:tbl>
    <w:p w14:paraId="11B0ECDF">
      <w:pPr>
        <w:ind w:firstLine="480"/>
        <w:rPr>
          <w:rFonts w:hint="default" w:ascii="Times New Roman" w:hAnsi="Times New Roman" w:cs="Times New Roman"/>
          <w:color w:val="auto"/>
          <w:highlight w:val="none"/>
        </w:rPr>
      </w:pPr>
    </w:p>
    <w:p w14:paraId="356D9960">
      <w:pPr>
        <w:rPr>
          <w:color w:val="auto"/>
          <w:highlight w:val="none"/>
        </w:rPr>
      </w:pPr>
      <w:r>
        <w:rPr>
          <w:color w:val="auto"/>
          <w:highlight w:val="none"/>
        </w:rPr>
        <w:br w:type="page"/>
      </w:r>
    </w:p>
    <w:p w14:paraId="361AB363">
      <w:pPr>
        <w:pStyle w:val="4"/>
        <w:spacing w:line="720" w:lineRule="exact"/>
        <w:rPr>
          <w:color w:val="auto"/>
          <w:highlight w:val="none"/>
        </w:rPr>
      </w:pPr>
      <w:bookmarkStart w:id="316" w:name="_Toc7126"/>
      <w:bookmarkStart w:id="317" w:name="_Toc107413885"/>
      <w:bookmarkStart w:id="318" w:name="_Toc10705"/>
      <w:bookmarkStart w:id="319" w:name="_Toc1953"/>
      <w:bookmarkStart w:id="320" w:name="_Toc107414652"/>
      <w:bookmarkStart w:id="321" w:name="_Toc19143"/>
      <w:bookmarkStart w:id="322" w:name="_Toc24602"/>
      <w:bookmarkStart w:id="323" w:name="_Toc28574"/>
      <w:r>
        <w:rPr>
          <w:rFonts w:hint="eastAsia"/>
          <w:color w:val="auto"/>
          <w:highlight w:val="none"/>
        </w:rPr>
        <w:t>3建设项目工程分析</w:t>
      </w:r>
      <w:bookmarkEnd w:id="316"/>
      <w:bookmarkEnd w:id="317"/>
      <w:bookmarkEnd w:id="318"/>
      <w:bookmarkEnd w:id="319"/>
      <w:bookmarkEnd w:id="320"/>
      <w:bookmarkEnd w:id="321"/>
      <w:bookmarkEnd w:id="322"/>
      <w:bookmarkEnd w:id="323"/>
    </w:p>
    <w:p w14:paraId="4DF2ACA2">
      <w:pPr>
        <w:pStyle w:val="5"/>
        <w:spacing w:line="560" w:lineRule="atLeast"/>
        <w:rPr>
          <w:color w:val="auto"/>
          <w:highlight w:val="none"/>
        </w:rPr>
      </w:pPr>
      <w:bookmarkStart w:id="324" w:name="_Toc31573"/>
      <w:bookmarkStart w:id="325" w:name="_Toc29096"/>
      <w:bookmarkStart w:id="326" w:name="_Toc107414654"/>
      <w:bookmarkStart w:id="327" w:name="_Toc4438"/>
      <w:bookmarkStart w:id="328" w:name="_Toc20486"/>
      <w:bookmarkStart w:id="329" w:name="_Toc1236"/>
      <w:bookmarkStart w:id="330" w:name="_Toc9545"/>
      <w:bookmarkStart w:id="331" w:name="_Toc107413887"/>
      <w:r>
        <w:rPr>
          <w:rFonts w:hint="eastAsia"/>
          <w:color w:val="auto"/>
          <w:highlight w:val="none"/>
        </w:rPr>
        <w:t>3</w:t>
      </w:r>
      <w:r>
        <w:rPr>
          <w:color w:val="auto"/>
          <w:highlight w:val="none"/>
        </w:rPr>
        <w:t>.</w:t>
      </w:r>
      <w:r>
        <w:rPr>
          <w:rFonts w:hint="eastAsia"/>
          <w:color w:val="auto"/>
          <w:highlight w:val="none"/>
          <w:lang w:val="en-US" w:eastAsia="zh-CN"/>
        </w:rPr>
        <w:t>1</w:t>
      </w:r>
      <w:r>
        <w:rPr>
          <w:rFonts w:hint="eastAsia"/>
          <w:color w:val="auto"/>
          <w:highlight w:val="none"/>
        </w:rPr>
        <w:t>项目概况</w:t>
      </w:r>
      <w:bookmarkEnd w:id="324"/>
      <w:bookmarkEnd w:id="325"/>
      <w:bookmarkEnd w:id="326"/>
      <w:bookmarkEnd w:id="327"/>
      <w:bookmarkEnd w:id="328"/>
      <w:bookmarkEnd w:id="329"/>
      <w:bookmarkEnd w:id="330"/>
      <w:bookmarkEnd w:id="331"/>
    </w:p>
    <w:p w14:paraId="15CEC36B">
      <w:pPr>
        <w:pStyle w:val="6"/>
        <w:rPr>
          <w:color w:val="auto"/>
          <w:highlight w:val="none"/>
        </w:rPr>
      </w:pPr>
      <w:bookmarkStart w:id="332" w:name="_Toc27767"/>
      <w:bookmarkStart w:id="333" w:name="_Toc19593"/>
      <w:bookmarkStart w:id="334" w:name="_Toc9874"/>
      <w:r>
        <w:rPr>
          <w:rFonts w:hint="eastAsia"/>
          <w:color w:val="auto"/>
          <w:highlight w:val="none"/>
        </w:rPr>
        <w:t>3</w:t>
      </w:r>
      <w:r>
        <w:rPr>
          <w:color w:val="auto"/>
          <w:highlight w:val="none"/>
        </w:rPr>
        <w:t>.</w:t>
      </w:r>
      <w:r>
        <w:rPr>
          <w:rFonts w:hint="eastAsia"/>
          <w:color w:val="auto"/>
          <w:highlight w:val="none"/>
          <w:lang w:val="en-US" w:eastAsia="zh-CN"/>
        </w:rPr>
        <w:t>1</w:t>
      </w:r>
      <w:r>
        <w:rPr>
          <w:color w:val="auto"/>
          <w:highlight w:val="none"/>
        </w:rPr>
        <w:t>.1</w:t>
      </w:r>
      <w:r>
        <w:rPr>
          <w:rFonts w:hint="eastAsia"/>
          <w:color w:val="auto"/>
          <w:highlight w:val="none"/>
        </w:rPr>
        <w:t>项目基本情况</w:t>
      </w:r>
      <w:bookmarkEnd w:id="332"/>
      <w:bookmarkEnd w:id="333"/>
      <w:bookmarkEnd w:id="334"/>
    </w:p>
    <w:p w14:paraId="25E284E6">
      <w:pPr>
        <w:overflowPunct w:val="0"/>
        <w:topLinePunct/>
        <w:snapToGrid w:val="0"/>
        <w:ind w:firstLine="480" w:firstLineChars="200"/>
        <w:rPr>
          <w:rFonts w:hint="eastAsia" w:eastAsia="宋体"/>
          <w:color w:val="auto"/>
          <w:highlight w:val="none"/>
          <w:lang w:eastAsia="zh-CN"/>
        </w:rPr>
      </w:pPr>
      <w:r>
        <w:rPr>
          <w:color w:val="auto"/>
          <w:highlight w:val="none"/>
        </w:rPr>
        <w:t>项目名称：</w:t>
      </w:r>
      <w:r>
        <w:rPr>
          <w:rFonts w:hint="eastAsia"/>
          <w:color w:val="auto"/>
          <w:highlight w:val="none"/>
          <w:lang w:eastAsia="zh-CN"/>
        </w:rPr>
        <w:t>新疆若羌县卡尔恰尔萤石矿采选项目（</w:t>
      </w:r>
      <w:r>
        <w:rPr>
          <w:rFonts w:hint="eastAsia"/>
          <w:color w:val="auto"/>
          <w:highlight w:val="none"/>
          <w:lang w:val="en-US" w:eastAsia="zh-CN"/>
        </w:rPr>
        <w:t>重大变动</w:t>
      </w:r>
      <w:r>
        <w:rPr>
          <w:rFonts w:hint="eastAsia"/>
          <w:color w:val="auto"/>
          <w:highlight w:val="none"/>
          <w:lang w:eastAsia="zh-CN"/>
        </w:rPr>
        <w:t>）</w:t>
      </w:r>
    </w:p>
    <w:p w14:paraId="6781B039">
      <w:pPr>
        <w:overflowPunct w:val="0"/>
        <w:topLinePunct/>
        <w:snapToGrid w:val="0"/>
        <w:ind w:firstLine="480" w:firstLineChars="200"/>
        <w:rPr>
          <w:rFonts w:hint="eastAsia" w:eastAsia="宋体"/>
          <w:color w:val="auto"/>
          <w:highlight w:val="none"/>
          <w:lang w:eastAsia="zh-CN"/>
        </w:rPr>
      </w:pPr>
      <w:r>
        <w:rPr>
          <w:color w:val="auto"/>
          <w:highlight w:val="none"/>
        </w:rPr>
        <w:t>建设单位：</w:t>
      </w:r>
      <w:r>
        <w:rPr>
          <w:rFonts w:hint="eastAsia"/>
          <w:color w:val="auto"/>
          <w:highlight w:val="none"/>
          <w:lang w:eastAsia="zh-CN"/>
        </w:rPr>
        <w:t>新疆华瓯矿业有限公司</w:t>
      </w:r>
    </w:p>
    <w:p w14:paraId="0189C7A5">
      <w:pPr>
        <w:overflowPunct w:val="0"/>
        <w:topLinePunct/>
        <w:snapToGrid w:val="0"/>
        <w:ind w:firstLine="480" w:firstLineChars="200"/>
        <w:rPr>
          <w:rFonts w:hint="eastAsia" w:eastAsia="宋体"/>
          <w:color w:val="auto"/>
          <w:highlight w:val="none"/>
          <w:lang w:eastAsia="zh-CN"/>
        </w:rPr>
      </w:pPr>
      <w:r>
        <w:rPr>
          <w:rFonts w:hint="eastAsia"/>
          <w:color w:val="auto"/>
          <w:highlight w:val="none"/>
        </w:rPr>
        <w:t>建设性质：</w:t>
      </w:r>
      <w:r>
        <w:rPr>
          <w:rFonts w:hint="eastAsia"/>
          <w:color w:val="auto"/>
          <w:highlight w:val="none"/>
          <w:lang w:eastAsia="zh-CN"/>
        </w:rPr>
        <w:t>新建</w:t>
      </w:r>
    </w:p>
    <w:p w14:paraId="22A297DE">
      <w:pPr>
        <w:overflowPunct w:val="0"/>
        <w:topLinePunct/>
        <w:snapToGrid w:val="0"/>
        <w:ind w:firstLine="480" w:firstLineChars="200"/>
        <w:rPr>
          <w:color w:val="auto"/>
          <w:highlight w:val="none"/>
        </w:rPr>
      </w:pPr>
      <w:r>
        <w:rPr>
          <w:rFonts w:hint="eastAsia"/>
          <w:color w:val="auto"/>
          <w:highlight w:val="none"/>
        </w:rPr>
        <w:t>建设规模：年</w:t>
      </w:r>
      <w:r>
        <w:rPr>
          <w:rFonts w:hint="eastAsia"/>
          <w:color w:val="auto"/>
          <w:highlight w:val="none"/>
          <w:lang w:val="en-US" w:eastAsia="zh-CN"/>
        </w:rPr>
        <w:t>采选</w:t>
      </w:r>
      <w:r>
        <w:rPr>
          <w:rFonts w:hint="eastAsia"/>
          <w:color w:val="auto"/>
          <w:highlight w:val="none"/>
          <w:lang w:eastAsia="zh-CN"/>
        </w:rPr>
        <w:t>萤石</w:t>
      </w:r>
      <w:r>
        <w:rPr>
          <w:rFonts w:hint="eastAsia"/>
          <w:color w:val="auto"/>
          <w:highlight w:val="none"/>
        </w:rPr>
        <w:t>矿石</w:t>
      </w:r>
      <w:r>
        <w:rPr>
          <w:rFonts w:hint="eastAsia"/>
          <w:color w:val="auto"/>
          <w:highlight w:val="none"/>
          <w:lang w:val="en-US" w:eastAsia="zh-CN"/>
        </w:rPr>
        <w:t>12</w:t>
      </w:r>
      <w:r>
        <w:rPr>
          <w:rFonts w:hint="eastAsia"/>
          <w:color w:val="auto"/>
          <w:highlight w:val="none"/>
        </w:rPr>
        <w:t>0万t/a。</w:t>
      </w:r>
    </w:p>
    <w:p w14:paraId="25E03807">
      <w:pPr>
        <w:overflowPunct w:val="0"/>
        <w:topLinePunct/>
        <w:snapToGrid w:val="0"/>
        <w:ind w:firstLine="480" w:firstLineChars="200"/>
        <w:rPr>
          <w:color w:val="auto"/>
          <w:highlight w:val="none"/>
        </w:rPr>
      </w:pPr>
      <w:r>
        <w:rPr>
          <w:rFonts w:hint="eastAsia"/>
          <w:color w:val="auto"/>
          <w:highlight w:val="none"/>
        </w:rPr>
        <w:t>建设地点：新疆维吾尔自治区巴音郭楞蒙古自治州</w:t>
      </w:r>
      <w:r>
        <w:rPr>
          <w:rFonts w:hint="eastAsia"/>
          <w:color w:val="auto"/>
          <w:highlight w:val="none"/>
          <w:lang w:eastAsia="zh-CN"/>
        </w:rPr>
        <w:t>若羌</w:t>
      </w:r>
      <w:r>
        <w:rPr>
          <w:rFonts w:hint="eastAsia"/>
          <w:color w:val="auto"/>
          <w:highlight w:val="none"/>
        </w:rPr>
        <w:t>县</w:t>
      </w:r>
      <w:r>
        <w:rPr>
          <w:rFonts w:hint="eastAsia"/>
          <w:color w:val="auto"/>
          <w:highlight w:val="none"/>
          <w:lang w:eastAsia="zh-CN"/>
        </w:rPr>
        <w:t>东南</w:t>
      </w:r>
      <w:r>
        <w:rPr>
          <w:rFonts w:hint="eastAsia"/>
          <w:color w:val="auto"/>
          <w:highlight w:val="none"/>
          <w:lang w:val="en-US" w:eastAsia="zh-CN"/>
        </w:rPr>
        <w:t>144</w:t>
      </w:r>
      <w:r>
        <w:rPr>
          <w:rFonts w:hint="eastAsia"/>
          <w:color w:val="auto"/>
          <w:highlight w:val="none"/>
        </w:rPr>
        <w:t>°方向，距</w:t>
      </w:r>
      <w:r>
        <w:rPr>
          <w:rFonts w:hint="eastAsia"/>
          <w:color w:val="auto"/>
          <w:highlight w:val="none"/>
          <w:lang w:eastAsia="zh-CN"/>
        </w:rPr>
        <w:t>若羌</w:t>
      </w:r>
      <w:r>
        <w:rPr>
          <w:rFonts w:hint="eastAsia"/>
          <w:color w:val="auto"/>
          <w:highlight w:val="none"/>
        </w:rPr>
        <w:t>县城</w:t>
      </w:r>
      <w:r>
        <w:rPr>
          <w:rFonts w:hint="eastAsia"/>
          <w:color w:val="auto"/>
          <w:highlight w:val="none"/>
          <w:lang w:eastAsia="zh-CN"/>
        </w:rPr>
        <w:t>直线距离</w:t>
      </w:r>
      <w:r>
        <w:rPr>
          <w:rFonts w:hint="eastAsia"/>
          <w:color w:val="auto"/>
          <w:highlight w:val="none"/>
          <w:lang w:val="en-US" w:eastAsia="zh-CN"/>
        </w:rPr>
        <w:t>74</w:t>
      </w:r>
      <w:r>
        <w:rPr>
          <w:rFonts w:hint="eastAsia"/>
          <w:color w:val="auto"/>
          <w:highlight w:val="none"/>
        </w:rPr>
        <w:t>公里</w:t>
      </w:r>
      <w:r>
        <w:rPr>
          <w:rFonts w:hint="eastAsia"/>
          <w:color w:val="auto"/>
          <w:highlight w:val="none"/>
          <w:lang w:val="en-US" w:eastAsia="zh-CN"/>
        </w:rPr>
        <w:t>处</w:t>
      </w:r>
      <w:r>
        <w:rPr>
          <w:rFonts w:hint="eastAsia"/>
          <w:color w:val="auto"/>
          <w:highlight w:val="none"/>
        </w:rPr>
        <w:t>，行政区划隶属</w:t>
      </w:r>
      <w:r>
        <w:rPr>
          <w:rFonts w:hint="eastAsia"/>
          <w:color w:val="auto"/>
          <w:highlight w:val="none"/>
          <w:lang w:eastAsia="zh-CN"/>
        </w:rPr>
        <w:t>若羌</w:t>
      </w:r>
      <w:r>
        <w:rPr>
          <w:rFonts w:hint="eastAsia"/>
          <w:color w:val="auto"/>
          <w:highlight w:val="none"/>
        </w:rPr>
        <w:t>县管辖。本项目地理位置见图</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1</w:t>
      </w:r>
      <w:r>
        <w:rPr>
          <w:rFonts w:hint="eastAsia"/>
          <w:color w:val="auto"/>
          <w:highlight w:val="none"/>
        </w:rPr>
        <w:t>-1。</w:t>
      </w:r>
    </w:p>
    <w:p w14:paraId="7FC4F3E4">
      <w:pPr>
        <w:overflowPunct w:val="0"/>
        <w:topLinePunct/>
        <w:ind w:firstLine="480"/>
        <w:rPr>
          <w:color w:val="auto"/>
          <w:highlight w:val="none"/>
        </w:rPr>
      </w:pPr>
      <w:r>
        <w:rPr>
          <w:rFonts w:hint="eastAsia"/>
          <w:color w:val="auto"/>
          <w:highlight w:val="none"/>
        </w:rPr>
        <w:t>服务年限：</w:t>
      </w:r>
      <w:r>
        <w:rPr>
          <w:rFonts w:hint="eastAsia"/>
          <w:color w:val="auto"/>
          <w:highlight w:val="none"/>
          <w:lang w:val="en-US" w:eastAsia="zh-CN"/>
        </w:rPr>
        <w:t>矿山设计服务年限为41年，</w:t>
      </w:r>
      <w:r>
        <w:rPr>
          <w:rFonts w:hint="eastAsia"/>
          <w:color w:val="auto"/>
          <w:highlight w:val="none"/>
        </w:rPr>
        <w:t>选矿厂、尾矿库服务年限为</w:t>
      </w:r>
      <w:r>
        <w:rPr>
          <w:rFonts w:hint="eastAsia"/>
          <w:color w:val="auto"/>
          <w:highlight w:val="none"/>
          <w:lang w:val="en-US" w:eastAsia="zh-CN"/>
        </w:rPr>
        <w:t>41</w:t>
      </w:r>
      <w:r>
        <w:rPr>
          <w:rFonts w:hint="eastAsia"/>
          <w:color w:val="auto"/>
          <w:highlight w:val="none"/>
        </w:rPr>
        <w:t>年。</w:t>
      </w:r>
    </w:p>
    <w:p w14:paraId="6AA854EF">
      <w:pPr>
        <w:overflowPunct w:val="0"/>
        <w:topLinePunct/>
        <w:ind w:firstLine="480"/>
        <w:rPr>
          <w:color w:val="auto"/>
          <w:highlight w:val="none"/>
        </w:rPr>
      </w:pPr>
      <w:r>
        <w:rPr>
          <w:rFonts w:hint="eastAsia"/>
          <w:color w:val="auto"/>
          <w:highlight w:val="none"/>
        </w:rPr>
        <w:t>项目建设</w:t>
      </w:r>
      <w:r>
        <w:rPr>
          <w:rFonts w:hint="eastAsia"/>
          <w:color w:val="auto"/>
          <w:highlight w:val="none"/>
          <w:lang w:val="en-US" w:eastAsia="zh-CN"/>
        </w:rPr>
        <w:t>情况</w:t>
      </w:r>
      <w:r>
        <w:rPr>
          <w:rFonts w:hint="eastAsia"/>
          <w:color w:val="auto"/>
          <w:highlight w:val="none"/>
        </w:rPr>
        <w:t>：开工时间为2</w:t>
      </w:r>
      <w:r>
        <w:rPr>
          <w:color w:val="auto"/>
          <w:highlight w:val="none"/>
        </w:rPr>
        <w:t>023</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目前</w:t>
      </w:r>
      <w:r>
        <w:rPr>
          <w:rFonts w:hint="default"/>
          <w:color w:val="auto"/>
          <w:highlight w:val="none"/>
          <w:lang w:val="zh-CN" w:eastAsia="zh-CN"/>
        </w:rPr>
        <w:t>胶带斜井（BC1</w:t>
      </w:r>
      <w:r>
        <w:rPr>
          <w:rFonts w:hint="eastAsia"/>
          <w:color w:val="auto"/>
          <w:highlight w:val="none"/>
          <w:lang w:val="zh-CN" w:eastAsia="zh-CN"/>
        </w:rPr>
        <w:t>）、</w:t>
      </w:r>
      <w:r>
        <w:rPr>
          <w:rFonts w:hint="eastAsia"/>
          <w:color w:val="auto"/>
          <w:highlight w:val="none"/>
        </w:rPr>
        <w:t>辅助斜坡道</w:t>
      </w:r>
      <w:r>
        <w:rPr>
          <w:rFonts w:hint="eastAsia"/>
          <w:color w:val="auto"/>
          <w:highlight w:val="none"/>
          <w:lang w:eastAsia="zh-CN"/>
        </w:rPr>
        <w:t>、</w:t>
      </w:r>
      <w:r>
        <w:rPr>
          <w:rFonts w:hint="default"/>
          <w:color w:val="auto"/>
          <w:highlight w:val="none"/>
          <w:lang w:val="zh-CN" w:eastAsia="zh-CN"/>
        </w:rPr>
        <w:t>进风井、东回风井</w:t>
      </w:r>
      <w:r>
        <w:rPr>
          <w:rFonts w:hint="eastAsia"/>
          <w:color w:val="auto"/>
          <w:highlight w:val="none"/>
          <w:lang w:val="zh-CN" w:eastAsia="zh-CN"/>
        </w:rPr>
        <w:t>、</w:t>
      </w:r>
      <w:r>
        <w:rPr>
          <w:rFonts w:hint="default"/>
          <w:color w:val="auto"/>
          <w:highlight w:val="none"/>
          <w:lang w:val="zh-CN" w:eastAsia="zh-CN"/>
        </w:rPr>
        <w:t>西回风井</w:t>
      </w:r>
      <w:r>
        <w:rPr>
          <w:rFonts w:hint="eastAsia"/>
          <w:color w:val="auto"/>
          <w:highlight w:val="none"/>
          <w:lang w:val="zh-CN" w:eastAsia="zh-CN"/>
        </w:rPr>
        <w:t>、</w:t>
      </w:r>
      <w:r>
        <w:rPr>
          <w:rFonts w:hint="eastAsia"/>
          <w:color w:val="auto"/>
          <w:highlight w:val="none"/>
          <w:lang w:val="en-US" w:eastAsia="zh-CN"/>
        </w:rPr>
        <w:t>选矿厂、尾矿库已建设完成</w:t>
      </w:r>
      <w:r>
        <w:rPr>
          <w:rFonts w:hint="eastAsia"/>
          <w:color w:val="auto"/>
          <w:highlight w:val="none"/>
        </w:rPr>
        <w:t>。</w:t>
      </w:r>
    </w:p>
    <w:p w14:paraId="3B6C4557">
      <w:pPr>
        <w:overflowPunct w:val="0"/>
        <w:topLinePunct/>
        <w:snapToGrid w:val="0"/>
        <w:ind w:firstLine="480" w:firstLineChars="200"/>
        <w:rPr>
          <w:color w:val="auto"/>
          <w:highlight w:val="none"/>
        </w:rPr>
      </w:pPr>
      <w:r>
        <w:rPr>
          <w:color w:val="auto"/>
          <w:highlight w:val="none"/>
        </w:rPr>
        <w:t>项目</w:t>
      </w:r>
      <w:r>
        <w:rPr>
          <w:rFonts w:hint="eastAsia"/>
          <w:color w:val="auto"/>
          <w:highlight w:val="none"/>
        </w:rPr>
        <w:t>总</w:t>
      </w:r>
      <w:r>
        <w:rPr>
          <w:color w:val="auto"/>
          <w:highlight w:val="none"/>
        </w:rPr>
        <w:t>投资：</w:t>
      </w:r>
      <w:r>
        <w:rPr>
          <w:rFonts w:hint="eastAsia"/>
          <w:color w:val="auto"/>
          <w:highlight w:val="none"/>
        </w:rPr>
        <w:t>本项目总投资为</w:t>
      </w:r>
      <w:r>
        <w:rPr>
          <w:rFonts w:hint="eastAsia"/>
          <w:color w:val="auto"/>
          <w:highlight w:val="none"/>
          <w:lang w:val="en-US" w:eastAsia="zh-CN"/>
        </w:rPr>
        <w:t>161261</w:t>
      </w:r>
      <w:r>
        <w:rPr>
          <w:rFonts w:hint="eastAsia"/>
          <w:color w:val="auto"/>
          <w:highlight w:val="none"/>
        </w:rPr>
        <w:t>万元，均为企业自筹。</w:t>
      </w:r>
    </w:p>
    <w:p w14:paraId="7F0B6FF4">
      <w:pPr>
        <w:overflowPunct w:val="0"/>
        <w:topLinePunct/>
        <w:spacing w:line="480" w:lineRule="exact"/>
        <w:ind w:firstLine="480"/>
        <w:rPr>
          <w:rFonts w:cs="Times New Roman"/>
          <w:color w:val="auto"/>
          <w:szCs w:val="24"/>
          <w:highlight w:val="none"/>
        </w:rPr>
      </w:pPr>
      <w:r>
        <w:rPr>
          <w:rFonts w:cs="Times New Roman"/>
          <w:color w:val="auto"/>
          <w:szCs w:val="24"/>
          <w:highlight w:val="none"/>
        </w:rPr>
        <w:t>工作制度</w:t>
      </w:r>
      <w:r>
        <w:rPr>
          <w:rFonts w:hint="eastAsia" w:cs="Times New Roman"/>
          <w:color w:val="auto"/>
          <w:szCs w:val="24"/>
          <w:highlight w:val="none"/>
        </w:rPr>
        <w:t>：</w:t>
      </w:r>
      <w:r>
        <w:rPr>
          <w:rFonts w:cs="Times New Roman"/>
          <w:color w:val="auto"/>
          <w:szCs w:val="24"/>
          <w:highlight w:val="none"/>
        </w:rPr>
        <w:t>年工作3</w:t>
      </w:r>
      <w:r>
        <w:rPr>
          <w:rFonts w:hint="eastAsia" w:cs="Times New Roman"/>
          <w:color w:val="auto"/>
          <w:szCs w:val="24"/>
          <w:highlight w:val="none"/>
          <w:lang w:val="en-US" w:eastAsia="zh-CN"/>
        </w:rPr>
        <w:t>0</w:t>
      </w:r>
      <w:r>
        <w:rPr>
          <w:rFonts w:cs="Times New Roman"/>
          <w:color w:val="auto"/>
          <w:szCs w:val="24"/>
          <w:highlight w:val="none"/>
        </w:rPr>
        <w:t>0天，每天3班，每班8小时。</w:t>
      </w:r>
    </w:p>
    <w:p w14:paraId="16C85D21">
      <w:pPr>
        <w:overflowPunct w:val="0"/>
        <w:topLinePunct/>
        <w:spacing w:line="480" w:lineRule="exact"/>
        <w:ind w:firstLine="480"/>
        <w:rPr>
          <w:rFonts w:hint="eastAsia"/>
          <w:color w:val="auto"/>
          <w:highlight w:val="none"/>
        </w:rPr>
      </w:pPr>
      <w:r>
        <w:rPr>
          <w:rFonts w:hint="eastAsia" w:cs="Times New Roman"/>
          <w:color w:val="auto"/>
          <w:szCs w:val="24"/>
          <w:highlight w:val="none"/>
        </w:rPr>
        <w:t>劳动定员：</w:t>
      </w:r>
      <w:r>
        <w:rPr>
          <w:rFonts w:hint="eastAsia"/>
          <w:color w:val="auto"/>
          <w:highlight w:val="none"/>
          <w:lang w:val="en-US" w:eastAsia="zh-CN"/>
        </w:rPr>
        <w:t>全厂总定员253</w:t>
      </w:r>
      <w:r>
        <w:rPr>
          <w:rFonts w:hint="eastAsia"/>
          <w:color w:val="auto"/>
          <w:highlight w:val="none"/>
        </w:rPr>
        <w:t>人。</w:t>
      </w:r>
    </w:p>
    <w:p w14:paraId="7DF8A6B2">
      <w:pPr>
        <w:pStyle w:val="6"/>
        <w:rPr>
          <w:rFonts w:hint="eastAsia"/>
          <w:color w:val="auto"/>
          <w:highlight w:val="none"/>
          <w:lang w:val="en-US" w:eastAsia="zh-CN"/>
        </w:rPr>
      </w:pPr>
      <w:bookmarkStart w:id="335" w:name="_Toc2471"/>
      <w:bookmarkStart w:id="336" w:name="_Toc10631"/>
      <w:bookmarkStart w:id="337" w:name="_Toc2301"/>
      <w:r>
        <w:rPr>
          <w:rFonts w:hint="eastAsia"/>
          <w:color w:val="auto"/>
          <w:highlight w:val="none"/>
        </w:rPr>
        <w:t>3</w:t>
      </w:r>
      <w:r>
        <w:rPr>
          <w:color w:val="auto"/>
          <w:highlight w:val="none"/>
        </w:rPr>
        <w:t>.</w:t>
      </w:r>
      <w:r>
        <w:rPr>
          <w:rFonts w:hint="eastAsia"/>
          <w:color w:val="auto"/>
          <w:highlight w:val="none"/>
          <w:lang w:val="en-US" w:eastAsia="zh-CN"/>
        </w:rPr>
        <w:t>1</w:t>
      </w:r>
      <w:r>
        <w:rPr>
          <w:color w:val="auto"/>
          <w:highlight w:val="none"/>
        </w:rPr>
        <w:t>.</w:t>
      </w:r>
      <w:r>
        <w:rPr>
          <w:rFonts w:hint="eastAsia"/>
          <w:color w:val="auto"/>
          <w:highlight w:val="none"/>
          <w:lang w:val="en-US" w:eastAsia="zh-CN"/>
        </w:rPr>
        <w:t>2矿权范围</w:t>
      </w:r>
    </w:p>
    <w:p w14:paraId="51B137E0">
      <w:pPr>
        <w:overflowPunct w:val="0"/>
        <w:topLinePunct/>
        <w:snapToGrid w:val="0"/>
        <w:ind w:firstLine="480" w:firstLineChars="200"/>
        <w:rPr>
          <w:rFonts w:hint="eastAsia" w:cs="Times New Roman"/>
          <w:color w:val="auto"/>
          <w:szCs w:val="24"/>
          <w:highlight w:val="none"/>
          <w:lang w:eastAsia="zh-CN"/>
        </w:rPr>
      </w:pPr>
      <w:r>
        <w:rPr>
          <w:rFonts w:hint="eastAsia" w:cs="Times New Roman"/>
          <w:color w:val="auto"/>
          <w:szCs w:val="24"/>
          <w:highlight w:val="none"/>
        </w:rPr>
        <w:t>本项目</w:t>
      </w:r>
      <w:r>
        <w:rPr>
          <w:rFonts w:hint="eastAsia" w:cs="Times New Roman"/>
          <w:color w:val="auto"/>
          <w:szCs w:val="24"/>
          <w:highlight w:val="none"/>
          <w:lang w:val="en-US" w:eastAsia="zh-CN"/>
        </w:rPr>
        <w:t>矿区面积为7.763km</w:t>
      </w:r>
      <w:r>
        <w:rPr>
          <w:rFonts w:hint="eastAsia" w:cs="Times New Roman"/>
          <w:color w:val="auto"/>
          <w:szCs w:val="24"/>
          <w:highlight w:val="none"/>
          <w:vertAlign w:val="superscript"/>
          <w:lang w:val="en-US" w:eastAsia="zh-CN"/>
        </w:rPr>
        <w:t>2</w:t>
      </w:r>
      <w:r>
        <w:rPr>
          <w:rFonts w:hint="eastAsia" w:cs="Times New Roman"/>
          <w:color w:val="auto"/>
          <w:szCs w:val="24"/>
          <w:highlight w:val="none"/>
          <w:vertAlign w:val="baseline"/>
          <w:lang w:val="en-US" w:eastAsia="zh-CN"/>
        </w:rPr>
        <w:t>，矿区拐点坐标详见表3.1-1。</w:t>
      </w:r>
      <w:r>
        <w:rPr>
          <w:rFonts w:hint="eastAsia"/>
          <w:color w:val="auto"/>
          <w:highlight w:val="none"/>
        </w:rPr>
        <w:t>采矿工程</w:t>
      </w:r>
      <w:r>
        <w:rPr>
          <w:rFonts w:hint="eastAsia"/>
          <w:color w:val="auto"/>
          <w:highlight w:val="none"/>
          <w:lang w:val="en-US" w:eastAsia="zh-CN"/>
        </w:rPr>
        <w:t>位于矿区范围内，</w:t>
      </w:r>
      <w:r>
        <w:rPr>
          <w:rFonts w:hint="eastAsia" w:cs="Times New Roman"/>
          <w:color w:val="auto"/>
          <w:szCs w:val="24"/>
          <w:highlight w:val="none"/>
        </w:rPr>
        <w:t>选矿厂</w:t>
      </w:r>
      <w:r>
        <w:rPr>
          <w:rFonts w:hint="eastAsia" w:cs="Times New Roman"/>
          <w:color w:val="auto"/>
          <w:szCs w:val="24"/>
          <w:highlight w:val="none"/>
          <w:lang w:val="en-US" w:eastAsia="zh-CN"/>
        </w:rPr>
        <w:t>位于</w:t>
      </w:r>
      <w:r>
        <w:rPr>
          <w:rFonts w:hint="eastAsia"/>
          <w:color w:val="auto"/>
          <w:highlight w:val="none"/>
        </w:rPr>
        <w:t>采矿工</w:t>
      </w:r>
      <w:r>
        <w:rPr>
          <w:rFonts w:hint="default" w:ascii="Times New Roman" w:hAnsi="Times New Roman" w:cs="Times New Roman"/>
          <w:color w:val="auto"/>
          <w:highlight w:val="none"/>
        </w:rPr>
        <w:t>程</w:t>
      </w:r>
      <w:r>
        <w:rPr>
          <w:rFonts w:hint="default" w:ascii="Times New Roman" w:hAnsi="Times New Roman" w:cs="Times New Roman"/>
          <w:color w:val="auto"/>
          <w:highlight w:val="none"/>
          <w:lang w:val="en-US" w:eastAsia="zh-CN"/>
        </w:rPr>
        <w:t>南侧</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采选区中心地理坐标为。</w:t>
      </w:r>
      <w:r>
        <w:rPr>
          <w:rFonts w:hint="default" w:ascii="Times New Roman" w:hAnsi="Times New Roman" w:cs="Times New Roman"/>
          <w:color w:val="auto"/>
          <w:szCs w:val="24"/>
          <w:highlight w:val="none"/>
          <w:lang w:eastAsia="zh-CN"/>
        </w:rPr>
        <w:t>尾矿库位于选矿厂东南方向</w:t>
      </w:r>
      <w:r>
        <w:rPr>
          <w:rFonts w:hint="default" w:ascii="Times New Roman" w:hAnsi="Times New Roman" w:cs="Times New Roman"/>
          <w:color w:val="auto"/>
          <w:szCs w:val="24"/>
          <w:highlight w:val="none"/>
          <w:lang w:val="en-US" w:eastAsia="zh-CN"/>
        </w:rPr>
        <w:t>3.2km处</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中心</w:t>
      </w:r>
      <w:r>
        <w:rPr>
          <w:rFonts w:hint="default" w:ascii="Times New Roman" w:hAnsi="Times New Roman" w:cs="Times New Roman"/>
          <w:color w:val="auto"/>
          <w:szCs w:val="24"/>
          <w:highlight w:val="none"/>
          <w:lang w:eastAsia="zh-CN"/>
        </w:rPr>
        <w:t>坐标为。</w:t>
      </w:r>
    </w:p>
    <w:p w14:paraId="559D23A9">
      <w:pPr>
        <w:pStyle w:val="19"/>
        <w:bidi w:val="0"/>
        <w:rPr>
          <w:rFonts w:hint="eastAsia"/>
          <w:color w:val="auto"/>
          <w:highlight w:val="none"/>
          <w:lang w:val="en-US" w:eastAsia="zh-CN"/>
        </w:rPr>
      </w:pPr>
      <w:r>
        <w:rPr>
          <w:rFonts w:hint="eastAsia"/>
          <w:color w:val="auto"/>
          <w:highlight w:val="none"/>
          <w:lang w:val="en-US" w:eastAsia="zh-CN"/>
        </w:rPr>
        <w:t>表3.1-1矿区拐点坐标</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861"/>
        <w:gridCol w:w="1949"/>
        <w:gridCol w:w="2144"/>
        <w:gridCol w:w="2287"/>
      </w:tblGrid>
      <w:tr w14:paraId="0A30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Merge w:val="restart"/>
            <w:vAlign w:val="center"/>
          </w:tcPr>
          <w:p w14:paraId="0F3C8150">
            <w:pPr>
              <w:pStyle w:val="17"/>
              <w:bidi w:val="0"/>
              <w:jc w:val="center"/>
              <w:rPr>
                <w:rFonts w:hint="default"/>
                <w:color w:val="auto"/>
                <w:highlight w:val="none"/>
                <w:lang w:val="en-US" w:eastAsia="zh-CN"/>
              </w:rPr>
            </w:pPr>
            <w:r>
              <w:rPr>
                <w:rFonts w:hint="eastAsia"/>
                <w:color w:val="auto"/>
                <w:highlight w:val="none"/>
                <w:lang w:val="en-US" w:eastAsia="zh-CN"/>
              </w:rPr>
              <w:t>拐点编号</w:t>
            </w:r>
          </w:p>
        </w:tc>
        <w:tc>
          <w:tcPr>
            <w:tcW w:w="2078" w:type="pct"/>
            <w:gridSpan w:val="2"/>
            <w:vAlign w:val="center"/>
          </w:tcPr>
          <w:p w14:paraId="5E287774">
            <w:pPr>
              <w:pStyle w:val="17"/>
              <w:bidi w:val="0"/>
              <w:jc w:val="center"/>
              <w:rPr>
                <w:rFonts w:hint="default"/>
                <w:color w:val="auto"/>
                <w:highlight w:val="none"/>
                <w:lang w:val="en-US" w:eastAsia="zh-CN"/>
              </w:rPr>
            </w:pPr>
            <w:r>
              <w:rPr>
                <w:rFonts w:hint="eastAsia"/>
                <w:color w:val="auto"/>
                <w:highlight w:val="none"/>
                <w:lang w:val="en-US" w:eastAsia="zh-CN"/>
              </w:rPr>
              <w:t>2000国家大地坐标系</w:t>
            </w:r>
          </w:p>
        </w:tc>
        <w:tc>
          <w:tcPr>
            <w:tcW w:w="2416" w:type="pct"/>
            <w:gridSpan w:val="2"/>
            <w:vAlign w:val="center"/>
          </w:tcPr>
          <w:p w14:paraId="4B462364">
            <w:pPr>
              <w:pStyle w:val="17"/>
              <w:bidi w:val="0"/>
              <w:jc w:val="center"/>
              <w:rPr>
                <w:rFonts w:hint="default"/>
                <w:color w:val="auto"/>
                <w:highlight w:val="none"/>
                <w:lang w:val="en-US" w:eastAsia="zh-CN"/>
              </w:rPr>
            </w:pPr>
            <w:r>
              <w:rPr>
                <w:rFonts w:hint="eastAsia"/>
                <w:color w:val="auto"/>
                <w:highlight w:val="none"/>
                <w:lang w:val="en-US" w:eastAsia="zh-CN"/>
              </w:rPr>
              <w:t>地理坐标系</w:t>
            </w:r>
          </w:p>
        </w:tc>
      </w:tr>
      <w:tr w14:paraId="155D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Merge w:val="continue"/>
            <w:vAlign w:val="center"/>
          </w:tcPr>
          <w:p w14:paraId="7AE5A932">
            <w:pPr>
              <w:pStyle w:val="17"/>
              <w:bidi w:val="0"/>
              <w:jc w:val="center"/>
              <w:rPr>
                <w:rFonts w:hint="eastAsia"/>
                <w:color w:val="auto"/>
                <w:highlight w:val="none"/>
                <w:lang w:val="en-US" w:eastAsia="zh-CN"/>
              </w:rPr>
            </w:pPr>
          </w:p>
        </w:tc>
        <w:tc>
          <w:tcPr>
            <w:tcW w:w="1015" w:type="pct"/>
            <w:vAlign w:val="center"/>
          </w:tcPr>
          <w:p w14:paraId="4AF34123">
            <w:pPr>
              <w:pStyle w:val="17"/>
              <w:bidi w:val="0"/>
              <w:jc w:val="center"/>
              <w:rPr>
                <w:rFonts w:hint="default"/>
                <w:color w:val="auto"/>
                <w:highlight w:val="none"/>
                <w:lang w:val="en-US" w:eastAsia="zh-CN"/>
              </w:rPr>
            </w:pPr>
            <w:r>
              <w:rPr>
                <w:rFonts w:hint="eastAsia"/>
                <w:color w:val="auto"/>
                <w:highlight w:val="none"/>
                <w:lang w:val="en-US" w:eastAsia="zh-CN"/>
              </w:rPr>
              <w:t>X</w:t>
            </w:r>
          </w:p>
        </w:tc>
        <w:tc>
          <w:tcPr>
            <w:tcW w:w="1063" w:type="pct"/>
            <w:vAlign w:val="center"/>
          </w:tcPr>
          <w:p w14:paraId="1602A70A">
            <w:pPr>
              <w:pStyle w:val="17"/>
              <w:bidi w:val="0"/>
              <w:jc w:val="center"/>
              <w:rPr>
                <w:rFonts w:hint="default"/>
                <w:color w:val="auto"/>
                <w:highlight w:val="none"/>
                <w:lang w:val="en-US" w:eastAsia="zh-CN"/>
              </w:rPr>
            </w:pPr>
            <w:r>
              <w:rPr>
                <w:rFonts w:hint="eastAsia"/>
                <w:color w:val="auto"/>
                <w:highlight w:val="none"/>
                <w:lang w:val="en-US" w:eastAsia="zh-CN"/>
              </w:rPr>
              <w:t>Y</w:t>
            </w:r>
          </w:p>
        </w:tc>
        <w:tc>
          <w:tcPr>
            <w:tcW w:w="1169" w:type="pct"/>
            <w:vAlign w:val="center"/>
          </w:tcPr>
          <w:p w14:paraId="0CE553D6">
            <w:pPr>
              <w:pStyle w:val="17"/>
              <w:bidi w:val="0"/>
              <w:jc w:val="center"/>
              <w:rPr>
                <w:rFonts w:hint="default"/>
                <w:color w:val="auto"/>
                <w:highlight w:val="none"/>
                <w:lang w:val="en-US" w:eastAsia="zh-CN"/>
              </w:rPr>
            </w:pPr>
            <w:r>
              <w:rPr>
                <w:rFonts w:hint="eastAsia"/>
                <w:color w:val="auto"/>
                <w:highlight w:val="none"/>
                <w:lang w:val="en-US" w:eastAsia="zh-CN"/>
              </w:rPr>
              <w:t>东经</w:t>
            </w:r>
          </w:p>
        </w:tc>
        <w:tc>
          <w:tcPr>
            <w:tcW w:w="1246" w:type="pct"/>
            <w:vAlign w:val="center"/>
          </w:tcPr>
          <w:p w14:paraId="2A04C663">
            <w:pPr>
              <w:pStyle w:val="17"/>
              <w:bidi w:val="0"/>
              <w:jc w:val="center"/>
              <w:rPr>
                <w:rFonts w:hint="default"/>
                <w:color w:val="auto"/>
                <w:highlight w:val="none"/>
                <w:lang w:val="en-US" w:eastAsia="zh-CN"/>
              </w:rPr>
            </w:pPr>
            <w:r>
              <w:rPr>
                <w:rFonts w:hint="eastAsia"/>
                <w:color w:val="auto"/>
                <w:highlight w:val="none"/>
                <w:lang w:val="en-US" w:eastAsia="zh-CN"/>
              </w:rPr>
              <w:t>北纬</w:t>
            </w:r>
          </w:p>
        </w:tc>
      </w:tr>
      <w:tr w14:paraId="22ED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Align w:val="center"/>
          </w:tcPr>
          <w:p w14:paraId="2236CA6B">
            <w:pPr>
              <w:pStyle w:val="17"/>
              <w:bidi w:val="0"/>
              <w:jc w:val="center"/>
              <w:rPr>
                <w:rFonts w:hint="default"/>
                <w:color w:val="auto"/>
                <w:highlight w:val="none"/>
                <w:lang w:val="en-US" w:eastAsia="zh-CN"/>
              </w:rPr>
            </w:pPr>
            <w:r>
              <w:rPr>
                <w:rFonts w:hint="eastAsia"/>
                <w:color w:val="auto"/>
                <w:highlight w:val="none"/>
                <w:lang w:val="en-US" w:eastAsia="zh-CN"/>
              </w:rPr>
              <w:t>1</w:t>
            </w:r>
          </w:p>
        </w:tc>
        <w:tc>
          <w:tcPr>
            <w:tcW w:w="1015" w:type="pct"/>
            <w:vAlign w:val="center"/>
          </w:tcPr>
          <w:p w14:paraId="2E42CB99">
            <w:pPr>
              <w:pStyle w:val="17"/>
              <w:bidi w:val="0"/>
              <w:jc w:val="center"/>
              <w:rPr>
                <w:rFonts w:hint="default"/>
                <w:color w:val="auto"/>
                <w:highlight w:val="none"/>
                <w:lang w:val="en-US" w:eastAsia="zh-CN"/>
              </w:rPr>
            </w:pPr>
          </w:p>
        </w:tc>
        <w:tc>
          <w:tcPr>
            <w:tcW w:w="1063" w:type="pct"/>
            <w:vAlign w:val="center"/>
          </w:tcPr>
          <w:p w14:paraId="0FC348C9">
            <w:pPr>
              <w:pStyle w:val="17"/>
              <w:bidi w:val="0"/>
              <w:jc w:val="center"/>
              <w:rPr>
                <w:rFonts w:hint="default"/>
                <w:color w:val="auto"/>
                <w:highlight w:val="none"/>
                <w:lang w:val="en-US" w:eastAsia="zh-CN"/>
              </w:rPr>
            </w:pPr>
          </w:p>
        </w:tc>
        <w:tc>
          <w:tcPr>
            <w:tcW w:w="1169" w:type="pct"/>
            <w:vAlign w:val="center"/>
          </w:tcPr>
          <w:p w14:paraId="36996A30">
            <w:pPr>
              <w:pStyle w:val="17"/>
              <w:bidi w:val="0"/>
              <w:jc w:val="center"/>
              <w:rPr>
                <w:rFonts w:hint="default"/>
                <w:color w:val="auto"/>
                <w:highlight w:val="none"/>
                <w:lang w:val="en-US" w:eastAsia="zh-CN"/>
              </w:rPr>
            </w:pPr>
          </w:p>
        </w:tc>
        <w:tc>
          <w:tcPr>
            <w:tcW w:w="1246" w:type="pct"/>
            <w:vAlign w:val="center"/>
          </w:tcPr>
          <w:p w14:paraId="5DB313F5">
            <w:pPr>
              <w:pStyle w:val="17"/>
              <w:bidi w:val="0"/>
              <w:jc w:val="center"/>
              <w:rPr>
                <w:rFonts w:hint="default"/>
                <w:color w:val="auto"/>
                <w:highlight w:val="none"/>
                <w:lang w:val="en-US" w:eastAsia="zh-CN"/>
              </w:rPr>
            </w:pPr>
          </w:p>
        </w:tc>
      </w:tr>
      <w:tr w14:paraId="3B49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Align w:val="center"/>
          </w:tcPr>
          <w:p w14:paraId="5E378B12">
            <w:pPr>
              <w:pStyle w:val="17"/>
              <w:bidi w:val="0"/>
              <w:jc w:val="center"/>
              <w:rPr>
                <w:rFonts w:hint="default"/>
                <w:color w:val="auto"/>
                <w:highlight w:val="none"/>
                <w:lang w:val="en-US" w:eastAsia="zh-CN"/>
              </w:rPr>
            </w:pPr>
            <w:r>
              <w:rPr>
                <w:rFonts w:hint="eastAsia"/>
                <w:color w:val="auto"/>
                <w:highlight w:val="none"/>
                <w:lang w:val="en-US" w:eastAsia="zh-CN"/>
              </w:rPr>
              <w:t>2</w:t>
            </w:r>
          </w:p>
        </w:tc>
        <w:tc>
          <w:tcPr>
            <w:tcW w:w="1015" w:type="pct"/>
            <w:vAlign w:val="center"/>
          </w:tcPr>
          <w:p w14:paraId="6DF6D3B0">
            <w:pPr>
              <w:pStyle w:val="17"/>
              <w:bidi w:val="0"/>
              <w:jc w:val="center"/>
              <w:rPr>
                <w:rFonts w:hint="default"/>
                <w:color w:val="auto"/>
                <w:highlight w:val="none"/>
                <w:lang w:val="en-US" w:eastAsia="zh-CN"/>
              </w:rPr>
            </w:pPr>
          </w:p>
        </w:tc>
        <w:tc>
          <w:tcPr>
            <w:tcW w:w="1063" w:type="pct"/>
            <w:vAlign w:val="center"/>
          </w:tcPr>
          <w:p w14:paraId="1CDEAD05">
            <w:pPr>
              <w:pStyle w:val="17"/>
              <w:bidi w:val="0"/>
              <w:jc w:val="center"/>
              <w:rPr>
                <w:rFonts w:hint="default"/>
                <w:color w:val="auto"/>
                <w:highlight w:val="none"/>
                <w:lang w:val="en-US" w:eastAsia="zh-CN"/>
              </w:rPr>
            </w:pPr>
          </w:p>
        </w:tc>
        <w:tc>
          <w:tcPr>
            <w:tcW w:w="1169" w:type="pct"/>
            <w:vAlign w:val="center"/>
          </w:tcPr>
          <w:p w14:paraId="01D6AC97">
            <w:pPr>
              <w:pStyle w:val="17"/>
              <w:bidi w:val="0"/>
              <w:jc w:val="center"/>
              <w:rPr>
                <w:rFonts w:hint="default"/>
                <w:color w:val="auto"/>
                <w:highlight w:val="none"/>
                <w:lang w:val="en-US" w:eastAsia="zh-CN"/>
              </w:rPr>
            </w:pPr>
          </w:p>
        </w:tc>
        <w:tc>
          <w:tcPr>
            <w:tcW w:w="1246" w:type="pct"/>
            <w:vAlign w:val="center"/>
          </w:tcPr>
          <w:p w14:paraId="4669F6B8">
            <w:pPr>
              <w:pStyle w:val="17"/>
              <w:bidi w:val="0"/>
              <w:jc w:val="center"/>
              <w:rPr>
                <w:rFonts w:hint="default"/>
                <w:color w:val="auto"/>
                <w:highlight w:val="none"/>
                <w:lang w:val="en-US" w:eastAsia="zh-CN"/>
              </w:rPr>
            </w:pPr>
          </w:p>
        </w:tc>
      </w:tr>
      <w:tr w14:paraId="5032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Align w:val="center"/>
          </w:tcPr>
          <w:p w14:paraId="3FAF1A25">
            <w:pPr>
              <w:pStyle w:val="17"/>
              <w:bidi w:val="0"/>
              <w:jc w:val="center"/>
              <w:rPr>
                <w:rFonts w:hint="default"/>
                <w:color w:val="auto"/>
                <w:highlight w:val="none"/>
                <w:lang w:val="en-US" w:eastAsia="zh-CN"/>
              </w:rPr>
            </w:pPr>
            <w:r>
              <w:rPr>
                <w:rFonts w:hint="eastAsia"/>
                <w:color w:val="auto"/>
                <w:highlight w:val="none"/>
                <w:lang w:val="en-US" w:eastAsia="zh-CN"/>
              </w:rPr>
              <w:t>3</w:t>
            </w:r>
          </w:p>
        </w:tc>
        <w:tc>
          <w:tcPr>
            <w:tcW w:w="1015" w:type="pct"/>
            <w:vAlign w:val="center"/>
          </w:tcPr>
          <w:p w14:paraId="098F9C1C">
            <w:pPr>
              <w:pStyle w:val="17"/>
              <w:bidi w:val="0"/>
              <w:jc w:val="center"/>
              <w:rPr>
                <w:rFonts w:hint="default"/>
                <w:color w:val="auto"/>
                <w:highlight w:val="none"/>
                <w:lang w:val="en-US" w:eastAsia="zh-CN"/>
              </w:rPr>
            </w:pPr>
          </w:p>
        </w:tc>
        <w:tc>
          <w:tcPr>
            <w:tcW w:w="1063" w:type="pct"/>
            <w:vAlign w:val="center"/>
          </w:tcPr>
          <w:p w14:paraId="24E1DE71">
            <w:pPr>
              <w:pStyle w:val="17"/>
              <w:bidi w:val="0"/>
              <w:jc w:val="center"/>
              <w:rPr>
                <w:rFonts w:hint="default"/>
                <w:color w:val="auto"/>
                <w:highlight w:val="none"/>
                <w:lang w:val="en-US" w:eastAsia="zh-CN"/>
              </w:rPr>
            </w:pPr>
          </w:p>
        </w:tc>
        <w:tc>
          <w:tcPr>
            <w:tcW w:w="1169" w:type="pct"/>
            <w:vAlign w:val="center"/>
          </w:tcPr>
          <w:p w14:paraId="5C1F36B4">
            <w:pPr>
              <w:pStyle w:val="17"/>
              <w:bidi w:val="0"/>
              <w:jc w:val="center"/>
              <w:rPr>
                <w:rFonts w:hint="default"/>
                <w:color w:val="auto"/>
                <w:highlight w:val="none"/>
                <w:lang w:val="en-US" w:eastAsia="zh-CN"/>
              </w:rPr>
            </w:pPr>
          </w:p>
        </w:tc>
        <w:tc>
          <w:tcPr>
            <w:tcW w:w="1246" w:type="pct"/>
            <w:vAlign w:val="center"/>
          </w:tcPr>
          <w:p w14:paraId="09D62D2C">
            <w:pPr>
              <w:pStyle w:val="17"/>
              <w:bidi w:val="0"/>
              <w:jc w:val="center"/>
              <w:rPr>
                <w:rFonts w:hint="default"/>
                <w:color w:val="auto"/>
                <w:highlight w:val="none"/>
                <w:lang w:val="en-US" w:eastAsia="zh-CN"/>
              </w:rPr>
            </w:pPr>
          </w:p>
        </w:tc>
      </w:tr>
      <w:tr w14:paraId="5A91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Align w:val="center"/>
          </w:tcPr>
          <w:p w14:paraId="6A6278E0">
            <w:pPr>
              <w:pStyle w:val="17"/>
              <w:bidi w:val="0"/>
              <w:jc w:val="center"/>
              <w:rPr>
                <w:rFonts w:hint="default"/>
                <w:color w:val="auto"/>
                <w:highlight w:val="none"/>
                <w:lang w:val="en-US" w:eastAsia="zh-CN"/>
              </w:rPr>
            </w:pPr>
            <w:r>
              <w:rPr>
                <w:rFonts w:hint="eastAsia"/>
                <w:color w:val="auto"/>
                <w:highlight w:val="none"/>
                <w:lang w:val="en-US" w:eastAsia="zh-CN"/>
              </w:rPr>
              <w:t>4</w:t>
            </w:r>
          </w:p>
        </w:tc>
        <w:tc>
          <w:tcPr>
            <w:tcW w:w="1015" w:type="pct"/>
            <w:vAlign w:val="center"/>
          </w:tcPr>
          <w:p w14:paraId="79673C32">
            <w:pPr>
              <w:pStyle w:val="17"/>
              <w:bidi w:val="0"/>
              <w:jc w:val="center"/>
              <w:rPr>
                <w:rFonts w:hint="default"/>
                <w:color w:val="auto"/>
                <w:highlight w:val="none"/>
                <w:lang w:val="en-US" w:eastAsia="zh-CN"/>
              </w:rPr>
            </w:pPr>
          </w:p>
        </w:tc>
        <w:tc>
          <w:tcPr>
            <w:tcW w:w="1063" w:type="pct"/>
            <w:vAlign w:val="center"/>
          </w:tcPr>
          <w:p w14:paraId="5A407601">
            <w:pPr>
              <w:pStyle w:val="17"/>
              <w:bidi w:val="0"/>
              <w:jc w:val="center"/>
              <w:rPr>
                <w:rFonts w:hint="default"/>
                <w:color w:val="auto"/>
                <w:highlight w:val="none"/>
                <w:lang w:val="en-US" w:eastAsia="zh-CN"/>
              </w:rPr>
            </w:pPr>
          </w:p>
        </w:tc>
        <w:tc>
          <w:tcPr>
            <w:tcW w:w="1169" w:type="pct"/>
            <w:vAlign w:val="center"/>
          </w:tcPr>
          <w:p w14:paraId="6F7BD2C1">
            <w:pPr>
              <w:pStyle w:val="17"/>
              <w:bidi w:val="0"/>
              <w:jc w:val="center"/>
              <w:rPr>
                <w:rFonts w:hint="default"/>
                <w:color w:val="auto"/>
                <w:highlight w:val="none"/>
                <w:lang w:val="en-US" w:eastAsia="zh-CN"/>
              </w:rPr>
            </w:pPr>
          </w:p>
        </w:tc>
        <w:tc>
          <w:tcPr>
            <w:tcW w:w="1246" w:type="pct"/>
            <w:vAlign w:val="center"/>
          </w:tcPr>
          <w:p w14:paraId="70886443">
            <w:pPr>
              <w:pStyle w:val="17"/>
              <w:bidi w:val="0"/>
              <w:jc w:val="center"/>
              <w:rPr>
                <w:rFonts w:hint="default"/>
                <w:color w:val="auto"/>
                <w:highlight w:val="none"/>
                <w:lang w:val="en-US" w:eastAsia="zh-CN"/>
              </w:rPr>
            </w:pPr>
          </w:p>
        </w:tc>
      </w:tr>
      <w:tr w14:paraId="1E41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Align w:val="center"/>
          </w:tcPr>
          <w:p w14:paraId="745F7276">
            <w:pPr>
              <w:pStyle w:val="17"/>
              <w:bidi w:val="0"/>
              <w:jc w:val="center"/>
              <w:rPr>
                <w:rFonts w:hint="default"/>
                <w:color w:val="auto"/>
                <w:highlight w:val="none"/>
                <w:lang w:val="en-US" w:eastAsia="zh-CN"/>
              </w:rPr>
            </w:pPr>
            <w:r>
              <w:rPr>
                <w:rFonts w:hint="eastAsia"/>
                <w:color w:val="auto"/>
                <w:highlight w:val="none"/>
                <w:lang w:val="en-US" w:eastAsia="zh-CN"/>
              </w:rPr>
              <w:t>5</w:t>
            </w:r>
          </w:p>
        </w:tc>
        <w:tc>
          <w:tcPr>
            <w:tcW w:w="1015" w:type="pct"/>
            <w:vAlign w:val="center"/>
          </w:tcPr>
          <w:p w14:paraId="6C187262">
            <w:pPr>
              <w:pStyle w:val="17"/>
              <w:bidi w:val="0"/>
              <w:jc w:val="center"/>
              <w:rPr>
                <w:rFonts w:hint="default"/>
                <w:color w:val="auto"/>
                <w:highlight w:val="none"/>
                <w:lang w:val="en-US" w:eastAsia="zh-CN"/>
              </w:rPr>
            </w:pPr>
          </w:p>
        </w:tc>
        <w:tc>
          <w:tcPr>
            <w:tcW w:w="1063" w:type="pct"/>
            <w:vAlign w:val="center"/>
          </w:tcPr>
          <w:p w14:paraId="638A8995">
            <w:pPr>
              <w:pStyle w:val="17"/>
              <w:bidi w:val="0"/>
              <w:jc w:val="center"/>
              <w:rPr>
                <w:rFonts w:hint="default"/>
                <w:color w:val="auto"/>
                <w:highlight w:val="none"/>
                <w:lang w:val="en-US" w:eastAsia="zh-CN"/>
              </w:rPr>
            </w:pPr>
          </w:p>
        </w:tc>
        <w:tc>
          <w:tcPr>
            <w:tcW w:w="1169" w:type="pct"/>
            <w:vAlign w:val="center"/>
          </w:tcPr>
          <w:p w14:paraId="20FA68A4">
            <w:pPr>
              <w:pStyle w:val="17"/>
              <w:bidi w:val="0"/>
              <w:jc w:val="center"/>
              <w:rPr>
                <w:rFonts w:hint="default"/>
                <w:color w:val="auto"/>
                <w:highlight w:val="none"/>
                <w:lang w:val="en-US" w:eastAsia="zh-CN"/>
              </w:rPr>
            </w:pPr>
          </w:p>
        </w:tc>
        <w:tc>
          <w:tcPr>
            <w:tcW w:w="1246" w:type="pct"/>
            <w:vAlign w:val="center"/>
          </w:tcPr>
          <w:p w14:paraId="76DD62B4">
            <w:pPr>
              <w:pStyle w:val="17"/>
              <w:bidi w:val="0"/>
              <w:jc w:val="center"/>
              <w:rPr>
                <w:rFonts w:hint="default"/>
                <w:color w:val="auto"/>
                <w:highlight w:val="none"/>
                <w:lang w:val="en-US" w:eastAsia="zh-CN"/>
              </w:rPr>
            </w:pPr>
          </w:p>
        </w:tc>
      </w:tr>
      <w:tr w14:paraId="5907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Align w:val="center"/>
          </w:tcPr>
          <w:p w14:paraId="4C8E0014">
            <w:pPr>
              <w:pStyle w:val="17"/>
              <w:bidi w:val="0"/>
              <w:jc w:val="center"/>
              <w:rPr>
                <w:rFonts w:hint="default"/>
                <w:color w:val="auto"/>
                <w:highlight w:val="none"/>
                <w:lang w:val="en-US" w:eastAsia="zh-CN"/>
              </w:rPr>
            </w:pPr>
            <w:r>
              <w:rPr>
                <w:rFonts w:hint="eastAsia"/>
                <w:color w:val="auto"/>
                <w:highlight w:val="none"/>
                <w:lang w:val="en-US" w:eastAsia="zh-CN"/>
              </w:rPr>
              <w:t>6</w:t>
            </w:r>
          </w:p>
        </w:tc>
        <w:tc>
          <w:tcPr>
            <w:tcW w:w="1015" w:type="pct"/>
            <w:vAlign w:val="center"/>
          </w:tcPr>
          <w:p w14:paraId="551EFF53">
            <w:pPr>
              <w:pStyle w:val="17"/>
              <w:bidi w:val="0"/>
              <w:jc w:val="center"/>
              <w:rPr>
                <w:rFonts w:hint="default"/>
                <w:color w:val="auto"/>
                <w:highlight w:val="none"/>
                <w:lang w:val="en-US" w:eastAsia="zh-CN"/>
              </w:rPr>
            </w:pPr>
          </w:p>
        </w:tc>
        <w:tc>
          <w:tcPr>
            <w:tcW w:w="1063" w:type="pct"/>
            <w:vAlign w:val="center"/>
          </w:tcPr>
          <w:p w14:paraId="0095A910">
            <w:pPr>
              <w:pStyle w:val="17"/>
              <w:bidi w:val="0"/>
              <w:jc w:val="center"/>
              <w:rPr>
                <w:rFonts w:hint="default"/>
                <w:color w:val="auto"/>
                <w:highlight w:val="none"/>
                <w:lang w:val="en-US" w:eastAsia="zh-CN"/>
              </w:rPr>
            </w:pPr>
          </w:p>
        </w:tc>
        <w:tc>
          <w:tcPr>
            <w:tcW w:w="1169" w:type="pct"/>
            <w:vAlign w:val="center"/>
          </w:tcPr>
          <w:p w14:paraId="35BD5409">
            <w:pPr>
              <w:pStyle w:val="17"/>
              <w:bidi w:val="0"/>
              <w:jc w:val="center"/>
              <w:rPr>
                <w:rFonts w:hint="default"/>
                <w:color w:val="auto"/>
                <w:highlight w:val="none"/>
                <w:lang w:val="en-US" w:eastAsia="zh-CN"/>
              </w:rPr>
            </w:pPr>
          </w:p>
        </w:tc>
        <w:tc>
          <w:tcPr>
            <w:tcW w:w="1246" w:type="pct"/>
            <w:vAlign w:val="center"/>
          </w:tcPr>
          <w:p w14:paraId="61772F55">
            <w:pPr>
              <w:pStyle w:val="17"/>
              <w:bidi w:val="0"/>
              <w:jc w:val="center"/>
              <w:rPr>
                <w:rFonts w:hint="default"/>
                <w:color w:val="auto"/>
                <w:highlight w:val="none"/>
                <w:lang w:val="en-US" w:eastAsia="zh-CN"/>
              </w:rPr>
            </w:pPr>
          </w:p>
        </w:tc>
      </w:tr>
      <w:tr w14:paraId="4C10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5" w:type="pct"/>
            <w:vAlign w:val="center"/>
          </w:tcPr>
          <w:p w14:paraId="41AE33AC">
            <w:pPr>
              <w:pStyle w:val="17"/>
              <w:bidi w:val="0"/>
              <w:jc w:val="center"/>
              <w:rPr>
                <w:rFonts w:hint="default"/>
                <w:color w:val="auto"/>
                <w:highlight w:val="none"/>
                <w:lang w:val="en-US" w:eastAsia="zh-CN"/>
              </w:rPr>
            </w:pPr>
            <w:r>
              <w:rPr>
                <w:rFonts w:hint="eastAsia"/>
                <w:color w:val="auto"/>
                <w:highlight w:val="none"/>
                <w:lang w:val="en-US" w:eastAsia="zh-CN"/>
              </w:rPr>
              <w:t>7</w:t>
            </w:r>
          </w:p>
        </w:tc>
        <w:tc>
          <w:tcPr>
            <w:tcW w:w="1015" w:type="pct"/>
            <w:vAlign w:val="center"/>
          </w:tcPr>
          <w:p w14:paraId="41BEDC92">
            <w:pPr>
              <w:pStyle w:val="17"/>
              <w:bidi w:val="0"/>
              <w:jc w:val="center"/>
              <w:rPr>
                <w:rFonts w:hint="default"/>
                <w:color w:val="auto"/>
                <w:highlight w:val="none"/>
                <w:lang w:val="en-US" w:eastAsia="zh-CN"/>
              </w:rPr>
            </w:pPr>
          </w:p>
        </w:tc>
        <w:tc>
          <w:tcPr>
            <w:tcW w:w="1063" w:type="pct"/>
            <w:vAlign w:val="center"/>
          </w:tcPr>
          <w:p w14:paraId="2567CEC6">
            <w:pPr>
              <w:pStyle w:val="17"/>
              <w:bidi w:val="0"/>
              <w:jc w:val="center"/>
              <w:rPr>
                <w:rFonts w:hint="default"/>
                <w:color w:val="auto"/>
                <w:highlight w:val="none"/>
                <w:lang w:val="en-US" w:eastAsia="zh-CN"/>
              </w:rPr>
            </w:pPr>
          </w:p>
        </w:tc>
        <w:tc>
          <w:tcPr>
            <w:tcW w:w="1169" w:type="pct"/>
            <w:vAlign w:val="center"/>
          </w:tcPr>
          <w:p w14:paraId="5C5397E0">
            <w:pPr>
              <w:pStyle w:val="17"/>
              <w:bidi w:val="0"/>
              <w:jc w:val="center"/>
              <w:rPr>
                <w:rFonts w:hint="default"/>
                <w:color w:val="auto"/>
                <w:highlight w:val="none"/>
                <w:lang w:val="en-US" w:eastAsia="zh-CN"/>
              </w:rPr>
            </w:pPr>
          </w:p>
        </w:tc>
        <w:tc>
          <w:tcPr>
            <w:tcW w:w="1246" w:type="pct"/>
            <w:vAlign w:val="center"/>
          </w:tcPr>
          <w:p w14:paraId="723778BC">
            <w:pPr>
              <w:pStyle w:val="17"/>
              <w:bidi w:val="0"/>
              <w:jc w:val="center"/>
              <w:rPr>
                <w:rFonts w:hint="default"/>
                <w:color w:val="auto"/>
                <w:highlight w:val="none"/>
                <w:lang w:val="en-US" w:eastAsia="zh-CN"/>
              </w:rPr>
            </w:pPr>
          </w:p>
        </w:tc>
      </w:tr>
    </w:tbl>
    <w:p w14:paraId="765A8EE0">
      <w:pPr>
        <w:pStyle w:val="6"/>
        <w:bidi w:val="0"/>
        <w:rPr>
          <w:color w:val="auto"/>
          <w:highlight w:val="none"/>
        </w:rPr>
      </w:pPr>
      <w:r>
        <w:rPr>
          <w:rFonts w:hint="eastAsia"/>
          <w:color w:val="auto"/>
          <w:highlight w:val="none"/>
          <w:lang w:val="en-US" w:eastAsia="zh-CN"/>
        </w:rPr>
        <w:t>3.1.3主要</w:t>
      </w:r>
      <w:r>
        <w:rPr>
          <w:rFonts w:hint="eastAsia"/>
          <w:color w:val="auto"/>
          <w:highlight w:val="none"/>
        </w:rPr>
        <w:t>建设内容</w:t>
      </w:r>
      <w:bookmarkEnd w:id="335"/>
      <w:bookmarkEnd w:id="336"/>
      <w:bookmarkEnd w:id="337"/>
    </w:p>
    <w:p w14:paraId="7D2EABDF">
      <w:pPr>
        <w:overflowPunct w:val="0"/>
        <w:topLinePunct/>
        <w:snapToGrid w:val="0"/>
        <w:rPr>
          <w:rFonts w:hint="eastAsia"/>
          <w:color w:val="auto"/>
          <w:highlight w:val="none"/>
        </w:rPr>
      </w:pPr>
      <w:r>
        <w:rPr>
          <w:rFonts w:hint="eastAsia"/>
          <w:color w:val="auto"/>
          <w:sz w:val="24"/>
          <w:highlight w:val="none"/>
          <w:lang w:val="en-US" w:eastAsia="zh-CN" w:bidi="ar"/>
        </w:rPr>
        <w:t>本项目主要由采矿工程、选矿工程及尾矿库三大工程组成。项目采场建设内容主要包括</w:t>
      </w:r>
      <w:r>
        <w:rPr>
          <w:rFonts w:hint="eastAsia"/>
          <w:color w:val="auto"/>
          <w:sz w:val="24"/>
          <w:szCs w:val="36"/>
          <w:highlight w:val="none"/>
          <w:lang w:val="en-US" w:eastAsia="zh-CN"/>
        </w:rPr>
        <w:t>：采矿主体工程、采矿</w:t>
      </w:r>
      <w:r>
        <w:rPr>
          <w:rFonts w:hint="eastAsia"/>
          <w:color w:val="auto"/>
          <w:sz w:val="24"/>
          <w:szCs w:val="36"/>
          <w:highlight w:val="none"/>
        </w:rPr>
        <w:t>工业场地、办公生活区、辅助设施</w:t>
      </w:r>
      <w:r>
        <w:rPr>
          <w:rFonts w:hint="eastAsia"/>
          <w:color w:val="auto"/>
          <w:sz w:val="24"/>
          <w:szCs w:val="36"/>
          <w:highlight w:val="none"/>
          <w:lang w:eastAsia="zh-CN"/>
        </w:rPr>
        <w:t>，</w:t>
      </w:r>
      <w:r>
        <w:rPr>
          <w:rFonts w:hint="eastAsia"/>
          <w:color w:val="auto"/>
          <w:sz w:val="24"/>
          <w:highlight w:val="none"/>
        </w:rPr>
        <w:t>矿山</w:t>
      </w:r>
      <w:r>
        <w:rPr>
          <w:rFonts w:hint="eastAsia"/>
          <w:color w:val="auto"/>
          <w:sz w:val="24"/>
          <w:highlight w:val="none"/>
          <w:lang w:bidi="ar"/>
        </w:rPr>
        <w:t>开采规模为</w:t>
      </w:r>
      <w:r>
        <w:rPr>
          <w:rFonts w:hint="eastAsia"/>
          <w:color w:val="auto"/>
          <w:sz w:val="24"/>
          <w:highlight w:val="none"/>
          <w:lang w:val="en-US" w:eastAsia="zh-CN" w:bidi="ar"/>
        </w:rPr>
        <w:t>120</w:t>
      </w:r>
      <w:r>
        <w:rPr>
          <w:rFonts w:hint="eastAsia"/>
          <w:color w:val="auto"/>
          <w:sz w:val="24"/>
          <w:highlight w:val="none"/>
          <w:lang w:bidi="ar"/>
        </w:rPr>
        <w:t>万t/a</w:t>
      </w:r>
      <w:r>
        <w:rPr>
          <w:rFonts w:hint="eastAsia"/>
          <w:color w:val="auto"/>
          <w:sz w:val="24"/>
          <w:szCs w:val="36"/>
          <w:highlight w:val="none"/>
          <w:lang w:eastAsia="zh-CN"/>
        </w:rPr>
        <w:t>。</w:t>
      </w:r>
    </w:p>
    <w:p w14:paraId="1B7B62F7">
      <w:pPr>
        <w:bidi w:val="0"/>
        <w:rPr>
          <w:rFonts w:hint="eastAsia"/>
          <w:color w:val="auto"/>
          <w:highlight w:val="none"/>
        </w:rPr>
      </w:pPr>
      <w:r>
        <w:rPr>
          <w:rFonts w:hint="eastAsia"/>
          <w:color w:val="auto"/>
          <w:highlight w:val="none"/>
        </w:rPr>
        <w:t>选矿厂原矿处理能力为</w:t>
      </w:r>
      <w:r>
        <w:rPr>
          <w:rFonts w:hint="eastAsia"/>
          <w:color w:val="auto"/>
          <w:highlight w:val="none"/>
          <w:lang w:val="en-US" w:eastAsia="zh-CN"/>
        </w:rPr>
        <w:t>120</w:t>
      </w:r>
      <w:r>
        <w:rPr>
          <w:rFonts w:hint="eastAsia"/>
          <w:color w:val="auto"/>
          <w:highlight w:val="none"/>
        </w:rPr>
        <w:t>万t/a</w:t>
      </w:r>
      <w:r>
        <w:rPr>
          <w:rFonts w:hint="eastAsia"/>
          <w:color w:val="auto"/>
          <w:highlight w:val="none"/>
          <w:lang w:eastAsia="zh-CN"/>
        </w:rPr>
        <w:t>，与配套矿山开采量相匹配</w:t>
      </w:r>
      <w:r>
        <w:rPr>
          <w:rFonts w:hint="eastAsia"/>
          <w:color w:val="auto"/>
          <w:highlight w:val="none"/>
        </w:rPr>
        <w:t>。</w:t>
      </w:r>
      <w:r>
        <w:rPr>
          <w:rFonts w:hint="eastAsia"/>
          <w:color w:val="auto"/>
          <w:highlight w:val="none"/>
          <w:lang w:val="en-US" w:eastAsia="zh-CN"/>
        </w:rPr>
        <w:t>采用浮选工艺，主要</w:t>
      </w:r>
      <w:r>
        <w:rPr>
          <w:rFonts w:hint="eastAsia"/>
          <w:color w:val="auto"/>
          <w:highlight w:val="none"/>
        </w:rPr>
        <w:t>选矿工艺设施有</w:t>
      </w:r>
      <w:r>
        <w:rPr>
          <w:color w:val="auto"/>
          <w:highlight w:val="none"/>
          <w:lang w:val="en-US" w:eastAsia="zh-CN"/>
        </w:rPr>
        <w:t>粗矿仓、</w:t>
      </w:r>
      <w:r>
        <w:rPr>
          <w:rFonts w:hint="eastAsia"/>
          <w:color w:val="auto"/>
          <w:highlight w:val="none"/>
          <w:lang w:val="en-US" w:eastAsia="zh-CN"/>
        </w:rPr>
        <w:t>中细碎厂房、筛分厂房、粉矿仓、主厂房、精矿堆场、硫酸稀释车间、试化验室、尾矿浓缩车间、尾矿输送泵站、尾矿浓密溢流回水泵站、回水池、药剂仓库、控制中心、电锅炉房、选厂综合仓库、药剂仓库、综合维修车间、初期雨水沉淀池等</w:t>
      </w:r>
      <w:r>
        <w:rPr>
          <w:rFonts w:hint="eastAsia"/>
          <w:color w:val="auto"/>
          <w:highlight w:val="none"/>
        </w:rPr>
        <w:t>。</w:t>
      </w:r>
    </w:p>
    <w:p w14:paraId="36F0D9CE">
      <w:pPr>
        <w:overflowPunct w:val="0"/>
        <w:topLinePunct/>
        <w:snapToGrid w:val="0"/>
        <w:ind w:firstLine="480" w:firstLineChars="200"/>
        <w:rPr>
          <w:color w:val="auto"/>
          <w:highlight w:val="none"/>
        </w:rPr>
      </w:pPr>
      <w:r>
        <w:rPr>
          <w:rFonts w:hint="eastAsia"/>
          <w:color w:val="auto"/>
          <w:highlight w:val="none"/>
          <w:lang w:val="en-US" w:eastAsia="zh-CN"/>
        </w:rPr>
        <w:t>配套</w:t>
      </w:r>
      <w:r>
        <w:rPr>
          <w:color w:val="auto"/>
          <w:highlight w:val="none"/>
        </w:rPr>
        <w:t>尾矿库</w:t>
      </w:r>
      <w:r>
        <w:rPr>
          <w:color w:val="auto"/>
          <w:szCs w:val="28"/>
          <w:highlight w:val="none"/>
        </w:rPr>
        <w:t>总库容</w:t>
      </w:r>
      <w:r>
        <w:rPr>
          <w:rFonts w:hint="eastAsia"/>
          <w:color w:val="auto"/>
          <w:szCs w:val="28"/>
          <w:highlight w:val="none"/>
          <w:lang w:val="en-US" w:eastAsia="zh-CN"/>
        </w:rPr>
        <w:t>2062.4</w:t>
      </w:r>
      <w:r>
        <w:rPr>
          <w:color w:val="auto"/>
          <w:szCs w:val="28"/>
          <w:highlight w:val="none"/>
        </w:rPr>
        <w:t>万m</w:t>
      </w:r>
      <w:r>
        <w:rPr>
          <w:color w:val="auto"/>
          <w:szCs w:val="28"/>
          <w:highlight w:val="none"/>
          <w:vertAlign w:val="superscript"/>
        </w:rPr>
        <w:t>3</w:t>
      </w:r>
      <w:r>
        <w:rPr>
          <w:color w:val="auto"/>
          <w:szCs w:val="28"/>
          <w:highlight w:val="none"/>
        </w:rPr>
        <w:t>，最终堆积标高</w:t>
      </w:r>
      <w:r>
        <w:rPr>
          <w:rFonts w:hint="eastAsia"/>
          <w:color w:val="auto"/>
          <w:szCs w:val="28"/>
          <w:highlight w:val="none"/>
          <w:lang w:val="en-US" w:eastAsia="zh-CN"/>
        </w:rPr>
        <w:t>3144</w:t>
      </w:r>
      <w:r>
        <w:rPr>
          <w:color w:val="auto"/>
          <w:szCs w:val="28"/>
          <w:highlight w:val="none"/>
        </w:rPr>
        <w:t>m，尾矿堆积坝总高度为</w:t>
      </w:r>
      <w:r>
        <w:rPr>
          <w:rFonts w:hint="eastAsia"/>
          <w:color w:val="auto"/>
          <w:szCs w:val="28"/>
          <w:highlight w:val="none"/>
          <w:lang w:val="en-US" w:eastAsia="zh-CN"/>
        </w:rPr>
        <w:t>73</w:t>
      </w:r>
      <w:r>
        <w:rPr>
          <w:color w:val="auto"/>
          <w:szCs w:val="28"/>
          <w:highlight w:val="none"/>
        </w:rPr>
        <w:t>m，尾矿库等别为</w:t>
      </w:r>
      <w:r>
        <w:rPr>
          <w:rFonts w:hint="eastAsia"/>
          <w:color w:val="auto"/>
          <w:szCs w:val="28"/>
          <w:highlight w:val="none"/>
        </w:rPr>
        <w:t>三</w:t>
      </w:r>
      <w:r>
        <w:rPr>
          <w:color w:val="auto"/>
          <w:szCs w:val="28"/>
          <w:highlight w:val="none"/>
        </w:rPr>
        <w:t>等，尾矿库可服务</w:t>
      </w:r>
      <w:r>
        <w:rPr>
          <w:rFonts w:hint="eastAsia"/>
          <w:color w:val="auto"/>
          <w:szCs w:val="28"/>
          <w:highlight w:val="none"/>
          <w:lang w:val="en-US" w:eastAsia="zh-CN"/>
        </w:rPr>
        <w:t>41</w:t>
      </w:r>
      <w:r>
        <w:rPr>
          <w:color w:val="auto"/>
          <w:szCs w:val="28"/>
          <w:highlight w:val="none"/>
        </w:rPr>
        <w:t>年。</w:t>
      </w:r>
    </w:p>
    <w:p w14:paraId="7D209745">
      <w:pPr>
        <w:overflowPunct w:val="0"/>
        <w:topLinePunct/>
        <w:spacing w:line="480" w:lineRule="exact"/>
        <w:ind w:firstLine="480"/>
        <w:rPr>
          <w:rFonts w:cs="Times New Roman"/>
          <w:color w:val="auto"/>
          <w:sz w:val="24"/>
          <w:highlight w:val="none"/>
        </w:rPr>
      </w:pPr>
      <w:r>
        <w:rPr>
          <w:rFonts w:hint="eastAsia" w:cs="Times New Roman"/>
          <w:color w:val="auto"/>
          <w:sz w:val="24"/>
          <w:highlight w:val="none"/>
        </w:rPr>
        <w:t>本项目组成情况见表3.</w:t>
      </w:r>
      <w:r>
        <w:rPr>
          <w:rFonts w:hint="eastAsia" w:cs="Times New Roman"/>
          <w:color w:val="auto"/>
          <w:sz w:val="24"/>
          <w:highlight w:val="none"/>
          <w:lang w:val="en-US" w:eastAsia="zh-CN"/>
        </w:rPr>
        <w:t>1</w:t>
      </w:r>
      <w:r>
        <w:rPr>
          <w:rFonts w:hint="eastAsia" w:cs="Times New Roman"/>
          <w:color w:val="auto"/>
          <w:sz w:val="24"/>
          <w:highlight w:val="none"/>
        </w:rPr>
        <w:t>-</w:t>
      </w:r>
      <w:r>
        <w:rPr>
          <w:rFonts w:hint="eastAsia" w:cs="Times New Roman"/>
          <w:color w:val="auto"/>
          <w:sz w:val="24"/>
          <w:highlight w:val="none"/>
          <w:lang w:val="en-US" w:eastAsia="zh-CN"/>
        </w:rPr>
        <w:t>2</w:t>
      </w:r>
      <w:r>
        <w:rPr>
          <w:rFonts w:hint="eastAsia" w:cs="Times New Roman"/>
          <w:color w:val="auto"/>
          <w:sz w:val="24"/>
          <w:highlight w:val="none"/>
        </w:rPr>
        <w:t>。</w:t>
      </w:r>
    </w:p>
    <w:p w14:paraId="30FB9351">
      <w:pPr>
        <w:spacing w:line="480" w:lineRule="exact"/>
        <w:ind w:firstLine="0" w:firstLineChars="0"/>
        <w:jc w:val="center"/>
        <w:rPr>
          <w:rFonts w:cs="Times New Roman"/>
          <w:b/>
          <w:bCs/>
          <w:color w:val="auto"/>
          <w:szCs w:val="24"/>
          <w:highlight w:val="none"/>
        </w:rPr>
        <w:sectPr>
          <w:headerReference r:id="rId11" w:type="even"/>
          <w:footerReference r:id="rId12" w:type="even"/>
          <w:pgSz w:w="11906" w:h="16838"/>
          <w:pgMar w:top="1474" w:right="1474" w:bottom="1474" w:left="1474" w:header="850" w:footer="1020" w:gutter="0"/>
          <w:pgBorders>
            <w:top w:val="none" w:sz="0" w:space="0"/>
            <w:left w:val="none" w:sz="0" w:space="0"/>
            <w:bottom w:val="none" w:sz="0" w:space="0"/>
            <w:right w:val="none" w:sz="0" w:space="0"/>
          </w:pgBorders>
          <w:cols w:space="720" w:num="1"/>
          <w:docGrid w:linePitch="312" w:charSpace="0"/>
        </w:sectPr>
      </w:pPr>
    </w:p>
    <w:p w14:paraId="249ED0E1">
      <w:pPr>
        <w:spacing w:line="480" w:lineRule="exact"/>
        <w:ind w:firstLine="0" w:firstLineChars="0"/>
        <w:jc w:val="center"/>
        <w:rPr>
          <w:rFonts w:hint="eastAsia" w:cs="Times New Roman"/>
          <w:b/>
          <w:bCs/>
          <w:color w:val="auto"/>
          <w:szCs w:val="24"/>
          <w:highlight w:val="none"/>
        </w:rPr>
      </w:pPr>
      <w:r>
        <w:rPr>
          <w:rFonts w:cs="Times New Roman"/>
          <w:b/>
          <w:bCs/>
          <w:color w:val="auto"/>
          <w:szCs w:val="24"/>
          <w:highlight w:val="none"/>
        </w:rPr>
        <w:t>表3.</w:t>
      </w:r>
      <w:r>
        <w:rPr>
          <w:rFonts w:hint="eastAsia" w:cs="Times New Roman"/>
          <w:b/>
          <w:bCs/>
          <w:color w:val="auto"/>
          <w:szCs w:val="24"/>
          <w:highlight w:val="none"/>
          <w:lang w:val="en-US" w:eastAsia="zh-CN"/>
        </w:rPr>
        <w:t>1</w:t>
      </w:r>
      <w:r>
        <w:rPr>
          <w:rFonts w:cs="Times New Roman"/>
          <w:b/>
          <w:bCs/>
          <w:color w:val="auto"/>
          <w:szCs w:val="24"/>
          <w:highlight w:val="none"/>
        </w:rPr>
        <w:t>-</w:t>
      </w:r>
      <w:r>
        <w:rPr>
          <w:rFonts w:hint="eastAsia" w:cs="Times New Roman"/>
          <w:b/>
          <w:bCs/>
          <w:color w:val="auto"/>
          <w:szCs w:val="24"/>
          <w:highlight w:val="none"/>
          <w:lang w:val="en-US" w:eastAsia="zh-CN"/>
        </w:rPr>
        <w:t>2</w:t>
      </w:r>
      <w:r>
        <w:rPr>
          <w:rFonts w:hint="eastAsia" w:cs="Times New Roman"/>
          <w:b/>
          <w:bCs/>
          <w:color w:val="auto"/>
          <w:szCs w:val="24"/>
          <w:highlight w:val="none"/>
        </w:rPr>
        <w:t>本项目</w:t>
      </w:r>
      <w:r>
        <w:rPr>
          <w:rFonts w:hint="eastAsia" w:cs="Times New Roman"/>
          <w:b/>
          <w:bCs/>
          <w:color w:val="auto"/>
          <w:szCs w:val="24"/>
          <w:highlight w:val="none"/>
          <w:lang w:val="en-US" w:eastAsia="zh-CN"/>
        </w:rPr>
        <w:t>工程</w:t>
      </w:r>
      <w:r>
        <w:rPr>
          <w:rFonts w:hint="eastAsia" w:cs="Times New Roman"/>
          <w:b/>
          <w:bCs/>
          <w:color w:val="auto"/>
          <w:szCs w:val="24"/>
          <w:highlight w:val="none"/>
        </w:rPr>
        <w:t>组成一览表</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431"/>
        <w:gridCol w:w="849"/>
        <w:gridCol w:w="640"/>
        <w:gridCol w:w="161"/>
        <w:gridCol w:w="3539"/>
        <w:gridCol w:w="931"/>
        <w:gridCol w:w="4749"/>
        <w:gridCol w:w="1943"/>
      </w:tblGrid>
      <w:tr w14:paraId="78F5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Align w:val="center"/>
          </w:tcPr>
          <w:p w14:paraId="5B895EE7">
            <w:pPr>
              <w:pStyle w:val="17"/>
              <w:bidi w:val="0"/>
              <w:jc w:val="center"/>
              <w:rPr>
                <w:rFonts w:hint="default" w:eastAsia="宋体"/>
                <w:color w:val="auto"/>
                <w:highlight w:val="none"/>
                <w:lang w:val="en-US" w:eastAsia="zh-CN"/>
              </w:rPr>
            </w:pPr>
            <w:r>
              <w:rPr>
                <w:rFonts w:hint="eastAsia"/>
                <w:color w:val="auto"/>
                <w:highlight w:val="none"/>
                <w:lang w:val="en-US" w:eastAsia="zh-CN"/>
              </w:rPr>
              <w:t>工程类别</w:t>
            </w:r>
          </w:p>
        </w:tc>
        <w:tc>
          <w:tcPr>
            <w:tcW w:w="304" w:type="pct"/>
            <w:gridSpan w:val="2"/>
            <w:vAlign w:val="center"/>
          </w:tcPr>
          <w:p w14:paraId="57283EA9">
            <w:pPr>
              <w:pStyle w:val="17"/>
              <w:bidi w:val="0"/>
              <w:jc w:val="center"/>
              <w:rPr>
                <w:rFonts w:hint="eastAsia"/>
                <w:color w:val="auto"/>
                <w:highlight w:val="none"/>
                <w:lang w:val="en-US" w:eastAsia="zh-CN"/>
              </w:rPr>
            </w:pPr>
            <w:r>
              <w:rPr>
                <w:rFonts w:hint="eastAsia"/>
                <w:color w:val="auto"/>
                <w:highlight w:val="none"/>
                <w:lang w:val="en-US" w:eastAsia="zh-CN"/>
              </w:rPr>
              <w:t>工程组成</w:t>
            </w:r>
          </w:p>
        </w:tc>
        <w:tc>
          <w:tcPr>
            <w:tcW w:w="1840" w:type="pct"/>
            <w:gridSpan w:val="4"/>
            <w:vAlign w:val="center"/>
          </w:tcPr>
          <w:p w14:paraId="26B9BFFC">
            <w:pPr>
              <w:pStyle w:val="17"/>
              <w:bidi w:val="0"/>
              <w:jc w:val="center"/>
              <w:rPr>
                <w:rFonts w:hint="default" w:eastAsia="宋体"/>
                <w:color w:val="auto"/>
                <w:highlight w:val="none"/>
                <w:lang w:val="en-US" w:eastAsia="zh-CN"/>
              </w:rPr>
            </w:pPr>
            <w:r>
              <w:rPr>
                <w:rFonts w:hint="eastAsia"/>
                <w:color w:val="auto"/>
                <w:highlight w:val="none"/>
                <w:lang w:val="en-US" w:eastAsia="zh-CN"/>
              </w:rPr>
              <w:t>原环评建设内容</w:t>
            </w:r>
          </w:p>
        </w:tc>
        <w:tc>
          <w:tcPr>
            <w:tcW w:w="2014" w:type="pct"/>
            <w:gridSpan w:val="2"/>
            <w:vAlign w:val="center"/>
          </w:tcPr>
          <w:p w14:paraId="631703C7">
            <w:pPr>
              <w:pStyle w:val="17"/>
              <w:bidi w:val="0"/>
              <w:jc w:val="center"/>
              <w:rPr>
                <w:rFonts w:hint="eastAsia"/>
                <w:color w:val="auto"/>
                <w:highlight w:val="none"/>
                <w:lang w:val="en-US" w:eastAsia="zh-CN"/>
              </w:rPr>
            </w:pPr>
            <w:r>
              <w:rPr>
                <w:rFonts w:hint="eastAsia"/>
                <w:color w:val="auto"/>
                <w:highlight w:val="none"/>
                <w:lang w:val="en-US" w:eastAsia="zh-CN"/>
              </w:rPr>
              <w:t>变更后建设内容</w:t>
            </w:r>
          </w:p>
        </w:tc>
        <w:tc>
          <w:tcPr>
            <w:tcW w:w="689" w:type="pct"/>
            <w:vAlign w:val="center"/>
          </w:tcPr>
          <w:p w14:paraId="7937E937">
            <w:pPr>
              <w:pStyle w:val="17"/>
              <w:bidi w:val="0"/>
              <w:jc w:val="center"/>
              <w:rPr>
                <w:rFonts w:hint="default" w:eastAsia="宋体"/>
                <w:color w:val="auto"/>
                <w:highlight w:val="none"/>
                <w:lang w:val="en-US" w:eastAsia="zh-CN"/>
              </w:rPr>
            </w:pPr>
            <w:r>
              <w:rPr>
                <w:rFonts w:hint="eastAsia"/>
                <w:color w:val="auto"/>
                <w:highlight w:val="none"/>
                <w:lang w:val="en-US" w:eastAsia="zh-CN"/>
              </w:rPr>
              <w:t>变动情况</w:t>
            </w:r>
          </w:p>
        </w:tc>
      </w:tr>
      <w:tr w14:paraId="3868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restart"/>
            <w:vAlign w:val="center"/>
          </w:tcPr>
          <w:p w14:paraId="144A0CA4">
            <w:pPr>
              <w:pStyle w:val="17"/>
              <w:bidi w:val="0"/>
              <w:jc w:val="center"/>
              <w:rPr>
                <w:rFonts w:hint="default" w:eastAsia="宋体"/>
                <w:color w:val="auto"/>
                <w:highlight w:val="none"/>
                <w:lang w:val="en-US" w:eastAsia="zh-CN"/>
              </w:rPr>
            </w:pPr>
            <w:r>
              <w:rPr>
                <w:rFonts w:hint="eastAsia"/>
                <w:color w:val="auto"/>
                <w:highlight w:val="none"/>
                <w:lang w:val="en-US" w:eastAsia="zh-CN"/>
              </w:rPr>
              <w:t>主体工程</w:t>
            </w:r>
          </w:p>
        </w:tc>
        <w:tc>
          <w:tcPr>
            <w:tcW w:w="151" w:type="pct"/>
            <w:vMerge w:val="restart"/>
            <w:vAlign w:val="center"/>
          </w:tcPr>
          <w:p w14:paraId="529ED147">
            <w:pPr>
              <w:pStyle w:val="17"/>
              <w:bidi w:val="0"/>
              <w:jc w:val="center"/>
              <w:rPr>
                <w:rFonts w:hint="default" w:eastAsia="宋体"/>
                <w:color w:val="auto"/>
                <w:highlight w:val="none"/>
                <w:lang w:val="en-US" w:eastAsia="zh-CN"/>
              </w:rPr>
            </w:pPr>
            <w:r>
              <w:rPr>
                <w:rFonts w:hint="eastAsia"/>
                <w:color w:val="auto"/>
                <w:highlight w:val="none"/>
                <w:lang w:val="en-US" w:eastAsia="zh-CN"/>
              </w:rPr>
              <w:t>采矿工程</w:t>
            </w:r>
          </w:p>
        </w:tc>
        <w:tc>
          <w:tcPr>
            <w:tcW w:w="152" w:type="pct"/>
            <w:vAlign w:val="center"/>
          </w:tcPr>
          <w:p w14:paraId="13B79D13">
            <w:pPr>
              <w:pStyle w:val="17"/>
              <w:bidi w:val="0"/>
              <w:jc w:val="center"/>
              <w:rPr>
                <w:rFonts w:hint="eastAsia"/>
                <w:color w:val="auto"/>
                <w:highlight w:val="none"/>
                <w:lang w:val="en-US" w:eastAsia="zh-CN"/>
              </w:rPr>
            </w:pPr>
            <w:r>
              <w:rPr>
                <w:rFonts w:hint="eastAsia"/>
                <w:color w:val="auto"/>
                <w:highlight w:val="none"/>
                <w:lang w:val="en-US" w:eastAsia="zh-CN"/>
              </w:rPr>
              <w:t>开拓工程</w:t>
            </w:r>
          </w:p>
        </w:tc>
        <w:tc>
          <w:tcPr>
            <w:tcW w:w="1840" w:type="pct"/>
            <w:gridSpan w:val="4"/>
            <w:vAlign w:val="center"/>
          </w:tcPr>
          <w:p w14:paraId="1A68E41D">
            <w:pPr>
              <w:pStyle w:val="17"/>
              <w:bidi w:val="0"/>
              <w:jc w:val="center"/>
              <w:rPr>
                <w:rFonts w:hint="default"/>
                <w:color w:val="auto"/>
                <w:highlight w:val="none"/>
                <w:lang w:val="en-US"/>
              </w:rPr>
            </w:pPr>
            <w:r>
              <w:rPr>
                <w:rFonts w:hint="default"/>
                <w:color w:val="auto"/>
                <w:highlight w:val="none"/>
                <w:lang w:val="zh-CN" w:eastAsia="zh-CN"/>
              </w:rPr>
              <w:t>采用胶带斜井+辅助斜坡道开拓，</w:t>
            </w:r>
            <w:r>
              <w:rPr>
                <w:rFonts w:hint="eastAsia"/>
                <w:color w:val="auto"/>
                <w:highlight w:val="none"/>
                <w:lang w:val="en-US" w:eastAsia="zh-CN"/>
              </w:rPr>
              <w:t>建设</w:t>
            </w:r>
            <w:r>
              <w:rPr>
                <w:rFonts w:hint="default"/>
                <w:color w:val="auto"/>
                <w:highlight w:val="none"/>
                <w:lang w:val="zh-CN" w:eastAsia="zh-CN"/>
              </w:rPr>
              <w:t>胶带斜井（BC1</w:t>
            </w:r>
            <w:r>
              <w:rPr>
                <w:rFonts w:hint="eastAsia"/>
                <w:color w:val="auto"/>
                <w:highlight w:val="none"/>
                <w:lang w:val="zh-CN" w:eastAsia="zh-CN"/>
              </w:rPr>
              <w:t>、</w:t>
            </w:r>
            <w:r>
              <w:rPr>
                <w:rFonts w:hint="eastAsia"/>
                <w:color w:val="auto"/>
                <w:highlight w:val="none"/>
                <w:lang w:val="en-US" w:eastAsia="en-US"/>
              </w:rPr>
              <w:t>BC2和BC3</w:t>
            </w:r>
            <w:r>
              <w:rPr>
                <w:rFonts w:hint="default"/>
                <w:color w:val="auto"/>
                <w:highlight w:val="none"/>
                <w:lang w:val="zh-CN" w:eastAsia="zh-CN"/>
              </w:rPr>
              <w:t>）、辅助斜坡道、进风井、东回风井</w:t>
            </w:r>
            <w:r>
              <w:rPr>
                <w:rFonts w:hint="eastAsia"/>
                <w:color w:val="auto"/>
                <w:highlight w:val="none"/>
                <w:lang w:val="zh-CN" w:eastAsia="zh-CN"/>
              </w:rPr>
              <w:t>、</w:t>
            </w:r>
            <w:r>
              <w:rPr>
                <w:rFonts w:hint="default"/>
                <w:color w:val="auto"/>
                <w:highlight w:val="none"/>
                <w:lang w:val="zh-CN" w:eastAsia="zh-CN"/>
              </w:rPr>
              <w:t>西回风井</w:t>
            </w:r>
            <w:r>
              <w:rPr>
                <w:rFonts w:hint="eastAsia"/>
                <w:color w:val="auto"/>
                <w:highlight w:val="none"/>
                <w:lang w:val="zh-CN" w:eastAsia="zh-CN"/>
              </w:rPr>
              <w:t>、</w:t>
            </w:r>
            <w:r>
              <w:rPr>
                <w:rFonts w:hint="eastAsia"/>
                <w:color w:val="auto"/>
                <w:highlight w:val="none"/>
                <w:lang w:val="en-US" w:eastAsia="en-US"/>
              </w:rPr>
              <w:t>盲进风井</w:t>
            </w:r>
            <w:r>
              <w:rPr>
                <w:rFonts w:hint="eastAsia"/>
                <w:color w:val="auto"/>
                <w:highlight w:val="none"/>
                <w:lang w:val="en-US" w:eastAsia="zh-CN"/>
              </w:rPr>
              <w:t>、</w:t>
            </w:r>
            <w:r>
              <w:rPr>
                <w:rFonts w:hint="eastAsia"/>
                <w:color w:val="auto"/>
                <w:highlight w:val="none"/>
                <w:lang w:val="en-US" w:eastAsia="en-US"/>
              </w:rPr>
              <w:t>盲回风井</w:t>
            </w:r>
            <w:r>
              <w:rPr>
                <w:rFonts w:hint="default"/>
                <w:color w:val="auto"/>
                <w:highlight w:val="none"/>
                <w:lang w:val="zh-CN" w:eastAsia="zh-CN"/>
              </w:rPr>
              <w:t>。胶带斜井运输系统设计运输能力为400t/h。矿、废石共用一条胶带，分时段运输。</w:t>
            </w:r>
            <w:r>
              <w:rPr>
                <w:rFonts w:hint="eastAsia"/>
                <w:color w:val="auto"/>
                <w:highlight w:val="none"/>
                <w:lang w:val="en-US" w:eastAsia="zh-CN"/>
              </w:rPr>
              <w:t>3000m以上</w:t>
            </w:r>
            <w:r>
              <w:rPr>
                <w:rFonts w:hint="default"/>
                <w:color w:val="auto"/>
                <w:highlight w:val="none"/>
                <w:lang w:val="zh-CN" w:eastAsia="zh-CN"/>
              </w:rPr>
              <w:t>矿、废石下放到3000m有轨运输水平，再由有轨运输转到主溜井，最后由BC1斜井胶带提升到地表。</w:t>
            </w:r>
            <w:r>
              <w:rPr>
                <w:rFonts w:hint="eastAsia"/>
                <w:color w:val="auto"/>
                <w:highlight w:val="none"/>
              </w:rPr>
              <w:t>辅助斜坡道用于运输人员、材料和设备，兼作进风通道，为全矿主要的安全出口。</w:t>
            </w:r>
            <w:r>
              <w:rPr>
                <w:rFonts w:hint="eastAsia"/>
                <w:color w:val="auto"/>
                <w:highlight w:val="none"/>
                <w:lang w:val="en-US" w:eastAsia="en-US"/>
              </w:rPr>
              <w:t>开采2900m以下矿体，</w:t>
            </w:r>
            <w:r>
              <w:rPr>
                <w:rFonts w:hint="eastAsia"/>
                <w:color w:val="auto"/>
                <w:highlight w:val="none"/>
                <w:lang w:val="en-US" w:eastAsia="zh-CN"/>
              </w:rPr>
              <w:t>采用</w:t>
            </w:r>
            <w:r>
              <w:rPr>
                <w:rFonts w:hint="eastAsia"/>
                <w:color w:val="auto"/>
                <w:highlight w:val="none"/>
                <w:lang w:val="en-US" w:eastAsia="en-US"/>
              </w:rPr>
              <w:t>2段胶带斜井（BC2和BC3），服务至2600m水平，与BC1胶带斜井接力提运矿石和废石到地表</w:t>
            </w:r>
            <w:r>
              <w:rPr>
                <w:rFonts w:hint="eastAsia"/>
                <w:color w:val="auto"/>
                <w:highlight w:val="none"/>
                <w:lang w:val="en-US" w:eastAsia="zh-CN"/>
              </w:rPr>
              <w:t>。2900m以下作业需</w:t>
            </w:r>
            <w:r>
              <w:rPr>
                <w:rFonts w:hint="eastAsia"/>
                <w:color w:val="auto"/>
                <w:highlight w:val="none"/>
                <w:lang w:val="en-US" w:eastAsia="en-US"/>
              </w:rPr>
              <w:t>将辅助斜坡道向下延伸，并新建1条盲进风井和3条盲回风井。</w:t>
            </w:r>
          </w:p>
        </w:tc>
        <w:tc>
          <w:tcPr>
            <w:tcW w:w="2014" w:type="pct"/>
            <w:gridSpan w:val="2"/>
            <w:shd w:val="clear" w:color="auto" w:fill="auto"/>
            <w:vAlign w:val="center"/>
          </w:tcPr>
          <w:p w14:paraId="5916C4A2">
            <w:pPr>
              <w:pStyle w:val="17"/>
              <w:bidi w:val="0"/>
              <w:jc w:val="center"/>
              <w:rPr>
                <w:rFonts w:hint="default"/>
                <w:color w:val="auto"/>
                <w:highlight w:val="none"/>
                <w:lang w:val="zh-CN" w:eastAsia="zh-CN"/>
              </w:rPr>
            </w:pPr>
            <w:r>
              <w:rPr>
                <w:rFonts w:hint="default"/>
                <w:color w:val="auto"/>
                <w:highlight w:val="none"/>
                <w:lang w:val="zh-CN" w:eastAsia="zh-CN"/>
              </w:rPr>
              <w:t>采用胶带斜井+辅助斜坡道开拓，</w:t>
            </w:r>
            <w:r>
              <w:rPr>
                <w:rFonts w:hint="eastAsia"/>
                <w:color w:val="auto"/>
                <w:highlight w:val="none"/>
                <w:lang w:val="en-US" w:eastAsia="zh-CN"/>
              </w:rPr>
              <w:t>建设</w:t>
            </w:r>
            <w:r>
              <w:rPr>
                <w:rFonts w:hint="default"/>
                <w:color w:val="auto"/>
                <w:highlight w:val="none"/>
                <w:lang w:val="zh-CN" w:eastAsia="zh-CN"/>
              </w:rPr>
              <w:t>胶带斜井（BC1</w:t>
            </w:r>
            <w:r>
              <w:rPr>
                <w:rFonts w:hint="eastAsia"/>
                <w:color w:val="auto"/>
                <w:highlight w:val="none"/>
                <w:lang w:val="zh-CN" w:eastAsia="zh-CN"/>
              </w:rPr>
              <w:t>、</w:t>
            </w:r>
            <w:r>
              <w:rPr>
                <w:rFonts w:hint="eastAsia"/>
                <w:color w:val="auto"/>
                <w:highlight w:val="none"/>
                <w:lang w:val="en-US" w:eastAsia="en-US"/>
              </w:rPr>
              <w:t>BC2和BC3</w:t>
            </w:r>
            <w:r>
              <w:rPr>
                <w:rFonts w:hint="default"/>
                <w:color w:val="auto"/>
                <w:highlight w:val="none"/>
                <w:lang w:val="zh-CN" w:eastAsia="zh-CN"/>
              </w:rPr>
              <w:t>）、辅助斜坡道、进风井、东回风井</w:t>
            </w:r>
            <w:r>
              <w:rPr>
                <w:rFonts w:hint="eastAsia"/>
                <w:color w:val="auto"/>
                <w:highlight w:val="none"/>
                <w:lang w:val="zh-CN" w:eastAsia="zh-CN"/>
              </w:rPr>
              <w:t>、</w:t>
            </w:r>
            <w:r>
              <w:rPr>
                <w:rFonts w:hint="default"/>
                <w:color w:val="auto"/>
                <w:highlight w:val="none"/>
                <w:lang w:val="zh-CN" w:eastAsia="zh-CN"/>
              </w:rPr>
              <w:t>西回风井</w:t>
            </w:r>
            <w:r>
              <w:rPr>
                <w:rFonts w:hint="eastAsia"/>
                <w:color w:val="auto"/>
                <w:highlight w:val="none"/>
                <w:lang w:val="zh-CN" w:eastAsia="zh-CN"/>
              </w:rPr>
              <w:t>、</w:t>
            </w:r>
            <w:r>
              <w:rPr>
                <w:rFonts w:hint="eastAsia"/>
                <w:color w:val="auto"/>
                <w:highlight w:val="none"/>
                <w:lang w:val="en-US" w:eastAsia="en-US"/>
              </w:rPr>
              <w:t>盲进风井</w:t>
            </w:r>
            <w:r>
              <w:rPr>
                <w:rFonts w:hint="eastAsia"/>
                <w:color w:val="auto"/>
                <w:highlight w:val="none"/>
                <w:lang w:val="en-US" w:eastAsia="zh-CN"/>
              </w:rPr>
              <w:t>、</w:t>
            </w:r>
            <w:r>
              <w:rPr>
                <w:rFonts w:hint="eastAsia"/>
                <w:color w:val="auto"/>
                <w:highlight w:val="none"/>
                <w:lang w:val="en-US" w:eastAsia="en-US"/>
              </w:rPr>
              <w:t>盲回风井</w:t>
            </w:r>
            <w:r>
              <w:rPr>
                <w:rFonts w:hint="default"/>
                <w:color w:val="auto"/>
                <w:highlight w:val="none"/>
                <w:lang w:val="zh-CN" w:eastAsia="zh-CN"/>
              </w:rPr>
              <w:t>。胶带斜井运输系统设计运输能力为400t/h。矿、废石共用一条胶带，分时段运输。</w:t>
            </w:r>
            <w:r>
              <w:rPr>
                <w:rFonts w:hint="eastAsia"/>
                <w:color w:val="auto"/>
                <w:highlight w:val="none"/>
                <w:lang w:val="en-US" w:eastAsia="zh-CN"/>
              </w:rPr>
              <w:t>3000m以上</w:t>
            </w:r>
            <w:r>
              <w:rPr>
                <w:rFonts w:hint="default"/>
                <w:color w:val="auto"/>
                <w:highlight w:val="none"/>
                <w:lang w:val="zh-CN" w:eastAsia="zh-CN"/>
              </w:rPr>
              <w:t>矿、废石下放到3000m有轨运输水平，再由有轨运输转到主溜井，最后由BC1斜井胶带提升到地表。</w:t>
            </w:r>
            <w:r>
              <w:rPr>
                <w:rFonts w:hint="eastAsia"/>
                <w:color w:val="auto"/>
                <w:highlight w:val="none"/>
              </w:rPr>
              <w:t>辅助斜坡道用于运输人员、材料和设备，兼作进风通道，为全矿主要的安全出口。</w:t>
            </w:r>
            <w:r>
              <w:rPr>
                <w:rFonts w:hint="eastAsia"/>
                <w:color w:val="auto"/>
                <w:highlight w:val="none"/>
                <w:lang w:val="en-US" w:eastAsia="en-US"/>
              </w:rPr>
              <w:t>开采2900m以下矿体，</w:t>
            </w:r>
            <w:r>
              <w:rPr>
                <w:rFonts w:hint="eastAsia"/>
                <w:color w:val="auto"/>
                <w:highlight w:val="none"/>
                <w:lang w:val="en-US" w:eastAsia="zh-CN"/>
              </w:rPr>
              <w:t>采用</w:t>
            </w:r>
            <w:r>
              <w:rPr>
                <w:rFonts w:hint="eastAsia"/>
                <w:color w:val="auto"/>
                <w:highlight w:val="none"/>
                <w:lang w:val="en-US" w:eastAsia="en-US"/>
              </w:rPr>
              <w:t>2段胶带斜井（BC2和BC3），服务至2600m水平，与BC1胶带斜井接力提运矿石和废石到地表</w:t>
            </w:r>
            <w:r>
              <w:rPr>
                <w:rFonts w:hint="eastAsia"/>
                <w:color w:val="auto"/>
                <w:highlight w:val="none"/>
                <w:lang w:val="en-US" w:eastAsia="zh-CN"/>
              </w:rPr>
              <w:t>。2900m以下作业需</w:t>
            </w:r>
            <w:r>
              <w:rPr>
                <w:rFonts w:hint="eastAsia"/>
                <w:color w:val="auto"/>
                <w:highlight w:val="none"/>
                <w:lang w:val="en-US" w:eastAsia="en-US"/>
              </w:rPr>
              <w:t>将辅助斜坡道向下延伸，并新建1条盲进风井和3条盲回风井。</w:t>
            </w:r>
          </w:p>
        </w:tc>
        <w:tc>
          <w:tcPr>
            <w:tcW w:w="689" w:type="pct"/>
            <w:vAlign w:val="center"/>
          </w:tcPr>
          <w:p w14:paraId="3DC3985E">
            <w:pPr>
              <w:pStyle w:val="17"/>
              <w:bidi w:val="0"/>
              <w:jc w:val="center"/>
              <w:rPr>
                <w:rFonts w:hint="default" w:eastAsia="宋体"/>
                <w:color w:val="auto"/>
                <w:highlight w:val="none"/>
                <w:lang w:val="en-US" w:eastAsia="zh-CN"/>
              </w:rPr>
            </w:pPr>
            <w:r>
              <w:rPr>
                <w:rFonts w:hint="eastAsia"/>
                <w:color w:val="auto"/>
                <w:highlight w:val="none"/>
                <w:lang w:val="en-US" w:eastAsia="zh-CN"/>
              </w:rPr>
              <w:t>未变动</w:t>
            </w:r>
          </w:p>
        </w:tc>
      </w:tr>
      <w:tr w14:paraId="6E5A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05F7B258">
            <w:pPr>
              <w:pStyle w:val="17"/>
              <w:bidi w:val="0"/>
              <w:jc w:val="center"/>
              <w:rPr>
                <w:rFonts w:hint="eastAsia"/>
                <w:color w:val="auto"/>
                <w:highlight w:val="none"/>
              </w:rPr>
            </w:pPr>
          </w:p>
        </w:tc>
        <w:tc>
          <w:tcPr>
            <w:tcW w:w="151" w:type="pct"/>
            <w:vMerge w:val="continue"/>
            <w:vAlign w:val="center"/>
          </w:tcPr>
          <w:p w14:paraId="43EE3D18">
            <w:pPr>
              <w:pStyle w:val="17"/>
              <w:bidi w:val="0"/>
              <w:jc w:val="center"/>
              <w:rPr>
                <w:rFonts w:hint="eastAsia"/>
                <w:color w:val="auto"/>
                <w:highlight w:val="none"/>
              </w:rPr>
            </w:pPr>
          </w:p>
        </w:tc>
        <w:tc>
          <w:tcPr>
            <w:tcW w:w="152" w:type="pct"/>
            <w:vAlign w:val="center"/>
          </w:tcPr>
          <w:p w14:paraId="1C6ED526">
            <w:pPr>
              <w:pStyle w:val="17"/>
              <w:bidi w:val="0"/>
              <w:jc w:val="center"/>
              <w:rPr>
                <w:rFonts w:hint="eastAsia" w:eastAsia="宋体"/>
                <w:color w:val="auto"/>
                <w:highlight w:val="none"/>
                <w:lang w:val="en-US" w:eastAsia="zh-CN"/>
              </w:rPr>
            </w:pPr>
            <w:r>
              <w:rPr>
                <w:rFonts w:hint="eastAsia"/>
                <w:color w:val="auto"/>
                <w:highlight w:val="none"/>
                <w:lang w:val="en-US" w:eastAsia="zh-CN"/>
              </w:rPr>
              <w:t>通风系统</w:t>
            </w:r>
          </w:p>
        </w:tc>
        <w:tc>
          <w:tcPr>
            <w:tcW w:w="1840" w:type="pct"/>
            <w:gridSpan w:val="4"/>
            <w:vAlign w:val="center"/>
          </w:tcPr>
          <w:p w14:paraId="4C7FC168">
            <w:pPr>
              <w:pStyle w:val="17"/>
              <w:bidi w:val="0"/>
              <w:jc w:val="center"/>
              <w:rPr>
                <w:rFonts w:hint="eastAsia"/>
                <w:color w:val="auto"/>
                <w:highlight w:val="none"/>
              </w:rPr>
            </w:pPr>
            <w:r>
              <w:rPr>
                <w:rFonts w:hint="default"/>
                <w:color w:val="auto"/>
                <w:highlight w:val="none"/>
                <w:lang w:val="zh-CN" w:eastAsia="zh-CN"/>
              </w:rPr>
              <w:t>采用中央进风、两翼回风的对角式通风方式，抽出式通风，主通风机安装在地表东回风井和西回风井井口。新鲜风流由进风井进入，通过2950m、2900m和2850m中段石门巷道、分段进风天井、无轨和有轨运输中段进入各分段，再由联络道到达各用风点。辅助斜坡道进入井下，经联络道进入中段、分段巷道，用风点。新鲜风流冲洗工作面后，污风经采场回风天井、上中段回风道、两翼的东回风井和西回风井回风排到地表。卸载站的新鲜风流来自本中段的贯穿风流，污风由回风天井或联络道回到回风井。装矿胶带</w:t>
            </w:r>
            <w:r>
              <w:rPr>
                <w:rFonts w:hint="eastAsia"/>
                <w:color w:val="auto"/>
                <w:highlight w:val="none"/>
                <w:lang w:val="zh-CN" w:eastAsia="zh-CN"/>
              </w:rPr>
              <w:t>的</w:t>
            </w:r>
            <w:r>
              <w:rPr>
                <w:rFonts w:hint="default"/>
                <w:color w:val="auto"/>
                <w:highlight w:val="none"/>
                <w:lang w:val="zh-CN" w:eastAsia="zh-CN"/>
              </w:rPr>
              <w:t>新鲜风流主要来自胶带斜井，经尾部的回风天井到达回风中段。风流无法</w:t>
            </w:r>
            <w:r>
              <w:rPr>
                <w:rFonts w:hint="eastAsia"/>
                <w:color w:val="auto"/>
                <w:highlight w:val="none"/>
                <w:lang w:val="en-US" w:eastAsia="zh-CN"/>
              </w:rPr>
              <w:t>通</w:t>
            </w:r>
            <w:r>
              <w:rPr>
                <w:rFonts w:hint="default"/>
                <w:color w:val="auto"/>
                <w:highlight w:val="none"/>
                <w:lang w:val="zh-CN" w:eastAsia="zh-CN"/>
              </w:rPr>
              <w:t>过或风速较小时，需采用局扇加强通风。深部</w:t>
            </w:r>
            <w:r>
              <w:rPr>
                <w:rFonts w:hint="eastAsia"/>
                <w:color w:val="auto"/>
                <w:highlight w:val="none"/>
                <w:lang w:val="zh-CN" w:eastAsia="zh-CN"/>
              </w:rPr>
              <w:t>后</w:t>
            </w:r>
            <w:r>
              <w:rPr>
                <w:rFonts w:hint="default"/>
                <w:color w:val="auto"/>
                <w:highlight w:val="none"/>
                <w:lang w:val="zh-CN" w:eastAsia="zh-CN"/>
              </w:rPr>
              <w:t>期采用接力通风，新建</w:t>
            </w:r>
            <w:r>
              <w:rPr>
                <w:rFonts w:hint="eastAsia"/>
                <w:color w:val="auto"/>
                <w:highlight w:val="none"/>
                <w:lang w:val="en-US" w:eastAsia="zh-CN"/>
              </w:rPr>
              <w:t>1条</w:t>
            </w:r>
            <w:r>
              <w:rPr>
                <w:rFonts w:hint="default"/>
                <w:color w:val="auto"/>
                <w:highlight w:val="none"/>
                <w:lang w:val="zh-CN" w:eastAsia="zh-CN"/>
              </w:rPr>
              <w:t>盲进风井、</w:t>
            </w:r>
            <w:r>
              <w:rPr>
                <w:rFonts w:hint="eastAsia"/>
                <w:color w:val="auto"/>
                <w:highlight w:val="none"/>
                <w:lang w:val="en-US" w:eastAsia="zh-CN"/>
              </w:rPr>
              <w:t>3条</w:t>
            </w:r>
            <w:r>
              <w:rPr>
                <w:rFonts w:hint="default"/>
                <w:color w:val="auto"/>
                <w:highlight w:val="none"/>
                <w:lang w:val="zh-CN" w:eastAsia="zh-CN"/>
              </w:rPr>
              <w:t>接力回风井。</w:t>
            </w:r>
          </w:p>
        </w:tc>
        <w:tc>
          <w:tcPr>
            <w:tcW w:w="2014" w:type="pct"/>
            <w:gridSpan w:val="2"/>
            <w:shd w:val="clear" w:color="auto" w:fill="auto"/>
            <w:vAlign w:val="center"/>
          </w:tcPr>
          <w:p w14:paraId="51DD12B0">
            <w:pPr>
              <w:pStyle w:val="17"/>
              <w:bidi w:val="0"/>
              <w:jc w:val="center"/>
              <w:rPr>
                <w:rFonts w:hint="default"/>
                <w:color w:val="auto"/>
                <w:highlight w:val="none"/>
                <w:lang w:val="zh-CN" w:eastAsia="zh-CN"/>
              </w:rPr>
            </w:pPr>
            <w:r>
              <w:rPr>
                <w:rFonts w:hint="default"/>
                <w:color w:val="auto"/>
                <w:highlight w:val="none"/>
                <w:lang w:val="zh-CN" w:eastAsia="zh-CN"/>
              </w:rPr>
              <w:t>采用中央进风、两翼回风的对角式通风方式，抽出式通风，主通风机安装在地表东回风井和西回风井井口。新鲜风流由进风井进入，通过2950m、2900m和2850m中段石门巷道、分段进风天井、无轨和有轨运输中段进入各分段，再由联络道到达各用风点。辅助斜坡道进入井下，经联络道进入中段、分段巷道，用风点。新鲜风流冲洗工作面后，污风经采场回风天井、上中段回风道、两翼的东回风井和西回风井回风排到地表。卸载站的新鲜风流来自本中段的贯穿风流，污风由回风天井或联络道回到回风井。装矿胶带</w:t>
            </w:r>
            <w:r>
              <w:rPr>
                <w:rFonts w:hint="eastAsia"/>
                <w:color w:val="auto"/>
                <w:highlight w:val="none"/>
                <w:lang w:val="zh-CN" w:eastAsia="zh-CN"/>
              </w:rPr>
              <w:t>的</w:t>
            </w:r>
            <w:r>
              <w:rPr>
                <w:rFonts w:hint="default"/>
                <w:color w:val="auto"/>
                <w:highlight w:val="none"/>
                <w:lang w:val="zh-CN" w:eastAsia="zh-CN"/>
              </w:rPr>
              <w:t>新鲜风流主要来自胶带斜井，经尾部的回风天井到达回风中段。风流无法</w:t>
            </w:r>
            <w:r>
              <w:rPr>
                <w:rFonts w:hint="eastAsia"/>
                <w:color w:val="auto"/>
                <w:highlight w:val="none"/>
                <w:lang w:val="en-US" w:eastAsia="zh-CN"/>
              </w:rPr>
              <w:t>通</w:t>
            </w:r>
            <w:r>
              <w:rPr>
                <w:rFonts w:hint="default"/>
                <w:color w:val="auto"/>
                <w:highlight w:val="none"/>
                <w:lang w:val="zh-CN" w:eastAsia="zh-CN"/>
              </w:rPr>
              <w:t>过或风速较小时，需采用局扇加强通风。深部</w:t>
            </w:r>
            <w:r>
              <w:rPr>
                <w:rFonts w:hint="eastAsia"/>
                <w:color w:val="auto"/>
                <w:highlight w:val="none"/>
                <w:lang w:val="zh-CN" w:eastAsia="zh-CN"/>
              </w:rPr>
              <w:t>后</w:t>
            </w:r>
            <w:r>
              <w:rPr>
                <w:rFonts w:hint="default"/>
                <w:color w:val="auto"/>
                <w:highlight w:val="none"/>
                <w:lang w:val="zh-CN" w:eastAsia="zh-CN"/>
              </w:rPr>
              <w:t>期采用接力通风，新建</w:t>
            </w:r>
            <w:r>
              <w:rPr>
                <w:rFonts w:hint="eastAsia"/>
                <w:color w:val="auto"/>
                <w:highlight w:val="none"/>
                <w:lang w:val="en-US" w:eastAsia="zh-CN"/>
              </w:rPr>
              <w:t>1条</w:t>
            </w:r>
            <w:r>
              <w:rPr>
                <w:rFonts w:hint="default"/>
                <w:color w:val="auto"/>
                <w:highlight w:val="none"/>
                <w:lang w:val="zh-CN" w:eastAsia="zh-CN"/>
              </w:rPr>
              <w:t>盲进风井、</w:t>
            </w:r>
            <w:r>
              <w:rPr>
                <w:rFonts w:hint="eastAsia"/>
                <w:color w:val="auto"/>
                <w:highlight w:val="none"/>
                <w:lang w:val="en-US" w:eastAsia="zh-CN"/>
              </w:rPr>
              <w:t>3条</w:t>
            </w:r>
            <w:r>
              <w:rPr>
                <w:rFonts w:hint="default"/>
                <w:color w:val="auto"/>
                <w:highlight w:val="none"/>
                <w:lang w:val="zh-CN" w:eastAsia="zh-CN"/>
              </w:rPr>
              <w:t>接力回风井。</w:t>
            </w:r>
          </w:p>
        </w:tc>
        <w:tc>
          <w:tcPr>
            <w:tcW w:w="689" w:type="pct"/>
            <w:vAlign w:val="center"/>
          </w:tcPr>
          <w:p w14:paraId="4815DDD0">
            <w:pPr>
              <w:pStyle w:val="17"/>
              <w:bidi w:val="0"/>
              <w:jc w:val="center"/>
              <w:rPr>
                <w:rFonts w:hint="default" w:eastAsia="宋体"/>
                <w:color w:val="auto"/>
                <w:highlight w:val="none"/>
                <w:lang w:val="en-US" w:eastAsia="zh-CN"/>
              </w:rPr>
            </w:pPr>
            <w:r>
              <w:rPr>
                <w:rFonts w:hint="eastAsia"/>
                <w:color w:val="auto"/>
                <w:highlight w:val="none"/>
                <w:lang w:val="en-US" w:eastAsia="zh-CN"/>
              </w:rPr>
              <w:t>未变动</w:t>
            </w:r>
          </w:p>
        </w:tc>
      </w:tr>
      <w:tr w14:paraId="431F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08A422E4">
            <w:pPr>
              <w:pStyle w:val="17"/>
              <w:bidi w:val="0"/>
              <w:jc w:val="center"/>
              <w:rPr>
                <w:rFonts w:hint="eastAsia"/>
                <w:color w:val="auto"/>
                <w:highlight w:val="none"/>
              </w:rPr>
            </w:pPr>
          </w:p>
        </w:tc>
        <w:tc>
          <w:tcPr>
            <w:tcW w:w="151" w:type="pct"/>
            <w:vMerge w:val="continue"/>
            <w:vAlign w:val="center"/>
          </w:tcPr>
          <w:p w14:paraId="48392A2E">
            <w:pPr>
              <w:pStyle w:val="17"/>
              <w:bidi w:val="0"/>
              <w:jc w:val="center"/>
              <w:rPr>
                <w:rFonts w:hint="eastAsia"/>
                <w:color w:val="auto"/>
                <w:highlight w:val="none"/>
              </w:rPr>
            </w:pPr>
          </w:p>
        </w:tc>
        <w:tc>
          <w:tcPr>
            <w:tcW w:w="152" w:type="pct"/>
            <w:shd w:val="clear" w:color="auto" w:fill="auto"/>
            <w:vAlign w:val="center"/>
          </w:tcPr>
          <w:p w14:paraId="67FEA98B">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粉矿回收系统</w:t>
            </w:r>
          </w:p>
        </w:tc>
        <w:tc>
          <w:tcPr>
            <w:tcW w:w="1840" w:type="pct"/>
            <w:gridSpan w:val="4"/>
            <w:shd w:val="clear" w:color="auto" w:fill="auto"/>
            <w:vAlign w:val="center"/>
          </w:tcPr>
          <w:p w14:paraId="6800894E">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2450m水平设粉矿回收系统，</w:t>
            </w:r>
            <w:r>
              <w:rPr>
                <w:rFonts w:hint="default"/>
                <w:color w:val="auto"/>
                <w:highlight w:val="none"/>
                <w:lang w:val="en-US" w:eastAsia="zh-CN"/>
              </w:rPr>
              <w:t>粉矿车沿粉矿回收巷道由人工推至粉矿回收井口，提升至上部中段，然后经溜井卸入下部料仓，胶带给矿机卸入计量漏斗。</w:t>
            </w:r>
          </w:p>
        </w:tc>
        <w:tc>
          <w:tcPr>
            <w:tcW w:w="2014" w:type="pct"/>
            <w:gridSpan w:val="2"/>
            <w:shd w:val="clear" w:color="auto" w:fill="auto"/>
            <w:vAlign w:val="center"/>
          </w:tcPr>
          <w:p w14:paraId="15EF9340">
            <w:pPr>
              <w:pStyle w:val="17"/>
              <w:bidi w:val="0"/>
              <w:ind w:firstLine="0" w:firstLineChars="0"/>
              <w:jc w:val="center"/>
              <w:rPr>
                <w:rFonts w:hint="eastAsia"/>
                <w:color w:val="auto"/>
                <w:highlight w:val="none"/>
                <w:lang w:val="en-US" w:eastAsia="zh-CN"/>
              </w:rPr>
            </w:pPr>
            <w:r>
              <w:rPr>
                <w:rFonts w:hint="eastAsia"/>
                <w:color w:val="auto"/>
                <w:highlight w:val="none"/>
                <w:lang w:val="en-US" w:eastAsia="zh-CN"/>
              </w:rPr>
              <w:t>2450m水平设粉矿回收系统，</w:t>
            </w:r>
            <w:r>
              <w:rPr>
                <w:rFonts w:hint="default"/>
                <w:color w:val="auto"/>
                <w:highlight w:val="none"/>
                <w:lang w:val="en-US" w:eastAsia="zh-CN"/>
              </w:rPr>
              <w:t>粉矿车沿粉矿回收巷道由人工推至粉矿回收井口，提升至上部中段，然后经溜井卸入下部料仓，胶带给矿机卸入计量漏斗。</w:t>
            </w:r>
          </w:p>
        </w:tc>
        <w:tc>
          <w:tcPr>
            <w:tcW w:w="689" w:type="pct"/>
            <w:vAlign w:val="center"/>
          </w:tcPr>
          <w:p w14:paraId="30823E7B">
            <w:pPr>
              <w:pStyle w:val="17"/>
              <w:bidi w:val="0"/>
              <w:jc w:val="center"/>
              <w:rPr>
                <w:rFonts w:hint="eastAsia"/>
                <w:color w:val="auto"/>
                <w:highlight w:val="none"/>
              </w:rPr>
            </w:pPr>
            <w:r>
              <w:rPr>
                <w:rFonts w:hint="eastAsia"/>
                <w:color w:val="auto"/>
                <w:highlight w:val="none"/>
                <w:lang w:val="en-US" w:eastAsia="zh-CN"/>
              </w:rPr>
              <w:t>未变动</w:t>
            </w:r>
          </w:p>
        </w:tc>
      </w:tr>
      <w:tr w14:paraId="02BD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6E2851B6">
            <w:pPr>
              <w:pStyle w:val="17"/>
              <w:bidi w:val="0"/>
              <w:jc w:val="center"/>
              <w:rPr>
                <w:rFonts w:hint="eastAsia"/>
                <w:color w:val="auto"/>
                <w:highlight w:val="none"/>
              </w:rPr>
            </w:pPr>
          </w:p>
        </w:tc>
        <w:tc>
          <w:tcPr>
            <w:tcW w:w="151" w:type="pct"/>
            <w:vMerge w:val="continue"/>
            <w:vAlign w:val="center"/>
          </w:tcPr>
          <w:p w14:paraId="3998E8C3">
            <w:pPr>
              <w:pStyle w:val="17"/>
              <w:bidi w:val="0"/>
              <w:jc w:val="center"/>
              <w:rPr>
                <w:rFonts w:hint="eastAsia"/>
                <w:color w:val="auto"/>
                <w:highlight w:val="none"/>
              </w:rPr>
            </w:pPr>
          </w:p>
        </w:tc>
        <w:tc>
          <w:tcPr>
            <w:tcW w:w="152" w:type="pct"/>
            <w:shd w:val="clear" w:color="auto" w:fill="auto"/>
            <w:vAlign w:val="center"/>
          </w:tcPr>
          <w:p w14:paraId="04AF80FA">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矿山排水系统</w:t>
            </w:r>
          </w:p>
        </w:tc>
        <w:tc>
          <w:tcPr>
            <w:tcW w:w="1840" w:type="pct"/>
            <w:gridSpan w:val="4"/>
            <w:shd w:val="clear" w:color="auto" w:fill="auto"/>
            <w:vAlign w:val="center"/>
          </w:tcPr>
          <w:p w14:paraId="3833B02F">
            <w:pPr>
              <w:pStyle w:val="17"/>
              <w:bidi w:val="0"/>
              <w:jc w:val="center"/>
              <w:rPr>
                <w:rFonts w:hint="default"/>
                <w:color w:val="auto"/>
                <w:highlight w:val="none"/>
                <w:lang w:val="en-US" w:eastAsia="zh-CN"/>
              </w:rPr>
            </w:pPr>
            <w:r>
              <w:rPr>
                <w:rFonts w:hint="default"/>
                <w:color w:val="auto"/>
                <w:highlight w:val="none"/>
                <w:lang w:val="en-US" w:eastAsia="zh-CN"/>
              </w:rPr>
              <w:t>根据地质条件，</w:t>
            </w:r>
            <w:r>
              <w:rPr>
                <w:rFonts w:hint="eastAsia"/>
                <w:color w:val="auto"/>
                <w:highlight w:val="none"/>
                <w:lang w:val="en-US" w:eastAsia="zh-CN"/>
              </w:rPr>
              <w:t>首采期（地表～+2950m）</w:t>
            </w:r>
            <w:r>
              <w:rPr>
                <w:rFonts w:hint="default"/>
                <w:color w:val="auto"/>
                <w:highlight w:val="none"/>
                <w:lang w:val="en-US" w:eastAsia="zh-CN"/>
              </w:rPr>
              <w:t>正常排水量</w:t>
            </w:r>
            <w:r>
              <w:rPr>
                <w:rFonts w:hint="eastAsia"/>
                <w:color w:val="auto"/>
                <w:highlight w:val="none"/>
                <w:lang w:val="en-US" w:eastAsia="zh-CN"/>
              </w:rPr>
              <w:t>按照240</w:t>
            </w:r>
            <w:r>
              <w:rPr>
                <w:rFonts w:hint="default"/>
                <w:color w:val="auto"/>
                <w:highlight w:val="none"/>
                <w:lang w:val="en-US" w:eastAsia="zh-CN"/>
              </w:rPr>
              <w:t>m</w:t>
            </w:r>
            <w:r>
              <w:rPr>
                <w:rFonts w:hint="default"/>
                <w:color w:val="auto"/>
                <w:highlight w:val="none"/>
                <w:vertAlign w:val="superscript"/>
                <w:lang w:val="en-US" w:eastAsia="zh-CN"/>
              </w:rPr>
              <w:t>3</w:t>
            </w:r>
            <w:r>
              <w:rPr>
                <w:rFonts w:hint="default"/>
                <w:color w:val="auto"/>
                <w:highlight w:val="none"/>
                <w:lang w:val="en-US" w:eastAsia="zh-CN"/>
              </w:rPr>
              <w:t>/d，最大排水量</w:t>
            </w:r>
            <w:r>
              <w:rPr>
                <w:rFonts w:hint="eastAsia"/>
                <w:color w:val="auto"/>
                <w:highlight w:val="none"/>
                <w:lang w:val="en-US" w:eastAsia="zh-CN"/>
              </w:rPr>
              <w:t>310</w:t>
            </w:r>
            <w:r>
              <w:rPr>
                <w:rFonts w:hint="default"/>
                <w:color w:val="auto"/>
                <w:highlight w:val="none"/>
                <w:lang w:val="en-US" w:eastAsia="zh-CN"/>
              </w:rPr>
              <w:t>m</w:t>
            </w:r>
            <w:r>
              <w:rPr>
                <w:rFonts w:hint="default"/>
                <w:color w:val="auto"/>
                <w:highlight w:val="none"/>
                <w:vertAlign w:val="superscript"/>
                <w:lang w:val="en-US" w:eastAsia="zh-CN"/>
              </w:rPr>
              <w:t>3</w:t>
            </w:r>
            <w:r>
              <w:rPr>
                <w:rFonts w:hint="default"/>
                <w:color w:val="auto"/>
                <w:highlight w:val="none"/>
                <w:lang w:val="en-US" w:eastAsia="zh-CN"/>
              </w:rPr>
              <w:t>/d</w:t>
            </w:r>
            <w:r>
              <w:rPr>
                <w:rFonts w:hint="eastAsia"/>
                <w:color w:val="auto"/>
                <w:highlight w:val="none"/>
                <w:lang w:val="en-US" w:eastAsia="zh-CN"/>
              </w:rPr>
              <w:t>；中期（+2950m~+2700m）正常排水量1000m</w:t>
            </w:r>
            <w:r>
              <w:rPr>
                <w:rFonts w:hint="eastAsia"/>
                <w:color w:val="auto"/>
                <w:highlight w:val="none"/>
                <w:vertAlign w:val="superscript"/>
                <w:lang w:val="en-US" w:eastAsia="zh-CN"/>
              </w:rPr>
              <w:t>3</w:t>
            </w:r>
            <w:r>
              <w:rPr>
                <w:rFonts w:hint="eastAsia"/>
                <w:color w:val="auto"/>
                <w:highlight w:val="none"/>
                <w:lang w:val="en-US" w:eastAsia="zh-CN"/>
              </w:rPr>
              <w:t>/d，最大排水量2000m</w:t>
            </w:r>
            <w:r>
              <w:rPr>
                <w:rFonts w:hint="eastAsia"/>
                <w:color w:val="auto"/>
                <w:highlight w:val="none"/>
                <w:vertAlign w:val="superscript"/>
                <w:lang w:val="en-US" w:eastAsia="zh-CN"/>
              </w:rPr>
              <w:t>3</w:t>
            </w:r>
            <w:r>
              <w:rPr>
                <w:rFonts w:hint="eastAsia"/>
                <w:color w:val="auto"/>
                <w:highlight w:val="none"/>
                <w:lang w:val="en-US" w:eastAsia="zh-CN"/>
              </w:rPr>
              <w:t>/d；后期（+2700m~+2354m）正常排水量9279m</w:t>
            </w:r>
            <w:r>
              <w:rPr>
                <w:rFonts w:hint="eastAsia"/>
                <w:color w:val="auto"/>
                <w:highlight w:val="none"/>
                <w:vertAlign w:val="superscript"/>
                <w:lang w:val="en-US" w:eastAsia="zh-CN"/>
              </w:rPr>
              <w:t>3</w:t>
            </w:r>
            <w:r>
              <w:rPr>
                <w:rFonts w:hint="eastAsia"/>
                <w:color w:val="auto"/>
                <w:highlight w:val="none"/>
                <w:lang w:val="en-US" w:eastAsia="zh-CN"/>
              </w:rPr>
              <w:t>/d，最大排水量11670.58m</w:t>
            </w:r>
            <w:r>
              <w:rPr>
                <w:rFonts w:hint="eastAsia"/>
                <w:color w:val="auto"/>
                <w:highlight w:val="none"/>
                <w:vertAlign w:val="superscript"/>
                <w:lang w:val="en-US" w:eastAsia="zh-CN"/>
              </w:rPr>
              <w:t>3</w:t>
            </w:r>
            <w:r>
              <w:rPr>
                <w:rFonts w:hint="eastAsia"/>
                <w:color w:val="auto"/>
                <w:highlight w:val="none"/>
                <w:lang w:val="en-US" w:eastAsia="zh-CN"/>
              </w:rPr>
              <w:t>/d</w:t>
            </w:r>
            <w:r>
              <w:rPr>
                <w:rFonts w:hint="default"/>
                <w:color w:val="auto"/>
                <w:highlight w:val="none"/>
                <w:lang w:val="en-US" w:eastAsia="zh-CN"/>
              </w:rPr>
              <w:t>考虑。</w:t>
            </w:r>
          </w:p>
          <w:p w14:paraId="034A6876">
            <w:pPr>
              <w:pStyle w:val="17"/>
              <w:bidi w:val="0"/>
              <w:jc w:val="center"/>
              <w:rPr>
                <w:rFonts w:hint="default"/>
                <w:color w:val="auto"/>
                <w:highlight w:val="none"/>
                <w:lang w:val="en-US" w:eastAsia="zh-CN"/>
              </w:rPr>
            </w:pPr>
            <w:r>
              <w:rPr>
                <w:rFonts w:hint="default"/>
                <w:color w:val="auto"/>
                <w:highlight w:val="none"/>
                <w:lang w:val="en-US" w:eastAsia="zh-CN"/>
              </w:rPr>
              <w:t>上部开拓，涌水自流出地表；下部竖井开拓，分段排水，在2700m水泵房选取水泵D（MD）100-33（12），流量120m</w:t>
            </w:r>
            <w:r>
              <w:rPr>
                <w:rFonts w:hint="default"/>
                <w:color w:val="auto"/>
                <w:highlight w:val="none"/>
                <w:vertAlign w:val="superscript"/>
                <w:lang w:val="en-US" w:eastAsia="zh-CN"/>
              </w:rPr>
              <w:t>3</w:t>
            </w:r>
            <w:r>
              <w:rPr>
                <w:rFonts w:hint="default"/>
                <w:color w:val="auto"/>
                <w:highlight w:val="none"/>
                <w:lang w:val="en-US" w:eastAsia="zh-CN"/>
              </w:rPr>
              <w:t>/h，扬程360m，功率185kW，3台1用1备1检修；在2450m水泵房选取水泵D（MD）100-33（12），流量120m</w:t>
            </w:r>
            <w:r>
              <w:rPr>
                <w:rFonts w:hint="default"/>
                <w:color w:val="auto"/>
                <w:highlight w:val="none"/>
                <w:vertAlign w:val="superscript"/>
                <w:lang w:val="en-US" w:eastAsia="zh-CN"/>
              </w:rPr>
              <w:t>3</w:t>
            </w:r>
            <w:r>
              <w:rPr>
                <w:rFonts w:hint="default"/>
                <w:color w:val="auto"/>
                <w:highlight w:val="none"/>
                <w:lang w:val="en-US" w:eastAsia="zh-CN"/>
              </w:rPr>
              <w:t>/h，扬程360m，功率185kW，3台1用1备1检修（该处水泵大约在生产期25年后投入使用）。水可经过水泵排至地表。</w:t>
            </w:r>
          </w:p>
          <w:p w14:paraId="6DC92596">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排水系统设Φ159×7mm排水管2根，正常排水时，1用1备。</w:t>
            </w:r>
          </w:p>
        </w:tc>
        <w:tc>
          <w:tcPr>
            <w:tcW w:w="2014" w:type="pct"/>
            <w:gridSpan w:val="2"/>
            <w:shd w:val="clear" w:color="auto" w:fill="auto"/>
            <w:vAlign w:val="center"/>
          </w:tcPr>
          <w:p w14:paraId="262A03D9">
            <w:pPr>
              <w:pStyle w:val="17"/>
              <w:bidi w:val="0"/>
              <w:ind w:firstLine="0" w:firstLineChars="0"/>
              <w:jc w:val="center"/>
              <w:rPr>
                <w:rFonts w:hint="default"/>
                <w:color w:val="auto"/>
                <w:highlight w:val="none"/>
                <w:lang w:val="en-US" w:eastAsia="zh-CN"/>
              </w:rPr>
            </w:pPr>
            <w:r>
              <w:rPr>
                <w:rFonts w:hint="default"/>
                <w:color w:val="auto"/>
                <w:highlight w:val="none"/>
                <w:lang w:val="en-US" w:eastAsia="zh-CN"/>
              </w:rPr>
              <w:t>2900m水平以上生产时，正常排水量1610m</w:t>
            </w:r>
            <w:r>
              <w:rPr>
                <w:rFonts w:hint="default"/>
                <w:color w:val="auto"/>
                <w:highlight w:val="none"/>
                <w:vertAlign w:val="superscript"/>
                <w:lang w:val="en-US" w:eastAsia="zh-CN"/>
              </w:rPr>
              <w:t>3</w:t>
            </w:r>
            <w:r>
              <w:rPr>
                <w:rFonts w:hint="default"/>
                <w:color w:val="auto"/>
                <w:highlight w:val="none"/>
                <w:lang w:val="en-US" w:eastAsia="zh-CN"/>
              </w:rPr>
              <w:t>/d，最大排水量2060m3/d。2550m设排水泵站按照2450m中段涌水量设置排水设施，正常排水量5960m</w:t>
            </w:r>
            <w:r>
              <w:rPr>
                <w:rFonts w:hint="default"/>
                <w:color w:val="auto"/>
                <w:highlight w:val="none"/>
                <w:vertAlign w:val="superscript"/>
                <w:lang w:val="en-US" w:eastAsia="zh-CN"/>
              </w:rPr>
              <w:t>3</w:t>
            </w:r>
            <w:r>
              <w:rPr>
                <w:rFonts w:hint="default"/>
                <w:color w:val="auto"/>
                <w:highlight w:val="none"/>
                <w:lang w:val="en-US" w:eastAsia="zh-CN"/>
              </w:rPr>
              <w:t>/d，最大排水量9860m</w:t>
            </w:r>
            <w:r>
              <w:rPr>
                <w:rFonts w:hint="default"/>
                <w:color w:val="auto"/>
                <w:highlight w:val="none"/>
                <w:vertAlign w:val="superscript"/>
                <w:lang w:val="en-US" w:eastAsia="zh-CN"/>
              </w:rPr>
              <w:t>3</w:t>
            </w:r>
            <w:r>
              <w:rPr>
                <w:rFonts w:hint="default"/>
                <w:color w:val="auto"/>
                <w:highlight w:val="none"/>
                <w:lang w:val="en-US" w:eastAsia="zh-CN"/>
              </w:rPr>
              <w:t>/d。井下排水系统采用分期分阶段排水方式。一期开采2900m以上矿体，在进风井2850m马头门附近设一个排水泵站，2900m以上的涌水和生产回水沿进风井排至地表。2850m水泵房内设3台MD155-30×6型多级泵，单台水泵额定流量Q=155m</w:t>
            </w:r>
            <w:r>
              <w:rPr>
                <w:rFonts w:hint="default"/>
                <w:color w:val="auto"/>
                <w:highlight w:val="none"/>
                <w:vertAlign w:val="superscript"/>
                <w:lang w:val="en-US" w:eastAsia="zh-CN"/>
              </w:rPr>
              <w:t>3</w:t>
            </w:r>
            <w:r>
              <w:rPr>
                <w:rFonts w:hint="default"/>
                <w:color w:val="auto"/>
                <w:highlight w:val="none"/>
                <w:lang w:val="en-US" w:eastAsia="zh-CN"/>
              </w:rPr>
              <w:t>/h，额定扬程H=180m，电机采用高原电机，电机功率132kW。正常排水时，1台工作，1台备用，1台检修，10.39h完成排水任务；最大排水时，1台工作，其余水泵作为备用和检修，13.3h完成排水任务。水泵房采用远程监控操作排水系统。排水系统设2根φ168mm×5mm的排水管，1用1备。二期开采2900m～2550m之间的矿体时，在盲进风井2550m马头门附近设一个排水泵站，涌水沿盲进风井、进风井排至地表，一期2850m排水泵站不再使用。2550m水泵房设3台MD360-60×9型多级泵，单台水泵额定流量Q=360m3/h，额定扬程H=540m，电机采用高原电机，电机功率900kW。正常排水1台工作，1台备用，1台检修，16.56h完成排水任务。最大排水2台同时工作，1台检修，13.69h完成排水任务。水泵房采用远程监控操作排水系统。排水系统设2根φ273mm×6.5mm的排水管，1用1备。二期开采2550m～2450m之间的矿体时，在盲进风井2450m中段马头门附近设一个排水泵站，与二期2550m排水泵站接力排水。2450m水泵房设3台MD360-40×3型多级泵，单台水泵额定流量Q=360m</w:t>
            </w:r>
            <w:r>
              <w:rPr>
                <w:rFonts w:hint="default"/>
                <w:color w:val="auto"/>
                <w:highlight w:val="none"/>
                <w:vertAlign w:val="superscript"/>
                <w:lang w:val="en-US" w:eastAsia="zh-CN"/>
              </w:rPr>
              <w:t>3</w:t>
            </w:r>
            <w:r>
              <w:rPr>
                <w:rFonts w:hint="default"/>
                <w:color w:val="auto"/>
                <w:highlight w:val="none"/>
                <w:lang w:val="en-US" w:eastAsia="zh-CN"/>
              </w:rPr>
              <w:t>/h，额定扬程H=120m，电机采用高原电机，电机功率185kW。正常排水1台工作，1台备用，1台检修，16.56h完成排水任务。最大排水2台同时工作，1台检修，13.69h完成排水任务。水泵房采用远程监控操作排水系统。排水系统设2根φ273mm×6.5mm排水管，1用1备。</w:t>
            </w:r>
          </w:p>
        </w:tc>
        <w:tc>
          <w:tcPr>
            <w:tcW w:w="689" w:type="pct"/>
            <w:vAlign w:val="center"/>
          </w:tcPr>
          <w:p w14:paraId="673C2F2C">
            <w:pPr>
              <w:pStyle w:val="17"/>
              <w:bidi w:val="0"/>
              <w:jc w:val="center"/>
              <w:rPr>
                <w:rFonts w:hint="default" w:eastAsia="宋体"/>
                <w:color w:val="auto"/>
                <w:highlight w:val="none"/>
                <w:lang w:val="en-US" w:eastAsia="zh-CN"/>
              </w:rPr>
            </w:pPr>
            <w:r>
              <w:rPr>
                <w:rFonts w:hint="eastAsia"/>
                <w:color w:val="auto"/>
                <w:highlight w:val="none"/>
                <w:lang w:val="en-US" w:eastAsia="zh-CN"/>
              </w:rPr>
              <w:t>预测涌水量增大，排水能力增大，不属于重大变动</w:t>
            </w:r>
          </w:p>
        </w:tc>
      </w:tr>
      <w:tr w14:paraId="7193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1D361E33">
            <w:pPr>
              <w:pStyle w:val="17"/>
              <w:bidi w:val="0"/>
              <w:jc w:val="center"/>
              <w:rPr>
                <w:rFonts w:hint="eastAsia"/>
                <w:color w:val="auto"/>
                <w:highlight w:val="none"/>
              </w:rPr>
            </w:pPr>
          </w:p>
        </w:tc>
        <w:tc>
          <w:tcPr>
            <w:tcW w:w="151" w:type="pct"/>
            <w:vMerge w:val="continue"/>
            <w:vAlign w:val="center"/>
          </w:tcPr>
          <w:p w14:paraId="60D1B9ED">
            <w:pPr>
              <w:pStyle w:val="17"/>
              <w:bidi w:val="0"/>
              <w:jc w:val="center"/>
              <w:rPr>
                <w:rFonts w:hint="eastAsia"/>
                <w:color w:val="auto"/>
                <w:highlight w:val="none"/>
              </w:rPr>
            </w:pPr>
          </w:p>
        </w:tc>
        <w:tc>
          <w:tcPr>
            <w:tcW w:w="152" w:type="pct"/>
            <w:shd w:val="clear" w:color="auto" w:fill="auto"/>
            <w:vAlign w:val="center"/>
          </w:tcPr>
          <w:p w14:paraId="53E75C5F">
            <w:pPr>
              <w:pStyle w:val="17"/>
              <w:bidi w:val="0"/>
              <w:jc w:val="center"/>
              <w:rPr>
                <w:rFonts w:hint="default"/>
                <w:color w:val="auto"/>
                <w:highlight w:val="none"/>
                <w:lang w:val="en-US" w:eastAsia="zh-CN"/>
              </w:rPr>
            </w:pPr>
            <w:r>
              <w:rPr>
                <w:rFonts w:hint="default"/>
                <w:color w:val="auto"/>
                <w:highlight w:val="none"/>
                <w:lang w:val="en-US" w:eastAsia="zh-CN"/>
              </w:rPr>
              <w:t>空压</w:t>
            </w:r>
          </w:p>
          <w:p w14:paraId="3B7C8293">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机站</w:t>
            </w:r>
          </w:p>
        </w:tc>
        <w:tc>
          <w:tcPr>
            <w:tcW w:w="1840" w:type="pct"/>
            <w:gridSpan w:val="4"/>
            <w:shd w:val="clear" w:color="auto" w:fill="auto"/>
            <w:vAlign w:val="center"/>
          </w:tcPr>
          <w:p w14:paraId="13D44614">
            <w:pPr>
              <w:pStyle w:val="17"/>
              <w:bidi w:val="0"/>
              <w:jc w:val="center"/>
              <w:rPr>
                <w:rFonts w:hint="default"/>
                <w:color w:val="auto"/>
                <w:highlight w:val="none"/>
                <w:lang w:val="en-US" w:eastAsia="zh-CN"/>
              </w:rPr>
            </w:pPr>
            <w:r>
              <w:rPr>
                <w:rFonts w:hint="default"/>
                <w:color w:val="auto"/>
                <w:highlight w:val="none"/>
                <w:lang w:val="en-US" w:eastAsia="zh-CN"/>
              </w:rPr>
              <w:t>矿区井口的采矿工业场地附近</w:t>
            </w:r>
            <w:r>
              <w:rPr>
                <w:rFonts w:hint="eastAsia"/>
                <w:color w:val="auto"/>
                <w:highlight w:val="none"/>
                <w:lang w:val="en-US" w:eastAsia="zh-CN"/>
              </w:rPr>
              <w:t>设置</w:t>
            </w:r>
            <w:r>
              <w:rPr>
                <w:rFonts w:hint="default"/>
                <w:color w:val="auto"/>
                <w:highlight w:val="none"/>
                <w:lang w:val="en-US" w:eastAsia="zh-CN"/>
              </w:rPr>
              <w:t>空压机站。站内安装3台型号为LGD-40/7型空压机，负责向井下工作面供风</w:t>
            </w:r>
            <w:r>
              <w:rPr>
                <w:rFonts w:hint="eastAsia"/>
                <w:color w:val="auto"/>
                <w:highlight w:val="none"/>
                <w:lang w:val="en-US" w:eastAsia="zh-CN"/>
              </w:rPr>
              <w:t>，两备一用</w:t>
            </w:r>
            <w:r>
              <w:rPr>
                <w:rFonts w:hint="default"/>
                <w:color w:val="auto"/>
                <w:highlight w:val="none"/>
                <w:lang w:val="en-US" w:eastAsia="zh-CN"/>
              </w:rPr>
              <w:t>。</w:t>
            </w:r>
          </w:p>
          <w:p w14:paraId="5C41E73E">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沿进风井井筒敷设的供风管选用φ159×4无缝钢管，沿中段敷设的供风管选用φ108×6无缝钢管。</w:t>
            </w:r>
          </w:p>
        </w:tc>
        <w:tc>
          <w:tcPr>
            <w:tcW w:w="2014" w:type="pct"/>
            <w:gridSpan w:val="2"/>
            <w:shd w:val="clear" w:color="auto" w:fill="auto"/>
            <w:vAlign w:val="center"/>
          </w:tcPr>
          <w:p w14:paraId="3E85E4DB">
            <w:pPr>
              <w:pStyle w:val="17"/>
              <w:bidi w:val="0"/>
              <w:jc w:val="center"/>
              <w:rPr>
                <w:rFonts w:hint="default"/>
                <w:color w:val="auto"/>
                <w:highlight w:val="none"/>
                <w:lang w:val="en-US" w:eastAsia="zh-CN"/>
              </w:rPr>
            </w:pPr>
            <w:r>
              <w:rPr>
                <w:rFonts w:hint="default"/>
                <w:color w:val="auto"/>
                <w:highlight w:val="none"/>
                <w:lang w:val="en-US" w:eastAsia="zh-CN"/>
              </w:rPr>
              <w:t>空压机站内设SA250A型螺杆式空压机3台，空气压缩机采用风冷方式，单台空压机排气量Q=46.2m</w:t>
            </w:r>
            <w:r>
              <w:rPr>
                <w:rFonts w:hint="eastAsia"/>
                <w:color w:val="auto"/>
                <w:highlight w:val="none"/>
                <w:vertAlign w:val="superscript"/>
                <w:lang w:val="en-US" w:eastAsia="zh-CN"/>
              </w:rPr>
              <w:t>3</w:t>
            </w:r>
            <w:r>
              <w:rPr>
                <w:rFonts w:hint="eastAsia"/>
                <w:color w:val="auto"/>
                <w:highlight w:val="none"/>
                <w:lang w:val="en-US" w:eastAsia="zh-CN"/>
              </w:rPr>
              <w:t>/min，P=0.85MPa，功率250kW，电压380V。矿山正常生产时2台空压机工作，1台备用，空压机站可供给压气量92.4m</w:t>
            </w:r>
            <w:r>
              <w:rPr>
                <w:rFonts w:hint="eastAsia"/>
                <w:color w:val="auto"/>
                <w:highlight w:val="none"/>
                <w:vertAlign w:val="superscript"/>
                <w:lang w:val="en-US" w:eastAsia="zh-CN"/>
              </w:rPr>
              <w:t>3</w:t>
            </w:r>
            <w:r>
              <w:rPr>
                <w:rFonts w:hint="eastAsia"/>
                <w:color w:val="auto"/>
                <w:highlight w:val="none"/>
                <w:lang w:val="en-US" w:eastAsia="zh-CN"/>
              </w:rPr>
              <w:t>/min，满足井下生产设施用气90.8m</w:t>
            </w:r>
            <w:r>
              <w:rPr>
                <w:rFonts w:hint="eastAsia"/>
                <w:color w:val="auto"/>
                <w:highlight w:val="none"/>
                <w:vertAlign w:val="superscript"/>
                <w:lang w:val="en-US" w:eastAsia="zh-CN"/>
              </w:rPr>
              <w:t>3</w:t>
            </w:r>
            <w:r>
              <w:rPr>
                <w:rFonts w:hint="eastAsia"/>
                <w:color w:val="auto"/>
                <w:highlight w:val="none"/>
                <w:lang w:val="en-US" w:eastAsia="zh-CN"/>
              </w:rPr>
              <w:t>/min的要求。主供气管采用φ159mm</w:t>
            </w:r>
            <w:r>
              <w:rPr>
                <w:rFonts w:hint="default"/>
                <w:color w:val="auto"/>
                <w:highlight w:val="none"/>
                <w:lang w:val="en-US" w:eastAsia="zh-CN"/>
              </w:rPr>
              <w:t>×</w:t>
            </w:r>
            <w:r>
              <w:rPr>
                <w:rFonts w:hint="eastAsia"/>
                <w:color w:val="auto"/>
                <w:highlight w:val="none"/>
                <w:lang w:val="en-US" w:eastAsia="zh-CN"/>
              </w:rPr>
              <w:t>6mm无缝钢管。</w:t>
            </w:r>
          </w:p>
        </w:tc>
        <w:tc>
          <w:tcPr>
            <w:tcW w:w="689" w:type="pct"/>
            <w:vAlign w:val="center"/>
          </w:tcPr>
          <w:p w14:paraId="4A708C76">
            <w:pPr>
              <w:pStyle w:val="17"/>
              <w:bidi w:val="0"/>
              <w:jc w:val="center"/>
              <w:rPr>
                <w:rFonts w:hint="default"/>
                <w:color w:val="auto"/>
                <w:highlight w:val="none"/>
                <w:lang w:val="en-US"/>
              </w:rPr>
            </w:pPr>
            <w:r>
              <w:rPr>
                <w:rFonts w:hint="eastAsia"/>
                <w:color w:val="auto"/>
                <w:highlight w:val="none"/>
                <w:lang w:val="en-US" w:eastAsia="zh-CN"/>
              </w:rPr>
              <w:t>空压机型号变化，压气能力增大，不属于重大变动</w:t>
            </w:r>
          </w:p>
        </w:tc>
      </w:tr>
      <w:tr w14:paraId="69DE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5552F3AC">
            <w:pPr>
              <w:pStyle w:val="17"/>
              <w:bidi w:val="0"/>
              <w:jc w:val="center"/>
              <w:rPr>
                <w:rFonts w:hint="eastAsia"/>
                <w:color w:val="auto"/>
                <w:highlight w:val="none"/>
              </w:rPr>
            </w:pPr>
          </w:p>
        </w:tc>
        <w:tc>
          <w:tcPr>
            <w:tcW w:w="151" w:type="pct"/>
            <w:vAlign w:val="center"/>
          </w:tcPr>
          <w:p w14:paraId="5E26AD32">
            <w:pPr>
              <w:pStyle w:val="17"/>
              <w:bidi w:val="0"/>
              <w:jc w:val="center"/>
              <w:rPr>
                <w:rFonts w:hint="default" w:eastAsia="宋体"/>
                <w:color w:val="auto"/>
                <w:highlight w:val="none"/>
                <w:lang w:val="en-US" w:eastAsia="zh-CN"/>
              </w:rPr>
            </w:pPr>
            <w:r>
              <w:rPr>
                <w:rFonts w:hint="eastAsia"/>
                <w:color w:val="auto"/>
                <w:highlight w:val="none"/>
                <w:lang w:val="en-US" w:eastAsia="zh-CN"/>
              </w:rPr>
              <w:t>选矿厂</w:t>
            </w:r>
          </w:p>
        </w:tc>
        <w:tc>
          <w:tcPr>
            <w:tcW w:w="1993" w:type="pct"/>
            <w:gridSpan w:val="5"/>
            <w:shd w:val="clear" w:color="auto" w:fill="auto"/>
            <w:vAlign w:val="center"/>
          </w:tcPr>
          <w:p w14:paraId="48B1210A">
            <w:pPr>
              <w:pStyle w:val="17"/>
              <w:bidi w:val="0"/>
              <w:ind w:firstLine="0" w:firstLineChars="0"/>
              <w:jc w:val="center"/>
              <w:rPr>
                <w:rFonts w:hint="default"/>
                <w:color w:val="auto"/>
                <w:highlight w:val="none"/>
                <w:lang w:val="en-US" w:eastAsia="zh-CN"/>
              </w:rPr>
            </w:pPr>
            <w:r>
              <w:rPr>
                <w:rFonts w:hint="eastAsia" w:ascii="Times New Roman" w:hAnsi="Times New Roman" w:cs="Times New Roman"/>
                <w:color w:val="auto"/>
                <w:sz w:val="21"/>
                <w:highlight w:val="none"/>
              </w:rPr>
              <w:t>选矿厂主要车间组成为：粗破碎车间</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130.5m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、筛分车间</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576m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、中碎车间</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468m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、高压辊磨车间</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875.3m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、磨</w:t>
            </w:r>
            <w:r>
              <w:rPr>
                <w:rFonts w:hint="eastAsia" w:ascii="Times New Roman" w:hAnsi="Times New Roman" w:cs="Times New Roman"/>
                <w:color w:val="auto"/>
                <w:sz w:val="21"/>
                <w:highlight w:val="none"/>
                <w:lang w:eastAsia="zh-CN"/>
              </w:rPr>
              <w:t>矿车间（</w:t>
            </w:r>
            <w:r>
              <w:rPr>
                <w:rFonts w:hint="eastAsia" w:ascii="Times New Roman" w:hAnsi="Times New Roman" w:cs="Times New Roman"/>
                <w:color w:val="auto"/>
                <w:sz w:val="21"/>
                <w:highlight w:val="none"/>
                <w:lang w:val="en-US" w:eastAsia="zh-CN"/>
              </w:rPr>
              <w:t>1350m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浮</w:t>
            </w:r>
            <w:r>
              <w:rPr>
                <w:rFonts w:hint="eastAsia" w:ascii="Times New Roman" w:hAnsi="Times New Roman" w:cs="Times New Roman"/>
                <w:color w:val="auto"/>
                <w:sz w:val="21"/>
                <w:highlight w:val="none"/>
                <w:lang w:eastAsia="zh-CN"/>
              </w:rPr>
              <w:t>选</w:t>
            </w:r>
            <w:r>
              <w:rPr>
                <w:rFonts w:hint="eastAsia" w:ascii="Times New Roman" w:hAnsi="Times New Roman" w:cs="Times New Roman"/>
                <w:color w:val="auto"/>
                <w:sz w:val="21"/>
                <w:highlight w:val="none"/>
              </w:rPr>
              <w:t>车间</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1800m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、压滤车间</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1926m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及精矿仓、精矿浓缩</w:t>
            </w:r>
            <w:r>
              <w:rPr>
                <w:rFonts w:hint="eastAsia" w:ascii="Times New Roman" w:hAnsi="Times New Roman" w:cs="Times New Roman"/>
                <w:color w:val="auto"/>
                <w:sz w:val="21"/>
                <w:highlight w:val="none"/>
                <w:lang w:eastAsia="zh-CN"/>
              </w:rPr>
              <w:t>池（</w:t>
            </w:r>
            <w:r>
              <w:rPr>
                <w:rFonts w:hint="eastAsia" w:ascii="Times New Roman" w:hAnsi="Times New Roman" w:cs="Times New Roman"/>
                <w:color w:val="auto"/>
                <w:sz w:val="21"/>
                <w:highlight w:val="none"/>
                <w:lang w:val="en-US" w:eastAsia="zh-CN"/>
              </w:rPr>
              <w:t>1296m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、尾矿浓缩</w:t>
            </w:r>
            <w:r>
              <w:rPr>
                <w:rFonts w:hint="eastAsia" w:ascii="Times New Roman" w:hAnsi="Times New Roman" w:cs="Times New Roman"/>
                <w:color w:val="auto"/>
                <w:sz w:val="21"/>
                <w:highlight w:val="none"/>
                <w:lang w:eastAsia="zh-CN"/>
              </w:rPr>
              <w:t>池（</w:t>
            </w:r>
            <w:r>
              <w:rPr>
                <w:rFonts w:hint="eastAsia" w:ascii="Times New Roman" w:hAnsi="Times New Roman" w:cs="Times New Roman"/>
                <w:color w:val="auto"/>
                <w:sz w:val="21"/>
                <w:highlight w:val="none"/>
                <w:lang w:val="en-US" w:eastAsia="zh-CN"/>
              </w:rPr>
              <w:t>1256m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）、防渗循环水池</w:t>
            </w:r>
            <w:r>
              <w:rPr>
                <w:rFonts w:hint="eastAsia" w:ascii="Times New Roman" w:hAnsi="Times New Roman" w:cs="Times New Roman"/>
                <w:color w:val="auto"/>
                <w:sz w:val="21"/>
                <w:highlight w:val="none"/>
              </w:rPr>
              <w:t>。</w:t>
            </w:r>
            <w:r>
              <w:rPr>
                <w:rFonts w:hint="eastAsia" w:ascii="Times New Roman" w:hAnsi="Times New Roman" w:cs="Times New Roman"/>
                <w:color w:val="auto"/>
                <w:sz w:val="21"/>
                <w:highlight w:val="none"/>
                <w:lang w:eastAsia="zh-CN"/>
              </w:rPr>
              <w:t>总占地面积</w:t>
            </w:r>
            <w:r>
              <w:rPr>
                <w:rFonts w:hint="eastAsia" w:ascii="Times New Roman" w:hAnsi="Times New Roman" w:cs="Times New Roman"/>
                <w:color w:val="auto"/>
                <w:sz w:val="21"/>
                <w:highlight w:val="none"/>
                <w:lang w:val="en-US" w:eastAsia="zh-CN"/>
              </w:rPr>
              <w:t>8.1hm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val="en-US" w:eastAsia="zh-CN"/>
              </w:rPr>
              <w:t>，建筑面积10959m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val="en-US" w:eastAsia="zh-CN"/>
              </w:rPr>
              <w:t>。</w:t>
            </w:r>
          </w:p>
        </w:tc>
        <w:tc>
          <w:tcPr>
            <w:tcW w:w="2014" w:type="pct"/>
            <w:gridSpan w:val="2"/>
            <w:vAlign w:val="center"/>
          </w:tcPr>
          <w:p w14:paraId="608AC7BD">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选矿厂主要车间组成为：</w:t>
            </w:r>
            <w:r>
              <w:rPr>
                <w:rFonts w:hint="eastAsia"/>
                <w:color w:val="auto"/>
                <w:highlight w:val="none"/>
                <w:lang w:val="en-US" w:eastAsia="zh-CN"/>
              </w:rPr>
              <w:t>中细碎厂房</w:t>
            </w:r>
            <w:r>
              <w:rPr>
                <w:rFonts w:hint="eastAsia"/>
                <w:color w:val="auto"/>
                <w:highlight w:val="none"/>
                <w:lang w:eastAsia="zh-CN"/>
              </w:rPr>
              <w:t>（</w:t>
            </w:r>
            <w:r>
              <w:rPr>
                <w:rFonts w:hint="eastAsia"/>
                <w:color w:val="auto"/>
                <w:highlight w:val="none"/>
                <w:lang w:val="en-US" w:eastAsia="zh-CN"/>
              </w:rPr>
              <w:t>3371.70m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、筛分</w:t>
            </w:r>
            <w:r>
              <w:rPr>
                <w:rFonts w:hint="eastAsia"/>
                <w:color w:val="auto"/>
                <w:highlight w:val="none"/>
                <w:lang w:val="en-US" w:eastAsia="zh-CN"/>
              </w:rPr>
              <w:t>厂房</w:t>
            </w:r>
            <w:r>
              <w:rPr>
                <w:rFonts w:hint="eastAsia"/>
                <w:color w:val="auto"/>
                <w:highlight w:val="none"/>
                <w:lang w:eastAsia="zh-CN"/>
              </w:rPr>
              <w:t>（</w:t>
            </w:r>
            <w:r>
              <w:rPr>
                <w:rFonts w:hint="eastAsia"/>
                <w:color w:val="auto"/>
                <w:highlight w:val="none"/>
                <w:lang w:val="en-US" w:eastAsia="zh-CN"/>
              </w:rPr>
              <w:t>3021.266m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w:t>
            </w:r>
            <w:r>
              <w:rPr>
                <w:rFonts w:hint="eastAsia"/>
                <w:color w:val="auto"/>
                <w:highlight w:val="none"/>
                <w:lang w:val="en-US" w:eastAsia="zh-CN"/>
              </w:rPr>
              <w:t>主厂房</w:t>
            </w:r>
            <w:r>
              <w:rPr>
                <w:rFonts w:hint="eastAsia"/>
                <w:color w:val="auto"/>
                <w:highlight w:val="none"/>
                <w:lang w:eastAsia="zh-CN"/>
              </w:rPr>
              <w:t>（</w:t>
            </w:r>
            <w:r>
              <w:rPr>
                <w:rFonts w:hint="eastAsia"/>
                <w:color w:val="auto"/>
                <w:highlight w:val="none"/>
                <w:lang w:val="en-US" w:eastAsia="zh-CN"/>
              </w:rPr>
              <w:t>20383m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w:t>
            </w:r>
            <w:r>
              <w:rPr>
                <w:rFonts w:hint="eastAsia"/>
                <w:color w:val="auto"/>
                <w:highlight w:val="none"/>
                <w:lang w:val="en-US" w:eastAsia="zh-CN"/>
              </w:rPr>
              <w:t>硫酸稀释车间（1152m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w:t>
            </w:r>
            <w:r>
              <w:rPr>
                <w:rFonts w:hint="eastAsia"/>
                <w:color w:val="auto"/>
                <w:highlight w:val="none"/>
                <w:lang w:val="en-US" w:eastAsia="zh-CN"/>
              </w:rPr>
              <w:t>尾矿浓缩及泵站（3492m</w:t>
            </w:r>
            <w:r>
              <w:rPr>
                <w:rFonts w:hint="eastAsia"/>
                <w:color w:val="auto"/>
                <w:highlight w:val="none"/>
                <w:vertAlign w:val="superscript"/>
                <w:lang w:val="en-US" w:eastAsia="zh-CN"/>
              </w:rPr>
              <w:t>2</w:t>
            </w:r>
            <w:r>
              <w:rPr>
                <w:rFonts w:hint="eastAsia"/>
                <w:color w:val="auto"/>
                <w:highlight w:val="none"/>
                <w:lang w:val="en-US" w:eastAsia="zh-CN"/>
              </w:rPr>
              <w:t>）、废石仓、粗矿仓、粉矿仓</w:t>
            </w:r>
            <w:r>
              <w:rPr>
                <w:rFonts w:hint="eastAsia"/>
                <w:color w:val="auto"/>
                <w:highlight w:val="none"/>
              </w:rPr>
              <w:t>及</w:t>
            </w:r>
            <w:r>
              <w:rPr>
                <w:rFonts w:hint="eastAsia"/>
                <w:color w:val="auto"/>
                <w:highlight w:val="none"/>
                <w:lang w:val="en-US" w:eastAsia="zh-CN"/>
              </w:rPr>
              <w:t>精矿堆场等</w:t>
            </w:r>
            <w:r>
              <w:rPr>
                <w:rFonts w:hint="eastAsia"/>
                <w:color w:val="auto"/>
                <w:highlight w:val="none"/>
              </w:rPr>
              <w:t>。</w:t>
            </w:r>
            <w:r>
              <w:rPr>
                <w:rFonts w:hint="eastAsia"/>
                <w:color w:val="auto"/>
                <w:highlight w:val="none"/>
                <w:lang w:eastAsia="zh-CN"/>
              </w:rPr>
              <w:t>总占地面积</w:t>
            </w:r>
            <w:r>
              <w:rPr>
                <w:rFonts w:hint="eastAsia"/>
                <w:color w:val="auto"/>
                <w:highlight w:val="none"/>
                <w:lang w:val="en-US" w:eastAsia="zh-CN"/>
              </w:rPr>
              <w:t>约为27.7268hm</w:t>
            </w:r>
            <w:r>
              <w:rPr>
                <w:rFonts w:hint="eastAsia"/>
                <w:color w:val="auto"/>
                <w:highlight w:val="none"/>
                <w:vertAlign w:val="superscript"/>
                <w:lang w:val="en-US" w:eastAsia="zh-CN"/>
              </w:rPr>
              <w:t>2</w:t>
            </w:r>
            <w:r>
              <w:rPr>
                <w:rFonts w:hint="eastAsia"/>
                <w:color w:val="auto"/>
                <w:highlight w:val="none"/>
                <w:lang w:val="en-US" w:eastAsia="zh-CN"/>
              </w:rPr>
              <w:t>，总建筑面积59025.4m</w:t>
            </w:r>
            <w:r>
              <w:rPr>
                <w:rFonts w:hint="eastAsia"/>
                <w:color w:val="auto"/>
                <w:highlight w:val="none"/>
                <w:vertAlign w:val="superscript"/>
                <w:lang w:val="en-US" w:eastAsia="zh-CN"/>
              </w:rPr>
              <w:t>2</w:t>
            </w:r>
            <w:r>
              <w:rPr>
                <w:rFonts w:hint="eastAsia"/>
                <w:color w:val="auto"/>
                <w:highlight w:val="none"/>
                <w:lang w:val="en-US" w:eastAsia="zh-CN"/>
              </w:rPr>
              <w:t>。</w:t>
            </w:r>
          </w:p>
        </w:tc>
        <w:tc>
          <w:tcPr>
            <w:tcW w:w="689" w:type="pct"/>
            <w:vAlign w:val="center"/>
          </w:tcPr>
          <w:p w14:paraId="16465449">
            <w:pPr>
              <w:pStyle w:val="17"/>
              <w:bidi w:val="0"/>
              <w:jc w:val="center"/>
              <w:rPr>
                <w:rFonts w:hint="eastAsia"/>
                <w:color w:val="auto"/>
                <w:highlight w:val="none"/>
                <w:lang w:val="en-US" w:eastAsia="zh-CN"/>
              </w:rPr>
            </w:pPr>
            <w:r>
              <w:rPr>
                <w:rFonts w:hint="eastAsia"/>
                <w:color w:val="auto"/>
                <w:highlight w:val="none"/>
                <w:lang w:val="en-US" w:eastAsia="zh-CN"/>
              </w:rPr>
              <w:t>由于项目地下开采主要采用旋臂掘进机进行开采，该设备采出的矿石块度小于350mm，</w:t>
            </w:r>
          </w:p>
          <w:p w14:paraId="32CFFB7E">
            <w:pPr>
              <w:pStyle w:val="17"/>
              <w:bidi w:val="0"/>
              <w:jc w:val="center"/>
              <w:rPr>
                <w:rFonts w:hint="default" w:eastAsia="宋体"/>
                <w:color w:val="auto"/>
                <w:highlight w:val="none"/>
                <w:vertAlign w:val="baseline"/>
                <w:lang w:val="en-US" w:eastAsia="zh-CN"/>
              </w:rPr>
            </w:pPr>
            <w:r>
              <w:rPr>
                <w:rFonts w:hint="eastAsia"/>
                <w:color w:val="auto"/>
                <w:highlight w:val="none"/>
                <w:lang w:val="en-US" w:eastAsia="zh-CN"/>
              </w:rPr>
              <w:t>取消粗破碎车间，新增硫酸稀释车间用于配置酸性水玻璃，精简车间布置，将</w:t>
            </w:r>
            <w:r>
              <w:rPr>
                <w:rFonts w:hint="eastAsia" w:ascii="Times New Roman" w:hAnsi="Times New Roman" w:cs="Times New Roman"/>
                <w:color w:val="auto"/>
                <w:sz w:val="21"/>
                <w:highlight w:val="none"/>
              </w:rPr>
              <w:t>高压辊磨车间、磨</w:t>
            </w:r>
            <w:r>
              <w:rPr>
                <w:rFonts w:hint="eastAsia" w:ascii="Times New Roman" w:hAnsi="Times New Roman" w:cs="Times New Roman"/>
                <w:color w:val="auto"/>
                <w:sz w:val="21"/>
                <w:highlight w:val="none"/>
                <w:lang w:eastAsia="zh-CN"/>
              </w:rPr>
              <w:t>矿车间、</w:t>
            </w:r>
            <w:r>
              <w:rPr>
                <w:rFonts w:hint="eastAsia" w:ascii="Times New Roman" w:hAnsi="Times New Roman" w:cs="Times New Roman"/>
                <w:color w:val="auto"/>
                <w:sz w:val="21"/>
                <w:highlight w:val="none"/>
              </w:rPr>
              <w:t>浮</w:t>
            </w:r>
            <w:r>
              <w:rPr>
                <w:rFonts w:hint="eastAsia" w:ascii="Times New Roman" w:hAnsi="Times New Roman" w:cs="Times New Roman"/>
                <w:color w:val="auto"/>
                <w:sz w:val="21"/>
                <w:highlight w:val="none"/>
                <w:lang w:eastAsia="zh-CN"/>
              </w:rPr>
              <w:t>选</w:t>
            </w:r>
            <w:r>
              <w:rPr>
                <w:rFonts w:hint="eastAsia" w:ascii="Times New Roman" w:hAnsi="Times New Roman" w:cs="Times New Roman"/>
                <w:color w:val="auto"/>
                <w:sz w:val="21"/>
                <w:highlight w:val="none"/>
              </w:rPr>
              <w:t>车间</w:t>
            </w:r>
            <w:r>
              <w:rPr>
                <w:rFonts w:hint="eastAsia" w:cs="Times New Roman"/>
                <w:color w:val="auto"/>
                <w:sz w:val="21"/>
                <w:highlight w:val="none"/>
                <w:lang w:val="en-US" w:eastAsia="zh-CN"/>
              </w:rPr>
              <w:t>合并为主厂房</w:t>
            </w:r>
            <w:r>
              <w:rPr>
                <w:rFonts w:hint="eastAsia"/>
                <w:color w:val="auto"/>
                <w:highlight w:val="none"/>
                <w:lang w:val="en-US" w:eastAsia="zh-CN"/>
              </w:rPr>
              <w:t>，总占地面积增大19.6286hm</w:t>
            </w:r>
            <w:r>
              <w:rPr>
                <w:rFonts w:hint="eastAsia"/>
                <w:color w:val="auto"/>
                <w:highlight w:val="none"/>
                <w:vertAlign w:val="superscript"/>
                <w:lang w:val="en-US" w:eastAsia="zh-CN"/>
              </w:rPr>
              <w:t>2</w:t>
            </w:r>
            <w:r>
              <w:rPr>
                <w:rFonts w:hint="eastAsia"/>
                <w:color w:val="auto"/>
                <w:highlight w:val="none"/>
                <w:vertAlign w:val="baseline"/>
                <w:lang w:val="en-US" w:eastAsia="zh-CN"/>
              </w:rPr>
              <w:t>，总建筑面积增大48066.4</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vertAlign w:val="baseline"/>
                <w:lang w:val="en-US" w:eastAsia="zh-CN"/>
              </w:rPr>
              <w:t>，不属于重大变动</w:t>
            </w:r>
          </w:p>
        </w:tc>
      </w:tr>
      <w:tr w14:paraId="7ADE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1C359F5F">
            <w:pPr>
              <w:pStyle w:val="17"/>
              <w:bidi w:val="0"/>
              <w:jc w:val="center"/>
              <w:rPr>
                <w:rFonts w:hint="eastAsia"/>
                <w:color w:val="auto"/>
                <w:highlight w:val="none"/>
              </w:rPr>
            </w:pPr>
          </w:p>
        </w:tc>
        <w:tc>
          <w:tcPr>
            <w:tcW w:w="151" w:type="pct"/>
            <w:vMerge w:val="restart"/>
            <w:vAlign w:val="center"/>
          </w:tcPr>
          <w:p w14:paraId="02C4CBDE">
            <w:pPr>
              <w:pStyle w:val="17"/>
              <w:bidi w:val="0"/>
              <w:jc w:val="center"/>
              <w:rPr>
                <w:rFonts w:hint="eastAsia"/>
                <w:color w:val="auto"/>
                <w:highlight w:val="none"/>
              </w:rPr>
            </w:pPr>
            <w:r>
              <w:rPr>
                <w:rFonts w:hint="eastAsia"/>
                <w:color w:val="auto"/>
                <w:highlight w:val="none"/>
                <w:lang w:val="en-US" w:eastAsia="zh-CN"/>
              </w:rPr>
              <w:t>尾矿库</w:t>
            </w:r>
          </w:p>
        </w:tc>
        <w:tc>
          <w:tcPr>
            <w:tcW w:w="152" w:type="pct"/>
            <w:shd w:val="clear" w:color="auto" w:fill="auto"/>
            <w:vAlign w:val="center"/>
          </w:tcPr>
          <w:p w14:paraId="0BB12B3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坝体工程</w:t>
            </w:r>
          </w:p>
        </w:tc>
        <w:tc>
          <w:tcPr>
            <w:tcW w:w="1840" w:type="pct"/>
            <w:gridSpan w:val="4"/>
            <w:shd w:val="clear" w:color="auto" w:fill="auto"/>
            <w:vAlign w:val="center"/>
          </w:tcPr>
          <w:p w14:paraId="202A67AA">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highlight w:val="none"/>
              </w:rPr>
              <w:t>设计总库容</w:t>
            </w:r>
            <w:r>
              <w:rPr>
                <w:rFonts w:hint="eastAsia" w:ascii="Times New Roman" w:hAnsi="Times New Roman" w:cs="Times New Roman"/>
                <w:color w:val="auto"/>
                <w:sz w:val="21"/>
                <w:highlight w:val="none"/>
                <w:lang w:val="en-US" w:eastAsia="zh-CN"/>
              </w:rPr>
              <w:t>1792</w:t>
            </w:r>
            <w:r>
              <w:rPr>
                <w:rFonts w:hint="eastAsia" w:ascii="Times New Roman" w:hAnsi="Times New Roman" w:cs="Times New Roman"/>
                <w:color w:val="auto"/>
                <w:sz w:val="21"/>
                <w:highlight w:val="none"/>
              </w:rPr>
              <w:t>万m</w:t>
            </w:r>
            <w:r>
              <w:rPr>
                <w:rFonts w:hint="eastAsia" w:ascii="Times New Roman" w:hAnsi="Times New Roman" w:cs="Times New Roman"/>
                <w:color w:val="auto"/>
                <w:sz w:val="21"/>
                <w:highlight w:val="none"/>
                <w:vertAlign w:val="superscript"/>
              </w:rPr>
              <w:t>3</w:t>
            </w:r>
            <w:r>
              <w:rPr>
                <w:rFonts w:hint="eastAsia" w:ascii="Times New Roman" w:hAnsi="Times New Roman" w:cs="Times New Roman"/>
                <w:color w:val="auto"/>
                <w:sz w:val="21"/>
                <w:highlight w:val="none"/>
              </w:rPr>
              <w:t>，总有效库容约为</w:t>
            </w:r>
            <w:r>
              <w:rPr>
                <w:rFonts w:hint="eastAsia" w:ascii="Times New Roman" w:hAnsi="Times New Roman" w:cs="Times New Roman"/>
                <w:color w:val="auto"/>
                <w:sz w:val="21"/>
                <w:highlight w:val="none"/>
                <w:lang w:val="en-US" w:eastAsia="zh-CN"/>
              </w:rPr>
              <w:t>1523</w:t>
            </w:r>
            <w:r>
              <w:rPr>
                <w:rFonts w:hint="eastAsia" w:ascii="Times New Roman" w:hAnsi="Times New Roman" w:cs="Times New Roman"/>
                <w:color w:val="auto"/>
                <w:sz w:val="21"/>
                <w:highlight w:val="none"/>
              </w:rPr>
              <w:t>万m</w:t>
            </w:r>
            <w:r>
              <w:rPr>
                <w:rFonts w:hint="eastAsia" w:ascii="Times New Roman" w:hAnsi="Times New Roman" w:cs="Times New Roman"/>
                <w:color w:val="auto"/>
                <w:sz w:val="21"/>
                <w:highlight w:val="none"/>
                <w:vertAlign w:val="superscript"/>
              </w:rPr>
              <w:t>3</w:t>
            </w:r>
            <w:r>
              <w:rPr>
                <w:rFonts w:hint="eastAsia" w:ascii="Times New Roman" w:hAnsi="Times New Roman" w:cs="Times New Roman"/>
                <w:color w:val="auto"/>
                <w:sz w:val="21"/>
                <w:highlight w:val="none"/>
              </w:rPr>
              <w:t>，初期坝坝顶标高为</w:t>
            </w:r>
            <w:r>
              <w:rPr>
                <w:rFonts w:hint="eastAsia" w:ascii="Times New Roman" w:hAnsi="Times New Roman" w:cs="Times New Roman"/>
                <w:color w:val="auto"/>
                <w:sz w:val="21"/>
                <w:highlight w:val="none"/>
                <w:lang w:val="en-US" w:eastAsia="zh-CN"/>
              </w:rPr>
              <w:t>3090</w:t>
            </w:r>
            <w:r>
              <w:rPr>
                <w:rFonts w:hint="eastAsia" w:ascii="Times New Roman" w:hAnsi="Times New Roman" w:cs="Times New Roman"/>
                <w:color w:val="auto"/>
                <w:sz w:val="21"/>
                <w:highlight w:val="none"/>
              </w:rPr>
              <w:t>m，初期坝坝底标高</w:t>
            </w:r>
            <w:r>
              <w:rPr>
                <w:rFonts w:hint="eastAsia" w:ascii="Times New Roman" w:hAnsi="Times New Roman" w:cs="Times New Roman"/>
                <w:color w:val="auto"/>
                <w:sz w:val="21"/>
                <w:highlight w:val="none"/>
                <w:lang w:val="en-US" w:eastAsia="zh-CN"/>
              </w:rPr>
              <w:t>3068</w:t>
            </w:r>
            <w:r>
              <w:rPr>
                <w:rFonts w:hint="eastAsia" w:ascii="Times New Roman" w:hAnsi="Times New Roman" w:cs="Times New Roman"/>
                <w:color w:val="auto"/>
                <w:sz w:val="21"/>
                <w:highlight w:val="none"/>
              </w:rPr>
              <w:t>m，初期坝高</w:t>
            </w:r>
            <w:r>
              <w:rPr>
                <w:rFonts w:hint="eastAsia" w:ascii="Times New Roman" w:hAnsi="Times New Roman" w:cs="Times New Roman"/>
                <w:color w:val="auto"/>
                <w:sz w:val="21"/>
                <w:highlight w:val="none"/>
                <w:lang w:val="en-US" w:eastAsia="zh-CN"/>
              </w:rPr>
              <w:t>22</w:t>
            </w:r>
            <w:r>
              <w:rPr>
                <w:rFonts w:hint="eastAsia" w:ascii="Times New Roman" w:hAnsi="Times New Roman" w:cs="Times New Roman"/>
                <w:color w:val="auto"/>
                <w:sz w:val="21"/>
                <w:highlight w:val="none"/>
              </w:rPr>
              <w:t>m，坝长</w:t>
            </w:r>
            <w:r>
              <w:rPr>
                <w:rFonts w:hint="eastAsia" w:ascii="Times New Roman" w:hAnsi="Times New Roman" w:cs="Times New Roman"/>
                <w:color w:val="auto"/>
                <w:sz w:val="21"/>
                <w:highlight w:val="none"/>
                <w:lang w:val="en-US" w:eastAsia="zh-CN"/>
              </w:rPr>
              <w:t>391</w:t>
            </w:r>
            <w:r>
              <w:rPr>
                <w:rFonts w:hint="eastAsia" w:ascii="Times New Roman" w:hAnsi="Times New Roman" w:cs="Times New Roman"/>
                <w:color w:val="auto"/>
                <w:sz w:val="21"/>
                <w:highlight w:val="none"/>
              </w:rPr>
              <w:t>m。尾矿库进行全库区防渗，在初期坝上游坡和库底铺土工膜进行防渗。后期坝采用“上游式”尾矿筑坝，尾矿堆积坝最终堆积标高为</w:t>
            </w:r>
            <w:r>
              <w:rPr>
                <w:rFonts w:hint="eastAsia" w:ascii="Times New Roman" w:hAnsi="Times New Roman" w:cs="Times New Roman"/>
                <w:color w:val="auto"/>
                <w:sz w:val="21"/>
                <w:highlight w:val="none"/>
                <w:lang w:val="en-US" w:eastAsia="zh-CN"/>
              </w:rPr>
              <w:t>3135</w:t>
            </w:r>
            <w:r>
              <w:rPr>
                <w:rFonts w:hint="eastAsia" w:ascii="Times New Roman" w:hAnsi="Times New Roman" w:cs="Times New Roman"/>
                <w:color w:val="auto"/>
                <w:sz w:val="21"/>
                <w:highlight w:val="none"/>
              </w:rPr>
              <w:t>m。</w:t>
            </w:r>
          </w:p>
        </w:tc>
        <w:tc>
          <w:tcPr>
            <w:tcW w:w="2014" w:type="pct"/>
            <w:gridSpan w:val="2"/>
            <w:shd w:val="clear" w:color="auto" w:fill="auto"/>
            <w:vAlign w:val="center"/>
          </w:tcPr>
          <w:p w14:paraId="44DB430C">
            <w:pPr>
              <w:pStyle w:val="17"/>
              <w:bidi w:val="0"/>
              <w:ind w:firstLine="0" w:firstLineChars="0"/>
              <w:jc w:val="center"/>
              <w:rPr>
                <w:rFonts w:hint="eastAsia"/>
                <w:color w:val="auto"/>
                <w:highlight w:val="none"/>
              </w:rPr>
            </w:pPr>
            <w:r>
              <w:rPr>
                <w:rFonts w:hint="eastAsia"/>
                <w:color w:val="auto"/>
                <w:highlight w:val="none"/>
              </w:rPr>
              <w:t>设计总库容</w:t>
            </w:r>
            <w:r>
              <w:rPr>
                <w:rFonts w:hint="eastAsia"/>
                <w:color w:val="auto"/>
                <w:highlight w:val="none"/>
                <w:lang w:val="en-US" w:eastAsia="zh-CN"/>
              </w:rPr>
              <w:t>2062.4</w:t>
            </w:r>
            <w:r>
              <w:rPr>
                <w:rFonts w:hint="eastAsia"/>
                <w:color w:val="auto"/>
                <w:highlight w:val="none"/>
              </w:rPr>
              <w:t>万m</w:t>
            </w:r>
            <w:r>
              <w:rPr>
                <w:rFonts w:hint="eastAsia"/>
                <w:color w:val="auto"/>
                <w:highlight w:val="none"/>
                <w:vertAlign w:val="superscript"/>
              </w:rPr>
              <w:t>3</w:t>
            </w:r>
            <w:r>
              <w:rPr>
                <w:rFonts w:hint="eastAsia"/>
                <w:color w:val="auto"/>
                <w:highlight w:val="none"/>
              </w:rPr>
              <w:t>，</w:t>
            </w:r>
            <w:r>
              <w:rPr>
                <w:rFonts w:hint="eastAsia" w:ascii="Times New Roman" w:hAnsi="Times New Roman" w:cs="Times New Roman"/>
                <w:color w:val="auto"/>
                <w:sz w:val="21"/>
                <w:highlight w:val="none"/>
              </w:rPr>
              <w:t>有效库容约为</w:t>
            </w:r>
            <w:r>
              <w:rPr>
                <w:rFonts w:hint="eastAsia" w:ascii="Times New Roman" w:hAnsi="Times New Roman" w:cs="Times New Roman"/>
                <w:color w:val="auto"/>
                <w:sz w:val="21"/>
                <w:highlight w:val="none"/>
                <w:lang w:val="en-US" w:eastAsia="zh-CN"/>
              </w:rPr>
              <w:t>1443.67</w:t>
            </w:r>
            <w:r>
              <w:rPr>
                <w:rFonts w:hint="eastAsia" w:ascii="Times New Roman" w:hAnsi="Times New Roman" w:cs="Times New Roman"/>
                <w:color w:val="auto"/>
                <w:sz w:val="21"/>
                <w:highlight w:val="none"/>
              </w:rPr>
              <w:t>万m</w:t>
            </w:r>
            <w:r>
              <w:rPr>
                <w:rFonts w:hint="eastAsia" w:ascii="Times New Roman" w:hAnsi="Times New Roman" w:cs="Times New Roman"/>
                <w:color w:val="auto"/>
                <w:sz w:val="21"/>
                <w:highlight w:val="none"/>
                <w:vertAlign w:val="superscript"/>
              </w:rPr>
              <w:t>3</w:t>
            </w:r>
            <w:r>
              <w:rPr>
                <w:rFonts w:hint="eastAsia" w:cs="Times New Roman"/>
                <w:color w:val="auto"/>
                <w:sz w:val="21"/>
                <w:highlight w:val="none"/>
                <w:vertAlign w:val="baseline"/>
                <w:lang w:eastAsia="zh-CN"/>
              </w:rPr>
              <w:t>，</w:t>
            </w:r>
            <w:r>
              <w:rPr>
                <w:rFonts w:hint="eastAsia"/>
                <w:color w:val="auto"/>
                <w:highlight w:val="none"/>
              </w:rPr>
              <w:t>尾矿库初期坝坝轴线处原地面标高为3071m，初期坝坝顶标高为3094m，坝高23m，采用透水土石坝型式，筑坝材料为库内石料。尾矿堆积坝采用上游式尾矿筑坝，最终堆积坝顶标高3144m，堆坝高度50m。</w:t>
            </w:r>
          </w:p>
        </w:tc>
        <w:tc>
          <w:tcPr>
            <w:tcW w:w="689" w:type="pct"/>
            <w:vAlign w:val="center"/>
          </w:tcPr>
          <w:p w14:paraId="30C60C29">
            <w:pPr>
              <w:pStyle w:val="17"/>
              <w:bidi w:val="0"/>
              <w:jc w:val="center"/>
              <w:rPr>
                <w:rFonts w:hint="default" w:eastAsia="宋体"/>
                <w:color w:val="auto"/>
                <w:highlight w:val="none"/>
                <w:vertAlign w:val="baseline"/>
                <w:lang w:val="en-US" w:eastAsia="zh-CN"/>
              </w:rPr>
            </w:pPr>
            <w:r>
              <w:rPr>
                <w:rFonts w:hint="eastAsia"/>
                <w:color w:val="auto"/>
                <w:highlight w:val="none"/>
                <w:lang w:val="en-US" w:eastAsia="zh-CN"/>
              </w:rPr>
              <w:t>总库容增大270.4</w:t>
            </w:r>
            <w:r>
              <w:rPr>
                <w:rFonts w:hint="eastAsia"/>
                <w:color w:val="auto"/>
                <w:highlight w:val="none"/>
              </w:rPr>
              <w:t>万m</w:t>
            </w:r>
            <w:r>
              <w:rPr>
                <w:rFonts w:hint="eastAsia"/>
                <w:color w:val="auto"/>
                <w:highlight w:val="none"/>
                <w:vertAlign w:val="superscript"/>
              </w:rPr>
              <w:t>3</w:t>
            </w:r>
            <w:r>
              <w:rPr>
                <w:rFonts w:hint="eastAsia"/>
                <w:color w:val="auto"/>
                <w:highlight w:val="none"/>
              </w:rPr>
              <w:t>，</w:t>
            </w:r>
            <w:r>
              <w:rPr>
                <w:rFonts w:hint="eastAsia"/>
                <w:color w:val="auto"/>
                <w:highlight w:val="none"/>
                <w:lang w:val="en-US" w:eastAsia="zh-CN"/>
              </w:rPr>
              <w:t>增幅15.09%，有效库容降低79.33</w:t>
            </w:r>
            <w:r>
              <w:rPr>
                <w:rFonts w:hint="eastAsia"/>
                <w:color w:val="auto"/>
                <w:highlight w:val="none"/>
              </w:rPr>
              <w:t>万m</w:t>
            </w:r>
            <w:r>
              <w:rPr>
                <w:rFonts w:hint="eastAsia"/>
                <w:color w:val="auto"/>
                <w:highlight w:val="none"/>
                <w:vertAlign w:val="superscript"/>
              </w:rPr>
              <w:t>3</w:t>
            </w:r>
            <w:r>
              <w:rPr>
                <w:rFonts w:hint="eastAsia"/>
                <w:color w:val="auto"/>
                <w:highlight w:val="none"/>
                <w:vertAlign w:val="baseline"/>
                <w:lang w:eastAsia="zh-CN"/>
              </w:rPr>
              <w:t>，</w:t>
            </w:r>
            <w:r>
              <w:rPr>
                <w:rFonts w:hint="eastAsia"/>
                <w:color w:val="auto"/>
                <w:highlight w:val="none"/>
                <w:vertAlign w:val="baseline"/>
                <w:lang w:val="en-US" w:eastAsia="zh-CN"/>
              </w:rPr>
              <w:t>减幅5.21%，不属于重大变动</w:t>
            </w:r>
          </w:p>
        </w:tc>
      </w:tr>
      <w:tr w14:paraId="0BA6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55E86EF1">
            <w:pPr>
              <w:pStyle w:val="17"/>
              <w:bidi w:val="0"/>
              <w:jc w:val="center"/>
              <w:rPr>
                <w:rFonts w:hint="eastAsia"/>
                <w:color w:val="auto"/>
                <w:highlight w:val="none"/>
              </w:rPr>
            </w:pPr>
          </w:p>
        </w:tc>
        <w:tc>
          <w:tcPr>
            <w:tcW w:w="151" w:type="pct"/>
            <w:vMerge w:val="continue"/>
            <w:vAlign w:val="center"/>
          </w:tcPr>
          <w:p w14:paraId="5B69B8BC">
            <w:pPr>
              <w:pStyle w:val="17"/>
              <w:bidi w:val="0"/>
              <w:jc w:val="center"/>
              <w:rPr>
                <w:rFonts w:hint="eastAsia"/>
                <w:color w:val="auto"/>
                <w:highlight w:val="none"/>
              </w:rPr>
            </w:pPr>
          </w:p>
        </w:tc>
        <w:tc>
          <w:tcPr>
            <w:tcW w:w="152" w:type="pct"/>
            <w:shd w:val="clear" w:color="auto" w:fill="auto"/>
            <w:vAlign w:val="center"/>
          </w:tcPr>
          <w:p w14:paraId="7E0F17CA">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排洪系统</w:t>
            </w:r>
          </w:p>
        </w:tc>
        <w:tc>
          <w:tcPr>
            <w:tcW w:w="1840" w:type="pct"/>
            <w:gridSpan w:val="4"/>
            <w:shd w:val="clear" w:color="auto" w:fill="auto"/>
            <w:vAlign w:val="center"/>
          </w:tcPr>
          <w:p w14:paraId="00BE089B">
            <w:pPr>
              <w:pStyle w:val="17"/>
              <w:bidi w:val="0"/>
              <w:rPr>
                <w:rFonts w:hint="eastAsia"/>
                <w:color w:val="auto"/>
                <w:highlight w:val="none"/>
              </w:rPr>
            </w:pPr>
            <w:r>
              <w:rPr>
                <w:rFonts w:hint="eastAsia"/>
                <w:color w:val="auto"/>
                <w:highlight w:val="none"/>
              </w:rPr>
              <w:t>排洪系统的型式为框架式排水井—排水管的型式。排水井共</w:t>
            </w:r>
            <w:r>
              <w:rPr>
                <w:rFonts w:hint="eastAsia"/>
                <w:color w:val="auto"/>
                <w:highlight w:val="none"/>
                <w:lang w:val="en-US" w:eastAsia="zh-CN"/>
              </w:rPr>
              <w:t>5</w:t>
            </w:r>
            <w:r>
              <w:rPr>
                <w:rFonts w:hint="eastAsia"/>
                <w:color w:val="auto"/>
                <w:highlight w:val="none"/>
              </w:rPr>
              <w:t>座，C25水工钢筋混凝土结构，排水井圈梁外径</w:t>
            </w:r>
            <w:r>
              <w:rPr>
                <w:rFonts w:hint="eastAsia"/>
                <w:color w:val="auto"/>
                <w:highlight w:val="none"/>
                <w:lang w:val="en-US" w:eastAsia="zh-CN"/>
              </w:rPr>
              <w:t>4.0</w:t>
            </w:r>
            <w:r>
              <w:rPr>
                <w:rFonts w:hint="eastAsia"/>
                <w:color w:val="auto"/>
                <w:highlight w:val="none"/>
              </w:rPr>
              <w:t>m。1号、2号、3号</w:t>
            </w:r>
            <w:r>
              <w:rPr>
                <w:rFonts w:hint="eastAsia"/>
                <w:color w:val="auto"/>
                <w:highlight w:val="none"/>
                <w:lang w:eastAsia="zh-CN"/>
              </w:rPr>
              <w:t>、</w:t>
            </w:r>
            <w:r>
              <w:rPr>
                <w:rFonts w:hint="eastAsia"/>
                <w:color w:val="auto"/>
                <w:highlight w:val="none"/>
              </w:rPr>
              <w:t>4号</w:t>
            </w:r>
            <w:r>
              <w:rPr>
                <w:rFonts w:hint="eastAsia"/>
                <w:color w:val="auto"/>
                <w:highlight w:val="none"/>
                <w:lang w:val="en-US" w:eastAsia="zh-CN"/>
              </w:rPr>
              <w:t>及5</w:t>
            </w:r>
            <w:r>
              <w:rPr>
                <w:rFonts w:hint="eastAsia"/>
                <w:color w:val="auto"/>
                <w:highlight w:val="none"/>
              </w:rPr>
              <w:t>号排水井进水口标高依次为30</w:t>
            </w:r>
            <w:r>
              <w:rPr>
                <w:rFonts w:hint="eastAsia"/>
                <w:color w:val="auto"/>
                <w:highlight w:val="none"/>
                <w:lang w:val="en-US" w:eastAsia="zh-CN"/>
              </w:rPr>
              <w:t>80</w:t>
            </w:r>
            <w:r>
              <w:rPr>
                <w:rFonts w:hint="eastAsia"/>
                <w:color w:val="auto"/>
                <w:highlight w:val="none"/>
              </w:rPr>
              <w:t>m、</w:t>
            </w:r>
            <w:r>
              <w:rPr>
                <w:rFonts w:hint="eastAsia"/>
                <w:color w:val="auto"/>
                <w:highlight w:val="none"/>
                <w:lang w:val="en-US" w:eastAsia="zh-CN"/>
              </w:rPr>
              <w:t>3090</w:t>
            </w:r>
            <w:r>
              <w:rPr>
                <w:rFonts w:hint="eastAsia"/>
                <w:color w:val="auto"/>
                <w:highlight w:val="none"/>
              </w:rPr>
              <w:t>m、3</w:t>
            </w:r>
            <w:r>
              <w:rPr>
                <w:rFonts w:hint="eastAsia"/>
                <w:color w:val="auto"/>
                <w:highlight w:val="none"/>
                <w:lang w:val="en-US" w:eastAsia="zh-CN"/>
              </w:rPr>
              <w:t>100</w:t>
            </w:r>
            <w:r>
              <w:rPr>
                <w:rFonts w:hint="eastAsia"/>
                <w:color w:val="auto"/>
                <w:highlight w:val="none"/>
              </w:rPr>
              <w:t>m、3</w:t>
            </w:r>
            <w:r>
              <w:rPr>
                <w:rFonts w:hint="eastAsia"/>
                <w:color w:val="auto"/>
                <w:highlight w:val="none"/>
                <w:lang w:val="en-US" w:eastAsia="zh-CN"/>
              </w:rPr>
              <w:t>110</w:t>
            </w:r>
            <w:r>
              <w:rPr>
                <w:rFonts w:hint="eastAsia"/>
                <w:color w:val="auto"/>
                <w:highlight w:val="none"/>
              </w:rPr>
              <w:t>m</w:t>
            </w:r>
            <w:r>
              <w:rPr>
                <w:rFonts w:hint="eastAsia"/>
                <w:color w:val="auto"/>
                <w:highlight w:val="none"/>
                <w:lang w:eastAsia="zh-CN"/>
              </w:rPr>
              <w:t>、</w:t>
            </w:r>
            <w:r>
              <w:rPr>
                <w:rFonts w:hint="eastAsia"/>
                <w:color w:val="auto"/>
                <w:highlight w:val="none"/>
              </w:rPr>
              <w:t>3</w:t>
            </w:r>
            <w:r>
              <w:rPr>
                <w:rFonts w:hint="eastAsia"/>
                <w:color w:val="auto"/>
                <w:highlight w:val="none"/>
                <w:lang w:val="en-US" w:eastAsia="zh-CN"/>
              </w:rPr>
              <w:t>120</w:t>
            </w:r>
            <w:r>
              <w:rPr>
                <w:rFonts w:hint="eastAsia"/>
                <w:color w:val="auto"/>
                <w:highlight w:val="none"/>
              </w:rPr>
              <w:t>m。</w:t>
            </w:r>
          </w:p>
          <w:p w14:paraId="369A135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highlight w:val="none"/>
              </w:rPr>
              <w:t>排水管采用C25水工钢筋混凝土结构，排水管内径为</w:t>
            </w:r>
            <w:r>
              <w:rPr>
                <w:rFonts w:hint="eastAsia" w:ascii="Times New Roman" w:hAnsi="Times New Roman" w:cs="Times New Roman"/>
                <w:color w:val="auto"/>
                <w:sz w:val="21"/>
                <w:highlight w:val="none"/>
                <w:lang w:val="en-US" w:eastAsia="zh-CN"/>
              </w:rPr>
              <w:t>1.5</w:t>
            </w:r>
            <w:r>
              <w:rPr>
                <w:rFonts w:hint="eastAsia" w:ascii="Times New Roman" w:hAnsi="Times New Roman" w:cs="Times New Roman"/>
                <w:color w:val="auto"/>
                <w:sz w:val="21"/>
                <w:highlight w:val="none"/>
              </w:rPr>
              <w:t>m</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排水管长度为</w:t>
            </w:r>
            <w:r>
              <w:rPr>
                <w:rFonts w:hint="eastAsia" w:ascii="Times New Roman" w:hAnsi="Times New Roman" w:cs="Times New Roman"/>
                <w:color w:val="auto"/>
                <w:sz w:val="21"/>
                <w:highlight w:val="none"/>
                <w:lang w:val="en-US" w:eastAsia="zh-CN"/>
              </w:rPr>
              <w:t>1196</w:t>
            </w:r>
            <w:r>
              <w:rPr>
                <w:rFonts w:hint="eastAsia" w:ascii="Times New Roman" w:hAnsi="Times New Roman" w:cs="Times New Roman"/>
                <w:color w:val="auto"/>
                <w:sz w:val="21"/>
                <w:highlight w:val="none"/>
              </w:rPr>
              <w:t>m。尾矿库下游设置一座集水池，为平地开挖式，长×宽×高=40m×20m×3.5m。尾矿库库内排水井通过排水管，通往下游集水池。</w:t>
            </w:r>
          </w:p>
        </w:tc>
        <w:tc>
          <w:tcPr>
            <w:tcW w:w="2014" w:type="pct"/>
            <w:gridSpan w:val="2"/>
            <w:shd w:val="clear" w:color="auto" w:fill="auto"/>
            <w:vAlign w:val="center"/>
          </w:tcPr>
          <w:p w14:paraId="35BAF5B0">
            <w:pPr>
              <w:pStyle w:val="17"/>
              <w:bidi w:val="0"/>
              <w:ind w:firstLine="0" w:firstLineChars="0"/>
              <w:jc w:val="center"/>
              <w:rPr>
                <w:rFonts w:hint="eastAsia"/>
                <w:color w:val="auto"/>
                <w:highlight w:val="none"/>
              </w:rPr>
            </w:pPr>
            <w:r>
              <w:rPr>
                <w:rFonts w:hint="eastAsia"/>
                <w:color w:val="auto"/>
                <w:highlight w:val="none"/>
              </w:rPr>
              <w:t>库内排洪设施为“框架式排水井+隧洞”型式，布置在尾矿库西侧主沟，分四期建设。库内共设四座排水井、一条主洞和三条支洞，均为钢筋混凝土结构。排水井内径2.5m，1号～3号排水井井架高15m，4号排水井井架高12m；排洪隧洞为圆拱直墙式，净宽2m，直墙高1m，顶拱高1m，最大洞高2m，主洞出口底标高为3073.5m，坡度为0.02隧洞总长约1611m。</w:t>
            </w:r>
          </w:p>
        </w:tc>
        <w:tc>
          <w:tcPr>
            <w:tcW w:w="689" w:type="pct"/>
            <w:vAlign w:val="center"/>
          </w:tcPr>
          <w:p w14:paraId="6D9C27AA">
            <w:pPr>
              <w:pStyle w:val="17"/>
              <w:bidi w:val="0"/>
              <w:jc w:val="center"/>
              <w:rPr>
                <w:rFonts w:hint="default" w:eastAsia="宋体"/>
                <w:color w:val="auto"/>
                <w:highlight w:val="none"/>
                <w:lang w:val="en-US" w:eastAsia="zh-CN"/>
              </w:rPr>
            </w:pPr>
            <w:r>
              <w:rPr>
                <w:rFonts w:hint="eastAsia"/>
                <w:color w:val="auto"/>
                <w:highlight w:val="none"/>
                <w:lang w:val="en-US" w:eastAsia="zh-CN"/>
              </w:rPr>
              <w:t>由“</w:t>
            </w:r>
            <w:r>
              <w:rPr>
                <w:rFonts w:hint="eastAsia"/>
                <w:color w:val="auto"/>
                <w:highlight w:val="none"/>
              </w:rPr>
              <w:t>框架式排水井—排水管</w:t>
            </w:r>
            <w:r>
              <w:rPr>
                <w:rFonts w:hint="eastAsia"/>
                <w:color w:val="auto"/>
                <w:highlight w:val="none"/>
                <w:lang w:eastAsia="zh-CN"/>
              </w:rPr>
              <w:t>”</w:t>
            </w:r>
            <w:r>
              <w:rPr>
                <w:rFonts w:hint="eastAsia"/>
                <w:color w:val="auto"/>
                <w:highlight w:val="none"/>
                <w:lang w:val="en-US" w:eastAsia="zh-CN"/>
              </w:rPr>
              <w:t>形式变为</w:t>
            </w:r>
            <w:r>
              <w:rPr>
                <w:rFonts w:hint="eastAsia"/>
                <w:color w:val="auto"/>
                <w:highlight w:val="none"/>
              </w:rPr>
              <w:t>框架式排水井+隧洞”型式</w:t>
            </w:r>
            <w:r>
              <w:rPr>
                <w:rFonts w:hint="eastAsia"/>
                <w:color w:val="auto"/>
                <w:highlight w:val="none"/>
                <w:lang w:eastAsia="zh-CN"/>
              </w:rPr>
              <w:t>，</w:t>
            </w:r>
            <w:r>
              <w:rPr>
                <w:rFonts w:hint="eastAsia"/>
                <w:color w:val="auto"/>
                <w:highlight w:val="none"/>
                <w:lang w:val="en-US" w:eastAsia="zh-CN"/>
              </w:rPr>
              <w:t>不属于重大变动</w:t>
            </w:r>
          </w:p>
        </w:tc>
      </w:tr>
      <w:tr w14:paraId="124F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6AEE311A">
            <w:pPr>
              <w:pStyle w:val="17"/>
              <w:bidi w:val="0"/>
              <w:jc w:val="center"/>
              <w:rPr>
                <w:rFonts w:hint="eastAsia"/>
                <w:color w:val="auto"/>
                <w:highlight w:val="none"/>
              </w:rPr>
            </w:pPr>
          </w:p>
        </w:tc>
        <w:tc>
          <w:tcPr>
            <w:tcW w:w="151" w:type="pct"/>
            <w:vMerge w:val="continue"/>
            <w:vAlign w:val="center"/>
          </w:tcPr>
          <w:p w14:paraId="7D9D6E4B">
            <w:pPr>
              <w:pStyle w:val="17"/>
              <w:bidi w:val="0"/>
              <w:jc w:val="center"/>
              <w:rPr>
                <w:rFonts w:hint="eastAsia"/>
                <w:color w:val="auto"/>
                <w:highlight w:val="none"/>
              </w:rPr>
            </w:pPr>
          </w:p>
        </w:tc>
        <w:tc>
          <w:tcPr>
            <w:tcW w:w="152" w:type="pct"/>
            <w:shd w:val="clear" w:color="auto" w:fill="auto"/>
            <w:vAlign w:val="center"/>
          </w:tcPr>
          <w:p w14:paraId="16429D44">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尾矿输送系统</w:t>
            </w:r>
          </w:p>
        </w:tc>
        <w:tc>
          <w:tcPr>
            <w:tcW w:w="1840" w:type="pct"/>
            <w:gridSpan w:val="4"/>
            <w:shd w:val="clear" w:color="auto" w:fill="auto"/>
            <w:vAlign w:val="center"/>
          </w:tcPr>
          <w:p w14:paraId="73AEF374">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highlight w:val="none"/>
              </w:rPr>
              <w:t>尾矿输送系统包括浓缩池、尾矿</w:t>
            </w:r>
            <w:r>
              <w:rPr>
                <w:rFonts w:hint="eastAsia" w:ascii="Times New Roman" w:hAnsi="Times New Roman" w:cs="Times New Roman"/>
                <w:color w:val="auto"/>
                <w:sz w:val="21"/>
                <w:highlight w:val="none"/>
                <w:lang w:val="en-US" w:eastAsia="zh-CN"/>
              </w:rPr>
              <w:t>分砂泵站</w:t>
            </w:r>
            <w:r>
              <w:rPr>
                <w:rFonts w:hint="eastAsia" w:ascii="Times New Roman" w:hAnsi="Times New Roman" w:cs="Times New Roman"/>
                <w:color w:val="auto"/>
                <w:sz w:val="21"/>
                <w:highlight w:val="none"/>
              </w:rPr>
              <w:t>、输送管道等。尾矿输送系统起点为选矿厂</w:t>
            </w:r>
            <w:r>
              <w:rPr>
                <w:rFonts w:hint="eastAsia" w:ascii="Times New Roman" w:hAnsi="Times New Roman" w:cs="Times New Roman"/>
                <w:color w:val="auto"/>
                <w:sz w:val="21"/>
                <w:highlight w:val="none"/>
                <w:lang w:val="en-US" w:eastAsia="zh-CN"/>
              </w:rPr>
              <w:t>总砂泵站</w:t>
            </w:r>
            <w:r>
              <w:rPr>
                <w:rFonts w:hint="eastAsia" w:ascii="Times New Roman" w:hAnsi="Times New Roman" w:cs="Times New Roman"/>
                <w:color w:val="auto"/>
                <w:sz w:val="21"/>
                <w:highlight w:val="none"/>
              </w:rPr>
              <w:t>，终点为尾矿库初期坝，管线长度约为</w:t>
            </w:r>
            <w:r>
              <w:rPr>
                <w:rFonts w:hint="eastAsia" w:ascii="Times New Roman" w:hAnsi="Times New Roman" w:cs="Times New Roman"/>
                <w:color w:val="auto"/>
                <w:sz w:val="21"/>
                <w:highlight w:val="none"/>
                <w:lang w:val="en-US" w:eastAsia="zh-CN"/>
              </w:rPr>
              <w:t>3.15</w:t>
            </w:r>
            <w:r>
              <w:rPr>
                <w:rFonts w:hint="eastAsia" w:ascii="Times New Roman" w:hAnsi="Times New Roman" w:cs="Times New Roman"/>
                <w:color w:val="auto"/>
                <w:sz w:val="21"/>
                <w:highlight w:val="none"/>
              </w:rPr>
              <w:t>km</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其中1.368km穿隧洞通过</w:t>
            </w:r>
            <w:r>
              <w:rPr>
                <w:rFonts w:hint="eastAsia" w:ascii="Times New Roman" w:hAnsi="Times New Roman" w:cs="Times New Roman"/>
                <w:color w:val="auto"/>
                <w:sz w:val="21"/>
                <w:highlight w:val="none"/>
              </w:rPr>
              <w:t>。</w:t>
            </w:r>
            <w:r>
              <w:rPr>
                <w:rFonts w:hint="eastAsia" w:ascii="Times New Roman" w:hAnsi="Times New Roman" w:cs="Times New Roman"/>
                <w:color w:val="auto"/>
                <w:sz w:val="21"/>
                <w:highlight w:val="none"/>
                <w:lang w:val="en-US" w:eastAsia="zh-CN"/>
              </w:rPr>
              <w:t>隧洞为两段，分别为隧洞1，隧洞2。隧洞1长约408m，起点标高3020m，终点标高3080m；隧洞2长约1360m，起点标高3080m，终点标高3150m。隧洞断面尺寸为：3.5×3.0m。其他路段沿地面敷设，跨越局部深沟采用架设。</w:t>
            </w:r>
          </w:p>
        </w:tc>
        <w:tc>
          <w:tcPr>
            <w:tcW w:w="2014" w:type="pct"/>
            <w:gridSpan w:val="2"/>
            <w:shd w:val="clear" w:color="auto" w:fill="auto"/>
            <w:vAlign w:val="center"/>
          </w:tcPr>
          <w:p w14:paraId="2B822F02">
            <w:pPr>
              <w:pStyle w:val="17"/>
              <w:bidi w:val="0"/>
              <w:rPr>
                <w:rFonts w:hint="eastAsia"/>
                <w:color w:val="auto"/>
                <w:highlight w:val="none"/>
              </w:rPr>
            </w:pPr>
            <w:r>
              <w:rPr>
                <w:rFonts w:hint="eastAsia"/>
                <w:color w:val="auto"/>
                <w:highlight w:val="none"/>
              </w:rPr>
              <w:t>尾矿输送系统包括浓缩池、尾矿</w:t>
            </w:r>
            <w:r>
              <w:rPr>
                <w:rFonts w:hint="eastAsia"/>
                <w:color w:val="auto"/>
                <w:highlight w:val="none"/>
                <w:lang w:val="en-US" w:eastAsia="zh-CN"/>
              </w:rPr>
              <w:t>分砂泵站</w:t>
            </w:r>
            <w:r>
              <w:rPr>
                <w:rFonts w:hint="eastAsia"/>
                <w:color w:val="auto"/>
                <w:highlight w:val="none"/>
              </w:rPr>
              <w:t>、输送管道等。</w:t>
            </w:r>
            <w:r>
              <w:rPr>
                <w:color w:val="auto"/>
                <w:highlight w:val="none"/>
                <w:lang w:val="en-US" w:eastAsia="zh-CN"/>
              </w:rPr>
              <w:t>选矿厂至尾矿库的尾矿输送管线采用2条，1条为输送主管，1条</w:t>
            </w:r>
            <w:r>
              <w:rPr>
                <w:rFonts w:hint="eastAsia"/>
                <w:color w:val="auto"/>
                <w:highlight w:val="none"/>
                <w:lang w:val="en-US" w:eastAsia="zh-CN"/>
              </w:rPr>
              <w:t>为备用输送管。</w:t>
            </w:r>
            <w:r>
              <w:rPr>
                <w:color w:val="auto"/>
                <w:highlight w:val="none"/>
                <w:lang w:val="en-US" w:eastAsia="zh-CN"/>
              </w:rPr>
              <w:t>输送主管采用1条φ250×（7+12）共挤耐磨层增强塑料复合管道，</w:t>
            </w:r>
            <w:r>
              <w:rPr>
                <w:rFonts w:hint="eastAsia"/>
                <w:color w:val="auto"/>
                <w:highlight w:val="none"/>
                <w:lang w:val="en-US" w:eastAsia="zh-CN"/>
              </w:rPr>
              <w:t>长约4.4km，管线沿地形线一路向上敷设至尾矿坝坝顶，其中2.74km管线敷设在尾矿输送隧洞内，0.7km管线沿坝顶敷设，剩余管线沿地表敷设，外设10cm厚聚氨酯泡沫保温层，每间隔3m设置混凝土管枕。备用输送管采用1条φ219×8，16Mn钢管，长约4km，管线敷设形式同输送主管，外设聚氨酯泡沫保温，每间隔3m设置混凝土管枕。</w:t>
            </w:r>
            <w:r>
              <w:rPr>
                <w:color w:val="auto"/>
                <w:highlight w:val="none"/>
                <w:lang w:val="en-US" w:eastAsia="zh-CN"/>
              </w:rPr>
              <w:t>选矿厂与尾矿库之间尾矿输送隧洞长约2.74km，进口底标高为</w:t>
            </w:r>
            <w:r>
              <w:rPr>
                <w:rFonts w:hint="eastAsia"/>
                <w:color w:val="auto"/>
                <w:highlight w:val="none"/>
                <w:lang w:val="en-US" w:eastAsia="zh-CN"/>
              </w:rPr>
              <w:t>3012m，出口底标高为3094m，平均坡度约2.97%。</w:t>
            </w:r>
          </w:p>
        </w:tc>
        <w:tc>
          <w:tcPr>
            <w:tcW w:w="689" w:type="pct"/>
            <w:vAlign w:val="center"/>
          </w:tcPr>
          <w:p w14:paraId="497ED1B5">
            <w:pPr>
              <w:pStyle w:val="17"/>
              <w:bidi w:val="0"/>
              <w:jc w:val="center"/>
              <w:rPr>
                <w:rFonts w:hint="default" w:eastAsia="宋体"/>
                <w:color w:val="auto"/>
                <w:highlight w:val="none"/>
                <w:lang w:val="en-US" w:eastAsia="zh-CN"/>
              </w:rPr>
            </w:pPr>
            <w:r>
              <w:rPr>
                <w:rFonts w:hint="eastAsia"/>
                <w:color w:val="auto"/>
                <w:highlight w:val="none"/>
                <w:lang w:val="en-US" w:eastAsia="zh-CN"/>
              </w:rPr>
              <w:t>输送管道长度增加，隧洞长度增加，并新增一条备用管道，不属于重大变                                      动</w:t>
            </w:r>
          </w:p>
        </w:tc>
      </w:tr>
      <w:tr w14:paraId="2123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57452C07">
            <w:pPr>
              <w:pStyle w:val="17"/>
              <w:bidi w:val="0"/>
              <w:jc w:val="center"/>
              <w:rPr>
                <w:rFonts w:hint="eastAsia"/>
                <w:color w:val="auto"/>
                <w:highlight w:val="none"/>
              </w:rPr>
            </w:pPr>
          </w:p>
        </w:tc>
        <w:tc>
          <w:tcPr>
            <w:tcW w:w="151" w:type="pct"/>
            <w:vMerge w:val="continue"/>
            <w:vAlign w:val="center"/>
          </w:tcPr>
          <w:p w14:paraId="573AEF37">
            <w:pPr>
              <w:pStyle w:val="17"/>
              <w:bidi w:val="0"/>
              <w:jc w:val="center"/>
              <w:rPr>
                <w:rFonts w:hint="eastAsia"/>
                <w:color w:val="auto"/>
                <w:highlight w:val="none"/>
              </w:rPr>
            </w:pPr>
          </w:p>
        </w:tc>
        <w:tc>
          <w:tcPr>
            <w:tcW w:w="152" w:type="pct"/>
            <w:shd w:val="clear" w:color="auto" w:fill="auto"/>
            <w:vAlign w:val="center"/>
          </w:tcPr>
          <w:p w14:paraId="4970C869">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回水系统</w:t>
            </w:r>
          </w:p>
        </w:tc>
        <w:tc>
          <w:tcPr>
            <w:tcW w:w="1840" w:type="pct"/>
            <w:gridSpan w:val="4"/>
            <w:shd w:val="clear" w:color="auto" w:fill="auto"/>
            <w:vAlign w:val="center"/>
          </w:tcPr>
          <w:p w14:paraId="70E59779">
            <w:pPr>
              <w:pStyle w:val="17"/>
              <w:bidi w:val="0"/>
              <w:rPr>
                <w:rFonts w:hint="default" w:ascii="Times New Roman" w:hAnsi="Times New Roman" w:eastAsia="宋体" w:cs="Times New Roman"/>
                <w:color w:val="auto"/>
                <w:kern w:val="2"/>
                <w:szCs w:val="21"/>
                <w:highlight w:val="none"/>
                <w:lang w:val="en-US" w:eastAsia="zh-CN" w:bidi="ar-SA"/>
              </w:rPr>
            </w:pPr>
            <w:r>
              <w:rPr>
                <w:rFonts w:hint="eastAsia"/>
                <w:color w:val="auto"/>
                <w:highlight w:val="none"/>
              </w:rPr>
              <w:t>本工程生产废水与尾矿形成尾矿浆送入尾矿库内。尾矿库中的水澄清后从</w:t>
            </w:r>
            <w:r>
              <w:rPr>
                <w:rFonts w:hint="eastAsia"/>
                <w:color w:val="auto"/>
                <w:highlight w:val="none"/>
                <w:lang w:eastAsia="zh-CN"/>
              </w:rPr>
              <w:t>回水池</w:t>
            </w:r>
            <w:r>
              <w:rPr>
                <w:rFonts w:hint="eastAsia"/>
                <w:color w:val="auto"/>
                <w:highlight w:val="none"/>
              </w:rPr>
              <w:t>通过泵输送回选矿厂高位水池供生产使用，尾矿库中的水不外排。</w:t>
            </w:r>
            <w:r>
              <w:rPr>
                <w:rFonts w:hint="eastAsia"/>
                <w:color w:val="auto"/>
                <w:highlight w:val="none"/>
                <w:lang w:val="en-US" w:eastAsia="zh-CN"/>
              </w:rPr>
              <w:t>回水泵站位于尾矿库集水池旁，回水泵房采用半地下式，自灌。回水泵房平面尺寸15×6.6m</w:t>
            </w:r>
            <w:r>
              <w:rPr>
                <w:rFonts w:hint="eastAsia"/>
                <w:color w:val="auto"/>
                <w:highlight w:val="none"/>
                <w:lang w:eastAsia="zh-CN"/>
              </w:rPr>
              <w:t>。</w:t>
            </w:r>
          </w:p>
        </w:tc>
        <w:tc>
          <w:tcPr>
            <w:tcW w:w="2014" w:type="pct"/>
            <w:gridSpan w:val="2"/>
            <w:shd w:val="clear" w:color="auto" w:fill="auto"/>
            <w:vAlign w:val="center"/>
          </w:tcPr>
          <w:p w14:paraId="6A6B6414">
            <w:pPr>
              <w:pStyle w:val="17"/>
              <w:bidi w:val="0"/>
              <w:ind w:firstLine="0" w:firstLineChars="0"/>
              <w:jc w:val="center"/>
              <w:rPr>
                <w:rFonts w:hint="eastAsia"/>
                <w:color w:val="auto"/>
                <w:highlight w:val="none"/>
              </w:rPr>
            </w:pPr>
            <w:r>
              <w:rPr>
                <w:rFonts w:hint="eastAsia"/>
                <w:color w:val="auto"/>
                <w:highlight w:val="none"/>
              </w:rPr>
              <w:t>本工程生产废水与尾矿形成尾矿浆送入尾矿库内。尾矿库中的水澄清后从</w:t>
            </w:r>
            <w:r>
              <w:rPr>
                <w:rFonts w:hint="eastAsia"/>
                <w:color w:val="auto"/>
                <w:highlight w:val="none"/>
                <w:lang w:eastAsia="zh-CN"/>
              </w:rPr>
              <w:t>回水池</w:t>
            </w:r>
            <w:r>
              <w:rPr>
                <w:rFonts w:hint="eastAsia"/>
                <w:color w:val="auto"/>
                <w:highlight w:val="none"/>
              </w:rPr>
              <w:t>通过泵输送回选矿厂高位水池供生产使用，尾矿库中的水不外排。</w:t>
            </w:r>
            <w:r>
              <w:rPr>
                <w:rFonts w:hint="eastAsia"/>
                <w:color w:val="auto"/>
                <w:highlight w:val="none"/>
                <w:lang w:val="en-US" w:eastAsia="zh-CN"/>
              </w:rPr>
              <w:t>尾矿库回水采用库内浮船取水方式。</w:t>
            </w:r>
          </w:p>
        </w:tc>
        <w:tc>
          <w:tcPr>
            <w:tcW w:w="689" w:type="pct"/>
            <w:vAlign w:val="center"/>
          </w:tcPr>
          <w:p w14:paraId="04F772B0">
            <w:pPr>
              <w:pStyle w:val="17"/>
              <w:bidi w:val="0"/>
              <w:jc w:val="center"/>
              <w:rPr>
                <w:rFonts w:hint="default"/>
                <w:color w:val="auto"/>
                <w:highlight w:val="none"/>
                <w:lang w:val="en-US"/>
              </w:rPr>
            </w:pPr>
            <w:r>
              <w:rPr>
                <w:rFonts w:hint="eastAsia"/>
                <w:color w:val="auto"/>
                <w:highlight w:val="none"/>
                <w:lang w:val="en-US" w:eastAsia="zh-CN"/>
              </w:rPr>
              <w:t>由半地下式回水泵房回水变为库内浮船取水方式回水，不属于重大变动</w:t>
            </w:r>
          </w:p>
        </w:tc>
      </w:tr>
      <w:tr w14:paraId="4845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61EFA00B">
            <w:pPr>
              <w:pStyle w:val="17"/>
              <w:bidi w:val="0"/>
              <w:jc w:val="center"/>
              <w:rPr>
                <w:rFonts w:hint="eastAsia"/>
                <w:color w:val="auto"/>
                <w:highlight w:val="none"/>
              </w:rPr>
            </w:pPr>
          </w:p>
        </w:tc>
        <w:tc>
          <w:tcPr>
            <w:tcW w:w="151" w:type="pct"/>
            <w:vMerge w:val="continue"/>
            <w:vAlign w:val="center"/>
          </w:tcPr>
          <w:p w14:paraId="64A05F80">
            <w:pPr>
              <w:pStyle w:val="17"/>
              <w:bidi w:val="0"/>
              <w:jc w:val="center"/>
              <w:rPr>
                <w:rFonts w:hint="eastAsia"/>
                <w:color w:val="auto"/>
                <w:highlight w:val="none"/>
              </w:rPr>
            </w:pPr>
          </w:p>
        </w:tc>
        <w:tc>
          <w:tcPr>
            <w:tcW w:w="152" w:type="pct"/>
            <w:shd w:val="clear" w:color="auto" w:fill="auto"/>
            <w:vAlign w:val="center"/>
          </w:tcPr>
          <w:p w14:paraId="7F0DE479">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防渗工程</w:t>
            </w:r>
          </w:p>
        </w:tc>
        <w:tc>
          <w:tcPr>
            <w:tcW w:w="1840" w:type="pct"/>
            <w:gridSpan w:val="4"/>
            <w:shd w:val="clear" w:color="auto" w:fill="auto"/>
            <w:vAlign w:val="center"/>
          </w:tcPr>
          <w:p w14:paraId="4959925E">
            <w:pPr>
              <w:pStyle w:val="17"/>
              <w:bidi w:val="0"/>
              <w:rPr>
                <w:rFonts w:hint="default" w:ascii="Times New Roman" w:hAnsi="Times New Roman" w:eastAsia="宋体" w:cs="Times New Roman"/>
                <w:color w:val="auto"/>
                <w:kern w:val="2"/>
                <w:szCs w:val="21"/>
                <w:highlight w:val="none"/>
                <w:lang w:val="en-US" w:eastAsia="zh-CN" w:bidi="ar-SA"/>
              </w:rPr>
            </w:pPr>
            <w:r>
              <w:rPr>
                <w:rFonts w:hint="eastAsia"/>
                <w:color w:val="auto"/>
                <w:highlight w:val="none"/>
              </w:rPr>
              <w:t>全库区防渗。整个库区铺设人工防渗系统，人工防渗系统分</w:t>
            </w:r>
            <w:r>
              <w:rPr>
                <w:rFonts w:hint="eastAsia"/>
                <w:color w:val="auto"/>
                <w:highlight w:val="none"/>
                <w:lang w:eastAsia="zh-CN"/>
              </w:rPr>
              <w:t>多</w:t>
            </w:r>
            <w:r>
              <w:rPr>
                <w:rFonts w:hint="eastAsia"/>
                <w:color w:val="auto"/>
                <w:highlight w:val="none"/>
              </w:rPr>
              <w:t>期实施，一期铺至</w:t>
            </w:r>
            <w:r>
              <w:rPr>
                <w:rFonts w:hint="eastAsia"/>
                <w:color w:val="auto"/>
                <w:highlight w:val="none"/>
                <w:lang w:val="en-US" w:eastAsia="zh-CN"/>
              </w:rPr>
              <w:t>3090.0</w:t>
            </w:r>
            <w:r>
              <w:rPr>
                <w:rFonts w:hint="eastAsia"/>
                <w:color w:val="auto"/>
                <w:highlight w:val="none"/>
              </w:rPr>
              <w:t>m</w:t>
            </w:r>
            <w:r>
              <w:rPr>
                <w:rFonts w:hint="eastAsia"/>
                <w:color w:val="auto"/>
                <w:highlight w:val="none"/>
                <w:lang w:eastAsia="zh-CN"/>
              </w:rPr>
              <w:t>标高</w:t>
            </w:r>
            <w:r>
              <w:rPr>
                <w:rFonts w:hint="eastAsia"/>
                <w:color w:val="auto"/>
                <w:highlight w:val="none"/>
              </w:rPr>
              <w:t>，以后逐年铺设。按照《一般工业固体废物贮存和填埋污染控制标准》（GB18599-2020）第</w:t>
            </w:r>
            <w:r>
              <w:rPr>
                <w:rFonts w:hint="default"/>
                <w:color w:val="auto"/>
                <w:highlight w:val="none"/>
              </w:rPr>
              <w:fldChar w:fldCharType="begin"/>
            </w:r>
            <w:r>
              <w:rPr>
                <w:rFonts w:hint="default"/>
                <w:color w:val="auto"/>
                <w:highlight w:val="none"/>
              </w:rPr>
              <w:instrText xml:space="preserve"> = 1 \* ROMAN \* MERGEFORMAT </w:instrText>
            </w:r>
            <w:r>
              <w:rPr>
                <w:rFonts w:hint="default"/>
                <w:color w:val="auto"/>
                <w:highlight w:val="none"/>
              </w:rPr>
              <w:fldChar w:fldCharType="separate"/>
            </w:r>
            <w:r>
              <w:rPr>
                <w:rFonts w:hint="default"/>
                <w:color w:val="auto"/>
                <w:highlight w:val="none"/>
              </w:rPr>
              <w:t>I</w:t>
            </w:r>
            <w:r>
              <w:rPr>
                <w:rFonts w:hint="default"/>
                <w:color w:val="auto"/>
                <w:highlight w:val="none"/>
              </w:rPr>
              <w:fldChar w:fldCharType="end"/>
            </w:r>
            <w:r>
              <w:rPr>
                <w:rFonts w:hint="eastAsia"/>
                <w:color w:val="auto"/>
                <w:highlight w:val="none"/>
              </w:rPr>
              <w:t>类一般工业固体废物要求，防渗层</w:t>
            </w:r>
            <w:r>
              <w:rPr>
                <w:rFonts w:hint="eastAsia"/>
                <w:color w:val="auto"/>
                <w:highlight w:val="none"/>
                <w:lang w:val="en-US" w:eastAsia="zh-CN"/>
              </w:rPr>
              <w:t>可采用改性压实粘土类衬层或具有同等以上隔水效力的其他材料防渗衬层，其防渗性能应至少相当于渗透系数为1.0×10</w:t>
            </w:r>
            <w:r>
              <w:rPr>
                <w:rFonts w:hint="eastAsia"/>
                <w:color w:val="auto"/>
                <w:highlight w:val="none"/>
                <w:vertAlign w:val="superscript"/>
                <w:lang w:val="en-US" w:eastAsia="zh-CN"/>
              </w:rPr>
              <w:t>-5</w:t>
            </w:r>
            <w:r>
              <w:rPr>
                <w:rFonts w:hint="eastAsia"/>
                <w:color w:val="auto"/>
                <w:highlight w:val="none"/>
                <w:lang w:val="en-US" w:eastAsia="zh-CN"/>
              </w:rPr>
              <w:t>cm/s且厚度为0.75m的天然基础层</w:t>
            </w:r>
            <w:r>
              <w:rPr>
                <w:rFonts w:hint="eastAsia"/>
                <w:color w:val="auto"/>
                <w:highlight w:val="none"/>
              </w:rPr>
              <w:t>。</w:t>
            </w:r>
          </w:p>
        </w:tc>
        <w:tc>
          <w:tcPr>
            <w:tcW w:w="2014" w:type="pct"/>
            <w:gridSpan w:val="2"/>
            <w:shd w:val="clear" w:color="auto" w:fill="auto"/>
            <w:vAlign w:val="center"/>
          </w:tcPr>
          <w:p w14:paraId="785AC0A2">
            <w:pPr>
              <w:pStyle w:val="17"/>
              <w:bidi w:val="0"/>
              <w:rPr>
                <w:rFonts w:hint="eastAsia"/>
                <w:color w:val="auto"/>
                <w:highlight w:val="none"/>
              </w:rPr>
            </w:pPr>
            <w:r>
              <w:rPr>
                <w:rFonts w:hint="eastAsia"/>
                <w:color w:val="auto"/>
                <w:highlight w:val="none"/>
                <w:lang w:val="en-US" w:eastAsia="zh-CN"/>
              </w:rPr>
              <w:t>全库区防渗。整个库区铺设人工防渗系统，尾矿库库内采用土工材料HDPE土工膜防渗，防渗层结构由下到上依次为：整平基础、4500g/m</w:t>
            </w:r>
            <w:r>
              <w:rPr>
                <w:rFonts w:hint="eastAsia"/>
                <w:color w:val="auto"/>
                <w:highlight w:val="none"/>
                <w:vertAlign w:val="superscript"/>
                <w:lang w:val="en-US" w:eastAsia="zh-CN"/>
              </w:rPr>
              <w:t>2</w:t>
            </w:r>
            <w:r>
              <w:rPr>
                <w:rFonts w:hint="eastAsia"/>
                <w:color w:val="auto"/>
                <w:highlight w:val="none"/>
                <w:lang w:val="en-US" w:eastAsia="zh-CN"/>
              </w:rPr>
              <w:t>膨润土防水毯、1.5mm厚单糙面HDPE土工膜、400g/m</w:t>
            </w:r>
            <w:r>
              <w:rPr>
                <w:rFonts w:hint="eastAsia"/>
                <w:color w:val="auto"/>
                <w:highlight w:val="none"/>
                <w:vertAlign w:val="superscript"/>
                <w:lang w:val="en-US" w:eastAsia="zh-CN"/>
              </w:rPr>
              <w:t>2</w:t>
            </w:r>
            <w:r>
              <w:rPr>
                <w:rFonts w:hint="eastAsia"/>
                <w:color w:val="auto"/>
                <w:highlight w:val="none"/>
                <w:lang w:val="en-US" w:eastAsia="zh-CN"/>
              </w:rPr>
              <w:t>土工布。坝基采用HDPE土工膜防渗，与库区及两侧坝肩防渗层连接为一个整体，坝基防渗层由下至上分别为5000g/m</w:t>
            </w:r>
            <w:r>
              <w:rPr>
                <w:rFonts w:hint="eastAsia"/>
                <w:color w:val="auto"/>
                <w:highlight w:val="none"/>
                <w:vertAlign w:val="superscript"/>
                <w:lang w:val="en-US" w:eastAsia="zh-CN"/>
              </w:rPr>
              <w:t>2</w:t>
            </w:r>
            <w:r>
              <w:rPr>
                <w:rFonts w:hint="eastAsia"/>
                <w:color w:val="auto"/>
                <w:highlight w:val="none"/>
                <w:lang w:val="en-US" w:eastAsia="zh-CN"/>
              </w:rPr>
              <w:t>改性膨润土防水毯、1.5mm厚双糙面HDPE土工膜及6mm厚三肋土工复合排水网。</w:t>
            </w:r>
          </w:p>
        </w:tc>
        <w:tc>
          <w:tcPr>
            <w:tcW w:w="689" w:type="pct"/>
            <w:vAlign w:val="center"/>
          </w:tcPr>
          <w:p w14:paraId="2EF95280">
            <w:pPr>
              <w:pStyle w:val="17"/>
              <w:bidi w:val="0"/>
              <w:jc w:val="center"/>
              <w:rPr>
                <w:rFonts w:hint="default" w:eastAsia="宋体"/>
                <w:color w:val="auto"/>
                <w:highlight w:val="none"/>
                <w:lang w:val="en-US" w:eastAsia="zh-CN"/>
              </w:rPr>
            </w:pPr>
            <w:r>
              <w:rPr>
                <w:rFonts w:hint="eastAsia"/>
                <w:color w:val="auto"/>
                <w:highlight w:val="none"/>
                <w:lang w:val="en-US" w:eastAsia="zh-CN"/>
              </w:rPr>
              <w:t>符合</w:t>
            </w:r>
            <w:r>
              <w:rPr>
                <w:rFonts w:hint="eastAsia"/>
                <w:color w:val="auto"/>
                <w:highlight w:val="none"/>
              </w:rPr>
              <w:t>《一般工业固体废物贮存和填埋污染控制标准》（GB18599-2020）第</w:t>
            </w:r>
            <w:r>
              <w:rPr>
                <w:rFonts w:hint="default"/>
                <w:color w:val="auto"/>
                <w:highlight w:val="none"/>
              </w:rPr>
              <w:fldChar w:fldCharType="begin"/>
            </w:r>
            <w:r>
              <w:rPr>
                <w:rFonts w:hint="default"/>
                <w:color w:val="auto"/>
                <w:highlight w:val="none"/>
              </w:rPr>
              <w:instrText xml:space="preserve"> = 1 \* ROMAN \* MERGEFORMAT </w:instrText>
            </w:r>
            <w:r>
              <w:rPr>
                <w:rFonts w:hint="default"/>
                <w:color w:val="auto"/>
                <w:highlight w:val="none"/>
              </w:rPr>
              <w:fldChar w:fldCharType="separate"/>
            </w:r>
            <w:r>
              <w:rPr>
                <w:rFonts w:hint="default"/>
                <w:color w:val="auto"/>
                <w:highlight w:val="none"/>
              </w:rPr>
              <w:t>I</w:t>
            </w:r>
            <w:r>
              <w:rPr>
                <w:rFonts w:hint="default"/>
                <w:color w:val="auto"/>
                <w:highlight w:val="none"/>
              </w:rPr>
              <w:fldChar w:fldCharType="end"/>
            </w:r>
            <w:r>
              <w:rPr>
                <w:rFonts w:hint="eastAsia"/>
                <w:color w:val="auto"/>
                <w:highlight w:val="none"/>
              </w:rPr>
              <w:t>类一般工业固体废物</w:t>
            </w:r>
            <w:r>
              <w:rPr>
                <w:rFonts w:hint="eastAsia"/>
                <w:color w:val="auto"/>
                <w:highlight w:val="none"/>
                <w:lang w:val="en-US" w:eastAsia="zh-CN"/>
              </w:rPr>
              <w:t>贮存要求，不属于重大变动</w:t>
            </w:r>
          </w:p>
        </w:tc>
      </w:tr>
      <w:tr w14:paraId="1786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 w:type="pct"/>
            <w:vMerge w:val="continue"/>
            <w:vAlign w:val="center"/>
          </w:tcPr>
          <w:p w14:paraId="63F4839E">
            <w:pPr>
              <w:pStyle w:val="17"/>
              <w:bidi w:val="0"/>
              <w:jc w:val="center"/>
              <w:rPr>
                <w:rFonts w:hint="eastAsia"/>
                <w:color w:val="auto"/>
                <w:highlight w:val="none"/>
              </w:rPr>
            </w:pPr>
          </w:p>
        </w:tc>
        <w:tc>
          <w:tcPr>
            <w:tcW w:w="151" w:type="pct"/>
            <w:vMerge w:val="continue"/>
            <w:vAlign w:val="center"/>
          </w:tcPr>
          <w:p w14:paraId="45EE8EA8">
            <w:pPr>
              <w:pStyle w:val="17"/>
              <w:bidi w:val="0"/>
              <w:jc w:val="center"/>
              <w:rPr>
                <w:rFonts w:hint="eastAsia"/>
                <w:color w:val="auto"/>
                <w:highlight w:val="none"/>
              </w:rPr>
            </w:pPr>
          </w:p>
        </w:tc>
        <w:tc>
          <w:tcPr>
            <w:tcW w:w="152" w:type="pct"/>
            <w:shd w:val="clear" w:color="auto" w:fill="auto"/>
            <w:vAlign w:val="center"/>
          </w:tcPr>
          <w:p w14:paraId="42D47E08">
            <w:pPr>
              <w:pStyle w:val="17"/>
              <w:bidi w:val="0"/>
              <w:ind w:firstLine="0" w:firstLineChars="0"/>
              <w:jc w:val="center"/>
              <w:rPr>
                <w:rFonts w:hint="default" w:eastAsia="宋体"/>
                <w:color w:val="auto"/>
                <w:highlight w:val="none"/>
                <w:lang w:val="en-US" w:eastAsia="zh-CN"/>
              </w:rPr>
            </w:pPr>
            <w:r>
              <w:rPr>
                <w:rFonts w:hint="eastAsia"/>
                <w:color w:val="auto"/>
                <w:highlight w:val="none"/>
                <w:lang w:val="en-US" w:eastAsia="zh-CN"/>
              </w:rPr>
              <w:t>排渗工程</w:t>
            </w:r>
          </w:p>
        </w:tc>
        <w:tc>
          <w:tcPr>
            <w:tcW w:w="1840" w:type="pct"/>
            <w:gridSpan w:val="4"/>
            <w:shd w:val="clear" w:color="auto" w:fill="auto"/>
            <w:vAlign w:val="center"/>
          </w:tcPr>
          <w:p w14:paraId="6021B35D">
            <w:pPr>
              <w:pStyle w:val="17"/>
              <w:bidi w:val="0"/>
              <w:rPr>
                <w:rFonts w:hint="eastAsia" w:ascii="Times New Roman" w:hAnsi="Times New Roman" w:eastAsia="宋体" w:cs="Times New Roman"/>
                <w:color w:val="auto"/>
                <w:highlight w:val="none"/>
                <w:lang w:val="en-US" w:eastAsia="zh-CN"/>
              </w:rPr>
            </w:pPr>
            <w:r>
              <w:rPr>
                <w:rFonts w:hint="eastAsia"/>
                <w:color w:val="auto"/>
                <w:highlight w:val="none"/>
                <w:lang w:val="en-US" w:eastAsia="zh-CN"/>
              </w:rPr>
              <w:t>/</w:t>
            </w:r>
          </w:p>
        </w:tc>
        <w:tc>
          <w:tcPr>
            <w:tcW w:w="2014" w:type="pct"/>
            <w:gridSpan w:val="2"/>
            <w:shd w:val="clear" w:color="auto" w:fill="auto"/>
            <w:vAlign w:val="center"/>
          </w:tcPr>
          <w:p w14:paraId="31703663">
            <w:pPr>
              <w:pStyle w:val="17"/>
              <w:bidi w:val="0"/>
              <w:ind w:firstLine="0" w:firstLineChars="0"/>
              <w:jc w:val="center"/>
              <w:rPr>
                <w:rFonts w:hint="eastAsia"/>
                <w:color w:val="auto"/>
                <w:highlight w:val="none"/>
              </w:rPr>
            </w:pPr>
            <w:r>
              <w:rPr>
                <w:rFonts w:hint="eastAsia"/>
                <w:color w:val="auto"/>
                <w:highlight w:val="none"/>
              </w:rPr>
              <w:t>初期坝外坡脚设置有排水棱体，坝型为透水碾压土石坝。棱体轴线处原地面标高为3069m，顶标高3074m，高5m。</w:t>
            </w:r>
          </w:p>
          <w:p w14:paraId="6AD6C96D">
            <w:pPr>
              <w:pStyle w:val="17"/>
              <w:bidi w:val="0"/>
              <w:ind w:firstLine="0" w:firstLineChars="0"/>
              <w:jc w:val="center"/>
              <w:rPr>
                <w:rFonts w:hint="eastAsia"/>
                <w:color w:val="auto"/>
                <w:highlight w:val="none"/>
              </w:rPr>
            </w:pPr>
            <w:r>
              <w:rPr>
                <w:rFonts w:hint="eastAsia"/>
                <w:color w:val="auto"/>
                <w:highlight w:val="none"/>
              </w:rPr>
              <w:t>初期坝上游坝脚外3m处沿坝轴线方向敷设1根横向排渗管，并与1根纵向导水管连接。横向排渗管为开孔管，收集渗水后，通过穿过坝基的纵向导水管排出库外。横向排渗管长约100m，纵向导水管长约150m，坡度不小于0.01。排渗管和导水管规格均为φ225×20.5的HDPE管，PE100级。后期堆积坝设置水平排渗设施，每间隔5m高度布置一层φ63×4.7，PE100级HDPE水平排渗管，水平间距为15m，将坝体内渗水导至φ160×11.8，PE100级HDPE渗水收集管，最终排至下游渗水回收池，达到降低浸润线埋深的效果。</w:t>
            </w:r>
          </w:p>
        </w:tc>
        <w:tc>
          <w:tcPr>
            <w:tcW w:w="689" w:type="pct"/>
            <w:vAlign w:val="center"/>
          </w:tcPr>
          <w:p w14:paraId="493A2613">
            <w:pPr>
              <w:pStyle w:val="17"/>
              <w:bidi w:val="0"/>
              <w:jc w:val="center"/>
              <w:rPr>
                <w:rFonts w:hint="default"/>
                <w:color w:val="auto"/>
                <w:highlight w:val="none"/>
                <w:lang w:val="en-US" w:eastAsia="zh-CN"/>
              </w:rPr>
            </w:pPr>
            <w:r>
              <w:rPr>
                <w:rFonts w:hint="eastAsia"/>
                <w:color w:val="auto"/>
                <w:highlight w:val="none"/>
                <w:lang w:val="en-US" w:eastAsia="zh-CN"/>
              </w:rPr>
              <w:t>完善尾矿库排渗工程，降低坝体浸润线，提升坝体稳定安全</w:t>
            </w:r>
          </w:p>
        </w:tc>
      </w:tr>
      <w:tr w14:paraId="3142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restart"/>
            <w:vAlign w:val="center"/>
          </w:tcPr>
          <w:p w14:paraId="5CA68A3B">
            <w:pPr>
              <w:pStyle w:val="17"/>
              <w:bidi w:val="0"/>
              <w:jc w:val="center"/>
              <w:rPr>
                <w:rFonts w:hint="default" w:eastAsia="宋体"/>
                <w:color w:val="auto"/>
                <w:highlight w:val="none"/>
                <w:lang w:val="en-US" w:eastAsia="zh-CN"/>
              </w:rPr>
            </w:pPr>
            <w:r>
              <w:rPr>
                <w:rFonts w:hint="eastAsia"/>
                <w:color w:val="auto"/>
                <w:highlight w:val="none"/>
                <w:lang w:val="en-US" w:eastAsia="zh-CN"/>
              </w:rPr>
              <w:t>辅助工程</w:t>
            </w:r>
          </w:p>
        </w:tc>
        <w:tc>
          <w:tcPr>
            <w:tcW w:w="304" w:type="pct"/>
            <w:gridSpan w:val="2"/>
            <w:vAlign w:val="center"/>
          </w:tcPr>
          <w:p w14:paraId="2C6C3B48">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采矿工业场地</w:t>
            </w:r>
          </w:p>
        </w:tc>
        <w:tc>
          <w:tcPr>
            <w:tcW w:w="1840" w:type="pct"/>
            <w:gridSpan w:val="4"/>
            <w:shd w:val="clear" w:color="auto" w:fill="auto"/>
            <w:vAlign w:val="center"/>
          </w:tcPr>
          <w:p w14:paraId="285C9E09">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b w:val="0"/>
                <w:bCs/>
                <w:color w:val="auto"/>
                <w:highlight w:val="none"/>
                <w:lang w:eastAsia="zh-CN"/>
              </w:rPr>
              <w:t>采矿工业场地布置在矿体南侧沟内，该位置位于矿体下盘，无压矿风险，且接近矿体中心。采矿工业场地占地面积3.2hm</w:t>
            </w:r>
            <w:r>
              <w:rPr>
                <w:rFonts w:hint="default"/>
                <w:b w:val="0"/>
                <w:bCs/>
                <w:color w:val="auto"/>
                <w:highlight w:val="none"/>
                <w:vertAlign w:val="superscript"/>
                <w:lang w:eastAsia="zh-CN"/>
              </w:rPr>
              <w:t>2</w:t>
            </w:r>
            <w:r>
              <w:rPr>
                <w:rFonts w:hint="eastAsia"/>
                <w:b w:val="0"/>
                <w:bCs/>
                <w:color w:val="auto"/>
                <w:highlight w:val="none"/>
                <w:vertAlign w:val="baseline"/>
                <w:lang w:eastAsia="zh-CN"/>
              </w:rPr>
              <w:t>。</w:t>
            </w:r>
            <w:r>
              <w:rPr>
                <w:rFonts w:hint="default"/>
                <w:b w:val="0"/>
                <w:bCs/>
                <w:color w:val="auto"/>
                <w:highlight w:val="none"/>
                <w:lang w:eastAsia="zh-CN"/>
              </w:rPr>
              <w:t>主要设施有</w:t>
            </w:r>
            <w:r>
              <w:rPr>
                <w:color w:val="auto"/>
                <w:highlight w:val="none"/>
              </w:rPr>
              <w:t>BC1</w:t>
            </w:r>
            <w:r>
              <w:rPr>
                <w:rFonts w:hint="eastAsia"/>
                <w:color w:val="auto"/>
                <w:highlight w:val="none"/>
              </w:rPr>
              <w:t>胶带</w:t>
            </w:r>
            <w:r>
              <w:rPr>
                <w:color w:val="auto"/>
                <w:highlight w:val="none"/>
              </w:rPr>
              <w:t>斜井</w:t>
            </w:r>
            <w:r>
              <w:rPr>
                <w:rFonts w:hint="eastAsia"/>
                <w:color w:val="auto"/>
                <w:highlight w:val="none"/>
              </w:rPr>
              <w:t>、</w:t>
            </w:r>
            <w:r>
              <w:rPr>
                <w:color w:val="auto"/>
                <w:highlight w:val="none"/>
              </w:rPr>
              <w:t>辅助斜坡道、</w:t>
            </w:r>
            <w:r>
              <w:rPr>
                <w:rFonts w:hint="eastAsia"/>
                <w:color w:val="auto"/>
                <w:highlight w:val="none"/>
              </w:rPr>
              <w:t>进风</w:t>
            </w:r>
            <w:r>
              <w:rPr>
                <w:color w:val="auto"/>
                <w:highlight w:val="none"/>
              </w:rPr>
              <w:t>井、西回风井、东回风井、</w:t>
            </w:r>
            <w:r>
              <w:rPr>
                <w:rFonts w:hint="eastAsia"/>
                <w:color w:val="auto"/>
                <w:highlight w:val="none"/>
              </w:rPr>
              <w:t>2</w:t>
            </w:r>
            <w:r>
              <w:rPr>
                <w:color w:val="auto"/>
                <w:highlight w:val="none"/>
              </w:rPr>
              <w:t>950m</w:t>
            </w:r>
            <w:r>
              <w:rPr>
                <w:rFonts w:hint="eastAsia"/>
                <w:color w:val="auto"/>
                <w:highlight w:val="none"/>
              </w:rPr>
              <w:t>中段工程、</w:t>
            </w:r>
            <w:r>
              <w:rPr>
                <w:color w:val="auto"/>
                <w:highlight w:val="none"/>
              </w:rPr>
              <w:t>2900m</w:t>
            </w:r>
            <w:r>
              <w:rPr>
                <w:rFonts w:hint="eastAsia"/>
                <w:color w:val="auto"/>
                <w:highlight w:val="none"/>
              </w:rPr>
              <w:t>中段</w:t>
            </w:r>
            <w:r>
              <w:rPr>
                <w:color w:val="auto"/>
                <w:highlight w:val="none"/>
              </w:rPr>
              <w:t>工程、无轨维修硐室、</w:t>
            </w:r>
            <w:r>
              <w:rPr>
                <w:rFonts w:hint="eastAsia"/>
                <w:color w:val="auto"/>
                <w:szCs w:val="28"/>
                <w:highlight w:val="none"/>
              </w:rPr>
              <w:t>电机车维修硐室、</w:t>
            </w:r>
            <w:r>
              <w:rPr>
                <w:rFonts w:hint="eastAsia"/>
                <w:color w:val="auto"/>
                <w:highlight w:val="none"/>
              </w:rPr>
              <w:t>水泵</w:t>
            </w:r>
            <w:r>
              <w:rPr>
                <w:color w:val="auto"/>
                <w:highlight w:val="none"/>
              </w:rPr>
              <w:t>房及中央变电所、</w:t>
            </w:r>
            <w:r>
              <w:rPr>
                <w:rFonts w:hint="eastAsia"/>
                <w:color w:val="auto"/>
                <w:highlight w:val="none"/>
              </w:rPr>
              <w:t>井底</w:t>
            </w:r>
            <w:r>
              <w:rPr>
                <w:color w:val="auto"/>
                <w:highlight w:val="none"/>
              </w:rPr>
              <w:t>车场、采区变电所、</w:t>
            </w:r>
            <w:r>
              <w:rPr>
                <w:rFonts w:hint="eastAsia"/>
                <w:color w:val="auto"/>
                <w:highlight w:val="none"/>
              </w:rPr>
              <w:t>牵引变电所、</w:t>
            </w:r>
            <w:r>
              <w:rPr>
                <w:color w:val="auto"/>
                <w:highlight w:val="none"/>
              </w:rPr>
              <w:t>充填钻孔</w:t>
            </w:r>
            <w:r>
              <w:rPr>
                <w:rFonts w:hint="eastAsia"/>
                <w:color w:val="auto"/>
                <w:highlight w:val="none"/>
              </w:rPr>
              <w:t>以及</w:t>
            </w:r>
            <w:r>
              <w:rPr>
                <w:color w:val="auto"/>
                <w:highlight w:val="none"/>
              </w:rPr>
              <w:t>采切工程等</w:t>
            </w:r>
            <w:r>
              <w:rPr>
                <w:rFonts w:hint="eastAsia"/>
                <w:color w:val="auto"/>
                <w:highlight w:val="none"/>
                <w:lang w:eastAsia="zh-CN"/>
              </w:rPr>
              <w:t>，</w:t>
            </w:r>
            <w:r>
              <w:rPr>
                <w:color w:val="auto"/>
                <w:highlight w:val="none"/>
              </w:rPr>
              <w:t>BC2胶带斜井</w:t>
            </w:r>
            <w:r>
              <w:rPr>
                <w:rFonts w:hint="eastAsia"/>
                <w:color w:val="auto"/>
                <w:highlight w:val="none"/>
              </w:rPr>
              <w:t>、</w:t>
            </w:r>
            <w:r>
              <w:rPr>
                <w:color w:val="auto"/>
                <w:highlight w:val="none"/>
              </w:rPr>
              <w:t>BC3胶带斜井</w:t>
            </w:r>
            <w:r>
              <w:rPr>
                <w:rFonts w:hint="eastAsia"/>
                <w:color w:val="auto"/>
                <w:highlight w:val="none"/>
              </w:rPr>
              <w:t>、</w:t>
            </w:r>
            <w:r>
              <w:rPr>
                <w:color w:val="auto"/>
                <w:highlight w:val="none"/>
              </w:rPr>
              <w:t>辅助斜坡道</w:t>
            </w:r>
            <w:r>
              <w:rPr>
                <w:rFonts w:hint="eastAsia"/>
                <w:color w:val="auto"/>
                <w:highlight w:val="none"/>
              </w:rPr>
              <w:t>延伸</w:t>
            </w:r>
            <w:r>
              <w:rPr>
                <w:color w:val="auto"/>
                <w:highlight w:val="none"/>
              </w:rPr>
              <w:t>、盲进风井、</w:t>
            </w:r>
            <w:r>
              <w:rPr>
                <w:rFonts w:hint="eastAsia"/>
                <w:color w:val="auto"/>
                <w:highlight w:val="none"/>
              </w:rPr>
              <w:t>盲</w:t>
            </w:r>
            <w:r>
              <w:rPr>
                <w:color w:val="auto"/>
                <w:highlight w:val="none"/>
              </w:rPr>
              <w:t>回风井、</w:t>
            </w:r>
            <w:r>
              <w:rPr>
                <w:rFonts w:hint="eastAsia"/>
                <w:color w:val="auto"/>
                <w:highlight w:val="none"/>
              </w:rPr>
              <w:t>避灾</w:t>
            </w:r>
            <w:r>
              <w:rPr>
                <w:color w:val="auto"/>
                <w:highlight w:val="none"/>
              </w:rPr>
              <w:t>硐室、</w:t>
            </w:r>
            <w:r>
              <w:rPr>
                <w:rFonts w:hint="eastAsia"/>
                <w:color w:val="auto"/>
                <w:highlight w:val="none"/>
              </w:rPr>
              <w:t>水泵</w:t>
            </w:r>
            <w:r>
              <w:rPr>
                <w:color w:val="auto"/>
                <w:highlight w:val="none"/>
              </w:rPr>
              <w:t>房及中央变电所</w:t>
            </w:r>
            <w:r>
              <w:rPr>
                <w:rFonts w:hint="default"/>
                <w:b w:val="0"/>
                <w:bCs/>
                <w:color w:val="auto"/>
                <w:highlight w:val="none"/>
                <w:lang w:eastAsia="zh-CN"/>
              </w:rPr>
              <w:t>。</w:t>
            </w:r>
            <w:r>
              <w:rPr>
                <w:rFonts w:hint="eastAsia"/>
                <w:b w:val="0"/>
                <w:bCs/>
                <w:color w:val="auto"/>
                <w:highlight w:val="none"/>
                <w:lang w:val="en-US" w:eastAsia="zh-CN"/>
              </w:rPr>
              <w:t>加油站考虑与竖井井口的安全距离，布置在采矿工业场地与选矿厂之间的位置。</w:t>
            </w:r>
          </w:p>
        </w:tc>
        <w:tc>
          <w:tcPr>
            <w:tcW w:w="2014" w:type="pct"/>
            <w:gridSpan w:val="2"/>
            <w:vAlign w:val="center"/>
          </w:tcPr>
          <w:p w14:paraId="4BF56224">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eastAsia="zh-CN"/>
              </w:rPr>
              <w:t>采矿工业场地布置在矿体南侧沟内，该位置位于矿体下盘，无压矿风险，且接近矿体中心。主要设施有</w:t>
            </w:r>
            <w:r>
              <w:rPr>
                <w:color w:val="auto"/>
                <w:highlight w:val="none"/>
              </w:rPr>
              <w:t>BC1</w:t>
            </w:r>
            <w:r>
              <w:rPr>
                <w:rFonts w:hint="eastAsia"/>
                <w:color w:val="auto"/>
                <w:highlight w:val="none"/>
              </w:rPr>
              <w:t>胶带</w:t>
            </w:r>
            <w:r>
              <w:rPr>
                <w:color w:val="auto"/>
                <w:highlight w:val="none"/>
              </w:rPr>
              <w:t>斜井</w:t>
            </w:r>
            <w:r>
              <w:rPr>
                <w:rFonts w:hint="eastAsia"/>
                <w:color w:val="auto"/>
                <w:highlight w:val="none"/>
              </w:rPr>
              <w:t>、</w:t>
            </w:r>
            <w:r>
              <w:rPr>
                <w:color w:val="auto"/>
                <w:highlight w:val="none"/>
              </w:rPr>
              <w:t>辅助斜坡道、</w:t>
            </w:r>
            <w:r>
              <w:rPr>
                <w:rFonts w:hint="eastAsia"/>
                <w:color w:val="auto"/>
                <w:highlight w:val="none"/>
              </w:rPr>
              <w:t>进风</w:t>
            </w:r>
            <w:r>
              <w:rPr>
                <w:color w:val="auto"/>
                <w:highlight w:val="none"/>
              </w:rPr>
              <w:t>井、西回风井、东回风井、</w:t>
            </w:r>
            <w:r>
              <w:rPr>
                <w:rFonts w:hint="eastAsia"/>
                <w:color w:val="auto"/>
                <w:highlight w:val="none"/>
              </w:rPr>
              <w:t>2</w:t>
            </w:r>
            <w:r>
              <w:rPr>
                <w:color w:val="auto"/>
                <w:highlight w:val="none"/>
              </w:rPr>
              <w:t>950m</w:t>
            </w:r>
            <w:r>
              <w:rPr>
                <w:rFonts w:hint="eastAsia"/>
                <w:color w:val="auto"/>
                <w:highlight w:val="none"/>
              </w:rPr>
              <w:t>中段工程、</w:t>
            </w:r>
            <w:r>
              <w:rPr>
                <w:color w:val="auto"/>
                <w:highlight w:val="none"/>
              </w:rPr>
              <w:t>2900m</w:t>
            </w:r>
            <w:r>
              <w:rPr>
                <w:rFonts w:hint="eastAsia"/>
                <w:color w:val="auto"/>
                <w:highlight w:val="none"/>
              </w:rPr>
              <w:t>中段</w:t>
            </w:r>
            <w:r>
              <w:rPr>
                <w:color w:val="auto"/>
                <w:highlight w:val="none"/>
              </w:rPr>
              <w:t>工程、无轨维修硐室、</w:t>
            </w:r>
            <w:r>
              <w:rPr>
                <w:rFonts w:hint="eastAsia"/>
                <w:color w:val="auto"/>
                <w:highlight w:val="none"/>
              </w:rPr>
              <w:t>电机车维修硐室、水泵</w:t>
            </w:r>
            <w:r>
              <w:rPr>
                <w:color w:val="auto"/>
                <w:highlight w:val="none"/>
              </w:rPr>
              <w:t>房及中央变电所、</w:t>
            </w:r>
            <w:r>
              <w:rPr>
                <w:rFonts w:hint="eastAsia"/>
                <w:color w:val="auto"/>
                <w:highlight w:val="none"/>
              </w:rPr>
              <w:t>井底</w:t>
            </w:r>
            <w:r>
              <w:rPr>
                <w:color w:val="auto"/>
                <w:highlight w:val="none"/>
              </w:rPr>
              <w:t>车场、采区变电所、</w:t>
            </w:r>
            <w:r>
              <w:rPr>
                <w:rFonts w:hint="eastAsia"/>
                <w:color w:val="auto"/>
                <w:highlight w:val="none"/>
              </w:rPr>
              <w:t>牵引变电所、</w:t>
            </w:r>
            <w:r>
              <w:rPr>
                <w:color w:val="auto"/>
                <w:highlight w:val="none"/>
              </w:rPr>
              <w:t>充填钻孔</w:t>
            </w:r>
            <w:r>
              <w:rPr>
                <w:rFonts w:hint="eastAsia"/>
                <w:color w:val="auto"/>
                <w:highlight w:val="none"/>
              </w:rPr>
              <w:t>以及</w:t>
            </w:r>
            <w:r>
              <w:rPr>
                <w:color w:val="auto"/>
                <w:highlight w:val="none"/>
              </w:rPr>
              <w:t>采切工程等</w:t>
            </w:r>
            <w:r>
              <w:rPr>
                <w:rFonts w:hint="eastAsia"/>
                <w:color w:val="auto"/>
                <w:highlight w:val="none"/>
                <w:lang w:eastAsia="zh-CN"/>
              </w:rPr>
              <w:t>，</w:t>
            </w:r>
            <w:r>
              <w:rPr>
                <w:color w:val="auto"/>
                <w:highlight w:val="none"/>
              </w:rPr>
              <w:t>BC2胶带斜井</w:t>
            </w:r>
            <w:r>
              <w:rPr>
                <w:rFonts w:hint="eastAsia"/>
                <w:color w:val="auto"/>
                <w:highlight w:val="none"/>
              </w:rPr>
              <w:t>、</w:t>
            </w:r>
            <w:r>
              <w:rPr>
                <w:color w:val="auto"/>
                <w:highlight w:val="none"/>
              </w:rPr>
              <w:t>BC3胶带斜井</w:t>
            </w:r>
            <w:r>
              <w:rPr>
                <w:rFonts w:hint="eastAsia"/>
                <w:color w:val="auto"/>
                <w:highlight w:val="none"/>
              </w:rPr>
              <w:t>、</w:t>
            </w:r>
            <w:r>
              <w:rPr>
                <w:color w:val="auto"/>
                <w:highlight w:val="none"/>
              </w:rPr>
              <w:t>辅助斜坡道</w:t>
            </w:r>
            <w:r>
              <w:rPr>
                <w:rFonts w:hint="eastAsia"/>
                <w:color w:val="auto"/>
                <w:highlight w:val="none"/>
              </w:rPr>
              <w:t>延伸</w:t>
            </w:r>
            <w:r>
              <w:rPr>
                <w:color w:val="auto"/>
                <w:highlight w:val="none"/>
              </w:rPr>
              <w:t>、盲进风井、</w:t>
            </w:r>
            <w:r>
              <w:rPr>
                <w:rFonts w:hint="eastAsia"/>
                <w:color w:val="auto"/>
                <w:highlight w:val="none"/>
              </w:rPr>
              <w:t>盲</w:t>
            </w:r>
            <w:r>
              <w:rPr>
                <w:color w:val="auto"/>
                <w:highlight w:val="none"/>
              </w:rPr>
              <w:t>回风井、</w:t>
            </w:r>
            <w:r>
              <w:rPr>
                <w:rFonts w:hint="eastAsia"/>
                <w:color w:val="auto"/>
                <w:highlight w:val="none"/>
              </w:rPr>
              <w:t>避灾</w:t>
            </w:r>
            <w:r>
              <w:rPr>
                <w:color w:val="auto"/>
                <w:highlight w:val="none"/>
              </w:rPr>
              <w:t>硐室、</w:t>
            </w:r>
            <w:r>
              <w:rPr>
                <w:rFonts w:hint="eastAsia"/>
                <w:color w:val="auto"/>
                <w:highlight w:val="none"/>
              </w:rPr>
              <w:t>水泵</w:t>
            </w:r>
            <w:r>
              <w:rPr>
                <w:color w:val="auto"/>
                <w:highlight w:val="none"/>
              </w:rPr>
              <w:t>房及中央变电所</w:t>
            </w:r>
            <w:r>
              <w:rPr>
                <w:rFonts w:hint="default"/>
                <w:color w:val="auto"/>
                <w:highlight w:val="none"/>
                <w:lang w:eastAsia="zh-CN"/>
              </w:rPr>
              <w:t>。</w:t>
            </w:r>
          </w:p>
        </w:tc>
        <w:tc>
          <w:tcPr>
            <w:tcW w:w="689" w:type="pct"/>
            <w:vAlign w:val="center"/>
          </w:tcPr>
          <w:p w14:paraId="65B053F1">
            <w:pPr>
              <w:pStyle w:val="17"/>
              <w:bidi w:val="0"/>
              <w:jc w:val="center"/>
              <w:rPr>
                <w:rFonts w:hint="eastAsia"/>
                <w:color w:val="auto"/>
                <w:highlight w:val="none"/>
              </w:rPr>
            </w:pPr>
            <w:r>
              <w:rPr>
                <w:rFonts w:hint="eastAsia"/>
                <w:color w:val="auto"/>
                <w:highlight w:val="none"/>
                <w:lang w:val="en-US" w:eastAsia="zh-CN"/>
              </w:rPr>
              <w:t>未变动</w:t>
            </w:r>
          </w:p>
        </w:tc>
      </w:tr>
      <w:tr w14:paraId="6D77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6ACE903A">
            <w:pPr>
              <w:pStyle w:val="17"/>
              <w:bidi w:val="0"/>
              <w:jc w:val="center"/>
              <w:rPr>
                <w:rFonts w:hint="default" w:eastAsia="宋体"/>
                <w:color w:val="auto"/>
                <w:highlight w:val="none"/>
                <w:lang w:val="en-US" w:eastAsia="zh-CN"/>
              </w:rPr>
            </w:pPr>
          </w:p>
        </w:tc>
        <w:tc>
          <w:tcPr>
            <w:tcW w:w="304" w:type="pct"/>
            <w:gridSpan w:val="2"/>
            <w:vAlign w:val="center"/>
          </w:tcPr>
          <w:p w14:paraId="74AA1DCE">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办公生活区</w:t>
            </w:r>
          </w:p>
        </w:tc>
        <w:tc>
          <w:tcPr>
            <w:tcW w:w="1840" w:type="pct"/>
            <w:gridSpan w:val="4"/>
            <w:vAlign w:val="center"/>
          </w:tcPr>
          <w:p w14:paraId="68FB56A6">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b w:val="0"/>
                <w:bCs/>
                <w:color w:val="auto"/>
                <w:highlight w:val="none"/>
                <w:lang w:val="en-US" w:eastAsia="zh-CN"/>
              </w:rPr>
              <w:t>办公生活区主要由综合办公楼、职工食堂、职工浴室、管理人员宿舍、员工宿舍等组成。综合办公楼、职工食堂、职工浴室布置在东侧，管理人员宿舍和员工宿舍布置在西侧。</w:t>
            </w:r>
          </w:p>
        </w:tc>
        <w:tc>
          <w:tcPr>
            <w:tcW w:w="2014" w:type="pct"/>
            <w:gridSpan w:val="2"/>
            <w:vAlign w:val="center"/>
          </w:tcPr>
          <w:p w14:paraId="5E63AD44">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办公生活区主要由综合办公楼、职工食堂、员工宿舍</w:t>
            </w:r>
            <w:r>
              <w:rPr>
                <w:rFonts w:hint="eastAsia"/>
                <w:color w:val="auto"/>
                <w:highlight w:val="none"/>
                <w:lang w:val="en-US" w:eastAsia="zh-CN"/>
              </w:rPr>
              <w:t>、活动中心</w:t>
            </w:r>
            <w:r>
              <w:rPr>
                <w:rFonts w:hint="default"/>
                <w:color w:val="auto"/>
                <w:highlight w:val="none"/>
                <w:lang w:val="en-US" w:eastAsia="zh-CN"/>
              </w:rPr>
              <w:t>组成</w:t>
            </w:r>
            <w:r>
              <w:rPr>
                <w:rFonts w:hint="eastAsia"/>
                <w:color w:val="auto"/>
                <w:highlight w:val="none"/>
                <w:lang w:val="en-US" w:eastAsia="zh-CN"/>
              </w:rPr>
              <w:t>，位于选矿厂西侧</w:t>
            </w:r>
            <w:r>
              <w:rPr>
                <w:rFonts w:hint="default"/>
                <w:color w:val="auto"/>
                <w:highlight w:val="none"/>
                <w:lang w:val="en-US" w:eastAsia="zh-CN"/>
              </w:rPr>
              <w:t>。</w:t>
            </w:r>
          </w:p>
        </w:tc>
        <w:tc>
          <w:tcPr>
            <w:tcW w:w="689" w:type="pct"/>
            <w:vAlign w:val="center"/>
          </w:tcPr>
          <w:p w14:paraId="546390C0">
            <w:pPr>
              <w:pStyle w:val="17"/>
              <w:bidi w:val="0"/>
              <w:jc w:val="center"/>
              <w:rPr>
                <w:rFonts w:hint="default"/>
                <w:color w:val="auto"/>
                <w:highlight w:val="none"/>
                <w:lang w:val="en-US"/>
              </w:rPr>
            </w:pPr>
            <w:r>
              <w:rPr>
                <w:rFonts w:hint="eastAsia"/>
                <w:color w:val="auto"/>
                <w:highlight w:val="none"/>
                <w:lang w:val="en-US" w:eastAsia="zh-CN"/>
              </w:rPr>
              <w:t>优化生活区布局及功能，不属于重大变动</w:t>
            </w:r>
          </w:p>
        </w:tc>
      </w:tr>
      <w:tr w14:paraId="53E1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7A0F968C">
            <w:pPr>
              <w:pStyle w:val="17"/>
              <w:bidi w:val="0"/>
              <w:jc w:val="center"/>
              <w:rPr>
                <w:rFonts w:hint="default" w:eastAsia="宋体"/>
                <w:color w:val="auto"/>
                <w:highlight w:val="none"/>
                <w:lang w:val="en-US" w:eastAsia="zh-CN"/>
              </w:rPr>
            </w:pPr>
          </w:p>
        </w:tc>
        <w:tc>
          <w:tcPr>
            <w:tcW w:w="304" w:type="pct"/>
            <w:gridSpan w:val="2"/>
            <w:vAlign w:val="center"/>
          </w:tcPr>
          <w:p w14:paraId="76440371">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水源地</w:t>
            </w:r>
          </w:p>
        </w:tc>
        <w:tc>
          <w:tcPr>
            <w:tcW w:w="1840" w:type="pct"/>
            <w:gridSpan w:val="4"/>
            <w:vAlign w:val="center"/>
          </w:tcPr>
          <w:p w14:paraId="71D06A16">
            <w:pPr>
              <w:pStyle w:val="17"/>
              <w:bidi w:val="0"/>
              <w:rPr>
                <w:rFonts w:hint="default"/>
                <w:color w:val="auto"/>
                <w:highlight w:val="none"/>
              </w:rPr>
            </w:pPr>
            <w:r>
              <w:rPr>
                <w:rFonts w:hint="eastAsia"/>
                <w:color w:val="auto"/>
                <w:highlight w:val="none"/>
                <w:lang w:eastAsia="zh-CN"/>
              </w:rPr>
              <w:t>生活用水</w:t>
            </w:r>
            <w:r>
              <w:rPr>
                <w:rFonts w:hint="default"/>
                <w:color w:val="auto"/>
                <w:highlight w:val="none"/>
              </w:rPr>
              <w:t>水源地布置在采</w:t>
            </w:r>
            <w:r>
              <w:rPr>
                <w:rFonts w:hint="eastAsia"/>
                <w:color w:val="auto"/>
                <w:highlight w:val="none"/>
                <w:lang w:eastAsia="zh-CN"/>
              </w:rPr>
              <w:t>矿</w:t>
            </w:r>
            <w:r>
              <w:rPr>
                <w:rFonts w:hint="default"/>
                <w:color w:val="auto"/>
                <w:highlight w:val="none"/>
              </w:rPr>
              <w:t>工业场地西北方向阿克苏河右岸，与采</w:t>
            </w:r>
            <w:r>
              <w:rPr>
                <w:rFonts w:hint="default"/>
                <w:color w:val="auto"/>
                <w:highlight w:val="none"/>
                <w:lang w:val="en-US" w:eastAsia="zh-CN"/>
              </w:rPr>
              <w:t>矿</w:t>
            </w:r>
            <w:r>
              <w:rPr>
                <w:rFonts w:hint="default"/>
                <w:color w:val="auto"/>
                <w:highlight w:val="none"/>
              </w:rPr>
              <w:t>工业场地直线距离约1.7km，占地面积0.09hm</w:t>
            </w:r>
            <w:r>
              <w:rPr>
                <w:rFonts w:hint="default"/>
                <w:color w:val="auto"/>
                <w:highlight w:val="none"/>
                <w:vertAlign w:val="superscript"/>
              </w:rPr>
              <w:t>2</w:t>
            </w:r>
            <w:r>
              <w:rPr>
                <w:rFonts w:hint="default"/>
                <w:color w:val="auto"/>
                <w:highlight w:val="none"/>
              </w:rPr>
              <w:t>。</w:t>
            </w:r>
          </w:p>
          <w:p w14:paraId="274B4B40">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bCs/>
                <w:color w:val="auto"/>
                <w:sz w:val="21"/>
                <w:szCs w:val="21"/>
                <w:highlight w:val="none"/>
                <w:lang w:val="en-US" w:eastAsia="zh-CN" w:bidi="en-US"/>
              </w:rPr>
              <w:t>前期在矿井涌水不足以采矿生产用水时，在阿克苏河设置取水点，用于采矿生产用水的补充。</w:t>
            </w:r>
          </w:p>
        </w:tc>
        <w:tc>
          <w:tcPr>
            <w:tcW w:w="2014" w:type="pct"/>
            <w:gridSpan w:val="2"/>
            <w:vAlign w:val="center"/>
          </w:tcPr>
          <w:p w14:paraId="7C93D547">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生产用水：矿山井下涌水不足时，以阿克苏河地表水作为补充水源。取水水源为若羌河上游支流-阿克苏河地表水，水源来自南部山区冰川融水，取水口位于矿区东南方向，直线距离约8.5km。</w:t>
            </w:r>
          </w:p>
          <w:p w14:paraId="2C7A0A96">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生活用水：取水水源为若羌河上游支流-阿克苏河地表水，与生产用水共用水源地。</w:t>
            </w:r>
          </w:p>
        </w:tc>
        <w:tc>
          <w:tcPr>
            <w:tcW w:w="689" w:type="pct"/>
            <w:vAlign w:val="center"/>
          </w:tcPr>
          <w:p w14:paraId="35440B95">
            <w:pPr>
              <w:pStyle w:val="17"/>
              <w:bidi w:val="0"/>
              <w:jc w:val="center"/>
              <w:rPr>
                <w:rFonts w:hint="default" w:eastAsia="宋体"/>
                <w:color w:val="auto"/>
                <w:highlight w:val="none"/>
                <w:lang w:val="en-US" w:eastAsia="zh-CN"/>
              </w:rPr>
            </w:pPr>
            <w:r>
              <w:rPr>
                <w:rFonts w:hint="eastAsia"/>
                <w:color w:val="auto"/>
                <w:highlight w:val="none"/>
                <w:lang w:val="en-US" w:eastAsia="zh-CN"/>
              </w:rPr>
              <w:t>生活用水由地下水取水变为阿克苏河河道取水，不属于重大变动</w:t>
            </w:r>
          </w:p>
        </w:tc>
      </w:tr>
      <w:tr w14:paraId="15B0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330A091D">
            <w:pPr>
              <w:pStyle w:val="17"/>
              <w:bidi w:val="0"/>
              <w:jc w:val="center"/>
              <w:rPr>
                <w:rFonts w:hint="default" w:eastAsia="宋体"/>
                <w:color w:val="auto"/>
                <w:highlight w:val="none"/>
                <w:lang w:val="en-US" w:eastAsia="zh-CN"/>
              </w:rPr>
            </w:pPr>
          </w:p>
        </w:tc>
        <w:tc>
          <w:tcPr>
            <w:tcW w:w="304" w:type="pct"/>
            <w:gridSpan w:val="2"/>
            <w:vAlign w:val="center"/>
          </w:tcPr>
          <w:p w14:paraId="0A797481">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选矿厂辅助设施</w:t>
            </w:r>
          </w:p>
        </w:tc>
        <w:tc>
          <w:tcPr>
            <w:tcW w:w="1840" w:type="pct"/>
            <w:gridSpan w:val="4"/>
            <w:vAlign w:val="center"/>
          </w:tcPr>
          <w:p w14:paraId="7B7F9EDC">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highlight w:val="none"/>
              </w:rPr>
              <w:t>辅助生产设施主要有厂区回水泵房</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285m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w:t>
            </w:r>
            <w:r>
              <w:rPr>
                <w:rFonts w:hint="eastAsia" w:ascii="Times New Roman" w:hAnsi="Times New Roman" w:cs="Times New Roman"/>
                <w:color w:val="auto"/>
                <w:sz w:val="21"/>
                <w:highlight w:val="none"/>
                <w:lang w:eastAsia="zh-CN"/>
              </w:rPr>
              <w:t>实验</w:t>
            </w:r>
            <w:r>
              <w:rPr>
                <w:rFonts w:hint="eastAsia" w:ascii="Times New Roman" w:hAnsi="Times New Roman" w:cs="Times New Roman"/>
                <w:color w:val="auto"/>
                <w:sz w:val="21"/>
                <w:highlight w:val="none"/>
              </w:rPr>
              <w:t>化验室</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300m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、选矿综合仓库</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288m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、选矿维修车间</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432m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、选矿备品备件库</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450m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、高位水池</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1000m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）、初期雨水收集池（</w:t>
            </w:r>
            <w:r>
              <w:rPr>
                <w:rFonts w:hint="eastAsia" w:ascii="Times New Roman" w:hAnsi="Times New Roman" w:cs="Times New Roman"/>
                <w:color w:val="auto"/>
                <w:sz w:val="21"/>
                <w:highlight w:val="none"/>
                <w:lang w:val="en-US" w:eastAsia="zh-CN"/>
              </w:rPr>
              <w:t>200m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）、地磅（</w:t>
            </w:r>
            <w:r>
              <w:rPr>
                <w:rFonts w:hint="eastAsia" w:ascii="Times New Roman" w:hAnsi="Times New Roman" w:cs="Times New Roman"/>
                <w:color w:val="auto"/>
                <w:sz w:val="21"/>
                <w:highlight w:val="none"/>
                <w:lang w:val="en-US" w:eastAsia="zh-CN"/>
              </w:rPr>
              <w:t>90m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）、空压机站（</w:t>
            </w:r>
            <w:r>
              <w:rPr>
                <w:rFonts w:hint="eastAsia" w:ascii="Times New Roman" w:hAnsi="Times New Roman" w:cs="Times New Roman"/>
                <w:color w:val="auto"/>
                <w:sz w:val="21"/>
                <w:highlight w:val="none"/>
                <w:lang w:val="en-US" w:eastAsia="zh-CN"/>
              </w:rPr>
              <w:t>90m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）、药剂制备车间（</w:t>
            </w:r>
            <w:r>
              <w:rPr>
                <w:rFonts w:hint="eastAsia" w:ascii="Times New Roman" w:hAnsi="Times New Roman" w:cs="Times New Roman"/>
                <w:color w:val="auto"/>
                <w:sz w:val="21"/>
                <w:highlight w:val="none"/>
                <w:lang w:val="en-US" w:eastAsia="zh-CN"/>
              </w:rPr>
              <w:t>594m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rPr>
              <w:t>等。</w:t>
            </w:r>
          </w:p>
        </w:tc>
        <w:tc>
          <w:tcPr>
            <w:tcW w:w="2014" w:type="pct"/>
            <w:gridSpan w:val="2"/>
            <w:vAlign w:val="center"/>
          </w:tcPr>
          <w:p w14:paraId="3E24DA33">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辅助生产设施主要有厂区</w:t>
            </w:r>
            <w:r>
              <w:rPr>
                <w:rFonts w:hint="eastAsia"/>
                <w:color w:val="auto"/>
                <w:highlight w:val="none"/>
                <w:lang w:val="en-US" w:eastAsia="zh-CN"/>
              </w:rPr>
              <w:t>选矿化验室（2014.4m</w:t>
            </w:r>
            <w:r>
              <w:rPr>
                <w:rFonts w:hint="eastAsia"/>
                <w:color w:val="auto"/>
                <w:highlight w:val="none"/>
                <w:vertAlign w:val="superscript"/>
                <w:lang w:val="en-US" w:eastAsia="zh-CN"/>
              </w:rPr>
              <w:t>2</w:t>
            </w:r>
            <w:r>
              <w:rPr>
                <w:rFonts w:hint="eastAsia"/>
                <w:color w:val="auto"/>
                <w:highlight w:val="none"/>
                <w:lang w:val="en-US" w:eastAsia="zh-CN"/>
              </w:rPr>
              <w:t>）</w:t>
            </w:r>
            <w:r>
              <w:rPr>
                <w:rFonts w:hint="eastAsia"/>
                <w:color w:val="auto"/>
                <w:highlight w:val="none"/>
              </w:rPr>
              <w:t>、</w:t>
            </w:r>
            <w:r>
              <w:rPr>
                <w:rFonts w:hint="eastAsia"/>
                <w:color w:val="auto"/>
                <w:highlight w:val="none"/>
                <w:lang w:val="en-US" w:eastAsia="zh-CN"/>
              </w:rPr>
              <w:t>药剂仓库</w:t>
            </w:r>
            <w:r>
              <w:rPr>
                <w:rFonts w:hint="eastAsia"/>
                <w:color w:val="auto"/>
                <w:highlight w:val="none"/>
                <w:lang w:eastAsia="zh-CN"/>
              </w:rPr>
              <w:t>（</w:t>
            </w:r>
            <w:r>
              <w:rPr>
                <w:rFonts w:hint="eastAsia"/>
                <w:color w:val="auto"/>
                <w:highlight w:val="none"/>
                <w:lang w:val="en-US" w:eastAsia="zh-CN"/>
              </w:rPr>
              <w:t>298.9m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、选矿综合仓库</w:t>
            </w:r>
            <w:r>
              <w:rPr>
                <w:rFonts w:hint="eastAsia"/>
                <w:color w:val="auto"/>
                <w:highlight w:val="none"/>
                <w:lang w:eastAsia="zh-CN"/>
              </w:rPr>
              <w:t>（</w:t>
            </w:r>
            <w:r>
              <w:rPr>
                <w:rFonts w:hint="eastAsia"/>
                <w:color w:val="auto"/>
                <w:highlight w:val="none"/>
                <w:lang w:val="en-US" w:eastAsia="zh-CN"/>
              </w:rPr>
              <w:t>1408m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w:t>
            </w:r>
            <w:r>
              <w:rPr>
                <w:rFonts w:hint="eastAsia"/>
                <w:color w:val="auto"/>
                <w:highlight w:val="none"/>
                <w:lang w:val="en-US" w:eastAsia="zh-CN"/>
              </w:rPr>
              <w:t>综合</w:t>
            </w:r>
            <w:r>
              <w:rPr>
                <w:rFonts w:hint="eastAsia"/>
                <w:color w:val="auto"/>
                <w:highlight w:val="none"/>
              </w:rPr>
              <w:t>维修车间</w:t>
            </w:r>
            <w:r>
              <w:rPr>
                <w:rFonts w:hint="eastAsia"/>
                <w:color w:val="auto"/>
                <w:highlight w:val="none"/>
                <w:lang w:eastAsia="zh-CN"/>
              </w:rPr>
              <w:t>（</w:t>
            </w:r>
            <w:r>
              <w:rPr>
                <w:rFonts w:hint="eastAsia"/>
                <w:color w:val="auto"/>
                <w:highlight w:val="none"/>
                <w:lang w:val="en-US" w:eastAsia="zh-CN"/>
              </w:rPr>
              <w:t>1816m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w:t>
            </w:r>
            <w:r>
              <w:rPr>
                <w:rFonts w:hint="eastAsia"/>
                <w:color w:val="auto"/>
                <w:highlight w:val="none"/>
                <w:lang w:val="en-US" w:eastAsia="zh-CN"/>
              </w:rPr>
              <w:t>电锅炉房</w:t>
            </w:r>
            <w:r>
              <w:rPr>
                <w:rFonts w:hint="eastAsia"/>
                <w:color w:val="auto"/>
                <w:highlight w:val="none"/>
                <w:lang w:eastAsia="zh-CN"/>
              </w:rPr>
              <w:t>（</w:t>
            </w:r>
            <w:r>
              <w:rPr>
                <w:rFonts w:hint="eastAsia"/>
                <w:color w:val="auto"/>
                <w:highlight w:val="none"/>
                <w:lang w:val="en-US" w:eastAsia="zh-CN"/>
              </w:rPr>
              <w:t>2135.74m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等。</w:t>
            </w:r>
          </w:p>
        </w:tc>
        <w:tc>
          <w:tcPr>
            <w:tcW w:w="689" w:type="pct"/>
            <w:vAlign w:val="center"/>
          </w:tcPr>
          <w:p w14:paraId="33E60A73">
            <w:pPr>
              <w:pStyle w:val="17"/>
              <w:bidi w:val="0"/>
              <w:jc w:val="center"/>
              <w:rPr>
                <w:rFonts w:hint="default"/>
                <w:color w:val="auto"/>
                <w:highlight w:val="none"/>
                <w:lang w:val="en-US"/>
              </w:rPr>
            </w:pPr>
            <w:r>
              <w:rPr>
                <w:rFonts w:hint="eastAsia"/>
                <w:color w:val="auto"/>
                <w:highlight w:val="none"/>
                <w:lang w:val="en-US" w:eastAsia="zh-CN"/>
              </w:rPr>
              <w:t>优化调整配套辅助设施，不属于重大变动</w:t>
            </w:r>
          </w:p>
        </w:tc>
      </w:tr>
      <w:tr w14:paraId="4C91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restart"/>
            <w:vAlign w:val="center"/>
          </w:tcPr>
          <w:p w14:paraId="044C01DB">
            <w:pPr>
              <w:pStyle w:val="17"/>
              <w:bidi w:val="0"/>
              <w:jc w:val="center"/>
              <w:rPr>
                <w:rFonts w:hint="default" w:eastAsia="宋体"/>
                <w:color w:val="auto"/>
                <w:highlight w:val="none"/>
                <w:lang w:val="en-US" w:eastAsia="zh-CN"/>
              </w:rPr>
            </w:pPr>
            <w:r>
              <w:rPr>
                <w:rFonts w:hint="eastAsia"/>
                <w:color w:val="auto"/>
                <w:highlight w:val="none"/>
                <w:lang w:val="en-US" w:eastAsia="zh-CN"/>
              </w:rPr>
              <w:t>储运工程</w:t>
            </w:r>
          </w:p>
        </w:tc>
        <w:tc>
          <w:tcPr>
            <w:tcW w:w="304" w:type="pct"/>
            <w:gridSpan w:val="2"/>
            <w:vAlign w:val="center"/>
          </w:tcPr>
          <w:p w14:paraId="1418D4B1">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废石堆场</w:t>
            </w:r>
          </w:p>
        </w:tc>
        <w:tc>
          <w:tcPr>
            <w:tcW w:w="1840" w:type="pct"/>
            <w:gridSpan w:val="4"/>
            <w:vAlign w:val="center"/>
          </w:tcPr>
          <w:p w14:paraId="16C18AB9">
            <w:pPr>
              <w:pStyle w:val="17"/>
              <w:bidi w:val="0"/>
              <w:ind w:firstLine="0" w:firstLineChars="0"/>
              <w:jc w:val="center"/>
              <w:rPr>
                <w:rFonts w:hint="eastAsia" w:eastAsia="宋体"/>
                <w:color w:val="auto"/>
                <w:highlight w:val="none"/>
                <w:lang w:val="en-US" w:eastAsia="zh-CN"/>
              </w:rPr>
            </w:pPr>
            <w:r>
              <w:rPr>
                <w:rFonts w:hint="eastAsia"/>
                <w:b w:val="0"/>
                <w:bCs/>
                <w:color w:val="auto"/>
                <w:highlight w:val="none"/>
                <w:lang w:eastAsia="zh-CN"/>
              </w:rPr>
              <w:t>废石堆场</w:t>
            </w:r>
            <w:r>
              <w:rPr>
                <w:rFonts w:hint="eastAsia"/>
                <w:b w:val="0"/>
                <w:bCs/>
                <w:color w:val="auto"/>
                <w:highlight w:val="none"/>
              </w:rPr>
              <w:t>选择在采矿工业场地东南</w:t>
            </w:r>
            <w:r>
              <w:rPr>
                <w:rFonts w:hint="eastAsia"/>
                <w:b w:val="0"/>
                <w:bCs/>
                <w:color w:val="auto"/>
                <w:highlight w:val="none"/>
                <w:lang w:eastAsia="zh-CN"/>
              </w:rPr>
              <w:t>侧</w:t>
            </w:r>
            <w:r>
              <w:rPr>
                <w:rFonts w:hint="eastAsia"/>
                <w:b w:val="0"/>
                <w:bCs/>
                <w:color w:val="auto"/>
                <w:highlight w:val="none"/>
              </w:rPr>
              <w:t>，</w:t>
            </w:r>
            <w:r>
              <w:rPr>
                <w:rFonts w:hint="eastAsia"/>
                <w:b w:val="0"/>
                <w:bCs/>
                <w:color w:val="auto"/>
                <w:highlight w:val="none"/>
                <w:lang w:eastAsia="zh-CN"/>
              </w:rPr>
              <w:t>废石堆场</w:t>
            </w:r>
            <w:r>
              <w:rPr>
                <w:rFonts w:hint="eastAsia"/>
                <w:b w:val="0"/>
                <w:bCs/>
                <w:color w:val="auto"/>
                <w:highlight w:val="none"/>
              </w:rPr>
              <w:t>容量为470万m</w:t>
            </w:r>
            <w:r>
              <w:rPr>
                <w:rFonts w:hint="eastAsia"/>
                <w:b w:val="0"/>
                <w:bCs/>
                <w:color w:val="auto"/>
                <w:highlight w:val="none"/>
                <w:vertAlign w:val="superscript"/>
              </w:rPr>
              <w:t>3</w:t>
            </w:r>
            <w:r>
              <w:rPr>
                <w:rFonts w:hint="eastAsia"/>
                <w:b w:val="0"/>
                <w:bCs/>
                <w:color w:val="auto"/>
                <w:highlight w:val="none"/>
              </w:rPr>
              <w:t>，总堆置高度65m</w:t>
            </w:r>
            <w:r>
              <w:rPr>
                <w:rFonts w:hint="eastAsia"/>
                <w:b w:val="0"/>
                <w:bCs/>
                <w:color w:val="auto"/>
                <w:highlight w:val="none"/>
                <w:lang w:eastAsia="zh-CN"/>
              </w:rPr>
              <w:t>。</w:t>
            </w:r>
          </w:p>
        </w:tc>
        <w:tc>
          <w:tcPr>
            <w:tcW w:w="2014" w:type="pct"/>
            <w:gridSpan w:val="2"/>
            <w:vAlign w:val="center"/>
          </w:tcPr>
          <w:p w14:paraId="6E08F937">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废石堆场</w:t>
            </w:r>
            <w:r>
              <w:rPr>
                <w:rFonts w:hint="eastAsia"/>
                <w:color w:val="auto"/>
                <w:highlight w:val="none"/>
              </w:rPr>
              <w:t>选择在采矿工业场地东南</w:t>
            </w:r>
            <w:r>
              <w:rPr>
                <w:rFonts w:hint="eastAsia"/>
                <w:color w:val="auto"/>
                <w:highlight w:val="none"/>
                <w:lang w:eastAsia="zh-CN"/>
              </w:rPr>
              <w:t>侧</w:t>
            </w:r>
            <w:r>
              <w:rPr>
                <w:rFonts w:hint="eastAsia"/>
                <w:color w:val="auto"/>
                <w:highlight w:val="none"/>
              </w:rPr>
              <w:t>，</w:t>
            </w:r>
            <w:r>
              <w:rPr>
                <w:rFonts w:hint="eastAsia"/>
                <w:color w:val="auto"/>
                <w:highlight w:val="none"/>
                <w:lang w:val="en-US" w:eastAsia="zh-CN"/>
              </w:rPr>
              <w:t>设计容积为782万m</w:t>
            </w:r>
            <w:r>
              <w:rPr>
                <w:rFonts w:hint="eastAsia"/>
                <w:color w:val="auto"/>
                <w:highlight w:val="none"/>
                <w:vertAlign w:val="superscript"/>
                <w:lang w:val="en-US" w:eastAsia="zh-CN"/>
              </w:rPr>
              <w:t>3</w:t>
            </w:r>
            <w:r>
              <w:rPr>
                <w:rFonts w:hint="eastAsia"/>
                <w:color w:val="auto"/>
                <w:highlight w:val="none"/>
                <w:lang w:val="en-US" w:eastAsia="zh-CN"/>
              </w:rPr>
              <w:t>，总堆置高度86m，为三级排土场。</w:t>
            </w:r>
          </w:p>
        </w:tc>
        <w:tc>
          <w:tcPr>
            <w:tcW w:w="689" w:type="pct"/>
            <w:vAlign w:val="center"/>
          </w:tcPr>
          <w:p w14:paraId="0DCF4A33">
            <w:pPr>
              <w:pStyle w:val="17"/>
              <w:bidi w:val="0"/>
              <w:jc w:val="center"/>
              <w:rPr>
                <w:rFonts w:hint="default"/>
                <w:color w:val="auto"/>
                <w:highlight w:val="none"/>
                <w:lang w:val="en-US" w:eastAsia="zh-CN"/>
              </w:rPr>
            </w:pPr>
            <w:r>
              <w:rPr>
                <w:rFonts w:hint="eastAsia"/>
                <w:color w:val="auto"/>
                <w:highlight w:val="none"/>
                <w:lang w:val="en-US" w:eastAsia="zh-CN"/>
              </w:rPr>
              <w:t>废石堆场容积变大312万m</w:t>
            </w:r>
            <w:r>
              <w:rPr>
                <w:rFonts w:hint="eastAsia"/>
                <w:color w:val="auto"/>
                <w:highlight w:val="none"/>
                <w:vertAlign w:val="superscript"/>
                <w:lang w:val="en-US" w:eastAsia="zh-CN"/>
              </w:rPr>
              <w:t>3</w:t>
            </w:r>
            <w:r>
              <w:rPr>
                <w:rFonts w:hint="eastAsia"/>
                <w:color w:val="auto"/>
                <w:highlight w:val="none"/>
                <w:lang w:val="en-US" w:eastAsia="zh-CN"/>
              </w:rPr>
              <w:t>，总堆置高度提高21m，增幅66.4%，属于重大变动</w:t>
            </w:r>
          </w:p>
        </w:tc>
      </w:tr>
      <w:tr w14:paraId="43F6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22EC7973">
            <w:pPr>
              <w:pStyle w:val="17"/>
              <w:bidi w:val="0"/>
              <w:jc w:val="center"/>
              <w:rPr>
                <w:rFonts w:hint="default" w:eastAsia="宋体"/>
                <w:color w:val="auto"/>
                <w:highlight w:val="none"/>
                <w:lang w:val="en-US" w:eastAsia="zh-CN"/>
              </w:rPr>
            </w:pPr>
          </w:p>
        </w:tc>
        <w:tc>
          <w:tcPr>
            <w:tcW w:w="304" w:type="pct"/>
            <w:gridSpan w:val="2"/>
            <w:vAlign w:val="center"/>
          </w:tcPr>
          <w:p w14:paraId="0BB6CE31">
            <w:pPr>
              <w:pStyle w:val="17"/>
              <w:bidi w:val="0"/>
              <w:jc w:val="center"/>
              <w:rPr>
                <w:color w:val="auto"/>
                <w:highlight w:val="none"/>
              </w:rPr>
            </w:pPr>
            <w:r>
              <w:rPr>
                <w:color w:val="auto"/>
                <w:highlight w:val="none"/>
              </w:rPr>
              <w:t>矿山</w:t>
            </w:r>
          </w:p>
          <w:p w14:paraId="1CF9384D">
            <w:pPr>
              <w:pStyle w:val="17"/>
              <w:bidi w:val="0"/>
              <w:ind w:firstLine="0" w:firstLineChars="0"/>
              <w:jc w:val="center"/>
              <w:rPr>
                <w:rFonts w:hint="eastAsia"/>
                <w:color w:val="auto"/>
                <w:highlight w:val="none"/>
                <w:lang w:val="en-US" w:eastAsia="zh-CN"/>
              </w:rPr>
            </w:pPr>
            <w:r>
              <w:rPr>
                <w:color w:val="auto"/>
                <w:highlight w:val="none"/>
              </w:rPr>
              <w:t>道路</w:t>
            </w:r>
          </w:p>
        </w:tc>
        <w:tc>
          <w:tcPr>
            <w:tcW w:w="1840" w:type="pct"/>
            <w:gridSpan w:val="4"/>
            <w:vAlign w:val="center"/>
          </w:tcPr>
          <w:p w14:paraId="0E25B86B">
            <w:pPr>
              <w:pStyle w:val="17"/>
              <w:bidi w:val="0"/>
              <w:ind w:firstLine="0" w:firstLineChars="0"/>
              <w:jc w:val="center"/>
              <w:rPr>
                <w:rFonts w:hint="eastAsia"/>
                <w:color w:val="auto"/>
                <w:highlight w:val="none"/>
                <w:lang w:val="en-US" w:eastAsia="zh-CN"/>
              </w:rPr>
            </w:pPr>
            <w:r>
              <w:rPr>
                <w:rFonts w:hint="eastAsia"/>
                <w:color w:val="auto"/>
                <w:highlight w:val="none"/>
                <w:lang w:val="en-US" w:eastAsia="zh-CN"/>
              </w:rPr>
              <w:t>矿区运输及联络道路主要为采矿工业场地、办公生活区、水源地、炸药库、废石堆场之间的道路。矿区运输及联络道路主要有6条，分别采用厂外道路四级或辅助道路标准。采矿工业场地主要道路路面宽6-7m，其他道路路面宽4m，道路内侧转弯半径为6-9m，道路结构为水泥混凝土面层22cm，级配碎石18cm，天然砂砾垫层20cm。办公生活区道路路面宽度4-7m，结构为水泥混凝土面层20cm，级配碎石15cm，天然砂砾垫层15cm。道路总长度为11.7km。</w:t>
            </w:r>
          </w:p>
        </w:tc>
        <w:tc>
          <w:tcPr>
            <w:tcW w:w="2014" w:type="pct"/>
            <w:gridSpan w:val="2"/>
            <w:vAlign w:val="center"/>
          </w:tcPr>
          <w:p w14:paraId="384FB4EE">
            <w:pPr>
              <w:pStyle w:val="17"/>
              <w:bidi w:val="0"/>
              <w:rPr>
                <w:rFonts w:hint="eastAsia"/>
                <w:color w:val="auto"/>
                <w:highlight w:val="none"/>
                <w:lang w:val="en-US" w:eastAsia="zh-CN"/>
              </w:rPr>
            </w:pPr>
            <w:r>
              <w:rPr>
                <w:rFonts w:hint="eastAsia"/>
                <w:color w:val="auto"/>
                <w:highlight w:val="none"/>
                <w:lang w:val="en-US" w:eastAsia="zh-CN"/>
              </w:rPr>
              <w:t>矿区运输及联络道路主要为采矿工业场地、选矿工业场地、生活区、尾矿库、炸药库、排土场之间的道路。矿区运输及联络道路主要有9条，采矿工业场地和选矿工业场地联络道路运输车辆考虑以汽-20级载重（自卸）汽车为主，折合成载重汽车年平均日双向交通量在200辆以下，采用四级厂外道路；排土场联络道路运输车辆的小时单向交通量在25辆以下，采用三级露天矿山道路；其他联络道路考虑以汽-20级载重（自卸）汽车为主，折合成载重汽车年平均日双向交通量在20辆以下，采用辅助道路。道路总长度约11.7km。</w:t>
            </w:r>
          </w:p>
        </w:tc>
        <w:tc>
          <w:tcPr>
            <w:tcW w:w="689" w:type="pct"/>
            <w:vAlign w:val="center"/>
          </w:tcPr>
          <w:p w14:paraId="33CC993A">
            <w:pPr>
              <w:pStyle w:val="17"/>
              <w:bidi w:val="0"/>
              <w:jc w:val="center"/>
              <w:rPr>
                <w:rFonts w:hint="default" w:eastAsia="宋体"/>
                <w:color w:val="auto"/>
                <w:highlight w:val="none"/>
                <w:lang w:val="en-US" w:eastAsia="zh-CN"/>
              </w:rPr>
            </w:pPr>
            <w:r>
              <w:rPr>
                <w:rFonts w:hint="eastAsia"/>
                <w:color w:val="auto"/>
                <w:highlight w:val="none"/>
                <w:lang w:val="en-US" w:eastAsia="zh-CN"/>
              </w:rPr>
              <w:t>总长不变，不属于重大变动</w:t>
            </w:r>
          </w:p>
        </w:tc>
      </w:tr>
      <w:tr w14:paraId="3FE1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1165D1FA">
            <w:pPr>
              <w:pStyle w:val="17"/>
              <w:bidi w:val="0"/>
              <w:jc w:val="center"/>
              <w:rPr>
                <w:rFonts w:hint="default" w:eastAsia="宋体"/>
                <w:color w:val="auto"/>
                <w:highlight w:val="none"/>
                <w:lang w:val="en-US" w:eastAsia="zh-CN"/>
              </w:rPr>
            </w:pPr>
          </w:p>
        </w:tc>
        <w:tc>
          <w:tcPr>
            <w:tcW w:w="304" w:type="pct"/>
            <w:gridSpan w:val="2"/>
            <w:vAlign w:val="center"/>
          </w:tcPr>
          <w:p w14:paraId="48870851">
            <w:pPr>
              <w:pStyle w:val="17"/>
              <w:bidi w:val="0"/>
              <w:ind w:firstLine="0" w:firstLineChars="0"/>
              <w:jc w:val="center"/>
              <w:rPr>
                <w:rFonts w:hint="default" w:eastAsia="宋体"/>
                <w:color w:val="auto"/>
                <w:highlight w:val="none"/>
                <w:lang w:val="en-US" w:eastAsia="zh-CN"/>
              </w:rPr>
            </w:pPr>
            <w:r>
              <w:rPr>
                <w:rFonts w:hint="eastAsia"/>
                <w:color w:val="auto"/>
                <w:highlight w:val="none"/>
                <w:lang w:val="en-US" w:eastAsia="zh-CN"/>
              </w:rPr>
              <w:t>选厂道路</w:t>
            </w:r>
          </w:p>
        </w:tc>
        <w:tc>
          <w:tcPr>
            <w:tcW w:w="1840" w:type="pct"/>
            <w:gridSpan w:val="4"/>
            <w:vAlign w:val="center"/>
          </w:tcPr>
          <w:p w14:paraId="3C47F6CE">
            <w:pPr>
              <w:pStyle w:val="17"/>
              <w:bidi w:val="0"/>
              <w:ind w:firstLine="0" w:firstLineChars="0"/>
              <w:jc w:val="center"/>
              <w:rPr>
                <w:rFonts w:hint="eastAsia"/>
                <w:color w:val="auto"/>
                <w:highlight w:val="none"/>
                <w:lang w:val="en-US" w:eastAsia="zh-CN"/>
              </w:rPr>
            </w:pPr>
            <w:r>
              <w:rPr>
                <w:rFonts w:hint="eastAsia"/>
                <w:color w:val="auto"/>
                <w:highlight w:val="none"/>
              </w:rPr>
              <w:t>选矿厂的</w:t>
            </w:r>
            <w:r>
              <w:rPr>
                <w:rFonts w:hint="eastAsia"/>
                <w:color w:val="auto"/>
                <w:highlight w:val="none"/>
                <w:lang w:eastAsia="zh-CN"/>
              </w:rPr>
              <w:t>道路长度</w:t>
            </w:r>
            <w:r>
              <w:rPr>
                <w:rFonts w:hint="eastAsia"/>
                <w:color w:val="auto"/>
                <w:highlight w:val="none"/>
                <w:lang w:val="en-US" w:eastAsia="zh-CN"/>
              </w:rPr>
              <w:t>0.8km，</w:t>
            </w:r>
            <w:r>
              <w:rPr>
                <w:rFonts w:hint="eastAsia"/>
                <w:color w:val="auto"/>
                <w:highlight w:val="none"/>
              </w:rPr>
              <w:t>主要道路路面宽6-7m，其他道路路面宽4m，道路内侧转弯半径为6-9m，道路结构为水泥混凝土面层22cm，级配碎石18cm，天然砂砾垫层20cm。</w:t>
            </w:r>
          </w:p>
        </w:tc>
        <w:tc>
          <w:tcPr>
            <w:tcW w:w="2014" w:type="pct"/>
            <w:gridSpan w:val="2"/>
            <w:vAlign w:val="center"/>
          </w:tcPr>
          <w:p w14:paraId="7531942D">
            <w:pPr>
              <w:pStyle w:val="17"/>
              <w:bidi w:val="0"/>
              <w:rPr>
                <w:rFonts w:hint="eastAsia"/>
                <w:color w:val="auto"/>
                <w:highlight w:val="none"/>
                <w:lang w:val="en-US" w:eastAsia="zh-CN"/>
              </w:rPr>
            </w:pPr>
            <w:r>
              <w:rPr>
                <w:rFonts w:hint="eastAsia"/>
                <w:color w:val="auto"/>
                <w:highlight w:val="none"/>
              </w:rPr>
              <w:t>选矿厂的</w:t>
            </w:r>
            <w:r>
              <w:rPr>
                <w:rFonts w:hint="eastAsia"/>
                <w:color w:val="auto"/>
                <w:highlight w:val="none"/>
                <w:lang w:eastAsia="zh-CN"/>
              </w:rPr>
              <w:t>道路长度</w:t>
            </w:r>
            <w:r>
              <w:rPr>
                <w:rFonts w:hint="eastAsia"/>
                <w:color w:val="auto"/>
                <w:highlight w:val="none"/>
                <w:lang w:val="en-US" w:eastAsia="zh-CN"/>
              </w:rPr>
              <w:t>0.8km，路面宽4m～7m，道路内侧转弯半径为9m～12m，道路结构为水泥混凝土路面或泥结碎石路面。</w:t>
            </w:r>
          </w:p>
        </w:tc>
        <w:tc>
          <w:tcPr>
            <w:tcW w:w="689" w:type="pct"/>
            <w:vAlign w:val="center"/>
          </w:tcPr>
          <w:p w14:paraId="290EFB37">
            <w:pPr>
              <w:pStyle w:val="17"/>
              <w:bidi w:val="0"/>
              <w:jc w:val="center"/>
              <w:rPr>
                <w:rFonts w:hint="eastAsia"/>
                <w:color w:val="auto"/>
                <w:highlight w:val="none"/>
              </w:rPr>
            </w:pPr>
            <w:r>
              <w:rPr>
                <w:rFonts w:hint="eastAsia"/>
                <w:color w:val="auto"/>
                <w:highlight w:val="none"/>
                <w:lang w:val="en-US" w:eastAsia="zh-CN"/>
              </w:rPr>
              <w:t>未变动</w:t>
            </w:r>
          </w:p>
        </w:tc>
      </w:tr>
      <w:tr w14:paraId="565A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 w:type="pct"/>
            <w:vMerge w:val="continue"/>
            <w:vAlign w:val="center"/>
          </w:tcPr>
          <w:p w14:paraId="7C93105A">
            <w:pPr>
              <w:pStyle w:val="17"/>
              <w:bidi w:val="0"/>
              <w:jc w:val="center"/>
              <w:rPr>
                <w:rFonts w:hint="default" w:eastAsia="宋体"/>
                <w:color w:val="auto"/>
                <w:highlight w:val="none"/>
                <w:lang w:val="en-US" w:eastAsia="zh-CN"/>
              </w:rPr>
            </w:pPr>
          </w:p>
        </w:tc>
        <w:tc>
          <w:tcPr>
            <w:tcW w:w="304" w:type="pct"/>
            <w:gridSpan w:val="2"/>
            <w:vAlign w:val="center"/>
          </w:tcPr>
          <w:p w14:paraId="6F1FEBA6">
            <w:pPr>
              <w:pStyle w:val="17"/>
              <w:bidi w:val="0"/>
              <w:ind w:firstLine="0" w:firstLineChars="0"/>
              <w:jc w:val="center"/>
              <w:rPr>
                <w:rFonts w:hint="eastAsia"/>
                <w:color w:val="auto"/>
                <w:highlight w:val="none"/>
                <w:lang w:val="en-US" w:eastAsia="zh-CN"/>
              </w:rPr>
            </w:pPr>
            <w:r>
              <w:rPr>
                <w:rFonts w:hint="eastAsia"/>
                <w:color w:val="auto"/>
                <w:highlight w:val="none"/>
              </w:rPr>
              <w:t>输水</w:t>
            </w:r>
            <w:r>
              <w:rPr>
                <w:rFonts w:hint="eastAsia"/>
                <w:color w:val="auto"/>
                <w:highlight w:val="none"/>
                <w:lang w:eastAsia="zh-CN"/>
              </w:rPr>
              <w:t>、输砂</w:t>
            </w:r>
            <w:r>
              <w:rPr>
                <w:rFonts w:hint="eastAsia"/>
                <w:color w:val="auto"/>
                <w:highlight w:val="none"/>
              </w:rPr>
              <w:t>管道</w:t>
            </w:r>
          </w:p>
        </w:tc>
        <w:tc>
          <w:tcPr>
            <w:tcW w:w="1840" w:type="pct"/>
            <w:gridSpan w:val="4"/>
            <w:shd w:val="clear" w:color="auto" w:fill="auto"/>
            <w:vAlign w:val="center"/>
          </w:tcPr>
          <w:p w14:paraId="4B28E5AF">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选矿厂输水管道采用两根Ø219×8无缝钢管，冻土下埋地敷设，防腐做石油沥青漆三布四油</w:t>
            </w:r>
            <w:r>
              <w:rPr>
                <w:rFonts w:hint="eastAsia"/>
                <w:color w:val="auto"/>
                <w:highlight w:val="none"/>
                <w:lang w:eastAsia="zh-CN"/>
              </w:rPr>
              <w:t>，涌水回用水管道均采用焊接钢管，埋地做石油沥青漆二布三油，室内除锈后刷底漆两道，面漆两道，管线总</w:t>
            </w:r>
            <w:r>
              <w:rPr>
                <w:rFonts w:hint="eastAsia"/>
                <w:color w:val="auto"/>
                <w:highlight w:val="none"/>
              </w:rPr>
              <w:t>长度约</w:t>
            </w:r>
            <w:r>
              <w:rPr>
                <w:rFonts w:hint="eastAsia"/>
                <w:color w:val="auto"/>
                <w:highlight w:val="none"/>
                <w:lang w:val="en-US" w:eastAsia="zh-CN"/>
              </w:rPr>
              <w:t>5</w:t>
            </w:r>
            <w:r>
              <w:rPr>
                <w:rFonts w:hint="eastAsia"/>
                <w:color w:val="auto"/>
                <w:highlight w:val="none"/>
              </w:rPr>
              <w:t>km。</w:t>
            </w:r>
            <w:r>
              <w:rPr>
                <w:rFonts w:hint="eastAsia"/>
                <w:color w:val="auto"/>
                <w:highlight w:val="none"/>
                <w:lang w:eastAsia="zh-CN"/>
              </w:rPr>
              <w:t>充填站采取尾矿砂进行井下充填，尾矿砂输砂</w:t>
            </w:r>
            <w:r>
              <w:rPr>
                <w:rFonts w:hint="eastAsia"/>
                <w:color w:val="auto"/>
                <w:highlight w:val="none"/>
              </w:rPr>
              <w:t>管道沿地敷设局部地区架空，并采用保温电伴热防止管道在冬季冻结</w:t>
            </w:r>
            <w:r>
              <w:rPr>
                <w:rFonts w:hint="eastAsia"/>
                <w:color w:val="auto"/>
                <w:highlight w:val="none"/>
                <w:lang w:eastAsia="zh-CN"/>
              </w:rPr>
              <w:t>，管线总</w:t>
            </w:r>
            <w:r>
              <w:rPr>
                <w:rFonts w:hint="eastAsia"/>
                <w:color w:val="auto"/>
                <w:highlight w:val="none"/>
              </w:rPr>
              <w:t>长度约</w:t>
            </w:r>
            <w:r>
              <w:rPr>
                <w:rFonts w:hint="eastAsia"/>
                <w:color w:val="auto"/>
                <w:highlight w:val="none"/>
                <w:lang w:val="en-US" w:eastAsia="zh-CN"/>
              </w:rPr>
              <w:t>0.25</w:t>
            </w:r>
            <w:r>
              <w:rPr>
                <w:rFonts w:hint="eastAsia"/>
                <w:color w:val="auto"/>
                <w:highlight w:val="none"/>
              </w:rPr>
              <w:t>km。</w:t>
            </w:r>
          </w:p>
        </w:tc>
        <w:tc>
          <w:tcPr>
            <w:tcW w:w="2014" w:type="pct"/>
            <w:gridSpan w:val="2"/>
            <w:vAlign w:val="center"/>
          </w:tcPr>
          <w:p w14:paraId="14A15240">
            <w:pPr>
              <w:pStyle w:val="17"/>
              <w:bidi w:val="0"/>
              <w:rPr>
                <w:color w:val="auto"/>
                <w:highlight w:val="none"/>
              </w:rPr>
            </w:pPr>
            <w:r>
              <w:rPr>
                <w:rFonts w:hint="eastAsia"/>
                <w:color w:val="auto"/>
                <w:highlight w:val="none"/>
                <w:lang w:val="en-US" w:eastAsia="zh-CN"/>
              </w:rPr>
              <w:t>选矿厂输水管道采用DN300的焊接钢管，沿道路支状埋地铺设，水压0.3MPa；涌水回用水管道采用DN300的焊接钢管，沿道路埋地铺设，水压0.5MPa。充填站采用全尾砂高浓度胶结充填，充填骨料采用选矿厂产生的全尾砂，胶凝材料采用普通硅酸盐水泥。</w:t>
            </w:r>
            <w:r>
              <w:rPr>
                <w:color w:val="auto"/>
                <w:highlight w:val="none"/>
                <w:lang w:val="en-US" w:eastAsia="zh-CN"/>
              </w:rPr>
              <w:t>选矿厂至充填站的尾矿输送管线采用2条，1条为输送主管，1条</w:t>
            </w:r>
            <w:r>
              <w:rPr>
                <w:rFonts w:hint="eastAsia"/>
                <w:color w:val="auto"/>
                <w:highlight w:val="none"/>
                <w:lang w:val="en-US" w:eastAsia="zh-CN"/>
              </w:rPr>
              <w:t>为备用输送管。</w:t>
            </w:r>
          </w:p>
          <w:p w14:paraId="66EA20CF">
            <w:pPr>
              <w:pStyle w:val="17"/>
              <w:bidi w:val="0"/>
              <w:rPr>
                <w:rFonts w:hint="eastAsia"/>
                <w:color w:val="auto"/>
                <w:highlight w:val="none"/>
                <w:lang w:val="en-US" w:eastAsia="zh-CN"/>
              </w:rPr>
            </w:pPr>
            <w:r>
              <w:rPr>
                <w:rFonts w:hint="eastAsia"/>
                <w:color w:val="auto"/>
                <w:highlight w:val="none"/>
                <w:lang w:val="en-US" w:eastAsia="zh-CN"/>
              </w:rPr>
              <w:t>输送主管采用1条φ250×（5+10）共挤耐磨层增强塑料复合管道，长600m，管线沿地形线一路向上敷设至充填站，地表敷设，外设10cm厚聚氨酯泡沫保温层，每间隔3m设置混凝土管枕。备用输送管采用1条φ219×6，16Mn钢管，长约600m，外设聚氨酯泡沫保温，每间隔3m设置混凝土管枕。</w:t>
            </w:r>
          </w:p>
        </w:tc>
        <w:tc>
          <w:tcPr>
            <w:tcW w:w="689" w:type="pct"/>
            <w:vAlign w:val="center"/>
          </w:tcPr>
          <w:p w14:paraId="67CDA975">
            <w:pPr>
              <w:pStyle w:val="17"/>
              <w:bidi w:val="0"/>
              <w:jc w:val="center"/>
              <w:rPr>
                <w:rFonts w:hint="default" w:eastAsia="宋体"/>
                <w:color w:val="auto"/>
                <w:highlight w:val="none"/>
                <w:lang w:val="en-US" w:eastAsia="zh-CN"/>
              </w:rPr>
            </w:pPr>
            <w:r>
              <w:rPr>
                <w:rFonts w:hint="eastAsia"/>
                <w:color w:val="auto"/>
                <w:highlight w:val="none"/>
                <w:lang w:val="en-US" w:eastAsia="zh-CN"/>
              </w:rPr>
              <w:t>选矿厂至充填站输送管道增加0.35km，并新增一条备用管道，不属于重大变动</w:t>
            </w:r>
          </w:p>
        </w:tc>
      </w:tr>
      <w:tr w14:paraId="149F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2DABC2AA">
            <w:pPr>
              <w:pStyle w:val="17"/>
              <w:bidi w:val="0"/>
              <w:jc w:val="center"/>
              <w:rPr>
                <w:rFonts w:hint="default" w:eastAsia="宋体"/>
                <w:color w:val="auto"/>
                <w:highlight w:val="none"/>
                <w:lang w:val="en-US" w:eastAsia="zh-CN"/>
              </w:rPr>
            </w:pPr>
          </w:p>
        </w:tc>
        <w:tc>
          <w:tcPr>
            <w:tcW w:w="304" w:type="pct"/>
            <w:gridSpan w:val="2"/>
            <w:vAlign w:val="center"/>
          </w:tcPr>
          <w:p w14:paraId="720D95ED">
            <w:pPr>
              <w:pStyle w:val="17"/>
              <w:bidi w:val="0"/>
              <w:ind w:firstLine="0" w:firstLineChars="0"/>
              <w:jc w:val="center"/>
              <w:rPr>
                <w:rFonts w:hint="eastAsia"/>
                <w:color w:val="auto"/>
                <w:highlight w:val="none"/>
              </w:rPr>
            </w:pPr>
            <w:r>
              <w:rPr>
                <w:rFonts w:hint="eastAsia"/>
                <w:color w:val="auto"/>
                <w:highlight w:val="none"/>
                <w:lang w:val="en-US" w:eastAsia="zh-CN"/>
              </w:rPr>
              <w:t>爆破器材库</w:t>
            </w:r>
          </w:p>
        </w:tc>
        <w:tc>
          <w:tcPr>
            <w:tcW w:w="1840" w:type="pct"/>
            <w:gridSpan w:val="4"/>
            <w:shd w:val="clear" w:color="auto" w:fill="auto"/>
            <w:vAlign w:val="center"/>
          </w:tcPr>
          <w:p w14:paraId="25503986">
            <w:pPr>
              <w:pStyle w:val="17"/>
              <w:bidi w:val="0"/>
              <w:ind w:firstLine="0" w:firstLineChars="0"/>
              <w:jc w:val="center"/>
              <w:rPr>
                <w:rFonts w:hint="eastAsia"/>
                <w:color w:val="auto"/>
                <w:highlight w:val="none"/>
              </w:rPr>
            </w:pPr>
            <w:r>
              <w:rPr>
                <w:color w:val="auto"/>
                <w:highlight w:val="none"/>
              </w:rPr>
              <w:t>储存炸药、雷管等爆破材料，最大储存量为</w:t>
            </w:r>
            <w:r>
              <w:rPr>
                <w:rFonts w:hint="eastAsia"/>
                <w:color w:val="auto"/>
                <w:highlight w:val="none"/>
                <w:lang w:val="en-US" w:eastAsia="zh-CN"/>
              </w:rPr>
              <w:t>50</w:t>
            </w:r>
            <w:r>
              <w:rPr>
                <w:color w:val="auto"/>
                <w:highlight w:val="none"/>
              </w:rPr>
              <w:t>t</w:t>
            </w:r>
          </w:p>
        </w:tc>
        <w:tc>
          <w:tcPr>
            <w:tcW w:w="2014" w:type="pct"/>
            <w:gridSpan w:val="2"/>
            <w:vAlign w:val="center"/>
          </w:tcPr>
          <w:p w14:paraId="2093D8E8">
            <w:pPr>
              <w:pStyle w:val="17"/>
              <w:bidi w:val="0"/>
              <w:rPr>
                <w:rFonts w:hint="eastAsia"/>
                <w:color w:val="auto"/>
                <w:highlight w:val="none"/>
              </w:rPr>
            </w:pPr>
            <w:r>
              <w:rPr>
                <w:rFonts w:hint="eastAsia"/>
                <w:color w:val="auto"/>
                <w:highlight w:val="none"/>
                <w:lang w:val="en-US" w:eastAsia="zh-CN"/>
              </w:rPr>
              <w:t>爆破器材库由雷管库（75000发）和炸药库（20t）组成。场地东西向布置，雷管库布置在场地西部，炸药库布置在场地东部。</w:t>
            </w:r>
          </w:p>
        </w:tc>
        <w:tc>
          <w:tcPr>
            <w:tcW w:w="689" w:type="pct"/>
            <w:vAlign w:val="center"/>
          </w:tcPr>
          <w:p w14:paraId="44608CB5">
            <w:pPr>
              <w:pStyle w:val="17"/>
              <w:bidi w:val="0"/>
              <w:jc w:val="center"/>
              <w:rPr>
                <w:rFonts w:hint="default"/>
                <w:color w:val="auto"/>
                <w:highlight w:val="none"/>
                <w:lang w:val="en-US" w:eastAsia="zh-CN"/>
              </w:rPr>
            </w:pPr>
            <w:r>
              <w:rPr>
                <w:rFonts w:hint="eastAsia"/>
                <w:color w:val="auto"/>
                <w:highlight w:val="none"/>
                <w:lang w:val="en-US" w:eastAsia="zh-CN"/>
              </w:rPr>
              <w:t>炸药最大暂存量由50t减少至20t，不属于重大变动</w:t>
            </w:r>
          </w:p>
        </w:tc>
      </w:tr>
      <w:tr w14:paraId="4788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 w:type="pct"/>
            <w:vMerge w:val="continue"/>
            <w:vAlign w:val="center"/>
          </w:tcPr>
          <w:p w14:paraId="5D7B1599">
            <w:pPr>
              <w:pStyle w:val="17"/>
              <w:bidi w:val="0"/>
              <w:jc w:val="center"/>
              <w:rPr>
                <w:rFonts w:hint="default" w:eastAsia="宋体"/>
                <w:color w:val="auto"/>
                <w:highlight w:val="none"/>
                <w:lang w:val="en-US" w:eastAsia="zh-CN"/>
              </w:rPr>
            </w:pPr>
          </w:p>
        </w:tc>
        <w:tc>
          <w:tcPr>
            <w:tcW w:w="304" w:type="pct"/>
            <w:gridSpan w:val="2"/>
            <w:vMerge w:val="restart"/>
            <w:vAlign w:val="center"/>
          </w:tcPr>
          <w:p w14:paraId="507E5524">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选矿厂储存设施</w:t>
            </w:r>
          </w:p>
        </w:tc>
        <w:tc>
          <w:tcPr>
            <w:tcW w:w="528" w:type="pct"/>
            <w:gridSpan w:val="2"/>
            <w:shd w:val="clear" w:color="auto" w:fill="auto"/>
            <w:vAlign w:val="center"/>
          </w:tcPr>
          <w:p w14:paraId="6E3FEF42">
            <w:pPr>
              <w:pStyle w:val="17"/>
              <w:bidi w:val="0"/>
              <w:rPr>
                <w:rFonts w:hint="eastAsia" w:ascii="Times New Roman" w:hAnsi="Times New Roman" w:eastAsia="宋体" w:cs="Times New Roman"/>
                <w:color w:val="auto"/>
                <w:kern w:val="2"/>
                <w:szCs w:val="21"/>
                <w:highlight w:val="none"/>
                <w:lang w:val="en-US" w:eastAsia="zh-CN" w:bidi="ar-SA"/>
              </w:rPr>
            </w:pPr>
            <w:r>
              <w:rPr>
                <w:rFonts w:hint="eastAsia"/>
                <w:color w:val="auto"/>
                <w:highlight w:val="none"/>
              </w:rPr>
              <w:t>精矿仓</w:t>
            </w:r>
          </w:p>
        </w:tc>
        <w:tc>
          <w:tcPr>
            <w:tcW w:w="1312" w:type="pct"/>
            <w:gridSpan w:val="2"/>
            <w:shd w:val="clear" w:color="auto" w:fill="auto"/>
            <w:vAlign w:val="center"/>
          </w:tcPr>
          <w:p w14:paraId="3CD4F137">
            <w:pPr>
              <w:pStyle w:val="17"/>
              <w:bidi w:val="0"/>
              <w:rPr>
                <w:rFonts w:hint="eastAsia" w:ascii="Times New Roman" w:hAnsi="Times New Roman" w:eastAsia="宋体" w:cs="Courier New"/>
                <w:color w:val="auto"/>
                <w:kern w:val="2"/>
                <w:szCs w:val="21"/>
                <w:highlight w:val="none"/>
                <w:lang w:val="en-US" w:eastAsia="zh-CN" w:bidi="ar-SA"/>
              </w:rPr>
            </w:pPr>
            <w:r>
              <w:rPr>
                <w:rFonts w:hint="eastAsia"/>
                <w:color w:val="auto"/>
                <w:highlight w:val="none"/>
              </w:rPr>
              <w:t>新建</w:t>
            </w:r>
            <w:r>
              <w:rPr>
                <w:rFonts w:hint="eastAsia"/>
                <w:color w:val="auto"/>
                <w:highlight w:val="none"/>
                <w:lang w:eastAsia="zh-CN"/>
              </w:rPr>
              <w:t>萤石</w:t>
            </w:r>
            <w:r>
              <w:rPr>
                <w:rFonts w:hint="eastAsia"/>
                <w:color w:val="auto"/>
                <w:highlight w:val="none"/>
              </w:rPr>
              <w:t>精矿仓一座，有效容积</w:t>
            </w:r>
            <w:r>
              <w:rPr>
                <w:rFonts w:hint="eastAsia"/>
                <w:color w:val="auto"/>
                <w:highlight w:val="none"/>
                <w:lang w:val="en-US" w:eastAsia="zh-CN"/>
              </w:rPr>
              <w:t>4300</w:t>
            </w:r>
            <w:r>
              <w:rPr>
                <w:rFonts w:hint="eastAsia"/>
                <w:color w:val="auto"/>
                <w:highlight w:val="none"/>
              </w:rPr>
              <w:t>m</w:t>
            </w:r>
            <w:r>
              <w:rPr>
                <w:rFonts w:hint="eastAsia"/>
                <w:color w:val="auto"/>
                <w:highlight w:val="none"/>
                <w:vertAlign w:val="superscript"/>
              </w:rPr>
              <w:t>3</w:t>
            </w:r>
          </w:p>
        </w:tc>
        <w:tc>
          <w:tcPr>
            <w:tcW w:w="330" w:type="pct"/>
            <w:shd w:val="clear" w:color="auto" w:fill="auto"/>
            <w:vAlign w:val="center"/>
          </w:tcPr>
          <w:p w14:paraId="0036A528">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废石仓</w:t>
            </w:r>
          </w:p>
        </w:tc>
        <w:tc>
          <w:tcPr>
            <w:tcW w:w="1684" w:type="pct"/>
            <w:shd w:val="clear" w:color="auto" w:fill="auto"/>
            <w:vAlign w:val="center"/>
          </w:tcPr>
          <w:p w14:paraId="6FD658EF">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废石仓</w:t>
            </w:r>
            <w:r>
              <w:rPr>
                <w:rFonts w:hint="eastAsia"/>
                <w:color w:val="auto"/>
                <w:highlight w:val="none"/>
              </w:rPr>
              <w:t>一座，</w:t>
            </w:r>
            <w:r>
              <w:rPr>
                <w:rFonts w:hint="eastAsia"/>
                <w:color w:val="auto"/>
                <w:highlight w:val="none"/>
                <w:lang w:val="en-US" w:eastAsia="zh-CN"/>
              </w:rPr>
              <w:t>占地面积582.94</w:t>
            </w:r>
            <w:r>
              <w:rPr>
                <w:rFonts w:hint="eastAsia"/>
                <w:color w:val="auto"/>
                <w:highlight w:val="none"/>
              </w:rPr>
              <w:t>m</w:t>
            </w:r>
            <w:r>
              <w:rPr>
                <w:rFonts w:hint="eastAsia"/>
                <w:color w:val="auto"/>
                <w:highlight w:val="none"/>
                <w:vertAlign w:val="superscript"/>
                <w:lang w:val="en-US" w:eastAsia="zh-CN"/>
              </w:rPr>
              <w:t>2</w:t>
            </w:r>
          </w:p>
        </w:tc>
        <w:tc>
          <w:tcPr>
            <w:tcW w:w="689" w:type="pct"/>
            <w:vMerge w:val="restart"/>
            <w:vAlign w:val="center"/>
          </w:tcPr>
          <w:p w14:paraId="15C51131">
            <w:pPr>
              <w:pStyle w:val="17"/>
              <w:bidi w:val="0"/>
              <w:jc w:val="center"/>
              <w:rPr>
                <w:rFonts w:hint="default" w:eastAsia="宋体"/>
                <w:color w:val="auto"/>
                <w:highlight w:val="none"/>
                <w:lang w:val="en-US" w:eastAsia="zh-CN"/>
              </w:rPr>
            </w:pPr>
            <w:r>
              <w:rPr>
                <w:rFonts w:hint="eastAsia"/>
                <w:color w:val="auto"/>
                <w:highlight w:val="none"/>
                <w:lang w:val="en-US" w:eastAsia="zh-CN"/>
              </w:rPr>
              <w:t>优化调整，不属于重大变动</w:t>
            </w:r>
          </w:p>
        </w:tc>
      </w:tr>
      <w:tr w14:paraId="18EB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4CF54284">
            <w:pPr>
              <w:pStyle w:val="17"/>
              <w:bidi w:val="0"/>
              <w:jc w:val="center"/>
              <w:rPr>
                <w:rFonts w:hint="default" w:eastAsia="宋体"/>
                <w:color w:val="auto"/>
                <w:highlight w:val="none"/>
                <w:lang w:val="en-US" w:eastAsia="zh-CN"/>
              </w:rPr>
            </w:pPr>
          </w:p>
        </w:tc>
        <w:tc>
          <w:tcPr>
            <w:tcW w:w="304" w:type="pct"/>
            <w:gridSpan w:val="2"/>
            <w:vMerge w:val="continue"/>
            <w:vAlign w:val="center"/>
          </w:tcPr>
          <w:p w14:paraId="41BEDC1D">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528" w:type="pct"/>
            <w:gridSpan w:val="2"/>
            <w:shd w:val="clear" w:color="auto" w:fill="auto"/>
            <w:vAlign w:val="center"/>
          </w:tcPr>
          <w:p w14:paraId="411AAA01">
            <w:pPr>
              <w:pStyle w:val="17"/>
              <w:bidi w:val="0"/>
              <w:rPr>
                <w:rFonts w:hint="eastAsia" w:ascii="Times New Roman" w:hAnsi="Times New Roman" w:eastAsia="宋体" w:cs="Times New Roman"/>
                <w:color w:val="auto"/>
                <w:kern w:val="2"/>
                <w:szCs w:val="21"/>
                <w:highlight w:val="none"/>
                <w:lang w:val="en-US" w:eastAsia="zh-CN" w:bidi="ar-SA"/>
              </w:rPr>
            </w:pPr>
            <w:r>
              <w:rPr>
                <w:rFonts w:hint="eastAsia"/>
                <w:color w:val="auto"/>
                <w:highlight w:val="none"/>
                <w:lang w:eastAsia="zh-CN"/>
              </w:rPr>
              <w:t>磨前仓</w:t>
            </w:r>
          </w:p>
        </w:tc>
        <w:tc>
          <w:tcPr>
            <w:tcW w:w="1312" w:type="pct"/>
            <w:gridSpan w:val="2"/>
            <w:shd w:val="clear" w:color="auto" w:fill="auto"/>
            <w:vAlign w:val="center"/>
          </w:tcPr>
          <w:p w14:paraId="6CEB5A44">
            <w:pPr>
              <w:pStyle w:val="17"/>
              <w:bidi w:val="0"/>
              <w:rPr>
                <w:rFonts w:hint="eastAsia" w:ascii="Times New Roman" w:hAnsi="Times New Roman" w:eastAsia="宋体" w:cs="Courier New"/>
                <w:color w:val="auto"/>
                <w:kern w:val="2"/>
                <w:szCs w:val="21"/>
                <w:highlight w:val="none"/>
                <w:vertAlign w:val="baseline"/>
                <w:lang w:val="en-US" w:eastAsia="zh-CN" w:bidi="ar-SA"/>
              </w:rPr>
            </w:pPr>
            <w:r>
              <w:rPr>
                <w:rFonts w:hint="eastAsia"/>
                <w:color w:val="auto"/>
                <w:highlight w:val="none"/>
              </w:rPr>
              <w:t>新建</w:t>
            </w:r>
            <w:r>
              <w:rPr>
                <w:rFonts w:hint="eastAsia"/>
                <w:color w:val="auto"/>
                <w:highlight w:val="none"/>
                <w:lang w:eastAsia="zh-CN"/>
              </w:rPr>
              <w:t>萤石原</w:t>
            </w:r>
            <w:r>
              <w:rPr>
                <w:rFonts w:hint="eastAsia"/>
                <w:color w:val="auto"/>
                <w:highlight w:val="none"/>
              </w:rPr>
              <w:t>矿</w:t>
            </w:r>
            <w:r>
              <w:rPr>
                <w:rFonts w:hint="eastAsia"/>
                <w:color w:val="auto"/>
                <w:highlight w:val="none"/>
                <w:lang w:eastAsia="zh-CN"/>
              </w:rPr>
              <w:t>磨前</w:t>
            </w:r>
            <w:r>
              <w:rPr>
                <w:rFonts w:hint="eastAsia"/>
                <w:color w:val="auto"/>
                <w:highlight w:val="none"/>
              </w:rPr>
              <w:t>仓</w:t>
            </w:r>
            <w:r>
              <w:rPr>
                <w:rFonts w:hint="eastAsia"/>
                <w:color w:val="auto"/>
                <w:highlight w:val="none"/>
                <w:lang w:eastAsia="zh-CN"/>
              </w:rPr>
              <w:t>两</w:t>
            </w:r>
            <w:r>
              <w:rPr>
                <w:rFonts w:hint="eastAsia"/>
                <w:color w:val="auto"/>
                <w:highlight w:val="none"/>
              </w:rPr>
              <w:t>座，</w:t>
            </w:r>
            <w:r>
              <w:rPr>
                <w:rFonts w:hint="eastAsia"/>
                <w:color w:val="auto"/>
                <w:highlight w:val="none"/>
                <w:lang w:eastAsia="zh-CN"/>
              </w:rPr>
              <w:t>单座</w:t>
            </w:r>
            <w:r>
              <w:rPr>
                <w:rFonts w:hint="eastAsia"/>
                <w:color w:val="auto"/>
                <w:highlight w:val="none"/>
              </w:rPr>
              <w:t>有效容积2000m</w:t>
            </w:r>
            <w:r>
              <w:rPr>
                <w:rFonts w:hint="eastAsia"/>
                <w:color w:val="auto"/>
                <w:highlight w:val="none"/>
                <w:vertAlign w:val="superscript"/>
              </w:rPr>
              <w:t>3</w:t>
            </w:r>
            <w:r>
              <w:rPr>
                <w:rFonts w:hint="eastAsia"/>
                <w:color w:val="auto"/>
                <w:highlight w:val="none"/>
                <w:lang w:eastAsia="zh-CN"/>
              </w:rPr>
              <w:t>，总</w:t>
            </w:r>
            <w:r>
              <w:rPr>
                <w:rFonts w:hint="eastAsia"/>
                <w:color w:val="auto"/>
                <w:highlight w:val="none"/>
              </w:rPr>
              <w:t>有效容积</w:t>
            </w:r>
            <w:r>
              <w:rPr>
                <w:rFonts w:hint="eastAsia"/>
                <w:color w:val="auto"/>
                <w:highlight w:val="none"/>
                <w:lang w:val="en-US" w:eastAsia="zh-CN"/>
              </w:rPr>
              <w:t>4</w:t>
            </w:r>
            <w:r>
              <w:rPr>
                <w:rFonts w:hint="eastAsia"/>
                <w:color w:val="auto"/>
                <w:highlight w:val="none"/>
              </w:rPr>
              <w:t>000m</w:t>
            </w:r>
            <w:r>
              <w:rPr>
                <w:rFonts w:hint="eastAsia"/>
                <w:color w:val="auto"/>
                <w:highlight w:val="none"/>
                <w:vertAlign w:val="superscript"/>
              </w:rPr>
              <w:t>3</w:t>
            </w:r>
          </w:p>
        </w:tc>
        <w:tc>
          <w:tcPr>
            <w:tcW w:w="330" w:type="pct"/>
            <w:shd w:val="clear" w:color="auto" w:fill="auto"/>
            <w:vAlign w:val="center"/>
          </w:tcPr>
          <w:p w14:paraId="5656F85F">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粗矿仓</w:t>
            </w:r>
          </w:p>
        </w:tc>
        <w:tc>
          <w:tcPr>
            <w:tcW w:w="1684" w:type="pct"/>
            <w:shd w:val="clear" w:color="auto" w:fill="auto"/>
            <w:vAlign w:val="center"/>
          </w:tcPr>
          <w:p w14:paraId="218DAD46">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粗矿仓</w:t>
            </w:r>
            <w:r>
              <w:rPr>
                <w:rFonts w:hint="eastAsia"/>
                <w:color w:val="auto"/>
                <w:highlight w:val="none"/>
              </w:rPr>
              <w:t>一座，</w:t>
            </w:r>
            <w:r>
              <w:rPr>
                <w:rFonts w:hint="eastAsia"/>
                <w:color w:val="auto"/>
                <w:highlight w:val="none"/>
                <w:lang w:val="en-US" w:eastAsia="zh-CN"/>
              </w:rPr>
              <w:t>占地面积2012</w:t>
            </w:r>
            <w:r>
              <w:rPr>
                <w:rFonts w:hint="eastAsia"/>
                <w:color w:val="auto"/>
                <w:highlight w:val="none"/>
              </w:rPr>
              <w:t>m</w:t>
            </w:r>
            <w:r>
              <w:rPr>
                <w:rFonts w:hint="eastAsia"/>
                <w:color w:val="auto"/>
                <w:highlight w:val="none"/>
                <w:vertAlign w:val="superscript"/>
                <w:lang w:val="en-US" w:eastAsia="zh-CN"/>
              </w:rPr>
              <w:t>2</w:t>
            </w:r>
          </w:p>
        </w:tc>
        <w:tc>
          <w:tcPr>
            <w:tcW w:w="689" w:type="pct"/>
            <w:vMerge w:val="continue"/>
            <w:vAlign w:val="center"/>
          </w:tcPr>
          <w:p w14:paraId="6201B06D">
            <w:pPr>
              <w:pStyle w:val="17"/>
              <w:bidi w:val="0"/>
              <w:jc w:val="center"/>
              <w:rPr>
                <w:rFonts w:hint="eastAsia"/>
                <w:color w:val="auto"/>
                <w:highlight w:val="none"/>
              </w:rPr>
            </w:pPr>
          </w:p>
        </w:tc>
      </w:tr>
      <w:tr w14:paraId="13C5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 w:type="pct"/>
            <w:vMerge w:val="continue"/>
            <w:vAlign w:val="center"/>
          </w:tcPr>
          <w:p w14:paraId="4315BCC0">
            <w:pPr>
              <w:pStyle w:val="17"/>
              <w:bidi w:val="0"/>
              <w:jc w:val="center"/>
              <w:rPr>
                <w:rFonts w:hint="default" w:eastAsia="宋体"/>
                <w:color w:val="auto"/>
                <w:highlight w:val="none"/>
                <w:lang w:val="en-US" w:eastAsia="zh-CN"/>
              </w:rPr>
            </w:pPr>
          </w:p>
        </w:tc>
        <w:tc>
          <w:tcPr>
            <w:tcW w:w="304" w:type="pct"/>
            <w:gridSpan w:val="2"/>
            <w:vMerge w:val="continue"/>
            <w:vAlign w:val="center"/>
          </w:tcPr>
          <w:p w14:paraId="15272613">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528" w:type="pct"/>
            <w:gridSpan w:val="2"/>
            <w:shd w:val="clear" w:color="auto" w:fill="auto"/>
            <w:vAlign w:val="center"/>
          </w:tcPr>
          <w:p w14:paraId="2B0EF93B">
            <w:pPr>
              <w:pStyle w:val="17"/>
              <w:bidi w:val="0"/>
              <w:rPr>
                <w:rFonts w:hint="eastAsia" w:ascii="Times New Roman" w:hAnsi="Times New Roman" w:eastAsia="宋体" w:cs="Times New Roman"/>
                <w:color w:val="auto"/>
                <w:kern w:val="2"/>
                <w:szCs w:val="21"/>
                <w:highlight w:val="none"/>
                <w:lang w:val="en-US" w:eastAsia="zh-CN" w:bidi="ar-SA"/>
              </w:rPr>
            </w:pPr>
            <w:r>
              <w:rPr>
                <w:rFonts w:hint="eastAsia"/>
                <w:color w:val="auto"/>
                <w:highlight w:val="none"/>
                <w:lang w:eastAsia="zh-CN"/>
              </w:rPr>
              <w:t>药剂库</w:t>
            </w:r>
          </w:p>
        </w:tc>
        <w:tc>
          <w:tcPr>
            <w:tcW w:w="1312" w:type="pct"/>
            <w:gridSpan w:val="2"/>
            <w:shd w:val="clear" w:color="auto" w:fill="auto"/>
            <w:vAlign w:val="center"/>
          </w:tcPr>
          <w:p w14:paraId="20D951EA">
            <w:pPr>
              <w:pStyle w:val="17"/>
              <w:bidi w:val="0"/>
              <w:rPr>
                <w:rFonts w:hint="eastAsia" w:ascii="Times New Roman" w:hAnsi="Times New Roman" w:eastAsia="宋体" w:cs="Courier New"/>
                <w:color w:val="auto"/>
                <w:kern w:val="2"/>
                <w:szCs w:val="21"/>
                <w:highlight w:val="none"/>
                <w:lang w:val="en-US" w:eastAsia="zh-CN" w:bidi="ar-SA"/>
              </w:rPr>
            </w:pPr>
            <w:r>
              <w:rPr>
                <w:rFonts w:hint="eastAsia"/>
                <w:color w:val="auto"/>
                <w:highlight w:val="none"/>
                <w:lang w:eastAsia="zh-CN"/>
              </w:rPr>
              <w:t>药剂库位于药剂车间，主要储存药剂。</w:t>
            </w:r>
          </w:p>
        </w:tc>
        <w:tc>
          <w:tcPr>
            <w:tcW w:w="330" w:type="pct"/>
            <w:shd w:val="clear" w:color="auto" w:fill="auto"/>
            <w:vAlign w:val="center"/>
          </w:tcPr>
          <w:p w14:paraId="06B5D534">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粉矿仓</w:t>
            </w:r>
          </w:p>
        </w:tc>
        <w:tc>
          <w:tcPr>
            <w:tcW w:w="1684" w:type="pct"/>
            <w:shd w:val="clear" w:color="auto" w:fill="auto"/>
            <w:vAlign w:val="center"/>
          </w:tcPr>
          <w:p w14:paraId="434A3513">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粉矿仓</w:t>
            </w:r>
            <w:r>
              <w:rPr>
                <w:rFonts w:hint="eastAsia"/>
                <w:color w:val="auto"/>
                <w:highlight w:val="none"/>
              </w:rPr>
              <w:t>一座，</w:t>
            </w:r>
            <w:r>
              <w:rPr>
                <w:rFonts w:hint="eastAsia"/>
                <w:color w:val="auto"/>
                <w:highlight w:val="none"/>
                <w:lang w:val="en-US" w:eastAsia="zh-CN"/>
              </w:rPr>
              <w:t>占地面积2060</w:t>
            </w:r>
            <w:r>
              <w:rPr>
                <w:rFonts w:hint="eastAsia"/>
                <w:color w:val="auto"/>
                <w:highlight w:val="none"/>
              </w:rPr>
              <w:t>m</w:t>
            </w:r>
            <w:r>
              <w:rPr>
                <w:rFonts w:hint="eastAsia"/>
                <w:color w:val="auto"/>
                <w:highlight w:val="none"/>
                <w:vertAlign w:val="superscript"/>
                <w:lang w:val="en-US" w:eastAsia="zh-CN"/>
              </w:rPr>
              <w:t>2</w:t>
            </w:r>
          </w:p>
        </w:tc>
        <w:tc>
          <w:tcPr>
            <w:tcW w:w="689" w:type="pct"/>
            <w:vMerge w:val="continue"/>
            <w:vAlign w:val="center"/>
          </w:tcPr>
          <w:p w14:paraId="4B2F9618">
            <w:pPr>
              <w:pStyle w:val="17"/>
              <w:bidi w:val="0"/>
              <w:jc w:val="center"/>
              <w:rPr>
                <w:rFonts w:hint="eastAsia"/>
                <w:color w:val="auto"/>
                <w:highlight w:val="none"/>
              </w:rPr>
            </w:pPr>
          </w:p>
        </w:tc>
      </w:tr>
      <w:tr w14:paraId="4BF2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0E4E4AF5">
            <w:pPr>
              <w:pStyle w:val="17"/>
              <w:bidi w:val="0"/>
              <w:jc w:val="center"/>
              <w:rPr>
                <w:rFonts w:hint="default" w:eastAsia="宋体"/>
                <w:color w:val="auto"/>
                <w:highlight w:val="none"/>
                <w:lang w:val="en-US" w:eastAsia="zh-CN"/>
              </w:rPr>
            </w:pPr>
          </w:p>
        </w:tc>
        <w:tc>
          <w:tcPr>
            <w:tcW w:w="304" w:type="pct"/>
            <w:gridSpan w:val="2"/>
            <w:vMerge w:val="continue"/>
            <w:vAlign w:val="center"/>
          </w:tcPr>
          <w:p w14:paraId="317F2CE1">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528" w:type="pct"/>
            <w:gridSpan w:val="2"/>
            <w:shd w:val="clear" w:color="auto" w:fill="auto"/>
            <w:vAlign w:val="center"/>
          </w:tcPr>
          <w:p w14:paraId="34CDC625">
            <w:pPr>
              <w:pStyle w:val="17"/>
              <w:bidi w:val="0"/>
              <w:rPr>
                <w:rFonts w:hint="eastAsia" w:ascii="Times New Roman" w:hAnsi="Times New Roman" w:eastAsia="宋体" w:cs="Times New Roman"/>
                <w:color w:val="auto"/>
                <w:kern w:val="2"/>
                <w:szCs w:val="21"/>
                <w:highlight w:val="none"/>
                <w:lang w:val="en-US" w:eastAsia="zh-CN" w:bidi="ar-SA"/>
              </w:rPr>
            </w:pPr>
            <w:r>
              <w:rPr>
                <w:rFonts w:hint="eastAsia"/>
                <w:color w:val="auto"/>
                <w:highlight w:val="none"/>
                <w:lang w:eastAsia="zh-CN"/>
              </w:rPr>
              <w:t>原矿仓</w:t>
            </w:r>
          </w:p>
        </w:tc>
        <w:tc>
          <w:tcPr>
            <w:tcW w:w="1312" w:type="pct"/>
            <w:gridSpan w:val="2"/>
            <w:shd w:val="clear" w:color="auto" w:fill="auto"/>
            <w:vAlign w:val="center"/>
          </w:tcPr>
          <w:p w14:paraId="316ED5FA">
            <w:pPr>
              <w:pStyle w:val="17"/>
              <w:bidi w:val="0"/>
              <w:rPr>
                <w:rFonts w:hint="eastAsia" w:ascii="Times New Roman" w:hAnsi="Times New Roman" w:eastAsia="宋体" w:cs="Times New Roman"/>
                <w:color w:val="auto"/>
                <w:kern w:val="2"/>
                <w:szCs w:val="21"/>
                <w:highlight w:val="none"/>
                <w:lang w:val="en-US" w:eastAsia="zh-CN" w:bidi="ar-SA"/>
              </w:rPr>
            </w:pPr>
            <w:r>
              <w:rPr>
                <w:rFonts w:hint="eastAsia"/>
                <w:color w:val="auto"/>
                <w:highlight w:val="none"/>
                <w:lang w:eastAsia="zh-CN"/>
              </w:rPr>
              <w:t>原矿仓占地面积</w:t>
            </w:r>
            <w:r>
              <w:rPr>
                <w:rFonts w:hint="eastAsia"/>
                <w:color w:val="auto"/>
                <w:highlight w:val="none"/>
                <w:lang w:val="en-US" w:eastAsia="zh-CN"/>
              </w:rPr>
              <w:t>4</w:t>
            </w:r>
            <w:r>
              <w:rPr>
                <w:rFonts w:hint="eastAsia"/>
                <w:color w:val="auto"/>
                <w:highlight w:val="none"/>
                <w:lang w:eastAsia="zh-CN"/>
              </w:rPr>
              <w:t>00m</w:t>
            </w:r>
            <w:r>
              <w:rPr>
                <w:rFonts w:hint="eastAsia"/>
                <w:color w:val="auto"/>
                <w:highlight w:val="none"/>
                <w:vertAlign w:val="superscript"/>
                <w:lang w:eastAsia="zh-CN"/>
              </w:rPr>
              <w:t>2</w:t>
            </w:r>
            <w:r>
              <w:rPr>
                <w:rFonts w:hint="eastAsia"/>
                <w:color w:val="auto"/>
                <w:highlight w:val="none"/>
                <w:lang w:eastAsia="zh-CN"/>
              </w:rPr>
              <w:t>，用于破碎前的矿石储存。</w:t>
            </w:r>
          </w:p>
        </w:tc>
        <w:tc>
          <w:tcPr>
            <w:tcW w:w="330" w:type="pct"/>
            <w:shd w:val="clear" w:color="auto" w:fill="auto"/>
            <w:vAlign w:val="center"/>
          </w:tcPr>
          <w:p w14:paraId="6072963A">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药剂仓库</w:t>
            </w:r>
          </w:p>
        </w:tc>
        <w:tc>
          <w:tcPr>
            <w:tcW w:w="1684" w:type="pct"/>
            <w:shd w:val="clear" w:color="auto" w:fill="auto"/>
            <w:vAlign w:val="center"/>
          </w:tcPr>
          <w:p w14:paraId="267DD207">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建筑面积为298</w:t>
            </w:r>
            <w:r>
              <w:rPr>
                <w:rFonts w:hint="eastAsia"/>
                <w:color w:val="auto"/>
                <w:highlight w:val="none"/>
              </w:rPr>
              <w:t>m</w:t>
            </w:r>
            <w:r>
              <w:rPr>
                <w:rFonts w:hint="eastAsia"/>
                <w:color w:val="auto"/>
                <w:highlight w:val="none"/>
                <w:vertAlign w:val="superscript"/>
                <w:lang w:val="en-US" w:eastAsia="zh-CN"/>
              </w:rPr>
              <w:t>2</w:t>
            </w:r>
            <w:r>
              <w:rPr>
                <w:rFonts w:hint="eastAsia"/>
                <w:color w:val="auto"/>
                <w:highlight w:val="none"/>
                <w:vertAlign w:val="baseline"/>
                <w:lang w:val="en-US" w:eastAsia="zh-CN"/>
              </w:rPr>
              <w:t>，</w:t>
            </w:r>
            <w:r>
              <w:rPr>
                <w:rFonts w:hint="eastAsia"/>
                <w:color w:val="auto"/>
                <w:highlight w:val="none"/>
                <w:lang w:val="en-US" w:eastAsia="zh-CN"/>
              </w:rPr>
              <w:t>用于药剂储存</w:t>
            </w:r>
          </w:p>
        </w:tc>
        <w:tc>
          <w:tcPr>
            <w:tcW w:w="689" w:type="pct"/>
            <w:vMerge w:val="continue"/>
            <w:vAlign w:val="center"/>
          </w:tcPr>
          <w:p w14:paraId="4DC92936">
            <w:pPr>
              <w:pStyle w:val="17"/>
              <w:bidi w:val="0"/>
              <w:jc w:val="center"/>
              <w:rPr>
                <w:rFonts w:hint="eastAsia"/>
                <w:color w:val="auto"/>
                <w:highlight w:val="none"/>
              </w:rPr>
            </w:pPr>
          </w:p>
        </w:tc>
      </w:tr>
      <w:tr w14:paraId="2F4C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 w:type="pct"/>
            <w:vMerge w:val="continue"/>
            <w:vAlign w:val="center"/>
          </w:tcPr>
          <w:p w14:paraId="6336C405">
            <w:pPr>
              <w:pStyle w:val="17"/>
              <w:bidi w:val="0"/>
              <w:jc w:val="center"/>
              <w:rPr>
                <w:rFonts w:hint="default" w:eastAsia="宋体"/>
                <w:color w:val="auto"/>
                <w:highlight w:val="none"/>
                <w:lang w:val="en-US" w:eastAsia="zh-CN"/>
              </w:rPr>
            </w:pPr>
          </w:p>
        </w:tc>
        <w:tc>
          <w:tcPr>
            <w:tcW w:w="304" w:type="pct"/>
            <w:gridSpan w:val="2"/>
            <w:vMerge w:val="continue"/>
            <w:vAlign w:val="center"/>
          </w:tcPr>
          <w:p w14:paraId="5C34F8A4">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528" w:type="pct"/>
            <w:gridSpan w:val="2"/>
            <w:shd w:val="clear" w:color="auto" w:fill="auto"/>
            <w:vAlign w:val="center"/>
          </w:tcPr>
          <w:p w14:paraId="30BE86F2">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1312" w:type="pct"/>
            <w:gridSpan w:val="2"/>
            <w:shd w:val="clear" w:color="auto" w:fill="auto"/>
            <w:vAlign w:val="center"/>
          </w:tcPr>
          <w:p w14:paraId="3EA2AA5B">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330" w:type="pct"/>
            <w:shd w:val="clear" w:color="auto" w:fill="auto"/>
            <w:vAlign w:val="center"/>
          </w:tcPr>
          <w:p w14:paraId="05CA8220">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选厂综合仓库</w:t>
            </w:r>
          </w:p>
        </w:tc>
        <w:tc>
          <w:tcPr>
            <w:tcW w:w="1684" w:type="pct"/>
            <w:shd w:val="clear" w:color="auto" w:fill="auto"/>
            <w:vAlign w:val="center"/>
          </w:tcPr>
          <w:p w14:paraId="34ED93C1">
            <w:pPr>
              <w:pStyle w:val="17"/>
              <w:bidi w:val="0"/>
              <w:ind w:firstLine="0" w:firstLineChars="0"/>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highlight w:val="none"/>
                <w:lang w:val="en-US" w:eastAsia="zh-CN"/>
              </w:rPr>
              <w:t>建筑面积为1408</w:t>
            </w:r>
            <w:r>
              <w:rPr>
                <w:rFonts w:hint="eastAsia"/>
                <w:color w:val="auto"/>
                <w:highlight w:val="none"/>
              </w:rPr>
              <w:t>m</w:t>
            </w:r>
            <w:r>
              <w:rPr>
                <w:rFonts w:hint="eastAsia"/>
                <w:color w:val="auto"/>
                <w:highlight w:val="none"/>
                <w:vertAlign w:val="superscript"/>
                <w:lang w:val="en-US" w:eastAsia="zh-CN"/>
              </w:rPr>
              <w:t>2</w:t>
            </w:r>
            <w:r>
              <w:rPr>
                <w:rFonts w:hint="eastAsia"/>
                <w:color w:val="auto"/>
                <w:highlight w:val="none"/>
                <w:vertAlign w:val="baseline"/>
                <w:lang w:val="en-US" w:eastAsia="zh-CN"/>
              </w:rPr>
              <w:t>，用于暂存运营期其他材料</w:t>
            </w:r>
          </w:p>
        </w:tc>
        <w:tc>
          <w:tcPr>
            <w:tcW w:w="689" w:type="pct"/>
            <w:vMerge w:val="continue"/>
            <w:vAlign w:val="center"/>
          </w:tcPr>
          <w:p w14:paraId="0731AE77">
            <w:pPr>
              <w:pStyle w:val="17"/>
              <w:bidi w:val="0"/>
              <w:jc w:val="center"/>
              <w:rPr>
                <w:rFonts w:hint="eastAsia"/>
                <w:color w:val="auto"/>
                <w:highlight w:val="none"/>
              </w:rPr>
            </w:pPr>
          </w:p>
        </w:tc>
      </w:tr>
      <w:tr w14:paraId="74EF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0509601F">
            <w:pPr>
              <w:pStyle w:val="17"/>
              <w:bidi w:val="0"/>
              <w:jc w:val="center"/>
              <w:rPr>
                <w:rFonts w:hint="default" w:eastAsia="宋体"/>
                <w:color w:val="auto"/>
                <w:highlight w:val="none"/>
                <w:lang w:val="en-US" w:eastAsia="zh-CN"/>
              </w:rPr>
            </w:pPr>
          </w:p>
        </w:tc>
        <w:tc>
          <w:tcPr>
            <w:tcW w:w="304" w:type="pct"/>
            <w:gridSpan w:val="2"/>
            <w:vMerge w:val="continue"/>
            <w:vAlign w:val="center"/>
          </w:tcPr>
          <w:p w14:paraId="788C941F">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528" w:type="pct"/>
            <w:gridSpan w:val="2"/>
            <w:shd w:val="clear" w:color="auto" w:fill="auto"/>
            <w:vAlign w:val="center"/>
          </w:tcPr>
          <w:p w14:paraId="4B67300F">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1312" w:type="pct"/>
            <w:gridSpan w:val="2"/>
            <w:shd w:val="clear" w:color="auto" w:fill="auto"/>
            <w:vAlign w:val="center"/>
          </w:tcPr>
          <w:p w14:paraId="0E16814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tc>
        <w:tc>
          <w:tcPr>
            <w:tcW w:w="330" w:type="pct"/>
            <w:shd w:val="clear" w:color="auto" w:fill="auto"/>
            <w:vAlign w:val="center"/>
          </w:tcPr>
          <w:p w14:paraId="0088D77E">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精矿堆场</w:t>
            </w:r>
          </w:p>
        </w:tc>
        <w:tc>
          <w:tcPr>
            <w:tcW w:w="1684" w:type="pct"/>
            <w:shd w:val="clear" w:color="auto" w:fill="auto"/>
            <w:vAlign w:val="center"/>
          </w:tcPr>
          <w:p w14:paraId="4281675D">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密闭堆场，9298</w:t>
            </w:r>
            <w:r>
              <w:rPr>
                <w:rFonts w:hint="eastAsia"/>
                <w:color w:val="auto"/>
                <w:highlight w:val="none"/>
              </w:rPr>
              <w:t>m</w:t>
            </w:r>
            <w:r>
              <w:rPr>
                <w:rFonts w:hint="eastAsia"/>
                <w:color w:val="auto"/>
                <w:highlight w:val="none"/>
                <w:vertAlign w:val="superscript"/>
                <w:lang w:val="en-US" w:eastAsia="zh-CN"/>
              </w:rPr>
              <w:t>2</w:t>
            </w:r>
          </w:p>
        </w:tc>
        <w:tc>
          <w:tcPr>
            <w:tcW w:w="689" w:type="pct"/>
            <w:vMerge w:val="continue"/>
            <w:vAlign w:val="center"/>
          </w:tcPr>
          <w:p w14:paraId="719B2885">
            <w:pPr>
              <w:pStyle w:val="17"/>
              <w:bidi w:val="0"/>
              <w:jc w:val="center"/>
              <w:rPr>
                <w:rFonts w:hint="eastAsia"/>
                <w:color w:val="auto"/>
                <w:highlight w:val="none"/>
              </w:rPr>
            </w:pPr>
          </w:p>
        </w:tc>
      </w:tr>
      <w:tr w14:paraId="2BBE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6F99479A">
            <w:pPr>
              <w:pStyle w:val="17"/>
              <w:bidi w:val="0"/>
              <w:jc w:val="center"/>
              <w:rPr>
                <w:rFonts w:hint="default" w:eastAsia="宋体"/>
                <w:color w:val="auto"/>
                <w:highlight w:val="none"/>
                <w:lang w:val="en-US" w:eastAsia="zh-CN"/>
              </w:rPr>
            </w:pPr>
          </w:p>
        </w:tc>
        <w:tc>
          <w:tcPr>
            <w:tcW w:w="304" w:type="pct"/>
            <w:gridSpan w:val="2"/>
            <w:vMerge w:val="continue"/>
            <w:vAlign w:val="center"/>
          </w:tcPr>
          <w:p w14:paraId="4CFEE06F">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528" w:type="pct"/>
            <w:gridSpan w:val="2"/>
            <w:shd w:val="clear" w:color="auto" w:fill="auto"/>
            <w:vAlign w:val="center"/>
          </w:tcPr>
          <w:p w14:paraId="12CCAB96">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1312" w:type="pct"/>
            <w:gridSpan w:val="2"/>
            <w:shd w:val="clear" w:color="auto" w:fill="auto"/>
            <w:vAlign w:val="center"/>
          </w:tcPr>
          <w:p w14:paraId="5A474BD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330" w:type="pct"/>
            <w:shd w:val="clear" w:color="auto" w:fill="auto"/>
            <w:vAlign w:val="center"/>
          </w:tcPr>
          <w:p w14:paraId="1E37AF20">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硫酸储罐</w:t>
            </w:r>
          </w:p>
        </w:tc>
        <w:tc>
          <w:tcPr>
            <w:tcW w:w="1684" w:type="pct"/>
            <w:shd w:val="clear" w:color="auto" w:fill="auto"/>
            <w:vAlign w:val="center"/>
          </w:tcPr>
          <w:p w14:paraId="2C6A8A43">
            <w:pPr>
              <w:pStyle w:val="17"/>
              <w:bidi w:val="0"/>
              <w:ind w:firstLine="0" w:firstLineChars="0"/>
              <w:jc w:val="center"/>
              <w:rPr>
                <w:rFonts w:hint="default"/>
                <w:color w:val="auto"/>
                <w:highlight w:val="none"/>
                <w:vertAlign w:val="superscript"/>
                <w:lang w:val="en-US" w:eastAsia="zh-CN"/>
              </w:rPr>
            </w:pPr>
            <w:r>
              <w:rPr>
                <w:rFonts w:hint="eastAsia"/>
                <w:color w:val="auto"/>
                <w:highlight w:val="none"/>
                <w:lang w:val="en-US" w:eastAsia="zh-CN"/>
              </w:rPr>
              <w:t>设置在硫酸稀释车间内，共两座，单罐容积为200m</w:t>
            </w:r>
            <w:r>
              <w:rPr>
                <w:rFonts w:hint="eastAsia"/>
                <w:color w:val="auto"/>
                <w:highlight w:val="none"/>
                <w:vertAlign w:val="superscript"/>
                <w:lang w:val="en-US" w:eastAsia="zh-CN"/>
              </w:rPr>
              <w:t>3</w:t>
            </w:r>
          </w:p>
        </w:tc>
        <w:tc>
          <w:tcPr>
            <w:tcW w:w="689" w:type="pct"/>
            <w:vAlign w:val="center"/>
          </w:tcPr>
          <w:p w14:paraId="1BF7B18F">
            <w:pPr>
              <w:pStyle w:val="17"/>
              <w:bidi w:val="0"/>
              <w:jc w:val="center"/>
              <w:rPr>
                <w:rFonts w:hint="default" w:eastAsia="宋体"/>
                <w:color w:val="auto"/>
                <w:highlight w:val="none"/>
                <w:lang w:val="en-US" w:eastAsia="zh-CN"/>
              </w:rPr>
            </w:pPr>
            <w:r>
              <w:rPr>
                <w:rFonts w:hint="eastAsia"/>
                <w:color w:val="auto"/>
                <w:highlight w:val="none"/>
                <w:lang w:val="en-US" w:eastAsia="zh-CN"/>
              </w:rPr>
              <w:t>新增原料储存装置，属于重大变动</w:t>
            </w:r>
          </w:p>
        </w:tc>
      </w:tr>
      <w:tr w14:paraId="6014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restart"/>
            <w:vAlign w:val="center"/>
          </w:tcPr>
          <w:p w14:paraId="16EC6CD7">
            <w:pPr>
              <w:pStyle w:val="17"/>
              <w:bidi w:val="0"/>
              <w:jc w:val="center"/>
              <w:rPr>
                <w:rFonts w:hint="default" w:eastAsia="宋体"/>
                <w:color w:val="auto"/>
                <w:highlight w:val="none"/>
                <w:lang w:val="en-US" w:eastAsia="zh-CN"/>
              </w:rPr>
            </w:pPr>
            <w:r>
              <w:rPr>
                <w:rFonts w:hint="eastAsia"/>
                <w:color w:val="auto"/>
                <w:highlight w:val="none"/>
                <w:lang w:val="en-US" w:eastAsia="zh-CN"/>
              </w:rPr>
              <w:t>公用工程</w:t>
            </w:r>
          </w:p>
        </w:tc>
        <w:tc>
          <w:tcPr>
            <w:tcW w:w="304" w:type="pct"/>
            <w:gridSpan w:val="2"/>
            <w:vAlign w:val="center"/>
          </w:tcPr>
          <w:p w14:paraId="5DC0C062">
            <w:pPr>
              <w:pStyle w:val="17"/>
              <w:bidi w:val="0"/>
              <w:ind w:firstLine="0" w:firstLineChars="0"/>
              <w:jc w:val="center"/>
              <w:rPr>
                <w:rFonts w:hint="default" w:eastAsia="宋体"/>
                <w:color w:val="auto"/>
                <w:highlight w:val="none"/>
                <w:lang w:val="en-US" w:eastAsia="zh-CN"/>
              </w:rPr>
            </w:pPr>
            <w:r>
              <w:rPr>
                <w:rFonts w:hint="eastAsia"/>
                <w:color w:val="auto"/>
                <w:highlight w:val="none"/>
                <w:lang w:val="en-US" w:eastAsia="zh-CN"/>
              </w:rPr>
              <w:t>供水工程</w:t>
            </w:r>
          </w:p>
        </w:tc>
        <w:tc>
          <w:tcPr>
            <w:tcW w:w="1840" w:type="pct"/>
            <w:gridSpan w:val="4"/>
            <w:shd w:val="clear" w:color="auto" w:fill="auto"/>
            <w:vAlign w:val="center"/>
          </w:tcPr>
          <w:p w14:paraId="1FE2EF91">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生产用水：前期生产时无井下涌水或井下涌水不足以采矿生产用水时取邻近矿区的阿克苏河补充生产用水，后期井下涌水对采矿生产用水充足且有剩余时，多余涌水输送至配套选矿厂用于选矿生产用水。</w:t>
            </w:r>
            <w:r>
              <w:rPr>
                <w:rFonts w:hint="eastAsia"/>
                <w:color w:val="auto"/>
                <w:highlight w:val="none"/>
                <w:lang w:eastAsia="zh-CN"/>
              </w:rPr>
              <w:t>采矿矿井涌水管道长度为</w:t>
            </w:r>
            <w:r>
              <w:rPr>
                <w:rFonts w:hint="eastAsia"/>
                <w:color w:val="auto"/>
                <w:highlight w:val="none"/>
                <w:lang w:val="en-US" w:eastAsia="zh-CN"/>
              </w:rPr>
              <w:t>0.2km，采用DN250焊接钢管，由采矿工业场地采矿生产水池连接至选矿厂生产回水池和</w:t>
            </w:r>
            <w:r>
              <w:rPr>
                <w:rFonts w:hint="eastAsia"/>
                <w:color w:val="auto"/>
                <w:highlight w:val="none"/>
                <w:lang w:eastAsia="zh-CN"/>
              </w:rPr>
              <w:t>高位</w:t>
            </w:r>
            <w:r>
              <w:rPr>
                <w:rFonts w:hint="eastAsia"/>
                <w:color w:val="auto"/>
                <w:highlight w:val="none"/>
              </w:rPr>
              <w:t>生产回水池</w:t>
            </w:r>
            <w:r>
              <w:rPr>
                <w:rFonts w:hint="eastAsia"/>
                <w:color w:val="auto"/>
                <w:highlight w:val="none"/>
                <w:lang w:eastAsia="zh-CN"/>
              </w:rPr>
              <w:t>。</w:t>
            </w:r>
          </w:p>
          <w:p w14:paraId="09BD33CC">
            <w:pPr>
              <w:pStyle w:val="17"/>
              <w:bidi w:val="0"/>
              <w:ind w:firstLine="0" w:firstLineChars="0"/>
              <w:jc w:val="center"/>
              <w:rPr>
                <w:rFonts w:hint="eastAsia"/>
                <w:color w:val="auto"/>
                <w:highlight w:val="none"/>
                <w:lang w:val="en-US" w:eastAsia="zh-CN"/>
              </w:rPr>
            </w:pPr>
            <w:r>
              <w:rPr>
                <w:rFonts w:hint="eastAsia"/>
                <w:color w:val="auto"/>
                <w:highlight w:val="none"/>
                <w:lang w:val="en-US" w:eastAsia="zh-CN"/>
              </w:rPr>
              <w:t>生活用水：</w:t>
            </w:r>
            <w:r>
              <w:rPr>
                <w:rFonts w:hint="default"/>
                <w:color w:val="auto"/>
                <w:highlight w:val="none"/>
                <w:lang w:val="en-US" w:eastAsia="zh-CN"/>
              </w:rPr>
              <w:t>在阿克苏河岸及矿区采矿降水影响半径范围外新建大口取水井一口，</w:t>
            </w:r>
            <w:r>
              <w:rPr>
                <w:rFonts w:hint="eastAsia"/>
                <w:color w:val="auto"/>
                <w:highlight w:val="none"/>
                <w:lang w:val="en-US" w:eastAsia="zh-CN"/>
              </w:rPr>
              <w:t>设置生活用水取水泵，输送至矿区生活用水处理车间。生活输水管道采用DN160给水PE管，冻土下埋地敷设，管线长度约2km。</w:t>
            </w:r>
          </w:p>
        </w:tc>
        <w:tc>
          <w:tcPr>
            <w:tcW w:w="2014" w:type="pct"/>
            <w:gridSpan w:val="2"/>
            <w:vAlign w:val="center"/>
          </w:tcPr>
          <w:p w14:paraId="7AB65B92">
            <w:pPr>
              <w:pStyle w:val="17"/>
              <w:bidi w:val="0"/>
              <w:ind w:firstLine="0" w:firstLineChars="0"/>
              <w:jc w:val="center"/>
              <w:rPr>
                <w:rFonts w:hint="eastAsia"/>
                <w:color w:val="auto"/>
                <w:highlight w:val="none"/>
                <w:lang w:val="en-US" w:eastAsia="zh-CN"/>
              </w:rPr>
            </w:pPr>
            <w:r>
              <w:rPr>
                <w:rFonts w:hint="eastAsia"/>
                <w:color w:val="auto"/>
                <w:highlight w:val="none"/>
                <w:lang w:val="en-US" w:eastAsia="zh-CN"/>
              </w:rPr>
              <w:t>生产用水：矿区涌水经过坑内水净化站处理后，泵送至选厂容积2000m</w:t>
            </w:r>
            <w:r>
              <w:rPr>
                <w:rFonts w:hint="eastAsia"/>
                <w:color w:val="auto"/>
                <w:highlight w:val="none"/>
                <w:vertAlign w:val="superscript"/>
                <w:lang w:val="en-US" w:eastAsia="zh-CN"/>
              </w:rPr>
              <w:t>3</w:t>
            </w:r>
            <w:r>
              <w:rPr>
                <w:rFonts w:hint="eastAsia"/>
                <w:color w:val="auto"/>
                <w:highlight w:val="none"/>
                <w:lang w:val="en-US" w:eastAsia="zh-CN"/>
              </w:rPr>
              <w:t>生产消防高位水池，作为生产水使用。</w:t>
            </w:r>
          </w:p>
          <w:p w14:paraId="173316C8">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矿山井下涌水不足时，以阿克苏河地表水作为补充水源。取水水源为若羌河上游支流-阿克苏河地表水，水源来自南部山区冰川融水，取水口位于矿区东南方向，直线距离约8.5km。水源地来水经</w:t>
            </w:r>
            <w:r>
              <w:rPr>
                <w:color w:val="auto"/>
                <w:highlight w:val="none"/>
                <w:lang w:val="en-US" w:eastAsia="zh-CN"/>
              </w:rPr>
              <w:t>给水净化站</w:t>
            </w:r>
            <w:r>
              <w:rPr>
                <w:rFonts w:hint="eastAsia"/>
                <w:color w:val="auto"/>
                <w:highlight w:val="none"/>
                <w:lang w:val="en-US" w:eastAsia="zh-CN"/>
              </w:rPr>
              <w:t>处理后，泵送至选厂容积2000m</w:t>
            </w:r>
            <w:r>
              <w:rPr>
                <w:rFonts w:hint="eastAsia"/>
                <w:color w:val="auto"/>
                <w:highlight w:val="none"/>
                <w:vertAlign w:val="superscript"/>
                <w:lang w:val="en-US" w:eastAsia="zh-CN"/>
              </w:rPr>
              <w:t>3</w:t>
            </w:r>
            <w:r>
              <w:rPr>
                <w:rFonts w:hint="eastAsia"/>
                <w:color w:val="auto"/>
                <w:highlight w:val="none"/>
                <w:lang w:val="en-US" w:eastAsia="zh-CN"/>
              </w:rPr>
              <w:t>生产消防高位水池，作为生产水使用。</w:t>
            </w:r>
          </w:p>
          <w:p w14:paraId="186568E7">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生活用水：取水水源为若羌河上游支流-阿克苏河地表水，经</w:t>
            </w:r>
            <w:r>
              <w:rPr>
                <w:color w:val="auto"/>
                <w:highlight w:val="none"/>
                <w:lang w:val="en-US" w:eastAsia="zh-CN"/>
              </w:rPr>
              <w:t>给水净化站内设生活水处理设施</w:t>
            </w:r>
            <w:r>
              <w:rPr>
                <w:rFonts w:hint="eastAsia"/>
                <w:color w:val="auto"/>
                <w:highlight w:val="none"/>
                <w:lang w:val="en-US" w:eastAsia="zh-CN"/>
              </w:rPr>
              <w:t>过滤、消毒后，用泵送至容积300m</w:t>
            </w:r>
            <w:r>
              <w:rPr>
                <w:rFonts w:hint="eastAsia"/>
                <w:color w:val="auto"/>
                <w:highlight w:val="none"/>
                <w:vertAlign w:val="superscript"/>
                <w:lang w:val="en-US" w:eastAsia="zh-CN"/>
              </w:rPr>
              <w:t>3</w:t>
            </w:r>
            <w:r>
              <w:rPr>
                <w:rFonts w:hint="eastAsia"/>
                <w:color w:val="auto"/>
                <w:highlight w:val="none"/>
                <w:lang w:val="en-US" w:eastAsia="zh-CN"/>
              </w:rPr>
              <w:t>生活高位</w:t>
            </w:r>
            <w:r>
              <w:rPr>
                <w:color w:val="auto"/>
                <w:highlight w:val="none"/>
                <w:lang w:val="en-US" w:eastAsia="zh-CN"/>
              </w:rPr>
              <w:t>水池，供生活使用。</w:t>
            </w:r>
          </w:p>
        </w:tc>
        <w:tc>
          <w:tcPr>
            <w:tcW w:w="689" w:type="pct"/>
            <w:vAlign w:val="center"/>
          </w:tcPr>
          <w:p w14:paraId="1055CA1C">
            <w:pPr>
              <w:pStyle w:val="17"/>
              <w:bidi w:val="0"/>
              <w:jc w:val="center"/>
              <w:rPr>
                <w:rFonts w:hint="default"/>
                <w:color w:val="auto"/>
                <w:highlight w:val="none"/>
                <w:lang w:val="en-US"/>
              </w:rPr>
            </w:pPr>
            <w:r>
              <w:rPr>
                <w:rFonts w:hint="eastAsia"/>
                <w:color w:val="auto"/>
                <w:highlight w:val="none"/>
                <w:lang w:val="en-US" w:eastAsia="zh-CN"/>
              </w:rPr>
              <w:t>生活用水由新建地下水取水井取水改为河道取水，取消地下水井的建设，不属于重大变动</w:t>
            </w:r>
          </w:p>
        </w:tc>
      </w:tr>
      <w:tr w14:paraId="4787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trPr>
        <w:tc>
          <w:tcPr>
            <w:tcW w:w="151" w:type="pct"/>
            <w:vMerge w:val="continue"/>
            <w:vAlign w:val="center"/>
          </w:tcPr>
          <w:p w14:paraId="74CFC21A">
            <w:pPr>
              <w:pStyle w:val="17"/>
              <w:bidi w:val="0"/>
              <w:jc w:val="center"/>
              <w:rPr>
                <w:rFonts w:hint="default" w:eastAsia="宋体"/>
                <w:color w:val="auto"/>
                <w:highlight w:val="none"/>
                <w:lang w:val="en-US" w:eastAsia="zh-CN"/>
              </w:rPr>
            </w:pPr>
          </w:p>
        </w:tc>
        <w:tc>
          <w:tcPr>
            <w:tcW w:w="304" w:type="pct"/>
            <w:gridSpan w:val="2"/>
            <w:vMerge w:val="restart"/>
            <w:vAlign w:val="center"/>
          </w:tcPr>
          <w:p w14:paraId="4C325F21">
            <w:pPr>
              <w:pStyle w:val="17"/>
              <w:bidi w:val="0"/>
              <w:ind w:firstLine="0" w:firstLineChars="0"/>
              <w:jc w:val="center"/>
              <w:rPr>
                <w:rFonts w:hint="eastAsia" w:eastAsia="宋体"/>
                <w:color w:val="auto"/>
                <w:highlight w:val="none"/>
                <w:lang w:val="en-US" w:eastAsia="zh-CN"/>
              </w:rPr>
            </w:pPr>
            <w:r>
              <w:rPr>
                <w:rFonts w:hint="eastAsia"/>
                <w:color w:val="auto"/>
                <w:highlight w:val="none"/>
                <w:lang w:val="en-US" w:eastAsia="zh-CN"/>
              </w:rPr>
              <w:t>排水工程</w:t>
            </w:r>
          </w:p>
        </w:tc>
        <w:tc>
          <w:tcPr>
            <w:tcW w:w="301" w:type="pct"/>
            <w:shd w:val="clear" w:color="auto" w:fill="auto"/>
            <w:vAlign w:val="center"/>
          </w:tcPr>
          <w:p w14:paraId="2AFD610B">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生产废水</w:t>
            </w:r>
          </w:p>
        </w:tc>
        <w:tc>
          <w:tcPr>
            <w:tcW w:w="1539" w:type="pct"/>
            <w:gridSpan w:val="3"/>
            <w:shd w:val="clear" w:color="auto" w:fill="auto"/>
            <w:vAlign w:val="center"/>
          </w:tcPr>
          <w:p w14:paraId="6FFEBB88">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生产废水：</w:t>
            </w:r>
          </w:p>
          <w:p w14:paraId="056144A9">
            <w:pPr>
              <w:pStyle w:val="17"/>
              <w:bidi w:val="0"/>
              <w:ind w:firstLine="0" w:firstLineChars="0"/>
              <w:jc w:val="center"/>
              <w:rPr>
                <w:rFonts w:hint="eastAsia"/>
                <w:color w:val="auto"/>
                <w:highlight w:val="none"/>
                <w:lang w:val="en-US" w:eastAsia="zh-CN"/>
              </w:rPr>
            </w:pPr>
            <w:r>
              <w:rPr>
                <w:rFonts w:hint="default"/>
                <w:color w:val="auto"/>
                <w:highlight w:val="none"/>
                <w:lang w:val="en-US" w:eastAsia="zh-CN"/>
              </w:rPr>
              <w:t>地下涌水排出地表至采矿生产消防水池，满足充填用水、井下作业用水和井下消防用水</w:t>
            </w:r>
            <w:r>
              <w:rPr>
                <w:rFonts w:hint="eastAsia"/>
                <w:color w:val="auto"/>
                <w:highlight w:val="none"/>
                <w:lang w:val="en-US" w:eastAsia="zh-CN"/>
              </w:rPr>
              <w:t>。后期井下涌水剩余时，通过管道输送至配套选矿厂用于选矿生产用水。</w:t>
            </w:r>
            <w:r>
              <w:rPr>
                <w:rFonts w:hint="eastAsia"/>
                <w:color w:val="auto"/>
                <w:highlight w:val="none"/>
              </w:rPr>
              <w:t>选矿废水部分被</w:t>
            </w:r>
            <w:r>
              <w:rPr>
                <w:rFonts w:hint="eastAsia"/>
                <w:color w:val="auto"/>
                <w:highlight w:val="none"/>
                <w:lang w:eastAsia="zh-CN"/>
              </w:rPr>
              <w:t>萤石</w:t>
            </w:r>
            <w:r>
              <w:rPr>
                <w:rFonts w:hint="eastAsia"/>
                <w:color w:val="auto"/>
                <w:highlight w:val="none"/>
              </w:rPr>
              <w:t>精</w:t>
            </w:r>
            <w:r>
              <w:rPr>
                <w:rFonts w:hint="eastAsia"/>
                <w:color w:val="auto"/>
                <w:highlight w:val="none"/>
                <w:lang w:eastAsia="zh-CN"/>
              </w:rPr>
              <w:t>矿</w:t>
            </w:r>
            <w:r>
              <w:rPr>
                <w:rFonts w:hint="eastAsia"/>
                <w:color w:val="auto"/>
                <w:highlight w:val="none"/>
              </w:rPr>
              <w:t>带走，</w:t>
            </w:r>
            <w:r>
              <w:rPr>
                <w:rFonts w:hint="eastAsia"/>
                <w:color w:val="auto"/>
                <w:highlight w:val="none"/>
                <w:lang w:eastAsia="zh-CN"/>
              </w:rPr>
              <w:t>精矿压滤</w:t>
            </w:r>
            <w:r>
              <w:rPr>
                <w:rFonts w:hint="eastAsia"/>
                <w:color w:val="auto"/>
                <w:highlight w:val="none"/>
              </w:rPr>
              <w:t>水、尾矿浓缩溢流水返回生产工序循环利用，尾矿矿浆通过管道输送至尾矿库，尾矿库设有回水系统，使用水泵将库内澄清水通过管道泵送至选矿厂生产水池</w:t>
            </w:r>
            <w:r>
              <w:rPr>
                <w:rFonts w:hint="eastAsia"/>
                <w:color w:val="auto"/>
                <w:highlight w:val="none"/>
                <w:lang w:eastAsia="zh-CN"/>
              </w:rPr>
              <w:t>（</w:t>
            </w:r>
            <w:r>
              <w:rPr>
                <w:rFonts w:hint="eastAsia"/>
                <w:color w:val="auto"/>
                <w:highlight w:val="none"/>
                <w:lang w:val="en-US" w:eastAsia="zh-CN"/>
              </w:rPr>
              <w:t>1000m</w:t>
            </w:r>
            <w:r>
              <w:rPr>
                <w:rFonts w:hint="eastAsia"/>
                <w:color w:val="auto"/>
                <w:highlight w:val="none"/>
                <w:vertAlign w:val="superscript"/>
                <w:lang w:val="en-US" w:eastAsia="zh-CN"/>
              </w:rPr>
              <w:t>3</w:t>
            </w:r>
            <w:r>
              <w:rPr>
                <w:rFonts w:hint="eastAsia"/>
                <w:color w:val="auto"/>
                <w:highlight w:val="none"/>
                <w:lang w:eastAsia="zh-CN"/>
              </w:rPr>
              <w:t>）和高位</w:t>
            </w:r>
            <w:r>
              <w:rPr>
                <w:rFonts w:hint="eastAsia"/>
                <w:color w:val="auto"/>
                <w:highlight w:val="none"/>
              </w:rPr>
              <w:t>生产回水池</w:t>
            </w:r>
            <w:r>
              <w:rPr>
                <w:rFonts w:hint="eastAsia"/>
                <w:color w:val="auto"/>
                <w:highlight w:val="none"/>
                <w:lang w:eastAsia="zh-CN"/>
              </w:rPr>
              <w:t>（</w:t>
            </w:r>
            <w:r>
              <w:rPr>
                <w:rFonts w:hint="eastAsia"/>
                <w:color w:val="auto"/>
                <w:highlight w:val="none"/>
                <w:lang w:val="en-US" w:eastAsia="zh-CN"/>
              </w:rPr>
              <w:t>2000m</w:t>
            </w:r>
            <w:r>
              <w:rPr>
                <w:rFonts w:hint="eastAsia"/>
                <w:color w:val="auto"/>
                <w:highlight w:val="none"/>
                <w:vertAlign w:val="superscript"/>
                <w:lang w:val="en-US" w:eastAsia="zh-CN"/>
              </w:rPr>
              <w:t>3</w:t>
            </w:r>
            <w:r>
              <w:rPr>
                <w:rFonts w:hint="eastAsia"/>
                <w:color w:val="auto"/>
                <w:highlight w:val="none"/>
                <w:lang w:eastAsia="zh-CN"/>
              </w:rPr>
              <w:t>）</w:t>
            </w:r>
            <w:r>
              <w:rPr>
                <w:rFonts w:hint="eastAsia"/>
                <w:color w:val="auto"/>
                <w:highlight w:val="none"/>
              </w:rPr>
              <w:t>，供选矿循环使用，</w:t>
            </w:r>
            <w:r>
              <w:rPr>
                <w:color w:val="auto"/>
                <w:highlight w:val="none"/>
              </w:rPr>
              <w:t>实现生产废水</w:t>
            </w:r>
            <w:r>
              <w:rPr>
                <w:rFonts w:hint="eastAsia"/>
                <w:color w:val="auto"/>
                <w:highlight w:val="none"/>
              </w:rPr>
              <w:t>“</w:t>
            </w:r>
            <w:r>
              <w:rPr>
                <w:color w:val="auto"/>
                <w:highlight w:val="none"/>
              </w:rPr>
              <w:t>闭路循环</w:t>
            </w:r>
            <w:r>
              <w:rPr>
                <w:rFonts w:hint="eastAsia"/>
                <w:color w:val="auto"/>
                <w:highlight w:val="none"/>
              </w:rPr>
              <w:t>”</w:t>
            </w:r>
            <w:r>
              <w:rPr>
                <w:color w:val="auto"/>
                <w:highlight w:val="none"/>
              </w:rPr>
              <w:t>，不外排。</w:t>
            </w:r>
            <w:r>
              <w:rPr>
                <w:rFonts w:hint="eastAsia"/>
                <w:color w:val="auto"/>
                <w:highlight w:val="none"/>
              </w:rPr>
              <w:t>锅炉排污水、软水废水经沉淀池处理后用于</w:t>
            </w:r>
            <w:r>
              <w:rPr>
                <w:rFonts w:hint="eastAsia"/>
                <w:color w:val="auto"/>
                <w:highlight w:val="none"/>
                <w:lang w:eastAsia="zh-CN"/>
              </w:rPr>
              <w:t>降尘</w:t>
            </w:r>
            <w:r>
              <w:rPr>
                <w:rFonts w:hint="eastAsia"/>
                <w:color w:val="auto"/>
                <w:highlight w:val="none"/>
              </w:rPr>
              <w:t>使用。化验废水全部通过管路输入选矿生产工序循环使用，做到零排放。</w:t>
            </w:r>
          </w:p>
        </w:tc>
        <w:tc>
          <w:tcPr>
            <w:tcW w:w="2014" w:type="pct"/>
            <w:gridSpan w:val="2"/>
            <w:shd w:val="clear" w:color="auto" w:fill="auto"/>
            <w:vAlign w:val="center"/>
          </w:tcPr>
          <w:p w14:paraId="0E723DEE">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矿区涌水经过坑内水净化站处理后，泵送至选厂容积2000m</w:t>
            </w:r>
            <w:r>
              <w:rPr>
                <w:rFonts w:hint="eastAsia"/>
                <w:color w:val="auto"/>
                <w:highlight w:val="none"/>
                <w:vertAlign w:val="superscript"/>
                <w:lang w:val="en-US" w:eastAsia="zh-CN"/>
              </w:rPr>
              <w:t>3</w:t>
            </w:r>
            <w:r>
              <w:rPr>
                <w:rFonts w:hint="eastAsia"/>
                <w:color w:val="auto"/>
                <w:highlight w:val="none"/>
                <w:lang w:val="en-US" w:eastAsia="zh-CN"/>
              </w:rPr>
              <w:t>生产消防高位水池，作为生产水使用。</w:t>
            </w:r>
            <w:r>
              <w:rPr>
                <w:rFonts w:hint="eastAsia"/>
                <w:color w:val="auto"/>
                <w:highlight w:val="none"/>
              </w:rPr>
              <w:t>选矿废水部分被</w:t>
            </w:r>
            <w:r>
              <w:rPr>
                <w:rFonts w:hint="eastAsia"/>
                <w:color w:val="auto"/>
                <w:highlight w:val="none"/>
                <w:lang w:eastAsia="zh-CN"/>
              </w:rPr>
              <w:t>萤石</w:t>
            </w:r>
            <w:r>
              <w:rPr>
                <w:rFonts w:hint="eastAsia"/>
                <w:color w:val="auto"/>
                <w:highlight w:val="none"/>
              </w:rPr>
              <w:t>精</w:t>
            </w:r>
            <w:r>
              <w:rPr>
                <w:rFonts w:hint="eastAsia"/>
                <w:color w:val="auto"/>
                <w:highlight w:val="none"/>
                <w:lang w:eastAsia="zh-CN"/>
              </w:rPr>
              <w:t>矿</w:t>
            </w:r>
            <w:r>
              <w:rPr>
                <w:rFonts w:hint="eastAsia"/>
                <w:color w:val="auto"/>
                <w:highlight w:val="none"/>
              </w:rPr>
              <w:t>带走，</w:t>
            </w:r>
            <w:r>
              <w:rPr>
                <w:rFonts w:hint="eastAsia"/>
                <w:color w:val="auto"/>
                <w:highlight w:val="none"/>
                <w:lang w:val="en-US" w:eastAsia="zh-CN"/>
              </w:rPr>
              <w:t>其他全部</w:t>
            </w:r>
            <w:r>
              <w:rPr>
                <w:rFonts w:hint="eastAsia"/>
                <w:color w:val="auto"/>
                <w:highlight w:val="none"/>
              </w:rPr>
              <w:t>循环利用，尾矿库回水通过管道泵送至选矿厂</w:t>
            </w:r>
            <w:r>
              <w:rPr>
                <w:rFonts w:hint="eastAsia"/>
                <w:color w:val="auto"/>
                <w:highlight w:val="none"/>
                <w:lang w:eastAsia="zh-CN"/>
              </w:rPr>
              <w:t>高位</w:t>
            </w:r>
            <w:r>
              <w:rPr>
                <w:rFonts w:hint="eastAsia"/>
                <w:color w:val="auto"/>
                <w:highlight w:val="none"/>
              </w:rPr>
              <w:t>生产回水池</w:t>
            </w:r>
            <w:r>
              <w:rPr>
                <w:rFonts w:hint="eastAsia"/>
                <w:color w:val="auto"/>
                <w:highlight w:val="none"/>
                <w:lang w:eastAsia="zh-CN"/>
              </w:rPr>
              <w:t>（</w:t>
            </w:r>
            <w:r>
              <w:rPr>
                <w:rFonts w:hint="eastAsia"/>
                <w:color w:val="auto"/>
                <w:highlight w:val="none"/>
                <w:lang w:val="en-US" w:eastAsia="zh-CN"/>
              </w:rPr>
              <w:t>4000m</w:t>
            </w:r>
            <w:r>
              <w:rPr>
                <w:rFonts w:hint="eastAsia"/>
                <w:color w:val="auto"/>
                <w:highlight w:val="none"/>
                <w:vertAlign w:val="superscript"/>
                <w:lang w:val="en-US" w:eastAsia="zh-CN"/>
              </w:rPr>
              <w:t>3</w:t>
            </w:r>
            <w:r>
              <w:rPr>
                <w:rFonts w:hint="eastAsia"/>
                <w:color w:val="auto"/>
                <w:highlight w:val="none"/>
                <w:lang w:eastAsia="zh-CN"/>
              </w:rPr>
              <w:t>）</w:t>
            </w:r>
            <w:r>
              <w:rPr>
                <w:rFonts w:hint="eastAsia"/>
                <w:color w:val="auto"/>
                <w:highlight w:val="none"/>
              </w:rPr>
              <w:t>，供选矿循环使用，</w:t>
            </w:r>
            <w:r>
              <w:rPr>
                <w:color w:val="auto"/>
                <w:highlight w:val="none"/>
              </w:rPr>
              <w:t>实现生产废水</w:t>
            </w:r>
            <w:r>
              <w:rPr>
                <w:rFonts w:hint="eastAsia"/>
                <w:color w:val="auto"/>
                <w:highlight w:val="none"/>
              </w:rPr>
              <w:t>“</w:t>
            </w:r>
            <w:r>
              <w:rPr>
                <w:color w:val="auto"/>
                <w:highlight w:val="none"/>
              </w:rPr>
              <w:t>闭路循环</w:t>
            </w:r>
            <w:r>
              <w:rPr>
                <w:rFonts w:hint="eastAsia"/>
                <w:color w:val="auto"/>
                <w:highlight w:val="none"/>
              </w:rPr>
              <w:t>”</w:t>
            </w:r>
            <w:r>
              <w:rPr>
                <w:color w:val="auto"/>
                <w:highlight w:val="none"/>
              </w:rPr>
              <w:t>，不外排。</w:t>
            </w:r>
            <w:r>
              <w:rPr>
                <w:rFonts w:hint="eastAsia"/>
                <w:color w:val="auto"/>
                <w:highlight w:val="none"/>
              </w:rPr>
              <w:t>锅炉排污水、软水废水</w:t>
            </w:r>
            <w:r>
              <w:rPr>
                <w:rFonts w:hint="eastAsia"/>
                <w:color w:val="auto"/>
                <w:highlight w:val="none"/>
                <w:lang w:eastAsia="zh-CN"/>
              </w:rPr>
              <w:t>、</w:t>
            </w:r>
            <w:r>
              <w:rPr>
                <w:rFonts w:hint="eastAsia"/>
                <w:color w:val="auto"/>
                <w:highlight w:val="none"/>
                <w:lang w:val="en-US" w:eastAsia="zh-CN"/>
              </w:rPr>
              <w:t>碱液吸收塔废水回用于选矿</w:t>
            </w:r>
            <w:r>
              <w:rPr>
                <w:rFonts w:hint="eastAsia"/>
                <w:color w:val="auto"/>
                <w:highlight w:val="none"/>
              </w:rPr>
              <w:t>。化验废水全部通过管路输入选矿生产工序循环使用，做到零排放。</w:t>
            </w:r>
          </w:p>
        </w:tc>
        <w:tc>
          <w:tcPr>
            <w:tcW w:w="689" w:type="pct"/>
            <w:vAlign w:val="center"/>
          </w:tcPr>
          <w:p w14:paraId="5A0E6A52">
            <w:pPr>
              <w:pStyle w:val="17"/>
              <w:bidi w:val="0"/>
              <w:jc w:val="center"/>
              <w:rPr>
                <w:rFonts w:hint="default"/>
                <w:color w:val="auto"/>
                <w:highlight w:val="none"/>
                <w:vertAlign w:val="baseline"/>
                <w:lang w:val="en-US"/>
              </w:rPr>
            </w:pPr>
            <w:r>
              <w:rPr>
                <w:rFonts w:hint="eastAsia"/>
                <w:color w:val="auto"/>
                <w:highlight w:val="none"/>
                <w:lang w:val="en-US" w:eastAsia="zh-CN"/>
              </w:rPr>
              <w:t>生产水池容积增大1000m</w:t>
            </w:r>
            <w:r>
              <w:rPr>
                <w:rFonts w:hint="eastAsia"/>
                <w:color w:val="auto"/>
                <w:highlight w:val="none"/>
                <w:vertAlign w:val="superscript"/>
                <w:lang w:val="en-US" w:eastAsia="zh-CN"/>
              </w:rPr>
              <w:t>3</w:t>
            </w:r>
            <w:r>
              <w:rPr>
                <w:rFonts w:hint="eastAsia"/>
                <w:color w:val="auto"/>
                <w:highlight w:val="none"/>
                <w:vertAlign w:val="baseline"/>
                <w:lang w:val="en-US" w:eastAsia="zh-CN"/>
              </w:rPr>
              <w:t>，</w:t>
            </w:r>
            <w:r>
              <w:rPr>
                <w:rFonts w:hint="eastAsia"/>
                <w:color w:val="auto"/>
                <w:highlight w:val="none"/>
                <w:lang w:val="en-US" w:eastAsia="zh-CN"/>
              </w:rPr>
              <w:t>回水池容积增大2000m</w:t>
            </w:r>
            <w:r>
              <w:rPr>
                <w:rFonts w:hint="eastAsia"/>
                <w:color w:val="auto"/>
                <w:highlight w:val="none"/>
                <w:vertAlign w:val="superscript"/>
                <w:lang w:val="en-US" w:eastAsia="zh-CN"/>
              </w:rPr>
              <w:t>3</w:t>
            </w:r>
            <w:r>
              <w:rPr>
                <w:rFonts w:hint="eastAsia"/>
                <w:color w:val="auto"/>
                <w:highlight w:val="none"/>
                <w:vertAlign w:val="baseline"/>
                <w:lang w:val="en-US" w:eastAsia="zh-CN"/>
              </w:rPr>
              <w:t>，属于重大变动</w:t>
            </w:r>
          </w:p>
        </w:tc>
      </w:tr>
      <w:tr w14:paraId="76A6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762E50AF">
            <w:pPr>
              <w:pStyle w:val="17"/>
              <w:bidi w:val="0"/>
              <w:jc w:val="center"/>
              <w:rPr>
                <w:rFonts w:hint="default" w:eastAsia="宋体"/>
                <w:color w:val="auto"/>
                <w:highlight w:val="none"/>
                <w:lang w:val="en-US" w:eastAsia="zh-CN"/>
              </w:rPr>
            </w:pPr>
          </w:p>
        </w:tc>
        <w:tc>
          <w:tcPr>
            <w:tcW w:w="304" w:type="pct"/>
            <w:gridSpan w:val="2"/>
            <w:vMerge w:val="continue"/>
            <w:vAlign w:val="center"/>
          </w:tcPr>
          <w:p w14:paraId="2D1EA4B1">
            <w:pPr>
              <w:pStyle w:val="17"/>
              <w:bidi w:val="0"/>
              <w:ind w:firstLine="0" w:firstLineChars="0"/>
              <w:jc w:val="center"/>
              <w:rPr>
                <w:rFonts w:hint="eastAsia"/>
                <w:color w:val="auto"/>
                <w:highlight w:val="none"/>
                <w:lang w:val="en-US" w:eastAsia="zh-CN"/>
              </w:rPr>
            </w:pPr>
          </w:p>
        </w:tc>
        <w:tc>
          <w:tcPr>
            <w:tcW w:w="301" w:type="pct"/>
            <w:shd w:val="clear" w:color="auto" w:fill="auto"/>
            <w:vAlign w:val="center"/>
          </w:tcPr>
          <w:p w14:paraId="52FFFF28">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生活污水</w:t>
            </w:r>
          </w:p>
        </w:tc>
        <w:tc>
          <w:tcPr>
            <w:tcW w:w="1539" w:type="pct"/>
            <w:gridSpan w:val="3"/>
            <w:shd w:val="clear" w:color="auto" w:fill="auto"/>
            <w:vAlign w:val="center"/>
          </w:tcPr>
          <w:p w14:paraId="600FB0FB">
            <w:pPr>
              <w:pStyle w:val="17"/>
              <w:bidi w:val="0"/>
              <w:jc w:val="center"/>
              <w:rPr>
                <w:rFonts w:hint="default"/>
                <w:color w:val="auto"/>
                <w:highlight w:val="none"/>
                <w:lang w:val="en-US" w:eastAsia="zh-CN"/>
              </w:rPr>
            </w:pPr>
            <w:r>
              <w:rPr>
                <w:rFonts w:hint="default"/>
                <w:color w:val="auto"/>
                <w:highlight w:val="none"/>
                <w:lang w:val="en-US" w:eastAsia="zh-CN"/>
              </w:rPr>
              <w:t>食堂污水</w:t>
            </w:r>
            <w:r>
              <w:rPr>
                <w:rFonts w:hint="eastAsia"/>
                <w:color w:val="auto"/>
                <w:highlight w:val="none"/>
                <w:lang w:val="en-US" w:eastAsia="zh-CN"/>
              </w:rPr>
              <w:t>经隔油处理后与其他生活污水</w:t>
            </w:r>
            <w:r>
              <w:rPr>
                <w:rFonts w:hint="default"/>
                <w:color w:val="auto"/>
                <w:highlight w:val="none"/>
                <w:lang w:val="en-US" w:eastAsia="zh-CN"/>
              </w:rPr>
              <w:t>经室外生活污水排水管道汇集后排入生活区下游生活污水处理设施，一并进行处理。</w:t>
            </w:r>
            <w:r>
              <w:rPr>
                <w:rFonts w:hint="eastAsia"/>
                <w:color w:val="auto"/>
                <w:highlight w:val="none"/>
                <w:lang w:val="en-US" w:eastAsia="zh-CN"/>
              </w:rPr>
              <w:t>根据项目区位于高寒偏远山区的特殊情况，</w:t>
            </w:r>
            <w:r>
              <w:rPr>
                <w:rFonts w:hint="default"/>
                <w:color w:val="auto"/>
                <w:highlight w:val="none"/>
                <w:lang w:val="en-US" w:eastAsia="zh-CN"/>
              </w:rPr>
              <w:t>生活污水处理采用</w:t>
            </w:r>
            <w:r>
              <w:rPr>
                <w:rFonts w:hint="eastAsia"/>
                <w:color w:val="auto"/>
                <w:highlight w:val="none"/>
                <w:lang w:val="en-US" w:eastAsia="zh-CN"/>
              </w:rPr>
              <w:t>地埋式污水</w:t>
            </w:r>
            <w:r>
              <w:rPr>
                <w:rFonts w:hint="default"/>
                <w:color w:val="auto"/>
                <w:highlight w:val="none"/>
                <w:lang w:val="en-US" w:eastAsia="zh-CN"/>
              </w:rPr>
              <w:t>处理设施，处理能力</w:t>
            </w:r>
            <w:r>
              <w:rPr>
                <w:rFonts w:hint="eastAsia"/>
                <w:color w:val="auto"/>
                <w:highlight w:val="none"/>
                <w:lang w:val="en-US" w:eastAsia="zh-CN"/>
              </w:rPr>
              <w:t>3</w:t>
            </w:r>
            <w:r>
              <w:rPr>
                <w:rFonts w:hint="default"/>
                <w:color w:val="auto"/>
                <w:highlight w:val="none"/>
                <w:lang w:val="en-US" w:eastAsia="zh-CN"/>
              </w:rPr>
              <w:t>m</w:t>
            </w:r>
            <w:r>
              <w:rPr>
                <w:rFonts w:hint="default"/>
                <w:color w:val="auto"/>
                <w:highlight w:val="none"/>
                <w:vertAlign w:val="superscript"/>
                <w:lang w:val="en-US" w:eastAsia="zh-CN"/>
              </w:rPr>
              <w:t>3</w:t>
            </w:r>
            <w:r>
              <w:rPr>
                <w:rFonts w:hint="default"/>
                <w:color w:val="auto"/>
                <w:highlight w:val="none"/>
                <w:lang w:val="en-US" w:eastAsia="zh-CN"/>
              </w:rPr>
              <w:t>/h，出水达到《农村生活污水处理排放标准》（DB654275-2019）表</w:t>
            </w:r>
            <w:r>
              <w:rPr>
                <w:rFonts w:hint="eastAsia"/>
                <w:color w:val="auto"/>
                <w:highlight w:val="none"/>
                <w:lang w:val="en-US" w:eastAsia="zh-CN"/>
              </w:rPr>
              <w:t>1</w:t>
            </w:r>
            <w:r>
              <w:rPr>
                <w:rFonts w:hint="default"/>
                <w:color w:val="auto"/>
                <w:highlight w:val="none"/>
                <w:lang w:val="en-US" w:eastAsia="zh-CN"/>
              </w:rPr>
              <w:t>中</w:t>
            </w:r>
            <w:r>
              <w:rPr>
                <w:rFonts w:hint="eastAsia"/>
                <w:color w:val="auto"/>
                <w:highlight w:val="none"/>
                <w:lang w:val="en-US" w:eastAsia="zh-CN"/>
              </w:rPr>
              <w:t>一</w:t>
            </w:r>
            <w:r>
              <w:rPr>
                <w:rFonts w:hint="default"/>
                <w:color w:val="auto"/>
                <w:highlight w:val="none"/>
                <w:lang w:val="en-US" w:eastAsia="zh-CN"/>
              </w:rPr>
              <w:t>级标准后用于</w:t>
            </w:r>
            <w:r>
              <w:rPr>
                <w:rFonts w:hint="eastAsia"/>
                <w:color w:val="auto"/>
                <w:highlight w:val="none"/>
                <w:lang w:val="en-US" w:eastAsia="zh-CN"/>
              </w:rPr>
              <w:t>生活区</w:t>
            </w:r>
            <w:r>
              <w:rPr>
                <w:rFonts w:hint="default"/>
                <w:color w:val="auto"/>
                <w:highlight w:val="none"/>
                <w:lang w:val="en-US" w:eastAsia="zh-CN"/>
              </w:rPr>
              <w:t>洒水</w:t>
            </w:r>
            <w:r>
              <w:rPr>
                <w:rFonts w:hint="eastAsia"/>
                <w:color w:val="auto"/>
                <w:highlight w:val="none"/>
                <w:lang w:val="en-US" w:eastAsia="zh-CN"/>
              </w:rPr>
              <w:t>、绿化。污泥定期清掏，拉运至若羌县一般工业固体废物填埋场填埋处置。</w:t>
            </w:r>
          </w:p>
        </w:tc>
        <w:tc>
          <w:tcPr>
            <w:tcW w:w="2014" w:type="pct"/>
            <w:gridSpan w:val="2"/>
            <w:shd w:val="clear" w:color="auto" w:fill="auto"/>
            <w:vAlign w:val="center"/>
          </w:tcPr>
          <w:p w14:paraId="68E038B5">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食堂污水</w:t>
            </w:r>
            <w:r>
              <w:rPr>
                <w:rFonts w:hint="eastAsia"/>
                <w:color w:val="auto"/>
                <w:highlight w:val="none"/>
                <w:lang w:val="en-US" w:eastAsia="zh-CN"/>
              </w:rPr>
              <w:t>经隔油处理后与其他生活污水</w:t>
            </w:r>
            <w:r>
              <w:rPr>
                <w:rFonts w:hint="default"/>
                <w:color w:val="auto"/>
                <w:highlight w:val="none"/>
                <w:lang w:val="en-US" w:eastAsia="zh-CN"/>
              </w:rPr>
              <w:t>经室外生活污水排水管道汇集后排入生活区下游生活污水处理设施，一并进行处理。</w:t>
            </w:r>
            <w:r>
              <w:rPr>
                <w:rFonts w:hint="eastAsia"/>
                <w:color w:val="auto"/>
                <w:highlight w:val="none"/>
                <w:lang w:val="en-US" w:eastAsia="zh-CN"/>
              </w:rPr>
              <w:t>根据项目区位于高寒偏远山区的特殊情况，</w:t>
            </w:r>
            <w:r>
              <w:rPr>
                <w:rFonts w:hint="default"/>
                <w:color w:val="auto"/>
                <w:highlight w:val="none"/>
                <w:lang w:val="en-US" w:eastAsia="zh-CN"/>
              </w:rPr>
              <w:t>生活污水处理采用</w:t>
            </w:r>
            <w:r>
              <w:rPr>
                <w:rFonts w:hint="eastAsia"/>
                <w:color w:val="auto"/>
                <w:highlight w:val="none"/>
                <w:lang w:val="en-US" w:eastAsia="zh-CN"/>
              </w:rPr>
              <w:t>地埋式污水</w:t>
            </w:r>
            <w:r>
              <w:rPr>
                <w:rFonts w:hint="default"/>
                <w:color w:val="auto"/>
                <w:highlight w:val="none"/>
                <w:lang w:val="en-US" w:eastAsia="zh-CN"/>
              </w:rPr>
              <w:t>处理设施，处理能力</w:t>
            </w:r>
            <w:r>
              <w:rPr>
                <w:rFonts w:hint="eastAsia"/>
                <w:color w:val="auto"/>
                <w:highlight w:val="none"/>
                <w:lang w:val="en-US" w:eastAsia="zh-CN"/>
              </w:rPr>
              <w:t>200</w:t>
            </w:r>
            <w:r>
              <w:rPr>
                <w:rFonts w:hint="default"/>
                <w:color w:val="auto"/>
                <w:highlight w:val="none"/>
                <w:lang w:val="en-US" w:eastAsia="zh-CN"/>
              </w:rPr>
              <w:t>m</w:t>
            </w:r>
            <w:r>
              <w:rPr>
                <w:rFonts w:hint="default"/>
                <w:color w:val="auto"/>
                <w:highlight w:val="none"/>
                <w:vertAlign w:val="superscript"/>
                <w:lang w:val="en-US" w:eastAsia="zh-CN"/>
              </w:rPr>
              <w:t>3</w:t>
            </w:r>
            <w:r>
              <w:rPr>
                <w:rFonts w:hint="default"/>
                <w:color w:val="auto"/>
                <w:highlight w:val="none"/>
                <w:lang w:val="en-US" w:eastAsia="zh-CN"/>
              </w:rPr>
              <w:t>/</w:t>
            </w:r>
            <w:r>
              <w:rPr>
                <w:rFonts w:hint="eastAsia"/>
                <w:color w:val="auto"/>
                <w:highlight w:val="none"/>
                <w:lang w:val="en-US" w:eastAsia="zh-CN"/>
              </w:rPr>
              <w:t>d</w:t>
            </w:r>
            <w:r>
              <w:rPr>
                <w:rFonts w:hint="default"/>
                <w:color w:val="auto"/>
                <w:highlight w:val="none"/>
                <w:lang w:val="en-US" w:eastAsia="zh-CN"/>
              </w:rPr>
              <w:t>，出水达到《农村生活污水处理排放标准》（DB65 4275-2019）表2中A级标准限值后，用于项目区</w:t>
            </w:r>
            <w:r>
              <w:rPr>
                <w:rFonts w:hint="eastAsia"/>
                <w:color w:val="auto"/>
                <w:highlight w:val="none"/>
                <w:lang w:val="en-US" w:eastAsia="zh-CN"/>
              </w:rPr>
              <w:t>洒水</w:t>
            </w:r>
            <w:r>
              <w:rPr>
                <w:rFonts w:hint="default"/>
                <w:color w:val="auto"/>
                <w:highlight w:val="none"/>
                <w:lang w:val="en-US" w:eastAsia="zh-CN"/>
              </w:rPr>
              <w:t>绿化，不外排</w:t>
            </w:r>
            <w:r>
              <w:rPr>
                <w:rFonts w:hint="eastAsia"/>
                <w:color w:val="auto"/>
                <w:highlight w:val="none"/>
                <w:lang w:val="en-US" w:eastAsia="zh-CN"/>
              </w:rPr>
              <w:t>。污泥定期清掏，拉运至若羌县一般工业固体废物填埋场填埋处置。</w:t>
            </w:r>
          </w:p>
        </w:tc>
        <w:tc>
          <w:tcPr>
            <w:tcW w:w="689" w:type="pct"/>
            <w:vAlign w:val="center"/>
          </w:tcPr>
          <w:p w14:paraId="77C74000">
            <w:pPr>
              <w:pStyle w:val="17"/>
              <w:bidi w:val="0"/>
              <w:jc w:val="center"/>
              <w:rPr>
                <w:rFonts w:hint="default"/>
                <w:color w:val="auto"/>
                <w:highlight w:val="none"/>
                <w:lang w:val="en-US" w:eastAsia="zh-CN"/>
              </w:rPr>
            </w:pPr>
            <w:r>
              <w:rPr>
                <w:rFonts w:hint="eastAsia"/>
                <w:color w:val="auto"/>
                <w:highlight w:val="none"/>
                <w:lang w:val="en-US" w:eastAsia="zh-CN"/>
              </w:rPr>
              <w:t>生活污水处理设施处理能力增加，超过30%，属于重大变动</w:t>
            </w:r>
          </w:p>
        </w:tc>
      </w:tr>
      <w:tr w14:paraId="0511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0960D316">
            <w:pPr>
              <w:pStyle w:val="17"/>
              <w:bidi w:val="0"/>
              <w:jc w:val="center"/>
              <w:rPr>
                <w:rFonts w:hint="default" w:eastAsia="宋体"/>
                <w:color w:val="auto"/>
                <w:highlight w:val="none"/>
                <w:lang w:val="en-US" w:eastAsia="zh-CN"/>
              </w:rPr>
            </w:pPr>
          </w:p>
        </w:tc>
        <w:tc>
          <w:tcPr>
            <w:tcW w:w="304" w:type="pct"/>
            <w:gridSpan w:val="2"/>
            <w:vAlign w:val="center"/>
          </w:tcPr>
          <w:p w14:paraId="1B3F29EC">
            <w:pPr>
              <w:pStyle w:val="17"/>
              <w:bidi w:val="0"/>
              <w:ind w:firstLine="0" w:firstLineChars="0"/>
              <w:jc w:val="center"/>
              <w:rPr>
                <w:rFonts w:hint="eastAsia" w:eastAsia="宋体"/>
                <w:color w:val="auto"/>
                <w:highlight w:val="none"/>
                <w:lang w:val="en-US" w:eastAsia="zh-CN"/>
              </w:rPr>
            </w:pPr>
            <w:r>
              <w:rPr>
                <w:rFonts w:hint="eastAsia"/>
                <w:color w:val="auto"/>
                <w:highlight w:val="none"/>
                <w:lang w:val="en-US" w:eastAsia="zh-CN"/>
              </w:rPr>
              <w:t>供电工程</w:t>
            </w:r>
          </w:p>
        </w:tc>
        <w:tc>
          <w:tcPr>
            <w:tcW w:w="1840" w:type="pct"/>
            <w:gridSpan w:val="4"/>
            <w:shd w:val="clear" w:color="auto" w:fill="auto"/>
            <w:vAlign w:val="center"/>
          </w:tcPr>
          <w:p w14:paraId="1DDCC546">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highlight w:val="none"/>
              </w:rPr>
              <w:t>由若羌县枣园奇兰变电站</w:t>
            </w:r>
            <w:r>
              <w:rPr>
                <w:rFonts w:hint="eastAsia" w:ascii="Times New Roman" w:hAnsi="Times New Roman"/>
                <w:color w:val="auto"/>
                <w:sz w:val="21"/>
                <w:highlight w:val="none"/>
                <w:lang w:val="en-US" w:eastAsia="zh-CN"/>
              </w:rPr>
              <w:t>为本项目提供一路</w:t>
            </w:r>
            <w:r>
              <w:rPr>
                <w:rFonts w:hint="eastAsia" w:ascii="Times New Roman" w:hAnsi="Times New Roman"/>
                <w:color w:val="auto"/>
                <w:sz w:val="21"/>
                <w:highlight w:val="none"/>
              </w:rPr>
              <w:t>110kV供电电源，本次新建110kV总降压站</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300m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olor w:val="auto"/>
                <w:sz w:val="21"/>
                <w:highlight w:val="none"/>
                <w:lang w:eastAsia="zh-CN"/>
              </w:rPr>
              <w:t>，总降变电站进线电压110kV，出线电压10kV，本次总降设计需新建两台主变，变电站内设生产用20MVA110/10.5kV双绕组变压器1台，另</w:t>
            </w:r>
            <w:r>
              <w:rPr>
                <w:rFonts w:hint="eastAsia" w:ascii="Times New Roman" w:hAnsi="Times New Roman"/>
                <w:color w:val="auto"/>
                <w:sz w:val="21"/>
                <w:highlight w:val="none"/>
                <w:lang w:val="en-US" w:eastAsia="zh-CN"/>
              </w:rPr>
              <w:t>1</w:t>
            </w:r>
            <w:r>
              <w:rPr>
                <w:rFonts w:hint="eastAsia" w:ascii="Times New Roman" w:hAnsi="Times New Roman"/>
                <w:color w:val="auto"/>
                <w:sz w:val="21"/>
                <w:highlight w:val="none"/>
                <w:lang w:eastAsia="zh-CN"/>
              </w:rPr>
              <w:t>台为电锅炉专用，40MVA110/10.5kV双绕组变压器</w:t>
            </w:r>
            <w:r>
              <w:rPr>
                <w:rFonts w:hint="eastAsia" w:ascii="Times New Roman" w:hAnsi="Times New Roman"/>
                <w:color w:val="auto"/>
                <w:sz w:val="21"/>
                <w:highlight w:val="none"/>
                <w:lang w:val="en-US" w:eastAsia="zh-CN"/>
              </w:rPr>
              <w:t>1</w:t>
            </w:r>
            <w:r>
              <w:rPr>
                <w:rFonts w:hint="eastAsia" w:ascii="Times New Roman" w:hAnsi="Times New Roman"/>
                <w:color w:val="auto"/>
                <w:sz w:val="21"/>
                <w:highlight w:val="none"/>
                <w:lang w:eastAsia="zh-CN"/>
              </w:rPr>
              <w:t>台。</w:t>
            </w:r>
            <w:r>
              <w:rPr>
                <w:rFonts w:hint="eastAsia" w:ascii="Times New Roman" w:hAnsi="Times New Roman"/>
                <w:color w:val="auto"/>
                <w:sz w:val="21"/>
                <w:highlight w:val="none"/>
                <w:lang w:val="en-US" w:eastAsia="zh-CN"/>
              </w:rPr>
              <w:t>设2台10kV柴油发电机，保证一级负荷的供电需求</w:t>
            </w:r>
            <w:r>
              <w:rPr>
                <w:rFonts w:hint="eastAsia" w:ascii="Times New Roman" w:hAnsi="Times New Roman"/>
                <w:color w:val="auto"/>
                <w:sz w:val="21"/>
                <w:highlight w:val="none"/>
              </w:rPr>
              <w:t>。</w:t>
            </w:r>
          </w:p>
        </w:tc>
        <w:tc>
          <w:tcPr>
            <w:tcW w:w="2014" w:type="pct"/>
            <w:gridSpan w:val="2"/>
            <w:shd w:val="clear" w:color="auto" w:fill="auto"/>
            <w:vAlign w:val="center"/>
          </w:tcPr>
          <w:p w14:paraId="5F1478C8">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依托新疆华瓯矿业有限公司巴州若羌卡尔恰尔萤石矿项目110千伏输变电工程110kV变电站供电，该变电站位于选厂西侧，已于2025年12月24日通过竣工环境保护验收。</w:t>
            </w:r>
          </w:p>
        </w:tc>
        <w:tc>
          <w:tcPr>
            <w:tcW w:w="689" w:type="pct"/>
            <w:shd w:val="clear" w:color="auto" w:fill="auto"/>
            <w:vAlign w:val="center"/>
          </w:tcPr>
          <w:p w14:paraId="7A4225CA">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依托工程</w:t>
            </w:r>
          </w:p>
        </w:tc>
      </w:tr>
      <w:tr w14:paraId="1924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2CB1121C">
            <w:pPr>
              <w:pStyle w:val="17"/>
              <w:bidi w:val="0"/>
              <w:jc w:val="center"/>
              <w:rPr>
                <w:rFonts w:hint="default" w:eastAsia="宋体"/>
                <w:color w:val="auto"/>
                <w:highlight w:val="none"/>
                <w:lang w:val="en-US" w:eastAsia="zh-CN"/>
              </w:rPr>
            </w:pPr>
          </w:p>
        </w:tc>
        <w:tc>
          <w:tcPr>
            <w:tcW w:w="304" w:type="pct"/>
            <w:gridSpan w:val="2"/>
            <w:vAlign w:val="center"/>
          </w:tcPr>
          <w:p w14:paraId="2E1ABD80">
            <w:pPr>
              <w:pStyle w:val="17"/>
              <w:bidi w:val="0"/>
              <w:ind w:firstLine="0" w:firstLineChars="0"/>
              <w:jc w:val="center"/>
              <w:rPr>
                <w:rFonts w:hint="default" w:eastAsia="宋体"/>
                <w:color w:val="auto"/>
                <w:highlight w:val="none"/>
                <w:lang w:val="en-US" w:eastAsia="zh-CN"/>
              </w:rPr>
            </w:pPr>
            <w:r>
              <w:rPr>
                <w:rFonts w:hint="eastAsia"/>
                <w:color w:val="auto"/>
                <w:highlight w:val="none"/>
                <w:lang w:val="en-US" w:eastAsia="zh-CN"/>
              </w:rPr>
              <w:t>供热工程</w:t>
            </w:r>
          </w:p>
        </w:tc>
        <w:tc>
          <w:tcPr>
            <w:tcW w:w="1840" w:type="pct"/>
            <w:gridSpan w:val="4"/>
            <w:shd w:val="clear" w:color="auto" w:fill="auto"/>
            <w:vAlign w:val="center"/>
          </w:tcPr>
          <w:p w14:paraId="35C85138">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highlight w:val="none"/>
              </w:rPr>
              <w:t>在选矿厂新建一座</w:t>
            </w:r>
            <w:r>
              <w:rPr>
                <w:rFonts w:hint="eastAsia" w:ascii="Times New Roman" w:hAnsi="Times New Roman"/>
                <w:color w:val="auto"/>
                <w:sz w:val="21"/>
                <w:highlight w:val="none"/>
                <w:lang w:eastAsia="zh-CN"/>
              </w:rPr>
              <w:t>电加热</w:t>
            </w:r>
            <w:r>
              <w:rPr>
                <w:rFonts w:hint="eastAsia" w:ascii="Times New Roman" w:hAnsi="Times New Roman"/>
                <w:color w:val="auto"/>
                <w:sz w:val="21"/>
                <w:highlight w:val="none"/>
              </w:rPr>
              <w:t>蒸汽锅炉房</w:t>
            </w:r>
            <w:r>
              <w:rPr>
                <w:rFonts w:hint="eastAsia" w:ascii="Times New Roman" w:hAnsi="Times New Roman" w:cs="Times New Roman"/>
                <w:color w:val="auto"/>
                <w:sz w:val="21"/>
                <w:highlight w:val="none"/>
                <w:lang w:eastAsia="zh-CN"/>
              </w:rPr>
              <w:t>（</w:t>
            </w:r>
            <w:r>
              <w:rPr>
                <w:rFonts w:hint="eastAsia" w:ascii="Times New Roman" w:hAnsi="Times New Roman" w:cs="Times New Roman"/>
                <w:color w:val="auto"/>
                <w:sz w:val="21"/>
                <w:highlight w:val="none"/>
                <w:lang w:val="en-US" w:eastAsia="zh-CN"/>
              </w:rPr>
              <w:t>3118m</w:t>
            </w:r>
            <w:r>
              <w:rPr>
                <w:rFonts w:hint="eastAsia" w:ascii="Times New Roman" w:hAnsi="Times New Roman" w:cs="Times New Roman"/>
                <w:color w:val="auto"/>
                <w:sz w:val="21"/>
                <w:highlight w:val="none"/>
                <w:vertAlign w:val="superscript"/>
                <w:lang w:val="en-US" w:eastAsia="zh-CN"/>
              </w:rPr>
              <w:t>2</w:t>
            </w:r>
            <w:r>
              <w:rPr>
                <w:rFonts w:hint="eastAsia" w:ascii="Times New Roman" w:hAnsi="Times New Roman" w:cs="Times New Roman"/>
                <w:color w:val="auto"/>
                <w:sz w:val="21"/>
                <w:highlight w:val="none"/>
                <w:lang w:eastAsia="zh-CN"/>
              </w:rPr>
              <w:t>）</w:t>
            </w:r>
            <w:r>
              <w:rPr>
                <w:rFonts w:hint="eastAsia" w:ascii="Times New Roman" w:hAnsi="Times New Roman"/>
                <w:color w:val="auto"/>
                <w:sz w:val="21"/>
                <w:highlight w:val="none"/>
              </w:rPr>
              <w:t>，内设</w:t>
            </w:r>
            <w:r>
              <w:rPr>
                <w:rFonts w:hint="eastAsia" w:ascii="Times New Roman" w:hAnsi="Times New Roman"/>
                <w:color w:val="auto"/>
                <w:sz w:val="21"/>
                <w:highlight w:val="none"/>
                <w:lang w:val="en-US" w:eastAsia="zh-CN"/>
              </w:rPr>
              <w:t>3台4.286t/h</w:t>
            </w:r>
            <w:r>
              <w:rPr>
                <w:rFonts w:hint="eastAsia" w:ascii="Times New Roman" w:hAnsi="Times New Roman"/>
                <w:color w:val="auto"/>
                <w:sz w:val="21"/>
                <w:highlight w:val="none"/>
                <w:lang w:eastAsia="zh-CN"/>
              </w:rPr>
              <w:t>电加热</w:t>
            </w:r>
            <w:r>
              <w:rPr>
                <w:rFonts w:hint="eastAsia" w:ascii="Times New Roman" w:hAnsi="Times New Roman"/>
                <w:color w:val="auto"/>
                <w:sz w:val="21"/>
                <w:highlight w:val="none"/>
              </w:rPr>
              <w:t>蒸汽锅炉</w:t>
            </w:r>
            <w:r>
              <w:rPr>
                <w:rFonts w:hint="eastAsia" w:ascii="Times New Roman" w:hAnsi="Times New Roman"/>
                <w:color w:val="auto"/>
                <w:sz w:val="21"/>
                <w:highlight w:val="none"/>
                <w:lang w:eastAsia="zh-CN"/>
              </w:rPr>
              <w:t>和</w:t>
            </w:r>
            <w:r>
              <w:rPr>
                <w:rFonts w:hint="eastAsia" w:ascii="Times New Roman" w:hAnsi="Times New Roman"/>
                <w:color w:val="auto"/>
                <w:sz w:val="21"/>
                <w:highlight w:val="none"/>
                <w:lang w:val="en-US" w:eastAsia="zh-CN"/>
              </w:rPr>
              <w:t>4台电加热热水锅炉</w:t>
            </w:r>
            <w:r>
              <w:rPr>
                <w:rFonts w:hint="eastAsia" w:ascii="Times New Roman" w:hAnsi="Times New Roman"/>
                <w:color w:val="auto"/>
                <w:sz w:val="21"/>
                <w:highlight w:val="none"/>
              </w:rPr>
              <w:t>，含相</w:t>
            </w:r>
            <w:r>
              <w:rPr>
                <w:rFonts w:hint="eastAsia" w:ascii="Times New Roman" w:hAnsi="Times New Roman"/>
                <w:color w:val="auto"/>
                <w:sz w:val="21"/>
                <w:highlight w:val="none"/>
                <w:lang w:eastAsia="zh-CN"/>
              </w:rPr>
              <w:t>关</w:t>
            </w:r>
            <w:r>
              <w:rPr>
                <w:rFonts w:hint="eastAsia" w:ascii="Times New Roman" w:hAnsi="Times New Roman"/>
                <w:color w:val="auto"/>
                <w:sz w:val="21"/>
                <w:highlight w:val="none"/>
              </w:rPr>
              <w:t>锅炉间、水处理间。锅炉房平面尺寸为</w:t>
            </w:r>
            <w:r>
              <w:rPr>
                <w:rFonts w:hint="eastAsia" w:ascii="Times New Roman" w:hAnsi="Times New Roman"/>
                <w:color w:val="auto"/>
                <w:sz w:val="21"/>
                <w:highlight w:val="none"/>
                <w:lang w:val="en-US" w:eastAsia="zh-CN"/>
              </w:rPr>
              <w:t>33*12*6.5m。</w:t>
            </w:r>
            <w:r>
              <w:rPr>
                <w:rFonts w:hint="eastAsia" w:ascii="Times New Roman" w:hAnsi="Times New Roman"/>
                <w:color w:val="auto"/>
                <w:sz w:val="21"/>
                <w:highlight w:val="none"/>
                <w:lang w:eastAsia="zh-CN"/>
              </w:rPr>
              <w:t>电加热</w:t>
            </w:r>
            <w:r>
              <w:rPr>
                <w:rFonts w:hint="eastAsia" w:ascii="Times New Roman" w:hAnsi="Times New Roman"/>
                <w:color w:val="auto"/>
                <w:sz w:val="21"/>
                <w:highlight w:val="none"/>
              </w:rPr>
              <w:t>蒸汽锅炉</w:t>
            </w:r>
            <w:r>
              <w:rPr>
                <w:rFonts w:hint="eastAsia" w:ascii="Times New Roman" w:hAnsi="Times New Roman"/>
                <w:color w:val="auto"/>
                <w:sz w:val="21"/>
                <w:highlight w:val="none"/>
                <w:lang w:eastAsia="zh-CN"/>
              </w:rPr>
              <w:t>饱和蒸汽温度为165℃，</w:t>
            </w:r>
            <w:r>
              <w:rPr>
                <w:rFonts w:hint="eastAsia" w:ascii="Times New Roman" w:hAnsi="Times New Roman"/>
                <w:color w:val="auto"/>
                <w:sz w:val="21"/>
                <w:highlight w:val="none"/>
                <w:lang w:val="en-US" w:eastAsia="zh-CN"/>
              </w:rPr>
              <w:t>电加热热水锅炉供回水温度为85/60℃热水</w:t>
            </w:r>
            <w:r>
              <w:rPr>
                <w:rFonts w:hint="eastAsia" w:ascii="Times New Roman" w:hAnsi="Times New Roman"/>
                <w:color w:val="auto"/>
                <w:sz w:val="21"/>
                <w:highlight w:val="none"/>
                <w:lang w:eastAsia="zh-CN"/>
              </w:rPr>
              <w:t>。</w:t>
            </w:r>
          </w:p>
        </w:tc>
        <w:tc>
          <w:tcPr>
            <w:tcW w:w="2014" w:type="pct"/>
            <w:gridSpan w:val="2"/>
            <w:shd w:val="clear" w:color="auto" w:fill="auto"/>
            <w:vAlign w:val="center"/>
          </w:tcPr>
          <w:p w14:paraId="6046BC74">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设置</w:t>
            </w:r>
            <w:r>
              <w:rPr>
                <w:rFonts w:hint="eastAsia"/>
                <w:color w:val="auto"/>
                <w:highlight w:val="none"/>
              </w:rPr>
              <w:t>一座</w:t>
            </w:r>
            <w:r>
              <w:rPr>
                <w:rFonts w:hint="eastAsia"/>
                <w:color w:val="auto"/>
                <w:highlight w:val="none"/>
                <w:lang w:eastAsia="zh-CN"/>
              </w:rPr>
              <w:t>电</w:t>
            </w:r>
            <w:r>
              <w:rPr>
                <w:rFonts w:hint="eastAsia"/>
                <w:color w:val="auto"/>
                <w:highlight w:val="none"/>
              </w:rPr>
              <w:t>锅炉房</w:t>
            </w:r>
            <w:r>
              <w:rPr>
                <w:rFonts w:hint="eastAsia"/>
                <w:color w:val="auto"/>
                <w:highlight w:val="none"/>
                <w:lang w:eastAsia="zh-CN"/>
              </w:rPr>
              <w:t>（</w:t>
            </w:r>
            <w:r>
              <w:rPr>
                <w:rFonts w:hint="eastAsia"/>
                <w:color w:val="auto"/>
                <w:highlight w:val="none"/>
                <w:lang w:val="en-US" w:eastAsia="zh-CN"/>
              </w:rPr>
              <w:t>2135.74m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rPr>
              <w:t>，内设</w:t>
            </w:r>
            <w:r>
              <w:rPr>
                <w:rFonts w:hint="eastAsia"/>
                <w:color w:val="auto"/>
                <w:highlight w:val="none"/>
                <w:lang w:val="en-US" w:eastAsia="zh-CN"/>
              </w:rPr>
              <w:t>2台20t/h</w:t>
            </w:r>
            <w:r>
              <w:rPr>
                <w:rFonts w:hint="eastAsia"/>
                <w:color w:val="auto"/>
                <w:highlight w:val="none"/>
                <w:lang w:eastAsia="zh-CN"/>
              </w:rPr>
              <w:t>电加热</w:t>
            </w:r>
            <w:r>
              <w:rPr>
                <w:rFonts w:hint="eastAsia"/>
                <w:color w:val="auto"/>
                <w:highlight w:val="none"/>
              </w:rPr>
              <w:t>蒸汽锅炉</w:t>
            </w:r>
            <w:r>
              <w:rPr>
                <w:rFonts w:hint="eastAsia"/>
                <w:color w:val="auto"/>
                <w:highlight w:val="none"/>
                <w:lang w:eastAsia="zh-CN"/>
              </w:rPr>
              <w:t>，</w:t>
            </w:r>
            <w:r>
              <w:rPr>
                <w:rFonts w:hint="eastAsia"/>
                <w:color w:val="auto"/>
                <w:highlight w:val="none"/>
                <w:lang w:val="en-US" w:eastAsia="zh-CN"/>
              </w:rPr>
              <w:t>一用一备</w:t>
            </w:r>
            <w:r>
              <w:rPr>
                <w:rFonts w:hint="eastAsia"/>
                <w:color w:val="auto"/>
                <w:highlight w:val="none"/>
              </w:rPr>
              <w:t>，含相</w:t>
            </w:r>
            <w:r>
              <w:rPr>
                <w:rFonts w:hint="eastAsia"/>
                <w:color w:val="auto"/>
                <w:highlight w:val="none"/>
                <w:lang w:eastAsia="zh-CN"/>
              </w:rPr>
              <w:t>关</w:t>
            </w:r>
            <w:r>
              <w:rPr>
                <w:rFonts w:hint="eastAsia"/>
                <w:color w:val="auto"/>
                <w:highlight w:val="none"/>
              </w:rPr>
              <w:t>锅炉间、水处理间。</w:t>
            </w:r>
            <w:r>
              <w:rPr>
                <w:rFonts w:hint="eastAsia"/>
                <w:color w:val="auto"/>
                <w:highlight w:val="none"/>
                <w:lang w:eastAsia="zh-CN"/>
              </w:rPr>
              <w:t>电加热</w:t>
            </w:r>
            <w:r>
              <w:rPr>
                <w:rFonts w:hint="eastAsia"/>
                <w:color w:val="auto"/>
                <w:highlight w:val="none"/>
              </w:rPr>
              <w:t>蒸汽锅炉</w:t>
            </w:r>
            <w:r>
              <w:rPr>
                <w:rFonts w:hint="eastAsia"/>
                <w:color w:val="auto"/>
                <w:highlight w:val="none"/>
                <w:lang w:eastAsia="zh-CN"/>
              </w:rPr>
              <w:t>饱和蒸汽温度为</w:t>
            </w:r>
            <w:r>
              <w:rPr>
                <w:rFonts w:hint="eastAsia"/>
                <w:color w:val="auto"/>
                <w:highlight w:val="none"/>
                <w:lang w:val="en-US" w:eastAsia="zh-CN"/>
              </w:rPr>
              <w:t>184</w:t>
            </w:r>
            <w:r>
              <w:rPr>
                <w:rFonts w:hint="eastAsia"/>
                <w:color w:val="auto"/>
                <w:highlight w:val="none"/>
                <w:lang w:eastAsia="zh-CN"/>
              </w:rPr>
              <w:t>℃。</w:t>
            </w:r>
          </w:p>
        </w:tc>
        <w:tc>
          <w:tcPr>
            <w:tcW w:w="689" w:type="pct"/>
            <w:shd w:val="clear" w:color="auto" w:fill="auto"/>
            <w:vAlign w:val="center"/>
          </w:tcPr>
          <w:p w14:paraId="4CB690B8">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锅炉房面积减少，取消电热水锅炉，仅建设</w:t>
            </w:r>
            <w:r>
              <w:rPr>
                <w:rFonts w:hint="eastAsia"/>
                <w:color w:val="auto"/>
                <w:highlight w:val="none"/>
                <w:lang w:val="en-US" w:eastAsia="zh-CN"/>
              </w:rPr>
              <w:t>2台20t/h</w:t>
            </w:r>
            <w:r>
              <w:rPr>
                <w:rFonts w:hint="eastAsia"/>
                <w:color w:val="auto"/>
                <w:highlight w:val="none"/>
                <w:lang w:eastAsia="zh-CN"/>
              </w:rPr>
              <w:t>电加热</w:t>
            </w:r>
            <w:r>
              <w:rPr>
                <w:rFonts w:hint="eastAsia"/>
                <w:color w:val="auto"/>
                <w:highlight w:val="none"/>
              </w:rPr>
              <w:t>蒸汽锅炉</w:t>
            </w:r>
            <w:r>
              <w:rPr>
                <w:rFonts w:hint="eastAsia" w:cs="Times New Roman"/>
                <w:color w:val="auto"/>
                <w:kern w:val="2"/>
                <w:sz w:val="21"/>
                <w:szCs w:val="21"/>
                <w:highlight w:val="none"/>
                <w:lang w:val="en-US" w:eastAsia="zh-CN" w:bidi="ar-SA"/>
              </w:rPr>
              <w:t>（一用一备），不属于重大变动</w:t>
            </w:r>
          </w:p>
        </w:tc>
      </w:tr>
      <w:tr w14:paraId="3D58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restart"/>
            <w:vAlign w:val="center"/>
          </w:tcPr>
          <w:p w14:paraId="67AE6019">
            <w:pPr>
              <w:pStyle w:val="17"/>
              <w:bidi w:val="0"/>
              <w:jc w:val="center"/>
              <w:rPr>
                <w:rFonts w:hint="default" w:eastAsia="宋体"/>
                <w:color w:val="auto"/>
                <w:highlight w:val="none"/>
                <w:lang w:val="en-US" w:eastAsia="zh-CN"/>
              </w:rPr>
            </w:pPr>
            <w:r>
              <w:rPr>
                <w:rFonts w:hint="eastAsia"/>
                <w:color w:val="auto"/>
                <w:highlight w:val="none"/>
                <w:lang w:val="en-US" w:eastAsia="zh-CN"/>
              </w:rPr>
              <w:t>环保工程</w:t>
            </w:r>
          </w:p>
        </w:tc>
        <w:tc>
          <w:tcPr>
            <w:tcW w:w="304" w:type="pct"/>
            <w:gridSpan w:val="2"/>
            <w:vMerge w:val="restart"/>
            <w:vAlign w:val="center"/>
          </w:tcPr>
          <w:p w14:paraId="6F0AF70F">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废气</w:t>
            </w:r>
          </w:p>
        </w:tc>
        <w:tc>
          <w:tcPr>
            <w:tcW w:w="301" w:type="pct"/>
            <w:vMerge w:val="restart"/>
            <w:shd w:val="clear" w:color="auto" w:fill="auto"/>
            <w:vAlign w:val="center"/>
          </w:tcPr>
          <w:p w14:paraId="75107421">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采矿工程</w:t>
            </w:r>
          </w:p>
        </w:tc>
        <w:tc>
          <w:tcPr>
            <w:tcW w:w="1539" w:type="pct"/>
            <w:gridSpan w:val="3"/>
            <w:shd w:val="clear" w:color="auto" w:fill="auto"/>
            <w:vAlign w:val="center"/>
          </w:tcPr>
          <w:p w14:paraId="39C70975">
            <w:pPr>
              <w:pStyle w:val="17"/>
              <w:bidi w:val="0"/>
              <w:rPr>
                <w:rFonts w:hint="eastAsia" w:ascii="Times New Roman" w:hAnsi="Times New Roman" w:eastAsia="宋体" w:cs="Times New Roman"/>
                <w:color w:val="auto"/>
                <w:kern w:val="2"/>
                <w:szCs w:val="21"/>
                <w:highlight w:val="none"/>
                <w:lang w:val="en-US" w:eastAsia="zh-CN" w:bidi="ar-SA"/>
              </w:rPr>
            </w:pPr>
            <w:r>
              <w:rPr>
                <w:rFonts w:hint="default"/>
                <w:color w:val="auto"/>
                <w:highlight w:val="none"/>
                <w:lang w:val="en-US" w:eastAsia="zh-CN"/>
              </w:rPr>
              <w:t>矿石开采、运输、堆场等粉尘无组织排放，采用喷雾洒水、湿式凿岩</w:t>
            </w:r>
          </w:p>
        </w:tc>
        <w:tc>
          <w:tcPr>
            <w:tcW w:w="330" w:type="pct"/>
            <w:vMerge w:val="restart"/>
            <w:shd w:val="clear" w:color="auto" w:fill="auto"/>
            <w:vAlign w:val="center"/>
          </w:tcPr>
          <w:p w14:paraId="5E3957BF">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采矿工程</w:t>
            </w:r>
          </w:p>
        </w:tc>
        <w:tc>
          <w:tcPr>
            <w:tcW w:w="1684" w:type="pct"/>
            <w:shd w:val="clear" w:color="auto" w:fill="auto"/>
            <w:vAlign w:val="center"/>
          </w:tcPr>
          <w:p w14:paraId="79091865">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矿石开采、运输、堆场等粉尘无组织排放，采用喷雾洒水、湿式凿岩。</w:t>
            </w:r>
          </w:p>
        </w:tc>
        <w:tc>
          <w:tcPr>
            <w:tcW w:w="689" w:type="pct"/>
            <w:shd w:val="clear" w:color="auto" w:fill="auto"/>
            <w:vAlign w:val="center"/>
          </w:tcPr>
          <w:p w14:paraId="364B4FFE">
            <w:pPr>
              <w:pStyle w:val="17"/>
              <w:bidi w:val="0"/>
              <w:jc w:val="center"/>
              <w:rPr>
                <w:rFonts w:hint="eastAsia" w:eastAsia="宋体"/>
                <w:color w:val="auto"/>
                <w:highlight w:val="none"/>
                <w:lang w:val="en-US" w:eastAsia="zh-CN"/>
              </w:rPr>
            </w:pPr>
            <w:r>
              <w:rPr>
                <w:rFonts w:hint="eastAsia"/>
                <w:color w:val="auto"/>
                <w:highlight w:val="none"/>
                <w:lang w:val="en-US" w:eastAsia="zh-CN"/>
              </w:rPr>
              <w:t>未变动</w:t>
            </w:r>
          </w:p>
        </w:tc>
      </w:tr>
      <w:tr w14:paraId="7424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continue"/>
            <w:vAlign w:val="center"/>
          </w:tcPr>
          <w:p w14:paraId="09B3164F">
            <w:pPr>
              <w:pStyle w:val="17"/>
              <w:bidi w:val="0"/>
              <w:jc w:val="center"/>
              <w:rPr>
                <w:rFonts w:hint="eastAsia"/>
                <w:color w:val="auto"/>
                <w:highlight w:val="none"/>
                <w:lang w:val="en-US" w:eastAsia="zh-CN"/>
              </w:rPr>
            </w:pPr>
          </w:p>
        </w:tc>
        <w:tc>
          <w:tcPr>
            <w:tcW w:w="304" w:type="pct"/>
            <w:gridSpan w:val="2"/>
            <w:vMerge w:val="continue"/>
            <w:vAlign w:val="center"/>
          </w:tcPr>
          <w:p w14:paraId="43762B3C">
            <w:pPr>
              <w:pStyle w:val="17"/>
              <w:bidi w:val="0"/>
              <w:ind w:firstLine="0" w:firstLineChars="0"/>
              <w:jc w:val="center"/>
              <w:rPr>
                <w:rFonts w:hint="default"/>
                <w:color w:val="auto"/>
                <w:highlight w:val="none"/>
                <w:lang w:val="en-US" w:eastAsia="zh-CN"/>
              </w:rPr>
            </w:pPr>
          </w:p>
        </w:tc>
        <w:tc>
          <w:tcPr>
            <w:tcW w:w="301" w:type="pct"/>
            <w:vMerge w:val="continue"/>
            <w:shd w:val="clear" w:color="auto" w:fill="auto"/>
            <w:vAlign w:val="center"/>
          </w:tcPr>
          <w:p w14:paraId="36880B63">
            <w:pPr>
              <w:pStyle w:val="17"/>
              <w:bidi w:val="0"/>
              <w:ind w:firstLine="0" w:firstLineChars="0"/>
              <w:jc w:val="center"/>
              <w:rPr>
                <w:rFonts w:hint="eastAsia" w:cs="Times New Roman"/>
                <w:color w:val="auto"/>
                <w:kern w:val="2"/>
                <w:sz w:val="21"/>
                <w:szCs w:val="21"/>
                <w:highlight w:val="none"/>
                <w:lang w:val="en-US" w:eastAsia="zh-CN" w:bidi="ar-SA"/>
              </w:rPr>
            </w:pPr>
          </w:p>
        </w:tc>
        <w:tc>
          <w:tcPr>
            <w:tcW w:w="1539" w:type="pct"/>
            <w:gridSpan w:val="3"/>
            <w:shd w:val="clear" w:color="auto" w:fill="auto"/>
            <w:vAlign w:val="center"/>
          </w:tcPr>
          <w:p w14:paraId="31611BA3">
            <w:pPr>
              <w:pStyle w:val="17"/>
              <w:bidi w:val="0"/>
              <w:ind w:firstLine="0" w:firstLineChars="0"/>
              <w:jc w:val="center"/>
              <w:rPr>
                <w:rFonts w:hint="eastAsia"/>
                <w:color w:val="auto"/>
                <w:highlight w:val="none"/>
                <w:lang w:val="en-US" w:eastAsia="zh-CN"/>
              </w:rPr>
            </w:pPr>
            <w:r>
              <w:rPr>
                <w:rFonts w:hint="eastAsia"/>
                <w:color w:val="auto"/>
                <w:highlight w:val="none"/>
                <w:lang w:val="en-US" w:eastAsia="zh-CN"/>
              </w:rPr>
              <w:t>充填站安装</w:t>
            </w:r>
            <w:r>
              <w:rPr>
                <w:rFonts w:hint="eastAsia" w:ascii="Times New Roman" w:hAnsi="Times New Roman" w:cs="Times New Roman"/>
                <w:snapToGrid/>
                <w:color w:val="auto"/>
                <w:kern w:val="0"/>
                <w:sz w:val="21"/>
                <w:szCs w:val="21"/>
                <w:highlight w:val="none"/>
                <w:lang w:val="en-US" w:eastAsia="zh-CN" w:bidi="ar-SA"/>
              </w:rPr>
              <w:t>脉冲布袋除尘器</w:t>
            </w:r>
          </w:p>
        </w:tc>
        <w:tc>
          <w:tcPr>
            <w:tcW w:w="330" w:type="pct"/>
            <w:vMerge w:val="continue"/>
            <w:shd w:val="clear" w:color="auto" w:fill="auto"/>
            <w:vAlign w:val="center"/>
          </w:tcPr>
          <w:p w14:paraId="19B13204">
            <w:pPr>
              <w:pStyle w:val="17"/>
              <w:bidi w:val="0"/>
              <w:ind w:firstLine="0" w:firstLineChars="0"/>
              <w:jc w:val="center"/>
              <w:rPr>
                <w:rFonts w:hint="eastAsia"/>
                <w:color w:val="auto"/>
                <w:highlight w:val="none"/>
                <w:lang w:val="en-US" w:eastAsia="zh-CN"/>
              </w:rPr>
            </w:pPr>
          </w:p>
        </w:tc>
        <w:tc>
          <w:tcPr>
            <w:tcW w:w="1684" w:type="pct"/>
            <w:shd w:val="clear" w:color="auto" w:fill="auto"/>
            <w:vAlign w:val="center"/>
          </w:tcPr>
          <w:p w14:paraId="284AD400">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充填站水泥筒仓配套设置脉冲布袋除尘器</w:t>
            </w:r>
          </w:p>
        </w:tc>
        <w:tc>
          <w:tcPr>
            <w:tcW w:w="689" w:type="pct"/>
            <w:shd w:val="clear" w:color="auto" w:fill="auto"/>
            <w:vAlign w:val="center"/>
          </w:tcPr>
          <w:p w14:paraId="7AEBE702">
            <w:pPr>
              <w:pStyle w:val="17"/>
              <w:bidi w:val="0"/>
              <w:jc w:val="center"/>
              <w:rPr>
                <w:rFonts w:hint="default"/>
                <w:color w:val="auto"/>
                <w:highlight w:val="none"/>
                <w:lang w:val="en-US" w:eastAsia="zh-CN"/>
              </w:rPr>
            </w:pPr>
            <w:r>
              <w:rPr>
                <w:rFonts w:hint="eastAsia"/>
                <w:color w:val="auto"/>
                <w:highlight w:val="none"/>
                <w:lang w:val="en-US" w:eastAsia="zh-CN"/>
              </w:rPr>
              <w:t>未变动</w:t>
            </w:r>
          </w:p>
        </w:tc>
      </w:tr>
      <w:tr w14:paraId="77BF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continue"/>
            <w:vAlign w:val="center"/>
          </w:tcPr>
          <w:p w14:paraId="06EEAA3E">
            <w:pPr>
              <w:pStyle w:val="17"/>
              <w:bidi w:val="0"/>
              <w:jc w:val="center"/>
              <w:rPr>
                <w:rFonts w:hint="eastAsia"/>
                <w:color w:val="auto"/>
                <w:highlight w:val="none"/>
                <w:lang w:val="en-US" w:eastAsia="zh-CN"/>
              </w:rPr>
            </w:pPr>
          </w:p>
        </w:tc>
        <w:tc>
          <w:tcPr>
            <w:tcW w:w="304" w:type="pct"/>
            <w:gridSpan w:val="2"/>
            <w:vMerge w:val="continue"/>
            <w:vAlign w:val="center"/>
          </w:tcPr>
          <w:p w14:paraId="434A328E">
            <w:pPr>
              <w:pStyle w:val="17"/>
              <w:bidi w:val="0"/>
              <w:ind w:firstLine="0" w:firstLineChars="0"/>
              <w:jc w:val="center"/>
              <w:rPr>
                <w:rFonts w:hint="default"/>
                <w:color w:val="auto"/>
                <w:highlight w:val="none"/>
                <w:lang w:val="en-US" w:eastAsia="zh-CN"/>
              </w:rPr>
            </w:pPr>
          </w:p>
        </w:tc>
        <w:tc>
          <w:tcPr>
            <w:tcW w:w="301" w:type="pct"/>
            <w:vMerge w:val="restart"/>
            <w:shd w:val="clear" w:color="auto" w:fill="auto"/>
            <w:vAlign w:val="center"/>
          </w:tcPr>
          <w:p w14:paraId="38B2E109">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选矿工程</w:t>
            </w:r>
          </w:p>
        </w:tc>
        <w:tc>
          <w:tcPr>
            <w:tcW w:w="284" w:type="pct"/>
            <w:gridSpan w:val="2"/>
            <w:shd w:val="clear" w:color="auto" w:fill="auto"/>
            <w:vAlign w:val="center"/>
          </w:tcPr>
          <w:p w14:paraId="456F5B13">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转运废气</w:t>
            </w:r>
          </w:p>
        </w:tc>
        <w:tc>
          <w:tcPr>
            <w:tcW w:w="1255" w:type="pct"/>
            <w:shd w:val="clear" w:color="auto" w:fill="auto"/>
            <w:vAlign w:val="center"/>
          </w:tcPr>
          <w:p w14:paraId="0B334EB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sz w:val="21"/>
                <w:highlight w:val="none"/>
              </w:rPr>
              <w:t>新建</w:t>
            </w:r>
            <w:r>
              <w:rPr>
                <w:rFonts w:hint="eastAsia" w:ascii="Times New Roman" w:hAnsi="Times New Roman" w:cs="宋体"/>
                <w:color w:val="auto"/>
                <w:sz w:val="21"/>
                <w:highlight w:val="none"/>
                <w:lang w:eastAsia="zh-CN"/>
              </w:rPr>
              <w:t>粗碎、中碎、</w:t>
            </w:r>
            <w:r>
              <w:rPr>
                <w:rFonts w:hint="eastAsia" w:ascii="Times New Roman" w:hAnsi="Times New Roman" w:cs="宋体"/>
                <w:color w:val="auto"/>
                <w:sz w:val="21"/>
                <w:highlight w:val="none"/>
              </w:rPr>
              <w:t>辊磨</w:t>
            </w:r>
            <w:r>
              <w:rPr>
                <w:rFonts w:hint="eastAsia" w:ascii="Times New Roman" w:hAnsi="Times New Roman" w:cs="宋体"/>
                <w:color w:val="auto"/>
                <w:sz w:val="21"/>
                <w:highlight w:val="none"/>
                <w:lang w:eastAsia="zh-CN"/>
              </w:rPr>
              <w:t>、</w:t>
            </w:r>
            <w:r>
              <w:rPr>
                <w:rFonts w:hint="eastAsia" w:ascii="Times New Roman" w:hAnsi="Times New Roman" w:cs="宋体"/>
                <w:color w:val="auto"/>
                <w:sz w:val="21"/>
                <w:highlight w:val="none"/>
              </w:rPr>
              <w:t>筛分布袋除尘系统、</w:t>
            </w:r>
            <w:r>
              <w:rPr>
                <w:rFonts w:hint="eastAsia" w:ascii="Times New Roman" w:hAnsi="Times New Roman" w:cs="宋体"/>
                <w:color w:val="auto"/>
                <w:sz w:val="21"/>
                <w:highlight w:val="none"/>
                <w:lang w:val="en-US" w:eastAsia="zh-CN"/>
              </w:rPr>
              <w:t>磨前仓</w:t>
            </w:r>
            <w:r>
              <w:rPr>
                <w:rFonts w:hint="eastAsia" w:ascii="Times New Roman" w:hAnsi="Times New Roman" w:cs="宋体"/>
                <w:color w:val="auto"/>
                <w:sz w:val="21"/>
                <w:highlight w:val="none"/>
              </w:rPr>
              <w:t>布袋除尘系统，各环节粉尘经布袋除尘器除尘后通过15m</w:t>
            </w:r>
            <w:r>
              <w:rPr>
                <w:rFonts w:hint="eastAsia" w:ascii="Times New Roman" w:hAnsi="Times New Roman" w:cs="宋体"/>
                <w:color w:val="auto"/>
                <w:sz w:val="21"/>
                <w:highlight w:val="none"/>
                <w:lang w:eastAsia="zh-CN"/>
              </w:rPr>
              <w:t>、</w:t>
            </w:r>
            <w:r>
              <w:rPr>
                <w:rFonts w:hint="eastAsia" w:ascii="Times New Roman" w:hAnsi="Times New Roman" w:cs="宋体"/>
                <w:color w:val="auto"/>
                <w:sz w:val="21"/>
                <w:highlight w:val="none"/>
                <w:lang w:val="en-US" w:eastAsia="zh-CN"/>
              </w:rPr>
              <w:t>20m</w:t>
            </w:r>
            <w:r>
              <w:rPr>
                <w:rFonts w:hint="eastAsia" w:ascii="Times New Roman" w:hAnsi="Times New Roman" w:cs="宋体"/>
                <w:color w:val="auto"/>
                <w:sz w:val="21"/>
                <w:highlight w:val="none"/>
                <w:lang w:eastAsia="zh-CN"/>
              </w:rPr>
              <w:t>和</w:t>
            </w:r>
            <w:r>
              <w:rPr>
                <w:rFonts w:hint="eastAsia" w:ascii="Times New Roman" w:hAnsi="Times New Roman" w:cs="宋体"/>
                <w:color w:val="auto"/>
                <w:sz w:val="21"/>
                <w:highlight w:val="none"/>
                <w:lang w:val="en-US" w:eastAsia="zh-CN"/>
              </w:rPr>
              <w:t>36m</w:t>
            </w:r>
            <w:r>
              <w:rPr>
                <w:rFonts w:hint="eastAsia" w:ascii="Times New Roman" w:hAnsi="Times New Roman" w:cs="宋体"/>
                <w:color w:val="auto"/>
                <w:sz w:val="21"/>
                <w:highlight w:val="none"/>
              </w:rPr>
              <w:t>高排气筒排放</w:t>
            </w:r>
          </w:p>
        </w:tc>
        <w:tc>
          <w:tcPr>
            <w:tcW w:w="330" w:type="pct"/>
            <w:shd w:val="clear" w:color="auto" w:fill="auto"/>
            <w:vAlign w:val="center"/>
          </w:tcPr>
          <w:p w14:paraId="256AFF8C">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粗矿仓废气</w:t>
            </w:r>
          </w:p>
        </w:tc>
        <w:tc>
          <w:tcPr>
            <w:tcW w:w="1684" w:type="pct"/>
            <w:shd w:val="clear" w:color="auto" w:fill="auto"/>
            <w:vAlign w:val="center"/>
          </w:tcPr>
          <w:p w14:paraId="47D8CCD2">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布袋除尘器+15m排气筒</w:t>
            </w:r>
          </w:p>
        </w:tc>
        <w:tc>
          <w:tcPr>
            <w:tcW w:w="689" w:type="pct"/>
            <w:vMerge w:val="restart"/>
            <w:shd w:val="clear" w:color="auto" w:fill="auto"/>
            <w:vAlign w:val="center"/>
          </w:tcPr>
          <w:p w14:paraId="29828F3D">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厂内废气排气筒高度均为15m，新增硫酸稀释废气排气筒，属于重大变动</w:t>
            </w:r>
          </w:p>
        </w:tc>
      </w:tr>
      <w:tr w14:paraId="5559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continue"/>
            <w:vAlign w:val="center"/>
          </w:tcPr>
          <w:p w14:paraId="2BF38F81">
            <w:pPr>
              <w:pStyle w:val="17"/>
              <w:bidi w:val="0"/>
              <w:jc w:val="center"/>
              <w:rPr>
                <w:rFonts w:hint="eastAsia"/>
                <w:color w:val="auto"/>
                <w:highlight w:val="none"/>
                <w:lang w:val="en-US" w:eastAsia="zh-CN"/>
              </w:rPr>
            </w:pPr>
          </w:p>
        </w:tc>
        <w:tc>
          <w:tcPr>
            <w:tcW w:w="304" w:type="pct"/>
            <w:gridSpan w:val="2"/>
            <w:vMerge w:val="continue"/>
            <w:vAlign w:val="center"/>
          </w:tcPr>
          <w:p w14:paraId="648E594A">
            <w:pPr>
              <w:pStyle w:val="17"/>
              <w:bidi w:val="0"/>
              <w:ind w:firstLine="0" w:firstLineChars="0"/>
              <w:jc w:val="center"/>
              <w:rPr>
                <w:rFonts w:hint="default"/>
                <w:color w:val="auto"/>
                <w:highlight w:val="none"/>
                <w:lang w:val="en-US" w:eastAsia="zh-CN"/>
              </w:rPr>
            </w:pPr>
          </w:p>
        </w:tc>
        <w:tc>
          <w:tcPr>
            <w:tcW w:w="301" w:type="pct"/>
            <w:vMerge w:val="continue"/>
            <w:shd w:val="clear" w:color="auto" w:fill="auto"/>
            <w:vAlign w:val="center"/>
          </w:tcPr>
          <w:p w14:paraId="7A691E43">
            <w:pPr>
              <w:pStyle w:val="17"/>
              <w:bidi w:val="0"/>
              <w:ind w:firstLine="0" w:firstLineChars="0"/>
              <w:jc w:val="center"/>
              <w:rPr>
                <w:rFonts w:hint="eastAsia" w:cs="Times New Roman"/>
                <w:color w:val="auto"/>
                <w:kern w:val="2"/>
                <w:sz w:val="21"/>
                <w:szCs w:val="21"/>
                <w:highlight w:val="none"/>
                <w:lang w:val="en-US" w:eastAsia="zh-CN" w:bidi="ar-SA"/>
              </w:rPr>
            </w:pPr>
          </w:p>
        </w:tc>
        <w:tc>
          <w:tcPr>
            <w:tcW w:w="284" w:type="pct"/>
            <w:gridSpan w:val="2"/>
            <w:vMerge w:val="restart"/>
            <w:shd w:val="clear" w:color="auto" w:fill="auto"/>
            <w:vAlign w:val="center"/>
          </w:tcPr>
          <w:p w14:paraId="6591BFC2">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磨矿废气</w:t>
            </w:r>
          </w:p>
        </w:tc>
        <w:tc>
          <w:tcPr>
            <w:tcW w:w="1255" w:type="pct"/>
            <w:vMerge w:val="restart"/>
            <w:shd w:val="clear" w:color="auto" w:fill="auto"/>
            <w:vAlign w:val="center"/>
          </w:tcPr>
          <w:p w14:paraId="6C077C51">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布袋除尘器+15m排气筒</w:t>
            </w:r>
          </w:p>
        </w:tc>
        <w:tc>
          <w:tcPr>
            <w:tcW w:w="330" w:type="pct"/>
            <w:shd w:val="clear" w:color="auto" w:fill="auto"/>
            <w:vAlign w:val="center"/>
          </w:tcPr>
          <w:p w14:paraId="41A7D3CB">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中细碎车间废气</w:t>
            </w:r>
          </w:p>
        </w:tc>
        <w:tc>
          <w:tcPr>
            <w:tcW w:w="1684" w:type="pct"/>
            <w:shd w:val="clear" w:color="auto" w:fill="auto"/>
            <w:vAlign w:val="center"/>
          </w:tcPr>
          <w:p w14:paraId="063B650E">
            <w:pPr>
              <w:pStyle w:val="17"/>
              <w:bidi w:val="0"/>
              <w:ind w:firstLine="0" w:firstLineChars="0"/>
              <w:jc w:val="center"/>
              <w:rPr>
                <w:rFonts w:hint="eastAsia"/>
                <w:color w:val="auto"/>
                <w:highlight w:val="none"/>
                <w:lang w:val="en-US" w:eastAsia="zh-CN"/>
              </w:rPr>
            </w:pPr>
            <w:r>
              <w:rPr>
                <w:rFonts w:hint="eastAsia"/>
                <w:color w:val="auto"/>
                <w:highlight w:val="none"/>
                <w:lang w:val="en-US" w:eastAsia="zh-CN"/>
              </w:rPr>
              <w:t>布袋除尘器+15m排气筒</w:t>
            </w:r>
          </w:p>
        </w:tc>
        <w:tc>
          <w:tcPr>
            <w:tcW w:w="689" w:type="pct"/>
            <w:vMerge w:val="continue"/>
            <w:shd w:val="clear" w:color="auto" w:fill="auto"/>
            <w:vAlign w:val="center"/>
          </w:tcPr>
          <w:p w14:paraId="1038BC67">
            <w:pPr>
              <w:pStyle w:val="17"/>
              <w:bidi w:val="0"/>
              <w:ind w:firstLine="0" w:firstLineChars="0"/>
              <w:jc w:val="center"/>
              <w:rPr>
                <w:rFonts w:hint="default"/>
                <w:color w:val="auto"/>
                <w:highlight w:val="none"/>
                <w:lang w:val="en-US" w:eastAsia="zh-CN"/>
              </w:rPr>
            </w:pPr>
          </w:p>
        </w:tc>
      </w:tr>
      <w:tr w14:paraId="7DCE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continue"/>
            <w:vAlign w:val="center"/>
          </w:tcPr>
          <w:p w14:paraId="5256756D">
            <w:pPr>
              <w:pStyle w:val="17"/>
              <w:bidi w:val="0"/>
              <w:jc w:val="center"/>
              <w:rPr>
                <w:rFonts w:hint="eastAsia"/>
                <w:color w:val="auto"/>
                <w:highlight w:val="none"/>
                <w:lang w:val="en-US" w:eastAsia="zh-CN"/>
              </w:rPr>
            </w:pPr>
          </w:p>
        </w:tc>
        <w:tc>
          <w:tcPr>
            <w:tcW w:w="304" w:type="pct"/>
            <w:gridSpan w:val="2"/>
            <w:vMerge w:val="continue"/>
            <w:vAlign w:val="center"/>
          </w:tcPr>
          <w:p w14:paraId="57587518">
            <w:pPr>
              <w:pStyle w:val="17"/>
              <w:bidi w:val="0"/>
              <w:ind w:firstLine="0" w:firstLineChars="0"/>
              <w:jc w:val="center"/>
              <w:rPr>
                <w:rFonts w:hint="default"/>
                <w:color w:val="auto"/>
                <w:highlight w:val="none"/>
                <w:lang w:val="en-US" w:eastAsia="zh-CN"/>
              </w:rPr>
            </w:pPr>
          </w:p>
        </w:tc>
        <w:tc>
          <w:tcPr>
            <w:tcW w:w="301" w:type="pct"/>
            <w:vMerge w:val="continue"/>
            <w:shd w:val="clear" w:color="auto" w:fill="auto"/>
            <w:vAlign w:val="center"/>
          </w:tcPr>
          <w:p w14:paraId="5F74C687">
            <w:pPr>
              <w:pStyle w:val="17"/>
              <w:bidi w:val="0"/>
              <w:ind w:firstLine="0" w:firstLineChars="0"/>
              <w:jc w:val="center"/>
              <w:rPr>
                <w:rFonts w:hint="eastAsia" w:cs="Times New Roman"/>
                <w:color w:val="auto"/>
                <w:kern w:val="2"/>
                <w:sz w:val="21"/>
                <w:szCs w:val="21"/>
                <w:highlight w:val="none"/>
                <w:lang w:val="en-US" w:eastAsia="zh-CN" w:bidi="ar-SA"/>
              </w:rPr>
            </w:pPr>
          </w:p>
        </w:tc>
        <w:tc>
          <w:tcPr>
            <w:tcW w:w="284" w:type="pct"/>
            <w:gridSpan w:val="2"/>
            <w:vMerge w:val="continue"/>
            <w:shd w:val="clear" w:color="auto" w:fill="auto"/>
            <w:vAlign w:val="center"/>
          </w:tcPr>
          <w:p w14:paraId="7953A76B">
            <w:pPr>
              <w:pStyle w:val="17"/>
              <w:bidi w:val="0"/>
              <w:ind w:firstLine="0" w:firstLineChars="0"/>
              <w:jc w:val="center"/>
              <w:rPr>
                <w:rFonts w:hint="eastAsia"/>
                <w:color w:val="auto"/>
                <w:highlight w:val="none"/>
                <w:lang w:val="en-US" w:eastAsia="zh-CN"/>
              </w:rPr>
            </w:pPr>
          </w:p>
        </w:tc>
        <w:tc>
          <w:tcPr>
            <w:tcW w:w="1255" w:type="pct"/>
            <w:vMerge w:val="continue"/>
            <w:shd w:val="clear" w:color="auto" w:fill="auto"/>
            <w:vAlign w:val="center"/>
          </w:tcPr>
          <w:p w14:paraId="14A15BAA">
            <w:pPr>
              <w:pStyle w:val="17"/>
              <w:bidi w:val="0"/>
              <w:ind w:firstLine="0" w:firstLineChars="0"/>
              <w:jc w:val="center"/>
              <w:rPr>
                <w:rFonts w:hint="eastAsia"/>
                <w:color w:val="auto"/>
                <w:highlight w:val="none"/>
                <w:lang w:val="en-US" w:eastAsia="zh-CN"/>
              </w:rPr>
            </w:pPr>
          </w:p>
        </w:tc>
        <w:tc>
          <w:tcPr>
            <w:tcW w:w="330" w:type="pct"/>
            <w:shd w:val="clear" w:color="auto" w:fill="auto"/>
            <w:vAlign w:val="center"/>
          </w:tcPr>
          <w:p w14:paraId="01D820FB">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筛分废气</w:t>
            </w:r>
          </w:p>
        </w:tc>
        <w:tc>
          <w:tcPr>
            <w:tcW w:w="1684" w:type="pct"/>
            <w:shd w:val="clear" w:color="auto" w:fill="auto"/>
            <w:vAlign w:val="center"/>
          </w:tcPr>
          <w:p w14:paraId="03C2B757">
            <w:pPr>
              <w:pStyle w:val="17"/>
              <w:bidi w:val="0"/>
              <w:ind w:firstLine="0" w:firstLineChars="0"/>
              <w:jc w:val="center"/>
              <w:rPr>
                <w:rFonts w:hint="eastAsia"/>
                <w:color w:val="auto"/>
                <w:highlight w:val="none"/>
                <w:lang w:val="en-US" w:eastAsia="zh-CN"/>
              </w:rPr>
            </w:pPr>
            <w:r>
              <w:rPr>
                <w:rFonts w:hint="eastAsia"/>
                <w:color w:val="auto"/>
                <w:highlight w:val="none"/>
                <w:lang w:val="en-US" w:eastAsia="zh-CN"/>
              </w:rPr>
              <w:t>布袋除尘器+15m排气筒</w:t>
            </w:r>
          </w:p>
        </w:tc>
        <w:tc>
          <w:tcPr>
            <w:tcW w:w="689" w:type="pct"/>
            <w:vMerge w:val="continue"/>
            <w:shd w:val="clear" w:color="auto" w:fill="auto"/>
            <w:vAlign w:val="center"/>
          </w:tcPr>
          <w:p w14:paraId="14EBC4C7">
            <w:pPr>
              <w:pStyle w:val="17"/>
              <w:bidi w:val="0"/>
              <w:ind w:firstLine="0" w:firstLineChars="0"/>
              <w:jc w:val="center"/>
              <w:rPr>
                <w:rFonts w:hint="eastAsia"/>
                <w:color w:val="auto"/>
                <w:highlight w:val="none"/>
                <w:lang w:val="en-US" w:eastAsia="zh-CN"/>
              </w:rPr>
            </w:pPr>
          </w:p>
        </w:tc>
      </w:tr>
      <w:tr w14:paraId="7880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continue"/>
            <w:vAlign w:val="center"/>
          </w:tcPr>
          <w:p w14:paraId="6E1588CF">
            <w:pPr>
              <w:pStyle w:val="17"/>
              <w:bidi w:val="0"/>
              <w:jc w:val="center"/>
              <w:rPr>
                <w:rFonts w:hint="eastAsia"/>
                <w:color w:val="auto"/>
                <w:highlight w:val="none"/>
                <w:lang w:val="en-US" w:eastAsia="zh-CN"/>
              </w:rPr>
            </w:pPr>
          </w:p>
        </w:tc>
        <w:tc>
          <w:tcPr>
            <w:tcW w:w="304" w:type="pct"/>
            <w:gridSpan w:val="2"/>
            <w:vMerge w:val="continue"/>
            <w:vAlign w:val="center"/>
          </w:tcPr>
          <w:p w14:paraId="355D31CE">
            <w:pPr>
              <w:pStyle w:val="17"/>
              <w:bidi w:val="0"/>
              <w:ind w:firstLine="0" w:firstLineChars="0"/>
              <w:jc w:val="center"/>
              <w:rPr>
                <w:rFonts w:hint="default"/>
                <w:color w:val="auto"/>
                <w:highlight w:val="none"/>
                <w:lang w:val="en-US" w:eastAsia="zh-CN"/>
              </w:rPr>
            </w:pPr>
          </w:p>
        </w:tc>
        <w:tc>
          <w:tcPr>
            <w:tcW w:w="301" w:type="pct"/>
            <w:vMerge w:val="continue"/>
            <w:shd w:val="clear" w:color="auto" w:fill="auto"/>
            <w:vAlign w:val="center"/>
          </w:tcPr>
          <w:p w14:paraId="3FE8E14F">
            <w:pPr>
              <w:pStyle w:val="17"/>
              <w:bidi w:val="0"/>
              <w:ind w:firstLine="0" w:firstLineChars="0"/>
              <w:jc w:val="center"/>
              <w:rPr>
                <w:rFonts w:hint="eastAsia" w:cs="Times New Roman"/>
                <w:color w:val="auto"/>
                <w:kern w:val="2"/>
                <w:sz w:val="21"/>
                <w:szCs w:val="21"/>
                <w:highlight w:val="none"/>
                <w:lang w:val="en-US" w:eastAsia="zh-CN" w:bidi="ar-SA"/>
              </w:rPr>
            </w:pPr>
          </w:p>
        </w:tc>
        <w:tc>
          <w:tcPr>
            <w:tcW w:w="284" w:type="pct"/>
            <w:gridSpan w:val="2"/>
            <w:vMerge w:val="continue"/>
            <w:shd w:val="clear" w:color="auto" w:fill="auto"/>
            <w:vAlign w:val="center"/>
          </w:tcPr>
          <w:p w14:paraId="42BB3CA8">
            <w:pPr>
              <w:pStyle w:val="17"/>
              <w:bidi w:val="0"/>
              <w:ind w:firstLine="0" w:firstLineChars="0"/>
              <w:jc w:val="center"/>
              <w:rPr>
                <w:rFonts w:hint="eastAsia"/>
                <w:color w:val="auto"/>
                <w:highlight w:val="none"/>
                <w:lang w:val="en-US" w:eastAsia="zh-CN"/>
              </w:rPr>
            </w:pPr>
          </w:p>
        </w:tc>
        <w:tc>
          <w:tcPr>
            <w:tcW w:w="1255" w:type="pct"/>
            <w:vMerge w:val="continue"/>
            <w:shd w:val="clear" w:color="auto" w:fill="auto"/>
            <w:vAlign w:val="center"/>
          </w:tcPr>
          <w:p w14:paraId="4248583A">
            <w:pPr>
              <w:pStyle w:val="17"/>
              <w:bidi w:val="0"/>
              <w:ind w:firstLine="0" w:firstLineChars="0"/>
              <w:jc w:val="center"/>
              <w:rPr>
                <w:rFonts w:hint="eastAsia"/>
                <w:color w:val="auto"/>
                <w:highlight w:val="none"/>
                <w:lang w:val="en-US" w:eastAsia="zh-CN"/>
              </w:rPr>
            </w:pPr>
          </w:p>
        </w:tc>
        <w:tc>
          <w:tcPr>
            <w:tcW w:w="330" w:type="pct"/>
            <w:shd w:val="clear" w:color="auto" w:fill="auto"/>
            <w:vAlign w:val="center"/>
          </w:tcPr>
          <w:p w14:paraId="7B5DD595">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粉矿仓废气</w:t>
            </w:r>
          </w:p>
        </w:tc>
        <w:tc>
          <w:tcPr>
            <w:tcW w:w="1684" w:type="pct"/>
            <w:shd w:val="clear" w:color="auto" w:fill="auto"/>
            <w:vAlign w:val="center"/>
          </w:tcPr>
          <w:p w14:paraId="4327A6E8">
            <w:pPr>
              <w:pStyle w:val="17"/>
              <w:bidi w:val="0"/>
              <w:ind w:firstLine="0" w:firstLineChars="0"/>
              <w:jc w:val="center"/>
              <w:rPr>
                <w:rFonts w:hint="eastAsia"/>
                <w:color w:val="auto"/>
                <w:highlight w:val="none"/>
                <w:lang w:val="en-US" w:eastAsia="zh-CN"/>
              </w:rPr>
            </w:pPr>
            <w:r>
              <w:rPr>
                <w:rFonts w:hint="eastAsia"/>
                <w:color w:val="auto"/>
                <w:highlight w:val="none"/>
                <w:lang w:val="en-US" w:eastAsia="zh-CN"/>
              </w:rPr>
              <w:t>布袋除尘器+15m排气筒</w:t>
            </w:r>
          </w:p>
        </w:tc>
        <w:tc>
          <w:tcPr>
            <w:tcW w:w="689" w:type="pct"/>
            <w:vMerge w:val="continue"/>
            <w:shd w:val="clear" w:color="auto" w:fill="auto"/>
            <w:vAlign w:val="center"/>
          </w:tcPr>
          <w:p w14:paraId="1F185CEB">
            <w:pPr>
              <w:pStyle w:val="17"/>
              <w:bidi w:val="0"/>
              <w:ind w:firstLine="0" w:firstLineChars="0"/>
              <w:jc w:val="center"/>
              <w:rPr>
                <w:rFonts w:hint="default"/>
                <w:color w:val="auto"/>
                <w:highlight w:val="none"/>
                <w:lang w:val="en-US" w:eastAsia="zh-CN"/>
              </w:rPr>
            </w:pPr>
          </w:p>
        </w:tc>
      </w:tr>
      <w:tr w14:paraId="5686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continue"/>
            <w:vAlign w:val="center"/>
          </w:tcPr>
          <w:p w14:paraId="35ABAA57">
            <w:pPr>
              <w:pStyle w:val="17"/>
              <w:bidi w:val="0"/>
              <w:jc w:val="center"/>
              <w:rPr>
                <w:rFonts w:hint="eastAsia"/>
                <w:color w:val="auto"/>
                <w:highlight w:val="none"/>
                <w:lang w:val="en-US" w:eastAsia="zh-CN"/>
              </w:rPr>
            </w:pPr>
          </w:p>
        </w:tc>
        <w:tc>
          <w:tcPr>
            <w:tcW w:w="304" w:type="pct"/>
            <w:gridSpan w:val="2"/>
            <w:vMerge w:val="continue"/>
            <w:vAlign w:val="center"/>
          </w:tcPr>
          <w:p w14:paraId="3608CE3B">
            <w:pPr>
              <w:pStyle w:val="17"/>
              <w:bidi w:val="0"/>
              <w:ind w:firstLine="0" w:firstLineChars="0"/>
              <w:jc w:val="center"/>
              <w:rPr>
                <w:rFonts w:hint="default"/>
                <w:color w:val="auto"/>
                <w:highlight w:val="none"/>
                <w:lang w:val="en-US" w:eastAsia="zh-CN"/>
              </w:rPr>
            </w:pPr>
          </w:p>
        </w:tc>
        <w:tc>
          <w:tcPr>
            <w:tcW w:w="301" w:type="pct"/>
            <w:vMerge w:val="continue"/>
            <w:shd w:val="clear" w:color="auto" w:fill="auto"/>
            <w:vAlign w:val="center"/>
          </w:tcPr>
          <w:p w14:paraId="5761AE25">
            <w:pPr>
              <w:pStyle w:val="17"/>
              <w:bidi w:val="0"/>
              <w:ind w:firstLine="0" w:firstLineChars="0"/>
              <w:jc w:val="center"/>
              <w:rPr>
                <w:rFonts w:hint="eastAsia" w:cs="Times New Roman"/>
                <w:color w:val="auto"/>
                <w:kern w:val="2"/>
                <w:sz w:val="21"/>
                <w:szCs w:val="21"/>
                <w:highlight w:val="none"/>
                <w:lang w:val="en-US" w:eastAsia="zh-CN" w:bidi="ar-SA"/>
              </w:rPr>
            </w:pPr>
          </w:p>
        </w:tc>
        <w:tc>
          <w:tcPr>
            <w:tcW w:w="284" w:type="pct"/>
            <w:gridSpan w:val="2"/>
            <w:shd w:val="clear" w:color="auto" w:fill="auto"/>
            <w:vAlign w:val="center"/>
          </w:tcPr>
          <w:p w14:paraId="5F57202D">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w:t>
            </w:r>
          </w:p>
        </w:tc>
        <w:tc>
          <w:tcPr>
            <w:tcW w:w="1255" w:type="pct"/>
            <w:shd w:val="clear" w:color="auto" w:fill="auto"/>
            <w:vAlign w:val="center"/>
          </w:tcPr>
          <w:p w14:paraId="4158B4C1">
            <w:pPr>
              <w:pStyle w:val="17"/>
              <w:bidi w:val="0"/>
              <w:ind w:firstLine="0" w:firstLineChars="0"/>
              <w:jc w:val="center"/>
              <w:rPr>
                <w:rFonts w:hint="default" w:eastAsia="宋体"/>
                <w:color w:val="auto"/>
                <w:highlight w:val="none"/>
                <w:lang w:val="en-US" w:eastAsia="zh-CN"/>
              </w:rPr>
            </w:pPr>
            <w:r>
              <w:rPr>
                <w:rFonts w:hint="eastAsia"/>
                <w:color w:val="auto"/>
                <w:highlight w:val="none"/>
                <w:lang w:val="en-US" w:eastAsia="zh-CN"/>
              </w:rPr>
              <w:t>/</w:t>
            </w:r>
          </w:p>
        </w:tc>
        <w:tc>
          <w:tcPr>
            <w:tcW w:w="330" w:type="pct"/>
            <w:shd w:val="clear" w:color="auto" w:fill="auto"/>
            <w:vAlign w:val="center"/>
          </w:tcPr>
          <w:p w14:paraId="00E1371B">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硫酸稀释废气</w:t>
            </w:r>
          </w:p>
        </w:tc>
        <w:tc>
          <w:tcPr>
            <w:tcW w:w="1684" w:type="pct"/>
            <w:shd w:val="clear" w:color="auto" w:fill="auto"/>
            <w:vAlign w:val="center"/>
          </w:tcPr>
          <w:p w14:paraId="0E1BEEE2">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碱液吸收塔+15m高排气筒</w:t>
            </w:r>
          </w:p>
        </w:tc>
        <w:tc>
          <w:tcPr>
            <w:tcW w:w="689" w:type="pct"/>
            <w:vMerge w:val="continue"/>
            <w:shd w:val="clear" w:color="auto" w:fill="auto"/>
            <w:vAlign w:val="center"/>
          </w:tcPr>
          <w:p w14:paraId="1CA4C68B">
            <w:pPr>
              <w:pStyle w:val="17"/>
              <w:bidi w:val="0"/>
              <w:ind w:firstLine="0" w:firstLineChars="0"/>
              <w:jc w:val="center"/>
              <w:rPr>
                <w:rFonts w:hint="default"/>
                <w:color w:val="auto"/>
                <w:highlight w:val="none"/>
                <w:lang w:val="en-US" w:eastAsia="zh-CN"/>
              </w:rPr>
            </w:pPr>
          </w:p>
        </w:tc>
      </w:tr>
      <w:tr w14:paraId="0CDB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continue"/>
            <w:vAlign w:val="center"/>
          </w:tcPr>
          <w:p w14:paraId="30C57AEC">
            <w:pPr>
              <w:pStyle w:val="17"/>
              <w:bidi w:val="0"/>
              <w:jc w:val="center"/>
              <w:rPr>
                <w:rFonts w:hint="eastAsia"/>
                <w:color w:val="auto"/>
                <w:highlight w:val="none"/>
                <w:lang w:val="en-US" w:eastAsia="zh-CN"/>
              </w:rPr>
            </w:pPr>
          </w:p>
        </w:tc>
        <w:tc>
          <w:tcPr>
            <w:tcW w:w="304" w:type="pct"/>
            <w:gridSpan w:val="2"/>
            <w:vMerge w:val="continue"/>
            <w:vAlign w:val="center"/>
          </w:tcPr>
          <w:p w14:paraId="460985D8">
            <w:pPr>
              <w:pStyle w:val="17"/>
              <w:bidi w:val="0"/>
              <w:ind w:firstLine="0" w:firstLineChars="0"/>
              <w:jc w:val="center"/>
              <w:rPr>
                <w:rFonts w:hint="default"/>
                <w:color w:val="auto"/>
                <w:highlight w:val="none"/>
                <w:lang w:val="en-US" w:eastAsia="zh-CN"/>
              </w:rPr>
            </w:pPr>
          </w:p>
        </w:tc>
        <w:tc>
          <w:tcPr>
            <w:tcW w:w="301" w:type="pct"/>
            <w:vMerge w:val="continue"/>
            <w:shd w:val="clear" w:color="auto" w:fill="auto"/>
            <w:vAlign w:val="center"/>
          </w:tcPr>
          <w:p w14:paraId="78BE8937">
            <w:pPr>
              <w:pStyle w:val="17"/>
              <w:bidi w:val="0"/>
              <w:ind w:firstLine="0" w:firstLineChars="0"/>
              <w:jc w:val="center"/>
              <w:rPr>
                <w:rFonts w:hint="eastAsia" w:cs="Times New Roman"/>
                <w:color w:val="auto"/>
                <w:kern w:val="2"/>
                <w:sz w:val="21"/>
                <w:szCs w:val="21"/>
                <w:highlight w:val="none"/>
                <w:lang w:val="en-US" w:eastAsia="zh-CN" w:bidi="ar-SA"/>
              </w:rPr>
            </w:pPr>
          </w:p>
        </w:tc>
        <w:tc>
          <w:tcPr>
            <w:tcW w:w="284" w:type="pct"/>
            <w:gridSpan w:val="2"/>
            <w:shd w:val="clear" w:color="auto" w:fill="auto"/>
            <w:vAlign w:val="center"/>
          </w:tcPr>
          <w:p w14:paraId="2883C28F">
            <w:pPr>
              <w:pStyle w:val="17"/>
              <w:bidi w:val="0"/>
              <w:ind w:firstLine="0" w:firstLineChars="0"/>
              <w:jc w:val="center"/>
              <w:rPr>
                <w:rFonts w:hint="eastAsia"/>
                <w:color w:val="auto"/>
                <w:highlight w:val="none"/>
              </w:rPr>
            </w:pPr>
            <w:r>
              <w:rPr>
                <w:rFonts w:hint="eastAsia"/>
                <w:color w:val="auto"/>
                <w:highlight w:val="none"/>
              </w:rPr>
              <w:t>运输扬尘</w:t>
            </w:r>
          </w:p>
        </w:tc>
        <w:tc>
          <w:tcPr>
            <w:tcW w:w="1255" w:type="pct"/>
            <w:shd w:val="clear" w:color="auto" w:fill="auto"/>
            <w:vAlign w:val="center"/>
          </w:tcPr>
          <w:p w14:paraId="6CC2121D">
            <w:pPr>
              <w:pStyle w:val="17"/>
              <w:bidi w:val="0"/>
              <w:ind w:firstLine="0" w:firstLineChars="0"/>
              <w:jc w:val="center"/>
              <w:rPr>
                <w:rFonts w:hint="eastAsia"/>
                <w:color w:val="auto"/>
                <w:highlight w:val="none"/>
              </w:rPr>
            </w:pPr>
            <w:r>
              <w:rPr>
                <w:rFonts w:hint="eastAsia" w:ascii="Times New Roman" w:hAnsi="Times New Roman" w:cs="宋体"/>
                <w:color w:val="auto"/>
                <w:sz w:val="21"/>
                <w:highlight w:val="none"/>
              </w:rPr>
              <w:t>运输扬尘</w:t>
            </w:r>
            <w:r>
              <w:rPr>
                <w:rFonts w:hint="eastAsia" w:ascii="Times New Roman" w:hAnsi="Times New Roman" w:cs="宋体"/>
                <w:color w:val="auto"/>
                <w:sz w:val="21"/>
                <w:highlight w:val="none"/>
                <w:lang w:eastAsia="zh-CN"/>
              </w:rPr>
              <w:t>采取</w:t>
            </w:r>
            <w:r>
              <w:rPr>
                <w:rFonts w:hint="eastAsia" w:ascii="Times New Roman" w:hAnsi="Times New Roman" w:cs="宋体"/>
                <w:color w:val="auto"/>
                <w:sz w:val="21"/>
                <w:highlight w:val="none"/>
              </w:rPr>
              <w:t>洒水降尘、车辆限速</w:t>
            </w:r>
          </w:p>
        </w:tc>
        <w:tc>
          <w:tcPr>
            <w:tcW w:w="330" w:type="pct"/>
            <w:shd w:val="clear" w:color="auto" w:fill="auto"/>
            <w:vAlign w:val="center"/>
          </w:tcPr>
          <w:p w14:paraId="5C711069">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运输扬尘</w:t>
            </w:r>
          </w:p>
        </w:tc>
        <w:tc>
          <w:tcPr>
            <w:tcW w:w="1684" w:type="pct"/>
            <w:shd w:val="clear" w:color="auto" w:fill="auto"/>
            <w:vAlign w:val="center"/>
          </w:tcPr>
          <w:p w14:paraId="5B675356">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洒水降尘、车辆限速</w:t>
            </w:r>
          </w:p>
        </w:tc>
        <w:tc>
          <w:tcPr>
            <w:tcW w:w="689" w:type="pct"/>
            <w:vMerge w:val="continue"/>
            <w:shd w:val="clear" w:color="auto" w:fill="auto"/>
            <w:vAlign w:val="center"/>
          </w:tcPr>
          <w:p w14:paraId="4D0BD8FF">
            <w:pPr>
              <w:pStyle w:val="17"/>
              <w:bidi w:val="0"/>
              <w:ind w:firstLine="0" w:firstLineChars="0"/>
              <w:jc w:val="center"/>
              <w:rPr>
                <w:rFonts w:hint="default"/>
                <w:color w:val="auto"/>
                <w:highlight w:val="none"/>
                <w:lang w:val="en-US" w:eastAsia="zh-CN"/>
              </w:rPr>
            </w:pPr>
          </w:p>
        </w:tc>
      </w:tr>
      <w:tr w14:paraId="3964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151" w:type="pct"/>
            <w:vMerge w:val="continue"/>
            <w:vAlign w:val="center"/>
          </w:tcPr>
          <w:p w14:paraId="19512ED4">
            <w:pPr>
              <w:pStyle w:val="17"/>
              <w:bidi w:val="0"/>
              <w:jc w:val="center"/>
              <w:rPr>
                <w:rFonts w:hint="eastAsia"/>
                <w:color w:val="auto"/>
                <w:highlight w:val="none"/>
                <w:lang w:val="en-US" w:eastAsia="zh-CN"/>
              </w:rPr>
            </w:pPr>
          </w:p>
        </w:tc>
        <w:tc>
          <w:tcPr>
            <w:tcW w:w="304" w:type="pct"/>
            <w:gridSpan w:val="2"/>
            <w:vMerge w:val="continue"/>
            <w:vAlign w:val="center"/>
          </w:tcPr>
          <w:p w14:paraId="1366BCE2">
            <w:pPr>
              <w:pStyle w:val="17"/>
              <w:bidi w:val="0"/>
              <w:ind w:firstLine="0" w:firstLineChars="0"/>
              <w:jc w:val="center"/>
              <w:rPr>
                <w:rFonts w:hint="default"/>
                <w:color w:val="auto"/>
                <w:highlight w:val="none"/>
                <w:lang w:val="en-US" w:eastAsia="zh-CN"/>
              </w:rPr>
            </w:pPr>
          </w:p>
        </w:tc>
        <w:tc>
          <w:tcPr>
            <w:tcW w:w="301" w:type="pct"/>
            <w:shd w:val="clear" w:color="auto" w:fill="auto"/>
            <w:vAlign w:val="center"/>
          </w:tcPr>
          <w:p w14:paraId="485C786F">
            <w:pPr>
              <w:pStyle w:val="17"/>
              <w:bidi w:val="0"/>
              <w:ind w:firstLine="0" w:firstLineChars="0"/>
              <w:jc w:val="center"/>
              <w:rPr>
                <w:rFonts w:hint="eastAsia" w:cs="Times New Roman"/>
                <w:color w:val="auto"/>
                <w:kern w:val="2"/>
                <w:sz w:val="21"/>
                <w:szCs w:val="21"/>
                <w:highlight w:val="none"/>
                <w:lang w:val="en-US" w:eastAsia="zh-CN" w:bidi="ar-SA"/>
              </w:rPr>
            </w:pPr>
            <w:r>
              <w:rPr>
                <w:rFonts w:hint="eastAsia"/>
                <w:color w:val="auto"/>
                <w:highlight w:val="none"/>
              </w:rPr>
              <w:t>尾矿库</w:t>
            </w:r>
          </w:p>
        </w:tc>
        <w:tc>
          <w:tcPr>
            <w:tcW w:w="1539" w:type="pct"/>
            <w:gridSpan w:val="3"/>
            <w:shd w:val="clear" w:color="auto" w:fill="auto"/>
            <w:vAlign w:val="center"/>
          </w:tcPr>
          <w:p w14:paraId="6BCF2CAB">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多管分散放矿，保持尾矿沉积滩面的湿润，减少扬尘</w:t>
            </w:r>
          </w:p>
        </w:tc>
        <w:tc>
          <w:tcPr>
            <w:tcW w:w="330" w:type="pct"/>
            <w:shd w:val="clear" w:color="auto" w:fill="auto"/>
            <w:vAlign w:val="center"/>
          </w:tcPr>
          <w:p w14:paraId="7DC786CF">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尾矿库</w:t>
            </w:r>
          </w:p>
        </w:tc>
        <w:tc>
          <w:tcPr>
            <w:tcW w:w="1684" w:type="pct"/>
            <w:shd w:val="clear" w:color="auto" w:fill="auto"/>
            <w:vAlign w:val="center"/>
          </w:tcPr>
          <w:p w14:paraId="760A8879">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多管分散放矿，保持尾矿沉积滩面的湿润，</w:t>
            </w:r>
            <w:r>
              <w:rPr>
                <w:rFonts w:hint="eastAsia"/>
                <w:color w:val="auto"/>
                <w:highlight w:val="none"/>
                <w:lang w:val="en-US" w:eastAsia="zh-CN"/>
              </w:rPr>
              <w:t>定期洒水、</w:t>
            </w:r>
            <w:r>
              <w:rPr>
                <w:rFonts w:hint="eastAsia"/>
                <w:color w:val="auto"/>
                <w:highlight w:val="none"/>
              </w:rPr>
              <w:t>减少扬尘</w:t>
            </w:r>
          </w:p>
        </w:tc>
        <w:tc>
          <w:tcPr>
            <w:tcW w:w="689" w:type="pct"/>
            <w:shd w:val="clear" w:color="auto" w:fill="auto"/>
            <w:vAlign w:val="center"/>
          </w:tcPr>
          <w:p w14:paraId="68143456">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未变动</w:t>
            </w:r>
          </w:p>
        </w:tc>
      </w:tr>
      <w:tr w14:paraId="0BEE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26B103F3">
            <w:pPr>
              <w:pStyle w:val="17"/>
              <w:bidi w:val="0"/>
              <w:jc w:val="center"/>
              <w:rPr>
                <w:rFonts w:hint="default" w:eastAsia="宋体"/>
                <w:color w:val="auto"/>
                <w:highlight w:val="none"/>
                <w:lang w:val="en-US" w:eastAsia="zh-CN"/>
              </w:rPr>
            </w:pPr>
          </w:p>
        </w:tc>
        <w:tc>
          <w:tcPr>
            <w:tcW w:w="304" w:type="pct"/>
            <w:gridSpan w:val="2"/>
            <w:vAlign w:val="center"/>
          </w:tcPr>
          <w:p w14:paraId="11DDA9A5">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废水</w:t>
            </w:r>
          </w:p>
        </w:tc>
        <w:tc>
          <w:tcPr>
            <w:tcW w:w="301" w:type="pct"/>
            <w:shd w:val="clear" w:color="auto" w:fill="auto"/>
            <w:vAlign w:val="center"/>
          </w:tcPr>
          <w:p w14:paraId="0D09A398">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生产、生活</w:t>
            </w:r>
          </w:p>
        </w:tc>
        <w:tc>
          <w:tcPr>
            <w:tcW w:w="1539" w:type="pct"/>
            <w:gridSpan w:val="3"/>
            <w:shd w:val="clear" w:color="auto" w:fill="auto"/>
            <w:vAlign w:val="center"/>
          </w:tcPr>
          <w:p w14:paraId="0824F1E6">
            <w:pPr>
              <w:pStyle w:val="17"/>
              <w:bidi w:val="0"/>
              <w:rPr>
                <w:rFonts w:hint="default"/>
                <w:color w:val="auto"/>
                <w:highlight w:val="none"/>
                <w:lang w:val="en-US" w:eastAsia="zh-CN"/>
              </w:rPr>
            </w:pPr>
            <w:r>
              <w:rPr>
                <w:rFonts w:hint="default"/>
                <w:color w:val="auto"/>
                <w:highlight w:val="none"/>
                <w:lang w:val="en-US" w:eastAsia="zh-CN"/>
              </w:rPr>
              <w:t>地下涌水排出地表至采矿生产消防水池，满足充填用水、井下作业用水和井下消防用水</w:t>
            </w:r>
            <w:r>
              <w:rPr>
                <w:rFonts w:hint="eastAsia"/>
                <w:color w:val="auto"/>
                <w:highlight w:val="none"/>
                <w:lang w:val="en-US" w:eastAsia="zh-CN"/>
              </w:rPr>
              <w:t>。后期井下涌水剩余时，通过管道输送至配套选矿厂用于选矿生产用水。</w:t>
            </w:r>
          </w:p>
          <w:p w14:paraId="72A4D748">
            <w:pPr>
              <w:pStyle w:val="17"/>
              <w:bidi w:val="0"/>
              <w:rPr>
                <w:rFonts w:hint="eastAsia"/>
                <w:color w:val="auto"/>
                <w:highlight w:val="none"/>
                <w:lang w:val="en-US" w:eastAsia="zh-CN"/>
              </w:rPr>
            </w:pPr>
            <w:r>
              <w:rPr>
                <w:rFonts w:hint="default"/>
                <w:color w:val="auto"/>
                <w:highlight w:val="none"/>
                <w:lang w:val="en-US" w:eastAsia="zh-CN"/>
              </w:rPr>
              <w:t>生活污水先在排放处进行一级处理：食堂污水含油脂较多，设隔油池处理；卫生间排水主要成分为有机物和悬浮杂质。一级处理后生活污水经室外生活污水排水管道汇集后排入生活区下游生活污水处理设施，一并进行处理。</w:t>
            </w:r>
            <w:r>
              <w:rPr>
                <w:rFonts w:hint="eastAsia"/>
                <w:color w:val="auto"/>
                <w:highlight w:val="none"/>
                <w:lang w:val="en-US" w:eastAsia="zh-CN"/>
              </w:rPr>
              <w:t>根据项目区位于高寒偏远山区的特殊情况，</w:t>
            </w:r>
            <w:r>
              <w:rPr>
                <w:rFonts w:hint="default"/>
                <w:color w:val="auto"/>
                <w:highlight w:val="none"/>
                <w:lang w:val="en-US" w:eastAsia="zh-CN"/>
              </w:rPr>
              <w:t>生活污水处理采用</w:t>
            </w:r>
            <w:r>
              <w:rPr>
                <w:rFonts w:hint="eastAsia"/>
                <w:color w:val="auto"/>
                <w:highlight w:val="none"/>
                <w:lang w:val="en-US" w:eastAsia="zh-CN"/>
              </w:rPr>
              <w:t>地埋式污水</w:t>
            </w:r>
            <w:r>
              <w:rPr>
                <w:rFonts w:hint="default"/>
                <w:color w:val="auto"/>
                <w:highlight w:val="none"/>
                <w:lang w:val="en-US" w:eastAsia="zh-CN"/>
              </w:rPr>
              <w:t>处理设施，处理能力</w:t>
            </w:r>
            <w:r>
              <w:rPr>
                <w:rFonts w:hint="eastAsia"/>
                <w:color w:val="auto"/>
                <w:highlight w:val="none"/>
                <w:lang w:val="en-US" w:eastAsia="zh-CN"/>
              </w:rPr>
              <w:t>3</w:t>
            </w:r>
            <w:r>
              <w:rPr>
                <w:rFonts w:hint="default"/>
                <w:color w:val="auto"/>
                <w:highlight w:val="none"/>
                <w:lang w:val="en-US" w:eastAsia="zh-CN"/>
              </w:rPr>
              <w:t>m3/h，出水达到《农村生活污水处理排放标准》（DB654275-2019）表</w:t>
            </w:r>
            <w:r>
              <w:rPr>
                <w:rFonts w:hint="eastAsia"/>
                <w:color w:val="auto"/>
                <w:highlight w:val="none"/>
                <w:lang w:val="en-US" w:eastAsia="zh-CN"/>
              </w:rPr>
              <w:t>1</w:t>
            </w:r>
            <w:r>
              <w:rPr>
                <w:rFonts w:hint="default"/>
                <w:color w:val="auto"/>
                <w:highlight w:val="none"/>
                <w:lang w:val="en-US" w:eastAsia="zh-CN"/>
              </w:rPr>
              <w:t>中</w:t>
            </w:r>
            <w:r>
              <w:rPr>
                <w:rFonts w:hint="eastAsia"/>
                <w:color w:val="auto"/>
                <w:highlight w:val="none"/>
                <w:lang w:val="en-US" w:eastAsia="zh-CN"/>
              </w:rPr>
              <w:t>一</w:t>
            </w:r>
            <w:r>
              <w:rPr>
                <w:rFonts w:hint="default"/>
                <w:color w:val="auto"/>
                <w:highlight w:val="none"/>
                <w:lang w:val="en-US" w:eastAsia="zh-CN"/>
              </w:rPr>
              <w:t>级标准后用于</w:t>
            </w:r>
            <w:r>
              <w:rPr>
                <w:rFonts w:hint="eastAsia"/>
                <w:color w:val="auto"/>
                <w:highlight w:val="none"/>
                <w:lang w:val="en-US" w:eastAsia="zh-CN"/>
              </w:rPr>
              <w:t>生活区</w:t>
            </w:r>
            <w:r>
              <w:rPr>
                <w:rFonts w:hint="default"/>
                <w:color w:val="auto"/>
                <w:highlight w:val="none"/>
                <w:lang w:val="en-US" w:eastAsia="zh-CN"/>
              </w:rPr>
              <w:t>洒水</w:t>
            </w:r>
            <w:r>
              <w:rPr>
                <w:rFonts w:hint="eastAsia"/>
                <w:color w:val="auto"/>
                <w:highlight w:val="none"/>
                <w:lang w:val="en-US" w:eastAsia="zh-CN"/>
              </w:rPr>
              <w:t>、绿化。定期清掏污泥，拉运至若羌县一般工业固体废物填埋场填埋处置。</w:t>
            </w:r>
          </w:p>
          <w:p w14:paraId="7A29CF10">
            <w:pPr>
              <w:pStyle w:val="17"/>
              <w:bidi w:val="0"/>
              <w:ind w:firstLine="0" w:firstLineChars="0"/>
              <w:jc w:val="center"/>
              <w:rPr>
                <w:rFonts w:hint="eastAsia" w:ascii="Times New Roman" w:hAnsi="Times New Roman" w:cs="宋体"/>
                <w:color w:val="auto"/>
                <w:sz w:val="21"/>
                <w:highlight w:val="none"/>
              </w:rPr>
            </w:pPr>
            <w:r>
              <w:rPr>
                <w:rFonts w:hint="default"/>
                <w:b w:val="0"/>
                <w:bCs/>
                <w:color w:val="auto"/>
                <w:highlight w:val="none"/>
                <w:lang w:val="en-US" w:eastAsia="zh-CN"/>
              </w:rPr>
              <w:t>厂区雨水采用雨水排水沟收集排放，雨水由排水沟汇集后排出厂外。</w:t>
            </w:r>
          </w:p>
          <w:p w14:paraId="76C0B5D3">
            <w:pPr>
              <w:pStyle w:val="17"/>
              <w:bidi w:val="0"/>
              <w:ind w:firstLine="0" w:firstLineChars="0"/>
              <w:jc w:val="center"/>
              <w:rPr>
                <w:rFonts w:hint="eastAsia"/>
                <w:color w:val="auto"/>
                <w:highlight w:val="none"/>
                <w:lang w:val="en-US" w:eastAsia="zh-CN"/>
              </w:rPr>
            </w:pPr>
            <w:r>
              <w:rPr>
                <w:rFonts w:hint="eastAsia" w:ascii="Times New Roman" w:hAnsi="Times New Roman" w:cs="宋体"/>
                <w:color w:val="auto"/>
                <w:sz w:val="21"/>
                <w:highlight w:val="none"/>
              </w:rPr>
              <w:t>生产废水循环使用，不外排；</w:t>
            </w:r>
            <w:r>
              <w:rPr>
                <w:rFonts w:hint="eastAsia" w:ascii="Times New Roman" w:hAnsi="Times New Roman"/>
                <w:color w:val="auto"/>
                <w:sz w:val="21"/>
                <w:highlight w:val="none"/>
              </w:rPr>
              <w:t>锅炉排污水、软水废水经沉淀池处理后用于</w:t>
            </w:r>
            <w:r>
              <w:rPr>
                <w:rFonts w:hint="eastAsia" w:ascii="Times New Roman" w:hAnsi="Times New Roman"/>
                <w:color w:val="auto"/>
                <w:sz w:val="21"/>
                <w:highlight w:val="none"/>
                <w:lang w:eastAsia="zh-CN"/>
              </w:rPr>
              <w:t>降尘</w:t>
            </w:r>
            <w:r>
              <w:rPr>
                <w:rFonts w:hint="eastAsia" w:ascii="Times New Roman" w:hAnsi="Times New Roman"/>
                <w:color w:val="auto"/>
                <w:sz w:val="21"/>
                <w:highlight w:val="none"/>
              </w:rPr>
              <w:t>使用。化验废水全部通过管路输入选矿生产工序循环使用，做到零排放。</w:t>
            </w:r>
            <w:r>
              <w:rPr>
                <w:rFonts w:ascii="Times New Roman" w:hAnsi="Times New Roman" w:cs="Times New Roman"/>
                <w:color w:val="auto"/>
                <w:sz w:val="21"/>
                <w:highlight w:val="none"/>
              </w:rPr>
              <w:t>生活污水通过下水管道进入</w:t>
            </w:r>
            <w:r>
              <w:rPr>
                <w:rFonts w:hint="eastAsia" w:ascii="Times New Roman" w:hAnsi="Times New Roman" w:cs="Times New Roman"/>
                <w:color w:val="auto"/>
                <w:sz w:val="21"/>
                <w:highlight w:val="none"/>
                <w:lang w:eastAsia="zh-CN"/>
              </w:rPr>
              <w:t>采矿生活区</w:t>
            </w:r>
            <w:r>
              <w:rPr>
                <w:rFonts w:hint="eastAsia" w:ascii="Times New Roman" w:hAnsi="Times New Roman" w:cs="Times New Roman"/>
                <w:color w:val="auto"/>
                <w:sz w:val="21"/>
                <w:highlight w:val="none"/>
                <w:lang w:val="en-US" w:eastAsia="zh-CN"/>
              </w:rPr>
              <w:t>地埋式污水处理设施</w:t>
            </w:r>
            <w:r>
              <w:rPr>
                <w:rFonts w:ascii="Times New Roman" w:hAnsi="Times New Roman" w:cs="Times New Roman"/>
                <w:color w:val="auto"/>
                <w:sz w:val="21"/>
                <w:highlight w:val="none"/>
              </w:rPr>
              <w:t>处理</w:t>
            </w:r>
            <w:r>
              <w:rPr>
                <w:rFonts w:hint="eastAsia" w:ascii="Times New Roman" w:hAnsi="Times New Roman" w:cs="Times New Roman"/>
                <w:color w:val="auto"/>
                <w:sz w:val="21"/>
                <w:highlight w:val="none"/>
              </w:rPr>
              <w:t>达标</w:t>
            </w:r>
            <w:r>
              <w:rPr>
                <w:rFonts w:ascii="Times New Roman" w:hAnsi="Times New Roman" w:cs="Times New Roman"/>
                <w:color w:val="auto"/>
                <w:sz w:val="21"/>
                <w:highlight w:val="none"/>
              </w:rPr>
              <w:t>后</w:t>
            </w:r>
            <w:r>
              <w:rPr>
                <w:rFonts w:hint="eastAsia" w:ascii="Times New Roman" w:hAnsi="Times New Roman" w:cs="Times New Roman"/>
                <w:color w:val="auto"/>
                <w:sz w:val="21"/>
                <w:highlight w:val="none"/>
              </w:rPr>
              <w:t>用于绿化，</w:t>
            </w:r>
            <w:r>
              <w:rPr>
                <w:rFonts w:ascii="Times New Roman" w:hAnsi="Times New Roman"/>
                <w:color w:val="auto"/>
                <w:sz w:val="21"/>
                <w:highlight w:val="none"/>
              </w:rPr>
              <w:t>做到了零外排</w:t>
            </w:r>
            <w:r>
              <w:rPr>
                <w:rFonts w:hint="eastAsia" w:ascii="Times New Roman" w:hAnsi="Times New Roman"/>
                <w:color w:val="auto"/>
                <w:sz w:val="21"/>
                <w:highlight w:val="none"/>
              </w:rPr>
              <w:t>。</w:t>
            </w:r>
          </w:p>
        </w:tc>
        <w:tc>
          <w:tcPr>
            <w:tcW w:w="330" w:type="pct"/>
            <w:shd w:val="clear" w:color="auto" w:fill="auto"/>
            <w:vAlign w:val="center"/>
          </w:tcPr>
          <w:p w14:paraId="24B1AE83">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生产、生活</w:t>
            </w:r>
          </w:p>
        </w:tc>
        <w:tc>
          <w:tcPr>
            <w:tcW w:w="1684" w:type="pct"/>
            <w:shd w:val="clear" w:color="auto" w:fill="auto"/>
            <w:vAlign w:val="center"/>
          </w:tcPr>
          <w:p w14:paraId="5D2F7BC4">
            <w:pPr>
              <w:pStyle w:val="17"/>
              <w:bidi w:val="0"/>
              <w:ind w:firstLine="0" w:firstLineChars="0"/>
              <w:jc w:val="center"/>
              <w:rPr>
                <w:rFonts w:hint="default"/>
                <w:color w:val="auto"/>
                <w:highlight w:val="none"/>
                <w:lang w:val="en-US" w:eastAsia="zh-CN"/>
              </w:rPr>
            </w:pPr>
            <w:r>
              <w:rPr>
                <w:rFonts w:hint="default"/>
                <w:color w:val="auto"/>
                <w:highlight w:val="none"/>
                <w:lang w:val="en-US" w:eastAsia="zh-CN"/>
              </w:rPr>
              <w:t>矿井涌水经井下排水沟槽及水池收集后，由高压水泵输送至</w:t>
            </w:r>
            <w:r>
              <w:rPr>
                <w:rFonts w:hint="eastAsia" w:ascii="Times New Roman" w:hAnsi="Times New Roman" w:cs="Times New Roman"/>
                <w:color w:val="auto"/>
                <w:highlight w:val="none"/>
                <w:lang w:val="en-US" w:eastAsia="zh-CN"/>
              </w:rPr>
              <w:t>坑内水净化站处理后</w:t>
            </w:r>
            <w:r>
              <w:rPr>
                <w:rFonts w:hint="default"/>
                <w:color w:val="auto"/>
                <w:highlight w:val="none"/>
                <w:lang w:val="en-US" w:eastAsia="zh-CN"/>
              </w:rPr>
              <w:t>，</w:t>
            </w:r>
            <w:r>
              <w:rPr>
                <w:rFonts w:hint="eastAsia"/>
                <w:color w:val="auto"/>
                <w:highlight w:val="none"/>
                <w:lang w:val="en-US" w:eastAsia="zh-CN"/>
              </w:rPr>
              <w:t>泵送至选厂容积2000m</w:t>
            </w:r>
            <w:r>
              <w:rPr>
                <w:rFonts w:hint="eastAsia"/>
                <w:color w:val="auto"/>
                <w:highlight w:val="none"/>
                <w:vertAlign w:val="superscript"/>
                <w:lang w:val="en-US" w:eastAsia="zh-CN"/>
              </w:rPr>
              <w:t>3</w:t>
            </w:r>
            <w:r>
              <w:rPr>
                <w:rFonts w:hint="eastAsia"/>
                <w:color w:val="auto"/>
                <w:highlight w:val="none"/>
                <w:lang w:val="en-US" w:eastAsia="zh-CN"/>
              </w:rPr>
              <w:t>生产消防高位水池，作为生产水使用。</w:t>
            </w:r>
          </w:p>
          <w:p w14:paraId="6E724A19">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选矿</w:t>
            </w:r>
            <w:r>
              <w:rPr>
                <w:rFonts w:hint="eastAsia"/>
                <w:color w:val="auto"/>
                <w:highlight w:val="none"/>
              </w:rPr>
              <w:t>生产废水循环使用，不外排；锅炉排污水、软水废水</w:t>
            </w:r>
            <w:r>
              <w:rPr>
                <w:rFonts w:hint="eastAsia"/>
                <w:color w:val="auto"/>
                <w:highlight w:val="none"/>
                <w:lang w:eastAsia="zh-CN"/>
              </w:rPr>
              <w:t>、</w:t>
            </w:r>
            <w:r>
              <w:rPr>
                <w:rFonts w:hint="eastAsia"/>
                <w:color w:val="auto"/>
                <w:highlight w:val="none"/>
                <w:lang w:val="en-US" w:eastAsia="zh-CN"/>
              </w:rPr>
              <w:t>碱液吸收塔废水回用于选矿</w:t>
            </w:r>
            <w:r>
              <w:rPr>
                <w:rFonts w:hint="eastAsia"/>
                <w:color w:val="auto"/>
                <w:highlight w:val="none"/>
              </w:rPr>
              <w:t>。化验废水全部通过管路输入选矿生产工序循环使用，做到零排放。</w:t>
            </w:r>
            <w:r>
              <w:rPr>
                <w:rFonts w:hint="default"/>
                <w:color w:val="auto"/>
                <w:highlight w:val="none"/>
                <w:lang w:val="en-US" w:eastAsia="zh-CN"/>
              </w:rPr>
              <w:t>生活污水经地埋式污水处理设施处理</w:t>
            </w:r>
            <w:r>
              <w:rPr>
                <w:rFonts w:hint="eastAsia"/>
                <w:color w:val="auto"/>
                <w:highlight w:val="none"/>
                <w:lang w:val="en-US" w:eastAsia="zh-CN"/>
              </w:rPr>
              <w:t>后达到《农村生活污水处理排放标准》（DB65 4275-2019）表2中A级标准限值后，用于项目区洒水绿化，不外排。</w:t>
            </w:r>
          </w:p>
        </w:tc>
        <w:tc>
          <w:tcPr>
            <w:tcW w:w="689" w:type="pct"/>
            <w:shd w:val="clear" w:color="auto" w:fill="auto"/>
            <w:vAlign w:val="center"/>
          </w:tcPr>
          <w:p w14:paraId="4067DB36">
            <w:pPr>
              <w:pStyle w:val="17"/>
              <w:bidi w:val="0"/>
              <w:jc w:val="center"/>
              <w:rPr>
                <w:rFonts w:hint="default" w:eastAsia="宋体"/>
                <w:color w:val="auto"/>
                <w:highlight w:val="none"/>
                <w:lang w:val="en-US" w:eastAsia="zh-CN"/>
              </w:rPr>
            </w:pPr>
            <w:r>
              <w:rPr>
                <w:rFonts w:hint="eastAsia"/>
                <w:color w:val="auto"/>
                <w:highlight w:val="none"/>
                <w:lang w:val="en-US" w:eastAsia="zh-CN"/>
              </w:rPr>
              <w:t>不属于重大变动</w:t>
            </w:r>
          </w:p>
        </w:tc>
      </w:tr>
      <w:tr w14:paraId="0F4F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5C993612">
            <w:pPr>
              <w:pStyle w:val="17"/>
              <w:bidi w:val="0"/>
              <w:jc w:val="center"/>
              <w:rPr>
                <w:rFonts w:hint="default" w:eastAsia="宋体"/>
                <w:color w:val="auto"/>
                <w:highlight w:val="none"/>
                <w:lang w:val="en-US" w:eastAsia="zh-CN"/>
              </w:rPr>
            </w:pPr>
          </w:p>
        </w:tc>
        <w:tc>
          <w:tcPr>
            <w:tcW w:w="304" w:type="pct"/>
            <w:gridSpan w:val="2"/>
            <w:vAlign w:val="center"/>
          </w:tcPr>
          <w:p w14:paraId="73116795">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噪声</w:t>
            </w:r>
          </w:p>
        </w:tc>
        <w:tc>
          <w:tcPr>
            <w:tcW w:w="1840" w:type="pct"/>
            <w:gridSpan w:val="4"/>
            <w:shd w:val="clear" w:color="auto" w:fill="auto"/>
            <w:vAlign w:val="center"/>
          </w:tcPr>
          <w:p w14:paraId="782469F7">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sz w:val="21"/>
                <w:highlight w:val="none"/>
              </w:rPr>
              <w:t>采用低噪声设备，选矿设备设置在厂房内隔声、减震。采用弹性支承或弹性连接以减少振动。</w:t>
            </w:r>
          </w:p>
        </w:tc>
        <w:tc>
          <w:tcPr>
            <w:tcW w:w="2014" w:type="pct"/>
            <w:gridSpan w:val="2"/>
            <w:shd w:val="clear" w:color="auto" w:fill="auto"/>
            <w:vAlign w:val="center"/>
          </w:tcPr>
          <w:p w14:paraId="7DDFBE3F">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采用低噪声设备，对噪声源设置</w:t>
            </w:r>
            <w:r>
              <w:rPr>
                <w:rFonts w:hint="eastAsia"/>
                <w:color w:val="auto"/>
                <w:highlight w:val="none"/>
                <w:lang w:val="en-US" w:eastAsia="zh-CN"/>
              </w:rPr>
              <w:t>减振</w:t>
            </w:r>
            <w:r>
              <w:rPr>
                <w:rFonts w:hint="default"/>
                <w:color w:val="auto"/>
                <w:highlight w:val="none"/>
                <w:lang w:val="en-US" w:eastAsia="zh-CN"/>
              </w:rPr>
              <w:t>装置和消声器。</w:t>
            </w:r>
          </w:p>
        </w:tc>
        <w:tc>
          <w:tcPr>
            <w:tcW w:w="689" w:type="pct"/>
            <w:shd w:val="clear" w:color="auto" w:fill="auto"/>
            <w:vAlign w:val="center"/>
          </w:tcPr>
          <w:p w14:paraId="334853CE">
            <w:pPr>
              <w:pStyle w:val="17"/>
              <w:bidi w:val="0"/>
              <w:jc w:val="center"/>
              <w:rPr>
                <w:rFonts w:hint="default"/>
                <w:color w:val="auto"/>
                <w:highlight w:val="none"/>
                <w:lang w:val="en-US" w:eastAsia="zh-CN"/>
              </w:rPr>
            </w:pPr>
            <w:r>
              <w:rPr>
                <w:rFonts w:hint="eastAsia"/>
                <w:color w:val="auto"/>
                <w:highlight w:val="none"/>
                <w:lang w:val="en-US" w:eastAsia="zh-CN"/>
              </w:rPr>
              <w:t>未变动</w:t>
            </w:r>
          </w:p>
        </w:tc>
      </w:tr>
      <w:tr w14:paraId="0F7C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65379017">
            <w:pPr>
              <w:pStyle w:val="17"/>
              <w:bidi w:val="0"/>
              <w:jc w:val="center"/>
              <w:rPr>
                <w:rFonts w:hint="default" w:eastAsia="宋体"/>
                <w:color w:val="auto"/>
                <w:highlight w:val="none"/>
                <w:lang w:val="en-US" w:eastAsia="zh-CN"/>
              </w:rPr>
            </w:pPr>
          </w:p>
        </w:tc>
        <w:tc>
          <w:tcPr>
            <w:tcW w:w="304" w:type="pct"/>
            <w:gridSpan w:val="2"/>
            <w:vAlign w:val="center"/>
          </w:tcPr>
          <w:p w14:paraId="07629101">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固废</w:t>
            </w:r>
          </w:p>
        </w:tc>
        <w:tc>
          <w:tcPr>
            <w:tcW w:w="1840" w:type="pct"/>
            <w:gridSpan w:val="4"/>
            <w:shd w:val="clear" w:color="auto" w:fill="auto"/>
            <w:vAlign w:val="center"/>
          </w:tcPr>
          <w:p w14:paraId="6C687D0B">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zh-CN" w:eastAsia="zh-CN"/>
              </w:rPr>
              <w:t>废石堆放至</w:t>
            </w:r>
            <w:r>
              <w:rPr>
                <w:rFonts w:hint="eastAsia"/>
                <w:color w:val="auto"/>
                <w:highlight w:val="none"/>
                <w:lang w:val="zh-CN" w:eastAsia="zh-CN"/>
              </w:rPr>
              <w:t>废石堆场</w:t>
            </w:r>
            <w:r>
              <w:rPr>
                <w:rFonts w:hint="default"/>
                <w:color w:val="auto"/>
                <w:highlight w:val="none"/>
                <w:lang w:val="zh-CN" w:eastAsia="zh-CN"/>
              </w:rPr>
              <w:t>，</w:t>
            </w:r>
            <w:r>
              <w:rPr>
                <w:rFonts w:hint="eastAsia"/>
                <w:color w:val="auto"/>
                <w:highlight w:val="none"/>
                <w:lang w:val="zh-CN" w:eastAsia="zh-CN"/>
              </w:rPr>
              <w:t>用于配套选厂尾矿库筑坝、矿区铺路及</w:t>
            </w:r>
            <w:r>
              <w:rPr>
                <w:rFonts w:hint="default"/>
                <w:color w:val="auto"/>
                <w:highlight w:val="none"/>
                <w:lang w:val="zh-CN" w:eastAsia="zh-CN"/>
              </w:rPr>
              <w:t>矿山复垦</w:t>
            </w:r>
            <w:r>
              <w:rPr>
                <w:rFonts w:hint="default"/>
                <w:color w:val="auto"/>
                <w:highlight w:val="none"/>
                <w:lang w:val="en-US" w:eastAsia="zh-CN"/>
              </w:rPr>
              <w:t>；</w:t>
            </w:r>
            <w:r>
              <w:rPr>
                <w:rFonts w:hint="eastAsia"/>
                <w:color w:val="auto"/>
                <w:highlight w:val="none"/>
              </w:rPr>
              <w:t>尾矿排入尾矿库，部分用于</w:t>
            </w:r>
            <w:r>
              <w:rPr>
                <w:rFonts w:hint="eastAsia"/>
                <w:color w:val="auto"/>
                <w:highlight w:val="none"/>
                <w:lang w:eastAsia="zh-CN"/>
              </w:rPr>
              <w:t>井下充填和</w:t>
            </w:r>
            <w:r>
              <w:rPr>
                <w:rFonts w:hint="eastAsia"/>
                <w:color w:val="auto"/>
                <w:highlight w:val="none"/>
              </w:rPr>
              <w:t>筑坝，尾矿库停运后随之封场。生活垃圾集中收集</w:t>
            </w:r>
            <w:r>
              <w:rPr>
                <w:color w:val="auto"/>
                <w:highlight w:val="none"/>
              </w:rPr>
              <w:t>后</w:t>
            </w:r>
            <w:r>
              <w:rPr>
                <w:rFonts w:hint="eastAsia"/>
                <w:color w:val="auto"/>
                <w:highlight w:val="none"/>
              </w:rPr>
              <w:t>，</w:t>
            </w:r>
            <w:r>
              <w:rPr>
                <w:rFonts w:hint="eastAsia"/>
                <w:color w:val="auto"/>
                <w:highlight w:val="none"/>
                <w:lang w:val="en-US" w:eastAsia="zh-CN"/>
              </w:rPr>
              <w:t>定期拉运处置</w:t>
            </w:r>
            <w:r>
              <w:rPr>
                <w:rFonts w:hint="eastAsia"/>
                <w:color w:val="auto"/>
                <w:highlight w:val="none"/>
              </w:rPr>
              <w:t>。危险废物</w:t>
            </w:r>
            <w:r>
              <w:rPr>
                <w:rFonts w:hint="eastAsia"/>
                <w:color w:val="auto"/>
                <w:highlight w:val="none"/>
                <w:lang w:val="en-US" w:eastAsia="zh-CN"/>
              </w:rPr>
              <w:t>暂存在</w:t>
            </w:r>
            <w:r>
              <w:rPr>
                <w:rFonts w:hint="eastAsia"/>
                <w:color w:val="auto"/>
                <w:highlight w:val="none"/>
                <w:lang w:eastAsia="zh-CN"/>
              </w:rPr>
              <w:t>危废贮存库</w:t>
            </w:r>
            <w:r>
              <w:rPr>
                <w:rFonts w:hint="eastAsia"/>
                <w:color w:val="auto"/>
                <w:highlight w:val="none"/>
                <w:lang w:val="en-US" w:eastAsia="zh-CN"/>
              </w:rPr>
              <w:t>内</w:t>
            </w:r>
            <w:r>
              <w:rPr>
                <w:rFonts w:hint="eastAsia"/>
                <w:color w:val="auto"/>
                <w:highlight w:val="none"/>
                <w:lang w:eastAsia="zh-CN"/>
              </w:rPr>
              <w:t>，</w:t>
            </w:r>
            <w:r>
              <w:rPr>
                <w:rFonts w:hint="eastAsia"/>
                <w:color w:val="auto"/>
                <w:highlight w:val="none"/>
                <w:lang w:val="en-US" w:eastAsia="zh-CN"/>
              </w:rPr>
              <w:t>定期</w:t>
            </w:r>
            <w:r>
              <w:rPr>
                <w:rFonts w:hint="eastAsia"/>
                <w:color w:val="auto"/>
                <w:highlight w:val="none"/>
              </w:rPr>
              <w:t>委托有资质单位处置。选矿除尘灰回用于选矿生产。</w:t>
            </w:r>
          </w:p>
        </w:tc>
        <w:tc>
          <w:tcPr>
            <w:tcW w:w="2014" w:type="pct"/>
            <w:gridSpan w:val="2"/>
            <w:shd w:val="clear" w:color="auto" w:fill="auto"/>
            <w:vAlign w:val="center"/>
          </w:tcPr>
          <w:p w14:paraId="14CC7554">
            <w:pPr>
              <w:pStyle w:val="17"/>
              <w:bidi w:val="0"/>
              <w:ind w:firstLine="0" w:firstLineChars="0"/>
              <w:jc w:val="center"/>
              <w:rPr>
                <w:rFonts w:hint="default" w:ascii="Times New Roman" w:hAnsi="Times New Roman" w:eastAsia="宋体" w:cs="Times New Roman"/>
                <w:color w:val="auto"/>
                <w:kern w:val="2"/>
                <w:sz w:val="21"/>
                <w:szCs w:val="21"/>
                <w:highlight w:val="none"/>
                <w:lang w:val="zh-CN" w:eastAsia="zh-CN" w:bidi="ar-SA"/>
              </w:rPr>
            </w:pPr>
            <w:r>
              <w:rPr>
                <w:rFonts w:hint="default"/>
                <w:color w:val="auto"/>
                <w:highlight w:val="none"/>
                <w:lang w:val="zh-CN" w:eastAsia="zh-CN"/>
              </w:rPr>
              <w:t>废石堆放至</w:t>
            </w:r>
            <w:r>
              <w:rPr>
                <w:rFonts w:hint="eastAsia"/>
                <w:color w:val="auto"/>
                <w:highlight w:val="none"/>
                <w:lang w:val="zh-CN" w:eastAsia="zh-CN"/>
              </w:rPr>
              <w:t>废石堆场</w:t>
            </w:r>
            <w:r>
              <w:rPr>
                <w:rFonts w:hint="default"/>
                <w:color w:val="auto"/>
                <w:highlight w:val="none"/>
                <w:lang w:val="zh-CN" w:eastAsia="zh-CN"/>
              </w:rPr>
              <w:t>，</w:t>
            </w:r>
            <w:r>
              <w:rPr>
                <w:rFonts w:hint="eastAsia"/>
                <w:color w:val="auto"/>
                <w:highlight w:val="none"/>
                <w:lang w:val="zh-CN" w:eastAsia="zh-CN"/>
              </w:rPr>
              <w:t>用于配套选厂尾矿库筑坝、矿区铺路及</w:t>
            </w:r>
            <w:r>
              <w:rPr>
                <w:rFonts w:hint="default"/>
                <w:color w:val="auto"/>
                <w:highlight w:val="none"/>
                <w:lang w:val="zh-CN" w:eastAsia="zh-CN"/>
              </w:rPr>
              <w:t>矿山复垦</w:t>
            </w:r>
            <w:r>
              <w:rPr>
                <w:rFonts w:hint="default"/>
                <w:color w:val="auto"/>
                <w:highlight w:val="none"/>
                <w:lang w:val="en-US" w:eastAsia="zh-CN"/>
              </w:rPr>
              <w:t>；</w:t>
            </w:r>
            <w:r>
              <w:rPr>
                <w:rFonts w:hint="eastAsia"/>
                <w:color w:val="auto"/>
                <w:highlight w:val="none"/>
              </w:rPr>
              <w:t>尾矿排入尾矿库，部分用于</w:t>
            </w:r>
            <w:r>
              <w:rPr>
                <w:rFonts w:hint="eastAsia"/>
                <w:color w:val="auto"/>
                <w:highlight w:val="none"/>
                <w:lang w:eastAsia="zh-CN"/>
              </w:rPr>
              <w:t>井下充填和</w:t>
            </w:r>
            <w:r>
              <w:rPr>
                <w:rFonts w:hint="eastAsia"/>
                <w:color w:val="auto"/>
                <w:highlight w:val="none"/>
              </w:rPr>
              <w:t>筑坝，尾矿库停运后随之封场。</w:t>
            </w:r>
            <w:r>
              <w:rPr>
                <w:rFonts w:hint="eastAsia"/>
                <w:color w:val="auto"/>
                <w:kern w:val="0"/>
                <w:highlight w:val="none"/>
                <w:lang w:val="en-US" w:eastAsia="zh-CN"/>
              </w:rPr>
              <w:t>回水</w:t>
            </w:r>
            <w:r>
              <w:rPr>
                <w:rFonts w:hint="eastAsia"/>
                <w:color w:val="auto"/>
                <w:kern w:val="0"/>
                <w:highlight w:val="none"/>
              </w:rPr>
              <w:t>底泥</w:t>
            </w:r>
            <w:r>
              <w:rPr>
                <w:rFonts w:hint="eastAsia"/>
                <w:color w:val="auto"/>
                <w:kern w:val="0"/>
                <w:highlight w:val="none"/>
                <w:lang w:val="en-US" w:eastAsia="zh-CN"/>
              </w:rPr>
              <w:t>全部</w:t>
            </w:r>
            <w:r>
              <w:rPr>
                <w:rFonts w:hint="eastAsia"/>
                <w:color w:val="auto"/>
                <w:kern w:val="0"/>
                <w:highlight w:val="none"/>
              </w:rPr>
              <w:t>返回生产工序回用于选矿</w:t>
            </w:r>
            <w:r>
              <w:rPr>
                <w:rFonts w:hint="eastAsia"/>
                <w:color w:val="auto"/>
                <w:kern w:val="0"/>
                <w:highlight w:val="none"/>
                <w:lang w:eastAsia="zh-CN"/>
              </w:rPr>
              <w:t>；</w:t>
            </w:r>
            <w:r>
              <w:rPr>
                <w:rFonts w:hint="eastAsia"/>
                <w:color w:val="auto"/>
                <w:kern w:val="0"/>
                <w:highlight w:val="none"/>
                <w:lang w:val="en-US" w:eastAsia="zh-CN"/>
              </w:rPr>
              <w:t>坑内水、水源地生产水处理产生的底泥，</w:t>
            </w:r>
            <w:r>
              <w:rPr>
                <w:rFonts w:hint="eastAsia"/>
                <w:color w:val="auto"/>
                <w:highlight w:val="none"/>
              </w:rPr>
              <w:t>定期拉运至</w:t>
            </w:r>
            <w:r>
              <w:rPr>
                <w:rFonts w:hint="eastAsia"/>
                <w:color w:val="auto"/>
                <w:highlight w:val="none"/>
                <w:lang w:eastAsia="zh-CN"/>
              </w:rPr>
              <w:t>若羌</w:t>
            </w:r>
            <w:r>
              <w:rPr>
                <w:rFonts w:hint="eastAsia"/>
                <w:color w:val="auto"/>
                <w:highlight w:val="none"/>
              </w:rPr>
              <w:t>县一般工业固体废物填埋场进行处置</w:t>
            </w:r>
            <w:r>
              <w:rPr>
                <w:rFonts w:hint="eastAsia"/>
                <w:color w:val="auto"/>
                <w:kern w:val="0"/>
                <w:highlight w:val="none"/>
                <w:lang w:val="en-US" w:eastAsia="zh-CN"/>
              </w:rPr>
              <w:t>。废包装材料由厂家定期回收。废石英砂、废活性炭外售处置利用；</w:t>
            </w:r>
            <w:r>
              <w:rPr>
                <w:rFonts w:hint="eastAsia"/>
                <w:color w:val="auto"/>
                <w:highlight w:val="none"/>
              </w:rPr>
              <w:t>选矿除尘灰回用于选矿生产。</w:t>
            </w:r>
            <w:r>
              <w:rPr>
                <w:rFonts w:hint="eastAsia"/>
                <w:color w:val="auto"/>
                <w:kern w:val="0"/>
                <w:highlight w:val="none"/>
              </w:rPr>
              <w:t>废布袋集中收集后定期拉运至</w:t>
            </w:r>
            <w:r>
              <w:rPr>
                <w:rFonts w:hint="eastAsia"/>
                <w:color w:val="auto"/>
                <w:kern w:val="0"/>
                <w:highlight w:val="none"/>
                <w:lang w:eastAsia="zh-CN"/>
              </w:rPr>
              <w:t>若羌</w:t>
            </w:r>
            <w:r>
              <w:rPr>
                <w:rFonts w:hint="eastAsia"/>
                <w:color w:val="auto"/>
                <w:kern w:val="0"/>
                <w:highlight w:val="none"/>
              </w:rPr>
              <w:t>县一般工业固体废物填埋场进行处置。</w:t>
            </w:r>
            <w:r>
              <w:rPr>
                <w:rFonts w:hint="eastAsia"/>
                <w:color w:val="auto"/>
                <w:highlight w:val="none"/>
              </w:rPr>
              <w:t>生活垃圾集中收集</w:t>
            </w:r>
            <w:r>
              <w:rPr>
                <w:color w:val="auto"/>
                <w:highlight w:val="none"/>
              </w:rPr>
              <w:t>后</w:t>
            </w:r>
            <w:r>
              <w:rPr>
                <w:rFonts w:hint="eastAsia"/>
                <w:color w:val="auto"/>
                <w:highlight w:val="none"/>
              </w:rPr>
              <w:t>，</w:t>
            </w:r>
            <w:r>
              <w:rPr>
                <w:rFonts w:hint="eastAsia"/>
                <w:color w:val="auto"/>
                <w:highlight w:val="none"/>
                <w:lang w:val="en-US" w:eastAsia="zh-CN"/>
              </w:rPr>
              <w:t>定期拉运处置</w:t>
            </w:r>
            <w:r>
              <w:rPr>
                <w:rFonts w:hint="eastAsia"/>
                <w:color w:val="auto"/>
                <w:highlight w:val="none"/>
              </w:rPr>
              <w:t>。危险废物</w:t>
            </w:r>
            <w:r>
              <w:rPr>
                <w:rFonts w:hint="eastAsia"/>
                <w:color w:val="auto"/>
                <w:highlight w:val="none"/>
                <w:lang w:val="en-US" w:eastAsia="zh-CN"/>
              </w:rPr>
              <w:t>暂存在</w:t>
            </w:r>
            <w:r>
              <w:rPr>
                <w:rFonts w:hint="eastAsia"/>
                <w:color w:val="auto"/>
                <w:highlight w:val="none"/>
                <w:lang w:eastAsia="zh-CN"/>
              </w:rPr>
              <w:t>危废贮存库</w:t>
            </w:r>
            <w:r>
              <w:rPr>
                <w:rFonts w:hint="eastAsia"/>
                <w:color w:val="auto"/>
                <w:highlight w:val="none"/>
                <w:lang w:val="en-US" w:eastAsia="zh-CN"/>
              </w:rPr>
              <w:t>内</w:t>
            </w:r>
            <w:r>
              <w:rPr>
                <w:rFonts w:hint="eastAsia"/>
                <w:color w:val="auto"/>
                <w:highlight w:val="none"/>
                <w:lang w:eastAsia="zh-CN"/>
              </w:rPr>
              <w:t>，</w:t>
            </w:r>
            <w:r>
              <w:rPr>
                <w:rFonts w:hint="eastAsia"/>
                <w:color w:val="auto"/>
                <w:highlight w:val="none"/>
                <w:lang w:val="en-US" w:eastAsia="zh-CN"/>
              </w:rPr>
              <w:t>定期</w:t>
            </w:r>
            <w:r>
              <w:rPr>
                <w:rFonts w:hint="eastAsia"/>
                <w:color w:val="auto"/>
                <w:highlight w:val="none"/>
              </w:rPr>
              <w:t>委托有资质单位处置。</w:t>
            </w:r>
          </w:p>
        </w:tc>
        <w:tc>
          <w:tcPr>
            <w:tcW w:w="689" w:type="pct"/>
            <w:shd w:val="clear" w:color="auto" w:fill="auto"/>
            <w:vAlign w:val="center"/>
          </w:tcPr>
          <w:p w14:paraId="49356B9A">
            <w:pPr>
              <w:pStyle w:val="17"/>
              <w:bidi w:val="0"/>
              <w:jc w:val="center"/>
              <w:rPr>
                <w:rFonts w:hint="default" w:eastAsia="宋体"/>
                <w:color w:val="auto"/>
                <w:highlight w:val="none"/>
                <w:lang w:val="en-US" w:eastAsia="zh-CN"/>
              </w:rPr>
            </w:pPr>
            <w:r>
              <w:rPr>
                <w:rFonts w:hint="eastAsia"/>
                <w:color w:val="auto"/>
                <w:highlight w:val="none"/>
                <w:lang w:val="en-US" w:eastAsia="zh-CN"/>
              </w:rPr>
              <w:t>固体废物均妥善处置</w:t>
            </w:r>
          </w:p>
        </w:tc>
      </w:tr>
      <w:tr w14:paraId="5A34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0ABE3479">
            <w:pPr>
              <w:pStyle w:val="17"/>
              <w:bidi w:val="0"/>
              <w:jc w:val="center"/>
              <w:rPr>
                <w:rFonts w:hint="default" w:eastAsia="宋体"/>
                <w:color w:val="auto"/>
                <w:highlight w:val="none"/>
                <w:lang w:val="en-US" w:eastAsia="zh-CN"/>
              </w:rPr>
            </w:pPr>
          </w:p>
        </w:tc>
        <w:tc>
          <w:tcPr>
            <w:tcW w:w="304" w:type="pct"/>
            <w:gridSpan w:val="2"/>
            <w:vMerge w:val="restart"/>
            <w:vAlign w:val="center"/>
          </w:tcPr>
          <w:p w14:paraId="30B8ABE8">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环境风险应急措施</w:t>
            </w:r>
          </w:p>
        </w:tc>
        <w:tc>
          <w:tcPr>
            <w:tcW w:w="301" w:type="pct"/>
            <w:vMerge w:val="restart"/>
            <w:shd w:val="clear" w:color="auto" w:fill="auto"/>
            <w:vAlign w:val="center"/>
          </w:tcPr>
          <w:p w14:paraId="762D9ACD">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采选工程</w:t>
            </w:r>
          </w:p>
        </w:tc>
        <w:tc>
          <w:tcPr>
            <w:tcW w:w="1539" w:type="pct"/>
            <w:gridSpan w:val="3"/>
            <w:shd w:val="clear" w:color="auto" w:fill="auto"/>
            <w:vAlign w:val="center"/>
          </w:tcPr>
          <w:p w14:paraId="5F447C7E">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加油站</w:t>
            </w:r>
            <w:r>
              <w:rPr>
                <w:rFonts w:hint="default"/>
                <w:color w:val="auto"/>
                <w:highlight w:val="none"/>
                <w:lang w:val="en-US" w:eastAsia="zh-CN"/>
              </w:rPr>
              <w:t>设围堰，采用水泥地面底部铺设HDPE防渗膜，并设置10m</w:t>
            </w:r>
            <w:r>
              <w:rPr>
                <w:rFonts w:hint="default"/>
                <w:color w:val="auto"/>
                <w:highlight w:val="none"/>
                <w:vertAlign w:val="superscript"/>
                <w:lang w:val="en-US" w:eastAsia="zh-CN"/>
              </w:rPr>
              <w:t>3</w:t>
            </w:r>
            <w:r>
              <w:rPr>
                <w:rFonts w:hint="default"/>
                <w:color w:val="auto"/>
                <w:highlight w:val="none"/>
                <w:lang w:val="en-US" w:eastAsia="zh-CN"/>
              </w:rPr>
              <w:t>防渗事故池。</w:t>
            </w:r>
            <w:r>
              <w:rPr>
                <w:rFonts w:hint="eastAsia"/>
                <w:color w:val="auto"/>
                <w:highlight w:val="none"/>
                <w:lang w:val="en-US" w:eastAsia="zh-CN"/>
              </w:rPr>
              <w:t>采取2座10m</w:t>
            </w:r>
            <w:r>
              <w:rPr>
                <w:rFonts w:hint="eastAsia"/>
                <w:color w:val="auto"/>
                <w:highlight w:val="none"/>
                <w:vertAlign w:val="superscript"/>
                <w:lang w:val="en-US" w:eastAsia="zh-CN"/>
              </w:rPr>
              <w:t>3</w:t>
            </w:r>
            <w:r>
              <w:rPr>
                <w:rFonts w:hint="eastAsia"/>
                <w:color w:val="auto"/>
                <w:highlight w:val="none"/>
                <w:lang w:val="en-US" w:eastAsia="zh-CN"/>
              </w:rPr>
              <w:t>卧式埋地双层柴油罐。</w:t>
            </w:r>
          </w:p>
        </w:tc>
        <w:tc>
          <w:tcPr>
            <w:tcW w:w="2014" w:type="pct"/>
            <w:gridSpan w:val="2"/>
            <w:shd w:val="clear" w:color="auto" w:fill="auto"/>
            <w:vAlign w:val="center"/>
          </w:tcPr>
          <w:p w14:paraId="00041078">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加油站</w:t>
            </w:r>
            <w:r>
              <w:rPr>
                <w:rFonts w:hint="default"/>
                <w:color w:val="auto"/>
                <w:highlight w:val="none"/>
                <w:lang w:val="en-US" w:eastAsia="zh-CN"/>
              </w:rPr>
              <w:t>设围堰，采用水泥地面底部铺设HDPE防渗膜。</w:t>
            </w:r>
            <w:r>
              <w:rPr>
                <w:rFonts w:hint="eastAsia"/>
                <w:color w:val="auto"/>
                <w:highlight w:val="none"/>
                <w:lang w:val="en-US" w:eastAsia="zh-CN"/>
              </w:rPr>
              <w:t>内设2座撬装式加油设备，包含2座50m</w:t>
            </w:r>
            <w:r>
              <w:rPr>
                <w:rFonts w:hint="eastAsia"/>
                <w:color w:val="auto"/>
                <w:highlight w:val="none"/>
                <w:vertAlign w:val="superscript"/>
                <w:lang w:val="en-US" w:eastAsia="zh-CN"/>
              </w:rPr>
              <w:t>3</w:t>
            </w:r>
            <w:r>
              <w:rPr>
                <w:rFonts w:hint="eastAsia"/>
                <w:color w:val="auto"/>
                <w:highlight w:val="none"/>
                <w:lang w:val="en-US" w:eastAsia="zh-CN"/>
              </w:rPr>
              <w:t>卧式双层柴油罐。</w:t>
            </w:r>
          </w:p>
        </w:tc>
        <w:tc>
          <w:tcPr>
            <w:tcW w:w="689" w:type="pct"/>
            <w:vAlign w:val="center"/>
          </w:tcPr>
          <w:p w14:paraId="163DB66C">
            <w:pPr>
              <w:pStyle w:val="17"/>
              <w:bidi w:val="0"/>
              <w:jc w:val="center"/>
              <w:rPr>
                <w:rFonts w:hint="default" w:eastAsia="宋体"/>
                <w:color w:val="auto"/>
                <w:highlight w:val="none"/>
                <w:vertAlign w:val="baseline"/>
                <w:lang w:val="en-US" w:eastAsia="zh-CN"/>
              </w:rPr>
            </w:pPr>
            <w:r>
              <w:rPr>
                <w:rFonts w:hint="eastAsia"/>
                <w:color w:val="auto"/>
                <w:highlight w:val="none"/>
                <w:lang w:val="en-US" w:eastAsia="zh-CN"/>
              </w:rPr>
              <w:t>储罐由地下改为地上，柴油储罐总容积增大80m</w:t>
            </w:r>
            <w:r>
              <w:rPr>
                <w:rFonts w:hint="eastAsia"/>
                <w:color w:val="auto"/>
                <w:highlight w:val="none"/>
                <w:vertAlign w:val="superscript"/>
                <w:lang w:val="en-US" w:eastAsia="zh-CN"/>
              </w:rPr>
              <w:t>3</w:t>
            </w:r>
            <w:r>
              <w:rPr>
                <w:rFonts w:hint="eastAsia"/>
                <w:color w:val="auto"/>
                <w:highlight w:val="none"/>
                <w:vertAlign w:val="baseline"/>
                <w:lang w:val="en-US" w:eastAsia="zh-CN"/>
              </w:rPr>
              <w:t>，属于重大变动</w:t>
            </w:r>
          </w:p>
        </w:tc>
      </w:tr>
      <w:tr w14:paraId="73E6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2982E877">
            <w:pPr>
              <w:pStyle w:val="17"/>
              <w:bidi w:val="0"/>
              <w:jc w:val="center"/>
              <w:rPr>
                <w:rFonts w:hint="default" w:eastAsia="宋体"/>
                <w:color w:val="auto"/>
                <w:highlight w:val="none"/>
                <w:lang w:val="en-US" w:eastAsia="zh-CN"/>
              </w:rPr>
            </w:pPr>
          </w:p>
        </w:tc>
        <w:tc>
          <w:tcPr>
            <w:tcW w:w="304" w:type="pct"/>
            <w:gridSpan w:val="2"/>
            <w:vMerge w:val="continue"/>
            <w:vAlign w:val="center"/>
          </w:tcPr>
          <w:p w14:paraId="739EF37F">
            <w:pPr>
              <w:pStyle w:val="17"/>
              <w:bidi w:val="0"/>
              <w:ind w:firstLine="0" w:firstLineChars="0"/>
              <w:jc w:val="center"/>
              <w:rPr>
                <w:rFonts w:hint="eastAsia"/>
                <w:color w:val="auto"/>
                <w:highlight w:val="none"/>
                <w:lang w:val="en-US" w:eastAsia="zh-CN"/>
              </w:rPr>
            </w:pPr>
          </w:p>
        </w:tc>
        <w:tc>
          <w:tcPr>
            <w:tcW w:w="301" w:type="pct"/>
            <w:vMerge w:val="continue"/>
            <w:shd w:val="clear" w:color="auto" w:fill="auto"/>
            <w:vAlign w:val="center"/>
          </w:tcPr>
          <w:p w14:paraId="6B8EAD7B">
            <w:pPr>
              <w:pStyle w:val="17"/>
              <w:bidi w:val="0"/>
              <w:ind w:firstLine="0" w:firstLineChars="0"/>
              <w:jc w:val="center"/>
              <w:rPr>
                <w:rFonts w:hint="eastAsia"/>
                <w:color w:val="auto"/>
                <w:highlight w:val="none"/>
                <w:lang w:val="en-US" w:eastAsia="zh-CN"/>
              </w:rPr>
            </w:pPr>
          </w:p>
        </w:tc>
        <w:tc>
          <w:tcPr>
            <w:tcW w:w="1539" w:type="pct"/>
            <w:gridSpan w:val="3"/>
            <w:shd w:val="clear" w:color="auto" w:fill="auto"/>
            <w:vAlign w:val="center"/>
          </w:tcPr>
          <w:p w14:paraId="2FAADC86">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各工业场地设置挡水墙，导流渠，无污染雨水导流至河道内，工业场地污水保证不流入河道。</w:t>
            </w:r>
          </w:p>
        </w:tc>
        <w:tc>
          <w:tcPr>
            <w:tcW w:w="2014" w:type="pct"/>
            <w:gridSpan w:val="2"/>
            <w:shd w:val="clear" w:color="auto" w:fill="auto"/>
            <w:vAlign w:val="center"/>
          </w:tcPr>
          <w:p w14:paraId="7D7448E5">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各工业场地设置挡水墙，导流渠，无污染雨水导流至河道内，工业场地污水保证不流入河道。</w:t>
            </w:r>
          </w:p>
        </w:tc>
        <w:tc>
          <w:tcPr>
            <w:tcW w:w="689" w:type="pct"/>
            <w:vAlign w:val="center"/>
          </w:tcPr>
          <w:p w14:paraId="0B492BCA">
            <w:pPr>
              <w:pStyle w:val="17"/>
              <w:bidi w:val="0"/>
              <w:jc w:val="center"/>
              <w:rPr>
                <w:rFonts w:hint="eastAsia" w:eastAsia="宋体"/>
                <w:color w:val="auto"/>
                <w:highlight w:val="none"/>
                <w:lang w:val="en-US" w:eastAsia="zh-CN"/>
              </w:rPr>
            </w:pPr>
            <w:r>
              <w:rPr>
                <w:rFonts w:hint="eastAsia"/>
                <w:color w:val="auto"/>
                <w:highlight w:val="none"/>
                <w:lang w:val="en-US" w:eastAsia="zh-CN"/>
              </w:rPr>
              <w:t>未变动</w:t>
            </w:r>
          </w:p>
        </w:tc>
      </w:tr>
      <w:tr w14:paraId="5C5E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411D01A4">
            <w:pPr>
              <w:pStyle w:val="17"/>
              <w:bidi w:val="0"/>
              <w:jc w:val="center"/>
              <w:rPr>
                <w:rFonts w:hint="default" w:eastAsia="宋体"/>
                <w:color w:val="auto"/>
                <w:highlight w:val="none"/>
                <w:lang w:val="en-US" w:eastAsia="zh-CN"/>
              </w:rPr>
            </w:pPr>
          </w:p>
        </w:tc>
        <w:tc>
          <w:tcPr>
            <w:tcW w:w="304" w:type="pct"/>
            <w:gridSpan w:val="2"/>
            <w:vMerge w:val="continue"/>
            <w:vAlign w:val="center"/>
          </w:tcPr>
          <w:p w14:paraId="2874C15D">
            <w:pPr>
              <w:pStyle w:val="17"/>
              <w:bidi w:val="0"/>
              <w:ind w:firstLine="0" w:firstLineChars="0"/>
              <w:jc w:val="center"/>
              <w:rPr>
                <w:rFonts w:hint="eastAsia"/>
                <w:color w:val="auto"/>
                <w:highlight w:val="none"/>
                <w:lang w:val="en-US" w:eastAsia="zh-CN"/>
              </w:rPr>
            </w:pPr>
          </w:p>
        </w:tc>
        <w:tc>
          <w:tcPr>
            <w:tcW w:w="301" w:type="pct"/>
            <w:vMerge w:val="restart"/>
            <w:shd w:val="clear" w:color="auto" w:fill="auto"/>
            <w:vAlign w:val="center"/>
          </w:tcPr>
          <w:p w14:paraId="15938C50">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尾矿库</w:t>
            </w:r>
          </w:p>
        </w:tc>
        <w:tc>
          <w:tcPr>
            <w:tcW w:w="1539" w:type="pct"/>
            <w:gridSpan w:val="3"/>
            <w:shd w:val="clear" w:color="auto" w:fill="auto"/>
            <w:vAlign w:val="center"/>
          </w:tcPr>
          <w:p w14:paraId="05F48082">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尾矿</w:t>
            </w:r>
            <w:r>
              <w:rPr>
                <w:rFonts w:hint="eastAsia"/>
                <w:color w:val="auto"/>
                <w:highlight w:val="none"/>
                <w:lang w:eastAsia="zh-CN"/>
              </w:rPr>
              <w:t>库</w:t>
            </w:r>
            <w:r>
              <w:rPr>
                <w:rFonts w:hint="eastAsia"/>
                <w:color w:val="auto"/>
                <w:highlight w:val="none"/>
              </w:rPr>
              <w:t>初期坝下游</w:t>
            </w:r>
            <w:r>
              <w:rPr>
                <w:rFonts w:hint="eastAsia"/>
                <w:color w:val="auto"/>
                <w:highlight w:val="none"/>
                <w:lang w:eastAsia="zh-CN"/>
              </w:rPr>
              <w:t>建设</w:t>
            </w:r>
            <w:r>
              <w:rPr>
                <w:rFonts w:hint="eastAsia"/>
                <w:color w:val="auto"/>
                <w:highlight w:val="none"/>
              </w:rPr>
              <w:t>截渗坝</w:t>
            </w:r>
            <w:r>
              <w:rPr>
                <w:rFonts w:hint="eastAsia"/>
                <w:color w:val="auto"/>
                <w:highlight w:val="none"/>
                <w:lang w:eastAsia="zh-CN"/>
              </w:rPr>
              <w:t>，</w:t>
            </w:r>
            <w:r>
              <w:rPr>
                <w:rFonts w:hint="eastAsia"/>
                <w:color w:val="auto"/>
                <w:highlight w:val="none"/>
              </w:rPr>
              <w:t>采用浆砌石结构，坝高5m，坝顶标高3069m</w:t>
            </w:r>
            <w:r>
              <w:rPr>
                <w:rFonts w:hint="eastAsia"/>
                <w:color w:val="auto"/>
                <w:highlight w:val="none"/>
                <w:lang w:eastAsia="zh-CN"/>
              </w:rPr>
              <w:t>，</w:t>
            </w:r>
            <w:r>
              <w:rPr>
                <w:rFonts w:hint="eastAsia"/>
                <w:color w:val="auto"/>
                <w:highlight w:val="none"/>
              </w:rPr>
              <w:t>坝顶宽度为2m，上下游坡比分别为1</w:t>
            </w:r>
            <w:r>
              <w:rPr>
                <w:rFonts w:hint="eastAsia"/>
                <w:color w:val="auto"/>
                <w:highlight w:val="none"/>
                <w:lang w:eastAsia="zh-CN"/>
              </w:rPr>
              <w:t>：</w:t>
            </w:r>
            <w:r>
              <w:rPr>
                <w:rFonts w:hint="eastAsia"/>
                <w:color w:val="auto"/>
                <w:highlight w:val="none"/>
              </w:rPr>
              <w:t>0.2和1</w:t>
            </w:r>
            <w:r>
              <w:rPr>
                <w:rFonts w:hint="eastAsia"/>
                <w:color w:val="auto"/>
                <w:highlight w:val="none"/>
                <w:lang w:eastAsia="zh-CN"/>
              </w:rPr>
              <w:t>：</w:t>
            </w:r>
            <w:r>
              <w:rPr>
                <w:rFonts w:hint="eastAsia"/>
                <w:color w:val="auto"/>
                <w:highlight w:val="none"/>
              </w:rPr>
              <w:t>0.5。截渗坝坝基下方设置截渗墙。截渗坝下游设置2座拦挡坝，分别为1#拦挡坝、2#拦挡坝，坝型为碾压堆石坝，上游面防渗，坝宽2.5m，坝顶标高分别为3070m，3060m，上下游坡比分别为1</w:t>
            </w:r>
            <w:r>
              <w:rPr>
                <w:rFonts w:hint="eastAsia"/>
                <w:color w:val="auto"/>
                <w:highlight w:val="none"/>
                <w:lang w:eastAsia="zh-CN"/>
              </w:rPr>
              <w:t>：</w:t>
            </w:r>
            <w:r>
              <w:rPr>
                <w:rFonts w:hint="eastAsia"/>
                <w:color w:val="auto"/>
                <w:highlight w:val="none"/>
              </w:rPr>
              <w:t>1.75和1</w:t>
            </w:r>
            <w:r>
              <w:rPr>
                <w:rFonts w:hint="eastAsia"/>
                <w:color w:val="auto"/>
                <w:highlight w:val="none"/>
                <w:lang w:eastAsia="zh-CN"/>
              </w:rPr>
              <w:t>：</w:t>
            </w:r>
            <w:r>
              <w:rPr>
                <w:rFonts w:hint="eastAsia"/>
                <w:color w:val="auto"/>
                <w:highlight w:val="none"/>
              </w:rPr>
              <w:t>2。用于</w:t>
            </w:r>
            <w:r>
              <w:rPr>
                <w:rFonts w:hint="eastAsia"/>
                <w:color w:val="auto"/>
                <w:highlight w:val="none"/>
                <w:lang w:eastAsia="zh-CN"/>
              </w:rPr>
              <w:t>拦挡</w:t>
            </w:r>
            <w:r>
              <w:rPr>
                <w:rFonts w:hint="eastAsia"/>
                <w:color w:val="auto"/>
                <w:highlight w:val="none"/>
              </w:rPr>
              <w:t>事故状态下的尾矿浆</w:t>
            </w:r>
            <w:r>
              <w:rPr>
                <w:rFonts w:hint="eastAsia"/>
                <w:color w:val="auto"/>
                <w:highlight w:val="none"/>
                <w:lang w:eastAsia="zh-CN"/>
              </w:rPr>
              <w:t>，以有</w:t>
            </w:r>
            <w:r>
              <w:rPr>
                <w:rFonts w:hint="eastAsia"/>
                <w:color w:val="auto"/>
                <w:highlight w:val="none"/>
              </w:rPr>
              <w:t>效阻止尾矿库溃坝状态下泄对西侧河流的污染影响</w:t>
            </w:r>
            <w:r>
              <w:rPr>
                <w:rFonts w:hint="eastAsia"/>
                <w:color w:val="auto"/>
                <w:highlight w:val="none"/>
                <w:lang w:eastAsia="zh-CN"/>
              </w:rPr>
              <w:t>。</w:t>
            </w:r>
          </w:p>
        </w:tc>
        <w:tc>
          <w:tcPr>
            <w:tcW w:w="2014" w:type="pct"/>
            <w:gridSpan w:val="2"/>
            <w:shd w:val="clear" w:color="auto" w:fill="auto"/>
            <w:vAlign w:val="center"/>
          </w:tcPr>
          <w:p w14:paraId="35908012">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尾矿</w:t>
            </w:r>
            <w:r>
              <w:rPr>
                <w:rFonts w:hint="eastAsia"/>
                <w:color w:val="auto"/>
                <w:highlight w:val="none"/>
                <w:lang w:eastAsia="zh-CN"/>
              </w:rPr>
              <w:t>库</w:t>
            </w:r>
            <w:r>
              <w:rPr>
                <w:rFonts w:hint="eastAsia"/>
                <w:color w:val="auto"/>
                <w:highlight w:val="none"/>
              </w:rPr>
              <w:t>初期坝下游</w:t>
            </w:r>
            <w:r>
              <w:rPr>
                <w:rFonts w:hint="eastAsia"/>
                <w:color w:val="auto"/>
                <w:highlight w:val="none"/>
                <w:lang w:eastAsia="zh-CN"/>
              </w:rPr>
              <w:t>建设</w:t>
            </w:r>
            <w:r>
              <w:rPr>
                <w:rFonts w:hint="eastAsia"/>
                <w:color w:val="auto"/>
                <w:highlight w:val="none"/>
              </w:rPr>
              <w:t>截渗坝</w:t>
            </w:r>
            <w:r>
              <w:rPr>
                <w:rFonts w:hint="eastAsia"/>
                <w:color w:val="auto"/>
                <w:highlight w:val="none"/>
                <w:lang w:eastAsia="zh-CN"/>
              </w:rPr>
              <w:t>，</w:t>
            </w:r>
            <w:r>
              <w:rPr>
                <w:rFonts w:hint="eastAsia"/>
                <w:color w:val="auto"/>
                <w:highlight w:val="none"/>
              </w:rPr>
              <w:t>采用浆砌石结构，坝高5m，坝顶标高3069m</w:t>
            </w:r>
            <w:r>
              <w:rPr>
                <w:rFonts w:hint="eastAsia"/>
                <w:color w:val="auto"/>
                <w:highlight w:val="none"/>
                <w:lang w:eastAsia="zh-CN"/>
              </w:rPr>
              <w:t>，</w:t>
            </w:r>
            <w:r>
              <w:rPr>
                <w:rFonts w:hint="eastAsia"/>
                <w:color w:val="auto"/>
                <w:highlight w:val="none"/>
              </w:rPr>
              <w:t>坝顶宽度为2m，上下游坡比分别为1</w:t>
            </w:r>
            <w:r>
              <w:rPr>
                <w:rFonts w:hint="eastAsia"/>
                <w:color w:val="auto"/>
                <w:highlight w:val="none"/>
                <w:lang w:eastAsia="zh-CN"/>
              </w:rPr>
              <w:t>：</w:t>
            </w:r>
            <w:r>
              <w:rPr>
                <w:rFonts w:hint="eastAsia"/>
                <w:color w:val="auto"/>
                <w:highlight w:val="none"/>
              </w:rPr>
              <w:t>0.2和1</w:t>
            </w:r>
            <w:r>
              <w:rPr>
                <w:rFonts w:hint="eastAsia"/>
                <w:color w:val="auto"/>
                <w:highlight w:val="none"/>
                <w:lang w:eastAsia="zh-CN"/>
              </w:rPr>
              <w:t>：</w:t>
            </w:r>
            <w:r>
              <w:rPr>
                <w:rFonts w:hint="eastAsia"/>
                <w:color w:val="auto"/>
                <w:highlight w:val="none"/>
              </w:rPr>
              <w:t>0.5。截渗坝坝基下方设置截渗墙。截渗坝下游设置2座拦挡坝，分别为1#拦挡坝、2#拦挡坝，坝型为碾压堆石坝，上游面防渗，坝宽2.5m，坝顶标高分别为3070m，3060m，上下游坡比分别为1</w:t>
            </w:r>
            <w:r>
              <w:rPr>
                <w:rFonts w:hint="eastAsia"/>
                <w:color w:val="auto"/>
                <w:highlight w:val="none"/>
                <w:lang w:eastAsia="zh-CN"/>
              </w:rPr>
              <w:t>：</w:t>
            </w:r>
            <w:r>
              <w:rPr>
                <w:rFonts w:hint="eastAsia"/>
                <w:color w:val="auto"/>
                <w:highlight w:val="none"/>
              </w:rPr>
              <w:t>1.75和1</w:t>
            </w:r>
            <w:r>
              <w:rPr>
                <w:rFonts w:hint="eastAsia"/>
                <w:color w:val="auto"/>
                <w:highlight w:val="none"/>
                <w:lang w:eastAsia="zh-CN"/>
              </w:rPr>
              <w:t>：</w:t>
            </w:r>
            <w:r>
              <w:rPr>
                <w:rFonts w:hint="eastAsia"/>
                <w:color w:val="auto"/>
                <w:highlight w:val="none"/>
              </w:rPr>
              <w:t>2。用于</w:t>
            </w:r>
            <w:r>
              <w:rPr>
                <w:rFonts w:hint="eastAsia"/>
                <w:color w:val="auto"/>
                <w:highlight w:val="none"/>
                <w:lang w:eastAsia="zh-CN"/>
              </w:rPr>
              <w:t>拦挡</w:t>
            </w:r>
            <w:r>
              <w:rPr>
                <w:rFonts w:hint="eastAsia"/>
                <w:color w:val="auto"/>
                <w:highlight w:val="none"/>
              </w:rPr>
              <w:t>事故状态下的尾矿浆</w:t>
            </w:r>
            <w:r>
              <w:rPr>
                <w:rFonts w:hint="eastAsia"/>
                <w:color w:val="auto"/>
                <w:highlight w:val="none"/>
                <w:lang w:eastAsia="zh-CN"/>
              </w:rPr>
              <w:t>，以有</w:t>
            </w:r>
            <w:r>
              <w:rPr>
                <w:rFonts w:hint="eastAsia"/>
                <w:color w:val="auto"/>
                <w:highlight w:val="none"/>
              </w:rPr>
              <w:t>效阻止尾矿库溃坝状态下泄对西侧河流的污染影响</w:t>
            </w:r>
            <w:r>
              <w:rPr>
                <w:rFonts w:hint="eastAsia"/>
                <w:color w:val="auto"/>
                <w:highlight w:val="none"/>
                <w:lang w:eastAsia="zh-CN"/>
              </w:rPr>
              <w:t>。</w:t>
            </w:r>
          </w:p>
        </w:tc>
        <w:tc>
          <w:tcPr>
            <w:tcW w:w="689" w:type="pct"/>
            <w:vAlign w:val="center"/>
          </w:tcPr>
          <w:p w14:paraId="56167314">
            <w:pPr>
              <w:pStyle w:val="17"/>
              <w:bidi w:val="0"/>
              <w:jc w:val="center"/>
              <w:rPr>
                <w:rFonts w:hint="eastAsia" w:eastAsia="宋体"/>
                <w:color w:val="auto"/>
                <w:highlight w:val="none"/>
                <w:lang w:val="en-US" w:eastAsia="zh-CN"/>
              </w:rPr>
            </w:pPr>
            <w:r>
              <w:rPr>
                <w:rFonts w:hint="eastAsia"/>
                <w:color w:val="auto"/>
                <w:highlight w:val="none"/>
                <w:lang w:val="en-US" w:eastAsia="zh-CN"/>
              </w:rPr>
              <w:t>未变动</w:t>
            </w:r>
          </w:p>
        </w:tc>
      </w:tr>
      <w:tr w14:paraId="0ACE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0BDD0E98">
            <w:pPr>
              <w:pStyle w:val="17"/>
              <w:bidi w:val="0"/>
              <w:jc w:val="center"/>
              <w:rPr>
                <w:rFonts w:hint="default" w:eastAsia="宋体"/>
                <w:color w:val="auto"/>
                <w:highlight w:val="none"/>
                <w:lang w:val="en-US" w:eastAsia="zh-CN"/>
              </w:rPr>
            </w:pPr>
          </w:p>
        </w:tc>
        <w:tc>
          <w:tcPr>
            <w:tcW w:w="304" w:type="pct"/>
            <w:gridSpan w:val="2"/>
            <w:vMerge w:val="continue"/>
            <w:vAlign w:val="center"/>
          </w:tcPr>
          <w:p w14:paraId="5D53AEF1">
            <w:pPr>
              <w:pStyle w:val="17"/>
              <w:bidi w:val="0"/>
              <w:ind w:firstLine="0" w:firstLineChars="0"/>
              <w:jc w:val="center"/>
              <w:rPr>
                <w:rFonts w:hint="eastAsia"/>
                <w:color w:val="auto"/>
                <w:highlight w:val="none"/>
                <w:lang w:val="en-US" w:eastAsia="zh-CN"/>
              </w:rPr>
            </w:pPr>
          </w:p>
        </w:tc>
        <w:tc>
          <w:tcPr>
            <w:tcW w:w="301" w:type="pct"/>
            <w:vMerge w:val="continue"/>
            <w:shd w:val="clear" w:color="auto" w:fill="auto"/>
            <w:vAlign w:val="center"/>
          </w:tcPr>
          <w:p w14:paraId="16534ACB">
            <w:pPr>
              <w:pStyle w:val="17"/>
              <w:bidi w:val="0"/>
              <w:ind w:firstLine="0" w:firstLineChars="0"/>
              <w:jc w:val="center"/>
              <w:rPr>
                <w:rFonts w:hint="eastAsia"/>
                <w:color w:val="auto"/>
                <w:highlight w:val="none"/>
                <w:lang w:val="en-US" w:eastAsia="zh-CN"/>
              </w:rPr>
            </w:pPr>
          </w:p>
        </w:tc>
        <w:tc>
          <w:tcPr>
            <w:tcW w:w="1539" w:type="pct"/>
            <w:gridSpan w:val="3"/>
            <w:shd w:val="clear" w:color="auto" w:fill="auto"/>
            <w:vAlign w:val="center"/>
          </w:tcPr>
          <w:p w14:paraId="234F66AA">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color w:val="auto"/>
                <w:highlight w:val="none"/>
              </w:rPr>
              <w:t>尾矿库设置人工监测与自动监测相结合的安全监测设施。该尾矿库安全监测的监测项目包括：位移监测（表面位移和内部位移）、浸润线监测、渗流量监测、库水位监测、干滩监测、降雨量监测、视频监控。尾矿库按规范要求设置3座地下水监测井。</w:t>
            </w:r>
          </w:p>
        </w:tc>
        <w:tc>
          <w:tcPr>
            <w:tcW w:w="2014" w:type="pct"/>
            <w:gridSpan w:val="2"/>
            <w:shd w:val="clear" w:color="auto" w:fill="auto"/>
            <w:vAlign w:val="center"/>
          </w:tcPr>
          <w:p w14:paraId="6019E1D0">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color w:val="auto"/>
                <w:highlight w:val="none"/>
              </w:rPr>
              <w:t>尾矿库设置人工监测与自动监测相结合的安全监测设施。该尾矿库安全监测的监测项目包括：位移监测（表面位移和内部位移）、浸润线监测、渗流量监测、库水位监测、干滩监测、降雨量监测、视频监控。尾矿库按规范要求设置3座地下水监测井。</w:t>
            </w:r>
          </w:p>
        </w:tc>
        <w:tc>
          <w:tcPr>
            <w:tcW w:w="689" w:type="pct"/>
            <w:vAlign w:val="center"/>
          </w:tcPr>
          <w:p w14:paraId="6E494A87">
            <w:pPr>
              <w:pStyle w:val="17"/>
              <w:bidi w:val="0"/>
              <w:jc w:val="center"/>
              <w:rPr>
                <w:rFonts w:hint="eastAsia" w:eastAsia="宋体"/>
                <w:color w:val="auto"/>
                <w:highlight w:val="none"/>
                <w:lang w:val="en-US" w:eastAsia="zh-CN"/>
              </w:rPr>
            </w:pPr>
            <w:r>
              <w:rPr>
                <w:rFonts w:hint="eastAsia"/>
                <w:color w:val="auto"/>
                <w:highlight w:val="none"/>
                <w:lang w:val="en-US" w:eastAsia="zh-CN"/>
              </w:rPr>
              <w:t>未变动</w:t>
            </w:r>
          </w:p>
        </w:tc>
      </w:tr>
      <w:tr w14:paraId="4591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1" w:type="pct"/>
            <w:vMerge w:val="continue"/>
            <w:vAlign w:val="center"/>
          </w:tcPr>
          <w:p w14:paraId="7327E4D1">
            <w:pPr>
              <w:pStyle w:val="17"/>
              <w:bidi w:val="0"/>
              <w:jc w:val="center"/>
              <w:rPr>
                <w:rFonts w:hint="default" w:eastAsia="宋体"/>
                <w:color w:val="auto"/>
                <w:highlight w:val="none"/>
                <w:lang w:val="en-US" w:eastAsia="zh-CN"/>
              </w:rPr>
            </w:pPr>
          </w:p>
        </w:tc>
        <w:tc>
          <w:tcPr>
            <w:tcW w:w="304" w:type="pct"/>
            <w:gridSpan w:val="2"/>
            <w:vAlign w:val="center"/>
          </w:tcPr>
          <w:p w14:paraId="09AD037A">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人工阻隔措施</w:t>
            </w:r>
          </w:p>
        </w:tc>
        <w:tc>
          <w:tcPr>
            <w:tcW w:w="1840" w:type="pct"/>
            <w:gridSpan w:val="4"/>
            <w:vAlign w:val="center"/>
          </w:tcPr>
          <w:p w14:paraId="45F0860A">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b w:val="0"/>
                <w:bCs/>
                <w:color w:val="auto"/>
                <w:highlight w:val="none"/>
                <w:lang w:val="en-US" w:eastAsia="zh-CN"/>
              </w:rPr>
              <w:t>在阿克苏河河道东侧外10m处实施帷幕注浆，帷幕总长800m，根据地下水人工阻隔帷幕灌浆及涌水点封堵措施，综合阻水率为70%</w:t>
            </w:r>
          </w:p>
        </w:tc>
        <w:tc>
          <w:tcPr>
            <w:tcW w:w="2014" w:type="pct"/>
            <w:gridSpan w:val="2"/>
            <w:vAlign w:val="center"/>
          </w:tcPr>
          <w:p w14:paraId="54140225">
            <w:pPr>
              <w:pStyle w:val="17"/>
              <w:bidi w:val="0"/>
              <w:ind w:firstLine="0" w:firstLineChars="0"/>
              <w:jc w:val="center"/>
              <w:rPr>
                <w:rFonts w:hint="default" w:eastAsia="宋体"/>
                <w:color w:val="auto"/>
                <w:highlight w:val="none"/>
                <w:lang w:val="en-US" w:eastAsia="zh-CN"/>
              </w:rPr>
            </w:pPr>
            <w:r>
              <w:rPr>
                <w:rFonts w:hint="default" w:eastAsia="宋体"/>
                <w:color w:val="auto"/>
                <w:highlight w:val="none"/>
                <w:lang w:val="en-US" w:eastAsia="zh-CN"/>
              </w:rPr>
              <w:t>根据《新疆若羌卡尔恰尔萤石矿水文地质补充勘查报告》勘查成果，矿区开采矿体距区域断层带较远，断层与主要矿体之间赋存厚层相对隔水围岩，断层水与矿体间水力联系微弱。经水文地质条件综合分析，断层地下水不会威胁井下开采安全，</w:t>
            </w:r>
            <w:r>
              <w:rPr>
                <w:rFonts w:hint="eastAsia"/>
                <w:color w:val="auto"/>
                <w:highlight w:val="none"/>
                <w:lang w:val="en-US" w:eastAsia="zh-CN"/>
              </w:rPr>
              <w:t>无须设置</w:t>
            </w:r>
            <w:r>
              <w:rPr>
                <w:rFonts w:hint="default" w:eastAsia="宋体"/>
                <w:color w:val="auto"/>
                <w:highlight w:val="none"/>
                <w:lang w:val="en-US" w:eastAsia="zh-CN"/>
              </w:rPr>
              <w:t>地下水阻隔工程，因此取消原设计的人工阻隔帷幕灌浆措施。</w:t>
            </w:r>
          </w:p>
        </w:tc>
        <w:tc>
          <w:tcPr>
            <w:tcW w:w="689" w:type="pct"/>
            <w:vAlign w:val="center"/>
          </w:tcPr>
          <w:p w14:paraId="0721D049">
            <w:pPr>
              <w:pStyle w:val="17"/>
              <w:bidi w:val="0"/>
              <w:jc w:val="center"/>
              <w:rPr>
                <w:rFonts w:hint="default"/>
                <w:color w:val="auto"/>
                <w:highlight w:val="none"/>
                <w:lang w:val="en-US" w:eastAsia="zh-CN"/>
              </w:rPr>
            </w:pPr>
            <w:r>
              <w:rPr>
                <w:rFonts w:hint="eastAsia"/>
                <w:color w:val="auto"/>
                <w:highlight w:val="none"/>
                <w:lang w:val="en-US" w:eastAsia="zh-CN"/>
              </w:rPr>
              <w:t>取消</w:t>
            </w:r>
            <w:r>
              <w:rPr>
                <w:rFonts w:hint="default" w:eastAsia="宋体"/>
                <w:color w:val="auto"/>
                <w:highlight w:val="none"/>
                <w:lang w:val="en-US" w:eastAsia="zh-CN"/>
              </w:rPr>
              <w:t>人工阻隔帷幕灌浆措施</w:t>
            </w:r>
            <w:r>
              <w:rPr>
                <w:rFonts w:hint="eastAsia"/>
                <w:color w:val="auto"/>
                <w:highlight w:val="none"/>
                <w:lang w:val="en-US" w:eastAsia="zh-CN"/>
              </w:rPr>
              <w:t>，不属于重大变动</w:t>
            </w:r>
          </w:p>
        </w:tc>
      </w:tr>
    </w:tbl>
    <w:p w14:paraId="146EEA5B">
      <w:pPr>
        <w:spacing w:line="480" w:lineRule="exact"/>
        <w:ind w:firstLine="0" w:firstLineChars="0"/>
        <w:jc w:val="center"/>
        <w:rPr>
          <w:rFonts w:cs="Times New Roman"/>
          <w:b/>
          <w:bCs/>
          <w:color w:val="auto"/>
          <w:szCs w:val="24"/>
          <w:highlight w:val="none"/>
        </w:rPr>
        <w:sectPr>
          <w:pgSz w:w="16838" w:h="11906" w:orient="landscape"/>
          <w:pgMar w:top="1474" w:right="1474" w:bottom="1474" w:left="1474" w:header="850" w:footer="1020" w:gutter="0"/>
          <w:pgBorders>
            <w:top w:val="none" w:sz="0" w:space="0"/>
            <w:left w:val="none" w:sz="0" w:space="0"/>
            <w:bottom w:val="none" w:sz="0" w:space="0"/>
            <w:right w:val="none" w:sz="0" w:space="0"/>
          </w:pgBorders>
          <w:cols w:space="720" w:num="1"/>
          <w:docGrid w:linePitch="312" w:charSpace="0"/>
        </w:sectPr>
      </w:pPr>
    </w:p>
    <w:p w14:paraId="2F613750">
      <w:pPr>
        <w:pStyle w:val="6"/>
        <w:rPr>
          <w:color w:val="auto"/>
          <w:highlight w:val="none"/>
        </w:rPr>
      </w:pPr>
      <w:bookmarkStart w:id="338" w:name="_Toc28750"/>
      <w:bookmarkStart w:id="339" w:name="_Toc30884"/>
      <w:bookmarkStart w:id="340" w:name="_Toc20082"/>
      <w:r>
        <w:rPr>
          <w:rFonts w:hint="eastAsia"/>
          <w:color w:val="auto"/>
          <w:highlight w:val="none"/>
          <w:lang w:val="en-US" w:eastAsia="zh-CN"/>
        </w:rPr>
        <w:t>3.1.4</w:t>
      </w:r>
      <w:r>
        <w:rPr>
          <w:rFonts w:hint="eastAsia"/>
          <w:color w:val="auto"/>
          <w:highlight w:val="none"/>
        </w:rPr>
        <w:t>产品方案</w:t>
      </w:r>
    </w:p>
    <w:p w14:paraId="71D751EB">
      <w:pPr>
        <w:bidi w:val="0"/>
        <w:rPr>
          <w:color w:val="auto"/>
          <w:highlight w:val="none"/>
          <w:lang w:val="zh-CN"/>
        </w:rPr>
      </w:pPr>
      <w:r>
        <w:rPr>
          <w:color w:val="auto"/>
          <w:highlight w:val="none"/>
        </w:rPr>
        <w:t>本项目</w:t>
      </w:r>
      <w:r>
        <w:rPr>
          <w:rFonts w:hint="eastAsia"/>
          <w:color w:val="auto"/>
          <w:highlight w:val="none"/>
        </w:rPr>
        <w:t>产品为</w:t>
      </w:r>
      <w:r>
        <w:rPr>
          <w:rFonts w:hint="eastAsia"/>
          <w:color w:val="auto"/>
          <w:highlight w:val="none"/>
          <w:lang w:eastAsia="zh-CN"/>
        </w:rPr>
        <w:t>萤石</w:t>
      </w:r>
      <w:r>
        <w:rPr>
          <w:rFonts w:hint="eastAsia"/>
          <w:color w:val="auto"/>
          <w:highlight w:val="none"/>
        </w:rPr>
        <w:t>精矿</w:t>
      </w:r>
      <w:r>
        <w:rPr>
          <w:rFonts w:hint="eastAsia"/>
          <w:color w:val="auto"/>
          <w:highlight w:val="none"/>
          <w:lang w:eastAsia="zh-CN"/>
        </w:rPr>
        <w:t>，萤石精矿产品的主要用途是用于氟化工行业</w:t>
      </w:r>
      <w:r>
        <w:rPr>
          <w:rFonts w:hint="eastAsia"/>
          <w:color w:val="auto"/>
          <w:highlight w:val="none"/>
        </w:rPr>
        <w:t>。</w:t>
      </w:r>
      <w:r>
        <w:rPr>
          <w:color w:val="auto"/>
          <w:highlight w:val="none"/>
          <w:lang w:val="en-US" w:eastAsia="zh-CN"/>
        </w:rPr>
        <w:t>年产CaF</w:t>
      </w:r>
      <w:r>
        <w:rPr>
          <w:rFonts w:hint="eastAsia"/>
          <w:color w:val="auto"/>
          <w:highlight w:val="none"/>
          <w:vertAlign w:val="subscript"/>
          <w:lang w:val="en-US" w:eastAsia="zh-CN"/>
        </w:rPr>
        <w:t>2</w:t>
      </w:r>
      <w:r>
        <w:rPr>
          <w:rFonts w:hint="eastAsia"/>
          <w:color w:val="auto"/>
          <w:highlight w:val="none"/>
          <w:lang w:val="en-US" w:eastAsia="zh-CN"/>
        </w:rPr>
        <w:t>含量为97%的萤石精矿29.47</w:t>
      </w:r>
      <w:r>
        <w:rPr>
          <w:rFonts w:hint="default"/>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4</w:t>
      </w:r>
      <w:r>
        <w:rPr>
          <w:rFonts w:hint="eastAsia"/>
          <w:color w:val="auto"/>
          <w:highlight w:val="none"/>
          <w:lang w:val="en-US" w:eastAsia="zh-CN"/>
        </w:rPr>
        <w:t>t，精矿产品外售。</w:t>
      </w:r>
    </w:p>
    <w:p w14:paraId="4CAE8EBB">
      <w:pPr>
        <w:pStyle w:val="6"/>
        <w:rPr>
          <w:color w:val="auto"/>
          <w:highlight w:val="none"/>
        </w:rPr>
      </w:pPr>
      <w:r>
        <w:rPr>
          <w:rFonts w:hint="eastAsia"/>
          <w:color w:val="auto"/>
          <w:highlight w:val="none"/>
        </w:rPr>
        <w:t>3</w:t>
      </w:r>
      <w:r>
        <w:rPr>
          <w:color w:val="auto"/>
          <w:highlight w:val="none"/>
        </w:rPr>
        <w:t>.</w:t>
      </w:r>
      <w:r>
        <w:rPr>
          <w:rFonts w:hint="eastAsia"/>
          <w:color w:val="auto"/>
          <w:highlight w:val="none"/>
          <w:lang w:val="en-US" w:eastAsia="zh-CN"/>
        </w:rPr>
        <w:t>1</w:t>
      </w:r>
      <w:r>
        <w:rPr>
          <w:color w:val="auto"/>
          <w:highlight w:val="none"/>
        </w:rPr>
        <w:t>.</w:t>
      </w:r>
      <w:r>
        <w:rPr>
          <w:rFonts w:hint="eastAsia"/>
          <w:color w:val="auto"/>
          <w:highlight w:val="none"/>
          <w:lang w:val="en-US" w:eastAsia="zh-CN"/>
        </w:rPr>
        <w:t>5</w:t>
      </w:r>
      <w:r>
        <w:rPr>
          <w:color w:val="auto"/>
          <w:highlight w:val="none"/>
        </w:rPr>
        <w:t>主要生产设备</w:t>
      </w:r>
      <w:r>
        <w:rPr>
          <w:rFonts w:hint="eastAsia"/>
          <w:color w:val="auto"/>
          <w:highlight w:val="none"/>
        </w:rPr>
        <w:t>及能源消耗</w:t>
      </w:r>
      <w:bookmarkEnd w:id="338"/>
      <w:bookmarkEnd w:id="339"/>
      <w:bookmarkEnd w:id="340"/>
    </w:p>
    <w:p w14:paraId="4D7A32E7">
      <w:pPr>
        <w:pStyle w:val="7"/>
        <w:ind w:firstLine="482"/>
        <w:rPr>
          <w:color w:val="auto"/>
          <w:highlight w:val="none"/>
        </w:rPr>
      </w:pPr>
      <w:r>
        <w:rPr>
          <w:rFonts w:hint="eastAsia"/>
          <w:color w:val="auto"/>
          <w:highlight w:val="none"/>
        </w:rPr>
        <w:t>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5</w:t>
      </w:r>
      <w:r>
        <w:rPr>
          <w:rFonts w:hint="eastAsia"/>
          <w:color w:val="auto"/>
          <w:highlight w:val="none"/>
        </w:rPr>
        <w:t>.1</w:t>
      </w:r>
      <w:r>
        <w:rPr>
          <w:color w:val="auto"/>
          <w:highlight w:val="none"/>
        </w:rPr>
        <w:t>主要生产设备</w:t>
      </w:r>
      <w:r>
        <w:rPr>
          <w:rFonts w:hint="eastAsia"/>
          <w:color w:val="auto"/>
          <w:highlight w:val="none"/>
        </w:rPr>
        <w:t>及仪表</w:t>
      </w:r>
    </w:p>
    <w:p w14:paraId="6DA63CAF">
      <w:pPr>
        <w:overflowPunct w:val="0"/>
        <w:topLinePunct/>
        <w:spacing w:beforeLines="0" w:afterLines="0" w:line="480" w:lineRule="exact"/>
        <w:jc w:val="both"/>
        <w:rPr>
          <w:rFonts w:ascii="Times New Roman" w:hAnsi="Times New Roman" w:cs="Times New Roman"/>
          <w:color w:val="auto"/>
          <w:szCs w:val="24"/>
          <w:highlight w:val="none"/>
        </w:rPr>
      </w:pPr>
      <w:r>
        <w:rPr>
          <w:rFonts w:ascii="Times New Roman" w:hAnsi="Times New Roman" w:cs="Times New Roman"/>
          <w:color w:val="auto"/>
          <w:szCs w:val="24"/>
          <w:highlight w:val="none"/>
        </w:rPr>
        <w:t>本项目</w:t>
      </w:r>
      <w:r>
        <w:rPr>
          <w:rFonts w:hint="eastAsia" w:cs="Times New Roman"/>
          <w:color w:val="auto"/>
          <w:szCs w:val="24"/>
          <w:highlight w:val="none"/>
          <w:lang w:val="en-US" w:eastAsia="zh-CN"/>
        </w:rPr>
        <w:t>采矿主要设备</w:t>
      </w:r>
      <w:r>
        <w:rPr>
          <w:rFonts w:ascii="Times New Roman" w:hAnsi="Times New Roman" w:cs="Times New Roman"/>
          <w:color w:val="auto"/>
          <w:szCs w:val="24"/>
          <w:highlight w:val="none"/>
        </w:rPr>
        <w:t>见表3.</w:t>
      </w:r>
      <w:r>
        <w:rPr>
          <w:rFonts w:hint="eastAsia" w:ascii="Times New Roman" w:hAnsi="Times New Roman" w:cs="Times New Roman"/>
          <w:color w:val="auto"/>
          <w:szCs w:val="24"/>
          <w:highlight w:val="none"/>
          <w:lang w:val="en-US" w:eastAsia="zh-CN"/>
        </w:rPr>
        <w:t>1-3</w:t>
      </w:r>
      <w:r>
        <w:rPr>
          <w:rFonts w:hint="eastAsia" w:cs="Times New Roman"/>
          <w:color w:val="auto"/>
          <w:szCs w:val="24"/>
          <w:highlight w:val="none"/>
          <w:lang w:val="en-US" w:eastAsia="zh-CN"/>
        </w:rPr>
        <w:t>，选矿设备见表3.1-4</w:t>
      </w:r>
      <w:r>
        <w:rPr>
          <w:rFonts w:ascii="Times New Roman" w:hAnsi="Times New Roman" w:cs="Times New Roman"/>
          <w:color w:val="auto"/>
          <w:szCs w:val="24"/>
          <w:highlight w:val="none"/>
        </w:rPr>
        <w:t>。</w:t>
      </w:r>
    </w:p>
    <w:p w14:paraId="471B2677">
      <w:pPr>
        <w:pStyle w:val="19"/>
        <w:bidi w:val="0"/>
        <w:rPr>
          <w:color w:val="auto"/>
          <w:highlight w:val="none"/>
        </w:rPr>
      </w:pPr>
      <w:r>
        <w:rPr>
          <w:rFonts w:hint="eastAsia"/>
          <w:color w:val="auto"/>
          <w:highlight w:val="none"/>
          <w:lang w:val="en-US" w:eastAsia="zh-CN"/>
        </w:rPr>
        <w:t>表</w:t>
      </w:r>
      <w:r>
        <w:rPr>
          <w:color w:val="auto"/>
          <w:highlight w:val="none"/>
        </w:rPr>
        <w:t>3.</w:t>
      </w:r>
      <w:r>
        <w:rPr>
          <w:rFonts w:hint="eastAsia"/>
          <w:color w:val="auto"/>
          <w:highlight w:val="none"/>
          <w:lang w:val="en-US" w:eastAsia="zh-CN"/>
        </w:rPr>
        <w:t>1</w:t>
      </w:r>
      <w:r>
        <w:rPr>
          <w:color w:val="auto"/>
          <w:highlight w:val="none"/>
        </w:rPr>
        <w:t>-</w:t>
      </w:r>
      <w:r>
        <w:rPr>
          <w:rFonts w:hint="eastAsia"/>
          <w:color w:val="auto"/>
          <w:highlight w:val="none"/>
          <w:lang w:val="en-US" w:eastAsia="zh-CN"/>
        </w:rPr>
        <w:t>3   采矿</w:t>
      </w:r>
      <w:r>
        <w:rPr>
          <w:color w:val="auto"/>
          <w:highlight w:val="none"/>
        </w:rPr>
        <w:t>主要设备</w:t>
      </w:r>
      <w:r>
        <w:rPr>
          <w:rFonts w:hint="eastAsia"/>
          <w:color w:val="auto"/>
          <w:highlight w:val="none"/>
          <w:lang w:val="en-US" w:eastAsia="zh-CN"/>
        </w:rPr>
        <w:t>一览</w:t>
      </w:r>
      <w:r>
        <w:rPr>
          <w:color w:val="auto"/>
          <w:highlight w:val="none"/>
        </w:rPr>
        <w:t>表</w:t>
      </w:r>
    </w:p>
    <w:tbl>
      <w:tblPr>
        <w:tblStyle w:val="13"/>
        <w:tblW w:w="5021" w:type="pct"/>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3044"/>
        <w:gridCol w:w="2931"/>
        <w:gridCol w:w="460"/>
        <w:gridCol w:w="430"/>
        <w:gridCol w:w="998"/>
      </w:tblGrid>
      <w:tr w14:paraId="267B94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blHeader/>
        </w:trPr>
        <w:tc>
          <w:tcPr>
            <w:tcW w:w="291" w:type="pct"/>
            <w:vMerge w:val="restart"/>
            <w:tcBorders>
              <w:tl2br w:val="nil"/>
              <w:tr2bl w:val="nil"/>
            </w:tcBorders>
            <w:vAlign w:val="center"/>
          </w:tcPr>
          <w:p w14:paraId="19218A11">
            <w:pPr>
              <w:pStyle w:val="17"/>
              <w:bidi w:val="0"/>
              <w:rPr>
                <w:rFonts w:hint="eastAsia"/>
                <w:color w:val="auto"/>
                <w:highlight w:val="none"/>
                <w:lang w:val="en-US" w:eastAsia="zh-CN"/>
              </w:rPr>
            </w:pPr>
            <w:r>
              <w:rPr>
                <w:rFonts w:hint="eastAsia"/>
                <w:color w:val="auto"/>
                <w:highlight w:val="none"/>
                <w:lang w:val="en-US" w:eastAsia="zh-CN"/>
              </w:rPr>
              <w:t>序号</w:t>
            </w:r>
          </w:p>
        </w:tc>
        <w:tc>
          <w:tcPr>
            <w:tcW w:w="1822" w:type="pct"/>
            <w:vMerge w:val="restart"/>
            <w:tcBorders>
              <w:tl2br w:val="nil"/>
              <w:tr2bl w:val="nil"/>
            </w:tcBorders>
            <w:vAlign w:val="center"/>
          </w:tcPr>
          <w:p w14:paraId="441A8A2F">
            <w:pPr>
              <w:pStyle w:val="17"/>
              <w:bidi w:val="0"/>
              <w:rPr>
                <w:color w:val="auto"/>
                <w:highlight w:val="none"/>
              </w:rPr>
            </w:pPr>
            <w:r>
              <w:rPr>
                <w:rFonts w:hint="eastAsia"/>
                <w:color w:val="auto"/>
                <w:highlight w:val="none"/>
                <w:lang w:val="en-US" w:eastAsia="zh-CN"/>
              </w:rPr>
              <w:t>设备名称</w:t>
            </w:r>
          </w:p>
        </w:tc>
        <w:tc>
          <w:tcPr>
            <w:tcW w:w="1754" w:type="pct"/>
            <w:vMerge w:val="restart"/>
            <w:tcBorders>
              <w:tl2br w:val="nil"/>
              <w:tr2bl w:val="nil"/>
            </w:tcBorders>
            <w:vAlign w:val="center"/>
          </w:tcPr>
          <w:p w14:paraId="3659228C">
            <w:pPr>
              <w:pStyle w:val="17"/>
              <w:bidi w:val="0"/>
              <w:rPr>
                <w:color w:val="auto"/>
                <w:highlight w:val="none"/>
              </w:rPr>
            </w:pPr>
            <w:r>
              <w:rPr>
                <w:rFonts w:hint="eastAsia"/>
                <w:color w:val="auto"/>
                <w:highlight w:val="none"/>
                <w:lang w:val="en-US" w:eastAsia="zh-CN"/>
              </w:rPr>
              <w:t>规格型号</w:t>
            </w:r>
          </w:p>
        </w:tc>
        <w:tc>
          <w:tcPr>
            <w:tcW w:w="275" w:type="pct"/>
            <w:vMerge w:val="restart"/>
            <w:tcBorders>
              <w:tl2br w:val="nil"/>
              <w:tr2bl w:val="nil"/>
            </w:tcBorders>
            <w:vAlign w:val="center"/>
          </w:tcPr>
          <w:p w14:paraId="35DBDDB1">
            <w:pPr>
              <w:pStyle w:val="17"/>
              <w:bidi w:val="0"/>
              <w:rPr>
                <w:color w:val="auto"/>
                <w:highlight w:val="none"/>
              </w:rPr>
            </w:pPr>
            <w:r>
              <w:rPr>
                <w:rFonts w:hint="eastAsia"/>
                <w:color w:val="auto"/>
                <w:highlight w:val="none"/>
                <w:lang w:val="en-US" w:eastAsia="zh-CN"/>
              </w:rPr>
              <w:t>单位</w:t>
            </w:r>
          </w:p>
        </w:tc>
        <w:tc>
          <w:tcPr>
            <w:tcW w:w="257" w:type="pct"/>
            <w:vMerge w:val="restart"/>
            <w:tcBorders>
              <w:tl2br w:val="nil"/>
              <w:tr2bl w:val="nil"/>
            </w:tcBorders>
            <w:vAlign w:val="center"/>
          </w:tcPr>
          <w:p w14:paraId="7D802AFE">
            <w:pPr>
              <w:pStyle w:val="17"/>
              <w:bidi w:val="0"/>
              <w:rPr>
                <w:color w:val="auto"/>
                <w:highlight w:val="none"/>
              </w:rPr>
            </w:pPr>
            <w:r>
              <w:rPr>
                <w:rFonts w:hint="eastAsia"/>
                <w:color w:val="auto"/>
                <w:highlight w:val="none"/>
                <w:lang w:val="en-US" w:eastAsia="zh-CN"/>
              </w:rPr>
              <w:t>数量</w:t>
            </w:r>
          </w:p>
        </w:tc>
        <w:tc>
          <w:tcPr>
            <w:tcW w:w="597" w:type="pct"/>
            <w:vMerge w:val="restart"/>
            <w:tcBorders>
              <w:tl2br w:val="nil"/>
              <w:tr2bl w:val="nil"/>
            </w:tcBorders>
            <w:vAlign w:val="center"/>
          </w:tcPr>
          <w:p w14:paraId="7CFE2397">
            <w:pPr>
              <w:pStyle w:val="17"/>
              <w:bidi w:val="0"/>
              <w:rPr>
                <w:color w:val="auto"/>
                <w:highlight w:val="none"/>
              </w:rPr>
            </w:pPr>
            <w:r>
              <w:rPr>
                <w:rFonts w:hint="eastAsia"/>
                <w:color w:val="auto"/>
                <w:highlight w:val="none"/>
                <w:lang w:val="en-US" w:eastAsia="zh-CN"/>
              </w:rPr>
              <w:t>备注</w:t>
            </w:r>
          </w:p>
        </w:tc>
      </w:tr>
      <w:tr w14:paraId="3222445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12" w:hRule="atLeast"/>
          <w:tblHeader/>
        </w:trPr>
        <w:tc>
          <w:tcPr>
            <w:tcW w:w="291" w:type="pct"/>
            <w:vMerge w:val="continue"/>
            <w:tcBorders>
              <w:tl2br w:val="nil"/>
              <w:tr2bl w:val="nil"/>
            </w:tcBorders>
            <w:vAlign w:val="center"/>
          </w:tcPr>
          <w:p w14:paraId="660D319B">
            <w:pPr>
              <w:pStyle w:val="17"/>
              <w:bidi w:val="0"/>
              <w:rPr>
                <w:color w:val="auto"/>
                <w:highlight w:val="none"/>
              </w:rPr>
            </w:pPr>
          </w:p>
        </w:tc>
        <w:tc>
          <w:tcPr>
            <w:tcW w:w="1822" w:type="pct"/>
            <w:vMerge w:val="continue"/>
            <w:tcBorders>
              <w:tl2br w:val="nil"/>
              <w:tr2bl w:val="nil"/>
            </w:tcBorders>
            <w:vAlign w:val="center"/>
          </w:tcPr>
          <w:p w14:paraId="60844629">
            <w:pPr>
              <w:pStyle w:val="17"/>
              <w:bidi w:val="0"/>
              <w:rPr>
                <w:color w:val="auto"/>
                <w:highlight w:val="none"/>
              </w:rPr>
            </w:pPr>
          </w:p>
        </w:tc>
        <w:tc>
          <w:tcPr>
            <w:tcW w:w="1754" w:type="pct"/>
            <w:vMerge w:val="continue"/>
            <w:tcBorders>
              <w:tl2br w:val="nil"/>
              <w:tr2bl w:val="nil"/>
            </w:tcBorders>
            <w:vAlign w:val="center"/>
          </w:tcPr>
          <w:p w14:paraId="41D4011C">
            <w:pPr>
              <w:pStyle w:val="17"/>
              <w:bidi w:val="0"/>
              <w:rPr>
                <w:color w:val="auto"/>
                <w:highlight w:val="none"/>
              </w:rPr>
            </w:pPr>
          </w:p>
        </w:tc>
        <w:tc>
          <w:tcPr>
            <w:tcW w:w="275" w:type="pct"/>
            <w:vMerge w:val="continue"/>
            <w:tcBorders>
              <w:tl2br w:val="nil"/>
              <w:tr2bl w:val="nil"/>
            </w:tcBorders>
            <w:vAlign w:val="center"/>
          </w:tcPr>
          <w:p w14:paraId="15FFADD3">
            <w:pPr>
              <w:pStyle w:val="17"/>
              <w:bidi w:val="0"/>
              <w:rPr>
                <w:color w:val="auto"/>
                <w:highlight w:val="none"/>
              </w:rPr>
            </w:pPr>
          </w:p>
        </w:tc>
        <w:tc>
          <w:tcPr>
            <w:tcW w:w="257" w:type="pct"/>
            <w:vMerge w:val="continue"/>
            <w:tcBorders>
              <w:tl2br w:val="nil"/>
              <w:tr2bl w:val="nil"/>
            </w:tcBorders>
            <w:vAlign w:val="center"/>
          </w:tcPr>
          <w:p w14:paraId="3B637B78">
            <w:pPr>
              <w:pStyle w:val="17"/>
              <w:bidi w:val="0"/>
              <w:rPr>
                <w:color w:val="auto"/>
                <w:highlight w:val="none"/>
              </w:rPr>
            </w:pPr>
          </w:p>
        </w:tc>
        <w:tc>
          <w:tcPr>
            <w:tcW w:w="597" w:type="pct"/>
            <w:vMerge w:val="continue"/>
            <w:tcBorders>
              <w:tl2br w:val="nil"/>
              <w:tr2bl w:val="nil"/>
            </w:tcBorders>
            <w:vAlign w:val="center"/>
          </w:tcPr>
          <w:p w14:paraId="10F13FE1">
            <w:pPr>
              <w:pStyle w:val="17"/>
              <w:bidi w:val="0"/>
              <w:rPr>
                <w:color w:val="auto"/>
                <w:highlight w:val="none"/>
              </w:rPr>
            </w:pPr>
          </w:p>
        </w:tc>
      </w:tr>
      <w:tr w14:paraId="5743600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l2br w:val="nil"/>
              <w:tr2bl w:val="nil"/>
            </w:tcBorders>
            <w:vAlign w:val="center"/>
          </w:tcPr>
          <w:p w14:paraId="26446423">
            <w:pPr>
              <w:pStyle w:val="17"/>
              <w:bidi w:val="0"/>
              <w:rPr>
                <w:color w:val="auto"/>
                <w:highlight w:val="none"/>
                <w:lang w:val="en-US" w:eastAsia="zh-CN"/>
              </w:rPr>
            </w:pPr>
            <w:r>
              <w:rPr>
                <w:color w:val="auto"/>
                <w:highlight w:val="none"/>
                <w:lang w:val="en-US" w:eastAsia="zh-CN"/>
              </w:rPr>
              <w:t>采矿</w:t>
            </w:r>
          </w:p>
        </w:tc>
      </w:tr>
      <w:tr w14:paraId="67680AE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32F3CC1">
            <w:pPr>
              <w:pStyle w:val="17"/>
              <w:bidi w:val="0"/>
              <w:rPr>
                <w:color w:val="auto"/>
                <w:highlight w:val="none"/>
              </w:rPr>
            </w:pPr>
            <w:r>
              <w:rPr>
                <w:rFonts w:hint="default"/>
                <w:color w:val="auto"/>
                <w:highlight w:val="none"/>
                <w:lang w:val="en-US" w:eastAsia="zh-CN"/>
              </w:rPr>
              <w:t>1</w:t>
            </w:r>
          </w:p>
        </w:tc>
        <w:tc>
          <w:tcPr>
            <w:tcW w:w="1822" w:type="pct"/>
            <w:tcBorders>
              <w:tl2br w:val="nil"/>
              <w:tr2bl w:val="nil"/>
            </w:tcBorders>
            <w:vAlign w:val="center"/>
          </w:tcPr>
          <w:p w14:paraId="21AB27E9">
            <w:pPr>
              <w:pStyle w:val="17"/>
              <w:bidi w:val="0"/>
              <w:rPr>
                <w:color w:val="auto"/>
                <w:highlight w:val="none"/>
              </w:rPr>
            </w:pPr>
            <w:r>
              <w:rPr>
                <w:rFonts w:hint="eastAsia"/>
                <w:color w:val="auto"/>
                <w:highlight w:val="none"/>
                <w:lang w:val="en-US" w:eastAsia="zh-CN"/>
              </w:rPr>
              <w:t>浅孔凿岩台车</w:t>
            </w:r>
          </w:p>
        </w:tc>
        <w:tc>
          <w:tcPr>
            <w:tcW w:w="1754" w:type="pct"/>
            <w:tcBorders>
              <w:tl2br w:val="nil"/>
              <w:tr2bl w:val="nil"/>
            </w:tcBorders>
            <w:vAlign w:val="center"/>
          </w:tcPr>
          <w:p w14:paraId="58B8DEB9">
            <w:pPr>
              <w:pStyle w:val="17"/>
              <w:bidi w:val="0"/>
              <w:rPr>
                <w:color w:val="auto"/>
                <w:highlight w:val="none"/>
              </w:rPr>
            </w:pPr>
            <w:r>
              <w:rPr>
                <w:rFonts w:hint="eastAsia"/>
                <w:color w:val="auto"/>
                <w:highlight w:val="none"/>
                <w:lang w:val="en-US" w:eastAsia="zh-CN"/>
              </w:rPr>
              <w:t>CYTJ45</w:t>
            </w:r>
          </w:p>
        </w:tc>
        <w:tc>
          <w:tcPr>
            <w:tcW w:w="275" w:type="pct"/>
            <w:tcBorders>
              <w:tl2br w:val="nil"/>
              <w:tr2bl w:val="nil"/>
            </w:tcBorders>
            <w:vAlign w:val="center"/>
          </w:tcPr>
          <w:p w14:paraId="08784C4A">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4E6D7CAF">
            <w:pPr>
              <w:pStyle w:val="17"/>
              <w:bidi w:val="0"/>
              <w:rPr>
                <w:rFonts w:hint="eastAsia"/>
                <w:color w:val="auto"/>
                <w:highlight w:val="none"/>
                <w:lang w:val="en-US" w:eastAsia="zh-CN"/>
              </w:rPr>
            </w:pPr>
            <w:r>
              <w:rPr>
                <w:rFonts w:hint="eastAsia"/>
                <w:color w:val="auto"/>
                <w:highlight w:val="none"/>
                <w:lang w:val="en-US" w:eastAsia="zh-CN"/>
              </w:rPr>
              <w:t>4</w:t>
            </w:r>
          </w:p>
        </w:tc>
        <w:tc>
          <w:tcPr>
            <w:tcW w:w="597" w:type="pct"/>
            <w:tcBorders>
              <w:tl2br w:val="nil"/>
              <w:tr2bl w:val="nil"/>
            </w:tcBorders>
            <w:vAlign w:val="center"/>
          </w:tcPr>
          <w:p w14:paraId="14138E67">
            <w:pPr>
              <w:pStyle w:val="17"/>
              <w:bidi w:val="0"/>
              <w:rPr>
                <w:color w:val="auto"/>
                <w:highlight w:val="none"/>
              </w:rPr>
            </w:pPr>
          </w:p>
        </w:tc>
      </w:tr>
      <w:tr w14:paraId="2FA5F84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263037C">
            <w:pPr>
              <w:pStyle w:val="17"/>
              <w:bidi w:val="0"/>
              <w:rPr>
                <w:color w:val="auto"/>
                <w:highlight w:val="none"/>
              </w:rPr>
            </w:pPr>
            <w:r>
              <w:rPr>
                <w:rFonts w:hint="default"/>
                <w:color w:val="auto"/>
                <w:highlight w:val="none"/>
                <w:lang w:val="en-US" w:eastAsia="zh-CN"/>
              </w:rPr>
              <w:t>2</w:t>
            </w:r>
          </w:p>
        </w:tc>
        <w:tc>
          <w:tcPr>
            <w:tcW w:w="1822" w:type="pct"/>
            <w:tcBorders>
              <w:tl2br w:val="nil"/>
              <w:tr2bl w:val="nil"/>
            </w:tcBorders>
            <w:vAlign w:val="center"/>
          </w:tcPr>
          <w:p w14:paraId="5101DD22">
            <w:pPr>
              <w:pStyle w:val="17"/>
              <w:bidi w:val="0"/>
              <w:rPr>
                <w:color w:val="auto"/>
                <w:highlight w:val="none"/>
              </w:rPr>
            </w:pPr>
            <w:r>
              <w:rPr>
                <w:rFonts w:hint="eastAsia"/>
                <w:color w:val="auto"/>
                <w:highlight w:val="none"/>
                <w:lang w:val="en-US" w:eastAsia="zh-CN"/>
              </w:rPr>
              <w:t>悬臂式掘进机</w:t>
            </w:r>
          </w:p>
        </w:tc>
        <w:tc>
          <w:tcPr>
            <w:tcW w:w="1754" w:type="pct"/>
            <w:tcBorders>
              <w:tl2br w:val="nil"/>
              <w:tr2bl w:val="nil"/>
            </w:tcBorders>
            <w:vAlign w:val="center"/>
          </w:tcPr>
          <w:p w14:paraId="25AC8445">
            <w:pPr>
              <w:pStyle w:val="17"/>
              <w:bidi w:val="0"/>
              <w:rPr>
                <w:color w:val="auto"/>
                <w:highlight w:val="none"/>
              </w:rPr>
            </w:pPr>
            <w:r>
              <w:rPr>
                <w:rFonts w:hint="eastAsia"/>
                <w:color w:val="auto"/>
                <w:highlight w:val="none"/>
                <w:lang w:val="en-US" w:eastAsia="zh-CN"/>
              </w:rPr>
              <w:t>EBZ260</w:t>
            </w:r>
          </w:p>
        </w:tc>
        <w:tc>
          <w:tcPr>
            <w:tcW w:w="275" w:type="pct"/>
            <w:tcBorders>
              <w:tl2br w:val="nil"/>
              <w:tr2bl w:val="nil"/>
            </w:tcBorders>
            <w:vAlign w:val="center"/>
          </w:tcPr>
          <w:p w14:paraId="013DF2E8">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15DF6D80">
            <w:pPr>
              <w:pStyle w:val="17"/>
              <w:bidi w:val="0"/>
              <w:rPr>
                <w:rFonts w:hint="eastAsia"/>
                <w:color w:val="auto"/>
                <w:highlight w:val="none"/>
                <w:lang w:val="en-US" w:eastAsia="zh-CN"/>
              </w:rPr>
            </w:pPr>
            <w:r>
              <w:rPr>
                <w:rFonts w:hint="eastAsia"/>
                <w:color w:val="auto"/>
                <w:highlight w:val="none"/>
                <w:lang w:val="en-US" w:eastAsia="zh-CN"/>
              </w:rPr>
              <w:t>7</w:t>
            </w:r>
          </w:p>
        </w:tc>
        <w:tc>
          <w:tcPr>
            <w:tcW w:w="597" w:type="pct"/>
            <w:tcBorders>
              <w:tl2br w:val="nil"/>
              <w:tr2bl w:val="nil"/>
            </w:tcBorders>
            <w:vAlign w:val="center"/>
          </w:tcPr>
          <w:p w14:paraId="30DBCB1B">
            <w:pPr>
              <w:pStyle w:val="17"/>
              <w:bidi w:val="0"/>
              <w:rPr>
                <w:color w:val="auto"/>
                <w:highlight w:val="none"/>
              </w:rPr>
            </w:pPr>
          </w:p>
        </w:tc>
      </w:tr>
      <w:tr w14:paraId="1BF80A6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A7FA214">
            <w:pPr>
              <w:pStyle w:val="17"/>
              <w:bidi w:val="0"/>
              <w:rPr>
                <w:color w:val="auto"/>
                <w:highlight w:val="none"/>
              </w:rPr>
            </w:pPr>
            <w:r>
              <w:rPr>
                <w:rFonts w:hint="default"/>
                <w:color w:val="auto"/>
                <w:highlight w:val="none"/>
                <w:lang w:val="en-US" w:eastAsia="zh-CN"/>
              </w:rPr>
              <w:t>3</w:t>
            </w:r>
          </w:p>
        </w:tc>
        <w:tc>
          <w:tcPr>
            <w:tcW w:w="1822" w:type="pct"/>
            <w:tcBorders>
              <w:tl2br w:val="nil"/>
              <w:tr2bl w:val="nil"/>
            </w:tcBorders>
            <w:vAlign w:val="center"/>
          </w:tcPr>
          <w:p w14:paraId="4BEA26EE">
            <w:pPr>
              <w:pStyle w:val="17"/>
              <w:bidi w:val="0"/>
              <w:rPr>
                <w:color w:val="auto"/>
                <w:highlight w:val="none"/>
              </w:rPr>
            </w:pPr>
            <w:r>
              <w:rPr>
                <w:rFonts w:hint="eastAsia"/>
                <w:color w:val="auto"/>
                <w:highlight w:val="none"/>
                <w:lang w:val="en-US" w:eastAsia="zh-CN"/>
              </w:rPr>
              <w:t>柴油铲运机</w:t>
            </w:r>
          </w:p>
        </w:tc>
        <w:tc>
          <w:tcPr>
            <w:tcW w:w="1754" w:type="pct"/>
            <w:tcBorders>
              <w:tl2br w:val="nil"/>
              <w:tr2bl w:val="nil"/>
            </w:tcBorders>
            <w:vAlign w:val="center"/>
          </w:tcPr>
          <w:p w14:paraId="2D234429">
            <w:pPr>
              <w:pStyle w:val="17"/>
              <w:bidi w:val="0"/>
              <w:rPr>
                <w:color w:val="auto"/>
                <w:highlight w:val="none"/>
              </w:rPr>
            </w:pPr>
            <w:r>
              <w:rPr>
                <w:rFonts w:hint="eastAsia"/>
                <w:color w:val="auto"/>
                <w:highlight w:val="none"/>
                <w:lang w:val="en-US" w:eastAsia="zh-CN"/>
              </w:rPr>
              <w:t>WJ-3</w:t>
            </w:r>
          </w:p>
        </w:tc>
        <w:tc>
          <w:tcPr>
            <w:tcW w:w="275" w:type="pct"/>
            <w:tcBorders>
              <w:tl2br w:val="nil"/>
              <w:tr2bl w:val="nil"/>
            </w:tcBorders>
            <w:vAlign w:val="center"/>
          </w:tcPr>
          <w:p w14:paraId="03B2E608">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471775DF">
            <w:pPr>
              <w:pStyle w:val="17"/>
              <w:bidi w:val="0"/>
              <w:rPr>
                <w:rFonts w:hint="eastAsia"/>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5896A940">
            <w:pPr>
              <w:pStyle w:val="17"/>
              <w:bidi w:val="0"/>
              <w:rPr>
                <w:color w:val="auto"/>
                <w:highlight w:val="none"/>
              </w:rPr>
            </w:pPr>
          </w:p>
        </w:tc>
      </w:tr>
      <w:tr w14:paraId="7571C07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79418D7D">
            <w:pPr>
              <w:pStyle w:val="17"/>
              <w:bidi w:val="0"/>
              <w:rPr>
                <w:color w:val="auto"/>
                <w:highlight w:val="none"/>
              </w:rPr>
            </w:pPr>
            <w:r>
              <w:rPr>
                <w:rFonts w:hint="default"/>
                <w:color w:val="auto"/>
                <w:highlight w:val="none"/>
                <w:lang w:val="en-US" w:eastAsia="zh-CN"/>
              </w:rPr>
              <w:t>4</w:t>
            </w:r>
          </w:p>
        </w:tc>
        <w:tc>
          <w:tcPr>
            <w:tcW w:w="1822" w:type="pct"/>
            <w:tcBorders>
              <w:tl2br w:val="nil"/>
              <w:tr2bl w:val="nil"/>
            </w:tcBorders>
            <w:vAlign w:val="center"/>
          </w:tcPr>
          <w:p w14:paraId="67E1373D">
            <w:pPr>
              <w:pStyle w:val="17"/>
              <w:bidi w:val="0"/>
              <w:rPr>
                <w:color w:val="auto"/>
                <w:highlight w:val="none"/>
              </w:rPr>
            </w:pPr>
            <w:r>
              <w:rPr>
                <w:rFonts w:hint="eastAsia"/>
                <w:color w:val="auto"/>
                <w:highlight w:val="none"/>
                <w:lang w:val="en-US" w:eastAsia="zh-CN"/>
              </w:rPr>
              <w:t>柴油铲运机</w:t>
            </w:r>
          </w:p>
        </w:tc>
        <w:tc>
          <w:tcPr>
            <w:tcW w:w="1754" w:type="pct"/>
            <w:tcBorders>
              <w:tl2br w:val="nil"/>
              <w:tr2bl w:val="nil"/>
            </w:tcBorders>
            <w:vAlign w:val="center"/>
          </w:tcPr>
          <w:p w14:paraId="4DC591CF">
            <w:pPr>
              <w:pStyle w:val="17"/>
              <w:bidi w:val="0"/>
              <w:rPr>
                <w:color w:val="auto"/>
                <w:highlight w:val="none"/>
              </w:rPr>
            </w:pPr>
            <w:r>
              <w:rPr>
                <w:rFonts w:hint="eastAsia"/>
                <w:color w:val="auto"/>
                <w:highlight w:val="none"/>
                <w:lang w:val="en-US" w:eastAsia="zh-CN"/>
              </w:rPr>
              <w:t>WJ-2</w:t>
            </w:r>
          </w:p>
        </w:tc>
        <w:tc>
          <w:tcPr>
            <w:tcW w:w="275" w:type="pct"/>
            <w:tcBorders>
              <w:tl2br w:val="nil"/>
              <w:tr2bl w:val="nil"/>
            </w:tcBorders>
            <w:vAlign w:val="center"/>
          </w:tcPr>
          <w:p w14:paraId="57AE00DF">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1D39EF3D">
            <w:pPr>
              <w:pStyle w:val="17"/>
              <w:bidi w:val="0"/>
              <w:rPr>
                <w:rFonts w:hint="eastAsia"/>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62FF14B9">
            <w:pPr>
              <w:pStyle w:val="17"/>
              <w:bidi w:val="0"/>
              <w:rPr>
                <w:color w:val="auto"/>
                <w:highlight w:val="none"/>
              </w:rPr>
            </w:pPr>
          </w:p>
        </w:tc>
      </w:tr>
      <w:tr w14:paraId="6F998CF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583BE52">
            <w:pPr>
              <w:pStyle w:val="17"/>
              <w:bidi w:val="0"/>
              <w:rPr>
                <w:color w:val="auto"/>
                <w:highlight w:val="none"/>
              </w:rPr>
            </w:pPr>
            <w:r>
              <w:rPr>
                <w:rFonts w:hint="default"/>
                <w:color w:val="auto"/>
                <w:highlight w:val="none"/>
                <w:lang w:val="en-US" w:eastAsia="zh-CN"/>
              </w:rPr>
              <w:t>5</w:t>
            </w:r>
          </w:p>
        </w:tc>
        <w:tc>
          <w:tcPr>
            <w:tcW w:w="1822" w:type="pct"/>
            <w:tcBorders>
              <w:tl2br w:val="nil"/>
              <w:tr2bl w:val="nil"/>
            </w:tcBorders>
            <w:vAlign w:val="center"/>
          </w:tcPr>
          <w:p w14:paraId="1615CD34">
            <w:pPr>
              <w:pStyle w:val="17"/>
              <w:bidi w:val="0"/>
              <w:rPr>
                <w:color w:val="auto"/>
                <w:highlight w:val="none"/>
              </w:rPr>
            </w:pPr>
            <w:r>
              <w:rPr>
                <w:rFonts w:hint="eastAsia"/>
                <w:color w:val="auto"/>
                <w:highlight w:val="none"/>
                <w:lang w:val="en-US" w:eastAsia="zh-CN"/>
              </w:rPr>
              <w:t>油料运输车</w:t>
            </w:r>
          </w:p>
        </w:tc>
        <w:tc>
          <w:tcPr>
            <w:tcW w:w="1754" w:type="pct"/>
            <w:tcBorders>
              <w:tl2br w:val="nil"/>
              <w:tr2bl w:val="nil"/>
            </w:tcBorders>
            <w:vAlign w:val="center"/>
          </w:tcPr>
          <w:p w14:paraId="24E547A9">
            <w:pPr>
              <w:pStyle w:val="17"/>
              <w:bidi w:val="0"/>
              <w:rPr>
                <w:color w:val="auto"/>
                <w:highlight w:val="none"/>
              </w:rPr>
            </w:pPr>
            <w:r>
              <w:rPr>
                <w:rFonts w:hint="eastAsia"/>
                <w:color w:val="auto"/>
                <w:highlight w:val="none"/>
                <w:lang w:val="en-US" w:eastAsia="zh-CN"/>
              </w:rPr>
              <w:t>CY-4000</w:t>
            </w:r>
          </w:p>
        </w:tc>
        <w:tc>
          <w:tcPr>
            <w:tcW w:w="275" w:type="pct"/>
            <w:tcBorders>
              <w:tl2br w:val="nil"/>
              <w:tr2bl w:val="nil"/>
            </w:tcBorders>
            <w:vAlign w:val="center"/>
          </w:tcPr>
          <w:p w14:paraId="193C35BF">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0707D342">
            <w:pPr>
              <w:pStyle w:val="17"/>
              <w:bidi w:val="0"/>
              <w:rPr>
                <w:rFonts w:hint="eastAsia"/>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3447A114">
            <w:pPr>
              <w:pStyle w:val="17"/>
              <w:bidi w:val="0"/>
              <w:rPr>
                <w:color w:val="auto"/>
                <w:highlight w:val="none"/>
              </w:rPr>
            </w:pPr>
          </w:p>
        </w:tc>
      </w:tr>
      <w:tr w14:paraId="6660CB5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3BCF76B">
            <w:pPr>
              <w:pStyle w:val="17"/>
              <w:bidi w:val="0"/>
              <w:rPr>
                <w:color w:val="auto"/>
                <w:highlight w:val="none"/>
              </w:rPr>
            </w:pPr>
            <w:r>
              <w:rPr>
                <w:rFonts w:hint="default"/>
                <w:color w:val="auto"/>
                <w:highlight w:val="none"/>
                <w:lang w:val="en-US" w:eastAsia="zh-CN"/>
              </w:rPr>
              <w:t>6</w:t>
            </w:r>
          </w:p>
        </w:tc>
        <w:tc>
          <w:tcPr>
            <w:tcW w:w="1822" w:type="pct"/>
            <w:tcBorders>
              <w:tl2br w:val="nil"/>
              <w:tr2bl w:val="nil"/>
            </w:tcBorders>
            <w:vAlign w:val="center"/>
          </w:tcPr>
          <w:p w14:paraId="6F577DFE">
            <w:pPr>
              <w:pStyle w:val="17"/>
              <w:bidi w:val="0"/>
              <w:rPr>
                <w:color w:val="auto"/>
                <w:highlight w:val="none"/>
              </w:rPr>
            </w:pPr>
            <w:r>
              <w:rPr>
                <w:rFonts w:hint="eastAsia"/>
                <w:color w:val="auto"/>
                <w:highlight w:val="none"/>
                <w:lang w:val="en-US" w:eastAsia="zh-CN"/>
              </w:rPr>
              <w:t>爆破器材运输车</w:t>
            </w:r>
          </w:p>
        </w:tc>
        <w:tc>
          <w:tcPr>
            <w:tcW w:w="1754" w:type="pct"/>
            <w:tcBorders>
              <w:tl2br w:val="nil"/>
              <w:tr2bl w:val="nil"/>
            </w:tcBorders>
            <w:vAlign w:val="center"/>
          </w:tcPr>
          <w:p w14:paraId="0ADBEDE3">
            <w:pPr>
              <w:pStyle w:val="17"/>
              <w:bidi w:val="0"/>
              <w:rPr>
                <w:color w:val="auto"/>
                <w:highlight w:val="none"/>
              </w:rPr>
            </w:pPr>
            <w:r>
              <w:rPr>
                <w:rFonts w:hint="eastAsia"/>
                <w:color w:val="auto"/>
                <w:highlight w:val="none"/>
                <w:lang w:val="en-US" w:eastAsia="zh-CN"/>
              </w:rPr>
              <w:t>FCB-3</w:t>
            </w:r>
          </w:p>
        </w:tc>
        <w:tc>
          <w:tcPr>
            <w:tcW w:w="275" w:type="pct"/>
            <w:tcBorders>
              <w:tl2br w:val="nil"/>
              <w:tr2bl w:val="nil"/>
            </w:tcBorders>
            <w:vAlign w:val="center"/>
          </w:tcPr>
          <w:p w14:paraId="6F10B3E1">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4B39BCC5">
            <w:pPr>
              <w:pStyle w:val="17"/>
              <w:bidi w:val="0"/>
              <w:rPr>
                <w:rFonts w:hint="eastAsia"/>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3AA1A4C0">
            <w:pPr>
              <w:pStyle w:val="17"/>
              <w:bidi w:val="0"/>
              <w:rPr>
                <w:color w:val="auto"/>
                <w:highlight w:val="none"/>
              </w:rPr>
            </w:pPr>
          </w:p>
        </w:tc>
      </w:tr>
      <w:tr w14:paraId="61E7526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7D14AC1C">
            <w:pPr>
              <w:pStyle w:val="17"/>
              <w:bidi w:val="0"/>
              <w:rPr>
                <w:color w:val="auto"/>
                <w:highlight w:val="none"/>
              </w:rPr>
            </w:pPr>
            <w:r>
              <w:rPr>
                <w:rFonts w:hint="default"/>
                <w:color w:val="auto"/>
                <w:highlight w:val="none"/>
                <w:lang w:val="en-US" w:eastAsia="zh-CN"/>
              </w:rPr>
              <w:t>7</w:t>
            </w:r>
          </w:p>
        </w:tc>
        <w:tc>
          <w:tcPr>
            <w:tcW w:w="1822" w:type="pct"/>
            <w:tcBorders>
              <w:tl2br w:val="nil"/>
              <w:tr2bl w:val="nil"/>
            </w:tcBorders>
            <w:vAlign w:val="center"/>
          </w:tcPr>
          <w:p w14:paraId="2B5CC187">
            <w:pPr>
              <w:pStyle w:val="17"/>
              <w:bidi w:val="0"/>
              <w:rPr>
                <w:color w:val="auto"/>
                <w:highlight w:val="none"/>
              </w:rPr>
            </w:pPr>
            <w:r>
              <w:rPr>
                <w:rFonts w:hint="eastAsia"/>
                <w:color w:val="auto"/>
                <w:highlight w:val="none"/>
                <w:lang w:val="en-US" w:eastAsia="zh-CN"/>
              </w:rPr>
              <w:t>爆破器材运输车</w:t>
            </w:r>
          </w:p>
        </w:tc>
        <w:tc>
          <w:tcPr>
            <w:tcW w:w="1754" w:type="pct"/>
            <w:tcBorders>
              <w:tl2br w:val="nil"/>
              <w:tr2bl w:val="nil"/>
            </w:tcBorders>
            <w:vAlign w:val="center"/>
          </w:tcPr>
          <w:p w14:paraId="5DC5365D">
            <w:pPr>
              <w:pStyle w:val="17"/>
              <w:bidi w:val="0"/>
              <w:rPr>
                <w:color w:val="auto"/>
                <w:highlight w:val="none"/>
              </w:rPr>
            </w:pPr>
            <w:r>
              <w:rPr>
                <w:rFonts w:hint="eastAsia"/>
                <w:color w:val="auto"/>
                <w:highlight w:val="none"/>
                <w:lang w:val="en-US" w:eastAsia="zh-CN"/>
              </w:rPr>
              <w:t>WCB-1.5</w:t>
            </w:r>
          </w:p>
        </w:tc>
        <w:tc>
          <w:tcPr>
            <w:tcW w:w="275" w:type="pct"/>
            <w:tcBorders>
              <w:tl2br w:val="nil"/>
              <w:tr2bl w:val="nil"/>
            </w:tcBorders>
            <w:vAlign w:val="center"/>
          </w:tcPr>
          <w:p w14:paraId="1B669B44">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0335A995">
            <w:pPr>
              <w:pStyle w:val="17"/>
              <w:bidi w:val="0"/>
              <w:rPr>
                <w:rFonts w:hint="eastAsia"/>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01D720E9">
            <w:pPr>
              <w:pStyle w:val="17"/>
              <w:bidi w:val="0"/>
              <w:rPr>
                <w:color w:val="auto"/>
                <w:highlight w:val="none"/>
              </w:rPr>
            </w:pPr>
          </w:p>
        </w:tc>
      </w:tr>
      <w:tr w14:paraId="44F510A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AFFDB92">
            <w:pPr>
              <w:pStyle w:val="17"/>
              <w:bidi w:val="0"/>
              <w:rPr>
                <w:color w:val="auto"/>
                <w:highlight w:val="none"/>
              </w:rPr>
            </w:pPr>
            <w:r>
              <w:rPr>
                <w:rFonts w:hint="default"/>
                <w:color w:val="auto"/>
                <w:highlight w:val="none"/>
                <w:lang w:val="en-US" w:eastAsia="zh-CN"/>
              </w:rPr>
              <w:t>8</w:t>
            </w:r>
          </w:p>
        </w:tc>
        <w:tc>
          <w:tcPr>
            <w:tcW w:w="1822" w:type="pct"/>
            <w:tcBorders>
              <w:tl2br w:val="nil"/>
              <w:tr2bl w:val="nil"/>
            </w:tcBorders>
            <w:vAlign w:val="center"/>
          </w:tcPr>
          <w:p w14:paraId="720414BF">
            <w:pPr>
              <w:pStyle w:val="17"/>
              <w:bidi w:val="0"/>
              <w:rPr>
                <w:color w:val="auto"/>
                <w:highlight w:val="none"/>
              </w:rPr>
            </w:pPr>
            <w:r>
              <w:rPr>
                <w:rFonts w:hint="eastAsia"/>
                <w:color w:val="auto"/>
                <w:highlight w:val="none"/>
                <w:lang w:val="en-US" w:eastAsia="zh-CN"/>
              </w:rPr>
              <w:t>地下运输车</w:t>
            </w:r>
          </w:p>
        </w:tc>
        <w:tc>
          <w:tcPr>
            <w:tcW w:w="1754" w:type="pct"/>
            <w:tcBorders>
              <w:tl2br w:val="nil"/>
              <w:tr2bl w:val="nil"/>
            </w:tcBorders>
            <w:vAlign w:val="center"/>
          </w:tcPr>
          <w:p w14:paraId="5CA8A2BC">
            <w:pPr>
              <w:pStyle w:val="17"/>
              <w:bidi w:val="0"/>
              <w:rPr>
                <w:color w:val="auto"/>
                <w:highlight w:val="none"/>
              </w:rPr>
            </w:pPr>
            <w:r>
              <w:rPr>
                <w:rFonts w:hint="eastAsia"/>
                <w:color w:val="auto"/>
                <w:highlight w:val="none"/>
                <w:lang w:val="en-US" w:eastAsia="zh-CN"/>
              </w:rPr>
              <w:t>FL-5</w:t>
            </w:r>
          </w:p>
        </w:tc>
        <w:tc>
          <w:tcPr>
            <w:tcW w:w="275" w:type="pct"/>
            <w:tcBorders>
              <w:tl2br w:val="nil"/>
              <w:tr2bl w:val="nil"/>
            </w:tcBorders>
            <w:vAlign w:val="center"/>
          </w:tcPr>
          <w:p w14:paraId="4594DE41">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4D1A4F02">
            <w:pPr>
              <w:pStyle w:val="17"/>
              <w:bidi w:val="0"/>
              <w:rPr>
                <w:rFonts w:hint="eastAsia"/>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125D1C7C">
            <w:pPr>
              <w:pStyle w:val="17"/>
              <w:bidi w:val="0"/>
              <w:rPr>
                <w:color w:val="auto"/>
                <w:highlight w:val="none"/>
              </w:rPr>
            </w:pPr>
          </w:p>
        </w:tc>
      </w:tr>
      <w:tr w14:paraId="1EF39E6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1E09273B">
            <w:pPr>
              <w:pStyle w:val="17"/>
              <w:bidi w:val="0"/>
              <w:rPr>
                <w:color w:val="auto"/>
                <w:highlight w:val="none"/>
              </w:rPr>
            </w:pPr>
            <w:r>
              <w:rPr>
                <w:rFonts w:hint="default"/>
                <w:color w:val="auto"/>
                <w:highlight w:val="none"/>
                <w:lang w:val="en-US" w:eastAsia="zh-CN"/>
              </w:rPr>
              <w:t>9</w:t>
            </w:r>
          </w:p>
        </w:tc>
        <w:tc>
          <w:tcPr>
            <w:tcW w:w="1822" w:type="pct"/>
            <w:tcBorders>
              <w:tl2br w:val="nil"/>
              <w:tr2bl w:val="nil"/>
            </w:tcBorders>
            <w:vAlign w:val="center"/>
          </w:tcPr>
          <w:p w14:paraId="4DCC020C">
            <w:pPr>
              <w:pStyle w:val="17"/>
              <w:bidi w:val="0"/>
              <w:rPr>
                <w:color w:val="auto"/>
                <w:highlight w:val="none"/>
              </w:rPr>
            </w:pPr>
            <w:r>
              <w:rPr>
                <w:rFonts w:hint="eastAsia"/>
                <w:color w:val="auto"/>
                <w:highlight w:val="none"/>
                <w:lang w:val="en-US" w:eastAsia="zh-CN"/>
              </w:rPr>
              <w:t>地下升降平台车</w:t>
            </w:r>
          </w:p>
        </w:tc>
        <w:tc>
          <w:tcPr>
            <w:tcW w:w="1754" w:type="pct"/>
            <w:tcBorders>
              <w:tl2br w:val="nil"/>
              <w:tr2bl w:val="nil"/>
            </w:tcBorders>
            <w:vAlign w:val="center"/>
          </w:tcPr>
          <w:p w14:paraId="26021C92">
            <w:pPr>
              <w:pStyle w:val="17"/>
              <w:bidi w:val="0"/>
              <w:rPr>
                <w:color w:val="auto"/>
                <w:highlight w:val="none"/>
              </w:rPr>
            </w:pPr>
            <w:r>
              <w:rPr>
                <w:rFonts w:hint="eastAsia"/>
                <w:color w:val="auto"/>
                <w:highlight w:val="none"/>
                <w:lang w:val="en-US" w:eastAsia="zh-CN"/>
              </w:rPr>
              <w:t>UC-2</w:t>
            </w:r>
          </w:p>
        </w:tc>
        <w:tc>
          <w:tcPr>
            <w:tcW w:w="275" w:type="pct"/>
            <w:tcBorders>
              <w:tl2br w:val="nil"/>
              <w:tr2bl w:val="nil"/>
            </w:tcBorders>
            <w:vAlign w:val="center"/>
          </w:tcPr>
          <w:p w14:paraId="7128ADA8">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03AF294C">
            <w:pPr>
              <w:pStyle w:val="17"/>
              <w:bidi w:val="0"/>
              <w:rPr>
                <w:rFonts w:hint="eastAsia"/>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6506D417">
            <w:pPr>
              <w:pStyle w:val="17"/>
              <w:bidi w:val="0"/>
              <w:rPr>
                <w:color w:val="auto"/>
                <w:highlight w:val="none"/>
              </w:rPr>
            </w:pPr>
          </w:p>
        </w:tc>
      </w:tr>
      <w:tr w14:paraId="7B86F4E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6A13E919">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10</w:t>
            </w:r>
          </w:p>
        </w:tc>
        <w:tc>
          <w:tcPr>
            <w:tcW w:w="1822" w:type="pct"/>
            <w:tcBorders>
              <w:tl2br w:val="nil"/>
              <w:tr2bl w:val="nil"/>
            </w:tcBorders>
            <w:vAlign w:val="center"/>
          </w:tcPr>
          <w:p w14:paraId="2F713D54">
            <w:pPr>
              <w:pStyle w:val="17"/>
              <w:bidi w:val="0"/>
              <w:rPr>
                <w:color w:val="auto"/>
                <w:highlight w:val="none"/>
              </w:rPr>
            </w:pPr>
            <w:r>
              <w:rPr>
                <w:rFonts w:hint="eastAsia"/>
                <w:color w:val="auto"/>
                <w:highlight w:val="none"/>
                <w:lang w:val="en-US" w:eastAsia="zh-CN"/>
              </w:rPr>
              <w:t>运人车</w:t>
            </w:r>
          </w:p>
        </w:tc>
        <w:tc>
          <w:tcPr>
            <w:tcW w:w="1754" w:type="pct"/>
            <w:tcBorders>
              <w:tl2br w:val="nil"/>
              <w:tr2bl w:val="nil"/>
            </w:tcBorders>
            <w:vAlign w:val="center"/>
          </w:tcPr>
          <w:p w14:paraId="55A663FD">
            <w:pPr>
              <w:pStyle w:val="17"/>
              <w:bidi w:val="0"/>
              <w:rPr>
                <w:rFonts w:hint="default"/>
                <w:color w:val="auto"/>
                <w:highlight w:val="none"/>
                <w:lang w:val="en-US" w:eastAsia="zh-CN"/>
              </w:rPr>
            </w:pPr>
            <w:r>
              <w:rPr>
                <w:rFonts w:hint="eastAsia"/>
                <w:color w:val="auto"/>
                <w:highlight w:val="none"/>
                <w:lang w:val="en-US" w:eastAsia="zh-CN"/>
              </w:rPr>
              <w:t>RU-25</w:t>
            </w:r>
          </w:p>
        </w:tc>
        <w:tc>
          <w:tcPr>
            <w:tcW w:w="275" w:type="pct"/>
            <w:tcBorders>
              <w:tl2br w:val="nil"/>
              <w:tr2bl w:val="nil"/>
            </w:tcBorders>
            <w:vAlign w:val="center"/>
          </w:tcPr>
          <w:p w14:paraId="42AF367A">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69C8ED34">
            <w:pPr>
              <w:pStyle w:val="17"/>
              <w:bidi w:val="0"/>
              <w:rPr>
                <w:rFonts w:hint="default"/>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025EC823">
            <w:pPr>
              <w:pStyle w:val="17"/>
              <w:bidi w:val="0"/>
              <w:rPr>
                <w:color w:val="auto"/>
                <w:highlight w:val="none"/>
              </w:rPr>
            </w:pPr>
          </w:p>
        </w:tc>
      </w:tr>
      <w:tr w14:paraId="17DD9EA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0B09ECA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11</w:t>
            </w:r>
          </w:p>
        </w:tc>
        <w:tc>
          <w:tcPr>
            <w:tcW w:w="1822" w:type="pct"/>
            <w:tcBorders>
              <w:tl2br w:val="nil"/>
              <w:tr2bl w:val="nil"/>
            </w:tcBorders>
            <w:vAlign w:val="center"/>
          </w:tcPr>
          <w:p w14:paraId="01714F2E">
            <w:pPr>
              <w:pStyle w:val="17"/>
              <w:bidi w:val="0"/>
              <w:rPr>
                <w:color w:val="auto"/>
                <w:highlight w:val="none"/>
              </w:rPr>
            </w:pPr>
            <w:r>
              <w:rPr>
                <w:rFonts w:hint="eastAsia"/>
                <w:color w:val="auto"/>
                <w:highlight w:val="none"/>
                <w:lang w:val="en-US" w:eastAsia="zh-CN"/>
              </w:rPr>
              <w:t>运人车</w:t>
            </w:r>
          </w:p>
        </w:tc>
        <w:tc>
          <w:tcPr>
            <w:tcW w:w="1754" w:type="pct"/>
            <w:tcBorders>
              <w:tl2br w:val="nil"/>
              <w:tr2bl w:val="nil"/>
            </w:tcBorders>
            <w:vAlign w:val="center"/>
          </w:tcPr>
          <w:p w14:paraId="4FEB93EA">
            <w:pPr>
              <w:pStyle w:val="17"/>
              <w:bidi w:val="0"/>
              <w:rPr>
                <w:rFonts w:hint="default"/>
                <w:color w:val="auto"/>
                <w:highlight w:val="none"/>
                <w:lang w:val="en-US" w:eastAsia="zh-CN"/>
              </w:rPr>
            </w:pPr>
            <w:r>
              <w:rPr>
                <w:rFonts w:hint="eastAsia"/>
                <w:color w:val="auto"/>
                <w:highlight w:val="none"/>
                <w:lang w:val="en-US" w:eastAsia="zh-CN"/>
              </w:rPr>
              <w:t>RU-6</w:t>
            </w:r>
          </w:p>
        </w:tc>
        <w:tc>
          <w:tcPr>
            <w:tcW w:w="275" w:type="pct"/>
            <w:tcBorders>
              <w:tl2br w:val="nil"/>
              <w:tr2bl w:val="nil"/>
            </w:tcBorders>
            <w:vAlign w:val="center"/>
          </w:tcPr>
          <w:p w14:paraId="41CBE9DA">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2B418341">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01F13AB5">
            <w:pPr>
              <w:pStyle w:val="17"/>
              <w:bidi w:val="0"/>
              <w:rPr>
                <w:color w:val="auto"/>
                <w:highlight w:val="none"/>
              </w:rPr>
            </w:pPr>
          </w:p>
        </w:tc>
      </w:tr>
      <w:tr w14:paraId="60CA47D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38B8453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12</w:t>
            </w:r>
          </w:p>
        </w:tc>
        <w:tc>
          <w:tcPr>
            <w:tcW w:w="1822" w:type="pct"/>
            <w:tcBorders>
              <w:tl2br w:val="nil"/>
              <w:tr2bl w:val="nil"/>
            </w:tcBorders>
            <w:vAlign w:val="center"/>
          </w:tcPr>
          <w:p w14:paraId="016D24E8">
            <w:pPr>
              <w:pStyle w:val="17"/>
              <w:bidi w:val="0"/>
              <w:rPr>
                <w:color w:val="auto"/>
                <w:highlight w:val="none"/>
              </w:rPr>
            </w:pPr>
            <w:r>
              <w:rPr>
                <w:rFonts w:hint="eastAsia"/>
                <w:color w:val="auto"/>
                <w:highlight w:val="none"/>
                <w:lang w:val="en-US" w:eastAsia="zh-CN"/>
              </w:rPr>
              <w:t>混凝土运输车</w:t>
            </w:r>
          </w:p>
        </w:tc>
        <w:tc>
          <w:tcPr>
            <w:tcW w:w="1754" w:type="pct"/>
            <w:tcBorders>
              <w:tl2br w:val="nil"/>
              <w:tr2bl w:val="nil"/>
            </w:tcBorders>
            <w:vAlign w:val="center"/>
          </w:tcPr>
          <w:p w14:paraId="5069EFEA">
            <w:pPr>
              <w:pStyle w:val="17"/>
              <w:bidi w:val="0"/>
              <w:rPr>
                <w:rFonts w:hint="default"/>
                <w:color w:val="auto"/>
                <w:highlight w:val="none"/>
                <w:lang w:val="en-US" w:eastAsia="zh-CN"/>
              </w:rPr>
            </w:pPr>
            <w:r>
              <w:rPr>
                <w:rFonts w:hint="eastAsia"/>
                <w:color w:val="auto"/>
                <w:highlight w:val="none"/>
                <w:lang w:val="en-US" w:eastAsia="zh-CN"/>
              </w:rPr>
              <w:t>KJCJ-4</w:t>
            </w:r>
          </w:p>
        </w:tc>
        <w:tc>
          <w:tcPr>
            <w:tcW w:w="275" w:type="pct"/>
            <w:tcBorders>
              <w:tl2br w:val="nil"/>
              <w:tr2bl w:val="nil"/>
            </w:tcBorders>
            <w:vAlign w:val="center"/>
          </w:tcPr>
          <w:p w14:paraId="4116865E">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60839D92">
            <w:pPr>
              <w:pStyle w:val="17"/>
              <w:bidi w:val="0"/>
              <w:rPr>
                <w:rFonts w:hint="default"/>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75A8122E">
            <w:pPr>
              <w:pStyle w:val="17"/>
              <w:bidi w:val="0"/>
              <w:rPr>
                <w:color w:val="auto"/>
                <w:highlight w:val="none"/>
              </w:rPr>
            </w:pPr>
          </w:p>
        </w:tc>
      </w:tr>
      <w:tr w14:paraId="72D13AD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1CB25E6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13</w:t>
            </w:r>
          </w:p>
        </w:tc>
        <w:tc>
          <w:tcPr>
            <w:tcW w:w="1822" w:type="pct"/>
            <w:tcBorders>
              <w:tl2br w:val="nil"/>
              <w:tr2bl w:val="nil"/>
            </w:tcBorders>
            <w:vAlign w:val="center"/>
          </w:tcPr>
          <w:p w14:paraId="5F1B6D20">
            <w:pPr>
              <w:pStyle w:val="17"/>
              <w:bidi w:val="0"/>
              <w:rPr>
                <w:color w:val="auto"/>
                <w:highlight w:val="none"/>
              </w:rPr>
            </w:pPr>
            <w:r>
              <w:rPr>
                <w:rFonts w:hint="eastAsia"/>
                <w:color w:val="auto"/>
                <w:highlight w:val="none"/>
                <w:lang w:val="en-US" w:eastAsia="zh-CN"/>
              </w:rPr>
              <w:t>凿岩机</w:t>
            </w:r>
          </w:p>
        </w:tc>
        <w:tc>
          <w:tcPr>
            <w:tcW w:w="1754" w:type="pct"/>
            <w:tcBorders>
              <w:tl2br w:val="nil"/>
              <w:tr2bl w:val="nil"/>
            </w:tcBorders>
            <w:vAlign w:val="center"/>
          </w:tcPr>
          <w:p w14:paraId="7D926B39">
            <w:pPr>
              <w:pStyle w:val="17"/>
              <w:bidi w:val="0"/>
              <w:rPr>
                <w:rFonts w:hint="default"/>
                <w:color w:val="auto"/>
                <w:highlight w:val="none"/>
                <w:lang w:val="en-US" w:eastAsia="zh-CN"/>
              </w:rPr>
            </w:pPr>
            <w:r>
              <w:rPr>
                <w:rFonts w:hint="eastAsia"/>
                <w:color w:val="auto"/>
                <w:highlight w:val="none"/>
                <w:lang w:val="en-US" w:eastAsia="zh-CN"/>
              </w:rPr>
              <w:t>YT28</w:t>
            </w:r>
          </w:p>
        </w:tc>
        <w:tc>
          <w:tcPr>
            <w:tcW w:w="275" w:type="pct"/>
            <w:tcBorders>
              <w:tl2br w:val="nil"/>
              <w:tr2bl w:val="nil"/>
            </w:tcBorders>
            <w:vAlign w:val="center"/>
          </w:tcPr>
          <w:p w14:paraId="361FE076">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2437EEC6">
            <w:pPr>
              <w:pStyle w:val="17"/>
              <w:bidi w:val="0"/>
              <w:rPr>
                <w:rFonts w:hint="default"/>
                <w:color w:val="auto"/>
                <w:highlight w:val="none"/>
                <w:lang w:val="en-US" w:eastAsia="zh-CN"/>
              </w:rPr>
            </w:pPr>
            <w:r>
              <w:rPr>
                <w:rFonts w:hint="eastAsia"/>
                <w:color w:val="auto"/>
                <w:highlight w:val="none"/>
                <w:lang w:val="en-US" w:eastAsia="zh-CN"/>
              </w:rPr>
              <w:t>8</w:t>
            </w:r>
          </w:p>
        </w:tc>
        <w:tc>
          <w:tcPr>
            <w:tcW w:w="597" w:type="pct"/>
            <w:tcBorders>
              <w:tl2br w:val="nil"/>
              <w:tr2bl w:val="nil"/>
            </w:tcBorders>
            <w:vAlign w:val="center"/>
          </w:tcPr>
          <w:p w14:paraId="06E73262">
            <w:pPr>
              <w:pStyle w:val="17"/>
              <w:bidi w:val="0"/>
              <w:rPr>
                <w:color w:val="auto"/>
                <w:highlight w:val="none"/>
              </w:rPr>
            </w:pPr>
          </w:p>
        </w:tc>
      </w:tr>
      <w:tr w14:paraId="65FFF30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9B25E11">
            <w:pPr>
              <w:pStyle w:val="17"/>
              <w:bidi w:val="0"/>
              <w:rPr>
                <w:rFonts w:hint="default"/>
                <w:color w:val="auto"/>
                <w:highlight w:val="none"/>
                <w:lang w:val="en-US" w:eastAsia="zh-CN"/>
              </w:rPr>
            </w:pPr>
            <w:r>
              <w:rPr>
                <w:rFonts w:hint="eastAsia"/>
                <w:color w:val="auto"/>
                <w:highlight w:val="none"/>
                <w:lang w:val="en-US" w:eastAsia="zh-CN"/>
              </w:rPr>
              <w:t>14</w:t>
            </w:r>
          </w:p>
        </w:tc>
        <w:tc>
          <w:tcPr>
            <w:tcW w:w="1822" w:type="pct"/>
            <w:tcBorders>
              <w:tl2br w:val="nil"/>
              <w:tr2bl w:val="nil"/>
            </w:tcBorders>
            <w:vAlign w:val="center"/>
          </w:tcPr>
          <w:p w14:paraId="316BBEA3">
            <w:pPr>
              <w:pStyle w:val="17"/>
              <w:bidi w:val="0"/>
              <w:rPr>
                <w:color w:val="auto"/>
                <w:highlight w:val="none"/>
              </w:rPr>
            </w:pPr>
            <w:r>
              <w:rPr>
                <w:rFonts w:hint="eastAsia"/>
                <w:color w:val="auto"/>
                <w:highlight w:val="none"/>
                <w:lang w:val="en-US" w:eastAsia="zh-CN"/>
              </w:rPr>
              <w:t>凿岩机</w:t>
            </w:r>
          </w:p>
        </w:tc>
        <w:tc>
          <w:tcPr>
            <w:tcW w:w="1754" w:type="pct"/>
            <w:tcBorders>
              <w:tl2br w:val="nil"/>
              <w:tr2bl w:val="nil"/>
            </w:tcBorders>
            <w:vAlign w:val="center"/>
          </w:tcPr>
          <w:p w14:paraId="432AB9A4">
            <w:pPr>
              <w:pStyle w:val="17"/>
              <w:bidi w:val="0"/>
              <w:rPr>
                <w:rFonts w:hint="default"/>
                <w:color w:val="auto"/>
                <w:highlight w:val="none"/>
                <w:lang w:val="en-US" w:eastAsia="zh-CN"/>
              </w:rPr>
            </w:pPr>
            <w:r>
              <w:rPr>
                <w:rFonts w:hint="eastAsia"/>
                <w:color w:val="auto"/>
                <w:highlight w:val="none"/>
                <w:lang w:val="en-US" w:eastAsia="zh-CN"/>
              </w:rPr>
              <w:t>YSP45</w:t>
            </w:r>
          </w:p>
        </w:tc>
        <w:tc>
          <w:tcPr>
            <w:tcW w:w="275" w:type="pct"/>
            <w:tcBorders>
              <w:tl2br w:val="nil"/>
              <w:tr2bl w:val="nil"/>
            </w:tcBorders>
            <w:vAlign w:val="center"/>
          </w:tcPr>
          <w:p w14:paraId="0F09744C">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2E66621">
            <w:pPr>
              <w:pStyle w:val="17"/>
              <w:bidi w:val="0"/>
              <w:rPr>
                <w:rFonts w:hint="default"/>
                <w:color w:val="auto"/>
                <w:highlight w:val="none"/>
                <w:lang w:val="en-US" w:eastAsia="zh-CN"/>
              </w:rPr>
            </w:pPr>
            <w:r>
              <w:rPr>
                <w:rFonts w:hint="eastAsia"/>
                <w:color w:val="auto"/>
                <w:highlight w:val="none"/>
                <w:lang w:val="en-US" w:eastAsia="zh-CN"/>
              </w:rPr>
              <w:t>4</w:t>
            </w:r>
          </w:p>
        </w:tc>
        <w:tc>
          <w:tcPr>
            <w:tcW w:w="597" w:type="pct"/>
            <w:tcBorders>
              <w:tl2br w:val="nil"/>
              <w:tr2bl w:val="nil"/>
            </w:tcBorders>
            <w:vAlign w:val="center"/>
          </w:tcPr>
          <w:p w14:paraId="67CA47B4">
            <w:pPr>
              <w:pStyle w:val="17"/>
              <w:bidi w:val="0"/>
              <w:rPr>
                <w:color w:val="auto"/>
                <w:highlight w:val="none"/>
              </w:rPr>
            </w:pPr>
          </w:p>
        </w:tc>
      </w:tr>
      <w:tr w14:paraId="624433F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AAD85AE">
            <w:pPr>
              <w:pStyle w:val="17"/>
              <w:bidi w:val="0"/>
              <w:rPr>
                <w:rFonts w:hint="default" w:eastAsia="宋体"/>
                <w:color w:val="auto"/>
                <w:highlight w:val="none"/>
                <w:lang w:val="en-US" w:eastAsia="zh-CN"/>
              </w:rPr>
            </w:pPr>
            <w:r>
              <w:rPr>
                <w:rFonts w:hint="eastAsia"/>
                <w:color w:val="auto"/>
                <w:highlight w:val="none"/>
                <w:lang w:val="en-US" w:eastAsia="zh-CN"/>
              </w:rPr>
              <w:t>15</w:t>
            </w:r>
          </w:p>
        </w:tc>
        <w:tc>
          <w:tcPr>
            <w:tcW w:w="1822" w:type="pct"/>
            <w:tcBorders>
              <w:tl2br w:val="nil"/>
              <w:tr2bl w:val="nil"/>
            </w:tcBorders>
            <w:vAlign w:val="center"/>
          </w:tcPr>
          <w:p w14:paraId="6020DE2B">
            <w:pPr>
              <w:pStyle w:val="17"/>
              <w:bidi w:val="0"/>
              <w:rPr>
                <w:color w:val="auto"/>
                <w:highlight w:val="none"/>
              </w:rPr>
            </w:pPr>
            <w:r>
              <w:rPr>
                <w:rFonts w:hint="eastAsia"/>
                <w:color w:val="auto"/>
                <w:highlight w:val="none"/>
                <w:lang w:val="en-US" w:eastAsia="zh-CN"/>
              </w:rPr>
              <w:t>撬毛台车</w:t>
            </w:r>
          </w:p>
        </w:tc>
        <w:tc>
          <w:tcPr>
            <w:tcW w:w="1754" w:type="pct"/>
            <w:tcBorders>
              <w:tl2br w:val="nil"/>
              <w:tr2bl w:val="nil"/>
            </w:tcBorders>
            <w:vAlign w:val="center"/>
          </w:tcPr>
          <w:p w14:paraId="7FBA361C">
            <w:pPr>
              <w:pStyle w:val="17"/>
              <w:bidi w:val="0"/>
              <w:rPr>
                <w:color w:val="auto"/>
                <w:highlight w:val="none"/>
              </w:rPr>
            </w:pPr>
            <w:r>
              <w:rPr>
                <w:rFonts w:hint="eastAsia"/>
                <w:color w:val="auto"/>
                <w:highlight w:val="none"/>
                <w:lang w:val="en-US" w:eastAsia="zh-CN"/>
              </w:rPr>
              <w:t>XMPYT-54/450</w:t>
            </w:r>
          </w:p>
        </w:tc>
        <w:tc>
          <w:tcPr>
            <w:tcW w:w="275" w:type="pct"/>
            <w:tcBorders>
              <w:tl2br w:val="nil"/>
              <w:tr2bl w:val="nil"/>
            </w:tcBorders>
            <w:vAlign w:val="center"/>
          </w:tcPr>
          <w:p w14:paraId="02B2D721">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6011A624">
            <w:pPr>
              <w:pStyle w:val="17"/>
              <w:bidi w:val="0"/>
              <w:rPr>
                <w:color w:val="auto"/>
                <w:highlight w:val="none"/>
              </w:rPr>
            </w:pPr>
            <w:r>
              <w:rPr>
                <w:rFonts w:hint="default"/>
                <w:color w:val="auto"/>
                <w:highlight w:val="none"/>
                <w:lang w:val="en-US" w:eastAsia="zh-CN"/>
              </w:rPr>
              <w:t>2</w:t>
            </w:r>
          </w:p>
        </w:tc>
        <w:tc>
          <w:tcPr>
            <w:tcW w:w="597" w:type="pct"/>
            <w:tcBorders>
              <w:tl2br w:val="nil"/>
              <w:tr2bl w:val="nil"/>
            </w:tcBorders>
            <w:vAlign w:val="center"/>
          </w:tcPr>
          <w:p w14:paraId="0FA80AAF">
            <w:pPr>
              <w:pStyle w:val="17"/>
              <w:bidi w:val="0"/>
              <w:rPr>
                <w:color w:val="auto"/>
                <w:highlight w:val="none"/>
              </w:rPr>
            </w:pPr>
          </w:p>
        </w:tc>
      </w:tr>
      <w:tr w14:paraId="6609E6D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37467874">
            <w:pPr>
              <w:pStyle w:val="17"/>
              <w:bidi w:val="0"/>
              <w:rPr>
                <w:rFonts w:hint="default" w:eastAsia="宋体"/>
                <w:color w:val="auto"/>
                <w:highlight w:val="none"/>
                <w:lang w:val="en-US" w:eastAsia="zh-CN"/>
              </w:rPr>
            </w:pPr>
            <w:r>
              <w:rPr>
                <w:rFonts w:hint="eastAsia"/>
                <w:color w:val="auto"/>
                <w:highlight w:val="none"/>
                <w:lang w:val="en-US" w:eastAsia="zh-CN"/>
              </w:rPr>
              <w:t>16</w:t>
            </w:r>
          </w:p>
        </w:tc>
        <w:tc>
          <w:tcPr>
            <w:tcW w:w="1822" w:type="pct"/>
            <w:tcBorders>
              <w:tl2br w:val="nil"/>
              <w:tr2bl w:val="nil"/>
            </w:tcBorders>
            <w:vAlign w:val="center"/>
          </w:tcPr>
          <w:p w14:paraId="421A1EF0">
            <w:pPr>
              <w:pStyle w:val="17"/>
              <w:bidi w:val="0"/>
              <w:rPr>
                <w:color w:val="auto"/>
                <w:highlight w:val="none"/>
              </w:rPr>
            </w:pPr>
            <w:r>
              <w:rPr>
                <w:rFonts w:hint="eastAsia"/>
                <w:color w:val="auto"/>
                <w:highlight w:val="none"/>
                <w:lang w:val="en-US" w:eastAsia="zh-CN"/>
              </w:rPr>
              <w:t>破碎台车</w:t>
            </w:r>
          </w:p>
        </w:tc>
        <w:tc>
          <w:tcPr>
            <w:tcW w:w="1754" w:type="pct"/>
            <w:tcBorders>
              <w:tl2br w:val="nil"/>
              <w:tr2bl w:val="nil"/>
            </w:tcBorders>
            <w:vAlign w:val="center"/>
          </w:tcPr>
          <w:p w14:paraId="78DBEEA6">
            <w:pPr>
              <w:pStyle w:val="17"/>
              <w:bidi w:val="0"/>
              <w:rPr>
                <w:color w:val="auto"/>
                <w:highlight w:val="none"/>
              </w:rPr>
            </w:pPr>
            <w:r>
              <w:rPr>
                <w:rFonts w:hint="eastAsia"/>
                <w:color w:val="auto"/>
                <w:highlight w:val="none"/>
                <w:lang w:val="en-US" w:eastAsia="zh-CN"/>
              </w:rPr>
              <w:t>UPT-119/2000</w:t>
            </w:r>
          </w:p>
        </w:tc>
        <w:tc>
          <w:tcPr>
            <w:tcW w:w="275" w:type="pct"/>
            <w:tcBorders>
              <w:tl2br w:val="nil"/>
              <w:tr2bl w:val="nil"/>
            </w:tcBorders>
            <w:vAlign w:val="center"/>
          </w:tcPr>
          <w:p w14:paraId="6FFF128B">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5808AD40">
            <w:pPr>
              <w:pStyle w:val="17"/>
              <w:bidi w:val="0"/>
              <w:rPr>
                <w:color w:val="auto"/>
                <w:highlight w:val="none"/>
              </w:rPr>
            </w:pPr>
            <w:r>
              <w:rPr>
                <w:rFonts w:hint="eastAsia"/>
                <w:color w:val="auto"/>
                <w:highlight w:val="none"/>
                <w:lang w:val="en-US" w:eastAsia="zh-CN"/>
              </w:rPr>
              <w:t>1</w:t>
            </w:r>
          </w:p>
        </w:tc>
        <w:tc>
          <w:tcPr>
            <w:tcW w:w="597" w:type="pct"/>
            <w:tcBorders>
              <w:tl2br w:val="nil"/>
              <w:tr2bl w:val="nil"/>
            </w:tcBorders>
            <w:vAlign w:val="center"/>
          </w:tcPr>
          <w:p w14:paraId="13F65549">
            <w:pPr>
              <w:pStyle w:val="17"/>
              <w:bidi w:val="0"/>
              <w:rPr>
                <w:color w:val="auto"/>
                <w:highlight w:val="none"/>
              </w:rPr>
            </w:pPr>
          </w:p>
        </w:tc>
      </w:tr>
      <w:tr w14:paraId="6FEF56E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F8CAC50">
            <w:pPr>
              <w:pStyle w:val="17"/>
              <w:bidi w:val="0"/>
              <w:rPr>
                <w:rFonts w:hint="default" w:eastAsia="宋体"/>
                <w:color w:val="auto"/>
                <w:highlight w:val="none"/>
                <w:lang w:val="en-US" w:eastAsia="zh-CN"/>
              </w:rPr>
            </w:pPr>
            <w:r>
              <w:rPr>
                <w:rFonts w:hint="eastAsia"/>
                <w:color w:val="auto"/>
                <w:highlight w:val="none"/>
                <w:lang w:val="en-US" w:eastAsia="zh-CN"/>
              </w:rPr>
              <w:t>17</w:t>
            </w:r>
          </w:p>
        </w:tc>
        <w:tc>
          <w:tcPr>
            <w:tcW w:w="1822" w:type="pct"/>
            <w:tcBorders>
              <w:tl2br w:val="nil"/>
              <w:tr2bl w:val="nil"/>
            </w:tcBorders>
            <w:vAlign w:val="center"/>
          </w:tcPr>
          <w:p w14:paraId="5AED2465">
            <w:pPr>
              <w:pStyle w:val="17"/>
              <w:bidi w:val="0"/>
              <w:rPr>
                <w:color w:val="auto"/>
                <w:highlight w:val="none"/>
              </w:rPr>
            </w:pPr>
            <w:r>
              <w:rPr>
                <w:rFonts w:hint="eastAsia"/>
                <w:color w:val="auto"/>
                <w:highlight w:val="none"/>
                <w:lang w:val="en-US" w:eastAsia="zh-CN"/>
              </w:rPr>
              <w:t>矿用混凝土喷射车</w:t>
            </w:r>
          </w:p>
        </w:tc>
        <w:tc>
          <w:tcPr>
            <w:tcW w:w="1754" w:type="pct"/>
            <w:tcBorders>
              <w:tl2br w:val="nil"/>
              <w:tr2bl w:val="nil"/>
            </w:tcBorders>
            <w:vAlign w:val="center"/>
          </w:tcPr>
          <w:p w14:paraId="365CDE62">
            <w:pPr>
              <w:pStyle w:val="17"/>
              <w:bidi w:val="0"/>
              <w:rPr>
                <w:color w:val="auto"/>
                <w:highlight w:val="none"/>
              </w:rPr>
            </w:pPr>
            <w:r>
              <w:rPr>
                <w:rFonts w:hint="eastAsia"/>
                <w:color w:val="auto"/>
                <w:highlight w:val="none"/>
                <w:lang w:val="en-US" w:eastAsia="zh-CN"/>
              </w:rPr>
              <w:t>UPS-20J</w:t>
            </w:r>
          </w:p>
        </w:tc>
        <w:tc>
          <w:tcPr>
            <w:tcW w:w="275" w:type="pct"/>
            <w:tcBorders>
              <w:tl2br w:val="nil"/>
              <w:tr2bl w:val="nil"/>
            </w:tcBorders>
            <w:vAlign w:val="center"/>
          </w:tcPr>
          <w:p w14:paraId="0E6E07BE">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3243A779">
            <w:pPr>
              <w:pStyle w:val="17"/>
              <w:bidi w:val="0"/>
              <w:rPr>
                <w:color w:val="auto"/>
                <w:highlight w:val="none"/>
              </w:rPr>
            </w:pPr>
            <w:r>
              <w:rPr>
                <w:rFonts w:hint="eastAsia"/>
                <w:color w:val="auto"/>
                <w:highlight w:val="none"/>
                <w:lang w:val="en-US" w:eastAsia="zh-CN"/>
              </w:rPr>
              <w:t>1</w:t>
            </w:r>
          </w:p>
        </w:tc>
        <w:tc>
          <w:tcPr>
            <w:tcW w:w="597" w:type="pct"/>
            <w:tcBorders>
              <w:tl2br w:val="nil"/>
              <w:tr2bl w:val="nil"/>
            </w:tcBorders>
            <w:vAlign w:val="center"/>
          </w:tcPr>
          <w:p w14:paraId="32148D06">
            <w:pPr>
              <w:pStyle w:val="17"/>
              <w:bidi w:val="0"/>
              <w:rPr>
                <w:color w:val="auto"/>
                <w:highlight w:val="none"/>
              </w:rPr>
            </w:pPr>
          </w:p>
        </w:tc>
      </w:tr>
      <w:tr w14:paraId="23FE453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C38DEE5">
            <w:pPr>
              <w:pStyle w:val="17"/>
              <w:bidi w:val="0"/>
              <w:rPr>
                <w:rFonts w:hint="default" w:eastAsia="宋体"/>
                <w:color w:val="auto"/>
                <w:highlight w:val="none"/>
                <w:lang w:val="en-US" w:eastAsia="zh-CN"/>
              </w:rPr>
            </w:pPr>
            <w:r>
              <w:rPr>
                <w:rFonts w:hint="eastAsia"/>
                <w:color w:val="auto"/>
                <w:highlight w:val="none"/>
                <w:lang w:val="en-US" w:eastAsia="zh-CN"/>
              </w:rPr>
              <w:t>18</w:t>
            </w:r>
          </w:p>
        </w:tc>
        <w:tc>
          <w:tcPr>
            <w:tcW w:w="1822" w:type="pct"/>
            <w:tcBorders>
              <w:tl2br w:val="nil"/>
              <w:tr2bl w:val="nil"/>
            </w:tcBorders>
            <w:vAlign w:val="center"/>
          </w:tcPr>
          <w:p w14:paraId="188E3367">
            <w:pPr>
              <w:pStyle w:val="17"/>
              <w:bidi w:val="0"/>
              <w:rPr>
                <w:color w:val="auto"/>
                <w:highlight w:val="none"/>
              </w:rPr>
            </w:pPr>
            <w:r>
              <w:rPr>
                <w:rFonts w:hint="eastAsia"/>
                <w:color w:val="auto"/>
                <w:highlight w:val="none"/>
                <w:lang w:val="en-US" w:eastAsia="zh-CN"/>
              </w:rPr>
              <w:t>锚杆台车</w:t>
            </w:r>
          </w:p>
        </w:tc>
        <w:tc>
          <w:tcPr>
            <w:tcW w:w="1754" w:type="pct"/>
            <w:tcBorders>
              <w:tl2br w:val="nil"/>
              <w:tr2bl w:val="nil"/>
            </w:tcBorders>
            <w:vAlign w:val="center"/>
          </w:tcPr>
          <w:p w14:paraId="3CE5D912">
            <w:pPr>
              <w:pStyle w:val="17"/>
              <w:bidi w:val="0"/>
              <w:rPr>
                <w:color w:val="auto"/>
                <w:highlight w:val="none"/>
              </w:rPr>
            </w:pPr>
            <w:r>
              <w:rPr>
                <w:rFonts w:hint="eastAsia"/>
                <w:color w:val="auto"/>
                <w:highlight w:val="none"/>
                <w:lang w:val="en-US" w:eastAsia="zh-CN"/>
              </w:rPr>
              <w:t>CYTM41/2</w:t>
            </w:r>
          </w:p>
        </w:tc>
        <w:tc>
          <w:tcPr>
            <w:tcW w:w="275" w:type="pct"/>
            <w:tcBorders>
              <w:tl2br w:val="nil"/>
              <w:tr2bl w:val="nil"/>
            </w:tcBorders>
            <w:vAlign w:val="center"/>
          </w:tcPr>
          <w:p w14:paraId="31D46ABC">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7DBA848F">
            <w:pPr>
              <w:pStyle w:val="17"/>
              <w:bidi w:val="0"/>
              <w:rPr>
                <w:rFonts w:hint="eastAsia"/>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7484DFCF">
            <w:pPr>
              <w:pStyle w:val="17"/>
              <w:bidi w:val="0"/>
              <w:rPr>
                <w:color w:val="auto"/>
                <w:highlight w:val="none"/>
              </w:rPr>
            </w:pPr>
          </w:p>
        </w:tc>
      </w:tr>
      <w:tr w14:paraId="756BC22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72D23677">
            <w:pPr>
              <w:pStyle w:val="17"/>
              <w:bidi w:val="0"/>
              <w:rPr>
                <w:rFonts w:hint="default"/>
                <w:color w:val="auto"/>
                <w:highlight w:val="none"/>
                <w:lang w:val="en-US" w:eastAsia="zh-CN"/>
              </w:rPr>
            </w:pPr>
            <w:r>
              <w:rPr>
                <w:rFonts w:hint="eastAsia"/>
                <w:color w:val="auto"/>
                <w:highlight w:val="none"/>
                <w:lang w:val="en-US" w:eastAsia="zh-CN"/>
              </w:rPr>
              <w:t>19</w:t>
            </w:r>
          </w:p>
        </w:tc>
        <w:tc>
          <w:tcPr>
            <w:tcW w:w="1822" w:type="pct"/>
            <w:tcBorders>
              <w:tl2br w:val="nil"/>
              <w:tr2bl w:val="nil"/>
            </w:tcBorders>
            <w:vAlign w:val="center"/>
          </w:tcPr>
          <w:p w14:paraId="534CDD4B">
            <w:pPr>
              <w:pStyle w:val="17"/>
              <w:bidi w:val="0"/>
              <w:rPr>
                <w:rFonts w:hint="eastAsia"/>
                <w:color w:val="auto"/>
                <w:highlight w:val="none"/>
                <w:lang w:val="en-US" w:eastAsia="zh-CN"/>
              </w:rPr>
            </w:pPr>
            <w:r>
              <w:rPr>
                <w:rFonts w:hint="eastAsia"/>
                <w:color w:val="auto"/>
                <w:highlight w:val="none"/>
                <w:lang w:val="en-US" w:eastAsia="zh-CN"/>
              </w:rPr>
              <w:t>井下卡车</w:t>
            </w:r>
          </w:p>
        </w:tc>
        <w:tc>
          <w:tcPr>
            <w:tcW w:w="1754" w:type="pct"/>
            <w:tcBorders>
              <w:tl2br w:val="nil"/>
              <w:tr2bl w:val="nil"/>
            </w:tcBorders>
            <w:vAlign w:val="center"/>
          </w:tcPr>
          <w:p w14:paraId="759C8C5D">
            <w:pPr>
              <w:pStyle w:val="17"/>
              <w:bidi w:val="0"/>
              <w:rPr>
                <w:rFonts w:hint="default"/>
                <w:color w:val="auto"/>
                <w:highlight w:val="none"/>
                <w:lang w:val="en-US" w:eastAsia="zh-CN"/>
              </w:rPr>
            </w:pPr>
            <w:r>
              <w:rPr>
                <w:rFonts w:hint="eastAsia"/>
                <w:color w:val="auto"/>
                <w:highlight w:val="none"/>
                <w:lang w:val="en-US" w:eastAsia="zh-CN"/>
              </w:rPr>
              <w:t>UQ-20</w:t>
            </w:r>
          </w:p>
        </w:tc>
        <w:tc>
          <w:tcPr>
            <w:tcW w:w="275" w:type="pct"/>
            <w:tcBorders>
              <w:tl2br w:val="nil"/>
              <w:tr2bl w:val="nil"/>
            </w:tcBorders>
            <w:vAlign w:val="center"/>
          </w:tcPr>
          <w:p w14:paraId="5386D021">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6F5883C">
            <w:pPr>
              <w:pStyle w:val="17"/>
              <w:bidi w:val="0"/>
              <w:rPr>
                <w:rFonts w:hint="default"/>
                <w:color w:val="auto"/>
                <w:highlight w:val="none"/>
                <w:lang w:val="en-US" w:eastAsia="zh-CN"/>
              </w:rPr>
            </w:pPr>
            <w:r>
              <w:rPr>
                <w:rFonts w:hint="eastAsia"/>
                <w:color w:val="auto"/>
                <w:highlight w:val="none"/>
                <w:lang w:val="en-US" w:eastAsia="zh-CN"/>
              </w:rPr>
              <w:t>14</w:t>
            </w:r>
          </w:p>
        </w:tc>
        <w:tc>
          <w:tcPr>
            <w:tcW w:w="597" w:type="pct"/>
            <w:tcBorders>
              <w:tl2br w:val="nil"/>
              <w:tr2bl w:val="nil"/>
            </w:tcBorders>
            <w:vAlign w:val="center"/>
          </w:tcPr>
          <w:p w14:paraId="15D3DD45">
            <w:pPr>
              <w:pStyle w:val="17"/>
              <w:bidi w:val="0"/>
              <w:rPr>
                <w:color w:val="auto"/>
                <w:highlight w:val="none"/>
              </w:rPr>
            </w:pPr>
          </w:p>
        </w:tc>
      </w:tr>
      <w:tr w14:paraId="2FD5E74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60D115C7">
            <w:pPr>
              <w:pStyle w:val="17"/>
              <w:bidi w:val="0"/>
              <w:rPr>
                <w:rFonts w:hint="default"/>
                <w:color w:val="auto"/>
                <w:highlight w:val="none"/>
                <w:lang w:val="en-US" w:eastAsia="zh-CN"/>
              </w:rPr>
            </w:pPr>
            <w:r>
              <w:rPr>
                <w:rFonts w:hint="eastAsia"/>
                <w:color w:val="auto"/>
                <w:highlight w:val="none"/>
                <w:lang w:val="en-US" w:eastAsia="zh-CN"/>
              </w:rPr>
              <w:t>20</w:t>
            </w:r>
          </w:p>
        </w:tc>
        <w:tc>
          <w:tcPr>
            <w:tcW w:w="1822" w:type="pct"/>
            <w:tcBorders>
              <w:tl2br w:val="nil"/>
              <w:tr2bl w:val="nil"/>
            </w:tcBorders>
            <w:vAlign w:val="center"/>
          </w:tcPr>
          <w:p w14:paraId="611A111A">
            <w:pPr>
              <w:pStyle w:val="17"/>
              <w:bidi w:val="0"/>
              <w:rPr>
                <w:rFonts w:hint="eastAsia"/>
                <w:color w:val="auto"/>
                <w:highlight w:val="none"/>
                <w:lang w:val="en-US" w:eastAsia="zh-CN"/>
              </w:rPr>
            </w:pPr>
            <w:r>
              <w:rPr>
                <w:rFonts w:hint="eastAsia"/>
                <w:color w:val="auto"/>
                <w:highlight w:val="none"/>
                <w:lang w:val="en-US" w:eastAsia="zh-CN"/>
              </w:rPr>
              <w:t>天井钻机</w:t>
            </w:r>
          </w:p>
        </w:tc>
        <w:tc>
          <w:tcPr>
            <w:tcW w:w="1754" w:type="pct"/>
            <w:tcBorders>
              <w:tl2br w:val="nil"/>
              <w:tr2bl w:val="nil"/>
            </w:tcBorders>
            <w:vAlign w:val="center"/>
          </w:tcPr>
          <w:p w14:paraId="69B52928">
            <w:pPr>
              <w:pStyle w:val="17"/>
              <w:bidi w:val="0"/>
              <w:rPr>
                <w:rFonts w:hint="default"/>
                <w:color w:val="auto"/>
                <w:highlight w:val="none"/>
                <w:lang w:val="en-US" w:eastAsia="zh-CN"/>
              </w:rPr>
            </w:pPr>
            <w:r>
              <w:rPr>
                <w:rFonts w:hint="eastAsia"/>
                <w:color w:val="auto"/>
                <w:highlight w:val="none"/>
                <w:lang w:val="en-US" w:eastAsia="zh-CN"/>
              </w:rPr>
              <w:t>AT-3000</w:t>
            </w:r>
          </w:p>
        </w:tc>
        <w:tc>
          <w:tcPr>
            <w:tcW w:w="275" w:type="pct"/>
            <w:tcBorders>
              <w:tl2br w:val="nil"/>
              <w:tr2bl w:val="nil"/>
            </w:tcBorders>
            <w:vAlign w:val="center"/>
          </w:tcPr>
          <w:p w14:paraId="14A494F4">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63CF0D18">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021AFE97">
            <w:pPr>
              <w:pStyle w:val="17"/>
              <w:bidi w:val="0"/>
              <w:rPr>
                <w:color w:val="auto"/>
                <w:highlight w:val="none"/>
              </w:rPr>
            </w:pPr>
          </w:p>
        </w:tc>
      </w:tr>
      <w:tr w14:paraId="6F68A5B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750D98BA">
            <w:pPr>
              <w:pStyle w:val="17"/>
              <w:bidi w:val="0"/>
              <w:rPr>
                <w:rFonts w:hint="default"/>
                <w:color w:val="auto"/>
                <w:highlight w:val="none"/>
                <w:lang w:val="en-US" w:eastAsia="zh-CN"/>
              </w:rPr>
            </w:pPr>
            <w:r>
              <w:rPr>
                <w:rFonts w:hint="eastAsia"/>
                <w:color w:val="auto"/>
                <w:highlight w:val="none"/>
                <w:lang w:val="en-US" w:eastAsia="zh-CN"/>
              </w:rPr>
              <w:t>21</w:t>
            </w:r>
          </w:p>
        </w:tc>
        <w:tc>
          <w:tcPr>
            <w:tcW w:w="1822" w:type="pct"/>
            <w:tcBorders>
              <w:tl2br w:val="nil"/>
              <w:tr2bl w:val="nil"/>
            </w:tcBorders>
            <w:vAlign w:val="center"/>
          </w:tcPr>
          <w:p w14:paraId="46BC92AF">
            <w:pPr>
              <w:pStyle w:val="17"/>
              <w:bidi w:val="0"/>
              <w:rPr>
                <w:rFonts w:hint="eastAsia"/>
                <w:color w:val="auto"/>
                <w:highlight w:val="none"/>
                <w:lang w:val="en-US" w:eastAsia="zh-CN"/>
              </w:rPr>
            </w:pPr>
            <w:r>
              <w:rPr>
                <w:rFonts w:hint="eastAsia"/>
                <w:color w:val="auto"/>
                <w:highlight w:val="none"/>
                <w:lang w:val="en-US" w:eastAsia="zh-CN"/>
              </w:rPr>
              <w:t>阻燃风筒</w:t>
            </w:r>
          </w:p>
        </w:tc>
        <w:tc>
          <w:tcPr>
            <w:tcW w:w="1754" w:type="pct"/>
            <w:tcBorders>
              <w:tl2br w:val="nil"/>
              <w:tr2bl w:val="nil"/>
            </w:tcBorders>
            <w:vAlign w:val="center"/>
          </w:tcPr>
          <w:p w14:paraId="3E5EA485">
            <w:pPr>
              <w:pStyle w:val="17"/>
              <w:bidi w:val="0"/>
              <w:rPr>
                <w:rFonts w:hint="default"/>
                <w:color w:val="auto"/>
                <w:highlight w:val="none"/>
                <w:lang w:val="en-US" w:eastAsia="zh-CN"/>
              </w:rPr>
            </w:pPr>
            <w:r>
              <w:rPr>
                <w:rFonts w:hint="eastAsia"/>
                <w:color w:val="auto"/>
                <w:highlight w:val="none"/>
                <w:lang w:val="en-US" w:eastAsia="zh-CN"/>
              </w:rPr>
              <w:t>DN700mm</w:t>
            </w:r>
          </w:p>
        </w:tc>
        <w:tc>
          <w:tcPr>
            <w:tcW w:w="275" w:type="pct"/>
            <w:tcBorders>
              <w:tl2br w:val="nil"/>
              <w:tr2bl w:val="nil"/>
            </w:tcBorders>
            <w:vAlign w:val="center"/>
          </w:tcPr>
          <w:p w14:paraId="2AABAC66">
            <w:pPr>
              <w:pStyle w:val="17"/>
              <w:bidi w:val="0"/>
              <w:rPr>
                <w:rFonts w:hint="default"/>
                <w:color w:val="auto"/>
                <w:highlight w:val="none"/>
                <w:lang w:val="en-US" w:eastAsia="zh-CN"/>
              </w:rPr>
            </w:pPr>
            <w:r>
              <w:rPr>
                <w:rFonts w:hint="eastAsia"/>
                <w:color w:val="auto"/>
                <w:highlight w:val="none"/>
                <w:lang w:val="en-US" w:eastAsia="zh-CN"/>
              </w:rPr>
              <w:t>m</w:t>
            </w:r>
          </w:p>
        </w:tc>
        <w:tc>
          <w:tcPr>
            <w:tcW w:w="257" w:type="pct"/>
            <w:tcBorders>
              <w:tl2br w:val="nil"/>
              <w:tr2bl w:val="nil"/>
            </w:tcBorders>
            <w:vAlign w:val="center"/>
          </w:tcPr>
          <w:p w14:paraId="45B078A4">
            <w:pPr>
              <w:pStyle w:val="17"/>
              <w:bidi w:val="0"/>
              <w:rPr>
                <w:rFonts w:hint="default"/>
                <w:color w:val="auto"/>
                <w:highlight w:val="none"/>
                <w:lang w:val="en-US" w:eastAsia="zh-CN"/>
              </w:rPr>
            </w:pPr>
            <w:r>
              <w:rPr>
                <w:rFonts w:hint="eastAsia"/>
                <w:color w:val="auto"/>
                <w:highlight w:val="none"/>
                <w:lang w:val="en-US" w:eastAsia="zh-CN"/>
              </w:rPr>
              <w:t>2000</w:t>
            </w:r>
          </w:p>
        </w:tc>
        <w:tc>
          <w:tcPr>
            <w:tcW w:w="597" w:type="pct"/>
            <w:tcBorders>
              <w:tl2br w:val="nil"/>
              <w:tr2bl w:val="nil"/>
            </w:tcBorders>
            <w:vAlign w:val="center"/>
          </w:tcPr>
          <w:p w14:paraId="10504628">
            <w:pPr>
              <w:pStyle w:val="17"/>
              <w:bidi w:val="0"/>
              <w:rPr>
                <w:color w:val="auto"/>
                <w:highlight w:val="none"/>
              </w:rPr>
            </w:pPr>
          </w:p>
        </w:tc>
      </w:tr>
      <w:tr w14:paraId="19DC8BB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691B3E6B">
            <w:pPr>
              <w:pStyle w:val="17"/>
              <w:bidi w:val="0"/>
              <w:rPr>
                <w:rFonts w:hint="default"/>
                <w:color w:val="auto"/>
                <w:highlight w:val="none"/>
                <w:lang w:val="en-US" w:eastAsia="zh-CN"/>
              </w:rPr>
            </w:pPr>
            <w:r>
              <w:rPr>
                <w:rFonts w:hint="eastAsia"/>
                <w:color w:val="auto"/>
                <w:highlight w:val="none"/>
                <w:lang w:val="en-US" w:eastAsia="zh-CN"/>
              </w:rPr>
              <w:t>22</w:t>
            </w:r>
          </w:p>
        </w:tc>
        <w:tc>
          <w:tcPr>
            <w:tcW w:w="1822" w:type="pct"/>
            <w:tcBorders>
              <w:tl2br w:val="nil"/>
              <w:tr2bl w:val="nil"/>
            </w:tcBorders>
            <w:vAlign w:val="center"/>
          </w:tcPr>
          <w:p w14:paraId="6DDB3AEB">
            <w:pPr>
              <w:pStyle w:val="17"/>
              <w:bidi w:val="0"/>
              <w:rPr>
                <w:rFonts w:hint="eastAsia"/>
                <w:color w:val="auto"/>
                <w:highlight w:val="none"/>
                <w:lang w:val="en-US" w:eastAsia="zh-CN"/>
              </w:rPr>
            </w:pPr>
            <w:r>
              <w:rPr>
                <w:rFonts w:hint="eastAsia"/>
                <w:color w:val="auto"/>
                <w:highlight w:val="none"/>
                <w:lang w:val="en-US" w:eastAsia="zh-CN"/>
              </w:rPr>
              <w:t>主风机</w:t>
            </w:r>
          </w:p>
        </w:tc>
        <w:tc>
          <w:tcPr>
            <w:tcW w:w="1754" w:type="pct"/>
            <w:tcBorders>
              <w:tl2br w:val="nil"/>
              <w:tr2bl w:val="nil"/>
            </w:tcBorders>
            <w:vAlign w:val="center"/>
          </w:tcPr>
          <w:p w14:paraId="2709BFBF">
            <w:pPr>
              <w:pStyle w:val="17"/>
              <w:bidi w:val="0"/>
              <w:rPr>
                <w:rFonts w:hint="default"/>
                <w:color w:val="auto"/>
                <w:highlight w:val="none"/>
                <w:lang w:val="en-US" w:eastAsia="zh-CN"/>
              </w:rPr>
            </w:pPr>
            <w:r>
              <w:rPr>
                <w:rFonts w:hint="eastAsia"/>
                <w:color w:val="auto"/>
                <w:highlight w:val="none"/>
                <w:lang w:val="en-US" w:eastAsia="zh-CN"/>
              </w:rPr>
              <w:t>FKCDZNo28/2×500</w:t>
            </w:r>
          </w:p>
        </w:tc>
        <w:tc>
          <w:tcPr>
            <w:tcW w:w="275" w:type="pct"/>
            <w:tcBorders>
              <w:tl2br w:val="nil"/>
              <w:tr2bl w:val="nil"/>
            </w:tcBorders>
            <w:vAlign w:val="center"/>
          </w:tcPr>
          <w:p w14:paraId="74FD2B3E">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7B2B4552">
            <w:pPr>
              <w:pStyle w:val="17"/>
              <w:bidi w:val="0"/>
              <w:rPr>
                <w:rFonts w:hint="default"/>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00C6B729">
            <w:pPr>
              <w:pStyle w:val="17"/>
              <w:bidi w:val="0"/>
              <w:rPr>
                <w:color w:val="auto"/>
                <w:highlight w:val="none"/>
              </w:rPr>
            </w:pPr>
          </w:p>
        </w:tc>
      </w:tr>
      <w:tr w14:paraId="036F4FC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0B43468">
            <w:pPr>
              <w:pStyle w:val="17"/>
              <w:bidi w:val="0"/>
              <w:rPr>
                <w:rFonts w:hint="default"/>
                <w:color w:val="auto"/>
                <w:highlight w:val="none"/>
                <w:lang w:val="en-US" w:eastAsia="zh-CN"/>
              </w:rPr>
            </w:pPr>
            <w:r>
              <w:rPr>
                <w:rFonts w:hint="eastAsia"/>
                <w:color w:val="auto"/>
                <w:highlight w:val="none"/>
                <w:lang w:val="en-US" w:eastAsia="zh-CN"/>
              </w:rPr>
              <w:t>23</w:t>
            </w:r>
          </w:p>
        </w:tc>
        <w:tc>
          <w:tcPr>
            <w:tcW w:w="1822" w:type="pct"/>
            <w:tcBorders>
              <w:tl2br w:val="nil"/>
              <w:tr2bl w:val="nil"/>
            </w:tcBorders>
            <w:vAlign w:val="center"/>
          </w:tcPr>
          <w:p w14:paraId="65E296AE">
            <w:pPr>
              <w:pStyle w:val="17"/>
              <w:bidi w:val="0"/>
              <w:rPr>
                <w:rFonts w:hint="eastAsia"/>
                <w:color w:val="auto"/>
                <w:highlight w:val="none"/>
                <w:lang w:val="en-US" w:eastAsia="zh-CN"/>
              </w:rPr>
            </w:pPr>
            <w:r>
              <w:rPr>
                <w:rFonts w:hint="eastAsia"/>
                <w:color w:val="auto"/>
                <w:highlight w:val="none"/>
                <w:lang w:val="en-US" w:eastAsia="zh-CN"/>
              </w:rPr>
              <w:t>交流弧焊机</w:t>
            </w:r>
          </w:p>
        </w:tc>
        <w:tc>
          <w:tcPr>
            <w:tcW w:w="1754" w:type="pct"/>
            <w:tcBorders>
              <w:tl2br w:val="nil"/>
              <w:tr2bl w:val="nil"/>
            </w:tcBorders>
            <w:vAlign w:val="center"/>
          </w:tcPr>
          <w:p w14:paraId="1A3A8B16">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349A37A9">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ABAA2F4">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15CD2D3D">
            <w:pPr>
              <w:pStyle w:val="17"/>
              <w:bidi w:val="0"/>
              <w:rPr>
                <w:color w:val="auto"/>
                <w:highlight w:val="none"/>
              </w:rPr>
            </w:pPr>
          </w:p>
        </w:tc>
      </w:tr>
      <w:tr w14:paraId="74224A5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18DB13C7">
            <w:pPr>
              <w:pStyle w:val="17"/>
              <w:bidi w:val="0"/>
              <w:rPr>
                <w:rFonts w:hint="default"/>
                <w:color w:val="auto"/>
                <w:highlight w:val="none"/>
                <w:lang w:val="en-US" w:eastAsia="zh-CN"/>
              </w:rPr>
            </w:pPr>
            <w:r>
              <w:rPr>
                <w:rFonts w:hint="eastAsia"/>
                <w:color w:val="auto"/>
                <w:highlight w:val="none"/>
                <w:lang w:val="en-US" w:eastAsia="zh-CN"/>
              </w:rPr>
              <w:t>24</w:t>
            </w:r>
          </w:p>
        </w:tc>
        <w:tc>
          <w:tcPr>
            <w:tcW w:w="1822" w:type="pct"/>
            <w:tcBorders>
              <w:tl2br w:val="nil"/>
              <w:tr2bl w:val="nil"/>
            </w:tcBorders>
            <w:vAlign w:val="center"/>
          </w:tcPr>
          <w:p w14:paraId="32CDF567">
            <w:pPr>
              <w:pStyle w:val="17"/>
              <w:bidi w:val="0"/>
              <w:rPr>
                <w:rFonts w:hint="eastAsia"/>
                <w:color w:val="auto"/>
                <w:highlight w:val="none"/>
                <w:lang w:val="en-US" w:eastAsia="zh-CN"/>
              </w:rPr>
            </w:pPr>
            <w:r>
              <w:rPr>
                <w:rFonts w:hint="eastAsia"/>
                <w:color w:val="auto"/>
                <w:highlight w:val="none"/>
                <w:lang w:val="en-US" w:eastAsia="zh-CN"/>
              </w:rPr>
              <w:t>氢氧焊割机</w:t>
            </w:r>
          </w:p>
        </w:tc>
        <w:tc>
          <w:tcPr>
            <w:tcW w:w="1754" w:type="pct"/>
            <w:tcBorders>
              <w:tl2br w:val="nil"/>
              <w:tr2bl w:val="nil"/>
            </w:tcBorders>
            <w:vAlign w:val="center"/>
          </w:tcPr>
          <w:p w14:paraId="477893A2">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7162ACB1">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2DC7BB2">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1BFAABA1">
            <w:pPr>
              <w:pStyle w:val="17"/>
              <w:bidi w:val="0"/>
              <w:rPr>
                <w:color w:val="auto"/>
                <w:highlight w:val="none"/>
              </w:rPr>
            </w:pPr>
          </w:p>
        </w:tc>
      </w:tr>
      <w:tr w14:paraId="219979E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A59B060">
            <w:pPr>
              <w:pStyle w:val="17"/>
              <w:bidi w:val="0"/>
              <w:rPr>
                <w:rFonts w:hint="default"/>
                <w:color w:val="auto"/>
                <w:highlight w:val="none"/>
                <w:lang w:val="en-US" w:eastAsia="zh-CN"/>
              </w:rPr>
            </w:pPr>
            <w:r>
              <w:rPr>
                <w:rFonts w:hint="eastAsia"/>
                <w:color w:val="auto"/>
                <w:highlight w:val="none"/>
                <w:lang w:val="en-US" w:eastAsia="zh-CN"/>
              </w:rPr>
              <w:t>25</w:t>
            </w:r>
          </w:p>
        </w:tc>
        <w:tc>
          <w:tcPr>
            <w:tcW w:w="1822" w:type="pct"/>
            <w:tcBorders>
              <w:tl2br w:val="nil"/>
              <w:tr2bl w:val="nil"/>
            </w:tcBorders>
            <w:vAlign w:val="center"/>
          </w:tcPr>
          <w:p w14:paraId="4E3BBFDB">
            <w:pPr>
              <w:pStyle w:val="17"/>
              <w:bidi w:val="0"/>
              <w:rPr>
                <w:rFonts w:hint="eastAsia"/>
                <w:color w:val="auto"/>
                <w:highlight w:val="none"/>
                <w:lang w:val="en-US" w:eastAsia="zh-CN"/>
              </w:rPr>
            </w:pPr>
            <w:r>
              <w:rPr>
                <w:rFonts w:hint="eastAsia"/>
                <w:color w:val="auto"/>
                <w:highlight w:val="none"/>
                <w:lang w:val="en-US" w:eastAsia="zh-CN"/>
              </w:rPr>
              <w:t>移动式万向摇臂钻床</w:t>
            </w:r>
          </w:p>
        </w:tc>
        <w:tc>
          <w:tcPr>
            <w:tcW w:w="1754" w:type="pct"/>
            <w:tcBorders>
              <w:tl2br w:val="nil"/>
              <w:tr2bl w:val="nil"/>
            </w:tcBorders>
            <w:vAlign w:val="center"/>
          </w:tcPr>
          <w:p w14:paraId="25F7C365">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2C8650F4">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38A216F4">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75832A39">
            <w:pPr>
              <w:pStyle w:val="17"/>
              <w:bidi w:val="0"/>
              <w:rPr>
                <w:color w:val="auto"/>
                <w:highlight w:val="none"/>
              </w:rPr>
            </w:pPr>
          </w:p>
        </w:tc>
      </w:tr>
      <w:tr w14:paraId="15E362A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72B2A597">
            <w:pPr>
              <w:pStyle w:val="17"/>
              <w:bidi w:val="0"/>
              <w:rPr>
                <w:rFonts w:hint="default"/>
                <w:color w:val="auto"/>
                <w:highlight w:val="none"/>
                <w:lang w:val="en-US" w:eastAsia="zh-CN"/>
              </w:rPr>
            </w:pPr>
            <w:r>
              <w:rPr>
                <w:rFonts w:hint="eastAsia"/>
                <w:color w:val="auto"/>
                <w:highlight w:val="none"/>
                <w:lang w:val="en-US" w:eastAsia="zh-CN"/>
              </w:rPr>
              <w:t>26</w:t>
            </w:r>
          </w:p>
        </w:tc>
        <w:tc>
          <w:tcPr>
            <w:tcW w:w="1822" w:type="pct"/>
            <w:tcBorders>
              <w:tl2br w:val="nil"/>
              <w:tr2bl w:val="nil"/>
            </w:tcBorders>
            <w:vAlign w:val="center"/>
          </w:tcPr>
          <w:p w14:paraId="06B7C397">
            <w:pPr>
              <w:pStyle w:val="17"/>
              <w:bidi w:val="0"/>
              <w:rPr>
                <w:rFonts w:hint="eastAsia"/>
                <w:color w:val="auto"/>
                <w:highlight w:val="none"/>
                <w:lang w:val="en-US" w:eastAsia="zh-CN"/>
              </w:rPr>
            </w:pPr>
            <w:r>
              <w:rPr>
                <w:rFonts w:hint="eastAsia"/>
                <w:color w:val="auto"/>
                <w:highlight w:val="none"/>
                <w:lang w:val="en-US" w:eastAsia="zh-CN"/>
              </w:rPr>
              <w:t>钻铣床</w:t>
            </w:r>
          </w:p>
        </w:tc>
        <w:tc>
          <w:tcPr>
            <w:tcW w:w="1754" w:type="pct"/>
            <w:tcBorders>
              <w:tl2br w:val="nil"/>
              <w:tr2bl w:val="nil"/>
            </w:tcBorders>
            <w:vAlign w:val="center"/>
          </w:tcPr>
          <w:p w14:paraId="6CD7F38A">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3F140A81">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005EE69C">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4F024207">
            <w:pPr>
              <w:pStyle w:val="17"/>
              <w:bidi w:val="0"/>
              <w:rPr>
                <w:color w:val="auto"/>
                <w:highlight w:val="none"/>
              </w:rPr>
            </w:pPr>
          </w:p>
        </w:tc>
      </w:tr>
      <w:tr w14:paraId="6BC163B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3BE0243C">
            <w:pPr>
              <w:pStyle w:val="17"/>
              <w:bidi w:val="0"/>
              <w:rPr>
                <w:rFonts w:hint="default"/>
                <w:color w:val="auto"/>
                <w:highlight w:val="none"/>
                <w:lang w:val="en-US" w:eastAsia="zh-CN"/>
              </w:rPr>
            </w:pPr>
            <w:r>
              <w:rPr>
                <w:rFonts w:hint="eastAsia"/>
                <w:color w:val="auto"/>
                <w:highlight w:val="none"/>
                <w:lang w:val="en-US" w:eastAsia="zh-CN"/>
              </w:rPr>
              <w:t>27</w:t>
            </w:r>
          </w:p>
        </w:tc>
        <w:tc>
          <w:tcPr>
            <w:tcW w:w="1822" w:type="pct"/>
            <w:tcBorders>
              <w:tl2br w:val="nil"/>
              <w:tr2bl w:val="nil"/>
            </w:tcBorders>
            <w:vAlign w:val="center"/>
          </w:tcPr>
          <w:p w14:paraId="760ACA94">
            <w:pPr>
              <w:pStyle w:val="17"/>
              <w:bidi w:val="0"/>
              <w:rPr>
                <w:rFonts w:hint="eastAsia"/>
                <w:color w:val="auto"/>
                <w:highlight w:val="none"/>
                <w:lang w:val="en-US" w:eastAsia="zh-CN"/>
              </w:rPr>
            </w:pPr>
            <w:r>
              <w:rPr>
                <w:rFonts w:hint="eastAsia"/>
                <w:color w:val="auto"/>
                <w:highlight w:val="none"/>
                <w:lang w:val="en-US" w:eastAsia="zh-CN"/>
              </w:rPr>
              <w:t>台式钻床</w:t>
            </w:r>
          </w:p>
        </w:tc>
        <w:tc>
          <w:tcPr>
            <w:tcW w:w="1754" w:type="pct"/>
            <w:tcBorders>
              <w:tl2br w:val="nil"/>
              <w:tr2bl w:val="nil"/>
            </w:tcBorders>
            <w:vAlign w:val="center"/>
          </w:tcPr>
          <w:p w14:paraId="0737D69C">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431AB3DD">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64E7D6ED">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1B310433">
            <w:pPr>
              <w:pStyle w:val="17"/>
              <w:bidi w:val="0"/>
              <w:rPr>
                <w:color w:val="auto"/>
                <w:highlight w:val="none"/>
              </w:rPr>
            </w:pPr>
          </w:p>
        </w:tc>
      </w:tr>
      <w:tr w14:paraId="3A87FE0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9DDE05F">
            <w:pPr>
              <w:pStyle w:val="17"/>
              <w:bidi w:val="0"/>
              <w:rPr>
                <w:rFonts w:hint="default"/>
                <w:color w:val="auto"/>
                <w:highlight w:val="none"/>
                <w:lang w:val="en-US" w:eastAsia="zh-CN"/>
              </w:rPr>
            </w:pPr>
            <w:r>
              <w:rPr>
                <w:rFonts w:hint="eastAsia"/>
                <w:color w:val="auto"/>
                <w:highlight w:val="none"/>
                <w:lang w:val="en-US" w:eastAsia="zh-CN"/>
              </w:rPr>
              <w:t>28</w:t>
            </w:r>
          </w:p>
        </w:tc>
        <w:tc>
          <w:tcPr>
            <w:tcW w:w="1822" w:type="pct"/>
            <w:tcBorders>
              <w:tl2br w:val="nil"/>
              <w:tr2bl w:val="nil"/>
            </w:tcBorders>
            <w:vAlign w:val="center"/>
          </w:tcPr>
          <w:p w14:paraId="4D71F4C5">
            <w:pPr>
              <w:pStyle w:val="17"/>
              <w:bidi w:val="0"/>
              <w:rPr>
                <w:rFonts w:hint="eastAsia"/>
                <w:color w:val="auto"/>
                <w:highlight w:val="none"/>
                <w:lang w:val="en-US" w:eastAsia="zh-CN"/>
              </w:rPr>
            </w:pPr>
            <w:r>
              <w:rPr>
                <w:rFonts w:hint="eastAsia"/>
                <w:color w:val="auto"/>
                <w:highlight w:val="none"/>
                <w:lang w:val="en-US" w:eastAsia="zh-CN"/>
              </w:rPr>
              <w:t>台式砂轮机</w:t>
            </w:r>
          </w:p>
        </w:tc>
        <w:tc>
          <w:tcPr>
            <w:tcW w:w="1754" w:type="pct"/>
            <w:tcBorders>
              <w:tl2br w:val="nil"/>
              <w:tr2bl w:val="nil"/>
            </w:tcBorders>
            <w:vAlign w:val="center"/>
          </w:tcPr>
          <w:p w14:paraId="117F9D2A">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5D4CE354">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CF822DD">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07A54270">
            <w:pPr>
              <w:pStyle w:val="17"/>
              <w:bidi w:val="0"/>
              <w:rPr>
                <w:color w:val="auto"/>
                <w:highlight w:val="none"/>
              </w:rPr>
            </w:pPr>
          </w:p>
        </w:tc>
      </w:tr>
      <w:tr w14:paraId="6FE87C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1131CAFA">
            <w:pPr>
              <w:pStyle w:val="17"/>
              <w:bidi w:val="0"/>
              <w:rPr>
                <w:rFonts w:hint="default"/>
                <w:color w:val="auto"/>
                <w:highlight w:val="none"/>
                <w:lang w:val="en-US" w:eastAsia="zh-CN"/>
              </w:rPr>
            </w:pPr>
            <w:r>
              <w:rPr>
                <w:rFonts w:hint="eastAsia"/>
                <w:color w:val="auto"/>
                <w:highlight w:val="none"/>
                <w:lang w:val="en-US" w:eastAsia="zh-CN"/>
              </w:rPr>
              <w:t>29</w:t>
            </w:r>
          </w:p>
        </w:tc>
        <w:tc>
          <w:tcPr>
            <w:tcW w:w="1822" w:type="pct"/>
            <w:tcBorders>
              <w:tl2br w:val="nil"/>
              <w:tr2bl w:val="nil"/>
            </w:tcBorders>
            <w:vAlign w:val="center"/>
          </w:tcPr>
          <w:p w14:paraId="05381A67">
            <w:pPr>
              <w:pStyle w:val="17"/>
              <w:bidi w:val="0"/>
              <w:rPr>
                <w:rFonts w:hint="eastAsia"/>
                <w:color w:val="auto"/>
                <w:highlight w:val="none"/>
                <w:lang w:val="en-US" w:eastAsia="zh-CN"/>
              </w:rPr>
            </w:pPr>
            <w:r>
              <w:rPr>
                <w:rFonts w:hint="eastAsia"/>
                <w:color w:val="auto"/>
                <w:highlight w:val="none"/>
                <w:lang w:val="en-US" w:eastAsia="zh-CN"/>
              </w:rPr>
              <w:t>潜水泵</w:t>
            </w:r>
          </w:p>
        </w:tc>
        <w:tc>
          <w:tcPr>
            <w:tcW w:w="1754" w:type="pct"/>
            <w:tcBorders>
              <w:tl2br w:val="nil"/>
              <w:tr2bl w:val="nil"/>
            </w:tcBorders>
            <w:vAlign w:val="center"/>
          </w:tcPr>
          <w:p w14:paraId="70E309FA">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715A9534">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EC6BD63">
            <w:pPr>
              <w:pStyle w:val="17"/>
              <w:bidi w:val="0"/>
              <w:rPr>
                <w:rFonts w:hint="default"/>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7CF17158">
            <w:pPr>
              <w:pStyle w:val="17"/>
              <w:bidi w:val="0"/>
              <w:rPr>
                <w:color w:val="auto"/>
                <w:highlight w:val="none"/>
              </w:rPr>
            </w:pPr>
          </w:p>
        </w:tc>
      </w:tr>
      <w:tr w14:paraId="0163EA9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l2br w:val="nil"/>
              <w:tr2bl w:val="nil"/>
            </w:tcBorders>
            <w:vAlign w:val="center"/>
          </w:tcPr>
          <w:p w14:paraId="02D14E78">
            <w:pPr>
              <w:pStyle w:val="17"/>
              <w:bidi w:val="0"/>
              <w:rPr>
                <w:rFonts w:hint="default"/>
                <w:color w:val="auto"/>
                <w:highlight w:val="none"/>
                <w:lang w:val="en-US" w:eastAsia="zh-CN"/>
              </w:rPr>
            </w:pPr>
            <w:r>
              <w:rPr>
                <w:rFonts w:hint="eastAsia"/>
                <w:color w:val="auto"/>
                <w:highlight w:val="none"/>
                <w:lang w:val="en-US" w:eastAsia="zh-CN"/>
              </w:rPr>
              <w:t>坑内运输</w:t>
            </w:r>
          </w:p>
        </w:tc>
      </w:tr>
      <w:tr w14:paraId="1E4D6E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75F563EB">
            <w:pPr>
              <w:pStyle w:val="17"/>
              <w:bidi w:val="0"/>
              <w:rPr>
                <w:color w:val="auto"/>
                <w:highlight w:val="none"/>
              </w:rPr>
            </w:pPr>
            <w:r>
              <w:rPr>
                <w:rFonts w:hint="eastAsia"/>
                <w:color w:val="auto"/>
                <w:highlight w:val="none"/>
                <w:lang w:val="en-US" w:eastAsia="zh-CN"/>
              </w:rPr>
              <w:t>1</w:t>
            </w:r>
          </w:p>
        </w:tc>
        <w:tc>
          <w:tcPr>
            <w:tcW w:w="1822" w:type="pct"/>
            <w:tcBorders>
              <w:tl2br w:val="nil"/>
              <w:tr2bl w:val="nil"/>
            </w:tcBorders>
            <w:vAlign w:val="center"/>
          </w:tcPr>
          <w:p w14:paraId="2009B420">
            <w:pPr>
              <w:pStyle w:val="17"/>
              <w:bidi w:val="0"/>
              <w:rPr>
                <w:color w:val="auto"/>
                <w:highlight w:val="none"/>
              </w:rPr>
            </w:pPr>
            <w:r>
              <w:rPr>
                <w:rFonts w:hint="eastAsia"/>
                <w:color w:val="auto"/>
                <w:highlight w:val="none"/>
                <w:lang w:val="en-US" w:eastAsia="zh-CN"/>
              </w:rPr>
              <w:t>电机车</w:t>
            </w:r>
          </w:p>
        </w:tc>
        <w:tc>
          <w:tcPr>
            <w:tcW w:w="1754" w:type="pct"/>
            <w:tcBorders>
              <w:tl2br w:val="nil"/>
              <w:tr2bl w:val="nil"/>
            </w:tcBorders>
            <w:vAlign w:val="center"/>
          </w:tcPr>
          <w:p w14:paraId="2F4474E3">
            <w:pPr>
              <w:pStyle w:val="17"/>
              <w:bidi w:val="0"/>
              <w:rPr>
                <w:color w:val="auto"/>
                <w:highlight w:val="none"/>
              </w:rPr>
            </w:pPr>
            <w:r>
              <w:rPr>
                <w:rFonts w:hint="eastAsia"/>
                <w:color w:val="auto"/>
                <w:highlight w:val="none"/>
                <w:lang w:val="en-US" w:eastAsia="zh-CN"/>
              </w:rPr>
              <w:t>ZK10-7/550V</w:t>
            </w:r>
          </w:p>
        </w:tc>
        <w:tc>
          <w:tcPr>
            <w:tcW w:w="275" w:type="pct"/>
            <w:tcBorders>
              <w:tl2br w:val="nil"/>
              <w:tr2bl w:val="nil"/>
            </w:tcBorders>
            <w:vAlign w:val="center"/>
          </w:tcPr>
          <w:p w14:paraId="67CD7BA8">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440B2105">
            <w:pPr>
              <w:pStyle w:val="17"/>
              <w:bidi w:val="0"/>
              <w:rPr>
                <w:rFonts w:hint="eastAsia"/>
                <w:color w:val="auto"/>
                <w:highlight w:val="none"/>
                <w:lang w:val="en-US" w:eastAsia="zh-CN"/>
              </w:rPr>
            </w:pPr>
            <w:r>
              <w:rPr>
                <w:rFonts w:hint="eastAsia"/>
                <w:color w:val="auto"/>
                <w:highlight w:val="none"/>
                <w:lang w:val="en-US" w:eastAsia="zh-CN"/>
              </w:rPr>
              <w:t>8</w:t>
            </w:r>
          </w:p>
        </w:tc>
        <w:tc>
          <w:tcPr>
            <w:tcW w:w="597" w:type="pct"/>
            <w:tcBorders>
              <w:tl2br w:val="nil"/>
              <w:tr2bl w:val="nil"/>
            </w:tcBorders>
            <w:vAlign w:val="center"/>
          </w:tcPr>
          <w:p w14:paraId="6E88DB02">
            <w:pPr>
              <w:pStyle w:val="17"/>
              <w:bidi w:val="0"/>
              <w:rPr>
                <w:color w:val="auto"/>
                <w:highlight w:val="none"/>
              </w:rPr>
            </w:pPr>
          </w:p>
        </w:tc>
      </w:tr>
      <w:tr w14:paraId="1B06E73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A2F5DDA">
            <w:pPr>
              <w:pStyle w:val="17"/>
              <w:bidi w:val="0"/>
              <w:rPr>
                <w:rFonts w:hint="eastAsia"/>
                <w:color w:val="auto"/>
                <w:highlight w:val="none"/>
                <w:lang w:val="en-US" w:eastAsia="zh-CN"/>
              </w:rPr>
            </w:pPr>
            <w:r>
              <w:rPr>
                <w:rFonts w:hint="eastAsia"/>
                <w:color w:val="auto"/>
                <w:highlight w:val="none"/>
                <w:lang w:val="en-US" w:eastAsia="zh-CN"/>
              </w:rPr>
              <w:t>2</w:t>
            </w:r>
          </w:p>
        </w:tc>
        <w:tc>
          <w:tcPr>
            <w:tcW w:w="1822" w:type="pct"/>
            <w:tcBorders>
              <w:tl2br w:val="nil"/>
              <w:tr2bl w:val="nil"/>
            </w:tcBorders>
            <w:vAlign w:val="center"/>
          </w:tcPr>
          <w:p w14:paraId="2E60FD0C">
            <w:pPr>
              <w:pStyle w:val="17"/>
              <w:bidi w:val="0"/>
              <w:rPr>
                <w:color w:val="auto"/>
                <w:highlight w:val="none"/>
              </w:rPr>
            </w:pPr>
            <w:r>
              <w:rPr>
                <w:rFonts w:hint="eastAsia"/>
                <w:color w:val="auto"/>
                <w:highlight w:val="none"/>
                <w:lang w:val="en-US" w:eastAsia="zh-CN"/>
              </w:rPr>
              <w:t>底侧卸式矿车</w:t>
            </w:r>
          </w:p>
        </w:tc>
        <w:tc>
          <w:tcPr>
            <w:tcW w:w="1754" w:type="pct"/>
            <w:tcBorders>
              <w:tl2br w:val="nil"/>
              <w:tr2bl w:val="nil"/>
            </w:tcBorders>
            <w:vAlign w:val="center"/>
          </w:tcPr>
          <w:p w14:paraId="2FB4C5B7">
            <w:pPr>
              <w:pStyle w:val="17"/>
              <w:bidi w:val="0"/>
              <w:rPr>
                <w:color w:val="auto"/>
                <w:highlight w:val="none"/>
              </w:rPr>
            </w:pPr>
            <w:r>
              <w:rPr>
                <w:rFonts w:hint="eastAsia"/>
                <w:color w:val="auto"/>
                <w:highlight w:val="none"/>
                <w:lang w:val="en-US" w:eastAsia="zh-CN"/>
              </w:rPr>
              <w:t>4m</w:t>
            </w:r>
            <w:r>
              <w:rPr>
                <w:rFonts w:hint="eastAsia"/>
                <w:color w:val="auto"/>
                <w:highlight w:val="none"/>
                <w:vertAlign w:val="superscript"/>
                <w:lang w:val="en-US" w:eastAsia="zh-CN"/>
              </w:rPr>
              <w:t>3</w:t>
            </w:r>
            <w:r>
              <w:rPr>
                <w:rFonts w:hint="eastAsia"/>
                <w:color w:val="auto"/>
                <w:highlight w:val="none"/>
                <w:lang w:val="en-US" w:eastAsia="zh-CN"/>
              </w:rPr>
              <w:t>,762mm轨距</w:t>
            </w:r>
          </w:p>
        </w:tc>
        <w:tc>
          <w:tcPr>
            <w:tcW w:w="275" w:type="pct"/>
            <w:tcBorders>
              <w:tl2br w:val="nil"/>
              <w:tr2bl w:val="nil"/>
            </w:tcBorders>
            <w:vAlign w:val="center"/>
          </w:tcPr>
          <w:p w14:paraId="417815CC">
            <w:pPr>
              <w:pStyle w:val="17"/>
              <w:bidi w:val="0"/>
              <w:rPr>
                <w:rFonts w:hint="eastAsia"/>
                <w:color w:val="auto"/>
                <w:highlight w:val="none"/>
                <w:lang w:val="en-US" w:eastAsia="zh-CN"/>
              </w:rPr>
            </w:pPr>
            <w:r>
              <w:rPr>
                <w:rFonts w:hint="eastAsia"/>
                <w:color w:val="auto"/>
                <w:highlight w:val="none"/>
                <w:lang w:val="en-US" w:eastAsia="zh-CN"/>
              </w:rPr>
              <w:t>辆</w:t>
            </w:r>
          </w:p>
        </w:tc>
        <w:tc>
          <w:tcPr>
            <w:tcW w:w="257" w:type="pct"/>
            <w:tcBorders>
              <w:tl2br w:val="nil"/>
              <w:tr2bl w:val="nil"/>
            </w:tcBorders>
            <w:vAlign w:val="center"/>
          </w:tcPr>
          <w:p w14:paraId="16ACB738">
            <w:pPr>
              <w:pStyle w:val="17"/>
              <w:bidi w:val="0"/>
              <w:rPr>
                <w:rFonts w:hint="default"/>
                <w:color w:val="auto"/>
                <w:highlight w:val="none"/>
                <w:lang w:val="en-US" w:eastAsia="zh-CN"/>
              </w:rPr>
            </w:pPr>
            <w:r>
              <w:rPr>
                <w:rFonts w:hint="eastAsia"/>
                <w:color w:val="auto"/>
                <w:highlight w:val="none"/>
                <w:lang w:val="en-US" w:eastAsia="zh-CN"/>
              </w:rPr>
              <w:t>40</w:t>
            </w:r>
          </w:p>
        </w:tc>
        <w:tc>
          <w:tcPr>
            <w:tcW w:w="597" w:type="pct"/>
            <w:tcBorders>
              <w:tl2br w:val="nil"/>
              <w:tr2bl w:val="nil"/>
            </w:tcBorders>
            <w:vAlign w:val="center"/>
          </w:tcPr>
          <w:p w14:paraId="4F1E70E5">
            <w:pPr>
              <w:pStyle w:val="17"/>
              <w:bidi w:val="0"/>
              <w:rPr>
                <w:color w:val="auto"/>
                <w:highlight w:val="none"/>
              </w:rPr>
            </w:pPr>
          </w:p>
        </w:tc>
      </w:tr>
      <w:tr w14:paraId="1AFAE78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DA95C50">
            <w:pPr>
              <w:pStyle w:val="17"/>
              <w:bidi w:val="0"/>
              <w:rPr>
                <w:rFonts w:hint="eastAsia"/>
                <w:color w:val="auto"/>
                <w:highlight w:val="none"/>
                <w:lang w:val="en-US" w:eastAsia="zh-CN"/>
              </w:rPr>
            </w:pPr>
            <w:r>
              <w:rPr>
                <w:rFonts w:hint="eastAsia"/>
                <w:color w:val="auto"/>
                <w:highlight w:val="none"/>
                <w:lang w:val="en-US" w:eastAsia="zh-CN"/>
              </w:rPr>
              <w:t>3</w:t>
            </w:r>
          </w:p>
        </w:tc>
        <w:tc>
          <w:tcPr>
            <w:tcW w:w="1822" w:type="pct"/>
            <w:tcBorders>
              <w:tl2br w:val="nil"/>
              <w:tr2bl w:val="nil"/>
            </w:tcBorders>
            <w:vAlign w:val="center"/>
          </w:tcPr>
          <w:p w14:paraId="698A5071">
            <w:pPr>
              <w:pStyle w:val="17"/>
              <w:bidi w:val="0"/>
              <w:rPr>
                <w:color w:val="auto"/>
                <w:highlight w:val="none"/>
              </w:rPr>
            </w:pPr>
            <w:r>
              <w:rPr>
                <w:rFonts w:hint="eastAsia"/>
                <w:color w:val="auto"/>
                <w:highlight w:val="none"/>
                <w:lang w:val="en-US" w:eastAsia="zh-CN"/>
              </w:rPr>
              <w:t>卸载站</w:t>
            </w:r>
          </w:p>
        </w:tc>
        <w:tc>
          <w:tcPr>
            <w:tcW w:w="1754" w:type="pct"/>
            <w:tcBorders>
              <w:tl2br w:val="nil"/>
              <w:tr2bl w:val="nil"/>
            </w:tcBorders>
            <w:vAlign w:val="center"/>
          </w:tcPr>
          <w:p w14:paraId="7AE943E8">
            <w:pPr>
              <w:pStyle w:val="17"/>
              <w:bidi w:val="0"/>
              <w:rPr>
                <w:color w:val="auto"/>
                <w:highlight w:val="none"/>
              </w:rPr>
            </w:pPr>
            <w:r>
              <w:rPr>
                <w:rFonts w:hint="eastAsia"/>
                <w:color w:val="auto"/>
                <w:highlight w:val="none"/>
                <w:lang w:val="en-US" w:eastAsia="zh-CN"/>
              </w:rPr>
              <w:t>与4m3底侧卸式矿车配套</w:t>
            </w:r>
          </w:p>
        </w:tc>
        <w:tc>
          <w:tcPr>
            <w:tcW w:w="275" w:type="pct"/>
            <w:tcBorders>
              <w:tl2br w:val="nil"/>
              <w:tr2bl w:val="nil"/>
            </w:tcBorders>
            <w:vAlign w:val="center"/>
          </w:tcPr>
          <w:p w14:paraId="237F061C">
            <w:pPr>
              <w:pStyle w:val="17"/>
              <w:bidi w:val="0"/>
              <w:rPr>
                <w:rFonts w:hint="eastAsia"/>
                <w:color w:val="auto"/>
                <w:highlight w:val="none"/>
                <w:lang w:val="en-US" w:eastAsia="zh-CN"/>
              </w:rPr>
            </w:pPr>
            <w:r>
              <w:rPr>
                <w:rFonts w:hint="eastAsia"/>
                <w:color w:val="auto"/>
                <w:highlight w:val="none"/>
                <w:lang w:val="en-US" w:eastAsia="zh-CN"/>
              </w:rPr>
              <w:t>个</w:t>
            </w:r>
          </w:p>
        </w:tc>
        <w:tc>
          <w:tcPr>
            <w:tcW w:w="257" w:type="pct"/>
            <w:tcBorders>
              <w:tl2br w:val="nil"/>
              <w:tr2bl w:val="nil"/>
            </w:tcBorders>
            <w:vAlign w:val="center"/>
          </w:tcPr>
          <w:p w14:paraId="07962588">
            <w:pPr>
              <w:pStyle w:val="17"/>
              <w:bidi w:val="0"/>
              <w:rPr>
                <w:rFonts w:hint="eastAsia"/>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31618E66">
            <w:pPr>
              <w:pStyle w:val="17"/>
              <w:bidi w:val="0"/>
              <w:rPr>
                <w:color w:val="auto"/>
                <w:highlight w:val="none"/>
              </w:rPr>
            </w:pPr>
          </w:p>
        </w:tc>
      </w:tr>
      <w:tr w14:paraId="7D0A4ED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52B6FDC">
            <w:pPr>
              <w:pStyle w:val="17"/>
              <w:bidi w:val="0"/>
              <w:rPr>
                <w:rFonts w:hint="eastAsia"/>
                <w:color w:val="auto"/>
                <w:highlight w:val="none"/>
                <w:lang w:val="en-US" w:eastAsia="zh-CN"/>
              </w:rPr>
            </w:pPr>
            <w:r>
              <w:rPr>
                <w:rFonts w:hint="eastAsia"/>
                <w:color w:val="auto"/>
                <w:highlight w:val="none"/>
                <w:lang w:val="en-US" w:eastAsia="zh-CN"/>
              </w:rPr>
              <w:t>4</w:t>
            </w:r>
          </w:p>
        </w:tc>
        <w:tc>
          <w:tcPr>
            <w:tcW w:w="1822" w:type="pct"/>
            <w:tcBorders>
              <w:tl2br w:val="nil"/>
              <w:tr2bl w:val="nil"/>
            </w:tcBorders>
            <w:vAlign w:val="center"/>
          </w:tcPr>
          <w:p w14:paraId="1B4431F2">
            <w:pPr>
              <w:pStyle w:val="17"/>
              <w:bidi w:val="0"/>
              <w:rPr>
                <w:color w:val="auto"/>
                <w:highlight w:val="none"/>
              </w:rPr>
            </w:pPr>
            <w:r>
              <w:rPr>
                <w:rFonts w:hint="eastAsia"/>
                <w:color w:val="auto"/>
                <w:highlight w:val="none"/>
                <w:lang w:val="en-US" w:eastAsia="zh-CN"/>
              </w:rPr>
              <w:t>振动放矿机</w:t>
            </w:r>
          </w:p>
        </w:tc>
        <w:tc>
          <w:tcPr>
            <w:tcW w:w="1754" w:type="pct"/>
            <w:tcBorders>
              <w:tl2br w:val="nil"/>
              <w:tr2bl w:val="nil"/>
            </w:tcBorders>
            <w:vAlign w:val="center"/>
          </w:tcPr>
          <w:p w14:paraId="2E4C7E3C">
            <w:pPr>
              <w:pStyle w:val="17"/>
              <w:bidi w:val="0"/>
              <w:rPr>
                <w:color w:val="auto"/>
                <w:highlight w:val="none"/>
              </w:rPr>
            </w:pPr>
            <w:r>
              <w:rPr>
                <w:rFonts w:hint="eastAsia"/>
                <w:color w:val="auto"/>
                <w:highlight w:val="none"/>
                <w:lang w:val="en-US" w:eastAsia="zh-CN"/>
              </w:rPr>
              <w:t>ZZF4.5×1.4×2-14</w:t>
            </w:r>
          </w:p>
        </w:tc>
        <w:tc>
          <w:tcPr>
            <w:tcW w:w="275" w:type="pct"/>
            <w:tcBorders>
              <w:tl2br w:val="nil"/>
              <w:tr2bl w:val="nil"/>
            </w:tcBorders>
            <w:vAlign w:val="center"/>
          </w:tcPr>
          <w:p w14:paraId="1CC9A6AF">
            <w:pPr>
              <w:pStyle w:val="17"/>
              <w:bidi w:val="0"/>
              <w:rPr>
                <w:color w:val="auto"/>
                <w:highlight w:val="none"/>
              </w:rPr>
            </w:pPr>
            <w:r>
              <w:rPr>
                <w:rFonts w:hint="eastAsia"/>
                <w:color w:val="auto"/>
                <w:highlight w:val="none"/>
                <w:lang w:val="en-US" w:eastAsia="zh-CN"/>
              </w:rPr>
              <w:t>台</w:t>
            </w:r>
          </w:p>
        </w:tc>
        <w:tc>
          <w:tcPr>
            <w:tcW w:w="257" w:type="pct"/>
            <w:tcBorders>
              <w:tl2br w:val="nil"/>
              <w:tr2bl w:val="nil"/>
            </w:tcBorders>
            <w:vAlign w:val="center"/>
          </w:tcPr>
          <w:p w14:paraId="5E3AAB79">
            <w:pPr>
              <w:pStyle w:val="17"/>
              <w:bidi w:val="0"/>
              <w:rPr>
                <w:rFonts w:hint="default"/>
                <w:color w:val="auto"/>
                <w:highlight w:val="none"/>
                <w:lang w:val="en-US" w:eastAsia="zh-CN"/>
              </w:rPr>
            </w:pPr>
            <w:r>
              <w:rPr>
                <w:rFonts w:hint="eastAsia"/>
                <w:color w:val="auto"/>
                <w:highlight w:val="none"/>
                <w:lang w:val="en-US" w:eastAsia="zh-CN"/>
              </w:rPr>
              <w:t>11</w:t>
            </w:r>
          </w:p>
        </w:tc>
        <w:tc>
          <w:tcPr>
            <w:tcW w:w="597" w:type="pct"/>
            <w:tcBorders>
              <w:tl2br w:val="nil"/>
              <w:tr2bl w:val="nil"/>
            </w:tcBorders>
            <w:vAlign w:val="center"/>
          </w:tcPr>
          <w:p w14:paraId="55DF541F">
            <w:pPr>
              <w:pStyle w:val="17"/>
              <w:bidi w:val="0"/>
              <w:rPr>
                <w:color w:val="auto"/>
                <w:highlight w:val="none"/>
              </w:rPr>
            </w:pPr>
          </w:p>
        </w:tc>
      </w:tr>
      <w:tr w14:paraId="7233F0E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517BD0A">
            <w:pPr>
              <w:pStyle w:val="17"/>
              <w:bidi w:val="0"/>
              <w:rPr>
                <w:rFonts w:hint="eastAsia"/>
                <w:color w:val="auto"/>
                <w:highlight w:val="none"/>
                <w:lang w:val="en-US" w:eastAsia="zh-CN"/>
              </w:rPr>
            </w:pPr>
            <w:r>
              <w:rPr>
                <w:rFonts w:hint="eastAsia"/>
                <w:color w:val="auto"/>
                <w:highlight w:val="none"/>
                <w:lang w:val="en-US" w:eastAsia="zh-CN"/>
              </w:rPr>
              <w:t>5</w:t>
            </w:r>
          </w:p>
        </w:tc>
        <w:tc>
          <w:tcPr>
            <w:tcW w:w="1822" w:type="pct"/>
            <w:tcBorders>
              <w:tl2br w:val="nil"/>
              <w:tr2bl w:val="nil"/>
            </w:tcBorders>
            <w:vAlign w:val="center"/>
          </w:tcPr>
          <w:p w14:paraId="6291E8A3">
            <w:pPr>
              <w:pStyle w:val="17"/>
              <w:bidi w:val="0"/>
              <w:rPr>
                <w:color w:val="auto"/>
                <w:highlight w:val="none"/>
              </w:rPr>
            </w:pPr>
            <w:r>
              <w:rPr>
                <w:rFonts w:hint="eastAsia"/>
                <w:color w:val="auto"/>
                <w:highlight w:val="none"/>
                <w:lang w:val="en-US" w:eastAsia="zh-CN"/>
              </w:rPr>
              <w:t>道岔</w:t>
            </w:r>
          </w:p>
        </w:tc>
        <w:tc>
          <w:tcPr>
            <w:tcW w:w="1754" w:type="pct"/>
            <w:tcBorders>
              <w:tl2br w:val="nil"/>
              <w:tr2bl w:val="nil"/>
            </w:tcBorders>
            <w:vAlign w:val="center"/>
          </w:tcPr>
          <w:p w14:paraId="7ACAEB4E">
            <w:pPr>
              <w:pStyle w:val="17"/>
              <w:bidi w:val="0"/>
              <w:rPr>
                <w:color w:val="auto"/>
                <w:highlight w:val="none"/>
              </w:rPr>
            </w:pPr>
            <w:r>
              <w:rPr>
                <w:rFonts w:hint="eastAsia"/>
                <w:color w:val="auto"/>
                <w:highlight w:val="none"/>
                <w:lang w:val="en-US" w:eastAsia="zh-CN"/>
              </w:rPr>
              <w:t>5号，轨距762</w:t>
            </w:r>
          </w:p>
        </w:tc>
        <w:tc>
          <w:tcPr>
            <w:tcW w:w="275" w:type="pct"/>
            <w:tcBorders>
              <w:tl2br w:val="nil"/>
              <w:tr2bl w:val="nil"/>
            </w:tcBorders>
            <w:vAlign w:val="center"/>
          </w:tcPr>
          <w:p w14:paraId="4AA539EA">
            <w:pPr>
              <w:pStyle w:val="17"/>
              <w:bidi w:val="0"/>
              <w:rPr>
                <w:rFonts w:hint="eastAsia"/>
                <w:color w:val="auto"/>
                <w:highlight w:val="none"/>
                <w:lang w:val="en-US" w:eastAsia="zh-CN"/>
              </w:rPr>
            </w:pPr>
            <w:r>
              <w:rPr>
                <w:rFonts w:hint="eastAsia"/>
                <w:color w:val="auto"/>
                <w:highlight w:val="none"/>
                <w:lang w:val="en-US" w:eastAsia="zh-CN"/>
              </w:rPr>
              <w:t>副</w:t>
            </w:r>
          </w:p>
        </w:tc>
        <w:tc>
          <w:tcPr>
            <w:tcW w:w="257" w:type="pct"/>
            <w:tcBorders>
              <w:tl2br w:val="nil"/>
              <w:tr2bl w:val="nil"/>
            </w:tcBorders>
            <w:vAlign w:val="center"/>
          </w:tcPr>
          <w:p w14:paraId="34016476">
            <w:pPr>
              <w:pStyle w:val="17"/>
              <w:bidi w:val="0"/>
              <w:rPr>
                <w:rFonts w:hint="default"/>
                <w:color w:val="auto"/>
                <w:highlight w:val="none"/>
                <w:lang w:val="en-US" w:eastAsia="zh-CN"/>
              </w:rPr>
            </w:pPr>
            <w:r>
              <w:rPr>
                <w:rFonts w:hint="eastAsia"/>
                <w:color w:val="auto"/>
                <w:highlight w:val="none"/>
                <w:lang w:val="en-US" w:eastAsia="zh-CN"/>
              </w:rPr>
              <w:t>15</w:t>
            </w:r>
          </w:p>
        </w:tc>
        <w:tc>
          <w:tcPr>
            <w:tcW w:w="597" w:type="pct"/>
            <w:tcBorders>
              <w:tl2br w:val="nil"/>
              <w:tr2bl w:val="nil"/>
            </w:tcBorders>
            <w:vAlign w:val="center"/>
          </w:tcPr>
          <w:p w14:paraId="5CA002C8">
            <w:pPr>
              <w:pStyle w:val="17"/>
              <w:bidi w:val="0"/>
              <w:rPr>
                <w:color w:val="auto"/>
                <w:highlight w:val="none"/>
              </w:rPr>
            </w:pPr>
          </w:p>
        </w:tc>
      </w:tr>
      <w:tr w14:paraId="1C9AE96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FF53E25">
            <w:pPr>
              <w:pStyle w:val="17"/>
              <w:bidi w:val="0"/>
              <w:rPr>
                <w:rFonts w:hint="eastAsia"/>
                <w:color w:val="auto"/>
                <w:highlight w:val="none"/>
                <w:lang w:val="en-US" w:eastAsia="zh-CN"/>
              </w:rPr>
            </w:pPr>
            <w:r>
              <w:rPr>
                <w:rFonts w:hint="eastAsia"/>
                <w:color w:val="auto"/>
                <w:highlight w:val="none"/>
                <w:lang w:val="en-US" w:eastAsia="zh-CN"/>
              </w:rPr>
              <w:t>6</w:t>
            </w:r>
          </w:p>
        </w:tc>
        <w:tc>
          <w:tcPr>
            <w:tcW w:w="1822" w:type="pct"/>
            <w:tcBorders>
              <w:tl2br w:val="nil"/>
              <w:tr2bl w:val="nil"/>
            </w:tcBorders>
            <w:vAlign w:val="center"/>
          </w:tcPr>
          <w:p w14:paraId="7E232E64">
            <w:pPr>
              <w:pStyle w:val="17"/>
              <w:bidi w:val="0"/>
              <w:rPr>
                <w:rFonts w:hint="eastAsia"/>
                <w:color w:val="auto"/>
                <w:highlight w:val="none"/>
                <w:lang w:val="en-US" w:eastAsia="zh-CN"/>
              </w:rPr>
            </w:pPr>
            <w:r>
              <w:rPr>
                <w:rFonts w:hint="eastAsia"/>
                <w:color w:val="auto"/>
                <w:highlight w:val="none"/>
                <w:lang w:val="en-US" w:eastAsia="zh-CN"/>
              </w:rPr>
              <w:t>平板车</w:t>
            </w:r>
          </w:p>
        </w:tc>
        <w:tc>
          <w:tcPr>
            <w:tcW w:w="1754" w:type="pct"/>
            <w:tcBorders>
              <w:tl2br w:val="nil"/>
              <w:tr2bl w:val="nil"/>
            </w:tcBorders>
            <w:vAlign w:val="center"/>
          </w:tcPr>
          <w:p w14:paraId="44C25080">
            <w:pPr>
              <w:pStyle w:val="17"/>
              <w:bidi w:val="0"/>
              <w:rPr>
                <w:rFonts w:hint="default"/>
                <w:color w:val="auto"/>
                <w:highlight w:val="none"/>
                <w:lang w:val="en-US" w:eastAsia="zh-CN"/>
              </w:rPr>
            </w:pPr>
            <w:r>
              <w:rPr>
                <w:rFonts w:hint="eastAsia"/>
                <w:color w:val="auto"/>
                <w:highlight w:val="none"/>
                <w:lang w:val="en-US" w:eastAsia="zh-CN"/>
              </w:rPr>
              <w:t>YPC</w:t>
            </w:r>
          </w:p>
        </w:tc>
        <w:tc>
          <w:tcPr>
            <w:tcW w:w="275" w:type="pct"/>
            <w:tcBorders>
              <w:tl2br w:val="nil"/>
              <w:tr2bl w:val="nil"/>
            </w:tcBorders>
            <w:vAlign w:val="center"/>
          </w:tcPr>
          <w:p w14:paraId="3A8D0508">
            <w:pPr>
              <w:pStyle w:val="17"/>
              <w:bidi w:val="0"/>
              <w:rPr>
                <w:rFonts w:hint="default"/>
                <w:color w:val="auto"/>
                <w:highlight w:val="none"/>
                <w:lang w:val="en-US" w:eastAsia="zh-CN"/>
              </w:rPr>
            </w:pPr>
            <w:r>
              <w:rPr>
                <w:rFonts w:hint="eastAsia"/>
                <w:color w:val="auto"/>
                <w:highlight w:val="none"/>
                <w:lang w:val="en-US" w:eastAsia="zh-CN"/>
              </w:rPr>
              <w:t>辆</w:t>
            </w:r>
          </w:p>
        </w:tc>
        <w:tc>
          <w:tcPr>
            <w:tcW w:w="257" w:type="pct"/>
            <w:tcBorders>
              <w:tl2br w:val="nil"/>
              <w:tr2bl w:val="nil"/>
            </w:tcBorders>
            <w:vAlign w:val="center"/>
          </w:tcPr>
          <w:p w14:paraId="4CBFEA4C">
            <w:pPr>
              <w:pStyle w:val="17"/>
              <w:bidi w:val="0"/>
              <w:rPr>
                <w:rFonts w:hint="default"/>
                <w:color w:val="auto"/>
                <w:highlight w:val="none"/>
                <w:lang w:val="en-US" w:eastAsia="zh-CN"/>
              </w:rPr>
            </w:pPr>
            <w:r>
              <w:rPr>
                <w:rFonts w:hint="eastAsia"/>
                <w:color w:val="auto"/>
                <w:highlight w:val="none"/>
                <w:lang w:val="en-US" w:eastAsia="zh-CN"/>
              </w:rPr>
              <w:t>5</w:t>
            </w:r>
          </w:p>
        </w:tc>
        <w:tc>
          <w:tcPr>
            <w:tcW w:w="597" w:type="pct"/>
            <w:tcBorders>
              <w:tl2br w:val="nil"/>
              <w:tr2bl w:val="nil"/>
            </w:tcBorders>
            <w:vAlign w:val="center"/>
          </w:tcPr>
          <w:p w14:paraId="6101F609">
            <w:pPr>
              <w:pStyle w:val="17"/>
              <w:bidi w:val="0"/>
              <w:rPr>
                <w:color w:val="auto"/>
                <w:highlight w:val="none"/>
              </w:rPr>
            </w:pPr>
          </w:p>
        </w:tc>
      </w:tr>
      <w:tr w14:paraId="53B1B88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3444D8BC">
            <w:pPr>
              <w:pStyle w:val="17"/>
              <w:bidi w:val="0"/>
              <w:rPr>
                <w:rFonts w:hint="eastAsia"/>
                <w:color w:val="auto"/>
                <w:highlight w:val="none"/>
                <w:lang w:val="en-US" w:eastAsia="zh-CN"/>
              </w:rPr>
            </w:pPr>
            <w:r>
              <w:rPr>
                <w:rFonts w:hint="eastAsia"/>
                <w:color w:val="auto"/>
                <w:highlight w:val="none"/>
                <w:lang w:val="en-US" w:eastAsia="zh-CN"/>
              </w:rPr>
              <w:t>7</w:t>
            </w:r>
          </w:p>
        </w:tc>
        <w:tc>
          <w:tcPr>
            <w:tcW w:w="1822" w:type="pct"/>
            <w:tcBorders>
              <w:tl2br w:val="nil"/>
              <w:tr2bl w:val="nil"/>
            </w:tcBorders>
            <w:vAlign w:val="center"/>
          </w:tcPr>
          <w:p w14:paraId="08815F6B">
            <w:pPr>
              <w:pStyle w:val="17"/>
              <w:bidi w:val="0"/>
              <w:rPr>
                <w:rFonts w:hint="eastAsia"/>
                <w:color w:val="auto"/>
                <w:highlight w:val="none"/>
                <w:lang w:val="en-US" w:eastAsia="zh-CN"/>
              </w:rPr>
            </w:pPr>
            <w:r>
              <w:rPr>
                <w:rFonts w:hint="eastAsia"/>
                <w:color w:val="auto"/>
                <w:highlight w:val="none"/>
                <w:lang w:val="en-US" w:eastAsia="zh-CN"/>
              </w:rPr>
              <w:t>材料车</w:t>
            </w:r>
          </w:p>
        </w:tc>
        <w:tc>
          <w:tcPr>
            <w:tcW w:w="1754" w:type="pct"/>
            <w:tcBorders>
              <w:tl2br w:val="nil"/>
              <w:tr2bl w:val="nil"/>
            </w:tcBorders>
            <w:vAlign w:val="center"/>
          </w:tcPr>
          <w:p w14:paraId="6CD120F0">
            <w:pPr>
              <w:pStyle w:val="17"/>
              <w:bidi w:val="0"/>
              <w:rPr>
                <w:rFonts w:hint="default"/>
                <w:color w:val="auto"/>
                <w:highlight w:val="none"/>
                <w:lang w:val="en-US" w:eastAsia="zh-CN"/>
              </w:rPr>
            </w:pPr>
            <w:r>
              <w:rPr>
                <w:rFonts w:hint="eastAsia"/>
                <w:color w:val="auto"/>
                <w:highlight w:val="none"/>
                <w:lang w:val="en-US" w:eastAsia="zh-CN"/>
              </w:rPr>
              <w:t>YLC</w:t>
            </w:r>
          </w:p>
        </w:tc>
        <w:tc>
          <w:tcPr>
            <w:tcW w:w="275" w:type="pct"/>
            <w:tcBorders>
              <w:tl2br w:val="nil"/>
              <w:tr2bl w:val="nil"/>
            </w:tcBorders>
            <w:vAlign w:val="center"/>
          </w:tcPr>
          <w:p w14:paraId="7AD9FCE5">
            <w:pPr>
              <w:pStyle w:val="17"/>
              <w:bidi w:val="0"/>
              <w:rPr>
                <w:rFonts w:hint="default"/>
                <w:color w:val="auto"/>
                <w:highlight w:val="none"/>
                <w:lang w:val="en-US" w:eastAsia="zh-CN"/>
              </w:rPr>
            </w:pPr>
            <w:r>
              <w:rPr>
                <w:rFonts w:hint="eastAsia"/>
                <w:color w:val="auto"/>
                <w:highlight w:val="none"/>
                <w:lang w:val="en-US" w:eastAsia="zh-CN"/>
              </w:rPr>
              <w:t>辆</w:t>
            </w:r>
          </w:p>
        </w:tc>
        <w:tc>
          <w:tcPr>
            <w:tcW w:w="257" w:type="pct"/>
            <w:tcBorders>
              <w:tl2br w:val="nil"/>
              <w:tr2bl w:val="nil"/>
            </w:tcBorders>
            <w:vAlign w:val="center"/>
          </w:tcPr>
          <w:p w14:paraId="0A231571">
            <w:pPr>
              <w:pStyle w:val="17"/>
              <w:bidi w:val="0"/>
              <w:rPr>
                <w:rFonts w:hint="default"/>
                <w:color w:val="auto"/>
                <w:highlight w:val="none"/>
                <w:lang w:val="en-US" w:eastAsia="zh-CN"/>
              </w:rPr>
            </w:pPr>
            <w:r>
              <w:rPr>
                <w:rFonts w:hint="eastAsia"/>
                <w:color w:val="auto"/>
                <w:highlight w:val="none"/>
                <w:lang w:val="en-US" w:eastAsia="zh-CN"/>
              </w:rPr>
              <w:t>5</w:t>
            </w:r>
          </w:p>
        </w:tc>
        <w:tc>
          <w:tcPr>
            <w:tcW w:w="597" w:type="pct"/>
            <w:tcBorders>
              <w:tl2br w:val="nil"/>
              <w:tr2bl w:val="nil"/>
            </w:tcBorders>
            <w:vAlign w:val="center"/>
          </w:tcPr>
          <w:p w14:paraId="05E56C07">
            <w:pPr>
              <w:pStyle w:val="17"/>
              <w:bidi w:val="0"/>
              <w:rPr>
                <w:color w:val="auto"/>
                <w:highlight w:val="none"/>
              </w:rPr>
            </w:pPr>
          </w:p>
        </w:tc>
      </w:tr>
      <w:tr w14:paraId="49C9F20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l2br w:val="nil"/>
              <w:tr2bl w:val="nil"/>
            </w:tcBorders>
            <w:vAlign w:val="center"/>
          </w:tcPr>
          <w:p w14:paraId="4F2361A1">
            <w:pPr>
              <w:pStyle w:val="17"/>
              <w:bidi w:val="0"/>
              <w:rPr>
                <w:rFonts w:hint="default"/>
                <w:color w:val="auto"/>
                <w:highlight w:val="none"/>
                <w:lang w:val="en-US" w:eastAsia="zh-CN"/>
              </w:rPr>
            </w:pPr>
            <w:r>
              <w:rPr>
                <w:rFonts w:hint="eastAsia"/>
                <w:color w:val="auto"/>
                <w:highlight w:val="none"/>
                <w:lang w:val="en-US" w:eastAsia="zh-CN"/>
              </w:rPr>
              <w:t>斜井胶带</w:t>
            </w:r>
          </w:p>
        </w:tc>
      </w:tr>
      <w:tr w14:paraId="03302E4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4896864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w:t>
            </w:r>
          </w:p>
        </w:tc>
        <w:tc>
          <w:tcPr>
            <w:tcW w:w="1822" w:type="pct"/>
            <w:tcBorders>
              <w:tl2br w:val="nil"/>
              <w:tr2bl w:val="nil"/>
            </w:tcBorders>
            <w:vAlign w:val="center"/>
          </w:tcPr>
          <w:p w14:paraId="5EC617E0">
            <w:pPr>
              <w:pStyle w:val="17"/>
              <w:bidi w:val="0"/>
              <w:rPr>
                <w:rFonts w:hint="eastAsia"/>
                <w:color w:val="auto"/>
                <w:highlight w:val="none"/>
                <w:lang w:val="en-US" w:eastAsia="zh-CN"/>
              </w:rPr>
            </w:pPr>
            <w:r>
              <w:rPr>
                <w:rFonts w:hint="eastAsia"/>
                <w:color w:val="auto"/>
                <w:highlight w:val="none"/>
                <w:lang w:val="en-US" w:eastAsia="zh-CN"/>
              </w:rPr>
              <w:t>装矿胶带机SBC1</w:t>
            </w:r>
          </w:p>
        </w:tc>
        <w:tc>
          <w:tcPr>
            <w:tcW w:w="1754" w:type="pct"/>
            <w:tcBorders>
              <w:tl2br w:val="nil"/>
              <w:tr2bl w:val="nil"/>
            </w:tcBorders>
            <w:vAlign w:val="center"/>
          </w:tcPr>
          <w:p w14:paraId="1DDD139B">
            <w:pPr>
              <w:pStyle w:val="17"/>
              <w:bidi w:val="0"/>
              <w:rPr>
                <w:color w:val="auto"/>
                <w:highlight w:val="none"/>
              </w:rPr>
            </w:pPr>
            <w:r>
              <w:rPr>
                <w:rFonts w:hint="eastAsia"/>
                <w:color w:val="auto"/>
                <w:highlight w:val="none"/>
                <w:lang w:val="en-US" w:eastAsia="zh-CN"/>
              </w:rPr>
              <w:t>B=1200mm,L=177m,H=0m,</w:t>
            </w:r>
          </w:p>
          <w:p w14:paraId="2AB49A9E">
            <w:pPr>
              <w:pStyle w:val="17"/>
              <w:bidi w:val="0"/>
              <w:rPr>
                <w:rFonts w:hint="default"/>
                <w:color w:val="auto"/>
                <w:highlight w:val="none"/>
                <w:lang w:val="en-US" w:eastAsia="zh-CN"/>
              </w:rPr>
            </w:pPr>
            <w:r>
              <w:rPr>
                <w:rFonts w:hint="eastAsia"/>
                <w:color w:val="auto"/>
                <w:highlight w:val="none"/>
                <w:lang w:val="en-US" w:eastAsia="zh-CN"/>
              </w:rPr>
              <w:t>400t/h,ST630,V=1.6m/s</w:t>
            </w:r>
          </w:p>
        </w:tc>
        <w:tc>
          <w:tcPr>
            <w:tcW w:w="275" w:type="pct"/>
            <w:tcBorders>
              <w:tl2br w:val="nil"/>
              <w:tr2bl w:val="nil"/>
            </w:tcBorders>
            <w:vAlign w:val="center"/>
          </w:tcPr>
          <w:p w14:paraId="20E64E13">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3CFD1042">
            <w:pPr>
              <w:pStyle w:val="17"/>
              <w:bidi w:val="0"/>
              <w:rPr>
                <w:rFonts w:hint="default"/>
                <w:color w:val="auto"/>
                <w:highlight w:val="none"/>
                <w:lang w:val="en-US" w:eastAsia="zh-CN"/>
              </w:rPr>
            </w:pPr>
            <w:r>
              <w:rPr>
                <w:rFonts w:hint="default"/>
                <w:color w:val="auto"/>
                <w:highlight w:val="none"/>
                <w:lang w:val="en-US" w:eastAsia="zh-CN"/>
              </w:rPr>
              <w:t>1</w:t>
            </w:r>
          </w:p>
        </w:tc>
        <w:tc>
          <w:tcPr>
            <w:tcW w:w="597" w:type="pct"/>
            <w:tcBorders>
              <w:tl2br w:val="nil"/>
              <w:tr2bl w:val="nil"/>
            </w:tcBorders>
            <w:vAlign w:val="center"/>
          </w:tcPr>
          <w:p w14:paraId="1CCB3920">
            <w:pPr>
              <w:pStyle w:val="17"/>
              <w:bidi w:val="0"/>
              <w:rPr>
                <w:color w:val="auto"/>
                <w:highlight w:val="none"/>
              </w:rPr>
            </w:pPr>
          </w:p>
        </w:tc>
      </w:tr>
      <w:tr w14:paraId="65A6A3D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7884CDB8">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w:t>
            </w:r>
          </w:p>
        </w:tc>
        <w:tc>
          <w:tcPr>
            <w:tcW w:w="1822" w:type="pct"/>
            <w:tcBorders>
              <w:tl2br w:val="nil"/>
              <w:tr2bl w:val="nil"/>
            </w:tcBorders>
            <w:vAlign w:val="center"/>
          </w:tcPr>
          <w:p w14:paraId="04B71A79">
            <w:pPr>
              <w:pStyle w:val="17"/>
              <w:bidi w:val="0"/>
              <w:rPr>
                <w:rFonts w:hint="eastAsia"/>
                <w:color w:val="auto"/>
                <w:highlight w:val="none"/>
                <w:lang w:val="en-US" w:eastAsia="zh-CN"/>
              </w:rPr>
            </w:pPr>
            <w:r>
              <w:rPr>
                <w:rFonts w:hint="eastAsia"/>
                <w:color w:val="auto"/>
                <w:highlight w:val="none"/>
                <w:lang w:val="en-US" w:eastAsia="zh-CN"/>
              </w:rPr>
              <w:t>除铁器</w:t>
            </w:r>
          </w:p>
        </w:tc>
        <w:tc>
          <w:tcPr>
            <w:tcW w:w="1754" w:type="pct"/>
            <w:tcBorders>
              <w:tl2br w:val="nil"/>
              <w:tr2bl w:val="nil"/>
            </w:tcBorders>
            <w:vAlign w:val="center"/>
          </w:tcPr>
          <w:p w14:paraId="44A0BB1C">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6E5B479B">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43EBF32">
            <w:pPr>
              <w:pStyle w:val="17"/>
              <w:bidi w:val="0"/>
              <w:rPr>
                <w:rFonts w:hint="default"/>
                <w:color w:val="auto"/>
                <w:highlight w:val="none"/>
                <w:lang w:val="en-US" w:eastAsia="zh-CN"/>
              </w:rPr>
            </w:pPr>
            <w:r>
              <w:rPr>
                <w:rFonts w:hint="default"/>
                <w:color w:val="auto"/>
                <w:highlight w:val="none"/>
                <w:lang w:val="en-US" w:eastAsia="zh-CN"/>
              </w:rPr>
              <w:t>1</w:t>
            </w:r>
          </w:p>
        </w:tc>
        <w:tc>
          <w:tcPr>
            <w:tcW w:w="597" w:type="pct"/>
            <w:tcBorders>
              <w:tl2br w:val="nil"/>
              <w:tr2bl w:val="nil"/>
            </w:tcBorders>
            <w:vAlign w:val="center"/>
          </w:tcPr>
          <w:p w14:paraId="5FAF0D3F">
            <w:pPr>
              <w:pStyle w:val="17"/>
              <w:bidi w:val="0"/>
              <w:rPr>
                <w:color w:val="auto"/>
                <w:highlight w:val="none"/>
              </w:rPr>
            </w:pPr>
          </w:p>
        </w:tc>
      </w:tr>
      <w:tr w14:paraId="5B199B3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3872561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3</w:t>
            </w:r>
          </w:p>
        </w:tc>
        <w:tc>
          <w:tcPr>
            <w:tcW w:w="1822" w:type="pct"/>
            <w:tcBorders>
              <w:tl2br w:val="nil"/>
              <w:tr2bl w:val="nil"/>
            </w:tcBorders>
            <w:vAlign w:val="center"/>
          </w:tcPr>
          <w:p w14:paraId="2BF40C11">
            <w:pPr>
              <w:pStyle w:val="17"/>
              <w:bidi w:val="0"/>
              <w:rPr>
                <w:rFonts w:hint="eastAsia"/>
                <w:color w:val="auto"/>
                <w:highlight w:val="none"/>
                <w:lang w:val="en-US" w:eastAsia="zh-CN"/>
              </w:rPr>
            </w:pPr>
            <w:r>
              <w:rPr>
                <w:rFonts w:hint="eastAsia"/>
                <w:color w:val="auto"/>
                <w:highlight w:val="none"/>
                <w:lang w:val="en-US" w:eastAsia="zh-CN"/>
              </w:rPr>
              <w:t>1号斜井胶带BC1</w:t>
            </w:r>
          </w:p>
        </w:tc>
        <w:tc>
          <w:tcPr>
            <w:tcW w:w="1754" w:type="pct"/>
            <w:tcBorders>
              <w:tl2br w:val="nil"/>
              <w:tr2bl w:val="nil"/>
            </w:tcBorders>
            <w:vAlign w:val="center"/>
          </w:tcPr>
          <w:p w14:paraId="13C1EBB9">
            <w:pPr>
              <w:pStyle w:val="17"/>
              <w:bidi w:val="0"/>
              <w:rPr>
                <w:rFonts w:hint="default"/>
                <w:color w:val="auto"/>
                <w:highlight w:val="none"/>
                <w:lang w:val="en-US" w:eastAsia="zh-CN"/>
              </w:rPr>
            </w:pPr>
            <w:r>
              <w:rPr>
                <w:rFonts w:hint="eastAsia"/>
                <w:color w:val="auto"/>
                <w:highlight w:val="none"/>
                <w:lang w:val="en-US" w:eastAsia="zh-CN"/>
              </w:rPr>
              <w:t>B=1000mm,L=667m,H=162m,400t/h,ST1600,V=2.5m/s</w:t>
            </w:r>
          </w:p>
        </w:tc>
        <w:tc>
          <w:tcPr>
            <w:tcW w:w="275" w:type="pct"/>
            <w:tcBorders>
              <w:tl2br w:val="nil"/>
              <w:tr2bl w:val="nil"/>
            </w:tcBorders>
            <w:vAlign w:val="center"/>
          </w:tcPr>
          <w:p w14:paraId="5FE6B482">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438E0A1">
            <w:pPr>
              <w:pStyle w:val="17"/>
              <w:bidi w:val="0"/>
              <w:rPr>
                <w:rFonts w:hint="default"/>
                <w:color w:val="auto"/>
                <w:highlight w:val="none"/>
                <w:lang w:val="en-US" w:eastAsia="zh-CN"/>
              </w:rPr>
            </w:pPr>
            <w:r>
              <w:rPr>
                <w:rFonts w:hint="default"/>
                <w:color w:val="auto"/>
                <w:highlight w:val="none"/>
                <w:lang w:val="en-US" w:eastAsia="zh-CN"/>
              </w:rPr>
              <w:t>1</w:t>
            </w:r>
          </w:p>
        </w:tc>
        <w:tc>
          <w:tcPr>
            <w:tcW w:w="597" w:type="pct"/>
            <w:tcBorders>
              <w:tl2br w:val="nil"/>
              <w:tr2bl w:val="nil"/>
            </w:tcBorders>
            <w:vAlign w:val="center"/>
          </w:tcPr>
          <w:p w14:paraId="50E17608">
            <w:pPr>
              <w:pStyle w:val="17"/>
              <w:bidi w:val="0"/>
              <w:rPr>
                <w:color w:val="auto"/>
                <w:highlight w:val="none"/>
              </w:rPr>
            </w:pPr>
          </w:p>
        </w:tc>
      </w:tr>
      <w:tr w14:paraId="6E80EBD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6208CF8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w:t>
            </w:r>
          </w:p>
        </w:tc>
        <w:tc>
          <w:tcPr>
            <w:tcW w:w="1822" w:type="pct"/>
            <w:tcBorders>
              <w:tl2br w:val="nil"/>
              <w:tr2bl w:val="nil"/>
            </w:tcBorders>
            <w:vAlign w:val="center"/>
          </w:tcPr>
          <w:p w14:paraId="30002F55">
            <w:pPr>
              <w:pStyle w:val="17"/>
              <w:bidi w:val="0"/>
              <w:rPr>
                <w:rFonts w:hint="eastAsia"/>
                <w:color w:val="auto"/>
                <w:highlight w:val="none"/>
                <w:lang w:val="en-US" w:eastAsia="zh-CN"/>
              </w:rPr>
            </w:pPr>
            <w:r>
              <w:rPr>
                <w:rFonts w:hint="eastAsia"/>
                <w:color w:val="auto"/>
                <w:highlight w:val="none"/>
                <w:lang w:val="en-US" w:eastAsia="zh-CN"/>
              </w:rPr>
              <w:t>电动单梁桥式起重机</w:t>
            </w:r>
          </w:p>
        </w:tc>
        <w:tc>
          <w:tcPr>
            <w:tcW w:w="1754" w:type="pct"/>
            <w:tcBorders>
              <w:tl2br w:val="nil"/>
              <w:tr2bl w:val="nil"/>
            </w:tcBorders>
            <w:vAlign w:val="center"/>
          </w:tcPr>
          <w:p w14:paraId="7D1BBDE3">
            <w:pPr>
              <w:pStyle w:val="17"/>
              <w:bidi w:val="0"/>
              <w:rPr>
                <w:rFonts w:hint="default"/>
                <w:color w:val="auto"/>
                <w:highlight w:val="none"/>
                <w:lang w:val="en-US" w:eastAsia="zh-CN"/>
              </w:rPr>
            </w:pPr>
            <w:r>
              <w:rPr>
                <w:rFonts w:hint="eastAsia"/>
                <w:color w:val="auto"/>
                <w:highlight w:val="none"/>
                <w:lang w:val="en-US" w:eastAsia="zh-CN"/>
              </w:rPr>
              <w:t>Q=10t,Lk=10m</w:t>
            </w:r>
          </w:p>
        </w:tc>
        <w:tc>
          <w:tcPr>
            <w:tcW w:w="275" w:type="pct"/>
            <w:tcBorders>
              <w:tl2br w:val="nil"/>
              <w:tr2bl w:val="nil"/>
            </w:tcBorders>
            <w:vAlign w:val="center"/>
          </w:tcPr>
          <w:p w14:paraId="647A31F7">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26CC67F5">
            <w:pPr>
              <w:pStyle w:val="17"/>
              <w:bidi w:val="0"/>
              <w:rPr>
                <w:rFonts w:hint="default"/>
                <w:color w:val="auto"/>
                <w:highlight w:val="none"/>
                <w:lang w:val="en-US" w:eastAsia="zh-CN"/>
              </w:rPr>
            </w:pPr>
            <w:r>
              <w:rPr>
                <w:rFonts w:hint="default"/>
                <w:color w:val="auto"/>
                <w:highlight w:val="none"/>
                <w:lang w:val="en-US" w:eastAsia="zh-CN"/>
              </w:rPr>
              <w:t>1</w:t>
            </w:r>
          </w:p>
        </w:tc>
        <w:tc>
          <w:tcPr>
            <w:tcW w:w="597" w:type="pct"/>
            <w:tcBorders>
              <w:tl2br w:val="nil"/>
              <w:tr2bl w:val="nil"/>
            </w:tcBorders>
            <w:vAlign w:val="center"/>
          </w:tcPr>
          <w:p w14:paraId="5C3C1307">
            <w:pPr>
              <w:pStyle w:val="17"/>
              <w:bidi w:val="0"/>
              <w:rPr>
                <w:color w:val="auto"/>
                <w:highlight w:val="none"/>
              </w:rPr>
            </w:pPr>
          </w:p>
        </w:tc>
      </w:tr>
      <w:tr w14:paraId="1D12BF3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3849B35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5</w:t>
            </w:r>
          </w:p>
        </w:tc>
        <w:tc>
          <w:tcPr>
            <w:tcW w:w="1822" w:type="pct"/>
            <w:tcBorders>
              <w:tl2br w:val="nil"/>
              <w:tr2bl w:val="nil"/>
            </w:tcBorders>
            <w:vAlign w:val="center"/>
          </w:tcPr>
          <w:p w14:paraId="7B36DFF2">
            <w:pPr>
              <w:pStyle w:val="17"/>
              <w:bidi w:val="0"/>
              <w:rPr>
                <w:rFonts w:hint="eastAsia"/>
                <w:color w:val="auto"/>
                <w:highlight w:val="none"/>
                <w:lang w:val="en-US" w:eastAsia="zh-CN"/>
              </w:rPr>
            </w:pPr>
            <w:r>
              <w:rPr>
                <w:rFonts w:hint="eastAsia"/>
                <w:color w:val="auto"/>
                <w:highlight w:val="none"/>
                <w:lang w:val="en-US" w:eastAsia="zh-CN"/>
              </w:rPr>
              <w:t>重板给矿机</w:t>
            </w:r>
          </w:p>
        </w:tc>
        <w:tc>
          <w:tcPr>
            <w:tcW w:w="1754" w:type="pct"/>
            <w:tcBorders>
              <w:tl2br w:val="nil"/>
              <w:tr2bl w:val="nil"/>
            </w:tcBorders>
            <w:vAlign w:val="center"/>
          </w:tcPr>
          <w:p w14:paraId="7A66615C">
            <w:pPr>
              <w:pStyle w:val="17"/>
              <w:bidi w:val="0"/>
              <w:rPr>
                <w:rFonts w:hint="default"/>
                <w:color w:val="auto"/>
                <w:highlight w:val="none"/>
                <w:lang w:val="en-US" w:eastAsia="zh-CN"/>
              </w:rPr>
            </w:pPr>
            <w:r>
              <w:rPr>
                <w:rFonts w:hint="eastAsia"/>
                <w:color w:val="auto"/>
                <w:highlight w:val="none"/>
                <w:lang w:val="en-US" w:eastAsia="zh-CN"/>
              </w:rPr>
              <w:t>GBZ150-6</w:t>
            </w:r>
          </w:p>
        </w:tc>
        <w:tc>
          <w:tcPr>
            <w:tcW w:w="275" w:type="pct"/>
            <w:tcBorders>
              <w:tl2br w:val="nil"/>
              <w:tr2bl w:val="nil"/>
            </w:tcBorders>
            <w:vAlign w:val="center"/>
          </w:tcPr>
          <w:p w14:paraId="53620167">
            <w:pPr>
              <w:pStyle w:val="17"/>
              <w:bidi w:val="0"/>
              <w:rPr>
                <w:rFonts w:hint="eastAsia"/>
                <w:color w:val="auto"/>
                <w:highlight w:val="none"/>
                <w:lang w:val="en-US" w:eastAsia="zh-CN"/>
              </w:rPr>
            </w:pPr>
            <w:r>
              <w:rPr>
                <w:rFonts w:hint="eastAsia"/>
                <w:color w:val="auto"/>
                <w:highlight w:val="none"/>
                <w:lang w:val="en-US" w:eastAsia="zh-CN"/>
              </w:rPr>
              <w:t>个</w:t>
            </w:r>
          </w:p>
        </w:tc>
        <w:tc>
          <w:tcPr>
            <w:tcW w:w="257" w:type="pct"/>
            <w:tcBorders>
              <w:tl2br w:val="nil"/>
              <w:tr2bl w:val="nil"/>
            </w:tcBorders>
            <w:vAlign w:val="center"/>
          </w:tcPr>
          <w:p w14:paraId="41851A59">
            <w:pPr>
              <w:pStyle w:val="17"/>
              <w:bidi w:val="0"/>
              <w:rPr>
                <w:rFonts w:hint="default"/>
                <w:color w:val="auto"/>
                <w:highlight w:val="none"/>
                <w:lang w:val="en-US" w:eastAsia="zh-CN"/>
              </w:rPr>
            </w:pPr>
            <w:r>
              <w:rPr>
                <w:rFonts w:hint="default"/>
                <w:color w:val="auto"/>
                <w:highlight w:val="none"/>
                <w:lang w:val="en-US" w:eastAsia="zh-CN"/>
              </w:rPr>
              <w:t>1</w:t>
            </w:r>
          </w:p>
        </w:tc>
        <w:tc>
          <w:tcPr>
            <w:tcW w:w="597" w:type="pct"/>
            <w:tcBorders>
              <w:tl2br w:val="nil"/>
              <w:tr2bl w:val="nil"/>
            </w:tcBorders>
            <w:vAlign w:val="center"/>
          </w:tcPr>
          <w:p w14:paraId="0F29B3BB">
            <w:pPr>
              <w:pStyle w:val="17"/>
              <w:bidi w:val="0"/>
              <w:rPr>
                <w:color w:val="auto"/>
                <w:highlight w:val="none"/>
              </w:rPr>
            </w:pPr>
          </w:p>
        </w:tc>
      </w:tr>
      <w:tr w14:paraId="3CB0F10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shd w:val="clear" w:color="auto" w:fill="auto"/>
            <w:vAlign w:val="center"/>
          </w:tcPr>
          <w:p w14:paraId="656E98B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6</w:t>
            </w:r>
          </w:p>
        </w:tc>
        <w:tc>
          <w:tcPr>
            <w:tcW w:w="1822" w:type="pct"/>
            <w:tcBorders>
              <w:tl2br w:val="nil"/>
              <w:tr2bl w:val="nil"/>
            </w:tcBorders>
            <w:vAlign w:val="center"/>
          </w:tcPr>
          <w:p w14:paraId="0DFD93B1">
            <w:pPr>
              <w:pStyle w:val="17"/>
              <w:bidi w:val="0"/>
              <w:rPr>
                <w:rFonts w:hint="eastAsia"/>
                <w:color w:val="auto"/>
                <w:highlight w:val="none"/>
                <w:lang w:val="en-US" w:eastAsia="zh-CN"/>
              </w:rPr>
            </w:pPr>
            <w:r>
              <w:rPr>
                <w:rFonts w:hint="eastAsia"/>
                <w:color w:val="auto"/>
                <w:highlight w:val="none"/>
                <w:lang w:val="en-US" w:eastAsia="zh-CN"/>
              </w:rPr>
              <w:t>地表转载胶带</w:t>
            </w:r>
          </w:p>
        </w:tc>
        <w:tc>
          <w:tcPr>
            <w:tcW w:w="1754" w:type="pct"/>
            <w:tcBorders>
              <w:tl2br w:val="nil"/>
              <w:tr2bl w:val="nil"/>
            </w:tcBorders>
            <w:vAlign w:val="center"/>
          </w:tcPr>
          <w:p w14:paraId="0DE04BE2">
            <w:pPr>
              <w:pStyle w:val="17"/>
              <w:bidi w:val="0"/>
              <w:rPr>
                <w:rFonts w:hint="eastAsia"/>
                <w:color w:val="auto"/>
                <w:highlight w:val="none"/>
                <w:lang w:val="en-US" w:eastAsia="zh-CN"/>
              </w:rPr>
            </w:pPr>
            <w:r>
              <w:rPr>
                <w:rFonts w:hint="eastAsia"/>
                <w:color w:val="auto"/>
                <w:highlight w:val="none"/>
                <w:lang w:val="en-US" w:eastAsia="zh-CN"/>
              </w:rPr>
              <w:t>B=1400mm,L=219.9m,H=29m,</w:t>
            </w:r>
          </w:p>
          <w:p w14:paraId="12D0EF62">
            <w:pPr>
              <w:pStyle w:val="17"/>
              <w:bidi w:val="0"/>
              <w:rPr>
                <w:color w:val="auto"/>
                <w:highlight w:val="none"/>
              </w:rPr>
            </w:pPr>
            <w:r>
              <w:rPr>
                <w:rFonts w:hint="eastAsia"/>
                <w:color w:val="auto"/>
                <w:highlight w:val="none"/>
                <w:lang w:val="en-US" w:eastAsia="zh-CN"/>
              </w:rPr>
              <w:t>400t/h,ST630,V=2.5</w:t>
            </w:r>
          </w:p>
          <w:p w14:paraId="0E958E8B">
            <w:pPr>
              <w:pStyle w:val="17"/>
              <w:bidi w:val="0"/>
              <w:rPr>
                <w:rFonts w:hint="default"/>
                <w:color w:val="auto"/>
                <w:highlight w:val="none"/>
                <w:lang w:val="en-US" w:eastAsia="zh-CN"/>
              </w:rPr>
            </w:pPr>
            <w:r>
              <w:rPr>
                <w:rFonts w:hint="eastAsia"/>
                <w:color w:val="auto"/>
                <w:highlight w:val="none"/>
                <w:lang w:val="en-US" w:eastAsia="zh-CN"/>
              </w:rPr>
              <w:t>m/s</w:t>
            </w:r>
          </w:p>
        </w:tc>
        <w:tc>
          <w:tcPr>
            <w:tcW w:w="275" w:type="pct"/>
            <w:tcBorders>
              <w:tl2br w:val="nil"/>
              <w:tr2bl w:val="nil"/>
            </w:tcBorders>
            <w:vAlign w:val="center"/>
          </w:tcPr>
          <w:p w14:paraId="515683B4">
            <w:pPr>
              <w:pStyle w:val="17"/>
              <w:bidi w:val="0"/>
              <w:rPr>
                <w:rFonts w:hint="eastAsia"/>
                <w:color w:val="auto"/>
                <w:highlight w:val="none"/>
                <w:lang w:val="en-US" w:eastAsia="zh-CN"/>
              </w:rPr>
            </w:pPr>
            <w:r>
              <w:rPr>
                <w:rFonts w:hint="eastAsia"/>
                <w:color w:val="auto"/>
                <w:highlight w:val="none"/>
                <w:lang w:val="en-US" w:eastAsia="zh-CN"/>
              </w:rPr>
              <w:t>副</w:t>
            </w:r>
          </w:p>
        </w:tc>
        <w:tc>
          <w:tcPr>
            <w:tcW w:w="257" w:type="pct"/>
            <w:tcBorders>
              <w:tl2br w:val="nil"/>
              <w:tr2bl w:val="nil"/>
            </w:tcBorders>
            <w:vAlign w:val="center"/>
          </w:tcPr>
          <w:p w14:paraId="359B73E9">
            <w:pPr>
              <w:pStyle w:val="17"/>
              <w:bidi w:val="0"/>
              <w:rPr>
                <w:rFonts w:hint="default"/>
                <w:color w:val="auto"/>
                <w:highlight w:val="none"/>
                <w:lang w:val="en-US" w:eastAsia="zh-CN"/>
              </w:rPr>
            </w:pPr>
            <w:r>
              <w:rPr>
                <w:rFonts w:hint="default"/>
                <w:color w:val="auto"/>
                <w:highlight w:val="none"/>
                <w:lang w:val="en-US" w:eastAsia="zh-CN"/>
              </w:rPr>
              <w:t>1</w:t>
            </w:r>
          </w:p>
        </w:tc>
        <w:tc>
          <w:tcPr>
            <w:tcW w:w="597" w:type="pct"/>
            <w:tcBorders>
              <w:tl2br w:val="nil"/>
              <w:tr2bl w:val="nil"/>
            </w:tcBorders>
            <w:vAlign w:val="center"/>
          </w:tcPr>
          <w:p w14:paraId="409C9BF9">
            <w:pPr>
              <w:pStyle w:val="17"/>
              <w:bidi w:val="0"/>
              <w:rPr>
                <w:color w:val="auto"/>
                <w:highlight w:val="none"/>
              </w:rPr>
            </w:pPr>
          </w:p>
        </w:tc>
      </w:tr>
      <w:tr w14:paraId="397F520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AE4D2CA">
            <w:pPr>
              <w:pStyle w:val="17"/>
              <w:bidi w:val="0"/>
              <w:rPr>
                <w:rFonts w:hint="default"/>
                <w:color w:val="auto"/>
                <w:highlight w:val="none"/>
                <w:lang w:val="en-US" w:eastAsia="zh-CN"/>
              </w:rPr>
            </w:pPr>
            <w:r>
              <w:rPr>
                <w:rFonts w:hint="eastAsia"/>
                <w:color w:val="auto"/>
                <w:highlight w:val="none"/>
                <w:lang w:val="en-US" w:eastAsia="zh-CN"/>
              </w:rPr>
              <w:t>7</w:t>
            </w:r>
          </w:p>
        </w:tc>
        <w:tc>
          <w:tcPr>
            <w:tcW w:w="1822" w:type="pct"/>
            <w:tcBorders>
              <w:tl2br w:val="nil"/>
              <w:tr2bl w:val="nil"/>
            </w:tcBorders>
            <w:vAlign w:val="center"/>
          </w:tcPr>
          <w:p w14:paraId="54DB9549">
            <w:pPr>
              <w:pStyle w:val="17"/>
              <w:bidi w:val="0"/>
              <w:rPr>
                <w:rFonts w:hint="eastAsia"/>
                <w:color w:val="auto"/>
                <w:highlight w:val="none"/>
                <w:lang w:val="en-US" w:eastAsia="zh-CN"/>
              </w:rPr>
            </w:pPr>
            <w:r>
              <w:rPr>
                <w:rFonts w:hint="eastAsia"/>
                <w:color w:val="auto"/>
                <w:highlight w:val="none"/>
                <w:lang w:val="en-US" w:eastAsia="zh-CN"/>
              </w:rPr>
              <w:t>分配胶带</w:t>
            </w:r>
          </w:p>
        </w:tc>
        <w:tc>
          <w:tcPr>
            <w:tcW w:w="1754" w:type="pct"/>
            <w:tcBorders>
              <w:tl2br w:val="nil"/>
              <w:tr2bl w:val="nil"/>
            </w:tcBorders>
            <w:vAlign w:val="center"/>
          </w:tcPr>
          <w:p w14:paraId="68B2A0EB">
            <w:pPr>
              <w:pStyle w:val="17"/>
              <w:bidi w:val="0"/>
              <w:rPr>
                <w:color w:val="auto"/>
                <w:highlight w:val="none"/>
              </w:rPr>
            </w:pPr>
            <w:r>
              <w:rPr>
                <w:rFonts w:hint="eastAsia"/>
                <w:color w:val="auto"/>
                <w:highlight w:val="none"/>
                <w:lang w:val="en-US" w:eastAsia="zh-CN"/>
              </w:rPr>
              <w:t>B=1200mm,L=50m,H=0m,4</w:t>
            </w:r>
          </w:p>
          <w:p w14:paraId="28C54F3F">
            <w:pPr>
              <w:pStyle w:val="17"/>
              <w:bidi w:val="0"/>
              <w:rPr>
                <w:rFonts w:hint="default"/>
                <w:color w:val="auto"/>
                <w:highlight w:val="none"/>
                <w:lang w:val="en-US" w:eastAsia="zh-CN"/>
              </w:rPr>
            </w:pPr>
            <w:r>
              <w:rPr>
                <w:rFonts w:hint="eastAsia"/>
                <w:color w:val="auto"/>
                <w:highlight w:val="none"/>
                <w:lang w:val="en-US" w:eastAsia="zh-CN"/>
              </w:rPr>
              <w:t>00t/h,EP200,V=1.6m/s</w:t>
            </w:r>
          </w:p>
        </w:tc>
        <w:tc>
          <w:tcPr>
            <w:tcW w:w="275" w:type="pct"/>
            <w:tcBorders>
              <w:tl2br w:val="nil"/>
              <w:tr2bl w:val="nil"/>
            </w:tcBorders>
            <w:vAlign w:val="center"/>
          </w:tcPr>
          <w:p w14:paraId="43AC14EA">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7D32221">
            <w:pPr>
              <w:pStyle w:val="17"/>
              <w:bidi w:val="0"/>
              <w:rPr>
                <w:rFonts w:hint="default"/>
                <w:color w:val="auto"/>
                <w:highlight w:val="none"/>
                <w:lang w:val="en-US" w:eastAsia="zh-CN"/>
              </w:rPr>
            </w:pPr>
            <w:r>
              <w:rPr>
                <w:rFonts w:hint="default"/>
                <w:color w:val="auto"/>
                <w:highlight w:val="none"/>
                <w:lang w:val="en-US" w:eastAsia="zh-CN"/>
              </w:rPr>
              <w:t>1</w:t>
            </w:r>
          </w:p>
        </w:tc>
        <w:tc>
          <w:tcPr>
            <w:tcW w:w="597" w:type="pct"/>
            <w:tcBorders>
              <w:tl2br w:val="nil"/>
              <w:tr2bl w:val="nil"/>
            </w:tcBorders>
            <w:vAlign w:val="center"/>
          </w:tcPr>
          <w:p w14:paraId="71B06B39">
            <w:pPr>
              <w:pStyle w:val="17"/>
              <w:bidi w:val="0"/>
              <w:rPr>
                <w:color w:val="auto"/>
                <w:highlight w:val="none"/>
              </w:rPr>
            </w:pPr>
          </w:p>
        </w:tc>
      </w:tr>
      <w:tr w14:paraId="3FC94EC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33A19674">
            <w:pPr>
              <w:pStyle w:val="17"/>
              <w:bidi w:val="0"/>
              <w:rPr>
                <w:rFonts w:hint="default"/>
                <w:color w:val="auto"/>
                <w:highlight w:val="none"/>
                <w:lang w:val="en-US" w:eastAsia="zh-CN"/>
              </w:rPr>
            </w:pPr>
            <w:r>
              <w:rPr>
                <w:rFonts w:hint="eastAsia"/>
                <w:color w:val="auto"/>
                <w:highlight w:val="none"/>
                <w:lang w:val="en-US" w:eastAsia="zh-CN"/>
              </w:rPr>
              <w:t>8</w:t>
            </w:r>
          </w:p>
        </w:tc>
        <w:tc>
          <w:tcPr>
            <w:tcW w:w="1822" w:type="pct"/>
            <w:tcBorders>
              <w:tl2br w:val="nil"/>
              <w:tr2bl w:val="nil"/>
            </w:tcBorders>
            <w:vAlign w:val="center"/>
          </w:tcPr>
          <w:p w14:paraId="1024E559">
            <w:pPr>
              <w:pStyle w:val="17"/>
              <w:bidi w:val="0"/>
              <w:rPr>
                <w:rFonts w:hint="eastAsia"/>
                <w:color w:val="auto"/>
                <w:highlight w:val="none"/>
                <w:lang w:val="en-US" w:eastAsia="zh-CN"/>
              </w:rPr>
            </w:pPr>
            <w:r>
              <w:rPr>
                <w:rFonts w:hint="eastAsia"/>
                <w:color w:val="auto"/>
                <w:highlight w:val="none"/>
                <w:lang w:val="en-US" w:eastAsia="zh-CN"/>
              </w:rPr>
              <w:t>装矿胶带机SBC2</w:t>
            </w:r>
          </w:p>
        </w:tc>
        <w:tc>
          <w:tcPr>
            <w:tcW w:w="1754" w:type="pct"/>
            <w:tcBorders>
              <w:tl2br w:val="nil"/>
              <w:tr2bl w:val="nil"/>
            </w:tcBorders>
            <w:vAlign w:val="center"/>
          </w:tcPr>
          <w:p w14:paraId="253BB28E">
            <w:pPr>
              <w:pStyle w:val="17"/>
              <w:bidi w:val="0"/>
              <w:rPr>
                <w:color w:val="auto"/>
                <w:highlight w:val="none"/>
              </w:rPr>
            </w:pPr>
            <w:r>
              <w:rPr>
                <w:rFonts w:hint="eastAsia"/>
                <w:color w:val="auto"/>
                <w:highlight w:val="none"/>
                <w:lang w:val="en-US" w:eastAsia="zh-CN"/>
              </w:rPr>
              <w:t>B=1200mm,L=110m,H=0,4</w:t>
            </w:r>
          </w:p>
          <w:p w14:paraId="430D12B4">
            <w:pPr>
              <w:pStyle w:val="17"/>
              <w:bidi w:val="0"/>
              <w:rPr>
                <w:rFonts w:hint="default"/>
                <w:color w:val="auto"/>
                <w:highlight w:val="none"/>
                <w:lang w:val="en-US" w:eastAsia="zh-CN"/>
              </w:rPr>
            </w:pPr>
            <w:r>
              <w:rPr>
                <w:rFonts w:hint="eastAsia"/>
                <w:color w:val="auto"/>
                <w:highlight w:val="none"/>
                <w:lang w:val="en-US" w:eastAsia="zh-CN"/>
              </w:rPr>
              <w:t>00t/h,ST630,v=1.6m/s</w:t>
            </w:r>
          </w:p>
        </w:tc>
        <w:tc>
          <w:tcPr>
            <w:tcW w:w="275" w:type="pct"/>
            <w:tcBorders>
              <w:tl2br w:val="nil"/>
              <w:tr2bl w:val="nil"/>
            </w:tcBorders>
            <w:vAlign w:val="center"/>
          </w:tcPr>
          <w:p w14:paraId="02E93479">
            <w:pPr>
              <w:pStyle w:val="17"/>
              <w:bidi w:val="0"/>
              <w:rPr>
                <w:rFonts w:hint="eastAsia"/>
                <w:color w:val="auto"/>
                <w:highlight w:val="none"/>
                <w:lang w:val="en-US" w:eastAsia="zh-CN"/>
              </w:rPr>
            </w:pPr>
            <w:r>
              <w:rPr>
                <w:rFonts w:hint="eastAsia"/>
                <w:color w:val="auto"/>
                <w:highlight w:val="none"/>
                <w:lang w:val="en-US" w:eastAsia="zh-CN"/>
              </w:rPr>
              <w:t>米</w:t>
            </w:r>
          </w:p>
        </w:tc>
        <w:tc>
          <w:tcPr>
            <w:tcW w:w="257" w:type="pct"/>
            <w:tcBorders>
              <w:tl2br w:val="nil"/>
              <w:tr2bl w:val="nil"/>
            </w:tcBorders>
            <w:vAlign w:val="center"/>
          </w:tcPr>
          <w:p w14:paraId="5C8DC121">
            <w:pPr>
              <w:pStyle w:val="17"/>
              <w:bidi w:val="0"/>
              <w:rPr>
                <w:rFonts w:hint="default"/>
                <w:color w:val="auto"/>
                <w:highlight w:val="none"/>
                <w:lang w:val="en-US" w:eastAsia="zh-CN"/>
              </w:rPr>
            </w:pPr>
            <w:r>
              <w:rPr>
                <w:rFonts w:hint="default"/>
                <w:color w:val="auto"/>
                <w:highlight w:val="none"/>
                <w:lang w:val="en-US" w:eastAsia="zh-CN"/>
              </w:rPr>
              <w:t>3000</w:t>
            </w:r>
          </w:p>
        </w:tc>
        <w:tc>
          <w:tcPr>
            <w:tcW w:w="597" w:type="pct"/>
            <w:tcBorders>
              <w:tl2br w:val="nil"/>
              <w:tr2bl w:val="nil"/>
            </w:tcBorders>
            <w:vAlign w:val="center"/>
          </w:tcPr>
          <w:p w14:paraId="7E5B25C0">
            <w:pPr>
              <w:pStyle w:val="17"/>
              <w:bidi w:val="0"/>
              <w:rPr>
                <w:color w:val="auto"/>
                <w:highlight w:val="none"/>
              </w:rPr>
            </w:pPr>
          </w:p>
        </w:tc>
      </w:tr>
      <w:tr w14:paraId="58D337F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5D83E7C">
            <w:pPr>
              <w:pStyle w:val="17"/>
              <w:bidi w:val="0"/>
              <w:rPr>
                <w:rFonts w:hint="default"/>
                <w:color w:val="auto"/>
                <w:highlight w:val="none"/>
                <w:lang w:val="en-US" w:eastAsia="zh-CN"/>
              </w:rPr>
            </w:pPr>
            <w:r>
              <w:rPr>
                <w:rFonts w:hint="eastAsia"/>
                <w:color w:val="auto"/>
                <w:highlight w:val="none"/>
                <w:lang w:val="en-US" w:eastAsia="zh-CN"/>
              </w:rPr>
              <w:t>9</w:t>
            </w:r>
          </w:p>
        </w:tc>
        <w:tc>
          <w:tcPr>
            <w:tcW w:w="1822" w:type="pct"/>
            <w:tcBorders>
              <w:tl2br w:val="nil"/>
              <w:tr2bl w:val="nil"/>
            </w:tcBorders>
            <w:vAlign w:val="center"/>
          </w:tcPr>
          <w:p w14:paraId="5F460532">
            <w:pPr>
              <w:pStyle w:val="17"/>
              <w:bidi w:val="0"/>
              <w:rPr>
                <w:rFonts w:hint="eastAsia"/>
                <w:color w:val="auto"/>
                <w:highlight w:val="none"/>
                <w:lang w:val="en-US" w:eastAsia="zh-CN"/>
              </w:rPr>
            </w:pPr>
            <w:r>
              <w:rPr>
                <w:rFonts w:hint="eastAsia"/>
                <w:color w:val="auto"/>
                <w:highlight w:val="none"/>
                <w:lang w:val="en-US" w:eastAsia="zh-CN"/>
              </w:rPr>
              <w:t>2号斜井胶带BC2</w:t>
            </w:r>
          </w:p>
        </w:tc>
        <w:tc>
          <w:tcPr>
            <w:tcW w:w="1754" w:type="pct"/>
            <w:tcBorders>
              <w:tl2br w:val="nil"/>
              <w:tr2bl w:val="nil"/>
            </w:tcBorders>
            <w:vAlign w:val="center"/>
          </w:tcPr>
          <w:p w14:paraId="5F024FB3">
            <w:pPr>
              <w:pStyle w:val="17"/>
              <w:bidi w:val="0"/>
              <w:rPr>
                <w:rFonts w:hint="default"/>
                <w:color w:val="auto"/>
                <w:highlight w:val="none"/>
                <w:lang w:val="en-US" w:eastAsia="zh-CN"/>
              </w:rPr>
            </w:pPr>
            <w:r>
              <w:rPr>
                <w:rFonts w:hint="eastAsia"/>
                <w:color w:val="auto"/>
                <w:highlight w:val="none"/>
                <w:lang w:val="en-US" w:eastAsia="zh-CN"/>
              </w:rPr>
              <w:t>B=1000mmL=456m,H=113m,400t/h,ST1600,V=2.5m/s</w:t>
            </w:r>
          </w:p>
        </w:tc>
        <w:tc>
          <w:tcPr>
            <w:tcW w:w="275" w:type="pct"/>
            <w:tcBorders>
              <w:tl2br w:val="nil"/>
              <w:tr2bl w:val="nil"/>
            </w:tcBorders>
            <w:vAlign w:val="center"/>
          </w:tcPr>
          <w:p w14:paraId="4035F549">
            <w:pPr>
              <w:pStyle w:val="17"/>
              <w:bidi w:val="0"/>
              <w:rPr>
                <w:rFonts w:hint="eastAsia"/>
                <w:color w:val="auto"/>
                <w:highlight w:val="none"/>
                <w:lang w:val="en-US" w:eastAsia="zh-CN"/>
              </w:rPr>
            </w:pPr>
            <w:r>
              <w:rPr>
                <w:rFonts w:hint="eastAsia"/>
                <w:color w:val="auto"/>
                <w:highlight w:val="none"/>
                <w:lang w:val="en-US" w:eastAsia="zh-CN"/>
              </w:rPr>
              <w:t>米</w:t>
            </w:r>
          </w:p>
        </w:tc>
        <w:tc>
          <w:tcPr>
            <w:tcW w:w="257" w:type="pct"/>
            <w:tcBorders>
              <w:tl2br w:val="nil"/>
              <w:tr2bl w:val="nil"/>
            </w:tcBorders>
            <w:vAlign w:val="center"/>
          </w:tcPr>
          <w:p w14:paraId="1AF44CDF">
            <w:pPr>
              <w:pStyle w:val="17"/>
              <w:bidi w:val="0"/>
              <w:rPr>
                <w:rFonts w:hint="default"/>
                <w:color w:val="auto"/>
                <w:highlight w:val="none"/>
                <w:lang w:val="en-US" w:eastAsia="zh-CN"/>
              </w:rPr>
            </w:pPr>
            <w:r>
              <w:rPr>
                <w:rFonts w:hint="default"/>
                <w:color w:val="auto"/>
                <w:highlight w:val="none"/>
                <w:lang w:val="en-US" w:eastAsia="zh-CN"/>
              </w:rPr>
              <w:t>2100</w:t>
            </w:r>
          </w:p>
        </w:tc>
        <w:tc>
          <w:tcPr>
            <w:tcW w:w="597" w:type="pct"/>
            <w:tcBorders>
              <w:tl2br w:val="nil"/>
              <w:tr2bl w:val="nil"/>
            </w:tcBorders>
            <w:vAlign w:val="center"/>
          </w:tcPr>
          <w:p w14:paraId="644ACCD7">
            <w:pPr>
              <w:pStyle w:val="17"/>
              <w:bidi w:val="0"/>
              <w:rPr>
                <w:color w:val="auto"/>
                <w:highlight w:val="none"/>
              </w:rPr>
            </w:pPr>
          </w:p>
        </w:tc>
      </w:tr>
      <w:tr w14:paraId="213BE72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A780C12">
            <w:pPr>
              <w:pStyle w:val="17"/>
              <w:bidi w:val="0"/>
              <w:rPr>
                <w:rFonts w:hint="default"/>
                <w:color w:val="auto"/>
                <w:highlight w:val="none"/>
                <w:lang w:val="en-US" w:eastAsia="zh-CN"/>
              </w:rPr>
            </w:pPr>
            <w:r>
              <w:rPr>
                <w:rFonts w:hint="eastAsia"/>
                <w:color w:val="auto"/>
                <w:highlight w:val="none"/>
                <w:lang w:val="en-US" w:eastAsia="zh-CN"/>
              </w:rPr>
              <w:t>10</w:t>
            </w:r>
          </w:p>
        </w:tc>
        <w:tc>
          <w:tcPr>
            <w:tcW w:w="1822" w:type="pct"/>
            <w:tcBorders>
              <w:tl2br w:val="nil"/>
              <w:tr2bl w:val="nil"/>
            </w:tcBorders>
            <w:vAlign w:val="center"/>
          </w:tcPr>
          <w:p w14:paraId="22F0F7AE">
            <w:pPr>
              <w:pStyle w:val="17"/>
              <w:bidi w:val="0"/>
              <w:rPr>
                <w:rFonts w:hint="eastAsia"/>
                <w:color w:val="auto"/>
                <w:highlight w:val="none"/>
                <w:lang w:val="en-US" w:eastAsia="zh-CN"/>
              </w:rPr>
            </w:pPr>
            <w:r>
              <w:rPr>
                <w:rFonts w:hint="eastAsia"/>
                <w:color w:val="auto"/>
                <w:highlight w:val="none"/>
                <w:lang w:val="en-US" w:eastAsia="zh-CN"/>
              </w:rPr>
              <w:t>3号斜井胶带BC3</w:t>
            </w:r>
          </w:p>
        </w:tc>
        <w:tc>
          <w:tcPr>
            <w:tcW w:w="1754" w:type="pct"/>
            <w:tcBorders>
              <w:tl2br w:val="nil"/>
              <w:tr2bl w:val="nil"/>
            </w:tcBorders>
            <w:vAlign w:val="center"/>
          </w:tcPr>
          <w:p w14:paraId="2C22CE4A">
            <w:pPr>
              <w:pStyle w:val="17"/>
              <w:bidi w:val="0"/>
              <w:rPr>
                <w:rFonts w:hint="eastAsia"/>
                <w:color w:val="auto"/>
                <w:highlight w:val="none"/>
                <w:lang w:val="en-US" w:eastAsia="zh-CN"/>
              </w:rPr>
            </w:pPr>
            <w:r>
              <w:rPr>
                <w:rFonts w:hint="eastAsia"/>
                <w:color w:val="auto"/>
                <w:highlight w:val="none"/>
                <w:lang w:val="en-US" w:eastAsia="zh-CN"/>
              </w:rPr>
              <w:t>B=1000mm,L=801m,H=187m,</w:t>
            </w:r>
          </w:p>
          <w:p w14:paraId="055280E4">
            <w:pPr>
              <w:pStyle w:val="17"/>
              <w:bidi w:val="0"/>
              <w:rPr>
                <w:rFonts w:hint="default"/>
                <w:color w:val="auto"/>
                <w:highlight w:val="none"/>
                <w:lang w:val="en-US" w:eastAsia="zh-CN"/>
              </w:rPr>
            </w:pPr>
            <w:r>
              <w:rPr>
                <w:rFonts w:hint="eastAsia"/>
                <w:color w:val="auto"/>
                <w:highlight w:val="none"/>
                <w:lang w:val="en-US" w:eastAsia="zh-CN"/>
              </w:rPr>
              <w:t>400t/h,ST2000,V=2.5m/s</w:t>
            </w:r>
          </w:p>
        </w:tc>
        <w:tc>
          <w:tcPr>
            <w:tcW w:w="275" w:type="pct"/>
            <w:tcBorders>
              <w:tl2br w:val="nil"/>
              <w:tr2bl w:val="nil"/>
            </w:tcBorders>
            <w:vAlign w:val="center"/>
          </w:tcPr>
          <w:p w14:paraId="5346D8F2">
            <w:pPr>
              <w:pStyle w:val="17"/>
              <w:bidi w:val="0"/>
              <w:rPr>
                <w:rFonts w:hint="eastAsia"/>
                <w:color w:val="auto"/>
                <w:highlight w:val="none"/>
                <w:lang w:val="en-US" w:eastAsia="zh-CN"/>
              </w:rPr>
            </w:pPr>
            <w:r>
              <w:rPr>
                <w:rFonts w:hint="eastAsia"/>
                <w:color w:val="auto"/>
                <w:highlight w:val="none"/>
                <w:lang w:val="en-US" w:eastAsia="zh-CN"/>
              </w:rPr>
              <w:t>架</w:t>
            </w:r>
          </w:p>
        </w:tc>
        <w:tc>
          <w:tcPr>
            <w:tcW w:w="257" w:type="pct"/>
            <w:tcBorders>
              <w:tl2br w:val="nil"/>
              <w:tr2bl w:val="nil"/>
            </w:tcBorders>
            <w:vAlign w:val="center"/>
          </w:tcPr>
          <w:p w14:paraId="32F4F2E9">
            <w:pPr>
              <w:pStyle w:val="17"/>
              <w:bidi w:val="0"/>
              <w:rPr>
                <w:rFonts w:hint="default"/>
                <w:color w:val="auto"/>
                <w:highlight w:val="none"/>
                <w:lang w:val="en-US" w:eastAsia="zh-CN"/>
              </w:rPr>
            </w:pPr>
            <w:r>
              <w:rPr>
                <w:rFonts w:hint="default"/>
                <w:color w:val="auto"/>
                <w:highlight w:val="none"/>
                <w:lang w:val="en-US" w:eastAsia="zh-CN"/>
              </w:rPr>
              <w:t>8</w:t>
            </w:r>
          </w:p>
        </w:tc>
        <w:tc>
          <w:tcPr>
            <w:tcW w:w="597" w:type="pct"/>
            <w:tcBorders>
              <w:tl2br w:val="nil"/>
              <w:tr2bl w:val="nil"/>
            </w:tcBorders>
            <w:vAlign w:val="center"/>
          </w:tcPr>
          <w:p w14:paraId="75D67A95">
            <w:pPr>
              <w:pStyle w:val="17"/>
              <w:bidi w:val="0"/>
              <w:rPr>
                <w:color w:val="auto"/>
                <w:highlight w:val="none"/>
              </w:rPr>
            </w:pPr>
          </w:p>
        </w:tc>
      </w:tr>
      <w:tr w14:paraId="58379F5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6FB08DAF">
            <w:pPr>
              <w:pStyle w:val="17"/>
              <w:bidi w:val="0"/>
              <w:rPr>
                <w:rFonts w:hint="default"/>
                <w:color w:val="auto"/>
                <w:highlight w:val="none"/>
                <w:lang w:val="en-US" w:eastAsia="zh-CN"/>
              </w:rPr>
            </w:pPr>
            <w:r>
              <w:rPr>
                <w:rFonts w:hint="eastAsia"/>
                <w:color w:val="auto"/>
                <w:highlight w:val="none"/>
                <w:lang w:val="en-US" w:eastAsia="zh-CN"/>
              </w:rPr>
              <w:t>11</w:t>
            </w:r>
          </w:p>
        </w:tc>
        <w:tc>
          <w:tcPr>
            <w:tcW w:w="1822" w:type="pct"/>
            <w:tcBorders>
              <w:tl2br w:val="nil"/>
              <w:tr2bl w:val="nil"/>
            </w:tcBorders>
            <w:vAlign w:val="center"/>
          </w:tcPr>
          <w:p w14:paraId="2D3F4FC1">
            <w:pPr>
              <w:pStyle w:val="17"/>
              <w:bidi w:val="0"/>
              <w:rPr>
                <w:rFonts w:hint="eastAsia"/>
                <w:color w:val="auto"/>
                <w:highlight w:val="none"/>
                <w:lang w:val="en-US" w:eastAsia="zh-CN"/>
              </w:rPr>
            </w:pPr>
            <w:r>
              <w:rPr>
                <w:rFonts w:hint="eastAsia"/>
                <w:color w:val="auto"/>
                <w:highlight w:val="none"/>
                <w:lang w:val="en-US" w:eastAsia="zh-CN"/>
              </w:rPr>
              <w:t>重板给矿机</w:t>
            </w:r>
          </w:p>
        </w:tc>
        <w:tc>
          <w:tcPr>
            <w:tcW w:w="1754" w:type="pct"/>
            <w:tcBorders>
              <w:tl2br w:val="nil"/>
              <w:tr2bl w:val="nil"/>
            </w:tcBorders>
            <w:vAlign w:val="center"/>
          </w:tcPr>
          <w:p w14:paraId="29E4A4BB">
            <w:pPr>
              <w:pStyle w:val="17"/>
              <w:bidi w:val="0"/>
              <w:rPr>
                <w:rFonts w:hint="default"/>
                <w:color w:val="auto"/>
                <w:highlight w:val="none"/>
                <w:lang w:val="en-US" w:eastAsia="zh-CN"/>
              </w:rPr>
            </w:pPr>
            <w:r>
              <w:rPr>
                <w:rFonts w:hint="eastAsia"/>
                <w:color w:val="auto"/>
                <w:highlight w:val="none"/>
                <w:lang w:val="en-US" w:eastAsia="zh-CN"/>
              </w:rPr>
              <w:t>GBZ150-6</w:t>
            </w:r>
          </w:p>
        </w:tc>
        <w:tc>
          <w:tcPr>
            <w:tcW w:w="275" w:type="pct"/>
            <w:tcBorders>
              <w:tl2br w:val="nil"/>
              <w:tr2bl w:val="nil"/>
            </w:tcBorders>
            <w:vAlign w:val="center"/>
          </w:tcPr>
          <w:p w14:paraId="24320EB2">
            <w:pPr>
              <w:pStyle w:val="17"/>
              <w:bidi w:val="0"/>
              <w:rPr>
                <w:rFonts w:hint="eastAsia"/>
                <w:color w:val="auto"/>
                <w:highlight w:val="none"/>
                <w:lang w:val="en-US" w:eastAsia="zh-CN"/>
              </w:rPr>
            </w:pPr>
            <w:r>
              <w:rPr>
                <w:rFonts w:hint="eastAsia"/>
                <w:color w:val="auto"/>
                <w:highlight w:val="none"/>
                <w:lang w:val="en-US" w:eastAsia="zh-CN"/>
              </w:rPr>
              <w:t>个</w:t>
            </w:r>
          </w:p>
        </w:tc>
        <w:tc>
          <w:tcPr>
            <w:tcW w:w="257" w:type="pct"/>
            <w:tcBorders>
              <w:tl2br w:val="nil"/>
              <w:tr2bl w:val="nil"/>
            </w:tcBorders>
            <w:vAlign w:val="center"/>
          </w:tcPr>
          <w:p w14:paraId="2B27F3D7">
            <w:pPr>
              <w:pStyle w:val="17"/>
              <w:bidi w:val="0"/>
              <w:rPr>
                <w:rFonts w:hint="default"/>
                <w:color w:val="auto"/>
                <w:highlight w:val="none"/>
                <w:lang w:val="en-US" w:eastAsia="zh-CN"/>
              </w:rPr>
            </w:pPr>
            <w:r>
              <w:rPr>
                <w:rFonts w:hint="default"/>
                <w:color w:val="auto"/>
                <w:highlight w:val="none"/>
                <w:lang w:val="en-US" w:eastAsia="zh-CN"/>
              </w:rPr>
              <w:t>4</w:t>
            </w:r>
          </w:p>
        </w:tc>
        <w:tc>
          <w:tcPr>
            <w:tcW w:w="597" w:type="pct"/>
            <w:tcBorders>
              <w:tl2br w:val="nil"/>
              <w:tr2bl w:val="nil"/>
            </w:tcBorders>
            <w:vAlign w:val="center"/>
          </w:tcPr>
          <w:p w14:paraId="0501F277">
            <w:pPr>
              <w:pStyle w:val="17"/>
              <w:bidi w:val="0"/>
              <w:rPr>
                <w:color w:val="auto"/>
                <w:highlight w:val="none"/>
              </w:rPr>
            </w:pPr>
          </w:p>
        </w:tc>
      </w:tr>
      <w:tr w14:paraId="29CACCC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l2br w:val="nil"/>
              <w:tr2bl w:val="nil"/>
            </w:tcBorders>
            <w:vAlign w:val="center"/>
          </w:tcPr>
          <w:p w14:paraId="43502566">
            <w:pPr>
              <w:pStyle w:val="17"/>
              <w:bidi w:val="0"/>
              <w:rPr>
                <w:rFonts w:hint="default"/>
                <w:color w:val="auto"/>
                <w:highlight w:val="none"/>
                <w:lang w:val="en-US" w:eastAsia="zh-CN"/>
              </w:rPr>
            </w:pPr>
            <w:r>
              <w:rPr>
                <w:rFonts w:hint="eastAsia"/>
                <w:color w:val="auto"/>
                <w:highlight w:val="none"/>
                <w:lang w:val="en-US" w:eastAsia="zh-CN"/>
              </w:rPr>
              <w:t>坑内排水、排泥</w:t>
            </w:r>
          </w:p>
        </w:tc>
      </w:tr>
      <w:tr w14:paraId="211C89A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1B2F2E5">
            <w:pPr>
              <w:pStyle w:val="17"/>
              <w:bidi w:val="0"/>
              <w:rPr>
                <w:rFonts w:hint="default"/>
                <w:color w:val="auto"/>
                <w:highlight w:val="none"/>
                <w:lang w:val="en-US" w:eastAsia="zh-CN"/>
              </w:rPr>
            </w:pPr>
            <w:r>
              <w:rPr>
                <w:rFonts w:hint="eastAsia"/>
                <w:color w:val="auto"/>
                <w:highlight w:val="none"/>
                <w:lang w:val="en-US" w:eastAsia="zh-CN"/>
              </w:rPr>
              <w:t>19</w:t>
            </w:r>
          </w:p>
        </w:tc>
        <w:tc>
          <w:tcPr>
            <w:tcW w:w="1822" w:type="pct"/>
            <w:tcBorders>
              <w:tl2br w:val="nil"/>
              <w:tr2bl w:val="nil"/>
            </w:tcBorders>
            <w:vAlign w:val="center"/>
          </w:tcPr>
          <w:p w14:paraId="7913B569">
            <w:pPr>
              <w:pStyle w:val="17"/>
              <w:bidi w:val="0"/>
              <w:rPr>
                <w:rFonts w:hint="eastAsia"/>
                <w:color w:val="auto"/>
                <w:highlight w:val="none"/>
                <w:lang w:val="en-US" w:eastAsia="zh-CN"/>
              </w:rPr>
            </w:pPr>
            <w:r>
              <w:rPr>
                <w:rFonts w:hint="eastAsia"/>
                <w:color w:val="auto"/>
                <w:highlight w:val="none"/>
                <w:lang w:val="en-US" w:eastAsia="zh-CN"/>
              </w:rPr>
              <w:t>水泵</w:t>
            </w:r>
          </w:p>
        </w:tc>
        <w:tc>
          <w:tcPr>
            <w:tcW w:w="1754" w:type="pct"/>
            <w:tcBorders>
              <w:tl2br w:val="nil"/>
              <w:tr2bl w:val="nil"/>
            </w:tcBorders>
            <w:vAlign w:val="center"/>
          </w:tcPr>
          <w:p w14:paraId="6F2B1F34">
            <w:pPr>
              <w:pStyle w:val="17"/>
              <w:bidi w:val="0"/>
              <w:rPr>
                <w:rFonts w:hint="default"/>
                <w:color w:val="auto"/>
                <w:highlight w:val="none"/>
                <w:lang w:val="en-US" w:eastAsia="zh-CN"/>
              </w:rPr>
            </w:pPr>
            <w:r>
              <w:rPr>
                <w:rFonts w:hint="eastAsia"/>
                <w:color w:val="auto"/>
                <w:highlight w:val="none"/>
                <w:lang w:val="en-US" w:eastAsia="zh-CN"/>
              </w:rPr>
              <w:t>MD85-45×4</w:t>
            </w:r>
          </w:p>
        </w:tc>
        <w:tc>
          <w:tcPr>
            <w:tcW w:w="275" w:type="pct"/>
            <w:tcBorders>
              <w:tl2br w:val="nil"/>
              <w:tr2bl w:val="nil"/>
            </w:tcBorders>
            <w:vAlign w:val="center"/>
          </w:tcPr>
          <w:p w14:paraId="13230CCA">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09E0B457">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0E71C832">
            <w:pPr>
              <w:pStyle w:val="17"/>
              <w:bidi w:val="0"/>
              <w:rPr>
                <w:color w:val="auto"/>
                <w:highlight w:val="none"/>
              </w:rPr>
            </w:pPr>
          </w:p>
        </w:tc>
      </w:tr>
      <w:tr w14:paraId="62BCC35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165E660">
            <w:pPr>
              <w:pStyle w:val="17"/>
              <w:bidi w:val="0"/>
              <w:rPr>
                <w:rFonts w:hint="default"/>
                <w:color w:val="auto"/>
                <w:highlight w:val="none"/>
                <w:lang w:val="en-US" w:eastAsia="zh-CN"/>
              </w:rPr>
            </w:pPr>
            <w:r>
              <w:rPr>
                <w:rFonts w:hint="eastAsia"/>
                <w:color w:val="auto"/>
                <w:highlight w:val="none"/>
                <w:lang w:val="en-US" w:eastAsia="zh-CN"/>
              </w:rPr>
              <w:t>20</w:t>
            </w:r>
          </w:p>
        </w:tc>
        <w:tc>
          <w:tcPr>
            <w:tcW w:w="1822" w:type="pct"/>
            <w:tcBorders>
              <w:tl2br w:val="nil"/>
              <w:tr2bl w:val="nil"/>
            </w:tcBorders>
            <w:vAlign w:val="center"/>
          </w:tcPr>
          <w:p w14:paraId="1B89BB19">
            <w:pPr>
              <w:pStyle w:val="17"/>
              <w:bidi w:val="0"/>
              <w:rPr>
                <w:rFonts w:hint="eastAsia"/>
                <w:color w:val="auto"/>
                <w:highlight w:val="none"/>
                <w:lang w:val="en-US" w:eastAsia="zh-CN"/>
              </w:rPr>
            </w:pPr>
            <w:r>
              <w:rPr>
                <w:rFonts w:hint="eastAsia"/>
                <w:color w:val="auto"/>
                <w:highlight w:val="none"/>
                <w:lang w:val="en-US" w:eastAsia="zh-CN"/>
              </w:rPr>
              <w:t>电动机</w:t>
            </w:r>
          </w:p>
        </w:tc>
        <w:tc>
          <w:tcPr>
            <w:tcW w:w="1754" w:type="pct"/>
            <w:tcBorders>
              <w:tl2br w:val="nil"/>
              <w:tr2bl w:val="nil"/>
            </w:tcBorders>
            <w:vAlign w:val="center"/>
          </w:tcPr>
          <w:p w14:paraId="4ED66576">
            <w:pPr>
              <w:pStyle w:val="17"/>
              <w:bidi w:val="0"/>
              <w:rPr>
                <w:rFonts w:hint="default"/>
                <w:color w:val="auto"/>
                <w:highlight w:val="none"/>
                <w:lang w:val="en-US" w:eastAsia="zh-CN"/>
              </w:rPr>
            </w:pPr>
            <w:r>
              <w:rPr>
                <w:rFonts w:hint="eastAsia"/>
                <w:color w:val="auto"/>
                <w:highlight w:val="none"/>
                <w:lang w:val="en-US" w:eastAsia="zh-CN"/>
              </w:rPr>
              <w:t>2极交流电机</w:t>
            </w:r>
          </w:p>
        </w:tc>
        <w:tc>
          <w:tcPr>
            <w:tcW w:w="275" w:type="pct"/>
            <w:tcBorders>
              <w:tl2br w:val="nil"/>
              <w:tr2bl w:val="nil"/>
            </w:tcBorders>
            <w:vAlign w:val="center"/>
          </w:tcPr>
          <w:p w14:paraId="4AB3C0D7">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08566746">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4219D331">
            <w:pPr>
              <w:pStyle w:val="17"/>
              <w:bidi w:val="0"/>
              <w:rPr>
                <w:color w:val="auto"/>
                <w:highlight w:val="none"/>
              </w:rPr>
            </w:pPr>
          </w:p>
        </w:tc>
      </w:tr>
      <w:tr w14:paraId="7ADFF26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91" w:type="pct"/>
            <w:tcBorders>
              <w:tl2br w:val="nil"/>
              <w:tr2bl w:val="nil"/>
            </w:tcBorders>
            <w:vAlign w:val="center"/>
          </w:tcPr>
          <w:p w14:paraId="3B1EBAF6">
            <w:pPr>
              <w:pStyle w:val="17"/>
              <w:bidi w:val="0"/>
              <w:rPr>
                <w:rFonts w:hint="default"/>
                <w:color w:val="auto"/>
                <w:highlight w:val="none"/>
                <w:lang w:val="en-US" w:eastAsia="zh-CN"/>
              </w:rPr>
            </w:pPr>
            <w:r>
              <w:rPr>
                <w:rFonts w:hint="eastAsia"/>
                <w:color w:val="auto"/>
                <w:highlight w:val="none"/>
                <w:lang w:val="en-US" w:eastAsia="zh-CN"/>
              </w:rPr>
              <w:t>20</w:t>
            </w:r>
          </w:p>
        </w:tc>
        <w:tc>
          <w:tcPr>
            <w:tcW w:w="1822" w:type="pct"/>
            <w:tcBorders>
              <w:tl2br w:val="nil"/>
              <w:tr2bl w:val="nil"/>
            </w:tcBorders>
            <w:shd w:val="clear" w:color="auto" w:fill="auto"/>
            <w:vAlign w:val="center"/>
          </w:tcPr>
          <w:p w14:paraId="5430CCE0">
            <w:pPr>
              <w:pStyle w:val="17"/>
              <w:bidi w:val="0"/>
              <w:rPr>
                <w:rFonts w:hint="eastAsia"/>
                <w:color w:val="auto"/>
                <w:highlight w:val="none"/>
                <w:lang w:val="en-US" w:eastAsia="zh-CN"/>
              </w:rPr>
            </w:pPr>
            <w:r>
              <w:rPr>
                <w:rFonts w:hint="eastAsia"/>
                <w:color w:val="auto"/>
                <w:highlight w:val="none"/>
                <w:lang w:val="en-US" w:eastAsia="zh-CN"/>
              </w:rPr>
              <w:t>水泵</w:t>
            </w:r>
          </w:p>
        </w:tc>
        <w:tc>
          <w:tcPr>
            <w:tcW w:w="1754" w:type="pct"/>
            <w:tcBorders>
              <w:tl2br w:val="nil"/>
              <w:tr2bl w:val="nil"/>
            </w:tcBorders>
            <w:vAlign w:val="center"/>
          </w:tcPr>
          <w:p w14:paraId="2BAB4556">
            <w:pPr>
              <w:pStyle w:val="17"/>
              <w:bidi w:val="0"/>
              <w:rPr>
                <w:rFonts w:hint="default"/>
                <w:color w:val="auto"/>
                <w:highlight w:val="none"/>
                <w:lang w:val="en-US" w:eastAsia="zh-CN"/>
              </w:rPr>
            </w:pPr>
            <w:r>
              <w:rPr>
                <w:rFonts w:hint="eastAsia"/>
                <w:color w:val="auto"/>
                <w:highlight w:val="none"/>
                <w:lang w:val="en-US" w:eastAsia="zh-CN"/>
              </w:rPr>
              <w:t>MD360-60×9</w:t>
            </w:r>
          </w:p>
        </w:tc>
        <w:tc>
          <w:tcPr>
            <w:tcW w:w="275" w:type="pct"/>
            <w:tcBorders>
              <w:tl2br w:val="nil"/>
              <w:tr2bl w:val="nil"/>
            </w:tcBorders>
            <w:vAlign w:val="center"/>
          </w:tcPr>
          <w:p w14:paraId="0EAA7A18">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4CF1D0A2">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0A14BE9A">
            <w:pPr>
              <w:pStyle w:val="17"/>
              <w:bidi w:val="0"/>
              <w:rPr>
                <w:color w:val="auto"/>
                <w:highlight w:val="none"/>
              </w:rPr>
            </w:pPr>
          </w:p>
        </w:tc>
      </w:tr>
      <w:tr w14:paraId="62C2F25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3BF215E7">
            <w:pPr>
              <w:pStyle w:val="17"/>
              <w:bidi w:val="0"/>
              <w:rPr>
                <w:rFonts w:hint="default"/>
                <w:color w:val="auto"/>
                <w:highlight w:val="none"/>
                <w:lang w:val="en-US" w:eastAsia="zh-CN"/>
              </w:rPr>
            </w:pPr>
            <w:r>
              <w:rPr>
                <w:rFonts w:hint="eastAsia"/>
                <w:color w:val="auto"/>
                <w:highlight w:val="none"/>
                <w:lang w:val="en-US" w:eastAsia="zh-CN"/>
              </w:rPr>
              <w:t>22</w:t>
            </w:r>
          </w:p>
        </w:tc>
        <w:tc>
          <w:tcPr>
            <w:tcW w:w="1822" w:type="pct"/>
            <w:tcBorders>
              <w:tl2br w:val="nil"/>
              <w:tr2bl w:val="nil"/>
            </w:tcBorders>
            <w:shd w:val="clear" w:color="auto" w:fill="auto"/>
            <w:vAlign w:val="center"/>
          </w:tcPr>
          <w:p w14:paraId="3EC224DC">
            <w:pPr>
              <w:pStyle w:val="17"/>
              <w:bidi w:val="0"/>
              <w:rPr>
                <w:rFonts w:hint="eastAsia"/>
                <w:color w:val="auto"/>
                <w:highlight w:val="none"/>
                <w:lang w:val="en-US" w:eastAsia="zh-CN"/>
              </w:rPr>
            </w:pPr>
            <w:r>
              <w:rPr>
                <w:rFonts w:hint="eastAsia"/>
                <w:color w:val="auto"/>
                <w:highlight w:val="none"/>
                <w:lang w:val="en-US" w:eastAsia="zh-CN"/>
              </w:rPr>
              <w:t>电动机</w:t>
            </w:r>
          </w:p>
        </w:tc>
        <w:tc>
          <w:tcPr>
            <w:tcW w:w="1754" w:type="pct"/>
            <w:tcBorders>
              <w:tl2br w:val="nil"/>
              <w:tr2bl w:val="nil"/>
            </w:tcBorders>
            <w:vAlign w:val="center"/>
          </w:tcPr>
          <w:p w14:paraId="4D87AEC3">
            <w:pPr>
              <w:pStyle w:val="17"/>
              <w:bidi w:val="0"/>
              <w:rPr>
                <w:rFonts w:hint="default"/>
                <w:color w:val="auto"/>
                <w:highlight w:val="none"/>
                <w:lang w:val="en-US" w:eastAsia="zh-CN"/>
              </w:rPr>
            </w:pPr>
            <w:r>
              <w:rPr>
                <w:rFonts w:hint="eastAsia"/>
                <w:color w:val="auto"/>
                <w:highlight w:val="none"/>
                <w:lang w:val="en-US" w:eastAsia="zh-CN"/>
              </w:rPr>
              <w:t>4极交流电机</w:t>
            </w:r>
          </w:p>
        </w:tc>
        <w:tc>
          <w:tcPr>
            <w:tcW w:w="275" w:type="pct"/>
            <w:tcBorders>
              <w:tl2br w:val="nil"/>
              <w:tr2bl w:val="nil"/>
            </w:tcBorders>
            <w:vAlign w:val="center"/>
          </w:tcPr>
          <w:p w14:paraId="08F824EF">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46989AD9">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73024A5D">
            <w:pPr>
              <w:pStyle w:val="17"/>
              <w:bidi w:val="0"/>
              <w:rPr>
                <w:color w:val="auto"/>
                <w:highlight w:val="none"/>
              </w:rPr>
            </w:pPr>
          </w:p>
        </w:tc>
      </w:tr>
      <w:tr w14:paraId="2B75397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2C38959">
            <w:pPr>
              <w:pStyle w:val="17"/>
              <w:bidi w:val="0"/>
              <w:rPr>
                <w:rFonts w:hint="default"/>
                <w:color w:val="auto"/>
                <w:highlight w:val="none"/>
                <w:lang w:val="en-US" w:eastAsia="zh-CN"/>
              </w:rPr>
            </w:pPr>
            <w:r>
              <w:rPr>
                <w:rFonts w:hint="eastAsia"/>
                <w:color w:val="auto"/>
                <w:highlight w:val="none"/>
                <w:lang w:val="en-US" w:eastAsia="zh-CN"/>
              </w:rPr>
              <w:t>23</w:t>
            </w:r>
          </w:p>
        </w:tc>
        <w:tc>
          <w:tcPr>
            <w:tcW w:w="1822" w:type="pct"/>
            <w:tcBorders>
              <w:tl2br w:val="nil"/>
              <w:tr2bl w:val="nil"/>
            </w:tcBorders>
            <w:shd w:val="clear" w:color="auto" w:fill="auto"/>
            <w:vAlign w:val="center"/>
          </w:tcPr>
          <w:p w14:paraId="1306419A">
            <w:pPr>
              <w:pStyle w:val="17"/>
              <w:bidi w:val="0"/>
              <w:rPr>
                <w:rFonts w:hint="eastAsia"/>
                <w:color w:val="auto"/>
                <w:highlight w:val="none"/>
                <w:lang w:val="en-US" w:eastAsia="zh-CN"/>
              </w:rPr>
            </w:pPr>
            <w:r>
              <w:rPr>
                <w:rFonts w:hint="eastAsia"/>
                <w:color w:val="auto"/>
                <w:highlight w:val="none"/>
                <w:lang w:val="en-US" w:eastAsia="zh-CN"/>
              </w:rPr>
              <w:t>水泵</w:t>
            </w:r>
          </w:p>
        </w:tc>
        <w:tc>
          <w:tcPr>
            <w:tcW w:w="1754" w:type="pct"/>
            <w:tcBorders>
              <w:tl2br w:val="nil"/>
              <w:tr2bl w:val="nil"/>
            </w:tcBorders>
            <w:vAlign w:val="center"/>
          </w:tcPr>
          <w:p w14:paraId="08C9C79E">
            <w:pPr>
              <w:pStyle w:val="17"/>
              <w:bidi w:val="0"/>
              <w:rPr>
                <w:rFonts w:hint="default"/>
                <w:color w:val="auto"/>
                <w:highlight w:val="none"/>
                <w:lang w:val="en-US" w:eastAsia="zh-CN"/>
              </w:rPr>
            </w:pPr>
            <w:r>
              <w:rPr>
                <w:rFonts w:hint="eastAsia"/>
                <w:color w:val="auto"/>
                <w:highlight w:val="none"/>
                <w:lang w:val="en-US" w:eastAsia="zh-CN"/>
              </w:rPr>
              <w:t>MD360-40×3</w:t>
            </w:r>
          </w:p>
        </w:tc>
        <w:tc>
          <w:tcPr>
            <w:tcW w:w="275" w:type="pct"/>
            <w:tcBorders>
              <w:tl2br w:val="nil"/>
              <w:tr2bl w:val="nil"/>
            </w:tcBorders>
            <w:vAlign w:val="center"/>
          </w:tcPr>
          <w:p w14:paraId="0487F453">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0F507C6E">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58992D0F">
            <w:pPr>
              <w:pStyle w:val="17"/>
              <w:bidi w:val="0"/>
              <w:rPr>
                <w:color w:val="auto"/>
                <w:highlight w:val="none"/>
              </w:rPr>
            </w:pPr>
          </w:p>
        </w:tc>
      </w:tr>
      <w:tr w14:paraId="56F4DE8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320C0CEF">
            <w:pPr>
              <w:pStyle w:val="17"/>
              <w:bidi w:val="0"/>
              <w:rPr>
                <w:rFonts w:hint="default"/>
                <w:color w:val="auto"/>
                <w:highlight w:val="none"/>
                <w:lang w:val="en-US" w:eastAsia="zh-CN"/>
              </w:rPr>
            </w:pPr>
            <w:r>
              <w:rPr>
                <w:rFonts w:hint="eastAsia"/>
                <w:color w:val="auto"/>
                <w:highlight w:val="none"/>
                <w:lang w:val="en-US" w:eastAsia="zh-CN"/>
              </w:rPr>
              <w:t>24</w:t>
            </w:r>
          </w:p>
        </w:tc>
        <w:tc>
          <w:tcPr>
            <w:tcW w:w="1822" w:type="pct"/>
            <w:tcBorders>
              <w:tl2br w:val="nil"/>
              <w:tr2bl w:val="nil"/>
            </w:tcBorders>
            <w:shd w:val="clear" w:color="auto" w:fill="auto"/>
            <w:vAlign w:val="center"/>
          </w:tcPr>
          <w:p w14:paraId="779D2336">
            <w:pPr>
              <w:pStyle w:val="17"/>
              <w:bidi w:val="0"/>
              <w:rPr>
                <w:rFonts w:hint="eastAsia"/>
                <w:color w:val="auto"/>
                <w:highlight w:val="none"/>
                <w:lang w:val="en-US" w:eastAsia="zh-CN"/>
              </w:rPr>
            </w:pPr>
            <w:r>
              <w:rPr>
                <w:rFonts w:hint="eastAsia"/>
                <w:color w:val="auto"/>
                <w:highlight w:val="none"/>
                <w:lang w:val="en-US" w:eastAsia="zh-CN"/>
              </w:rPr>
              <w:t>电动机</w:t>
            </w:r>
          </w:p>
        </w:tc>
        <w:tc>
          <w:tcPr>
            <w:tcW w:w="1754" w:type="pct"/>
            <w:tcBorders>
              <w:tl2br w:val="nil"/>
              <w:tr2bl w:val="nil"/>
            </w:tcBorders>
            <w:vAlign w:val="center"/>
          </w:tcPr>
          <w:p w14:paraId="1246790B">
            <w:pPr>
              <w:pStyle w:val="17"/>
              <w:bidi w:val="0"/>
              <w:rPr>
                <w:rFonts w:hint="default"/>
                <w:color w:val="auto"/>
                <w:highlight w:val="none"/>
                <w:lang w:val="en-US" w:eastAsia="zh-CN"/>
              </w:rPr>
            </w:pPr>
            <w:r>
              <w:rPr>
                <w:rFonts w:hint="eastAsia"/>
                <w:color w:val="auto"/>
                <w:highlight w:val="none"/>
                <w:lang w:val="en-US" w:eastAsia="zh-CN"/>
              </w:rPr>
              <w:t>4极交流电机</w:t>
            </w:r>
          </w:p>
        </w:tc>
        <w:tc>
          <w:tcPr>
            <w:tcW w:w="275" w:type="pct"/>
            <w:tcBorders>
              <w:tl2br w:val="nil"/>
              <w:tr2bl w:val="nil"/>
            </w:tcBorders>
            <w:vAlign w:val="center"/>
          </w:tcPr>
          <w:p w14:paraId="0C9B771C">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05FE4C79">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03D1574B">
            <w:pPr>
              <w:pStyle w:val="17"/>
              <w:bidi w:val="0"/>
              <w:rPr>
                <w:color w:val="auto"/>
                <w:highlight w:val="none"/>
              </w:rPr>
            </w:pPr>
          </w:p>
        </w:tc>
      </w:tr>
      <w:tr w14:paraId="5726612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B5C6590">
            <w:pPr>
              <w:pStyle w:val="17"/>
              <w:bidi w:val="0"/>
              <w:rPr>
                <w:rFonts w:hint="default"/>
                <w:color w:val="auto"/>
                <w:highlight w:val="none"/>
                <w:lang w:val="en-US" w:eastAsia="zh-CN"/>
              </w:rPr>
            </w:pPr>
            <w:r>
              <w:rPr>
                <w:rFonts w:hint="eastAsia"/>
                <w:color w:val="auto"/>
                <w:highlight w:val="none"/>
                <w:lang w:val="en-US" w:eastAsia="zh-CN"/>
              </w:rPr>
              <w:t>25</w:t>
            </w:r>
          </w:p>
        </w:tc>
        <w:tc>
          <w:tcPr>
            <w:tcW w:w="1822" w:type="pct"/>
            <w:tcBorders>
              <w:tl2br w:val="nil"/>
              <w:tr2bl w:val="nil"/>
            </w:tcBorders>
            <w:shd w:val="clear" w:color="auto" w:fill="auto"/>
            <w:vAlign w:val="center"/>
          </w:tcPr>
          <w:p w14:paraId="6C0BF8B5">
            <w:pPr>
              <w:pStyle w:val="17"/>
              <w:bidi w:val="0"/>
              <w:rPr>
                <w:rFonts w:hint="eastAsia"/>
                <w:color w:val="auto"/>
                <w:highlight w:val="none"/>
                <w:lang w:val="en-US" w:eastAsia="zh-CN"/>
              </w:rPr>
            </w:pPr>
            <w:r>
              <w:rPr>
                <w:rFonts w:hint="eastAsia"/>
                <w:color w:val="auto"/>
                <w:highlight w:val="none"/>
                <w:lang w:val="en-US" w:eastAsia="zh-CN"/>
              </w:rPr>
              <w:t>矿用清泥机</w:t>
            </w:r>
          </w:p>
        </w:tc>
        <w:tc>
          <w:tcPr>
            <w:tcW w:w="1754" w:type="pct"/>
            <w:tcBorders>
              <w:tl2br w:val="nil"/>
              <w:tr2bl w:val="nil"/>
            </w:tcBorders>
            <w:vAlign w:val="center"/>
          </w:tcPr>
          <w:p w14:paraId="3B44340C">
            <w:pPr>
              <w:pStyle w:val="17"/>
              <w:bidi w:val="0"/>
              <w:rPr>
                <w:rFonts w:hint="default"/>
                <w:color w:val="auto"/>
                <w:highlight w:val="none"/>
                <w:lang w:val="en-US" w:eastAsia="zh-CN"/>
              </w:rPr>
            </w:pPr>
            <w:r>
              <w:rPr>
                <w:rFonts w:hint="eastAsia"/>
                <w:color w:val="auto"/>
                <w:highlight w:val="none"/>
                <w:lang w:val="en-US" w:eastAsia="zh-CN"/>
              </w:rPr>
              <w:t>MQC-15，Q=15m</w:t>
            </w:r>
            <w:r>
              <w:rPr>
                <w:rFonts w:hint="eastAsia"/>
                <w:color w:val="auto"/>
                <w:highlight w:val="none"/>
                <w:vertAlign w:val="superscript"/>
                <w:lang w:val="en-US" w:eastAsia="zh-CN"/>
              </w:rPr>
              <w:t>3</w:t>
            </w:r>
            <w:r>
              <w:rPr>
                <w:rFonts w:hint="eastAsia"/>
                <w:color w:val="auto"/>
                <w:highlight w:val="none"/>
                <w:lang w:val="en-US" w:eastAsia="zh-CN"/>
              </w:rPr>
              <w:t>/h</w:t>
            </w:r>
          </w:p>
        </w:tc>
        <w:tc>
          <w:tcPr>
            <w:tcW w:w="275" w:type="pct"/>
            <w:tcBorders>
              <w:tl2br w:val="nil"/>
              <w:tr2bl w:val="nil"/>
            </w:tcBorders>
            <w:vAlign w:val="center"/>
          </w:tcPr>
          <w:p w14:paraId="2DD47A05">
            <w:pPr>
              <w:pStyle w:val="17"/>
              <w:bidi w:val="0"/>
              <w:rPr>
                <w:rFonts w:hint="eastAsia"/>
                <w:color w:val="auto"/>
                <w:highlight w:val="none"/>
                <w:lang w:val="en-US" w:eastAsia="zh-CN"/>
              </w:rPr>
            </w:pPr>
            <w:r>
              <w:rPr>
                <w:rFonts w:hint="eastAsia"/>
                <w:color w:val="auto"/>
                <w:highlight w:val="none"/>
                <w:lang w:val="en-US" w:eastAsia="zh-CN"/>
              </w:rPr>
              <w:t>套</w:t>
            </w:r>
          </w:p>
        </w:tc>
        <w:tc>
          <w:tcPr>
            <w:tcW w:w="257" w:type="pct"/>
            <w:tcBorders>
              <w:tl2br w:val="nil"/>
              <w:tr2bl w:val="nil"/>
            </w:tcBorders>
            <w:vAlign w:val="center"/>
          </w:tcPr>
          <w:p w14:paraId="3ED7F869">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7B3AB2BD">
            <w:pPr>
              <w:pStyle w:val="17"/>
              <w:bidi w:val="0"/>
              <w:rPr>
                <w:color w:val="auto"/>
                <w:highlight w:val="none"/>
              </w:rPr>
            </w:pPr>
          </w:p>
        </w:tc>
      </w:tr>
      <w:tr w14:paraId="3ED3EF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5BE2AEB">
            <w:pPr>
              <w:pStyle w:val="17"/>
              <w:bidi w:val="0"/>
              <w:rPr>
                <w:rFonts w:hint="default"/>
                <w:color w:val="auto"/>
                <w:highlight w:val="none"/>
                <w:lang w:val="en-US" w:eastAsia="zh-CN"/>
              </w:rPr>
            </w:pPr>
            <w:r>
              <w:rPr>
                <w:rFonts w:hint="eastAsia"/>
                <w:color w:val="auto"/>
                <w:highlight w:val="none"/>
                <w:lang w:val="en-US" w:eastAsia="zh-CN"/>
              </w:rPr>
              <w:t>26</w:t>
            </w:r>
          </w:p>
        </w:tc>
        <w:tc>
          <w:tcPr>
            <w:tcW w:w="1822" w:type="pct"/>
            <w:tcBorders>
              <w:tl2br w:val="nil"/>
              <w:tr2bl w:val="nil"/>
            </w:tcBorders>
            <w:vAlign w:val="center"/>
          </w:tcPr>
          <w:p w14:paraId="73599C19">
            <w:pPr>
              <w:pStyle w:val="17"/>
              <w:bidi w:val="0"/>
              <w:rPr>
                <w:rFonts w:hint="eastAsia"/>
                <w:color w:val="auto"/>
                <w:highlight w:val="none"/>
                <w:lang w:val="en-US" w:eastAsia="zh-CN"/>
              </w:rPr>
            </w:pPr>
            <w:r>
              <w:rPr>
                <w:rFonts w:hint="eastAsia"/>
                <w:color w:val="auto"/>
                <w:highlight w:val="none"/>
                <w:lang w:val="en-US" w:eastAsia="zh-CN"/>
              </w:rPr>
              <w:t>泥浆清挖搅拌车</w:t>
            </w:r>
          </w:p>
        </w:tc>
        <w:tc>
          <w:tcPr>
            <w:tcW w:w="1754" w:type="pct"/>
            <w:tcBorders>
              <w:tl2br w:val="nil"/>
              <w:tr2bl w:val="nil"/>
            </w:tcBorders>
            <w:vAlign w:val="center"/>
          </w:tcPr>
          <w:p w14:paraId="27E38860">
            <w:pPr>
              <w:pStyle w:val="17"/>
              <w:bidi w:val="0"/>
              <w:rPr>
                <w:rFonts w:hint="default"/>
                <w:color w:val="auto"/>
                <w:highlight w:val="none"/>
                <w:lang w:val="en-US" w:eastAsia="zh-CN"/>
              </w:rPr>
            </w:pPr>
            <w:r>
              <w:rPr>
                <w:rFonts w:hint="eastAsia"/>
                <w:color w:val="auto"/>
                <w:highlight w:val="none"/>
                <w:lang w:val="en-US" w:eastAsia="zh-CN"/>
              </w:rPr>
              <w:t>QSC-15J</w:t>
            </w:r>
          </w:p>
        </w:tc>
        <w:tc>
          <w:tcPr>
            <w:tcW w:w="275" w:type="pct"/>
            <w:tcBorders>
              <w:tl2br w:val="nil"/>
              <w:tr2bl w:val="nil"/>
            </w:tcBorders>
            <w:vAlign w:val="center"/>
          </w:tcPr>
          <w:p w14:paraId="06976E29">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39D2A157">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08495A60">
            <w:pPr>
              <w:pStyle w:val="17"/>
              <w:bidi w:val="0"/>
              <w:rPr>
                <w:color w:val="auto"/>
                <w:highlight w:val="none"/>
              </w:rPr>
            </w:pPr>
          </w:p>
        </w:tc>
      </w:tr>
      <w:tr w14:paraId="689C0D4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0A8B9C1">
            <w:pPr>
              <w:pStyle w:val="17"/>
              <w:bidi w:val="0"/>
              <w:rPr>
                <w:rFonts w:hint="default"/>
                <w:color w:val="auto"/>
                <w:highlight w:val="none"/>
                <w:lang w:val="en-US" w:eastAsia="zh-CN"/>
              </w:rPr>
            </w:pPr>
            <w:r>
              <w:rPr>
                <w:rFonts w:hint="eastAsia"/>
                <w:color w:val="auto"/>
                <w:highlight w:val="none"/>
                <w:lang w:val="en-US" w:eastAsia="zh-CN"/>
              </w:rPr>
              <w:t>27</w:t>
            </w:r>
          </w:p>
        </w:tc>
        <w:tc>
          <w:tcPr>
            <w:tcW w:w="1822" w:type="pct"/>
            <w:tcBorders>
              <w:tl2br w:val="nil"/>
              <w:tr2bl w:val="nil"/>
            </w:tcBorders>
            <w:vAlign w:val="center"/>
          </w:tcPr>
          <w:p w14:paraId="438683D7">
            <w:pPr>
              <w:pStyle w:val="17"/>
              <w:bidi w:val="0"/>
              <w:rPr>
                <w:rFonts w:hint="eastAsia"/>
                <w:color w:val="auto"/>
                <w:highlight w:val="none"/>
                <w:lang w:val="en-US" w:eastAsia="zh-CN"/>
              </w:rPr>
            </w:pPr>
            <w:r>
              <w:rPr>
                <w:rFonts w:hint="eastAsia"/>
                <w:color w:val="auto"/>
                <w:highlight w:val="none"/>
                <w:lang w:val="en-US" w:eastAsia="zh-CN"/>
              </w:rPr>
              <w:t>泥浆粗分机</w:t>
            </w:r>
          </w:p>
        </w:tc>
        <w:tc>
          <w:tcPr>
            <w:tcW w:w="1754" w:type="pct"/>
            <w:tcBorders>
              <w:tl2br w:val="nil"/>
              <w:tr2bl w:val="nil"/>
            </w:tcBorders>
            <w:vAlign w:val="center"/>
          </w:tcPr>
          <w:p w14:paraId="474BD9DE">
            <w:pPr>
              <w:pStyle w:val="17"/>
              <w:bidi w:val="0"/>
              <w:rPr>
                <w:rFonts w:hint="default"/>
                <w:color w:val="auto"/>
                <w:highlight w:val="none"/>
                <w:lang w:val="en-US" w:eastAsia="zh-CN"/>
              </w:rPr>
            </w:pPr>
            <w:r>
              <w:rPr>
                <w:rFonts w:hint="eastAsia"/>
                <w:color w:val="auto"/>
                <w:highlight w:val="none"/>
                <w:lang w:val="en-US" w:eastAsia="zh-CN"/>
              </w:rPr>
              <w:t>MC-1.5</w:t>
            </w:r>
          </w:p>
        </w:tc>
        <w:tc>
          <w:tcPr>
            <w:tcW w:w="275" w:type="pct"/>
            <w:tcBorders>
              <w:tl2br w:val="nil"/>
              <w:tr2bl w:val="nil"/>
            </w:tcBorders>
            <w:vAlign w:val="center"/>
          </w:tcPr>
          <w:p w14:paraId="300E66D8">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66EC3F66">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74049398">
            <w:pPr>
              <w:pStyle w:val="17"/>
              <w:bidi w:val="0"/>
              <w:rPr>
                <w:color w:val="auto"/>
                <w:highlight w:val="none"/>
              </w:rPr>
            </w:pPr>
          </w:p>
        </w:tc>
      </w:tr>
      <w:tr w14:paraId="7E8D731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1BD5E09">
            <w:pPr>
              <w:pStyle w:val="17"/>
              <w:bidi w:val="0"/>
              <w:rPr>
                <w:rFonts w:hint="default"/>
                <w:color w:val="auto"/>
                <w:highlight w:val="none"/>
                <w:lang w:val="en-US" w:eastAsia="zh-CN"/>
              </w:rPr>
            </w:pPr>
            <w:r>
              <w:rPr>
                <w:rFonts w:hint="eastAsia"/>
                <w:color w:val="auto"/>
                <w:highlight w:val="none"/>
                <w:lang w:val="en-US" w:eastAsia="zh-CN"/>
              </w:rPr>
              <w:t>28</w:t>
            </w:r>
          </w:p>
        </w:tc>
        <w:tc>
          <w:tcPr>
            <w:tcW w:w="1822" w:type="pct"/>
            <w:tcBorders>
              <w:tl2br w:val="nil"/>
              <w:tr2bl w:val="nil"/>
            </w:tcBorders>
            <w:vAlign w:val="center"/>
          </w:tcPr>
          <w:p w14:paraId="77AF424B">
            <w:pPr>
              <w:pStyle w:val="17"/>
              <w:bidi w:val="0"/>
              <w:rPr>
                <w:rFonts w:hint="eastAsia"/>
                <w:color w:val="auto"/>
                <w:highlight w:val="none"/>
                <w:lang w:val="en-US" w:eastAsia="zh-CN"/>
              </w:rPr>
            </w:pPr>
            <w:r>
              <w:rPr>
                <w:rFonts w:hint="eastAsia"/>
                <w:color w:val="auto"/>
                <w:highlight w:val="none"/>
                <w:lang w:val="en-US" w:eastAsia="zh-CN"/>
              </w:rPr>
              <w:t>离心式泥浆泵</w:t>
            </w:r>
          </w:p>
        </w:tc>
        <w:tc>
          <w:tcPr>
            <w:tcW w:w="1754" w:type="pct"/>
            <w:tcBorders>
              <w:tl2br w:val="nil"/>
              <w:tr2bl w:val="nil"/>
            </w:tcBorders>
            <w:vAlign w:val="center"/>
          </w:tcPr>
          <w:p w14:paraId="5B05EDC9">
            <w:pPr>
              <w:pStyle w:val="17"/>
              <w:bidi w:val="0"/>
              <w:rPr>
                <w:rFonts w:hint="default"/>
                <w:color w:val="auto"/>
                <w:highlight w:val="none"/>
                <w:lang w:val="en-US" w:eastAsia="zh-CN"/>
              </w:rPr>
            </w:pPr>
            <w:r>
              <w:rPr>
                <w:rFonts w:hint="eastAsia"/>
                <w:color w:val="auto"/>
                <w:highlight w:val="none"/>
                <w:lang w:val="en-US" w:eastAsia="zh-CN"/>
              </w:rPr>
              <w:t>21/2PN-215</w:t>
            </w:r>
          </w:p>
        </w:tc>
        <w:tc>
          <w:tcPr>
            <w:tcW w:w="275" w:type="pct"/>
            <w:tcBorders>
              <w:tl2br w:val="nil"/>
              <w:tr2bl w:val="nil"/>
            </w:tcBorders>
            <w:vAlign w:val="center"/>
          </w:tcPr>
          <w:p w14:paraId="5915572D">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002D4327">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5E8AAA3A">
            <w:pPr>
              <w:pStyle w:val="17"/>
              <w:bidi w:val="0"/>
              <w:rPr>
                <w:color w:val="auto"/>
                <w:highlight w:val="none"/>
              </w:rPr>
            </w:pPr>
          </w:p>
        </w:tc>
      </w:tr>
      <w:tr w14:paraId="7E46610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7AD1F62">
            <w:pPr>
              <w:pStyle w:val="17"/>
              <w:bidi w:val="0"/>
              <w:rPr>
                <w:rFonts w:hint="default"/>
                <w:color w:val="auto"/>
                <w:highlight w:val="none"/>
                <w:lang w:val="en-US" w:eastAsia="zh-CN"/>
              </w:rPr>
            </w:pPr>
            <w:r>
              <w:rPr>
                <w:rFonts w:hint="eastAsia"/>
                <w:color w:val="auto"/>
                <w:highlight w:val="none"/>
                <w:lang w:val="en-US" w:eastAsia="zh-CN"/>
              </w:rPr>
              <w:t>29</w:t>
            </w:r>
          </w:p>
        </w:tc>
        <w:tc>
          <w:tcPr>
            <w:tcW w:w="1822" w:type="pct"/>
            <w:tcBorders>
              <w:tl2br w:val="nil"/>
              <w:tr2bl w:val="nil"/>
            </w:tcBorders>
            <w:vAlign w:val="center"/>
          </w:tcPr>
          <w:p w14:paraId="22F1AAC4">
            <w:pPr>
              <w:pStyle w:val="17"/>
              <w:bidi w:val="0"/>
              <w:rPr>
                <w:rFonts w:hint="eastAsia"/>
                <w:color w:val="auto"/>
                <w:highlight w:val="none"/>
                <w:lang w:val="en-US" w:eastAsia="zh-CN"/>
              </w:rPr>
            </w:pPr>
            <w:r>
              <w:rPr>
                <w:rFonts w:hint="eastAsia"/>
                <w:color w:val="auto"/>
                <w:highlight w:val="none"/>
                <w:lang w:val="en-US" w:eastAsia="zh-CN"/>
              </w:rPr>
              <w:t>多功能泥浆压滤机</w:t>
            </w:r>
          </w:p>
        </w:tc>
        <w:tc>
          <w:tcPr>
            <w:tcW w:w="1754" w:type="pct"/>
            <w:tcBorders>
              <w:tl2br w:val="nil"/>
              <w:tr2bl w:val="nil"/>
            </w:tcBorders>
            <w:vAlign w:val="center"/>
          </w:tcPr>
          <w:p w14:paraId="11B03D66">
            <w:pPr>
              <w:pStyle w:val="17"/>
              <w:bidi w:val="0"/>
              <w:rPr>
                <w:rFonts w:hint="default"/>
                <w:color w:val="auto"/>
                <w:highlight w:val="none"/>
                <w:lang w:val="en-US" w:eastAsia="zh-CN"/>
              </w:rPr>
            </w:pPr>
            <w:r>
              <w:rPr>
                <w:rFonts w:hint="eastAsia"/>
                <w:color w:val="auto"/>
                <w:highlight w:val="none"/>
                <w:lang w:val="en-US" w:eastAsia="zh-CN"/>
              </w:rPr>
              <w:t>MDYZ</w:t>
            </w:r>
          </w:p>
        </w:tc>
        <w:tc>
          <w:tcPr>
            <w:tcW w:w="275" w:type="pct"/>
            <w:tcBorders>
              <w:tl2br w:val="nil"/>
              <w:tr2bl w:val="nil"/>
            </w:tcBorders>
            <w:vAlign w:val="center"/>
          </w:tcPr>
          <w:p w14:paraId="17F81498">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052FDEFD">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5A0DFCC8">
            <w:pPr>
              <w:pStyle w:val="17"/>
              <w:bidi w:val="0"/>
              <w:rPr>
                <w:color w:val="auto"/>
                <w:highlight w:val="none"/>
              </w:rPr>
            </w:pPr>
          </w:p>
        </w:tc>
      </w:tr>
      <w:tr w14:paraId="09BDD48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2C06F21">
            <w:pPr>
              <w:pStyle w:val="17"/>
              <w:bidi w:val="0"/>
              <w:rPr>
                <w:rFonts w:hint="default"/>
                <w:color w:val="auto"/>
                <w:highlight w:val="none"/>
                <w:lang w:val="en-US" w:eastAsia="zh-CN"/>
              </w:rPr>
            </w:pPr>
            <w:r>
              <w:rPr>
                <w:rFonts w:hint="eastAsia"/>
                <w:color w:val="auto"/>
                <w:highlight w:val="none"/>
                <w:lang w:val="en-US" w:eastAsia="zh-CN"/>
              </w:rPr>
              <w:t>30</w:t>
            </w:r>
          </w:p>
        </w:tc>
        <w:tc>
          <w:tcPr>
            <w:tcW w:w="1822" w:type="pct"/>
            <w:tcBorders>
              <w:tl2br w:val="nil"/>
              <w:tr2bl w:val="nil"/>
            </w:tcBorders>
            <w:vAlign w:val="center"/>
          </w:tcPr>
          <w:p w14:paraId="5AFB6D75">
            <w:pPr>
              <w:pStyle w:val="17"/>
              <w:bidi w:val="0"/>
              <w:rPr>
                <w:rFonts w:hint="eastAsia"/>
                <w:color w:val="auto"/>
                <w:highlight w:val="none"/>
                <w:lang w:val="en-US" w:eastAsia="zh-CN"/>
              </w:rPr>
            </w:pPr>
            <w:r>
              <w:rPr>
                <w:rFonts w:hint="eastAsia"/>
                <w:color w:val="auto"/>
                <w:highlight w:val="none"/>
                <w:lang w:val="en-US" w:eastAsia="zh-CN"/>
              </w:rPr>
              <w:t>皮带机</w:t>
            </w:r>
          </w:p>
        </w:tc>
        <w:tc>
          <w:tcPr>
            <w:tcW w:w="1754" w:type="pct"/>
            <w:tcBorders>
              <w:tl2br w:val="nil"/>
              <w:tr2bl w:val="nil"/>
            </w:tcBorders>
            <w:vAlign w:val="center"/>
          </w:tcPr>
          <w:p w14:paraId="009916B2">
            <w:pPr>
              <w:pStyle w:val="17"/>
              <w:bidi w:val="0"/>
              <w:rPr>
                <w:rFonts w:hint="default"/>
                <w:color w:val="auto"/>
                <w:highlight w:val="none"/>
                <w:lang w:val="en-US" w:eastAsia="zh-CN"/>
              </w:rPr>
            </w:pPr>
            <w:r>
              <w:rPr>
                <w:rFonts w:hint="eastAsia"/>
                <w:color w:val="auto"/>
                <w:highlight w:val="none"/>
                <w:lang w:val="en-US" w:eastAsia="zh-CN"/>
              </w:rPr>
              <w:t>B=800,L=15m</w:t>
            </w:r>
          </w:p>
        </w:tc>
        <w:tc>
          <w:tcPr>
            <w:tcW w:w="275" w:type="pct"/>
            <w:tcBorders>
              <w:tl2br w:val="nil"/>
              <w:tr2bl w:val="nil"/>
            </w:tcBorders>
            <w:vAlign w:val="center"/>
          </w:tcPr>
          <w:p w14:paraId="0DAFC913">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3220CA67">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52CBAD1A">
            <w:pPr>
              <w:pStyle w:val="17"/>
              <w:bidi w:val="0"/>
              <w:rPr>
                <w:color w:val="auto"/>
                <w:highlight w:val="none"/>
              </w:rPr>
            </w:pPr>
          </w:p>
        </w:tc>
      </w:tr>
      <w:tr w14:paraId="627B274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l2br w:val="nil"/>
              <w:tr2bl w:val="nil"/>
            </w:tcBorders>
            <w:vAlign w:val="center"/>
          </w:tcPr>
          <w:p w14:paraId="743991BC">
            <w:pPr>
              <w:pStyle w:val="17"/>
              <w:bidi w:val="0"/>
              <w:rPr>
                <w:rFonts w:hint="default"/>
                <w:color w:val="auto"/>
                <w:highlight w:val="none"/>
                <w:lang w:val="en-US" w:eastAsia="zh-CN"/>
              </w:rPr>
            </w:pPr>
            <w:r>
              <w:rPr>
                <w:rFonts w:hint="eastAsia"/>
                <w:color w:val="auto"/>
                <w:highlight w:val="none"/>
                <w:lang w:val="en-US" w:eastAsia="zh-CN"/>
              </w:rPr>
              <w:t>维修</w:t>
            </w:r>
          </w:p>
        </w:tc>
      </w:tr>
      <w:tr w14:paraId="65F8441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9F71D2C">
            <w:pPr>
              <w:pStyle w:val="17"/>
              <w:bidi w:val="0"/>
              <w:rPr>
                <w:rFonts w:hint="default"/>
                <w:color w:val="auto"/>
                <w:highlight w:val="none"/>
                <w:lang w:val="en-US" w:eastAsia="zh-CN"/>
              </w:rPr>
            </w:pPr>
            <w:r>
              <w:rPr>
                <w:rFonts w:hint="eastAsia"/>
                <w:color w:val="auto"/>
                <w:highlight w:val="none"/>
                <w:lang w:val="en-US" w:eastAsia="zh-CN"/>
              </w:rPr>
              <w:t>1</w:t>
            </w:r>
          </w:p>
        </w:tc>
        <w:tc>
          <w:tcPr>
            <w:tcW w:w="1822" w:type="pct"/>
            <w:tcBorders>
              <w:tl2br w:val="nil"/>
              <w:tr2bl w:val="nil"/>
            </w:tcBorders>
            <w:vAlign w:val="center"/>
          </w:tcPr>
          <w:p w14:paraId="41B3D153">
            <w:pPr>
              <w:pStyle w:val="17"/>
              <w:bidi w:val="0"/>
              <w:rPr>
                <w:rFonts w:hint="eastAsia"/>
                <w:color w:val="auto"/>
                <w:highlight w:val="none"/>
                <w:lang w:val="en-US" w:eastAsia="zh-CN"/>
              </w:rPr>
            </w:pPr>
            <w:r>
              <w:rPr>
                <w:rFonts w:hint="eastAsia"/>
                <w:color w:val="auto"/>
                <w:highlight w:val="none"/>
                <w:lang w:val="en-US" w:eastAsia="zh-CN"/>
              </w:rPr>
              <w:t>手电钻</w:t>
            </w:r>
          </w:p>
        </w:tc>
        <w:tc>
          <w:tcPr>
            <w:tcW w:w="1754" w:type="pct"/>
            <w:tcBorders>
              <w:tl2br w:val="nil"/>
              <w:tr2bl w:val="nil"/>
            </w:tcBorders>
            <w:vAlign w:val="center"/>
          </w:tcPr>
          <w:p w14:paraId="59B9F8C5">
            <w:pPr>
              <w:pStyle w:val="17"/>
              <w:bidi w:val="0"/>
              <w:rPr>
                <w:rFonts w:hint="default"/>
                <w:color w:val="auto"/>
                <w:highlight w:val="none"/>
                <w:lang w:val="en-US" w:eastAsia="zh-CN"/>
              </w:rPr>
            </w:pPr>
            <w:r>
              <w:rPr>
                <w:rFonts w:hint="eastAsia"/>
                <w:color w:val="auto"/>
                <w:highlight w:val="none"/>
                <w:lang w:val="en-US" w:eastAsia="zh-CN"/>
              </w:rPr>
              <w:t>J1Z-23A，单相220V</w:t>
            </w:r>
          </w:p>
        </w:tc>
        <w:tc>
          <w:tcPr>
            <w:tcW w:w="275" w:type="pct"/>
            <w:tcBorders>
              <w:tl2br w:val="nil"/>
              <w:tr2bl w:val="nil"/>
            </w:tcBorders>
            <w:vAlign w:val="center"/>
          </w:tcPr>
          <w:p w14:paraId="7BF59B65">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39D03A25">
            <w:pPr>
              <w:pStyle w:val="17"/>
              <w:bidi w:val="0"/>
              <w:rPr>
                <w:rFonts w:hint="default"/>
                <w:color w:val="auto"/>
                <w:highlight w:val="none"/>
                <w:lang w:val="en-US" w:eastAsia="zh-CN"/>
              </w:rPr>
            </w:pPr>
            <w:r>
              <w:rPr>
                <w:rFonts w:hint="eastAsia"/>
                <w:color w:val="auto"/>
                <w:highlight w:val="none"/>
                <w:lang w:val="en-US" w:eastAsia="zh-CN"/>
              </w:rPr>
              <w:t>5</w:t>
            </w:r>
          </w:p>
        </w:tc>
        <w:tc>
          <w:tcPr>
            <w:tcW w:w="597" w:type="pct"/>
            <w:tcBorders>
              <w:tl2br w:val="nil"/>
              <w:tr2bl w:val="nil"/>
            </w:tcBorders>
            <w:vAlign w:val="center"/>
          </w:tcPr>
          <w:p w14:paraId="1636113A">
            <w:pPr>
              <w:pStyle w:val="17"/>
              <w:bidi w:val="0"/>
              <w:rPr>
                <w:color w:val="auto"/>
                <w:highlight w:val="none"/>
              </w:rPr>
            </w:pPr>
          </w:p>
        </w:tc>
      </w:tr>
      <w:tr w14:paraId="44E8FCF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8C4805A">
            <w:pPr>
              <w:pStyle w:val="17"/>
              <w:bidi w:val="0"/>
              <w:rPr>
                <w:rFonts w:hint="default"/>
                <w:color w:val="auto"/>
                <w:highlight w:val="none"/>
                <w:lang w:val="en-US" w:eastAsia="zh-CN"/>
              </w:rPr>
            </w:pPr>
            <w:r>
              <w:rPr>
                <w:rFonts w:hint="eastAsia"/>
                <w:color w:val="auto"/>
                <w:highlight w:val="none"/>
                <w:lang w:val="en-US" w:eastAsia="zh-CN"/>
              </w:rPr>
              <w:t>2</w:t>
            </w:r>
          </w:p>
        </w:tc>
        <w:tc>
          <w:tcPr>
            <w:tcW w:w="1822" w:type="pct"/>
            <w:tcBorders>
              <w:tl2br w:val="nil"/>
              <w:tr2bl w:val="nil"/>
            </w:tcBorders>
            <w:vAlign w:val="center"/>
          </w:tcPr>
          <w:p w14:paraId="091F0C2D">
            <w:pPr>
              <w:pStyle w:val="17"/>
              <w:bidi w:val="0"/>
              <w:rPr>
                <w:rFonts w:hint="eastAsia"/>
                <w:color w:val="auto"/>
                <w:highlight w:val="none"/>
                <w:lang w:val="en-US" w:eastAsia="zh-CN"/>
              </w:rPr>
            </w:pPr>
            <w:r>
              <w:rPr>
                <w:rFonts w:hint="eastAsia"/>
                <w:color w:val="auto"/>
                <w:highlight w:val="none"/>
                <w:lang w:val="en-US" w:eastAsia="zh-CN"/>
              </w:rPr>
              <w:t>砂轮机</w:t>
            </w:r>
          </w:p>
        </w:tc>
        <w:tc>
          <w:tcPr>
            <w:tcW w:w="1754" w:type="pct"/>
            <w:tcBorders>
              <w:tl2br w:val="nil"/>
              <w:tr2bl w:val="nil"/>
            </w:tcBorders>
            <w:vAlign w:val="center"/>
          </w:tcPr>
          <w:p w14:paraId="0B33C9FC">
            <w:pPr>
              <w:pStyle w:val="17"/>
              <w:bidi w:val="0"/>
              <w:rPr>
                <w:rFonts w:hint="default"/>
                <w:color w:val="auto"/>
                <w:highlight w:val="none"/>
                <w:lang w:val="en-US" w:eastAsia="zh-CN"/>
              </w:rPr>
            </w:pPr>
            <w:r>
              <w:rPr>
                <w:rFonts w:hint="eastAsia"/>
                <w:color w:val="auto"/>
                <w:highlight w:val="none"/>
                <w:lang w:val="en-US" w:eastAsia="zh-CN"/>
              </w:rPr>
              <w:t>S3SR-200</w:t>
            </w:r>
          </w:p>
        </w:tc>
        <w:tc>
          <w:tcPr>
            <w:tcW w:w="275" w:type="pct"/>
            <w:tcBorders>
              <w:tl2br w:val="nil"/>
              <w:tr2bl w:val="nil"/>
            </w:tcBorders>
            <w:vAlign w:val="center"/>
          </w:tcPr>
          <w:p w14:paraId="3A5F96F4">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2F3AB059">
            <w:pPr>
              <w:pStyle w:val="17"/>
              <w:bidi w:val="0"/>
              <w:rPr>
                <w:rFonts w:hint="default"/>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501E7FC4">
            <w:pPr>
              <w:pStyle w:val="17"/>
              <w:bidi w:val="0"/>
              <w:rPr>
                <w:color w:val="auto"/>
                <w:highlight w:val="none"/>
              </w:rPr>
            </w:pPr>
          </w:p>
        </w:tc>
      </w:tr>
      <w:tr w14:paraId="0063525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EBD5DCA">
            <w:pPr>
              <w:pStyle w:val="17"/>
              <w:bidi w:val="0"/>
              <w:rPr>
                <w:rFonts w:hint="default"/>
                <w:color w:val="auto"/>
                <w:highlight w:val="none"/>
                <w:lang w:val="en-US" w:eastAsia="zh-CN"/>
              </w:rPr>
            </w:pPr>
            <w:r>
              <w:rPr>
                <w:rFonts w:hint="eastAsia"/>
                <w:color w:val="auto"/>
                <w:highlight w:val="none"/>
                <w:lang w:val="en-US" w:eastAsia="zh-CN"/>
              </w:rPr>
              <w:t>3</w:t>
            </w:r>
          </w:p>
        </w:tc>
        <w:tc>
          <w:tcPr>
            <w:tcW w:w="1822" w:type="pct"/>
            <w:tcBorders>
              <w:tl2br w:val="nil"/>
              <w:tr2bl w:val="nil"/>
            </w:tcBorders>
            <w:vAlign w:val="center"/>
          </w:tcPr>
          <w:p w14:paraId="182AF409">
            <w:pPr>
              <w:pStyle w:val="17"/>
              <w:bidi w:val="0"/>
              <w:rPr>
                <w:rFonts w:hint="eastAsia"/>
                <w:color w:val="auto"/>
                <w:highlight w:val="none"/>
                <w:lang w:val="en-US" w:eastAsia="zh-CN"/>
              </w:rPr>
            </w:pPr>
            <w:r>
              <w:rPr>
                <w:rFonts w:hint="eastAsia"/>
                <w:color w:val="auto"/>
                <w:highlight w:val="none"/>
                <w:lang w:val="en-US" w:eastAsia="zh-CN"/>
              </w:rPr>
              <w:t>千斤顶</w:t>
            </w:r>
          </w:p>
        </w:tc>
        <w:tc>
          <w:tcPr>
            <w:tcW w:w="1754" w:type="pct"/>
            <w:tcBorders>
              <w:tl2br w:val="nil"/>
              <w:tr2bl w:val="nil"/>
            </w:tcBorders>
            <w:vAlign w:val="center"/>
          </w:tcPr>
          <w:p w14:paraId="70404390">
            <w:pPr>
              <w:pStyle w:val="17"/>
              <w:bidi w:val="0"/>
              <w:rPr>
                <w:rFonts w:hint="default"/>
                <w:color w:val="auto"/>
                <w:highlight w:val="none"/>
                <w:lang w:val="en-US" w:eastAsia="zh-CN"/>
              </w:rPr>
            </w:pPr>
            <w:r>
              <w:rPr>
                <w:rFonts w:hint="eastAsia"/>
                <w:color w:val="auto"/>
                <w:highlight w:val="none"/>
                <w:lang w:val="en-US" w:eastAsia="zh-CN"/>
              </w:rPr>
              <w:t>Q=10t</w:t>
            </w:r>
          </w:p>
        </w:tc>
        <w:tc>
          <w:tcPr>
            <w:tcW w:w="275" w:type="pct"/>
            <w:tcBorders>
              <w:tl2br w:val="nil"/>
              <w:tr2bl w:val="nil"/>
            </w:tcBorders>
            <w:vAlign w:val="center"/>
          </w:tcPr>
          <w:p w14:paraId="14789E1D">
            <w:pPr>
              <w:pStyle w:val="17"/>
              <w:bidi w:val="0"/>
              <w:rPr>
                <w:rFonts w:hint="eastAsia"/>
                <w:color w:val="auto"/>
                <w:highlight w:val="none"/>
                <w:lang w:val="en-US" w:eastAsia="zh-CN"/>
              </w:rPr>
            </w:pPr>
            <w:r>
              <w:rPr>
                <w:rFonts w:hint="eastAsia"/>
                <w:color w:val="auto"/>
                <w:highlight w:val="none"/>
                <w:lang w:val="en-US" w:eastAsia="zh-CN"/>
              </w:rPr>
              <w:t>个</w:t>
            </w:r>
          </w:p>
        </w:tc>
        <w:tc>
          <w:tcPr>
            <w:tcW w:w="257" w:type="pct"/>
            <w:tcBorders>
              <w:tl2br w:val="nil"/>
              <w:tr2bl w:val="nil"/>
            </w:tcBorders>
            <w:vAlign w:val="center"/>
          </w:tcPr>
          <w:p w14:paraId="4B17E3C6">
            <w:pPr>
              <w:pStyle w:val="17"/>
              <w:bidi w:val="0"/>
              <w:rPr>
                <w:rFonts w:hint="default"/>
                <w:color w:val="auto"/>
                <w:highlight w:val="none"/>
                <w:lang w:val="en-US" w:eastAsia="zh-CN"/>
              </w:rPr>
            </w:pPr>
            <w:r>
              <w:rPr>
                <w:rFonts w:hint="eastAsia"/>
                <w:color w:val="auto"/>
                <w:highlight w:val="none"/>
                <w:lang w:val="en-US" w:eastAsia="zh-CN"/>
              </w:rPr>
              <w:t>4</w:t>
            </w:r>
          </w:p>
        </w:tc>
        <w:tc>
          <w:tcPr>
            <w:tcW w:w="597" w:type="pct"/>
            <w:tcBorders>
              <w:tl2br w:val="nil"/>
              <w:tr2bl w:val="nil"/>
            </w:tcBorders>
            <w:vAlign w:val="center"/>
          </w:tcPr>
          <w:p w14:paraId="3430DC5B">
            <w:pPr>
              <w:pStyle w:val="17"/>
              <w:bidi w:val="0"/>
              <w:rPr>
                <w:color w:val="auto"/>
                <w:highlight w:val="none"/>
              </w:rPr>
            </w:pPr>
          </w:p>
        </w:tc>
      </w:tr>
      <w:tr w14:paraId="4DE130F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E91F687">
            <w:pPr>
              <w:pStyle w:val="17"/>
              <w:bidi w:val="0"/>
              <w:rPr>
                <w:rFonts w:hint="default"/>
                <w:color w:val="auto"/>
                <w:highlight w:val="none"/>
                <w:lang w:val="en-US" w:eastAsia="zh-CN"/>
              </w:rPr>
            </w:pPr>
            <w:r>
              <w:rPr>
                <w:rFonts w:hint="eastAsia"/>
                <w:color w:val="auto"/>
                <w:highlight w:val="none"/>
                <w:lang w:val="en-US" w:eastAsia="zh-CN"/>
              </w:rPr>
              <w:t>4</w:t>
            </w:r>
          </w:p>
        </w:tc>
        <w:tc>
          <w:tcPr>
            <w:tcW w:w="1822" w:type="pct"/>
            <w:tcBorders>
              <w:tl2br w:val="nil"/>
              <w:tr2bl w:val="nil"/>
            </w:tcBorders>
            <w:vAlign w:val="center"/>
          </w:tcPr>
          <w:p w14:paraId="26F7C22E">
            <w:pPr>
              <w:pStyle w:val="17"/>
              <w:bidi w:val="0"/>
              <w:rPr>
                <w:rFonts w:hint="eastAsia"/>
                <w:color w:val="auto"/>
                <w:highlight w:val="none"/>
                <w:lang w:val="en-US" w:eastAsia="zh-CN"/>
              </w:rPr>
            </w:pPr>
            <w:r>
              <w:rPr>
                <w:rFonts w:hint="eastAsia"/>
                <w:color w:val="auto"/>
                <w:highlight w:val="none"/>
                <w:lang w:val="en-US" w:eastAsia="zh-CN"/>
              </w:rPr>
              <w:t>交流弧焊机</w:t>
            </w:r>
          </w:p>
        </w:tc>
        <w:tc>
          <w:tcPr>
            <w:tcW w:w="1754" w:type="pct"/>
            <w:tcBorders>
              <w:tl2br w:val="nil"/>
              <w:tr2bl w:val="nil"/>
            </w:tcBorders>
            <w:vAlign w:val="center"/>
          </w:tcPr>
          <w:p w14:paraId="2AFE117F">
            <w:pPr>
              <w:pStyle w:val="17"/>
              <w:bidi w:val="0"/>
              <w:rPr>
                <w:rFonts w:hint="default"/>
                <w:color w:val="auto"/>
                <w:highlight w:val="none"/>
                <w:lang w:val="en-US" w:eastAsia="zh-CN"/>
              </w:rPr>
            </w:pPr>
            <w:r>
              <w:rPr>
                <w:rFonts w:hint="eastAsia"/>
                <w:color w:val="auto"/>
                <w:highlight w:val="none"/>
                <w:lang w:val="en-US" w:eastAsia="zh-CN"/>
              </w:rPr>
              <w:t>BX3-500-2</w:t>
            </w:r>
          </w:p>
        </w:tc>
        <w:tc>
          <w:tcPr>
            <w:tcW w:w="275" w:type="pct"/>
            <w:tcBorders>
              <w:tl2br w:val="nil"/>
              <w:tr2bl w:val="nil"/>
            </w:tcBorders>
            <w:vAlign w:val="center"/>
          </w:tcPr>
          <w:p w14:paraId="0653AB1E">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94541B0">
            <w:pPr>
              <w:pStyle w:val="17"/>
              <w:bidi w:val="0"/>
              <w:rPr>
                <w:rFonts w:hint="default"/>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4CA0B9BC">
            <w:pPr>
              <w:pStyle w:val="17"/>
              <w:bidi w:val="0"/>
              <w:rPr>
                <w:color w:val="auto"/>
                <w:highlight w:val="none"/>
              </w:rPr>
            </w:pPr>
          </w:p>
        </w:tc>
      </w:tr>
      <w:tr w14:paraId="53DF113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5975C03D">
            <w:pPr>
              <w:pStyle w:val="17"/>
              <w:bidi w:val="0"/>
              <w:rPr>
                <w:rFonts w:hint="default"/>
                <w:color w:val="auto"/>
                <w:highlight w:val="none"/>
                <w:lang w:val="en-US" w:eastAsia="zh-CN"/>
              </w:rPr>
            </w:pPr>
            <w:r>
              <w:rPr>
                <w:rFonts w:hint="eastAsia"/>
                <w:color w:val="auto"/>
                <w:highlight w:val="none"/>
                <w:lang w:val="en-US" w:eastAsia="zh-CN"/>
              </w:rPr>
              <w:t>5</w:t>
            </w:r>
          </w:p>
        </w:tc>
        <w:tc>
          <w:tcPr>
            <w:tcW w:w="1822" w:type="pct"/>
            <w:tcBorders>
              <w:tl2br w:val="nil"/>
              <w:tr2bl w:val="nil"/>
            </w:tcBorders>
            <w:vAlign w:val="center"/>
          </w:tcPr>
          <w:p w14:paraId="26284509">
            <w:pPr>
              <w:pStyle w:val="17"/>
              <w:bidi w:val="0"/>
              <w:rPr>
                <w:rFonts w:hint="eastAsia"/>
                <w:color w:val="auto"/>
                <w:highlight w:val="none"/>
                <w:lang w:val="en-US" w:eastAsia="zh-CN"/>
              </w:rPr>
            </w:pPr>
            <w:r>
              <w:rPr>
                <w:rFonts w:hint="eastAsia"/>
                <w:color w:val="auto"/>
                <w:highlight w:val="none"/>
                <w:lang w:val="en-US" w:eastAsia="zh-CN"/>
              </w:rPr>
              <w:t>氢氧焊割机</w:t>
            </w:r>
          </w:p>
        </w:tc>
        <w:tc>
          <w:tcPr>
            <w:tcW w:w="1754" w:type="pct"/>
            <w:tcBorders>
              <w:tl2br w:val="nil"/>
              <w:tr2bl w:val="nil"/>
            </w:tcBorders>
            <w:vAlign w:val="center"/>
          </w:tcPr>
          <w:p w14:paraId="000168F4">
            <w:pPr>
              <w:pStyle w:val="17"/>
              <w:bidi w:val="0"/>
              <w:rPr>
                <w:rFonts w:hint="default"/>
                <w:color w:val="auto"/>
                <w:highlight w:val="none"/>
                <w:lang w:val="en-US" w:eastAsia="zh-CN"/>
              </w:rPr>
            </w:pPr>
            <w:r>
              <w:rPr>
                <w:rFonts w:hint="eastAsia"/>
                <w:color w:val="auto"/>
                <w:highlight w:val="none"/>
                <w:lang w:val="en-US" w:eastAsia="zh-CN"/>
              </w:rPr>
              <w:t>YJ-2000</w:t>
            </w:r>
          </w:p>
        </w:tc>
        <w:tc>
          <w:tcPr>
            <w:tcW w:w="275" w:type="pct"/>
            <w:tcBorders>
              <w:tl2br w:val="nil"/>
              <w:tr2bl w:val="nil"/>
            </w:tcBorders>
            <w:vAlign w:val="center"/>
          </w:tcPr>
          <w:p w14:paraId="27D17CC4">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3198484E">
            <w:pPr>
              <w:pStyle w:val="17"/>
              <w:bidi w:val="0"/>
              <w:rPr>
                <w:rFonts w:hint="default"/>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3847B82C">
            <w:pPr>
              <w:pStyle w:val="17"/>
              <w:bidi w:val="0"/>
              <w:rPr>
                <w:color w:val="auto"/>
                <w:highlight w:val="none"/>
              </w:rPr>
            </w:pPr>
          </w:p>
        </w:tc>
      </w:tr>
      <w:tr w14:paraId="3342373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DB80C89">
            <w:pPr>
              <w:pStyle w:val="17"/>
              <w:bidi w:val="0"/>
              <w:rPr>
                <w:rFonts w:hint="default"/>
                <w:color w:val="auto"/>
                <w:highlight w:val="none"/>
                <w:lang w:val="en-US" w:eastAsia="zh-CN"/>
              </w:rPr>
            </w:pPr>
            <w:r>
              <w:rPr>
                <w:rFonts w:hint="eastAsia"/>
                <w:color w:val="auto"/>
                <w:highlight w:val="none"/>
                <w:lang w:val="en-US" w:eastAsia="zh-CN"/>
              </w:rPr>
              <w:t>6</w:t>
            </w:r>
          </w:p>
        </w:tc>
        <w:tc>
          <w:tcPr>
            <w:tcW w:w="1822" w:type="pct"/>
            <w:tcBorders>
              <w:tl2br w:val="nil"/>
              <w:tr2bl w:val="nil"/>
            </w:tcBorders>
            <w:vAlign w:val="center"/>
          </w:tcPr>
          <w:p w14:paraId="625FE004">
            <w:pPr>
              <w:pStyle w:val="17"/>
              <w:bidi w:val="0"/>
              <w:rPr>
                <w:rFonts w:hint="eastAsia"/>
                <w:color w:val="auto"/>
                <w:highlight w:val="none"/>
                <w:lang w:val="en-US" w:eastAsia="zh-CN"/>
              </w:rPr>
            </w:pPr>
            <w:r>
              <w:rPr>
                <w:rFonts w:hint="eastAsia"/>
                <w:color w:val="auto"/>
                <w:highlight w:val="none"/>
                <w:lang w:val="en-US" w:eastAsia="zh-CN"/>
              </w:rPr>
              <w:t>钳工台</w:t>
            </w:r>
          </w:p>
        </w:tc>
        <w:tc>
          <w:tcPr>
            <w:tcW w:w="1754" w:type="pct"/>
            <w:tcBorders>
              <w:tl2br w:val="nil"/>
              <w:tr2bl w:val="nil"/>
            </w:tcBorders>
            <w:vAlign w:val="center"/>
          </w:tcPr>
          <w:p w14:paraId="53B765D5">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2089C804">
            <w:pPr>
              <w:pStyle w:val="17"/>
              <w:bidi w:val="0"/>
              <w:rPr>
                <w:rFonts w:hint="eastAsia"/>
                <w:color w:val="auto"/>
                <w:highlight w:val="none"/>
                <w:lang w:val="en-US" w:eastAsia="zh-CN"/>
              </w:rPr>
            </w:pPr>
            <w:r>
              <w:rPr>
                <w:rFonts w:hint="eastAsia"/>
                <w:color w:val="auto"/>
                <w:highlight w:val="none"/>
                <w:lang w:val="en-US" w:eastAsia="zh-CN"/>
              </w:rPr>
              <w:t>个</w:t>
            </w:r>
          </w:p>
        </w:tc>
        <w:tc>
          <w:tcPr>
            <w:tcW w:w="257" w:type="pct"/>
            <w:tcBorders>
              <w:tl2br w:val="nil"/>
              <w:tr2bl w:val="nil"/>
            </w:tcBorders>
            <w:vAlign w:val="center"/>
          </w:tcPr>
          <w:p w14:paraId="56A60ECE">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0D6A19C4">
            <w:pPr>
              <w:pStyle w:val="17"/>
              <w:bidi w:val="0"/>
              <w:rPr>
                <w:color w:val="auto"/>
                <w:highlight w:val="none"/>
              </w:rPr>
            </w:pPr>
          </w:p>
        </w:tc>
      </w:tr>
      <w:tr w14:paraId="1A26E49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156B0C6">
            <w:pPr>
              <w:pStyle w:val="17"/>
              <w:bidi w:val="0"/>
              <w:rPr>
                <w:rFonts w:hint="default"/>
                <w:color w:val="auto"/>
                <w:highlight w:val="none"/>
                <w:lang w:val="en-US" w:eastAsia="zh-CN"/>
              </w:rPr>
            </w:pPr>
            <w:r>
              <w:rPr>
                <w:rFonts w:hint="eastAsia"/>
                <w:color w:val="auto"/>
                <w:highlight w:val="none"/>
                <w:lang w:val="en-US" w:eastAsia="zh-CN"/>
              </w:rPr>
              <w:t>7</w:t>
            </w:r>
          </w:p>
        </w:tc>
        <w:tc>
          <w:tcPr>
            <w:tcW w:w="1822" w:type="pct"/>
            <w:tcBorders>
              <w:tl2br w:val="nil"/>
              <w:tr2bl w:val="nil"/>
            </w:tcBorders>
            <w:vAlign w:val="center"/>
          </w:tcPr>
          <w:p w14:paraId="0902B12F">
            <w:pPr>
              <w:pStyle w:val="17"/>
              <w:bidi w:val="0"/>
              <w:rPr>
                <w:rFonts w:hint="eastAsia"/>
                <w:color w:val="auto"/>
                <w:highlight w:val="none"/>
                <w:lang w:val="en-US" w:eastAsia="zh-CN"/>
              </w:rPr>
            </w:pPr>
            <w:r>
              <w:rPr>
                <w:rFonts w:hint="eastAsia"/>
                <w:color w:val="auto"/>
                <w:highlight w:val="none"/>
                <w:lang w:val="en-US" w:eastAsia="zh-CN"/>
              </w:rPr>
              <w:t>台式钻床</w:t>
            </w:r>
          </w:p>
        </w:tc>
        <w:tc>
          <w:tcPr>
            <w:tcW w:w="1754" w:type="pct"/>
            <w:tcBorders>
              <w:tl2br w:val="nil"/>
              <w:tr2bl w:val="nil"/>
            </w:tcBorders>
            <w:vAlign w:val="center"/>
          </w:tcPr>
          <w:p w14:paraId="20D98947">
            <w:pPr>
              <w:pStyle w:val="17"/>
              <w:bidi w:val="0"/>
              <w:rPr>
                <w:rFonts w:hint="default"/>
                <w:color w:val="auto"/>
                <w:highlight w:val="none"/>
                <w:lang w:val="en-US" w:eastAsia="zh-CN"/>
              </w:rPr>
            </w:pPr>
            <w:r>
              <w:rPr>
                <w:rFonts w:hint="eastAsia"/>
                <w:color w:val="auto"/>
                <w:highlight w:val="none"/>
                <w:lang w:val="en-US" w:eastAsia="zh-CN"/>
              </w:rPr>
              <w:t>Z4116，单相220V</w:t>
            </w:r>
          </w:p>
        </w:tc>
        <w:tc>
          <w:tcPr>
            <w:tcW w:w="275" w:type="pct"/>
            <w:tcBorders>
              <w:tl2br w:val="nil"/>
              <w:tr2bl w:val="nil"/>
            </w:tcBorders>
            <w:vAlign w:val="center"/>
          </w:tcPr>
          <w:p w14:paraId="73F21BD9">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66E0BE8A">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773CE0B5">
            <w:pPr>
              <w:pStyle w:val="17"/>
              <w:bidi w:val="0"/>
              <w:rPr>
                <w:color w:val="auto"/>
                <w:highlight w:val="none"/>
              </w:rPr>
            </w:pPr>
          </w:p>
        </w:tc>
      </w:tr>
      <w:tr w14:paraId="34B5E74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l2br w:val="nil"/>
              <w:tr2bl w:val="nil"/>
            </w:tcBorders>
            <w:vAlign w:val="center"/>
          </w:tcPr>
          <w:p w14:paraId="40BC54AF">
            <w:pPr>
              <w:pStyle w:val="17"/>
              <w:bidi w:val="0"/>
              <w:rPr>
                <w:color w:val="auto"/>
                <w:highlight w:val="none"/>
              </w:rPr>
            </w:pPr>
            <w:r>
              <w:rPr>
                <w:rFonts w:hint="eastAsia"/>
                <w:color w:val="auto"/>
                <w:highlight w:val="none"/>
                <w:lang w:val="en-US" w:eastAsia="zh-CN"/>
              </w:rPr>
              <w:t>坑内供风</w:t>
            </w:r>
          </w:p>
        </w:tc>
      </w:tr>
      <w:tr w14:paraId="7D8694A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52851EE">
            <w:pPr>
              <w:pStyle w:val="17"/>
              <w:bidi w:val="0"/>
              <w:rPr>
                <w:rFonts w:hint="default"/>
                <w:color w:val="auto"/>
                <w:highlight w:val="none"/>
                <w:lang w:val="en-US" w:eastAsia="zh-CN"/>
              </w:rPr>
            </w:pPr>
            <w:r>
              <w:rPr>
                <w:rFonts w:hint="eastAsia"/>
                <w:color w:val="auto"/>
                <w:highlight w:val="none"/>
                <w:lang w:val="en-US" w:eastAsia="zh-CN"/>
              </w:rPr>
              <w:t>1</w:t>
            </w:r>
          </w:p>
        </w:tc>
        <w:tc>
          <w:tcPr>
            <w:tcW w:w="1822" w:type="pct"/>
            <w:tcBorders>
              <w:tl2br w:val="nil"/>
              <w:tr2bl w:val="nil"/>
            </w:tcBorders>
            <w:vAlign w:val="center"/>
          </w:tcPr>
          <w:p w14:paraId="04F5858C">
            <w:pPr>
              <w:pStyle w:val="17"/>
              <w:bidi w:val="0"/>
              <w:rPr>
                <w:rFonts w:hint="eastAsia"/>
                <w:color w:val="auto"/>
                <w:highlight w:val="none"/>
                <w:lang w:val="en-US" w:eastAsia="zh-CN"/>
              </w:rPr>
            </w:pPr>
            <w:r>
              <w:rPr>
                <w:rFonts w:hint="eastAsia"/>
                <w:color w:val="auto"/>
                <w:highlight w:val="none"/>
                <w:lang w:val="en-US" w:eastAsia="zh-CN"/>
              </w:rPr>
              <w:t>螺杆式空压机</w:t>
            </w:r>
          </w:p>
        </w:tc>
        <w:tc>
          <w:tcPr>
            <w:tcW w:w="1754" w:type="pct"/>
            <w:tcBorders>
              <w:tl2br w:val="nil"/>
              <w:tr2bl w:val="nil"/>
            </w:tcBorders>
            <w:vAlign w:val="center"/>
          </w:tcPr>
          <w:p w14:paraId="2444150D">
            <w:pPr>
              <w:pStyle w:val="17"/>
              <w:bidi w:val="0"/>
              <w:rPr>
                <w:rFonts w:hint="default"/>
                <w:color w:val="auto"/>
                <w:highlight w:val="none"/>
                <w:lang w:val="en-US" w:eastAsia="zh-CN"/>
              </w:rPr>
            </w:pPr>
            <w:r>
              <w:rPr>
                <w:rFonts w:hint="eastAsia"/>
                <w:color w:val="auto"/>
                <w:highlight w:val="none"/>
                <w:lang w:val="en-US" w:eastAsia="zh-CN"/>
              </w:rPr>
              <w:t>SA250A,风冷46.2m3/min,0.85MPa</w:t>
            </w:r>
          </w:p>
        </w:tc>
        <w:tc>
          <w:tcPr>
            <w:tcW w:w="275" w:type="pct"/>
            <w:tcBorders>
              <w:tl2br w:val="nil"/>
              <w:tr2bl w:val="nil"/>
            </w:tcBorders>
            <w:vAlign w:val="center"/>
          </w:tcPr>
          <w:p w14:paraId="6621B5AE">
            <w:pPr>
              <w:pStyle w:val="17"/>
              <w:bidi w:val="0"/>
              <w:rPr>
                <w:rFonts w:hint="default"/>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2A6ADB12">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1F6F3921">
            <w:pPr>
              <w:pStyle w:val="17"/>
              <w:bidi w:val="0"/>
              <w:rPr>
                <w:color w:val="auto"/>
                <w:highlight w:val="none"/>
              </w:rPr>
            </w:pPr>
          </w:p>
        </w:tc>
      </w:tr>
      <w:tr w14:paraId="35DA6C9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A690352">
            <w:pPr>
              <w:pStyle w:val="17"/>
              <w:bidi w:val="0"/>
              <w:rPr>
                <w:rFonts w:hint="default"/>
                <w:color w:val="auto"/>
                <w:highlight w:val="none"/>
                <w:lang w:val="en-US" w:eastAsia="zh-CN"/>
              </w:rPr>
            </w:pPr>
            <w:r>
              <w:rPr>
                <w:rFonts w:hint="eastAsia"/>
                <w:color w:val="auto"/>
                <w:highlight w:val="none"/>
                <w:lang w:val="en-US" w:eastAsia="zh-CN"/>
              </w:rPr>
              <w:t>2</w:t>
            </w:r>
          </w:p>
        </w:tc>
        <w:tc>
          <w:tcPr>
            <w:tcW w:w="1822" w:type="pct"/>
            <w:tcBorders>
              <w:tl2br w:val="nil"/>
              <w:tr2bl w:val="nil"/>
            </w:tcBorders>
            <w:vAlign w:val="center"/>
          </w:tcPr>
          <w:p w14:paraId="69227338">
            <w:pPr>
              <w:pStyle w:val="17"/>
              <w:bidi w:val="0"/>
              <w:rPr>
                <w:rFonts w:hint="eastAsia"/>
                <w:color w:val="auto"/>
                <w:highlight w:val="none"/>
                <w:lang w:val="en-US" w:eastAsia="zh-CN"/>
              </w:rPr>
            </w:pPr>
            <w:r>
              <w:rPr>
                <w:rFonts w:hint="eastAsia"/>
                <w:color w:val="auto"/>
                <w:highlight w:val="none"/>
                <w:lang w:val="en-US" w:eastAsia="zh-CN"/>
              </w:rPr>
              <w:t>储气罐</w:t>
            </w:r>
          </w:p>
        </w:tc>
        <w:tc>
          <w:tcPr>
            <w:tcW w:w="1754" w:type="pct"/>
            <w:tcBorders>
              <w:tl2br w:val="nil"/>
              <w:tr2bl w:val="nil"/>
            </w:tcBorders>
            <w:vAlign w:val="center"/>
          </w:tcPr>
          <w:p w14:paraId="79F5BA12">
            <w:pPr>
              <w:pStyle w:val="17"/>
              <w:bidi w:val="0"/>
              <w:rPr>
                <w:rFonts w:hint="default"/>
                <w:color w:val="auto"/>
                <w:highlight w:val="none"/>
                <w:lang w:val="en-US" w:eastAsia="zh-CN"/>
              </w:rPr>
            </w:pPr>
            <w:r>
              <w:rPr>
                <w:rFonts w:hint="eastAsia"/>
                <w:color w:val="auto"/>
                <w:highlight w:val="none"/>
                <w:lang w:val="en-US" w:eastAsia="zh-CN"/>
              </w:rPr>
              <w:t>5m</w:t>
            </w:r>
            <w:r>
              <w:rPr>
                <w:rFonts w:hint="eastAsia"/>
                <w:color w:val="auto"/>
                <w:highlight w:val="none"/>
                <w:vertAlign w:val="superscript"/>
                <w:lang w:val="en-US" w:eastAsia="zh-CN"/>
              </w:rPr>
              <w:t>3</w:t>
            </w:r>
          </w:p>
        </w:tc>
        <w:tc>
          <w:tcPr>
            <w:tcW w:w="275" w:type="pct"/>
            <w:tcBorders>
              <w:tl2br w:val="nil"/>
              <w:tr2bl w:val="nil"/>
            </w:tcBorders>
            <w:vAlign w:val="center"/>
          </w:tcPr>
          <w:p w14:paraId="1115C394">
            <w:pPr>
              <w:pStyle w:val="17"/>
              <w:bidi w:val="0"/>
              <w:rPr>
                <w:rFonts w:hint="default"/>
                <w:color w:val="auto"/>
                <w:highlight w:val="none"/>
                <w:lang w:val="en-US" w:eastAsia="zh-CN"/>
              </w:rPr>
            </w:pPr>
            <w:r>
              <w:rPr>
                <w:rFonts w:hint="eastAsia"/>
                <w:color w:val="auto"/>
                <w:highlight w:val="none"/>
                <w:lang w:val="en-US" w:eastAsia="zh-CN"/>
              </w:rPr>
              <w:t>个</w:t>
            </w:r>
          </w:p>
        </w:tc>
        <w:tc>
          <w:tcPr>
            <w:tcW w:w="257" w:type="pct"/>
            <w:tcBorders>
              <w:tl2br w:val="nil"/>
              <w:tr2bl w:val="nil"/>
            </w:tcBorders>
            <w:vAlign w:val="center"/>
          </w:tcPr>
          <w:p w14:paraId="03DC931C">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1A10CBCD">
            <w:pPr>
              <w:pStyle w:val="17"/>
              <w:bidi w:val="0"/>
              <w:rPr>
                <w:color w:val="auto"/>
                <w:highlight w:val="none"/>
              </w:rPr>
            </w:pPr>
          </w:p>
        </w:tc>
      </w:tr>
      <w:tr w14:paraId="3445025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6E4556E0">
            <w:pPr>
              <w:pStyle w:val="17"/>
              <w:bidi w:val="0"/>
              <w:rPr>
                <w:rFonts w:hint="default"/>
                <w:color w:val="auto"/>
                <w:highlight w:val="none"/>
                <w:lang w:val="en-US" w:eastAsia="zh-CN"/>
              </w:rPr>
            </w:pPr>
            <w:r>
              <w:rPr>
                <w:rFonts w:hint="eastAsia"/>
                <w:color w:val="auto"/>
                <w:highlight w:val="none"/>
                <w:lang w:val="en-US" w:eastAsia="zh-CN"/>
              </w:rPr>
              <w:t>3</w:t>
            </w:r>
          </w:p>
        </w:tc>
        <w:tc>
          <w:tcPr>
            <w:tcW w:w="1822" w:type="pct"/>
            <w:tcBorders>
              <w:tl2br w:val="nil"/>
              <w:tr2bl w:val="nil"/>
            </w:tcBorders>
            <w:vAlign w:val="center"/>
          </w:tcPr>
          <w:p w14:paraId="7E998C66">
            <w:pPr>
              <w:pStyle w:val="17"/>
              <w:bidi w:val="0"/>
              <w:rPr>
                <w:rFonts w:hint="eastAsia"/>
                <w:color w:val="auto"/>
                <w:highlight w:val="none"/>
                <w:lang w:val="en-US" w:eastAsia="zh-CN"/>
              </w:rPr>
            </w:pPr>
            <w:r>
              <w:rPr>
                <w:rFonts w:hint="eastAsia"/>
                <w:color w:val="auto"/>
                <w:highlight w:val="none"/>
                <w:lang w:val="en-US" w:eastAsia="zh-CN"/>
              </w:rPr>
              <w:t>起重机</w:t>
            </w:r>
          </w:p>
        </w:tc>
        <w:tc>
          <w:tcPr>
            <w:tcW w:w="1754" w:type="pct"/>
            <w:tcBorders>
              <w:tl2br w:val="nil"/>
              <w:tr2bl w:val="nil"/>
            </w:tcBorders>
            <w:vAlign w:val="center"/>
          </w:tcPr>
          <w:p w14:paraId="32D7BF3F">
            <w:pPr>
              <w:pStyle w:val="17"/>
              <w:bidi w:val="0"/>
              <w:rPr>
                <w:rFonts w:hint="default"/>
                <w:color w:val="auto"/>
                <w:highlight w:val="none"/>
                <w:lang w:val="en-US" w:eastAsia="zh-CN"/>
              </w:rPr>
            </w:pPr>
            <w:r>
              <w:rPr>
                <w:rFonts w:hint="eastAsia"/>
                <w:color w:val="auto"/>
                <w:highlight w:val="none"/>
                <w:lang w:val="en-US" w:eastAsia="zh-CN"/>
              </w:rPr>
              <w:t>Q=10t,Lk=7.5m,H=6m</w:t>
            </w:r>
          </w:p>
        </w:tc>
        <w:tc>
          <w:tcPr>
            <w:tcW w:w="275" w:type="pct"/>
            <w:tcBorders>
              <w:tl2br w:val="nil"/>
              <w:tr2bl w:val="nil"/>
            </w:tcBorders>
            <w:vAlign w:val="center"/>
          </w:tcPr>
          <w:p w14:paraId="3A104D65">
            <w:pPr>
              <w:pStyle w:val="17"/>
              <w:bidi w:val="0"/>
              <w:rPr>
                <w:rFonts w:hint="default"/>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7FFC1479">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389CA094">
            <w:pPr>
              <w:pStyle w:val="17"/>
              <w:bidi w:val="0"/>
              <w:rPr>
                <w:color w:val="auto"/>
                <w:highlight w:val="none"/>
              </w:rPr>
            </w:pPr>
          </w:p>
        </w:tc>
      </w:tr>
      <w:tr w14:paraId="12AF8A9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00" w:type="pct"/>
            <w:gridSpan w:val="6"/>
            <w:tcBorders>
              <w:tl2br w:val="nil"/>
              <w:tr2bl w:val="nil"/>
            </w:tcBorders>
            <w:vAlign w:val="center"/>
          </w:tcPr>
          <w:p w14:paraId="43983BFA">
            <w:pPr>
              <w:pStyle w:val="17"/>
              <w:bidi w:val="0"/>
              <w:rPr>
                <w:rFonts w:hint="eastAsia"/>
                <w:color w:val="auto"/>
                <w:highlight w:val="none"/>
                <w:lang w:val="en-US" w:eastAsia="zh-CN"/>
              </w:rPr>
            </w:pPr>
            <w:r>
              <w:rPr>
                <w:rFonts w:hint="eastAsia"/>
                <w:color w:val="auto"/>
                <w:highlight w:val="none"/>
                <w:lang w:val="en-US" w:eastAsia="zh-CN"/>
              </w:rPr>
              <w:t>充填设施</w:t>
            </w:r>
          </w:p>
        </w:tc>
      </w:tr>
      <w:tr w14:paraId="39D53B9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4467E28F">
            <w:pPr>
              <w:pStyle w:val="17"/>
              <w:bidi w:val="0"/>
              <w:rPr>
                <w:rFonts w:hint="default"/>
                <w:color w:val="auto"/>
                <w:highlight w:val="none"/>
                <w:lang w:val="en-US" w:eastAsia="zh-CN"/>
              </w:rPr>
            </w:pPr>
            <w:r>
              <w:rPr>
                <w:rFonts w:hint="default"/>
                <w:color w:val="auto"/>
                <w:highlight w:val="none"/>
                <w:lang w:val="en-US" w:eastAsia="zh-CN"/>
              </w:rPr>
              <w:t>1</w:t>
            </w:r>
          </w:p>
        </w:tc>
        <w:tc>
          <w:tcPr>
            <w:tcW w:w="1822" w:type="pct"/>
            <w:tcBorders>
              <w:tl2br w:val="nil"/>
              <w:tr2bl w:val="nil"/>
            </w:tcBorders>
            <w:vAlign w:val="center"/>
          </w:tcPr>
          <w:p w14:paraId="2A80BB4D">
            <w:pPr>
              <w:pStyle w:val="17"/>
              <w:bidi w:val="0"/>
              <w:rPr>
                <w:rFonts w:hint="eastAsia"/>
                <w:color w:val="auto"/>
                <w:highlight w:val="none"/>
                <w:lang w:val="en-US" w:eastAsia="zh-CN"/>
              </w:rPr>
            </w:pPr>
            <w:r>
              <w:rPr>
                <w:rFonts w:hint="eastAsia"/>
                <w:color w:val="auto"/>
                <w:highlight w:val="none"/>
                <w:lang w:val="en-US" w:eastAsia="zh-CN"/>
              </w:rPr>
              <w:t>深锥浓密机</w:t>
            </w:r>
          </w:p>
        </w:tc>
        <w:tc>
          <w:tcPr>
            <w:tcW w:w="1754" w:type="pct"/>
            <w:tcBorders>
              <w:tl2br w:val="nil"/>
              <w:tr2bl w:val="nil"/>
            </w:tcBorders>
            <w:vAlign w:val="center"/>
          </w:tcPr>
          <w:p w14:paraId="703C1CE9">
            <w:pPr>
              <w:pStyle w:val="17"/>
              <w:bidi w:val="0"/>
              <w:rPr>
                <w:rFonts w:hint="default"/>
                <w:color w:val="auto"/>
                <w:highlight w:val="none"/>
                <w:lang w:val="en-US" w:eastAsia="zh-CN"/>
              </w:rPr>
            </w:pPr>
            <w:r>
              <w:rPr>
                <w:rFonts w:hint="eastAsia"/>
                <w:color w:val="auto"/>
                <w:highlight w:val="none"/>
                <w:lang w:val="en-US" w:eastAsia="zh-CN"/>
              </w:rPr>
              <w:t>Φ20m</w:t>
            </w:r>
          </w:p>
        </w:tc>
        <w:tc>
          <w:tcPr>
            <w:tcW w:w="275" w:type="pct"/>
            <w:tcBorders>
              <w:tl2br w:val="nil"/>
              <w:tr2bl w:val="nil"/>
            </w:tcBorders>
            <w:vAlign w:val="center"/>
          </w:tcPr>
          <w:p w14:paraId="22B65C7C">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121D9E1C">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64007EDE">
            <w:pPr>
              <w:pStyle w:val="17"/>
              <w:bidi w:val="0"/>
              <w:rPr>
                <w:color w:val="auto"/>
                <w:highlight w:val="none"/>
              </w:rPr>
            </w:pPr>
          </w:p>
        </w:tc>
      </w:tr>
      <w:tr w14:paraId="6628CE8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147CE5A2">
            <w:pPr>
              <w:pStyle w:val="17"/>
              <w:bidi w:val="0"/>
              <w:rPr>
                <w:rFonts w:hint="default"/>
                <w:color w:val="auto"/>
                <w:highlight w:val="none"/>
                <w:lang w:val="en-US" w:eastAsia="zh-CN"/>
              </w:rPr>
            </w:pPr>
            <w:r>
              <w:rPr>
                <w:rFonts w:hint="default"/>
                <w:color w:val="auto"/>
                <w:highlight w:val="none"/>
                <w:lang w:val="en-US" w:eastAsia="zh-CN"/>
              </w:rPr>
              <w:t>2</w:t>
            </w:r>
          </w:p>
        </w:tc>
        <w:tc>
          <w:tcPr>
            <w:tcW w:w="1822" w:type="pct"/>
            <w:tcBorders>
              <w:tl2br w:val="nil"/>
              <w:tr2bl w:val="nil"/>
            </w:tcBorders>
            <w:vAlign w:val="center"/>
          </w:tcPr>
          <w:p w14:paraId="5BC7F178">
            <w:pPr>
              <w:pStyle w:val="17"/>
              <w:bidi w:val="0"/>
              <w:rPr>
                <w:rFonts w:hint="eastAsia"/>
                <w:color w:val="auto"/>
                <w:highlight w:val="none"/>
                <w:lang w:val="en-US" w:eastAsia="zh-CN"/>
              </w:rPr>
            </w:pPr>
            <w:r>
              <w:rPr>
                <w:rFonts w:hint="eastAsia"/>
                <w:color w:val="auto"/>
                <w:highlight w:val="none"/>
                <w:lang w:val="en-US" w:eastAsia="zh-CN"/>
              </w:rPr>
              <w:t>底流泵</w:t>
            </w:r>
          </w:p>
        </w:tc>
        <w:tc>
          <w:tcPr>
            <w:tcW w:w="1754" w:type="pct"/>
            <w:tcBorders>
              <w:tl2br w:val="nil"/>
              <w:tr2bl w:val="nil"/>
            </w:tcBorders>
            <w:vAlign w:val="center"/>
          </w:tcPr>
          <w:p w14:paraId="2EA6CA5E">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46C3CF5E">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541C058A">
            <w:pPr>
              <w:pStyle w:val="17"/>
              <w:bidi w:val="0"/>
              <w:rPr>
                <w:rFonts w:hint="default"/>
                <w:color w:val="auto"/>
                <w:highlight w:val="none"/>
                <w:lang w:val="en-US" w:eastAsia="zh-CN"/>
              </w:rPr>
            </w:pPr>
            <w:r>
              <w:rPr>
                <w:rFonts w:hint="eastAsia"/>
                <w:color w:val="auto"/>
                <w:highlight w:val="none"/>
                <w:lang w:val="en-US" w:eastAsia="zh-CN"/>
              </w:rPr>
              <w:t>4</w:t>
            </w:r>
          </w:p>
        </w:tc>
        <w:tc>
          <w:tcPr>
            <w:tcW w:w="597" w:type="pct"/>
            <w:tcBorders>
              <w:tl2br w:val="nil"/>
              <w:tr2bl w:val="nil"/>
            </w:tcBorders>
            <w:vAlign w:val="center"/>
          </w:tcPr>
          <w:p w14:paraId="4154F615">
            <w:pPr>
              <w:pStyle w:val="17"/>
              <w:bidi w:val="0"/>
              <w:rPr>
                <w:color w:val="auto"/>
                <w:highlight w:val="none"/>
              </w:rPr>
            </w:pPr>
          </w:p>
        </w:tc>
      </w:tr>
      <w:tr w14:paraId="6B86BEA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768DF22">
            <w:pPr>
              <w:pStyle w:val="17"/>
              <w:bidi w:val="0"/>
              <w:rPr>
                <w:rFonts w:hint="default"/>
                <w:color w:val="auto"/>
                <w:highlight w:val="none"/>
                <w:lang w:val="en-US" w:eastAsia="zh-CN"/>
              </w:rPr>
            </w:pPr>
            <w:r>
              <w:rPr>
                <w:rFonts w:hint="default"/>
                <w:color w:val="auto"/>
                <w:highlight w:val="none"/>
                <w:lang w:val="en-US" w:eastAsia="zh-CN"/>
              </w:rPr>
              <w:t>3</w:t>
            </w:r>
          </w:p>
        </w:tc>
        <w:tc>
          <w:tcPr>
            <w:tcW w:w="1822" w:type="pct"/>
            <w:tcBorders>
              <w:tl2br w:val="nil"/>
              <w:tr2bl w:val="nil"/>
            </w:tcBorders>
            <w:vAlign w:val="center"/>
          </w:tcPr>
          <w:p w14:paraId="65322592">
            <w:pPr>
              <w:pStyle w:val="17"/>
              <w:bidi w:val="0"/>
              <w:rPr>
                <w:rFonts w:hint="eastAsia"/>
                <w:color w:val="auto"/>
                <w:highlight w:val="none"/>
                <w:lang w:val="en-US" w:eastAsia="zh-CN"/>
              </w:rPr>
            </w:pPr>
            <w:r>
              <w:rPr>
                <w:rFonts w:hint="eastAsia"/>
                <w:color w:val="auto"/>
                <w:highlight w:val="none"/>
                <w:lang w:val="en-US" w:eastAsia="zh-CN"/>
              </w:rPr>
              <w:t>高浓度搅拌槽</w:t>
            </w:r>
          </w:p>
        </w:tc>
        <w:tc>
          <w:tcPr>
            <w:tcW w:w="1754" w:type="pct"/>
            <w:tcBorders>
              <w:tl2br w:val="nil"/>
              <w:tr2bl w:val="nil"/>
            </w:tcBorders>
            <w:vAlign w:val="center"/>
          </w:tcPr>
          <w:p w14:paraId="70C5A417">
            <w:pPr>
              <w:pStyle w:val="17"/>
              <w:bidi w:val="0"/>
              <w:rPr>
                <w:rFonts w:hint="default"/>
                <w:color w:val="auto"/>
                <w:highlight w:val="none"/>
                <w:lang w:val="en-US" w:eastAsia="zh-CN"/>
              </w:rPr>
            </w:pPr>
            <w:r>
              <w:rPr>
                <w:rFonts w:hint="eastAsia"/>
                <w:color w:val="auto"/>
                <w:highlight w:val="none"/>
                <w:lang w:val="en-US" w:eastAsia="zh-CN"/>
              </w:rPr>
              <w:t>Φ2200×2700</w:t>
            </w:r>
          </w:p>
        </w:tc>
        <w:tc>
          <w:tcPr>
            <w:tcW w:w="275" w:type="pct"/>
            <w:tcBorders>
              <w:tl2br w:val="nil"/>
              <w:tr2bl w:val="nil"/>
            </w:tcBorders>
            <w:vAlign w:val="center"/>
          </w:tcPr>
          <w:p w14:paraId="62ABA176">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6E348EC9">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1207903A">
            <w:pPr>
              <w:pStyle w:val="17"/>
              <w:bidi w:val="0"/>
              <w:rPr>
                <w:color w:val="auto"/>
                <w:highlight w:val="none"/>
              </w:rPr>
            </w:pPr>
          </w:p>
        </w:tc>
      </w:tr>
      <w:tr w14:paraId="71F3EC7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6C4D2D07">
            <w:pPr>
              <w:pStyle w:val="17"/>
              <w:bidi w:val="0"/>
              <w:rPr>
                <w:rFonts w:hint="default"/>
                <w:color w:val="auto"/>
                <w:highlight w:val="none"/>
                <w:lang w:val="en-US" w:eastAsia="zh-CN"/>
              </w:rPr>
            </w:pPr>
            <w:r>
              <w:rPr>
                <w:rFonts w:hint="default"/>
                <w:color w:val="auto"/>
                <w:highlight w:val="none"/>
                <w:lang w:val="en-US" w:eastAsia="zh-CN"/>
              </w:rPr>
              <w:t>4</w:t>
            </w:r>
          </w:p>
        </w:tc>
        <w:tc>
          <w:tcPr>
            <w:tcW w:w="1822" w:type="pct"/>
            <w:tcBorders>
              <w:tl2br w:val="nil"/>
              <w:tr2bl w:val="nil"/>
            </w:tcBorders>
            <w:vAlign w:val="center"/>
          </w:tcPr>
          <w:p w14:paraId="342A22AC">
            <w:pPr>
              <w:pStyle w:val="17"/>
              <w:bidi w:val="0"/>
              <w:rPr>
                <w:rFonts w:hint="eastAsia"/>
                <w:color w:val="auto"/>
                <w:highlight w:val="none"/>
                <w:lang w:val="en-US" w:eastAsia="zh-CN"/>
              </w:rPr>
            </w:pPr>
            <w:r>
              <w:rPr>
                <w:rFonts w:hint="eastAsia"/>
                <w:color w:val="auto"/>
                <w:highlight w:val="none"/>
                <w:lang w:val="en-US" w:eastAsia="zh-CN"/>
              </w:rPr>
              <w:t>微粉秤</w:t>
            </w:r>
          </w:p>
        </w:tc>
        <w:tc>
          <w:tcPr>
            <w:tcW w:w="1754" w:type="pct"/>
            <w:tcBorders>
              <w:tl2br w:val="nil"/>
              <w:tr2bl w:val="nil"/>
            </w:tcBorders>
            <w:vAlign w:val="center"/>
          </w:tcPr>
          <w:p w14:paraId="66AE01A3">
            <w:pPr>
              <w:pStyle w:val="17"/>
              <w:bidi w:val="0"/>
              <w:rPr>
                <w:rFonts w:hint="default"/>
                <w:color w:val="auto"/>
                <w:highlight w:val="none"/>
                <w:lang w:val="en-US" w:eastAsia="zh-CN"/>
              </w:rPr>
            </w:pPr>
            <w:r>
              <w:rPr>
                <w:rFonts w:hint="eastAsia"/>
                <w:color w:val="auto"/>
                <w:highlight w:val="none"/>
                <w:lang w:val="en-US" w:eastAsia="zh-CN"/>
              </w:rPr>
              <w:t>Φ300×3800</w:t>
            </w:r>
          </w:p>
        </w:tc>
        <w:tc>
          <w:tcPr>
            <w:tcW w:w="275" w:type="pct"/>
            <w:tcBorders>
              <w:tl2br w:val="nil"/>
              <w:tr2bl w:val="nil"/>
            </w:tcBorders>
            <w:vAlign w:val="center"/>
          </w:tcPr>
          <w:p w14:paraId="20283DD0">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09790115">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2971448D">
            <w:pPr>
              <w:pStyle w:val="17"/>
              <w:bidi w:val="0"/>
              <w:rPr>
                <w:color w:val="auto"/>
                <w:highlight w:val="none"/>
              </w:rPr>
            </w:pPr>
            <w:r>
              <w:rPr>
                <w:rFonts w:hint="default"/>
                <w:color w:val="auto"/>
                <w:highlight w:val="none"/>
                <w:lang w:val="en-US" w:eastAsia="zh-CN"/>
              </w:rPr>
              <w:t>1</w:t>
            </w:r>
            <w:r>
              <w:rPr>
                <w:rFonts w:hint="eastAsia"/>
                <w:color w:val="auto"/>
                <w:highlight w:val="none"/>
                <w:lang w:val="en-US" w:eastAsia="zh-CN"/>
              </w:rPr>
              <w:t>备</w:t>
            </w:r>
          </w:p>
        </w:tc>
      </w:tr>
      <w:tr w14:paraId="07363E8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4876555">
            <w:pPr>
              <w:pStyle w:val="17"/>
              <w:bidi w:val="0"/>
              <w:rPr>
                <w:rFonts w:hint="default"/>
                <w:color w:val="auto"/>
                <w:highlight w:val="none"/>
                <w:lang w:val="en-US" w:eastAsia="zh-CN"/>
              </w:rPr>
            </w:pPr>
            <w:r>
              <w:rPr>
                <w:rFonts w:hint="eastAsia"/>
                <w:color w:val="auto"/>
                <w:highlight w:val="none"/>
                <w:lang w:val="en-US" w:eastAsia="zh-CN"/>
              </w:rPr>
              <w:t>5</w:t>
            </w:r>
          </w:p>
        </w:tc>
        <w:tc>
          <w:tcPr>
            <w:tcW w:w="1822" w:type="pct"/>
            <w:tcBorders>
              <w:tl2br w:val="nil"/>
              <w:tr2bl w:val="nil"/>
            </w:tcBorders>
            <w:vAlign w:val="center"/>
          </w:tcPr>
          <w:p w14:paraId="6D0579AC">
            <w:pPr>
              <w:pStyle w:val="17"/>
              <w:bidi w:val="0"/>
              <w:rPr>
                <w:rFonts w:hint="default"/>
                <w:color w:val="auto"/>
                <w:highlight w:val="none"/>
                <w:lang w:val="en-US" w:eastAsia="zh-CN"/>
              </w:rPr>
            </w:pPr>
            <w:r>
              <w:rPr>
                <w:rFonts w:hint="eastAsia"/>
                <w:color w:val="auto"/>
                <w:highlight w:val="none"/>
                <w:lang w:val="en-US" w:eastAsia="zh-CN"/>
              </w:rPr>
              <w:t>水泥仓</w:t>
            </w:r>
          </w:p>
        </w:tc>
        <w:tc>
          <w:tcPr>
            <w:tcW w:w="1754" w:type="pct"/>
            <w:tcBorders>
              <w:tl2br w:val="nil"/>
              <w:tr2bl w:val="nil"/>
            </w:tcBorders>
            <w:vAlign w:val="center"/>
          </w:tcPr>
          <w:p w14:paraId="35F8900C">
            <w:pPr>
              <w:pStyle w:val="17"/>
              <w:bidi w:val="0"/>
              <w:rPr>
                <w:rFonts w:hint="default"/>
                <w:color w:val="auto"/>
                <w:highlight w:val="none"/>
                <w:lang w:val="en-US" w:eastAsia="zh-CN"/>
              </w:rPr>
            </w:pPr>
            <w:r>
              <w:rPr>
                <w:rFonts w:hint="eastAsia"/>
                <w:color w:val="auto"/>
                <w:highlight w:val="none"/>
                <w:lang w:val="en-US" w:eastAsia="zh-CN"/>
              </w:rPr>
              <w:t>Φ7m，H=10</w:t>
            </w:r>
          </w:p>
        </w:tc>
        <w:tc>
          <w:tcPr>
            <w:tcW w:w="275" w:type="pct"/>
            <w:tcBorders>
              <w:tl2br w:val="nil"/>
              <w:tr2bl w:val="nil"/>
            </w:tcBorders>
            <w:vAlign w:val="center"/>
          </w:tcPr>
          <w:p w14:paraId="7AAFC1E3">
            <w:pPr>
              <w:pStyle w:val="17"/>
              <w:bidi w:val="0"/>
              <w:rPr>
                <w:rFonts w:hint="default"/>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3D26C397">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7F322603">
            <w:pPr>
              <w:pStyle w:val="17"/>
              <w:bidi w:val="0"/>
              <w:rPr>
                <w:rFonts w:hint="default"/>
                <w:color w:val="auto"/>
                <w:highlight w:val="none"/>
                <w:lang w:val="en-US" w:eastAsia="zh-CN"/>
              </w:rPr>
            </w:pPr>
          </w:p>
        </w:tc>
      </w:tr>
      <w:tr w14:paraId="26D1B2E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0F57FBED">
            <w:pPr>
              <w:pStyle w:val="17"/>
              <w:bidi w:val="0"/>
              <w:rPr>
                <w:rFonts w:hint="default"/>
                <w:color w:val="auto"/>
                <w:highlight w:val="none"/>
                <w:lang w:val="en-US" w:eastAsia="zh-CN"/>
              </w:rPr>
            </w:pPr>
            <w:r>
              <w:rPr>
                <w:rFonts w:hint="eastAsia"/>
                <w:color w:val="auto"/>
                <w:highlight w:val="none"/>
                <w:lang w:val="en-US" w:eastAsia="zh-CN"/>
              </w:rPr>
              <w:t>6</w:t>
            </w:r>
          </w:p>
        </w:tc>
        <w:tc>
          <w:tcPr>
            <w:tcW w:w="1822" w:type="pct"/>
            <w:tcBorders>
              <w:tl2br w:val="nil"/>
              <w:tr2bl w:val="nil"/>
            </w:tcBorders>
            <w:vAlign w:val="center"/>
          </w:tcPr>
          <w:p w14:paraId="1CD1F3CA">
            <w:pPr>
              <w:pStyle w:val="17"/>
              <w:bidi w:val="0"/>
              <w:rPr>
                <w:rFonts w:hint="eastAsia"/>
                <w:color w:val="auto"/>
                <w:highlight w:val="none"/>
                <w:lang w:val="en-US" w:eastAsia="zh-CN"/>
              </w:rPr>
            </w:pPr>
            <w:r>
              <w:rPr>
                <w:rFonts w:hint="eastAsia"/>
                <w:color w:val="auto"/>
                <w:highlight w:val="none"/>
                <w:lang w:val="en-US" w:eastAsia="zh-CN"/>
              </w:rPr>
              <w:t>排沙潜水泵</w:t>
            </w:r>
          </w:p>
        </w:tc>
        <w:tc>
          <w:tcPr>
            <w:tcW w:w="1754" w:type="pct"/>
            <w:tcBorders>
              <w:tl2br w:val="nil"/>
              <w:tr2bl w:val="nil"/>
            </w:tcBorders>
            <w:vAlign w:val="center"/>
          </w:tcPr>
          <w:p w14:paraId="79752EA9">
            <w:pPr>
              <w:pStyle w:val="17"/>
              <w:bidi w:val="0"/>
              <w:rPr>
                <w:rFonts w:hint="default"/>
                <w:color w:val="auto"/>
                <w:highlight w:val="none"/>
                <w:lang w:val="en-US" w:eastAsia="zh-CN"/>
              </w:rPr>
            </w:pPr>
            <w:r>
              <w:rPr>
                <w:rFonts w:hint="eastAsia"/>
                <w:color w:val="auto"/>
                <w:highlight w:val="none"/>
                <w:lang w:val="en-US" w:eastAsia="zh-CN"/>
              </w:rPr>
              <w:t>SQ100-12</w:t>
            </w:r>
          </w:p>
        </w:tc>
        <w:tc>
          <w:tcPr>
            <w:tcW w:w="275" w:type="pct"/>
            <w:tcBorders>
              <w:tl2br w:val="nil"/>
              <w:tr2bl w:val="nil"/>
            </w:tcBorders>
            <w:vAlign w:val="center"/>
          </w:tcPr>
          <w:p w14:paraId="7D20B2B6">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15FE49A1">
            <w:pPr>
              <w:pStyle w:val="17"/>
              <w:bidi w:val="0"/>
              <w:rPr>
                <w:rFonts w:hint="default"/>
                <w:color w:val="auto"/>
                <w:highlight w:val="none"/>
                <w:lang w:val="en-US" w:eastAsia="zh-CN"/>
              </w:rPr>
            </w:pPr>
            <w:r>
              <w:rPr>
                <w:rFonts w:hint="eastAsia"/>
                <w:color w:val="auto"/>
                <w:highlight w:val="none"/>
                <w:lang w:val="en-US" w:eastAsia="zh-CN"/>
              </w:rPr>
              <w:t>2</w:t>
            </w:r>
          </w:p>
        </w:tc>
        <w:tc>
          <w:tcPr>
            <w:tcW w:w="597" w:type="pct"/>
            <w:tcBorders>
              <w:tl2br w:val="nil"/>
              <w:tr2bl w:val="nil"/>
            </w:tcBorders>
            <w:vAlign w:val="center"/>
          </w:tcPr>
          <w:p w14:paraId="56A12114">
            <w:pPr>
              <w:pStyle w:val="17"/>
              <w:bidi w:val="0"/>
              <w:rPr>
                <w:rFonts w:hint="default"/>
                <w:color w:val="auto"/>
                <w:highlight w:val="none"/>
                <w:lang w:val="en-US" w:eastAsia="zh-CN"/>
              </w:rPr>
            </w:pPr>
          </w:p>
        </w:tc>
      </w:tr>
      <w:tr w14:paraId="77C0C9F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22CE7F75">
            <w:pPr>
              <w:pStyle w:val="17"/>
              <w:bidi w:val="0"/>
              <w:rPr>
                <w:rFonts w:hint="default"/>
                <w:color w:val="auto"/>
                <w:highlight w:val="none"/>
                <w:lang w:val="en-US" w:eastAsia="zh-CN"/>
              </w:rPr>
            </w:pPr>
            <w:r>
              <w:rPr>
                <w:rFonts w:hint="eastAsia"/>
                <w:color w:val="auto"/>
                <w:highlight w:val="none"/>
                <w:lang w:val="en-US" w:eastAsia="zh-CN"/>
              </w:rPr>
              <w:t>7</w:t>
            </w:r>
          </w:p>
        </w:tc>
        <w:tc>
          <w:tcPr>
            <w:tcW w:w="1822" w:type="pct"/>
            <w:tcBorders>
              <w:tl2br w:val="nil"/>
              <w:tr2bl w:val="nil"/>
            </w:tcBorders>
            <w:vAlign w:val="center"/>
          </w:tcPr>
          <w:p w14:paraId="01DCF6BE">
            <w:pPr>
              <w:pStyle w:val="17"/>
              <w:bidi w:val="0"/>
              <w:rPr>
                <w:rFonts w:hint="eastAsia"/>
                <w:color w:val="auto"/>
                <w:highlight w:val="none"/>
                <w:lang w:val="en-US" w:eastAsia="zh-CN"/>
              </w:rPr>
            </w:pPr>
            <w:r>
              <w:rPr>
                <w:rFonts w:hint="eastAsia"/>
                <w:color w:val="auto"/>
                <w:highlight w:val="none"/>
                <w:lang w:val="en-US" w:eastAsia="zh-CN"/>
              </w:rPr>
              <w:t>充填工业泵</w:t>
            </w:r>
          </w:p>
        </w:tc>
        <w:tc>
          <w:tcPr>
            <w:tcW w:w="1754" w:type="pct"/>
            <w:tcBorders>
              <w:tl2br w:val="nil"/>
              <w:tr2bl w:val="nil"/>
            </w:tcBorders>
            <w:vAlign w:val="center"/>
          </w:tcPr>
          <w:p w14:paraId="1647739E">
            <w:pPr>
              <w:pStyle w:val="17"/>
              <w:bidi w:val="0"/>
              <w:rPr>
                <w:rFonts w:hint="default"/>
                <w:color w:val="auto"/>
                <w:highlight w:val="none"/>
                <w:lang w:val="en-US" w:eastAsia="zh-CN"/>
              </w:rPr>
            </w:pPr>
            <w:r>
              <w:rPr>
                <w:rFonts w:hint="eastAsia"/>
                <w:color w:val="auto"/>
                <w:highlight w:val="none"/>
                <w:lang w:val="en-US" w:eastAsia="zh-CN"/>
              </w:rPr>
              <w:t>12MPa，100m</w:t>
            </w:r>
            <w:r>
              <w:rPr>
                <w:rFonts w:hint="eastAsia"/>
                <w:color w:val="auto"/>
                <w:highlight w:val="none"/>
                <w:vertAlign w:val="superscript"/>
                <w:lang w:val="en-US" w:eastAsia="zh-CN"/>
              </w:rPr>
              <w:t>3/</w:t>
            </w:r>
            <w:r>
              <w:rPr>
                <w:rFonts w:hint="eastAsia"/>
                <w:color w:val="auto"/>
                <w:highlight w:val="none"/>
                <w:lang w:val="en-US" w:eastAsia="zh-CN"/>
              </w:rPr>
              <w:t>h</w:t>
            </w:r>
          </w:p>
        </w:tc>
        <w:tc>
          <w:tcPr>
            <w:tcW w:w="275" w:type="pct"/>
            <w:tcBorders>
              <w:tl2br w:val="nil"/>
              <w:tr2bl w:val="nil"/>
            </w:tcBorders>
            <w:vAlign w:val="center"/>
          </w:tcPr>
          <w:p w14:paraId="689D884B">
            <w:pPr>
              <w:pStyle w:val="17"/>
              <w:bidi w:val="0"/>
              <w:rPr>
                <w:rFonts w:hint="eastAsia"/>
                <w:color w:val="auto"/>
                <w:highlight w:val="none"/>
                <w:lang w:val="en-US" w:eastAsia="zh-CN"/>
              </w:rPr>
            </w:pPr>
            <w:r>
              <w:rPr>
                <w:rFonts w:hint="eastAsia"/>
                <w:color w:val="auto"/>
                <w:highlight w:val="none"/>
                <w:lang w:val="en-US" w:eastAsia="zh-CN"/>
              </w:rPr>
              <w:t>台</w:t>
            </w:r>
          </w:p>
        </w:tc>
        <w:tc>
          <w:tcPr>
            <w:tcW w:w="257" w:type="pct"/>
            <w:tcBorders>
              <w:tl2br w:val="nil"/>
              <w:tr2bl w:val="nil"/>
            </w:tcBorders>
            <w:vAlign w:val="center"/>
          </w:tcPr>
          <w:p w14:paraId="1583BA56">
            <w:pPr>
              <w:pStyle w:val="17"/>
              <w:bidi w:val="0"/>
              <w:rPr>
                <w:rFonts w:hint="default"/>
                <w:color w:val="auto"/>
                <w:highlight w:val="none"/>
                <w:lang w:val="en-US" w:eastAsia="zh-CN"/>
              </w:rPr>
            </w:pPr>
            <w:r>
              <w:rPr>
                <w:rFonts w:hint="eastAsia"/>
                <w:color w:val="auto"/>
                <w:highlight w:val="none"/>
                <w:lang w:val="en-US" w:eastAsia="zh-CN"/>
              </w:rPr>
              <w:t>3</w:t>
            </w:r>
          </w:p>
        </w:tc>
        <w:tc>
          <w:tcPr>
            <w:tcW w:w="597" w:type="pct"/>
            <w:tcBorders>
              <w:tl2br w:val="nil"/>
              <w:tr2bl w:val="nil"/>
            </w:tcBorders>
            <w:vAlign w:val="center"/>
          </w:tcPr>
          <w:p w14:paraId="282B73A9">
            <w:pPr>
              <w:pStyle w:val="17"/>
              <w:bidi w:val="0"/>
              <w:rPr>
                <w:rFonts w:hint="default"/>
                <w:color w:val="auto"/>
                <w:highlight w:val="none"/>
                <w:lang w:val="en-US" w:eastAsia="zh-CN"/>
              </w:rPr>
            </w:pPr>
          </w:p>
        </w:tc>
      </w:tr>
      <w:tr w14:paraId="3E36C88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91" w:type="pct"/>
            <w:tcBorders>
              <w:tl2br w:val="nil"/>
              <w:tr2bl w:val="nil"/>
            </w:tcBorders>
            <w:vAlign w:val="center"/>
          </w:tcPr>
          <w:p w14:paraId="15157771">
            <w:pPr>
              <w:pStyle w:val="17"/>
              <w:bidi w:val="0"/>
              <w:rPr>
                <w:rFonts w:hint="default"/>
                <w:color w:val="auto"/>
                <w:highlight w:val="none"/>
                <w:lang w:val="en-US" w:eastAsia="zh-CN"/>
              </w:rPr>
            </w:pPr>
            <w:r>
              <w:rPr>
                <w:rFonts w:hint="eastAsia"/>
                <w:color w:val="auto"/>
                <w:highlight w:val="none"/>
                <w:lang w:val="en-US" w:eastAsia="zh-CN"/>
              </w:rPr>
              <w:t>8</w:t>
            </w:r>
          </w:p>
        </w:tc>
        <w:tc>
          <w:tcPr>
            <w:tcW w:w="1822" w:type="pct"/>
            <w:tcBorders>
              <w:tl2br w:val="nil"/>
              <w:tr2bl w:val="nil"/>
            </w:tcBorders>
            <w:vAlign w:val="center"/>
          </w:tcPr>
          <w:p w14:paraId="3B357696">
            <w:pPr>
              <w:pStyle w:val="17"/>
              <w:bidi w:val="0"/>
              <w:rPr>
                <w:rFonts w:hint="eastAsia"/>
                <w:color w:val="auto"/>
                <w:highlight w:val="none"/>
                <w:lang w:val="en-US" w:eastAsia="zh-CN"/>
              </w:rPr>
            </w:pPr>
            <w:r>
              <w:rPr>
                <w:rFonts w:hint="eastAsia"/>
                <w:color w:val="auto"/>
                <w:highlight w:val="none"/>
                <w:lang w:val="en-US" w:eastAsia="zh-CN"/>
              </w:rPr>
              <w:t>絮凝剂添加系统</w:t>
            </w:r>
          </w:p>
        </w:tc>
        <w:tc>
          <w:tcPr>
            <w:tcW w:w="1754" w:type="pct"/>
            <w:tcBorders>
              <w:tl2br w:val="nil"/>
              <w:tr2bl w:val="nil"/>
            </w:tcBorders>
            <w:vAlign w:val="center"/>
          </w:tcPr>
          <w:p w14:paraId="0897B5F6">
            <w:pPr>
              <w:pStyle w:val="17"/>
              <w:bidi w:val="0"/>
              <w:rPr>
                <w:rFonts w:hint="default"/>
                <w:color w:val="auto"/>
                <w:highlight w:val="none"/>
                <w:lang w:val="en-US" w:eastAsia="zh-CN"/>
              </w:rPr>
            </w:pPr>
            <w:r>
              <w:rPr>
                <w:rFonts w:hint="eastAsia"/>
                <w:color w:val="auto"/>
                <w:highlight w:val="none"/>
                <w:lang w:val="en-US" w:eastAsia="zh-CN"/>
              </w:rPr>
              <w:t>/</w:t>
            </w:r>
          </w:p>
        </w:tc>
        <w:tc>
          <w:tcPr>
            <w:tcW w:w="275" w:type="pct"/>
            <w:tcBorders>
              <w:tl2br w:val="nil"/>
              <w:tr2bl w:val="nil"/>
            </w:tcBorders>
            <w:vAlign w:val="center"/>
          </w:tcPr>
          <w:p w14:paraId="450FF893">
            <w:pPr>
              <w:pStyle w:val="17"/>
              <w:bidi w:val="0"/>
              <w:rPr>
                <w:rFonts w:hint="default"/>
                <w:color w:val="auto"/>
                <w:highlight w:val="none"/>
                <w:lang w:val="en-US" w:eastAsia="zh-CN"/>
              </w:rPr>
            </w:pPr>
            <w:r>
              <w:rPr>
                <w:rFonts w:hint="eastAsia"/>
                <w:color w:val="auto"/>
                <w:highlight w:val="none"/>
                <w:lang w:val="en-US" w:eastAsia="zh-CN"/>
              </w:rPr>
              <w:t>套</w:t>
            </w:r>
          </w:p>
        </w:tc>
        <w:tc>
          <w:tcPr>
            <w:tcW w:w="257" w:type="pct"/>
            <w:tcBorders>
              <w:tl2br w:val="nil"/>
              <w:tr2bl w:val="nil"/>
            </w:tcBorders>
            <w:vAlign w:val="center"/>
          </w:tcPr>
          <w:p w14:paraId="55C799DE">
            <w:pPr>
              <w:pStyle w:val="17"/>
              <w:bidi w:val="0"/>
              <w:rPr>
                <w:rFonts w:hint="default"/>
                <w:color w:val="auto"/>
                <w:highlight w:val="none"/>
                <w:lang w:val="en-US" w:eastAsia="zh-CN"/>
              </w:rPr>
            </w:pPr>
            <w:r>
              <w:rPr>
                <w:rFonts w:hint="eastAsia"/>
                <w:color w:val="auto"/>
                <w:highlight w:val="none"/>
                <w:lang w:val="en-US" w:eastAsia="zh-CN"/>
              </w:rPr>
              <w:t>1</w:t>
            </w:r>
          </w:p>
        </w:tc>
        <w:tc>
          <w:tcPr>
            <w:tcW w:w="597" w:type="pct"/>
            <w:tcBorders>
              <w:tl2br w:val="nil"/>
              <w:tr2bl w:val="nil"/>
            </w:tcBorders>
            <w:vAlign w:val="center"/>
          </w:tcPr>
          <w:p w14:paraId="13566362">
            <w:pPr>
              <w:pStyle w:val="17"/>
              <w:bidi w:val="0"/>
              <w:rPr>
                <w:rFonts w:hint="default"/>
                <w:color w:val="auto"/>
                <w:highlight w:val="none"/>
                <w:lang w:val="en-US" w:eastAsia="zh-CN"/>
              </w:rPr>
            </w:pPr>
          </w:p>
        </w:tc>
      </w:tr>
    </w:tbl>
    <w:p w14:paraId="521D724F">
      <w:pPr>
        <w:spacing w:line="480" w:lineRule="exact"/>
        <w:ind w:firstLine="0" w:firstLineChars="0"/>
        <w:jc w:val="center"/>
        <w:rPr>
          <w:rFonts w:hint="eastAsia" w:cs="Times New Roman"/>
          <w:b/>
          <w:bCs/>
          <w:color w:val="auto"/>
          <w:sz w:val="24"/>
          <w:highlight w:val="none"/>
        </w:rPr>
      </w:pPr>
      <w:r>
        <w:rPr>
          <w:rFonts w:cs="Times New Roman"/>
          <w:b/>
          <w:bCs/>
          <w:color w:val="auto"/>
          <w:sz w:val="24"/>
          <w:highlight w:val="none"/>
        </w:rPr>
        <w:t>表3.</w:t>
      </w:r>
      <w:r>
        <w:rPr>
          <w:rFonts w:hint="eastAsia" w:cs="Times New Roman"/>
          <w:b/>
          <w:bCs/>
          <w:color w:val="auto"/>
          <w:sz w:val="24"/>
          <w:highlight w:val="none"/>
          <w:lang w:val="en-US" w:eastAsia="zh-CN"/>
        </w:rPr>
        <w:t>1-4   选矿</w:t>
      </w:r>
      <w:r>
        <w:rPr>
          <w:rFonts w:hint="eastAsia" w:cs="Times New Roman"/>
          <w:b/>
          <w:bCs/>
          <w:color w:val="auto"/>
          <w:sz w:val="24"/>
          <w:highlight w:val="none"/>
        </w:rPr>
        <w:t>主要设备一览表</w:t>
      </w:r>
    </w:p>
    <w:tbl>
      <w:tblPr>
        <w:tblStyle w:val="13"/>
        <w:tblW w:w="50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7"/>
        <w:gridCol w:w="2127"/>
        <w:gridCol w:w="2798"/>
        <w:gridCol w:w="691"/>
        <w:gridCol w:w="1166"/>
        <w:gridCol w:w="1064"/>
      </w:tblGrid>
      <w:tr w14:paraId="4F82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7FC25223">
            <w:pPr>
              <w:pStyle w:val="17"/>
              <w:bidi w:val="0"/>
              <w:rPr>
                <w:rFonts w:hint="default"/>
                <w:color w:val="auto"/>
                <w:highlight w:val="none"/>
                <w:lang w:val="en-US" w:eastAsia="zh-CN"/>
              </w:rPr>
            </w:pPr>
            <w:r>
              <w:rPr>
                <w:rFonts w:hint="eastAsia"/>
                <w:color w:val="auto"/>
                <w:highlight w:val="none"/>
                <w:lang w:val="en-US" w:eastAsia="zh-CN"/>
              </w:rPr>
              <w:t>序号</w:t>
            </w:r>
          </w:p>
        </w:tc>
        <w:tc>
          <w:tcPr>
            <w:tcW w:w="1275" w:type="pct"/>
            <w:vAlign w:val="center"/>
          </w:tcPr>
          <w:p w14:paraId="7B030A0B">
            <w:pPr>
              <w:pStyle w:val="17"/>
              <w:bidi w:val="0"/>
              <w:rPr>
                <w:color w:val="auto"/>
                <w:highlight w:val="none"/>
              </w:rPr>
            </w:pPr>
            <w:r>
              <w:rPr>
                <w:color w:val="auto"/>
                <w:highlight w:val="none"/>
              </w:rPr>
              <w:t>名称</w:t>
            </w:r>
          </w:p>
        </w:tc>
        <w:tc>
          <w:tcPr>
            <w:tcW w:w="1677" w:type="pct"/>
            <w:vAlign w:val="center"/>
          </w:tcPr>
          <w:p w14:paraId="1FF38FFA">
            <w:pPr>
              <w:pStyle w:val="17"/>
              <w:bidi w:val="0"/>
              <w:rPr>
                <w:rFonts w:hint="default"/>
                <w:color w:val="auto"/>
                <w:highlight w:val="none"/>
                <w:lang w:val="en-US" w:eastAsia="zh-CN"/>
              </w:rPr>
            </w:pPr>
            <w:r>
              <w:rPr>
                <w:rFonts w:hint="eastAsia"/>
                <w:color w:val="auto"/>
                <w:highlight w:val="none"/>
                <w:lang w:val="en-US" w:eastAsia="zh-CN"/>
              </w:rPr>
              <w:t>型号</w:t>
            </w:r>
          </w:p>
        </w:tc>
        <w:tc>
          <w:tcPr>
            <w:tcW w:w="414" w:type="pct"/>
            <w:vAlign w:val="center"/>
          </w:tcPr>
          <w:p w14:paraId="4F542E99">
            <w:pPr>
              <w:pStyle w:val="17"/>
              <w:bidi w:val="0"/>
              <w:rPr>
                <w:color w:val="auto"/>
                <w:highlight w:val="none"/>
              </w:rPr>
            </w:pPr>
            <w:r>
              <w:rPr>
                <w:color w:val="auto"/>
                <w:highlight w:val="none"/>
              </w:rPr>
              <w:t>数量</w:t>
            </w:r>
          </w:p>
        </w:tc>
        <w:tc>
          <w:tcPr>
            <w:tcW w:w="699" w:type="pct"/>
            <w:vAlign w:val="center"/>
          </w:tcPr>
          <w:p w14:paraId="3A5209F7">
            <w:pPr>
              <w:pStyle w:val="17"/>
              <w:bidi w:val="0"/>
              <w:rPr>
                <w:color w:val="auto"/>
                <w:highlight w:val="none"/>
              </w:rPr>
            </w:pPr>
            <w:r>
              <w:rPr>
                <w:color w:val="auto"/>
                <w:highlight w:val="none"/>
              </w:rPr>
              <w:t>单位</w:t>
            </w:r>
          </w:p>
        </w:tc>
        <w:tc>
          <w:tcPr>
            <w:tcW w:w="636" w:type="pct"/>
            <w:vAlign w:val="center"/>
          </w:tcPr>
          <w:p w14:paraId="3E167EC3">
            <w:pPr>
              <w:pStyle w:val="17"/>
              <w:bidi w:val="0"/>
              <w:rPr>
                <w:rFonts w:hint="eastAsia" w:eastAsia="宋体"/>
                <w:color w:val="auto"/>
                <w:highlight w:val="none"/>
                <w:lang w:eastAsia="zh-CN"/>
              </w:rPr>
            </w:pPr>
            <w:r>
              <w:rPr>
                <w:rFonts w:hint="eastAsia"/>
                <w:color w:val="auto"/>
                <w:highlight w:val="none"/>
                <w:lang w:val="en-US" w:eastAsia="zh-CN"/>
              </w:rPr>
              <w:t>备注</w:t>
            </w:r>
          </w:p>
        </w:tc>
      </w:tr>
      <w:tr w14:paraId="4106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00" w:type="pct"/>
            <w:gridSpan w:val="6"/>
            <w:vAlign w:val="center"/>
          </w:tcPr>
          <w:p w14:paraId="163D965B">
            <w:pPr>
              <w:pStyle w:val="17"/>
              <w:bidi w:val="0"/>
              <w:rPr>
                <w:rFonts w:hint="eastAsia"/>
                <w:color w:val="auto"/>
                <w:highlight w:val="none"/>
              </w:rPr>
            </w:pPr>
            <w:r>
              <w:rPr>
                <w:rFonts w:hint="eastAsia"/>
                <w:color w:val="auto"/>
                <w:highlight w:val="none"/>
                <w:lang w:val="en-US" w:eastAsia="zh-CN"/>
              </w:rPr>
              <w:t>粗矿仓</w:t>
            </w:r>
          </w:p>
        </w:tc>
      </w:tr>
      <w:tr w14:paraId="4AEF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7DD9ACE7">
            <w:pPr>
              <w:pStyle w:val="17"/>
              <w:bidi w:val="0"/>
              <w:rPr>
                <w:rFonts w:hint="default"/>
                <w:color w:val="auto"/>
                <w:highlight w:val="none"/>
                <w:lang w:val="en-US" w:eastAsia="zh-CN"/>
              </w:rPr>
            </w:pPr>
            <w:r>
              <w:rPr>
                <w:rFonts w:hint="eastAsia"/>
                <w:color w:val="auto"/>
                <w:highlight w:val="none"/>
                <w:lang w:val="en-US" w:eastAsia="zh-CN"/>
              </w:rPr>
              <w:t>1</w:t>
            </w:r>
          </w:p>
        </w:tc>
        <w:tc>
          <w:tcPr>
            <w:tcW w:w="1275" w:type="pct"/>
            <w:vAlign w:val="center"/>
          </w:tcPr>
          <w:p w14:paraId="5B393640">
            <w:pPr>
              <w:pStyle w:val="17"/>
              <w:bidi w:val="0"/>
              <w:rPr>
                <w:color w:val="auto"/>
                <w:highlight w:val="none"/>
              </w:rPr>
            </w:pPr>
            <w:r>
              <w:rPr>
                <w:rFonts w:hint="eastAsia"/>
                <w:color w:val="auto"/>
                <w:highlight w:val="none"/>
                <w:lang w:val="en-US" w:eastAsia="zh-CN"/>
              </w:rPr>
              <w:t>重型皮带给料机</w:t>
            </w:r>
          </w:p>
        </w:tc>
        <w:tc>
          <w:tcPr>
            <w:tcW w:w="1677" w:type="pct"/>
            <w:vAlign w:val="center"/>
          </w:tcPr>
          <w:p w14:paraId="3FB0EB60">
            <w:pPr>
              <w:pStyle w:val="17"/>
              <w:bidi w:val="0"/>
              <w:rPr>
                <w:color w:val="auto"/>
                <w:highlight w:val="none"/>
              </w:rPr>
            </w:pPr>
            <w:r>
              <w:rPr>
                <w:rFonts w:hint="eastAsia"/>
                <w:color w:val="auto"/>
                <w:highlight w:val="none"/>
                <w:lang w:val="en-US" w:eastAsia="zh-CN"/>
              </w:rPr>
              <w:t>1200×6000</w:t>
            </w:r>
          </w:p>
        </w:tc>
        <w:tc>
          <w:tcPr>
            <w:tcW w:w="414" w:type="pct"/>
            <w:vAlign w:val="center"/>
          </w:tcPr>
          <w:p w14:paraId="16A022BA">
            <w:pPr>
              <w:pStyle w:val="17"/>
              <w:bidi w:val="0"/>
              <w:rPr>
                <w:rFonts w:hint="eastAsia"/>
                <w:color w:val="auto"/>
                <w:highlight w:val="none"/>
                <w:lang w:val="en-US" w:eastAsia="zh-CN"/>
              </w:rPr>
            </w:pPr>
            <w:r>
              <w:rPr>
                <w:rFonts w:hint="eastAsia"/>
                <w:color w:val="auto"/>
                <w:highlight w:val="none"/>
                <w:lang w:val="en-US" w:eastAsia="zh-CN"/>
              </w:rPr>
              <w:t>4</w:t>
            </w:r>
          </w:p>
        </w:tc>
        <w:tc>
          <w:tcPr>
            <w:tcW w:w="699" w:type="pct"/>
            <w:vAlign w:val="center"/>
          </w:tcPr>
          <w:p w14:paraId="54B75A2C">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5DE6BCBF">
            <w:pPr>
              <w:pStyle w:val="17"/>
              <w:bidi w:val="0"/>
              <w:rPr>
                <w:rFonts w:hint="eastAsia"/>
                <w:color w:val="auto"/>
                <w:highlight w:val="none"/>
              </w:rPr>
            </w:pPr>
          </w:p>
        </w:tc>
      </w:tr>
      <w:tr w14:paraId="5D07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18C2A377">
            <w:pPr>
              <w:pStyle w:val="17"/>
              <w:bidi w:val="0"/>
              <w:rPr>
                <w:rFonts w:hint="default"/>
                <w:color w:val="auto"/>
                <w:highlight w:val="none"/>
                <w:lang w:val="en-US" w:eastAsia="zh-CN"/>
              </w:rPr>
            </w:pPr>
            <w:r>
              <w:rPr>
                <w:rFonts w:hint="eastAsia"/>
                <w:color w:val="auto"/>
                <w:highlight w:val="none"/>
                <w:lang w:val="en-US" w:eastAsia="zh-CN"/>
              </w:rPr>
              <w:t>2</w:t>
            </w:r>
          </w:p>
        </w:tc>
        <w:tc>
          <w:tcPr>
            <w:tcW w:w="1275" w:type="pct"/>
            <w:vAlign w:val="center"/>
          </w:tcPr>
          <w:p w14:paraId="1A36F276">
            <w:pPr>
              <w:pStyle w:val="17"/>
              <w:bidi w:val="0"/>
              <w:rPr>
                <w:color w:val="auto"/>
                <w:highlight w:val="none"/>
              </w:rPr>
            </w:pPr>
            <w:r>
              <w:rPr>
                <w:rFonts w:hint="eastAsia"/>
                <w:color w:val="auto"/>
                <w:highlight w:val="none"/>
                <w:lang w:val="en-US" w:eastAsia="zh-CN"/>
              </w:rPr>
              <w:t>振动给料机</w:t>
            </w:r>
          </w:p>
        </w:tc>
        <w:tc>
          <w:tcPr>
            <w:tcW w:w="1677" w:type="pct"/>
            <w:vAlign w:val="center"/>
          </w:tcPr>
          <w:p w14:paraId="09EFF702">
            <w:pPr>
              <w:pStyle w:val="17"/>
              <w:bidi w:val="0"/>
              <w:rPr>
                <w:color w:val="auto"/>
                <w:highlight w:val="none"/>
              </w:rPr>
            </w:pPr>
            <w:r>
              <w:rPr>
                <w:rFonts w:hint="eastAsia"/>
                <w:color w:val="auto"/>
                <w:highlight w:val="none"/>
                <w:lang w:val="en-US" w:eastAsia="zh-CN"/>
              </w:rPr>
              <w:t>900×2200</w:t>
            </w:r>
          </w:p>
        </w:tc>
        <w:tc>
          <w:tcPr>
            <w:tcW w:w="414" w:type="pct"/>
            <w:vAlign w:val="center"/>
          </w:tcPr>
          <w:p w14:paraId="2DE06BB3">
            <w:pPr>
              <w:pStyle w:val="17"/>
              <w:bidi w:val="0"/>
              <w:rPr>
                <w:rFonts w:hint="eastAsia"/>
                <w:color w:val="auto"/>
                <w:highlight w:val="none"/>
                <w:lang w:val="en-US" w:eastAsia="zh-CN"/>
              </w:rPr>
            </w:pPr>
            <w:r>
              <w:rPr>
                <w:rFonts w:hint="eastAsia"/>
                <w:color w:val="auto"/>
                <w:highlight w:val="none"/>
                <w:lang w:val="en-US" w:eastAsia="zh-CN"/>
              </w:rPr>
              <w:t>1</w:t>
            </w:r>
          </w:p>
        </w:tc>
        <w:tc>
          <w:tcPr>
            <w:tcW w:w="699" w:type="pct"/>
            <w:vAlign w:val="center"/>
          </w:tcPr>
          <w:p w14:paraId="26397860">
            <w:pPr>
              <w:pStyle w:val="17"/>
              <w:bidi w:val="0"/>
              <w:rPr>
                <w:color w:val="auto"/>
                <w:highlight w:val="none"/>
              </w:rPr>
            </w:pPr>
            <w:r>
              <w:rPr>
                <w:rFonts w:hint="eastAsia"/>
                <w:color w:val="auto"/>
                <w:highlight w:val="none"/>
                <w:lang w:val="en-US" w:eastAsia="zh-CN"/>
              </w:rPr>
              <w:t>台</w:t>
            </w:r>
          </w:p>
        </w:tc>
        <w:tc>
          <w:tcPr>
            <w:tcW w:w="636" w:type="pct"/>
            <w:vAlign w:val="center"/>
          </w:tcPr>
          <w:p w14:paraId="19799C08">
            <w:pPr>
              <w:pStyle w:val="17"/>
              <w:bidi w:val="0"/>
              <w:rPr>
                <w:rFonts w:hint="eastAsia"/>
                <w:color w:val="auto"/>
                <w:highlight w:val="none"/>
              </w:rPr>
            </w:pPr>
          </w:p>
        </w:tc>
      </w:tr>
      <w:tr w14:paraId="3EB5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565DD380">
            <w:pPr>
              <w:pStyle w:val="17"/>
              <w:bidi w:val="0"/>
              <w:rPr>
                <w:rFonts w:hint="default"/>
                <w:color w:val="auto"/>
                <w:highlight w:val="none"/>
                <w:lang w:val="en-US" w:eastAsia="zh-CN"/>
              </w:rPr>
            </w:pPr>
            <w:r>
              <w:rPr>
                <w:rFonts w:hint="eastAsia"/>
                <w:color w:val="auto"/>
                <w:highlight w:val="none"/>
                <w:lang w:val="en-US" w:eastAsia="zh-CN"/>
              </w:rPr>
              <w:t>3</w:t>
            </w:r>
          </w:p>
        </w:tc>
        <w:tc>
          <w:tcPr>
            <w:tcW w:w="1275" w:type="pct"/>
            <w:vAlign w:val="center"/>
          </w:tcPr>
          <w:p w14:paraId="77C2DA33">
            <w:pPr>
              <w:pStyle w:val="17"/>
              <w:bidi w:val="0"/>
              <w:rPr>
                <w:color w:val="auto"/>
                <w:highlight w:val="none"/>
              </w:rPr>
            </w:pPr>
            <w:r>
              <w:rPr>
                <w:rFonts w:hint="eastAsia"/>
                <w:color w:val="auto"/>
                <w:highlight w:val="none"/>
                <w:lang w:val="en-US" w:eastAsia="zh-CN"/>
              </w:rPr>
              <w:t>电动单梁悬挂起重机</w:t>
            </w:r>
          </w:p>
        </w:tc>
        <w:tc>
          <w:tcPr>
            <w:tcW w:w="1677" w:type="pct"/>
            <w:vAlign w:val="center"/>
          </w:tcPr>
          <w:p w14:paraId="45822E8A">
            <w:pPr>
              <w:pStyle w:val="17"/>
              <w:bidi w:val="0"/>
              <w:rPr>
                <w:color w:val="auto"/>
                <w:highlight w:val="none"/>
              </w:rPr>
            </w:pPr>
            <w:r>
              <w:rPr>
                <w:rFonts w:hint="eastAsia"/>
                <w:color w:val="auto"/>
                <w:highlight w:val="none"/>
                <w:lang w:val="en-US" w:eastAsia="zh-CN"/>
              </w:rPr>
              <w:t>Gn=5t，S=7m，H=15m</w:t>
            </w:r>
          </w:p>
        </w:tc>
        <w:tc>
          <w:tcPr>
            <w:tcW w:w="414" w:type="pct"/>
            <w:vAlign w:val="center"/>
          </w:tcPr>
          <w:p w14:paraId="2B73B8E2">
            <w:pPr>
              <w:pStyle w:val="17"/>
              <w:bidi w:val="0"/>
              <w:rPr>
                <w:rFonts w:hint="eastAsia"/>
                <w:color w:val="auto"/>
                <w:highlight w:val="none"/>
                <w:lang w:val="en-US" w:eastAsia="zh-CN"/>
              </w:rPr>
            </w:pPr>
            <w:r>
              <w:rPr>
                <w:rFonts w:hint="eastAsia"/>
                <w:color w:val="auto"/>
                <w:highlight w:val="none"/>
                <w:lang w:val="en-US" w:eastAsia="zh-CN"/>
              </w:rPr>
              <w:t>1</w:t>
            </w:r>
          </w:p>
        </w:tc>
        <w:tc>
          <w:tcPr>
            <w:tcW w:w="699" w:type="pct"/>
            <w:vAlign w:val="center"/>
          </w:tcPr>
          <w:p w14:paraId="6E20B751">
            <w:pPr>
              <w:pStyle w:val="17"/>
              <w:bidi w:val="0"/>
              <w:rPr>
                <w:color w:val="auto"/>
                <w:highlight w:val="none"/>
              </w:rPr>
            </w:pPr>
            <w:r>
              <w:rPr>
                <w:rFonts w:hint="eastAsia"/>
                <w:color w:val="auto"/>
                <w:highlight w:val="none"/>
                <w:lang w:val="en-US" w:eastAsia="zh-CN"/>
              </w:rPr>
              <w:t>台</w:t>
            </w:r>
          </w:p>
        </w:tc>
        <w:tc>
          <w:tcPr>
            <w:tcW w:w="636" w:type="pct"/>
            <w:vAlign w:val="center"/>
          </w:tcPr>
          <w:p w14:paraId="16560EAD">
            <w:pPr>
              <w:pStyle w:val="17"/>
              <w:bidi w:val="0"/>
              <w:rPr>
                <w:rFonts w:hint="eastAsia"/>
                <w:color w:val="auto"/>
                <w:highlight w:val="none"/>
              </w:rPr>
            </w:pPr>
          </w:p>
        </w:tc>
      </w:tr>
      <w:tr w14:paraId="3C1A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1243F1B6">
            <w:pPr>
              <w:pStyle w:val="17"/>
              <w:bidi w:val="0"/>
              <w:rPr>
                <w:rFonts w:hint="default"/>
                <w:color w:val="auto"/>
                <w:highlight w:val="none"/>
                <w:lang w:val="en-US" w:eastAsia="zh-CN"/>
              </w:rPr>
            </w:pPr>
            <w:r>
              <w:rPr>
                <w:rFonts w:hint="eastAsia"/>
                <w:color w:val="auto"/>
                <w:highlight w:val="none"/>
                <w:lang w:val="en-US" w:eastAsia="zh-CN"/>
              </w:rPr>
              <w:t>4</w:t>
            </w:r>
          </w:p>
        </w:tc>
        <w:tc>
          <w:tcPr>
            <w:tcW w:w="1275" w:type="pct"/>
            <w:shd w:val="clear" w:color="auto" w:fill="auto"/>
            <w:vAlign w:val="center"/>
          </w:tcPr>
          <w:p w14:paraId="6DB4DA0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环裢手拉葫芦</w:t>
            </w:r>
          </w:p>
        </w:tc>
        <w:tc>
          <w:tcPr>
            <w:tcW w:w="1677" w:type="pct"/>
            <w:shd w:val="clear" w:color="auto" w:fill="auto"/>
            <w:vAlign w:val="center"/>
          </w:tcPr>
          <w:p w14:paraId="5B38984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Gn=5t,H=9m</w:t>
            </w:r>
          </w:p>
        </w:tc>
        <w:tc>
          <w:tcPr>
            <w:tcW w:w="414" w:type="pct"/>
            <w:shd w:val="clear" w:color="auto" w:fill="auto"/>
            <w:vAlign w:val="center"/>
          </w:tcPr>
          <w:p w14:paraId="68FEBF1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w:t>
            </w:r>
          </w:p>
        </w:tc>
        <w:tc>
          <w:tcPr>
            <w:tcW w:w="699" w:type="pct"/>
            <w:shd w:val="clear" w:color="auto" w:fill="auto"/>
            <w:vAlign w:val="center"/>
          </w:tcPr>
          <w:p w14:paraId="792B3AB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台</w:t>
            </w:r>
          </w:p>
        </w:tc>
        <w:tc>
          <w:tcPr>
            <w:tcW w:w="636" w:type="pct"/>
            <w:vAlign w:val="center"/>
          </w:tcPr>
          <w:p w14:paraId="21881C2C">
            <w:pPr>
              <w:pStyle w:val="17"/>
              <w:bidi w:val="0"/>
              <w:rPr>
                <w:rFonts w:hint="eastAsia"/>
                <w:color w:val="auto"/>
                <w:highlight w:val="none"/>
              </w:rPr>
            </w:pPr>
          </w:p>
        </w:tc>
      </w:tr>
      <w:tr w14:paraId="70D2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5D8CACB3">
            <w:pPr>
              <w:pStyle w:val="17"/>
              <w:bidi w:val="0"/>
              <w:rPr>
                <w:rFonts w:hint="default"/>
                <w:color w:val="auto"/>
                <w:highlight w:val="none"/>
                <w:lang w:val="en-US" w:eastAsia="zh-CN"/>
              </w:rPr>
            </w:pPr>
            <w:r>
              <w:rPr>
                <w:rFonts w:hint="eastAsia"/>
                <w:color w:val="auto"/>
                <w:highlight w:val="none"/>
                <w:lang w:val="en-US" w:eastAsia="zh-CN"/>
              </w:rPr>
              <w:t>5</w:t>
            </w:r>
          </w:p>
        </w:tc>
        <w:tc>
          <w:tcPr>
            <w:tcW w:w="1275" w:type="pct"/>
            <w:shd w:val="clear" w:color="auto" w:fill="auto"/>
            <w:vAlign w:val="center"/>
          </w:tcPr>
          <w:p w14:paraId="0F9E520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液下泵</w:t>
            </w:r>
          </w:p>
        </w:tc>
        <w:tc>
          <w:tcPr>
            <w:tcW w:w="1677" w:type="pct"/>
            <w:shd w:val="clear" w:color="auto" w:fill="auto"/>
            <w:vAlign w:val="center"/>
          </w:tcPr>
          <w:p w14:paraId="4B26BEE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65QV-SP，Q=30m³/h</w:t>
            </w:r>
          </w:p>
        </w:tc>
        <w:tc>
          <w:tcPr>
            <w:tcW w:w="414" w:type="pct"/>
            <w:shd w:val="clear" w:color="auto" w:fill="auto"/>
            <w:vAlign w:val="center"/>
          </w:tcPr>
          <w:p w14:paraId="4F8F814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w:t>
            </w:r>
          </w:p>
        </w:tc>
        <w:tc>
          <w:tcPr>
            <w:tcW w:w="699" w:type="pct"/>
            <w:shd w:val="clear" w:color="auto" w:fill="auto"/>
            <w:vAlign w:val="center"/>
          </w:tcPr>
          <w:p w14:paraId="0840039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台</w:t>
            </w:r>
          </w:p>
        </w:tc>
        <w:tc>
          <w:tcPr>
            <w:tcW w:w="636" w:type="pct"/>
            <w:vAlign w:val="center"/>
          </w:tcPr>
          <w:p w14:paraId="6B3897DE">
            <w:pPr>
              <w:pStyle w:val="17"/>
              <w:bidi w:val="0"/>
              <w:rPr>
                <w:rFonts w:hint="eastAsia"/>
                <w:color w:val="auto"/>
                <w:highlight w:val="none"/>
              </w:rPr>
            </w:pPr>
          </w:p>
        </w:tc>
      </w:tr>
      <w:tr w14:paraId="5322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00" w:type="pct"/>
            <w:gridSpan w:val="6"/>
            <w:vAlign w:val="center"/>
          </w:tcPr>
          <w:p w14:paraId="60670EF4">
            <w:pPr>
              <w:pStyle w:val="17"/>
              <w:bidi w:val="0"/>
              <w:rPr>
                <w:rFonts w:hint="default" w:eastAsia="宋体"/>
                <w:color w:val="auto"/>
                <w:highlight w:val="none"/>
                <w:lang w:val="en-US" w:eastAsia="zh-CN"/>
              </w:rPr>
            </w:pPr>
            <w:r>
              <w:rPr>
                <w:rFonts w:hint="eastAsia"/>
                <w:color w:val="auto"/>
                <w:highlight w:val="none"/>
                <w:lang w:val="en-US" w:eastAsia="zh-CN"/>
              </w:rPr>
              <w:t>中细碎厂房</w:t>
            </w:r>
          </w:p>
        </w:tc>
      </w:tr>
      <w:tr w14:paraId="02E0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7D5F690C">
            <w:pPr>
              <w:pStyle w:val="17"/>
              <w:bidi w:val="0"/>
              <w:rPr>
                <w:rFonts w:hint="default"/>
                <w:color w:val="auto"/>
                <w:highlight w:val="none"/>
                <w:lang w:val="en-US" w:eastAsia="zh-CN"/>
              </w:rPr>
            </w:pPr>
            <w:r>
              <w:rPr>
                <w:rFonts w:hint="eastAsia"/>
                <w:color w:val="auto"/>
                <w:highlight w:val="none"/>
                <w:lang w:val="en-US" w:eastAsia="zh-CN"/>
              </w:rPr>
              <w:t>1</w:t>
            </w:r>
          </w:p>
        </w:tc>
        <w:tc>
          <w:tcPr>
            <w:tcW w:w="1275" w:type="pct"/>
            <w:vAlign w:val="center"/>
          </w:tcPr>
          <w:p w14:paraId="0EEA2344">
            <w:pPr>
              <w:pStyle w:val="17"/>
              <w:bidi w:val="0"/>
              <w:rPr>
                <w:color w:val="auto"/>
                <w:highlight w:val="none"/>
              </w:rPr>
            </w:pPr>
            <w:r>
              <w:rPr>
                <w:rFonts w:hint="eastAsia"/>
                <w:color w:val="auto"/>
                <w:highlight w:val="none"/>
                <w:lang w:val="en-US" w:eastAsia="zh-CN"/>
              </w:rPr>
              <w:t>中碎标准圆锥破碎机</w:t>
            </w:r>
          </w:p>
        </w:tc>
        <w:tc>
          <w:tcPr>
            <w:tcW w:w="1677" w:type="pct"/>
            <w:vAlign w:val="center"/>
          </w:tcPr>
          <w:p w14:paraId="34A969CB">
            <w:pPr>
              <w:pStyle w:val="17"/>
              <w:bidi w:val="0"/>
              <w:rPr>
                <w:color w:val="auto"/>
                <w:highlight w:val="none"/>
              </w:rPr>
            </w:pPr>
            <w:r>
              <w:rPr>
                <w:rFonts w:hint="eastAsia"/>
                <w:color w:val="auto"/>
                <w:highlight w:val="none"/>
                <w:lang w:val="en-US" w:eastAsia="zh-CN"/>
              </w:rPr>
              <w:t>600kW,多缸液压,超粗腔型</w:t>
            </w:r>
          </w:p>
        </w:tc>
        <w:tc>
          <w:tcPr>
            <w:tcW w:w="414" w:type="pct"/>
            <w:vAlign w:val="center"/>
          </w:tcPr>
          <w:p w14:paraId="1A249152">
            <w:pPr>
              <w:pStyle w:val="17"/>
              <w:bidi w:val="0"/>
              <w:rPr>
                <w:rFonts w:hint="eastAsia"/>
                <w:color w:val="auto"/>
                <w:highlight w:val="none"/>
                <w:lang w:val="en-US" w:eastAsia="zh-CN"/>
              </w:rPr>
            </w:pPr>
            <w:r>
              <w:rPr>
                <w:rFonts w:hint="eastAsia"/>
                <w:color w:val="auto"/>
                <w:highlight w:val="none"/>
                <w:lang w:val="en-US" w:eastAsia="zh-CN"/>
              </w:rPr>
              <w:t>1</w:t>
            </w:r>
          </w:p>
        </w:tc>
        <w:tc>
          <w:tcPr>
            <w:tcW w:w="699" w:type="pct"/>
            <w:vAlign w:val="center"/>
          </w:tcPr>
          <w:p w14:paraId="0EFA720D">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4B628907">
            <w:pPr>
              <w:pStyle w:val="17"/>
              <w:bidi w:val="0"/>
              <w:rPr>
                <w:rFonts w:hint="eastAsia"/>
                <w:color w:val="auto"/>
                <w:highlight w:val="none"/>
              </w:rPr>
            </w:pPr>
          </w:p>
        </w:tc>
      </w:tr>
      <w:tr w14:paraId="53E1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5842DEBF">
            <w:pPr>
              <w:pStyle w:val="17"/>
              <w:bidi w:val="0"/>
              <w:rPr>
                <w:rFonts w:hint="default"/>
                <w:color w:val="auto"/>
                <w:highlight w:val="none"/>
                <w:lang w:val="en-US" w:eastAsia="zh-CN"/>
              </w:rPr>
            </w:pPr>
            <w:r>
              <w:rPr>
                <w:rFonts w:hint="eastAsia"/>
                <w:color w:val="auto"/>
                <w:highlight w:val="none"/>
                <w:lang w:val="en-US" w:eastAsia="zh-CN"/>
              </w:rPr>
              <w:t>2</w:t>
            </w:r>
          </w:p>
        </w:tc>
        <w:tc>
          <w:tcPr>
            <w:tcW w:w="1275" w:type="pct"/>
            <w:vAlign w:val="center"/>
          </w:tcPr>
          <w:p w14:paraId="402470C0">
            <w:pPr>
              <w:pStyle w:val="17"/>
              <w:bidi w:val="0"/>
              <w:rPr>
                <w:color w:val="auto"/>
                <w:highlight w:val="none"/>
              </w:rPr>
            </w:pPr>
            <w:r>
              <w:rPr>
                <w:rFonts w:hint="eastAsia"/>
                <w:color w:val="auto"/>
                <w:highlight w:val="none"/>
                <w:lang w:val="en-US" w:eastAsia="zh-CN"/>
              </w:rPr>
              <w:t>细碎短头圆锥破碎机</w:t>
            </w:r>
          </w:p>
        </w:tc>
        <w:tc>
          <w:tcPr>
            <w:tcW w:w="1677" w:type="pct"/>
            <w:vAlign w:val="center"/>
          </w:tcPr>
          <w:p w14:paraId="4E94C865">
            <w:pPr>
              <w:pStyle w:val="17"/>
              <w:bidi w:val="0"/>
              <w:rPr>
                <w:color w:val="auto"/>
                <w:highlight w:val="none"/>
              </w:rPr>
            </w:pPr>
            <w:r>
              <w:rPr>
                <w:rFonts w:hint="eastAsia"/>
                <w:color w:val="auto"/>
                <w:highlight w:val="none"/>
                <w:lang w:val="en-US" w:eastAsia="zh-CN"/>
              </w:rPr>
              <w:t>600kW,多缸液压,细腔型</w:t>
            </w:r>
          </w:p>
        </w:tc>
        <w:tc>
          <w:tcPr>
            <w:tcW w:w="414" w:type="pct"/>
            <w:vAlign w:val="center"/>
          </w:tcPr>
          <w:p w14:paraId="45979AF4">
            <w:pPr>
              <w:pStyle w:val="17"/>
              <w:bidi w:val="0"/>
              <w:rPr>
                <w:rFonts w:hint="eastAsia"/>
                <w:color w:val="auto"/>
                <w:highlight w:val="none"/>
                <w:lang w:val="en-US" w:eastAsia="zh-CN"/>
              </w:rPr>
            </w:pPr>
            <w:r>
              <w:rPr>
                <w:rFonts w:hint="eastAsia"/>
                <w:color w:val="auto"/>
                <w:highlight w:val="none"/>
                <w:lang w:val="en-US" w:eastAsia="zh-CN"/>
              </w:rPr>
              <w:t>1</w:t>
            </w:r>
          </w:p>
        </w:tc>
        <w:tc>
          <w:tcPr>
            <w:tcW w:w="699" w:type="pct"/>
            <w:vAlign w:val="center"/>
          </w:tcPr>
          <w:p w14:paraId="1AFA5234">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51DF0610">
            <w:pPr>
              <w:pStyle w:val="17"/>
              <w:bidi w:val="0"/>
              <w:rPr>
                <w:rFonts w:hint="eastAsia"/>
                <w:color w:val="auto"/>
                <w:highlight w:val="none"/>
              </w:rPr>
            </w:pPr>
          </w:p>
        </w:tc>
      </w:tr>
      <w:tr w14:paraId="6064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213EECC5">
            <w:pPr>
              <w:pStyle w:val="17"/>
              <w:bidi w:val="0"/>
              <w:rPr>
                <w:rFonts w:hint="default"/>
                <w:color w:val="auto"/>
                <w:highlight w:val="none"/>
                <w:lang w:val="en-US" w:eastAsia="zh-CN"/>
              </w:rPr>
            </w:pPr>
            <w:r>
              <w:rPr>
                <w:rFonts w:hint="eastAsia"/>
                <w:color w:val="auto"/>
                <w:highlight w:val="none"/>
                <w:lang w:val="en-US" w:eastAsia="zh-CN"/>
              </w:rPr>
              <w:t>3</w:t>
            </w:r>
          </w:p>
        </w:tc>
        <w:tc>
          <w:tcPr>
            <w:tcW w:w="1275" w:type="pct"/>
            <w:vAlign w:val="center"/>
          </w:tcPr>
          <w:p w14:paraId="7A4B8577">
            <w:pPr>
              <w:pStyle w:val="17"/>
              <w:bidi w:val="0"/>
              <w:rPr>
                <w:color w:val="auto"/>
                <w:highlight w:val="none"/>
              </w:rPr>
            </w:pPr>
            <w:r>
              <w:rPr>
                <w:rFonts w:hint="eastAsia"/>
                <w:color w:val="auto"/>
                <w:highlight w:val="none"/>
                <w:lang w:val="en-US" w:eastAsia="zh-CN"/>
              </w:rPr>
              <w:t>移动式皮带给矿机</w:t>
            </w:r>
          </w:p>
        </w:tc>
        <w:tc>
          <w:tcPr>
            <w:tcW w:w="1677" w:type="pct"/>
            <w:vAlign w:val="center"/>
          </w:tcPr>
          <w:p w14:paraId="269B2601">
            <w:pPr>
              <w:pStyle w:val="17"/>
              <w:bidi w:val="0"/>
              <w:rPr>
                <w:color w:val="auto"/>
                <w:highlight w:val="none"/>
              </w:rPr>
            </w:pPr>
            <w:r>
              <w:rPr>
                <w:rFonts w:hint="eastAsia"/>
                <w:color w:val="auto"/>
                <w:highlight w:val="none"/>
                <w:lang w:val="en-US" w:eastAsia="zh-CN"/>
              </w:rPr>
              <w:t>1400×8500</w:t>
            </w:r>
          </w:p>
        </w:tc>
        <w:tc>
          <w:tcPr>
            <w:tcW w:w="414" w:type="pct"/>
            <w:vAlign w:val="center"/>
          </w:tcPr>
          <w:p w14:paraId="2869E4B6">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7EA6E3E1">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1C76D5C1">
            <w:pPr>
              <w:pStyle w:val="17"/>
              <w:bidi w:val="0"/>
              <w:rPr>
                <w:rFonts w:hint="eastAsia"/>
                <w:color w:val="auto"/>
                <w:highlight w:val="none"/>
              </w:rPr>
            </w:pPr>
          </w:p>
        </w:tc>
      </w:tr>
      <w:tr w14:paraId="3744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E4FA591">
            <w:pPr>
              <w:pStyle w:val="17"/>
              <w:bidi w:val="0"/>
              <w:rPr>
                <w:rFonts w:hint="default"/>
                <w:color w:val="auto"/>
                <w:highlight w:val="none"/>
                <w:lang w:val="en-US" w:eastAsia="zh-CN"/>
              </w:rPr>
            </w:pPr>
            <w:r>
              <w:rPr>
                <w:rFonts w:hint="eastAsia"/>
                <w:color w:val="auto"/>
                <w:highlight w:val="none"/>
                <w:lang w:val="en-US" w:eastAsia="zh-CN"/>
              </w:rPr>
              <w:t>4</w:t>
            </w:r>
          </w:p>
        </w:tc>
        <w:tc>
          <w:tcPr>
            <w:tcW w:w="1275" w:type="pct"/>
            <w:vAlign w:val="center"/>
          </w:tcPr>
          <w:p w14:paraId="2FCCC123">
            <w:pPr>
              <w:pStyle w:val="17"/>
              <w:bidi w:val="0"/>
              <w:rPr>
                <w:rFonts w:hint="default"/>
                <w:color w:val="auto"/>
                <w:highlight w:val="none"/>
                <w:lang w:val="en-US" w:eastAsia="zh-CN"/>
              </w:rPr>
            </w:pPr>
            <w:r>
              <w:rPr>
                <w:rFonts w:hint="eastAsia"/>
                <w:color w:val="auto"/>
                <w:highlight w:val="none"/>
                <w:lang w:val="en-US" w:eastAsia="zh-CN"/>
              </w:rPr>
              <w:t>电动双梁吊钩桥式起重机</w:t>
            </w:r>
          </w:p>
        </w:tc>
        <w:tc>
          <w:tcPr>
            <w:tcW w:w="1677" w:type="pct"/>
            <w:vAlign w:val="center"/>
          </w:tcPr>
          <w:p w14:paraId="0520DAD4">
            <w:pPr>
              <w:pStyle w:val="17"/>
              <w:bidi w:val="0"/>
              <w:rPr>
                <w:rFonts w:hint="eastAsia"/>
                <w:color w:val="auto"/>
                <w:highlight w:val="none"/>
                <w:lang w:val="en-US" w:eastAsia="zh-CN"/>
              </w:rPr>
            </w:pPr>
            <w:r>
              <w:rPr>
                <w:rFonts w:hint="eastAsia"/>
                <w:color w:val="auto"/>
                <w:highlight w:val="none"/>
                <w:lang w:val="en-US" w:eastAsia="zh-CN"/>
              </w:rPr>
              <w:t>QD,Gn=20/5t,S=10.5m,H=15m</w:t>
            </w:r>
          </w:p>
        </w:tc>
        <w:tc>
          <w:tcPr>
            <w:tcW w:w="414" w:type="pct"/>
            <w:vAlign w:val="center"/>
          </w:tcPr>
          <w:p w14:paraId="0A3CC7FB">
            <w:pPr>
              <w:pStyle w:val="17"/>
              <w:bidi w:val="0"/>
              <w:rPr>
                <w:rFonts w:hint="eastAsia"/>
                <w:color w:val="auto"/>
                <w:highlight w:val="none"/>
                <w:lang w:eastAsia="zh-CN"/>
              </w:rPr>
            </w:pPr>
            <w:r>
              <w:rPr>
                <w:rFonts w:hint="eastAsia"/>
                <w:color w:val="auto"/>
                <w:highlight w:val="none"/>
                <w:lang w:val="en-US" w:eastAsia="zh-CN"/>
              </w:rPr>
              <w:t>1</w:t>
            </w:r>
          </w:p>
        </w:tc>
        <w:tc>
          <w:tcPr>
            <w:tcW w:w="699" w:type="pct"/>
            <w:vAlign w:val="center"/>
          </w:tcPr>
          <w:p w14:paraId="2159F3D7">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1A9C3891">
            <w:pPr>
              <w:pStyle w:val="17"/>
              <w:bidi w:val="0"/>
              <w:rPr>
                <w:color w:val="auto"/>
                <w:highlight w:val="none"/>
              </w:rPr>
            </w:pPr>
          </w:p>
        </w:tc>
      </w:tr>
      <w:tr w14:paraId="5370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B751BD6">
            <w:pPr>
              <w:pStyle w:val="17"/>
              <w:bidi w:val="0"/>
              <w:rPr>
                <w:rFonts w:hint="default"/>
                <w:color w:val="auto"/>
                <w:highlight w:val="none"/>
                <w:lang w:val="en-US" w:eastAsia="zh-CN"/>
              </w:rPr>
            </w:pPr>
            <w:r>
              <w:rPr>
                <w:rFonts w:hint="eastAsia"/>
                <w:color w:val="auto"/>
                <w:highlight w:val="none"/>
                <w:lang w:val="en-US" w:eastAsia="zh-CN"/>
              </w:rPr>
              <w:t>5</w:t>
            </w:r>
          </w:p>
        </w:tc>
        <w:tc>
          <w:tcPr>
            <w:tcW w:w="1275" w:type="pct"/>
            <w:vAlign w:val="center"/>
          </w:tcPr>
          <w:p w14:paraId="7FC680A2">
            <w:pPr>
              <w:pStyle w:val="17"/>
              <w:bidi w:val="0"/>
              <w:rPr>
                <w:rFonts w:hint="default"/>
                <w:color w:val="auto"/>
                <w:highlight w:val="none"/>
                <w:lang w:val="en-US" w:eastAsia="zh-CN"/>
              </w:rPr>
            </w:pPr>
            <w:r>
              <w:rPr>
                <w:rFonts w:hint="eastAsia"/>
                <w:color w:val="auto"/>
                <w:highlight w:val="none"/>
                <w:lang w:val="en-US" w:eastAsia="zh-CN"/>
              </w:rPr>
              <w:t>液下泵</w:t>
            </w:r>
          </w:p>
        </w:tc>
        <w:tc>
          <w:tcPr>
            <w:tcW w:w="1677" w:type="pct"/>
            <w:vAlign w:val="center"/>
          </w:tcPr>
          <w:p w14:paraId="27D6B27E">
            <w:pPr>
              <w:pStyle w:val="17"/>
              <w:bidi w:val="0"/>
              <w:rPr>
                <w:rFonts w:hint="eastAsia"/>
                <w:color w:val="auto"/>
                <w:highlight w:val="none"/>
                <w:lang w:val="en-US" w:eastAsia="zh-CN"/>
              </w:rPr>
            </w:pPr>
            <w:r>
              <w:rPr>
                <w:rFonts w:hint="eastAsia"/>
                <w:color w:val="auto"/>
                <w:highlight w:val="none"/>
                <w:lang w:val="en-US" w:eastAsia="zh-CN"/>
              </w:rPr>
              <w:t>65QV-SP，Q=30m³/h</w:t>
            </w:r>
          </w:p>
        </w:tc>
        <w:tc>
          <w:tcPr>
            <w:tcW w:w="414" w:type="pct"/>
            <w:vAlign w:val="center"/>
          </w:tcPr>
          <w:p w14:paraId="04339441">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55C89183">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1F51AC07">
            <w:pPr>
              <w:pStyle w:val="17"/>
              <w:bidi w:val="0"/>
              <w:rPr>
                <w:rFonts w:hint="eastAsia"/>
                <w:color w:val="auto"/>
                <w:highlight w:val="none"/>
                <w:lang w:val="en-US" w:eastAsia="zh-CN"/>
              </w:rPr>
            </w:pPr>
          </w:p>
        </w:tc>
      </w:tr>
      <w:tr w14:paraId="7225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6"/>
            <w:vAlign w:val="center"/>
          </w:tcPr>
          <w:p w14:paraId="74707319">
            <w:pPr>
              <w:pStyle w:val="17"/>
              <w:bidi w:val="0"/>
              <w:rPr>
                <w:rFonts w:hint="default"/>
                <w:color w:val="auto"/>
                <w:highlight w:val="none"/>
                <w:lang w:val="en-US" w:eastAsia="zh-CN"/>
              </w:rPr>
            </w:pPr>
            <w:r>
              <w:rPr>
                <w:rFonts w:hint="eastAsia"/>
                <w:color w:val="auto"/>
                <w:highlight w:val="none"/>
                <w:lang w:val="en-US" w:eastAsia="zh-CN"/>
              </w:rPr>
              <w:t>筛分厂房</w:t>
            </w:r>
          </w:p>
        </w:tc>
      </w:tr>
      <w:tr w14:paraId="186C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6903476">
            <w:pPr>
              <w:pStyle w:val="17"/>
              <w:bidi w:val="0"/>
              <w:rPr>
                <w:rFonts w:hint="default"/>
                <w:color w:val="auto"/>
                <w:highlight w:val="none"/>
                <w:lang w:val="en-US" w:eastAsia="zh-CN"/>
              </w:rPr>
            </w:pPr>
            <w:r>
              <w:rPr>
                <w:rFonts w:hint="eastAsia"/>
                <w:color w:val="auto"/>
                <w:highlight w:val="none"/>
                <w:lang w:val="en-US" w:eastAsia="zh-CN"/>
              </w:rPr>
              <w:t>1</w:t>
            </w:r>
          </w:p>
        </w:tc>
        <w:tc>
          <w:tcPr>
            <w:tcW w:w="1275" w:type="pct"/>
            <w:shd w:val="clear" w:color="auto" w:fill="auto"/>
            <w:vAlign w:val="center"/>
          </w:tcPr>
          <w:p w14:paraId="1C8F93E5">
            <w:pPr>
              <w:pStyle w:val="17"/>
              <w:bidi w:val="0"/>
              <w:rPr>
                <w:rFonts w:hint="default"/>
                <w:color w:val="auto"/>
                <w:highlight w:val="none"/>
                <w:lang w:val="en-US" w:eastAsia="zh-CN"/>
              </w:rPr>
            </w:pPr>
            <w:r>
              <w:rPr>
                <w:rFonts w:hint="eastAsia"/>
                <w:color w:val="auto"/>
                <w:highlight w:val="none"/>
                <w:lang w:val="en-US" w:eastAsia="zh-CN"/>
              </w:rPr>
              <w:t>双层重型振动筛</w:t>
            </w:r>
          </w:p>
        </w:tc>
        <w:tc>
          <w:tcPr>
            <w:tcW w:w="1677" w:type="pct"/>
            <w:shd w:val="clear" w:color="auto" w:fill="auto"/>
            <w:vAlign w:val="center"/>
          </w:tcPr>
          <w:p w14:paraId="7DE9769C">
            <w:pPr>
              <w:pStyle w:val="17"/>
              <w:bidi w:val="0"/>
              <w:rPr>
                <w:rFonts w:hint="eastAsia"/>
                <w:color w:val="auto"/>
                <w:highlight w:val="none"/>
                <w:lang w:val="en-US" w:eastAsia="zh-CN"/>
              </w:rPr>
            </w:pPr>
            <w:r>
              <w:rPr>
                <w:rFonts w:hint="eastAsia"/>
                <w:color w:val="auto"/>
                <w:highlight w:val="none"/>
                <w:lang w:val="en-US" w:eastAsia="zh-CN"/>
              </w:rPr>
              <w:t>3.6m×7.5m</w:t>
            </w:r>
          </w:p>
        </w:tc>
        <w:tc>
          <w:tcPr>
            <w:tcW w:w="414" w:type="pct"/>
            <w:shd w:val="clear" w:color="auto" w:fill="auto"/>
            <w:vAlign w:val="center"/>
          </w:tcPr>
          <w:p w14:paraId="3D295CEE">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shd w:val="clear" w:color="auto" w:fill="auto"/>
            <w:vAlign w:val="center"/>
          </w:tcPr>
          <w:p w14:paraId="64BBC2D2">
            <w:pPr>
              <w:pStyle w:val="17"/>
              <w:bidi w:val="0"/>
              <w:rPr>
                <w:rFonts w:hint="eastAsia"/>
                <w:color w:val="auto"/>
                <w:highlight w:val="none"/>
                <w:lang w:val="en-US" w:eastAsia="zh-CN"/>
              </w:rPr>
            </w:pPr>
            <w:r>
              <w:rPr>
                <w:rFonts w:hint="eastAsia"/>
                <w:color w:val="auto"/>
                <w:highlight w:val="none"/>
                <w:lang w:eastAsia="zh-CN"/>
              </w:rPr>
              <w:t>台</w:t>
            </w:r>
          </w:p>
        </w:tc>
        <w:tc>
          <w:tcPr>
            <w:tcW w:w="636" w:type="pct"/>
            <w:shd w:val="clear" w:color="auto" w:fill="auto"/>
            <w:vAlign w:val="center"/>
          </w:tcPr>
          <w:p w14:paraId="3A666A69">
            <w:pPr>
              <w:pStyle w:val="17"/>
              <w:bidi w:val="0"/>
              <w:rPr>
                <w:rFonts w:hint="eastAsia"/>
                <w:color w:val="auto"/>
                <w:highlight w:val="none"/>
                <w:lang w:val="en-US" w:eastAsia="zh-CN"/>
              </w:rPr>
            </w:pPr>
          </w:p>
        </w:tc>
      </w:tr>
      <w:tr w14:paraId="3DF7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AB2AF5E">
            <w:pPr>
              <w:pStyle w:val="17"/>
              <w:bidi w:val="0"/>
              <w:rPr>
                <w:rFonts w:hint="default"/>
                <w:color w:val="auto"/>
                <w:highlight w:val="none"/>
                <w:lang w:val="en-US" w:eastAsia="zh-CN"/>
              </w:rPr>
            </w:pPr>
            <w:r>
              <w:rPr>
                <w:rFonts w:hint="eastAsia"/>
                <w:color w:val="auto"/>
                <w:highlight w:val="none"/>
                <w:lang w:val="en-US" w:eastAsia="zh-CN"/>
              </w:rPr>
              <w:t>2</w:t>
            </w:r>
          </w:p>
        </w:tc>
        <w:tc>
          <w:tcPr>
            <w:tcW w:w="1275" w:type="pct"/>
            <w:shd w:val="clear" w:color="auto" w:fill="auto"/>
            <w:vAlign w:val="center"/>
          </w:tcPr>
          <w:p w14:paraId="1DB072A7">
            <w:pPr>
              <w:pStyle w:val="17"/>
              <w:bidi w:val="0"/>
              <w:rPr>
                <w:rFonts w:hint="default"/>
                <w:color w:val="auto"/>
                <w:highlight w:val="none"/>
                <w:lang w:val="en-US" w:eastAsia="zh-CN"/>
              </w:rPr>
            </w:pPr>
            <w:r>
              <w:rPr>
                <w:rFonts w:hint="eastAsia"/>
                <w:color w:val="auto"/>
                <w:highlight w:val="none"/>
                <w:lang w:val="en-US" w:eastAsia="zh-CN"/>
              </w:rPr>
              <w:t>移动式皮带给矿机</w:t>
            </w:r>
          </w:p>
        </w:tc>
        <w:tc>
          <w:tcPr>
            <w:tcW w:w="1677" w:type="pct"/>
            <w:shd w:val="clear" w:color="auto" w:fill="auto"/>
            <w:vAlign w:val="center"/>
          </w:tcPr>
          <w:p w14:paraId="2A3E823E">
            <w:pPr>
              <w:pStyle w:val="17"/>
              <w:bidi w:val="0"/>
              <w:rPr>
                <w:rFonts w:hint="eastAsia"/>
                <w:color w:val="auto"/>
                <w:highlight w:val="none"/>
                <w:lang w:val="en-US" w:eastAsia="zh-CN"/>
              </w:rPr>
            </w:pPr>
            <w:r>
              <w:rPr>
                <w:rFonts w:hint="eastAsia"/>
                <w:color w:val="auto"/>
                <w:highlight w:val="none"/>
                <w:lang w:val="en-US" w:eastAsia="zh-CN"/>
              </w:rPr>
              <w:t>2000×5000</w:t>
            </w:r>
          </w:p>
        </w:tc>
        <w:tc>
          <w:tcPr>
            <w:tcW w:w="414" w:type="pct"/>
            <w:shd w:val="clear" w:color="auto" w:fill="auto"/>
            <w:vAlign w:val="center"/>
          </w:tcPr>
          <w:p w14:paraId="3E9E919D">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shd w:val="clear" w:color="auto" w:fill="auto"/>
            <w:vAlign w:val="center"/>
          </w:tcPr>
          <w:p w14:paraId="2003BBA6">
            <w:pPr>
              <w:pStyle w:val="17"/>
              <w:bidi w:val="0"/>
              <w:rPr>
                <w:color w:val="auto"/>
                <w:highlight w:val="none"/>
                <w:lang w:val="en-US" w:eastAsia="zh-CN"/>
              </w:rPr>
            </w:pPr>
            <w:r>
              <w:rPr>
                <w:color w:val="auto"/>
                <w:highlight w:val="none"/>
              </w:rPr>
              <w:t>台</w:t>
            </w:r>
          </w:p>
        </w:tc>
        <w:tc>
          <w:tcPr>
            <w:tcW w:w="636" w:type="pct"/>
            <w:shd w:val="clear" w:color="auto" w:fill="auto"/>
            <w:vAlign w:val="center"/>
          </w:tcPr>
          <w:p w14:paraId="39CFB21F">
            <w:pPr>
              <w:pStyle w:val="17"/>
              <w:bidi w:val="0"/>
              <w:rPr>
                <w:rFonts w:hint="eastAsia"/>
                <w:color w:val="auto"/>
                <w:highlight w:val="none"/>
                <w:lang w:val="en-US" w:eastAsia="zh-CN"/>
              </w:rPr>
            </w:pPr>
          </w:p>
        </w:tc>
      </w:tr>
      <w:tr w14:paraId="7661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027CC8F">
            <w:pPr>
              <w:pStyle w:val="17"/>
              <w:bidi w:val="0"/>
              <w:rPr>
                <w:rFonts w:hint="default"/>
                <w:color w:val="auto"/>
                <w:highlight w:val="none"/>
                <w:lang w:val="en-US" w:eastAsia="zh-CN"/>
              </w:rPr>
            </w:pPr>
            <w:r>
              <w:rPr>
                <w:rFonts w:hint="eastAsia"/>
                <w:color w:val="auto"/>
                <w:highlight w:val="none"/>
                <w:lang w:val="en-US" w:eastAsia="zh-CN"/>
              </w:rPr>
              <w:t>3</w:t>
            </w:r>
          </w:p>
        </w:tc>
        <w:tc>
          <w:tcPr>
            <w:tcW w:w="1275" w:type="pct"/>
            <w:vAlign w:val="center"/>
          </w:tcPr>
          <w:p w14:paraId="02507208">
            <w:pPr>
              <w:pStyle w:val="17"/>
              <w:bidi w:val="0"/>
              <w:rPr>
                <w:color w:val="auto"/>
                <w:highlight w:val="none"/>
              </w:rPr>
            </w:pPr>
            <w:r>
              <w:rPr>
                <w:rFonts w:hint="eastAsia"/>
                <w:color w:val="auto"/>
                <w:highlight w:val="none"/>
                <w:lang w:val="en-US" w:eastAsia="zh-CN"/>
              </w:rPr>
              <w:t>液下泵</w:t>
            </w:r>
          </w:p>
        </w:tc>
        <w:tc>
          <w:tcPr>
            <w:tcW w:w="1677" w:type="pct"/>
            <w:vAlign w:val="center"/>
          </w:tcPr>
          <w:p w14:paraId="08BF7690">
            <w:pPr>
              <w:pStyle w:val="17"/>
              <w:bidi w:val="0"/>
              <w:rPr>
                <w:rFonts w:hint="eastAsia"/>
                <w:color w:val="auto"/>
                <w:highlight w:val="none"/>
                <w:lang w:val="en-US" w:eastAsia="zh-CN"/>
              </w:rPr>
            </w:pPr>
            <w:bookmarkStart w:id="341" w:name="_Toc3536"/>
            <w:bookmarkStart w:id="342" w:name="_Toc17907"/>
            <w:bookmarkStart w:id="343" w:name="_Toc16236"/>
            <w:r>
              <w:rPr>
                <w:rFonts w:hint="eastAsia"/>
                <w:color w:val="auto"/>
                <w:highlight w:val="none"/>
                <w:lang w:val="en-US" w:eastAsia="zh-CN"/>
              </w:rPr>
              <w:t>65QV-SP，Q=30m³/h</w:t>
            </w:r>
          </w:p>
        </w:tc>
        <w:tc>
          <w:tcPr>
            <w:tcW w:w="414" w:type="pct"/>
            <w:vAlign w:val="center"/>
          </w:tcPr>
          <w:p w14:paraId="57D09AF2">
            <w:pPr>
              <w:pStyle w:val="17"/>
              <w:bidi w:val="0"/>
              <w:rPr>
                <w:color w:val="auto"/>
                <w:highlight w:val="none"/>
              </w:rPr>
            </w:pPr>
            <w:r>
              <w:rPr>
                <w:color w:val="auto"/>
                <w:highlight w:val="none"/>
              </w:rPr>
              <w:t>1</w:t>
            </w:r>
            <w:bookmarkEnd w:id="341"/>
            <w:bookmarkEnd w:id="342"/>
            <w:bookmarkEnd w:id="343"/>
          </w:p>
        </w:tc>
        <w:tc>
          <w:tcPr>
            <w:tcW w:w="699" w:type="pct"/>
            <w:vAlign w:val="center"/>
          </w:tcPr>
          <w:p w14:paraId="3FD9435C">
            <w:pPr>
              <w:pStyle w:val="17"/>
              <w:bidi w:val="0"/>
              <w:rPr>
                <w:color w:val="auto"/>
                <w:highlight w:val="none"/>
              </w:rPr>
            </w:pPr>
            <w:bookmarkStart w:id="344" w:name="_Toc29860"/>
            <w:bookmarkStart w:id="345" w:name="_Toc27875"/>
            <w:bookmarkStart w:id="346" w:name="_Toc45"/>
            <w:r>
              <w:rPr>
                <w:color w:val="auto"/>
                <w:highlight w:val="none"/>
              </w:rPr>
              <w:t>台</w:t>
            </w:r>
            <w:bookmarkEnd w:id="344"/>
            <w:bookmarkEnd w:id="345"/>
            <w:bookmarkEnd w:id="346"/>
          </w:p>
        </w:tc>
        <w:tc>
          <w:tcPr>
            <w:tcW w:w="636" w:type="pct"/>
            <w:vAlign w:val="center"/>
          </w:tcPr>
          <w:p w14:paraId="1DA89270">
            <w:pPr>
              <w:pStyle w:val="17"/>
              <w:bidi w:val="0"/>
              <w:rPr>
                <w:color w:val="auto"/>
                <w:highlight w:val="none"/>
              </w:rPr>
            </w:pPr>
          </w:p>
        </w:tc>
      </w:tr>
      <w:tr w14:paraId="18A2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6"/>
            <w:vAlign w:val="center"/>
          </w:tcPr>
          <w:p w14:paraId="485D012C">
            <w:pPr>
              <w:pStyle w:val="17"/>
              <w:bidi w:val="0"/>
              <w:rPr>
                <w:rFonts w:hint="eastAsia" w:eastAsia="宋体"/>
                <w:color w:val="auto"/>
                <w:highlight w:val="none"/>
                <w:lang w:val="en-US" w:eastAsia="zh-CN"/>
              </w:rPr>
            </w:pPr>
            <w:r>
              <w:rPr>
                <w:rFonts w:hint="eastAsia"/>
                <w:color w:val="auto"/>
                <w:highlight w:val="none"/>
                <w:lang w:val="en-US" w:eastAsia="zh-CN"/>
              </w:rPr>
              <w:t>粉矿仓</w:t>
            </w:r>
          </w:p>
        </w:tc>
      </w:tr>
      <w:tr w14:paraId="5BEE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1252035">
            <w:pPr>
              <w:pStyle w:val="17"/>
              <w:bidi w:val="0"/>
              <w:rPr>
                <w:rFonts w:hint="default"/>
                <w:color w:val="auto"/>
                <w:highlight w:val="none"/>
                <w:lang w:val="en-US" w:eastAsia="zh-CN"/>
              </w:rPr>
            </w:pPr>
            <w:r>
              <w:rPr>
                <w:rFonts w:hint="eastAsia"/>
                <w:color w:val="auto"/>
                <w:highlight w:val="none"/>
                <w:lang w:val="en-US" w:eastAsia="zh-CN"/>
              </w:rPr>
              <w:t>1</w:t>
            </w:r>
          </w:p>
        </w:tc>
        <w:tc>
          <w:tcPr>
            <w:tcW w:w="1275" w:type="pct"/>
            <w:vAlign w:val="center"/>
          </w:tcPr>
          <w:p w14:paraId="173D5367">
            <w:pPr>
              <w:pStyle w:val="17"/>
              <w:bidi w:val="0"/>
              <w:rPr>
                <w:color w:val="auto"/>
                <w:highlight w:val="none"/>
                <w:lang w:eastAsia="zh-CN"/>
              </w:rPr>
            </w:pPr>
            <w:r>
              <w:rPr>
                <w:rFonts w:hint="eastAsia"/>
                <w:color w:val="auto"/>
                <w:highlight w:val="none"/>
                <w:lang w:val="en-US" w:eastAsia="zh-CN"/>
              </w:rPr>
              <w:t>重型皮带给料机</w:t>
            </w:r>
          </w:p>
        </w:tc>
        <w:tc>
          <w:tcPr>
            <w:tcW w:w="1677" w:type="pct"/>
            <w:vAlign w:val="center"/>
          </w:tcPr>
          <w:p w14:paraId="3DB9707D">
            <w:pPr>
              <w:pStyle w:val="17"/>
              <w:bidi w:val="0"/>
              <w:rPr>
                <w:rFonts w:hint="eastAsia"/>
                <w:color w:val="auto"/>
                <w:highlight w:val="none"/>
                <w:lang w:val="en-US" w:eastAsia="zh-CN"/>
              </w:rPr>
            </w:pPr>
            <w:r>
              <w:rPr>
                <w:rFonts w:hint="eastAsia"/>
                <w:color w:val="auto"/>
                <w:highlight w:val="none"/>
                <w:lang w:val="en-US" w:eastAsia="zh-CN"/>
              </w:rPr>
              <w:t>1200×6000</w:t>
            </w:r>
          </w:p>
        </w:tc>
        <w:tc>
          <w:tcPr>
            <w:tcW w:w="414" w:type="pct"/>
            <w:vAlign w:val="center"/>
          </w:tcPr>
          <w:p w14:paraId="6B1C1594">
            <w:pPr>
              <w:pStyle w:val="17"/>
              <w:bidi w:val="0"/>
              <w:rPr>
                <w:rFonts w:hint="default"/>
                <w:color w:val="auto"/>
                <w:highlight w:val="none"/>
                <w:lang w:val="en-US" w:eastAsia="zh-CN"/>
              </w:rPr>
            </w:pPr>
            <w:r>
              <w:rPr>
                <w:rFonts w:hint="eastAsia"/>
                <w:color w:val="auto"/>
                <w:highlight w:val="none"/>
                <w:lang w:val="en-US" w:eastAsia="zh-CN"/>
              </w:rPr>
              <w:t>4</w:t>
            </w:r>
          </w:p>
        </w:tc>
        <w:tc>
          <w:tcPr>
            <w:tcW w:w="699" w:type="pct"/>
            <w:vAlign w:val="center"/>
          </w:tcPr>
          <w:p w14:paraId="1A7AB4B6">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031DF313">
            <w:pPr>
              <w:pStyle w:val="17"/>
              <w:bidi w:val="0"/>
              <w:rPr>
                <w:color w:val="auto"/>
                <w:highlight w:val="none"/>
              </w:rPr>
            </w:pPr>
          </w:p>
        </w:tc>
      </w:tr>
      <w:tr w14:paraId="5D5A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3BFF47F">
            <w:pPr>
              <w:pStyle w:val="17"/>
              <w:bidi w:val="0"/>
              <w:rPr>
                <w:rFonts w:hint="default"/>
                <w:color w:val="auto"/>
                <w:highlight w:val="none"/>
                <w:lang w:val="en-US" w:eastAsia="zh-CN"/>
              </w:rPr>
            </w:pPr>
            <w:r>
              <w:rPr>
                <w:rFonts w:hint="eastAsia"/>
                <w:color w:val="auto"/>
                <w:highlight w:val="none"/>
                <w:lang w:val="en-US" w:eastAsia="zh-CN"/>
              </w:rPr>
              <w:t>2</w:t>
            </w:r>
          </w:p>
        </w:tc>
        <w:tc>
          <w:tcPr>
            <w:tcW w:w="1275" w:type="pct"/>
            <w:vAlign w:val="center"/>
          </w:tcPr>
          <w:p w14:paraId="6EBAF67B">
            <w:pPr>
              <w:pStyle w:val="17"/>
              <w:bidi w:val="0"/>
              <w:rPr>
                <w:color w:val="auto"/>
                <w:highlight w:val="none"/>
                <w:lang w:eastAsia="zh-CN"/>
              </w:rPr>
            </w:pPr>
            <w:r>
              <w:rPr>
                <w:rFonts w:hint="eastAsia"/>
                <w:color w:val="auto"/>
                <w:highlight w:val="none"/>
                <w:lang w:val="en-US" w:eastAsia="zh-CN"/>
              </w:rPr>
              <w:t>振动给料机</w:t>
            </w:r>
          </w:p>
        </w:tc>
        <w:tc>
          <w:tcPr>
            <w:tcW w:w="1677" w:type="pct"/>
            <w:vAlign w:val="center"/>
          </w:tcPr>
          <w:p w14:paraId="72782D88">
            <w:pPr>
              <w:pStyle w:val="17"/>
              <w:bidi w:val="0"/>
              <w:rPr>
                <w:rFonts w:hint="eastAsia"/>
                <w:color w:val="auto"/>
                <w:highlight w:val="none"/>
                <w:lang w:val="en-US" w:eastAsia="zh-CN"/>
              </w:rPr>
            </w:pPr>
            <w:r>
              <w:rPr>
                <w:rFonts w:hint="eastAsia"/>
                <w:color w:val="auto"/>
                <w:highlight w:val="none"/>
                <w:lang w:val="en-US" w:eastAsia="zh-CN"/>
              </w:rPr>
              <w:t>900×2200</w:t>
            </w:r>
          </w:p>
        </w:tc>
        <w:tc>
          <w:tcPr>
            <w:tcW w:w="414" w:type="pct"/>
            <w:vAlign w:val="center"/>
          </w:tcPr>
          <w:p w14:paraId="70ABCC20">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1DE7D029">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7D3DE22E">
            <w:pPr>
              <w:pStyle w:val="17"/>
              <w:bidi w:val="0"/>
              <w:rPr>
                <w:color w:val="auto"/>
                <w:highlight w:val="none"/>
              </w:rPr>
            </w:pPr>
          </w:p>
        </w:tc>
      </w:tr>
      <w:tr w14:paraId="09A3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D2935D5">
            <w:pPr>
              <w:pStyle w:val="17"/>
              <w:bidi w:val="0"/>
              <w:rPr>
                <w:rFonts w:hint="default"/>
                <w:color w:val="auto"/>
                <w:highlight w:val="none"/>
                <w:lang w:val="en-US" w:eastAsia="zh-CN"/>
              </w:rPr>
            </w:pPr>
            <w:r>
              <w:rPr>
                <w:rFonts w:hint="eastAsia"/>
                <w:color w:val="auto"/>
                <w:highlight w:val="none"/>
                <w:lang w:val="en-US" w:eastAsia="zh-CN"/>
              </w:rPr>
              <w:t>3</w:t>
            </w:r>
          </w:p>
        </w:tc>
        <w:tc>
          <w:tcPr>
            <w:tcW w:w="1275" w:type="pct"/>
            <w:shd w:val="clear" w:color="auto" w:fill="auto"/>
            <w:vAlign w:val="center"/>
          </w:tcPr>
          <w:p w14:paraId="2C47CCBE">
            <w:pPr>
              <w:pStyle w:val="17"/>
              <w:bidi w:val="0"/>
              <w:rPr>
                <w:color w:val="auto"/>
                <w:highlight w:val="none"/>
                <w:lang w:val="en-US" w:eastAsia="zh-CN"/>
              </w:rPr>
            </w:pPr>
            <w:r>
              <w:rPr>
                <w:rFonts w:hint="eastAsia"/>
                <w:color w:val="auto"/>
                <w:highlight w:val="none"/>
                <w:lang w:val="en-US" w:eastAsia="zh-CN"/>
              </w:rPr>
              <w:t>电动单梁悬挂起重机</w:t>
            </w:r>
          </w:p>
        </w:tc>
        <w:tc>
          <w:tcPr>
            <w:tcW w:w="1677" w:type="pct"/>
            <w:vAlign w:val="center"/>
          </w:tcPr>
          <w:p w14:paraId="5EFC5786">
            <w:pPr>
              <w:pStyle w:val="17"/>
              <w:bidi w:val="0"/>
              <w:rPr>
                <w:rFonts w:hint="eastAsia"/>
                <w:color w:val="auto"/>
                <w:highlight w:val="none"/>
                <w:lang w:val="en-US" w:eastAsia="zh-CN"/>
              </w:rPr>
            </w:pPr>
            <w:r>
              <w:rPr>
                <w:rFonts w:hint="eastAsia"/>
                <w:color w:val="auto"/>
                <w:highlight w:val="none"/>
                <w:lang w:val="en-US" w:eastAsia="zh-CN"/>
              </w:rPr>
              <w:t>Gn=5t，S=7m，H=15m</w:t>
            </w:r>
          </w:p>
        </w:tc>
        <w:tc>
          <w:tcPr>
            <w:tcW w:w="414" w:type="pct"/>
            <w:vAlign w:val="center"/>
          </w:tcPr>
          <w:p w14:paraId="3F2861B3">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33E74B01">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728916C3">
            <w:pPr>
              <w:pStyle w:val="17"/>
              <w:bidi w:val="0"/>
              <w:rPr>
                <w:color w:val="auto"/>
                <w:highlight w:val="none"/>
              </w:rPr>
            </w:pPr>
          </w:p>
        </w:tc>
      </w:tr>
      <w:tr w14:paraId="5D85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88C4C65">
            <w:pPr>
              <w:pStyle w:val="17"/>
              <w:bidi w:val="0"/>
              <w:rPr>
                <w:rFonts w:hint="default"/>
                <w:color w:val="auto"/>
                <w:highlight w:val="none"/>
                <w:lang w:val="en-US" w:eastAsia="zh-CN"/>
              </w:rPr>
            </w:pPr>
            <w:r>
              <w:rPr>
                <w:rFonts w:hint="eastAsia"/>
                <w:color w:val="auto"/>
                <w:highlight w:val="none"/>
                <w:lang w:val="en-US" w:eastAsia="zh-CN"/>
              </w:rPr>
              <w:t>4</w:t>
            </w:r>
          </w:p>
        </w:tc>
        <w:tc>
          <w:tcPr>
            <w:tcW w:w="1275" w:type="pct"/>
            <w:shd w:val="clear" w:color="auto" w:fill="auto"/>
            <w:vAlign w:val="center"/>
          </w:tcPr>
          <w:p w14:paraId="21660C5D">
            <w:pPr>
              <w:pStyle w:val="17"/>
              <w:bidi w:val="0"/>
              <w:rPr>
                <w:color w:val="auto"/>
                <w:highlight w:val="none"/>
                <w:lang w:val="en-US" w:eastAsia="zh-CN"/>
              </w:rPr>
            </w:pPr>
            <w:r>
              <w:rPr>
                <w:rFonts w:hint="eastAsia"/>
                <w:color w:val="auto"/>
                <w:highlight w:val="none"/>
                <w:lang w:val="en-US" w:eastAsia="zh-CN"/>
              </w:rPr>
              <w:t>液下泵</w:t>
            </w:r>
          </w:p>
        </w:tc>
        <w:tc>
          <w:tcPr>
            <w:tcW w:w="1677" w:type="pct"/>
            <w:vAlign w:val="center"/>
          </w:tcPr>
          <w:p w14:paraId="2568F02E">
            <w:pPr>
              <w:pStyle w:val="17"/>
              <w:bidi w:val="0"/>
              <w:rPr>
                <w:rFonts w:hint="eastAsia"/>
                <w:color w:val="auto"/>
                <w:highlight w:val="none"/>
                <w:lang w:val="en-US" w:eastAsia="zh-CN"/>
              </w:rPr>
            </w:pPr>
            <w:r>
              <w:rPr>
                <w:rFonts w:hint="eastAsia"/>
                <w:color w:val="auto"/>
                <w:highlight w:val="none"/>
                <w:lang w:val="en-US" w:eastAsia="zh-CN"/>
              </w:rPr>
              <w:t>65QV-SP，Q=30m³/h</w:t>
            </w:r>
          </w:p>
        </w:tc>
        <w:tc>
          <w:tcPr>
            <w:tcW w:w="414" w:type="pct"/>
            <w:vAlign w:val="center"/>
          </w:tcPr>
          <w:p w14:paraId="48D853A3">
            <w:pPr>
              <w:pStyle w:val="17"/>
              <w:bidi w:val="0"/>
              <w:rPr>
                <w:rFonts w:hint="default"/>
                <w:color w:val="auto"/>
                <w:highlight w:val="none"/>
                <w:lang w:val="en-US" w:eastAsia="zh-CN"/>
              </w:rPr>
            </w:pPr>
            <w:r>
              <w:rPr>
                <w:rFonts w:hint="eastAsia"/>
                <w:color w:val="auto"/>
                <w:highlight w:val="none"/>
                <w:lang w:val="en-US" w:eastAsia="zh-CN"/>
              </w:rPr>
              <w:t>4</w:t>
            </w:r>
          </w:p>
        </w:tc>
        <w:tc>
          <w:tcPr>
            <w:tcW w:w="699" w:type="pct"/>
            <w:vAlign w:val="center"/>
          </w:tcPr>
          <w:p w14:paraId="05E789F9">
            <w:pPr>
              <w:pStyle w:val="17"/>
              <w:bidi w:val="0"/>
              <w:ind w:firstLine="0" w:firstLineChars="0"/>
              <w:rPr>
                <w:color w:val="auto"/>
                <w:highlight w:val="none"/>
              </w:rPr>
            </w:pPr>
            <w:r>
              <w:rPr>
                <w:rFonts w:hint="eastAsia"/>
                <w:color w:val="auto"/>
                <w:highlight w:val="none"/>
                <w:lang w:val="en-US" w:eastAsia="zh-CN"/>
              </w:rPr>
              <w:t>台</w:t>
            </w:r>
          </w:p>
        </w:tc>
        <w:tc>
          <w:tcPr>
            <w:tcW w:w="636" w:type="pct"/>
            <w:vAlign w:val="center"/>
          </w:tcPr>
          <w:p w14:paraId="2BEB07A3">
            <w:pPr>
              <w:pStyle w:val="17"/>
              <w:bidi w:val="0"/>
              <w:rPr>
                <w:color w:val="auto"/>
                <w:highlight w:val="none"/>
              </w:rPr>
            </w:pPr>
          </w:p>
        </w:tc>
      </w:tr>
      <w:tr w14:paraId="43D6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6"/>
            <w:vAlign w:val="center"/>
          </w:tcPr>
          <w:p w14:paraId="2504437F">
            <w:pPr>
              <w:pStyle w:val="17"/>
              <w:bidi w:val="0"/>
              <w:rPr>
                <w:color w:val="auto"/>
                <w:highlight w:val="none"/>
              </w:rPr>
            </w:pPr>
            <w:r>
              <w:rPr>
                <w:rFonts w:hint="eastAsia"/>
                <w:color w:val="auto"/>
                <w:highlight w:val="none"/>
                <w:lang w:val="en-US" w:eastAsia="zh-CN"/>
              </w:rPr>
              <w:t>皮带廊及转运站</w:t>
            </w:r>
          </w:p>
        </w:tc>
      </w:tr>
      <w:tr w14:paraId="6A05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4206924">
            <w:pPr>
              <w:pStyle w:val="17"/>
              <w:bidi w:val="0"/>
              <w:rPr>
                <w:rFonts w:hint="default"/>
                <w:color w:val="auto"/>
                <w:highlight w:val="none"/>
                <w:lang w:val="en-US" w:eastAsia="zh-CN"/>
              </w:rPr>
            </w:pPr>
            <w:r>
              <w:rPr>
                <w:rFonts w:hint="eastAsia"/>
                <w:color w:val="auto"/>
                <w:highlight w:val="none"/>
                <w:lang w:val="en-US" w:eastAsia="zh-CN"/>
              </w:rPr>
              <w:t>1</w:t>
            </w:r>
          </w:p>
        </w:tc>
        <w:tc>
          <w:tcPr>
            <w:tcW w:w="1275" w:type="pct"/>
            <w:vAlign w:val="center"/>
          </w:tcPr>
          <w:p w14:paraId="29F1698A">
            <w:pPr>
              <w:pStyle w:val="17"/>
              <w:bidi w:val="0"/>
              <w:rPr>
                <w:color w:val="auto"/>
                <w:highlight w:val="none"/>
                <w:lang w:eastAsia="zh-CN"/>
              </w:rPr>
            </w:pPr>
            <w:r>
              <w:rPr>
                <w:rFonts w:hint="eastAsia"/>
                <w:color w:val="auto"/>
                <w:highlight w:val="none"/>
                <w:lang w:val="en-US" w:eastAsia="zh-CN"/>
              </w:rPr>
              <w:t>CV.1带式输送机</w:t>
            </w:r>
          </w:p>
        </w:tc>
        <w:tc>
          <w:tcPr>
            <w:tcW w:w="1677" w:type="pct"/>
            <w:vAlign w:val="center"/>
          </w:tcPr>
          <w:p w14:paraId="6207452B">
            <w:pPr>
              <w:pStyle w:val="17"/>
              <w:bidi w:val="0"/>
              <w:rPr>
                <w:rFonts w:hint="eastAsia"/>
                <w:color w:val="auto"/>
                <w:highlight w:val="none"/>
                <w:lang w:val="en-US" w:eastAsia="zh-CN"/>
              </w:rPr>
            </w:pPr>
            <w:r>
              <w:rPr>
                <w:rFonts w:hint="eastAsia"/>
                <w:color w:val="auto"/>
                <w:highlight w:val="none"/>
                <w:lang w:val="en-US" w:eastAsia="zh-CN"/>
              </w:rPr>
              <w:t>B=1200，L=331.36m</w:t>
            </w:r>
          </w:p>
        </w:tc>
        <w:tc>
          <w:tcPr>
            <w:tcW w:w="414" w:type="pct"/>
            <w:vAlign w:val="center"/>
          </w:tcPr>
          <w:p w14:paraId="43739435">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3E8EB208">
            <w:pPr>
              <w:pStyle w:val="17"/>
              <w:bidi w:val="0"/>
              <w:rPr>
                <w:rFonts w:hint="eastAsia"/>
                <w:color w:val="auto"/>
                <w:highlight w:val="none"/>
                <w:lang w:val="en-US" w:eastAsia="zh-CN"/>
              </w:rPr>
            </w:pPr>
            <w:r>
              <w:rPr>
                <w:rFonts w:hint="eastAsia"/>
                <w:color w:val="auto"/>
                <w:highlight w:val="none"/>
                <w:lang w:val="en-US" w:eastAsia="zh-CN"/>
              </w:rPr>
              <w:t>条</w:t>
            </w:r>
          </w:p>
        </w:tc>
        <w:tc>
          <w:tcPr>
            <w:tcW w:w="636" w:type="pct"/>
            <w:vAlign w:val="center"/>
          </w:tcPr>
          <w:p w14:paraId="1A1C988B">
            <w:pPr>
              <w:pStyle w:val="17"/>
              <w:bidi w:val="0"/>
              <w:rPr>
                <w:color w:val="auto"/>
                <w:highlight w:val="none"/>
              </w:rPr>
            </w:pPr>
          </w:p>
        </w:tc>
      </w:tr>
      <w:tr w14:paraId="1719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8" w:type="pct"/>
            <w:vAlign w:val="center"/>
          </w:tcPr>
          <w:p w14:paraId="56905AA8">
            <w:pPr>
              <w:pStyle w:val="17"/>
              <w:bidi w:val="0"/>
              <w:rPr>
                <w:rFonts w:hint="default"/>
                <w:color w:val="auto"/>
                <w:highlight w:val="none"/>
                <w:lang w:val="en-US" w:eastAsia="zh-CN"/>
              </w:rPr>
            </w:pPr>
            <w:r>
              <w:rPr>
                <w:rFonts w:hint="eastAsia"/>
                <w:color w:val="auto"/>
                <w:highlight w:val="none"/>
                <w:lang w:val="en-US" w:eastAsia="zh-CN"/>
              </w:rPr>
              <w:t>2</w:t>
            </w:r>
          </w:p>
        </w:tc>
        <w:tc>
          <w:tcPr>
            <w:tcW w:w="1275" w:type="pct"/>
            <w:vAlign w:val="center"/>
          </w:tcPr>
          <w:p w14:paraId="21B54484">
            <w:pPr>
              <w:pStyle w:val="17"/>
              <w:bidi w:val="0"/>
              <w:rPr>
                <w:color w:val="auto"/>
                <w:highlight w:val="none"/>
                <w:lang w:eastAsia="zh-CN"/>
              </w:rPr>
            </w:pPr>
            <w:r>
              <w:rPr>
                <w:rFonts w:hint="eastAsia"/>
                <w:color w:val="auto"/>
                <w:highlight w:val="none"/>
                <w:lang w:val="en-US" w:eastAsia="zh-CN"/>
              </w:rPr>
              <w:t>CV.2带式输送机</w:t>
            </w:r>
          </w:p>
        </w:tc>
        <w:tc>
          <w:tcPr>
            <w:tcW w:w="1677" w:type="pct"/>
            <w:vAlign w:val="center"/>
          </w:tcPr>
          <w:p w14:paraId="651DF514">
            <w:pPr>
              <w:pStyle w:val="17"/>
              <w:bidi w:val="0"/>
              <w:rPr>
                <w:rFonts w:hint="eastAsia"/>
                <w:color w:val="auto"/>
                <w:highlight w:val="none"/>
                <w:lang w:val="en-US" w:eastAsia="zh-CN"/>
              </w:rPr>
            </w:pPr>
            <w:r>
              <w:rPr>
                <w:rFonts w:hint="eastAsia"/>
                <w:color w:val="auto"/>
                <w:highlight w:val="none"/>
                <w:lang w:val="en-US" w:eastAsia="zh-CN"/>
              </w:rPr>
              <w:t>B=1200，L=176.4m</w:t>
            </w:r>
          </w:p>
        </w:tc>
        <w:tc>
          <w:tcPr>
            <w:tcW w:w="414" w:type="pct"/>
            <w:vAlign w:val="center"/>
          </w:tcPr>
          <w:p w14:paraId="48730250">
            <w:pPr>
              <w:pStyle w:val="17"/>
              <w:bidi w:val="0"/>
              <w:rPr>
                <w:color w:val="auto"/>
                <w:highlight w:val="none"/>
              </w:rPr>
            </w:pPr>
            <w:r>
              <w:rPr>
                <w:rFonts w:hint="eastAsia"/>
                <w:color w:val="auto"/>
                <w:highlight w:val="none"/>
                <w:lang w:val="en-US" w:eastAsia="zh-CN"/>
              </w:rPr>
              <w:t>1</w:t>
            </w:r>
          </w:p>
        </w:tc>
        <w:tc>
          <w:tcPr>
            <w:tcW w:w="699" w:type="pct"/>
            <w:vAlign w:val="center"/>
          </w:tcPr>
          <w:p w14:paraId="0A901493">
            <w:pPr>
              <w:pStyle w:val="17"/>
              <w:bidi w:val="0"/>
              <w:rPr>
                <w:color w:val="auto"/>
                <w:highlight w:val="none"/>
              </w:rPr>
            </w:pPr>
            <w:r>
              <w:rPr>
                <w:rFonts w:hint="eastAsia"/>
                <w:color w:val="auto"/>
                <w:highlight w:val="none"/>
                <w:lang w:val="en-US" w:eastAsia="zh-CN"/>
              </w:rPr>
              <w:t>条</w:t>
            </w:r>
          </w:p>
        </w:tc>
        <w:tc>
          <w:tcPr>
            <w:tcW w:w="636" w:type="pct"/>
            <w:vAlign w:val="center"/>
          </w:tcPr>
          <w:p w14:paraId="1C643B87">
            <w:pPr>
              <w:pStyle w:val="17"/>
              <w:bidi w:val="0"/>
              <w:rPr>
                <w:color w:val="auto"/>
                <w:highlight w:val="none"/>
              </w:rPr>
            </w:pPr>
          </w:p>
        </w:tc>
      </w:tr>
      <w:tr w14:paraId="3059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BACCBB0">
            <w:pPr>
              <w:pStyle w:val="17"/>
              <w:bidi w:val="0"/>
              <w:rPr>
                <w:rFonts w:hint="default"/>
                <w:color w:val="auto"/>
                <w:highlight w:val="none"/>
                <w:lang w:val="en-US" w:eastAsia="zh-CN"/>
              </w:rPr>
            </w:pPr>
            <w:r>
              <w:rPr>
                <w:rFonts w:hint="eastAsia"/>
                <w:color w:val="auto"/>
                <w:highlight w:val="none"/>
                <w:lang w:val="en-US" w:eastAsia="zh-CN"/>
              </w:rPr>
              <w:t>3</w:t>
            </w:r>
          </w:p>
        </w:tc>
        <w:tc>
          <w:tcPr>
            <w:tcW w:w="1275" w:type="pct"/>
            <w:vAlign w:val="center"/>
          </w:tcPr>
          <w:p w14:paraId="25FA885E">
            <w:pPr>
              <w:pStyle w:val="17"/>
              <w:bidi w:val="0"/>
              <w:rPr>
                <w:color w:val="auto"/>
                <w:highlight w:val="none"/>
              </w:rPr>
            </w:pPr>
            <w:r>
              <w:rPr>
                <w:rFonts w:hint="eastAsia"/>
                <w:color w:val="auto"/>
                <w:highlight w:val="none"/>
                <w:lang w:val="en-US" w:eastAsia="zh-CN"/>
              </w:rPr>
              <w:t>CV.3带式输送机</w:t>
            </w:r>
          </w:p>
        </w:tc>
        <w:tc>
          <w:tcPr>
            <w:tcW w:w="1677" w:type="pct"/>
            <w:vAlign w:val="center"/>
          </w:tcPr>
          <w:p w14:paraId="5A9BFB1B">
            <w:pPr>
              <w:pStyle w:val="17"/>
              <w:bidi w:val="0"/>
              <w:rPr>
                <w:rFonts w:hint="eastAsia"/>
                <w:color w:val="auto"/>
                <w:highlight w:val="none"/>
                <w:lang w:val="en-US" w:eastAsia="zh-CN"/>
              </w:rPr>
            </w:pPr>
            <w:r>
              <w:rPr>
                <w:rFonts w:hint="eastAsia"/>
                <w:color w:val="auto"/>
                <w:highlight w:val="none"/>
                <w:lang w:val="en-US" w:eastAsia="zh-CN"/>
              </w:rPr>
              <w:t>B=1200，L=168m</w:t>
            </w:r>
          </w:p>
        </w:tc>
        <w:tc>
          <w:tcPr>
            <w:tcW w:w="414" w:type="pct"/>
            <w:vAlign w:val="center"/>
          </w:tcPr>
          <w:p w14:paraId="0FAC8B4E">
            <w:pPr>
              <w:pStyle w:val="17"/>
              <w:bidi w:val="0"/>
              <w:rPr>
                <w:color w:val="auto"/>
                <w:highlight w:val="none"/>
              </w:rPr>
            </w:pPr>
            <w:r>
              <w:rPr>
                <w:rFonts w:hint="eastAsia"/>
                <w:color w:val="auto"/>
                <w:highlight w:val="none"/>
                <w:lang w:val="en-US" w:eastAsia="zh-CN"/>
              </w:rPr>
              <w:t>1</w:t>
            </w:r>
          </w:p>
        </w:tc>
        <w:tc>
          <w:tcPr>
            <w:tcW w:w="699" w:type="pct"/>
            <w:vAlign w:val="center"/>
          </w:tcPr>
          <w:p w14:paraId="56F03C01">
            <w:pPr>
              <w:pStyle w:val="17"/>
              <w:bidi w:val="0"/>
              <w:rPr>
                <w:color w:val="auto"/>
                <w:highlight w:val="none"/>
              </w:rPr>
            </w:pPr>
            <w:r>
              <w:rPr>
                <w:rFonts w:hint="eastAsia"/>
                <w:color w:val="auto"/>
                <w:highlight w:val="none"/>
                <w:lang w:val="en-US" w:eastAsia="zh-CN"/>
              </w:rPr>
              <w:t>条</w:t>
            </w:r>
          </w:p>
        </w:tc>
        <w:tc>
          <w:tcPr>
            <w:tcW w:w="636" w:type="pct"/>
            <w:vAlign w:val="center"/>
          </w:tcPr>
          <w:p w14:paraId="10628503">
            <w:pPr>
              <w:pStyle w:val="17"/>
              <w:bidi w:val="0"/>
              <w:rPr>
                <w:color w:val="auto"/>
                <w:highlight w:val="none"/>
              </w:rPr>
            </w:pPr>
          </w:p>
        </w:tc>
      </w:tr>
      <w:tr w14:paraId="4B28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9858A6E">
            <w:pPr>
              <w:pStyle w:val="17"/>
              <w:bidi w:val="0"/>
              <w:rPr>
                <w:rFonts w:hint="default"/>
                <w:color w:val="auto"/>
                <w:highlight w:val="none"/>
                <w:lang w:val="en-US" w:eastAsia="zh-CN"/>
              </w:rPr>
            </w:pPr>
            <w:r>
              <w:rPr>
                <w:rFonts w:hint="eastAsia"/>
                <w:color w:val="auto"/>
                <w:highlight w:val="none"/>
                <w:lang w:val="en-US" w:eastAsia="zh-CN"/>
              </w:rPr>
              <w:t>4</w:t>
            </w:r>
          </w:p>
        </w:tc>
        <w:tc>
          <w:tcPr>
            <w:tcW w:w="1275" w:type="pct"/>
            <w:vAlign w:val="center"/>
          </w:tcPr>
          <w:p w14:paraId="147C1D21">
            <w:pPr>
              <w:pStyle w:val="17"/>
              <w:bidi w:val="0"/>
              <w:rPr>
                <w:color w:val="auto"/>
                <w:highlight w:val="none"/>
                <w:lang w:eastAsia="zh-CN"/>
              </w:rPr>
            </w:pPr>
            <w:r>
              <w:rPr>
                <w:rFonts w:hint="eastAsia"/>
                <w:color w:val="auto"/>
                <w:highlight w:val="none"/>
                <w:lang w:val="en-US" w:eastAsia="zh-CN"/>
              </w:rPr>
              <w:t>CV.4带式输送机</w:t>
            </w:r>
          </w:p>
        </w:tc>
        <w:tc>
          <w:tcPr>
            <w:tcW w:w="1677" w:type="pct"/>
            <w:vAlign w:val="center"/>
          </w:tcPr>
          <w:p w14:paraId="7EB8CDDB">
            <w:pPr>
              <w:pStyle w:val="17"/>
              <w:bidi w:val="0"/>
              <w:rPr>
                <w:rFonts w:hint="eastAsia"/>
                <w:color w:val="auto"/>
                <w:highlight w:val="none"/>
                <w:lang w:val="en-US" w:eastAsia="zh-CN"/>
              </w:rPr>
            </w:pPr>
            <w:r>
              <w:rPr>
                <w:rFonts w:hint="eastAsia"/>
                <w:color w:val="auto"/>
                <w:highlight w:val="none"/>
                <w:lang w:val="en-US" w:eastAsia="zh-CN"/>
              </w:rPr>
              <w:t>B=1200，L=21.9m</w:t>
            </w:r>
          </w:p>
        </w:tc>
        <w:tc>
          <w:tcPr>
            <w:tcW w:w="414" w:type="pct"/>
            <w:vAlign w:val="center"/>
          </w:tcPr>
          <w:p w14:paraId="43851DFA">
            <w:pPr>
              <w:pStyle w:val="17"/>
              <w:bidi w:val="0"/>
              <w:rPr>
                <w:color w:val="auto"/>
                <w:highlight w:val="none"/>
              </w:rPr>
            </w:pPr>
            <w:r>
              <w:rPr>
                <w:rFonts w:hint="eastAsia"/>
                <w:color w:val="auto"/>
                <w:highlight w:val="none"/>
                <w:lang w:val="en-US" w:eastAsia="zh-CN"/>
              </w:rPr>
              <w:t>1</w:t>
            </w:r>
          </w:p>
        </w:tc>
        <w:tc>
          <w:tcPr>
            <w:tcW w:w="699" w:type="pct"/>
            <w:vAlign w:val="center"/>
          </w:tcPr>
          <w:p w14:paraId="7B7FAD36">
            <w:pPr>
              <w:pStyle w:val="17"/>
              <w:bidi w:val="0"/>
              <w:rPr>
                <w:rFonts w:hint="eastAsia"/>
                <w:color w:val="auto"/>
                <w:highlight w:val="none"/>
                <w:lang w:val="en-US" w:eastAsia="zh-CN"/>
              </w:rPr>
            </w:pPr>
            <w:r>
              <w:rPr>
                <w:rFonts w:hint="eastAsia"/>
                <w:color w:val="auto"/>
                <w:highlight w:val="none"/>
                <w:lang w:val="en-US" w:eastAsia="zh-CN"/>
              </w:rPr>
              <w:t>条</w:t>
            </w:r>
          </w:p>
        </w:tc>
        <w:tc>
          <w:tcPr>
            <w:tcW w:w="636" w:type="pct"/>
            <w:vAlign w:val="center"/>
          </w:tcPr>
          <w:p w14:paraId="705E3ABE">
            <w:pPr>
              <w:pStyle w:val="17"/>
              <w:bidi w:val="0"/>
              <w:rPr>
                <w:color w:val="auto"/>
                <w:highlight w:val="none"/>
              </w:rPr>
            </w:pPr>
          </w:p>
        </w:tc>
      </w:tr>
      <w:tr w14:paraId="7140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B83054E">
            <w:pPr>
              <w:pStyle w:val="17"/>
              <w:bidi w:val="0"/>
              <w:rPr>
                <w:rFonts w:hint="default"/>
                <w:color w:val="auto"/>
                <w:highlight w:val="none"/>
                <w:lang w:val="en-US" w:eastAsia="zh-CN"/>
              </w:rPr>
            </w:pPr>
            <w:r>
              <w:rPr>
                <w:rFonts w:hint="eastAsia"/>
                <w:color w:val="auto"/>
                <w:highlight w:val="none"/>
                <w:lang w:val="en-US" w:eastAsia="zh-CN"/>
              </w:rPr>
              <w:t>5</w:t>
            </w:r>
          </w:p>
        </w:tc>
        <w:tc>
          <w:tcPr>
            <w:tcW w:w="1275" w:type="pct"/>
            <w:vAlign w:val="center"/>
          </w:tcPr>
          <w:p w14:paraId="3D07C8B4">
            <w:pPr>
              <w:pStyle w:val="17"/>
              <w:bidi w:val="0"/>
              <w:rPr>
                <w:rFonts w:hint="eastAsia"/>
                <w:color w:val="auto"/>
                <w:highlight w:val="none"/>
                <w:lang w:val="en-US" w:eastAsia="zh-CN"/>
              </w:rPr>
            </w:pPr>
            <w:r>
              <w:rPr>
                <w:rFonts w:hint="eastAsia"/>
                <w:color w:val="auto"/>
                <w:highlight w:val="none"/>
                <w:lang w:val="en-US" w:eastAsia="zh-CN"/>
              </w:rPr>
              <w:t>CV.5带式输送机</w:t>
            </w:r>
          </w:p>
        </w:tc>
        <w:tc>
          <w:tcPr>
            <w:tcW w:w="1677" w:type="pct"/>
            <w:vAlign w:val="center"/>
          </w:tcPr>
          <w:p w14:paraId="400D6B50">
            <w:pPr>
              <w:pStyle w:val="17"/>
              <w:bidi w:val="0"/>
              <w:rPr>
                <w:rFonts w:hint="eastAsia"/>
                <w:color w:val="auto"/>
                <w:highlight w:val="none"/>
                <w:lang w:val="en-US" w:eastAsia="zh-CN"/>
              </w:rPr>
            </w:pPr>
            <w:r>
              <w:rPr>
                <w:rFonts w:hint="eastAsia"/>
                <w:color w:val="auto"/>
                <w:highlight w:val="none"/>
                <w:lang w:val="en-US" w:eastAsia="zh-CN"/>
              </w:rPr>
              <w:t>B=1200，L=146.33m</w:t>
            </w:r>
          </w:p>
        </w:tc>
        <w:tc>
          <w:tcPr>
            <w:tcW w:w="414" w:type="pct"/>
            <w:vAlign w:val="center"/>
          </w:tcPr>
          <w:p w14:paraId="68C67CCD">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3E62DFD4">
            <w:pPr>
              <w:pStyle w:val="17"/>
              <w:bidi w:val="0"/>
              <w:rPr>
                <w:color w:val="auto"/>
                <w:highlight w:val="none"/>
              </w:rPr>
            </w:pPr>
            <w:r>
              <w:rPr>
                <w:rFonts w:hint="eastAsia"/>
                <w:color w:val="auto"/>
                <w:highlight w:val="none"/>
                <w:lang w:val="en-US" w:eastAsia="zh-CN"/>
              </w:rPr>
              <w:t>条</w:t>
            </w:r>
          </w:p>
        </w:tc>
        <w:tc>
          <w:tcPr>
            <w:tcW w:w="636" w:type="pct"/>
            <w:shd w:val="clear" w:color="auto" w:fill="auto"/>
            <w:vAlign w:val="center"/>
          </w:tcPr>
          <w:p w14:paraId="599F1B71">
            <w:pPr>
              <w:pStyle w:val="17"/>
              <w:bidi w:val="0"/>
              <w:rPr>
                <w:color w:val="auto"/>
                <w:highlight w:val="none"/>
                <w:lang w:val="en-US" w:eastAsia="zh-CN"/>
              </w:rPr>
            </w:pPr>
          </w:p>
        </w:tc>
      </w:tr>
      <w:tr w14:paraId="292B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812BD16">
            <w:pPr>
              <w:pStyle w:val="17"/>
              <w:bidi w:val="0"/>
              <w:rPr>
                <w:rFonts w:hint="default"/>
                <w:color w:val="auto"/>
                <w:highlight w:val="none"/>
                <w:lang w:val="en-US" w:eastAsia="zh-CN"/>
              </w:rPr>
            </w:pPr>
            <w:r>
              <w:rPr>
                <w:rFonts w:hint="eastAsia"/>
                <w:color w:val="auto"/>
                <w:highlight w:val="none"/>
                <w:lang w:val="en-US" w:eastAsia="zh-CN"/>
              </w:rPr>
              <w:t>6</w:t>
            </w:r>
          </w:p>
        </w:tc>
        <w:tc>
          <w:tcPr>
            <w:tcW w:w="1275" w:type="pct"/>
            <w:vAlign w:val="center"/>
          </w:tcPr>
          <w:p w14:paraId="79A07C7C">
            <w:pPr>
              <w:pStyle w:val="17"/>
              <w:bidi w:val="0"/>
              <w:rPr>
                <w:rFonts w:hint="eastAsia"/>
                <w:color w:val="auto"/>
                <w:highlight w:val="none"/>
                <w:lang w:val="en-US" w:eastAsia="zh-CN"/>
              </w:rPr>
            </w:pPr>
            <w:r>
              <w:rPr>
                <w:rFonts w:hint="eastAsia"/>
                <w:color w:val="auto"/>
                <w:highlight w:val="none"/>
                <w:lang w:val="en-US" w:eastAsia="zh-CN"/>
              </w:rPr>
              <w:t>CV.6带式输送机</w:t>
            </w:r>
          </w:p>
        </w:tc>
        <w:tc>
          <w:tcPr>
            <w:tcW w:w="1677" w:type="pct"/>
            <w:vAlign w:val="center"/>
          </w:tcPr>
          <w:p w14:paraId="599DB779">
            <w:pPr>
              <w:pStyle w:val="17"/>
              <w:bidi w:val="0"/>
              <w:rPr>
                <w:rFonts w:hint="eastAsia"/>
                <w:color w:val="auto"/>
                <w:highlight w:val="none"/>
                <w:lang w:val="en-US" w:eastAsia="zh-CN"/>
              </w:rPr>
            </w:pPr>
            <w:r>
              <w:rPr>
                <w:rFonts w:hint="eastAsia"/>
                <w:color w:val="auto"/>
                <w:highlight w:val="none"/>
                <w:lang w:val="en-US" w:eastAsia="zh-CN"/>
              </w:rPr>
              <w:t>B=1000，L=154.5</w:t>
            </w:r>
          </w:p>
        </w:tc>
        <w:tc>
          <w:tcPr>
            <w:tcW w:w="414" w:type="pct"/>
            <w:vAlign w:val="center"/>
          </w:tcPr>
          <w:p w14:paraId="2C5A6801">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04B070E4">
            <w:pPr>
              <w:pStyle w:val="17"/>
              <w:bidi w:val="0"/>
              <w:rPr>
                <w:color w:val="auto"/>
                <w:highlight w:val="none"/>
              </w:rPr>
            </w:pPr>
            <w:r>
              <w:rPr>
                <w:rFonts w:hint="eastAsia"/>
                <w:color w:val="auto"/>
                <w:highlight w:val="none"/>
                <w:lang w:val="en-US" w:eastAsia="zh-CN"/>
              </w:rPr>
              <w:t>条</w:t>
            </w:r>
          </w:p>
        </w:tc>
        <w:tc>
          <w:tcPr>
            <w:tcW w:w="636" w:type="pct"/>
            <w:shd w:val="clear" w:color="auto" w:fill="auto"/>
            <w:vAlign w:val="center"/>
          </w:tcPr>
          <w:p w14:paraId="68BCD807">
            <w:pPr>
              <w:pStyle w:val="17"/>
              <w:bidi w:val="0"/>
              <w:rPr>
                <w:color w:val="auto"/>
                <w:highlight w:val="none"/>
                <w:lang w:val="en-US" w:eastAsia="zh-CN"/>
              </w:rPr>
            </w:pPr>
          </w:p>
        </w:tc>
      </w:tr>
      <w:tr w14:paraId="7381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4903478B">
            <w:pPr>
              <w:pStyle w:val="17"/>
              <w:bidi w:val="0"/>
              <w:rPr>
                <w:rFonts w:hint="default"/>
                <w:color w:val="auto"/>
                <w:highlight w:val="none"/>
                <w:lang w:val="en-US" w:eastAsia="zh-CN"/>
              </w:rPr>
            </w:pPr>
            <w:r>
              <w:rPr>
                <w:rFonts w:hint="eastAsia"/>
                <w:color w:val="auto"/>
                <w:highlight w:val="none"/>
                <w:lang w:val="en-US" w:eastAsia="zh-CN"/>
              </w:rPr>
              <w:t>7</w:t>
            </w:r>
          </w:p>
        </w:tc>
        <w:tc>
          <w:tcPr>
            <w:tcW w:w="1275" w:type="pct"/>
            <w:vAlign w:val="center"/>
          </w:tcPr>
          <w:p w14:paraId="2BD8339C">
            <w:pPr>
              <w:pStyle w:val="17"/>
              <w:bidi w:val="0"/>
              <w:rPr>
                <w:rFonts w:hint="eastAsia"/>
                <w:color w:val="auto"/>
                <w:highlight w:val="none"/>
                <w:lang w:val="en-US" w:eastAsia="zh-CN"/>
              </w:rPr>
            </w:pPr>
            <w:r>
              <w:rPr>
                <w:rFonts w:hint="eastAsia"/>
                <w:color w:val="auto"/>
                <w:highlight w:val="none"/>
                <w:lang w:val="en-US" w:eastAsia="zh-CN"/>
              </w:rPr>
              <w:t>电磁除铁器</w:t>
            </w:r>
          </w:p>
        </w:tc>
        <w:tc>
          <w:tcPr>
            <w:tcW w:w="1677" w:type="pct"/>
            <w:vAlign w:val="center"/>
          </w:tcPr>
          <w:p w14:paraId="13BF35D8">
            <w:pPr>
              <w:pStyle w:val="17"/>
              <w:bidi w:val="0"/>
              <w:rPr>
                <w:rFonts w:hint="eastAsia"/>
                <w:color w:val="auto"/>
                <w:highlight w:val="none"/>
                <w:lang w:val="en-US" w:eastAsia="zh-CN"/>
              </w:rPr>
            </w:pPr>
            <w:r>
              <w:rPr>
                <w:rFonts w:hint="eastAsia"/>
                <w:color w:val="auto"/>
                <w:highlight w:val="none"/>
                <w:lang w:val="en-US" w:eastAsia="zh-CN"/>
              </w:rPr>
              <w:t>B=1200,T3</w:t>
            </w:r>
          </w:p>
        </w:tc>
        <w:tc>
          <w:tcPr>
            <w:tcW w:w="414" w:type="pct"/>
            <w:vAlign w:val="center"/>
          </w:tcPr>
          <w:p w14:paraId="005AB046">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25049BA7">
            <w:pPr>
              <w:pStyle w:val="17"/>
              <w:bidi w:val="0"/>
              <w:rPr>
                <w:color w:val="auto"/>
                <w:highlight w:val="none"/>
              </w:rPr>
            </w:pPr>
            <w:r>
              <w:rPr>
                <w:rFonts w:hint="eastAsia"/>
                <w:color w:val="auto"/>
                <w:highlight w:val="none"/>
                <w:lang w:val="en-US" w:eastAsia="zh-CN"/>
              </w:rPr>
              <w:t>台</w:t>
            </w:r>
          </w:p>
        </w:tc>
        <w:tc>
          <w:tcPr>
            <w:tcW w:w="636" w:type="pct"/>
            <w:shd w:val="clear" w:color="auto" w:fill="auto"/>
            <w:vAlign w:val="center"/>
          </w:tcPr>
          <w:p w14:paraId="4E5814DF">
            <w:pPr>
              <w:pStyle w:val="17"/>
              <w:bidi w:val="0"/>
              <w:rPr>
                <w:color w:val="auto"/>
                <w:highlight w:val="none"/>
                <w:lang w:val="en-US" w:eastAsia="zh-CN"/>
              </w:rPr>
            </w:pPr>
          </w:p>
        </w:tc>
      </w:tr>
      <w:tr w14:paraId="65D9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D1B9DDB">
            <w:pPr>
              <w:pStyle w:val="17"/>
              <w:bidi w:val="0"/>
              <w:rPr>
                <w:rFonts w:hint="default"/>
                <w:color w:val="auto"/>
                <w:highlight w:val="none"/>
                <w:lang w:val="en-US" w:eastAsia="zh-CN"/>
              </w:rPr>
            </w:pPr>
            <w:r>
              <w:rPr>
                <w:rFonts w:hint="eastAsia"/>
                <w:color w:val="auto"/>
                <w:highlight w:val="none"/>
                <w:lang w:val="en-US" w:eastAsia="zh-CN"/>
              </w:rPr>
              <w:t>8</w:t>
            </w:r>
          </w:p>
        </w:tc>
        <w:tc>
          <w:tcPr>
            <w:tcW w:w="1275" w:type="pct"/>
            <w:vAlign w:val="center"/>
          </w:tcPr>
          <w:p w14:paraId="7019E07F">
            <w:pPr>
              <w:pStyle w:val="17"/>
              <w:bidi w:val="0"/>
              <w:rPr>
                <w:color w:val="auto"/>
                <w:highlight w:val="none"/>
              </w:rPr>
            </w:pPr>
            <w:r>
              <w:rPr>
                <w:rFonts w:hint="eastAsia"/>
                <w:color w:val="auto"/>
                <w:highlight w:val="none"/>
                <w:lang w:val="en-US" w:eastAsia="zh-CN"/>
              </w:rPr>
              <w:t>金属探测器</w:t>
            </w:r>
          </w:p>
        </w:tc>
        <w:tc>
          <w:tcPr>
            <w:tcW w:w="1677" w:type="pct"/>
            <w:vAlign w:val="center"/>
          </w:tcPr>
          <w:p w14:paraId="688EE151">
            <w:pPr>
              <w:pStyle w:val="17"/>
              <w:bidi w:val="0"/>
              <w:rPr>
                <w:rFonts w:hint="eastAsia"/>
                <w:color w:val="auto"/>
                <w:highlight w:val="none"/>
                <w:lang w:val="en-US" w:eastAsia="zh-CN"/>
              </w:rPr>
            </w:pPr>
            <w:r>
              <w:rPr>
                <w:rFonts w:hint="eastAsia"/>
                <w:color w:val="auto"/>
                <w:highlight w:val="none"/>
                <w:lang w:val="en-US" w:eastAsia="zh-CN"/>
              </w:rPr>
              <w:t>B=1200</w:t>
            </w:r>
          </w:p>
        </w:tc>
        <w:tc>
          <w:tcPr>
            <w:tcW w:w="414" w:type="pct"/>
            <w:vAlign w:val="center"/>
          </w:tcPr>
          <w:p w14:paraId="0886B73F">
            <w:pPr>
              <w:pStyle w:val="17"/>
              <w:bidi w:val="0"/>
              <w:rPr>
                <w:color w:val="auto"/>
                <w:highlight w:val="none"/>
              </w:rPr>
            </w:pPr>
            <w:r>
              <w:rPr>
                <w:rFonts w:hint="eastAsia"/>
                <w:color w:val="auto"/>
                <w:highlight w:val="none"/>
                <w:lang w:val="en-US" w:eastAsia="zh-CN"/>
              </w:rPr>
              <w:t>2</w:t>
            </w:r>
          </w:p>
        </w:tc>
        <w:tc>
          <w:tcPr>
            <w:tcW w:w="699" w:type="pct"/>
            <w:vAlign w:val="center"/>
          </w:tcPr>
          <w:p w14:paraId="0E04797F">
            <w:pPr>
              <w:pStyle w:val="17"/>
              <w:bidi w:val="0"/>
              <w:rPr>
                <w:color w:val="auto"/>
                <w:highlight w:val="none"/>
              </w:rPr>
            </w:pPr>
            <w:r>
              <w:rPr>
                <w:rFonts w:hint="eastAsia"/>
                <w:color w:val="auto"/>
                <w:highlight w:val="none"/>
                <w:lang w:val="en-US" w:eastAsia="zh-CN"/>
              </w:rPr>
              <w:t>台</w:t>
            </w:r>
          </w:p>
        </w:tc>
        <w:tc>
          <w:tcPr>
            <w:tcW w:w="636" w:type="pct"/>
            <w:shd w:val="clear" w:color="auto" w:fill="auto"/>
            <w:vAlign w:val="center"/>
          </w:tcPr>
          <w:p w14:paraId="12A69B02">
            <w:pPr>
              <w:pStyle w:val="17"/>
              <w:bidi w:val="0"/>
              <w:rPr>
                <w:rFonts w:hint="eastAsia"/>
                <w:color w:val="auto"/>
                <w:highlight w:val="none"/>
                <w:lang w:val="zh-CN" w:eastAsia="zh-CN"/>
              </w:rPr>
            </w:pPr>
          </w:p>
        </w:tc>
      </w:tr>
      <w:tr w14:paraId="4A25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3FE596C">
            <w:pPr>
              <w:pStyle w:val="17"/>
              <w:bidi w:val="0"/>
              <w:rPr>
                <w:rFonts w:hint="default"/>
                <w:color w:val="auto"/>
                <w:highlight w:val="none"/>
                <w:lang w:val="en-US" w:eastAsia="zh-CN"/>
              </w:rPr>
            </w:pPr>
            <w:r>
              <w:rPr>
                <w:rFonts w:hint="eastAsia"/>
                <w:color w:val="auto"/>
                <w:highlight w:val="none"/>
                <w:lang w:val="en-US" w:eastAsia="zh-CN"/>
              </w:rPr>
              <w:t>9</w:t>
            </w:r>
          </w:p>
        </w:tc>
        <w:tc>
          <w:tcPr>
            <w:tcW w:w="1275" w:type="pct"/>
            <w:vAlign w:val="center"/>
          </w:tcPr>
          <w:p w14:paraId="4C696960">
            <w:pPr>
              <w:pStyle w:val="17"/>
              <w:bidi w:val="0"/>
              <w:rPr>
                <w:color w:val="auto"/>
                <w:highlight w:val="none"/>
              </w:rPr>
            </w:pPr>
            <w:r>
              <w:rPr>
                <w:rFonts w:hint="eastAsia"/>
                <w:color w:val="auto"/>
                <w:highlight w:val="none"/>
                <w:lang w:val="en-US" w:eastAsia="zh-CN"/>
              </w:rPr>
              <w:t>硫化机</w:t>
            </w:r>
          </w:p>
        </w:tc>
        <w:tc>
          <w:tcPr>
            <w:tcW w:w="1677" w:type="pct"/>
            <w:vAlign w:val="center"/>
          </w:tcPr>
          <w:p w14:paraId="734DA092">
            <w:pPr>
              <w:pStyle w:val="17"/>
              <w:bidi w:val="0"/>
              <w:rPr>
                <w:rFonts w:hint="eastAsia"/>
                <w:color w:val="auto"/>
                <w:highlight w:val="none"/>
                <w:lang w:val="en-US" w:eastAsia="zh-CN"/>
              </w:rPr>
            </w:pPr>
            <w:r>
              <w:rPr>
                <w:rFonts w:hint="eastAsia"/>
                <w:color w:val="auto"/>
                <w:highlight w:val="none"/>
                <w:lang w:val="en-US" w:eastAsia="zh-CN"/>
              </w:rPr>
              <w:t>B=1200</w:t>
            </w:r>
          </w:p>
        </w:tc>
        <w:tc>
          <w:tcPr>
            <w:tcW w:w="414" w:type="pct"/>
            <w:vAlign w:val="center"/>
          </w:tcPr>
          <w:p w14:paraId="6B710D9F">
            <w:pPr>
              <w:pStyle w:val="17"/>
              <w:bidi w:val="0"/>
              <w:rPr>
                <w:rFonts w:hint="default"/>
                <w:color w:val="auto"/>
                <w:highlight w:val="none"/>
                <w:lang w:val="en-US"/>
              </w:rPr>
            </w:pPr>
            <w:r>
              <w:rPr>
                <w:rFonts w:hint="eastAsia"/>
                <w:color w:val="auto"/>
                <w:highlight w:val="none"/>
                <w:lang w:val="en-US" w:eastAsia="zh-CN"/>
              </w:rPr>
              <w:t>3</w:t>
            </w:r>
          </w:p>
        </w:tc>
        <w:tc>
          <w:tcPr>
            <w:tcW w:w="699" w:type="pct"/>
            <w:vAlign w:val="center"/>
          </w:tcPr>
          <w:p w14:paraId="68E78A86">
            <w:pPr>
              <w:pStyle w:val="17"/>
              <w:bidi w:val="0"/>
              <w:rPr>
                <w:color w:val="auto"/>
                <w:highlight w:val="none"/>
              </w:rPr>
            </w:pPr>
            <w:r>
              <w:rPr>
                <w:rFonts w:hint="eastAsia"/>
                <w:color w:val="auto"/>
                <w:highlight w:val="none"/>
                <w:lang w:val="en-US" w:eastAsia="zh-CN"/>
              </w:rPr>
              <w:t>台</w:t>
            </w:r>
          </w:p>
        </w:tc>
        <w:tc>
          <w:tcPr>
            <w:tcW w:w="636" w:type="pct"/>
            <w:shd w:val="clear" w:color="auto" w:fill="auto"/>
            <w:vAlign w:val="center"/>
          </w:tcPr>
          <w:p w14:paraId="7BD89B1B">
            <w:pPr>
              <w:pStyle w:val="17"/>
              <w:bidi w:val="0"/>
              <w:rPr>
                <w:rFonts w:hint="eastAsia"/>
                <w:color w:val="auto"/>
                <w:highlight w:val="none"/>
                <w:lang w:val="zh-CN" w:eastAsia="zh-CN"/>
              </w:rPr>
            </w:pPr>
          </w:p>
        </w:tc>
      </w:tr>
      <w:tr w14:paraId="1D83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60D6CF7">
            <w:pPr>
              <w:pStyle w:val="17"/>
              <w:bidi w:val="0"/>
              <w:rPr>
                <w:rFonts w:hint="default"/>
                <w:color w:val="auto"/>
                <w:highlight w:val="none"/>
                <w:lang w:val="en-US" w:eastAsia="zh-CN"/>
              </w:rPr>
            </w:pPr>
            <w:r>
              <w:rPr>
                <w:rFonts w:hint="eastAsia"/>
                <w:color w:val="auto"/>
                <w:highlight w:val="none"/>
                <w:lang w:val="en-US" w:eastAsia="zh-CN"/>
              </w:rPr>
              <w:t>10</w:t>
            </w:r>
          </w:p>
        </w:tc>
        <w:tc>
          <w:tcPr>
            <w:tcW w:w="1275" w:type="pct"/>
            <w:vAlign w:val="center"/>
          </w:tcPr>
          <w:p w14:paraId="3368F4CF">
            <w:pPr>
              <w:pStyle w:val="17"/>
              <w:bidi w:val="0"/>
              <w:rPr>
                <w:color w:val="auto"/>
                <w:highlight w:val="none"/>
              </w:rPr>
            </w:pPr>
            <w:r>
              <w:rPr>
                <w:rFonts w:hint="eastAsia"/>
                <w:color w:val="auto"/>
                <w:highlight w:val="none"/>
                <w:lang w:val="en-US" w:eastAsia="zh-CN"/>
              </w:rPr>
              <w:t>硫化机</w:t>
            </w:r>
          </w:p>
        </w:tc>
        <w:tc>
          <w:tcPr>
            <w:tcW w:w="1677" w:type="pct"/>
            <w:vAlign w:val="center"/>
          </w:tcPr>
          <w:p w14:paraId="5FE541A2">
            <w:pPr>
              <w:pStyle w:val="17"/>
              <w:bidi w:val="0"/>
              <w:rPr>
                <w:rFonts w:hint="eastAsia"/>
                <w:color w:val="auto"/>
                <w:highlight w:val="none"/>
                <w:lang w:val="en-US" w:eastAsia="zh-CN"/>
              </w:rPr>
            </w:pPr>
            <w:r>
              <w:rPr>
                <w:rFonts w:hint="eastAsia"/>
                <w:color w:val="auto"/>
                <w:highlight w:val="none"/>
                <w:lang w:val="en-US" w:eastAsia="zh-CN"/>
              </w:rPr>
              <w:t>B=1000</w:t>
            </w:r>
          </w:p>
        </w:tc>
        <w:tc>
          <w:tcPr>
            <w:tcW w:w="414" w:type="pct"/>
            <w:vAlign w:val="center"/>
          </w:tcPr>
          <w:p w14:paraId="0486379D">
            <w:pPr>
              <w:pStyle w:val="17"/>
              <w:bidi w:val="0"/>
              <w:rPr>
                <w:color w:val="auto"/>
                <w:highlight w:val="none"/>
              </w:rPr>
            </w:pPr>
            <w:r>
              <w:rPr>
                <w:rFonts w:hint="eastAsia"/>
                <w:color w:val="auto"/>
                <w:highlight w:val="none"/>
                <w:lang w:val="en-US" w:eastAsia="zh-CN"/>
              </w:rPr>
              <w:t>3</w:t>
            </w:r>
          </w:p>
        </w:tc>
        <w:tc>
          <w:tcPr>
            <w:tcW w:w="699" w:type="pct"/>
            <w:vAlign w:val="center"/>
          </w:tcPr>
          <w:p w14:paraId="502D5485">
            <w:pPr>
              <w:pStyle w:val="17"/>
              <w:bidi w:val="0"/>
              <w:rPr>
                <w:color w:val="auto"/>
                <w:highlight w:val="none"/>
              </w:rPr>
            </w:pPr>
            <w:r>
              <w:rPr>
                <w:rFonts w:hint="eastAsia"/>
                <w:color w:val="auto"/>
                <w:highlight w:val="none"/>
                <w:lang w:val="en-US" w:eastAsia="zh-CN"/>
              </w:rPr>
              <w:t>台</w:t>
            </w:r>
          </w:p>
        </w:tc>
        <w:tc>
          <w:tcPr>
            <w:tcW w:w="636" w:type="pct"/>
            <w:shd w:val="clear" w:color="auto" w:fill="auto"/>
            <w:vAlign w:val="center"/>
          </w:tcPr>
          <w:p w14:paraId="7CF7C88A">
            <w:pPr>
              <w:pStyle w:val="17"/>
              <w:bidi w:val="0"/>
              <w:rPr>
                <w:rFonts w:hint="eastAsia"/>
                <w:color w:val="auto"/>
                <w:highlight w:val="none"/>
                <w:lang w:val="zh-CN" w:eastAsia="zh-CN"/>
              </w:rPr>
            </w:pPr>
          </w:p>
        </w:tc>
      </w:tr>
      <w:tr w14:paraId="137D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6"/>
            <w:vAlign w:val="center"/>
          </w:tcPr>
          <w:p w14:paraId="3EB01476">
            <w:pPr>
              <w:pStyle w:val="17"/>
              <w:bidi w:val="0"/>
              <w:rPr>
                <w:rFonts w:hint="eastAsia"/>
                <w:color w:val="auto"/>
                <w:highlight w:val="none"/>
                <w:lang w:val="en-US" w:eastAsia="zh-CN"/>
              </w:rPr>
            </w:pPr>
            <w:r>
              <w:rPr>
                <w:rFonts w:hint="eastAsia"/>
                <w:color w:val="auto"/>
                <w:highlight w:val="none"/>
                <w:lang w:val="en-US" w:eastAsia="zh-CN"/>
              </w:rPr>
              <w:t>主厂房</w:t>
            </w:r>
          </w:p>
        </w:tc>
      </w:tr>
      <w:tr w14:paraId="4C49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2F7A848">
            <w:pPr>
              <w:pStyle w:val="17"/>
              <w:bidi w:val="0"/>
              <w:rPr>
                <w:rFonts w:hint="default"/>
                <w:color w:val="auto"/>
                <w:highlight w:val="none"/>
                <w:lang w:val="en-US" w:eastAsia="zh-CN"/>
              </w:rPr>
            </w:pPr>
            <w:r>
              <w:rPr>
                <w:rFonts w:hint="eastAsia"/>
                <w:color w:val="auto"/>
                <w:highlight w:val="none"/>
                <w:lang w:val="en-US" w:eastAsia="zh-CN"/>
              </w:rPr>
              <w:t>1</w:t>
            </w:r>
          </w:p>
        </w:tc>
        <w:tc>
          <w:tcPr>
            <w:tcW w:w="1275" w:type="pct"/>
            <w:vAlign w:val="center"/>
          </w:tcPr>
          <w:p w14:paraId="712A4AA0">
            <w:pPr>
              <w:pStyle w:val="17"/>
              <w:bidi w:val="0"/>
              <w:rPr>
                <w:rFonts w:hint="eastAsia"/>
                <w:color w:val="auto"/>
                <w:highlight w:val="none"/>
                <w:lang w:val="zh-CN" w:eastAsia="zh-CN"/>
              </w:rPr>
            </w:pPr>
            <w:r>
              <w:rPr>
                <w:rFonts w:hint="eastAsia"/>
                <w:color w:val="auto"/>
                <w:highlight w:val="none"/>
                <w:lang w:val="en-US" w:eastAsia="zh-CN"/>
              </w:rPr>
              <w:t>双层直线振动筛</w:t>
            </w:r>
          </w:p>
        </w:tc>
        <w:tc>
          <w:tcPr>
            <w:tcW w:w="1677" w:type="pct"/>
            <w:vAlign w:val="center"/>
          </w:tcPr>
          <w:p w14:paraId="35DDF29B">
            <w:pPr>
              <w:pStyle w:val="17"/>
              <w:bidi w:val="0"/>
              <w:rPr>
                <w:rFonts w:hint="eastAsia"/>
                <w:color w:val="auto"/>
                <w:highlight w:val="none"/>
                <w:lang w:val="en-US" w:eastAsia="zh-CN"/>
              </w:rPr>
            </w:pPr>
            <w:bookmarkStart w:id="347" w:name="_Toc8533"/>
            <w:bookmarkStart w:id="348" w:name="_Toc11336"/>
            <w:bookmarkStart w:id="349" w:name="_Toc15555"/>
            <w:r>
              <w:rPr>
                <w:rFonts w:hint="eastAsia"/>
                <w:color w:val="auto"/>
                <w:highlight w:val="none"/>
                <w:lang w:val="en-US" w:eastAsia="zh-CN"/>
              </w:rPr>
              <w:t>3.6m×7.3m，双层</w:t>
            </w:r>
          </w:p>
          <w:bookmarkEnd w:id="347"/>
          <w:bookmarkEnd w:id="348"/>
          <w:bookmarkEnd w:id="349"/>
        </w:tc>
        <w:tc>
          <w:tcPr>
            <w:tcW w:w="414" w:type="pct"/>
            <w:vAlign w:val="center"/>
          </w:tcPr>
          <w:p w14:paraId="2D7A1DD6">
            <w:pPr>
              <w:pStyle w:val="17"/>
              <w:bidi w:val="0"/>
              <w:rPr>
                <w:rFonts w:hint="eastAsia"/>
                <w:color w:val="auto"/>
                <w:highlight w:val="none"/>
                <w:lang w:val="zh-CN" w:eastAsia="zh-CN"/>
              </w:rPr>
            </w:pPr>
            <w:r>
              <w:rPr>
                <w:rFonts w:hint="eastAsia"/>
                <w:color w:val="auto"/>
                <w:highlight w:val="none"/>
                <w:lang w:val="en-US" w:eastAsia="zh-CN"/>
              </w:rPr>
              <w:t>2</w:t>
            </w:r>
          </w:p>
        </w:tc>
        <w:tc>
          <w:tcPr>
            <w:tcW w:w="699" w:type="pct"/>
            <w:vAlign w:val="center"/>
          </w:tcPr>
          <w:p w14:paraId="4EE30D12">
            <w:pPr>
              <w:pStyle w:val="17"/>
              <w:bidi w:val="0"/>
              <w:rPr>
                <w:rFonts w:hint="eastAsia"/>
                <w:color w:val="auto"/>
                <w:highlight w:val="none"/>
                <w:lang w:val="zh-CN" w:eastAsia="zh-CN"/>
              </w:rPr>
            </w:pPr>
            <w:bookmarkStart w:id="350" w:name="_Toc14216"/>
            <w:bookmarkStart w:id="351" w:name="_Toc39"/>
            <w:bookmarkStart w:id="352" w:name="_Toc7082"/>
            <w:r>
              <w:rPr>
                <w:rFonts w:hint="eastAsia"/>
                <w:color w:val="auto"/>
                <w:highlight w:val="none"/>
                <w:lang w:val="zh-CN" w:eastAsia="zh-CN"/>
              </w:rPr>
              <w:t>台</w:t>
            </w:r>
            <w:bookmarkEnd w:id="350"/>
            <w:bookmarkEnd w:id="351"/>
            <w:bookmarkEnd w:id="352"/>
          </w:p>
        </w:tc>
        <w:tc>
          <w:tcPr>
            <w:tcW w:w="636" w:type="pct"/>
            <w:vAlign w:val="center"/>
          </w:tcPr>
          <w:p w14:paraId="08B64651">
            <w:pPr>
              <w:pStyle w:val="17"/>
              <w:bidi w:val="0"/>
              <w:rPr>
                <w:rFonts w:hint="eastAsia"/>
                <w:color w:val="auto"/>
                <w:highlight w:val="none"/>
                <w:lang w:val="zh-CN" w:eastAsia="zh-CN"/>
              </w:rPr>
            </w:pPr>
          </w:p>
        </w:tc>
      </w:tr>
      <w:tr w14:paraId="71FC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D810F61">
            <w:pPr>
              <w:pStyle w:val="17"/>
              <w:bidi w:val="0"/>
              <w:rPr>
                <w:rFonts w:hint="default"/>
                <w:color w:val="auto"/>
                <w:highlight w:val="none"/>
                <w:lang w:val="en-US" w:eastAsia="zh-CN"/>
              </w:rPr>
            </w:pPr>
            <w:r>
              <w:rPr>
                <w:rFonts w:hint="eastAsia"/>
                <w:color w:val="auto"/>
                <w:highlight w:val="none"/>
                <w:lang w:val="en-US" w:eastAsia="zh-CN"/>
              </w:rPr>
              <w:t>2</w:t>
            </w:r>
          </w:p>
        </w:tc>
        <w:tc>
          <w:tcPr>
            <w:tcW w:w="1275" w:type="pct"/>
            <w:vAlign w:val="center"/>
          </w:tcPr>
          <w:p w14:paraId="485CCEB4">
            <w:pPr>
              <w:pStyle w:val="17"/>
              <w:bidi w:val="0"/>
              <w:rPr>
                <w:rFonts w:hint="eastAsia"/>
                <w:color w:val="auto"/>
                <w:highlight w:val="none"/>
                <w:lang w:val="zh-CN" w:eastAsia="zh-CN"/>
              </w:rPr>
            </w:pPr>
            <w:r>
              <w:rPr>
                <w:rFonts w:hint="eastAsia"/>
                <w:color w:val="auto"/>
                <w:highlight w:val="none"/>
                <w:lang w:val="en-US" w:eastAsia="zh-CN"/>
              </w:rPr>
              <w:t>CV.8带式输送机</w:t>
            </w:r>
          </w:p>
        </w:tc>
        <w:tc>
          <w:tcPr>
            <w:tcW w:w="1677" w:type="pct"/>
            <w:vAlign w:val="center"/>
          </w:tcPr>
          <w:p w14:paraId="1E14CAD9">
            <w:pPr>
              <w:pStyle w:val="17"/>
              <w:bidi w:val="0"/>
              <w:rPr>
                <w:rFonts w:hint="eastAsia"/>
                <w:color w:val="auto"/>
                <w:highlight w:val="none"/>
                <w:lang w:val="en-US" w:eastAsia="zh-CN"/>
              </w:rPr>
            </w:pPr>
            <w:bookmarkStart w:id="353" w:name="_Toc21437"/>
            <w:bookmarkStart w:id="354" w:name="_Toc20026"/>
            <w:bookmarkStart w:id="355" w:name="_Toc22556"/>
            <w:r>
              <w:rPr>
                <w:rFonts w:hint="eastAsia"/>
                <w:color w:val="auto"/>
                <w:highlight w:val="none"/>
                <w:lang w:val="en-US" w:eastAsia="zh-CN"/>
              </w:rPr>
              <w:t>B=1000，L=29m</w:t>
            </w:r>
          </w:p>
        </w:tc>
        <w:tc>
          <w:tcPr>
            <w:tcW w:w="414" w:type="pct"/>
            <w:vAlign w:val="center"/>
          </w:tcPr>
          <w:p w14:paraId="64B5FFF7">
            <w:pPr>
              <w:pStyle w:val="17"/>
              <w:bidi w:val="0"/>
              <w:rPr>
                <w:rFonts w:hint="eastAsia"/>
                <w:color w:val="auto"/>
                <w:highlight w:val="none"/>
                <w:lang w:val="zh-CN" w:eastAsia="zh-CN"/>
              </w:rPr>
            </w:pPr>
            <w:r>
              <w:rPr>
                <w:rFonts w:hint="eastAsia"/>
                <w:color w:val="auto"/>
                <w:highlight w:val="none"/>
                <w:lang w:val="zh-CN" w:eastAsia="zh-CN"/>
              </w:rPr>
              <w:t>1</w:t>
            </w:r>
            <w:bookmarkEnd w:id="353"/>
            <w:bookmarkEnd w:id="354"/>
            <w:bookmarkEnd w:id="355"/>
          </w:p>
        </w:tc>
        <w:tc>
          <w:tcPr>
            <w:tcW w:w="699" w:type="pct"/>
            <w:vAlign w:val="center"/>
          </w:tcPr>
          <w:p w14:paraId="6BE31F8F">
            <w:pPr>
              <w:pStyle w:val="17"/>
              <w:bidi w:val="0"/>
              <w:rPr>
                <w:rFonts w:hint="eastAsia"/>
                <w:color w:val="auto"/>
                <w:highlight w:val="none"/>
                <w:lang w:val="zh-CN" w:eastAsia="zh-CN"/>
              </w:rPr>
            </w:pPr>
            <w:r>
              <w:rPr>
                <w:rFonts w:hint="eastAsia"/>
                <w:color w:val="auto"/>
                <w:highlight w:val="none"/>
                <w:lang w:val="en-US" w:eastAsia="zh-CN"/>
              </w:rPr>
              <w:t>条</w:t>
            </w:r>
          </w:p>
        </w:tc>
        <w:tc>
          <w:tcPr>
            <w:tcW w:w="636" w:type="pct"/>
            <w:vAlign w:val="center"/>
          </w:tcPr>
          <w:p w14:paraId="7B3D355A">
            <w:pPr>
              <w:pStyle w:val="17"/>
              <w:bidi w:val="0"/>
              <w:rPr>
                <w:rFonts w:hint="eastAsia"/>
                <w:color w:val="auto"/>
                <w:highlight w:val="none"/>
                <w:lang w:val="zh-CN" w:eastAsia="zh-CN"/>
              </w:rPr>
            </w:pPr>
          </w:p>
        </w:tc>
      </w:tr>
      <w:tr w14:paraId="448C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E888400">
            <w:pPr>
              <w:pStyle w:val="17"/>
              <w:bidi w:val="0"/>
              <w:rPr>
                <w:rFonts w:hint="default"/>
                <w:color w:val="auto"/>
                <w:highlight w:val="none"/>
                <w:lang w:val="en-US" w:eastAsia="zh-CN"/>
              </w:rPr>
            </w:pPr>
            <w:r>
              <w:rPr>
                <w:rFonts w:hint="eastAsia"/>
                <w:color w:val="auto"/>
                <w:highlight w:val="none"/>
                <w:lang w:val="en-US" w:eastAsia="zh-CN"/>
              </w:rPr>
              <w:t>3</w:t>
            </w:r>
          </w:p>
        </w:tc>
        <w:tc>
          <w:tcPr>
            <w:tcW w:w="1275" w:type="pct"/>
            <w:vAlign w:val="center"/>
          </w:tcPr>
          <w:p w14:paraId="420D48CB">
            <w:pPr>
              <w:pStyle w:val="17"/>
              <w:bidi w:val="0"/>
              <w:rPr>
                <w:rFonts w:hint="eastAsia"/>
                <w:color w:val="auto"/>
                <w:highlight w:val="none"/>
                <w:lang w:val="zh-CN" w:eastAsia="zh-CN"/>
              </w:rPr>
            </w:pPr>
            <w:r>
              <w:rPr>
                <w:rFonts w:hint="eastAsia"/>
                <w:color w:val="auto"/>
                <w:highlight w:val="none"/>
                <w:lang w:val="en-US" w:eastAsia="zh-CN"/>
              </w:rPr>
              <w:t>球磨机</w:t>
            </w:r>
          </w:p>
        </w:tc>
        <w:tc>
          <w:tcPr>
            <w:tcW w:w="1677" w:type="pct"/>
            <w:shd w:val="clear" w:color="auto" w:fill="auto"/>
            <w:vAlign w:val="center"/>
          </w:tcPr>
          <w:p w14:paraId="423274FC">
            <w:pPr>
              <w:pStyle w:val="17"/>
              <w:bidi w:val="0"/>
              <w:rPr>
                <w:rFonts w:hint="eastAsia"/>
                <w:color w:val="auto"/>
                <w:highlight w:val="none"/>
                <w:lang w:val="en-US" w:eastAsia="zh-CN"/>
              </w:rPr>
            </w:pPr>
            <w:r>
              <w:rPr>
                <w:rFonts w:hint="eastAsia"/>
                <w:color w:val="auto"/>
                <w:highlight w:val="none"/>
                <w:lang w:val="en-US" w:eastAsia="zh-CN"/>
              </w:rPr>
              <w:t>Φ5.03m×6.4m</w:t>
            </w:r>
          </w:p>
        </w:tc>
        <w:tc>
          <w:tcPr>
            <w:tcW w:w="414" w:type="pct"/>
            <w:shd w:val="clear" w:color="auto" w:fill="auto"/>
            <w:vAlign w:val="center"/>
          </w:tcPr>
          <w:p w14:paraId="04850844">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shd w:val="clear" w:color="auto" w:fill="auto"/>
            <w:vAlign w:val="center"/>
          </w:tcPr>
          <w:p w14:paraId="3A8CA3CE">
            <w:pPr>
              <w:pStyle w:val="17"/>
              <w:bidi w:val="0"/>
              <w:rPr>
                <w:rFonts w:hint="eastAsia"/>
                <w:color w:val="auto"/>
                <w:highlight w:val="none"/>
                <w:lang w:val="zh-CN" w:eastAsia="zh-CN"/>
              </w:rPr>
            </w:pPr>
            <w:r>
              <w:rPr>
                <w:rFonts w:hint="eastAsia"/>
                <w:color w:val="auto"/>
                <w:highlight w:val="none"/>
                <w:lang w:val="zh-CN" w:eastAsia="zh-CN"/>
              </w:rPr>
              <w:t>台</w:t>
            </w:r>
          </w:p>
        </w:tc>
        <w:tc>
          <w:tcPr>
            <w:tcW w:w="636" w:type="pct"/>
            <w:shd w:val="clear" w:color="auto" w:fill="auto"/>
            <w:vAlign w:val="center"/>
          </w:tcPr>
          <w:p w14:paraId="17081BD2">
            <w:pPr>
              <w:pStyle w:val="17"/>
              <w:bidi w:val="0"/>
              <w:rPr>
                <w:rFonts w:hint="default"/>
                <w:color w:val="auto"/>
                <w:highlight w:val="none"/>
                <w:lang w:val="en-US" w:eastAsia="zh-CN"/>
              </w:rPr>
            </w:pPr>
          </w:p>
        </w:tc>
      </w:tr>
      <w:tr w14:paraId="327D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5320A69">
            <w:pPr>
              <w:pStyle w:val="17"/>
              <w:bidi w:val="0"/>
              <w:rPr>
                <w:rFonts w:hint="default"/>
                <w:color w:val="auto"/>
                <w:highlight w:val="none"/>
                <w:lang w:val="en-US" w:eastAsia="zh-CN"/>
              </w:rPr>
            </w:pPr>
            <w:r>
              <w:rPr>
                <w:rFonts w:hint="eastAsia"/>
                <w:color w:val="auto"/>
                <w:highlight w:val="none"/>
                <w:lang w:val="en-US" w:eastAsia="zh-CN"/>
              </w:rPr>
              <w:t>4</w:t>
            </w:r>
          </w:p>
        </w:tc>
        <w:tc>
          <w:tcPr>
            <w:tcW w:w="1275" w:type="pct"/>
            <w:vAlign w:val="center"/>
          </w:tcPr>
          <w:p w14:paraId="7C68272E">
            <w:pPr>
              <w:pStyle w:val="17"/>
              <w:bidi w:val="0"/>
              <w:rPr>
                <w:rFonts w:hint="eastAsia"/>
                <w:color w:val="auto"/>
                <w:highlight w:val="none"/>
                <w:lang w:val="zh-CN" w:eastAsia="zh-CN"/>
              </w:rPr>
            </w:pPr>
            <w:r>
              <w:rPr>
                <w:rFonts w:hint="eastAsia"/>
                <w:color w:val="auto"/>
                <w:highlight w:val="none"/>
                <w:lang w:val="en-US" w:eastAsia="zh-CN"/>
              </w:rPr>
              <w:t>No.1水力旋流器</w:t>
            </w:r>
          </w:p>
        </w:tc>
        <w:tc>
          <w:tcPr>
            <w:tcW w:w="1677" w:type="pct"/>
            <w:shd w:val="clear" w:color="auto" w:fill="auto"/>
            <w:vAlign w:val="center"/>
          </w:tcPr>
          <w:p w14:paraId="64A8C178">
            <w:pPr>
              <w:pStyle w:val="17"/>
              <w:bidi w:val="0"/>
              <w:rPr>
                <w:rFonts w:hint="eastAsia"/>
                <w:color w:val="auto"/>
                <w:highlight w:val="none"/>
                <w:lang w:val="en-US" w:eastAsia="zh-CN"/>
              </w:rPr>
            </w:pPr>
            <w:r>
              <w:rPr>
                <w:rFonts w:hint="eastAsia"/>
                <w:color w:val="auto"/>
                <w:highlight w:val="none"/>
                <w:lang w:val="en-US" w:eastAsia="zh-CN"/>
              </w:rPr>
              <w:t>Φ500-12</w:t>
            </w:r>
          </w:p>
        </w:tc>
        <w:tc>
          <w:tcPr>
            <w:tcW w:w="414" w:type="pct"/>
            <w:shd w:val="clear" w:color="auto" w:fill="auto"/>
            <w:vAlign w:val="center"/>
          </w:tcPr>
          <w:p w14:paraId="53E25B78">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shd w:val="clear" w:color="auto" w:fill="auto"/>
            <w:vAlign w:val="center"/>
          </w:tcPr>
          <w:p w14:paraId="40625DA0">
            <w:pPr>
              <w:pStyle w:val="17"/>
              <w:bidi w:val="0"/>
              <w:rPr>
                <w:rFonts w:hint="eastAsia"/>
                <w:color w:val="auto"/>
                <w:highlight w:val="none"/>
                <w:lang w:val="en-US" w:eastAsia="zh-CN"/>
              </w:rPr>
            </w:pPr>
            <w:r>
              <w:rPr>
                <w:rFonts w:hint="eastAsia"/>
                <w:color w:val="auto"/>
                <w:highlight w:val="none"/>
                <w:lang w:val="en-US" w:eastAsia="zh-CN"/>
              </w:rPr>
              <w:t>组</w:t>
            </w:r>
          </w:p>
        </w:tc>
        <w:tc>
          <w:tcPr>
            <w:tcW w:w="636" w:type="pct"/>
            <w:shd w:val="clear" w:color="auto" w:fill="auto"/>
            <w:vAlign w:val="center"/>
          </w:tcPr>
          <w:p w14:paraId="7DBFB31F">
            <w:pPr>
              <w:pStyle w:val="17"/>
              <w:bidi w:val="0"/>
              <w:rPr>
                <w:rFonts w:hint="default"/>
                <w:color w:val="auto"/>
                <w:highlight w:val="none"/>
                <w:lang w:val="en-US" w:eastAsia="zh-CN"/>
              </w:rPr>
            </w:pPr>
          </w:p>
        </w:tc>
      </w:tr>
      <w:tr w14:paraId="37DA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47AA938">
            <w:pPr>
              <w:pStyle w:val="17"/>
              <w:bidi w:val="0"/>
              <w:rPr>
                <w:rFonts w:hint="default"/>
                <w:color w:val="auto"/>
                <w:highlight w:val="none"/>
                <w:lang w:val="en-US" w:eastAsia="zh-CN"/>
              </w:rPr>
            </w:pPr>
            <w:r>
              <w:rPr>
                <w:rFonts w:hint="eastAsia"/>
                <w:color w:val="auto"/>
                <w:highlight w:val="none"/>
                <w:lang w:val="en-US" w:eastAsia="zh-CN"/>
              </w:rPr>
              <w:t>5</w:t>
            </w:r>
          </w:p>
        </w:tc>
        <w:tc>
          <w:tcPr>
            <w:tcW w:w="1275" w:type="pct"/>
            <w:vAlign w:val="center"/>
          </w:tcPr>
          <w:p w14:paraId="4B184751">
            <w:pPr>
              <w:pStyle w:val="17"/>
              <w:bidi w:val="0"/>
              <w:rPr>
                <w:rFonts w:hint="eastAsia"/>
                <w:color w:val="auto"/>
                <w:highlight w:val="none"/>
                <w:lang w:val="zh-CN" w:eastAsia="zh-CN"/>
              </w:rPr>
            </w:pPr>
            <w:r>
              <w:rPr>
                <w:rFonts w:hint="eastAsia"/>
                <w:color w:val="auto"/>
                <w:highlight w:val="none"/>
                <w:lang w:val="en-US" w:eastAsia="zh-CN"/>
              </w:rPr>
              <w:t>No.1渣浆泵</w:t>
            </w:r>
          </w:p>
        </w:tc>
        <w:tc>
          <w:tcPr>
            <w:tcW w:w="1677" w:type="pct"/>
            <w:shd w:val="clear" w:color="auto" w:fill="auto"/>
            <w:vAlign w:val="center"/>
          </w:tcPr>
          <w:p w14:paraId="17F82F91">
            <w:pPr>
              <w:pStyle w:val="17"/>
              <w:bidi w:val="0"/>
              <w:rPr>
                <w:rFonts w:hint="eastAsia"/>
                <w:color w:val="auto"/>
                <w:highlight w:val="none"/>
                <w:lang w:val="en-US" w:eastAsia="zh-CN"/>
              </w:rPr>
            </w:pPr>
            <w:r>
              <w:rPr>
                <w:rFonts w:hint="eastAsia"/>
                <w:color w:val="auto"/>
                <w:highlight w:val="none"/>
                <w:lang w:val="en-US" w:eastAsia="zh-CN"/>
              </w:rPr>
              <w:t>14/12ST-AH</w:t>
            </w:r>
          </w:p>
        </w:tc>
        <w:tc>
          <w:tcPr>
            <w:tcW w:w="414" w:type="pct"/>
            <w:shd w:val="clear" w:color="auto" w:fill="auto"/>
            <w:vAlign w:val="center"/>
          </w:tcPr>
          <w:p w14:paraId="18460970">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shd w:val="clear" w:color="auto" w:fill="auto"/>
            <w:vAlign w:val="center"/>
          </w:tcPr>
          <w:p w14:paraId="6DE4709A">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shd w:val="clear" w:color="auto" w:fill="auto"/>
            <w:vAlign w:val="center"/>
          </w:tcPr>
          <w:p w14:paraId="12478F75">
            <w:pPr>
              <w:pStyle w:val="17"/>
              <w:bidi w:val="0"/>
              <w:rPr>
                <w:rFonts w:hint="eastAsia"/>
                <w:color w:val="auto"/>
                <w:highlight w:val="none"/>
                <w:lang w:val="zh-CN" w:eastAsia="zh-CN"/>
              </w:rPr>
            </w:pPr>
          </w:p>
        </w:tc>
      </w:tr>
      <w:tr w14:paraId="4B2C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984B5AE">
            <w:pPr>
              <w:pStyle w:val="17"/>
              <w:bidi w:val="0"/>
              <w:rPr>
                <w:rFonts w:hint="default"/>
                <w:color w:val="auto"/>
                <w:highlight w:val="none"/>
                <w:lang w:val="en-US" w:eastAsia="zh-CN"/>
              </w:rPr>
            </w:pPr>
            <w:r>
              <w:rPr>
                <w:rFonts w:hint="eastAsia"/>
                <w:color w:val="auto"/>
                <w:highlight w:val="none"/>
                <w:lang w:val="en-US" w:eastAsia="zh-CN"/>
              </w:rPr>
              <w:t>6</w:t>
            </w:r>
          </w:p>
        </w:tc>
        <w:tc>
          <w:tcPr>
            <w:tcW w:w="1275" w:type="pct"/>
            <w:vAlign w:val="center"/>
          </w:tcPr>
          <w:p w14:paraId="4AFBE919">
            <w:pPr>
              <w:pStyle w:val="17"/>
              <w:bidi w:val="0"/>
              <w:rPr>
                <w:rFonts w:hint="eastAsia"/>
                <w:color w:val="auto"/>
                <w:highlight w:val="none"/>
                <w:lang w:val="zh-CN" w:eastAsia="zh-CN"/>
              </w:rPr>
            </w:pPr>
            <w:r>
              <w:rPr>
                <w:rFonts w:hint="eastAsia"/>
                <w:color w:val="auto"/>
                <w:highlight w:val="none"/>
                <w:lang w:val="en-US" w:eastAsia="zh-CN"/>
              </w:rPr>
              <w:t>高频振动细筛</w:t>
            </w:r>
          </w:p>
        </w:tc>
        <w:tc>
          <w:tcPr>
            <w:tcW w:w="1677" w:type="pct"/>
            <w:vAlign w:val="center"/>
          </w:tcPr>
          <w:p w14:paraId="14F43907">
            <w:pPr>
              <w:pStyle w:val="17"/>
              <w:bidi w:val="0"/>
              <w:rPr>
                <w:rFonts w:hint="eastAsia"/>
                <w:color w:val="auto"/>
                <w:highlight w:val="none"/>
                <w:lang w:val="en-US" w:eastAsia="zh-CN"/>
              </w:rPr>
            </w:pPr>
            <w:r>
              <w:rPr>
                <w:rFonts w:hint="eastAsia"/>
                <w:color w:val="auto"/>
                <w:highlight w:val="none"/>
                <w:lang w:val="en-US" w:eastAsia="zh-CN"/>
              </w:rPr>
              <w:t>1.0m×2.8m</w:t>
            </w:r>
          </w:p>
        </w:tc>
        <w:tc>
          <w:tcPr>
            <w:tcW w:w="414" w:type="pct"/>
            <w:vAlign w:val="center"/>
          </w:tcPr>
          <w:p w14:paraId="215A7488">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370063BD">
            <w:pPr>
              <w:pStyle w:val="17"/>
              <w:bidi w:val="0"/>
              <w:rPr>
                <w:rFonts w:hint="eastAsia"/>
                <w:color w:val="auto"/>
                <w:highlight w:val="none"/>
                <w:lang w:val="zh-CN" w:eastAsia="zh-CN"/>
              </w:rPr>
            </w:pPr>
            <w:r>
              <w:rPr>
                <w:rFonts w:hint="eastAsia"/>
                <w:color w:val="auto"/>
                <w:highlight w:val="none"/>
                <w:lang w:val="en-US" w:eastAsia="zh-CN"/>
              </w:rPr>
              <w:t>台</w:t>
            </w:r>
          </w:p>
        </w:tc>
        <w:tc>
          <w:tcPr>
            <w:tcW w:w="636" w:type="pct"/>
            <w:vAlign w:val="center"/>
          </w:tcPr>
          <w:p w14:paraId="2FA27022">
            <w:pPr>
              <w:pStyle w:val="17"/>
              <w:bidi w:val="0"/>
              <w:rPr>
                <w:rFonts w:hint="eastAsia"/>
                <w:color w:val="auto"/>
                <w:highlight w:val="none"/>
                <w:lang w:val="zh-CN" w:eastAsia="zh-CN"/>
              </w:rPr>
            </w:pPr>
          </w:p>
        </w:tc>
      </w:tr>
      <w:tr w14:paraId="74D5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BF901CC">
            <w:pPr>
              <w:pStyle w:val="17"/>
              <w:bidi w:val="0"/>
              <w:rPr>
                <w:rFonts w:hint="default"/>
                <w:color w:val="auto"/>
                <w:highlight w:val="none"/>
                <w:lang w:val="en-US" w:eastAsia="zh-CN"/>
              </w:rPr>
            </w:pPr>
            <w:r>
              <w:rPr>
                <w:rFonts w:hint="eastAsia"/>
                <w:color w:val="auto"/>
                <w:highlight w:val="none"/>
                <w:lang w:val="en-US" w:eastAsia="zh-CN"/>
              </w:rPr>
              <w:t>7</w:t>
            </w:r>
          </w:p>
        </w:tc>
        <w:tc>
          <w:tcPr>
            <w:tcW w:w="1275" w:type="pct"/>
            <w:vAlign w:val="center"/>
          </w:tcPr>
          <w:p w14:paraId="6533450D">
            <w:pPr>
              <w:pStyle w:val="17"/>
              <w:bidi w:val="0"/>
              <w:rPr>
                <w:rFonts w:hint="eastAsia"/>
                <w:color w:val="auto"/>
                <w:highlight w:val="none"/>
                <w:lang w:val="zh-CN" w:eastAsia="zh-CN"/>
              </w:rPr>
            </w:pPr>
            <w:r>
              <w:rPr>
                <w:rFonts w:hint="eastAsia"/>
                <w:color w:val="auto"/>
                <w:highlight w:val="none"/>
                <w:lang w:val="en-US" w:eastAsia="zh-CN"/>
              </w:rPr>
              <w:t>立磨机</w:t>
            </w:r>
          </w:p>
        </w:tc>
        <w:tc>
          <w:tcPr>
            <w:tcW w:w="1677" w:type="pct"/>
            <w:vAlign w:val="center"/>
          </w:tcPr>
          <w:p w14:paraId="34BC7CE3">
            <w:pPr>
              <w:pStyle w:val="17"/>
              <w:bidi w:val="0"/>
              <w:rPr>
                <w:rFonts w:hint="eastAsia"/>
                <w:color w:val="auto"/>
                <w:highlight w:val="none"/>
                <w:lang w:val="en-US" w:eastAsia="zh-CN"/>
              </w:rPr>
            </w:pPr>
            <w:r>
              <w:rPr>
                <w:rFonts w:hint="eastAsia"/>
                <w:color w:val="auto"/>
                <w:highlight w:val="none"/>
                <w:lang w:val="en-US" w:eastAsia="zh-CN"/>
              </w:rPr>
              <w:t>500kW</w:t>
            </w:r>
          </w:p>
        </w:tc>
        <w:tc>
          <w:tcPr>
            <w:tcW w:w="414" w:type="pct"/>
            <w:vAlign w:val="center"/>
          </w:tcPr>
          <w:p w14:paraId="67294CB1">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2F83BD6E">
            <w:pPr>
              <w:pStyle w:val="17"/>
              <w:bidi w:val="0"/>
              <w:rPr>
                <w:rFonts w:hint="eastAsia"/>
                <w:color w:val="auto"/>
                <w:highlight w:val="none"/>
                <w:lang w:val="zh-CN" w:eastAsia="zh-CN"/>
              </w:rPr>
            </w:pPr>
            <w:r>
              <w:rPr>
                <w:rFonts w:hint="eastAsia"/>
                <w:color w:val="auto"/>
                <w:highlight w:val="none"/>
                <w:lang w:val="en-US" w:eastAsia="zh-CN"/>
              </w:rPr>
              <w:t>台</w:t>
            </w:r>
          </w:p>
        </w:tc>
        <w:tc>
          <w:tcPr>
            <w:tcW w:w="636" w:type="pct"/>
            <w:vAlign w:val="center"/>
          </w:tcPr>
          <w:p w14:paraId="2DF23866">
            <w:pPr>
              <w:pStyle w:val="17"/>
              <w:bidi w:val="0"/>
              <w:rPr>
                <w:rFonts w:hint="eastAsia"/>
                <w:color w:val="auto"/>
                <w:highlight w:val="none"/>
                <w:lang w:val="zh-CN" w:eastAsia="zh-CN"/>
              </w:rPr>
            </w:pPr>
          </w:p>
        </w:tc>
      </w:tr>
      <w:tr w14:paraId="5788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464B1D2">
            <w:pPr>
              <w:pStyle w:val="17"/>
              <w:bidi w:val="0"/>
              <w:rPr>
                <w:rFonts w:hint="default"/>
                <w:color w:val="auto"/>
                <w:highlight w:val="none"/>
                <w:lang w:val="en-US" w:eastAsia="zh-CN"/>
              </w:rPr>
            </w:pPr>
            <w:r>
              <w:rPr>
                <w:rFonts w:hint="eastAsia"/>
                <w:color w:val="auto"/>
                <w:highlight w:val="none"/>
                <w:lang w:val="en-US" w:eastAsia="zh-CN"/>
              </w:rPr>
              <w:t>8</w:t>
            </w:r>
          </w:p>
        </w:tc>
        <w:tc>
          <w:tcPr>
            <w:tcW w:w="1275" w:type="pct"/>
            <w:vAlign w:val="center"/>
          </w:tcPr>
          <w:p w14:paraId="26EA3F43">
            <w:pPr>
              <w:pStyle w:val="17"/>
              <w:bidi w:val="0"/>
              <w:rPr>
                <w:rFonts w:hint="eastAsia"/>
                <w:color w:val="auto"/>
                <w:highlight w:val="none"/>
                <w:lang w:val="zh-CN" w:eastAsia="zh-CN"/>
              </w:rPr>
            </w:pPr>
            <w:r>
              <w:rPr>
                <w:rFonts w:hint="eastAsia"/>
                <w:color w:val="auto"/>
                <w:highlight w:val="none"/>
                <w:lang w:val="en-US" w:eastAsia="zh-CN"/>
              </w:rPr>
              <w:t>No.2水力旋流器</w:t>
            </w:r>
          </w:p>
        </w:tc>
        <w:tc>
          <w:tcPr>
            <w:tcW w:w="1677" w:type="pct"/>
            <w:vAlign w:val="center"/>
          </w:tcPr>
          <w:p w14:paraId="4C9A7E15">
            <w:pPr>
              <w:pStyle w:val="17"/>
              <w:bidi w:val="0"/>
              <w:rPr>
                <w:rFonts w:hint="eastAsia"/>
                <w:color w:val="auto"/>
                <w:highlight w:val="none"/>
                <w:lang w:val="en-US" w:eastAsia="zh-CN"/>
              </w:rPr>
            </w:pPr>
            <w:r>
              <w:rPr>
                <w:rFonts w:hint="eastAsia"/>
                <w:color w:val="auto"/>
                <w:highlight w:val="none"/>
                <w:lang w:val="en-US" w:eastAsia="zh-CN"/>
              </w:rPr>
              <w:t>Φ250-16</w:t>
            </w:r>
          </w:p>
        </w:tc>
        <w:tc>
          <w:tcPr>
            <w:tcW w:w="414" w:type="pct"/>
            <w:vAlign w:val="center"/>
          </w:tcPr>
          <w:p w14:paraId="08B2B119">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162ABA25">
            <w:pPr>
              <w:pStyle w:val="17"/>
              <w:bidi w:val="0"/>
              <w:rPr>
                <w:rFonts w:hint="eastAsia"/>
                <w:color w:val="auto"/>
                <w:highlight w:val="none"/>
                <w:lang w:val="zh-CN" w:eastAsia="zh-CN"/>
              </w:rPr>
            </w:pPr>
            <w:r>
              <w:rPr>
                <w:rFonts w:hint="eastAsia"/>
                <w:color w:val="auto"/>
                <w:highlight w:val="none"/>
                <w:lang w:val="en-US" w:eastAsia="zh-CN"/>
              </w:rPr>
              <w:t>组</w:t>
            </w:r>
          </w:p>
        </w:tc>
        <w:tc>
          <w:tcPr>
            <w:tcW w:w="636" w:type="pct"/>
            <w:vAlign w:val="center"/>
          </w:tcPr>
          <w:p w14:paraId="5A0F3DE6">
            <w:pPr>
              <w:pStyle w:val="17"/>
              <w:bidi w:val="0"/>
              <w:rPr>
                <w:rFonts w:hint="eastAsia"/>
                <w:color w:val="auto"/>
                <w:highlight w:val="none"/>
                <w:lang w:val="zh-CN" w:eastAsia="zh-CN"/>
              </w:rPr>
            </w:pPr>
          </w:p>
        </w:tc>
      </w:tr>
      <w:tr w14:paraId="1B56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F54E782">
            <w:pPr>
              <w:pStyle w:val="17"/>
              <w:bidi w:val="0"/>
              <w:rPr>
                <w:rFonts w:hint="default"/>
                <w:color w:val="auto"/>
                <w:highlight w:val="none"/>
                <w:lang w:val="en-US" w:eastAsia="zh-CN"/>
              </w:rPr>
            </w:pPr>
            <w:r>
              <w:rPr>
                <w:rFonts w:hint="eastAsia"/>
                <w:color w:val="auto"/>
                <w:highlight w:val="none"/>
                <w:lang w:val="en-US" w:eastAsia="zh-CN"/>
              </w:rPr>
              <w:t>9</w:t>
            </w:r>
          </w:p>
        </w:tc>
        <w:tc>
          <w:tcPr>
            <w:tcW w:w="1275" w:type="pct"/>
            <w:vAlign w:val="center"/>
          </w:tcPr>
          <w:p w14:paraId="4BDF6CDF">
            <w:pPr>
              <w:pStyle w:val="17"/>
              <w:bidi w:val="0"/>
              <w:rPr>
                <w:rFonts w:hint="default"/>
                <w:color w:val="auto"/>
                <w:highlight w:val="none"/>
                <w:lang w:val="zh-CN" w:eastAsia="zh-CN"/>
              </w:rPr>
            </w:pPr>
            <w:r>
              <w:rPr>
                <w:rFonts w:hint="eastAsia"/>
                <w:color w:val="auto"/>
                <w:highlight w:val="none"/>
                <w:lang w:val="en-US" w:eastAsia="zh-CN"/>
              </w:rPr>
              <w:t>No.3水力旋流器</w:t>
            </w:r>
          </w:p>
        </w:tc>
        <w:tc>
          <w:tcPr>
            <w:tcW w:w="1677" w:type="pct"/>
            <w:vAlign w:val="center"/>
          </w:tcPr>
          <w:p w14:paraId="2766A105">
            <w:pPr>
              <w:pStyle w:val="17"/>
              <w:bidi w:val="0"/>
              <w:rPr>
                <w:rFonts w:hint="eastAsia"/>
                <w:color w:val="auto"/>
                <w:highlight w:val="none"/>
                <w:lang w:val="en-US" w:eastAsia="zh-CN"/>
              </w:rPr>
            </w:pPr>
            <w:r>
              <w:rPr>
                <w:rFonts w:hint="eastAsia"/>
                <w:color w:val="auto"/>
                <w:highlight w:val="none"/>
                <w:lang w:val="en-US" w:eastAsia="zh-CN"/>
              </w:rPr>
              <w:t>Φ150-22</w:t>
            </w:r>
          </w:p>
        </w:tc>
        <w:tc>
          <w:tcPr>
            <w:tcW w:w="414" w:type="pct"/>
            <w:vAlign w:val="center"/>
          </w:tcPr>
          <w:p w14:paraId="28D573BE">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37A88770">
            <w:pPr>
              <w:pStyle w:val="17"/>
              <w:bidi w:val="0"/>
              <w:rPr>
                <w:rFonts w:hint="default"/>
                <w:color w:val="auto"/>
                <w:highlight w:val="none"/>
                <w:lang w:val="zh-CN" w:eastAsia="zh-CN"/>
              </w:rPr>
            </w:pPr>
            <w:r>
              <w:rPr>
                <w:rFonts w:hint="eastAsia"/>
                <w:color w:val="auto"/>
                <w:highlight w:val="none"/>
                <w:lang w:val="en-US" w:eastAsia="zh-CN"/>
              </w:rPr>
              <w:t>组</w:t>
            </w:r>
          </w:p>
        </w:tc>
        <w:tc>
          <w:tcPr>
            <w:tcW w:w="636" w:type="pct"/>
            <w:vAlign w:val="center"/>
          </w:tcPr>
          <w:p w14:paraId="4FE481C7">
            <w:pPr>
              <w:pStyle w:val="17"/>
              <w:bidi w:val="0"/>
              <w:rPr>
                <w:rFonts w:hint="default"/>
                <w:color w:val="auto"/>
                <w:highlight w:val="none"/>
                <w:lang w:val="zh-CN" w:eastAsia="zh-CN"/>
              </w:rPr>
            </w:pPr>
          </w:p>
        </w:tc>
      </w:tr>
      <w:tr w14:paraId="1459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BDC9A22">
            <w:pPr>
              <w:pStyle w:val="17"/>
              <w:bidi w:val="0"/>
              <w:rPr>
                <w:rFonts w:hint="default"/>
                <w:color w:val="auto"/>
                <w:highlight w:val="none"/>
                <w:lang w:val="en-US" w:eastAsia="zh-CN"/>
              </w:rPr>
            </w:pPr>
            <w:r>
              <w:rPr>
                <w:rFonts w:hint="eastAsia"/>
                <w:color w:val="auto"/>
                <w:highlight w:val="none"/>
                <w:lang w:val="en-US" w:eastAsia="zh-CN"/>
              </w:rPr>
              <w:t>10</w:t>
            </w:r>
          </w:p>
        </w:tc>
        <w:tc>
          <w:tcPr>
            <w:tcW w:w="1275" w:type="pct"/>
            <w:vAlign w:val="center"/>
          </w:tcPr>
          <w:p w14:paraId="0408F1F1">
            <w:pPr>
              <w:pStyle w:val="17"/>
              <w:bidi w:val="0"/>
              <w:rPr>
                <w:rFonts w:hint="eastAsia"/>
                <w:color w:val="auto"/>
                <w:highlight w:val="none"/>
                <w:lang w:val="en-US" w:eastAsia="zh-CN"/>
              </w:rPr>
            </w:pPr>
            <w:r>
              <w:rPr>
                <w:rFonts w:hint="eastAsia"/>
                <w:color w:val="auto"/>
                <w:highlight w:val="none"/>
                <w:lang w:val="en-US" w:eastAsia="zh-CN"/>
              </w:rPr>
              <w:t>No.4水力旋流器</w:t>
            </w:r>
          </w:p>
        </w:tc>
        <w:tc>
          <w:tcPr>
            <w:tcW w:w="1677" w:type="pct"/>
            <w:vAlign w:val="center"/>
          </w:tcPr>
          <w:p w14:paraId="626843E3">
            <w:pPr>
              <w:pStyle w:val="17"/>
              <w:bidi w:val="0"/>
              <w:rPr>
                <w:rFonts w:hint="eastAsia"/>
                <w:color w:val="auto"/>
                <w:highlight w:val="none"/>
                <w:lang w:val="en-US" w:eastAsia="zh-CN"/>
              </w:rPr>
            </w:pPr>
            <w:r>
              <w:rPr>
                <w:rFonts w:hint="eastAsia"/>
                <w:color w:val="auto"/>
                <w:highlight w:val="none"/>
                <w:lang w:val="en-US" w:eastAsia="zh-CN"/>
              </w:rPr>
              <w:t>Φ75-50</w:t>
            </w:r>
          </w:p>
        </w:tc>
        <w:tc>
          <w:tcPr>
            <w:tcW w:w="414" w:type="pct"/>
            <w:vAlign w:val="center"/>
          </w:tcPr>
          <w:p w14:paraId="042F2D34">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23CBF92D">
            <w:pPr>
              <w:pStyle w:val="17"/>
              <w:bidi w:val="0"/>
              <w:rPr>
                <w:rFonts w:hint="eastAsia"/>
                <w:color w:val="auto"/>
                <w:highlight w:val="none"/>
                <w:lang w:val="en-US" w:eastAsia="zh-CN"/>
              </w:rPr>
            </w:pPr>
            <w:r>
              <w:rPr>
                <w:rFonts w:hint="eastAsia"/>
                <w:color w:val="auto"/>
                <w:highlight w:val="none"/>
                <w:lang w:val="en-US" w:eastAsia="zh-CN"/>
              </w:rPr>
              <w:t>组</w:t>
            </w:r>
          </w:p>
        </w:tc>
        <w:tc>
          <w:tcPr>
            <w:tcW w:w="636" w:type="pct"/>
            <w:vAlign w:val="center"/>
          </w:tcPr>
          <w:p w14:paraId="07C6D924">
            <w:pPr>
              <w:pStyle w:val="17"/>
              <w:bidi w:val="0"/>
              <w:rPr>
                <w:rFonts w:hint="default"/>
                <w:color w:val="auto"/>
                <w:highlight w:val="none"/>
                <w:lang w:val="zh-CN" w:eastAsia="zh-CN"/>
              </w:rPr>
            </w:pPr>
          </w:p>
        </w:tc>
      </w:tr>
      <w:tr w14:paraId="13EC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C62D94A">
            <w:pPr>
              <w:pStyle w:val="17"/>
              <w:bidi w:val="0"/>
              <w:rPr>
                <w:rFonts w:hint="default"/>
                <w:color w:val="auto"/>
                <w:highlight w:val="none"/>
                <w:lang w:val="en-US" w:eastAsia="zh-CN"/>
              </w:rPr>
            </w:pPr>
            <w:r>
              <w:rPr>
                <w:rFonts w:hint="eastAsia"/>
                <w:color w:val="auto"/>
                <w:highlight w:val="none"/>
                <w:lang w:val="en-US" w:eastAsia="zh-CN"/>
              </w:rPr>
              <w:t>11</w:t>
            </w:r>
          </w:p>
        </w:tc>
        <w:tc>
          <w:tcPr>
            <w:tcW w:w="1275" w:type="pct"/>
            <w:vAlign w:val="center"/>
          </w:tcPr>
          <w:p w14:paraId="51A6007E">
            <w:pPr>
              <w:pStyle w:val="17"/>
              <w:bidi w:val="0"/>
              <w:rPr>
                <w:rFonts w:hint="eastAsia"/>
                <w:color w:val="auto"/>
                <w:highlight w:val="none"/>
                <w:lang w:val="en-US" w:eastAsia="zh-CN"/>
              </w:rPr>
            </w:pPr>
            <w:r>
              <w:rPr>
                <w:rFonts w:hint="eastAsia"/>
                <w:color w:val="auto"/>
                <w:highlight w:val="none"/>
                <w:lang w:val="en-US" w:eastAsia="zh-CN"/>
              </w:rPr>
              <w:t>No.5水力旋流器</w:t>
            </w:r>
          </w:p>
        </w:tc>
        <w:tc>
          <w:tcPr>
            <w:tcW w:w="1677" w:type="pct"/>
            <w:vAlign w:val="center"/>
          </w:tcPr>
          <w:p w14:paraId="1968A265">
            <w:pPr>
              <w:pStyle w:val="17"/>
              <w:bidi w:val="0"/>
              <w:rPr>
                <w:rFonts w:hint="eastAsia"/>
                <w:color w:val="auto"/>
                <w:highlight w:val="none"/>
                <w:lang w:val="en-US" w:eastAsia="zh-CN"/>
              </w:rPr>
            </w:pPr>
            <w:r>
              <w:rPr>
                <w:rFonts w:hint="eastAsia"/>
                <w:color w:val="auto"/>
                <w:highlight w:val="none"/>
                <w:lang w:val="en-US" w:eastAsia="zh-CN"/>
              </w:rPr>
              <w:t>Φ250-16</w:t>
            </w:r>
          </w:p>
        </w:tc>
        <w:tc>
          <w:tcPr>
            <w:tcW w:w="414" w:type="pct"/>
            <w:vAlign w:val="center"/>
          </w:tcPr>
          <w:p w14:paraId="32807EB2">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15E9F27A">
            <w:pPr>
              <w:pStyle w:val="17"/>
              <w:bidi w:val="0"/>
              <w:rPr>
                <w:rFonts w:hint="eastAsia"/>
                <w:color w:val="auto"/>
                <w:highlight w:val="none"/>
                <w:lang w:val="en-US" w:eastAsia="zh-CN"/>
              </w:rPr>
            </w:pPr>
            <w:r>
              <w:rPr>
                <w:rFonts w:hint="eastAsia"/>
                <w:color w:val="auto"/>
                <w:highlight w:val="none"/>
                <w:lang w:val="en-US" w:eastAsia="zh-CN"/>
              </w:rPr>
              <w:t>组</w:t>
            </w:r>
          </w:p>
        </w:tc>
        <w:tc>
          <w:tcPr>
            <w:tcW w:w="636" w:type="pct"/>
            <w:vAlign w:val="center"/>
          </w:tcPr>
          <w:p w14:paraId="51FF5951">
            <w:pPr>
              <w:pStyle w:val="17"/>
              <w:bidi w:val="0"/>
              <w:rPr>
                <w:rFonts w:hint="default"/>
                <w:color w:val="auto"/>
                <w:highlight w:val="none"/>
                <w:lang w:val="zh-CN" w:eastAsia="zh-CN"/>
              </w:rPr>
            </w:pPr>
          </w:p>
        </w:tc>
      </w:tr>
      <w:tr w14:paraId="7B81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4596ED49">
            <w:pPr>
              <w:pStyle w:val="17"/>
              <w:bidi w:val="0"/>
              <w:rPr>
                <w:rFonts w:hint="default"/>
                <w:color w:val="auto"/>
                <w:highlight w:val="none"/>
                <w:lang w:val="en-US" w:eastAsia="zh-CN"/>
              </w:rPr>
            </w:pPr>
            <w:r>
              <w:rPr>
                <w:rFonts w:hint="eastAsia"/>
                <w:color w:val="auto"/>
                <w:highlight w:val="none"/>
                <w:lang w:val="en-US" w:eastAsia="zh-CN"/>
              </w:rPr>
              <w:t>12</w:t>
            </w:r>
          </w:p>
        </w:tc>
        <w:tc>
          <w:tcPr>
            <w:tcW w:w="1275" w:type="pct"/>
            <w:vAlign w:val="center"/>
          </w:tcPr>
          <w:p w14:paraId="60B13BBD">
            <w:pPr>
              <w:pStyle w:val="17"/>
              <w:bidi w:val="0"/>
              <w:rPr>
                <w:rFonts w:hint="eastAsia"/>
                <w:color w:val="auto"/>
                <w:highlight w:val="none"/>
                <w:lang w:val="en-US" w:eastAsia="zh-CN"/>
              </w:rPr>
            </w:pPr>
            <w:r>
              <w:rPr>
                <w:rFonts w:hint="eastAsia"/>
                <w:color w:val="auto"/>
                <w:highlight w:val="none"/>
                <w:lang w:val="en-US" w:eastAsia="zh-CN"/>
              </w:rPr>
              <w:t>No.6水力旋流器</w:t>
            </w:r>
          </w:p>
        </w:tc>
        <w:tc>
          <w:tcPr>
            <w:tcW w:w="1677" w:type="pct"/>
            <w:vAlign w:val="center"/>
          </w:tcPr>
          <w:p w14:paraId="45FC7175">
            <w:pPr>
              <w:pStyle w:val="17"/>
              <w:bidi w:val="0"/>
              <w:rPr>
                <w:rFonts w:hint="eastAsia"/>
                <w:color w:val="auto"/>
                <w:highlight w:val="none"/>
                <w:lang w:val="en-US" w:eastAsia="zh-CN"/>
              </w:rPr>
            </w:pPr>
            <w:r>
              <w:rPr>
                <w:rFonts w:hint="eastAsia"/>
                <w:color w:val="auto"/>
                <w:highlight w:val="none"/>
                <w:lang w:val="en-US" w:eastAsia="zh-CN"/>
              </w:rPr>
              <w:t>Φ100-42</w:t>
            </w:r>
          </w:p>
        </w:tc>
        <w:tc>
          <w:tcPr>
            <w:tcW w:w="414" w:type="pct"/>
            <w:vAlign w:val="center"/>
          </w:tcPr>
          <w:p w14:paraId="37B61E31">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668E045E">
            <w:pPr>
              <w:pStyle w:val="17"/>
              <w:bidi w:val="0"/>
              <w:rPr>
                <w:rFonts w:hint="eastAsia"/>
                <w:color w:val="auto"/>
                <w:highlight w:val="none"/>
                <w:lang w:val="en-US" w:eastAsia="zh-CN"/>
              </w:rPr>
            </w:pPr>
            <w:r>
              <w:rPr>
                <w:rFonts w:hint="eastAsia"/>
                <w:color w:val="auto"/>
                <w:highlight w:val="none"/>
                <w:lang w:val="en-US" w:eastAsia="zh-CN"/>
              </w:rPr>
              <w:t>组</w:t>
            </w:r>
          </w:p>
        </w:tc>
        <w:tc>
          <w:tcPr>
            <w:tcW w:w="636" w:type="pct"/>
            <w:vAlign w:val="center"/>
          </w:tcPr>
          <w:p w14:paraId="68B791AA">
            <w:pPr>
              <w:pStyle w:val="17"/>
              <w:bidi w:val="0"/>
              <w:rPr>
                <w:rFonts w:hint="default"/>
                <w:color w:val="auto"/>
                <w:highlight w:val="none"/>
                <w:lang w:val="zh-CN" w:eastAsia="zh-CN"/>
              </w:rPr>
            </w:pPr>
          </w:p>
        </w:tc>
      </w:tr>
      <w:tr w14:paraId="5A3C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B9DB534">
            <w:pPr>
              <w:pStyle w:val="17"/>
              <w:bidi w:val="0"/>
              <w:rPr>
                <w:rFonts w:hint="default"/>
                <w:color w:val="auto"/>
                <w:highlight w:val="none"/>
                <w:lang w:val="en-US" w:eastAsia="zh-CN"/>
              </w:rPr>
            </w:pPr>
            <w:r>
              <w:rPr>
                <w:rFonts w:hint="eastAsia"/>
                <w:color w:val="auto"/>
                <w:highlight w:val="none"/>
                <w:lang w:val="en-US" w:eastAsia="zh-CN"/>
              </w:rPr>
              <w:t>13</w:t>
            </w:r>
          </w:p>
        </w:tc>
        <w:tc>
          <w:tcPr>
            <w:tcW w:w="1275" w:type="pct"/>
            <w:vAlign w:val="center"/>
          </w:tcPr>
          <w:p w14:paraId="4CA174F4">
            <w:pPr>
              <w:pStyle w:val="17"/>
              <w:bidi w:val="0"/>
              <w:rPr>
                <w:rFonts w:hint="eastAsia"/>
                <w:color w:val="auto"/>
                <w:highlight w:val="none"/>
                <w:lang w:val="en-US" w:eastAsia="zh-CN"/>
              </w:rPr>
            </w:pPr>
            <w:r>
              <w:rPr>
                <w:rFonts w:hint="eastAsia"/>
                <w:color w:val="auto"/>
                <w:highlight w:val="none"/>
                <w:lang w:val="en-US" w:eastAsia="zh-CN"/>
              </w:rPr>
              <w:t>No.7水力旋流器</w:t>
            </w:r>
          </w:p>
        </w:tc>
        <w:tc>
          <w:tcPr>
            <w:tcW w:w="1677" w:type="pct"/>
            <w:vAlign w:val="center"/>
          </w:tcPr>
          <w:p w14:paraId="2463A0BB">
            <w:pPr>
              <w:pStyle w:val="17"/>
              <w:bidi w:val="0"/>
              <w:rPr>
                <w:rFonts w:hint="eastAsia"/>
                <w:color w:val="auto"/>
                <w:highlight w:val="none"/>
                <w:lang w:val="en-US" w:eastAsia="zh-CN"/>
              </w:rPr>
            </w:pPr>
            <w:r>
              <w:rPr>
                <w:rFonts w:hint="eastAsia"/>
                <w:color w:val="auto"/>
                <w:highlight w:val="none"/>
                <w:lang w:val="en-US" w:eastAsia="zh-CN"/>
              </w:rPr>
              <w:t>Φ250-10</w:t>
            </w:r>
          </w:p>
        </w:tc>
        <w:tc>
          <w:tcPr>
            <w:tcW w:w="414" w:type="pct"/>
            <w:vAlign w:val="center"/>
          </w:tcPr>
          <w:p w14:paraId="604847BD">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47F51D04">
            <w:pPr>
              <w:pStyle w:val="17"/>
              <w:bidi w:val="0"/>
              <w:rPr>
                <w:rFonts w:hint="eastAsia"/>
                <w:color w:val="auto"/>
                <w:highlight w:val="none"/>
                <w:lang w:val="en-US" w:eastAsia="zh-CN"/>
              </w:rPr>
            </w:pPr>
            <w:r>
              <w:rPr>
                <w:rFonts w:hint="eastAsia"/>
                <w:color w:val="auto"/>
                <w:highlight w:val="none"/>
                <w:lang w:val="en-US" w:eastAsia="zh-CN"/>
              </w:rPr>
              <w:t>组</w:t>
            </w:r>
          </w:p>
        </w:tc>
        <w:tc>
          <w:tcPr>
            <w:tcW w:w="636" w:type="pct"/>
            <w:vAlign w:val="center"/>
          </w:tcPr>
          <w:p w14:paraId="08B04BE2">
            <w:pPr>
              <w:pStyle w:val="17"/>
              <w:bidi w:val="0"/>
              <w:rPr>
                <w:rFonts w:hint="default"/>
                <w:color w:val="auto"/>
                <w:highlight w:val="none"/>
                <w:lang w:val="zh-CN" w:eastAsia="zh-CN"/>
              </w:rPr>
            </w:pPr>
          </w:p>
        </w:tc>
      </w:tr>
      <w:tr w14:paraId="7748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E7F4B06">
            <w:pPr>
              <w:pStyle w:val="17"/>
              <w:bidi w:val="0"/>
              <w:rPr>
                <w:rFonts w:hint="default"/>
                <w:color w:val="auto"/>
                <w:highlight w:val="none"/>
                <w:lang w:val="en-US" w:eastAsia="zh-CN"/>
              </w:rPr>
            </w:pPr>
            <w:r>
              <w:rPr>
                <w:rFonts w:hint="eastAsia"/>
                <w:color w:val="auto"/>
                <w:highlight w:val="none"/>
                <w:lang w:val="en-US" w:eastAsia="zh-CN"/>
              </w:rPr>
              <w:t>14</w:t>
            </w:r>
          </w:p>
        </w:tc>
        <w:tc>
          <w:tcPr>
            <w:tcW w:w="1275" w:type="pct"/>
            <w:vAlign w:val="center"/>
          </w:tcPr>
          <w:p w14:paraId="3F8ADFCB">
            <w:pPr>
              <w:pStyle w:val="17"/>
              <w:bidi w:val="0"/>
              <w:rPr>
                <w:rFonts w:hint="eastAsia"/>
                <w:color w:val="auto"/>
                <w:highlight w:val="none"/>
                <w:lang w:val="en-US" w:eastAsia="zh-CN"/>
              </w:rPr>
            </w:pPr>
            <w:r>
              <w:rPr>
                <w:rFonts w:hint="eastAsia"/>
                <w:color w:val="auto"/>
                <w:highlight w:val="none"/>
                <w:lang w:val="en-US" w:eastAsia="zh-CN"/>
              </w:rPr>
              <w:t>No.2渣浆泵</w:t>
            </w:r>
          </w:p>
        </w:tc>
        <w:tc>
          <w:tcPr>
            <w:tcW w:w="1677" w:type="pct"/>
            <w:vAlign w:val="center"/>
          </w:tcPr>
          <w:p w14:paraId="61E6B353">
            <w:pPr>
              <w:pStyle w:val="17"/>
              <w:bidi w:val="0"/>
              <w:rPr>
                <w:rFonts w:hint="eastAsia"/>
                <w:color w:val="auto"/>
                <w:highlight w:val="none"/>
                <w:lang w:val="en-US" w:eastAsia="zh-CN"/>
              </w:rPr>
            </w:pPr>
            <w:r>
              <w:rPr>
                <w:rFonts w:hint="eastAsia"/>
                <w:color w:val="auto"/>
                <w:highlight w:val="none"/>
                <w:lang w:val="en-US" w:eastAsia="zh-CN"/>
              </w:rPr>
              <w:t>10/8ST-AH</w:t>
            </w:r>
          </w:p>
        </w:tc>
        <w:tc>
          <w:tcPr>
            <w:tcW w:w="414" w:type="pct"/>
            <w:vAlign w:val="center"/>
          </w:tcPr>
          <w:p w14:paraId="07F59157">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7A816161">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4614BA2D">
            <w:pPr>
              <w:pStyle w:val="17"/>
              <w:bidi w:val="0"/>
              <w:rPr>
                <w:rFonts w:hint="default"/>
                <w:color w:val="auto"/>
                <w:highlight w:val="none"/>
                <w:lang w:val="zh-CN" w:eastAsia="zh-CN"/>
              </w:rPr>
            </w:pPr>
          </w:p>
        </w:tc>
      </w:tr>
      <w:tr w14:paraId="769D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DBEAE0E">
            <w:pPr>
              <w:pStyle w:val="17"/>
              <w:bidi w:val="0"/>
              <w:rPr>
                <w:rFonts w:hint="default"/>
                <w:color w:val="auto"/>
                <w:highlight w:val="none"/>
                <w:lang w:val="en-US" w:eastAsia="zh-CN"/>
              </w:rPr>
            </w:pPr>
            <w:r>
              <w:rPr>
                <w:rFonts w:hint="eastAsia"/>
                <w:color w:val="auto"/>
                <w:highlight w:val="none"/>
                <w:lang w:val="en-US" w:eastAsia="zh-CN"/>
              </w:rPr>
              <w:t>15</w:t>
            </w:r>
          </w:p>
        </w:tc>
        <w:tc>
          <w:tcPr>
            <w:tcW w:w="1275" w:type="pct"/>
            <w:vAlign w:val="center"/>
          </w:tcPr>
          <w:p w14:paraId="7A21C0EE">
            <w:pPr>
              <w:pStyle w:val="17"/>
              <w:bidi w:val="0"/>
              <w:rPr>
                <w:rFonts w:hint="eastAsia"/>
                <w:color w:val="auto"/>
                <w:highlight w:val="none"/>
                <w:lang w:val="en-US" w:eastAsia="zh-CN"/>
              </w:rPr>
            </w:pPr>
            <w:r>
              <w:rPr>
                <w:rFonts w:hint="eastAsia"/>
                <w:color w:val="auto"/>
                <w:highlight w:val="none"/>
                <w:lang w:val="en-US" w:eastAsia="zh-CN"/>
              </w:rPr>
              <w:t>No.3渣浆泵</w:t>
            </w:r>
          </w:p>
        </w:tc>
        <w:tc>
          <w:tcPr>
            <w:tcW w:w="1677" w:type="pct"/>
            <w:vAlign w:val="center"/>
          </w:tcPr>
          <w:p w14:paraId="2F674B3D">
            <w:pPr>
              <w:pStyle w:val="17"/>
              <w:bidi w:val="0"/>
              <w:rPr>
                <w:rFonts w:hint="eastAsia"/>
                <w:color w:val="auto"/>
                <w:highlight w:val="none"/>
                <w:lang w:val="en-US" w:eastAsia="zh-CN"/>
              </w:rPr>
            </w:pPr>
            <w:r>
              <w:rPr>
                <w:rFonts w:hint="eastAsia"/>
                <w:color w:val="auto"/>
                <w:highlight w:val="none"/>
                <w:lang w:val="en-US" w:eastAsia="zh-CN"/>
              </w:rPr>
              <w:t>8/6R-AH</w:t>
            </w:r>
          </w:p>
        </w:tc>
        <w:tc>
          <w:tcPr>
            <w:tcW w:w="414" w:type="pct"/>
            <w:vAlign w:val="center"/>
          </w:tcPr>
          <w:p w14:paraId="5B094D8C">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39B9F2D3">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57F60A5D">
            <w:pPr>
              <w:pStyle w:val="17"/>
              <w:bidi w:val="0"/>
              <w:rPr>
                <w:rFonts w:hint="eastAsia"/>
                <w:color w:val="auto"/>
                <w:highlight w:val="none"/>
                <w:lang w:val="en-US" w:eastAsia="zh-CN"/>
              </w:rPr>
            </w:pPr>
          </w:p>
        </w:tc>
      </w:tr>
      <w:tr w14:paraId="3A5B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298" w:type="pct"/>
            <w:vAlign w:val="center"/>
          </w:tcPr>
          <w:p w14:paraId="7DEDE298">
            <w:pPr>
              <w:pStyle w:val="17"/>
              <w:bidi w:val="0"/>
              <w:rPr>
                <w:rFonts w:hint="default"/>
                <w:color w:val="auto"/>
                <w:highlight w:val="none"/>
                <w:lang w:val="en-US" w:eastAsia="zh-CN"/>
              </w:rPr>
            </w:pPr>
            <w:r>
              <w:rPr>
                <w:rFonts w:hint="eastAsia"/>
                <w:color w:val="auto"/>
                <w:highlight w:val="none"/>
                <w:lang w:val="en-US" w:eastAsia="zh-CN"/>
              </w:rPr>
              <w:t>16</w:t>
            </w:r>
          </w:p>
        </w:tc>
        <w:tc>
          <w:tcPr>
            <w:tcW w:w="1275" w:type="pct"/>
            <w:vAlign w:val="center"/>
          </w:tcPr>
          <w:p w14:paraId="344A7526">
            <w:pPr>
              <w:pStyle w:val="17"/>
              <w:bidi w:val="0"/>
              <w:rPr>
                <w:rFonts w:hint="eastAsia"/>
                <w:color w:val="auto"/>
                <w:highlight w:val="none"/>
                <w:lang w:val="en-US" w:eastAsia="zh-CN"/>
              </w:rPr>
            </w:pPr>
            <w:r>
              <w:rPr>
                <w:rFonts w:hint="eastAsia"/>
                <w:color w:val="auto"/>
                <w:highlight w:val="none"/>
                <w:lang w:val="en-US" w:eastAsia="zh-CN"/>
              </w:rPr>
              <w:t>No.4渣浆泵</w:t>
            </w:r>
          </w:p>
        </w:tc>
        <w:tc>
          <w:tcPr>
            <w:tcW w:w="1677" w:type="pct"/>
            <w:vAlign w:val="center"/>
          </w:tcPr>
          <w:p w14:paraId="6369F04C">
            <w:pPr>
              <w:pStyle w:val="17"/>
              <w:bidi w:val="0"/>
              <w:rPr>
                <w:rFonts w:hint="eastAsia"/>
                <w:color w:val="auto"/>
                <w:highlight w:val="none"/>
                <w:lang w:val="en-US" w:eastAsia="zh-CN"/>
              </w:rPr>
            </w:pPr>
            <w:r>
              <w:rPr>
                <w:rFonts w:hint="eastAsia"/>
                <w:color w:val="auto"/>
                <w:highlight w:val="none"/>
                <w:lang w:val="en-US" w:eastAsia="zh-CN"/>
              </w:rPr>
              <w:t>8/6R-AH</w:t>
            </w:r>
          </w:p>
        </w:tc>
        <w:tc>
          <w:tcPr>
            <w:tcW w:w="414" w:type="pct"/>
            <w:vAlign w:val="center"/>
          </w:tcPr>
          <w:p w14:paraId="30D0FD4A">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7EF68C0B">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2F664EB8">
            <w:pPr>
              <w:pStyle w:val="17"/>
              <w:bidi w:val="0"/>
              <w:rPr>
                <w:rFonts w:hint="eastAsia"/>
                <w:color w:val="auto"/>
                <w:highlight w:val="none"/>
                <w:lang w:val="en-US" w:eastAsia="zh-CN"/>
              </w:rPr>
            </w:pPr>
          </w:p>
        </w:tc>
      </w:tr>
      <w:tr w14:paraId="4AEB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47F3F84">
            <w:pPr>
              <w:pStyle w:val="17"/>
              <w:bidi w:val="0"/>
              <w:rPr>
                <w:rFonts w:hint="default"/>
                <w:color w:val="auto"/>
                <w:highlight w:val="none"/>
                <w:lang w:val="en-US" w:eastAsia="zh-CN"/>
              </w:rPr>
            </w:pPr>
            <w:r>
              <w:rPr>
                <w:rFonts w:hint="eastAsia"/>
                <w:color w:val="auto"/>
                <w:highlight w:val="none"/>
                <w:lang w:val="en-US" w:eastAsia="zh-CN"/>
              </w:rPr>
              <w:t>17</w:t>
            </w:r>
          </w:p>
        </w:tc>
        <w:tc>
          <w:tcPr>
            <w:tcW w:w="1275" w:type="pct"/>
            <w:vAlign w:val="center"/>
          </w:tcPr>
          <w:p w14:paraId="7B643E36">
            <w:pPr>
              <w:pStyle w:val="17"/>
              <w:bidi w:val="0"/>
              <w:rPr>
                <w:rFonts w:hint="eastAsia"/>
                <w:color w:val="auto"/>
                <w:highlight w:val="none"/>
                <w:lang w:val="en-US" w:eastAsia="zh-CN"/>
              </w:rPr>
            </w:pPr>
            <w:r>
              <w:rPr>
                <w:rFonts w:hint="eastAsia"/>
                <w:color w:val="auto"/>
                <w:highlight w:val="none"/>
                <w:lang w:val="en-US" w:eastAsia="zh-CN"/>
              </w:rPr>
              <w:t>No.5渣浆泵</w:t>
            </w:r>
          </w:p>
        </w:tc>
        <w:tc>
          <w:tcPr>
            <w:tcW w:w="1677" w:type="pct"/>
            <w:vAlign w:val="center"/>
          </w:tcPr>
          <w:p w14:paraId="5DD32410">
            <w:pPr>
              <w:pStyle w:val="17"/>
              <w:bidi w:val="0"/>
              <w:rPr>
                <w:rFonts w:hint="default"/>
                <w:color w:val="auto"/>
                <w:highlight w:val="none"/>
                <w:lang w:val="en-US" w:eastAsia="zh-CN"/>
              </w:rPr>
            </w:pPr>
            <w:r>
              <w:rPr>
                <w:rFonts w:hint="eastAsia"/>
                <w:color w:val="auto"/>
                <w:highlight w:val="none"/>
                <w:lang w:val="en-US" w:eastAsia="zh-CN"/>
              </w:rPr>
              <w:t>6/4D-AH</w:t>
            </w:r>
          </w:p>
        </w:tc>
        <w:tc>
          <w:tcPr>
            <w:tcW w:w="414" w:type="pct"/>
            <w:vAlign w:val="center"/>
          </w:tcPr>
          <w:p w14:paraId="71FCF485">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11A92F4E">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26B9CC6E">
            <w:pPr>
              <w:pStyle w:val="17"/>
              <w:bidi w:val="0"/>
              <w:rPr>
                <w:rFonts w:hint="default"/>
                <w:color w:val="auto"/>
                <w:highlight w:val="none"/>
                <w:lang w:val="en-US" w:eastAsia="zh-CN"/>
              </w:rPr>
            </w:pPr>
          </w:p>
        </w:tc>
      </w:tr>
      <w:tr w14:paraId="29B4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408EEB5">
            <w:pPr>
              <w:pStyle w:val="17"/>
              <w:bidi w:val="0"/>
              <w:rPr>
                <w:rFonts w:hint="default"/>
                <w:color w:val="auto"/>
                <w:highlight w:val="none"/>
                <w:lang w:val="en-US" w:eastAsia="zh-CN"/>
              </w:rPr>
            </w:pPr>
            <w:r>
              <w:rPr>
                <w:rFonts w:hint="eastAsia"/>
                <w:color w:val="auto"/>
                <w:highlight w:val="none"/>
                <w:lang w:val="en-US" w:eastAsia="zh-CN"/>
              </w:rPr>
              <w:t>18</w:t>
            </w:r>
          </w:p>
        </w:tc>
        <w:tc>
          <w:tcPr>
            <w:tcW w:w="1275" w:type="pct"/>
            <w:vAlign w:val="center"/>
          </w:tcPr>
          <w:p w14:paraId="69DCA9F4">
            <w:pPr>
              <w:pStyle w:val="17"/>
              <w:bidi w:val="0"/>
              <w:rPr>
                <w:rFonts w:hint="eastAsia"/>
                <w:color w:val="auto"/>
                <w:highlight w:val="none"/>
                <w:lang w:val="en-US" w:eastAsia="zh-CN"/>
              </w:rPr>
            </w:pPr>
            <w:r>
              <w:rPr>
                <w:rFonts w:hint="eastAsia"/>
                <w:color w:val="auto"/>
                <w:highlight w:val="none"/>
                <w:lang w:val="en-US" w:eastAsia="zh-CN"/>
              </w:rPr>
              <w:t>No.6渣浆泵</w:t>
            </w:r>
          </w:p>
        </w:tc>
        <w:tc>
          <w:tcPr>
            <w:tcW w:w="1677" w:type="pct"/>
            <w:vAlign w:val="center"/>
          </w:tcPr>
          <w:p w14:paraId="1D43A746">
            <w:pPr>
              <w:pStyle w:val="17"/>
              <w:bidi w:val="0"/>
              <w:rPr>
                <w:rFonts w:hint="default"/>
                <w:color w:val="auto"/>
                <w:highlight w:val="none"/>
                <w:lang w:val="en-US" w:eastAsia="zh-CN"/>
              </w:rPr>
            </w:pPr>
            <w:r>
              <w:rPr>
                <w:rFonts w:hint="eastAsia"/>
                <w:color w:val="auto"/>
                <w:highlight w:val="none"/>
                <w:lang w:val="en-US" w:eastAsia="zh-CN"/>
              </w:rPr>
              <w:t>10/8ST-AH</w:t>
            </w:r>
          </w:p>
        </w:tc>
        <w:tc>
          <w:tcPr>
            <w:tcW w:w="414" w:type="pct"/>
            <w:vAlign w:val="center"/>
          </w:tcPr>
          <w:p w14:paraId="32F92687">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41E8F2E8">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12F16C03">
            <w:pPr>
              <w:pStyle w:val="17"/>
              <w:bidi w:val="0"/>
              <w:rPr>
                <w:rFonts w:hint="default"/>
                <w:color w:val="auto"/>
                <w:highlight w:val="none"/>
                <w:lang w:val="en-US" w:eastAsia="zh-CN"/>
              </w:rPr>
            </w:pPr>
          </w:p>
        </w:tc>
      </w:tr>
      <w:tr w14:paraId="125B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092ECAC">
            <w:pPr>
              <w:pStyle w:val="17"/>
              <w:bidi w:val="0"/>
              <w:rPr>
                <w:rFonts w:hint="default"/>
                <w:color w:val="auto"/>
                <w:highlight w:val="none"/>
                <w:lang w:val="en-US" w:eastAsia="zh-CN"/>
              </w:rPr>
            </w:pPr>
            <w:r>
              <w:rPr>
                <w:rFonts w:hint="eastAsia"/>
                <w:color w:val="auto"/>
                <w:highlight w:val="none"/>
                <w:lang w:val="en-US" w:eastAsia="zh-CN"/>
              </w:rPr>
              <w:t>19</w:t>
            </w:r>
          </w:p>
        </w:tc>
        <w:tc>
          <w:tcPr>
            <w:tcW w:w="1275" w:type="pct"/>
            <w:vAlign w:val="center"/>
          </w:tcPr>
          <w:p w14:paraId="3CBF0E0D">
            <w:pPr>
              <w:pStyle w:val="17"/>
              <w:bidi w:val="0"/>
              <w:rPr>
                <w:rFonts w:hint="eastAsia"/>
                <w:color w:val="auto"/>
                <w:highlight w:val="none"/>
                <w:lang w:val="en-US" w:eastAsia="zh-CN"/>
              </w:rPr>
            </w:pPr>
            <w:r>
              <w:rPr>
                <w:rFonts w:hint="eastAsia"/>
                <w:color w:val="auto"/>
                <w:highlight w:val="none"/>
                <w:lang w:val="en-US" w:eastAsia="zh-CN"/>
              </w:rPr>
              <w:t>No.7渣浆泵</w:t>
            </w:r>
          </w:p>
        </w:tc>
        <w:tc>
          <w:tcPr>
            <w:tcW w:w="1677" w:type="pct"/>
            <w:vAlign w:val="center"/>
          </w:tcPr>
          <w:p w14:paraId="00D7990D">
            <w:pPr>
              <w:pStyle w:val="17"/>
              <w:bidi w:val="0"/>
              <w:rPr>
                <w:rFonts w:hint="default"/>
                <w:color w:val="auto"/>
                <w:highlight w:val="none"/>
                <w:lang w:val="en-US" w:eastAsia="zh-CN"/>
              </w:rPr>
            </w:pPr>
            <w:r>
              <w:rPr>
                <w:rFonts w:hint="eastAsia"/>
                <w:color w:val="auto"/>
                <w:highlight w:val="none"/>
                <w:lang w:val="en-US" w:eastAsia="zh-CN"/>
              </w:rPr>
              <w:t>8/6R-AH</w:t>
            </w:r>
          </w:p>
        </w:tc>
        <w:tc>
          <w:tcPr>
            <w:tcW w:w="414" w:type="pct"/>
            <w:vAlign w:val="center"/>
          </w:tcPr>
          <w:p w14:paraId="1AF2C19B">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461DD70E">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10D18EBA">
            <w:pPr>
              <w:pStyle w:val="17"/>
              <w:bidi w:val="0"/>
              <w:rPr>
                <w:rFonts w:hint="default"/>
                <w:color w:val="auto"/>
                <w:highlight w:val="none"/>
                <w:lang w:val="en-US" w:eastAsia="zh-CN"/>
              </w:rPr>
            </w:pPr>
          </w:p>
        </w:tc>
      </w:tr>
      <w:tr w14:paraId="028F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BF7A85F">
            <w:pPr>
              <w:pStyle w:val="17"/>
              <w:bidi w:val="0"/>
              <w:rPr>
                <w:rFonts w:hint="default"/>
                <w:color w:val="auto"/>
                <w:highlight w:val="none"/>
                <w:lang w:val="en-US" w:eastAsia="zh-CN"/>
              </w:rPr>
            </w:pPr>
            <w:r>
              <w:rPr>
                <w:rFonts w:hint="eastAsia"/>
                <w:color w:val="auto"/>
                <w:highlight w:val="none"/>
                <w:lang w:val="en-US" w:eastAsia="zh-CN"/>
              </w:rPr>
              <w:t>20</w:t>
            </w:r>
          </w:p>
        </w:tc>
        <w:tc>
          <w:tcPr>
            <w:tcW w:w="1275" w:type="pct"/>
            <w:vAlign w:val="center"/>
          </w:tcPr>
          <w:p w14:paraId="0E84B16B">
            <w:pPr>
              <w:pStyle w:val="17"/>
              <w:bidi w:val="0"/>
              <w:rPr>
                <w:rFonts w:hint="eastAsia"/>
                <w:color w:val="auto"/>
                <w:highlight w:val="none"/>
                <w:lang w:val="en-US" w:eastAsia="zh-CN"/>
              </w:rPr>
            </w:pPr>
            <w:r>
              <w:rPr>
                <w:rFonts w:hint="eastAsia"/>
                <w:color w:val="auto"/>
                <w:highlight w:val="none"/>
                <w:lang w:val="en-US" w:eastAsia="zh-CN"/>
              </w:rPr>
              <w:t>No.8渣浆泵</w:t>
            </w:r>
          </w:p>
        </w:tc>
        <w:tc>
          <w:tcPr>
            <w:tcW w:w="1677" w:type="pct"/>
            <w:vAlign w:val="center"/>
          </w:tcPr>
          <w:p w14:paraId="2E3FAFB1">
            <w:pPr>
              <w:pStyle w:val="17"/>
              <w:bidi w:val="0"/>
              <w:rPr>
                <w:rFonts w:hint="default"/>
                <w:color w:val="auto"/>
                <w:highlight w:val="none"/>
                <w:lang w:val="en-US" w:eastAsia="zh-CN"/>
              </w:rPr>
            </w:pPr>
            <w:r>
              <w:rPr>
                <w:rFonts w:hint="eastAsia"/>
                <w:color w:val="auto"/>
                <w:highlight w:val="none"/>
                <w:lang w:val="en-US" w:eastAsia="zh-CN"/>
              </w:rPr>
              <w:t>10/8ST-AH</w:t>
            </w:r>
          </w:p>
        </w:tc>
        <w:tc>
          <w:tcPr>
            <w:tcW w:w="414" w:type="pct"/>
            <w:vAlign w:val="center"/>
          </w:tcPr>
          <w:p w14:paraId="411F0330">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5D412859">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486857F9">
            <w:pPr>
              <w:pStyle w:val="17"/>
              <w:bidi w:val="0"/>
              <w:rPr>
                <w:rFonts w:hint="default"/>
                <w:color w:val="auto"/>
                <w:highlight w:val="none"/>
                <w:lang w:val="en-US" w:eastAsia="zh-CN"/>
              </w:rPr>
            </w:pPr>
          </w:p>
        </w:tc>
      </w:tr>
      <w:tr w14:paraId="6299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DCA5BB9">
            <w:pPr>
              <w:pStyle w:val="17"/>
              <w:bidi w:val="0"/>
              <w:rPr>
                <w:rFonts w:hint="default"/>
                <w:color w:val="auto"/>
                <w:highlight w:val="none"/>
                <w:lang w:val="en-US" w:eastAsia="zh-CN"/>
              </w:rPr>
            </w:pPr>
            <w:r>
              <w:rPr>
                <w:rFonts w:hint="eastAsia"/>
                <w:color w:val="auto"/>
                <w:highlight w:val="none"/>
                <w:lang w:val="en-US" w:eastAsia="zh-CN"/>
              </w:rPr>
              <w:t>21</w:t>
            </w:r>
          </w:p>
        </w:tc>
        <w:tc>
          <w:tcPr>
            <w:tcW w:w="1275" w:type="pct"/>
            <w:vAlign w:val="center"/>
          </w:tcPr>
          <w:p w14:paraId="0A63EB33">
            <w:pPr>
              <w:pStyle w:val="17"/>
              <w:bidi w:val="0"/>
              <w:rPr>
                <w:rFonts w:hint="eastAsia"/>
                <w:color w:val="auto"/>
                <w:highlight w:val="none"/>
                <w:lang w:val="en-US" w:eastAsia="zh-CN"/>
              </w:rPr>
            </w:pPr>
            <w:r>
              <w:rPr>
                <w:rFonts w:hint="eastAsia"/>
                <w:color w:val="auto"/>
                <w:highlight w:val="none"/>
                <w:lang w:val="en-US" w:eastAsia="zh-CN"/>
              </w:rPr>
              <w:t>No.9渣浆泵</w:t>
            </w:r>
          </w:p>
        </w:tc>
        <w:tc>
          <w:tcPr>
            <w:tcW w:w="1677" w:type="pct"/>
            <w:vAlign w:val="center"/>
          </w:tcPr>
          <w:p w14:paraId="039781FF">
            <w:pPr>
              <w:pStyle w:val="17"/>
              <w:bidi w:val="0"/>
              <w:rPr>
                <w:rFonts w:hint="default"/>
                <w:color w:val="auto"/>
                <w:highlight w:val="none"/>
                <w:lang w:val="en-US" w:eastAsia="zh-CN"/>
              </w:rPr>
            </w:pPr>
            <w:r>
              <w:rPr>
                <w:rFonts w:hint="eastAsia"/>
                <w:color w:val="auto"/>
                <w:highlight w:val="none"/>
                <w:lang w:val="en-US" w:eastAsia="zh-CN"/>
              </w:rPr>
              <w:t>10/8ST-AH</w:t>
            </w:r>
          </w:p>
        </w:tc>
        <w:tc>
          <w:tcPr>
            <w:tcW w:w="414" w:type="pct"/>
            <w:vAlign w:val="center"/>
          </w:tcPr>
          <w:p w14:paraId="500FAEF6">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09683396">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5E52535F">
            <w:pPr>
              <w:pStyle w:val="17"/>
              <w:bidi w:val="0"/>
              <w:rPr>
                <w:rFonts w:hint="default"/>
                <w:color w:val="auto"/>
                <w:highlight w:val="none"/>
                <w:lang w:val="en-US" w:eastAsia="zh-CN"/>
              </w:rPr>
            </w:pPr>
          </w:p>
        </w:tc>
      </w:tr>
      <w:tr w14:paraId="740F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008590D">
            <w:pPr>
              <w:pStyle w:val="17"/>
              <w:bidi w:val="0"/>
              <w:rPr>
                <w:rFonts w:hint="default"/>
                <w:color w:val="auto"/>
                <w:highlight w:val="none"/>
                <w:lang w:val="en-US" w:eastAsia="zh-CN"/>
              </w:rPr>
            </w:pPr>
            <w:r>
              <w:rPr>
                <w:rFonts w:hint="eastAsia"/>
                <w:color w:val="auto"/>
                <w:highlight w:val="none"/>
                <w:lang w:val="en-US" w:eastAsia="zh-CN"/>
              </w:rPr>
              <w:t>22</w:t>
            </w:r>
          </w:p>
        </w:tc>
        <w:tc>
          <w:tcPr>
            <w:tcW w:w="1275" w:type="pct"/>
            <w:vAlign w:val="center"/>
          </w:tcPr>
          <w:p w14:paraId="5396B14C">
            <w:pPr>
              <w:pStyle w:val="17"/>
              <w:bidi w:val="0"/>
              <w:rPr>
                <w:rFonts w:hint="eastAsia"/>
                <w:color w:val="auto"/>
                <w:highlight w:val="none"/>
                <w:lang w:val="en-US" w:eastAsia="zh-CN"/>
              </w:rPr>
            </w:pPr>
            <w:r>
              <w:rPr>
                <w:rFonts w:hint="eastAsia"/>
                <w:color w:val="auto"/>
                <w:highlight w:val="none"/>
                <w:lang w:val="en-US" w:eastAsia="zh-CN"/>
              </w:rPr>
              <w:t>No.10渣浆泵</w:t>
            </w:r>
          </w:p>
        </w:tc>
        <w:tc>
          <w:tcPr>
            <w:tcW w:w="1677" w:type="pct"/>
            <w:vAlign w:val="center"/>
          </w:tcPr>
          <w:p w14:paraId="000BC277">
            <w:pPr>
              <w:pStyle w:val="17"/>
              <w:bidi w:val="0"/>
              <w:rPr>
                <w:rFonts w:hint="default"/>
                <w:color w:val="auto"/>
                <w:highlight w:val="none"/>
                <w:lang w:val="en-US" w:eastAsia="zh-CN"/>
              </w:rPr>
            </w:pPr>
            <w:r>
              <w:rPr>
                <w:rFonts w:hint="eastAsia"/>
                <w:color w:val="auto"/>
                <w:highlight w:val="none"/>
                <w:lang w:val="en-US" w:eastAsia="zh-CN"/>
              </w:rPr>
              <w:t>10/8ST-AH</w:t>
            </w:r>
          </w:p>
        </w:tc>
        <w:tc>
          <w:tcPr>
            <w:tcW w:w="414" w:type="pct"/>
            <w:vAlign w:val="center"/>
          </w:tcPr>
          <w:p w14:paraId="1C90889E">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150DC315">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7F7E21B6">
            <w:pPr>
              <w:pStyle w:val="17"/>
              <w:bidi w:val="0"/>
              <w:rPr>
                <w:rFonts w:hint="default"/>
                <w:color w:val="auto"/>
                <w:highlight w:val="none"/>
                <w:lang w:val="en-US" w:eastAsia="zh-CN"/>
              </w:rPr>
            </w:pPr>
          </w:p>
        </w:tc>
      </w:tr>
      <w:tr w14:paraId="7CDF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C4F3B83">
            <w:pPr>
              <w:pStyle w:val="17"/>
              <w:bidi w:val="0"/>
              <w:rPr>
                <w:rFonts w:hint="default"/>
                <w:color w:val="auto"/>
                <w:highlight w:val="none"/>
                <w:lang w:val="en-US" w:eastAsia="zh-CN"/>
              </w:rPr>
            </w:pPr>
            <w:r>
              <w:rPr>
                <w:rFonts w:hint="eastAsia"/>
                <w:color w:val="auto"/>
                <w:highlight w:val="none"/>
                <w:lang w:val="en-US" w:eastAsia="zh-CN"/>
              </w:rPr>
              <w:t>23</w:t>
            </w:r>
          </w:p>
        </w:tc>
        <w:tc>
          <w:tcPr>
            <w:tcW w:w="1275" w:type="pct"/>
            <w:vAlign w:val="center"/>
          </w:tcPr>
          <w:p w14:paraId="34EDF561">
            <w:pPr>
              <w:pStyle w:val="17"/>
              <w:bidi w:val="0"/>
              <w:rPr>
                <w:rFonts w:hint="eastAsia"/>
                <w:color w:val="auto"/>
                <w:highlight w:val="none"/>
                <w:lang w:val="en-US" w:eastAsia="zh-CN"/>
              </w:rPr>
            </w:pPr>
            <w:r>
              <w:rPr>
                <w:rFonts w:hint="eastAsia"/>
                <w:color w:val="auto"/>
                <w:highlight w:val="none"/>
                <w:lang w:val="en-US" w:eastAsia="zh-CN"/>
              </w:rPr>
              <w:t>No.11渣浆泵</w:t>
            </w:r>
          </w:p>
        </w:tc>
        <w:tc>
          <w:tcPr>
            <w:tcW w:w="1677" w:type="pct"/>
            <w:vAlign w:val="center"/>
          </w:tcPr>
          <w:p w14:paraId="3E057B9A">
            <w:pPr>
              <w:pStyle w:val="17"/>
              <w:bidi w:val="0"/>
              <w:rPr>
                <w:rFonts w:hint="default"/>
                <w:color w:val="auto"/>
                <w:highlight w:val="none"/>
                <w:lang w:val="en-US" w:eastAsia="zh-CN"/>
              </w:rPr>
            </w:pPr>
            <w:r>
              <w:rPr>
                <w:rFonts w:hint="eastAsia"/>
                <w:color w:val="auto"/>
                <w:highlight w:val="none"/>
                <w:lang w:val="en-US" w:eastAsia="zh-CN"/>
              </w:rPr>
              <w:t>14/12ST-AH</w:t>
            </w:r>
          </w:p>
        </w:tc>
        <w:tc>
          <w:tcPr>
            <w:tcW w:w="414" w:type="pct"/>
            <w:vAlign w:val="center"/>
          </w:tcPr>
          <w:p w14:paraId="7A3035FE">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0E53CA7A">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24B4174D">
            <w:pPr>
              <w:pStyle w:val="17"/>
              <w:bidi w:val="0"/>
              <w:rPr>
                <w:rFonts w:hint="default"/>
                <w:color w:val="auto"/>
                <w:highlight w:val="none"/>
                <w:lang w:val="en-US" w:eastAsia="zh-CN"/>
              </w:rPr>
            </w:pPr>
          </w:p>
        </w:tc>
      </w:tr>
      <w:tr w14:paraId="0821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99EBF56">
            <w:pPr>
              <w:pStyle w:val="17"/>
              <w:bidi w:val="0"/>
              <w:rPr>
                <w:rFonts w:hint="default"/>
                <w:color w:val="auto"/>
                <w:highlight w:val="none"/>
                <w:lang w:val="en-US" w:eastAsia="zh-CN"/>
              </w:rPr>
            </w:pPr>
            <w:r>
              <w:rPr>
                <w:rFonts w:hint="eastAsia"/>
                <w:color w:val="auto"/>
                <w:highlight w:val="none"/>
                <w:lang w:val="en-US" w:eastAsia="zh-CN"/>
              </w:rPr>
              <w:t>24</w:t>
            </w:r>
          </w:p>
        </w:tc>
        <w:tc>
          <w:tcPr>
            <w:tcW w:w="1275" w:type="pct"/>
            <w:vAlign w:val="center"/>
          </w:tcPr>
          <w:p w14:paraId="18852BE9">
            <w:pPr>
              <w:pStyle w:val="17"/>
              <w:bidi w:val="0"/>
              <w:rPr>
                <w:rFonts w:hint="eastAsia"/>
                <w:color w:val="auto"/>
                <w:highlight w:val="none"/>
                <w:lang w:val="en-US" w:eastAsia="zh-CN"/>
              </w:rPr>
            </w:pPr>
            <w:r>
              <w:rPr>
                <w:rFonts w:hint="eastAsia"/>
                <w:color w:val="auto"/>
                <w:highlight w:val="none"/>
                <w:lang w:val="en-US" w:eastAsia="zh-CN"/>
              </w:rPr>
              <w:t>No.12渣浆泵</w:t>
            </w:r>
          </w:p>
        </w:tc>
        <w:tc>
          <w:tcPr>
            <w:tcW w:w="1677" w:type="pct"/>
            <w:vAlign w:val="center"/>
          </w:tcPr>
          <w:p w14:paraId="324D9FD1">
            <w:pPr>
              <w:pStyle w:val="17"/>
              <w:bidi w:val="0"/>
              <w:rPr>
                <w:rFonts w:hint="default"/>
                <w:color w:val="auto"/>
                <w:highlight w:val="none"/>
                <w:lang w:val="en-US" w:eastAsia="zh-CN"/>
              </w:rPr>
            </w:pPr>
            <w:r>
              <w:rPr>
                <w:rFonts w:hint="eastAsia"/>
                <w:color w:val="auto"/>
                <w:highlight w:val="none"/>
                <w:lang w:val="en-US" w:eastAsia="zh-CN"/>
              </w:rPr>
              <w:t>6/4D-AH</w:t>
            </w:r>
          </w:p>
        </w:tc>
        <w:tc>
          <w:tcPr>
            <w:tcW w:w="414" w:type="pct"/>
            <w:vAlign w:val="center"/>
          </w:tcPr>
          <w:p w14:paraId="0EA02196">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109F156A">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65307F3A">
            <w:pPr>
              <w:pStyle w:val="17"/>
              <w:bidi w:val="0"/>
              <w:rPr>
                <w:rFonts w:hint="default"/>
                <w:color w:val="auto"/>
                <w:highlight w:val="none"/>
                <w:lang w:val="en-US" w:eastAsia="zh-CN"/>
              </w:rPr>
            </w:pPr>
          </w:p>
        </w:tc>
      </w:tr>
      <w:tr w14:paraId="3BA3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5CE5AB2">
            <w:pPr>
              <w:pStyle w:val="17"/>
              <w:bidi w:val="0"/>
              <w:rPr>
                <w:rFonts w:hint="default"/>
                <w:color w:val="auto"/>
                <w:highlight w:val="none"/>
                <w:lang w:val="en-US" w:eastAsia="zh-CN"/>
              </w:rPr>
            </w:pPr>
            <w:r>
              <w:rPr>
                <w:rFonts w:hint="eastAsia"/>
                <w:color w:val="auto"/>
                <w:highlight w:val="none"/>
                <w:lang w:val="en-US" w:eastAsia="zh-CN"/>
              </w:rPr>
              <w:t>25</w:t>
            </w:r>
          </w:p>
        </w:tc>
        <w:tc>
          <w:tcPr>
            <w:tcW w:w="1275" w:type="pct"/>
            <w:vAlign w:val="center"/>
          </w:tcPr>
          <w:p w14:paraId="6C4D55E9">
            <w:pPr>
              <w:pStyle w:val="17"/>
              <w:bidi w:val="0"/>
              <w:rPr>
                <w:rFonts w:hint="eastAsia"/>
                <w:color w:val="auto"/>
                <w:highlight w:val="none"/>
                <w:lang w:val="en-US" w:eastAsia="zh-CN"/>
              </w:rPr>
            </w:pPr>
            <w:r>
              <w:rPr>
                <w:rFonts w:hint="eastAsia"/>
                <w:color w:val="auto"/>
                <w:highlight w:val="none"/>
                <w:lang w:val="en-US" w:eastAsia="zh-CN"/>
              </w:rPr>
              <w:t>电动双梁吊钩桥式起重机</w:t>
            </w:r>
          </w:p>
        </w:tc>
        <w:tc>
          <w:tcPr>
            <w:tcW w:w="1677" w:type="pct"/>
            <w:vAlign w:val="center"/>
          </w:tcPr>
          <w:p w14:paraId="03D8B9B7">
            <w:pPr>
              <w:pStyle w:val="17"/>
              <w:bidi w:val="0"/>
              <w:rPr>
                <w:rFonts w:hint="default"/>
                <w:color w:val="auto"/>
                <w:highlight w:val="none"/>
                <w:lang w:val="en-US" w:eastAsia="zh-CN"/>
              </w:rPr>
            </w:pPr>
            <w:r>
              <w:rPr>
                <w:rFonts w:hint="eastAsia"/>
                <w:color w:val="auto"/>
                <w:highlight w:val="none"/>
                <w:lang w:val="en-US" w:eastAsia="zh-CN"/>
              </w:rPr>
              <w:t>QD,Gn=50/10t,S=19.5m,H=26m</w:t>
            </w:r>
          </w:p>
        </w:tc>
        <w:tc>
          <w:tcPr>
            <w:tcW w:w="414" w:type="pct"/>
            <w:vAlign w:val="center"/>
          </w:tcPr>
          <w:p w14:paraId="79C341E5">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66D81AB1">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62B94FF4">
            <w:pPr>
              <w:pStyle w:val="17"/>
              <w:bidi w:val="0"/>
              <w:rPr>
                <w:rFonts w:hint="default"/>
                <w:color w:val="auto"/>
                <w:highlight w:val="none"/>
                <w:lang w:val="en-US" w:eastAsia="zh-CN"/>
              </w:rPr>
            </w:pPr>
          </w:p>
        </w:tc>
      </w:tr>
      <w:tr w14:paraId="042C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1384848">
            <w:pPr>
              <w:pStyle w:val="17"/>
              <w:bidi w:val="0"/>
              <w:rPr>
                <w:rFonts w:hint="default"/>
                <w:color w:val="auto"/>
                <w:highlight w:val="none"/>
                <w:lang w:val="en-US" w:eastAsia="zh-CN"/>
              </w:rPr>
            </w:pPr>
            <w:r>
              <w:rPr>
                <w:rFonts w:hint="eastAsia"/>
                <w:color w:val="auto"/>
                <w:highlight w:val="none"/>
                <w:lang w:val="en-US" w:eastAsia="zh-CN"/>
              </w:rPr>
              <w:t>26</w:t>
            </w:r>
          </w:p>
        </w:tc>
        <w:tc>
          <w:tcPr>
            <w:tcW w:w="1275" w:type="pct"/>
            <w:vAlign w:val="center"/>
          </w:tcPr>
          <w:p w14:paraId="4D14D16D">
            <w:pPr>
              <w:pStyle w:val="17"/>
              <w:bidi w:val="0"/>
              <w:rPr>
                <w:rFonts w:hint="eastAsia"/>
                <w:color w:val="auto"/>
                <w:highlight w:val="none"/>
                <w:lang w:val="en-US" w:eastAsia="zh-CN"/>
              </w:rPr>
            </w:pPr>
            <w:r>
              <w:rPr>
                <w:rFonts w:hint="eastAsia"/>
                <w:color w:val="auto"/>
                <w:highlight w:val="none"/>
                <w:lang w:val="en-US" w:eastAsia="zh-CN"/>
              </w:rPr>
              <w:t>矿浆搅拌槽</w:t>
            </w:r>
          </w:p>
        </w:tc>
        <w:tc>
          <w:tcPr>
            <w:tcW w:w="1677" w:type="pct"/>
            <w:vAlign w:val="center"/>
          </w:tcPr>
          <w:p w14:paraId="3A015771">
            <w:pPr>
              <w:pStyle w:val="17"/>
              <w:bidi w:val="0"/>
              <w:rPr>
                <w:rFonts w:hint="default"/>
                <w:color w:val="auto"/>
                <w:highlight w:val="none"/>
                <w:lang w:val="en-US" w:eastAsia="zh-CN"/>
              </w:rPr>
            </w:pPr>
            <w:r>
              <w:rPr>
                <w:rFonts w:hint="eastAsia"/>
                <w:color w:val="auto"/>
                <w:highlight w:val="none"/>
                <w:lang w:val="en-US" w:eastAsia="zh-CN"/>
              </w:rPr>
              <w:t>Φ4000×4500</w:t>
            </w:r>
          </w:p>
        </w:tc>
        <w:tc>
          <w:tcPr>
            <w:tcW w:w="414" w:type="pct"/>
            <w:vAlign w:val="center"/>
          </w:tcPr>
          <w:p w14:paraId="23334A9E">
            <w:pPr>
              <w:pStyle w:val="17"/>
              <w:bidi w:val="0"/>
              <w:rPr>
                <w:rFonts w:hint="default"/>
                <w:color w:val="auto"/>
                <w:highlight w:val="none"/>
                <w:lang w:val="en-US" w:eastAsia="zh-CN"/>
              </w:rPr>
            </w:pPr>
            <w:r>
              <w:rPr>
                <w:rFonts w:hint="eastAsia"/>
                <w:color w:val="auto"/>
                <w:highlight w:val="none"/>
                <w:lang w:val="en-US" w:eastAsia="zh-CN"/>
              </w:rPr>
              <w:t>4</w:t>
            </w:r>
          </w:p>
        </w:tc>
        <w:tc>
          <w:tcPr>
            <w:tcW w:w="699" w:type="pct"/>
            <w:vAlign w:val="center"/>
          </w:tcPr>
          <w:p w14:paraId="39C9FED7">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03C3AB29">
            <w:pPr>
              <w:pStyle w:val="17"/>
              <w:bidi w:val="0"/>
              <w:rPr>
                <w:rFonts w:hint="default"/>
                <w:color w:val="auto"/>
                <w:highlight w:val="none"/>
                <w:lang w:val="en-US" w:eastAsia="zh-CN"/>
              </w:rPr>
            </w:pPr>
          </w:p>
        </w:tc>
      </w:tr>
      <w:tr w14:paraId="0A07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A740086">
            <w:pPr>
              <w:pStyle w:val="17"/>
              <w:bidi w:val="0"/>
              <w:rPr>
                <w:rFonts w:hint="default"/>
                <w:color w:val="auto"/>
                <w:highlight w:val="none"/>
                <w:lang w:val="en-US" w:eastAsia="zh-CN"/>
              </w:rPr>
            </w:pPr>
            <w:r>
              <w:rPr>
                <w:rFonts w:hint="eastAsia"/>
                <w:color w:val="auto"/>
                <w:highlight w:val="none"/>
                <w:lang w:val="en-US" w:eastAsia="zh-CN"/>
              </w:rPr>
              <w:t>27</w:t>
            </w:r>
          </w:p>
        </w:tc>
        <w:tc>
          <w:tcPr>
            <w:tcW w:w="1275" w:type="pct"/>
            <w:vAlign w:val="center"/>
          </w:tcPr>
          <w:p w14:paraId="7867972B">
            <w:pPr>
              <w:pStyle w:val="17"/>
              <w:bidi w:val="0"/>
              <w:rPr>
                <w:rFonts w:hint="eastAsia"/>
                <w:color w:val="auto"/>
                <w:highlight w:val="none"/>
                <w:lang w:val="en-US" w:eastAsia="zh-CN"/>
              </w:rPr>
            </w:pPr>
            <w:r>
              <w:rPr>
                <w:rFonts w:hint="eastAsia"/>
                <w:color w:val="auto"/>
                <w:highlight w:val="none"/>
                <w:lang w:val="en-US" w:eastAsia="zh-CN"/>
              </w:rPr>
              <w:t>矿浆搅拌槽</w:t>
            </w:r>
          </w:p>
        </w:tc>
        <w:tc>
          <w:tcPr>
            <w:tcW w:w="1677" w:type="pct"/>
            <w:vAlign w:val="center"/>
          </w:tcPr>
          <w:p w14:paraId="1BB28E84">
            <w:pPr>
              <w:pStyle w:val="17"/>
              <w:bidi w:val="0"/>
              <w:rPr>
                <w:rFonts w:hint="default"/>
                <w:color w:val="auto"/>
                <w:highlight w:val="none"/>
                <w:lang w:val="en-US" w:eastAsia="zh-CN"/>
              </w:rPr>
            </w:pPr>
            <w:r>
              <w:rPr>
                <w:rFonts w:hint="eastAsia"/>
                <w:color w:val="auto"/>
                <w:highlight w:val="none"/>
                <w:lang w:val="en-US" w:eastAsia="zh-CN"/>
              </w:rPr>
              <w:t>Φ3000×3000</w:t>
            </w:r>
          </w:p>
        </w:tc>
        <w:tc>
          <w:tcPr>
            <w:tcW w:w="414" w:type="pct"/>
            <w:vAlign w:val="center"/>
          </w:tcPr>
          <w:p w14:paraId="1CF399F2">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76795FA8">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43F965C3">
            <w:pPr>
              <w:pStyle w:val="17"/>
              <w:bidi w:val="0"/>
              <w:rPr>
                <w:rFonts w:hint="default"/>
                <w:color w:val="auto"/>
                <w:highlight w:val="none"/>
                <w:lang w:val="en-US" w:eastAsia="zh-CN"/>
              </w:rPr>
            </w:pPr>
          </w:p>
        </w:tc>
      </w:tr>
      <w:tr w14:paraId="3F29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928C408">
            <w:pPr>
              <w:pStyle w:val="17"/>
              <w:bidi w:val="0"/>
              <w:rPr>
                <w:rFonts w:hint="default"/>
                <w:color w:val="auto"/>
                <w:highlight w:val="none"/>
                <w:lang w:val="en-US" w:eastAsia="zh-CN"/>
              </w:rPr>
            </w:pPr>
            <w:r>
              <w:rPr>
                <w:rFonts w:hint="eastAsia"/>
                <w:color w:val="auto"/>
                <w:highlight w:val="none"/>
                <w:lang w:val="en-US" w:eastAsia="zh-CN"/>
              </w:rPr>
              <w:t>28</w:t>
            </w:r>
          </w:p>
        </w:tc>
        <w:tc>
          <w:tcPr>
            <w:tcW w:w="1275" w:type="pct"/>
            <w:vAlign w:val="center"/>
          </w:tcPr>
          <w:p w14:paraId="0871C2AB">
            <w:pPr>
              <w:pStyle w:val="17"/>
              <w:bidi w:val="0"/>
              <w:rPr>
                <w:rFonts w:hint="eastAsia"/>
                <w:color w:val="auto"/>
                <w:highlight w:val="none"/>
                <w:lang w:val="en-US" w:eastAsia="zh-CN"/>
              </w:rPr>
            </w:pPr>
            <w:r>
              <w:rPr>
                <w:rFonts w:hint="eastAsia"/>
                <w:color w:val="auto"/>
                <w:highlight w:val="none"/>
                <w:lang w:val="en-US" w:eastAsia="zh-CN"/>
              </w:rPr>
              <w:t>浮选机</w:t>
            </w:r>
          </w:p>
        </w:tc>
        <w:tc>
          <w:tcPr>
            <w:tcW w:w="1677" w:type="pct"/>
            <w:vAlign w:val="center"/>
          </w:tcPr>
          <w:p w14:paraId="2EEB4A32">
            <w:pPr>
              <w:pStyle w:val="17"/>
              <w:bidi w:val="0"/>
              <w:rPr>
                <w:rFonts w:hint="default"/>
                <w:color w:val="auto"/>
                <w:highlight w:val="none"/>
                <w:lang w:val="en-US" w:eastAsia="zh-CN"/>
              </w:rPr>
            </w:pPr>
            <w:r>
              <w:rPr>
                <w:rFonts w:hint="eastAsia"/>
                <w:color w:val="auto"/>
                <w:highlight w:val="none"/>
                <w:lang w:val="en-US" w:eastAsia="zh-CN"/>
              </w:rPr>
              <w:t>50m³，充气式</w:t>
            </w:r>
          </w:p>
        </w:tc>
        <w:tc>
          <w:tcPr>
            <w:tcW w:w="414" w:type="pct"/>
            <w:vAlign w:val="center"/>
          </w:tcPr>
          <w:p w14:paraId="6D85AE92">
            <w:pPr>
              <w:pStyle w:val="17"/>
              <w:bidi w:val="0"/>
              <w:rPr>
                <w:rFonts w:hint="default"/>
                <w:color w:val="auto"/>
                <w:highlight w:val="none"/>
                <w:lang w:val="en-US" w:eastAsia="zh-CN"/>
              </w:rPr>
            </w:pPr>
            <w:r>
              <w:rPr>
                <w:rFonts w:hint="eastAsia"/>
                <w:color w:val="auto"/>
                <w:highlight w:val="none"/>
                <w:lang w:val="en-US" w:eastAsia="zh-CN"/>
              </w:rPr>
              <w:t>34</w:t>
            </w:r>
          </w:p>
        </w:tc>
        <w:tc>
          <w:tcPr>
            <w:tcW w:w="699" w:type="pct"/>
            <w:vAlign w:val="center"/>
          </w:tcPr>
          <w:p w14:paraId="551A4379">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0CBBC465">
            <w:pPr>
              <w:pStyle w:val="17"/>
              <w:bidi w:val="0"/>
              <w:rPr>
                <w:rFonts w:hint="default"/>
                <w:color w:val="auto"/>
                <w:highlight w:val="none"/>
                <w:lang w:val="en-US" w:eastAsia="zh-CN"/>
              </w:rPr>
            </w:pPr>
          </w:p>
        </w:tc>
      </w:tr>
      <w:tr w14:paraId="12F2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78C6146">
            <w:pPr>
              <w:pStyle w:val="17"/>
              <w:bidi w:val="0"/>
              <w:rPr>
                <w:rFonts w:hint="default"/>
                <w:color w:val="auto"/>
                <w:highlight w:val="none"/>
                <w:lang w:val="en-US" w:eastAsia="zh-CN"/>
              </w:rPr>
            </w:pPr>
            <w:r>
              <w:rPr>
                <w:rFonts w:hint="eastAsia"/>
                <w:color w:val="auto"/>
                <w:highlight w:val="none"/>
                <w:lang w:val="en-US" w:eastAsia="zh-CN"/>
              </w:rPr>
              <w:t>29</w:t>
            </w:r>
          </w:p>
        </w:tc>
        <w:tc>
          <w:tcPr>
            <w:tcW w:w="1275" w:type="pct"/>
            <w:vAlign w:val="center"/>
          </w:tcPr>
          <w:p w14:paraId="11E6ED8B">
            <w:pPr>
              <w:pStyle w:val="17"/>
              <w:bidi w:val="0"/>
              <w:rPr>
                <w:rFonts w:hint="eastAsia"/>
                <w:color w:val="auto"/>
                <w:highlight w:val="none"/>
                <w:lang w:val="en-US" w:eastAsia="zh-CN"/>
              </w:rPr>
            </w:pPr>
            <w:r>
              <w:rPr>
                <w:rFonts w:hint="eastAsia"/>
                <w:color w:val="auto"/>
                <w:highlight w:val="none"/>
                <w:lang w:val="en-US" w:eastAsia="zh-CN"/>
              </w:rPr>
              <w:t>浮选机</w:t>
            </w:r>
          </w:p>
        </w:tc>
        <w:tc>
          <w:tcPr>
            <w:tcW w:w="1677" w:type="pct"/>
            <w:vAlign w:val="center"/>
          </w:tcPr>
          <w:p w14:paraId="0420D712">
            <w:pPr>
              <w:pStyle w:val="17"/>
              <w:bidi w:val="0"/>
              <w:rPr>
                <w:rFonts w:hint="default"/>
                <w:color w:val="auto"/>
                <w:highlight w:val="none"/>
                <w:lang w:val="en-US" w:eastAsia="zh-CN"/>
              </w:rPr>
            </w:pPr>
            <w:r>
              <w:rPr>
                <w:rFonts w:hint="eastAsia"/>
                <w:color w:val="auto"/>
                <w:highlight w:val="none"/>
                <w:lang w:val="en-US" w:eastAsia="zh-CN"/>
              </w:rPr>
              <w:t>30m³，充气式</w:t>
            </w:r>
          </w:p>
        </w:tc>
        <w:tc>
          <w:tcPr>
            <w:tcW w:w="414" w:type="pct"/>
            <w:vAlign w:val="center"/>
          </w:tcPr>
          <w:p w14:paraId="2968723C">
            <w:pPr>
              <w:pStyle w:val="17"/>
              <w:bidi w:val="0"/>
              <w:rPr>
                <w:rFonts w:hint="default"/>
                <w:color w:val="auto"/>
                <w:highlight w:val="none"/>
                <w:lang w:val="en-US" w:eastAsia="zh-CN"/>
              </w:rPr>
            </w:pPr>
            <w:r>
              <w:rPr>
                <w:rFonts w:hint="eastAsia"/>
                <w:color w:val="auto"/>
                <w:highlight w:val="none"/>
                <w:lang w:val="en-US" w:eastAsia="zh-CN"/>
              </w:rPr>
              <w:t>6</w:t>
            </w:r>
          </w:p>
        </w:tc>
        <w:tc>
          <w:tcPr>
            <w:tcW w:w="699" w:type="pct"/>
            <w:vAlign w:val="center"/>
          </w:tcPr>
          <w:p w14:paraId="70ADFC41">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51FAFB4B">
            <w:pPr>
              <w:pStyle w:val="17"/>
              <w:bidi w:val="0"/>
              <w:rPr>
                <w:rFonts w:hint="default"/>
                <w:color w:val="auto"/>
                <w:highlight w:val="none"/>
                <w:lang w:val="en-US" w:eastAsia="zh-CN"/>
              </w:rPr>
            </w:pPr>
          </w:p>
        </w:tc>
      </w:tr>
      <w:tr w14:paraId="560B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D744481">
            <w:pPr>
              <w:pStyle w:val="17"/>
              <w:bidi w:val="0"/>
              <w:rPr>
                <w:rFonts w:hint="default"/>
                <w:color w:val="auto"/>
                <w:highlight w:val="none"/>
                <w:lang w:val="en-US" w:eastAsia="zh-CN"/>
              </w:rPr>
            </w:pPr>
            <w:r>
              <w:rPr>
                <w:rFonts w:hint="eastAsia"/>
                <w:color w:val="auto"/>
                <w:highlight w:val="none"/>
                <w:lang w:val="en-US" w:eastAsia="zh-CN"/>
              </w:rPr>
              <w:t>30</w:t>
            </w:r>
          </w:p>
        </w:tc>
        <w:tc>
          <w:tcPr>
            <w:tcW w:w="1275" w:type="pct"/>
            <w:vAlign w:val="center"/>
          </w:tcPr>
          <w:p w14:paraId="7DEBBAF5">
            <w:pPr>
              <w:pStyle w:val="17"/>
              <w:bidi w:val="0"/>
              <w:rPr>
                <w:rFonts w:hint="eastAsia"/>
                <w:color w:val="auto"/>
                <w:highlight w:val="none"/>
                <w:lang w:val="en-US" w:eastAsia="zh-CN"/>
              </w:rPr>
            </w:pPr>
            <w:r>
              <w:rPr>
                <w:rFonts w:hint="eastAsia"/>
                <w:color w:val="auto"/>
                <w:highlight w:val="none"/>
                <w:lang w:val="en-US" w:eastAsia="zh-CN"/>
              </w:rPr>
              <w:t>液下泵</w:t>
            </w:r>
          </w:p>
        </w:tc>
        <w:tc>
          <w:tcPr>
            <w:tcW w:w="1677" w:type="pct"/>
            <w:vAlign w:val="center"/>
          </w:tcPr>
          <w:p w14:paraId="0FF71201">
            <w:pPr>
              <w:pStyle w:val="17"/>
              <w:bidi w:val="0"/>
              <w:rPr>
                <w:rFonts w:hint="default"/>
                <w:color w:val="auto"/>
                <w:highlight w:val="none"/>
                <w:lang w:val="en-US" w:eastAsia="zh-CN"/>
              </w:rPr>
            </w:pPr>
            <w:r>
              <w:rPr>
                <w:rFonts w:hint="eastAsia"/>
                <w:color w:val="auto"/>
                <w:highlight w:val="none"/>
                <w:lang w:val="en-US" w:eastAsia="zh-CN"/>
              </w:rPr>
              <w:t>100RV-SP，Q=80m³/h</w:t>
            </w:r>
          </w:p>
        </w:tc>
        <w:tc>
          <w:tcPr>
            <w:tcW w:w="414" w:type="pct"/>
            <w:vAlign w:val="center"/>
          </w:tcPr>
          <w:p w14:paraId="0C79700F">
            <w:pPr>
              <w:pStyle w:val="17"/>
              <w:bidi w:val="0"/>
              <w:rPr>
                <w:rFonts w:hint="default"/>
                <w:color w:val="auto"/>
                <w:highlight w:val="none"/>
                <w:lang w:val="en-US" w:eastAsia="zh-CN"/>
              </w:rPr>
            </w:pPr>
            <w:r>
              <w:rPr>
                <w:rFonts w:hint="eastAsia"/>
                <w:color w:val="auto"/>
                <w:highlight w:val="none"/>
                <w:lang w:val="en-US" w:eastAsia="zh-CN"/>
              </w:rPr>
              <w:t>12</w:t>
            </w:r>
          </w:p>
        </w:tc>
        <w:tc>
          <w:tcPr>
            <w:tcW w:w="699" w:type="pct"/>
            <w:vAlign w:val="center"/>
          </w:tcPr>
          <w:p w14:paraId="6854A31B">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48689DBA">
            <w:pPr>
              <w:pStyle w:val="17"/>
              <w:bidi w:val="0"/>
              <w:rPr>
                <w:rFonts w:hint="default"/>
                <w:color w:val="auto"/>
                <w:highlight w:val="none"/>
                <w:lang w:val="en-US" w:eastAsia="zh-CN"/>
              </w:rPr>
            </w:pPr>
          </w:p>
        </w:tc>
      </w:tr>
      <w:tr w14:paraId="6CA3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4136D850">
            <w:pPr>
              <w:pStyle w:val="17"/>
              <w:bidi w:val="0"/>
              <w:rPr>
                <w:rFonts w:hint="default"/>
                <w:color w:val="auto"/>
                <w:highlight w:val="none"/>
                <w:lang w:val="en-US" w:eastAsia="zh-CN"/>
              </w:rPr>
            </w:pPr>
            <w:r>
              <w:rPr>
                <w:rFonts w:hint="eastAsia"/>
                <w:color w:val="auto"/>
                <w:highlight w:val="none"/>
                <w:lang w:val="en-US" w:eastAsia="zh-CN"/>
              </w:rPr>
              <w:t>31</w:t>
            </w:r>
          </w:p>
        </w:tc>
        <w:tc>
          <w:tcPr>
            <w:tcW w:w="1275" w:type="pct"/>
            <w:vAlign w:val="center"/>
          </w:tcPr>
          <w:p w14:paraId="5D4E1634">
            <w:pPr>
              <w:pStyle w:val="17"/>
              <w:bidi w:val="0"/>
              <w:rPr>
                <w:rFonts w:hint="eastAsia"/>
                <w:color w:val="auto"/>
                <w:highlight w:val="none"/>
                <w:lang w:val="en-US" w:eastAsia="zh-CN"/>
              </w:rPr>
            </w:pPr>
            <w:r>
              <w:rPr>
                <w:rFonts w:hint="eastAsia"/>
                <w:color w:val="auto"/>
                <w:highlight w:val="none"/>
                <w:lang w:val="en-US" w:eastAsia="zh-CN"/>
              </w:rPr>
              <w:t>浓缩机</w:t>
            </w:r>
          </w:p>
        </w:tc>
        <w:tc>
          <w:tcPr>
            <w:tcW w:w="1677" w:type="pct"/>
            <w:vAlign w:val="center"/>
          </w:tcPr>
          <w:p w14:paraId="41FED9C1">
            <w:pPr>
              <w:pStyle w:val="17"/>
              <w:bidi w:val="0"/>
              <w:rPr>
                <w:rFonts w:hint="default"/>
                <w:color w:val="auto"/>
                <w:highlight w:val="none"/>
                <w:lang w:val="en-US" w:eastAsia="zh-CN"/>
              </w:rPr>
            </w:pPr>
            <w:r>
              <w:rPr>
                <w:rFonts w:hint="eastAsia"/>
                <w:color w:val="auto"/>
                <w:highlight w:val="none"/>
                <w:lang w:val="en-US" w:eastAsia="zh-CN"/>
              </w:rPr>
              <w:t>Φ30m</w:t>
            </w:r>
          </w:p>
        </w:tc>
        <w:tc>
          <w:tcPr>
            <w:tcW w:w="414" w:type="pct"/>
            <w:vAlign w:val="center"/>
          </w:tcPr>
          <w:p w14:paraId="7500FE0A">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1C490664">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3DC4E1F1">
            <w:pPr>
              <w:pStyle w:val="17"/>
              <w:bidi w:val="0"/>
              <w:rPr>
                <w:rFonts w:hint="default"/>
                <w:color w:val="auto"/>
                <w:highlight w:val="none"/>
                <w:lang w:val="en-US" w:eastAsia="zh-CN"/>
              </w:rPr>
            </w:pPr>
          </w:p>
        </w:tc>
      </w:tr>
      <w:tr w14:paraId="1C4F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40815F5">
            <w:pPr>
              <w:pStyle w:val="17"/>
              <w:bidi w:val="0"/>
              <w:rPr>
                <w:rFonts w:hint="default"/>
                <w:color w:val="auto"/>
                <w:highlight w:val="none"/>
                <w:lang w:val="en-US" w:eastAsia="zh-CN"/>
              </w:rPr>
            </w:pPr>
            <w:r>
              <w:rPr>
                <w:rFonts w:hint="eastAsia"/>
                <w:color w:val="auto"/>
                <w:highlight w:val="none"/>
                <w:lang w:val="en-US" w:eastAsia="zh-CN"/>
              </w:rPr>
              <w:t>32</w:t>
            </w:r>
          </w:p>
        </w:tc>
        <w:tc>
          <w:tcPr>
            <w:tcW w:w="1275" w:type="pct"/>
            <w:vAlign w:val="center"/>
          </w:tcPr>
          <w:p w14:paraId="74DD7A4A">
            <w:pPr>
              <w:pStyle w:val="17"/>
              <w:bidi w:val="0"/>
              <w:rPr>
                <w:rFonts w:hint="eastAsia"/>
                <w:color w:val="auto"/>
                <w:highlight w:val="none"/>
                <w:lang w:val="en-US" w:eastAsia="zh-CN"/>
              </w:rPr>
            </w:pPr>
            <w:r>
              <w:rPr>
                <w:rFonts w:hint="eastAsia"/>
                <w:color w:val="auto"/>
                <w:highlight w:val="none"/>
                <w:lang w:val="en-US" w:eastAsia="zh-CN"/>
              </w:rPr>
              <w:t>No.31渣浆泵</w:t>
            </w:r>
          </w:p>
        </w:tc>
        <w:tc>
          <w:tcPr>
            <w:tcW w:w="1677" w:type="pct"/>
            <w:vAlign w:val="center"/>
          </w:tcPr>
          <w:p w14:paraId="0329AB55">
            <w:pPr>
              <w:pStyle w:val="17"/>
              <w:bidi w:val="0"/>
              <w:rPr>
                <w:rFonts w:hint="default"/>
                <w:color w:val="auto"/>
                <w:highlight w:val="none"/>
                <w:lang w:val="en-US" w:eastAsia="zh-CN"/>
              </w:rPr>
            </w:pPr>
            <w:r>
              <w:rPr>
                <w:rFonts w:hint="eastAsia"/>
                <w:color w:val="auto"/>
                <w:highlight w:val="none"/>
                <w:lang w:val="en-US" w:eastAsia="zh-CN"/>
              </w:rPr>
              <w:t>4/3C-AH</w:t>
            </w:r>
          </w:p>
        </w:tc>
        <w:tc>
          <w:tcPr>
            <w:tcW w:w="414" w:type="pct"/>
            <w:vAlign w:val="center"/>
          </w:tcPr>
          <w:p w14:paraId="3DC2567E">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594E7EF3">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0D5AB49E">
            <w:pPr>
              <w:pStyle w:val="17"/>
              <w:bidi w:val="0"/>
              <w:rPr>
                <w:rFonts w:hint="default"/>
                <w:color w:val="auto"/>
                <w:highlight w:val="none"/>
                <w:lang w:val="en-US" w:eastAsia="zh-CN"/>
              </w:rPr>
            </w:pPr>
          </w:p>
        </w:tc>
      </w:tr>
      <w:tr w14:paraId="5C21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C4A0DA7">
            <w:pPr>
              <w:pStyle w:val="17"/>
              <w:bidi w:val="0"/>
              <w:rPr>
                <w:rFonts w:hint="default"/>
                <w:color w:val="auto"/>
                <w:highlight w:val="none"/>
                <w:lang w:val="en-US" w:eastAsia="zh-CN"/>
              </w:rPr>
            </w:pPr>
            <w:r>
              <w:rPr>
                <w:rFonts w:hint="eastAsia"/>
                <w:color w:val="auto"/>
                <w:highlight w:val="none"/>
                <w:lang w:val="en-US" w:eastAsia="zh-CN"/>
              </w:rPr>
              <w:t>33</w:t>
            </w:r>
          </w:p>
        </w:tc>
        <w:tc>
          <w:tcPr>
            <w:tcW w:w="1275" w:type="pct"/>
            <w:vAlign w:val="center"/>
          </w:tcPr>
          <w:p w14:paraId="39D99DAB">
            <w:pPr>
              <w:pStyle w:val="17"/>
              <w:bidi w:val="0"/>
              <w:rPr>
                <w:rFonts w:hint="eastAsia"/>
                <w:color w:val="auto"/>
                <w:highlight w:val="none"/>
                <w:lang w:val="en-US" w:eastAsia="zh-CN"/>
              </w:rPr>
            </w:pPr>
            <w:r>
              <w:rPr>
                <w:rFonts w:hint="eastAsia"/>
                <w:color w:val="auto"/>
                <w:highlight w:val="none"/>
                <w:lang w:val="en-US" w:eastAsia="zh-CN"/>
              </w:rPr>
              <w:t>No.32渣浆泵</w:t>
            </w:r>
          </w:p>
        </w:tc>
        <w:tc>
          <w:tcPr>
            <w:tcW w:w="1677" w:type="pct"/>
            <w:vAlign w:val="center"/>
          </w:tcPr>
          <w:p w14:paraId="29198327">
            <w:pPr>
              <w:pStyle w:val="17"/>
              <w:bidi w:val="0"/>
              <w:rPr>
                <w:rFonts w:hint="default"/>
                <w:color w:val="auto"/>
                <w:highlight w:val="none"/>
                <w:lang w:val="en-US" w:eastAsia="zh-CN"/>
              </w:rPr>
            </w:pPr>
            <w:r>
              <w:rPr>
                <w:rFonts w:hint="eastAsia"/>
                <w:color w:val="auto"/>
                <w:highlight w:val="none"/>
                <w:lang w:val="en-US" w:eastAsia="zh-CN"/>
              </w:rPr>
              <w:t>4/3C-AH</w:t>
            </w:r>
          </w:p>
        </w:tc>
        <w:tc>
          <w:tcPr>
            <w:tcW w:w="414" w:type="pct"/>
            <w:vAlign w:val="center"/>
          </w:tcPr>
          <w:p w14:paraId="5181B936">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1EBD9B52">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53121675">
            <w:pPr>
              <w:pStyle w:val="17"/>
              <w:bidi w:val="0"/>
              <w:rPr>
                <w:rFonts w:hint="default"/>
                <w:color w:val="auto"/>
                <w:highlight w:val="none"/>
                <w:lang w:val="en-US" w:eastAsia="zh-CN"/>
              </w:rPr>
            </w:pPr>
          </w:p>
        </w:tc>
      </w:tr>
      <w:tr w14:paraId="609A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E7FB8A7">
            <w:pPr>
              <w:pStyle w:val="17"/>
              <w:bidi w:val="0"/>
              <w:rPr>
                <w:rFonts w:hint="default"/>
                <w:color w:val="auto"/>
                <w:highlight w:val="none"/>
                <w:lang w:val="en-US" w:eastAsia="zh-CN"/>
              </w:rPr>
            </w:pPr>
            <w:r>
              <w:rPr>
                <w:rFonts w:hint="eastAsia"/>
                <w:color w:val="auto"/>
                <w:highlight w:val="none"/>
                <w:lang w:val="en-US" w:eastAsia="zh-CN"/>
              </w:rPr>
              <w:t>34</w:t>
            </w:r>
          </w:p>
        </w:tc>
        <w:tc>
          <w:tcPr>
            <w:tcW w:w="1275" w:type="pct"/>
            <w:vAlign w:val="center"/>
          </w:tcPr>
          <w:p w14:paraId="0B7718AC">
            <w:pPr>
              <w:pStyle w:val="17"/>
              <w:bidi w:val="0"/>
              <w:rPr>
                <w:rFonts w:hint="eastAsia"/>
                <w:color w:val="auto"/>
                <w:highlight w:val="none"/>
                <w:lang w:val="en-US" w:eastAsia="zh-CN"/>
              </w:rPr>
            </w:pPr>
            <w:r>
              <w:rPr>
                <w:rFonts w:hint="eastAsia"/>
                <w:color w:val="auto"/>
                <w:highlight w:val="none"/>
                <w:lang w:val="en-US" w:eastAsia="zh-CN"/>
              </w:rPr>
              <w:t>高浓度矿浆搅拌槽</w:t>
            </w:r>
          </w:p>
        </w:tc>
        <w:tc>
          <w:tcPr>
            <w:tcW w:w="1677" w:type="pct"/>
            <w:vAlign w:val="center"/>
          </w:tcPr>
          <w:p w14:paraId="4D8E1D8A">
            <w:pPr>
              <w:pStyle w:val="17"/>
              <w:bidi w:val="0"/>
              <w:rPr>
                <w:rFonts w:hint="default"/>
                <w:color w:val="auto"/>
                <w:highlight w:val="none"/>
                <w:lang w:val="en-US" w:eastAsia="zh-CN"/>
              </w:rPr>
            </w:pPr>
            <w:r>
              <w:rPr>
                <w:rFonts w:hint="eastAsia"/>
                <w:color w:val="auto"/>
                <w:highlight w:val="none"/>
                <w:lang w:val="en-US" w:eastAsia="zh-CN"/>
              </w:rPr>
              <w:t>Φ3500×3500</w:t>
            </w:r>
          </w:p>
        </w:tc>
        <w:tc>
          <w:tcPr>
            <w:tcW w:w="414" w:type="pct"/>
            <w:vAlign w:val="center"/>
          </w:tcPr>
          <w:p w14:paraId="25D08D0B">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628B52B0">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3A68C78C">
            <w:pPr>
              <w:pStyle w:val="17"/>
              <w:bidi w:val="0"/>
              <w:rPr>
                <w:rFonts w:hint="default"/>
                <w:color w:val="auto"/>
                <w:highlight w:val="none"/>
                <w:lang w:val="en-US" w:eastAsia="zh-CN"/>
              </w:rPr>
            </w:pPr>
          </w:p>
        </w:tc>
      </w:tr>
      <w:tr w14:paraId="7192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EDBD158">
            <w:pPr>
              <w:pStyle w:val="17"/>
              <w:bidi w:val="0"/>
              <w:rPr>
                <w:rFonts w:hint="default"/>
                <w:color w:val="auto"/>
                <w:highlight w:val="none"/>
                <w:lang w:val="en-US" w:eastAsia="zh-CN"/>
              </w:rPr>
            </w:pPr>
            <w:r>
              <w:rPr>
                <w:rFonts w:hint="eastAsia"/>
                <w:color w:val="auto"/>
                <w:highlight w:val="none"/>
                <w:lang w:val="en-US" w:eastAsia="zh-CN"/>
              </w:rPr>
              <w:t>35</w:t>
            </w:r>
          </w:p>
        </w:tc>
        <w:tc>
          <w:tcPr>
            <w:tcW w:w="1275" w:type="pct"/>
            <w:vAlign w:val="center"/>
          </w:tcPr>
          <w:p w14:paraId="34837558">
            <w:pPr>
              <w:pStyle w:val="17"/>
              <w:bidi w:val="0"/>
              <w:rPr>
                <w:rFonts w:hint="eastAsia"/>
                <w:color w:val="auto"/>
                <w:highlight w:val="none"/>
                <w:lang w:val="en-US" w:eastAsia="zh-CN"/>
              </w:rPr>
            </w:pPr>
            <w:r>
              <w:rPr>
                <w:rFonts w:hint="eastAsia"/>
                <w:color w:val="auto"/>
                <w:highlight w:val="none"/>
                <w:lang w:val="en-US" w:eastAsia="zh-CN"/>
              </w:rPr>
              <w:t>No.33渣浆泵</w:t>
            </w:r>
          </w:p>
        </w:tc>
        <w:tc>
          <w:tcPr>
            <w:tcW w:w="1677" w:type="pct"/>
            <w:vAlign w:val="center"/>
          </w:tcPr>
          <w:p w14:paraId="6954004C">
            <w:pPr>
              <w:pStyle w:val="17"/>
              <w:bidi w:val="0"/>
              <w:rPr>
                <w:rFonts w:hint="default"/>
                <w:color w:val="auto"/>
                <w:highlight w:val="none"/>
                <w:lang w:val="en-US" w:eastAsia="zh-CN"/>
              </w:rPr>
            </w:pPr>
            <w:r>
              <w:rPr>
                <w:rFonts w:hint="eastAsia"/>
                <w:color w:val="auto"/>
                <w:highlight w:val="none"/>
                <w:lang w:val="en-US" w:eastAsia="zh-CN"/>
              </w:rPr>
              <w:t>6/4D-AH</w:t>
            </w:r>
          </w:p>
        </w:tc>
        <w:tc>
          <w:tcPr>
            <w:tcW w:w="414" w:type="pct"/>
            <w:vAlign w:val="center"/>
          </w:tcPr>
          <w:p w14:paraId="5ECE7931">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5F588044">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5B8857F3">
            <w:pPr>
              <w:pStyle w:val="17"/>
              <w:bidi w:val="0"/>
              <w:rPr>
                <w:rFonts w:hint="default"/>
                <w:color w:val="auto"/>
                <w:highlight w:val="none"/>
                <w:lang w:val="en-US" w:eastAsia="zh-CN"/>
              </w:rPr>
            </w:pPr>
          </w:p>
        </w:tc>
      </w:tr>
      <w:tr w14:paraId="3064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88621B0">
            <w:pPr>
              <w:pStyle w:val="17"/>
              <w:bidi w:val="0"/>
              <w:rPr>
                <w:rFonts w:hint="default"/>
                <w:color w:val="auto"/>
                <w:highlight w:val="none"/>
                <w:lang w:val="en-US" w:eastAsia="zh-CN"/>
              </w:rPr>
            </w:pPr>
            <w:r>
              <w:rPr>
                <w:rFonts w:hint="eastAsia"/>
                <w:color w:val="auto"/>
                <w:highlight w:val="none"/>
                <w:lang w:val="en-US" w:eastAsia="zh-CN"/>
              </w:rPr>
              <w:t>36</w:t>
            </w:r>
          </w:p>
        </w:tc>
        <w:tc>
          <w:tcPr>
            <w:tcW w:w="1275" w:type="pct"/>
            <w:vAlign w:val="center"/>
          </w:tcPr>
          <w:p w14:paraId="45B0E50D">
            <w:pPr>
              <w:pStyle w:val="17"/>
              <w:bidi w:val="0"/>
              <w:rPr>
                <w:rFonts w:hint="eastAsia"/>
                <w:color w:val="auto"/>
                <w:highlight w:val="none"/>
                <w:lang w:val="en-US" w:eastAsia="zh-CN"/>
              </w:rPr>
            </w:pPr>
            <w:r>
              <w:rPr>
                <w:rFonts w:hint="eastAsia"/>
                <w:color w:val="auto"/>
                <w:highlight w:val="none"/>
                <w:lang w:val="en-US" w:eastAsia="zh-CN"/>
              </w:rPr>
              <w:t>No.34渣浆泵</w:t>
            </w:r>
          </w:p>
        </w:tc>
        <w:tc>
          <w:tcPr>
            <w:tcW w:w="1677" w:type="pct"/>
            <w:vAlign w:val="center"/>
          </w:tcPr>
          <w:p w14:paraId="7E6B9EB3">
            <w:pPr>
              <w:pStyle w:val="17"/>
              <w:bidi w:val="0"/>
              <w:rPr>
                <w:rFonts w:hint="default"/>
                <w:color w:val="auto"/>
                <w:highlight w:val="none"/>
                <w:lang w:val="en-US" w:eastAsia="zh-CN"/>
              </w:rPr>
            </w:pPr>
            <w:r>
              <w:rPr>
                <w:rFonts w:hint="eastAsia"/>
                <w:color w:val="auto"/>
                <w:highlight w:val="none"/>
                <w:lang w:val="en-US" w:eastAsia="zh-CN"/>
              </w:rPr>
              <w:t>4/3C-AH</w:t>
            </w:r>
          </w:p>
        </w:tc>
        <w:tc>
          <w:tcPr>
            <w:tcW w:w="414" w:type="pct"/>
            <w:vAlign w:val="center"/>
          </w:tcPr>
          <w:p w14:paraId="38985EF4">
            <w:pPr>
              <w:pStyle w:val="17"/>
              <w:bidi w:val="0"/>
              <w:rPr>
                <w:rFonts w:hint="eastAsia"/>
                <w:color w:val="auto"/>
                <w:highlight w:val="none"/>
                <w:lang w:val="en-US" w:eastAsia="zh-CN"/>
              </w:rPr>
            </w:pPr>
            <w:r>
              <w:rPr>
                <w:rFonts w:hint="eastAsia"/>
                <w:color w:val="auto"/>
                <w:highlight w:val="none"/>
                <w:lang w:val="en-US" w:eastAsia="zh-CN"/>
              </w:rPr>
              <w:t>2</w:t>
            </w:r>
          </w:p>
        </w:tc>
        <w:tc>
          <w:tcPr>
            <w:tcW w:w="699" w:type="pct"/>
            <w:vAlign w:val="center"/>
          </w:tcPr>
          <w:p w14:paraId="541E62D5">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1F473E58">
            <w:pPr>
              <w:pStyle w:val="17"/>
              <w:bidi w:val="0"/>
              <w:rPr>
                <w:rFonts w:hint="default"/>
                <w:color w:val="auto"/>
                <w:highlight w:val="none"/>
                <w:lang w:val="en-US" w:eastAsia="zh-CN"/>
              </w:rPr>
            </w:pPr>
          </w:p>
        </w:tc>
      </w:tr>
      <w:tr w14:paraId="0B43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3F0F160">
            <w:pPr>
              <w:pStyle w:val="17"/>
              <w:bidi w:val="0"/>
              <w:rPr>
                <w:rFonts w:hint="default"/>
                <w:color w:val="auto"/>
                <w:highlight w:val="none"/>
                <w:lang w:val="en-US" w:eastAsia="zh-CN"/>
              </w:rPr>
            </w:pPr>
            <w:r>
              <w:rPr>
                <w:rFonts w:hint="eastAsia"/>
                <w:color w:val="auto"/>
                <w:highlight w:val="none"/>
                <w:lang w:val="en-US" w:eastAsia="zh-CN"/>
              </w:rPr>
              <w:t>37</w:t>
            </w:r>
          </w:p>
        </w:tc>
        <w:tc>
          <w:tcPr>
            <w:tcW w:w="1275" w:type="pct"/>
            <w:vAlign w:val="center"/>
          </w:tcPr>
          <w:p w14:paraId="28F029D9">
            <w:pPr>
              <w:pStyle w:val="17"/>
              <w:bidi w:val="0"/>
              <w:rPr>
                <w:rFonts w:hint="eastAsia"/>
                <w:color w:val="auto"/>
                <w:highlight w:val="none"/>
                <w:lang w:val="en-US" w:eastAsia="zh-CN"/>
              </w:rPr>
            </w:pPr>
            <w:r>
              <w:rPr>
                <w:rFonts w:hint="eastAsia"/>
                <w:color w:val="auto"/>
                <w:highlight w:val="none"/>
                <w:lang w:val="en-US" w:eastAsia="zh-CN"/>
              </w:rPr>
              <w:t>液下泵</w:t>
            </w:r>
          </w:p>
        </w:tc>
        <w:tc>
          <w:tcPr>
            <w:tcW w:w="1677" w:type="pct"/>
            <w:vAlign w:val="center"/>
          </w:tcPr>
          <w:p w14:paraId="6668801A">
            <w:pPr>
              <w:pStyle w:val="17"/>
              <w:bidi w:val="0"/>
              <w:rPr>
                <w:rFonts w:hint="default"/>
                <w:color w:val="auto"/>
                <w:highlight w:val="none"/>
                <w:lang w:val="en-US" w:eastAsia="zh-CN"/>
              </w:rPr>
            </w:pPr>
            <w:r>
              <w:rPr>
                <w:rFonts w:hint="eastAsia"/>
                <w:color w:val="auto"/>
                <w:highlight w:val="none"/>
                <w:lang w:val="en-US" w:eastAsia="zh-CN"/>
              </w:rPr>
              <w:t>100RV-SP，Q=80m³/h</w:t>
            </w:r>
          </w:p>
        </w:tc>
        <w:tc>
          <w:tcPr>
            <w:tcW w:w="414" w:type="pct"/>
            <w:vAlign w:val="center"/>
          </w:tcPr>
          <w:p w14:paraId="4A0201D7">
            <w:pPr>
              <w:pStyle w:val="17"/>
              <w:bidi w:val="0"/>
              <w:rPr>
                <w:rFonts w:hint="default"/>
                <w:color w:val="auto"/>
                <w:highlight w:val="none"/>
                <w:lang w:val="en-US" w:eastAsia="zh-CN"/>
              </w:rPr>
            </w:pPr>
            <w:r>
              <w:rPr>
                <w:rFonts w:hint="eastAsia"/>
                <w:color w:val="auto"/>
                <w:highlight w:val="none"/>
                <w:lang w:val="en-US" w:eastAsia="zh-CN"/>
              </w:rPr>
              <w:t>4</w:t>
            </w:r>
          </w:p>
        </w:tc>
        <w:tc>
          <w:tcPr>
            <w:tcW w:w="699" w:type="pct"/>
            <w:vAlign w:val="center"/>
          </w:tcPr>
          <w:p w14:paraId="0B0D8B5E">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075C3D7F">
            <w:pPr>
              <w:pStyle w:val="17"/>
              <w:bidi w:val="0"/>
              <w:rPr>
                <w:rFonts w:hint="default"/>
                <w:color w:val="auto"/>
                <w:highlight w:val="none"/>
                <w:lang w:val="en-US" w:eastAsia="zh-CN"/>
              </w:rPr>
            </w:pPr>
          </w:p>
        </w:tc>
      </w:tr>
      <w:tr w14:paraId="3610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D455C66">
            <w:pPr>
              <w:pStyle w:val="17"/>
              <w:bidi w:val="0"/>
              <w:rPr>
                <w:rFonts w:hint="default"/>
                <w:color w:val="auto"/>
                <w:highlight w:val="none"/>
                <w:lang w:val="en-US" w:eastAsia="zh-CN"/>
              </w:rPr>
            </w:pPr>
            <w:r>
              <w:rPr>
                <w:rFonts w:hint="eastAsia"/>
                <w:color w:val="auto"/>
                <w:highlight w:val="none"/>
                <w:lang w:val="en-US" w:eastAsia="zh-CN"/>
              </w:rPr>
              <w:t>38</w:t>
            </w:r>
          </w:p>
        </w:tc>
        <w:tc>
          <w:tcPr>
            <w:tcW w:w="1275" w:type="pct"/>
            <w:vAlign w:val="center"/>
          </w:tcPr>
          <w:p w14:paraId="3201A7EA">
            <w:pPr>
              <w:pStyle w:val="17"/>
              <w:bidi w:val="0"/>
              <w:rPr>
                <w:rFonts w:hint="eastAsia"/>
                <w:color w:val="auto"/>
                <w:highlight w:val="none"/>
                <w:lang w:val="en-US" w:eastAsia="zh-CN"/>
              </w:rPr>
            </w:pPr>
            <w:r>
              <w:rPr>
                <w:rFonts w:hint="eastAsia"/>
                <w:color w:val="auto"/>
                <w:highlight w:val="none"/>
                <w:lang w:val="en-US" w:eastAsia="zh-CN"/>
              </w:rPr>
              <w:t>盘式过滤机</w:t>
            </w:r>
          </w:p>
        </w:tc>
        <w:tc>
          <w:tcPr>
            <w:tcW w:w="1677" w:type="pct"/>
            <w:vAlign w:val="center"/>
          </w:tcPr>
          <w:p w14:paraId="5A5B50F5">
            <w:pPr>
              <w:pStyle w:val="17"/>
              <w:bidi w:val="0"/>
              <w:rPr>
                <w:rFonts w:hint="default"/>
                <w:color w:val="auto"/>
                <w:highlight w:val="none"/>
                <w:lang w:val="en-US" w:eastAsia="zh-CN"/>
              </w:rPr>
            </w:pPr>
            <w:r>
              <w:rPr>
                <w:rFonts w:hint="eastAsia"/>
                <w:color w:val="auto"/>
                <w:highlight w:val="none"/>
                <w:lang w:val="en-US" w:eastAsia="zh-CN"/>
              </w:rPr>
              <w:t>120m</w:t>
            </w:r>
            <w:r>
              <w:rPr>
                <w:rFonts w:hint="eastAsia"/>
                <w:color w:val="auto"/>
                <w:highlight w:val="none"/>
                <w:vertAlign w:val="superscript"/>
                <w:lang w:val="en-US" w:eastAsia="zh-CN"/>
              </w:rPr>
              <w:t>2</w:t>
            </w:r>
          </w:p>
        </w:tc>
        <w:tc>
          <w:tcPr>
            <w:tcW w:w="414" w:type="pct"/>
            <w:vAlign w:val="center"/>
          </w:tcPr>
          <w:p w14:paraId="2133B6D9">
            <w:pPr>
              <w:pStyle w:val="17"/>
              <w:bidi w:val="0"/>
              <w:rPr>
                <w:rFonts w:hint="eastAsia"/>
                <w:color w:val="auto"/>
                <w:highlight w:val="none"/>
                <w:lang w:val="en-US" w:eastAsia="zh-CN"/>
              </w:rPr>
            </w:pPr>
            <w:r>
              <w:rPr>
                <w:rFonts w:hint="eastAsia"/>
                <w:color w:val="auto"/>
                <w:highlight w:val="none"/>
                <w:lang w:val="en-US" w:eastAsia="zh-CN"/>
              </w:rPr>
              <w:t>4</w:t>
            </w:r>
          </w:p>
        </w:tc>
        <w:tc>
          <w:tcPr>
            <w:tcW w:w="699" w:type="pct"/>
            <w:vAlign w:val="center"/>
          </w:tcPr>
          <w:p w14:paraId="7050999E">
            <w:pPr>
              <w:pStyle w:val="17"/>
              <w:bidi w:val="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1B66E7BD">
            <w:pPr>
              <w:pStyle w:val="17"/>
              <w:bidi w:val="0"/>
              <w:rPr>
                <w:rFonts w:hint="default"/>
                <w:color w:val="auto"/>
                <w:highlight w:val="none"/>
                <w:lang w:val="en-US" w:eastAsia="zh-CN"/>
              </w:rPr>
            </w:pPr>
          </w:p>
        </w:tc>
      </w:tr>
      <w:tr w14:paraId="1A1F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4BE26C2D">
            <w:pPr>
              <w:pStyle w:val="17"/>
              <w:bidi w:val="0"/>
              <w:rPr>
                <w:rFonts w:hint="default"/>
                <w:color w:val="auto"/>
                <w:highlight w:val="none"/>
                <w:lang w:val="en-US" w:eastAsia="zh-CN"/>
              </w:rPr>
            </w:pPr>
            <w:r>
              <w:rPr>
                <w:rFonts w:hint="eastAsia"/>
                <w:color w:val="auto"/>
                <w:highlight w:val="none"/>
                <w:lang w:val="en-US" w:eastAsia="zh-CN"/>
              </w:rPr>
              <w:t>39</w:t>
            </w:r>
          </w:p>
        </w:tc>
        <w:tc>
          <w:tcPr>
            <w:tcW w:w="1275" w:type="pct"/>
            <w:vAlign w:val="center"/>
          </w:tcPr>
          <w:p w14:paraId="19E16600">
            <w:pPr>
              <w:pStyle w:val="17"/>
              <w:bidi w:val="0"/>
              <w:rPr>
                <w:rFonts w:hint="eastAsia"/>
                <w:color w:val="auto"/>
                <w:highlight w:val="none"/>
                <w:lang w:val="en-US" w:eastAsia="zh-CN"/>
              </w:rPr>
            </w:pPr>
            <w:r>
              <w:rPr>
                <w:rFonts w:hint="eastAsia"/>
                <w:color w:val="auto"/>
                <w:highlight w:val="none"/>
                <w:lang w:val="en-US" w:eastAsia="zh-CN"/>
              </w:rPr>
              <w:t>液下泵</w:t>
            </w:r>
          </w:p>
        </w:tc>
        <w:tc>
          <w:tcPr>
            <w:tcW w:w="1677" w:type="pct"/>
            <w:vAlign w:val="center"/>
          </w:tcPr>
          <w:p w14:paraId="6E57F611">
            <w:pPr>
              <w:pStyle w:val="17"/>
              <w:bidi w:val="0"/>
              <w:rPr>
                <w:rFonts w:hint="default"/>
                <w:color w:val="auto"/>
                <w:highlight w:val="none"/>
                <w:lang w:val="en-US" w:eastAsia="zh-CN"/>
              </w:rPr>
            </w:pPr>
            <w:r>
              <w:rPr>
                <w:rFonts w:hint="eastAsia"/>
                <w:color w:val="auto"/>
                <w:highlight w:val="none"/>
                <w:lang w:val="en-US" w:eastAsia="zh-CN"/>
              </w:rPr>
              <w:t>100RV-SP，Q=80m³/h</w:t>
            </w:r>
          </w:p>
        </w:tc>
        <w:tc>
          <w:tcPr>
            <w:tcW w:w="414" w:type="pct"/>
            <w:vAlign w:val="center"/>
          </w:tcPr>
          <w:p w14:paraId="0447A4E9">
            <w:pPr>
              <w:pStyle w:val="17"/>
              <w:bidi w:val="0"/>
              <w:rPr>
                <w:rFonts w:hint="default"/>
                <w:color w:val="auto"/>
                <w:highlight w:val="none"/>
                <w:lang w:val="en-US" w:eastAsia="zh-CN"/>
              </w:rPr>
            </w:pPr>
            <w:r>
              <w:rPr>
                <w:rFonts w:hint="eastAsia"/>
                <w:color w:val="auto"/>
                <w:highlight w:val="none"/>
                <w:lang w:val="en-US" w:eastAsia="zh-CN"/>
              </w:rPr>
              <w:t>6</w:t>
            </w:r>
          </w:p>
        </w:tc>
        <w:tc>
          <w:tcPr>
            <w:tcW w:w="699" w:type="pct"/>
            <w:vAlign w:val="center"/>
          </w:tcPr>
          <w:p w14:paraId="251A2247">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293BD2B1">
            <w:pPr>
              <w:pStyle w:val="17"/>
              <w:bidi w:val="0"/>
              <w:rPr>
                <w:rFonts w:hint="default"/>
                <w:color w:val="auto"/>
                <w:highlight w:val="none"/>
                <w:lang w:val="en-US" w:eastAsia="zh-CN"/>
              </w:rPr>
            </w:pPr>
          </w:p>
        </w:tc>
      </w:tr>
      <w:tr w14:paraId="2DFB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6AA212D">
            <w:pPr>
              <w:pStyle w:val="17"/>
              <w:bidi w:val="0"/>
              <w:rPr>
                <w:rFonts w:hint="default"/>
                <w:color w:val="auto"/>
                <w:highlight w:val="none"/>
                <w:lang w:val="en-US" w:eastAsia="zh-CN"/>
              </w:rPr>
            </w:pPr>
            <w:r>
              <w:rPr>
                <w:rFonts w:hint="eastAsia"/>
                <w:color w:val="auto"/>
                <w:highlight w:val="none"/>
                <w:lang w:val="en-US" w:eastAsia="zh-CN"/>
              </w:rPr>
              <w:t>40</w:t>
            </w:r>
          </w:p>
        </w:tc>
        <w:tc>
          <w:tcPr>
            <w:tcW w:w="1275" w:type="pct"/>
            <w:vAlign w:val="center"/>
          </w:tcPr>
          <w:p w14:paraId="1795AA21">
            <w:pPr>
              <w:pStyle w:val="17"/>
              <w:bidi w:val="0"/>
              <w:rPr>
                <w:rFonts w:hint="eastAsia"/>
                <w:color w:val="auto"/>
                <w:highlight w:val="none"/>
                <w:lang w:val="en-US" w:eastAsia="zh-CN"/>
              </w:rPr>
            </w:pPr>
            <w:r>
              <w:rPr>
                <w:rFonts w:hint="eastAsia"/>
                <w:color w:val="auto"/>
                <w:highlight w:val="none"/>
                <w:lang w:val="en-US" w:eastAsia="zh-CN"/>
              </w:rPr>
              <w:t>液下泵</w:t>
            </w:r>
          </w:p>
        </w:tc>
        <w:tc>
          <w:tcPr>
            <w:tcW w:w="1677" w:type="pct"/>
            <w:vAlign w:val="center"/>
          </w:tcPr>
          <w:p w14:paraId="2C14CDDE">
            <w:pPr>
              <w:pStyle w:val="17"/>
              <w:bidi w:val="0"/>
              <w:rPr>
                <w:rFonts w:hint="default"/>
                <w:color w:val="auto"/>
                <w:highlight w:val="none"/>
                <w:lang w:val="en-US" w:eastAsia="zh-CN"/>
              </w:rPr>
            </w:pPr>
            <w:r>
              <w:rPr>
                <w:rFonts w:hint="eastAsia"/>
                <w:color w:val="auto"/>
                <w:highlight w:val="none"/>
                <w:lang w:val="en-US" w:eastAsia="zh-CN"/>
              </w:rPr>
              <w:t>65QV-SP，Q=30m³/h</w:t>
            </w:r>
          </w:p>
        </w:tc>
        <w:tc>
          <w:tcPr>
            <w:tcW w:w="414" w:type="pct"/>
            <w:vAlign w:val="center"/>
          </w:tcPr>
          <w:p w14:paraId="26FB2001">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0FC5248B">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12A07197">
            <w:pPr>
              <w:pStyle w:val="17"/>
              <w:bidi w:val="0"/>
              <w:rPr>
                <w:rFonts w:hint="default"/>
                <w:color w:val="auto"/>
                <w:highlight w:val="none"/>
                <w:lang w:val="en-US" w:eastAsia="zh-CN"/>
              </w:rPr>
            </w:pPr>
          </w:p>
        </w:tc>
      </w:tr>
      <w:tr w14:paraId="494B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AF70540">
            <w:pPr>
              <w:pStyle w:val="17"/>
              <w:bidi w:val="0"/>
              <w:rPr>
                <w:rFonts w:hint="default"/>
                <w:color w:val="auto"/>
                <w:highlight w:val="none"/>
                <w:lang w:val="en-US" w:eastAsia="zh-CN"/>
              </w:rPr>
            </w:pPr>
            <w:r>
              <w:rPr>
                <w:rFonts w:hint="eastAsia"/>
                <w:color w:val="auto"/>
                <w:highlight w:val="none"/>
                <w:lang w:val="en-US" w:eastAsia="zh-CN"/>
              </w:rPr>
              <w:t>41</w:t>
            </w:r>
          </w:p>
        </w:tc>
        <w:tc>
          <w:tcPr>
            <w:tcW w:w="1275" w:type="pct"/>
            <w:vAlign w:val="center"/>
          </w:tcPr>
          <w:p w14:paraId="5D84C51D">
            <w:pPr>
              <w:pStyle w:val="17"/>
              <w:bidi w:val="0"/>
              <w:rPr>
                <w:rFonts w:hint="eastAsia"/>
                <w:color w:val="auto"/>
                <w:highlight w:val="none"/>
                <w:lang w:val="en-US" w:eastAsia="zh-CN"/>
              </w:rPr>
            </w:pPr>
            <w:r>
              <w:rPr>
                <w:rFonts w:hint="eastAsia"/>
                <w:color w:val="auto"/>
                <w:highlight w:val="none"/>
                <w:lang w:val="en-US" w:eastAsia="zh-CN"/>
              </w:rPr>
              <w:t>鼓风机</w:t>
            </w:r>
          </w:p>
        </w:tc>
        <w:tc>
          <w:tcPr>
            <w:tcW w:w="1677" w:type="pct"/>
            <w:vAlign w:val="center"/>
          </w:tcPr>
          <w:p w14:paraId="14241FB3">
            <w:pPr>
              <w:pStyle w:val="17"/>
              <w:bidi w:val="0"/>
              <w:rPr>
                <w:rFonts w:hint="default"/>
                <w:color w:val="auto"/>
                <w:highlight w:val="none"/>
                <w:lang w:val="en-US" w:eastAsia="zh-CN"/>
              </w:rPr>
            </w:pPr>
            <w:r>
              <w:rPr>
                <w:rFonts w:hint="eastAsia"/>
                <w:color w:val="auto"/>
                <w:highlight w:val="none"/>
                <w:lang w:val="en-US" w:eastAsia="zh-CN"/>
              </w:rPr>
              <w:t>350m³/min，升压45kPa</w:t>
            </w:r>
          </w:p>
        </w:tc>
        <w:tc>
          <w:tcPr>
            <w:tcW w:w="414" w:type="pct"/>
            <w:vAlign w:val="center"/>
          </w:tcPr>
          <w:p w14:paraId="42005F7E">
            <w:pPr>
              <w:pStyle w:val="17"/>
              <w:bidi w:val="0"/>
              <w:rPr>
                <w:rFonts w:hint="default"/>
                <w:color w:val="auto"/>
                <w:highlight w:val="none"/>
                <w:lang w:val="en-US" w:eastAsia="zh-CN"/>
              </w:rPr>
            </w:pPr>
            <w:r>
              <w:rPr>
                <w:rFonts w:hint="eastAsia"/>
                <w:color w:val="auto"/>
                <w:highlight w:val="none"/>
                <w:lang w:val="en-US" w:eastAsia="zh-CN"/>
              </w:rPr>
              <w:t>3</w:t>
            </w:r>
          </w:p>
        </w:tc>
        <w:tc>
          <w:tcPr>
            <w:tcW w:w="699" w:type="pct"/>
            <w:vAlign w:val="center"/>
          </w:tcPr>
          <w:p w14:paraId="55735D18">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7A9BF0FE">
            <w:pPr>
              <w:pStyle w:val="17"/>
              <w:bidi w:val="0"/>
              <w:rPr>
                <w:rFonts w:hint="default"/>
                <w:color w:val="auto"/>
                <w:highlight w:val="none"/>
                <w:lang w:val="en-US" w:eastAsia="zh-CN"/>
              </w:rPr>
            </w:pPr>
          </w:p>
        </w:tc>
      </w:tr>
      <w:tr w14:paraId="266F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EEB6B31">
            <w:pPr>
              <w:pStyle w:val="17"/>
              <w:bidi w:val="0"/>
              <w:rPr>
                <w:rFonts w:hint="default"/>
                <w:color w:val="auto"/>
                <w:highlight w:val="none"/>
                <w:lang w:val="en-US" w:eastAsia="zh-CN"/>
              </w:rPr>
            </w:pPr>
            <w:r>
              <w:rPr>
                <w:rFonts w:hint="eastAsia"/>
                <w:color w:val="auto"/>
                <w:highlight w:val="none"/>
                <w:lang w:val="en-US" w:eastAsia="zh-CN"/>
              </w:rPr>
              <w:t>42</w:t>
            </w:r>
          </w:p>
        </w:tc>
        <w:tc>
          <w:tcPr>
            <w:tcW w:w="1275" w:type="pct"/>
            <w:vAlign w:val="center"/>
          </w:tcPr>
          <w:p w14:paraId="1DDDEF7F">
            <w:pPr>
              <w:pStyle w:val="17"/>
              <w:bidi w:val="0"/>
              <w:rPr>
                <w:rFonts w:hint="eastAsia"/>
                <w:color w:val="auto"/>
                <w:highlight w:val="none"/>
                <w:lang w:val="en-US" w:eastAsia="zh-CN"/>
              </w:rPr>
            </w:pPr>
            <w:r>
              <w:rPr>
                <w:rFonts w:hint="eastAsia"/>
                <w:color w:val="auto"/>
                <w:highlight w:val="none"/>
                <w:lang w:val="en-US" w:eastAsia="zh-CN"/>
              </w:rPr>
              <w:t>空压机</w:t>
            </w:r>
          </w:p>
        </w:tc>
        <w:tc>
          <w:tcPr>
            <w:tcW w:w="1677" w:type="pct"/>
            <w:vAlign w:val="center"/>
          </w:tcPr>
          <w:p w14:paraId="2617664E">
            <w:pPr>
              <w:pStyle w:val="17"/>
              <w:bidi w:val="0"/>
              <w:rPr>
                <w:rFonts w:hint="default"/>
                <w:color w:val="auto"/>
                <w:highlight w:val="none"/>
                <w:lang w:val="en-US" w:eastAsia="zh-CN"/>
              </w:rPr>
            </w:pPr>
            <w:r>
              <w:rPr>
                <w:rFonts w:hint="eastAsia"/>
                <w:color w:val="auto"/>
                <w:highlight w:val="none"/>
                <w:lang w:val="en-US" w:eastAsia="zh-CN"/>
              </w:rPr>
              <w:t>20m³/min，P=0.85MPa</w:t>
            </w:r>
          </w:p>
        </w:tc>
        <w:tc>
          <w:tcPr>
            <w:tcW w:w="414" w:type="pct"/>
            <w:vAlign w:val="center"/>
          </w:tcPr>
          <w:p w14:paraId="6882174D">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102F884E">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14AEABE0">
            <w:pPr>
              <w:pStyle w:val="17"/>
              <w:bidi w:val="0"/>
              <w:rPr>
                <w:rFonts w:hint="default"/>
                <w:color w:val="auto"/>
                <w:highlight w:val="none"/>
                <w:lang w:val="en-US" w:eastAsia="zh-CN"/>
              </w:rPr>
            </w:pPr>
          </w:p>
        </w:tc>
      </w:tr>
      <w:tr w14:paraId="5E03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7A10844">
            <w:pPr>
              <w:pStyle w:val="17"/>
              <w:bidi w:val="0"/>
              <w:rPr>
                <w:rFonts w:hint="default"/>
                <w:color w:val="auto"/>
                <w:highlight w:val="none"/>
                <w:lang w:val="en-US" w:eastAsia="zh-CN"/>
              </w:rPr>
            </w:pPr>
            <w:r>
              <w:rPr>
                <w:rFonts w:hint="eastAsia"/>
                <w:color w:val="auto"/>
                <w:highlight w:val="none"/>
                <w:lang w:val="en-US" w:eastAsia="zh-CN"/>
              </w:rPr>
              <w:t>43</w:t>
            </w:r>
          </w:p>
        </w:tc>
        <w:tc>
          <w:tcPr>
            <w:tcW w:w="1275" w:type="pct"/>
            <w:vAlign w:val="center"/>
          </w:tcPr>
          <w:p w14:paraId="29615F4E">
            <w:pPr>
              <w:pStyle w:val="17"/>
              <w:bidi w:val="0"/>
              <w:rPr>
                <w:rFonts w:hint="eastAsia"/>
                <w:color w:val="auto"/>
                <w:highlight w:val="none"/>
                <w:lang w:val="en-US" w:eastAsia="zh-CN"/>
              </w:rPr>
            </w:pPr>
            <w:r>
              <w:rPr>
                <w:rFonts w:hint="eastAsia"/>
                <w:color w:val="auto"/>
                <w:highlight w:val="none"/>
                <w:lang w:val="en-US" w:eastAsia="zh-CN"/>
              </w:rPr>
              <w:t>储气罐</w:t>
            </w:r>
          </w:p>
        </w:tc>
        <w:tc>
          <w:tcPr>
            <w:tcW w:w="1677" w:type="pct"/>
            <w:vAlign w:val="center"/>
          </w:tcPr>
          <w:p w14:paraId="6FEC39C1">
            <w:pPr>
              <w:pStyle w:val="17"/>
              <w:bidi w:val="0"/>
              <w:rPr>
                <w:rFonts w:hint="default"/>
                <w:color w:val="auto"/>
                <w:highlight w:val="none"/>
                <w:lang w:val="en-US" w:eastAsia="zh-CN"/>
              </w:rPr>
            </w:pPr>
            <w:r>
              <w:rPr>
                <w:rFonts w:hint="eastAsia"/>
                <w:color w:val="auto"/>
                <w:highlight w:val="none"/>
                <w:lang w:val="en-US" w:eastAsia="zh-CN"/>
              </w:rPr>
              <w:t>6m³/min，P=0.85MPa</w:t>
            </w:r>
          </w:p>
        </w:tc>
        <w:tc>
          <w:tcPr>
            <w:tcW w:w="414" w:type="pct"/>
            <w:vAlign w:val="center"/>
          </w:tcPr>
          <w:p w14:paraId="55BE6E01">
            <w:pPr>
              <w:pStyle w:val="17"/>
              <w:bidi w:val="0"/>
              <w:rPr>
                <w:rFonts w:hint="default"/>
                <w:color w:val="auto"/>
                <w:highlight w:val="none"/>
                <w:lang w:val="en-US" w:eastAsia="zh-CN"/>
              </w:rPr>
            </w:pPr>
            <w:r>
              <w:rPr>
                <w:rFonts w:hint="eastAsia"/>
                <w:color w:val="auto"/>
                <w:highlight w:val="none"/>
                <w:lang w:val="en-US" w:eastAsia="zh-CN"/>
              </w:rPr>
              <w:t>3</w:t>
            </w:r>
          </w:p>
        </w:tc>
        <w:tc>
          <w:tcPr>
            <w:tcW w:w="699" w:type="pct"/>
            <w:vAlign w:val="center"/>
          </w:tcPr>
          <w:p w14:paraId="4C777713">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1016EF11">
            <w:pPr>
              <w:pStyle w:val="17"/>
              <w:bidi w:val="0"/>
              <w:rPr>
                <w:rFonts w:hint="default"/>
                <w:color w:val="auto"/>
                <w:highlight w:val="none"/>
                <w:lang w:val="en-US" w:eastAsia="zh-CN"/>
              </w:rPr>
            </w:pPr>
          </w:p>
        </w:tc>
      </w:tr>
      <w:tr w14:paraId="2E0A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30BC497">
            <w:pPr>
              <w:pStyle w:val="17"/>
              <w:bidi w:val="0"/>
              <w:rPr>
                <w:rFonts w:hint="default"/>
                <w:color w:val="auto"/>
                <w:highlight w:val="none"/>
                <w:lang w:val="en-US" w:eastAsia="zh-CN"/>
              </w:rPr>
            </w:pPr>
            <w:r>
              <w:rPr>
                <w:rFonts w:hint="eastAsia"/>
                <w:color w:val="auto"/>
                <w:highlight w:val="none"/>
                <w:lang w:val="en-US" w:eastAsia="zh-CN"/>
              </w:rPr>
              <w:t>44</w:t>
            </w:r>
          </w:p>
        </w:tc>
        <w:tc>
          <w:tcPr>
            <w:tcW w:w="1275" w:type="pct"/>
            <w:vAlign w:val="center"/>
          </w:tcPr>
          <w:p w14:paraId="7E9E411B">
            <w:pPr>
              <w:pStyle w:val="17"/>
              <w:bidi w:val="0"/>
              <w:rPr>
                <w:rFonts w:hint="eastAsia"/>
                <w:color w:val="auto"/>
                <w:highlight w:val="none"/>
                <w:lang w:val="en-US" w:eastAsia="zh-CN"/>
              </w:rPr>
            </w:pPr>
            <w:r>
              <w:rPr>
                <w:rFonts w:hint="eastAsia"/>
                <w:color w:val="auto"/>
                <w:highlight w:val="none"/>
                <w:lang w:val="en-US" w:eastAsia="zh-CN"/>
              </w:rPr>
              <w:t>药剂搅拌槽</w:t>
            </w:r>
          </w:p>
        </w:tc>
        <w:tc>
          <w:tcPr>
            <w:tcW w:w="1677" w:type="pct"/>
            <w:vAlign w:val="center"/>
          </w:tcPr>
          <w:p w14:paraId="521C6674">
            <w:pPr>
              <w:pStyle w:val="17"/>
              <w:bidi w:val="0"/>
              <w:rPr>
                <w:rFonts w:hint="default"/>
                <w:color w:val="auto"/>
                <w:highlight w:val="none"/>
                <w:lang w:val="en-US" w:eastAsia="zh-CN"/>
              </w:rPr>
            </w:pPr>
            <w:r>
              <w:rPr>
                <w:rFonts w:hint="eastAsia"/>
                <w:color w:val="auto"/>
                <w:highlight w:val="none"/>
                <w:lang w:val="en-US" w:eastAsia="zh-CN"/>
              </w:rPr>
              <w:t>Φ2500×3000</w:t>
            </w:r>
          </w:p>
        </w:tc>
        <w:tc>
          <w:tcPr>
            <w:tcW w:w="414" w:type="pct"/>
            <w:vAlign w:val="center"/>
          </w:tcPr>
          <w:p w14:paraId="38EB0CF3">
            <w:pPr>
              <w:pStyle w:val="17"/>
              <w:bidi w:val="0"/>
              <w:rPr>
                <w:rFonts w:hint="default"/>
                <w:color w:val="auto"/>
                <w:highlight w:val="none"/>
                <w:lang w:val="en-US" w:eastAsia="zh-CN"/>
              </w:rPr>
            </w:pPr>
            <w:r>
              <w:rPr>
                <w:rFonts w:hint="eastAsia"/>
                <w:color w:val="auto"/>
                <w:highlight w:val="none"/>
                <w:lang w:val="en-US" w:eastAsia="zh-CN"/>
              </w:rPr>
              <w:t>6</w:t>
            </w:r>
          </w:p>
        </w:tc>
        <w:tc>
          <w:tcPr>
            <w:tcW w:w="699" w:type="pct"/>
            <w:vAlign w:val="center"/>
          </w:tcPr>
          <w:p w14:paraId="58732F03">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2E4AA9B2">
            <w:pPr>
              <w:pStyle w:val="17"/>
              <w:bidi w:val="0"/>
              <w:rPr>
                <w:rFonts w:hint="default"/>
                <w:color w:val="auto"/>
                <w:highlight w:val="none"/>
                <w:lang w:val="en-US" w:eastAsia="zh-CN"/>
              </w:rPr>
            </w:pPr>
          </w:p>
        </w:tc>
      </w:tr>
      <w:tr w14:paraId="4BB3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B70F0A5">
            <w:pPr>
              <w:pStyle w:val="17"/>
              <w:bidi w:val="0"/>
              <w:rPr>
                <w:rFonts w:hint="default"/>
                <w:color w:val="auto"/>
                <w:highlight w:val="none"/>
                <w:lang w:val="en-US" w:eastAsia="zh-CN"/>
              </w:rPr>
            </w:pPr>
            <w:r>
              <w:rPr>
                <w:rFonts w:hint="eastAsia"/>
                <w:color w:val="auto"/>
                <w:highlight w:val="none"/>
                <w:lang w:val="en-US" w:eastAsia="zh-CN"/>
              </w:rPr>
              <w:t>45</w:t>
            </w:r>
          </w:p>
        </w:tc>
        <w:tc>
          <w:tcPr>
            <w:tcW w:w="1275" w:type="pct"/>
            <w:vAlign w:val="center"/>
          </w:tcPr>
          <w:p w14:paraId="22D828B3">
            <w:pPr>
              <w:pStyle w:val="17"/>
              <w:bidi w:val="0"/>
              <w:rPr>
                <w:rFonts w:hint="eastAsia"/>
                <w:color w:val="auto"/>
                <w:highlight w:val="none"/>
                <w:lang w:val="en-US" w:eastAsia="zh-CN"/>
              </w:rPr>
            </w:pPr>
            <w:r>
              <w:rPr>
                <w:rFonts w:hint="eastAsia"/>
                <w:color w:val="auto"/>
                <w:highlight w:val="none"/>
                <w:lang w:val="en-US" w:eastAsia="zh-CN"/>
              </w:rPr>
              <w:t>药剂搅拌槽</w:t>
            </w:r>
          </w:p>
        </w:tc>
        <w:tc>
          <w:tcPr>
            <w:tcW w:w="1677" w:type="pct"/>
            <w:vAlign w:val="center"/>
          </w:tcPr>
          <w:p w14:paraId="27A543C8">
            <w:pPr>
              <w:pStyle w:val="17"/>
              <w:bidi w:val="0"/>
              <w:rPr>
                <w:rFonts w:hint="default"/>
                <w:color w:val="auto"/>
                <w:highlight w:val="none"/>
                <w:lang w:val="en-US" w:eastAsia="zh-CN"/>
              </w:rPr>
            </w:pPr>
            <w:r>
              <w:rPr>
                <w:rFonts w:hint="eastAsia"/>
                <w:color w:val="auto"/>
                <w:highlight w:val="none"/>
                <w:lang w:val="en-US" w:eastAsia="zh-CN"/>
              </w:rPr>
              <w:t>Φ3550×3550</w:t>
            </w:r>
          </w:p>
        </w:tc>
        <w:tc>
          <w:tcPr>
            <w:tcW w:w="414" w:type="pct"/>
            <w:vAlign w:val="center"/>
          </w:tcPr>
          <w:p w14:paraId="3FC50A1D">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270F8E9E">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2574ACED">
            <w:pPr>
              <w:pStyle w:val="17"/>
              <w:bidi w:val="0"/>
              <w:rPr>
                <w:rFonts w:hint="default"/>
                <w:color w:val="auto"/>
                <w:highlight w:val="none"/>
                <w:lang w:val="en-US" w:eastAsia="zh-CN"/>
              </w:rPr>
            </w:pPr>
          </w:p>
        </w:tc>
      </w:tr>
      <w:tr w14:paraId="6E58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1B51F70">
            <w:pPr>
              <w:pStyle w:val="17"/>
              <w:bidi w:val="0"/>
              <w:rPr>
                <w:rFonts w:hint="default"/>
                <w:color w:val="auto"/>
                <w:highlight w:val="none"/>
                <w:lang w:val="en-US" w:eastAsia="zh-CN"/>
              </w:rPr>
            </w:pPr>
            <w:r>
              <w:rPr>
                <w:rFonts w:hint="eastAsia"/>
                <w:color w:val="auto"/>
                <w:highlight w:val="none"/>
                <w:lang w:val="en-US" w:eastAsia="zh-CN"/>
              </w:rPr>
              <w:t>46</w:t>
            </w:r>
          </w:p>
        </w:tc>
        <w:tc>
          <w:tcPr>
            <w:tcW w:w="1275" w:type="pct"/>
            <w:vAlign w:val="center"/>
          </w:tcPr>
          <w:p w14:paraId="7B4C060D">
            <w:pPr>
              <w:pStyle w:val="17"/>
              <w:bidi w:val="0"/>
              <w:rPr>
                <w:rFonts w:hint="eastAsia"/>
                <w:color w:val="auto"/>
                <w:highlight w:val="none"/>
                <w:lang w:val="en-US" w:eastAsia="zh-CN"/>
              </w:rPr>
            </w:pPr>
            <w:r>
              <w:rPr>
                <w:rFonts w:hint="eastAsia"/>
                <w:color w:val="auto"/>
                <w:highlight w:val="none"/>
                <w:lang w:val="en-US" w:eastAsia="zh-CN"/>
              </w:rPr>
              <w:t>药剂搅拌槽</w:t>
            </w:r>
          </w:p>
        </w:tc>
        <w:tc>
          <w:tcPr>
            <w:tcW w:w="1677" w:type="pct"/>
            <w:vAlign w:val="center"/>
          </w:tcPr>
          <w:p w14:paraId="40D9A740">
            <w:pPr>
              <w:pStyle w:val="17"/>
              <w:bidi w:val="0"/>
              <w:rPr>
                <w:rFonts w:hint="default"/>
                <w:color w:val="auto"/>
                <w:highlight w:val="none"/>
                <w:lang w:val="en-US" w:eastAsia="zh-CN"/>
              </w:rPr>
            </w:pPr>
            <w:r>
              <w:rPr>
                <w:rFonts w:hint="eastAsia"/>
                <w:color w:val="auto"/>
                <w:highlight w:val="none"/>
                <w:lang w:val="en-US" w:eastAsia="zh-CN"/>
              </w:rPr>
              <w:t>Φ4500×4500</w:t>
            </w:r>
          </w:p>
        </w:tc>
        <w:tc>
          <w:tcPr>
            <w:tcW w:w="414" w:type="pct"/>
            <w:vAlign w:val="center"/>
          </w:tcPr>
          <w:p w14:paraId="03FF2104">
            <w:pPr>
              <w:pStyle w:val="17"/>
              <w:bidi w:val="0"/>
              <w:rPr>
                <w:rFonts w:hint="default"/>
                <w:color w:val="auto"/>
                <w:highlight w:val="none"/>
                <w:lang w:val="en-US" w:eastAsia="zh-CN"/>
              </w:rPr>
            </w:pPr>
            <w:r>
              <w:rPr>
                <w:rFonts w:hint="eastAsia"/>
                <w:color w:val="auto"/>
                <w:highlight w:val="none"/>
                <w:lang w:val="en-US" w:eastAsia="zh-CN"/>
              </w:rPr>
              <w:t>4</w:t>
            </w:r>
          </w:p>
        </w:tc>
        <w:tc>
          <w:tcPr>
            <w:tcW w:w="699" w:type="pct"/>
            <w:vAlign w:val="center"/>
          </w:tcPr>
          <w:p w14:paraId="09528152">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2EE6C2B3">
            <w:pPr>
              <w:pStyle w:val="17"/>
              <w:bidi w:val="0"/>
              <w:rPr>
                <w:rFonts w:hint="default"/>
                <w:color w:val="auto"/>
                <w:highlight w:val="none"/>
                <w:lang w:val="en-US" w:eastAsia="zh-CN"/>
              </w:rPr>
            </w:pPr>
          </w:p>
        </w:tc>
      </w:tr>
      <w:tr w14:paraId="13CB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A985F9C">
            <w:pPr>
              <w:pStyle w:val="17"/>
              <w:bidi w:val="0"/>
              <w:rPr>
                <w:rFonts w:hint="default"/>
                <w:color w:val="auto"/>
                <w:highlight w:val="none"/>
                <w:lang w:val="en-US" w:eastAsia="zh-CN"/>
              </w:rPr>
            </w:pPr>
            <w:r>
              <w:rPr>
                <w:rFonts w:hint="eastAsia"/>
                <w:color w:val="auto"/>
                <w:highlight w:val="none"/>
                <w:lang w:val="en-US" w:eastAsia="zh-CN"/>
              </w:rPr>
              <w:t>47</w:t>
            </w:r>
          </w:p>
        </w:tc>
        <w:tc>
          <w:tcPr>
            <w:tcW w:w="1275" w:type="pct"/>
            <w:vAlign w:val="center"/>
          </w:tcPr>
          <w:p w14:paraId="75DD7759">
            <w:pPr>
              <w:pStyle w:val="17"/>
              <w:bidi w:val="0"/>
              <w:rPr>
                <w:rFonts w:hint="eastAsia"/>
                <w:color w:val="auto"/>
                <w:highlight w:val="none"/>
                <w:lang w:val="en-US" w:eastAsia="zh-CN"/>
              </w:rPr>
            </w:pPr>
            <w:r>
              <w:rPr>
                <w:rFonts w:hint="eastAsia"/>
                <w:color w:val="auto"/>
                <w:highlight w:val="none"/>
                <w:lang w:val="en-US" w:eastAsia="zh-CN"/>
              </w:rPr>
              <w:t>磁力泵</w:t>
            </w:r>
          </w:p>
        </w:tc>
        <w:tc>
          <w:tcPr>
            <w:tcW w:w="1677" w:type="pct"/>
            <w:vAlign w:val="center"/>
          </w:tcPr>
          <w:p w14:paraId="6C3928E8">
            <w:pPr>
              <w:pStyle w:val="17"/>
              <w:bidi w:val="0"/>
              <w:rPr>
                <w:rFonts w:hint="default"/>
                <w:color w:val="auto"/>
                <w:highlight w:val="none"/>
                <w:lang w:val="en-US" w:eastAsia="zh-CN"/>
              </w:rPr>
            </w:pPr>
            <w:r>
              <w:rPr>
                <w:rFonts w:hint="eastAsia"/>
                <w:color w:val="auto"/>
                <w:highlight w:val="none"/>
                <w:lang w:val="en-US" w:eastAsia="zh-CN"/>
              </w:rPr>
              <w:t>DN80，H=35</w:t>
            </w:r>
          </w:p>
        </w:tc>
        <w:tc>
          <w:tcPr>
            <w:tcW w:w="414" w:type="pct"/>
            <w:vAlign w:val="center"/>
          </w:tcPr>
          <w:p w14:paraId="5D0D4769">
            <w:pPr>
              <w:pStyle w:val="17"/>
              <w:bidi w:val="0"/>
              <w:rPr>
                <w:rFonts w:hint="default"/>
                <w:color w:val="auto"/>
                <w:highlight w:val="none"/>
                <w:lang w:val="en-US" w:eastAsia="zh-CN"/>
              </w:rPr>
            </w:pPr>
            <w:r>
              <w:rPr>
                <w:rFonts w:hint="eastAsia"/>
                <w:color w:val="auto"/>
                <w:highlight w:val="none"/>
                <w:lang w:val="en-US" w:eastAsia="zh-CN"/>
              </w:rPr>
              <w:t>12</w:t>
            </w:r>
          </w:p>
        </w:tc>
        <w:tc>
          <w:tcPr>
            <w:tcW w:w="699" w:type="pct"/>
            <w:vAlign w:val="center"/>
          </w:tcPr>
          <w:p w14:paraId="6C1B40AF">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6748B2F2">
            <w:pPr>
              <w:pStyle w:val="17"/>
              <w:bidi w:val="0"/>
              <w:rPr>
                <w:rFonts w:hint="default"/>
                <w:color w:val="auto"/>
                <w:highlight w:val="none"/>
                <w:lang w:val="en-US" w:eastAsia="zh-CN"/>
              </w:rPr>
            </w:pPr>
          </w:p>
        </w:tc>
      </w:tr>
      <w:tr w14:paraId="504E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1D3CF28">
            <w:pPr>
              <w:pStyle w:val="17"/>
              <w:bidi w:val="0"/>
              <w:rPr>
                <w:rFonts w:hint="default"/>
                <w:color w:val="auto"/>
                <w:highlight w:val="none"/>
                <w:lang w:val="en-US" w:eastAsia="zh-CN"/>
              </w:rPr>
            </w:pPr>
            <w:r>
              <w:rPr>
                <w:rFonts w:hint="eastAsia"/>
                <w:color w:val="auto"/>
                <w:highlight w:val="none"/>
                <w:lang w:val="en-US" w:eastAsia="zh-CN"/>
              </w:rPr>
              <w:t>48</w:t>
            </w:r>
          </w:p>
        </w:tc>
        <w:tc>
          <w:tcPr>
            <w:tcW w:w="1275" w:type="pct"/>
            <w:vAlign w:val="center"/>
          </w:tcPr>
          <w:p w14:paraId="09A527D8">
            <w:pPr>
              <w:pStyle w:val="17"/>
              <w:bidi w:val="0"/>
              <w:rPr>
                <w:rFonts w:hint="eastAsia"/>
                <w:color w:val="auto"/>
                <w:highlight w:val="none"/>
                <w:lang w:val="en-US" w:eastAsia="zh-CN"/>
              </w:rPr>
            </w:pPr>
            <w:r>
              <w:rPr>
                <w:rFonts w:hint="eastAsia"/>
                <w:color w:val="auto"/>
                <w:highlight w:val="none"/>
                <w:lang w:val="en-US" w:eastAsia="zh-CN"/>
              </w:rPr>
              <w:t>氟塑料合金离心泵</w:t>
            </w:r>
          </w:p>
        </w:tc>
        <w:tc>
          <w:tcPr>
            <w:tcW w:w="1677" w:type="pct"/>
            <w:vAlign w:val="center"/>
          </w:tcPr>
          <w:p w14:paraId="76F73224">
            <w:pPr>
              <w:pStyle w:val="17"/>
              <w:bidi w:val="0"/>
              <w:rPr>
                <w:rFonts w:hint="default"/>
                <w:color w:val="auto"/>
                <w:highlight w:val="none"/>
                <w:lang w:val="en-US" w:eastAsia="zh-CN"/>
              </w:rPr>
            </w:pPr>
            <w:r>
              <w:rPr>
                <w:rFonts w:hint="eastAsia"/>
                <w:color w:val="auto"/>
                <w:highlight w:val="none"/>
                <w:lang w:val="en-US" w:eastAsia="zh-CN"/>
              </w:rPr>
              <w:t>DN100，H=80m</w:t>
            </w:r>
          </w:p>
        </w:tc>
        <w:tc>
          <w:tcPr>
            <w:tcW w:w="414" w:type="pct"/>
            <w:vAlign w:val="center"/>
          </w:tcPr>
          <w:p w14:paraId="78B901E5">
            <w:pPr>
              <w:pStyle w:val="17"/>
              <w:bidi w:val="0"/>
              <w:rPr>
                <w:rFonts w:hint="default"/>
                <w:color w:val="auto"/>
                <w:highlight w:val="none"/>
                <w:lang w:val="en-US" w:eastAsia="zh-CN"/>
              </w:rPr>
            </w:pPr>
            <w:r>
              <w:rPr>
                <w:rFonts w:hint="eastAsia"/>
                <w:color w:val="auto"/>
                <w:highlight w:val="none"/>
                <w:lang w:val="en-US" w:eastAsia="zh-CN"/>
              </w:rPr>
              <w:t>8</w:t>
            </w:r>
          </w:p>
        </w:tc>
        <w:tc>
          <w:tcPr>
            <w:tcW w:w="699" w:type="pct"/>
            <w:vAlign w:val="center"/>
          </w:tcPr>
          <w:p w14:paraId="0B12E908">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33022860">
            <w:pPr>
              <w:pStyle w:val="17"/>
              <w:bidi w:val="0"/>
              <w:rPr>
                <w:rFonts w:hint="default"/>
                <w:color w:val="auto"/>
                <w:highlight w:val="none"/>
                <w:lang w:val="en-US" w:eastAsia="zh-CN"/>
              </w:rPr>
            </w:pPr>
          </w:p>
        </w:tc>
      </w:tr>
      <w:tr w14:paraId="7356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7092912">
            <w:pPr>
              <w:pStyle w:val="17"/>
              <w:bidi w:val="0"/>
              <w:rPr>
                <w:rFonts w:hint="default"/>
                <w:color w:val="auto"/>
                <w:highlight w:val="none"/>
                <w:lang w:val="en-US" w:eastAsia="zh-CN"/>
              </w:rPr>
            </w:pPr>
            <w:r>
              <w:rPr>
                <w:rFonts w:hint="eastAsia"/>
                <w:color w:val="auto"/>
                <w:highlight w:val="none"/>
                <w:lang w:val="en-US" w:eastAsia="zh-CN"/>
              </w:rPr>
              <w:t>49</w:t>
            </w:r>
          </w:p>
        </w:tc>
        <w:tc>
          <w:tcPr>
            <w:tcW w:w="1275" w:type="pct"/>
            <w:vAlign w:val="center"/>
          </w:tcPr>
          <w:p w14:paraId="08CF4A9A">
            <w:pPr>
              <w:pStyle w:val="17"/>
              <w:bidi w:val="0"/>
              <w:rPr>
                <w:rFonts w:hint="eastAsia"/>
                <w:color w:val="auto"/>
                <w:highlight w:val="none"/>
                <w:lang w:val="en-US" w:eastAsia="zh-CN"/>
              </w:rPr>
            </w:pPr>
            <w:r>
              <w:rPr>
                <w:rFonts w:hint="eastAsia"/>
                <w:color w:val="auto"/>
                <w:highlight w:val="none"/>
                <w:lang w:val="en-US" w:eastAsia="zh-CN"/>
              </w:rPr>
              <w:t>药剂搅拌槽</w:t>
            </w:r>
          </w:p>
        </w:tc>
        <w:tc>
          <w:tcPr>
            <w:tcW w:w="1677" w:type="pct"/>
            <w:vAlign w:val="center"/>
          </w:tcPr>
          <w:p w14:paraId="5A0DF7D5">
            <w:pPr>
              <w:pStyle w:val="17"/>
              <w:bidi w:val="0"/>
              <w:rPr>
                <w:rFonts w:hint="default"/>
                <w:color w:val="auto"/>
                <w:highlight w:val="none"/>
                <w:lang w:val="en-US" w:eastAsia="zh-CN"/>
              </w:rPr>
            </w:pPr>
            <w:r>
              <w:rPr>
                <w:rFonts w:hint="eastAsia"/>
                <w:color w:val="auto"/>
                <w:highlight w:val="none"/>
                <w:lang w:val="en-US" w:eastAsia="zh-CN"/>
              </w:rPr>
              <w:t>Φ3550×3550</w:t>
            </w:r>
          </w:p>
        </w:tc>
        <w:tc>
          <w:tcPr>
            <w:tcW w:w="414" w:type="pct"/>
            <w:vAlign w:val="center"/>
          </w:tcPr>
          <w:p w14:paraId="3517EA63">
            <w:pPr>
              <w:pStyle w:val="17"/>
              <w:bidi w:val="0"/>
              <w:rPr>
                <w:rFonts w:hint="default"/>
                <w:color w:val="auto"/>
                <w:highlight w:val="none"/>
                <w:lang w:val="en-US" w:eastAsia="zh-CN"/>
              </w:rPr>
            </w:pPr>
            <w:r>
              <w:rPr>
                <w:rFonts w:hint="eastAsia"/>
                <w:color w:val="auto"/>
                <w:highlight w:val="none"/>
                <w:lang w:val="en-US" w:eastAsia="zh-CN"/>
              </w:rPr>
              <w:t>4</w:t>
            </w:r>
          </w:p>
        </w:tc>
        <w:tc>
          <w:tcPr>
            <w:tcW w:w="699" w:type="pct"/>
            <w:vAlign w:val="center"/>
          </w:tcPr>
          <w:p w14:paraId="0F8D79E0">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5D80EDDC">
            <w:pPr>
              <w:pStyle w:val="17"/>
              <w:bidi w:val="0"/>
              <w:rPr>
                <w:rFonts w:hint="default"/>
                <w:color w:val="auto"/>
                <w:highlight w:val="none"/>
                <w:lang w:val="en-US" w:eastAsia="zh-CN"/>
              </w:rPr>
            </w:pPr>
          </w:p>
        </w:tc>
      </w:tr>
      <w:tr w14:paraId="7967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1A2806B8">
            <w:pPr>
              <w:pStyle w:val="17"/>
              <w:bidi w:val="0"/>
              <w:rPr>
                <w:rFonts w:hint="default"/>
                <w:color w:val="auto"/>
                <w:highlight w:val="none"/>
                <w:lang w:val="en-US" w:eastAsia="zh-CN"/>
              </w:rPr>
            </w:pPr>
            <w:r>
              <w:rPr>
                <w:rFonts w:hint="eastAsia"/>
                <w:color w:val="auto"/>
                <w:highlight w:val="none"/>
                <w:lang w:val="en-US" w:eastAsia="zh-CN"/>
              </w:rPr>
              <w:t>50</w:t>
            </w:r>
          </w:p>
        </w:tc>
        <w:tc>
          <w:tcPr>
            <w:tcW w:w="1275" w:type="pct"/>
            <w:vAlign w:val="center"/>
          </w:tcPr>
          <w:p w14:paraId="7874CA8F">
            <w:pPr>
              <w:pStyle w:val="17"/>
              <w:bidi w:val="0"/>
              <w:rPr>
                <w:rFonts w:hint="eastAsia"/>
                <w:color w:val="auto"/>
                <w:highlight w:val="none"/>
                <w:lang w:val="en-US" w:eastAsia="zh-CN"/>
              </w:rPr>
            </w:pPr>
            <w:r>
              <w:rPr>
                <w:rFonts w:hint="eastAsia"/>
                <w:color w:val="auto"/>
                <w:highlight w:val="none"/>
                <w:lang w:val="en-US" w:eastAsia="zh-CN"/>
              </w:rPr>
              <w:t>药剂搅拌槽</w:t>
            </w:r>
          </w:p>
        </w:tc>
        <w:tc>
          <w:tcPr>
            <w:tcW w:w="1677" w:type="pct"/>
            <w:vAlign w:val="center"/>
          </w:tcPr>
          <w:p w14:paraId="60A5E065">
            <w:pPr>
              <w:pStyle w:val="17"/>
              <w:bidi w:val="0"/>
              <w:rPr>
                <w:rFonts w:hint="default"/>
                <w:color w:val="auto"/>
                <w:highlight w:val="none"/>
                <w:lang w:val="en-US" w:eastAsia="zh-CN"/>
              </w:rPr>
            </w:pPr>
            <w:r>
              <w:rPr>
                <w:rFonts w:hint="eastAsia"/>
                <w:color w:val="auto"/>
                <w:highlight w:val="none"/>
                <w:lang w:val="en-US" w:eastAsia="zh-CN"/>
              </w:rPr>
              <w:t>Φ4500×4500</w:t>
            </w:r>
          </w:p>
        </w:tc>
        <w:tc>
          <w:tcPr>
            <w:tcW w:w="414" w:type="pct"/>
            <w:vAlign w:val="center"/>
          </w:tcPr>
          <w:p w14:paraId="3FA31CFD">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7F0E3A28">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6571538A">
            <w:pPr>
              <w:pStyle w:val="17"/>
              <w:bidi w:val="0"/>
              <w:rPr>
                <w:rFonts w:hint="default"/>
                <w:color w:val="auto"/>
                <w:highlight w:val="none"/>
                <w:lang w:val="en-US" w:eastAsia="zh-CN"/>
              </w:rPr>
            </w:pPr>
          </w:p>
        </w:tc>
      </w:tr>
      <w:tr w14:paraId="3CD4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48A1FE11">
            <w:pPr>
              <w:pStyle w:val="17"/>
              <w:bidi w:val="0"/>
              <w:rPr>
                <w:rFonts w:hint="default"/>
                <w:color w:val="auto"/>
                <w:highlight w:val="none"/>
                <w:lang w:val="en-US" w:eastAsia="zh-CN"/>
              </w:rPr>
            </w:pPr>
            <w:r>
              <w:rPr>
                <w:rFonts w:hint="eastAsia"/>
                <w:color w:val="auto"/>
                <w:highlight w:val="none"/>
                <w:lang w:val="en-US" w:eastAsia="zh-CN"/>
              </w:rPr>
              <w:t>51</w:t>
            </w:r>
          </w:p>
        </w:tc>
        <w:tc>
          <w:tcPr>
            <w:tcW w:w="1275" w:type="pct"/>
            <w:shd w:val="clear" w:color="auto" w:fill="auto"/>
            <w:vAlign w:val="center"/>
          </w:tcPr>
          <w:p w14:paraId="11AF134B">
            <w:pPr>
              <w:pStyle w:val="17"/>
              <w:bidi w:val="0"/>
              <w:rPr>
                <w:rFonts w:hint="eastAsia"/>
                <w:color w:val="auto"/>
                <w:highlight w:val="none"/>
                <w:lang w:val="en-US" w:eastAsia="zh-CN"/>
              </w:rPr>
            </w:pPr>
            <w:r>
              <w:rPr>
                <w:rFonts w:hint="eastAsia"/>
                <w:color w:val="auto"/>
                <w:highlight w:val="none"/>
                <w:lang w:val="en-US" w:eastAsia="zh-CN"/>
              </w:rPr>
              <w:t>自动加药系统</w:t>
            </w:r>
          </w:p>
        </w:tc>
        <w:tc>
          <w:tcPr>
            <w:tcW w:w="1677" w:type="pct"/>
            <w:vAlign w:val="center"/>
          </w:tcPr>
          <w:p w14:paraId="2EFFEC04">
            <w:pPr>
              <w:pStyle w:val="17"/>
              <w:bidi w:val="0"/>
              <w:rPr>
                <w:rFonts w:hint="default"/>
                <w:color w:val="auto"/>
                <w:highlight w:val="none"/>
                <w:lang w:val="en-US" w:eastAsia="zh-CN"/>
              </w:rPr>
            </w:pPr>
            <w:r>
              <w:rPr>
                <w:rFonts w:hint="eastAsia"/>
                <w:color w:val="auto"/>
                <w:highlight w:val="none"/>
                <w:lang w:val="en-US" w:eastAsia="zh-CN"/>
              </w:rPr>
              <w:t>48点</w:t>
            </w:r>
          </w:p>
        </w:tc>
        <w:tc>
          <w:tcPr>
            <w:tcW w:w="414" w:type="pct"/>
            <w:vAlign w:val="center"/>
          </w:tcPr>
          <w:p w14:paraId="73B67290">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6850BB64">
            <w:pPr>
              <w:pStyle w:val="17"/>
              <w:bidi w:val="0"/>
              <w:rPr>
                <w:rFonts w:hint="default"/>
                <w:color w:val="auto"/>
                <w:highlight w:val="none"/>
                <w:lang w:val="en-US" w:eastAsia="zh-CN"/>
              </w:rPr>
            </w:pPr>
            <w:r>
              <w:rPr>
                <w:rFonts w:hint="eastAsia"/>
                <w:color w:val="auto"/>
                <w:highlight w:val="none"/>
                <w:lang w:val="en-US" w:eastAsia="zh-CN"/>
              </w:rPr>
              <w:t>套</w:t>
            </w:r>
          </w:p>
        </w:tc>
        <w:tc>
          <w:tcPr>
            <w:tcW w:w="636" w:type="pct"/>
            <w:vAlign w:val="center"/>
          </w:tcPr>
          <w:p w14:paraId="011D531D">
            <w:pPr>
              <w:pStyle w:val="17"/>
              <w:bidi w:val="0"/>
              <w:rPr>
                <w:rFonts w:hint="default"/>
                <w:color w:val="auto"/>
                <w:highlight w:val="none"/>
                <w:lang w:val="en-US" w:eastAsia="zh-CN"/>
              </w:rPr>
            </w:pPr>
          </w:p>
        </w:tc>
      </w:tr>
      <w:tr w14:paraId="59F8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0C7DF75A">
            <w:pPr>
              <w:pStyle w:val="17"/>
              <w:bidi w:val="0"/>
              <w:rPr>
                <w:rFonts w:hint="default"/>
                <w:color w:val="auto"/>
                <w:highlight w:val="none"/>
                <w:lang w:val="en-US" w:eastAsia="zh-CN"/>
              </w:rPr>
            </w:pPr>
            <w:r>
              <w:rPr>
                <w:rFonts w:hint="eastAsia"/>
                <w:color w:val="auto"/>
                <w:highlight w:val="none"/>
                <w:lang w:val="en-US" w:eastAsia="zh-CN"/>
              </w:rPr>
              <w:t>52</w:t>
            </w:r>
          </w:p>
        </w:tc>
        <w:tc>
          <w:tcPr>
            <w:tcW w:w="1275" w:type="pct"/>
            <w:shd w:val="clear" w:color="auto" w:fill="auto"/>
            <w:vAlign w:val="center"/>
          </w:tcPr>
          <w:p w14:paraId="3278F38D">
            <w:pPr>
              <w:pStyle w:val="17"/>
              <w:bidi w:val="0"/>
              <w:rPr>
                <w:rFonts w:hint="eastAsia"/>
                <w:color w:val="auto"/>
                <w:highlight w:val="none"/>
                <w:lang w:val="en-US" w:eastAsia="zh-CN"/>
              </w:rPr>
            </w:pPr>
            <w:r>
              <w:rPr>
                <w:rFonts w:hint="eastAsia"/>
                <w:color w:val="auto"/>
                <w:highlight w:val="none"/>
                <w:lang w:val="en-US" w:eastAsia="zh-CN"/>
              </w:rPr>
              <w:t>液下泵</w:t>
            </w:r>
          </w:p>
        </w:tc>
        <w:tc>
          <w:tcPr>
            <w:tcW w:w="1677" w:type="pct"/>
            <w:vAlign w:val="center"/>
          </w:tcPr>
          <w:p w14:paraId="2DC1BD68">
            <w:pPr>
              <w:pStyle w:val="17"/>
              <w:bidi w:val="0"/>
              <w:rPr>
                <w:rFonts w:hint="default"/>
                <w:color w:val="auto"/>
                <w:highlight w:val="none"/>
                <w:lang w:val="en-US" w:eastAsia="zh-CN"/>
              </w:rPr>
            </w:pPr>
            <w:r>
              <w:rPr>
                <w:rFonts w:hint="eastAsia"/>
                <w:color w:val="auto"/>
                <w:highlight w:val="none"/>
                <w:lang w:val="en-US" w:eastAsia="zh-CN"/>
              </w:rPr>
              <w:t>65QV-SP，Q=30m³/h</w:t>
            </w:r>
          </w:p>
        </w:tc>
        <w:tc>
          <w:tcPr>
            <w:tcW w:w="414" w:type="pct"/>
            <w:vAlign w:val="center"/>
          </w:tcPr>
          <w:p w14:paraId="5CA00E8E">
            <w:pPr>
              <w:pStyle w:val="17"/>
              <w:bidi w:val="0"/>
              <w:rPr>
                <w:rFonts w:hint="default"/>
                <w:color w:val="auto"/>
                <w:highlight w:val="none"/>
                <w:lang w:val="en-US" w:eastAsia="zh-CN"/>
              </w:rPr>
            </w:pPr>
            <w:r>
              <w:rPr>
                <w:rFonts w:hint="eastAsia"/>
                <w:color w:val="auto"/>
                <w:highlight w:val="none"/>
                <w:lang w:val="en-US" w:eastAsia="zh-CN"/>
              </w:rPr>
              <w:t>6</w:t>
            </w:r>
          </w:p>
        </w:tc>
        <w:tc>
          <w:tcPr>
            <w:tcW w:w="699" w:type="pct"/>
            <w:vAlign w:val="center"/>
          </w:tcPr>
          <w:p w14:paraId="120A3AC0">
            <w:pPr>
              <w:pStyle w:val="17"/>
              <w:bidi w:val="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20B65D8C">
            <w:pPr>
              <w:pStyle w:val="17"/>
              <w:bidi w:val="0"/>
              <w:rPr>
                <w:rFonts w:hint="default"/>
                <w:color w:val="auto"/>
                <w:highlight w:val="none"/>
                <w:lang w:val="en-US" w:eastAsia="zh-CN"/>
              </w:rPr>
            </w:pPr>
          </w:p>
        </w:tc>
      </w:tr>
      <w:tr w14:paraId="13C9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FE1E931">
            <w:pPr>
              <w:pStyle w:val="17"/>
              <w:bidi w:val="0"/>
              <w:rPr>
                <w:rFonts w:hint="default"/>
                <w:color w:val="auto"/>
                <w:highlight w:val="none"/>
                <w:lang w:val="en-US" w:eastAsia="zh-CN"/>
              </w:rPr>
            </w:pPr>
            <w:r>
              <w:rPr>
                <w:rFonts w:hint="eastAsia"/>
                <w:color w:val="auto"/>
                <w:highlight w:val="none"/>
                <w:lang w:val="en-US" w:eastAsia="zh-CN"/>
              </w:rPr>
              <w:t>53</w:t>
            </w:r>
          </w:p>
        </w:tc>
        <w:tc>
          <w:tcPr>
            <w:tcW w:w="1275" w:type="pct"/>
            <w:shd w:val="clear" w:color="auto" w:fill="auto"/>
            <w:vAlign w:val="center"/>
          </w:tcPr>
          <w:p w14:paraId="40E3CF62">
            <w:pPr>
              <w:pStyle w:val="17"/>
              <w:bidi w:val="0"/>
              <w:rPr>
                <w:rFonts w:hint="eastAsia"/>
                <w:color w:val="auto"/>
                <w:highlight w:val="none"/>
                <w:lang w:val="en-US" w:eastAsia="zh-CN"/>
              </w:rPr>
            </w:pPr>
            <w:r>
              <w:rPr>
                <w:rFonts w:hint="eastAsia"/>
                <w:color w:val="auto"/>
                <w:highlight w:val="none"/>
                <w:lang w:val="en-US" w:eastAsia="zh-CN"/>
              </w:rPr>
              <w:t>CV.7带式输送机</w:t>
            </w:r>
          </w:p>
        </w:tc>
        <w:tc>
          <w:tcPr>
            <w:tcW w:w="1677" w:type="pct"/>
            <w:vAlign w:val="center"/>
          </w:tcPr>
          <w:p w14:paraId="1DD79863">
            <w:pPr>
              <w:pStyle w:val="17"/>
              <w:bidi w:val="0"/>
              <w:rPr>
                <w:rFonts w:hint="default"/>
                <w:color w:val="auto"/>
                <w:highlight w:val="none"/>
                <w:lang w:val="en-US" w:eastAsia="zh-CN"/>
              </w:rPr>
            </w:pPr>
            <w:r>
              <w:rPr>
                <w:rFonts w:hint="eastAsia"/>
                <w:color w:val="auto"/>
                <w:highlight w:val="none"/>
                <w:lang w:val="en-US" w:eastAsia="zh-CN"/>
              </w:rPr>
              <w:t>B=1000，L=218.5m</w:t>
            </w:r>
          </w:p>
        </w:tc>
        <w:tc>
          <w:tcPr>
            <w:tcW w:w="414" w:type="pct"/>
            <w:vAlign w:val="center"/>
          </w:tcPr>
          <w:p w14:paraId="467847F6">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12CB5A48">
            <w:pPr>
              <w:pStyle w:val="17"/>
              <w:bidi w:val="0"/>
              <w:rPr>
                <w:rFonts w:hint="default"/>
                <w:color w:val="auto"/>
                <w:highlight w:val="none"/>
                <w:lang w:val="en-US" w:eastAsia="zh-CN"/>
              </w:rPr>
            </w:pPr>
            <w:r>
              <w:rPr>
                <w:rFonts w:hint="eastAsia"/>
                <w:color w:val="auto"/>
                <w:highlight w:val="none"/>
                <w:lang w:val="en-US" w:eastAsia="zh-CN"/>
              </w:rPr>
              <w:t>条</w:t>
            </w:r>
          </w:p>
        </w:tc>
        <w:tc>
          <w:tcPr>
            <w:tcW w:w="636" w:type="pct"/>
            <w:vAlign w:val="center"/>
          </w:tcPr>
          <w:p w14:paraId="5D7EEAE7">
            <w:pPr>
              <w:pStyle w:val="17"/>
              <w:bidi w:val="0"/>
              <w:rPr>
                <w:rFonts w:hint="default"/>
                <w:color w:val="auto"/>
                <w:highlight w:val="none"/>
                <w:lang w:val="en-US" w:eastAsia="zh-CN"/>
              </w:rPr>
            </w:pPr>
          </w:p>
        </w:tc>
      </w:tr>
      <w:tr w14:paraId="1C0B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6"/>
            <w:vAlign w:val="center"/>
          </w:tcPr>
          <w:p w14:paraId="402AC3D6">
            <w:pPr>
              <w:pStyle w:val="17"/>
              <w:bidi w:val="0"/>
              <w:rPr>
                <w:rFonts w:hint="default"/>
                <w:color w:val="auto"/>
                <w:highlight w:val="none"/>
                <w:lang w:val="en-US" w:eastAsia="zh-CN"/>
              </w:rPr>
            </w:pPr>
            <w:r>
              <w:rPr>
                <w:rFonts w:hint="eastAsia"/>
                <w:color w:val="auto"/>
                <w:highlight w:val="none"/>
                <w:lang w:val="en-US" w:eastAsia="zh-CN"/>
              </w:rPr>
              <w:t>硫酸稀释车间</w:t>
            </w:r>
          </w:p>
        </w:tc>
      </w:tr>
      <w:tr w14:paraId="6BCD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51CA9C0">
            <w:pPr>
              <w:pStyle w:val="17"/>
              <w:bidi w:val="0"/>
              <w:rPr>
                <w:rFonts w:hint="default"/>
                <w:color w:val="auto"/>
                <w:highlight w:val="none"/>
                <w:lang w:val="en-US" w:eastAsia="zh-CN"/>
              </w:rPr>
            </w:pPr>
            <w:r>
              <w:rPr>
                <w:rFonts w:hint="eastAsia"/>
                <w:color w:val="auto"/>
                <w:highlight w:val="none"/>
                <w:lang w:val="en-US" w:eastAsia="zh-CN"/>
              </w:rPr>
              <w:t>1</w:t>
            </w:r>
          </w:p>
        </w:tc>
        <w:tc>
          <w:tcPr>
            <w:tcW w:w="1275" w:type="pct"/>
            <w:vAlign w:val="center"/>
          </w:tcPr>
          <w:p w14:paraId="7FDDCE2F">
            <w:pPr>
              <w:pStyle w:val="17"/>
              <w:bidi w:val="0"/>
              <w:rPr>
                <w:rFonts w:hint="eastAsia"/>
                <w:color w:val="auto"/>
                <w:highlight w:val="none"/>
                <w:lang w:val="en-US" w:eastAsia="zh-CN"/>
              </w:rPr>
            </w:pPr>
            <w:r>
              <w:rPr>
                <w:rFonts w:hint="eastAsia"/>
                <w:color w:val="auto"/>
                <w:highlight w:val="none"/>
                <w:lang w:val="en-US" w:eastAsia="zh-CN"/>
              </w:rPr>
              <w:t>浓硫酸储罐</w:t>
            </w:r>
          </w:p>
        </w:tc>
        <w:tc>
          <w:tcPr>
            <w:tcW w:w="1677" w:type="pct"/>
            <w:vAlign w:val="center"/>
          </w:tcPr>
          <w:p w14:paraId="68566B7D">
            <w:pPr>
              <w:pStyle w:val="17"/>
              <w:bidi w:val="0"/>
              <w:rPr>
                <w:rFonts w:hint="default"/>
                <w:color w:val="auto"/>
                <w:highlight w:val="none"/>
                <w:lang w:val="en-US" w:eastAsia="zh-CN"/>
              </w:rPr>
            </w:pPr>
            <w:r>
              <w:rPr>
                <w:rFonts w:hint="eastAsia"/>
                <w:color w:val="auto"/>
                <w:highlight w:val="none"/>
                <w:lang w:val="en-US" w:eastAsia="zh-CN"/>
              </w:rPr>
              <w:t>200m³</w:t>
            </w:r>
          </w:p>
        </w:tc>
        <w:tc>
          <w:tcPr>
            <w:tcW w:w="414" w:type="pct"/>
            <w:vAlign w:val="center"/>
          </w:tcPr>
          <w:p w14:paraId="4E58CD08">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1F78AFD7">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6462A5A8">
            <w:pPr>
              <w:pStyle w:val="17"/>
              <w:bidi w:val="0"/>
              <w:rPr>
                <w:rFonts w:hint="default"/>
                <w:color w:val="auto"/>
                <w:highlight w:val="none"/>
                <w:lang w:val="en-US" w:eastAsia="zh-CN"/>
              </w:rPr>
            </w:pPr>
          </w:p>
        </w:tc>
      </w:tr>
      <w:tr w14:paraId="4E85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2F06174">
            <w:pPr>
              <w:pStyle w:val="17"/>
              <w:bidi w:val="0"/>
              <w:rPr>
                <w:rFonts w:hint="default"/>
                <w:color w:val="auto"/>
                <w:highlight w:val="none"/>
                <w:lang w:val="en-US" w:eastAsia="zh-CN"/>
              </w:rPr>
            </w:pPr>
            <w:r>
              <w:rPr>
                <w:rFonts w:hint="eastAsia"/>
                <w:color w:val="auto"/>
                <w:highlight w:val="none"/>
                <w:lang w:val="en-US" w:eastAsia="zh-CN"/>
              </w:rPr>
              <w:t>2</w:t>
            </w:r>
          </w:p>
        </w:tc>
        <w:tc>
          <w:tcPr>
            <w:tcW w:w="1275" w:type="pct"/>
            <w:vAlign w:val="center"/>
          </w:tcPr>
          <w:p w14:paraId="612B6754">
            <w:pPr>
              <w:pStyle w:val="17"/>
              <w:bidi w:val="0"/>
              <w:rPr>
                <w:rFonts w:hint="eastAsia"/>
                <w:color w:val="auto"/>
                <w:highlight w:val="none"/>
                <w:lang w:val="en-US" w:eastAsia="zh-CN"/>
              </w:rPr>
            </w:pPr>
            <w:r>
              <w:rPr>
                <w:rFonts w:hint="eastAsia"/>
                <w:color w:val="auto"/>
                <w:highlight w:val="none"/>
                <w:lang w:val="en-US" w:eastAsia="zh-CN"/>
              </w:rPr>
              <w:t>氟塑料合金离心泵</w:t>
            </w:r>
          </w:p>
        </w:tc>
        <w:tc>
          <w:tcPr>
            <w:tcW w:w="1677" w:type="pct"/>
            <w:vAlign w:val="center"/>
          </w:tcPr>
          <w:p w14:paraId="3034F389">
            <w:pPr>
              <w:pStyle w:val="17"/>
              <w:bidi w:val="0"/>
              <w:rPr>
                <w:rFonts w:hint="default"/>
                <w:color w:val="auto"/>
                <w:highlight w:val="none"/>
                <w:lang w:val="en-US" w:eastAsia="zh-CN"/>
              </w:rPr>
            </w:pPr>
            <w:r>
              <w:rPr>
                <w:rFonts w:hint="eastAsia"/>
                <w:color w:val="auto"/>
                <w:highlight w:val="none"/>
                <w:lang w:val="en-US" w:eastAsia="zh-CN"/>
              </w:rPr>
              <w:t>DN80，H=35m</w:t>
            </w:r>
          </w:p>
        </w:tc>
        <w:tc>
          <w:tcPr>
            <w:tcW w:w="414" w:type="pct"/>
            <w:vAlign w:val="center"/>
          </w:tcPr>
          <w:p w14:paraId="73E543B6">
            <w:pPr>
              <w:pStyle w:val="17"/>
              <w:bidi w:val="0"/>
              <w:rPr>
                <w:rFonts w:hint="default"/>
                <w:color w:val="auto"/>
                <w:highlight w:val="none"/>
                <w:lang w:val="en-US" w:eastAsia="zh-CN"/>
              </w:rPr>
            </w:pPr>
            <w:r>
              <w:rPr>
                <w:rFonts w:hint="eastAsia"/>
                <w:color w:val="auto"/>
                <w:highlight w:val="none"/>
                <w:lang w:val="en-US" w:eastAsia="zh-CN"/>
              </w:rPr>
              <w:t>6</w:t>
            </w:r>
          </w:p>
        </w:tc>
        <w:tc>
          <w:tcPr>
            <w:tcW w:w="699" w:type="pct"/>
            <w:vAlign w:val="center"/>
          </w:tcPr>
          <w:p w14:paraId="1263F088">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73D23FA3">
            <w:pPr>
              <w:pStyle w:val="17"/>
              <w:bidi w:val="0"/>
              <w:rPr>
                <w:rFonts w:hint="default"/>
                <w:color w:val="auto"/>
                <w:highlight w:val="none"/>
                <w:lang w:val="en-US" w:eastAsia="zh-CN"/>
              </w:rPr>
            </w:pPr>
          </w:p>
        </w:tc>
      </w:tr>
      <w:tr w14:paraId="0B18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57D0FB5">
            <w:pPr>
              <w:pStyle w:val="17"/>
              <w:bidi w:val="0"/>
              <w:rPr>
                <w:rFonts w:hint="default"/>
                <w:color w:val="auto"/>
                <w:highlight w:val="none"/>
                <w:lang w:val="en-US" w:eastAsia="zh-CN"/>
              </w:rPr>
            </w:pPr>
            <w:r>
              <w:rPr>
                <w:rFonts w:hint="eastAsia"/>
                <w:color w:val="auto"/>
                <w:highlight w:val="none"/>
                <w:lang w:val="en-US" w:eastAsia="zh-CN"/>
              </w:rPr>
              <w:t>3</w:t>
            </w:r>
          </w:p>
        </w:tc>
        <w:tc>
          <w:tcPr>
            <w:tcW w:w="1275" w:type="pct"/>
            <w:vAlign w:val="center"/>
          </w:tcPr>
          <w:p w14:paraId="223263AC">
            <w:pPr>
              <w:pStyle w:val="17"/>
              <w:bidi w:val="0"/>
              <w:rPr>
                <w:rFonts w:hint="eastAsia"/>
                <w:color w:val="auto"/>
                <w:highlight w:val="none"/>
                <w:lang w:val="en-US" w:eastAsia="zh-CN"/>
              </w:rPr>
            </w:pPr>
            <w:r>
              <w:rPr>
                <w:rFonts w:hint="eastAsia"/>
                <w:color w:val="auto"/>
                <w:highlight w:val="none"/>
                <w:lang w:val="en-US" w:eastAsia="zh-CN"/>
              </w:rPr>
              <w:t>浓硫酸稀释槽</w:t>
            </w:r>
          </w:p>
        </w:tc>
        <w:tc>
          <w:tcPr>
            <w:tcW w:w="1677" w:type="pct"/>
            <w:vAlign w:val="center"/>
          </w:tcPr>
          <w:p w14:paraId="3DBC6F50">
            <w:pPr>
              <w:pStyle w:val="17"/>
              <w:bidi w:val="0"/>
              <w:rPr>
                <w:rFonts w:hint="default"/>
                <w:color w:val="auto"/>
                <w:highlight w:val="none"/>
                <w:lang w:val="en-US" w:eastAsia="zh-CN"/>
              </w:rPr>
            </w:pPr>
            <w:r>
              <w:rPr>
                <w:rFonts w:hint="eastAsia"/>
                <w:color w:val="auto"/>
                <w:highlight w:val="none"/>
                <w:lang w:val="en-US" w:eastAsia="zh-CN"/>
              </w:rPr>
              <w:t>Φ2500×2500</w:t>
            </w:r>
          </w:p>
        </w:tc>
        <w:tc>
          <w:tcPr>
            <w:tcW w:w="414" w:type="pct"/>
            <w:vAlign w:val="center"/>
          </w:tcPr>
          <w:p w14:paraId="206A3F2F">
            <w:pPr>
              <w:pStyle w:val="17"/>
              <w:bidi w:val="0"/>
              <w:rPr>
                <w:rFonts w:hint="default"/>
                <w:color w:val="auto"/>
                <w:highlight w:val="none"/>
                <w:lang w:val="en-US" w:eastAsia="zh-CN"/>
              </w:rPr>
            </w:pPr>
            <w:r>
              <w:rPr>
                <w:rFonts w:hint="eastAsia"/>
                <w:color w:val="auto"/>
                <w:highlight w:val="none"/>
                <w:lang w:val="en-US" w:eastAsia="zh-CN"/>
              </w:rPr>
              <w:t>3</w:t>
            </w:r>
          </w:p>
        </w:tc>
        <w:tc>
          <w:tcPr>
            <w:tcW w:w="699" w:type="pct"/>
            <w:vAlign w:val="center"/>
          </w:tcPr>
          <w:p w14:paraId="36E923F8">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742D895F">
            <w:pPr>
              <w:pStyle w:val="17"/>
              <w:bidi w:val="0"/>
              <w:rPr>
                <w:rFonts w:hint="default"/>
                <w:color w:val="auto"/>
                <w:highlight w:val="none"/>
                <w:lang w:val="en-US" w:eastAsia="zh-CN"/>
              </w:rPr>
            </w:pPr>
          </w:p>
        </w:tc>
      </w:tr>
      <w:tr w14:paraId="5DD1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838FACC">
            <w:pPr>
              <w:pStyle w:val="17"/>
              <w:bidi w:val="0"/>
              <w:rPr>
                <w:rFonts w:hint="default"/>
                <w:color w:val="auto"/>
                <w:highlight w:val="none"/>
                <w:lang w:val="en-US" w:eastAsia="zh-CN"/>
              </w:rPr>
            </w:pPr>
            <w:r>
              <w:rPr>
                <w:rFonts w:hint="eastAsia"/>
                <w:color w:val="auto"/>
                <w:highlight w:val="none"/>
                <w:lang w:val="en-US" w:eastAsia="zh-CN"/>
              </w:rPr>
              <w:t>4</w:t>
            </w:r>
          </w:p>
        </w:tc>
        <w:tc>
          <w:tcPr>
            <w:tcW w:w="1275" w:type="pct"/>
            <w:vAlign w:val="center"/>
          </w:tcPr>
          <w:p w14:paraId="379B8564">
            <w:pPr>
              <w:pStyle w:val="17"/>
              <w:bidi w:val="0"/>
              <w:rPr>
                <w:rFonts w:hint="eastAsia"/>
                <w:color w:val="auto"/>
                <w:highlight w:val="none"/>
                <w:lang w:val="en-US" w:eastAsia="zh-CN"/>
              </w:rPr>
            </w:pPr>
            <w:r>
              <w:rPr>
                <w:rFonts w:hint="eastAsia"/>
                <w:color w:val="auto"/>
                <w:highlight w:val="none"/>
                <w:lang w:val="en-US" w:eastAsia="zh-CN"/>
              </w:rPr>
              <w:t>稀硫酸存槽</w:t>
            </w:r>
          </w:p>
        </w:tc>
        <w:tc>
          <w:tcPr>
            <w:tcW w:w="1677" w:type="pct"/>
            <w:vAlign w:val="center"/>
          </w:tcPr>
          <w:p w14:paraId="1B02D4C4">
            <w:pPr>
              <w:pStyle w:val="17"/>
              <w:bidi w:val="0"/>
              <w:rPr>
                <w:rFonts w:hint="default"/>
                <w:color w:val="auto"/>
                <w:highlight w:val="none"/>
                <w:lang w:val="en-US" w:eastAsia="zh-CN"/>
              </w:rPr>
            </w:pPr>
            <w:r>
              <w:rPr>
                <w:rFonts w:hint="eastAsia"/>
                <w:color w:val="auto"/>
                <w:highlight w:val="none"/>
                <w:lang w:val="en-US" w:eastAsia="zh-CN"/>
              </w:rPr>
              <w:t>Φ4500×4500</w:t>
            </w:r>
          </w:p>
        </w:tc>
        <w:tc>
          <w:tcPr>
            <w:tcW w:w="414" w:type="pct"/>
            <w:vAlign w:val="center"/>
          </w:tcPr>
          <w:p w14:paraId="20730AC2">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62FEC5E2">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40AEF2D6">
            <w:pPr>
              <w:pStyle w:val="17"/>
              <w:bidi w:val="0"/>
              <w:rPr>
                <w:rFonts w:hint="default"/>
                <w:color w:val="auto"/>
                <w:highlight w:val="none"/>
                <w:lang w:val="en-US" w:eastAsia="zh-CN"/>
              </w:rPr>
            </w:pPr>
          </w:p>
        </w:tc>
      </w:tr>
      <w:tr w14:paraId="4F5D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6CDAE1CB">
            <w:pPr>
              <w:pStyle w:val="17"/>
              <w:bidi w:val="0"/>
              <w:rPr>
                <w:rFonts w:hint="default"/>
                <w:color w:val="auto"/>
                <w:highlight w:val="none"/>
                <w:lang w:val="en-US" w:eastAsia="zh-CN"/>
              </w:rPr>
            </w:pPr>
            <w:r>
              <w:rPr>
                <w:rFonts w:hint="eastAsia"/>
                <w:color w:val="auto"/>
                <w:highlight w:val="none"/>
                <w:lang w:val="en-US" w:eastAsia="zh-CN"/>
              </w:rPr>
              <w:t>5</w:t>
            </w:r>
          </w:p>
        </w:tc>
        <w:tc>
          <w:tcPr>
            <w:tcW w:w="1275" w:type="pct"/>
            <w:vAlign w:val="center"/>
          </w:tcPr>
          <w:p w14:paraId="7DAE580B">
            <w:pPr>
              <w:pStyle w:val="17"/>
              <w:bidi w:val="0"/>
              <w:rPr>
                <w:rFonts w:hint="eastAsia"/>
                <w:color w:val="auto"/>
                <w:highlight w:val="none"/>
                <w:lang w:val="en-US" w:eastAsia="zh-CN"/>
              </w:rPr>
            </w:pPr>
            <w:r>
              <w:rPr>
                <w:rFonts w:hint="eastAsia"/>
                <w:color w:val="auto"/>
                <w:highlight w:val="none"/>
                <w:lang w:val="en-US" w:eastAsia="zh-CN"/>
              </w:rPr>
              <w:t>氟塑料合金离心泵</w:t>
            </w:r>
          </w:p>
        </w:tc>
        <w:tc>
          <w:tcPr>
            <w:tcW w:w="1677" w:type="pct"/>
            <w:vAlign w:val="center"/>
          </w:tcPr>
          <w:p w14:paraId="7CF6E4D5">
            <w:pPr>
              <w:pStyle w:val="17"/>
              <w:bidi w:val="0"/>
              <w:rPr>
                <w:rFonts w:hint="default"/>
                <w:color w:val="auto"/>
                <w:highlight w:val="none"/>
                <w:lang w:val="en-US" w:eastAsia="zh-CN"/>
              </w:rPr>
            </w:pPr>
            <w:r>
              <w:rPr>
                <w:rFonts w:hint="eastAsia"/>
                <w:color w:val="auto"/>
                <w:highlight w:val="none"/>
                <w:lang w:val="en-US" w:eastAsia="zh-CN"/>
              </w:rPr>
              <w:t>DN100，H=80m</w:t>
            </w:r>
          </w:p>
        </w:tc>
        <w:tc>
          <w:tcPr>
            <w:tcW w:w="414" w:type="pct"/>
            <w:vAlign w:val="center"/>
          </w:tcPr>
          <w:p w14:paraId="450E9C4B">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4B7855B2">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2156A32C">
            <w:pPr>
              <w:pStyle w:val="17"/>
              <w:bidi w:val="0"/>
              <w:rPr>
                <w:rFonts w:hint="default"/>
                <w:color w:val="auto"/>
                <w:highlight w:val="none"/>
                <w:lang w:val="en-US" w:eastAsia="zh-CN"/>
              </w:rPr>
            </w:pPr>
          </w:p>
        </w:tc>
      </w:tr>
      <w:tr w14:paraId="0D87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0700060">
            <w:pPr>
              <w:pStyle w:val="17"/>
              <w:bidi w:val="0"/>
              <w:rPr>
                <w:rFonts w:hint="default"/>
                <w:color w:val="auto"/>
                <w:highlight w:val="none"/>
                <w:lang w:val="en-US" w:eastAsia="zh-CN"/>
              </w:rPr>
            </w:pPr>
            <w:r>
              <w:rPr>
                <w:rFonts w:hint="eastAsia"/>
                <w:color w:val="auto"/>
                <w:highlight w:val="none"/>
                <w:lang w:val="en-US" w:eastAsia="zh-CN"/>
              </w:rPr>
              <w:t>6</w:t>
            </w:r>
          </w:p>
        </w:tc>
        <w:tc>
          <w:tcPr>
            <w:tcW w:w="1275" w:type="pct"/>
            <w:vAlign w:val="center"/>
          </w:tcPr>
          <w:p w14:paraId="5F134234">
            <w:pPr>
              <w:pStyle w:val="17"/>
              <w:bidi w:val="0"/>
              <w:rPr>
                <w:rFonts w:hint="eastAsia"/>
                <w:color w:val="auto"/>
                <w:highlight w:val="none"/>
                <w:lang w:val="en-US" w:eastAsia="zh-CN"/>
              </w:rPr>
            </w:pPr>
            <w:r>
              <w:rPr>
                <w:rFonts w:hint="eastAsia"/>
                <w:color w:val="auto"/>
                <w:highlight w:val="none"/>
                <w:lang w:val="en-US" w:eastAsia="zh-CN"/>
              </w:rPr>
              <w:t>液下泵</w:t>
            </w:r>
          </w:p>
        </w:tc>
        <w:tc>
          <w:tcPr>
            <w:tcW w:w="1677" w:type="pct"/>
            <w:vAlign w:val="center"/>
          </w:tcPr>
          <w:p w14:paraId="7FF61085">
            <w:pPr>
              <w:pStyle w:val="17"/>
              <w:bidi w:val="0"/>
              <w:rPr>
                <w:rFonts w:hint="default"/>
                <w:color w:val="auto"/>
                <w:highlight w:val="none"/>
                <w:lang w:val="en-US" w:eastAsia="zh-CN"/>
              </w:rPr>
            </w:pPr>
            <w:r>
              <w:rPr>
                <w:rFonts w:hint="eastAsia"/>
                <w:color w:val="auto"/>
                <w:highlight w:val="none"/>
                <w:lang w:val="en-US" w:eastAsia="zh-CN"/>
              </w:rPr>
              <w:t>65QV-SP，Q=30m³/h</w:t>
            </w:r>
          </w:p>
        </w:tc>
        <w:tc>
          <w:tcPr>
            <w:tcW w:w="414" w:type="pct"/>
            <w:vAlign w:val="center"/>
          </w:tcPr>
          <w:p w14:paraId="27E72167">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41CF0C3B">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102E38DB">
            <w:pPr>
              <w:pStyle w:val="17"/>
              <w:bidi w:val="0"/>
              <w:rPr>
                <w:rFonts w:hint="default"/>
                <w:color w:val="auto"/>
                <w:highlight w:val="none"/>
                <w:lang w:val="en-US" w:eastAsia="zh-CN"/>
              </w:rPr>
            </w:pPr>
          </w:p>
        </w:tc>
      </w:tr>
      <w:tr w14:paraId="2E73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7257E215">
            <w:pPr>
              <w:pStyle w:val="17"/>
              <w:bidi w:val="0"/>
              <w:rPr>
                <w:rFonts w:hint="default"/>
                <w:color w:val="auto"/>
                <w:highlight w:val="none"/>
                <w:lang w:val="en-US" w:eastAsia="zh-CN"/>
              </w:rPr>
            </w:pPr>
            <w:r>
              <w:rPr>
                <w:rFonts w:hint="eastAsia"/>
                <w:color w:val="auto"/>
                <w:highlight w:val="none"/>
                <w:lang w:val="en-US" w:eastAsia="zh-CN"/>
              </w:rPr>
              <w:t>7</w:t>
            </w:r>
          </w:p>
        </w:tc>
        <w:tc>
          <w:tcPr>
            <w:tcW w:w="1275" w:type="pct"/>
            <w:vAlign w:val="center"/>
          </w:tcPr>
          <w:p w14:paraId="315A450D">
            <w:pPr>
              <w:pStyle w:val="17"/>
              <w:bidi w:val="0"/>
              <w:rPr>
                <w:rFonts w:hint="eastAsia"/>
                <w:color w:val="auto"/>
                <w:highlight w:val="none"/>
                <w:lang w:val="en-US" w:eastAsia="zh-CN"/>
              </w:rPr>
            </w:pPr>
            <w:r>
              <w:rPr>
                <w:rFonts w:hint="eastAsia"/>
                <w:color w:val="auto"/>
                <w:highlight w:val="none"/>
                <w:lang w:val="en-US" w:eastAsia="zh-CN"/>
              </w:rPr>
              <w:t>自动稀释系统</w:t>
            </w:r>
          </w:p>
        </w:tc>
        <w:tc>
          <w:tcPr>
            <w:tcW w:w="1677" w:type="pct"/>
            <w:vAlign w:val="center"/>
          </w:tcPr>
          <w:p w14:paraId="105E1B38">
            <w:pPr>
              <w:pStyle w:val="17"/>
              <w:bidi w:val="0"/>
              <w:rPr>
                <w:rFonts w:hint="default"/>
                <w:color w:val="auto"/>
                <w:highlight w:val="none"/>
                <w:lang w:val="en-US" w:eastAsia="zh-CN"/>
              </w:rPr>
            </w:pPr>
            <w:r>
              <w:rPr>
                <w:rFonts w:hint="eastAsia"/>
                <w:color w:val="auto"/>
                <w:highlight w:val="none"/>
                <w:lang w:val="en-US" w:eastAsia="zh-CN"/>
              </w:rPr>
              <w:t>/</w:t>
            </w:r>
          </w:p>
        </w:tc>
        <w:tc>
          <w:tcPr>
            <w:tcW w:w="414" w:type="pct"/>
            <w:vAlign w:val="center"/>
          </w:tcPr>
          <w:p w14:paraId="355DD544">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41502DB8">
            <w:pPr>
              <w:pStyle w:val="17"/>
              <w:bidi w:val="0"/>
              <w:rPr>
                <w:rFonts w:hint="default"/>
                <w:color w:val="auto"/>
                <w:highlight w:val="none"/>
                <w:lang w:val="en-US" w:eastAsia="zh-CN"/>
              </w:rPr>
            </w:pPr>
            <w:r>
              <w:rPr>
                <w:rFonts w:hint="eastAsia"/>
                <w:color w:val="auto"/>
                <w:highlight w:val="none"/>
                <w:lang w:val="en-US" w:eastAsia="zh-CN"/>
              </w:rPr>
              <w:t>套</w:t>
            </w:r>
          </w:p>
        </w:tc>
        <w:tc>
          <w:tcPr>
            <w:tcW w:w="636" w:type="pct"/>
            <w:vAlign w:val="center"/>
          </w:tcPr>
          <w:p w14:paraId="2A37F1C1">
            <w:pPr>
              <w:pStyle w:val="17"/>
              <w:bidi w:val="0"/>
              <w:rPr>
                <w:rFonts w:hint="default"/>
                <w:color w:val="auto"/>
                <w:highlight w:val="none"/>
                <w:lang w:val="en-US" w:eastAsia="zh-CN"/>
              </w:rPr>
            </w:pPr>
          </w:p>
        </w:tc>
      </w:tr>
      <w:tr w14:paraId="2BC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00" w:type="pct"/>
            <w:gridSpan w:val="6"/>
            <w:vAlign w:val="center"/>
          </w:tcPr>
          <w:p w14:paraId="51BA66AC">
            <w:pPr>
              <w:pStyle w:val="17"/>
              <w:bidi w:val="0"/>
              <w:rPr>
                <w:rFonts w:hint="default"/>
                <w:color w:val="auto"/>
                <w:highlight w:val="none"/>
                <w:lang w:val="en-US" w:eastAsia="zh-CN"/>
              </w:rPr>
            </w:pPr>
            <w:r>
              <w:rPr>
                <w:rFonts w:hint="eastAsia"/>
                <w:color w:val="auto"/>
                <w:highlight w:val="none"/>
                <w:lang w:val="en-US" w:eastAsia="zh-CN"/>
              </w:rPr>
              <w:t>尾矿浓缩和底流输送</w:t>
            </w:r>
          </w:p>
        </w:tc>
      </w:tr>
      <w:tr w14:paraId="1590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7B26B53">
            <w:pPr>
              <w:pStyle w:val="17"/>
              <w:bidi w:val="0"/>
              <w:rPr>
                <w:rFonts w:hint="default"/>
                <w:color w:val="auto"/>
                <w:highlight w:val="none"/>
                <w:lang w:val="en-US" w:eastAsia="zh-CN"/>
              </w:rPr>
            </w:pPr>
            <w:r>
              <w:rPr>
                <w:rFonts w:hint="eastAsia"/>
                <w:color w:val="auto"/>
                <w:highlight w:val="none"/>
                <w:lang w:val="en-US" w:eastAsia="zh-CN"/>
              </w:rPr>
              <w:t>1</w:t>
            </w:r>
          </w:p>
        </w:tc>
        <w:tc>
          <w:tcPr>
            <w:tcW w:w="1275" w:type="pct"/>
            <w:vAlign w:val="center"/>
          </w:tcPr>
          <w:p w14:paraId="349FD9D0">
            <w:pPr>
              <w:pStyle w:val="17"/>
              <w:bidi w:val="0"/>
              <w:rPr>
                <w:rFonts w:hint="eastAsia"/>
                <w:color w:val="auto"/>
                <w:highlight w:val="none"/>
                <w:lang w:val="en-US" w:eastAsia="zh-CN"/>
              </w:rPr>
            </w:pPr>
            <w:r>
              <w:rPr>
                <w:rFonts w:hint="eastAsia"/>
                <w:color w:val="auto"/>
                <w:highlight w:val="none"/>
                <w:lang w:val="en-US" w:eastAsia="zh-CN"/>
              </w:rPr>
              <w:t>高效浓密机</w:t>
            </w:r>
          </w:p>
        </w:tc>
        <w:tc>
          <w:tcPr>
            <w:tcW w:w="1677" w:type="pct"/>
            <w:vAlign w:val="center"/>
          </w:tcPr>
          <w:p w14:paraId="6D11F4BF">
            <w:pPr>
              <w:pStyle w:val="17"/>
              <w:bidi w:val="0"/>
              <w:rPr>
                <w:rFonts w:hint="default"/>
                <w:color w:val="auto"/>
                <w:highlight w:val="none"/>
                <w:lang w:val="en-US" w:eastAsia="zh-CN"/>
              </w:rPr>
            </w:pPr>
            <w:r>
              <w:rPr>
                <w:rFonts w:hint="eastAsia"/>
                <w:color w:val="auto"/>
                <w:highlight w:val="none"/>
                <w:lang w:val="en-US" w:eastAsia="zh-CN"/>
              </w:rPr>
              <w:t>Φ30m</w:t>
            </w:r>
          </w:p>
        </w:tc>
        <w:tc>
          <w:tcPr>
            <w:tcW w:w="414" w:type="pct"/>
            <w:vAlign w:val="center"/>
          </w:tcPr>
          <w:p w14:paraId="4C23FDEE">
            <w:pPr>
              <w:pStyle w:val="17"/>
              <w:bidi w:val="0"/>
              <w:rPr>
                <w:rFonts w:hint="default"/>
                <w:color w:val="auto"/>
                <w:highlight w:val="none"/>
                <w:lang w:val="en-US" w:eastAsia="zh-CN"/>
              </w:rPr>
            </w:pPr>
            <w:r>
              <w:rPr>
                <w:rFonts w:hint="eastAsia"/>
                <w:color w:val="auto"/>
                <w:highlight w:val="none"/>
                <w:lang w:val="en-US" w:eastAsia="zh-CN"/>
              </w:rPr>
              <w:t>1</w:t>
            </w:r>
          </w:p>
        </w:tc>
        <w:tc>
          <w:tcPr>
            <w:tcW w:w="699" w:type="pct"/>
            <w:vAlign w:val="center"/>
          </w:tcPr>
          <w:p w14:paraId="557E6A19">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0DAECEBA">
            <w:pPr>
              <w:pStyle w:val="17"/>
              <w:bidi w:val="0"/>
              <w:rPr>
                <w:rFonts w:hint="default"/>
                <w:color w:val="auto"/>
                <w:highlight w:val="none"/>
                <w:lang w:val="en-US" w:eastAsia="zh-CN"/>
              </w:rPr>
            </w:pPr>
          </w:p>
        </w:tc>
      </w:tr>
      <w:tr w14:paraId="2992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42B8D55C">
            <w:pPr>
              <w:pStyle w:val="17"/>
              <w:bidi w:val="0"/>
              <w:rPr>
                <w:rFonts w:hint="default"/>
                <w:color w:val="auto"/>
                <w:highlight w:val="none"/>
                <w:lang w:val="en-US" w:eastAsia="zh-CN"/>
              </w:rPr>
            </w:pPr>
            <w:r>
              <w:rPr>
                <w:rFonts w:hint="eastAsia"/>
                <w:color w:val="auto"/>
                <w:highlight w:val="none"/>
                <w:lang w:val="en-US" w:eastAsia="zh-CN"/>
              </w:rPr>
              <w:t>2</w:t>
            </w:r>
          </w:p>
        </w:tc>
        <w:tc>
          <w:tcPr>
            <w:tcW w:w="1275" w:type="pct"/>
            <w:vAlign w:val="center"/>
          </w:tcPr>
          <w:p w14:paraId="6B8666CA">
            <w:pPr>
              <w:pStyle w:val="17"/>
              <w:bidi w:val="0"/>
              <w:rPr>
                <w:rFonts w:hint="eastAsia"/>
                <w:color w:val="auto"/>
                <w:highlight w:val="none"/>
                <w:lang w:val="en-US" w:eastAsia="zh-CN"/>
              </w:rPr>
            </w:pPr>
            <w:r>
              <w:rPr>
                <w:rFonts w:hint="eastAsia"/>
                <w:color w:val="auto"/>
                <w:highlight w:val="none"/>
                <w:lang w:val="en-US" w:eastAsia="zh-CN"/>
              </w:rPr>
              <w:t>渣浆泵（尾矿库）</w:t>
            </w:r>
          </w:p>
        </w:tc>
        <w:tc>
          <w:tcPr>
            <w:tcW w:w="1677" w:type="pct"/>
            <w:vAlign w:val="center"/>
          </w:tcPr>
          <w:p w14:paraId="34BA83A9">
            <w:pPr>
              <w:pStyle w:val="17"/>
              <w:bidi w:val="0"/>
              <w:rPr>
                <w:rFonts w:hint="default"/>
                <w:color w:val="auto"/>
                <w:highlight w:val="none"/>
                <w:lang w:val="en-US" w:eastAsia="zh-CN"/>
              </w:rPr>
            </w:pPr>
            <w:r>
              <w:rPr>
                <w:rFonts w:hint="eastAsia"/>
                <w:color w:val="auto"/>
                <w:highlight w:val="none"/>
                <w:lang w:val="en-US" w:eastAsia="zh-CN"/>
              </w:rPr>
              <w:t>Q=300m</w:t>
            </w:r>
            <w:r>
              <w:rPr>
                <w:rFonts w:hint="eastAsia"/>
                <w:color w:val="auto"/>
                <w:highlight w:val="none"/>
                <w:vertAlign w:val="superscript"/>
                <w:lang w:val="en-US" w:eastAsia="zh-CN"/>
              </w:rPr>
              <w:t>3</w:t>
            </w:r>
            <w:r>
              <w:rPr>
                <w:rFonts w:hint="eastAsia"/>
                <w:color w:val="auto"/>
                <w:highlight w:val="none"/>
                <w:lang w:val="en-US" w:eastAsia="zh-CN"/>
              </w:rPr>
              <w:t>/h，Hs=60m</w:t>
            </w:r>
          </w:p>
        </w:tc>
        <w:tc>
          <w:tcPr>
            <w:tcW w:w="414" w:type="pct"/>
            <w:vAlign w:val="center"/>
          </w:tcPr>
          <w:p w14:paraId="78A1F0CF">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795BBB5D">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39781547">
            <w:pPr>
              <w:pStyle w:val="17"/>
              <w:bidi w:val="0"/>
              <w:rPr>
                <w:rFonts w:hint="default"/>
                <w:color w:val="auto"/>
                <w:highlight w:val="none"/>
                <w:lang w:val="en-US" w:eastAsia="zh-CN"/>
              </w:rPr>
            </w:pPr>
          </w:p>
        </w:tc>
      </w:tr>
      <w:tr w14:paraId="1766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35403E78">
            <w:pPr>
              <w:pStyle w:val="17"/>
              <w:bidi w:val="0"/>
              <w:rPr>
                <w:rFonts w:hint="default"/>
                <w:color w:val="auto"/>
                <w:highlight w:val="none"/>
                <w:lang w:val="en-US" w:eastAsia="zh-CN"/>
              </w:rPr>
            </w:pPr>
            <w:r>
              <w:rPr>
                <w:rFonts w:hint="eastAsia"/>
                <w:color w:val="auto"/>
                <w:highlight w:val="none"/>
                <w:lang w:val="en-US" w:eastAsia="zh-CN"/>
              </w:rPr>
              <w:t>3</w:t>
            </w:r>
          </w:p>
        </w:tc>
        <w:tc>
          <w:tcPr>
            <w:tcW w:w="1275" w:type="pct"/>
            <w:vAlign w:val="center"/>
          </w:tcPr>
          <w:p w14:paraId="1AE27781">
            <w:pPr>
              <w:pStyle w:val="17"/>
              <w:bidi w:val="0"/>
              <w:rPr>
                <w:rFonts w:hint="eastAsia"/>
                <w:color w:val="auto"/>
                <w:highlight w:val="none"/>
                <w:lang w:val="en-US" w:eastAsia="zh-CN"/>
              </w:rPr>
            </w:pPr>
            <w:r>
              <w:rPr>
                <w:rFonts w:hint="eastAsia"/>
                <w:color w:val="auto"/>
                <w:highlight w:val="none"/>
                <w:lang w:val="en-US" w:eastAsia="zh-CN"/>
              </w:rPr>
              <w:t>渣浆泵（充填站）</w:t>
            </w:r>
          </w:p>
        </w:tc>
        <w:tc>
          <w:tcPr>
            <w:tcW w:w="1677" w:type="pct"/>
            <w:vAlign w:val="center"/>
          </w:tcPr>
          <w:p w14:paraId="520FF712">
            <w:pPr>
              <w:pStyle w:val="17"/>
              <w:bidi w:val="0"/>
              <w:rPr>
                <w:rFonts w:hint="default"/>
                <w:color w:val="auto"/>
                <w:highlight w:val="none"/>
                <w:lang w:val="en-US" w:eastAsia="zh-CN"/>
              </w:rPr>
            </w:pPr>
            <w:r>
              <w:rPr>
                <w:rFonts w:hint="eastAsia"/>
                <w:color w:val="auto"/>
                <w:highlight w:val="none"/>
                <w:lang w:val="en-US" w:eastAsia="zh-CN"/>
              </w:rPr>
              <w:t>Q=330m</w:t>
            </w:r>
            <w:r>
              <w:rPr>
                <w:rFonts w:hint="eastAsia"/>
                <w:color w:val="auto"/>
                <w:highlight w:val="none"/>
                <w:vertAlign w:val="superscript"/>
                <w:lang w:val="en-US" w:eastAsia="zh-CN"/>
              </w:rPr>
              <w:t>3</w:t>
            </w:r>
            <w:r>
              <w:rPr>
                <w:rFonts w:hint="eastAsia"/>
                <w:color w:val="auto"/>
                <w:highlight w:val="none"/>
                <w:lang w:val="en-US" w:eastAsia="zh-CN"/>
              </w:rPr>
              <w:t>/h，Hs=50m</w:t>
            </w:r>
          </w:p>
        </w:tc>
        <w:tc>
          <w:tcPr>
            <w:tcW w:w="414" w:type="pct"/>
            <w:vAlign w:val="center"/>
          </w:tcPr>
          <w:p w14:paraId="52A75F18">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7ADE77E5">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5E233EBC">
            <w:pPr>
              <w:pStyle w:val="17"/>
              <w:bidi w:val="0"/>
              <w:rPr>
                <w:rFonts w:hint="default"/>
                <w:color w:val="auto"/>
                <w:highlight w:val="none"/>
                <w:lang w:val="en-US" w:eastAsia="zh-CN"/>
              </w:rPr>
            </w:pPr>
          </w:p>
        </w:tc>
      </w:tr>
      <w:tr w14:paraId="3917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2D6A4151">
            <w:pPr>
              <w:pStyle w:val="17"/>
              <w:bidi w:val="0"/>
              <w:rPr>
                <w:rFonts w:hint="default"/>
                <w:color w:val="auto"/>
                <w:highlight w:val="none"/>
                <w:lang w:val="en-US" w:eastAsia="zh-CN"/>
              </w:rPr>
            </w:pPr>
            <w:r>
              <w:rPr>
                <w:rFonts w:hint="eastAsia"/>
                <w:color w:val="auto"/>
                <w:highlight w:val="none"/>
                <w:lang w:val="en-US" w:eastAsia="zh-CN"/>
              </w:rPr>
              <w:t>4</w:t>
            </w:r>
          </w:p>
        </w:tc>
        <w:tc>
          <w:tcPr>
            <w:tcW w:w="1275" w:type="pct"/>
            <w:vAlign w:val="center"/>
          </w:tcPr>
          <w:p w14:paraId="38D2AF7F">
            <w:pPr>
              <w:pStyle w:val="17"/>
              <w:bidi w:val="0"/>
              <w:rPr>
                <w:rFonts w:hint="eastAsia"/>
                <w:color w:val="auto"/>
                <w:highlight w:val="none"/>
                <w:lang w:val="en-US" w:eastAsia="zh-CN"/>
              </w:rPr>
            </w:pPr>
            <w:r>
              <w:rPr>
                <w:rFonts w:hint="eastAsia"/>
                <w:color w:val="auto"/>
                <w:highlight w:val="none"/>
                <w:lang w:val="en-US" w:eastAsia="zh-CN"/>
              </w:rPr>
              <w:t>水封水泵</w:t>
            </w:r>
          </w:p>
        </w:tc>
        <w:tc>
          <w:tcPr>
            <w:tcW w:w="1677" w:type="pct"/>
            <w:vAlign w:val="center"/>
          </w:tcPr>
          <w:p w14:paraId="22CE5020">
            <w:pPr>
              <w:pStyle w:val="17"/>
              <w:bidi w:val="0"/>
              <w:rPr>
                <w:rFonts w:hint="default"/>
                <w:color w:val="auto"/>
                <w:highlight w:val="none"/>
                <w:lang w:val="en-US" w:eastAsia="zh-CN"/>
              </w:rPr>
            </w:pPr>
            <w:r>
              <w:rPr>
                <w:rFonts w:hint="eastAsia"/>
                <w:color w:val="auto"/>
                <w:highlight w:val="none"/>
                <w:lang w:val="en-US" w:eastAsia="zh-CN"/>
              </w:rPr>
              <w:t>Q=6.3m</w:t>
            </w:r>
            <w:r>
              <w:rPr>
                <w:rFonts w:hint="eastAsia"/>
                <w:color w:val="auto"/>
                <w:highlight w:val="none"/>
                <w:vertAlign w:val="superscript"/>
                <w:lang w:val="en-US" w:eastAsia="zh-CN"/>
              </w:rPr>
              <w:t>3</w:t>
            </w:r>
            <w:r>
              <w:rPr>
                <w:rFonts w:hint="eastAsia"/>
                <w:color w:val="auto"/>
                <w:highlight w:val="none"/>
                <w:lang w:val="en-US" w:eastAsia="zh-CN"/>
              </w:rPr>
              <w:t>/h，H=75m</w:t>
            </w:r>
          </w:p>
        </w:tc>
        <w:tc>
          <w:tcPr>
            <w:tcW w:w="414" w:type="pct"/>
            <w:vAlign w:val="center"/>
          </w:tcPr>
          <w:p w14:paraId="400A3CF9">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2525B5BC">
            <w:pPr>
              <w:pStyle w:val="17"/>
              <w:bidi w:val="0"/>
              <w:ind w:firstLine="0" w:firstLineChars="0"/>
              <w:rPr>
                <w:rFonts w:hint="default"/>
                <w:color w:val="auto"/>
                <w:highlight w:val="none"/>
                <w:lang w:val="en-US" w:eastAsia="zh-CN"/>
              </w:rPr>
            </w:pPr>
            <w:r>
              <w:rPr>
                <w:rFonts w:hint="eastAsia"/>
                <w:color w:val="auto"/>
                <w:highlight w:val="none"/>
                <w:lang w:val="en-US" w:eastAsia="zh-CN"/>
              </w:rPr>
              <w:t>台</w:t>
            </w:r>
          </w:p>
        </w:tc>
        <w:tc>
          <w:tcPr>
            <w:tcW w:w="636" w:type="pct"/>
            <w:vAlign w:val="center"/>
          </w:tcPr>
          <w:p w14:paraId="13F25DC9">
            <w:pPr>
              <w:pStyle w:val="17"/>
              <w:bidi w:val="0"/>
              <w:rPr>
                <w:rFonts w:hint="default"/>
                <w:color w:val="auto"/>
                <w:highlight w:val="none"/>
                <w:lang w:val="en-US" w:eastAsia="zh-CN"/>
              </w:rPr>
            </w:pPr>
          </w:p>
        </w:tc>
      </w:tr>
      <w:tr w14:paraId="50BB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8" w:type="pct"/>
            <w:vAlign w:val="center"/>
          </w:tcPr>
          <w:p w14:paraId="5617F783">
            <w:pPr>
              <w:pStyle w:val="17"/>
              <w:bidi w:val="0"/>
              <w:rPr>
                <w:rFonts w:hint="default"/>
                <w:color w:val="auto"/>
                <w:highlight w:val="none"/>
                <w:lang w:val="en-US" w:eastAsia="zh-CN"/>
              </w:rPr>
            </w:pPr>
            <w:r>
              <w:rPr>
                <w:rFonts w:hint="eastAsia"/>
                <w:color w:val="auto"/>
                <w:highlight w:val="none"/>
                <w:lang w:val="en-US" w:eastAsia="zh-CN"/>
              </w:rPr>
              <w:t>5</w:t>
            </w:r>
          </w:p>
        </w:tc>
        <w:tc>
          <w:tcPr>
            <w:tcW w:w="1275" w:type="pct"/>
            <w:vAlign w:val="center"/>
          </w:tcPr>
          <w:p w14:paraId="35E0A321">
            <w:pPr>
              <w:pStyle w:val="17"/>
              <w:bidi w:val="0"/>
              <w:rPr>
                <w:rFonts w:hint="eastAsia"/>
                <w:color w:val="auto"/>
                <w:highlight w:val="none"/>
                <w:lang w:val="en-US" w:eastAsia="zh-CN"/>
              </w:rPr>
            </w:pPr>
            <w:r>
              <w:rPr>
                <w:rFonts w:hint="eastAsia"/>
                <w:color w:val="auto"/>
                <w:highlight w:val="none"/>
                <w:lang w:val="en-US" w:eastAsia="zh-CN"/>
              </w:rPr>
              <w:t>液下泵</w:t>
            </w:r>
          </w:p>
        </w:tc>
        <w:tc>
          <w:tcPr>
            <w:tcW w:w="1677" w:type="pct"/>
            <w:vAlign w:val="center"/>
          </w:tcPr>
          <w:p w14:paraId="6E94B49C">
            <w:pPr>
              <w:pStyle w:val="17"/>
              <w:bidi w:val="0"/>
              <w:rPr>
                <w:rFonts w:hint="default"/>
                <w:color w:val="auto"/>
                <w:highlight w:val="none"/>
                <w:lang w:val="en-US" w:eastAsia="zh-CN"/>
              </w:rPr>
            </w:pPr>
            <w:r>
              <w:rPr>
                <w:rFonts w:hint="eastAsia"/>
                <w:color w:val="auto"/>
                <w:highlight w:val="none"/>
                <w:lang w:val="en-US" w:eastAsia="zh-CN"/>
              </w:rPr>
              <w:t>Q=33m</w:t>
            </w:r>
            <w:r>
              <w:rPr>
                <w:rFonts w:hint="eastAsia"/>
                <w:color w:val="auto"/>
                <w:highlight w:val="none"/>
                <w:vertAlign w:val="superscript"/>
                <w:lang w:val="en-US" w:eastAsia="zh-CN"/>
              </w:rPr>
              <w:t>3</w:t>
            </w:r>
            <w:r>
              <w:rPr>
                <w:rFonts w:hint="eastAsia"/>
                <w:color w:val="auto"/>
                <w:highlight w:val="none"/>
                <w:lang w:val="en-US" w:eastAsia="zh-CN"/>
              </w:rPr>
              <w:t>/h，Hs=30m</w:t>
            </w:r>
          </w:p>
        </w:tc>
        <w:tc>
          <w:tcPr>
            <w:tcW w:w="414" w:type="pct"/>
            <w:vAlign w:val="center"/>
          </w:tcPr>
          <w:p w14:paraId="7656725E">
            <w:pPr>
              <w:pStyle w:val="17"/>
              <w:bidi w:val="0"/>
              <w:rPr>
                <w:rFonts w:hint="default"/>
                <w:color w:val="auto"/>
                <w:highlight w:val="none"/>
                <w:lang w:val="en-US" w:eastAsia="zh-CN"/>
              </w:rPr>
            </w:pPr>
            <w:r>
              <w:rPr>
                <w:rFonts w:hint="eastAsia"/>
                <w:color w:val="auto"/>
                <w:highlight w:val="none"/>
                <w:lang w:val="en-US" w:eastAsia="zh-CN"/>
              </w:rPr>
              <w:t>2</w:t>
            </w:r>
          </w:p>
        </w:tc>
        <w:tc>
          <w:tcPr>
            <w:tcW w:w="699" w:type="pct"/>
            <w:vAlign w:val="center"/>
          </w:tcPr>
          <w:p w14:paraId="5997BD0E">
            <w:pPr>
              <w:pStyle w:val="17"/>
              <w:bidi w:val="0"/>
              <w:ind w:firstLine="0" w:firstLineChars="0"/>
              <w:rPr>
                <w:rFonts w:hint="eastAsia"/>
                <w:color w:val="auto"/>
                <w:highlight w:val="none"/>
                <w:lang w:val="en-US" w:eastAsia="zh-CN"/>
              </w:rPr>
            </w:pPr>
            <w:r>
              <w:rPr>
                <w:rFonts w:hint="eastAsia"/>
                <w:color w:val="auto"/>
                <w:highlight w:val="none"/>
                <w:lang w:val="en-US" w:eastAsia="zh-CN"/>
              </w:rPr>
              <w:t>台</w:t>
            </w:r>
          </w:p>
        </w:tc>
        <w:tc>
          <w:tcPr>
            <w:tcW w:w="636" w:type="pct"/>
            <w:vAlign w:val="center"/>
          </w:tcPr>
          <w:p w14:paraId="52DB6CBB">
            <w:pPr>
              <w:pStyle w:val="17"/>
              <w:bidi w:val="0"/>
              <w:rPr>
                <w:rFonts w:hint="default"/>
                <w:color w:val="auto"/>
                <w:highlight w:val="none"/>
                <w:lang w:val="en-US" w:eastAsia="zh-CN"/>
              </w:rPr>
            </w:pPr>
          </w:p>
        </w:tc>
      </w:tr>
    </w:tbl>
    <w:p w14:paraId="6D312BD2">
      <w:pPr>
        <w:pStyle w:val="7"/>
        <w:ind w:firstLine="482"/>
        <w:rPr>
          <w:color w:val="auto"/>
          <w:highlight w:val="none"/>
        </w:rPr>
      </w:pPr>
      <w:bookmarkStart w:id="356" w:name="_Toc9110"/>
      <w:bookmarkStart w:id="357" w:name="_Toc26345"/>
      <w:bookmarkStart w:id="358" w:name="_Toc11305"/>
      <w:bookmarkStart w:id="359" w:name="_Toc25938"/>
      <w:bookmarkStart w:id="360" w:name="_Toc4290"/>
      <w:r>
        <w:rPr>
          <w:rFonts w:hint="eastAsia"/>
          <w:color w:val="auto"/>
          <w:highlight w:val="none"/>
        </w:rPr>
        <w:t>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5.</w:t>
      </w:r>
      <w:r>
        <w:rPr>
          <w:rFonts w:hint="eastAsia"/>
          <w:color w:val="auto"/>
          <w:highlight w:val="none"/>
        </w:rPr>
        <w:t>2主要</w:t>
      </w:r>
      <w:r>
        <w:rPr>
          <w:color w:val="auto"/>
          <w:highlight w:val="none"/>
        </w:rPr>
        <w:t>原辅材料及能源消耗</w:t>
      </w:r>
    </w:p>
    <w:p w14:paraId="44384C36">
      <w:pPr>
        <w:overflowPunct w:val="0"/>
        <w:topLinePunct/>
        <w:spacing w:line="480" w:lineRule="exact"/>
        <w:ind w:firstLine="480"/>
        <w:rPr>
          <w:rFonts w:hint="eastAsia" w:cs="Times New Roman"/>
          <w:color w:val="auto"/>
          <w:sz w:val="24"/>
          <w:highlight w:val="none"/>
        </w:rPr>
      </w:pPr>
      <w:r>
        <w:rPr>
          <w:rFonts w:hint="eastAsia" w:cs="Times New Roman"/>
          <w:color w:val="auto"/>
          <w:sz w:val="24"/>
          <w:highlight w:val="none"/>
        </w:rPr>
        <w:t>（1）</w:t>
      </w:r>
      <w:r>
        <w:rPr>
          <w:rFonts w:hint="eastAsia" w:cs="Times New Roman"/>
          <w:color w:val="auto"/>
          <w:sz w:val="24"/>
          <w:highlight w:val="none"/>
          <w:lang w:val="en-US" w:eastAsia="zh-CN"/>
        </w:rPr>
        <w:t>开采</w:t>
      </w:r>
      <w:r>
        <w:rPr>
          <w:rFonts w:hint="eastAsia" w:cs="Times New Roman"/>
          <w:color w:val="auto"/>
          <w:sz w:val="24"/>
          <w:highlight w:val="none"/>
        </w:rPr>
        <w:t>原辅材料</w:t>
      </w:r>
    </w:p>
    <w:p w14:paraId="5BEC6EA2">
      <w:pPr>
        <w:pStyle w:val="19"/>
        <w:bidi w:val="0"/>
        <w:jc w:val="center"/>
        <w:outlineLvl w:val="9"/>
        <w:rPr>
          <w:rFonts w:hint="eastAsia"/>
          <w:color w:val="auto"/>
          <w:highlight w:val="none"/>
          <w:lang w:val="en-US" w:eastAsia="zh-CN"/>
        </w:rPr>
      </w:pPr>
      <w:r>
        <w:rPr>
          <w:rFonts w:hint="eastAsia"/>
          <w:color w:val="auto"/>
          <w:highlight w:val="none"/>
          <w:lang w:val="en-US" w:eastAsia="zh-CN"/>
        </w:rPr>
        <w:t>表3.1-5本项目原辅材料一览表</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1155"/>
        <w:gridCol w:w="1351"/>
        <w:gridCol w:w="1544"/>
        <w:gridCol w:w="2355"/>
        <w:gridCol w:w="1429"/>
      </w:tblGrid>
      <w:tr w14:paraId="3BC9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64E99953">
            <w:pPr>
              <w:pStyle w:val="17"/>
              <w:bidi w:val="0"/>
              <w:rPr>
                <w:rFonts w:hint="eastAsia"/>
                <w:color w:val="auto"/>
                <w:highlight w:val="none"/>
                <w:lang w:val="en-US" w:eastAsia="zh-CN"/>
              </w:rPr>
            </w:pPr>
            <w:r>
              <w:rPr>
                <w:rFonts w:hint="eastAsia"/>
                <w:color w:val="auto"/>
                <w:highlight w:val="none"/>
              </w:rPr>
              <w:t>序号</w:t>
            </w:r>
          </w:p>
        </w:tc>
        <w:tc>
          <w:tcPr>
            <w:tcW w:w="678" w:type="pct"/>
            <w:shd w:val="clear" w:color="auto" w:fill="auto"/>
            <w:vAlign w:val="center"/>
          </w:tcPr>
          <w:p w14:paraId="5BBD2446">
            <w:pPr>
              <w:pStyle w:val="17"/>
              <w:bidi w:val="0"/>
              <w:rPr>
                <w:rFonts w:hint="eastAsia"/>
                <w:color w:val="auto"/>
                <w:highlight w:val="none"/>
                <w:lang w:val="en-US" w:eastAsia="zh-CN"/>
              </w:rPr>
            </w:pPr>
            <w:r>
              <w:rPr>
                <w:rFonts w:hint="eastAsia"/>
                <w:color w:val="auto"/>
                <w:highlight w:val="none"/>
                <w:lang w:val="en-US" w:eastAsia="zh-CN"/>
              </w:rPr>
              <w:t>材料名称</w:t>
            </w:r>
          </w:p>
        </w:tc>
        <w:tc>
          <w:tcPr>
            <w:tcW w:w="793" w:type="pct"/>
            <w:shd w:val="clear" w:color="auto" w:fill="auto"/>
            <w:vAlign w:val="center"/>
          </w:tcPr>
          <w:p w14:paraId="47AA8D17">
            <w:pPr>
              <w:pStyle w:val="17"/>
              <w:bidi w:val="0"/>
              <w:rPr>
                <w:rFonts w:hint="eastAsia"/>
                <w:color w:val="auto"/>
                <w:highlight w:val="none"/>
                <w:lang w:val="en-US" w:eastAsia="zh-CN"/>
              </w:rPr>
            </w:pPr>
            <w:r>
              <w:rPr>
                <w:rFonts w:hint="eastAsia"/>
                <w:color w:val="auto"/>
                <w:highlight w:val="none"/>
              </w:rPr>
              <w:t>年消耗量（t/a）</w:t>
            </w:r>
          </w:p>
        </w:tc>
        <w:tc>
          <w:tcPr>
            <w:tcW w:w="906" w:type="pct"/>
            <w:shd w:val="clear" w:color="auto" w:fill="auto"/>
            <w:vAlign w:val="center"/>
          </w:tcPr>
          <w:p w14:paraId="7A3BC445">
            <w:pPr>
              <w:pStyle w:val="17"/>
              <w:bidi w:val="0"/>
              <w:rPr>
                <w:rFonts w:hint="eastAsia"/>
                <w:color w:val="auto"/>
                <w:highlight w:val="none"/>
                <w:lang w:val="en-US" w:eastAsia="zh-CN"/>
              </w:rPr>
            </w:pPr>
            <w:r>
              <w:rPr>
                <w:rFonts w:hint="eastAsia"/>
                <w:color w:val="auto"/>
                <w:highlight w:val="none"/>
                <w:lang w:val="en-US" w:eastAsia="zh-CN"/>
              </w:rPr>
              <w:t>性状</w:t>
            </w:r>
          </w:p>
        </w:tc>
        <w:tc>
          <w:tcPr>
            <w:tcW w:w="1382" w:type="pct"/>
            <w:vAlign w:val="center"/>
          </w:tcPr>
          <w:p w14:paraId="6F7840B9">
            <w:pPr>
              <w:pStyle w:val="17"/>
              <w:bidi w:val="0"/>
              <w:rPr>
                <w:rFonts w:hint="default"/>
                <w:color w:val="auto"/>
                <w:highlight w:val="none"/>
                <w:lang w:val="en-US" w:eastAsia="zh-CN"/>
              </w:rPr>
            </w:pPr>
            <w:r>
              <w:rPr>
                <w:rFonts w:hint="eastAsia"/>
                <w:color w:val="auto"/>
                <w:highlight w:val="none"/>
                <w:lang w:val="en-US" w:eastAsia="zh-CN"/>
              </w:rPr>
              <w:t>存放位置</w:t>
            </w:r>
          </w:p>
        </w:tc>
        <w:tc>
          <w:tcPr>
            <w:tcW w:w="838" w:type="pct"/>
            <w:vAlign w:val="center"/>
          </w:tcPr>
          <w:p w14:paraId="4D703CED">
            <w:pPr>
              <w:pStyle w:val="17"/>
              <w:bidi w:val="0"/>
              <w:rPr>
                <w:rFonts w:hint="default"/>
                <w:color w:val="auto"/>
                <w:highlight w:val="none"/>
                <w:lang w:val="en-US" w:eastAsia="zh-CN"/>
              </w:rPr>
            </w:pPr>
            <w:r>
              <w:rPr>
                <w:rFonts w:hint="eastAsia"/>
                <w:color w:val="auto"/>
                <w:highlight w:val="none"/>
                <w:lang w:val="en-US" w:eastAsia="zh-CN"/>
              </w:rPr>
              <w:t>备注</w:t>
            </w:r>
          </w:p>
        </w:tc>
      </w:tr>
      <w:tr w14:paraId="7EF9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255128C7">
            <w:pPr>
              <w:pStyle w:val="17"/>
              <w:bidi w:val="0"/>
              <w:rPr>
                <w:rFonts w:hint="eastAsia"/>
                <w:color w:val="auto"/>
                <w:highlight w:val="none"/>
                <w:lang w:val="en-US" w:eastAsia="zh-CN"/>
              </w:rPr>
            </w:pPr>
            <w:r>
              <w:rPr>
                <w:rFonts w:hint="eastAsia"/>
                <w:color w:val="auto"/>
                <w:highlight w:val="none"/>
              </w:rPr>
              <w:t>1</w:t>
            </w:r>
          </w:p>
        </w:tc>
        <w:tc>
          <w:tcPr>
            <w:tcW w:w="678" w:type="pct"/>
            <w:shd w:val="clear" w:color="auto" w:fill="auto"/>
            <w:vAlign w:val="center"/>
          </w:tcPr>
          <w:p w14:paraId="4EA1FA94">
            <w:pPr>
              <w:pStyle w:val="17"/>
              <w:bidi w:val="0"/>
              <w:rPr>
                <w:rFonts w:hint="eastAsia"/>
                <w:color w:val="auto"/>
                <w:highlight w:val="none"/>
                <w:lang w:val="en-US" w:eastAsia="zh-CN"/>
              </w:rPr>
            </w:pPr>
            <w:r>
              <w:rPr>
                <w:rFonts w:hint="eastAsia"/>
                <w:color w:val="auto"/>
                <w:highlight w:val="none"/>
                <w:lang w:val="en-US" w:eastAsia="zh-CN"/>
              </w:rPr>
              <w:t>炸药</w:t>
            </w:r>
          </w:p>
        </w:tc>
        <w:tc>
          <w:tcPr>
            <w:tcW w:w="793" w:type="pct"/>
            <w:shd w:val="clear" w:color="auto" w:fill="auto"/>
            <w:vAlign w:val="center"/>
          </w:tcPr>
          <w:p w14:paraId="4448D603">
            <w:pPr>
              <w:pStyle w:val="17"/>
              <w:bidi w:val="0"/>
              <w:rPr>
                <w:rFonts w:hint="eastAsia"/>
                <w:color w:val="auto"/>
                <w:highlight w:val="none"/>
                <w:lang w:val="en-US" w:eastAsia="zh-CN"/>
              </w:rPr>
            </w:pPr>
            <w:r>
              <w:rPr>
                <w:rFonts w:hint="eastAsia"/>
                <w:color w:val="auto"/>
                <w:highlight w:val="none"/>
                <w:lang w:val="en-US" w:eastAsia="zh-CN"/>
              </w:rPr>
              <w:t>300</w:t>
            </w:r>
          </w:p>
        </w:tc>
        <w:tc>
          <w:tcPr>
            <w:tcW w:w="906" w:type="pct"/>
            <w:shd w:val="clear" w:color="auto" w:fill="auto"/>
            <w:vAlign w:val="center"/>
          </w:tcPr>
          <w:p w14:paraId="22F29467">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0D5377A0">
            <w:pPr>
              <w:pStyle w:val="17"/>
              <w:bidi w:val="0"/>
              <w:rPr>
                <w:rFonts w:hint="default"/>
                <w:color w:val="auto"/>
                <w:highlight w:val="none"/>
                <w:lang w:val="en-US" w:eastAsia="zh-CN"/>
              </w:rPr>
            </w:pPr>
            <w:r>
              <w:rPr>
                <w:rFonts w:hint="eastAsia"/>
                <w:color w:val="auto"/>
                <w:highlight w:val="none"/>
                <w:lang w:val="en-US" w:eastAsia="zh-CN"/>
              </w:rPr>
              <w:t>炸药库</w:t>
            </w:r>
          </w:p>
        </w:tc>
        <w:tc>
          <w:tcPr>
            <w:tcW w:w="838" w:type="pct"/>
            <w:vAlign w:val="center"/>
          </w:tcPr>
          <w:p w14:paraId="0389E88B">
            <w:pPr>
              <w:pStyle w:val="17"/>
              <w:bidi w:val="0"/>
              <w:rPr>
                <w:rFonts w:hint="eastAsia"/>
                <w:color w:val="auto"/>
                <w:highlight w:val="none"/>
                <w:lang w:val="en-US" w:eastAsia="zh-CN"/>
              </w:rPr>
            </w:pPr>
          </w:p>
        </w:tc>
      </w:tr>
      <w:tr w14:paraId="5234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3C8DE4D1">
            <w:pPr>
              <w:pStyle w:val="17"/>
              <w:bidi w:val="0"/>
              <w:rPr>
                <w:rFonts w:hint="eastAsia"/>
                <w:color w:val="auto"/>
                <w:highlight w:val="none"/>
                <w:lang w:val="en-US" w:eastAsia="zh-CN"/>
              </w:rPr>
            </w:pPr>
            <w:r>
              <w:rPr>
                <w:rFonts w:hint="eastAsia"/>
                <w:color w:val="auto"/>
                <w:highlight w:val="none"/>
              </w:rPr>
              <w:t>2</w:t>
            </w:r>
          </w:p>
        </w:tc>
        <w:tc>
          <w:tcPr>
            <w:tcW w:w="678" w:type="pct"/>
            <w:shd w:val="clear" w:color="auto" w:fill="auto"/>
            <w:vAlign w:val="center"/>
          </w:tcPr>
          <w:p w14:paraId="15686A87">
            <w:pPr>
              <w:pStyle w:val="17"/>
              <w:bidi w:val="0"/>
              <w:rPr>
                <w:rFonts w:hint="eastAsia"/>
                <w:color w:val="auto"/>
                <w:highlight w:val="none"/>
                <w:lang w:val="en-US" w:eastAsia="zh-CN"/>
              </w:rPr>
            </w:pPr>
            <w:r>
              <w:rPr>
                <w:rFonts w:hint="eastAsia"/>
                <w:color w:val="auto"/>
                <w:highlight w:val="none"/>
                <w:lang w:val="en-US" w:eastAsia="zh-CN"/>
              </w:rPr>
              <w:t>电雷管</w:t>
            </w:r>
          </w:p>
        </w:tc>
        <w:tc>
          <w:tcPr>
            <w:tcW w:w="793" w:type="pct"/>
            <w:shd w:val="clear" w:color="auto" w:fill="auto"/>
            <w:vAlign w:val="center"/>
          </w:tcPr>
          <w:p w14:paraId="0F14E4F4">
            <w:pPr>
              <w:pStyle w:val="17"/>
              <w:bidi w:val="0"/>
              <w:rPr>
                <w:rFonts w:hint="eastAsia"/>
                <w:color w:val="auto"/>
                <w:highlight w:val="none"/>
                <w:lang w:val="en-US" w:eastAsia="zh-CN"/>
              </w:rPr>
            </w:pPr>
            <w:r>
              <w:rPr>
                <w:rFonts w:hint="eastAsia"/>
                <w:color w:val="auto"/>
                <w:highlight w:val="none"/>
                <w:lang w:val="en-US" w:eastAsia="zh-CN"/>
              </w:rPr>
              <w:t>5</w:t>
            </w:r>
          </w:p>
        </w:tc>
        <w:tc>
          <w:tcPr>
            <w:tcW w:w="906" w:type="pct"/>
            <w:shd w:val="clear" w:color="auto" w:fill="auto"/>
            <w:vAlign w:val="center"/>
          </w:tcPr>
          <w:p w14:paraId="76C1FD9E">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4955166D">
            <w:pPr>
              <w:pStyle w:val="17"/>
              <w:bidi w:val="0"/>
              <w:rPr>
                <w:rFonts w:hint="eastAsia"/>
                <w:color w:val="auto"/>
                <w:highlight w:val="none"/>
                <w:lang w:val="en-US" w:eastAsia="zh-CN"/>
              </w:rPr>
            </w:pPr>
            <w:r>
              <w:rPr>
                <w:rFonts w:hint="eastAsia"/>
                <w:color w:val="auto"/>
                <w:highlight w:val="none"/>
                <w:lang w:val="en-US" w:eastAsia="zh-CN"/>
              </w:rPr>
              <w:t>炸药库</w:t>
            </w:r>
          </w:p>
        </w:tc>
        <w:tc>
          <w:tcPr>
            <w:tcW w:w="838" w:type="pct"/>
            <w:vAlign w:val="center"/>
          </w:tcPr>
          <w:p w14:paraId="29476E1F">
            <w:pPr>
              <w:pStyle w:val="17"/>
              <w:bidi w:val="0"/>
              <w:rPr>
                <w:rFonts w:hint="eastAsia"/>
                <w:color w:val="auto"/>
                <w:highlight w:val="none"/>
                <w:lang w:val="en-US" w:eastAsia="zh-CN"/>
              </w:rPr>
            </w:pPr>
          </w:p>
        </w:tc>
      </w:tr>
      <w:tr w14:paraId="2C2F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3BDFAB6E">
            <w:pPr>
              <w:pStyle w:val="17"/>
              <w:bidi w:val="0"/>
              <w:rPr>
                <w:rFonts w:hint="eastAsia"/>
                <w:color w:val="auto"/>
                <w:highlight w:val="none"/>
                <w:lang w:val="en-US" w:eastAsia="zh-CN"/>
              </w:rPr>
            </w:pPr>
            <w:r>
              <w:rPr>
                <w:rFonts w:hint="eastAsia"/>
                <w:color w:val="auto"/>
                <w:highlight w:val="none"/>
              </w:rPr>
              <w:t>3</w:t>
            </w:r>
          </w:p>
        </w:tc>
        <w:tc>
          <w:tcPr>
            <w:tcW w:w="678" w:type="pct"/>
            <w:shd w:val="clear" w:color="auto" w:fill="auto"/>
            <w:vAlign w:val="center"/>
          </w:tcPr>
          <w:p w14:paraId="7BB7A5F6">
            <w:pPr>
              <w:pStyle w:val="17"/>
              <w:bidi w:val="0"/>
              <w:rPr>
                <w:rFonts w:hint="eastAsia"/>
                <w:color w:val="auto"/>
                <w:highlight w:val="none"/>
                <w:lang w:val="en-US" w:eastAsia="zh-CN"/>
              </w:rPr>
            </w:pPr>
            <w:r>
              <w:rPr>
                <w:rFonts w:hint="eastAsia"/>
                <w:color w:val="auto"/>
                <w:highlight w:val="none"/>
                <w:lang w:val="en-US" w:eastAsia="zh-CN"/>
              </w:rPr>
              <w:t>非电雷管</w:t>
            </w:r>
          </w:p>
        </w:tc>
        <w:tc>
          <w:tcPr>
            <w:tcW w:w="793" w:type="pct"/>
            <w:shd w:val="clear" w:color="auto" w:fill="auto"/>
            <w:vAlign w:val="center"/>
          </w:tcPr>
          <w:p w14:paraId="5B4D03C6">
            <w:pPr>
              <w:pStyle w:val="17"/>
              <w:bidi w:val="0"/>
              <w:rPr>
                <w:rFonts w:hint="eastAsia"/>
                <w:color w:val="auto"/>
                <w:highlight w:val="none"/>
                <w:lang w:val="en-US" w:eastAsia="zh-CN"/>
              </w:rPr>
            </w:pPr>
            <w:r>
              <w:rPr>
                <w:rFonts w:hint="eastAsia"/>
                <w:color w:val="auto"/>
                <w:highlight w:val="none"/>
                <w:lang w:val="en-US" w:eastAsia="zh-CN"/>
              </w:rPr>
              <w:t>1</w:t>
            </w:r>
          </w:p>
        </w:tc>
        <w:tc>
          <w:tcPr>
            <w:tcW w:w="906" w:type="pct"/>
            <w:shd w:val="clear" w:color="auto" w:fill="auto"/>
            <w:vAlign w:val="center"/>
          </w:tcPr>
          <w:p w14:paraId="280CBC39">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5D3C7FC8">
            <w:pPr>
              <w:pStyle w:val="17"/>
              <w:bidi w:val="0"/>
              <w:rPr>
                <w:rFonts w:hint="eastAsia"/>
                <w:color w:val="auto"/>
                <w:highlight w:val="none"/>
                <w:lang w:val="en-US" w:eastAsia="zh-CN"/>
              </w:rPr>
            </w:pPr>
            <w:r>
              <w:rPr>
                <w:rFonts w:hint="eastAsia"/>
                <w:color w:val="auto"/>
                <w:highlight w:val="none"/>
                <w:lang w:val="en-US" w:eastAsia="zh-CN"/>
              </w:rPr>
              <w:t>炸药库</w:t>
            </w:r>
          </w:p>
        </w:tc>
        <w:tc>
          <w:tcPr>
            <w:tcW w:w="838" w:type="pct"/>
            <w:vAlign w:val="center"/>
          </w:tcPr>
          <w:p w14:paraId="0B48F7B2">
            <w:pPr>
              <w:pStyle w:val="17"/>
              <w:bidi w:val="0"/>
              <w:rPr>
                <w:rFonts w:hint="eastAsia"/>
                <w:color w:val="auto"/>
                <w:highlight w:val="none"/>
                <w:lang w:val="en-US" w:eastAsia="zh-CN"/>
              </w:rPr>
            </w:pPr>
          </w:p>
        </w:tc>
      </w:tr>
      <w:tr w14:paraId="31E5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286D0EFA">
            <w:pPr>
              <w:pStyle w:val="17"/>
              <w:bidi w:val="0"/>
              <w:rPr>
                <w:rFonts w:hint="eastAsia"/>
                <w:color w:val="auto"/>
                <w:highlight w:val="none"/>
                <w:lang w:val="en-US" w:eastAsia="zh-CN"/>
              </w:rPr>
            </w:pPr>
            <w:r>
              <w:rPr>
                <w:rFonts w:hint="eastAsia"/>
                <w:color w:val="auto"/>
                <w:highlight w:val="none"/>
                <w:lang w:val="en-US" w:eastAsia="zh-CN"/>
              </w:rPr>
              <w:t>4</w:t>
            </w:r>
          </w:p>
        </w:tc>
        <w:tc>
          <w:tcPr>
            <w:tcW w:w="678" w:type="pct"/>
            <w:shd w:val="clear" w:color="auto" w:fill="auto"/>
            <w:vAlign w:val="center"/>
          </w:tcPr>
          <w:p w14:paraId="4682E133">
            <w:pPr>
              <w:pStyle w:val="17"/>
              <w:bidi w:val="0"/>
              <w:rPr>
                <w:rFonts w:hint="eastAsia"/>
                <w:color w:val="auto"/>
                <w:highlight w:val="none"/>
                <w:lang w:val="en-US" w:eastAsia="zh-CN"/>
              </w:rPr>
            </w:pPr>
            <w:r>
              <w:rPr>
                <w:rFonts w:hint="eastAsia"/>
                <w:color w:val="auto"/>
                <w:highlight w:val="none"/>
                <w:lang w:val="en-US" w:eastAsia="zh-CN"/>
              </w:rPr>
              <w:t>起爆弹</w:t>
            </w:r>
          </w:p>
        </w:tc>
        <w:tc>
          <w:tcPr>
            <w:tcW w:w="793" w:type="pct"/>
            <w:shd w:val="clear" w:color="auto" w:fill="auto"/>
            <w:vAlign w:val="center"/>
          </w:tcPr>
          <w:p w14:paraId="3415FBEC">
            <w:pPr>
              <w:pStyle w:val="17"/>
              <w:bidi w:val="0"/>
              <w:rPr>
                <w:rFonts w:hint="eastAsia"/>
                <w:color w:val="auto"/>
                <w:highlight w:val="none"/>
                <w:lang w:val="en-US" w:eastAsia="zh-CN"/>
              </w:rPr>
            </w:pPr>
            <w:r>
              <w:rPr>
                <w:rFonts w:hint="eastAsia"/>
                <w:color w:val="auto"/>
                <w:highlight w:val="none"/>
                <w:lang w:val="en-US" w:eastAsia="zh-CN"/>
              </w:rPr>
              <w:t>0.2</w:t>
            </w:r>
          </w:p>
        </w:tc>
        <w:tc>
          <w:tcPr>
            <w:tcW w:w="906" w:type="pct"/>
            <w:shd w:val="clear" w:color="auto" w:fill="auto"/>
            <w:vAlign w:val="center"/>
          </w:tcPr>
          <w:p w14:paraId="61FBEE27">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0BE914B9">
            <w:pPr>
              <w:pStyle w:val="17"/>
              <w:bidi w:val="0"/>
              <w:rPr>
                <w:rFonts w:hint="eastAsia"/>
                <w:color w:val="auto"/>
                <w:highlight w:val="none"/>
                <w:lang w:val="en-US" w:eastAsia="zh-CN"/>
              </w:rPr>
            </w:pPr>
            <w:r>
              <w:rPr>
                <w:rFonts w:hint="eastAsia"/>
                <w:color w:val="auto"/>
                <w:highlight w:val="none"/>
                <w:lang w:val="en-US" w:eastAsia="zh-CN"/>
              </w:rPr>
              <w:t>炸药库</w:t>
            </w:r>
          </w:p>
        </w:tc>
        <w:tc>
          <w:tcPr>
            <w:tcW w:w="838" w:type="pct"/>
            <w:vAlign w:val="center"/>
          </w:tcPr>
          <w:p w14:paraId="408E2454">
            <w:pPr>
              <w:pStyle w:val="17"/>
              <w:bidi w:val="0"/>
              <w:rPr>
                <w:rFonts w:hint="eastAsia"/>
                <w:color w:val="auto"/>
                <w:highlight w:val="none"/>
                <w:lang w:val="en-US" w:eastAsia="zh-CN"/>
              </w:rPr>
            </w:pPr>
          </w:p>
        </w:tc>
      </w:tr>
      <w:tr w14:paraId="5A67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5FCF2AB4">
            <w:pPr>
              <w:pStyle w:val="17"/>
              <w:bidi w:val="0"/>
              <w:rPr>
                <w:rFonts w:hint="eastAsia"/>
                <w:color w:val="auto"/>
                <w:highlight w:val="none"/>
                <w:lang w:val="en-US" w:eastAsia="zh-CN"/>
              </w:rPr>
            </w:pPr>
            <w:r>
              <w:rPr>
                <w:rFonts w:hint="eastAsia"/>
                <w:color w:val="auto"/>
                <w:highlight w:val="none"/>
                <w:lang w:val="en-US" w:eastAsia="zh-CN"/>
              </w:rPr>
              <w:t>5</w:t>
            </w:r>
          </w:p>
        </w:tc>
        <w:tc>
          <w:tcPr>
            <w:tcW w:w="678" w:type="pct"/>
            <w:shd w:val="clear" w:color="auto" w:fill="auto"/>
            <w:vAlign w:val="center"/>
          </w:tcPr>
          <w:p w14:paraId="02A9920A">
            <w:pPr>
              <w:pStyle w:val="17"/>
              <w:bidi w:val="0"/>
              <w:rPr>
                <w:rFonts w:hint="eastAsia"/>
                <w:color w:val="auto"/>
                <w:highlight w:val="none"/>
                <w:lang w:val="en-US" w:eastAsia="zh-CN"/>
              </w:rPr>
            </w:pPr>
            <w:r>
              <w:rPr>
                <w:rFonts w:hint="eastAsia"/>
                <w:color w:val="auto"/>
                <w:highlight w:val="none"/>
                <w:lang w:val="en-US" w:eastAsia="zh-CN"/>
              </w:rPr>
              <w:t>钎头</w:t>
            </w:r>
          </w:p>
        </w:tc>
        <w:tc>
          <w:tcPr>
            <w:tcW w:w="793" w:type="pct"/>
            <w:shd w:val="clear" w:color="auto" w:fill="auto"/>
            <w:vAlign w:val="center"/>
          </w:tcPr>
          <w:p w14:paraId="658FCAD4">
            <w:pPr>
              <w:pStyle w:val="17"/>
              <w:bidi w:val="0"/>
              <w:rPr>
                <w:rFonts w:hint="eastAsia"/>
                <w:color w:val="auto"/>
                <w:highlight w:val="none"/>
                <w:lang w:val="en-US" w:eastAsia="zh-CN"/>
              </w:rPr>
            </w:pPr>
            <w:r>
              <w:rPr>
                <w:rFonts w:hint="eastAsia"/>
                <w:color w:val="auto"/>
                <w:highlight w:val="none"/>
                <w:lang w:val="en-US" w:eastAsia="zh-CN"/>
              </w:rPr>
              <w:t>30</w:t>
            </w:r>
          </w:p>
        </w:tc>
        <w:tc>
          <w:tcPr>
            <w:tcW w:w="906" w:type="pct"/>
            <w:shd w:val="clear" w:color="auto" w:fill="auto"/>
            <w:vAlign w:val="center"/>
          </w:tcPr>
          <w:p w14:paraId="5A36D251">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70B27E05">
            <w:pPr>
              <w:pStyle w:val="17"/>
              <w:bidi w:val="0"/>
              <w:rPr>
                <w:rFonts w:hint="default"/>
                <w:color w:val="auto"/>
                <w:highlight w:val="none"/>
                <w:lang w:val="en-US" w:eastAsia="zh-CN"/>
              </w:rPr>
            </w:pPr>
            <w:r>
              <w:rPr>
                <w:rFonts w:hint="eastAsia"/>
                <w:color w:val="auto"/>
                <w:highlight w:val="none"/>
                <w:lang w:val="en-US" w:eastAsia="zh-CN"/>
              </w:rPr>
              <w:t>采场机修仓库</w:t>
            </w:r>
          </w:p>
        </w:tc>
        <w:tc>
          <w:tcPr>
            <w:tcW w:w="838" w:type="pct"/>
            <w:vAlign w:val="center"/>
          </w:tcPr>
          <w:p w14:paraId="2733E57D">
            <w:pPr>
              <w:pStyle w:val="17"/>
              <w:bidi w:val="0"/>
              <w:rPr>
                <w:rFonts w:hint="eastAsia"/>
                <w:color w:val="auto"/>
                <w:highlight w:val="none"/>
                <w:lang w:val="en-US" w:eastAsia="zh-CN"/>
              </w:rPr>
            </w:pPr>
          </w:p>
        </w:tc>
      </w:tr>
      <w:tr w14:paraId="23B6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1CBE00E3">
            <w:pPr>
              <w:pStyle w:val="17"/>
              <w:bidi w:val="0"/>
              <w:rPr>
                <w:rFonts w:hint="eastAsia"/>
                <w:color w:val="auto"/>
                <w:highlight w:val="none"/>
                <w:lang w:val="en-US" w:eastAsia="zh-CN"/>
              </w:rPr>
            </w:pPr>
            <w:r>
              <w:rPr>
                <w:rFonts w:hint="eastAsia"/>
                <w:color w:val="auto"/>
                <w:highlight w:val="none"/>
                <w:lang w:val="en-US" w:eastAsia="zh-CN"/>
              </w:rPr>
              <w:t>6</w:t>
            </w:r>
          </w:p>
        </w:tc>
        <w:tc>
          <w:tcPr>
            <w:tcW w:w="678" w:type="pct"/>
            <w:shd w:val="clear" w:color="auto" w:fill="auto"/>
            <w:vAlign w:val="center"/>
          </w:tcPr>
          <w:p w14:paraId="70E9B8C5">
            <w:pPr>
              <w:pStyle w:val="17"/>
              <w:bidi w:val="0"/>
              <w:rPr>
                <w:rFonts w:hint="eastAsia"/>
                <w:color w:val="auto"/>
                <w:highlight w:val="none"/>
                <w:lang w:val="en-US" w:eastAsia="zh-CN"/>
              </w:rPr>
            </w:pPr>
            <w:r>
              <w:rPr>
                <w:rFonts w:hint="eastAsia"/>
                <w:color w:val="auto"/>
                <w:highlight w:val="none"/>
                <w:lang w:val="en-US" w:eastAsia="zh-CN"/>
              </w:rPr>
              <w:t>钎子钢</w:t>
            </w:r>
          </w:p>
        </w:tc>
        <w:tc>
          <w:tcPr>
            <w:tcW w:w="793" w:type="pct"/>
            <w:shd w:val="clear" w:color="auto" w:fill="auto"/>
            <w:vAlign w:val="center"/>
          </w:tcPr>
          <w:p w14:paraId="0A8A4051">
            <w:pPr>
              <w:pStyle w:val="17"/>
              <w:bidi w:val="0"/>
              <w:rPr>
                <w:rFonts w:hint="eastAsia"/>
                <w:color w:val="auto"/>
                <w:highlight w:val="none"/>
                <w:lang w:val="en-US" w:eastAsia="zh-CN"/>
              </w:rPr>
            </w:pPr>
            <w:r>
              <w:rPr>
                <w:rFonts w:hint="eastAsia"/>
                <w:color w:val="auto"/>
                <w:highlight w:val="none"/>
                <w:lang w:val="en-US" w:eastAsia="zh-CN"/>
              </w:rPr>
              <w:t>8</w:t>
            </w:r>
          </w:p>
        </w:tc>
        <w:tc>
          <w:tcPr>
            <w:tcW w:w="906" w:type="pct"/>
            <w:shd w:val="clear" w:color="auto" w:fill="auto"/>
            <w:vAlign w:val="center"/>
          </w:tcPr>
          <w:p w14:paraId="5C107A44">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5740819E">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40326D1A">
            <w:pPr>
              <w:pStyle w:val="17"/>
              <w:bidi w:val="0"/>
              <w:rPr>
                <w:rFonts w:hint="eastAsia"/>
                <w:color w:val="auto"/>
                <w:highlight w:val="none"/>
                <w:lang w:val="en-US" w:eastAsia="zh-CN"/>
              </w:rPr>
            </w:pPr>
          </w:p>
        </w:tc>
      </w:tr>
      <w:tr w14:paraId="48EB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6D6EBBC2">
            <w:pPr>
              <w:pStyle w:val="17"/>
              <w:bidi w:val="0"/>
              <w:rPr>
                <w:rFonts w:hint="eastAsia"/>
                <w:color w:val="auto"/>
                <w:highlight w:val="none"/>
                <w:lang w:val="en-US" w:eastAsia="zh-CN"/>
              </w:rPr>
            </w:pPr>
            <w:r>
              <w:rPr>
                <w:rFonts w:hint="eastAsia"/>
                <w:color w:val="auto"/>
                <w:highlight w:val="none"/>
                <w:lang w:val="en-US" w:eastAsia="zh-CN"/>
              </w:rPr>
              <w:t>7</w:t>
            </w:r>
          </w:p>
        </w:tc>
        <w:tc>
          <w:tcPr>
            <w:tcW w:w="678" w:type="pct"/>
            <w:shd w:val="clear" w:color="auto" w:fill="auto"/>
            <w:vAlign w:val="center"/>
          </w:tcPr>
          <w:p w14:paraId="14E285E8">
            <w:pPr>
              <w:pStyle w:val="17"/>
              <w:bidi w:val="0"/>
              <w:rPr>
                <w:rFonts w:hint="eastAsia"/>
                <w:color w:val="auto"/>
                <w:highlight w:val="none"/>
                <w:lang w:val="en-US" w:eastAsia="zh-CN"/>
              </w:rPr>
            </w:pPr>
            <w:r>
              <w:rPr>
                <w:rFonts w:hint="eastAsia"/>
                <w:color w:val="auto"/>
                <w:highlight w:val="none"/>
                <w:lang w:val="en-US" w:eastAsia="zh-CN"/>
              </w:rPr>
              <w:t>柴油</w:t>
            </w:r>
          </w:p>
        </w:tc>
        <w:tc>
          <w:tcPr>
            <w:tcW w:w="793" w:type="pct"/>
            <w:shd w:val="clear" w:color="auto" w:fill="auto"/>
            <w:vAlign w:val="center"/>
          </w:tcPr>
          <w:p w14:paraId="09C842EB">
            <w:pPr>
              <w:pStyle w:val="17"/>
              <w:bidi w:val="0"/>
              <w:rPr>
                <w:rFonts w:hint="eastAsia"/>
                <w:color w:val="auto"/>
                <w:highlight w:val="none"/>
                <w:lang w:val="en-US" w:eastAsia="zh-CN"/>
              </w:rPr>
            </w:pPr>
            <w:r>
              <w:rPr>
                <w:rFonts w:hint="eastAsia"/>
                <w:color w:val="auto"/>
                <w:highlight w:val="none"/>
                <w:lang w:val="en-US" w:eastAsia="zh-CN"/>
              </w:rPr>
              <w:t>660</w:t>
            </w:r>
          </w:p>
        </w:tc>
        <w:tc>
          <w:tcPr>
            <w:tcW w:w="906" w:type="pct"/>
            <w:shd w:val="clear" w:color="auto" w:fill="auto"/>
            <w:vAlign w:val="center"/>
          </w:tcPr>
          <w:p w14:paraId="0E7B4B44">
            <w:pPr>
              <w:pStyle w:val="17"/>
              <w:bidi w:val="0"/>
              <w:rPr>
                <w:rFonts w:hint="default"/>
                <w:color w:val="auto"/>
                <w:highlight w:val="none"/>
                <w:lang w:val="en-US" w:eastAsia="zh-CN"/>
              </w:rPr>
            </w:pPr>
            <w:r>
              <w:rPr>
                <w:rFonts w:hint="eastAsia"/>
                <w:color w:val="auto"/>
                <w:highlight w:val="none"/>
                <w:lang w:val="en-US" w:eastAsia="zh-CN"/>
              </w:rPr>
              <w:t>液体</w:t>
            </w:r>
          </w:p>
        </w:tc>
        <w:tc>
          <w:tcPr>
            <w:tcW w:w="1382" w:type="pct"/>
            <w:vAlign w:val="center"/>
          </w:tcPr>
          <w:p w14:paraId="700DDBA3">
            <w:pPr>
              <w:pStyle w:val="17"/>
              <w:bidi w:val="0"/>
              <w:rPr>
                <w:rFonts w:hint="default"/>
                <w:color w:val="auto"/>
                <w:highlight w:val="none"/>
                <w:lang w:val="en-US" w:eastAsia="zh-CN"/>
              </w:rPr>
            </w:pPr>
            <w:r>
              <w:rPr>
                <w:rFonts w:hint="eastAsia"/>
                <w:color w:val="auto"/>
                <w:highlight w:val="none"/>
                <w:lang w:val="en-US" w:eastAsia="zh-CN"/>
              </w:rPr>
              <w:t>采场加油站</w:t>
            </w:r>
          </w:p>
        </w:tc>
        <w:tc>
          <w:tcPr>
            <w:tcW w:w="838" w:type="pct"/>
            <w:vAlign w:val="center"/>
          </w:tcPr>
          <w:p w14:paraId="1AB966EA">
            <w:pPr>
              <w:pStyle w:val="17"/>
              <w:bidi w:val="0"/>
              <w:rPr>
                <w:rFonts w:hint="eastAsia"/>
                <w:color w:val="auto"/>
                <w:highlight w:val="none"/>
                <w:lang w:val="en-US" w:eastAsia="zh-CN"/>
              </w:rPr>
            </w:pPr>
          </w:p>
        </w:tc>
      </w:tr>
      <w:tr w14:paraId="5396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50D2EB4C">
            <w:pPr>
              <w:pStyle w:val="17"/>
              <w:bidi w:val="0"/>
              <w:rPr>
                <w:rFonts w:hint="eastAsia"/>
                <w:color w:val="auto"/>
                <w:highlight w:val="none"/>
                <w:lang w:val="en-US" w:eastAsia="zh-CN"/>
              </w:rPr>
            </w:pPr>
            <w:r>
              <w:rPr>
                <w:rFonts w:hint="eastAsia"/>
                <w:color w:val="auto"/>
                <w:highlight w:val="none"/>
                <w:lang w:val="en-US" w:eastAsia="zh-CN"/>
              </w:rPr>
              <w:t>8</w:t>
            </w:r>
          </w:p>
        </w:tc>
        <w:tc>
          <w:tcPr>
            <w:tcW w:w="678" w:type="pct"/>
            <w:shd w:val="clear" w:color="auto" w:fill="auto"/>
            <w:vAlign w:val="center"/>
          </w:tcPr>
          <w:p w14:paraId="15428307">
            <w:pPr>
              <w:pStyle w:val="17"/>
              <w:bidi w:val="0"/>
              <w:rPr>
                <w:rFonts w:hint="eastAsia"/>
                <w:color w:val="auto"/>
                <w:highlight w:val="none"/>
                <w:lang w:val="en-US" w:eastAsia="zh-CN"/>
              </w:rPr>
            </w:pPr>
            <w:r>
              <w:rPr>
                <w:rFonts w:hint="eastAsia"/>
                <w:color w:val="auto"/>
                <w:highlight w:val="none"/>
                <w:lang w:val="en-US" w:eastAsia="zh-CN"/>
              </w:rPr>
              <w:t>机油</w:t>
            </w:r>
          </w:p>
        </w:tc>
        <w:tc>
          <w:tcPr>
            <w:tcW w:w="793" w:type="pct"/>
            <w:shd w:val="clear" w:color="auto" w:fill="auto"/>
            <w:vAlign w:val="center"/>
          </w:tcPr>
          <w:p w14:paraId="1D7D44E5">
            <w:pPr>
              <w:pStyle w:val="17"/>
              <w:bidi w:val="0"/>
              <w:rPr>
                <w:rFonts w:hint="eastAsia"/>
                <w:color w:val="auto"/>
                <w:highlight w:val="none"/>
                <w:lang w:val="en-US" w:eastAsia="zh-CN"/>
              </w:rPr>
            </w:pPr>
            <w:r>
              <w:rPr>
                <w:rFonts w:hint="eastAsia"/>
                <w:color w:val="auto"/>
                <w:highlight w:val="none"/>
                <w:lang w:val="en-US" w:eastAsia="zh-CN"/>
              </w:rPr>
              <w:t>56.4</w:t>
            </w:r>
          </w:p>
        </w:tc>
        <w:tc>
          <w:tcPr>
            <w:tcW w:w="906" w:type="pct"/>
            <w:shd w:val="clear" w:color="auto" w:fill="auto"/>
            <w:vAlign w:val="center"/>
          </w:tcPr>
          <w:p w14:paraId="7619C248">
            <w:pPr>
              <w:pStyle w:val="17"/>
              <w:bidi w:val="0"/>
              <w:rPr>
                <w:rFonts w:hint="default"/>
                <w:color w:val="auto"/>
                <w:highlight w:val="none"/>
                <w:lang w:val="en-US" w:eastAsia="zh-CN"/>
              </w:rPr>
            </w:pPr>
            <w:r>
              <w:rPr>
                <w:rFonts w:hint="eastAsia"/>
                <w:color w:val="auto"/>
                <w:highlight w:val="none"/>
                <w:lang w:val="en-US" w:eastAsia="zh-CN"/>
              </w:rPr>
              <w:t>液体</w:t>
            </w:r>
          </w:p>
        </w:tc>
        <w:tc>
          <w:tcPr>
            <w:tcW w:w="1382" w:type="pct"/>
            <w:vAlign w:val="center"/>
          </w:tcPr>
          <w:p w14:paraId="522C1536">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152B07B2">
            <w:pPr>
              <w:pStyle w:val="17"/>
              <w:bidi w:val="0"/>
              <w:rPr>
                <w:rFonts w:hint="eastAsia"/>
                <w:color w:val="auto"/>
                <w:highlight w:val="none"/>
                <w:lang w:val="en-US" w:eastAsia="zh-CN"/>
              </w:rPr>
            </w:pPr>
          </w:p>
        </w:tc>
      </w:tr>
      <w:tr w14:paraId="6DBC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53C96D74">
            <w:pPr>
              <w:pStyle w:val="17"/>
              <w:bidi w:val="0"/>
              <w:rPr>
                <w:rFonts w:hint="eastAsia"/>
                <w:color w:val="auto"/>
                <w:highlight w:val="none"/>
                <w:lang w:val="en-US" w:eastAsia="zh-CN"/>
              </w:rPr>
            </w:pPr>
            <w:r>
              <w:rPr>
                <w:rFonts w:hint="eastAsia"/>
                <w:color w:val="auto"/>
                <w:highlight w:val="none"/>
                <w:lang w:val="en-US" w:eastAsia="zh-CN"/>
              </w:rPr>
              <w:t>9</w:t>
            </w:r>
          </w:p>
        </w:tc>
        <w:tc>
          <w:tcPr>
            <w:tcW w:w="678" w:type="pct"/>
            <w:shd w:val="clear" w:color="auto" w:fill="auto"/>
            <w:vAlign w:val="center"/>
          </w:tcPr>
          <w:p w14:paraId="645F3F15">
            <w:pPr>
              <w:pStyle w:val="17"/>
              <w:bidi w:val="0"/>
              <w:rPr>
                <w:rFonts w:hint="eastAsia"/>
                <w:color w:val="auto"/>
                <w:highlight w:val="none"/>
                <w:lang w:val="en-US" w:eastAsia="zh-CN"/>
              </w:rPr>
            </w:pPr>
            <w:r>
              <w:rPr>
                <w:rFonts w:hint="eastAsia"/>
                <w:color w:val="auto"/>
                <w:highlight w:val="none"/>
                <w:lang w:val="en-US" w:eastAsia="zh-CN"/>
              </w:rPr>
              <w:t>液压油</w:t>
            </w:r>
          </w:p>
        </w:tc>
        <w:tc>
          <w:tcPr>
            <w:tcW w:w="793" w:type="pct"/>
            <w:shd w:val="clear" w:color="auto" w:fill="auto"/>
            <w:vAlign w:val="center"/>
          </w:tcPr>
          <w:p w14:paraId="0A3F2829">
            <w:pPr>
              <w:pStyle w:val="17"/>
              <w:bidi w:val="0"/>
              <w:rPr>
                <w:rFonts w:hint="eastAsia"/>
                <w:color w:val="auto"/>
                <w:highlight w:val="none"/>
                <w:lang w:val="en-US" w:eastAsia="zh-CN"/>
              </w:rPr>
            </w:pPr>
            <w:r>
              <w:rPr>
                <w:rFonts w:hint="eastAsia"/>
                <w:color w:val="auto"/>
                <w:highlight w:val="none"/>
                <w:lang w:val="en-US" w:eastAsia="zh-CN"/>
              </w:rPr>
              <w:t>5</w:t>
            </w:r>
          </w:p>
        </w:tc>
        <w:tc>
          <w:tcPr>
            <w:tcW w:w="906" w:type="pct"/>
            <w:shd w:val="clear" w:color="auto" w:fill="auto"/>
            <w:vAlign w:val="center"/>
          </w:tcPr>
          <w:p w14:paraId="0139FCA2">
            <w:pPr>
              <w:pStyle w:val="17"/>
              <w:bidi w:val="0"/>
              <w:rPr>
                <w:rFonts w:hint="default"/>
                <w:color w:val="auto"/>
                <w:highlight w:val="none"/>
                <w:lang w:val="en-US" w:eastAsia="zh-CN"/>
              </w:rPr>
            </w:pPr>
            <w:r>
              <w:rPr>
                <w:rFonts w:hint="eastAsia"/>
                <w:color w:val="auto"/>
                <w:highlight w:val="none"/>
                <w:lang w:val="en-US" w:eastAsia="zh-CN"/>
              </w:rPr>
              <w:t>液体</w:t>
            </w:r>
          </w:p>
        </w:tc>
        <w:tc>
          <w:tcPr>
            <w:tcW w:w="1382" w:type="pct"/>
            <w:vAlign w:val="center"/>
          </w:tcPr>
          <w:p w14:paraId="117870E2">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45E0AD47">
            <w:pPr>
              <w:pStyle w:val="17"/>
              <w:bidi w:val="0"/>
              <w:rPr>
                <w:rFonts w:hint="eastAsia"/>
                <w:color w:val="auto"/>
                <w:highlight w:val="none"/>
                <w:lang w:val="en-US" w:eastAsia="zh-CN"/>
              </w:rPr>
            </w:pPr>
          </w:p>
        </w:tc>
      </w:tr>
      <w:tr w14:paraId="55D8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404D4FB8">
            <w:pPr>
              <w:pStyle w:val="17"/>
              <w:bidi w:val="0"/>
              <w:rPr>
                <w:rFonts w:hint="eastAsia"/>
                <w:color w:val="auto"/>
                <w:highlight w:val="none"/>
                <w:lang w:val="en-US" w:eastAsia="zh-CN"/>
              </w:rPr>
            </w:pPr>
            <w:r>
              <w:rPr>
                <w:rFonts w:hint="eastAsia"/>
                <w:color w:val="auto"/>
                <w:highlight w:val="none"/>
                <w:lang w:val="en-US" w:eastAsia="zh-CN"/>
              </w:rPr>
              <w:t>10</w:t>
            </w:r>
          </w:p>
        </w:tc>
        <w:tc>
          <w:tcPr>
            <w:tcW w:w="678" w:type="pct"/>
            <w:shd w:val="clear" w:color="auto" w:fill="auto"/>
            <w:vAlign w:val="center"/>
          </w:tcPr>
          <w:p w14:paraId="0DD5E334">
            <w:pPr>
              <w:pStyle w:val="17"/>
              <w:bidi w:val="0"/>
              <w:rPr>
                <w:rFonts w:hint="eastAsia"/>
                <w:color w:val="auto"/>
                <w:highlight w:val="none"/>
                <w:lang w:val="en-US" w:eastAsia="zh-CN"/>
              </w:rPr>
            </w:pPr>
            <w:r>
              <w:rPr>
                <w:rFonts w:hint="eastAsia"/>
                <w:color w:val="auto"/>
                <w:highlight w:val="none"/>
                <w:lang w:val="en-US" w:eastAsia="zh-CN"/>
              </w:rPr>
              <w:t>传动油</w:t>
            </w:r>
          </w:p>
        </w:tc>
        <w:tc>
          <w:tcPr>
            <w:tcW w:w="793" w:type="pct"/>
            <w:shd w:val="clear" w:color="auto" w:fill="auto"/>
            <w:vAlign w:val="center"/>
          </w:tcPr>
          <w:p w14:paraId="0E09444B">
            <w:pPr>
              <w:pStyle w:val="17"/>
              <w:bidi w:val="0"/>
              <w:rPr>
                <w:rFonts w:hint="eastAsia"/>
                <w:color w:val="auto"/>
                <w:highlight w:val="none"/>
                <w:lang w:val="en-US" w:eastAsia="zh-CN"/>
              </w:rPr>
            </w:pPr>
            <w:r>
              <w:rPr>
                <w:rFonts w:hint="eastAsia"/>
                <w:color w:val="auto"/>
                <w:highlight w:val="none"/>
                <w:lang w:val="en-US" w:eastAsia="zh-CN"/>
              </w:rPr>
              <w:t>6.5</w:t>
            </w:r>
          </w:p>
        </w:tc>
        <w:tc>
          <w:tcPr>
            <w:tcW w:w="906" w:type="pct"/>
            <w:shd w:val="clear" w:color="auto" w:fill="auto"/>
            <w:vAlign w:val="center"/>
          </w:tcPr>
          <w:p w14:paraId="6D3DB8B8">
            <w:pPr>
              <w:pStyle w:val="17"/>
              <w:bidi w:val="0"/>
              <w:rPr>
                <w:rFonts w:hint="default"/>
                <w:color w:val="auto"/>
                <w:highlight w:val="none"/>
                <w:lang w:val="en-US" w:eastAsia="zh-CN"/>
              </w:rPr>
            </w:pPr>
            <w:r>
              <w:rPr>
                <w:rFonts w:hint="eastAsia"/>
                <w:color w:val="auto"/>
                <w:highlight w:val="none"/>
                <w:lang w:val="en-US" w:eastAsia="zh-CN"/>
              </w:rPr>
              <w:t>液体</w:t>
            </w:r>
          </w:p>
        </w:tc>
        <w:tc>
          <w:tcPr>
            <w:tcW w:w="1382" w:type="pct"/>
            <w:vAlign w:val="center"/>
          </w:tcPr>
          <w:p w14:paraId="38E8FAAA">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3486CC85">
            <w:pPr>
              <w:pStyle w:val="17"/>
              <w:bidi w:val="0"/>
              <w:rPr>
                <w:rFonts w:hint="eastAsia"/>
                <w:color w:val="auto"/>
                <w:highlight w:val="none"/>
                <w:lang w:val="en-US" w:eastAsia="zh-CN"/>
              </w:rPr>
            </w:pPr>
          </w:p>
        </w:tc>
      </w:tr>
      <w:tr w14:paraId="7269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3AB6BA90">
            <w:pPr>
              <w:pStyle w:val="17"/>
              <w:bidi w:val="0"/>
              <w:rPr>
                <w:rFonts w:hint="eastAsia"/>
                <w:color w:val="auto"/>
                <w:highlight w:val="none"/>
                <w:lang w:val="en-US" w:eastAsia="zh-CN"/>
              </w:rPr>
            </w:pPr>
            <w:r>
              <w:rPr>
                <w:rFonts w:hint="eastAsia"/>
                <w:color w:val="auto"/>
                <w:highlight w:val="none"/>
                <w:lang w:val="en-US" w:eastAsia="zh-CN"/>
              </w:rPr>
              <w:t>11</w:t>
            </w:r>
          </w:p>
        </w:tc>
        <w:tc>
          <w:tcPr>
            <w:tcW w:w="678" w:type="pct"/>
            <w:shd w:val="clear" w:color="auto" w:fill="auto"/>
            <w:vAlign w:val="center"/>
          </w:tcPr>
          <w:p w14:paraId="4F3D9BCA">
            <w:pPr>
              <w:pStyle w:val="17"/>
              <w:bidi w:val="0"/>
              <w:rPr>
                <w:rFonts w:hint="eastAsia"/>
                <w:color w:val="auto"/>
                <w:highlight w:val="none"/>
                <w:lang w:val="en-US" w:eastAsia="zh-CN"/>
              </w:rPr>
            </w:pPr>
            <w:r>
              <w:rPr>
                <w:rFonts w:hint="eastAsia"/>
                <w:color w:val="auto"/>
                <w:highlight w:val="none"/>
                <w:lang w:val="en-US" w:eastAsia="zh-CN"/>
              </w:rPr>
              <w:t>轮胎</w:t>
            </w:r>
          </w:p>
        </w:tc>
        <w:tc>
          <w:tcPr>
            <w:tcW w:w="793" w:type="pct"/>
            <w:shd w:val="clear" w:color="auto" w:fill="auto"/>
            <w:vAlign w:val="center"/>
          </w:tcPr>
          <w:p w14:paraId="31B368B3">
            <w:pPr>
              <w:pStyle w:val="17"/>
              <w:bidi w:val="0"/>
              <w:rPr>
                <w:rFonts w:hint="eastAsia"/>
                <w:color w:val="auto"/>
                <w:highlight w:val="none"/>
                <w:lang w:val="en-US" w:eastAsia="zh-CN"/>
              </w:rPr>
            </w:pPr>
            <w:r>
              <w:rPr>
                <w:rFonts w:hint="eastAsia"/>
                <w:color w:val="auto"/>
                <w:highlight w:val="none"/>
                <w:lang w:val="en-US" w:eastAsia="zh-CN"/>
              </w:rPr>
              <w:t>41</w:t>
            </w:r>
          </w:p>
        </w:tc>
        <w:tc>
          <w:tcPr>
            <w:tcW w:w="906" w:type="pct"/>
            <w:shd w:val="clear" w:color="auto" w:fill="auto"/>
            <w:vAlign w:val="center"/>
          </w:tcPr>
          <w:p w14:paraId="4F4AC6A8">
            <w:pPr>
              <w:pStyle w:val="17"/>
              <w:bidi w:val="0"/>
              <w:rPr>
                <w:rFonts w:hint="default"/>
                <w:color w:val="auto"/>
                <w:highlight w:val="none"/>
                <w:lang w:val="en-US" w:eastAsia="zh-CN"/>
              </w:rPr>
            </w:pPr>
            <w:r>
              <w:rPr>
                <w:rFonts w:hint="eastAsia"/>
                <w:color w:val="auto"/>
                <w:highlight w:val="none"/>
                <w:lang w:val="en-US" w:eastAsia="zh-CN"/>
              </w:rPr>
              <w:t>固体</w:t>
            </w:r>
          </w:p>
        </w:tc>
        <w:tc>
          <w:tcPr>
            <w:tcW w:w="1382" w:type="pct"/>
            <w:vAlign w:val="center"/>
          </w:tcPr>
          <w:p w14:paraId="3E54D236">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1CA04AAC">
            <w:pPr>
              <w:pStyle w:val="17"/>
              <w:bidi w:val="0"/>
              <w:rPr>
                <w:rFonts w:hint="eastAsia"/>
                <w:color w:val="auto"/>
                <w:highlight w:val="none"/>
                <w:lang w:val="en-US" w:eastAsia="zh-CN"/>
              </w:rPr>
            </w:pPr>
          </w:p>
        </w:tc>
      </w:tr>
      <w:tr w14:paraId="1491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7F03C2BA">
            <w:pPr>
              <w:pStyle w:val="17"/>
              <w:bidi w:val="0"/>
              <w:rPr>
                <w:rFonts w:hint="eastAsia"/>
                <w:color w:val="auto"/>
                <w:highlight w:val="none"/>
                <w:lang w:val="en-US" w:eastAsia="zh-CN"/>
              </w:rPr>
            </w:pPr>
            <w:r>
              <w:rPr>
                <w:rFonts w:hint="eastAsia"/>
                <w:color w:val="auto"/>
                <w:highlight w:val="none"/>
                <w:lang w:val="en-US" w:eastAsia="zh-CN"/>
              </w:rPr>
              <w:t>12</w:t>
            </w:r>
          </w:p>
        </w:tc>
        <w:tc>
          <w:tcPr>
            <w:tcW w:w="678" w:type="pct"/>
            <w:shd w:val="clear" w:color="auto" w:fill="auto"/>
            <w:vAlign w:val="center"/>
          </w:tcPr>
          <w:p w14:paraId="7FD9A567">
            <w:pPr>
              <w:pStyle w:val="17"/>
              <w:bidi w:val="0"/>
              <w:rPr>
                <w:rFonts w:hint="eastAsia"/>
                <w:color w:val="auto"/>
                <w:highlight w:val="none"/>
                <w:lang w:val="en-US" w:eastAsia="zh-CN"/>
              </w:rPr>
            </w:pPr>
            <w:r>
              <w:rPr>
                <w:rFonts w:hint="eastAsia"/>
                <w:color w:val="auto"/>
                <w:highlight w:val="none"/>
                <w:lang w:val="en-US" w:eastAsia="zh-CN"/>
              </w:rPr>
              <w:t>水泥</w:t>
            </w:r>
          </w:p>
        </w:tc>
        <w:tc>
          <w:tcPr>
            <w:tcW w:w="793" w:type="pct"/>
            <w:shd w:val="clear" w:color="auto" w:fill="auto"/>
            <w:vAlign w:val="center"/>
          </w:tcPr>
          <w:p w14:paraId="4C270E17">
            <w:pPr>
              <w:pStyle w:val="17"/>
              <w:bidi w:val="0"/>
              <w:rPr>
                <w:rFonts w:hint="eastAsia"/>
                <w:color w:val="auto"/>
                <w:highlight w:val="none"/>
                <w:lang w:val="en-US" w:eastAsia="zh-CN"/>
              </w:rPr>
            </w:pPr>
            <w:r>
              <w:rPr>
                <w:rFonts w:hint="eastAsia"/>
                <w:color w:val="auto"/>
                <w:highlight w:val="none"/>
                <w:lang w:val="en-US" w:eastAsia="zh-CN"/>
              </w:rPr>
              <w:t>67509</w:t>
            </w:r>
          </w:p>
        </w:tc>
        <w:tc>
          <w:tcPr>
            <w:tcW w:w="906" w:type="pct"/>
            <w:shd w:val="clear" w:color="auto" w:fill="auto"/>
            <w:vAlign w:val="center"/>
          </w:tcPr>
          <w:p w14:paraId="631B9F19">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2DA566C9">
            <w:pPr>
              <w:pStyle w:val="17"/>
              <w:bidi w:val="0"/>
              <w:rPr>
                <w:rFonts w:hint="default"/>
                <w:color w:val="auto"/>
                <w:highlight w:val="none"/>
                <w:lang w:val="en-US" w:eastAsia="zh-CN"/>
              </w:rPr>
            </w:pPr>
            <w:r>
              <w:rPr>
                <w:rFonts w:hint="eastAsia"/>
                <w:color w:val="auto"/>
                <w:highlight w:val="none"/>
                <w:lang w:val="en-US" w:eastAsia="zh-CN"/>
              </w:rPr>
              <w:t>充填站</w:t>
            </w:r>
          </w:p>
        </w:tc>
        <w:tc>
          <w:tcPr>
            <w:tcW w:w="838" w:type="pct"/>
            <w:vAlign w:val="center"/>
          </w:tcPr>
          <w:p w14:paraId="7F646B3B">
            <w:pPr>
              <w:pStyle w:val="17"/>
              <w:bidi w:val="0"/>
              <w:rPr>
                <w:rFonts w:hint="eastAsia"/>
                <w:color w:val="auto"/>
                <w:highlight w:val="none"/>
                <w:lang w:val="en-US" w:eastAsia="zh-CN"/>
              </w:rPr>
            </w:pPr>
          </w:p>
        </w:tc>
      </w:tr>
      <w:tr w14:paraId="448B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70F58186">
            <w:pPr>
              <w:pStyle w:val="17"/>
              <w:bidi w:val="0"/>
              <w:rPr>
                <w:rFonts w:hint="eastAsia"/>
                <w:color w:val="auto"/>
                <w:highlight w:val="none"/>
                <w:lang w:val="en-US" w:eastAsia="zh-CN"/>
              </w:rPr>
            </w:pPr>
            <w:r>
              <w:rPr>
                <w:rFonts w:hint="eastAsia"/>
                <w:color w:val="auto"/>
                <w:highlight w:val="none"/>
                <w:lang w:val="en-US" w:eastAsia="zh-CN"/>
              </w:rPr>
              <w:t>13</w:t>
            </w:r>
          </w:p>
        </w:tc>
        <w:tc>
          <w:tcPr>
            <w:tcW w:w="678" w:type="pct"/>
            <w:shd w:val="clear" w:color="auto" w:fill="auto"/>
            <w:vAlign w:val="center"/>
          </w:tcPr>
          <w:p w14:paraId="074C17B6">
            <w:pPr>
              <w:pStyle w:val="17"/>
              <w:bidi w:val="0"/>
              <w:rPr>
                <w:rFonts w:hint="eastAsia"/>
                <w:color w:val="auto"/>
                <w:highlight w:val="none"/>
                <w:lang w:val="en-US" w:eastAsia="zh-CN"/>
              </w:rPr>
            </w:pPr>
            <w:r>
              <w:rPr>
                <w:rFonts w:hint="eastAsia"/>
                <w:color w:val="auto"/>
                <w:highlight w:val="none"/>
                <w:lang w:val="en-US" w:eastAsia="zh-CN"/>
              </w:rPr>
              <w:t>充填管</w:t>
            </w:r>
          </w:p>
        </w:tc>
        <w:tc>
          <w:tcPr>
            <w:tcW w:w="793" w:type="pct"/>
            <w:shd w:val="clear" w:color="auto" w:fill="auto"/>
            <w:vAlign w:val="center"/>
          </w:tcPr>
          <w:p w14:paraId="23144477">
            <w:pPr>
              <w:pStyle w:val="17"/>
              <w:bidi w:val="0"/>
              <w:rPr>
                <w:rFonts w:hint="eastAsia"/>
                <w:color w:val="auto"/>
                <w:highlight w:val="none"/>
                <w:lang w:val="en-US" w:eastAsia="zh-CN"/>
              </w:rPr>
            </w:pPr>
            <w:r>
              <w:rPr>
                <w:rFonts w:hint="eastAsia"/>
                <w:color w:val="auto"/>
                <w:highlight w:val="none"/>
                <w:lang w:val="en-US" w:eastAsia="zh-CN"/>
              </w:rPr>
              <w:t>7.2</w:t>
            </w:r>
          </w:p>
        </w:tc>
        <w:tc>
          <w:tcPr>
            <w:tcW w:w="906" w:type="pct"/>
            <w:shd w:val="clear" w:color="auto" w:fill="auto"/>
            <w:vAlign w:val="center"/>
          </w:tcPr>
          <w:p w14:paraId="3F0B8A47">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76B5FD7C">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610C71A2">
            <w:pPr>
              <w:pStyle w:val="17"/>
              <w:bidi w:val="0"/>
              <w:rPr>
                <w:rFonts w:hint="eastAsia"/>
                <w:color w:val="auto"/>
                <w:highlight w:val="none"/>
                <w:lang w:val="en-US" w:eastAsia="zh-CN"/>
              </w:rPr>
            </w:pPr>
          </w:p>
        </w:tc>
      </w:tr>
      <w:tr w14:paraId="4903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0849C617">
            <w:pPr>
              <w:pStyle w:val="17"/>
              <w:bidi w:val="0"/>
              <w:rPr>
                <w:rFonts w:hint="eastAsia"/>
                <w:color w:val="auto"/>
                <w:highlight w:val="none"/>
                <w:lang w:val="en-US" w:eastAsia="zh-CN"/>
              </w:rPr>
            </w:pPr>
            <w:r>
              <w:rPr>
                <w:rFonts w:hint="eastAsia"/>
                <w:color w:val="auto"/>
                <w:highlight w:val="none"/>
                <w:lang w:val="en-US" w:eastAsia="zh-CN"/>
              </w:rPr>
              <w:t>14</w:t>
            </w:r>
          </w:p>
        </w:tc>
        <w:tc>
          <w:tcPr>
            <w:tcW w:w="678" w:type="pct"/>
            <w:shd w:val="clear" w:color="auto" w:fill="auto"/>
            <w:vAlign w:val="center"/>
          </w:tcPr>
          <w:p w14:paraId="795AE332">
            <w:pPr>
              <w:pStyle w:val="17"/>
              <w:bidi w:val="0"/>
              <w:rPr>
                <w:rFonts w:hint="eastAsia"/>
                <w:color w:val="auto"/>
                <w:highlight w:val="none"/>
                <w:lang w:val="en-US" w:eastAsia="zh-CN"/>
              </w:rPr>
            </w:pPr>
            <w:r>
              <w:rPr>
                <w:rFonts w:hint="eastAsia"/>
                <w:color w:val="auto"/>
                <w:highlight w:val="none"/>
                <w:lang w:val="en-US" w:eastAsia="zh-CN"/>
              </w:rPr>
              <w:t>截齿</w:t>
            </w:r>
          </w:p>
        </w:tc>
        <w:tc>
          <w:tcPr>
            <w:tcW w:w="793" w:type="pct"/>
            <w:shd w:val="clear" w:color="auto" w:fill="auto"/>
            <w:vAlign w:val="center"/>
          </w:tcPr>
          <w:p w14:paraId="022D3241">
            <w:pPr>
              <w:pStyle w:val="17"/>
              <w:bidi w:val="0"/>
              <w:rPr>
                <w:rFonts w:hint="eastAsia"/>
                <w:color w:val="auto"/>
                <w:highlight w:val="none"/>
                <w:lang w:val="en-US" w:eastAsia="zh-CN"/>
              </w:rPr>
            </w:pPr>
            <w:r>
              <w:rPr>
                <w:rFonts w:hint="eastAsia"/>
                <w:color w:val="auto"/>
                <w:highlight w:val="none"/>
                <w:lang w:val="en-US" w:eastAsia="zh-CN"/>
              </w:rPr>
              <w:t>57.7</w:t>
            </w:r>
          </w:p>
        </w:tc>
        <w:tc>
          <w:tcPr>
            <w:tcW w:w="906" w:type="pct"/>
            <w:shd w:val="clear" w:color="auto" w:fill="auto"/>
            <w:vAlign w:val="center"/>
          </w:tcPr>
          <w:p w14:paraId="467B9E93">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7FF9AF10">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3DA9A23F">
            <w:pPr>
              <w:pStyle w:val="17"/>
              <w:bidi w:val="0"/>
              <w:rPr>
                <w:rFonts w:hint="eastAsia"/>
                <w:color w:val="auto"/>
                <w:highlight w:val="none"/>
                <w:lang w:val="en-US" w:eastAsia="zh-CN"/>
              </w:rPr>
            </w:pPr>
          </w:p>
        </w:tc>
      </w:tr>
      <w:tr w14:paraId="6F0B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4FF27F17">
            <w:pPr>
              <w:pStyle w:val="17"/>
              <w:bidi w:val="0"/>
              <w:rPr>
                <w:rFonts w:hint="eastAsia"/>
                <w:color w:val="auto"/>
                <w:highlight w:val="none"/>
                <w:lang w:val="en-US" w:eastAsia="zh-CN"/>
              </w:rPr>
            </w:pPr>
            <w:r>
              <w:rPr>
                <w:rFonts w:hint="eastAsia"/>
                <w:color w:val="auto"/>
                <w:highlight w:val="none"/>
                <w:lang w:val="en-US" w:eastAsia="zh-CN"/>
              </w:rPr>
              <w:t>15</w:t>
            </w:r>
          </w:p>
        </w:tc>
        <w:tc>
          <w:tcPr>
            <w:tcW w:w="678" w:type="pct"/>
            <w:shd w:val="clear" w:color="auto" w:fill="auto"/>
            <w:vAlign w:val="center"/>
          </w:tcPr>
          <w:p w14:paraId="5B7F7B8A">
            <w:pPr>
              <w:pStyle w:val="17"/>
              <w:bidi w:val="0"/>
              <w:rPr>
                <w:rFonts w:hint="eastAsia"/>
                <w:color w:val="auto"/>
                <w:highlight w:val="none"/>
                <w:lang w:val="en-US" w:eastAsia="zh-CN"/>
              </w:rPr>
            </w:pPr>
            <w:r>
              <w:rPr>
                <w:rFonts w:hint="eastAsia"/>
                <w:color w:val="auto"/>
                <w:highlight w:val="none"/>
                <w:lang w:val="en-US" w:eastAsia="zh-CN"/>
              </w:rPr>
              <w:t>黄油</w:t>
            </w:r>
          </w:p>
        </w:tc>
        <w:tc>
          <w:tcPr>
            <w:tcW w:w="793" w:type="pct"/>
            <w:shd w:val="clear" w:color="auto" w:fill="auto"/>
            <w:vAlign w:val="center"/>
          </w:tcPr>
          <w:p w14:paraId="52A279C1">
            <w:pPr>
              <w:pStyle w:val="17"/>
              <w:bidi w:val="0"/>
              <w:rPr>
                <w:rFonts w:hint="eastAsia"/>
                <w:color w:val="auto"/>
                <w:highlight w:val="none"/>
                <w:lang w:val="en-US" w:eastAsia="zh-CN"/>
              </w:rPr>
            </w:pPr>
            <w:r>
              <w:rPr>
                <w:rFonts w:hint="eastAsia"/>
                <w:color w:val="auto"/>
                <w:highlight w:val="none"/>
                <w:lang w:val="en-US" w:eastAsia="zh-CN"/>
              </w:rPr>
              <w:t>120</w:t>
            </w:r>
          </w:p>
        </w:tc>
        <w:tc>
          <w:tcPr>
            <w:tcW w:w="906" w:type="pct"/>
            <w:shd w:val="clear" w:color="auto" w:fill="auto"/>
            <w:vAlign w:val="center"/>
          </w:tcPr>
          <w:p w14:paraId="6BB039AB">
            <w:pPr>
              <w:pStyle w:val="17"/>
              <w:bidi w:val="0"/>
              <w:rPr>
                <w:rFonts w:hint="eastAsia"/>
                <w:color w:val="auto"/>
                <w:highlight w:val="none"/>
                <w:lang w:val="en-US" w:eastAsia="zh-CN"/>
              </w:rPr>
            </w:pPr>
            <w:r>
              <w:rPr>
                <w:color w:val="auto"/>
                <w:highlight w:val="none"/>
                <w:lang w:eastAsia="zh-CN"/>
              </w:rPr>
              <w:t>固体</w:t>
            </w:r>
          </w:p>
        </w:tc>
        <w:tc>
          <w:tcPr>
            <w:tcW w:w="1382" w:type="pct"/>
            <w:vAlign w:val="center"/>
          </w:tcPr>
          <w:p w14:paraId="27E560AE">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173015D1">
            <w:pPr>
              <w:pStyle w:val="17"/>
              <w:bidi w:val="0"/>
              <w:rPr>
                <w:rFonts w:hint="eastAsia"/>
                <w:color w:val="auto"/>
                <w:highlight w:val="none"/>
                <w:lang w:val="en-US" w:eastAsia="zh-CN"/>
              </w:rPr>
            </w:pPr>
          </w:p>
        </w:tc>
      </w:tr>
      <w:tr w14:paraId="101D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785DBF97">
            <w:pPr>
              <w:pStyle w:val="17"/>
              <w:bidi w:val="0"/>
              <w:rPr>
                <w:rFonts w:hint="eastAsia"/>
                <w:color w:val="auto"/>
                <w:highlight w:val="none"/>
                <w:lang w:val="en-US" w:eastAsia="zh-CN"/>
              </w:rPr>
            </w:pPr>
            <w:r>
              <w:rPr>
                <w:rFonts w:hint="eastAsia"/>
                <w:color w:val="auto"/>
                <w:highlight w:val="none"/>
                <w:lang w:val="en-US" w:eastAsia="zh-CN"/>
              </w:rPr>
              <w:t>16</w:t>
            </w:r>
          </w:p>
        </w:tc>
        <w:tc>
          <w:tcPr>
            <w:tcW w:w="678" w:type="pct"/>
            <w:shd w:val="clear" w:color="auto" w:fill="auto"/>
            <w:vAlign w:val="center"/>
          </w:tcPr>
          <w:p w14:paraId="0BEC8F23">
            <w:pPr>
              <w:pStyle w:val="17"/>
              <w:bidi w:val="0"/>
              <w:rPr>
                <w:rFonts w:hint="eastAsia"/>
                <w:color w:val="auto"/>
                <w:highlight w:val="none"/>
                <w:lang w:val="en-US" w:eastAsia="zh-CN"/>
              </w:rPr>
            </w:pPr>
            <w:r>
              <w:rPr>
                <w:rFonts w:hint="eastAsia"/>
                <w:color w:val="auto"/>
                <w:highlight w:val="none"/>
                <w:lang w:val="en-US" w:eastAsia="zh-CN"/>
              </w:rPr>
              <w:t>齿轮油</w:t>
            </w:r>
          </w:p>
        </w:tc>
        <w:tc>
          <w:tcPr>
            <w:tcW w:w="793" w:type="pct"/>
            <w:shd w:val="clear" w:color="auto" w:fill="auto"/>
            <w:vAlign w:val="center"/>
          </w:tcPr>
          <w:p w14:paraId="230FFC43">
            <w:pPr>
              <w:pStyle w:val="17"/>
              <w:bidi w:val="0"/>
              <w:rPr>
                <w:rFonts w:hint="eastAsia"/>
                <w:color w:val="auto"/>
                <w:highlight w:val="none"/>
                <w:lang w:val="en-US" w:eastAsia="zh-CN"/>
              </w:rPr>
            </w:pPr>
            <w:r>
              <w:rPr>
                <w:rFonts w:hint="eastAsia"/>
                <w:color w:val="auto"/>
                <w:highlight w:val="none"/>
                <w:lang w:val="en-US" w:eastAsia="zh-CN"/>
              </w:rPr>
              <w:t>1.1</w:t>
            </w:r>
          </w:p>
        </w:tc>
        <w:tc>
          <w:tcPr>
            <w:tcW w:w="906" w:type="pct"/>
            <w:shd w:val="clear" w:color="auto" w:fill="auto"/>
            <w:vAlign w:val="center"/>
          </w:tcPr>
          <w:p w14:paraId="4551E618">
            <w:pPr>
              <w:pStyle w:val="17"/>
              <w:bidi w:val="0"/>
              <w:rPr>
                <w:rFonts w:hint="eastAsia"/>
                <w:color w:val="auto"/>
                <w:highlight w:val="none"/>
                <w:lang w:val="en-US" w:eastAsia="zh-CN"/>
              </w:rPr>
            </w:pPr>
            <w:r>
              <w:rPr>
                <w:rFonts w:hint="eastAsia"/>
                <w:color w:val="auto"/>
                <w:highlight w:val="none"/>
                <w:lang w:val="en-US" w:eastAsia="zh-CN"/>
              </w:rPr>
              <w:t>液体</w:t>
            </w:r>
          </w:p>
        </w:tc>
        <w:tc>
          <w:tcPr>
            <w:tcW w:w="1382" w:type="pct"/>
            <w:vAlign w:val="center"/>
          </w:tcPr>
          <w:p w14:paraId="0F32B37D">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451E8ABB">
            <w:pPr>
              <w:pStyle w:val="17"/>
              <w:bidi w:val="0"/>
              <w:rPr>
                <w:rFonts w:hint="eastAsia"/>
                <w:color w:val="auto"/>
                <w:highlight w:val="none"/>
                <w:lang w:val="en-US" w:eastAsia="zh-CN"/>
              </w:rPr>
            </w:pPr>
          </w:p>
        </w:tc>
      </w:tr>
      <w:tr w14:paraId="779D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5C06A8E7">
            <w:pPr>
              <w:pStyle w:val="17"/>
              <w:bidi w:val="0"/>
              <w:rPr>
                <w:rFonts w:hint="eastAsia"/>
                <w:color w:val="auto"/>
                <w:highlight w:val="none"/>
                <w:lang w:val="en-US" w:eastAsia="zh-CN"/>
              </w:rPr>
            </w:pPr>
            <w:r>
              <w:rPr>
                <w:rFonts w:hint="eastAsia"/>
                <w:color w:val="auto"/>
                <w:highlight w:val="none"/>
                <w:lang w:val="en-US" w:eastAsia="zh-CN"/>
              </w:rPr>
              <w:t>17</w:t>
            </w:r>
          </w:p>
        </w:tc>
        <w:tc>
          <w:tcPr>
            <w:tcW w:w="678" w:type="pct"/>
            <w:shd w:val="clear" w:color="auto" w:fill="auto"/>
            <w:vAlign w:val="center"/>
          </w:tcPr>
          <w:p w14:paraId="12DE117E">
            <w:pPr>
              <w:pStyle w:val="17"/>
              <w:bidi w:val="0"/>
              <w:rPr>
                <w:rFonts w:hint="eastAsia"/>
                <w:color w:val="auto"/>
                <w:highlight w:val="none"/>
                <w:lang w:val="en-US" w:eastAsia="zh-CN"/>
              </w:rPr>
            </w:pPr>
            <w:r>
              <w:rPr>
                <w:rFonts w:hint="eastAsia"/>
                <w:color w:val="auto"/>
                <w:highlight w:val="none"/>
                <w:lang w:val="en-US" w:eastAsia="zh-CN"/>
              </w:rPr>
              <w:t>钎杆</w:t>
            </w:r>
          </w:p>
        </w:tc>
        <w:tc>
          <w:tcPr>
            <w:tcW w:w="793" w:type="pct"/>
            <w:shd w:val="clear" w:color="auto" w:fill="auto"/>
            <w:vAlign w:val="center"/>
          </w:tcPr>
          <w:p w14:paraId="54CAD805">
            <w:pPr>
              <w:pStyle w:val="17"/>
              <w:bidi w:val="0"/>
              <w:rPr>
                <w:rFonts w:hint="eastAsia"/>
                <w:color w:val="auto"/>
                <w:highlight w:val="none"/>
                <w:lang w:val="en-US" w:eastAsia="zh-CN"/>
              </w:rPr>
            </w:pPr>
            <w:r>
              <w:rPr>
                <w:rFonts w:hint="eastAsia"/>
                <w:color w:val="auto"/>
                <w:highlight w:val="none"/>
                <w:lang w:val="en-US" w:eastAsia="zh-CN"/>
              </w:rPr>
              <w:t>77.5</w:t>
            </w:r>
          </w:p>
        </w:tc>
        <w:tc>
          <w:tcPr>
            <w:tcW w:w="906" w:type="pct"/>
            <w:shd w:val="clear" w:color="auto" w:fill="auto"/>
            <w:vAlign w:val="center"/>
          </w:tcPr>
          <w:p w14:paraId="306EA64B">
            <w:pPr>
              <w:pStyle w:val="17"/>
              <w:bidi w:val="0"/>
              <w:rPr>
                <w:rFonts w:hint="eastAsia"/>
                <w:color w:val="auto"/>
                <w:highlight w:val="none"/>
                <w:lang w:val="en-US" w:eastAsia="zh-CN"/>
              </w:rPr>
            </w:pPr>
            <w:r>
              <w:rPr>
                <w:rFonts w:hint="eastAsia"/>
                <w:color w:val="auto"/>
                <w:highlight w:val="none"/>
                <w:lang w:val="en-US" w:eastAsia="zh-CN"/>
              </w:rPr>
              <w:t>液体</w:t>
            </w:r>
          </w:p>
        </w:tc>
        <w:tc>
          <w:tcPr>
            <w:tcW w:w="1382" w:type="pct"/>
            <w:vAlign w:val="center"/>
          </w:tcPr>
          <w:p w14:paraId="27C8ACD4">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5FB30C20">
            <w:pPr>
              <w:pStyle w:val="17"/>
              <w:bidi w:val="0"/>
              <w:rPr>
                <w:rFonts w:hint="eastAsia"/>
                <w:color w:val="auto"/>
                <w:highlight w:val="none"/>
                <w:lang w:val="en-US" w:eastAsia="zh-CN"/>
              </w:rPr>
            </w:pPr>
          </w:p>
        </w:tc>
      </w:tr>
      <w:tr w14:paraId="7FAC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629C6BC1">
            <w:pPr>
              <w:pStyle w:val="17"/>
              <w:bidi w:val="0"/>
              <w:rPr>
                <w:rFonts w:hint="eastAsia"/>
                <w:color w:val="auto"/>
                <w:highlight w:val="none"/>
                <w:lang w:val="en-US" w:eastAsia="zh-CN"/>
              </w:rPr>
            </w:pPr>
            <w:r>
              <w:rPr>
                <w:rFonts w:hint="eastAsia"/>
                <w:color w:val="auto"/>
                <w:highlight w:val="none"/>
                <w:lang w:val="en-US" w:eastAsia="zh-CN"/>
              </w:rPr>
              <w:t>18</w:t>
            </w:r>
          </w:p>
        </w:tc>
        <w:tc>
          <w:tcPr>
            <w:tcW w:w="678" w:type="pct"/>
            <w:shd w:val="clear" w:color="auto" w:fill="auto"/>
            <w:vAlign w:val="center"/>
          </w:tcPr>
          <w:p w14:paraId="15B368CF">
            <w:pPr>
              <w:pStyle w:val="17"/>
              <w:bidi w:val="0"/>
              <w:rPr>
                <w:rFonts w:hint="eastAsia"/>
                <w:color w:val="auto"/>
                <w:highlight w:val="none"/>
                <w:lang w:val="en-US" w:eastAsia="zh-CN"/>
              </w:rPr>
            </w:pPr>
            <w:r>
              <w:rPr>
                <w:rFonts w:hint="eastAsia"/>
                <w:color w:val="auto"/>
                <w:highlight w:val="none"/>
                <w:lang w:val="en-US" w:eastAsia="zh-CN"/>
              </w:rPr>
              <w:t>砂子</w:t>
            </w:r>
          </w:p>
        </w:tc>
        <w:tc>
          <w:tcPr>
            <w:tcW w:w="793" w:type="pct"/>
            <w:shd w:val="clear" w:color="auto" w:fill="auto"/>
            <w:vAlign w:val="center"/>
          </w:tcPr>
          <w:p w14:paraId="469A96C4">
            <w:pPr>
              <w:pStyle w:val="17"/>
              <w:bidi w:val="0"/>
              <w:rPr>
                <w:rFonts w:hint="eastAsia"/>
                <w:color w:val="auto"/>
                <w:highlight w:val="none"/>
                <w:lang w:val="en-US" w:eastAsia="zh-CN"/>
              </w:rPr>
            </w:pPr>
            <w:r>
              <w:rPr>
                <w:rFonts w:hint="eastAsia"/>
                <w:color w:val="auto"/>
                <w:highlight w:val="none"/>
                <w:lang w:val="en-US" w:eastAsia="zh-CN"/>
              </w:rPr>
              <w:t>15917.4</w:t>
            </w:r>
          </w:p>
        </w:tc>
        <w:tc>
          <w:tcPr>
            <w:tcW w:w="906" w:type="pct"/>
            <w:shd w:val="clear" w:color="auto" w:fill="auto"/>
            <w:vAlign w:val="center"/>
          </w:tcPr>
          <w:p w14:paraId="646910C7">
            <w:pPr>
              <w:pStyle w:val="17"/>
              <w:bidi w:val="0"/>
              <w:rPr>
                <w:rFonts w:hint="eastAsia"/>
                <w:color w:val="auto"/>
                <w:highlight w:val="none"/>
                <w:lang w:val="en-US" w:eastAsia="zh-CN"/>
              </w:rPr>
            </w:pPr>
            <w:r>
              <w:rPr>
                <w:rFonts w:hint="eastAsia"/>
                <w:color w:val="auto"/>
                <w:highlight w:val="none"/>
                <w:lang w:val="en-US" w:eastAsia="zh-CN"/>
              </w:rPr>
              <w:t>液体</w:t>
            </w:r>
          </w:p>
        </w:tc>
        <w:tc>
          <w:tcPr>
            <w:tcW w:w="1382" w:type="pct"/>
            <w:vAlign w:val="center"/>
          </w:tcPr>
          <w:p w14:paraId="5F4D764A">
            <w:pPr>
              <w:pStyle w:val="17"/>
              <w:bidi w:val="0"/>
              <w:rPr>
                <w:rFonts w:hint="default"/>
                <w:color w:val="auto"/>
                <w:highlight w:val="none"/>
                <w:lang w:val="en-US" w:eastAsia="zh-CN"/>
              </w:rPr>
            </w:pPr>
            <w:r>
              <w:rPr>
                <w:rFonts w:hint="eastAsia"/>
                <w:color w:val="auto"/>
                <w:highlight w:val="none"/>
                <w:lang w:val="en-US" w:eastAsia="zh-CN"/>
              </w:rPr>
              <w:t>采场</w:t>
            </w:r>
          </w:p>
        </w:tc>
        <w:tc>
          <w:tcPr>
            <w:tcW w:w="838" w:type="pct"/>
            <w:vAlign w:val="center"/>
          </w:tcPr>
          <w:p w14:paraId="598946C2">
            <w:pPr>
              <w:pStyle w:val="17"/>
              <w:bidi w:val="0"/>
              <w:rPr>
                <w:rFonts w:hint="eastAsia"/>
                <w:color w:val="auto"/>
                <w:highlight w:val="none"/>
                <w:lang w:val="en-US" w:eastAsia="zh-CN"/>
              </w:rPr>
            </w:pPr>
          </w:p>
        </w:tc>
      </w:tr>
      <w:tr w14:paraId="62A9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7A6FA453">
            <w:pPr>
              <w:pStyle w:val="17"/>
              <w:bidi w:val="0"/>
              <w:rPr>
                <w:rFonts w:hint="eastAsia"/>
                <w:color w:val="auto"/>
                <w:highlight w:val="none"/>
                <w:lang w:val="en-US" w:eastAsia="zh-CN"/>
              </w:rPr>
            </w:pPr>
            <w:r>
              <w:rPr>
                <w:rFonts w:hint="eastAsia"/>
                <w:color w:val="auto"/>
                <w:highlight w:val="none"/>
                <w:lang w:val="en-US" w:eastAsia="zh-CN"/>
              </w:rPr>
              <w:t>19</w:t>
            </w:r>
          </w:p>
        </w:tc>
        <w:tc>
          <w:tcPr>
            <w:tcW w:w="678" w:type="pct"/>
            <w:shd w:val="clear" w:color="auto" w:fill="auto"/>
            <w:vAlign w:val="center"/>
          </w:tcPr>
          <w:p w14:paraId="12F47B22">
            <w:pPr>
              <w:pStyle w:val="17"/>
              <w:bidi w:val="0"/>
              <w:rPr>
                <w:rFonts w:hint="eastAsia"/>
                <w:color w:val="auto"/>
                <w:highlight w:val="none"/>
                <w:lang w:val="en-US" w:eastAsia="zh-CN"/>
              </w:rPr>
            </w:pPr>
            <w:r>
              <w:rPr>
                <w:rFonts w:hint="eastAsia"/>
                <w:color w:val="auto"/>
                <w:highlight w:val="none"/>
                <w:lang w:val="en-US" w:eastAsia="zh-CN"/>
              </w:rPr>
              <w:t>石子</w:t>
            </w:r>
          </w:p>
        </w:tc>
        <w:tc>
          <w:tcPr>
            <w:tcW w:w="793" w:type="pct"/>
            <w:shd w:val="clear" w:color="auto" w:fill="auto"/>
            <w:vAlign w:val="center"/>
          </w:tcPr>
          <w:p w14:paraId="6E0A127A">
            <w:pPr>
              <w:pStyle w:val="17"/>
              <w:bidi w:val="0"/>
              <w:rPr>
                <w:rFonts w:hint="eastAsia"/>
                <w:color w:val="auto"/>
                <w:highlight w:val="none"/>
                <w:lang w:val="en-US" w:eastAsia="zh-CN"/>
              </w:rPr>
            </w:pPr>
            <w:r>
              <w:rPr>
                <w:rFonts w:hint="eastAsia"/>
                <w:color w:val="auto"/>
                <w:highlight w:val="none"/>
                <w:lang w:val="en-US" w:eastAsia="zh-CN"/>
              </w:rPr>
              <w:t>29683.8</w:t>
            </w:r>
          </w:p>
        </w:tc>
        <w:tc>
          <w:tcPr>
            <w:tcW w:w="906" w:type="pct"/>
            <w:shd w:val="clear" w:color="auto" w:fill="auto"/>
            <w:vAlign w:val="center"/>
          </w:tcPr>
          <w:p w14:paraId="15EB4D18">
            <w:pPr>
              <w:pStyle w:val="17"/>
              <w:bidi w:val="0"/>
              <w:rPr>
                <w:rFonts w:hint="eastAsia"/>
                <w:color w:val="auto"/>
                <w:highlight w:val="none"/>
                <w:lang w:val="en-US" w:eastAsia="zh-CN"/>
              </w:rPr>
            </w:pPr>
            <w:r>
              <w:rPr>
                <w:rFonts w:hint="eastAsia"/>
                <w:color w:val="auto"/>
                <w:highlight w:val="none"/>
                <w:lang w:val="en-US" w:eastAsia="zh-CN"/>
              </w:rPr>
              <w:t>液体</w:t>
            </w:r>
          </w:p>
        </w:tc>
        <w:tc>
          <w:tcPr>
            <w:tcW w:w="1382" w:type="pct"/>
            <w:vAlign w:val="center"/>
          </w:tcPr>
          <w:p w14:paraId="1DE7A0A8">
            <w:pPr>
              <w:pStyle w:val="17"/>
              <w:bidi w:val="0"/>
              <w:rPr>
                <w:rFonts w:hint="default"/>
                <w:color w:val="auto"/>
                <w:highlight w:val="none"/>
                <w:lang w:val="en-US" w:eastAsia="zh-CN"/>
              </w:rPr>
            </w:pPr>
            <w:r>
              <w:rPr>
                <w:rFonts w:hint="eastAsia"/>
                <w:color w:val="auto"/>
                <w:highlight w:val="none"/>
                <w:lang w:val="en-US" w:eastAsia="zh-CN"/>
              </w:rPr>
              <w:t>采场</w:t>
            </w:r>
          </w:p>
        </w:tc>
        <w:tc>
          <w:tcPr>
            <w:tcW w:w="838" w:type="pct"/>
            <w:vAlign w:val="center"/>
          </w:tcPr>
          <w:p w14:paraId="2BC9BAC2">
            <w:pPr>
              <w:pStyle w:val="17"/>
              <w:bidi w:val="0"/>
              <w:rPr>
                <w:rFonts w:hint="eastAsia"/>
                <w:color w:val="auto"/>
                <w:highlight w:val="none"/>
                <w:lang w:val="en-US" w:eastAsia="zh-CN"/>
              </w:rPr>
            </w:pPr>
          </w:p>
        </w:tc>
      </w:tr>
      <w:tr w14:paraId="631D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59DB4D39">
            <w:pPr>
              <w:pStyle w:val="17"/>
              <w:bidi w:val="0"/>
              <w:rPr>
                <w:rFonts w:hint="eastAsia"/>
                <w:color w:val="auto"/>
                <w:highlight w:val="none"/>
                <w:lang w:val="en-US" w:eastAsia="zh-CN"/>
              </w:rPr>
            </w:pPr>
            <w:r>
              <w:rPr>
                <w:rFonts w:hint="eastAsia"/>
                <w:color w:val="auto"/>
                <w:highlight w:val="none"/>
                <w:lang w:val="en-US" w:eastAsia="zh-CN"/>
              </w:rPr>
              <w:t>20</w:t>
            </w:r>
          </w:p>
        </w:tc>
        <w:tc>
          <w:tcPr>
            <w:tcW w:w="678" w:type="pct"/>
            <w:shd w:val="clear" w:color="auto" w:fill="auto"/>
            <w:vAlign w:val="center"/>
          </w:tcPr>
          <w:p w14:paraId="40B083D0">
            <w:pPr>
              <w:pStyle w:val="17"/>
              <w:bidi w:val="0"/>
              <w:rPr>
                <w:rFonts w:hint="eastAsia"/>
                <w:color w:val="auto"/>
                <w:highlight w:val="none"/>
                <w:lang w:val="en-US" w:eastAsia="zh-CN"/>
              </w:rPr>
            </w:pPr>
            <w:r>
              <w:rPr>
                <w:rFonts w:hint="eastAsia"/>
                <w:color w:val="auto"/>
                <w:highlight w:val="none"/>
                <w:lang w:val="en-US" w:eastAsia="zh-CN"/>
              </w:rPr>
              <w:t>锚杆</w:t>
            </w:r>
          </w:p>
        </w:tc>
        <w:tc>
          <w:tcPr>
            <w:tcW w:w="793" w:type="pct"/>
            <w:shd w:val="clear" w:color="auto" w:fill="auto"/>
            <w:vAlign w:val="center"/>
          </w:tcPr>
          <w:p w14:paraId="43B279AC">
            <w:pPr>
              <w:pStyle w:val="17"/>
              <w:bidi w:val="0"/>
              <w:rPr>
                <w:rFonts w:hint="eastAsia"/>
                <w:color w:val="auto"/>
                <w:highlight w:val="none"/>
                <w:lang w:val="en-US" w:eastAsia="zh-CN"/>
              </w:rPr>
            </w:pPr>
            <w:r>
              <w:rPr>
                <w:rFonts w:hint="eastAsia"/>
                <w:color w:val="auto"/>
                <w:highlight w:val="none"/>
                <w:lang w:val="en-US" w:eastAsia="zh-CN"/>
              </w:rPr>
              <w:t>481.82</w:t>
            </w:r>
          </w:p>
        </w:tc>
        <w:tc>
          <w:tcPr>
            <w:tcW w:w="906" w:type="pct"/>
            <w:shd w:val="clear" w:color="auto" w:fill="auto"/>
            <w:vAlign w:val="center"/>
          </w:tcPr>
          <w:p w14:paraId="255066D5">
            <w:pPr>
              <w:pStyle w:val="17"/>
              <w:bidi w:val="0"/>
              <w:rPr>
                <w:rFonts w:hint="eastAsia"/>
                <w:color w:val="auto"/>
                <w:highlight w:val="none"/>
                <w:lang w:val="en-US" w:eastAsia="zh-CN"/>
              </w:rPr>
            </w:pPr>
            <w:r>
              <w:rPr>
                <w:rFonts w:hint="eastAsia"/>
                <w:color w:val="auto"/>
                <w:highlight w:val="none"/>
                <w:lang w:val="en-US" w:eastAsia="zh-CN"/>
              </w:rPr>
              <w:t>液体</w:t>
            </w:r>
          </w:p>
        </w:tc>
        <w:tc>
          <w:tcPr>
            <w:tcW w:w="1382" w:type="pct"/>
            <w:vAlign w:val="center"/>
          </w:tcPr>
          <w:p w14:paraId="022F0121">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1676889F">
            <w:pPr>
              <w:pStyle w:val="17"/>
              <w:bidi w:val="0"/>
              <w:rPr>
                <w:rFonts w:hint="eastAsia"/>
                <w:color w:val="auto"/>
                <w:highlight w:val="none"/>
                <w:lang w:val="en-US" w:eastAsia="zh-CN"/>
              </w:rPr>
            </w:pPr>
          </w:p>
        </w:tc>
      </w:tr>
      <w:tr w14:paraId="37E6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01" w:type="pct"/>
            <w:shd w:val="clear" w:color="auto" w:fill="auto"/>
            <w:vAlign w:val="center"/>
          </w:tcPr>
          <w:p w14:paraId="7F905E00">
            <w:pPr>
              <w:pStyle w:val="17"/>
              <w:bidi w:val="0"/>
              <w:rPr>
                <w:rFonts w:hint="eastAsia"/>
                <w:color w:val="auto"/>
                <w:highlight w:val="none"/>
                <w:lang w:val="en-US" w:eastAsia="zh-CN"/>
              </w:rPr>
            </w:pPr>
            <w:r>
              <w:rPr>
                <w:rFonts w:hint="eastAsia"/>
                <w:color w:val="auto"/>
                <w:highlight w:val="none"/>
                <w:lang w:val="en-US" w:eastAsia="zh-CN"/>
              </w:rPr>
              <w:t>21</w:t>
            </w:r>
          </w:p>
        </w:tc>
        <w:tc>
          <w:tcPr>
            <w:tcW w:w="678" w:type="pct"/>
            <w:shd w:val="clear" w:color="auto" w:fill="auto"/>
            <w:vAlign w:val="center"/>
          </w:tcPr>
          <w:p w14:paraId="0CC503C3">
            <w:pPr>
              <w:pStyle w:val="17"/>
              <w:bidi w:val="0"/>
              <w:rPr>
                <w:rFonts w:hint="eastAsia"/>
                <w:color w:val="auto"/>
                <w:highlight w:val="none"/>
                <w:lang w:val="en-US" w:eastAsia="zh-CN"/>
              </w:rPr>
            </w:pPr>
            <w:r>
              <w:rPr>
                <w:rFonts w:hint="eastAsia"/>
                <w:color w:val="auto"/>
                <w:highlight w:val="none"/>
                <w:lang w:val="en-US" w:eastAsia="zh-CN"/>
              </w:rPr>
              <w:t>金属网</w:t>
            </w:r>
          </w:p>
        </w:tc>
        <w:tc>
          <w:tcPr>
            <w:tcW w:w="793" w:type="pct"/>
            <w:shd w:val="clear" w:color="auto" w:fill="auto"/>
            <w:vAlign w:val="center"/>
          </w:tcPr>
          <w:p w14:paraId="1F17E64D">
            <w:pPr>
              <w:pStyle w:val="17"/>
              <w:bidi w:val="0"/>
              <w:rPr>
                <w:rFonts w:hint="eastAsia"/>
                <w:color w:val="auto"/>
                <w:highlight w:val="none"/>
                <w:lang w:val="en-US" w:eastAsia="zh-CN"/>
              </w:rPr>
            </w:pPr>
            <w:r>
              <w:rPr>
                <w:rFonts w:hint="eastAsia"/>
                <w:color w:val="auto"/>
                <w:highlight w:val="none"/>
                <w:lang w:val="en-US" w:eastAsia="zh-CN"/>
              </w:rPr>
              <w:t>228</w:t>
            </w:r>
          </w:p>
        </w:tc>
        <w:tc>
          <w:tcPr>
            <w:tcW w:w="906" w:type="pct"/>
            <w:shd w:val="clear" w:color="auto" w:fill="auto"/>
            <w:vAlign w:val="center"/>
          </w:tcPr>
          <w:p w14:paraId="6B446B07">
            <w:pPr>
              <w:pStyle w:val="17"/>
              <w:bidi w:val="0"/>
              <w:rPr>
                <w:rFonts w:hint="eastAsia"/>
                <w:color w:val="auto"/>
                <w:highlight w:val="none"/>
                <w:lang w:val="en-US" w:eastAsia="zh-CN"/>
              </w:rPr>
            </w:pPr>
            <w:r>
              <w:rPr>
                <w:rFonts w:hint="eastAsia"/>
                <w:color w:val="auto"/>
                <w:highlight w:val="none"/>
                <w:lang w:val="en-US" w:eastAsia="zh-CN"/>
              </w:rPr>
              <w:t>固体</w:t>
            </w:r>
          </w:p>
        </w:tc>
        <w:tc>
          <w:tcPr>
            <w:tcW w:w="1382" w:type="pct"/>
            <w:vAlign w:val="center"/>
          </w:tcPr>
          <w:p w14:paraId="5C145C1D">
            <w:pPr>
              <w:pStyle w:val="17"/>
              <w:bidi w:val="0"/>
              <w:rPr>
                <w:rFonts w:hint="eastAsia"/>
                <w:color w:val="auto"/>
                <w:highlight w:val="none"/>
                <w:lang w:val="en-US" w:eastAsia="zh-CN"/>
              </w:rPr>
            </w:pPr>
            <w:r>
              <w:rPr>
                <w:rFonts w:hint="eastAsia"/>
                <w:color w:val="auto"/>
                <w:highlight w:val="none"/>
                <w:lang w:val="en-US" w:eastAsia="zh-CN"/>
              </w:rPr>
              <w:t>采场机修仓库</w:t>
            </w:r>
          </w:p>
        </w:tc>
        <w:tc>
          <w:tcPr>
            <w:tcW w:w="838" w:type="pct"/>
            <w:vAlign w:val="center"/>
          </w:tcPr>
          <w:p w14:paraId="4D61CC7A">
            <w:pPr>
              <w:pStyle w:val="17"/>
              <w:bidi w:val="0"/>
              <w:rPr>
                <w:rFonts w:hint="eastAsia"/>
                <w:color w:val="auto"/>
                <w:highlight w:val="none"/>
                <w:lang w:val="en-US" w:eastAsia="zh-CN"/>
              </w:rPr>
            </w:pPr>
          </w:p>
        </w:tc>
      </w:tr>
    </w:tbl>
    <w:p w14:paraId="071EAE96">
      <w:pPr>
        <w:overflowPunct w:val="0"/>
        <w:topLinePunct/>
        <w:spacing w:line="480" w:lineRule="exact"/>
        <w:ind w:firstLine="480"/>
        <w:rPr>
          <w:rFonts w:hint="eastAsia" w:cs="Times New Roman"/>
          <w:color w:val="auto"/>
          <w:sz w:val="24"/>
          <w:highlight w:val="none"/>
          <w:lang w:val="en-US" w:eastAsia="zh-CN"/>
        </w:rPr>
      </w:pPr>
      <w:r>
        <w:rPr>
          <w:rFonts w:hint="eastAsia" w:cs="Times New Roman"/>
          <w:color w:val="auto"/>
          <w:sz w:val="24"/>
          <w:highlight w:val="none"/>
        </w:rPr>
        <w:t>（2）</w:t>
      </w:r>
      <w:r>
        <w:rPr>
          <w:rFonts w:hint="eastAsia" w:cs="Times New Roman"/>
          <w:color w:val="auto"/>
          <w:sz w:val="24"/>
          <w:highlight w:val="none"/>
          <w:lang w:val="en-US" w:eastAsia="zh-CN"/>
        </w:rPr>
        <w:t>选矿原辅材料</w:t>
      </w:r>
    </w:p>
    <w:p w14:paraId="3A54DC92">
      <w:pPr>
        <w:overflowPunct w:val="0"/>
        <w:topLinePunct/>
        <w:spacing w:line="480" w:lineRule="exact"/>
        <w:ind w:firstLine="480"/>
        <w:rPr>
          <w:rFonts w:hint="eastAsia" w:cs="Times New Roman"/>
          <w:color w:val="auto"/>
          <w:sz w:val="24"/>
          <w:highlight w:val="none"/>
        </w:rPr>
      </w:pPr>
      <w:r>
        <w:rPr>
          <w:rFonts w:hint="eastAsia" w:cs="Times New Roman"/>
          <w:color w:val="auto"/>
          <w:sz w:val="24"/>
          <w:highlight w:val="none"/>
          <w:lang w:val="en-US" w:eastAsia="zh-CN"/>
        </w:rPr>
        <w:t>本项目</w:t>
      </w:r>
      <w:r>
        <w:rPr>
          <w:rFonts w:hint="eastAsia" w:cs="Times New Roman"/>
          <w:color w:val="auto"/>
          <w:sz w:val="24"/>
          <w:highlight w:val="none"/>
        </w:rPr>
        <w:t>选矿工程设计的主要原材料</w:t>
      </w:r>
      <w:r>
        <w:rPr>
          <w:rFonts w:hint="eastAsia" w:cs="Times New Roman"/>
          <w:color w:val="auto"/>
          <w:sz w:val="24"/>
          <w:highlight w:val="none"/>
          <w:lang w:val="en-US" w:eastAsia="zh-CN"/>
        </w:rPr>
        <w:t>为矿山开采的萤石矿石</w:t>
      </w:r>
      <w:r>
        <w:rPr>
          <w:rFonts w:hint="eastAsia" w:cs="Times New Roman"/>
          <w:color w:val="auto"/>
          <w:sz w:val="24"/>
          <w:highlight w:val="none"/>
        </w:rPr>
        <w:t>。</w:t>
      </w:r>
    </w:p>
    <w:p w14:paraId="7E8A4434">
      <w:pPr>
        <w:overflowPunct w:val="0"/>
        <w:topLinePunct/>
        <w:spacing w:line="480" w:lineRule="exact"/>
        <w:ind w:firstLine="480"/>
        <w:rPr>
          <w:rFonts w:cs="Times New Roman"/>
          <w:color w:val="auto"/>
          <w:sz w:val="24"/>
          <w:highlight w:val="none"/>
        </w:rPr>
      </w:pPr>
      <w:r>
        <w:rPr>
          <w:rFonts w:hint="eastAsia" w:cs="Times New Roman"/>
          <w:color w:val="auto"/>
          <w:sz w:val="24"/>
          <w:highlight w:val="none"/>
        </w:rPr>
        <w:t>①矿石组成及类型</w:t>
      </w:r>
    </w:p>
    <w:p w14:paraId="361132E6">
      <w:pPr>
        <w:overflowPunct w:val="0"/>
        <w:topLinePunct/>
        <w:spacing w:line="480" w:lineRule="exact"/>
        <w:ind w:firstLine="480"/>
        <w:rPr>
          <w:rFonts w:cs="Times New Roman"/>
          <w:color w:val="auto"/>
          <w:sz w:val="24"/>
          <w:highlight w:val="none"/>
        </w:rPr>
      </w:pPr>
      <w:r>
        <w:rPr>
          <w:rFonts w:hint="default" w:cs="Times New Roman"/>
          <w:color w:val="auto"/>
          <w:sz w:val="24"/>
          <w:highlight w:val="none"/>
          <w:lang w:val="en-US" w:eastAsia="zh-CN"/>
        </w:rPr>
        <w:t>矿石类型单一，主要是萤石方解石型，局部出现石英萤石型。少数分布在矿体顶底板围岩附近含萤石钾长花岗岩，有用组分萤石矿物含量低，不具有工业利用价值。矿石矿物简单，有用矿物为萤石</w:t>
      </w:r>
      <w:r>
        <w:rPr>
          <w:rFonts w:hint="eastAsia" w:cs="Times New Roman"/>
          <w:color w:val="auto"/>
          <w:sz w:val="24"/>
          <w:highlight w:val="none"/>
          <w:lang w:val="en-US" w:eastAsia="zh-CN"/>
        </w:rPr>
        <w:t>30%—45%</w:t>
      </w:r>
      <w:r>
        <w:rPr>
          <w:rFonts w:hint="default" w:cs="Times New Roman"/>
          <w:color w:val="auto"/>
          <w:sz w:val="24"/>
          <w:highlight w:val="none"/>
          <w:lang w:val="en-US" w:eastAsia="zh-CN"/>
        </w:rPr>
        <w:t>，脉石矿物为方解石</w:t>
      </w:r>
      <w:r>
        <w:rPr>
          <w:rFonts w:hint="eastAsia" w:cs="Times New Roman"/>
          <w:color w:val="auto"/>
          <w:sz w:val="24"/>
          <w:highlight w:val="none"/>
          <w:lang w:val="en-US" w:eastAsia="zh-CN"/>
        </w:rPr>
        <w:t>55%—60%</w:t>
      </w:r>
      <w:r>
        <w:rPr>
          <w:rFonts w:hint="default" w:cs="Times New Roman"/>
          <w:color w:val="auto"/>
          <w:sz w:val="24"/>
          <w:highlight w:val="none"/>
          <w:lang w:val="en-US" w:eastAsia="zh-CN"/>
        </w:rPr>
        <w:t>，其次是石英</w:t>
      </w:r>
      <w:r>
        <w:rPr>
          <w:rFonts w:hint="eastAsia" w:cs="Times New Roman"/>
          <w:color w:val="auto"/>
          <w:sz w:val="24"/>
          <w:highlight w:val="none"/>
          <w:lang w:val="en-US" w:eastAsia="zh-CN"/>
        </w:rPr>
        <w:t>5%—10%</w:t>
      </w:r>
      <w:r>
        <w:rPr>
          <w:rFonts w:hint="default" w:cs="Times New Roman"/>
          <w:color w:val="auto"/>
          <w:sz w:val="24"/>
          <w:highlight w:val="none"/>
          <w:lang w:val="en-US" w:eastAsia="zh-CN"/>
        </w:rPr>
        <w:t>，极少量钾长石、单斜辉石、白云母等，含量</w:t>
      </w:r>
      <w:r>
        <w:rPr>
          <w:rFonts w:hint="eastAsia" w:cs="Times New Roman"/>
          <w:color w:val="auto"/>
          <w:sz w:val="24"/>
          <w:highlight w:val="none"/>
          <w:lang w:val="en-US" w:eastAsia="zh-CN"/>
        </w:rPr>
        <w:t>1%—3%</w:t>
      </w:r>
      <w:r>
        <w:rPr>
          <w:rFonts w:hint="default" w:cs="Times New Roman"/>
          <w:color w:val="auto"/>
          <w:sz w:val="24"/>
          <w:highlight w:val="none"/>
          <w:lang w:val="en-US" w:eastAsia="zh-CN"/>
        </w:rPr>
        <w:t>。金属矿物微量，分布不均匀，成分为黄铁矿，极少量的方铅矿、黄铜矿、磁铁矿等，副矿物有磷灰石、锆石</w:t>
      </w:r>
      <w:r>
        <w:rPr>
          <w:rFonts w:hint="eastAsia" w:cs="Times New Roman"/>
          <w:color w:val="auto"/>
          <w:sz w:val="24"/>
          <w:highlight w:val="none"/>
          <w:lang w:val="en-US" w:eastAsia="zh-CN"/>
        </w:rPr>
        <w:t>。</w:t>
      </w:r>
    </w:p>
    <w:p w14:paraId="007096A5">
      <w:pPr>
        <w:overflowPunct w:val="0"/>
        <w:topLinePunct/>
        <w:spacing w:line="480" w:lineRule="exact"/>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②矿石结构</w:t>
      </w:r>
    </w:p>
    <w:p w14:paraId="588797C8">
      <w:pPr>
        <w:widowControl/>
        <w:overflowPunct w:val="0"/>
        <w:topLinePunct/>
        <w:ind w:firstLine="480"/>
        <w:rPr>
          <w:color w:val="auto"/>
          <w:highlight w:val="none"/>
        </w:rPr>
      </w:pPr>
      <w:r>
        <w:rPr>
          <w:rFonts w:hint="default" w:cs="Times New Roman"/>
          <w:color w:val="auto"/>
          <w:sz w:val="24"/>
          <w:highlight w:val="none"/>
          <w:lang w:val="en-US" w:eastAsia="zh-CN"/>
        </w:rPr>
        <w:t>矿石由萤石方解石伟晶岩脉构成，极少量石英萤石矿脉。典型结构有巨晶粒状结构、</w:t>
      </w:r>
      <w:r>
        <w:rPr>
          <w:rFonts w:hint="eastAsia" w:cs="Times New Roman"/>
          <w:color w:val="auto"/>
          <w:sz w:val="24"/>
          <w:highlight w:val="none"/>
          <w:lang w:val="en-US" w:eastAsia="zh-CN"/>
        </w:rPr>
        <w:t>微晶</w:t>
      </w:r>
      <w:r>
        <w:rPr>
          <w:rFonts w:hint="default" w:cs="Times New Roman"/>
          <w:color w:val="auto"/>
          <w:sz w:val="24"/>
          <w:highlight w:val="none"/>
          <w:lang w:val="en-US" w:eastAsia="zh-CN"/>
        </w:rPr>
        <w:t>粒状结构、文象结构</w:t>
      </w:r>
      <w:r>
        <w:rPr>
          <w:rFonts w:hint="eastAsia" w:cs="Times New Roman"/>
          <w:color w:val="auto"/>
          <w:sz w:val="24"/>
          <w:highlight w:val="none"/>
          <w:lang w:val="en-US" w:eastAsia="zh-CN"/>
        </w:rPr>
        <w:t>。</w:t>
      </w:r>
    </w:p>
    <w:p w14:paraId="627A992D">
      <w:pPr>
        <w:overflowPunct w:val="0"/>
        <w:topLinePunct/>
        <w:spacing w:line="480" w:lineRule="exact"/>
        <w:ind w:firstLine="480"/>
        <w:rPr>
          <w:rFonts w:cs="Times New Roman"/>
          <w:color w:val="auto"/>
          <w:sz w:val="24"/>
          <w:highlight w:val="none"/>
        </w:rPr>
      </w:pPr>
      <w:r>
        <w:rPr>
          <w:rFonts w:hint="eastAsia" w:cs="Times New Roman"/>
          <w:color w:val="auto"/>
          <w:sz w:val="24"/>
          <w:highlight w:val="none"/>
        </w:rPr>
        <w:t>③矿石构造</w:t>
      </w:r>
    </w:p>
    <w:p w14:paraId="63A9E11D">
      <w:pPr>
        <w:overflowPunct w:val="0"/>
        <w:topLinePunct/>
        <w:spacing w:line="480" w:lineRule="exact"/>
        <w:ind w:firstLine="480"/>
        <w:rPr>
          <w:rFonts w:cs="Times New Roman"/>
          <w:color w:val="auto"/>
          <w:sz w:val="24"/>
          <w:highlight w:val="none"/>
        </w:rPr>
      </w:pPr>
      <w:r>
        <w:rPr>
          <w:rFonts w:hint="default" w:cs="Times New Roman"/>
          <w:color w:val="auto"/>
          <w:sz w:val="24"/>
          <w:highlight w:val="none"/>
          <w:lang w:val="en-US" w:eastAsia="zh-CN"/>
        </w:rPr>
        <w:t>矿石构造类型比较简单，主要为团块状构造，多数矿石遭受了构造动力变质，有角砾状构造、条带状构造，少数为条纹状构造。</w:t>
      </w:r>
    </w:p>
    <w:p w14:paraId="60BF7C38">
      <w:pPr>
        <w:overflowPunct w:val="0"/>
        <w:topLinePunct/>
        <w:spacing w:line="480" w:lineRule="exact"/>
        <w:ind w:firstLine="480"/>
        <w:rPr>
          <w:rFonts w:cs="Times New Roman"/>
          <w:color w:val="auto"/>
          <w:sz w:val="24"/>
          <w:highlight w:val="none"/>
        </w:rPr>
      </w:pPr>
      <w:r>
        <w:rPr>
          <w:rFonts w:hint="eastAsia" w:cs="Times New Roman"/>
          <w:color w:val="auto"/>
          <w:sz w:val="24"/>
          <w:highlight w:val="none"/>
        </w:rPr>
        <w:t>④矿石化学成分</w:t>
      </w:r>
    </w:p>
    <w:p w14:paraId="65B387CD">
      <w:pPr>
        <w:overflowPunct w:val="0"/>
        <w:topLinePunct/>
        <w:spacing w:line="480" w:lineRule="exact"/>
        <w:ind w:firstLine="480"/>
        <w:rPr>
          <w:rFonts w:cs="Times New Roman"/>
          <w:color w:val="auto"/>
          <w:sz w:val="24"/>
          <w:highlight w:val="none"/>
        </w:rPr>
      </w:pPr>
      <w:r>
        <w:rPr>
          <w:rFonts w:hint="default" w:ascii="Times New Roman" w:hAnsi="Times New Roman" w:cs="Times New Roman"/>
          <w:color w:val="auto"/>
          <w:sz w:val="24"/>
          <w:szCs w:val="24"/>
          <w:highlight w:val="none"/>
          <w:lang w:val="en-US" w:eastAsia="zh-CN"/>
        </w:rPr>
        <w:t>根据矿石化学全分析及光谱结果，矿石化学成分主要为CaF</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、CaCO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，其次为SiO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、Al</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、Fe</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、S、P等，</w:t>
      </w:r>
      <w:r>
        <w:rPr>
          <w:rFonts w:hint="eastAsia" w:ascii="Times New Roman" w:hAnsi="Times New Roman" w:cs="Times New Roman"/>
          <w:color w:val="auto"/>
          <w:sz w:val="24"/>
          <w:szCs w:val="24"/>
          <w:highlight w:val="none"/>
          <w:lang w:val="en-US" w:eastAsia="zh-CN"/>
        </w:rPr>
        <w:t>其他化学</w:t>
      </w:r>
      <w:r>
        <w:rPr>
          <w:rFonts w:hint="default" w:ascii="Times New Roman" w:hAnsi="Times New Roman" w:cs="Times New Roman"/>
          <w:color w:val="auto"/>
          <w:sz w:val="24"/>
          <w:szCs w:val="24"/>
          <w:highlight w:val="none"/>
          <w:lang w:val="en-US" w:eastAsia="zh-CN"/>
        </w:rPr>
        <w:t>组分微量。其中CaF</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为主要有益组分，平均含量</w:t>
      </w:r>
      <w:r>
        <w:rPr>
          <w:rFonts w:hint="eastAsia" w:cs="Times New Roman"/>
          <w:color w:val="auto"/>
          <w:sz w:val="24"/>
          <w:szCs w:val="24"/>
          <w:highlight w:val="none"/>
          <w:lang w:val="en-US" w:eastAsia="zh-CN"/>
        </w:rPr>
        <w:t>29.23%—37.33%</w:t>
      </w:r>
      <w:r>
        <w:rPr>
          <w:rFonts w:hint="default" w:ascii="Times New Roman" w:hAnsi="Times New Roman" w:cs="Times New Roman"/>
          <w:color w:val="auto"/>
          <w:sz w:val="24"/>
          <w:szCs w:val="24"/>
          <w:highlight w:val="none"/>
          <w:lang w:val="en-US" w:eastAsia="zh-CN"/>
        </w:rPr>
        <w:t>。矿石有害元素组分为CaCO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、SiO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、Fe</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、S、P、As等，矿石主要成分CaCO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，变化值</w:t>
      </w:r>
      <w:r>
        <w:rPr>
          <w:rFonts w:hint="eastAsia" w:cs="Times New Roman"/>
          <w:color w:val="auto"/>
          <w:sz w:val="24"/>
          <w:szCs w:val="24"/>
          <w:highlight w:val="none"/>
          <w:lang w:val="en-US" w:eastAsia="zh-CN"/>
        </w:rPr>
        <w:t>1.00%—74.93%</w:t>
      </w:r>
      <w:r>
        <w:rPr>
          <w:rFonts w:hint="default" w:ascii="Times New Roman" w:hAnsi="Times New Roman" w:cs="Times New Roman"/>
          <w:color w:val="auto"/>
          <w:sz w:val="24"/>
          <w:szCs w:val="24"/>
          <w:highlight w:val="none"/>
          <w:lang w:val="en-US" w:eastAsia="zh-CN"/>
        </w:rPr>
        <w:t>，均值52.29%；SiO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是矿石次要化学成分，变化值</w:t>
      </w:r>
      <w:r>
        <w:rPr>
          <w:rFonts w:hint="eastAsia" w:cs="Times New Roman"/>
          <w:color w:val="auto"/>
          <w:sz w:val="24"/>
          <w:szCs w:val="24"/>
          <w:highlight w:val="none"/>
          <w:lang w:val="en-US" w:eastAsia="zh-CN"/>
        </w:rPr>
        <w:t>0.24%—47.84%</w:t>
      </w:r>
      <w:r>
        <w:rPr>
          <w:rFonts w:hint="default" w:ascii="Times New Roman" w:hAnsi="Times New Roman" w:cs="Times New Roman"/>
          <w:color w:val="auto"/>
          <w:sz w:val="24"/>
          <w:szCs w:val="24"/>
          <w:highlight w:val="none"/>
          <w:lang w:val="en-US" w:eastAsia="zh-CN"/>
        </w:rPr>
        <w:t>，均值8.78%；S是矿石微量化学成分，变化值</w:t>
      </w:r>
      <w:r>
        <w:rPr>
          <w:rFonts w:hint="eastAsia" w:cs="Times New Roman"/>
          <w:color w:val="auto"/>
          <w:sz w:val="24"/>
          <w:szCs w:val="24"/>
          <w:highlight w:val="none"/>
          <w:lang w:val="en-US" w:eastAsia="zh-CN"/>
        </w:rPr>
        <w:t>0.006%—2.509%</w:t>
      </w:r>
      <w:r>
        <w:rPr>
          <w:rFonts w:hint="default" w:ascii="Times New Roman" w:hAnsi="Times New Roman" w:cs="Times New Roman"/>
          <w:color w:val="auto"/>
          <w:sz w:val="24"/>
          <w:szCs w:val="24"/>
          <w:highlight w:val="none"/>
          <w:lang w:val="en-US" w:eastAsia="zh-CN"/>
        </w:rPr>
        <w:t>，均值0.16%；微量化学成分Fe</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均值0.55%，P均值0.19%，As均值0.0004%。</w:t>
      </w:r>
    </w:p>
    <w:p w14:paraId="4770B100">
      <w:pPr>
        <w:overflowPunct w:val="0"/>
        <w:topLinePunct/>
        <w:spacing w:line="480" w:lineRule="exact"/>
        <w:ind w:firstLine="480"/>
        <w:rPr>
          <w:rFonts w:cs="Times New Roman"/>
          <w:color w:val="auto"/>
          <w:sz w:val="24"/>
          <w:highlight w:val="none"/>
        </w:rPr>
      </w:pPr>
      <w:r>
        <w:rPr>
          <w:rFonts w:hint="default" w:cs="Times New Roman"/>
          <w:color w:val="auto"/>
          <w:sz w:val="24"/>
          <w:highlight w:val="none"/>
          <w:lang w:val="en-US" w:eastAsia="zh-CN"/>
        </w:rPr>
        <w:t>矿石CaF</w:t>
      </w:r>
      <w:r>
        <w:rPr>
          <w:rFonts w:hint="default" w:cs="Times New Roman"/>
          <w:color w:val="auto"/>
          <w:sz w:val="24"/>
          <w:highlight w:val="none"/>
          <w:vertAlign w:val="subscript"/>
          <w:lang w:val="en-US" w:eastAsia="zh-CN"/>
        </w:rPr>
        <w:t>2</w:t>
      </w:r>
      <w:r>
        <w:rPr>
          <w:rFonts w:hint="default" w:cs="Times New Roman"/>
          <w:color w:val="auto"/>
          <w:sz w:val="24"/>
          <w:highlight w:val="none"/>
          <w:lang w:val="en-US" w:eastAsia="zh-CN"/>
        </w:rPr>
        <w:t>平均含量33.91%，变化系数32.08%，有用组分分布较均匀，CaF</w:t>
      </w:r>
      <w:r>
        <w:rPr>
          <w:rFonts w:hint="default" w:cs="Times New Roman"/>
          <w:color w:val="auto"/>
          <w:sz w:val="24"/>
          <w:highlight w:val="none"/>
          <w:vertAlign w:val="subscript"/>
          <w:lang w:val="en-US" w:eastAsia="zh-CN"/>
        </w:rPr>
        <w:t>2</w:t>
      </w:r>
      <w:r>
        <w:rPr>
          <w:rFonts w:hint="default" w:cs="Times New Roman"/>
          <w:color w:val="auto"/>
          <w:sz w:val="24"/>
          <w:highlight w:val="none"/>
          <w:lang w:val="en-US" w:eastAsia="zh-CN"/>
        </w:rPr>
        <w:t>含量达到了最低工业品位指标。</w:t>
      </w:r>
    </w:p>
    <w:p w14:paraId="2422505B">
      <w:pPr>
        <w:overflowPunct w:val="0"/>
        <w:topLinePunct/>
        <w:spacing w:line="480" w:lineRule="exact"/>
        <w:ind w:firstLine="480"/>
        <w:rPr>
          <w:rFonts w:cs="Times New Roman"/>
          <w:color w:val="auto"/>
          <w:sz w:val="24"/>
          <w:highlight w:val="none"/>
        </w:rPr>
      </w:pPr>
      <w:r>
        <w:rPr>
          <w:rFonts w:hint="eastAsia" w:cs="Times New Roman"/>
          <w:color w:val="auto"/>
          <w:sz w:val="24"/>
          <w:highlight w:val="none"/>
          <w:lang w:val="en-US" w:eastAsia="zh-CN"/>
        </w:rPr>
        <w:t>选矿采用浮选工艺，</w:t>
      </w:r>
      <w:r>
        <w:rPr>
          <w:rFonts w:hint="eastAsia" w:cs="Times New Roman"/>
          <w:color w:val="auto"/>
          <w:sz w:val="24"/>
          <w:highlight w:val="none"/>
        </w:rPr>
        <w:t>选矿药剂具体情况见表3.</w:t>
      </w:r>
      <w:r>
        <w:rPr>
          <w:rFonts w:hint="eastAsia" w:cs="Times New Roman"/>
          <w:color w:val="auto"/>
          <w:sz w:val="24"/>
          <w:highlight w:val="none"/>
          <w:lang w:val="en-US" w:eastAsia="zh-CN"/>
        </w:rPr>
        <w:t>1</w:t>
      </w:r>
      <w:r>
        <w:rPr>
          <w:rFonts w:hint="eastAsia" w:cs="Times New Roman"/>
          <w:color w:val="auto"/>
          <w:sz w:val="24"/>
          <w:highlight w:val="none"/>
        </w:rPr>
        <w:t>-</w:t>
      </w:r>
      <w:r>
        <w:rPr>
          <w:rFonts w:hint="eastAsia" w:cs="Times New Roman"/>
          <w:color w:val="auto"/>
          <w:sz w:val="24"/>
          <w:highlight w:val="none"/>
          <w:lang w:val="en-US" w:eastAsia="zh-CN"/>
        </w:rPr>
        <w:t>6</w:t>
      </w:r>
      <w:r>
        <w:rPr>
          <w:rFonts w:hint="eastAsia" w:cs="Times New Roman"/>
          <w:color w:val="auto"/>
          <w:sz w:val="24"/>
          <w:highlight w:val="none"/>
        </w:rPr>
        <w:t>。</w:t>
      </w:r>
    </w:p>
    <w:p w14:paraId="178CF664">
      <w:pPr>
        <w:ind w:firstLine="0" w:firstLineChars="0"/>
        <w:jc w:val="center"/>
        <w:rPr>
          <w:b/>
          <w:color w:val="auto"/>
          <w:highlight w:val="none"/>
        </w:rPr>
      </w:pPr>
      <w:r>
        <w:rPr>
          <w:b/>
          <w:color w:val="auto"/>
          <w:highlight w:val="none"/>
        </w:rPr>
        <w:t>表3.</w:t>
      </w:r>
      <w:r>
        <w:rPr>
          <w:rFonts w:hint="eastAsia"/>
          <w:b/>
          <w:color w:val="auto"/>
          <w:highlight w:val="none"/>
          <w:lang w:val="en-US" w:eastAsia="zh-CN"/>
        </w:rPr>
        <w:t>1</w:t>
      </w:r>
      <w:r>
        <w:rPr>
          <w:b/>
          <w:color w:val="auto"/>
          <w:highlight w:val="none"/>
        </w:rPr>
        <w:t>-</w:t>
      </w:r>
      <w:r>
        <w:rPr>
          <w:rFonts w:hint="eastAsia"/>
          <w:b/>
          <w:color w:val="auto"/>
          <w:highlight w:val="none"/>
          <w:lang w:val="en-US" w:eastAsia="zh-CN"/>
        </w:rPr>
        <w:t>6</w:t>
      </w:r>
      <w:r>
        <w:rPr>
          <w:rFonts w:hint="eastAsia"/>
          <w:b/>
          <w:color w:val="auto"/>
          <w:highlight w:val="none"/>
        </w:rPr>
        <w:t>本项目选矿药剂消耗核算表</w:t>
      </w:r>
    </w:p>
    <w:tbl>
      <w:tblPr>
        <w:tblStyle w:val="13"/>
        <w:tblW w:w="49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604"/>
        <w:gridCol w:w="1538"/>
        <w:gridCol w:w="1757"/>
        <w:gridCol w:w="1239"/>
        <w:gridCol w:w="1560"/>
      </w:tblGrid>
      <w:tr w14:paraId="0C3C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417" w:type="pct"/>
            <w:tcBorders>
              <w:tl2br w:val="nil"/>
              <w:tr2bl w:val="nil"/>
            </w:tcBorders>
            <w:shd w:val="clear" w:color="auto" w:fill="auto"/>
            <w:vAlign w:val="center"/>
          </w:tcPr>
          <w:p w14:paraId="20762896">
            <w:pPr>
              <w:pStyle w:val="17"/>
              <w:bidi w:val="0"/>
              <w:rPr>
                <w:color w:val="auto"/>
                <w:highlight w:val="none"/>
              </w:rPr>
            </w:pPr>
            <w:r>
              <w:rPr>
                <w:rFonts w:hint="eastAsia"/>
                <w:color w:val="auto"/>
                <w:highlight w:val="none"/>
              </w:rPr>
              <w:t>序号</w:t>
            </w:r>
          </w:p>
        </w:tc>
        <w:tc>
          <w:tcPr>
            <w:tcW w:w="954" w:type="pct"/>
            <w:tcBorders>
              <w:tl2br w:val="nil"/>
              <w:tr2bl w:val="nil"/>
            </w:tcBorders>
            <w:shd w:val="clear" w:color="auto" w:fill="auto"/>
            <w:vAlign w:val="center"/>
          </w:tcPr>
          <w:p w14:paraId="383AB598">
            <w:pPr>
              <w:pStyle w:val="17"/>
              <w:bidi w:val="0"/>
              <w:rPr>
                <w:color w:val="auto"/>
                <w:highlight w:val="none"/>
              </w:rPr>
            </w:pPr>
            <w:r>
              <w:rPr>
                <w:rFonts w:hint="eastAsia"/>
                <w:color w:val="auto"/>
                <w:highlight w:val="none"/>
              </w:rPr>
              <w:t>药剂名称</w:t>
            </w:r>
          </w:p>
        </w:tc>
        <w:tc>
          <w:tcPr>
            <w:tcW w:w="915" w:type="pct"/>
            <w:tcBorders>
              <w:tl2br w:val="nil"/>
              <w:tr2bl w:val="nil"/>
            </w:tcBorders>
            <w:shd w:val="clear" w:color="auto" w:fill="auto"/>
            <w:vAlign w:val="center"/>
          </w:tcPr>
          <w:p w14:paraId="1D423F6D">
            <w:pPr>
              <w:pStyle w:val="17"/>
              <w:bidi w:val="0"/>
              <w:rPr>
                <w:color w:val="auto"/>
                <w:highlight w:val="none"/>
              </w:rPr>
            </w:pPr>
            <w:r>
              <w:rPr>
                <w:rFonts w:hint="eastAsia"/>
                <w:color w:val="auto"/>
                <w:highlight w:val="none"/>
              </w:rPr>
              <w:t>年消耗量（t/a）</w:t>
            </w:r>
          </w:p>
        </w:tc>
        <w:tc>
          <w:tcPr>
            <w:tcW w:w="1045" w:type="pct"/>
            <w:tcBorders>
              <w:tl2br w:val="nil"/>
              <w:tr2bl w:val="nil"/>
            </w:tcBorders>
            <w:shd w:val="clear" w:color="auto" w:fill="auto"/>
            <w:vAlign w:val="center"/>
          </w:tcPr>
          <w:p w14:paraId="2468D27C">
            <w:pPr>
              <w:pStyle w:val="17"/>
              <w:bidi w:val="0"/>
              <w:rPr>
                <w:rFonts w:hint="eastAsia"/>
                <w:color w:val="auto"/>
                <w:highlight w:val="none"/>
                <w:lang w:val="en-US" w:eastAsia="zh-CN"/>
              </w:rPr>
            </w:pPr>
            <w:r>
              <w:rPr>
                <w:rFonts w:hint="eastAsia"/>
                <w:color w:val="auto"/>
                <w:highlight w:val="none"/>
                <w:lang w:val="en-US" w:eastAsia="zh-CN"/>
              </w:rPr>
              <w:t>用途</w:t>
            </w:r>
          </w:p>
        </w:tc>
        <w:tc>
          <w:tcPr>
            <w:tcW w:w="737" w:type="pct"/>
            <w:tcBorders>
              <w:tl2br w:val="nil"/>
              <w:tr2bl w:val="nil"/>
            </w:tcBorders>
            <w:shd w:val="clear" w:color="auto" w:fill="auto"/>
            <w:vAlign w:val="center"/>
          </w:tcPr>
          <w:p w14:paraId="08505380">
            <w:pPr>
              <w:pStyle w:val="17"/>
              <w:bidi w:val="0"/>
              <w:rPr>
                <w:rFonts w:hint="eastAsia"/>
                <w:color w:val="auto"/>
                <w:highlight w:val="none"/>
                <w:lang w:eastAsia="zh-CN"/>
              </w:rPr>
            </w:pPr>
            <w:r>
              <w:rPr>
                <w:rFonts w:hint="eastAsia"/>
                <w:color w:val="auto"/>
                <w:highlight w:val="none"/>
                <w:lang w:val="en-US" w:eastAsia="zh-CN"/>
              </w:rPr>
              <w:t>性状</w:t>
            </w:r>
          </w:p>
        </w:tc>
        <w:tc>
          <w:tcPr>
            <w:tcW w:w="928" w:type="pct"/>
            <w:tcBorders>
              <w:tl2br w:val="nil"/>
              <w:tr2bl w:val="nil"/>
            </w:tcBorders>
            <w:shd w:val="clear" w:color="auto" w:fill="auto"/>
            <w:vAlign w:val="center"/>
          </w:tcPr>
          <w:p w14:paraId="3C9334DF">
            <w:pPr>
              <w:pStyle w:val="17"/>
              <w:bidi w:val="0"/>
              <w:rPr>
                <w:rFonts w:hint="eastAsia"/>
                <w:color w:val="auto"/>
                <w:highlight w:val="none"/>
                <w:lang w:val="en-US" w:eastAsia="zh-CN"/>
              </w:rPr>
            </w:pPr>
            <w:r>
              <w:rPr>
                <w:rFonts w:hint="eastAsia"/>
                <w:color w:val="auto"/>
                <w:highlight w:val="none"/>
                <w:lang w:val="en-US" w:eastAsia="zh-CN"/>
              </w:rPr>
              <w:t>存放位置</w:t>
            </w:r>
          </w:p>
        </w:tc>
      </w:tr>
      <w:tr w14:paraId="0958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pct"/>
            <w:tcBorders>
              <w:tl2br w:val="nil"/>
              <w:tr2bl w:val="nil"/>
            </w:tcBorders>
            <w:shd w:val="clear" w:color="auto" w:fill="auto"/>
            <w:vAlign w:val="center"/>
          </w:tcPr>
          <w:p w14:paraId="358AFAAA">
            <w:pPr>
              <w:pStyle w:val="17"/>
              <w:bidi w:val="0"/>
              <w:rPr>
                <w:color w:val="auto"/>
                <w:highlight w:val="none"/>
              </w:rPr>
            </w:pPr>
            <w:r>
              <w:rPr>
                <w:rFonts w:hint="eastAsia"/>
                <w:color w:val="auto"/>
                <w:highlight w:val="none"/>
              </w:rPr>
              <w:t>1</w:t>
            </w:r>
          </w:p>
        </w:tc>
        <w:tc>
          <w:tcPr>
            <w:tcW w:w="954" w:type="pct"/>
            <w:tcBorders>
              <w:tl2br w:val="nil"/>
              <w:tr2bl w:val="nil"/>
            </w:tcBorders>
            <w:shd w:val="clear" w:color="auto" w:fill="auto"/>
            <w:vAlign w:val="center"/>
          </w:tcPr>
          <w:p w14:paraId="58488220">
            <w:pPr>
              <w:pStyle w:val="17"/>
              <w:bidi w:val="0"/>
              <w:rPr>
                <w:rFonts w:hint="eastAsia"/>
                <w:color w:val="auto"/>
                <w:highlight w:val="none"/>
                <w:lang w:val="en-US" w:eastAsia="zh-CN"/>
              </w:rPr>
            </w:pPr>
            <w:r>
              <w:rPr>
                <w:rFonts w:hint="eastAsia"/>
                <w:color w:val="auto"/>
                <w:highlight w:val="none"/>
                <w:lang w:eastAsia="zh-CN"/>
              </w:rPr>
              <w:t>碳酸钠</w:t>
            </w:r>
          </w:p>
        </w:tc>
        <w:tc>
          <w:tcPr>
            <w:tcW w:w="915" w:type="pct"/>
            <w:tcBorders>
              <w:tl2br w:val="nil"/>
              <w:tr2bl w:val="nil"/>
            </w:tcBorders>
            <w:shd w:val="clear" w:color="auto" w:fill="auto"/>
            <w:vAlign w:val="center"/>
          </w:tcPr>
          <w:p w14:paraId="7E56A5B8">
            <w:pPr>
              <w:pStyle w:val="17"/>
              <w:bidi w:val="0"/>
              <w:rPr>
                <w:rFonts w:hint="default"/>
                <w:color w:val="auto"/>
                <w:highlight w:val="none"/>
                <w:lang w:val="en-US" w:eastAsia="zh-CN"/>
              </w:rPr>
            </w:pPr>
            <w:r>
              <w:rPr>
                <w:rFonts w:hint="eastAsia"/>
                <w:color w:val="auto"/>
                <w:highlight w:val="none"/>
                <w:lang w:val="en-US" w:eastAsia="zh-CN"/>
              </w:rPr>
              <w:t>600</w:t>
            </w:r>
          </w:p>
        </w:tc>
        <w:tc>
          <w:tcPr>
            <w:tcW w:w="1045" w:type="pct"/>
            <w:tcBorders>
              <w:tl2br w:val="nil"/>
              <w:tr2bl w:val="nil"/>
            </w:tcBorders>
            <w:shd w:val="clear" w:color="auto" w:fill="auto"/>
            <w:vAlign w:val="center"/>
          </w:tcPr>
          <w:p w14:paraId="020B85B9">
            <w:pPr>
              <w:pStyle w:val="17"/>
              <w:bidi w:val="0"/>
              <w:rPr>
                <w:rFonts w:hint="default"/>
                <w:color w:val="auto"/>
                <w:highlight w:val="none"/>
                <w:lang w:val="en-US" w:eastAsia="zh-CN"/>
              </w:rPr>
            </w:pPr>
            <w:r>
              <w:rPr>
                <w:rFonts w:hint="eastAsia"/>
                <w:color w:val="auto"/>
                <w:highlight w:val="none"/>
                <w:lang w:val="en-US" w:eastAsia="zh-CN"/>
              </w:rPr>
              <w:t>调整剂</w:t>
            </w:r>
          </w:p>
        </w:tc>
        <w:tc>
          <w:tcPr>
            <w:tcW w:w="737" w:type="pct"/>
            <w:tcBorders>
              <w:tl2br w:val="nil"/>
              <w:tr2bl w:val="nil"/>
            </w:tcBorders>
            <w:shd w:val="clear" w:color="auto" w:fill="auto"/>
            <w:vAlign w:val="center"/>
          </w:tcPr>
          <w:p w14:paraId="401C7084">
            <w:pPr>
              <w:pStyle w:val="17"/>
              <w:bidi w:val="0"/>
              <w:rPr>
                <w:color w:val="auto"/>
                <w:highlight w:val="none"/>
                <w:lang w:val="en-US" w:eastAsia="zh-CN"/>
              </w:rPr>
            </w:pPr>
            <w:r>
              <w:rPr>
                <w:color w:val="auto"/>
                <w:highlight w:val="none"/>
                <w:lang w:eastAsia="zh-CN"/>
              </w:rPr>
              <w:t>固体</w:t>
            </w:r>
          </w:p>
        </w:tc>
        <w:tc>
          <w:tcPr>
            <w:tcW w:w="928" w:type="pct"/>
            <w:tcBorders>
              <w:tl2br w:val="nil"/>
              <w:tr2bl w:val="nil"/>
            </w:tcBorders>
            <w:shd w:val="clear" w:color="auto" w:fill="auto"/>
            <w:vAlign w:val="center"/>
          </w:tcPr>
          <w:p w14:paraId="59DBDA41">
            <w:pPr>
              <w:pStyle w:val="17"/>
              <w:bidi w:val="0"/>
              <w:rPr>
                <w:color w:val="auto"/>
                <w:highlight w:val="none"/>
                <w:lang w:val="en-US" w:eastAsia="zh-CN"/>
              </w:rPr>
            </w:pPr>
            <w:r>
              <w:rPr>
                <w:rFonts w:hint="eastAsia"/>
                <w:color w:val="auto"/>
                <w:highlight w:val="none"/>
                <w:lang w:val="en-US" w:eastAsia="zh-CN"/>
              </w:rPr>
              <w:t>药剂仓库</w:t>
            </w:r>
          </w:p>
        </w:tc>
      </w:tr>
      <w:tr w14:paraId="03A5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pct"/>
            <w:tcBorders>
              <w:tl2br w:val="nil"/>
              <w:tr2bl w:val="nil"/>
            </w:tcBorders>
            <w:shd w:val="clear" w:color="auto" w:fill="auto"/>
            <w:vAlign w:val="center"/>
          </w:tcPr>
          <w:p w14:paraId="76F39EA3">
            <w:pPr>
              <w:pStyle w:val="17"/>
              <w:bidi w:val="0"/>
              <w:rPr>
                <w:color w:val="auto"/>
                <w:highlight w:val="none"/>
              </w:rPr>
            </w:pPr>
            <w:r>
              <w:rPr>
                <w:rFonts w:hint="eastAsia"/>
                <w:color w:val="auto"/>
                <w:highlight w:val="none"/>
              </w:rPr>
              <w:t>2</w:t>
            </w:r>
          </w:p>
        </w:tc>
        <w:tc>
          <w:tcPr>
            <w:tcW w:w="954" w:type="pct"/>
            <w:tcBorders>
              <w:tl2br w:val="nil"/>
              <w:tr2bl w:val="nil"/>
            </w:tcBorders>
            <w:shd w:val="clear" w:color="auto" w:fill="auto"/>
            <w:vAlign w:val="center"/>
          </w:tcPr>
          <w:p w14:paraId="6DCFEDA5">
            <w:pPr>
              <w:pStyle w:val="17"/>
              <w:bidi w:val="0"/>
              <w:rPr>
                <w:rFonts w:hint="eastAsia"/>
                <w:color w:val="auto"/>
                <w:highlight w:val="none"/>
                <w:lang w:val="en-US" w:eastAsia="zh-CN"/>
              </w:rPr>
            </w:pPr>
            <w:r>
              <w:rPr>
                <w:rFonts w:hint="eastAsia"/>
                <w:color w:val="auto"/>
                <w:highlight w:val="none"/>
                <w:lang w:eastAsia="zh-CN"/>
              </w:rPr>
              <w:t>水玻璃</w:t>
            </w:r>
          </w:p>
        </w:tc>
        <w:tc>
          <w:tcPr>
            <w:tcW w:w="915" w:type="pct"/>
            <w:tcBorders>
              <w:tl2br w:val="nil"/>
              <w:tr2bl w:val="nil"/>
            </w:tcBorders>
            <w:shd w:val="clear" w:color="auto" w:fill="auto"/>
            <w:vAlign w:val="center"/>
          </w:tcPr>
          <w:p w14:paraId="56E7ADCA">
            <w:pPr>
              <w:pStyle w:val="17"/>
              <w:bidi w:val="0"/>
              <w:rPr>
                <w:rFonts w:hint="default"/>
                <w:color w:val="auto"/>
                <w:highlight w:val="none"/>
                <w:lang w:val="en-US" w:eastAsia="zh-CN"/>
              </w:rPr>
            </w:pPr>
            <w:r>
              <w:rPr>
                <w:rFonts w:hint="eastAsia"/>
                <w:color w:val="auto"/>
                <w:highlight w:val="none"/>
                <w:lang w:val="en-US" w:eastAsia="zh-CN"/>
              </w:rPr>
              <w:t>6420</w:t>
            </w:r>
          </w:p>
        </w:tc>
        <w:tc>
          <w:tcPr>
            <w:tcW w:w="1045" w:type="pct"/>
            <w:tcBorders>
              <w:tl2br w:val="nil"/>
              <w:tr2bl w:val="nil"/>
            </w:tcBorders>
            <w:shd w:val="clear" w:color="auto" w:fill="auto"/>
            <w:vAlign w:val="center"/>
          </w:tcPr>
          <w:p w14:paraId="5A541333">
            <w:pPr>
              <w:pStyle w:val="17"/>
              <w:bidi w:val="0"/>
              <w:rPr>
                <w:rFonts w:hint="default"/>
                <w:color w:val="auto"/>
                <w:highlight w:val="none"/>
                <w:lang w:val="en-US" w:eastAsia="zh-CN"/>
              </w:rPr>
            </w:pPr>
            <w:r>
              <w:rPr>
                <w:rFonts w:hint="eastAsia"/>
                <w:color w:val="auto"/>
                <w:highlight w:val="none"/>
                <w:lang w:val="en-US" w:eastAsia="zh-CN"/>
              </w:rPr>
              <w:t>抑制剂</w:t>
            </w:r>
          </w:p>
        </w:tc>
        <w:tc>
          <w:tcPr>
            <w:tcW w:w="737" w:type="pct"/>
            <w:tcBorders>
              <w:tl2br w:val="nil"/>
              <w:tr2bl w:val="nil"/>
            </w:tcBorders>
            <w:shd w:val="clear" w:color="auto" w:fill="auto"/>
            <w:vAlign w:val="center"/>
          </w:tcPr>
          <w:p w14:paraId="42DA9316">
            <w:pPr>
              <w:pStyle w:val="17"/>
              <w:bidi w:val="0"/>
              <w:rPr>
                <w:rFonts w:hint="eastAsia"/>
                <w:color w:val="auto"/>
                <w:highlight w:val="none"/>
                <w:lang w:val="en-US" w:eastAsia="zh-CN"/>
              </w:rPr>
            </w:pPr>
            <w:r>
              <w:rPr>
                <w:rFonts w:hint="eastAsia"/>
                <w:color w:val="auto"/>
                <w:highlight w:val="none"/>
                <w:lang w:eastAsia="zh-CN"/>
              </w:rPr>
              <w:t>液体</w:t>
            </w:r>
          </w:p>
        </w:tc>
        <w:tc>
          <w:tcPr>
            <w:tcW w:w="928" w:type="pct"/>
            <w:tcBorders>
              <w:tl2br w:val="nil"/>
              <w:tr2bl w:val="nil"/>
            </w:tcBorders>
            <w:shd w:val="clear" w:color="auto" w:fill="auto"/>
            <w:vAlign w:val="center"/>
          </w:tcPr>
          <w:p w14:paraId="0CB817F8">
            <w:pPr>
              <w:pStyle w:val="17"/>
              <w:bidi w:val="0"/>
              <w:rPr>
                <w:rFonts w:hint="eastAsia"/>
                <w:color w:val="auto"/>
                <w:highlight w:val="none"/>
                <w:lang w:val="en-US" w:eastAsia="zh-CN"/>
              </w:rPr>
            </w:pPr>
            <w:r>
              <w:rPr>
                <w:rFonts w:hint="eastAsia"/>
                <w:color w:val="auto"/>
                <w:highlight w:val="none"/>
                <w:lang w:val="en-US" w:eastAsia="zh-CN"/>
              </w:rPr>
              <w:t>药剂仓库</w:t>
            </w:r>
          </w:p>
        </w:tc>
      </w:tr>
      <w:tr w14:paraId="6292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pct"/>
            <w:tcBorders>
              <w:tl2br w:val="nil"/>
              <w:tr2bl w:val="nil"/>
            </w:tcBorders>
            <w:shd w:val="clear" w:color="auto" w:fill="auto"/>
            <w:vAlign w:val="center"/>
          </w:tcPr>
          <w:p w14:paraId="449666E3">
            <w:pPr>
              <w:pStyle w:val="17"/>
              <w:bidi w:val="0"/>
              <w:rPr>
                <w:color w:val="auto"/>
                <w:highlight w:val="none"/>
              </w:rPr>
            </w:pPr>
            <w:r>
              <w:rPr>
                <w:rFonts w:hint="eastAsia"/>
                <w:color w:val="auto"/>
                <w:highlight w:val="none"/>
              </w:rPr>
              <w:t>3</w:t>
            </w:r>
          </w:p>
        </w:tc>
        <w:tc>
          <w:tcPr>
            <w:tcW w:w="954" w:type="pct"/>
            <w:tcBorders>
              <w:tl2br w:val="nil"/>
              <w:tr2bl w:val="nil"/>
            </w:tcBorders>
            <w:shd w:val="clear" w:color="auto" w:fill="auto"/>
            <w:vAlign w:val="center"/>
          </w:tcPr>
          <w:p w14:paraId="6429BA96">
            <w:pPr>
              <w:pStyle w:val="17"/>
              <w:bidi w:val="0"/>
              <w:rPr>
                <w:rFonts w:hint="default"/>
                <w:color w:val="auto"/>
                <w:highlight w:val="none"/>
                <w:lang w:val="en-US" w:eastAsia="zh-CN"/>
              </w:rPr>
            </w:pPr>
            <w:r>
              <w:rPr>
                <w:rFonts w:hint="eastAsia"/>
                <w:color w:val="auto"/>
                <w:highlight w:val="none"/>
                <w:lang w:val="en-US" w:eastAsia="zh-CN"/>
              </w:rPr>
              <w:t>93%硫酸</w:t>
            </w:r>
          </w:p>
        </w:tc>
        <w:tc>
          <w:tcPr>
            <w:tcW w:w="915" w:type="pct"/>
            <w:tcBorders>
              <w:tl2br w:val="nil"/>
              <w:tr2bl w:val="nil"/>
            </w:tcBorders>
            <w:shd w:val="clear" w:color="auto" w:fill="auto"/>
            <w:vAlign w:val="center"/>
          </w:tcPr>
          <w:p w14:paraId="3DAD388A">
            <w:pPr>
              <w:pStyle w:val="17"/>
              <w:bidi w:val="0"/>
              <w:rPr>
                <w:rFonts w:hint="default"/>
                <w:color w:val="auto"/>
                <w:highlight w:val="none"/>
                <w:lang w:val="en-US" w:eastAsia="zh-CN"/>
              </w:rPr>
            </w:pPr>
            <w:r>
              <w:rPr>
                <w:rFonts w:hint="eastAsia"/>
                <w:color w:val="auto"/>
                <w:highlight w:val="none"/>
                <w:lang w:val="en-US" w:eastAsia="zh-CN"/>
              </w:rPr>
              <w:t>6420</w:t>
            </w:r>
          </w:p>
        </w:tc>
        <w:tc>
          <w:tcPr>
            <w:tcW w:w="1045" w:type="pct"/>
            <w:tcBorders>
              <w:tl2br w:val="nil"/>
              <w:tr2bl w:val="nil"/>
            </w:tcBorders>
            <w:shd w:val="clear" w:color="auto" w:fill="auto"/>
            <w:vAlign w:val="center"/>
          </w:tcPr>
          <w:p w14:paraId="5953108D">
            <w:pPr>
              <w:pStyle w:val="17"/>
              <w:bidi w:val="0"/>
              <w:rPr>
                <w:rFonts w:hint="eastAsia"/>
                <w:color w:val="auto"/>
                <w:highlight w:val="none"/>
                <w:lang w:val="en-US" w:eastAsia="zh-CN"/>
              </w:rPr>
            </w:pPr>
            <w:r>
              <w:rPr>
                <w:rFonts w:hint="eastAsia"/>
                <w:color w:val="auto"/>
                <w:highlight w:val="none"/>
                <w:lang w:val="en-US" w:eastAsia="zh-CN"/>
              </w:rPr>
              <w:t>抑制剂</w:t>
            </w:r>
          </w:p>
        </w:tc>
        <w:tc>
          <w:tcPr>
            <w:tcW w:w="737" w:type="pct"/>
            <w:tcBorders>
              <w:tl2br w:val="nil"/>
              <w:tr2bl w:val="nil"/>
            </w:tcBorders>
            <w:shd w:val="clear" w:color="auto" w:fill="auto"/>
            <w:vAlign w:val="center"/>
          </w:tcPr>
          <w:p w14:paraId="3695CCD1">
            <w:pPr>
              <w:pStyle w:val="17"/>
              <w:bidi w:val="0"/>
              <w:rPr>
                <w:rFonts w:hint="default"/>
                <w:color w:val="auto"/>
                <w:highlight w:val="none"/>
                <w:lang w:val="en-US" w:eastAsia="zh-CN"/>
              </w:rPr>
            </w:pPr>
            <w:r>
              <w:rPr>
                <w:rFonts w:hint="eastAsia"/>
                <w:color w:val="auto"/>
                <w:highlight w:val="none"/>
                <w:lang w:val="en-US" w:eastAsia="zh-CN"/>
              </w:rPr>
              <w:t>液体</w:t>
            </w:r>
          </w:p>
        </w:tc>
        <w:tc>
          <w:tcPr>
            <w:tcW w:w="928" w:type="pct"/>
            <w:tcBorders>
              <w:tl2br w:val="nil"/>
              <w:tr2bl w:val="nil"/>
            </w:tcBorders>
            <w:shd w:val="clear" w:color="auto" w:fill="auto"/>
            <w:vAlign w:val="center"/>
          </w:tcPr>
          <w:p w14:paraId="5800117B">
            <w:pPr>
              <w:pStyle w:val="17"/>
              <w:bidi w:val="0"/>
              <w:rPr>
                <w:rFonts w:hint="default"/>
                <w:color w:val="auto"/>
                <w:highlight w:val="none"/>
                <w:lang w:val="en-US" w:eastAsia="zh-CN"/>
              </w:rPr>
            </w:pPr>
            <w:r>
              <w:rPr>
                <w:rFonts w:hint="eastAsia"/>
                <w:color w:val="auto"/>
                <w:highlight w:val="none"/>
                <w:lang w:val="en-US" w:eastAsia="zh-CN"/>
              </w:rPr>
              <w:t>硫酸稀释车间储罐内</w:t>
            </w:r>
          </w:p>
        </w:tc>
      </w:tr>
      <w:tr w14:paraId="53EF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pct"/>
            <w:tcBorders>
              <w:tl2br w:val="nil"/>
              <w:tr2bl w:val="nil"/>
            </w:tcBorders>
            <w:shd w:val="clear" w:color="auto" w:fill="auto"/>
            <w:vAlign w:val="center"/>
          </w:tcPr>
          <w:p w14:paraId="39CFD76F">
            <w:pPr>
              <w:pStyle w:val="17"/>
              <w:bidi w:val="0"/>
              <w:rPr>
                <w:rFonts w:hint="eastAsia"/>
                <w:color w:val="auto"/>
                <w:highlight w:val="none"/>
                <w:lang w:val="en-US" w:eastAsia="zh-CN"/>
              </w:rPr>
            </w:pPr>
            <w:bookmarkStart w:id="361" w:name="_Toc10494"/>
            <w:bookmarkStart w:id="362" w:name="_Toc29965"/>
            <w:bookmarkStart w:id="363" w:name="_Toc7048"/>
            <w:r>
              <w:rPr>
                <w:rFonts w:hint="eastAsia"/>
                <w:color w:val="auto"/>
                <w:highlight w:val="none"/>
                <w:lang w:val="en-US" w:eastAsia="zh-CN"/>
              </w:rPr>
              <w:t>4</w:t>
            </w:r>
          </w:p>
        </w:tc>
        <w:tc>
          <w:tcPr>
            <w:tcW w:w="954" w:type="pct"/>
            <w:tcBorders>
              <w:tl2br w:val="nil"/>
              <w:tr2bl w:val="nil"/>
            </w:tcBorders>
            <w:shd w:val="clear" w:color="auto" w:fill="auto"/>
            <w:vAlign w:val="center"/>
          </w:tcPr>
          <w:p w14:paraId="5BA645B6">
            <w:pPr>
              <w:pStyle w:val="17"/>
              <w:bidi w:val="0"/>
              <w:rPr>
                <w:rFonts w:hint="eastAsia"/>
                <w:color w:val="auto"/>
                <w:highlight w:val="none"/>
                <w:lang w:val="en-US" w:eastAsia="zh-CN"/>
              </w:rPr>
            </w:pPr>
            <w:r>
              <w:rPr>
                <w:rFonts w:hint="eastAsia"/>
                <w:color w:val="auto"/>
                <w:highlight w:val="none"/>
                <w:lang w:val="en-US" w:eastAsia="zh-CN"/>
              </w:rPr>
              <w:t>CD-8</w:t>
            </w:r>
          </w:p>
        </w:tc>
        <w:tc>
          <w:tcPr>
            <w:tcW w:w="915" w:type="pct"/>
            <w:tcBorders>
              <w:tl2br w:val="nil"/>
              <w:tr2bl w:val="nil"/>
            </w:tcBorders>
            <w:shd w:val="clear" w:color="auto" w:fill="auto"/>
            <w:vAlign w:val="center"/>
          </w:tcPr>
          <w:p w14:paraId="489DEECB">
            <w:pPr>
              <w:pStyle w:val="17"/>
              <w:bidi w:val="0"/>
              <w:rPr>
                <w:rFonts w:hint="default"/>
                <w:color w:val="auto"/>
                <w:highlight w:val="none"/>
                <w:lang w:val="en-US" w:eastAsia="zh-CN"/>
              </w:rPr>
            </w:pPr>
            <w:r>
              <w:rPr>
                <w:rFonts w:hint="eastAsia"/>
                <w:color w:val="auto"/>
                <w:highlight w:val="none"/>
                <w:lang w:val="en-US" w:eastAsia="zh-CN"/>
              </w:rPr>
              <w:t>900</w:t>
            </w:r>
          </w:p>
        </w:tc>
        <w:tc>
          <w:tcPr>
            <w:tcW w:w="1045" w:type="pct"/>
            <w:tcBorders>
              <w:tl2br w:val="nil"/>
              <w:tr2bl w:val="nil"/>
            </w:tcBorders>
            <w:shd w:val="clear" w:color="auto" w:fill="auto"/>
            <w:vAlign w:val="center"/>
          </w:tcPr>
          <w:p w14:paraId="47BB6BA0">
            <w:pPr>
              <w:pStyle w:val="17"/>
              <w:bidi w:val="0"/>
              <w:rPr>
                <w:rFonts w:hint="eastAsia"/>
                <w:color w:val="auto"/>
                <w:highlight w:val="none"/>
                <w:lang w:val="en-US" w:eastAsia="zh-CN"/>
              </w:rPr>
            </w:pPr>
            <w:r>
              <w:rPr>
                <w:rFonts w:hint="eastAsia"/>
                <w:color w:val="auto"/>
                <w:highlight w:val="none"/>
                <w:lang w:val="en-US" w:eastAsia="zh-CN"/>
              </w:rPr>
              <w:t>方解石抑制剂</w:t>
            </w:r>
          </w:p>
        </w:tc>
        <w:tc>
          <w:tcPr>
            <w:tcW w:w="737" w:type="pct"/>
            <w:tcBorders>
              <w:tl2br w:val="nil"/>
              <w:tr2bl w:val="nil"/>
            </w:tcBorders>
            <w:shd w:val="clear" w:color="auto" w:fill="auto"/>
            <w:vAlign w:val="center"/>
          </w:tcPr>
          <w:p w14:paraId="454F4F64">
            <w:pPr>
              <w:pStyle w:val="17"/>
              <w:bidi w:val="0"/>
              <w:rPr>
                <w:rFonts w:hint="eastAsia"/>
                <w:color w:val="auto"/>
                <w:highlight w:val="none"/>
                <w:lang w:val="en-US" w:eastAsia="zh-CN"/>
              </w:rPr>
            </w:pPr>
            <w:r>
              <w:rPr>
                <w:rFonts w:hint="eastAsia"/>
                <w:color w:val="auto"/>
                <w:highlight w:val="none"/>
                <w:lang w:val="en-US" w:eastAsia="zh-CN"/>
              </w:rPr>
              <w:t>固体</w:t>
            </w:r>
          </w:p>
        </w:tc>
        <w:tc>
          <w:tcPr>
            <w:tcW w:w="928" w:type="pct"/>
            <w:tcBorders>
              <w:tl2br w:val="nil"/>
              <w:tr2bl w:val="nil"/>
            </w:tcBorders>
            <w:shd w:val="clear" w:color="auto" w:fill="auto"/>
            <w:vAlign w:val="center"/>
          </w:tcPr>
          <w:p w14:paraId="62BAA829">
            <w:pPr>
              <w:pStyle w:val="17"/>
              <w:bidi w:val="0"/>
              <w:rPr>
                <w:rFonts w:hint="eastAsia"/>
                <w:color w:val="auto"/>
                <w:highlight w:val="none"/>
                <w:lang w:val="en-US" w:eastAsia="zh-CN"/>
              </w:rPr>
            </w:pPr>
            <w:r>
              <w:rPr>
                <w:rFonts w:hint="eastAsia"/>
                <w:color w:val="auto"/>
                <w:highlight w:val="none"/>
                <w:lang w:val="en-US" w:eastAsia="zh-CN"/>
              </w:rPr>
              <w:t>药剂仓库</w:t>
            </w:r>
          </w:p>
        </w:tc>
      </w:tr>
      <w:tr w14:paraId="6DEF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pct"/>
            <w:tcBorders>
              <w:tl2br w:val="nil"/>
              <w:tr2bl w:val="nil"/>
            </w:tcBorders>
            <w:shd w:val="clear" w:color="auto" w:fill="auto"/>
            <w:vAlign w:val="center"/>
          </w:tcPr>
          <w:p w14:paraId="0C8531A5">
            <w:pPr>
              <w:pStyle w:val="17"/>
              <w:bidi w:val="0"/>
              <w:rPr>
                <w:rFonts w:hint="eastAsia"/>
                <w:color w:val="auto"/>
                <w:highlight w:val="none"/>
                <w:lang w:val="en-US" w:eastAsia="zh-CN"/>
              </w:rPr>
            </w:pPr>
            <w:r>
              <w:rPr>
                <w:rFonts w:hint="eastAsia"/>
                <w:color w:val="auto"/>
                <w:highlight w:val="none"/>
                <w:lang w:val="en-US" w:eastAsia="zh-CN"/>
              </w:rPr>
              <w:t>5</w:t>
            </w:r>
          </w:p>
        </w:tc>
        <w:tc>
          <w:tcPr>
            <w:tcW w:w="954" w:type="pct"/>
            <w:tcBorders>
              <w:tl2br w:val="nil"/>
              <w:tr2bl w:val="nil"/>
            </w:tcBorders>
            <w:shd w:val="clear" w:color="auto" w:fill="auto"/>
            <w:vAlign w:val="center"/>
          </w:tcPr>
          <w:p w14:paraId="0D79E27B">
            <w:pPr>
              <w:pStyle w:val="17"/>
              <w:bidi w:val="0"/>
              <w:rPr>
                <w:rFonts w:hint="default"/>
                <w:color w:val="auto"/>
                <w:highlight w:val="none"/>
                <w:lang w:val="en-US" w:eastAsia="zh-CN"/>
              </w:rPr>
            </w:pPr>
            <w:r>
              <w:rPr>
                <w:rFonts w:hint="eastAsia"/>
                <w:color w:val="auto"/>
                <w:highlight w:val="none"/>
                <w:lang w:val="en-US" w:eastAsia="zh-CN"/>
              </w:rPr>
              <w:t>CK-1（乳化油酸）</w:t>
            </w:r>
          </w:p>
        </w:tc>
        <w:tc>
          <w:tcPr>
            <w:tcW w:w="915" w:type="pct"/>
            <w:tcBorders>
              <w:tl2br w:val="nil"/>
              <w:tr2bl w:val="nil"/>
            </w:tcBorders>
            <w:shd w:val="clear" w:color="auto" w:fill="auto"/>
            <w:vAlign w:val="center"/>
          </w:tcPr>
          <w:p w14:paraId="114D17BD">
            <w:pPr>
              <w:pStyle w:val="17"/>
              <w:bidi w:val="0"/>
              <w:rPr>
                <w:rFonts w:hint="eastAsia"/>
                <w:color w:val="auto"/>
                <w:highlight w:val="none"/>
                <w:lang w:val="en-US" w:eastAsia="zh-CN"/>
              </w:rPr>
            </w:pPr>
            <w:r>
              <w:rPr>
                <w:rFonts w:hint="eastAsia"/>
                <w:color w:val="auto"/>
                <w:highlight w:val="none"/>
                <w:lang w:val="en-US" w:eastAsia="zh-CN"/>
              </w:rPr>
              <w:t>828</w:t>
            </w:r>
          </w:p>
        </w:tc>
        <w:tc>
          <w:tcPr>
            <w:tcW w:w="1045" w:type="pct"/>
            <w:tcBorders>
              <w:tl2br w:val="nil"/>
              <w:tr2bl w:val="nil"/>
            </w:tcBorders>
            <w:shd w:val="clear" w:color="auto" w:fill="auto"/>
            <w:vAlign w:val="center"/>
          </w:tcPr>
          <w:p w14:paraId="56141A39">
            <w:pPr>
              <w:pStyle w:val="17"/>
              <w:bidi w:val="0"/>
              <w:rPr>
                <w:rFonts w:hint="default"/>
                <w:color w:val="auto"/>
                <w:highlight w:val="none"/>
                <w:lang w:val="en-US" w:eastAsia="zh-CN"/>
              </w:rPr>
            </w:pPr>
            <w:r>
              <w:rPr>
                <w:rFonts w:hint="eastAsia"/>
                <w:color w:val="auto"/>
                <w:highlight w:val="none"/>
                <w:lang w:val="en-US" w:eastAsia="zh-CN"/>
              </w:rPr>
              <w:t>捕收剂</w:t>
            </w:r>
          </w:p>
        </w:tc>
        <w:tc>
          <w:tcPr>
            <w:tcW w:w="737" w:type="pct"/>
            <w:tcBorders>
              <w:tl2br w:val="nil"/>
              <w:tr2bl w:val="nil"/>
            </w:tcBorders>
            <w:shd w:val="clear" w:color="auto" w:fill="auto"/>
            <w:vAlign w:val="center"/>
          </w:tcPr>
          <w:p w14:paraId="34DB2205">
            <w:pPr>
              <w:pStyle w:val="17"/>
              <w:bidi w:val="0"/>
              <w:rPr>
                <w:rFonts w:hint="default"/>
                <w:color w:val="auto"/>
                <w:highlight w:val="none"/>
                <w:lang w:val="en-US" w:eastAsia="zh-CN"/>
              </w:rPr>
            </w:pPr>
            <w:r>
              <w:rPr>
                <w:color w:val="auto"/>
                <w:highlight w:val="none"/>
                <w:lang w:eastAsia="zh-CN"/>
              </w:rPr>
              <w:t>液体</w:t>
            </w:r>
          </w:p>
        </w:tc>
        <w:tc>
          <w:tcPr>
            <w:tcW w:w="928" w:type="pct"/>
            <w:tcBorders>
              <w:tl2br w:val="nil"/>
              <w:tr2bl w:val="nil"/>
            </w:tcBorders>
            <w:shd w:val="clear" w:color="auto" w:fill="auto"/>
            <w:vAlign w:val="center"/>
          </w:tcPr>
          <w:p w14:paraId="13E2683E">
            <w:pPr>
              <w:pStyle w:val="17"/>
              <w:bidi w:val="0"/>
              <w:rPr>
                <w:rFonts w:hint="default"/>
                <w:color w:val="auto"/>
                <w:highlight w:val="none"/>
                <w:lang w:val="en-US" w:eastAsia="zh-CN"/>
              </w:rPr>
            </w:pPr>
            <w:r>
              <w:rPr>
                <w:rFonts w:hint="eastAsia"/>
                <w:color w:val="auto"/>
                <w:highlight w:val="none"/>
                <w:lang w:val="en-US" w:eastAsia="zh-CN"/>
              </w:rPr>
              <w:t>药剂仓库</w:t>
            </w:r>
          </w:p>
        </w:tc>
      </w:tr>
      <w:tr w14:paraId="75EB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pct"/>
            <w:tcBorders>
              <w:tl2br w:val="nil"/>
              <w:tr2bl w:val="nil"/>
            </w:tcBorders>
            <w:shd w:val="clear" w:color="auto" w:fill="auto"/>
            <w:vAlign w:val="center"/>
          </w:tcPr>
          <w:p w14:paraId="195EBD14">
            <w:pPr>
              <w:pStyle w:val="17"/>
              <w:bidi w:val="0"/>
              <w:rPr>
                <w:rFonts w:hint="default"/>
                <w:color w:val="auto"/>
                <w:highlight w:val="none"/>
                <w:lang w:val="en-US" w:eastAsia="zh-CN"/>
              </w:rPr>
            </w:pPr>
            <w:r>
              <w:rPr>
                <w:rFonts w:hint="eastAsia"/>
                <w:color w:val="auto"/>
                <w:highlight w:val="none"/>
                <w:lang w:val="en-US" w:eastAsia="zh-CN"/>
              </w:rPr>
              <w:t>6</w:t>
            </w:r>
          </w:p>
        </w:tc>
        <w:tc>
          <w:tcPr>
            <w:tcW w:w="954" w:type="pct"/>
            <w:tcBorders>
              <w:tl2br w:val="nil"/>
              <w:tr2bl w:val="nil"/>
            </w:tcBorders>
            <w:shd w:val="clear" w:color="auto" w:fill="auto"/>
            <w:vAlign w:val="center"/>
          </w:tcPr>
          <w:p w14:paraId="00CDFE5C">
            <w:pPr>
              <w:pStyle w:val="17"/>
              <w:bidi w:val="0"/>
              <w:rPr>
                <w:rFonts w:hint="eastAsia"/>
                <w:color w:val="auto"/>
                <w:highlight w:val="none"/>
                <w:lang w:val="en-US" w:eastAsia="zh-CN"/>
              </w:rPr>
            </w:pPr>
            <w:r>
              <w:rPr>
                <w:rFonts w:hint="eastAsia"/>
                <w:color w:val="auto"/>
                <w:highlight w:val="none"/>
                <w:lang w:val="en-US" w:eastAsia="zh-CN"/>
              </w:rPr>
              <w:t>聚丙烯酰胺</w:t>
            </w:r>
          </w:p>
        </w:tc>
        <w:tc>
          <w:tcPr>
            <w:tcW w:w="915" w:type="pct"/>
            <w:tcBorders>
              <w:tl2br w:val="nil"/>
              <w:tr2bl w:val="nil"/>
            </w:tcBorders>
            <w:shd w:val="clear" w:color="auto" w:fill="auto"/>
            <w:vAlign w:val="center"/>
          </w:tcPr>
          <w:p w14:paraId="551F71D4">
            <w:pPr>
              <w:pStyle w:val="17"/>
              <w:bidi w:val="0"/>
              <w:rPr>
                <w:rFonts w:hint="default"/>
                <w:color w:val="auto"/>
                <w:highlight w:val="none"/>
                <w:lang w:val="en-US" w:eastAsia="zh-CN"/>
              </w:rPr>
            </w:pPr>
            <w:r>
              <w:rPr>
                <w:rFonts w:hint="eastAsia"/>
                <w:color w:val="auto"/>
                <w:highlight w:val="none"/>
                <w:lang w:val="en-US" w:eastAsia="zh-CN"/>
              </w:rPr>
              <w:t>36</w:t>
            </w:r>
          </w:p>
        </w:tc>
        <w:tc>
          <w:tcPr>
            <w:tcW w:w="1045" w:type="pct"/>
            <w:tcBorders>
              <w:tl2br w:val="nil"/>
              <w:tr2bl w:val="nil"/>
            </w:tcBorders>
            <w:shd w:val="clear" w:color="auto" w:fill="auto"/>
            <w:vAlign w:val="center"/>
          </w:tcPr>
          <w:p w14:paraId="4693ADB7">
            <w:pPr>
              <w:pStyle w:val="17"/>
              <w:bidi w:val="0"/>
              <w:rPr>
                <w:rFonts w:hint="default"/>
                <w:color w:val="auto"/>
                <w:highlight w:val="none"/>
                <w:lang w:val="en-US" w:eastAsia="zh-CN"/>
              </w:rPr>
            </w:pPr>
            <w:r>
              <w:rPr>
                <w:rFonts w:hint="eastAsia"/>
                <w:color w:val="auto"/>
                <w:highlight w:val="none"/>
                <w:lang w:val="en-US" w:eastAsia="zh-CN"/>
              </w:rPr>
              <w:t>水处理药剂</w:t>
            </w:r>
          </w:p>
        </w:tc>
        <w:tc>
          <w:tcPr>
            <w:tcW w:w="737" w:type="pct"/>
            <w:tcBorders>
              <w:tl2br w:val="nil"/>
              <w:tr2bl w:val="nil"/>
            </w:tcBorders>
            <w:shd w:val="clear" w:color="auto" w:fill="auto"/>
            <w:vAlign w:val="center"/>
          </w:tcPr>
          <w:p w14:paraId="706505CB">
            <w:pPr>
              <w:pStyle w:val="17"/>
              <w:bidi w:val="0"/>
              <w:rPr>
                <w:rFonts w:hint="default"/>
                <w:color w:val="auto"/>
                <w:highlight w:val="none"/>
                <w:lang w:val="en-US" w:eastAsia="zh-CN"/>
              </w:rPr>
            </w:pPr>
            <w:r>
              <w:rPr>
                <w:rFonts w:hint="eastAsia"/>
                <w:color w:val="auto"/>
                <w:highlight w:val="none"/>
                <w:lang w:val="en-US" w:eastAsia="zh-CN"/>
              </w:rPr>
              <w:t>固体</w:t>
            </w:r>
          </w:p>
        </w:tc>
        <w:tc>
          <w:tcPr>
            <w:tcW w:w="928" w:type="pct"/>
            <w:tcBorders>
              <w:tl2br w:val="nil"/>
              <w:tr2bl w:val="nil"/>
            </w:tcBorders>
            <w:shd w:val="clear" w:color="auto" w:fill="auto"/>
            <w:vAlign w:val="center"/>
          </w:tcPr>
          <w:p w14:paraId="1D7A9243">
            <w:pPr>
              <w:pStyle w:val="17"/>
              <w:bidi w:val="0"/>
              <w:rPr>
                <w:rFonts w:hint="eastAsia"/>
                <w:color w:val="auto"/>
                <w:highlight w:val="none"/>
                <w:lang w:val="en-US" w:eastAsia="zh-CN"/>
              </w:rPr>
            </w:pPr>
            <w:r>
              <w:rPr>
                <w:rFonts w:hint="eastAsia"/>
                <w:color w:val="auto"/>
                <w:highlight w:val="none"/>
                <w:lang w:val="en-US" w:eastAsia="zh-CN"/>
              </w:rPr>
              <w:t>药剂仓库</w:t>
            </w:r>
          </w:p>
        </w:tc>
      </w:tr>
      <w:tr w14:paraId="331A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 w:type="pct"/>
            <w:tcBorders>
              <w:tl2br w:val="nil"/>
              <w:tr2bl w:val="nil"/>
            </w:tcBorders>
            <w:shd w:val="clear" w:color="auto" w:fill="auto"/>
            <w:vAlign w:val="center"/>
          </w:tcPr>
          <w:p w14:paraId="28CFA05B">
            <w:pPr>
              <w:pStyle w:val="17"/>
              <w:bidi w:val="0"/>
              <w:rPr>
                <w:rFonts w:hint="default"/>
                <w:color w:val="auto"/>
                <w:highlight w:val="none"/>
                <w:lang w:val="en-US" w:eastAsia="zh-CN"/>
              </w:rPr>
            </w:pPr>
            <w:r>
              <w:rPr>
                <w:rFonts w:hint="eastAsia"/>
                <w:color w:val="auto"/>
                <w:highlight w:val="none"/>
                <w:lang w:val="en-US" w:eastAsia="zh-CN"/>
              </w:rPr>
              <w:t>7</w:t>
            </w:r>
          </w:p>
        </w:tc>
        <w:tc>
          <w:tcPr>
            <w:tcW w:w="954" w:type="pct"/>
            <w:tcBorders>
              <w:tl2br w:val="nil"/>
              <w:tr2bl w:val="nil"/>
            </w:tcBorders>
            <w:shd w:val="clear" w:color="auto" w:fill="auto"/>
            <w:vAlign w:val="center"/>
          </w:tcPr>
          <w:p w14:paraId="154573B1">
            <w:pPr>
              <w:pStyle w:val="17"/>
              <w:bidi w:val="0"/>
              <w:rPr>
                <w:rFonts w:hint="eastAsia"/>
                <w:color w:val="auto"/>
                <w:highlight w:val="none"/>
                <w:lang w:val="en-US" w:eastAsia="zh-CN"/>
              </w:rPr>
            </w:pPr>
            <w:r>
              <w:rPr>
                <w:rFonts w:hint="eastAsia"/>
                <w:color w:val="auto"/>
                <w:highlight w:val="none"/>
                <w:lang w:val="en-US" w:eastAsia="zh-CN"/>
              </w:rPr>
              <w:t>聚合氯化铝</w:t>
            </w:r>
          </w:p>
        </w:tc>
        <w:tc>
          <w:tcPr>
            <w:tcW w:w="915" w:type="pct"/>
            <w:tcBorders>
              <w:tl2br w:val="nil"/>
              <w:tr2bl w:val="nil"/>
            </w:tcBorders>
            <w:shd w:val="clear" w:color="auto" w:fill="auto"/>
            <w:vAlign w:val="center"/>
          </w:tcPr>
          <w:p w14:paraId="6ADBC15D">
            <w:pPr>
              <w:pStyle w:val="17"/>
              <w:bidi w:val="0"/>
              <w:rPr>
                <w:rFonts w:hint="default"/>
                <w:color w:val="auto"/>
                <w:highlight w:val="none"/>
                <w:lang w:val="en-US" w:eastAsia="zh-CN"/>
              </w:rPr>
            </w:pPr>
            <w:r>
              <w:rPr>
                <w:rFonts w:hint="eastAsia"/>
                <w:color w:val="auto"/>
                <w:highlight w:val="none"/>
                <w:lang w:val="en-US" w:eastAsia="zh-CN"/>
              </w:rPr>
              <w:t>1200</w:t>
            </w:r>
          </w:p>
        </w:tc>
        <w:tc>
          <w:tcPr>
            <w:tcW w:w="1045" w:type="pct"/>
            <w:tcBorders>
              <w:tl2br w:val="nil"/>
              <w:tr2bl w:val="nil"/>
            </w:tcBorders>
            <w:shd w:val="clear" w:color="auto" w:fill="auto"/>
            <w:vAlign w:val="center"/>
          </w:tcPr>
          <w:p w14:paraId="715261DA">
            <w:pPr>
              <w:pStyle w:val="17"/>
              <w:bidi w:val="0"/>
              <w:rPr>
                <w:rFonts w:hint="default"/>
                <w:color w:val="auto"/>
                <w:highlight w:val="none"/>
                <w:lang w:val="en-US" w:eastAsia="zh-CN"/>
              </w:rPr>
            </w:pPr>
            <w:r>
              <w:rPr>
                <w:rFonts w:hint="eastAsia"/>
                <w:color w:val="auto"/>
                <w:highlight w:val="none"/>
                <w:lang w:val="en-US" w:eastAsia="zh-CN"/>
              </w:rPr>
              <w:t>水处理药剂</w:t>
            </w:r>
          </w:p>
        </w:tc>
        <w:tc>
          <w:tcPr>
            <w:tcW w:w="737" w:type="pct"/>
            <w:tcBorders>
              <w:tl2br w:val="nil"/>
              <w:tr2bl w:val="nil"/>
            </w:tcBorders>
            <w:shd w:val="clear" w:color="auto" w:fill="auto"/>
            <w:vAlign w:val="center"/>
          </w:tcPr>
          <w:p w14:paraId="2C19F0BF">
            <w:pPr>
              <w:pStyle w:val="17"/>
              <w:bidi w:val="0"/>
              <w:rPr>
                <w:rFonts w:hint="default"/>
                <w:color w:val="auto"/>
                <w:highlight w:val="none"/>
                <w:lang w:val="en-US" w:eastAsia="zh-CN"/>
              </w:rPr>
            </w:pPr>
            <w:r>
              <w:rPr>
                <w:rFonts w:hint="eastAsia"/>
                <w:color w:val="auto"/>
                <w:highlight w:val="none"/>
                <w:lang w:val="en-US" w:eastAsia="zh-CN"/>
              </w:rPr>
              <w:t>固体</w:t>
            </w:r>
          </w:p>
        </w:tc>
        <w:tc>
          <w:tcPr>
            <w:tcW w:w="928" w:type="pct"/>
            <w:tcBorders>
              <w:tl2br w:val="nil"/>
              <w:tr2bl w:val="nil"/>
            </w:tcBorders>
            <w:shd w:val="clear" w:color="auto" w:fill="auto"/>
            <w:vAlign w:val="center"/>
          </w:tcPr>
          <w:p w14:paraId="37331C9F">
            <w:pPr>
              <w:pStyle w:val="17"/>
              <w:bidi w:val="0"/>
              <w:rPr>
                <w:rFonts w:hint="eastAsia"/>
                <w:color w:val="auto"/>
                <w:highlight w:val="none"/>
                <w:lang w:val="en-US" w:eastAsia="zh-CN"/>
              </w:rPr>
            </w:pPr>
            <w:r>
              <w:rPr>
                <w:rFonts w:hint="eastAsia"/>
                <w:color w:val="auto"/>
                <w:highlight w:val="none"/>
                <w:lang w:val="en-US" w:eastAsia="zh-CN"/>
              </w:rPr>
              <w:t>药剂仓库</w:t>
            </w:r>
          </w:p>
        </w:tc>
      </w:tr>
      <w:bookmarkEnd w:id="361"/>
      <w:bookmarkEnd w:id="362"/>
      <w:bookmarkEnd w:id="363"/>
    </w:tbl>
    <w:p w14:paraId="08AEE6F5">
      <w:pPr>
        <w:overflowPunct w:val="0"/>
        <w:topLinePunct/>
        <w:ind w:firstLine="480"/>
        <w:rPr>
          <w:color w:val="auto"/>
          <w:highlight w:val="none"/>
        </w:rPr>
      </w:pPr>
      <w:r>
        <w:rPr>
          <w:rFonts w:hint="eastAsia"/>
          <w:color w:val="auto"/>
          <w:highlight w:val="none"/>
        </w:rPr>
        <w:t>各选矿药剂理化性质见表3.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7</w:t>
      </w:r>
      <w:r>
        <w:rPr>
          <w:rFonts w:hint="eastAsia"/>
          <w:color w:val="auto"/>
          <w:highlight w:val="none"/>
        </w:rPr>
        <w:t>~</w:t>
      </w:r>
      <w:r>
        <w:rPr>
          <w:rFonts w:hint="eastAsia"/>
          <w:color w:val="auto"/>
          <w:highlight w:val="none"/>
          <w:lang w:val="en-US" w:eastAsia="zh-CN"/>
        </w:rPr>
        <w:t>3.1-9</w:t>
      </w:r>
      <w:r>
        <w:rPr>
          <w:rFonts w:hint="eastAsia"/>
          <w:color w:val="auto"/>
          <w:highlight w:val="none"/>
        </w:rPr>
        <w:t>。</w:t>
      </w:r>
    </w:p>
    <w:p w14:paraId="603EB86B">
      <w:pPr>
        <w:adjustRightInd w:val="0"/>
        <w:snapToGrid w:val="0"/>
        <w:ind w:firstLine="0" w:firstLineChars="0"/>
        <w:jc w:val="center"/>
        <w:rPr>
          <w:b/>
          <w:color w:val="auto"/>
          <w:highlight w:val="none"/>
        </w:rPr>
      </w:pPr>
      <w:bookmarkStart w:id="364" w:name="_Toc1287"/>
      <w:bookmarkStart w:id="365" w:name="_Toc8046_WPSOffice_Level2"/>
      <w:r>
        <w:rPr>
          <w:rFonts w:hint="eastAsia"/>
          <w:b/>
          <w:color w:val="auto"/>
          <w:highlight w:val="none"/>
        </w:rPr>
        <w:t>表3.</w:t>
      </w:r>
      <w:r>
        <w:rPr>
          <w:rFonts w:hint="eastAsia"/>
          <w:b/>
          <w:color w:val="auto"/>
          <w:highlight w:val="none"/>
          <w:lang w:val="en-US" w:eastAsia="zh-CN"/>
        </w:rPr>
        <w:t>1</w:t>
      </w:r>
      <w:r>
        <w:rPr>
          <w:rFonts w:hint="eastAsia"/>
          <w:b/>
          <w:color w:val="auto"/>
          <w:highlight w:val="none"/>
        </w:rPr>
        <w:t>-</w:t>
      </w:r>
      <w:r>
        <w:rPr>
          <w:rFonts w:hint="eastAsia"/>
          <w:b/>
          <w:color w:val="auto"/>
          <w:highlight w:val="none"/>
          <w:lang w:val="en-US" w:eastAsia="zh-CN"/>
        </w:rPr>
        <w:t xml:space="preserve">7   </w:t>
      </w:r>
      <w:r>
        <w:rPr>
          <w:rFonts w:hint="eastAsia"/>
          <w:b/>
          <w:color w:val="auto"/>
          <w:highlight w:val="none"/>
        </w:rPr>
        <w:t>碳酸钠理化性质特性一览表</w:t>
      </w:r>
    </w:p>
    <w:tbl>
      <w:tblPr>
        <w:tblStyle w:val="18"/>
        <w:tblW w:w="5140" w:type="pct"/>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autofit"/>
        <w:tblCellMar>
          <w:top w:w="0" w:type="dxa"/>
          <w:left w:w="0" w:type="dxa"/>
          <w:bottom w:w="0" w:type="dxa"/>
          <w:right w:w="0" w:type="dxa"/>
        </w:tblCellMar>
      </w:tblPr>
      <w:tblGrid>
        <w:gridCol w:w="540"/>
        <w:gridCol w:w="1472"/>
        <w:gridCol w:w="320"/>
        <w:gridCol w:w="1845"/>
        <w:gridCol w:w="886"/>
        <w:gridCol w:w="1645"/>
        <w:gridCol w:w="1841"/>
      </w:tblGrid>
      <w:tr w14:paraId="0FFD90D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Align w:val="center"/>
          </w:tcPr>
          <w:p w14:paraId="533F131A">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标识</w:t>
            </w:r>
          </w:p>
        </w:tc>
        <w:tc>
          <w:tcPr>
            <w:tcW w:w="861" w:type="pct"/>
            <w:vAlign w:val="center"/>
          </w:tcPr>
          <w:p w14:paraId="54467888">
            <w:pPr>
              <w:spacing w:line="360" w:lineRule="exact"/>
              <w:ind w:firstLine="0" w:firstLineChars="0"/>
              <w:rPr>
                <w:color w:val="auto"/>
                <w:sz w:val="21"/>
                <w:szCs w:val="21"/>
                <w:highlight w:val="none"/>
                <w:lang w:eastAsia="en-US"/>
              </w:rPr>
            </w:pPr>
            <w:r>
              <w:rPr>
                <w:rFonts w:hint="eastAsia"/>
                <w:color w:val="auto"/>
                <w:sz w:val="21"/>
                <w:szCs w:val="21"/>
                <w:highlight w:val="none"/>
                <w:lang w:eastAsia="en-US"/>
              </w:rPr>
              <w:t>中文名：碳酸钠</w:t>
            </w:r>
          </w:p>
        </w:tc>
        <w:tc>
          <w:tcPr>
            <w:tcW w:w="1784" w:type="pct"/>
            <w:gridSpan w:val="3"/>
            <w:vAlign w:val="center"/>
          </w:tcPr>
          <w:p w14:paraId="1AB53044">
            <w:pPr>
              <w:spacing w:line="360" w:lineRule="exact"/>
              <w:ind w:firstLine="0" w:firstLineChars="0"/>
              <w:rPr>
                <w:color w:val="auto"/>
                <w:sz w:val="21"/>
                <w:szCs w:val="21"/>
                <w:highlight w:val="none"/>
                <w:lang w:eastAsia="en-US"/>
              </w:rPr>
            </w:pPr>
            <w:r>
              <w:rPr>
                <w:rFonts w:hint="eastAsia"/>
                <w:color w:val="auto"/>
                <w:sz w:val="21"/>
                <w:szCs w:val="21"/>
                <w:highlight w:val="none"/>
                <w:lang w:eastAsia="en-US"/>
              </w:rPr>
              <w:t>英文名：Sodiumcarbonate</w:t>
            </w:r>
          </w:p>
        </w:tc>
        <w:tc>
          <w:tcPr>
            <w:tcW w:w="962" w:type="pct"/>
            <w:vAlign w:val="center"/>
          </w:tcPr>
          <w:p w14:paraId="41380507">
            <w:pPr>
              <w:spacing w:line="360" w:lineRule="exact"/>
              <w:ind w:firstLine="0" w:firstLineChars="0"/>
              <w:rPr>
                <w:color w:val="auto"/>
                <w:sz w:val="21"/>
                <w:szCs w:val="21"/>
                <w:highlight w:val="none"/>
                <w:lang w:eastAsia="en-US"/>
              </w:rPr>
            </w:pPr>
            <w:r>
              <w:rPr>
                <w:rFonts w:hint="eastAsia"/>
                <w:color w:val="auto"/>
                <w:sz w:val="21"/>
                <w:szCs w:val="21"/>
                <w:highlight w:val="none"/>
                <w:lang w:eastAsia="en-US"/>
              </w:rPr>
              <w:t>分子式：Na</w:t>
            </w:r>
            <w:r>
              <w:rPr>
                <w:rFonts w:hint="eastAsia"/>
                <w:color w:val="auto"/>
                <w:sz w:val="21"/>
                <w:szCs w:val="21"/>
                <w:highlight w:val="none"/>
                <w:vertAlign w:val="subscript"/>
                <w:lang w:eastAsia="en-US"/>
              </w:rPr>
              <w:t>2</w:t>
            </w:r>
            <w:r>
              <w:rPr>
                <w:rFonts w:hint="eastAsia"/>
                <w:color w:val="auto"/>
                <w:sz w:val="21"/>
                <w:szCs w:val="21"/>
                <w:highlight w:val="none"/>
                <w:lang w:eastAsia="en-US"/>
              </w:rPr>
              <w:t>CO</w:t>
            </w:r>
            <w:r>
              <w:rPr>
                <w:rFonts w:hint="eastAsia"/>
                <w:color w:val="auto"/>
                <w:sz w:val="21"/>
                <w:szCs w:val="21"/>
                <w:highlight w:val="none"/>
                <w:vertAlign w:val="subscript"/>
                <w:lang w:eastAsia="en-US"/>
              </w:rPr>
              <w:t>3</w:t>
            </w:r>
          </w:p>
        </w:tc>
        <w:tc>
          <w:tcPr>
            <w:tcW w:w="1074" w:type="pct"/>
            <w:vAlign w:val="center"/>
          </w:tcPr>
          <w:p w14:paraId="170B6EA2">
            <w:pPr>
              <w:spacing w:line="360" w:lineRule="exact"/>
              <w:ind w:firstLine="0" w:firstLineChars="0"/>
              <w:rPr>
                <w:color w:val="auto"/>
                <w:sz w:val="21"/>
                <w:szCs w:val="21"/>
                <w:highlight w:val="none"/>
                <w:lang w:eastAsia="en-US"/>
              </w:rPr>
            </w:pPr>
            <w:r>
              <w:rPr>
                <w:rFonts w:hint="eastAsia"/>
                <w:color w:val="auto"/>
                <w:sz w:val="21"/>
                <w:szCs w:val="21"/>
                <w:highlight w:val="none"/>
                <w:lang w:eastAsia="en-US"/>
              </w:rPr>
              <w:t>分子量：105.99</w:t>
            </w:r>
          </w:p>
        </w:tc>
      </w:tr>
      <w:tr w14:paraId="03BA553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Merge w:val="restart"/>
            <w:vAlign w:val="center"/>
          </w:tcPr>
          <w:p w14:paraId="5BA438A2">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理化性质</w:t>
            </w:r>
          </w:p>
        </w:tc>
        <w:tc>
          <w:tcPr>
            <w:tcW w:w="4683" w:type="pct"/>
            <w:gridSpan w:val="6"/>
            <w:vAlign w:val="center"/>
          </w:tcPr>
          <w:p w14:paraId="3621B87E">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外观与形状：常温下为白色粉末或颗粒，无气味</w:t>
            </w:r>
          </w:p>
        </w:tc>
      </w:tr>
      <w:tr w14:paraId="618FF4C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Merge w:val="continue"/>
            <w:vAlign w:val="center"/>
          </w:tcPr>
          <w:p w14:paraId="572A16F3">
            <w:pPr>
              <w:spacing w:line="360" w:lineRule="exact"/>
              <w:ind w:firstLine="0" w:firstLineChars="0"/>
              <w:jc w:val="center"/>
              <w:rPr>
                <w:color w:val="auto"/>
                <w:sz w:val="21"/>
                <w:szCs w:val="21"/>
                <w:highlight w:val="none"/>
                <w:lang w:eastAsia="zh-CN"/>
              </w:rPr>
            </w:pPr>
          </w:p>
        </w:tc>
        <w:tc>
          <w:tcPr>
            <w:tcW w:w="1048" w:type="pct"/>
            <w:gridSpan w:val="2"/>
            <w:vAlign w:val="center"/>
          </w:tcPr>
          <w:p w14:paraId="26E26650">
            <w:pPr>
              <w:spacing w:line="360" w:lineRule="exact"/>
              <w:ind w:firstLine="0" w:firstLineChars="0"/>
              <w:rPr>
                <w:color w:val="auto"/>
                <w:sz w:val="21"/>
                <w:szCs w:val="21"/>
                <w:highlight w:val="none"/>
                <w:lang w:eastAsia="en-US"/>
              </w:rPr>
            </w:pPr>
            <w:r>
              <w:rPr>
                <w:rFonts w:hint="eastAsia"/>
                <w:color w:val="auto"/>
                <w:sz w:val="21"/>
                <w:szCs w:val="21"/>
                <w:highlight w:val="none"/>
                <w:lang w:eastAsia="en-US"/>
              </w:rPr>
              <w:t>熔点/℃：851℃</w:t>
            </w:r>
          </w:p>
        </w:tc>
        <w:tc>
          <w:tcPr>
            <w:tcW w:w="3634" w:type="pct"/>
            <w:gridSpan w:val="4"/>
            <w:vAlign w:val="center"/>
          </w:tcPr>
          <w:p w14:paraId="4D8D435B">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溶解性：易溶于水、甘油，微溶于无水乙醇，不溶于丙醇</w:t>
            </w:r>
          </w:p>
        </w:tc>
      </w:tr>
      <w:tr w14:paraId="792F4F4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Merge w:val="continue"/>
            <w:vAlign w:val="center"/>
          </w:tcPr>
          <w:p w14:paraId="193081A2">
            <w:pPr>
              <w:spacing w:line="360" w:lineRule="exact"/>
              <w:ind w:firstLine="0" w:firstLineChars="0"/>
              <w:jc w:val="center"/>
              <w:rPr>
                <w:color w:val="auto"/>
                <w:sz w:val="21"/>
                <w:szCs w:val="21"/>
                <w:highlight w:val="none"/>
                <w:lang w:eastAsia="zh-CN"/>
              </w:rPr>
            </w:pPr>
          </w:p>
        </w:tc>
        <w:tc>
          <w:tcPr>
            <w:tcW w:w="2127" w:type="pct"/>
            <w:gridSpan w:val="3"/>
            <w:vAlign w:val="center"/>
          </w:tcPr>
          <w:p w14:paraId="5CA4DEE7">
            <w:pPr>
              <w:spacing w:line="360" w:lineRule="exact"/>
              <w:ind w:firstLine="0" w:firstLineChars="0"/>
              <w:rPr>
                <w:color w:val="auto"/>
                <w:sz w:val="21"/>
                <w:szCs w:val="21"/>
                <w:highlight w:val="none"/>
                <w:lang w:eastAsia="en-US"/>
              </w:rPr>
            </w:pPr>
            <w:r>
              <w:rPr>
                <w:rFonts w:hint="eastAsia"/>
                <w:color w:val="auto"/>
                <w:sz w:val="21"/>
                <w:szCs w:val="21"/>
                <w:highlight w:val="none"/>
                <w:lang w:eastAsia="en-US"/>
              </w:rPr>
              <w:t>pH：11.6</w:t>
            </w:r>
          </w:p>
        </w:tc>
        <w:tc>
          <w:tcPr>
            <w:tcW w:w="2556" w:type="pct"/>
            <w:gridSpan w:val="3"/>
            <w:vAlign w:val="center"/>
          </w:tcPr>
          <w:p w14:paraId="6C828456">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相对密度（水=1）：2.53（20℃）</w:t>
            </w:r>
          </w:p>
        </w:tc>
      </w:tr>
      <w:tr w14:paraId="3A3A5E4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Merge w:val="restart"/>
            <w:vAlign w:val="center"/>
          </w:tcPr>
          <w:p w14:paraId="05E9CF44">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燃烧爆炸危险性</w:t>
            </w:r>
          </w:p>
        </w:tc>
        <w:tc>
          <w:tcPr>
            <w:tcW w:w="4683" w:type="pct"/>
            <w:gridSpan w:val="6"/>
            <w:vAlign w:val="center"/>
          </w:tcPr>
          <w:p w14:paraId="78DAD57D">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危险特性：具有腐蚀性。未有特殊的燃烧爆炸特性。</w:t>
            </w:r>
          </w:p>
        </w:tc>
      </w:tr>
      <w:tr w14:paraId="740F84A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Merge w:val="continue"/>
            <w:vAlign w:val="center"/>
          </w:tcPr>
          <w:p w14:paraId="2CB132BE">
            <w:pPr>
              <w:spacing w:line="360" w:lineRule="exact"/>
              <w:ind w:firstLine="0" w:firstLineChars="0"/>
              <w:jc w:val="center"/>
              <w:rPr>
                <w:color w:val="auto"/>
                <w:sz w:val="21"/>
                <w:szCs w:val="21"/>
                <w:highlight w:val="none"/>
                <w:lang w:eastAsia="zh-CN"/>
              </w:rPr>
            </w:pPr>
          </w:p>
        </w:tc>
        <w:tc>
          <w:tcPr>
            <w:tcW w:w="4683" w:type="pct"/>
            <w:gridSpan w:val="6"/>
            <w:vAlign w:val="center"/>
          </w:tcPr>
          <w:p w14:paraId="1EA77537">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燃爆危险：本品不燃，具有腐蚀性、刺激性，可致人体灼伤。</w:t>
            </w:r>
          </w:p>
        </w:tc>
      </w:tr>
      <w:tr w14:paraId="372905E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Merge w:val="continue"/>
            <w:vAlign w:val="center"/>
          </w:tcPr>
          <w:p w14:paraId="3BA39B0B">
            <w:pPr>
              <w:spacing w:line="360" w:lineRule="exact"/>
              <w:ind w:firstLine="0" w:firstLineChars="0"/>
              <w:jc w:val="center"/>
              <w:rPr>
                <w:color w:val="auto"/>
                <w:sz w:val="21"/>
                <w:szCs w:val="21"/>
                <w:highlight w:val="none"/>
                <w:lang w:eastAsia="zh-CN"/>
              </w:rPr>
            </w:pPr>
          </w:p>
        </w:tc>
        <w:tc>
          <w:tcPr>
            <w:tcW w:w="4683" w:type="pct"/>
            <w:gridSpan w:val="6"/>
            <w:vAlign w:val="center"/>
          </w:tcPr>
          <w:p w14:paraId="5D60E911">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有害燃烧产物：自然分解产物未知。</w:t>
            </w:r>
          </w:p>
        </w:tc>
      </w:tr>
      <w:tr w14:paraId="797C1D9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Merge w:val="continue"/>
            <w:vAlign w:val="center"/>
          </w:tcPr>
          <w:p w14:paraId="346853F7">
            <w:pPr>
              <w:spacing w:line="360" w:lineRule="exact"/>
              <w:ind w:firstLine="0" w:firstLineChars="0"/>
              <w:jc w:val="center"/>
              <w:rPr>
                <w:color w:val="auto"/>
                <w:sz w:val="21"/>
                <w:szCs w:val="21"/>
                <w:highlight w:val="none"/>
                <w:lang w:eastAsia="zh-CN"/>
              </w:rPr>
            </w:pPr>
          </w:p>
        </w:tc>
        <w:tc>
          <w:tcPr>
            <w:tcW w:w="4683" w:type="pct"/>
            <w:gridSpan w:val="6"/>
            <w:vAlign w:val="center"/>
          </w:tcPr>
          <w:p w14:paraId="18E5151E">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灭火方法：消防人员必须穿全身耐酸碱消防服。灭火时尽可能将容器从火场移至空旷处。</w:t>
            </w:r>
          </w:p>
        </w:tc>
      </w:tr>
      <w:tr w14:paraId="4D9BC8D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Align w:val="center"/>
          </w:tcPr>
          <w:p w14:paraId="68C50DB3">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毒性</w:t>
            </w:r>
          </w:p>
        </w:tc>
        <w:tc>
          <w:tcPr>
            <w:tcW w:w="4683" w:type="pct"/>
            <w:gridSpan w:val="6"/>
            <w:vAlign w:val="center"/>
          </w:tcPr>
          <w:p w14:paraId="7EA59FDC">
            <w:pPr>
              <w:spacing w:line="360" w:lineRule="exact"/>
              <w:ind w:firstLine="0" w:firstLineChars="0"/>
              <w:rPr>
                <w:color w:val="auto"/>
                <w:sz w:val="21"/>
                <w:szCs w:val="21"/>
                <w:highlight w:val="none"/>
                <w:lang w:eastAsia="en-US"/>
              </w:rPr>
            </w:pPr>
            <w:r>
              <w:rPr>
                <w:rFonts w:hint="eastAsia"/>
                <w:color w:val="auto"/>
                <w:sz w:val="21"/>
                <w:szCs w:val="21"/>
                <w:highlight w:val="none"/>
                <w:lang w:eastAsia="en-US"/>
              </w:rPr>
              <w:t>LD</w:t>
            </w:r>
            <w:r>
              <w:rPr>
                <w:rFonts w:hint="eastAsia"/>
                <w:color w:val="auto"/>
                <w:sz w:val="21"/>
                <w:szCs w:val="21"/>
                <w:highlight w:val="none"/>
                <w:vertAlign w:val="subscript"/>
                <w:lang w:eastAsia="en-US"/>
              </w:rPr>
              <w:t>50</w:t>
            </w:r>
            <w:r>
              <w:rPr>
                <w:rFonts w:hint="eastAsia"/>
                <w:color w:val="auto"/>
                <w:sz w:val="21"/>
                <w:szCs w:val="21"/>
                <w:highlight w:val="none"/>
                <w:lang w:eastAsia="en-US"/>
              </w:rPr>
              <w:t>：4090mg/kg（大鼠经口）；</w:t>
            </w:r>
            <w:r>
              <w:rPr>
                <w:rFonts w:hint="eastAsia"/>
                <w:bCs/>
                <w:color w:val="auto"/>
                <w:sz w:val="21"/>
                <w:szCs w:val="21"/>
                <w:highlight w:val="none"/>
                <w:lang w:eastAsia="en-US"/>
              </w:rPr>
              <w:t>LC</w:t>
            </w:r>
            <w:r>
              <w:rPr>
                <w:rFonts w:hint="eastAsia"/>
                <w:bCs/>
                <w:color w:val="auto"/>
                <w:sz w:val="21"/>
                <w:szCs w:val="21"/>
                <w:highlight w:val="none"/>
                <w:vertAlign w:val="subscript"/>
                <w:lang w:eastAsia="en-US"/>
              </w:rPr>
              <w:t>50</w:t>
            </w:r>
            <w:r>
              <w:rPr>
                <w:rFonts w:hint="eastAsia"/>
                <w:bCs/>
                <w:color w:val="auto"/>
                <w:sz w:val="21"/>
                <w:szCs w:val="21"/>
                <w:highlight w:val="none"/>
                <w:lang w:eastAsia="en-US"/>
              </w:rPr>
              <w:t>：2300</w:t>
            </w:r>
            <w:r>
              <w:rPr>
                <w:rFonts w:hint="eastAsia"/>
                <w:color w:val="auto"/>
                <w:sz w:val="21"/>
                <w:szCs w:val="21"/>
                <w:highlight w:val="none"/>
                <w:lang w:eastAsia="en-US"/>
              </w:rPr>
              <w:t>mg/kg（大鼠吸入），2小时。</w:t>
            </w:r>
          </w:p>
          <w:p w14:paraId="5C7DEF67">
            <w:pPr>
              <w:spacing w:after="0" w:line="360" w:lineRule="exact"/>
              <w:ind w:firstLine="0" w:firstLineChars="0"/>
              <w:rPr>
                <w:rFonts w:eastAsia="宋体"/>
                <w:color w:val="auto"/>
                <w:sz w:val="21"/>
                <w:szCs w:val="21"/>
                <w:highlight w:val="none"/>
                <w:lang w:eastAsia="zh-CN"/>
              </w:rPr>
            </w:pPr>
            <w:bookmarkStart w:id="366" w:name="_Toc26916"/>
            <w:bookmarkStart w:id="367" w:name="_Toc15135"/>
            <w:bookmarkStart w:id="368" w:name="_Toc22917"/>
            <w:r>
              <w:rPr>
                <w:rFonts w:hint="eastAsia" w:eastAsia="宋体"/>
                <w:b w:val="0"/>
                <w:bCs/>
                <w:color w:val="auto"/>
                <w:sz w:val="21"/>
                <w:szCs w:val="21"/>
                <w:highlight w:val="none"/>
                <w:lang w:eastAsia="zh-CN"/>
              </w:rPr>
              <w:t>刺激性：具有刺激性</w:t>
            </w:r>
            <w:bookmarkEnd w:id="366"/>
            <w:bookmarkEnd w:id="367"/>
            <w:bookmarkEnd w:id="368"/>
          </w:p>
        </w:tc>
      </w:tr>
      <w:tr w14:paraId="283FE64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Align w:val="center"/>
          </w:tcPr>
          <w:p w14:paraId="665328B0">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健康危害</w:t>
            </w:r>
          </w:p>
        </w:tc>
        <w:tc>
          <w:tcPr>
            <w:tcW w:w="4683" w:type="pct"/>
            <w:gridSpan w:val="6"/>
            <w:vAlign w:val="center"/>
          </w:tcPr>
          <w:p w14:paraId="7E9187D7">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本品具有刺激性和腐蚀性。直接接触可引起皮肤和眼灼伤。生产中吸入其粉尘和烟雾可引起呼吸道刺激和结膜炎，还可有鼻黏膜溃疡、萎缩及鼻中隔穿孔。长时间接触本品溶液可发生湿疹、皮炎、鸡眼状溃疡和皮肤松弛。接触本品的作业工人呼吸器官疾病发病率升高。误服可造成消化道灼伤、粘膜糜烂、出血和休克。</w:t>
            </w:r>
          </w:p>
        </w:tc>
      </w:tr>
      <w:tr w14:paraId="6AB9284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Align w:val="center"/>
          </w:tcPr>
          <w:p w14:paraId="331A567C">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急救措施</w:t>
            </w:r>
          </w:p>
        </w:tc>
        <w:tc>
          <w:tcPr>
            <w:tcW w:w="4683" w:type="pct"/>
            <w:gridSpan w:val="6"/>
            <w:vAlign w:val="center"/>
          </w:tcPr>
          <w:p w14:paraId="5387B692">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皮肤接触：立即脱去污染的衣着，用大量流动清水冲洗至少15分钟。就医。眼睛接触：提起眼睑，用大量流动清水或生理盐水冲洗至少15分钟。就医。</w:t>
            </w:r>
          </w:p>
          <w:p w14:paraId="17A2D5CC">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吸入：迅速脱离现场至空气新鲜处。如呼吸困难，给输氧。就医。</w:t>
            </w:r>
          </w:p>
          <w:p w14:paraId="474887AC">
            <w:pPr>
              <w:spacing w:line="360" w:lineRule="exact"/>
              <w:ind w:firstLine="0" w:firstLineChars="0"/>
              <w:rPr>
                <w:color w:val="auto"/>
                <w:sz w:val="21"/>
                <w:szCs w:val="21"/>
                <w:highlight w:val="none"/>
                <w:lang w:eastAsia="en-US"/>
              </w:rPr>
            </w:pPr>
            <w:r>
              <w:rPr>
                <w:rFonts w:hint="eastAsia"/>
                <w:color w:val="auto"/>
                <w:sz w:val="21"/>
                <w:szCs w:val="21"/>
                <w:highlight w:val="none"/>
                <w:lang w:eastAsia="zh-CN"/>
              </w:rPr>
              <w:t>食入：用水漱口，给饮牛奶或蛋清。</w:t>
            </w:r>
            <w:r>
              <w:rPr>
                <w:rFonts w:hint="eastAsia"/>
                <w:color w:val="auto"/>
                <w:sz w:val="21"/>
                <w:szCs w:val="21"/>
                <w:highlight w:val="none"/>
                <w:lang w:eastAsia="en-US"/>
              </w:rPr>
              <w:t>就医。</w:t>
            </w:r>
          </w:p>
        </w:tc>
      </w:tr>
      <w:tr w14:paraId="4B727EC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Align w:val="center"/>
          </w:tcPr>
          <w:p w14:paraId="1707B4E9">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防护</w:t>
            </w:r>
          </w:p>
        </w:tc>
        <w:tc>
          <w:tcPr>
            <w:tcW w:w="4683" w:type="pct"/>
            <w:gridSpan w:val="6"/>
            <w:vAlign w:val="center"/>
          </w:tcPr>
          <w:p w14:paraId="70896AFE">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操作注意事项：密闭操作，加强通风。操作人员必须经过专门培训，严格遵守操作规程。建议操作人员佩戴自吸过滤式防尘口罩，戴化学安全防护眼镜，穿防毒物渗透工作服，戴橡胶手套。避免产生粉尘。避免与酸类接触。搬运时要轻装轻卸，防止包装及容器损坏。配备泄漏应急处理设备。倒空的容器可能残留有害物。稀释或制备溶液时，应把碱加入水中，避免沸腾和飞溅。</w:t>
            </w:r>
          </w:p>
        </w:tc>
      </w:tr>
      <w:tr w14:paraId="7BED513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Align w:val="center"/>
          </w:tcPr>
          <w:p w14:paraId="388072CF">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应急处理</w:t>
            </w:r>
          </w:p>
        </w:tc>
        <w:tc>
          <w:tcPr>
            <w:tcW w:w="4683" w:type="pct"/>
            <w:gridSpan w:val="6"/>
            <w:vAlign w:val="center"/>
          </w:tcPr>
          <w:p w14:paraId="0050EDD8">
            <w:pPr>
              <w:spacing w:line="360" w:lineRule="exact"/>
              <w:ind w:firstLine="0" w:firstLineChars="0"/>
              <w:rPr>
                <w:color w:val="auto"/>
                <w:sz w:val="21"/>
                <w:szCs w:val="21"/>
                <w:highlight w:val="none"/>
                <w:lang w:eastAsia="en-US"/>
              </w:rPr>
            </w:pPr>
            <w:r>
              <w:rPr>
                <w:rFonts w:hint="eastAsia"/>
                <w:color w:val="auto"/>
                <w:sz w:val="21"/>
                <w:szCs w:val="21"/>
                <w:highlight w:val="none"/>
                <w:lang w:eastAsia="zh-CN"/>
              </w:rPr>
              <w:t>隔离泄漏污染区，限制出入。建议应急处理人员戴防尘面具（全面罩），穿防毒服。避免扬尘，小心扫起，置于袋中转移至安全场所。若大量泄漏，用塑料布、帆布覆盖。</w:t>
            </w:r>
            <w:r>
              <w:rPr>
                <w:rFonts w:hint="eastAsia"/>
                <w:color w:val="auto"/>
                <w:sz w:val="21"/>
                <w:szCs w:val="21"/>
                <w:highlight w:val="none"/>
                <w:lang w:eastAsia="en-US"/>
              </w:rPr>
              <w:t>收集回收或运至废物处理场所处置。</w:t>
            </w:r>
          </w:p>
        </w:tc>
      </w:tr>
      <w:tr w14:paraId="17E84B4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16" w:type="pct"/>
            <w:vAlign w:val="center"/>
          </w:tcPr>
          <w:p w14:paraId="534C8719">
            <w:pPr>
              <w:spacing w:line="360" w:lineRule="exact"/>
              <w:ind w:firstLine="0" w:firstLineChars="0"/>
              <w:jc w:val="center"/>
              <w:rPr>
                <w:color w:val="auto"/>
                <w:sz w:val="21"/>
                <w:szCs w:val="21"/>
                <w:highlight w:val="none"/>
                <w:lang w:eastAsia="en-US"/>
              </w:rPr>
            </w:pPr>
            <w:r>
              <w:rPr>
                <w:rFonts w:hint="eastAsia"/>
                <w:color w:val="auto"/>
                <w:sz w:val="21"/>
                <w:szCs w:val="21"/>
                <w:highlight w:val="none"/>
                <w:lang w:eastAsia="en-US"/>
              </w:rPr>
              <w:t>储运</w:t>
            </w:r>
          </w:p>
        </w:tc>
        <w:tc>
          <w:tcPr>
            <w:tcW w:w="4683" w:type="pct"/>
            <w:gridSpan w:val="6"/>
            <w:vAlign w:val="center"/>
          </w:tcPr>
          <w:p w14:paraId="15292982">
            <w:pPr>
              <w:spacing w:line="360" w:lineRule="exact"/>
              <w:ind w:firstLine="0" w:firstLineChars="0"/>
              <w:rPr>
                <w:color w:val="auto"/>
                <w:sz w:val="21"/>
                <w:szCs w:val="21"/>
                <w:highlight w:val="none"/>
                <w:lang w:eastAsia="zh-CN"/>
              </w:rPr>
            </w:pPr>
            <w:r>
              <w:rPr>
                <w:rFonts w:hint="eastAsia"/>
                <w:color w:val="auto"/>
                <w:sz w:val="21"/>
                <w:szCs w:val="21"/>
                <w:highlight w:val="none"/>
                <w:lang w:eastAsia="zh-CN"/>
              </w:rPr>
              <w:t>储存于阴凉、通风的库房。远离火种、热源。应与酸类等分开存放，切忌混储。储区应备有合适的材料收容泄漏物。</w:t>
            </w:r>
          </w:p>
        </w:tc>
      </w:tr>
    </w:tbl>
    <w:p w14:paraId="42596735">
      <w:pPr>
        <w:pStyle w:val="19"/>
        <w:bidi w:val="0"/>
        <w:rPr>
          <w:rFonts w:hint="eastAsia"/>
          <w:b/>
          <w:color w:val="auto"/>
          <w:highlight w:val="none"/>
        </w:rPr>
      </w:pPr>
      <w:r>
        <w:rPr>
          <w:rFonts w:hint="eastAsia"/>
          <w:b/>
          <w:color w:val="auto"/>
          <w:highlight w:val="none"/>
        </w:rPr>
        <w:t>表3.</w:t>
      </w:r>
      <w:r>
        <w:rPr>
          <w:rFonts w:hint="eastAsia"/>
          <w:b/>
          <w:color w:val="auto"/>
          <w:highlight w:val="none"/>
          <w:lang w:val="en-US" w:eastAsia="zh-CN"/>
        </w:rPr>
        <w:t>1</w:t>
      </w:r>
      <w:r>
        <w:rPr>
          <w:rFonts w:hint="eastAsia"/>
          <w:b/>
          <w:color w:val="auto"/>
          <w:highlight w:val="none"/>
        </w:rPr>
        <w:t>-</w:t>
      </w:r>
      <w:r>
        <w:rPr>
          <w:rFonts w:hint="eastAsia"/>
          <w:b/>
          <w:color w:val="auto"/>
          <w:highlight w:val="none"/>
          <w:lang w:val="en-US" w:eastAsia="zh-CN"/>
        </w:rPr>
        <w:t>8   硅酸钠</w:t>
      </w:r>
      <w:r>
        <w:rPr>
          <w:rFonts w:hint="eastAsia"/>
          <w:b/>
          <w:color w:val="auto"/>
          <w:highlight w:val="none"/>
        </w:rPr>
        <w:t>理化性质特性一览表</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426"/>
        <w:gridCol w:w="152"/>
        <w:gridCol w:w="1065"/>
        <w:gridCol w:w="571"/>
        <w:gridCol w:w="1709"/>
        <w:gridCol w:w="24"/>
        <w:gridCol w:w="2246"/>
        <w:gridCol w:w="1576"/>
      </w:tblGrid>
      <w:tr w14:paraId="25CF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40" w:type="pct"/>
            <w:vMerge w:val="restart"/>
            <w:shd w:val="clear" w:color="auto" w:fill="auto"/>
            <w:vAlign w:val="center"/>
          </w:tcPr>
          <w:p w14:paraId="0D600AE7">
            <w:pPr>
              <w:pStyle w:val="17"/>
              <w:bidi w:val="0"/>
              <w:jc w:val="center"/>
              <w:rPr>
                <w:rFonts w:hint="eastAsia"/>
                <w:color w:val="auto"/>
                <w:highlight w:val="none"/>
                <w:lang w:val="en-US" w:eastAsia="en-US"/>
              </w:rPr>
            </w:pPr>
            <w:r>
              <w:rPr>
                <w:rFonts w:hint="default"/>
                <w:color w:val="auto"/>
                <w:highlight w:val="none"/>
                <w:lang w:eastAsia="en-US"/>
              </w:rPr>
              <w:t>标识</w:t>
            </w:r>
          </w:p>
        </w:tc>
        <w:tc>
          <w:tcPr>
            <w:tcW w:w="1299" w:type="pct"/>
            <w:gridSpan w:val="4"/>
            <w:shd w:val="clear" w:color="auto" w:fill="auto"/>
            <w:vAlign w:val="center"/>
          </w:tcPr>
          <w:p w14:paraId="0716BC0A">
            <w:pPr>
              <w:pStyle w:val="17"/>
              <w:bidi w:val="0"/>
              <w:jc w:val="center"/>
              <w:rPr>
                <w:rFonts w:hint="eastAsia"/>
                <w:color w:val="auto"/>
                <w:highlight w:val="none"/>
                <w:lang w:val="en-US" w:eastAsia="en-US"/>
              </w:rPr>
            </w:pPr>
            <w:r>
              <w:rPr>
                <w:rFonts w:hint="default"/>
                <w:color w:val="auto"/>
                <w:highlight w:val="none"/>
                <w:lang w:eastAsia="en-US"/>
              </w:rPr>
              <w:t>中文名称：</w:t>
            </w:r>
          </w:p>
        </w:tc>
        <w:tc>
          <w:tcPr>
            <w:tcW w:w="3260" w:type="pct"/>
            <w:gridSpan w:val="4"/>
            <w:shd w:val="clear" w:color="auto" w:fill="auto"/>
            <w:vAlign w:val="center"/>
          </w:tcPr>
          <w:p w14:paraId="7F16B40F">
            <w:pPr>
              <w:pStyle w:val="17"/>
              <w:bidi w:val="0"/>
              <w:jc w:val="center"/>
              <w:rPr>
                <w:rFonts w:hint="eastAsia"/>
                <w:color w:val="auto"/>
                <w:highlight w:val="none"/>
              </w:rPr>
            </w:pPr>
            <w:r>
              <w:rPr>
                <w:rFonts w:hint="eastAsia"/>
                <w:b w:val="0"/>
                <w:bCs/>
                <w:color w:val="auto"/>
                <w:highlight w:val="none"/>
                <w:lang w:val="en-US" w:eastAsia="zh-CN"/>
              </w:rPr>
              <w:t>硅酸钠；</w:t>
            </w:r>
            <w:r>
              <w:rPr>
                <w:rFonts w:hint="eastAsia"/>
                <w:color w:val="auto"/>
                <w:highlight w:val="none"/>
                <w:lang w:val="en-US" w:eastAsia="zh-CN"/>
              </w:rPr>
              <w:t>泡花碱</w:t>
            </w:r>
            <w:r>
              <w:rPr>
                <w:rFonts w:hint="default"/>
                <w:color w:val="auto"/>
                <w:highlight w:val="none"/>
                <w:lang w:eastAsia="en-US"/>
              </w:rPr>
              <w:t>；水玻璃</w:t>
            </w:r>
          </w:p>
        </w:tc>
      </w:tr>
      <w:tr w14:paraId="23A8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332D2624">
            <w:pPr>
              <w:pStyle w:val="17"/>
              <w:bidi w:val="0"/>
              <w:jc w:val="center"/>
              <w:rPr>
                <w:rFonts w:hint="eastAsia"/>
                <w:color w:val="auto"/>
                <w:highlight w:val="none"/>
                <w:lang w:val="en-US" w:eastAsia="en-US"/>
              </w:rPr>
            </w:pPr>
          </w:p>
        </w:tc>
        <w:tc>
          <w:tcPr>
            <w:tcW w:w="1299" w:type="pct"/>
            <w:gridSpan w:val="4"/>
            <w:shd w:val="clear" w:color="auto" w:fill="auto"/>
            <w:vAlign w:val="center"/>
          </w:tcPr>
          <w:p w14:paraId="17D9885A">
            <w:pPr>
              <w:pStyle w:val="17"/>
              <w:bidi w:val="0"/>
              <w:jc w:val="center"/>
              <w:rPr>
                <w:rFonts w:hint="eastAsia"/>
                <w:color w:val="auto"/>
                <w:highlight w:val="none"/>
                <w:lang w:val="en-US" w:eastAsia="en-US"/>
              </w:rPr>
            </w:pPr>
            <w:r>
              <w:rPr>
                <w:rFonts w:hint="default"/>
                <w:color w:val="auto"/>
                <w:highlight w:val="none"/>
                <w:lang w:eastAsia="en-US"/>
              </w:rPr>
              <w:t>英文名称：</w:t>
            </w:r>
          </w:p>
        </w:tc>
        <w:tc>
          <w:tcPr>
            <w:tcW w:w="3260" w:type="pct"/>
            <w:gridSpan w:val="4"/>
            <w:shd w:val="clear" w:color="auto" w:fill="auto"/>
            <w:vAlign w:val="center"/>
          </w:tcPr>
          <w:p w14:paraId="74A8E4CC">
            <w:pPr>
              <w:pStyle w:val="17"/>
              <w:bidi w:val="0"/>
              <w:jc w:val="center"/>
              <w:rPr>
                <w:rFonts w:hint="eastAsia"/>
                <w:color w:val="auto"/>
                <w:highlight w:val="none"/>
              </w:rPr>
            </w:pPr>
            <w:r>
              <w:rPr>
                <w:rFonts w:hint="eastAsia"/>
                <w:color w:val="auto"/>
                <w:highlight w:val="none"/>
              </w:rPr>
              <w:t>Sodium silicate</w:t>
            </w:r>
          </w:p>
        </w:tc>
      </w:tr>
      <w:tr w14:paraId="31E3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396C507B">
            <w:pPr>
              <w:pStyle w:val="17"/>
              <w:bidi w:val="0"/>
              <w:jc w:val="center"/>
              <w:rPr>
                <w:rFonts w:hint="eastAsia"/>
                <w:color w:val="auto"/>
                <w:highlight w:val="none"/>
                <w:lang w:val="en-US" w:eastAsia="en-US"/>
              </w:rPr>
            </w:pPr>
          </w:p>
        </w:tc>
        <w:tc>
          <w:tcPr>
            <w:tcW w:w="1299" w:type="pct"/>
            <w:gridSpan w:val="4"/>
            <w:shd w:val="clear" w:color="auto" w:fill="auto"/>
            <w:vAlign w:val="center"/>
          </w:tcPr>
          <w:p w14:paraId="6139CBF6">
            <w:pPr>
              <w:pStyle w:val="17"/>
              <w:bidi w:val="0"/>
              <w:jc w:val="center"/>
              <w:rPr>
                <w:rFonts w:hint="eastAsia"/>
                <w:color w:val="auto"/>
                <w:highlight w:val="none"/>
                <w:lang w:val="en-US" w:eastAsia="en-US"/>
              </w:rPr>
            </w:pPr>
            <w:r>
              <w:rPr>
                <w:rFonts w:hint="default"/>
                <w:color w:val="auto"/>
                <w:highlight w:val="none"/>
                <w:lang w:eastAsia="en-US"/>
              </w:rPr>
              <w:t>分子式：</w:t>
            </w:r>
          </w:p>
        </w:tc>
        <w:tc>
          <w:tcPr>
            <w:tcW w:w="1017" w:type="pct"/>
            <w:gridSpan w:val="2"/>
            <w:shd w:val="clear" w:color="auto" w:fill="auto"/>
            <w:vAlign w:val="center"/>
          </w:tcPr>
          <w:p w14:paraId="0E5095A8">
            <w:pPr>
              <w:pStyle w:val="17"/>
              <w:bidi w:val="0"/>
              <w:jc w:val="center"/>
              <w:rPr>
                <w:rFonts w:hint="eastAsia"/>
                <w:color w:val="auto"/>
                <w:highlight w:val="none"/>
                <w:lang w:val="en-US" w:eastAsia="en-US"/>
              </w:rPr>
            </w:pPr>
            <w:r>
              <w:rPr>
                <w:rFonts w:hint="eastAsia"/>
                <w:color w:val="auto"/>
                <w:highlight w:val="none"/>
                <w:lang w:val="en-US" w:eastAsia="en-US"/>
              </w:rPr>
              <w:t>Na</w:t>
            </w:r>
            <w:r>
              <w:rPr>
                <w:rFonts w:hint="eastAsia"/>
                <w:color w:val="auto"/>
                <w:highlight w:val="none"/>
                <w:vertAlign w:val="subscript"/>
                <w:lang w:val="en-US" w:eastAsia="en-US"/>
              </w:rPr>
              <w:t>2</w:t>
            </w:r>
            <w:r>
              <w:rPr>
                <w:rFonts w:hint="eastAsia"/>
                <w:color w:val="auto"/>
                <w:highlight w:val="none"/>
                <w:lang w:val="en-US" w:eastAsia="en-US"/>
              </w:rPr>
              <w:t>O·nSiO</w:t>
            </w:r>
            <w:r>
              <w:rPr>
                <w:rFonts w:hint="eastAsia"/>
                <w:color w:val="auto"/>
                <w:highlight w:val="none"/>
                <w:vertAlign w:val="subscript"/>
                <w:lang w:val="en-US" w:eastAsia="en-US"/>
              </w:rPr>
              <w:t>2</w:t>
            </w:r>
          </w:p>
        </w:tc>
        <w:tc>
          <w:tcPr>
            <w:tcW w:w="1318" w:type="pct"/>
            <w:shd w:val="clear" w:color="auto" w:fill="auto"/>
            <w:vAlign w:val="center"/>
          </w:tcPr>
          <w:p w14:paraId="4E769D94">
            <w:pPr>
              <w:pStyle w:val="17"/>
              <w:bidi w:val="0"/>
              <w:jc w:val="center"/>
              <w:rPr>
                <w:rFonts w:hint="eastAsia"/>
                <w:color w:val="auto"/>
                <w:highlight w:val="none"/>
                <w:lang w:val="en-US" w:eastAsia="en-US"/>
              </w:rPr>
            </w:pPr>
            <w:r>
              <w:rPr>
                <w:rFonts w:hint="default"/>
                <w:color w:val="auto"/>
                <w:highlight w:val="none"/>
                <w:lang w:eastAsia="en-US"/>
              </w:rPr>
              <w:t>CAS号：</w:t>
            </w:r>
          </w:p>
        </w:tc>
        <w:tc>
          <w:tcPr>
            <w:tcW w:w="924" w:type="pct"/>
            <w:shd w:val="clear" w:color="auto" w:fill="auto"/>
            <w:vAlign w:val="center"/>
          </w:tcPr>
          <w:p w14:paraId="10CDFD1F">
            <w:pPr>
              <w:pStyle w:val="17"/>
              <w:bidi w:val="0"/>
              <w:jc w:val="center"/>
              <w:rPr>
                <w:rFonts w:hint="eastAsia"/>
                <w:color w:val="auto"/>
                <w:highlight w:val="none"/>
              </w:rPr>
            </w:pPr>
            <w:r>
              <w:rPr>
                <w:rFonts w:hint="eastAsia"/>
                <w:color w:val="auto"/>
                <w:highlight w:val="none"/>
              </w:rPr>
              <w:t>1344-09-8</w:t>
            </w:r>
          </w:p>
        </w:tc>
      </w:tr>
      <w:tr w14:paraId="32FA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restart"/>
            <w:shd w:val="clear" w:color="auto" w:fill="auto"/>
            <w:vAlign w:val="center"/>
          </w:tcPr>
          <w:p w14:paraId="3A5B7A82">
            <w:pPr>
              <w:pStyle w:val="17"/>
              <w:bidi w:val="0"/>
              <w:jc w:val="center"/>
              <w:rPr>
                <w:rFonts w:hint="eastAsia"/>
                <w:color w:val="auto"/>
                <w:highlight w:val="none"/>
                <w:lang w:val="en-US" w:eastAsia="en-US"/>
              </w:rPr>
            </w:pPr>
            <w:r>
              <w:rPr>
                <w:rFonts w:hint="default"/>
                <w:color w:val="auto"/>
                <w:highlight w:val="none"/>
                <w:lang w:eastAsia="en-US"/>
              </w:rPr>
              <w:t>危害信息</w:t>
            </w:r>
          </w:p>
        </w:tc>
        <w:tc>
          <w:tcPr>
            <w:tcW w:w="1299" w:type="pct"/>
            <w:gridSpan w:val="4"/>
            <w:shd w:val="clear" w:color="auto" w:fill="auto"/>
            <w:vAlign w:val="center"/>
          </w:tcPr>
          <w:p w14:paraId="5AEC4A5D">
            <w:pPr>
              <w:pStyle w:val="17"/>
              <w:bidi w:val="0"/>
              <w:jc w:val="center"/>
              <w:rPr>
                <w:rFonts w:hint="eastAsia"/>
                <w:color w:val="auto"/>
                <w:highlight w:val="none"/>
                <w:lang w:val="en-US" w:eastAsia="en-US"/>
              </w:rPr>
            </w:pPr>
            <w:r>
              <w:rPr>
                <w:rFonts w:hint="default"/>
                <w:color w:val="auto"/>
                <w:highlight w:val="none"/>
                <w:lang w:eastAsia="en-US"/>
              </w:rPr>
              <w:t>燃烧与爆炸危险性：</w:t>
            </w:r>
          </w:p>
        </w:tc>
        <w:tc>
          <w:tcPr>
            <w:tcW w:w="3260" w:type="pct"/>
            <w:gridSpan w:val="4"/>
            <w:shd w:val="clear" w:color="auto" w:fill="auto"/>
            <w:vAlign w:val="center"/>
          </w:tcPr>
          <w:p w14:paraId="5EB32884">
            <w:pPr>
              <w:pStyle w:val="17"/>
              <w:bidi w:val="0"/>
              <w:jc w:val="center"/>
              <w:rPr>
                <w:rFonts w:hint="eastAsia"/>
                <w:color w:val="auto"/>
                <w:highlight w:val="none"/>
              </w:rPr>
            </w:pPr>
            <w:r>
              <w:rPr>
                <w:rFonts w:hint="default"/>
                <w:color w:val="auto"/>
                <w:highlight w:val="none"/>
                <w:lang w:eastAsia="en-US"/>
              </w:rPr>
              <w:t>不燃，受热易分解放出有毒的腐蚀性气体。在高温火场中，受热的容器有破裂和爆炸的危险。具有腐蚀性。</w:t>
            </w:r>
          </w:p>
        </w:tc>
      </w:tr>
      <w:tr w14:paraId="48B2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373F9D36">
            <w:pPr>
              <w:pStyle w:val="17"/>
              <w:bidi w:val="0"/>
              <w:jc w:val="center"/>
              <w:rPr>
                <w:rFonts w:hint="eastAsia"/>
                <w:color w:val="auto"/>
                <w:highlight w:val="none"/>
                <w:lang w:val="en-US" w:eastAsia="en-US"/>
              </w:rPr>
            </w:pPr>
          </w:p>
        </w:tc>
        <w:tc>
          <w:tcPr>
            <w:tcW w:w="1299" w:type="pct"/>
            <w:gridSpan w:val="4"/>
            <w:shd w:val="clear" w:color="auto" w:fill="auto"/>
            <w:vAlign w:val="center"/>
          </w:tcPr>
          <w:p w14:paraId="7073AEAD">
            <w:pPr>
              <w:pStyle w:val="17"/>
              <w:bidi w:val="0"/>
              <w:jc w:val="center"/>
              <w:rPr>
                <w:rFonts w:hint="eastAsia"/>
                <w:color w:val="auto"/>
                <w:highlight w:val="none"/>
                <w:lang w:val="en-US" w:eastAsia="en-US"/>
              </w:rPr>
            </w:pPr>
            <w:r>
              <w:rPr>
                <w:rFonts w:hint="default"/>
                <w:color w:val="auto"/>
                <w:highlight w:val="none"/>
                <w:lang w:eastAsia="en-US"/>
              </w:rPr>
              <w:t>活性反应：</w:t>
            </w:r>
          </w:p>
        </w:tc>
        <w:tc>
          <w:tcPr>
            <w:tcW w:w="3260" w:type="pct"/>
            <w:gridSpan w:val="4"/>
            <w:shd w:val="clear" w:color="auto" w:fill="auto"/>
            <w:vAlign w:val="center"/>
          </w:tcPr>
          <w:p w14:paraId="5DCC94A4">
            <w:pPr>
              <w:pStyle w:val="17"/>
              <w:bidi w:val="0"/>
              <w:jc w:val="center"/>
              <w:rPr>
                <w:rFonts w:hint="eastAsia"/>
                <w:color w:val="auto"/>
                <w:highlight w:val="none"/>
              </w:rPr>
            </w:pPr>
            <w:r>
              <w:rPr>
                <w:rFonts w:hint="default"/>
                <w:color w:val="auto"/>
                <w:highlight w:val="none"/>
                <w:lang w:eastAsia="en-US"/>
              </w:rPr>
              <w:t>/</w:t>
            </w:r>
          </w:p>
        </w:tc>
      </w:tr>
      <w:tr w14:paraId="5701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6FFCE347">
            <w:pPr>
              <w:pStyle w:val="17"/>
              <w:bidi w:val="0"/>
              <w:jc w:val="center"/>
              <w:rPr>
                <w:rFonts w:hint="eastAsia"/>
                <w:color w:val="auto"/>
                <w:highlight w:val="none"/>
                <w:lang w:val="en-US" w:eastAsia="en-US"/>
              </w:rPr>
            </w:pPr>
          </w:p>
        </w:tc>
        <w:tc>
          <w:tcPr>
            <w:tcW w:w="1299" w:type="pct"/>
            <w:gridSpan w:val="4"/>
            <w:shd w:val="clear" w:color="auto" w:fill="auto"/>
            <w:vAlign w:val="center"/>
          </w:tcPr>
          <w:p w14:paraId="6B28B185">
            <w:pPr>
              <w:pStyle w:val="17"/>
              <w:bidi w:val="0"/>
              <w:jc w:val="center"/>
              <w:rPr>
                <w:rFonts w:hint="eastAsia"/>
                <w:color w:val="auto"/>
                <w:highlight w:val="none"/>
                <w:lang w:val="en-US" w:eastAsia="en-US"/>
              </w:rPr>
            </w:pPr>
            <w:r>
              <w:rPr>
                <w:rFonts w:hint="default"/>
                <w:color w:val="auto"/>
                <w:highlight w:val="none"/>
                <w:lang w:eastAsia="en-US"/>
              </w:rPr>
              <w:t>禁忌物：</w:t>
            </w:r>
          </w:p>
        </w:tc>
        <w:tc>
          <w:tcPr>
            <w:tcW w:w="3260" w:type="pct"/>
            <w:gridSpan w:val="4"/>
            <w:shd w:val="clear" w:color="auto" w:fill="auto"/>
            <w:vAlign w:val="center"/>
          </w:tcPr>
          <w:p w14:paraId="349877D3">
            <w:pPr>
              <w:pStyle w:val="17"/>
              <w:bidi w:val="0"/>
              <w:jc w:val="center"/>
              <w:rPr>
                <w:rFonts w:hint="eastAsia"/>
                <w:color w:val="auto"/>
                <w:highlight w:val="none"/>
              </w:rPr>
            </w:pPr>
            <w:r>
              <w:rPr>
                <w:rFonts w:hint="default"/>
                <w:color w:val="auto"/>
                <w:highlight w:val="none"/>
                <w:lang w:eastAsia="en-US"/>
              </w:rPr>
              <w:t>/</w:t>
            </w:r>
          </w:p>
        </w:tc>
      </w:tr>
      <w:tr w14:paraId="07CE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492CDEBC">
            <w:pPr>
              <w:pStyle w:val="17"/>
              <w:bidi w:val="0"/>
              <w:jc w:val="center"/>
              <w:rPr>
                <w:rFonts w:hint="eastAsia"/>
                <w:color w:val="auto"/>
                <w:highlight w:val="none"/>
                <w:lang w:val="en-US" w:eastAsia="en-US"/>
              </w:rPr>
            </w:pPr>
          </w:p>
        </w:tc>
        <w:tc>
          <w:tcPr>
            <w:tcW w:w="1299" w:type="pct"/>
            <w:gridSpan w:val="4"/>
            <w:shd w:val="clear" w:color="auto" w:fill="auto"/>
            <w:vAlign w:val="center"/>
          </w:tcPr>
          <w:p w14:paraId="66A9F43D">
            <w:pPr>
              <w:pStyle w:val="17"/>
              <w:bidi w:val="0"/>
              <w:jc w:val="center"/>
              <w:rPr>
                <w:rFonts w:hint="eastAsia"/>
                <w:color w:val="auto"/>
                <w:highlight w:val="none"/>
                <w:lang w:val="en-US" w:eastAsia="en-US"/>
              </w:rPr>
            </w:pPr>
            <w:r>
              <w:rPr>
                <w:rFonts w:hint="default"/>
                <w:color w:val="auto"/>
                <w:highlight w:val="none"/>
                <w:lang w:eastAsia="en-US"/>
              </w:rPr>
              <w:t>毒性：</w:t>
            </w:r>
          </w:p>
        </w:tc>
        <w:tc>
          <w:tcPr>
            <w:tcW w:w="3260" w:type="pct"/>
            <w:gridSpan w:val="4"/>
            <w:shd w:val="clear" w:color="auto" w:fill="auto"/>
            <w:vAlign w:val="center"/>
          </w:tcPr>
          <w:p w14:paraId="7166E195">
            <w:pPr>
              <w:pStyle w:val="17"/>
              <w:bidi w:val="0"/>
              <w:jc w:val="center"/>
              <w:rPr>
                <w:rFonts w:hint="eastAsia"/>
                <w:color w:val="auto"/>
                <w:highlight w:val="none"/>
              </w:rPr>
            </w:pPr>
            <w:r>
              <w:rPr>
                <w:rFonts w:hint="default"/>
                <w:color w:val="auto"/>
                <w:highlight w:val="none"/>
                <w:lang w:eastAsia="en-US"/>
              </w:rPr>
              <w:t>大鼠经口LD</w:t>
            </w:r>
            <w:r>
              <w:rPr>
                <w:rFonts w:hint="default"/>
                <w:color w:val="auto"/>
                <w:highlight w:val="none"/>
                <w:vertAlign w:val="subscript"/>
                <w:lang w:eastAsia="en-US"/>
              </w:rPr>
              <w:t>50</w:t>
            </w:r>
            <w:r>
              <w:rPr>
                <w:rFonts w:hint="eastAsia"/>
                <w:color w:val="auto"/>
                <w:highlight w:val="none"/>
                <w:lang w:eastAsia="zh-CN"/>
              </w:rPr>
              <w:t>：</w:t>
            </w:r>
            <w:r>
              <w:rPr>
                <w:rFonts w:hint="default"/>
                <w:color w:val="auto"/>
                <w:highlight w:val="none"/>
                <w:lang w:eastAsia="en-US"/>
              </w:rPr>
              <w:t>1153mg/kg；小鼠经口LD</w:t>
            </w:r>
            <w:r>
              <w:rPr>
                <w:rFonts w:hint="default"/>
                <w:color w:val="auto"/>
                <w:highlight w:val="none"/>
                <w:vertAlign w:val="subscript"/>
                <w:lang w:eastAsia="en-US"/>
              </w:rPr>
              <w:t>50</w:t>
            </w:r>
            <w:r>
              <w:rPr>
                <w:rFonts w:hint="eastAsia"/>
                <w:color w:val="auto"/>
                <w:highlight w:val="none"/>
                <w:lang w:eastAsia="zh-CN"/>
              </w:rPr>
              <w:t>：</w:t>
            </w:r>
            <w:r>
              <w:rPr>
                <w:rFonts w:hint="default"/>
                <w:color w:val="auto"/>
                <w:highlight w:val="none"/>
                <w:lang w:eastAsia="en-US"/>
              </w:rPr>
              <w:t>770mg/kg。</w:t>
            </w:r>
          </w:p>
        </w:tc>
      </w:tr>
      <w:tr w14:paraId="2273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129AAC79">
            <w:pPr>
              <w:pStyle w:val="17"/>
              <w:bidi w:val="0"/>
              <w:jc w:val="center"/>
              <w:rPr>
                <w:rFonts w:hint="eastAsia"/>
                <w:color w:val="auto"/>
                <w:highlight w:val="none"/>
                <w:lang w:val="en-US" w:eastAsia="en-US"/>
              </w:rPr>
            </w:pPr>
          </w:p>
        </w:tc>
        <w:tc>
          <w:tcPr>
            <w:tcW w:w="1299" w:type="pct"/>
            <w:gridSpan w:val="4"/>
            <w:shd w:val="clear" w:color="auto" w:fill="auto"/>
            <w:vAlign w:val="center"/>
          </w:tcPr>
          <w:p w14:paraId="6B2EAD64">
            <w:pPr>
              <w:pStyle w:val="17"/>
              <w:bidi w:val="0"/>
              <w:jc w:val="center"/>
              <w:rPr>
                <w:rFonts w:hint="eastAsia"/>
                <w:color w:val="auto"/>
                <w:highlight w:val="none"/>
                <w:lang w:val="en-US" w:eastAsia="en-US"/>
              </w:rPr>
            </w:pPr>
            <w:r>
              <w:rPr>
                <w:rFonts w:hint="default"/>
                <w:color w:val="auto"/>
                <w:highlight w:val="none"/>
                <w:lang w:eastAsia="en-US"/>
              </w:rPr>
              <w:t>中毒表现：</w:t>
            </w:r>
          </w:p>
        </w:tc>
        <w:tc>
          <w:tcPr>
            <w:tcW w:w="3260" w:type="pct"/>
            <w:gridSpan w:val="4"/>
            <w:shd w:val="clear" w:color="auto" w:fill="auto"/>
            <w:vAlign w:val="center"/>
          </w:tcPr>
          <w:p w14:paraId="5A29C69C">
            <w:pPr>
              <w:pStyle w:val="17"/>
              <w:bidi w:val="0"/>
              <w:jc w:val="center"/>
              <w:rPr>
                <w:rFonts w:hint="eastAsia"/>
                <w:color w:val="auto"/>
                <w:highlight w:val="none"/>
              </w:rPr>
            </w:pPr>
            <w:r>
              <w:rPr>
                <w:rFonts w:hint="default"/>
                <w:color w:val="auto"/>
                <w:highlight w:val="none"/>
                <w:lang w:eastAsia="en-US"/>
              </w:rPr>
              <w:t>对眼、皮肤、呼吸道和消化道有腐蚀性。</w:t>
            </w:r>
          </w:p>
        </w:tc>
      </w:tr>
      <w:tr w14:paraId="7627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6CC31E4C">
            <w:pPr>
              <w:pStyle w:val="17"/>
              <w:bidi w:val="0"/>
              <w:jc w:val="center"/>
              <w:rPr>
                <w:rFonts w:hint="eastAsia"/>
                <w:color w:val="auto"/>
                <w:highlight w:val="none"/>
                <w:lang w:val="en-US" w:eastAsia="en-US"/>
              </w:rPr>
            </w:pPr>
          </w:p>
        </w:tc>
        <w:tc>
          <w:tcPr>
            <w:tcW w:w="1299" w:type="pct"/>
            <w:gridSpan w:val="4"/>
            <w:shd w:val="clear" w:color="auto" w:fill="auto"/>
            <w:vAlign w:val="center"/>
          </w:tcPr>
          <w:p w14:paraId="2AFC664E">
            <w:pPr>
              <w:pStyle w:val="17"/>
              <w:bidi w:val="0"/>
              <w:jc w:val="center"/>
              <w:rPr>
                <w:rFonts w:hint="eastAsia"/>
                <w:color w:val="auto"/>
                <w:highlight w:val="none"/>
                <w:lang w:val="en-US" w:eastAsia="en-US"/>
              </w:rPr>
            </w:pPr>
            <w:r>
              <w:rPr>
                <w:rFonts w:hint="default"/>
                <w:color w:val="auto"/>
                <w:highlight w:val="none"/>
                <w:lang w:eastAsia="en-US"/>
              </w:rPr>
              <w:t>侵入途径：</w:t>
            </w:r>
          </w:p>
        </w:tc>
        <w:tc>
          <w:tcPr>
            <w:tcW w:w="3260" w:type="pct"/>
            <w:gridSpan w:val="4"/>
            <w:shd w:val="clear" w:color="auto" w:fill="auto"/>
            <w:vAlign w:val="center"/>
          </w:tcPr>
          <w:p w14:paraId="1B9A6CB1">
            <w:pPr>
              <w:pStyle w:val="17"/>
              <w:bidi w:val="0"/>
              <w:jc w:val="center"/>
              <w:rPr>
                <w:rFonts w:hint="eastAsia"/>
                <w:color w:val="auto"/>
                <w:highlight w:val="none"/>
              </w:rPr>
            </w:pPr>
            <w:r>
              <w:rPr>
                <w:rFonts w:hint="default"/>
                <w:color w:val="auto"/>
                <w:highlight w:val="none"/>
                <w:lang w:eastAsia="en-US"/>
              </w:rPr>
              <w:t>吸入、食入。</w:t>
            </w:r>
          </w:p>
        </w:tc>
      </w:tr>
      <w:tr w14:paraId="6E38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41524BB3">
            <w:pPr>
              <w:pStyle w:val="17"/>
              <w:bidi w:val="0"/>
              <w:jc w:val="center"/>
              <w:rPr>
                <w:rFonts w:hint="eastAsia"/>
                <w:color w:val="auto"/>
                <w:highlight w:val="none"/>
                <w:lang w:val="en-US" w:eastAsia="en-US"/>
              </w:rPr>
            </w:pPr>
          </w:p>
        </w:tc>
        <w:tc>
          <w:tcPr>
            <w:tcW w:w="1299" w:type="pct"/>
            <w:gridSpan w:val="4"/>
            <w:shd w:val="clear" w:color="auto" w:fill="auto"/>
            <w:vAlign w:val="center"/>
          </w:tcPr>
          <w:p w14:paraId="67D31EBF">
            <w:pPr>
              <w:pStyle w:val="17"/>
              <w:bidi w:val="0"/>
              <w:jc w:val="center"/>
              <w:rPr>
                <w:rFonts w:hint="eastAsia"/>
                <w:color w:val="auto"/>
                <w:highlight w:val="none"/>
                <w:lang w:val="en-US" w:eastAsia="en-US"/>
              </w:rPr>
            </w:pPr>
            <w:r>
              <w:rPr>
                <w:rFonts w:hint="default"/>
                <w:color w:val="auto"/>
                <w:highlight w:val="none"/>
                <w:lang w:eastAsia="en-US"/>
              </w:rPr>
              <w:t>职业接触限值：</w:t>
            </w:r>
          </w:p>
        </w:tc>
        <w:tc>
          <w:tcPr>
            <w:tcW w:w="3260" w:type="pct"/>
            <w:gridSpan w:val="4"/>
            <w:shd w:val="clear" w:color="auto" w:fill="auto"/>
            <w:vAlign w:val="center"/>
          </w:tcPr>
          <w:p w14:paraId="21959BB0">
            <w:pPr>
              <w:pStyle w:val="17"/>
              <w:bidi w:val="0"/>
              <w:jc w:val="center"/>
              <w:rPr>
                <w:rFonts w:hint="eastAsia"/>
                <w:color w:val="auto"/>
                <w:highlight w:val="none"/>
              </w:rPr>
            </w:pPr>
            <w:r>
              <w:rPr>
                <w:rFonts w:hint="default"/>
                <w:color w:val="auto"/>
                <w:highlight w:val="none"/>
                <w:lang w:eastAsia="en-US"/>
              </w:rPr>
              <w:t>/</w:t>
            </w:r>
          </w:p>
        </w:tc>
      </w:tr>
      <w:tr w14:paraId="5C4B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77A8F96D">
            <w:pPr>
              <w:pStyle w:val="17"/>
              <w:bidi w:val="0"/>
              <w:jc w:val="center"/>
              <w:rPr>
                <w:rFonts w:hint="eastAsia"/>
                <w:color w:val="auto"/>
                <w:highlight w:val="none"/>
                <w:lang w:val="en-US" w:eastAsia="en-US"/>
              </w:rPr>
            </w:pPr>
          </w:p>
        </w:tc>
        <w:tc>
          <w:tcPr>
            <w:tcW w:w="1299" w:type="pct"/>
            <w:gridSpan w:val="4"/>
            <w:shd w:val="clear" w:color="auto" w:fill="auto"/>
            <w:vAlign w:val="center"/>
          </w:tcPr>
          <w:p w14:paraId="6B378A10">
            <w:pPr>
              <w:pStyle w:val="17"/>
              <w:bidi w:val="0"/>
              <w:jc w:val="center"/>
              <w:rPr>
                <w:rFonts w:hint="eastAsia"/>
                <w:color w:val="auto"/>
                <w:highlight w:val="none"/>
                <w:lang w:val="en-US" w:eastAsia="en-US"/>
              </w:rPr>
            </w:pPr>
            <w:r>
              <w:rPr>
                <w:rFonts w:hint="default"/>
                <w:color w:val="auto"/>
                <w:highlight w:val="none"/>
                <w:lang w:eastAsia="en-US"/>
              </w:rPr>
              <w:t>环境危害：</w:t>
            </w:r>
          </w:p>
        </w:tc>
        <w:tc>
          <w:tcPr>
            <w:tcW w:w="3260" w:type="pct"/>
            <w:gridSpan w:val="4"/>
            <w:shd w:val="clear" w:color="auto" w:fill="auto"/>
            <w:vAlign w:val="center"/>
          </w:tcPr>
          <w:p w14:paraId="22F942F9">
            <w:pPr>
              <w:pStyle w:val="17"/>
              <w:bidi w:val="0"/>
              <w:jc w:val="center"/>
              <w:rPr>
                <w:rFonts w:hint="eastAsia"/>
                <w:color w:val="auto"/>
                <w:highlight w:val="none"/>
              </w:rPr>
            </w:pPr>
            <w:r>
              <w:rPr>
                <w:rFonts w:hint="default"/>
                <w:color w:val="auto"/>
                <w:highlight w:val="none"/>
                <w:lang w:eastAsia="en-US"/>
              </w:rPr>
              <w:t>/</w:t>
            </w:r>
          </w:p>
        </w:tc>
      </w:tr>
      <w:tr w14:paraId="6B1C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restart"/>
            <w:shd w:val="clear" w:color="auto" w:fill="auto"/>
            <w:vAlign w:val="center"/>
          </w:tcPr>
          <w:p w14:paraId="47228363">
            <w:pPr>
              <w:pStyle w:val="17"/>
              <w:bidi w:val="0"/>
              <w:jc w:val="center"/>
              <w:rPr>
                <w:rFonts w:hint="eastAsia"/>
                <w:color w:val="auto"/>
                <w:highlight w:val="none"/>
                <w:lang w:val="en-US" w:eastAsia="en-US"/>
              </w:rPr>
            </w:pPr>
            <w:r>
              <w:rPr>
                <w:rFonts w:hint="default"/>
                <w:color w:val="auto"/>
                <w:highlight w:val="none"/>
                <w:lang w:eastAsia="en-US"/>
              </w:rPr>
              <w:t>理化特性与用途</w:t>
            </w:r>
          </w:p>
        </w:tc>
        <w:tc>
          <w:tcPr>
            <w:tcW w:w="339" w:type="pct"/>
            <w:gridSpan w:val="2"/>
            <w:vMerge w:val="restart"/>
            <w:shd w:val="clear" w:color="auto" w:fill="auto"/>
            <w:vAlign w:val="center"/>
          </w:tcPr>
          <w:p w14:paraId="633235B8">
            <w:pPr>
              <w:pStyle w:val="17"/>
              <w:bidi w:val="0"/>
              <w:jc w:val="center"/>
              <w:rPr>
                <w:rFonts w:hint="eastAsia"/>
                <w:color w:val="auto"/>
                <w:highlight w:val="none"/>
                <w:lang w:eastAsia="en-US"/>
              </w:rPr>
            </w:pPr>
            <w:r>
              <w:rPr>
                <w:rFonts w:hint="default"/>
                <w:color w:val="auto"/>
                <w:highlight w:val="none"/>
                <w:lang w:eastAsia="en-US"/>
              </w:rPr>
              <w:t>理</w:t>
            </w:r>
          </w:p>
          <w:p w14:paraId="283A0A4D">
            <w:pPr>
              <w:pStyle w:val="17"/>
              <w:bidi w:val="0"/>
              <w:jc w:val="center"/>
              <w:rPr>
                <w:rFonts w:hint="eastAsia"/>
                <w:color w:val="auto"/>
                <w:highlight w:val="none"/>
                <w:lang w:eastAsia="en-US"/>
              </w:rPr>
            </w:pPr>
            <w:r>
              <w:rPr>
                <w:rFonts w:hint="default"/>
                <w:color w:val="auto"/>
                <w:highlight w:val="none"/>
                <w:lang w:eastAsia="en-US"/>
              </w:rPr>
              <w:t>化</w:t>
            </w:r>
          </w:p>
          <w:p w14:paraId="7255799C">
            <w:pPr>
              <w:pStyle w:val="17"/>
              <w:bidi w:val="0"/>
              <w:jc w:val="center"/>
              <w:rPr>
                <w:rFonts w:hint="eastAsia"/>
                <w:color w:val="auto"/>
                <w:highlight w:val="none"/>
                <w:lang w:eastAsia="en-US"/>
              </w:rPr>
            </w:pPr>
            <w:r>
              <w:rPr>
                <w:rFonts w:hint="default"/>
                <w:color w:val="auto"/>
                <w:highlight w:val="none"/>
                <w:lang w:eastAsia="en-US"/>
              </w:rPr>
              <w:t>特</w:t>
            </w:r>
          </w:p>
          <w:p w14:paraId="0033E4E8">
            <w:pPr>
              <w:pStyle w:val="17"/>
              <w:bidi w:val="0"/>
              <w:jc w:val="center"/>
              <w:rPr>
                <w:rFonts w:hint="eastAsia"/>
                <w:color w:val="auto"/>
                <w:highlight w:val="none"/>
                <w:lang w:val="en-US" w:eastAsia="en-US"/>
              </w:rPr>
            </w:pPr>
            <w:r>
              <w:rPr>
                <w:rFonts w:hint="default"/>
                <w:color w:val="auto"/>
                <w:highlight w:val="none"/>
                <w:lang w:eastAsia="en-US"/>
              </w:rPr>
              <w:t>性</w:t>
            </w:r>
          </w:p>
        </w:tc>
        <w:tc>
          <w:tcPr>
            <w:tcW w:w="960" w:type="pct"/>
            <w:gridSpan w:val="2"/>
            <w:shd w:val="clear" w:color="auto" w:fill="auto"/>
            <w:vAlign w:val="center"/>
          </w:tcPr>
          <w:p w14:paraId="6D8163FE">
            <w:pPr>
              <w:pStyle w:val="17"/>
              <w:bidi w:val="0"/>
              <w:jc w:val="center"/>
              <w:rPr>
                <w:rFonts w:hint="eastAsia"/>
                <w:color w:val="auto"/>
                <w:highlight w:val="none"/>
                <w:lang w:val="en-US" w:eastAsia="en-US"/>
              </w:rPr>
            </w:pPr>
            <w:r>
              <w:rPr>
                <w:rFonts w:hint="default"/>
                <w:color w:val="auto"/>
                <w:highlight w:val="none"/>
                <w:lang w:eastAsia="en-US"/>
              </w:rPr>
              <w:t>性状：</w:t>
            </w:r>
          </w:p>
        </w:tc>
        <w:tc>
          <w:tcPr>
            <w:tcW w:w="3260" w:type="pct"/>
            <w:gridSpan w:val="4"/>
            <w:shd w:val="clear" w:color="auto" w:fill="auto"/>
            <w:vAlign w:val="center"/>
          </w:tcPr>
          <w:p w14:paraId="5568DE54">
            <w:pPr>
              <w:pStyle w:val="17"/>
              <w:bidi w:val="0"/>
              <w:jc w:val="center"/>
              <w:rPr>
                <w:rFonts w:hint="eastAsia"/>
                <w:color w:val="auto"/>
                <w:highlight w:val="none"/>
              </w:rPr>
            </w:pPr>
            <w:r>
              <w:rPr>
                <w:rFonts w:hint="default"/>
                <w:color w:val="auto"/>
                <w:highlight w:val="none"/>
                <w:lang w:eastAsia="en-US"/>
              </w:rPr>
              <w:t>无色至白色吸湿性固体。溶于水，不溶于乙醇、酸类。</w:t>
            </w:r>
          </w:p>
        </w:tc>
      </w:tr>
      <w:tr w14:paraId="436E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40B3DD9E">
            <w:pPr>
              <w:pStyle w:val="17"/>
              <w:bidi w:val="0"/>
              <w:jc w:val="center"/>
              <w:rPr>
                <w:rFonts w:hint="eastAsia"/>
                <w:color w:val="auto"/>
                <w:highlight w:val="none"/>
                <w:lang w:val="en-US" w:eastAsia="en-US"/>
              </w:rPr>
            </w:pPr>
          </w:p>
        </w:tc>
        <w:tc>
          <w:tcPr>
            <w:tcW w:w="339" w:type="pct"/>
            <w:gridSpan w:val="2"/>
            <w:vMerge w:val="continue"/>
            <w:shd w:val="clear" w:color="auto" w:fill="auto"/>
            <w:vAlign w:val="center"/>
          </w:tcPr>
          <w:p w14:paraId="57F6D367">
            <w:pPr>
              <w:pStyle w:val="17"/>
              <w:bidi w:val="0"/>
              <w:jc w:val="center"/>
              <w:rPr>
                <w:rFonts w:hint="eastAsia"/>
                <w:color w:val="auto"/>
                <w:highlight w:val="none"/>
                <w:lang w:val="en-US" w:eastAsia="en-US"/>
              </w:rPr>
            </w:pPr>
          </w:p>
        </w:tc>
        <w:tc>
          <w:tcPr>
            <w:tcW w:w="960" w:type="pct"/>
            <w:gridSpan w:val="2"/>
            <w:shd w:val="clear" w:color="auto" w:fill="auto"/>
            <w:vAlign w:val="center"/>
          </w:tcPr>
          <w:p w14:paraId="11F483A8">
            <w:pPr>
              <w:pStyle w:val="17"/>
              <w:bidi w:val="0"/>
              <w:jc w:val="center"/>
              <w:rPr>
                <w:rFonts w:hint="eastAsia"/>
                <w:color w:val="auto"/>
                <w:highlight w:val="none"/>
                <w:lang w:val="en-US" w:eastAsia="en-US"/>
              </w:rPr>
            </w:pPr>
            <w:r>
              <w:rPr>
                <w:rFonts w:hint="default"/>
                <w:color w:val="auto"/>
                <w:highlight w:val="none"/>
                <w:lang w:eastAsia="en-US"/>
              </w:rPr>
              <w:t>熔点（℃）：</w:t>
            </w:r>
          </w:p>
        </w:tc>
        <w:tc>
          <w:tcPr>
            <w:tcW w:w="1003" w:type="pct"/>
            <w:shd w:val="clear" w:color="auto" w:fill="auto"/>
            <w:vAlign w:val="center"/>
          </w:tcPr>
          <w:p w14:paraId="44EE6D5C">
            <w:pPr>
              <w:pStyle w:val="17"/>
              <w:bidi w:val="0"/>
              <w:jc w:val="center"/>
              <w:rPr>
                <w:rFonts w:hint="eastAsia"/>
                <w:color w:val="auto"/>
                <w:highlight w:val="none"/>
                <w:lang w:val="en-US" w:eastAsia="en-US"/>
              </w:rPr>
            </w:pPr>
            <w:r>
              <w:rPr>
                <w:rFonts w:hint="default"/>
                <w:color w:val="auto"/>
                <w:highlight w:val="none"/>
                <w:lang w:eastAsia="en-US"/>
              </w:rPr>
              <w:t>108</w:t>
            </w:r>
            <w:r>
              <w:rPr>
                <w:rFonts w:hint="eastAsia"/>
                <w:color w:val="auto"/>
                <w:highlight w:val="none"/>
                <w:lang w:val="en-US" w:eastAsia="zh-CN"/>
              </w:rPr>
              <w:t>8</w:t>
            </w:r>
            <w:r>
              <w:rPr>
                <w:rFonts w:hint="default"/>
                <w:color w:val="auto"/>
                <w:highlight w:val="none"/>
                <w:lang w:eastAsia="en-US"/>
              </w:rPr>
              <w:t>℃</w:t>
            </w:r>
          </w:p>
        </w:tc>
        <w:tc>
          <w:tcPr>
            <w:tcW w:w="1332" w:type="pct"/>
            <w:gridSpan w:val="2"/>
            <w:shd w:val="clear" w:color="auto" w:fill="auto"/>
            <w:vAlign w:val="center"/>
          </w:tcPr>
          <w:p w14:paraId="34E05E9D">
            <w:pPr>
              <w:pStyle w:val="17"/>
              <w:bidi w:val="0"/>
              <w:jc w:val="center"/>
              <w:rPr>
                <w:rFonts w:hint="eastAsia"/>
                <w:color w:val="auto"/>
                <w:highlight w:val="none"/>
                <w:lang w:val="en-US" w:eastAsia="en-US"/>
              </w:rPr>
            </w:pPr>
            <w:r>
              <w:rPr>
                <w:rFonts w:hint="default"/>
                <w:color w:val="auto"/>
                <w:highlight w:val="none"/>
                <w:lang w:eastAsia="en-US"/>
              </w:rPr>
              <w:t>沸点（℃）：</w:t>
            </w:r>
          </w:p>
        </w:tc>
        <w:tc>
          <w:tcPr>
            <w:tcW w:w="924" w:type="pct"/>
            <w:shd w:val="clear" w:color="auto" w:fill="auto"/>
            <w:vAlign w:val="center"/>
          </w:tcPr>
          <w:p w14:paraId="7E1E1CC1">
            <w:pPr>
              <w:pStyle w:val="17"/>
              <w:bidi w:val="0"/>
              <w:jc w:val="center"/>
              <w:rPr>
                <w:rFonts w:hint="eastAsia"/>
                <w:color w:val="auto"/>
                <w:highlight w:val="none"/>
              </w:rPr>
            </w:pPr>
            <w:r>
              <w:rPr>
                <w:rFonts w:hint="default"/>
                <w:color w:val="auto"/>
                <w:highlight w:val="none"/>
                <w:lang w:eastAsia="en-US"/>
              </w:rPr>
              <w:t>/</w:t>
            </w:r>
          </w:p>
        </w:tc>
      </w:tr>
      <w:tr w14:paraId="6628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0FB8AD29">
            <w:pPr>
              <w:pStyle w:val="17"/>
              <w:bidi w:val="0"/>
              <w:jc w:val="center"/>
              <w:rPr>
                <w:rFonts w:hint="eastAsia"/>
                <w:color w:val="auto"/>
                <w:highlight w:val="none"/>
                <w:lang w:val="en-US" w:eastAsia="en-US"/>
              </w:rPr>
            </w:pPr>
          </w:p>
        </w:tc>
        <w:tc>
          <w:tcPr>
            <w:tcW w:w="339" w:type="pct"/>
            <w:gridSpan w:val="2"/>
            <w:vMerge w:val="continue"/>
            <w:shd w:val="clear" w:color="auto" w:fill="auto"/>
            <w:vAlign w:val="center"/>
          </w:tcPr>
          <w:p w14:paraId="4B472E64">
            <w:pPr>
              <w:pStyle w:val="17"/>
              <w:bidi w:val="0"/>
              <w:jc w:val="center"/>
              <w:rPr>
                <w:rFonts w:hint="eastAsia"/>
                <w:color w:val="auto"/>
                <w:highlight w:val="none"/>
                <w:lang w:val="en-US" w:eastAsia="en-US"/>
              </w:rPr>
            </w:pPr>
          </w:p>
        </w:tc>
        <w:tc>
          <w:tcPr>
            <w:tcW w:w="960" w:type="pct"/>
            <w:gridSpan w:val="2"/>
            <w:shd w:val="clear" w:color="auto" w:fill="auto"/>
            <w:vAlign w:val="center"/>
          </w:tcPr>
          <w:p w14:paraId="6CEC0FBC">
            <w:pPr>
              <w:pStyle w:val="17"/>
              <w:bidi w:val="0"/>
              <w:jc w:val="center"/>
              <w:rPr>
                <w:rFonts w:hint="eastAsia"/>
                <w:color w:val="auto"/>
                <w:highlight w:val="none"/>
                <w:lang w:val="en-US" w:eastAsia="en-US"/>
              </w:rPr>
            </w:pPr>
            <w:r>
              <w:rPr>
                <w:rFonts w:hint="default"/>
                <w:color w:val="auto"/>
                <w:highlight w:val="none"/>
                <w:lang w:eastAsia="en-US"/>
              </w:rPr>
              <w:t>临界温度（℃）：</w:t>
            </w:r>
          </w:p>
        </w:tc>
        <w:tc>
          <w:tcPr>
            <w:tcW w:w="1003" w:type="pct"/>
            <w:shd w:val="clear" w:color="auto" w:fill="auto"/>
            <w:vAlign w:val="center"/>
          </w:tcPr>
          <w:p w14:paraId="21CC5460">
            <w:pPr>
              <w:pStyle w:val="17"/>
              <w:bidi w:val="0"/>
              <w:jc w:val="center"/>
              <w:rPr>
                <w:rFonts w:hint="eastAsia"/>
                <w:color w:val="auto"/>
                <w:highlight w:val="none"/>
                <w:lang w:val="en-US" w:eastAsia="en-US"/>
              </w:rPr>
            </w:pPr>
            <w:r>
              <w:rPr>
                <w:rFonts w:hint="default"/>
                <w:color w:val="auto"/>
                <w:highlight w:val="none"/>
                <w:lang w:eastAsia="en-US"/>
              </w:rPr>
              <w:t>/</w:t>
            </w:r>
          </w:p>
        </w:tc>
        <w:tc>
          <w:tcPr>
            <w:tcW w:w="1332" w:type="pct"/>
            <w:gridSpan w:val="2"/>
            <w:shd w:val="clear" w:color="auto" w:fill="auto"/>
            <w:vAlign w:val="center"/>
          </w:tcPr>
          <w:p w14:paraId="17952B49">
            <w:pPr>
              <w:pStyle w:val="17"/>
              <w:bidi w:val="0"/>
              <w:jc w:val="center"/>
              <w:rPr>
                <w:rFonts w:hint="eastAsia"/>
                <w:color w:val="auto"/>
                <w:highlight w:val="none"/>
                <w:lang w:val="en-US" w:eastAsia="en-US"/>
              </w:rPr>
            </w:pPr>
            <w:r>
              <w:rPr>
                <w:rFonts w:hint="default"/>
                <w:color w:val="auto"/>
                <w:highlight w:val="none"/>
                <w:lang w:eastAsia="en-US"/>
              </w:rPr>
              <w:t>相对水密度（水=1）：</w:t>
            </w:r>
          </w:p>
        </w:tc>
        <w:tc>
          <w:tcPr>
            <w:tcW w:w="924" w:type="pct"/>
            <w:shd w:val="clear" w:color="auto" w:fill="auto"/>
            <w:vAlign w:val="center"/>
          </w:tcPr>
          <w:p w14:paraId="24B6304B">
            <w:pPr>
              <w:pStyle w:val="17"/>
              <w:bidi w:val="0"/>
              <w:jc w:val="center"/>
              <w:rPr>
                <w:rFonts w:hint="default" w:eastAsia="宋体"/>
                <w:color w:val="auto"/>
                <w:highlight w:val="none"/>
                <w:lang w:val="en-US" w:eastAsia="zh-CN"/>
              </w:rPr>
            </w:pPr>
            <w:r>
              <w:rPr>
                <w:rFonts w:hint="eastAsia"/>
                <w:color w:val="auto"/>
                <w:highlight w:val="none"/>
                <w:lang w:val="en-US" w:eastAsia="zh-CN"/>
              </w:rPr>
              <w:t>2.4</w:t>
            </w:r>
          </w:p>
        </w:tc>
      </w:tr>
      <w:tr w14:paraId="4A23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5E06EA41">
            <w:pPr>
              <w:pStyle w:val="17"/>
              <w:bidi w:val="0"/>
              <w:jc w:val="center"/>
              <w:rPr>
                <w:rFonts w:hint="eastAsia"/>
                <w:color w:val="auto"/>
                <w:highlight w:val="none"/>
                <w:lang w:val="en-US" w:eastAsia="en-US"/>
              </w:rPr>
            </w:pPr>
          </w:p>
        </w:tc>
        <w:tc>
          <w:tcPr>
            <w:tcW w:w="339" w:type="pct"/>
            <w:gridSpan w:val="2"/>
            <w:vMerge w:val="continue"/>
            <w:shd w:val="clear" w:color="auto" w:fill="auto"/>
            <w:vAlign w:val="center"/>
          </w:tcPr>
          <w:p w14:paraId="4C4843BE">
            <w:pPr>
              <w:pStyle w:val="17"/>
              <w:bidi w:val="0"/>
              <w:jc w:val="center"/>
              <w:rPr>
                <w:rFonts w:hint="eastAsia"/>
                <w:color w:val="auto"/>
                <w:highlight w:val="none"/>
                <w:lang w:val="en-US" w:eastAsia="en-US"/>
              </w:rPr>
            </w:pPr>
          </w:p>
        </w:tc>
        <w:tc>
          <w:tcPr>
            <w:tcW w:w="960" w:type="pct"/>
            <w:gridSpan w:val="2"/>
            <w:shd w:val="clear" w:color="auto" w:fill="auto"/>
            <w:vAlign w:val="center"/>
          </w:tcPr>
          <w:p w14:paraId="449B5F32">
            <w:pPr>
              <w:pStyle w:val="17"/>
              <w:bidi w:val="0"/>
              <w:jc w:val="center"/>
              <w:rPr>
                <w:rFonts w:hint="eastAsia"/>
                <w:color w:val="auto"/>
                <w:highlight w:val="none"/>
                <w:lang w:val="en-US" w:eastAsia="en-US"/>
              </w:rPr>
            </w:pPr>
            <w:r>
              <w:rPr>
                <w:rFonts w:hint="default"/>
                <w:color w:val="auto"/>
                <w:highlight w:val="none"/>
                <w:lang w:eastAsia="en-US"/>
              </w:rPr>
              <w:t>燃烧热kJ/mol：</w:t>
            </w:r>
          </w:p>
        </w:tc>
        <w:tc>
          <w:tcPr>
            <w:tcW w:w="1003" w:type="pct"/>
            <w:shd w:val="clear" w:color="auto" w:fill="auto"/>
            <w:vAlign w:val="center"/>
          </w:tcPr>
          <w:p w14:paraId="10C6A989">
            <w:pPr>
              <w:pStyle w:val="17"/>
              <w:bidi w:val="0"/>
              <w:jc w:val="center"/>
              <w:rPr>
                <w:rFonts w:hint="eastAsia" w:eastAsia="宋体"/>
                <w:color w:val="auto"/>
                <w:highlight w:val="none"/>
                <w:lang w:val="en-US" w:eastAsia="zh-CN"/>
              </w:rPr>
            </w:pPr>
            <w:r>
              <w:rPr>
                <w:rFonts w:hint="eastAsia"/>
                <w:color w:val="auto"/>
                <w:highlight w:val="none"/>
                <w:lang w:val="en-US" w:eastAsia="zh-CN"/>
              </w:rPr>
              <w:t>无意义</w:t>
            </w:r>
          </w:p>
        </w:tc>
        <w:tc>
          <w:tcPr>
            <w:tcW w:w="1332" w:type="pct"/>
            <w:gridSpan w:val="2"/>
            <w:shd w:val="clear" w:color="auto" w:fill="auto"/>
            <w:vAlign w:val="center"/>
          </w:tcPr>
          <w:p w14:paraId="67618972">
            <w:pPr>
              <w:pStyle w:val="17"/>
              <w:bidi w:val="0"/>
              <w:jc w:val="center"/>
              <w:rPr>
                <w:rFonts w:hint="eastAsia"/>
                <w:color w:val="auto"/>
                <w:highlight w:val="none"/>
                <w:lang w:val="en-US" w:eastAsia="en-US"/>
              </w:rPr>
            </w:pPr>
            <w:r>
              <w:rPr>
                <w:rFonts w:hint="default"/>
                <w:color w:val="auto"/>
                <w:highlight w:val="none"/>
                <w:lang w:eastAsia="en-US"/>
              </w:rPr>
              <w:t>相对空气密度（空气=1）：</w:t>
            </w:r>
          </w:p>
        </w:tc>
        <w:tc>
          <w:tcPr>
            <w:tcW w:w="924" w:type="pct"/>
            <w:shd w:val="clear" w:color="auto" w:fill="auto"/>
            <w:vAlign w:val="center"/>
          </w:tcPr>
          <w:p w14:paraId="3AFF8D42">
            <w:pPr>
              <w:pStyle w:val="17"/>
              <w:bidi w:val="0"/>
              <w:jc w:val="center"/>
              <w:rPr>
                <w:rFonts w:hint="eastAsia"/>
                <w:color w:val="auto"/>
                <w:highlight w:val="none"/>
              </w:rPr>
            </w:pPr>
            <w:r>
              <w:rPr>
                <w:rFonts w:hint="default"/>
                <w:color w:val="auto"/>
                <w:highlight w:val="none"/>
                <w:lang w:eastAsia="en-US"/>
              </w:rPr>
              <w:t>/</w:t>
            </w:r>
          </w:p>
        </w:tc>
      </w:tr>
      <w:tr w14:paraId="752C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5976B5D2">
            <w:pPr>
              <w:pStyle w:val="17"/>
              <w:bidi w:val="0"/>
              <w:jc w:val="center"/>
              <w:rPr>
                <w:rFonts w:hint="eastAsia"/>
                <w:color w:val="auto"/>
                <w:highlight w:val="none"/>
                <w:lang w:val="en-US" w:eastAsia="en-US"/>
              </w:rPr>
            </w:pPr>
          </w:p>
        </w:tc>
        <w:tc>
          <w:tcPr>
            <w:tcW w:w="339" w:type="pct"/>
            <w:gridSpan w:val="2"/>
            <w:vMerge w:val="continue"/>
            <w:shd w:val="clear" w:color="auto" w:fill="auto"/>
            <w:vAlign w:val="center"/>
          </w:tcPr>
          <w:p w14:paraId="72FB3A66">
            <w:pPr>
              <w:pStyle w:val="17"/>
              <w:bidi w:val="0"/>
              <w:jc w:val="center"/>
              <w:rPr>
                <w:rFonts w:hint="eastAsia"/>
                <w:color w:val="auto"/>
                <w:highlight w:val="none"/>
                <w:lang w:val="en-US" w:eastAsia="en-US"/>
              </w:rPr>
            </w:pPr>
          </w:p>
        </w:tc>
        <w:tc>
          <w:tcPr>
            <w:tcW w:w="960" w:type="pct"/>
            <w:gridSpan w:val="2"/>
            <w:shd w:val="clear" w:color="auto" w:fill="auto"/>
            <w:vAlign w:val="center"/>
          </w:tcPr>
          <w:p w14:paraId="4B8F517A">
            <w:pPr>
              <w:pStyle w:val="17"/>
              <w:bidi w:val="0"/>
              <w:jc w:val="center"/>
              <w:rPr>
                <w:rFonts w:hint="eastAsia"/>
                <w:color w:val="auto"/>
                <w:highlight w:val="none"/>
                <w:lang w:val="en-US" w:eastAsia="en-US"/>
              </w:rPr>
            </w:pPr>
            <w:r>
              <w:rPr>
                <w:rFonts w:hint="default"/>
                <w:color w:val="auto"/>
                <w:highlight w:val="none"/>
                <w:lang w:eastAsia="en-US"/>
              </w:rPr>
              <w:t>临界压力（MPa）：</w:t>
            </w:r>
          </w:p>
        </w:tc>
        <w:tc>
          <w:tcPr>
            <w:tcW w:w="1003" w:type="pct"/>
            <w:shd w:val="clear" w:color="auto" w:fill="auto"/>
            <w:vAlign w:val="center"/>
          </w:tcPr>
          <w:p w14:paraId="4B50F254">
            <w:pPr>
              <w:pStyle w:val="17"/>
              <w:bidi w:val="0"/>
              <w:jc w:val="center"/>
              <w:rPr>
                <w:rFonts w:hint="eastAsia"/>
                <w:color w:val="auto"/>
                <w:highlight w:val="none"/>
                <w:lang w:val="en-US" w:eastAsia="en-US"/>
              </w:rPr>
            </w:pPr>
            <w:r>
              <w:rPr>
                <w:rFonts w:hint="default"/>
                <w:color w:val="auto"/>
                <w:highlight w:val="none"/>
                <w:lang w:eastAsia="en-US"/>
              </w:rPr>
              <w:t>/</w:t>
            </w:r>
          </w:p>
        </w:tc>
        <w:tc>
          <w:tcPr>
            <w:tcW w:w="1332" w:type="pct"/>
            <w:gridSpan w:val="2"/>
            <w:shd w:val="clear" w:color="auto" w:fill="auto"/>
            <w:vAlign w:val="center"/>
          </w:tcPr>
          <w:p w14:paraId="2AD97FA3">
            <w:pPr>
              <w:pStyle w:val="17"/>
              <w:bidi w:val="0"/>
              <w:jc w:val="center"/>
              <w:rPr>
                <w:rFonts w:hint="eastAsia"/>
                <w:color w:val="auto"/>
                <w:highlight w:val="none"/>
                <w:lang w:val="en-US" w:eastAsia="en-US"/>
              </w:rPr>
            </w:pPr>
            <w:r>
              <w:rPr>
                <w:rFonts w:hint="default"/>
                <w:color w:val="auto"/>
                <w:highlight w:val="none"/>
                <w:lang w:eastAsia="en-US"/>
              </w:rPr>
              <w:t>折射率：</w:t>
            </w:r>
          </w:p>
        </w:tc>
        <w:tc>
          <w:tcPr>
            <w:tcW w:w="924" w:type="pct"/>
            <w:shd w:val="clear" w:color="auto" w:fill="auto"/>
            <w:vAlign w:val="center"/>
          </w:tcPr>
          <w:p w14:paraId="06551B36">
            <w:pPr>
              <w:pStyle w:val="17"/>
              <w:bidi w:val="0"/>
              <w:jc w:val="center"/>
              <w:rPr>
                <w:rFonts w:hint="eastAsia"/>
                <w:color w:val="auto"/>
                <w:highlight w:val="none"/>
              </w:rPr>
            </w:pPr>
            <w:r>
              <w:rPr>
                <w:rFonts w:hint="default"/>
                <w:color w:val="auto"/>
                <w:highlight w:val="none"/>
                <w:lang w:eastAsia="en-US"/>
              </w:rPr>
              <w:t>/</w:t>
            </w:r>
          </w:p>
        </w:tc>
      </w:tr>
      <w:tr w14:paraId="7EFE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6411BF65">
            <w:pPr>
              <w:pStyle w:val="17"/>
              <w:bidi w:val="0"/>
              <w:jc w:val="center"/>
              <w:rPr>
                <w:rFonts w:hint="eastAsia"/>
                <w:color w:val="auto"/>
                <w:highlight w:val="none"/>
                <w:lang w:val="en-US" w:eastAsia="en-US"/>
              </w:rPr>
            </w:pPr>
          </w:p>
        </w:tc>
        <w:tc>
          <w:tcPr>
            <w:tcW w:w="339" w:type="pct"/>
            <w:gridSpan w:val="2"/>
            <w:vMerge w:val="continue"/>
            <w:shd w:val="clear" w:color="auto" w:fill="auto"/>
            <w:vAlign w:val="center"/>
          </w:tcPr>
          <w:p w14:paraId="0C0C2F1C">
            <w:pPr>
              <w:pStyle w:val="17"/>
              <w:bidi w:val="0"/>
              <w:jc w:val="center"/>
              <w:rPr>
                <w:rFonts w:hint="eastAsia"/>
                <w:color w:val="auto"/>
                <w:highlight w:val="none"/>
                <w:lang w:val="en-US" w:eastAsia="en-US"/>
              </w:rPr>
            </w:pPr>
          </w:p>
        </w:tc>
        <w:tc>
          <w:tcPr>
            <w:tcW w:w="960" w:type="pct"/>
            <w:gridSpan w:val="2"/>
            <w:shd w:val="clear" w:color="auto" w:fill="auto"/>
            <w:vAlign w:val="center"/>
          </w:tcPr>
          <w:p w14:paraId="3BD20B5E">
            <w:pPr>
              <w:pStyle w:val="17"/>
              <w:bidi w:val="0"/>
              <w:jc w:val="center"/>
              <w:rPr>
                <w:rFonts w:hint="eastAsia"/>
                <w:color w:val="auto"/>
                <w:highlight w:val="none"/>
                <w:lang w:val="en-US" w:eastAsia="en-US"/>
              </w:rPr>
            </w:pPr>
            <w:r>
              <w:rPr>
                <w:rFonts w:hint="default"/>
                <w:color w:val="auto"/>
                <w:highlight w:val="none"/>
                <w:lang w:eastAsia="en-US"/>
              </w:rPr>
              <w:t>闪点（℃）：</w:t>
            </w:r>
          </w:p>
        </w:tc>
        <w:tc>
          <w:tcPr>
            <w:tcW w:w="1003" w:type="pct"/>
            <w:shd w:val="clear" w:color="auto" w:fill="auto"/>
            <w:vAlign w:val="center"/>
          </w:tcPr>
          <w:p w14:paraId="1D2CBE67">
            <w:pPr>
              <w:pStyle w:val="17"/>
              <w:bidi w:val="0"/>
              <w:jc w:val="center"/>
              <w:rPr>
                <w:rFonts w:hint="eastAsia"/>
                <w:color w:val="auto"/>
                <w:highlight w:val="none"/>
                <w:lang w:val="en-US" w:eastAsia="en-US"/>
              </w:rPr>
            </w:pPr>
            <w:r>
              <w:rPr>
                <w:rFonts w:hint="default"/>
                <w:color w:val="auto"/>
                <w:highlight w:val="none"/>
                <w:lang w:eastAsia="en-US"/>
              </w:rPr>
              <w:t>/</w:t>
            </w:r>
          </w:p>
        </w:tc>
        <w:tc>
          <w:tcPr>
            <w:tcW w:w="1332" w:type="pct"/>
            <w:gridSpan w:val="2"/>
            <w:shd w:val="clear" w:color="auto" w:fill="auto"/>
            <w:vAlign w:val="center"/>
          </w:tcPr>
          <w:p w14:paraId="6BFAC6A1">
            <w:pPr>
              <w:pStyle w:val="17"/>
              <w:bidi w:val="0"/>
              <w:jc w:val="center"/>
              <w:rPr>
                <w:rFonts w:hint="eastAsia"/>
                <w:color w:val="auto"/>
                <w:highlight w:val="none"/>
                <w:lang w:val="en-US" w:eastAsia="en-US"/>
              </w:rPr>
            </w:pPr>
            <w:r>
              <w:rPr>
                <w:rFonts w:hint="default"/>
                <w:color w:val="auto"/>
                <w:highlight w:val="none"/>
                <w:lang w:eastAsia="en-US"/>
              </w:rPr>
              <w:t>饱和蒸汽压（kPa）：</w:t>
            </w:r>
          </w:p>
        </w:tc>
        <w:tc>
          <w:tcPr>
            <w:tcW w:w="924" w:type="pct"/>
            <w:shd w:val="clear" w:color="auto" w:fill="auto"/>
            <w:vAlign w:val="center"/>
          </w:tcPr>
          <w:p w14:paraId="39449B8C">
            <w:pPr>
              <w:pStyle w:val="17"/>
              <w:bidi w:val="0"/>
              <w:jc w:val="center"/>
              <w:rPr>
                <w:rFonts w:hint="eastAsia"/>
                <w:color w:val="auto"/>
                <w:highlight w:val="none"/>
              </w:rPr>
            </w:pPr>
            <w:r>
              <w:rPr>
                <w:rFonts w:hint="default"/>
                <w:color w:val="auto"/>
                <w:highlight w:val="none"/>
                <w:lang w:eastAsia="en-US"/>
              </w:rPr>
              <w:t>/</w:t>
            </w:r>
          </w:p>
        </w:tc>
      </w:tr>
      <w:tr w14:paraId="33CB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786A705A">
            <w:pPr>
              <w:pStyle w:val="17"/>
              <w:bidi w:val="0"/>
              <w:jc w:val="center"/>
              <w:rPr>
                <w:rFonts w:hint="eastAsia"/>
                <w:color w:val="auto"/>
                <w:highlight w:val="none"/>
                <w:lang w:val="en-US" w:eastAsia="en-US"/>
              </w:rPr>
            </w:pPr>
          </w:p>
        </w:tc>
        <w:tc>
          <w:tcPr>
            <w:tcW w:w="339" w:type="pct"/>
            <w:gridSpan w:val="2"/>
            <w:vMerge w:val="continue"/>
            <w:shd w:val="clear" w:color="auto" w:fill="auto"/>
            <w:vAlign w:val="center"/>
          </w:tcPr>
          <w:p w14:paraId="5339BDD6">
            <w:pPr>
              <w:pStyle w:val="17"/>
              <w:bidi w:val="0"/>
              <w:jc w:val="center"/>
              <w:rPr>
                <w:rFonts w:hint="eastAsia"/>
                <w:color w:val="auto"/>
                <w:highlight w:val="none"/>
                <w:lang w:val="en-US" w:eastAsia="en-US"/>
              </w:rPr>
            </w:pPr>
          </w:p>
        </w:tc>
        <w:tc>
          <w:tcPr>
            <w:tcW w:w="960" w:type="pct"/>
            <w:gridSpan w:val="2"/>
            <w:shd w:val="clear" w:color="auto" w:fill="auto"/>
            <w:vAlign w:val="center"/>
          </w:tcPr>
          <w:p w14:paraId="6CCA6656">
            <w:pPr>
              <w:pStyle w:val="17"/>
              <w:bidi w:val="0"/>
              <w:jc w:val="center"/>
              <w:rPr>
                <w:rFonts w:hint="eastAsia"/>
                <w:color w:val="auto"/>
                <w:highlight w:val="none"/>
                <w:lang w:val="en-US" w:eastAsia="en-US"/>
              </w:rPr>
            </w:pPr>
            <w:r>
              <w:rPr>
                <w:rFonts w:hint="default"/>
                <w:color w:val="auto"/>
                <w:highlight w:val="none"/>
                <w:lang w:eastAsia="en-US"/>
              </w:rPr>
              <w:t>爆炸下限（%）：</w:t>
            </w:r>
          </w:p>
        </w:tc>
        <w:tc>
          <w:tcPr>
            <w:tcW w:w="1003" w:type="pct"/>
            <w:shd w:val="clear" w:color="auto" w:fill="auto"/>
            <w:vAlign w:val="center"/>
          </w:tcPr>
          <w:p w14:paraId="712BE2CD">
            <w:pPr>
              <w:pStyle w:val="17"/>
              <w:bidi w:val="0"/>
              <w:jc w:val="center"/>
              <w:rPr>
                <w:rFonts w:hint="eastAsia"/>
                <w:color w:val="auto"/>
                <w:highlight w:val="none"/>
                <w:lang w:val="en-US" w:eastAsia="en-US"/>
              </w:rPr>
            </w:pPr>
            <w:r>
              <w:rPr>
                <w:rFonts w:hint="default"/>
                <w:color w:val="auto"/>
                <w:highlight w:val="none"/>
                <w:lang w:eastAsia="en-US"/>
              </w:rPr>
              <w:t>/</w:t>
            </w:r>
          </w:p>
        </w:tc>
        <w:tc>
          <w:tcPr>
            <w:tcW w:w="1332" w:type="pct"/>
            <w:gridSpan w:val="2"/>
            <w:shd w:val="clear" w:color="auto" w:fill="auto"/>
            <w:vAlign w:val="center"/>
          </w:tcPr>
          <w:p w14:paraId="65756F86">
            <w:pPr>
              <w:pStyle w:val="17"/>
              <w:bidi w:val="0"/>
              <w:jc w:val="center"/>
              <w:rPr>
                <w:rFonts w:hint="eastAsia"/>
                <w:color w:val="auto"/>
                <w:highlight w:val="none"/>
                <w:lang w:val="en-US" w:eastAsia="en-US"/>
              </w:rPr>
            </w:pPr>
            <w:r>
              <w:rPr>
                <w:rFonts w:hint="default"/>
                <w:color w:val="auto"/>
                <w:highlight w:val="none"/>
                <w:lang w:eastAsia="en-US"/>
              </w:rPr>
              <w:t>爆炸上限（%）：</w:t>
            </w:r>
          </w:p>
        </w:tc>
        <w:tc>
          <w:tcPr>
            <w:tcW w:w="924" w:type="pct"/>
            <w:shd w:val="clear" w:color="auto" w:fill="auto"/>
            <w:vAlign w:val="center"/>
          </w:tcPr>
          <w:p w14:paraId="72F1F464">
            <w:pPr>
              <w:pStyle w:val="17"/>
              <w:bidi w:val="0"/>
              <w:jc w:val="center"/>
              <w:rPr>
                <w:rFonts w:hint="eastAsia"/>
                <w:color w:val="auto"/>
                <w:highlight w:val="none"/>
              </w:rPr>
            </w:pPr>
            <w:r>
              <w:rPr>
                <w:rFonts w:hint="default"/>
                <w:color w:val="auto"/>
                <w:highlight w:val="none"/>
                <w:lang w:eastAsia="en-US"/>
              </w:rPr>
              <w:t>/</w:t>
            </w:r>
          </w:p>
        </w:tc>
      </w:tr>
      <w:tr w14:paraId="780A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6A5800A1">
            <w:pPr>
              <w:pStyle w:val="17"/>
              <w:bidi w:val="0"/>
              <w:jc w:val="center"/>
              <w:rPr>
                <w:rFonts w:hint="eastAsia"/>
                <w:color w:val="auto"/>
                <w:highlight w:val="none"/>
                <w:lang w:val="en-US" w:eastAsia="en-US"/>
              </w:rPr>
            </w:pPr>
          </w:p>
        </w:tc>
        <w:tc>
          <w:tcPr>
            <w:tcW w:w="339" w:type="pct"/>
            <w:gridSpan w:val="2"/>
            <w:vMerge w:val="continue"/>
            <w:shd w:val="clear" w:color="auto" w:fill="auto"/>
            <w:vAlign w:val="center"/>
          </w:tcPr>
          <w:p w14:paraId="39A68573">
            <w:pPr>
              <w:pStyle w:val="17"/>
              <w:bidi w:val="0"/>
              <w:jc w:val="center"/>
              <w:rPr>
                <w:rFonts w:hint="eastAsia"/>
                <w:color w:val="auto"/>
                <w:highlight w:val="none"/>
                <w:lang w:val="en-US" w:eastAsia="en-US"/>
              </w:rPr>
            </w:pPr>
          </w:p>
        </w:tc>
        <w:tc>
          <w:tcPr>
            <w:tcW w:w="960" w:type="pct"/>
            <w:gridSpan w:val="2"/>
            <w:shd w:val="clear" w:color="auto" w:fill="auto"/>
            <w:vAlign w:val="center"/>
          </w:tcPr>
          <w:p w14:paraId="5BDB1108">
            <w:pPr>
              <w:pStyle w:val="17"/>
              <w:bidi w:val="0"/>
              <w:jc w:val="center"/>
              <w:rPr>
                <w:rFonts w:hint="eastAsia"/>
                <w:color w:val="auto"/>
                <w:highlight w:val="none"/>
                <w:lang w:val="en-US" w:eastAsia="en-US"/>
              </w:rPr>
            </w:pPr>
            <w:r>
              <w:rPr>
                <w:rFonts w:hint="default"/>
                <w:color w:val="auto"/>
                <w:highlight w:val="none"/>
                <w:lang w:eastAsia="en-US"/>
              </w:rPr>
              <w:t>引燃温度（℃）：</w:t>
            </w:r>
          </w:p>
        </w:tc>
        <w:tc>
          <w:tcPr>
            <w:tcW w:w="1003" w:type="pct"/>
            <w:shd w:val="clear" w:color="auto" w:fill="auto"/>
            <w:vAlign w:val="center"/>
          </w:tcPr>
          <w:p w14:paraId="22588736">
            <w:pPr>
              <w:pStyle w:val="17"/>
              <w:bidi w:val="0"/>
              <w:jc w:val="center"/>
              <w:rPr>
                <w:rFonts w:hint="eastAsia"/>
                <w:color w:val="auto"/>
                <w:highlight w:val="none"/>
                <w:lang w:val="en-US" w:eastAsia="en-US"/>
              </w:rPr>
            </w:pPr>
            <w:r>
              <w:rPr>
                <w:rFonts w:hint="default"/>
                <w:color w:val="auto"/>
                <w:highlight w:val="none"/>
                <w:lang w:eastAsia="en-US"/>
              </w:rPr>
              <w:t>/</w:t>
            </w:r>
          </w:p>
        </w:tc>
        <w:tc>
          <w:tcPr>
            <w:tcW w:w="1332" w:type="pct"/>
            <w:gridSpan w:val="2"/>
            <w:shd w:val="clear" w:color="auto" w:fill="auto"/>
            <w:vAlign w:val="center"/>
          </w:tcPr>
          <w:p w14:paraId="6C575FF5">
            <w:pPr>
              <w:pStyle w:val="17"/>
              <w:bidi w:val="0"/>
              <w:jc w:val="center"/>
              <w:rPr>
                <w:rFonts w:hint="eastAsia"/>
                <w:color w:val="auto"/>
                <w:highlight w:val="none"/>
                <w:lang w:val="en-US" w:eastAsia="en-US"/>
              </w:rPr>
            </w:pPr>
            <w:r>
              <w:rPr>
                <w:rFonts w:hint="default"/>
                <w:color w:val="auto"/>
                <w:highlight w:val="none"/>
                <w:lang w:eastAsia="en-US"/>
              </w:rPr>
              <w:t>辛醇/水分配系数：</w:t>
            </w:r>
          </w:p>
        </w:tc>
        <w:tc>
          <w:tcPr>
            <w:tcW w:w="924" w:type="pct"/>
            <w:shd w:val="clear" w:color="auto" w:fill="auto"/>
            <w:vAlign w:val="center"/>
          </w:tcPr>
          <w:p w14:paraId="3CD46471">
            <w:pPr>
              <w:pStyle w:val="17"/>
              <w:bidi w:val="0"/>
              <w:jc w:val="center"/>
              <w:rPr>
                <w:rFonts w:hint="eastAsia"/>
                <w:color w:val="auto"/>
                <w:highlight w:val="none"/>
              </w:rPr>
            </w:pPr>
            <w:r>
              <w:rPr>
                <w:rFonts w:hint="default"/>
                <w:color w:val="auto"/>
                <w:highlight w:val="none"/>
                <w:lang w:eastAsia="en-US"/>
              </w:rPr>
              <w:t>/</w:t>
            </w:r>
          </w:p>
        </w:tc>
      </w:tr>
      <w:tr w14:paraId="5B60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6862CEA3">
            <w:pPr>
              <w:pStyle w:val="17"/>
              <w:bidi w:val="0"/>
              <w:jc w:val="center"/>
              <w:rPr>
                <w:rFonts w:hint="eastAsia"/>
                <w:color w:val="auto"/>
                <w:highlight w:val="none"/>
                <w:lang w:val="en-US" w:eastAsia="en-US"/>
              </w:rPr>
            </w:pPr>
          </w:p>
        </w:tc>
        <w:tc>
          <w:tcPr>
            <w:tcW w:w="339" w:type="pct"/>
            <w:gridSpan w:val="2"/>
            <w:vMerge w:val="continue"/>
            <w:shd w:val="clear" w:color="auto" w:fill="auto"/>
            <w:vAlign w:val="center"/>
          </w:tcPr>
          <w:p w14:paraId="448396B5">
            <w:pPr>
              <w:pStyle w:val="17"/>
              <w:bidi w:val="0"/>
              <w:jc w:val="center"/>
              <w:rPr>
                <w:rFonts w:hint="eastAsia"/>
                <w:color w:val="auto"/>
                <w:highlight w:val="none"/>
                <w:lang w:val="en-US" w:eastAsia="en-US"/>
              </w:rPr>
            </w:pPr>
          </w:p>
        </w:tc>
        <w:tc>
          <w:tcPr>
            <w:tcW w:w="960" w:type="pct"/>
            <w:gridSpan w:val="2"/>
            <w:shd w:val="clear" w:color="auto" w:fill="auto"/>
            <w:vAlign w:val="center"/>
          </w:tcPr>
          <w:p w14:paraId="5EB6BAD4">
            <w:pPr>
              <w:pStyle w:val="17"/>
              <w:bidi w:val="0"/>
              <w:jc w:val="center"/>
              <w:rPr>
                <w:rFonts w:hint="eastAsia"/>
                <w:color w:val="auto"/>
                <w:highlight w:val="none"/>
                <w:lang w:val="en-US" w:eastAsia="en-US"/>
              </w:rPr>
            </w:pPr>
            <w:r>
              <w:rPr>
                <w:rFonts w:hint="default"/>
                <w:color w:val="auto"/>
                <w:highlight w:val="none"/>
                <w:lang w:eastAsia="en-US"/>
              </w:rPr>
              <w:t>pH值</w:t>
            </w:r>
          </w:p>
        </w:tc>
        <w:tc>
          <w:tcPr>
            <w:tcW w:w="1003" w:type="pct"/>
            <w:shd w:val="clear" w:color="auto" w:fill="auto"/>
            <w:vAlign w:val="center"/>
          </w:tcPr>
          <w:p w14:paraId="5F89320E">
            <w:pPr>
              <w:pStyle w:val="17"/>
              <w:bidi w:val="0"/>
              <w:jc w:val="center"/>
              <w:rPr>
                <w:rFonts w:hint="eastAsia"/>
                <w:color w:val="auto"/>
                <w:highlight w:val="none"/>
                <w:lang w:val="en-US" w:eastAsia="en-US"/>
              </w:rPr>
            </w:pPr>
            <w:r>
              <w:rPr>
                <w:rFonts w:hint="default"/>
                <w:color w:val="auto"/>
                <w:highlight w:val="none"/>
                <w:lang w:eastAsia="en-US"/>
              </w:rPr>
              <w:t>12.5</w:t>
            </w:r>
            <w:r>
              <w:rPr>
                <w:rFonts w:hint="eastAsia"/>
                <w:color w:val="auto"/>
                <w:highlight w:val="none"/>
                <w:lang w:eastAsia="zh-CN"/>
              </w:rPr>
              <w:t>（</w:t>
            </w:r>
            <w:r>
              <w:rPr>
                <w:rFonts w:hint="default"/>
                <w:color w:val="auto"/>
                <w:highlight w:val="none"/>
                <w:lang w:eastAsia="en-US"/>
              </w:rPr>
              <w:t>0.5%溶液）</w:t>
            </w:r>
          </w:p>
        </w:tc>
        <w:tc>
          <w:tcPr>
            <w:tcW w:w="1332" w:type="pct"/>
            <w:gridSpan w:val="2"/>
            <w:shd w:val="clear" w:color="auto" w:fill="auto"/>
            <w:vAlign w:val="center"/>
          </w:tcPr>
          <w:p w14:paraId="77A0B090">
            <w:pPr>
              <w:pStyle w:val="17"/>
              <w:bidi w:val="0"/>
              <w:jc w:val="center"/>
              <w:rPr>
                <w:rFonts w:hint="eastAsia"/>
                <w:color w:val="auto"/>
                <w:highlight w:val="none"/>
                <w:lang w:val="en-US" w:eastAsia="en-US"/>
              </w:rPr>
            </w:pPr>
            <w:r>
              <w:rPr>
                <w:rFonts w:hint="default"/>
                <w:color w:val="auto"/>
                <w:highlight w:val="none"/>
                <w:lang w:eastAsia="en-US"/>
              </w:rPr>
              <w:t>最小爆炸压力（MPa）：</w:t>
            </w:r>
          </w:p>
        </w:tc>
        <w:tc>
          <w:tcPr>
            <w:tcW w:w="924" w:type="pct"/>
            <w:shd w:val="clear" w:color="auto" w:fill="auto"/>
            <w:vAlign w:val="center"/>
          </w:tcPr>
          <w:p w14:paraId="6B1CC554">
            <w:pPr>
              <w:pStyle w:val="17"/>
              <w:bidi w:val="0"/>
              <w:jc w:val="center"/>
              <w:rPr>
                <w:rFonts w:hint="eastAsia"/>
                <w:color w:val="auto"/>
                <w:highlight w:val="none"/>
              </w:rPr>
            </w:pPr>
            <w:r>
              <w:rPr>
                <w:rFonts w:hint="default"/>
                <w:color w:val="auto"/>
                <w:highlight w:val="none"/>
                <w:lang w:eastAsia="en-US"/>
              </w:rPr>
              <w:t>/</w:t>
            </w:r>
          </w:p>
        </w:tc>
      </w:tr>
      <w:tr w14:paraId="2E3A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shd w:val="clear" w:color="auto" w:fill="auto"/>
            <w:vAlign w:val="center"/>
          </w:tcPr>
          <w:p w14:paraId="45320BC4">
            <w:pPr>
              <w:pStyle w:val="17"/>
              <w:bidi w:val="0"/>
              <w:jc w:val="center"/>
              <w:rPr>
                <w:rFonts w:hint="eastAsia"/>
                <w:color w:val="auto"/>
                <w:highlight w:val="none"/>
                <w:lang w:val="en-US" w:eastAsia="en-US"/>
              </w:rPr>
            </w:pPr>
          </w:p>
        </w:tc>
        <w:tc>
          <w:tcPr>
            <w:tcW w:w="1299" w:type="pct"/>
            <w:gridSpan w:val="4"/>
            <w:shd w:val="clear" w:color="auto" w:fill="auto"/>
            <w:vAlign w:val="center"/>
          </w:tcPr>
          <w:p w14:paraId="3E24A6A9">
            <w:pPr>
              <w:pStyle w:val="17"/>
              <w:bidi w:val="0"/>
              <w:jc w:val="center"/>
              <w:rPr>
                <w:rFonts w:hint="eastAsia"/>
                <w:color w:val="auto"/>
                <w:highlight w:val="none"/>
                <w:lang w:val="en-US" w:eastAsia="en-US"/>
              </w:rPr>
            </w:pPr>
            <w:r>
              <w:rPr>
                <w:rFonts w:hint="default"/>
                <w:color w:val="auto"/>
                <w:highlight w:val="none"/>
                <w:lang w:eastAsia="en-US"/>
              </w:rPr>
              <w:t>主要用途：</w:t>
            </w:r>
          </w:p>
        </w:tc>
        <w:tc>
          <w:tcPr>
            <w:tcW w:w="3260" w:type="pct"/>
            <w:gridSpan w:val="4"/>
            <w:shd w:val="clear" w:color="auto" w:fill="auto"/>
            <w:vAlign w:val="center"/>
          </w:tcPr>
          <w:p w14:paraId="50745013">
            <w:pPr>
              <w:pStyle w:val="17"/>
              <w:bidi w:val="0"/>
              <w:jc w:val="center"/>
              <w:rPr>
                <w:rFonts w:hint="eastAsia"/>
                <w:color w:val="auto"/>
                <w:highlight w:val="none"/>
              </w:rPr>
            </w:pPr>
            <w:r>
              <w:rPr>
                <w:rFonts w:hint="default"/>
                <w:color w:val="auto"/>
                <w:highlight w:val="none"/>
                <w:lang w:eastAsia="en-US"/>
              </w:rPr>
              <w:t>在洗涤剂、陶瓷、电镀、纺织、印染、造纸、水泥、混凝土、耐火材料、油脂和皮革加工等工业领域有着大量的应用。</w:t>
            </w:r>
          </w:p>
        </w:tc>
      </w:tr>
      <w:tr w14:paraId="22B2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restart"/>
            <w:vAlign w:val="center"/>
          </w:tcPr>
          <w:p w14:paraId="65C10000">
            <w:pPr>
              <w:pStyle w:val="17"/>
              <w:bidi w:val="0"/>
              <w:jc w:val="center"/>
              <w:rPr>
                <w:rFonts w:hint="eastAsia"/>
                <w:color w:val="auto"/>
                <w:highlight w:val="none"/>
                <w:lang w:val="en-US" w:eastAsia="en-US"/>
              </w:rPr>
            </w:pPr>
            <w:r>
              <w:rPr>
                <w:rFonts w:hint="default"/>
                <w:color w:val="auto"/>
                <w:highlight w:val="none"/>
                <w:lang w:eastAsia="en-US"/>
              </w:rPr>
              <w:t>包装与储存</w:t>
            </w:r>
          </w:p>
        </w:tc>
        <w:tc>
          <w:tcPr>
            <w:tcW w:w="964" w:type="pct"/>
            <w:gridSpan w:val="3"/>
            <w:shd w:val="clear" w:color="auto" w:fill="auto"/>
            <w:vAlign w:val="center"/>
          </w:tcPr>
          <w:p w14:paraId="033D9AFE">
            <w:pPr>
              <w:pStyle w:val="17"/>
              <w:bidi w:val="0"/>
              <w:jc w:val="center"/>
              <w:rPr>
                <w:rFonts w:hint="eastAsia"/>
                <w:color w:val="auto"/>
                <w:highlight w:val="none"/>
                <w:lang w:val="en-US" w:eastAsia="en-US"/>
              </w:rPr>
            </w:pPr>
            <w:r>
              <w:rPr>
                <w:rFonts w:hint="default"/>
                <w:color w:val="auto"/>
                <w:highlight w:val="none"/>
                <w:lang w:eastAsia="en-US"/>
              </w:rPr>
              <w:t>包装标志：</w:t>
            </w:r>
          </w:p>
        </w:tc>
        <w:tc>
          <w:tcPr>
            <w:tcW w:w="335" w:type="pct"/>
            <w:shd w:val="clear" w:color="auto" w:fill="auto"/>
            <w:vAlign w:val="center"/>
          </w:tcPr>
          <w:p w14:paraId="5FA26A09">
            <w:pPr>
              <w:pStyle w:val="17"/>
              <w:bidi w:val="0"/>
              <w:jc w:val="center"/>
              <w:rPr>
                <w:rFonts w:hint="eastAsia"/>
                <w:color w:val="auto"/>
                <w:highlight w:val="none"/>
                <w:lang w:val="en-US" w:eastAsia="en-US"/>
              </w:rPr>
            </w:pPr>
            <w:r>
              <w:rPr>
                <w:rFonts w:hint="default"/>
                <w:color w:val="auto"/>
                <w:highlight w:val="none"/>
                <w:lang w:eastAsia="en-US"/>
              </w:rPr>
              <w:t>腐蚀品</w:t>
            </w:r>
          </w:p>
        </w:tc>
        <w:tc>
          <w:tcPr>
            <w:tcW w:w="2335" w:type="pct"/>
            <w:gridSpan w:val="3"/>
            <w:shd w:val="clear" w:color="auto" w:fill="auto"/>
            <w:vAlign w:val="center"/>
          </w:tcPr>
          <w:p w14:paraId="0BA477F0">
            <w:pPr>
              <w:pStyle w:val="17"/>
              <w:bidi w:val="0"/>
              <w:jc w:val="center"/>
              <w:rPr>
                <w:rFonts w:hint="eastAsia"/>
                <w:color w:val="auto"/>
                <w:highlight w:val="none"/>
                <w:lang w:val="en-US" w:eastAsia="en-US"/>
              </w:rPr>
            </w:pPr>
            <w:r>
              <w:rPr>
                <w:rFonts w:hint="default"/>
                <w:color w:val="auto"/>
                <w:highlight w:val="none"/>
                <w:lang w:eastAsia="en-US"/>
              </w:rPr>
              <w:t>包装类别：</w:t>
            </w:r>
          </w:p>
        </w:tc>
        <w:tc>
          <w:tcPr>
            <w:tcW w:w="924" w:type="pct"/>
            <w:shd w:val="clear" w:color="auto" w:fill="auto"/>
            <w:vAlign w:val="center"/>
          </w:tcPr>
          <w:p w14:paraId="42018871">
            <w:pPr>
              <w:pStyle w:val="17"/>
              <w:bidi w:val="0"/>
              <w:jc w:val="center"/>
              <w:rPr>
                <w:rFonts w:hint="eastAsia"/>
                <w:color w:val="auto"/>
                <w:highlight w:val="none"/>
                <w:lang w:val="en-US" w:eastAsia="en-US"/>
              </w:rPr>
            </w:pPr>
            <w:r>
              <w:rPr>
                <w:rFonts w:hint="default"/>
                <w:color w:val="auto"/>
                <w:highlight w:val="none"/>
                <w:lang w:eastAsia="en-US"/>
              </w:rPr>
              <w:t>Ⅱ类</w:t>
            </w:r>
          </w:p>
        </w:tc>
      </w:tr>
      <w:tr w14:paraId="6D6E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vAlign w:val="center"/>
          </w:tcPr>
          <w:p w14:paraId="56E22A35">
            <w:pPr>
              <w:pStyle w:val="17"/>
              <w:bidi w:val="0"/>
              <w:jc w:val="center"/>
              <w:rPr>
                <w:rFonts w:hint="eastAsia"/>
                <w:color w:val="auto"/>
                <w:highlight w:val="none"/>
                <w:lang w:val="en-US" w:eastAsia="en-US"/>
              </w:rPr>
            </w:pPr>
          </w:p>
        </w:tc>
        <w:tc>
          <w:tcPr>
            <w:tcW w:w="964" w:type="pct"/>
            <w:gridSpan w:val="3"/>
            <w:shd w:val="clear" w:color="auto" w:fill="auto"/>
            <w:vAlign w:val="center"/>
          </w:tcPr>
          <w:p w14:paraId="1DE8542C">
            <w:pPr>
              <w:pStyle w:val="17"/>
              <w:bidi w:val="0"/>
              <w:jc w:val="center"/>
              <w:rPr>
                <w:rFonts w:hint="eastAsia"/>
                <w:color w:val="auto"/>
                <w:highlight w:val="none"/>
                <w:lang w:val="en-US" w:eastAsia="en-US"/>
              </w:rPr>
            </w:pPr>
            <w:r>
              <w:rPr>
                <w:rFonts w:hint="default"/>
                <w:color w:val="auto"/>
                <w:highlight w:val="none"/>
                <w:lang w:eastAsia="en-US"/>
              </w:rPr>
              <w:t>安全储运：</w:t>
            </w:r>
          </w:p>
        </w:tc>
        <w:tc>
          <w:tcPr>
            <w:tcW w:w="3595" w:type="pct"/>
            <w:gridSpan w:val="5"/>
            <w:shd w:val="clear" w:color="auto" w:fill="auto"/>
            <w:vAlign w:val="center"/>
          </w:tcPr>
          <w:p w14:paraId="16BC8D3C">
            <w:pPr>
              <w:pStyle w:val="17"/>
              <w:bidi w:val="0"/>
              <w:jc w:val="center"/>
              <w:rPr>
                <w:rFonts w:hint="eastAsia"/>
                <w:color w:val="auto"/>
                <w:highlight w:val="none"/>
                <w:lang w:val="en-US" w:eastAsia="en-US"/>
              </w:rPr>
            </w:pPr>
            <w:r>
              <w:rPr>
                <w:rFonts w:hint="default"/>
                <w:color w:val="auto"/>
                <w:highlight w:val="none"/>
                <w:lang w:eastAsia="en-US"/>
              </w:rPr>
              <w:t>储存于阴凉、通风的库房。远离火种、热源。库温不超过30℃。相对湿度不超过80%。包装要求密封，不可与空气接触。储区应备有泄漏应急处理设备和合适的收容材料。</w:t>
            </w:r>
          </w:p>
        </w:tc>
      </w:tr>
      <w:tr w14:paraId="56CB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restart"/>
            <w:vAlign w:val="center"/>
          </w:tcPr>
          <w:p w14:paraId="3068775F">
            <w:pPr>
              <w:pStyle w:val="17"/>
              <w:bidi w:val="0"/>
              <w:jc w:val="center"/>
              <w:rPr>
                <w:rFonts w:hint="eastAsia"/>
                <w:color w:val="auto"/>
                <w:highlight w:val="none"/>
                <w:lang w:val="en-US" w:eastAsia="en-US"/>
              </w:rPr>
            </w:pPr>
            <w:r>
              <w:rPr>
                <w:rFonts w:hint="default"/>
                <w:color w:val="auto"/>
                <w:highlight w:val="none"/>
                <w:lang w:eastAsia="en-US"/>
              </w:rPr>
              <w:t>紧急处置信息</w:t>
            </w:r>
          </w:p>
        </w:tc>
        <w:tc>
          <w:tcPr>
            <w:tcW w:w="250" w:type="pct"/>
            <w:vMerge w:val="restart"/>
            <w:shd w:val="clear" w:color="auto" w:fill="auto"/>
            <w:vAlign w:val="center"/>
          </w:tcPr>
          <w:p w14:paraId="0A90A432">
            <w:pPr>
              <w:pStyle w:val="17"/>
              <w:bidi w:val="0"/>
              <w:jc w:val="center"/>
              <w:rPr>
                <w:rFonts w:hint="eastAsia"/>
                <w:color w:val="auto"/>
                <w:highlight w:val="none"/>
                <w:lang w:eastAsia="en-US"/>
              </w:rPr>
            </w:pPr>
            <w:r>
              <w:rPr>
                <w:rFonts w:hint="default"/>
                <w:color w:val="auto"/>
                <w:highlight w:val="none"/>
                <w:lang w:eastAsia="en-US"/>
              </w:rPr>
              <w:t>急</w:t>
            </w:r>
          </w:p>
          <w:p w14:paraId="3C351B01">
            <w:pPr>
              <w:pStyle w:val="17"/>
              <w:bidi w:val="0"/>
              <w:jc w:val="center"/>
              <w:rPr>
                <w:rFonts w:hint="eastAsia"/>
                <w:color w:val="auto"/>
                <w:highlight w:val="none"/>
                <w:lang w:eastAsia="en-US"/>
              </w:rPr>
            </w:pPr>
            <w:r>
              <w:rPr>
                <w:rFonts w:hint="default"/>
                <w:color w:val="auto"/>
                <w:highlight w:val="none"/>
                <w:lang w:eastAsia="en-US"/>
              </w:rPr>
              <w:t>救</w:t>
            </w:r>
          </w:p>
          <w:p w14:paraId="3ABCEE96">
            <w:pPr>
              <w:pStyle w:val="17"/>
              <w:bidi w:val="0"/>
              <w:jc w:val="center"/>
              <w:rPr>
                <w:rFonts w:hint="eastAsia"/>
                <w:color w:val="auto"/>
                <w:highlight w:val="none"/>
                <w:lang w:eastAsia="en-US"/>
              </w:rPr>
            </w:pPr>
            <w:r>
              <w:rPr>
                <w:rFonts w:hint="default"/>
                <w:color w:val="auto"/>
                <w:highlight w:val="none"/>
                <w:lang w:eastAsia="en-US"/>
              </w:rPr>
              <w:t>措</w:t>
            </w:r>
          </w:p>
          <w:p w14:paraId="0E2D7336">
            <w:pPr>
              <w:pStyle w:val="17"/>
              <w:bidi w:val="0"/>
              <w:jc w:val="center"/>
              <w:rPr>
                <w:rFonts w:hint="eastAsia"/>
                <w:color w:val="auto"/>
                <w:highlight w:val="none"/>
                <w:lang w:val="en-US" w:eastAsia="en-US"/>
              </w:rPr>
            </w:pPr>
            <w:r>
              <w:rPr>
                <w:rFonts w:hint="default"/>
                <w:color w:val="auto"/>
                <w:highlight w:val="none"/>
                <w:lang w:eastAsia="en-US"/>
              </w:rPr>
              <w:t>施</w:t>
            </w:r>
          </w:p>
        </w:tc>
        <w:tc>
          <w:tcPr>
            <w:tcW w:w="714" w:type="pct"/>
            <w:gridSpan w:val="2"/>
            <w:shd w:val="clear" w:color="auto" w:fill="auto"/>
            <w:vAlign w:val="center"/>
          </w:tcPr>
          <w:p w14:paraId="167C8C30">
            <w:pPr>
              <w:pStyle w:val="17"/>
              <w:bidi w:val="0"/>
              <w:jc w:val="center"/>
              <w:rPr>
                <w:rFonts w:hint="eastAsia"/>
                <w:color w:val="auto"/>
                <w:highlight w:val="none"/>
                <w:lang w:val="en-US" w:eastAsia="en-US"/>
              </w:rPr>
            </w:pPr>
            <w:r>
              <w:rPr>
                <w:rFonts w:hint="default"/>
                <w:color w:val="auto"/>
                <w:highlight w:val="none"/>
                <w:lang w:eastAsia="en-US"/>
              </w:rPr>
              <w:t>吸入：</w:t>
            </w:r>
          </w:p>
        </w:tc>
        <w:tc>
          <w:tcPr>
            <w:tcW w:w="3595" w:type="pct"/>
            <w:gridSpan w:val="5"/>
            <w:shd w:val="clear" w:color="auto" w:fill="auto"/>
            <w:vAlign w:val="center"/>
          </w:tcPr>
          <w:p w14:paraId="795516FB">
            <w:pPr>
              <w:pStyle w:val="17"/>
              <w:bidi w:val="0"/>
              <w:jc w:val="center"/>
              <w:rPr>
                <w:rFonts w:hint="eastAsia"/>
                <w:color w:val="auto"/>
                <w:highlight w:val="none"/>
                <w:lang w:val="en-US" w:eastAsia="en-US"/>
              </w:rPr>
            </w:pPr>
            <w:r>
              <w:rPr>
                <w:rFonts w:hint="default"/>
                <w:color w:val="auto"/>
                <w:highlight w:val="none"/>
                <w:lang w:eastAsia="en-US"/>
              </w:rPr>
              <w:t>迅速脱离现场至空气新鲜处。保持呼吸道通畅。如呼吸困难，给输氧。呼吸、心跳停止，立即进行心肺复苏术。就医。</w:t>
            </w:r>
          </w:p>
        </w:tc>
      </w:tr>
      <w:tr w14:paraId="287C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vAlign w:val="center"/>
          </w:tcPr>
          <w:p w14:paraId="6655DC33">
            <w:pPr>
              <w:pStyle w:val="17"/>
              <w:bidi w:val="0"/>
              <w:jc w:val="center"/>
              <w:rPr>
                <w:rFonts w:hint="eastAsia"/>
                <w:color w:val="auto"/>
                <w:highlight w:val="none"/>
                <w:lang w:val="en-US" w:eastAsia="en-US"/>
              </w:rPr>
            </w:pPr>
          </w:p>
        </w:tc>
        <w:tc>
          <w:tcPr>
            <w:tcW w:w="250" w:type="pct"/>
            <w:vMerge w:val="continue"/>
            <w:shd w:val="clear" w:color="auto" w:fill="auto"/>
            <w:vAlign w:val="center"/>
          </w:tcPr>
          <w:p w14:paraId="0268D64F">
            <w:pPr>
              <w:pStyle w:val="17"/>
              <w:bidi w:val="0"/>
              <w:jc w:val="center"/>
              <w:rPr>
                <w:rFonts w:hint="eastAsia"/>
                <w:color w:val="auto"/>
                <w:highlight w:val="none"/>
                <w:lang w:val="en-US" w:eastAsia="en-US"/>
              </w:rPr>
            </w:pPr>
          </w:p>
        </w:tc>
        <w:tc>
          <w:tcPr>
            <w:tcW w:w="714" w:type="pct"/>
            <w:gridSpan w:val="2"/>
            <w:shd w:val="clear" w:color="auto" w:fill="auto"/>
            <w:vAlign w:val="center"/>
          </w:tcPr>
          <w:p w14:paraId="1BBF22BF">
            <w:pPr>
              <w:pStyle w:val="17"/>
              <w:bidi w:val="0"/>
              <w:jc w:val="center"/>
              <w:rPr>
                <w:rFonts w:hint="eastAsia"/>
                <w:color w:val="auto"/>
                <w:highlight w:val="none"/>
                <w:lang w:val="en-US" w:eastAsia="en-US"/>
              </w:rPr>
            </w:pPr>
            <w:r>
              <w:rPr>
                <w:rFonts w:hint="default"/>
                <w:color w:val="auto"/>
                <w:highlight w:val="none"/>
                <w:lang w:eastAsia="en-US"/>
              </w:rPr>
              <w:t>眼睛接触：</w:t>
            </w:r>
          </w:p>
        </w:tc>
        <w:tc>
          <w:tcPr>
            <w:tcW w:w="3595" w:type="pct"/>
            <w:gridSpan w:val="5"/>
            <w:shd w:val="clear" w:color="auto" w:fill="auto"/>
            <w:vAlign w:val="center"/>
          </w:tcPr>
          <w:p w14:paraId="31EE4F99">
            <w:pPr>
              <w:pStyle w:val="17"/>
              <w:bidi w:val="0"/>
              <w:jc w:val="center"/>
              <w:rPr>
                <w:rFonts w:hint="eastAsia"/>
                <w:color w:val="auto"/>
                <w:highlight w:val="none"/>
                <w:lang w:val="en-US" w:eastAsia="en-US"/>
              </w:rPr>
            </w:pPr>
            <w:r>
              <w:rPr>
                <w:rFonts w:hint="default"/>
                <w:color w:val="auto"/>
                <w:highlight w:val="none"/>
                <w:lang w:eastAsia="en-US"/>
              </w:rPr>
              <w:t>立即分开眼睑，用流动清水或生理盐水彻底冲洗5～10min。就医。</w:t>
            </w:r>
          </w:p>
        </w:tc>
      </w:tr>
      <w:tr w14:paraId="0057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vAlign w:val="center"/>
          </w:tcPr>
          <w:p w14:paraId="60168BFD">
            <w:pPr>
              <w:pStyle w:val="17"/>
              <w:bidi w:val="0"/>
              <w:jc w:val="center"/>
              <w:rPr>
                <w:rFonts w:hint="eastAsia"/>
                <w:color w:val="auto"/>
                <w:highlight w:val="none"/>
                <w:lang w:val="en-US" w:eastAsia="en-US"/>
              </w:rPr>
            </w:pPr>
          </w:p>
        </w:tc>
        <w:tc>
          <w:tcPr>
            <w:tcW w:w="250" w:type="pct"/>
            <w:vMerge w:val="continue"/>
            <w:shd w:val="clear" w:color="auto" w:fill="auto"/>
            <w:vAlign w:val="center"/>
          </w:tcPr>
          <w:p w14:paraId="29E0A8A3">
            <w:pPr>
              <w:pStyle w:val="17"/>
              <w:bidi w:val="0"/>
              <w:jc w:val="center"/>
              <w:rPr>
                <w:rFonts w:hint="eastAsia"/>
                <w:color w:val="auto"/>
                <w:highlight w:val="none"/>
                <w:lang w:val="en-US" w:eastAsia="en-US"/>
              </w:rPr>
            </w:pPr>
          </w:p>
        </w:tc>
        <w:tc>
          <w:tcPr>
            <w:tcW w:w="714" w:type="pct"/>
            <w:gridSpan w:val="2"/>
            <w:shd w:val="clear" w:color="auto" w:fill="auto"/>
            <w:vAlign w:val="center"/>
          </w:tcPr>
          <w:p w14:paraId="00DBCAFC">
            <w:pPr>
              <w:pStyle w:val="17"/>
              <w:bidi w:val="0"/>
              <w:jc w:val="center"/>
              <w:rPr>
                <w:rFonts w:hint="eastAsia"/>
                <w:color w:val="auto"/>
                <w:highlight w:val="none"/>
                <w:lang w:val="en-US" w:eastAsia="en-US"/>
              </w:rPr>
            </w:pPr>
            <w:r>
              <w:rPr>
                <w:rFonts w:hint="default"/>
                <w:color w:val="auto"/>
                <w:highlight w:val="none"/>
                <w:lang w:eastAsia="en-US"/>
              </w:rPr>
              <w:t>皮肤接触：</w:t>
            </w:r>
          </w:p>
        </w:tc>
        <w:tc>
          <w:tcPr>
            <w:tcW w:w="3595" w:type="pct"/>
            <w:gridSpan w:val="5"/>
            <w:shd w:val="clear" w:color="auto" w:fill="auto"/>
            <w:vAlign w:val="center"/>
          </w:tcPr>
          <w:p w14:paraId="2A494C57">
            <w:pPr>
              <w:pStyle w:val="17"/>
              <w:bidi w:val="0"/>
              <w:jc w:val="center"/>
              <w:rPr>
                <w:rFonts w:hint="eastAsia"/>
                <w:color w:val="auto"/>
                <w:highlight w:val="none"/>
                <w:lang w:val="en-US" w:eastAsia="en-US"/>
              </w:rPr>
            </w:pPr>
            <w:r>
              <w:rPr>
                <w:rFonts w:hint="default"/>
                <w:color w:val="auto"/>
                <w:highlight w:val="none"/>
                <w:lang w:eastAsia="en-US"/>
              </w:rPr>
              <w:t>立即脱去污染的衣着，用大量流动清水彻底冲洗，冲洗时间一般要求20～30min。就医。</w:t>
            </w:r>
          </w:p>
        </w:tc>
      </w:tr>
      <w:tr w14:paraId="6607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vAlign w:val="center"/>
          </w:tcPr>
          <w:p w14:paraId="79FEEA13">
            <w:pPr>
              <w:pStyle w:val="17"/>
              <w:bidi w:val="0"/>
              <w:jc w:val="center"/>
              <w:rPr>
                <w:rFonts w:hint="eastAsia"/>
                <w:color w:val="auto"/>
                <w:highlight w:val="none"/>
                <w:lang w:val="en-US" w:eastAsia="en-US"/>
              </w:rPr>
            </w:pPr>
          </w:p>
        </w:tc>
        <w:tc>
          <w:tcPr>
            <w:tcW w:w="250" w:type="pct"/>
            <w:vMerge w:val="continue"/>
            <w:shd w:val="clear" w:color="auto" w:fill="auto"/>
            <w:vAlign w:val="center"/>
          </w:tcPr>
          <w:p w14:paraId="5B17728C">
            <w:pPr>
              <w:pStyle w:val="17"/>
              <w:bidi w:val="0"/>
              <w:jc w:val="center"/>
              <w:rPr>
                <w:rFonts w:hint="eastAsia"/>
                <w:color w:val="auto"/>
                <w:highlight w:val="none"/>
                <w:lang w:val="en-US" w:eastAsia="en-US"/>
              </w:rPr>
            </w:pPr>
          </w:p>
        </w:tc>
        <w:tc>
          <w:tcPr>
            <w:tcW w:w="714" w:type="pct"/>
            <w:gridSpan w:val="2"/>
            <w:shd w:val="clear" w:color="auto" w:fill="auto"/>
            <w:vAlign w:val="center"/>
          </w:tcPr>
          <w:p w14:paraId="549DD2EE">
            <w:pPr>
              <w:pStyle w:val="17"/>
              <w:bidi w:val="0"/>
              <w:jc w:val="center"/>
              <w:rPr>
                <w:rFonts w:hint="eastAsia"/>
                <w:color w:val="auto"/>
                <w:highlight w:val="none"/>
                <w:lang w:val="en-US" w:eastAsia="en-US"/>
              </w:rPr>
            </w:pPr>
            <w:r>
              <w:rPr>
                <w:rFonts w:hint="default"/>
                <w:color w:val="auto"/>
                <w:highlight w:val="none"/>
                <w:lang w:eastAsia="en-US"/>
              </w:rPr>
              <w:t>食入：</w:t>
            </w:r>
          </w:p>
        </w:tc>
        <w:tc>
          <w:tcPr>
            <w:tcW w:w="3595" w:type="pct"/>
            <w:gridSpan w:val="5"/>
            <w:shd w:val="clear" w:color="auto" w:fill="auto"/>
            <w:vAlign w:val="center"/>
          </w:tcPr>
          <w:p w14:paraId="13780514">
            <w:pPr>
              <w:pStyle w:val="17"/>
              <w:bidi w:val="0"/>
              <w:jc w:val="center"/>
              <w:rPr>
                <w:rFonts w:hint="eastAsia"/>
                <w:color w:val="auto"/>
                <w:highlight w:val="none"/>
                <w:lang w:val="en-US" w:eastAsia="en-US"/>
              </w:rPr>
            </w:pPr>
            <w:r>
              <w:rPr>
                <w:rFonts w:hint="default"/>
                <w:color w:val="auto"/>
                <w:highlight w:val="none"/>
                <w:lang w:eastAsia="en-US"/>
              </w:rPr>
              <w:t>用水漱口，禁止催吐。给饮牛奶或蛋清。就医。</w:t>
            </w:r>
          </w:p>
        </w:tc>
      </w:tr>
      <w:tr w14:paraId="280B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vAlign w:val="center"/>
          </w:tcPr>
          <w:p w14:paraId="331F1F28">
            <w:pPr>
              <w:pStyle w:val="17"/>
              <w:bidi w:val="0"/>
              <w:jc w:val="center"/>
              <w:rPr>
                <w:rFonts w:hint="eastAsia"/>
                <w:color w:val="auto"/>
                <w:highlight w:val="none"/>
                <w:lang w:val="en-US" w:eastAsia="en-US"/>
              </w:rPr>
            </w:pPr>
          </w:p>
        </w:tc>
        <w:tc>
          <w:tcPr>
            <w:tcW w:w="964" w:type="pct"/>
            <w:gridSpan w:val="3"/>
            <w:shd w:val="clear" w:color="auto" w:fill="auto"/>
            <w:vAlign w:val="center"/>
          </w:tcPr>
          <w:p w14:paraId="12D8DCC1">
            <w:pPr>
              <w:pStyle w:val="17"/>
              <w:bidi w:val="0"/>
              <w:jc w:val="center"/>
              <w:rPr>
                <w:rFonts w:hint="eastAsia"/>
                <w:color w:val="auto"/>
                <w:highlight w:val="none"/>
                <w:lang w:val="en-US" w:eastAsia="en-US"/>
              </w:rPr>
            </w:pPr>
            <w:r>
              <w:rPr>
                <w:rFonts w:hint="default"/>
                <w:color w:val="auto"/>
                <w:highlight w:val="none"/>
                <w:lang w:eastAsia="en-US"/>
              </w:rPr>
              <w:t>灭火方法：</w:t>
            </w:r>
          </w:p>
        </w:tc>
        <w:tc>
          <w:tcPr>
            <w:tcW w:w="3595" w:type="pct"/>
            <w:gridSpan w:val="5"/>
            <w:shd w:val="clear" w:color="auto" w:fill="auto"/>
            <w:vAlign w:val="center"/>
          </w:tcPr>
          <w:p w14:paraId="16D85393">
            <w:pPr>
              <w:pStyle w:val="17"/>
              <w:bidi w:val="0"/>
              <w:jc w:val="center"/>
              <w:rPr>
                <w:rFonts w:hint="eastAsia"/>
                <w:color w:val="auto"/>
                <w:highlight w:val="none"/>
                <w:lang w:val="en-US" w:eastAsia="en-US"/>
              </w:rPr>
            </w:pPr>
            <w:r>
              <w:rPr>
                <w:rFonts w:hint="default"/>
                <w:color w:val="auto"/>
                <w:highlight w:val="none"/>
                <w:lang w:eastAsia="en-US"/>
              </w:rPr>
              <w:t>消防人员须穿全身防火服，佩戴空气呼吸器，在上风向灭火。尽可能将容器从火场移至空旷处。喷水保持火场容器冷却，直至灭火结束。灭火剂：干粉、二氧化碳、水、泡沫。</w:t>
            </w:r>
          </w:p>
        </w:tc>
      </w:tr>
      <w:tr w14:paraId="732B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Merge w:val="continue"/>
            <w:vAlign w:val="center"/>
          </w:tcPr>
          <w:p w14:paraId="5867DD19">
            <w:pPr>
              <w:pStyle w:val="17"/>
              <w:bidi w:val="0"/>
              <w:jc w:val="center"/>
              <w:rPr>
                <w:rFonts w:hint="eastAsia"/>
                <w:color w:val="auto"/>
                <w:highlight w:val="none"/>
                <w:lang w:val="en-US" w:eastAsia="en-US"/>
              </w:rPr>
            </w:pPr>
          </w:p>
        </w:tc>
        <w:tc>
          <w:tcPr>
            <w:tcW w:w="964" w:type="pct"/>
            <w:gridSpan w:val="3"/>
            <w:shd w:val="clear" w:color="auto" w:fill="auto"/>
            <w:vAlign w:val="center"/>
          </w:tcPr>
          <w:p w14:paraId="3375C35D">
            <w:pPr>
              <w:pStyle w:val="17"/>
              <w:bidi w:val="0"/>
              <w:jc w:val="center"/>
              <w:rPr>
                <w:rFonts w:hint="eastAsia"/>
                <w:color w:val="auto"/>
                <w:highlight w:val="none"/>
                <w:lang w:val="en-US" w:eastAsia="en-US"/>
              </w:rPr>
            </w:pPr>
            <w:r>
              <w:rPr>
                <w:rFonts w:hint="default"/>
                <w:color w:val="auto"/>
                <w:highlight w:val="none"/>
                <w:lang w:eastAsia="en-US"/>
              </w:rPr>
              <w:t>泄漏应急处置：</w:t>
            </w:r>
          </w:p>
        </w:tc>
        <w:tc>
          <w:tcPr>
            <w:tcW w:w="3595" w:type="pct"/>
            <w:gridSpan w:val="5"/>
            <w:shd w:val="clear" w:color="auto" w:fill="auto"/>
            <w:vAlign w:val="center"/>
          </w:tcPr>
          <w:p w14:paraId="29A8FF2E">
            <w:pPr>
              <w:pStyle w:val="17"/>
              <w:bidi w:val="0"/>
              <w:jc w:val="center"/>
              <w:rPr>
                <w:rFonts w:hint="eastAsia"/>
                <w:color w:val="auto"/>
                <w:highlight w:val="none"/>
                <w:lang w:val="en-US" w:eastAsia="en-US"/>
              </w:rPr>
            </w:pPr>
            <w:r>
              <w:rPr>
                <w:rFonts w:hint="default"/>
                <w:color w:val="auto"/>
                <w:highlight w:val="none"/>
                <w:lang w:eastAsia="en-US"/>
              </w:rPr>
              <w:t>隔离泄漏污染区，限制出入。建议应急处理人员戴防尘口罩，穿耐腐蚀服，戴耐腐蚀手套。穿上适当的防护服前严禁接触破裂的容器和泄漏物。尽可能切断泄漏源。用塑料布覆盖泄漏物，减少飞散。勿使水进入包装容器内。用洁净的铲子收集泄漏物，置于干净、干燥、盖子较松的容器中，将容器移离泄漏区。</w:t>
            </w:r>
          </w:p>
        </w:tc>
      </w:tr>
    </w:tbl>
    <w:p w14:paraId="2626AD1B">
      <w:pPr>
        <w:pStyle w:val="19"/>
        <w:bidi w:val="0"/>
        <w:rPr>
          <w:rFonts w:hint="default"/>
          <w:color w:val="auto"/>
          <w:highlight w:val="none"/>
          <w:lang w:val="en-US" w:eastAsia="zh-CN"/>
        </w:rPr>
      </w:pPr>
      <w:r>
        <w:rPr>
          <w:rFonts w:hint="eastAsia"/>
          <w:color w:val="auto"/>
          <w:highlight w:val="none"/>
        </w:rPr>
        <w:t>表3.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9   硫酸</w:t>
      </w:r>
      <w:bookmarkEnd w:id="364"/>
      <w:r>
        <w:rPr>
          <w:rFonts w:hint="eastAsia"/>
          <w:color w:val="auto"/>
          <w:highlight w:val="none"/>
        </w:rPr>
        <w:t>理化性质特性一览表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207"/>
        <w:gridCol w:w="48"/>
        <w:gridCol w:w="1970"/>
        <w:gridCol w:w="460"/>
        <w:gridCol w:w="378"/>
        <w:gridCol w:w="2654"/>
      </w:tblGrid>
      <w:tr w14:paraId="32D1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jc w:val="center"/>
        </w:trPr>
        <w:tc>
          <w:tcPr>
            <w:tcW w:w="471" w:type="pct"/>
            <w:vMerge w:val="restart"/>
            <w:tcBorders>
              <w:tl2br w:val="nil"/>
              <w:tr2bl w:val="nil"/>
            </w:tcBorders>
            <w:noWrap w:val="0"/>
            <w:vAlign w:val="center"/>
          </w:tcPr>
          <w:p w14:paraId="290C2550">
            <w:pPr>
              <w:pStyle w:val="17"/>
              <w:bidi w:val="0"/>
              <w:rPr>
                <w:rFonts w:hint="default"/>
                <w:color w:val="auto"/>
                <w:highlight w:val="none"/>
              </w:rPr>
            </w:pPr>
            <w:r>
              <w:rPr>
                <w:rFonts w:hint="default"/>
                <w:color w:val="auto"/>
                <w:highlight w:val="none"/>
              </w:rPr>
              <w:t>标识</w:t>
            </w:r>
          </w:p>
        </w:tc>
        <w:tc>
          <w:tcPr>
            <w:tcW w:w="1323" w:type="pct"/>
            <w:gridSpan w:val="2"/>
            <w:tcBorders>
              <w:tl2br w:val="nil"/>
              <w:tr2bl w:val="nil"/>
            </w:tcBorders>
            <w:noWrap w:val="0"/>
            <w:vAlign w:val="center"/>
          </w:tcPr>
          <w:p w14:paraId="435D946E">
            <w:pPr>
              <w:pStyle w:val="17"/>
              <w:bidi w:val="0"/>
              <w:rPr>
                <w:rFonts w:hint="eastAsia"/>
                <w:color w:val="auto"/>
                <w:highlight w:val="none"/>
                <w:lang w:eastAsia="zh-CN"/>
              </w:rPr>
            </w:pPr>
            <w:r>
              <w:rPr>
                <w:rFonts w:hint="default"/>
                <w:color w:val="auto"/>
                <w:highlight w:val="none"/>
              </w:rPr>
              <w:t>中文名：</w:t>
            </w:r>
            <w:r>
              <w:rPr>
                <w:rFonts w:hint="eastAsia"/>
                <w:color w:val="auto"/>
                <w:highlight w:val="none"/>
                <w:lang w:eastAsia="zh-CN"/>
              </w:rPr>
              <w:t>硫酸</w:t>
            </w:r>
          </w:p>
        </w:tc>
        <w:tc>
          <w:tcPr>
            <w:tcW w:w="1648" w:type="pct"/>
            <w:gridSpan w:val="3"/>
            <w:tcBorders>
              <w:tl2br w:val="nil"/>
              <w:tr2bl w:val="nil"/>
            </w:tcBorders>
            <w:noWrap w:val="0"/>
            <w:vAlign w:val="center"/>
          </w:tcPr>
          <w:p w14:paraId="74FB3AF4">
            <w:pPr>
              <w:pStyle w:val="17"/>
              <w:bidi w:val="0"/>
              <w:rPr>
                <w:rFonts w:hint="default"/>
                <w:color w:val="auto"/>
                <w:highlight w:val="none"/>
                <w:lang w:val="en-US" w:eastAsia="zh-CN"/>
              </w:rPr>
            </w:pPr>
            <w:r>
              <w:rPr>
                <w:rFonts w:hint="default"/>
                <w:color w:val="auto"/>
                <w:highlight w:val="none"/>
              </w:rPr>
              <w:t>英文名：</w:t>
            </w:r>
            <w:r>
              <w:rPr>
                <w:rFonts w:hint="eastAsia"/>
                <w:color w:val="auto"/>
                <w:highlight w:val="none"/>
                <w:lang w:val="en-US" w:eastAsia="zh-CN"/>
              </w:rPr>
              <w:t>sulfuricacid</w:t>
            </w:r>
          </w:p>
        </w:tc>
        <w:tc>
          <w:tcPr>
            <w:tcW w:w="1556" w:type="pct"/>
            <w:tcBorders>
              <w:tl2br w:val="nil"/>
              <w:tr2bl w:val="nil"/>
            </w:tcBorders>
            <w:noWrap w:val="0"/>
            <w:vAlign w:val="center"/>
          </w:tcPr>
          <w:p w14:paraId="3EA3AB8B">
            <w:pPr>
              <w:pStyle w:val="17"/>
              <w:bidi w:val="0"/>
              <w:rPr>
                <w:rFonts w:hint="default"/>
                <w:color w:val="auto"/>
                <w:highlight w:val="none"/>
              </w:rPr>
            </w:pPr>
            <w:r>
              <w:rPr>
                <w:rFonts w:hint="default"/>
                <w:color w:val="auto"/>
                <w:highlight w:val="none"/>
              </w:rPr>
              <w:t>危险性类别：第8.</w:t>
            </w:r>
            <w:r>
              <w:rPr>
                <w:rFonts w:hint="eastAsia"/>
                <w:color w:val="auto"/>
                <w:highlight w:val="none"/>
                <w:lang w:val="en-US" w:eastAsia="zh-CN"/>
              </w:rPr>
              <w:t>1</w:t>
            </w:r>
            <w:r>
              <w:rPr>
                <w:rFonts w:hint="default"/>
                <w:color w:val="auto"/>
                <w:highlight w:val="none"/>
              </w:rPr>
              <w:t>类</w:t>
            </w:r>
            <w:r>
              <w:rPr>
                <w:rFonts w:hint="eastAsia"/>
                <w:color w:val="auto"/>
                <w:highlight w:val="none"/>
                <w:lang w:eastAsia="zh-CN"/>
              </w:rPr>
              <w:t>酸性</w:t>
            </w:r>
            <w:r>
              <w:rPr>
                <w:rFonts w:hint="default"/>
                <w:color w:val="auto"/>
                <w:highlight w:val="none"/>
              </w:rPr>
              <w:t>腐蚀品</w:t>
            </w:r>
          </w:p>
        </w:tc>
      </w:tr>
      <w:tr w14:paraId="76F9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exact"/>
          <w:jc w:val="center"/>
        </w:trPr>
        <w:tc>
          <w:tcPr>
            <w:tcW w:w="471" w:type="pct"/>
            <w:vMerge w:val="continue"/>
            <w:tcBorders>
              <w:tl2br w:val="nil"/>
              <w:tr2bl w:val="nil"/>
            </w:tcBorders>
            <w:noWrap w:val="0"/>
            <w:vAlign w:val="center"/>
          </w:tcPr>
          <w:p w14:paraId="5672A5EB">
            <w:pPr>
              <w:pStyle w:val="17"/>
              <w:bidi w:val="0"/>
              <w:rPr>
                <w:rFonts w:hint="default"/>
                <w:color w:val="auto"/>
                <w:highlight w:val="none"/>
              </w:rPr>
            </w:pPr>
          </w:p>
        </w:tc>
        <w:tc>
          <w:tcPr>
            <w:tcW w:w="1323" w:type="pct"/>
            <w:gridSpan w:val="2"/>
            <w:tcBorders>
              <w:tl2br w:val="nil"/>
              <w:tr2bl w:val="nil"/>
            </w:tcBorders>
            <w:noWrap w:val="0"/>
            <w:vAlign w:val="center"/>
          </w:tcPr>
          <w:p w14:paraId="37A0452D">
            <w:pPr>
              <w:pStyle w:val="17"/>
              <w:bidi w:val="0"/>
              <w:rPr>
                <w:rFonts w:hint="default"/>
                <w:color w:val="auto"/>
                <w:highlight w:val="none"/>
              </w:rPr>
            </w:pPr>
            <w:r>
              <w:rPr>
                <w:rFonts w:hint="default"/>
                <w:color w:val="auto"/>
                <w:highlight w:val="none"/>
              </w:rPr>
              <w:t>分子式：</w:t>
            </w:r>
            <w:r>
              <w:rPr>
                <w:rFonts w:hint="eastAsia"/>
                <w:color w:val="auto"/>
                <w:highlight w:val="none"/>
                <w:lang w:val="en-US" w:eastAsia="zh-CN"/>
              </w:rPr>
              <w:t>H</w:t>
            </w:r>
            <w:r>
              <w:rPr>
                <w:rFonts w:hint="eastAsia"/>
                <w:color w:val="auto"/>
                <w:highlight w:val="none"/>
                <w:vertAlign w:val="subscript"/>
                <w:lang w:val="en-US" w:eastAsia="zh-CN"/>
              </w:rPr>
              <w:t>2</w:t>
            </w:r>
            <w:r>
              <w:rPr>
                <w:rFonts w:hint="eastAsia"/>
                <w:color w:val="auto"/>
                <w:highlight w:val="none"/>
                <w:lang w:val="en-US" w:eastAsia="zh-CN"/>
              </w:rPr>
              <w:t>SO</w:t>
            </w:r>
            <w:r>
              <w:rPr>
                <w:rFonts w:hint="eastAsia"/>
                <w:color w:val="auto"/>
                <w:highlight w:val="none"/>
                <w:vertAlign w:val="subscript"/>
                <w:lang w:val="en-US" w:eastAsia="zh-CN"/>
              </w:rPr>
              <w:t>4</w:t>
            </w:r>
          </w:p>
        </w:tc>
        <w:tc>
          <w:tcPr>
            <w:tcW w:w="1648" w:type="pct"/>
            <w:gridSpan w:val="3"/>
            <w:tcBorders>
              <w:tl2br w:val="nil"/>
              <w:tr2bl w:val="nil"/>
            </w:tcBorders>
            <w:noWrap w:val="0"/>
            <w:vAlign w:val="center"/>
          </w:tcPr>
          <w:p w14:paraId="50E65A4A">
            <w:pPr>
              <w:pStyle w:val="17"/>
              <w:bidi w:val="0"/>
              <w:rPr>
                <w:rFonts w:hint="default"/>
                <w:color w:val="auto"/>
                <w:highlight w:val="none"/>
                <w:lang w:val="en-US" w:eastAsia="zh-CN"/>
              </w:rPr>
            </w:pPr>
            <w:r>
              <w:rPr>
                <w:rFonts w:hint="default"/>
                <w:color w:val="auto"/>
                <w:highlight w:val="none"/>
              </w:rPr>
              <w:t>分子量：</w:t>
            </w:r>
            <w:r>
              <w:rPr>
                <w:rFonts w:hint="eastAsia"/>
                <w:color w:val="auto"/>
                <w:highlight w:val="none"/>
                <w:lang w:val="en-US" w:eastAsia="zh-CN"/>
              </w:rPr>
              <w:t>98</w:t>
            </w:r>
          </w:p>
        </w:tc>
        <w:tc>
          <w:tcPr>
            <w:tcW w:w="1556" w:type="pct"/>
            <w:tcBorders>
              <w:tl2br w:val="nil"/>
              <w:tr2bl w:val="nil"/>
            </w:tcBorders>
            <w:noWrap w:val="0"/>
            <w:vAlign w:val="center"/>
          </w:tcPr>
          <w:p w14:paraId="0C5AE5DF">
            <w:pPr>
              <w:pStyle w:val="17"/>
              <w:bidi w:val="0"/>
              <w:rPr>
                <w:rFonts w:hint="eastAsia"/>
                <w:color w:val="auto"/>
                <w:highlight w:val="none"/>
                <w:lang w:val="en-US" w:eastAsia="zh-CN"/>
              </w:rPr>
            </w:pPr>
            <w:r>
              <w:rPr>
                <w:rFonts w:hint="default"/>
                <w:color w:val="auto"/>
                <w:highlight w:val="none"/>
              </w:rPr>
              <w:t>CAS号：</w:t>
            </w:r>
            <w:r>
              <w:rPr>
                <w:rFonts w:hint="eastAsia"/>
                <w:color w:val="auto"/>
                <w:highlight w:val="none"/>
                <w:lang w:val="en-US" w:eastAsia="zh-CN"/>
              </w:rPr>
              <w:t>7664</w:t>
            </w:r>
            <w:r>
              <w:rPr>
                <w:rFonts w:hint="default"/>
                <w:color w:val="auto"/>
                <w:highlight w:val="none"/>
              </w:rPr>
              <w:t>-</w:t>
            </w:r>
            <w:r>
              <w:rPr>
                <w:rFonts w:hint="eastAsia"/>
                <w:color w:val="auto"/>
                <w:highlight w:val="none"/>
                <w:lang w:val="en-US" w:eastAsia="zh-CN"/>
              </w:rPr>
              <w:t>93</w:t>
            </w:r>
            <w:r>
              <w:rPr>
                <w:rFonts w:hint="default"/>
                <w:color w:val="auto"/>
                <w:highlight w:val="none"/>
              </w:rPr>
              <w:t>-</w:t>
            </w:r>
            <w:r>
              <w:rPr>
                <w:rFonts w:hint="eastAsia"/>
                <w:color w:val="auto"/>
                <w:highlight w:val="none"/>
                <w:lang w:val="en-US" w:eastAsia="zh-CN"/>
              </w:rPr>
              <w:t>9</w:t>
            </w:r>
          </w:p>
        </w:tc>
      </w:tr>
      <w:tr w14:paraId="6D13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exact"/>
          <w:jc w:val="center"/>
        </w:trPr>
        <w:tc>
          <w:tcPr>
            <w:tcW w:w="471" w:type="pct"/>
            <w:vMerge w:val="continue"/>
            <w:tcBorders>
              <w:tl2br w:val="nil"/>
              <w:tr2bl w:val="nil"/>
            </w:tcBorders>
            <w:noWrap w:val="0"/>
            <w:vAlign w:val="center"/>
          </w:tcPr>
          <w:p w14:paraId="4201E578">
            <w:pPr>
              <w:pStyle w:val="17"/>
              <w:bidi w:val="0"/>
              <w:rPr>
                <w:rFonts w:hint="default"/>
                <w:color w:val="auto"/>
                <w:highlight w:val="none"/>
              </w:rPr>
            </w:pPr>
          </w:p>
        </w:tc>
        <w:tc>
          <w:tcPr>
            <w:tcW w:w="1323" w:type="pct"/>
            <w:gridSpan w:val="2"/>
            <w:tcBorders>
              <w:tl2br w:val="nil"/>
              <w:tr2bl w:val="nil"/>
            </w:tcBorders>
            <w:noWrap w:val="0"/>
            <w:vAlign w:val="center"/>
          </w:tcPr>
          <w:p w14:paraId="00A39161">
            <w:pPr>
              <w:pStyle w:val="17"/>
              <w:bidi w:val="0"/>
              <w:rPr>
                <w:rFonts w:hint="default"/>
                <w:color w:val="auto"/>
                <w:highlight w:val="none"/>
                <w:lang w:val="en-US" w:eastAsia="zh-CN"/>
              </w:rPr>
            </w:pPr>
            <w:r>
              <w:rPr>
                <w:rFonts w:hint="default"/>
                <w:color w:val="auto"/>
                <w:highlight w:val="none"/>
              </w:rPr>
              <w:t>危规号：8</w:t>
            </w:r>
            <w:r>
              <w:rPr>
                <w:rFonts w:hint="eastAsia"/>
                <w:color w:val="auto"/>
                <w:highlight w:val="none"/>
                <w:lang w:val="en-US" w:eastAsia="zh-CN"/>
              </w:rPr>
              <w:t>1007</w:t>
            </w:r>
          </w:p>
        </w:tc>
        <w:tc>
          <w:tcPr>
            <w:tcW w:w="1648" w:type="pct"/>
            <w:gridSpan w:val="3"/>
            <w:tcBorders>
              <w:tl2br w:val="nil"/>
              <w:tr2bl w:val="nil"/>
            </w:tcBorders>
            <w:noWrap w:val="0"/>
            <w:vAlign w:val="center"/>
          </w:tcPr>
          <w:p w14:paraId="2CC8A455">
            <w:pPr>
              <w:pStyle w:val="17"/>
              <w:bidi w:val="0"/>
              <w:rPr>
                <w:rFonts w:hint="default"/>
                <w:color w:val="auto"/>
                <w:highlight w:val="none"/>
                <w:lang w:val="en-US" w:eastAsia="zh-CN"/>
              </w:rPr>
            </w:pPr>
            <w:r>
              <w:rPr>
                <w:rFonts w:hint="default"/>
                <w:color w:val="auto"/>
                <w:highlight w:val="none"/>
              </w:rPr>
              <w:t>UN编号：</w:t>
            </w:r>
            <w:r>
              <w:rPr>
                <w:rFonts w:hint="eastAsia"/>
                <w:color w:val="auto"/>
                <w:highlight w:val="none"/>
                <w:lang w:val="en-US" w:eastAsia="zh-CN"/>
              </w:rPr>
              <w:t>1830</w:t>
            </w:r>
          </w:p>
        </w:tc>
        <w:tc>
          <w:tcPr>
            <w:tcW w:w="1556" w:type="pct"/>
            <w:tcBorders>
              <w:tl2br w:val="nil"/>
              <w:tr2bl w:val="nil"/>
            </w:tcBorders>
            <w:noWrap w:val="0"/>
            <w:vAlign w:val="center"/>
          </w:tcPr>
          <w:p w14:paraId="32FC684D">
            <w:pPr>
              <w:pStyle w:val="17"/>
              <w:bidi w:val="0"/>
              <w:rPr>
                <w:rFonts w:hint="default"/>
                <w:color w:val="auto"/>
                <w:highlight w:val="none"/>
              </w:rPr>
            </w:pPr>
            <w:r>
              <w:rPr>
                <w:rFonts w:hint="default"/>
                <w:color w:val="auto"/>
                <w:highlight w:val="none"/>
              </w:rPr>
              <w:t>化学类别：</w:t>
            </w:r>
            <w:r>
              <w:rPr>
                <w:rFonts w:hint="eastAsia"/>
                <w:color w:val="auto"/>
                <w:highlight w:val="none"/>
                <w:lang w:eastAsia="zh-CN"/>
              </w:rPr>
              <w:t>硫酸</w:t>
            </w:r>
          </w:p>
        </w:tc>
      </w:tr>
      <w:tr w14:paraId="0AA1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exact"/>
          <w:jc w:val="center"/>
        </w:trPr>
        <w:tc>
          <w:tcPr>
            <w:tcW w:w="471" w:type="pct"/>
            <w:vMerge w:val="restart"/>
            <w:tcBorders>
              <w:tl2br w:val="nil"/>
              <w:tr2bl w:val="nil"/>
            </w:tcBorders>
            <w:noWrap w:val="0"/>
            <w:vAlign w:val="center"/>
          </w:tcPr>
          <w:p w14:paraId="3F13DAFA">
            <w:pPr>
              <w:pStyle w:val="17"/>
              <w:bidi w:val="0"/>
              <w:rPr>
                <w:rFonts w:hint="default"/>
                <w:color w:val="auto"/>
                <w:highlight w:val="none"/>
              </w:rPr>
            </w:pPr>
            <w:r>
              <w:rPr>
                <w:rFonts w:hint="default"/>
                <w:color w:val="auto"/>
                <w:highlight w:val="none"/>
              </w:rPr>
              <w:t>理化</w:t>
            </w:r>
          </w:p>
          <w:p w14:paraId="6561AE6B">
            <w:pPr>
              <w:pStyle w:val="17"/>
              <w:bidi w:val="0"/>
              <w:rPr>
                <w:rFonts w:hint="default"/>
                <w:color w:val="auto"/>
                <w:highlight w:val="none"/>
              </w:rPr>
            </w:pPr>
            <w:r>
              <w:rPr>
                <w:rFonts w:hint="default"/>
                <w:color w:val="auto"/>
                <w:highlight w:val="none"/>
              </w:rPr>
              <w:t>性质</w:t>
            </w:r>
          </w:p>
        </w:tc>
        <w:tc>
          <w:tcPr>
            <w:tcW w:w="4528" w:type="pct"/>
            <w:gridSpan w:val="6"/>
            <w:tcBorders>
              <w:tl2br w:val="nil"/>
              <w:tr2bl w:val="nil"/>
            </w:tcBorders>
            <w:noWrap w:val="0"/>
            <w:vAlign w:val="center"/>
          </w:tcPr>
          <w:p w14:paraId="4723D318">
            <w:pPr>
              <w:pStyle w:val="17"/>
              <w:bidi w:val="0"/>
              <w:rPr>
                <w:rFonts w:hint="default"/>
                <w:color w:val="auto"/>
                <w:highlight w:val="none"/>
              </w:rPr>
            </w:pPr>
            <w:r>
              <w:rPr>
                <w:rFonts w:hint="default"/>
                <w:color w:val="auto"/>
                <w:highlight w:val="none"/>
              </w:rPr>
              <w:t>外观与性状：</w:t>
            </w:r>
            <w:r>
              <w:rPr>
                <w:rFonts w:hint="eastAsia"/>
                <w:color w:val="auto"/>
                <w:highlight w:val="none"/>
                <w:lang w:eastAsia="zh-CN"/>
              </w:rPr>
              <w:t>纯品为无色透明油状液体，无臭</w:t>
            </w:r>
            <w:r>
              <w:rPr>
                <w:rFonts w:hint="default"/>
                <w:color w:val="auto"/>
                <w:highlight w:val="none"/>
              </w:rPr>
              <w:t>。</w:t>
            </w:r>
          </w:p>
        </w:tc>
      </w:tr>
      <w:tr w14:paraId="0525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exact"/>
          <w:jc w:val="center"/>
        </w:trPr>
        <w:tc>
          <w:tcPr>
            <w:tcW w:w="471" w:type="pct"/>
            <w:vMerge w:val="continue"/>
            <w:tcBorders>
              <w:tl2br w:val="nil"/>
              <w:tr2bl w:val="nil"/>
            </w:tcBorders>
            <w:noWrap w:val="0"/>
            <w:vAlign w:val="center"/>
          </w:tcPr>
          <w:p w14:paraId="3E8C89EE">
            <w:pPr>
              <w:pStyle w:val="17"/>
              <w:bidi w:val="0"/>
              <w:rPr>
                <w:rFonts w:hint="default"/>
                <w:color w:val="auto"/>
                <w:highlight w:val="none"/>
              </w:rPr>
            </w:pPr>
          </w:p>
        </w:tc>
        <w:tc>
          <w:tcPr>
            <w:tcW w:w="4528" w:type="pct"/>
            <w:gridSpan w:val="6"/>
            <w:tcBorders>
              <w:tl2br w:val="nil"/>
              <w:tr2bl w:val="nil"/>
            </w:tcBorders>
            <w:noWrap w:val="0"/>
            <w:vAlign w:val="top"/>
          </w:tcPr>
          <w:p w14:paraId="0477DDBC">
            <w:pPr>
              <w:pStyle w:val="17"/>
              <w:bidi w:val="0"/>
              <w:rPr>
                <w:rFonts w:hint="default"/>
                <w:color w:val="auto"/>
                <w:highlight w:val="none"/>
              </w:rPr>
            </w:pPr>
            <w:r>
              <w:rPr>
                <w:rFonts w:hint="default"/>
                <w:color w:val="auto"/>
                <w:highlight w:val="none"/>
              </w:rPr>
              <w:t>溶解性：</w:t>
            </w:r>
            <w:r>
              <w:rPr>
                <w:rFonts w:hint="eastAsia"/>
                <w:color w:val="auto"/>
                <w:highlight w:val="none"/>
                <w:lang w:eastAsia="zh-CN"/>
              </w:rPr>
              <w:t>与水、乙醇混溶</w:t>
            </w:r>
            <w:r>
              <w:rPr>
                <w:rFonts w:hint="default"/>
                <w:color w:val="auto"/>
                <w:highlight w:val="none"/>
              </w:rPr>
              <w:t>。</w:t>
            </w:r>
          </w:p>
        </w:tc>
      </w:tr>
      <w:tr w14:paraId="70B4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exact"/>
          <w:jc w:val="center"/>
        </w:trPr>
        <w:tc>
          <w:tcPr>
            <w:tcW w:w="471" w:type="pct"/>
            <w:vMerge w:val="continue"/>
            <w:tcBorders>
              <w:tl2br w:val="nil"/>
              <w:tr2bl w:val="nil"/>
            </w:tcBorders>
            <w:noWrap w:val="0"/>
            <w:vAlign w:val="center"/>
          </w:tcPr>
          <w:p w14:paraId="1151F6BC">
            <w:pPr>
              <w:pStyle w:val="17"/>
              <w:bidi w:val="0"/>
              <w:rPr>
                <w:rFonts w:hint="default"/>
                <w:color w:val="auto"/>
                <w:highlight w:val="none"/>
              </w:rPr>
            </w:pPr>
          </w:p>
        </w:tc>
        <w:tc>
          <w:tcPr>
            <w:tcW w:w="4528" w:type="pct"/>
            <w:gridSpan w:val="6"/>
            <w:tcBorders>
              <w:tl2br w:val="nil"/>
              <w:tr2bl w:val="nil"/>
            </w:tcBorders>
            <w:noWrap w:val="0"/>
            <w:vAlign w:val="center"/>
          </w:tcPr>
          <w:p w14:paraId="777F089C">
            <w:pPr>
              <w:pStyle w:val="17"/>
              <w:bidi w:val="0"/>
              <w:rPr>
                <w:rFonts w:hint="default"/>
                <w:color w:val="auto"/>
                <w:highlight w:val="none"/>
                <w:lang w:val="en-US" w:eastAsia="zh-CN"/>
              </w:rPr>
            </w:pPr>
            <w:r>
              <w:rPr>
                <w:rFonts w:hint="default"/>
                <w:color w:val="auto"/>
                <w:highlight w:val="none"/>
              </w:rPr>
              <w:t>熔点</w:t>
            </w:r>
            <w:r>
              <w:rPr>
                <w:rFonts w:hint="default"/>
                <w:color w:val="auto"/>
                <w:highlight w:val="none"/>
                <w:lang w:eastAsia="zh-CN"/>
              </w:rPr>
              <w:t>（</w:t>
            </w:r>
            <w:r>
              <w:rPr>
                <w:rFonts w:hint="default"/>
                <w:color w:val="auto"/>
                <w:highlight w:val="none"/>
              </w:rPr>
              <w:t>℃</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10-10.49</w:t>
            </w:r>
          </w:p>
        </w:tc>
      </w:tr>
      <w:tr w14:paraId="2F5D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exact"/>
          <w:jc w:val="center"/>
        </w:trPr>
        <w:tc>
          <w:tcPr>
            <w:tcW w:w="471" w:type="pct"/>
            <w:vMerge w:val="continue"/>
            <w:tcBorders>
              <w:tl2br w:val="nil"/>
              <w:tr2bl w:val="nil"/>
            </w:tcBorders>
            <w:noWrap w:val="0"/>
            <w:vAlign w:val="center"/>
          </w:tcPr>
          <w:p w14:paraId="39F85C07">
            <w:pPr>
              <w:pStyle w:val="17"/>
              <w:bidi w:val="0"/>
              <w:rPr>
                <w:rFonts w:hint="default"/>
                <w:color w:val="auto"/>
                <w:highlight w:val="none"/>
              </w:rPr>
            </w:pPr>
          </w:p>
        </w:tc>
        <w:tc>
          <w:tcPr>
            <w:tcW w:w="2479" w:type="pct"/>
            <w:gridSpan w:val="3"/>
            <w:tcBorders>
              <w:tl2br w:val="nil"/>
              <w:tr2bl w:val="nil"/>
            </w:tcBorders>
            <w:noWrap w:val="0"/>
            <w:vAlign w:val="center"/>
          </w:tcPr>
          <w:p w14:paraId="53553A1A">
            <w:pPr>
              <w:pStyle w:val="17"/>
              <w:bidi w:val="0"/>
              <w:rPr>
                <w:rFonts w:hint="eastAsia"/>
                <w:color w:val="auto"/>
                <w:highlight w:val="none"/>
                <w:lang w:eastAsia="zh-CN"/>
              </w:rPr>
            </w:pPr>
            <w:r>
              <w:rPr>
                <w:rFonts w:hint="default"/>
                <w:color w:val="auto"/>
                <w:highlight w:val="none"/>
              </w:rPr>
              <w:t>燃烧热</w:t>
            </w:r>
            <w:r>
              <w:rPr>
                <w:rFonts w:hint="default"/>
                <w:color w:val="auto"/>
                <w:highlight w:val="none"/>
                <w:lang w:eastAsia="zh-CN"/>
              </w:rPr>
              <w:t>（</w:t>
            </w:r>
            <w:r>
              <w:rPr>
                <w:rFonts w:hint="default"/>
                <w:color w:val="auto"/>
                <w:highlight w:val="none"/>
              </w:rPr>
              <w:t>KJ/mol</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w:t>
            </w:r>
          </w:p>
        </w:tc>
        <w:tc>
          <w:tcPr>
            <w:tcW w:w="2049" w:type="pct"/>
            <w:gridSpan w:val="3"/>
            <w:tcBorders>
              <w:tl2br w:val="nil"/>
              <w:tr2bl w:val="nil"/>
            </w:tcBorders>
            <w:noWrap w:val="0"/>
            <w:vAlign w:val="center"/>
          </w:tcPr>
          <w:p w14:paraId="2361A7A2">
            <w:pPr>
              <w:pStyle w:val="17"/>
              <w:bidi w:val="0"/>
              <w:rPr>
                <w:rFonts w:hint="default"/>
                <w:color w:val="auto"/>
                <w:highlight w:val="none"/>
                <w:lang w:val="en-US" w:eastAsia="zh-CN"/>
              </w:rPr>
            </w:pPr>
            <w:r>
              <w:rPr>
                <w:rFonts w:hint="default"/>
                <w:color w:val="auto"/>
                <w:highlight w:val="none"/>
              </w:rPr>
              <w:t>沸点</w:t>
            </w:r>
            <w:r>
              <w:rPr>
                <w:rFonts w:hint="default"/>
                <w:color w:val="auto"/>
                <w:highlight w:val="none"/>
                <w:lang w:eastAsia="zh-CN"/>
              </w:rPr>
              <w:t>（</w:t>
            </w:r>
            <w:r>
              <w:rPr>
                <w:rFonts w:hint="default"/>
                <w:color w:val="auto"/>
                <w:highlight w:val="none"/>
              </w:rPr>
              <w:t>℃</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330</w:t>
            </w:r>
          </w:p>
        </w:tc>
      </w:tr>
      <w:tr w14:paraId="2A08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exact"/>
          <w:jc w:val="center"/>
        </w:trPr>
        <w:tc>
          <w:tcPr>
            <w:tcW w:w="471" w:type="pct"/>
            <w:vMerge w:val="continue"/>
            <w:tcBorders>
              <w:tl2br w:val="nil"/>
              <w:tr2bl w:val="nil"/>
            </w:tcBorders>
            <w:noWrap w:val="0"/>
            <w:vAlign w:val="center"/>
          </w:tcPr>
          <w:p w14:paraId="3B147E76">
            <w:pPr>
              <w:pStyle w:val="17"/>
              <w:bidi w:val="0"/>
              <w:rPr>
                <w:rFonts w:hint="default"/>
                <w:color w:val="auto"/>
                <w:highlight w:val="none"/>
              </w:rPr>
            </w:pPr>
          </w:p>
        </w:tc>
        <w:tc>
          <w:tcPr>
            <w:tcW w:w="2479" w:type="pct"/>
            <w:gridSpan w:val="3"/>
            <w:tcBorders>
              <w:tl2br w:val="nil"/>
              <w:tr2bl w:val="nil"/>
            </w:tcBorders>
            <w:noWrap w:val="0"/>
            <w:vAlign w:val="center"/>
          </w:tcPr>
          <w:p w14:paraId="1F852580">
            <w:pPr>
              <w:pStyle w:val="17"/>
              <w:bidi w:val="0"/>
              <w:rPr>
                <w:rFonts w:hint="default"/>
                <w:color w:val="auto"/>
                <w:highlight w:val="none"/>
              </w:rPr>
            </w:pPr>
            <w:r>
              <w:rPr>
                <w:rFonts w:hint="default"/>
                <w:color w:val="auto"/>
                <w:highlight w:val="none"/>
              </w:rPr>
              <w:t>相对密度</w:t>
            </w:r>
            <w:r>
              <w:rPr>
                <w:rFonts w:hint="eastAsia"/>
                <w:color w:val="auto"/>
                <w:highlight w:val="none"/>
                <w:lang w:eastAsia="zh-CN"/>
              </w:rPr>
              <w:t>：</w:t>
            </w:r>
            <w:r>
              <w:rPr>
                <w:rFonts w:hint="eastAsia"/>
                <w:color w:val="auto"/>
                <w:highlight w:val="none"/>
                <w:lang w:val="en-US" w:eastAsia="zh-CN"/>
              </w:rPr>
              <w:t>1.84</w:t>
            </w:r>
            <w:r>
              <w:rPr>
                <w:rFonts w:hint="default"/>
                <w:color w:val="auto"/>
                <w:highlight w:val="none"/>
                <w:lang w:eastAsia="zh-CN"/>
              </w:rPr>
              <w:t>（</w:t>
            </w:r>
            <w:r>
              <w:rPr>
                <w:rFonts w:hint="default"/>
                <w:color w:val="auto"/>
                <w:highlight w:val="none"/>
              </w:rPr>
              <w:t>水＝1</w:t>
            </w:r>
            <w:r>
              <w:rPr>
                <w:rFonts w:hint="default"/>
                <w:color w:val="auto"/>
                <w:highlight w:val="none"/>
                <w:lang w:eastAsia="zh-CN"/>
              </w:rPr>
              <w:t>）</w:t>
            </w:r>
          </w:p>
        </w:tc>
        <w:tc>
          <w:tcPr>
            <w:tcW w:w="2049" w:type="pct"/>
            <w:gridSpan w:val="3"/>
            <w:tcBorders>
              <w:tl2br w:val="nil"/>
              <w:tr2bl w:val="nil"/>
            </w:tcBorders>
            <w:noWrap w:val="0"/>
            <w:vAlign w:val="center"/>
          </w:tcPr>
          <w:p w14:paraId="1ABEC562">
            <w:pPr>
              <w:pStyle w:val="17"/>
              <w:bidi w:val="0"/>
              <w:rPr>
                <w:rFonts w:hint="default"/>
                <w:color w:val="auto"/>
                <w:highlight w:val="none"/>
                <w:lang w:eastAsia="zh-CN"/>
              </w:rPr>
            </w:pPr>
            <w:r>
              <w:rPr>
                <w:rFonts w:hint="default"/>
                <w:color w:val="auto"/>
                <w:highlight w:val="none"/>
              </w:rPr>
              <w:t>饱和蒸气压</w:t>
            </w:r>
            <w:r>
              <w:rPr>
                <w:rFonts w:hint="default"/>
                <w:color w:val="auto"/>
                <w:highlight w:val="none"/>
                <w:lang w:eastAsia="zh-CN"/>
              </w:rPr>
              <w:t>（</w:t>
            </w:r>
            <w:r>
              <w:rPr>
                <w:rFonts w:hint="default"/>
                <w:color w:val="auto"/>
                <w:highlight w:val="none"/>
              </w:rPr>
              <w:t>KPa</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0.13</w:t>
            </w:r>
            <w:r>
              <w:rPr>
                <w:rFonts w:hint="default"/>
                <w:color w:val="auto"/>
                <w:highlight w:val="none"/>
                <w:lang w:eastAsia="zh-CN"/>
              </w:rPr>
              <w:t>（</w:t>
            </w:r>
            <w:r>
              <w:rPr>
                <w:rFonts w:hint="eastAsia"/>
                <w:color w:val="auto"/>
                <w:highlight w:val="none"/>
                <w:lang w:val="en-US" w:eastAsia="zh-CN"/>
              </w:rPr>
              <w:t>145.8</w:t>
            </w:r>
            <w:r>
              <w:rPr>
                <w:rFonts w:hint="default"/>
                <w:color w:val="auto"/>
                <w:highlight w:val="none"/>
              </w:rPr>
              <w:t>℃</w:t>
            </w:r>
            <w:r>
              <w:rPr>
                <w:rFonts w:hint="default"/>
                <w:color w:val="auto"/>
                <w:highlight w:val="none"/>
                <w:lang w:eastAsia="zh-CN"/>
              </w:rPr>
              <w:t>）</w:t>
            </w:r>
          </w:p>
        </w:tc>
      </w:tr>
      <w:tr w14:paraId="726E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exact"/>
          <w:jc w:val="center"/>
        </w:trPr>
        <w:tc>
          <w:tcPr>
            <w:tcW w:w="471" w:type="pct"/>
            <w:vMerge w:val="restart"/>
            <w:tcBorders>
              <w:tl2br w:val="nil"/>
              <w:tr2bl w:val="nil"/>
            </w:tcBorders>
            <w:noWrap w:val="0"/>
            <w:vAlign w:val="center"/>
          </w:tcPr>
          <w:p w14:paraId="1764CF1A">
            <w:pPr>
              <w:pStyle w:val="17"/>
              <w:bidi w:val="0"/>
              <w:rPr>
                <w:rFonts w:hint="default"/>
                <w:color w:val="auto"/>
                <w:highlight w:val="none"/>
              </w:rPr>
            </w:pPr>
            <w:r>
              <w:rPr>
                <w:rFonts w:hint="default"/>
                <w:color w:val="auto"/>
                <w:highlight w:val="none"/>
              </w:rPr>
              <w:t>燃烧</w:t>
            </w:r>
          </w:p>
          <w:p w14:paraId="09891566">
            <w:pPr>
              <w:pStyle w:val="17"/>
              <w:bidi w:val="0"/>
              <w:rPr>
                <w:rFonts w:hint="default"/>
                <w:color w:val="auto"/>
                <w:highlight w:val="none"/>
              </w:rPr>
            </w:pPr>
            <w:r>
              <w:rPr>
                <w:rFonts w:hint="default"/>
                <w:color w:val="auto"/>
                <w:highlight w:val="none"/>
              </w:rPr>
              <w:t>爆炸</w:t>
            </w:r>
          </w:p>
          <w:p w14:paraId="3697B27B">
            <w:pPr>
              <w:pStyle w:val="17"/>
              <w:bidi w:val="0"/>
              <w:rPr>
                <w:rFonts w:hint="default"/>
                <w:color w:val="auto"/>
                <w:highlight w:val="none"/>
              </w:rPr>
            </w:pPr>
            <w:r>
              <w:rPr>
                <w:rFonts w:hint="default"/>
                <w:color w:val="auto"/>
                <w:highlight w:val="none"/>
              </w:rPr>
              <w:t>危险</w:t>
            </w:r>
          </w:p>
          <w:p w14:paraId="20A3DE42">
            <w:pPr>
              <w:pStyle w:val="17"/>
              <w:bidi w:val="0"/>
              <w:rPr>
                <w:rFonts w:hint="default"/>
                <w:color w:val="auto"/>
                <w:highlight w:val="none"/>
              </w:rPr>
            </w:pPr>
            <w:r>
              <w:rPr>
                <w:rFonts w:hint="default"/>
                <w:color w:val="auto"/>
                <w:highlight w:val="none"/>
              </w:rPr>
              <w:t>性</w:t>
            </w:r>
          </w:p>
        </w:tc>
        <w:tc>
          <w:tcPr>
            <w:tcW w:w="4528" w:type="pct"/>
            <w:gridSpan w:val="6"/>
            <w:tcBorders>
              <w:tl2br w:val="nil"/>
              <w:tr2bl w:val="nil"/>
            </w:tcBorders>
            <w:noWrap w:val="0"/>
            <w:vAlign w:val="center"/>
          </w:tcPr>
          <w:p w14:paraId="6036485D">
            <w:pPr>
              <w:pStyle w:val="17"/>
              <w:bidi w:val="0"/>
              <w:rPr>
                <w:rFonts w:hint="default"/>
                <w:color w:val="auto"/>
                <w:highlight w:val="none"/>
              </w:rPr>
            </w:pPr>
            <w:r>
              <w:rPr>
                <w:rFonts w:hint="default"/>
                <w:color w:val="auto"/>
                <w:highlight w:val="none"/>
              </w:rPr>
              <w:t>燃爆危险：</w:t>
            </w:r>
            <w:r>
              <w:rPr>
                <w:rFonts w:hint="eastAsia"/>
                <w:color w:val="auto"/>
                <w:highlight w:val="none"/>
                <w:lang w:eastAsia="zh-CN"/>
              </w:rPr>
              <w:t>不燃，无特殊燃爆特性，与可燃物接触易着火燃烧</w:t>
            </w:r>
            <w:r>
              <w:rPr>
                <w:rFonts w:hint="default"/>
                <w:color w:val="auto"/>
                <w:highlight w:val="none"/>
              </w:rPr>
              <w:t>。</w:t>
            </w:r>
          </w:p>
        </w:tc>
      </w:tr>
      <w:tr w14:paraId="70DC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exact"/>
          <w:jc w:val="center"/>
        </w:trPr>
        <w:tc>
          <w:tcPr>
            <w:tcW w:w="471" w:type="pct"/>
            <w:vMerge w:val="continue"/>
            <w:tcBorders>
              <w:tl2br w:val="nil"/>
              <w:tr2bl w:val="nil"/>
            </w:tcBorders>
            <w:noWrap w:val="0"/>
            <w:vAlign w:val="center"/>
          </w:tcPr>
          <w:p w14:paraId="50553622">
            <w:pPr>
              <w:pStyle w:val="17"/>
              <w:bidi w:val="0"/>
              <w:rPr>
                <w:rFonts w:hint="default"/>
                <w:color w:val="auto"/>
                <w:highlight w:val="none"/>
              </w:rPr>
            </w:pPr>
          </w:p>
        </w:tc>
        <w:tc>
          <w:tcPr>
            <w:tcW w:w="1295" w:type="pct"/>
            <w:tcBorders>
              <w:tl2br w:val="nil"/>
              <w:tr2bl w:val="nil"/>
            </w:tcBorders>
            <w:noWrap w:val="0"/>
            <w:vAlign w:val="center"/>
          </w:tcPr>
          <w:p w14:paraId="3C9ABE8F">
            <w:pPr>
              <w:pStyle w:val="17"/>
              <w:bidi w:val="0"/>
              <w:rPr>
                <w:rFonts w:hint="eastAsia"/>
                <w:color w:val="auto"/>
                <w:highlight w:val="none"/>
                <w:lang w:eastAsia="zh-CN"/>
              </w:rPr>
            </w:pPr>
            <w:r>
              <w:rPr>
                <w:rFonts w:hint="default"/>
                <w:color w:val="auto"/>
                <w:highlight w:val="none"/>
              </w:rPr>
              <w:t>引燃温度</w:t>
            </w:r>
            <w:r>
              <w:rPr>
                <w:rFonts w:hint="default"/>
                <w:color w:val="auto"/>
                <w:highlight w:val="none"/>
                <w:lang w:eastAsia="zh-CN"/>
              </w:rPr>
              <w:t>（</w:t>
            </w:r>
            <w:r>
              <w:rPr>
                <w:rFonts w:hint="default"/>
                <w:color w:val="auto"/>
                <w:highlight w:val="none"/>
              </w:rPr>
              <w:t>℃</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w:t>
            </w:r>
          </w:p>
        </w:tc>
        <w:tc>
          <w:tcPr>
            <w:tcW w:w="1454" w:type="pct"/>
            <w:gridSpan w:val="3"/>
            <w:tcBorders>
              <w:tl2br w:val="nil"/>
              <w:tr2bl w:val="nil"/>
            </w:tcBorders>
            <w:noWrap w:val="0"/>
            <w:vAlign w:val="center"/>
          </w:tcPr>
          <w:p w14:paraId="52C7EE9B">
            <w:pPr>
              <w:pStyle w:val="17"/>
              <w:bidi w:val="0"/>
              <w:rPr>
                <w:rFonts w:hint="eastAsia"/>
                <w:color w:val="auto"/>
                <w:highlight w:val="none"/>
                <w:lang w:eastAsia="zh-CN"/>
              </w:rPr>
            </w:pPr>
            <w:r>
              <w:rPr>
                <w:rFonts w:hint="default"/>
                <w:color w:val="auto"/>
                <w:highlight w:val="none"/>
              </w:rPr>
              <w:t>闪点</w:t>
            </w:r>
            <w:r>
              <w:rPr>
                <w:rFonts w:hint="default"/>
                <w:color w:val="auto"/>
                <w:highlight w:val="none"/>
                <w:lang w:eastAsia="zh-CN"/>
              </w:rPr>
              <w:t>（</w:t>
            </w:r>
            <w:r>
              <w:rPr>
                <w:rFonts w:hint="default"/>
                <w:color w:val="auto"/>
                <w:highlight w:val="none"/>
              </w:rPr>
              <w:t>℃</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无意义</w:t>
            </w:r>
          </w:p>
        </w:tc>
        <w:tc>
          <w:tcPr>
            <w:tcW w:w="1779" w:type="pct"/>
            <w:gridSpan w:val="2"/>
            <w:tcBorders>
              <w:tl2br w:val="nil"/>
              <w:tr2bl w:val="nil"/>
            </w:tcBorders>
            <w:noWrap w:val="0"/>
            <w:vAlign w:val="center"/>
          </w:tcPr>
          <w:p w14:paraId="76F94106">
            <w:pPr>
              <w:pStyle w:val="17"/>
              <w:bidi w:val="0"/>
              <w:rPr>
                <w:rFonts w:hint="eastAsia"/>
                <w:color w:val="auto"/>
                <w:highlight w:val="none"/>
                <w:lang w:eastAsia="zh-CN"/>
              </w:rPr>
            </w:pPr>
            <w:r>
              <w:rPr>
                <w:rFonts w:hint="default"/>
                <w:color w:val="auto"/>
                <w:highlight w:val="none"/>
              </w:rPr>
              <w:t>自然温度</w:t>
            </w:r>
            <w:r>
              <w:rPr>
                <w:rFonts w:hint="default"/>
                <w:color w:val="auto"/>
                <w:highlight w:val="none"/>
                <w:lang w:eastAsia="zh-CN"/>
              </w:rPr>
              <w:t>（</w:t>
            </w:r>
            <w:r>
              <w:rPr>
                <w:rFonts w:hint="default"/>
                <w:color w:val="auto"/>
                <w:highlight w:val="none"/>
              </w:rPr>
              <w:t>℃</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w:t>
            </w:r>
          </w:p>
        </w:tc>
      </w:tr>
      <w:tr w14:paraId="36A3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exact"/>
          <w:jc w:val="center"/>
        </w:trPr>
        <w:tc>
          <w:tcPr>
            <w:tcW w:w="471" w:type="pct"/>
            <w:vMerge w:val="continue"/>
            <w:tcBorders>
              <w:tl2br w:val="nil"/>
              <w:tr2bl w:val="nil"/>
            </w:tcBorders>
            <w:noWrap w:val="0"/>
            <w:vAlign w:val="center"/>
          </w:tcPr>
          <w:p w14:paraId="08AB6CD6">
            <w:pPr>
              <w:pStyle w:val="17"/>
              <w:bidi w:val="0"/>
              <w:rPr>
                <w:rFonts w:hint="default"/>
                <w:color w:val="auto"/>
                <w:highlight w:val="none"/>
              </w:rPr>
            </w:pPr>
          </w:p>
        </w:tc>
        <w:tc>
          <w:tcPr>
            <w:tcW w:w="1295" w:type="pct"/>
            <w:tcBorders>
              <w:tl2br w:val="nil"/>
              <w:tr2bl w:val="nil"/>
            </w:tcBorders>
            <w:noWrap w:val="0"/>
            <w:vAlign w:val="center"/>
          </w:tcPr>
          <w:p w14:paraId="2163DEFC">
            <w:pPr>
              <w:pStyle w:val="17"/>
              <w:bidi w:val="0"/>
              <w:rPr>
                <w:rFonts w:hint="default"/>
                <w:color w:val="auto"/>
                <w:highlight w:val="none"/>
                <w:lang w:val="en-US" w:eastAsia="zh-CN"/>
              </w:rPr>
            </w:pPr>
            <w:r>
              <w:rPr>
                <w:rFonts w:hint="default"/>
                <w:color w:val="auto"/>
                <w:highlight w:val="none"/>
              </w:rPr>
              <w:t>爆炸下限</w:t>
            </w:r>
            <w:r>
              <w:rPr>
                <w:rFonts w:hint="default"/>
                <w:color w:val="auto"/>
                <w:highlight w:val="none"/>
                <w:lang w:eastAsia="zh-CN"/>
              </w:rPr>
              <w:t>（</w:t>
            </w:r>
            <w:r>
              <w:rPr>
                <w:rFonts w:hint="default"/>
                <w:color w:val="auto"/>
                <w:highlight w:val="none"/>
              </w:rPr>
              <w:t>%</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w:t>
            </w:r>
          </w:p>
        </w:tc>
        <w:tc>
          <w:tcPr>
            <w:tcW w:w="3233" w:type="pct"/>
            <w:gridSpan w:val="5"/>
            <w:tcBorders>
              <w:tl2br w:val="nil"/>
              <w:tr2bl w:val="nil"/>
            </w:tcBorders>
            <w:noWrap w:val="0"/>
            <w:vAlign w:val="center"/>
          </w:tcPr>
          <w:p w14:paraId="40269826">
            <w:pPr>
              <w:pStyle w:val="17"/>
              <w:bidi w:val="0"/>
              <w:rPr>
                <w:rFonts w:hint="default"/>
                <w:color w:val="auto"/>
                <w:highlight w:val="none"/>
                <w:lang w:val="en-US" w:eastAsia="zh-CN"/>
              </w:rPr>
            </w:pPr>
            <w:r>
              <w:rPr>
                <w:rFonts w:hint="default"/>
                <w:color w:val="auto"/>
                <w:highlight w:val="none"/>
              </w:rPr>
              <w:t>爆炸上限</w:t>
            </w:r>
            <w:r>
              <w:rPr>
                <w:rFonts w:hint="default"/>
                <w:color w:val="auto"/>
                <w:highlight w:val="none"/>
                <w:lang w:eastAsia="zh-CN"/>
              </w:rPr>
              <w:t>（</w:t>
            </w:r>
            <w:r>
              <w:rPr>
                <w:rFonts w:hint="default"/>
                <w:color w:val="auto"/>
                <w:highlight w:val="none"/>
              </w:rPr>
              <w:t>%</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w:t>
            </w:r>
          </w:p>
        </w:tc>
      </w:tr>
      <w:tr w14:paraId="1DCB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471" w:type="pct"/>
            <w:vMerge w:val="continue"/>
            <w:tcBorders>
              <w:tl2br w:val="nil"/>
              <w:tr2bl w:val="nil"/>
            </w:tcBorders>
            <w:noWrap w:val="0"/>
            <w:vAlign w:val="center"/>
          </w:tcPr>
          <w:p w14:paraId="348E2A4E">
            <w:pPr>
              <w:pStyle w:val="17"/>
              <w:bidi w:val="0"/>
              <w:rPr>
                <w:rFonts w:hint="default"/>
                <w:color w:val="auto"/>
                <w:highlight w:val="none"/>
              </w:rPr>
            </w:pPr>
          </w:p>
        </w:tc>
        <w:tc>
          <w:tcPr>
            <w:tcW w:w="4528" w:type="pct"/>
            <w:gridSpan w:val="6"/>
            <w:tcBorders>
              <w:tl2br w:val="nil"/>
              <w:tr2bl w:val="nil"/>
            </w:tcBorders>
            <w:noWrap w:val="0"/>
            <w:vAlign w:val="center"/>
          </w:tcPr>
          <w:p w14:paraId="0014A090">
            <w:pPr>
              <w:pStyle w:val="17"/>
              <w:bidi w:val="0"/>
              <w:jc w:val="both"/>
              <w:rPr>
                <w:rFonts w:hint="default"/>
                <w:color w:val="auto"/>
                <w:highlight w:val="none"/>
              </w:rPr>
            </w:pPr>
            <w:r>
              <w:rPr>
                <w:rFonts w:hint="default"/>
                <w:color w:val="auto"/>
                <w:highlight w:val="none"/>
              </w:rPr>
              <w:t>危险特性：</w:t>
            </w:r>
            <w:r>
              <w:rPr>
                <w:rFonts w:hint="eastAsia"/>
                <w:color w:val="auto"/>
                <w:highlight w:val="none"/>
                <w:lang w:eastAsia="zh-CN"/>
              </w:rPr>
              <w:t>遇水大量放热，可发生沸溅。与易燃物（如苯）和可燃物（如糖、纤维素等）接触会发生剧烈反应，甚至引起燃烧。遇电石、高氯酸盐、硝酸盐、苦味酸盐、雷酸盐、金属粉末等猛烈反应。发生爆炸或燃烧。有强烈的腐蚀性和吸水性</w:t>
            </w:r>
          </w:p>
        </w:tc>
      </w:tr>
      <w:tr w14:paraId="2F26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471" w:type="pct"/>
            <w:vMerge w:val="continue"/>
            <w:tcBorders>
              <w:tl2br w:val="nil"/>
              <w:tr2bl w:val="nil"/>
            </w:tcBorders>
            <w:noWrap w:val="0"/>
            <w:vAlign w:val="center"/>
          </w:tcPr>
          <w:p w14:paraId="7C7C08E1">
            <w:pPr>
              <w:pStyle w:val="17"/>
              <w:bidi w:val="0"/>
              <w:rPr>
                <w:rFonts w:hint="default"/>
                <w:color w:val="auto"/>
                <w:highlight w:val="none"/>
              </w:rPr>
            </w:pPr>
          </w:p>
        </w:tc>
        <w:tc>
          <w:tcPr>
            <w:tcW w:w="4528" w:type="pct"/>
            <w:gridSpan w:val="6"/>
            <w:tcBorders>
              <w:tl2br w:val="nil"/>
              <w:tr2bl w:val="nil"/>
            </w:tcBorders>
            <w:noWrap w:val="0"/>
            <w:vAlign w:val="center"/>
          </w:tcPr>
          <w:p w14:paraId="67CDB9B4">
            <w:pPr>
              <w:pStyle w:val="17"/>
              <w:bidi w:val="0"/>
              <w:jc w:val="both"/>
              <w:rPr>
                <w:rFonts w:hint="default"/>
                <w:color w:val="auto"/>
                <w:highlight w:val="none"/>
              </w:rPr>
            </w:pPr>
            <w:r>
              <w:rPr>
                <w:rFonts w:hint="default"/>
                <w:color w:val="auto"/>
                <w:highlight w:val="none"/>
              </w:rPr>
              <w:t>消防措施：</w:t>
            </w:r>
            <w:r>
              <w:rPr>
                <w:rFonts w:hint="eastAsia"/>
                <w:color w:val="auto"/>
                <w:highlight w:val="none"/>
                <w:lang w:eastAsia="zh-CN"/>
              </w:rPr>
              <w:t>本品不燃。根据着火原因选择适当灭火剂灭火</w:t>
            </w:r>
            <w:r>
              <w:rPr>
                <w:rFonts w:hint="default"/>
                <w:color w:val="auto"/>
                <w:highlight w:val="none"/>
              </w:rPr>
              <w:t>。</w:t>
            </w:r>
          </w:p>
          <w:p w14:paraId="180C004A">
            <w:pPr>
              <w:pStyle w:val="17"/>
              <w:bidi w:val="0"/>
              <w:jc w:val="both"/>
              <w:rPr>
                <w:rFonts w:hint="eastAsia"/>
                <w:color w:val="auto"/>
                <w:highlight w:val="none"/>
                <w:lang w:eastAsia="zh-CN"/>
              </w:rPr>
            </w:pPr>
            <w:r>
              <w:rPr>
                <w:rFonts w:hint="eastAsia"/>
                <w:color w:val="auto"/>
                <w:highlight w:val="none"/>
                <w:lang w:eastAsia="zh-CN"/>
              </w:rPr>
              <w:t>灭火注意事项及措施：消防人员必须穿全身耐酸碱消防服、佩戴空气呼吸器灭火。尽可能将容器从火场移至空旷处。喷水保持火场容器冷却，直至灭火结束。避免水流冲击物品，以免遇水会放出大量热量发生喷溅而灼伤皮肤。</w:t>
            </w:r>
          </w:p>
        </w:tc>
      </w:tr>
      <w:tr w14:paraId="3102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471" w:type="pct"/>
            <w:vMerge w:val="restart"/>
            <w:tcBorders>
              <w:tl2br w:val="nil"/>
              <w:tr2bl w:val="nil"/>
            </w:tcBorders>
            <w:noWrap w:val="0"/>
            <w:vAlign w:val="center"/>
          </w:tcPr>
          <w:p w14:paraId="2C874090">
            <w:pPr>
              <w:pStyle w:val="17"/>
              <w:bidi w:val="0"/>
              <w:rPr>
                <w:rFonts w:hint="default"/>
                <w:color w:val="auto"/>
                <w:highlight w:val="none"/>
              </w:rPr>
            </w:pPr>
            <w:r>
              <w:rPr>
                <w:rFonts w:hint="default"/>
                <w:color w:val="auto"/>
                <w:highlight w:val="none"/>
              </w:rPr>
              <w:t>健康</w:t>
            </w:r>
          </w:p>
          <w:p w14:paraId="21F4B958">
            <w:pPr>
              <w:pStyle w:val="17"/>
              <w:bidi w:val="0"/>
              <w:rPr>
                <w:rFonts w:hint="default"/>
                <w:color w:val="auto"/>
                <w:highlight w:val="none"/>
              </w:rPr>
            </w:pPr>
            <w:r>
              <w:rPr>
                <w:rFonts w:hint="default"/>
                <w:color w:val="auto"/>
                <w:highlight w:val="none"/>
              </w:rPr>
              <w:t>危害</w:t>
            </w:r>
          </w:p>
        </w:tc>
        <w:tc>
          <w:tcPr>
            <w:tcW w:w="4528" w:type="pct"/>
            <w:gridSpan w:val="6"/>
            <w:tcBorders>
              <w:tl2br w:val="nil"/>
              <w:tr2bl w:val="nil"/>
            </w:tcBorders>
            <w:noWrap w:val="0"/>
            <w:vAlign w:val="center"/>
          </w:tcPr>
          <w:p w14:paraId="4A498E59">
            <w:pPr>
              <w:pStyle w:val="17"/>
              <w:bidi w:val="0"/>
              <w:jc w:val="both"/>
              <w:rPr>
                <w:rFonts w:hint="default"/>
                <w:color w:val="auto"/>
                <w:highlight w:val="none"/>
              </w:rPr>
            </w:pPr>
            <w:r>
              <w:rPr>
                <w:rFonts w:hint="default"/>
                <w:color w:val="auto"/>
                <w:highlight w:val="none"/>
              </w:rPr>
              <w:t>侵入途径：吸入、食入</w:t>
            </w:r>
          </w:p>
        </w:tc>
      </w:tr>
      <w:tr w14:paraId="2816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71" w:type="pct"/>
            <w:vMerge w:val="continue"/>
            <w:tcBorders>
              <w:tl2br w:val="nil"/>
              <w:tr2bl w:val="nil"/>
            </w:tcBorders>
            <w:noWrap w:val="0"/>
            <w:vAlign w:val="center"/>
          </w:tcPr>
          <w:p w14:paraId="401DE1A8">
            <w:pPr>
              <w:pStyle w:val="17"/>
              <w:bidi w:val="0"/>
              <w:rPr>
                <w:rFonts w:hint="default"/>
                <w:color w:val="auto"/>
                <w:highlight w:val="none"/>
              </w:rPr>
            </w:pPr>
          </w:p>
        </w:tc>
        <w:tc>
          <w:tcPr>
            <w:tcW w:w="4528" w:type="pct"/>
            <w:gridSpan w:val="6"/>
            <w:tcBorders>
              <w:tl2br w:val="nil"/>
              <w:tr2bl w:val="nil"/>
            </w:tcBorders>
            <w:noWrap w:val="0"/>
            <w:vAlign w:val="center"/>
          </w:tcPr>
          <w:p w14:paraId="4817FB8E">
            <w:pPr>
              <w:pStyle w:val="17"/>
              <w:bidi w:val="0"/>
              <w:jc w:val="both"/>
              <w:rPr>
                <w:rFonts w:hint="default"/>
                <w:color w:val="auto"/>
                <w:highlight w:val="none"/>
              </w:rPr>
            </w:pPr>
            <w:r>
              <w:rPr>
                <w:rFonts w:hint="default"/>
                <w:color w:val="auto"/>
                <w:highlight w:val="none"/>
              </w:rPr>
              <w:t>健康危害：</w:t>
            </w:r>
            <w:r>
              <w:rPr>
                <w:rFonts w:hint="eastAsia"/>
                <w:color w:val="auto"/>
                <w:highlight w:val="none"/>
                <w:lang w:eastAsia="zh-CN"/>
              </w:rPr>
              <w:t>对皮肤、黏膜等组织有强烈的刺激和腐蚀作用。蒸气或雾可引起结膜炎、结膜水肿、角膜混浊，以致失明；引起呼吸道刺激，重者发生呼吸困难和肺水肿；高浓度引起喉痉挛或声门水肿而窒息死亡。口服后引起消化道灼伤以致溃疡形成；严重者可能有胃穿孔、腹膜炎、肾损害、休克等。皮肤灼伤轻者出现红斑、重者形成溃疡，愈后伤痕收缩影响功能。溅入眼内可造成灼伤，甚至角膜穿孔、全眼炎以致失明</w:t>
            </w:r>
            <w:r>
              <w:rPr>
                <w:rFonts w:hint="default"/>
                <w:color w:val="auto"/>
                <w:highlight w:val="none"/>
              </w:rPr>
              <w:t>。</w:t>
            </w:r>
          </w:p>
          <w:p w14:paraId="6D90B9F6">
            <w:pPr>
              <w:pStyle w:val="17"/>
              <w:bidi w:val="0"/>
              <w:jc w:val="both"/>
              <w:rPr>
                <w:rFonts w:hint="eastAsia"/>
                <w:color w:val="auto"/>
                <w:highlight w:val="none"/>
                <w:lang w:eastAsia="zh-CN"/>
              </w:rPr>
            </w:pPr>
            <w:r>
              <w:rPr>
                <w:rFonts w:hint="eastAsia"/>
                <w:color w:val="auto"/>
                <w:highlight w:val="none"/>
                <w:lang w:eastAsia="zh-CN"/>
              </w:rPr>
              <w:t>慢性影响：牙齿酸蚀症、慢性支气管炎、肺气肿和肺硬化。</w:t>
            </w:r>
          </w:p>
          <w:p w14:paraId="0BC1B871">
            <w:pPr>
              <w:pStyle w:val="17"/>
              <w:bidi w:val="0"/>
              <w:jc w:val="both"/>
              <w:rPr>
                <w:rFonts w:hint="default"/>
                <w:color w:val="auto"/>
                <w:highlight w:val="none"/>
              </w:rPr>
            </w:pPr>
            <w:r>
              <w:rPr>
                <w:rFonts w:hint="eastAsia"/>
                <w:color w:val="auto"/>
                <w:highlight w:val="none"/>
                <w:lang w:eastAsia="zh-CN"/>
              </w:rPr>
              <w:t>环境危害：对水体和土壤可造成污染。</w:t>
            </w:r>
          </w:p>
          <w:p w14:paraId="396003CD">
            <w:pPr>
              <w:pStyle w:val="17"/>
              <w:bidi w:val="0"/>
              <w:jc w:val="both"/>
              <w:rPr>
                <w:rFonts w:hint="default"/>
                <w:color w:val="auto"/>
                <w:highlight w:val="none"/>
              </w:rPr>
            </w:pPr>
            <w:r>
              <w:rPr>
                <w:rFonts w:hint="default"/>
                <w:color w:val="auto"/>
                <w:highlight w:val="none"/>
              </w:rPr>
              <w:t>急性毒性：LD</w:t>
            </w:r>
            <w:r>
              <w:rPr>
                <w:rFonts w:hint="default"/>
                <w:color w:val="auto"/>
                <w:highlight w:val="none"/>
                <w:vertAlign w:val="subscript"/>
              </w:rPr>
              <w:t>50</w:t>
            </w:r>
            <w:r>
              <w:rPr>
                <w:rFonts w:hint="eastAsia"/>
                <w:color w:val="auto"/>
                <w:highlight w:val="none"/>
                <w:lang w:val="en-US" w:eastAsia="zh-CN"/>
              </w:rPr>
              <w:t>2140</w:t>
            </w:r>
            <w:r>
              <w:rPr>
                <w:rFonts w:hint="default"/>
                <w:color w:val="auto"/>
                <w:highlight w:val="none"/>
              </w:rPr>
              <w:t>mg/kg</w:t>
            </w:r>
            <w:r>
              <w:rPr>
                <w:rFonts w:hint="default"/>
                <w:color w:val="auto"/>
                <w:highlight w:val="none"/>
                <w:lang w:eastAsia="zh-CN"/>
              </w:rPr>
              <w:t>（</w:t>
            </w:r>
            <w:r>
              <w:rPr>
                <w:rFonts w:hint="default"/>
                <w:color w:val="auto"/>
                <w:highlight w:val="none"/>
              </w:rPr>
              <w:t>大鼠经口</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LC</w:t>
            </w:r>
            <w:r>
              <w:rPr>
                <w:rFonts w:hint="eastAsia"/>
                <w:color w:val="auto"/>
                <w:highlight w:val="none"/>
                <w:vertAlign w:val="subscript"/>
                <w:lang w:val="en-US" w:eastAsia="zh-CN"/>
              </w:rPr>
              <w:t>50</w:t>
            </w:r>
            <w:r>
              <w:rPr>
                <w:rFonts w:hint="eastAsia"/>
                <w:color w:val="auto"/>
                <w:highlight w:val="none"/>
                <w:lang w:val="en-US" w:eastAsia="zh-CN"/>
              </w:rPr>
              <w:t>510ppm</w:t>
            </w:r>
            <w:r>
              <w:rPr>
                <w:rFonts w:hint="default"/>
                <w:color w:val="auto"/>
                <w:highlight w:val="none"/>
                <w:lang w:eastAsia="zh-CN"/>
              </w:rPr>
              <w:t>（</w:t>
            </w:r>
            <w:r>
              <w:rPr>
                <w:rFonts w:hint="eastAsia"/>
                <w:color w:val="auto"/>
                <w:highlight w:val="none"/>
                <w:lang w:eastAsia="zh-CN"/>
              </w:rPr>
              <w:t>小鼠吸入，</w:t>
            </w:r>
            <w:r>
              <w:rPr>
                <w:rFonts w:hint="eastAsia"/>
                <w:color w:val="auto"/>
                <w:highlight w:val="none"/>
                <w:lang w:val="en-US" w:eastAsia="zh-CN"/>
              </w:rPr>
              <w:t>2h</w:t>
            </w:r>
            <w:r>
              <w:rPr>
                <w:rFonts w:hint="default"/>
                <w:color w:val="auto"/>
                <w:highlight w:val="none"/>
                <w:lang w:eastAsia="zh-CN"/>
              </w:rPr>
              <w:t>）</w:t>
            </w:r>
            <w:r>
              <w:rPr>
                <w:rFonts w:hint="eastAsia"/>
                <w:color w:val="auto"/>
                <w:highlight w:val="none"/>
                <w:lang w:eastAsia="zh-CN"/>
              </w:rPr>
              <w:t>、</w:t>
            </w:r>
            <w:r>
              <w:rPr>
                <w:rFonts w:hint="eastAsia"/>
                <w:color w:val="auto"/>
                <w:highlight w:val="none"/>
                <w:lang w:val="en-US" w:eastAsia="zh-CN"/>
              </w:rPr>
              <w:t>320ppm（大鼠吸入，2h）。</w:t>
            </w:r>
          </w:p>
        </w:tc>
      </w:tr>
      <w:tr w14:paraId="186E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5" w:hRule="atLeast"/>
          <w:jc w:val="center"/>
        </w:trPr>
        <w:tc>
          <w:tcPr>
            <w:tcW w:w="471" w:type="pct"/>
            <w:tcBorders>
              <w:tl2br w:val="nil"/>
              <w:tr2bl w:val="nil"/>
            </w:tcBorders>
            <w:noWrap w:val="0"/>
            <w:vAlign w:val="center"/>
          </w:tcPr>
          <w:p w14:paraId="46A686C9">
            <w:pPr>
              <w:pStyle w:val="17"/>
              <w:bidi w:val="0"/>
              <w:rPr>
                <w:rFonts w:hint="default"/>
                <w:color w:val="auto"/>
                <w:highlight w:val="none"/>
              </w:rPr>
            </w:pPr>
            <w:r>
              <w:rPr>
                <w:rFonts w:hint="default"/>
                <w:color w:val="auto"/>
                <w:highlight w:val="none"/>
              </w:rPr>
              <w:t>操作</w:t>
            </w:r>
          </w:p>
          <w:p w14:paraId="4020F13A">
            <w:pPr>
              <w:pStyle w:val="17"/>
              <w:bidi w:val="0"/>
              <w:rPr>
                <w:rFonts w:hint="default"/>
                <w:color w:val="auto"/>
                <w:highlight w:val="none"/>
              </w:rPr>
            </w:pPr>
            <w:r>
              <w:rPr>
                <w:rFonts w:hint="default"/>
                <w:color w:val="auto"/>
                <w:highlight w:val="none"/>
              </w:rPr>
              <w:t>注意</w:t>
            </w:r>
          </w:p>
          <w:p w14:paraId="72C56E43">
            <w:pPr>
              <w:pStyle w:val="17"/>
              <w:bidi w:val="0"/>
              <w:rPr>
                <w:rFonts w:hint="default"/>
                <w:color w:val="auto"/>
                <w:highlight w:val="none"/>
              </w:rPr>
            </w:pPr>
            <w:r>
              <w:rPr>
                <w:rFonts w:hint="default"/>
                <w:color w:val="auto"/>
                <w:highlight w:val="none"/>
              </w:rPr>
              <w:t>事项</w:t>
            </w:r>
          </w:p>
        </w:tc>
        <w:tc>
          <w:tcPr>
            <w:tcW w:w="4528" w:type="pct"/>
            <w:gridSpan w:val="6"/>
            <w:tcBorders>
              <w:tl2br w:val="nil"/>
              <w:tr2bl w:val="nil"/>
            </w:tcBorders>
            <w:noWrap w:val="0"/>
            <w:vAlign w:val="center"/>
          </w:tcPr>
          <w:p w14:paraId="170D4FD2">
            <w:pPr>
              <w:pStyle w:val="17"/>
              <w:bidi w:val="0"/>
              <w:jc w:val="both"/>
              <w:rPr>
                <w:rFonts w:hint="default"/>
                <w:color w:val="auto"/>
                <w:highlight w:val="none"/>
              </w:rPr>
            </w:pPr>
            <w:r>
              <w:rPr>
                <w:rFonts w:hint="default"/>
                <w:color w:val="auto"/>
                <w:highlight w:val="none"/>
              </w:rPr>
              <w:t>密闭操作，加强通风。</w:t>
            </w:r>
            <w:r>
              <w:rPr>
                <w:rFonts w:hint="eastAsia"/>
                <w:color w:val="auto"/>
                <w:highlight w:val="none"/>
                <w:lang w:eastAsia="zh-CN"/>
              </w:rPr>
              <w:t>操作尽可能机械化、自动化。操作人员必须经过专门训练，严格遵守操作规程。建议操作人员佩戴自吸过滤式防毒面具（全面罩），穿橡胶耐酸碱服，戴耐酸碱手套。远离火种、热源。工作场所严禁吸烟。远离易燃、可燃物。防止蒸气泄漏至工作场所空气中。避免与还原剂、碱类、碱金属接触。搬运时要轻装轻卸，防止包装及容器损坏。配备相应品种和数量的消防器材及泄漏应急处理设备。倒空的容器可能残留有害物。稀释或制备溶液时，应把酸加入水中，避免沸腾和飞溅</w:t>
            </w:r>
            <w:r>
              <w:rPr>
                <w:rFonts w:hint="default"/>
                <w:color w:val="auto"/>
                <w:highlight w:val="none"/>
              </w:rPr>
              <w:t>。</w:t>
            </w:r>
          </w:p>
        </w:tc>
      </w:tr>
      <w:tr w14:paraId="6F28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471" w:type="pct"/>
            <w:tcBorders>
              <w:tl2br w:val="nil"/>
              <w:tr2bl w:val="nil"/>
            </w:tcBorders>
            <w:noWrap w:val="0"/>
            <w:vAlign w:val="center"/>
          </w:tcPr>
          <w:p w14:paraId="563D41EE">
            <w:pPr>
              <w:pStyle w:val="17"/>
              <w:bidi w:val="0"/>
              <w:rPr>
                <w:rFonts w:hint="default"/>
                <w:color w:val="auto"/>
                <w:highlight w:val="none"/>
              </w:rPr>
            </w:pPr>
            <w:r>
              <w:rPr>
                <w:rFonts w:hint="default"/>
                <w:color w:val="auto"/>
                <w:highlight w:val="none"/>
              </w:rPr>
              <w:t>接触控制与个体防护</w:t>
            </w:r>
          </w:p>
        </w:tc>
        <w:tc>
          <w:tcPr>
            <w:tcW w:w="4528" w:type="pct"/>
            <w:gridSpan w:val="6"/>
            <w:tcBorders>
              <w:tl2br w:val="nil"/>
              <w:tr2bl w:val="nil"/>
            </w:tcBorders>
            <w:noWrap w:val="0"/>
            <w:vAlign w:val="center"/>
          </w:tcPr>
          <w:p w14:paraId="16E66B15">
            <w:pPr>
              <w:pStyle w:val="17"/>
              <w:bidi w:val="0"/>
              <w:jc w:val="both"/>
              <w:rPr>
                <w:rFonts w:hint="default"/>
                <w:color w:val="auto"/>
                <w:highlight w:val="none"/>
                <w:lang w:val="en-US" w:eastAsia="zh-CN"/>
              </w:rPr>
            </w:pPr>
            <w:r>
              <w:rPr>
                <w:rFonts w:hint="default"/>
                <w:color w:val="auto"/>
                <w:highlight w:val="none"/>
              </w:rPr>
              <w:t>最高容许浓度：中国</w:t>
            </w:r>
            <w:r>
              <w:rPr>
                <w:rFonts w:hint="eastAsia"/>
                <w:color w:val="auto"/>
                <w:highlight w:val="none"/>
                <w:lang w:val="en-US" w:eastAsia="zh-CN"/>
              </w:rPr>
              <w:t>TWA</w:t>
            </w:r>
            <w:r>
              <w:rPr>
                <w:rFonts w:hint="default"/>
                <w:color w:val="auto"/>
                <w:highlight w:val="none"/>
                <w:lang w:eastAsia="zh-CN"/>
              </w:rPr>
              <w:t>（</w:t>
            </w:r>
            <w:r>
              <w:rPr>
                <w:rFonts w:hint="default"/>
                <w:color w:val="auto"/>
                <w:highlight w:val="none"/>
              </w:rPr>
              <w:t>mg/m</w:t>
            </w:r>
            <w:r>
              <w:rPr>
                <w:rFonts w:hint="default"/>
                <w:color w:val="auto"/>
                <w:highlight w:val="none"/>
                <w:vertAlign w:val="superscript"/>
              </w:rPr>
              <w:t>3</w:t>
            </w:r>
            <w:r>
              <w:rPr>
                <w:rFonts w:hint="default"/>
                <w:color w:val="auto"/>
                <w:highlight w:val="none"/>
                <w:lang w:eastAsia="zh-CN"/>
              </w:rPr>
              <w:t>）</w:t>
            </w:r>
            <w:r>
              <w:rPr>
                <w:rFonts w:hint="default"/>
                <w:color w:val="auto"/>
                <w:highlight w:val="none"/>
              </w:rPr>
              <w:t>：</w:t>
            </w:r>
            <w:r>
              <w:rPr>
                <w:rFonts w:hint="eastAsia"/>
                <w:color w:val="auto"/>
                <w:highlight w:val="none"/>
                <w:lang w:val="en-US" w:eastAsia="zh-CN"/>
              </w:rPr>
              <w:t>1；PC-STEL：2。</w:t>
            </w:r>
          </w:p>
          <w:p w14:paraId="3E082EDA">
            <w:pPr>
              <w:pStyle w:val="17"/>
              <w:bidi w:val="0"/>
              <w:jc w:val="both"/>
              <w:rPr>
                <w:rFonts w:hint="default"/>
                <w:color w:val="auto"/>
                <w:highlight w:val="none"/>
              </w:rPr>
            </w:pPr>
            <w:r>
              <w:rPr>
                <w:rFonts w:hint="default"/>
                <w:color w:val="auto"/>
                <w:highlight w:val="none"/>
              </w:rPr>
              <w:t>工程控制：</w:t>
            </w:r>
            <w:r>
              <w:rPr>
                <w:rFonts w:hint="eastAsia"/>
                <w:color w:val="auto"/>
                <w:highlight w:val="none"/>
                <w:lang w:eastAsia="zh-CN"/>
              </w:rPr>
              <w:t>密闭操作，注意通风。提供安全淋浴和洗眼设备</w:t>
            </w:r>
            <w:r>
              <w:rPr>
                <w:rFonts w:hint="default"/>
                <w:color w:val="auto"/>
                <w:highlight w:val="none"/>
              </w:rPr>
              <w:t>。</w:t>
            </w:r>
          </w:p>
          <w:p w14:paraId="60AB10BB">
            <w:pPr>
              <w:pStyle w:val="17"/>
              <w:bidi w:val="0"/>
              <w:jc w:val="both"/>
              <w:rPr>
                <w:rFonts w:hint="default"/>
                <w:color w:val="auto"/>
                <w:highlight w:val="none"/>
              </w:rPr>
            </w:pPr>
            <w:r>
              <w:rPr>
                <w:rFonts w:hint="default"/>
                <w:color w:val="auto"/>
                <w:highlight w:val="none"/>
              </w:rPr>
              <w:t>呼吸系统防护：</w:t>
            </w:r>
            <w:r>
              <w:rPr>
                <w:rFonts w:hint="eastAsia"/>
                <w:color w:val="auto"/>
                <w:highlight w:val="none"/>
                <w:lang w:eastAsia="zh-CN"/>
              </w:rPr>
              <w:t>可能接触其烟雾时，</w:t>
            </w:r>
            <w:r>
              <w:rPr>
                <w:rFonts w:hint="default"/>
                <w:color w:val="auto"/>
                <w:highlight w:val="none"/>
              </w:rPr>
              <w:t>应该佩戴过滤式防毒面具（半面罩）</w:t>
            </w:r>
            <w:r>
              <w:rPr>
                <w:rFonts w:hint="eastAsia"/>
                <w:color w:val="auto"/>
                <w:highlight w:val="none"/>
                <w:lang w:eastAsia="zh-CN"/>
              </w:rPr>
              <w:t>或</w:t>
            </w:r>
            <w:r>
              <w:rPr>
                <w:rFonts w:hint="default"/>
                <w:color w:val="auto"/>
                <w:highlight w:val="none"/>
              </w:rPr>
              <w:t>空气呼吸器</w:t>
            </w:r>
            <w:r>
              <w:rPr>
                <w:rFonts w:hint="eastAsia"/>
                <w:color w:val="auto"/>
                <w:highlight w:val="none"/>
                <w:lang w:eastAsia="zh-CN"/>
              </w:rPr>
              <w:t>。紧急事态抢救或撤离时，建议佩戴</w:t>
            </w:r>
            <w:r>
              <w:rPr>
                <w:rFonts w:hint="default"/>
                <w:color w:val="auto"/>
                <w:highlight w:val="none"/>
              </w:rPr>
              <w:t>空气呼吸器。</w:t>
            </w:r>
          </w:p>
          <w:p w14:paraId="48C7E6C0">
            <w:pPr>
              <w:pStyle w:val="17"/>
              <w:bidi w:val="0"/>
              <w:jc w:val="both"/>
              <w:rPr>
                <w:rFonts w:hint="default"/>
                <w:color w:val="auto"/>
                <w:highlight w:val="none"/>
              </w:rPr>
            </w:pPr>
            <w:r>
              <w:rPr>
                <w:rFonts w:hint="default"/>
                <w:color w:val="auto"/>
                <w:highlight w:val="none"/>
              </w:rPr>
              <w:t>眼睛防护：</w:t>
            </w:r>
            <w:r>
              <w:rPr>
                <w:rFonts w:hint="eastAsia"/>
                <w:color w:val="auto"/>
                <w:highlight w:val="none"/>
                <w:lang w:eastAsia="zh-CN"/>
              </w:rPr>
              <w:t>呼吸系统防护中已做防护</w:t>
            </w:r>
            <w:r>
              <w:rPr>
                <w:rFonts w:hint="default"/>
                <w:color w:val="auto"/>
                <w:highlight w:val="none"/>
              </w:rPr>
              <w:t>。</w:t>
            </w:r>
          </w:p>
          <w:p w14:paraId="1A8AD832">
            <w:pPr>
              <w:pStyle w:val="17"/>
              <w:bidi w:val="0"/>
              <w:jc w:val="both"/>
              <w:rPr>
                <w:rFonts w:hint="default"/>
                <w:color w:val="auto"/>
                <w:highlight w:val="none"/>
              </w:rPr>
            </w:pPr>
            <w:r>
              <w:rPr>
                <w:rFonts w:hint="default"/>
                <w:color w:val="auto"/>
                <w:highlight w:val="none"/>
              </w:rPr>
              <w:t>身体防护：穿</w:t>
            </w:r>
            <w:r>
              <w:rPr>
                <w:rFonts w:hint="eastAsia"/>
                <w:color w:val="auto"/>
                <w:highlight w:val="none"/>
                <w:lang w:eastAsia="zh-CN"/>
              </w:rPr>
              <w:t>耐</w:t>
            </w:r>
            <w:r>
              <w:rPr>
                <w:rFonts w:hint="default"/>
                <w:color w:val="auto"/>
                <w:highlight w:val="none"/>
              </w:rPr>
              <w:t>酸碱工作服。</w:t>
            </w:r>
          </w:p>
          <w:p w14:paraId="7B5C977E">
            <w:pPr>
              <w:pStyle w:val="17"/>
              <w:bidi w:val="0"/>
              <w:jc w:val="both"/>
              <w:rPr>
                <w:rFonts w:hint="default"/>
                <w:color w:val="auto"/>
                <w:highlight w:val="none"/>
              </w:rPr>
            </w:pPr>
            <w:r>
              <w:rPr>
                <w:rFonts w:hint="default"/>
                <w:color w:val="auto"/>
                <w:highlight w:val="none"/>
              </w:rPr>
              <w:t>手防护：戴橡胶耐酸碱手套。</w:t>
            </w:r>
          </w:p>
          <w:p w14:paraId="56B1F8E6">
            <w:pPr>
              <w:pStyle w:val="17"/>
              <w:bidi w:val="0"/>
              <w:jc w:val="both"/>
              <w:rPr>
                <w:rFonts w:hint="default"/>
                <w:color w:val="auto"/>
                <w:highlight w:val="none"/>
              </w:rPr>
            </w:pPr>
            <w:r>
              <w:rPr>
                <w:rFonts w:hint="default"/>
                <w:color w:val="auto"/>
                <w:highlight w:val="none"/>
              </w:rPr>
              <w:t>其他防护：工作现场严禁吸烟</w:t>
            </w:r>
            <w:r>
              <w:rPr>
                <w:rFonts w:hint="eastAsia"/>
                <w:color w:val="auto"/>
                <w:highlight w:val="none"/>
                <w:lang w:eastAsia="zh-CN"/>
              </w:rPr>
              <w:t>、进食、饮水</w:t>
            </w:r>
            <w:r>
              <w:rPr>
                <w:rFonts w:hint="default"/>
                <w:color w:val="auto"/>
                <w:highlight w:val="none"/>
              </w:rPr>
              <w:t>。工作完毕，淋浴更衣。</w:t>
            </w:r>
            <w:r>
              <w:rPr>
                <w:rFonts w:hint="eastAsia"/>
                <w:color w:val="auto"/>
                <w:highlight w:val="none"/>
                <w:lang w:eastAsia="zh-CN"/>
              </w:rPr>
              <w:t>单独存放被毒物污染的衣服，洗后备用，保持良好的卫生习惯</w:t>
            </w:r>
            <w:r>
              <w:rPr>
                <w:rFonts w:hint="default"/>
                <w:color w:val="auto"/>
                <w:highlight w:val="none"/>
              </w:rPr>
              <w:t>。</w:t>
            </w:r>
          </w:p>
        </w:tc>
      </w:tr>
      <w:tr w14:paraId="4B84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5" w:hRule="atLeast"/>
          <w:jc w:val="center"/>
        </w:trPr>
        <w:tc>
          <w:tcPr>
            <w:tcW w:w="471" w:type="pct"/>
            <w:tcBorders>
              <w:tl2br w:val="nil"/>
              <w:tr2bl w:val="nil"/>
            </w:tcBorders>
            <w:noWrap w:val="0"/>
            <w:vAlign w:val="center"/>
          </w:tcPr>
          <w:p w14:paraId="4AE3B130">
            <w:pPr>
              <w:pStyle w:val="17"/>
              <w:bidi w:val="0"/>
              <w:rPr>
                <w:rFonts w:hint="default"/>
                <w:color w:val="auto"/>
                <w:highlight w:val="none"/>
              </w:rPr>
            </w:pPr>
            <w:r>
              <w:rPr>
                <w:rFonts w:hint="default"/>
                <w:color w:val="auto"/>
                <w:highlight w:val="none"/>
              </w:rPr>
              <w:t>泄漏应急处理</w:t>
            </w:r>
          </w:p>
        </w:tc>
        <w:tc>
          <w:tcPr>
            <w:tcW w:w="4528" w:type="pct"/>
            <w:gridSpan w:val="6"/>
            <w:tcBorders>
              <w:tl2br w:val="nil"/>
              <w:tr2bl w:val="nil"/>
            </w:tcBorders>
            <w:noWrap w:val="0"/>
            <w:vAlign w:val="center"/>
          </w:tcPr>
          <w:p w14:paraId="6B0FFE1E">
            <w:pPr>
              <w:pStyle w:val="17"/>
              <w:bidi w:val="0"/>
              <w:jc w:val="both"/>
              <w:rPr>
                <w:rFonts w:hint="default"/>
                <w:color w:val="auto"/>
                <w:highlight w:val="none"/>
              </w:rPr>
            </w:pPr>
            <w:r>
              <w:rPr>
                <w:rFonts w:hint="default"/>
                <w:color w:val="auto"/>
                <w:highlight w:val="none"/>
              </w:rPr>
              <w:t>应急行动：</w:t>
            </w:r>
            <w:r>
              <w:rPr>
                <w:rFonts w:hint="eastAsia"/>
                <w:color w:val="auto"/>
                <w:highlight w:val="none"/>
                <w:lang w:eastAsia="zh-CN"/>
              </w:rPr>
              <w:t>根据液体流动和蒸气扩散的影响区域划定警戒区，无关人员从侧风、上风向撤离至安全区，建议应急处理人员戴正压自给式呼吸器，穿防酸碱服，戴橡胶耐酸碱手套。穿上适当的防护服前严禁接触破裂的容器和泄漏物。尽可能切断泄漏源。勿使泄漏物与可燃物质接触。防止泄漏物质进入水体、下水道、地下室或限制性空间。小量泄漏：用干燥的沙土或其他不燃材料覆盖泄漏物，用洁净的无火花工具收集泄漏物，置于一盖子较松的塑料容器中，待处置。大量泄漏：构筑物堤或挖坑收容。用砂土、惰性物质或蛭石吸收大量液体。用石灰、碎石灰石或碳酸氢钠中和。用耐腐蚀泵转移至槽车或专用收集器内</w:t>
            </w:r>
            <w:r>
              <w:rPr>
                <w:rFonts w:hint="default"/>
                <w:color w:val="auto"/>
                <w:highlight w:val="none"/>
              </w:rPr>
              <w:t>。</w:t>
            </w:r>
          </w:p>
        </w:tc>
      </w:tr>
      <w:tr w14:paraId="0CA6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5" w:hRule="atLeast"/>
          <w:jc w:val="center"/>
        </w:trPr>
        <w:tc>
          <w:tcPr>
            <w:tcW w:w="471" w:type="pct"/>
            <w:tcBorders>
              <w:tl2br w:val="nil"/>
              <w:tr2bl w:val="nil"/>
            </w:tcBorders>
            <w:noWrap w:val="0"/>
            <w:vAlign w:val="center"/>
          </w:tcPr>
          <w:p w14:paraId="38D9D17B">
            <w:pPr>
              <w:pStyle w:val="17"/>
              <w:bidi w:val="0"/>
              <w:rPr>
                <w:rFonts w:hint="default"/>
                <w:color w:val="auto"/>
                <w:highlight w:val="none"/>
              </w:rPr>
            </w:pPr>
            <w:r>
              <w:rPr>
                <w:rFonts w:hint="default"/>
                <w:color w:val="auto"/>
                <w:highlight w:val="none"/>
              </w:rPr>
              <w:t>急救</w:t>
            </w:r>
          </w:p>
          <w:p w14:paraId="10535390">
            <w:pPr>
              <w:pStyle w:val="17"/>
              <w:bidi w:val="0"/>
              <w:rPr>
                <w:rFonts w:hint="default"/>
                <w:color w:val="auto"/>
                <w:highlight w:val="none"/>
              </w:rPr>
            </w:pPr>
            <w:r>
              <w:rPr>
                <w:rFonts w:hint="default"/>
                <w:color w:val="auto"/>
                <w:highlight w:val="none"/>
              </w:rPr>
              <w:t>措施</w:t>
            </w:r>
          </w:p>
        </w:tc>
        <w:tc>
          <w:tcPr>
            <w:tcW w:w="4528" w:type="pct"/>
            <w:gridSpan w:val="6"/>
            <w:tcBorders>
              <w:tl2br w:val="nil"/>
              <w:tr2bl w:val="nil"/>
            </w:tcBorders>
            <w:noWrap w:val="0"/>
            <w:vAlign w:val="center"/>
          </w:tcPr>
          <w:p w14:paraId="65250212">
            <w:pPr>
              <w:pStyle w:val="17"/>
              <w:bidi w:val="0"/>
              <w:jc w:val="both"/>
              <w:rPr>
                <w:rFonts w:hint="default"/>
                <w:color w:val="auto"/>
                <w:highlight w:val="none"/>
              </w:rPr>
            </w:pPr>
            <w:r>
              <w:rPr>
                <w:rFonts w:hint="default"/>
                <w:color w:val="auto"/>
                <w:highlight w:val="none"/>
              </w:rPr>
              <w:t>皮肤接触：立即脱去污染的衣着，用大量流动清水冲洗至少</w:t>
            </w:r>
            <w:r>
              <w:rPr>
                <w:rFonts w:hint="eastAsia"/>
                <w:color w:val="auto"/>
                <w:highlight w:val="none"/>
                <w:lang w:val="en-US" w:eastAsia="zh-CN"/>
              </w:rPr>
              <w:t>20</w:t>
            </w:r>
            <w:r>
              <w:rPr>
                <w:rFonts w:hint="default"/>
                <w:color w:val="auto"/>
                <w:highlight w:val="none"/>
              </w:rPr>
              <w:t>分钟。就医。</w:t>
            </w:r>
          </w:p>
          <w:p w14:paraId="4880DDC9">
            <w:pPr>
              <w:pStyle w:val="17"/>
              <w:bidi w:val="0"/>
              <w:jc w:val="both"/>
              <w:rPr>
                <w:rFonts w:hint="default"/>
                <w:color w:val="auto"/>
                <w:highlight w:val="none"/>
              </w:rPr>
            </w:pPr>
            <w:r>
              <w:rPr>
                <w:rFonts w:hint="default"/>
                <w:color w:val="auto"/>
                <w:highlight w:val="none"/>
              </w:rPr>
              <w:t>眼睛接触：立即提起眼睑，用大量流动清水或生理盐水彻底冲洗至少15分钟。就医。</w:t>
            </w:r>
          </w:p>
          <w:p w14:paraId="36432FCB">
            <w:pPr>
              <w:pStyle w:val="17"/>
              <w:bidi w:val="0"/>
              <w:jc w:val="both"/>
              <w:rPr>
                <w:rFonts w:hint="default"/>
                <w:color w:val="auto"/>
                <w:highlight w:val="none"/>
              </w:rPr>
            </w:pPr>
            <w:r>
              <w:rPr>
                <w:rFonts w:hint="default"/>
                <w:color w:val="auto"/>
                <w:highlight w:val="none"/>
              </w:rPr>
              <w:t>吸入：迅速脱离现场至空气新鲜处。保持呼吸道通畅。如呼吸困难，给输氧。如呼吸</w:t>
            </w:r>
            <w:r>
              <w:rPr>
                <w:rFonts w:hint="eastAsia"/>
                <w:color w:val="auto"/>
                <w:highlight w:val="none"/>
                <w:lang w:eastAsia="zh-CN"/>
              </w:rPr>
              <w:t>、心跳</w:t>
            </w:r>
            <w:r>
              <w:rPr>
                <w:rFonts w:hint="default"/>
                <w:color w:val="auto"/>
                <w:highlight w:val="none"/>
              </w:rPr>
              <w:t>停止，立即进行人工呼吸。就医。</w:t>
            </w:r>
          </w:p>
          <w:p w14:paraId="509082FE">
            <w:pPr>
              <w:pStyle w:val="17"/>
              <w:bidi w:val="0"/>
              <w:jc w:val="both"/>
              <w:rPr>
                <w:rFonts w:hint="default"/>
                <w:color w:val="auto"/>
                <w:highlight w:val="none"/>
              </w:rPr>
            </w:pPr>
            <w:r>
              <w:rPr>
                <w:rFonts w:hint="default"/>
                <w:color w:val="auto"/>
                <w:highlight w:val="none"/>
              </w:rPr>
              <w:t>食入：用水漱口，</w:t>
            </w:r>
            <w:r>
              <w:rPr>
                <w:rFonts w:hint="eastAsia"/>
                <w:color w:val="auto"/>
                <w:highlight w:val="none"/>
                <w:lang w:eastAsia="zh-CN"/>
              </w:rPr>
              <w:t>饮牛奶或蛋清，禁止催吐，</w:t>
            </w:r>
            <w:r>
              <w:rPr>
                <w:rFonts w:hint="default"/>
                <w:color w:val="auto"/>
                <w:highlight w:val="none"/>
              </w:rPr>
              <w:t>就医。</w:t>
            </w:r>
          </w:p>
        </w:tc>
      </w:tr>
      <w:tr w14:paraId="3B2C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atLeast"/>
          <w:jc w:val="center"/>
        </w:trPr>
        <w:tc>
          <w:tcPr>
            <w:tcW w:w="471" w:type="pct"/>
            <w:vMerge w:val="restart"/>
            <w:tcBorders>
              <w:tl2br w:val="nil"/>
              <w:tr2bl w:val="nil"/>
            </w:tcBorders>
            <w:noWrap w:val="0"/>
            <w:vAlign w:val="center"/>
          </w:tcPr>
          <w:p w14:paraId="13C9570C">
            <w:pPr>
              <w:pStyle w:val="17"/>
              <w:bidi w:val="0"/>
              <w:rPr>
                <w:rFonts w:hint="default"/>
                <w:color w:val="auto"/>
                <w:highlight w:val="none"/>
              </w:rPr>
            </w:pPr>
            <w:r>
              <w:rPr>
                <w:rFonts w:hint="default"/>
                <w:color w:val="auto"/>
                <w:highlight w:val="none"/>
              </w:rPr>
              <w:t>贮存</w:t>
            </w:r>
          </w:p>
          <w:p w14:paraId="331BC9E0">
            <w:pPr>
              <w:pStyle w:val="17"/>
              <w:bidi w:val="0"/>
              <w:rPr>
                <w:rFonts w:hint="default"/>
                <w:color w:val="auto"/>
                <w:highlight w:val="none"/>
              </w:rPr>
            </w:pPr>
            <w:r>
              <w:rPr>
                <w:rFonts w:hint="default"/>
                <w:color w:val="auto"/>
                <w:highlight w:val="none"/>
              </w:rPr>
              <w:t>运输</w:t>
            </w:r>
          </w:p>
        </w:tc>
        <w:tc>
          <w:tcPr>
            <w:tcW w:w="4528" w:type="pct"/>
            <w:gridSpan w:val="6"/>
            <w:tcBorders>
              <w:tl2br w:val="nil"/>
              <w:tr2bl w:val="nil"/>
            </w:tcBorders>
            <w:noWrap w:val="0"/>
            <w:vAlign w:val="center"/>
          </w:tcPr>
          <w:p w14:paraId="4A589965">
            <w:pPr>
              <w:pStyle w:val="17"/>
              <w:bidi w:val="0"/>
              <w:jc w:val="both"/>
              <w:rPr>
                <w:rFonts w:hint="eastAsia"/>
                <w:color w:val="auto"/>
                <w:highlight w:val="none"/>
                <w:lang w:eastAsia="zh-CN"/>
              </w:rPr>
            </w:pPr>
            <w:r>
              <w:rPr>
                <w:rFonts w:hint="eastAsia"/>
                <w:color w:val="auto"/>
                <w:highlight w:val="none"/>
                <w:lang w:eastAsia="zh-CN"/>
              </w:rPr>
              <w:t>包装类别：Ⅰ类包装；包装标志：腐蚀品；包装方法：耐酸坛或陶瓷瓶外普通木箱或花格木箱，磨砂口玻璃瓶或螺纹口玻璃瓶外普通木箱。</w:t>
            </w:r>
          </w:p>
          <w:p w14:paraId="0A0FCC6F">
            <w:pPr>
              <w:pStyle w:val="17"/>
              <w:bidi w:val="0"/>
              <w:jc w:val="both"/>
              <w:rPr>
                <w:rFonts w:hint="default"/>
                <w:color w:val="auto"/>
                <w:highlight w:val="none"/>
              </w:rPr>
            </w:pPr>
            <w:r>
              <w:rPr>
                <w:rFonts w:hint="default"/>
                <w:color w:val="auto"/>
                <w:highlight w:val="none"/>
              </w:rPr>
              <w:t>运输注意事项：</w:t>
            </w:r>
            <w:r>
              <w:rPr>
                <w:rFonts w:hint="eastAsia"/>
                <w:color w:val="auto"/>
                <w:highlight w:val="none"/>
                <w:lang w:eastAsia="zh-CN"/>
              </w:rPr>
              <w:t>本品铁路运输时限使用钢制企业自备罐车装运，装运前须报有关部门批准。铁路非罐装运输时应严格按照铁道部《危险货物运输规则》中危险货物配装表进行配装。起运时包装要完整，装载应稳妥。运输过程中要确保容器不泄漏、不倒塌、不坠落、不损坏。严禁与易燃物或可燃物、还原剂、碱类、碱金属、食用化学品等混装混运。运输途中应防暴晒、雨淋，防高温。公路运输时要按规定路线行驶，勿在居民区和人口稠密区停留。本品属第三类易制毒化学品，托运时，须持有运出地县级人民政府发给的备案证明</w:t>
            </w:r>
            <w:r>
              <w:rPr>
                <w:rFonts w:hint="default"/>
                <w:color w:val="auto"/>
                <w:highlight w:val="none"/>
              </w:rPr>
              <w:t>。</w:t>
            </w:r>
          </w:p>
        </w:tc>
      </w:tr>
      <w:tr w14:paraId="4258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5" w:hRule="atLeast"/>
          <w:jc w:val="center"/>
        </w:trPr>
        <w:tc>
          <w:tcPr>
            <w:tcW w:w="471" w:type="pct"/>
            <w:vMerge w:val="continue"/>
            <w:tcBorders>
              <w:tl2br w:val="nil"/>
              <w:tr2bl w:val="nil"/>
            </w:tcBorders>
            <w:noWrap w:val="0"/>
            <w:vAlign w:val="center"/>
          </w:tcPr>
          <w:p w14:paraId="3CBAC2FD">
            <w:pPr>
              <w:pStyle w:val="17"/>
              <w:bidi w:val="0"/>
              <w:rPr>
                <w:rFonts w:hint="default"/>
                <w:color w:val="auto"/>
                <w:highlight w:val="none"/>
              </w:rPr>
            </w:pPr>
          </w:p>
        </w:tc>
        <w:tc>
          <w:tcPr>
            <w:tcW w:w="4528" w:type="pct"/>
            <w:gridSpan w:val="6"/>
            <w:tcBorders>
              <w:tl2br w:val="nil"/>
              <w:tr2bl w:val="nil"/>
            </w:tcBorders>
            <w:noWrap w:val="0"/>
            <w:vAlign w:val="center"/>
          </w:tcPr>
          <w:p w14:paraId="3E60FE93">
            <w:pPr>
              <w:pStyle w:val="17"/>
              <w:bidi w:val="0"/>
              <w:jc w:val="both"/>
              <w:rPr>
                <w:rFonts w:hint="default"/>
                <w:color w:val="auto"/>
                <w:highlight w:val="none"/>
              </w:rPr>
            </w:pPr>
            <w:r>
              <w:rPr>
                <w:rFonts w:hint="default"/>
                <w:color w:val="auto"/>
                <w:highlight w:val="none"/>
              </w:rPr>
              <w:t>储存注意事项：</w:t>
            </w:r>
          </w:p>
          <w:p w14:paraId="7A6DE3DA">
            <w:pPr>
              <w:pStyle w:val="17"/>
              <w:bidi w:val="0"/>
              <w:jc w:val="both"/>
              <w:rPr>
                <w:rFonts w:hint="default"/>
                <w:color w:val="auto"/>
                <w:highlight w:val="none"/>
              </w:rPr>
            </w:pPr>
            <w:r>
              <w:rPr>
                <w:rFonts w:hint="default"/>
                <w:color w:val="auto"/>
                <w:highlight w:val="none"/>
              </w:rPr>
              <w:t>储存于阴凉、通风的仓库。</w:t>
            </w:r>
            <w:r>
              <w:rPr>
                <w:rFonts w:hint="eastAsia"/>
                <w:color w:val="auto"/>
                <w:highlight w:val="none"/>
                <w:lang w:eastAsia="zh-CN"/>
              </w:rPr>
              <w:t>保持容器密封。应与易（可）燃物、还原剂、碱类、碱金属、食用化学品分开存放，切忌混储。储区应备有泄漏应急处理设备和合适的收容材料</w:t>
            </w:r>
            <w:r>
              <w:rPr>
                <w:rFonts w:hint="default"/>
                <w:color w:val="auto"/>
                <w:highlight w:val="none"/>
              </w:rPr>
              <w:t>。</w:t>
            </w:r>
          </w:p>
        </w:tc>
      </w:tr>
      <w:bookmarkEnd w:id="365"/>
    </w:tbl>
    <w:p w14:paraId="50ADAF0E">
      <w:pPr>
        <w:shd w:val="clear"/>
        <w:ind w:firstLine="480"/>
        <w:rPr>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rPr>
        <w:t>能源消耗</w:t>
      </w:r>
    </w:p>
    <w:p w14:paraId="461DC3EF">
      <w:pPr>
        <w:shd w:val="clear"/>
        <w:ind w:firstLine="480"/>
        <w:rPr>
          <w:color w:val="auto"/>
          <w:highlight w:val="none"/>
        </w:rPr>
      </w:pPr>
      <w:r>
        <w:rPr>
          <w:rFonts w:hint="eastAsia"/>
          <w:color w:val="auto"/>
          <w:highlight w:val="none"/>
        </w:rPr>
        <w:t>本项目</w:t>
      </w:r>
      <w:r>
        <w:rPr>
          <w:rFonts w:hint="eastAsia"/>
          <w:color w:val="auto"/>
          <w:highlight w:val="none"/>
          <w:lang w:val="en-US" w:eastAsia="zh-CN"/>
        </w:rPr>
        <w:t>选矿厂</w:t>
      </w:r>
      <w:r>
        <w:rPr>
          <w:rFonts w:hint="eastAsia"/>
          <w:color w:val="auto"/>
          <w:highlight w:val="none"/>
        </w:rPr>
        <w:t>主要能源消耗为：电、水等，具体见表3.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10</w:t>
      </w:r>
      <w:r>
        <w:rPr>
          <w:rFonts w:hint="eastAsia"/>
          <w:color w:val="auto"/>
          <w:highlight w:val="none"/>
        </w:rPr>
        <w:t>。</w:t>
      </w:r>
    </w:p>
    <w:p w14:paraId="5B6AE993">
      <w:pPr>
        <w:shd w:val="clear"/>
        <w:ind w:firstLine="0" w:firstLineChars="0"/>
        <w:jc w:val="center"/>
        <w:rPr>
          <w:b/>
          <w:color w:val="auto"/>
          <w:highlight w:val="none"/>
        </w:rPr>
      </w:pPr>
      <w:r>
        <w:rPr>
          <w:b/>
          <w:color w:val="auto"/>
          <w:highlight w:val="none"/>
        </w:rPr>
        <w:t>表3.</w:t>
      </w:r>
      <w:r>
        <w:rPr>
          <w:rFonts w:hint="eastAsia"/>
          <w:b/>
          <w:color w:val="auto"/>
          <w:highlight w:val="none"/>
          <w:lang w:val="en-US" w:eastAsia="zh-CN"/>
        </w:rPr>
        <w:t>1</w:t>
      </w:r>
      <w:r>
        <w:rPr>
          <w:b/>
          <w:color w:val="auto"/>
          <w:highlight w:val="none"/>
        </w:rPr>
        <w:t>-</w:t>
      </w:r>
      <w:r>
        <w:rPr>
          <w:rFonts w:hint="eastAsia"/>
          <w:b/>
          <w:color w:val="auto"/>
          <w:highlight w:val="none"/>
          <w:lang w:val="en-US" w:eastAsia="zh-CN"/>
        </w:rPr>
        <w:t>10</w:t>
      </w:r>
      <w:r>
        <w:rPr>
          <w:rFonts w:hint="eastAsia"/>
          <w:b/>
          <w:color w:val="auto"/>
          <w:highlight w:val="none"/>
        </w:rPr>
        <w:t>本项目主要能源消耗</w:t>
      </w:r>
      <w:r>
        <w:rPr>
          <w:rFonts w:hint="eastAsia"/>
          <w:b/>
          <w:color w:val="auto"/>
          <w:highlight w:val="none"/>
          <w:lang w:val="en-US" w:eastAsia="zh-CN"/>
        </w:rPr>
        <w:t>一览</w:t>
      </w:r>
      <w:r>
        <w:rPr>
          <w:rFonts w:hint="eastAsia"/>
          <w:b/>
          <w:color w:val="auto"/>
          <w:highlight w:val="none"/>
        </w:rPr>
        <w:t>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7"/>
        <w:gridCol w:w="2715"/>
        <w:gridCol w:w="3587"/>
      </w:tblGrid>
      <w:tr w14:paraId="4B6E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1301" w:type="pct"/>
            <w:tcBorders>
              <w:tl2br w:val="nil"/>
              <w:tr2bl w:val="nil"/>
            </w:tcBorders>
            <w:shd w:val="clear" w:color="auto" w:fill="auto"/>
            <w:vAlign w:val="center"/>
          </w:tcPr>
          <w:p w14:paraId="3BD46403">
            <w:pPr>
              <w:shd w:val="clear"/>
              <w:spacing w:line="360" w:lineRule="exact"/>
              <w:ind w:firstLine="0" w:firstLineChars="0"/>
              <w:jc w:val="center"/>
              <w:rPr>
                <w:b/>
                <w:bCs/>
                <w:color w:val="auto"/>
                <w:kern w:val="0"/>
                <w:sz w:val="21"/>
                <w:szCs w:val="21"/>
                <w:highlight w:val="none"/>
              </w:rPr>
            </w:pPr>
            <w:r>
              <w:rPr>
                <w:rFonts w:hint="eastAsia"/>
                <w:b/>
                <w:bCs/>
                <w:color w:val="auto"/>
                <w:kern w:val="0"/>
                <w:sz w:val="21"/>
                <w:szCs w:val="21"/>
                <w:highlight w:val="none"/>
              </w:rPr>
              <w:t>序号</w:t>
            </w:r>
          </w:p>
        </w:tc>
        <w:tc>
          <w:tcPr>
            <w:tcW w:w="1593" w:type="pct"/>
            <w:tcBorders>
              <w:tl2br w:val="nil"/>
              <w:tr2bl w:val="nil"/>
            </w:tcBorders>
            <w:shd w:val="clear" w:color="auto" w:fill="auto"/>
            <w:vAlign w:val="center"/>
          </w:tcPr>
          <w:p w14:paraId="0C4AB200">
            <w:pPr>
              <w:shd w:val="clear"/>
              <w:spacing w:line="360" w:lineRule="exact"/>
              <w:ind w:firstLine="0" w:firstLineChars="0"/>
              <w:jc w:val="center"/>
              <w:rPr>
                <w:b/>
                <w:bCs/>
                <w:color w:val="auto"/>
                <w:kern w:val="0"/>
                <w:sz w:val="21"/>
                <w:szCs w:val="21"/>
                <w:highlight w:val="none"/>
              </w:rPr>
            </w:pPr>
            <w:r>
              <w:rPr>
                <w:rFonts w:hint="eastAsia"/>
                <w:b/>
                <w:bCs/>
                <w:color w:val="auto"/>
                <w:kern w:val="0"/>
                <w:sz w:val="21"/>
                <w:szCs w:val="21"/>
                <w:highlight w:val="none"/>
              </w:rPr>
              <w:t>名称</w:t>
            </w:r>
          </w:p>
        </w:tc>
        <w:tc>
          <w:tcPr>
            <w:tcW w:w="2105" w:type="pct"/>
            <w:tcBorders>
              <w:tl2br w:val="nil"/>
              <w:tr2bl w:val="nil"/>
            </w:tcBorders>
            <w:shd w:val="clear" w:color="auto" w:fill="auto"/>
            <w:vAlign w:val="center"/>
          </w:tcPr>
          <w:p w14:paraId="70CA5AE7">
            <w:pPr>
              <w:shd w:val="clear"/>
              <w:spacing w:line="360" w:lineRule="exact"/>
              <w:ind w:firstLine="0" w:firstLineChars="0"/>
              <w:jc w:val="center"/>
              <w:rPr>
                <w:b/>
                <w:bCs/>
                <w:color w:val="auto"/>
                <w:kern w:val="0"/>
                <w:sz w:val="21"/>
                <w:szCs w:val="21"/>
                <w:highlight w:val="none"/>
              </w:rPr>
            </w:pPr>
            <w:r>
              <w:rPr>
                <w:rFonts w:hint="eastAsia"/>
                <w:b/>
                <w:bCs/>
                <w:color w:val="auto"/>
                <w:kern w:val="0"/>
                <w:sz w:val="21"/>
                <w:szCs w:val="21"/>
                <w:highlight w:val="none"/>
              </w:rPr>
              <w:t>年消耗量</w:t>
            </w:r>
          </w:p>
        </w:tc>
      </w:tr>
      <w:tr w14:paraId="523C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pct"/>
            <w:tcBorders>
              <w:tl2br w:val="nil"/>
              <w:tr2bl w:val="nil"/>
            </w:tcBorders>
            <w:shd w:val="clear" w:color="auto" w:fill="auto"/>
            <w:vAlign w:val="center"/>
          </w:tcPr>
          <w:p w14:paraId="6D1B4391">
            <w:pPr>
              <w:shd w:val="clear"/>
              <w:spacing w:line="360" w:lineRule="exact"/>
              <w:ind w:firstLine="0" w:firstLineChars="0"/>
              <w:jc w:val="center"/>
              <w:rPr>
                <w:color w:val="auto"/>
                <w:kern w:val="0"/>
                <w:sz w:val="21"/>
                <w:szCs w:val="21"/>
                <w:highlight w:val="none"/>
              </w:rPr>
            </w:pPr>
            <w:r>
              <w:rPr>
                <w:rFonts w:hint="eastAsia"/>
                <w:color w:val="auto"/>
                <w:kern w:val="0"/>
                <w:sz w:val="21"/>
                <w:szCs w:val="21"/>
                <w:highlight w:val="none"/>
              </w:rPr>
              <w:t>1</w:t>
            </w:r>
          </w:p>
        </w:tc>
        <w:tc>
          <w:tcPr>
            <w:tcW w:w="1593" w:type="pct"/>
            <w:tcBorders>
              <w:tl2br w:val="nil"/>
              <w:tr2bl w:val="nil"/>
            </w:tcBorders>
            <w:shd w:val="clear" w:color="auto" w:fill="auto"/>
            <w:vAlign w:val="center"/>
          </w:tcPr>
          <w:p w14:paraId="166FF3AE">
            <w:pPr>
              <w:shd w:val="clear"/>
              <w:spacing w:line="360" w:lineRule="exact"/>
              <w:ind w:firstLine="0" w:firstLineChars="0"/>
              <w:jc w:val="center"/>
              <w:rPr>
                <w:color w:val="auto"/>
                <w:kern w:val="0"/>
                <w:sz w:val="21"/>
                <w:szCs w:val="21"/>
                <w:highlight w:val="none"/>
              </w:rPr>
            </w:pPr>
            <w:r>
              <w:rPr>
                <w:rFonts w:hint="eastAsia"/>
                <w:color w:val="auto"/>
                <w:kern w:val="0"/>
                <w:sz w:val="21"/>
                <w:szCs w:val="21"/>
                <w:highlight w:val="none"/>
              </w:rPr>
              <w:t>新鲜水</w:t>
            </w:r>
          </w:p>
        </w:tc>
        <w:tc>
          <w:tcPr>
            <w:tcW w:w="2105" w:type="pct"/>
            <w:tcBorders>
              <w:tl2br w:val="nil"/>
              <w:tr2bl w:val="nil"/>
            </w:tcBorders>
            <w:shd w:val="clear" w:color="auto" w:fill="auto"/>
            <w:vAlign w:val="center"/>
          </w:tcPr>
          <w:p w14:paraId="6527CACE">
            <w:pPr>
              <w:shd w:val="clear"/>
              <w:spacing w:line="360" w:lineRule="exact"/>
              <w:ind w:firstLine="0" w:firstLineChars="0"/>
              <w:jc w:val="center"/>
              <w:rPr>
                <w:rFonts w:hint="default"/>
                <w:color w:val="auto"/>
                <w:kern w:val="0"/>
                <w:sz w:val="21"/>
                <w:szCs w:val="21"/>
                <w:highlight w:val="none"/>
                <w:lang w:val="en-US"/>
              </w:rPr>
            </w:pPr>
            <w:r>
              <w:rPr>
                <w:rFonts w:hint="eastAsia"/>
                <w:color w:val="auto"/>
                <w:kern w:val="0"/>
                <w:sz w:val="21"/>
                <w:szCs w:val="21"/>
                <w:highlight w:val="none"/>
                <w:lang w:val="en-US" w:eastAsia="zh-CN"/>
              </w:rPr>
              <w:t>首采期126.0249</w:t>
            </w:r>
            <w:r>
              <w:rPr>
                <w:rFonts w:hint="eastAsia"/>
                <w:color w:val="auto"/>
                <w:kern w:val="0"/>
                <w:sz w:val="21"/>
                <w:szCs w:val="21"/>
                <w:highlight w:val="none"/>
                <w:lang w:eastAsia="zh-CN"/>
              </w:rPr>
              <w:t>万</w:t>
            </w:r>
            <w:r>
              <w:rPr>
                <w:rFonts w:hint="eastAsia"/>
                <w:color w:val="auto"/>
                <w:kern w:val="0"/>
                <w:sz w:val="21"/>
                <w:szCs w:val="21"/>
                <w:highlight w:val="none"/>
              </w:rPr>
              <w:t>m</w:t>
            </w:r>
            <w:r>
              <w:rPr>
                <w:rFonts w:hint="eastAsia"/>
                <w:color w:val="auto"/>
                <w:kern w:val="0"/>
                <w:sz w:val="21"/>
                <w:szCs w:val="21"/>
                <w:highlight w:val="none"/>
                <w:vertAlign w:val="superscript"/>
              </w:rPr>
              <w:t>3</w:t>
            </w:r>
            <w:r>
              <w:rPr>
                <w:rFonts w:hint="eastAsia"/>
                <w:color w:val="auto"/>
                <w:kern w:val="0"/>
                <w:sz w:val="21"/>
                <w:szCs w:val="21"/>
                <w:highlight w:val="none"/>
              </w:rPr>
              <w:t>/a</w:t>
            </w:r>
            <w:r>
              <w:rPr>
                <w:rFonts w:hint="eastAsia"/>
                <w:color w:val="auto"/>
                <w:sz w:val="21"/>
                <w:szCs w:val="21"/>
                <w:highlight w:val="none"/>
                <w:lang w:eastAsia="zh-CN"/>
              </w:rPr>
              <w:t>、</w:t>
            </w:r>
            <w:r>
              <w:rPr>
                <w:rFonts w:hint="eastAsia"/>
                <w:color w:val="auto"/>
                <w:sz w:val="21"/>
                <w:szCs w:val="21"/>
                <w:highlight w:val="none"/>
                <w:lang w:val="en-US" w:eastAsia="zh-CN"/>
              </w:rPr>
              <w:t>中期10.5249</w:t>
            </w:r>
            <w:r>
              <w:rPr>
                <w:rFonts w:hint="eastAsia"/>
                <w:color w:val="auto"/>
                <w:kern w:val="0"/>
                <w:sz w:val="21"/>
                <w:szCs w:val="21"/>
                <w:highlight w:val="none"/>
                <w:lang w:eastAsia="zh-CN"/>
              </w:rPr>
              <w:t>万</w:t>
            </w:r>
            <w:r>
              <w:rPr>
                <w:rFonts w:hint="eastAsia"/>
                <w:color w:val="auto"/>
                <w:kern w:val="0"/>
                <w:sz w:val="21"/>
                <w:szCs w:val="21"/>
                <w:highlight w:val="none"/>
              </w:rPr>
              <w:t>m</w:t>
            </w:r>
            <w:r>
              <w:rPr>
                <w:rFonts w:hint="eastAsia"/>
                <w:color w:val="auto"/>
                <w:kern w:val="0"/>
                <w:sz w:val="21"/>
                <w:szCs w:val="21"/>
                <w:highlight w:val="none"/>
                <w:vertAlign w:val="superscript"/>
              </w:rPr>
              <w:t>3</w:t>
            </w:r>
            <w:r>
              <w:rPr>
                <w:rFonts w:hint="eastAsia"/>
                <w:color w:val="auto"/>
                <w:kern w:val="0"/>
                <w:sz w:val="21"/>
                <w:szCs w:val="21"/>
                <w:highlight w:val="none"/>
              </w:rPr>
              <w:t>/a</w:t>
            </w:r>
            <w:r>
              <w:rPr>
                <w:rFonts w:hint="eastAsia"/>
                <w:color w:val="auto"/>
                <w:sz w:val="21"/>
                <w:szCs w:val="21"/>
                <w:highlight w:val="none"/>
                <w:lang w:val="en-US" w:eastAsia="zh-CN"/>
              </w:rPr>
              <w:t>、终期0.8349</w:t>
            </w:r>
            <w:r>
              <w:rPr>
                <w:rFonts w:hint="eastAsia"/>
                <w:color w:val="auto"/>
                <w:kern w:val="0"/>
                <w:sz w:val="21"/>
                <w:szCs w:val="21"/>
                <w:highlight w:val="none"/>
                <w:lang w:eastAsia="zh-CN"/>
              </w:rPr>
              <w:t>万</w:t>
            </w:r>
            <w:r>
              <w:rPr>
                <w:rFonts w:hint="eastAsia"/>
                <w:color w:val="auto"/>
                <w:kern w:val="0"/>
                <w:sz w:val="21"/>
                <w:szCs w:val="21"/>
                <w:highlight w:val="none"/>
              </w:rPr>
              <w:t>m</w:t>
            </w:r>
            <w:r>
              <w:rPr>
                <w:rFonts w:hint="eastAsia"/>
                <w:color w:val="auto"/>
                <w:kern w:val="0"/>
                <w:sz w:val="21"/>
                <w:szCs w:val="21"/>
                <w:highlight w:val="none"/>
                <w:vertAlign w:val="superscript"/>
              </w:rPr>
              <w:t>3</w:t>
            </w:r>
            <w:r>
              <w:rPr>
                <w:rFonts w:hint="eastAsia"/>
                <w:color w:val="auto"/>
                <w:kern w:val="0"/>
                <w:sz w:val="21"/>
                <w:szCs w:val="21"/>
                <w:highlight w:val="none"/>
              </w:rPr>
              <w:t>/a</w:t>
            </w:r>
          </w:p>
        </w:tc>
      </w:tr>
      <w:tr w14:paraId="1ED5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pct"/>
            <w:tcBorders>
              <w:tl2br w:val="nil"/>
              <w:tr2bl w:val="nil"/>
            </w:tcBorders>
            <w:shd w:val="clear" w:color="auto" w:fill="auto"/>
            <w:vAlign w:val="center"/>
          </w:tcPr>
          <w:p w14:paraId="35EB0330">
            <w:pPr>
              <w:shd w:val="clear"/>
              <w:spacing w:line="360" w:lineRule="exact"/>
              <w:ind w:firstLine="0" w:firstLineChars="0"/>
              <w:jc w:val="center"/>
              <w:rPr>
                <w:color w:val="auto"/>
                <w:kern w:val="0"/>
                <w:sz w:val="21"/>
                <w:szCs w:val="21"/>
                <w:highlight w:val="none"/>
              </w:rPr>
            </w:pPr>
            <w:r>
              <w:rPr>
                <w:rFonts w:hint="eastAsia"/>
                <w:color w:val="auto"/>
                <w:kern w:val="0"/>
                <w:sz w:val="21"/>
                <w:szCs w:val="21"/>
                <w:highlight w:val="none"/>
              </w:rPr>
              <w:t>2</w:t>
            </w:r>
          </w:p>
        </w:tc>
        <w:tc>
          <w:tcPr>
            <w:tcW w:w="1593" w:type="pct"/>
            <w:tcBorders>
              <w:tl2br w:val="nil"/>
              <w:tr2bl w:val="nil"/>
            </w:tcBorders>
            <w:shd w:val="clear" w:color="auto" w:fill="auto"/>
            <w:vAlign w:val="center"/>
          </w:tcPr>
          <w:p w14:paraId="0F8F3B9F">
            <w:pPr>
              <w:shd w:val="clear"/>
              <w:spacing w:line="360" w:lineRule="exact"/>
              <w:ind w:firstLine="0" w:firstLineChars="0"/>
              <w:jc w:val="center"/>
              <w:rPr>
                <w:color w:val="auto"/>
                <w:kern w:val="0"/>
                <w:sz w:val="21"/>
                <w:szCs w:val="21"/>
                <w:highlight w:val="none"/>
              </w:rPr>
            </w:pPr>
            <w:r>
              <w:rPr>
                <w:rFonts w:hint="eastAsia"/>
                <w:color w:val="auto"/>
                <w:kern w:val="0"/>
                <w:sz w:val="21"/>
                <w:szCs w:val="21"/>
                <w:highlight w:val="none"/>
              </w:rPr>
              <w:t>电</w:t>
            </w:r>
          </w:p>
        </w:tc>
        <w:tc>
          <w:tcPr>
            <w:tcW w:w="2105" w:type="pct"/>
            <w:tcBorders>
              <w:tl2br w:val="nil"/>
              <w:tr2bl w:val="nil"/>
            </w:tcBorders>
            <w:shd w:val="clear" w:color="auto" w:fill="auto"/>
            <w:vAlign w:val="center"/>
          </w:tcPr>
          <w:p w14:paraId="5704FF32">
            <w:pPr>
              <w:shd w:val="clear"/>
              <w:spacing w:line="360" w:lineRule="exact"/>
              <w:ind w:firstLine="0" w:firstLineChars="0"/>
              <w:jc w:val="center"/>
              <w:rPr>
                <w:color w:val="auto"/>
                <w:kern w:val="0"/>
                <w:sz w:val="21"/>
                <w:szCs w:val="21"/>
                <w:highlight w:val="none"/>
              </w:rPr>
            </w:pPr>
            <w:r>
              <w:rPr>
                <w:rFonts w:hint="eastAsia"/>
                <w:color w:val="auto"/>
                <w:kern w:val="0"/>
                <w:sz w:val="21"/>
                <w:szCs w:val="21"/>
                <w:highlight w:val="none"/>
                <w:lang w:val="en-US" w:eastAsia="zh-CN"/>
              </w:rPr>
              <w:t>10144.37</w:t>
            </w:r>
            <w:r>
              <w:rPr>
                <w:rFonts w:hint="eastAsia"/>
                <w:color w:val="auto"/>
                <w:kern w:val="0"/>
                <w:sz w:val="21"/>
                <w:szCs w:val="21"/>
                <w:highlight w:val="none"/>
                <w:lang w:eastAsia="zh-CN"/>
              </w:rPr>
              <w:t>万</w:t>
            </w:r>
            <w:r>
              <w:rPr>
                <w:color w:val="auto"/>
                <w:kern w:val="0"/>
                <w:sz w:val="21"/>
                <w:szCs w:val="21"/>
                <w:highlight w:val="none"/>
              </w:rPr>
              <w:t>kW</w:t>
            </w:r>
            <w:r>
              <w:rPr>
                <w:rFonts w:hint="default" w:ascii="Times New Roman" w:hAnsi="Times New Roman" w:cs="Times New Roman"/>
                <w:color w:val="auto"/>
                <w:kern w:val="0"/>
                <w:sz w:val="21"/>
                <w:szCs w:val="21"/>
                <w:highlight w:val="none"/>
              </w:rPr>
              <w:t>·</w:t>
            </w:r>
            <w:r>
              <w:rPr>
                <w:color w:val="auto"/>
                <w:kern w:val="0"/>
                <w:sz w:val="21"/>
                <w:szCs w:val="21"/>
                <w:highlight w:val="none"/>
              </w:rPr>
              <w:t>h</w:t>
            </w:r>
          </w:p>
        </w:tc>
      </w:tr>
      <w:bookmarkEnd w:id="356"/>
      <w:bookmarkEnd w:id="357"/>
      <w:bookmarkEnd w:id="358"/>
      <w:bookmarkEnd w:id="359"/>
      <w:bookmarkEnd w:id="360"/>
    </w:tbl>
    <w:p w14:paraId="3EDF7981">
      <w:pPr>
        <w:pStyle w:val="6"/>
        <w:shd w:val="clear"/>
        <w:bidi w:val="0"/>
        <w:rPr>
          <w:rFonts w:hint="eastAsia"/>
          <w:color w:val="auto"/>
          <w:highlight w:val="none"/>
          <w:lang w:val="en-US" w:eastAsia="zh-CN"/>
        </w:rPr>
      </w:pPr>
      <w:bookmarkStart w:id="369" w:name="_Toc8567"/>
      <w:bookmarkStart w:id="370" w:name="_Toc20881"/>
      <w:bookmarkStart w:id="371" w:name="_Toc21589"/>
      <w:r>
        <w:rPr>
          <w:rFonts w:hint="eastAsia"/>
          <w:color w:val="auto"/>
          <w:highlight w:val="none"/>
        </w:rPr>
        <w:t>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6工作制度及劳动定员</w:t>
      </w:r>
    </w:p>
    <w:p w14:paraId="64A5D61A">
      <w:pPr>
        <w:bidi w:val="0"/>
        <w:rPr>
          <w:color w:val="auto"/>
          <w:highlight w:val="none"/>
        </w:rPr>
      </w:pPr>
      <w:r>
        <w:rPr>
          <w:rFonts w:hint="eastAsia"/>
          <w:color w:val="auto"/>
          <w:highlight w:val="none"/>
          <w:lang w:val="en-US" w:eastAsia="zh-CN"/>
        </w:rPr>
        <w:t>工作制度：项目年工作</w:t>
      </w:r>
      <w:r>
        <w:rPr>
          <w:rFonts w:hint="default"/>
          <w:color w:val="auto"/>
          <w:highlight w:val="none"/>
          <w:lang w:val="en-US" w:eastAsia="zh-CN"/>
        </w:rPr>
        <w:t>300</w:t>
      </w:r>
      <w:r>
        <w:rPr>
          <w:rFonts w:hint="eastAsia"/>
          <w:color w:val="auto"/>
          <w:highlight w:val="none"/>
          <w:lang w:val="en-US" w:eastAsia="zh-CN"/>
        </w:rPr>
        <w:t>天，实行每天</w:t>
      </w:r>
      <w:r>
        <w:rPr>
          <w:rFonts w:hint="default"/>
          <w:color w:val="auto"/>
          <w:highlight w:val="none"/>
          <w:lang w:val="en-US" w:eastAsia="zh-CN"/>
        </w:rPr>
        <w:t>3</w:t>
      </w:r>
      <w:r>
        <w:rPr>
          <w:rFonts w:hint="eastAsia"/>
          <w:color w:val="auto"/>
          <w:highlight w:val="none"/>
          <w:lang w:val="en-US" w:eastAsia="zh-CN"/>
        </w:rPr>
        <w:t>班，每班工作</w:t>
      </w:r>
      <w:r>
        <w:rPr>
          <w:rFonts w:hint="default"/>
          <w:color w:val="auto"/>
          <w:highlight w:val="none"/>
          <w:lang w:val="en-US" w:eastAsia="zh-CN"/>
        </w:rPr>
        <w:t>8</w:t>
      </w:r>
      <w:r>
        <w:rPr>
          <w:rFonts w:hint="eastAsia"/>
          <w:color w:val="auto"/>
          <w:highlight w:val="none"/>
          <w:lang w:val="en-US" w:eastAsia="zh-CN"/>
        </w:rPr>
        <w:t>小时。职能管理部门采用间断工作制，年工作</w:t>
      </w:r>
      <w:r>
        <w:rPr>
          <w:rFonts w:hint="default"/>
          <w:color w:val="auto"/>
          <w:highlight w:val="none"/>
          <w:lang w:val="en-US" w:eastAsia="zh-CN"/>
        </w:rPr>
        <w:t>250</w:t>
      </w:r>
      <w:r>
        <w:rPr>
          <w:rFonts w:hint="eastAsia"/>
          <w:color w:val="auto"/>
          <w:highlight w:val="none"/>
          <w:lang w:val="en-US" w:eastAsia="zh-CN"/>
        </w:rPr>
        <w:t>天，每天</w:t>
      </w:r>
      <w:r>
        <w:rPr>
          <w:rFonts w:hint="default"/>
          <w:color w:val="auto"/>
          <w:highlight w:val="none"/>
          <w:lang w:val="en-US" w:eastAsia="zh-CN"/>
        </w:rPr>
        <w:t>1</w:t>
      </w:r>
      <w:r>
        <w:rPr>
          <w:rFonts w:hint="eastAsia"/>
          <w:color w:val="auto"/>
          <w:highlight w:val="none"/>
          <w:lang w:val="en-US" w:eastAsia="zh-CN"/>
        </w:rPr>
        <w:t>班，每班</w:t>
      </w:r>
      <w:r>
        <w:rPr>
          <w:rFonts w:hint="default"/>
          <w:color w:val="auto"/>
          <w:highlight w:val="none"/>
          <w:lang w:val="en-US" w:eastAsia="zh-CN"/>
        </w:rPr>
        <w:t>8</w:t>
      </w:r>
      <w:r>
        <w:rPr>
          <w:rFonts w:hint="eastAsia"/>
          <w:color w:val="auto"/>
          <w:highlight w:val="none"/>
          <w:lang w:val="en-US" w:eastAsia="zh-CN"/>
        </w:rPr>
        <w:t>小时。</w:t>
      </w:r>
    </w:p>
    <w:p w14:paraId="79A36D82">
      <w:pPr>
        <w:bidi w:val="0"/>
        <w:rPr>
          <w:rFonts w:hint="eastAsia"/>
          <w:color w:val="auto"/>
          <w:highlight w:val="none"/>
          <w:lang w:val="en-US" w:eastAsia="zh-CN"/>
        </w:rPr>
      </w:pPr>
      <w:r>
        <w:rPr>
          <w:rFonts w:hint="eastAsia"/>
          <w:color w:val="auto"/>
          <w:highlight w:val="none"/>
          <w:lang w:val="en-US" w:eastAsia="zh-CN"/>
        </w:rPr>
        <w:t>劳动定员：本项目设计劳动定员253人，其中生产人员</w:t>
      </w:r>
      <w:r>
        <w:rPr>
          <w:rFonts w:hint="default"/>
          <w:color w:val="auto"/>
          <w:highlight w:val="none"/>
          <w:lang w:val="en-US" w:eastAsia="zh-CN"/>
        </w:rPr>
        <w:t>200</w:t>
      </w:r>
      <w:r>
        <w:rPr>
          <w:rFonts w:hint="eastAsia"/>
          <w:color w:val="auto"/>
          <w:highlight w:val="none"/>
          <w:lang w:val="en-US" w:eastAsia="zh-CN"/>
        </w:rPr>
        <w:t>人，管理及技术人员53人。</w:t>
      </w:r>
    </w:p>
    <w:p w14:paraId="0E447075">
      <w:pPr>
        <w:pStyle w:val="6"/>
        <w:rPr>
          <w:color w:val="auto"/>
          <w:highlight w:val="none"/>
        </w:rPr>
      </w:pPr>
      <w:r>
        <w:rPr>
          <w:rFonts w:hint="eastAsia"/>
          <w:color w:val="auto"/>
          <w:highlight w:val="none"/>
          <w:lang w:val="en-US" w:eastAsia="zh-CN"/>
        </w:rPr>
        <w:t>3.1.7</w:t>
      </w:r>
      <w:r>
        <w:rPr>
          <w:rFonts w:hint="eastAsia"/>
          <w:color w:val="auto"/>
          <w:highlight w:val="none"/>
        </w:rPr>
        <w:t>公用工程</w:t>
      </w:r>
      <w:bookmarkEnd w:id="369"/>
      <w:bookmarkEnd w:id="370"/>
      <w:bookmarkEnd w:id="371"/>
    </w:p>
    <w:p w14:paraId="774B6992">
      <w:pPr>
        <w:pStyle w:val="7"/>
        <w:ind w:firstLine="482"/>
        <w:rPr>
          <w:color w:val="auto"/>
          <w:highlight w:val="none"/>
        </w:rPr>
      </w:pPr>
      <w:r>
        <w:rPr>
          <w:color w:val="auto"/>
          <w:highlight w:val="none"/>
        </w:rPr>
        <w:t>3.</w:t>
      </w:r>
      <w:r>
        <w:rPr>
          <w:rFonts w:hint="eastAsia"/>
          <w:color w:val="auto"/>
          <w:highlight w:val="none"/>
          <w:lang w:val="en-US" w:eastAsia="zh-CN"/>
        </w:rPr>
        <w:t>1</w:t>
      </w:r>
      <w:r>
        <w:rPr>
          <w:color w:val="auto"/>
          <w:highlight w:val="none"/>
        </w:rPr>
        <w:t>.</w:t>
      </w:r>
      <w:r>
        <w:rPr>
          <w:rFonts w:hint="eastAsia"/>
          <w:color w:val="auto"/>
          <w:highlight w:val="none"/>
          <w:lang w:val="en-US" w:eastAsia="zh-CN"/>
        </w:rPr>
        <w:t>7</w:t>
      </w:r>
      <w:r>
        <w:rPr>
          <w:color w:val="auto"/>
          <w:highlight w:val="none"/>
        </w:rPr>
        <w:t>.1给水</w:t>
      </w:r>
      <w:r>
        <w:rPr>
          <w:rFonts w:hint="eastAsia"/>
          <w:color w:val="auto"/>
          <w:highlight w:val="none"/>
        </w:rPr>
        <w:t>工程</w:t>
      </w:r>
    </w:p>
    <w:p w14:paraId="3A77EE7E">
      <w:pPr>
        <w:overflowPunct w:val="0"/>
        <w:topLinePunct/>
        <w:ind w:firstLine="480"/>
        <w:rPr>
          <w:rFonts w:hint="eastAsia"/>
          <w:color w:val="auto"/>
          <w:szCs w:val="28"/>
          <w:highlight w:val="none"/>
          <w:lang w:val="en-US" w:eastAsia="zh-CN"/>
        </w:rPr>
      </w:pPr>
      <w:r>
        <w:rPr>
          <w:color w:val="auto"/>
          <w:szCs w:val="28"/>
          <w:highlight w:val="none"/>
        </w:rPr>
        <w:t>（1）</w:t>
      </w:r>
      <w:r>
        <w:rPr>
          <w:rFonts w:hint="eastAsia"/>
          <w:color w:val="auto"/>
          <w:szCs w:val="28"/>
          <w:highlight w:val="none"/>
          <w:lang w:val="en-US" w:eastAsia="zh-CN"/>
        </w:rPr>
        <w:t>供水水源</w:t>
      </w:r>
    </w:p>
    <w:p w14:paraId="054F89E0">
      <w:pPr>
        <w:bidi w:val="0"/>
        <w:rPr>
          <w:rFonts w:hint="default"/>
          <w:color w:val="auto"/>
          <w:highlight w:val="none"/>
          <w:lang w:val="en-US" w:eastAsia="zh-CN"/>
        </w:rPr>
      </w:pPr>
      <w:r>
        <w:rPr>
          <w:rFonts w:hint="eastAsia"/>
          <w:color w:val="auto"/>
          <w:highlight w:val="none"/>
          <w:lang w:val="en-US" w:eastAsia="zh-CN"/>
        </w:rPr>
        <w:t>①生产用水</w:t>
      </w:r>
    </w:p>
    <w:p w14:paraId="401B6316">
      <w:pPr>
        <w:bidi w:val="0"/>
        <w:rPr>
          <w:rFonts w:hint="default"/>
          <w:color w:val="auto"/>
          <w:highlight w:val="none"/>
          <w:lang w:val="en-US"/>
        </w:rPr>
      </w:pPr>
      <w:r>
        <w:rPr>
          <w:rFonts w:hint="eastAsia"/>
          <w:color w:val="auto"/>
          <w:highlight w:val="none"/>
          <w:lang w:val="en-US" w:eastAsia="zh-CN"/>
        </w:rPr>
        <w:t>矿区涌水</w:t>
      </w:r>
      <w:r>
        <w:rPr>
          <w:color w:val="auto"/>
          <w:highlight w:val="none"/>
          <w:lang w:val="en-US" w:eastAsia="zh-CN"/>
        </w:rPr>
        <w:t>经过</w:t>
      </w:r>
      <w:r>
        <w:rPr>
          <w:rFonts w:hint="eastAsia"/>
          <w:color w:val="auto"/>
          <w:highlight w:val="none"/>
          <w:lang w:val="en-US" w:eastAsia="zh-CN"/>
        </w:rPr>
        <w:t>混凝、沉淀</w:t>
      </w:r>
      <w:r>
        <w:rPr>
          <w:color w:val="auto"/>
          <w:highlight w:val="none"/>
          <w:lang w:val="en-US" w:eastAsia="zh-CN"/>
        </w:rPr>
        <w:t>处理后，作为生产水使用，</w:t>
      </w:r>
      <w:r>
        <w:rPr>
          <w:rFonts w:hint="eastAsia"/>
          <w:color w:val="auto"/>
          <w:highlight w:val="none"/>
          <w:lang w:val="zh-CN" w:eastAsia="zh-CN"/>
        </w:rPr>
        <w:t>矿山井下涌水不足时，以阿克苏河地表水作为补充水源。</w:t>
      </w:r>
      <w:r>
        <w:rPr>
          <w:color w:val="auto"/>
          <w:highlight w:val="none"/>
          <w:lang w:val="en-US" w:eastAsia="zh-CN"/>
        </w:rPr>
        <w:t>取水水源为若羌河上游支流-阿克苏河</w:t>
      </w:r>
      <w:r>
        <w:rPr>
          <w:rFonts w:hint="eastAsia"/>
          <w:color w:val="auto"/>
          <w:highlight w:val="none"/>
          <w:lang w:val="en-US" w:eastAsia="zh-CN"/>
        </w:rPr>
        <w:t>地表水，水源来自南部山区冰川融水，取水口位于矿区东南方向，直线距离约8.5km。目前取水许可证正在办理。</w:t>
      </w:r>
    </w:p>
    <w:p w14:paraId="647E661D">
      <w:pPr>
        <w:bidi w:val="0"/>
        <w:rPr>
          <w:rFonts w:hint="eastAsia"/>
          <w:color w:val="auto"/>
          <w:highlight w:val="none"/>
          <w:lang w:val="en-US" w:eastAsia="zh-CN"/>
        </w:rPr>
      </w:pPr>
      <w:r>
        <w:rPr>
          <w:rFonts w:hint="eastAsia"/>
          <w:color w:val="auto"/>
          <w:highlight w:val="none"/>
          <w:lang w:val="en-US" w:eastAsia="zh-CN"/>
        </w:rPr>
        <w:t>取水方案：</w:t>
      </w:r>
    </w:p>
    <w:p w14:paraId="43FDD5CE">
      <w:pPr>
        <w:bidi w:val="0"/>
        <w:rPr>
          <w:color w:val="auto"/>
          <w:highlight w:val="none"/>
        </w:rPr>
      </w:pPr>
      <w:r>
        <w:rPr>
          <w:color w:val="auto"/>
          <w:highlight w:val="none"/>
          <w:lang w:val="en-US" w:eastAsia="zh-CN"/>
        </w:rPr>
        <w:t>在支沟汇入口的主槽内布设渗滤池</w:t>
      </w:r>
      <w:r>
        <w:rPr>
          <w:rFonts w:hint="eastAsia"/>
          <w:color w:val="auto"/>
          <w:highlight w:val="none"/>
          <w:lang w:val="en-US" w:eastAsia="zh-CN"/>
        </w:rPr>
        <w:t>，潜流经滤料、滤水管过滤进入汇水管，引至1#集水池（50m</w:t>
      </w:r>
      <w:r>
        <w:rPr>
          <w:rFonts w:hint="eastAsia"/>
          <w:color w:val="auto"/>
          <w:highlight w:val="none"/>
          <w:vertAlign w:val="superscript"/>
          <w:lang w:val="en-US" w:eastAsia="zh-CN"/>
        </w:rPr>
        <w:t>3</w:t>
      </w:r>
      <w:r>
        <w:rPr>
          <w:rFonts w:hint="eastAsia"/>
          <w:color w:val="auto"/>
          <w:highlight w:val="none"/>
          <w:lang w:val="en-US" w:eastAsia="zh-CN"/>
        </w:rPr>
        <w:t>）经沉淀、冲沙后重力输水管线送至2#蓄水池（2000m</w:t>
      </w:r>
      <w:r>
        <w:rPr>
          <w:rFonts w:hint="eastAsia"/>
          <w:color w:val="auto"/>
          <w:highlight w:val="none"/>
          <w:vertAlign w:val="superscript"/>
          <w:lang w:val="en-US" w:eastAsia="zh-CN"/>
        </w:rPr>
        <w:t>3</w:t>
      </w:r>
      <w:r>
        <w:rPr>
          <w:rFonts w:hint="eastAsia"/>
          <w:color w:val="auto"/>
          <w:highlight w:val="none"/>
          <w:lang w:val="en-US" w:eastAsia="zh-CN"/>
        </w:rPr>
        <w:t>），从2号蓄水池拟埋设DN450输水管道，管道输水能力大于460m</w:t>
      </w:r>
      <w:r>
        <w:rPr>
          <w:rFonts w:hint="eastAsia"/>
          <w:color w:val="auto"/>
          <w:highlight w:val="none"/>
          <w:vertAlign w:val="superscript"/>
          <w:lang w:val="en-US" w:eastAsia="zh-CN"/>
        </w:rPr>
        <w:t>3</w:t>
      </w:r>
      <w:r>
        <w:rPr>
          <w:rFonts w:hint="eastAsia"/>
          <w:color w:val="auto"/>
          <w:highlight w:val="none"/>
          <w:lang w:val="en-US" w:eastAsia="zh-CN"/>
        </w:rPr>
        <w:t>/h。</w:t>
      </w:r>
    </w:p>
    <w:p w14:paraId="2D17D04A">
      <w:pPr>
        <w:bidi w:val="0"/>
        <w:rPr>
          <w:color w:val="auto"/>
          <w:highlight w:val="none"/>
        </w:rPr>
      </w:pPr>
      <w:r>
        <w:rPr>
          <w:rFonts w:hint="eastAsia"/>
          <w:color w:val="auto"/>
          <w:highlight w:val="none"/>
          <w:lang w:val="en-US" w:eastAsia="zh-CN"/>
        </w:rPr>
        <w:t>输水方式：</w:t>
      </w:r>
      <w:r>
        <w:rPr>
          <w:color w:val="auto"/>
          <w:highlight w:val="none"/>
          <w:lang w:val="en-US" w:eastAsia="zh-CN"/>
        </w:rPr>
        <w:t>全线采用重力输水方式，从取水口埋设管道</w:t>
      </w:r>
      <w:r>
        <w:rPr>
          <w:rFonts w:hint="eastAsia"/>
          <w:color w:val="auto"/>
          <w:highlight w:val="none"/>
          <w:lang w:val="en-US" w:eastAsia="zh-CN"/>
        </w:rPr>
        <w:t>直达末端矿山高位水池。</w:t>
      </w:r>
    </w:p>
    <w:p w14:paraId="104EC0CF">
      <w:pPr>
        <w:bidi w:val="0"/>
        <w:rPr>
          <w:rFonts w:hint="eastAsia"/>
          <w:color w:val="auto"/>
          <w:highlight w:val="none"/>
          <w:lang w:val="en-US" w:eastAsia="zh-CN"/>
        </w:rPr>
      </w:pPr>
      <w:r>
        <w:rPr>
          <w:rFonts w:hint="eastAsia"/>
          <w:color w:val="auto"/>
          <w:highlight w:val="none"/>
          <w:lang w:val="en-US" w:eastAsia="zh-CN"/>
        </w:rPr>
        <w:t>②生活用水</w:t>
      </w:r>
    </w:p>
    <w:p w14:paraId="26FA0BD0">
      <w:pPr>
        <w:bidi w:val="0"/>
        <w:rPr>
          <w:rFonts w:hint="eastAsia"/>
          <w:color w:val="auto"/>
          <w:highlight w:val="none"/>
          <w:lang w:val="en-US" w:eastAsia="zh-CN"/>
        </w:rPr>
      </w:pPr>
      <w:r>
        <w:rPr>
          <w:color w:val="auto"/>
          <w:highlight w:val="none"/>
          <w:lang w:val="en-US" w:eastAsia="zh-CN"/>
        </w:rPr>
        <w:t>生产取水水源也作为生活水源</w:t>
      </w:r>
      <w:r>
        <w:rPr>
          <w:rFonts w:hint="eastAsia"/>
          <w:color w:val="auto"/>
          <w:highlight w:val="none"/>
          <w:lang w:val="en-US" w:eastAsia="zh-CN"/>
        </w:rPr>
        <w:t>，</w:t>
      </w:r>
      <w:r>
        <w:rPr>
          <w:color w:val="auto"/>
          <w:highlight w:val="none"/>
          <w:lang w:val="en-US" w:eastAsia="zh-CN"/>
        </w:rPr>
        <w:t>为若羌河上游支流-阿克苏河</w:t>
      </w:r>
      <w:r>
        <w:rPr>
          <w:rFonts w:hint="eastAsia"/>
          <w:color w:val="auto"/>
          <w:highlight w:val="none"/>
          <w:lang w:val="en-US" w:eastAsia="zh-CN"/>
        </w:rPr>
        <w:t>地表水。</w:t>
      </w:r>
    </w:p>
    <w:p w14:paraId="252C2929">
      <w:pPr>
        <w:overflowPunct w:val="0"/>
        <w:topLinePunct/>
        <w:ind w:firstLine="480"/>
        <w:rPr>
          <w:rFonts w:hint="eastAsia"/>
          <w:color w:val="auto"/>
          <w:szCs w:val="28"/>
          <w:highlight w:val="none"/>
          <w:lang w:val="en-US" w:eastAsia="zh-CN"/>
        </w:rPr>
      </w:pPr>
      <w:r>
        <w:rPr>
          <w:rFonts w:hint="eastAsia"/>
          <w:color w:val="auto"/>
          <w:szCs w:val="28"/>
          <w:highlight w:val="none"/>
          <w:lang w:eastAsia="zh-CN"/>
        </w:rPr>
        <w:t>（</w:t>
      </w:r>
      <w:r>
        <w:rPr>
          <w:rFonts w:hint="eastAsia"/>
          <w:color w:val="auto"/>
          <w:szCs w:val="28"/>
          <w:highlight w:val="none"/>
          <w:lang w:val="en-US" w:eastAsia="zh-CN"/>
        </w:rPr>
        <w:t>2）给水净化</w:t>
      </w:r>
    </w:p>
    <w:p w14:paraId="27DAC962">
      <w:pPr>
        <w:bidi w:val="0"/>
        <w:rPr>
          <w:rFonts w:hint="eastAsia"/>
          <w:color w:val="auto"/>
          <w:highlight w:val="none"/>
          <w:lang w:val="en-US" w:eastAsia="zh-CN"/>
        </w:rPr>
      </w:pPr>
      <w:r>
        <w:rPr>
          <w:rFonts w:hint="eastAsia"/>
          <w:color w:val="auto"/>
          <w:highlight w:val="none"/>
          <w:lang w:val="en-US" w:eastAsia="zh-CN"/>
        </w:rPr>
        <w:t>①</w:t>
      </w:r>
      <w:r>
        <w:rPr>
          <w:color w:val="auto"/>
          <w:highlight w:val="none"/>
          <w:lang w:val="en-US" w:eastAsia="zh-CN"/>
        </w:rPr>
        <w:t>坑内水处理</w:t>
      </w:r>
    </w:p>
    <w:p w14:paraId="63554248">
      <w:pPr>
        <w:bidi w:val="0"/>
        <w:rPr>
          <w:color w:val="auto"/>
          <w:highlight w:val="none"/>
        </w:rPr>
      </w:pPr>
      <w:r>
        <w:rPr>
          <w:color w:val="auto"/>
          <w:highlight w:val="none"/>
          <w:lang w:val="en-US" w:eastAsia="zh-CN"/>
        </w:rPr>
        <w:t>2900m水平以上生产时，正常排水量1610m</w:t>
      </w:r>
      <w:r>
        <w:rPr>
          <w:rFonts w:hint="eastAsia"/>
          <w:color w:val="auto"/>
          <w:highlight w:val="none"/>
          <w:vertAlign w:val="superscript"/>
          <w:lang w:val="en-US" w:eastAsia="zh-CN"/>
        </w:rPr>
        <w:t>3</w:t>
      </w:r>
      <w:r>
        <w:rPr>
          <w:rFonts w:hint="eastAsia"/>
          <w:color w:val="auto"/>
          <w:highlight w:val="none"/>
          <w:lang w:val="en-US" w:eastAsia="zh-CN"/>
        </w:rPr>
        <w:t>/d（正常涌水量为550m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/d），最大排水量2060m</w:t>
      </w:r>
      <w:r>
        <w:rPr>
          <w:rFonts w:hint="eastAsia"/>
          <w:color w:val="auto"/>
          <w:highlight w:val="none"/>
          <w:vertAlign w:val="superscript"/>
          <w:lang w:val="en-US" w:eastAsia="zh-CN"/>
        </w:rPr>
        <w:t>3</w:t>
      </w:r>
      <w:r>
        <w:rPr>
          <w:rFonts w:hint="eastAsia"/>
          <w:color w:val="auto"/>
          <w:highlight w:val="none"/>
          <w:lang w:val="en-US" w:eastAsia="zh-CN"/>
        </w:rPr>
        <w:t>/d（最大涌水量为1000m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w:t>
      </w:r>
    </w:p>
    <w:p w14:paraId="2C0461BD">
      <w:pPr>
        <w:bidi w:val="0"/>
        <w:rPr>
          <w:color w:val="auto"/>
          <w:highlight w:val="none"/>
        </w:rPr>
      </w:pPr>
      <w:r>
        <w:rPr>
          <w:rFonts w:hint="eastAsia"/>
          <w:color w:val="auto"/>
          <w:highlight w:val="none"/>
          <w:lang w:val="en-US" w:eastAsia="zh-CN"/>
        </w:rPr>
        <w:t>2550m水平以上生产时，正常排水量5460m</w:t>
      </w:r>
      <w:r>
        <w:rPr>
          <w:rFonts w:hint="eastAsia"/>
          <w:color w:val="auto"/>
          <w:highlight w:val="none"/>
          <w:vertAlign w:val="superscript"/>
          <w:lang w:val="en-US" w:eastAsia="zh-CN"/>
        </w:rPr>
        <w:t>3</w:t>
      </w:r>
      <w:r>
        <w:rPr>
          <w:rFonts w:hint="eastAsia"/>
          <w:color w:val="auto"/>
          <w:highlight w:val="none"/>
          <w:lang w:val="en-US" w:eastAsia="zh-CN"/>
        </w:rPr>
        <w:t>/d（正常涌水量为4400m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/d），最大排水量8960m</w:t>
      </w:r>
      <w:r>
        <w:rPr>
          <w:rFonts w:hint="eastAsia"/>
          <w:color w:val="auto"/>
          <w:highlight w:val="none"/>
          <w:vertAlign w:val="superscript"/>
          <w:lang w:val="en-US" w:eastAsia="zh-CN"/>
        </w:rPr>
        <w:t>3</w:t>
      </w:r>
      <w:r>
        <w:rPr>
          <w:rFonts w:hint="eastAsia"/>
          <w:color w:val="auto"/>
          <w:highlight w:val="none"/>
          <w:lang w:val="en-US" w:eastAsia="zh-CN"/>
        </w:rPr>
        <w:t>/d（最大涌水量为7900m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w:t>
      </w:r>
    </w:p>
    <w:p w14:paraId="567B664B">
      <w:pPr>
        <w:bidi w:val="0"/>
        <w:rPr>
          <w:color w:val="auto"/>
          <w:highlight w:val="none"/>
        </w:rPr>
      </w:pPr>
      <w:r>
        <w:rPr>
          <w:rFonts w:hint="eastAsia"/>
          <w:color w:val="auto"/>
          <w:highlight w:val="none"/>
          <w:lang w:val="en-US" w:eastAsia="zh-CN"/>
        </w:rPr>
        <w:t>2450m水平以上生产时，正常排水量5960m</w:t>
      </w:r>
      <w:r>
        <w:rPr>
          <w:rFonts w:hint="eastAsia"/>
          <w:color w:val="auto"/>
          <w:highlight w:val="none"/>
          <w:vertAlign w:val="superscript"/>
          <w:lang w:val="en-US" w:eastAsia="zh-CN"/>
        </w:rPr>
        <w:t>3</w:t>
      </w:r>
      <w:r>
        <w:rPr>
          <w:rFonts w:hint="eastAsia"/>
          <w:color w:val="auto"/>
          <w:highlight w:val="none"/>
          <w:lang w:val="en-US" w:eastAsia="zh-CN"/>
        </w:rPr>
        <w:t>/d（正常涌水量为4900m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/d），最大排水量9860m</w:t>
      </w:r>
      <w:r>
        <w:rPr>
          <w:rFonts w:hint="eastAsia"/>
          <w:color w:val="auto"/>
          <w:highlight w:val="none"/>
          <w:vertAlign w:val="superscript"/>
          <w:lang w:val="en-US" w:eastAsia="zh-CN"/>
        </w:rPr>
        <w:t>3</w:t>
      </w:r>
      <w:r>
        <w:rPr>
          <w:rFonts w:hint="eastAsia"/>
          <w:color w:val="auto"/>
          <w:highlight w:val="none"/>
          <w:lang w:val="en-US" w:eastAsia="zh-CN"/>
        </w:rPr>
        <w:t>/d（最大涌水量为8800m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w:t>
      </w:r>
    </w:p>
    <w:p w14:paraId="76F3BE58">
      <w:pPr>
        <w:bidi w:val="0"/>
        <w:rPr>
          <w:rFonts w:hint="eastAsia"/>
          <w:color w:val="auto"/>
          <w:highlight w:val="none"/>
          <w:lang w:val="en-US" w:eastAsia="zh-CN"/>
        </w:rPr>
      </w:pPr>
      <w:r>
        <w:rPr>
          <w:rFonts w:hint="eastAsia"/>
          <w:color w:val="auto"/>
          <w:highlight w:val="none"/>
          <w:lang w:val="en-US" w:eastAsia="zh-CN"/>
        </w:rPr>
        <w:t>采矿工业场地内设坑内水净化站1座，处理坑内排水。坑内水净化站内设一体化澄清系统2套，产水量200m</w:t>
      </w:r>
      <w:r>
        <w:rPr>
          <w:rFonts w:hint="eastAsia"/>
          <w:color w:val="auto"/>
          <w:highlight w:val="none"/>
          <w:vertAlign w:val="superscript"/>
          <w:lang w:val="en-US" w:eastAsia="zh-CN"/>
        </w:rPr>
        <w:t>3</w:t>
      </w:r>
      <w:r>
        <w:rPr>
          <w:rFonts w:hint="eastAsia"/>
          <w:color w:val="auto"/>
          <w:highlight w:val="none"/>
          <w:lang w:val="en-US" w:eastAsia="zh-CN"/>
        </w:rPr>
        <w:t>/h/台，采用混凝、沉淀处理工艺。坑内排水，用泵加压送至一体化澄清系统，投加聚合氯化铝PAC，进行混凝、沉淀处理，一体化澄清系统出水进入吸水池，再用泵送至选厂容积2000m</w:t>
      </w:r>
      <w:r>
        <w:rPr>
          <w:rFonts w:hint="eastAsia"/>
          <w:color w:val="auto"/>
          <w:highlight w:val="none"/>
          <w:vertAlign w:val="superscript"/>
          <w:lang w:val="en-US" w:eastAsia="zh-CN"/>
        </w:rPr>
        <w:t>3</w:t>
      </w:r>
      <w:r>
        <w:rPr>
          <w:rFonts w:hint="eastAsia"/>
          <w:color w:val="auto"/>
          <w:highlight w:val="none"/>
          <w:lang w:val="en-US" w:eastAsia="zh-CN"/>
        </w:rPr>
        <w:t>生产消防高位水池，供给采矿场地、选矿厂和生活区的生产和消防使用。处理流程见图3.1-1。</w:t>
      </w:r>
    </w:p>
    <w:p w14:paraId="0A54DC7F">
      <w:pPr>
        <w:bidi w:val="0"/>
        <w:spacing w:line="240" w:lineRule="auto"/>
        <w:ind w:left="0" w:leftChars="0" w:firstLine="0" w:firstLineChars="0"/>
        <w:rPr>
          <w:color w:val="auto"/>
          <w:highlight w:val="none"/>
        </w:rPr>
      </w:pPr>
      <w:r>
        <w:rPr>
          <w:color w:val="auto"/>
          <w:highlight w:val="none"/>
        </w:rPr>
        <w:drawing>
          <wp:inline distT="0" distB="0" distL="114300" distR="114300">
            <wp:extent cx="5269230" cy="955040"/>
            <wp:effectExtent l="0" t="0" r="7620" b="16510"/>
            <wp:docPr id="4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2"/>
                    <pic:cNvPicPr>
                      <a:picLocks noChangeAspect="1"/>
                    </pic:cNvPicPr>
                  </pic:nvPicPr>
                  <pic:blipFill>
                    <a:blip r:embed="rId22"/>
                    <a:stretch>
                      <a:fillRect/>
                    </a:stretch>
                  </pic:blipFill>
                  <pic:spPr>
                    <a:xfrm>
                      <a:off x="0" y="0"/>
                      <a:ext cx="5269230" cy="955040"/>
                    </a:xfrm>
                    <a:prstGeom prst="rect">
                      <a:avLst/>
                    </a:prstGeom>
                    <a:noFill/>
                    <a:ln>
                      <a:noFill/>
                    </a:ln>
                  </pic:spPr>
                </pic:pic>
              </a:graphicData>
            </a:graphic>
          </wp:inline>
        </w:drawing>
      </w:r>
    </w:p>
    <w:p w14:paraId="7A5DB0E9">
      <w:pPr>
        <w:pStyle w:val="19"/>
        <w:bidi w:val="0"/>
        <w:rPr>
          <w:rFonts w:hint="default"/>
          <w:color w:val="auto"/>
          <w:highlight w:val="none"/>
          <w:lang w:val="en-US" w:eastAsia="zh-CN"/>
        </w:rPr>
      </w:pPr>
      <w:r>
        <w:rPr>
          <w:rFonts w:hint="eastAsia"/>
          <w:color w:val="auto"/>
          <w:highlight w:val="none"/>
          <w:lang w:val="en-US" w:eastAsia="zh-CN"/>
        </w:rPr>
        <w:t xml:space="preserve">图3.1-1   </w:t>
      </w:r>
      <w:r>
        <w:rPr>
          <w:color w:val="auto"/>
          <w:highlight w:val="none"/>
          <w:lang w:val="en-US" w:eastAsia="zh-CN"/>
        </w:rPr>
        <w:t>坑内水处理</w:t>
      </w:r>
      <w:r>
        <w:rPr>
          <w:rFonts w:hint="eastAsia"/>
          <w:color w:val="auto"/>
          <w:highlight w:val="none"/>
          <w:lang w:val="en-US" w:eastAsia="zh-CN"/>
        </w:rPr>
        <w:t>工艺</w:t>
      </w:r>
    </w:p>
    <w:p w14:paraId="49F65F63">
      <w:pPr>
        <w:bidi w:val="0"/>
        <w:rPr>
          <w:rFonts w:hint="eastAsia"/>
          <w:color w:val="auto"/>
          <w:highlight w:val="none"/>
          <w:lang w:val="en-US" w:eastAsia="zh-CN"/>
        </w:rPr>
      </w:pPr>
      <w:r>
        <w:rPr>
          <w:rFonts w:hint="eastAsia"/>
          <w:color w:val="auto"/>
          <w:highlight w:val="none"/>
          <w:lang w:val="en-US" w:eastAsia="zh-CN"/>
        </w:rPr>
        <w:t>②生产水净化</w:t>
      </w:r>
    </w:p>
    <w:p w14:paraId="41C13A07">
      <w:pPr>
        <w:bidi w:val="0"/>
        <w:rPr>
          <w:color w:val="auto"/>
          <w:highlight w:val="none"/>
        </w:rPr>
      </w:pPr>
      <w:r>
        <w:rPr>
          <w:color w:val="auto"/>
          <w:highlight w:val="none"/>
          <w:lang w:val="en-US" w:eastAsia="zh-CN"/>
        </w:rPr>
        <w:t>选矿工业场地内设给水净化站1座，处理生产水源地来水。给水净化站内设生产水净化及加压设施，产水量600m</w:t>
      </w:r>
      <w:r>
        <w:rPr>
          <w:rFonts w:hint="eastAsia"/>
          <w:color w:val="auto"/>
          <w:highlight w:val="none"/>
          <w:vertAlign w:val="superscript"/>
          <w:lang w:val="en-US" w:eastAsia="zh-CN"/>
        </w:rPr>
        <w:t>3</w:t>
      </w:r>
      <w:r>
        <w:rPr>
          <w:rFonts w:hint="eastAsia"/>
          <w:color w:val="auto"/>
          <w:highlight w:val="none"/>
          <w:lang w:val="en-US" w:eastAsia="zh-CN"/>
        </w:rPr>
        <w:t>/h，采用混凝、沉淀处理工艺。生产水源地来水，用泵加压送至给水净化站机械加速澄清池，投加聚合氯化铝PAC，进行混凝、沉淀处理，机械加速澄清池出水进入生产水池，再用泵送至选厂容积2000m</w:t>
      </w:r>
      <w:r>
        <w:rPr>
          <w:rFonts w:hint="eastAsia"/>
          <w:color w:val="auto"/>
          <w:highlight w:val="none"/>
          <w:vertAlign w:val="superscript"/>
          <w:lang w:val="en-US" w:eastAsia="zh-CN"/>
        </w:rPr>
        <w:t>3</w:t>
      </w:r>
      <w:r>
        <w:rPr>
          <w:rFonts w:hint="eastAsia"/>
          <w:color w:val="auto"/>
          <w:highlight w:val="none"/>
          <w:lang w:val="en-US" w:eastAsia="zh-CN"/>
        </w:rPr>
        <w:t>生产消防高位水池，供给采矿场地、选矿厂和生活区的生产和消防使用。</w:t>
      </w:r>
      <w:r>
        <w:rPr>
          <w:color w:val="auto"/>
          <w:highlight w:val="none"/>
          <w:lang w:val="en-US" w:eastAsia="zh-CN"/>
        </w:rPr>
        <w:t>给水净化站处理流程</w:t>
      </w:r>
      <w:r>
        <w:rPr>
          <w:rFonts w:hint="eastAsia"/>
          <w:color w:val="auto"/>
          <w:highlight w:val="none"/>
          <w:lang w:val="en-US" w:eastAsia="zh-CN"/>
        </w:rPr>
        <w:t>见图3.1-2。</w:t>
      </w:r>
    </w:p>
    <w:p w14:paraId="7FEADD8C">
      <w:pPr>
        <w:keepNext w:val="0"/>
        <w:keepLines w:val="0"/>
        <w:widowControl/>
        <w:suppressLineNumbers w:val="0"/>
        <w:spacing w:line="240" w:lineRule="auto"/>
        <w:ind w:left="0" w:leftChars="0" w:firstLine="0" w:firstLineChars="0"/>
        <w:jc w:val="left"/>
        <w:rPr>
          <w:color w:val="auto"/>
          <w:highlight w:val="none"/>
        </w:rPr>
      </w:pPr>
      <w:r>
        <w:rPr>
          <w:color w:val="auto"/>
          <w:highlight w:val="none"/>
        </w:rPr>
        <w:drawing>
          <wp:inline distT="0" distB="0" distL="114300" distR="114300">
            <wp:extent cx="5272405" cy="1148080"/>
            <wp:effectExtent l="0" t="0" r="4445" b="13970"/>
            <wp:docPr id="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pic:cNvPicPr>
                      <a:picLocks noChangeAspect="1"/>
                    </pic:cNvPicPr>
                  </pic:nvPicPr>
                  <pic:blipFill>
                    <a:blip r:embed="rId23"/>
                    <a:stretch>
                      <a:fillRect/>
                    </a:stretch>
                  </pic:blipFill>
                  <pic:spPr>
                    <a:xfrm>
                      <a:off x="0" y="0"/>
                      <a:ext cx="5272405" cy="1148080"/>
                    </a:xfrm>
                    <a:prstGeom prst="rect">
                      <a:avLst/>
                    </a:prstGeom>
                    <a:noFill/>
                    <a:ln>
                      <a:noFill/>
                    </a:ln>
                  </pic:spPr>
                </pic:pic>
              </a:graphicData>
            </a:graphic>
          </wp:inline>
        </w:drawing>
      </w:r>
    </w:p>
    <w:p w14:paraId="00E17DAA">
      <w:pPr>
        <w:pStyle w:val="19"/>
        <w:bidi w:val="0"/>
        <w:rPr>
          <w:rFonts w:hint="default"/>
          <w:color w:val="auto"/>
          <w:highlight w:val="none"/>
          <w:lang w:val="en-US" w:eastAsia="zh-CN"/>
        </w:rPr>
      </w:pPr>
      <w:r>
        <w:rPr>
          <w:rFonts w:hint="eastAsia"/>
          <w:color w:val="auto"/>
          <w:highlight w:val="none"/>
          <w:lang w:val="en-US" w:eastAsia="zh-CN"/>
        </w:rPr>
        <w:t>图3.1-2   生产水净化工艺</w:t>
      </w:r>
    </w:p>
    <w:p w14:paraId="468D8D33">
      <w:pPr>
        <w:bidi w:val="0"/>
        <w:rPr>
          <w:rFonts w:hint="eastAsia"/>
          <w:color w:val="auto"/>
          <w:highlight w:val="none"/>
          <w:lang w:val="en-US" w:eastAsia="zh-CN"/>
        </w:rPr>
      </w:pPr>
      <w:r>
        <w:rPr>
          <w:rFonts w:hint="eastAsia"/>
          <w:color w:val="auto"/>
          <w:highlight w:val="none"/>
          <w:lang w:val="en-US" w:eastAsia="zh-CN"/>
        </w:rPr>
        <w:t>③生活水净化</w:t>
      </w:r>
    </w:p>
    <w:p w14:paraId="0058AF99">
      <w:pPr>
        <w:bidi w:val="0"/>
        <w:rPr>
          <w:color w:val="auto"/>
          <w:highlight w:val="none"/>
        </w:rPr>
      </w:pPr>
      <w:r>
        <w:rPr>
          <w:color w:val="auto"/>
          <w:highlight w:val="none"/>
          <w:lang w:val="en-US" w:eastAsia="zh-CN"/>
        </w:rPr>
        <w:t>选矿厂给水净化站内设生活水处理设施，处理能力50m</w:t>
      </w:r>
      <w:r>
        <w:rPr>
          <w:rFonts w:hint="eastAsia"/>
          <w:color w:val="auto"/>
          <w:highlight w:val="none"/>
          <w:vertAlign w:val="superscript"/>
          <w:lang w:val="en-US" w:eastAsia="zh-CN"/>
        </w:rPr>
        <w:t>3</w:t>
      </w:r>
      <w:r>
        <w:rPr>
          <w:rFonts w:hint="eastAsia"/>
          <w:color w:val="auto"/>
          <w:highlight w:val="none"/>
          <w:lang w:val="en-US" w:eastAsia="zh-CN"/>
        </w:rPr>
        <w:t>/h，采用过滤、消毒处理工艺。生活水源地来水用泵加压送至给水净化站内过滤器，过滤后进入生活水箱，经过消毒后，用泵送至容积300m</w:t>
      </w:r>
      <w:r>
        <w:rPr>
          <w:rFonts w:hint="eastAsia"/>
          <w:color w:val="auto"/>
          <w:highlight w:val="none"/>
          <w:vertAlign w:val="superscript"/>
          <w:lang w:val="en-US" w:eastAsia="zh-CN"/>
        </w:rPr>
        <w:t>3</w:t>
      </w:r>
      <w:r>
        <w:rPr>
          <w:rFonts w:hint="eastAsia"/>
          <w:color w:val="auto"/>
          <w:highlight w:val="none"/>
          <w:lang w:val="en-US" w:eastAsia="zh-CN"/>
        </w:rPr>
        <w:t>生活高位</w:t>
      </w:r>
      <w:r>
        <w:rPr>
          <w:color w:val="auto"/>
          <w:highlight w:val="none"/>
          <w:lang w:val="en-US" w:eastAsia="zh-CN"/>
        </w:rPr>
        <w:t>水池，供采矿工业场地、选矿厂和生活区生活使用。生活水处理流程</w:t>
      </w:r>
      <w:r>
        <w:rPr>
          <w:rFonts w:hint="eastAsia"/>
          <w:color w:val="auto"/>
          <w:highlight w:val="none"/>
          <w:lang w:val="en-US" w:eastAsia="zh-CN"/>
        </w:rPr>
        <w:t>见图3.1-3。</w:t>
      </w:r>
    </w:p>
    <w:p w14:paraId="7799EEC5">
      <w:pPr>
        <w:keepNext w:val="0"/>
        <w:keepLines w:val="0"/>
        <w:widowControl/>
        <w:suppressLineNumbers w:val="0"/>
        <w:spacing w:line="240" w:lineRule="auto"/>
        <w:ind w:left="0" w:leftChars="0" w:firstLine="0" w:firstLineChars="0"/>
        <w:jc w:val="left"/>
        <w:rPr>
          <w:color w:val="auto"/>
          <w:highlight w:val="none"/>
        </w:rPr>
      </w:pPr>
      <w:r>
        <w:rPr>
          <w:color w:val="auto"/>
          <w:highlight w:val="none"/>
        </w:rPr>
        <w:drawing>
          <wp:inline distT="0" distB="0" distL="114300" distR="114300">
            <wp:extent cx="5271770" cy="1108075"/>
            <wp:effectExtent l="0" t="0" r="5080" b="15875"/>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24"/>
                    <a:stretch>
                      <a:fillRect/>
                    </a:stretch>
                  </pic:blipFill>
                  <pic:spPr>
                    <a:xfrm>
                      <a:off x="0" y="0"/>
                      <a:ext cx="5271770" cy="1108075"/>
                    </a:xfrm>
                    <a:prstGeom prst="rect">
                      <a:avLst/>
                    </a:prstGeom>
                    <a:noFill/>
                    <a:ln>
                      <a:noFill/>
                    </a:ln>
                  </pic:spPr>
                </pic:pic>
              </a:graphicData>
            </a:graphic>
          </wp:inline>
        </w:drawing>
      </w:r>
    </w:p>
    <w:p w14:paraId="00895B55">
      <w:pPr>
        <w:pStyle w:val="19"/>
        <w:bidi w:val="0"/>
        <w:rPr>
          <w:rFonts w:hint="default"/>
          <w:color w:val="auto"/>
          <w:highlight w:val="none"/>
          <w:lang w:val="en-US" w:eastAsia="zh-CN"/>
        </w:rPr>
      </w:pPr>
      <w:r>
        <w:rPr>
          <w:rFonts w:hint="eastAsia"/>
          <w:color w:val="auto"/>
          <w:highlight w:val="none"/>
          <w:lang w:val="en-US" w:eastAsia="zh-CN"/>
        </w:rPr>
        <w:t>图3.1-3   生活水净化工艺</w:t>
      </w:r>
    </w:p>
    <w:p w14:paraId="64786823">
      <w:pPr>
        <w:overflowPunct w:val="0"/>
        <w:topLinePunct/>
        <w:ind w:firstLine="480"/>
        <w:rPr>
          <w:color w:val="auto"/>
          <w:szCs w:val="28"/>
          <w:highlight w:val="none"/>
        </w:rPr>
      </w:pPr>
      <w:r>
        <w:rPr>
          <w:rFonts w:hint="eastAsia"/>
          <w:color w:val="auto"/>
          <w:szCs w:val="28"/>
          <w:highlight w:val="none"/>
          <w:lang w:eastAsia="zh-CN"/>
        </w:rPr>
        <w:t>（</w:t>
      </w:r>
      <w:r>
        <w:rPr>
          <w:rFonts w:hint="eastAsia"/>
          <w:color w:val="auto"/>
          <w:szCs w:val="28"/>
          <w:highlight w:val="none"/>
          <w:lang w:val="en-US" w:eastAsia="zh-CN"/>
        </w:rPr>
        <w:t>3）</w:t>
      </w:r>
      <w:r>
        <w:rPr>
          <w:color w:val="auto"/>
          <w:szCs w:val="28"/>
          <w:highlight w:val="none"/>
        </w:rPr>
        <w:t>用水量</w:t>
      </w:r>
    </w:p>
    <w:p w14:paraId="08D8E372">
      <w:pPr>
        <w:overflowPunct w:val="0"/>
        <w:topLinePunct/>
        <w:ind w:firstLine="480"/>
        <w:rPr>
          <w:rFonts w:hint="eastAsia" w:eastAsia="宋体"/>
          <w:color w:val="auto"/>
          <w:spacing w:val="0"/>
          <w:sz w:val="24"/>
          <w:szCs w:val="24"/>
          <w:highlight w:val="none"/>
          <w:lang w:eastAsia="zh-CN"/>
        </w:rPr>
      </w:pPr>
      <w:r>
        <w:rPr>
          <w:rFonts w:hint="eastAsia"/>
          <w:color w:val="auto"/>
          <w:spacing w:val="0"/>
          <w:sz w:val="24"/>
          <w:szCs w:val="28"/>
          <w:highlight w:val="none"/>
        </w:rPr>
        <w:t>本项目用水</w:t>
      </w:r>
      <w:r>
        <w:rPr>
          <w:color w:val="auto"/>
          <w:spacing w:val="0"/>
          <w:sz w:val="24"/>
          <w:highlight w:val="none"/>
        </w:rPr>
        <w:t>主要包括生活用水</w:t>
      </w:r>
      <w:r>
        <w:rPr>
          <w:rFonts w:hint="eastAsia"/>
          <w:color w:val="auto"/>
          <w:spacing w:val="0"/>
          <w:sz w:val="24"/>
          <w:highlight w:val="none"/>
        </w:rPr>
        <w:t>、生产用水</w:t>
      </w:r>
      <w:r>
        <w:rPr>
          <w:rFonts w:hint="eastAsia"/>
          <w:color w:val="auto"/>
          <w:spacing w:val="0"/>
          <w:sz w:val="24"/>
          <w:highlight w:val="none"/>
          <w:lang w:val="en-US" w:eastAsia="zh-CN"/>
        </w:rPr>
        <w:t>以及</w:t>
      </w:r>
      <w:r>
        <w:rPr>
          <w:rFonts w:hint="eastAsia"/>
          <w:color w:val="auto"/>
          <w:spacing w:val="0"/>
          <w:sz w:val="24"/>
          <w:highlight w:val="none"/>
        </w:rPr>
        <w:t>绿化用水，其中生产用水包括</w:t>
      </w:r>
      <w:r>
        <w:rPr>
          <w:rFonts w:hint="eastAsia"/>
          <w:color w:val="auto"/>
          <w:spacing w:val="0"/>
          <w:sz w:val="24"/>
          <w:highlight w:val="none"/>
          <w:lang w:val="en-US" w:eastAsia="zh-CN"/>
        </w:rPr>
        <w:t>采矿用水、</w:t>
      </w:r>
      <w:r>
        <w:rPr>
          <w:rFonts w:hint="eastAsia"/>
          <w:color w:val="auto"/>
          <w:spacing w:val="0"/>
          <w:sz w:val="24"/>
          <w:szCs w:val="24"/>
          <w:highlight w:val="none"/>
        </w:rPr>
        <w:t>选矿用水</w:t>
      </w:r>
      <w:r>
        <w:rPr>
          <w:rFonts w:hint="eastAsia"/>
          <w:color w:val="auto"/>
          <w:spacing w:val="0"/>
          <w:sz w:val="24"/>
          <w:szCs w:val="24"/>
          <w:highlight w:val="none"/>
          <w:lang w:eastAsia="zh-CN"/>
        </w:rPr>
        <w:t>、</w:t>
      </w:r>
      <w:r>
        <w:rPr>
          <w:rFonts w:hint="eastAsia"/>
          <w:color w:val="auto"/>
          <w:spacing w:val="0"/>
          <w:sz w:val="24"/>
          <w:szCs w:val="24"/>
          <w:highlight w:val="none"/>
          <w:lang w:val="en-US" w:eastAsia="zh-CN"/>
        </w:rPr>
        <w:t>抑尘用水</w:t>
      </w:r>
      <w:r>
        <w:rPr>
          <w:rFonts w:hint="eastAsia"/>
          <w:color w:val="auto"/>
          <w:spacing w:val="0"/>
          <w:sz w:val="24"/>
          <w:szCs w:val="24"/>
          <w:highlight w:val="none"/>
        </w:rPr>
        <w:t>、</w:t>
      </w:r>
      <w:r>
        <w:rPr>
          <w:rFonts w:hint="eastAsia"/>
          <w:color w:val="auto"/>
          <w:spacing w:val="0"/>
          <w:sz w:val="24"/>
          <w:szCs w:val="24"/>
          <w:highlight w:val="none"/>
          <w:lang w:val="en-US" w:eastAsia="zh-CN"/>
        </w:rPr>
        <w:t>锅炉用水、尾矿设施用水、填充站用水</w:t>
      </w:r>
      <w:r>
        <w:rPr>
          <w:rFonts w:hint="eastAsia"/>
          <w:color w:val="auto"/>
          <w:spacing w:val="0"/>
          <w:sz w:val="24"/>
          <w:szCs w:val="24"/>
          <w:highlight w:val="none"/>
        </w:rPr>
        <w:t>以及化验室用水</w:t>
      </w:r>
      <w:r>
        <w:rPr>
          <w:rFonts w:hint="eastAsia"/>
          <w:color w:val="auto"/>
          <w:spacing w:val="0"/>
          <w:sz w:val="24"/>
          <w:szCs w:val="24"/>
          <w:highlight w:val="none"/>
          <w:lang w:val="en-US" w:eastAsia="zh-CN"/>
        </w:rPr>
        <w:t>等，</w:t>
      </w:r>
      <w:r>
        <w:rPr>
          <w:rFonts w:hint="eastAsia"/>
          <w:color w:val="auto"/>
          <w:kern w:val="0"/>
          <w:sz w:val="24"/>
          <w:szCs w:val="24"/>
          <w:highlight w:val="none"/>
          <w:lang w:val="en-US" w:eastAsia="zh-CN"/>
        </w:rPr>
        <w:t>首采期</w:t>
      </w:r>
      <w:r>
        <w:rPr>
          <w:rFonts w:hint="eastAsia"/>
          <w:color w:val="auto"/>
          <w:spacing w:val="0"/>
          <w:sz w:val="24"/>
          <w:szCs w:val="24"/>
          <w:highlight w:val="none"/>
          <w:lang w:val="en-US" w:eastAsia="zh-CN"/>
        </w:rPr>
        <w:t>新鲜水用量为</w:t>
      </w:r>
      <w:r>
        <w:rPr>
          <w:rFonts w:hint="eastAsia"/>
          <w:color w:val="auto"/>
          <w:kern w:val="0"/>
          <w:sz w:val="24"/>
          <w:szCs w:val="24"/>
          <w:highlight w:val="none"/>
          <w:lang w:val="en-US" w:eastAsia="zh-CN"/>
        </w:rPr>
        <w:t>126.0249</w:t>
      </w:r>
      <w:r>
        <w:rPr>
          <w:rFonts w:hint="eastAsia"/>
          <w:color w:val="auto"/>
          <w:kern w:val="0"/>
          <w:sz w:val="24"/>
          <w:szCs w:val="24"/>
          <w:highlight w:val="none"/>
          <w:lang w:eastAsia="zh-CN"/>
        </w:rPr>
        <w:t>万</w:t>
      </w:r>
      <w:r>
        <w:rPr>
          <w:rFonts w:hint="eastAsia"/>
          <w:color w:val="auto"/>
          <w:kern w:val="0"/>
          <w:sz w:val="24"/>
          <w:szCs w:val="24"/>
          <w:highlight w:val="none"/>
        </w:rPr>
        <w:t>m</w:t>
      </w:r>
      <w:r>
        <w:rPr>
          <w:rFonts w:hint="eastAsia"/>
          <w:color w:val="auto"/>
          <w:kern w:val="0"/>
          <w:sz w:val="24"/>
          <w:szCs w:val="24"/>
          <w:highlight w:val="none"/>
          <w:vertAlign w:val="superscript"/>
        </w:rPr>
        <w:t>3</w:t>
      </w:r>
      <w:r>
        <w:rPr>
          <w:rFonts w:hint="eastAsia"/>
          <w:color w:val="auto"/>
          <w:kern w:val="0"/>
          <w:sz w:val="24"/>
          <w:szCs w:val="24"/>
          <w:highlight w:val="none"/>
        </w:rPr>
        <w:t>/a</w:t>
      </w:r>
      <w:r>
        <w:rPr>
          <w:rFonts w:hint="eastAsia"/>
          <w:color w:val="auto"/>
          <w:sz w:val="24"/>
          <w:szCs w:val="24"/>
          <w:highlight w:val="none"/>
          <w:lang w:eastAsia="zh-CN"/>
        </w:rPr>
        <w:t>、</w:t>
      </w:r>
      <w:r>
        <w:rPr>
          <w:rFonts w:hint="eastAsia"/>
          <w:color w:val="auto"/>
          <w:sz w:val="24"/>
          <w:szCs w:val="24"/>
          <w:highlight w:val="none"/>
          <w:lang w:val="en-US" w:eastAsia="zh-CN"/>
        </w:rPr>
        <w:t>中期</w:t>
      </w:r>
      <w:r>
        <w:rPr>
          <w:rFonts w:hint="eastAsia"/>
          <w:color w:val="auto"/>
          <w:spacing w:val="0"/>
          <w:sz w:val="24"/>
          <w:szCs w:val="24"/>
          <w:highlight w:val="none"/>
          <w:lang w:val="en-US" w:eastAsia="zh-CN"/>
        </w:rPr>
        <w:t>新鲜水用量为</w:t>
      </w:r>
      <w:r>
        <w:rPr>
          <w:rFonts w:hint="eastAsia"/>
          <w:color w:val="auto"/>
          <w:sz w:val="24"/>
          <w:szCs w:val="24"/>
          <w:highlight w:val="none"/>
          <w:lang w:val="en-US" w:eastAsia="zh-CN"/>
        </w:rPr>
        <w:t>10.5249</w:t>
      </w:r>
      <w:r>
        <w:rPr>
          <w:rFonts w:hint="eastAsia"/>
          <w:color w:val="auto"/>
          <w:kern w:val="0"/>
          <w:sz w:val="24"/>
          <w:szCs w:val="24"/>
          <w:highlight w:val="none"/>
          <w:lang w:eastAsia="zh-CN"/>
        </w:rPr>
        <w:t>万</w:t>
      </w:r>
      <w:r>
        <w:rPr>
          <w:rFonts w:hint="eastAsia"/>
          <w:color w:val="auto"/>
          <w:kern w:val="0"/>
          <w:sz w:val="24"/>
          <w:szCs w:val="24"/>
          <w:highlight w:val="none"/>
        </w:rPr>
        <w:t>m</w:t>
      </w:r>
      <w:r>
        <w:rPr>
          <w:rFonts w:hint="eastAsia"/>
          <w:color w:val="auto"/>
          <w:kern w:val="0"/>
          <w:sz w:val="24"/>
          <w:szCs w:val="24"/>
          <w:highlight w:val="none"/>
          <w:vertAlign w:val="superscript"/>
        </w:rPr>
        <w:t>3</w:t>
      </w:r>
      <w:r>
        <w:rPr>
          <w:rFonts w:hint="eastAsia"/>
          <w:color w:val="auto"/>
          <w:kern w:val="0"/>
          <w:sz w:val="24"/>
          <w:szCs w:val="24"/>
          <w:highlight w:val="none"/>
        </w:rPr>
        <w:t>/a</w:t>
      </w:r>
      <w:r>
        <w:rPr>
          <w:rFonts w:hint="eastAsia"/>
          <w:color w:val="auto"/>
          <w:sz w:val="24"/>
          <w:szCs w:val="24"/>
          <w:highlight w:val="none"/>
          <w:lang w:val="en-US" w:eastAsia="zh-CN"/>
        </w:rPr>
        <w:t>、终期</w:t>
      </w:r>
      <w:r>
        <w:rPr>
          <w:rFonts w:hint="eastAsia"/>
          <w:color w:val="auto"/>
          <w:spacing w:val="0"/>
          <w:sz w:val="24"/>
          <w:szCs w:val="24"/>
          <w:highlight w:val="none"/>
          <w:lang w:val="en-US" w:eastAsia="zh-CN"/>
        </w:rPr>
        <w:t>新鲜水用量为</w:t>
      </w:r>
      <w:r>
        <w:rPr>
          <w:rFonts w:hint="eastAsia"/>
          <w:color w:val="auto"/>
          <w:sz w:val="24"/>
          <w:szCs w:val="24"/>
          <w:highlight w:val="none"/>
          <w:lang w:val="en-US" w:eastAsia="zh-CN"/>
        </w:rPr>
        <w:t>0.8349</w:t>
      </w:r>
      <w:r>
        <w:rPr>
          <w:rFonts w:hint="eastAsia"/>
          <w:color w:val="auto"/>
          <w:kern w:val="0"/>
          <w:sz w:val="24"/>
          <w:szCs w:val="24"/>
          <w:highlight w:val="none"/>
          <w:lang w:eastAsia="zh-CN"/>
        </w:rPr>
        <w:t>万</w:t>
      </w:r>
      <w:r>
        <w:rPr>
          <w:rFonts w:hint="eastAsia"/>
          <w:color w:val="auto"/>
          <w:kern w:val="0"/>
          <w:sz w:val="24"/>
          <w:szCs w:val="24"/>
          <w:highlight w:val="none"/>
        </w:rPr>
        <w:t>m</w:t>
      </w:r>
      <w:r>
        <w:rPr>
          <w:rFonts w:hint="eastAsia"/>
          <w:color w:val="auto"/>
          <w:kern w:val="0"/>
          <w:sz w:val="24"/>
          <w:szCs w:val="24"/>
          <w:highlight w:val="none"/>
          <w:vertAlign w:val="superscript"/>
        </w:rPr>
        <w:t>3</w:t>
      </w:r>
      <w:r>
        <w:rPr>
          <w:rFonts w:hint="eastAsia"/>
          <w:color w:val="auto"/>
          <w:kern w:val="0"/>
          <w:sz w:val="24"/>
          <w:szCs w:val="24"/>
          <w:highlight w:val="none"/>
        </w:rPr>
        <w:t>/a</w:t>
      </w:r>
      <w:r>
        <w:rPr>
          <w:rFonts w:hint="eastAsia"/>
          <w:color w:val="auto"/>
          <w:highlight w:val="none"/>
          <w:lang w:eastAsia="zh-CN"/>
        </w:rPr>
        <w:t>。</w:t>
      </w:r>
    </w:p>
    <w:p w14:paraId="1A1ED766">
      <w:pPr>
        <w:bidi w:val="0"/>
        <w:rPr>
          <w:rFonts w:hint="eastAsia"/>
          <w:color w:val="auto"/>
          <w:highlight w:val="none"/>
          <w:lang w:val="en-US" w:eastAsia="zh-CN"/>
        </w:rPr>
      </w:pPr>
      <w:r>
        <w:rPr>
          <w:rFonts w:hint="eastAsia"/>
          <w:color w:val="auto"/>
          <w:highlight w:val="none"/>
        </w:rPr>
        <w:t>①</w:t>
      </w:r>
      <w:r>
        <w:rPr>
          <w:rFonts w:hint="eastAsia"/>
          <w:color w:val="auto"/>
          <w:highlight w:val="none"/>
          <w:lang w:val="en-US" w:eastAsia="zh-CN"/>
        </w:rPr>
        <w:t>采矿用水</w:t>
      </w:r>
    </w:p>
    <w:p w14:paraId="23E32927">
      <w:pPr>
        <w:jc w:val="both"/>
        <w:rPr>
          <w:rFonts w:hint="eastAsia" w:eastAsia="宋体"/>
          <w:color w:val="auto"/>
          <w:highlight w:val="none"/>
          <w:lang w:val="en-US" w:eastAsia="zh-CN"/>
        </w:rPr>
      </w:pPr>
      <w:r>
        <w:rPr>
          <w:rFonts w:hint="eastAsia"/>
          <w:color w:val="auto"/>
          <w:highlight w:val="none"/>
          <w:lang w:val="en-US" w:eastAsia="zh-CN"/>
        </w:rPr>
        <w:t>根据业主提供资料，采矿系统用水量为1200</w:t>
      </w:r>
      <w:r>
        <w:rPr>
          <w:rFonts w:hint="default" w:ascii="Times New Roman" w:hAnsi="Times New Roman" w:cs="Times New Roman"/>
          <w:color w:val="auto"/>
          <w:spacing w:val="0"/>
          <w:sz w:val="24"/>
          <w:highlight w:val="none"/>
        </w:rPr>
        <w:t>m</w:t>
      </w:r>
      <w:r>
        <w:rPr>
          <w:rFonts w:hint="default" w:ascii="Times New Roman" w:hAnsi="Times New Roman" w:cs="Times New Roman"/>
          <w:color w:val="auto"/>
          <w:spacing w:val="0"/>
          <w:sz w:val="24"/>
          <w:highlight w:val="none"/>
          <w:vertAlign w:val="superscript"/>
        </w:rPr>
        <w:t>3</w:t>
      </w:r>
      <w:r>
        <w:rPr>
          <w:rFonts w:hint="default" w:ascii="Times New Roman" w:hAnsi="Times New Roman" w:cs="Times New Roman"/>
          <w:color w:val="auto"/>
          <w:spacing w:val="0"/>
          <w:sz w:val="24"/>
          <w:highlight w:val="none"/>
        </w:rPr>
        <w:t>/d</w:t>
      </w:r>
      <w:r>
        <w:rPr>
          <w:rFonts w:hint="eastAsia" w:cs="Times New Roman"/>
          <w:color w:val="auto"/>
          <w:spacing w:val="0"/>
          <w:sz w:val="24"/>
          <w:highlight w:val="none"/>
          <w:lang w:eastAsia="zh-CN"/>
        </w:rPr>
        <w:t>，</w:t>
      </w:r>
      <w:r>
        <w:rPr>
          <w:rFonts w:hint="eastAsia" w:cs="Times New Roman"/>
          <w:color w:val="auto"/>
          <w:spacing w:val="0"/>
          <w:sz w:val="24"/>
          <w:highlight w:val="none"/>
          <w:lang w:val="en-US" w:eastAsia="zh-CN"/>
        </w:rPr>
        <w:t>年用水量为36万</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a，主要用于采矿场地内降尘</w:t>
      </w:r>
      <w:r>
        <w:rPr>
          <w:rFonts w:hint="eastAsia" w:cs="Times New Roman"/>
          <w:color w:val="auto"/>
          <w:spacing w:val="0"/>
          <w:sz w:val="24"/>
          <w:highlight w:val="none"/>
          <w:lang w:eastAsia="zh-CN"/>
        </w:rPr>
        <w:t>。</w:t>
      </w:r>
    </w:p>
    <w:p w14:paraId="6DDBDA9C">
      <w:pPr>
        <w:overflowPunct w:val="0"/>
        <w:topLinePunct/>
        <w:ind w:firstLine="480"/>
        <w:rPr>
          <w:rFonts w:hint="eastAsia"/>
          <w:color w:val="auto"/>
          <w:highlight w:val="none"/>
          <w:lang w:val="en-US" w:eastAsia="zh-CN"/>
        </w:rPr>
      </w:pPr>
      <w:r>
        <w:rPr>
          <w:rFonts w:hint="eastAsia"/>
          <w:color w:val="auto"/>
          <w:highlight w:val="none"/>
          <w:lang w:val="en-US" w:eastAsia="zh-CN"/>
        </w:rPr>
        <w:t>②喷雾抑尘用水</w:t>
      </w:r>
    </w:p>
    <w:p w14:paraId="4CA06B07">
      <w:pPr>
        <w:overflowPunct w:val="0"/>
        <w:topLinePunct/>
        <w:ind w:firstLine="480"/>
        <w:rPr>
          <w:rFonts w:hint="default"/>
          <w:color w:val="auto"/>
          <w:highlight w:val="none"/>
          <w:lang w:val="en-US" w:eastAsia="zh-CN"/>
        </w:rPr>
      </w:pPr>
      <w:r>
        <w:rPr>
          <w:rFonts w:hint="eastAsia"/>
          <w:color w:val="auto"/>
          <w:highlight w:val="none"/>
          <w:lang w:val="en-US" w:eastAsia="zh-CN"/>
        </w:rPr>
        <w:t>矿山设计每天抑尘用水量为240</w:t>
      </w:r>
      <w:r>
        <w:rPr>
          <w:rFonts w:hint="default" w:ascii="Times New Roman" w:hAnsi="Times New Roman" w:cs="Times New Roman"/>
          <w:color w:val="auto"/>
          <w:spacing w:val="0"/>
          <w:sz w:val="24"/>
          <w:highlight w:val="none"/>
        </w:rPr>
        <w:t>m</w:t>
      </w:r>
      <w:r>
        <w:rPr>
          <w:rFonts w:hint="default" w:ascii="Times New Roman" w:hAnsi="Times New Roman" w:cs="Times New Roman"/>
          <w:color w:val="auto"/>
          <w:spacing w:val="0"/>
          <w:sz w:val="24"/>
          <w:highlight w:val="none"/>
          <w:vertAlign w:val="superscript"/>
        </w:rPr>
        <w:t>3</w:t>
      </w:r>
      <w:r>
        <w:rPr>
          <w:rFonts w:hint="default" w:ascii="Times New Roman" w:hAnsi="Times New Roman" w:cs="Times New Roman"/>
          <w:color w:val="auto"/>
          <w:spacing w:val="0"/>
          <w:sz w:val="24"/>
          <w:highlight w:val="none"/>
        </w:rPr>
        <w:t>/d</w:t>
      </w:r>
      <w:r>
        <w:rPr>
          <w:rFonts w:hint="eastAsia"/>
          <w:color w:val="auto"/>
          <w:highlight w:val="none"/>
          <w:lang w:val="en-US" w:eastAsia="zh-CN"/>
        </w:rPr>
        <w:t>，全部自然蒸干，不外排。</w:t>
      </w:r>
    </w:p>
    <w:p w14:paraId="0A55CA0D">
      <w:pPr>
        <w:bidi w:val="0"/>
        <w:rPr>
          <w:rFonts w:hint="eastAsia"/>
          <w:color w:val="auto"/>
          <w:highlight w:val="none"/>
          <w:lang w:val="en-US" w:eastAsia="zh-CN"/>
        </w:rPr>
      </w:pPr>
      <w:r>
        <w:rPr>
          <w:rFonts w:hint="eastAsia"/>
          <w:color w:val="auto"/>
          <w:szCs w:val="28"/>
          <w:highlight w:val="none"/>
          <w:lang w:val="en-US" w:eastAsia="zh-CN"/>
        </w:rPr>
        <w:t>③</w:t>
      </w:r>
      <w:r>
        <w:rPr>
          <w:rFonts w:hint="eastAsia"/>
          <w:color w:val="auto"/>
          <w:highlight w:val="none"/>
          <w:lang w:val="en-US" w:eastAsia="zh-CN"/>
        </w:rPr>
        <w:t>选矿用水</w:t>
      </w:r>
    </w:p>
    <w:p w14:paraId="029CB2C4">
      <w:pPr>
        <w:bidi w:val="0"/>
        <w:rPr>
          <w:rFonts w:hint="default"/>
          <w:color w:val="auto"/>
          <w:highlight w:val="none"/>
          <w:lang w:val="en-US" w:eastAsia="zh-CN"/>
        </w:rPr>
      </w:pPr>
      <w:r>
        <w:rPr>
          <w:rFonts w:hint="default" w:ascii="Times New Roman" w:hAnsi="Times New Roman" w:cs="Times New Roman"/>
          <w:color w:val="auto"/>
          <w:highlight w:val="none"/>
        </w:rPr>
        <w:t>选矿用水主要为</w:t>
      </w:r>
      <w:r>
        <w:rPr>
          <w:rFonts w:hint="eastAsia" w:cs="Times New Roman"/>
          <w:color w:val="auto"/>
          <w:highlight w:val="none"/>
          <w:lang w:val="en-US" w:eastAsia="zh-CN"/>
        </w:rPr>
        <w:t>浮选</w:t>
      </w:r>
      <w:r>
        <w:rPr>
          <w:rFonts w:hint="default" w:ascii="Times New Roman" w:hAnsi="Times New Roman" w:cs="Times New Roman"/>
          <w:color w:val="auto"/>
          <w:highlight w:val="none"/>
        </w:rPr>
        <w:t>工艺用水</w:t>
      </w:r>
      <w:r>
        <w:rPr>
          <w:rFonts w:hint="eastAsia" w:cs="Times New Roman"/>
          <w:color w:val="auto"/>
          <w:highlight w:val="none"/>
          <w:lang w:val="en-US" w:eastAsia="zh-CN"/>
        </w:rPr>
        <w:t>、泵水封水、药剂制备用水、</w:t>
      </w:r>
      <w:r>
        <w:rPr>
          <w:rFonts w:hint="default" w:ascii="Times New Roman" w:hAnsi="Times New Roman" w:cs="Times New Roman"/>
          <w:color w:val="auto"/>
          <w:highlight w:val="none"/>
        </w:rPr>
        <w:t>冷却</w:t>
      </w:r>
      <w:r>
        <w:rPr>
          <w:rFonts w:hint="eastAsia" w:cs="Times New Roman"/>
          <w:color w:val="auto"/>
          <w:highlight w:val="none"/>
          <w:lang w:val="en-US" w:eastAsia="zh-CN"/>
        </w:rPr>
        <w:t>循环</w:t>
      </w:r>
      <w:r>
        <w:rPr>
          <w:rFonts w:hint="default" w:ascii="Times New Roman" w:hAnsi="Times New Roman" w:cs="Times New Roman"/>
          <w:color w:val="auto"/>
          <w:highlight w:val="none"/>
          <w:lang w:eastAsia="zh-CN"/>
        </w:rPr>
        <w:t>补水</w:t>
      </w:r>
      <w:r>
        <w:rPr>
          <w:rFonts w:hint="eastAsia" w:cs="Times New Roman"/>
          <w:color w:val="auto"/>
          <w:highlight w:val="none"/>
          <w:lang w:val="en-US" w:eastAsia="zh-CN"/>
        </w:rPr>
        <w:t>及地面冲洗水</w:t>
      </w:r>
      <w:r>
        <w:rPr>
          <w:rFonts w:hint="eastAsia" w:cs="Times New Roman"/>
          <w:color w:val="auto"/>
          <w:highlight w:val="none"/>
          <w:lang w:eastAsia="zh-CN"/>
        </w:rPr>
        <w:t>。</w:t>
      </w:r>
      <w:r>
        <w:rPr>
          <w:rFonts w:hint="eastAsia" w:cs="Times New Roman"/>
          <w:color w:val="auto"/>
          <w:highlight w:val="none"/>
          <w:lang w:val="en-US" w:eastAsia="zh-CN"/>
        </w:rPr>
        <w:t>其中泵水封水使用新鲜水1000</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d</w:t>
      </w:r>
      <w:r>
        <w:rPr>
          <w:rFonts w:hint="eastAsia" w:cs="Times New Roman"/>
          <w:color w:val="auto"/>
          <w:highlight w:val="none"/>
          <w:lang w:val="en-US" w:eastAsia="zh-CN"/>
        </w:rPr>
        <w:t>，地面冲洗使用新鲜水200</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d，药剂制备</w:t>
      </w:r>
      <w:r>
        <w:rPr>
          <w:rFonts w:hint="eastAsia" w:cs="Times New Roman"/>
          <w:color w:val="auto"/>
          <w:highlight w:val="none"/>
          <w:lang w:val="en-US" w:eastAsia="zh-CN"/>
        </w:rPr>
        <w:t>使用新鲜水350</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d，除少量损耗外全部进入浮选工艺；冷却循环补充新鲜水50</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d；</w:t>
      </w:r>
      <w:r>
        <w:rPr>
          <w:rFonts w:hint="eastAsia" w:cs="Times New Roman"/>
          <w:color w:val="auto"/>
          <w:highlight w:val="none"/>
          <w:lang w:val="en-US" w:eastAsia="zh-CN"/>
        </w:rPr>
        <w:t>浮选工艺消耗水4260.19</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d，其中新鲜水为504</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d，回用水为3756.19</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d。</w:t>
      </w:r>
      <w:r>
        <w:rPr>
          <w:rFonts w:hint="eastAsia" w:cs="Times New Roman"/>
          <w:color w:val="auto"/>
          <w:highlight w:val="none"/>
          <w:lang w:val="en-US" w:eastAsia="zh-CN"/>
        </w:rPr>
        <w:t>选矿新鲜水总用水量为2104</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d（63.1万</w:t>
      </w:r>
      <w:r>
        <w:rPr>
          <w:rFonts w:hint="eastAsia"/>
          <w:color w:val="auto"/>
          <w:spacing w:val="0"/>
          <w:sz w:val="24"/>
          <w:highlight w:val="none"/>
        </w:rPr>
        <w:t>m</w:t>
      </w:r>
      <w:r>
        <w:rPr>
          <w:rFonts w:hint="eastAsia"/>
          <w:color w:val="auto"/>
          <w:spacing w:val="0"/>
          <w:sz w:val="24"/>
          <w:highlight w:val="none"/>
          <w:vertAlign w:val="superscript"/>
        </w:rPr>
        <w:t>3</w:t>
      </w:r>
      <w:r>
        <w:rPr>
          <w:color w:val="auto"/>
          <w:spacing w:val="0"/>
          <w:sz w:val="24"/>
          <w:highlight w:val="none"/>
        </w:rPr>
        <w:t>/</w:t>
      </w:r>
      <w:r>
        <w:rPr>
          <w:rFonts w:hint="eastAsia"/>
          <w:color w:val="auto"/>
          <w:spacing w:val="0"/>
          <w:sz w:val="24"/>
          <w:highlight w:val="none"/>
          <w:lang w:val="en-US" w:eastAsia="zh-CN"/>
        </w:rPr>
        <w:t>a）</w:t>
      </w:r>
      <w:r>
        <w:rPr>
          <w:rFonts w:hint="default" w:ascii="Times New Roman" w:hAnsi="Times New Roman" w:cs="Times New Roman"/>
          <w:color w:val="auto"/>
          <w:highlight w:val="none"/>
        </w:rPr>
        <w:t>。</w:t>
      </w:r>
    </w:p>
    <w:p w14:paraId="22D9B3D7">
      <w:pPr>
        <w:overflowPunct w:val="0"/>
        <w:topLinePunct/>
        <w:ind w:firstLine="480"/>
        <w:rPr>
          <w:rFonts w:hint="eastAsia" w:eastAsia="宋体"/>
          <w:color w:val="auto"/>
          <w:szCs w:val="28"/>
          <w:highlight w:val="none"/>
          <w:lang w:eastAsia="zh-CN"/>
        </w:rPr>
      </w:pPr>
      <w:r>
        <w:rPr>
          <w:rFonts w:hint="eastAsia"/>
          <w:color w:val="auto"/>
          <w:szCs w:val="28"/>
          <w:highlight w:val="none"/>
          <w:lang w:val="en-US" w:eastAsia="zh-CN"/>
        </w:rPr>
        <w:t>④</w:t>
      </w:r>
      <w:r>
        <w:rPr>
          <w:rFonts w:hint="eastAsia"/>
          <w:color w:val="auto"/>
          <w:szCs w:val="28"/>
          <w:highlight w:val="none"/>
          <w:lang w:eastAsia="zh-CN"/>
        </w:rPr>
        <w:t>锅炉用水</w:t>
      </w:r>
    </w:p>
    <w:p w14:paraId="14815611">
      <w:pPr>
        <w:overflowPunct w:val="0"/>
        <w:topLinePunct/>
        <w:rPr>
          <w:color w:val="auto"/>
          <w:szCs w:val="28"/>
          <w:highlight w:val="none"/>
        </w:rPr>
      </w:pPr>
      <w:r>
        <w:rPr>
          <w:rFonts w:hint="eastAsia"/>
          <w:color w:val="auto"/>
          <w:szCs w:val="28"/>
          <w:highlight w:val="none"/>
        </w:rPr>
        <w:t>锅炉生产用水均为新鲜水，根据</w:t>
      </w:r>
      <w:r>
        <w:rPr>
          <w:rFonts w:hint="eastAsia"/>
          <w:color w:val="auto"/>
          <w:szCs w:val="28"/>
          <w:highlight w:val="none"/>
          <w:lang w:eastAsia="zh-CN"/>
        </w:rPr>
        <w:t>设计资料</w:t>
      </w:r>
      <w:r>
        <w:rPr>
          <w:rFonts w:hint="eastAsia"/>
          <w:color w:val="auto"/>
          <w:szCs w:val="28"/>
          <w:highlight w:val="none"/>
        </w:rPr>
        <w:t>，锅炉用</w:t>
      </w:r>
      <w:r>
        <w:rPr>
          <w:rFonts w:hint="eastAsia"/>
          <w:color w:val="auto"/>
          <w:szCs w:val="28"/>
          <w:highlight w:val="none"/>
          <w:lang w:val="en-US" w:eastAsia="zh-CN"/>
        </w:rPr>
        <w:t>总</w:t>
      </w:r>
      <w:r>
        <w:rPr>
          <w:rFonts w:hint="eastAsia"/>
          <w:color w:val="auto"/>
          <w:szCs w:val="28"/>
          <w:highlight w:val="none"/>
        </w:rPr>
        <w:t>水量</w:t>
      </w:r>
      <w:r>
        <w:rPr>
          <w:rFonts w:hint="eastAsia"/>
          <w:color w:val="auto"/>
          <w:szCs w:val="28"/>
          <w:highlight w:val="none"/>
          <w:lang w:val="en-US" w:eastAsia="zh-CN"/>
        </w:rPr>
        <w:t>约</w:t>
      </w:r>
      <w:r>
        <w:rPr>
          <w:rFonts w:hint="eastAsia"/>
          <w:color w:val="auto"/>
          <w:szCs w:val="28"/>
          <w:highlight w:val="none"/>
        </w:rPr>
        <w:t>为</w:t>
      </w:r>
      <w:r>
        <w:rPr>
          <w:rFonts w:hint="eastAsia"/>
          <w:color w:val="auto"/>
          <w:highlight w:val="none"/>
          <w:lang w:val="en-US" w:eastAsia="zh-CN"/>
        </w:rPr>
        <w:t>576</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17.28万</w:t>
      </w:r>
      <w:r>
        <w:rPr>
          <w:rFonts w:hint="eastAsia"/>
          <w:color w:val="auto"/>
          <w:highlight w:val="none"/>
        </w:rPr>
        <w:t>m</w:t>
      </w:r>
      <w:r>
        <w:rPr>
          <w:rFonts w:hint="eastAsia"/>
          <w:color w:val="auto"/>
          <w:highlight w:val="none"/>
          <w:vertAlign w:val="superscript"/>
        </w:rPr>
        <w:t>3</w:t>
      </w:r>
      <w:r>
        <w:rPr>
          <w:rFonts w:hint="eastAsia"/>
          <w:color w:val="auto"/>
          <w:highlight w:val="none"/>
        </w:rPr>
        <w:t>/a）。</w:t>
      </w:r>
    </w:p>
    <w:p w14:paraId="5D3DF24F">
      <w:pPr>
        <w:overflowPunct w:val="0"/>
        <w:topLinePunct/>
        <w:spacing w:line="480" w:lineRule="exact"/>
        <w:ind w:firstLine="480"/>
        <w:rPr>
          <w:color w:val="auto"/>
          <w:szCs w:val="28"/>
          <w:highlight w:val="none"/>
        </w:rPr>
      </w:pPr>
      <w:r>
        <w:rPr>
          <w:rFonts w:hint="eastAsia"/>
          <w:color w:val="auto"/>
          <w:szCs w:val="28"/>
          <w:highlight w:val="none"/>
          <w:lang w:val="en-US" w:eastAsia="zh-CN"/>
        </w:rPr>
        <w:t>⑤</w:t>
      </w:r>
      <w:r>
        <w:rPr>
          <w:rFonts w:hint="eastAsia"/>
          <w:color w:val="auto"/>
          <w:szCs w:val="28"/>
          <w:highlight w:val="none"/>
        </w:rPr>
        <w:t>化验室用水</w:t>
      </w:r>
    </w:p>
    <w:p w14:paraId="166C8075">
      <w:pPr>
        <w:overflowPunct w:val="0"/>
        <w:topLinePunct/>
        <w:ind w:firstLine="480"/>
        <w:rPr>
          <w:rFonts w:hint="eastAsia"/>
          <w:color w:val="auto"/>
          <w:highlight w:val="none"/>
        </w:rPr>
      </w:pPr>
      <w:r>
        <w:rPr>
          <w:rFonts w:hint="eastAsia"/>
          <w:color w:val="auto"/>
          <w:highlight w:val="none"/>
        </w:rPr>
        <w:t>根据</w:t>
      </w:r>
      <w:r>
        <w:rPr>
          <w:rFonts w:hint="eastAsia"/>
          <w:color w:val="auto"/>
          <w:highlight w:val="none"/>
          <w:lang w:val="en-US" w:eastAsia="zh-CN"/>
        </w:rPr>
        <w:t>业主提供资料</w:t>
      </w:r>
      <w:r>
        <w:rPr>
          <w:rFonts w:hint="eastAsia"/>
          <w:color w:val="auto"/>
          <w:highlight w:val="none"/>
        </w:rPr>
        <w:t>，化验室</w:t>
      </w:r>
      <w:r>
        <w:rPr>
          <w:rFonts w:hint="eastAsia"/>
          <w:color w:val="auto"/>
          <w:highlight w:val="none"/>
          <w:lang w:val="en-US" w:eastAsia="zh-CN"/>
        </w:rPr>
        <w:t>化验、器皿清洗</w:t>
      </w:r>
      <w:r>
        <w:rPr>
          <w:rFonts w:hint="eastAsia"/>
          <w:color w:val="auto"/>
          <w:highlight w:val="none"/>
        </w:rPr>
        <w:t>用水量</w:t>
      </w:r>
      <w:r>
        <w:rPr>
          <w:rFonts w:hint="eastAsia"/>
          <w:color w:val="auto"/>
          <w:highlight w:val="none"/>
          <w:lang w:val="en-US" w:eastAsia="zh-CN"/>
        </w:rPr>
        <w:t>约</w:t>
      </w:r>
      <w:r>
        <w:rPr>
          <w:rFonts w:hint="eastAsia"/>
          <w:color w:val="auto"/>
          <w:highlight w:val="none"/>
        </w:rPr>
        <w:t>为</w:t>
      </w:r>
      <w:r>
        <w:rPr>
          <w:color w:val="auto"/>
          <w:highlight w:val="none"/>
        </w:rPr>
        <w:t>2</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rPr>
        <w:t>（</w:t>
      </w:r>
      <w:r>
        <w:rPr>
          <w:rFonts w:hint="eastAsia"/>
          <w:color w:val="auto"/>
          <w:highlight w:val="none"/>
          <w:lang w:val="en-US" w:eastAsia="zh-CN"/>
        </w:rPr>
        <w:t>600</w:t>
      </w:r>
      <w:r>
        <w:rPr>
          <w:rFonts w:hint="eastAsia"/>
          <w:color w:val="auto"/>
          <w:highlight w:val="none"/>
        </w:rPr>
        <w:t>m</w:t>
      </w:r>
      <w:r>
        <w:rPr>
          <w:color w:val="auto"/>
          <w:highlight w:val="none"/>
          <w:vertAlign w:val="superscript"/>
        </w:rPr>
        <w:t>3</w:t>
      </w:r>
      <w:r>
        <w:rPr>
          <w:color w:val="auto"/>
          <w:highlight w:val="none"/>
        </w:rPr>
        <w:t>/a</w:t>
      </w:r>
      <w:r>
        <w:rPr>
          <w:rFonts w:hint="eastAsia"/>
          <w:color w:val="auto"/>
          <w:highlight w:val="none"/>
        </w:rPr>
        <w:t>）。</w:t>
      </w:r>
    </w:p>
    <w:p w14:paraId="4F29A011">
      <w:pPr>
        <w:bidi w:val="0"/>
        <w:rPr>
          <w:rFonts w:hint="eastAsia"/>
          <w:color w:val="auto"/>
          <w:highlight w:val="none"/>
          <w:lang w:val="en-US" w:eastAsia="zh-CN"/>
        </w:rPr>
      </w:pPr>
      <w:r>
        <w:rPr>
          <w:rFonts w:hint="eastAsia"/>
          <w:color w:val="auto"/>
          <w:highlight w:val="none"/>
          <w:lang w:val="en-US" w:eastAsia="zh-CN"/>
        </w:rPr>
        <w:t>⑥尾矿设施用水</w:t>
      </w:r>
    </w:p>
    <w:p w14:paraId="022265C8">
      <w:pPr>
        <w:bidi w:val="0"/>
        <w:rPr>
          <w:rFonts w:hint="default"/>
          <w:color w:val="auto"/>
          <w:highlight w:val="none"/>
          <w:lang w:val="en-US" w:eastAsia="zh-CN"/>
        </w:rPr>
      </w:pPr>
      <w:r>
        <w:rPr>
          <w:rFonts w:hint="eastAsia"/>
          <w:color w:val="auto"/>
          <w:highlight w:val="none"/>
          <w:lang w:val="en-US" w:eastAsia="zh-CN"/>
        </w:rPr>
        <w:t>尾矿设施用水主要为泵水封水、絮凝剂用水及减速机冷却用水，总用水量为1301</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rPr>
        <w:t>（</w:t>
      </w:r>
      <w:r>
        <w:rPr>
          <w:rFonts w:hint="eastAsia"/>
          <w:color w:val="auto"/>
          <w:highlight w:val="none"/>
          <w:lang w:val="en-US" w:eastAsia="zh-CN"/>
        </w:rPr>
        <w:t>39.03万</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val="en-US" w:eastAsia="zh-CN"/>
        </w:rPr>
        <w:t>。</w:t>
      </w:r>
    </w:p>
    <w:p w14:paraId="0271266B">
      <w:pPr>
        <w:bidi w:val="0"/>
        <w:rPr>
          <w:rFonts w:hint="eastAsia"/>
          <w:color w:val="auto"/>
          <w:highlight w:val="none"/>
          <w:lang w:val="en-US" w:eastAsia="zh-CN"/>
        </w:rPr>
      </w:pPr>
      <w:r>
        <w:rPr>
          <w:rFonts w:hint="eastAsia"/>
          <w:color w:val="auto"/>
          <w:highlight w:val="none"/>
          <w:lang w:val="en-US" w:eastAsia="zh-CN"/>
        </w:rPr>
        <w:t>⑦填充站用水</w:t>
      </w:r>
    </w:p>
    <w:p w14:paraId="5C079698">
      <w:pPr>
        <w:bidi w:val="0"/>
        <w:rPr>
          <w:rFonts w:hint="eastAsia" w:eastAsia="宋体"/>
          <w:color w:val="auto"/>
          <w:highlight w:val="none"/>
          <w:lang w:val="en-US" w:eastAsia="zh-CN"/>
        </w:rPr>
      </w:pPr>
      <w:r>
        <w:rPr>
          <w:rFonts w:hint="eastAsia"/>
          <w:color w:val="auto"/>
          <w:highlight w:val="none"/>
          <w:lang w:val="en-US" w:eastAsia="zh-CN"/>
        </w:rPr>
        <w:t>填充站用水主要为絮凝剂制备用水及搅拌用水，消耗新鲜水量为360</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lang w:eastAsia="zh-CN"/>
        </w:rPr>
        <w:t>。</w:t>
      </w:r>
    </w:p>
    <w:p w14:paraId="07F717FB">
      <w:pPr>
        <w:overflowPunct w:val="0"/>
        <w:topLinePunct/>
        <w:spacing w:line="480" w:lineRule="exact"/>
        <w:ind w:firstLine="480"/>
        <w:rPr>
          <w:rFonts w:hint="eastAsia"/>
          <w:color w:val="auto"/>
          <w:szCs w:val="28"/>
          <w:highlight w:val="none"/>
          <w:lang w:val="en-US" w:eastAsia="zh-CN"/>
        </w:rPr>
      </w:pPr>
      <w:r>
        <w:rPr>
          <w:rFonts w:hint="eastAsia"/>
          <w:color w:val="auto"/>
          <w:szCs w:val="28"/>
          <w:highlight w:val="none"/>
          <w:lang w:val="en-US" w:eastAsia="zh-CN"/>
        </w:rPr>
        <w:t>⑧碱液吸收塔用水</w:t>
      </w:r>
    </w:p>
    <w:p w14:paraId="314081B8">
      <w:pPr>
        <w:bidi w:val="0"/>
        <w:rPr>
          <w:rFonts w:hint="default"/>
          <w:color w:val="auto"/>
          <w:highlight w:val="none"/>
          <w:lang w:val="en-US" w:eastAsia="zh-CN"/>
        </w:rPr>
      </w:pPr>
      <w:r>
        <w:rPr>
          <w:color w:val="auto"/>
          <w:highlight w:val="none"/>
        </w:rPr>
        <w:t>碱液吸收塔采用氢氧化钠碱液循环喷淋，去除废气中硫酸雾</w:t>
      </w:r>
      <w:r>
        <w:rPr>
          <w:rFonts w:hint="eastAsia"/>
          <w:color w:val="auto"/>
          <w:highlight w:val="none"/>
          <w:lang w:eastAsia="zh-CN"/>
        </w:rPr>
        <w:t>，</w:t>
      </w:r>
      <w:r>
        <w:rPr>
          <w:rFonts w:hint="eastAsia"/>
          <w:color w:val="auto"/>
          <w:highlight w:val="none"/>
          <w:lang w:val="en-US" w:eastAsia="zh-CN"/>
        </w:rPr>
        <w:t>消耗新鲜水用量为3m</w:t>
      </w:r>
      <w:r>
        <w:rPr>
          <w:rFonts w:hint="eastAsia"/>
          <w:color w:val="auto"/>
          <w:highlight w:val="none"/>
          <w:vertAlign w:val="superscript"/>
          <w:lang w:val="en-US" w:eastAsia="zh-CN"/>
        </w:rPr>
        <w:t>3</w:t>
      </w:r>
      <w:r>
        <w:rPr>
          <w:rFonts w:hint="eastAsia"/>
          <w:color w:val="auto"/>
          <w:highlight w:val="none"/>
          <w:lang w:val="en-US" w:eastAsia="zh-CN"/>
        </w:rPr>
        <w:t>/a（0.1m</w:t>
      </w:r>
      <w:r>
        <w:rPr>
          <w:rFonts w:hint="eastAsia"/>
          <w:color w:val="auto"/>
          <w:highlight w:val="none"/>
          <w:vertAlign w:val="superscript"/>
          <w:lang w:val="en-US" w:eastAsia="zh-CN"/>
        </w:rPr>
        <w:t>3</w:t>
      </w:r>
      <w:r>
        <w:rPr>
          <w:rFonts w:hint="eastAsia"/>
          <w:color w:val="auto"/>
          <w:highlight w:val="none"/>
          <w:lang w:val="en-US" w:eastAsia="zh-CN"/>
        </w:rPr>
        <w:t>/d）。</w:t>
      </w:r>
    </w:p>
    <w:p w14:paraId="236092B7">
      <w:pPr>
        <w:overflowPunct w:val="0"/>
        <w:topLinePunct/>
        <w:ind w:firstLine="480"/>
        <w:rPr>
          <w:color w:val="auto"/>
          <w:szCs w:val="28"/>
          <w:highlight w:val="none"/>
        </w:rPr>
      </w:pPr>
      <w:r>
        <w:rPr>
          <w:rFonts w:hint="eastAsia"/>
          <w:color w:val="auto"/>
          <w:highlight w:val="none"/>
          <w:lang w:val="en-US" w:eastAsia="zh-CN"/>
        </w:rPr>
        <w:t>⑨</w:t>
      </w:r>
      <w:r>
        <w:rPr>
          <w:rFonts w:hint="eastAsia"/>
          <w:color w:val="auto"/>
          <w:szCs w:val="28"/>
          <w:highlight w:val="none"/>
        </w:rPr>
        <w:t>办公生活用水</w:t>
      </w:r>
    </w:p>
    <w:p w14:paraId="0446F67B">
      <w:pPr>
        <w:overflowPunct w:val="0"/>
        <w:topLinePunct/>
        <w:spacing w:line="480" w:lineRule="exact"/>
        <w:ind w:firstLine="480"/>
        <w:rPr>
          <w:rFonts w:hint="eastAsia"/>
          <w:color w:val="auto"/>
          <w:highlight w:val="none"/>
        </w:rPr>
      </w:pPr>
      <w:r>
        <w:rPr>
          <w:rFonts w:hint="eastAsia"/>
          <w:color w:val="auto"/>
          <w:highlight w:val="none"/>
        </w:rPr>
        <w:t>本项目劳动定员</w:t>
      </w:r>
      <w:r>
        <w:rPr>
          <w:rFonts w:hint="eastAsia"/>
          <w:color w:val="auto"/>
          <w:highlight w:val="none"/>
          <w:lang w:val="en-US" w:eastAsia="zh-CN"/>
        </w:rPr>
        <w:t>约253</w:t>
      </w:r>
      <w:r>
        <w:rPr>
          <w:rFonts w:hint="eastAsia"/>
          <w:color w:val="auto"/>
          <w:highlight w:val="none"/>
        </w:rPr>
        <w:t>人，</w:t>
      </w:r>
      <w:r>
        <w:rPr>
          <w:rFonts w:hint="eastAsia"/>
          <w:color w:val="auto"/>
          <w:highlight w:val="none"/>
          <w:lang w:val="en-US" w:eastAsia="zh-CN"/>
        </w:rPr>
        <w:t>均在厂内食宿</w:t>
      </w:r>
      <w:r>
        <w:rPr>
          <w:rFonts w:hint="eastAsia"/>
          <w:color w:val="auto"/>
          <w:highlight w:val="none"/>
        </w:rPr>
        <w:t>，根据</w:t>
      </w:r>
      <w:r>
        <w:rPr>
          <w:color w:val="auto"/>
          <w:szCs w:val="24"/>
          <w:highlight w:val="none"/>
        </w:rPr>
        <w:t>《新疆维吾尔自治区生活用水定额》</w:t>
      </w:r>
      <w:r>
        <w:rPr>
          <w:rFonts w:hint="eastAsia"/>
          <w:color w:val="auto"/>
          <w:highlight w:val="none"/>
        </w:rPr>
        <w:t>每人每天用水量</w:t>
      </w:r>
      <w:r>
        <w:rPr>
          <w:rFonts w:hint="eastAsia"/>
          <w:color w:val="auto"/>
          <w:highlight w:val="none"/>
          <w:lang w:val="en-US" w:eastAsia="zh-CN"/>
        </w:rPr>
        <w:t>按110</w:t>
      </w:r>
      <w:r>
        <w:rPr>
          <w:rFonts w:hint="eastAsia"/>
          <w:color w:val="auto"/>
          <w:highlight w:val="none"/>
        </w:rPr>
        <w:t>L</w:t>
      </w:r>
      <w:r>
        <w:rPr>
          <w:rFonts w:hint="eastAsia"/>
          <w:color w:val="auto"/>
          <w:highlight w:val="none"/>
          <w:lang w:val="en-US" w:eastAsia="zh-CN"/>
        </w:rPr>
        <w:t>计</w:t>
      </w:r>
      <w:r>
        <w:rPr>
          <w:rFonts w:hint="eastAsia"/>
          <w:color w:val="auto"/>
          <w:highlight w:val="none"/>
        </w:rPr>
        <w:t>，则总用水量约</w:t>
      </w:r>
      <w:r>
        <w:rPr>
          <w:rFonts w:hint="eastAsia"/>
          <w:color w:val="auto"/>
          <w:highlight w:val="none"/>
          <w:lang w:val="en-US" w:eastAsia="zh-CN"/>
        </w:rPr>
        <w:t>27.83</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8349</w:t>
      </w:r>
      <w:r>
        <w:rPr>
          <w:rFonts w:hint="eastAsia"/>
          <w:color w:val="auto"/>
          <w:highlight w:val="none"/>
        </w:rPr>
        <w:t>m</w:t>
      </w:r>
      <w:r>
        <w:rPr>
          <w:rFonts w:hint="eastAsia"/>
          <w:color w:val="auto"/>
          <w:highlight w:val="none"/>
          <w:vertAlign w:val="superscript"/>
        </w:rPr>
        <w:t>3</w:t>
      </w:r>
      <w:r>
        <w:rPr>
          <w:rFonts w:hint="eastAsia"/>
          <w:color w:val="auto"/>
          <w:highlight w:val="none"/>
        </w:rPr>
        <w:t>/a）。</w:t>
      </w:r>
    </w:p>
    <w:p w14:paraId="71540DD5">
      <w:pPr>
        <w:pStyle w:val="7"/>
        <w:ind w:firstLine="482"/>
        <w:rPr>
          <w:color w:val="auto"/>
          <w:highlight w:val="none"/>
        </w:rPr>
      </w:pPr>
      <w:r>
        <w:rPr>
          <w:color w:val="auto"/>
          <w:highlight w:val="none"/>
        </w:rPr>
        <w:t>3.</w:t>
      </w:r>
      <w:r>
        <w:rPr>
          <w:rFonts w:hint="eastAsia"/>
          <w:color w:val="auto"/>
          <w:highlight w:val="none"/>
          <w:lang w:val="en-US" w:eastAsia="zh-CN"/>
        </w:rPr>
        <w:t>1</w:t>
      </w:r>
      <w:r>
        <w:rPr>
          <w:color w:val="auto"/>
          <w:highlight w:val="none"/>
        </w:rPr>
        <w:t>.</w:t>
      </w:r>
      <w:r>
        <w:rPr>
          <w:rFonts w:hint="eastAsia"/>
          <w:color w:val="auto"/>
          <w:highlight w:val="none"/>
          <w:lang w:val="en-US" w:eastAsia="zh-CN"/>
        </w:rPr>
        <w:t>7</w:t>
      </w:r>
      <w:r>
        <w:rPr>
          <w:color w:val="auto"/>
          <w:highlight w:val="none"/>
        </w:rPr>
        <w:t>.</w:t>
      </w:r>
      <w:r>
        <w:rPr>
          <w:rFonts w:hint="eastAsia"/>
          <w:color w:val="auto"/>
          <w:highlight w:val="none"/>
        </w:rPr>
        <w:t>2排水工程</w:t>
      </w:r>
    </w:p>
    <w:p w14:paraId="37E44140">
      <w:pPr>
        <w:overflowPunct w:val="0"/>
        <w:topLinePunct/>
        <w:spacing w:beforeLines="0" w:afterLines="0" w:line="480" w:lineRule="exact"/>
        <w:jc w:val="both"/>
        <w:rPr>
          <w:rFonts w:ascii="Times New Roman" w:hAnsi="Times New Roman" w:cs="Times New Roman"/>
          <w:color w:val="auto"/>
          <w:highlight w:val="none"/>
        </w:rPr>
      </w:pPr>
      <w:r>
        <w:rPr>
          <w:rFonts w:ascii="Times New Roman" w:hAnsi="Times New Roman" w:cs="Times New Roman"/>
          <w:color w:val="auto"/>
          <w:highlight w:val="none"/>
        </w:rPr>
        <w:t>本项目废水主要为选矿工艺产生的选矿废水</w:t>
      </w:r>
      <w:r>
        <w:rPr>
          <w:rFonts w:hint="eastAsia" w:ascii="Times New Roman" w:hAnsi="Times New Roman" w:cs="Times New Roman"/>
          <w:color w:val="auto"/>
          <w:highlight w:val="none"/>
        </w:rPr>
        <w:t>、</w:t>
      </w:r>
      <w:r>
        <w:rPr>
          <w:rFonts w:ascii="Times New Roman" w:hAnsi="Times New Roman" w:cs="Times New Roman"/>
          <w:color w:val="auto"/>
          <w:highlight w:val="none"/>
        </w:rPr>
        <w:t>办公生活区产生的少量生活污水</w:t>
      </w:r>
      <w:r>
        <w:rPr>
          <w:rFonts w:hint="eastAsia" w:ascii="Times New Roman" w:hAnsi="Times New Roman" w:cs="Times New Roman"/>
          <w:color w:val="auto"/>
          <w:highlight w:val="none"/>
        </w:rPr>
        <w:t>、锅炉房废水（包括锅炉排污水、软水系统废水）以及化验废水</w:t>
      </w:r>
      <w:r>
        <w:rPr>
          <w:rFonts w:ascii="Times New Roman" w:hAnsi="Times New Roman" w:cs="Times New Roman"/>
          <w:color w:val="auto"/>
          <w:highlight w:val="none"/>
        </w:rPr>
        <w:t>。</w:t>
      </w:r>
    </w:p>
    <w:p w14:paraId="507703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default" w:eastAsia="宋体"/>
          <w:color w:val="auto"/>
          <w:szCs w:val="28"/>
          <w:highlight w:val="none"/>
          <w:lang w:val="en-US" w:eastAsia="zh-CN"/>
        </w:rPr>
      </w:pPr>
      <w:r>
        <w:rPr>
          <w:rFonts w:hint="eastAsia"/>
          <w:color w:val="auto"/>
          <w:szCs w:val="28"/>
          <w:highlight w:val="none"/>
        </w:rPr>
        <w:t>①</w:t>
      </w:r>
      <w:r>
        <w:rPr>
          <w:rFonts w:hint="eastAsia"/>
          <w:color w:val="auto"/>
          <w:szCs w:val="28"/>
          <w:highlight w:val="none"/>
          <w:lang w:val="en-US" w:eastAsia="zh-CN"/>
        </w:rPr>
        <w:t>采矿废水</w:t>
      </w:r>
    </w:p>
    <w:p w14:paraId="72171BB1">
      <w:pPr>
        <w:bidi w:val="0"/>
        <w:rPr>
          <w:rFonts w:hint="eastAsia"/>
          <w:color w:val="auto"/>
          <w:highlight w:val="none"/>
          <w:lang w:val="en-US" w:eastAsia="zh-CN"/>
        </w:rPr>
      </w:pPr>
      <w:r>
        <w:rPr>
          <w:color w:val="auto"/>
          <w:highlight w:val="none"/>
          <w:lang w:val="en-US" w:eastAsia="zh-CN"/>
        </w:rPr>
        <w:t>采矿工业场地生产排水为矿坑井下排水，</w:t>
      </w:r>
      <w:r>
        <w:rPr>
          <w:rFonts w:hint="eastAsia"/>
          <w:color w:val="auto"/>
          <w:highlight w:val="none"/>
          <w:lang w:val="en-US" w:eastAsia="zh-CN"/>
        </w:rPr>
        <w:t>采矿废水产生量为1060m</w:t>
      </w:r>
      <w:r>
        <w:rPr>
          <w:rFonts w:hint="eastAsia"/>
          <w:color w:val="auto"/>
          <w:highlight w:val="none"/>
          <w:vertAlign w:val="superscript"/>
          <w:lang w:val="en-US" w:eastAsia="zh-CN"/>
        </w:rPr>
        <w:t>3</w:t>
      </w:r>
      <w:r>
        <w:rPr>
          <w:rFonts w:hint="eastAsia"/>
          <w:color w:val="auto"/>
          <w:highlight w:val="none"/>
          <w:vertAlign w:val="baseline"/>
          <w:lang w:val="en-US" w:eastAsia="zh-CN"/>
        </w:rPr>
        <w:t>/d</w:t>
      </w:r>
      <w:r>
        <w:rPr>
          <w:rFonts w:hint="eastAsia"/>
          <w:color w:val="auto"/>
          <w:highlight w:val="none"/>
          <w:lang w:val="en-US" w:eastAsia="zh-CN"/>
        </w:rPr>
        <w:t>，与矿井涌水一同通过排水管送至坑内水净化站处理后，泵送至选矿厂生产消防高位水池作为生产水使用。</w:t>
      </w:r>
      <w:r>
        <w:rPr>
          <w:color w:val="auto"/>
          <w:highlight w:val="none"/>
          <w:lang w:val="en-US" w:eastAsia="zh-CN"/>
        </w:rPr>
        <w:t>2900m水平以上生产时，正常排水量1610m</w:t>
      </w:r>
      <w:r>
        <w:rPr>
          <w:rFonts w:hint="eastAsia"/>
          <w:color w:val="auto"/>
          <w:highlight w:val="none"/>
          <w:vertAlign w:val="superscript"/>
          <w:lang w:val="en-US" w:eastAsia="zh-CN"/>
        </w:rPr>
        <w:t>3</w:t>
      </w:r>
      <w:r>
        <w:rPr>
          <w:rFonts w:hint="eastAsia"/>
          <w:color w:val="auto"/>
          <w:highlight w:val="none"/>
          <w:lang w:val="en-US" w:eastAsia="zh-CN"/>
        </w:rPr>
        <w:t>/d（正常涌水量为550m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/d），2550m水平以上生产时，正常排水量5460m</w:t>
      </w:r>
      <w:r>
        <w:rPr>
          <w:rFonts w:hint="eastAsia"/>
          <w:color w:val="auto"/>
          <w:highlight w:val="none"/>
          <w:vertAlign w:val="superscript"/>
          <w:lang w:val="en-US" w:eastAsia="zh-CN"/>
        </w:rPr>
        <w:t>3</w:t>
      </w:r>
      <w:r>
        <w:rPr>
          <w:rFonts w:hint="eastAsia"/>
          <w:color w:val="auto"/>
          <w:highlight w:val="none"/>
          <w:lang w:val="en-US" w:eastAsia="zh-CN"/>
        </w:rPr>
        <w:t>/d（正常涌水量为4400m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/d），2450m水平以上生产时，正常排水量5960m</w:t>
      </w:r>
      <w:r>
        <w:rPr>
          <w:rFonts w:hint="eastAsia"/>
          <w:color w:val="auto"/>
          <w:highlight w:val="none"/>
          <w:vertAlign w:val="superscript"/>
          <w:lang w:val="en-US" w:eastAsia="zh-CN"/>
        </w:rPr>
        <w:t>3</w:t>
      </w:r>
      <w:r>
        <w:rPr>
          <w:rFonts w:hint="eastAsia"/>
          <w:color w:val="auto"/>
          <w:highlight w:val="none"/>
          <w:lang w:val="en-US" w:eastAsia="zh-CN"/>
        </w:rPr>
        <w:t>/d（正常涌水量为4900m</w:t>
      </w:r>
      <w:r>
        <w:rPr>
          <w:rFonts w:hint="eastAsia"/>
          <w:color w:val="auto"/>
          <w:highlight w:val="none"/>
          <w:vertAlign w:val="superscript"/>
          <w:lang w:val="en-US" w:eastAsia="zh-CN"/>
        </w:rPr>
        <w:t>3</w:t>
      </w:r>
      <w:r>
        <w:rPr>
          <w:rFonts w:hint="eastAsia"/>
          <w:color w:val="auto"/>
          <w:highlight w:val="none"/>
          <w:lang w:val="en-US" w:eastAsia="zh-CN"/>
        </w:rPr>
        <w:t>/d，回水量1060m</w:t>
      </w:r>
      <w:r>
        <w:rPr>
          <w:rFonts w:hint="eastAsia"/>
          <w:color w:val="auto"/>
          <w:highlight w:val="none"/>
          <w:vertAlign w:val="superscript"/>
          <w:lang w:val="en-US" w:eastAsia="zh-CN"/>
        </w:rPr>
        <w:t>3</w:t>
      </w:r>
      <w:r>
        <w:rPr>
          <w:rFonts w:hint="eastAsia"/>
          <w:color w:val="auto"/>
          <w:highlight w:val="none"/>
          <w:lang w:val="en-US" w:eastAsia="zh-CN"/>
        </w:rPr>
        <w:t>/d）。由于后期开采在20年以后，现有勘探报告预测水量较大，井下涌水存在动态变化，后期开采视涌水情况提前探水，通过加大除尘用水频次和扩大矿区灌溉面积消耗多余涌水。</w:t>
      </w:r>
    </w:p>
    <w:p w14:paraId="3D63D1DC">
      <w:pPr>
        <w:overflowPunct w:val="0"/>
        <w:topLinePunct/>
        <w:ind w:firstLine="480"/>
        <w:rPr>
          <w:color w:val="auto"/>
          <w:highlight w:val="none"/>
        </w:rPr>
      </w:pPr>
      <w:r>
        <w:rPr>
          <w:rFonts w:hint="eastAsia"/>
          <w:color w:val="auto"/>
          <w:szCs w:val="28"/>
          <w:highlight w:val="none"/>
        </w:rPr>
        <w:t>②</w:t>
      </w:r>
      <w:r>
        <w:rPr>
          <w:rFonts w:hint="eastAsia"/>
          <w:color w:val="auto"/>
          <w:highlight w:val="none"/>
        </w:rPr>
        <w:t>选矿废水</w:t>
      </w:r>
    </w:p>
    <w:p w14:paraId="0CFD3CAD">
      <w:pPr>
        <w:overflowPunct w:val="0"/>
        <w:topLinePunct/>
        <w:ind w:firstLine="480"/>
        <w:rPr>
          <w:color w:val="auto"/>
          <w:highlight w:val="none"/>
        </w:rPr>
      </w:pPr>
      <w:r>
        <w:rPr>
          <w:rFonts w:hint="eastAsia"/>
          <w:color w:val="auto"/>
          <w:highlight w:val="none"/>
        </w:rPr>
        <w:t>本项目运营期选矿废水</w:t>
      </w:r>
      <w:r>
        <w:rPr>
          <w:rFonts w:hint="eastAsia"/>
          <w:color w:val="auto"/>
          <w:highlight w:val="none"/>
          <w:lang w:val="en-US" w:eastAsia="zh-CN"/>
        </w:rPr>
        <w:t>主要</w:t>
      </w:r>
      <w:r>
        <w:rPr>
          <w:rFonts w:hint="eastAsia"/>
          <w:color w:val="auto"/>
          <w:highlight w:val="none"/>
        </w:rPr>
        <w:t>产生于</w:t>
      </w:r>
      <w:r>
        <w:rPr>
          <w:rFonts w:hint="eastAsia"/>
          <w:color w:val="auto"/>
          <w:highlight w:val="none"/>
          <w:lang w:val="en-US" w:eastAsia="zh-CN"/>
        </w:rPr>
        <w:t>浮选</w:t>
      </w:r>
      <w:r>
        <w:rPr>
          <w:rFonts w:hint="eastAsia"/>
          <w:color w:val="auto"/>
          <w:highlight w:val="none"/>
        </w:rPr>
        <w:t>过程中，选矿废水部分被</w:t>
      </w:r>
      <w:r>
        <w:rPr>
          <w:rFonts w:hint="eastAsia"/>
          <w:color w:val="auto"/>
          <w:highlight w:val="none"/>
          <w:lang w:eastAsia="zh-CN"/>
        </w:rPr>
        <w:t>萤石</w:t>
      </w:r>
      <w:r>
        <w:rPr>
          <w:rFonts w:hint="eastAsia"/>
          <w:color w:val="auto"/>
          <w:highlight w:val="none"/>
        </w:rPr>
        <w:t>精</w:t>
      </w:r>
      <w:r>
        <w:rPr>
          <w:rFonts w:hint="eastAsia"/>
          <w:color w:val="auto"/>
          <w:highlight w:val="none"/>
          <w:lang w:val="en-US" w:eastAsia="zh-CN"/>
        </w:rPr>
        <w:t>矿、尾矿</w:t>
      </w:r>
      <w:r>
        <w:rPr>
          <w:rFonts w:hint="eastAsia"/>
          <w:color w:val="auto"/>
          <w:highlight w:val="none"/>
        </w:rPr>
        <w:t>带走，</w:t>
      </w:r>
      <w:r>
        <w:rPr>
          <w:rFonts w:hint="eastAsia"/>
          <w:color w:val="auto"/>
          <w:highlight w:val="none"/>
          <w:lang w:val="en-US" w:eastAsia="zh-CN"/>
        </w:rPr>
        <w:t>填充站回水、</w:t>
      </w:r>
      <w:r>
        <w:rPr>
          <w:rFonts w:hint="eastAsia"/>
          <w:color w:val="auto"/>
          <w:highlight w:val="none"/>
        </w:rPr>
        <w:t>尾矿库回水</w:t>
      </w:r>
      <w:r>
        <w:rPr>
          <w:rFonts w:hint="eastAsia"/>
          <w:color w:val="auto"/>
          <w:highlight w:val="none"/>
          <w:lang w:val="en-US" w:eastAsia="zh-CN"/>
        </w:rPr>
        <w:t>经回水泵</w:t>
      </w:r>
      <w:r>
        <w:rPr>
          <w:rFonts w:hint="eastAsia"/>
          <w:color w:val="auto"/>
          <w:highlight w:val="none"/>
        </w:rPr>
        <w:t>通过管道泵送至选矿厂</w:t>
      </w:r>
      <w:r>
        <w:rPr>
          <w:rFonts w:hint="eastAsia"/>
          <w:color w:val="auto"/>
          <w:highlight w:val="none"/>
          <w:lang w:val="en-US" w:eastAsia="zh-CN"/>
        </w:rPr>
        <w:t>4000m</w:t>
      </w:r>
      <w:r>
        <w:rPr>
          <w:rFonts w:hint="eastAsia"/>
          <w:color w:val="auto"/>
          <w:highlight w:val="none"/>
          <w:vertAlign w:val="superscript"/>
          <w:lang w:val="en-US" w:eastAsia="zh-CN"/>
        </w:rPr>
        <w:t>3</w:t>
      </w:r>
      <w:r>
        <w:rPr>
          <w:rFonts w:hint="eastAsia"/>
          <w:color w:val="auto"/>
          <w:highlight w:val="none"/>
        </w:rPr>
        <w:t>生产回水池，供选矿循环使用，实现生产废水“闭路循环”，不外排。</w:t>
      </w:r>
    </w:p>
    <w:p w14:paraId="1433BCEE">
      <w:pPr>
        <w:overflowPunct w:val="0"/>
        <w:topLinePunct/>
        <w:ind w:firstLine="480"/>
        <w:rPr>
          <w:color w:val="auto"/>
          <w:highlight w:val="none"/>
        </w:rPr>
      </w:pPr>
      <w:r>
        <w:rPr>
          <w:rFonts w:hint="eastAsia"/>
          <w:color w:val="auto"/>
          <w:highlight w:val="none"/>
          <w:lang w:val="en-US" w:eastAsia="zh-CN"/>
        </w:rPr>
        <w:t>③</w:t>
      </w:r>
      <w:r>
        <w:rPr>
          <w:rFonts w:hint="eastAsia"/>
          <w:color w:val="auto"/>
          <w:highlight w:val="none"/>
        </w:rPr>
        <w:t>锅炉房废水</w:t>
      </w:r>
    </w:p>
    <w:p w14:paraId="4EE4867C">
      <w:pPr>
        <w:overflowPunct w:val="0"/>
        <w:topLinePunct/>
        <w:ind w:firstLine="480"/>
        <w:rPr>
          <w:color w:val="auto"/>
          <w:highlight w:val="none"/>
        </w:rPr>
      </w:pPr>
      <w:r>
        <w:rPr>
          <w:rFonts w:hint="eastAsia"/>
          <w:color w:val="auto"/>
          <w:highlight w:val="none"/>
        </w:rPr>
        <w:t>锅炉房废水包括锅炉排污水、软水废水，废水量约</w:t>
      </w:r>
      <w:r>
        <w:rPr>
          <w:rFonts w:hint="eastAsia"/>
          <w:color w:val="auto"/>
          <w:highlight w:val="none"/>
          <w:lang w:val="en-US" w:eastAsia="zh-CN"/>
        </w:rPr>
        <w:t>81.6</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rPr>
        <w:t>（</w:t>
      </w:r>
      <w:r>
        <w:rPr>
          <w:rFonts w:hint="eastAsia"/>
          <w:color w:val="auto"/>
          <w:highlight w:val="none"/>
          <w:lang w:val="en-US" w:eastAsia="zh-CN"/>
        </w:rPr>
        <w:t>2.448</w:t>
      </w:r>
      <w:r>
        <w:rPr>
          <w:rFonts w:hint="eastAsia"/>
          <w:color w:val="auto"/>
          <w:highlight w:val="none"/>
        </w:rPr>
        <w:t>万m</w:t>
      </w:r>
      <w:r>
        <w:rPr>
          <w:color w:val="auto"/>
          <w:highlight w:val="none"/>
          <w:vertAlign w:val="superscript"/>
        </w:rPr>
        <w:t>3</w:t>
      </w:r>
      <w:r>
        <w:rPr>
          <w:color w:val="auto"/>
          <w:highlight w:val="none"/>
        </w:rPr>
        <w:t>/</w:t>
      </w:r>
      <w:r>
        <w:rPr>
          <w:rFonts w:hint="eastAsia"/>
          <w:color w:val="auto"/>
          <w:highlight w:val="none"/>
        </w:rPr>
        <w:t>a），经沉淀池处理后</w:t>
      </w:r>
      <w:r>
        <w:rPr>
          <w:rFonts w:hint="eastAsia"/>
          <w:color w:val="auto"/>
          <w:highlight w:val="none"/>
          <w:lang w:val="en-US" w:eastAsia="zh-CN"/>
        </w:rPr>
        <w:t>回</w:t>
      </w:r>
      <w:r>
        <w:rPr>
          <w:rFonts w:hint="eastAsia"/>
          <w:color w:val="auto"/>
          <w:highlight w:val="none"/>
        </w:rPr>
        <w:t>用于</w:t>
      </w:r>
      <w:r>
        <w:rPr>
          <w:rFonts w:hint="eastAsia"/>
          <w:color w:val="auto"/>
          <w:highlight w:val="none"/>
          <w:lang w:val="en-US" w:eastAsia="zh-CN"/>
        </w:rPr>
        <w:t>选矿</w:t>
      </w:r>
      <w:r>
        <w:rPr>
          <w:rFonts w:hint="eastAsia"/>
          <w:color w:val="auto"/>
          <w:highlight w:val="none"/>
        </w:rPr>
        <w:t>。</w:t>
      </w:r>
    </w:p>
    <w:p w14:paraId="29915043">
      <w:pPr>
        <w:overflowPunct w:val="0"/>
        <w:topLinePunct/>
        <w:ind w:firstLine="480"/>
        <w:rPr>
          <w:rFonts w:hint="eastAsia"/>
          <w:color w:val="auto"/>
          <w:highlight w:val="none"/>
        </w:rPr>
      </w:pPr>
      <w:r>
        <w:rPr>
          <w:rFonts w:hint="eastAsia"/>
          <w:color w:val="auto"/>
          <w:highlight w:val="none"/>
          <w:lang w:val="en-US" w:eastAsia="zh-CN"/>
        </w:rPr>
        <w:t>④</w:t>
      </w:r>
      <w:r>
        <w:rPr>
          <w:rFonts w:hint="eastAsia"/>
          <w:color w:val="auto"/>
          <w:highlight w:val="none"/>
        </w:rPr>
        <w:t>化验废水</w:t>
      </w:r>
    </w:p>
    <w:p w14:paraId="28C28857">
      <w:pPr>
        <w:keepNext w:val="0"/>
        <w:keepLines w:val="0"/>
        <w:pageBreakBefore w:val="0"/>
        <w:widowControl w:val="0"/>
        <w:kinsoku/>
        <w:wordWrap/>
        <w:overflowPunct/>
        <w:topLinePunct w:val="0"/>
        <w:autoSpaceDE/>
        <w:autoSpaceDN/>
        <w:bidi w:val="0"/>
        <w:adjustRightInd/>
        <w:snapToGrid/>
        <w:spacing w:line="520" w:lineRule="exact"/>
        <w:ind w:right="0" w:firstLine="480" w:firstLineChars="200"/>
        <w:textAlignment w:val="auto"/>
        <w:rPr>
          <w:color w:val="auto"/>
          <w:sz w:val="24"/>
          <w:highlight w:val="none"/>
          <w:shd w:val="clear"/>
        </w:rPr>
      </w:pPr>
      <w:r>
        <w:rPr>
          <w:rFonts w:hint="eastAsia"/>
          <w:color w:val="auto"/>
          <w:sz w:val="24"/>
          <w:highlight w:val="none"/>
          <w:lang w:eastAsia="zh-CN"/>
        </w:rPr>
        <w:t>化验</w:t>
      </w:r>
      <w:r>
        <w:rPr>
          <w:rFonts w:hint="eastAsia"/>
          <w:color w:val="auto"/>
          <w:sz w:val="24"/>
          <w:highlight w:val="none"/>
        </w:rPr>
        <w:t>废水主要为</w:t>
      </w:r>
      <w:r>
        <w:rPr>
          <w:rFonts w:hint="eastAsia"/>
          <w:color w:val="auto"/>
          <w:sz w:val="24"/>
          <w:highlight w:val="none"/>
          <w:lang w:eastAsia="zh-CN"/>
        </w:rPr>
        <w:t>化验</w:t>
      </w:r>
      <w:r>
        <w:rPr>
          <w:rFonts w:hint="eastAsia"/>
          <w:color w:val="auto"/>
          <w:sz w:val="24"/>
          <w:highlight w:val="none"/>
        </w:rPr>
        <w:t>前后器皿冲洗废水，根据建设单位提供资料，</w:t>
      </w:r>
      <w:r>
        <w:rPr>
          <w:rFonts w:hint="eastAsia"/>
          <w:color w:val="auto"/>
          <w:sz w:val="24"/>
          <w:highlight w:val="none"/>
          <w:lang w:eastAsia="zh-CN"/>
        </w:rPr>
        <w:t>化验</w:t>
      </w:r>
      <w:r>
        <w:rPr>
          <w:rFonts w:hint="eastAsia"/>
          <w:color w:val="auto"/>
          <w:sz w:val="24"/>
          <w:highlight w:val="none"/>
        </w:rPr>
        <w:t>第一次清洗产生的废水约</w:t>
      </w:r>
      <w:r>
        <w:rPr>
          <w:rFonts w:hint="eastAsia"/>
          <w:color w:val="auto"/>
          <w:sz w:val="24"/>
          <w:highlight w:val="none"/>
          <w:lang w:val="en-US" w:eastAsia="zh-CN"/>
        </w:rPr>
        <w:t>3</w:t>
      </w:r>
      <w:r>
        <w:rPr>
          <w:rFonts w:hint="eastAsia"/>
          <w:color w:val="auto"/>
          <w:sz w:val="24"/>
          <w:highlight w:val="none"/>
          <w:shd w:val="clear"/>
        </w:rPr>
        <w:t>t/a，作为危废处理，</w:t>
      </w:r>
      <w:r>
        <w:rPr>
          <w:color w:val="auto"/>
          <w:sz w:val="24"/>
          <w:highlight w:val="none"/>
          <w:shd w:val="clear"/>
        </w:rPr>
        <w:t>应暂存于</w:t>
      </w:r>
      <w:r>
        <w:rPr>
          <w:rFonts w:hint="eastAsia"/>
          <w:color w:val="auto"/>
          <w:sz w:val="24"/>
          <w:highlight w:val="none"/>
          <w:shd w:val="clear"/>
          <w:lang w:val="en-US" w:eastAsia="zh-CN"/>
        </w:rPr>
        <w:t>危废贮存库</w:t>
      </w:r>
      <w:r>
        <w:rPr>
          <w:color w:val="auto"/>
          <w:sz w:val="24"/>
          <w:highlight w:val="none"/>
          <w:shd w:val="clear"/>
        </w:rPr>
        <w:t>内，定期送有资质单位处置。</w:t>
      </w:r>
    </w:p>
    <w:p w14:paraId="66C0C225">
      <w:pPr>
        <w:bidi w:val="0"/>
        <w:rPr>
          <w:rFonts w:hint="eastAsia"/>
          <w:color w:val="auto"/>
          <w:highlight w:val="none"/>
        </w:rPr>
      </w:pPr>
      <w:r>
        <w:rPr>
          <w:rFonts w:hint="eastAsia"/>
          <w:color w:val="auto"/>
          <w:highlight w:val="none"/>
          <w:lang w:eastAsia="zh-CN"/>
        </w:rPr>
        <w:t>化验</w:t>
      </w:r>
      <w:r>
        <w:rPr>
          <w:color w:val="auto"/>
          <w:highlight w:val="none"/>
        </w:rPr>
        <w:t>清洗废水</w:t>
      </w:r>
      <w:r>
        <w:rPr>
          <w:rFonts w:hint="eastAsia"/>
          <w:color w:val="auto"/>
          <w:highlight w:val="none"/>
        </w:rPr>
        <w:t>指</w:t>
      </w:r>
      <w:r>
        <w:rPr>
          <w:rFonts w:hint="eastAsia"/>
          <w:color w:val="auto"/>
          <w:highlight w:val="none"/>
          <w:lang w:eastAsia="zh-CN"/>
        </w:rPr>
        <w:t>第一次清洗后</w:t>
      </w:r>
      <w:r>
        <w:rPr>
          <w:rFonts w:hint="eastAsia"/>
          <w:color w:val="auto"/>
          <w:highlight w:val="none"/>
        </w:rPr>
        <w:t>的洗涤废水，</w:t>
      </w:r>
      <w:r>
        <w:rPr>
          <w:color w:val="auto"/>
          <w:highlight w:val="none"/>
        </w:rPr>
        <w:t>含酸、碱、有毒有害等物质含量较少，</w:t>
      </w:r>
      <w:r>
        <w:rPr>
          <w:rFonts w:hint="eastAsia"/>
          <w:color w:val="auto"/>
          <w:highlight w:val="none"/>
        </w:rPr>
        <w:t>废水量约</w:t>
      </w:r>
      <w:r>
        <w:rPr>
          <w:rFonts w:hint="eastAsia"/>
          <w:color w:val="auto"/>
          <w:highlight w:val="none"/>
          <w:lang w:val="en-US" w:eastAsia="zh-CN"/>
        </w:rPr>
        <w:t>1.59</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rPr>
        <w:t>（</w:t>
      </w:r>
      <w:r>
        <w:rPr>
          <w:rFonts w:hint="eastAsia"/>
          <w:color w:val="auto"/>
          <w:highlight w:val="none"/>
          <w:lang w:val="en-US" w:eastAsia="zh-CN"/>
        </w:rPr>
        <w:t>477</w:t>
      </w:r>
      <w:r>
        <w:rPr>
          <w:rFonts w:hint="eastAsia"/>
          <w:color w:val="auto"/>
          <w:highlight w:val="none"/>
        </w:rPr>
        <w:t>m</w:t>
      </w:r>
      <w:r>
        <w:rPr>
          <w:color w:val="auto"/>
          <w:highlight w:val="none"/>
          <w:vertAlign w:val="superscript"/>
        </w:rPr>
        <w:t>3</w:t>
      </w:r>
      <w:r>
        <w:rPr>
          <w:color w:val="auto"/>
          <w:highlight w:val="none"/>
        </w:rPr>
        <w:t>/a</w:t>
      </w:r>
      <w:r>
        <w:rPr>
          <w:rFonts w:hint="eastAsia"/>
          <w:color w:val="auto"/>
          <w:highlight w:val="none"/>
        </w:rPr>
        <w:t>），</w:t>
      </w:r>
      <w:r>
        <w:rPr>
          <w:color w:val="auto"/>
          <w:highlight w:val="none"/>
        </w:rPr>
        <w:t>通过管路输入选矿生产工序循环使用，做到零排放</w:t>
      </w:r>
      <w:r>
        <w:rPr>
          <w:rFonts w:hint="eastAsia"/>
          <w:color w:val="auto"/>
          <w:highlight w:val="none"/>
        </w:rPr>
        <w:t>。</w:t>
      </w:r>
    </w:p>
    <w:p w14:paraId="01E17C20">
      <w:pPr>
        <w:bidi w:val="0"/>
        <w:rPr>
          <w:rFonts w:hint="default"/>
          <w:color w:val="auto"/>
          <w:highlight w:val="none"/>
          <w:lang w:val="en-US" w:eastAsia="zh-CN"/>
        </w:rPr>
      </w:pPr>
      <w:r>
        <w:rPr>
          <w:rFonts w:hint="eastAsia"/>
          <w:color w:val="auto"/>
          <w:highlight w:val="none"/>
          <w:lang w:val="en-US" w:eastAsia="zh-CN"/>
        </w:rPr>
        <w:t>⑤碱液吸收塔废水</w:t>
      </w:r>
    </w:p>
    <w:p w14:paraId="6F8701D9">
      <w:pPr>
        <w:bidi w:val="0"/>
        <w:rPr>
          <w:rFonts w:hint="eastAsia" w:eastAsia="宋体"/>
          <w:color w:val="auto"/>
          <w:highlight w:val="none"/>
          <w:lang w:val="en-US" w:eastAsia="zh-CN"/>
        </w:rPr>
      </w:pPr>
      <w:r>
        <w:rPr>
          <w:rFonts w:hint="eastAsia" w:ascii="宋体" w:hAnsi="宋体" w:eastAsia="宋体" w:cs="宋体"/>
          <w:color w:val="auto"/>
          <w:sz w:val="24"/>
          <w:szCs w:val="24"/>
          <w:highlight w:val="none"/>
          <w:lang w:val="en-US" w:eastAsia="zh-CN"/>
        </w:rPr>
        <w:t>吸收塔依托</w:t>
      </w:r>
      <w:r>
        <w:rPr>
          <w:rFonts w:ascii="宋体" w:hAnsi="宋体" w:eastAsia="宋体" w:cs="宋体"/>
          <w:color w:val="auto"/>
          <w:sz w:val="24"/>
          <w:szCs w:val="24"/>
          <w:highlight w:val="none"/>
        </w:rPr>
        <w:t>循环水池内碱液反复循环喷淋，运行过程存在需要持续补新鲜水+补碱；</w:t>
      </w:r>
      <w:r>
        <w:rPr>
          <w:rFonts w:hint="eastAsia" w:ascii="宋体" w:hAnsi="宋体" w:cs="宋体"/>
          <w:color w:val="auto"/>
          <w:sz w:val="24"/>
          <w:szCs w:val="24"/>
          <w:highlight w:val="none"/>
          <w:lang w:eastAsia="zh-CN"/>
        </w:rPr>
        <w:t>随着</w:t>
      </w:r>
      <w:r>
        <w:rPr>
          <w:rFonts w:ascii="宋体" w:hAnsi="宋体" w:eastAsia="宋体" w:cs="宋体"/>
          <w:color w:val="auto"/>
          <w:sz w:val="24"/>
          <w:szCs w:val="24"/>
          <w:highlight w:val="none"/>
        </w:rPr>
        <w:t>硫酸雾不断中</w:t>
      </w:r>
      <w:r>
        <w:rPr>
          <w:rFonts w:ascii="宋体" w:hAnsi="宋体" w:eastAsia="宋体" w:cs="宋体"/>
          <w:b w:val="0"/>
          <w:bCs w:val="0"/>
          <w:color w:val="auto"/>
          <w:sz w:val="24"/>
          <w:szCs w:val="24"/>
          <w:highlight w:val="none"/>
        </w:rPr>
        <w:t>和，循环液内硫酸钠盐度持续升高，盐度达到控制上限后，</w:t>
      </w:r>
      <w:r>
        <w:rPr>
          <w:rFonts w:hint="eastAsia" w:ascii="宋体" w:hAnsi="宋体" w:eastAsia="宋体" w:cs="宋体"/>
          <w:b w:val="0"/>
          <w:bCs w:val="0"/>
          <w:color w:val="auto"/>
          <w:sz w:val="24"/>
          <w:szCs w:val="24"/>
          <w:highlight w:val="none"/>
          <w:lang w:val="en-US" w:eastAsia="zh-CN"/>
        </w:rPr>
        <w:t>定期</w:t>
      </w:r>
      <w:r>
        <w:rPr>
          <w:rFonts w:ascii="宋体" w:hAnsi="宋体" w:eastAsia="宋体" w:cs="宋体"/>
          <w:b w:val="0"/>
          <w:bCs w:val="0"/>
          <w:color w:val="auto"/>
          <w:sz w:val="24"/>
          <w:szCs w:val="24"/>
          <w:highlight w:val="none"/>
        </w:rPr>
        <w:t>排出少量</w:t>
      </w:r>
      <w:r>
        <w:rPr>
          <w:rStyle w:val="16"/>
          <w:rFonts w:ascii="宋体" w:hAnsi="宋体" w:eastAsia="宋体" w:cs="宋体"/>
          <w:b w:val="0"/>
          <w:bCs w:val="0"/>
          <w:color w:val="auto"/>
          <w:sz w:val="24"/>
          <w:szCs w:val="24"/>
          <w:highlight w:val="none"/>
        </w:rPr>
        <w:t>定排浓废液</w:t>
      </w:r>
      <w:r>
        <w:rPr>
          <w:rFonts w:ascii="宋体" w:hAnsi="宋体" w:eastAsia="宋体" w:cs="宋体"/>
          <w:b w:val="0"/>
          <w:bCs w:val="0"/>
          <w:color w:val="auto"/>
          <w:sz w:val="24"/>
          <w:szCs w:val="24"/>
          <w:highlight w:val="none"/>
        </w:rPr>
        <w:t>，</w:t>
      </w:r>
      <w:r>
        <w:rPr>
          <w:b w:val="0"/>
          <w:bCs w:val="0"/>
          <w:color w:val="auto"/>
          <w:highlight w:val="none"/>
        </w:rPr>
        <w:t>通过管路输</w:t>
      </w:r>
      <w:r>
        <w:rPr>
          <w:color w:val="auto"/>
          <w:highlight w:val="none"/>
        </w:rPr>
        <w:t>入选矿生产工序循环使用</w:t>
      </w:r>
      <w:r>
        <w:rPr>
          <w:rFonts w:hint="eastAsia" w:ascii="宋体" w:hAnsi="宋体" w:eastAsia="宋体" w:cs="宋体"/>
          <w:color w:val="auto"/>
          <w:sz w:val="24"/>
          <w:szCs w:val="24"/>
          <w:highlight w:val="none"/>
          <w:lang w:eastAsia="zh-CN"/>
        </w:rPr>
        <w:t>。</w:t>
      </w:r>
    </w:p>
    <w:p w14:paraId="26D3D2B5">
      <w:pPr>
        <w:bidi w:val="0"/>
        <w:rPr>
          <w:color w:val="auto"/>
          <w:highlight w:val="none"/>
        </w:rPr>
      </w:pPr>
      <w:r>
        <w:rPr>
          <w:rFonts w:hint="eastAsia"/>
          <w:color w:val="auto"/>
          <w:highlight w:val="none"/>
          <w:lang w:val="en-US" w:eastAsia="zh-CN"/>
        </w:rPr>
        <w:t>⑥</w:t>
      </w:r>
      <w:r>
        <w:rPr>
          <w:rFonts w:hint="eastAsia"/>
          <w:color w:val="auto"/>
          <w:highlight w:val="none"/>
        </w:rPr>
        <w:t>生活污水</w:t>
      </w:r>
    </w:p>
    <w:p w14:paraId="744C387B">
      <w:pPr>
        <w:bidi w:val="0"/>
        <w:rPr>
          <w:color w:val="auto"/>
          <w:highlight w:val="none"/>
        </w:rPr>
      </w:pPr>
      <w:r>
        <w:rPr>
          <w:rFonts w:hint="eastAsia"/>
          <w:color w:val="auto"/>
          <w:highlight w:val="none"/>
        </w:rPr>
        <w:t>生活污水产生量</w:t>
      </w:r>
      <w:r>
        <w:rPr>
          <w:color w:val="auto"/>
          <w:highlight w:val="none"/>
        </w:rPr>
        <w:t>按照生活用水量的</w:t>
      </w:r>
      <w:r>
        <w:rPr>
          <w:rFonts w:hint="eastAsia"/>
          <w:color w:val="auto"/>
          <w:highlight w:val="none"/>
        </w:rPr>
        <w:t>8</w:t>
      </w:r>
      <w:r>
        <w:rPr>
          <w:rFonts w:hint="eastAsia"/>
          <w:color w:val="auto"/>
          <w:highlight w:val="none"/>
          <w:lang w:val="en-US" w:eastAsia="zh-CN"/>
        </w:rPr>
        <w:t>0</w:t>
      </w:r>
      <w:r>
        <w:rPr>
          <w:rFonts w:hint="eastAsia"/>
          <w:color w:val="auto"/>
          <w:highlight w:val="none"/>
        </w:rPr>
        <w:t>%计，</w:t>
      </w:r>
      <w:r>
        <w:rPr>
          <w:color w:val="auto"/>
          <w:highlight w:val="none"/>
        </w:rPr>
        <w:t>生活污水量约</w:t>
      </w:r>
      <w:r>
        <w:rPr>
          <w:rFonts w:hint="eastAsia"/>
          <w:color w:val="auto"/>
          <w:highlight w:val="none"/>
          <w:lang w:val="en-US" w:eastAsia="zh-CN"/>
        </w:rPr>
        <w:t>22.264</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6679.2</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，员工生活污</w:t>
      </w:r>
      <w:r>
        <w:rPr>
          <w:color w:val="auto"/>
          <w:highlight w:val="none"/>
        </w:rPr>
        <w:t>水</w:t>
      </w:r>
      <w:r>
        <w:rPr>
          <w:rFonts w:hint="eastAsia"/>
          <w:color w:val="auto"/>
          <w:highlight w:val="none"/>
          <w:lang w:val="en-US" w:eastAsia="zh-CN"/>
        </w:rPr>
        <w:t>经地埋式污水处理设施</w:t>
      </w:r>
      <w:r>
        <w:rPr>
          <w:rFonts w:hint="eastAsia"/>
          <w:color w:val="auto"/>
          <w:highlight w:val="none"/>
          <w:lang w:eastAsia="zh-CN"/>
        </w:rPr>
        <w:t>处理</w:t>
      </w:r>
      <w:r>
        <w:rPr>
          <w:rFonts w:hint="eastAsia"/>
          <w:color w:val="auto"/>
          <w:highlight w:val="none"/>
          <w:lang w:val="zh-CN"/>
        </w:rPr>
        <w:t>，</w:t>
      </w:r>
      <w:r>
        <w:rPr>
          <w:color w:val="auto"/>
          <w:highlight w:val="none"/>
        </w:rPr>
        <w:t>达到</w:t>
      </w:r>
      <w:r>
        <w:rPr>
          <w:rFonts w:hint="default"/>
          <w:color w:val="auto"/>
          <w:highlight w:val="none"/>
          <w:lang w:val="en-US" w:eastAsia="zh-CN"/>
        </w:rPr>
        <w:t>《农村生活污水处理排放标准》（DB65 4275-2019）表</w:t>
      </w:r>
      <w:r>
        <w:rPr>
          <w:rFonts w:hint="eastAsia"/>
          <w:color w:val="auto"/>
          <w:highlight w:val="none"/>
          <w:lang w:val="en-US" w:eastAsia="zh-CN"/>
        </w:rPr>
        <w:t>2</w:t>
      </w:r>
      <w:r>
        <w:rPr>
          <w:rFonts w:hint="default"/>
          <w:color w:val="auto"/>
          <w:highlight w:val="none"/>
          <w:lang w:val="en-US" w:eastAsia="zh-CN"/>
        </w:rPr>
        <w:t>中</w:t>
      </w:r>
      <w:r>
        <w:rPr>
          <w:rFonts w:hint="eastAsia"/>
          <w:color w:val="auto"/>
          <w:highlight w:val="none"/>
          <w:lang w:val="en-US" w:eastAsia="zh-CN"/>
        </w:rPr>
        <w:t>A</w:t>
      </w:r>
      <w:r>
        <w:rPr>
          <w:rFonts w:hint="default"/>
          <w:color w:val="auto"/>
          <w:highlight w:val="none"/>
          <w:lang w:val="en-US" w:eastAsia="zh-CN"/>
        </w:rPr>
        <w:t>级标准限值</w:t>
      </w:r>
      <w:r>
        <w:rPr>
          <w:rFonts w:hint="eastAsia"/>
          <w:color w:val="auto"/>
          <w:highlight w:val="none"/>
          <w:lang w:val="en-US" w:eastAsia="zh-CN"/>
        </w:rPr>
        <w:t>后，用于项目区洒水绿化，不外排</w:t>
      </w:r>
      <w:r>
        <w:rPr>
          <w:color w:val="auto"/>
          <w:highlight w:val="none"/>
        </w:rPr>
        <w:t>。</w:t>
      </w:r>
    </w:p>
    <w:p w14:paraId="3ADBE394">
      <w:pPr>
        <w:bidi w:val="0"/>
        <w:rPr>
          <w:color w:val="auto"/>
          <w:highlight w:val="none"/>
        </w:rPr>
      </w:pPr>
    </w:p>
    <w:p w14:paraId="10A337B5">
      <w:pPr>
        <w:overflowPunct w:val="0"/>
        <w:topLinePunct/>
        <w:spacing w:line="240" w:lineRule="auto"/>
        <w:ind w:left="0" w:leftChars="0" w:firstLine="0" w:firstLineChars="0"/>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255895" cy="7837170"/>
            <wp:effectExtent l="0" t="0" r="1905" b="0"/>
            <wp:docPr id="43" name="ECB019B1-382A-4266-B25C-5B523AA43C14-1" descr="C:/Users/Administrator/AppData/Local/Temp/wps.srVKpO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CB019B1-382A-4266-B25C-5B523AA43C14-1" descr="C:/Users/Administrator/AppData/Local/Temp/wps.srVKpOwps"/>
                    <pic:cNvPicPr>
                      <a:picLocks noChangeAspect="1"/>
                    </pic:cNvPicPr>
                  </pic:nvPicPr>
                  <pic:blipFill>
                    <a:blip r:embed="rId25"/>
                    <a:srcRect l="1415" r="1814"/>
                    <a:stretch>
                      <a:fillRect/>
                    </a:stretch>
                  </pic:blipFill>
                  <pic:spPr>
                    <a:xfrm>
                      <a:off x="0" y="0"/>
                      <a:ext cx="5255895" cy="7837170"/>
                    </a:xfrm>
                    <a:prstGeom prst="rect">
                      <a:avLst/>
                    </a:prstGeom>
                  </pic:spPr>
                </pic:pic>
              </a:graphicData>
            </a:graphic>
          </wp:inline>
        </w:drawing>
      </w:r>
    </w:p>
    <w:p w14:paraId="30F1181D">
      <w:pPr>
        <w:overflowPunct w:val="0"/>
        <w:topLinePunct/>
        <w:spacing w:line="240" w:lineRule="auto"/>
        <w:ind w:left="0" w:leftChars="0" w:firstLine="0" w:firstLineChars="0"/>
        <w:rPr>
          <w:rFonts w:hint="eastAsia" w:eastAsia="宋体"/>
          <w:color w:val="auto"/>
          <w:highlight w:val="none"/>
          <w:lang w:eastAsia="zh-CN"/>
        </w:rPr>
      </w:pPr>
    </w:p>
    <w:p w14:paraId="38EC66AF">
      <w:pPr>
        <w:pStyle w:val="19"/>
        <w:bidi w:val="0"/>
        <w:rPr>
          <w:rFonts w:hint="eastAsia"/>
          <w:color w:val="auto"/>
          <w:highlight w:val="none"/>
          <w:lang w:val="en-US" w:eastAsia="zh-CN"/>
        </w:rPr>
      </w:pPr>
      <w:r>
        <w:rPr>
          <w:rFonts w:hint="eastAsia"/>
          <w:color w:val="auto"/>
          <w:highlight w:val="none"/>
          <w:lang w:val="en-US" w:eastAsia="zh-CN"/>
        </w:rPr>
        <w:t>图3.1-4   项目水平衡图    单位m</w:t>
      </w:r>
      <w:r>
        <w:rPr>
          <w:rFonts w:hint="eastAsia"/>
          <w:color w:val="auto"/>
          <w:highlight w:val="none"/>
          <w:vertAlign w:val="superscript"/>
          <w:lang w:val="en-US" w:eastAsia="zh-CN"/>
        </w:rPr>
        <w:t>3</w:t>
      </w:r>
      <w:r>
        <w:rPr>
          <w:rFonts w:hint="eastAsia"/>
          <w:color w:val="auto"/>
          <w:highlight w:val="none"/>
          <w:lang w:val="en-US" w:eastAsia="zh-CN"/>
        </w:rPr>
        <w:t>/d</w:t>
      </w:r>
    </w:p>
    <w:p w14:paraId="794A829E">
      <w:pPr>
        <w:pStyle w:val="7"/>
        <w:ind w:firstLine="482"/>
        <w:rPr>
          <w:color w:val="auto"/>
          <w:highlight w:val="none"/>
        </w:rPr>
      </w:pPr>
      <w:r>
        <w:rPr>
          <w:color w:val="auto"/>
          <w:highlight w:val="none"/>
        </w:rPr>
        <w:t>3.</w:t>
      </w:r>
      <w:r>
        <w:rPr>
          <w:rFonts w:hint="eastAsia"/>
          <w:color w:val="auto"/>
          <w:highlight w:val="none"/>
          <w:lang w:val="en-US" w:eastAsia="zh-CN"/>
        </w:rPr>
        <w:t>1</w:t>
      </w:r>
      <w:r>
        <w:rPr>
          <w:color w:val="auto"/>
          <w:highlight w:val="none"/>
        </w:rPr>
        <w:t>.</w:t>
      </w:r>
      <w:r>
        <w:rPr>
          <w:rFonts w:hint="eastAsia"/>
          <w:color w:val="auto"/>
          <w:highlight w:val="none"/>
          <w:lang w:val="en-US" w:eastAsia="zh-CN"/>
        </w:rPr>
        <w:t>7</w:t>
      </w:r>
      <w:r>
        <w:rPr>
          <w:color w:val="auto"/>
          <w:highlight w:val="none"/>
        </w:rPr>
        <w:t>.</w:t>
      </w:r>
      <w:r>
        <w:rPr>
          <w:rFonts w:hint="eastAsia"/>
          <w:color w:val="auto"/>
          <w:highlight w:val="none"/>
        </w:rPr>
        <w:t>3供热工程</w:t>
      </w:r>
    </w:p>
    <w:p w14:paraId="3119CABA">
      <w:pPr>
        <w:overflowPunct w:val="0"/>
        <w:topLinePunct/>
        <w:ind w:firstLine="480"/>
        <w:rPr>
          <w:rFonts w:hint="eastAsia" w:eastAsia="宋体"/>
          <w:color w:val="auto"/>
          <w:highlight w:val="none"/>
          <w:lang w:eastAsia="zh-CN"/>
        </w:rPr>
      </w:pPr>
      <w:r>
        <w:rPr>
          <w:rFonts w:hint="eastAsia"/>
          <w:color w:val="auto"/>
          <w:highlight w:val="none"/>
          <w:lang w:val="en-US" w:eastAsia="zh-CN"/>
        </w:rPr>
        <w:t>选矿过程中</w:t>
      </w:r>
      <w:r>
        <w:rPr>
          <w:rFonts w:hint="eastAsia"/>
          <w:color w:val="auto"/>
          <w:highlight w:val="none"/>
        </w:rPr>
        <w:t>矿浆加热用</w:t>
      </w:r>
      <w:r>
        <w:rPr>
          <w:rFonts w:hint="eastAsia"/>
          <w:color w:val="auto"/>
          <w:highlight w:val="none"/>
          <w:lang w:val="en-US" w:eastAsia="zh-CN"/>
        </w:rPr>
        <w:t>蒸</w:t>
      </w:r>
      <w:r>
        <w:rPr>
          <w:rFonts w:hint="eastAsia"/>
          <w:color w:val="auto"/>
          <w:highlight w:val="none"/>
        </w:rPr>
        <w:t>汽热源为锅炉房的</w:t>
      </w:r>
      <w:r>
        <w:rPr>
          <w:rFonts w:hint="eastAsia"/>
          <w:color w:val="auto"/>
          <w:highlight w:val="none"/>
          <w:lang w:val="en-US" w:eastAsia="zh-CN"/>
        </w:rPr>
        <w:t>2台20t/h电</w:t>
      </w:r>
      <w:r>
        <w:rPr>
          <w:rFonts w:hint="eastAsia"/>
          <w:color w:val="auto"/>
          <w:highlight w:val="none"/>
        </w:rPr>
        <w:t>加热蒸汽锅炉</w:t>
      </w:r>
      <w:r>
        <w:rPr>
          <w:rFonts w:hint="eastAsia"/>
          <w:color w:val="auto"/>
          <w:highlight w:val="none"/>
          <w:lang w:eastAsia="zh-CN"/>
        </w:rPr>
        <w:t>（</w:t>
      </w:r>
      <w:r>
        <w:rPr>
          <w:rFonts w:hint="eastAsia"/>
          <w:color w:val="auto"/>
          <w:highlight w:val="none"/>
          <w:lang w:val="en-US" w:eastAsia="zh-CN"/>
        </w:rPr>
        <w:t>一备一用）</w:t>
      </w:r>
      <w:r>
        <w:rPr>
          <w:rFonts w:hint="eastAsia"/>
          <w:color w:val="auto"/>
          <w:highlight w:val="none"/>
        </w:rPr>
        <w:t>所供饱和蒸汽，</w:t>
      </w:r>
      <w:r>
        <w:rPr>
          <w:rFonts w:hint="eastAsia"/>
          <w:color w:val="auto"/>
          <w:highlight w:val="none"/>
          <w:lang w:eastAsia="zh-CN"/>
        </w:rPr>
        <w:t>用于</w:t>
      </w:r>
      <w:r>
        <w:rPr>
          <w:rFonts w:hint="eastAsia"/>
          <w:color w:val="auto"/>
          <w:highlight w:val="none"/>
          <w:lang w:val="en-US" w:eastAsia="zh-CN"/>
        </w:rPr>
        <w:t>浮选</w:t>
      </w:r>
      <w:r>
        <w:rPr>
          <w:rFonts w:hint="eastAsia"/>
          <w:color w:val="auto"/>
          <w:highlight w:val="none"/>
        </w:rPr>
        <w:t>车间</w:t>
      </w:r>
      <w:r>
        <w:rPr>
          <w:rFonts w:hint="eastAsia"/>
          <w:color w:val="auto"/>
          <w:highlight w:val="none"/>
          <w:lang w:val="en-US" w:eastAsia="zh-CN"/>
        </w:rPr>
        <w:t>矿浆加热</w:t>
      </w:r>
      <w:r>
        <w:rPr>
          <w:rFonts w:hint="eastAsia"/>
          <w:color w:val="auto"/>
          <w:highlight w:val="none"/>
          <w:lang w:eastAsia="zh-CN"/>
        </w:rPr>
        <w:t>，直接加热，</w:t>
      </w:r>
      <w:r>
        <w:rPr>
          <w:rFonts w:hint="eastAsia"/>
          <w:color w:val="auto"/>
          <w:highlight w:val="none"/>
          <w:lang w:val="en-US" w:eastAsia="zh-CN"/>
        </w:rPr>
        <w:t>无凝结水回收</w:t>
      </w:r>
      <w:r>
        <w:rPr>
          <w:rFonts w:hint="eastAsia"/>
          <w:color w:val="auto"/>
          <w:highlight w:val="none"/>
          <w:lang w:eastAsia="zh-CN"/>
        </w:rPr>
        <w:t>。</w:t>
      </w:r>
    </w:p>
    <w:p w14:paraId="707FCF05">
      <w:pPr>
        <w:bidi w:val="0"/>
        <w:rPr>
          <w:color w:val="auto"/>
          <w:highlight w:val="none"/>
        </w:rPr>
      </w:pPr>
      <w:r>
        <w:rPr>
          <w:color w:val="auto"/>
          <w:highlight w:val="none"/>
          <w:lang w:val="en-US" w:eastAsia="zh-CN"/>
        </w:rPr>
        <w:t>进风井、胶带斜井、辅助斜坡道直接采用电加热送风机组，该部</w:t>
      </w:r>
      <w:r>
        <w:rPr>
          <w:rFonts w:hint="eastAsia"/>
          <w:color w:val="auto"/>
          <w:highlight w:val="none"/>
          <w:lang w:val="en-US" w:eastAsia="zh-CN"/>
        </w:rPr>
        <w:t>分热负荷共计7860kW。采矿工业场地的坑口服务楼采用二氧化碳空气源热泵机组供暖，供暖热负荷130kW。生活区的各建筑物采用空气源热泵机组供暖，生活区供暖总热负荷为521kW。</w:t>
      </w:r>
    </w:p>
    <w:p w14:paraId="08EAFF1B">
      <w:pPr>
        <w:pStyle w:val="7"/>
        <w:ind w:firstLine="482"/>
        <w:rPr>
          <w:color w:val="auto"/>
          <w:highlight w:val="none"/>
        </w:rPr>
      </w:pPr>
      <w:r>
        <w:rPr>
          <w:rFonts w:hint="eastAsia"/>
          <w:color w:val="auto"/>
          <w:highlight w:val="none"/>
        </w:rPr>
        <w:t>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7</w:t>
      </w:r>
      <w:r>
        <w:rPr>
          <w:rFonts w:hint="eastAsia"/>
          <w:color w:val="auto"/>
          <w:highlight w:val="none"/>
        </w:rPr>
        <w:t>.4供电工程</w:t>
      </w:r>
    </w:p>
    <w:p w14:paraId="632931E8">
      <w:pPr>
        <w:bidi w:val="0"/>
        <w:rPr>
          <w:rFonts w:hint="eastAsia"/>
          <w:color w:val="auto"/>
          <w:highlight w:val="none"/>
          <w:lang w:eastAsia="zh-CN"/>
        </w:rPr>
      </w:pPr>
      <w:r>
        <w:rPr>
          <w:rFonts w:hint="eastAsia"/>
          <w:color w:val="auto"/>
          <w:highlight w:val="none"/>
          <w:lang w:val="en-US" w:eastAsia="zh-CN"/>
        </w:rPr>
        <w:t>依托新疆华瓯矿业有限公司巴州若羌卡尔恰尔萤石矿项目110千伏输变电工程110kV变电站供电，该变电站位于选厂西侧，已于2025年12月24日通过竣工环境保护验收。</w:t>
      </w:r>
    </w:p>
    <w:p w14:paraId="61804A44">
      <w:pPr>
        <w:bidi w:val="0"/>
        <w:rPr>
          <w:rFonts w:hint="eastAsia"/>
          <w:color w:val="auto"/>
          <w:highlight w:val="none"/>
          <w:lang w:eastAsia="zh-CN"/>
        </w:rPr>
      </w:pPr>
      <w:r>
        <w:rPr>
          <w:rFonts w:hint="eastAsia"/>
          <w:color w:val="auto"/>
          <w:highlight w:val="none"/>
          <w:lang w:eastAsia="zh-CN"/>
        </w:rPr>
        <w:t>厂区10kV配电线路采用ZRYJV22-8.7/10kV或ZRYJV-8.7/10kV电力电缆，至尾矿配电室的线路采用钢芯铝绞线。低压配电线路一般采用ZRYJV-0.6/1kV型电力电缆，控制电缆采用ZRKVV-0.45/0.75kV、ZRKVVP-0.45/0.75kV和DJYVP。</w:t>
      </w:r>
    </w:p>
    <w:p w14:paraId="46F57C86">
      <w:pPr>
        <w:bidi w:val="0"/>
        <w:rPr>
          <w:rFonts w:hint="eastAsia"/>
          <w:color w:val="auto"/>
          <w:highlight w:val="none"/>
          <w:lang w:eastAsia="zh-CN"/>
        </w:rPr>
      </w:pPr>
      <w:r>
        <w:rPr>
          <w:rFonts w:hint="eastAsia"/>
          <w:color w:val="auto"/>
          <w:highlight w:val="none"/>
          <w:lang w:eastAsia="zh-CN"/>
        </w:rPr>
        <w:t>配电室至车间的电缆线路采用电缆沟、电缆桥架敷设；桥架敷设高度不低于2.2米，配电电缆在1.8</w:t>
      </w:r>
      <w:r>
        <w:rPr>
          <w:rFonts w:hint="eastAsia"/>
          <w:color w:val="auto"/>
          <w:highlight w:val="none"/>
          <w:lang w:val="en-US" w:eastAsia="zh-CN"/>
        </w:rPr>
        <w:t>m</w:t>
      </w:r>
      <w:r>
        <w:rPr>
          <w:rFonts w:hint="eastAsia"/>
          <w:color w:val="auto"/>
          <w:highlight w:val="none"/>
          <w:lang w:eastAsia="zh-CN"/>
        </w:rPr>
        <w:t>以下穿热镀锌钢管保护。电缆敷设数量较少时，采用直埋，在室外直埋电缆埋深不低于冻土层，过墙、过马路处穿管保护。</w:t>
      </w:r>
    </w:p>
    <w:p w14:paraId="625D4164">
      <w:pPr>
        <w:bidi w:val="0"/>
        <w:rPr>
          <w:rFonts w:hint="eastAsia"/>
          <w:color w:val="auto"/>
          <w:highlight w:val="none"/>
          <w:lang w:eastAsia="zh-CN"/>
        </w:rPr>
      </w:pPr>
      <w:r>
        <w:rPr>
          <w:color w:val="auto"/>
          <w:highlight w:val="none"/>
          <w:lang w:val="en-US" w:eastAsia="zh-CN"/>
        </w:rPr>
        <w:t>矿山建设柴油发电站一座，安装10kV、800kW柴油发电机组6台，</w:t>
      </w:r>
      <w:r>
        <w:rPr>
          <w:rFonts w:hint="eastAsia"/>
          <w:color w:val="auto"/>
          <w:highlight w:val="none"/>
          <w:lang w:val="en-US" w:eastAsia="zh-CN"/>
        </w:rPr>
        <w:t>作为矿山的备用电源。矿山电源按双重电源供电设计，当一路电源中断供电时，另一路电源不会同时受到损坏，且每回路电源容量都能保证矿山全部一级负荷电力需求，从而充分保证矿山供电的安全性和可靠性。矿山井下排水泵为一级负荷，二期最大排水时总安装功率3622kW。矿山建设期间柴油发电站已安装了5台10kV、800kW柴油发电机组，可以保证矿山基建期的供电。</w:t>
      </w:r>
    </w:p>
    <w:p w14:paraId="2A567089">
      <w:pPr>
        <w:pStyle w:val="7"/>
        <w:ind w:firstLine="482"/>
        <w:rPr>
          <w:color w:val="auto"/>
          <w:highlight w:val="none"/>
        </w:rPr>
      </w:pPr>
      <w:r>
        <w:rPr>
          <w:rFonts w:hint="eastAsia"/>
          <w:color w:val="auto"/>
          <w:highlight w:val="none"/>
        </w:rPr>
        <w:t>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7</w:t>
      </w:r>
      <w:r>
        <w:rPr>
          <w:rFonts w:hint="eastAsia"/>
          <w:color w:val="auto"/>
          <w:highlight w:val="none"/>
        </w:rPr>
        <w:t>.5通风</w:t>
      </w:r>
    </w:p>
    <w:p w14:paraId="4424D977">
      <w:pPr>
        <w:overflowPunct w:val="0"/>
        <w:topLinePunct/>
        <w:ind w:firstLine="480"/>
        <w:rPr>
          <w:color w:val="auto"/>
          <w:highlight w:val="none"/>
        </w:rPr>
      </w:pPr>
      <w:r>
        <w:rPr>
          <w:rFonts w:hint="eastAsia"/>
          <w:color w:val="auto"/>
          <w:highlight w:val="none"/>
        </w:rPr>
        <w:t>对过磨矿车间、浮选车间、</w:t>
      </w:r>
      <w:r>
        <w:rPr>
          <w:rFonts w:hint="eastAsia"/>
          <w:color w:val="auto"/>
          <w:highlight w:val="none"/>
          <w:lang w:eastAsia="zh-CN"/>
        </w:rPr>
        <w:t>药剂</w:t>
      </w:r>
      <w:r>
        <w:rPr>
          <w:rFonts w:hint="eastAsia"/>
          <w:color w:val="auto"/>
          <w:highlight w:val="none"/>
        </w:rPr>
        <w:t>制备和药剂储存库设有机械排风系统，排风系统的排风量均按室内换气次数≥10次设计兼顾事故通风；以排除车间内的余湿</w:t>
      </w:r>
      <w:r>
        <w:rPr>
          <w:rFonts w:hint="eastAsia"/>
          <w:color w:val="auto"/>
          <w:highlight w:val="none"/>
          <w:lang w:eastAsia="zh-CN"/>
        </w:rPr>
        <w:t>、余热等</w:t>
      </w:r>
      <w:r>
        <w:rPr>
          <w:rFonts w:hint="eastAsia"/>
          <w:color w:val="auto"/>
          <w:highlight w:val="none"/>
        </w:rPr>
        <w:t>，排风机均采用T35-11型轴流风机。</w:t>
      </w:r>
    </w:p>
    <w:p w14:paraId="177AD3DA">
      <w:pPr>
        <w:pStyle w:val="7"/>
        <w:ind w:firstLine="482"/>
        <w:rPr>
          <w:color w:val="auto"/>
          <w:highlight w:val="none"/>
        </w:rPr>
      </w:pPr>
      <w:r>
        <w:rPr>
          <w:rFonts w:hint="eastAsia"/>
          <w:color w:val="auto"/>
          <w:highlight w:val="none"/>
        </w:rPr>
        <w:t>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7</w:t>
      </w:r>
      <w:r>
        <w:rPr>
          <w:rFonts w:hint="eastAsia"/>
          <w:color w:val="auto"/>
          <w:highlight w:val="none"/>
        </w:rPr>
        <w:t>.6空调</w:t>
      </w:r>
    </w:p>
    <w:p w14:paraId="7724DA47">
      <w:pPr>
        <w:overflowPunct w:val="0"/>
        <w:topLinePunct/>
        <w:ind w:firstLine="480"/>
        <w:rPr>
          <w:rFonts w:hint="eastAsia"/>
          <w:color w:val="auto"/>
          <w:highlight w:val="none"/>
        </w:rPr>
      </w:pPr>
      <w:r>
        <w:rPr>
          <w:rFonts w:hint="eastAsia"/>
          <w:color w:val="auto"/>
          <w:highlight w:val="none"/>
        </w:rPr>
        <w:t>对在生产过程中，要求保持一定温度、湿度和空气洁净度的房间，设置分体式空调机，空调机采用风冷冷暖（电加热）型。</w:t>
      </w:r>
    </w:p>
    <w:p w14:paraId="7109C1C6">
      <w:pPr>
        <w:pStyle w:val="7"/>
        <w:ind w:firstLine="482"/>
        <w:rPr>
          <w:color w:val="auto"/>
          <w:highlight w:val="none"/>
        </w:rPr>
      </w:pPr>
      <w:r>
        <w:rPr>
          <w:rFonts w:hint="eastAsia"/>
          <w:color w:val="auto"/>
          <w:highlight w:val="none"/>
        </w:rPr>
        <w:t>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7</w:t>
      </w:r>
      <w:r>
        <w:rPr>
          <w:rFonts w:hint="eastAsia"/>
          <w:color w:val="auto"/>
          <w:highlight w:val="none"/>
        </w:rPr>
        <w:t>.7消防</w:t>
      </w:r>
    </w:p>
    <w:p w14:paraId="2A068DA1">
      <w:pPr>
        <w:overflowPunct w:val="0"/>
        <w:topLinePunct/>
        <w:ind w:firstLine="480"/>
        <w:rPr>
          <w:color w:val="auto"/>
          <w:highlight w:val="none"/>
        </w:rPr>
      </w:pPr>
      <w:r>
        <w:rPr>
          <w:rFonts w:hint="eastAsia"/>
          <w:color w:val="auto"/>
          <w:highlight w:val="none"/>
        </w:rPr>
        <w:t>选矿工业场地及生活办公区的室内消防供水系统由该场地循环水泵站内的室内消防水泵供给，室外消防供水系统由该场地生产新水系统保证。</w:t>
      </w:r>
    </w:p>
    <w:p w14:paraId="174B879E">
      <w:pPr>
        <w:overflowPunct w:val="0"/>
        <w:topLinePunct/>
        <w:ind w:firstLine="480"/>
        <w:rPr>
          <w:color w:val="auto"/>
          <w:highlight w:val="none"/>
        </w:rPr>
      </w:pPr>
      <w:r>
        <w:rPr>
          <w:rFonts w:hint="eastAsia"/>
          <w:color w:val="auto"/>
          <w:highlight w:val="none"/>
        </w:rPr>
        <w:t>供水方式：室内消防供水系统从循环水泵站引出两条DN150管道，在区间内形成环状布置，在每个需要室内消防供水的车间设两条进水管。</w:t>
      </w:r>
    </w:p>
    <w:p w14:paraId="1DEF0D88">
      <w:pPr>
        <w:overflowPunct w:val="0"/>
        <w:topLinePunct/>
        <w:ind w:firstLine="480"/>
        <w:rPr>
          <w:color w:val="auto"/>
          <w:highlight w:val="none"/>
        </w:rPr>
      </w:pPr>
      <w:r>
        <w:rPr>
          <w:rFonts w:hint="eastAsia"/>
          <w:color w:val="auto"/>
          <w:highlight w:val="none"/>
        </w:rPr>
        <w:t>另外，还需要在本区间最高的建筑物顶层设置消防高位水箱和稳压泵，以保证室内消防供水系统的水压及初期消防水量。</w:t>
      </w:r>
    </w:p>
    <w:p w14:paraId="65C24FC7">
      <w:pPr>
        <w:overflowPunct w:val="0"/>
        <w:topLinePunct/>
        <w:ind w:firstLine="480"/>
        <w:rPr>
          <w:color w:val="auto"/>
          <w:highlight w:val="none"/>
        </w:rPr>
      </w:pPr>
      <w:r>
        <w:rPr>
          <w:rFonts w:hint="eastAsia"/>
          <w:color w:val="auto"/>
          <w:highlight w:val="none"/>
        </w:rPr>
        <w:t>生产新水系统接自厂区接点，接点共有两处，在区间内采用DN150管道，形成环状布置，每隔100-120设一个地下式室外消火栓。</w:t>
      </w:r>
    </w:p>
    <w:p w14:paraId="659F890D">
      <w:pPr>
        <w:overflowPunct w:val="0"/>
        <w:topLinePunct/>
        <w:ind w:firstLine="480"/>
        <w:rPr>
          <w:color w:val="auto"/>
          <w:highlight w:val="none"/>
        </w:rPr>
      </w:pPr>
      <w:r>
        <w:rPr>
          <w:rFonts w:hint="eastAsia"/>
          <w:color w:val="auto"/>
          <w:highlight w:val="none"/>
        </w:rPr>
        <w:t>在选矿场地的循环水泵站内设一组室内消防水泵：XBD10/20-85型消防专用泵</w:t>
      </w:r>
      <w:r>
        <w:rPr>
          <w:rFonts w:hint="eastAsia"/>
          <w:color w:val="auto"/>
          <w:highlight w:val="none"/>
          <w:lang w:eastAsia="zh-CN"/>
        </w:rPr>
        <w:t>两台</w:t>
      </w:r>
      <w:r>
        <w:rPr>
          <w:rFonts w:hint="eastAsia"/>
          <w:color w:val="auto"/>
          <w:highlight w:val="none"/>
        </w:rPr>
        <w:t>，一工一备，Q=20L/s，H=85m，N=37kW。</w:t>
      </w:r>
    </w:p>
    <w:p w14:paraId="356516CE">
      <w:pPr>
        <w:overflowPunct w:val="0"/>
        <w:topLinePunct/>
        <w:ind w:firstLine="480"/>
        <w:rPr>
          <w:color w:val="auto"/>
          <w:highlight w:val="none"/>
        </w:rPr>
      </w:pPr>
      <w:r>
        <w:rPr>
          <w:rFonts w:hint="eastAsia"/>
          <w:color w:val="auto"/>
          <w:highlight w:val="none"/>
        </w:rPr>
        <w:t>消防稳压设施，包括一组稳压泵和一个稳压罐，稳压泵</w:t>
      </w:r>
      <w:r>
        <w:rPr>
          <w:rFonts w:hint="eastAsia"/>
          <w:color w:val="auto"/>
          <w:highlight w:val="none"/>
          <w:lang w:eastAsia="zh-CN"/>
        </w:rPr>
        <w:t>两台</w:t>
      </w:r>
      <w:r>
        <w:rPr>
          <w:rFonts w:hint="eastAsia"/>
          <w:color w:val="auto"/>
          <w:highlight w:val="none"/>
        </w:rPr>
        <w:t>，一工一备。Q=2L/s，H=25m，N=5.5kW。</w:t>
      </w:r>
    </w:p>
    <w:p w14:paraId="5959234A">
      <w:pPr>
        <w:pStyle w:val="6"/>
        <w:rPr>
          <w:color w:val="auto"/>
          <w:highlight w:val="none"/>
        </w:rPr>
      </w:pPr>
      <w:bookmarkStart w:id="372" w:name="_Toc23929"/>
      <w:bookmarkStart w:id="373" w:name="_Toc10820"/>
      <w:bookmarkStart w:id="374" w:name="_Toc6018"/>
      <w:r>
        <w:rPr>
          <w:color w:val="auto"/>
          <w:highlight w:val="none"/>
        </w:rPr>
        <w:t>3.</w:t>
      </w:r>
      <w:r>
        <w:rPr>
          <w:rFonts w:hint="eastAsia"/>
          <w:color w:val="auto"/>
          <w:highlight w:val="none"/>
          <w:lang w:val="en-US" w:eastAsia="zh-CN"/>
        </w:rPr>
        <w:t>1</w:t>
      </w:r>
      <w:r>
        <w:rPr>
          <w:color w:val="auto"/>
          <w:highlight w:val="none"/>
        </w:rPr>
        <w:t>.</w:t>
      </w:r>
      <w:r>
        <w:rPr>
          <w:rFonts w:hint="eastAsia"/>
          <w:color w:val="auto"/>
          <w:highlight w:val="none"/>
          <w:lang w:val="en-US" w:eastAsia="zh-CN"/>
        </w:rPr>
        <w:t>8</w:t>
      </w:r>
      <w:r>
        <w:rPr>
          <w:rFonts w:hint="eastAsia"/>
          <w:color w:val="auto"/>
          <w:highlight w:val="none"/>
        </w:rPr>
        <w:t>项目总平面布置</w:t>
      </w:r>
      <w:bookmarkEnd w:id="372"/>
      <w:bookmarkEnd w:id="373"/>
      <w:bookmarkEnd w:id="374"/>
    </w:p>
    <w:p w14:paraId="195FB71C">
      <w:pPr>
        <w:bidi w:val="0"/>
        <w:rPr>
          <w:color w:val="auto"/>
          <w:highlight w:val="none"/>
        </w:rPr>
      </w:pPr>
      <w:r>
        <w:rPr>
          <w:color w:val="auto"/>
          <w:highlight w:val="none"/>
          <w:lang w:val="en-US" w:eastAsia="zh-CN"/>
        </w:rPr>
        <w:t>矿区总体布置组成包括：地下采场、采矿工业场地、转运站、东</w:t>
      </w:r>
      <w:r>
        <w:rPr>
          <w:rFonts w:hint="eastAsia"/>
          <w:color w:val="auto"/>
          <w:highlight w:val="none"/>
          <w:lang w:val="en-US" w:eastAsia="zh-CN"/>
        </w:rPr>
        <w:t>回风井、西回风井、选矿工业场地、排土场、尾矿库、爆破器材库、取水泵站及生活区等。矿山采用全地下开采，采用胶带斜井+辅助斜坡道开拓，矿体为东西走向，采矿井筒布置在矿体南侧，从东向西依次布置东回风井场地、转运站场地、采矿工业场地、西回风井场地。</w:t>
      </w:r>
    </w:p>
    <w:p w14:paraId="7BEC663B">
      <w:pPr>
        <w:bidi w:val="0"/>
        <w:rPr>
          <w:rFonts w:hint="eastAsia"/>
          <w:color w:val="auto"/>
          <w:highlight w:val="none"/>
          <w:lang w:val="en-US" w:eastAsia="zh-CN"/>
        </w:rPr>
      </w:pPr>
      <w:r>
        <w:rPr>
          <w:color w:val="auto"/>
          <w:highlight w:val="none"/>
          <w:lang w:val="en-US" w:eastAsia="zh-CN"/>
        </w:rPr>
        <w:t>选矿工业场地位于采矿工业场地南侧。选矿工业场地布置粗矿仓、</w:t>
      </w:r>
      <w:r>
        <w:rPr>
          <w:rFonts w:hint="eastAsia"/>
          <w:color w:val="auto"/>
          <w:highlight w:val="none"/>
          <w:lang w:val="en-US" w:eastAsia="zh-CN"/>
        </w:rPr>
        <w:t>中细碎厂房、筛分厂房、粉矿仓、主厂房、精矿仓、硫酸稀释车间、试化验室、尾矿浓缩车间、尾矿输送泵站、尾矿浓密溢流回水泵站、回水池、药剂仓库、控制中心、电锅炉选厂机修仓库、综合维修车间、循环水泵站、给水净化泵站、初期雨水设沉淀池。</w:t>
      </w:r>
    </w:p>
    <w:p w14:paraId="16E3415B">
      <w:pPr>
        <w:bidi w:val="0"/>
        <w:rPr>
          <w:rFonts w:hint="eastAsia"/>
          <w:color w:val="auto"/>
          <w:highlight w:val="none"/>
          <w:lang w:val="en-US" w:eastAsia="zh-CN"/>
        </w:rPr>
      </w:pPr>
      <w:r>
        <w:rPr>
          <w:rFonts w:hint="eastAsia"/>
          <w:color w:val="auto"/>
          <w:highlight w:val="none"/>
          <w:lang w:val="en-US" w:eastAsia="zh-CN"/>
        </w:rPr>
        <w:t>尾矿库库址位于选厂东南方向，距选厂直线距离约3.2km。总库容2062.4×10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，服务年限41年，为三等尾矿库。初期坝为透水土石坝，坝高23m，尾矿堆积坝采用上游式尾矿筑坝，堆积坝高度50m。尾矿坝最终坝顶标高为3144m，总坝高73m。</w:t>
      </w:r>
    </w:p>
    <w:p w14:paraId="46B8FD5A">
      <w:pPr>
        <w:bidi w:val="0"/>
        <w:rPr>
          <w:rFonts w:hint="eastAsia"/>
          <w:color w:val="auto"/>
          <w:highlight w:val="none"/>
          <w:lang w:val="en-US" w:eastAsia="zh-CN"/>
        </w:rPr>
      </w:pPr>
      <w:bookmarkStart w:id="375" w:name="_Toc18035"/>
      <w:bookmarkStart w:id="376" w:name="_Toc32708"/>
      <w:bookmarkStart w:id="377" w:name="_Toc26098"/>
      <w:r>
        <w:rPr>
          <w:rFonts w:hint="eastAsia"/>
          <w:color w:val="auto"/>
          <w:highlight w:val="none"/>
          <w:lang w:val="en-US" w:eastAsia="zh-CN"/>
        </w:rPr>
        <w:t>排土场布置在采矿工业场地东南侧约230m处，排土场设计容积为782×10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总堆置高度86m，为三级排土场。爆破器材库布置在采矿工业场地西北方向，直线距离约2.32km，地处偏远地带，周围无居民及其他设施存在。西南距选矿工业场地约2.0km，距生活区约1.8km。生产消防高位水池、回水高位水池和生活高位水池布置在选矿工业场地东侧山头。取水泵站位于选矿工业场地西北方向阿克苏河右岸，与选矿工业场地直线距离约1.5km。生活区位于选矿工业场地西侧约200m处，单独设置，环境相对较好，距离选矿厂较近。</w:t>
      </w:r>
    </w:p>
    <w:p w14:paraId="15BBA31D">
      <w:pPr>
        <w:bidi w:val="0"/>
        <w:rPr>
          <w:rFonts w:hint="default"/>
          <w:color w:val="auto"/>
          <w:highlight w:val="none"/>
          <w:lang w:val="en-US" w:eastAsia="zh-CN"/>
        </w:rPr>
      </w:pPr>
      <w:r>
        <w:rPr>
          <w:rFonts w:hint="eastAsia"/>
          <w:color w:val="auto"/>
          <w:highlight w:val="none"/>
          <w:lang w:val="en-US" w:eastAsia="zh-CN"/>
        </w:rPr>
        <w:t>项目总平面布置图见图3.1-1，选矿厂总平面布置图见图3.1-2。</w:t>
      </w:r>
    </w:p>
    <w:p w14:paraId="485DB8D0">
      <w:pPr>
        <w:pStyle w:val="6"/>
        <w:bidi w:val="0"/>
        <w:rPr>
          <w:rFonts w:hint="eastAsia"/>
          <w:color w:val="auto"/>
          <w:highlight w:val="none"/>
          <w:lang w:eastAsia="zh-CN"/>
        </w:rPr>
      </w:pPr>
      <w:r>
        <w:rPr>
          <w:color w:val="auto"/>
          <w:highlight w:val="none"/>
        </w:rPr>
        <w:t>3.</w:t>
      </w:r>
      <w:r>
        <w:rPr>
          <w:rFonts w:hint="eastAsia"/>
          <w:color w:val="auto"/>
          <w:highlight w:val="none"/>
          <w:lang w:val="en-US" w:eastAsia="zh-CN"/>
        </w:rPr>
        <w:t>1</w:t>
      </w:r>
      <w:r>
        <w:rPr>
          <w:color w:val="auto"/>
          <w:highlight w:val="none"/>
        </w:rPr>
        <w:t>.</w:t>
      </w:r>
      <w:r>
        <w:rPr>
          <w:rFonts w:hint="eastAsia"/>
          <w:color w:val="auto"/>
          <w:highlight w:val="none"/>
          <w:lang w:val="en-US" w:eastAsia="zh-CN"/>
        </w:rPr>
        <w:t>9</w:t>
      </w:r>
      <w:r>
        <w:rPr>
          <w:rFonts w:hint="eastAsia"/>
          <w:color w:val="auto"/>
          <w:highlight w:val="none"/>
        </w:rPr>
        <w:t>工程占地</w:t>
      </w:r>
      <w:bookmarkEnd w:id="375"/>
      <w:bookmarkEnd w:id="376"/>
      <w:bookmarkEnd w:id="377"/>
    </w:p>
    <w:p w14:paraId="320ABC54">
      <w:pPr>
        <w:spacing w:line="480" w:lineRule="exact"/>
        <w:ind w:firstLine="480"/>
        <w:rPr>
          <w:rFonts w:hint="eastAsia" w:eastAsia="宋体" w:cs="Times New Roman"/>
          <w:color w:val="auto"/>
          <w:sz w:val="24"/>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1</w:t>
      </w:r>
      <w:r>
        <w:rPr>
          <w:rFonts w:hint="eastAsia" w:cs="Times New Roman"/>
          <w:color w:val="auto"/>
          <w:sz w:val="24"/>
          <w:highlight w:val="none"/>
          <w:lang w:eastAsia="zh-CN"/>
        </w:rPr>
        <w:t>）工程占地</w:t>
      </w:r>
    </w:p>
    <w:p w14:paraId="36D2B0B2">
      <w:pPr>
        <w:spacing w:line="480" w:lineRule="exact"/>
        <w:ind w:firstLine="480"/>
        <w:rPr>
          <w:rFonts w:cs="Times New Roman"/>
          <w:color w:val="auto"/>
          <w:sz w:val="24"/>
          <w:highlight w:val="none"/>
        </w:rPr>
      </w:pPr>
      <w:r>
        <w:rPr>
          <w:rFonts w:hint="eastAsia" w:cs="Times New Roman"/>
          <w:color w:val="auto"/>
          <w:sz w:val="24"/>
          <w:highlight w:val="none"/>
        </w:rPr>
        <w:t>本项目</w:t>
      </w:r>
      <w:r>
        <w:rPr>
          <w:rFonts w:hint="eastAsia" w:cs="Times New Roman"/>
          <w:color w:val="auto"/>
          <w:sz w:val="24"/>
          <w:highlight w:val="none"/>
          <w:lang w:val="en-US" w:eastAsia="zh-CN"/>
        </w:rPr>
        <w:t>总</w:t>
      </w:r>
      <w:r>
        <w:rPr>
          <w:rFonts w:hint="eastAsia" w:cs="Times New Roman"/>
          <w:color w:val="auto"/>
          <w:sz w:val="24"/>
          <w:highlight w:val="none"/>
        </w:rPr>
        <w:t>占地面积</w:t>
      </w:r>
      <w:r>
        <w:rPr>
          <w:rFonts w:hint="eastAsia" w:cs="Times New Roman"/>
          <w:color w:val="auto"/>
          <w:sz w:val="24"/>
          <w:highlight w:val="none"/>
          <w:lang w:val="en-US" w:eastAsia="zh-CN"/>
        </w:rPr>
        <w:t>为148.34</w:t>
      </w:r>
      <w:r>
        <w:rPr>
          <w:rFonts w:hint="eastAsia" w:cs="Times New Roman"/>
          <w:color w:val="auto"/>
          <w:sz w:val="24"/>
          <w:highlight w:val="none"/>
        </w:rPr>
        <w:t>hm</w:t>
      </w:r>
      <w:r>
        <w:rPr>
          <w:rFonts w:hint="eastAsia" w:cs="Times New Roman"/>
          <w:color w:val="auto"/>
          <w:sz w:val="24"/>
          <w:highlight w:val="none"/>
          <w:vertAlign w:val="superscript"/>
        </w:rPr>
        <w:t>2</w:t>
      </w:r>
      <w:r>
        <w:rPr>
          <w:rFonts w:hint="eastAsia" w:cs="Times New Roman"/>
          <w:color w:val="auto"/>
          <w:sz w:val="24"/>
          <w:highlight w:val="none"/>
        </w:rPr>
        <w:t>，占地面积详见表3.</w:t>
      </w:r>
      <w:r>
        <w:rPr>
          <w:rFonts w:hint="eastAsia" w:cs="Times New Roman"/>
          <w:color w:val="auto"/>
          <w:sz w:val="24"/>
          <w:highlight w:val="none"/>
          <w:lang w:val="en-US" w:eastAsia="zh-CN"/>
        </w:rPr>
        <w:t>1</w:t>
      </w:r>
      <w:r>
        <w:rPr>
          <w:rFonts w:hint="eastAsia" w:cs="Times New Roman"/>
          <w:color w:val="auto"/>
          <w:sz w:val="24"/>
          <w:highlight w:val="none"/>
        </w:rPr>
        <w:t>-</w:t>
      </w:r>
      <w:r>
        <w:rPr>
          <w:rFonts w:hint="eastAsia" w:cs="Times New Roman"/>
          <w:color w:val="auto"/>
          <w:sz w:val="24"/>
          <w:highlight w:val="none"/>
          <w:lang w:val="en-US" w:eastAsia="zh-CN"/>
        </w:rPr>
        <w:t>11</w:t>
      </w:r>
      <w:r>
        <w:rPr>
          <w:rFonts w:hint="eastAsia" w:cs="Times New Roman"/>
          <w:color w:val="auto"/>
          <w:sz w:val="24"/>
          <w:highlight w:val="none"/>
        </w:rPr>
        <w:t>。</w:t>
      </w:r>
    </w:p>
    <w:p w14:paraId="482C70BB">
      <w:pPr>
        <w:ind w:firstLine="0" w:firstLineChars="0"/>
        <w:jc w:val="center"/>
        <w:rPr>
          <w:b/>
          <w:color w:val="auto"/>
          <w:highlight w:val="none"/>
        </w:rPr>
      </w:pPr>
      <w:r>
        <w:rPr>
          <w:b/>
          <w:color w:val="auto"/>
          <w:highlight w:val="none"/>
        </w:rPr>
        <w:t>表3.</w:t>
      </w:r>
      <w:r>
        <w:rPr>
          <w:rFonts w:hint="eastAsia"/>
          <w:b/>
          <w:color w:val="auto"/>
          <w:highlight w:val="none"/>
          <w:lang w:val="en-US" w:eastAsia="zh-CN"/>
        </w:rPr>
        <w:t>1</w:t>
      </w:r>
      <w:r>
        <w:rPr>
          <w:b/>
          <w:color w:val="auto"/>
          <w:highlight w:val="none"/>
        </w:rPr>
        <w:t>-</w:t>
      </w:r>
      <w:r>
        <w:rPr>
          <w:rFonts w:hint="eastAsia"/>
          <w:b/>
          <w:color w:val="auto"/>
          <w:highlight w:val="none"/>
          <w:lang w:val="en-US" w:eastAsia="zh-CN"/>
        </w:rPr>
        <w:t xml:space="preserve">11   </w:t>
      </w:r>
      <w:r>
        <w:rPr>
          <w:rFonts w:hint="eastAsia"/>
          <w:b/>
          <w:color w:val="auto"/>
          <w:highlight w:val="none"/>
        </w:rPr>
        <w:t>本项目占地情况一览表</w:t>
      </w:r>
    </w:p>
    <w:tbl>
      <w:tblPr>
        <w:tblStyle w:val="1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3546"/>
        <w:gridCol w:w="1547"/>
        <w:gridCol w:w="1717"/>
        <w:gridCol w:w="1109"/>
      </w:tblGrid>
      <w:tr w14:paraId="094D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49" w:type="pct"/>
            <w:tcBorders>
              <w:tl2br w:val="nil"/>
              <w:tr2bl w:val="nil"/>
            </w:tcBorders>
            <w:shd w:val="clear" w:color="auto" w:fill="auto"/>
            <w:vAlign w:val="center"/>
          </w:tcPr>
          <w:p w14:paraId="54C48B3E">
            <w:pPr>
              <w:spacing w:line="360" w:lineRule="exact"/>
              <w:ind w:firstLine="0" w:firstLineChars="0"/>
              <w:jc w:val="center"/>
              <w:rPr>
                <w:b/>
                <w:bCs/>
                <w:color w:val="auto"/>
                <w:kern w:val="0"/>
                <w:sz w:val="21"/>
                <w:szCs w:val="21"/>
                <w:highlight w:val="none"/>
              </w:rPr>
            </w:pPr>
            <w:r>
              <w:rPr>
                <w:rFonts w:hint="eastAsia"/>
                <w:b/>
                <w:bCs/>
                <w:color w:val="auto"/>
                <w:kern w:val="0"/>
                <w:sz w:val="21"/>
                <w:szCs w:val="21"/>
                <w:highlight w:val="none"/>
              </w:rPr>
              <w:t>序号</w:t>
            </w:r>
          </w:p>
        </w:tc>
        <w:tc>
          <w:tcPr>
            <w:tcW w:w="2082" w:type="pct"/>
            <w:tcBorders>
              <w:tl2br w:val="nil"/>
              <w:tr2bl w:val="nil"/>
            </w:tcBorders>
            <w:shd w:val="clear" w:color="auto" w:fill="auto"/>
            <w:vAlign w:val="center"/>
          </w:tcPr>
          <w:p w14:paraId="5BE91805">
            <w:pPr>
              <w:spacing w:line="360" w:lineRule="exact"/>
              <w:ind w:firstLine="0" w:firstLineChars="0"/>
              <w:jc w:val="center"/>
              <w:rPr>
                <w:b/>
                <w:bCs/>
                <w:color w:val="auto"/>
                <w:kern w:val="0"/>
                <w:sz w:val="21"/>
                <w:szCs w:val="21"/>
                <w:highlight w:val="none"/>
              </w:rPr>
            </w:pPr>
            <w:r>
              <w:rPr>
                <w:rFonts w:hint="eastAsia"/>
                <w:b/>
                <w:bCs/>
                <w:color w:val="auto"/>
                <w:kern w:val="0"/>
                <w:sz w:val="21"/>
                <w:szCs w:val="21"/>
                <w:highlight w:val="none"/>
              </w:rPr>
              <w:t>名称</w:t>
            </w:r>
          </w:p>
        </w:tc>
        <w:tc>
          <w:tcPr>
            <w:tcW w:w="908" w:type="pct"/>
            <w:tcBorders>
              <w:tl2br w:val="nil"/>
              <w:tr2bl w:val="nil"/>
            </w:tcBorders>
            <w:shd w:val="clear" w:color="auto" w:fill="auto"/>
            <w:vAlign w:val="center"/>
          </w:tcPr>
          <w:p w14:paraId="7FE6510D">
            <w:pPr>
              <w:spacing w:line="360" w:lineRule="exact"/>
              <w:ind w:firstLine="0" w:firstLineChars="0"/>
              <w:jc w:val="center"/>
              <w:rPr>
                <w:b/>
                <w:bCs/>
                <w:color w:val="auto"/>
                <w:kern w:val="0"/>
                <w:sz w:val="21"/>
                <w:szCs w:val="21"/>
                <w:highlight w:val="none"/>
              </w:rPr>
            </w:pPr>
            <w:r>
              <w:rPr>
                <w:rFonts w:hint="eastAsia"/>
                <w:b/>
                <w:bCs/>
                <w:color w:val="auto"/>
                <w:kern w:val="0"/>
                <w:sz w:val="21"/>
                <w:szCs w:val="21"/>
                <w:highlight w:val="none"/>
              </w:rPr>
              <w:t>数量（hm</w:t>
            </w:r>
            <w:r>
              <w:rPr>
                <w:rFonts w:hint="eastAsia"/>
                <w:b/>
                <w:bCs/>
                <w:color w:val="auto"/>
                <w:kern w:val="0"/>
                <w:sz w:val="21"/>
                <w:szCs w:val="21"/>
                <w:highlight w:val="none"/>
                <w:vertAlign w:val="superscript"/>
              </w:rPr>
              <w:t>2</w:t>
            </w:r>
            <w:r>
              <w:rPr>
                <w:rFonts w:hint="eastAsia"/>
                <w:b/>
                <w:bCs/>
                <w:color w:val="auto"/>
                <w:kern w:val="0"/>
                <w:sz w:val="21"/>
                <w:szCs w:val="21"/>
                <w:highlight w:val="none"/>
              </w:rPr>
              <w:t>）</w:t>
            </w:r>
          </w:p>
        </w:tc>
        <w:tc>
          <w:tcPr>
            <w:tcW w:w="1008" w:type="pct"/>
            <w:tcBorders>
              <w:tl2br w:val="nil"/>
              <w:tr2bl w:val="nil"/>
            </w:tcBorders>
            <w:shd w:val="clear" w:color="auto" w:fill="auto"/>
            <w:vAlign w:val="center"/>
          </w:tcPr>
          <w:p w14:paraId="16B97162">
            <w:pPr>
              <w:spacing w:line="360" w:lineRule="exact"/>
              <w:ind w:firstLine="0" w:firstLineChars="0"/>
              <w:jc w:val="center"/>
              <w:rPr>
                <w:rFonts w:hint="eastAsia" w:eastAsia="宋体"/>
                <w:b/>
                <w:bCs/>
                <w:color w:val="auto"/>
                <w:kern w:val="0"/>
                <w:sz w:val="21"/>
                <w:szCs w:val="21"/>
                <w:highlight w:val="none"/>
                <w:lang w:eastAsia="zh-CN"/>
              </w:rPr>
            </w:pPr>
            <w:r>
              <w:rPr>
                <w:rFonts w:hint="eastAsia"/>
                <w:b/>
                <w:bCs/>
                <w:color w:val="auto"/>
                <w:kern w:val="0"/>
                <w:sz w:val="21"/>
                <w:szCs w:val="21"/>
                <w:highlight w:val="none"/>
                <w:lang w:eastAsia="zh-CN"/>
              </w:rPr>
              <w:t>占地类型</w:t>
            </w:r>
          </w:p>
        </w:tc>
        <w:tc>
          <w:tcPr>
            <w:tcW w:w="651" w:type="pct"/>
            <w:tcBorders>
              <w:tl2br w:val="nil"/>
              <w:tr2bl w:val="nil"/>
            </w:tcBorders>
            <w:shd w:val="clear" w:color="auto" w:fill="auto"/>
            <w:vAlign w:val="center"/>
          </w:tcPr>
          <w:p w14:paraId="2313B42D">
            <w:pPr>
              <w:spacing w:line="360" w:lineRule="exact"/>
              <w:ind w:firstLine="0" w:firstLineChars="0"/>
              <w:jc w:val="center"/>
              <w:rPr>
                <w:rFonts w:hint="eastAsia" w:eastAsia="宋体"/>
                <w:b/>
                <w:bCs/>
                <w:color w:val="auto"/>
                <w:kern w:val="0"/>
                <w:sz w:val="21"/>
                <w:szCs w:val="21"/>
                <w:highlight w:val="none"/>
                <w:lang w:eastAsia="zh-CN"/>
              </w:rPr>
            </w:pPr>
            <w:r>
              <w:rPr>
                <w:rFonts w:hint="eastAsia"/>
                <w:b/>
                <w:bCs/>
                <w:color w:val="auto"/>
                <w:kern w:val="0"/>
                <w:sz w:val="21"/>
                <w:szCs w:val="21"/>
                <w:highlight w:val="none"/>
                <w:lang w:eastAsia="zh-CN"/>
              </w:rPr>
              <w:t>备注</w:t>
            </w:r>
          </w:p>
        </w:tc>
      </w:tr>
      <w:tr w14:paraId="647E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49" w:type="pct"/>
            <w:tcBorders>
              <w:tl2br w:val="nil"/>
              <w:tr2bl w:val="nil"/>
            </w:tcBorders>
            <w:shd w:val="clear" w:color="auto" w:fill="auto"/>
            <w:vAlign w:val="center"/>
          </w:tcPr>
          <w:p w14:paraId="200489DA">
            <w:pPr>
              <w:spacing w:line="360" w:lineRule="exact"/>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rPr>
              <w:t>1</w:t>
            </w:r>
          </w:p>
        </w:tc>
        <w:tc>
          <w:tcPr>
            <w:tcW w:w="2082" w:type="pct"/>
            <w:tcBorders>
              <w:tl2br w:val="nil"/>
              <w:tr2bl w:val="nil"/>
            </w:tcBorders>
            <w:shd w:val="clear" w:color="auto" w:fill="auto"/>
            <w:vAlign w:val="center"/>
          </w:tcPr>
          <w:p w14:paraId="76D0D916">
            <w:pPr>
              <w:spacing w:line="360" w:lineRule="exact"/>
              <w:ind w:firstLine="0" w:firstLineChars="0"/>
              <w:jc w:val="center"/>
              <w:rPr>
                <w:rFonts w:hint="default" w:eastAsia="宋体"/>
                <w:b w:val="0"/>
                <w:bCs w:val="0"/>
                <w:color w:val="auto"/>
                <w:kern w:val="0"/>
                <w:sz w:val="21"/>
                <w:szCs w:val="21"/>
                <w:highlight w:val="none"/>
                <w:lang w:val="en-US" w:eastAsia="zh-CN"/>
              </w:rPr>
            </w:pPr>
            <w:r>
              <w:rPr>
                <w:rFonts w:hint="eastAsia"/>
                <w:b w:val="0"/>
                <w:bCs w:val="0"/>
                <w:color w:val="auto"/>
                <w:kern w:val="0"/>
                <w:sz w:val="21"/>
                <w:szCs w:val="21"/>
                <w:highlight w:val="none"/>
                <w:lang w:val="en-US" w:eastAsia="zh-CN"/>
              </w:rPr>
              <w:t>采选工程</w:t>
            </w:r>
          </w:p>
        </w:tc>
        <w:tc>
          <w:tcPr>
            <w:tcW w:w="908" w:type="pct"/>
            <w:tcBorders>
              <w:tl2br w:val="nil"/>
              <w:tr2bl w:val="nil"/>
            </w:tcBorders>
            <w:shd w:val="clear" w:color="auto" w:fill="auto"/>
            <w:vAlign w:val="center"/>
          </w:tcPr>
          <w:p w14:paraId="55C6FC4D">
            <w:pPr>
              <w:spacing w:line="360" w:lineRule="exact"/>
              <w:ind w:firstLine="0" w:firstLineChars="0"/>
              <w:jc w:val="center"/>
              <w:rPr>
                <w:rFonts w:hint="default" w:eastAsia="宋体"/>
                <w:b w:val="0"/>
                <w:bCs w:val="0"/>
                <w:color w:val="auto"/>
                <w:kern w:val="0"/>
                <w:sz w:val="21"/>
                <w:szCs w:val="21"/>
                <w:highlight w:val="none"/>
                <w:lang w:val="en-US" w:eastAsia="zh-CN"/>
              </w:rPr>
            </w:pPr>
            <w:r>
              <w:rPr>
                <w:rFonts w:hint="eastAsia"/>
                <w:b w:val="0"/>
                <w:bCs w:val="0"/>
                <w:color w:val="auto"/>
                <w:kern w:val="0"/>
                <w:sz w:val="21"/>
                <w:szCs w:val="21"/>
                <w:highlight w:val="none"/>
                <w:lang w:val="en-US" w:eastAsia="zh-CN"/>
              </w:rPr>
              <w:t>46.34</w:t>
            </w:r>
          </w:p>
        </w:tc>
        <w:tc>
          <w:tcPr>
            <w:tcW w:w="1008" w:type="pct"/>
            <w:tcBorders>
              <w:tl2br w:val="nil"/>
              <w:tr2bl w:val="nil"/>
            </w:tcBorders>
            <w:shd w:val="clear" w:color="auto" w:fill="auto"/>
            <w:vAlign w:val="center"/>
          </w:tcPr>
          <w:p w14:paraId="2DDEC1F4">
            <w:pPr>
              <w:spacing w:line="360" w:lineRule="exact"/>
              <w:ind w:firstLine="0" w:firstLineChars="0"/>
              <w:jc w:val="center"/>
              <w:rPr>
                <w:rFonts w:hint="eastAsia"/>
                <w:b/>
                <w:bCs/>
                <w:color w:val="auto"/>
                <w:kern w:val="0"/>
                <w:sz w:val="21"/>
                <w:szCs w:val="21"/>
                <w:highlight w:val="none"/>
                <w:lang w:eastAsia="zh-CN"/>
              </w:rPr>
            </w:pPr>
            <w:r>
              <w:rPr>
                <w:rFonts w:hint="eastAsia"/>
                <w:color w:val="auto"/>
                <w:sz w:val="21"/>
                <w:szCs w:val="21"/>
                <w:highlight w:val="none"/>
                <w:lang w:val="en-US" w:eastAsia="zh-CN"/>
              </w:rPr>
              <w:t>裸岩石砾地</w:t>
            </w:r>
          </w:p>
        </w:tc>
        <w:tc>
          <w:tcPr>
            <w:tcW w:w="651" w:type="pct"/>
            <w:tcBorders>
              <w:tl2br w:val="nil"/>
              <w:tr2bl w:val="nil"/>
            </w:tcBorders>
            <w:shd w:val="clear" w:color="auto" w:fill="auto"/>
            <w:vAlign w:val="center"/>
          </w:tcPr>
          <w:p w14:paraId="193BE522">
            <w:pPr>
              <w:spacing w:line="360" w:lineRule="exact"/>
              <w:ind w:firstLine="0" w:firstLineChars="0"/>
              <w:jc w:val="center"/>
              <w:rPr>
                <w:rFonts w:hint="eastAsia"/>
                <w:b/>
                <w:bCs/>
                <w:color w:val="auto"/>
                <w:kern w:val="0"/>
                <w:sz w:val="21"/>
                <w:szCs w:val="21"/>
                <w:highlight w:val="none"/>
                <w:lang w:eastAsia="zh-CN"/>
              </w:rPr>
            </w:pPr>
            <w:r>
              <w:rPr>
                <w:rFonts w:hint="eastAsia"/>
                <w:color w:val="auto"/>
                <w:sz w:val="21"/>
                <w:szCs w:val="21"/>
                <w:highlight w:val="none"/>
                <w:lang w:val="en-US" w:eastAsia="zh-CN"/>
              </w:rPr>
              <w:t>永久占地</w:t>
            </w:r>
          </w:p>
        </w:tc>
      </w:tr>
      <w:tr w14:paraId="43EA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 w:type="pct"/>
            <w:tcBorders>
              <w:tl2br w:val="nil"/>
              <w:tr2bl w:val="nil"/>
            </w:tcBorders>
            <w:shd w:val="clear" w:color="auto" w:fill="auto"/>
            <w:vAlign w:val="center"/>
          </w:tcPr>
          <w:p w14:paraId="24D47F23">
            <w:pPr>
              <w:spacing w:line="360" w:lineRule="exact"/>
              <w:ind w:firstLine="0" w:firstLineChars="0"/>
              <w:jc w:val="center"/>
              <w:rPr>
                <w:rFonts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rPr>
              <w:t>2</w:t>
            </w:r>
          </w:p>
        </w:tc>
        <w:tc>
          <w:tcPr>
            <w:tcW w:w="2082" w:type="pct"/>
            <w:tcBorders>
              <w:tl2br w:val="nil"/>
              <w:tr2bl w:val="nil"/>
            </w:tcBorders>
            <w:shd w:val="clear" w:color="auto" w:fill="auto"/>
            <w:vAlign w:val="center"/>
          </w:tcPr>
          <w:p w14:paraId="365080ED">
            <w:pPr>
              <w:spacing w:line="360" w:lineRule="exact"/>
              <w:ind w:firstLine="0" w:firstLineChars="0"/>
              <w:jc w:val="center"/>
              <w:rPr>
                <w:rFonts w:hint="eastAsia" w:eastAsia="宋体"/>
                <w:color w:val="auto"/>
                <w:kern w:val="0"/>
                <w:sz w:val="21"/>
                <w:szCs w:val="21"/>
                <w:highlight w:val="none"/>
                <w:lang w:eastAsia="zh-CN"/>
              </w:rPr>
            </w:pPr>
            <w:r>
              <w:rPr>
                <w:rFonts w:hint="eastAsia"/>
                <w:color w:val="auto"/>
                <w:kern w:val="0"/>
                <w:sz w:val="21"/>
                <w:szCs w:val="21"/>
                <w:highlight w:val="none"/>
              </w:rPr>
              <w:t>尾矿库</w:t>
            </w:r>
          </w:p>
        </w:tc>
        <w:tc>
          <w:tcPr>
            <w:tcW w:w="908" w:type="pct"/>
            <w:tcBorders>
              <w:tl2br w:val="nil"/>
              <w:tr2bl w:val="nil"/>
            </w:tcBorders>
            <w:shd w:val="clear" w:color="auto" w:fill="auto"/>
            <w:vAlign w:val="center"/>
          </w:tcPr>
          <w:p w14:paraId="091E90F0">
            <w:pPr>
              <w:spacing w:line="360" w:lineRule="exact"/>
              <w:ind w:firstLine="0" w:firstLineChars="0"/>
              <w:jc w:val="center"/>
              <w:rPr>
                <w:rFonts w:hint="default" w:eastAsia="宋体"/>
                <w:color w:val="auto"/>
                <w:kern w:val="0"/>
                <w:sz w:val="21"/>
                <w:szCs w:val="21"/>
                <w:highlight w:val="none"/>
                <w:lang w:val="en-US" w:eastAsia="zh-CN"/>
              </w:rPr>
            </w:pPr>
            <w:r>
              <w:rPr>
                <w:rFonts w:hint="eastAsia" w:cs="Arial"/>
                <w:color w:val="auto"/>
                <w:kern w:val="0"/>
                <w:sz w:val="21"/>
                <w:szCs w:val="21"/>
                <w:highlight w:val="none"/>
                <w:lang w:val="en-US" w:eastAsia="zh-CN"/>
              </w:rPr>
              <w:t>78</w:t>
            </w:r>
          </w:p>
        </w:tc>
        <w:tc>
          <w:tcPr>
            <w:tcW w:w="1008" w:type="pct"/>
            <w:tcBorders>
              <w:tl2br w:val="nil"/>
              <w:tr2bl w:val="nil"/>
            </w:tcBorders>
            <w:shd w:val="clear" w:color="auto" w:fill="auto"/>
            <w:vAlign w:val="center"/>
          </w:tcPr>
          <w:p w14:paraId="480C7AB1">
            <w:pPr>
              <w:spacing w:line="360" w:lineRule="exact"/>
              <w:ind w:firstLine="0" w:firstLineChars="0"/>
              <w:jc w:val="center"/>
              <w:rPr>
                <w:rFonts w:hint="eastAsia" w:eastAsia="宋体"/>
                <w:color w:val="auto"/>
                <w:kern w:val="0"/>
                <w:sz w:val="21"/>
                <w:szCs w:val="21"/>
                <w:highlight w:val="none"/>
                <w:lang w:eastAsia="zh-CN"/>
              </w:rPr>
            </w:pPr>
            <w:r>
              <w:rPr>
                <w:rFonts w:hint="eastAsia"/>
                <w:color w:val="auto"/>
                <w:sz w:val="21"/>
                <w:szCs w:val="21"/>
                <w:highlight w:val="none"/>
                <w:lang w:val="en-US" w:eastAsia="zh-CN"/>
              </w:rPr>
              <w:t>裸岩石砾地</w:t>
            </w:r>
          </w:p>
        </w:tc>
        <w:tc>
          <w:tcPr>
            <w:tcW w:w="651" w:type="pct"/>
            <w:tcBorders>
              <w:tl2br w:val="nil"/>
              <w:tr2bl w:val="nil"/>
            </w:tcBorders>
            <w:shd w:val="clear" w:color="auto" w:fill="auto"/>
            <w:vAlign w:val="center"/>
          </w:tcPr>
          <w:p w14:paraId="10370EF1">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永久占地</w:t>
            </w:r>
          </w:p>
        </w:tc>
      </w:tr>
      <w:tr w14:paraId="3858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 w:type="pct"/>
            <w:tcBorders>
              <w:tl2br w:val="nil"/>
              <w:tr2bl w:val="nil"/>
            </w:tcBorders>
            <w:shd w:val="clear" w:color="auto" w:fill="auto"/>
            <w:vAlign w:val="center"/>
          </w:tcPr>
          <w:p w14:paraId="73685EE2">
            <w:pPr>
              <w:spacing w:line="360" w:lineRule="exact"/>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3</w:t>
            </w:r>
          </w:p>
        </w:tc>
        <w:tc>
          <w:tcPr>
            <w:tcW w:w="2082" w:type="pct"/>
            <w:tcBorders>
              <w:tl2br w:val="nil"/>
              <w:tr2bl w:val="nil"/>
            </w:tcBorders>
            <w:shd w:val="clear" w:color="auto" w:fill="auto"/>
            <w:vAlign w:val="center"/>
          </w:tcPr>
          <w:p w14:paraId="2262BCC2">
            <w:pPr>
              <w:spacing w:line="360" w:lineRule="exact"/>
              <w:ind w:firstLine="0" w:firstLineChars="0"/>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废石堆场</w:t>
            </w:r>
          </w:p>
        </w:tc>
        <w:tc>
          <w:tcPr>
            <w:tcW w:w="908" w:type="pct"/>
            <w:tcBorders>
              <w:tl2br w:val="nil"/>
              <w:tr2bl w:val="nil"/>
            </w:tcBorders>
            <w:shd w:val="clear" w:color="auto" w:fill="auto"/>
            <w:vAlign w:val="center"/>
          </w:tcPr>
          <w:p w14:paraId="7ABC5299">
            <w:pPr>
              <w:spacing w:line="360" w:lineRule="exact"/>
              <w:ind w:firstLine="0" w:firstLineChars="0"/>
              <w:jc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24</w:t>
            </w:r>
          </w:p>
        </w:tc>
        <w:tc>
          <w:tcPr>
            <w:tcW w:w="1008" w:type="pct"/>
            <w:tcBorders>
              <w:tl2br w:val="nil"/>
              <w:tr2bl w:val="nil"/>
            </w:tcBorders>
            <w:shd w:val="clear" w:color="auto" w:fill="auto"/>
            <w:vAlign w:val="center"/>
          </w:tcPr>
          <w:p w14:paraId="5EC7E9CF">
            <w:pPr>
              <w:spacing w:line="360" w:lineRule="exact"/>
              <w:ind w:firstLine="0" w:firstLineChars="0"/>
              <w:jc w:val="center"/>
              <w:rPr>
                <w:color w:val="auto"/>
                <w:kern w:val="0"/>
                <w:sz w:val="21"/>
                <w:szCs w:val="21"/>
                <w:highlight w:val="none"/>
              </w:rPr>
            </w:pPr>
            <w:r>
              <w:rPr>
                <w:rFonts w:hint="eastAsia"/>
                <w:color w:val="auto"/>
                <w:sz w:val="21"/>
                <w:szCs w:val="21"/>
                <w:highlight w:val="none"/>
                <w:lang w:val="en-US" w:eastAsia="zh-CN"/>
              </w:rPr>
              <w:t>裸岩石砾地</w:t>
            </w:r>
          </w:p>
        </w:tc>
        <w:tc>
          <w:tcPr>
            <w:tcW w:w="651" w:type="pct"/>
            <w:tcBorders>
              <w:tl2br w:val="nil"/>
              <w:tr2bl w:val="nil"/>
            </w:tcBorders>
            <w:shd w:val="clear" w:color="auto" w:fill="auto"/>
            <w:vAlign w:val="center"/>
          </w:tcPr>
          <w:p w14:paraId="32D9C37A">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临时占地</w:t>
            </w:r>
          </w:p>
        </w:tc>
      </w:tr>
      <w:tr w14:paraId="55EB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1" w:type="pct"/>
            <w:gridSpan w:val="2"/>
            <w:tcBorders>
              <w:tl2br w:val="nil"/>
              <w:tr2bl w:val="nil"/>
            </w:tcBorders>
            <w:shd w:val="clear" w:color="auto" w:fill="auto"/>
            <w:vAlign w:val="center"/>
          </w:tcPr>
          <w:p w14:paraId="1CE05879">
            <w:pPr>
              <w:spacing w:line="360" w:lineRule="exact"/>
              <w:ind w:firstLine="0" w:firstLineChars="0"/>
              <w:jc w:val="center"/>
              <w:rPr>
                <w:rFonts w:cs="Arial"/>
                <w:color w:val="auto"/>
                <w:kern w:val="0"/>
                <w:sz w:val="21"/>
                <w:szCs w:val="21"/>
                <w:highlight w:val="none"/>
              </w:rPr>
            </w:pPr>
            <w:r>
              <w:rPr>
                <w:rFonts w:hint="eastAsia"/>
                <w:color w:val="auto"/>
                <w:kern w:val="0"/>
                <w:sz w:val="21"/>
                <w:szCs w:val="21"/>
                <w:highlight w:val="none"/>
              </w:rPr>
              <w:t>合计</w:t>
            </w:r>
          </w:p>
        </w:tc>
        <w:tc>
          <w:tcPr>
            <w:tcW w:w="908" w:type="pct"/>
            <w:tcBorders>
              <w:tl2br w:val="nil"/>
              <w:tr2bl w:val="nil"/>
            </w:tcBorders>
            <w:shd w:val="clear" w:color="auto" w:fill="auto"/>
            <w:vAlign w:val="center"/>
          </w:tcPr>
          <w:p w14:paraId="10B94B15">
            <w:pPr>
              <w:spacing w:line="360" w:lineRule="exact"/>
              <w:ind w:firstLine="0" w:firstLineChars="0"/>
              <w:jc w:val="center"/>
              <w:rPr>
                <w:rFonts w:hint="default" w:eastAsia="宋体" w:cs="Arial"/>
                <w:color w:val="auto"/>
                <w:kern w:val="0"/>
                <w:sz w:val="21"/>
                <w:szCs w:val="21"/>
                <w:highlight w:val="none"/>
                <w:lang w:val="en-US" w:eastAsia="zh-CN"/>
              </w:rPr>
            </w:pPr>
            <w:r>
              <w:rPr>
                <w:rFonts w:hint="eastAsia" w:cs="Arial"/>
                <w:color w:val="auto"/>
                <w:kern w:val="0"/>
                <w:sz w:val="21"/>
                <w:szCs w:val="21"/>
                <w:highlight w:val="none"/>
                <w:lang w:val="en-US" w:eastAsia="zh-CN"/>
              </w:rPr>
              <w:t>148.34</w:t>
            </w:r>
          </w:p>
        </w:tc>
        <w:tc>
          <w:tcPr>
            <w:tcW w:w="1008" w:type="pct"/>
            <w:tcBorders>
              <w:tl2br w:val="nil"/>
              <w:tr2bl w:val="nil"/>
            </w:tcBorders>
            <w:shd w:val="clear" w:color="auto" w:fill="auto"/>
            <w:vAlign w:val="center"/>
          </w:tcPr>
          <w:p w14:paraId="0917F638">
            <w:pPr>
              <w:spacing w:line="360" w:lineRule="exact"/>
              <w:ind w:firstLine="0" w:firstLineChars="0"/>
              <w:jc w:val="center"/>
              <w:rPr>
                <w:color w:val="auto"/>
                <w:kern w:val="0"/>
                <w:sz w:val="21"/>
                <w:szCs w:val="21"/>
                <w:highlight w:val="none"/>
              </w:rPr>
            </w:pPr>
            <w:r>
              <w:rPr>
                <w:rFonts w:hint="eastAsia"/>
                <w:color w:val="auto"/>
                <w:sz w:val="21"/>
                <w:szCs w:val="21"/>
                <w:highlight w:val="none"/>
                <w:lang w:val="en-US" w:eastAsia="zh-CN"/>
              </w:rPr>
              <w:t>裸岩石砾地</w:t>
            </w:r>
          </w:p>
        </w:tc>
        <w:tc>
          <w:tcPr>
            <w:tcW w:w="651" w:type="pct"/>
            <w:tcBorders>
              <w:tl2br w:val="nil"/>
              <w:tr2bl w:val="nil"/>
            </w:tcBorders>
            <w:shd w:val="clear" w:color="auto" w:fill="auto"/>
            <w:vAlign w:val="center"/>
          </w:tcPr>
          <w:p w14:paraId="15586FCC">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r>
    </w:tbl>
    <w:p w14:paraId="55E889DC">
      <w:pPr>
        <w:pStyle w:val="5"/>
        <w:spacing w:line="560" w:lineRule="atLeast"/>
        <w:rPr>
          <w:color w:val="auto"/>
          <w:highlight w:val="none"/>
        </w:rPr>
      </w:pPr>
      <w:bookmarkStart w:id="378" w:name="_Toc3946"/>
      <w:bookmarkStart w:id="379" w:name="_Toc25769"/>
      <w:bookmarkStart w:id="380" w:name="_Toc107413888"/>
      <w:bookmarkStart w:id="381" w:name="_Toc14202"/>
      <w:bookmarkStart w:id="382" w:name="_Toc13594"/>
      <w:bookmarkStart w:id="383" w:name="_Toc107414655"/>
      <w:bookmarkStart w:id="384" w:name="_Toc18572"/>
      <w:bookmarkStart w:id="385" w:name="_Toc31262"/>
      <w:r>
        <w:rPr>
          <w:rFonts w:hint="eastAsia"/>
          <w:color w:val="auto"/>
          <w:highlight w:val="none"/>
        </w:rPr>
        <w:t>3.</w:t>
      </w:r>
      <w:r>
        <w:rPr>
          <w:rFonts w:hint="eastAsia"/>
          <w:color w:val="auto"/>
          <w:highlight w:val="none"/>
          <w:lang w:val="en-US" w:eastAsia="zh-CN"/>
        </w:rPr>
        <w:t>2</w:t>
      </w:r>
      <w:r>
        <w:rPr>
          <w:rFonts w:hint="eastAsia"/>
          <w:color w:val="auto"/>
          <w:highlight w:val="none"/>
        </w:rPr>
        <w:t>工程分析</w:t>
      </w:r>
      <w:bookmarkEnd w:id="378"/>
      <w:bookmarkEnd w:id="379"/>
      <w:bookmarkEnd w:id="380"/>
      <w:bookmarkEnd w:id="381"/>
      <w:bookmarkEnd w:id="382"/>
      <w:bookmarkEnd w:id="383"/>
      <w:bookmarkEnd w:id="384"/>
      <w:bookmarkEnd w:id="385"/>
    </w:p>
    <w:p w14:paraId="0491C047">
      <w:pPr>
        <w:pStyle w:val="6"/>
        <w:rPr>
          <w:rFonts w:hint="default"/>
          <w:color w:val="auto"/>
          <w:highlight w:val="none"/>
          <w:lang w:val="en-US"/>
        </w:rPr>
      </w:pPr>
      <w:bookmarkStart w:id="386" w:name="_Toc3942"/>
      <w:bookmarkStart w:id="387" w:name="_Toc31159"/>
      <w:bookmarkStart w:id="388" w:name="_Toc25255"/>
      <w:bookmarkStart w:id="389" w:name="_Toc3646"/>
      <w:bookmarkStart w:id="390" w:name="_Toc31055"/>
      <w:bookmarkStart w:id="391" w:name="_Toc12441"/>
      <w:bookmarkStart w:id="392" w:name="_Toc6523"/>
      <w:bookmarkStart w:id="393" w:name="_Toc26227"/>
      <w:bookmarkStart w:id="394" w:name="_Toc18585"/>
      <w:r>
        <w:rPr>
          <w:color w:val="auto"/>
          <w:highlight w:val="none"/>
        </w:rPr>
        <w:t>3.</w:t>
      </w:r>
      <w:r>
        <w:rPr>
          <w:rFonts w:hint="eastAsia"/>
          <w:color w:val="auto"/>
          <w:highlight w:val="none"/>
          <w:lang w:val="en-US" w:eastAsia="zh-CN"/>
        </w:rPr>
        <w:t>2</w:t>
      </w:r>
      <w:r>
        <w:rPr>
          <w:color w:val="auto"/>
          <w:highlight w:val="none"/>
        </w:rPr>
        <w:t>.1</w:t>
      </w:r>
      <w:r>
        <w:rPr>
          <w:rFonts w:hint="eastAsia"/>
          <w:color w:val="auto"/>
          <w:highlight w:val="none"/>
          <w:lang w:val="en-US" w:eastAsia="zh-CN"/>
        </w:rPr>
        <w:t>采矿</w:t>
      </w:r>
      <w:bookmarkEnd w:id="386"/>
      <w:bookmarkEnd w:id="387"/>
      <w:bookmarkEnd w:id="388"/>
      <w:bookmarkEnd w:id="389"/>
      <w:bookmarkEnd w:id="390"/>
      <w:bookmarkEnd w:id="391"/>
      <w:bookmarkEnd w:id="392"/>
      <w:bookmarkEnd w:id="393"/>
      <w:bookmarkEnd w:id="394"/>
      <w:r>
        <w:rPr>
          <w:rFonts w:hint="eastAsia"/>
          <w:color w:val="auto"/>
          <w:highlight w:val="none"/>
          <w:lang w:val="en-US" w:eastAsia="zh-CN"/>
        </w:rPr>
        <w:t>工程</w:t>
      </w:r>
    </w:p>
    <w:p w14:paraId="500C303A">
      <w:pPr>
        <w:pStyle w:val="7"/>
        <w:bidi w:val="0"/>
        <w:rPr>
          <w:color w:val="auto"/>
          <w:highlight w:val="none"/>
          <w:lang w:val="en-US" w:eastAsia="zh-CN"/>
        </w:rPr>
      </w:pPr>
      <w:r>
        <w:rPr>
          <w:rFonts w:hint="eastAsia"/>
          <w:color w:val="auto"/>
          <w:highlight w:val="none"/>
          <w:lang w:val="en-US" w:eastAsia="zh-CN"/>
        </w:rPr>
        <w:t>3.2.1.1</w:t>
      </w:r>
      <w:r>
        <w:rPr>
          <w:color w:val="auto"/>
          <w:highlight w:val="none"/>
          <w:lang w:val="en-US" w:eastAsia="zh-CN"/>
        </w:rPr>
        <w:t>矿床开采方式</w:t>
      </w:r>
    </w:p>
    <w:p w14:paraId="021F2676">
      <w:pPr>
        <w:bidi w:val="0"/>
        <w:rPr>
          <w:color w:val="auto"/>
          <w:highlight w:val="none"/>
        </w:rPr>
      </w:pPr>
      <w:r>
        <w:rPr>
          <w:rFonts w:hint="eastAsia"/>
          <w:color w:val="auto"/>
          <w:highlight w:val="none"/>
          <w:lang w:val="en-US" w:eastAsia="zh-CN"/>
        </w:rPr>
        <w:t>根据矿体赋存条件，矿体走向长度长，资源分布较分散，最低埋藏深度达到700m，虽有部分矿体出露地表，但采用露天开采方式可回采的资源量较少，因此采用全地下开采方式。</w:t>
      </w:r>
    </w:p>
    <w:p w14:paraId="7A438EDA">
      <w:pPr>
        <w:pStyle w:val="7"/>
        <w:bidi w:val="0"/>
        <w:rPr>
          <w:color w:val="auto"/>
          <w:highlight w:val="none"/>
          <w:lang w:val="en-US" w:eastAsia="zh-CN"/>
        </w:rPr>
      </w:pPr>
      <w:r>
        <w:rPr>
          <w:rFonts w:hint="eastAsia"/>
          <w:color w:val="auto"/>
          <w:highlight w:val="none"/>
          <w:lang w:val="en-US" w:eastAsia="zh-CN"/>
        </w:rPr>
        <w:t>3.2.1.2</w:t>
      </w:r>
      <w:r>
        <w:rPr>
          <w:color w:val="auto"/>
          <w:highlight w:val="none"/>
          <w:lang w:val="en-US" w:eastAsia="zh-CN"/>
        </w:rPr>
        <w:t>开采范围及开采顺序</w:t>
      </w:r>
    </w:p>
    <w:p w14:paraId="1CDFD8D0">
      <w:pPr>
        <w:bidi w:val="0"/>
        <w:rPr>
          <w:rFonts w:hint="eastAsia"/>
          <w:color w:val="auto"/>
          <w:highlight w:val="none"/>
          <w:lang w:val="en-US" w:eastAsia="zh-CN"/>
        </w:rPr>
      </w:pPr>
      <w:r>
        <w:rPr>
          <w:rFonts w:hint="eastAsia"/>
          <w:color w:val="auto"/>
          <w:highlight w:val="none"/>
          <w:lang w:val="en-US" w:eastAsia="zh-CN"/>
        </w:rPr>
        <w:t>（1）开采范围</w:t>
      </w:r>
    </w:p>
    <w:p w14:paraId="20999631">
      <w:pPr>
        <w:bidi w:val="0"/>
        <w:rPr>
          <w:color w:val="auto"/>
          <w:highlight w:val="none"/>
        </w:rPr>
      </w:pPr>
      <w:r>
        <w:rPr>
          <w:rFonts w:hint="eastAsia"/>
          <w:color w:val="auto"/>
          <w:highlight w:val="none"/>
          <w:lang w:val="en-US" w:eastAsia="zh-CN"/>
        </w:rPr>
        <w:t>根据建立的Datamine地质资源模型，计算勘探区在3200m～2300m标高范围内的地质资源量为6584.8</w:t>
      </w:r>
      <w:r>
        <w:rPr>
          <w:rFonts w:hint="default"/>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4</w:t>
      </w:r>
      <w:r>
        <w:rPr>
          <w:rFonts w:hint="eastAsia"/>
          <w:color w:val="auto"/>
          <w:highlight w:val="none"/>
          <w:lang w:val="en-US" w:eastAsia="zh-CN"/>
        </w:rPr>
        <w:t>t，CaF</w:t>
      </w:r>
      <w:r>
        <w:rPr>
          <w:rFonts w:hint="eastAsia"/>
          <w:color w:val="auto"/>
          <w:highlight w:val="none"/>
          <w:vertAlign w:val="subscript"/>
          <w:lang w:val="en-US" w:eastAsia="zh-CN"/>
        </w:rPr>
        <w:t>2</w:t>
      </w:r>
      <w:r>
        <w:rPr>
          <w:rFonts w:hint="eastAsia"/>
          <w:color w:val="auto"/>
          <w:highlight w:val="none"/>
          <w:lang w:val="en-US" w:eastAsia="zh-CN"/>
        </w:rPr>
        <w:t>平均品位32.70%。资源量主要分布在3150m～2450m标高范围内，该范围内的地质资源量合计6476.0</w:t>
      </w:r>
      <w:r>
        <w:rPr>
          <w:rFonts w:hint="default"/>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4</w:t>
      </w:r>
      <w:r>
        <w:rPr>
          <w:rFonts w:hint="eastAsia"/>
          <w:color w:val="auto"/>
          <w:highlight w:val="none"/>
          <w:lang w:val="en-US" w:eastAsia="zh-CN"/>
        </w:rPr>
        <w:t>t，占勘探区内全部地质资源量的比例为98.3%。本次设计开采标高为3150m～2450m，该范围内探明的+控制的资源量占比为45.0%，推断的资源量占比为55.0%。设计扣除河流保安矿柱和地表护顶矿柱后，探明的和控制的资源量全部利用，推断的资源取0.6的可信度系数，计算3150m～2450m标高范围内可利用资源量为4824.2</w:t>
      </w:r>
      <w:r>
        <w:rPr>
          <w:rFonts w:hint="default"/>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4</w:t>
      </w:r>
      <w:r>
        <w:rPr>
          <w:rFonts w:hint="eastAsia"/>
          <w:color w:val="auto"/>
          <w:highlight w:val="none"/>
          <w:lang w:val="en-US" w:eastAsia="zh-CN"/>
        </w:rPr>
        <w:t>t，CaF</w:t>
      </w:r>
      <w:r>
        <w:rPr>
          <w:rFonts w:hint="eastAsia"/>
          <w:color w:val="auto"/>
          <w:highlight w:val="none"/>
          <w:vertAlign w:val="subscript"/>
          <w:lang w:val="en-US" w:eastAsia="zh-CN"/>
        </w:rPr>
        <w:t>2</w:t>
      </w:r>
      <w:r>
        <w:rPr>
          <w:rFonts w:hint="eastAsia"/>
          <w:color w:val="auto"/>
          <w:highlight w:val="none"/>
          <w:lang w:val="en-US" w:eastAsia="zh-CN"/>
        </w:rPr>
        <w:t>平均品位为32.96%。设计可利用资源量占全部地质资源量的73.3%。</w:t>
      </w:r>
    </w:p>
    <w:p w14:paraId="4F7E4BBC">
      <w:pPr>
        <w:bidi w:val="0"/>
        <w:rPr>
          <w:color w:val="auto"/>
          <w:highlight w:val="none"/>
          <w:lang w:val="en-US" w:eastAsia="zh-CN"/>
        </w:rPr>
      </w:pPr>
      <w:r>
        <w:rPr>
          <w:color w:val="auto"/>
          <w:highlight w:val="none"/>
          <w:lang w:val="en-US" w:eastAsia="zh-CN"/>
        </w:rPr>
        <w:t>（2）开采顺序</w:t>
      </w:r>
    </w:p>
    <w:p w14:paraId="516E9ED9">
      <w:pPr>
        <w:bidi w:val="0"/>
        <w:rPr>
          <w:rFonts w:hint="eastAsia"/>
          <w:color w:val="auto"/>
          <w:highlight w:val="none"/>
          <w:lang w:val="en-US" w:eastAsia="zh-CN"/>
        </w:rPr>
      </w:pPr>
      <w:r>
        <w:rPr>
          <w:rFonts w:hint="eastAsia"/>
          <w:color w:val="auto"/>
          <w:highlight w:val="none"/>
          <w:lang w:val="en-US" w:eastAsia="zh-CN"/>
        </w:rPr>
        <w:t>矿山总体开采顺序为从浅部向深部，分一期和二期开采。一期开采浅部2900m以上的矿体，开采顺序为从下向上；二期开采深部2900m以下的矿体，首采区域为资源量相对集中的2900m～2700m，再开采2700m～2450m。</w:t>
      </w:r>
    </w:p>
    <w:p w14:paraId="2B80D968">
      <w:pPr>
        <w:bidi w:val="0"/>
        <w:rPr>
          <w:rFonts w:hint="eastAsia"/>
          <w:color w:val="auto"/>
          <w:highlight w:val="none"/>
          <w:lang w:val="en-US" w:eastAsia="zh-CN"/>
        </w:rPr>
      </w:pPr>
      <w:r>
        <w:rPr>
          <w:rFonts w:hint="eastAsia"/>
          <w:color w:val="auto"/>
          <w:highlight w:val="none"/>
          <w:lang w:val="en-US" w:eastAsia="zh-CN"/>
        </w:rPr>
        <w:t>（3）首采中段</w:t>
      </w:r>
    </w:p>
    <w:p w14:paraId="5AD04778">
      <w:pPr>
        <w:bidi w:val="0"/>
        <w:rPr>
          <w:color w:val="auto"/>
          <w:highlight w:val="none"/>
        </w:rPr>
      </w:pPr>
      <w:r>
        <w:rPr>
          <w:rFonts w:hint="eastAsia"/>
          <w:color w:val="auto"/>
          <w:highlight w:val="none"/>
          <w:lang w:val="en-US" w:eastAsia="zh-CN"/>
        </w:rPr>
        <w:t>一期首采2900m中段，主要开采范围为43勘探线～50勘探线。一期首采2900m为有轨运输中段，2950m为充填回风水平。二期首采2700m中段，设2700m有轨运输水平，设2750m充填回风水平。</w:t>
      </w:r>
    </w:p>
    <w:p w14:paraId="20444454">
      <w:pPr>
        <w:pStyle w:val="7"/>
        <w:bidi w:val="0"/>
        <w:rPr>
          <w:color w:val="auto"/>
          <w:highlight w:val="none"/>
          <w:lang w:val="en-US" w:eastAsia="zh-CN"/>
        </w:rPr>
      </w:pPr>
      <w:r>
        <w:rPr>
          <w:rFonts w:hint="eastAsia"/>
          <w:color w:val="auto"/>
          <w:highlight w:val="none"/>
          <w:lang w:val="en-US" w:eastAsia="zh-CN"/>
        </w:rPr>
        <w:t>3.2.1.3</w:t>
      </w:r>
      <w:r>
        <w:rPr>
          <w:color w:val="auto"/>
          <w:highlight w:val="none"/>
          <w:lang w:val="en-US" w:eastAsia="zh-CN"/>
        </w:rPr>
        <w:t>采矿方法</w:t>
      </w:r>
    </w:p>
    <w:p w14:paraId="1DD0D3B1">
      <w:pPr>
        <w:bidi w:val="0"/>
        <w:rPr>
          <w:rFonts w:hint="eastAsia"/>
          <w:color w:val="auto"/>
          <w:highlight w:val="none"/>
          <w:lang w:val="en-US" w:eastAsia="zh-CN"/>
        </w:rPr>
      </w:pPr>
      <w:r>
        <w:rPr>
          <w:rFonts w:hint="eastAsia"/>
          <w:color w:val="auto"/>
          <w:highlight w:val="none"/>
          <w:lang w:val="en-US" w:eastAsia="zh-CN"/>
        </w:rPr>
        <w:t>矿体出露地表，为保护地表环境，减少因采矿引进边坡滑坡等地质灾害，应优先采用充填法开采。根据矿体赋存条件、矿岩稳固性、地表环境要求、建设规模的需求，推荐采用上向水平分层充填采矿法（切割法）、上向水平分层充填采矿法（钻爆法）、上向进路充填采矿法（切割法）和上向进路充填采矿法（钻爆法）。上向水平分层充填采矿法（切割法）占比为30%，上向水平分层充填采矿法（钻爆法）占比为15%，上向进路充填采矿法（切割法）占比为35%，上向进路充填采矿法（钻爆法）占比为20%。局部矿岩极不稳固的地段采用下向进路充填采矿法（切割法或钻爆法）回采。</w:t>
      </w:r>
      <w:r>
        <w:rPr>
          <w:color w:val="auto"/>
          <w:highlight w:val="none"/>
          <w:lang w:val="en-US" w:eastAsia="zh-CN"/>
        </w:rPr>
        <w:t>在满足作业安全距离的条</w:t>
      </w:r>
      <w:r>
        <w:rPr>
          <w:rFonts w:hint="eastAsia"/>
          <w:color w:val="auto"/>
          <w:highlight w:val="none"/>
          <w:lang w:val="en-US" w:eastAsia="zh-CN"/>
        </w:rPr>
        <w:t>件下，生产过程中可根据矿体厚度、品位情况灵活布置采切工程。</w:t>
      </w:r>
    </w:p>
    <w:p w14:paraId="191712FB">
      <w:pPr>
        <w:bidi w:val="0"/>
        <w:rPr>
          <w:rFonts w:hint="eastAsia"/>
          <w:color w:val="auto"/>
          <w:highlight w:val="none"/>
          <w:lang w:val="en-US" w:eastAsia="zh-CN"/>
        </w:rPr>
      </w:pPr>
      <w:r>
        <w:rPr>
          <w:rFonts w:hint="eastAsia"/>
          <w:color w:val="auto"/>
          <w:highlight w:val="none"/>
          <w:lang w:val="en-US" w:eastAsia="zh-CN"/>
        </w:rPr>
        <w:t>（1）上向水平分层充填采矿法（切割法）</w:t>
      </w:r>
    </w:p>
    <w:p w14:paraId="61B48DC9">
      <w:pPr>
        <w:bidi w:val="0"/>
        <w:rPr>
          <w:color w:val="auto"/>
          <w:highlight w:val="none"/>
        </w:rPr>
      </w:pPr>
      <w:r>
        <w:rPr>
          <w:rFonts w:hint="eastAsia"/>
          <w:color w:val="auto"/>
          <w:highlight w:val="none"/>
          <w:lang w:val="en-US" w:eastAsia="zh-CN"/>
        </w:rPr>
        <w:t>适用于矿体厚度小于8m，矿体连续性好，且矿岩稳固性较好的地段。采场沿走向布置，长度60m，宽度为矿体厚度。中段高度50m，每个中段设4个分段，分段高度12.5m，相邻采场之间留2m厚的间柱。分层联络道布置在采场一端，分层回采高度4m，留1m空高。当矿岩稳固变差时，需要控制采场宽度，采用进路式回采。采用悬臂掘进机切割矿体，由采场一端的分层联络道进入采场。切割的矿石由悬臂掘进机后部的铲板装入载重20t（型号为UQ-20或相同规格）的坑内卡车上，沿分层联络道、分段巷道运到采区溜井。每台悬臂掘进机配套2台坑内卡车。</w:t>
      </w:r>
    </w:p>
    <w:p w14:paraId="29064DAB">
      <w:pPr>
        <w:bidi w:val="0"/>
        <w:rPr>
          <w:rFonts w:hint="eastAsia"/>
          <w:color w:val="auto"/>
          <w:highlight w:val="none"/>
          <w:lang w:val="en-US" w:eastAsia="zh-CN"/>
        </w:rPr>
      </w:pPr>
      <w:r>
        <w:rPr>
          <w:color w:val="auto"/>
          <w:highlight w:val="none"/>
          <w:lang w:val="en-US" w:eastAsia="zh-CN"/>
        </w:rPr>
        <w:t>新鲜风流经分段巷道、分层联络道进入采场，清洗工作面后污风</w:t>
      </w:r>
      <w:r>
        <w:rPr>
          <w:rFonts w:hint="eastAsia"/>
          <w:color w:val="auto"/>
          <w:highlight w:val="none"/>
          <w:lang w:val="en-US" w:eastAsia="zh-CN"/>
        </w:rPr>
        <w:t>从采场的充填回风天井进入上中段回风系统。悬臂掘进机自带喷雾降尘系统，另外通过架设局扇和风筒加强通风。一般采用锚网支护；如果矿岩稳固性变差，可采用锚网喷+锚索预支护。每一分层回采结束后，采用全尾砂胶结充填料充填。采场综合生产能力为450t/d。</w:t>
      </w:r>
    </w:p>
    <w:p w14:paraId="13865F71">
      <w:pPr>
        <w:bidi w:val="0"/>
        <w:rPr>
          <w:rFonts w:hint="eastAsia"/>
          <w:color w:val="auto"/>
          <w:highlight w:val="none"/>
          <w:lang w:val="en-US" w:eastAsia="zh-CN"/>
        </w:rPr>
      </w:pPr>
      <w:r>
        <w:rPr>
          <w:rFonts w:hint="eastAsia"/>
          <w:color w:val="auto"/>
          <w:highlight w:val="none"/>
          <w:lang w:val="en-US" w:eastAsia="zh-CN"/>
        </w:rPr>
        <w:t>（2）上向水平分层充填采矿法（钻爆法）</w:t>
      </w:r>
    </w:p>
    <w:p w14:paraId="547AAEDF">
      <w:pPr>
        <w:bidi w:val="0"/>
        <w:rPr>
          <w:rFonts w:hint="eastAsia"/>
          <w:color w:val="auto"/>
          <w:highlight w:val="none"/>
          <w:lang w:val="en-US" w:eastAsia="zh-CN"/>
        </w:rPr>
      </w:pPr>
      <w:r>
        <w:rPr>
          <w:rFonts w:hint="eastAsia"/>
          <w:color w:val="auto"/>
          <w:highlight w:val="none"/>
          <w:lang w:val="en-US" w:eastAsia="zh-CN"/>
        </w:rPr>
        <w:t>适用于矿体厚度小于8m，矿体形态变化较大，且矿岩稳固性较好的地段。采场沿走向布置，长度60m，宽度为矿体厚度。中段高度50m，分段高度12.5m，相邻采场之间留2m厚的间柱。分层联络道布置在采场中间位置，分层回采高度4m，留有1.0m空高，控顶高度均为5.0m。当矿岩稳固变差时，需要控制采场宽度，采用进路式回采。采用浅孔凿岩台车钻凿水平孔，炮孔直径φ42mm，炮孔深度3.6m～4.2m。采用卷状乳化炸药，人工装药，楔形掏槽，数码电子雷管起爆。选用载重7t的柴油铲运机出矿。爆下的矿石由铲运机卸入下盘的采区溜井，距离超过200m时需采用坑内卡车转运。新鲜风流经分段巷道、分层联络道进入采场，清洗工作面后污风从采场的充填回风天井进入上中段回风系统。通风困难时需采用局扇加强通风。一般采用锚网支护；如果矿岩稳固性变差，可采用锚网喷+锚索预支护。每一分层回采结束后，采用全尾砂胶结充填料充填。采场综合生产能力为300t/d。</w:t>
      </w:r>
    </w:p>
    <w:p w14:paraId="4D5E6158">
      <w:pPr>
        <w:bidi w:val="0"/>
        <w:rPr>
          <w:rFonts w:hint="eastAsia"/>
          <w:color w:val="auto"/>
          <w:highlight w:val="none"/>
          <w:lang w:val="en-US" w:eastAsia="zh-CN"/>
        </w:rPr>
      </w:pPr>
      <w:r>
        <w:rPr>
          <w:rFonts w:hint="eastAsia"/>
          <w:color w:val="auto"/>
          <w:highlight w:val="none"/>
          <w:lang w:val="en-US" w:eastAsia="zh-CN"/>
        </w:rPr>
        <w:t>（3）上向进路充填采矿法（切割法）</w:t>
      </w:r>
    </w:p>
    <w:p w14:paraId="5F413573">
      <w:pPr>
        <w:bidi w:val="0"/>
        <w:rPr>
          <w:rFonts w:hint="eastAsia"/>
          <w:color w:val="auto"/>
          <w:highlight w:val="none"/>
          <w:lang w:val="en-US" w:eastAsia="zh-CN"/>
        </w:rPr>
      </w:pPr>
      <w:r>
        <w:rPr>
          <w:rFonts w:hint="eastAsia"/>
          <w:color w:val="auto"/>
          <w:highlight w:val="none"/>
          <w:lang w:val="en-US" w:eastAsia="zh-CN"/>
        </w:rPr>
        <w:t>适用于矿岩稳固较差，或者矿体厚度大于8m的地段。采场沿走向布置，长度60m，宽度为矿体厚度，中段高度50m，分段高度12.5m，相邻采场之间留2m厚的间柱。分层联络道布置在采场</w:t>
      </w:r>
      <w:r>
        <w:rPr>
          <w:color w:val="auto"/>
          <w:highlight w:val="none"/>
          <w:lang w:val="en-US" w:eastAsia="zh-CN"/>
        </w:rPr>
        <w:t>端部位置。每个采场长度约60m，采场内沿矿体走向布置进路，每条</w:t>
      </w:r>
      <w:r>
        <w:rPr>
          <w:rFonts w:hint="eastAsia"/>
          <w:color w:val="auto"/>
          <w:highlight w:val="none"/>
          <w:lang w:val="en-US" w:eastAsia="zh-CN"/>
        </w:rPr>
        <w:t>进路回采宽度为4.0m，进路回采高度为4.0m，控顶高度为4.0m。采用悬臂掘进机切割矿体，由采场一端的分层联络道进入采场。切割的矿石由悬臂掘进机后部的铲板装入载重20t（型号为UQ-20或相同规格）的坑内卡车上，沿分层联络道、分段巷道运到采区溜井。每台悬臂掘进机配套2台坑内卡车。新鲜风流经分段巷道、分层联络道进入采场，清洗工作面后污风从采场的充填回风天井进入上中段回风系统。悬臂掘进机自带喷雾降尘系统，另外通过架设局扇和风筒加强通风。一般采用锚网支护；如果矿岩稳固性变差，可采用锚网喷+锚索预支护。每一分层回采结束后，采用全尾砂胶结充填料充填。</w:t>
      </w:r>
    </w:p>
    <w:p w14:paraId="1008C114">
      <w:pPr>
        <w:bidi w:val="0"/>
        <w:rPr>
          <w:rFonts w:hint="eastAsia"/>
          <w:color w:val="auto"/>
          <w:highlight w:val="none"/>
          <w:lang w:val="en-US" w:eastAsia="zh-CN"/>
        </w:rPr>
      </w:pPr>
      <w:r>
        <w:rPr>
          <w:rFonts w:hint="eastAsia"/>
          <w:color w:val="auto"/>
          <w:highlight w:val="none"/>
          <w:lang w:val="en-US" w:eastAsia="zh-CN"/>
        </w:rPr>
        <w:t>（4）上向进路充填采矿法（钻爆法）</w:t>
      </w:r>
    </w:p>
    <w:p w14:paraId="586153EF">
      <w:pPr>
        <w:bidi w:val="0"/>
        <w:rPr>
          <w:color w:val="auto"/>
          <w:highlight w:val="none"/>
        </w:rPr>
      </w:pPr>
      <w:r>
        <w:rPr>
          <w:rFonts w:hint="eastAsia"/>
          <w:color w:val="auto"/>
          <w:highlight w:val="none"/>
          <w:lang w:val="en-US" w:eastAsia="zh-CN"/>
        </w:rPr>
        <w:t>适用于矿岩稳固较差，或者矿体厚度大于8m的地段。采场沿走向布置，长度60m，宽度为矿体厚度，中段高度50m，分段高度12.5m，相邻采场之间留2m厚的间柱。采用钻爆法回采，分层联络道布置在采场中间位置；当采用截割法回采时，分层联络道布置在采场端部位置。每个采场长度约60m，采场内沿矿体走向布置进路，每条进路回采宽度为4.0m，进路回采高度为4.0m，控顶高度为4.0m。采用浅孔凿岩台车钻凿水平孔，炮孔直径φ42mm，炮孔深度3.6m～4.2m。采用卷状乳化炸药，人工装药，楔形掏槽，数码电子雷管起爆。选用载重7t的柴油铲运机出矿。爆下的矿石由铲运机卸入下盘的采区溜井，距离超过200m时需采用坑内卡车转运。新鲜风流经分段巷道、分层联络道进入采场，清洗工作面后污风从采场的充填回风天井进入上中段回风系统。通风困难时需采用局扇加强通风。一般采用锚网支护；如果矿岩稳固性变差，可采用锚网喷+锚索预支护。</w:t>
      </w:r>
    </w:p>
    <w:p w14:paraId="1B669601">
      <w:pPr>
        <w:bidi w:val="0"/>
        <w:rPr>
          <w:rFonts w:hint="eastAsia"/>
          <w:color w:val="auto"/>
          <w:highlight w:val="none"/>
          <w:lang w:val="en-US" w:eastAsia="zh-CN"/>
        </w:rPr>
      </w:pPr>
      <w:r>
        <w:rPr>
          <w:color w:val="auto"/>
          <w:highlight w:val="none"/>
          <w:lang w:val="en-US" w:eastAsia="zh-CN"/>
        </w:rPr>
        <w:t>每一条进路回采结束后，采用全尾砂胶结充填料充填。</w:t>
      </w:r>
    </w:p>
    <w:p w14:paraId="46C13B8C">
      <w:pPr>
        <w:bidi w:val="0"/>
        <w:rPr>
          <w:rFonts w:hint="eastAsia"/>
          <w:color w:val="auto"/>
          <w:highlight w:val="none"/>
          <w:lang w:val="en-US" w:eastAsia="zh-CN"/>
        </w:rPr>
      </w:pPr>
      <w:r>
        <w:rPr>
          <w:rFonts w:hint="eastAsia"/>
          <w:color w:val="auto"/>
          <w:highlight w:val="none"/>
          <w:lang w:val="en-US" w:eastAsia="zh-CN"/>
        </w:rPr>
        <w:t>（5）下向进路胶结充填采矿法（切割法）</w:t>
      </w:r>
    </w:p>
    <w:p w14:paraId="6E22790B">
      <w:pPr>
        <w:bidi w:val="0"/>
        <w:rPr>
          <w:rFonts w:hint="eastAsia"/>
          <w:color w:val="auto"/>
          <w:highlight w:val="none"/>
          <w:lang w:val="en-US" w:eastAsia="zh-CN"/>
        </w:rPr>
      </w:pPr>
      <w:r>
        <w:rPr>
          <w:rFonts w:hint="eastAsia"/>
          <w:color w:val="auto"/>
          <w:highlight w:val="none"/>
          <w:lang w:val="en-US" w:eastAsia="zh-CN"/>
        </w:rPr>
        <w:t>适用于矿岩极不稳固的地段。采场沿走向布置，长度60m，中段高度50m，分段高度12.5m，相邻采场之间留2m厚的间柱。分层联络道布置在采场端部位置。每个采场长度约60m，采场内沿矿体走向布置进路，每条进路回采宽度为4m，进路回采高度为4m，控顶高度为4m。采用悬臂掘进机切割矿体，由采场一端的分层联络道进入采场。回采顺序为从采场一端向另一端推进，一个分层回采完毕后，对空区进行充填，待充填体满足强度要求后，开始转入下一个分层的回采作业。采用悬臂掘进机切割矿体，由采场一端的分层联络道进入采场。切割的矿石由悬臂掘进机后部的铲板装入载重20t（型号为UQ-20或相同规格）的坑内卡车上，沿分层联络道、分段巷道运到采区溜井。每台悬臂掘进机配套2台坑内卡车。溜井口设格筛和车挡。新鲜风流经分段巷道、分层联络道进入采场，清洗工作面后污风从顺路充填回风天井进入上中段回风系统。悬臂掘进机自带喷雾降尘系统，可控制工作面的粉尘。另外随着工作面的推进，需要在采场顶板架设局扇和风筒加强通风，压入新鲜风流使工作面有贯穿风流。进路回采结束后，采用高强度的全尾砂胶结充填，要求充填体28天强度不低于4.0MPa。在充填前需要封闭采空区，架设滤水挡墙，并架设溢流滤水管、敷设钢筋和留出泄水口排出溢流水。</w:t>
      </w:r>
    </w:p>
    <w:p w14:paraId="6723F38B">
      <w:pPr>
        <w:bidi w:val="0"/>
        <w:rPr>
          <w:rFonts w:hint="eastAsia"/>
          <w:color w:val="auto"/>
          <w:highlight w:val="none"/>
          <w:lang w:val="en-US" w:eastAsia="zh-CN"/>
        </w:rPr>
      </w:pPr>
      <w:r>
        <w:rPr>
          <w:rFonts w:hint="eastAsia"/>
          <w:color w:val="auto"/>
          <w:highlight w:val="none"/>
          <w:lang w:val="en-US" w:eastAsia="zh-CN"/>
        </w:rPr>
        <w:t>（6）下向进路胶结充填采矿法（钻爆法）</w:t>
      </w:r>
    </w:p>
    <w:p w14:paraId="35224FAB">
      <w:pPr>
        <w:bidi w:val="0"/>
        <w:rPr>
          <w:color w:val="auto"/>
          <w:highlight w:val="none"/>
        </w:rPr>
      </w:pPr>
      <w:r>
        <w:rPr>
          <w:rFonts w:hint="eastAsia"/>
          <w:color w:val="auto"/>
          <w:highlight w:val="none"/>
          <w:lang w:val="en-US" w:eastAsia="zh-CN"/>
        </w:rPr>
        <w:t>采场沿走向布置，长度60m，进路宽度4m，进路高度4m，分段高度12.5m，中段高度50m。采用浅孔凿岩台车钻凿水平孔，炮孔直径φ42mm，炮孔深度3.6m～4.2m。崩矿孔深为3m，最小抵抗线为0.8m～1m，孔间距为1m～1.2m。采用卷状乳化炸药，人工装药，楔形掏槽，数码电子雷管起爆。</w:t>
      </w:r>
    </w:p>
    <w:p w14:paraId="5BAA0CAE">
      <w:pPr>
        <w:bidi w:val="0"/>
        <w:rPr>
          <w:color w:val="auto"/>
          <w:highlight w:val="none"/>
        </w:rPr>
      </w:pPr>
      <w:r>
        <w:rPr>
          <w:color w:val="auto"/>
          <w:highlight w:val="none"/>
          <w:lang w:val="en-US" w:eastAsia="zh-CN"/>
        </w:rPr>
        <w:t>出矿</w:t>
      </w:r>
      <w:r>
        <w:rPr>
          <w:rFonts w:hint="eastAsia"/>
          <w:color w:val="auto"/>
          <w:highlight w:val="none"/>
          <w:lang w:val="en-US" w:eastAsia="zh-CN"/>
        </w:rPr>
        <w:t>采用</w:t>
      </w:r>
      <w:r>
        <w:rPr>
          <w:color w:val="auto"/>
          <w:highlight w:val="none"/>
          <w:lang w:val="en-US" w:eastAsia="zh-CN"/>
        </w:rPr>
        <w:t>载重7t（WJ-3型或相同规格）的柴油铲运机出矿，铲出的</w:t>
      </w:r>
      <w:r>
        <w:rPr>
          <w:rFonts w:hint="eastAsia"/>
          <w:color w:val="auto"/>
          <w:highlight w:val="none"/>
          <w:lang w:val="en-US" w:eastAsia="zh-CN"/>
        </w:rPr>
        <w:t>矿石直接运至采场外的矿石溜井。每次爆破落矿后，新鲜风流从分段巷道和分层联络道进入采矿作业面，冲洗作业面后，经人行充填回风天井进入上部的充填回风巷道，最后经总回风道进入回风井被排出地表。进路回采结束后，采用高强度的全尾砂胶结充填，要求充填体28天强度不低于4.0MPa。在充填前需要封闭采空区，架设滤水挡墙，并架设溢流滤水管、敷设钢筋和留出泄水口排出溢流水。</w:t>
      </w:r>
    </w:p>
    <w:p w14:paraId="559E2800">
      <w:pPr>
        <w:pStyle w:val="7"/>
        <w:bidi w:val="0"/>
        <w:rPr>
          <w:color w:val="auto"/>
          <w:highlight w:val="none"/>
        </w:rPr>
      </w:pPr>
      <w:r>
        <w:rPr>
          <w:rFonts w:hint="eastAsia"/>
          <w:color w:val="auto"/>
          <w:highlight w:val="none"/>
          <w:lang w:val="en-US" w:eastAsia="zh-CN"/>
        </w:rPr>
        <w:t>3.2.1.4</w:t>
      </w:r>
      <w:r>
        <w:rPr>
          <w:color w:val="auto"/>
          <w:highlight w:val="none"/>
          <w:lang w:val="en-US" w:eastAsia="zh-CN"/>
        </w:rPr>
        <w:t>开拓运输系统</w:t>
      </w:r>
    </w:p>
    <w:p w14:paraId="4F7FC5AB">
      <w:pPr>
        <w:bidi w:val="0"/>
        <w:rPr>
          <w:rFonts w:hint="eastAsia"/>
          <w:color w:val="auto"/>
          <w:highlight w:val="none"/>
          <w:lang w:val="en-US" w:eastAsia="zh-CN"/>
        </w:rPr>
      </w:pPr>
      <w:r>
        <w:rPr>
          <w:color w:val="auto"/>
          <w:highlight w:val="none"/>
          <w:lang w:val="en-US" w:eastAsia="zh-CN"/>
        </w:rPr>
        <w:t>采用“胶带斜井+辅助斜坡</w:t>
      </w:r>
      <w:r>
        <w:rPr>
          <w:rFonts w:hint="eastAsia"/>
          <w:color w:val="auto"/>
          <w:highlight w:val="none"/>
          <w:lang w:val="en-US" w:eastAsia="zh-CN"/>
        </w:rPr>
        <w:t>道开拓”的方案。</w:t>
      </w:r>
    </w:p>
    <w:p w14:paraId="4421C37F">
      <w:pPr>
        <w:bidi w:val="0"/>
        <w:rPr>
          <w:rFonts w:hint="eastAsia"/>
          <w:color w:val="auto"/>
          <w:highlight w:val="none"/>
          <w:lang w:val="en-US" w:eastAsia="zh-CN"/>
        </w:rPr>
      </w:pPr>
      <w:r>
        <w:rPr>
          <w:rFonts w:hint="eastAsia"/>
          <w:color w:val="auto"/>
          <w:highlight w:val="none"/>
          <w:lang w:val="en-US" w:eastAsia="zh-CN"/>
        </w:rPr>
        <w:t>（1）一期开拓运输系统</w:t>
      </w:r>
    </w:p>
    <w:p w14:paraId="04155000">
      <w:pPr>
        <w:bidi w:val="0"/>
        <w:rPr>
          <w:color w:val="auto"/>
          <w:highlight w:val="none"/>
        </w:rPr>
      </w:pPr>
      <w:r>
        <w:rPr>
          <w:rFonts w:hint="eastAsia"/>
          <w:color w:val="auto"/>
          <w:highlight w:val="none"/>
          <w:lang w:val="en-US" w:eastAsia="zh-CN"/>
        </w:rPr>
        <w:t>一期生产规模为4000t/d。采用胶带斜井+辅助斜坡道开拓，新建胶带斜井（BC1）、辅助斜坡道、进风井、东回风井和西回风井。矿石和废石由胶带斜井提升到地表，人员、材料和设备由辅助斜坡道运输。BC1胶带斜井硐口标高为3010m，尾部硐室标高为2846m，斜长为701m，角度13.65°。胶带斜井净断面为3.5m×3.0m（宽×高）。井下不设集中破碎站。BC1胶带斜井用于运输矿石和废石，矿、废石共用一条胶带，分时段运输。胶带斜井运输系统设计运输能力为400t/h。地表设转运胶带。矿、废石提升至地表后，转载至转运胶带上，再运至选厂矿石原矿仓。矿石原矿仓附近设废石仓，废石运至选厂矿石原矿仓仓顶后，通过分配胶带运至废石仓内。废石仓长10，宽10m，仓顶高18m，仓底离地面高6.5m。仓底设两台悬吊式振动放矿机向卡车装料，将废石运至废石堆场。辅助斜坡道用于运输人员、材料和设备，兼作进风通道，为全矿主要的安全出口。辅助斜坡道硐口位于矿体下盘、8线～12线之间。斜坡道硐口标高为2995m，服务至2850m的长度为1400m。进风井位于矿体下盘、12线～16线之间。进风井井口标高2995m，</w:t>
      </w:r>
    </w:p>
    <w:p w14:paraId="2BB6B0D8">
      <w:pPr>
        <w:bidi w:val="0"/>
        <w:rPr>
          <w:rFonts w:hint="eastAsia"/>
          <w:color w:val="auto"/>
          <w:highlight w:val="none"/>
          <w:lang w:val="en-US" w:eastAsia="zh-CN"/>
        </w:rPr>
      </w:pPr>
      <w:r>
        <w:rPr>
          <w:color w:val="auto"/>
          <w:highlight w:val="none"/>
          <w:lang w:val="en-US" w:eastAsia="zh-CN"/>
        </w:rPr>
        <w:t>井底标高2850m，井深145m，井筒净直径为φ5.5m。</w:t>
      </w:r>
      <w:r>
        <w:rPr>
          <w:rFonts w:hint="eastAsia"/>
          <w:color w:val="auto"/>
          <w:highlight w:val="none"/>
          <w:lang w:val="en-US" w:eastAsia="zh-CN"/>
        </w:rPr>
        <w:t>东回风井位于矿体下盘、42线～50线之间。井口标高3033m，井底标高2900m，井深133m，井筒净直径为φ3.7m。西回风井位于矿体下盘、15线附近。井口标高2980m，井底标高2850m，井深130m，井直径为φ3.7m。</w:t>
      </w:r>
    </w:p>
    <w:p w14:paraId="74E6C132">
      <w:pPr>
        <w:bidi w:val="0"/>
        <w:rPr>
          <w:rFonts w:hint="eastAsia"/>
          <w:color w:val="auto"/>
          <w:highlight w:val="none"/>
          <w:lang w:val="en-US" w:eastAsia="zh-CN"/>
        </w:rPr>
      </w:pPr>
      <w:r>
        <w:rPr>
          <w:rFonts w:hint="eastAsia"/>
          <w:color w:val="auto"/>
          <w:highlight w:val="none"/>
          <w:lang w:val="en-US" w:eastAsia="zh-CN"/>
        </w:rPr>
        <w:t>（2）二期开拓运输系统</w:t>
      </w:r>
    </w:p>
    <w:p w14:paraId="312EF25A">
      <w:pPr>
        <w:bidi w:val="0"/>
        <w:rPr>
          <w:rFonts w:hint="eastAsia"/>
          <w:color w:val="auto"/>
          <w:highlight w:val="none"/>
          <w:lang w:val="en-US" w:eastAsia="zh-CN"/>
        </w:rPr>
      </w:pPr>
      <w:r>
        <w:rPr>
          <w:rFonts w:hint="eastAsia"/>
          <w:color w:val="auto"/>
          <w:highlight w:val="none"/>
          <w:lang w:val="en-US" w:eastAsia="zh-CN"/>
        </w:rPr>
        <w:t>二期工程开采2900m以下矿体，新建两段胶带斜井（BC2和BC3），服务至2600m水平，与BC1胶带斜井接力提运矿石和废石到地表。胶带斜井运输矿石、废石，分时运输。将辅助斜坡道向下延伸，并新建1条盲进风井和2条盲回风井。BC2胶带斜井长度499m，倾角13.91°，头部标高2857m，尾部标高2745m。胶带斜井净断面为3.5m×3.0m（宽×高）。BC3胶带斜井长度834m，倾角13.14°，头部标高2748m，尾部标高2546m。胶带斜井净断面为3.5m×3.0m（宽×高）。辅助斜坡道由2850m延伸到2550m，用于运输人员、材料和设备，兼作进风通道，为全矿主要的安全出口。辅助斜坡道延伸长度为2680m。开采2550m以下矿石时，斜坡道继续向下延伸到2450m水平，作为矿石、废石、人员、材料和设备运输通道。二期新建盲进风井，盲进风井位于矿体下盘、16线附近。井口标高2850m，井底标高2450m，井深400m，盲进风井井筒净直径为φ5.5m。1#盲回风井位于矿体下盘、15线附近。井口标高2850m，井底标高2700m，深150m，井筒净直径为φ3.7m。2#盲回风井位于矿体下盘、42线～50线之间。井口标高2900m，井底标高2450m，深450m，井筒净直径为φ3.7m。</w:t>
      </w:r>
    </w:p>
    <w:p w14:paraId="56530536">
      <w:pPr>
        <w:bidi w:val="0"/>
        <w:rPr>
          <w:rFonts w:hint="eastAsia"/>
          <w:color w:val="auto"/>
          <w:highlight w:val="none"/>
          <w:lang w:val="en-US" w:eastAsia="zh-CN"/>
        </w:rPr>
      </w:pPr>
      <w:r>
        <w:rPr>
          <w:rFonts w:hint="eastAsia"/>
          <w:color w:val="auto"/>
          <w:highlight w:val="none"/>
          <w:lang w:val="en-US" w:eastAsia="zh-CN"/>
        </w:rPr>
        <w:t>（3）中段布置</w:t>
      </w:r>
    </w:p>
    <w:p w14:paraId="5A84798F">
      <w:pPr>
        <w:bidi w:val="0"/>
        <w:rPr>
          <w:color w:val="auto"/>
          <w:highlight w:val="none"/>
        </w:rPr>
      </w:pPr>
      <w:r>
        <w:rPr>
          <w:rFonts w:hint="eastAsia"/>
          <w:color w:val="auto"/>
          <w:highlight w:val="none"/>
          <w:lang w:val="en-US" w:eastAsia="zh-CN"/>
        </w:rPr>
        <w:t>中段高度为50m。一期工程设3100m、3050m、3000m、2950m和2900m中段。3000m、2950m和2900m为有轨运输水平，上部3100m和3050m为无轨运输水平。中段与分段之间采用斜坡道（或采准斜坡道）相连。一期工程基建中段为2900m中段，设有2950m充填回风水平，2900m运输水平，均为有轨中段水平。</w:t>
      </w:r>
    </w:p>
    <w:p w14:paraId="66021EFC">
      <w:pPr>
        <w:bidi w:val="0"/>
        <w:rPr>
          <w:rFonts w:hint="eastAsia"/>
          <w:color w:val="auto"/>
          <w:highlight w:val="none"/>
          <w:lang w:val="en-US" w:eastAsia="zh-CN"/>
        </w:rPr>
      </w:pPr>
      <w:r>
        <w:rPr>
          <w:color w:val="auto"/>
          <w:highlight w:val="none"/>
          <w:lang w:val="en-US" w:eastAsia="zh-CN"/>
        </w:rPr>
        <w:t>二期工程设2850m、2800m、2750m、2700m、2650m、2600m、2550m、</w:t>
      </w:r>
      <w:r>
        <w:rPr>
          <w:rFonts w:hint="eastAsia"/>
          <w:color w:val="auto"/>
          <w:highlight w:val="none"/>
          <w:lang w:val="en-US" w:eastAsia="zh-CN"/>
        </w:rPr>
        <w:t>2500m和2450m中段。二期工程首采中段为2700m，2750m为充填回风水平，2700m为有轨运输水平。二期2600m及以上为有轨运输水平，深部2550m、2500m和2450m为无轨运输水平。</w:t>
      </w:r>
    </w:p>
    <w:p w14:paraId="221E1ACA">
      <w:pPr>
        <w:bidi w:val="0"/>
        <w:rPr>
          <w:rFonts w:hint="eastAsia"/>
          <w:color w:val="auto"/>
          <w:highlight w:val="none"/>
          <w:lang w:val="en-US" w:eastAsia="zh-CN"/>
        </w:rPr>
      </w:pPr>
      <w:r>
        <w:rPr>
          <w:rFonts w:hint="eastAsia"/>
          <w:color w:val="auto"/>
          <w:highlight w:val="none"/>
          <w:lang w:val="en-US" w:eastAsia="zh-CN"/>
        </w:rPr>
        <w:t>（4）坑内运输</w:t>
      </w:r>
    </w:p>
    <w:p w14:paraId="250C169A">
      <w:pPr>
        <w:bidi w:val="0"/>
        <w:rPr>
          <w:color w:val="auto"/>
          <w:highlight w:val="none"/>
        </w:rPr>
      </w:pPr>
      <w:r>
        <w:rPr>
          <w:rFonts w:hint="eastAsia"/>
          <w:color w:val="auto"/>
          <w:highlight w:val="none"/>
          <w:lang w:val="en-US" w:eastAsia="zh-CN"/>
        </w:rPr>
        <w:t>一期开采2900m以上矿体，首采2900m中段。2950m和2900m中段均设有轨运输，将本中段的矿、废石运输至矿、废石主溜井。3000m有轨运输中段负责3000m以上的矿、废石的集中运输，将矿、废石运至矿、废石主溜井。二期开采2900m以下矿体，坑内各中段均采用有轨运输方式，首采2700m中段，单中段生产。各中段矿石运输任务4000t/d，废石运输任务1250t/d，采出矿石块度≤350mm。一期有轨运输中段平均运输距离1100m，二期各中段平均运输距离1400m。</w:t>
      </w:r>
    </w:p>
    <w:p w14:paraId="781A44E4">
      <w:pPr>
        <w:pStyle w:val="7"/>
        <w:bidi w:val="0"/>
        <w:rPr>
          <w:color w:val="auto"/>
          <w:highlight w:val="none"/>
          <w:lang w:val="en-US" w:eastAsia="zh-CN"/>
        </w:rPr>
      </w:pPr>
      <w:r>
        <w:rPr>
          <w:rFonts w:hint="eastAsia"/>
          <w:color w:val="auto"/>
          <w:highlight w:val="none"/>
          <w:lang w:val="en-US" w:eastAsia="zh-CN"/>
        </w:rPr>
        <w:t>3.2.1.5</w:t>
      </w:r>
      <w:r>
        <w:rPr>
          <w:color w:val="auto"/>
          <w:highlight w:val="none"/>
          <w:lang w:val="en-US" w:eastAsia="zh-CN"/>
        </w:rPr>
        <w:t>充填系统</w:t>
      </w:r>
    </w:p>
    <w:p w14:paraId="26641222">
      <w:pPr>
        <w:bidi w:val="0"/>
        <w:rPr>
          <w:rFonts w:hint="eastAsia" w:eastAsia="宋体"/>
          <w:color w:val="auto"/>
          <w:highlight w:val="none"/>
          <w:lang w:eastAsia="zh-CN"/>
        </w:rPr>
      </w:pPr>
      <w:r>
        <w:rPr>
          <w:rFonts w:hint="eastAsia"/>
          <w:color w:val="auto"/>
          <w:highlight w:val="none"/>
          <w:lang w:val="en-US" w:eastAsia="zh-CN"/>
        </w:rPr>
        <w:t>本次设计采用全尾砂高浓度充填，充填骨料采用选矿厂产生的全尾砂，固结剂采用425#普通硅酸盐水泥。充填料浆质量浓度暂定为64%～72%。一期设4个充填钻孔，2用2备，由地表2995m到达2950m中段，为2900m中段服务。二期设4个充填钻孔，2用2备，由2950m到达2750m中段，为2700m中段服务</w:t>
      </w:r>
      <w:r>
        <w:rPr>
          <w:rFonts w:hint="eastAsia"/>
          <w:color w:val="auto"/>
          <w:highlight w:val="none"/>
          <w:lang w:eastAsia="zh-CN"/>
        </w:rPr>
        <w:t>。</w:t>
      </w:r>
    </w:p>
    <w:p w14:paraId="03331837">
      <w:pPr>
        <w:pStyle w:val="7"/>
        <w:bidi w:val="0"/>
        <w:rPr>
          <w:color w:val="auto"/>
          <w:highlight w:val="none"/>
          <w:lang w:val="en-US" w:eastAsia="zh-CN"/>
        </w:rPr>
      </w:pPr>
      <w:r>
        <w:rPr>
          <w:rFonts w:hint="eastAsia"/>
          <w:color w:val="auto"/>
          <w:highlight w:val="none"/>
          <w:lang w:val="en-US" w:eastAsia="zh-CN"/>
        </w:rPr>
        <w:t>3.2.1.6</w:t>
      </w:r>
      <w:r>
        <w:rPr>
          <w:color w:val="auto"/>
          <w:highlight w:val="none"/>
          <w:lang w:val="en-US" w:eastAsia="zh-CN"/>
        </w:rPr>
        <w:t>通风系统</w:t>
      </w:r>
    </w:p>
    <w:p w14:paraId="793999EA">
      <w:pPr>
        <w:bidi w:val="0"/>
        <w:rPr>
          <w:color w:val="auto"/>
          <w:highlight w:val="none"/>
        </w:rPr>
      </w:pPr>
      <w:r>
        <w:rPr>
          <w:rFonts w:hint="eastAsia"/>
          <w:color w:val="auto"/>
          <w:highlight w:val="none"/>
          <w:lang w:val="en-US" w:eastAsia="zh-CN"/>
        </w:rPr>
        <w:t>采用进风井和辅助斜坡道进风，东回风井和西回风井回风的中央两翼式通风方式，抽出式通风，主通风机安装在地表东回风井和西回风井井口。一部分新鲜风流由进风井进入，通过2950m、2900m和2850m中段石门巷道、分段进风天井、无轨和有轨运输中段进入各分段，再由联络道到达各用风点。另一部分新鲜风流由辅助斜坡道进入井下，经联络道进入中段、分段巷道，用风点。新鲜风流冲洗工作面后，污风经采场回风天井、上中段回风道、两翼的东回风井和西回风井回风排到地表。</w:t>
      </w:r>
    </w:p>
    <w:p w14:paraId="1F48F241">
      <w:pPr>
        <w:bidi w:val="0"/>
        <w:rPr>
          <w:color w:val="auto"/>
          <w:highlight w:val="none"/>
        </w:rPr>
      </w:pPr>
      <w:r>
        <w:rPr>
          <w:color w:val="auto"/>
          <w:highlight w:val="none"/>
          <w:lang w:val="en-US" w:eastAsia="zh-CN"/>
        </w:rPr>
        <w:t>卸载站的新鲜风流来自本中段的贯穿风流，污风由回风天井或联</w:t>
      </w:r>
      <w:r>
        <w:rPr>
          <w:rFonts w:hint="eastAsia"/>
          <w:color w:val="auto"/>
          <w:highlight w:val="none"/>
          <w:lang w:val="en-US" w:eastAsia="zh-CN"/>
        </w:rPr>
        <w:t>络道回到回风井。装矿胶带的新鲜风流主要来自胶带斜井，经尾部的回风天井到达回风中段。风流无法到达或风速较小时，需采用局扇加强通风。深部二期采用接力通风，新建盲进风井、接力回风井。采区总通风量为260m</w:t>
      </w:r>
      <w:r>
        <w:rPr>
          <w:rFonts w:hint="eastAsia"/>
          <w:color w:val="auto"/>
          <w:highlight w:val="none"/>
          <w:vertAlign w:val="superscript"/>
          <w:lang w:val="en-US" w:eastAsia="zh-CN"/>
        </w:rPr>
        <w:t>3</w:t>
      </w:r>
      <w:r>
        <w:rPr>
          <w:rFonts w:hint="eastAsia"/>
          <w:color w:val="auto"/>
          <w:highlight w:val="none"/>
          <w:lang w:val="en-US" w:eastAsia="zh-CN"/>
        </w:rPr>
        <w:t>/s。</w:t>
      </w:r>
    </w:p>
    <w:p w14:paraId="1BDAECAF">
      <w:pPr>
        <w:pStyle w:val="7"/>
        <w:bidi w:val="0"/>
        <w:rPr>
          <w:color w:val="auto"/>
          <w:highlight w:val="none"/>
          <w:lang w:val="en-US" w:eastAsia="zh-CN"/>
        </w:rPr>
      </w:pPr>
      <w:r>
        <w:rPr>
          <w:rFonts w:hint="eastAsia"/>
          <w:color w:val="auto"/>
          <w:highlight w:val="none"/>
          <w:lang w:val="en-US" w:eastAsia="zh-CN"/>
        </w:rPr>
        <w:t>3.2.1.7</w:t>
      </w:r>
      <w:r>
        <w:rPr>
          <w:color w:val="auto"/>
          <w:highlight w:val="none"/>
          <w:lang w:val="en-US" w:eastAsia="zh-CN"/>
        </w:rPr>
        <w:t>井下排水与排泥系统</w:t>
      </w:r>
    </w:p>
    <w:p w14:paraId="0E83FCCB">
      <w:pPr>
        <w:bidi w:val="0"/>
        <w:rPr>
          <w:rFonts w:hint="eastAsia"/>
          <w:color w:val="auto"/>
          <w:highlight w:val="none"/>
          <w:lang w:val="en-US" w:eastAsia="zh-CN"/>
        </w:rPr>
      </w:pPr>
      <w:r>
        <w:rPr>
          <w:rFonts w:hint="eastAsia"/>
          <w:color w:val="auto"/>
          <w:highlight w:val="none"/>
          <w:lang w:val="en-US" w:eastAsia="zh-CN"/>
        </w:rPr>
        <w:t>（1）井下排水</w:t>
      </w:r>
    </w:p>
    <w:p w14:paraId="7AFDCB16">
      <w:pPr>
        <w:bidi w:val="0"/>
        <w:rPr>
          <w:rFonts w:hint="eastAsia"/>
          <w:color w:val="auto"/>
          <w:highlight w:val="none"/>
          <w:lang w:val="en-US" w:eastAsia="zh-CN"/>
        </w:rPr>
      </w:pPr>
      <w:r>
        <w:rPr>
          <w:rFonts w:hint="eastAsia"/>
          <w:color w:val="auto"/>
          <w:highlight w:val="none"/>
          <w:lang w:val="en-US" w:eastAsia="zh-CN"/>
        </w:rPr>
        <w:t>2900m中段正常涌水量550m</w:t>
      </w:r>
      <w:r>
        <w:rPr>
          <w:rFonts w:hint="eastAsia"/>
          <w:color w:val="auto"/>
          <w:highlight w:val="none"/>
          <w:vertAlign w:val="superscript"/>
          <w:lang w:val="en-US" w:eastAsia="zh-CN"/>
        </w:rPr>
        <w:t>3</w:t>
      </w:r>
      <w:r>
        <w:rPr>
          <w:rFonts w:hint="eastAsia"/>
          <w:color w:val="auto"/>
          <w:highlight w:val="none"/>
          <w:lang w:val="en-US" w:eastAsia="zh-CN"/>
        </w:rPr>
        <w:t>/d，最大涌水量1000m</w:t>
      </w:r>
      <w:r>
        <w:rPr>
          <w:rFonts w:hint="eastAsia"/>
          <w:color w:val="auto"/>
          <w:highlight w:val="none"/>
          <w:vertAlign w:val="superscript"/>
          <w:lang w:val="en-US" w:eastAsia="zh-CN"/>
        </w:rPr>
        <w:t>3</w:t>
      </w:r>
      <w:r>
        <w:rPr>
          <w:rFonts w:hint="eastAsia"/>
          <w:color w:val="auto"/>
          <w:highlight w:val="none"/>
          <w:lang w:val="en-US" w:eastAsia="zh-CN"/>
        </w:rPr>
        <w:t>/d；2550m中段正常涌水量4400m</w:t>
      </w:r>
      <w:r>
        <w:rPr>
          <w:rFonts w:hint="eastAsia"/>
          <w:color w:val="auto"/>
          <w:highlight w:val="none"/>
          <w:vertAlign w:val="superscript"/>
          <w:lang w:val="en-US" w:eastAsia="zh-CN"/>
        </w:rPr>
        <w:t>3</w:t>
      </w:r>
      <w:r>
        <w:rPr>
          <w:rFonts w:hint="eastAsia"/>
          <w:color w:val="auto"/>
          <w:highlight w:val="none"/>
          <w:lang w:val="en-US" w:eastAsia="zh-CN"/>
        </w:rPr>
        <w:t>/d，最大涌水量7900m</w:t>
      </w:r>
      <w:r>
        <w:rPr>
          <w:rFonts w:hint="eastAsia"/>
          <w:color w:val="auto"/>
          <w:highlight w:val="none"/>
          <w:vertAlign w:val="superscript"/>
          <w:lang w:val="en-US" w:eastAsia="zh-CN"/>
        </w:rPr>
        <w:t>3</w:t>
      </w:r>
      <w:r>
        <w:rPr>
          <w:rFonts w:hint="eastAsia"/>
          <w:color w:val="auto"/>
          <w:highlight w:val="none"/>
          <w:lang w:val="en-US" w:eastAsia="zh-CN"/>
        </w:rPr>
        <w:t>/d；2450m中段正常涌水量4900m</w:t>
      </w:r>
      <w:r>
        <w:rPr>
          <w:rFonts w:hint="eastAsia"/>
          <w:color w:val="auto"/>
          <w:highlight w:val="none"/>
          <w:vertAlign w:val="superscript"/>
          <w:lang w:val="en-US" w:eastAsia="zh-CN"/>
        </w:rPr>
        <w:t>3</w:t>
      </w:r>
      <w:r>
        <w:rPr>
          <w:rFonts w:hint="eastAsia"/>
          <w:color w:val="auto"/>
          <w:highlight w:val="none"/>
          <w:lang w:val="en-US" w:eastAsia="zh-CN"/>
        </w:rPr>
        <w:t>/d，最大涌水量8800m</w:t>
      </w:r>
      <w:r>
        <w:rPr>
          <w:rFonts w:hint="eastAsia"/>
          <w:color w:val="auto"/>
          <w:highlight w:val="none"/>
          <w:vertAlign w:val="superscript"/>
          <w:lang w:val="en-US" w:eastAsia="zh-CN"/>
        </w:rPr>
        <w:t>3</w:t>
      </w:r>
      <w:r>
        <w:rPr>
          <w:rFonts w:hint="eastAsia"/>
          <w:color w:val="auto"/>
          <w:highlight w:val="none"/>
          <w:lang w:val="en-US" w:eastAsia="zh-CN"/>
        </w:rPr>
        <w:t>/d。井下排水系统采用分期分阶段排水方式。一期开采2900m以上矿体，在进风井2850m马头门附近设一个排水泵站，2900m以上的涌水和生产回水沿进风井排至地表。二期开采2900m～2550m之间的矿体时，在盲进风井2550m马头门附近设一个排水泵站，涌水沿盲进风井、进风井排至地表，一期2850m排水泵站不再使用。二期开采2550m～2450m之间的矿体时，在盲进风井2450m中段马头门附近设一个排水泵站，与二期2550m排水泵站接力排水。</w:t>
      </w:r>
    </w:p>
    <w:p w14:paraId="3CD140BC">
      <w:pPr>
        <w:bidi w:val="0"/>
        <w:rPr>
          <w:rFonts w:hint="eastAsia"/>
          <w:color w:val="auto"/>
          <w:highlight w:val="none"/>
          <w:lang w:val="en-US" w:eastAsia="zh-CN"/>
        </w:rPr>
      </w:pPr>
      <w:r>
        <w:rPr>
          <w:rFonts w:hint="eastAsia"/>
          <w:color w:val="auto"/>
          <w:highlight w:val="none"/>
          <w:lang w:val="en-US" w:eastAsia="zh-CN"/>
        </w:rPr>
        <w:t>（2）井下排泥</w:t>
      </w:r>
    </w:p>
    <w:p w14:paraId="39C9D620">
      <w:pPr>
        <w:bidi w:val="0"/>
        <w:rPr>
          <w:color w:val="auto"/>
          <w:highlight w:val="none"/>
        </w:rPr>
      </w:pPr>
      <w:r>
        <w:rPr>
          <w:rFonts w:hint="eastAsia"/>
          <w:color w:val="auto"/>
          <w:highlight w:val="none"/>
          <w:lang w:val="en-US" w:eastAsia="zh-CN"/>
        </w:rPr>
        <w:t>一期在2850m泵房水仓附近设排泥硐室，硐室内设清仓机1套，在水仓前设置沉淀池，沉淀池和水仓内积泥由清仓机定期压滤制成滤饼后，由无轨卡车通过斜坡道运至井下采空区充填。二期在2550m和2450m泵房水仓附近分别设排泥硐室，硐室内设清仓机1套，在水仓前设置沉淀池，沉淀池和水仓内积泥由清仓机定期压滤制成滤饼后，由无轨卡车通过斜坡道运至井下采空区充填。</w:t>
      </w:r>
    </w:p>
    <w:p w14:paraId="25FEBCA4">
      <w:pPr>
        <w:pStyle w:val="7"/>
        <w:bidi w:val="0"/>
        <w:rPr>
          <w:color w:val="auto"/>
          <w:highlight w:val="none"/>
        </w:rPr>
      </w:pPr>
      <w:r>
        <w:rPr>
          <w:rFonts w:hint="eastAsia"/>
          <w:color w:val="auto"/>
          <w:highlight w:val="none"/>
          <w:lang w:val="en-US" w:eastAsia="zh-CN"/>
        </w:rPr>
        <w:t>3.2.1.8</w:t>
      </w:r>
      <w:r>
        <w:rPr>
          <w:color w:val="auto"/>
          <w:highlight w:val="none"/>
          <w:lang w:val="en-US" w:eastAsia="zh-CN"/>
        </w:rPr>
        <w:t>压风及供水系统</w:t>
      </w:r>
    </w:p>
    <w:p w14:paraId="7BF3EFDD">
      <w:pPr>
        <w:bidi w:val="0"/>
        <w:rPr>
          <w:color w:val="auto"/>
          <w:highlight w:val="none"/>
          <w:lang w:val="en-US" w:eastAsia="zh-CN"/>
        </w:rPr>
      </w:pPr>
      <w:r>
        <w:rPr>
          <w:color w:val="auto"/>
          <w:highlight w:val="none"/>
          <w:lang w:val="en-US" w:eastAsia="zh-CN"/>
        </w:rPr>
        <w:t>（1）压气设施</w:t>
      </w:r>
    </w:p>
    <w:p w14:paraId="3216E9AE">
      <w:pPr>
        <w:bidi w:val="0"/>
        <w:rPr>
          <w:rFonts w:hint="eastAsia"/>
          <w:color w:val="auto"/>
          <w:highlight w:val="none"/>
          <w:lang w:val="en-US" w:eastAsia="zh-CN"/>
        </w:rPr>
      </w:pPr>
      <w:r>
        <w:rPr>
          <w:rFonts w:hint="eastAsia"/>
          <w:color w:val="auto"/>
          <w:highlight w:val="none"/>
          <w:lang w:val="en-US" w:eastAsia="zh-CN"/>
        </w:rPr>
        <w:t>井下采矿生产用风采用集中供风方式，在地表采矿工业场地设空压机站，负责井下各中段采场用风。地表空气压缩机站是井下压风自救的供气源。压风自救主供气管</w:t>
      </w:r>
      <w:r>
        <w:rPr>
          <w:color w:val="auto"/>
          <w:highlight w:val="none"/>
          <w:lang w:val="en-US" w:eastAsia="zh-CN"/>
        </w:rPr>
        <w:t>路与生产用风管路共用。压气管路从相应中段马头门接出，沿主巷道</w:t>
      </w:r>
      <w:r>
        <w:rPr>
          <w:rFonts w:hint="eastAsia"/>
          <w:color w:val="auto"/>
          <w:highlight w:val="none"/>
          <w:lang w:val="en-US" w:eastAsia="zh-CN"/>
        </w:rPr>
        <w:t>敷设，接至各压风自救用气点。</w:t>
      </w:r>
    </w:p>
    <w:p w14:paraId="1DF51F33">
      <w:pPr>
        <w:bidi w:val="0"/>
        <w:rPr>
          <w:rFonts w:hint="eastAsia"/>
          <w:color w:val="auto"/>
          <w:highlight w:val="none"/>
          <w:lang w:val="en-US" w:eastAsia="zh-CN"/>
        </w:rPr>
      </w:pPr>
      <w:r>
        <w:rPr>
          <w:rFonts w:hint="eastAsia"/>
          <w:color w:val="auto"/>
          <w:highlight w:val="none"/>
          <w:lang w:val="en-US" w:eastAsia="zh-CN"/>
        </w:rPr>
        <w:t>（2）井下供水</w:t>
      </w:r>
    </w:p>
    <w:p w14:paraId="7436C669">
      <w:pPr>
        <w:bidi w:val="0"/>
        <w:rPr>
          <w:color w:val="auto"/>
          <w:highlight w:val="none"/>
        </w:rPr>
      </w:pPr>
      <w:r>
        <w:rPr>
          <w:rFonts w:hint="eastAsia"/>
          <w:color w:val="auto"/>
          <w:highlight w:val="none"/>
          <w:lang w:val="en-US" w:eastAsia="zh-CN"/>
        </w:rPr>
        <w:t>坑内采矿生产耗水量为1440m</w:t>
      </w:r>
      <w:r>
        <w:rPr>
          <w:rFonts w:hint="eastAsia"/>
          <w:color w:val="auto"/>
          <w:highlight w:val="none"/>
          <w:vertAlign w:val="superscript"/>
          <w:lang w:val="en-US" w:eastAsia="zh-CN"/>
        </w:rPr>
        <w:t>3</w:t>
      </w:r>
      <w:r>
        <w:rPr>
          <w:rFonts w:hint="eastAsia"/>
          <w:color w:val="auto"/>
          <w:highlight w:val="none"/>
          <w:lang w:val="en-US" w:eastAsia="zh-CN"/>
        </w:rPr>
        <w:t>/d。主供水管沿辅助斜坡道进入各中段用水点。斜坡道内的生产供水管兼作消防水管。胶带斜井内敷设1条供水施救供水管，井下巷道设有供水施救管道，二期避灾硐室施救水管由巷道的供水施救供水管接入。</w:t>
      </w:r>
    </w:p>
    <w:p w14:paraId="7FD11297">
      <w:pPr>
        <w:pStyle w:val="7"/>
        <w:bidi w:val="0"/>
        <w:rPr>
          <w:color w:val="auto"/>
          <w:highlight w:val="none"/>
        </w:rPr>
      </w:pPr>
      <w:r>
        <w:rPr>
          <w:rFonts w:hint="eastAsia"/>
          <w:color w:val="auto"/>
          <w:highlight w:val="none"/>
          <w:lang w:val="en-US" w:eastAsia="zh-CN"/>
        </w:rPr>
        <w:t>3.2.1.9</w:t>
      </w:r>
      <w:r>
        <w:rPr>
          <w:color w:val="auto"/>
          <w:highlight w:val="none"/>
          <w:lang w:val="en-US" w:eastAsia="zh-CN"/>
        </w:rPr>
        <w:t>基建工程量、基建进度计划和采矿进度计划</w:t>
      </w:r>
    </w:p>
    <w:p w14:paraId="709A25CB">
      <w:pPr>
        <w:bidi w:val="0"/>
        <w:rPr>
          <w:color w:val="auto"/>
          <w:highlight w:val="none"/>
          <w:lang w:val="en-US" w:eastAsia="zh-CN"/>
        </w:rPr>
      </w:pPr>
      <w:r>
        <w:rPr>
          <w:color w:val="auto"/>
          <w:highlight w:val="none"/>
          <w:lang w:val="en-US" w:eastAsia="zh-CN"/>
        </w:rPr>
        <w:t>（1）基建工程量</w:t>
      </w:r>
    </w:p>
    <w:p w14:paraId="186708B1">
      <w:pPr>
        <w:bidi w:val="0"/>
        <w:rPr>
          <w:rFonts w:hint="eastAsia"/>
          <w:color w:val="auto"/>
          <w:highlight w:val="none"/>
          <w:lang w:val="en-US" w:eastAsia="zh-CN"/>
        </w:rPr>
      </w:pPr>
      <w:r>
        <w:rPr>
          <w:rFonts w:hint="eastAsia"/>
          <w:color w:val="auto"/>
          <w:highlight w:val="none"/>
          <w:lang w:val="en-US" w:eastAsia="zh-CN"/>
        </w:rPr>
        <w:t>一期基建工程主要包括：BC1胶带斜井、辅助斜坡道、进风井、西回风井、东回风井、2950m中段工程、2900m中段工程、无轨设备维修硐室、电机车维修硐室、水泵房及中央变电所、井底车场、采区变电所、牵引变电所、充填钻孔以及采切工程等，一期基建工程量约为35.5×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。二期基建工程主要包括：BC2胶带斜井、BC3胶带斜井、辅助斜坡道延伸、盲进风井、盲回风井、避灾硐室、水泵房及中央变电所，二期工程量约为30.5×10</w:t>
      </w:r>
      <w:r>
        <w:rPr>
          <w:rFonts w:hint="eastAsia"/>
          <w:color w:val="auto"/>
          <w:highlight w:val="none"/>
          <w:vertAlign w:val="superscript"/>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。二期工程于一期工程投产10年后开始基建。</w:t>
      </w:r>
    </w:p>
    <w:p w14:paraId="4FD0DAF8">
      <w:pPr>
        <w:bidi w:val="0"/>
        <w:rPr>
          <w:rFonts w:hint="eastAsia"/>
          <w:color w:val="auto"/>
          <w:highlight w:val="none"/>
          <w:lang w:val="en-US" w:eastAsia="zh-CN"/>
        </w:rPr>
      </w:pPr>
      <w:r>
        <w:rPr>
          <w:rFonts w:hint="eastAsia"/>
          <w:color w:val="auto"/>
          <w:highlight w:val="none"/>
          <w:lang w:val="en-US" w:eastAsia="zh-CN"/>
        </w:rPr>
        <w:t>（2）基建进度</w:t>
      </w:r>
    </w:p>
    <w:p w14:paraId="53C5A3EF">
      <w:pPr>
        <w:bidi w:val="0"/>
        <w:rPr>
          <w:rFonts w:hint="eastAsia"/>
          <w:color w:val="auto"/>
          <w:highlight w:val="none"/>
          <w:lang w:val="en-US" w:eastAsia="zh-CN"/>
        </w:rPr>
      </w:pPr>
      <w:r>
        <w:rPr>
          <w:rFonts w:hint="eastAsia"/>
          <w:color w:val="auto"/>
          <w:highlight w:val="none"/>
          <w:lang w:val="en-US" w:eastAsia="zh-CN"/>
        </w:rPr>
        <w:t>一期工程井下基建主要由辅助斜坡道、进风井、胶带斜井共同承担。施工时应优先贯通，形成两个安全出口，主要贯通线路为：</w:t>
      </w:r>
    </w:p>
    <w:p w14:paraId="1267FEF2">
      <w:pPr>
        <w:bidi w:val="0"/>
        <w:rPr>
          <w:rFonts w:hint="eastAsia"/>
          <w:color w:val="auto"/>
          <w:highlight w:val="none"/>
          <w:lang w:val="en-US" w:eastAsia="zh-CN"/>
        </w:rPr>
      </w:pPr>
      <w:r>
        <w:rPr>
          <w:rFonts w:hint="eastAsia"/>
          <w:color w:val="auto"/>
          <w:highlight w:val="none"/>
          <w:lang w:val="en-US" w:eastAsia="zh-CN"/>
        </w:rPr>
        <w:t>①施工胶带斜井和西回风井，再利用胶带斜井施工2850m水平下盘沿脉巷道和西回风井2850m水平石门，使胶带斜井和西回风井在2850m水平贯通，形成两个直通地表的出口；</w:t>
      </w:r>
    </w:p>
    <w:p w14:paraId="19D45E14">
      <w:pPr>
        <w:bidi w:val="0"/>
        <w:rPr>
          <w:color w:val="auto"/>
          <w:highlight w:val="none"/>
        </w:rPr>
      </w:pPr>
      <w:r>
        <w:rPr>
          <w:rFonts w:hint="eastAsia"/>
          <w:color w:val="auto"/>
          <w:highlight w:val="none"/>
          <w:lang w:val="en-US" w:eastAsia="zh-CN"/>
        </w:rPr>
        <w:t>②施工辅助斜坡道和东回风井，再利用辅助斜坡道施工2900m水平下盘沿脉巷道和西回风井2900m水平石门，使辅助斜坡道和东回风井在2900m水平贯通，形成两个直通地表的出口。胶带斜井和西回风井在2850m水平贯通后，在2850m水平建设排水系统和变电所。辅助斜坡道和东回风井在2900m水平贯通后，在2850m水平建设排水系统。</w:t>
      </w:r>
    </w:p>
    <w:p w14:paraId="4051B107">
      <w:pPr>
        <w:bidi w:val="0"/>
        <w:rPr>
          <w:rFonts w:hint="eastAsia"/>
          <w:color w:val="auto"/>
          <w:highlight w:val="none"/>
          <w:lang w:val="en-US" w:eastAsia="zh-CN"/>
        </w:rPr>
      </w:pPr>
      <w:r>
        <w:rPr>
          <w:color w:val="auto"/>
          <w:highlight w:val="none"/>
          <w:lang w:val="en-US" w:eastAsia="zh-CN"/>
        </w:rPr>
        <w:t>进风井掘砌到底后，施工2850m水平石门巷道与2850m水平下盘</w:t>
      </w:r>
      <w:r>
        <w:rPr>
          <w:rFonts w:hint="eastAsia"/>
          <w:color w:val="auto"/>
          <w:highlight w:val="none"/>
          <w:lang w:val="en-US" w:eastAsia="zh-CN"/>
        </w:rPr>
        <w:t>沿脉巷道贯通，再施工2850m水泵房及中央变电所。再利用辅助斜坡道、进风井施工2900m和2950m中段，利用BC1胶带斜井施工装矿胶带、溜井系统，利用辅助斜坡道施工采切工程等。</w:t>
      </w:r>
    </w:p>
    <w:p w14:paraId="4994A003">
      <w:pPr>
        <w:bidi w:val="0"/>
        <w:rPr>
          <w:rFonts w:hint="eastAsia"/>
          <w:color w:val="auto"/>
          <w:highlight w:val="none"/>
          <w:lang w:val="en-US" w:eastAsia="zh-CN"/>
        </w:rPr>
      </w:pPr>
      <w:r>
        <w:rPr>
          <w:rFonts w:hint="eastAsia"/>
          <w:color w:val="auto"/>
          <w:highlight w:val="none"/>
          <w:lang w:val="en-US" w:eastAsia="zh-CN"/>
        </w:rPr>
        <w:t>二期工程井下基建主要由辅助斜坡道、盲进风井、胶带斜井、1号盲回风井、2号盲回风井承担。主要线路为：</w:t>
      </w:r>
    </w:p>
    <w:p w14:paraId="531DDE3B">
      <w:pPr>
        <w:bidi w:val="0"/>
        <w:rPr>
          <w:rFonts w:hint="eastAsia"/>
          <w:color w:val="auto"/>
          <w:highlight w:val="none"/>
          <w:lang w:val="en-US" w:eastAsia="zh-CN"/>
        </w:rPr>
      </w:pPr>
      <w:r>
        <w:rPr>
          <w:rFonts w:hint="eastAsia"/>
          <w:color w:val="auto"/>
          <w:highlight w:val="none"/>
          <w:lang w:val="en-US" w:eastAsia="zh-CN"/>
        </w:rPr>
        <w:t>①掘砌盲进风井、1号盲回风井、2号盲回风井。</w:t>
      </w:r>
    </w:p>
    <w:p w14:paraId="469A604F">
      <w:pPr>
        <w:bidi w:val="0"/>
        <w:rPr>
          <w:rFonts w:hint="eastAsia"/>
          <w:color w:val="auto"/>
          <w:highlight w:val="none"/>
          <w:lang w:val="en-US" w:eastAsia="zh-CN"/>
        </w:rPr>
      </w:pPr>
      <w:r>
        <w:rPr>
          <w:rFonts w:hint="eastAsia"/>
          <w:color w:val="auto"/>
          <w:highlight w:val="none"/>
          <w:lang w:val="en-US" w:eastAsia="zh-CN"/>
        </w:rPr>
        <w:t>②盲进风井、2号盲回风井掘进到底后，立即施工2550m中段东部沿脉运输巷道，使2550m中段尽快贯通，再施工2550m水泵房及中央变电所，尽快形成通风、排水和供电系统。</w:t>
      </w:r>
    </w:p>
    <w:p w14:paraId="24AF69B6">
      <w:pPr>
        <w:bidi w:val="0"/>
        <w:rPr>
          <w:rFonts w:hint="eastAsia"/>
          <w:color w:val="auto"/>
          <w:highlight w:val="none"/>
          <w:lang w:val="en-US" w:eastAsia="zh-CN"/>
        </w:rPr>
      </w:pPr>
      <w:r>
        <w:rPr>
          <w:rFonts w:hint="eastAsia"/>
          <w:color w:val="auto"/>
          <w:highlight w:val="none"/>
          <w:lang w:val="en-US" w:eastAsia="zh-CN"/>
        </w:rPr>
        <w:t>③辅助斜坡道向下延伸到2550m水平。</w:t>
      </w:r>
    </w:p>
    <w:p w14:paraId="12D55D38">
      <w:pPr>
        <w:bidi w:val="0"/>
        <w:rPr>
          <w:rFonts w:hint="eastAsia"/>
          <w:color w:val="auto"/>
          <w:highlight w:val="none"/>
          <w:lang w:val="en-US" w:eastAsia="zh-CN"/>
        </w:rPr>
      </w:pPr>
      <w:r>
        <w:rPr>
          <w:rFonts w:hint="eastAsia"/>
          <w:color w:val="auto"/>
          <w:highlight w:val="none"/>
          <w:lang w:val="en-US" w:eastAsia="zh-CN"/>
        </w:rPr>
        <w:t>④从2850m向下施工BC2和BC3胶带斜井，从1号盲回风井的2750m水平掘进联络道与BC2和BC3胶带斜井贯通。</w:t>
      </w:r>
    </w:p>
    <w:p w14:paraId="60144C5F">
      <w:pPr>
        <w:bidi w:val="0"/>
        <w:rPr>
          <w:rFonts w:hint="eastAsia"/>
          <w:color w:val="auto"/>
          <w:highlight w:val="none"/>
          <w:lang w:val="en-US" w:eastAsia="zh-CN"/>
        </w:rPr>
      </w:pPr>
      <w:r>
        <w:rPr>
          <w:rFonts w:hint="eastAsia"/>
          <w:color w:val="auto"/>
          <w:highlight w:val="none"/>
          <w:lang w:val="en-US" w:eastAsia="zh-CN"/>
        </w:rPr>
        <w:t>⑤2550m中段贯通，并建成2550m水平的水泵房及中央变电所后，再利用辅助斜坡道施工2700m、2750m以及采切工程。二期基建时间暂定4年。</w:t>
      </w:r>
    </w:p>
    <w:p w14:paraId="2EDB2D51">
      <w:pPr>
        <w:bidi w:val="0"/>
        <w:rPr>
          <w:rFonts w:hint="eastAsia"/>
          <w:color w:val="auto"/>
          <w:highlight w:val="none"/>
          <w:lang w:val="en-US" w:eastAsia="zh-CN"/>
        </w:rPr>
      </w:pPr>
      <w:r>
        <w:rPr>
          <w:rFonts w:hint="eastAsia"/>
          <w:color w:val="auto"/>
          <w:highlight w:val="none"/>
          <w:lang w:val="en-US" w:eastAsia="zh-CN"/>
        </w:rPr>
        <w:t>（3）矿山生产进度计划</w:t>
      </w:r>
    </w:p>
    <w:p w14:paraId="646E1B1E">
      <w:pPr>
        <w:bidi w:val="0"/>
        <w:rPr>
          <w:color w:val="auto"/>
          <w:highlight w:val="none"/>
        </w:rPr>
      </w:pPr>
      <w:r>
        <w:rPr>
          <w:rFonts w:hint="eastAsia"/>
          <w:color w:val="auto"/>
          <w:highlight w:val="none"/>
          <w:lang w:val="en-US" w:eastAsia="zh-CN"/>
        </w:rPr>
        <w:t>一期和二期生产规模均为120×10</w:t>
      </w:r>
      <w:r>
        <w:rPr>
          <w:rFonts w:hint="eastAsia"/>
          <w:color w:val="auto"/>
          <w:highlight w:val="none"/>
          <w:vertAlign w:val="superscript"/>
          <w:lang w:val="en-US" w:eastAsia="zh-CN"/>
        </w:rPr>
        <w:t>4</w:t>
      </w:r>
      <w:r>
        <w:rPr>
          <w:rFonts w:hint="eastAsia"/>
          <w:color w:val="auto"/>
          <w:highlight w:val="none"/>
          <w:lang w:val="en-US" w:eastAsia="zh-CN"/>
        </w:rPr>
        <w:t>t/a，全矿服务年限41年。一期开采2900m以上，首采2900m中段，第1年生产规模为40×10</w:t>
      </w:r>
      <w:r>
        <w:rPr>
          <w:rFonts w:hint="eastAsia"/>
          <w:color w:val="auto"/>
          <w:highlight w:val="none"/>
          <w:vertAlign w:val="superscript"/>
          <w:lang w:val="en-US" w:eastAsia="zh-CN"/>
        </w:rPr>
        <w:t>4</w:t>
      </w:r>
      <w:r>
        <w:rPr>
          <w:rFonts w:hint="eastAsia"/>
          <w:color w:val="auto"/>
          <w:highlight w:val="none"/>
          <w:lang w:val="en-US" w:eastAsia="zh-CN"/>
        </w:rPr>
        <w:t>t/a，第2年生产规模为80×10</w:t>
      </w:r>
      <w:r>
        <w:rPr>
          <w:rFonts w:hint="eastAsia"/>
          <w:color w:val="auto"/>
          <w:highlight w:val="none"/>
          <w:vertAlign w:val="superscript"/>
          <w:lang w:val="en-US" w:eastAsia="zh-CN"/>
        </w:rPr>
        <w:t>4</w:t>
      </w:r>
      <w:r>
        <w:rPr>
          <w:rFonts w:hint="eastAsia"/>
          <w:color w:val="auto"/>
          <w:highlight w:val="none"/>
          <w:lang w:val="en-US" w:eastAsia="zh-CN"/>
        </w:rPr>
        <w:t>t/a，第3年生产规模达到120×10</w:t>
      </w:r>
      <w:r>
        <w:rPr>
          <w:rFonts w:hint="eastAsia"/>
          <w:color w:val="auto"/>
          <w:highlight w:val="none"/>
          <w:vertAlign w:val="superscript"/>
          <w:lang w:val="en-US" w:eastAsia="zh-CN"/>
        </w:rPr>
        <w:t>4</w:t>
      </w:r>
      <w:r>
        <w:rPr>
          <w:rFonts w:hint="eastAsia"/>
          <w:color w:val="auto"/>
          <w:highlight w:val="none"/>
          <w:lang w:val="en-US" w:eastAsia="zh-CN"/>
        </w:rPr>
        <w:t>t/a，一期服务15年。二期于第14年投产，接续一期生产，二期服务28年。全矿服务41年，其中达产期37年。</w:t>
      </w:r>
    </w:p>
    <w:p w14:paraId="7067892A">
      <w:pPr>
        <w:pStyle w:val="7"/>
        <w:bidi w:val="0"/>
        <w:rPr>
          <w:rFonts w:hint="eastAsia"/>
          <w:color w:val="auto"/>
          <w:highlight w:val="none"/>
          <w:lang w:val="en-US" w:eastAsia="zh-CN"/>
        </w:rPr>
      </w:pPr>
      <w:r>
        <w:rPr>
          <w:rFonts w:hint="eastAsia"/>
          <w:color w:val="auto"/>
          <w:highlight w:val="none"/>
          <w:lang w:val="en-US" w:eastAsia="zh-CN"/>
        </w:rPr>
        <w:t>3.2.1.10采矿工艺流程</w:t>
      </w:r>
    </w:p>
    <w:p w14:paraId="5ED21C3C">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本项目采矿生产工艺流程及排污节点详见下图。</w:t>
      </w:r>
    </w:p>
    <w:p w14:paraId="254F734A">
      <w:pPr>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038036A">
      <w:pPr>
        <w:bidi w:val="0"/>
        <w:spacing w:line="240" w:lineRule="auto"/>
        <w:ind w:left="0" w:leftChars="0" w:firstLine="0" w:firstLineChars="0"/>
        <w:jc w:val="center"/>
        <w:rPr>
          <w:color w:val="auto"/>
          <w:highlight w:val="none"/>
        </w:rPr>
      </w:pPr>
      <w:r>
        <w:rPr>
          <w:color w:val="auto"/>
          <w:highlight w:val="none"/>
        </w:rPr>
        <w:drawing>
          <wp:inline distT="0" distB="0" distL="114300" distR="114300">
            <wp:extent cx="7617460" cy="4450080"/>
            <wp:effectExtent l="0" t="0" r="2540" b="762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6"/>
                    <a:stretch>
                      <a:fillRect/>
                    </a:stretch>
                  </pic:blipFill>
                  <pic:spPr>
                    <a:xfrm>
                      <a:off x="0" y="0"/>
                      <a:ext cx="7617460" cy="4450080"/>
                    </a:xfrm>
                    <a:prstGeom prst="rect">
                      <a:avLst/>
                    </a:prstGeom>
                    <a:noFill/>
                    <a:ln>
                      <a:noFill/>
                    </a:ln>
                  </pic:spPr>
                </pic:pic>
              </a:graphicData>
            </a:graphic>
          </wp:inline>
        </w:drawing>
      </w:r>
    </w:p>
    <w:p w14:paraId="6CE67AE7">
      <w:pPr>
        <w:pStyle w:val="19"/>
        <w:bidi w:val="0"/>
        <w:rPr>
          <w:rFonts w:hint="default"/>
          <w:color w:val="auto"/>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color w:val="auto"/>
          <w:highlight w:val="none"/>
          <w:lang w:val="en-US" w:eastAsia="zh-CN"/>
        </w:rPr>
        <w:t>图3.2-1   采矿工艺流程及产排污节点图</w:t>
      </w:r>
    </w:p>
    <w:p w14:paraId="79340EC7">
      <w:pPr>
        <w:pStyle w:val="6"/>
        <w:bidi w:val="0"/>
        <w:rPr>
          <w:rFonts w:hint="default"/>
          <w:color w:val="auto"/>
          <w:highlight w:val="none"/>
          <w:lang w:val="en-US" w:eastAsia="zh-CN"/>
        </w:rPr>
      </w:pPr>
      <w:r>
        <w:rPr>
          <w:rFonts w:hint="eastAsia"/>
          <w:color w:val="auto"/>
          <w:highlight w:val="none"/>
          <w:lang w:val="en-US" w:eastAsia="zh-CN"/>
        </w:rPr>
        <w:t>3.2.2选矿工程</w:t>
      </w:r>
    </w:p>
    <w:p w14:paraId="7874659A">
      <w:pPr>
        <w:pStyle w:val="7"/>
        <w:bidi w:val="0"/>
        <w:rPr>
          <w:color w:val="auto"/>
          <w:highlight w:val="none"/>
        </w:rPr>
      </w:pPr>
      <w:r>
        <w:rPr>
          <w:rFonts w:hint="eastAsia"/>
          <w:color w:val="auto"/>
          <w:highlight w:val="none"/>
          <w:lang w:val="en-US" w:eastAsia="zh-CN"/>
        </w:rPr>
        <w:t>3.2.2.1</w:t>
      </w:r>
      <w:r>
        <w:rPr>
          <w:color w:val="auto"/>
          <w:highlight w:val="none"/>
          <w:lang w:val="en-US" w:eastAsia="zh-CN"/>
        </w:rPr>
        <w:t>选矿厂的车间组成</w:t>
      </w:r>
    </w:p>
    <w:p w14:paraId="1F0935BB">
      <w:pPr>
        <w:bidi w:val="0"/>
        <w:rPr>
          <w:color w:val="auto"/>
          <w:highlight w:val="none"/>
        </w:rPr>
      </w:pPr>
      <w:r>
        <w:rPr>
          <w:color w:val="auto"/>
          <w:highlight w:val="none"/>
          <w:lang w:val="en-US" w:eastAsia="zh-CN"/>
        </w:rPr>
        <w:t>选矿厂由粗矿仓、中细碎厂房、筛分厂房、粉矿仓、皮带廊及转</w:t>
      </w:r>
      <w:r>
        <w:rPr>
          <w:rFonts w:hint="eastAsia"/>
          <w:color w:val="auto"/>
          <w:highlight w:val="none"/>
          <w:lang w:val="en-US" w:eastAsia="zh-CN"/>
        </w:rPr>
        <w:t>运站、主厂房、精矿堆场、硫酸稀释车间等组成。主厂房包括磨矿作业、浮选作业、药剂制备作业、精矿浓缩与过滤、鼓风机与空压机房、变配电室与中心控制室等。</w:t>
      </w:r>
    </w:p>
    <w:p w14:paraId="1CB983DC">
      <w:pPr>
        <w:pStyle w:val="7"/>
        <w:bidi w:val="0"/>
        <w:rPr>
          <w:rFonts w:hint="eastAsia"/>
          <w:color w:val="auto"/>
          <w:highlight w:val="none"/>
          <w:lang w:val="en-US" w:eastAsia="zh-CN"/>
        </w:rPr>
      </w:pPr>
      <w:r>
        <w:rPr>
          <w:rFonts w:hint="eastAsia"/>
          <w:color w:val="auto"/>
          <w:highlight w:val="none"/>
          <w:lang w:val="en-US" w:eastAsia="zh-CN"/>
        </w:rPr>
        <w:t>3.2.2.2酸性水玻璃制备流程</w:t>
      </w:r>
    </w:p>
    <w:p w14:paraId="26605FBD">
      <w:pPr>
        <w:bidi w:val="0"/>
        <w:rPr>
          <w:rFonts w:hint="eastAsia"/>
          <w:color w:val="auto"/>
          <w:highlight w:val="none"/>
          <w:lang w:val="en-US" w:eastAsia="zh-CN"/>
        </w:rPr>
      </w:pPr>
      <w:r>
        <w:rPr>
          <w:rFonts w:hint="default"/>
          <w:color w:val="auto"/>
          <w:highlight w:val="none"/>
        </w:rPr>
        <w:t>鉴于酸化水玻璃理化稳定性差、储存条件要求高，常温环境下存放约一周即易发生胶凝、失效，无法满足集中采购长期储存及稳定投用的生产需求。为保障选矿药剂使用效果、稳定生产运行，新增酸化水玻璃配制工序</w:t>
      </w:r>
      <w:r>
        <w:rPr>
          <w:rFonts w:hint="eastAsia"/>
          <w:color w:val="auto"/>
          <w:highlight w:val="none"/>
          <w:lang w:eastAsia="zh-CN"/>
        </w:rPr>
        <w:t>，</w:t>
      </w:r>
      <w:r>
        <w:rPr>
          <w:rFonts w:hint="default"/>
          <w:color w:val="auto"/>
          <w:highlight w:val="none"/>
        </w:rPr>
        <w:t>配套建设硫酸稀释车间</w:t>
      </w:r>
      <w:r>
        <w:rPr>
          <w:rFonts w:hint="eastAsia"/>
          <w:color w:val="auto"/>
          <w:highlight w:val="none"/>
          <w:lang w:eastAsia="zh-CN"/>
        </w:rPr>
        <w:t>。</w:t>
      </w:r>
    </w:p>
    <w:p w14:paraId="013CC60C">
      <w:pPr>
        <w:bidi w:val="0"/>
        <w:rPr>
          <w:rFonts w:hint="default"/>
          <w:color w:val="auto"/>
          <w:highlight w:val="none"/>
          <w:lang w:val="en-US" w:eastAsia="zh-CN"/>
        </w:rPr>
      </w:pPr>
      <w:r>
        <w:rPr>
          <w:rFonts w:hint="eastAsia"/>
          <w:color w:val="auto"/>
          <w:highlight w:val="none"/>
          <w:lang w:val="en-US" w:eastAsia="zh-CN"/>
        </w:rPr>
        <w:t>酸性水玻璃制备流程：</w:t>
      </w:r>
      <w:r>
        <w:rPr>
          <w:color w:val="auto"/>
          <w:highlight w:val="none"/>
        </w:rPr>
        <w:t>将工业水玻璃加水稀释搅拌均匀，再把浓硫酸缓慢兑水配制成稀硫酸</w:t>
      </w:r>
      <w:r>
        <w:rPr>
          <w:rFonts w:hint="eastAsia"/>
          <w:color w:val="auto"/>
          <w:highlight w:val="none"/>
          <w:lang w:eastAsia="zh-CN"/>
        </w:rPr>
        <w:t>，</w:t>
      </w:r>
      <w:r>
        <w:rPr>
          <w:rFonts w:hint="eastAsia"/>
          <w:color w:val="auto"/>
          <w:highlight w:val="none"/>
          <w:lang w:val="en-US" w:eastAsia="zh-CN"/>
        </w:rPr>
        <w:t>硫酸稀释过程中会产生少量硫酸雾</w:t>
      </w:r>
      <w:r>
        <w:rPr>
          <w:color w:val="auto"/>
          <w:highlight w:val="none"/>
        </w:rPr>
        <w:t>；随后将稀硫酸匀速加入稀水玻璃溶液中，常温下充分搅拌进行酸化反应，控制体系pH值4.5~6.0；反应完成后静置熟化，制得酸性水玻璃胶体药剂，输送至浮选工序即时使用。每班配药1次（8h）</w:t>
      </w:r>
      <w:r>
        <w:rPr>
          <w:rFonts w:hint="eastAsia"/>
          <w:color w:val="auto"/>
          <w:highlight w:val="none"/>
          <w:lang w:eastAsia="zh-CN"/>
        </w:rPr>
        <w:t>，</w:t>
      </w:r>
      <w:r>
        <w:rPr>
          <w:rFonts w:hint="eastAsia"/>
          <w:color w:val="auto"/>
          <w:highlight w:val="none"/>
          <w:lang w:val="en-US" w:eastAsia="zh-CN"/>
        </w:rPr>
        <w:t>单次配置约15m</w:t>
      </w:r>
      <w:r>
        <w:rPr>
          <w:rFonts w:hint="eastAsia"/>
          <w:color w:val="auto"/>
          <w:highlight w:val="none"/>
          <w:vertAlign w:val="superscript"/>
          <w:lang w:val="en-US" w:eastAsia="zh-CN"/>
        </w:rPr>
        <w:t>3</w:t>
      </w:r>
      <w:r>
        <w:rPr>
          <w:rFonts w:hint="eastAsia"/>
          <w:color w:val="auto"/>
          <w:highlight w:val="none"/>
          <w:lang w:val="en-US" w:eastAsia="zh-CN"/>
        </w:rPr>
        <w:t>。</w:t>
      </w:r>
    </w:p>
    <w:p w14:paraId="40D8CBF6">
      <w:pPr>
        <w:bidi w:val="0"/>
        <w:rPr>
          <w:rFonts w:hint="eastAsia"/>
          <w:color w:val="auto"/>
          <w:highlight w:val="none"/>
          <w:lang w:val="en-US" w:eastAsia="zh-CN"/>
        </w:rPr>
      </w:pPr>
      <w:r>
        <w:rPr>
          <w:rFonts w:hint="eastAsia"/>
          <w:color w:val="auto"/>
          <w:highlight w:val="none"/>
          <w:lang w:val="en-US" w:eastAsia="zh-CN"/>
        </w:rPr>
        <w:t>反应方程式：</w:t>
      </w:r>
      <w:r>
        <w:rPr>
          <w:color w:val="auto"/>
          <w:highlight w:val="none"/>
        </w:rPr>
        <w:t>Na</w:t>
      </w:r>
      <w:r>
        <w:rPr>
          <w:color w:val="auto"/>
          <w:highlight w:val="none"/>
          <w:vertAlign w:val="subscript"/>
        </w:rPr>
        <w:t>2</w:t>
      </w:r>
      <w:r>
        <w:rPr>
          <w:color w:val="auto"/>
          <w:highlight w:val="none"/>
        </w:rPr>
        <w:t>SiO</w:t>
      </w:r>
      <w:r>
        <w:rPr>
          <w:color w:val="auto"/>
          <w:highlight w:val="none"/>
          <w:vertAlign w:val="subscript"/>
        </w:rPr>
        <w:t>3</w:t>
      </w:r>
      <w:r>
        <w:rPr>
          <w:color w:val="auto"/>
          <w:highlight w:val="none"/>
        </w:rPr>
        <w:t>+H</w:t>
      </w:r>
      <w:r>
        <w:rPr>
          <w:color w:val="auto"/>
          <w:highlight w:val="none"/>
          <w:vertAlign w:val="subscript"/>
        </w:rPr>
        <w:t>2</w:t>
      </w:r>
      <w:r>
        <w:rPr>
          <w:color w:val="auto"/>
          <w:highlight w:val="none"/>
        </w:rPr>
        <w:t>SO</w:t>
      </w:r>
      <w:r>
        <w:rPr>
          <w:color w:val="auto"/>
          <w:highlight w:val="none"/>
          <w:vertAlign w:val="subscript"/>
        </w:rPr>
        <w:t>4</w:t>
      </w:r>
      <w:r>
        <w:rPr>
          <w:color w:val="auto"/>
          <w:highlight w:val="none"/>
        </w:rPr>
        <w:t>=Na</w:t>
      </w:r>
      <w:r>
        <w:rPr>
          <w:color w:val="auto"/>
          <w:highlight w:val="none"/>
          <w:vertAlign w:val="subscript"/>
        </w:rPr>
        <w:t>2</w:t>
      </w:r>
      <w:r>
        <w:rPr>
          <w:color w:val="auto"/>
          <w:highlight w:val="none"/>
        </w:rPr>
        <w:t>SO</w:t>
      </w:r>
      <w:r>
        <w:rPr>
          <w:color w:val="auto"/>
          <w:highlight w:val="none"/>
          <w:vertAlign w:val="subscript"/>
        </w:rPr>
        <w:t>4</w:t>
      </w:r>
      <w:r>
        <w:rPr>
          <w:color w:val="auto"/>
          <w:highlight w:val="none"/>
        </w:rPr>
        <w:t>+H</w:t>
      </w:r>
      <w:r>
        <w:rPr>
          <w:color w:val="auto"/>
          <w:highlight w:val="none"/>
          <w:vertAlign w:val="subscript"/>
        </w:rPr>
        <w:t>2</w:t>
      </w:r>
      <w:r>
        <w:rPr>
          <w:color w:val="auto"/>
          <w:highlight w:val="none"/>
        </w:rPr>
        <w:t>SiO</w:t>
      </w:r>
      <w:r>
        <w:rPr>
          <w:color w:val="auto"/>
          <w:highlight w:val="none"/>
          <w:vertAlign w:val="subscript"/>
        </w:rPr>
        <w:t>3</w:t>
      </w:r>
      <w:r>
        <w:rPr>
          <w:color w:val="auto"/>
          <w:highlight w:val="none"/>
        </w:rPr>
        <w:t>↓</w:t>
      </w:r>
    </w:p>
    <w:p w14:paraId="370FE1B7">
      <w:pPr>
        <w:spacing w:line="240" w:lineRule="auto"/>
        <w:ind w:left="0" w:leftChars="0" w:firstLine="0" w:firstLineChars="0"/>
        <w:jc w:val="center"/>
        <w:rPr>
          <w:rFonts w:hint="default"/>
          <w:color w:val="auto"/>
          <w:highlight w:val="none"/>
          <w:lang w:val="en-US" w:eastAsia="zh-CN"/>
        </w:rPr>
      </w:pPr>
      <w:r>
        <w:rPr>
          <w:rFonts w:hint="default"/>
          <w:color w:val="auto"/>
          <w:highlight w:val="none"/>
          <w:lang w:val="en-US" w:eastAsia="zh-CN"/>
        </w:rPr>
        <w:drawing>
          <wp:inline distT="0" distB="0" distL="114300" distR="114300">
            <wp:extent cx="3609975" cy="3490595"/>
            <wp:effectExtent l="0" t="0" r="0" b="0"/>
            <wp:docPr id="38" name="E657119C-6982-421D-8BA7-E74DEB70A7D9-2" descr="C:/Users/Administrator/AppData/Local/Temp/wps.RvsBuo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657119C-6982-421D-8BA7-E74DEB70A7D9-2" descr="C:/Users/Administrator/AppData/Local/Temp/wps.RvsBuowps"/>
                    <pic:cNvPicPr>
                      <a:picLocks noChangeAspect="1"/>
                    </pic:cNvPicPr>
                  </pic:nvPicPr>
                  <pic:blipFill>
                    <a:blip r:embed="rId27"/>
                    <a:srcRect t="6064" b="7862"/>
                    <a:stretch>
                      <a:fillRect/>
                    </a:stretch>
                  </pic:blipFill>
                  <pic:spPr>
                    <a:xfrm>
                      <a:off x="0" y="0"/>
                      <a:ext cx="3609975" cy="3490595"/>
                    </a:xfrm>
                    <a:prstGeom prst="rect">
                      <a:avLst/>
                    </a:prstGeom>
                  </pic:spPr>
                </pic:pic>
              </a:graphicData>
            </a:graphic>
          </wp:inline>
        </w:drawing>
      </w:r>
    </w:p>
    <w:p w14:paraId="3441EA18">
      <w:pPr>
        <w:pStyle w:val="19"/>
        <w:bidi w:val="0"/>
        <w:rPr>
          <w:color w:val="auto"/>
          <w:highlight w:val="none"/>
        </w:rPr>
      </w:pPr>
      <w:r>
        <w:rPr>
          <w:rFonts w:hint="eastAsia"/>
          <w:color w:val="auto"/>
          <w:highlight w:val="none"/>
          <w:lang w:val="en-US" w:eastAsia="zh-CN"/>
        </w:rPr>
        <w:t>图3.2-2   酸性水玻璃制备工艺流程图</w:t>
      </w:r>
    </w:p>
    <w:p w14:paraId="2436496B">
      <w:pPr>
        <w:pStyle w:val="7"/>
        <w:bidi w:val="0"/>
        <w:rPr>
          <w:color w:val="auto"/>
          <w:highlight w:val="none"/>
        </w:rPr>
      </w:pPr>
      <w:r>
        <w:rPr>
          <w:rFonts w:hint="eastAsia"/>
          <w:color w:val="auto"/>
          <w:highlight w:val="none"/>
          <w:lang w:val="en-US" w:eastAsia="zh-CN"/>
        </w:rPr>
        <w:t>3.2.2.3</w:t>
      </w:r>
      <w:r>
        <w:rPr>
          <w:color w:val="auto"/>
          <w:highlight w:val="none"/>
          <w:lang w:val="en-US" w:eastAsia="zh-CN"/>
        </w:rPr>
        <w:t>选矿工艺流程</w:t>
      </w:r>
    </w:p>
    <w:p w14:paraId="74096E02">
      <w:pPr>
        <w:bidi w:val="0"/>
        <w:rPr>
          <w:rFonts w:hint="eastAsia"/>
          <w:color w:val="auto"/>
          <w:highlight w:val="none"/>
          <w:lang w:val="en-US" w:eastAsia="zh-CN"/>
        </w:rPr>
      </w:pPr>
      <w:r>
        <w:rPr>
          <w:color w:val="auto"/>
          <w:highlight w:val="none"/>
          <w:lang w:val="en-US" w:eastAsia="zh-CN"/>
        </w:rPr>
        <w:t>设计的选矿工艺流程为：碎磨采用：两段一闭路破碎筛分+磨前预</w:t>
      </w:r>
      <w:r>
        <w:rPr>
          <w:rFonts w:hint="eastAsia"/>
          <w:color w:val="auto"/>
          <w:highlight w:val="none"/>
          <w:lang w:val="en-US" w:eastAsia="zh-CN"/>
        </w:rPr>
        <w:t>筛分+球磨+闭路分级；预处理流程：强化调浆+矿浆加温。</w:t>
      </w:r>
    </w:p>
    <w:p w14:paraId="708AA97D">
      <w:pPr>
        <w:bidi w:val="0"/>
        <w:rPr>
          <w:color w:val="auto"/>
          <w:highlight w:val="none"/>
          <w:lang w:val="en-US" w:eastAsia="zh-CN"/>
        </w:rPr>
      </w:pPr>
      <w:r>
        <w:rPr>
          <w:rFonts w:hint="eastAsia"/>
          <w:color w:val="auto"/>
          <w:highlight w:val="none"/>
          <w:lang w:val="en-US" w:eastAsia="zh-CN"/>
        </w:rPr>
        <w:t>浮选流程：两次粗选+粗尾脱泥+两次扫选+八次精选+一次精扫+粗精矿再磨+精尾</w:t>
      </w:r>
      <w:r>
        <w:rPr>
          <w:color w:val="auto"/>
          <w:highlight w:val="none"/>
          <w:lang w:val="en-US" w:eastAsia="zh-CN"/>
        </w:rPr>
        <w:t>脱泥。萤石精矿采用浓缩+过滤两段脱水流程。</w:t>
      </w:r>
    </w:p>
    <w:p w14:paraId="65A93FC8">
      <w:pPr>
        <w:bidi w:val="0"/>
        <w:rPr>
          <w:rFonts w:hint="eastAsia"/>
          <w:color w:val="auto"/>
          <w:highlight w:val="none"/>
          <w:lang w:val="en-US" w:eastAsia="zh-CN"/>
        </w:rPr>
      </w:pPr>
      <w:r>
        <w:rPr>
          <w:rFonts w:hint="eastAsia"/>
          <w:color w:val="auto"/>
          <w:highlight w:val="none"/>
          <w:lang w:val="en-US" w:eastAsia="zh-CN"/>
        </w:rPr>
        <w:t>流程简述：</w:t>
      </w:r>
    </w:p>
    <w:p w14:paraId="2DD12F92">
      <w:pPr>
        <w:bidi w:val="0"/>
        <w:rPr>
          <w:rFonts w:hint="eastAsia"/>
          <w:color w:val="auto"/>
          <w:highlight w:val="none"/>
          <w:lang w:val="en-US" w:eastAsia="zh-CN"/>
        </w:rPr>
      </w:pPr>
      <w:r>
        <w:rPr>
          <w:rFonts w:hint="eastAsia"/>
          <w:color w:val="auto"/>
          <w:highlight w:val="none"/>
          <w:lang w:val="en-US" w:eastAsia="zh-CN"/>
        </w:rPr>
        <w:t>流程简述：</w:t>
      </w:r>
    </w:p>
    <w:p w14:paraId="0E845051">
      <w:pPr>
        <w:bidi w:val="0"/>
        <w:rPr>
          <w:rFonts w:hint="eastAsia"/>
          <w:color w:val="auto"/>
          <w:highlight w:val="none"/>
          <w:lang w:val="en-US" w:eastAsia="zh-CN"/>
        </w:rPr>
      </w:pPr>
      <w:r>
        <w:rPr>
          <w:color w:val="auto"/>
          <w:highlight w:val="none"/>
          <w:lang w:val="en-US" w:eastAsia="zh-CN"/>
        </w:rPr>
        <w:t>地下开采的矿石通过带式输送机输送至选矿</w:t>
      </w:r>
      <w:r>
        <w:rPr>
          <w:rFonts w:hint="eastAsia"/>
          <w:color w:val="auto"/>
          <w:highlight w:val="none"/>
          <w:lang w:val="en-US" w:eastAsia="zh-CN"/>
        </w:rPr>
        <w:t>厂</w:t>
      </w:r>
      <w:r>
        <w:rPr>
          <w:color w:val="auto"/>
          <w:highlight w:val="none"/>
          <w:lang w:val="en-US" w:eastAsia="zh-CN"/>
        </w:rPr>
        <w:t>的粗矿仓，</w:t>
      </w:r>
      <w:r>
        <w:rPr>
          <w:rFonts w:hint="eastAsia"/>
          <w:color w:val="auto"/>
          <w:highlight w:val="none"/>
          <w:lang w:val="en-US" w:eastAsia="zh-CN"/>
        </w:rPr>
        <w:t>通过仓下设置的重型皮带给料机，将矿石给矿至带式输送机上，由CV.1带式输送机将矿石运送至中碎前的缓冲矿仓。带式输送机上设有计量设备，重型皮带给料机变频调速，根据生产要求定量供矿。</w:t>
      </w:r>
    </w:p>
    <w:p w14:paraId="08DD1BA5">
      <w:pPr>
        <w:bidi w:val="0"/>
        <w:rPr>
          <w:rFonts w:hint="eastAsia"/>
          <w:color w:val="auto"/>
          <w:highlight w:val="none"/>
          <w:lang w:val="en-US" w:eastAsia="zh-CN"/>
        </w:rPr>
      </w:pPr>
      <w:r>
        <w:rPr>
          <w:rFonts w:hint="eastAsia"/>
          <w:color w:val="auto"/>
          <w:highlight w:val="none"/>
          <w:lang w:val="en-US" w:eastAsia="zh-CN"/>
        </w:rPr>
        <w:t>中碎缓冲矿仓下设有变频调速皮带给矿机，将矿石给到1台中碎600kW标准圆锥破碎机。中碎产品由CV.2带式输送机送到筛分厂房的缓冲矿仓，经变频调速皮带给矿机分别给矿至2台双层重型振动筛进行筛分作业，筛上产品通过CV.3带式输送机返回至中细碎厂房细碎前缓冲矿仓。细碎缓冲矿仓下设有变频调速皮带给矿机，将矿石给到1台细碎600kW短头圆锥破碎机，细碎产品由CV.2带式输送机送到筛分厂房的缓冲矿仓，筛上返回中细碎厂房形成闭路。筛下12～0mm产品给到CV.4带式输送机上，经过CV.5带式输送机转运送往粉矿仓。</w:t>
      </w:r>
    </w:p>
    <w:p w14:paraId="11C19ADC">
      <w:pPr>
        <w:bidi w:val="0"/>
        <w:rPr>
          <w:rFonts w:hint="eastAsia"/>
          <w:color w:val="auto"/>
          <w:highlight w:val="none"/>
          <w:lang w:val="en-US" w:eastAsia="zh-CN"/>
        </w:rPr>
      </w:pPr>
      <w:r>
        <w:rPr>
          <w:rFonts w:hint="eastAsia"/>
          <w:color w:val="auto"/>
          <w:highlight w:val="none"/>
          <w:lang w:val="en-US" w:eastAsia="zh-CN"/>
        </w:rPr>
        <w:t>粉矿仓下设4台重型皮带给料机，将矿石给至CV.6带式输送机上，由CV.6带式输送机将矿石运送至主厂房的磨前筛分。磨前筛分采用2台双层直线振动筛进行筛分作业。筛上产品通过CV.8带式输送机给入球磨机进行磨矿，筛下产品通过No.12渣浆泵输送至No.1泵池。</w:t>
      </w:r>
    </w:p>
    <w:p w14:paraId="14A3DDEF">
      <w:pPr>
        <w:bidi w:val="0"/>
        <w:rPr>
          <w:rFonts w:hint="eastAsia"/>
          <w:color w:val="auto"/>
          <w:highlight w:val="none"/>
          <w:lang w:val="en-US" w:eastAsia="zh-CN"/>
        </w:rPr>
      </w:pPr>
      <w:r>
        <w:rPr>
          <w:color w:val="auto"/>
          <w:highlight w:val="none"/>
          <w:lang w:val="en-US" w:eastAsia="zh-CN"/>
        </w:rPr>
        <w:t>主厂房采用1台球磨机进行磨矿作业，磨矿产品</w:t>
      </w:r>
      <w:r>
        <w:rPr>
          <w:rFonts w:hint="eastAsia"/>
          <w:color w:val="auto"/>
          <w:highlight w:val="none"/>
          <w:lang w:val="en-US" w:eastAsia="zh-CN"/>
        </w:rPr>
        <w:t>进入No.1泵池，并由No.1渣浆泵泵送至1台Φ500-12水力旋流器进行分级，旋流器底流自流进入球磨机形成闭路磨矿，旋流器溢流-0.074mm含量为65%～70%左右。磨矿分级水力旋流器溢流经隔粗筛隔除粗渣后自流到粗选前的矿浆搅拌槽。</w:t>
      </w:r>
    </w:p>
    <w:p w14:paraId="74253DEB">
      <w:pPr>
        <w:bidi w:val="0"/>
        <w:rPr>
          <w:rFonts w:hint="eastAsia"/>
          <w:color w:val="auto"/>
          <w:highlight w:val="none"/>
          <w:lang w:val="en-US" w:eastAsia="zh-CN"/>
        </w:rPr>
      </w:pPr>
      <w:r>
        <w:rPr>
          <w:rFonts w:hint="eastAsia"/>
          <w:color w:val="auto"/>
          <w:highlight w:val="none"/>
          <w:lang w:val="en-US" w:eastAsia="zh-CN"/>
        </w:rPr>
        <w:t>粗选调浆设有4台Φ4000×4500mm矿浆搅拌槽，萤石矿浆经加温及强力调浆后进入34台50m</w:t>
      </w:r>
      <w:r>
        <w:rPr>
          <w:rFonts w:hint="eastAsia"/>
          <w:color w:val="auto"/>
          <w:highlight w:val="none"/>
          <w:vertAlign w:val="superscript"/>
          <w:lang w:val="en-US" w:eastAsia="zh-CN"/>
        </w:rPr>
        <w:t>3</w:t>
      </w:r>
      <w:r>
        <w:rPr>
          <w:rFonts w:hint="eastAsia"/>
          <w:color w:val="auto"/>
          <w:highlight w:val="none"/>
          <w:lang w:val="en-US" w:eastAsia="zh-CN"/>
        </w:rPr>
        <w:t>浮选机和6台30m</w:t>
      </w:r>
      <w:r>
        <w:rPr>
          <w:rFonts w:hint="eastAsia"/>
          <w:color w:val="auto"/>
          <w:highlight w:val="none"/>
          <w:vertAlign w:val="superscript"/>
          <w:lang w:val="en-US" w:eastAsia="zh-CN"/>
        </w:rPr>
        <w:t>3</w:t>
      </w:r>
      <w:r>
        <w:rPr>
          <w:rFonts w:hint="eastAsia"/>
          <w:color w:val="auto"/>
          <w:highlight w:val="none"/>
          <w:lang w:val="en-US" w:eastAsia="zh-CN"/>
        </w:rPr>
        <w:t>浮选机浮选，矿浆经2次粗选、2次扫选、8次精选，1次精扫、粗精矿再磨、精尾脱泥作业后，获得最终萤石精矿和萤石尾矿。</w:t>
      </w:r>
    </w:p>
    <w:p w14:paraId="6B832478">
      <w:pPr>
        <w:bidi w:val="0"/>
        <w:rPr>
          <w:rFonts w:hint="eastAsia"/>
          <w:color w:val="auto"/>
          <w:highlight w:val="none"/>
          <w:lang w:val="en-US" w:eastAsia="zh-CN"/>
        </w:rPr>
      </w:pPr>
      <w:r>
        <w:rPr>
          <w:rFonts w:hint="eastAsia"/>
          <w:color w:val="auto"/>
          <w:highlight w:val="none"/>
          <w:lang w:val="en-US" w:eastAsia="zh-CN"/>
        </w:rPr>
        <w:t>粗选II尾矿自流至No.2泵池，并由No.2渣浆泵泵送1台Φ250-16水力旋流器进行脱泥I作业；脱泥I水力旋流器溢流自流到No.3泵池，并由No.3渣浆泵泵送1台Φ150-22水力旋流器进行脱泥II作业；脱泥II水力旋流器溢流自流到No.4泵池，并由No.4渣浆泵泵送1台Φ75-50水力旋流器进行脱泥III作业，3次脱泥水力旋流器底流自流进入扫选I作业，脱泥III作业的溢流与扫选II尾矿、精尾脱泥溢流合并排入No.11泵池，由No.11渣浆泵泵送至尾矿浓缩机。</w:t>
      </w:r>
    </w:p>
    <w:p w14:paraId="6D2FEEEF">
      <w:pPr>
        <w:bidi w:val="0"/>
        <w:rPr>
          <w:rFonts w:hint="eastAsia"/>
          <w:color w:val="auto"/>
          <w:highlight w:val="none"/>
          <w:lang w:val="en-US" w:eastAsia="zh-CN"/>
        </w:rPr>
      </w:pPr>
      <w:r>
        <w:rPr>
          <w:rFonts w:hint="eastAsia"/>
          <w:color w:val="auto"/>
          <w:highlight w:val="none"/>
          <w:lang w:val="en-US" w:eastAsia="zh-CN"/>
        </w:rPr>
        <w:t>精选I精矿自流到No.8泵池，由No.8渣浆泵泵送至1台Φ250-10水力旋流器进行中矿分级，水力旋流器底流自流到立磨机进行再磨作业，再磨产品进入No.8泵池，与中矿分级水力旋流器形成闭路；水力旋流器溢流自流到1台Φ3000×3000mm矿浆搅拌槽进行精选调浆；精选I中矿进行1次精扫选，精扫选精矿自流返回精选I，精选II的尾矿由No.9渣浆泵泵送返回精选I；第8次精选产出的萤石精矿通过No.10渣浆泵泵送至2台φ30m精矿浓缩机，精扫选尾矿经过2次水力旋流器脱泥，底流返回到扫选I进行再选，溢流与扫选II尾矿、粗尾脱泥溢流合并排入No.11泵池，由No.11渣浆泵泵送至尾矿浓缩机。</w:t>
      </w:r>
    </w:p>
    <w:p w14:paraId="689EDD83">
      <w:pPr>
        <w:bidi w:val="0"/>
        <w:rPr>
          <w:rFonts w:hint="eastAsia"/>
          <w:color w:val="auto"/>
          <w:highlight w:val="none"/>
          <w:lang w:val="en-US" w:eastAsia="zh-CN"/>
        </w:rPr>
      </w:pPr>
      <w:r>
        <w:rPr>
          <w:rFonts w:hint="eastAsia"/>
          <w:color w:val="auto"/>
          <w:highlight w:val="none"/>
          <w:lang w:val="en-US" w:eastAsia="zh-CN"/>
        </w:rPr>
        <w:t>精矿浓缩底流通过泵送至精矿浓缩区域的1台Φ3500×3500mm矿浆搅拌槽，并由No.33渣浆泵泵送至4台盘式过滤机进行过滤作业，脱水后的萤石精矿由CV.7带式输送机转运送往精矿仓堆存，也可以采用前装机装车外运，精矿浓缩机溢流及滤液回用。</w:t>
      </w:r>
    </w:p>
    <w:p w14:paraId="4E03DE89">
      <w:pPr>
        <w:bidi w:val="0"/>
        <w:rPr>
          <w:color w:val="auto"/>
          <w:highlight w:val="none"/>
        </w:rPr>
      </w:pPr>
      <w:r>
        <w:rPr>
          <w:rFonts w:hint="default"/>
          <w:color w:val="auto"/>
          <w:highlight w:val="none"/>
        </w:rPr>
        <w:t>尾矿浓缩底流通过泵送至充填搅拌站进行井下充填，多余尾矿泵送至尾矿库堆存。</w:t>
      </w:r>
    </w:p>
    <w:p w14:paraId="747B189E">
      <w:pPr>
        <w:rPr>
          <w:rFonts w:hint="default"/>
          <w:color w:val="auto"/>
          <w:highlight w:val="none"/>
          <w:lang w:val="en-US" w:eastAsia="zh-CN"/>
        </w:rPr>
      </w:pPr>
    </w:p>
    <w:p w14:paraId="6A360BD6">
      <w:pPr>
        <w:bidi w:val="0"/>
        <w:rPr>
          <w:color w:val="auto"/>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DBC41A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7717155" cy="5334635"/>
            <wp:effectExtent l="0" t="0" r="0" b="0"/>
            <wp:docPr id="2" name="ECB019B1-382A-4266-B25C-5B523AA43C14-3" descr="C:/Users/Administrator/AppData/Local/Temp/wps.skYCuG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3" descr="C:/Users/Administrator/AppData/Local/Temp/wps.skYCuGwps"/>
                    <pic:cNvPicPr>
                      <a:picLocks noChangeAspect="1"/>
                    </pic:cNvPicPr>
                  </pic:nvPicPr>
                  <pic:blipFill>
                    <a:blip r:embed="rId28"/>
                    <a:srcRect l="-612" t="218" r="1371" b="875"/>
                    <a:stretch>
                      <a:fillRect/>
                    </a:stretch>
                  </pic:blipFill>
                  <pic:spPr>
                    <a:xfrm>
                      <a:off x="0" y="0"/>
                      <a:ext cx="7717155" cy="5334635"/>
                    </a:xfrm>
                    <a:prstGeom prst="rect">
                      <a:avLst/>
                    </a:prstGeom>
                  </pic:spPr>
                </pic:pic>
              </a:graphicData>
            </a:graphic>
          </wp:inline>
        </w:drawing>
      </w:r>
    </w:p>
    <w:p w14:paraId="2F2B6340">
      <w:pPr>
        <w:pStyle w:val="19"/>
        <w:bidi w:val="0"/>
        <w:rPr>
          <w:rFonts w:hint="default"/>
          <w:color w:val="auto"/>
          <w:highlight w:val="none"/>
          <w:lang w:val="en-US" w:eastAsia="zh-CN"/>
        </w:rPr>
        <w:sectPr>
          <w:pgSz w:w="16838" w:h="11906" w:orient="landscape"/>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color w:val="auto"/>
          <w:highlight w:val="none"/>
          <w:lang w:val="en-US" w:eastAsia="zh-CN"/>
        </w:rPr>
        <w:t>图3.2-3   选矿工艺流程及产排污节点图</w:t>
      </w:r>
    </w:p>
    <w:p w14:paraId="770EE271">
      <w:pPr>
        <w:pStyle w:val="7"/>
        <w:bidi w:val="0"/>
        <w:rPr>
          <w:color w:val="auto"/>
          <w:highlight w:val="none"/>
        </w:rPr>
      </w:pPr>
      <w:r>
        <w:rPr>
          <w:rFonts w:hint="eastAsia"/>
          <w:color w:val="auto"/>
          <w:highlight w:val="none"/>
          <w:lang w:val="en-US" w:eastAsia="zh-CN"/>
        </w:rPr>
        <w:t>3.2.2.4</w:t>
      </w:r>
      <w:r>
        <w:rPr>
          <w:color w:val="auto"/>
          <w:highlight w:val="none"/>
          <w:lang w:val="en-US" w:eastAsia="zh-CN"/>
        </w:rPr>
        <w:t>选矿设计指标</w:t>
      </w:r>
    </w:p>
    <w:p w14:paraId="11D3FEC6">
      <w:pPr>
        <w:bidi w:val="0"/>
        <w:rPr>
          <w:color w:val="auto"/>
          <w:highlight w:val="none"/>
        </w:rPr>
      </w:pPr>
      <w:r>
        <w:rPr>
          <w:color w:val="auto"/>
          <w:highlight w:val="none"/>
          <w:lang w:val="en-US" w:eastAsia="zh-CN"/>
        </w:rPr>
        <w:t>本项目的萤石精矿的设计指标高于</w:t>
      </w:r>
      <w:r>
        <w:rPr>
          <w:rFonts w:hint="eastAsia"/>
          <w:color w:val="auto"/>
          <w:highlight w:val="none"/>
          <w:lang w:val="en-US" w:eastAsia="zh-CN"/>
        </w:rPr>
        <w:t>“三率”最低指标要求。</w:t>
      </w:r>
      <w:r>
        <w:rPr>
          <w:color w:val="auto"/>
          <w:highlight w:val="none"/>
        </w:rPr>
        <w:t>拟定的选矿工艺指标见表</w:t>
      </w:r>
      <w:r>
        <w:rPr>
          <w:rFonts w:hint="eastAsia"/>
          <w:color w:val="auto"/>
          <w:highlight w:val="none"/>
          <w:lang w:val="en-US" w:eastAsia="zh-CN"/>
        </w:rPr>
        <w:t>3.2-1</w:t>
      </w:r>
      <w:r>
        <w:rPr>
          <w:color w:val="auto"/>
          <w:highlight w:val="none"/>
        </w:rPr>
        <w:t>。</w:t>
      </w:r>
    </w:p>
    <w:p w14:paraId="5B03C801">
      <w:pPr>
        <w:overflowPunct w:val="0"/>
        <w:topLinePunct/>
        <w:ind w:firstLine="0" w:firstLineChars="0"/>
        <w:jc w:val="center"/>
        <w:rPr>
          <w:rFonts w:hint="default" w:ascii="Times New Roman" w:hAnsi="Times New Roman" w:cs="Times New Roman"/>
          <w:b/>
          <w:color w:val="auto"/>
          <w:kern w:val="0"/>
          <w:highlight w:val="none"/>
          <w:lang w:val="en-US" w:eastAsia="zh-CN"/>
        </w:rPr>
      </w:pPr>
      <w:r>
        <w:rPr>
          <w:rFonts w:hint="default" w:ascii="Times New Roman" w:hAnsi="Times New Roman" w:cs="Times New Roman"/>
          <w:b/>
          <w:color w:val="auto"/>
          <w:kern w:val="0"/>
          <w:highlight w:val="none"/>
          <w:lang w:val="en-US" w:eastAsia="zh-CN"/>
        </w:rPr>
        <w:t>表</w:t>
      </w:r>
      <w:r>
        <w:rPr>
          <w:rFonts w:hint="eastAsia" w:ascii="Times New Roman" w:hAnsi="Times New Roman" w:cs="Times New Roman"/>
          <w:b/>
          <w:color w:val="auto"/>
          <w:kern w:val="0"/>
          <w:highlight w:val="none"/>
          <w:lang w:val="en-US" w:eastAsia="zh-CN"/>
        </w:rPr>
        <w:t>3.</w:t>
      </w:r>
      <w:r>
        <w:rPr>
          <w:rFonts w:hint="eastAsia" w:cs="Times New Roman"/>
          <w:b/>
          <w:color w:val="auto"/>
          <w:kern w:val="0"/>
          <w:highlight w:val="none"/>
          <w:lang w:val="en-US" w:eastAsia="zh-CN"/>
        </w:rPr>
        <w:t>2</w:t>
      </w:r>
      <w:r>
        <w:rPr>
          <w:rFonts w:hint="eastAsia" w:ascii="Times New Roman" w:hAnsi="Times New Roman" w:cs="Times New Roman"/>
          <w:b/>
          <w:color w:val="auto"/>
          <w:kern w:val="0"/>
          <w:highlight w:val="none"/>
          <w:lang w:val="en-US" w:eastAsia="zh-CN"/>
        </w:rPr>
        <w:t>-1</w:t>
      </w:r>
      <w:r>
        <w:rPr>
          <w:rFonts w:hint="eastAsia" w:cs="Times New Roman"/>
          <w:b/>
          <w:color w:val="auto"/>
          <w:kern w:val="0"/>
          <w:highlight w:val="none"/>
          <w:lang w:val="en-US" w:eastAsia="zh-CN"/>
        </w:rPr>
        <w:t xml:space="preserve">  </w:t>
      </w:r>
      <w:r>
        <w:rPr>
          <w:rFonts w:hint="default" w:ascii="Times New Roman" w:hAnsi="Times New Roman" w:cs="Times New Roman"/>
          <w:b/>
          <w:color w:val="auto"/>
          <w:kern w:val="0"/>
          <w:highlight w:val="none"/>
          <w:lang w:val="en-US" w:eastAsia="zh-CN"/>
        </w:rPr>
        <w:t>选矿</w:t>
      </w:r>
      <w:r>
        <w:rPr>
          <w:rFonts w:hint="eastAsia" w:cs="Times New Roman"/>
          <w:b/>
          <w:color w:val="auto"/>
          <w:kern w:val="0"/>
          <w:highlight w:val="none"/>
          <w:lang w:val="en-US" w:eastAsia="zh-CN"/>
        </w:rPr>
        <w:t>设计</w:t>
      </w:r>
      <w:r>
        <w:rPr>
          <w:rFonts w:hint="default" w:ascii="Times New Roman" w:hAnsi="Times New Roman" w:cs="Times New Roman"/>
          <w:b/>
          <w:color w:val="auto"/>
          <w:kern w:val="0"/>
          <w:highlight w:val="none"/>
          <w:lang w:val="en-US" w:eastAsia="zh-CN"/>
        </w:rPr>
        <w:t>指标</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1466"/>
        <w:gridCol w:w="1467"/>
        <w:gridCol w:w="1766"/>
        <w:gridCol w:w="2308"/>
      </w:tblGrid>
      <w:tr w14:paraId="1DB3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87" w:type="pct"/>
            <w:vAlign w:val="center"/>
          </w:tcPr>
          <w:p w14:paraId="60B3F380">
            <w:pPr>
              <w:overflowPunct w:val="0"/>
              <w:topLinePunct/>
              <w:spacing w:line="360" w:lineRule="exact"/>
              <w:ind w:firstLine="0" w:firstLineChars="0"/>
              <w:jc w:val="center"/>
              <w:rPr>
                <w:rFonts w:hint="eastAsia"/>
                <w:b/>
                <w:bCs/>
                <w:color w:val="auto"/>
                <w:sz w:val="21"/>
                <w:szCs w:val="21"/>
                <w:highlight w:val="none"/>
              </w:rPr>
            </w:pPr>
            <w:r>
              <w:rPr>
                <w:rFonts w:hint="eastAsia"/>
                <w:b/>
                <w:bCs/>
                <w:color w:val="auto"/>
                <w:sz w:val="21"/>
                <w:szCs w:val="21"/>
                <w:highlight w:val="none"/>
              </w:rPr>
              <w:t>产品名称</w:t>
            </w:r>
          </w:p>
        </w:tc>
        <w:tc>
          <w:tcPr>
            <w:tcW w:w="860" w:type="pct"/>
            <w:vAlign w:val="center"/>
          </w:tcPr>
          <w:p w14:paraId="7ED7B6A7">
            <w:pPr>
              <w:overflowPunct w:val="0"/>
              <w:topLinePunct/>
              <w:spacing w:line="360" w:lineRule="exact"/>
              <w:ind w:firstLine="0" w:firstLineChars="0"/>
              <w:jc w:val="cente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矿量</w:t>
            </w:r>
            <w:r>
              <w:rPr>
                <w:rFonts w:hint="eastAsia"/>
                <w:color w:val="auto"/>
                <w:highlight w:val="none"/>
                <w:lang w:eastAsia="zh-CN"/>
              </w:rPr>
              <w:t>（</w:t>
            </w:r>
            <w:r>
              <w:rPr>
                <w:rFonts w:hint="eastAsia"/>
                <w:color w:val="auto"/>
                <w:highlight w:val="none"/>
                <w:lang w:val="en-US" w:eastAsia="zh-CN"/>
              </w:rPr>
              <w:t>t/d）</w:t>
            </w:r>
          </w:p>
        </w:tc>
        <w:tc>
          <w:tcPr>
            <w:tcW w:w="861" w:type="pct"/>
            <w:vAlign w:val="center"/>
          </w:tcPr>
          <w:p w14:paraId="6869D27D">
            <w:pPr>
              <w:overflowPunct w:val="0"/>
              <w:topLinePunct/>
              <w:spacing w:line="360" w:lineRule="exact"/>
              <w:ind w:firstLine="0" w:firstLineChars="0"/>
              <w:jc w:val="center"/>
              <w:rPr>
                <w:rFonts w:hint="eastAsia"/>
                <w:b/>
                <w:bCs/>
                <w:color w:val="auto"/>
                <w:sz w:val="21"/>
                <w:szCs w:val="21"/>
                <w:highlight w:val="none"/>
              </w:rPr>
            </w:pPr>
            <w:r>
              <w:rPr>
                <w:rFonts w:hint="eastAsia"/>
                <w:b/>
                <w:bCs/>
                <w:color w:val="auto"/>
                <w:sz w:val="21"/>
                <w:szCs w:val="21"/>
                <w:highlight w:val="none"/>
              </w:rPr>
              <w:t>产率（%）</w:t>
            </w:r>
          </w:p>
        </w:tc>
        <w:tc>
          <w:tcPr>
            <w:tcW w:w="1036" w:type="pct"/>
            <w:vAlign w:val="center"/>
          </w:tcPr>
          <w:p w14:paraId="78D6DD78">
            <w:pPr>
              <w:overflowPunct w:val="0"/>
              <w:topLinePunct/>
              <w:spacing w:line="360" w:lineRule="exact"/>
              <w:ind w:firstLine="0" w:firstLineChars="0"/>
              <w:jc w:val="center"/>
              <w:rPr>
                <w:rFonts w:hint="eastAsia"/>
                <w:b/>
                <w:bCs/>
                <w:color w:val="auto"/>
                <w:sz w:val="21"/>
                <w:szCs w:val="21"/>
                <w:highlight w:val="none"/>
              </w:rPr>
            </w:pPr>
            <w:r>
              <w:rPr>
                <w:rFonts w:hint="eastAsia"/>
                <w:b/>
                <w:bCs/>
                <w:color w:val="auto"/>
                <w:sz w:val="21"/>
                <w:szCs w:val="21"/>
                <w:highlight w:val="none"/>
              </w:rPr>
              <w:t>CaF</w:t>
            </w:r>
            <w:r>
              <w:rPr>
                <w:rFonts w:hint="eastAsia"/>
                <w:b/>
                <w:bCs/>
                <w:color w:val="auto"/>
                <w:sz w:val="21"/>
                <w:szCs w:val="21"/>
                <w:highlight w:val="none"/>
                <w:vertAlign w:val="subscript"/>
              </w:rPr>
              <w:t>2</w:t>
            </w:r>
            <w:r>
              <w:rPr>
                <w:rFonts w:hint="eastAsia"/>
                <w:b/>
                <w:bCs/>
                <w:color w:val="auto"/>
                <w:sz w:val="21"/>
                <w:szCs w:val="21"/>
                <w:highlight w:val="none"/>
              </w:rPr>
              <w:t>品位（%）</w:t>
            </w:r>
          </w:p>
        </w:tc>
        <w:tc>
          <w:tcPr>
            <w:tcW w:w="1354" w:type="pct"/>
            <w:vAlign w:val="center"/>
          </w:tcPr>
          <w:p w14:paraId="642F55BD">
            <w:pPr>
              <w:overflowPunct w:val="0"/>
              <w:topLinePunct/>
              <w:spacing w:line="360" w:lineRule="exact"/>
              <w:ind w:firstLine="0" w:firstLineChars="0"/>
              <w:jc w:val="center"/>
              <w:rPr>
                <w:rFonts w:hint="eastAsia"/>
                <w:b/>
                <w:bCs/>
                <w:color w:val="auto"/>
                <w:sz w:val="21"/>
                <w:szCs w:val="21"/>
                <w:highlight w:val="none"/>
              </w:rPr>
            </w:pPr>
            <w:r>
              <w:rPr>
                <w:rFonts w:hint="eastAsia"/>
                <w:b/>
                <w:bCs/>
                <w:color w:val="auto"/>
                <w:sz w:val="21"/>
                <w:szCs w:val="21"/>
                <w:highlight w:val="none"/>
              </w:rPr>
              <w:t>CaF</w:t>
            </w:r>
            <w:r>
              <w:rPr>
                <w:rFonts w:hint="eastAsia"/>
                <w:b/>
                <w:bCs/>
                <w:color w:val="auto"/>
                <w:sz w:val="21"/>
                <w:szCs w:val="21"/>
                <w:highlight w:val="none"/>
                <w:vertAlign w:val="subscript"/>
              </w:rPr>
              <w:t>2</w:t>
            </w:r>
            <w:r>
              <w:rPr>
                <w:rFonts w:hint="eastAsia"/>
                <w:b/>
                <w:bCs/>
                <w:color w:val="auto"/>
                <w:sz w:val="21"/>
                <w:szCs w:val="21"/>
                <w:highlight w:val="none"/>
              </w:rPr>
              <w:t>回收率（%）</w:t>
            </w:r>
          </w:p>
        </w:tc>
      </w:tr>
      <w:tr w14:paraId="45D3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7" w:type="pct"/>
            <w:vAlign w:val="center"/>
          </w:tcPr>
          <w:p w14:paraId="12186466">
            <w:pPr>
              <w:overflowPunct w:val="0"/>
              <w:topLinePunct/>
              <w:spacing w:line="360" w:lineRule="exact"/>
              <w:ind w:firstLine="0" w:firstLineChars="0"/>
              <w:jc w:val="center"/>
              <w:rPr>
                <w:rFonts w:hint="eastAsia"/>
                <w:color w:val="auto"/>
                <w:sz w:val="21"/>
                <w:szCs w:val="21"/>
                <w:highlight w:val="none"/>
              </w:rPr>
            </w:pPr>
            <w:r>
              <w:rPr>
                <w:rFonts w:hint="eastAsia"/>
                <w:color w:val="auto"/>
                <w:sz w:val="21"/>
                <w:szCs w:val="21"/>
                <w:highlight w:val="none"/>
              </w:rPr>
              <w:t>原矿</w:t>
            </w:r>
          </w:p>
        </w:tc>
        <w:tc>
          <w:tcPr>
            <w:tcW w:w="860" w:type="pct"/>
            <w:vAlign w:val="center"/>
          </w:tcPr>
          <w:p w14:paraId="0965A2D5">
            <w:pPr>
              <w:overflowPunct w:val="0"/>
              <w:topLinePunct/>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4000</w:t>
            </w:r>
          </w:p>
        </w:tc>
        <w:tc>
          <w:tcPr>
            <w:tcW w:w="861" w:type="pct"/>
            <w:vAlign w:val="center"/>
          </w:tcPr>
          <w:p w14:paraId="27377230">
            <w:pPr>
              <w:overflowPunct w:val="0"/>
              <w:topLinePunct/>
              <w:spacing w:line="360" w:lineRule="exact"/>
              <w:ind w:firstLine="0" w:firstLineChars="0"/>
              <w:jc w:val="center"/>
              <w:rPr>
                <w:rFonts w:hint="eastAsia"/>
                <w:color w:val="auto"/>
                <w:sz w:val="21"/>
                <w:szCs w:val="21"/>
                <w:highlight w:val="none"/>
              </w:rPr>
            </w:pPr>
            <w:r>
              <w:rPr>
                <w:rFonts w:hint="eastAsia"/>
                <w:color w:val="auto"/>
                <w:sz w:val="21"/>
                <w:szCs w:val="21"/>
                <w:highlight w:val="none"/>
              </w:rPr>
              <w:t>100.00</w:t>
            </w:r>
          </w:p>
        </w:tc>
        <w:tc>
          <w:tcPr>
            <w:tcW w:w="1036" w:type="pct"/>
            <w:vAlign w:val="center"/>
          </w:tcPr>
          <w:p w14:paraId="0501F9D2">
            <w:pPr>
              <w:overflowPunct w:val="0"/>
              <w:topLinePunct/>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29.78</w:t>
            </w:r>
          </w:p>
        </w:tc>
        <w:tc>
          <w:tcPr>
            <w:tcW w:w="1354" w:type="pct"/>
            <w:vAlign w:val="center"/>
          </w:tcPr>
          <w:p w14:paraId="4E85E611">
            <w:pPr>
              <w:overflowPunct w:val="0"/>
              <w:topLinePunct/>
              <w:spacing w:line="360" w:lineRule="exact"/>
              <w:ind w:firstLine="0" w:firstLineChars="0"/>
              <w:jc w:val="center"/>
              <w:rPr>
                <w:rFonts w:hint="eastAsia"/>
                <w:color w:val="auto"/>
                <w:sz w:val="21"/>
                <w:szCs w:val="21"/>
                <w:highlight w:val="none"/>
              </w:rPr>
            </w:pPr>
            <w:r>
              <w:rPr>
                <w:rFonts w:hint="eastAsia"/>
                <w:color w:val="auto"/>
                <w:sz w:val="21"/>
                <w:szCs w:val="21"/>
                <w:highlight w:val="none"/>
              </w:rPr>
              <w:t>100.00</w:t>
            </w:r>
          </w:p>
        </w:tc>
      </w:tr>
      <w:tr w14:paraId="2CD5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pct"/>
            <w:vAlign w:val="center"/>
          </w:tcPr>
          <w:p w14:paraId="23C9661B">
            <w:pPr>
              <w:overflowPunct w:val="0"/>
              <w:topLinePunct/>
              <w:spacing w:line="360" w:lineRule="exact"/>
              <w:ind w:firstLine="0" w:firstLineChars="0"/>
              <w:jc w:val="center"/>
              <w:rPr>
                <w:rFonts w:hint="eastAsia"/>
                <w:color w:val="auto"/>
                <w:sz w:val="21"/>
                <w:szCs w:val="21"/>
                <w:highlight w:val="none"/>
              </w:rPr>
            </w:pPr>
            <w:r>
              <w:rPr>
                <w:rFonts w:hint="eastAsia"/>
                <w:color w:val="auto"/>
                <w:sz w:val="21"/>
                <w:szCs w:val="21"/>
                <w:highlight w:val="none"/>
              </w:rPr>
              <w:t>萤石精矿</w:t>
            </w:r>
          </w:p>
        </w:tc>
        <w:tc>
          <w:tcPr>
            <w:tcW w:w="860" w:type="pct"/>
            <w:vAlign w:val="center"/>
          </w:tcPr>
          <w:p w14:paraId="0B832B36">
            <w:pPr>
              <w:overflowPunct w:val="0"/>
              <w:topLinePunct/>
              <w:spacing w:line="360" w:lineRule="exact"/>
              <w:ind w:firstLine="0" w:firstLineChars="0"/>
              <w:jc w:val="center"/>
              <w:rPr>
                <w:rFonts w:hint="eastAsia"/>
                <w:color w:val="auto"/>
                <w:sz w:val="21"/>
                <w:szCs w:val="21"/>
                <w:highlight w:val="none"/>
              </w:rPr>
            </w:pPr>
            <w:r>
              <w:rPr>
                <w:rFonts w:hint="eastAsia"/>
                <w:color w:val="auto"/>
                <w:sz w:val="21"/>
                <w:szCs w:val="21"/>
                <w:highlight w:val="none"/>
                <w:lang w:val="en-US" w:eastAsia="zh-CN"/>
              </w:rPr>
              <w:t>982.56</w:t>
            </w:r>
          </w:p>
        </w:tc>
        <w:tc>
          <w:tcPr>
            <w:tcW w:w="861" w:type="pct"/>
            <w:vAlign w:val="center"/>
          </w:tcPr>
          <w:p w14:paraId="3D4E1B73">
            <w:pPr>
              <w:overflowPunct w:val="0"/>
              <w:topLinePunct/>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24.56</w:t>
            </w:r>
          </w:p>
        </w:tc>
        <w:tc>
          <w:tcPr>
            <w:tcW w:w="1036" w:type="pct"/>
            <w:vAlign w:val="center"/>
          </w:tcPr>
          <w:p w14:paraId="74E576B3">
            <w:pPr>
              <w:overflowPunct w:val="0"/>
              <w:topLinePunct/>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97.00</w:t>
            </w:r>
          </w:p>
        </w:tc>
        <w:tc>
          <w:tcPr>
            <w:tcW w:w="1354" w:type="pct"/>
            <w:vAlign w:val="center"/>
          </w:tcPr>
          <w:p w14:paraId="19ACC19D">
            <w:pPr>
              <w:overflowPunct w:val="0"/>
              <w:topLinePunct/>
              <w:spacing w:line="360" w:lineRule="exact"/>
              <w:ind w:firstLine="0" w:firstLineChars="0"/>
              <w:jc w:val="center"/>
              <w:rPr>
                <w:rFonts w:hint="eastAsia"/>
                <w:color w:val="auto"/>
                <w:sz w:val="21"/>
                <w:szCs w:val="21"/>
                <w:highlight w:val="none"/>
              </w:rPr>
            </w:pPr>
            <w:r>
              <w:rPr>
                <w:rFonts w:hint="eastAsia"/>
                <w:color w:val="auto"/>
                <w:sz w:val="21"/>
                <w:szCs w:val="21"/>
                <w:highlight w:val="none"/>
              </w:rPr>
              <w:t>80.00</w:t>
            </w:r>
          </w:p>
        </w:tc>
      </w:tr>
      <w:tr w14:paraId="06B7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pct"/>
            <w:vAlign w:val="center"/>
          </w:tcPr>
          <w:p w14:paraId="69D42E49">
            <w:pPr>
              <w:overflowPunct w:val="0"/>
              <w:topLinePunct/>
              <w:spacing w:line="360" w:lineRule="exact"/>
              <w:ind w:firstLine="0" w:firstLineChars="0"/>
              <w:jc w:val="center"/>
              <w:rPr>
                <w:rFonts w:hint="eastAsia"/>
                <w:color w:val="auto"/>
                <w:sz w:val="21"/>
                <w:szCs w:val="21"/>
                <w:highlight w:val="none"/>
              </w:rPr>
            </w:pPr>
            <w:r>
              <w:rPr>
                <w:rFonts w:hint="eastAsia"/>
                <w:color w:val="auto"/>
                <w:sz w:val="21"/>
                <w:szCs w:val="21"/>
                <w:highlight w:val="none"/>
              </w:rPr>
              <w:t>尾矿</w:t>
            </w:r>
          </w:p>
        </w:tc>
        <w:tc>
          <w:tcPr>
            <w:tcW w:w="860" w:type="pct"/>
            <w:vAlign w:val="center"/>
          </w:tcPr>
          <w:p w14:paraId="10E4BF7A">
            <w:pPr>
              <w:overflowPunct w:val="0"/>
              <w:topLinePunct/>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3017.52</w:t>
            </w:r>
          </w:p>
        </w:tc>
        <w:tc>
          <w:tcPr>
            <w:tcW w:w="861" w:type="pct"/>
            <w:vAlign w:val="center"/>
          </w:tcPr>
          <w:p w14:paraId="57C9DAA6">
            <w:pPr>
              <w:overflowPunct w:val="0"/>
              <w:topLinePunct/>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75.44</w:t>
            </w:r>
          </w:p>
        </w:tc>
        <w:tc>
          <w:tcPr>
            <w:tcW w:w="1036" w:type="pct"/>
            <w:vAlign w:val="center"/>
          </w:tcPr>
          <w:p w14:paraId="3DB6EB32">
            <w:pPr>
              <w:overflowPunct w:val="0"/>
              <w:topLinePunct/>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7.90</w:t>
            </w:r>
          </w:p>
        </w:tc>
        <w:tc>
          <w:tcPr>
            <w:tcW w:w="1354" w:type="pct"/>
            <w:vAlign w:val="center"/>
          </w:tcPr>
          <w:p w14:paraId="0952F3DE">
            <w:pPr>
              <w:overflowPunct w:val="0"/>
              <w:topLinePunct/>
              <w:spacing w:line="360" w:lineRule="exact"/>
              <w:ind w:firstLine="0" w:firstLineChars="0"/>
              <w:jc w:val="center"/>
              <w:rPr>
                <w:rFonts w:hint="eastAsia"/>
                <w:color w:val="auto"/>
                <w:sz w:val="21"/>
                <w:szCs w:val="21"/>
                <w:highlight w:val="none"/>
              </w:rPr>
            </w:pPr>
            <w:r>
              <w:rPr>
                <w:rFonts w:hint="eastAsia"/>
                <w:color w:val="auto"/>
                <w:sz w:val="21"/>
                <w:szCs w:val="21"/>
                <w:highlight w:val="none"/>
              </w:rPr>
              <w:t>20.00</w:t>
            </w:r>
          </w:p>
        </w:tc>
      </w:tr>
    </w:tbl>
    <w:p w14:paraId="2B43BA72">
      <w:pPr>
        <w:pStyle w:val="6"/>
        <w:rPr>
          <w:rFonts w:hint="eastAsia"/>
          <w:color w:val="auto"/>
          <w:highlight w:val="none"/>
          <w:lang w:val="en-US" w:eastAsia="zh-CN"/>
        </w:rPr>
      </w:pPr>
      <w:bookmarkStart w:id="395" w:name="_Toc24592"/>
      <w:bookmarkStart w:id="396" w:name="_Toc20558"/>
      <w:bookmarkStart w:id="397" w:name="_Toc14983"/>
      <w:bookmarkStart w:id="398" w:name="_Toc4348"/>
      <w:bookmarkStart w:id="399" w:name="_Toc22294"/>
      <w:bookmarkStart w:id="400" w:name="_Toc7773"/>
      <w:bookmarkStart w:id="401" w:name="_Toc2239"/>
      <w:r>
        <w:rPr>
          <w:color w:val="auto"/>
          <w:highlight w:val="none"/>
        </w:rPr>
        <w:t>3.</w:t>
      </w:r>
      <w:r>
        <w:rPr>
          <w:rFonts w:hint="eastAsia"/>
          <w:color w:val="auto"/>
          <w:highlight w:val="none"/>
          <w:lang w:val="en-US" w:eastAsia="zh-CN"/>
        </w:rPr>
        <w:t>2</w:t>
      </w:r>
      <w:r>
        <w:rPr>
          <w:color w:val="auto"/>
          <w:highlight w:val="none"/>
        </w:rPr>
        <w:t>.</w:t>
      </w:r>
      <w:r>
        <w:rPr>
          <w:rFonts w:hint="eastAsia"/>
          <w:color w:val="auto"/>
          <w:highlight w:val="none"/>
          <w:lang w:val="en-US" w:eastAsia="zh-CN"/>
        </w:rPr>
        <w:t>3尾矿设施</w:t>
      </w:r>
    </w:p>
    <w:p w14:paraId="3CAA4A45">
      <w:pPr>
        <w:pStyle w:val="7"/>
        <w:bidi w:val="0"/>
        <w:rPr>
          <w:color w:val="auto"/>
          <w:highlight w:val="none"/>
        </w:rPr>
      </w:pPr>
      <w:r>
        <w:rPr>
          <w:rFonts w:hint="eastAsia"/>
          <w:color w:val="auto"/>
          <w:highlight w:val="none"/>
          <w:lang w:val="en-US" w:eastAsia="zh-CN"/>
        </w:rPr>
        <w:t>3.2.3.1</w:t>
      </w:r>
      <w:r>
        <w:rPr>
          <w:color w:val="auto"/>
          <w:highlight w:val="none"/>
          <w:lang w:val="en-US" w:eastAsia="zh-CN"/>
        </w:rPr>
        <w:t>尾矿处置方案</w:t>
      </w:r>
    </w:p>
    <w:p w14:paraId="12A870AA">
      <w:pPr>
        <w:bidi w:val="0"/>
        <w:rPr>
          <w:color w:val="auto"/>
          <w:highlight w:val="none"/>
        </w:rPr>
      </w:pPr>
      <w:r>
        <w:rPr>
          <w:color w:val="auto"/>
          <w:highlight w:val="none"/>
          <w:lang w:val="en-US" w:eastAsia="zh-CN"/>
        </w:rPr>
        <w:t>选厂产出的尾矿一部分用于地下采场充填，一部分输送至尾矿库</w:t>
      </w:r>
      <w:r>
        <w:rPr>
          <w:rFonts w:hint="eastAsia"/>
          <w:color w:val="auto"/>
          <w:highlight w:val="none"/>
          <w:lang w:val="en-US" w:eastAsia="zh-CN"/>
        </w:rPr>
        <w:t>堆存，两种工况同时运行。选矿厂产出尾矿的排放浓度约为15.25%。</w:t>
      </w:r>
    </w:p>
    <w:p w14:paraId="5AD7D002">
      <w:pPr>
        <w:bidi w:val="0"/>
        <w:rPr>
          <w:color w:val="auto"/>
          <w:highlight w:val="none"/>
        </w:rPr>
      </w:pPr>
      <w:r>
        <w:rPr>
          <w:rFonts w:hint="eastAsia"/>
          <w:color w:val="auto"/>
          <w:highlight w:val="none"/>
          <w:lang w:val="en-US" w:eastAsia="zh-CN"/>
        </w:rPr>
        <w:t>在选矿厂区布置一座尾矿浓缩车间，内设1台φ35m高效浓密机进行尾矿浓缩，浓密机溢流水返回选矿厂重复利用；将浓缩至35%浓度的尾矿输送至尾矿输送系统，尾矿输送系统分为至充填站输送和至尾矿库输送两部分。浓密机下方布置4台底流渣浆泵，至充填站输送系统采用2台底流渣浆泵（1用1备）将充填用尾矿输送至充填站深锥浓密机；尾矿库输送系统需在浓缩车间旁布置尾矿输送泵站，内设</w:t>
      </w:r>
      <w:r>
        <w:rPr>
          <w:color w:val="auto"/>
          <w:highlight w:val="none"/>
          <w:lang w:val="en-US" w:eastAsia="zh-CN"/>
        </w:rPr>
        <w:t>2台水隔膜泵（1用1备），将尾矿库堆存的尾矿由2台底流渣浆泵（1</w:t>
      </w:r>
      <w:r>
        <w:rPr>
          <w:rFonts w:hint="eastAsia"/>
          <w:color w:val="auto"/>
          <w:highlight w:val="none"/>
          <w:lang w:val="en-US" w:eastAsia="zh-CN"/>
        </w:rPr>
        <w:t>用1备）送至尾矿输送泵站，再经水隔膜泵输送至尾矿库。库内澄清水通过浮船泵站返至选厂回用。</w:t>
      </w:r>
    </w:p>
    <w:p w14:paraId="03D244F3">
      <w:pPr>
        <w:pStyle w:val="7"/>
        <w:bidi w:val="0"/>
        <w:rPr>
          <w:color w:val="auto"/>
          <w:highlight w:val="none"/>
        </w:rPr>
      </w:pPr>
      <w:r>
        <w:rPr>
          <w:rFonts w:hint="eastAsia"/>
          <w:color w:val="auto"/>
          <w:highlight w:val="none"/>
          <w:lang w:val="en-US" w:eastAsia="zh-CN"/>
        </w:rPr>
        <w:t>3.2.3.2</w:t>
      </w:r>
      <w:r>
        <w:rPr>
          <w:color w:val="auto"/>
          <w:highlight w:val="none"/>
          <w:lang w:val="en-US" w:eastAsia="zh-CN"/>
        </w:rPr>
        <w:t>尾矿库</w:t>
      </w:r>
    </w:p>
    <w:p w14:paraId="52D0AE18">
      <w:pPr>
        <w:bidi w:val="0"/>
        <w:rPr>
          <w:color w:val="auto"/>
          <w:highlight w:val="none"/>
        </w:rPr>
      </w:pPr>
      <w:r>
        <w:rPr>
          <w:color w:val="auto"/>
          <w:highlight w:val="none"/>
          <w:lang w:val="en-US" w:eastAsia="zh-CN"/>
        </w:rPr>
        <w:t>尾矿库库址位于选厂东南方向，距选厂直线距离约</w:t>
      </w:r>
      <w:r>
        <w:rPr>
          <w:rFonts w:hint="eastAsia"/>
          <w:color w:val="auto"/>
          <w:highlight w:val="none"/>
          <w:lang w:val="en-US" w:eastAsia="zh-CN"/>
        </w:rPr>
        <w:t>2.5</w:t>
      </w:r>
      <w:r>
        <w:rPr>
          <w:color w:val="auto"/>
          <w:highlight w:val="none"/>
          <w:lang w:val="en-US" w:eastAsia="zh-CN"/>
        </w:rPr>
        <w:t>km。库区</w:t>
      </w:r>
      <w:r>
        <w:rPr>
          <w:rFonts w:hint="eastAsia"/>
          <w:color w:val="auto"/>
          <w:highlight w:val="none"/>
          <w:lang w:val="en-US" w:eastAsia="zh-CN"/>
        </w:rPr>
        <w:t>由一个山谷组成，该库址及周边区域内无村庄，下游为若羌河上游支流阿克苏河。该尾矿库占地面积约80hm</w:t>
      </w:r>
      <w:r>
        <w:rPr>
          <w:rFonts w:hint="eastAsia"/>
          <w:color w:val="auto"/>
          <w:highlight w:val="none"/>
          <w:vertAlign w:val="superscript"/>
          <w:lang w:val="en-US" w:eastAsia="zh-CN"/>
        </w:rPr>
        <w:t>2</w:t>
      </w:r>
      <w:r>
        <w:rPr>
          <w:rFonts w:hint="eastAsia"/>
          <w:color w:val="auto"/>
          <w:highlight w:val="none"/>
          <w:lang w:val="en-US" w:eastAsia="zh-CN"/>
        </w:rPr>
        <w:t>，汇水面积约685hm</w:t>
      </w:r>
      <w:r>
        <w:rPr>
          <w:rFonts w:hint="eastAsia"/>
          <w:color w:val="auto"/>
          <w:highlight w:val="none"/>
          <w:vertAlign w:val="superscript"/>
          <w:lang w:val="en-US" w:eastAsia="zh-CN"/>
        </w:rPr>
        <w:t>2</w:t>
      </w:r>
      <w:r>
        <w:rPr>
          <w:rFonts w:hint="eastAsia"/>
          <w:color w:val="auto"/>
          <w:highlight w:val="none"/>
          <w:lang w:val="en-US" w:eastAsia="zh-CN"/>
        </w:rPr>
        <w:t>。</w:t>
      </w:r>
    </w:p>
    <w:p w14:paraId="56C6637C">
      <w:pPr>
        <w:bidi w:val="0"/>
        <w:rPr>
          <w:color w:val="auto"/>
          <w:highlight w:val="none"/>
        </w:rPr>
      </w:pPr>
      <w:r>
        <w:rPr>
          <w:rFonts w:hint="eastAsia"/>
          <w:color w:val="auto"/>
          <w:sz w:val="24"/>
          <w:szCs w:val="24"/>
          <w:highlight w:val="none"/>
          <w:lang w:val="en-US" w:eastAsia="zh-CN"/>
        </w:rPr>
        <w:t>最终确定尾矿库终期坝顶标高为3144m，总坝高为73m，尾矿库总库容为2062.4×10</w:t>
      </w:r>
      <w:r>
        <w:rPr>
          <w:rFonts w:hint="eastAsia"/>
          <w:color w:val="auto"/>
          <w:sz w:val="24"/>
          <w:szCs w:val="24"/>
          <w:highlight w:val="none"/>
          <w:vertAlign w:val="superscript"/>
          <w:lang w:val="en-US" w:eastAsia="zh-CN"/>
        </w:rPr>
        <w:t>4</w:t>
      </w:r>
      <w:r>
        <w:rPr>
          <w:rFonts w:hint="eastAsia"/>
          <w:color w:val="auto"/>
          <w:sz w:val="24"/>
          <w:szCs w:val="24"/>
          <w:highlight w:val="none"/>
          <w:lang w:val="en-US" w:eastAsia="zh-CN"/>
        </w:rPr>
        <w:t>m</w:t>
      </w:r>
      <w:r>
        <w:rPr>
          <w:rFonts w:hint="eastAsia"/>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r>
        <w:rPr>
          <w:rFonts w:hint="eastAsia" w:ascii="Times New Roman" w:hAnsi="Times New Roman" w:cs="Times New Roman"/>
          <w:color w:val="auto"/>
          <w:sz w:val="24"/>
          <w:szCs w:val="24"/>
          <w:highlight w:val="none"/>
        </w:rPr>
        <w:t>有效库容约为</w:t>
      </w:r>
      <w:r>
        <w:rPr>
          <w:rFonts w:hint="eastAsia" w:ascii="Times New Roman" w:hAnsi="Times New Roman" w:cs="Times New Roman"/>
          <w:color w:val="auto"/>
          <w:sz w:val="24"/>
          <w:szCs w:val="24"/>
          <w:highlight w:val="none"/>
          <w:lang w:val="en-US" w:eastAsia="zh-CN"/>
        </w:rPr>
        <w:t>1443.67</w:t>
      </w:r>
      <w:r>
        <w:rPr>
          <w:rFonts w:hint="eastAsia" w:ascii="Times New Roman" w:hAnsi="Times New Roman" w:cs="Times New Roman"/>
          <w:color w:val="auto"/>
          <w:sz w:val="24"/>
          <w:szCs w:val="24"/>
          <w:highlight w:val="none"/>
        </w:rPr>
        <w:t>万m</w:t>
      </w:r>
      <w:r>
        <w:rPr>
          <w:rFonts w:hint="eastAsia" w:ascii="Times New Roman" w:hAnsi="Times New Roman" w:cs="Times New Roman"/>
          <w:color w:val="auto"/>
          <w:sz w:val="24"/>
          <w:szCs w:val="24"/>
          <w:highlight w:val="none"/>
          <w:vertAlign w:val="superscript"/>
        </w:rPr>
        <w:t>3</w:t>
      </w:r>
      <w:r>
        <w:rPr>
          <w:rFonts w:hint="eastAsia"/>
          <w:color w:val="auto"/>
          <w:sz w:val="24"/>
          <w:szCs w:val="24"/>
          <w:highlight w:val="none"/>
          <w:lang w:val="en-US" w:eastAsia="zh-CN"/>
        </w:rPr>
        <w:t>。</w:t>
      </w:r>
      <w:r>
        <w:rPr>
          <w:rFonts w:hint="eastAsia"/>
          <w:color w:val="auto"/>
          <w:highlight w:val="none"/>
          <w:lang w:val="en-US" w:eastAsia="zh-CN"/>
        </w:rPr>
        <w:t>尾矿库等别为三等，该尾矿库的主要构筑物（尾矿坝、排水井等）按3级构筑物设计，次要构筑物按5级构筑物设计，临时构筑物按5级构筑物考虑。</w:t>
      </w:r>
    </w:p>
    <w:p w14:paraId="5D77633A">
      <w:pPr>
        <w:pStyle w:val="7"/>
        <w:bidi w:val="0"/>
        <w:rPr>
          <w:rFonts w:hint="eastAsia"/>
          <w:color w:val="auto"/>
          <w:highlight w:val="none"/>
          <w:lang w:val="en-US" w:eastAsia="zh-CN"/>
        </w:rPr>
      </w:pPr>
      <w:r>
        <w:rPr>
          <w:rFonts w:hint="eastAsia"/>
          <w:color w:val="auto"/>
          <w:highlight w:val="none"/>
          <w:lang w:val="en-US" w:eastAsia="zh-CN"/>
        </w:rPr>
        <w:t>3.2.3.3尾矿坝</w:t>
      </w:r>
    </w:p>
    <w:p w14:paraId="3C5FA9F2">
      <w:pPr>
        <w:bidi w:val="0"/>
        <w:rPr>
          <w:color w:val="auto"/>
          <w:highlight w:val="none"/>
        </w:rPr>
      </w:pPr>
      <w:r>
        <w:rPr>
          <w:color w:val="auto"/>
          <w:highlight w:val="none"/>
          <w:lang w:val="en-US" w:eastAsia="zh-CN"/>
        </w:rPr>
        <w:t>（1）初期坝</w:t>
      </w:r>
    </w:p>
    <w:p w14:paraId="056E7101">
      <w:pPr>
        <w:bidi w:val="0"/>
        <w:rPr>
          <w:rFonts w:ascii="Times New Roman" w:hAnsi="Times New Roman" w:cs="Times New Roman"/>
          <w:color w:val="auto"/>
          <w:highlight w:val="none"/>
          <w:lang w:val="en-US" w:eastAsia="zh-CN"/>
        </w:rPr>
      </w:pPr>
      <w:r>
        <w:rPr>
          <w:color w:val="auto"/>
          <w:highlight w:val="none"/>
          <w:lang w:val="en-US" w:eastAsia="zh-CN"/>
        </w:rPr>
        <w:t>初期坝的型式为透水土石坝，坝轴线处地面标高为3071m，坝顶</w:t>
      </w:r>
      <w:r>
        <w:rPr>
          <w:rFonts w:hint="eastAsia"/>
          <w:color w:val="auto"/>
          <w:highlight w:val="none"/>
          <w:lang w:val="en-US" w:eastAsia="zh-CN"/>
        </w:rPr>
        <w:t>标高为3094m，坝</w:t>
      </w:r>
      <w:r>
        <w:rPr>
          <w:rFonts w:hint="eastAsia" w:ascii="Times New Roman" w:hAnsi="Times New Roman" w:cs="Times New Roman"/>
          <w:color w:val="auto"/>
          <w:highlight w:val="none"/>
          <w:lang w:val="en-US" w:eastAsia="zh-CN"/>
        </w:rPr>
        <w:t>高23m，坝轴线长410m，坝顶宽度为5m。</w:t>
      </w:r>
    </w:p>
    <w:p w14:paraId="5302F066">
      <w:pPr>
        <w:bidi w:val="0"/>
        <w:rPr>
          <w:rFonts w:ascii="Times New Roman" w:hAnsi="Times New Roman" w:cs="Times New Roman"/>
          <w:color w:val="auto"/>
          <w:highlight w:val="none"/>
          <w:lang w:val="en-US" w:eastAsia="zh-CN"/>
        </w:rPr>
      </w:pPr>
      <w:r>
        <w:rPr>
          <w:rFonts w:ascii="Times New Roman" w:hAnsi="Times New Roman" w:cs="Times New Roman"/>
          <w:color w:val="auto"/>
          <w:highlight w:val="none"/>
          <w:lang w:val="en-US" w:eastAsia="zh-CN"/>
        </w:rPr>
        <w:t>主填筑区筑坝材料采用库内开挖的石料。初期坝上游面反滤层，</w:t>
      </w:r>
      <w:r>
        <w:rPr>
          <w:rFonts w:hint="eastAsia" w:ascii="Times New Roman" w:hAnsi="Times New Roman" w:cs="Times New Roman"/>
          <w:color w:val="auto"/>
          <w:highlight w:val="none"/>
          <w:lang w:val="en-US" w:eastAsia="zh-CN"/>
        </w:rPr>
        <w:t>包括一层长丝无纺土工布和0.5m厚砂砾料，土工布规格为600g/m</w:t>
      </w:r>
      <w:r>
        <w:rPr>
          <w:rFonts w:hint="eastAsia" w:ascii="Times New Roman" w:hAnsi="Times New Roman" w:cs="Times New Roman"/>
          <w:color w:val="auto"/>
          <w:highlight w:val="none"/>
          <w:vertAlign w:val="superscript"/>
          <w:lang w:val="en-US" w:eastAsia="zh-CN"/>
        </w:rPr>
        <w:t>2</w:t>
      </w:r>
      <w:r>
        <w:rPr>
          <w:rFonts w:hint="eastAsia" w:ascii="Times New Roman" w:hAnsi="Times New Roman" w:cs="Times New Roman"/>
          <w:color w:val="auto"/>
          <w:highlight w:val="none"/>
          <w:lang w:val="en-US" w:eastAsia="zh-CN"/>
        </w:rPr>
        <w:t>，土工布以上设0.25m厚砂砾料，土工布以下设0.25m厚砂砾料和0.5m厚碎砾石料作为过渡层。为降低尾矿库前期运行过程渗水跑浑，在土工布与下反滤层间设一层1.5mm厚双糙面土工膜，土工膜铺设至3077m标高，并与库内土工膜焊接。</w:t>
      </w:r>
    </w:p>
    <w:p w14:paraId="28A81DFB">
      <w:pPr>
        <w:bidi w:val="0"/>
        <w:rPr>
          <w:color w:val="auto"/>
          <w:highlight w:val="none"/>
        </w:rPr>
      </w:pPr>
      <w:r>
        <w:rPr>
          <w:rFonts w:hint="eastAsia"/>
          <w:color w:val="auto"/>
          <w:highlight w:val="none"/>
          <w:lang w:val="en-US" w:eastAsia="zh-CN"/>
        </w:rPr>
        <w:t>（2）堆积坝</w:t>
      </w:r>
    </w:p>
    <w:p w14:paraId="56A2FD07">
      <w:pPr>
        <w:bidi w:val="0"/>
        <w:rPr>
          <w:rFonts w:hint="eastAsia"/>
          <w:color w:val="auto"/>
          <w:highlight w:val="none"/>
          <w:lang w:val="en-US" w:eastAsia="zh-CN"/>
        </w:rPr>
      </w:pPr>
      <w:r>
        <w:rPr>
          <w:rFonts w:hint="eastAsia"/>
          <w:color w:val="auto"/>
          <w:highlight w:val="none"/>
          <w:lang w:val="en-US" w:eastAsia="zh-CN"/>
        </w:rPr>
        <w:t>尾矿堆积坝采用上游式尾矿筑坝，最终堆积坝顶标高3144m，堆积坝高度50m，最终坝长596m。尾矿筑坝方法采用直接冲积筑坝法。</w:t>
      </w:r>
    </w:p>
    <w:p w14:paraId="3A57C829">
      <w:pPr>
        <w:pStyle w:val="7"/>
        <w:bidi w:val="0"/>
        <w:rPr>
          <w:color w:val="auto"/>
          <w:highlight w:val="none"/>
        </w:rPr>
      </w:pPr>
      <w:r>
        <w:rPr>
          <w:rFonts w:hint="eastAsia"/>
          <w:color w:val="auto"/>
          <w:highlight w:val="none"/>
          <w:lang w:val="en-US" w:eastAsia="zh-CN"/>
        </w:rPr>
        <w:t>3.2.3.4</w:t>
      </w:r>
      <w:r>
        <w:rPr>
          <w:color w:val="auto"/>
          <w:highlight w:val="none"/>
          <w:lang w:val="en-US" w:eastAsia="zh-CN"/>
        </w:rPr>
        <w:t>排洪设施</w:t>
      </w:r>
    </w:p>
    <w:p w14:paraId="71B1AE3D">
      <w:pPr>
        <w:bidi w:val="0"/>
        <w:rPr>
          <w:color w:val="auto"/>
          <w:highlight w:val="none"/>
        </w:rPr>
      </w:pPr>
      <w:r>
        <w:rPr>
          <w:color w:val="auto"/>
          <w:highlight w:val="none"/>
          <w:lang w:val="en-US" w:eastAsia="zh-CN"/>
        </w:rPr>
        <w:t>库内排洪设施为“框架式排水井+隧洞”型式，布置在尾矿库西侧</w:t>
      </w:r>
      <w:r>
        <w:rPr>
          <w:rFonts w:hint="eastAsia"/>
          <w:color w:val="auto"/>
          <w:highlight w:val="none"/>
          <w:lang w:val="en-US" w:eastAsia="zh-CN"/>
        </w:rPr>
        <w:t>主沟，分四期建设。库内共设四座排水井、一条主洞和三条支洞，均为钢筋混凝土结构。排水井内径2.5m，1号～3号排水井井架高15m，4号排水井井架高12m；排洪隧洞为圆拱直墙式，净宽2m，直墙高1m，顶拱高1m，最大洞高2m，主洞出口底标高为3073.5m，坡度为0.02隧洞总长约1611m。</w:t>
      </w:r>
    </w:p>
    <w:p w14:paraId="7B0DF7DA">
      <w:pPr>
        <w:pStyle w:val="7"/>
        <w:bidi w:val="0"/>
        <w:rPr>
          <w:color w:val="auto"/>
          <w:highlight w:val="none"/>
        </w:rPr>
      </w:pPr>
      <w:r>
        <w:rPr>
          <w:rFonts w:hint="eastAsia"/>
          <w:color w:val="auto"/>
          <w:highlight w:val="none"/>
          <w:lang w:val="en-US" w:eastAsia="zh-CN"/>
        </w:rPr>
        <w:t>3.2.3.5</w:t>
      </w:r>
      <w:r>
        <w:rPr>
          <w:color w:val="auto"/>
          <w:highlight w:val="none"/>
          <w:lang w:val="en-US" w:eastAsia="zh-CN"/>
        </w:rPr>
        <w:t>尾矿库污染控制</w:t>
      </w:r>
    </w:p>
    <w:p w14:paraId="3B2634FE">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为防止尾矿库内水及尾矿对周边环境的污染，尾矿库设置了防渗、截渗、渗水回收、拦砂及库周清污分流设施。</w:t>
      </w:r>
    </w:p>
    <w:p w14:paraId="45319191">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尾矿库防渗措施应符合《一般工业固体废物贮存和填埋污染控制标准》GB18599-2020的Ⅰ类固废防渗规定，尾矿库库内采用土工合成材料防渗。库内防渗层由下至上为：压实平整地基、4</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00g/m</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GCL、1.5mm厚HDPE土工膜、400g/m</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土工布。</w:t>
      </w:r>
    </w:p>
    <w:p w14:paraId="554A5874">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尾矿库截渗及渗水回收设施包括截渗坝、渗水回收池、渗水回收泵站组成。</w:t>
      </w:r>
    </w:p>
    <w:p w14:paraId="34C57B90">
      <w:pPr>
        <w:pStyle w:val="7"/>
        <w:bidi w:val="0"/>
        <w:rPr>
          <w:color w:val="auto"/>
          <w:highlight w:val="none"/>
        </w:rPr>
      </w:pPr>
      <w:r>
        <w:rPr>
          <w:rFonts w:hint="eastAsia"/>
          <w:color w:val="auto"/>
          <w:highlight w:val="none"/>
          <w:lang w:val="en-US" w:eastAsia="zh-CN"/>
        </w:rPr>
        <w:t>3.2.3.6</w:t>
      </w:r>
      <w:r>
        <w:rPr>
          <w:color w:val="auto"/>
          <w:highlight w:val="none"/>
          <w:lang w:val="en-US" w:eastAsia="zh-CN"/>
        </w:rPr>
        <w:t>尾矿浓缩输送及排放</w:t>
      </w:r>
    </w:p>
    <w:p w14:paraId="49250CD4">
      <w:pPr>
        <w:bidi w:val="0"/>
        <w:rPr>
          <w:color w:val="auto"/>
          <w:highlight w:val="none"/>
        </w:rPr>
      </w:pPr>
      <w:r>
        <w:rPr>
          <w:rFonts w:hint="eastAsia"/>
          <w:color w:val="auto"/>
          <w:highlight w:val="none"/>
          <w:lang w:val="en-US" w:eastAsia="zh-CN"/>
        </w:rPr>
        <w:t>本项目选厂产出的尾矿一部分用于地下采场充填，一部分输送至尾矿库堆存，两种工况同时运行。</w:t>
      </w:r>
    </w:p>
    <w:p w14:paraId="197731B1">
      <w:pPr>
        <w:bidi w:val="0"/>
        <w:rPr>
          <w:color w:val="auto"/>
          <w:highlight w:val="none"/>
        </w:rPr>
      </w:pPr>
      <w:r>
        <w:rPr>
          <w:rFonts w:hint="eastAsia"/>
          <w:color w:val="auto"/>
          <w:highlight w:val="none"/>
          <w:lang w:val="en-US" w:eastAsia="zh-CN"/>
        </w:rPr>
        <w:t>在选矿厂区布置尾矿浓缩车间，内设1台高效浓密机进行尾矿浓缩，浓密机溢流水返回选厂重复利用；将浓缩后的尾矿输送至尾矿输送系统，尾矿输送系统分为充填站喂料输送和尾矿库输送两部分。充填站喂料输送系统采用底流渣浆泵直接将充填用尾矿输送至充填站；尾矿库输送系统在浓缩车间旁布置尾矿输送泵站，内设隔膜泵，将尾矿库堆存的尾矿由底流渣浆泵送至尾矿输送泵站，再经隔膜泵送至尾矿库堆存。</w:t>
      </w:r>
    </w:p>
    <w:p w14:paraId="091C3BB8">
      <w:pPr>
        <w:pStyle w:val="7"/>
        <w:bidi w:val="0"/>
        <w:rPr>
          <w:color w:val="auto"/>
          <w:highlight w:val="none"/>
        </w:rPr>
      </w:pPr>
      <w:r>
        <w:rPr>
          <w:rFonts w:hint="eastAsia"/>
          <w:color w:val="auto"/>
          <w:highlight w:val="none"/>
          <w:lang w:val="en-US" w:eastAsia="zh-CN"/>
        </w:rPr>
        <w:t>3.2.3.7</w:t>
      </w:r>
      <w:r>
        <w:rPr>
          <w:color w:val="auto"/>
          <w:highlight w:val="none"/>
          <w:lang w:val="en-US" w:eastAsia="zh-CN"/>
        </w:rPr>
        <w:t>尾矿回水设施</w:t>
      </w:r>
    </w:p>
    <w:p w14:paraId="0C69DBAC">
      <w:pPr>
        <w:bidi w:val="0"/>
        <w:rPr>
          <w:color w:val="auto"/>
          <w:highlight w:val="none"/>
        </w:rPr>
      </w:pPr>
      <w:r>
        <w:rPr>
          <w:rFonts w:hint="eastAsia"/>
          <w:color w:val="auto"/>
          <w:highlight w:val="none"/>
          <w:lang w:val="en-US" w:eastAsia="zh-CN"/>
        </w:rPr>
        <w:t>尾矿浓缩机的厂前回水量为12000m</w:t>
      </w:r>
      <w:r>
        <w:rPr>
          <w:rFonts w:hint="eastAsia"/>
          <w:color w:val="auto"/>
          <w:highlight w:val="none"/>
          <w:vertAlign w:val="superscript"/>
          <w:lang w:val="en-US" w:eastAsia="zh-CN"/>
        </w:rPr>
        <w:t>3</w:t>
      </w:r>
      <w:r>
        <w:rPr>
          <w:rFonts w:hint="eastAsia"/>
          <w:color w:val="auto"/>
          <w:highlight w:val="none"/>
          <w:lang w:val="en-US" w:eastAsia="zh-CN"/>
        </w:rPr>
        <w:t>/d，尾矿库库内回水量约2700m</w:t>
      </w:r>
      <w:r>
        <w:rPr>
          <w:rFonts w:hint="eastAsia"/>
          <w:color w:val="auto"/>
          <w:highlight w:val="none"/>
          <w:vertAlign w:val="superscript"/>
          <w:lang w:val="en-US" w:eastAsia="zh-CN"/>
        </w:rPr>
        <w:t>3</w:t>
      </w:r>
      <w:r>
        <w:rPr>
          <w:rFonts w:hint="eastAsia"/>
          <w:color w:val="auto"/>
          <w:highlight w:val="none"/>
          <w:lang w:val="en-US" w:eastAsia="zh-CN"/>
        </w:rPr>
        <w:t>/d。</w:t>
      </w:r>
    </w:p>
    <w:p w14:paraId="247A0954">
      <w:pPr>
        <w:bidi w:val="0"/>
        <w:rPr>
          <w:color w:val="auto"/>
          <w:highlight w:val="none"/>
        </w:rPr>
      </w:pPr>
      <w:r>
        <w:rPr>
          <w:rFonts w:hint="eastAsia"/>
          <w:color w:val="auto"/>
          <w:highlight w:val="none"/>
          <w:lang w:val="en-US" w:eastAsia="zh-CN"/>
        </w:rPr>
        <w:t>尾矿库库内回水通过取水设施及回水管线回水至选厂高位水池。其中取水设施采用浮船泵站，浮船泵站设厂房和采暖设施，保证冬季能顺利取水。</w:t>
      </w:r>
    </w:p>
    <w:p w14:paraId="1976F071">
      <w:pPr>
        <w:bidi w:val="0"/>
        <w:rPr>
          <w:color w:val="auto"/>
          <w:highlight w:val="none"/>
        </w:rPr>
      </w:pPr>
      <w:r>
        <w:rPr>
          <w:rFonts w:hint="eastAsia"/>
          <w:color w:val="auto"/>
          <w:highlight w:val="none"/>
          <w:lang w:val="en-US" w:eastAsia="zh-CN"/>
        </w:rPr>
        <w:t>尾矿库运行期间浮船泵站需进行移位2次，一期浮船泵站使用标高为3082m～3094m，二期浮船移位后使用标高为3094m～3119m，3期浮船移位后使用标高为3119m～3144m。</w:t>
      </w:r>
    </w:p>
    <w:bookmarkEnd w:id="395"/>
    <w:bookmarkEnd w:id="396"/>
    <w:bookmarkEnd w:id="397"/>
    <w:bookmarkEnd w:id="398"/>
    <w:bookmarkEnd w:id="399"/>
    <w:bookmarkEnd w:id="400"/>
    <w:bookmarkEnd w:id="401"/>
    <w:p w14:paraId="0194316D">
      <w:pPr>
        <w:pStyle w:val="5"/>
        <w:bidi w:val="0"/>
        <w:rPr>
          <w:rFonts w:hint="eastAsia"/>
          <w:color w:val="auto"/>
          <w:highlight w:val="none"/>
        </w:rPr>
      </w:pPr>
      <w:bookmarkStart w:id="402" w:name="_Toc18332"/>
      <w:bookmarkStart w:id="403" w:name="_Toc4236"/>
      <w:bookmarkStart w:id="404" w:name="_Toc14786"/>
      <w:bookmarkStart w:id="405" w:name="_Toc27392"/>
      <w:r>
        <w:rPr>
          <w:rFonts w:hint="eastAsia"/>
          <w:color w:val="auto"/>
          <w:highlight w:val="none"/>
        </w:rPr>
        <w:t>3.</w:t>
      </w:r>
      <w:r>
        <w:rPr>
          <w:rFonts w:hint="eastAsia"/>
          <w:color w:val="auto"/>
          <w:highlight w:val="none"/>
          <w:lang w:val="en-US" w:eastAsia="zh-CN"/>
        </w:rPr>
        <w:t>3</w:t>
      </w:r>
      <w:r>
        <w:rPr>
          <w:rFonts w:hint="eastAsia"/>
          <w:color w:val="auto"/>
          <w:highlight w:val="none"/>
        </w:rPr>
        <w:t>运营期污染源及污染物分析</w:t>
      </w:r>
      <w:bookmarkEnd w:id="402"/>
      <w:bookmarkEnd w:id="403"/>
      <w:bookmarkEnd w:id="404"/>
      <w:bookmarkEnd w:id="405"/>
    </w:p>
    <w:p w14:paraId="4970E3AE">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本项目前期基础建设已基本完成，施工期主要影响为地下斜井、辅助斜坡道、进风井、回风井、选矿厂、尾矿库、矿山道路建设及材料运输、供电、给排水设施建设产生的噪声、扬尘、废土石等。目前矿山基建期（施工期）已结束，</w:t>
      </w:r>
      <w:r>
        <w:rPr>
          <w:rFonts w:ascii="宋体" w:hAnsi="宋体" w:eastAsia="宋体" w:cs="宋体"/>
          <w:color w:val="auto"/>
          <w:kern w:val="0"/>
          <w:sz w:val="24"/>
          <w:szCs w:val="24"/>
          <w:highlight w:val="none"/>
          <w:lang w:val="en-US" w:eastAsia="zh-CN" w:bidi="ar"/>
        </w:rPr>
        <w:t>施工期对周边环境的临时影响已逐步消退</w:t>
      </w:r>
      <w:r>
        <w:rPr>
          <w:rFonts w:hint="eastAsia" w:ascii="宋体" w:hAnsi="宋体" w:eastAsia="宋体" w:cs="宋体"/>
          <w:color w:val="auto"/>
          <w:kern w:val="0"/>
          <w:sz w:val="24"/>
          <w:szCs w:val="24"/>
          <w:highlight w:val="none"/>
          <w:lang w:val="en-US" w:eastAsia="zh-CN" w:bidi="ar"/>
        </w:rPr>
        <w:t>，后续本次评价结束后即可进入运营期，故本次评价不进行施工期污染物源强分析。</w:t>
      </w:r>
    </w:p>
    <w:p w14:paraId="473EFBCD">
      <w:pPr>
        <w:pStyle w:val="6"/>
        <w:bidi w:val="0"/>
        <w:rPr>
          <w:rFonts w:hint="eastAsia"/>
          <w:color w:val="auto"/>
          <w:highlight w:val="none"/>
          <w:lang w:val="en-US" w:eastAsia="zh-CN"/>
        </w:rPr>
      </w:pPr>
      <w:r>
        <w:rPr>
          <w:rFonts w:hint="eastAsia"/>
          <w:color w:val="auto"/>
          <w:highlight w:val="none"/>
          <w:lang w:val="en-US" w:eastAsia="zh-CN"/>
        </w:rPr>
        <w:t>3.3.1废气</w:t>
      </w:r>
    </w:p>
    <w:p w14:paraId="49A62332">
      <w:pPr>
        <w:pStyle w:val="7"/>
        <w:bidi w:val="0"/>
        <w:rPr>
          <w:rFonts w:hint="default"/>
          <w:color w:val="auto"/>
          <w:highlight w:val="none"/>
          <w:lang w:val="en-US" w:eastAsia="zh-CN"/>
        </w:rPr>
      </w:pPr>
      <w:r>
        <w:rPr>
          <w:rFonts w:hint="eastAsia"/>
          <w:color w:val="auto"/>
          <w:highlight w:val="none"/>
          <w:lang w:val="en-US" w:eastAsia="zh-CN"/>
        </w:rPr>
        <w:t>3.3.1.1采矿工程</w:t>
      </w:r>
    </w:p>
    <w:p w14:paraId="3257AE18">
      <w:pPr>
        <w:bidi w:val="0"/>
        <w:rPr>
          <w:color w:val="auto"/>
          <w:highlight w:val="none"/>
        </w:rPr>
      </w:pPr>
      <w:r>
        <w:rPr>
          <w:color w:val="auto"/>
          <w:highlight w:val="none"/>
        </w:rPr>
        <w:t>本项目采矿过程中产生的废气主要</w:t>
      </w:r>
      <w:r>
        <w:rPr>
          <w:rFonts w:hint="eastAsia"/>
          <w:color w:val="auto"/>
          <w:highlight w:val="none"/>
          <w:lang w:val="en-US" w:eastAsia="zh-CN"/>
        </w:rPr>
        <w:t>包括</w:t>
      </w:r>
      <w:r>
        <w:rPr>
          <w:color w:val="auto"/>
          <w:highlight w:val="none"/>
        </w:rPr>
        <w:t>：</w:t>
      </w:r>
      <w:r>
        <w:rPr>
          <w:rFonts w:hint="eastAsia"/>
          <w:color w:val="auto"/>
          <w:highlight w:val="none"/>
          <w:lang w:eastAsia="zh-CN"/>
        </w:rPr>
        <w:t>①</w:t>
      </w:r>
      <w:r>
        <w:rPr>
          <w:color w:val="auto"/>
          <w:highlight w:val="none"/>
        </w:rPr>
        <w:t>炸药爆破废气，</w:t>
      </w:r>
      <w:r>
        <w:rPr>
          <w:rFonts w:hint="eastAsia"/>
          <w:color w:val="auto"/>
          <w:highlight w:val="none"/>
        </w:rPr>
        <w:t>②</w:t>
      </w:r>
      <w:r>
        <w:rPr>
          <w:color w:val="auto"/>
          <w:highlight w:val="none"/>
        </w:rPr>
        <w:t>凿岩、掘进过</w:t>
      </w:r>
      <w:r>
        <w:rPr>
          <w:rFonts w:hint="eastAsia"/>
          <w:color w:val="auto"/>
          <w:highlight w:val="none"/>
          <w:lang w:eastAsia="zh-CN"/>
        </w:rPr>
        <w:t>程中</w:t>
      </w:r>
      <w:r>
        <w:rPr>
          <w:color w:val="auto"/>
          <w:highlight w:val="none"/>
        </w:rPr>
        <w:t>产生的粉尘，</w:t>
      </w:r>
      <w:r>
        <w:rPr>
          <w:rFonts w:hint="eastAsia"/>
          <w:color w:val="auto"/>
          <w:highlight w:val="none"/>
        </w:rPr>
        <w:t>③</w:t>
      </w:r>
      <w:r>
        <w:rPr>
          <w:rFonts w:hint="eastAsia"/>
          <w:color w:val="auto"/>
          <w:highlight w:val="none"/>
          <w:lang w:val="en-US" w:eastAsia="zh-CN"/>
        </w:rPr>
        <w:t>废石堆场扬尘</w:t>
      </w:r>
      <w:r>
        <w:rPr>
          <w:color w:val="auto"/>
          <w:highlight w:val="none"/>
        </w:rPr>
        <w:t>；</w:t>
      </w:r>
      <w:r>
        <w:rPr>
          <w:rFonts w:hint="eastAsia"/>
          <w:color w:val="auto"/>
          <w:highlight w:val="none"/>
        </w:rPr>
        <w:t>④</w:t>
      </w:r>
      <w:r>
        <w:rPr>
          <w:color w:val="auto"/>
          <w:highlight w:val="none"/>
        </w:rPr>
        <w:t>交通运输扬尘；</w:t>
      </w:r>
      <w:r>
        <w:rPr>
          <w:rFonts w:hint="eastAsia"/>
          <w:color w:val="auto"/>
          <w:highlight w:val="none"/>
        </w:rPr>
        <w:t>⑤</w:t>
      </w:r>
      <w:r>
        <w:rPr>
          <w:rFonts w:hint="eastAsia"/>
          <w:color w:val="auto"/>
          <w:highlight w:val="none"/>
          <w:lang w:val="en-US" w:eastAsia="zh-CN"/>
        </w:rPr>
        <w:t>充填粉尘；⑥柴油燃烧废气。</w:t>
      </w:r>
    </w:p>
    <w:p w14:paraId="0CEC1569">
      <w:pPr>
        <w:bidi w:val="0"/>
        <w:outlineLvl w:val="9"/>
        <w:rPr>
          <w:color w:val="auto"/>
          <w:highlight w:val="none"/>
        </w:rPr>
      </w:pPr>
      <w:r>
        <w:rPr>
          <w:color w:val="auto"/>
          <w:highlight w:val="none"/>
        </w:rPr>
        <w:t>1、爆破废气</w:t>
      </w:r>
    </w:p>
    <w:p w14:paraId="456CF3EC">
      <w:pPr>
        <w:bidi w:val="0"/>
        <w:rPr>
          <w:rFonts w:hint="eastAsia"/>
          <w:color w:val="auto"/>
          <w:highlight w:val="none"/>
          <w:lang w:val="en-US" w:eastAsia="zh-CN"/>
        </w:rPr>
      </w:pPr>
      <w:r>
        <w:rPr>
          <w:color w:val="auto"/>
          <w:highlight w:val="none"/>
        </w:rPr>
        <w:t>根据开采方案，项目矿石爆破采用的是2#岩石乳化类炸药，</w:t>
      </w:r>
      <w:r>
        <w:rPr>
          <w:color w:val="auto"/>
          <w:highlight w:val="none"/>
          <w:lang w:val="en-US" w:eastAsia="zh-CN"/>
        </w:rPr>
        <w:t>采用卷状乳化炸药，人工装药，楔形掏槽，数码电子雷</w:t>
      </w:r>
      <w:r>
        <w:rPr>
          <w:rFonts w:hint="eastAsia"/>
          <w:color w:val="auto"/>
          <w:highlight w:val="none"/>
          <w:lang w:val="en-US" w:eastAsia="zh-CN"/>
        </w:rPr>
        <w:t>管起爆。</w:t>
      </w:r>
      <w:r>
        <w:rPr>
          <w:color w:val="auto"/>
          <w:highlight w:val="none"/>
        </w:rPr>
        <w:t>2#岩石乳化硝铵类炸药基本成分</w:t>
      </w:r>
      <w:r>
        <w:rPr>
          <w:rFonts w:hint="eastAsia"/>
          <w:color w:val="auto"/>
          <w:highlight w:val="none"/>
          <w:lang w:val="en-US" w:eastAsia="zh-CN"/>
        </w:rPr>
        <w:t>如下表所示：</w:t>
      </w:r>
    </w:p>
    <w:p w14:paraId="2945BDA0">
      <w:pPr>
        <w:pStyle w:val="19"/>
        <w:bidi w:val="0"/>
        <w:rPr>
          <w:color w:val="auto"/>
          <w:highlight w:val="none"/>
        </w:rPr>
      </w:pPr>
      <w:r>
        <w:rPr>
          <w:color w:val="auto"/>
          <w:highlight w:val="none"/>
        </w:rPr>
        <w:t>表</w:t>
      </w:r>
      <w:r>
        <w:rPr>
          <w:rFonts w:hint="eastAsia"/>
          <w:color w:val="auto"/>
          <w:highlight w:val="none"/>
          <w:lang w:val="en-US" w:eastAsia="zh-CN"/>
        </w:rPr>
        <w:t>3.3</w:t>
      </w:r>
      <w:r>
        <w:rPr>
          <w:color w:val="auto"/>
          <w:highlight w:val="none"/>
        </w:rPr>
        <w:t>-</w:t>
      </w:r>
      <w:r>
        <w:rPr>
          <w:rFonts w:hint="eastAsia"/>
          <w:color w:val="auto"/>
          <w:highlight w:val="none"/>
          <w:lang w:val="en-US" w:eastAsia="zh-CN"/>
        </w:rPr>
        <w:t xml:space="preserve">1    </w:t>
      </w:r>
      <w:r>
        <w:rPr>
          <w:color w:val="auto"/>
          <w:highlight w:val="none"/>
        </w:rPr>
        <w:t>2#岩石乳化硝铵类炸药的组成、性能与爆炸参数技术值</w:t>
      </w:r>
    </w:p>
    <w:tbl>
      <w:tblPr>
        <w:tblStyle w:val="18"/>
        <w:tblW w:w="8329" w:type="dxa"/>
        <w:tblInd w:w="-15"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1883"/>
        <w:gridCol w:w="2419"/>
        <w:gridCol w:w="4027"/>
      </w:tblGrid>
      <w:tr w14:paraId="300701D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8" w:hRule="atLeast"/>
          <w:tblHeader/>
        </w:trPr>
        <w:tc>
          <w:tcPr>
            <w:tcW w:w="4302" w:type="dxa"/>
            <w:gridSpan w:val="2"/>
            <w:tcBorders>
              <w:tl2br w:val="nil"/>
              <w:tr2bl w:val="nil"/>
            </w:tcBorders>
            <w:vAlign w:val="center"/>
          </w:tcPr>
          <w:p w14:paraId="62EB5480">
            <w:pPr>
              <w:pStyle w:val="17"/>
              <w:bidi w:val="0"/>
              <w:rPr>
                <w:rFonts w:hint="eastAsia" w:eastAsia="宋体"/>
                <w:b/>
                <w:bCs/>
                <w:color w:val="auto"/>
                <w:highlight w:val="none"/>
                <w:lang w:val="en-US" w:eastAsia="zh-CN"/>
              </w:rPr>
            </w:pPr>
            <w:r>
              <w:rPr>
                <w:color w:val="auto"/>
                <w:highlight w:val="none"/>
              </w:rPr>
              <w:t>成分及</w:t>
            </w:r>
            <w:r>
              <w:rPr>
                <w:rFonts w:hint="eastAsia"/>
                <w:color w:val="auto"/>
                <w:highlight w:val="none"/>
                <w:lang w:val="en-US" w:eastAsia="zh-CN"/>
              </w:rPr>
              <w:t>参数</w:t>
            </w:r>
          </w:p>
        </w:tc>
        <w:tc>
          <w:tcPr>
            <w:tcW w:w="4027" w:type="dxa"/>
            <w:tcBorders>
              <w:tl2br w:val="nil"/>
              <w:tr2bl w:val="nil"/>
            </w:tcBorders>
            <w:vAlign w:val="center"/>
          </w:tcPr>
          <w:p w14:paraId="4EB8FF6F">
            <w:pPr>
              <w:pStyle w:val="17"/>
              <w:bidi w:val="0"/>
              <w:rPr>
                <w:b/>
                <w:bCs/>
                <w:color w:val="auto"/>
                <w:highlight w:val="none"/>
              </w:rPr>
            </w:pPr>
            <w:r>
              <w:rPr>
                <w:color w:val="auto"/>
                <w:highlight w:val="none"/>
              </w:rPr>
              <w:t>参数值</w:t>
            </w:r>
          </w:p>
        </w:tc>
      </w:tr>
      <w:tr w14:paraId="511473A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restart"/>
            <w:tcBorders>
              <w:tl2br w:val="nil"/>
              <w:tr2bl w:val="nil"/>
            </w:tcBorders>
            <w:vAlign w:val="center"/>
          </w:tcPr>
          <w:p w14:paraId="31992556">
            <w:pPr>
              <w:pStyle w:val="17"/>
              <w:bidi w:val="0"/>
              <w:rPr>
                <w:color w:val="auto"/>
                <w:highlight w:val="none"/>
              </w:rPr>
            </w:pPr>
            <w:r>
              <w:rPr>
                <w:color w:val="auto"/>
                <w:highlight w:val="none"/>
              </w:rPr>
              <w:t>组成%</w:t>
            </w:r>
          </w:p>
        </w:tc>
        <w:tc>
          <w:tcPr>
            <w:tcW w:w="2419" w:type="dxa"/>
            <w:tcBorders>
              <w:tl2br w:val="nil"/>
              <w:tr2bl w:val="nil"/>
            </w:tcBorders>
            <w:vAlign w:val="center"/>
          </w:tcPr>
          <w:p w14:paraId="64003C9D">
            <w:pPr>
              <w:pStyle w:val="17"/>
              <w:bidi w:val="0"/>
              <w:rPr>
                <w:color w:val="auto"/>
                <w:highlight w:val="none"/>
              </w:rPr>
            </w:pPr>
            <w:r>
              <w:rPr>
                <w:color w:val="auto"/>
                <w:highlight w:val="none"/>
              </w:rPr>
              <w:t>硝酸铵</w:t>
            </w:r>
          </w:p>
        </w:tc>
        <w:tc>
          <w:tcPr>
            <w:tcW w:w="4027" w:type="dxa"/>
            <w:tcBorders>
              <w:tl2br w:val="nil"/>
              <w:tr2bl w:val="nil"/>
            </w:tcBorders>
            <w:vAlign w:val="center"/>
          </w:tcPr>
          <w:p w14:paraId="15BA8C3A">
            <w:pPr>
              <w:pStyle w:val="17"/>
              <w:bidi w:val="0"/>
              <w:rPr>
                <w:color w:val="auto"/>
                <w:highlight w:val="none"/>
              </w:rPr>
            </w:pPr>
            <w:r>
              <w:rPr>
                <w:color w:val="auto"/>
                <w:highlight w:val="none"/>
              </w:rPr>
              <w:t>50~70</w:t>
            </w:r>
          </w:p>
        </w:tc>
      </w:tr>
      <w:tr w14:paraId="48DEC87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continue"/>
            <w:tcBorders>
              <w:tl2br w:val="nil"/>
              <w:tr2bl w:val="nil"/>
            </w:tcBorders>
            <w:vAlign w:val="center"/>
          </w:tcPr>
          <w:p w14:paraId="775CBB0D">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45860AB0">
            <w:pPr>
              <w:pStyle w:val="17"/>
              <w:bidi w:val="0"/>
              <w:rPr>
                <w:color w:val="auto"/>
                <w:highlight w:val="none"/>
              </w:rPr>
            </w:pPr>
            <w:r>
              <w:rPr>
                <w:color w:val="auto"/>
                <w:highlight w:val="none"/>
              </w:rPr>
              <w:t>硝酸钠</w:t>
            </w:r>
          </w:p>
        </w:tc>
        <w:tc>
          <w:tcPr>
            <w:tcW w:w="4027" w:type="dxa"/>
            <w:tcBorders>
              <w:tl2br w:val="nil"/>
              <w:tr2bl w:val="nil"/>
            </w:tcBorders>
            <w:vAlign w:val="center"/>
          </w:tcPr>
          <w:p w14:paraId="766D5191">
            <w:pPr>
              <w:pStyle w:val="17"/>
              <w:bidi w:val="0"/>
              <w:rPr>
                <w:color w:val="auto"/>
                <w:highlight w:val="none"/>
              </w:rPr>
            </w:pPr>
            <w:r>
              <w:rPr>
                <w:color w:val="auto"/>
                <w:highlight w:val="none"/>
              </w:rPr>
              <w:t>10~20</w:t>
            </w:r>
          </w:p>
        </w:tc>
      </w:tr>
      <w:tr w14:paraId="37115D1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883" w:type="dxa"/>
            <w:vMerge w:val="continue"/>
            <w:tcBorders>
              <w:tl2br w:val="nil"/>
              <w:tr2bl w:val="nil"/>
            </w:tcBorders>
            <w:vAlign w:val="center"/>
          </w:tcPr>
          <w:p w14:paraId="78001B71">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4F6E5E5C">
            <w:pPr>
              <w:pStyle w:val="17"/>
              <w:bidi w:val="0"/>
              <w:rPr>
                <w:color w:val="auto"/>
                <w:highlight w:val="none"/>
              </w:rPr>
            </w:pPr>
            <w:r>
              <w:rPr>
                <w:color w:val="auto"/>
                <w:highlight w:val="none"/>
              </w:rPr>
              <w:t>尿素</w:t>
            </w:r>
          </w:p>
        </w:tc>
        <w:tc>
          <w:tcPr>
            <w:tcW w:w="4027" w:type="dxa"/>
            <w:tcBorders>
              <w:tl2br w:val="nil"/>
              <w:tr2bl w:val="nil"/>
            </w:tcBorders>
            <w:vAlign w:val="center"/>
          </w:tcPr>
          <w:p w14:paraId="1D8BBCC1">
            <w:pPr>
              <w:pStyle w:val="17"/>
              <w:bidi w:val="0"/>
              <w:rPr>
                <w:color w:val="auto"/>
                <w:highlight w:val="none"/>
              </w:rPr>
            </w:pPr>
            <w:r>
              <w:rPr>
                <w:color w:val="auto"/>
                <w:highlight w:val="none"/>
              </w:rPr>
              <w:t>1.0~2.5</w:t>
            </w:r>
          </w:p>
        </w:tc>
      </w:tr>
      <w:tr w14:paraId="17A0DB9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continue"/>
            <w:tcBorders>
              <w:tl2br w:val="nil"/>
              <w:tr2bl w:val="nil"/>
            </w:tcBorders>
            <w:vAlign w:val="center"/>
          </w:tcPr>
          <w:p w14:paraId="656AABD6">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38951EB1">
            <w:pPr>
              <w:pStyle w:val="17"/>
              <w:bidi w:val="0"/>
              <w:rPr>
                <w:color w:val="auto"/>
                <w:highlight w:val="none"/>
              </w:rPr>
            </w:pPr>
            <w:r>
              <w:rPr>
                <w:color w:val="auto"/>
                <w:highlight w:val="none"/>
              </w:rPr>
              <w:t>乳化剂</w:t>
            </w:r>
          </w:p>
        </w:tc>
        <w:tc>
          <w:tcPr>
            <w:tcW w:w="4027" w:type="dxa"/>
            <w:tcBorders>
              <w:tl2br w:val="nil"/>
              <w:tr2bl w:val="nil"/>
            </w:tcBorders>
            <w:vAlign w:val="center"/>
          </w:tcPr>
          <w:p w14:paraId="76118FE8">
            <w:pPr>
              <w:pStyle w:val="17"/>
              <w:bidi w:val="0"/>
              <w:rPr>
                <w:color w:val="auto"/>
                <w:highlight w:val="none"/>
              </w:rPr>
            </w:pPr>
            <w:r>
              <w:rPr>
                <w:color w:val="auto"/>
                <w:highlight w:val="none"/>
              </w:rPr>
              <w:t>1~3</w:t>
            </w:r>
          </w:p>
        </w:tc>
      </w:tr>
      <w:tr w14:paraId="0AB259C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restart"/>
            <w:tcBorders>
              <w:tl2br w:val="nil"/>
              <w:tr2bl w:val="nil"/>
            </w:tcBorders>
            <w:vAlign w:val="center"/>
          </w:tcPr>
          <w:p w14:paraId="7DB7323C">
            <w:pPr>
              <w:pStyle w:val="17"/>
              <w:bidi w:val="0"/>
              <w:rPr>
                <w:color w:val="auto"/>
                <w:highlight w:val="none"/>
              </w:rPr>
            </w:pPr>
            <w:r>
              <w:rPr>
                <w:color w:val="auto"/>
                <w:highlight w:val="none"/>
              </w:rPr>
              <w:t>性能参数</w:t>
            </w:r>
          </w:p>
        </w:tc>
        <w:tc>
          <w:tcPr>
            <w:tcW w:w="2419" w:type="dxa"/>
            <w:tcBorders>
              <w:tl2br w:val="nil"/>
              <w:tr2bl w:val="nil"/>
            </w:tcBorders>
            <w:vAlign w:val="center"/>
          </w:tcPr>
          <w:p w14:paraId="0EFC4B3A">
            <w:pPr>
              <w:pStyle w:val="17"/>
              <w:bidi w:val="0"/>
              <w:rPr>
                <w:rFonts w:hint="eastAsia" w:eastAsia="宋体"/>
                <w:color w:val="auto"/>
                <w:highlight w:val="none"/>
                <w:lang w:eastAsia="zh-CN"/>
              </w:rPr>
            </w:pPr>
            <w:r>
              <w:rPr>
                <w:color w:val="auto"/>
                <w:highlight w:val="none"/>
              </w:rPr>
              <w:t>水分</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4027" w:type="dxa"/>
            <w:tcBorders>
              <w:tl2br w:val="nil"/>
              <w:tr2bl w:val="nil"/>
            </w:tcBorders>
            <w:vAlign w:val="center"/>
          </w:tcPr>
          <w:p w14:paraId="34DB775C">
            <w:pPr>
              <w:pStyle w:val="17"/>
              <w:bidi w:val="0"/>
              <w:rPr>
                <w:color w:val="auto"/>
                <w:highlight w:val="none"/>
              </w:rPr>
            </w:pPr>
            <w:r>
              <w:rPr>
                <w:color w:val="auto"/>
                <w:highlight w:val="none"/>
              </w:rPr>
              <w:t>10</w:t>
            </w:r>
          </w:p>
        </w:tc>
      </w:tr>
      <w:tr w14:paraId="31E20FF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883" w:type="dxa"/>
            <w:vMerge w:val="continue"/>
            <w:tcBorders>
              <w:tl2br w:val="nil"/>
              <w:tr2bl w:val="nil"/>
            </w:tcBorders>
            <w:vAlign w:val="center"/>
          </w:tcPr>
          <w:p w14:paraId="44BB5AA0">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2F5FEEB0">
            <w:pPr>
              <w:pStyle w:val="17"/>
              <w:bidi w:val="0"/>
              <w:rPr>
                <w:rFonts w:hint="eastAsia" w:eastAsia="宋体"/>
                <w:color w:val="auto"/>
                <w:highlight w:val="none"/>
                <w:vertAlign w:val="baseline"/>
                <w:lang w:eastAsia="zh-CN"/>
              </w:rPr>
            </w:pPr>
            <w:r>
              <w:rPr>
                <w:color w:val="auto"/>
                <w:highlight w:val="none"/>
              </w:rPr>
              <w:t>密度</w:t>
            </w:r>
            <w:r>
              <w:rPr>
                <w:rFonts w:hint="eastAsia"/>
                <w:color w:val="auto"/>
                <w:highlight w:val="none"/>
                <w:lang w:eastAsia="zh-CN"/>
              </w:rPr>
              <w:t>（</w:t>
            </w:r>
            <w:r>
              <w:rPr>
                <w:color w:val="auto"/>
                <w:highlight w:val="none"/>
              </w:rPr>
              <w:t>g</w:t>
            </w:r>
            <w:r>
              <w:rPr>
                <w:rFonts w:hint="eastAsia"/>
                <w:color w:val="auto"/>
                <w:highlight w:val="none"/>
                <w:lang w:val="en-US" w:eastAsia="zh-CN"/>
              </w:rPr>
              <w:t>/</w:t>
            </w:r>
            <w:r>
              <w:rPr>
                <w:color w:val="auto"/>
                <w:highlight w:val="none"/>
              </w:rPr>
              <w:t>cm</w:t>
            </w:r>
            <w:r>
              <w:rPr>
                <w:color w:val="auto"/>
                <w:highlight w:val="none"/>
                <w:vertAlign w:val="superscript"/>
              </w:rPr>
              <w:t>-3</w:t>
            </w:r>
            <w:r>
              <w:rPr>
                <w:rFonts w:hint="eastAsia"/>
                <w:color w:val="auto"/>
                <w:highlight w:val="none"/>
                <w:vertAlign w:val="baseline"/>
                <w:lang w:eastAsia="zh-CN"/>
              </w:rPr>
              <w:t>）</w:t>
            </w:r>
          </w:p>
        </w:tc>
        <w:tc>
          <w:tcPr>
            <w:tcW w:w="4027" w:type="dxa"/>
            <w:tcBorders>
              <w:tl2br w:val="nil"/>
              <w:tr2bl w:val="nil"/>
            </w:tcBorders>
            <w:vAlign w:val="center"/>
          </w:tcPr>
          <w:p w14:paraId="260BFD3C">
            <w:pPr>
              <w:pStyle w:val="17"/>
              <w:bidi w:val="0"/>
              <w:rPr>
                <w:color w:val="auto"/>
                <w:highlight w:val="none"/>
              </w:rPr>
            </w:pPr>
            <w:r>
              <w:rPr>
                <w:color w:val="auto"/>
                <w:highlight w:val="none"/>
              </w:rPr>
              <w:t>0.95~1.10</w:t>
            </w:r>
          </w:p>
        </w:tc>
      </w:tr>
      <w:tr w14:paraId="5C16BD7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continue"/>
            <w:tcBorders>
              <w:tl2br w:val="nil"/>
              <w:tr2bl w:val="nil"/>
            </w:tcBorders>
            <w:vAlign w:val="center"/>
          </w:tcPr>
          <w:p w14:paraId="1E9E3162">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34EED1CB">
            <w:pPr>
              <w:pStyle w:val="17"/>
              <w:bidi w:val="0"/>
              <w:rPr>
                <w:rFonts w:hint="eastAsia" w:eastAsia="宋体"/>
                <w:color w:val="auto"/>
                <w:highlight w:val="none"/>
                <w:lang w:eastAsia="zh-CN"/>
              </w:rPr>
            </w:pPr>
            <w:r>
              <w:rPr>
                <w:color w:val="auto"/>
                <w:highlight w:val="none"/>
              </w:rPr>
              <w:t>猛度</w:t>
            </w:r>
            <w:r>
              <w:rPr>
                <w:rFonts w:hint="eastAsia"/>
                <w:color w:val="auto"/>
                <w:highlight w:val="none"/>
                <w:lang w:eastAsia="zh-CN"/>
              </w:rPr>
              <w:t>（</w:t>
            </w:r>
            <w:r>
              <w:rPr>
                <w:color w:val="auto"/>
                <w:highlight w:val="none"/>
              </w:rPr>
              <w:t>≥mm</w:t>
            </w:r>
            <w:r>
              <w:rPr>
                <w:rFonts w:hint="eastAsia"/>
                <w:color w:val="auto"/>
                <w:highlight w:val="none"/>
                <w:lang w:eastAsia="zh-CN"/>
              </w:rPr>
              <w:t>）</w:t>
            </w:r>
          </w:p>
        </w:tc>
        <w:tc>
          <w:tcPr>
            <w:tcW w:w="4027" w:type="dxa"/>
            <w:tcBorders>
              <w:tl2br w:val="nil"/>
              <w:tr2bl w:val="nil"/>
            </w:tcBorders>
            <w:vAlign w:val="center"/>
          </w:tcPr>
          <w:p w14:paraId="56F8D271">
            <w:pPr>
              <w:pStyle w:val="17"/>
              <w:bidi w:val="0"/>
              <w:rPr>
                <w:color w:val="auto"/>
                <w:highlight w:val="none"/>
              </w:rPr>
            </w:pPr>
            <w:r>
              <w:rPr>
                <w:color w:val="auto"/>
                <w:highlight w:val="none"/>
              </w:rPr>
              <w:t>12</w:t>
            </w:r>
          </w:p>
        </w:tc>
      </w:tr>
      <w:tr w14:paraId="06F99A0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continue"/>
            <w:tcBorders>
              <w:tl2br w:val="nil"/>
              <w:tr2bl w:val="nil"/>
            </w:tcBorders>
            <w:vAlign w:val="center"/>
          </w:tcPr>
          <w:p w14:paraId="6B348073">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7121A423">
            <w:pPr>
              <w:pStyle w:val="17"/>
              <w:bidi w:val="0"/>
              <w:rPr>
                <w:rFonts w:hint="eastAsia" w:eastAsia="宋体"/>
                <w:color w:val="auto"/>
                <w:highlight w:val="none"/>
                <w:lang w:eastAsia="zh-CN"/>
              </w:rPr>
            </w:pPr>
            <w:r>
              <w:rPr>
                <w:color w:val="auto"/>
                <w:highlight w:val="none"/>
              </w:rPr>
              <w:t>爆力</w:t>
            </w:r>
            <w:r>
              <w:rPr>
                <w:rFonts w:hint="eastAsia"/>
                <w:color w:val="auto"/>
                <w:highlight w:val="none"/>
                <w:lang w:eastAsia="zh-CN"/>
              </w:rPr>
              <w:t>（</w:t>
            </w:r>
            <w:r>
              <w:rPr>
                <w:color w:val="auto"/>
                <w:highlight w:val="none"/>
              </w:rPr>
              <w:t>≥m</w:t>
            </w:r>
            <w:r>
              <w:rPr>
                <w:rFonts w:hint="eastAsia"/>
                <w:color w:val="auto"/>
                <w:highlight w:val="none"/>
                <w:lang w:val="en-US" w:eastAsia="zh-CN"/>
              </w:rPr>
              <w:t>l</w:t>
            </w:r>
            <w:r>
              <w:rPr>
                <w:rFonts w:hint="eastAsia"/>
                <w:color w:val="auto"/>
                <w:highlight w:val="none"/>
                <w:lang w:eastAsia="zh-CN"/>
              </w:rPr>
              <w:t>）</w:t>
            </w:r>
          </w:p>
        </w:tc>
        <w:tc>
          <w:tcPr>
            <w:tcW w:w="4027" w:type="dxa"/>
            <w:tcBorders>
              <w:tl2br w:val="nil"/>
              <w:tr2bl w:val="nil"/>
            </w:tcBorders>
            <w:vAlign w:val="center"/>
          </w:tcPr>
          <w:p w14:paraId="7F46D120">
            <w:pPr>
              <w:pStyle w:val="17"/>
              <w:bidi w:val="0"/>
              <w:rPr>
                <w:color w:val="auto"/>
                <w:highlight w:val="none"/>
              </w:rPr>
            </w:pPr>
            <w:r>
              <w:rPr>
                <w:color w:val="auto"/>
                <w:highlight w:val="none"/>
              </w:rPr>
              <w:t>320</w:t>
            </w:r>
          </w:p>
        </w:tc>
      </w:tr>
      <w:tr w14:paraId="1B1996D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883" w:type="dxa"/>
            <w:vMerge w:val="continue"/>
            <w:tcBorders>
              <w:tl2br w:val="nil"/>
              <w:tr2bl w:val="nil"/>
            </w:tcBorders>
            <w:vAlign w:val="center"/>
          </w:tcPr>
          <w:p w14:paraId="0E4E31C6">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52D22A13">
            <w:pPr>
              <w:pStyle w:val="17"/>
              <w:bidi w:val="0"/>
              <w:rPr>
                <w:rFonts w:hint="eastAsia" w:eastAsia="宋体"/>
                <w:color w:val="auto"/>
                <w:highlight w:val="none"/>
                <w:lang w:eastAsia="zh-CN"/>
              </w:rPr>
            </w:pPr>
            <w:r>
              <w:rPr>
                <w:color w:val="auto"/>
                <w:highlight w:val="none"/>
              </w:rPr>
              <w:t>殉爆</w:t>
            </w:r>
            <w:r>
              <w:rPr>
                <w:rFonts w:hint="eastAsia"/>
                <w:color w:val="auto"/>
                <w:highlight w:val="none"/>
                <w:lang w:eastAsia="zh-CN"/>
              </w:rPr>
              <w:t>（</w:t>
            </w:r>
            <w:r>
              <w:rPr>
                <w:color w:val="auto"/>
                <w:highlight w:val="none"/>
              </w:rPr>
              <w:t>cm</w:t>
            </w:r>
            <w:r>
              <w:rPr>
                <w:rFonts w:hint="eastAsia"/>
                <w:color w:val="auto"/>
                <w:highlight w:val="none"/>
                <w:lang w:eastAsia="zh-CN"/>
              </w:rPr>
              <w:t>）</w:t>
            </w:r>
          </w:p>
        </w:tc>
        <w:tc>
          <w:tcPr>
            <w:tcW w:w="4027" w:type="dxa"/>
            <w:tcBorders>
              <w:tl2br w:val="nil"/>
              <w:tr2bl w:val="nil"/>
            </w:tcBorders>
            <w:vAlign w:val="center"/>
          </w:tcPr>
          <w:p w14:paraId="47DE1AEA">
            <w:pPr>
              <w:pStyle w:val="17"/>
              <w:bidi w:val="0"/>
              <w:rPr>
                <w:color w:val="auto"/>
                <w:highlight w:val="none"/>
              </w:rPr>
            </w:pPr>
            <w:r>
              <w:rPr>
                <w:color w:val="auto"/>
                <w:highlight w:val="none"/>
              </w:rPr>
              <w:t>5</w:t>
            </w:r>
          </w:p>
        </w:tc>
      </w:tr>
      <w:tr w14:paraId="155FE22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restart"/>
            <w:tcBorders>
              <w:tl2br w:val="nil"/>
              <w:tr2bl w:val="nil"/>
            </w:tcBorders>
            <w:vAlign w:val="center"/>
          </w:tcPr>
          <w:p w14:paraId="633A2043">
            <w:pPr>
              <w:pStyle w:val="17"/>
              <w:bidi w:val="0"/>
              <w:rPr>
                <w:color w:val="auto"/>
                <w:highlight w:val="none"/>
              </w:rPr>
            </w:pPr>
            <w:r>
              <w:rPr>
                <w:color w:val="auto"/>
                <w:highlight w:val="none"/>
              </w:rPr>
              <w:t>爆炸参数计算数值</w:t>
            </w:r>
          </w:p>
        </w:tc>
        <w:tc>
          <w:tcPr>
            <w:tcW w:w="2419" w:type="dxa"/>
            <w:tcBorders>
              <w:tl2br w:val="nil"/>
              <w:tr2bl w:val="nil"/>
            </w:tcBorders>
            <w:vAlign w:val="center"/>
          </w:tcPr>
          <w:p w14:paraId="5A3836CC">
            <w:pPr>
              <w:pStyle w:val="17"/>
              <w:bidi w:val="0"/>
              <w:rPr>
                <w:rFonts w:hint="eastAsia" w:eastAsia="宋体"/>
                <w:color w:val="auto"/>
                <w:highlight w:val="none"/>
                <w:vertAlign w:val="baseline"/>
                <w:lang w:eastAsia="zh-CN"/>
              </w:rPr>
            </w:pPr>
            <w:r>
              <w:rPr>
                <w:color w:val="auto"/>
                <w:highlight w:val="none"/>
              </w:rPr>
              <w:t>爆速</w:t>
            </w:r>
            <w:r>
              <w:rPr>
                <w:rFonts w:hint="eastAsia"/>
                <w:color w:val="auto"/>
                <w:highlight w:val="none"/>
                <w:lang w:eastAsia="zh-CN"/>
              </w:rPr>
              <w:t>（</w:t>
            </w:r>
            <w:r>
              <w:rPr>
                <w:color w:val="auto"/>
                <w:highlight w:val="none"/>
              </w:rPr>
              <w:t>m</w:t>
            </w:r>
            <w:r>
              <w:rPr>
                <w:rFonts w:hint="eastAsia"/>
                <w:color w:val="auto"/>
                <w:highlight w:val="none"/>
                <w:lang w:val="en-US" w:eastAsia="zh-CN"/>
              </w:rPr>
              <w:t>/</w:t>
            </w:r>
            <w:r>
              <w:rPr>
                <w:color w:val="auto"/>
                <w:highlight w:val="none"/>
              </w:rPr>
              <w:t>s</w:t>
            </w:r>
            <w:r>
              <w:rPr>
                <w:color w:val="auto"/>
                <w:highlight w:val="none"/>
                <w:vertAlign w:val="superscript"/>
              </w:rPr>
              <w:t>-1</w:t>
            </w:r>
            <w:r>
              <w:rPr>
                <w:rFonts w:hint="eastAsia"/>
                <w:color w:val="auto"/>
                <w:highlight w:val="none"/>
                <w:vertAlign w:val="baseline"/>
                <w:lang w:eastAsia="zh-CN"/>
              </w:rPr>
              <w:t>）</w:t>
            </w:r>
          </w:p>
        </w:tc>
        <w:tc>
          <w:tcPr>
            <w:tcW w:w="4027" w:type="dxa"/>
            <w:tcBorders>
              <w:tl2br w:val="nil"/>
              <w:tr2bl w:val="nil"/>
            </w:tcBorders>
            <w:vAlign w:val="center"/>
          </w:tcPr>
          <w:p w14:paraId="1673E10D">
            <w:pPr>
              <w:pStyle w:val="17"/>
              <w:bidi w:val="0"/>
              <w:rPr>
                <w:color w:val="auto"/>
                <w:highlight w:val="none"/>
              </w:rPr>
            </w:pPr>
            <w:r>
              <w:rPr>
                <w:color w:val="auto"/>
                <w:highlight w:val="none"/>
              </w:rPr>
              <w:t>3600</w:t>
            </w:r>
          </w:p>
        </w:tc>
      </w:tr>
      <w:tr w14:paraId="6789D9C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continue"/>
            <w:tcBorders>
              <w:tl2br w:val="nil"/>
              <w:tr2bl w:val="nil"/>
            </w:tcBorders>
            <w:vAlign w:val="center"/>
          </w:tcPr>
          <w:p w14:paraId="0BCE69AC">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6BD470A3">
            <w:pPr>
              <w:pStyle w:val="17"/>
              <w:bidi w:val="0"/>
              <w:rPr>
                <w:color w:val="auto"/>
                <w:highlight w:val="none"/>
              </w:rPr>
            </w:pPr>
            <w:r>
              <w:rPr>
                <w:color w:val="auto"/>
                <w:highlight w:val="none"/>
              </w:rPr>
              <w:t>氧平衡/%</w:t>
            </w:r>
          </w:p>
        </w:tc>
        <w:tc>
          <w:tcPr>
            <w:tcW w:w="4027" w:type="dxa"/>
            <w:tcBorders>
              <w:tl2br w:val="nil"/>
              <w:tr2bl w:val="nil"/>
            </w:tcBorders>
            <w:vAlign w:val="center"/>
          </w:tcPr>
          <w:p w14:paraId="411D706A">
            <w:pPr>
              <w:pStyle w:val="17"/>
              <w:bidi w:val="0"/>
              <w:rPr>
                <w:color w:val="auto"/>
                <w:highlight w:val="none"/>
              </w:rPr>
            </w:pPr>
            <w:r>
              <w:rPr>
                <w:color w:val="auto"/>
                <w:highlight w:val="none"/>
              </w:rPr>
              <w:t>3.38</w:t>
            </w:r>
          </w:p>
        </w:tc>
      </w:tr>
      <w:tr w14:paraId="760E4C2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883" w:type="dxa"/>
            <w:vMerge w:val="continue"/>
            <w:tcBorders>
              <w:tl2br w:val="nil"/>
              <w:tr2bl w:val="nil"/>
            </w:tcBorders>
            <w:vAlign w:val="center"/>
          </w:tcPr>
          <w:p w14:paraId="7DD63229">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5389D409">
            <w:pPr>
              <w:pStyle w:val="17"/>
              <w:bidi w:val="0"/>
              <w:rPr>
                <w:rFonts w:hint="eastAsia" w:eastAsia="宋体"/>
                <w:color w:val="auto"/>
                <w:highlight w:val="none"/>
                <w:lang w:eastAsia="zh-CN"/>
              </w:rPr>
            </w:pPr>
            <w:r>
              <w:rPr>
                <w:color w:val="auto"/>
                <w:highlight w:val="none"/>
              </w:rPr>
              <w:t>比容</w:t>
            </w:r>
            <w:r>
              <w:rPr>
                <w:rFonts w:hint="eastAsia"/>
                <w:color w:val="auto"/>
                <w:highlight w:val="none"/>
                <w:lang w:eastAsia="zh-CN"/>
              </w:rPr>
              <w:t>（</w:t>
            </w:r>
            <w:r>
              <w:rPr>
                <w:rFonts w:hint="eastAsia"/>
                <w:color w:val="auto"/>
                <w:highlight w:val="none"/>
                <w:lang w:val="en-US" w:eastAsia="zh-CN"/>
              </w:rPr>
              <w:t>L/</w:t>
            </w:r>
            <w:r>
              <w:rPr>
                <w:color w:val="auto"/>
                <w:highlight w:val="none"/>
              </w:rPr>
              <w:t>kg</w:t>
            </w:r>
            <w:r>
              <w:rPr>
                <w:color w:val="auto"/>
                <w:highlight w:val="none"/>
                <w:vertAlign w:val="superscript"/>
              </w:rPr>
              <w:t>-1</w:t>
            </w:r>
            <w:r>
              <w:rPr>
                <w:rFonts w:hint="eastAsia"/>
                <w:color w:val="auto"/>
                <w:highlight w:val="none"/>
                <w:lang w:eastAsia="zh-CN"/>
              </w:rPr>
              <w:t>）</w:t>
            </w:r>
          </w:p>
        </w:tc>
        <w:tc>
          <w:tcPr>
            <w:tcW w:w="4027" w:type="dxa"/>
            <w:tcBorders>
              <w:tl2br w:val="nil"/>
              <w:tr2bl w:val="nil"/>
            </w:tcBorders>
            <w:vAlign w:val="center"/>
          </w:tcPr>
          <w:p w14:paraId="0039E7DD">
            <w:pPr>
              <w:pStyle w:val="17"/>
              <w:bidi w:val="0"/>
              <w:rPr>
                <w:color w:val="auto"/>
                <w:highlight w:val="none"/>
              </w:rPr>
            </w:pPr>
            <w:r>
              <w:rPr>
                <w:color w:val="auto"/>
                <w:highlight w:val="none"/>
              </w:rPr>
              <w:t>954</w:t>
            </w:r>
          </w:p>
        </w:tc>
      </w:tr>
      <w:tr w14:paraId="231E696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continue"/>
            <w:tcBorders>
              <w:tl2br w:val="nil"/>
              <w:tr2bl w:val="nil"/>
            </w:tcBorders>
            <w:vAlign w:val="center"/>
          </w:tcPr>
          <w:p w14:paraId="38FCEEB6">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3D5FC8E9">
            <w:pPr>
              <w:pStyle w:val="17"/>
              <w:bidi w:val="0"/>
              <w:rPr>
                <w:rFonts w:hint="eastAsia" w:eastAsia="宋体"/>
                <w:color w:val="auto"/>
                <w:highlight w:val="none"/>
                <w:lang w:eastAsia="zh-CN"/>
              </w:rPr>
            </w:pPr>
            <w:r>
              <w:rPr>
                <w:color w:val="auto"/>
                <w:highlight w:val="none"/>
              </w:rPr>
              <w:t>爆热</w:t>
            </w:r>
            <w:r>
              <w:rPr>
                <w:rFonts w:hint="eastAsia"/>
                <w:color w:val="auto"/>
                <w:highlight w:val="none"/>
                <w:lang w:eastAsia="zh-CN"/>
              </w:rPr>
              <w:t>（</w:t>
            </w:r>
            <w:r>
              <w:rPr>
                <w:color w:val="auto"/>
                <w:highlight w:val="none"/>
              </w:rPr>
              <w:t>kJ</w:t>
            </w:r>
            <w:r>
              <w:rPr>
                <w:rFonts w:hint="eastAsia"/>
                <w:color w:val="auto"/>
                <w:highlight w:val="none"/>
                <w:lang w:val="en-US" w:eastAsia="zh-CN"/>
              </w:rPr>
              <w:t>/</w:t>
            </w:r>
            <w:r>
              <w:rPr>
                <w:color w:val="auto"/>
                <w:highlight w:val="none"/>
              </w:rPr>
              <w:t>kg</w:t>
            </w:r>
            <w:r>
              <w:rPr>
                <w:color w:val="auto"/>
                <w:highlight w:val="none"/>
                <w:vertAlign w:val="superscript"/>
              </w:rPr>
              <w:t>-1</w:t>
            </w:r>
            <w:r>
              <w:rPr>
                <w:rFonts w:hint="eastAsia"/>
                <w:color w:val="auto"/>
                <w:highlight w:val="none"/>
                <w:lang w:eastAsia="zh-CN"/>
              </w:rPr>
              <w:t>）</w:t>
            </w:r>
          </w:p>
        </w:tc>
        <w:tc>
          <w:tcPr>
            <w:tcW w:w="4027" w:type="dxa"/>
            <w:tcBorders>
              <w:tl2br w:val="nil"/>
              <w:tr2bl w:val="nil"/>
            </w:tcBorders>
            <w:vAlign w:val="center"/>
          </w:tcPr>
          <w:p w14:paraId="76D37E44">
            <w:pPr>
              <w:pStyle w:val="17"/>
              <w:bidi w:val="0"/>
              <w:rPr>
                <w:color w:val="auto"/>
                <w:highlight w:val="none"/>
              </w:rPr>
            </w:pPr>
            <w:r>
              <w:rPr>
                <w:color w:val="auto"/>
                <w:highlight w:val="none"/>
              </w:rPr>
              <w:t>3688</w:t>
            </w:r>
          </w:p>
        </w:tc>
      </w:tr>
      <w:tr w14:paraId="5542468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883" w:type="dxa"/>
            <w:vMerge w:val="continue"/>
            <w:tcBorders>
              <w:tl2br w:val="nil"/>
              <w:tr2bl w:val="nil"/>
            </w:tcBorders>
            <w:vAlign w:val="center"/>
          </w:tcPr>
          <w:p w14:paraId="306063E1">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44C6B8D0">
            <w:pPr>
              <w:pStyle w:val="17"/>
              <w:bidi w:val="0"/>
              <w:rPr>
                <w:rFonts w:hint="eastAsia" w:eastAsia="宋体"/>
                <w:color w:val="auto"/>
                <w:highlight w:val="none"/>
                <w:lang w:eastAsia="zh-CN"/>
              </w:rPr>
            </w:pPr>
            <w:r>
              <w:rPr>
                <w:color w:val="auto"/>
                <w:highlight w:val="none"/>
              </w:rPr>
              <w:t>爆温</w:t>
            </w:r>
            <w:r>
              <w:rPr>
                <w:rFonts w:hint="eastAsia"/>
                <w:color w:val="auto"/>
                <w:highlight w:val="none"/>
                <w:lang w:eastAsia="zh-CN"/>
              </w:rPr>
              <w:t>（</w:t>
            </w:r>
            <w:r>
              <w:rPr>
                <w:color w:val="auto"/>
                <w:highlight w:val="none"/>
              </w:rPr>
              <w:t>℃</w:t>
            </w:r>
            <w:r>
              <w:rPr>
                <w:rFonts w:hint="eastAsia"/>
                <w:color w:val="auto"/>
                <w:highlight w:val="none"/>
                <w:lang w:eastAsia="zh-CN"/>
              </w:rPr>
              <w:t>）</w:t>
            </w:r>
          </w:p>
        </w:tc>
        <w:tc>
          <w:tcPr>
            <w:tcW w:w="4027" w:type="dxa"/>
            <w:tcBorders>
              <w:tl2br w:val="nil"/>
              <w:tr2bl w:val="nil"/>
            </w:tcBorders>
            <w:vAlign w:val="center"/>
          </w:tcPr>
          <w:p w14:paraId="65BD45E7">
            <w:pPr>
              <w:pStyle w:val="17"/>
              <w:bidi w:val="0"/>
              <w:rPr>
                <w:color w:val="auto"/>
                <w:highlight w:val="none"/>
              </w:rPr>
            </w:pPr>
            <w:r>
              <w:rPr>
                <w:color w:val="auto"/>
                <w:highlight w:val="none"/>
              </w:rPr>
              <w:t>2514</w:t>
            </w:r>
          </w:p>
        </w:tc>
      </w:tr>
      <w:tr w14:paraId="1AA3668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883" w:type="dxa"/>
            <w:vMerge w:val="continue"/>
            <w:tcBorders>
              <w:tl2br w:val="nil"/>
              <w:tr2bl w:val="nil"/>
            </w:tcBorders>
            <w:vAlign w:val="center"/>
          </w:tcPr>
          <w:p w14:paraId="37DA00AB">
            <w:pPr>
              <w:keepNext w:val="0"/>
              <w:keepLines w:val="0"/>
              <w:pageBreakBefore w:val="0"/>
              <w:widowControl/>
              <w:kinsoku/>
              <w:wordWrap/>
              <w:overflowPunct/>
              <w:topLinePunct w:val="0"/>
              <w:autoSpaceDE/>
              <w:autoSpaceDN/>
              <w:bidi w:val="0"/>
              <w:adjustRightInd w:val="0"/>
              <w:snapToGrid w:val="0"/>
              <w:spacing w:after="0"/>
              <w:jc w:val="center"/>
              <w:textAlignment w:val="baseline"/>
              <w:outlineLvl w:val="9"/>
              <w:rPr>
                <w:color w:val="auto"/>
                <w:highlight w:val="none"/>
              </w:rPr>
            </w:pPr>
          </w:p>
        </w:tc>
        <w:tc>
          <w:tcPr>
            <w:tcW w:w="2419" w:type="dxa"/>
            <w:tcBorders>
              <w:tl2br w:val="nil"/>
              <w:tr2bl w:val="nil"/>
            </w:tcBorders>
            <w:vAlign w:val="center"/>
          </w:tcPr>
          <w:p w14:paraId="7CE71E44">
            <w:pPr>
              <w:pStyle w:val="17"/>
              <w:bidi w:val="0"/>
              <w:rPr>
                <w:rFonts w:hint="eastAsia" w:eastAsia="宋体"/>
                <w:color w:val="auto"/>
                <w:highlight w:val="none"/>
                <w:lang w:eastAsia="zh-CN"/>
              </w:rPr>
            </w:pPr>
            <w:r>
              <w:rPr>
                <w:color w:val="auto"/>
                <w:highlight w:val="none"/>
              </w:rPr>
              <w:t>爆轰压</w:t>
            </w:r>
            <w:r>
              <w:rPr>
                <w:rFonts w:hint="eastAsia"/>
                <w:color w:val="auto"/>
                <w:highlight w:val="none"/>
                <w:lang w:eastAsia="zh-CN"/>
              </w:rPr>
              <w:t>（</w:t>
            </w:r>
            <w:r>
              <w:rPr>
                <w:color w:val="auto"/>
                <w:highlight w:val="none"/>
              </w:rPr>
              <w:t>Pa</w:t>
            </w:r>
            <w:r>
              <w:rPr>
                <w:rFonts w:hint="eastAsia"/>
                <w:color w:val="auto"/>
                <w:highlight w:val="none"/>
                <w:lang w:eastAsia="zh-CN"/>
              </w:rPr>
              <w:t>）</w:t>
            </w:r>
          </w:p>
        </w:tc>
        <w:tc>
          <w:tcPr>
            <w:tcW w:w="4027" w:type="dxa"/>
            <w:tcBorders>
              <w:tl2br w:val="nil"/>
              <w:tr2bl w:val="nil"/>
            </w:tcBorders>
            <w:vAlign w:val="center"/>
          </w:tcPr>
          <w:p w14:paraId="74ACE108">
            <w:pPr>
              <w:pStyle w:val="17"/>
              <w:bidi w:val="0"/>
              <w:rPr>
                <w:color w:val="auto"/>
                <w:highlight w:val="none"/>
              </w:rPr>
            </w:pPr>
            <w:r>
              <w:rPr>
                <w:color w:val="auto"/>
                <w:highlight w:val="none"/>
              </w:rPr>
              <w:t>3306100</w:t>
            </w:r>
          </w:p>
        </w:tc>
      </w:tr>
    </w:tbl>
    <w:p w14:paraId="674564DA">
      <w:pPr>
        <w:bidi w:val="0"/>
        <w:rPr>
          <w:color w:val="auto"/>
          <w:highlight w:val="none"/>
        </w:rPr>
      </w:pPr>
      <w:r>
        <w:rPr>
          <w:color w:val="auto"/>
          <w:highlight w:val="none"/>
        </w:rPr>
        <w:t>炸药爆炸就是可燃元素</w:t>
      </w:r>
      <w:r>
        <w:rPr>
          <w:rFonts w:hint="eastAsia"/>
          <w:color w:val="auto"/>
          <w:highlight w:val="none"/>
          <w:lang w:eastAsia="zh-CN"/>
        </w:rPr>
        <w:t>（</w:t>
      </w:r>
      <w:r>
        <w:rPr>
          <w:color w:val="auto"/>
          <w:highlight w:val="none"/>
        </w:rPr>
        <w:t>C、H</w:t>
      </w:r>
      <w:r>
        <w:rPr>
          <w:rFonts w:hint="eastAsia"/>
          <w:color w:val="auto"/>
          <w:highlight w:val="none"/>
          <w:lang w:eastAsia="zh-CN"/>
        </w:rPr>
        <w:t>）</w:t>
      </w:r>
      <w:r>
        <w:rPr>
          <w:color w:val="auto"/>
          <w:highlight w:val="none"/>
        </w:rPr>
        <w:t>和助燃元素</w:t>
      </w:r>
      <w:r>
        <w:rPr>
          <w:rFonts w:hint="eastAsia"/>
          <w:color w:val="auto"/>
          <w:highlight w:val="none"/>
          <w:lang w:eastAsia="zh-CN"/>
        </w:rPr>
        <w:t>（</w:t>
      </w:r>
      <w:r>
        <w:rPr>
          <w:color w:val="auto"/>
          <w:highlight w:val="none"/>
        </w:rPr>
        <w:t>O</w:t>
      </w:r>
      <w:r>
        <w:rPr>
          <w:rFonts w:hint="eastAsia"/>
          <w:color w:val="auto"/>
          <w:highlight w:val="none"/>
          <w:lang w:eastAsia="zh-CN"/>
        </w:rPr>
        <w:t>）</w:t>
      </w:r>
      <w:r>
        <w:rPr>
          <w:color w:val="auto"/>
          <w:highlight w:val="none"/>
        </w:rPr>
        <w:t>发生极其迅速和猛烈的氧化燃烧反应，在爆破工序中采用电镭管引爆。为提高爆破效率及安全性，采用多排微差爆破法，并控制爆破安全距离。</w:t>
      </w:r>
    </w:p>
    <w:p w14:paraId="5BD29E1D">
      <w:pPr>
        <w:bidi w:val="0"/>
        <w:rPr>
          <w:color w:val="auto"/>
          <w:highlight w:val="none"/>
        </w:rPr>
      </w:pPr>
      <w:r>
        <w:rPr>
          <w:color w:val="auto"/>
          <w:highlight w:val="none"/>
        </w:rPr>
        <w:t>爆破过程的化学反应方程式如下：</w:t>
      </w:r>
    </w:p>
    <w:p w14:paraId="5609D048">
      <w:pPr>
        <w:kinsoku w:val="0"/>
        <w:autoSpaceDE w:val="0"/>
        <w:autoSpaceDN w:val="0"/>
        <w:spacing w:before="182" w:line="222" w:lineRule="auto"/>
        <w:ind w:left="0" w:leftChars="0" w:firstLine="0" w:firstLineChars="0"/>
        <w:jc w:val="center"/>
        <w:outlineLvl w:val="9"/>
        <w:rPr>
          <w:rFonts w:ascii="Times New Roman" w:hAnsi="Times New Roman" w:eastAsia="Times New Roman" w:cs="Times New Roman"/>
          <w:color w:val="auto"/>
          <w:sz w:val="15"/>
          <w:szCs w:val="15"/>
          <w:highlight w:val="none"/>
        </w:rPr>
      </w:pPr>
      <w:r>
        <w:rPr>
          <w:rFonts w:ascii="Times New Roman" w:hAnsi="Times New Roman" w:eastAsia="Times New Roman" w:cs="Times New Roman"/>
          <w:color w:val="auto"/>
          <w:spacing w:val="-1"/>
          <w:sz w:val="24"/>
          <w:szCs w:val="24"/>
          <w:highlight w:val="none"/>
        </w:rPr>
        <w:t>2NH</w:t>
      </w:r>
      <w:r>
        <w:rPr>
          <w:rFonts w:ascii="Times New Roman" w:hAnsi="Times New Roman" w:eastAsia="Times New Roman" w:cs="Times New Roman"/>
          <w:color w:val="auto"/>
          <w:spacing w:val="-1"/>
          <w:position w:val="-2"/>
          <w:sz w:val="15"/>
          <w:szCs w:val="15"/>
          <w:highlight w:val="none"/>
        </w:rPr>
        <w:t>4</w:t>
      </w:r>
      <w:r>
        <w:rPr>
          <w:rFonts w:ascii="Times New Roman" w:hAnsi="Times New Roman" w:eastAsia="Times New Roman" w:cs="Times New Roman"/>
          <w:color w:val="auto"/>
          <w:spacing w:val="-1"/>
          <w:sz w:val="24"/>
          <w:szCs w:val="24"/>
          <w:highlight w:val="none"/>
        </w:rPr>
        <w:t>NO</w:t>
      </w:r>
      <w:r>
        <w:rPr>
          <w:rFonts w:ascii="Times New Roman" w:hAnsi="Times New Roman" w:eastAsia="Times New Roman" w:cs="Times New Roman"/>
          <w:color w:val="auto"/>
          <w:spacing w:val="-1"/>
          <w:position w:val="-2"/>
          <w:sz w:val="15"/>
          <w:szCs w:val="15"/>
          <w:highlight w:val="none"/>
        </w:rPr>
        <w:t>3</w:t>
      </w:r>
      <w:r>
        <w:rPr>
          <w:rFonts w:ascii="宋体" w:hAnsi="宋体" w:eastAsia="宋体" w:cs="宋体"/>
          <w:color w:val="auto"/>
          <w:spacing w:val="-1"/>
          <w:sz w:val="24"/>
          <w:szCs w:val="24"/>
          <w:highlight w:val="none"/>
        </w:rPr>
        <w:t>→</w:t>
      </w:r>
      <w:r>
        <w:rPr>
          <w:rFonts w:ascii="Times New Roman" w:hAnsi="Times New Roman" w:eastAsia="Times New Roman" w:cs="Times New Roman"/>
          <w:color w:val="auto"/>
          <w:spacing w:val="-1"/>
          <w:sz w:val="24"/>
          <w:szCs w:val="24"/>
          <w:highlight w:val="none"/>
        </w:rPr>
        <w:t>2N</w:t>
      </w:r>
      <w:r>
        <w:rPr>
          <w:rFonts w:ascii="Times New Roman" w:hAnsi="Times New Roman" w:eastAsia="Times New Roman" w:cs="Times New Roman"/>
          <w:color w:val="auto"/>
          <w:spacing w:val="-1"/>
          <w:position w:val="-2"/>
          <w:sz w:val="15"/>
          <w:szCs w:val="15"/>
          <w:highlight w:val="none"/>
        </w:rPr>
        <w:t>2</w:t>
      </w:r>
      <w:r>
        <w:rPr>
          <w:rFonts w:ascii="宋体" w:hAnsi="宋体" w:eastAsia="宋体" w:cs="宋体"/>
          <w:color w:val="auto"/>
          <w:spacing w:val="-1"/>
          <w:sz w:val="24"/>
          <w:szCs w:val="24"/>
          <w:highlight w:val="none"/>
        </w:rPr>
        <w:t>＋</w:t>
      </w:r>
      <w:r>
        <w:rPr>
          <w:rFonts w:ascii="Times New Roman" w:hAnsi="Times New Roman" w:eastAsia="Times New Roman" w:cs="Times New Roman"/>
          <w:color w:val="auto"/>
          <w:spacing w:val="-1"/>
          <w:sz w:val="24"/>
          <w:szCs w:val="24"/>
          <w:highlight w:val="none"/>
        </w:rPr>
        <w:t>4H</w:t>
      </w:r>
      <w:r>
        <w:rPr>
          <w:rFonts w:ascii="Times New Roman" w:hAnsi="Times New Roman" w:eastAsia="Times New Roman" w:cs="Times New Roman"/>
          <w:color w:val="auto"/>
          <w:spacing w:val="-1"/>
          <w:position w:val="-2"/>
          <w:sz w:val="15"/>
          <w:szCs w:val="15"/>
          <w:highlight w:val="none"/>
        </w:rPr>
        <w:t>2</w:t>
      </w:r>
      <w:r>
        <w:rPr>
          <w:rFonts w:ascii="Times New Roman" w:hAnsi="Times New Roman" w:eastAsia="Times New Roman" w:cs="Times New Roman"/>
          <w:color w:val="auto"/>
          <w:sz w:val="24"/>
          <w:szCs w:val="24"/>
          <w:highlight w:val="none"/>
        </w:rPr>
        <w:t>O</w:t>
      </w:r>
      <w:r>
        <w:rPr>
          <w:rFonts w:ascii="宋体" w:hAnsi="宋体" w:eastAsia="宋体" w:cs="宋体"/>
          <w:color w:val="auto"/>
          <w:spacing w:val="-1"/>
          <w:sz w:val="24"/>
          <w:szCs w:val="24"/>
          <w:highlight w:val="none"/>
        </w:rPr>
        <w:t>＋</w:t>
      </w:r>
      <w:r>
        <w:rPr>
          <w:rFonts w:ascii="Times New Roman" w:hAnsi="Times New Roman" w:eastAsia="Times New Roman" w:cs="Times New Roman"/>
          <w:color w:val="auto"/>
          <w:sz w:val="24"/>
          <w:szCs w:val="24"/>
          <w:highlight w:val="none"/>
        </w:rPr>
        <w:t>O</w:t>
      </w:r>
      <w:r>
        <w:rPr>
          <w:rFonts w:ascii="Times New Roman" w:hAnsi="Times New Roman" w:eastAsia="Times New Roman" w:cs="Times New Roman"/>
          <w:color w:val="auto"/>
          <w:spacing w:val="-1"/>
          <w:position w:val="-2"/>
          <w:sz w:val="15"/>
          <w:szCs w:val="15"/>
          <w:highlight w:val="none"/>
        </w:rPr>
        <w:t>2</w:t>
      </w:r>
    </w:p>
    <w:p w14:paraId="7EBFDA59">
      <w:pPr>
        <w:bidi w:val="0"/>
        <w:rPr>
          <w:rFonts w:ascii="宋体" w:hAnsi="宋体" w:eastAsia="宋体" w:cs="宋体"/>
          <w:color w:val="auto"/>
          <w:szCs w:val="24"/>
          <w:highlight w:val="none"/>
        </w:rPr>
      </w:pPr>
      <w:r>
        <w:rPr>
          <w:color w:val="auto"/>
          <w:highlight w:val="none"/>
        </w:rPr>
        <w:t>在迅速加热到400~500℃时，放热反应，发生热分解：</w:t>
      </w:r>
    </w:p>
    <w:p w14:paraId="4336F4EF">
      <w:pPr>
        <w:bidi w:val="0"/>
        <w:ind w:left="0" w:leftChars="0" w:firstLine="0" w:firstLineChars="0"/>
        <w:jc w:val="center"/>
        <w:rPr>
          <w:rFonts w:ascii="Times New Roman" w:hAnsi="Times New Roman" w:eastAsia="Times New Roman" w:cs="Times New Roman"/>
          <w:color w:val="auto"/>
          <w:sz w:val="15"/>
          <w:szCs w:val="15"/>
          <w:highlight w:val="none"/>
        </w:rPr>
      </w:pPr>
      <w:r>
        <w:rPr>
          <w:rFonts w:ascii="Times New Roman" w:hAnsi="Times New Roman" w:eastAsia="Times New Roman" w:cs="Times New Roman"/>
          <w:color w:val="auto"/>
          <w:spacing w:val="-1"/>
          <w:sz w:val="24"/>
          <w:szCs w:val="24"/>
          <w:highlight w:val="none"/>
        </w:rPr>
        <w:t>4NH</w:t>
      </w:r>
      <w:r>
        <w:rPr>
          <w:rFonts w:ascii="Times New Roman" w:hAnsi="Times New Roman" w:eastAsia="Times New Roman" w:cs="Times New Roman"/>
          <w:color w:val="auto"/>
          <w:spacing w:val="-1"/>
          <w:position w:val="-2"/>
          <w:sz w:val="15"/>
          <w:szCs w:val="15"/>
          <w:highlight w:val="none"/>
        </w:rPr>
        <w:t>4</w:t>
      </w:r>
      <w:r>
        <w:rPr>
          <w:rFonts w:ascii="Times New Roman" w:hAnsi="Times New Roman" w:eastAsia="Times New Roman" w:cs="Times New Roman"/>
          <w:color w:val="auto"/>
          <w:spacing w:val="-1"/>
          <w:sz w:val="24"/>
          <w:szCs w:val="24"/>
          <w:highlight w:val="none"/>
        </w:rPr>
        <w:t>NO</w:t>
      </w:r>
      <w:r>
        <w:rPr>
          <w:rFonts w:ascii="Times New Roman" w:hAnsi="Times New Roman" w:eastAsia="Times New Roman" w:cs="Times New Roman"/>
          <w:color w:val="auto"/>
          <w:spacing w:val="-1"/>
          <w:position w:val="-2"/>
          <w:sz w:val="15"/>
          <w:szCs w:val="15"/>
          <w:highlight w:val="none"/>
        </w:rPr>
        <w:t>3</w:t>
      </w:r>
      <w:r>
        <w:rPr>
          <w:rFonts w:ascii="宋体" w:hAnsi="宋体" w:eastAsia="宋体" w:cs="宋体"/>
          <w:color w:val="auto"/>
          <w:spacing w:val="-1"/>
          <w:sz w:val="24"/>
          <w:szCs w:val="24"/>
          <w:highlight w:val="none"/>
        </w:rPr>
        <w:t>→</w:t>
      </w:r>
      <w:r>
        <w:rPr>
          <w:rFonts w:ascii="Times New Roman" w:hAnsi="Times New Roman" w:eastAsia="Times New Roman" w:cs="Times New Roman"/>
          <w:color w:val="auto"/>
          <w:spacing w:val="-1"/>
          <w:sz w:val="24"/>
          <w:szCs w:val="24"/>
          <w:highlight w:val="none"/>
        </w:rPr>
        <w:t>33</w:t>
      </w:r>
      <w:r>
        <w:rPr>
          <w:rFonts w:ascii="Times New Roman" w:hAnsi="Times New Roman" w:eastAsia="Times New Roman" w:cs="Times New Roman"/>
          <w:color w:val="auto"/>
          <w:sz w:val="24"/>
          <w:szCs w:val="24"/>
          <w:highlight w:val="none"/>
        </w:rPr>
        <w:t>N</w:t>
      </w:r>
      <w:r>
        <w:rPr>
          <w:rFonts w:ascii="Times New Roman" w:hAnsi="Times New Roman" w:eastAsia="Times New Roman" w:cs="Times New Roman"/>
          <w:color w:val="auto"/>
          <w:spacing w:val="-1"/>
          <w:position w:val="-2"/>
          <w:sz w:val="15"/>
          <w:szCs w:val="15"/>
          <w:highlight w:val="none"/>
        </w:rPr>
        <w:t>2</w:t>
      </w:r>
      <w:r>
        <w:rPr>
          <w:rFonts w:ascii="Times New Roman" w:hAnsi="Times New Roman" w:eastAsia="Times New Roman" w:cs="Times New Roman"/>
          <w:color w:val="auto"/>
          <w:spacing w:val="-1"/>
          <w:sz w:val="24"/>
          <w:szCs w:val="24"/>
          <w:highlight w:val="none"/>
        </w:rPr>
        <w:t>+8</w:t>
      </w:r>
      <w:r>
        <w:rPr>
          <w:rFonts w:ascii="Times New Roman" w:hAnsi="Times New Roman" w:eastAsia="Times New Roman" w:cs="Times New Roman"/>
          <w:color w:val="auto"/>
          <w:sz w:val="24"/>
          <w:szCs w:val="24"/>
          <w:highlight w:val="none"/>
        </w:rPr>
        <w:t>H</w:t>
      </w:r>
      <w:r>
        <w:rPr>
          <w:rFonts w:ascii="Times New Roman" w:hAnsi="Times New Roman" w:eastAsia="Times New Roman" w:cs="Times New Roman"/>
          <w:color w:val="auto"/>
          <w:spacing w:val="-1"/>
          <w:position w:val="-2"/>
          <w:sz w:val="15"/>
          <w:szCs w:val="15"/>
          <w:highlight w:val="none"/>
        </w:rPr>
        <w:t>2</w:t>
      </w:r>
      <w:r>
        <w:rPr>
          <w:rFonts w:ascii="Times New Roman" w:hAnsi="Times New Roman" w:eastAsia="Times New Roman" w:cs="Times New Roman"/>
          <w:color w:val="auto"/>
          <w:sz w:val="24"/>
          <w:szCs w:val="24"/>
          <w:highlight w:val="none"/>
        </w:rPr>
        <w:t>O</w:t>
      </w:r>
      <w:r>
        <w:rPr>
          <w:rFonts w:ascii="Times New Roman" w:hAnsi="Times New Roman" w:eastAsia="Times New Roman" w:cs="Times New Roman"/>
          <w:color w:val="auto"/>
          <w:spacing w:val="-1"/>
          <w:sz w:val="24"/>
          <w:szCs w:val="24"/>
          <w:highlight w:val="none"/>
        </w:rPr>
        <w:t>+2</w:t>
      </w:r>
      <w:r>
        <w:rPr>
          <w:rFonts w:ascii="Times New Roman" w:hAnsi="Times New Roman" w:eastAsia="Times New Roman" w:cs="Times New Roman"/>
          <w:color w:val="auto"/>
          <w:sz w:val="24"/>
          <w:szCs w:val="24"/>
          <w:highlight w:val="none"/>
        </w:rPr>
        <w:t>NO</w:t>
      </w:r>
      <w:r>
        <w:rPr>
          <w:rFonts w:ascii="Times New Roman" w:hAnsi="Times New Roman" w:eastAsia="Times New Roman" w:cs="Times New Roman"/>
          <w:color w:val="auto"/>
          <w:spacing w:val="-1"/>
          <w:position w:val="-2"/>
          <w:sz w:val="15"/>
          <w:szCs w:val="15"/>
          <w:highlight w:val="none"/>
        </w:rPr>
        <w:t>2</w:t>
      </w:r>
    </w:p>
    <w:p w14:paraId="21FEF934">
      <w:pPr>
        <w:bidi w:val="0"/>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pPr>
      <w:r>
        <w:rPr>
          <w:rFonts w:hint="default" w:ascii="Times New Roman" w:hAnsi="Times New Roman" w:eastAsia="宋体" w:cs="Times New Roman"/>
          <w:snapToGrid w:val="0"/>
          <w:color w:val="auto"/>
          <w:spacing w:val="0"/>
          <w:kern w:val="0"/>
          <w:position w:val="0"/>
          <w:sz w:val="24"/>
          <w:szCs w:val="24"/>
          <w:highlight w:val="none"/>
        </w:rPr>
        <w:t>2#岩石乳化硝铵类炸药爆炸后产生的气体主要有CO</w:t>
      </w:r>
      <w:r>
        <w:rPr>
          <w:rFonts w:hint="default" w:ascii="Times New Roman" w:hAnsi="Times New Roman" w:eastAsia="宋体" w:cs="Times New Roman"/>
          <w:snapToGrid w:val="0"/>
          <w:color w:val="auto"/>
          <w:spacing w:val="0"/>
          <w:kern w:val="0"/>
          <w:position w:val="0"/>
          <w:sz w:val="24"/>
          <w:szCs w:val="24"/>
          <w:highlight w:val="none"/>
          <w:vertAlign w:val="subscript"/>
        </w:rPr>
        <w:t>2</w:t>
      </w:r>
      <w:r>
        <w:rPr>
          <w:rFonts w:hint="default" w:ascii="Times New Roman" w:hAnsi="Times New Roman" w:eastAsia="宋体" w:cs="Times New Roman"/>
          <w:snapToGrid w:val="0"/>
          <w:color w:val="auto"/>
          <w:spacing w:val="0"/>
          <w:kern w:val="0"/>
          <w:position w:val="0"/>
          <w:sz w:val="24"/>
          <w:szCs w:val="24"/>
          <w:highlight w:val="none"/>
        </w:rPr>
        <w:t>、H</w:t>
      </w:r>
      <w:r>
        <w:rPr>
          <w:rFonts w:hint="default" w:ascii="Times New Roman" w:hAnsi="Times New Roman" w:eastAsia="宋体" w:cs="Times New Roman"/>
          <w:snapToGrid w:val="0"/>
          <w:color w:val="auto"/>
          <w:spacing w:val="0"/>
          <w:kern w:val="0"/>
          <w:position w:val="0"/>
          <w:sz w:val="24"/>
          <w:szCs w:val="24"/>
          <w:highlight w:val="none"/>
          <w:vertAlign w:val="subscript"/>
        </w:rPr>
        <w:t>2</w:t>
      </w:r>
      <w:r>
        <w:rPr>
          <w:rFonts w:hint="default" w:ascii="Times New Roman" w:hAnsi="Times New Roman" w:eastAsia="宋体" w:cs="Times New Roman"/>
          <w:snapToGrid w:val="0"/>
          <w:color w:val="auto"/>
          <w:spacing w:val="0"/>
          <w:kern w:val="0"/>
          <w:position w:val="0"/>
          <w:sz w:val="24"/>
          <w:szCs w:val="24"/>
          <w:highlight w:val="none"/>
        </w:rPr>
        <w:t>O、CO、NO</w:t>
      </w:r>
      <w:r>
        <w:rPr>
          <w:rFonts w:hint="default" w:ascii="Times New Roman" w:hAnsi="Times New Roman" w:eastAsia="宋体" w:cs="Times New Roman"/>
          <w:snapToGrid w:val="0"/>
          <w:color w:val="auto"/>
          <w:spacing w:val="0"/>
          <w:kern w:val="0"/>
          <w:position w:val="0"/>
          <w:sz w:val="24"/>
          <w:szCs w:val="24"/>
          <w:highlight w:val="none"/>
          <w:vertAlign w:val="subscript"/>
        </w:rPr>
        <w:t>x</w:t>
      </w:r>
      <w:r>
        <w:rPr>
          <w:rFonts w:hint="default" w:ascii="Times New Roman" w:hAnsi="Times New Roman" w:eastAsia="宋体" w:cs="Times New Roman"/>
          <w:snapToGrid w:val="0"/>
          <w:color w:val="auto"/>
          <w:spacing w:val="0"/>
          <w:kern w:val="0"/>
          <w:position w:val="0"/>
          <w:sz w:val="24"/>
          <w:szCs w:val="24"/>
          <w:highlight w:val="none"/>
        </w:rPr>
        <w:t>、O</w:t>
      </w:r>
      <w:r>
        <w:rPr>
          <w:rFonts w:hint="default" w:ascii="Times New Roman" w:hAnsi="Times New Roman" w:eastAsia="宋体" w:cs="Times New Roman"/>
          <w:snapToGrid w:val="0"/>
          <w:color w:val="auto"/>
          <w:spacing w:val="0"/>
          <w:kern w:val="0"/>
          <w:position w:val="0"/>
          <w:sz w:val="24"/>
          <w:szCs w:val="24"/>
          <w:highlight w:val="none"/>
          <w:vertAlign w:val="subscript"/>
        </w:rPr>
        <w:t>2</w:t>
      </w:r>
      <w:r>
        <w:rPr>
          <w:rFonts w:hint="default" w:ascii="Times New Roman" w:hAnsi="Times New Roman" w:eastAsia="宋体" w:cs="Times New Roman"/>
          <w:snapToGrid w:val="0"/>
          <w:color w:val="auto"/>
          <w:spacing w:val="0"/>
          <w:kern w:val="0"/>
          <w:position w:val="0"/>
          <w:sz w:val="24"/>
          <w:szCs w:val="24"/>
          <w:highlight w:val="none"/>
        </w:rPr>
        <w:t>和N</w:t>
      </w:r>
      <w:r>
        <w:rPr>
          <w:rFonts w:hint="default" w:ascii="Times New Roman" w:hAnsi="Times New Roman" w:eastAsia="宋体" w:cs="Times New Roman"/>
          <w:snapToGrid w:val="0"/>
          <w:color w:val="auto"/>
          <w:spacing w:val="0"/>
          <w:kern w:val="0"/>
          <w:position w:val="0"/>
          <w:sz w:val="24"/>
          <w:szCs w:val="24"/>
          <w:highlight w:val="none"/>
          <w:vertAlign w:val="subscript"/>
        </w:rPr>
        <w:t>2</w:t>
      </w:r>
      <w:r>
        <w:rPr>
          <w:rFonts w:hint="default" w:ascii="Times New Roman" w:hAnsi="Times New Roman" w:eastAsia="宋体" w:cs="Times New Roman"/>
          <w:snapToGrid w:val="0"/>
          <w:color w:val="auto"/>
          <w:spacing w:val="0"/>
          <w:kern w:val="0"/>
          <w:position w:val="0"/>
          <w:sz w:val="24"/>
          <w:szCs w:val="24"/>
          <w:highlight w:val="none"/>
        </w:rPr>
        <w:t>等，其中主要的污染因子为CO和NO</w:t>
      </w:r>
      <w:r>
        <w:rPr>
          <w:rFonts w:hint="default" w:ascii="Times New Roman" w:hAnsi="Times New Roman" w:eastAsia="宋体" w:cs="Times New Roman"/>
          <w:snapToGrid w:val="0"/>
          <w:color w:val="auto"/>
          <w:spacing w:val="0"/>
          <w:kern w:val="0"/>
          <w:position w:val="0"/>
          <w:sz w:val="24"/>
          <w:szCs w:val="24"/>
          <w:highlight w:val="none"/>
          <w:vertAlign w:val="subscript"/>
        </w:rPr>
        <w:t>x</w:t>
      </w:r>
      <w:r>
        <w:rPr>
          <w:rFonts w:hint="default" w:ascii="Times New Roman" w:hAnsi="Times New Roman" w:eastAsia="宋体" w:cs="Times New Roman"/>
          <w:snapToGrid w:val="0"/>
          <w:color w:val="auto"/>
          <w:spacing w:val="0"/>
          <w:kern w:val="0"/>
          <w:position w:val="0"/>
          <w:sz w:val="24"/>
          <w:szCs w:val="24"/>
          <w:highlight w:val="none"/>
        </w:rPr>
        <w:t>。</w:t>
      </w:r>
      <w:r>
        <w:rPr>
          <w:rFonts w:hint="eastAsia"/>
          <w:snapToGrid w:val="0"/>
          <w:color w:val="auto"/>
          <w:spacing w:val="0"/>
          <w:kern w:val="0"/>
          <w:position w:val="0"/>
          <w:sz w:val="24"/>
          <w:szCs w:val="28"/>
          <w:highlight w:val="none"/>
        </w:rPr>
        <w:t>根据黄忆龙《工程爆破中的灾害及其控制》，岩石爆破产生的CO量为6.3g/kg炸药、NO</w:t>
      </w:r>
      <w:r>
        <w:rPr>
          <w:rFonts w:hint="eastAsia"/>
          <w:snapToGrid w:val="0"/>
          <w:color w:val="auto"/>
          <w:spacing w:val="0"/>
          <w:kern w:val="0"/>
          <w:position w:val="0"/>
          <w:sz w:val="24"/>
          <w:szCs w:val="28"/>
          <w:highlight w:val="none"/>
          <w:vertAlign w:val="subscript"/>
        </w:rPr>
        <w:t>x</w:t>
      </w:r>
      <w:r>
        <w:rPr>
          <w:rFonts w:hint="eastAsia"/>
          <w:snapToGrid w:val="0"/>
          <w:color w:val="auto"/>
          <w:spacing w:val="0"/>
          <w:kern w:val="0"/>
          <w:position w:val="0"/>
          <w:sz w:val="24"/>
          <w:szCs w:val="28"/>
          <w:highlight w:val="none"/>
        </w:rPr>
        <w:t>为14.6g/kg炸药</w:t>
      </w:r>
      <w:r>
        <w:rPr>
          <w:rFonts w:hint="default" w:ascii="Times New Roman" w:hAnsi="Times New Roman" w:eastAsia="宋体" w:cs="Times New Roman"/>
          <w:snapToGrid w:val="0"/>
          <w:color w:val="auto"/>
          <w:spacing w:val="0"/>
          <w:kern w:val="0"/>
          <w:position w:val="0"/>
          <w:sz w:val="24"/>
          <w:szCs w:val="24"/>
          <w:highlight w:val="none"/>
        </w:rPr>
        <w:t>。本项目炸药年用量为</w:t>
      </w:r>
      <w:r>
        <w:rPr>
          <w:rFonts w:hint="eastAsia" w:cs="Times New Roman"/>
          <w:snapToGrid w:val="0"/>
          <w:color w:val="auto"/>
          <w:spacing w:val="0"/>
          <w:kern w:val="0"/>
          <w:position w:val="0"/>
          <w:sz w:val="24"/>
          <w:szCs w:val="24"/>
          <w:highlight w:val="none"/>
          <w:lang w:val="en-US" w:eastAsia="zh-CN"/>
        </w:rPr>
        <w:t>300</w:t>
      </w:r>
      <w:r>
        <w:rPr>
          <w:rFonts w:hint="default" w:ascii="Times New Roman" w:hAnsi="Times New Roman" w:eastAsia="宋体" w:cs="Times New Roman"/>
          <w:snapToGrid w:val="0"/>
          <w:color w:val="auto"/>
          <w:spacing w:val="0"/>
          <w:kern w:val="0"/>
          <w:position w:val="0"/>
          <w:sz w:val="24"/>
          <w:szCs w:val="24"/>
          <w:highlight w:val="none"/>
        </w:rPr>
        <w:t>t，</w:t>
      </w:r>
      <w:r>
        <w:rPr>
          <w:rFonts w:hint="eastAsia" w:cs="Times New Roman"/>
          <w:snapToGrid w:val="0"/>
          <w:color w:val="auto"/>
          <w:spacing w:val="0"/>
          <w:kern w:val="0"/>
          <w:position w:val="0"/>
          <w:sz w:val="24"/>
          <w:szCs w:val="24"/>
          <w:highlight w:val="none"/>
          <w:lang w:val="en-US" w:eastAsia="zh-CN"/>
        </w:rPr>
        <w:t>爆破时间约为2h/d，</w:t>
      </w:r>
      <w:r>
        <w:rPr>
          <w:rFonts w:hint="default" w:ascii="Times New Roman" w:hAnsi="Times New Roman" w:eastAsia="宋体" w:cs="Times New Roman"/>
          <w:snapToGrid w:val="0"/>
          <w:color w:val="auto"/>
          <w:spacing w:val="0"/>
          <w:kern w:val="0"/>
          <w:position w:val="0"/>
          <w:sz w:val="24"/>
          <w:szCs w:val="24"/>
          <w:highlight w:val="none"/>
        </w:rPr>
        <w:t>则炸药爆炸后，烟气中CO产生量</w:t>
      </w:r>
      <w:r>
        <w:rPr>
          <w:rFonts w:hint="eastAsia" w:cs="Times New Roman"/>
          <w:snapToGrid w:val="0"/>
          <w:color w:val="auto"/>
          <w:spacing w:val="0"/>
          <w:kern w:val="0"/>
          <w:position w:val="0"/>
          <w:sz w:val="24"/>
          <w:szCs w:val="24"/>
          <w:highlight w:val="none"/>
          <w:lang w:val="en-US" w:eastAsia="zh-CN"/>
        </w:rPr>
        <w:t>为1.89</w:t>
      </w:r>
      <w:r>
        <w:rPr>
          <w:rFonts w:hint="default" w:ascii="Times New Roman" w:hAnsi="Times New Roman" w:eastAsia="宋体" w:cs="Times New Roman"/>
          <w:snapToGrid w:val="0"/>
          <w:color w:val="auto"/>
          <w:spacing w:val="0"/>
          <w:kern w:val="0"/>
          <w:position w:val="0"/>
          <w:sz w:val="24"/>
          <w:szCs w:val="24"/>
          <w:highlight w:val="none"/>
        </w:rPr>
        <w:t>/a，</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排放速率为</w:t>
      </w:r>
      <w:r>
        <w:rPr>
          <w:rFonts w:hint="eastAsia" w:cs="Times New Roman"/>
          <w:snapToGrid w:val="0"/>
          <w:color w:val="auto"/>
          <w:spacing w:val="0"/>
          <w:kern w:val="0"/>
          <w:position w:val="0"/>
          <w:sz w:val="24"/>
          <w:szCs w:val="24"/>
          <w:highlight w:val="none"/>
          <w:vertAlign w:val="baseline"/>
          <w:lang w:val="en-US" w:eastAsia="zh-CN"/>
        </w:rPr>
        <w:t>3.15k</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g/</w:t>
      </w:r>
      <w:r>
        <w:rPr>
          <w:rFonts w:hint="eastAsia" w:cs="Times New Roman"/>
          <w:snapToGrid w:val="0"/>
          <w:color w:val="auto"/>
          <w:spacing w:val="0"/>
          <w:kern w:val="0"/>
          <w:position w:val="0"/>
          <w:sz w:val="24"/>
          <w:szCs w:val="24"/>
          <w:highlight w:val="none"/>
          <w:vertAlign w:val="baseline"/>
          <w:lang w:val="en-US" w:eastAsia="zh-CN"/>
        </w:rPr>
        <w:t>h</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w:t>
      </w:r>
      <w:r>
        <w:rPr>
          <w:rFonts w:hint="default" w:ascii="Times New Roman" w:hAnsi="Times New Roman" w:eastAsia="宋体" w:cs="Times New Roman"/>
          <w:snapToGrid w:val="0"/>
          <w:color w:val="auto"/>
          <w:spacing w:val="0"/>
          <w:kern w:val="0"/>
          <w:position w:val="0"/>
          <w:sz w:val="24"/>
          <w:szCs w:val="24"/>
          <w:highlight w:val="none"/>
        </w:rPr>
        <w:t>NO</w:t>
      </w:r>
      <w:r>
        <w:rPr>
          <w:rFonts w:hint="default" w:ascii="Times New Roman" w:hAnsi="Times New Roman" w:eastAsia="宋体" w:cs="Times New Roman"/>
          <w:snapToGrid w:val="0"/>
          <w:color w:val="auto"/>
          <w:spacing w:val="0"/>
          <w:kern w:val="0"/>
          <w:position w:val="0"/>
          <w:sz w:val="24"/>
          <w:szCs w:val="24"/>
          <w:highlight w:val="none"/>
          <w:vertAlign w:val="subscript"/>
        </w:rPr>
        <w:t>x</w:t>
      </w:r>
      <w:r>
        <w:rPr>
          <w:rFonts w:hint="default" w:ascii="Times New Roman" w:hAnsi="Times New Roman" w:eastAsia="宋体" w:cs="Times New Roman"/>
          <w:snapToGrid w:val="0"/>
          <w:color w:val="auto"/>
          <w:spacing w:val="0"/>
          <w:kern w:val="0"/>
          <w:position w:val="0"/>
          <w:sz w:val="24"/>
          <w:szCs w:val="24"/>
          <w:highlight w:val="none"/>
        </w:rPr>
        <w:t>产生量</w:t>
      </w:r>
      <w:r>
        <w:rPr>
          <w:rFonts w:hint="eastAsia" w:cs="Times New Roman"/>
          <w:snapToGrid w:val="0"/>
          <w:color w:val="auto"/>
          <w:spacing w:val="0"/>
          <w:kern w:val="0"/>
          <w:position w:val="0"/>
          <w:sz w:val="24"/>
          <w:szCs w:val="24"/>
          <w:highlight w:val="none"/>
          <w:lang w:val="en-US" w:eastAsia="zh-CN"/>
        </w:rPr>
        <w:t>为4.38</w:t>
      </w:r>
      <w:r>
        <w:rPr>
          <w:rFonts w:hint="default" w:ascii="Times New Roman" w:hAnsi="Times New Roman" w:eastAsia="宋体" w:cs="Times New Roman"/>
          <w:snapToGrid w:val="0"/>
          <w:color w:val="auto"/>
          <w:spacing w:val="0"/>
          <w:kern w:val="0"/>
          <w:position w:val="0"/>
          <w:sz w:val="24"/>
          <w:szCs w:val="24"/>
          <w:highlight w:val="none"/>
        </w:rPr>
        <w:t>t/a，</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排放速率为</w:t>
      </w:r>
      <w:r>
        <w:rPr>
          <w:rFonts w:hint="eastAsia" w:cs="Times New Roman"/>
          <w:snapToGrid w:val="0"/>
          <w:color w:val="auto"/>
          <w:spacing w:val="0"/>
          <w:kern w:val="0"/>
          <w:position w:val="0"/>
          <w:sz w:val="24"/>
          <w:szCs w:val="24"/>
          <w:highlight w:val="none"/>
          <w:vertAlign w:val="baseline"/>
          <w:lang w:val="en-US" w:eastAsia="zh-CN"/>
        </w:rPr>
        <w:t>7.3k</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g/</w:t>
      </w:r>
      <w:r>
        <w:rPr>
          <w:rFonts w:hint="eastAsia" w:cs="Times New Roman"/>
          <w:snapToGrid w:val="0"/>
          <w:color w:val="auto"/>
          <w:spacing w:val="0"/>
          <w:kern w:val="0"/>
          <w:position w:val="0"/>
          <w:sz w:val="24"/>
          <w:szCs w:val="24"/>
          <w:highlight w:val="none"/>
          <w:vertAlign w:val="baseline"/>
          <w:lang w:val="en-US" w:eastAsia="zh-CN"/>
        </w:rPr>
        <w:t>h。</w:t>
      </w:r>
      <w:r>
        <w:rPr>
          <w:rFonts w:hint="default" w:ascii="Times New Roman" w:hAnsi="Times New Roman" w:eastAsia="宋体" w:cs="Times New Roman"/>
          <w:snapToGrid w:val="0"/>
          <w:color w:val="auto"/>
          <w:spacing w:val="0"/>
          <w:kern w:val="0"/>
          <w:position w:val="0"/>
          <w:sz w:val="24"/>
          <w:szCs w:val="24"/>
          <w:highlight w:val="none"/>
        </w:rPr>
        <w:t>通过矿井排风系统排出井</w:t>
      </w:r>
      <w:r>
        <w:rPr>
          <w:rFonts w:hint="default" w:ascii="Times New Roman" w:hAnsi="Times New Roman" w:eastAsia="宋体" w:cs="Times New Roman"/>
          <w:snapToGrid w:val="0"/>
          <w:color w:val="auto"/>
          <w:spacing w:val="0"/>
          <w:kern w:val="0"/>
          <w:position w:val="0"/>
          <w:sz w:val="24"/>
          <w:szCs w:val="24"/>
          <w:highlight w:val="none"/>
          <w:lang w:val="en-US" w:eastAsia="zh-CN"/>
        </w:rPr>
        <w:t>外</w:t>
      </w:r>
      <w:r>
        <w:rPr>
          <w:rFonts w:hint="eastAsia" w:cs="Times New Roman"/>
          <w:snapToGrid w:val="0"/>
          <w:color w:val="auto"/>
          <w:spacing w:val="0"/>
          <w:kern w:val="0"/>
          <w:position w:val="0"/>
          <w:sz w:val="24"/>
          <w:szCs w:val="24"/>
          <w:highlight w:val="none"/>
          <w:lang w:val="en-US" w:eastAsia="zh-CN"/>
        </w:rPr>
        <w:t>，</w:t>
      </w:r>
      <w:r>
        <w:rPr>
          <w:rFonts w:hint="default"/>
          <w:snapToGrid w:val="0"/>
          <w:color w:val="auto"/>
          <w:spacing w:val="0"/>
          <w:kern w:val="0"/>
          <w:position w:val="0"/>
          <w:sz w:val="24"/>
          <w:highlight w:val="none"/>
        </w:rPr>
        <w:t>矿井总风量为</w:t>
      </w:r>
      <w:r>
        <w:rPr>
          <w:rFonts w:hint="eastAsia"/>
          <w:snapToGrid w:val="0"/>
          <w:color w:val="auto"/>
          <w:spacing w:val="0"/>
          <w:kern w:val="0"/>
          <w:position w:val="0"/>
          <w:sz w:val="24"/>
          <w:highlight w:val="none"/>
          <w:lang w:val="en-US" w:eastAsia="zh-CN"/>
        </w:rPr>
        <w:t>260</w:t>
      </w:r>
      <w:r>
        <w:rPr>
          <w:rFonts w:hint="default"/>
          <w:snapToGrid w:val="0"/>
          <w:color w:val="auto"/>
          <w:spacing w:val="0"/>
          <w:kern w:val="0"/>
          <w:position w:val="0"/>
          <w:sz w:val="24"/>
          <w:highlight w:val="none"/>
        </w:rPr>
        <w:t>m</w:t>
      </w:r>
      <w:r>
        <w:rPr>
          <w:rFonts w:hint="default"/>
          <w:snapToGrid w:val="0"/>
          <w:color w:val="auto"/>
          <w:spacing w:val="0"/>
          <w:kern w:val="0"/>
          <w:position w:val="0"/>
          <w:sz w:val="24"/>
          <w:highlight w:val="none"/>
          <w:vertAlign w:val="superscript"/>
        </w:rPr>
        <w:t>3</w:t>
      </w:r>
      <w:r>
        <w:rPr>
          <w:rFonts w:hint="default"/>
          <w:snapToGrid w:val="0"/>
          <w:color w:val="auto"/>
          <w:spacing w:val="0"/>
          <w:kern w:val="0"/>
          <w:position w:val="0"/>
          <w:sz w:val="24"/>
          <w:highlight w:val="none"/>
        </w:rPr>
        <w:t>/s</w:t>
      </w:r>
      <w:r>
        <w:rPr>
          <w:rFonts w:hint="eastAsia" w:cs="Times New Roman"/>
          <w:snapToGrid w:val="0"/>
          <w:color w:val="auto"/>
          <w:spacing w:val="0"/>
          <w:kern w:val="0"/>
          <w:position w:val="0"/>
          <w:sz w:val="24"/>
          <w:szCs w:val="24"/>
          <w:highlight w:val="none"/>
          <w:vertAlign w:val="baseline"/>
          <w:lang w:val="en-US" w:eastAsia="zh-CN"/>
        </w:rPr>
        <w:t>，</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CO排放浓度为</w:t>
      </w:r>
      <w:r>
        <w:rPr>
          <w:rFonts w:hint="eastAsia" w:cs="Times New Roman"/>
          <w:snapToGrid w:val="0"/>
          <w:color w:val="auto"/>
          <w:spacing w:val="0"/>
          <w:kern w:val="0"/>
          <w:position w:val="0"/>
          <w:sz w:val="24"/>
          <w:szCs w:val="24"/>
          <w:highlight w:val="none"/>
          <w:vertAlign w:val="baseline"/>
          <w:lang w:val="en-US" w:eastAsia="zh-CN"/>
        </w:rPr>
        <w:t>3.3654</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mg/m</w:t>
      </w:r>
      <w:r>
        <w:rPr>
          <w:rFonts w:hint="default" w:ascii="Times New Roman" w:hAnsi="Times New Roman" w:eastAsia="宋体" w:cs="Times New Roman"/>
          <w:snapToGrid w:val="0"/>
          <w:color w:val="auto"/>
          <w:spacing w:val="0"/>
          <w:kern w:val="0"/>
          <w:position w:val="0"/>
          <w:sz w:val="24"/>
          <w:szCs w:val="24"/>
          <w:highlight w:val="none"/>
          <w:vertAlign w:val="superscript"/>
          <w:lang w:val="en-US" w:eastAsia="zh-CN"/>
        </w:rPr>
        <w:t>3</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，NO</w:t>
      </w:r>
      <w:r>
        <w:rPr>
          <w:rFonts w:hint="default" w:ascii="Times New Roman" w:hAnsi="Times New Roman" w:eastAsia="宋体" w:cs="Times New Roman"/>
          <w:snapToGrid w:val="0"/>
          <w:color w:val="auto"/>
          <w:spacing w:val="0"/>
          <w:kern w:val="0"/>
          <w:position w:val="0"/>
          <w:sz w:val="24"/>
          <w:szCs w:val="24"/>
          <w:highlight w:val="none"/>
          <w:vertAlign w:val="subscript"/>
          <w:lang w:val="en-US" w:eastAsia="zh-CN"/>
        </w:rPr>
        <w:t>X</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排放浓度为</w:t>
      </w:r>
      <w:r>
        <w:rPr>
          <w:rFonts w:hint="eastAsia" w:cs="Times New Roman"/>
          <w:snapToGrid w:val="0"/>
          <w:color w:val="auto"/>
          <w:spacing w:val="0"/>
          <w:kern w:val="0"/>
          <w:position w:val="0"/>
          <w:sz w:val="24"/>
          <w:szCs w:val="24"/>
          <w:highlight w:val="none"/>
          <w:vertAlign w:val="baseline"/>
          <w:lang w:val="en-US" w:eastAsia="zh-CN"/>
        </w:rPr>
        <w:t>7.7991</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mg/m</w:t>
      </w:r>
      <w:r>
        <w:rPr>
          <w:rFonts w:hint="default" w:ascii="Times New Roman" w:hAnsi="Times New Roman" w:eastAsia="宋体" w:cs="Times New Roman"/>
          <w:snapToGrid w:val="0"/>
          <w:color w:val="auto"/>
          <w:spacing w:val="0"/>
          <w:kern w:val="0"/>
          <w:position w:val="0"/>
          <w:sz w:val="24"/>
          <w:szCs w:val="24"/>
          <w:highlight w:val="none"/>
          <w:vertAlign w:val="superscript"/>
          <w:lang w:val="en-US" w:eastAsia="zh-CN"/>
        </w:rPr>
        <w:t>3</w:t>
      </w:r>
      <w:r>
        <w:rPr>
          <w:rFonts w:hint="default" w:ascii="Times New Roman" w:hAnsi="Times New Roman" w:eastAsia="宋体" w:cs="Times New Roman"/>
          <w:snapToGrid w:val="0"/>
          <w:color w:val="auto"/>
          <w:spacing w:val="0"/>
          <w:kern w:val="0"/>
          <w:position w:val="0"/>
          <w:sz w:val="24"/>
          <w:szCs w:val="24"/>
          <w:highlight w:val="none"/>
          <w:vertAlign w:val="baseline"/>
          <w:lang w:val="en-US" w:eastAsia="zh-CN"/>
        </w:rPr>
        <w:t>。</w:t>
      </w:r>
    </w:p>
    <w:p w14:paraId="7137597D">
      <w:pPr>
        <w:bidi w:val="0"/>
        <w:outlineLvl w:val="9"/>
        <w:rPr>
          <w:rFonts w:hint="default"/>
          <w:snapToGrid w:val="0"/>
          <w:color w:val="auto"/>
          <w:spacing w:val="0"/>
          <w:kern w:val="0"/>
          <w:position w:val="0"/>
          <w:sz w:val="24"/>
          <w:highlight w:val="none"/>
        </w:rPr>
      </w:pPr>
      <w:r>
        <w:rPr>
          <w:rFonts w:hint="default"/>
          <w:snapToGrid w:val="0"/>
          <w:color w:val="auto"/>
          <w:spacing w:val="0"/>
          <w:kern w:val="0"/>
          <w:position w:val="0"/>
          <w:sz w:val="24"/>
          <w:highlight w:val="none"/>
        </w:rPr>
        <w:t>2、凿岩、掘进粉尘</w:t>
      </w:r>
    </w:p>
    <w:p w14:paraId="7F40F36A">
      <w:pPr>
        <w:keepNext w:val="0"/>
        <w:keepLines w:val="0"/>
        <w:pageBreakBefore w:val="0"/>
        <w:widowControl w:val="0"/>
        <w:kinsoku/>
        <w:wordWrap/>
        <w:overflowPunct/>
        <w:topLinePunct w:val="0"/>
        <w:autoSpaceDE/>
        <w:autoSpaceDN/>
        <w:bidi w:val="0"/>
        <w:adjustRightInd w:val="0"/>
        <w:snapToGrid w:val="0"/>
        <w:textAlignment w:val="baseline"/>
        <w:rPr>
          <w:rFonts w:hint="default"/>
          <w:color w:val="auto"/>
          <w:highlight w:val="none"/>
        </w:rPr>
      </w:pPr>
      <w:r>
        <w:rPr>
          <w:rFonts w:hint="default"/>
          <w:snapToGrid w:val="0"/>
          <w:color w:val="auto"/>
          <w:spacing w:val="0"/>
          <w:kern w:val="0"/>
          <w:position w:val="0"/>
          <w:sz w:val="24"/>
          <w:highlight w:val="none"/>
        </w:rPr>
        <w:t>在凿岩、掘进等过</w:t>
      </w:r>
      <w:r>
        <w:rPr>
          <w:rFonts w:hint="eastAsia"/>
          <w:snapToGrid w:val="0"/>
          <w:color w:val="auto"/>
          <w:spacing w:val="0"/>
          <w:kern w:val="0"/>
          <w:position w:val="0"/>
          <w:sz w:val="24"/>
          <w:highlight w:val="none"/>
          <w:lang w:eastAsia="zh-CN"/>
        </w:rPr>
        <w:t>程中</w:t>
      </w:r>
      <w:r>
        <w:rPr>
          <w:rFonts w:hint="default"/>
          <w:snapToGrid w:val="0"/>
          <w:color w:val="auto"/>
          <w:spacing w:val="0"/>
          <w:kern w:val="0"/>
          <w:position w:val="0"/>
          <w:sz w:val="24"/>
          <w:highlight w:val="none"/>
        </w:rPr>
        <w:t>会有粉尘产生。根据相关资料，作业面附近粉尘初期浓度可达300mg/m</w:t>
      </w:r>
      <w:r>
        <w:rPr>
          <w:rFonts w:hint="default"/>
          <w:snapToGrid w:val="0"/>
          <w:color w:val="auto"/>
          <w:spacing w:val="0"/>
          <w:kern w:val="0"/>
          <w:position w:val="0"/>
          <w:sz w:val="24"/>
          <w:highlight w:val="none"/>
          <w:vertAlign w:val="superscript"/>
        </w:rPr>
        <w:t>3</w:t>
      </w:r>
      <w:r>
        <w:rPr>
          <w:rFonts w:hint="default"/>
          <w:snapToGrid w:val="0"/>
          <w:color w:val="auto"/>
          <w:spacing w:val="0"/>
          <w:kern w:val="0"/>
          <w:position w:val="0"/>
          <w:sz w:val="24"/>
          <w:highlight w:val="none"/>
        </w:rPr>
        <w:t>。本矿为地下开采，在粉尘产生初期其绝大部分就能沉降下来，在此基础上采用湿式凿岩、作业面洒水喷雾除尘、风机井下通风等综合治理措施后，进一步降低粉尘浓度。类比同类型矿山在井下未采取上述防尘措施时粉尘浓度一般在0.3</w:t>
      </w:r>
      <w:r>
        <w:rPr>
          <w:rFonts w:hint="eastAsia"/>
          <w:snapToGrid w:val="0"/>
          <w:color w:val="auto"/>
          <w:spacing w:val="0"/>
          <w:kern w:val="0"/>
          <w:position w:val="0"/>
          <w:sz w:val="24"/>
          <w:highlight w:val="none"/>
          <w:lang w:eastAsia="zh-CN"/>
        </w:rPr>
        <w:t>～</w:t>
      </w:r>
      <w:r>
        <w:rPr>
          <w:rFonts w:hint="default"/>
          <w:snapToGrid w:val="0"/>
          <w:color w:val="auto"/>
          <w:spacing w:val="0"/>
          <w:kern w:val="0"/>
          <w:position w:val="0"/>
          <w:sz w:val="24"/>
          <w:highlight w:val="none"/>
        </w:rPr>
        <w:t>2.45mg/m</w:t>
      </w:r>
      <w:r>
        <w:rPr>
          <w:rFonts w:hint="default"/>
          <w:snapToGrid w:val="0"/>
          <w:color w:val="auto"/>
          <w:spacing w:val="0"/>
          <w:kern w:val="0"/>
          <w:position w:val="0"/>
          <w:sz w:val="24"/>
          <w:highlight w:val="none"/>
          <w:vertAlign w:val="superscript"/>
        </w:rPr>
        <w:t>3</w:t>
      </w:r>
      <w:r>
        <w:rPr>
          <w:rFonts w:hint="default"/>
          <w:snapToGrid w:val="0"/>
          <w:color w:val="auto"/>
          <w:spacing w:val="0"/>
          <w:kern w:val="0"/>
          <w:position w:val="0"/>
          <w:sz w:val="24"/>
          <w:highlight w:val="none"/>
        </w:rPr>
        <w:t>，而采取防尘措施后井</w:t>
      </w:r>
      <w:r>
        <w:rPr>
          <w:rFonts w:hint="default"/>
          <w:color w:val="auto"/>
          <w:highlight w:val="none"/>
        </w:rPr>
        <w:t>下粉尘浓度能够控制在1mg/m</w:t>
      </w:r>
      <w:r>
        <w:rPr>
          <w:rFonts w:hint="default"/>
          <w:color w:val="auto"/>
          <w:highlight w:val="none"/>
          <w:vertAlign w:val="superscript"/>
        </w:rPr>
        <w:t>3</w:t>
      </w:r>
      <w:r>
        <w:rPr>
          <w:rFonts w:hint="default"/>
          <w:color w:val="auto"/>
          <w:highlight w:val="none"/>
        </w:rPr>
        <w:t>以下。本次环评按平均外排粉尘浓度1mg/m</w:t>
      </w:r>
      <w:r>
        <w:rPr>
          <w:rFonts w:hint="default"/>
          <w:color w:val="auto"/>
          <w:highlight w:val="none"/>
          <w:vertAlign w:val="superscript"/>
        </w:rPr>
        <w:t>3</w:t>
      </w:r>
      <w:r>
        <w:rPr>
          <w:rFonts w:hint="default"/>
          <w:color w:val="auto"/>
          <w:highlight w:val="none"/>
        </w:rPr>
        <w:t>计算，本矿井总风量为</w:t>
      </w:r>
      <w:r>
        <w:rPr>
          <w:rFonts w:hint="eastAsia"/>
          <w:color w:val="auto"/>
          <w:highlight w:val="none"/>
          <w:lang w:val="en-US" w:eastAsia="zh-CN"/>
        </w:rPr>
        <w:t>260</w:t>
      </w:r>
      <w:r>
        <w:rPr>
          <w:rFonts w:hint="default"/>
          <w:color w:val="auto"/>
          <w:highlight w:val="none"/>
        </w:rPr>
        <w:t>m</w:t>
      </w:r>
      <w:r>
        <w:rPr>
          <w:rFonts w:hint="default"/>
          <w:color w:val="auto"/>
          <w:highlight w:val="none"/>
          <w:vertAlign w:val="superscript"/>
        </w:rPr>
        <w:t>3</w:t>
      </w:r>
      <w:r>
        <w:rPr>
          <w:rFonts w:hint="default"/>
          <w:color w:val="auto"/>
          <w:highlight w:val="none"/>
        </w:rPr>
        <w:t>/s，即</w:t>
      </w:r>
      <w:r>
        <w:rPr>
          <w:rFonts w:hint="eastAsia"/>
          <w:color w:val="auto"/>
          <w:highlight w:val="none"/>
          <w:lang w:val="en-US" w:eastAsia="zh-CN"/>
        </w:rPr>
        <w:t>936000</w:t>
      </w:r>
      <w:r>
        <w:rPr>
          <w:rFonts w:hint="default"/>
          <w:color w:val="auto"/>
          <w:highlight w:val="none"/>
        </w:rPr>
        <w:t>m</w:t>
      </w:r>
      <w:r>
        <w:rPr>
          <w:rFonts w:hint="default"/>
          <w:color w:val="auto"/>
          <w:highlight w:val="none"/>
          <w:vertAlign w:val="superscript"/>
        </w:rPr>
        <w:t>3</w:t>
      </w:r>
      <w:r>
        <w:rPr>
          <w:rFonts w:hint="default"/>
          <w:color w:val="auto"/>
          <w:highlight w:val="none"/>
        </w:rPr>
        <w:t>/h，</w:t>
      </w:r>
      <w:r>
        <w:rPr>
          <w:rFonts w:hint="eastAsia"/>
          <w:color w:val="auto"/>
          <w:highlight w:val="none"/>
          <w:lang w:val="en-US" w:eastAsia="zh-CN"/>
        </w:rPr>
        <w:t>每天24</w:t>
      </w:r>
      <w:r>
        <w:rPr>
          <w:rFonts w:hint="default"/>
          <w:color w:val="auto"/>
          <w:highlight w:val="none"/>
        </w:rPr>
        <w:t>小时</w:t>
      </w:r>
      <w:r>
        <w:rPr>
          <w:rFonts w:hint="eastAsia"/>
          <w:color w:val="auto"/>
          <w:highlight w:val="none"/>
          <w:lang w:val="en-US" w:eastAsia="zh-CN"/>
        </w:rPr>
        <w:t>开采</w:t>
      </w:r>
      <w:r>
        <w:rPr>
          <w:rFonts w:hint="default"/>
          <w:color w:val="auto"/>
          <w:highlight w:val="none"/>
        </w:rPr>
        <w:t>，则粉尘预计</w:t>
      </w:r>
      <w:r>
        <w:rPr>
          <w:rFonts w:hint="eastAsia"/>
          <w:color w:val="auto"/>
          <w:highlight w:val="none"/>
          <w:lang w:val="en-US" w:eastAsia="zh-CN"/>
        </w:rPr>
        <w:t>最大</w:t>
      </w:r>
      <w:r>
        <w:rPr>
          <w:rFonts w:hint="default"/>
          <w:color w:val="auto"/>
          <w:highlight w:val="none"/>
        </w:rPr>
        <w:t>产生量为</w:t>
      </w:r>
      <w:r>
        <w:rPr>
          <w:rFonts w:hint="eastAsia"/>
          <w:color w:val="auto"/>
          <w:highlight w:val="none"/>
          <w:lang w:val="en-US" w:eastAsia="zh-CN"/>
        </w:rPr>
        <w:t>16.5110</w:t>
      </w:r>
      <w:r>
        <w:rPr>
          <w:rFonts w:hint="default"/>
          <w:color w:val="auto"/>
          <w:highlight w:val="none"/>
        </w:rPr>
        <w:t>t/a</w:t>
      </w:r>
      <w:r>
        <w:rPr>
          <w:rFonts w:hint="eastAsia"/>
          <w:color w:val="auto"/>
          <w:highlight w:val="none"/>
          <w:lang w:eastAsia="zh-CN"/>
        </w:rPr>
        <w:t>（</w:t>
      </w:r>
      <w:r>
        <w:rPr>
          <w:rFonts w:hint="eastAsia"/>
          <w:color w:val="auto"/>
          <w:highlight w:val="none"/>
          <w:lang w:val="en-US" w:eastAsia="zh-CN"/>
        </w:rPr>
        <w:t>2.2930kg/h</w:t>
      </w:r>
      <w:r>
        <w:rPr>
          <w:rFonts w:hint="eastAsia"/>
          <w:color w:val="auto"/>
          <w:highlight w:val="none"/>
          <w:lang w:eastAsia="zh-CN"/>
        </w:rPr>
        <w:t>）</w:t>
      </w:r>
      <w:r>
        <w:rPr>
          <w:rFonts w:hint="default"/>
          <w:color w:val="auto"/>
          <w:highlight w:val="none"/>
        </w:rPr>
        <w:t>，排放量为</w:t>
      </w:r>
      <w:r>
        <w:rPr>
          <w:rFonts w:hint="eastAsia"/>
          <w:color w:val="auto"/>
          <w:highlight w:val="none"/>
          <w:lang w:val="en-US" w:eastAsia="zh-CN"/>
        </w:rPr>
        <w:t>6.7392</w:t>
      </w:r>
      <w:r>
        <w:rPr>
          <w:rFonts w:hint="default"/>
          <w:color w:val="auto"/>
          <w:highlight w:val="none"/>
        </w:rPr>
        <w:t>t/a</w:t>
      </w:r>
      <w:r>
        <w:rPr>
          <w:rFonts w:hint="eastAsia"/>
          <w:color w:val="auto"/>
          <w:highlight w:val="none"/>
          <w:lang w:eastAsia="zh-CN"/>
        </w:rPr>
        <w:t>（</w:t>
      </w:r>
      <w:r>
        <w:rPr>
          <w:rFonts w:hint="eastAsia"/>
          <w:color w:val="auto"/>
          <w:highlight w:val="none"/>
          <w:lang w:val="en-US" w:eastAsia="zh-CN"/>
        </w:rPr>
        <w:t>0.9360kg/h</w:t>
      </w:r>
      <w:r>
        <w:rPr>
          <w:rFonts w:hint="eastAsia"/>
          <w:color w:val="auto"/>
          <w:highlight w:val="none"/>
          <w:lang w:eastAsia="zh-CN"/>
        </w:rPr>
        <w:t>）</w:t>
      </w:r>
      <w:r>
        <w:rPr>
          <w:rFonts w:hint="default"/>
          <w:color w:val="auto"/>
          <w:highlight w:val="none"/>
        </w:rPr>
        <w:t>，项目矿石中氟化物含量占比</w:t>
      </w:r>
      <w:r>
        <w:rPr>
          <w:rFonts w:hint="eastAsia"/>
          <w:color w:val="auto"/>
          <w:highlight w:val="none"/>
          <w:lang w:val="en-US" w:eastAsia="zh-CN"/>
        </w:rPr>
        <w:t>15.78</w:t>
      </w:r>
      <w:r>
        <w:rPr>
          <w:rFonts w:hint="default"/>
          <w:color w:val="auto"/>
          <w:highlight w:val="none"/>
        </w:rPr>
        <w:t>%</w:t>
      </w:r>
      <w:r>
        <w:rPr>
          <w:rFonts w:hint="eastAsia"/>
          <w:color w:val="auto"/>
          <w:highlight w:val="none"/>
          <w:lang w:eastAsia="zh-CN"/>
        </w:rPr>
        <w:t>，</w:t>
      </w:r>
      <w:r>
        <w:rPr>
          <w:rFonts w:hint="default"/>
          <w:color w:val="auto"/>
          <w:highlight w:val="none"/>
        </w:rPr>
        <w:t>可计算得出粉尘中氟化物</w:t>
      </w:r>
      <w:r>
        <w:rPr>
          <w:rFonts w:hint="eastAsia"/>
          <w:color w:val="auto"/>
          <w:highlight w:val="none"/>
          <w:lang w:eastAsia="zh-CN"/>
        </w:rPr>
        <w:t>排放</w:t>
      </w:r>
      <w:r>
        <w:rPr>
          <w:rFonts w:hint="default"/>
          <w:color w:val="auto"/>
          <w:highlight w:val="none"/>
        </w:rPr>
        <w:t>量</w:t>
      </w:r>
      <w:r>
        <w:rPr>
          <w:rFonts w:hint="eastAsia"/>
          <w:color w:val="auto"/>
          <w:highlight w:val="none"/>
          <w:lang w:eastAsia="zh-CN"/>
        </w:rPr>
        <w:t>为</w:t>
      </w:r>
      <w:r>
        <w:rPr>
          <w:rFonts w:hint="eastAsia"/>
          <w:color w:val="auto"/>
          <w:highlight w:val="none"/>
          <w:lang w:val="en-US" w:eastAsia="zh-CN"/>
        </w:rPr>
        <w:t>1.0634t</w:t>
      </w:r>
      <w:r>
        <w:rPr>
          <w:rFonts w:hint="eastAsia"/>
          <w:color w:val="auto"/>
          <w:highlight w:val="none"/>
          <w:lang w:eastAsia="zh-CN"/>
        </w:rPr>
        <w:t>/a（</w:t>
      </w:r>
      <w:r>
        <w:rPr>
          <w:rFonts w:hint="eastAsia"/>
          <w:color w:val="auto"/>
          <w:highlight w:val="none"/>
          <w:lang w:val="en-US" w:eastAsia="zh-CN"/>
        </w:rPr>
        <w:t>0.1477kg/h</w:t>
      </w:r>
      <w:r>
        <w:rPr>
          <w:rFonts w:hint="eastAsia"/>
          <w:color w:val="auto"/>
          <w:highlight w:val="none"/>
          <w:lang w:eastAsia="zh-CN"/>
        </w:rPr>
        <w:t>），</w:t>
      </w:r>
      <w:r>
        <w:rPr>
          <w:rFonts w:hint="default"/>
          <w:color w:val="auto"/>
          <w:highlight w:val="none"/>
        </w:rPr>
        <w:t>通过矿井排风系统排出井外。</w:t>
      </w:r>
    </w:p>
    <w:p w14:paraId="65C4CEFF">
      <w:pPr>
        <w:bidi w:val="0"/>
        <w:ind w:left="0" w:leftChars="0" w:firstLine="480" w:firstLineChars="200"/>
        <w:outlineLvl w:val="9"/>
        <w:rPr>
          <w:color w:val="auto"/>
          <w:highlight w:val="none"/>
        </w:rPr>
      </w:pPr>
      <w:r>
        <w:rPr>
          <w:rFonts w:hint="eastAsia"/>
          <w:color w:val="auto"/>
          <w:highlight w:val="none"/>
          <w:lang w:val="en-US" w:eastAsia="zh-CN"/>
        </w:rPr>
        <w:t>3、</w:t>
      </w:r>
      <w:r>
        <w:rPr>
          <w:color w:val="auto"/>
          <w:highlight w:val="none"/>
        </w:rPr>
        <w:t>运输扬尘</w:t>
      </w:r>
    </w:p>
    <w:p w14:paraId="2BA05AA3">
      <w:pPr>
        <w:bidi w:val="0"/>
        <w:rPr>
          <w:color w:val="auto"/>
          <w:highlight w:val="none"/>
        </w:rPr>
      </w:pPr>
      <w:r>
        <w:rPr>
          <w:rFonts w:ascii="宋体" w:hAnsi="宋体" w:eastAsia="宋体" w:cs="宋体"/>
          <w:color w:val="auto"/>
          <w:sz w:val="24"/>
          <w:szCs w:val="24"/>
          <w:highlight w:val="none"/>
        </w:rPr>
        <w:t>本项目矿石通过密闭皮带输送机及封闭矿仓完成转运，粉尘产生点位集中在矿仓下料、出料作业区域</w:t>
      </w:r>
      <w:r>
        <w:rPr>
          <w:rFonts w:hint="eastAsia"/>
          <w:color w:val="auto"/>
          <w:highlight w:val="none"/>
          <w:lang w:val="en-US" w:eastAsia="zh-CN"/>
        </w:rPr>
        <w:t>。本项目</w:t>
      </w:r>
      <w:r>
        <w:rPr>
          <w:color w:val="auto"/>
          <w:highlight w:val="none"/>
          <w:lang w:val="en-US" w:eastAsia="zh-CN"/>
        </w:rPr>
        <w:t>废石</w:t>
      </w:r>
      <w:r>
        <w:rPr>
          <w:rFonts w:hint="eastAsia"/>
          <w:color w:val="auto"/>
          <w:highlight w:val="none"/>
          <w:lang w:val="en-US" w:eastAsia="zh-CN"/>
        </w:rPr>
        <w:t>由20</w:t>
      </w:r>
      <w:r>
        <w:rPr>
          <w:color w:val="auto"/>
          <w:highlight w:val="none"/>
          <w:lang w:val="en-US" w:eastAsia="zh-CN"/>
        </w:rPr>
        <w:t>t自卸汽车运输至</w:t>
      </w:r>
      <w:r>
        <w:rPr>
          <w:rFonts w:hint="eastAsia"/>
          <w:color w:val="auto"/>
          <w:highlight w:val="none"/>
          <w:lang w:val="en-US" w:eastAsia="zh-CN"/>
        </w:rPr>
        <w:t>采矿区南侧</w:t>
      </w:r>
      <w:r>
        <w:rPr>
          <w:color w:val="auto"/>
          <w:highlight w:val="none"/>
          <w:lang w:val="en-US" w:eastAsia="zh-CN"/>
        </w:rPr>
        <w:t>的废石堆场排弃</w:t>
      </w:r>
      <w:r>
        <w:rPr>
          <w:rFonts w:hint="eastAsia"/>
          <w:color w:val="auto"/>
          <w:highlight w:val="none"/>
          <w:lang w:val="en-US" w:eastAsia="zh-CN"/>
        </w:rPr>
        <w:t>，</w:t>
      </w:r>
      <w:r>
        <w:rPr>
          <w:rFonts w:ascii="宋体" w:hAnsi="宋体" w:eastAsia="宋体" w:cs="宋体"/>
          <w:color w:val="auto"/>
          <w:sz w:val="24"/>
          <w:szCs w:val="24"/>
          <w:highlight w:val="none"/>
        </w:rPr>
        <w:t>运输环节易产生扬尘污染</w:t>
      </w:r>
      <w:r>
        <w:rPr>
          <w:rFonts w:hint="eastAsia"/>
          <w:color w:val="auto"/>
          <w:highlight w:val="none"/>
          <w:lang w:eastAsia="zh-CN"/>
        </w:rPr>
        <w:t>，</w:t>
      </w:r>
      <w:r>
        <w:rPr>
          <w:rFonts w:hint="eastAsia"/>
          <w:color w:val="auto"/>
          <w:highlight w:val="none"/>
          <w:lang w:val="en-US" w:eastAsia="zh-CN"/>
        </w:rPr>
        <w:t>故本次环评主要考虑废石运输扬尘</w:t>
      </w:r>
      <w:r>
        <w:rPr>
          <w:color w:val="auto"/>
          <w:highlight w:val="none"/>
        </w:rPr>
        <w:t>。</w:t>
      </w:r>
      <w:r>
        <w:rPr>
          <w:rFonts w:hint="eastAsia"/>
          <w:color w:val="auto"/>
          <w:highlight w:val="none"/>
          <w:lang w:val="en-US" w:eastAsia="zh-CN"/>
        </w:rPr>
        <w:t>废石堆场在起风天气会造成不同程度的扬尘影响。</w:t>
      </w:r>
    </w:p>
    <w:p w14:paraId="36750BEB">
      <w:pPr>
        <w:bidi w:val="0"/>
        <w:rPr>
          <w:color w:val="auto"/>
          <w:highlight w:val="none"/>
        </w:rPr>
      </w:pPr>
      <w:r>
        <w:rPr>
          <w:color w:val="auto"/>
          <w:highlight w:val="none"/>
        </w:rPr>
        <w:t>运输扬尘量按下列经验公式估算：</w:t>
      </w:r>
    </w:p>
    <w:p w14:paraId="2FA01655">
      <w:pPr>
        <w:bidi w:val="0"/>
        <w:ind w:left="0" w:leftChars="0" w:firstLine="0" w:firstLineChars="0"/>
        <w:jc w:val="center"/>
        <w:rPr>
          <w:color w:val="auto"/>
          <w:highlight w:val="none"/>
        </w:rPr>
      </w:pPr>
      <w:r>
        <w:rPr>
          <w:color w:val="auto"/>
          <w:highlight w:val="none"/>
        </w:rPr>
        <w:t>Qp=0.123×（V/5）×（M/6.8）</w:t>
      </w:r>
      <w:r>
        <w:rPr>
          <w:color w:val="auto"/>
          <w:highlight w:val="none"/>
          <w:vertAlign w:val="superscript"/>
        </w:rPr>
        <w:t>0.85</w:t>
      </w:r>
      <w:r>
        <w:rPr>
          <w:color w:val="auto"/>
          <w:highlight w:val="none"/>
        </w:rPr>
        <w:t>×（P/0.5）</w:t>
      </w:r>
      <w:r>
        <w:rPr>
          <w:color w:val="auto"/>
          <w:highlight w:val="none"/>
          <w:vertAlign w:val="superscript"/>
        </w:rPr>
        <w:t>0.72</w:t>
      </w:r>
    </w:p>
    <w:p w14:paraId="600C64D3">
      <w:pPr>
        <w:bidi w:val="0"/>
        <w:ind w:left="0" w:leftChars="0" w:firstLine="0" w:firstLineChars="0"/>
        <w:jc w:val="center"/>
        <w:rPr>
          <w:color w:val="auto"/>
          <w:highlight w:val="none"/>
        </w:rPr>
      </w:pPr>
      <w:r>
        <w:rPr>
          <w:color w:val="auto"/>
          <w:highlight w:val="none"/>
        </w:rPr>
        <w:t>Qp</w:t>
      </w:r>
      <w:r>
        <w:rPr>
          <w:color w:val="auto"/>
          <w:highlight w:val="none"/>
          <w:vertAlign w:val="subscript"/>
        </w:rPr>
        <w:t>0</w:t>
      </w:r>
      <w:r>
        <w:rPr>
          <w:color w:val="auto"/>
          <w:highlight w:val="none"/>
        </w:rPr>
        <w:t>=Qp×L×Q/M</w:t>
      </w:r>
    </w:p>
    <w:p w14:paraId="2FA18AF3">
      <w:pPr>
        <w:bidi w:val="0"/>
        <w:rPr>
          <w:color w:val="auto"/>
          <w:highlight w:val="none"/>
        </w:rPr>
      </w:pPr>
      <w:r>
        <w:rPr>
          <w:color w:val="auto"/>
          <w:highlight w:val="none"/>
        </w:rPr>
        <w:t>式中：Qp——道路扬尘量，kg/km·辆；</w:t>
      </w:r>
    </w:p>
    <w:p w14:paraId="102905EE">
      <w:pPr>
        <w:bidi w:val="0"/>
        <w:rPr>
          <w:color w:val="auto"/>
          <w:highlight w:val="none"/>
        </w:rPr>
      </w:pPr>
      <w:r>
        <w:rPr>
          <w:color w:val="auto"/>
          <w:highlight w:val="none"/>
        </w:rPr>
        <w:t>Qp0——总扬尘量，kg/a；</w:t>
      </w:r>
    </w:p>
    <w:p w14:paraId="2BE79993">
      <w:pPr>
        <w:bidi w:val="0"/>
        <w:rPr>
          <w:color w:val="auto"/>
          <w:highlight w:val="none"/>
        </w:rPr>
      </w:pPr>
      <w:r>
        <w:rPr>
          <w:color w:val="auto"/>
          <w:highlight w:val="none"/>
        </w:rPr>
        <w:t>V——车辆速度，</w:t>
      </w:r>
      <w:r>
        <w:rPr>
          <w:rFonts w:hint="eastAsia"/>
          <w:color w:val="auto"/>
          <w:highlight w:val="none"/>
        </w:rPr>
        <w:t>20</w:t>
      </w:r>
      <w:r>
        <w:rPr>
          <w:color w:val="auto"/>
          <w:highlight w:val="none"/>
        </w:rPr>
        <w:t>km/h；</w:t>
      </w:r>
    </w:p>
    <w:p w14:paraId="438ADB9C">
      <w:pPr>
        <w:bidi w:val="0"/>
        <w:rPr>
          <w:color w:val="auto"/>
          <w:highlight w:val="none"/>
        </w:rPr>
      </w:pPr>
      <w:r>
        <w:rPr>
          <w:color w:val="auto"/>
          <w:highlight w:val="none"/>
        </w:rPr>
        <w:t>M——车辆载重，</w:t>
      </w:r>
      <w:r>
        <w:rPr>
          <w:rFonts w:hint="eastAsia"/>
          <w:color w:val="auto"/>
          <w:highlight w:val="none"/>
          <w:lang w:val="en-US" w:eastAsia="zh-CN"/>
        </w:rPr>
        <w:t>20</w:t>
      </w:r>
      <w:r>
        <w:rPr>
          <w:color w:val="auto"/>
          <w:highlight w:val="none"/>
        </w:rPr>
        <w:t>t/辆；</w:t>
      </w:r>
    </w:p>
    <w:p w14:paraId="5AFF1C92">
      <w:pPr>
        <w:bidi w:val="0"/>
        <w:rPr>
          <w:color w:val="auto"/>
          <w:highlight w:val="none"/>
        </w:rPr>
      </w:pPr>
      <w:r>
        <w:rPr>
          <w:color w:val="auto"/>
          <w:highlight w:val="none"/>
        </w:rPr>
        <w:t>P——</w:t>
      </w:r>
      <w:r>
        <w:rPr>
          <w:rFonts w:hint="default"/>
          <w:color w:val="auto"/>
          <w:highlight w:val="none"/>
        </w:rPr>
        <w:t>道路表面物料量</w:t>
      </w:r>
      <w:r>
        <w:rPr>
          <w:color w:val="auto"/>
          <w:highlight w:val="none"/>
        </w:rPr>
        <w:t>（</w:t>
      </w:r>
      <w:r>
        <w:rPr>
          <w:rFonts w:hint="default"/>
          <w:color w:val="auto"/>
          <w:highlight w:val="none"/>
        </w:rPr>
        <w:t>kg/m²</w:t>
      </w:r>
      <w:r>
        <w:rPr>
          <w:color w:val="auto"/>
          <w:highlight w:val="none"/>
        </w:rPr>
        <w:t>），</w:t>
      </w:r>
      <w:r>
        <w:rPr>
          <w:rFonts w:hint="default"/>
          <w:color w:val="auto"/>
          <w:highlight w:val="none"/>
        </w:rPr>
        <w:t>采取道路压实、</w:t>
      </w:r>
      <w:r>
        <w:rPr>
          <w:rFonts w:hint="eastAsia"/>
          <w:color w:val="auto"/>
          <w:highlight w:val="none"/>
          <w:lang w:val="en-US" w:eastAsia="zh-CN"/>
        </w:rPr>
        <w:t>铺撒碎石</w:t>
      </w:r>
      <w:r>
        <w:rPr>
          <w:rFonts w:hint="default"/>
          <w:color w:val="auto"/>
          <w:highlight w:val="none"/>
        </w:rPr>
        <w:t>等环保措施后，取0.05kg/m²</w:t>
      </w:r>
      <w:r>
        <w:rPr>
          <w:color w:val="auto"/>
          <w:highlight w:val="none"/>
        </w:rPr>
        <w:t>；</w:t>
      </w:r>
    </w:p>
    <w:p w14:paraId="405523C2">
      <w:pPr>
        <w:bidi w:val="0"/>
        <w:rPr>
          <w:color w:val="auto"/>
          <w:highlight w:val="none"/>
        </w:rPr>
      </w:pPr>
      <w:r>
        <w:rPr>
          <w:color w:val="auto"/>
          <w:highlight w:val="none"/>
        </w:rPr>
        <w:t>L——运距，km</w:t>
      </w:r>
      <w:r>
        <w:rPr>
          <w:rFonts w:hint="eastAsia"/>
          <w:color w:val="auto"/>
          <w:highlight w:val="none"/>
          <w:lang w:eastAsia="zh-CN"/>
        </w:rPr>
        <w:t>，</w:t>
      </w:r>
      <w:r>
        <w:rPr>
          <w:color w:val="auto"/>
          <w:highlight w:val="none"/>
        </w:rPr>
        <w:t>本项目</w:t>
      </w:r>
      <w:r>
        <w:rPr>
          <w:rFonts w:hint="eastAsia"/>
          <w:color w:val="auto"/>
          <w:highlight w:val="none"/>
          <w:lang w:val="en-US" w:eastAsia="zh-CN"/>
        </w:rPr>
        <w:t>废石</w:t>
      </w:r>
      <w:r>
        <w:rPr>
          <w:color w:val="auto"/>
          <w:highlight w:val="none"/>
        </w:rPr>
        <w:t>运输道路长度</w:t>
      </w:r>
      <w:r>
        <w:rPr>
          <w:rFonts w:hint="eastAsia"/>
          <w:color w:val="auto"/>
          <w:highlight w:val="none"/>
          <w:lang w:val="en-US" w:eastAsia="zh-CN"/>
        </w:rPr>
        <w:t>约0.79k</w:t>
      </w:r>
      <w:r>
        <w:rPr>
          <w:color w:val="auto"/>
          <w:highlight w:val="none"/>
        </w:rPr>
        <w:t>m；</w:t>
      </w:r>
    </w:p>
    <w:p w14:paraId="7E2F8AD2">
      <w:pPr>
        <w:bidi w:val="0"/>
        <w:rPr>
          <w:color w:val="auto"/>
          <w:highlight w:val="none"/>
        </w:rPr>
      </w:pPr>
      <w:r>
        <w:rPr>
          <w:color w:val="auto"/>
          <w:highlight w:val="none"/>
        </w:rPr>
        <w:t>Q——运输量，t/a</w:t>
      </w:r>
      <w:r>
        <w:rPr>
          <w:rFonts w:hint="eastAsia"/>
          <w:color w:val="auto"/>
          <w:highlight w:val="none"/>
          <w:lang w:eastAsia="zh-CN"/>
        </w:rPr>
        <w:t>，</w:t>
      </w:r>
      <w:r>
        <w:rPr>
          <w:color w:val="auto"/>
          <w:highlight w:val="none"/>
          <w:lang w:val="en-US" w:eastAsia="zh-CN"/>
        </w:rPr>
        <w:t>生产期间</w:t>
      </w:r>
      <w:r>
        <w:rPr>
          <w:rFonts w:hint="eastAsia"/>
          <w:color w:val="auto"/>
          <w:highlight w:val="none"/>
          <w:lang w:val="en-US" w:eastAsia="zh-CN"/>
        </w:rPr>
        <w:t>产生</w:t>
      </w:r>
      <w:r>
        <w:rPr>
          <w:color w:val="auto"/>
          <w:highlight w:val="none"/>
          <w:lang w:val="en-US" w:eastAsia="zh-CN"/>
        </w:rPr>
        <w:t>废石约1250t/</w:t>
      </w:r>
      <w:r>
        <w:rPr>
          <w:rFonts w:hint="eastAsia"/>
          <w:color w:val="auto"/>
          <w:highlight w:val="none"/>
          <w:lang w:val="en-US" w:eastAsia="zh-CN"/>
        </w:rPr>
        <w:t>d</w:t>
      </w:r>
      <w:r>
        <w:rPr>
          <w:color w:val="auto"/>
          <w:highlight w:val="none"/>
          <w:lang w:val="en-US" w:eastAsia="zh-CN"/>
        </w:rPr>
        <w:t>，</w:t>
      </w:r>
      <w:r>
        <w:rPr>
          <w:rFonts w:hint="eastAsia"/>
          <w:color w:val="auto"/>
          <w:highlight w:val="none"/>
          <w:lang w:val="en-US" w:eastAsia="zh-CN"/>
        </w:rPr>
        <w:t>废石年平均运载量约为37.5万t/a。</w:t>
      </w:r>
    </w:p>
    <w:p w14:paraId="58112251">
      <w:pPr>
        <w:bidi w:val="0"/>
        <w:rPr>
          <w:color w:val="auto"/>
          <w:highlight w:val="none"/>
        </w:rPr>
      </w:pPr>
      <w:r>
        <w:rPr>
          <w:color w:val="auto"/>
          <w:highlight w:val="none"/>
        </w:rPr>
        <w:t>通过上式计算，</w:t>
      </w:r>
      <w:r>
        <w:rPr>
          <w:rFonts w:hint="eastAsia"/>
          <w:color w:val="auto"/>
          <w:highlight w:val="none"/>
          <w:lang w:val="en-US" w:eastAsia="zh-CN"/>
        </w:rPr>
        <w:t>项目废石</w:t>
      </w:r>
      <w:r>
        <w:rPr>
          <w:color w:val="auto"/>
          <w:highlight w:val="none"/>
        </w:rPr>
        <w:t>年产生粉尘量约</w:t>
      </w:r>
      <w:r>
        <w:rPr>
          <w:rFonts w:hint="eastAsia"/>
          <w:color w:val="auto"/>
          <w:highlight w:val="none"/>
          <w:lang w:val="en-US" w:eastAsia="zh-CN"/>
        </w:rPr>
        <w:t>3.4741</w:t>
      </w:r>
      <w:r>
        <w:rPr>
          <w:color w:val="auto"/>
          <w:highlight w:val="none"/>
        </w:rPr>
        <w:t>t/a</w:t>
      </w:r>
      <w:r>
        <w:rPr>
          <w:rFonts w:hint="eastAsia"/>
          <w:color w:val="auto"/>
          <w:highlight w:val="none"/>
          <w:lang w:eastAsia="zh-CN"/>
        </w:rPr>
        <w:t>（</w:t>
      </w:r>
      <w:r>
        <w:rPr>
          <w:rFonts w:hint="eastAsia"/>
          <w:color w:val="auto"/>
          <w:highlight w:val="none"/>
          <w:lang w:val="en-US" w:eastAsia="zh-CN"/>
        </w:rPr>
        <w:t>0.4825</w:t>
      </w:r>
      <w:r>
        <w:rPr>
          <w:color w:val="auto"/>
          <w:highlight w:val="none"/>
        </w:rPr>
        <w:t>kg/</w:t>
      </w:r>
      <w:r>
        <w:rPr>
          <w:rFonts w:hint="eastAsia"/>
          <w:color w:val="auto"/>
          <w:highlight w:val="none"/>
          <w:lang w:val="en-US" w:eastAsia="zh-CN"/>
        </w:rPr>
        <w:t>h</w:t>
      </w:r>
      <w:r>
        <w:rPr>
          <w:rFonts w:hint="eastAsia"/>
          <w:color w:val="auto"/>
          <w:highlight w:val="none"/>
          <w:lang w:eastAsia="zh-CN"/>
        </w:rPr>
        <w:t>）</w:t>
      </w:r>
      <w:r>
        <w:rPr>
          <w:color w:val="auto"/>
          <w:highlight w:val="none"/>
        </w:rPr>
        <w:t>，</w:t>
      </w:r>
      <w:r>
        <w:rPr>
          <w:rFonts w:hint="eastAsia"/>
          <w:color w:val="auto"/>
          <w:sz w:val="24"/>
          <w:szCs w:val="28"/>
          <w:highlight w:val="none"/>
        </w:rPr>
        <w:t>在采取道路洒水降尘、道路路面铺碎石等措施后，可以抑制扬尘量约</w:t>
      </w:r>
      <w:r>
        <w:rPr>
          <w:rFonts w:hint="eastAsia"/>
          <w:color w:val="auto"/>
          <w:sz w:val="24"/>
          <w:szCs w:val="28"/>
          <w:highlight w:val="none"/>
          <w:lang w:val="en-US" w:eastAsia="zh-CN"/>
        </w:rPr>
        <w:t>80</w:t>
      </w:r>
      <w:r>
        <w:rPr>
          <w:rFonts w:hint="eastAsia"/>
          <w:color w:val="auto"/>
          <w:sz w:val="24"/>
          <w:szCs w:val="28"/>
          <w:highlight w:val="none"/>
        </w:rPr>
        <w:t>%，</w:t>
      </w:r>
      <w:r>
        <w:rPr>
          <w:color w:val="auto"/>
          <w:highlight w:val="none"/>
        </w:rPr>
        <w:t>则矿区车辆运输扬尘的排放量约</w:t>
      </w:r>
      <w:r>
        <w:rPr>
          <w:rFonts w:hint="eastAsia"/>
          <w:color w:val="auto"/>
          <w:highlight w:val="none"/>
          <w:lang w:val="en-US" w:eastAsia="zh-CN"/>
        </w:rPr>
        <w:t>0.6948</w:t>
      </w:r>
      <w:r>
        <w:rPr>
          <w:color w:val="auto"/>
          <w:highlight w:val="none"/>
        </w:rPr>
        <w:t>t/a</w:t>
      </w:r>
      <w:r>
        <w:rPr>
          <w:rFonts w:hint="eastAsia"/>
          <w:color w:val="auto"/>
          <w:highlight w:val="none"/>
          <w:lang w:eastAsia="zh-CN"/>
        </w:rPr>
        <w:t>（</w:t>
      </w:r>
      <w:r>
        <w:rPr>
          <w:rFonts w:hint="eastAsia"/>
          <w:color w:val="auto"/>
          <w:highlight w:val="none"/>
          <w:lang w:val="en-US" w:eastAsia="zh-CN"/>
        </w:rPr>
        <w:t>0.0965</w:t>
      </w:r>
      <w:r>
        <w:rPr>
          <w:color w:val="auto"/>
          <w:highlight w:val="none"/>
        </w:rPr>
        <w:t>kg/</w:t>
      </w:r>
      <w:r>
        <w:rPr>
          <w:rFonts w:hint="eastAsia"/>
          <w:color w:val="auto"/>
          <w:highlight w:val="none"/>
          <w:lang w:val="en-US" w:eastAsia="zh-CN"/>
        </w:rPr>
        <w:t>h</w:t>
      </w:r>
      <w:r>
        <w:rPr>
          <w:rFonts w:hint="eastAsia"/>
          <w:color w:val="auto"/>
          <w:highlight w:val="none"/>
          <w:lang w:eastAsia="zh-CN"/>
        </w:rPr>
        <w:t>）</w:t>
      </w:r>
      <w:r>
        <w:rPr>
          <w:color w:val="auto"/>
          <w:highlight w:val="none"/>
        </w:rPr>
        <w:t>。</w:t>
      </w:r>
    </w:p>
    <w:p w14:paraId="41D1F3A2">
      <w:pPr>
        <w:bidi w:val="0"/>
        <w:outlineLvl w:val="9"/>
        <w:rPr>
          <w:color w:val="auto"/>
          <w:highlight w:val="none"/>
        </w:rPr>
      </w:pPr>
      <w:r>
        <w:rPr>
          <w:rFonts w:hint="eastAsia"/>
          <w:color w:val="auto"/>
          <w:highlight w:val="none"/>
          <w:lang w:val="en-US" w:eastAsia="zh-CN"/>
        </w:rPr>
        <w:t>4</w:t>
      </w:r>
      <w:r>
        <w:rPr>
          <w:color w:val="auto"/>
          <w:highlight w:val="none"/>
        </w:rPr>
        <w:t>、</w:t>
      </w:r>
      <w:r>
        <w:rPr>
          <w:rFonts w:hint="eastAsia"/>
          <w:color w:val="auto"/>
          <w:highlight w:val="none"/>
          <w:lang w:val="en-US" w:eastAsia="zh-CN"/>
        </w:rPr>
        <w:t>废石堆场</w:t>
      </w:r>
      <w:r>
        <w:rPr>
          <w:color w:val="auto"/>
          <w:highlight w:val="none"/>
        </w:rPr>
        <w:t>扬尘</w:t>
      </w:r>
    </w:p>
    <w:p w14:paraId="0CEA07B0">
      <w:pPr>
        <w:bidi w:val="0"/>
        <w:rPr>
          <w:color w:val="auto"/>
          <w:highlight w:val="none"/>
          <w:lang w:val="en-US" w:eastAsia="zh-CN"/>
        </w:rPr>
      </w:pPr>
      <w:r>
        <w:rPr>
          <w:color w:val="auto"/>
          <w:highlight w:val="none"/>
        </w:rPr>
        <w:t>原矿从地下运至地表，通过汽车外运。原矿以直径3</w:t>
      </w:r>
      <w:r>
        <w:rPr>
          <w:rFonts w:hint="eastAsia"/>
          <w:color w:val="auto"/>
          <w:highlight w:val="none"/>
          <w:lang w:eastAsia="zh-CN"/>
        </w:rPr>
        <w:t>～</w:t>
      </w:r>
      <w:r>
        <w:rPr>
          <w:color w:val="auto"/>
          <w:highlight w:val="none"/>
        </w:rPr>
        <w:t>20cm的块料为主，但也有少部分开采时产生的粉状矿料混合在块料中，在装卸过程中有无组织扬尘排放。</w:t>
      </w:r>
      <w:r>
        <w:rPr>
          <w:color w:val="auto"/>
          <w:highlight w:val="none"/>
          <w:lang w:val="en-US" w:eastAsia="zh-CN"/>
        </w:rPr>
        <w:t>废石</w:t>
      </w:r>
      <w:r>
        <w:rPr>
          <w:rFonts w:hint="eastAsia"/>
          <w:color w:val="auto"/>
          <w:highlight w:val="none"/>
          <w:lang w:val="en-US" w:eastAsia="zh-CN"/>
        </w:rPr>
        <w:t>由20</w:t>
      </w:r>
      <w:r>
        <w:rPr>
          <w:color w:val="auto"/>
          <w:highlight w:val="none"/>
          <w:lang w:val="en-US" w:eastAsia="zh-CN"/>
        </w:rPr>
        <w:t>t自卸汽车运输至</w:t>
      </w:r>
      <w:r>
        <w:rPr>
          <w:rFonts w:hint="eastAsia"/>
          <w:color w:val="auto"/>
          <w:highlight w:val="none"/>
          <w:lang w:val="en-US" w:eastAsia="zh-CN"/>
        </w:rPr>
        <w:t>采矿区南侧</w:t>
      </w:r>
      <w:r>
        <w:rPr>
          <w:color w:val="auto"/>
          <w:highlight w:val="none"/>
          <w:lang w:val="en-US" w:eastAsia="zh-CN"/>
        </w:rPr>
        <w:t>的废石堆场排弃</w:t>
      </w:r>
      <w:r>
        <w:rPr>
          <w:rFonts w:hint="eastAsia"/>
          <w:color w:val="auto"/>
          <w:highlight w:val="none"/>
          <w:lang w:val="en-US" w:eastAsia="zh-CN"/>
        </w:rPr>
        <w:t>。废石堆场在起风天气会造成不同程度的扬尘影响。</w:t>
      </w:r>
    </w:p>
    <w:p w14:paraId="5B3E1AE8">
      <w:pPr>
        <w:widowControl w:val="0"/>
        <w:spacing w:line="480" w:lineRule="exact"/>
        <w:ind w:firstLine="480" w:firstLineChars="200"/>
        <w:jc w:val="both"/>
        <w:rPr>
          <w:rFonts w:ascii="Times New Roman" w:hAnsi="Times New Roman" w:eastAsia="宋体" w:cs="Times New Roman"/>
          <w:color w:val="auto"/>
          <w:kern w:val="0"/>
          <w:sz w:val="24"/>
          <w:szCs w:val="28"/>
          <w:highlight w:val="none"/>
          <w:lang w:val="en-US" w:eastAsia="zh-CN" w:bidi="ar-SA"/>
        </w:rPr>
      </w:pPr>
      <w:r>
        <w:rPr>
          <w:rFonts w:hint="eastAsia" w:cs="Times New Roman"/>
          <w:color w:val="auto"/>
          <w:kern w:val="0"/>
          <w:sz w:val="24"/>
          <w:szCs w:val="28"/>
          <w:highlight w:val="none"/>
          <w:lang w:val="en-US" w:eastAsia="zh-CN" w:bidi="ar-SA"/>
        </w:rPr>
        <w:t>废石堆场</w:t>
      </w:r>
      <w:r>
        <w:rPr>
          <w:rFonts w:hint="eastAsia" w:ascii="Times New Roman" w:hAnsi="Times New Roman" w:eastAsia="宋体" w:cs="Times New Roman"/>
          <w:color w:val="auto"/>
          <w:kern w:val="0"/>
          <w:sz w:val="24"/>
          <w:szCs w:val="28"/>
          <w:highlight w:val="none"/>
          <w:lang w:val="en-US" w:eastAsia="zh-CN" w:bidi="ar-SA"/>
        </w:rPr>
        <w:t>废石堆放产生的扬尘量按照《固体物料堆存颗粒物产排污核算系数手册》中的公式计算。</w:t>
      </w:r>
    </w:p>
    <w:p w14:paraId="5E33ED6D">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颗粒物产生量核算公式：</w:t>
      </w:r>
    </w:p>
    <w:p w14:paraId="0DE7F966">
      <w:pPr>
        <w:widowControl w:val="0"/>
        <w:spacing w:line="360" w:lineRule="auto"/>
        <w:ind w:firstLine="0" w:firstLineChars="0"/>
        <w:jc w:val="center"/>
        <w:rPr>
          <w:rFonts w:hint="eastAsia" w:ascii="Times New Roman" w:hAnsi="Times New Roman" w:eastAsia="宋体" w:cs="Times New Roman"/>
          <w:color w:val="auto"/>
          <w:kern w:val="0"/>
          <w:sz w:val="24"/>
          <w:szCs w:val="28"/>
          <w:highlight w:val="none"/>
          <w:lang w:val="en-US" w:eastAsia="zh-CN" w:bidi="ar-SA"/>
        </w:rPr>
      </w:pPr>
      <w:r>
        <w:rPr>
          <w:rFonts w:ascii="Times New Roman" w:hAnsi="Times New Roman" w:eastAsia="宋体" w:cs="Times New Roman"/>
          <w:color w:val="auto"/>
          <w:kern w:val="0"/>
          <w:sz w:val="20"/>
          <w:szCs w:val="24"/>
          <w:highlight w:val="none"/>
          <w:lang w:val="en-US" w:eastAsia="zh-CN" w:bidi="ar-SA"/>
        </w:rPr>
        <w:drawing>
          <wp:inline distT="0" distB="0" distL="114300" distR="114300">
            <wp:extent cx="3914775" cy="438150"/>
            <wp:effectExtent l="0" t="0" r="9525" b="0"/>
            <wp:docPr id="2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
                    <pic:cNvPicPr>
                      <a:picLocks noChangeAspect="1"/>
                    </pic:cNvPicPr>
                  </pic:nvPicPr>
                  <pic:blipFill>
                    <a:blip r:embed="rId29"/>
                    <a:stretch>
                      <a:fillRect/>
                    </a:stretch>
                  </pic:blipFill>
                  <pic:spPr>
                    <a:xfrm>
                      <a:off x="0" y="0"/>
                      <a:ext cx="3914775" cy="438150"/>
                    </a:xfrm>
                    <a:prstGeom prst="rect">
                      <a:avLst/>
                    </a:prstGeom>
                    <a:noFill/>
                    <a:ln>
                      <a:noFill/>
                    </a:ln>
                  </pic:spPr>
                </pic:pic>
              </a:graphicData>
            </a:graphic>
          </wp:inline>
        </w:drawing>
      </w:r>
    </w:p>
    <w:p w14:paraId="7383591F">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计算参数：P——颗粒物产生量（t）；</w:t>
      </w:r>
    </w:p>
    <w:p w14:paraId="7A840F89">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ZCy——装卸扬尘产生量（t）；</w:t>
      </w:r>
    </w:p>
    <w:p w14:paraId="10920183">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FCy——风蚀扬尘产生量（t）；</w:t>
      </w:r>
    </w:p>
    <w:p w14:paraId="38368F72">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Nc——年物料运载车次（车）；</w:t>
      </w:r>
    </w:p>
    <w:p w14:paraId="16244EF3">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D——单车平均运载量（t/车）；</w:t>
      </w:r>
    </w:p>
    <w:p w14:paraId="42B30BA6">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（a/b）——装卸扬尘概化系数（kg/t），a指各省风速概化系数（查表取0.0011），b指物料含水率概化系数（查表取0.0084）；</w:t>
      </w:r>
    </w:p>
    <w:p w14:paraId="7E3D2AB0">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E</w:t>
      </w:r>
      <w:r>
        <w:rPr>
          <w:rFonts w:hint="eastAsia" w:ascii="Times New Roman" w:hAnsi="Times New Roman" w:eastAsia="宋体" w:cs="Times New Roman"/>
          <w:color w:val="auto"/>
          <w:kern w:val="0"/>
          <w:sz w:val="24"/>
          <w:szCs w:val="28"/>
          <w:highlight w:val="none"/>
          <w:vertAlign w:val="subscript"/>
          <w:lang w:val="en-US" w:eastAsia="zh-CN" w:bidi="ar-SA"/>
        </w:rPr>
        <w:t>f</w:t>
      </w:r>
      <w:r>
        <w:rPr>
          <w:rFonts w:hint="eastAsia" w:ascii="Times New Roman" w:hAnsi="Times New Roman" w:eastAsia="宋体" w:cs="Times New Roman"/>
          <w:color w:val="auto"/>
          <w:kern w:val="0"/>
          <w:sz w:val="24"/>
          <w:szCs w:val="28"/>
          <w:highlight w:val="none"/>
          <w:lang w:val="en-US" w:eastAsia="zh-CN" w:bidi="ar-SA"/>
        </w:rPr>
        <w:t>——堆场风蚀扬尘概化系数（查表取0）；</w:t>
      </w:r>
    </w:p>
    <w:p w14:paraId="3560D976">
      <w:pPr>
        <w:widowControl w:val="0"/>
        <w:spacing w:line="480" w:lineRule="exact"/>
        <w:ind w:firstLine="480" w:firstLineChars="200"/>
        <w:jc w:val="both"/>
        <w:rPr>
          <w:rFonts w:hint="eastAsia" w:ascii="Times New Roman" w:hAnsi="Times New Roman" w:eastAsia="宋体" w:cs="Times New Roman"/>
          <w:color w:val="auto"/>
          <w:kern w:val="0"/>
          <w:sz w:val="24"/>
          <w:szCs w:val="28"/>
          <w:highlight w:val="none"/>
          <w:lang w:val="en-US" w:eastAsia="zh-CN" w:bidi="ar-SA"/>
        </w:rPr>
      </w:pPr>
      <w:r>
        <w:rPr>
          <w:rFonts w:hint="eastAsia" w:ascii="Times New Roman" w:hAnsi="Times New Roman" w:eastAsia="宋体" w:cs="Times New Roman"/>
          <w:color w:val="auto"/>
          <w:kern w:val="0"/>
          <w:sz w:val="24"/>
          <w:szCs w:val="28"/>
          <w:highlight w:val="none"/>
          <w:lang w:val="en-US" w:eastAsia="zh-CN" w:bidi="ar-SA"/>
        </w:rPr>
        <w:t>S——堆场占地面积（m</w:t>
      </w:r>
      <w:r>
        <w:rPr>
          <w:rFonts w:hint="eastAsia" w:ascii="Times New Roman" w:hAnsi="Times New Roman" w:eastAsia="宋体" w:cs="Times New Roman"/>
          <w:color w:val="auto"/>
          <w:kern w:val="0"/>
          <w:sz w:val="24"/>
          <w:szCs w:val="28"/>
          <w:highlight w:val="none"/>
          <w:vertAlign w:val="superscript"/>
          <w:lang w:val="en-US" w:eastAsia="zh-CN" w:bidi="ar-SA"/>
        </w:rPr>
        <w:t>2</w:t>
      </w:r>
      <w:r>
        <w:rPr>
          <w:rFonts w:hint="eastAsia" w:ascii="Times New Roman" w:hAnsi="Times New Roman" w:eastAsia="宋体" w:cs="Times New Roman"/>
          <w:color w:val="auto"/>
          <w:kern w:val="0"/>
          <w:sz w:val="24"/>
          <w:szCs w:val="28"/>
          <w:highlight w:val="none"/>
          <w:lang w:val="en-US" w:eastAsia="zh-CN" w:bidi="ar-SA"/>
        </w:rPr>
        <w:t>）。</w:t>
      </w:r>
    </w:p>
    <w:p w14:paraId="18FD9B85">
      <w:pPr>
        <w:bidi w:val="0"/>
        <w:rPr>
          <w:color w:val="auto"/>
          <w:highlight w:val="none"/>
          <w:lang w:val="en-US" w:eastAsia="zh-CN"/>
        </w:rPr>
      </w:pPr>
      <w:r>
        <w:rPr>
          <w:rFonts w:hint="eastAsia"/>
          <w:color w:val="auto"/>
          <w:highlight w:val="none"/>
          <w:lang w:val="en-US" w:eastAsia="zh-CN"/>
        </w:rPr>
        <w:t>废石堆场占地面积为24hm</w:t>
      </w:r>
      <w:r>
        <w:rPr>
          <w:rFonts w:hint="eastAsia"/>
          <w:color w:val="auto"/>
          <w:highlight w:val="none"/>
          <w:vertAlign w:val="superscript"/>
          <w:lang w:val="en-US" w:eastAsia="zh-CN"/>
        </w:rPr>
        <w:t>2</w:t>
      </w:r>
      <w:r>
        <w:rPr>
          <w:rFonts w:hint="eastAsia"/>
          <w:color w:val="auto"/>
          <w:highlight w:val="none"/>
          <w:lang w:val="en-US" w:eastAsia="zh-CN"/>
        </w:rPr>
        <w:t>，</w:t>
      </w:r>
      <w:r>
        <w:rPr>
          <w:color w:val="auto"/>
          <w:highlight w:val="none"/>
          <w:lang w:val="en-US" w:eastAsia="zh-CN"/>
        </w:rPr>
        <w:t>生产期间</w:t>
      </w:r>
      <w:r>
        <w:rPr>
          <w:rFonts w:hint="eastAsia"/>
          <w:color w:val="auto"/>
          <w:highlight w:val="none"/>
          <w:lang w:val="en-US" w:eastAsia="zh-CN"/>
        </w:rPr>
        <w:t>产生</w:t>
      </w:r>
      <w:r>
        <w:rPr>
          <w:color w:val="auto"/>
          <w:highlight w:val="none"/>
          <w:lang w:val="en-US" w:eastAsia="zh-CN"/>
        </w:rPr>
        <w:t>废石约1250t/</w:t>
      </w:r>
      <w:r>
        <w:rPr>
          <w:rFonts w:hint="eastAsia"/>
          <w:color w:val="auto"/>
          <w:highlight w:val="none"/>
          <w:lang w:val="en-US" w:eastAsia="zh-CN"/>
        </w:rPr>
        <w:t>d</w:t>
      </w:r>
      <w:r>
        <w:rPr>
          <w:color w:val="auto"/>
          <w:highlight w:val="none"/>
          <w:lang w:val="en-US" w:eastAsia="zh-CN"/>
        </w:rPr>
        <w:t>，</w:t>
      </w:r>
      <w:r>
        <w:rPr>
          <w:rFonts w:hint="eastAsia"/>
          <w:color w:val="auto"/>
          <w:highlight w:val="none"/>
          <w:lang w:val="en-US" w:eastAsia="zh-CN"/>
        </w:rPr>
        <w:t>废石年平均运载量约为37.5万t/a。经计算，废石堆场扬尘产生量为49.11t/a。通过向废石表面洒水，废石装卸时进行洒水抑尘，可将废石堆场扬尘无组织逸散量减少74%，则废石堆场无组织扬尘排放量为1.46kg/h（12.77t/a）。</w:t>
      </w:r>
    </w:p>
    <w:p w14:paraId="5C8233CE">
      <w:pPr>
        <w:bidi w:val="0"/>
        <w:outlineLvl w:val="9"/>
        <w:rPr>
          <w:color w:val="auto"/>
          <w:highlight w:val="none"/>
        </w:rPr>
      </w:pPr>
      <w:r>
        <w:rPr>
          <w:rFonts w:hint="eastAsia"/>
          <w:color w:val="auto"/>
          <w:highlight w:val="none"/>
          <w:lang w:val="en-US" w:eastAsia="zh-CN"/>
        </w:rPr>
        <w:t>5</w:t>
      </w:r>
      <w:r>
        <w:rPr>
          <w:color w:val="auto"/>
          <w:highlight w:val="none"/>
        </w:rPr>
        <w:t>、</w:t>
      </w:r>
      <w:r>
        <w:rPr>
          <w:rFonts w:hint="eastAsia"/>
          <w:color w:val="auto"/>
          <w:highlight w:val="none"/>
        </w:rPr>
        <w:t>充填粉尘</w:t>
      </w:r>
    </w:p>
    <w:p w14:paraId="5996C45F">
      <w:pPr>
        <w:bidi w:val="0"/>
        <w:rPr>
          <w:rFonts w:hint="default"/>
          <w:color w:val="auto"/>
          <w:highlight w:val="none"/>
          <w:lang w:val="en-US" w:eastAsia="zh-CN"/>
        </w:rPr>
      </w:pPr>
      <w:r>
        <w:rPr>
          <w:rFonts w:hint="eastAsia"/>
          <w:color w:val="auto"/>
          <w:highlight w:val="none"/>
        </w:rPr>
        <w:t>充填系统产尘点主要来源于</w:t>
      </w:r>
      <w:r>
        <w:rPr>
          <w:rFonts w:hint="eastAsia"/>
          <w:color w:val="auto"/>
          <w:highlight w:val="none"/>
          <w:lang w:val="en-US" w:eastAsia="zh-CN"/>
        </w:rPr>
        <w:t>充填站</w:t>
      </w:r>
      <w:r>
        <w:rPr>
          <w:rFonts w:hint="eastAsia"/>
          <w:color w:val="auto"/>
          <w:highlight w:val="none"/>
        </w:rPr>
        <w:t>的水泥仓。</w:t>
      </w:r>
      <w:r>
        <w:rPr>
          <w:rFonts w:hint="eastAsia"/>
          <w:color w:val="auto"/>
          <w:highlight w:val="none"/>
          <w:lang w:val="en-US" w:eastAsia="zh-CN"/>
        </w:rPr>
        <w:t>充填站设3座250m</w:t>
      </w:r>
      <w:r>
        <w:rPr>
          <w:rFonts w:hint="eastAsia"/>
          <w:color w:val="auto"/>
          <w:highlight w:val="none"/>
          <w:vertAlign w:val="superscript"/>
          <w:lang w:val="en-US" w:eastAsia="zh-CN"/>
        </w:rPr>
        <w:t>3</w:t>
      </w:r>
      <w:r>
        <w:rPr>
          <w:rFonts w:hint="eastAsia"/>
          <w:color w:val="auto"/>
          <w:highlight w:val="none"/>
          <w:lang w:val="en-US" w:eastAsia="zh-CN"/>
        </w:rPr>
        <w:t>水泥仓，</w:t>
      </w:r>
      <w:r>
        <w:rPr>
          <w:rFonts w:hint="eastAsia"/>
          <w:color w:val="auto"/>
          <w:highlight w:val="none"/>
        </w:rPr>
        <w:t>在</w:t>
      </w:r>
      <w:r>
        <w:rPr>
          <w:rFonts w:hint="eastAsia"/>
          <w:color w:val="auto"/>
          <w:highlight w:val="none"/>
          <w:lang w:val="en-US" w:eastAsia="zh-CN"/>
        </w:rPr>
        <w:t>每座</w:t>
      </w:r>
      <w:r>
        <w:rPr>
          <w:rFonts w:hint="eastAsia"/>
          <w:color w:val="auto"/>
          <w:highlight w:val="none"/>
        </w:rPr>
        <w:t>水泥仓仓顶设1</w:t>
      </w:r>
      <w:r>
        <w:rPr>
          <w:rFonts w:hint="eastAsia"/>
          <w:color w:val="auto"/>
          <w:highlight w:val="none"/>
          <w:lang w:val="en-US" w:eastAsia="zh-CN"/>
        </w:rPr>
        <w:t>套脉冲布袋</w:t>
      </w:r>
      <w:r>
        <w:rPr>
          <w:rFonts w:hint="eastAsia"/>
          <w:color w:val="auto"/>
          <w:highlight w:val="none"/>
        </w:rPr>
        <w:t>除尘器，除尘效率≥99%，维持水泥仓负压，收集的粉尘直接落入水泥仓。</w:t>
      </w:r>
      <w:r>
        <w:rPr>
          <w:color w:val="auto"/>
          <w:highlight w:val="none"/>
        </w:rPr>
        <w:t>同时水泥仓与加料设备密封连接，避免粉尘外溢。向水泥仓内投料时粉尘产生量参考《散逸性工业粉尘控制技术》</w:t>
      </w:r>
      <w:r>
        <w:rPr>
          <w:rFonts w:hint="eastAsia"/>
          <w:color w:val="auto"/>
          <w:highlight w:val="none"/>
        </w:rPr>
        <w:t>“</w:t>
      </w:r>
      <w:r>
        <w:rPr>
          <w:color w:val="auto"/>
          <w:highlight w:val="none"/>
        </w:rPr>
        <w:t>表22-1混凝土分批搅拌厂的散逸尘排放因子</w:t>
      </w:r>
      <w:r>
        <w:rPr>
          <w:rFonts w:hint="eastAsia"/>
          <w:color w:val="auto"/>
          <w:highlight w:val="none"/>
        </w:rPr>
        <w:t>”</w:t>
      </w:r>
      <w:r>
        <w:rPr>
          <w:color w:val="auto"/>
          <w:highlight w:val="none"/>
        </w:rPr>
        <w:t>中</w:t>
      </w:r>
      <w:r>
        <w:rPr>
          <w:rFonts w:hint="eastAsia"/>
          <w:color w:val="auto"/>
          <w:highlight w:val="none"/>
        </w:rPr>
        <w:t>“</w:t>
      </w:r>
      <w:r>
        <w:rPr>
          <w:color w:val="auto"/>
          <w:highlight w:val="none"/>
        </w:rPr>
        <w:t>卸水泥至高架贮仓</w:t>
      </w:r>
      <w:r>
        <w:rPr>
          <w:rFonts w:hint="eastAsia"/>
          <w:color w:val="auto"/>
          <w:highlight w:val="none"/>
        </w:rPr>
        <w:t>”</w:t>
      </w:r>
      <w:r>
        <w:rPr>
          <w:color w:val="auto"/>
          <w:highlight w:val="none"/>
        </w:rPr>
        <w:t>排污系数为0.12kg/t粉料，</w:t>
      </w:r>
      <w:r>
        <w:rPr>
          <w:rFonts w:hint="eastAsia"/>
          <w:color w:val="auto"/>
          <w:highlight w:val="none"/>
          <w:lang w:val="en-US" w:eastAsia="zh-CN"/>
        </w:rPr>
        <w:t>本项目</w:t>
      </w:r>
      <w:r>
        <w:rPr>
          <w:rFonts w:hint="eastAsia"/>
          <w:color w:val="auto"/>
          <w:highlight w:val="none"/>
        </w:rPr>
        <w:t>水泥耗量为</w:t>
      </w:r>
      <w:r>
        <w:rPr>
          <w:rFonts w:hint="eastAsia"/>
          <w:color w:val="auto"/>
          <w:highlight w:val="none"/>
          <w:lang w:val="en-US" w:eastAsia="zh-CN"/>
        </w:rPr>
        <w:t>67509</w:t>
      </w:r>
      <w:r>
        <w:rPr>
          <w:rFonts w:hint="eastAsia"/>
          <w:color w:val="auto"/>
          <w:highlight w:val="none"/>
        </w:rPr>
        <w:t>t/a，</w:t>
      </w:r>
      <w:r>
        <w:rPr>
          <w:rFonts w:hint="eastAsia"/>
          <w:color w:val="auto"/>
          <w:highlight w:val="none"/>
          <w:lang w:eastAsia="zh-CN"/>
        </w:rPr>
        <w:t>则</w:t>
      </w:r>
      <w:r>
        <w:rPr>
          <w:rFonts w:hint="eastAsia"/>
          <w:color w:val="auto"/>
          <w:highlight w:val="none"/>
        </w:rPr>
        <w:t>粉尘的产生量为</w:t>
      </w:r>
      <w:r>
        <w:rPr>
          <w:rFonts w:hint="eastAsia"/>
          <w:color w:val="auto"/>
          <w:highlight w:val="none"/>
          <w:lang w:val="en-US" w:eastAsia="zh-CN"/>
        </w:rPr>
        <w:t>8.1011</w:t>
      </w:r>
      <w:r>
        <w:rPr>
          <w:rFonts w:hint="eastAsia"/>
          <w:color w:val="auto"/>
          <w:highlight w:val="none"/>
        </w:rPr>
        <w:t>t/a（</w:t>
      </w:r>
      <w:r>
        <w:rPr>
          <w:rFonts w:hint="eastAsia"/>
          <w:color w:val="auto"/>
          <w:highlight w:val="none"/>
          <w:lang w:val="en-US" w:eastAsia="zh-CN"/>
        </w:rPr>
        <w:t>1.1252</w:t>
      </w:r>
      <w:r>
        <w:rPr>
          <w:rFonts w:hint="eastAsia"/>
          <w:color w:val="auto"/>
          <w:highlight w:val="none"/>
        </w:rPr>
        <w:t>kg</w:t>
      </w:r>
      <w:r>
        <w:rPr>
          <w:color w:val="auto"/>
          <w:highlight w:val="none"/>
        </w:rPr>
        <w:t>/h</w:t>
      </w:r>
      <w:r>
        <w:rPr>
          <w:rFonts w:hint="eastAsia"/>
          <w:color w:val="auto"/>
          <w:highlight w:val="none"/>
        </w:rPr>
        <w:t>）。水泥仓产生的粉尘通过仓顶除尘器（除尘效率</w:t>
      </w:r>
      <w:r>
        <w:rPr>
          <w:rFonts w:hint="eastAsia"/>
          <w:color w:val="auto"/>
          <w:highlight w:val="none"/>
          <w:lang w:val="en-US" w:eastAsia="zh-CN"/>
        </w:rPr>
        <w:t>按</w:t>
      </w:r>
      <w:r>
        <w:rPr>
          <w:rFonts w:hint="eastAsia"/>
          <w:color w:val="auto"/>
          <w:highlight w:val="none"/>
        </w:rPr>
        <w:t>99%</w:t>
      </w:r>
      <w:r>
        <w:rPr>
          <w:rFonts w:hint="eastAsia"/>
          <w:color w:val="auto"/>
          <w:highlight w:val="none"/>
          <w:lang w:val="en-US" w:eastAsia="zh-CN"/>
        </w:rPr>
        <w:t>计</w:t>
      </w:r>
      <w:r>
        <w:rPr>
          <w:rFonts w:hint="eastAsia"/>
          <w:color w:val="auto"/>
          <w:highlight w:val="none"/>
        </w:rPr>
        <w:t>）处理后，收集的粉尘直接落入水泥仓，</w:t>
      </w:r>
      <w:r>
        <w:rPr>
          <w:rFonts w:hint="eastAsia"/>
          <w:color w:val="auto"/>
          <w:highlight w:val="none"/>
          <w:lang w:val="en-US" w:eastAsia="zh-CN"/>
        </w:rPr>
        <w:t>充填系统粉尘</w:t>
      </w:r>
      <w:r>
        <w:rPr>
          <w:rFonts w:hint="eastAsia"/>
          <w:color w:val="auto"/>
          <w:highlight w:val="none"/>
        </w:rPr>
        <w:t>排放量约</w:t>
      </w:r>
      <w:r>
        <w:rPr>
          <w:rFonts w:hint="eastAsia"/>
          <w:color w:val="auto"/>
          <w:highlight w:val="none"/>
          <w:lang w:val="en-US" w:eastAsia="zh-CN"/>
        </w:rPr>
        <w:t>0.0810</w:t>
      </w:r>
      <w:r>
        <w:rPr>
          <w:rFonts w:hint="eastAsia"/>
          <w:color w:val="auto"/>
          <w:highlight w:val="none"/>
        </w:rPr>
        <w:t>t/a</w:t>
      </w:r>
      <w:r>
        <w:rPr>
          <w:rFonts w:hint="eastAsia"/>
          <w:color w:val="auto"/>
          <w:highlight w:val="none"/>
          <w:lang w:val="en-US" w:eastAsia="zh-CN"/>
        </w:rPr>
        <w:t>（0.0113kg/h），全部无组织排放。</w:t>
      </w:r>
    </w:p>
    <w:p w14:paraId="0BEABFA3">
      <w:pPr>
        <w:bidi w:val="0"/>
        <w:outlineLvl w:val="9"/>
        <w:rPr>
          <w:color w:val="auto"/>
          <w:highlight w:val="none"/>
        </w:rPr>
      </w:pPr>
      <w:r>
        <w:rPr>
          <w:rFonts w:hint="eastAsia"/>
          <w:color w:val="auto"/>
          <w:highlight w:val="none"/>
          <w:lang w:val="en-US" w:eastAsia="zh-CN"/>
        </w:rPr>
        <w:t>6、</w:t>
      </w:r>
      <w:r>
        <w:rPr>
          <w:rFonts w:hint="eastAsia"/>
          <w:color w:val="auto"/>
          <w:highlight w:val="none"/>
        </w:rPr>
        <w:t>柴油燃烧废气</w:t>
      </w:r>
    </w:p>
    <w:p w14:paraId="1C4DF245">
      <w:pPr>
        <w:bidi w:val="0"/>
        <w:rPr>
          <w:rFonts w:hint="eastAsia"/>
          <w:color w:val="auto"/>
          <w:highlight w:val="none"/>
        </w:rPr>
      </w:pPr>
      <w:r>
        <w:rPr>
          <w:rFonts w:hint="eastAsia"/>
          <w:color w:val="auto"/>
          <w:highlight w:val="none"/>
        </w:rPr>
        <w:t>凿岩机、空压机、柴油发电机、铲运机、挖土机等产生的燃烧烟气主要含CO、NOx、THC、SO</w:t>
      </w:r>
      <w:r>
        <w:rPr>
          <w:rFonts w:hint="eastAsia"/>
          <w:color w:val="auto"/>
          <w:highlight w:val="none"/>
          <w:vertAlign w:val="subscript"/>
        </w:rPr>
        <w:t>2</w:t>
      </w:r>
      <w:r>
        <w:rPr>
          <w:rFonts w:hint="eastAsia"/>
          <w:color w:val="auto"/>
          <w:highlight w:val="none"/>
        </w:rPr>
        <w:t>等。本工程年耗柴油量</w:t>
      </w:r>
      <w:r>
        <w:rPr>
          <w:rFonts w:hint="eastAsia"/>
          <w:color w:val="auto"/>
          <w:highlight w:val="none"/>
          <w:lang w:val="en-US" w:eastAsia="zh-CN"/>
        </w:rPr>
        <w:t>660</w:t>
      </w:r>
      <w:r>
        <w:rPr>
          <w:rFonts w:hint="eastAsia"/>
          <w:color w:val="auto"/>
          <w:highlight w:val="none"/>
        </w:rPr>
        <w:t>t/a</w:t>
      </w:r>
      <w:r>
        <w:rPr>
          <w:rFonts w:hint="eastAsia"/>
          <w:color w:val="auto"/>
          <w:highlight w:val="none"/>
          <w:lang w:eastAsia="zh-CN"/>
        </w:rPr>
        <w:t>（</w:t>
      </w:r>
      <w:r>
        <w:rPr>
          <w:rFonts w:hint="eastAsia"/>
          <w:color w:val="auto"/>
          <w:highlight w:val="none"/>
          <w:lang w:val="en-US" w:eastAsia="zh-CN"/>
        </w:rPr>
        <w:t>约786m</w:t>
      </w:r>
      <w:r>
        <w:rPr>
          <w:rFonts w:hint="eastAsia"/>
          <w:color w:val="auto"/>
          <w:highlight w:val="none"/>
          <w:vertAlign w:val="superscript"/>
          <w:lang w:val="en-US" w:eastAsia="zh-CN"/>
        </w:rPr>
        <w:t>3</w:t>
      </w:r>
      <w:r>
        <w:rPr>
          <w:rFonts w:hint="eastAsia"/>
          <w:color w:val="auto"/>
          <w:highlight w:val="none"/>
          <w:lang w:eastAsia="zh-CN"/>
        </w:rPr>
        <w:t>）</w:t>
      </w:r>
      <w:r>
        <w:rPr>
          <w:rFonts w:hint="eastAsia"/>
          <w:color w:val="auto"/>
          <w:highlight w:val="none"/>
        </w:rPr>
        <w:t>，根据《环评工程师注册培训教材—社会区域》给出的计算参数：柴油发电机运行污染物排放系数为：SO</w:t>
      </w:r>
      <w:r>
        <w:rPr>
          <w:rFonts w:hint="eastAsia"/>
          <w:color w:val="auto"/>
          <w:highlight w:val="none"/>
          <w:vertAlign w:val="subscript"/>
        </w:rPr>
        <w:t>2</w:t>
      </w:r>
      <w:r>
        <w:rPr>
          <w:rFonts w:hint="eastAsia"/>
          <w:color w:val="auto"/>
          <w:highlight w:val="none"/>
        </w:rPr>
        <w:t>：4g/L，烟尘：0.714g/L，NOx：2.56g/L。</w:t>
      </w:r>
    </w:p>
    <w:p w14:paraId="3673B0CA">
      <w:pPr>
        <w:bidi w:val="0"/>
        <w:rPr>
          <w:rFonts w:hint="eastAsia"/>
          <w:color w:val="auto"/>
          <w:highlight w:val="none"/>
        </w:rPr>
      </w:pPr>
      <w:r>
        <w:rPr>
          <w:rFonts w:hint="eastAsia"/>
          <w:color w:val="auto"/>
          <w:highlight w:val="none"/>
        </w:rPr>
        <w:t>柴油燃烧废气污染物产生情况见表3.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2</w:t>
      </w:r>
      <w:r>
        <w:rPr>
          <w:rFonts w:hint="eastAsia"/>
          <w:color w:val="auto"/>
          <w:highlight w:val="none"/>
        </w:rPr>
        <w:t>。</w:t>
      </w:r>
    </w:p>
    <w:p w14:paraId="28DA0301">
      <w:pPr>
        <w:bidi w:val="0"/>
        <w:ind w:left="0" w:leftChars="0" w:firstLine="0" w:firstLineChars="0"/>
        <w:jc w:val="center"/>
        <w:rPr>
          <w:b/>
          <w:bCs/>
          <w:color w:val="auto"/>
          <w:highlight w:val="none"/>
        </w:rPr>
      </w:pPr>
      <w:r>
        <w:rPr>
          <w:b/>
          <w:bCs/>
          <w:color w:val="auto"/>
          <w:highlight w:val="none"/>
        </w:rPr>
        <w:t>表</w:t>
      </w:r>
      <w:r>
        <w:rPr>
          <w:rFonts w:hint="eastAsia"/>
          <w:b/>
          <w:bCs/>
          <w:color w:val="auto"/>
          <w:highlight w:val="none"/>
        </w:rPr>
        <w:t>3.</w:t>
      </w:r>
      <w:r>
        <w:rPr>
          <w:rFonts w:hint="eastAsia"/>
          <w:b/>
          <w:bCs/>
          <w:color w:val="auto"/>
          <w:highlight w:val="none"/>
          <w:lang w:val="en-US" w:eastAsia="zh-CN"/>
        </w:rPr>
        <w:t>3</w:t>
      </w:r>
      <w:r>
        <w:rPr>
          <w:b/>
          <w:bCs/>
          <w:color w:val="auto"/>
          <w:highlight w:val="none"/>
        </w:rPr>
        <w:t>-</w:t>
      </w:r>
      <w:r>
        <w:rPr>
          <w:rFonts w:hint="eastAsia"/>
          <w:b/>
          <w:bCs/>
          <w:color w:val="auto"/>
          <w:highlight w:val="none"/>
          <w:lang w:val="en-US" w:eastAsia="zh-CN"/>
        </w:rPr>
        <w:t>2</w:t>
      </w:r>
      <w:r>
        <w:rPr>
          <w:b/>
          <w:bCs/>
          <w:color w:val="auto"/>
          <w:highlight w:val="none"/>
        </w:rPr>
        <w:t xml:space="preserve">    柴油燃烧废气污染物产生一览表</w:t>
      </w:r>
    </w:p>
    <w:tbl>
      <w:tblPr>
        <w:tblStyle w:val="13"/>
        <w:tblW w:w="85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42"/>
        <w:gridCol w:w="4373"/>
      </w:tblGrid>
      <w:tr w14:paraId="3D2490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2" w:type="dxa"/>
            <w:tcBorders>
              <w:top w:val="single" w:color="auto" w:sz="4" w:space="0"/>
              <w:left w:val="single" w:color="auto" w:sz="4" w:space="0"/>
            </w:tcBorders>
            <w:vAlign w:val="center"/>
          </w:tcPr>
          <w:p w14:paraId="7F6F78B3">
            <w:pPr>
              <w:pStyle w:val="17"/>
              <w:bidi w:val="0"/>
              <w:jc w:val="center"/>
              <w:rPr>
                <w:color w:val="auto"/>
                <w:highlight w:val="none"/>
              </w:rPr>
            </w:pPr>
            <w:r>
              <w:rPr>
                <w:color w:val="auto"/>
                <w:highlight w:val="none"/>
              </w:rPr>
              <w:t>污染物名称</w:t>
            </w:r>
          </w:p>
        </w:tc>
        <w:tc>
          <w:tcPr>
            <w:tcW w:w="4373" w:type="dxa"/>
            <w:tcBorders>
              <w:top w:val="single" w:color="auto" w:sz="4" w:space="0"/>
              <w:right w:val="single" w:color="auto" w:sz="4" w:space="0"/>
            </w:tcBorders>
            <w:vAlign w:val="center"/>
          </w:tcPr>
          <w:p w14:paraId="3F0A9D63">
            <w:pPr>
              <w:pStyle w:val="17"/>
              <w:bidi w:val="0"/>
              <w:jc w:val="center"/>
              <w:rPr>
                <w:color w:val="auto"/>
                <w:highlight w:val="none"/>
              </w:rPr>
            </w:pPr>
            <w:r>
              <w:rPr>
                <w:color w:val="auto"/>
                <w:highlight w:val="none"/>
              </w:rPr>
              <w:t>产生量（t/a）</w:t>
            </w:r>
          </w:p>
        </w:tc>
      </w:tr>
      <w:tr w14:paraId="06450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2" w:type="dxa"/>
            <w:tcBorders>
              <w:left w:val="single" w:color="auto" w:sz="4" w:space="0"/>
            </w:tcBorders>
            <w:vAlign w:val="center"/>
          </w:tcPr>
          <w:p w14:paraId="169B2BB3">
            <w:pPr>
              <w:pStyle w:val="17"/>
              <w:bidi w:val="0"/>
              <w:jc w:val="center"/>
              <w:rPr>
                <w:color w:val="auto"/>
                <w:highlight w:val="none"/>
              </w:rPr>
            </w:pPr>
            <w:r>
              <w:rPr>
                <w:rFonts w:hint="default"/>
                <w:color w:val="auto"/>
                <w:highlight w:val="none"/>
                <w:lang w:val="en-US" w:eastAsia="zh-CN"/>
              </w:rPr>
              <w:t>NOx</w:t>
            </w:r>
          </w:p>
        </w:tc>
        <w:tc>
          <w:tcPr>
            <w:tcW w:w="4373" w:type="dxa"/>
            <w:tcBorders>
              <w:right w:val="single" w:color="auto" w:sz="4" w:space="0"/>
            </w:tcBorders>
            <w:vAlign w:val="center"/>
          </w:tcPr>
          <w:p w14:paraId="6985FC24">
            <w:pPr>
              <w:pStyle w:val="17"/>
              <w:bidi w:val="0"/>
              <w:jc w:val="center"/>
              <w:rPr>
                <w:rFonts w:hint="default"/>
                <w:color w:val="auto"/>
                <w:highlight w:val="none"/>
                <w:lang w:val="en-US" w:eastAsia="zh-CN"/>
              </w:rPr>
            </w:pPr>
            <w:r>
              <w:rPr>
                <w:rFonts w:hint="eastAsia"/>
                <w:color w:val="auto"/>
                <w:highlight w:val="none"/>
                <w:lang w:val="en-US" w:eastAsia="zh-CN"/>
              </w:rPr>
              <w:t>2.0122</w:t>
            </w:r>
          </w:p>
        </w:tc>
      </w:tr>
      <w:tr w14:paraId="70621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2" w:type="dxa"/>
            <w:tcBorders>
              <w:left w:val="single" w:color="auto" w:sz="4" w:space="0"/>
            </w:tcBorders>
            <w:vAlign w:val="center"/>
          </w:tcPr>
          <w:p w14:paraId="759683D2">
            <w:pPr>
              <w:pStyle w:val="17"/>
              <w:bidi w:val="0"/>
              <w:jc w:val="center"/>
              <w:rPr>
                <w:color w:val="auto"/>
                <w:highlight w:val="none"/>
              </w:rPr>
            </w:pPr>
            <w:r>
              <w:rPr>
                <w:rFonts w:hint="eastAsia"/>
                <w:color w:val="auto"/>
                <w:highlight w:val="none"/>
                <w:lang w:val="en-US" w:eastAsia="zh-CN"/>
              </w:rPr>
              <w:t>烟尘</w:t>
            </w:r>
          </w:p>
        </w:tc>
        <w:tc>
          <w:tcPr>
            <w:tcW w:w="4373" w:type="dxa"/>
            <w:tcBorders>
              <w:right w:val="single" w:color="auto" w:sz="4" w:space="0"/>
            </w:tcBorders>
            <w:vAlign w:val="center"/>
          </w:tcPr>
          <w:p w14:paraId="7BF2FD8C">
            <w:pPr>
              <w:pStyle w:val="17"/>
              <w:bidi w:val="0"/>
              <w:jc w:val="center"/>
              <w:rPr>
                <w:rFonts w:hint="default"/>
                <w:color w:val="auto"/>
                <w:highlight w:val="none"/>
                <w:lang w:val="en-US" w:eastAsia="zh-CN"/>
              </w:rPr>
            </w:pPr>
            <w:r>
              <w:rPr>
                <w:rFonts w:hint="eastAsia"/>
                <w:color w:val="auto"/>
                <w:highlight w:val="none"/>
                <w:lang w:val="en-US" w:eastAsia="zh-CN"/>
              </w:rPr>
              <w:t>0.5612</w:t>
            </w:r>
          </w:p>
        </w:tc>
      </w:tr>
      <w:tr w14:paraId="3A799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2" w:type="dxa"/>
            <w:tcBorders>
              <w:left w:val="single" w:color="auto" w:sz="4" w:space="0"/>
              <w:bottom w:val="single" w:color="auto" w:sz="4" w:space="0"/>
            </w:tcBorders>
            <w:vAlign w:val="center"/>
          </w:tcPr>
          <w:p w14:paraId="4B963D93">
            <w:pPr>
              <w:pStyle w:val="17"/>
              <w:bidi w:val="0"/>
              <w:jc w:val="center"/>
              <w:rPr>
                <w:color w:val="auto"/>
                <w:highlight w:val="none"/>
              </w:rPr>
            </w:pPr>
            <w:r>
              <w:rPr>
                <w:rFonts w:hint="default"/>
                <w:color w:val="auto"/>
                <w:highlight w:val="none"/>
                <w:lang w:val="en-US" w:eastAsia="zh-CN"/>
              </w:rPr>
              <w:t>SO</w:t>
            </w:r>
            <w:r>
              <w:rPr>
                <w:rFonts w:hint="default"/>
                <w:color w:val="auto"/>
                <w:highlight w:val="none"/>
                <w:vertAlign w:val="subscript"/>
                <w:lang w:val="en-US" w:eastAsia="zh-CN"/>
              </w:rPr>
              <w:t>2</w:t>
            </w:r>
          </w:p>
        </w:tc>
        <w:tc>
          <w:tcPr>
            <w:tcW w:w="4373" w:type="dxa"/>
            <w:tcBorders>
              <w:bottom w:val="single" w:color="auto" w:sz="4" w:space="0"/>
              <w:right w:val="single" w:color="auto" w:sz="4" w:space="0"/>
            </w:tcBorders>
            <w:vAlign w:val="center"/>
          </w:tcPr>
          <w:p w14:paraId="37469D3A">
            <w:pPr>
              <w:pStyle w:val="17"/>
              <w:bidi w:val="0"/>
              <w:jc w:val="center"/>
              <w:rPr>
                <w:rFonts w:hint="default"/>
                <w:color w:val="auto"/>
                <w:highlight w:val="none"/>
                <w:lang w:val="en-US" w:eastAsia="zh-CN"/>
              </w:rPr>
            </w:pPr>
            <w:r>
              <w:rPr>
                <w:rFonts w:hint="eastAsia"/>
                <w:color w:val="auto"/>
                <w:highlight w:val="none"/>
                <w:lang w:val="en-US" w:eastAsia="zh-CN"/>
              </w:rPr>
              <w:t>3.144</w:t>
            </w:r>
          </w:p>
        </w:tc>
      </w:tr>
    </w:tbl>
    <w:p w14:paraId="7790A27C">
      <w:pPr>
        <w:bidi w:val="0"/>
        <w:outlineLvl w:val="9"/>
        <w:rPr>
          <w:rFonts w:hint="default"/>
          <w:color w:val="auto"/>
          <w:highlight w:val="none"/>
          <w:lang w:val="en-US" w:eastAsia="zh-CN"/>
        </w:rPr>
      </w:pPr>
      <w:r>
        <w:rPr>
          <w:rFonts w:hint="eastAsia"/>
          <w:color w:val="auto"/>
          <w:highlight w:val="none"/>
          <w:lang w:val="en-US" w:eastAsia="zh-CN"/>
        </w:rPr>
        <w:t>7、柴油储罐损失</w:t>
      </w:r>
    </w:p>
    <w:p w14:paraId="0397AB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为满足采矿</w:t>
      </w:r>
      <w:r>
        <w:rPr>
          <w:rFonts w:hint="eastAsia" w:cs="Times New Roman"/>
          <w:color w:val="auto"/>
          <w:kern w:val="0"/>
          <w:sz w:val="24"/>
          <w:highlight w:val="none"/>
          <w:lang w:val="en-US" w:eastAsia="zh-CN"/>
        </w:rPr>
        <w:t>设备</w:t>
      </w:r>
      <w:r>
        <w:rPr>
          <w:rFonts w:hint="default" w:ascii="Times New Roman" w:hAnsi="Times New Roman" w:cs="Times New Roman"/>
          <w:color w:val="auto"/>
          <w:kern w:val="0"/>
          <w:sz w:val="24"/>
          <w:highlight w:val="none"/>
          <w:lang w:val="en-US" w:eastAsia="zh-CN"/>
        </w:rPr>
        <w:t>用油需求</w:t>
      </w:r>
      <w:r>
        <w:rPr>
          <w:rFonts w:hint="eastAsia" w:cs="Times New Roman"/>
          <w:color w:val="auto"/>
          <w:kern w:val="0"/>
          <w:sz w:val="24"/>
          <w:highlight w:val="none"/>
          <w:lang w:val="en-US" w:eastAsia="zh-CN"/>
        </w:rPr>
        <w:t>，项目设置</w:t>
      </w:r>
      <w:r>
        <w:rPr>
          <w:rFonts w:hint="default" w:ascii="Times New Roman" w:hAnsi="Times New Roman" w:cs="Times New Roman"/>
          <w:color w:val="auto"/>
          <w:kern w:val="0"/>
          <w:sz w:val="24"/>
          <w:highlight w:val="none"/>
          <w:lang w:val="en-US" w:eastAsia="zh-CN"/>
        </w:rPr>
        <w:t>2套50m</w:t>
      </w:r>
      <w:r>
        <w:rPr>
          <w:rFonts w:hint="default" w:ascii="Times New Roman" w:hAnsi="Times New Roman" w:cs="Times New Roman"/>
          <w:color w:val="auto"/>
          <w:kern w:val="0"/>
          <w:sz w:val="24"/>
          <w:highlight w:val="none"/>
          <w:vertAlign w:val="superscript"/>
          <w:lang w:val="en-US" w:eastAsia="zh-CN"/>
        </w:rPr>
        <w:t>3</w:t>
      </w:r>
      <w:r>
        <w:rPr>
          <w:rFonts w:hint="eastAsia" w:cs="Times New Roman"/>
          <w:color w:val="auto"/>
          <w:kern w:val="0"/>
          <w:sz w:val="24"/>
          <w:highlight w:val="none"/>
          <w:lang w:val="en-US" w:eastAsia="zh-CN"/>
        </w:rPr>
        <w:t>柴油储罐，用于采矿设备加油</w:t>
      </w:r>
      <w:r>
        <w:rPr>
          <w:rFonts w:hint="default" w:ascii="Times New Roman" w:hAnsi="Times New Roman" w:cs="Times New Roman"/>
          <w:color w:val="auto"/>
          <w:kern w:val="0"/>
          <w:sz w:val="24"/>
          <w:highlight w:val="none"/>
          <w:lang w:val="en-US" w:eastAsia="zh-CN"/>
        </w:rPr>
        <w:t>。</w:t>
      </w:r>
    </w:p>
    <w:p w14:paraId="57F03E63">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eastAsia" w:ascii="Times New Roman" w:hAnsi="Times New Roman" w:eastAsia="宋体" w:cs="Times New Roman"/>
          <w:bCs/>
          <w:color w:val="auto"/>
          <w:sz w:val="24"/>
          <w:szCs w:val="24"/>
          <w:highlight w:val="none"/>
          <w:lang w:val="en-US" w:eastAsia="zh-CN"/>
        </w:rPr>
      </w:pPr>
      <w:r>
        <w:rPr>
          <w:rFonts w:hint="eastAsia" w:cs="Times New Roman"/>
          <w:color w:val="auto"/>
          <w:kern w:val="0"/>
          <w:sz w:val="24"/>
          <w:szCs w:val="24"/>
          <w:highlight w:val="none"/>
          <w:lang w:val="en-US" w:eastAsia="zh-CN" w:bidi="ar"/>
        </w:rPr>
        <w:t>本项目溶剂油存储于地埋式储罐内，管道输送、储存过程中存在有机废气无组织挥发。根据</w:t>
      </w:r>
      <w:r>
        <w:rPr>
          <w:rFonts w:ascii="Times New Roman" w:cs="Times New Roman"/>
          <w:color w:val="auto"/>
          <w:sz w:val="24"/>
          <w:szCs w:val="24"/>
          <w:highlight w:val="none"/>
        </w:rPr>
        <w:t>《石化行业</w:t>
      </w:r>
      <w:r>
        <w:rPr>
          <w:rFonts w:ascii="Times New Roman" w:hAnsi="Times New Roman" w:cs="Times New Roman"/>
          <w:color w:val="auto"/>
          <w:sz w:val="24"/>
          <w:szCs w:val="24"/>
          <w:highlight w:val="none"/>
        </w:rPr>
        <w:t>VOCs</w:t>
      </w:r>
      <w:r>
        <w:rPr>
          <w:rFonts w:ascii="Times New Roman" w:cs="Times New Roman"/>
          <w:color w:val="auto"/>
          <w:sz w:val="24"/>
          <w:szCs w:val="24"/>
          <w:highlight w:val="none"/>
        </w:rPr>
        <w:t>污染源排查工作指南》来自环办</w:t>
      </w:r>
      <w:r>
        <w:rPr>
          <w:rFonts w:hint="eastAsia" w:ascii="Times New Roman" w:cs="Times New Roman"/>
          <w:color w:val="auto"/>
          <w:sz w:val="24"/>
          <w:szCs w:val="24"/>
          <w:highlight w:val="none"/>
          <w:lang w:eastAsia="zh-CN"/>
        </w:rPr>
        <w:t>〔2015〕</w:t>
      </w:r>
      <w:r>
        <w:rPr>
          <w:rFonts w:ascii="Times New Roman" w:hAnsi="Times New Roman" w:cs="Times New Roman"/>
          <w:color w:val="auto"/>
          <w:sz w:val="24"/>
          <w:szCs w:val="24"/>
          <w:highlight w:val="none"/>
        </w:rPr>
        <w:t xml:space="preserve">104 </w:t>
      </w:r>
      <w:r>
        <w:rPr>
          <w:rFonts w:ascii="Times New Roman" w:cs="Times New Roman"/>
          <w:color w:val="auto"/>
          <w:sz w:val="24"/>
          <w:szCs w:val="24"/>
          <w:highlight w:val="none"/>
        </w:rPr>
        <w:t>号《关于印发</w:t>
      </w:r>
      <w:r>
        <w:rPr>
          <w:rFonts w:hint="eastAsia" w:ascii="Times New Roman" w:cs="Times New Roman"/>
          <w:color w:val="auto"/>
          <w:sz w:val="24"/>
          <w:szCs w:val="24"/>
          <w:highlight w:val="none"/>
          <w:lang w:eastAsia="zh-CN"/>
        </w:rPr>
        <w:t>〈</w:t>
      </w:r>
      <w:r>
        <w:rPr>
          <w:rFonts w:ascii="Times New Roman" w:cs="Times New Roman"/>
          <w:color w:val="auto"/>
          <w:sz w:val="24"/>
          <w:szCs w:val="24"/>
          <w:highlight w:val="none"/>
        </w:rPr>
        <w:t>石化行业</w:t>
      </w:r>
      <w:r>
        <w:rPr>
          <w:rFonts w:ascii="Times New Roman" w:hAnsi="Times New Roman" w:cs="Times New Roman"/>
          <w:color w:val="auto"/>
          <w:sz w:val="24"/>
          <w:szCs w:val="24"/>
          <w:highlight w:val="none"/>
        </w:rPr>
        <w:t>VOCs</w:t>
      </w:r>
      <w:r>
        <w:rPr>
          <w:rFonts w:ascii="Times New Roman" w:cs="Times New Roman"/>
          <w:color w:val="auto"/>
          <w:sz w:val="24"/>
          <w:szCs w:val="24"/>
          <w:highlight w:val="none"/>
        </w:rPr>
        <w:t>污染源排查工作指南</w:t>
      </w:r>
      <w:r>
        <w:rPr>
          <w:rFonts w:hint="eastAsia" w:ascii="Times New Roman" w:cs="Times New Roman"/>
          <w:color w:val="auto"/>
          <w:sz w:val="24"/>
          <w:szCs w:val="24"/>
          <w:highlight w:val="none"/>
          <w:lang w:eastAsia="zh-CN"/>
        </w:rPr>
        <w:t>〉</w:t>
      </w:r>
      <w:r>
        <w:rPr>
          <w:rFonts w:ascii="Times New Roman" w:cs="Times New Roman"/>
          <w:color w:val="auto"/>
          <w:sz w:val="24"/>
          <w:szCs w:val="24"/>
          <w:highlight w:val="none"/>
        </w:rPr>
        <w:t>及</w:t>
      </w:r>
      <w:r>
        <w:rPr>
          <w:rFonts w:hint="eastAsia" w:ascii="Times New Roman" w:cs="Times New Roman"/>
          <w:color w:val="auto"/>
          <w:sz w:val="24"/>
          <w:szCs w:val="24"/>
          <w:highlight w:val="none"/>
          <w:lang w:eastAsia="zh-CN"/>
        </w:rPr>
        <w:t>〈</w:t>
      </w:r>
      <w:r>
        <w:rPr>
          <w:rFonts w:ascii="Times New Roman" w:cs="Times New Roman"/>
          <w:color w:val="auto"/>
          <w:sz w:val="24"/>
          <w:szCs w:val="24"/>
          <w:highlight w:val="none"/>
        </w:rPr>
        <w:t>石化企业泄漏检测与修复工作指南</w:t>
      </w:r>
      <w:r>
        <w:rPr>
          <w:rFonts w:hint="eastAsia" w:ascii="Times New Roman" w:cs="Times New Roman"/>
          <w:color w:val="auto"/>
          <w:sz w:val="24"/>
          <w:szCs w:val="24"/>
          <w:highlight w:val="none"/>
          <w:lang w:eastAsia="zh-CN"/>
        </w:rPr>
        <w:t>〉的通知》，</w:t>
      </w:r>
      <w:r>
        <w:rPr>
          <w:rFonts w:hint="default" w:ascii="Times New Roman" w:hAnsi="Times New Roman" w:cs="Times New Roman"/>
          <w:color w:val="auto"/>
          <w:kern w:val="0"/>
          <w:sz w:val="24"/>
          <w:highlight w:val="none"/>
        </w:rPr>
        <w:t>固定顶罐蒸发损失分为</w:t>
      </w:r>
      <w:r>
        <w:rPr>
          <w:rFonts w:hint="eastAsia" w:ascii="Times New Roman" w:hAnsi="Times New Roman" w:cs="Times New Roman"/>
          <w:color w:val="auto"/>
          <w:kern w:val="0"/>
          <w:sz w:val="24"/>
          <w:highlight w:val="none"/>
          <w:lang w:val="en-US" w:eastAsia="zh-CN"/>
        </w:rPr>
        <w:t>工作损耗</w:t>
      </w:r>
      <w:r>
        <w:rPr>
          <w:rFonts w:hint="default" w:ascii="Times New Roman" w:hAnsi="Times New Roman" w:cs="Times New Roman"/>
          <w:color w:val="auto"/>
          <w:kern w:val="0"/>
          <w:sz w:val="24"/>
          <w:highlight w:val="none"/>
        </w:rPr>
        <w:t>和静储损失，</w:t>
      </w:r>
      <w:r>
        <w:rPr>
          <w:rFonts w:hint="eastAsia" w:ascii="Times New Roman" w:hAnsi="Times New Roman" w:eastAsia="宋体" w:cs="Times New Roman"/>
          <w:bCs/>
          <w:color w:val="auto"/>
          <w:sz w:val="24"/>
          <w:szCs w:val="24"/>
          <w:highlight w:val="none"/>
          <w:lang w:val="en-US" w:eastAsia="zh-CN"/>
        </w:rPr>
        <w:t>工作损耗量按以下公式计算：</w:t>
      </w:r>
    </w:p>
    <w:p w14:paraId="3DA4FC08">
      <w:pPr>
        <w:bidi w:val="0"/>
        <w:spacing w:line="240" w:lineRule="auto"/>
        <w:ind w:left="0" w:leftChars="0" w:firstLine="0" w:firstLineChars="0"/>
        <w:jc w:val="center"/>
        <w:rPr>
          <w:rFonts w:hint="default"/>
          <w:color w:val="auto"/>
          <w:highlight w:val="none"/>
          <w:lang w:val="en-US" w:eastAsia="zh-CN"/>
        </w:rPr>
      </w:pPr>
      <w:r>
        <w:rPr>
          <w:color w:val="auto"/>
          <w:highlight w:val="none"/>
        </w:rPr>
        <w:drawing>
          <wp:inline distT="0" distB="0" distL="114300" distR="114300">
            <wp:extent cx="2324100" cy="5810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0"/>
                    <a:stretch>
                      <a:fillRect/>
                    </a:stretch>
                  </pic:blipFill>
                  <pic:spPr>
                    <a:xfrm>
                      <a:off x="0" y="0"/>
                      <a:ext cx="2324100" cy="581025"/>
                    </a:xfrm>
                    <a:prstGeom prst="rect">
                      <a:avLst/>
                    </a:prstGeom>
                    <a:noFill/>
                    <a:ln>
                      <a:noFill/>
                    </a:ln>
                  </pic:spPr>
                </pic:pic>
              </a:graphicData>
            </a:graphic>
          </wp:inline>
        </w:drawing>
      </w:r>
    </w:p>
    <w:p w14:paraId="66D92307">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式中：L</w:t>
      </w:r>
      <w:bookmarkStart w:id="406" w:name="OLE_LINK27"/>
      <w:r>
        <w:rPr>
          <w:rFonts w:hint="default" w:ascii="Times New Roman" w:hAnsi="Times New Roman" w:eastAsia="宋体" w:cs="Times New Roman"/>
          <w:bCs/>
          <w:color w:val="auto"/>
          <w:sz w:val="24"/>
          <w:szCs w:val="24"/>
          <w:highlight w:val="none"/>
          <w:vertAlign w:val="subscript"/>
          <w:lang w:val="en-US" w:eastAsia="zh-CN"/>
        </w:rPr>
        <w:t>W</w:t>
      </w:r>
      <w:bookmarkEnd w:id="406"/>
      <w:r>
        <w:rPr>
          <w:rFonts w:hint="eastAsia" w:ascii="Times New Roman" w:hAnsi="Times New Roman" w:eastAsia="宋体" w:cs="Times New Roman"/>
          <w:bCs/>
          <w:color w:val="auto"/>
          <w:sz w:val="24"/>
          <w:szCs w:val="24"/>
          <w:highlight w:val="none"/>
          <w:lang w:val="en-US" w:eastAsia="zh-CN"/>
        </w:rPr>
        <w:t>—工作损耗，本项目工作损耗单位取t/a；</w:t>
      </w:r>
    </w:p>
    <w:p w14:paraId="6C4FBF9F">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M</w:t>
      </w:r>
      <w:bookmarkStart w:id="407" w:name="OLE_LINK28"/>
      <w:r>
        <w:rPr>
          <w:rFonts w:hint="default" w:ascii="Times New Roman" w:hAnsi="Times New Roman" w:eastAsia="宋体" w:cs="Times New Roman"/>
          <w:bCs/>
          <w:color w:val="auto"/>
          <w:sz w:val="24"/>
          <w:szCs w:val="24"/>
          <w:highlight w:val="none"/>
          <w:vertAlign w:val="subscript"/>
          <w:lang w:val="en-US" w:eastAsia="zh-CN"/>
        </w:rPr>
        <w:t>V</w:t>
      </w:r>
      <w:bookmarkEnd w:id="407"/>
      <w:bookmarkStart w:id="408" w:name="OLE_LINK26"/>
      <w:r>
        <w:rPr>
          <w:rFonts w:hint="eastAsia" w:ascii="Times New Roman" w:hAnsi="Times New Roman" w:eastAsia="宋体" w:cs="Times New Roman"/>
          <w:bCs/>
          <w:color w:val="auto"/>
          <w:sz w:val="24"/>
          <w:szCs w:val="24"/>
          <w:highlight w:val="none"/>
          <w:lang w:val="en-US" w:eastAsia="zh-CN"/>
        </w:rPr>
        <w:t>—</w:t>
      </w:r>
      <w:bookmarkEnd w:id="408"/>
      <w:r>
        <w:rPr>
          <w:rFonts w:hint="eastAsia" w:ascii="Times New Roman" w:hAnsi="Times New Roman" w:eastAsia="宋体" w:cs="Times New Roman"/>
          <w:bCs/>
          <w:color w:val="auto"/>
          <w:sz w:val="24"/>
          <w:szCs w:val="24"/>
          <w:highlight w:val="none"/>
          <w:lang w:val="en-US" w:eastAsia="zh-CN"/>
        </w:rPr>
        <w:t>气相分子量，</w:t>
      </w:r>
      <w:r>
        <w:rPr>
          <w:rFonts w:hint="default" w:ascii="Times New Roman" w:hAnsi="Times New Roman" w:eastAsia="宋体" w:cs="Times New Roman"/>
          <w:bCs/>
          <w:color w:val="auto"/>
          <w:sz w:val="24"/>
          <w:szCs w:val="24"/>
          <w:highlight w:val="none"/>
          <w:lang w:val="en-US" w:eastAsia="zh-CN"/>
        </w:rPr>
        <w:t>lb/lb-mol</w:t>
      </w:r>
      <w:r>
        <w:rPr>
          <w:rFonts w:hint="eastAsia" w:ascii="Times New Roman" w:hAnsi="Times New Roman" w:eastAsia="宋体" w:cs="Times New Roman"/>
          <w:bCs/>
          <w:color w:val="auto"/>
          <w:sz w:val="24"/>
          <w:szCs w:val="24"/>
          <w:highlight w:val="none"/>
          <w:lang w:val="en-US" w:eastAsia="zh-CN"/>
        </w:rPr>
        <w:t>；</w:t>
      </w:r>
    </w:p>
    <w:p w14:paraId="4981CB4C">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eastAsia"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P</w:t>
      </w:r>
      <w:r>
        <w:rPr>
          <w:rFonts w:hint="default" w:ascii="Times New Roman" w:hAnsi="Times New Roman" w:eastAsia="宋体" w:cs="Times New Roman"/>
          <w:bCs/>
          <w:color w:val="auto"/>
          <w:sz w:val="24"/>
          <w:szCs w:val="24"/>
          <w:highlight w:val="none"/>
          <w:vertAlign w:val="subscript"/>
          <w:lang w:val="en-US" w:eastAsia="zh-CN"/>
        </w:rPr>
        <w:t>VA</w:t>
      </w:r>
      <w:bookmarkStart w:id="409" w:name="OLE_LINK40"/>
      <w:r>
        <w:rPr>
          <w:rFonts w:hint="eastAsia" w:ascii="Times New Roman" w:hAnsi="Times New Roman" w:eastAsia="宋体" w:cs="Times New Roman"/>
          <w:bCs/>
          <w:color w:val="auto"/>
          <w:sz w:val="24"/>
          <w:szCs w:val="24"/>
          <w:highlight w:val="none"/>
          <w:lang w:val="en-US" w:eastAsia="zh-CN"/>
        </w:rPr>
        <w:t>—真实蒸汽压，</w:t>
      </w:r>
      <w:r>
        <w:rPr>
          <w:rFonts w:hint="default" w:ascii="Times New Roman" w:hAnsi="Times New Roman" w:eastAsia="宋体" w:cs="Times New Roman"/>
          <w:bCs/>
          <w:color w:val="auto"/>
          <w:sz w:val="24"/>
          <w:szCs w:val="24"/>
          <w:highlight w:val="none"/>
          <w:lang w:val="en-US" w:eastAsia="zh-CN"/>
        </w:rPr>
        <w:t>psia</w:t>
      </w:r>
      <w:r>
        <w:rPr>
          <w:rFonts w:hint="eastAsia" w:ascii="Times New Roman" w:hAnsi="Times New Roman" w:eastAsia="宋体" w:cs="Times New Roman"/>
          <w:bCs/>
          <w:color w:val="auto"/>
          <w:sz w:val="24"/>
          <w:szCs w:val="24"/>
          <w:highlight w:val="none"/>
          <w:lang w:val="en-US" w:eastAsia="zh-CN"/>
        </w:rPr>
        <w:t>；</w:t>
      </w:r>
    </w:p>
    <w:p w14:paraId="259B28FA">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Q</w:t>
      </w:r>
      <w:r>
        <w:rPr>
          <w:rFonts w:hint="eastAsia" w:ascii="Times New Roman" w:hAnsi="Times New Roman" w:eastAsia="宋体" w:cs="Times New Roman"/>
          <w:bCs/>
          <w:color w:val="auto"/>
          <w:sz w:val="24"/>
          <w:szCs w:val="24"/>
          <w:highlight w:val="none"/>
          <w:lang w:val="en-US" w:eastAsia="zh-CN"/>
        </w:rPr>
        <w:t>—年周转量，</w:t>
      </w:r>
      <w:r>
        <w:rPr>
          <w:rFonts w:hint="default" w:ascii="Times New Roman" w:hAnsi="Times New Roman" w:eastAsia="宋体" w:cs="Times New Roman"/>
          <w:color w:val="auto"/>
          <w:sz w:val="24"/>
          <w:szCs w:val="24"/>
          <w:highlight w:val="none"/>
          <w:lang w:val="en-US" w:eastAsia="zh-CN"/>
        </w:rPr>
        <w:t>本项目年周转量单位取</w:t>
      </w:r>
      <w:r>
        <w:rPr>
          <w:rFonts w:hint="eastAsia" w:ascii="Times New Roman" w:hAnsi="Times New Roman" w:cs="Times New Roman"/>
          <w:color w:val="auto"/>
          <w:sz w:val="24"/>
          <w:szCs w:val="24"/>
          <w:highlight w:val="none"/>
          <w:lang w:val="en-US" w:eastAsia="zh-CN"/>
        </w:rPr>
        <w:t>t</w:t>
      </w:r>
      <w:r>
        <w:rPr>
          <w:rFonts w:hint="default" w:ascii="Times New Roman" w:hAnsi="Times New Roman" w:eastAsia="宋体" w:cs="Times New Roman"/>
          <w:color w:val="auto"/>
          <w:sz w:val="24"/>
          <w:szCs w:val="24"/>
          <w:highlight w:val="none"/>
          <w:lang w:val="en-US" w:eastAsia="zh-CN"/>
        </w:rPr>
        <w:t>/a</w:t>
      </w:r>
      <w:r>
        <w:rPr>
          <w:rFonts w:hint="eastAsia" w:ascii="Times New Roman" w:hAnsi="Times New Roman" w:eastAsia="宋体" w:cs="Times New Roman"/>
          <w:color w:val="auto"/>
          <w:sz w:val="24"/>
          <w:szCs w:val="24"/>
          <w:highlight w:val="none"/>
          <w:lang w:val="en-US" w:eastAsia="zh-CN"/>
        </w:rPr>
        <w:t>；</w:t>
      </w:r>
    </w:p>
    <w:p w14:paraId="2BA7D181">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K</w:t>
      </w:r>
      <w:r>
        <w:rPr>
          <w:rFonts w:hint="default" w:ascii="Times New Roman" w:hAnsi="Times New Roman" w:eastAsia="宋体" w:cs="Times New Roman"/>
          <w:bCs/>
          <w:color w:val="auto"/>
          <w:sz w:val="24"/>
          <w:szCs w:val="24"/>
          <w:highlight w:val="none"/>
          <w:vertAlign w:val="subscript"/>
          <w:lang w:val="en-US" w:eastAsia="zh-CN"/>
        </w:rPr>
        <w:t>P</w:t>
      </w:r>
      <w:r>
        <w:rPr>
          <w:rFonts w:hint="eastAsia" w:ascii="Times New Roman" w:hAnsi="Times New Roman" w:eastAsia="宋体" w:cs="Times New Roman"/>
          <w:bCs/>
          <w:color w:val="auto"/>
          <w:sz w:val="24"/>
          <w:szCs w:val="24"/>
          <w:highlight w:val="none"/>
          <w:lang w:val="en-US" w:eastAsia="zh-CN"/>
        </w:rPr>
        <w:t>—工作损耗产品因子，无量纲量，</w:t>
      </w:r>
      <w:bookmarkStart w:id="410" w:name="OLE_LINK39"/>
      <w:r>
        <w:rPr>
          <w:rFonts w:hint="eastAsia" w:ascii="Times New Roman" w:hAnsi="Times New Roman" w:eastAsia="宋体" w:cs="Times New Roman"/>
          <w:bCs/>
          <w:color w:val="auto"/>
          <w:sz w:val="24"/>
          <w:szCs w:val="24"/>
          <w:highlight w:val="none"/>
          <w:lang w:val="en-US" w:eastAsia="zh-CN"/>
        </w:rPr>
        <w:t>对于原油</w:t>
      </w:r>
      <w:r>
        <w:rPr>
          <w:rFonts w:hint="default" w:ascii="Times New Roman" w:hAnsi="Times New Roman" w:eastAsia="宋体" w:cs="Times New Roman"/>
          <w:bCs/>
          <w:color w:val="auto"/>
          <w:sz w:val="24"/>
          <w:szCs w:val="24"/>
          <w:highlight w:val="none"/>
          <w:lang w:val="en-US" w:eastAsia="zh-CN"/>
        </w:rPr>
        <w:t>K</w:t>
      </w:r>
      <w:bookmarkStart w:id="411" w:name="OLE_LINK31"/>
      <w:r>
        <w:rPr>
          <w:rFonts w:hint="default" w:ascii="Times New Roman" w:hAnsi="Times New Roman" w:eastAsia="宋体" w:cs="Times New Roman"/>
          <w:bCs/>
          <w:color w:val="auto"/>
          <w:sz w:val="24"/>
          <w:szCs w:val="24"/>
          <w:highlight w:val="none"/>
          <w:vertAlign w:val="subscript"/>
          <w:lang w:val="en-US" w:eastAsia="zh-CN"/>
        </w:rPr>
        <w:t>P</w:t>
      </w:r>
      <w:bookmarkEnd w:id="411"/>
      <w:r>
        <w:rPr>
          <w:rFonts w:hint="default" w:ascii="Times New Roman" w:hAnsi="Times New Roman" w:eastAsia="宋体" w:cs="Times New Roman"/>
          <w:bCs/>
          <w:color w:val="auto"/>
          <w:sz w:val="24"/>
          <w:szCs w:val="24"/>
          <w:highlight w:val="none"/>
          <w:lang w:val="en-US" w:eastAsia="zh-CN"/>
        </w:rPr>
        <w:t>=0.75</w:t>
      </w:r>
      <w:r>
        <w:rPr>
          <w:rFonts w:hint="eastAsia" w:ascii="Times New Roman" w:hAnsi="Times New Roman" w:eastAsia="宋体" w:cs="Times New Roman"/>
          <w:bCs/>
          <w:color w:val="auto"/>
          <w:sz w:val="24"/>
          <w:szCs w:val="24"/>
          <w:highlight w:val="none"/>
          <w:lang w:val="en-US" w:eastAsia="zh-CN"/>
        </w:rPr>
        <w:t>；</w:t>
      </w:r>
      <w:r>
        <w:rPr>
          <w:rFonts w:hint="eastAsia" w:cs="Times New Roman"/>
          <w:bCs/>
          <w:color w:val="auto"/>
          <w:sz w:val="24"/>
          <w:szCs w:val="24"/>
          <w:highlight w:val="none"/>
          <w:lang w:val="en-US" w:eastAsia="zh-CN"/>
        </w:rPr>
        <w:t>对于其他</w:t>
      </w:r>
      <w:r>
        <w:rPr>
          <w:rFonts w:hint="eastAsia" w:ascii="Times New Roman" w:hAnsi="Times New Roman" w:eastAsia="宋体" w:cs="Times New Roman"/>
          <w:bCs/>
          <w:color w:val="auto"/>
          <w:sz w:val="24"/>
          <w:szCs w:val="24"/>
          <w:highlight w:val="none"/>
          <w:lang w:val="en-US" w:eastAsia="zh-CN"/>
        </w:rPr>
        <w:t>有机液体</w:t>
      </w:r>
      <w:bookmarkStart w:id="412" w:name="OLE_LINK37"/>
      <w:r>
        <w:rPr>
          <w:rFonts w:hint="default" w:ascii="Times New Roman" w:hAnsi="Times New Roman" w:eastAsia="宋体" w:cs="Times New Roman"/>
          <w:bCs/>
          <w:color w:val="auto"/>
          <w:sz w:val="24"/>
          <w:szCs w:val="24"/>
          <w:highlight w:val="none"/>
          <w:lang w:val="en-US" w:eastAsia="zh-CN"/>
        </w:rPr>
        <w:t>K</w:t>
      </w:r>
      <w:bookmarkStart w:id="413" w:name="OLE_LINK30"/>
      <w:r>
        <w:rPr>
          <w:rFonts w:hint="default" w:ascii="Times New Roman" w:hAnsi="Times New Roman" w:eastAsia="宋体" w:cs="Times New Roman"/>
          <w:bCs/>
          <w:color w:val="auto"/>
          <w:sz w:val="24"/>
          <w:szCs w:val="24"/>
          <w:highlight w:val="none"/>
          <w:vertAlign w:val="subscript"/>
          <w:lang w:val="en-US" w:eastAsia="zh-CN"/>
        </w:rPr>
        <w:t>P</w:t>
      </w:r>
      <w:bookmarkEnd w:id="413"/>
      <w:r>
        <w:rPr>
          <w:rFonts w:hint="default" w:ascii="Times New Roman" w:hAnsi="Times New Roman" w:eastAsia="宋体" w:cs="Times New Roman"/>
          <w:bCs/>
          <w:color w:val="auto"/>
          <w:sz w:val="24"/>
          <w:szCs w:val="24"/>
          <w:highlight w:val="none"/>
          <w:lang w:val="en-US" w:eastAsia="zh-CN"/>
        </w:rPr>
        <w:t>=1</w:t>
      </w:r>
      <w:r>
        <w:rPr>
          <w:rFonts w:hint="eastAsia" w:ascii="Times New Roman" w:hAnsi="Times New Roman" w:eastAsia="宋体" w:cs="Times New Roman"/>
          <w:bCs/>
          <w:color w:val="auto"/>
          <w:sz w:val="24"/>
          <w:szCs w:val="24"/>
          <w:highlight w:val="none"/>
          <w:lang w:val="en-US" w:eastAsia="zh-CN"/>
        </w:rPr>
        <w:t>；</w:t>
      </w:r>
      <w:bookmarkEnd w:id="412"/>
    </w:p>
    <w:bookmarkEnd w:id="409"/>
    <w:bookmarkEnd w:id="410"/>
    <w:p w14:paraId="7DB1EBF6">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default" w:ascii="Times New Roman" w:hAnsi="Times New Roman" w:eastAsia="宋体" w:cs="Times New Roman"/>
          <w:bCs/>
          <w:color w:val="auto"/>
          <w:sz w:val="24"/>
          <w:szCs w:val="24"/>
          <w:highlight w:val="none"/>
          <w:lang w:val="en-US" w:eastAsia="zh-CN"/>
        </w:rPr>
      </w:pPr>
      <w:bookmarkStart w:id="414" w:name="OLE_LINK35"/>
      <w:bookmarkStart w:id="415" w:name="OLE_LINK34"/>
      <w:r>
        <w:rPr>
          <w:rFonts w:hint="default" w:ascii="Times New Roman" w:hAnsi="Times New Roman" w:eastAsia="宋体" w:cs="Times New Roman"/>
          <w:bCs/>
          <w:color w:val="auto"/>
          <w:sz w:val="24"/>
          <w:szCs w:val="24"/>
          <w:highlight w:val="none"/>
          <w:lang w:val="en-US" w:eastAsia="zh-CN"/>
        </w:rPr>
        <w:t>K</w:t>
      </w:r>
      <w:bookmarkStart w:id="416" w:name="OLE_LINK29"/>
      <w:r>
        <w:rPr>
          <w:rFonts w:hint="default" w:ascii="Times New Roman" w:hAnsi="Times New Roman" w:eastAsia="宋体" w:cs="Times New Roman"/>
          <w:bCs/>
          <w:color w:val="auto"/>
          <w:sz w:val="24"/>
          <w:szCs w:val="24"/>
          <w:highlight w:val="none"/>
          <w:vertAlign w:val="subscript"/>
          <w:lang w:val="en-US" w:eastAsia="zh-CN"/>
        </w:rPr>
        <w:t>N</w:t>
      </w:r>
      <w:bookmarkEnd w:id="416"/>
      <w:r>
        <w:rPr>
          <w:rFonts w:hint="eastAsia" w:ascii="Times New Roman" w:hAnsi="Times New Roman" w:eastAsia="宋体" w:cs="Times New Roman"/>
          <w:bCs/>
          <w:color w:val="auto"/>
          <w:sz w:val="24"/>
          <w:szCs w:val="24"/>
          <w:highlight w:val="none"/>
          <w:lang w:val="en-US" w:eastAsia="zh-CN"/>
        </w:rPr>
        <w:t>—工作排放周转（饱和）因子，无量纲量；</w:t>
      </w:r>
    </w:p>
    <w:bookmarkEnd w:id="414"/>
    <w:bookmarkEnd w:id="415"/>
    <w:p w14:paraId="6CF2944A">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default" w:ascii="Times New Roman" w:hAnsi="Times New Roman" w:eastAsia="宋体" w:cs="Times New Roman"/>
          <w:bCs/>
          <w:color w:val="auto"/>
          <w:sz w:val="24"/>
          <w:szCs w:val="24"/>
          <w:highlight w:val="none"/>
          <w:lang w:val="en-US" w:eastAsia="zh-CN"/>
        </w:rPr>
      </w:pPr>
      <w:bookmarkStart w:id="417" w:name="OLE_LINK33"/>
      <w:r>
        <w:rPr>
          <w:rFonts w:hint="eastAsia" w:ascii="Times New Roman" w:hAnsi="Times New Roman" w:eastAsia="宋体" w:cs="Times New Roman"/>
          <w:bCs/>
          <w:color w:val="auto"/>
          <w:sz w:val="24"/>
          <w:szCs w:val="24"/>
          <w:highlight w:val="none"/>
          <w:lang w:val="en-US" w:eastAsia="zh-CN"/>
        </w:rPr>
        <w:t>本项目周转数≤</w:t>
      </w:r>
      <w:r>
        <w:rPr>
          <w:rFonts w:hint="default" w:ascii="Times New Roman" w:hAnsi="Times New Roman" w:eastAsia="宋体" w:cs="Times New Roman"/>
          <w:bCs/>
          <w:color w:val="auto"/>
          <w:sz w:val="24"/>
          <w:szCs w:val="24"/>
          <w:highlight w:val="none"/>
          <w:lang w:val="en-US" w:eastAsia="zh-CN"/>
        </w:rPr>
        <w:t>36</w:t>
      </w:r>
      <w:r>
        <w:rPr>
          <w:rFonts w:hint="eastAsia" w:ascii="Times New Roman" w:hAnsi="Times New Roman" w:eastAsia="宋体" w:cs="Times New Roman"/>
          <w:bCs/>
          <w:color w:val="auto"/>
          <w:sz w:val="24"/>
          <w:szCs w:val="24"/>
          <w:highlight w:val="none"/>
          <w:lang w:val="en-US" w:eastAsia="zh-CN"/>
        </w:rPr>
        <w:t>，</w:t>
      </w:r>
      <w:r>
        <w:rPr>
          <w:rFonts w:hint="default" w:ascii="Times New Roman" w:hAnsi="Times New Roman" w:eastAsia="宋体" w:cs="Times New Roman"/>
          <w:bCs/>
          <w:color w:val="auto"/>
          <w:sz w:val="24"/>
          <w:szCs w:val="24"/>
          <w:highlight w:val="none"/>
          <w:lang w:val="en-US" w:eastAsia="zh-CN"/>
        </w:rPr>
        <w:t>K</w:t>
      </w:r>
      <w:bookmarkStart w:id="418" w:name="OLE_LINK38"/>
      <w:r>
        <w:rPr>
          <w:rFonts w:hint="default" w:ascii="Times New Roman" w:hAnsi="Times New Roman" w:eastAsia="宋体" w:cs="Times New Roman"/>
          <w:bCs/>
          <w:color w:val="auto"/>
          <w:sz w:val="24"/>
          <w:szCs w:val="24"/>
          <w:highlight w:val="none"/>
          <w:vertAlign w:val="subscript"/>
          <w:lang w:val="en-US" w:eastAsia="zh-CN"/>
        </w:rPr>
        <w:t>N</w:t>
      </w:r>
      <w:bookmarkEnd w:id="418"/>
      <w:r>
        <w:rPr>
          <w:rFonts w:hint="default" w:ascii="Times New Roman" w:hAnsi="Times New Roman" w:eastAsia="宋体" w:cs="Times New Roman"/>
          <w:bCs/>
          <w:color w:val="auto"/>
          <w:sz w:val="24"/>
          <w:szCs w:val="24"/>
          <w:highlight w:val="none"/>
          <w:lang w:val="en-US" w:eastAsia="zh-CN"/>
        </w:rPr>
        <w:t>=1</w:t>
      </w:r>
      <w:r>
        <w:rPr>
          <w:rFonts w:hint="eastAsia" w:ascii="Times New Roman" w:hAnsi="Times New Roman" w:eastAsia="宋体" w:cs="Times New Roman"/>
          <w:bCs/>
          <w:color w:val="auto"/>
          <w:sz w:val="24"/>
          <w:szCs w:val="24"/>
          <w:highlight w:val="none"/>
          <w:lang w:val="en-US" w:eastAsia="zh-CN"/>
        </w:rPr>
        <w:t>；</w:t>
      </w:r>
    </w:p>
    <w:p w14:paraId="7D977DA9">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K</w:t>
      </w:r>
      <w:bookmarkStart w:id="419" w:name="OLE_LINK32"/>
      <w:r>
        <w:rPr>
          <w:rFonts w:hint="default" w:ascii="Times New Roman" w:hAnsi="Times New Roman" w:eastAsia="宋体" w:cs="Times New Roman"/>
          <w:bCs/>
          <w:color w:val="auto"/>
          <w:sz w:val="24"/>
          <w:szCs w:val="24"/>
          <w:highlight w:val="none"/>
          <w:vertAlign w:val="subscript"/>
          <w:lang w:val="en-US" w:eastAsia="zh-CN"/>
        </w:rPr>
        <w:t>B</w:t>
      </w:r>
      <w:bookmarkEnd w:id="419"/>
      <w:bookmarkStart w:id="420" w:name="OLE_LINK36"/>
      <w:r>
        <w:rPr>
          <w:rFonts w:hint="eastAsia" w:ascii="Times New Roman" w:hAnsi="Times New Roman" w:eastAsia="宋体" w:cs="Times New Roman"/>
          <w:bCs/>
          <w:color w:val="auto"/>
          <w:sz w:val="24"/>
          <w:szCs w:val="24"/>
          <w:highlight w:val="none"/>
          <w:lang w:val="en-US" w:eastAsia="zh-CN"/>
        </w:rPr>
        <w:t>—</w:t>
      </w:r>
      <w:bookmarkEnd w:id="420"/>
      <w:r>
        <w:rPr>
          <w:rFonts w:hint="eastAsia" w:ascii="Times New Roman" w:hAnsi="Times New Roman" w:eastAsia="宋体" w:cs="Times New Roman"/>
          <w:bCs/>
          <w:color w:val="auto"/>
          <w:sz w:val="24"/>
          <w:szCs w:val="24"/>
          <w:highlight w:val="none"/>
          <w:lang w:val="en-US" w:eastAsia="zh-CN"/>
        </w:rPr>
        <w:t>呼吸阀工作校正因子，</w:t>
      </w:r>
      <w:r>
        <w:rPr>
          <w:rFonts w:hint="default" w:ascii="Times New Roman" w:hAnsi="Times New Roman" w:eastAsia="宋体" w:cs="Times New Roman"/>
          <w:bCs/>
          <w:color w:val="auto"/>
          <w:sz w:val="24"/>
          <w:szCs w:val="24"/>
          <w:highlight w:val="none"/>
          <w:lang w:val="en-US" w:eastAsia="zh-CN"/>
        </w:rPr>
        <w:t>本项目不设置呼吸阀</w:t>
      </w:r>
      <w:bookmarkEnd w:id="417"/>
      <w:r>
        <w:rPr>
          <w:rFonts w:hint="default" w:ascii="Times New Roman" w:hAnsi="Times New Roman" w:eastAsia="宋体" w:cs="Times New Roman"/>
          <w:bCs/>
          <w:color w:val="auto"/>
          <w:sz w:val="24"/>
          <w:szCs w:val="24"/>
          <w:highlight w:val="none"/>
          <w:lang w:val="en-US" w:eastAsia="zh-CN"/>
        </w:rPr>
        <w:t>，呼吸阀校正系数取1</w:t>
      </w:r>
      <w:r>
        <w:rPr>
          <w:rFonts w:hint="eastAsia" w:ascii="Times New Roman" w:hAnsi="Times New Roman" w:eastAsia="宋体" w:cs="Times New Roman"/>
          <w:bCs/>
          <w:color w:val="auto"/>
          <w:sz w:val="24"/>
          <w:szCs w:val="24"/>
          <w:highlight w:val="none"/>
          <w:lang w:val="en-US" w:eastAsia="zh-CN"/>
        </w:rPr>
        <w:t>；</w:t>
      </w:r>
    </w:p>
    <w:p w14:paraId="667C0884">
      <w:pPr>
        <w:keepNext w:val="0"/>
        <w:keepLines w:val="0"/>
        <w:pageBreakBefore w:val="0"/>
        <w:widowControl w:val="0"/>
        <w:kinsoku/>
        <w:wordWrap/>
        <w:overflowPunct/>
        <w:topLinePunct w:val="0"/>
        <w:autoSpaceDE/>
        <w:autoSpaceDN/>
        <w:bidi w:val="0"/>
        <w:adjustRightInd w:val="0"/>
        <w:snapToGrid w:val="0"/>
        <w:spacing w:line="520" w:lineRule="exact"/>
        <w:ind w:left="0" w:firstLine="480" w:firstLineChars="200"/>
        <w:textAlignment w:val="auto"/>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R—</w:t>
      </w:r>
      <w:r>
        <w:rPr>
          <w:rFonts w:hint="default" w:ascii="Times New Roman" w:hAnsi="Times New Roman" w:eastAsia="宋体" w:cs="Times New Roman"/>
          <w:bCs/>
          <w:color w:val="auto"/>
          <w:sz w:val="24"/>
          <w:szCs w:val="24"/>
          <w:highlight w:val="none"/>
          <w:lang w:val="en-US" w:eastAsia="zh-CN"/>
        </w:rPr>
        <w:t>理想气体状态常数，10.741lb/lb-mol·ft·°R</w:t>
      </w:r>
      <w:r>
        <w:rPr>
          <w:rFonts w:hint="eastAsia" w:ascii="Times New Roman" w:hAnsi="Times New Roman" w:eastAsia="宋体" w:cs="Times New Roman"/>
          <w:bCs/>
          <w:color w:val="auto"/>
          <w:sz w:val="24"/>
          <w:szCs w:val="24"/>
          <w:highlight w:val="none"/>
          <w:lang w:val="en-US" w:eastAsia="zh-CN"/>
        </w:rPr>
        <w:t>。</w:t>
      </w:r>
    </w:p>
    <w:p w14:paraId="640766D0">
      <w:pPr>
        <w:bidi w:val="0"/>
        <w:rPr>
          <w:rFonts w:hint="eastAsia"/>
          <w:color w:val="auto"/>
          <w:highlight w:val="none"/>
          <w:lang w:val="en-US" w:eastAsia="zh-CN"/>
        </w:rPr>
      </w:pPr>
      <w:r>
        <w:rPr>
          <w:rFonts w:hint="eastAsia"/>
          <w:color w:val="auto"/>
          <w:highlight w:val="none"/>
          <w:lang w:val="en-US" w:eastAsia="zh-CN"/>
        </w:rPr>
        <w:t>静置损失</w:t>
      </w:r>
      <w:r>
        <w:rPr>
          <w:rFonts w:hint="eastAsia" w:ascii="Times New Roman" w:hAnsi="Times New Roman" w:eastAsia="宋体" w:cs="Times New Roman"/>
          <w:bCs/>
          <w:color w:val="auto"/>
          <w:sz w:val="24"/>
          <w:szCs w:val="24"/>
          <w:highlight w:val="none"/>
          <w:lang w:val="en-US" w:eastAsia="zh-CN"/>
        </w:rPr>
        <w:t>按以下公式计算</w:t>
      </w:r>
      <w:r>
        <w:rPr>
          <w:rFonts w:hint="eastAsia"/>
          <w:color w:val="auto"/>
          <w:highlight w:val="none"/>
          <w:lang w:val="en-US" w:eastAsia="zh-CN"/>
        </w:rPr>
        <w:t>：</w:t>
      </w:r>
    </w:p>
    <w:p w14:paraId="6E476595">
      <w:pPr>
        <w:bidi w:val="0"/>
        <w:spacing w:line="240" w:lineRule="auto"/>
        <w:ind w:left="0" w:leftChars="0" w:firstLine="0" w:firstLineChars="0"/>
        <w:jc w:val="center"/>
        <w:rPr>
          <w:color w:val="auto"/>
          <w:highlight w:val="none"/>
        </w:rPr>
      </w:pPr>
      <w:r>
        <w:rPr>
          <w:color w:val="auto"/>
          <w:highlight w:val="none"/>
        </w:rPr>
        <w:drawing>
          <wp:inline distT="0" distB="0" distL="114300" distR="114300">
            <wp:extent cx="2619375" cy="50482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1"/>
                    <a:stretch>
                      <a:fillRect/>
                    </a:stretch>
                  </pic:blipFill>
                  <pic:spPr>
                    <a:xfrm>
                      <a:off x="0" y="0"/>
                      <a:ext cx="2619375" cy="504825"/>
                    </a:xfrm>
                    <a:prstGeom prst="rect">
                      <a:avLst/>
                    </a:prstGeom>
                    <a:noFill/>
                    <a:ln>
                      <a:noFill/>
                    </a:ln>
                  </pic:spPr>
                </pic:pic>
              </a:graphicData>
            </a:graphic>
          </wp:inline>
        </w:drawing>
      </w:r>
    </w:p>
    <w:p w14:paraId="66A9D2BC">
      <w:pPr>
        <w:bidi w:val="0"/>
        <w:rPr>
          <w:color w:val="auto"/>
          <w:highlight w:val="none"/>
          <w:lang w:val="en-US" w:eastAsia="zh-CN"/>
        </w:rPr>
      </w:pPr>
      <w:r>
        <w:rPr>
          <w:rFonts w:hint="default"/>
          <w:color w:val="auto"/>
          <w:highlight w:val="none"/>
          <w:lang w:val="en-US" w:eastAsia="zh-CN"/>
        </w:rPr>
        <w:t>K</w:t>
      </w:r>
      <w:r>
        <w:rPr>
          <w:rFonts w:hint="default"/>
          <w:color w:val="auto"/>
          <w:highlight w:val="none"/>
          <w:vertAlign w:val="subscript"/>
          <w:lang w:val="en-US" w:eastAsia="zh-CN"/>
        </w:rPr>
        <w:t>E</w:t>
      </w:r>
      <w:r>
        <w:rPr>
          <w:rFonts w:hint="eastAsia"/>
          <w:color w:val="auto"/>
          <w:highlight w:val="none"/>
          <w:lang w:val="en-US" w:eastAsia="zh-CN"/>
        </w:rPr>
        <w:t>—</w:t>
      </w:r>
      <w:r>
        <w:rPr>
          <w:color w:val="auto"/>
          <w:highlight w:val="none"/>
          <w:lang w:val="en-US" w:eastAsia="zh-CN"/>
        </w:rPr>
        <w:t>气相空间膨胀因子，无量纲量；</w:t>
      </w:r>
    </w:p>
    <w:p w14:paraId="6497CCCD">
      <w:pPr>
        <w:bidi w:val="0"/>
        <w:rPr>
          <w:color w:val="auto"/>
          <w:highlight w:val="none"/>
        </w:rPr>
      </w:pPr>
      <w:r>
        <w:rPr>
          <w:rFonts w:hint="default"/>
          <w:color w:val="auto"/>
          <w:highlight w:val="none"/>
          <w:lang w:val="en-US" w:eastAsia="zh-CN"/>
        </w:rPr>
        <w:t>K</w:t>
      </w:r>
      <w:r>
        <w:rPr>
          <w:rFonts w:hint="default"/>
          <w:color w:val="auto"/>
          <w:highlight w:val="none"/>
          <w:vertAlign w:val="subscript"/>
          <w:lang w:val="en-US" w:eastAsia="zh-CN"/>
        </w:rPr>
        <w:t>S</w:t>
      </w:r>
      <w:r>
        <w:rPr>
          <w:rFonts w:hint="eastAsia"/>
          <w:color w:val="auto"/>
          <w:highlight w:val="none"/>
          <w:lang w:val="en-US" w:eastAsia="zh-CN"/>
        </w:rPr>
        <w:t>—</w:t>
      </w:r>
      <w:r>
        <w:rPr>
          <w:color w:val="auto"/>
          <w:highlight w:val="none"/>
          <w:lang w:val="en-US" w:eastAsia="zh-CN"/>
        </w:rPr>
        <w:t>排放蒸汽饱和因子，无量纲量</w:t>
      </w:r>
      <w:r>
        <w:rPr>
          <w:rFonts w:hint="eastAsia"/>
          <w:color w:val="auto"/>
          <w:highlight w:val="none"/>
          <w:lang w:val="en-US" w:eastAsia="zh-CN"/>
        </w:rPr>
        <w:t>；</w:t>
      </w:r>
    </w:p>
    <w:p w14:paraId="64C12F52">
      <w:pPr>
        <w:bidi w:val="0"/>
        <w:rPr>
          <w:color w:val="auto"/>
          <w:highlight w:val="none"/>
        </w:rPr>
      </w:pPr>
      <w:r>
        <w:rPr>
          <w:rFonts w:hint="default"/>
          <w:color w:val="auto"/>
          <w:highlight w:val="none"/>
          <w:lang w:val="en-US" w:eastAsia="zh-CN"/>
        </w:rPr>
        <w:t>D</w:t>
      </w:r>
      <w:r>
        <w:rPr>
          <w:rFonts w:hint="eastAsia"/>
          <w:color w:val="auto"/>
          <w:highlight w:val="none"/>
          <w:lang w:val="en-US" w:eastAsia="zh-CN"/>
        </w:rPr>
        <w:t>—</w:t>
      </w:r>
      <w:r>
        <w:rPr>
          <w:color w:val="auto"/>
          <w:highlight w:val="none"/>
          <w:lang w:val="en-US" w:eastAsia="zh-CN"/>
        </w:rPr>
        <w:t>罐径，</w:t>
      </w:r>
      <w:r>
        <w:rPr>
          <w:rFonts w:hint="default"/>
          <w:color w:val="auto"/>
          <w:highlight w:val="none"/>
          <w:lang w:val="en-US" w:eastAsia="zh-CN"/>
        </w:rPr>
        <w:t>ft</w:t>
      </w:r>
      <w:r>
        <w:rPr>
          <w:rFonts w:hint="eastAsia"/>
          <w:color w:val="auto"/>
          <w:highlight w:val="none"/>
          <w:lang w:val="en-US" w:eastAsia="zh-CN"/>
        </w:rPr>
        <w:t>；</w:t>
      </w:r>
    </w:p>
    <w:p w14:paraId="21BCAFD4">
      <w:pPr>
        <w:bidi w:val="0"/>
        <w:rPr>
          <w:rFonts w:hint="eastAsia"/>
          <w:color w:val="auto"/>
          <w:highlight w:val="none"/>
          <w:lang w:val="en-US" w:eastAsia="zh-CN"/>
        </w:rPr>
      </w:pPr>
      <w:r>
        <w:rPr>
          <w:rFonts w:hint="default"/>
          <w:color w:val="auto"/>
          <w:highlight w:val="none"/>
          <w:lang w:val="en-US" w:eastAsia="zh-CN"/>
        </w:rPr>
        <w:t>H</w:t>
      </w:r>
      <w:r>
        <w:rPr>
          <w:rFonts w:hint="default"/>
          <w:color w:val="auto"/>
          <w:highlight w:val="none"/>
          <w:vertAlign w:val="subscript"/>
          <w:lang w:val="en-US" w:eastAsia="zh-CN"/>
        </w:rPr>
        <w:t>VO</w:t>
      </w:r>
      <w:r>
        <w:rPr>
          <w:rFonts w:hint="eastAsia"/>
          <w:color w:val="auto"/>
          <w:highlight w:val="none"/>
          <w:lang w:val="en-US" w:eastAsia="zh-CN"/>
        </w:rPr>
        <w:t>—</w:t>
      </w:r>
      <w:r>
        <w:rPr>
          <w:color w:val="auto"/>
          <w:highlight w:val="none"/>
          <w:lang w:val="en-US" w:eastAsia="zh-CN"/>
        </w:rPr>
        <w:t>气相空间高度，</w:t>
      </w:r>
      <w:r>
        <w:rPr>
          <w:rFonts w:hint="default"/>
          <w:color w:val="auto"/>
          <w:highlight w:val="none"/>
          <w:lang w:val="en-US" w:eastAsia="zh-CN"/>
        </w:rPr>
        <w:t>ft</w:t>
      </w:r>
      <w:r>
        <w:rPr>
          <w:rFonts w:hint="eastAsia"/>
          <w:color w:val="auto"/>
          <w:highlight w:val="none"/>
          <w:lang w:val="en-US" w:eastAsia="zh-CN"/>
        </w:rPr>
        <w:t>。</w:t>
      </w:r>
    </w:p>
    <w:p w14:paraId="755AC6AB">
      <w:pPr>
        <w:bidi w:val="0"/>
        <w:rPr>
          <w:color w:val="auto"/>
          <w:highlight w:val="none"/>
        </w:rPr>
      </w:pPr>
      <w:r>
        <w:rPr>
          <w:rFonts w:hint="default"/>
          <w:color w:val="auto"/>
          <w:highlight w:val="none"/>
          <w:lang w:val="en-US" w:eastAsia="zh-CN"/>
        </w:rPr>
        <w:t>W</w:t>
      </w:r>
      <w:r>
        <w:rPr>
          <w:rFonts w:hint="default"/>
          <w:color w:val="auto"/>
          <w:highlight w:val="none"/>
          <w:vertAlign w:val="subscript"/>
          <w:lang w:val="en-US" w:eastAsia="zh-CN"/>
        </w:rPr>
        <w:t>V</w:t>
      </w:r>
      <w:r>
        <w:rPr>
          <w:rFonts w:hint="eastAsia"/>
          <w:color w:val="auto"/>
          <w:highlight w:val="none"/>
          <w:lang w:val="en-US" w:eastAsia="zh-CN"/>
        </w:rPr>
        <w:t>—</w:t>
      </w:r>
      <w:r>
        <w:rPr>
          <w:color w:val="auto"/>
          <w:highlight w:val="none"/>
          <w:lang w:val="en-US" w:eastAsia="zh-CN"/>
        </w:rPr>
        <w:t>气相密度，</w:t>
      </w:r>
      <w:r>
        <w:rPr>
          <w:rFonts w:hint="default"/>
          <w:color w:val="auto"/>
          <w:highlight w:val="none"/>
          <w:lang w:val="en-US" w:eastAsia="zh-CN"/>
        </w:rPr>
        <w:t>lb/ft</w:t>
      </w:r>
      <w:r>
        <w:rPr>
          <w:rFonts w:hint="default"/>
          <w:color w:val="auto"/>
          <w:highlight w:val="none"/>
          <w:vertAlign w:val="superscript"/>
          <w:lang w:val="en-US" w:eastAsia="zh-CN"/>
        </w:rPr>
        <w:t>3</w:t>
      </w:r>
      <w:r>
        <w:rPr>
          <w:rFonts w:hint="eastAsia"/>
          <w:color w:val="auto"/>
          <w:highlight w:val="none"/>
          <w:lang w:val="en-US" w:eastAsia="zh-CN"/>
        </w:rPr>
        <w:t>。</w:t>
      </w:r>
    </w:p>
    <w:p w14:paraId="1762B75B">
      <w:pPr>
        <w:bidi w:val="0"/>
        <w:rPr>
          <w:rFonts w:hint="default"/>
          <w:color w:val="auto"/>
          <w:highlight w:val="none"/>
          <w:lang w:val="en-US" w:eastAsia="zh-CN"/>
        </w:rPr>
      </w:pPr>
      <w:r>
        <w:rPr>
          <w:rFonts w:hint="eastAsia"/>
          <w:color w:val="auto"/>
          <w:highlight w:val="none"/>
          <w:lang w:val="en-US" w:eastAsia="zh-CN"/>
        </w:rPr>
        <w:t>经计算，本项目单个柴油储罐工作损耗量为0.1006t/a，静置损失为0.2129t/a，则加油过程中非甲烷总烃总产生量为0.627t/a，产生速率为0.0716kg/h，全部以无组织形式排放。</w:t>
      </w:r>
    </w:p>
    <w:p w14:paraId="156D81D1">
      <w:pPr>
        <w:pStyle w:val="7"/>
        <w:bidi w:val="0"/>
        <w:rPr>
          <w:rFonts w:hint="default"/>
          <w:color w:val="auto"/>
          <w:highlight w:val="none"/>
          <w:lang w:val="en-US" w:eastAsia="zh-CN"/>
        </w:rPr>
      </w:pPr>
      <w:r>
        <w:rPr>
          <w:rFonts w:hint="eastAsia"/>
          <w:color w:val="auto"/>
          <w:highlight w:val="none"/>
          <w:lang w:val="en-US" w:eastAsia="zh-CN"/>
        </w:rPr>
        <w:t>3.3.1.2选矿工程</w:t>
      </w:r>
    </w:p>
    <w:p w14:paraId="69D506D3">
      <w:pPr>
        <w:bidi w:val="0"/>
        <w:rPr>
          <w:rFonts w:hint="default" w:ascii="Times New Roman" w:hAnsi="Times New Roman" w:cs="Times New Roman"/>
          <w:color w:val="auto"/>
          <w:highlight w:val="none"/>
          <w:lang w:eastAsia="zh-CN"/>
        </w:rPr>
      </w:pPr>
      <w:r>
        <w:rPr>
          <w:rFonts w:hint="eastAsia"/>
          <w:color w:val="auto"/>
          <w:kern w:val="0"/>
          <w:highlight w:val="none"/>
        </w:rPr>
        <w:t>本项目</w:t>
      </w:r>
      <w:r>
        <w:rPr>
          <w:color w:val="auto"/>
          <w:kern w:val="0"/>
          <w:highlight w:val="none"/>
        </w:rPr>
        <w:t>大气污染</w:t>
      </w:r>
      <w:r>
        <w:rPr>
          <w:rFonts w:hint="eastAsia"/>
          <w:color w:val="auto"/>
          <w:kern w:val="0"/>
          <w:highlight w:val="none"/>
        </w:rPr>
        <w:t>主要</w:t>
      </w:r>
      <w:r>
        <w:rPr>
          <w:color w:val="auto"/>
          <w:kern w:val="0"/>
          <w:highlight w:val="none"/>
        </w:rPr>
        <w:t>来源于</w:t>
      </w:r>
      <w:r>
        <w:rPr>
          <w:rFonts w:hint="eastAsia"/>
          <w:color w:val="auto"/>
          <w:kern w:val="0"/>
          <w:highlight w:val="none"/>
          <w:lang w:val="en-US" w:eastAsia="zh-CN"/>
        </w:rPr>
        <w:t>矿石转运、</w:t>
      </w:r>
      <w:r>
        <w:rPr>
          <w:rFonts w:hint="eastAsia"/>
          <w:color w:val="auto"/>
          <w:kern w:val="0"/>
          <w:highlight w:val="none"/>
          <w:lang w:eastAsia="zh-CN"/>
        </w:rPr>
        <w:t>破碎、筛分过程、</w:t>
      </w:r>
      <w:r>
        <w:rPr>
          <w:rFonts w:hint="eastAsia"/>
          <w:color w:val="auto"/>
          <w:kern w:val="0"/>
          <w:highlight w:val="none"/>
        </w:rPr>
        <w:t>磨矿</w:t>
      </w:r>
      <w:r>
        <w:rPr>
          <w:rFonts w:hint="eastAsia"/>
          <w:color w:val="auto"/>
          <w:kern w:val="0"/>
          <w:highlight w:val="none"/>
          <w:lang w:eastAsia="zh-CN"/>
        </w:rPr>
        <w:t>分级</w:t>
      </w:r>
      <w:r>
        <w:rPr>
          <w:color w:val="auto"/>
          <w:kern w:val="0"/>
          <w:highlight w:val="none"/>
        </w:rPr>
        <w:t>过程中上料</w:t>
      </w:r>
      <w:r>
        <w:rPr>
          <w:rFonts w:hint="default" w:ascii="Times New Roman" w:hAnsi="Times New Roman" w:cs="Times New Roman"/>
          <w:color w:val="auto"/>
          <w:kern w:val="0"/>
          <w:highlight w:val="none"/>
        </w:rPr>
        <w:t>工序产生的</w:t>
      </w:r>
      <w:r>
        <w:rPr>
          <w:rFonts w:hint="default" w:ascii="Times New Roman" w:hAnsi="Times New Roman" w:cs="Times New Roman"/>
          <w:color w:val="auto"/>
          <w:kern w:val="0"/>
          <w:highlight w:val="none"/>
          <w:lang w:val="en-US" w:eastAsia="zh-CN"/>
        </w:rPr>
        <w:t>颗粒物、氟化物、硫酸储罐呼吸废气</w:t>
      </w:r>
      <w:r>
        <w:rPr>
          <w:rFonts w:hint="default" w:ascii="Times New Roman" w:hAnsi="Times New Roman" w:cs="Times New Roman"/>
          <w:color w:val="auto"/>
          <w:highlight w:val="none"/>
        </w:rPr>
        <w:t>等。</w:t>
      </w:r>
      <w:r>
        <w:rPr>
          <w:rFonts w:hint="default" w:ascii="Times New Roman" w:hAnsi="Times New Roman" w:cs="Times New Roman"/>
          <w:color w:val="auto"/>
          <w:highlight w:val="none"/>
          <w:lang w:eastAsia="zh-CN"/>
        </w:rPr>
        <w:t>精矿</w:t>
      </w:r>
      <w:r>
        <w:rPr>
          <w:rFonts w:hint="default" w:ascii="Times New Roman" w:hAnsi="Times New Roman" w:cs="Times New Roman"/>
          <w:color w:val="auto"/>
          <w:highlight w:val="none"/>
          <w:lang w:val="en-US" w:eastAsia="zh-CN"/>
        </w:rPr>
        <w:t>堆场</w:t>
      </w:r>
      <w:r>
        <w:rPr>
          <w:rFonts w:hint="default" w:ascii="Times New Roman" w:hAnsi="Times New Roman" w:cs="Times New Roman"/>
          <w:color w:val="auto"/>
          <w:highlight w:val="none"/>
          <w:lang w:eastAsia="zh-CN"/>
        </w:rPr>
        <w:t>采取密闭仓储，并且设置喷雾装置，粉尘排放忽略不计。</w:t>
      </w:r>
    </w:p>
    <w:p w14:paraId="0D9350DE">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粗矿仓粉尘</w:t>
      </w:r>
    </w:p>
    <w:p w14:paraId="4307047C">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①颗粒物</w:t>
      </w:r>
    </w:p>
    <w:p w14:paraId="4410F192">
      <w:pPr>
        <w:bidi w:val="0"/>
        <w:rPr>
          <w:rFonts w:hint="default" w:ascii="Times New Roman" w:hAnsi="Times New Roman" w:eastAsia="宋体" w:cs="Times New Roman"/>
          <w:b w:val="0"/>
          <w:bCs w:val="0"/>
          <w:color w:val="auto"/>
          <w:kern w:val="0"/>
          <w:sz w:val="24"/>
          <w:highlight w:val="none"/>
        </w:rPr>
      </w:pPr>
      <w:r>
        <w:rPr>
          <w:rFonts w:hint="eastAsia"/>
          <w:color w:val="auto"/>
          <w:highlight w:val="none"/>
          <w:lang w:val="en-US" w:eastAsia="zh-CN"/>
        </w:rPr>
        <w:t>项目粗矿仓主要用于粗矿暂存，污染物主要为粗矿进料、出料过程中产生的粉尘。</w:t>
      </w:r>
      <w:r>
        <w:rPr>
          <w:rFonts w:hint="default" w:ascii="Times New Roman" w:hAnsi="Times New Roman" w:eastAsia="宋体" w:cs="Times New Roman"/>
          <w:color w:val="auto"/>
          <w:sz w:val="24"/>
          <w:highlight w:val="none"/>
        </w:rPr>
        <w:t>项目年处理</w:t>
      </w:r>
      <w:r>
        <w:rPr>
          <w:rFonts w:hint="default" w:ascii="Times New Roman" w:hAnsi="Times New Roman" w:cs="Times New Roman"/>
          <w:color w:val="auto"/>
          <w:sz w:val="24"/>
          <w:highlight w:val="none"/>
          <w:lang w:eastAsia="zh-CN"/>
        </w:rPr>
        <w:t>萤石</w:t>
      </w:r>
      <w:r>
        <w:rPr>
          <w:rFonts w:hint="default" w:ascii="Times New Roman" w:hAnsi="Times New Roman" w:eastAsia="宋体" w:cs="Times New Roman"/>
          <w:color w:val="auto"/>
          <w:sz w:val="24"/>
          <w:highlight w:val="none"/>
          <w:lang w:eastAsia="zh-CN"/>
        </w:rPr>
        <w:t>矿</w:t>
      </w:r>
      <w:r>
        <w:rPr>
          <w:rFonts w:hint="default" w:ascii="Times New Roman" w:hAnsi="Times New Roman" w:eastAsia="宋体" w:cs="Times New Roman"/>
          <w:color w:val="auto"/>
          <w:sz w:val="24"/>
          <w:highlight w:val="none"/>
        </w:rPr>
        <w:t>石</w:t>
      </w:r>
      <w:r>
        <w:rPr>
          <w:rFonts w:hint="default" w:ascii="Times New Roman" w:hAnsi="Times New Roman" w:cs="Times New Roman"/>
          <w:color w:val="auto"/>
          <w:sz w:val="24"/>
          <w:highlight w:val="none"/>
          <w:lang w:val="en-US" w:eastAsia="zh-CN"/>
        </w:rPr>
        <w:t>12</w:t>
      </w:r>
      <w:r>
        <w:rPr>
          <w:rFonts w:hint="default" w:ascii="Times New Roman" w:hAnsi="Times New Roman" w:eastAsia="宋体" w:cs="Times New Roman"/>
          <w:color w:val="auto"/>
          <w:sz w:val="24"/>
          <w:highlight w:val="none"/>
          <w:lang w:val="en-US" w:eastAsia="zh-CN"/>
        </w:rPr>
        <w:t>0</w:t>
      </w:r>
      <w:r>
        <w:rPr>
          <w:rFonts w:hint="default" w:ascii="Times New Roman" w:hAnsi="Times New Roman" w:eastAsia="宋体" w:cs="Times New Roman"/>
          <w:color w:val="auto"/>
          <w:sz w:val="24"/>
          <w:highlight w:val="none"/>
        </w:rPr>
        <w:t>万</w:t>
      </w:r>
      <w:r>
        <w:rPr>
          <w:rFonts w:hint="default" w:ascii="Times New Roman" w:hAnsi="Times New Roman" w:eastAsia="宋体" w:cs="Times New Roman"/>
          <w:color w:val="auto"/>
          <w:sz w:val="24"/>
          <w:highlight w:val="none"/>
          <w:lang w:val="en-US" w:eastAsia="zh-CN"/>
        </w:rPr>
        <w:t>t</w:t>
      </w:r>
      <w:r>
        <w:rPr>
          <w:rFonts w:hint="default" w:ascii="Times New Roman" w:hAnsi="Times New Roman" w:cs="Times New Roman"/>
          <w:color w:val="auto"/>
          <w:sz w:val="24"/>
          <w:highlight w:val="none"/>
          <w:lang w:val="en-US" w:eastAsia="zh-CN"/>
        </w:rPr>
        <w:t>，粗矿落料、给料</w:t>
      </w:r>
      <w:r>
        <w:rPr>
          <w:rFonts w:hint="default" w:ascii="Times New Roman" w:hAnsi="Times New Roman" w:eastAsia="宋体" w:cs="Times New Roman"/>
          <w:color w:val="auto"/>
          <w:sz w:val="24"/>
          <w:highlight w:val="none"/>
          <w:lang w:val="en-US" w:eastAsia="zh-CN"/>
        </w:rPr>
        <w:t>过程中产生的颗粒物</w:t>
      </w:r>
      <w:r>
        <w:rPr>
          <w:rFonts w:hint="default" w:ascii="Times New Roman" w:hAnsi="Times New Roman" w:cs="Times New Roman"/>
          <w:color w:val="auto"/>
          <w:sz w:val="24"/>
          <w:highlight w:val="none"/>
          <w:lang w:eastAsia="zh-CN"/>
        </w:rPr>
        <w:t>参考</w:t>
      </w:r>
      <w:r>
        <w:rPr>
          <w:rFonts w:hint="default" w:ascii="Times New Roman" w:hAnsi="Times New Roman" w:cs="Times New Roman"/>
          <w:color w:val="auto"/>
          <w:szCs w:val="20"/>
          <w:highlight w:val="none"/>
        </w:rPr>
        <w:t>《逸散性工业粉尘控制技术》</w:t>
      </w:r>
      <w:r>
        <w:rPr>
          <w:rFonts w:hint="default" w:ascii="Times New Roman" w:hAnsi="Times New Roman" w:cs="Times New Roman"/>
          <w:color w:val="auto"/>
          <w:szCs w:val="20"/>
          <w:highlight w:val="none"/>
          <w:lang w:val="en-US" w:eastAsia="zh-CN"/>
        </w:rPr>
        <w:t>中石灰石卸料逸散排放因子0.05</w:t>
      </w:r>
      <w:r>
        <w:rPr>
          <w:rFonts w:hint="default" w:ascii="Times New Roman" w:hAnsi="Times New Roman" w:cs="Times New Roman"/>
          <w:color w:val="auto"/>
          <w:szCs w:val="20"/>
          <w:highlight w:val="none"/>
        </w:rPr>
        <w:t>kg/t计算，本项目</w:t>
      </w:r>
      <w:r>
        <w:rPr>
          <w:rFonts w:hint="default" w:ascii="Times New Roman" w:hAnsi="Times New Roman" w:cs="Times New Roman"/>
          <w:color w:val="auto"/>
          <w:kern w:val="0"/>
          <w:highlight w:val="none"/>
          <w:lang w:val="en-US" w:eastAsia="zh-CN"/>
        </w:rPr>
        <w:t>粗矿仓颗粒物总</w:t>
      </w:r>
      <w:r>
        <w:rPr>
          <w:rFonts w:hint="default" w:ascii="Times New Roman" w:hAnsi="Times New Roman" w:cs="Times New Roman"/>
          <w:color w:val="auto"/>
          <w:szCs w:val="20"/>
          <w:highlight w:val="none"/>
        </w:rPr>
        <w:t>产生量为</w:t>
      </w:r>
      <w:r>
        <w:rPr>
          <w:rFonts w:hint="default" w:ascii="Times New Roman" w:hAnsi="Times New Roman" w:cs="Times New Roman"/>
          <w:color w:val="auto"/>
          <w:szCs w:val="20"/>
          <w:highlight w:val="none"/>
          <w:lang w:val="en-US" w:eastAsia="zh-CN"/>
        </w:rPr>
        <w:t>60</w:t>
      </w:r>
      <w:r>
        <w:rPr>
          <w:rFonts w:hint="default" w:ascii="Times New Roman" w:hAnsi="Times New Roman" w:cs="Times New Roman"/>
          <w:color w:val="auto"/>
          <w:szCs w:val="20"/>
          <w:highlight w:val="none"/>
        </w:rPr>
        <w:t>t/a</w:t>
      </w:r>
      <w:r>
        <w:rPr>
          <w:rFonts w:hint="default" w:ascii="Times New Roman" w:hAnsi="Times New Roman" w:cs="Times New Roman"/>
          <w:color w:val="auto"/>
          <w:szCs w:val="20"/>
          <w:highlight w:val="none"/>
          <w:lang w:eastAsia="zh-CN"/>
        </w:rPr>
        <w:t>，</w:t>
      </w:r>
      <w:r>
        <w:rPr>
          <w:rFonts w:hint="default" w:ascii="Times New Roman" w:hAnsi="Times New Roman" w:eastAsia="宋体" w:cs="Times New Roman"/>
          <w:b w:val="0"/>
          <w:bCs w:val="0"/>
          <w:color w:val="auto"/>
          <w:kern w:val="0"/>
          <w:sz w:val="24"/>
          <w:szCs w:val="24"/>
          <w:highlight w:val="none"/>
          <w:lang w:val="en-US" w:eastAsia="zh-CN" w:bidi="ar"/>
        </w:rPr>
        <w:t>下料点、出料口等处均设除尘罩，设一套布袋除尘器处理后经15m高排气筒排放，集气罩收集效率按90%计，</w:t>
      </w:r>
      <w:r>
        <w:rPr>
          <w:rFonts w:hint="default" w:ascii="Times New Roman" w:hAnsi="Times New Roman" w:cs="Times New Roman"/>
          <w:b w:val="0"/>
          <w:bCs w:val="0"/>
          <w:color w:val="auto"/>
          <w:kern w:val="0"/>
          <w:sz w:val="24"/>
          <w:szCs w:val="24"/>
          <w:highlight w:val="none"/>
          <w:lang w:val="en-US" w:eastAsia="zh-CN" w:bidi="ar"/>
        </w:rPr>
        <w:t>则有组织颗粒物产生量为54t/a，产生速率为</w:t>
      </w:r>
      <w:r>
        <w:rPr>
          <w:rFonts w:hint="eastAsia" w:cs="Times New Roman"/>
          <w:b w:val="0"/>
          <w:bCs w:val="0"/>
          <w:color w:val="auto"/>
          <w:kern w:val="0"/>
          <w:sz w:val="24"/>
          <w:szCs w:val="24"/>
          <w:highlight w:val="none"/>
          <w:lang w:val="en-US" w:eastAsia="zh-CN" w:bidi="ar"/>
        </w:rPr>
        <w:t>7.5</w:t>
      </w:r>
      <w:r>
        <w:rPr>
          <w:rFonts w:hint="default" w:ascii="Times New Roman" w:hAnsi="Times New Roman" w:cs="Times New Roman"/>
          <w:b w:val="0"/>
          <w:bCs w:val="0"/>
          <w:color w:val="auto"/>
          <w:kern w:val="0"/>
          <w:sz w:val="24"/>
          <w:szCs w:val="24"/>
          <w:highlight w:val="none"/>
          <w:lang w:val="en-US" w:eastAsia="zh-CN" w:bidi="ar"/>
        </w:rPr>
        <w:t>kg/h，风机风量为</w:t>
      </w:r>
      <w:r>
        <w:rPr>
          <w:rFonts w:hint="eastAsia" w:cs="Times New Roman"/>
          <w:b w:val="0"/>
          <w:bCs w:val="0"/>
          <w:color w:val="auto"/>
          <w:kern w:val="0"/>
          <w:sz w:val="24"/>
          <w:szCs w:val="24"/>
          <w:highlight w:val="none"/>
          <w:lang w:val="en-US" w:eastAsia="zh-CN" w:bidi="ar"/>
        </w:rPr>
        <w:t>60</w:t>
      </w:r>
      <w:r>
        <w:rPr>
          <w:rFonts w:hint="default" w:ascii="Times New Roman" w:hAnsi="Times New Roman" w:cs="Times New Roman"/>
          <w:b w:val="0"/>
          <w:bCs w:val="0"/>
          <w:color w:val="auto"/>
          <w:kern w:val="0"/>
          <w:sz w:val="24"/>
          <w:szCs w:val="24"/>
          <w:highlight w:val="none"/>
          <w:lang w:val="en-US" w:eastAsia="zh-CN" w:bidi="ar"/>
        </w:rPr>
        <w:t>00</w:t>
      </w:r>
      <w:r>
        <w:rPr>
          <w:rFonts w:hint="default" w:ascii="Times New Roman" w:hAnsi="Times New Roman" w:eastAsia="宋体" w:cs="Times New Roman"/>
          <w:b w:val="0"/>
          <w:bCs w:val="0"/>
          <w:color w:val="auto"/>
          <w:kern w:val="0"/>
          <w:sz w:val="24"/>
          <w:highlight w:val="none"/>
        </w:rPr>
        <w:t>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vertAlign w:val="baseline"/>
          <w:lang w:val="en-US" w:eastAsia="zh-CN"/>
        </w:rPr>
        <w:t>/h</w:t>
      </w:r>
      <w:r>
        <w:rPr>
          <w:rFonts w:hint="default" w:ascii="Times New Roman" w:hAnsi="Times New Roman" w:cs="Times New Roman"/>
          <w:b w:val="0"/>
          <w:bCs w:val="0"/>
          <w:color w:val="auto"/>
          <w:kern w:val="0"/>
          <w:sz w:val="24"/>
          <w:szCs w:val="24"/>
          <w:highlight w:val="none"/>
          <w:lang w:val="en-US" w:eastAsia="zh-CN" w:bidi="ar"/>
        </w:rPr>
        <w:t>，则产生浓度为</w:t>
      </w:r>
      <w:r>
        <w:rPr>
          <w:rFonts w:hint="eastAsia" w:cs="Times New Roman"/>
          <w:b w:val="0"/>
          <w:bCs w:val="0"/>
          <w:color w:val="auto"/>
          <w:kern w:val="0"/>
          <w:sz w:val="24"/>
          <w:szCs w:val="24"/>
          <w:highlight w:val="none"/>
          <w:lang w:val="en-US" w:eastAsia="zh-CN" w:bidi="ar"/>
        </w:rPr>
        <w:t>1250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cs="Times New Roman"/>
          <w:b w:val="0"/>
          <w:bCs w:val="0"/>
          <w:color w:val="auto"/>
          <w:kern w:val="0"/>
          <w:sz w:val="24"/>
          <w:szCs w:val="24"/>
          <w:highlight w:val="none"/>
          <w:lang w:val="en-US" w:eastAsia="zh-CN" w:bidi="ar"/>
        </w:rPr>
        <w:t>，</w:t>
      </w:r>
      <w:r>
        <w:rPr>
          <w:rFonts w:hint="default" w:ascii="Times New Roman" w:hAnsi="Times New Roman" w:cs="Times New Roman"/>
          <w:color w:val="auto"/>
          <w:highlight w:val="none"/>
        </w:rPr>
        <w:t>布袋除尘器</w:t>
      </w:r>
      <w:r>
        <w:rPr>
          <w:rFonts w:hint="default" w:ascii="Times New Roman" w:hAnsi="Times New Roman" w:eastAsia="宋体" w:cs="Times New Roman"/>
          <w:b w:val="0"/>
          <w:bCs w:val="0"/>
          <w:color w:val="auto"/>
          <w:kern w:val="0"/>
          <w:sz w:val="24"/>
          <w:szCs w:val="24"/>
          <w:highlight w:val="none"/>
          <w:lang w:val="en-US" w:eastAsia="zh-CN" w:bidi="ar"/>
        </w:rPr>
        <w:t>除尘效率</w:t>
      </w:r>
      <w:r>
        <w:rPr>
          <w:rFonts w:hint="default" w:ascii="Times New Roman" w:hAnsi="Times New Roman" w:cs="Times New Roman"/>
          <w:b w:val="0"/>
          <w:bCs w:val="0"/>
          <w:color w:val="auto"/>
          <w:kern w:val="0"/>
          <w:sz w:val="24"/>
          <w:szCs w:val="24"/>
          <w:highlight w:val="none"/>
          <w:lang w:val="en-US" w:eastAsia="zh-CN" w:bidi="ar"/>
        </w:rPr>
        <w:t>按</w:t>
      </w:r>
      <w:r>
        <w:rPr>
          <w:rFonts w:hint="default" w:ascii="Times New Roman" w:hAnsi="Times New Roman" w:eastAsia="宋体" w:cs="Times New Roman"/>
          <w:b w:val="0"/>
          <w:bCs w:val="0"/>
          <w:color w:val="auto"/>
          <w:kern w:val="0"/>
          <w:sz w:val="24"/>
          <w:szCs w:val="24"/>
          <w:highlight w:val="none"/>
          <w:lang w:val="en-US" w:eastAsia="zh-CN" w:bidi="ar"/>
        </w:rPr>
        <w:t>99</w:t>
      </w:r>
      <w:r>
        <w:rPr>
          <w:rFonts w:hint="eastAsia" w:cs="Times New Roman"/>
          <w:b w:val="0"/>
          <w:bCs w:val="0"/>
          <w:color w:val="auto"/>
          <w:kern w:val="0"/>
          <w:sz w:val="24"/>
          <w:szCs w:val="24"/>
          <w:highlight w:val="none"/>
          <w:lang w:val="en-US" w:eastAsia="zh-CN" w:bidi="ar"/>
        </w:rPr>
        <w:t>.9</w:t>
      </w:r>
      <w:r>
        <w:rPr>
          <w:rFonts w:hint="default" w:ascii="Times New Roman" w:hAnsi="Times New Roman" w:eastAsia="宋体" w:cs="Times New Roman"/>
          <w:b w:val="0"/>
          <w:bCs w:val="0"/>
          <w:color w:val="auto"/>
          <w:kern w:val="0"/>
          <w:sz w:val="24"/>
          <w:szCs w:val="24"/>
          <w:highlight w:val="none"/>
          <w:lang w:val="en-US" w:eastAsia="zh-CN" w:bidi="ar"/>
        </w:rPr>
        <w:t>%</w:t>
      </w:r>
      <w:r>
        <w:rPr>
          <w:rFonts w:hint="default" w:ascii="Times New Roman" w:hAnsi="Times New Roman" w:cs="Times New Roman"/>
          <w:b w:val="0"/>
          <w:bCs w:val="0"/>
          <w:color w:val="auto"/>
          <w:kern w:val="0"/>
          <w:sz w:val="24"/>
          <w:szCs w:val="24"/>
          <w:highlight w:val="none"/>
          <w:lang w:val="en-US" w:eastAsia="zh-CN" w:bidi="ar"/>
        </w:rPr>
        <w:t>计，则该工段有组织颗粒物排放量为0.</w:t>
      </w:r>
      <w:r>
        <w:rPr>
          <w:rFonts w:hint="eastAsia" w:cs="Times New Roman"/>
          <w:b w:val="0"/>
          <w:bCs w:val="0"/>
          <w:color w:val="auto"/>
          <w:kern w:val="0"/>
          <w:sz w:val="24"/>
          <w:szCs w:val="24"/>
          <w:highlight w:val="none"/>
          <w:lang w:val="en-US" w:eastAsia="zh-CN" w:bidi="ar"/>
        </w:rPr>
        <w:t>0</w:t>
      </w:r>
      <w:r>
        <w:rPr>
          <w:rFonts w:hint="default" w:ascii="Times New Roman" w:hAnsi="Times New Roman" w:cs="Times New Roman"/>
          <w:b w:val="0"/>
          <w:bCs w:val="0"/>
          <w:color w:val="auto"/>
          <w:kern w:val="0"/>
          <w:sz w:val="24"/>
          <w:szCs w:val="24"/>
          <w:highlight w:val="none"/>
          <w:lang w:val="en-US" w:eastAsia="zh-CN" w:bidi="ar"/>
        </w:rPr>
        <w:t>54</w:t>
      </w:r>
      <w:r>
        <w:rPr>
          <w:rFonts w:hint="default" w:ascii="Times New Roman" w:hAnsi="Times New Roman" w:cs="Times New Roman"/>
          <w:b w:val="0"/>
          <w:bCs w:val="0"/>
          <w:color w:val="auto"/>
          <w:sz w:val="24"/>
          <w:szCs w:val="24"/>
          <w:highlight w:val="none"/>
          <w:lang w:val="en-US" w:eastAsia="zh-CN"/>
        </w:rPr>
        <w:t>t/a</w:t>
      </w:r>
      <w:r>
        <w:rPr>
          <w:rFonts w:hint="default" w:ascii="Times New Roman" w:hAnsi="Times New Roman" w:cs="Times New Roman"/>
          <w:b w:val="0"/>
          <w:bCs w:val="0"/>
          <w:color w:val="auto"/>
          <w:kern w:val="0"/>
          <w:sz w:val="24"/>
          <w:szCs w:val="24"/>
          <w:highlight w:val="none"/>
          <w:lang w:val="en-US" w:eastAsia="zh-CN" w:bidi="ar"/>
        </w:rPr>
        <w:t>，排放速率为0.</w:t>
      </w:r>
      <w:r>
        <w:rPr>
          <w:rFonts w:hint="eastAsia" w:cs="Times New Roman"/>
          <w:b w:val="0"/>
          <w:bCs w:val="0"/>
          <w:color w:val="auto"/>
          <w:kern w:val="0"/>
          <w:sz w:val="24"/>
          <w:szCs w:val="24"/>
          <w:highlight w:val="none"/>
          <w:lang w:val="en-US" w:eastAsia="zh-CN" w:bidi="ar"/>
        </w:rPr>
        <w:t>0075</w:t>
      </w:r>
      <w:r>
        <w:rPr>
          <w:rFonts w:hint="default" w:ascii="Times New Roman" w:hAnsi="Times New Roman" w:eastAsia="宋体" w:cs="Times New Roman"/>
          <w:b w:val="0"/>
          <w:bCs w:val="0"/>
          <w:color w:val="auto"/>
          <w:sz w:val="24"/>
          <w:szCs w:val="24"/>
          <w:highlight w:val="none"/>
          <w:lang w:val="en-US" w:eastAsia="zh-CN"/>
        </w:rPr>
        <w:t>kg/h</w:t>
      </w:r>
      <w:r>
        <w:rPr>
          <w:rFonts w:hint="default" w:ascii="Times New Roman" w:hAnsi="Times New Roman" w:cs="Times New Roman"/>
          <w:b w:val="0"/>
          <w:bCs w:val="0"/>
          <w:color w:val="auto"/>
          <w:kern w:val="0"/>
          <w:sz w:val="24"/>
          <w:szCs w:val="24"/>
          <w:highlight w:val="none"/>
          <w:lang w:val="en-US" w:eastAsia="zh-CN" w:bidi="ar"/>
        </w:rPr>
        <w:t>，排放浓度为</w:t>
      </w:r>
      <w:r>
        <w:rPr>
          <w:rFonts w:hint="eastAsia" w:cs="Times New Roman"/>
          <w:b w:val="0"/>
          <w:bCs w:val="0"/>
          <w:color w:val="auto"/>
          <w:kern w:val="0"/>
          <w:sz w:val="24"/>
          <w:szCs w:val="24"/>
          <w:highlight w:val="none"/>
          <w:lang w:val="en-US" w:eastAsia="zh-CN" w:bidi="ar"/>
        </w:rPr>
        <w:t>1.25</w:t>
      </w:r>
      <w:r>
        <w:rPr>
          <w:rFonts w:hint="default" w:ascii="Times New Roman" w:hAnsi="Times New Roman" w:cs="Times New Roman"/>
          <w:b w:val="0"/>
          <w:bCs w:val="0"/>
          <w:color w:val="auto"/>
          <w:sz w:val="24"/>
          <w:szCs w:val="24"/>
          <w:highlight w:val="none"/>
        </w:rPr>
        <w:t>mg/m</w:t>
      </w:r>
      <w:r>
        <w:rPr>
          <w:rFonts w:hint="default" w:ascii="Times New Roman" w:hAnsi="Times New Roman" w:cs="Times New Roman"/>
          <w:b w:val="0"/>
          <w:bCs w:val="0"/>
          <w:color w:val="auto"/>
          <w:sz w:val="24"/>
          <w:szCs w:val="24"/>
          <w:highlight w:val="none"/>
          <w:vertAlign w:val="superscript"/>
        </w:rPr>
        <w:t>3</w:t>
      </w:r>
      <w:r>
        <w:rPr>
          <w:rFonts w:hint="default" w:ascii="Times New Roman" w:hAnsi="Times New Roman" w:cs="Times New Roman"/>
          <w:b w:val="0"/>
          <w:bCs w:val="0"/>
          <w:color w:val="auto"/>
          <w:kern w:val="0"/>
          <w:sz w:val="24"/>
          <w:szCs w:val="24"/>
          <w:highlight w:val="none"/>
          <w:lang w:val="en-US" w:eastAsia="zh-CN" w:bidi="ar"/>
        </w:rPr>
        <w:t>，满足</w:t>
      </w:r>
      <w:r>
        <w:rPr>
          <w:rFonts w:hint="default" w:ascii="Times New Roman" w:hAnsi="Times New Roman" w:eastAsia="宋体" w:cs="Times New Roman"/>
          <w:b w:val="0"/>
          <w:bCs w:val="0"/>
          <w:color w:val="auto"/>
          <w:kern w:val="0"/>
          <w:sz w:val="24"/>
          <w:highlight w:val="none"/>
        </w:rPr>
        <w:t>《大气污染物综合排放标准》（GB16297-1996）中的要求（颗粒物</w:t>
      </w:r>
      <w:r>
        <w:rPr>
          <w:rFonts w:hint="default" w:ascii="Times New Roman" w:hAnsi="Times New Roman" w:cs="Times New Roman"/>
          <w:b w:val="0"/>
          <w:bCs w:val="0"/>
          <w:color w:val="auto"/>
          <w:kern w:val="0"/>
          <w:sz w:val="24"/>
          <w:highlight w:val="none"/>
          <w:lang w:eastAsia="zh-CN"/>
        </w:rPr>
        <w:t>排放速率</w:t>
      </w:r>
      <w:r>
        <w:rPr>
          <w:rFonts w:hint="default" w:ascii="Times New Roman" w:hAnsi="Times New Roman" w:cs="Times New Roman"/>
          <w:b w:val="0"/>
          <w:bCs w:val="0"/>
          <w:color w:val="auto"/>
          <w:kern w:val="0"/>
          <w:sz w:val="24"/>
          <w:highlight w:val="none"/>
          <w:lang w:val="en-US" w:eastAsia="zh-CN"/>
        </w:rPr>
        <w:t>3.5kg/h，</w:t>
      </w:r>
      <w:r>
        <w:rPr>
          <w:rFonts w:hint="default" w:ascii="Times New Roman" w:hAnsi="Times New Roman" w:cs="Times New Roman"/>
          <w:b w:val="0"/>
          <w:bCs w:val="0"/>
          <w:color w:val="auto"/>
          <w:kern w:val="0"/>
          <w:sz w:val="24"/>
          <w:highlight w:val="none"/>
          <w:lang w:eastAsia="zh-CN"/>
        </w:rPr>
        <w:t>排放浓度</w:t>
      </w:r>
      <w:r>
        <w:rPr>
          <w:rFonts w:hint="default" w:ascii="Times New Roman" w:hAnsi="Times New Roman" w:cs="Times New Roman"/>
          <w:b w:val="0"/>
          <w:bCs w:val="0"/>
          <w:color w:val="auto"/>
          <w:kern w:val="0"/>
          <w:sz w:val="24"/>
          <w:highlight w:val="none"/>
          <w:lang w:val="en-US" w:eastAsia="zh-CN"/>
        </w:rPr>
        <w:t>120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p>
    <w:p w14:paraId="039C77DB">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未被收集的粉尘全部无组织排放，</w:t>
      </w:r>
      <w:r>
        <w:rPr>
          <w:rFonts w:hint="default" w:ascii="Times New Roman" w:hAnsi="Times New Roman" w:cs="Times New Roman"/>
          <w:snapToGrid w:val="0"/>
          <w:color w:val="auto"/>
          <w:spacing w:val="0"/>
          <w:kern w:val="0"/>
          <w:sz w:val="24"/>
          <w:szCs w:val="24"/>
          <w:highlight w:val="none"/>
          <w:lang w:val="en-US" w:eastAsia="zh-CN"/>
        </w:rPr>
        <w:t>则该工段无组织颗粒物排放量为6t/a，排放速率为</w:t>
      </w:r>
      <w:r>
        <w:rPr>
          <w:rFonts w:hint="eastAsia" w:cs="Times New Roman"/>
          <w:snapToGrid w:val="0"/>
          <w:color w:val="auto"/>
          <w:spacing w:val="0"/>
          <w:kern w:val="0"/>
          <w:sz w:val="24"/>
          <w:szCs w:val="24"/>
          <w:highlight w:val="none"/>
          <w:lang w:val="en-US" w:eastAsia="zh-CN"/>
        </w:rPr>
        <w:t>0.8333</w:t>
      </w:r>
      <w:r>
        <w:rPr>
          <w:rFonts w:hint="default" w:ascii="Times New Roman" w:hAnsi="Times New Roman" w:cs="Times New Roman"/>
          <w:snapToGrid w:val="0"/>
          <w:color w:val="auto"/>
          <w:spacing w:val="0"/>
          <w:kern w:val="0"/>
          <w:sz w:val="24"/>
          <w:szCs w:val="24"/>
          <w:highlight w:val="none"/>
          <w:lang w:val="en-US" w:eastAsia="zh-CN"/>
        </w:rPr>
        <w:t>kg/h。</w:t>
      </w:r>
      <w:r>
        <w:rPr>
          <w:rFonts w:hint="default" w:ascii="Times New Roman" w:hAnsi="Times New Roman" w:cs="Times New Roman"/>
          <w:b w:val="0"/>
          <w:bCs w:val="0"/>
          <w:color w:val="auto"/>
          <w:sz w:val="24"/>
          <w:szCs w:val="24"/>
          <w:highlight w:val="none"/>
          <w:lang w:val="en-US" w:eastAsia="zh-CN"/>
        </w:rPr>
        <w:t>本项目生产车间均为密闭厂房，</w:t>
      </w:r>
      <w:r>
        <w:rPr>
          <w:rFonts w:hint="default" w:ascii="Times New Roman" w:hAnsi="Times New Roman" w:eastAsia="宋体" w:cs="Times New Roman"/>
          <w:b w:val="0"/>
          <w:bCs w:val="0"/>
          <w:color w:val="auto"/>
          <w:sz w:val="24"/>
          <w:highlight w:val="none"/>
          <w:lang w:val="en-US" w:eastAsia="zh-CN"/>
        </w:rPr>
        <w:t>参考《排放源统计调查产排污核算方法和系数手册》附表2固体物料堆存颗粒物产排污核算系数手册，</w:t>
      </w:r>
      <w:r>
        <w:rPr>
          <w:rFonts w:hint="default" w:ascii="Times New Roman" w:hAnsi="Times New Roman" w:cs="Times New Roman"/>
          <w:b w:val="0"/>
          <w:bCs w:val="0"/>
          <w:color w:val="auto"/>
          <w:sz w:val="24"/>
          <w:highlight w:val="none"/>
          <w:lang w:val="en-US" w:eastAsia="zh-CN"/>
        </w:rPr>
        <w:t>全封闭厂房粉尘控制</w:t>
      </w:r>
      <w:r>
        <w:rPr>
          <w:rFonts w:hint="default" w:ascii="Times New Roman" w:hAnsi="Times New Roman" w:eastAsia="宋体" w:cs="Times New Roman"/>
          <w:b w:val="0"/>
          <w:bCs w:val="0"/>
          <w:color w:val="auto"/>
          <w:sz w:val="24"/>
          <w:highlight w:val="none"/>
          <w:lang w:val="en-US" w:eastAsia="zh-CN"/>
        </w:rPr>
        <w:t>效率为</w:t>
      </w:r>
      <w:r>
        <w:rPr>
          <w:rFonts w:hint="default" w:ascii="Times New Roman" w:hAnsi="Times New Roman" w:cs="Times New Roman"/>
          <w:b w:val="0"/>
          <w:bCs w:val="0"/>
          <w:color w:val="auto"/>
          <w:sz w:val="24"/>
          <w:highlight w:val="none"/>
          <w:lang w:val="en-US" w:eastAsia="zh-CN"/>
        </w:rPr>
        <w:t>99</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color w:val="auto"/>
          <w:sz w:val="24"/>
          <w:highlight w:val="none"/>
          <w:lang w:val="en-US" w:eastAsia="zh-CN"/>
        </w:rPr>
        <w:t>，</w:t>
      </w:r>
      <w:r>
        <w:rPr>
          <w:rFonts w:hint="default" w:ascii="Times New Roman" w:hAnsi="Times New Roman" w:cs="Times New Roman"/>
          <w:snapToGrid w:val="0"/>
          <w:color w:val="auto"/>
          <w:spacing w:val="0"/>
          <w:kern w:val="0"/>
          <w:sz w:val="24"/>
          <w:szCs w:val="24"/>
          <w:highlight w:val="none"/>
          <w:lang w:val="en-US" w:eastAsia="zh-CN"/>
        </w:rPr>
        <w:t>则中细碎工序无组织颗粒物排放量为0.06t/a，排放速率为0.</w:t>
      </w:r>
      <w:r>
        <w:rPr>
          <w:rFonts w:hint="eastAsia" w:cs="Times New Roman"/>
          <w:snapToGrid w:val="0"/>
          <w:color w:val="auto"/>
          <w:spacing w:val="0"/>
          <w:kern w:val="0"/>
          <w:sz w:val="24"/>
          <w:szCs w:val="24"/>
          <w:highlight w:val="none"/>
          <w:lang w:val="en-US" w:eastAsia="zh-CN"/>
        </w:rPr>
        <w:t>0083</w:t>
      </w:r>
      <w:r>
        <w:rPr>
          <w:rFonts w:hint="default" w:ascii="Times New Roman" w:hAnsi="Times New Roman" w:cs="Times New Roman"/>
          <w:snapToGrid w:val="0"/>
          <w:color w:val="auto"/>
          <w:spacing w:val="0"/>
          <w:kern w:val="0"/>
          <w:sz w:val="24"/>
          <w:szCs w:val="24"/>
          <w:highlight w:val="none"/>
          <w:lang w:val="en-US" w:eastAsia="zh-CN"/>
        </w:rPr>
        <w:t>kg/h。</w:t>
      </w:r>
    </w:p>
    <w:p w14:paraId="50B63F49">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②氟化物</w:t>
      </w:r>
    </w:p>
    <w:p w14:paraId="0E5DED57">
      <w:pPr>
        <w:bidi w:val="0"/>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项目矿石中氟化物含量占比15.78%，则</w:t>
      </w:r>
      <w:r>
        <w:rPr>
          <w:rFonts w:hint="default" w:ascii="Times New Roman" w:hAnsi="Times New Roman" w:cs="Times New Roman"/>
          <w:color w:val="auto"/>
          <w:sz w:val="24"/>
          <w:szCs w:val="24"/>
          <w:highlight w:val="none"/>
          <w:vertAlign w:val="baseline"/>
          <w:lang w:val="en-US" w:eastAsia="zh-CN"/>
        </w:rPr>
        <w:t>有组织氟化物</w:t>
      </w:r>
      <w:r>
        <w:rPr>
          <w:rFonts w:hint="default" w:ascii="Times New Roman" w:hAnsi="Times New Roman" w:cs="Times New Roman"/>
          <w:color w:val="auto"/>
          <w:kern w:val="0"/>
          <w:sz w:val="24"/>
          <w:szCs w:val="24"/>
          <w:highlight w:val="none"/>
          <w:lang w:val="en-US" w:eastAsia="zh-CN" w:bidi="ar"/>
        </w:rPr>
        <w:t>产生量为</w:t>
      </w:r>
      <w:r>
        <w:rPr>
          <w:rFonts w:hint="eastAsia" w:cs="Times New Roman"/>
          <w:color w:val="auto"/>
          <w:kern w:val="0"/>
          <w:sz w:val="24"/>
          <w:szCs w:val="24"/>
          <w:highlight w:val="none"/>
          <w:lang w:val="en-US" w:eastAsia="zh-CN" w:bidi="ar"/>
        </w:rPr>
        <w:t>8.5212</w:t>
      </w:r>
      <w:r>
        <w:rPr>
          <w:rFonts w:hint="default" w:ascii="Times New Roman" w:hAnsi="Times New Roman" w:cs="Times New Roman"/>
          <w:color w:val="auto"/>
          <w:kern w:val="0"/>
          <w:sz w:val="24"/>
          <w:szCs w:val="24"/>
          <w:highlight w:val="none"/>
          <w:lang w:val="en-US" w:eastAsia="zh-CN" w:bidi="ar"/>
        </w:rPr>
        <w:t>t/a，产生速率为</w:t>
      </w:r>
      <w:r>
        <w:rPr>
          <w:rFonts w:hint="eastAsia" w:cs="Times New Roman"/>
          <w:color w:val="auto"/>
          <w:kern w:val="0"/>
          <w:sz w:val="24"/>
          <w:szCs w:val="24"/>
          <w:highlight w:val="none"/>
          <w:lang w:val="en-US" w:eastAsia="zh-CN" w:bidi="ar"/>
        </w:rPr>
        <w:t>1.1835</w:t>
      </w:r>
      <w:r>
        <w:rPr>
          <w:rFonts w:hint="default" w:ascii="Times New Roman" w:hAnsi="Times New Roman" w:cs="Times New Roman"/>
          <w:color w:val="auto"/>
          <w:kern w:val="0"/>
          <w:sz w:val="24"/>
          <w:szCs w:val="24"/>
          <w:highlight w:val="none"/>
          <w:lang w:val="en-US" w:eastAsia="zh-CN" w:bidi="ar"/>
        </w:rPr>
        <w:t>kg/h，产生浓度为</w:t>
      </w:r>
      <w:r>
        <w:rPr>
          <w:rFonts w:hint="eastAsia" w:cs="Times New Roman"/>
          <w:color w:val="auto"/>
          <w:kern w:val="0"/>
          <w:sz w:val="24"/>
          <w:szCs w:val="24"/>
          <w:highlight w:val="none"/>
          <w:lang w:val="en-US" w:eastAsia="zh-CN" w:bidi="ar"/>
        </w:rPr>
        <w:t>197.25</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cs="Times New Roman"/>
          <w:color w:val="auto"/>
          <w:sz w:val="24"/>
          <w:szCs w:val="24"/>
          <w:highlight w:val="none"/>
          <w:vertAlign w:val="baseline"/>
          <w:lang w:val="en-US" w:eastAsia="zh-CN"/>
        </w:rPr>
        <w:t>，经</w:t>
      </w:r>
      <w:r>
        <w:rPr>
          <w:rFonts w:hint="default" w:ascii="Times New Roman" w:hAnsi="Times New Roman" w:eastAsia="宋体" w:cs="Times New Roman"/>
          <w:color w:val="auto"/>
          <w:kern w:val="0"/>
          <w:sz w:val="24"/>
          <w:szCs w:val="24"/>
          <w:highlight w:val="none"/>
          <w:lang w:val="en-US" w:eastAsia="zh-CN" w:bidi="ar"/>
        </w:rPr>
        <w:t>布袋除尘器处理后，排放量为</w:t>
      </w:r>
      <w:r>
        <w:rPr>
          <w:rFonts w:hint="eastAsia" w:cs="Times New Roman"/>
          <w:color w:val="auto"/>
          <w:kern w:val="0"/>
          <w:sz w:val="24"/>
          <w:szCs w:val="24"/>
          <w:highlight w:val="none"/>
          <w:lang w:val="en-US" w:eastAsia="zh-CN" w:bidi="ar"/>
        </w:rPr>
        <w:t>0.0085</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eastAsia="宋体" w:cs="Times New Roman"/>
          <w:color w:val="auto"/>
          <w:kern w:val="0"/>
          <w:sz w:val="24"/>
          <w:szCs w:val="24"/>
          <w:highlight w:val="none"/>
          <w:lang w:val="en-US" w:eastAsia="zh-CN" w:bidi="ar"/>
        </w:rPr>
        <w:t>，排放速率为0.</w:t>
      </w:r>
      <w:r>
        <w:rPr>
          <w:rFonts w:hint="eastAsia" w:cs="Times New Roman"/>
          <w:color w:val="auto"/>
          <w:kern w:val="0"/>
          <w:sz w:val="24"/>
          <w:szCs w:val="24"/>
          <w:highlight w:val="none"/>
          <w:lang w:val="en-US" w:eastAsia="zh-CN" w:bidi="ar"/>
        </w:rPr>
        <w:t>0012</w:t>
      </w:r>
      <w:r>
        <w:rPr>
          <w:rFonts w:hint="default" w:ascii="Times New Roman" w:hAnsi="Times New Roman" w:cs="Times New Roman"/>
          <w:color w:val="auto"/>
          <w:kern w:val="0"/>
          <w:sz w:val="24"/>
          <w:szCs w:val="24"/>
          <w:highlight w:val="none"/>
          <w:lang w:val="en-US" w:eastAsia="zh-CN" w:bidi="ar"/>
        </w:rPr>
        <w:t>kg/h</w:t>
      </w:r>
      <w:r>
        <w:rPr>
          <w:rFonts w:hint="default" w:ascii="Times New Roman" w:hAnsi="Times New Roman" w:eastAsia="宋体" w:cs="Times New Roman"/>
          <w:color w:val="auto"/>
          <w:kern w:val="0"/>
          <w:sz w:val="24"/>
          <w:szCs w:val="24"/>
          <w:highlight w:val="none"/>
          <w:lang w:val="en-US" w:eastAsia="zh-CN" w:bidi="ar"/>
        </w:rPr>
        <w:t>，排放浓度为</w:t>
      </w:r>
      <w:r>
        <w:rPr>
          <w:rFonts w:hint="eastAsia" w:cs="Times New Roman"/>
          <w:color w:val="auto"/>
          <w:kern w:val="0"/>
          <w:sz w:val="24"/>
          <w:szCs w:val="24"/>
          <w:highlight w:val="none"/>
          <w:lang w:val="en-US" w:eastAsia="zh-CN" w:bidi="ar"/>
        </w:rPr>
        <w:t>0.1972</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cs="Times New Roman"/>
          <w:color w:val="auto"/>
          <w:sz w:val="24"/>
          <w:szCs w:val="24"/>
          <w:highlight w:val="none"/>
          <w:vertAlign w:val="baseline"/>
          <w:lang w:eastAsia="zh-CN"/>
        </w:rPr>
        <w:t>。</w:t>
      </w:r>
      <w:r>
        <w:rPr>
          <w:rFonts w:hint="default" w:ascii="Times New Roman" w:hAnsi="Times New Roman" w:cs="Times New Roman"/>
          <w:color w:val="auto"/>
          <w:sz w:val="24"/>
          <w:szCs w:val="24"/>
          <w:highlight w:val="none"/>
        </w:rPr>
        <w:t>满足《大气污染物综合排放标准》（GB16297-1996）中新污染源大气污染物排放限值</w:t>
      </w:r>
      <w:r>
        <w:rPr>
          <w:rFonts w:hint="default" w:ascii="Times New Roman" w:hAnsi="Times New Roman" w:cs="Times New Roman"/>
          <w:color w:val="auto"/>
          <w:sz w:val="24"/>
          <w:szCs w:val="24"/>
          <w:highlight w:val="none"/>
          <w:lang w:val="en-US" w:eastAsia="zh-CN"/>
        </w:rPr>
        <w:t>要求（</w:t>
      </w:r>
      <w:r>
        <w:rPr>
          <w:rFonts w:hint="default" w:ascii="Times New Roman" w:hAnsi="Times New Roman" w:cs="Times New Roman"/>
          <w:b w:val="0"/>
          <w:bCs w:val="0"/>
          <w:color w:val="auto"/>
          <w:kern w:val="0"/>
          <w:sz w:val="24"/>
          <w:highlight w:val="none"/>
          <w:vertAlign w:val="baseline"/>
          <w:lang w:eastAsia="zh-CN"/>
        </w:rPr>
        <w:t>氟化物</w:t>
      </w:r>
      <w:r>
        <w:rPr>
          <w:rFonts w:hint="default" w:ascii="Times New Roman" w:hAnsi="Times New Roman" w:cs="Times New Roman"/>
          <w:b w:val="0"/>
          <w:bCs w:val="0"/>
          <w:color w:val="auto"/>
          <w:kern w:val="0"/>
          <w:sz w:val="24"/>
          <w:highlight w:val="none"/>
          <w:lang w:eastAsia="zh-CN"/>
        </w:rPr>
        <w:t>排放速率</w:t>
      </w:r>
      <w:r>
        <w:rPr>
          <w:rFonts w:hint="default" w:ascii="Times New Roman" w:hAnsi="Times New Roman" w:cs="Times New Roman"/>
          <w:b w:val="0"/>
          <w:bCs w:val="0"/>
          <w:color w:val="auto"/>
          <w:kern w:val="0"/>
          <w:sz w:val="24"/>
          <w:highlight w:val="none"/>
          <w:lang w:val="en-US" w:eastAsia="zh-CN"/>
        </w:rPr>
        <w:t>0.1kg/h，</w:t>
      </w:r>
      <w:r>
        <w:rPr>
          <w:rFonts w:hint="default" w:ascii="Times New Roman" w:hAnsi="Times New Roman" w:cs="Times New Roman"/>
          <w:b w:val="0"/>
          <w:bCs w:val="0"/>
          <w:color w:val="auto"/>
          <w:kern w:val="0"/>
          <w:sz w:val="24"/>
          <w:highlight w:val="none"/>
          <w:lang w:eastAsia="zh-CN"/>
        </w:rPr>
        <w:t>排放浓度</w:t>
      </w:r>
      <w:r>
        <w:rPr>
          <w:rFonts w:hint="default" w:ascii="Times New Roman" w:hAnsi="Times New Roman" w:cs="Times New Roman"/>
          <w:b w:val="0"/>
          <w:bCs w:val="0"/>
          <w:color w:val="auto"/>
          <w:kern w:val="0"/>
          <w:sz w:val="24"/>
          <w:highlight w:val="none"/>
          <w:lang w:val="en-US" w:eastAsia="zh-CN"/>
        </w:rPr>
        <w:t>9.0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r>
        <w:rPr>
          <w:rFonts w:hint="default" w:ascii="Times New Roman" w:hAnsi="Times New Roman" w:cs="Times New Roman"/>
          <w:color w:val="auto"/>
          <w:sz w:val="24"/>
          <w:szCs w:val="24"/>
          <w:highlight w:val="none"/>
          <w:lang w:val="en-US" w:eastAsia="zh-CN"/>
        </w:rPr>
        <w:t>。</w:t>
      </w:r>
    </w:p>
    <w:p w14:paraId="097B394F">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val="en-US" w:eastAsia="zh-CN"/>
        </w:rPr>
        <w:t>该工段无组织氟化物产生量为0.94</w:t>
      </w:r>
      <w:r>
        <w:rPr>
          <w:rFonts w:hint="eastAsia" w:cs="Times New Roman"/>
          <w:color w:val="auto"/>
          <w:sz w:val="24"/>
          <w:szCs w:val="24"/>
          <w:highlight w:val="none"/>
          <w:lang w:val="en-US" w:eastAsia="zh-CN"/>
        </w:rPr>
        <w:t>68</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cs="Times New Roman"/>
          <w:color w:val="auto"/>
          <w:sz w:val="24"/>
          <w:szCs w:val="24"/>
          <w:highlight w:val="none"/>
          <w:lang w:val="en-US" w:eastAsia="zh-CN"/>
        </w:rPr>
        <w:t>，产生速率为</w:t>
      </w:r>
      <w:r>
        <w:rPr>
          <w:rFonts w:hint="eastAsia" w:cs="Times New Roman"/>
          <w:color w:val="auto"/>
          <w:sz w:val="24"/>
          <w:szCs w:val="24"/>
          <w:highlight w:val="none"/>
          <w:lang w:val="en-US" w:eastAsia="zh-CN"/>
        </w:rPr>
        <w:t>0.1315</w:t>
      </w:r>
      <w:r>
        <w:rPr>
          <w:rFonts w:hint="default" w:ascii="Times New Roman" w:hAnsi="Times New Roman" w:cs="Times New Roman"/>
          <w:b w:val="0"/>
          <w:bCs w:val="0"/>
          <w:color w:val="auto"/>
          <w:kern w:val="0"/>
          <w:sz w:val="24"/>
          <w:highlight w:val="none"/>
          <w:lang w:val="en-US" w:eastAsia="zh-CN"/>
        </w:rPr>
        <w:t>kg/h</w:t>
      </w:r>
      <w:r>
        <w:rPr>
          <w:rFonts w:hint="default" w:ascii="Times New Roman" w:hAnsi="Times New Roman" w:cs="Times New Roman"/>
          <w:color w:val="auto"/>
          <w:sz w:val="24"/>
          <w:szCs w:val="24"/>
          <w:highlight w:val="none"/>
          <w:lang w:val="en-US" w:eastAsia="zh-CN"/>
        </w:rPr>
        <w:t>，经密闭厂房抑尘后，无组织氟化物排放量为0.009</w:t>
      </w:r>
      <w:r>
        <w:rPr>
          <w:rFonts w:hint="eastAsia" w:cs="Times New Roman"/>
          <w:color w:val="auto"/>
          <w:sz w:val="24"/>
          <w:szCs w:val="24"/>
          <w:highlight w:val="none"/>
          <w:lang w:val="en-US" w:eastAsia="zh-CN"/>
        </w:rPr>
        <w:t>5</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cs="Times New Roman"/>
          <w:color w:val="auto"/>
          <w:sz w:val="24"/>
          <w:szCs w:val="24"/>
          <w:highlight w:val="none"/>
          <w:lang w:val="en-US" w:eastAsia="zh-CN"/>
        </w:rPr>
        <w:t>，排放速率为0.00</w:t>
      </w:r>
      <w:r>
        <w:rPr>
          <w:rFonts w:hint="eastAsia" w:cs="Times New Roman"/>
          <w:color w:val="auto"/>
          <w:sz w:val="24"/>
          <w:szCs w:val="24"/>
          <w:highlight w:val="none"/>
          <w:lang w:val="en-US" w:eastAsia="zh-CN"/>
        </w:rPr>
        <w:t>13</w:t>
      </w:r>
      <w:r>
        <w:rPr>
          <w:rFonts w:hint="default" w:ascii="Times New Roman" w:hAnsi="Times New Roman" w:cs="Times New Roman"/>
          <w:b w:val="0"/>
          <w:bCs w:val="0"/>
          <w:color w:val="auto"/>
          <w:kern w:val="0"/>
          <w:sz w:val="24"/>
          <w:highlight w:val="none"/>
          <w:lang w:val="en-US" w:eastAsia="zh-CN"/>
        </w:rPr>
        <w:t>kg/h</w:t>
      </w:r>
      <w:r>
        <w:rPr>
          <w:rFonts w:hint="default" w:ascii="Times New Roman" w:hAnsi="Times New Roman" w:cs="Times New Roman"/>
          <w:color w:val="auto"/>
          <w:sz w:val="24"/>
          <w:szCs w:val="24"/>
          <w:highlight w:val="none"/>
          <w:lang w:val="en-US" w:eastAsia="zh-CN"/>
        </w:rPr>
        <w:t>。</w:t>
      </w:r>
    </w:p>
    <w:p w14:paraId="4FDA2BB8">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（2）中细碎厂房废气</w:t>
      </w:r>
    </w:p>
    <w:p w14:paraId="32AC164D">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①颗粒物</w:t>
      </w:r>
    </w:p>
    <w:p w14:paraId="063E944E">
      <w:pPr>
        <w:bidi w:val="0"/>
        <w:rPr>
          <w:rFonts w:hint="default" w:ascii="Times New Roman" w:hAnsi="Times New Roman" w:eastAsia="宋体" w:cs="Times New Roman"/>
          <w:b w:val="0"/>
          <w:bCs w:val="0"/>
          <w:color w:val="auto"/>
          <w:kern w:val="0"/>
          <w:sz w:val="24"/>
          <w:highlight w:val="none"/>
        </w:rPr>
      </w:pPr>
      <w:r>
        <w:rPr>
          <w:rFonts w:hint="eastAsia" w:cs="Times New Roman"/>
          <w:color w:val="auto"/>
          <w:sz w:val="24"/>
          <w:highlight w:val="none"/>
          <w:lang w:val="en-US" w:eastAsia="zh-CN"/>
        </w:rPr>
        <w:t>粗矿经皮带输送至中细碎厂房进行一级破碎，破碎后输送至筛分厂房进行筛分，筛上料井经皮带输送至粉矿仓，筛下料返回中细碎厂房再次破碎。</w:t>
      </w:r>
      <w:r>
        <w:rPr>
          <w:rFonts w:hint="default" w:ascii="Times New Roman" w:hAnsi="Times New Roman" w:eastAsia="宋体" w:cs="Times New Roman"/>
          <w:color w:val="auto"/>
          <w:sz w:val="24"/>
          <w:highlight w:val="none"/>
        </w:rPr>
        <w:t>项目年处理</w:t>
      </w:r>
      <w:r>
        <w:rPr>
          <w:rFonts w:hint="default" w:ascii="Times New Roman" w:hAnsi="Times New Roman" w:cs="Times New Roman"/>
          <w:color w:val="auto"/>
          <w:sz w:val="24"/>
          <w:highlight w:val="none"/>
          <w:lang w:eastAsia="zh-CN"/>
        </w:rPr>
        <w:t>萤石</w:t>
      </w:r>
      <w:r>
        <w:rPr>
          <w:rFonts w:hint="default" w:ascii="Times New Roman" w:hAnsi="Times New Roman" w:eastAsia="宋体" w:cs="Times New Roman"/>
          <w:color w:val="auto"/>
          <w:sz w:val="24"/>
          <w:highlight w:val="none"/>
          <w:lang w:eastAsia="zh-CN"/>
        </w:rPr>
        <w:t>矿</w:t>
      </w:r>
      <w:r>
        <w:rPr>
          <w:rFonts w:hint="default" w:ascii="Times New Roman" w:hAnsi="Times New Roman" w:eastAsia="宋体" w:cs="Times New Roman"/>
          <w:color w:val="auto"/>
          <w:sz w:val="24"/>
          <w:highlight w:val="none"/>
        </w:rPr>
        <w:t>石</w:t>
      </w:r>
      <w:r>
        <w:rPr>
          <w:rFonts w:hint="default" w:ascii="Times New Roman" w:hAnsi="Times New Roman" w:cs="Times New Roman"/>
          <w:color w:val="auto"/>
          <w:sz w:val="24"/>
          <w:highlight w:val="none"/>
          <w:lang w:val="en-US" w:eastAsia="zh-CN"/>
        </w:rPr>
        <w:t>12</w:t>
      </w:r>
      <w:r>
        <w:rPr>
          <w:rFonts w:hint="default" w:ascii="Times New Roman" w:hAnsi="Times New Roman" w:eastAsia="宋体" w:cs="Times New Roman"/>
          <w:color w:val="auto"/>
          <w:sz w:val="24"/>
          <w:highlight w:val="none"/>
          <w:lang w:val="en-US" w:eastAsia="zh-CN"/>
        </w:rPr>
        <w:t>0</w:t>
      </w:r>
      <w:r>
        <w:rPr>
          <w:rFonts w:hint="default" w:ascii="Times New Roman" w:hAnsi="Times New Roman" w:eastAsia="宋体" w:cs="Times New Roman"/>
          <w:color w:val="auto"/>
          <w:sz w:val="24"/>
          <w:highlight w:val="none"/>
        </w:rPr>
        <w:t>万</w:t>
      </w:r>
      <w:r>
        <w:rPr>
          <w:rFonts w:hint="default" w:ascii="Times New Roman" w:hAnsi="Times New Roman" w:eastAsia="宋体" w:cs="Times New Roman"/>
          <w:color w:val="auto"/>
          <w:sz w:val="24"/>
          <w:highlight w:val="none"/>
          <w:lang w:val="en-US" w:eastAsia="zh-CN"/>
        </w:rPr>
        <w:t>t</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萤石矿破碎</w:t>
      </w:r>
      <w:r>
        <w:rPr>
          <w:rFonts w:hint="eastAsia" w:cs="Times New Roman"/>
          <w:color w:val="auto"/>
          <w:sz w:val="24"/>
          <w:highlight w:val="none"/>
          <w:lang w:val="en-US" w:eastAsia="zh-CN"/>
        </w:rPr>
        <w:t>、筛分</w:t>
      </w:r>
      <w:r>
        <w:rPr>
          <w:rFonts w:hint="default" w:ascii="Times New Roman" w:hAnsi="Times New Roman" w:eastAsia="宋体" w:cs="Times New Roman"/>
          <w:color w:val="auto"/>
          <w:sz w:val="24"/>
          <w:highlight w:val="none"/>
          <w:lang w:val="en-US" w:eastAsia="zh-CN"/>
        </w:rPr>
        <w:t>过程中产生的颗粒物</w:t>
      </w:r>
      <w:r>
        <w:rPr>
          <w:rFonts w:hint="default" w:ascii="Times New Roman" w:hAnsi="Times New Roman" w:cs="Times New Roman"/>
          <w:color w:val="auto"/>
          <w:sz w:val="24"/>
          <w:highlight w:val="none"/>
          <w:lang w:eastAsia="zh-CN"/>
        </w:rPr>
        <w:t>参考</w:t>
      </w:r>
      <w:r>
        <w:rPr>
          <w:rFonts w:hint="default" w:ascii="Times New Roman" w:hAnsi="Times New Roman" w:cs="Times New Roman"/>
          <w:color w:val="auto"/>
          <w:szCs w:val="20"/>
          <w:highlight w:val="none"/>
        </w:rPr>
        <w:t>《逸散性工业粉尘控制技术》</w:t>
      </w:r>
      <w:r>
        <w:rPr>
          <w:rFonts w:hint="default" w:ascii="Times New Roman" w:hAnsi="Times New Roman" w:eastAsia="宋体" w:cs="Times New Roman"/>
          <w:color w:val="auto"/>
          <w:sz w:val="24"/>
          <w:szCs w:val="24"/>
          <w:highlight w:val="none"/>
          <w:lang w:eastAsia="zh-CN"/>
        </w:rPr>
        <w:t>中</w:t>
      </w:r>
      <w:r>
        <w:rPr>
          <w:rFonts w:hint="eastAsia" w:cs="Times New Roman"/>
          <w:color w:val="auto"/>
          <w:sz w:val="24"/>
          <w:szCs w:val="24"/>
          <w:highlight w:val="none"/>
          <w:lang w:val="en-US" w:eastAsia="zh-CN"/>
        </w:rPr>
        <w:t>碎石一级破碎和筛分排放因子0.25kg/t（破碎料）、二级破碎和筛分排放因子0.75kg/t（破碎料）</w:t>
      </w:r>
      <w:r>
        <w:rPr>
          <w:rFonts w:hint="default" w:ascii="Times New Roman" w:hAnsi="Times New Roman" w:cs="Times New Roman"/>
          <w:color w:val="auto"/>
          <w:sz w:val="24"/>
          <w:szCs w:val="24"/>
          <w:highlight w:val="none"/>
          <w:lang w:val="en-US" w:eastAsia="zh-CN"/>
        </w:rPr>
        <w:t>进行核算</w:t>
      </w:r>
      <w:r>
        <w:rPr>
          <w:rFonts w:hint="eastAsia" w:cs="Times New Roman"/>
          <w:color w:val="auto"/>
          <w:sz w:val="24"/>
          <w:szCs w:val="24"/>
          <w:highlight w:val="none"/>
          <w:lang w:val="en-US" w:eastAsia="zh-CN"/>
        </w:rPr>
        <w:t>。</w:t>
      </w:r>
      <w:r>
        <w:rPr>
          <w:rFonts w:hint="default" w:ascii="Times New Roman" w:hAnsi="Times New Roman" w:cs="Times New Roman"/>
          <w:b w:val="0"/>
          <w:bCs w:val="0"/>
          <w:color w:val="auto"/>
          <w:highlight w:val="none"/>
          <w:lang w:val="en-US" w:eastAsia="zh-CN"/>
        </w:rPr>
        <w:t>经计算，</w:t>
      </w:r>
      <w:r>
        <w:rPr>
          <w:rFonts w:hint="eastAsia" w:cs="Times New Roman"/>
          <w:b w:val="0"/>
          <w:bCs w:val="0"/>
          <w:color w:val="auto"/>
          <w:highlight w:val="none"/>
          <w:lang w:val="en-US" w:eastAsia="zh-CN"/>
        </w:rPr>
        <w:t>破碎、筛分</w:t>
      </w:r>
      <w:r>
        <w:rPr>
          <w:rFonts w:hint="default" w:ascii="Times New Roman" w:hAnsi="Times New Roman" w:cs="Times New Roman"/>
          <w:b w:val="0"/>
          <w:bCs w:val="0"/>
          <w:color w:val="auto"/>
          <w:highlight w:val="none"/>
          <w:lang w:val="en-US" w:eastAsia="zh-CN"/>
        </w:rPr>
        <w:t>颗粒物产生总量为</w:t>
      </w:r>
      <w:r>
        <w:rPr>
          <w:rFonts w:hint="eastAsia" w:cs="Times New Roman"/>
          <w:b w:val="0"/>
          <w:bCs w:val="0"/>
          <w:color w:val="auto"/>
          <w:highlight w:val="none"/>
          <w:lang w:val="en-US" w:eastAsia="zh-CN"/>
        </w:rPr>
        <w:t>1200</w:t>
      </w:r>
      <w:r>
        <w:rPr>
          <w:rFonts w:hint="default" w:ascii="Times New Roman" w:hAnsi="Times New Roman" w:cs="Times New Roman"/>
          <w:b w:val="0"/>
          <w:bCs w:val="0"/>
          <w:color w:val="auto"/>
          <w:highlight w:val="none"/>
          <w:lang w:val="en-US" w:eastAsia="zh-CN"/>
        </w:rPr>
        <w:t>t/a，</w:t>
      </w:r>
      <w:r>
        <w:rPr>
          <w:rFonts w:hint="eastAsia" w:cs="Times New Roman"/>
          <w:b w:val="0"/>
          <w:bCs w:val="0"/>
          <w:color w:val="auto"/>
          <w:highlight w:val="none"/>
          <w:lang w:val="en-US" w:eastAsia="zh-CN"/>
        </w:rPr>
        <w:t>破碎、筛分工序分别在两个厂房进行，中细碎厂房颗粒物产生量按照破碎、筛分总产生量的二分之一进行计算，则中细碎厂房颗粒物产生量为600t/a。厂房内</w:t>
      </w:r>
      <w:r>
        <w:rPr>
          <w:rFonts w:hint="default" w:ascii="Times New Roman" w:hAnsi="Times New Roman" w:eastAsia="宋体" w:cs="Times New Roman"/>
          <w:b w:val="0"/>
          <w:bCs w:val="0"/>
          <w:color w:val="auto"/>
          <w:kern w:val="0"/>
          <w:sz w:val="24"/>
          <w:szCs w:val="24"/>
          <w:highlight w:val="none"/>
          <w:lang w:val="en-US" w:eastAsia="zh-CN" w:bidi="ar"/>
        </w:rPr>
        <w:t>破碎机下料点、皮带给矿机头部、出料口等处均设除尘罩，设一套布袋除尘器处理后经15m高排气筒排放，集气罩收集效率按90%计，</w:t>
      </w:r>
      <w:r>
        <w:rPr>
          <w:rFonts w:hint="default" w:ascii="Times New Roman" w:hAnsi="Times New Roman" w:cs="Times New Roman"/>
          <w:b w:val="0"/>
          <w:bCs w:val="0"/>
          <w:color w:val="auto"/>
          <w:kern w:val="0"/>
          <w:sz w:val="24"/>
          <w:szCs w:val="24"/>
          <w:highlight w:val="none"/>
          <w:lang w:val="en-US" w:eastAsia="zh-CN" w:bidi="ar"/>
        </w:rPr>
        <w:t>则有组织颗粒物产生量为</w:t>
      </w:r>
      <w:r>
        <w:rPr>
          <w:rFonts w:hint="eastAsia" w:cs="Times New Roman"/>
          <w:b w:val="0"/>
          <w:bCs w:val="0"/>
          <w:color w:val="auto"/>
          <w:kern w:val="0"/>
          <w:sz w:val="24"/>
          <w:szCs w:val="24"/>
          <w:highlight w:val="none"/>
          <w:lang w:val="en-US" w:eastAsia="zh-CN" w:bidi="ar"/>
        </w:rPr>
        <w:t>540</w:t>
      </w:r>
      <w:r>
        <w:rPr>
          <w:rFonts w:hint="default" w:ascii="Times New Roman" w:hAnsi="Times New Roman" w:cs="Times New Roman"/>
          <w:b w:val="0"/>
          <w:bCs w:val="0"/>
          <w:color w:val="auto"/>
          <w:kern w:val="0"/>
          <w:sz w:val="24"/>
          <w:szCs w:val="24"/>
          <w:highlight w:val="none"/>
          <w:lang w:val="en-US" w:eastAsia="zh-CN" w:bidi="ar"/>
        </w:rPr>
        <w:t>t/a，产生速率为</w:t>
      </w:r>
      <w:r>
        <w:rPr>
          <w:rFonts w:hint="eastAsia" w:cs="Times New Roman"/>
          <w:b w:val="0"/>
          <w:bCs w:val="0"/>
          <w:color w:val="auto"/>
          <w:kern w:val="0"/>
          <w:sz w:val="24"/>
          <w:szCs w:val="24"/>
          <w:highlight w:val="none"/>
          <w:lang w:val="en-US" w:eastAsia="zh-CN" w:bidi="ar"/>
        </w:rPr>
        <w:t>75</w:t>
      </w:r>
      <w:r>
        <w:rPr>
          <w:rFonts w:hint="default" w:ascii="Times New Roman" w:hAnsi="Times New Roman" w:cs="Times New Roman"/>
          <w:b w:val="0"/>
          <w:bCs w:val="0"/>
          <w:color w:val="auto"/>
          <w:kern w:val="0"/>
          <w:sz w:val="24"/>
          <w:szCs w:val="24"/>
          <w:highlight w:val="none"/>
          <w:lang w:val="en-US" w:eastAsia="zh-CN" w:bidi="ar"/>
        </w:rPr>
        <w:t>kg/h，风机风量为</w:t>
      </w:r>
      <w:r>
        <w:rPr>
          <w:rFonts w:hint="eastAsia" w:cs="Times New Roman"/>
          <w:b w:val="0"/>
          <w:bCs w:val="0"/>
          <w:color w:val="auto"/>
          <w:kern w:val="0"/>
          <w:sz w:val="24"/>
          <w:szCs w:val="24"/>
          <w:highlight w:val="none"/>
          <w:lang w:val="en-US" w:eastAsia="zh-CN" w:bidi="ar"/>
        </w:rPr>
        <w:t>45</w:t>
      </w:r>
      <w:r>
        <w:rPr>
          <w:rFonts w:hint="default" w:ascii="Times New Roman" w:hAnsi="Times New Roman" w:cs="Times New Roman"/>
          <w:b w:val="0"/>
          <w:bCs w:val="0"/>
          <w:color w:val="auto"/>
          <w:kern w:val="0"/>
          <w:sz w:val="24"/>
          <w:szCs w:val="24"/>
          <w:highlight w:val="none"/>
          <w:lang w:val="en-US" w:eastAsia="zh-CN" w:bidi="ar"/>
        </w:rPr>
        <w:t>000</w:t>
      </w:r>
      <w:r>
        <w:rPr>
          <w:rFonts w:hint="default" w:ascii="Times New Roman" w:hAnsi="Times New Roman" w:eastAsia="宋体" w:cs="Times New Roman"/>
          <w:b w:val="0"/>
          <w:bCs w:val="0"/>
          <w:color w:val="auto"/>
          <w:kern w:val="0"/>
          <w:sz w:val="24"/>
          <w:highlight w:val="none"/>
        </w:rPr>
        <w:t>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vertAlign w:val="baseline"/>
          <w:lang w:val="en-US" w:eastAsia="zh-CN"/>
        </w:rPr>
        <w:t>/h</w:t>
      </w:r>
      <w:r>
        <w:rPr>
          <w:rFonts w:hint="default" w:ascii="Times New Roman" w:hAnsi="Times New Roman" w:cs="Times New Roman"/>
          <w:b w:val="0"/>
          <w:bCs w:val="0"/>
          <w:color w:val="auto"/>
          <w:kern w:val="0"/>
          <w:sz w:val="24"/>
          <w:szCs w:val="24"/>
          <w:highlight w:val="none"/>
          <w:lang w:val="en-US" w:eastAsia="zh-CN" w:bidi="ar"/>
        </w:rPr>
        <w:t>，则产生浓度为</w:t>
      </w:r>
      <w:r>
        <w:rPr>
          <w:rFonts w:hint="eastAsia" w:cs="Times New Roman"/>
          <w:b w:val="0"/>
          <w:bCs w:val="0"/>
          <w:color w:val="auto"/>
          <w:kern w:val="0"/>
          <w:sz w:val="24"/>
          <w:szCs w:val="24"/>
          <w:highlight w:val="none"/>
          <w:lang w:val="en-US" w:eastAsia="zh-CN" w:bidi="ar"/>
        </w:rPr>
        <w:t>1666.6667</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cs="Times New Roman"/>
          <w:b w:val="0"/>
          <w:bCs w:val="0"/>
          <w:color w:val="auto"/>
          <w:kern w:val="0"/>
          <w:sz w:val="24"/>
          <w:szCs w:val="24"/>
          <w:highlight w:val="none"/>
          <w:lang w:val="en-US" w:eastAsia="zh-CN" w:bidi="ar"/>
        </w:rPr>
        <w:t>，</w:t>
      </w:r>
      <w:r>
        <w:rPr>
          <w:rFonts w:hint="default" w:ascii="Times New Roman" w:hAnsi="Times New Roman" w:cs="Times New Roman"/>
          <w:color w:val="auto"/>
          <w:highlight w:val="none"/>
        </w:rPr>
        <w:t>布袋除尘器</w:t>
      </w:r>
      <w:r>
        <w:rPr>
          <w:rFonts w:hint="default" w:ascii="Times New Roman" w:hAnsi="Times New Roman" w:eastAsia="宋体" w:cs="Times New Roman"/>
          <w:b w:val="0"/>
          <w:bCs w:val="0"/>
          <w:color w:val="auto"/>
          <w:kern w:val="0"/>
          <w:sz w:val="24"/>
          <w:szCs w:val="24"/>
          <w:highlight w:val="none"/>
          <w:lang w:val="en-US" w:eastAsia="zh-CN" w:bidi="ar"/>
        </w:rPr>
        <w:t>除尘效率</w:t>
      </w:r>
      <w:r>
        <w:rPr>
          <w:rFonts w:hint="default" w:ascii="Times New Roman" w:hAnsi="Times New Roman" w:cs="Times New Roman"/>
          <w:b w:val="0"/>
          <w:bCs w:val="0"/>
          <w:color w:val="auto"/>
          <w:kern w:val="0"/>
          <w:sz w:val="24"/>
          <w:szCs w:val="24"/>
          <w:highlight w:val="none"/>
          <w:lang w:val="en-US" w:eastAsia="zh-CN" w:bidi="ar"/>
        </w:rPr>
        <w:t>按</w:t>
      </w:r>
      <w:r>
        <w:rPr>
          <w:rFonts w:hint="default" w:ascii="Times New Roman" w:hAnsi="Times New Roman" w:eastAsia="宋体" w:cs="Times New Roman"/>
          <w:b w:val="0"/>
          <w:bCs w:val="0"/>
          <w:color w:val="auto"/>
          <w:kern w:val="0"/>
          <w:sz w:val="24"/>
          <w:szCs w:val="24"/>
          <w:highlight w:val="none"/>
          <w:lang w:val="en-US" w:eastAsia="zh-CN" w:bidi="ar"/>
        </w:rPr>
        <w:t>99</w:t>
      </w:r>
      <w:r>
        <w:rPr>
          <w:rFonts w:hint="eastAsia" w:cs="Times New Roman"/>
          <w:b w:val="0"/>
          <w:bCs w:val="0"/>
          <w:color w:val="auto"/>
          <w:kern w:val="0"/>
          <w:sz w:val="24"/>
          <w:szCs w:val="24"/>
          <w:highlight w:val="none"/>
          <w:lang w:val="en-US" w:eastAsia="zh-CN" w:bidi="ar"/>
        </w:rPr>
        <w:t>.9</w:t>
      </w:r>
      <w:r>
        <w:rPr>
          <w:rFonts w:hint="default" w:ascii="Times New Roman" w:hAnsi="Times New Roman" w:eastAsia="宋体" w:cs="Times New Roman"/>
          <w:b w:val="0"/>
          <w:bCs w:val="0"/>
          <w:color w:val="auto"/>
          <w:kern w:val="0"/>
          <w:sz w:val="24"/>
          <w:szCs w:val="24"/>
          <w:highlight w:val="none"/>
          <w:lang w:val="en-US" w:eastAsia="zh-CN" w:bidi="ar"/>
        </w:rPr>
        <w:t>%</w:t>
      </w:r>
      <w:r>
        <w:rPr>
          <w:rFonts w:hint="default" w:ascii="Times New Roman" w:hAnsi="Times New Roman" w:cs="Times New Roman"/>
          <w:b w:val="0"/>
          <w:bCs w:val="0"/>
          <w:color w:val="auto"/>
          <w:kern w:val="0"/>
          <w:sz w:val="24"/>
          <w:szCs w:val="24"/>
          <w:highlight w:val="none"/>
          <w:lang w:val="en-US" w:eastAsia="zh-CN" w:bidi="ar"/>
        </w:rPr>
        <w:t>计，则该工段有组织颗粒物排放量为</w:t>
      </w:r>
      <w:r>
        <w:rPr>
          <w:rFonts w:hint="eastAsia" w:cs="Times New Roman"/>
          <w:b w:val="0"/>
          <w:bCs w:val="0"/>
          <w:color w:val="auto"/>
          <w:kern w:val="0"/>
          <w:sz w:val="24"/>
          <w:szCs w:val="24"/>
          <w:highlight w:val="none"/>
          <w:lang w:val="en-US" w:eastAsia="zh-CN" w:bidi="ar"/>
        </w:rPr>
        <w:t>0.54</w:t>
      </w:r>
      <w:r>
        <w:rPr>
          <w:rFonts w:hint="default" w:ascii="Times New Roman" w:hAnsi="Times New Roman" w:cs="Times New Roman"/>
          <w:b w:val="0"/>
          <w:bCs w:val="0"/>
          <w:color w:val="auto"/>
          <w:sz w:val="24"/>
          <w:szCs w:val="24"/>
          <w:highlight w:val="none"/>
          <w:lang w:val="en-US" w:eastAsia="zh-CN"/>
        </w:rPr>
        <w:t>t/a</w:t>
      </w:r>
      <w:r>
        <w:rPr>
          <w:rFonts w:hint="default" w:ascii="Times New Roman" w:hAnsi="Times New Roman" w:cs="Times New Roman"/>
          <w:b w:val="0"/>
          <w:bCs w:val="0"/>
          <w:color w:val="auto"/>
          <w:kern w:val="0"/>
          <w:sz w:val="24"/>
          <w:szCs w:val="24"/>
          <w:highlight w:val="none"/>
          <w:lang w:val="en-US" w:eastAsia="zh-CN" w:bidi="ar"/>
        </w:rPr>
        <w:t>，排放速率为</w:t>
      </w:r>
      <w:r>
        <w:rPr>
          <w:rFonts w:hint="eastAsia" w:cs="Times New Roman"/>
          <w:b w:val="0"/>
          <w:bCs w:val="0"/>
          <w:color w:val="auto"/>
          <w:kern w:val="0"/>
          <w:sz w:val="24"/>
          <w:szCs w:val="24"/>
          <w:highlight w:val="none"/>
          <w:lang w:val="en-US" w:eastAsia="zh-CN" w:bidi="ar"/>
        </w:rPr>
        <w:t>0.075</w:t>
      </w:r>
      <w:r>
        <w:rPr>
          <w:rFonts w:hint="default" w:ascii="Times New Roman" w:hAnsi="Times New Roman" w:eastAsia="宋体" w:cs="Times New Roman"/>
          <w:b w:val="0"/>
          <w:bCs w:val="0"/>
          <w:color w:val="auto"/>
          <w:sz w:val="24"/>
          <w:szCs w:val="24"/>
          <w:highlight w:val="none"/>
          <w:lang w:val="en-US" w:eastAsia="zh-CN"/>
        </w:rPr>
        <w:t>kg/h</w:t>
      </w:r>
      <w:r>
        <w:rPr>
          <w:rFonts w:hint="default" w:ascii="Times New Roman" w:hAnsi="Times New Roman" w:cs="Times New Roman"/>
          <w:b w:val="0"/>
          <w:bCs w:val="0"/>
          <w:color w:val="auto"/>
          <w:kern w:val="0"/>
          <w:sz w:val="24"/>
          <w:szCs w:val="24"/>
          <w:highlight w:val="none"/>
          <w:lang w:val="en-US" w:eastAsia="zh-CN" w:bidi="ar"/>
        </w:rPr>
        <w:t>，排放浓度为</w:t>
      </w:r>
      <w:r>
        <w:rPr>
          <w:rFonts w:hint="eastAsia" w:cs="Times New Roman"/>
          <w:b w:val="0"/>
          <w:bCs w:val="0"/>
          <w:color w:val="auto"/>
          <w:kern w:val="0"/>
          <w:sz w:val="24"/>
          <w:szCs w:val="24"/>
          <w:highlight w:val="none"/>
          <w:lang w:val="en-US" w:eastAsia="zh-CN" w:bidi="ar"/>
        </w:rPr>
        <w:t>1.6667</w:t>
      </w:r>
      <w:r>
        <w:rPr>
          <w:rFonts w:hint="default" w:ascii="Times New Roman" w:hAnsi="Times New Roman" w:cs="Times New Roman"/>
          <w:b w:val="0"/>
          <w:bCs w:val="0"/>
          <w:color w:val="auto"/>
          <w:sz w:val="24"/>
          <w:szCs w:val="24"/>
          <w:highlight w:val="none"/>
        </w:rPr>
        <w:t>mg/m</w:t>
      </w:r>
      <w:r>
        <w:rPr>
          <w:rFonts w:hint="default" w:ascii="Times New Roman" w:hAnsi="Times New Roman" w:cs="Times New Roman"/>
          <w:b w:val="0"/>
          <w:bCs w:val="0"/>
          <w:color w:val="auto"/>
          <w:sz w:val="24"/>
          <w:szCs w:val="24"/>
          <w:highlight w:val="none"/>
          <w:vertAlign w:val="superscript"/>
        </w:rPr>
        <w:t>3</w:t>
      </w:r>
      <w:r>
        <w:rPr>
          <w:rFonts w:hint="default" w:ascii="Times New Roman" w:hAnsi="Times New Roman" w:cs="Times New Roman"/>
          <w:b w:val="0"/>
          <w:bCs w:val="0"/>
          <w:color w:val="auto"/>
          <w:kern w:val="0"/>
          <w:sz w:val="24"/>
          <w:szCs w:val="24"/>
          <w:highlight w:val="none"/>
          <w:lang w:val="en-US" w:eastAsia="zh-CN" w:bidi="ar"/>
        </w:rPr>
        <w:t>，满足</w:t>
      </w:r>
      <w:r>
        <w:rPr>
          <w:rFonts w:hint="default" w:ascii="Times New Roman" w:hAnsi="Times New Roman" w:eastAsia="宋体" w:cs="Times New Roman"/>
          <w:b w:val="0"/>
          <w:bCs w:val="0"/>
          <w:color w:val="auto"/>
          <w:kern w:val="0"/>
          <w:sz w:val="24"/>
          <w:highlight w:val="none"/>
        </w:rPr>
        <w:t>《大气污染物综合排放标准》（GB16297-1996）中的要求（颗粒物</w:t>
      </w:r>
      <w:r>
        <w:rPr>
          <w:rFonts w:hint="default" w:ascii="Times New Roman" w:hAnsi="Times New Roman" w:cs="Times New Roman"/>
          <w:b w:val="0"/>
          <w:bCs w:val="0"/>
          <w:color w:val="auto"/>
          <w:kern w:val="0"/>
          <w:sz w:val="24"/>
          <w:highlight w:val="none"/>
          <w:lang w:eastAsia="zh-CN"/>
        </w:rPr>
        <w:t>排放速率</w:t>
      </w:r>
      <w:r>
        <w:rPr>
          <w:rFonts w:hint="default" w:ascii="Times New Roman" w:hAnsi="Times New Roman" w:cs="Times New Roman"/>
          <w:b w:val="0"/>
          <w:bCs w:val="0"/>
          <w:color w:val="auto"/>
          <w:kern w:val="0"/>
          <w:sz w:val="24"/>
          <w:highlight w:val="none"/>
          <w:lang w:val="en-US" w:eastAsia="zh-CN"/>
        </w:rPr>
        <w:t>3.5kg/h，</w:t>
      </w:r>
      <w:r>
        <w:rPr>
          <w:rFonts w:hint="default" w:ascii="Times New Roman" w:hAnsi="Times New Roman" w:cs="Times New Roman"/>
          <w:b w:val="0"/>
          <w:bCs w:val="0"/>
          <w:color w:val="auto"/>
          <w:kern w:val="0"/>
          <w:sz w:val="24"/>
          <w:highlight w:val="none"/>
          <w:lang w:eastAsia="zh-CN"/>
        </w:rPr>
        <w:t>排放浓度</w:t>
      </w:r>
      <w:r>
        <w:rPr>
          <w:rFonts w:hint="default" w:ascii="Times New Roman" w:hAnsi="Times New Roman" w:cs="Times New Roman"/>
          <w:b w:val="0"/>
          <w:bCs w:val="0"/>
          <w:color w:val="auto"/>
          <w:kern w:val="0"/>
          <w:sz w:val="24"/>
          <w:highlight w:val="none"/>
          <w:lang w:val="en-US" w:eastAsia="zh-CN"/>
        </w:rPr>
        <w:t>120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p>
    <w:p w14:paraId="0295CA09">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未被收集的粉尘全部无组织排放，</w:t>
      </w:r>
      <w:r>
        <w:rPr>
          <w:rFonts w:hint="default" w:ascii="Times New Roman" w:hAnsi="Times New Roman" w:cs="Times New Roman"/>
          <w:snapToGrid w:val="0"/>
          <w:color w:val="auto"/>
          <w:spacing w:val="0"/>
          <w:kern w:val="0"/>
          <w:sz w:val="24"/>
          <w:szCs w:val="24"/>
          <w:highlight w:val="none"/>
          <w:lang w:val="en-US" w:eastAsia="zh-CN"/>
        </w:rPr>
        <w:t>则该工段无组织颗粒物排放量为</w:t>
      </w:r>
      <w:r>
        <w:rPr>
          <w:rFonts w:hint="eastAsia" w:cs="Times New Roman"/>
          <w:snapToGrid w:val="0"/>
          <w:color w:val="auto"/>
          <w:spacing w:val="0"/>
          <w:kern w:val="0"/>
          <w:sz w:val="24"/>
          <w:szCs w:val="24"/>
          <w:highlight w:val="none"/>
          <w:lang w:val="en-US" w:eastAsia="zh-CN"/>
        </w:rPr>
        <w:t>60</w:t>
      </w:r>
      <w:r>
        <w:rPr>
          <w:rFonts w:hint="default" w:ascii="Times New Roman" w:hAnsi="Times New Roman" w:cs="Times New Roman"/>
          <w:snapToGrid w:val="0"/>
          <w:color w:val="auto"/>
          <w:spacing w:val="0"/>
          <w:kern w:val="0"/>
          <w:sz w:val="24"/>
          <w:szCs w:val="24"/>
          <w:highlight w:val="none"/>
          <w:lang w:val="en-US" w:eastAsia="zh-CN"/>
        </w:rPr>
        <w:t>t/a，排放速率为</w:t>
      </w:r>
      <w:r>
        <w:rPr>
          <w:rFonts w:hint="eastAsia" w:cs="Times New Roman"/>
          <w:snapToGrid w:val="0"/>
          <w:color w:val="auto"/>
          <w:spacing w:val="0"/>
          <w:kern w:val="0"/>
          <w:sz w:val="24"/>
          <w:szCs w:val="24"/>
          <w:highlight w:val="none"/>
          <w:lang w:val="en-US" w:eastAsia="zh-CN"/>
        </w:rPr>
        <w:t>8.3333</w:t>
      </w:r>
      <w:r>
        <w:rPr>
          <w:rFonts w:hint="default" w:ascii="Times New Roman" w:hAnsi="Times New Roman" w:cs="Times New Roman"/>
          <w:snapToGrid w:val="0"/>
          <w:color w:val="auto"/>
          <w:spacing w:val="0"/>
          <w:kern w:val="0"/>
          <w:sz w:val="24"/>
          <w:szCs w:val="24"/>
          <w:highlight w:val="none"/>
          <w:lang w:val="en-US" w:eastAsia="zh-CN"/>
        </w:rPr>
        <w:t>kg/h。</w:t>
      </w:r>
      <w:r>
        <w:rPr>
          <w:rFonts w:hint="default" w:ascii="Times New Roman" w:hAnsi="Times New Roman" w:cs="Times New Roman"/>
          <w:b w:val="0"/>
          <w:bCs w:val="0"/>
          <w:color w:val="auto"/>
          <w:sz w:val="24"/>
          <w:szCs w:val="24"/>
          <w:highlight w:val="none"/>
          <w:lang w:val="en-US" w:eastAsia="zh-CN"/>
        </w:rPr>
        <w:t>本项目生产车间均为密闭厂房，</w:t>
      </w:r>
      <w:r>
        <w:rPr>
          <w:rFonts w:hint="default" w:ascii="Times New Roman" w:hAnsi="Times New Roman" w:eastAsia="宋体" w:cs="Times New Roman"/>
          <w:b w:val="0"/>
          <w:bCs w:val="0"/>
          <w:color w:val="auto"/>
          <w:sz w:val="24"/>
          <w:highlight w:val="none"/>
          <w:lang w:val="en-US" w:eastAsia="zh-CN"/>
        </w:rPr>
        <w:t>参考《排放源统计调查产排污核算方法和系数手册》附表2固体物料堆存颗粒物产排污核算系数手册，</w:t>
      </w:r>
      <w:r>
        <w:rPr>
          <w:rFonts w:hint="default" w:ascii="Times New Roman" w:hAnsi="Times New Roman" w:cs="Times New Roman"/>
          <w:b w:val="0"/>
          <w:bCs w:val="0"/>
          <w:color w:val="auto"/>
          <w:sz w:val="24"/>
          <w:highlight w:val="none"/>
          <w:lang w:val="en-US" w:eastAsia="zh-CN"/>
        </w:rPr>
        <w:t>全封闭厂房粉尘控制</w:t>
      </w:r>
      <w:r>
        <w:rPr>
          <w:rFonts w:hint="default" w:ascii="Times New Roman" w:hAnsi="Times New Roman" w:eastAsia="宋体" w:cs="Times New Roman"/>
          <w:b w:val="0"/>
          <w:bCs w:val="0"/>
          <w:color w:val="auto"/>
          <w:sz w:val="24"/>
          <w:highlight w:val="none"/>
          <w:lang w:val="en-US" w:eastAsia="zh-CN"/>
        </w:rPr>
        <w:t>效率为</w:t>
      </w:r>
      <w:r>
        <w:rPr>
          <w:rFonts w:hint="default" w:ascii="Times New Roman" w:hAnsi="Times New Roman" w:cs="Times New Roman"/>
          <w:b w:val="0"/>
          <w:bCs w:val="0"/>
          <w:color w:val="auto"/>
          <w:sz w:val="24"/>
          <w:highlight w:val="none"/>
          <w:lang w:val="en-US" w:eastAsia="zh-CN"/>
        </w:rPr>
        <w:t>99</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color w:val="auto"/>
          <w:sz w:val="24"/>
          <w:highlight w:val="none"/>
          <w:lang w:val="en-US" w:eastAsia="zh-CN"/>
        </w:rPr>
        <w:t>，</w:t>
      </w:r>
      <w:r>
        <w:rPr>
          <w:rFonts w:hint="default" w:ascii="Times New Roman" w:hAnsi="Times New Roman" w:cs="Times New Roman"/>
          <w:snapToGrid w:val="0"/>
          <w:color w:val="auto"/>
          <w:spacing w:val="0"/>
          <w:kern w:val="0"/>
          <w:sz w:val="24"/>
          <w:szCs w:val="24"/>
          <w:highlight w:val="none"/>
          <w:lang w:val="en-US" w:eastAsia="zh-CN"/>
        </w:rPr>
        <w:t>则中细碎工序无组织颗粒物排放量为</w:t>
      </w:r>
      <w:r>
        <w:rPr>
          <w:rFonts w:hint="eastAsia" w:cs="Times New Roman"/>
          <w:snapToGrid w:val="0"/>
          <w:color w:val="auto"/>
          <w:spacing w:val="0"/>
          <w:kern w:val="0"/>
          <w:sz w:val="24"/>
          <w:szCs w:val="24"/>
          <w:highlight w:val="none"/>
          <w:lang w:val="en-US" w:eastAsia="zh-CN"/>
        </w:rPr>
        <w:t>0.6</w:t>
      </w:r>
      <w:r>
        <w:rPr>
          <w:rFonts w:hint="default" w:ascii="Times New Roman" w:hAnsi="Times New Roman" w:cs="Times New Roman"/>
          <w:snapToGrid w:val="0"/>
          <w:color w:val="auto"/>
          <w:spacing w:val="0"/>
          <w:kern w:val="0"/>
          <w:sz w:val="24"/>
          <w:szCs w:val="24"/>
          <w:highlight w:val="none"/>
          <w:lang w:val="en-US" w:eastAsia="zh-CN"/>
        </w:rPr>
        <w:t>t/a，排放速率为0.0</w:t>
      </w:r>
      <w:r>
        <w:rPr>
          <w:rFonts w:hint="eastAsia" w:cs="Times New Roman"/>
          <w:snapToGrid w:val="0"/>
          <w:color w:val="auto"/>
          <w:spacing w:val="0"/>
          <w:kern w:val="0"/>
          <w:sz w:val="24"/>
          <w:szCs w:val="24"/>
          <w:highlight w:val="none"/>
          <w:lang w:val="en-US" w:eastAsia="zh-CN"/>
        </w:rPr>
        <w:t>833</w:t>
      </w:r>
      <w:r>
        <w:rPr>
          <w:rFonts w:hint="default" w:ascii="Times New Roman" w:hAnsi="Times New Roman" w:cs="Times New Roman"/>
          <w:snapToGrid w:val="0"/>
          <w:color w:val="auto"/>
          <w:spacing w:val="0"/>
          <w:kern w:val="0"/>
          <w:sz w:val="24"/>
          <w:szCs w:val="24"/>
          <w:highlight w:val="none"/>
          <w:lang w:val="en-US" w:eastAsia="zh-CN"/>
        </w:rPr>
        <w:t>kg/h。</w:t>
      </w:r>
    </w:p>
    <w:p w14:paraId="14DE9D08">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②氟化物</w:t>
      </w:r>
    </w:p>
    <w:p w14:paraId="3BE8B40D">
      <w:pPr>
        <w:bidi w:val="0"/>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项目矿石中氟化物含量占比15.78%，则</w:t>
      </w:r>
      <w:r>
        <w:rPr>
          <w:rFonts w:hint="default" w:ascii="Times New Roman" w:hAnsi="Times New Roman" w:cs="Times New Roman"/>
          <w:color w:val="auto"/>
          <w:sz w:val="24"/>
          <w:szCs w:val="24"/>
          <w:highlight w:val="none"/>
          <w:vertAlign w:val="baseline"/>
          <w:lang w:val="en-US" w:eastAsia="zh-CN"/>
        </w:rPr>
        <w:t>有组织氟化物</w:t>
      </w:r>
      <w:r>
        <w:rPr>
          <w:rFonts w:hint="default" w:ascii="Times New Roman" w:hAnsi="Times New Roman" w:cs="Times New Roman"/>
          <w:color w:val="auto"/>
          <w:kern w:val="0"/>
          <w:sz w:val="24"/>
          <w:szCs w:val="24"/>
          <w:highlight w:val="none"/>
          <w:lang w:val="en-US" w:eastAsia="zh-CN" w:bidi="ar"/>
        </w:rPr>
        <w:t>产生量为</w:t>
      </w:r>
      <w:r>
        <w:rPr>
          <w:rFonts w:hint="eastAsia" w:cs="Times New Roman"/>
          <w:color w:val="auto"/>
          <w:kern w:val="0"/>
          <w:sz w:val="24"/>
          <w:szCs w:val="24"/>
          <w:highlight w:val="none"/>
          <w:lang w:val="en-US" w:eastAsia="zh-CN" w:bidi="ar"/>
        </w:rPr>
        <w:t>85.2120</w:t>
      </w:r>
      <w:r>
        <w:rPr>
          <w:rFonts w:hint="default" w:ascii="Times New Roman" w:hAnsi="Times New Roman" w:cs="Times New Roman"/>
          <w:color w:val="auto"/>
          <w:kern w:val="0"/>
          <w:sz w:val="24"/>
          <w:szCs w:val="24"/>
          <w:highlight w:val="none"/>
          <w:lang w:val="en-US" w:eastAsia="zh-CN" w:bidi="ar"/>
        </w:rPr>
        <w:t>t/a，产生速率为</w:t>
      </w:r>
      <w:r>
        <w:rPr>
          <w:rFonts w:hint="eastAsia" w:cs="Times New Roman"/>
          <w:color w:val="auto"/>
          <w:kern w:val="0"/>
          <w:sz w:val="24"/>
          <w:szCs w:val="24"/>
          <w:highlight w:val="none"/>
          <w:lang w:val="en-US" w:eastAsia="zh-CN" w:bidi="ar"/>
        </w:rPr>
        <w:t>11.8350</w:t>
      </w:r>
      <w:r>
        <w:rPr>
          <w:rFonts w:hint="default" w:ascii="Times New Roman" w:hAnsi="Times New Roman" w:cs="Times New Roman"/>
          <w:color w:val="auto"/>
          <w:kern w:val="0"/>
          <w:sz w:val="24"/>
          <w:szCs w:val="24"/>
          <w:highlight w:val="none"/>
          <w:lang w:val="en-US" w:eastAsia="zh-CN" w:bidi="ar"/>
        </w:rPr>
        <w:t>kg/h，产生浓度为</w:t>
      </w:r>
      <w:r>
        <w:rPr>
          <w:rFonts w:hint="eastAsia" w:cs="Times New Roman"/>
          <w:color w:val="auto"/>
          <w:kern w:val="0"/>
          <w:sz w:val="24"/>
          <w:szCs w:val="24"/>
          <w:highlight w:val="none"/>
          <w:lang w:val="en-US" w:eastAsia="zh-CN" w:bidi="ar"/>
        </w:rPr>
        <w:t>263</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cs="Times New Roman"/>
          <w:color w:val="auto"/>
          <w:sz w:val="24"/>
          <w:szCs w:val="24"/>
          <w:highlight w:val="none"/>
          <w:vertAlign w:val="baseline"/>
          <w:lang w:val="en-US" w:eastAsia="zh-CN"/>
        </w:rPr>
        <w:t>，经</w:t>
      </w:r>
      <w:r>
        <w:rPr>
          <w:rFonts w:hint="default" w:ascii="Times New Roman" w:hAnsi="Times New Roman" w:eastAsia="宋体" w:cs="Times New Roman"/>
          <w:color w:val="auto"/>
          <w:kern w:val="0"/>
          <w:sz w:val="24"/>
          <w:szCs w:val="24"/>
          <w:highlight w:val="none"/>
          <w:lang w:val="en-US" w:eastAsia="zh-CN" w:bidi="ar"/>
        </w:rPr>
        <w:t>布袋除尘器处理后，排放量为</w:t>
      </w:r>
      <w:r>
        <w:rPr>
          <w:rFonts w:hint="eastAsia" w:cs="Times New Roman"/>
          <w:color w:val="auto"/>
          <w:kern w:val="0"/>
          <w:sz w:val="24"/>
          <w:szCs w:val="24"/>
          <w:highlight w:val="none"/>
          <w:lang w:val="en-US" w:eastAsia="zh-CN" w:bidi="ar"/>
        </w:rPr>
        <w:t>0.0852</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eastAsia="宋体" w:cs="Times New Roman"/>
          <w:color w:val="auto"/>
          <w:kern w:val="0"/>
          <w:sz w:val="24"/>
          <w:szCs w:val="24"/>
          <w:highlight w:val="none"/>
          <w:lang w:val="en-US" w:eastAsia="zh-CN" w:bidi="ar"/>
        </w:rPr>
        <w:t>，排放速率为0.0</w:t>
      </w:r>
      <w:r>
        <w:rPr>
          <w:rFonts w:hint="eastAsia" w:cs="Times New Roman"/>
          <w:color w:val="auto"/>
          <w:kern w:val="0"/>
          <w:sz w:val="24"/>
          <w:szCs w:val="24"/>
          <w:highlight w:val="none"/>
          <w:lang w:val="en-US" w:eastAsia="zh-CN" w:bidi="ar"/>
        </w:rPr>
        <w:t>118</w:t>
      </w:r>
      <w:r>
        <w:rPr>
          <w:rFonts w:hint="default" w:ascii="Times New Roman" w:hAnsi="Times New Roman" w:cs="Times New Roman"/>
          <w:color w:val="auto"/>
          <w:kern w:val="0"/>
          <w:sz w:val="24"/>
          <w:szCs w:val="24"/>
          <w:highlight w:val="none"/>
          <w:lang w:val="en-US" w:eastAsia="zh-CN" w:bidi="ar"/>
        </w:rPr>
        <w:t>kg/h</w:t>
      </w:r>
      <w:r>
        <w:rPr>
          <w:rFonts w:hint="default" w:ascii="Times New Roman" w:hAnsi="Times New Roman" w:eastAsia="宋体" w:cs="Times New Roman"/>
          <w:color w:val="auto"/>
          <w:kern w:val="0"/>
          <w:sz w:val="24"/>
          <w:szCs w:val="24"/>
          <w:highlight w:val="none"/>
          <w:lang w:val="en-US" w:eastAsia="zh-CN" w:bidi="ar"/>
        </w:rPr>
        <w:t>，排放浓度为</w:t>
      </w:r>
      <w:r>
        <w:rPr>
          <w:rFonts w:hint="eastAsia" w:cs="Times New Roman"/>
          <w:color w:val="auto"/>
          <w:kern w:val="0"/>
          <w:sz w:val="24"/>
          <w:szCs w:val="24"/>
          <w:highlight w:val="none"/>
          <w:lang w:val="en-US" w:eastAsia="zh-CN" w:bidi="ar"/>
        </w:rPr>
        <w:t>0.263</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cs="Times New Roman"/>
          <w:color w:val="auto"/>
          <w:sz w:val="24"/>
          <w:szCs w:val="24"/>
          <w:highlight w:val="none"/>
          <w:vertAlign w:val="baseline"/>
          <w:lang w:eastAsia="zh-CN"/>
        </w:rPr>
        <w:t>。</w:t>
      </w:r>
      <w:r>
        <w:rPr>
          <w:rFonts w:hint="default" w:ascii="Times New Roman" w:hAnsi="Times New Roman" w:cs="Times New Roman"/>
          <w:color w:val="auto"/>
          <w:sz w:val="24"/>
          <w:szCs w:val="24"/>
          <w:highlight w:val="none"/>
        </w:rPr>
        <w:t>满足《大气污染物综合排放标准》（GB16297-1996）中新污染源大气污染物排放限值</w:t>
      </w:r>
      <w:r>
        <w:rPr>
          <w:rFonts w:hint="default" w:ascii="Times New Roman" w:hAnsi="Times New Roman" w:cs="Times New Roman"/>
          <w:color w:val="auto"/>
          <w:sz w:val="24"/>
          <w:szCs w:val="24"/>
          <w:highlight w:val="none"/>
          <w:lang w:val="en-US" w:eastAsia="zh-CN"/>
        </w:rPr>
        <w:t>要求（</w:t>
      </w:r>
      <w:r>
        <w:rPr>
          <w:rFonts w:hint="default" w:ascii="Times New Roman" w:hAnsi="Times New Roman" w:cs="Times New Roman"/>
          <w:b w:val="0"/>
          <w:bCs w:val="0"/>
          <w:color w:val="auto"/>
          <w:kern w:val="0"/>
          <w:sz w:val="24"/>
          <w:highlight w:val="none"/>
          <w:vertAlign w:val="baseline"/>
          <w:lang w:eastAsia="zh-CN"/>
        </w:rPr>
        <w:t>氟化物</w:t>
      </w:r>
      <w:r>
        <w:rPr>
          <w:rFonts w:hint="default" w:ascii="Times New Roman" w:hAnsi="Times New Roman" w:cs="Times New Roman"/>
          <w:b w:val="0"/>
          <w:bCs w:val="0"/>
          <w:color w:val="auto"/>
          <w:kern w:val="0"/>
          <w:sz w:val="24"/>
          <w:highlight w:val="none"/>
          <w:lang w:eastAsia="zh-CN"/>
        </w:rPr>
        <w:t>排放速率</w:t>
      </w:r>
      <w:r>
        <w:rPr>
          <w:rFonts w:hint="default" w:ascii="Times New Roman" w:hAnsi="Times New Roman" w:cs="Times New Roman"/>
          <w:b w:val="0"/>
          <w:bCs w:val="0"/>
          <w:color w:val="auto"/>
          <w:kern w:val="0"/>
          <w:sz w:val="24"/>
          <w:highlight w:val="none"/>
          <w:lang w:val="en-US" w:eastAsia="zh-CN"/>
        </w:rPr>
        <w:t>0.1kg/h，</w:t>
      </w:r>
      <w:r>
        <w:rPr>
          <w:rFonts w:hint="default" w:ascii="Times New Roman" w:hAnsi="Times New Roman" w:cs="Times New Roman"/>
          <w:b w:val="0"/>
          <w:bCs w:val="0"/>
          <w:color w:val="auto"/>
          <w:kern w:val="0"/>
          <w:sz w:val="24"/>
          <w:highlight w:val="none"/>
          <w:lang w:eastAsia="zh-CN"/>
        </w:rPr>
        <w:t>排放浓度</w:t>
      </w:r>
      <w:r>
        <w:rPr>
          <w:rFonts w:hint="default" w:ascii="Times New Roman" w:hAnsi="Times New Roman" w:cs="Times New Roman"/>
          <w:b w:val="0"/>
          <w:bCs w:val="0"/>
          <w:color w:val="auto"/>
          <w:kern w:val="0"/>
          <w:sz w:val="24"/>
          <w:highlight w:val="none"/>
          <w:lang w:val="en-US" w:eastAsia="zh-CN"/>
        </w:rPr>
        <w:t>9.0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r>
        <w:rPr>
          <w:rFonts w:hint="default" w:ascii="Times New Roman" w:hAnsi="Times New Roman" w:cs="Times New Roman"/>
          <w:color w:val="auto"/>
          <w:sz w:val="24"/>
          <w:szCs w:val="24"/>
          <w:highlight w:val="none"/>
          <w:lang w:val="en-US" w:eastAsia="zh-CN"/>
        </w:rPr>
        <w:t>。</w:t>
      </w:r>
    </w:p>
    <w:p w14:paraId="1E6386AE">
      <w:pPr>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该工段无组织氟化物产生量为</w:t>
      </w:r>
      <w:r>
        <w:rPr>
          <w:rFonts w:hint="eastAsia" w:cs="Times New Roman"/>
          <w:color w:val="auto"/>
          <w:sz w:val="24"/>
          <w:szCs w:val="24"/>
          <w:highlight w:val="none"/>
          <w:lang w:val="en-US" w:eastAsia="zh-CN"/>
        </w:rPr>
        <w:t>9.4680</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cs="Times New Roman"/>
          <w:color w:val="auto"/>
          <w:sz w:val="24"/>
          <w:szCs w:val="24"/>
          <w:highlight w:val="none"/>
          <w:lang w:val="en-US" w:eastAsia="zh-CN"/>
        </w:rPr>
        <w:t>，产生速率为</w:t>
      </w:r>
      <w:r>
        <w:rPr>
          <w:rFonts w:hint="eastAsia" w:cs="Times New Roman"/>
          <w:color w:val="auto"/>
          <w:sz w:val="24"/>
          <w:szCs w:val="24"/>
          <w:highlight w:val="none"/>
          <w:lang w:val="en-US" w:eastAsia="zh-CN"/>
        </w:rPr>
        <w:t>1.3150</w:t>
      </w:r>
      <w:r>
        <w:rPr>
          <w:rFonts w:hint="default" w:ascii="Times New Roman" w:hAnsi="Times New Roman" w:cs="Times New Roman"/>
          <w:b w:val="0"/>
          <w:bCs w:val="0"/>
          <w:color w:val="auto"/>
          <w:kern w:val="0"/>
          <w:sz w:val="24"/>
          <w:highlight w:val="none"/>
          <w:lang w:val="en-US" w:eastAsia="zh-CN"/>
        </w:rPr>
        <w:t>kg/h</w:t>
      </w:r>
      <w:r>
        <w:rPr>
          <w:rFonts w:hint="default" w:ascii="Times New Roman" w:hAnsi="Times New Roman" w:cs="Times New Roman"/>
          <w:color w:val="auto"/>
          <w:sz w:val="24"/>
          <w:szCs w:val="24"/>
          <w:highlight w:val="none"/>
          <w:lang w:val="en-US" w:eastAsia="zh-CN"/>
        </w:rPr>
        <w:t>，经密闭厂房抑尘后，无组织氟化物排放量为</w:t>
      </w:r>
      <w:r>
        <w:rPr>
          <w:rFonts w:hint="eastAsia" w:cs="Times New Roman"/>
          <w:color w:val="auto"/>
          <w:sz w:val="24"/>
          <w:szCs w:val="24"/>
          <w:highlight w:val="none"/>
          <w:lang w:val="en-US" w:eastAsia="zh-CN"/>
        </w:rPr>
        <w:t>0.0947</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cs="Times New Roman"/>
          <w:color w:val="auto"/>
          <w:sz w:val="24"/>
          <w:szCs w:val="24"/>
          <w:highlight w:val="none"/>
          <w:lang w:val="en-US" w:eastAsia="zh-CN"/>
        </w:rPr>
        <w:t>，排放速率为0.</w:t>
      </w:r>
      <w:r>
        <w:rPr>
          <w:rFonts w:hint="eastAsia" w:cs="Times New Roman"/>
          <w:color w:val="auto"/>
          <w:sz w:val="24"/>
          <w:szCs w:val="24"/>
          <w:highlight w:val="none"/>
          <w:lang w:val="en-US" w:eastAsia="zh-CN"/>
        </w:rPr>
        <w:t>0132</w:t>
      </w:r>
      <w:r>
        <w:rPr>
          <w:rFonts w:hint="default" w:ascii="Times New Roman" w:hAnsi="Times New Roman" w:cs="Times New Roman"/>
          <w:b w:val="0"/>
          <w:bCs w:val="0"/>
          <w:color w:val="auto"/>
          <w:kern w:val="0"/>
          <w:sz w:val="24"/>
          <w:highlight w:val="none"/>
          <w:lang w:val="en-US" w:eastAsia="zh-CN"/>
        </w:rPr>
        <w:t>kg/h</w:t>
      </w:r>
      <w:r>
        <w:rPr>
          <w:rFonts w:hint="default" w:ascii="Times New Roman" w:hAnsi="Times New Roman" w:cs="Times New Roman"/>
          <w:color w:val="auto"/>
          <w:sz w:val="24"/>
          <w:szCs w:val="24"/>
          <w:highlight w:val="none"/>
          <w:lang w:val="en-US" w:eastAsia="zh-CN"/>
        </w:rPr>
        <w:t>。</w:t>
      </w:r>
    </w:p>
    <w:p w14:paraId="0BEDFD03">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（3）筛分厂房废气</w:t>
      </w:r>
    </w:p>
    <w:p w14:paraId="534E1C42">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①颗粒物</w:t>
      </w:r>
    </w:p>
    <w:p w14:paraId="74BE3E53">
      <w:pPr>
        <w:bidi w:val="0"/>
        <w:rPr>
          <w:rFonts w:hint="default" w:ascii="Times New Roman" w:hAnsi="Times New Roman" w:eastAsia="宋体" w:cs="Times New Roman"/>
          <w:b w:val="0"/>
          <w:bCs w:val="0"/>
          <w:color w:val="auto"/>
          <w:kern w:val="0"/>
          <w:sz w:val="24"/>
          <w:highlight w:val="none"/>
        </w:rPr>
      </w:pPr>
      <w:r>
        <w:rPr>
          <w:rFonts w:hint="eastAsia" w:cs="Times New Roman"/>
          <w:b w:val="0"/>
          <w:bCs w:val="0"/>
          <w:color w:val="auto"/>
          <w:highlight w:val="none"/>
          <w:lang w:val="en-US" w:eastAsia="zh-CN"/>
        </w:rPr>
        <w:t>筛分厂房颗粒物产生量按照破碎、筛分总产生量的二分之一进行计算，则</w:t>
      </w:r>
      <w:r>
        <w:rPr>
          <w:rFonts w:hint="default" w:ascii="Times New Roman" w:hAnsi="Times New Roman" w:cs="Times New Roman"/>
          <w:b w:val="0"/>
          <w:bCs w:val="0"/>
          <w:color w:val="auto"/>
          <w:highlight w:val="none"/>
          <w:lang w:val="en-US" w:eastAsia="zh-CN"/>
        </w:rPr>
        <w:t>筛分厂房颗粒物产生总量为</w:t>
      </w:r>
      <w:r>
        <w:rPr>
          <w:rFonts w:hint="eastAsia" w:cs="Times New Roman"/>
          <w:b w:val="0"/>
          <w:bCs w:val="0"/>
          <w:color w:val="auto"/>
          <w:highlight w:val="none"/>
          <w:lang w:val="en-US" w:eastAsia="zh-CN"/>
        </w:rPr>
        <w:t>600</w:t>
      </w:r>
      <w:r>
        <w:rPr>
          <w:rFonts w:hint="default" w:ascii="Times New Roman" w:hAnsi="Times New Roman" w:cs="Times New Roman"/>
          <w:b w:val="0"/>
          <w:bCs w:val="0"/>
          <w:color w:val="auto"/>
          <w:highlight w:val="none"/>
          <w:lang w:val="en-US" w:eastAsia="zh-CN"/>
        </w:rPr>
        <w:t>t/a，</w:t>
      </w:r>
      <w:r>
        <w:rPr>
          <w:rFonts w:hint="default" w:ascii="Times New Roman" w:hAnsi="Times New Roman" w:eastAsia="宋体" w:cs="Times New Roman"/>
          <w:color w:val="auto"/>
          <w:kern w:val="0"/>
          <w:sz w:val="24"/>
          <w:szCs w:val="24"/>
          <w:highlight w:val="none"/>
          <w:lang w:val="en-US" w:eastAsia="zh-CN" w:bidi="ar"/>
        </w:rPr>
        <w:t>皮带头部、皮带给矿机头部、筛下料落料点</w:t>
      </w:r>
      <w:r>
        <w:rPr>
          <w:rFonts w:hint="default" w:ascii="Times New Roman" w:hAnsi="Times New Roman" w:eastAsia="宋体" w:cs="Times New Roman"/>
          <w:b w:val="0"/>
          <w:bCs w:val="0"/>
          <w:color w:val="auto"/>
          <w:kern w:val="0"/>
          <w:sz w:val="24"/>
          <w:szCs w:val="24"/>
          <w:highlight w:val="none"/>
          <w:lang w:val="en-US" w:eastAsia="zh-CN" w:bidi="ar"/>
        </w:rPr>
        <w:t>等处均设除尘罩，设一套布袋除尘器处理后经15m高排气筒排放，集气罩收集效率按90%计，</w:t>
      </w:r>
      <w:r>
        <w:rPr>
          <w:rFonts w:hint="default" w:ascii="Times New Roman" w:hAnsi="Times New Roman" w:cs="Times New Roman"/>
          <w:b w:val="0"/>
          <w:bCs w:val="0"/>
          <w:color w:val="auto"/>
          <w:kern w:val="0"/>
          <w:sz w:val="24"/>
          <w:szCs w:val="24"/>
          <w:highlight w:val="none"/>
          <w:lang w:val="en-US" w:eastAsia="zh-CN" w:bidi="ar"/>
        </w:rPr>
        <w:t>则有组织颗粒物产生量为</w:t>
      </w:r>
      <w:r>
        <w:rPr>
          <w:rFonts w:hint="eastAsia" w:cs="Times New Roman"/>
          <w:b w:val="0"/>
          <w:bCs w:val="0"/>
          <w:color w:val="auto"/>
          <w:kern w:val="0"/>
          <w:sz w:val="24"/>
          <w:szCs w:val="24"/>
          <w:highlight w:val="none"/>
          <w:lang w:val="en-US" w:eastAsia="zh-CN" w:bidi="ar"/>
        </w:rPr>
        <w:t>540</w:t>
      </w:r>
      <w:r>
        <w:rPr>
          <w:rFonts w:hint="default" w:ascii="Times New Roman" w:hAnsi="Times New Roman" w:cs="Times New Roman"/>
          <w:b w:val="0"/>
          <w:bCs w:val="0"/>
          <w:color w:val="auto"/>
          <w:kern w:val="0"/>
          <w:sz w:val="24"/>
          <w:szCs w:val="24"/>
          <w:highlight w:val="none"/>
          <w:lang w:val="en-US" w:eastAsia="zh-CN" w:bidi="ar"/>
        </w:rPr>
        <w:t>t/a</w:t>
      </w:r>
      <w:r>
        <w:rPr>
          <w:rFonts w:hint="eastAsia" w:cs="Times New Roman"/>
          <w:b w:val="0"/>
          <w:bCs w:val="0"/>
          <w:color w:val="auto"/>
          <w:kern w:val="0"/>
          <w:sz w:val="24"/>
          <w:szCs w:val="24"/>
          <w:highlight w:val="none"/>
          <w:lang w:val="en-US" w:eastAsia="zh-CN" w:bidi="ar"/>
        </w:rPr>
        <w:t>，</w:t>
      </w:r>
      <w:r>
        <w:rPr>
          <w:rFonts w:hint="default" w:ascii="Times New Roman" w:hAnsi="Times New Roman" w:cs="Times New Roman"/>
          <w:b w:val="0"/>
          <w:bCs w:val="0"/>
          <w:color w:val="auto"/>
          <w:kern w:val="0"/>
          <w:sz w:val="24"/>
          <w:szCs w:val="24"/>
          <w:highlight w:val="none"/>
          <w:lang w:val="en-US" w:eastAsia="zh-CN" w:bidi="ar"/>
        </w:rPr>
        <w:t>产生速率为</w:t>
      </w:r>
      <w:r>
        <w:rPr>
          <w:rFonts w:hint="eastAsia" w:cs="Times New Roman"/>
          <w:b w:val="0"/>
          <w:bCs w:val="0"/>
          <w:color w:val="auto"/>
          <w:kern w:val="0"/>
          <w:sz w:val="24"/>
          <w:szCs w:val="24"/>
          <w:highlight w:val="none"/>
          <w:lang w:val="en-US" w:eastAsia="zh-CN" w:bidi="ar"/>
        </w:rPr>
        <w:t>75</w:t>
      </w:r>
      <w:r>
        <w:rPr>
          <w:rFonts w:hint="default" w:ascii="Times New Roman" w:hAnsi="Times New Roman" w:cs="Times New Roman"/>
          <w:b w:val="0"/>
          <w:bCs w:val="0"/>
          <w:color w:val="auto"/>
          <w:kern w:val="0"/>
          <w:sz w:val="24"/>
          <w:szCs w:val="24"/>
          <w:highlight w:val="none"/>
          <w:lang w:val="en-US" w:eastAsia="zh-CN" w:bidi="ar"/>
        </w:rPr>
        <w:t>kg/h，风机风量为</w:t>
      </w:r>
      <w:r>
        <w:rPr>
          <w:rFonts w:hint="eastAsia" w:cs="Times New Roman"/>
          <w:b w:val="0"/>
          <w:bCs w:val="0"/>
          <w:color w:val="auto"/>
          <w:kern w:val="0"/>
          <w:sz w:val="24"/>
          <w:szCs w:val="24"/>
          <w:highlight w:val="none"/>
          <w:lang w:val="en-US" w:eastAsia="zh-CN" w:bidi="ar"/>
        </w:rPr>
        <w:t>70</w:t>
      </w:r>
      <w:r>
        <w:rPr>
          <w:rFonts w:hint="default" w:ascii="Times New Roman" w:hAnsi="Times New Roman" w:cs="Times New Roman"/>
          <w:b w:val="0"/>
          <w:bCs w:val="0"/>
          <w:color w:val="auto"/>
          <w:kern w:val="0"/>
          <w:sz w:val="24"/>
          <w:szCs w:val="24"/>
          <w:highlight w:val="none"/>
          <w:lang w:val="en-US" w:eastAsia="zh-CN" w:bidi="ar"/>
        </w:rPr>
        <w:t>000</w:t>
      </w:r>
      <w:r>
        <w:rPr>
          <w:rFonts w:hint="default" w:ascii="Times New Roman" w:hAnsi="Times New Roman" w:eastAsia="宋体" w:cs="Times New Roman"/>
          <w:b w:val="0"/>
          <w:bCs w:val="0"/>
          <w:color w:val="auto"/>
          <w:kern w:val="0"/>
          <w:sz w:val="24"/>
          <w:highlight w:val="none"/>
        </w:rPr>
        <w:t>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vertAlign w:val="baseline"/>
          <w:lang w:val="en-US" w:eastAsia="zh-CN"/>
        </w:rPr>
        <w:t>/h</w:t>
      </w:r>
      <w:r>
        <w:rPr>
          <w:rFonts w:hint="default" w:ascii="Times New Roman" w:hAnsi="Times New Roman" w:cs="Times New Roman"/>
          <w:b w:val="0"/>
          <w:bCs w:val="0"/>
          <w:color w:val="auto"/>
          <w:kern w:val="0"/>
          <w:sz w:val="24"/>
          <w:szCs w:val="24"/>
          <w:highlight w:val="none"/>
          <w:lang w:val="en-US" w:eastAsia="zh-CN" w:bidi="ar"/>
        </w:rPr>
        <w:t>，则产生浓度为</w:t>
      </w:r>
      <w:r>
        <w:rPr>
          <w:rFonts w:hint="eastAsia" w:cs="Times New Roman"/>
          <w:b w:val="0"/>
          <w:bCs w:val="0"/>
          <w:color w:val="auto"/>
          <w:kern w:val="0"/>
          <w:sz w:val="24"/>
          <w:szCs w:val="24"/>
          <w:highlight w:val="none"/>
          <w:lang w:val="en-US" w:eastAsia="zh-CN" w:bidi="ar"/>
        </w:rPr>
        <w:t>1071.4286</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cs="Times New Roman"/>
          <w:b w:val="0"/>
          <w:bCs w:val="0"/>
          <w:color w:val="auto"/>
          <w:kern w:val="0"/>
          <w:sz w:val="24"/>
          <w:szCs w:val="24"/>
          <w:highlight w:val="none"/>
          <w:lang w:val="en-US" w:eastAsia="zh-CN" w:bidi="ar"/>
        </w:rPr>
        <w:t>，</w:t>
      </w:r>
      <w:r>
        <w:rPr>
          <w:rFonts w:hint="default" w:ascii="Times New Roman" w:hAnsi="Times New Roman" w:cs="Times New Roman"/>
          <w:color w:val="auto"/>
          <w:highlight w:val="none"/>
        </w:rPr>
        <w:t>布袋除尘器</w:t>
      </w:r>
      <w:r>
        <w:rPr>
          <w:rFonts w:hint="default" w:ascii="Times New Roman" w:hAnsi="Times New Roman" w:eastAsia="宋体" w:cs="Times New Roman"/>
          <w:b w:val="0"/>
          <w:bCs w:val="0"/>
          <w:color w:val="auto"/>
          <w:kern w:val="0"/>
          <w:sz w:val="24"/>
          <w:szCs w:val="24"/>
          <w:highlight w:val="none"/>
          <w:lang w:val="en-US" w:eastAsia="zh-CN" w:bidi="ar"/>
        </w:rPr>
        <w:t>除尘效率</w:t>
      </w:r>
      <w:r>
        <w:rPr>
          <w:rFonts w:hint="default" w:ascii="Times New Roman" w:hAnsi="Times New Roman" w:cs="Times New Roman"/>
          <w:b w:val="0"/>
          <w:bCs w:val="0"/>
          <w:color w:val="auto"/>
          <w:kern w:val="0"/>
          <w:sz w:val="24"/>
          <w:szCs w:val="24"/>
          <w:highlight w:val="none"/>
          <w:lang w:val="en-US" w:eastAsia="zh-CN" w:bidi="ar"/>
        </w:rPr>
        <w:t>按</w:t>
      </w:r>
      <w:r>
        <w:rPr>
          <w:rFonts w:hint="default" w:ascii="Times New Roman" w:hAnsi="Times New Roman" w:eastAsia="宋体" w:cs="Times New Roman"/>
          <w:b w:val="0"/>
          <w:bCs w:val="0"/>
          <w:color w:val="auto"/>
          <w:kern w:val="0"/>
          <w:sz w:val="24"/>
          <w:szCs w:val="24"/>
          <w:highlight w:val="none"/>
          <w:lang w:val="en-US" w:eastAsia="zh-CN" w:bidi="ar"/>
        </w:rPr>
        <w:t>99</w:t>
      </w:r>
      <w:r>
        <w:rPr>
          <w:rFonts w:hint="eastAsia" w:cs="Times New Roman"/>
          <w:b w:val="0"/>
          <w:bCs w:val="0"/>
          <w:color w:val="auto"/>
          <w:kern w:val="0"/>
          <w:sz w:val="24"/>
          <w:szCs w:val="24"/>
          <w:highlight w:val="none"/>
          <w:lang w:val="en-US" w:eastAsia="zh-CN" w:bidi="ar"/>
        </w:rPr>
        <w:t>.9</w:t>
      </w:r>
      <w:r>
        <w:rPr>
          <w:rFonts w:hint="default" w:ascii="Times New Roman" w:hAnsi="Times New Roman" w:eastAsia="宋体" w:cs="Times New Roman"/>
          <w:b w:val="0"/>
          <w:bCs w:val="0"/>
          <w:color w:val="auto"/>
          <w:kern w:val="0"/>
          <w:sz w:val="24"/>
          <w:szCs w:val="24"/>
          <w:highlight w:val="none"/>
          <w:lang w:val="en-US" w:eastAsia="zh-CN" w:bidi="ar"/>
        </w:rPr>
        <w:t>%</w:t>
      </w:r>
      <w:r>
        <w:rPr>
          <w:rFonts w:hint="default" w:ascii="Times New Roman" w:hAnsi="Times New Roman" w:cs="Times New Roman"/>
          <w:b w:val="0"/>
          <w:bCs w:val="0"/>
          <w:color w:val="auto"/>
          <w:kern w:val="0"/>
          <w:sz w:val="24"/>
          <w:szCs w:val="24"/>
          <w:highlight w:val="none"/>
          <w:lang w:val="en-US" w:eastAsia="zh-CN" w:bidi="ar"/>
        </w:rPr>
        <w:t>计，则该工段有组织颗粒物排放量为</w:t>
      </w:r>
      <w:r>
        <w:rPr>
          <w:rFonts w:hint="eastAsia" w:cs="Times New Roman"/>
          <w:b w:val="0"/>
          <w:bCs w:val="0"/>
          <w:color w:val="auto"/>
          <w:kern w:val="0"/>
          <w:sz w:val="24"/>
          <w:szCs w:val="24"/>
          <w:highlight w:val="none"/>
          <w:lang w:val="en-US" w:eastAsia="zh-CN" w:bidi="ar"/>
        </w:rPr>
        <w:t>0.54</w:t>
      </w:r>
      <w:r>
        <w:rPr>
          <w:rFonts w:hint="default" w:ascii="Times New Roman" w:hAnsi="Times New Roman" w:cs="Times New Roman"/>
          <w:b w:val="0"/>
          <w:bCs w:val="0"/>
          <w:color w:val="auto"/>
          <w:sz w:val="24"/>
          <w:szCs w:val="24"/>
          <w:highlight w:val="none"/>
          <w:lang w:val="en-US" w:eastAsia="zh-CN"/>
        </w:rPr>
        <w:t>t/a</w:t>
      </w:r>
      <w:r>
        <w:rPr>
          <w:rFonts w:hint="default" w:ascii="Times New Roman" w:hAnsi="Times New Roman" w:cs="Times New Roman"/>
          <w:b w:val="0"/>
          <w:bCs w:val="0"/>
          <w:color w:val="auto"/>
          <w:kern w:val="0"/>
          <w:sz w:val="24"/>
          <w:szCs w:val="24"/>
          <w:highlight w:val="none"/>
          <w:lang w:val="en-US" w:eastAsia="zh-CN" w:bidi="ar"/>
        </w:rPr>
        <w:t>，排放速率为</w:t>
      </w:r>
      <w:r>
        <w:rPr>
          <w:rFonts w:hint="eastAsia" w:cs="Times New Roman"/>
          <w:b w:val="0"/>
          <w:bCs w:val="0"/>
          <w:color w:val="auto"/>
          <w:kern w:val="0"/>
          <w:sz w:val="24"/>
          <w:szCs w:val="24"/>
          <w:highlight w:val="none"/>
          <w:lang w:val="en-US" w:eastAsia="zh-CN" w:bidi="ar"/>
        </w:rPr>
        <w:t>0.075</w:t>
      </w:r>
      <w:r>
        <w:rPr>
          <w:rFonts w:hint="default" w:ascii="Times New Roman" w:hAnsi="Times New Roman" w:eastAsia="宋体" w:cs="Times New Roman"/>
          <w:b w:val="0"/>
          <w:bCs w:val="0"/>
          <w:color w:val="auto"/>
          <w:sz w:val="24"/>
          <w:szCs w:val="24"/>
          <w:highlight w:val="none"/>
          <w:lang w:val="en-US" w:eastAsia="zh-CN"/>
        </w:rPr>
        <w:t>kg/h</w:t>
      </w:r>
      <w:r>
        <w:rPr>
          <w:rFonts w:hint="default" w:ascii="Times New Roman" w:hAnsi="Times New Roman" w:cs="Times New Roman"/>
          <w:b w:val="0"/>
          <w:bCs w:val="0"/>
          <w:color w:val="auto"/>
          <w:kern w:val="0"/>
          <w:sz w:val="24"/>
          <w:szCs w:val="24"/>
          <w:highlight w:val="none"/>
          <w:lang w:val="en-US" w:eastAsia="zh-CN" w:bidi="ar"/>
        </w:rPr>
        <w:t>，排放浓度为</w:t>
      </w:r>
      <w:r>
        <w:rPr>
          <w:rFonts w:hint="eastAsia" w:cs="Times New Roman"/>
          <w:b w:val="0"/>
          <w:bCs w:val="0"/>
          <w:color w:val="auto"/>
          <w:kern w:val="0"/>
          <w:sz w:val="24"/>
          <w:szCs w:val="24"/>
          <w:highlight w:val="none"/>
          <w:lang w:val="en-US" w:eastAsia="zh-CN" w:bidi="ar"/>
        </w:rPr>
        <w:t>1.0714</w:t>
      </w:r>
      <w:r>
        <w:rPr>
          <w:rFonts w:hint="default" w:ascii="Times New Roman" w:hAnsi="Times New Roman" w:cs="Times New Roman"/>
          <w:b w:val="0"/>
          <w:bCs w:val="0"/>
          <w:color w:val="auto"/>
          <w:sz w:val="24"/>
          <w:szCs w:val="24"/>
          <w:highlight w:val="none"/>
        </w:rPr>
        <w:t>mg/m</w:t>
      </w:r>
      <w:r>
        <w:rPr>
          <w:rFonts w:hint="default" w:ascii="Times New Roman" w:hAnsi="Times New Roman" w:cs="Times New Roman"/>
          <w:b w:val="0"/>
          <w:bCs w:val="0"/>
          <w:color w:val="auto"/>
          <w:sz w:val="24"/>
          <w:szCs w:val="24"/>
          <w:highlight w:val="none"/>
          <w:vertAlign w:val="superscript"/>
        </w:rPr>
        <w:t>3</w:t>
      </w:r>
      <w:r>
        <w:rPr>
          <w:rFonts w:hint="default" w:ascii="Times New Roman" w:hAnsi="Times New Roman" w:cs="Times New Roman"/>
          <w:b w:val="0"/>
          <w:bCs w:val="0"/>
          <w:color w:val="auto"/>
          <w:kern w:val="0"/>
          <w:sz w:val="24"/>
          <w:szCs w:val="24"/>
          <w:highlight w:val="none"/>
          <w:lang w:val="en-US" w:eastAsia="zh-CN" w:bidi="ar"/>
        </w:rPr>
        <w:t>，满足</w:t>
      </w:r>
      <w:r>
        <w:rPr>
          <w:rFonts w:hint="default" w:ascii="Times New Roman" w:hAnsi="Times New Roman" w:eastAsia="宋体" w:cs="Times New Roman"/>
          <w:b w:val="0"/>
          <w:bCs w:val="0"/>
          <w:color w:val="auto"/>
          <w:kern w:val="0"/>
          <w:sz w:val="24"/>
          <w:highlight w:val="none"/>
        </w:rPr>
        <w:t>《大气污染物综合排放标准》（GB16297-1996）中的要求（颗粒物</w:t>
      </w:r>
      <w:r>
        <w:rPr>
          <w:rFonts w:hint="default" w:ascii="Times New Roman" w:hAnsi="Times New Roman" w:cs="Times New Roman"/>
          <w:b w:val="0"/>
          <w:bCs w:val="0"/>
          <w:color w:val="auto"/>
          <w:kern w:val="0"/>
          <w:sz w:val="24"/>
          <w:highlight w:val="none"/>
          <w:lang w:eastAsia="zh-CN"/>
        </w:rPr>
        <w:t>排放速率</w:t>
      </w:r>
      <w:r>
        <w:rPr>
          <w:rFonts w:hint="default" w:ascii="Times New Roman" w:hAnsi="Times New Roman" w:cs="Times New Roman"/>
          <w:b w:val="0"/>
          <w:bCs w:val="0"/>
          <w:color w:val="auto"/>
          <w:kern w:val="0"/>
          <w:sz w:val="24"/>
          <w:highlight w:val="none"/>
          <w:lang w:val="en-US" w:eastAsia="zh-CN"/>
        </w:rPr>
        <w:t>3.5kg/h，</w:t>
      </w:r>
      <w:r>
        <w:rPr>
          <w:rFonts w:hint="default" w:ascii="Times New Roman" w:hAnsi="Times New Roman" w:cs="Times New Roman"/>
          <w:b w:val="0"/>
          <w:bCs w:val="0"/>
          <w:color w:val="auto"/>
          <w:kern w:val="0"/>
          <w:sz w:val="24"/>
          <w:highlight w:val="none"/>
          <w:lang w:eastAsia="zh-CN"/>
        </w:rPr>
        <w:t>排放浓度</w:t>
      </w:r>
      <w:r>
        <w:rPr>
          <w:rFonts w:hint="default" w:ascii="Times New Roman" w:hAnsi="Times New Roman" w:cs="Times New Roman"/>
          <w:b w:val="0"/>
          <w:bCs w:val="0"/>
          <w:color w:val="auto"/>
          <w:kern w:val="0"/>
          <w:sz w:val="24"/>
          <w:highlight w:val="none"/>
          <w:lang w:val="en-US" w:eastAsia="zh-CN"/>
        </w:rPr>
        <w:t>120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p>
    <w:p w14:paraId="27B27C6E">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未被收集的粉尘全部无组织排放，</w:t>
      </w:r>
      <w:r>
        <w:rPr>
          <w:rFonts w:hint="default" w:ascii="Times New Roman" w:hAnsi="Times New Roman" w:cs="Times New Roman"/>
          <w:snapToGrid w:val="0"/>
          <w:color w:val="auto"/>
          <w:spacing w:val="0"/>
          <w:kern w:val="0"/>
          <w:sz w:val="24"/>
          <w:szCs w:val="24"/>
          <w:highlight w:val="none"/>
          <w:lang w:val="en-US" w:eastAsia="zh-CN"/>
        </w:rPr>
        <w:t>则该工段无组织颗粒物排放量为</w:t>
      </w:r>
      <w:r>
        <w:rPr>
          <w:rFonts w:hint="eastAsia" w:cs="Times New Roman"/>
          <w:snapToGrid w:val="0"/>
          <w:color w:val="auto"/>
          <w:spacing w:val="0"/>
          <w:kern w:val="0"/>
          <w:sz w:val="24"/>
          <w:szCs w:val="24"/>
          <w:highlight w:val="none"/>
          <w:lang w:val="en-US" w:eastAsia="zh-CN"/>
        </w:rPr>
        <w:t>60</w:t>
      </w:r>
      <w:r>
        <w:rPr>
          <w:rFonts w:hint="default" w:ascii="Times New Roman" w:hAnsi="Times New Roman" w:cs="Times New Roman"/>
          <w:snapToGrid w:val="0"/>
          <w:color w:val="auto"/>
          <w:spacing w:val="0"/>
          <w:kern w:val="0"/>
          <w:sz w:val="24"/>
          <w:szCs w:val="24"/>
          <w:highlight w:val="none"/>
          <w:lang w:val="en-US" w:eastAsia="zh-CN"/>
        </w:rPr>
        <w:t>t/a，排放速率为</w:t>
      </w:r>
      <w:r>
        <w:rPr>
          <w:rFonts w:hint="eastAsia" w:cs="Times New Roman"/>
          <w:snapToGrid w:val="0"/>
          <w:color w:val="auto"/>
          <w:spacing w:val="0"/>
          <w:kern w:val="0"/>
          <w:sz w:val="24"/>
          <w:szCs w:val="24"/>
          <w:highlight w:val="none"/>
          <w:lang w:val="en-US" w:eastAsia="zh-CN"/>
        </w:rPr>
        <w:t>8.3333</w:t>
      </w:r>
      <w:r>
        <w:rPr>
          <w:rFonts w:hint="default" w:ascii="Times New Roman" w:hAnsi="Times New Roman" w:cs="Times New Roman"/>
          <w:snapToGrid w:val="0"/>
          <w:color w:val="auto"/>
          <w:spacing w:val="0"/>
          <w:kern w:val="0"/>
          <w:sz w:val="24"/>
          <w:szCs w:val="24"/>
          <w:highlight w:val="none"/>
          <w:lang w:val="en-US" w:eastAsia="zh-CN"/>
        </w:rPr>
        <w:t>kg/h。</w:t>
      </w:r>
      <w:r>
        <w:rPr>
          <w:rFonts w:hint="default" w:ascii="Times New Roman" w:hAnsi="Times New Roman" w:cs="Times New Roman"/>
          <w:b w:val="0"/>
          <w:bCs w:val="0"/>
          <w:color w:val="auto"/>
          <w:sz w:val="24"/>
          <w:szCs w:val="24"/>
          <w:highlight w:val="none"/>
          <w:lang w:val="en-US" w:eastAsia="zh-CN"/>
        </w:rPr>
        <w:t>本项目生产车间均为密闭厂房，</w:t>
      </w:r>
      <w:r>
        <w:rPr>
          <w:rFonts w:hint="default" w:ascii="Times New Roman" w:hAnsi="Times New Roman" w:eastAsia="宋体" w:cs="Times New Roman"/>
          <w:b w:val="0"/>
          <w:bCs w:val="0"/>
          <w:color w:val="auto"/>
          <w:sz w:val="24"/>
          <w:highlight w:val="none"/>
          <w:lang w:val="en-US" w:eastAsia="zh-CN"/>
        </w:rPr>
        <w:t>参考《排放源统计调查产排污核算方法和系数手册》附表2固体物料堆存颗粒物产排污核算系数手册，</w:t>
      </w:r>
      <w:r>
        <w:rPr>
          <w:rFonts w:hint="default" w:ascii="Times New Roman" w:hAnsi="Times New Roman" w:cs="Times New Roman"/>
          <w:b w:val="0"/>
          <w:bCs w:val="0"/>
          <w:color w:val="auto"/>
          <w:sz w:val="24"/>
          <w:highlight w:val="none"/>
          <w:lang w:val="en-US" w:eastAsia="zh-CN"/>
        </w:rPr>
        <w:t>全封闭厂房粉尘控制</w:t>
      </w:r>
      <w:r>
        <w:rPr>
          <w:rFonts w:hint="default" w:ascii="Times New Roman" w:hAnsi="Times New Roman" w:eastAsia="宋体" w:cs="Times New Roman"/>
          <w:b w:val="0"/>
          <w:bCs w:val="0"/>
          <w:color w:val="auto"/>
          <w:sz w:val="24"/>
          <w:highlight w:val="none"/>
          <w:lang w:val="en-US" w:eastAsia="zh-CN"/>
        </w:rPr>
        <w:t>效率为</w:t>
      </w:r>
      <w:r>
        <w:rPr>
          <w:rFonts w:hint="default" w:ascii="Times New Roman" w:hAnsi="Times New Roman" w:cs="Times New Roman"/>
          <w:b w:val="0"/>
          <w:bCs w:val="0"/>
          <w:color w:val="auto"/>
          <w:sz w:val="24"/>
          <w:highlight w:val="none"/>
          <w:lang w:val="en-US" w:eastAsia="zh-CN"/>
        </w:rPr>
        <w:t>99</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color w:val="auto"/>
          <w:sz w:val="24"/>
          <w:highlight w:val="none"/>
          <w:lang w:val="en-US" w:eastAsia="zh-CN"/>
        </w:rPr>
        <w:t>，</w:t>
      </w:r>
      <w:r>
        <w:rPr>
          <w:rFonts w:hint="default" w:ascii="Times New Roman" w:hAnsi="Times New Roman" w:cs="Times New Roman"/>
          <w:snapToGrid w:val="0"/>
          <w:color w:val="auto"/>
          <w:spacing w:val="0"/>
          <w:kern w:val="0"/>
          <w:sz w:val="24"/>
          <w:szCs w:val="24"/>
          <w:highlight w:val="none"/>
          <w:lang w:val="en-US" w:eastAsia="zh-CN"/>
        </w:rPr>
        <w:t>则</w:t>
      </w:r>
      <w:r>
        <w:rPr>
          <w:rFonts w:hint="eastAsia" w:ascii="Times New Roman" w:hAnsi="Times New Roman" w:cs="Times New Roman"/>
          <w:snapToGrid w:val="0"/>
          <w:color w:val="auto"/>
          <w:spacing w:val="0"/>
          <w:kern w:val="0"/>
          <w:sz w:val="24"/>
          <w:szCs w:val="24"/>
          <w:highlight w:val="none"/>
          <w:lang w:val="en-US" w:eastAsia="zh-CN"/>
        </w:rPr>
        <w:t>筛分厂房</w:t>
      </w:r>
      <w:r>
        <w:rPr>
          <w:rFonts w:hint="default" w:ascii="Times New Roman" w:hAnsi="Times New Roman" w:cs="Times New Roman"/>
          <w:snapToGrid w:val="0"/>
          <w:color w:val="auto"/>
          <w:spacing w:val="0"/>
          <w:kern w:val="0"/>
          <w:sz w:val="24"/>
          <w:szCs w:val="24"/>
          <w:highlight w:val="none"/>
          <w:lang w:val="en-US" w:eastAsia="zh-CN"/>
        </w:rPr>
        <w:t>无组织颗粒物排放量为</w:t>
      </w:r>
      <w:r>
        <w:rPr>
          <w:rFonts w:hint="eastAsia" w:cs="Times New Roman"/>
          <w:snapToGrid w:val="0"/>
          <w:color w:val="auto"/>
          <w:spacing w:val="0"/>
          <w:kern w:val="0"/>
          <w:sz w:val="24"/>
          <w:szCs w:val="24"/>
          <w:highlight w:val="none"/>
          <w:lang w:val="en-US" w:eastAsia="zh-CN"/>
        </w:rPr>
        <w:t>0.6</w:t>
      </w:r>
      <w:r>
        <w:rPr>
          <w:rFonts w:hint="default" w:ascii="Times New Roman" w:hAnsi="Times New Roman" w:cs="Times New Roman"/>
          <w:snapToGrid w:val="0"/>
          <w:color w:val="auto"/>
          <w:spacing w:val="0"/>
          <w:kern w:val="0"/>
          <w:sz w:val="24"/>
          <w:szCs w:val="24"/>
          <w:highlight w:val="none"/>
          <w:lang w:val="en-US" w:eastAsia="zh-CN"/>
        </w:rPr>
        <w:t>t/a，排放速率为0.0</w:t>
      </w:r>
      <w:r>
        <w:rPr>
          <w:rFonts w:hint="eastAsia" w:cs="Times New Roman"/>
          <w:snapToGrid w:val="0"/>
          <w:color w:val="auto"/>
          <w:spacing w:val="0"/>
          <w:kern w:val="0"/>
          <w:sz w:val="24"/>
          <w:szCs w:val="24"/>
          <w:highlight w:val="none"/>
          <w:lang w:val="en-US" w:eastAsia="zh-CN"/>
        </w:rPr>
        <w:t>833</w:t>
      </w:r>
      <w:r>
        <w:rPr>
          <w:rFonts w:hint="default" w:ascii="Times New Roman" w:hAnsi="Times New Roman" w:cs="Times New Roman"/>
          <w:snapToGrid w:val="0"/>
          <w:color w:val="auto"/>
          <w:spacing w:val="0"/>
          <w:kern w:val="0"/>
          <w:sz w:val="24"/>
          <w:szCs w:val="24"/>
          <w:highlight w:val="none"/>
          <w:lang w:val="en-US" w:eastAsia="zh-CN"/>
        </w:rPr>
        <w:t>kg/h。</w:t>
      </w:r>
    </w:p>
    <w:p w14:paraId="139545C3">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②氟化物</w:t>
      </w:r>
    </w:p>
    <w:p w14:paraId="48AA8C6D">
      <w:pPr>
        <w:bidi w:val="0"/>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项目矿石中氟化物含量占比15.78%，则</w:t>
      </w:r>
      <w:r>
        <w:rPr>
          <w:rFonts w:hint="default" w:ascii="Times New Roman" w:hAnsi="Times New Roman" w:cs="Times New Roman"/>
          <w:color w:val="auto"/>
          <w:sz w:val="24"/>
          <w:szCs w:val="24"/>
          <w:highlight w:val="none"/>
          <w:vertAlign w:val="baseline"/>
          <w:lang w:val="en-US" w:eastAsia="zh-CN"/>
        </w:rPr>
        <w:t>有组织氟化物</w:t>
      </w:r>
      <w:r>
        <w:rPr>
          <w:rFonts w:hint="default" w:ascii="Times New Roman" w:hAnsi="Times New Roman" w:cs="Times New Roman"/>
          <w:color w:val="auto"/>
          <w:kern w:val="0"/>
          <w:sz w:val="24"/>
          <w:szCs w:val="24"/>
          <w:highlight w:val="none"/>
          <w:lang w:val="en-US" w:eastAsia="zh-CN" w:bidi="ar"/>
        </w:rPr>
        <w:t>产生量为</w:t>
      </w:r>
      <w:r>
        <w:rPr>
          <w:rFonts w:hint="eastAsia" w:cs="Times New Roman"/>
          <w:color w:val="auto"/>
          <w:kern w:val="0"/>
          <w:sz w:val="24"/>
          <w:szCs w:val="24"/>
          <w:highlight w:val="none"/>
          <w:lang w:val="en-US" w:eastAsia="zh-CN" w:bidi="ar"/>
        </w:rPr>
        <w:t>85.2120</w:t>
      </w:r>
      <w:r>
        <w:rPr>
          <w:rFonts w:hint="default" w:ascii="Times New Roman" w:hAnsi="Times New Roman" w:cs="Times New Roman"/>
          <w:color w:val="auto"/>
          <w:kern w:val="0"/>
          <w:sz w:val="24"/>
          <w:szCs w:val="24"/>
          <w:highlight w:val="none"/>
          <w:lang w:val="en-US" w:eastAsia="zh-CN" w:bidi="ar"/>
        </w:rPr>
        <w:t>t/a，产生速率为</w:t>
      </w:r>
      <w:r>
        <w:rPr>
          <w:rFonts w:hint="eastAsia" w:cs="Times New Roman"/>
          <w:color w:val="auto"/>
          <w:kern w:val="0"/>
          <w:sz w:val="24"/>
          <w:szCs w:val="24"/>
          <w:highlight w:val="none"/>
          <w:lang w:val="en-US" w:eastAsia="zh-CN" w:bidi="ar"/>
        </w:rPr>
        <w:t>11.8350</w:t>
      </w:r>
      <w:r>
        <w:rPr>
          <w:rFonts w:hint="default" w:ascii="Times New Roman" w:hAnsi="Times New Roman" w:cs="Times New Roman"/>
          <w:color w:val="auto"/>
          <w:kern w:val="0"/>
          <w:sz w:val="24"/>
          <w:szCs w:val="24"/>
          <w:highlight w:val="none"/>
          <w:lang w:val="en-US" w:eastAsia="zh-CN" w:bidi="ar"/>
        </w:rPr>
        <w:t>kg/h，产生浓度为</w:t>
      </w:r>
      <w:r>
        <w:rPr>
          <w:rFonts w:hint="eastAsia" w:cs="Times New Roman"/>
          <w:color w:val="auto"/>
          <w:kern w:val="0"/>
          <w:sz w:val="24"/>
          <w:szCs w:val="24"/>
          <w:highlight w:val="none"/>
          <w:lang w:val="en-US" w:eastAsia="zh-CN" w:bidi="ar"/>
        </w:rPr>
        <w:t>169.0714</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cs="Times New Roman"/>
          <w:color w:val="auto"/>
          <w:sz w:val="24"/>
          <w:szCs w:val="24"/>
          <w:highlight w:val="none"/>
          <w:vertAlign w:val="baseline"/>
          <w:lang w:val="en-US" w:eastAsia="zh-CN"/>
        </w:rPr>
        <w:t>，经</w:t>
      </w:r>
      <w:r>
        <w:rPr>
          <w:rFonts w:hint="default" w:ascii="Times New Roman" w:hAnsi="Times New Roman" w:eastAsia="宋体" w:cs="Times New Roman"/>
          <w:color w:val="auto"/>
          <w:kern w:val="0"/>
          <w:sz w:val="24"/>
          <w:szCs w:val="24"/>
          <w:highlight w:val="none"/>
          <w:lang w:val="en-US" w:eastAsia="zh-CN" w:bidi="ar"/>
        </w:rPr>
        <w:t>布袋除尘器处理后，排放量为</w:t>
      </w:r>
      <w:r>
        <w:rPr>
          <w:rFonts w:hint="eastAsia" w:cs="Times New Roman"/>
          <w:color w:val="auto"/>
          <w:kern w:val="0"/>
          <w:sz w:val="24"/>
          <w:szCs w:val="24"/>
          <w:highlight w:val="none"/>
          <w:lang w:val="en-US" w:eastAsia="zh-CN" w:bidi="ar"/>
        </w:rPr>
        <w:t>0.0852</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eastAsia="宋体" w:cs="Times New Roman"/>
          <w:color w:val="auto"/>
          <w:kern w:val="0"/>
          <w:sz w:val="24"/>
          <w:szCs w:val="24"/>
          <w:highlight w:val="none"/>
          <w:lang w:val="en-US" w:eastAsia="zh-CN" w:bidi="ar"/>
        </w:rPr>
        <w:t>，排放速率为0.0</w:t>
      </w:r>
      <w:r>
        <w:rPr>
          <w:rFonts w:hint="eastAsia" w:cs="Times New Roman"/>
          <w:color w:val="auto"/>
          <w:kern w:val="0"/>
          <w:sz w:val="24"/>
          <w:szCs w:val="24"/>
          <w:highlight w:val="none"/>
          <w:lang w:val="en-US" w:eastAsia="zh-CN" w:bidi="ar"/>
        </w:rPr>
        <w:t>118</w:t>
      </w:r>
      <w:r>
        <w:rPr>
          <w:rFonts w:hint="default" w:ascii="Times New Roman" w:hAnsi="Times New Roman" w:cs="Times New Roman"/>
          <w:color w:val="auto"/>
          <w:kern w:val="0"/>
          <w:sz w:val="24"/>
          <w:szCs w:val="24"/>
          <w:highlight w:val="none"/>
          <w:lang w:val="en-US" w:eastAsia="zh-CN" w:bidi="ar"/>
        </w:rPr>
        <w:t>kg/h</w:t>
      </w:r>
      <w:r>
        <w:rPr>
          <w:rFonts w:hint="default" w:ascii="Times New Roman" w:hAnsi="Times New Roman" w:eastAsia="宋体" w:cs="Times New Roman"/>
          <w:color w:val="auto"/>
          <w:kern w:val="0"/>
          <w:sz w:val="24"/>
          <w:szCs w:val="24"/>
          <w:highlight w:val="none"/>
          <w:lang w:val="en-US" w:eastAsia="zh-CN" w:bidi="ar"/>
        </w:rPr>
        <w:t>，排放浓度为</w:t>
      </w:r>
      <w:r>
        <w:rPr>
          <w:rFonts w:hint="eastAsia" w:cs="Times New Roman"/>
          <w:color w:val="auto"/>
          <w:kern w:val="0"/>
          <w:sz w:val="24"/>
          <w:szCs w:val="24"/>
          <w:highlight w:val="none"/>
          <w:lang w:val="en-US" w:eastAsia="zh-CN" w:bidi="ar"/>
        </w:rPr>
        <w:t>0.1691</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cs="Times New Roman"/>
          <w:color w:val="auto"/>
          <w:sz w:val="24"/>
          <w:szCs w:val="24"/>
          <w:highlight w:val="none"/>
          <w:vertAlign w:val="baseline"/>
          <w:lang w:eastAsia="zh-CN"/>
        </w:rPr>
        <w:t>。</w:t>
      </w:r>
      <w:r>
        <w:rPr>
          <w:rFonts w:hint="default" w:ascii="Times New Roman" w:hAnsi="Times New Roman" w:cs="Times New Roman"/>
          <w:color w:val="auto"/>
          <w:sz w:val="24"/>
          <w:szCs w:val="24"/>
          <w:highlight w:val="none"/>
        </w:rPr>
        <w:t>满足《大气污染物综合排放标准》（GB16297-1996）中新污染源大气污染物排放限值</w:t>
      </w:r>
      <w:r>
        <w:rPr>
          <w:rFonts w:hint="default" w:ascii="Times New Roman" w:hAnsi="Times New Roman" w:cs="Times New Roman"/>
          <w:color w:val="auto"/>
          <w:sz w:val="24"/>
          <w:szCs w:val="24"/>
          <w:highlight w:val="none"/>
          <w:lang w:val="en-US" w:eastAsia="zh-CN"/>
        </w:rPr>
        <w:t>要求（</w:t>
      </w:r>
      <w:r>
        <w:rPr>
          <w:rFonts w:hint="default" w:ascii="Times New Roman" w:hAnsi="Times New Roman" w:cs="Times New Roman"/>
          <w:b w:val="0"/>
          <w:bCs w:val="0"/>
          <w:color w:val="auto"/>
          <w:kern w:val="0"/>
          <w:sz w:val="24"/>
          <w:highlight w:val="none"/>
          <w:vertAlign w:val="baseline"/>
          <w:lang w:eastAsia="zh-CN"/>
        </w:rPr>
        <w:t>氟化物</w:t>
      </w:r>
      <w:r>
        <w:rPr>
          <w:rFonts w:hint="default" w:ascii="Times New Roman" w:hAnsi="Times New Roman" w:cs="Times New Roman"/>
          <w:b w:val="0"/>
          <w:bCs w:val="0"/>
          <w:color w:val="auto"/>
          <w:kern w:val="0"/>
          <w:sz w:val="24"/>
          <w:highlight w:val="none"/>
          <w:lang w:eastAsia="zh-CN"/>
        </w:rPr>
        <w:t>排放速率</w:t>
      </w:r>
      <w:r>
        <w:rPr>
          <w:rFonts w:hint="default" w:ascii="Times New Roman" w:hAnsi="Times New Roman" w:cs="Times New Roman"/>
          <w:b w:val="0"/>
          <w:bCs w:val="0"/>
          <w:color w:val="auto"/>
          <w:kern w:val="0"/>
          <w:sz w:val="24"/>
          <w:highlight w:val="none"/>
          <w:lang w:val="en-US" w:eastAsia="zh-CN"/>
        </w:rPr>
        <w:t>0.1kg/h，</w:t>
      </w:r>
      <w:r>
        <w:rPr>
          <w:rFonts w:hint="default" w:ascii="Times New Roman" w:hAnsi="Times New Roman" w:cs="Times New Roman"/>
          <w:b w:val="0"/>
          <w:bCs w:val="0"/>
          <w:color w:val="auto"/>
          <w:kern w:val="0"/>
          <w:sz w:val="24"/>
          <w:highlight w:val="none"/>
          <w:lang w:eastAsia="zh-CN"/>
        </w:rPr>
        <w:t>排放浓度</w:t>
      </w:r>
      <w:r>
        <w:rPr>
          <w:rFonts w:hint="default" w:ascii="Times New Roman" w:hAnsi="Times New Roman" w:cs="Times New Roman"/>
          <w:b w:val="0"/>
          <w:bCs w:val="0"/>
          <w:color w:val="auto"/>
          <w:kern w:val="0"/>
          <w:sz w:val="24"/>
          <w:highlight w:val="none"/>
          <w:lang w:val="en-US" w:eastAsia="zh-CN"/>
        </w:rPr>
        <w:t>9.0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r>
        <w:rPr>
          <w:rFonts w:hint="default" w:ascii="Times New Roman" w:hAnsi="Times New Roman" w:cs="Times New Roman"/>
          <w:color w:val="auto"/>
          <w:sz w:val="24"/>
          <w:szCs w:val="24"/>
          <w:highlight w:val="none"/>
          <w:lang w:val="en-US" w:eastAsia="zh-CN"/>
        </w:rPr>
        <w:t>。</w:t>
      </w:r>
    </w:p>
    <w:p w14:paraId="35162033">
      <w:pPr>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该工段无组织氟化物产生量为</w:t>
      </w:r>
      <w:r>
        <w:rPr>
          <w:rFonts w:hint="eastAsia" w:cs="Times New Roman"/>
          <w:color w:val="auto"/>
          <w:sz w:val="24"/>
          <w:szCs w:val="24"/>
          <w:highlight w:val="none"/>
          <w:lang w:val="en-US" w:eastAsia="zh-CN"/>
        </w:rPr>
        <w:t>9.4680</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cs="Times New Roman"/>
          <w:color w:val="auto"/>
          <w:sz w:val="24"/>
          <w:szCs w:val="24"/>
          <w:highlight w:val="none"/>
          <w:lang w:val="en-US" w:eastAsia="zh-CN"/>
        </w:rPr>
        <w:t>，产生速率为</w:t>
      </w:r>
      <w:r>
        <w:rPr>
          <w:rFonts w:hint="eastAsia" w:cs="Times New Roman"/>
          <w:color w:val="auto"/>
          <w:sz w:val="24"/>
          <w:szCs w:val="24"/>
          <w:highlight w:val="none"/>
          <w:lang w:val="en-US" w:eastAsia="zh-CN"/>
        </w:rPr>
        <w:t>1.3150</w:t>
      </w:r>
      <w:r>
        <w:rPr>
          <w:rFonts w:hint="default" w:ascii="Times New Roman" w:hAnsi="Times New Roman" w:cs="Times New Roman"/>
          <w:b w:val="0"/>
          <w:bCs w:val="0"/>
          <w:color w:val="auto"/>
          <w:kern w:val="0"/>
          <w:sz w:val="24"/>
          <w:highlight w:val="none"/>
          <w:lang w:val="en-US" w:eastAsia="zh-CN"/>
        </w:rPr>
        <w:t>kg/h</w:t>
      </w:r>
      <w:r>
        <w:rPr>
          <w:rFonts w:hint="default" w:ascii="Times New Roman" w:hAnsi="Times New Roman" w:cs="Times New Roman"/>
          <w:color w:val="auto"/>
          <w:sz w:val="24"/>
          <w:szCs w:val="24"/>
          <w:highlight w:val="none"/>
          <w:lang w:val="en-US" w:eastAsia="zh-CN"/>
        </w:rPr>
        <w:t>，经密闭厂房抑尘后，无组织氟化物排放量为</w:t>
      </w:r>
      <w:r>
        <w:rPr>
          <w:rFonts w:hint="eastAsia" w:cs="Times New Roman"/>
          <w:color w:val="auto"/>
          <w:sz w:val="24"/>
          <w:szCs w:val="24"/>
          <w:highlight w:val="none"/>
          <w:lang w:val="en-US" w:eastAsia="zh-CN"/>
        </w:rPr>
        <w:t>0.0947</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cs="Times New Roman"/>
          <w:color w:val="auto"/>
          <w:sz w:val="24"/>
          <w:szCs w:val="24"/>
          <w:highlight w:val="none"/>
          <w:lang w:val="en-US" w:eastAsia="zh-CN"/>
        </w:rPr>
        <w:t>，排放速率为0.</w:t>
      </w:r>
      <w:r>
        <w:rPr>
          <w:rFonts w:hint="eastAsia" w:cs="Times New Roman"/>
          <w:color w:val="auto"/>
          <w:sz w:val="24"/>
          <w:szCs w:val="24"/>
          <w:highlight w:val="none"/>
          <w:lang w:val="en-US" w:eastAsia="zh-CN"/>
        </w:rPr>
        <w:t>0132</w:t>
      </w:r>
      <w:r>
        <w:rPr>
          <w:rFonts w:hint="default" w:ascii="Times New Roman" w:hAnsi="Times New Roman" w:cs="Times New Roman"/>
          <w:b w:val="0"/>
          <w:bCs w:val="0"/>
          <w:color w:val="auto"/>
          <w:kern w:val="0"/>
          <w:sz w:val="24"/>
          <w:highlight w:val="none"/>
          <w:lang w:val="en-US" w:eastAsia="zh-CN"/>
        </w:rPr>
        <w:t>kg/h</w:t>
      </w:r>
      <w:r>
        <w:rPr>
          <w:rFonts w:hint="default" w:ascii="Times New Roman" w:hAnsi="Times New Roman" w:cs="Times New Roman"/>
          <w:color w:val="auto"/>
          <w:sz w:val="24"/>
          <w:szCs w:val="24"/>
          <w:highlight w:val="none"/>
          <w:lang w:val="en-US" w:eastAsia="zh-CN"/>
        </w:rPr>
        <w:t>。</w:t>
      </w:r>
    </w:p>
    <w:p w14:paraId="436129DC">
      <w:pPr>
        <w:bidi w:val="0"/>
        <w:rPr>
          <w:rFonts w:hint="default"/>
          <w:color w:val="auto"/>
          <w:highlight w:val="none"/>
          <w:lang w:val="en-US" w:eastAsia="zh-CN"/>
        </w:rPr>
      </w:pPr>
      <w:r>
        <w:rPr>
          <w:rFonts w:hint="eastAsia"/>
          <w:color w:val="auto"/>
          <w:highlight w:val="none"/>
          <w:lang w:val="en-US" w:eastAsia="zh-CN"/>
        </w:rPr>
        <w:t>（4）粉料仓废气</w:t>
      </w:r>
    </w:p>
    <w:p w14:paraId="322DD003">
      <w:pPr>
        <w:bidi w:val="0"/>
        <w:rPr>
          <w:rFonts w:hint="default" w:ascii="Times New Roman" w:hAnsi="Times New Roman" w:eastAsia="宋体" w:cs="Times New Roman"/>
          <w:b w:val="0"/>
          <w:bCs w:val="0"/>
          <w:color w:val="auto"/>
          <w:kern w:val="0"/>
          <w:sz w:val="24"/>
          <w:highlight w:val="none"/>
        </w:rPr>
      </w:pPr>
      <w:r>
        <w:rPr>
          <w:rFonts w:hint="default" w:ascii="Times New Roman" w:hAnsi="Times New Roman" w:cs="Times New Roman"/>
          <w:color w:val="auto"/>
          <w:kern w:val="0"/>
          <w:highlight w:val="none"/>
          <w:lang w:eastAsia="zh-CN"/>
        </w:rPr>
        <w:t>本项目采取湿式</w:t>
      </w:r>
      <w:r>
        <w:rPr>
          <w:rFonts w:hint="default" w:ascii="Times New Roman" w:hAnsi="Times New Roman" w:cs="Times New Roman"/>
          <w:color w:val="auto"/>
          <w:kern w:val="0"/>
          <w:highlight w:val="none"/>
        </w:rPr>
        <w:t>磨矿</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lang w:val="en-US" w:eastAsia="zh-CN"/>
        </w:rPr>
        <w:t>无粉尘产生</w:t>
      </w:r>
      <w:r>
        <w:rPr>
          <w:rFonts w:hint="default" w:ascii="Times New Roman" w:hAnsi="Times New Roman" w:cs="Times New Roman"/>
          <w:color w:val="auto"/>
          <w:kern w:val="0"/>
          <w:highlight w:val="none"/>
          <w:lang w:eastAsia="zh-CN"/>
        </w:rPr>
        <w:t>。粉尘排放</w:t>
      </w:r>
      <w:r>
        <w:rPr>
          <w:rFonts w:hint="default" w:ascii="Times New Roman" w:hAnsi="Times New Roman" w:cs="Times New Roman"/>
          <w:color w:val="auto"/>
          <w:kern w:val="0"/>
          <w:highlight w:val="none"/>
        </w:rPr>
        <w:t>源</w:t>
      </w:r>
      <w:r>
        <w:rPr>
          <w:rFonts w:hint="default" w:ascii="Times New Roman" w:hAnsi="Times New Roman" w:cs="Times New Roman"/>
          <w:color w:val="auto"/>
          <w:kern w:val="0"/>
          <w:highlight w:val="none"/>
          <w:lang w:eastAsia="zh-CN"/>
        </w:rPr>
        <w:t>主要</w:t>
      </w:r>
      <w:r>
        <w:rPr>
          <w:rFonts w:hint="default" w:ascii="Times New Roman" w:hAnsi="Times New Roman" w:cs="Times New Roman"/>
          <w:color w:val="auto"/>
          <w:kern w:val="0"/>
          <w:highlight w:val="none"/>
        </w:rPr>
        <w:t>包括磨</w:t>
      </w:r>
      <w:r>
        <w:rPr>
          <w:rFonts w:hint="default" w:ascii="Times New Roman" w:hAnsi="Times New Roman" w:cs="Times New Roman"/>
          <w:color w:val="auto"/>
          <w:kern w:val="0"/>
          <w:highlight w:val="none"/>
          <w:lang w:eastAsia="zh-CN"/>
        </w:rPr>
        <w:t>前</w:t>
      </w:r>
      <w:r>
        <w:rPr>
          <w:rFonts w:hint="default" w:ascii="Times New Roman" w:hAnsi="Times New Roman" w:cs="Times New Roman"/>
          <w:color w:val="auto"/>
          <w:kern w:val="0"/>
          <w:highlight w:val="none"/>
        </w:rPr>
        <w:t>仓</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lang w:val="en-US" w:eastAsia="zh-CN"/>
        </w:rPr>
        <w:t>粉料仓）</w:t>
      </w:r>
      <w:r>
        <w:rPr>
          <w:rFonts w:hint="default" w:ascii="Times New Roman" w:hAnsi="Times New Roman" w:cs="Times New Roman"/>
          <w:color w:val="auto"/>
          <w:kern w:val="0"/>
          <w:highlight w:val="none"/>
        </w:rPr>
        <w:t>、部分转运点，各产尘点</w:t>
      </w:r>
      <w:r>
        <w:rPr>
          <w:rFonts w:hint="default" w:ascii="Times New Roman" w:hAnsi="Times New Roman" w:cs="Times New Roman"/>
          <w:color w:val="auto"/>
          <w:highlight w:val="none"/>
        </w:rPr>
        <w:t>共用一套集中式布袋除尘系统，</w:t>
      </w:r>
      <w:r>
        <w:rPr>
          <w:rFonts w:hint="default" w:ascii="Times New Roman" w:hAnsi="Times New Roman" w:cs="Times New Roman"/>
          <w:color w:val="auto"/>
          <w:kern w:val="0"/>
          <w:szCs w:val="20"/>
          <w:highlight w:val="none"/>
        </w:rPr>
        <w:t>采用</w:t>
      </w:r>
      <w:r>
        <w:rPr>
          <w:rFonts w:hint="default" w:ascii="Times New Roman" w:hAnsi="Times New Roman" w:cs="Times New Roman" w:eastAsiaTheme="minorEastAsia"/>
          <w:color w:val="auto"/>
          <w:highlight w:val="none"/>
        </w:rPr>
        <w:t>气箱脉冲袋式除尘</w:t>
      </w:r>
      <w:r>
        <w:rPr>
          <w:rFonts w:hint="default" w:ascii="Times New Roman" w:hAnsi="Times New Roman" w:cs="Times New Roman"/>
          <w:color w:val="auto"/>
          <w:kern w:val="0"/>
          <w:szCs w:val="20"/>
          <w:highlight w:val="none"/>
        </w:rPr>
        <w:t>器（除尘效率99</w:t>
      </w:r>
      <w:r>
        <w:rPr>
          <w:rFonts w:hint="eastAsia" w:cs="Times New Roman"/>
          <w:color w:val="auto"/>
          <w:kern w:val="0"/>
          <w:szCs w:val="20"/>
          <w:highlight w:val="none"/>
          <w:lang w:val="en-US" w:eastAsia="zh-CN"/>
        </w:rPr>
        <w:t>.9</w:t>
      </w:r>
      <w:r>
        <w:rPr>
          <w:rFonts w:hint="default" w:ascii="Times New Roman" w:hAnsi="Times New Roman" w:cs="Times New Roman"/>
          <w:color w:val="auto"/>
          <w:kern w:val="0"/>
          <w:szCs w:val="20"/>
          <w:highlight w:val="none"/>
        </w:rPr>
        <w:t>%）</w:t>
      </w:r>
      <w:r>
        <w:rPr>
          <w:rFonts w:hint="default" w:ascii="Times New Roman" w:hAnsi="Times New Roman" w:cs="Times New Roman" w:eastAsiaTheme="minorEastAsia"/>
          <w:color w:val="auto"/>
          <w:highlight w:val="none"/>
        </w:rPr>
        <w:t>除尘，</w:t>
      </w:r>
      <w:r>
        <w:rPr>
          <w:rFonts w:hint="default" w:ascii="Times New Roman" w:hAnsi="Times New Roman" w:cs="Times New Roman"/>
          <w:color w:val="auto"/>
          <w:highlight w:val="none"/>
          <w:lang w:val="en-US" w:eastAsia="zh-CN"/>
        </w:rPr>
        <w:t>参照</w:t>
      </w:r>
      <w:r>
        <w:rPr>
          <w:rFonts w:hint="default" w:ascii="Times New Roman" w:hAnsi="Times New Roman" w:cs="Times New Roman"/>
          <w:color w:val="auto"/>
          <w:szCs w:val="20"/>
          <w:highlight w:val="none"/>
        </w:rPr>
        <w:t>《逸散性工业粉尘控制技术》</w:t>
      </w:r>
      <w:r>
        <w:rPr>
          <w:rFonts w:hint="default" w:ascii="Times New Roman" w:hAnsi="Times New Roman" w:cs="Times New Roman"/>
          <w:color w:val="auto"/>
          <w:szCs w:val="20"/>
          <w:highlight w:val="none"/>
          <w:lang w:val="en-US" w:eastAsia="zh-CN"/>
        </w:rPr>
        <w:t>水泥生产过程中原料磨碎机和喂料、卸料的排气系统逸散排放因子0.05kg/t磨料</w:t>
      </w:r>
      <w:r>
        <w:rPr>
          <w:rFonts w:hint="default" w:ascii="Times New Roman" w:hAnsi="Times New Roman" w:cs="Times New Roman"/>
          <w:color w:val="auto"/>
          <w:szCs w:val="20"/>
          <w:highlight w:val="none"/>
        </w:rPr>
        <w:t>，本项目</w:t>
      </w:r>
      <w:r>
        <w:rPr>
          <w:rFonts w:hint="default" w:ascii="Times New Roman" w:hAnsi="Times New Roman" w:cs="Times New Roman"/>
          <w:color w:val="auto"/>
          <w:kern w:val="0"/>
          <w:highlight w:val="none"/>
          <w:lang w:val="en-US" w:eastAsia="zh-CN"/>
        </w:rPr>
        <w:t>磨矿工段颗粒物</w:t>
      </w:r>
      <w:r>
        <w:rPr>
          <w:rFonts w:hint="default" w:ascii="Times New Roman" w:hAnsi="Times New Roman" w:cs="Times New Roman"/>
          <w:color w:val="auto"/>
          <w:szCs w:val="20"/>
          <w:highlight w:val="none"/>
        </w:rPr>
        <w:t>产生量按0.05kg/t计算，则</w:t>
      </w:r>
      <w:r>
        <w:rPr>
          <w:rFonts w:hint="default" w:ascii="Times New Roman" w:hAnsi="Times New Roman" w:cs="Times New Roman"/>
          <w:color w:val="auto"/>
          <w:kern w:val="0"/>
          <w:highlight w:val="none"/>
          <w:lang w:val="en-US" w:eastAsia="zh-CN"/>
        </w:rPr>
        <w:t>颗粒物总</w:t>
      </w:r>
      <w:r>
        <w:rPr>
          <w:rFonts w:hint="default" w:ascii="Times New Roman" w:hAnsi="Times New Roman" w:cs="Times New Roman"/>
          <w:color w:val="auto"/>
          <w:szCs w:val="20"/>
          <w:highlight w:val="none"/>
        </w:rPr>
        <w:t>产生量为</w:t>
      </w:r>
      <w:r>
        <w:rPr>
          <w:rFonts w:hint="default" w:ascii="Times New Roman" w:hAnsi="Times New Roman" w:cs="Times New Roman"/>
          <w:color w:val="auto"/>
          <w:szCs w:val="20"/>
          <w:highlight w:val="none"/>
          <w:lang w:val="en-US" w:eastAsia="zh-CN"/>
        </w:rPr>
        <w:t>60</w:t>
      </w:r>
      <w:r>
        <w:rPr>
          <w:rFonts w:hint="default" w:ascii="Times New Roman" w:hAnsi="Times New Roman" w:cs="Times New Roman"/>
          <w:color w:val="auto"/>
          <w:szCs w:val="20"/>
          <w:highlight w:val="none"/>
        </w:rPr>
        <w:t>t/a</w:t>
      </w:r>
      <w:r>
        <w:rPr>
          <w:rFonts w:hint="default" w:ascii="Times New Roman" w:hAnsi="Times New Roman" w:cs="Times New Roman"/>
          <w:color w:val="auto"/>
          <w:szCs w:val="20"/>
          <w:highlight w:val="none"/>
          <w:lang w:eastAsia="zh-CN"/>
        </w:rPr>
        <w:t>，</w:t>
      </w:r>
      <w:r>
        <w:rPr>
          <w:rFonts w:hint="default" w:ascii="Times New Roman" w:hAnsi="Times New Roman" w:eastAsia="宋体" w:cs="Times New Roman"/>
          <w:b w:val="0"/>
          <w:bCs w:val="0"/>
          <w:color w:val="auto"/>
          <w:kern w:val="0"/>
          <w:sz w:val="24"/>
          <w:szCs w:val="24"/>
          <w:highlight w:val="none"/>
          <w:lang w:val="en-US" w:eastAsia="zh-CN" w:bidi="ar"/>
        </w:rPr>
        <w:t>下料点、出料口等处均设除尘罩，</w:t>
      </w:r>
      <w:r>
        <w:rPr>
          <w:rFonts w:hint="eastAsia" w:cs="Times New Roman"/>
          <w:b w:val="0"/>
          <w:bCs w:val="0"/>
          <w:color w:val="auto"/>
          <w:kern w:val="0"/>
          <w:sz w:val="24"/>
          <w:szCs w:val="24"/>
          <w:highlight w:val="none"/>
          <w:lang w:val="en-US" w:eastAsia="zh-CN" w:bidi="ar"/>
        </w:rPr>
        <w:t>经</w:t>
      </w:r>
      <w:r>
        <w:rPr>
          <w:rFonts w:hint="default" w:ascii="Times New Roman" w:hAnsi="Times New Roman" w:eastAsia="宋体" w:cs="Times New Roman"/>
          <w:b w:val="0"/>
          <w:bCs w:val="0"/>
          <w:color w:val="auto"/>
          <w:kern w:val="0"/>
          <w:sz w:val="24"/>
          <w:szCs w:val="24"/>
          <w:highlight w:val="none"/>
          <w:lang w:val="en-US" w:eastAsia="zh-CN" w:bidi="ar"/>
        </w:rPr>
        <w:t>布袋除尘器处理后经15m高排气筒排放，集气罩收集效率按90%计，</w:t>
      </w:r>
      <w:r>
        <w:rPr>
          <w:rFonts w:hint="default" w:ascii="Times New Roman" w:hAnsi="Times New Roman" w:cs="Times New Roman"/>
          <w:b w:val="0"/>
          <w:bCs w:val="0"/>
          <w:color w:val="auto"/>
          <w:kern w:val="0"/>
          <w:sz w:val="24"/>
          <w:szCs w:val="24"/>
          <w:highlight w:val="none"/>
          <w:lang w:val="en-US" w:eastAsia="zh-CN" w:bidi="ar"/>
        </w:rPr>
        <w:t>则有组织颗粒物产生量为54t/a，产生速率为7.5kg/h，风机风量为</w:t>
      </w:r>
      <w:r>
        <w:rPr>
          <w:rFonts w:hint="eastAsia" w:cs="Times New Roman"/>
          <w:b w:val="0"/>
          <w:bCs w:val="0"/>
          <w:color w:val="auto"/>
          <w:kern w:val="0"/>
          <w:sz w:val="24"/>
          <w:szCs w:val="24"/>
          <w:highlight w:val="none"/>
          <w:lang w:val="en-US" w:eastAsia="zh-CN" w:bidi="ar"/>
        </w:rPr>
        <w:t>6</w:t>
      </w:r>
      <w:r>
        <w:rPr>
          <w:rFonts w:hint="default" w:ascii="Times New Roman" w:hAnsi="Times New Roman" w:cs="Times New Roman"/>
          <w:b w:val="0"/>
          <w:bCs w:val="0"/>
          <w:color w:val="auto"/>
          <w:kern w:val="0"/>
          <w:sz w:val="24"/>
          <w:szCs w:val="24"/>
          <w:highlight w:val="none"/>
          <w:lang w:val="en-US" w:eastAsia="zh-CN" w:bidi="ar"/>
        </w:rPr>
        <w:t>000</w:t>
      </w:r>
      <w:r>
        <w:rPr>
          <w:rFonts w:hint="default" w:ascii="Times New Roman" w:hAnsi="Times New Roman" w:eastAsia="宋体" w:cs="Times New Roman"/>
          <w:b w:val="0"/>
          <w:bCs w:val="0"/>
          <w:color w:val="auto"/>
          <w:kern w:val="0"/>
          <w:sz w:val="24"/>
          <w:highlight w:val="none"/>
        </w:rPr>
        <w:t>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vertAlign w:val="baseline"/>
          <w:lang w:val="en-US" w:eastAsia="zh-CN"/>
        </w:rPr>
        <w:t>/h</w:t>
      </w:r>
      <w:r>
        <w:rPr>
          <w:rFonts w:hint="default" w:ascii="Times New Roman" w:hAnsi="Times New Roman" w:cs="Times New Roman"/>
          <w:b w:val="0"/>
          <w:bCs w:val="0"/>
          <w:color w:val="auto"/>
          <w:kern w:val="0"/>
          <w:sz w:val="24"/>
          <w:szCs w:val="24"/>
          <w:highlight w:val="none"/>
          <w:lang w:val="en-US" w:eastAsia="zh-CN" w:bidi="ar"/>
        </w:rPr>
        <w:t>，则产生浓度为</w:t>
      </w:r>
      <w:r>
        <w:rPr>
          <w:rFonts w:hint="eastAsia" w:cs="Times New Roman"/>
          <w:b w:val="0"/>
          <w:bCs w:val="0"/>
          <w:color w:val="auto"/>
          <w:kern w:val="0"/>
          <w:sz w:val="24"/>
          <w:szCs w:val="24"/>
          <w:highlight w:val="none"/>
          <w:lang w:val="en-US" w:eastAsia="zh-CN" w:bidi="ar"/>
        </w:rPr>
        <w:t>1250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cs="Times New Roman"/>
          <w:b w:val="0"/>
          <w:bCs w:val="0"/>
          <w:color w:val="auto"/>
          <w:kern w:val="0"/>
          <w:sz w:val="24"/>
          <w:szCs w:val="24"/>
          <w:highlight w:val="none"/>
          <w:lang w:val="en-US" w:eastAsia="zh-CN" w:bidi="ar"/>
        </w:rPr>
        <w:t>，则该工段有组织颗粒物排放量为0.54</w:t>
      </w:r>
      <w:r>
        <w:rPr>
          <w:rFonts w:hint="default" w:ascii="Times New Roman" w:hAnsi="Times New Roman" w:cs="Times New Roman"/>
          <w:b w:val="0"/>
          <w:bCs w:val="0"/>
          <w:color w:val="auto"/>
          <w:sz w:val="24"/>
          <w:szCs w:val="24"/>
          <w:highlight w:val="none"/>
          <w:lang w:val="en-US" w:eastAsia="zh-CN"/>
        </w:rPr>
        <w:t>t/a</w:t>
      </w:r>
      <w:r>
        <w:rPr>
          <w:rFonts w:hint="default" w:ascii="Times New Roman" w:hAnsi="Times New Roman" w:cs="Times New Roman"/>
          <w:b w:val="0"/>
          <w:bCs w:val="0"/>
          <w:color w:val="auto"/>
          <w:kern w:val="0"/>
          <w:sz w:val="24"/>
          <w:szCs w:val="24"/>
          <w:highlight w:val="none"/>
          <w:lang w:val="en-US" w:eastAsia="zh-CN" w:bidi="ar"/>
        </w:rPr>
        <w:t>，排放速率为0.0</w:t>
      </w:r>
      <w:r>
        <w:rPr>
          <w:rFonts w:hint="eastAsia" w:cs="Times New Roman"/>
          <w:b w:val="0"/>
          <w:bCs w:val="0"/>
          <w:color w:val="auto"/>
          <w:kern w:val="0"/>
          <w:sz w:val="24"/>
          <w:szCs w:val="24"/>
          <w:highlight w:val="none"/>
          <w:lang w:val="en-US" w:eastAsia="zh-CN" w:bidi="ar"/>
        </w:rPr>
        <w:t>0</w:t>
      </w:r>
      <w:r>
        <w:rPr>
          <w:rFonts w:hint="default" w:ascii="Times New Roman" w:hAnsi="Times New Roman" w:cs="Times New Roman"/>
          <w:b w:val="0"/>
          <w:bCs w:val="0"/>
          <w:color w:val="auto"/>
          <w:kern w:val="0"/>
          <w:sz w:val="24"/>
          <w:szCs w:val="24"/>
          <w:highlight w:val="none"/>
          <w:lang w:val="en-US" w:eastAsia="zh-CN" w:bidi="ar"/>
        </w:rPr>
        <w:t>75</w:t>
      </w:r>
      <w:r>
        <w:rPr>
          <w:rFonts w:hint="default" w:ascii="Times New Roman" w:hAnsi="Times New Roman" w:eastAsia="宋体" w:cs="Times New Roman"/>
          <w:b w:val="0"/>
          <w:bCs w:val="0"/>
          <w:color w:val="auto"/>
          <w:sz w:val="24"/>
          <w:szCs w:val="24"/>
          <w:highlight w:val="none"/>
          <w:lang w:val="en-US" w:eastAsia="zh-CN"/>
        </w:rPr>
        <w:t>kg/h</w:t>
      </w:r>
      <w:r>
        <w:rPr>
          <w:rFonts w:hint="default" w:ascii="Times New Roman" w:hAnsi="Times New Roman" w:cs="Times New Roman"/>
          <w:b w:val="0"/>
          <w:bCs w:val="0"/>
          <w:color w:val="auto"/>
          <w:kern w:val="0"/>
          <w:sz w:val="24"/>
          <w:szCs w:val="24"/>
          <w:highlight w:val="none"/>
          <w:lang w:val="en-US" w:eastAsia="zh-CN" w:bidi="ar"/>
        </w:rPr>
        <w:t>，排放浓度为</w:t>
      </w:r>
      <w:r>
        <w:rPr>
          <w:rFonts w:hint="eastAsia" w:cs="Times New Roman"/>
          <w:b w:val="0"/>
          <w:bCs w:val="0"/>
          <w:color w:val="auto"/>
          <w:kern w:val="0"/>
          <w:sz w:val="24"/>
          <w:szCs w:val="24"/>
          <w:highlight w:val="none"/>
          <w:lang w:val="en-US" w:eastAsia="zh-CN" w:bidi="ar"/>
        </w:rPr>
        <w:t>1.25</w:t>
      </w:r>
      <w:r>
        <w:rPr>
          <w:rFonts w:hint="default" w:ascii="Times New Roman" w:hAnsi="Times New Roman" w:cs="Times New Roman"/>
          <w:b w:val="0"/>
          <w:bCs w:val="0"/>
          <w:color w:val="auto"/>
          <w:sz w:val="24"/>
          <w:szCs w:val="24"/>
          <w:highlight w:val="none"/>
        </w:rPr>
        <w:t>mg/m</w:t>
      </w:r>
      <w:r>
        <w:rPr>
          <w:rFonts w:hint="default" w:ascii="Times New Roman" w:hAnsi="Times New Roman" w:cs="Times New Roman"/>
          <w:b w:val="0"/>
          <w:bCs w:val="0"/>
          <w:color w:val="auto"/>
          <w:sz w:val="24"/>
          <w:szCs w:val="24"/>
          <w:highlight w:val="none"/>
          <w:vertAlign w:val="superscript"/>
        </w:rPr>
        <w:t>3</w:t>
      </w:r>
      <w:r>
        <w:rPr>
          <w:rFonts w:hint="default" w:ascii="Times New Roman" w:hAnsi="Times New Roman" w:cs="Times New Roman"/>
          <w:b w:val="0"/>
          <w:bCs w:val="0"/>
          <w:color w:val="auto"/>
          <w:kern w:val="0"/>
          <w:sz w:val="24"/>
          <w:szCs w:val="24"/>
          <w:highlight w:val="none"/>
          <w:lang w:val="en-US" w:eastAsia="zh-CN" w:bidi="ar"/>
        </w:rPr>
        <w:t>，满足</w:t>
      </w:r>
      <w:r>
        <w:rPr>
          <w:rFonts w:hint="default" w:ascii="Times New Roman" w:hAnsi="Times New Roman" w:eastAsia="宋体" w:cs="Times New Roman"/>
          <w:b w:val="0"/>
          <w:bCs w:val="0"/>
          <w:color w:val="auto"/>
          <w:kern w:val="0"/>
          <w:sz w:val="24"/>
          <w:highlight w:val="none"/>
        </w:rPr>
        <w:t>《大气污染物综合排放标准》（GB16297-1996）中的要求（颗粒物</w:t>
      </w:r>
      <w:r>
        <w:rPr>
          <w:rFonts w:hint="default" w:ascii="Times New Roman" w:hAnsi="Times New Roman" w:cs="Times New Roman"/>
          <w:b w:val="0"/>
          <w:bCs w:val="0"/>
          <w:color w:val="auto"/>
          <w:kern w:val="0"/>
          <w:sz w:val="24"/>
          <w:highlight w:val="none"/>
          <w:lang w:eastAsia="zh-CN"/>
        </w:rPr>
        <w:t>排放速率</w:t>
      </w:r>
      <w:r>
        <w:rPr>
          <w:rFonts w:hint="default" w:ascii="Times New Roman" w:hAnsi="Times New Roman" w:cs="Times New Roman"/>
          <w:b w:val="0"/>
          <w:bCs w:val="0"/>
          <w:color w:val="auto"/>
          <w:kern w:val="0"/>
          <w:sz w:val="24"/>
          <w:highlight w:val="none"/>
          <w:lang w:val="en-US" w:eastAsia="zh-CN"/>
        </w:rPr>
        <w:t>3.5kg/h，</w:t>
      </w:r>
      <w:r>
        <w:rPr>
          <w:rFonts w:hint="default" w:ascii="Times New Roman" w:hAnsi="Times New Roman" w:cs="Times New Roman"/>
          <w:b w:val="0"/>
          <w:bCs w:val="0"/>
          <w:color w:val="auto"/>
          <w:kern w:val="0"/>
          <w:sz w:val="24"/>
          <w:highlight w:val="none"/>
          <w:lang w:eastAsia="zh-CN"/>
        </w:rPr>
        <w:t>排放浓度</w:t>
      </w:r>
      <w:r>
        <w:rPr>
          <w:rFonts w:hint="default" w:ascii="Times New Roman" w:hAnsi="Times New Roman" w:cs="Times New Roman"/>
          <w:b w:val="0"/>
          <w:bCs w:val="0"/>
          <w:color w:val="auto"/>
          <w:kern w:val="0"/>
          <w:sz w:val="24"/>
          <w:highlight w:val="none"/>
          <w:lang w:val="en-US" w:eastAsia="zh-CN"/>
        </w:rPr>
        <w:t>120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p>
    <w:p w14:paraId="6EC9EE6D">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未被收集的粉尘全部无组织排放，</w:t>
      </w:r>
      <w:r>
        <w:rPr>
          <w:rFonts w:hint="default" w:ascii="Times New Roman" w:hAnsi="Times New Roman" w:cs="Times New Roman"/>
          <w:snapToGrid w:val="0"/>
          <w:color w:val="auto"/>
          <w:spacing w:val="0"/>
          <w:kern w:val="0"/>
          <w:sz w:val="24"/>
          <w:szCs w:val="24"/>
          <w:highlight w:val="none"/>
          <w:lang w:val="en-US" w:eastAsia="zh-CN"/>
        </w:rPr>
        <w:t>则该工段无组织颗粒物排放量为6t/a，排放速率为0.8333kg/h。</w:t>
      </w:r>
      <w:r>
        <w:rPr>
          <w:rFonts w:hint="default" w:ascii="Times New Roman" w:hAnsi="Times New Roman" w:cs="Times New Roman"/>
          <w:b w:val="0"/>
          <w:bCs w:val="0"/>
          <w:color w:val="auto"/>
          <w:sz w:val="24"/>
          <w:szCs w:val="24"/>
          <w:highlight w:val="none"/>
          <w:lang w:val="en-US" w:eastAsia="zh-CN"/>
        </w:rPr>
        <w:t>本项目生产车间均为密闭厂房，</w:t>
      </w:r>
      <w:r>
        <w:rPr>
          <w:rFonts w:hint="default" w:ascii="Times New Roman" w:hAnsi="Times New Roman" w:eastAsia="宋体" w:cs="Times New Roman"/>
          <w:b w:val="0"/>
          <w:bCs w:val="0"/>
          <w:color w:val="auto"/>
          <w:sz w:val="24"/>
          <w:highlight w:val="none"/>
          <w:lang w:val="en-US" w:eastAsia="zh-CN"/>
        </w:rPr>
        <w:t>参考《排放源统计调查产排污核算方法和系数手册》附表2固体物料堆存颗粒物产排污核算系数手册，</w:t>
      </w:r>
      <w:r>
        <w:rPr>
          <w:rFonts w:hint="default" w:ascii="Times New Roman" w:hAnsi="Times New Roman" w:cs="Times New Roman"/>
          <w:b w:val="0"/>
          <w:bCs w:val="0"/>
          <w:color w:val="auto"/>
          <w:sz w:val="24"/>
          <w:highlight w:val="none"/>
          <w:lang w:val="en-US" w:eastAsia="zh-CN"/>
        </w:rPr>
        <w:t>全封闭厂房粉尘控制</w:t>
      </w:r>
      <w:r>
        <w:rPr>
          <w:rFonts w:hint="default" w:ascii="Times New Roman" w:hAnsi="Times New Roman" w:eastAsia="宋体" w:cs="Times New Roman"/>
          <w:b w:val="0"/>
          <w:bCs w:val="0"/>
          <w:color w:val="auto"/>
          <w:sz w:val="24"/>
          <w:highlight w:val="none"/>
          <w:lang w:val="en-US" w:eastAsia="zh-CN"/>
        </w:rPr>
        <w:t>效率为</w:t>
      </w:r>
      <w:r>
        <w:rPr>
          <w:rFonts w:hint="default" w:ascii="Times New Roman" w:hAnsi="Times New Roman" w:cs="Times New Roman"/>
          <w:b w:val="0"/>
          <w:bCs w:val="0"/>
          <w:color w:val="auto"/>
          <w:sz w:val="24"/>
          <w:highlight w:val="none"/>
          <w:lang w:val="en-US" w:eastAsia="zh-CN"/>
        </w:rPr>
        <w:t>99</w:t>
      </w:r>
      <w:r>
        <w:rPr>
          <w:rFonts w:hint="default" w:ascii="Times New Roman" w:hAnsi="Times New Roman" w:eastAsia="宋体" w:cs="Times New Roman"/>
          <w:b w:val="0"/>
          <w:bCs w:val="0"/>
          <w:color w:val="auto"/>
          <w:sz w:val="24"/>
          <w:highlight w:val="none"/>
          <w:lang w:val="en-US" w:eastAsia="zh-CN"/>
        </w:rPr>
        <w:t>%</w:t>
      </w:r>
      <w:r>
        <w:rPr>
          <w:rFonts w:hint="default" w:ascii="Times New Roman" w:hAnsi="Times New Roman" w:cs="Times New Roman"/>
          <w:b w:val="0"/>
          <w:color w:val="auto"/>
          <w:sz w:val="24"/>
          <w:highlight w:val="none"/>
          <w:lang w:val="en-US" w:eastAsia="zh-CN"/>
        </w:rPr>
        <w:t>，</w:t>
      </w:r>
      <w:r>
        <w:rPr>
          <w:rFonts w:hint="default" w:ascii="Times New Roman" w:hAnsi="Times New Roman" w:cs="Times New Roman"/>
          <w:snapToGrid w:val="0"/>
          <w:color w:val="auto"/>
          <w:spacing w:val="0"/>
          <w:kern w:val="0"/>
          <w:sz w:val="24"/>
          <w:szCs w:val="24"/>
          <w:highlight w:val="none"/>
          <w:lang w:val="en-US" w:eastAsia="zh-CN"/>
        </w:rPr>
        <w:t>则中细碎工序无组织颗粒物排放量为0.06t/a，排放速率为0.0083kg/h。</w:t>
      </w:r>
    </w:p>
    <w:p w14:paraId="0376DD38">
      <w:pPr>
        <w:bidi w:val="0"/>
        <w:rPr>
          <w:rFonts w:hint="eastAsia"/>
          <w:color w:val="auto"/>
          <w:highlight w:val="none"/>
          <w:lang w:val="en-US" w:eastAsia="zh-CN"/>
        </w:rPr>
      </w:pPr>
      <w:r>
        <w:rPr>
          <w:rFonts w:hint="eastAsia"/>
          <w:color w:val="auto"/>
          <w:highlight w:val="none"/>
          <w:lang w:val="en-US" w:eastAsia="zh-CN"/>
        </w:rPr>
        <w:t>②氟化物</w:t>
      </w:r>
    </w:p>
    <w:p w14:paraId="6264AB15">
      <w:pPr>
        <w:bidi w:val="0"/>
        <w:rPr>
          <w:rFonts w:hint="default" w:ascii="Times New Roman" w:hAnsi="Times New Roman" w:cs="Times New Roman"/>
          <w:color w:val="auto"/>
          <w:sz w:val="24"/>
          <w:szCs w:val="24"/>
          <w:highlight w:val="none"/>
          <w:lang w:val="en-US" w:eastAsia="zh-CN"/>
        </w:rPr>
      </w:pPr>
      <w:r>
        <w:rPr>
          <w:rFonts w:hint="eastAsia" w:eastAsia="宋体" w:cs="Times New Roman"/>
          <w:color w:val="auto"/>
          <w:kern w:val="0"/>
          <w:sz w:val="24"/>
          <w:szCs w:val="24"/>
          <w:highlight w:val="none"/>
          <w:lang w:val="en-US" w:eastAsia="zh-CN" w:bidi="ar"/>
        </w:rPr>
        <w:t>项</w:t>
      </w:r>
      <w:r>
        <w:rPr>
          <w:rFonts w:hint="default" w:ascii="Times New Roman" w:hAnsi="Times New Roman" w:eastAsia="宋体" w:cs="Times New Roman"/>
          <w:color w:val="auto"/>
          <w:kern w:val="0"/>
          <w:sz w:val="24"/>
          <w:szCs w:val="24"/>
          <w:highlight w:val="none"/>
          <w:lang w:val="en-US" w:eastAsia="zh-CN" w:bidi="ar"/>
        </w:rPr>
        <w:t>目矿石中氟化物含量占比15.78%，则</w:t>
      </w:r>
      <w:r>
        <w:rPr>
          <w:rFonts w:hint="default" w:ascii="Times New Roman" w:hAnsi="Times New Roman" w:cs="Times New Roman"/>
          <w:color w:val="auto"/>
          <w:sz w:val="24"/>
          <w:szCs w:val="24"/>
          <w:highlight w:val="none"/>
          <w:vertAlign w:val="baseline"/>
          <w:lang w:val="en-US" w:eastAsia="zh-CN"/>
        </w:rPr>
        <w:t>有组织氟化物</w:t>
      </w:r>
      <w:r>
        <w:rPr>
          <w:rFonts w:hint="default" w:ascii="Times New Roman" w:hAnsi="Times New Roman" w:cs="Times New Roman"/>
          <w:color w:val="auto"/>
          <w:kern w:val="0"/>
          <w:sz w:val="24"/>
          <w:szCs w:val="24"/>
          <w:highlight w:val="none"/>
          <w:lang w:val="en-US" w:eastAsia="zh-CN" w:bidi="ar"/>
        </w:rPr>
        <w:t>产生量为</w:t>
      </w:r>
      <w:r>
        <w:rPr>
          <w:rFonts w:hint="eastAsia" w:cs="Times New Roman"/>
          <w:color w:val="auto"/>
          <w:kern w:val="0"/>
          <w:sz w:val="24"/>
          <w:szCs w:val="24"/>
          <w:highlight w:val="none"/>
          <w:lang w:val="en-US" w:eastAsia="zh-CN" w:bidi="ar"/>
        </w:rPr>
        <w:t>8.5212</w:t>
      </w:r>
      <w:r>
        <w:rPr>
          <w:rFonts w:hint="default" w:ascii="Times New Roman" w:hAnsi="Times New Roman" w:cs="Times New Roman"/>
          <w:color w:val="auto"/>
          <w:kern w:val="0"/>
          <w:sz w:val="24"/>
          <w:szCs w:val="24"/>
          <w:highlight w:val="none"/>
          <w:lang w:val="en-US" w:eastAsia="zh-CN" w:bidi="ar"/>
        </w:rPr>
        <w:t>t/a，产生速率为</w:t>
      </w:r>
      <w:r>
        <w:rPr>
          <w:rFonts w:hint="eastAsia" w:cs="Times New Roman"/>
          <w:color w:val="auto"/>
          <w:kern w:val="0"/>
          <w:sz w:val="24"/>
          <w:szCs w:val="24"/>
          <w:highlight w:val="none"/>
          <w:lang w:val="en-US" w:eastAsia="zh-CN" w:bidi="ar"/>
        </w:rPr>
        <w:t>1.1835</w:t>
      </w:r>
      <w:r>
        <w:rPr>
          <w:rFonts w:hint="default" w:ascii="Times New Roman" w:hAnsi="Times New Roman" w:cs="Times New Roman"/>
          <w:color w:val="auto"/>
          <w:kern w:val="0"/>
          <w:sz w:val="24"/>
          <w:szCs w:val="24"/>
          <w:highlight w:val="none"/>
          <w:lang w:val="en-US" w:eastAsia="zh-CN" w:bidi="ar"/>
        </w:rPr>
        <w:t>kg/h，产生浓度为</w:t>
      </w:r>
      <w:r>
        <w:rPr>
          <w:rFonts w:hint="eastAsia" w:cs="Times New Roman"/>
          <w:color w:val="auto"/>
          <w:kern w:val="0"/>
          <w:sz w:val="24"/>
          <w:szCs w:val="24"/>
          <w:highlight w:val="none"/>
          <w:lang w:val="en-US" w:eastAsia="zh-CN" w:bidi="ar"/>
        </w:rPr>
        <w:t>197.25</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cs="Times New Roman"/>
          <w:color w:val="auto"/>
          <w:sz w:val="24"/>
          <w:szCs w:val="24"/>
          <w:highlight w:val="none"/>
          <w:vertAlign w:val="baseline"/>
          <w:lang w:val="en-US" w:eastAsia="zh-CN"/>
        </w:rPr>
        <w:t>，经</w:t>
      </w:r>
      <w:r>
        <w:rPr>
          <w:rFonts w:hint="default" w:ascii="Times New Roman" w:hAnsi="Times New Roman" w:eastAsia="宋体" w:cs="Times New Roman"/>
          <w:color w:val="auto"/>
          <w:kern w:val="0"/>
          <w:sz w:val="24"/>
          <w:szCs w:val="24"/>
          <w:highlight w:val="none"/>
          <w:lang w:val="en-US" w:eastAsia="zh-CN" w:bidi="ar"/>
        </w:rPr>
        <w:t>布袋除尘器处理后，排放量为0.0</w:t>
      </w:r>
      <w:r>
        <w:rPr>
          <w:rFonts w:hint="eastAsia" w:cs="Times New Roman"/>
          <w:color w:val="auto"/>
          <w:kern w:val="0"/>
          <w:sz w:val="24"/>
          <w:szCs w:val="24"/>
          <w:highlight w:val="none"/>
          <w:lang w:val="en-US" w:eastAsia="zh-CN" w:bidi="ar"/>
        </w:rPr>
        <w:t>852</w:t>
      </w:r>
      <w:r>
        <w:rPr>
          <w:rFonts w:hint="default" w:ascii="Times New Roman" w:hAnsi="Times New Roman" w:cs="Times New Roman"/>
          <w:color w:val="auto"/>
          <w:kern w:val="0"/>
          <w:sz w:val="24"/>
          <w:szCs w:val="24"/>
          <w:highlight w:val="none"/>
          <w:lang w:val="en-US" w:eastAsia="zh-CN" w:bidi="ar"/>
        </w:rPr>
        <w:t>t/a</w:t>
      </w:r>
      <w:r>
        <w:rPr>
          <w:rFonts w:hint="default" w:ascii="Times New Roman" w:hAnsi="Times New Roman" w:eastAsia="宋体" w:cs="Times New Roman"/>
          <w:color w:val="auto"/>
          <w:kern w:val="0"/>
          <w:sz w:val="24"/>
          <w:szCs w:val="24"/>
          <w:highlight w:val="none"/>
          <w:lang w:val="en-US" w:eastAsia="zh-CN" w:bidi="ar"/>
        </w:rPr>
        <w:t>，排放速率为0.0</w:t>
      </w:r>
      <w:r>
        <w:rPr>
          <w:rFonts w:hint="eastAsia" w:cs="Times New Roman"/>
          <w:color w:val="auto"/>
          <w:kern w:val="0"/>
          <w:sz w:val="24"/>
          <w:szCs w:val="24"/>
          <w:highlight w:val="none"/>
          <w:lang w:val="en-US" w:eastAsia="zh-CN" w:bidi="ar"/>
        </w:rPr>
        <w:t>012</w:t>
      </w:r>
      <w:r>
        <w:rPr>
          <w:rFonts w:hint="default" w:ascii="Times New Roman" w:hAnsi="Times New Roman" w:cs="Times New Roman"/>
          <w:color w:val="auto"/>
          <w:kern w:val="0"/>
          <w:sz w:val="24"/>
          <w:szCs w:val="24"/>
          <w:highlight w:val="none"/>
          <w:lang w:val="en-US" w:eastAsia="zh-CN" w:bidi="ar"/>
        </w:rPr>
        <w:t>kg/h</w:t>
      </w:r>
      <w:r>
        <w:rPr>
          <w:rFonts w:hint="default" w:ascii="Times New Roman" w:hAnsi="Times New Roman" w:eastAsia="宋体" w:cs="Times New Roman"/>
          <w:color w:val="auto"/>
          <w:kern w:val="0"/>
          <w:sz w:val="24"/>
          <w:szCs w:val="24"/>
          <w:highlight w:val="none"/>
          <w:lang w:val="en-US" w:eastAsia="zh-CN" w:bidi="ar"/>
        </w:rPr>
        <w:t>，排放浓度为</w:t>
      </w:r>
      <w:r>
        <w:rPr>
          <w:rFonts w:hint="eastAsia" w:cs="Times New Roman"/>
          <w:color w:val="auto"/>
          <w:kern w:val="0"/>
          <w:sz w:val="24"/>
          <w:szCs w:val="24"/>
          <w:highlight w:val="none"/>
          <w:lang w:val="en-US" w:eastAsia="zh-CN" w:bidi="ar"/>
        </w:rPr>
        <w:t>0.1972</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cs="Times New Roman"/>
          <w:color w:val="auto"/>
          <w:sz w:val="24"/>
          <w:szCs w:val="24"/>
          <w:highlight w:val="none"/>
          <w:vertAlign w:val="baseline"/>
          <w:lang w:eastAsia="zh-CN"/>
        </w:rPr>
        <w:t>。</w:t>
      </w:r>
      <w:r>
        <w:rPr>
          <w:rFonts w:hint="default" w:ascii="Times New Roman" w:hAnsi="Times New Roman" w:cs="Times New Roman"/>
          <w:color w:val="auto"/>
          <w:sz w:val="24"/>
          <w:szCs w:val="24"/>
          <w:highlight w:val="none"/>
        </w:rPr>
        <w:t>满足《大气污染物综合排放标准》（GB16297-1996）中新污染源大气污染物排放限值</w:t>
      </w:r>
      <w:r>
        <w:rPr>
          <w:rFonts w:hint="default" w:ascii="Times New Roman" w:hAnsi="Times New Roman" w:cs="Times New Roman"/>
          <w:color w:val="auto"/>
          <w:sz w:val="24"/>
          <w:szCs w:val="24"/>
          <w:highlight w:val="none"/>
          <w:lang w:val="en-US" w:eastAsia="zh-CN"/>
        </w:rPr>
        <w:t>要求</w:t>
      </w:r>
      <w:r>
        <w:rPr>
          <w:rFonts w:hint="eastAsia" w:ascii="Times New Roman" w:hAnsi="Times New Roman" w:cs="Times New Roman"/>
          <w:color w:val="auto"/>
          <w:sz w:val="24"/>
          <w:szCs w:val="24"/>
          <w:highlight w:val="none"/>
          <w:lang w:val="en-US" w:eastAsia="zh-CN"/>
        </w:rPr>
        <w:t>（</w:t>
      </w:r>
      <w:r>
        <w:rPr>
          <w:rFonts w:hint="eastAsia" w:cs="Times New Roman"/>
          <w:b w:val="0"/>
          <w:bCs w:val="0"/>
          <w:color w:val="auto"/>
          <w:kern w:val="0"/>
          <w:sz w:val="24"/>
          <w:highlight w:val="none"/>
          <w:vertAlign w:val="baseline"/>
          <w:lang w:eastAsia="zh-CN"/>
        </w:rPr>
        <w:t>氟化物</w:t>
      </w:r>
      <w:r>
        <w:rPr>
          <w:rFonts w:hint="eastAsia" w:cs="Times New Roman"/>
          <w:b w:val="0"/>
          <w:bCs w:val="0"/>
          <w:color w:val="auto"/>
          <w:kern w:val="0"/>
          <w:sz w:val="24"/>
          <w:highlight w:val="none"/>
          <w:lang w:eastAsia="zh-CN"/>
        </w:rPr>
        <w:t>排放速率</w:t>
      </w:r>
      <w:r>
        <w:rPr>
          <w:rFonts w:hint="eastAsia" w:cs="Times New Roman"/>
          <w:b w:val="0"/>
          <w:bCs w:val="0"/>
          <w:color w:val="auto"/>
          <w:kern w:val="0"/>
          <w:sz w:val="24"/>
          <w:highlight w:val="none"/>
          <w:lang w:val="en-US" w:eastAsia="zh-CN"/>
        </w:rPr>
        <w:t>0.1kg/h，</w:t>
      </w:r>
      <w:r>
        <w:rPr>
          <w:rFonts w:hint="eastAsia" w:cs="Times New Roman"/>
          <w:b w:val="0"/>
          <w:bCs w:val="0"/>
          <w:color w:val="auto"/>
          <w:kern w:val="0"/>
          <w:sz w:val="24"/>
          <w:highlight w:val="none"/>
          <w:lang w:eastAsia="zh-CN"/>
        </w:rPr>
        <w:t>排放浓度</w:t>
      </w:r>
      <w:r>
        <w:rPr>
          <w:rFonts w:hint="eastAsia" w:cs="Times New Roman"/>
          <w:b w:val="0"/>
          <w:bCs w:val="0"/>
          <w:color w:val="auto"/>
          <w:kern w:val="0"/>
          <w:sz w:val="24"/>
          <w:highlight w:val="none"/>
          <w:lang w:val="en-US" w:eastAsia="zh-CN"/>
        </w:rPr>
        <w:t>9.0</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r>
        <w:rPr>
          <w:rFonts w:hint="default" w:ascii="Times New Roman" w:hAnsi="Times New Roman" w:cs="Times New Roman"/>
          <w:color w:val="auto"/>
          <w:sz w:val="24"/>
          <w:szCs w:val="24"/>
          <w:highlight w:val="none"/>
          <w:lang w:val="en-US" w:eastAsia="zh-CN"/>
        </w:rPr>
        <w:t>。</w:t>
      </w:r>
    </w:p>
    <w:p w14:paraId="3BC0FABF">
      <w:pPr>
        <w:overflowPunct w:val="0"/>
        <w:topLinePunct/>
        <w:ind w:firstLine="480"/>
        <w:rPr>
          <w:color w:val="auto"/>
          <w:kern w:val="0"/>
          <w:highlight w:val="none"/>
        </w:rPr>
      </w:pPr>
      <w:r>
        <w:rPr>
          <w:rFonts w:hint="eastAsia" w:ascii="Times New Roman" w:hAnsi="Times New Roman" w:cs="Times New Roman"/>
          <w:color w:val="auto"/>
          <w:sz w:val="24"/>
          <w:szCs w:val="24"/>
          <w:highlight w:val="none"/>
          <w:lang w:val="en-US" w:eastAsia="zh-CN"/>
        </w:rPr>
        <w:t>该工段无组织氟化物产生量为0.</w:t>
      </w:r>
      <w:r>
        <w:rPr>
          <w:rFonts w:hint="eastAsia" w:cs="Times New Roman"/>
          <w:color w:val="auto"/>
          <w:sz w:val="24"/>
          <w:szCs w:val="24"/>
          <w:highlight w:val="none"/>
          <w:lang w:val="en-US" w:eastAsia="zh-CN"/>
        </w:rPr>
        <w:t>9468</w:t>
      </w:r>
      <w:r>
        <w:rPr>
          <w:rFonts w:hint="default" w:ascii="Times New Roman" w:hAnsi="Times New Roman" w:cs="Times New Roman"/>
          <w:color w:val="auto"/>
          <w:kern w:val="0"/>
          <w:sz w:val="24"/>
          <w:szCs w:val="24"/>
          <w:highlight w:val="none"/>
          <w:lang w:val="en-US" w:eastAsia="zh-CN" w:bidi="ar"/>
        </w:rPr>
        <w:t>t/a</w:t>
      </w:r>
      <w:r>
        <w:rPr>
          <w:rFonts w:hint="eastAsia" w:ascii="Times New Roman" w:hAnsi="Times New Roman" w:cs="Times New Roman"/>
          <w:color w:val="auto"/>
          <w:sz w:val="24"/>
          <w:szCs w:val="24"/>
          <w:highlight w:val="none"/>
          <w:lang w:val="en-US" w:eastAsia="zh-CN"/>
        </w:rPr>
        <w:t>，产生速率为0.</w:t>
      </w:r>
      <w:r>
        <w:rPr>
          <w:rFonts w:hint="eastAsia" w:cs="Times New Roman"/>
          <w:color w:val="auto"/>
          <w:sz w:val="24"/>
          <w:szCs w:val="24"/>
          <w:highlight w:val="none"/>
          <w:lang w:val="en-US" w:eastAsia="zh-CN"/>
        </w:rPr>
        <w:t>1315</w:t>
      </w:r>
      <w:r>
        <w:rPr>
          <w:rFonts w:hint="eastAsia" w:cs="Times New Roman"/>
          <w:b w:val="0"/>
          <w:bCs w:val="0"/>
          <w:color w:val="auto"/>
          <w:kern w:val="0"/>
          <w:sz w:val="24"/>
          <w:highlight w:val="none"/>
          <w:lang w:val="en-US" w:eastAsia="zh-CN"/>
        </w:rPr>
        <w:t>kg/h</w:t>
      </w:r>
      <w:r>
        <w:rPr>
          <w:rFonts w:hint="eastAsia" w:ascii="Times New Roman" w:hAnsi="Times New Roman" w:cs="Times New Roman"/>
          <w:color w:val="auto"/>
          <w:sz w:val="24"/>
          <w:szCs w:val="24"/>
          <w:highlight w:val="none"/>
          <w:lang w:val="en-US" w:eastAsia="zh-CN"/>
        </w:rPr>
        <w:t>，经密闭厂房抑尘后，无组织氟化物排放量为0.00</w:t>
      </w:r>
      <w:r>
        <w:rPr>
          <w:rFonts w:hint="eastAsia" w:cs="Times New Roman"/>
          <w:color w:val="auto"/>
          <w:sz w:val="24"/>
          <w:szCs w:val="24"/>
          <w:highlight w:val="none"/>
          <w:lang w:val="en-US" w:eastAsia="zh-CN"/>
        </w:rPr>
        <w:t>95</w:t>
      </w:r>
      <w:r>
        <w:rPr>
          <w:rFonts w:hint="default" w:ascii="Times New Roman" w:hAnsi="Times New Roman" w:cs="Times New Roman"/>
          <w:color w:val="auto"/>
          <w:kern w:val="0"/>
          <w:sz w:val="24"/>
          <w:szCs w:val="24"/>
          <w:highlight w:val="none"/>
          <w:lang w:val="en-US" w:eastAsia="zh-CN" w:bidi="ar"/>
        </w:rPr>
        <w:t>t/a</w:t>
      </w:r>
      <w:r>
        <w:rPr>
          <w:rFonts w:hint="eastAsia" w:ascii="Times New Roman" w:hAnsi="Times New Roman" w:cs="Times New Roman"/>
          <w:color w:val="auto"/>
          <w:sz w:val="24"/>
          <w:szCs w:val="24"/>
          <w:highlight w:val="none"/>
          <w:lang w:val="en-US" w:eastAsia="zh-CN"/>
        </w:rPr>
        <w:t>，排放速率为0.00</w:t>
      </w:r>
      <w:r>
        <w:rPr>
          <w:rFonts w:hint="eastAsia" w:cs="Times New Roman"/>
          <w:color w:val="auto"/>
          <w:sz w:val="24"/>
          <w:szCs w:val="24"/>
          <w:highlight w:val="none"/>
          <w:lang w:val="en-US" w:eastAsia="zh-CN"/>
        </w:rPr>
        <w:t>13</w:t>
      </w:r>
      <w:r>
        <w:rPr>
          <w:rFonts w:hint="eastAsia" w:cs="Times New Roman"/>
          <w:b w:val="0"/>
          <w:bCs w:val="0"/>
          <w:color w:val="auto"/>
          <w:kern w:val="0"/>
          <w:sz w:val="24"/>
          <w:highlight w:val="none"/>
          <w:lang w:val="en-US" w:eastAsia="zh-CN"/>
        </w:rPr>
        <w:t>kg/h</w:t>
      </w:r>
      <w:r>
        <w:rPr>
          <w:rFonts w:hint="eastAsia" w:ascii="Times New Roman" w:hAnsi="Times New Roman" w:cs="Times New Roman"/>
          <w:color w:val="auto"/>
          <w:sz w:val="24"/>
          <w:szCs w:val="24"/>
          <w:highlight w:val="none"/>
          <w:lang w:val="en-US" w:eastAsia="zh-CN"/>
        </w:rPr>
        <w:t>。</w:t>
      </w:r>
    </w:p>
    <w:p w14:paraId="385C1D9D">
      <w:pPr>
        <w:bidi w:val="0"/>
        <w:rPr>
          <w:rFonts w:hint="default"/>
          <w:color w:val="auto"/>
          <w:highlight w:val="none"/>
          <w:lang w:val="en-US" w:eastAsia="zh-CN"/>
        </w:rPr>
      </w:pPr>
      <w:r>
        <w:rPr>
          <w:rFonts w:hint="eastAsia"/>
          <w:color w:val="auto"/>
          <w:highlight w:val="none"/>
          <w:lang w:val="en-US" w:eastAsia="zh-CN"/>
        </w:rPr>
        <w:t>（5）硫酸稀释废气</w:t>
      </w:r>
    </w:p>
    <w:p w14:paraId="00B58854">
      <w:pPr>
        <w:bidi w:val="0"/>
        <w:rPr>
          <w:rFonts w:hint="default" w:ascii="Times New Roman" w:hAnsi="Times New Roman" w:cs="Times New Roman"/>
          <w:color w:val="auto"/>
          <w:sz w:val="24"/>
          <w:szCs w:val="24"/>
          <w:highlight w:val="none"/>
          <w:lang w:val="en-US" w:eastAsia="zh-CN"/>
        </w:rPr>
      </w:pPr>
      <w:r>
        <w:rPr>
          <w:rFonts w:hint="eastAsia"/>
          <w:color w:val="auto"/>
          <w:highlight w:val="none"/>
          <w:lang w:val="en-US" w:eastAsia="zh-CN"/>
        </w:rPr>
        <w:t>本项目外购的硫酸为93%浓硫酸，在配制酸性水玻璃过程中，需要先将浓硫酸稀释至约20%浓度，稀释过程中会产生少量硫酸雾，本项目采用密闭容器+缓慢滴加的方式进行稀释，挥发量较小，按0.02%计，项目年消耗93%浓硫酸6420t，则硫酸雾产生量为1.2840t/a，产生速率为0.1783</w:t>
      </w:r>
      <w:r>
        <w:rPr>
          <w:rFonts w:hint="default" w:ascii="Times New Roman" w:hAnsi="Times New Roman" w:cs="Times New Roman"/>
          <w:color w:val="auto"/>
          <w:kern w:val="0"/>
          <w:sz w:val="24"/>
          <w:szCs w:val="24"/>
          <w:highlight w:val="none"/>
          <w:lang w:val="en-US" w:eastAsia="zh-CN" w:bidi="ar"/>
        </w:rPr>
        <w:t>t/a</w:t>
      </w:r>
      <w:r>
        <w:rPr>
          <w:rFonts w:hint="eastAsia"/>
          <w:color w:val="auto"/>
          <w:highlight w:val="none"/>
          <w:lang w:val="en-US" w:eastAsia="zh-CN"/>
        </w:rPr>
        <w:t>，风机风量为1000</w:t>
      </w:r>
      <w:r>
        <w:rPr>
          <w:rFonts w:hint="default" w:ascii="Times New Roman" w:hAnsi="Times New Roman" w:eastAsia="宋体" w:cs="Times New Roman"/>
          <w:b w:val="0"/>
          <w:bCs w:val="0"/>
          <w:color w:val="auto"/>
          <w:kern w:val="0"/>
          <w:sz w:val="24"/>
          <w:highlight w:val="none"/>
        </w:rPr>
        <w:t>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vertAlign w:val="baseline"/>
          <w:lang w:val="en-US" w:eastAsia="zh-CN"/>
        </w:rPr>
        <w:t>/h</w:t>
      </w:r>
      <w:r>
        <w:rPr>
          <w:rFonts w:hint="eastAsia"/>
          <w:color w:val="auto"/>
          <w:highlight w:val="none"/>
          <w:lang w:val="en-US" w:eastAsia="zh-CN"/>
        </w:rPr>
        <w:t>，则产生浓度为178.3333</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eastAsia"/>
          <w:color w:val="auto"/>
          <w:highlight w:val="none"/>
          <w:lang w:val="en-US" w:eastAsia="zh-CN"/>
        </w:rPr>
        <w:t>，项目设置碱液吸收塔对挥发的硫酸雾进行去除，回收效率为90%，则硫酸雾排放量为0.1284</w:t>
      </w:r>
      <w:r>
        <w:rPr>
          <w:rFonts w:hint="default" w:ascii="Times New Roman" w:hAnsi="Times New Roman" w:cs="Times New Roman"/>
          <w:color w:val="auto"/>
          <w:kern w:val="0"/>
          <w:sz w:val="24"/>
          <w:szCs w:val="24"/>
          <w:highlight w:val="none"/>
          <w:lang w:val="en-US" w:eastAsia="zh-CN" w:bidi="ar"/>
        </w:rPr>
        <w:t>t/a</w:t>
      </w:r>
      <w:r>
        <w:rPr>
          <w:rFonts w:hint="eastAsia"/>
          <w:color w:val="auto"/>
          <w:highlight w:val="none"/>
          <w:lang w:val="en-US" w:eastAsia="zh-CN"/>
        </w:rPr>
        <w:t>，排放速率为0.0178</w:t>
      </w:r>
      <w:r>
        <w:rPr>
          <w:rFonts w:hint="eastAsia" w:cs="Times New Roman"/>
          <w:b w:val="0"/>
          <w:bCs w:val="0"/>
          <w:color w:val="auto"/>
          <w:kern w:val="0"/>
          <w:sz w:val="24"/>
          <w:highlight w:val="none"/>
          <w:lang w:val="en-US" w:eastAsia="zh-CN"/>
        </w:rPr>
        <w:t>kg/h</w:t>
      </w:r>
      <w:r>
        <w:rPr>
          <w:rFonts w:hint="eastAsia"/>
          <w:color w:val="auto"/>
          <w:highlight w:val="none"/>
          <w:lang w:val="en-US" w:eastAsia="zh-CN"/>
        </w:rPr>
        <w:t>，排放浓度为17.8333</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eastAsia"/>
          <w:color w:val="auto"/>
          <w:highlight w:val="none"/>
          <w:lang w:val="en-US" w:eastAsia="zh-CN"/>
        </w:rPr>
        <w:t>，</w:t>
      </w:r>
      <w:r>
        <w:rPr>
          <w:rFonts w:hint="default" w:ascii="Times New Roman" w:hAnsi="Times New Roman" w:cs="Times New Roman"/>
          <w:color w:val="auto"/>
          <w:sz w:val="24"/>
          <w:szCs w:val="24"/>
          <w:highlight w:val="none"/>
        </w:rPr>
        <w:t>《大气污染物综合排放标准》（GB16297-1996）中新污染源大气污染物排放限值</w:t>
      </w:r>
      <w:r>
        <w:rPr>
          <w:rFonts w:hint="default" w:ascii="Times New Roman" w:hAnsi="Times New Roman" w:cs="Times New Roman"/>
          <w:color w:val="auto"/>
          <w:sz w:val="24"/>
          <w:szCs w:val="24"/>
          <w:highlight w:val="none"/>
          <w:lang w:val="en-US" w:eastAsia="zh-CN"/>
        </w:rPr>
        <w:t>要求</w:t>
      </w:r>
      <w:r>
        <w:rPr>
          <w:rFonts w:hint="eastAsia" w:ascii="Times New Roman" w:hAnsi="Times New Roman" w:cs="Times New Roman"/>
          <w:color w:val="auto"/>
          <w:sz w:val="24"/>
          <w:szCs w:val="24"/>
          <w:highlight w:val="none"/>
          <w:lang w:val="en-US" w:eastAsia="zh-CN"/>
        </w:rPr>
        <w:t>（</w:t>
      </w:r>
      <w:r>
        <w:rPr>
          <w:rFonts w:hint="eastAsia" w:cs="Times New Roman"/>
          <w:b w:val="0"/>
          <w:bCs w:val="0"/>
          <w:color w:val="auto"/>
          <w:kern w:val="0"/>
          <w:sz w:val="24"/>
          <w:highlight w:val="none"/>
          <w:vertAlign w:val="baseline"/>
          <w:lang w:eastAsia="zh-CN"/>
        </w:rPr>
        <w:t>氟化物</w:t>
      </w:r>
      <w:r>
        <w:rPr>
          <w:rFonts w:hint="eastAsia" w:cs="Times New Roman"/>
          <w:b w:val="0"/>
          <w:bCs w:val="0"/>
          <w:color w:val="auto"/>
          <w:kern w:val="0"/>
          <w:sz w:val="24"/>
          <w:highlight w:val="none"/>
          <w:lang w:eastAsia="zh-CN"/>
        </w:rPr>
        <w:t>排放速率</w:t>
      </w:r>
      <w:r>
        <w:rPr>
          <w:rFonts w:hint="eastAsia" w:cs="Times New Roman"/>
          <w:b w:val="0"/>
          <w:bCs w:val="0"/>
          <w:color w:val="auto"/>
          <w:kern w:val="0"/>
          <w:sz w:val="24"/>
          <w:highlight w:val="none"/>
          <w:lang w:val="en-US" w:eastAsia="zh-CN"/>
        </w:rPr>
        <w:t>1.5kg/h，</w:t>
      </w:r>
      <w:r>
        <w:rPr>
          <w:rFonts w:hint="eastAsia" w:cs="Times New Roman"/>
          <w:b w:val="0"/>
          <w:bCs w:val="0"/>
          <w:color w:val="auto"/>
          <w:kern w:val="0"/>
          <w:sz w:val="24"/>
          <w:highlight w:val="none"/>
          <w:lang w:eastAsia="zh-CN"/>
        </w:rPr>
        <w:t>排放浓度</w:t>
      </w:r>
      <w:r>
        <w:rPr>
          <w:rFonts w:hint="eastAsia" w:cs="Times New Roman"/>
          <w:b w:val="0"/>
          <w:bCs w:val="0"/>
          <w:color w:val="auto"/>
          <w:kern w:val="0"/>
          <w:sz w:val="24"/>
          <w:highlight w:val="none"/>
          <w:lang w:val="en-US" w:eastAsia="zh-CN"/>
        </w:rPr>
        <w:t>45</w:t>
      </w:r>
      <w:r>
        <w:rPr>
          <w:rFonts w:hint="default" w:ascii="Times New Roman" w:hAnsi="Times New Roman" w:eastAsia="宋体" w:cs="Times New Roman"/>
          <w:b w:val="0"/>
          <w:bCs w:val="0"/>
          <w:color w:val="auto"/>
          <w:kern w:val="0"/>
          <w:sz w:val="24"/>
          <w:highlight w:val="none"/>
        </w:rPr>
        <w:t>mg/m</w:t>
      </w:r>
      <w:r>
        <w:rPr>
          <w:rFonts w:hint="default" w:ascii="Times New Roman" w:hAnsi="Times New Roman" w:eastAsia="宋体" w:cs="Times New Roman"/>
          <w:b w:val="0"/>
          <w:bCs w:val="0"/>
          <w:color w:val="auto"/>
          <w:kern w:val="0"/>
          <w:sz w:val="24"/>
          <w:highlight w:val="none"/>
          <w:vertAlign w:val="superscript"/>
        </w:rPr>
        <w:t>3</w:t>
      </w:r>
      <w:r>
        <w:rPr>
          <w:rFonts w:hint="default" w:ascii="Times New Roman" w:hAnsi="Times New Roman" w:eastAsia="宋体" w:cs="Times New Roman"/>
          <w:b w:val="0"/>
          <w:bCs w:val="0"/>
          <w:color w:val="auto"/>
          <w:kern w:val="0"/>
          <w:sz w:val="24"/>
          <w:highlight w:val="none"/>
        </w:rPr>
        <w:t>）</w:t>
      </w:r>
      <w:r>
        <w:rPr>
          <w:rFonts w:hint="default" w:ascii="Times New Roman" w:hAnsi="Times New Roman" w:cs="Times New Roman"/>
          <w:color w:val="auto"/>
          <w:sz w:val="24"/>
          <w:szCs w:val="24"/>
          <w:highlight w:val="none"/>
          <w:lang w:val="en-US" w:eastAsia="zh-CN"/>
        </w:rPr>
        <w:t>。</w:t>
      </w:r>
    </w:p>
    <w:p w14:paraId="63350A18">
      <w:pPr>
        <w:bidi w:val="0"/>
        <w:rPr>
          <w:rFonts w:hint="default"/>
          <w:color w:val="auto"/>
          <w:highlight w:val="none"/>
          <w:lang w:val="en-US" w:eastAsia="zh-CN"/>
        </w:rPr>
      </w:pPr>
      <w:r>
        <w:rPr>
          <w:rFonts w:hint="eastAsia"/>
          <w:color w:val="auto"/>
          <w:highlight w:val="none"/>
          <w:lang w:val="en-US" w:eastAsia="zh-CN"/>
        </w:rPr>
        <w:t>（6）食堂油烟</w:t>
      </w:r>
    </w:p>
    <w:p w14:paraId="7BA08B72">
      <w:pPr>
        <w:bidi w:val="0"/>
        <w:rPr>
          <w:color w:val="auto"/>
          <w:highlight w:val="none"/>
        </w:rPr>
      </w:pPr>
      <w:r>
        <w:rPr>
          <w:color w:val="auto"/>
          <w:highlight w:val="none"/>
        </w:rPr>
        <w:t>项目劳动定员</w:t>
      </w:r>
      <w:r>
        <w:rPr>
          <w:rFonts w:hint="eastAsia"/>
          <w:color w:val="auto"/>
          <w:highlight w:val="none"/>
          <w:lang w:val="en-US" w:eastAsia="zh-CN"/>
        </w:rPr>
        <w:t>253</w:t>
      </w:r>
      <w:r>
        <w:rPr>
          <w:color w:val="auto"/>
          <w:highlight w:val="none"/>
        </w:rPr>
        <w:t>人，每人每天的食用油用量</w:t>
      </w:r>
      <w:r>
        <w:rPr>
          <w:rFonts w:hint="eastAsia"/>
          <w:color w:val="auto"/>
          <w:highlight w:val="none"/>
          <w:lang w:val="en-US" w:eastAsia="zh-CN"/>
        </w:rPr>
        <w:t>约</w:t>
      </w:r>
      <w:r>
        <w:rPr>
          <w:color w:val="auto"/>
          <w:highlight w:val="none"/>
        </w:rPr>
        <w:t>为0.025kg，则用油量为</w:t>
      </w:r>
      <w:r>
        <w:rPr>
          <w:rFonts w:hint="eastAsia"/>
          <w:color w:val="auto"/>
          <w:highlight w:val="none"/>
          <w:lang w:val="en-US" w:eastAsia="zh-CN"/>
        </w:rPr>
        <w:t>1.8975</w:t>
      </w:r>
      <w:r>
        <w:rPr>
          <w:color w:val="auto"/>
          <w:highlight w:val="none"/>
        </w:rPr>
        <w:t>kg/</w:t>
      </w:r>
      <w:r>
        <w:rPr>
          <w:rFonts w:hint="eastAsia"/>
          <w:color w:val="auto"/>
          <w:highlight w:val="none"/>
          <w:lang w:val="en-US" w:eastAsia="zh-CN"/>
        </w:rPr>
        <w:t>a</w:t>
      </w:r>
      <w:r>
        <w:rPr>
          <w:color w:val="auto"/>
          <w:highlight w:val="none"/>
        </w:rPr>
        <w:t>，一般油的挥发量占总耗油量的</w:t>
      </w:r>
      <w:r>
        <w:rPr>
          <w:rFonts w:hint="eastAsia"/>
          <w:color w:val="auto"/>
          <w:highlight w:val="none"/>
          <w:lang w:eastAsia="zh-CN"/>
        </w:rPr>
        <w:t>2%～4%</w:t>
      </w:r>
      <w:r>
        <w:rPr>
          <w:color w:val="auto"/>
          <w:highlight w:val="none"/>
        </w:rPr>
        <w:t>之间，取其平均值3%计算，则食堂油烟年产生量为</w:t>
      </w:r>
      <w:r>
        <w:rPr>
          <w:rFonts w:hint="eastAsia"/>
          <w:color w:val="auto"/>
          <w:highlight w:val="none"/>
          <w:lang w:val="en-US" w:eastAsia="zh-CN"/>
        </w:rPr>
        <w:t>0.0569</w:t>
      </w:r>
      <w:r>
        <w:rPr>
          <w:color w:val="auto"/>
          <w:highlight w:val="none"/>
        </w:rPr>
        <w:t>t/a。</w:t>
      </w:r>
      <w:r>
        <w:rPr>
          <w:rFonts w:hint="default" w:ascii="Times New Roman" w:hAnsi="Times New Roman" w:eastAsia="宋体" w:cs="Times New Roman"/>
          <w:color w:val="auto"/>
          <w:sz w:val="24"/>
          <w:szCs w:val="24"/>
          <w:highlight w:val="none"/>
          <w:lang w:val="en-US" w:eastAsia="zh-CN"/>
        </w:rPr>
        <w:t>按日高峰</w:t>
      </w:r>
      <w:r>
        <w:rPr>
          <w:rFonts w:hint="eastAsia"/>
          <w:color w:val="auto"/>
          <w:highlight w:val="none"/>
          <w:lang w:val="en-US" w:eastAsia="zh-CN"/>
        </w:rPr>
        <w:t>4</w:t>
      </w:r>
      <w:r>
        <w:rPr>
          <w:color w:val="auto"/>
          <w:highlight w:val="none"/>
        </w:rPr>
        <w:t>小时计算，企业食堂需安装合格的油烟净化器</w:t>
      </w:r>
      <w:r>
        <w:rPr>
          <w:rFonts w:hint="eastAsia"/>
          <w:color w:val="auto"/>
          <w:highlight w:val="none"/>
          <w:lang w:eastAsia="zh-CN"/>
        </w:rPr>
        <w:t>（</w:t>
      </w:r>
      <w:r>
        <w:rPr>
          <w:color w:val="auto"/>
          <w:highlight w:val="none"/>
        </w:rPr>
        <w:t>净化效率达</w:t>
      </w:r>
      <w:r>
        <w:rPr>
          <w:rFonts w:hint="eastAsia"/>
          <w:color w:val="auto"/>
          <w:highlight w:val="none"/>
          <w:lang w:val="en-US" w:eastAsia="zh-CN"/>
        </w:rPr>
        <w:t>75</w:t>
      </w:r>
      <w:r>
        <w:rPr>
          <w:color w:val="auto"/>
          <w:highlight w:val="none"/>
        </w:rPr>
        <w:t>%</w:t>
      </w:r>
      <w:r>
        <w:rPr>
          <w:rFonts w:hint="eastAsia"/>
          <w:color w:val="auto"/>
          <w:highlight w:val="none"/>
          <w:lang w:eastAsia="zh-CN"/>
        </w:rPr>
        <w:t>）</w:t>
      </w:r>
      <w:r>
        <w:rPr>
          <w:color w:val="auto"/>
          <w:highlight w:val="none"/>
        </w:rPr>
        <w:t>，油烟经收集净化后引至楼顶排放，收集率取</w:t>
      </w:r>
      <w:r>
        <w:rPr>
          <w:rFonts w:hint="eastAsia"/>
          <w:color w:val="auto"/>
          <w:highlight w:val="none"/>
          <w:lang w:val="en-US" w:eastAsia="zh-CN"/>
        </w:rPr>
        <w:t>80</w:t>
      </w:r>
      <w:r>
        <w:rPr>
          <w:color w:val="auto"/>
          <w:highlight w:val="none"/>
        </w:rPr>
        <w:t>%，风量取4000m</w:t>
      </w:r>
      <w:r>
        <w:rPr>
          <w:color w:val="auto"/>
          <w:highlight w:val="none"/>
          <w:vertAlign w:val="superscript"/>
        </w:rPr>
        <w:t>3</w:t>
      </w:r>
      <w:r>
        <w:rPr>
          <w:color w:val="auto"/>
          <w:highlight w:val="none"/>
        </w:rPr>
        <w:t>/h，则食堂油烟有组织排放量为</w:t>
      </w:r>
      <w:r>
        <w:rPr>
          <w:rFonts w:hint="eastAsia"/>
          <w:color w:val="auto"/>
          <w:highlight w:val="none"/>
          <w:lang w:val="en-US" w:eastAsia="zh-CN"/>
        </w:rPr>
        <w:t>0.0114t</w:t>
      </w:r>
      <w:r>
        <w:rPr>
          <w:color w:val="auto"/>
          <w:highlight w:val="none"/>
        </w:rPr>
        <w:t>/</w:t>
      </w:r>
      <w:r>
        <w:rPr>
          <w:rFonts w:hint="eastAsia"/>
          <w:color w:val="auto"/>
          <w:highlight w:val="none"/>
          <w:lang w:val="en-US" w:eastAsia="zh-CN"/>
        </w:rPr>
        <w:t>a</w:t>
      </w:r>
      <w:r>
        <w:rPr>
          <w:rFonts w:hint="eastAsia"/>
          <w:color w:val="auto"/>
          <w:highlight w:val="none"/>
          <w:lang w:eastAsia="zh-CN"/>
        </w:rPr>
        <w:t>（</w:t>
      </w:r>
      <w:r>
        <w:rPr>
          <w:rFonts w:hint="eastAsia"/>
          <w:color w:val="auto"/>
          <w:highlight w:val="none"/>
          <w:lang w:val="en-US" w:eastAsia="zh-CN"/>
        </w:rPr>
        <w:t>0.0095kg/h</w:t>
      </w:r>
      <w:r>
        <w:rPr>
          <w:color w:val="auto"/>
          <w:highlight w:val="none"/>
        </w:rPr>
        <w:t>、</w:t>
      </w:r>
      <w:r>
        <w:rPr>
          <w:rFonts w:hint="eastAsia"/>
          <w:color w:val="auto"/>
          <w:highlight w:val="none"/>
          <w:lang w:val="en-US" w:eastAsia="zh-CN"/>
        </w:rPr>
        <w:t>1.8975</w:t>
      </w:r>
      <w:r>
        <w:rPr>
          <w:color w:val="auto"/>
          <w:highlight w:val="none"/>
        </w:rPr>
        <w:t>mg/m</w:t>
      </w:r>
      <w:r>
        <w:rPr>
          <w:color w:val="auto"/>
          <w:highlight w:val="none"/>
          <w:vertAlign w:val="superscript"/>
        </w:rPr>
        <w:t>3</w:t>
      </w:r>
      <w:r>
        <w:rPr>
          <w:rFonts w:hint="eastAsia"/>
          <w:color w:val="auto"/>
          <w:highlight w:val="none"/>
          <w:lang w:eastAsia="zh-CN"/>
        </w:rPr>
        <w:t>）</w:t>
      </w:r>
      <w:r>
        <w:rPr>
          <w:color w:val="auto"/>
          <w:highlight w:val="none"/>
        </w:rPr>
        <w:t>，无组织排放量为</w:t>
      </w:r>
      <w:r>
        <w:rPr>
          <w:rFonts w:hint="eastAsia"/>
          <w:color w:val="auto"/>
          <w:highlight w:val="none"/>
          <w:lang w:val="en-US" w:eastAsia="zh-CN"/>
        </w:rPr>
        <w:t>0.0114t</w:t>
      </w:r>
      <w:r>
        <w:rPr>
          <w:color w:val="auto"/>
          <w:highlight w:val="none"/>
        </w:rPr>
        <w:t>/a</w:t>
      </w:r>
      <w:r>
        <w:rPr>
          <w:rFonts w:hint="eastAsia"/>
          <w:color w:val="auto"/>
          <w:highlight w:val="none"/>
          <w:lang w:eastAsia="zh-CN"/>
        </w:rPr>
        <w:t>（</w:t>
      </w:r>
      <w:r>
        <w:rPr>
          <w:rFonts w:hint="eastAsia"/>
          <w:color w:val="auto"/>
          <w:highlight w:val="none"/>
          <w:lang w:val="en-US" w:eastAsia="zh-CN"/>
        </w:rPr>
        <w:t>0.0095k</w:t>
      </w:r>
      <w:r>
        <w:rPr>
          <w:color w:val="auto"/>
          <w:highlight w:val="none"/>
        </w:rPr>
        <w:t>g/h</w:t>
      </w:r>
      <w:r>
        <w:rPr>
          <w:rFonts w:hint="eastAsia"/>
          <w:color w:val="auto"/>
          <w:highlight w:val="none"/>
          <w:lang w:eastAsia="zh-CN"/>
        </w:rPr>
        <w:t>）</w:t>
      </w:r>
      <w:r>
        <w:rPr>
          <w:color w:val="auto"/>
          <w:highlight w:val="none"/>
        </w:rPr>
        <w:t>。由此可知，净化后的油烟排放浓度能够符合GB18483-2001《饮食业油烟排放标准</w:t>
      </w:r>
      <w:r>
        <w:rPr>
          <w:rFonts w:hint="eastAsia"/>
          <w:color w:val="auto"/>
          <w:highlight w:val="none"/>
          <w:lang w:eastAsia="zh-CN"/>
        </w:rPr>
        <w:t>（</w:t>
      </w:r>
      <w:r>
        <w:rPr>
          <w:color w:val="auto"/>
          <w:highlight w:val="none"/>
        </w:rPr>
        <w:t>试行</w:t>
      </w:r>
      <w:r>
        <w:rPr>
          <w:rFonts w:hint="eastAsia"/>
          <w:color w:val="auto"/>
          <w:highlight w:val="none"/>
          <w:lang w:eastAsia="zh-CN"/>
        </w:rPr>
        <w:t>）</w:t>
      </w:r>
      <w:r>
        <w:rPr>
          <w:color w:val="auto"/>
          <w:highlight w:val="none"/>
        </w:rPr>
        <w:t>》中油烟的最高允许排放浓度2.0mg/m</w:t>
      </w:r>
      <w:r>
        <w:rPr>
          <w:color w:val="auto"/>
          <w:highlight w:val="none"/>
          <w:vertAlign w:val="superscript"/>
        </w:rPr>
        <w:t>3</w:t>
      </w:r>
      <w:r>
        <w:rPr>
          <w:color w:val="auto"/>
          <w:highlight w:val="none"/>
        </w:rPr>
        <w:t>的标准限值要求。</w:t>
      </w:r>
    </w:p>
    <w:p w14:paraId="133DAE56">
      <w:pPr>
        <w:pStyle w:val="7"/>
        <w:bidi w:val="0"/>
        <w:rPr>
          <w:rFonts w:hint="eastAsia"/>
          <w:color w:val="auto"/>
          <w:highlight w:val="none"/>
          <w:lang w:val="en-US" w:eastAsia="zh-CN"/>
        </w:rPr>
      </w:pPr>
      <w:r>
        <w:rPr>
          <w:rFonts w:hint="eastAsia"/>
          <w:color w:val="auto"/>
          <w:highlight w:val="none"/>
          <w:lang w:val="en-US" w:eastAsia="zh-CN"/>
        </w:rPr>
        <w:t>3.3.1.3尾矿库</w:t>
      </w:r>
    </w:p>
    <w:p w14:paraId="60FC4292">
      <w:pPr>
        <w:overflowPunct w:val="0"/>
        <w:topLinePunct/>
        <w:ind w:firstLine="480"/>
        <w:rPr>
          <w:color w:val="auto"/>
          <w:highlight w:val="none"/>
        </w:rPr>
      </w:pPr>
      <w:r>
        <w:rPr>
          <w:rFonts w:hint="eastAsia"/>
          <w:color w:val="auto"/>
          <w:kern w:val="0"/>
          <w:highlight w:val="none"/>
        </w:rPr>
        <w:t>新建尾矿</w:t>
      </w:r>
      <w:r>
        <w:rPr>
          <w:color w:val="auto"/>
          <w:kern w:val="0"/>
          <w:highlight w:val="none"/>
        </w:rPr>
        <w:t>库尾矿</w:t>
      </w:r>
      <w:r>
        <w:rPr>
          <w:rFonts w:hint="eastAsia"/>
          <w:color w:val="auto"/>
          <w:kern w:val="0"/>
          <w:highlight w:val="none"/>
        </w:rPr>
        <w:t>排矿方式为湿排，放矿方法采用多管分散放矿，年入库尾矿</w:t>
      </w:r>
      <w:r>
        <w:rPr>
          <w:rFonts w:hint="eastAsia"/>
          <w:color w:val="auto"/>
          <w:kern w:val="0"/>
          <w:highlight w:val="none"/>
          <w:lang w:val="en-US" w:eastAsia="zh-CN"/>
        </w:rPr>
        <w:t>最大</w:t>
      </w:r>
      <w:r>
        <w:rPr>
          <w:rFonts w:hint="eastAsia"/>
          <w:color w:val="auto"/>
          <w:kern w:val="0"/>
          <w:highlight w:val="none"/>
        </w:rPr>
        <w:t>量</w:t>
      </w:r>
      <w:r>
        <w:rPr>
          <w:rFonts w:hint="eastAsia"/>
          <w:color w:val="auto"/>
          <w:kern w:val="0"/>
          <w:highlight w:val="none"/>
          <w:lang w:val="en-US" w:eastAsia="zh-CN"/>
        </w:rPr>
        <w:t>约</w:t>
      </w:r>
      <w:r>
        <w:rPr>
          <w:rFonts w:hint="eastAsia"/>
          <w:color w:val="auto"/>
          <w:kern w:val="0"/>
          <w:highlight w:val="none"/>
        </w:rPr>
        <w:t>为</w:t>
      </w:r>
      <w:r>
        <w:rPr>
          <w:rFonts w:hint="eastAsia"/>
          <w:color w:val="auto"/>
          <w:kern w:val="0"/>
          <w:highlight w:val="none"/>
          <w:lang w:val="en-US" w:eastAsia="zh-CN"/>
        </w:rPr>
        <w:t>44</w:t>
      </w:r>
      <w:r>
        <w:rPr>
          <w:rFonts w:hint="eastAsia"/>
          <w:color w:val="auto"/>
          <w:highlight w:val="none"/>
        </w:rPr>
        <w:t>万</w:t>
      </w:r>
      <w:r>
        <w:rPr>
          <w:color w:val="auto"/>
          <w:kern w:val="0"/>
          <w:highlight w:val="none"/>
        </w:rPr>
        <w:t>t</w:t>
      </w:r>
      <w:r>
        <w:rPr>
          <w:rFonts w:hint="eastAsia"/>
          <w:color w:val="auto"/>
          <w:kern w:val="0"/>
          <w:highlight w:val="none"/>
        </w:rPr>
        <w:t>/a。</w:t>
      </w:r>
      <w:r>
        <w:rPr>
          <w:rFonts w:hint="eastAsia"/>
          <w:color w:val="auto"/>
          <w:highlight w:val="none"/>
        </w:rPr>
        <w:t>项目运营期，尾矿库的干坡面会产生扬尘，由于尾矿湿式排放，含有一定的水分，含水率约3</w:t>
      </w:r>
      <w:r>
        <w:rPr>
          <w:color w:val="auto"/>
          <w:highlight w:val="none"/>
        </w:rPr>
        <w:t>5%</w:t>
      </w:r>
      <w:r>
        <w:rPr>
          <w:rFonts w:hint="eastAsia"/>
          <w:color w:val="auto"/>
          <w:highlight w:val="none"/>
        </w:rPr>
        <w:t>，可在尾矿库表面形成水封面，使滩面保持湿润，有效防止了尾矿起尘。</w:t>
      </w:r>
    </w:p>
    <w:p w14:paraId="709C9219">
      <w:pPr>
        <w:widowControl w:val="0"/>
        <w:overflowPunct w:val="0"/>
        <w:topLinePunct/>
        <w:spacing w:after="0"/>
        <w:ind w:firstLine="480"/>
        <w:jc w:val="both"/>
        <w:rPr>
          <w:rFonts w:ascii="Times New Roman" w:hAnsi="Times New Roman" w:cs="Times New Roman"/>
          <w:color w:val="auto"/>
          <w:kern w:val="2"/>
          <w:highlight w:val="none"/>
        </w:rPr>
      </w:pPr>
      <w:r>
        <w:rPr>
          <w:rFonts w:ascii="Times New Roman" w:hAnsi="Times New Roman" w:cs="Times New Roman"/>
          <w:color w:val="auto"/>
          <w:kern w:val="2"/>
          <w:highlight w:val="none"/>
        </w:rPr>
        <w:t>尾矿干滩起尘量的产生采用北京环科院与北大环境中心研究的经验公式，即：</w:t>
      </w:r>
    </w:p>
    <w:p w14:paraId="60930B17">
      <w:pPr>
        <w:widowControl w:val="0"/>
        <w:overflowPunct w:val="0"/>
        <w:topLinePunct/>
        <w:spacing w:after="0"/>
        <w:ind w:firstLine="0" w:firstLineChars="0"/>
        <w:jc w:val="center"/>
        <w:rPr>
          <w:rFonts w:hint="default" w:ascii="Times New Roman" w:hAnsi="Times New Roman" w:cs="Times New Roman"/>
          <w:color w:val="auto"/>
          <w:kern w:val="2"/>
          <w:highlight w:val="none"/>
          <w:vertAlign w:val="superscript"/>
        </w:rPr>
      </w:pPr>
      <w:r>
        <w:rPr>
          <w:rFonts w:hint="default" w:ascii="Times New Roman" w:hAnsi="Times New Roman" w:cs="Times New Roman"/>
          <w:color w:val="auto"/>
          <w:kern w:val="2"/>
          <w:highlight w:val="none"/>
        </w:rPr>
        <w:t>E=k（0.0008535）U</w:t>
      </w:r>
      <w:r>
        <w:rPr>
          <w:rFonts w:hint="default" w:ascii="Times New Roman" w:hAnsi="Times New Roman" w:cs="Times New Roman"/>
          <w:color w:val="auto"/>
          <w:kern w:val="2"/>
          <w:highlight w:val="none"/>
          <w:vertAlign w:val="superscript"/>
        </w:rPr>
        <w:t>3.22</w:t>
      </w:r>
      <w:r>
        <w:rPr>
          <w:rFonts w:hint="default" w:ascii="Times New Roman" w:hAnsi="Times New Roman" w:cs="Times New Roman"/>
          <w:color w:val="auto"/>
          <w:kern w:val="2"/>
          <w:highlight w:val="none"/>
        </w:rPr>
        <w:t>e</w:t>
      </w:r>
      <w:r>
        <w:rPr>
          <w:rFonts w:hint="default" w:ascii="Times New Roman" w:hAnsi="Times New Roman" w:cs="Times New Roman"/>
          <w:color w:val="auto"/>
          <w:kern w:val="2"/>
          <w:highlight w:val="none"/>
          <w:vertAlign w:val="superscript"/>
        </w:rPr>
        <w:t>-0.2W</w:t>
      </w:r>
    </w:p>
    <w:p w14:paraId="2BD72BD8">
      <w:pPr>
        <w:widowControl w:val="0"/>
        <w:overflowPunct w:val="0"/>
        <w:topLinePunct/>
        <w:spacing w:after="0"/>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G=E×L</w:t>
      </w:r>
    </w:p>
    <w:p w14:paraId="7B67811A">
      <w:pPr>
        <w:bidi w:val="0"/>
        <w:rPr>
          <w:color w:val="auto"/>
          <w:highlight w:val="none"/>
        </w:rPr>
      </w:pPr>
      <w:r>
        <w:rPr>
          <w:rFonts w:ascii="Times New Roman" w:hAnsi="Times New Roman" w:cs="Times New Roman"/>
          <w:color w:val="auto"/>
          <w:kern w:val="2"/>
          <w:highlight w:val="none"/>
        </w:rPr>
        <w:t>式</w:t>
      </w:r>
      <w:r>
        <w:rPr>
          <w:color w:val="auto"/>
          <w:highlight w:val="none"/>
        </w:rPr>
        <w:t>中：E—单位宽度起尘强度，kg/</w:t>
      </w:r>
      <w:r>
        <w:rPr>
          <w:rFonts w:hint="eastAsia"/>
          <w:color w:val="auto"/>
          <w:highlight w:val="none"/>
          <w:lang w:eastAsia="zh-CN"/>
        </w:rPr>
        <w:t>（</w:t>
      </w:r>
      <w:r>
        <w:rPr>
          <w:color w:val="auto"/>
          <w:highlight w:val="none"/>
        </w:rPr>
        <w:t>m</w:t>
      </w:r>
      <w:r>
        <w:rPr>
          <w:rFonts w:hint="eastAsia"/>
          <w:color w:val="auto"/>
          <w:highlight w:val="none"/>
          <w:lang w:val="en-US" w:eastAsia="zh-CN"/>
        </w:rPr>
        <w:t>·</w:t>
      </w:r>
      <w:r>
        <w:rPr>
          <w:color w:val="auto"/>
          <w:highlight w:val="none"/>
        </w:rPr>
        <w:t>h</w:t>
      </w:r>
      <w:r>
        <w:rPr>
          <w:rFonts w:hint="eastAsia"/>
          <w:color w:val="auto"/>
          <w:highlight w:val="none"/>
          <w:lang w:eastAsia="zh-CN"/>
        </w:rPr>
        <w:t>）</w:t>
      </w:r>
      <w:r>
        <w:rPr>
          <w:color w:val="auto"/>
          <w:highlight w:val="none"/>
        </w:rPr>
        <w:t>；</w:t>
      </w:r>
    </w:p>
    <w:p w14:paraId="6040F094">
      <w:pPr>
        <w:bidi w:val="0"/>
        <w:rPr>
          <w:color w:val="auto"/>
          <w:highlight w:val="none"/>
        </w:rPr>
      </w:pPr>
      <w:r>
        <w:rPr>
          <w:color w:val="auto"/>
          <w:highlight w:val="none"/>
        </w:rPr>
        <w:t>k—地表修正系数，</w:t>
      </w:r>
      <w:r>
        <w:rPr>
          <w:rFonts w:hint="eastAsia"/>
          <w:color w:val="auto"/>
          <w:highlight w:val="none"/>
          <w:lang w:val="en-US" w:eastAsia="zh-CN"/>
        </w:rPr>
        <w:t>本项目尾矿库位于山区，</w:t>
      </w:r>
      <w:r>
        <w:rPr>
          <w:color w:val="auto"/>
          <w:highlight w:val="none"/>
        </w:rPr>
        <w:t>取</w:t>
      </w:r>
      <w:r>
        <w:rPr>
          <w:rFonts w:hint="eastAsia"/>
          <w:color w:val="auto"/>
          <w:highlight w:val="none"/>
          <w:lang w:val="en-US" w:eastAsia="zh-CN"/>
        </w:rPr>
        <w:t>0.6</w:t>
      </w:r>
      <w:r>
        <w:rPr>
          <w:color w:val="auto"/>
          <w:highlight w:val="none"/>
        </w:rPr>
        <w:t>；</w:t>
      </w:r>
    </w:p>
    <w:p w14:paraId="6D9A7260">
      <w:pPr>
        <w:bidi w:val="0"/>
        <w:rPr>
          <w:color w:val="auto"/>
          <w:highlight w:val="none"/>
        </w:rPr>
      </w:pPr>
      <w:r>
        <w:rPr>
          <w:color w:val="auto"/>
          <w:highlight w:val="none"/>
        </w:rPr>
        <w:t>U—10m高度地面风速，m/s</w:t>
      </w:r>
      <w:r>
        <w:rPr>
          <w:rFonts w:hint="eastAsia"/>
          <w:color w:val="auto"/>
          <w:highlight w:val="none"/>
          <w:lang w:eastAsia="zh-CN"/>
        </w:rPr>
        <w:t>，</w:t>
      </w:r>
      <w:r>
        <w:rPr>
          <w:rFonts w:hint="eastAsia"/>
          <w:color w:val="auto"/>
          <w:highlight w:val="none"/>
          <w:lang w:val="en-US" w:eastAsia="zh-CN"/>
        </w:rPr>
        <w:t>取</w:t>
      </w:r>
      <w:r>
        <w:rPr>
          <w:rFonts w:hint="eastAsia"/>
          <w:color w:val="auto"/>
          <w:highlight w:val="none"/>
        </w:rPr>
        <w:t>2.</w:t>
      </w:r>
      <w:r>
        <w:rPr>
          <w:rFonts w:hint="eastAsia"/>
          <w:color w:val="auto"/>
          <w:highlight w:val="none"/>
          <w:lang w:val="en-US" w:eastAsia="zh-CN"/>
        </w:rPr>
        <w:t>2</w:t>
      </w:r>
      <w:r>
        <w:rPr>
          <w:rFonts w:hint="eastAsia"/>
          <w:color w:val="auto"/>
          <w:highlight w:val="none"/>
        </w:rPr>
        <w:t>m/s</w:t>
      </w:r>
      <w:r>
        <w:rPr>
          <w:color w:val="auto"/>
          <w:highlight w:val="none"/>
        </w:rPr>
        <w:t>；</w:t>
      </w:r>
    </w:p>
    <w:p w14:paraId="5491E0D8">
      <w:pPr>
        <w:bidi w:val="0"/>
        <w:rPr>
          <w:color w:val="auto"/>
          <w:highlight w:val="none"/>
        </w:rPr>
      </w:pPr>
      <w:r>
        <w:rPr>
          <w:color w:val="auto"/>
          <w:highlight w:val="none"/>
        </w:rPr>
        <w:t>W—尾矿表层含水率，%</w:t>
      </w:r>
      <w:r>
        <w:rPr>
          <w:rFonts w:hint="eastAsia"/>
          <w:color w:val="auto"/>
          <w:highlight w:val="none"/>
          <w:lang w:eastAsia="zh-CN"/>
        </w:rPr>
        <w:t>，</w:t>
      </w:r>
      <w:r>
        <w:rPr>
          <w:rFonts w:hint="eastAsia"/>
          <w:color w:val="auto"/>
          <w:highlight w:val="none"/>
          <w:lang w:val="en-US" w:eastAsia="zh-CN"/>
        </w:rPr>
        <w:t>取15%</w:t>
      </w:r>
      <w:r>
        <w:rPr>
          <w:color w:val="auto"/>
          <w:highlight w:val="none"/>
        </w:rPr>
        <w:t>；</w:t>
      </w:r>
    </w:p>
    <w:p w14:paraId="2CA1ABF1">
      <w:pPr>
        <w:bidi w:val="0"/>
        <w:rPr>
          <w:rFonts w:hint="default"/>
          <w:color w:val="auto"/>
          <w:highlight w:val="none"/>
          <w:lang w:val="en-US" w:eastAsia="zh-CN"/>
        </w:rPr>
      </w:pPr>
      <w:r>
        <w:rPr>
          <w:rFonts w:hint="eastAsia"/>
          <w:color w:val="auto"/>
          <w:highlight w:val="none"/>
          <w:lang w:val="en-US" w:eastAsia="zh-CN"/>
        </w:rPr>
        <w:t>G—干滩小时起尘量（kg/h）；</w:t>
      </w:r>
    </w:p>
    <w:p w14:paraId="2D510C58">
      <w:pPr>
        <w:bidi w:val="0"/>
        <w:rPr>
          <w:rFonts w:hint="eastAsia"/>
          <w:color w:val="auto"/>
          <w:highlight w:val="none"/>
          <w:lang w:eastAsia="zh-CN"/>
        </w:rPr>
      </w:pPr>
      <w:r>
        <w:rPr>
          <w:color w:val="auto"/>
          <w:highlight w:val="none"/>
        </w:rPr>
        <w:t>L</w:t>
      </w:r>
      <w:r>
        <w:rPr>
          <w:rFonts w:hint="eastAsia"/>
          <w:color w:val="auto"/>
          <w:highlight w:val="none"/>
          <w:lang w:val="en-US" w:eastAsia="zh-CN"/>
        </w:rPr>
        <w:t>—</w:t>
      </w:r>
      <w:r>
        <w:rPr>
          <w:color w:val="auto"/>
          <w:highlight w:val="none"/>
        </w:rPr>
        <w:t>垂直风向的干滩宽度（m）</w:t>
      </w:r>
      <w:r>
        <w:rPr>
          <w:rFonts w:hint="eastAsia"/>
          <w:color w:val="auto"/>
          <w:highlight w:val="none"/>
          <w:lang w:eastAsia="zh-CN"/>
        </w:rPr>
        <w:t>，</w:t>
      </w:r>
      <w:r>
        <w:rPr>
          <w:rFonts w:hint="eastAsia"/>
          <w:color w:val="auto"/>
          <w:highlight w:val="none"/>
          <w:lang w:val="en-US" w:eastAsia="zh-CN"/>
        </w:rPr>
        <w:t>取最大宽度900m</w:t>
      </w:r>
      <w:r>
        <w:rPr>
          <w:rFonts w:hint="eastAsia"/>
          <w:color w:val="auto"/>
          <w:highlight w:val="none"/>
          <w:lang w:eastAsia="zh-CN"/>
        </w:rPr>
        <w:t>。</w:t>
      </w:r>
    </w:p>
    <w:p w14:paraId="17C73155">
      <w:pPr>
        <w:overflowPunct w:val="0"/>
        <w:topLinePunct/>
        <w:ind w:firstLine="480"/>
        <w:rPr>
          <w:color w:val="auto"/>
          <w:kern w:val="0"/>
          <w:highlight w:val="none"/>
        </w:rPr>
      </w:pPr>
      <w:r>
        <w:rPr>
          <w:rFonts w:hint="eastAsia"/>
          <w:color w:val="auto"/>
          <w:highlight w:val="none"/>
          <w:lang w:val="en-US" w:eastAsia="zh-CN"/>
        </w:rPr>
        <w:t>经计算，</w:t>
      </w:r>
      <w:r>
        <w:rPr>
          <w:rFonts w:hint="eastAsia"/>
          <w:color w:val="auto"/>
          <w:highlight w:val="none"/>
        </w:rPr>
        <w:t>本</w:t>
      </w:r>
      <w:r>
        <w:rPr>
          <w:rFonts w:hint="eastAsia"/>
          <w:color w:val="auto"/>
          <w:highlight w:val="none"/>
          <w:lang w:val="en-US" w:eastAsia="zh-CN"/>
        </w:rPr>
        <w:t>项目尾矿库干滩小时起尘量约为0.2906kg/h，</w:t>
      </w:r>
      <w:r>
        <w:rPr>
          <w:rFonts w:hint="eastAsia"/>
          <w:color w:val="auto"/>
          <w:highlight w:val="none"/>
        </w:rPr>
        <w:t>尾矿库</w:t>
      </w:r>
      <w:r>
        <w:rPr>
          <w:rFonts w:hint="eastAsia"/>
          <w:color w:val="auto"/>
          <w:highlight w:val="none"/>
          <w:lang w:val="en-US" w:eastAsia="zh-CN"/>
        </w:rPr>
        <w:t>总</w:t>
      </w:r>
      <w:r>
        <w:rPr>
          <w:rFonts w:hint="eastAsia"/>
          <w:color w:val="auto"/>
          <w:highlight w:val="none"/>
        </w:rPr>
        <w:t>起尘量</w:t>
      </w:r>
      <w:r>
        <w:rPr>
          <w:rFonts w:hint="eastAsia"/>
          <w:color w:val="auto"/>
          <w:highlight w:val="none"/>
          <w:lang w:val="en-US" w:eastAsia="zh-CN"/>
        </w:rPr>
        <w:t>约</w:t>
      </w:r>
      <w:r>
        <w:rPr>
          <w:rFonts w:hint="eastAsia"/>
          <w:color w:val="auto"/>
          <w:highlight w:val="none"/>
        </w:rPr>
        <w:t>为</w:t>
      </w:r>
      <w:r>
        <w:rPr>
          <w:rFonts w:hint="eastAsia"/>
          <w:color w:val="auto"/>
          <w:highlight w:val="none"/>
          <w:lang w:val="en-US" w:eastAsia="zh-CN"/>
        </w:rPr>
        <w:t>2.5457t</w:t>
      </w:r>
      <w:r>
        <w:rPr>
          <w:rFonts w:hint="eastAsia"/>
          <w:color w:val="auto"/>
          <w:highlight w:val="none"/>
        </w:rPr>
        <w:t>/a。</w:t>
      </w:r>
    </w:p>
    <w:p w14:paraId="5782813E">
      <w:pPr>
        <w:overflowPunct w:val="0"/>
        <w:topLinePunct/>
        <w:ind w:firstLine="480"/>
        <w:rPr>
          <w:color w:val="auto"/>
          <w:kern w:val="0"/>
          <w:highlight w:val="none"/>
        </w:rPr>
      </w:pPr>
      <w:r>
        <w:rPr>
          <w:rFonts w:hint="eastAsia" w:ascii="宋体" w:hAnsi="宋体" w:eastAsia="宋体" w:cs="宋体"/>
          <w:color w:val="auto"/>
          <w:sz w:val="24"/>
          <w:szCs w:val="24"/>
          <w:highlight w:val="none"/>
          <w:lang w:val="en-US" w:eastAsia="zh-CN"/>
        </w:rPr>
        <w:t>通过</w:t>
      </w:r>
      <w:r>
        <w:rPr>
          <w:rFonts w:ascii="宋体" w:hAnsi="宋体" w:eastAsia="宋体" w:cs="宋体"/>
          <w:color w:val="auto"/>
          <w:sz w:val="24"/>
          <w:szCs w:val="24"/>
          <w:highlight w:val="none"/>
        </w:rPr>
        <w:t>定期洒水、喷淋，保持干滩表层含水率</w:t>
      </w:r>
      <w:r>
        <w:rPr>
          <w:rFonts w:hint="eastAsia" w:ascii="宋体" w:hAnsi="宋体" w:eastAsia="宋体" w:cs="宋体"/>
          <w:color w:val="auto"/>
          <w:sz w:val="24"/>
          <w:szCs w:val="24"/>
          <w:highlight w:val="none"/>
          <w:lang w:eastAsia="zh-CN"/>
        </w:rPr>
        <w:t>，</w:t>
      </w:r>
      <w:r>
        <w:rPr>
          <w:rFonts w:hint="eastAsia"/>
          <w:bCs/>
          <w:color w:val="auto"/>
          <w:szCs w:val="28"/>
          <w:highlight w:val="none"/>
        </w:rPr>
        <w:t>非汛期在满足规范要求和安全稳定的前提下可抬高库内水位，减少干滩面的长度</w:t>
      </w:r>
      <w:r>
        <w:rPr>
          <w:rFonts w:hint="eastAsia"/>
          <w:bCs/>
          <w:color w:val="auto"/>
          <w:szCs w:val="28"/>
          <w:highlight w:val="none"/>
          <w:lang w:eastAsia="zh-CN"/>
        </w:rPr>
        <w:t>，</w:t>
      </w:r>
      <w:r>
        <w:rPr>
          <w:rFonts w:hint="eastAsia"/>
          <w:color w:val="auto"/>
          <w:highlight w:val="none"/>
        </w:rPr>
        <w:t>可将</w:t>
      </w:r>
      <w:r>
        <w:rPr>
          <w:rFonts w:hint="eastAsia"/>
          <w:color w:val="auto"/>
          <w:kern w:val="0"/>
          <w:highlight w:val="none"/>
        </w:rPr>
        <w:t>粉尘排放减少</w:t>
      </w:r>
      <w:r>
        <w:rPr>
          <w:color w:val="auto"/>
          <w:kern w:val="0"/>
          <w:highlight w:val="none"/>
        </w:rPr>
        <w:t>80%</w:t>
      </w:r>
      <w:r>
        <w:rPr>
          <w:rFonts w:hint="eastAsia"/>
          <w:color w:val="auto"/>
          <w:kern w:val="0"/>
          <w:highlight w:val="none"/>
        </w:rPr>
        <w:t>，采取措施后尾矿库无组织扬尘排放量为</w:t>
      </w:r>
      <w:r>
        <w:rPr>
          <w:rFonts w:hint="eastAsia"/>
          <w:color w:val="auto"/>
          <w:kern w:val="0"/>
          <w:highlight w:val="none"/>
          <w:lang w:val="en-US" w:eastAsia="zh-CN"/>
        </w:rPr>
        <w:t>0.5091t</w:t>
      </w:r>
      <w:r>
        <w:rPr>
          <w:rFonts w:hint="eastAsia"/>
          <w:color w:val="auto"/>
          <w:kern w:val="0"/>
          <w:highlight w:val="none"/>
        </w:rPr>
        <w:t>/a</w:t>
      </w:r>
      <w:r>
        <w:rPr>
          <w:rFonts w:hint="eastAsia"/>
          <w:color w:val="auto"/>
          <w:kern w:val="0"/>
          <w:highlight w:val="none"/>
          <w:lang w:eastAsia="zh-CN"/>
        </w:rPr>
        <w:t>（</w:t>
      </w:r>
      <w:r>
        <w:rPr>
          <w:rFonts w:hint="eastAsia"/>
          <w:color w:val="auto"/>
          <w:kern w:val="0"/>
          <w:highlight w:val="none"/>
          <w:lang w:val="en-US" w:eastAsia="zh-CN"/>
        </w:rPr>
        <w:t>0.0581</w:t>
      </w:r>
      <w:r>
        <w:rPr>
          <w:rFonts w:hint="eastAsia"/>
          <w:color w:val="auto"/>
          <w:highlight w:val="none"/>
          <w:lang w:val="en-US" w:eastAsia="zh-CN"/>
        </w:rPr>
        <w:t>kg/h</w:t>
      </w:r>
      <w:r>
        <w:rPr>
          <w:rFonts w:hint="eastAsia"/>
          <w:color w:val="auto"/>
          <w:kern w:val="0"/>
          <w:highlight w:val="none"/>
          <w:lang w:eastAsia="zh-CN"/>
        </w:rPr>
        <w:t>）</w:t>
      </w:r>
      <w:r>
        <w:rPr>
          <w:rFonts w:hint="eastAsia"/>
          <w:color w:val="auto"/>
          <w:kern w:val="0"/>
          <w:highlight w:val="none"/>
        </w:rPr>
        <w:t>。</w:t>
      </w:r>
    </w:p>
    <w:p w14:paraId="740ADE8C">
      <w:pPr>
        <w:topLinePunct/>
        <w:rPr>
          <w:rFonts w:hint="eastAsia"/>
          <w:color w:val="auto"/>
          <w:kern w:val="0"/>
          <w:highlight w:val="none"/>
        </w:rPr>
      </w:pPr>
      <w:r>
        <w:rPr>
          <w:rFonts w:hint="eastAsia"/>
          <w:color w:val="auto"/>
          <w:kern w:val="0"/>
          <w:highlight w:val="none"/>
        </w:rPr>
        <w:t>本项目运营期主要大气污染物排放情况见表</w:t>
      </w:r>
      <w:r>
        <w:rPr>
          <w:color w:val="auto"/>
          <w:kern w:val="0"/>
          <w:highlight w:val="none"/>
        </w:rPr>
        <w:t>3.</w:t>
      </w:r>
      <w:r>
        <w:rPr>
          <w:rFonts w:hint="eastAsia"/>
          <w:color w:val="auto"/>
          <w:kern w:val="0"/>
          <w:highlight w:val="none"/>
          <w:lang w:val="en-US" w:eastAsia="zh-CN"/>
        </w:rPr>
        <w:t>3</w:t>
      </w:r>
      <w:r>
        <w:rPr>
          <w:color w:val="auto"/>
          <w:kern w:val="0"/>
          <w:highlight w:val="none"/>
        </w:rPr>
        <w:t>-</w:t>
      </w:r>
      <w:r>
        <w:rPr>
          <w:rFonts w:hint="eastAsia"/>
          <w:color w:val="auto"/>
          <w:kern w:val="0"/>
          <w:highlight w:val="none"/>
          <w:lang w:val="en-US" w:eastAsia="zh-CN"/>
        </w:rPr>
        <w:t>4</w:t>
      </w:r>
      <w:r>
        <w:rPr>
          <w:rFonts w:hint="eastAsia"/>
          <w:color w:val="auto"/>
          <w:kern w:val="0"/>
          <w:highlight w:val="none"/>
        </w:rPr>
        <w:t>和表</w:t>
      </w:r>
      <w:r>
        <w:rPr>
          <w:color w:val="auto"/>
          <w:kern w:val="0"/>
          <w:highlight w:val="none"/>
        </w:rPr>
        <w:t>3.</w:t>
      </w:r>
      <w:r>
        <w:rPr>
          <w:rFonts w:hint="eastAsia"/>
          <w:color w:val="auto"/>
          <w:kern w:val="0"/>
          <w:highlight w:val="none"/>
          <w:lang w:val="en-US" w:eastAsia="zh-CN"/>
        </w:rPr>
        <w:t>3</w:t>
      </w:r>
      <w:r>
        <w:rPr>
          <w:color w:val="auto"/>
          <w:kern w:val="0"/>
          <w:highlight w:val="none"/>
        </w:rPr>
        <w:t>-</w:t>
      </w:r>
      <w:r>
        <w:rPr>
          <w:rFonts w:hint="eastAsia"/>
          <w:color w:val="auto"/>
          <w:kern w:val="0"/>
          <w:highlight w:val="none"/>
          <w:lang w:val="en-US" w:eastAsia="zh-CN"/>
        </w:rPr>
        <w:t>5</w:t>
      </w:r>
      <w:r>
        <w:rPr>
          <w:rFonts w:hint="eastAsia"/>
          <w:color w:val="auto"/>
          <w:kern w:val="0"/>
          <w:highlight w:val="none"/>
        </w:rPr>
        <w:t>。</w:t>
      </w:r>
    </w:p>
    <w:p w14:paraId="3D549FE8">
      <w:pPr>
        <w:ind w:firstLine="0" w:firstLineChars="0"/>
        <w:jc w:val="center"/>
        <w:rPr>
          <w:rFonts w:hint="eastAsia"/>
          <w:b/>
          <w:color w:val="auto"/>
          <w:kern w:val="0"/>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19FC86B">
      <w:pPr>
        <w:ind w:firstLine="0" w:firstLineChars="0"/>
        <w:jc w:val="center"/>
        <w:rPr>
          <w:b/>
          <w:color w:val="auto"/>
          <w:kern w:val="0"/>
          <w:highlight w:val="none"/>
        </w:rPr>
      </w:pPr>
      <w:r>
        <w:rPr>
          <w:rFonts w:hint="eastAsia"/>
          <w:b/>
          <w:color w:val="auto"/>
          <w:kern w:val="0"/>
          <w:highlight w:val="none"/>
        </w:rPr>
        <w:t>表</w:t>
      </w:r>
      <w:r>
        <w:rPr>
          <w:b/>
          <w:color w:val="auto"/>
          <w:kern w:val="0"/>
          <w:highlight w:val="none"/>
        </w:rPr>
        <w:t>3.</w:t>
      </w:r>
      <w:r>
        <w:rPr>
          <w:rFonts w:hint="eastAsia"/>
          <w:b/>
          <w:color w:val="auto"/>
          <w:kern w:val="0"/>
          <w:highlight w:val="none"/>
          <w:lang w:val="en-US" w:eastAsia="zh-CN"/>
        </w:rPr>
        <w:t>3</w:t>
      </w:r>
      <w:r>
        <w:rPr>
          <w:b/>
          <w:color w:val="auto"/>
          <w:kern w:val="0"/>
          <w:highlight w:val="none"/>
        </w:rPr>
        <w:t>-</w:t>
      </w:r>
      <w:r>
        <w:rPr>
          <w:rFonts w:hint="eastAsia"/>
          <w:b/>
          <w:color w:val="auto"/>
          <w:kern w:val="0"/>
          <w:highlight w:val="none"/>
          <w:lang w:val="en-US" w:eastAsia="zh-CN"/>
        </w:rPr>
        <w:t xml:space="preserve">4   </w:t>
      </w:r>
      <w:r>
        <w:rPr>
          <w:rFonts w:hint="eastAsia"/>
          <w:b/>
          <w:color w:val="auto"/>
          <w:kern w:val="0"/>
          <w:highlight w:val="none"/>
        </w:rPr>
        <w:t>项目</w:t>
      </w:r>
      <w:r>
        <w:rPr>
          <w:rFonts w:hint="eastAsia"/>
          <w:b/>
          <w:color w:val="auto"/>
          <w:kern w:val="0"/>
          <w:highlight w:val="none"/>
          <w:lang w:val="en-US" w:eastAsia="zh-CN"/>
        </w:rPr>
        <w:t>有组织</w:t>
      </w:r>
      <w:r>
        <w:rPr>
          <w:rFonts w:hint="eastAsia"/>
          <w:b/>
          <w:color w:val="auto"/>
          <w:kern w:val="0"/>
          <w:highlight w:val="none"/>
        </w:rPr>
        <w:t>大气污染物排放情况</w:t>
      </w:r>
    </w:p>
    <w:tbl>
      <w:tblPr>
        <w:tblStyle w:val="13"/>
        <w:tblW w:w="5013"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0" w:type="dxa"/>
          <w:bottom w:w="0" w:type="dxa"/>
          <w:right w:w="0" w:type="dxa"/>
        </w:tblCellMar>
      </w:tblPr>
      <w:tblGrid>
        <w:gridCol w:w="634"/>
        <w:gridCol w:w="1758"/>
        <w:gridCol w:w="855"/>
        <w:gridCol w:w="906"/>
        <w:gridCol w:w="1733"/>
        <w:gridCol w:w="1287"/>
        <w:gridCol w:w="1495"/>
        <w:gridCol w:w="1472"/>
        <w:gridCol w:w="1287"/>
        <w:gridCol w:w="1287"/>
        <w:gridCol w:w="1290"/>
      </w:tblGrid>
      <w:tr w14:paraId="7A4D94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226" w:type="pct"/>
            <w:vAlign w:val="center"/>
          </w:tcPr>
          <w:p w14:paraId="2C7BBB3C">
            <w:pPr>
              <w:spacing w:line="360" w:lineRule="exact"/>
              <w:ind w:firstLine="0" w:firstLineChars="0"/>
              <w:jc w:val="center"/>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序号</w:t>
            </w:r>
          </w:p>
        </w:tc>
        <w:tc>
          <w:tcPr>
            <w:tcW w:w="627" w:type="pct"/>
            <w:vAlign w:val="center"/>
          </w:tcPr>
          <w:p w14:paraId="51471F55">
            <w:pPr>
              <w:spacing w:line="360" w:lineRule="exact"/>
              <w:ind w:firstLine="0" w:firstLineChars="0"/>
              <w:jc w:val="center"/>
              <w:rPr>
                <w:rFonts w:hint="eastAsia"/>
                <w:b/>
                <w:bCs/>
                <w:color w:val="auto"/>
                <w:sz w:val="21"/>
                <w:szCs w:val="21"/>
                <w:highlight w:val="none"/>
              </w:rPr>
            </w:pPr>
            <w:r>
              <w:rPr>
                <w:rFonts w:hint="eastAsia"/>
                <w:b/>
                <w:bCs/>
                <w:color w:val="auto"/>
                <w:sz w:val="21"/>
                <w:szCs w:val="21"/>
                <w:highlight w:val="none"/>
              </w:rPr>
              <w:t>排放源</w:t>
            </w:r>
          </w:p>
        </w:tc>
        <w:tc>
          <w:tcPr>
            <w:tcW w:w="305" w:type="pct"/>
            <w:vAlign w:val="center"/>
          </w:tcPr>
          <w:p w14:paraId="5C8B3B46">
            <w:pPr>
              <w:spacing w:line="360" w:lineRule="exact"/>
              <w:ind w:firstLine="0" w:firstLineChars="0"/>
              <w:jc w:val="cente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排放口编号</w:t>
            </w:r>
          </w:p>
        </w:tc>
        <w:tc>
          <w:tcPr>
            <w:tcW w:w="323" w:type="pct"/>
            <w:vAlign w:val="center"/>
          </w:tcPr>
          <w:p w14:paraId="5BD5073E">
            <w:pPr>
              <w:spacing w:line="360" w:lineRule="exact"/>
              <w:ind w:firstLine="0" w:firstLineChars="0"/>
              <w:jc w:val="center"/>
              <w:rPr>
                <w:b/>
                <w:bCs/>
                <w:color w:val="auto"/>
                <w:sz w:val="21"/>
                <w:szCs w:val="21"/>
                <w:highlight w:val="none"/>
              </w:rPr>
            </w:pPr>
            <w:r>
              <w:rPr>
                <w:rFonts w:hint="eastAsia"/>
                <w:b/>
                <w:bCs/>
                <w:color w:val="auto"/>
                <w:sz w:val="21"/>
                <w:szCs w:val="21"/>
                <w:highlight w:val="none"/>
              </w:rPr>
              <w:t>污染物名称</w:t>
            </w:r>
          </w:p>
        </w:tc>
        <w:tc>
          <w:tcPr>
            <w:tcW w:w="618" w:type="pct"/>
            <w:vAlign w:val="center"/>
          </w:tcPr>
          <w:p w14:paraId="22BF129E">
            <w:pPr>
              <w:spacing w:line="360" w:lineRule="exact"/>
              <w:ind w:firstLine="0" w:firstLineChars="0"/>
              <w:jc w:val="center"/>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治理措施</w:t>
            </w:r>
          </w:p>
        </w:tc>
        <w:tc>
          <w:tcPr>
            <w:tcW w:w="459" w:type="pct"/>
            <w:vAlign w:val="center"/>
          </w:tcPr>
          <w:p w14:paraId="10EFD838">
            <w:pPr>
              <w:spacing w:line="360" w:lineRule="exact"/>
              <w:ind w:firstLine="0" w:firstLineChars="0"/>
              <w:jc w:val="cente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源强核算方法</w:t>
            </w:r>
          </w:p>
        </w:tc>
        <w:tc>
          <w:tcPr>
            <w:tcW w:w="533" w:type="pct"/>
            <w:shd w:val="clear" w:color="auto" w:fill="auto"/>
            <w:vAlign w:val="center"/>
          </w:tcPr>
          <w:p w14:paraId="7AB0D0EB">
            <w:pPr>
              <w:spacing w:line="360" w:lineRule="exact"/>
              <w:ind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产生量</w:t>
            </w:r>
          </w:p>
        </w:tc>
        <w:tc>
          <w:tcPr>
            <w:tcW w:w="525" w:type="pct"/>
            <w:shd w:val="clear" w:color="auto" w:fill="auto"/>
            <w:vAlign w:val="center"/>
          </w:tcPr>
          <w:p w14:paraId="565F08B8">
            <w:pPr>
              <w:spacing w:line="360" w:lineRule="exact"/>
              <w:ind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产生浓度</w:t>
            </w:r>
          </w:p>
        </w:tc>
        <w:tc>
          <w:tcPr>
            <w:tcW w:w="459" w:type="pct"/>
            <w:shd w:val="clear" w:color="auto" w:fill="auto"/>
            <w:vAlign w:val="center"/>
          </w:tcPr>
          <w:p w14:paraId="432C8E07">
            <w:pPr>
              <w:spacing w:line="360" w:lineRule="exact"/>
              <w:ind w:firstLine="0" w:firstLineChars="0"/>
              <w:jc w:val="center"/>
              <w:rPr>
                <w:rFonts w:hint="default"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治理效率</w:t>
            </w:r>
          </w:p>
        </w:tc>
        <w:tc>
          <w:tcPr>
            <w:tcW w:w="459" w:type="pct"/>
            <w:shd w:val="clear" w:color="auto" w:fill="auto"/>
            <w:vAlign w:val="center"/>
          </w:tcPr>
          <w:p w14:paraId="136E60FF">
            <w:pPr>
              <w:spacing w:line="360" w:lineRule="exact"/>
              <w:ind w:firstLine="0" w:firstLineChars="0"/>
              <w:jc w:val="center"/>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排放量</w:t>
            </w:r>
          </w:p>
        </w:tc>
        <w:tc>
          <w:tcPr>
            <w:tcW w:w="460" w:type="pct"/>
            <w:vAlign w:val="center"/>
          </w:tcPr>
          <w:p w14:paraId="4D55F051">
            <w:pPr>
              <w:spacing w:line="360" w:lineRule="exact"/>
              <w:ind w:firstLine="0" w:firstLineChars="0"/>
              <w:jc w:val="cente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排放浓度</w:t>
            </w:r>
          </w:p>
        </w:tc>
      </w:tr>
      <w:tr w14:paraId="200457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 w:type="pct"/>
            <w:vMerge w:val="restart"/>
            <w:vAlign w:val="center"/>
          </w:tcPr>
          <w:p w14:paraId="73B184D1">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627" w:type="pct"/>
            <w:vMerge w:val="restart"/>
            <w:vAlign w:val="center"/>
          </w:tcPr>
          <w:p w14:paraId="7CFDA33B">
            <w:pPr>
              <w:spacing w:line="360" w:lineRule="exact"/>
              <w:ind w:firstLine="0" w:firstLineChars="0"/>
              <w:jc w:val="center"/>
              <w:rPr>
                <w:color w:val="auto"/>
                <w:sz w:val="21"/>
                <w:szCs w:val="21"/>
                <w:highlight w:val="none"/>
              </w:rPr>
            </w:pPr>
            <w:r>
              <w:rPr>
                <w:rFonts w:hint="eastAsia"/>
                <w:color w:val="auto"/>
                <w:sz w:val="21"/>
                <w:szCs w:val="21"/>
                <w:highlight w:val="none"/>
                <w:lang w:val="en-US" w:eastAsia="zh-CN"/>
              </w:rPr>
              <w:t>粗矿仓</w:t>
            </w:r>
            <w:r>
              <w:rPr>
                <w:rFonts w:hint="eastAsia"/>
                <w:color w:val="auto"/>
                <w:sz w:val="21"/>
                <w:szCs w:val="21"/>
                <w:highlight w:val="none"/>
              </w:rPr>
              <w:t>排气筒</w:t>
            </w:r>
          </w:p>
        </w:tc>
        <w:tc>
          <w:tcPr>
            <w:tcW w:w="305" w:type="pct"/>
            <w:vMerge w:val="restart"/>
            <w:vAlign w:val="center"/>
          </w:tcPr>
          <w:p w14:paraId="0B661FFA">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DA001</w:t>
            </w:r>
          </w:p>
        </w:tc>
        <w:tc>
          <w:tcPr>
            <w:tcW w:w="323" w:type="pct"/>
            <w:vAlign w:val="center"/>
          </w:tcPr>
          <w:p w14:paraId="13147B0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color w:val="auto"/>
                <w:sz w:val="21"/>
                <w:szCs w:val="21"/>
                <w:highlight w:val="none"/>
              </w:rPr>
            </w:pPr>
            <w:r>
              <w:rPr>
                <w:rFonts w:hint="eastAsia"/>
                <w:color w:val="auto"/>
                <w:sz w:val="21"/>
                <w:szCs w:val="21"/>
                <w:highlight w:val="none"/>
              </w:rPr>
              <w:t>颗粒物</w:t>
            </w:r>
          </w:p>
        </w:tc>
        <w:tc>
          <w:tcPr>
            <w:tcW w:w="618" w:type="pct"/>
            <w:vMerge w:val="restart"/>
            <w:vAlign w:val="center"/>
          </w:tcPr>
          <w:p w14:paraId="6F90284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布袋除尘器+15m排气筒</w:t>
            </w:r>
          </w:p>
        </w:tc>
        <w:tc>
          <w:tcPr>
            <w:tcW w:w="459" w:type="pct"/>
            <w:vAlign w:val="center"/>
          </w:tcPr>
          <w:p w14:paraId="2EA02EA9">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系数法</w:t>
            </w:r>
          </w:p>
        </w:tc>
        <w:tc>
          <w:tcPr>
            <w:tcW w:w="533" w:type="pct"/>
            <w:shd w:val="clear" w:color="auto" w:fill="auto"/>
            <w:vAlign w:val="center"/>
          </w:tcPr>
          <w:p w14:paraId="7FB507CC">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54</w:t>
            </w:r>
            <w:r>
              <w:rPr>
                <w:color w:val="auto"/>
                <w:sz w:val="21"/>
                <w:szCs w:val="21"/>
                <w:highlight w:val="none"/>
              </w:rPr>
              <w:t>t/a</w:t>
            </w:r>
          </w:p>
        </w:tc>
        <w:tc>
          <w:tcPr>
            <w:tcW w:w="525" w:type="pct"/>
            <w:shd w:val="clear" w:color="auto" w:fill="auto"/>
            <w:vAlign w:val="center"/>
          </w:tcPr>
          <w:p w14:paraId="56FFCB13">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1250</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07660C13">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99.9%</w:t>
            </w:r>
          </w:p>
        </w:tc>
        <w:tc>
          <w:tcPr>
            <w:tcW w:w="459" w:type="pct"/>
            <w:shd w:val="clear" w:color="auto" w:fill="auto"/>
            <w:vAlign w:val="center"/>
          </w:tcPr>
          <w:p w14:paraId="1EB1213D">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0.054</w:t>
            </w:r>
            <w:r>
              <w:rPr>
                <w:color w:val="auto"/>
                <w:sz w:val="21"/>
                <w:szCs w:val="21"/>
                <w:highlight w:val="none"/>
              </w:rPr>
              <w:t>t/a</w:t>
            </w:r>
          </w:p>
        </w:tc>
        <w:tc>
          <w:tcPr>
            <w:tcW w:w="460" w:type="pct"/>
            <w:vAlign w:val="center"/>
          </w:tcPr>
          <w:p w14:paraId="5708CABB">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1.25</w:t>
            </w:r>
            <w:r>
              <w:rPr>
                <w:color w:val="auto"/>
                <w:sz w:val="21"/>
                <w:szCs w:val="21"/>
                <w:highlight w:val="none"/>
              </w:rPr>
              <w:t>mg/m</w:t>
            </w:r>
            <w:r>
              <w:rPr>
                <w:color w:val="auto"/>
                <w:sz w:val="21"/>
                <w:szCs w:val="21"/>
                <w:highlight w:val="none"/>
                <w:vertAlign w:val="superscript"/>
              </w:rPr>
              <w:t>3</w:t>
            </w:r>
          </w:p>
        </w:tc>
      </w:tr>
      <w:tr w14:paraId="22FA02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 w:type="pct"/>
            <w:vMerge w:val="continue"/>
            <w:vAlign w:val="center"/>
          </w:tcPr>
          <w:p w14:paraId="12FCFCE8">
            <w:pPr>
              <w:spacing w:line="360" w:lineRule="exact"/>
              <w:ind w:firstLine="0" w:firstLineChars="0"/>
              <w:jc w:val="center"/>
              <w:rPr>
                <w:rFonts w:hint="default"/>
                <w:color w:val="auto"/>
                <w:sz w:val="21"/>
                <w:szCs w:val="21"/>
                <w:highlight w:val="none"/>
                <w:lang w:eastAsia="zh-CN"/>
              </w:rPr>
            </w:pPr>
          </w:p>
        </w:tc>
        <w:tc>
          <w:tcPr>
            <w:tcW w:w="627" w:type="pct"/>
            <w:vMerge w:val="continue"/>
            <w:vAlign w:val="center"/>
          </w:tcPr>
          <w:p w14:paraId="6F0583B1">
            <w:pPr>
              <w:spacing w:line="360" w:lineRule="exact"/>
              <w:ind w:firstLine="0" w:firstLineChars="0"/>
              <w:jc w:val="center"/>
              <w:rPr>
                <w:rFonts w:hint="default"/>
                <w:color w:val="auto"/>
                <w:sz w:val="21"/>
                <w:szCs w:val="21"/>
                <w:highlight w:val="none"/>
                <w:lang w:eastAsia="zh-CN"/>
              </w:rPr>
            </w:pPr>
          </w:p>
        </w:tc>
        <w:tc>
          <w:tcPr>
            <w:tcW w:w="305" w:type="pct"/>
            <w:vMerge w:val="continue"/>
            <w:vAlign w:val="center"/>
          </w:tcPr>
          <w:p w14:paraId="07D7B785">
            <w:pPr>
              <w:spacing w:line="360" w:lineRule="exact"/>
              <w:ind w:firstLine="0" w:firstLineChars="0"/>
              <w:jc w:val="center"/>
              <w:rPr>
                <w:rFonts w:hint="default"/>
                <w:color w:val="auto"/>
                <w:sz w:val="21"/>
                <w:szCs w:val="21"/>
                <w:highlight w:val="none"/>
                <w:lang w:eastAsia="zh-CN"/>
              </w:rPr>
            </w:pPr>
          </w:p>
        </w:tc>
        <w:tc>
          <w:tcPr>
            <w:tcW w:w="323" w:type="pct"/>
            <w:vAlign w:val="center"/>
          </w:tcPr>
          <w:p w14:paraId="2DB925A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氟化物</w:t>
            </w:r>
          </w:p>
        </w:tc>
        <w:tc>
          <w:tcPr>
            <w:tcW w:w="618" w:type="pct"/>
            <w:vMerge w:val="continue"/>
            <w:vAlign w:val="center"/>
          </w:tcPr>
          <w:p w14:paraId="354A365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color w:val="auto"/>
                <w:sz w:val="21"/>
                <w:szCs w:val="21"/>
                <w:highlight w:val="none"/>
                <w:lang w:eastAsia="zh-CN"/>
              </w:rPr>
            </w:pPr>
          </w:p>
        </w:tc>
        <w:tc>
          <w:tcPr>
            <w:tcW w:w="459" w:type="pct"/>
            <w:vAlign w:val="center"/>
          </w:tcPr>
          <w:p w14:paraId="0827AB8E">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物料衡算法</w:t>
            </w:r>
          </w:p>
        </w:tc>
        <w:tc>
          <w:tcPr>
            <w:tcW w:w="533" w:type="pct"/>
            <w:shd w:val="clear" w:color="auto" w:fill="auto"/>
            <w:vAlign w:val="center"/>
          </w:tcPr>
          <w:p w14:paraId="14206252">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8.5212</w:t>
            </w:r>
            <w:r>
              <w:rPr>
                <w:color w:val="auto"/>
                <w:sz w:val="21"/>
                <w:szCs w:val="21"/>
                <w:highlight w:val="none"/>
              </w:rPr>
              <w:t>t/a</w:t>
            </w:r>
          </w:p>
        </w:tc>
        <w:tc>
          <w:tcPr>
            <w:tcW w:w="525" w:type="pct"/>
            <w:shd w:val="clear" w:color="auto" w:fill="auto"/>
            <w:vAlign w:val="center"/>
          </w:tcPr>
          <w:p w14:paraId="14D7575B">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197.25</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52B5D418">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99.9%</w:t>
            </w:r>
          </w:p>
        </w:tc>
        <w:tc>
          <w:tcPr>
            <w:tcW w:w="459" w:type="pct"/>
            <w:shd w:val="clear" w:color="auto" w:fill="auto"/>
            <w:vAlign w:val="center"/>
          </w:tcPr>
          <w:p w14:paraId="229C7E29">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0.</w:t>
            </w:r>
            <w:r>
              <w:rPr>
                <w:rFonts w:hint="eastAsia"/>
                <w:color w:val="auto"/>
                <w:sz w:val="21"/>
                <w:szCs w:val="21"/>
                <w:highlight w:val="none"/>
                <w:lang w:val="en-US" w:eastAsia="zh-CN"/>
              </w:rPr>
              <w:t>0085</w:t>
            </w:r>
            <w:r>
              <w:rPr>
                <w:color w:val="auto"/>
                <w:sz w:val="21"/>
                <w:szCs w:val="21"/>
                <w:highlight w:val="none"/>
              </w:rPr>
              <w:t>t/a</w:t>
            </w:r>
          </w:p>
        </w:tc>
        <w:tc>
          <w:tcPr>
            <w:tcW w:w="460" w:type="pct"/>
            <w:vAlign w:val="center"/>
          </w:tcPr>
          <w:p w14:paraId="4188347A">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0.1972</w:t>
            </w:r>
            <w:r>
              <w:rPr>
                <w:color w:val="auto"/>
                <w:sz w:val="21"/>
                <w:szCs w:val="21"/>
                <w:highlight w:val="none"/>
              </w:rPr>
              <w:t>mg/m</w:t>
            </w:r>
            <w:r>
              <w:rPr>
                <w:color w:val="auto"/>
                <w:sz w:val="21"/>
                <w:szCs w:val="21"/>
                <w:highlight w:val="none"/>
                <w:vertAlign w:val="superscript"/>
              </w:rPr>
              <w:t>3</w:t>
            </w:r>
          </w:p>
        </w:tc>
      </w:tr>
      <w:tr w14:paraId="3D3871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 w:type="pct"/>
            <w:vMerge w:val="restart"/>
            <w:vAlign w:val="center"/>
          </w:tcPr>
          <w:p w14:paraId="26691707">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627" w:type="pct"/>
            <w:vMerge w:val="restart"/>
            <w:vAlign w:val="center"/>
          </w:tcPr>
          <w:p w14:paraId="7E95E46E">
            <w:pPr>
              <w:spacing w:line="360" w:lineRule="exact"/>
              <w:ind w:firstLine="0" w:firstLineChars="0"/>
              <w:jc w:val="center"/>
              <w:rPr>
                <w:color w:val="auto"/>
                <w:sz w:val="21"/>
                <w:szCs w:val="21"/>
                <w:highlight w:val="none"/>
              </w:rPr>
            </w:pPr>
            <w:r>
              <w:rPr>
                <w:rFonts w:hint="default" w:ascii="Times New Roman" w:hAnsi="Times New Roman" w:eastAsia="宋体" w:cs="Times New Roman"/>
                <w:color w:val="auto"/>
                <w:sz w:val="21"/>
                <w:szCs w:val="21"/>
                <w:highlight w:val="none"/>
                <w:lang w:eastAsia="zh-CN"/>
              </w:rPr>
              <w:t>中</w:t>
            </w:r>
            <w:r>
              <w:rPr>
                <w:rFonts w:hint="eastAsia" w:cs="Times New Roman"/>
                <w:color w:val="auto"/>
                <w:sz w:val="21"/>
                <w:szCs w:val="21"/>
                <w:highlight w:val="none"/>
                <w:lang w:val="en-US" w:eastAsia="zh-CN"/>
              </w:rPr>
              <w:t>细</w:t>
            </w:r>
            <w:r>
              <w:rPr>
                <w:rFonts w:hint="default" w:ascii="Times New Roman" w:hAnsi="Times New Roman" w:eastAsia="宋体" w:cs="Times New Roman"/>
                <w:color w:val="auto"/>
                <w:sz w:val="21"/>
                <w:szCs w:val="21"/>
                <w:highlight w:val="none"/>
                <w:lang w:eastAsia="zh-CN"/>
              </w:rPr>
              <w:t>碎</w:t>
            </w:r>
            <w:r>
              <w:rPr>
                <w:rFonts w:hint="eastAsia" w:cs="Times New Roman"/>
                <w:color w:val="auto"/>
                <w:sz w:val="21"/>
                <w:szCs w:val="21"/>
                <w:highlight w:val="none"/>
                <w:lang w:val="en-US" w:eastAsia="zh-CN"/>
              </w:rPr>
              <w:t>厂房</w:t>
            </w:r>
            <w:r>
              <w:rPr>
                <w:rFonts w:hint="eastAsia"/>
                <w:color w:val="auto"/>
                <w:sz w:val="21"/>
                <w:szCs w:val="21"/>
                <w:highlight w:val="none"/>
              </w:rPr>
              <w:t>排气筒</w:t>
            </w:r>
          </w:p>
        </w:tc>
        <w:tc>
          <w:tcPr>
            <w:tcW w:w="305" w:type="pct"/>
            <w:vMerge w:val="restart"/>
            <w:vAlign w:val="center"/>
          </w:tcPr>
          <w:p w14:paraId="3F33A00C">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DA002</w:t>
            </w:r>
          </w:p>
        </w:tc>
        <w:tc>
          <w:tcPr>
            <w:tcW w:w="323" w:type="pct"/>
            <w:vAlign w:val="center"/>
          </w:tcPr>
          <w:p w14:paraId="2DCE984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color w:val="auto"/>
                <w:sz w:val="21"/>
                <w:szCs w:val="21"/>
                <w:highlight w:val="none"/>
              </w:rPr>
            </w:pPr>
            <w:r>
              <w:rPr>
                <w:rFonts w:hint="eastAsia"/>
                <w:color w:val="auto"/>
                <w:sz w:val="21"/>
                <w:szCs w:val="21"/>
                <w:highlight w:val="none"/>
              </w:rPr>
              <w:t>颗粒物</w:t>
            </w:r>
          </w:p>
        </w:tc>
        <w:tc>
          <w:tcPr>
            <w:tcW w:w="618" w:type="pct"/>
            <w:vMerge w:val="restart"/>
            <w:vAlign w:val="center"/>
          </w:tcPr>
          <w:p w14:paraId="6A50169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布袋除尘器+15m排气筒</w:t>
            </w:r>
          </w:p>
        </w:tc>
        <w:tc>
          <w:tcPr>
            <w:tcW w:w="459" w:type="pct"/>
            <w:vAlign w:val="center"/>
          </w:tcPr>
          <w:p w14:paraId="139ABD0A">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系数法</w:t>
            </w:r>
          </w:p>
        </w:tc>
        <w:tc>
          <w:tcPr>
            <w:tcW w:w="533" w:type="pct"/>
            <w:shd w:val="clear" w:color="auto" w:fill="auto"/>
            <w:vAlign w:val="center"/>
          </w:tcPr>
          <w:p w14:paraId="40FD8F07">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540</w:t>
            </w:r>
            <w:r>
              <w:rPr>
                <w:color w:val="auto"/>
                <w:sz w:val="21"/>
                <w:szCs w:val="21"/>
                <w:highlight w:val="none"/>
              </w:rPr>
              <w:t>t/a</w:t>
            </w:r>
          </w:p>
        </w:tc>
        <w:tc>
          <w:tcPr>
            <w:tcW w:w="525" w:type="pct"/>
            <w:shd w:val="clear" w:color="auto" w:fill="auto"/>
            <w:vAlign w:val="center"/>
          </w:tcPr>
          <w:p w14:paraId="6D6B2CFB">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1666.6667</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61AEEB0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99.9%</w:t>
            </w:r>
          </w:p>
        </w:tc>
        <w:tc>
          <w:tcPr>
            <w:tcW w:w="459" w:type="pct"/>
            <w:shd w:val="clear" w:color="auto" w:fill="auto"/>
            <w:vAlign w:val="center"/>
          </w:tcPr>
          <w:p w14:paraId="56F61799">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0.54</w:t>
            </w:r>
            <w:r>
              <w:rPr>
                <w:color w:val="auto"/>
                <w:sz w:val="21"/>
                <w:szCs w:val="21"/>
                <w:highlight w:val="none"/>
              </w:rPr>
              <w:t>t/a</w:t>
            </w:r>
          </w:p>
        </w:tc>
        <w:tc>
          <w:tcPr>
            <w:tcW w:w="460" w:type="pct"/>
            <w:vAlign w:val="center"/>
          </w:tcPr>
          <w:p w14:paraId="0C59B284">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1.6667</w:t>
            </w:r>
            <w:r>
              <w:rPr>
                <w:color w:val="auto"/>
                <w:sz w:val="21"/>
                <w:szCs w:val="21"/>
                <w:highlight w:val="none"/>
              </w:rPr>
              <w:t>mg/m</w:t>
            </w:r>
            <w:r>
              <w:rPr>
                <w:color w:val="auto"/>
                <w:sz w:val="21"/>
                <w:szCs w:val="21"/>
                <w:highlight w:val="none"/>
                <w:vertAlign w:val="superscript"/>
              </w:rPr>
              <w:t>3</w:t>
            </w:r>
          </w:p>
        </w:tc>
      </w:tr>
      <w:tr w14:paraId="06582C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 w:type="pct"/>
            <w:vMerge w:val="continue"/>
            <w:vAlign w:val="center"/>
          </w:tcPr>
          <w:p w14:paraId="05204CF0">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p>
        </w:tc>
        <w:tc>
          <w:tcPr>
            <w:tcW w:w="627" w:type="pct"/>
            <w:vMerge w:val="continue"/>
            <w:vAlign w:val="center"/>
          </w:tcPr>
          <w:p w14:paraId="7D0BD6E6">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p>
        </w:tc>
        <w:tc>
          <w:tcPr>
            <w:tcW w:w="305" w:type="pct"/>
            <w:vMerge w:val="continue"/>
            <w:vAlign w:val="center"/>
          </w:tcPr>
          <w:p w14:paraId="5EEF29A4">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p>
        </w:tc>
        <w:tc>
          <w:tcPr>
            <w:tcW w:w="323" w:type="pct"/>
            <w:vAlign w:val="center"/>
          </w:tcPr>
          <w:p w14:paraId="71A4384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eastAsia="宋体"/>
                <w:color w:val="auto"/>
                <w:sz w:val="21"/>
                <w:szCs w:val="21"/>
                <w:highlight w:val="none"/>
                <w:lang w:eastAsia="zh-CN"/>
              </w:rPr>
            </w:pPr>
            <w:r>
              <w:rPr>
                <w:rFonts w:hint="eastAsia"/>
                <w:color w:val="auto"/>
                <w:sz w:val="21"/>
                <w:szCs w:val="21"/>
                <w:highlight w:val="none"/>
                <w:lang w:eastAsia="zh-CN"/>
              </w:rPr>
              <w:t>氟化物</w:t>
            </w:r>
          </w:p>
        </w:tc>
        <w:tc>
          <w:tcPr>
            <w:tcW w:w="618" w:type="pct"/>
            <w:vMerge w:val="continue"/>
            <w:vAlign w:val="center"/>
          </w:tcPr>
          <w:p w14:paraId="3999560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color w:val="auto"/>
                <w:sz w:val="21"/>
                <w:szCs w:val="21"/>
                <w:highlight w:val="none"/>
                <w:lang w:eastAsia="zh-CN"/>
              </w:rPr>
            </w:pPr>
          </w:p>
        </w:tc>
        <w:tc>
          <w:tcPr>
            <w:tcW w:w="459" w:type="pct"/>
            <w:vAlign w:val="center"/>
          </w:tcPr>
          <w:p w14:paraId="3CF8E9EB">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物料衡算法</w:t>
            </w:r>
          </w:p>
        </w:tc>
        <w:tc>
          <w:tcPr>
            <w:tcW w:w="533" w:type="pct"/>
            <w:shd w:val="clear" w:color="auto" w:fill="auto"/>
            <w:vAlign w:val="center"/>
          </w:tcPr>
          <w:p w14:paraId="7BC0F622">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85.2120</w:t>
            </w:r>
            <w:r>
              <w:rPr>
                <w:color w:val="auto"/>
                <w:sz w:val="21"/>
                <w:szCs w:val="21"/>
                <w:highlight w:val="none"/>
              </w:rPr>
              <w:t>t/a</w:t>
            </w:r>
          </w:p>
        </w:tc>
        <w:tc>
          <w:tcPr>
            <w:tcW w:w="525" w:type="pct"/>
            <w:shd w:val="clear" w:color="auto" w:fill="auto"/>
            <w:vAlign w:val="center"/>
          </w:tcPr>
          <w:p w14:paraId="397513B1">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263</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0B8AAC09">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99.9%</w:t>
            </w:r>
          </w:p>
        </w:tc>
        <w:tc>
          <w:tcPr>
            <w:tcW w:w="459" w:type="pct"/>
            <w:shd w:val="clear" w:color="auto" w:fill="auto"/>
            <w:vAlign w:val="center"/>
          </w:tcPr>
          <w:p w14:paraId="77D74B88">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0.0852</w:t>
            </w:r>
            <w:r>
              <w:rPr>
                <w:color w:val="auto"/>
                <w:sz w:val="21"/>
                <w:szCs w:val="21"/>
                <w:highlight w:val="none"/>
              </w:rPr>
              <w:t>t/a</w:t>
            </w:r>
          </w:p>
        </w:tc>
        <w:tc>
          <w:tcPr>
            <w:tcW w:w="460" w:type="pct"/>
            <w:vAlign w:val="center"/>
          </w:tcPr>
          <w:p w14:paraId="391C28E2">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0.263</w:t>
            </w:r>
            <w:r>
              <w:rPr>
                <w:color w:val="auto"/>
                <w:sz w:val="21"/>
                <w:szCs w:val="21"/>
                <w:highlight w:val="none"/>
              </w:rPr>
              <w:t>mg/m</w:t>
            </w:r>
            <w:r>
              <w:rPr>
                <w:color w:val="auto"/>
                <w:sz w:val="21"/>
                <w:szCs w:val="21"/>
                <w:highlight w:val="none"/>
                <w:vertAlign w:val="superscript"/>
              </w:rPr>
              <w:t>3</w:t>
            </w:r>
          </w:p>
        </w:tc>
      </w:tr>
      <w:tr w14:paraId="0A992A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 w:type="pct"/>
            <w:vMerge w:val="restart"/>
            <w:vAlign w:val="center"/>
          </w:tcPr>
          <w:p w14:paraId="12AE7470">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627" w:type="pct"/>
            <w:vMerge w:val="restart"/>
            <w:vAlign w:val="center"/>
          </w:tcPr>
          <w:p w14:paraId="25B1DEBD">
            <w:pPr>
              <w:spacing w:line="360" w:lineRule="exact"/>
              <w:ind w:firstLine="0" w:firstLineChars="0"/>
              <w:jc w:val="center"/>
              <w:rPr>
                <w:color w:val="auto"/>
                <w:sz w:val="21"/>
                <w:szCs w:val="21"/>
                <w:highlight w:val="none"/>
              </w:rPr>
            </w:pPr>
            <w:r>
              <w:rPr>
                <w:rFonts w:hint="default" w:ascii="Times New Roman" w:hAnsi="Times New Roman" w:eastAsia="宋体" w:cs="Times New Roman"/>
                <w:color w:val="auto"/>
                <w:sz w:val="21"/>
                <w:szCs w:val="21"/>
                <w:highlight w:val="none"/>
                <w:lang w:eastAsia="zh-CN"/>
              </w:rPr>
              <w:t>筛分</w:t>
            </w:r>
            <w:r>
              <w:rPr>
                <w:rFonts w:hint="eastAsia" w:cs="Times New Roman"/>
                <w:color w:val="auto"/>
                <w:sz w:val="21"/>
                <w:szCs w:val="21"/>
                <w:highlight w:val="none"/>
                <w:lang w:val="en-US" w:eastAsia="zh-CN"/>
              </w:rPr>
              <w:t>厂房</w:t>
            </w:r>
            <w:r>
              <w:rPr>
                <w:rFonts w:hint="eastAsia"/>
                <w:color w:val="auto"/>
                <w:sz w:val="21"/>
                <w:szCs w:val="21"/>
                <w:highlight w:val="none"/>
              </w:rPr>
              <w:t>排气筒</w:t>
            </w:r>
          </w:p>
        </w:tc>
        <w:tc>
          <w:tcPr>
            <w:tcW w:w="305" w:type="pct"/>
            <w:vMerge w:val="restart"/>
            <w:vAlign w:val="center"/>
          </w:tcPr>
          <w:p w14:paraId="1F0909A7">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DA003</w:t>
            </w:r>
          </w:p>
        </w:tc>
        <w:tc>
          <w:tcPr>
            <w:tcW w:w="323" w:type="pct"/>
            <w:vAlign w:val="center"/>
          </w:tcPr>
          <w:p w14:paraId="7DCEF49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color w:val="auto"/>
                <w:sz w:val="21"/>
                <w:szCs w:val="21"/>
                <w:highlight w:val="none"/>
              </w:rPr>
            </w:pPr>
            <w:r>
              <w:rPr>
                <w:rFonts w:hint="eastAsia"/>
                <w:color w:val="auto"/>
                <w:sz w:val="21"/>
                <w:szCs w:val="21"/>
                <w:highlight w:val="none"/>
              </w:rPr>
              <w:t>颗粒物</w:t>
            </w:r>
          </w:p>
        </w:tc>
        <w:tc>
          <w:tcPr>
            <w:tcW w:w="618" w:type="pct"/>
            <w:vMerge w:val="restart"/>
            <w:vAlign w:val="center"/>
          </w:tcPr>
          <w:p w14:paraId="75186F4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color w:val="auto"/>
                <w:sz w:val="21"/>
                <w:szCs w:val="21"/>
                <w:highlight w:val="none"/>
              </w:rPr>
            </w:pPr>
            <w:r>
              <w:rPr>
                <w:rFonts w:hint="eastAsia"/>
                <w:color w:val="auto"/>
                <w:sz w:val="21"/>
                <w:szCs w:val="21"/>
                <w:highlight w:val="none"/>
                <w:lang w:val="en-US" w:eastAsia="zh-CN"/>
              </w:rPr>
              <w:t>布袋除尘器+15m排气筒</w:t>
            </w:r>
          </w:p>
        </w:tc>
        <w:tc>
          <w:tcPr>
            <w:tcW w:w="459" w:type="pct"/>
            <w:vAlign w:val="center"/>
          </w:tcPr>
          <w:p w14:paraId="7FEAF7F1">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系数法</w:t>
            </w:r>
          </w:p>
        </w:tc>
        <w:tc>
          <w:tcPr>
            <w:tcW w:w="533" w:type="pct"/>
            <w:shd w:val="clear" w:color="auto" w:fill="auto"/>
            <w:vAlign w:val="center"/>
          </w:tcPr>
          <w:p w14:paraId="14D16B2B">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540</w:t>
            </w:r>
            <w:r>
              <w:rPr>
                <w:color w:val="auto"/>
                <w:sz w:val="21"/>
                <w:szCs w:val="21"/>
                <w:highlight w:val="none"/>
              </w:rPr>
              <w:t>t/a</w:t>
            </w:r>
          </w:p>
        </w:tc>
        <w:tc>
          <w:tcPr>
            <w:tcW w:w="525" w:type="pct"/>
            <w:shd w:val="clear" w:color="auto" w:fill="auto"/>
            <w:vAlign w:val="center"/>
          </w:tcPr>
          <w:p w14:paraId="06610B14">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1071.4286</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2D78CEE9">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99.9%</w:t>
            </w:r>
          </w:p>
        </w:tc>
        <w:tc>
          <w:tcPr>
            <w:tcW w:w="459" w:type="pct"/>
            <w:shd w:val="clear" w:color="auto" w:fill="auto"/>
            <w:vAlign w:val="center"/>
          </w:tcPr>
          <w:p w14:paraId="1CEE3255">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0.54</w:t>
            </w:r>
            <w:r>
              <w:rPr>
                <w:color w:val="auto"/>
                <w:sz w:val="21"/>
                <w:szCs w:val="21"/>
                <w:highlight w:val="none"/>
              </w:rPr>
              <w:t>t/a</w:t>
            </w:r>
          </w:p>
        </w:tc>
        <w:tc>
          <w:tcPr>
            <w:tcW w:w="460" w:type="pct"/>
            <w:vAlign w:val="center"/>
          </w:tcPr>
          <w:p w14:paraId="6FF37577">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1.0714</w:t>
            </w:r>
            <w:r>
              <w:rPr>
                <w:color w:val="auto"/>
                <w:sz w:val="21"/>
                <w:szCs w:val="21"/>
                <w:highlight w:val="none"/>
              </w:rPr>
              <w:t>mg/m</w:t>
            </w:r>
            <w:r>
              <w:rPr>
                <w:color w:val="auto"/>
                <w:sz w:val="21"/>
                <w:szCs w:val="21"/>
                <w:highlight w:val="none"/>
                <w:vertAlign w:val="superscript"/>
              </w:rPr>
              <w:t>3</w:t>
            </w:r>
          </w:p>
        </w:tc>
      </w:tr>
      <w:tr w14:paraId="17AF36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226" w:type="pct"/>
            <w:vMerge w:val="continue"/>
            <w:vAlign w:val="center"/>
          </w:tcPr>
          <w:p w14:paraId="363074C3">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p>
        </w:tc>
        <w:tc>
          <w:tcPr>
            <w:tcW w:w="627" w:type="pct"/>
            <w:vMerge w:val="continue"/>
            <w:vAlign w:val="center"/>
          </w:tcPr>
          <w:p w14:paraId="656758D3">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p>
        </w:tc>
        <w:tc>
          <w:tcPr>
            <w:tcW w:w="305" w:type="pct"/>
            <w:vMerge w:val="continue"/>
            <w:vAlign w:val="center"/>
          </w:tcPr>
          <w:p w14:paraId="446D9617">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p>
        </w:tc>
        <w:tc>
          <w:tcPr>
            <w:tcW w:w="323" w:type="pct"/>
            <w:vAlign w:val="center"/>
          </w:tcPr>
          <w:p w14:paraId="586AD00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color w:val="auto"/>
                <w:sz w:val="21"/>
                <w:szCs w:val="21"/>
                <w:highlight w:val="none"/>
              </w:rPr>
            </w:pPr>
            <w:r>
              <w:rPr>
                <w:rFonts w:hint="eastAsia"/>
                <w:color w:val="auto"/>
                <w:sz w:val="21"/>
                <w:szCs w:val="21"/>
                <w:highlight w:val="none"/>
                <w:lang w:eastAsia="zh-CN"/>
              </w:rPr>
              <w:t>氟化物</w:t>
            </w:r>
          </w:p>
        </w:tc>
        <w:tc>
          <w:tcPr>
            <w:tcW w:w="618" w:type="pct"/>
            <w:vMerge w:val="continue"/>
            <w:vAlign w:val="center"/>
          </w:tcPr>
          <w:p w14:paraId="749529F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color w:val="auto"/>
                <w:sz w:val="21"/>
                <w:szCs w:val="21"/>
                <w:highlight w:val="none"/>
                <w:lang w:eastAsia="zh-CN"/>
              </w:rPr>
            </w:pPr>
          </w:p>
        </w:tc>
        <w:tc>
          <w:tcPr>
            <w:tcW w:w="459" w:type="pct"/>
            <w:vAlign w:val="center"/>
          </w:tcPr>
          <w:p w14:paraId="71BBB915">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物料衡算法</w:t>
            </w:r>
          </w:p>
        </w:tc>
        <w:tc>
          <w:tcPr>
            <w:tcW w:w="533" w:type="pct"/>
            <w:shd w:val="clear" w:color="auto" w:fill="auto"/>
            <w:vAlign w:val="center"/>
          </w:tcPr>
          <w:p w14:paraId="1157D411">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0.8521</w:t>
            </w:r>
            <w:r>
              <w:rPr>
                <w:color w:val="auto"/>
                <w:sz w:val="21"/>
                <w:szCs w:val="21"/>
                <w:highlight w:val="none"/>
              </w:rPr>
              <w:t>t/a</w:t>
            </w:r>
          </w:p>
        </w:tc>
        <w:tc>
          <w:tcPr>
            <w:tcW w:w="525" w:type="pct"/>
            <w:shd w:val="clear" w:color="auto" w:fill="auto"/>
            <w:vAlign w:val="center"/>
          </w:tcPr>
          <w:p w14:paraId="054EE58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169.0714</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181005B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99.9%</w:t>
            </w:r>
          </w:p>
        </w:tc>
        <w:tc>
          <w:tcPr>
            <w:tcW w:w="459" w:type="pct"/>
            <w:shd w:val="clear" w:color="auto" w:fill="auto"/>
            <w:vAlign w:val="center"/>
          </w:tcPr>
          <w:p w14:paraId="7E4A9027">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0.</w:t>
            </w:r>
            <w:r>
              <w:rPr>
                <w:rFonts w:hint="eastAsia"/>
                <w:color w:val="auto"/>
                <w:sz w:val="21"/>
                <w:szCs w:val="21"/>
                <w:highlight w:val="none"/>
                <w:lang w:val="en-US" w:eastAsia="zh-CN"/>
              </w:rPr>
              <w:t>0852</w:t>
            </w:r>
            <w:r>
              <w:rPr>
                <w:color w:val="auto"/>
                <w:sz w:val="21"/>
                <w:szCs w:val="21"/>
                <w:highlight w:val="none"/>
              </w:rPr>
              <w:t>t/a</w:t>
            </w:r>
          </w:p>
        </w:tc>
        <w:tc>
          <w:tcPr>
            <w:tcW w:w="460" w:type="pct"/>
            <w:vAlign w:val="center"/>
          </w:tcPr>
          <w:p w14:paraId="7E0E6E0B">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0.1691</w:t>
            </w:r>
            <w:r>
              <w:rPr>
                <w:color w:val="auto"/>
                <w:sz w:val="21"/>
                <w:szCs w:val="21"/>
                <w:highlight w:val="none"/>
              </w:rPr>
              <w:t>mg/m</w:t>
            </w:r>
            <w:r>
              <w:rPr>
                <w:color w:val="auto"/>
                <w:sz w:val="21"/>
                <w:szCs w:val="21"/>
                <w:highlight w:val="none"/>
                <w:vertAlign w:val="superscript"/>
              </w:rPr>
              <w:t>3</w:t>
            </w:r>
          </w:p>
        </w:tc>
      </w:tr>
      <w:tr w14:paraId="0B1685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26" w:type="pct"/>
            <w:vMerge w:val="restart"/>
            <w:vAlign w:val="center"/>
          </w:tcPr>
          <w:p w14:paraId="2D4CD270">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627" w:type="pct"/>
            <w:vMerge w:val="restart"/>
            <w:vAlign w:val="center"/>
          </w:tcPr>
          <w:p w14:paraId="397F1587">
            <w:pPr>
              <w:spacing w:line="360" w:lineRule="exact"/>
              <w:ind w:firstLine="0" w:firstLineChars="0"/>
              <w:jc w:val="center"/>
              <w:rPr>
                <w:rFonts w:hint="eastAsia"/>
                <w:color w:val="auto"/>
                <w:sz w:val="21"/>
                <w:szCs w:val="21"/>
                <w:highlight w:val="none"/>
              </w:rPr>
            </w:pPr>
            <w:r>
              <w:rPr>
                <w:rFonts w:hint="eastAsia"/>
                <w:color w:val="auto"/>
                <w:sz w:val="21"/>
                <w:szCs w:val="21"/>
                <w:highlight w:val="none"/>
                <w:lang w:val="en-US" w:eastAsia="zh-CN"/>
              </w:rPr>
              <w:t>粉矿仓</w:t>
            </w:r>
            <w:r>
              <w:rPr>
                <w:rFonts w:hint="eastAsia"/>
                <w:color w:val="auto"/>
                <w:sz w:val="21"/>
                <w:szCs w:val="21"/>
                <w:highlight w:val="none"/>
              </w:rPr>
              <w:t>排气筒</w:t>
            </w:r>
          </w:p>
        </w:tc>
        <w:tc>
          <w:tcPr>
            <w:tcW w:w="305" w:type="pct"/>
            <w:vMerge w:val="restart"/>
            <w:vAlign w:val="center"/>
          </w:tcPr>
          <w:p w14:paraId="286CD68D">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DA004</w:t>
            </w:r>
          </w:p>
        </w:tc>
        <w:tc>
          <w:tcPr>
            <w:tcW w:w="323" w:type="pct"/>
            <w:vAlign w:val="center"/>
          </w:tcPr>
          <w:p w14:paraId="4662667B">
            <w:pPr>
              <w:spacing w:line="360" w:lineRule="exact"/>
              <w:ind w:firstLine="0" w:firstLineChars="0"/>
              <w:jc w:val="center"/>
              <w:rPr>
                <w:rFonts w:hint="eastAsia"/>
                <w:color w:val="auto"/>
                <w:sz w:val="21"/>
                <w:szCs w:val="21"/>
                <w:highlight w:val="none"/>
              </w:rPr>
            </w:pPr>
            <w:r>
              <w:rPr>
                <w:rFonts w:hint="eastAsia"/>
                <w:color w:val="auto"/>
                <w:sz w:val="21"/>
                <w:szCs w:val="21"/>
                <w:highlight w:val="none"/>
              </w:rPr>
              <w:t>颗粒物</w:t>
            </w:r>
          </w:p>
        </w:tc>
        <w:tc>
          <w:tcPr>
            <w:tcW w:w="618" w:type="pct"/>
            <w:vMerge w:val="restart"/>
            <w:vAlign w:val="center"/>
          </w:tcPr>
          <w:p w14:paraId="7CFF163E">
            <w:pPr>
              <w:spacing w:line="360" w:lineRule="exact"/>
              <w:ind w:firstLine="0" w:firstLineChars="0"/>
              <w:jc w:val="center"/>
              <w:rPr>
                <w:rFonts w:hint="eastAsia"/>
                <w:color w:val="auto"/>
                <w:sz w:val="21"/>
                <w:szCs w:val="21"/>
                <w:highlight w:val="none"/>
              </w:rPr>
            </w:pPr>
            <w:r>
              <w:rPr>
                <w:rFonts w:hint="eastAsia"/>
                <w:color w:val="auto"/>
                <w:sz w:val="21"/>
                <w:szCs w:val="21"/>
                <w:highlight w:val="none"/>
                <w:lang w:val="en-US" w:eastAsia="zh-CN"/>
              </w:rPr>
              <w:t>布袋除尘器+15m排气筒</w:t>
            </w:r>
          </w:p>
        </w:tc>
        <w:tc>
          <w:tcPr>
            <w:tcW w:w="459" w:type="pct"/>
            <w:vAlign w:val="center"/>
          </w:tcPr>
          <w:p w14:paraId="25C359D8">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系数法</w:t>
            </w:r>
          </w:p>
        </w:tc>
        <w:tc>
          <w:tcPr>
            <w:tcW w:w="533" w:type="pct"/>
            <w:shd w:val="clear" w:color="auto" w:fill="auto"/>
            <w:vAlign w:val="center"/>
          </w:tcPr>
          <w:p w14:paraId="01E3FFFA">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54</w:t>
            </w:r>
            <w:r>
              <w:rPr>
                <w:color w:val="auto"/>
                <w:sz w:val="21"/>
                <w:szCs w:val="21"/>
                <w:highlight w:val="none"/>
              </w:rPr>
              <w:t>t/a</w:t>
            </w:r>
          </w:p>
        </w:tc>
        <w:tc>
          <w:tcPr>
            <w:tcW w:w="525" w:type="pct"/>
            <w:shd w:val="clear" w:color="auto" w:fill="auto"/>
            <w:vAlign w:val="center"/>
          </w:tcPr>
          <w:p w14:paraId="648B2137">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1250</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0C9D4AC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99.9%</w:t>
            </w:r>
          </w:p>
        </w:tc>
        <w:tc>
          <w:tcPr>
            <w:tcW w:w="459" w:type="pct"/>
            <w:shd w:val="clear" w:color="auto" w:fill="auto"/>
            <w:vAlign w:val="center"/>
          </w:tcPr>
          <w:p w14:paraId="41E29753">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0.054</w:t>
            </w:r>
            <w:r>
              <w:rPr>
                <w:color w:val="auto"/>
                <w:sz w:val="21"/>
                <w:szCs w:val="21"/>
                <w:highlight w:val="none"/>
              </w:rPr>
              <w:t>t/a</w:t>
            </w:r>
          </w:p>
        </w:tc>
        <w:tc>
          <w:tcPr>
            <w:tcW w:w="460" w:type="pct"/>
            <w:vAlign w:val="center"/>
          </w:tcPr>
          <w:p w14:paraId="30C670FF">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1.25</w:t>
            </w:r>
            <w:r>
              <w:rPr>
                <w:color w:val="auto"/>
                <w:sz w:val="21"/>
                <w:szCs w:val="21"/>
                <w:highlight w:val="none"/>
              </w:rPr>
              <w:t>mg/m</w:t>
            </w:r>
            <w:r>
              <w:rPr>
                <w:color w:val="auto"/>
                <w:sz w:val="21"/>
                <w:szCs w:val="21"/>
                <w:highlight w:val="none"/>
                <w:vertAlign w:val="superscript"/>
              </w:rPr>
              <w:t>3</w:t>
            </w:r>
          </w:p>
        </w:tc>
      </w:tr>
      <w:tr w14:paraId="446710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26" w:type="pct"/>
            <w:vMerge w:val="continue"/>
            <w:vAlign w:val="center"/>
          </w:tcPr>
          <w:p w14:paraId="30FC9C45">
            <w:pPr>
              <w:spacing w:line="360" w:lineRule="exact"/>
              <w:ind w:firstLine="0" w:firstLineChars="0"/>
              <w:jc w:val="center"/>
              <w:rPr>
                <w:rFonts w:hint="eastAsia"/>
                <w:color w:val="auto"/>
                <w:sz w:val="21"/>
                <w:szCs w:val="21"/>
                <w:highlight w:val="none"/>
              </w:rPr>
            </w:pPr>
          </w:p>
        </w:tc>
        <w:tc>
          <w:tcPr>
            <w:tcW w:w="627" w:type="pct"/>
            <w:vMerge w:val="continue"/>
            <w:vAlign w:val="center"/>
          </w:tcPr>
          <w:p w14:paraId="3AAAE216">
            <w:pPr>
              <w:spacing w:line="360" w:lineRule="exact"/>
              <w:ind w:firstLine="0" w:firstLineChars="0"/>
              <w:jc w:val="center"/>
              <w:rPr>
                <w:rFonts w:hint="eastAsia"/>
                <w:color w:val="auto"/>
                <w:sz w:val="21"/>
                <w:szCs w:val="21"/>
                <w:highlight w:val="none"/>
              </w:rPr>
            </w:pPr>
          </w:p>
        </w:tc>
        <w:tc>
          <w:tcPr>
            <w:tcW w:w="305" w:type="pct"/>
            <w:vMerge w:val="continue"/>
            <w:vAlign w:val="center"/>
          </w:tcPr>
          <w:p w14:paraId="1006F847">
            <w:pPr>
              <w:spacing w:line="360" w:lineRule="exact"/>
              <w:ind w:firstLine="0" w:firstLineChars="0"/>
              <w:jc w:val="center"/>
              <w:rPr>
                <w:rFonts w:hint="eastAsia"/>
                <w:color w:val="auto"/>
                <w:sz w:val="21"/>
                <w:szCs w:val="21"/>
                <w:highlight w:val="none"/>
              </w:rPr>
            </w:pPr>
          </w:p>
        </w:tc>
        <w:tc>
          <w:tcPr>
            <w:tcW w:w="323" w:type="pct"/>
            <w:vAlign w:val="center"/>
          </w:tcPr>
          <w:p w14:paraId="2544CD1F">
            <w:pPr>
              <w:spacing w:line="360" w:lineRule="exact"/>
              <w:ind w:firstLine="0" w:firstLineChars="0"/>
              <w:jc w:val="center"/>
              <w:rPr>
                <w:rFonts w:hint="eastAsia"/>
                <w:color w:val="auto"/>
                <w:sz w:val="21"/>
                <w:szCs w:val="21"/>
                <w:highlight w:val="none"/>
              </w:rPr>
            </w:pPr>
            <w:r>
              <w:rPr>
                <w:rFonts w:hint="eastAsia"/>
                <w:color w:val="auto"/>
                <w:sz w:val="21"/>
                <w:szCs w:val="21"/>
                <w:highlight w:val="none"/>
                <w:lang w:eastAsia="zh-CN"/>
              </w:rPr>
              <w:t>氟化物</w:t>
            </w:r>
          </w:p>
        </w:tc>
        <w:tc>
          <w:tcPr>
            <w:tcW w:w="618" w:type="pct"/>
            <w:vMerge w:val="continue"/>
            <w:vAlign w:val="center"/>
          </w:tcPr>
          <w:p w14:paraId="2699BF33">
            <w:pPr>
              <w:spacing w:line="360" w:lineRule="exact"/>
              <w:ind w:firstLine="0" w:firstLineChars="0"/>
              <w:jc w:val="center"/>
              <w:rPr>
                <w:rFonts w:hint="eastAsia"/>
                <w:color w:val="auto"/>
                <w:sz w:val="21"/>
                <w:szCs w:val="21"/>
                <w:highlight w:val="none"/>
                <w:lang w:eastAsia="zh-CN"/>
              </w:rPr>
            </w:pPr>
          </w:p>
        </w:tc>
        <w:tc>
          <w:tcPr>
            <w:tcW w:w="459" w:type="pct"/>
            <w:vAlign w:val="center"/>
          </w:tcPr>
          <w:p w14:paraId="6B0E16BF">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物料衡算法</w:t>
            </w:r>
          </w:p>
        </w:tc>
        <w:tc>
          <w:tcPr>
            <w:tcW w:w="533" w:type="pct"/>
            <w:shd w:val="clear" w:color="auto" w:fill="auto"/>
            <w:vAlign w:val="center"/>
          </w:tcPr>
          <w:p w14:paraId="3F53F2AC">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8.5212</w:t>
            </w:r>
            <w:r>
              <w:rPr>
                <w:color w:val="auto"/>
                <w:sz w:val="21"/>
                <w:szCs w:val="21"/>
                <w:highlight w:val="none"/>
              </w:rPr>
              <w:t>t/a</w:t>
            </w:r>
          </w:p>
        </w:tc>
        <w:tc>
          <w:tcPr>
            <w:tcW w:w="525" w:type="pct"/>
            <w:shd w:val="clear" w:color="auto" w:fill="auto"/>
            <w:vAlign w:val="center"/>
          </w:tcPr>
          <w:p w14:paraId="2F75913D">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197.25</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4AF37DD6">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99.9%</w:t>
            </w:r>
          </w:p>
        </w:tc>
        <w:tc>
          <w:tcPr>
            <w:tcW w:w="459" w:type="pct"/>
            <w:shd w:val="clear" w:color="auto" w:fill="auto"/>
            <w:vAlign w:val="center"/>
          </w:tcPr>
          <w:p w14:paraId="7FB65A7F">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0.</w:t>
            </w:r>
            <w:r>
              <w:rPr>
                <w:rFonts w:hint="eastAsia"/>
                <w:color w:val="auto"/>
                <w:sz w:val="21"/>
                <w:szCs w:val="21"/>
                <w:highlight w:val="none"/>
                <w:lang w:val="en-US" w:eastAsia="zh-CN"/>
              </w:rPr>
              <w:t>0085</w:t>
            </w:r>
            <w:r>
              <w:rPr>
                <w:color w:val="auto"/>
                <w:sz w:val="21"/>
                <w:szCs w:val="21"/>
                <w:highlight w:val="none"/>
              </w:rPr>
              <w:t>t/a</w:t>
            </w:r>
          </w:p>
        </w:tc>
        <w:tc>
          <w:tcPr>
            <w:tcW w:w="460" w:type="pct"/>
            <w:vAlign w:val="center"/>
          </w:tcPr>
          <w:p w14:paraId="287D7E66">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0.1972</w:t>
            </w:r>
            <w:r>
              <w:rPr>
                <w:color w:val="auto"/>
                <w:sz w:val="21"/>
                <w:szCs w:val="21"/>
                <w:highlight w:val="none"/>
              </w:rPr>
              <w:t>mg/m</w:t>
            </w:r>
            <w:r>
              <w:rPr>
                <w:color w:val="auto"/>
                <w:sz w:val="21"/>
                <w:szCs w:val="21"/>
                <w:highlight w:val="none"/>
                <w:vertAlign w:val="superscript"/>
              </w:rPr>
              <w:t>3</w:t>
            </w:r>
          </w:p>
        </w:tc>
      </w:tr>
      <w:tr w14:paraId="7AB847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26" w:type="pct"/>
            <w:shd w:val="clear" w:color="auto" w:fill="auto"/>
            <w:vAlign w:val="center"/>
          </w:tcPr>
          <w:p w14:paraId="47E80AAF">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627" w:type="pct"/>
            <w:shd w:val="clear" w:color="auto" w:fill="auto"/>
            <w:vAlign w:val="center"/>
          </w:tcPr>
          <w:p w14:paraId="1C3EBB2D">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硫酸稀释废气排气筒</w:t>
            </w:r>
          </w:p>
        </w:tc>
        <w:tc>
          <w:tcPr>
            <w:tcW w:w="305" w:type="pct"/>
            <w:shd w:val="clear" w:color="auto" w:fill="auto"/>
            <w:vAlign w:val="center"/>
          </w:tcPr>
          <w:p w14:paraId="3D1FF2BC">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DA005</w:t>
            </w:r>
          </w:p>
        </w:tc>
        <w:tc>
          <w:tcPr>
            <w:tcW w:w="323" w:type="pct"/>
            <w:shd w:val="clear" w:color="auto" w:fill="auto"/>
            <w:vAlign w:val="center"/>
          </w:tcPr>
          <w:p w14:paraId="4099BA19">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硫酸雾</w:t>
            </w:r>
          </w:p>
        </w:tc>
        <w:tc>
          <w:tcPr>
            <w:tcW w:w="618" w:type="pct"/>
            <w:shd w:val="clear" w:color="auto" w:fill="auto"/>
            <w:vAlign w:val="center"/>
          </w:tcPr>
          <w:p w14:paraId="5309BFB6">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碱液吸收塔+15m排气筒</w:t>
            </w:r>
          </w:p>
        </w:tc>
        <w:tc>
          <w:tcPr>
            <w:tcW w:w="459" w:type="pct"/>
            <w:shd w:val="clear" w:color="auto" w:fill="auto"/>
            <w:vAlign w:val="center"/>
          </w:tcPr>
          <w:p w14:paraId="255503B1">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物料衡算法</w:t>
            </w:r>
          </w:p>
        </w:tc>
        <w:tc>
          <w:tcPr>
            <w:tcW w:w="533" w:type="pct"/>
            <w:shd w:val="clear" w:color="auto" w:fill="auto"/>
            <w:vAlign w:val="center"/>
          </w:tcPr>
          <w:p w14:paraId="25B5834E">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1.2840</w:t>
            </w:r>
            <w:r>
              <w:rPr>
                <w:color w:val="auto"/>
                <w:sz w:val="21"/>
                <w:szCs w:val="21"/>
                <w:highlight w:val="none"/>
              </w:rPr>
              <w:t>t/a</w:t>
            </w:r>
          </w:p>
        </w:tc>
        <w:tc>
          <w:tcPr>
            <w:tcW w:w="525" w:type="pct"/>
            <w:shd w:val="clear" w:color="auto" w:fill="auto"/>
            <w:vAlign w:val="center"/>
          </w:tcPr>
          <w:p w14:paraId="20A36E7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178.3333</w:t>
            </w:r>
            <w:r>
              <w:rPr>
                <w:color w:val="auto"/>
                <w:sz w:val="21"/>
                <w:szCs w:val="21"/>
                <w:highlight w:val="none"/>
              </w:rPr>
              <w:t>mg/m</w:t>
            </w:r>
            <w:r>
              <w:rPr>
                <w:color w:val="auto"/>
                <w:sz w:val="21"/>
                <w:szCs w:val="21"/>
                <w:highlight w:val="none"/>
                <w:vertAlign w:val="superscript"/>
              </w:rPr>
              <w:t>3</w:t>
            </w:r>
          </w:p>
        </w:tc>
        <w:tc>
          <w:tcPr>
            <w:tcW w:w="459" w:type="pct"/>
            <w:shd w:val="clear" w:color="auto" w:fill="auto"/>
            <w:vAlign w:val="center"/>
          </w:tcPr>
          <w:p w14:paraId="09965570">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90%</w:t>
            </w:r>
          </w:p>
        </w:tc>
        <w:tc>
          <w:tcPr>
            <w:tcW w:w="459" w:type="pct"/>
            <w:shd w:val="clear" w:color="auto" w:fill="auto"/>
            <w:vAlign w:val="center"/>
          </w:tcPr>
          <w:p w14:paraId="51E28796">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0.1284</w:t>
            </w:r>
            <w:r>
              <w:rPr>
                <w:color w:val="auto"/>
                <w:sz w:val="21"/>
                <w:szCs w:val="21"/>
                <w:highlight w:val="none"/>
              </w:rPr>
              <w:t>t/a</w:t>
            </w:r>
          </w:p>
        </w:tc>
        <w:tc>
          <w:tcPr>
            <w:tcW w:w="460" w:type="pct"/>
            <w:shd w:val="clear" w:color="auto" w:fill="auto"/>
            <w:vAlign w:val="center"/>
          </w:tcPr>
          <w:p w14:paraId="452229CE">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17.8333</w:t>
            </w:r>
            <w:r>
              <w:rPr>
                <w:color w:val="auto"/>
                <w:sz w:val="21"/>
                <w:szCs w:val="21"/>
                <w:highlight w:val="none"/>
              </w:rPr>
              <w:t>mg/m</w:t>
            </w:r>
            <w:r>
              <w:rPr>
                <w:color w:val="auto"/>
                <w:sz w:val="21"/>
                <w:szCs w:val="21"/>
                <w:highlight w:val="none"/>
                <w:vertAlign w:val="superscript"/>
              </w:rPr>
              <w:t>3</w:t>
            </w:r>
          </w:p>
        </w:tc>
      </w:tr>
    </w:tbl>
    <w:p w14:paraId="28C8A0A4">
      <w:pPr>
        <w:ind w:firstLine="0" w:firstLineChars="0"/>
        <w:jc w:val="center"/>
        <w:rPr>
          <w:rFonts w:hint="eastAsia"/>
          <w:b/>
          <w:color w:val="auto"/>
          <w:kern w:val="0"/>
          <w:highlight w:val="none"/>
        </w:rPr>
      </w:pPr>
      <w:r>
        <w:rPr>
          <w:rFonts w:hint="eastAsia"/>
          <w:b/>
          <w:color w:val="auto"/>
          <w:kern w:val="0"/>
          <w:highlight w:val="none"/>
        </w:rPr>
        <w:t>表</w:t>
      </w:r>
      <w:r>
        <w:rPr>
          <w:b/>
          <w:color w:val="auto"/>
          <w:kern w:val="0"/>
          <w:highlight w:val="none"/>
        </w:rPr>
        <w:t>3.</w:t>
      </w:r>
      <w:r>
        <w:rPr>
          <w:rFonts w:hint="eastAsia"/>
          <w:b/>
          <w:color w:val="auto"/>
          <w:kern w:val="0"/>
          <w:highlight w:val="none"/>
          <w:lang w:val="en-US" w:eastAsia="zh-CN"/>
        </w:rPr>
        <w:t>3</w:t>
      </w:r>
      <w:r>
        <w:rPr>
          <w:b/>
          <w:color w:val="auto"/>
          <w:kern w:val="0"/>
          <w:highlight w:val="none"/>
        </w:rPr>
        <w:t>-</w:t>
      </w:r>
      <w:r>
        <w:rPr>
          <w:rFonts w:hint="eastAsia"/>
          <w:b/>
          <w:color w:val="auto"/>
          <w:kern w:val="0"/>
          <w:highlight w:val="none"/>
          <w:lang w:val="en-US" w:eastAsia="zh-CN"/>
        </w:rPr>
        <w:t xml:space="preserve">5   </w:t>
      </w:r>
      <w:r>
        <w:rPr>
          <w:rFonts w:hint="eastAsia"/>
          <w:b/>
          <w:color w:val="auto"/>
          <w:kern w:val="0"/>
          <w:highlight w:val="none"/>
        </w:rPr>
        <w:t>项目</w:t>
      </w:r>
      <w:r>
        <w:rPr>
          <w:rFonts w:hint="eastAsia"/>
          <w:b/>
          <w:color w:val="auto"/>
          <w:kern w:val="0"/>
          <w:highlight w:val="none"/>
          <w:lang w:val="en-US" w:eastAsia="zh-CN"/>
        </w:rPr>
        <w:t>无组织</w:t>
      </w:r>
      <w:r>
        <w:rPr>
          <w:rFonts w:hint="eastAsia"/>
          <w:b/>
          <w:color w:val="auto"/>
          <w:kern w:val="0"/>
          <w:highlight w:val="none"/>
        </w:rPr>
        <w:t>大气污染物排放情况</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0" w:type="dxa"/>
          <w:bottom w:w="0" w:type="dxa"/>
          <w:right w:w="0" w:type="dxa"/>
        </w:tblCellMar>
      </w:tblPr>
      <w:tblGrid>
        <w:gridCol w:w="1442"/>
        <w:gridCol w:w="2523"/>
        <w:gridCol w:w="2685"/>
        <w:gridCol w:w="2685"/>
        <w:gridCol w:w="2313"/>
        <w:gridCol w:w="2314"/>
      </w:tblGrid>
      <w:tr w14:paraId="0E82FE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2" w:hRule="atLeast"/>
          <w:jc w:val="center"/>
        </w:trPr>
        <w:tc>
          <w:tcPr>
            <w:tcW w:w="516" w:type="pct"/>
            <w:vAlign w:val="center"/>
          </w:tcPr>
          <w:p w14:paraId="0B1CB6C8">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排放源</w:t>
            </w:r>
          </w:p>
        </w:tc>
        <w:tc>
          <w:tcPr>
            <w:tcW w:w="903" w:type="pct"/>
            <w:vAlign w:val="center"/>
          </w:tcPr>
          <w:p w14:paraId="3332DFC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color w:val="auto"/>
                <w:sz w:val="21"/>
                <w:szCs w:val="21"/>
                <w:highlight w:val="none"/>
              </w:rPr>
            </w:pPr>
            <w:r>
              <w:rPr>
                <w:rFonts w:hint="eastAsia"/>
                <w:b/>
                <w:bCs/>
                <w:color w:val="auto"/>
                <w:sz w:val="21"/>
                <w:szCs w:val="21"/>
                <w:highlight w:val="none"/>
              </w:rPr>
              <w:t>污染物名称</w:t>
            </w:r>
          </w:p>
        </w:tc>
        <w:tc>
          <w:tcPr>
            <w:tcW w:w="961" w:type="pct"/>
            <w:vAlign w:val="center"/>
          </w:tcPr>
          <w:p w14:paraId="6C55F49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治理措施</w:t>
            </w:r>
          </w:p>
        </w:tc>
        <w:tc>
          <w:tcPr>
            <w:tcW w:w="961" w:type="pct"/>
            <w:vAlign w:val="center"/>
          </w:tcPr>
          <w:p w14:paraId="0115E239">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产生量</w:t>
            </w:r>
          </w:p>
        </w:tc>
        <w:tc>
          <w:tcPr>
            <w:tcW w:w="828" w:type="pct"/>
            <w:vAlign w:val="center"/>
          </w:tcPr>
          <w:p w14:paraId="1B7FBE77">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治理效率</w:t>
            </w:r>
          </w:p>
        </w:tc>
        <w:tc>
          <w:tcPr>
            <w:tcW w:w="828" w:type="pct"/>
            <w:shd w:val="clear" w:color="auto" w:fill="auto"/>
            <w:vAlign w:val="center"/>
          </w:tcPr>
          <w:p w14:paraId="771AD4BE">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排放量</w:t>
            </w:r>
          </w:p>
        </w:tc>
      </w:tr>
      <w:tr w14:paraId="0652C1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2" w:hRule="atLeast"/>
          <w:jc w:val="center"/>
        </w:trPr>
        <w:tc>
          <w:tcPr>
            <w:tcW w:w="516" w:type="pct"/>
            <w:vMerge w:val="restart"/>
            <w:vAlign w:val="center"/>
          </w:tcPr>
          <w:p w14:paraId="0525336C">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爆破废气</w:t>
            </w:r>
          </w:p>
        </w:tc>
        <w:tc>
          <w:tcPr>
            <w:tcW w:w="903" w:type="pct"/>
            <w:vAlign w:val="center"/>
          </w:tcPr>
          <w:p w14:paraId="578010C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rPr>
              <w:t>CO</w:t>
            </w:r>
          </w:p>
        </w:tc>
        <w:tc>
          <w:tcPr>
            <w:tcW w:w="961" w:type="pct"/>
            <w:vMerge w:val="restart"/>
            <w:vAlign w:val="center"/>
          </w:tcPr>
          <w:p w14:paraId="53FFC25C">
            <w:pPr>
              <w:pStyle w:val="21"/>
              <w:bidi w:val="0"/>
              <w:rPr>
                <w:rFonts w:hint="default"/>
                <w:color w:val="auto"/>
                <w:highlight w:val="none"/>
                <w:lang w:val="en-US" w:eastAsia="zh-CN"/>
              </w:rPr>
            </w:pPr>
            <w:r>
              <w:rPr>
                <w:rFonts w:hint="eastAsia"/>
                <w:color w:val="auto"/>
                <w:highlight w:val="none"/>
                <w:lang w:val="en-US" w:eastAsia="zh-CN"/>
              </w:rPr>
              <w:t>矿井通风</w:t>
            </w:r>
          </w:p>
        </w:tc>
        <w:tc>
          <w:tcPr>
            <w:tcW w:w="961" w:type="pct"/>
            <w:vAlign w:val="center"/>
          </w:tcPr>
          <w:p w14:paraId="6F1642FD">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1.98</w:t>
            </w:r>
            <w:r>
              <w:rPr>
                <w:color w:val="auto"/>
                <w:sz w:val="21"/>
                <w:szCs w:val="21"/>
                <w:highlight w:val="none"/>
              </w:rPr>
              <w:t>t/a</w:t>
            </w:r>
          </w:p>
        </w:tc>
        <w:tc>
          <w:tcPr>
            <w:tcW w:w="828" w:type="pct"/>
            <w:vAlign w:val="center"/>
          </w:tcPr>
          <w:p w14:paraId="11D92D02">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8" w:type="pct"/>
            <w:shd w:val="clear" w:color="auto" w:fill="auto"/>
            <w:vAlign w:val="center"/>
          </w:tcPr>
          <w:p w14:paraId="3E1C0969">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1.98</w:t>
            </w:r>
            <w:r>
              <w:rPr>
                <w:color w:val="auto"/>
                <w:sz w:val="21"/>
                <w:szCs w:val="21"/>
                <w:highlight w:val="none"/>
              </w:rPr>
              <w:t>t/a</w:t>
            </w:r>
          </w:p>
        </w:tc>
      </w:tr>
      <w:tr w14:paraId="47B8CC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73" w:hRule="atLeast"/>
          <w:jc w:val="center"/>
        </w:trPr>
        <w:tc>
          <w:tcPr>
            <w:tcW w:w="516" w:type="pct"/>
            <w:vMerge w:val="continue"/>
            <w:vAlign w:val="center"/>
          </w:tcPr>
          <w:p w14:paraId="52DC5687">
            <w:pPr>
              <w:spacing w:line="360" w:lineRule="exact"/>
              <w:ind w:firstLine="0" w:firstLineChars="0"/>
              <w:jc w:val="center"/>
              <w:rPr>
                <w:rFonts w:hint="eastAsia"/>
                <w:color w:val="auto"/>
                <w:sz w:val="21"/>
                <w:szCs w:val="21"/>
                <w:highlight w:val="none"/>
                <w:lang w:val="en-US" w:eastAsia="zh-CN"/>
              </w:rPr>
            </w:pPr>
          </w:p>
        </w:tc>
        <w:tc>
          <w:tcPr>
            <w:tcW w:w="903" w:type="pct"/>
            <w:vAlign w:val="center"/>
          </w:tcPr>
          <w:p w14:paraId="7D7BE69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rPr>
              <w:t>NO</w:t>
            </w:r>
            <w:r>
              <w:rPr>
                <w:rFonts w:hint="eastAsia"/>
                <w:color w:val="auto"/>
                <w:sz w:val="21"/>
                <w:szCs w:val="21"/>
                <w:highlight w:val="none"/>
                <w:vertAlign w:val="subscript"/>
              </w:rPr>
              <w:t>x</w:t>
            </w:r>
          </w:p>
        </w:tc>
        <w:tc>
          <w:tcPr>
            <w:tcW w:w="961" w:type="pct"/>
            <w:vMerge w:val="continue"/>
            <w:vAlign w:val="center"/>
          </w:tcPr>
          <w:p w14:paraId="0B01F1B4">
            <w:pPr>
              <w:pStyle w:val="21"/>
              <w:bidi w:val="0"/>
              <w:rPr>
                <w:rFonts w:hint="eastAsia"/>
                <w:color w:val="auto"/>
                <w:highlight w:val="none"/>
              </w:rPr>
            </w:pPr>
          </w:p>
        </w:tc>
        <w:tc>
          <w:tcPr>
            <w:tcW w:w="961" w:type="pct"/>
            <w:vAlign w:val="center"/>
          </w:tcPr>
          <w:p w14:paraId="7CB364D3">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4.38</w:t>
            </w:r>
            <w:r>
              <w:rPr>
                <w:color w:val="auto"/>
                <w:sz w:val="21"/>
                <w:szCs w:val="21"/>
                <w:highlight w:val="none"/>
              </w:rPr>
              <w:t>t/a</w:t>
            </w:r>
          </w:p>
        </w:tc>
        <w:tc>
          <w:tcPr>
            <w:tcW w:w="828" w:type="pct"/>
            <w:vAlign w:val="center"/>
          </w:tcPr>
          <w:p w14:paraId="3B0EC486">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8" w:type="pct"/>
            <w:shd w:val="clear" w:color="auto" w:fill="auto"/>
            <w:vAlign w:val="center"/>
          </w:tcPr>
          <w:p w14:paraId="024D1FF8">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4.38</w:t>
            </w:r>
            <w:r>
              <w:rPr>
                <w:color w:val="auto"/>
                <w:sz w:val="21"/>
                <w:szCs w:val="21"/>
                <w:highlight w:val="none"/>
              </w:rPr>
              <w:t>t/a</w:t>
            </w:r>
          </w:p>
        </w:tc>
      </w:tr>
      <w:tr w14:paraId="7D4379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16" w:type="pct"/>
            <w:vMerge w:val="restart"/>
            <w:vAlign w:val="center"/>
          </w:tcPr>
          <w:p w14:paraId="2EE8C611">
            <w:pPr>
              <w:spacing w:line="360" w:lineRule="exact"/>
              <w:ind w:firstLine="0" w:firstLineChars="0"/>
              <w:jc w:val="center"/>
              <w:rPr>
                <w:rFonts w:hint="eastAsia"/>
                <w:color w:val="auto"/>
                <w:sz w:val="21"/>
                <w:szCs w:val="21"/>
                <w:highlight w:val="none"/>
                <w:lang w:val="en-US" w:eastAsia="zh-CN"/>
              </w:rPr>
            </w:pPr>
            <w:r>
              <w:rPr>
                <w:rFonts w:hint="default"/>
                <w:color w:val="auto"/>
                <w:sz w:val="21"/>
                <w:szCs w:val="21"/>
                <w:highlight w:val="none"/>
                <w:lang w:val="en-US" w:eastAsia="zh-CN"/>
              </w:rPr>
              <w:t>凿岩、掘进</w:t>
            </w:r>
            <w:r>
              <w:rPr>
                <w:rFonts w:hint="eastAsia"/>
                <w:color w:val="auto"/>
                <w:sz w:val="21"/>
                <w:szCs w:val="21"/>
                <w:highlight w:val="none"/>
                <w:lang w:val="en-US" w:eastAsia="zh-CN"/>
              </w:rPr>
              <w:t>废气</w:t>
            </w:r>
          </w:p>
        </w:tc>
        <w:tc>
          <w:tcPr>
            <w:tcW w:w="903" w:type="pct"/>
            <w:vAlign w:val="center"/>
          </w:tcPr>
          <w:p w14:paraId="1A26EE4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rPr>
              <w:t>颗粒物</w:t>
            </w:r>
          </w:p>
        </w:tc>
        <w:tc>
          <w:tcPr>
            <w:tcW w:w="961" w:type="pct"/>
            <w:vMerge w:val="restart"/>
            <w:vAlign w:val="center"/>
          </w:tcPr>
          <w:p w14:paraId="7FD0D2E6">
            <w:pPr>
              <w:pStyle w:val="21"/>
              <w:bidi w:val="0"/>
              <w:rPr>
                <w:rFonts w:hint="eastAsia"/>
                <w:color w:val="auto"/>
                <w:highlight w:val="none"/>
                <w:lang w:eastAsia="zh-CN"/>
              </w:rPr>
            </w:pPr>
            <w:r>
              <w:rPr>
                <w:rFonts w:hint="default"/>
                <w:color w:val="auto"/>
                <w:highlight w:val="none"/>
              </w:rPr>
              <w:t>湿式凿岩、作业面洒水喷雾</w:t>
            </w:r>
            <w:r>
              <w:rPr>
                <w:rFonts w:hint="eastAsia"/>
                <w:color w:val="auto"/>
                <w:highlight w:val="none"/>
                <w:lang w:eastAsia="zh-CN"/>
              </w:rPr>
              <w:t>、</w:t>
            </w:r>
            <w:r>
              <w:rPr>
                <w:rFonts w:hint="eastAsia"/>
                <w:color w:val="auto"/>
                <w:highlight w:val="none"/>
                <w:lang w:val="en-US" w:eastAsia="zh-CN"/>
              </w:rPr>
              <w:t>矿井通风</w:t>
            </w:r>
          </w:p>
        </w:tc>
        <w:tc>
          <w:tcPr>
            <w:tcW w:w="961" w:type="pct"/>
            <w:vAlign w:val="center"/>
          </w:tcPr>
          <w:p w14:paraId="79828C6F">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16.5110</w:t>
            </w:r>
            <w:r>
              <w:rPr>
                <w:color w:val="auto"/>
                <w:sz w:val="21"/>
                <w:szCs w:val="21"/>
                <w:highlight w:val="none"/>
              </w:rPr>
              <w:t>t/a</w:t>
            </w:r>
          </w:p>
        </w:tc>
        <w:tc>
          <w:tcPr>
            <w:tcW w:w="828" w:type="pct"/>
            <w:vMerge w:val="restart"/>
            <w:vAlign w:val="center"/>
          </w:tcPr>
          <w:p w14:paraId="69259C80">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60%</w:t>
            </w:r>
          </w:p>
        </w:tc>
        <w:tc>
          <w:tcPr>
            <w:tcW w:w="828" w:type="pct"/>
            <w:shd w:val="clear" w:color="auto" w:fill="auto"/>
            <w:vAlign w:val="center"/>
          </w:tcPr>
          <w:p w14:paraId="3395F5BB">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6.7392</w:t>
            </w:r>
            <w:r>
              <w:rPr>
                <w:color w:val="auto"/>
                <w:sz w:val="21"/>
                <w:szCs w:val="21"/>
                <w:highlight w:val="none"/>
              </w:rPr>
              <w:t>t/a</w:t>
            </w:r>
          </w:p>
        </w:tc>
      </w:tr>
      <w:tr w14:paraId="3F1F1E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73" w:hRule="atLeast"/>
          <w:jc w:val="center"/>
        </w:trPr>
        <w:tc>
          <w:tcPr>
            <w:tcW w:w="516" w:type="pct"/>
            <w:vMerge w:val="continue"/>
            <w:vAlign w:val="center"/>
          </w:tcPr>
          <w:p w14:paraId="6A19C482">
            <w:pPr>
              <w:spacing w:line="360" w:lineRule="exact"/>
              <w:ind w:firstLine="0" w:firstLineChars="0"/>
              <w:jc w:val="center"/>
              <w:rPr>
                <w:rFonts w:hint="default"/>
                <w:color w:val="auto"/>
                <w:sz w:val="21"/>
                <w:szCs w:val="21"/>
                <w:highlight w:val="none"/>
                <w:lang w:val="en-US" w:eastAsia="zh-CN"/>
              </w:rPr>
            </w:pPr>
          </w:p>
        </w:tc>
        <w:tc>
          <w:tcPr>
            <w:tcW w:w="903" w:type="pct"/>
            <w:vAlign w:val="center"/>
          </w:tcPr>
          <w:p w14:paraId="38532AF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eastAsia="zh-CN"/>
              </w:rPr>
              <w:t>氟化物</w:t>
            </w:r>
          </w:p>
        </w:tc>
        <w:tc>
          <w:tcPr>
            <w:tcW w:w="961" w:type="pct"/>
            <w:vMerge w:val="continue"/>
            <w:vAlign w:val="center"/>
          </w:tcPr>
          <w:p w14:paraId="2A2967F9">
            <w:pPr>
              <w:pStyle w:val="21"/>
              <w:bidi w:val="0"/>
              <w:rPr>
                <w:rFonts w:hint="eastAsia"/>
                <w:color w:val="auto"/>
                <w:highlight w:val="none"/>
                <w:lang w:eastAsia="zh-CN"/>
              </w:rPr>
            </w:pPr>
          </w:p>
        </w:tc>
        <w:tc>
          <w:tcPr>
            <w:tcW w:w="961" w:type="pct"/>
            <w:vAlign w:val="center"/>
          </w:tcPr>
          <w:p w14:paraId="22E53798">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2.6054</w:t>
            </w:r>
            <w:r>
              <w:rPr>
                <w:color w:val="auto"/>
                <w:sz w:val="21"/>
                <w:szCs w:val="21"/>
                <w:highlight w:val="none"/>
              </w:rPr>
              <w:t>t/a</w:t>
            </w:r>
          </w:p>
        </w:tc>
        <w:tc>
          <w:tcPr>
            <w:tcW w:w="828" w:type="pct"/>
            <w:vMerge w:val="continue"/>
            <w:vAlign w:val="center"/>
          </w:tcPr>
          <w:p w14:paraId="50355D37">
            <w:pPr>
              <w:spacing w:line="360" w:lineRule="exact"/>
              <w:ind w:firstLine="0" w:firstLineChars="0"/>
              <w:jc w:val="center"/>
              <w:rPr>
                <w:rFonts w:hint="default"/>
                <w:color w:val="auto"/>
                <w:sz w:val="21"/>
                <w:szCs w:val="21"/>
                <w:highlight w:val="none"/>
                <w:lang w:val="en-US" w:eastAsia="zh-CN"/>
              </w:rPr>
            </w:pPr>
          </w:p>
        </w:tc>
        <w:tc>
          <w:tcPr>
            <w:tcW w:w="828" w:type="pct"/>
            <w:shd w:val="clear" w:color="auto" w:fill="auto"/>
            <w:vAlign w:val="center"/>
          </w:tcPr>
          <w:p w14:paraId="7C20DB86">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1.0634</w:t>
            </w:r>
            <w:r>
              <w:rPr>
                <w:color w:val="auto"/>
                <w:sz w:val="21"/>
                <w:szCs w:val="21"/>
                <w:highlight w:val="none"/>
              </w:rPr>
              <w:t>t/a</w:t>
            </w:r>
          </w:p>
        </w:tc>
      </w:tr>
      <w:tr w14:paraId="59D8C2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shd w:val="clear" w:color="auto" w:fill="auto"/>
            <w:vAlign w:val="center"/>
          </w:tcPr>
          <w:p w14:paraId="299E147C">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废石运输</w:t>
            </w:r>
          </w:p>
        </w:tc>
        <w:tc>
          <w:tcPr>
            <w:tcW w:w="903" w:type="pct"/>
            <w:shd w:val="clear" w:color="auto" w:fill="auto"/>
            <w:vAlign w:val="center"/>
          </w:tcPr>
          <w:p w14:paraId="0983D88C">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颗粒物</w:t>
            </w:r>
          </w:p>
        </w:tc>
        <w:tc>
          <w:tcPr>
            <w:tcW w:w="961" w:type="pct"/>
            <w:vAlign w:val="center"/>
          </w:tcPr>
          <w:p w14:paraId="36D51361">
            <w:pPr>
              <w:pStyle w:val="21"/>
              <w:bidi w:val="0"/>
              <w:rPr>
                <w:rFonts w:hint="eastAsia"/>
                <w:color w:val="auto"/>
                <w:highlight w:val="none"/>
              </w:rPr>
            </w:pPr>
            <w:r>
              <w:rPr>
                <w:rFonts w:hint="eastAsia"/>
                <w:color w:val="auto"/>
                <w:highlight w:val="none"/>
              </w:rPr>
              <w:t>道路洒水降尘、道路路面铺碎石</w:t>
            </w:r>
          </w:p>
        </w:tc>
        <w:tc>
          <w:tcPr>
            <w:tcW w:w="961" w:type="pct"/>
            <w:vAlign w:val="center"/>
          </w:tcPr>
          <w:p w14:paraId="134E5000">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3.4741</w:t>
            </w:r>
            <w:r>
              <w:rPr>
                <w:color w:val="auto"/>
                <w:sz w:val="21"/>
                <w:szCs w:val="21"/>
                <w:highlight w:val="none"/>
              </w:rPr>
              <w:t>t/a</w:t>
            </w:r>
          </w:p>
        </w:tc>
        <w:tc>
          <w:tcPr>
            <w:tcW w:w="828" w:type="pct"/>
            <w:vAlign w:val="center"/>
          </w:tcPr>
          <w:p w14:paraId="08093592">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80%</w:t>
            </w:r>
          </w:p>
        </w:tc>
        <w:tc>
          <w:tcPr>
            <w:tcW w:w="828" w:type="pct"/>
            <w:shd w:val="clear" w:color="auto" w:fill="auto"/>
            <w:vAlign w:val="center"/>
          </w:tcPr>
          <w:p w14:paraId="61049EDB">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0.6948</w:t>
            </w:r>
            <w:r>
              <w:rPr>
                <w:color w:val="auto"/>
                <w:sz w:val="21"/>
                <w:szCs w:val="21"/>
                <w:highlight w:val="none"/>
              </w:rPr>
              <w:t>t/a</w:t>
            </w:r>
          </w:p>
        </w:tc>
      </w:tr>
      <w:tr w14:paraId="62F921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shd w:val="clear" w:color="auto" w:fill="auto"/>
            <w:vAlign w:val="center"/>
          </w:tcPr>
          <w:p w14:paraId="0F216ABA">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废石堆场</w:t>
            </w:r>
          </w:p>
        </w:tc>
        <w:tc>
          <w:tcPr>
            <w:tcW w:w="903" w:type="pct"/>
            <w:shd w:val="clear" w:color="auto" w:fill="auto"/>
            <w:vAlign w:val="center"/>
          </w:tcPr>
          <w:p w14:paraId="42E0F4E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颗粒物</w:t>
            </w:r>
          </w:p>
        </w:tc>
        <w:tc>
          <w:tcPr>
            <w:tcW w:w="961" w:type="pct"/>
            <w:vAlign w:val="center"/>
          </w:tcPr>
          <w:p w14:paraId="711A561F">
            <w:pPr>
              <w:pStyle w:val="21"/>
              <w:bidi w:val="0"/>
              <w:rPr>
                <w:rFonts w:hint="default"/>
                <w:color w:val="auto"/>
                <w:highlight w:val="none"/>
                <w:lang w:val="en-US" w:eastAsia="zh-CN"/>
              </w:rPr>
            </w:pPr>
            <w:r>
              <w:rPr>
                <w:rFonts w:hint="eastAsia"/>
                <w:color w:val="auto"/>
                <w:highlight w:val="none"/>
                <w:lang w:val="en-US" w:eastAsia="zh-CN"/>
              </w:rPr>
              <w:t>洒水抑尘</w:t>
            </w:r>
          </w:p>
        </w:tc>
        <w:tc>
          <w:tcPr>
            <w:tcW w:w="961" w:type="pct"/>
            <w:vAlign w:val="center"/>
          </w:tcPr>
          <w:p w14:paraId="4B1A24EB">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49.11</w:t>
            </w:r>
            <w:r>
              <w:rPr>
                <w:color w:val="auto"/>
                <w:sz w:val="21"/>
                <w:szCs w:val="21"/>
                <w:highlight w:val="none"/>
              </w:rPr>
              <w:t>t/a</w:t>
            </w:r>
          </w:p>
        </w:tc>
        <w:tc>
          <w:tcPr>
            <w:tcW w:w="828" w:type="pct"/>
            <w:vAlign w:val="center"/>
          </w:tcPr>
          <w:p w14:paraId="27C3DC63">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74%</w:t>
            </w:r>
          </w:p>
        </w:tc>
        <w:tc>
          <w:tcPr>
            <w:tcW w:w="828" w:type="pct"/>
            <w:shd w:val="clear" w:color="auto" w:fill="auto"/>
            <w:vAlign w:val="center"/>
          </w:tcPr>
          <w:p w14:paraId="021A774E">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12.77</w:t>
            </w:r>
            <w:r>
              <w:rPr>
                <w:color w:val="auto"/>
                <w:sz w:val="21"/>
                <w:szCs w:val="21"/>
                <w:highlight w:val="none"/>
              </w:rPr>
              <w:t>t/a</w:t>
            </w:r>
          </w:p>
        </w:tc>
      </w:tr>
      <w:tr w14:paraId="639220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shd w:val="clear" w:color="auto" w:fill="auto"/>
            <w:vAlign w:val="center"/>
          </w:tcPr>
          <w:p w14:paraId="0686ACB7">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填充站水泥筒仓</w:t>
            </w:r>
          </w:p>
        </w:tc>
        <w:tc>
          <w:tcPr>
            <w:tcW w:w="903" w:type="pct"/>
            <w:shd w:val="clear" w:color="auto" w:fill="auto"/>
            <w:vAlign w:val="center"/>
          </w:tcPr>
          <w:p w14:paraId="1C7CA272">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颗粒物</w:t>
            </w:r>
          </w:p>
        </w:tc>
        <w:tc>
          <w:tcPr>
            <w:tcW w:w="961" w:type="pct"/>
            <w:vAlign w:val="center"/>
          </w:tcPr>
          <w:p w14:paraId="334F81D8">
            <w:pPr>
              <w:pStyle w:val="21"/>
              <w:bidi w:val="0"/>
              <w:rPr>
                <w:rFonts w:hint="default"/>
                <w:color w:val="auto"/>
                <w:highlight w:val="none"/>
                <w:lang w:val="en-US" w:eastAsia="zh-CN"/>
              </w:rPr>
            </w:pPr>
            <w:r>
              <w:rPr>
                <w:rFonts w:hint="eastAsia"/>
                <w:color w:val="auto"/>
                <w:highlight w:val="none"/>
                <w:lang w:val="en-US" w:eastAsia="zh-CN"/>
              </w:rPr>
              <w:t>仓顶脉冲布袋除尘器</w:t>
            </w:r>
          </w:p>
        </w:tc>
        <w:tc>
          <w:tcPr>
            <w:tcW w:w="961" w:type="pct"/>
            <w:vAlign w:val="center"/>
          </w:tcPr>
          <w:p w14:paraId="75905428">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8.1011</w:t>
            </w:r>
            <w:r>
              <w:rPr>
                <w:color w:val="auto"/>
                <w:sz w:val="21"/>
                <w:szCs w:val="21"/>
                <w:highlight w:val="none"/>
              </w:rPr>
              <w:t>t/a</w:t>
            </w:r>
          </w:p>
        </w:tc>
        <w:tc>
          <w:tcPr>
            <w:tcW w:w="828" w:type="pct"/>
            <w:vAlign w:val="center"/>
          </w:tcPr>
          <w:p w14:paraId="3E0A7AE4">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99%</w:t>
            </w:r>
          </w:p>
        </w:tc>
        <w:tc>
          <w:tcPr>
            <w:tcW w:w="828" w:type="pct"/>
            <w:shd w:val="clear" w:color="auto" w:fill="auto"/>
            <w:vAlign w:val="center"/>
          </w:tcPr>
          <w:p w14:paraId="1C2BB7CF">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0.0810</w:t>
            </w:r>
            <w:r>
              <w:rPr>
                <w:color w:val="auto"/>
                <w:sz w:val="21"/>
                <w:szCs w:val="21"/>
                <w:highlight w:val="none"/>
              </w:rPr>
              <w:t>t/a</w:t>
            </w:r>
          </w:p>
        </w:tc>
      </w:tr>
      <w:tr w14:paraId="08E7B6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restart"/>
            <w:shd w:val="clear" w:color="auto" w:fill="auto"/>
            <w:vAlign w:val="center"/>
          </w:tcPr>
          <w:p w14:paraId="6E259477">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柴油燃烧</w:t>
            </w:r>
          </w:p>
        </w:tc>
        <w:tc>
          <w:tcPr>
            <w:tcW w:w="903" w:type="pct"/>
            <w:shd w:val="clear" w:color="auto" w:fill="auto"/>
            <w:vAlign w:val="center"/>
          </w:tcPr>
          <w:p w14:paraId="056C18BB">
            <w:pPr>
              <w:pStyle w:val="17"/>
              <w:bidi w:val="0"/>
              <w:ind w:firstLine="0" w:firstLineChars="0"/>
              <w:jc w:val="center"/>
              <w:rPr>
                <w:rFonts w:hint="eastAsia"/>
                <w:color w:val="auto"/>
                <w:sz w:val="21"/>
                <w:szCs w:val="21"/>
                <w:highlight w:val="none"/>
                <w:lang w:val="en-US" w:eastAsia="zh-CN"/>
              </w:rPr>
            </w:pPr>
            <w:r>
              <w:rPr>
                <w:rFonts w:hint="default"/>
                <w:color w:val="auto"/>
                <w:highlight w:val="none"/>
                <w:lang w:val="en-US" w:eastAsia="zh-CN"/>
              </w:rPr>
              <w:t>NOx</w:t>
            </w:r>
          </w:p>
        </w:tc>
        <w:tc>
          <w:tcPr>
            <w:tcW w:w="961" w:type="pct"/>
            <w:vMerge w:val="restart"/>
            <w:vAlign w:val="center"/>
          </w:tcPr>
          <w:p w14:paraId="291E8344">
            <w:pPr>
              <w:pStyle w:val="21"/>
              <w:bidi w:val="0"/>
              <w:rPr>
                <w:rFonts w:hint="default"/>
                <w:color w:val="auto"/>
                <w:highlight w:val="none"/>
                <w:lang w:val="en-US" w:eastAsia="zh-CN"/>
              </w:rPr>
            </w:pPr>
            <w:r>
              <w:rPr>
                <w:rFonts w:hint="eastAsia"/>
                <w:color w:val="auto"/>
                <w:highlight w:val="none"/>
                <w:lang w:val="en-US" w:eastAsia="zh-CN"/>
              </w:rPr>
              <w:t>自然扩散</w:t>
            </w:r>
          </w:p>
        </w:tc>
        <w:tc>
          <w:tcPr>
            <w:tcW w:w="961" w:type="pct"/>
            <w:vAlign w:val="center"/>
          </w:tcPr>
          <w:p w14:paraId="2150AB59">
            <w:pPr>
              <w:pStyle w:val="17"/>
              <w:bidi w:val="0"/>
              <w:ind w:firstLine="0" w:firstLineChars="0"/>
              <w:jc w:val="center"/>
              <w:rPr>
                <w:rFonts w:hint="eastAsia"/>
                <w:color w:val="auto"/>
                <w:sz w:val="21"/>
                <w:szCs w:val="21"/>
                <w:highlight w:val="none"/>
                <w:lang w:val="en-US" w:eastAsia="zh-CN"/>
              </w:rPr>
            </w:pPr>
            <w:r>
              <w:rPr>
                <w:rFonts w:hint="eastAsia"/>
                <w:color w:val="auto"/>
                <w:highlight w:val="none"/>
                <w:lang w:val="en-US" w:eastAsia="zh-CN"/>
              </w:rPr>
              <w:t>2.0122</w:t>
            </w:r>
            <w:r>
              <w:rPr>
                <w:color w:val="auto"/>
                <w:sz w:val="21"/>
                <w:szCs w:val="21"/>
                <w:highlight w:val="none"/>
              </w:rPr>
              <w:t>t/a</w:t>
            </w:r>
          </w:p>
        </w:tc>
        <w:tc>
          <w:tcPr>
            <w:tcW w:w="828" w:type="pct"/>
            <w:vMerge w:val="restart"/>
            <w:vAlign w:val="center"/>
          </w:tcPr>
          <w:p w14:paraId="30E5ED9D">
            <w:pPr>
              <w:pStyle w:val="17"/>
              <w:bidi w:val="0"/>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8" w:type="pct"/>
            <w:shd w:val="clear" w:color="auto" w:fill="auto"/>
            <w:vAlign w:val="center"/>
          </w:tcPr>
          <w:p w14:paraId="57A859A0">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2.0122</w:t>
            </w:r>
            <w:r>
              <w:rPr>
                <w:color w:val="auto"/>
                <w:sz w:val="21"/>
                <w:szCs w:val="21"/>
                <w:highlight w:val="none"/>
              </w:rPr>
              <w:t>t/a</w:t>
            </w:r>
          </w:p>
        </w:tc>
      </w:tr>
      <w:tr w14:paraId="7D5B10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continue"/>
            <w:shd w:val="clear" w:color="auto" w:fill="auto"/>
            <w:vAlign w:val="center"/>
          </w:tcPr>
          <w:p w14:paraId="4C1D3541">
            <w:pPr>
              <w:spacing w:line="360" w:lineRule="exact"/>
              <w:ind w:firstLine="0" w:firstLineChars="0"/>
              <w:jc w:val="center"/>
              <w:rPr>
                <w:rFonts w:hint="eastAsia"/>
                <w:color w:val="auto"/>
                <w:sz w:val="21"/>
                <w:szCs w:val="21"/>
                <w:highlight w:val="none"/>
                <w:lang w:val="en-US" w:eastAsia="zh-CN"/>
              </w:rPr>
            </w:pPr>
          </w:p>
        </w:tc>
        <w:tc>
          <w:tcPr>
            <w:tcW w:w="903" w:type="pct"/>
            <w:shd w:val="clear" w:color="auto" w:fill="auto"/>
            <w:vAlign w:val="center"/>
          </w:tcPr>
          <w:p w14:paraId="210EF63C">
            <w:pPr>
              <w:pStyle w:val="17"/>
              <w:bidi w:val="0"/>
              <w:ind w:firstLine="0" w:firstLineChars="0"/>
              <w:jc w:val="center"/>
              <w:rPr>
                <w:rFonts w:hint="eastAsia"/>
                <w:color w:val="auto"/>
                <w:sz w:val="21"/>
                <w:szCs w:val="21"/>
                <w:highlight w:val="none"/>
                <w:lang w:val="en-US" w:eastAsia="zh-CN"/>
              </w:rPr>
            </w:pPr>
            <w:r>
              <w:rPr>
                <w:rFonts w:hint="eastAsia"/>
                <w:color w:val="auto"/>
                <w:highlight w:val="none"/>
                <w:lang w:val="en-US" w:eastAsia="zh-CN"/>
              </w:rPr>
              <w:t>烟尘</w:t>
            </w:r>
          </w:p>
        </w:tc>
        <w:tc>
          <w:tcPr>
            <w:tcW w:w="961" w:type="pct"/>
            <w:vMerge w:val="continue"/>
            <w:vAlign w:val="center"/>
          </w:tcPr>
          <w:p w14:paraId="592226A9">
            <w:pPr>
              <w:pStyle w:val="21"/>
              <w:bidi w:val="0"/>
              <w:rPr>
                <w:rFonts w:hint="eastAsia"/>
                <w:color w:val="auto"/>
                <w:highlight w:val="none"/>
                <w:lang w:val="en-US" w:eastAsia="zh-CN"/>
              </w:rPr>
            </w:pPr>
          </w:p>
        </w:tc>
        <w:tc>
          <w:tcPr>
            <w:tcW w:w="961" w:type="pct"/>
            <w:vAlign w:val="center"/>
          </w:tcPr>
          <w:p w14:paraId="3481B97F">
            <w:pPr>
              <w:pStyle w:val="17"/>
              <w:bidi w:val="0"/>
              <w:ind w:firstLine="0" w:firstLineChars="0"/>
              <w:jc w:val="center"/>
              <w:rPr>
                <w:rFonts w:hint="eastAsia"/>
                <w:color w:val="auto"/>
                <w:sz w:val="21"/>
                <w:szCs w:val="21"/>
                <w:highlight w:val="none"/>
                <w:lang w:val="en-US" w:eastAsia="zh-CN"/>
              </w:rPr>
            </w:pPr>
            <w:r>
              <w:rPr>
                <w:rFonts w:hint="eastAsia"/>
                <w:color w:val="auto"/>
                <w:highlight w:val="none"/>
                <w:lang w:val="en-US" w:eastAsia="zh-CN"/>
              </w:rPr>
              <w:t>0.5612</w:t>
            </w:r>
            <w:r>
              <w:rPr>
                <w:color w:val="auto"/>
                <w:sz w:val="21"/>
                <w:szCs w:val="21"/>
                <w:highlight w:val="none"/>
              </w:rPr>
              <w:t>t/a</w:t>
            </w:r>
          </w:p>
        </w:tc>
        <w:tc>
          <w:tcPr>
            <w:tcW w:w="828" w:type="pct"/>
            <w:vMerge w:val="continue"/>
            <w:vAlign w:val="center"/>
          </w:tcPr>
          <w:p w14:paraId="7388B2F2">
            <w:pPr>
              <w:pStyle w:val="17"/>
              <w:bidi w:val="0"/>
              <w:ind w:firstLine="0" w:firstLineChars="0"/>
              <w:jc w:val="center"/>
              <w:rPr>
                <w:rFonts w:hint="eastAsia"/>
                <w:color w:val="auto"/>
                <w:sz w:val="21"/>
                <w:szCs w:val="21"/>
                <w:highlight w:val="none"/>
                <w:lang w:val="en-US" w:eastAsia="zh-CN"/>
              </w:rPr>
            </w:pPr>
          </w:p>
        </w:tc>
        <w:tc>
          <w:tcPr>
            <w:tcW w:w="828" w:type="pct"/>
            <w:shd w:val="clear" w:color="auto" w:fill="auto"/>
            <w:vAlign w:val="center"/>
          </w:tcPr>
          <w:p w14:paraId="10D7B609">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0.5612</w:t>
            </w:r>
            <w:r>
              <w:rPr>
                <w:color w:val="auto"/>
                <w:sz w:val="21"/>
                <w:szCs w:val="21"/>
                <w:highlight w:val="none"/>
              </w:rPr>
              <w:t>t/a</w:t>
            </w:r>
          </w:p>
        </w:tc>
      </w:tr>
      <w:tr w14:paraId="1A4A97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continue"/>
            <w:shd w:val="clear" w:color="auto" w:fill="auto"/>
            <w:vAlign w:val="center"/>
          </w:tcPr>
          <w:p w14:paraId="03375764">
            <w:pPr>
              <w:spacing w:line="360" w:lineRule="exact"/>
              <w:ind w:firstLine="0" w:firstLineChars="0"/>
              <w:jc w:val="center"/>
              <w:rPr>
                <w:rFonts w:hint="eastAsia"/>
                <w:color w:val="auto"/>
                <w:sz w:val="21"/>
                <w:szCs w:val="21"/>
                <w:highlight w:val="none"/>
                <w:lang w:val="en-US" w:eastAsia="zh-CN"/>
              </w:rPr>
            </w:pPr>
          </w:p>
        </w:tc>
        <w:tc>
          <w:tcPr>
            <w:tcW w:w="903" w:type="pct"/>
            <w:shd w:val="clear" w:color="auto" w:fill="auto"/>
            <w:vAlign w:val="center"/>
          </w:tcPr>
          <w:p w14:paraId="2A0AA753">
            <w:pPr>
              <w:pStyle w:val="17"/>
              <w:bidi w:val="0"/>
              <w:ind w:firstLine="0" w:firstLineChars="0"/>
              <w:jc w:val="center"/>
              <w:rPr>
                <w:rFonts w:hint="eastAsia"/>
                <w:color w:val="auto"/>
                <w:sz w:val="21"/>
                <w:szCs w:val="21"/>
                <w:highlight w:val="none"/>
                <w:lang w:val="en-US" w:eastAsia="zh-CN"/>
              </w:rPr>
            </w:pPr>
            <w:r>
              <w:rPr>
                <w:rFonts w:hint="default"/>
                <w:color w:val="auto"/>
                <w:highlight w:val="none"/>
                <w:lang w:val="en-US" w:eastAsia="zh-CN"/>
              </w:rPr>
              <w:t>SO</w:t>
            </w:r>
            <w:r>
              <w:rPr>
                <w:rFonts w:hint="default"/>
                <w:color w:val="auto"/>
                <w:highlight w:val="none"/>
                <w:vertAlign w:val="subscript"/>
                <w:lang w:val="en-US" w:eastAsia="zh-CN"/>
              </w:rPr>
              <w:t>2</w:t>
            </w:r>
          </w:p>
        </w:tc>
        <w:tc>
          <w:tcPr>
            <w:tcW w:w="961" w:type="pct"/>
            <w:vMerge w:val="continue"/>
            <w:vAlign w:val="center"/>
          </w:tcPr>
          <w:p w14:paraId="089EACC5">
            <w:pPr>
              <w:pStyle w:val="21"/>
              <w:bidi w:val="0"/>
              <w:rPr>
                <w:rFonts w:hint="default"/>
                <w:color w:val="auto"/>
                <w:highlight w:val="none"/>
                <w:lang w:val="en-US" w:eastAsia="zh-CN"/>
              </w:rPr>
            </w:pPr>
          </w:p>
        </w:tc>
        <w:tc>
          <w:tcPr>
            <w:tcW w:w="961" w:type="pct"/>
            <w:vAlign w:val="center"/>
          </w:tcPr>
          <w:p w14:paraId="5D584FBF">
            <w:pPr>
              <w:pStyle w:val="17"/>
              <w:bidi w:val="0"/>
              <w:ind w:firstLine="0" w:firstLineChars="0"/>
              <w:jc w:val="center"/>
              <w:rPr>
                <w:rFonts w:hint="eastAsia"/>
                <w:color w:val="auto"/>
                <w:sz w:val="21"/>
                <w:szCs w:val="21"/>
                <w:highlight w:val="none"/>
                <w:lang w:val="en-US" w:eastAsia="zh-CN"/>
              </w:rPr>
            </w:pPr>
            <w:r>
              <w:rPr>
                <w:rFonts w:hint="eastAsia"/>
                <w:color w:val="auto"/>
                <w:highlight w:val="none"/>
                <w:lang w:val="en-US" w:eastAsia="zh-CN"/>
              </w:rPr>
              <w:t>3.144</w:t>
            </w:r>
            <w:r>
              <w:rPr>
                <w:color w:val="auto"/>
                <w:sz w:val="21"/>
                <w:szCs w:val="21"/>
                <w:highlight w:val="none"/>
              </w:rPr>
              <w:t>t/a</w:t>
            </w:r>
          </w:p>
        </w:tc>
        <w:tc>
          <w:tcPr>
            <w:tcW w:w="828" w:type="pct"/>
            <w:vMerge w:val="continue"/>
            <w:vAlign w:val="center"/>
          </w:tcPr>
          <w:p w14:paraId="7F1ADEF1">
            <w:pPr>
              <w:pStyle w:val="17"/>
              <w:bidi w:val="0"/>
              <w:ind w:firstLine="0" w:firstLineChars="0"/>
              <w:jc w:val="center"/>
              <w:rPr>
                <w:rFonts w:hint="eastAsia"/>
                <w:color w:val="auto"/>
                <w:sz w:val="21"/>
                <w:szCs w:val="21"/>
                <w:highlight w:val="none"/>
                <w:lang w:val="en-US" w:eastAsia="zh-CN"/>
              </w:rPr>
            </w:pPr>
          </w:p>
        </w:tc>
        <w:tc>
          <w:tcPr>
            <w:tcW w:w="828" w:type="pct"/>
            <w:shd w:val="clear" w:color="auto" w:fill="auto"/>
            <w:vAlign w:val="center"/>
          </w:tcPr>
          <w:p w14:paraId="2D23CE4A">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3.144</w:t>
            </w:r>
            <w:r>
              <w:rPr>
                <w:color w:val="auto"/>
                <w:sz w:val="21"/>
                <w:szCs w:val="21"/>
                <w:highlight w:val="none"/>
              </w:rPr>
              <w:t>t/a</w:t>
            </w:r>
          </w:p>
        </w:tc>
      </w:tr>
      <w:tr w14:paraId="4185BF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shd w:val="clear" w:color="auto" w:fill="auto"/>
            <w:vAlign w:val="center"/>
          </w:tcPr>
          <w:p w14:paraId="6A9548C3">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柴油储罐损失</w:t>
            </w:r>
          </w:p>
        </w:tc>
        <w:tc>
          <w:tcPr>
            <w:tcW w:w="903" w:type="pct"/>
            <w:shd w:val="clear" w:color="auto" w:fill="auto"/>
            <w:vAlign w:val="center"/>
          </w:tcPr>
          <w:p w14:paraId="4B45998C">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非甲烷总烃</w:t>
            </w:r>
          </w:p>
        </w:tc>
        <w:tc>
          <w:tcPr>
            <w:tcW w:w="961" w:type="pct"/>
            <w:vAlign w:val="center"/>
          </w:tcPr>
          <w:p w14:paraId="5050741F">
            <w:pPr>
              <w:pStyle w:val="21"/>
              <w:bidi w:val="0"/>
              <w:rPr>
                <w:rFonts w:hint="default"/>
                <w:color w:val="auto"/>
                <w:highlight w:val="none"/>
                <w:lang w:val="en-US" w:eastAsia="zh-CN"/>
              </w:rPr>
            </w:pPr>
            <w:r>
              <w:rPr>
                <w:rFonts w:hint="eastAsia"/>
                <w:color w:val="auto"/>
                <w:highlight w:val="none"/>
                <w:lang w:val="en-US" w:eastAsia="zh-CN"/>
              </w:rPr>
              <w:t>/</w:t>
            </w:r>
          </w:p>
        </w:tc>
        <w:tc>
          <w:tcPr>
            <w:tcW w:w="961" w:type="pct"/>
            <w:vAlign w:val="center"/>
          </w:tcPr>
          <w:p w14:paraId="768455D7">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0.627</w:t>
            </w:r>
            <w:r>
              <w:rPr>
                <w:color w:val="auto"/>
                <w:sz w:val="21"/>
                <w:szCs w:val="21"/>
                <w:highlight w:val="none"/>
              </w:rPr>
              <w:t>t/a</w:t>
            </w:r>
          </w:p>
        </w:tc>
        <w:tc>
          <w:tcPr>
            <w:tcW w:w="828" w:type="pct"/>
            <w:vAlign w:val="center"/>
          </w:tcPr>
          <w:p w14:paraId="0FD68BE7">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828" w:type="pct"/>
            <w:shd w:val="clear" w:color="auto" w:fill="auto"/>
            <w:vAlign w:val="center"/>
          </w:tcPr>
          <w:p w14:paraId="2F134A12">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0.627</w:t>
            </w:r>
            <w:r>
              <w:rPr>
                <w:color w:val="auto"/>
                <w:sz w:val="21"/>
                <w:szCs w:val="21"/>
                <w:highlight w:val="none"/>
              </w:rPr>
              <w:t>t/a</w:t>
            </w:r>
          </w:p>
        </w:tc>
      </w:tr>
      <w:tr w14:paraId="017803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restart"/>
            <w:vAlign w:val="center"/>
          </w:tcPr>
          <w:p w14:paraId="548C09C9">
            <w:pPr>
              <w:spacing w:line="360" w:lineRule="exact"/>
              <w:ind w:firstLine="0" w:firstLineChars="0"/>
              <w:jc w:val="center"/>
              <w:rPr>
                <w:rFonts w:hint="eastAsia" w:eastAsia="宋体"/>
                <w:color w:val="auto"/>
                <w:sz w:val="21"/>
                <w:szCs w:val="21"/>
                <w:highlight w:val="none"/>
                <w:lang w:eastAsia="zh-CN"/>
              </w:rPr>
            </w:pPr>
            <w:r>
              <w:rPr>
                <w:rFonts w:hint="eastAsia"/>
                <w:color w:val="auto"/>
                <w:sz w:val="21"/>
                <w:szCs w:val="21"/>
                <w:highlight w:val="none"/>
                <w:lang w:val="en-US" w:eastAsia="zh-CN"/>
              </w:rPr>
              <w:t>粗矿仓</w:t>
            </w:r>
          </w:p>
        </w:tc>
        <w:tc>
          <w:tcPr>
            <w:tcW w:w="903" w:type="pct"/>
            <w:vAlign w:val="center"/>
          </w:tcPr>
          <w:p w14:paraId="1BA4DD4C">
            <w:pPr>
              <w:spacing w:line="360" w:lineRule="exact"/>
              <w:ind w:firstLine="0" w:firstLineChars="0"/>
              <w:jc w:val="center"/>
              <w:rPr>
                <w:color w:val="auto"/>
                <w:sz w:val="21"/>
                <w:szCs w:val="21"/>
                <w:highlight w:val="none"/>
              </w:rPr>
            </w:pPr>
            <w:r>
              <w:rPr>
                <w:rFonts w:hint="eastAsia"/>
                <w:color w:val="auto"/>
                <w:sz w:val="21"/>
                <w:szCs w:val="21"/>
                <w:highlight w:val="none"/>
              </w:rPr>
              <w:t>颗粒物</w:t>
            </w:r>
          </w:p>
        </w:tc>
        <w:tc>
          <w:tcPr>
            <w:tcW w:w="961" w:type="pct"/>
            <w:vMerge w:val="restart"/>
            <w:vAlign w:val="center"/>
          </w:tcPr>
          <w:p w14:paraId="20C0F86F">
            <w:pPr>
              <w:pStyle w:val="21"/>
              <w:bidi w:val="0"/>
              <w:rPr>
                <w:rFonts w:hint="default"/>
                <w:color w:val="auto"/>
                <w:highlight w:val="none"/>
                <w:lang w:val="en-US" w:eastAsia="zh-CN"/>
              </w:rPr>
            </w:pPr>
            <w:r>
              <w:rPr>
                <w:rFonts w:hint="eastAsia"/>
                <w:color w:val="auto"/>
                <w:highlight w:val="none"/>
                <w:lang w:val="en-US" w:eastAsia="zh-CN"/>
              </w:rPr>
              <w:t>密闭厂房</w:t>
            </w:r>
          </w:p>
        </w:tc>
        <w:tc>
          <w:tcPr>
            <w:tcW w:w="961" w:type="pct"/>
            <w:vAlign w:val="center"/>
          </w:tcPr>
          <w:p w14:paraId="659BD50D">
            <w:pPr>
              <w:spacing w:line="360" w:lineRule="exact"/>
              <w:ind w:firstLine="0" w:firstLineChars="0"/>
              <w:jc w:val="center"/>
              <w:rPr>
                <w:color w:val="auto"/>
                <w:sz w:val="21"/>
                <w:szCs w:val="21"/>
                <w:highlight w:val="none"/>
              </w:rPr>
            </w:pPr>
            <w:r>
              <w:rPr>
                <w:rFonts w:hint="eastAsia"/>
                <w:color w:val="auto"/>
                <w:sz w:val="21"/>
                <w:szCs w:val="21"/>
                <w:highlight w:val="none"/>
                <w:lang w:val="en-US" w:eastAsia="zh-CN"/>
              </w:rPr>
              <w:t>6</w:t>
            </w:r>
            <w:r>
              <w:rPr>
                <w:color w:val="auto"/>
                <w:sz w:val="21"/>
                <w:szCs w:val="21"/>
                <w:highlight w:val="none"/>
              </w:rPr>
              <w:t>t/a</w:t>
            </w:r>
          </w:p>
        </w:tc>
        <w:tc>
          <w:tcPr>
            <w:tcW w:w="828" w:type="pct"/>
            <w:vAlign w:val="center"/>
          </w:tcPr>
          <w:p w14:paraId="5958D6BC">
            <w:pPr>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99%</w:t>
            </w:r>
          </w:p>
        </w:tc>
        <w:tc>
          <w:tcPr>
            <w:tcW w:w="828" w:type="pct"/>
            <w:shd w:val="clear" w:color="auto" w:fill="auto"/>
            <w:vAlign w:val="center"/>
          </w:tcPr>
          <w:p w14:paraId="1695483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0.06</w:t>
            </w:r>
            <w:r>
              <w:rPr>
                <w:color w:val="auto"/>
                <w:sz w:val="21"/>
                <w:szCs w:val="21"/>
                <w:highlight w:val="none"/>
              </w:rPr>
              <w:t>t/a</w:t>
            </w:r>
          </w:p>
        </w:tc>
      </w:tr>
      <w:tr w14:paraId="0A893A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continue"/>
            <w:vAlign w:val="center"/>
          </w:tcPr>
          <w:p w14:paraId="6FA3412B">
            <w:pPr>
              <w:spacing w:line="360" w:lineRule="exact"/>
              <w:ind w:firstLine="0" w:firstLineChars="0"/>
              <w:jc w:val="center"/>
              <w:rPr>
                <w:rFonts w:hint="eastAsia"/>
                <w:color w:val="auto"/>
                <w:sz w:val="21"/>
                <w:szCs w:val="21"/>
                <w:highlight w:val="none"/>
                <w:lang w:eastAsia="zh-CN"/>
              </w:rPr>
            </w:pPr>
          </w:p>
        </w:tc>
        <w:tc>
          <w:tcPr>
            <w:tcW w:w="903" w:type="pct"/>
            <w:vAlign w:val="center"/>
          </w:tcPr>
          <w:p w14:paraId="2321E365">
            <w:pPr>
              <w:spacing w:line="360" w:lineRule="exact"/>
              <w:ind w:firstLine="0" w:firstLineChars="0"/>
              <w:jc w:val="center"/>
              <w:rPr>
                <w:rFonts w:hint="eastAsia" w:eastAsia="宋体"/>
                <w:color w:val="auto"/>
                <w:sz w:val="21"/>
                <w:szCs w:val="21"/>
                <w:highlight w:val="none"/>
                <w:lang w:eastAsia="zh-CN"/>
              </w:rPr>
            </w:pPr>
            <w:r>
              <w:rPr>
                <w:rFonts w:hint="eastAsia"/>
                <w:color w:val="auto"/>
                <w:sz w:val="21"/>
                <w:szCs w:val="21"/>
                <w:highlight w:val="none"/>
                <w:lang w:eastAsia="zh-CN"/>
              </w:rPr>
              <w:t>氟化物</w:t>
            </w:r>
          </w:p>
        </w:tc>
        <w:tc>
          <w:tcPr>
            <w:tcW w:w="961" w:type="pct"/>
            <w:vMerge w:val="continue"/>
            <w:vAlign w:val="center"/>
          </w:tcPr>
          <w:p w14:paraId="2990099A">
            <w:pPr>
              <w:pStyle w:val="21"/>
              <w:bidi w:val="0"/>
              <w:rPr>
                <w:rFonts w:hint="eastAsia"/>
                <w:color w:val="auto"/>
                <w:highlight w:val="none"/>
                <w:lang w:eastAsia="zh-CN"/>
              </w:rPr>
            </w:pPr>
          </w:p>
        </w:tc>
        <w:tc>
          <w:tcPr>
            <w:tcW w:w="961" w:type="pct"/>
            <w:vAlign w:val="center"/>
          </w:tcPr>
          <w:p w14:paraId="29BAD9C3">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0.9468</w:t>
            </w:r>
            <w:r>
              <w:rPr>
                <w:color w:val="auto"/>
                <w:sz w:val="21"/>
                <w:szCs w:val="21"/>
                <w:highlight w:val="none"/>
              </w:rPr>
              <w:t>t/a</w:t>
            </w:r>
          </w:p>
        </w:tc>
        <w:tc>
          <w:tcPr>
            <w:tcW w:w="828" w:type="pct"/>
            <w:vAlign w:val="center"/>
          </w:tcPr>
          <w:p w14:paraId="5B11FD9D">
            <w:pPr>
              <w:pStyle w:val="21"/>
              <w:bidi w:val="0"/>
              <w:rPr>
                <w:rFonts w:hint="eastAsia"/>
                <w:color w:val="auto"/>
                <w:highlight w:val="none"/>
                <w:lang w:val="en-US" w:eastAsia="zh-CN"/>
              </w:rPr>
            </w:pPr>
            <w:r>
              <w:rPr>
                <w:rFonts w:hint="eastAsia"/>
                <w:color w:val="auto"/>
                <w:highlight w:val="none"/>
                <w:lang w:val="en-US" w:eastAsia="zh-CN"/>
              </w:rPr>
              <w:t>99%</w:t>
            </w:r>
          </w:p>
        </w:tc>
        <w:tc>
          <w:tcPr>
            <w:tcW w:w="828" w:type="pct"/>
            <w:shd w:val="clear" w:color="auto" w:fill="auto"/>
            <w:vAlign w:val="center"/>
          </w:tcPr>
          <w:p w14:paraId="2B6DB4FA">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0.0095</w:t>
            </w:r>
            <w:r>
              <w:rPr>
                <w:color w:val="auto"/>
                <w:sz w:val="21"/>
                <w:szCs w:val="21"/>
                <w:highlight w:val="none"/>
              </w:rPr>
              <w:t>t/a</w:t>
            </w:r>
          </w:p>
        </w:tc>
      </w:tr>
      <w:tr w14:paraId="6C7620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restart"/>
            <w:vAlign w:val="center"/>
          </w:tcPr>
          <w:p w14:paraId="61827DB0">
            <w:pPr>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中细碎车间</w:t>
            </w:r>
          </w:p>
        </w:tc>
        <w:tc>
          <w:tcPr>
            <w:tcW w:w="903" w:type="pct"/>
            <w:vAlign w:val="center"/>
          </w:tcPr>
          <w:p w14:paraId="58947326">
            <w:pPr>
              <w:spacing w:line="360" w:lineRule="exact"/>
              <w:ind w:firstLine="0" w:firstLineChars="0"/>
              <w:jc w:val="center"/>
              <w:rPr>
                <w:rFonts w:hint="eastAsia"/>
                <w:color w:val="auto"/>
                <w:sz w:val="21"/>
                <w:szCs w:val="21"/>
                <w:highlight w:val="none"/>
              </w:rPr>
            </w:pPr>
            <w:r>
              <w:rPr>
                <w:rFonts w:hint="eastAsia"/>
                <w:color w:val="auto"/>
                <w:sz w:val="21"/>
                <w:szCs w:val="21"/>
                <w:highlight w:val="none"/>
              </w:rPr>
              <w:t>颗粒物</w:t>
            </w:r>
          </w:p>
        </w:tc>
        <w:tc>
          <w:tcPr>
            <w:tcW w:w="961" w:type="pct"/>
            <w:vMerge w:val="restart"/>
            <w:vAlign w:val="center"/>
          </w:tcPr>
          <w:p w14:paraId="6A988987">
            <w:pPr>
              <w:pStyle w:val="21"/>
              <w:bidi w:val="0"/>
              <w:rPr>
                <w:rFonts w:hint="default"/>
                <w:color w:val="auto"/>
                <w:highlight w:val="none"/>
                <w:lang w:val="en-US" w:eastAsia="zh-CN"/>
              </w:rPr>
            </w:pPr>
            <w:r>
              <w:rPr>
                <w:rFonts w:hint="eastAsia"/>
                <w:color w:val="auto"/>
                <w:highlight w:val="none"/>
                <w:lang w:val="en-US" w:eastAsia="zh-CN"/>
              </w:rPr>
              <w:t>密闭厂房</w:t>
            </w:r>
          </w:p>
        </w:tc>
        <w:tc>
          <w:tcPr>
            <w:tcW w:w="961" w:type="pct"/>
            <w:vAlign w:val="center"/>
          </w:tcPr>
          <w:p w14:paraId="141E1AD9">
            <w:pPr>
              <w:spacing w:line="360" w:lineRule="exact"/>
              <w:ind w:firstLine="0" w:firstLineChars="0"/>
              <w:jc w:val="center"/>
              <w:rPr>
                <w:rFonts w:hint="eastAsia"/>
                <w:color w:val="auto"/>
                <w:sz w:val="21"/>
                <w:szCs w:val="21"/>
                <w:highlight w:val="none"/>
              </w:rPr>
            </w:pPr>
            <w:r>
              <w:rPr>
                <w:rFonts w:hint="eastAsia"/>
                <w:color w:val="auto"/>
                <w:sz w:val="21"/>
                <w:szCs w:val="21"/>
                <w:highlight w:val="none"/>
                <w:lang w:val="en-US" w:eastAsia="zh-CN"/>
              </w:rPr>
              <w:t>60</w:t>
            </w:r>
            <w:r>
              <w:rPr>
                <w:color w:val="auto"/>
                <w:sz w:val="21"/>
                <w:szCs w:val="21"/>
                <w:highlight w:val="none"/>
              </w:rPr>
              <w:t>t/a</w:t>
            </w:r>
          </w:p>
        </w:tc>
        <w:tc>
          <w:tcPr>
            <w:tcW w:w="828" w:type="pct"/>
            <w:vAlign w:val="center"/>
          </w:tcPr>
          <w:p w14:paraId="0A75566F">
            <w:pPr>
              <w:pStyle w:val="21"/>
              <w:bidi w:val="0"/>
              <w:rPr>
                <w:rFonts w:hint="eastAsia"/>
                <w:color w:val="auto"/>
                <w:highlight w:val="none"/>
              </w:rPr>
            </w:pPr>
            <w:r>
              <w:rPr>
                <w:rFonts w:hint="eastAsia"/>
                <w:color w:val="auto"/>
                <w:highlight w:val="none"/>
                <w:lang w:val="en-US" w:eastAsia="zh-CN"/>
              </w:rPr>
              <w:t>99%</w:t>
            </w:r>
          </w:p>
        </w:tc>
        <w:tc>
          <w:tcPr>
            <w:tcW w:w="828" w:type="pct"/>
            <w:shd w:val="clear" w:color="auto" w:fill="auto"/>
            <w:vAlign w:val="center"/>
          </w:tcPr>
          <w:p w14:paraId="77713BB7">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0.6</w:t>
            </w:r>
            <w:r>
              <w:rPr>
                <w:color w:val="auto"/>
                <w:sz w:val="21"/>
                <w:szCs w:val="21"/>
                <w:highlight w:val="none"/>
              </w:rPr>
              <w:t>t/a</w:t>
            </w:r>
          </w:p>
        </w:tc>
      </w:tr>
      <w:tr w14:paraId="487129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continue"/>
            <w:vAlign w:val="center"/>
          </w:tcPr>
          <w:p w14:paraId="3F0B28CD">
            <w:pPr>
              <w:spacing w:line="360" w:lineRule="exact"/>
              <w:ind w:firstLine="0" w:firstLineChars="0"/>
              <w:jc w:val="center"/>
              <w:rPr>
                <w:rFonts w:hint="eastAsia"/>
                <w:color w:val="auto"/>
                <w:sz w:val="21"/>
                <w:szCs w:val="21"/>
                <w:highlight w:val="none"/>
              </w:rPr>
            </w:pPr>
          </w:p>
        </w:tc>
        <w:tc>
          <w:tcPr>
            <w:tcW w:w="903" w:type="pct"/>
            <w:vAlign w:val="center"/>
          </w:tcPr>
          <w:p w14:paraId="117929AE">
            <w:pPr>
              <w:spacing w:line="360" w:lineRule="exact"/>
              <w:ind w:firstLine="0" w:firstLineChars="0"/>
              <w:jc w:val="center"/>
              <w:rPr>
                <w:rFonts w:hint="eastAsia" w:eastAsia="宋体"/>
                <w:color w:val="auto"/>
                <w:sz w:val="21"/>
                <w:szCs w:val="21"/>
                <w:highlight w:val="none"/>
                <w:lang w:eastAsia="zh-CN"/>
              </w:rPr>
            </w:pPr>
            <w:r>
              <w:rPr>
                <w:rFonts w:hint="eastAsia"/>
                <w:color w:val="auto"/>
                <w:sz w:val="21"/>
                <w:szCs w:val="21"/>
                <w:highlight w:val="none"/>
                <w:lang w:eastAsia="zh-CN"/>
              </w:rPr>
              <w:t>氟化物</w:t>
            </w:r>
          </w:p>
        </w:tc>
        <w:tc>
          <w:tcPr>
            <w:tcW w:w="961" w:type="pct"/>
            <w:vMerge w:val="continue"/>
            <w:vAlign w:val="center"/>
          </w:tcPr>
          <w:p w14:paraId="50496CB6">
            <w:pPr>
              <w:pStyle w:val="21"/>
              <w:bidi w:val="0"/>
              <w:rPr>
                <w:rFonts w:hint="eastAsia"/>
                <w:color w:val="auto"/>
                <w:highlight w:val="none"/>
                <w:lang w:eastAsia="zh-CN"/>
              </w:rPr>
            </w:pPr>
          </w:p>
        </w:tc>
        <w:tc>
          <w:tcPr>
            <w:tcW w:w="961" w:type="pct"/>
            <w:vAlign w:val="center"/>
          </w:tcPr>
          <w:p w14:paraId="0647A30A">
            <w:pPr>
              <w:spacing w:line="360" w:lineRule="exact"/>
              <w:ind w:firstLine="0" w:firstLineChars="0"/>
              <w:jc w:val="center"/>
              <w:rPr>
                <w:rFonts w:hint="eastAsia"/>
                <w:color w:val="auto"/>
                <w:sz w:val="21"/>
                <w:szCs w:val="21"/>
                <w:highlight w:val="none"/>
                <w:lang w:val="en-US" w:eastAsia="zh-CN"/>
              </w:rPr>
            </w:pPr>
            <w:r>
              <w:rPr>
                <w:rFonts w:hint="eastAsia"/>
                <w:color w:val="auto"/>
                <w:sz w:val="21"/>
                <w:szCs w:val="21"/>
                <w:highlight w:val="none"/>
                <w:lang w:val="en-US" w:eastAsia="zh-CN"/>
              </w:rPr>
              <w:t>9.4680</w:t>
            </w:r>
            <w:r>
              <w:rPr>
                <w:color w:val="auto"/>
                <w:sz w:val="21"/>
                <w:szCs w:val="21"/>
                <w:highlight w:val="none"/>
              </w:rPr>
              <w:t>t/a</w:t>
            </w:r>
          </w:p>
        </w:tc>
        <w:tc>
          <w:tcPr>
            <w:tcW w:w="828" w:type="pct"/>
            <w:vAlign w:val="center"/>
          </w:tcPr>
          <w:p w14:paraId="06ACC827">
            <w:pPr>
              <w:pStyle w:val="21"/>
              <w:bidi w:val="0"/>
              <w:rPr>
                <w:rFonts w:hint="eastAsia"/>
                <w:color w:val="auto"/>
                <w:highlight w:val="none"/>
                <w:lang w:val="en-US" w:eastAsia="zh-CN"/>
              </w:rPr>
            </w:pPr>
            <w:r>
              <w:rPr>
                <w:rFonts w:hint="eastAsia"/>
                <w:color w:val="auto"/>
                <w:highlight w:val="none"/>
                <w:lang w:val="en-US" w:eastAsia="zh-CN"/>
              </w:rPr>
              <w:t>99%</w:t>
            </w:r>
          </w:p>
        </w:tc>
        <w:tc>
          <w:tcPr>
            <w:tcW w:w="828" w:type="pct"/>
            <w:shd w:val="clear" w:color="auto" w:fill="auto"/>
            <w:vAlign w:val="center"/>
          </w:tcPr>
          <w:p w14:paraId="1C7DAF8C">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0.0947</w:t>
            </w:r>
            <w:r>
              <w:rPr>
                <w:color w:val="auto"/>
                <w:sz w:val="21"/>
                <w:szCs w:val="21"/>
                <w:highlight w:val="none"/>
              </w:rPr>
              <w:t>t/a</w:t>
            </w:r>
          </w:p>
        </w:tc>
      </w:tr>
      <w:tr w14:paraId="76EF29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restart"/>
            <w:vAlign w:val="center"/>
          </w:tcPr>
          <w:p w14:paraId="3D735DFF">
            <w:pPr>
              <w:spacing w:line="360" w:lineRule="exact"/>
              <w:ind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筛分车间</w:t>
            </w:r>
          </w:p>
        </w:tc>
        <w:tc>
          <w:tcPr>
            <w:tcW w:w="903" w:type="pct"/>
            <w:vAlign w:val="center"/>
          </w:tcPr>
          <w:p w14:paraId="0D8749C5">
            <w:pPr>
              <w:spacing w:line="360" w:lineRule="exact"/>
              <w:ind w:firstLine="0" w:firstLineChars="0"/>
              <w:jc w:val="center"/>
              <w:rPr>
                <w:color w:val="auto"/>
                <w:sz w:val="21"/>
                <w:szCs w:val="21"/>
                <w:highlight w:val="none"/>
              </w:rPr>
            </w:pPr>
            <w:r>
              <w:rPr>
                <w:rFonts w:hint="eastAsia"/>
                <w:color w:val="auto"/>
                <w:sz w:val="21"/>
                <w:szCs w:val="21"/>
                <w:highlight w:val="none"/>
              </w:rPr>
              <w:t>颗粒物</w:t>
            </w:r>
          </w:p>
        </w:tc>
        <w:tc>
          <w:tcPr>
            <w:tcW w:w="961" w:type="pct"/>
            <w:vMerge w:val="restart"/>
            <w:vAlign w:val="center"/>
          </w:tcPr>
          <w:p w14:paraId="670F0F21">
            <w:pPr>
              <w:pStyle w:val="21"/>
              <w:bidi w:val="0"/>
              <w:rPr>
                <w:rFonts w:hint="eastAsia"/>
                <w:color w:val="auto"/>
                <w:highlight w:val="none"/>
              </w:rPr>
            </w:pPr>
            <w:r>
              <w:rPr>
                <w:rFonts w:hint="eastAsia"/>
                <w:color w:val="auto"/>
                <w:highlight w:val="none"/>
                <w:lang w:val="en-US" w:eastAsia="zh-CN"/>
              </w:rPr>
              <w:t>密闭厂房</w:t>
            </w:r>
          </w:p>
        </w:tc>
        <w:tc>
          <w:tcPr>
            <w:tcW w:w="961" w:type="pct"/>
            <w:vAlign w:val="center"/>
          </w:tcPr>
          <w:p w14:paraId="03B37825">
            <w:pPr>
              <w:spacing w:line="360" w:lineRule="exact"/>
              <w:ind w:firstLine="0" w:firstLineChars="0"/>
              <w:jc w:val="center"/>
              <w:rPr>
                <w:color w:val="auto"/>
                <w:sz w:val="21"/>
                <w:szCs w:val="21"/>
                <w:highlight w:val="none"/>
              </w:rPr>
            </w:pPr>
            <w:r>
              <w:rPr>
                <w:rFonts w:hint="eastAsia"/>
                <w:color w:val="auto"/>
                <w:sz w:val="21"/>
                <w:szCs w:val="21"/>
                <w:highlight w:val="none"/>
                <w:lang w:val="en-US" w:eastAsia="zh-CN"/>
              </w:rPr>
              <w:t>60</w:t>
            </w:r>
            <w:r>
              <w:rPr>
                <w:color w:val="auto"/>
                <w:sz w:val="21"/>
                <w:szCs w:val="21"/>
                <w:highlight w:val="none"/>
              </w:rPr>
              <w:t>t/a</w:t>
            </w:r>
          </w:p>
        </w:tc>
        <w:tc>
          <w:tcPr>
            <w:tcW w:w="828" w:type="pct"/>
            <w:vAlign w:val="center"/>
          </w:tcPr>
          <w:p w14:paraId="5A140BB9">
            <w:pPr>
              <w:pStyle w:val="21"/>
              <w:bidi w:val="0"/>
              <w:rPr>
                <w:color w:val="auto"/>
                <w:highlight w:val="none"/>
              </w:rPr>
            </w:pPr>
            <w:r>
              <w:rPr>
                <w:rFonts w:hint="eastAsia"/>
                <w:color w:val="auto"/>
                <w:highlight w:val="none"/>
                <w:lang w:val="en-US" w:eastAsia="zh-CN"/>
              </w:rPr>
              <w:t>99%</w:t>
            </w:r>
          </w:p>
        </w:tc>
        <w:tc>
          <w:tcPr>
            <w:tcW w:w="828" w:type="pct"/>
            <w:shd w:val="clear" w:color="auto" w:fill="auto"/>
            <w:vAlign w:val="center"/>
          </w:tcPr>
          <w:p w14:paraId="404BE0D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0.6</w:t>
            </w:r>
            <w:r>
              <w:rPr>
                <w:color w:val="auto"/>
                <w:sz w:val="21"/>
                <w:szCs w:val="21"/>
                <w:highlight w:val="none"/>
              </w:rPr>
              <w:t>t/a</w:t>
            </w:r>
          </w:p>
        </w:tc>
      </w:tr>
      <w:tr w14:paraId="6F75D8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continue"/>
            <w:vAlign w:val="center"/>
          </w:tcPr>
          <w:p w14:paraId="5258DE4D">
            <w:pPr>
              <w:spacing w:line="360" w:lineRule="exact"/>
              <w:ind w:firstLine="0" w:firstLineChars="0"/>
              <w:jc w:val="center"/>
              <w:rPr>
                <w:rFonts w:hint="eastAsia"/>
                <w:color w:val="auto"/>
                <w:sz w:val="21"/>
                <w:szCs w:val="21"/>
                <w:highlight w:val="none"/>
                <w:lang w:val="en-US" w:eastAsia="zh-CN"/>
              </w:rPr>
            </w:pPr>
          </w:p>
        </w:tc>
        <w:tc>
          <w:tcPr>
            <w:tcW w:w="903" w:type="pct"/>
            <w:vAlign w:val="center"/>
          </w:tcPr>
          <w:p w14:paraId="28770E6C">
            <w:pPr>
              <w:spacing w:line="360" w:lineRule="exact"/>
              <w:ind w:firstLine="0" w:firstLineChars="0"/>
              <w:jc w:val="center"/>
              <w:rPr>
                <w:rFonts w:hint="eastAsia"/>
                <w:color w:val="auto"/>
                <w:sz w:val="21"/>
                <w:szCs w:val="21"/>
                <w:highlight w:val="none"/>
              </w:rPr>
            </w:pPr>
            <w:r>
              <w:rPr>
                <w:rFonts w:hint="eastAsia"/>
                <w:color w:val="auto"/>
                <w:sz w:val="21"/>
                <w:szCs w:val="21"/>
                <w:highlight w:val="none"/>
                <w:lang w:eastAsia="zh-CN"/>
              </w:rPr>
              <w:t>氟化物</w:t>
            </w:r>
          </w:p>
        </w:tc>
        <w:tc>
          <w:tcPr>
            <w:tcW w:w="961" w:type="pct"/>
            <w:vMerge w:val="continue"/>
            <w:vAlign w:val="center"/>
          </w:tcPr>
          <w:p w14:paraId="5CF6C8BA">
            <w:pPr>
              <w:pStyle w:val="21"/>
              <w:bidi w:val="0"/>
              <w:rPr>
                <w:rFonts w:hint="eastAsia"/>
                <w:color w:val="auto"/>
                <w:highlight w:val="none"/>
                <w:lang w:eastAsia="zh-CN"/>
              </w:rPr>
            </w:pPr>
          </w:p>
        </w:tc>
        <w:tc>
          <w:tcPr>
            <w:tcW w:w="961" w:type="pct"/>
            <w:vAlign w:val="center"/>
          </w:tcPr>
          <w:p w14:paraId="3BC9F7BA">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9.4680</w:t>
            </w:r>
            <w:r>
              <w:rPr>
                <w:color w:val="auto"/>
                <w:sz w:val="21"/>
                <w:szCs w:val="21"/>
                <w:highlight w:val="none"/>
              </w:rPr>
              <w:t>t/a</w:t>
            </w:r>
          </w:p>
        </w:tc>
        <w:tc>
          <w:tcPr>
            <w:tcW w:w="828" w:type="pct"/>
            <w:vAlign w:val="center"/>
          </w:tcPr>
          <w:p w14:paraId="625FE5C4">
            <w:pPr>
              <w:pStyle w:val="21"/>
              <w:bidi w:val="0"/>
              <w:rPr>
                <w:rFonts w:hint="default"/>
                <w:color w:val="auto"/>
                <w:highlight w:val="none"/>
                <w:lang w:val="en-US" w:eastAsia="zh-CN"/>
              </w:rPr>
            </w:pPr>
            <w:r>
              <w:rPr>
                <w:rFonts w:hint="eastAsia"/>
                <w:color w:val="auto"/>
                <w:highlight w:val="none"/>
                <w:lang w:val="en-US" w:eastAsia="zh-CN"/>
              </w:rPr>
              <w:t>99%</w:t>
            </w:r>
          </w:p>
        </w:tc>
        <w:tc>
          <w:tcPr>
            <w:tcW w:w="828" w:type="pct"/>
            <w:shd w:val="clear" w:color="auto" w:fill="auto"/>
            <w:vAlign w:val="center"/>
          </w:tcPr>
          <w:p w14:paraId="47A05520">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0.0947</w:t>
            </w:r>
            <w:r>
              <w:rPr>
                <w:color w:val="auto"/>
                <w:sz w:val="21"/>
                <w:szCs w:val="21"/>
                <w:highlight w:val="none"/>
              </w:rPr>
              <w:t>t/a</w:t>
            </w:r>
          </w:p>
        </w:tc>
      </w:tr>
      <w:tr w14:paraId="6C87BE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restart"/>
            <w:vAlign w:val="center"/>
          </w:tcPr>
          <w:p w14:paraId="3507A9DD">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粉矿仓</w:t>
            </w:r>
          </w:p>
        </w:tc>
        <w:tc>
          <w:tcPr>
            <w:tcW w:w="903" w:type="pct"/>
            <w:vAlign w:val="center"/>
          </w:tcPr>
          <w:p w14:paraId="533DBA11">
            <w:pPr>
              <w:spacing w:line="360" w:lineRule="exact"/>
              <w:ind w:firstLine="0" w:firstLineChars="0"/>
              <w:jc w:val="center"/>
              <w:rPr>
                <w:rFonts w:hint="eastAsia"/>
                <w:color w:val="auto"/>
                <w:sz w:val="21"/>
                <w:szCs w:val="21"/>
                <w:highlight w:val="none"/>
              </w:rPr>
            </w:pPr>
            <w:r>
              <w:rPr>
                <w:rFonts w:hint="eastAsia"/>
                <w:color w:val="auto"/>
                <w:sz w:val="21"/>
                <w:szCs w:val="21"/>
                <w:highlight w:val="none"/>
              </w:rPr>
              <w:t>颗粒物</w:t>
            </w:r>
          </w:p>
        </w:tc>
        <w:tc>
          <w:tcPr>
            <w:tcW w:w="961" w:type="pct"/>
            <w:vMerge w:val="restart"/>
            <w:vAlign w:val="center"/>
          </w:tcPr>
          <w:p w14:paraId="64262DA8">
            <w:pPr>
              <w:pStyle w:val="21"/>
              <w:bidi w:val="0"/>
              <w:rPr>
                <w:rFonts w:hint="eastAsia"/>
                <w:color w:val="auto"/>
                <w:highlight w:val="none"/>
              </w:rPr>
            </w:pPr>
            <w:r>
              <w:rPr>
                <w:rFonts w:hint="eastAsia"/>
                <w:color w:val="auto"/>
                <w:highlight w:val="none"/>
                <w:lang w:val="en-US" w:eastAsia="zh-CN"/>
              </w:rPr>
              <w:t>密闭厂房</w:t>
            </w:r>
          </w:p>
        </w:tc>
        <w:tc>
          <w:tcPr>
            <w:tcW w:w="961" w:type="pct"/>
            <w:vAlign w:val="center"/>
          </w:tcPr>
          <w:p w14:paraId="38D3AF46">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6</w:t>
            </w:r>
            <w:r>
              <w:rPr>
                <w:color w:val="auto"/>
                <w:sz w:val="21"/>
                <w:szCs w:val="21"/>
                <w:highlight w:val="none"/>
              </w:rPr>
              <w:t>t/a</w:t>
            </w:r>
          </w:p>
        </w:tc>
        <w:tc>
          <w:tcPr>
            <w:tcW w:w="828" w:type="pct"/>
            <w:vAlign w:val="center"/>
          </w:tcPr>
          <w:p w14:paraId="013C9C63">
            <w:pPr>
              <w:pStyle w:val="21"/>
              <w:bidi w:val="0"/>
              <w:rPr>
                <w:rFonts w:hint="default"/>
                <w:color w:val="auto"/>
                <w:highlight w:val="none"/>
                <w:lang w:val="en-US" w:eastAsia="zh-CN"/>
              </w:rPr>
            </w:pPr>
            <w:r>
              <w:rPr>
                <w:rFonts w:hint="eastAsia"/>
                <w:color w:val="auto"/>
                <w:highlight w:val="none"/>
                <w:lang w:val="en-US" w:eastAsia="zh-CN"/>
              </w:rPr>
              <w:t>99%</w:t>
            </w:r>
          </w:p>
        </w:tc>
        <w:tc>
          <w:tcPr>
            <w:tcW w:w="828" w:type="pct"/>
            <w:shd w:val="clear" w:color="auto" w:fill="auto"/>
            <w:vAlign w:val="center"/>
          </w:tcPr>
          <w:p w14:paraId="1182EFA9">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0.06</w:t>
            </w:r>
            <w:r>
              <w:rPr>
                <w:color w:val="auto"/>
                <w:sz w:val="21"/>
                <w:szCs w:val="21"/>
                <w:highlight w:val="none"/>
              </w:rPr>
              <w:t>t/a</w:t>
            </w:r>
          </w:p>
        </w:tc>
      </w:tr>
      <w:tr w14:paraId="0340E6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Merge w:val="continue"/>
            <w:vAlign w:val="center"/>
          </w:tcPr>
          <w:p w14:paraId="2ED5C6F6">
            <w:pPr>
              <w:spacing w:line="360" w:lineRule="exact"/>
              <w:ind w:firstLine="0" w:firstLineChars="0"/>
              <w:jc w:val="center"/>
              <w:rPr>
                <w:rFonts w:hint="eastAsia"/>
                <w:color w:val="auto"/>
                <w:sz w:val="21"/>
                <w:szCs w:val="21"/>
                <w:highlight w:val="none"/>
                <w:lang w:val="en-US" w:eastAsia="zh-CN"/>
              </w:rPr>
            </w:pPr>
          </w:p>
        </w:tc>
        <w:tc>
          <w:tcPr>
            <w:tcW w:w="903" w:type="pct"/>
            <w:vAlign w:val="center"/>
          </w:tcPr>
          <w:p w14:paraId="0F2D21DC">
            <w:pPr>
              <w:spacing w:line="360" w:lineRule="exact"/>
              <w:ind w:firstLine="0" w:firstLineChars="0"/>
              <w:jc w:val="center"/>
              <w:rPr>
                <w:rFonts w:hint="eastAsia"/>
                <w:color w:val="auto"/>
                <w:sz w:val="21"/>
                <w:szCs w:val="21"/>
                <w:highlight w:val="none"/>
              </w:rPr>
            </w:pPr>
            <w:r>
              <w:rPr>
                <w:rFonts w:hint="eastAsia"/>
                <w:color w:val="auto"/>
                <w:sz w:val="21"/>
                <w:szCs w:val="21"/>
                <w:highlight w:val="none"/>
                <w:lang w:eastAsia="zh-CN"/>
              </w:rPr>
              <w:t>氟化物</w:t>
            </w:r>
          </w:p>
        </w:tc>
        <w:tc>
          <w:tcPr>
            <w:tcW w:w="961" w:type="pct"/>
            <w:vMerge w:val="continue"/>
            <w:vAlign w:val="center"/>
          </w:tcPr>
          <w:p w14:paraId="76715DA4">
            <w:pPr>
              <w:pStyle w:val="21"/>
              <w:bidi w:val="0"/>
              <w:rPr>
                <w:rFonts w:hint="eastAsia"/>
                <w:color w:val="auto"/>
                <w:highlight w:val="none"/>
                <w:lang w:eastAsia="zh-CN"/>
              </w:rPr>
            </w:pPr>
          </w:p>
        </w:tc>
        <w:tc>
          <w:tcPr>
            <w:tcW w:w="961" w:type="pct"/>
            <w:vAlign w:val="center"/>
          </w:tcPr>
          <w:p w14:paraId="12E0A9F6">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0.9468</w:t>
            </w:r>
            <w:r>
              <w:rPr>
                <w:color w:val="auto"/>
                <w:sz w:val="21"/>
                <w:szCs w:val="21"/>
                <w:highlight w:val="none"/>
              </w:rPr>
              <w:t>t/a</w:t>
            </w:r>
          </w:p>
        </w:tc>
        <w:tc>
          <w:tcPr>
            <w:tcW w:w="828" w:type="pct"/>
            <w:vAlign w:val="center"/>
          </w:tcPr>
          <w:p w14:paraId="777A1E90">
            <w:pPr>
              <w:pStyle w:val="21"/>
              <w:bidi w:val="0"/>
              <w:rPr>
                <w:rFonts w:hint="default"/>
                <w:color w:val="auto"/>
                <w:highlight w:val="none"/>
                <w:lang w:val="en-US" w:eastAsia="zh-CN"/>
              </w:rPr>
            </w:pPr>
            <w:r>
              <w:rPr>
                <w:rFonts w:hint="eastAsia"/>
                <w:color w:val="auto"/>
                <w:highlight w:val="none"/>
                <w:lang w:val="en-US" w:eastAsia="zh-CN"/>
              </w:rPr>
              <w:t>99%</w:t>
            </w:r>
          </w:p>
        </w:tc>
        <w:tc>
          <w:tcPr>
            <w:tcW w:w="828" w:type="pct"/>
            <w:shd w:val="clear" w:color="auto" w:fill="auto"/>
            <w:vAlign w:val="center"/>
          </w:tcPr>
          <w:p w14:paraId="4D6D92C6">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0.0095</w:t>
            </w:r>
            <w:r>
              <w:rPr>
                <w:color w:val="auto"/>
                <w:sz w:val="21"/>
                <w:szCs w:val="21"/>
                <w:highlight w:val="none"/>
              </w:rPr>
              <w:t>t/a</w:t>
            </w:r>
          </w:p>
        </w:tc>
      </w:tr>
      <w:tr w14:paraId="16C344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16" w:type="pct"/>
            <w:vAlign w:val="center"/>
          </w:tcPr>
          <w:p w14:paraId="15A99754">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尾矿库</w:t>
            </w:r>
          </w:p>
        </w:tc>
        <w:tc>
          <w:tcPr>
            <w:tcW w:w="903" w:type="pct"/>
            <w:vAlign w:val="center"/>
          </w:tcPr>
          <w:p w14:paraId="2424B249">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961" w:type="pct"/>
            <w:vAlign w:val="center"/>
          </w:tcPr>
          <w:p w14:paraId="73A076E0">
            <w:pPr>
              <w:pStyle w:val="21"/>
              <w:bidi w:val="0"/>
              <w:rPr>
                <w:rFonts w:hint="eastAsia"/>
                <w:color w:val="auto"/>
                <w:highlight w:val="none"/>
                <w:lang w:eastAsia="zh-CN"/>
              </w:rPr>
            </w:pPr>
            <w:r>
              <w:rPr>
                <w:rFonts w:hint="eastAsia"/>
                <w:color w:val="auto"/>
                <w:highlight w:val="none"/>
                <w:lang w:val="en-US" w:eastAsia="zh-CN"/>
              </w:rPr>
              <w:t>湿排</w:t>
            </w:r>
          </w:p>
        </w:tc>
        <w:tc>
          <w:tcPr>
            <w:tcW w:w="961" w:type="pct"/>
            <w:vAlign w:val="center"/>
          </w:tcPr>
          <w:p w14:paraId="636E2FC2">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2.5457t/a</w:t>
            </w:r>
          </w:p>
        </w:tc>
        <w:tc>
          <w:tcPr>
            <w:tcW w:w="828" w:type="pct"/>
            <w:vAlign w:val="center"/>
          </w:tcPr>
          <w:p w14:paraId="2B7C5D54">
            <w:pPr>
              <w:spacing w:line="360" w:lineRule="exact"/>
              <w:ind w:firstLine="0" w:firstLineChars="0"/>
              <w:jc w:val="center"/>
              <w:rPr>
                <w:rFonts w:hint="default"/>
                <w:color w:val="auto"/>
                <w:sz w:val="21"/>
                <w:szCs w:val="21"/>
                <w:highlight w:val="none"/>
                <w:lang w:val="en-US" w:eastAsia="zh-CN"/>
              </w:rPr>
            </w:pPr>
            <w:r>
              <w:rPr>
                <w:rFonts w:hint="eastAsia"/>
                <w:color w:val="auto"/>
                <w:sz w:val="21"/>
                <w:szCs w:val="21"/>
                <w:highlight w:val="none"/>
                <w:lang w:val="en-US" w:eastAsia="zh-CN"/>
              </w:rPr>
              <w:t>80%</w:t>
            </w:r>
          </w:p>
        </w:tc>
        <w:tc>
          <w:tcPr>
            <w:tcW w:w="828" w:type="pct"/>
            <w:vAlign w:val="center"/>
          </w:tcPr>
          <w:p w14:paraId="075D25FB">
            <w:pPr>
              <w:spacing w:line="360" w:lineRule="exact"/>
              <w:ind w:firstLine="0" w:firstLineChars="0"/>
              <w:jc w:val="center"/>
              <w:rPr>
                <w:rFonts w:hint="default"/>
                <w:color w:val="auto"/>
                <w:highlight w:val="none"/>
                <w:lang w:val="en-US" w:eastAsia="zh-CN"/>
              </w:rPr>
            </w:pPr>
            <w:r>
              <w:rPr>
                <w:rFonts w:hint="eastAsia"/>
                <w:color w:val="auto"/>
                <w:sz w:val="21"/>
                <w:szCs w:val="21"/>
                <w:highlight w:val="none"/>
                <w:lang w:val="en-US" w:eastAsia="zh-CN"/>
              </w:rPr>
              <w:t>0.5091t/a</w:t>
            </w:r>
          </w:p>
        </w:tc>
      </w:tr>
    </w:tbl>
    <w:p w14:paraId="38CEF477">
      <w:pPr>
        <w:ind w:firstLine="0" w:firstLineChars="0"/>
        <w:jc w:val="center"/>
        <w:rPr>
          <w:rFonts w:hint="eastAsia"/>
          <w:b/>
          <w:color w:val="auto"/>
          <w:kern w:val="0"/>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72DEBF0A">
      <w:pPr>
        <w:ind w:firstLine="0" w:firstLineChars="0"/>
        <w:jc w:val="center"/>
        <w:rPr>
          <w:b/>
          <w:color w:val="auto"/>
          <w:kern w:val="0"/>
          <w:szCs w:val="21"/>
          <w:highlight w:val="none"/>
        </w:rPr>
      </w:pPr>
      <w:r>
        <w:rPr>
          <w:rFonts w:hint="eastAsia"/>
          <w:b/>
          <w:color w:val="auto"/>
          <w:kern w:val="0"/>
          <w:highlight w:val="none"/>
        </w:rPr>
        <w:t>表</w:t>
      </w:r>
      <w:r>
        <w:rPr>
          <w:b/>
          <w:color w:val="auto"/>
          <w:kern w:val="0"/>
          <w:highlight w:val="none"/>
        </w:rPr>
        <w:t>3.</w:t>
      </w:r>
      <w:r>
        <w:rPr>
          <w:rFonts w:hint="eastAsia"/>
          <w:b/>
          <w:color w:val="auto"/>
          <w:kern w:val="0"/>
          <w:highlight w:val="none"/>
          <w:lang w:val="en-US" w:eastAsia="zh-CN"/>
        </w:rPr>
        <w:t>3</w:t>
      </w:r>
      <w:r>
        <w:rPr>
          <w:b/>
          <w:color w:val="auto"/>
          <w:kern w:val="0"/>
          <w:highlight w:val="none"/>
        </w:rPr>
        <w:t>-</w:t>
      </w:r>
      <w:r>
        <w:rPr>
          <w:rFonts w:hint="eastAsia"/>
          <w:b/>
          <w:color w:val="auto"/>
          <w:kern w:val="0"/>
          <w:highlight w:val="none"/>
          <w:lang w:val="en-US" w:eastAsia="zh-CN"/>
        </w:rPr>
        <w:t xml:space="preserve">6   </w:t>
      </w:r>
      <w:r>
        <w:rPr>
          <w:rFonts w:hint="eastAsia"/>
          <w:b/>
          <w:color w:val="auto"/>
          <w:kern w:val="0"/>
          <w:highlight w:val="none"/>
        </w:rPr>
        <w:t>项目主要大气污染物排放总量</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4"/>
        <w:gridCol w:w="1169"/>
        <w:gridCol w:w="3248"/>
        <w:gridCol w:w="3232"/>
      </w:tblGrid>
      <w:tr w14:paraId="0728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399" w:type="pct"/>
            <w:tcBorders>
              <w:tl2br w:val="nil"/>
              <w:tr2bl w:val="nil"/>
            </w:tcBorders>
            <w:vAlign w:val="center"/>
          </w:tcPr>
          <w:p w14:paraId="67527216">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rPr>
              <w:t>排放源</w:t>
            </w:r>
          </w:p>
        </w:tc>
        <w:tc>
          <w:tcPr>
            <w:tcW w:w="703" w:type="pct"/>
            <w:tcBorders>
              <w:tl2br w:val="nil"/>
              <w:tr2bl w:val="nil"/>
            </w:tcBorders>
            <w:vAlign w:val="center"/>
          </w:tcPr>
          <w:p w14:paraId="05CB5E9A">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rPr>
              <w:t>污染物名称</w:t>
            </w:r>
          </w:p>
        </w:tc>
        <w:tc>
          <w:tcPr>
            <w:tcW w:w="1953" w:type="pct"/>
            <w:tcBorders>
              <w:tl2br w:val="nil"/>
              <w:tr2bl w:val="nil"/>
            </w:tcBorders>
            <w:vAlign w:val="center"/>
          </w:tcPr>
          <w:p w14:paraId="2786307D">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rPr>
              <w:t>产生量</w:t>
            </w:r>
          </w:p>
        </w:tc>
        <w:tc>
          <w:tcPr>
            <w:tcW w:w="1943" w:type="pct"/>
            <w:tcBorders>
              <w:tl2br w:val="nil"/>
              <w:tr2bl w:val="nil"/>
            </w:tcBorders>
            <w:vAlign w:val="center"/>
          </w:tcPr>
          <w:p w14:paraId="644CC905">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rPr>
              <w:t>排放量</w:t>
            </w:r>
          </w:p>
        </w:tc>
      </w:tr>
      <w:tr w14:paraId="0F99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restart"/>
            <w:tcBorders>
              <w:tl2br w:val="nil"/>
              <w:tr2bl w:val="nil"/>
            </w:tcBorders>
            <w:vAlign w:val="center"/>
          </w:tcPr>
          <w:p w14:paraId="4C7886CD">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bookmarkStart w:id="421" w:name="_Hlk384899458"/>
            <w:r>
              <w:rPr>
                <w:rFonts w:hint="eastAsia"/>
                <w:color w:val="auto"/>
                <w:highlight w:val="none"/>
              </w:rPr>
              <w:t>有组织</w:t>
            </w:r>
          </w:p>
        </w:tc>
        <w:tc>
          <w:tcPr>
            <w:tcW w:w="703" w:type="pct"/>
            <w:tcBorders>
              <w:tl2br w:val="nil"/>
              <w:tr2bl w:val="nil"/>
            </w:tcBorders>
            <w:vAlign w:val="center"/>
          </w:tcPr>
          <w:p w14:paraId="4CF6F17D">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rPr>
              <w:t>颗粒物</w:t>
            </w:r>
          </w:p>
        </w:tc>
        <w:tc>
          <w:tcPr>
            <w:tcW w:w="1953" w:type="pct"/>
            <w:tcBorders>
              <w:tl2br w:val="nil"/>
              <w:tr2bl w:val="nil"/>
            </w:tcBorders>
            <w:vAlign w:val="center"/>
          </w:tcPr>
          <w:p w14:paraId="45866780">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auto"/>
                <w:highlight w:val="none"/>
                <w:lang w:val="en-US" w:eastAsia="zh-CN"/>
              </w:rPr>
            </w:pPr>
            <w:r>
              <w:rPr>
                <w:rFonts w:hint="eastAsia"/>
                <w:color w:val="auto"/>
                <w:highlight w:val="none"/>
                <w:lang w:val="en-US" w:eastAsia="zh-CN"/>
              </w:rPr>
              <w:t>1188</w:t>
            </w:r>
            <w:r>
              <w:rPr>
                <w:color w:val="auto"/>
                <w:highlight w:val="none"/>
              </w:rPr>
              <w:t>t/a</w:t>
            </w:r>
          </w:p>
        </w:tc>
        <w:tc>
          <w:tcPr>
            <w:tcW w:w="1943" w:type="pct"/>
            <w:tcBorders>
              <w:tl2br w:val="nil"/>
              <w:tr2bl w:val="nil"/>
            </w:tcBorders>
            <w:vAlign w:val="center"/>
          </w:tcPr>
          <w:p w14:paraId="32AC31A9">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lang w:val="en-US" w:eastAsia="zh-CN"/>
              </w:rPr>
              <w:t>1.188</w:t>
            </w:r>
            <w:r>
              <w:rPr>
                <w:color w:val="auto"/>
                <w:highlight w:val="none"/>
              </w:rPr>
              <w:t>t/a</w:t>
            </w:r>
          </w:p>
        </w:tc>
      </w:tr>
      <w:tr w14:paraId="0016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continue"/>
            <w:tcBorders>
              <w:tl2br w:val="nil"/>
              <w:tr2bl w:val="nil"/>
            </w:tcBorders>
            <w:vAlign w:val="center"/>
          </w:tcPr>
          <w:p w14:paraId="6A1F1B45">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rPr>
            </w:pPr>
          </w:p>
        </w:tc>
        <w:tc>
          <w:tcPr>
            <w:tcW w:w="703" w:type="pct"/>
            <w:tcBorders>
              <w:tl2br w:val="nil"/>
              <w:tr2bl w:val="nil"/>
            </w:tcBorders>
            <w:vAlign w:val="center"/>
          </w:tcPr>
          <w:p w14:paraId="6DA87038">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lang w:eastAsia="zh-CN"/>
              </w:rPr>
            </w:pPr>
            <w:r>
              <w:rPr>
                <w:rFonts w:hint="eastAsia"/>
                <w:color w:val="auto"/>
                <w:highlight w:val="none"/>
                <w:lang w:eastAsia="zh-CN"/>
              </w:rPr>
              <w:t>氟化物</w:t>
            </w:r>
          </w:p>
        </w:tc>
        <w:tc>
          <w:tcPr>
            <w:tcW w:w="1953" w:type="pct"/>
            <w:tcBorders>
              <w:tl2br w:val="nil"/>
              <w:tr2bl w:val="nil"/>
            </w:tcBorders>
            <w:vAlign w:val="center"/>
          </w:tcPr>
          <w:p w14:paraId="22D2BD06">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highlight w:val="none"/>
                <w:lang w:val="en-US" w:eastAsia="zh-CN"/>
              </w:rPr>
              <w:t>187.4</w:t>
            </w:r>
            <w:r>
              <w:rPr>
                <w:color w:val="auto"/>
                <w:highlight w:val="none"/>
              </w:rPr>
              <w:t>t/a</w:t>
            </w:r>
          </w:p>
        </w:tc>
        <w:tc>
          <w:tcPr>
            <w:tcW w:w="1943" w:type="pct"/>
            <w:tcBorders>
              <w:tl2br w:val="nil"/>
              <w:tr2bl w:val="nil"/>
            </w:tcBorders>
            <w:vAlign w:val="center"/>
          </w:tcPr>
          <w:p w14:paraId="4E4EA591">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highlight w:val="none"/>
                <w:lang w:val="en-US" w:eastAsia="zh-CN"/>
              </w:rPr>
              <w:t>0.1874t/a</w:t>
            </w:r>
          </w:p>
        </w:tc>
      </w:tr>
      <w:tr w14:paraId="4136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continue"/>
            <w:tcBorders>
              <w:tl2br w:val="nil"/>
              <w:tr2bl w:val="nil"/>
            </w:tcBorders>
            <w:vAlign w:val="center"/>
          </w:tcPr>
          <w:p w14:paraId="1248B092">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rPr>
            </w:pPr>
          </w:p>
        </w:tc>
        <w:tc>
          <w:tcPr>
            <w:tcW w:w="703" w:type="pct"/>
            <w:tcBorders>
              <w:tl2br w:val="nil"/>
              <w:tr2bl w:val="nil"/>
            </w:tcBorders>
            <w:vAlign w:val="center"/>
          </w:tcPr>
          <w:p w14:paraId="13E9C45C">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highlight w:val="none"/>
                <w:lang w:val="en-US" w:eastAsia="zh-CN"/>
              </w:rPr>
              <w:t>硫酸雾</w:t>
            </w:r>
          </w:p>
        </w:tc>
        <w:tc>
          <w:tcPr>
            <w:tcW w:w="1953" w:type="pct"/>
            <w:tcBorders>
              <w:tl2br w:val="nil"/>
              <w:tr2bl w:val="nil"/>
            </w:tcBorders>
            <w:vAlign w:val="center"/>
          </w:tcPr>
          <w:p w14:paraId="62DD6441">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highlight w:val="none"/>
                <w:lang w:val="en-US" w:eastAsia="zh-CN"/>
              </w:rPr>
              <w:t>1.2840</w:t>
            </w:r>
            <w:r>
              <w:rPr>
                <w:color w:val="auto"/>
                <w:highlight w:val="none"/>
              </w:rPr>
              <w:t>t/a</w:t>
            </w:r>
          </w:p>
        </w:tc>
        <w:tc>
          <w:tcPr>
            <w:tcW w:w="1943" w:type="pct"/>
            <w:tcBorders>
              <w:tl2br w:val="nil"/>
              <w:tr2bl w:val="nil"/>
            </w:tcBorders>
            <w:vAlign w:val="center"/>
          </w:tcPr>
          <w:p w14:paraId="47FB332B">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sz w:val="21"/>
                <w:szCs w:val="21"/>
                <w:highlight w:val="none"/>
                <w:lang w:val="en-US" w:eastAsia="zh-CN"/>
              </w:rPr>
              <w:t>0.1284</w:t>
            </w:r>
            <w:r>
              <w:rPr>
                <w:color w:val="auto"/>
                <w:highlight w:val="none"/>
              </w:rPr>
              <w:t>t/a</w:t>
            </w:r>
          </w:p>
        </w:tc>
      </w:tr>
      <w:bookmarkEnd w:id="421"/>
      <w:tr w14:paraId="6158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restart"/>
            <w:tcBorders>
              <w:tl2br w:val="nil"/>
              <w:tr2bl w:val="nil"/>
            </w:tcBorders>
            <w:vAlign w:val="center"/>
          </w:tcPr>
          <w:p w14:paraId="1B158B62">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rPr>
              <w:t>无组织</w:t>
            </w:r>
          </w:p>
        </w:tc>
        <w:tc>
          <w:tcPr>
            <w:tcW w:w="703" w:type="pct"/>
            <w:tcBorders>
              <w:tl2br w:val="nil"/>
              <w:tr2bl w:val="nil"/>
            </w:tcBorders>
            <w:vAlign w:val="center"/>
          </w:tcPr>
          <w:p w14:paraId="7D30846A">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rPr>
              <w:t>颗粒物</w:t>
            </w:r>
          </w:p>
        </w:tc>
        <w:tc>
          <w:tcPr>
            <w:tcW w:w="1953" w:type="pct"/>
            <w:tcBorders>
              <w:tl2br w:val="nil"/>
              <w:tr2bl w:val="nil"/>
            </w:tcBorders>
            <w:vAlign w:val="center"/>
          </w:tcPr>
          <w:p w14:paraId="76FFE6D6">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eastAsia="宋体"/>
                <w:color w:val="auto"/>
                <w:highlight w:val="none"/>
                <w:lang w:val="en-US" w:eastAsia="zh-CN"/>
              </w:rPr>
            </w:pPr>
            <w:r>
              <w:rPr>
                <w:rFonts w:hint="eastAsia"/>
                <w:color w:val="auto"/>
                <w:highlight w:val="none"/>
                <w:lang w:val="en-US" w:eastAsia="zh-CN"/>
              </w:rPr>
              <w:t>211.7419</w:t>
            </w:r>
            <w:r>
              <w:rPr>
                <w:color w:val="auto"/>
                <w:highlight w:val="none"/>
              </w:rPr>
              <w:t>t/a</w:t>
            </w:r>
          </w:p>
        </w:tc>
        <w:tc>
          <w:tcPr>
            <w:tcW w:w="1943" w:type="pct"/>
            <w:tcBorders>
              <w:tl2br w:val="nil"/>
              <w:tr2bl w:val="nil"/>
            </w:tcBorders>
            <w:vAlign w:val="center"/>
          </w:tcPr>
          <w:p w14:paraId="6AC73912">
            <w:pPr>
              <w:pStyle w:val="17"/>
              <w:bidi w:val="0"/>
              <w:ind w:firstLine="0" w:firstLineChars="0"/>
              <w:rPr>
                <w:color w:val="auto"/>
                <w:highlight w:val="none"/>
              </w:rPr>
            </w:pPr>
            <w:r>
              <w:rPr>
                <w:rFonts w:hint="eastAsia"/>
                <w:color w:val="auto"/>
                <w:highlight w:val="none"/>
                <w:lang w:val="en-US" w:eastAsia="zh-CN"/>
              </w:rPr>
              <w:t>22.1141</w:t>
            </w:r>
            <w:r>
              <w:rPr>
                <w:color w:val="auto"/>
                <w:highlight w:val="none"/>
              </w:rPr>
              <w:t>t/a</w:t>
            </w:r>
          </w:p>
        </w:tc>
      </w:tr>
      <w:tr w14:paraId="4043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continue"/>
            <w:tcBorders>
              <w:tl2br w:val="nil"/>
              <w:tr2bl w:val="nil"/>
            </w:tcBorders>
            <w:vAlign w:val="center"/>
          </w:tcPr>
          <w:p w14:paraId="1A4B22CE">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rPr>
            </w:pPr>
          </w:p>
        </w:tc>
        <w:tc>
          <w:tcPr>
            <w:tcW w:w="703" w:type="pct"/>
            <w:tcBorders>
              <w:tl2br w:val="nil"/>
              <w:tr2bl w:val="nil"/>
            </w:tcBorders>
            <w:vAlign w:val="center"/>
          </w:tcPr>
          <w:p w14:paraId="5F25460E">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lang w:eastAsia="zh-CN"/>
              </w:rPr>
            </w:pPr>
            <w:r>
              <w:rPr>
                <w:rFonts w:hint="eastAsia"/>
                <w:color w:val="auto"/>
                <w:highlight w:val="none"/>
                <w:lang w:eastAsia="zh-CN"/>
              </w:rPr>
              <w:t>氟化物</w:t>
            </w:r>
          </w:p>
        </w:tc>
        <w:tc>
          <w:tcPr>
            <w:tcW w:w="1953" w:type="pct"/>
            <w:tcBorders>
              <w:tl2br w:val="nil"/>
              <w:tr2bl w:val="nil"/>
            </w:tcBorders>
            <w:vAlign w:val="center"/>
          </w:tcPr>
          <w:p w14:paraId="476BD395">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highlight w:val="none"/>
                <w:lang w:val="en-US" w:eastAsia="zh-CN"/>
              </w:rPr>
              <w:t>23.435</w:t>
            </w:r>
            <w:r>
              <w:rPr>
                <w:color w:val="auto"/>
                <w:highlight w:val="none"/>
              </w:rPr>
              <w:t>t/a</w:t>
            </w:r>
          </w:p>
        </w:tc>
        <w:tc>
          <w:tcPr>
            <w:tcW w:w="1943" w:type="pct"/>
            <w:tcBorders>
              <w:tl2br w:val="nil"/>
              <w:tr2bl w:val="nil"/>
            </w:tcBorders>
            <w:vAlign w:val="center"/>
          </w:tcPr>
          <w:p w14:paraId="072BD960">
            <w:pPr>
              <w:pStyle w:val="17"/>
              <w:bidi w:val="0"/>
              <w:ind w:firstLine="0" w:firstLineChars="0"/>
              <w:rPr>
                <w:rFonts w:hint="default"/>
                <w:color w:val="auto"/>
                <w:highlight w:val="none"/>
                <w:lang w:val="en-US" w:eastAsia="zh-CN"/>
              </w:rPr>
            </w:pPr>
            <w:r>
              <w:rPr>
                <w:rFonts w:hint="eastAsia"/>
                <w:color w:val="auto"/>
                <w:highlight w:val="none"/>
                <w:lang w:val="en-US" w:eastAsia="zh-CN"/>
              </w:rPr>
              <w:t>1.2718</w:t>
            </w:r>
            <w:r>
              <w:rPr>
                <w:color w:val="auto"/>
                <w:highlight w:val="none"/>
              </w:rPr>
              <w:t>t/a</w:t>
            </w:r>
          </w:p>
        </w:tc>
      </w:tr>
      <w:tr w14:paraId="4609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continue"/>
            <w:tcBorders>
              <w:tl2br w:val="nil"/>
              <w:tr2bl w:val="nil"/>
            </w:tcBorders>
            <w:vAlign w:val="center"/>
          </w:tcPr>
          <w:p w14:paraId="10D34E17">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rPr>
            </w:pPr>
          </w:p>
        </w:tc>
        <w:tc>
          <w:tcPr>
            <w:tcW w:w="703" w:type="pct"/>
            <w:tcBorders>
              <w:tl2br w:val="nil"/>
              <w:tr2bl w:val="nil"/>
            </w:tcBorders>
            <w:vAlign w:val="center"/>
          </w:tcPr>
          <w:p w14:paraId="06891A83">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highlight w:val="none"/>
                <w:lang w:val="en-US" w:eastAsia="zh-CN"/>
              </w:rPr>
              <w:t>烟尘</w:t>
            </w:r>
          </w:p>
        </w:tc>
        <w:tc>
          <w:tcPr>
            <w:tcW w:w="1953" w:type="pct"/>
            <w:tcBorders>
              <w:tl2br w:val="nil"/>
              <w:tr2bl w:val="nil"/>
            </w:tcBorders>
            <w:vAlign w:val="center"/>
          </w:tcPr>
          <w:p w14:paraId="79AFF3AA">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highlight w:val="none"/>
                <w:lang w:val="en-US" w:eastAsia="zh-CN"/>
              </w:rPr>
              <w:t>0.5612t/a</w:t>
            </w:r>
          </w:p>
        </w:tc>
        <w:tc>
          <w:tcPr>
            <w:tcW w:w="1943" w:type="pct"/>
            <w:tcBorders>
              <w:tl2br w:val="nil"/>
              <w:tr2bl w:val="nil"/>
            </w:tcBorders>
            <w:vAlign w:val="center"/>
          </w:tcPr>
          <w:p w14:paraId="10DA0903">
            <w:pPr>
              <w:pStyle w:val="17"/>
              <w:bidi w:val="0"/>
              <w:ind w:firstLine="0" w:firstLineChars="0"/>
              <w:rPr>
                <w:rFonts w:hint="eastAsia"/>
                <w:color w:val="auto"/>
                <w:highlight w:val="none"/>
                <w:lang w:val="en-US" w:eastAsia="zh-CN"/>
              </w:rPr>
            </w:pPr>
            <w:r>
              <w:rPr>
                <w:rFonts w:hint="eastAsia"/>
                <w:color w:val="auto"/>
                <w:highlight w:val="none"/>
                <w:lang w:val="en-US" w:eastAsia="zh-CN"/>
              </w:rPr>
              <w:t>0.5612t/a</w:t>
            </w:r>
          </w:p>
        </w:tc>
      </w:tr>
      <w:tr w14:paraId="1927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continue"/>
            <w:tcBorders>
              <w:tl2br w:val="nil"/>
              <w:tr2bl w:val="nil"/>
            </w:tcBorders>
            <w:vAlign w:val="center"/>
          </w:tcPr>
          <w:p w14:paraId="02BE7702">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p>
        </w:tc>
        <w:tc>
          <w:tcPr>
            <w:tcW w:w="703" w:type="pct"/>
            <w:tcBorders>
              <w:tl2br w:val="nil"/>
              <w:tr2bl w:val="nil"/>
            </w:tcBorders>
            <w:vAlign w:val="center"/>
          </w:tcPr>
          <w:p w14:paraId="56674223">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color w:val="auto"/>
                <w:highlight w:val="none"/>
              </w:rPr>
              <w:t>CO</w:t>
            </w:r>
          </w:p>
        </w:tc>
        <w:tc>
          <w:tcPr>
            <w:tcW w:w="1953" w:type="pct"/>
            <w:tcBorders>
              <w:tl2br w:val="nil"/>
              <w:tr2bl w:val="nil"/>
            </w:tcBorders>
            <w:vAlign w:val="center"/>
          </w:tcPr>
          <w:p w14:paraId="0CEF5945">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lang w:val="en-US" w:eastAsia="zh-CN"/>
              </w:rPr>
              <w:t>1.89</w:t>
            </w:r>
            <w:r>
              <w:rPr>
                <w:color w:val="auto"/>
                <w:highlight w:val="none"/>
              </w:rPr>
              <w:t>t/a</w:t>
            </w:r>
          </w:p>
        </w:tc>
        <w:tc>
          <w:tcPr>
            <w:tcW w:w="1943" w:type="pct"/>
            <w:tcBorders>
              <w:tl2br w:val="nil"/>
              <w:tr2bl w:val="nil"/>
            </w:tcBorders>
            <w:vAlign w:val="center"/>
          </w:tcPr>
          <w:p w14:paraId="1E26262A">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lang w:val="en-US" w:eastAsia="zh-CN"/>
              </w:rPr>
              <w:t>1.89</w:t>
            </w:r>
            <w:r>
              <w:rPr>
                <w:color w:val="auto"/>
                <w:highlight w:val="none"/>
              </w:rPr>
              <w:t>t/a</w:t>
            </w:r>
          </w:p>
        </w:tc>
      </w:tr>
      <w:tr w14:paraId="7370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continue"/>
            <w:tcBorders>
              <w:tl2br w:val="nil"/>
              <w:tr2bl w:val="nil"/>
            </w:tcBorders>
            <w:vAlign w:val="center"/>
          </w:tcPr>
          <w:p w14:paraId="62D4E56D">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p>
        </w:tc>
        <w:tc>
          <w:tcPr>
            <w:tcW w:w="703" w:type="pct"/>
            <w:tcBorders>
              <w:tl2br w:val="nil"/>
              <w:tr2bl w:val="nil"/>
            </w:tcBorders>
            <w:vAlign w:val="center"/>
          </w:tcPr>
          <w:p w14:paraId="0693F2C3">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color w:val="auto"/>
                <w:highlight w:val="none"/>
              </w:rPr>
              <w:t>NO</w:t>
            </w:r>
            <w:r>
              <w:rPr>
                <w:rFonts w:hint="eastAsia"/>
                <w:color w:val="auto"/>
                <w:highlight w:val="none"/>
                <w:lang w:val="en-US" w:eastAsia="zh-CN"/>
              </w:rPr>
              <w:t>x</w:t>
            </w:r>
          </w:p>
        </w:tc>
        <w:tc>
          <w:tcPr>
            <w:tcW w:w="1953" w:type="pct"/>
            <w:tcBorders>
              <w:tl2br w:val="nil"/>
              <w:tr2bl w:val="nil"/>
            </w:tcBorders>
            <w:vAlign w:val="center"/>
          </w:tcPr>
          <w:p w14:paraId="0D93A12B">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lang w:val="en-US" w:eastAsia="zh-CN"/>
              </w:rPr>
              <w:t>45.828</w:t>
            </w:r>
            <w:r>
              <w:rPr>
                <w:color w:val="auto"/>
                <w:highlight w:val="none"/>
              </w:rPr>
              <w:t>t/a</w:t>
            </w:r>
          </w:p>
        </w:tc>
        <w:tc>
          <w:tcPr>
            <w:tcW w:w="1943" w:type="pct"/>
            <w:tcBorders>
              <w:tl2br w:val="nil"/>
              <w:tr2bl w:val="nil"/>
            </w:tcBorders>
            <w:vAlign w:val="center"/>
          </w:tcPr>
          <w:p w14:paraId="6DB7A2E0">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r>
              <w:rPr>
                <w:rFonts w:hint="eastAsia"/>
                <w:color w:val="auto"/>
                <w:highlight w:val="none"/>
                <w:lang w:val="en-US" w:eastAsia="zh-CN"/>
              </w:rPr>
              <w:t>45.828</w:t>
            </w:r>
            <w:r>
              <w:rPr>
                <w:color w:val="auto"/>
                <w:highlight w:val="none"/>
              </w:rPr>
              <w:t>t/a</w:t>
            </w:r>
          </w:p>
        </w:tc>
      </w:tr>
      <w:tr w14:paraId="33AF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continue"/>
            <w:tcBorders>
              <w:tl2br w:val="nil"/>
              <w:tr2bl w:val="nil"/>
            </w:tcBorders>
            <w:vAlign w:val="center"/>
          </w:tcPr>
          <w:p w14:paraId="74F21AB9">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p>
        </w:tc>
        <w:tc>
          <w:tcPr>
            <w:tcW w:w="703" w:type="pct"/>
            <w:tcBorders>
              <w:tl2br w:val="nil"/>
              <w:tr2bl w:val="nil"/>
            </w:tcBorders>
            <w:vAlign w:val="center"/>
          </w:tcPr>
          <w:p w14:paraId="0D826FA9">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lang w:val="en-US" w:eastAsia="zh-CN"/>
              </w:rPr>
            </w:pPr>
            <w:r>
              <w:rPr>
                <w:color w:val="auto"/>
                <w:highlight w:val="none"/>
                <w:lang w:val="en-US" w:eastAsia="zh-CN"/>
              </w:rPr>
              <w:t>SO</w:t>
            </w:r>
            <w:r>
              <w:rPr>
                <w:color w:val="auto"/>
                <w:highlight w:val="none"/>
                <w:vertAlign w:val="subscript"/>
                <w:lang w:val="en-US" w:eastAsia="zh-CN"/>
              </w:rPr>
              <w:t>2</w:t>
            </w:r>
          </w:p>
        </w:tc>
        <w:tc>
          <w:tcPr>
            <w:tcW w:w="1953" w:type="pct"/>
            <w:tcBorders>
              <w:tl2br w:val="nil"/>
              <w:tr2bl w:val="nil"/>
            </w:tcBorders>
            <w:vAlign w:val="center"/>
          </w:tcPr>
          <w:p w14:paraId="36377307">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default"/>
                <w:color w:val="auto"/>
                <w:highlight w:val="none"/>
                <w:lang w:val="en-US" w:eastAsia="zh-CN"/>
              </w:rPr>
            </w:pPr>
            <w:r>
              <w:rPr>
                <w:rFonts w:hint="eastAsia"/>
                <w:color w:val="auto"/>
                <w:highlight w:val="none"/>
                <w:lang w:val="en-US" w:eastAsia="zh-CN"/>
              </w:rPr>
              <w:t>3.144</w:t>
            </w:r>
            <w:r>
              <w:rPr>
                <w:color w:val="auto"/>
                <w:highlight w:val="none"/>
              </w:rPr>
              <w:t>t/a</w:t>
            </w:r>
          </w:p>
        </w:tc>
        <w:tc>
          <w:tcPr>
            <w:tcW w:w="1943" w:type="pct"/>
            <w:tcBorders>
              <w:tl2br w:val="nil"/>
              <w:tr2bl w:val="nil"/>
            </w:tcBorders>
            <w:vAlign w:val="center"/>
          </w:tcPr>
          <w:p w14:paraId="0BD5214C">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rPr>
            </w:pPr>
            <w:r>
              <w:rPr>
                <w:rFonts w:hint="eastAsia"/>
                <w:color w:val="auto"/>
                <w:highlight w:val="none"/>
                <w:lang w:val="en-US" w:eastAsia="zh-CN"/>
              </w:rPr>
              <w:t>3.144</w:t>
            </w:r>
            <w:r>
              <w:rPr>
                <w:color w:val="auto"/>
                <w:highlight w:val="none"/>
              </w:rPr>
              <w:t>t/a</w:t>
            </w:r>
          </w:p>
        </w:tc>
      </w:tr>
      <w:tr w14:paraId="1576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99" w:type="pct"/>
            <w:vMerge w:val="continue"/>
            <w:tcBorders>
              <w:tl2br w:val="nil"/>
              <w:tr2bl w:val="nil"/>
            </w:tcBorders>
            <w:vAlign w:val="center"/>
          </w:tcPr>
          <w:p w14:paraId="28035F8A">
            <w:pPr>
              <w:pStyle w:val="17"/>
              <w:keepNext w:val="0"/>
              <w:keepLines w:val="0"/>
              <w:pageBreakBefore w:val="0"/>
              <w:widowControl w:val="0"/>
              <w:kinsoku/>
              <w:wordWrap/>
              <w:overflowPunct/>
              <w:topLinePunct w:val="0"/>
              <w:autoSpaceDE/>
              <w:autoSpaceDN/>
              <w:bidi w:val="0"/>
              <w:adjustRightInd w:val="0"/>
              <w:snapToGrid w:val="0"/>
              <w:jc w:val="center"/>
              <w:textAlignment w:val="auto"/>
              <w:rPr>
                <w:color w:val="auto"/>
                <w:highlight w:val="none"/>
              </w:rPr>
            </w:pPr>
          </w:p>
        </w:tc>
        <w:tc>
          <w:tcPr>
            <w:tcW w:w="703" w:type="pct"/>
            <w:tcBorders>
              <w:tl2br w:val="nil"/>
              <w:tr2bl w:val="nil"/>
            </w:tcBorders>
            <w:shd w:val="clear" w:color="auto" w:fill="auto"/>
            <w:vAlign w:val="center"/>
          </w:tcPr>
          <w:p w14:paraId="49CE9786">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lang w:val="en-US" w:eastAsia="zh-CN"/>
              </w:rPr>
            </w:pPr>
            <w:r>
              <w:rPr>
                <w:rFonts w:hint="eastAsia"/>
                <w:color w:val="auto"/>
                <w:highlight w:val="none"/>
                <w:lang w:val="en-US" w:eastAsia="zh-CN"/>
              </w:rPr>
              <w:t>非甲烷总烃</w:t>
            </w:r>
          </w:p>
        </w:tc>
        <w:tc>
          <w:tcPr>
            <w:tcW w:w="1953" w:type="pct"/>
            <w:tcBorders>
              <w:tl2br w:val="nil"/>
              <w:tr2bl w:val="nil"/>
            </w:tcBorders>
            <w:shd w:val="clear" w:color="auto" w:fill="auto"/>
            <w:vAlign w:val="center"/>
          </w:tcPr>
          <w:p w14:paraId="6F80F920">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lang w:val="en-US" w:eastAsia="zh-CN"/>
              </w:rPr>
            </w:pPr>
            <w:r>
              <w:rPr>
                <w:rFonts w:hint="eastAsia"/>
                <w:color w:val="auto"/>
                <w:highlight w:val="none"/>
              </w:rPr>
              <w:t>0</w:t>
            </w:r>
            <w:r>
              <w:rPr>
                <w:rFonts w:hint="eastAsia"/>
                <w:color w:val="auto"/>
                <w:highlight w:val="none"/>
                <w:lang w:val="en-US" w:eastAsia="zh-CN"/>
              </w:rPr>
              <w:t>.627</w:t>
            </w:r>
            <w:r>
              <w:rPr>
                <w:color w:val="auto"/>
                <w:highlight w:val="none"/>
              </w:rPr>
              <w:t>t/a</w:t>
            </w:r>
          </w:p>
        </w:tc>
        <w:tc>
          <w:tcPr>
            <w:tcW w:w="1943" w:type="pct"/>
            <w:tcBorders>
              <w:tl2br w:val="nil"/>
              <w:tr2bl w:val="nil"/>
            </w:tcBorders>
            <w:shd w:val="clear" w:color="auto" w:fill="auto"/>
            <w:vAlign w:val="center"/>
          </w:tcPr>
          <w:p w14:paraId="3B26E7E5">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color w:val="auto"/>
                <w:highlight w:val="none"/>
                <w:lang w:val="en-US" w:eastAsia="zh-CN"/>
              </w:rPr>
            </w:pPr>
            <w:r>
              <w:rPr>
                <w:rFonts w:hint="eastAsia"/>
                <w:color w:val="auto"/>
                <w:highlight w:val="none"/>
              </w:rPr>
              <w:t>0</w:t>
            </w:r>
            <w:r>
              <w:rPr>
                <w:rFonts w:hint="eastAsia"/>
                <w:color w:val="auto"/>
                <w:highlight w:val="none"/>
                <w:lang w:val="en-US" w:eastAsia="zh-CN"/>
              </w:rPr>
              <w:t>.627</w:t>
            </w:r>
            <w:r>
              <w:rPr>
                <w:color w:val="auto"/>
                <w:highlight w:val="none"/>
              </w:rPr>
              <w:t>t/a</w:t>
            </w:r>
          </w:p>
        </w:tc>
      </w:tr>
    </w:tbl>
    <w:p w14:paraId="6C432A05">
      <w:pPr>
        <w:pStyle w:val="7"/>
        <w:bidi w:val="0"/>
        <w:rPr>
          <w:color w:val="auto"/>
          <w:highlight w:val="none"/>
        </w:rPr>
      </w:pPr>
      <w:r>
        <w:rPr>
          <w:color w:val="auto"/>
          <w:highlight w:val="none"/>
        </w:rPr>
        <w:t>3.</w:t>
      </w:r>
      <w:r>
        <w:rPr>
          <w:rFonts w:hint="eastAsia"/>
          <w:color w:val="auto"/>
          <w:highlight w:val="none"/>
          <w:lang w:val="en-US" w:eastAsia="zh-CN"/>
        </w:rPr>
        <w:t>3.1.4</w:t>
      </w:r>
      <w:r>
        <w:rPr>
          <w:rFonts w:hint="eastAsia"/>
          <w:color w:val="auto"/>
          <w:highlight w:val="none"/>
        </w:rPr>
        <w:t>非正常工况排放</w:t>
      </w:r>
    </w:p>
    <w:p w14:paraId="12253422">
      <w:pPr>
        <w:overflowPunct w:val="0"/>
        <w:topLinePunct/>
        <w:spacing w:after="0"/>
        <w:ind w:left="0" w:leftChars="0" w:firstLine="480"/>
        <w:rPr>
          <w:color w:val="auto"/>
          <w:sz w:val="24"/>
          <w:highlight w:val="none"/>
        </w:rPr>
      </w:pPr>
      <w:r>
        <w:rPr>
          <w:rFonts w:hint="eastAsia"/>
          <w:color w:val="auto"/>
          <w:sz w:val="24"/>
          <w:highlight w:val="none"/>
        </w:rPr>
        <w:t>本项目</w:t>
      </w:r>
      <w:r>
        <w:rPr>
          <w:rFonts w:hint="eastAsia"/>
          <w:color w:val="auto"/>
          <w:sz w:val="24"/>
          <w:highlight w:val="none"/>
          <w:lang w:val="en-US" w:eastAsia="zh-CN"/>
        </w:rPr>
        <w:t>考虑</w:t>
      </w:r>
      <w:r>
        <w:rPr>
          <w:rFonts w:hint="eastAsia"/>
          <w:color w:val="auto"/>
          <w:sz w:val="24"/>
          <w:highlight w:val="none"/>
        </w:rPr>
        <w:t>非正常工况</w:t>
      </w:r>
      <w:r>
        <w:rPr>
          <w:rFonts w:hint="eastAsia"/>
          <w:color w:val="auto"/>
          <w:sz w:val="24"/>
          <w:highlight w:val="none"/>
          <w:lang w:val="en-US" w:eastAsia="zh-CN"/>
        </w:rPr>
        <w:t>为以下情况</w:t>
      </w:r>
      <w:r>
        <w:rPr>
          <w:rFonts w:hint="eastAsia"/>
          <w:color w:val="auto"/>
          <w:sz w:val="24"/>
          <w:highlight w:val="none"/>
        </w:rPr>
        <w:t>：</w:t>
      </w:r>
    </w:p>
    <w:p w14:paraId="58125DA9">
      <w:pPr>
        <w:overflowPunct w:val="0"/>
        <w:topLinePunct/>
        <w:spacing w:after="0"/>
        <w:ind w:left="0" w:leftChars="0" w:firstLine="480"/>
        <w:rPr>
          <w:color w:val="auto"/>
          <w:sz w:val="24"/>
          <w:highlight w:val="none"/>
        </w:rPr>
      </w:pPr>
      <w:r>
        <w:rPr>
          <w:rFonts w:hint="eastAsia"/>
          <w:color w:val="auto"/>
          <w:sz w:val="24"/>
          <w:highlight w:val="none"/>
        </w:rPr>
        <w:t>①</w:t>
      </w:r>
      <w:r>
        <w:rPr>
          <w:rFonts w:hint="eastAsia"/>
          <w:color w:val="auto"/>
          <w:sz w:val="24"/>
          <w:highlight w:val="none"/>
          <w:lang w:val="en-US" w:eastAsia="zh-CN"/>
        </w:rPr>
        <w:t>布袋除尘器布袋破损</w:t>
      </w:r>
      <w:r>
        <w:rPr>
          <w:rFonts w:hint="eastAsia"/>
          <w:color w:val="auto"/>
          <w:sz w:val="24"/>
          <w:highlight w:val="none"/>
        </w:rPr>
        <w:t>，此时粉尘未经处理</w:t>
      </w:r>
      <w:r>
        <w:rPr>
          <w:rFonts w:hint="eastAsia"/>
          <w:color w:val="auto"/>
          <w:sz w:val="24"/>
          <w:highlight w:val="none"/>
          <w:lang w:val="en-US" w:eastAsia="zh-CN"/>
        </w:rPr>
        <w:t>直接排放</w:t>
      </w:r>
      <w:r>
        <w:rPr>
          <w:rFonts w:hint="eastAsia"/>
          <w:color w:val="auto"/>
          <w:sz w:val="24"/>
          <w:highlight w:val="none"/>
        </w:rPr>
        <w:t>；</w:t>
      </w:r>
    </w:p>
    <w:p w14:paraId="7A4422A8">
      <w:pPr>
        <w:overflowPunct w:val="0"/>
        <w:topLinePunct/>
        <w:spacing w:after="0"/>
        <w:ind w:left="0" w:leftChars="0" w:firstLine="480"/>
        <w:rPr>
          <w:color w:val="auto"/>
          <w:sz w:val="24"/>
          <w:highlight w:val="none"/>
        </w:rPr>
      </w:pPr>
      <w:r>
        <w:rPr>
          <w:rFonts w:hint="eastAsia"/>
          <w:color w:val="auto"/>
          <w:sz w:val="24"/>
          <w:highlight w:val="none"/>
        </w:rPr>
        <w:t>②</w:t>
      </w:r>
      <w:r>
        <w:rPr>
          <w:rFonts w:hint="eastAsia"/>
          <w:color w:val="auto"/>
          <w:sz w:val="24"/>
          <w:highlight w:val="none"/>
          <w:lang w:val="en-US" w:eastAsia="zh-CN"/>
        </w:rPr>
        <w:t>硫酸吸收塔故障，吸收效率降低50%</w:t>
      </w:r>
      <w:r>
        <w:rPr>
          <w:rFonts w:hint="eastAsia"/>
          <w:color w:val="auto"/>
          <w:sz w:val="24"/>
          <w:highlight w:val="none"/>
        </w:rPr>
        <w:t>。</w:t>
      </w:r>
    </w:p>
    <w:p w14:paraId="20EEACBD">
      <w:pPr>
        <w:overflowPunct w:val="0"/>
        <w:topLinePunct/>
        <w:spacing w:after="0"/>
        <w:ind w:left="0" w:leftChars="0" w:firstLine="480"/>
        <w:rPr>
          <w:color w:val="auto"/>
          <w:sz w:val="24"/>
          <w:highlight w:val="none"/>
        </w:rPr>
      </w:pPr>
      <w:r>
        <w:rPr>
          <w:color w:val="auto"/>
          <w:kern w:val="0"/>
          <w:sz w:val="24"/>
          <w:highlight w:val="none"/>
        </w:rPr>
        <w:t>本项目假定非正常工况下</w:t>
      </w:r>
      <w:r>
        <w:rPr>
          <w:rFonts w:hint="eastAsia"/>
          <w:color w:val="auto"/>
          <w:kern w:val="0"/>
          <w:sz w:val="24"/>
          <w:highlight w:val="none"/>
          <w:lang w:val="en-US" w:eastAsia="zh-CN"/>
        </w:rPr>
        <w:t>选矿车间布袋</w:t>
      </w:r>
      <w:r>
        <w:rPr>
          <w:color w:val="auto"/>
          <w:kern w:val="0"/>
          <w:sz w:val="24"/>
          <w:highlight w:val="none"/>
        </w:rPr>
        <w:t>除尘</w:t>
      </w:r>
      <w:r>
        <w:rPr>
          <w:rFonts w:hint="eastAsia"/>
          <w:color w:val="auto"/>
          <w:kern w:val="0"/>
          <w:sz w:val="24"/>
          <w:highlight w:val="none"/>
          <w:lang w:val="en-US" w:eastAsia="zh-CN"/>
        </w:rPr>
        <w:t>器、硫酸吸收塔</w:t>
      </w:r>
      <w:r>
        <w:rPr>
          <w:color w:val="auto"/>
          <w:kern w:val="0"/>
          <w:sz w:val="24"/>
          <w:highlight w:val="none"/>
        </w:rPr>
        <w:t>发生故障，且发生故障时未及时停车检修。非正常工段</w:t>
      </w:r>
      <w:r>
        <w:rPr>
          <w:rFonts w:hint="eastAsia"/>
          <w:color w:val="auto"/>
          <w:kern w:val="0"/>
          <w:sz w:val="24"/>
          <w:highlight w:val="none"/>
          <w:lang w:val="en-US" w:eastAsia="zh-CN"/>
        </w:rPr>
        <w:t>污染物</w:t>
      </w:r>
      <w:r>
        <w:rPr>
          <w:color w:val="auto"/>
          <w:kern w:val="0"/>
          <w:sz w:val="24"/>
          <w:highlight w:val="none"/>
        </w:rPr>
        <w:t>排放统计见表3.</w:t>
      </w:r>
      <w:r>
        <w:rPr>
          <w:rFonts w:hint="eastAsia"/>
          <w:color w:val="auto"/>
          <w:kern w:val="0"/>
          <w:sz w:val="24"/>
          <w:highlight w:val="none"/>
          <w:lang w:val="en-US" w:eastAsia="zh-CN"/>
        </w:rPr>
        <w:t>3</w:t>
      </w:r>
      <w:r>
        <w:rPr>
          <w:rFonts w:hint="eastAsia"/>
          <w:color w:val="auto"/>
          <w:kern w:val="0"/>
          <w:sz w:val="24"/>
          <w:highlight w:val="none"/>
        </w:rPr>
        <w:t>-</w:t>
      </w:r>
      <w:r>
        <w:rPr>
          <w:rFonts w:hint="eastAsia"/>
          <w:color w:val="auto"/>
          <w:kern w:val="0"/>
          <w:sz w:val="24"/>
          <w:highlight w:val="none"/>
          <w:lang w:val="en-US" w:eastAsia="zh-CN"/>
        </w:rPr>
        <w:t>7</w:t>
      </w:r>
      <w:r>
        <w:rPr>
          <w:color w:val="auto"/>
          <w:kern w:val="0"/>
          <w:sz w:val="24"/>
          <w:highlight w:val="none"/>
        </w:rPr>
        <w:t>。</w:t>
      </w:r>
    </w:p>
    <w:p w14:paraId="70134206">
      <w:pPr>
        <w:ind w:firstLine="0" w:firstLineChars="0"/>
        <w:jc w:val="center"/>
        <w:rPr>
          <w:b/>
          <w:color w:val="auto"/>
          <w:kern w:val="0"/>
          <w:highlight w:val="none"/>
        </w:rPr>
      </w:pPr>
      <w:r>
        <w:rPr>
          <w:rFonts w:hint="eastAsia"/>
          <w:b/>
          <w:color w:val="auto"/>
          <w:kern w:val="0"/>
          <w:highlight w:val="none"/>
        </w:rPr>
        <w:t>表</w:t>
      </w:r>
      <w:r>
        <w:rPr>
          <w:b/>
          <w:color w:val="auto"/>
          <w:kern w:val="0"/>
          <w:highlight w:val="none"/>
        </w:rPr>
        <w:t>3.</w:t>
      </w:r>
      <w:r>
        <w:rPr>
          <w:rFonts w:hint="eastAsia"/>
          <w:b/>
          <w:color w:val="auto"/>
          <w:kern w:val="0"/>
          <w:highlight w:val="none"/>
          <w:lang w:val="en-US" w:eastAsia="zh-CN"/>
        </w:rPr>
        <w:t>3</w:t>
      </w:r>
      <w:r>
        <w:rPr>
          <w:b/>
          <w:color w:val="auto"/>
          <w:kern w:val="0"/>
          <w:highlight w:val="none"/>
        </w:rPr>
        <w:t>-</w:t>
      </w:r>
      <w:r>
        <w:rPr>
          <w:rFonts w:hint="eastAsia"/>
          <w:b/>
          <w:color w:val="auto"/>
          <w:kern w:val="0"/>
          <w:highlight w:val="none"/>
          <w:lang w:val="en-US" w:eastAsia="zh-CN"/>
        </w:rPr>
        <w:t xml:space="preserve">7   </w:t>
      </w:r>
      <w:r>
        <w:rPr>
          <w:rFonts w:hint="eastAsia"/>
          <w:b/>
          <w:color w:val="auto"/>
          <w:kern w:val="0"/>
          <w:highlight w:val="none"/>
        </w:rPr>
        <w:t>非正常工况大气污染物排放情况</w:t>
      </w:r>
    </w:p>
    <w:tbl>
      <w:tblPr>
        <w:tblStyle w:val="13"/>
        <w:tblW w:w="5004"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0" w:type="dxa"/>
          <w:bottom w:w="0" w:type="dxa"/>
          <w:right w:w="0" w:type="dxa"/>
        </w:tblCellMar>
      </w:tblPr>
      <w:tblGrid>
        <w:gridCol w:w="477"/>
        <w:gridCol w:w="795"/>
        <w:gridCol w:w="1271"/>
        <w:gridCol w:w="1275"/>
        <w:gridCol w:w="1290"/>
        <w:gridCol w:w="1086"/>
        <w:gridCol w:w="1086"/>
        <w:gridCol w:w="1043"/>
      </w:tblGrid>
      <w:tr w14:paraId="1B6810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05" w:hRule="atLeast"/>
          <w:tblHeader/>
          <w:jc w:val="center"/>
        </w:trPr>
        <w:tc>
          <w:tcPr>
            <w:tcW w:w="763" w:type="pct"/>
            <w:gridSpan w:val="2"/>
            <w:vAlign w:val="center"/>
          </w:tcPr>
          <w:p w14:paraId="20375669">
            <w:pPr>
              <w:pStyle w:val="17"/>
              <w:bidi w:val="0"/>
              <w:rPr>
                <w:color w:val="auto"/>
                <w:highlight w:val="none"/>
              </w:rPr>
            </w:pPr>
            <w:r>
              <w:rPr>
                <w:rFonts w:hint="eastAsia"/>
                <w:color w:val="auto"/>
                <w:highlight w:val="none"/>
              </w:rPr>
              <w:t>排放源</w:t>
            </w:r>
          </w:p>
        </w:tc>
        <w:tc>
          <w:tcPr>
            <w:tcW w:w="763" w:type="pct"/>
            <w:vAlign w:val="center"/>
          </w:tcPr>
          <w:p w14:paraId="19C4EA63">
            <w:pPr>
              <w:pStyle w:val="17"/>
              <w:bidi w:val="0"/>
              <w:rPr>
                <w:color w:val="auto"/>
                <w:highlight w:val="none"/>
              </w:rPr>
            </w:pPr>
            <w:r>
              <w:rPr>
                <w:rFonts w:hint="eastAsia"/>
                <w:color w:val="auto"/>
                <w:highlight w:val="none"/>
              </w:rPr>
              <w:t>污染物名称</w:t>
            </w:r>
          </w:p>
        </w:tc>
        <w:tc>
          <w:tcPr>
            <w:tcW w:w="765" w:type="pct"/>
            <w:vAlign w:val="center"/>
          </w:tcPr>
          <w:p w14:paraId="285D57D9">
            <w:pPr>
              <w:pStyle w:val="17"/>
              <w:bidi w:val="0"/>
              <w:rPr>
                <w:color w:val="auto"/>
                <w:highlight w:val="none"/>
              </w:rPr>
            </w:pPr>
            <w:r>
              <w:rPr>
                <w:rFonts w:hint="eastAsia"/>
                <w:color w:val="auto"/>
                <w:highlight w:val="none"/>
              </w:rPr>
              <w:t>处理效率</w:t>
            </w:r>
          </w:p>
        </w:tc>
        <w:tc>
          <w:tcPr>
            <w:tcW w:w="774" w:type="pct"/>
            <w:vAlign w:val="center"/>
          </w:tcPr>
          <w:p w14:paraId="408728AA">
            <w:pPr>
              <w:pStyle w:val="17"/>
              <w:bidi w:val="0"/>
              <w:rPr>
                <w:rFonts w:hint="eastAsia"/>
                <w:color w:val="auto"/>
                <w:highlight w:val="none"/>
                <w:lang w:eastAsia="zh-CN"/>
              </w:rPr>
            </w:pPr>
            <w:r>
              <w:rPr>
                <w:rFonts w:hint="eastAsia"/>
                <w:color w:val="auto"/>
                <w:highlight w:val="none"/>
              </w:rPr>
              <w:t>排放浓度</w:t>
            </w:r>
            <w:r>
              <w:rPr>
                <w:rFonts w:hint="eastAsia"/>
                <w:color w:val="auto"/>
                <w:highlight w:val="none"/>
                <w:lang w:eastAsia="zh-CN"/>
              </w:rPr>
              <w:t>（</w:t>
            </w:r>
            <w:r>
              <w:rPr>
                <w:color w:val="auto"/>
                <w:highlight w:val="none"/>
              </w:rPr>
              <w:t>mg/m</w:t>
            </w:r>
            <w:r>
              <w:rPr>
                <w:color w:val="auto"/>
                <w:highlight w:val="none"/>
                <w:vertAlign w:val="superscript"/>
              </w:rPr>
              <w:t>3</w:t>
            </w:r>
            <w:r>
              <w:rPr>
                <w:rFonts w:hint="eastAsia"/>
                <w:color w:val="auto"/>
                <w:highlight w:val="none"/>
                <w:lang w:eastAsia="zh-CN"/>
              </w:rPr>
              <w:t>）</w:t>
            </w:r>
          </w:p>
        </w:tc>
        <w:tc>
          <w:tcPr>
            <w:tcW w:w="652" w:type="pct"/>
            <w:vAlign w:val="center"/>
          </w:tcPr>
          <w:p w14:paraId="1D0A698E">
            <w:pPr>
              <w:pStyle w:val="17"/>
              <w:bidi w:val="0"/>
              <w:rPr>
                <w:rFonts w:hint="eastAsia"/>
                <w:color w:val="auto"/>
                <w:highlight w:val="none"/>
                <w:lang w:eastAsia="zh-CN"/>
              </w:rPr>
            </w:pPr>
            <w:r>
              <w:rPr>
                <w:rFonts w:hint="eastAsia"/>
                <w:color w:val="auto"/>
                <w:highlight w:val="none"/>
              </w:rPr>
              <w:t>排放</w:t>
            </w:r>
            <w:r>
              <w:rPr>
                <w:rFonts w:hint="eastAsia"/>
                <w:color w:val="auto"/>
                <w:highlight w:val="none"/>
                <w:lang w:val="en-US" w:eastAsia="zh-CN"/>
              </w:rPr>
              <w:t>速率</w:t>
            </w:r>
            <w:r>
              <w:rPr>
                <w:rFonts w:hint="eastAsia"/>
                <w:color w:val="auto"/>
                <w:highlight w:val="none"/>
                <w:lang w:eastAsia="zh-CN"/>
              </w:rPr>
              <w:t>（</w:t>
            </w:r>
            <w:r>
              <w:rPr>
                <w:rFonts w:hint="eastAsia"/>
                <w:color w:val="auto"/>
                <w:highlight w:val="none"/>
                <w:lang w:val="en-US" w:eastAsia="zh-CN"/>
              </w:rPr>
              <w:t>kg</w:t>
            </w:r>
            <w:r>
              <w:rPr>
                <w:color w:val="auto"/>
                <w:highlight w:val="none"/>
              </w:rPr>
              <w:t>/</w:t>
            </w:r>
            <w:r>
              <w:rPr>
                <w:rFonts w:hint="eastAsia"/>
                <w:color w:val="auto"/>
                <w:highlight w:val="none"/>
                <w:lang w:val="en-US" w:eastAsia="zh-CN"/>
              </w:rPr>
              <w:t>h</w:t>
            </w:r>
            <w:r>
              <w:rPr>
                <w:rFonts w:hint="eastAsia"/>
                <w:color w:val="auto"/>
                <w:highlight w:val="none"/>
                <w:lang w:eastAsia="zh-CN"/>
              </w:rPr>
              <w:t>）</w:t>
            </w:r>
          </w:p>
        </w:tc>
        <w:tc>
          <w:tcPr>
            <w:tcW w:w="652" w:type="pct"/>
            <w:vAlign w:val="center"/>
          </w:tcPr>
          <w:p w14:paraId="088CFBAF">
            <w:pPr>
              <w:pStyle w:val="17"/>
              <w:bidi w:val="0"/>
              <w:rPr>
                <w:rFonts w:hint="default"/>
                <w:color w:val="auto"/>
                <w:highlight w:val="none"/>
              </w:rPr>
            </w:pPr>
            <w:r>
              <w:rPr>
                <w:rFonts w:hint="default"/>
                <w:color w:val="auto"/>
                <w:highlight w:val="none"/>
              </w:rPr>
              <w:t>持续时间</w:t>
            </w:r>
          </w:p>
          <w:p w14:paraId="73F8FC4B">
            <w:pPr>
              <w:pStyle w:val="17"/>
              <w:bidi w:val="0"/>
              <w:rPr>
                <w:rFonts w:hint="eastAsia"/>
                <w:color w:val="auto"/>
                <w:highlight w:val="none"/>
              </w:rPr>
            </w:pPr>
            <w:r>
              <w:rPr>
                <w:rFonts w:hint="default"/>
                <w:color w:val="auto"/>
                <w:highlight w:val="none"/>
                <w:lang w:eastAsia="zh-CN"/>
              </w:rPr>
              <w:t>（</w:t>
            </w:r>
            <w:r>
              <w:rPr>
                <w:rFonts w:hint="default"/>
                <w:color w:val="auto"/>
                <w:highlight w:val="none"/>
                <w:lang w:val="en-US" w:eastAsia="zh-CN"/>
              </w:rPr>
              <w:t>min</w:t>
            </w:r>
            <w:r>
              <w:rPr>
                <w:rFonts w:hint="default"/>
                <w:color w:val="auto"/>
                <w:highlight w:val="none"/>
                <w:lang w:eastAsia="zh-CN"/>
              </w:rPr>
              <w:t>）</w:t>
            </w:r>
          </w:p>
        </w:tc>
        <w:tc>
          <w:tcPr>
            <w:tcW w:w="626" w:type="pct"/>
            <w:vAlign w:val="center"/>
          </w:tcPr>
          <w:p w14:paraId="64D60E5D">
            <w:pPr>
              <w:pStyle w:val="17"/>
              <w:bidi w:val="0"/>
              <w:rPr>
                <w:rFonts w:hint="eastAsia"/>
                <w:color w:val="auto"/>
                <w:highlight w:val="none"/>
              </w:rPr>
            </w:pPr>
            <w:r>
              <w:rPr>
                <w:rFonts w:hint="default"/>
                <w:color w:val="auto"/>
                <w:highlight w:val="none"/>
              </w:rPr>
              <w:t>年发生频次（次）</w:t>
            </w:r>
          </w:p>
        </w:tc>
      </w:tr>
      <w:tr w14:paraId="7A607B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2" w:hRule="atLeast"/>
          <w:jc w:val="center"/>
        </w:trPr>
        <w:tc>
          <w:tcPr>
            <w:tcW w:w="286" w:type="pct"/>
            <w:vMerge w:val="restart"/>
            <w:vAlign w:val="center"/>
          </w:tcPr>
          <w:p w14:paraId="4C981B96">
            <w:pPr>
              <w:pStyle w:val="17"/>
              <w:bidi w:val="0"/>
              <w:rPr>
                <w:color w:val="auto"/>
                <w:highlight w:val="none"/>
              </w:rPr>
            </w:pPr>
            <w:r>
              <w:rPr>
                <w:rFonts w:hint="eastAsia"/>
                <w:color w:val="auto"/>
                <w:highlight w:val="none"/>
              </w:rPr>
              <w:t>有组织</w:t>
            </w:r>
          </w:p>
        </w:tc>
        <w:tc>
          <w:tcPr>
            <w:tcW w:w="476" w:type="pct"/>
            <w:vMerge w:val="restart"/>
            <w:shd w:val="clear" w:color="auto" w:fill="auto"/>
            <w:vAlign w:val="center"/>
          </w:tcPr>
          <w:p w14:paraId="07267BCB">
            <w:pPr>
              <w:pStyle w:val="17"/>
              <w:bidi w:val="0"/>
              <w:rPr>
                <w:rFonts w:hint="default"/>
                <w:color w:val="auto"/>
                <w:highlight w:val="none"/>
                <w:lang w:val="en-US" w:eastAsia="zh-CN"/>
              </w:rPr>
            </w:pPr>
            <w:r>
              <w:rPr>
                <w:rFonts w:hint="default"/>
                <w:color w:val="auto"/>
                <w:highlight w:val="none"/>
                <w:lang w:eastAsia="zh-CN"/>
              </w:rPr>
              <w:t>粗</w:t>
            </w:r>
            <w:r>
              <w:rPr>
                <w:rFonts w:hint="eastAsia"/>
                <w:color w:val="auto"/>
                <w:highlight w:val="none"/>
                <w:lang w:eastAsia="zh-CN"/>
              </w:rPr>
              <w:t>碎</w:t>
            </w:r>
            <w:r>
              <w:rPr>
                <w:rFonts w:hint="eastAsia"/>
                <w:color w:val="auto"/>
                <w:highlight w:val="none"/>
                <w:lang w:val="en-US" w:eastAsia="zh-CN"/>
              </w:rPr>
              <w:t>仓</w:t>
            </w:r>
            <w:r>
              <w:rPr>
                <w:rFonts w:hint="eastAsia"/>
                <w:color w:val="auto"/>
                <w:highlight w:val="none"/>
              </w:rPr>
              <w:t>排气筒</w:t>
            </w:r>
          </w:p>
        </w:tc>
        <w:tc>
          <w:tcPr>
            <w:tcW w:w="763" w:type="pct"/>
            <w:vAlign w:val="center"/>
          </w:tcPr>
          <w:p w14:paraId="014A1359">
            <w:pPr>
              <w:pStyle w:val="17"/>
              <w:bidi w:val="0"/>
              <w:rPr>
                <w:color w:val="auto"/>
                <w:highlight w:val="none"/>
              </w:rPr>
            </w:pPr>
            <w:r>
              <w:rPr>
                <w:rFonts w:hint="eastAsia"/>
                <w:color w:val="auto"/>
                <w:highlight w:val="none"/>
              </w:rPr>
              <w:t>粉尘</w:t>
            </w:r>
          </w:p>
        </w:tc>
        <w:tc>
          <w:tcPr>
            <w:tcW w:w="765" w:type="pct"/>
            <w:vAlign w:val="center"/>
          </w:tcPr>
          <w:p w14:paraId="6D709689">
            <w:pPr>
              <w:pStyle w:val="17"/>
              <w:bidi w:val="0"/>
              <w:rPr>
                <w:color w:val="auto"/>
                <w:highlight w:val="none"/>
              </w:rPr>
            </w:pPr>
            <w:r>
              <w:rPr>
                <w:rFonts w:hint="eastAsia"/>
                <w:color w:val="auto"/>
                <w:highlight w:val="none"/>
              </w:rPr>
              <w:t>0</w:t>
            </w:r>
          </w:p>
        </w:tc>
        <w:tc>
          <w:tcPr>
            <w:tcW w:w="774" w:type="pct"/>
            <w:vAlign w:val="center"/>
          </w:tcPr>
          <w:p w14:paraId="235C99B2">
            <w:pPr>
              <w:pStyle w:val="17"/>
              <w:bidi w:val="0"/>
              <w:rPr>
                <w:rFonts w:hint="default"/>
                <w:color w:val="auto"/>
                <w:highlight w:val="none"/>
                <w:lang w:val="en-US" w:eastAsia="zh-CN"/>
              </w:rPr>
            </w:pPr>
            <w:r>
              <w:rPr>
                <w:rFonts w:hint="eastAsia"/>
                <w:color w:val="auto"/>
                <w:highlight w:val="none"/>
                <w:lang w:val="en-US" w:eastAsia="zh-CN"/>
              </w:rPr>
              <w:t>1250</w:t>
            </w:r>
          </w:p>
        </w:tc>
        <w:tc>
          <w:tcPr>
            <w:tcW w:w="652" w:type="pct"/>
            <w:vAlign w:val="center"/>
          </w:tcPr>
          <w:p w14:paraId="41201370">
            <w:pPr>
              <w:pStyle w:val="17"/>
              <w:bidi w:val="0"/>
              <w:rPr>
                <w:rFonts w:hint="default"/>
                <w:color w:val="auto"/>
                <w:highlight w:val="none"/>
                <w:lang w:val="en-US" w:eastAsia="zh-CN"/>
              </w:rPr>
            </w:pPr>
            <w:r>
              <w:rPr>
                <w:rFonts w:hint="eastAsia"/>
                <w:color w:val="auto"/>
                <w:highlight w:val="none"/>
                <w:lang w:val="en-US" w:eastAsia="zh-CN"/>
              </w:rPr>
              <w:t>7.5</w:t>
            </w:r>
          </w:p>
        </w:tc>
        <w:tc>
          <w:tcPr>
            <w:tcW w:w="652" w:type="pct"/>
            <w:vMerge w:val="restart"/>
            <w:vAlign w:val="center"/>
          </w:tcPr>
          <w:p w14:paraId="787F72F8">
            <w:pPr>
              <w:pStyle w:val="17"/>
              <w:bidi w:val="0"/>
              <w:rPr>
                <w:rFonts w:hint="eastAsia"/>
                <w:color w:val="auto"/>
                <w:highlight w:val="none"/>
                <w:lang w:val="en-US" w:eastAsia="zh-CN"/>
              </w:rPr>
            </w:pPr>
            <w:r>
              <w:rPr>
                <w:rFonts w:hint="eastAsia"/>
                <w:color w:val="auto"/>
                <w:highlight w:val="none"/>
                <w:lang w:val="en-US" w:eastAsia="zh-CN"/>
              </w:rPr>
              <w:t>60</w:t>
            </w:r>
          </w:p>
        </w:tc>
        <w:tc>
          <w:tcPr>
            <w:tcW w:w="626" w:type="pct"/>
            <w:vMerge w:val="restart"/>
            <w:vAlign w:val="center"/>
          </w:tcPr>
          <w:p w14:paraId="65A3E415">
            <w:pPr>
              <w:pStyle w:val="17"/>
              <w:bidi w:val="0"/>
              <w:rPr>
                <w:rFonts w:hint="eastAsia"/>
                <w:color w:val="auto"/>
                <w:highlight w:val="none"/>
                <w:lang w:val="en-US" w:eastAsia="zh-CN"/>
              </w:rPr>
            </w:pPr>
            <w:r>
              <w:rPr>
                <w:rFonts w:hint="default"/>
                <w:color w:val="auto"/>
                <w:highlight w:val="none"/>
                <w:lang w:val="en-US" w:eastAsia="zh-CN"/>
              </w:rPr>
              <w:t>1</w:t>
            </w:r>
          </w:p>
        </w:tc>
      </w:tr>
      <w:tr w14:paraId="47ECD3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2" w:hRule="atLeast"/>
          <w:jc w:val="center"/>
        </w:trPr>
        <w:tc>
          <w:tcPr>
            <w:tcW w:w="286" w:type="pct"/>
            <w:vMerge w:val="continue"/>
            <w:vAlign w:val="center"/>
          </w:tcPr>
          <w:p w14:paraId="7F424012">
            <w:pPr>
              <w:pStyle w:val="17"/>
              <w:bidi w:val="0"/>
              <w:rPr>
                <w:color w:val="auto"/>
                <w:highlight w:val="none"/>
              </w:rPr>
            </w:pPr>
          </w:p>
        </w:tc>
        <w:tc>
          <w:tcPr>
            <w:tcW w:w="476" w:type="pct"/>
            <w:vMerge w:val="continue"/>
            <w:vAlign w:val="center"/>
          </w:tcPr>
          <w:p w14:paraId="216C274C">
            <w:pPr>
              <w:pStyle w:val="17"/>
              <w:bidi w:val="0"/>
              <w:rPr>
                <w:color w:val="auto"/>
                <w:highlight w:val="none"/>
              </w:rPr>
            </w:pPr>
          </w:p>
        </w:tc>
        <w:tc>
          <w:tcPr>
            <w:tcW w:w="763" w:type="pct"/>
            <w:vAlign w:val="center"/>
          </w:tcPr>
          <w:p w14:paraId="595A36AD">
            <w:pPr>
              <w:pStyle w:val="17"/>
              <w:bidi w:val="0"/>
              <w:rPr>
                <w:rFonts w:hint="eastAsia"/>
                <w:color w:val="auto"/>
                <w:highlight w:val="none"/>
                <w:lang w:eastAsia="zh-CN"/>
              </w:rPr>
            </w:pPr>
            <w:r>
              <w:rPr>
                <w:rFonts w:hint="eastAsia"/>
                <w:color w:val="auto"/>
                <w:highlight w:val="none"/>
                <w:lang w:eastAsia="zh-CN"/>
              </w:rPr>
              <w:t>氟化物</w:t>
            </w:r>
          </w:p>
        </w:tc>
        <w:tc>
          <w:tcPr>
            <w:tcW w:w="765" w:type="pct"/>
            <w:vAlign w:val="center"/>
          </w:tcPr>
          <w:p w14:paraId="67D4AF2E">
            <w:pPr>
              <w:pStyle w:val="17"/>
              <w:bidi w:val="0"/>
              <w:rPr>
                <w:rFonts w:hint="eastAsia"/>
                <w:color w:val="auto"/>
                <w:highlight w:val="none"/>
                <w:lang w:val="en-US" w:eastAsia="zh-CN"/>
              </w:rPr>
            </w:pPr>
            <w:r>
              <w:rPr>
                <w:rFonts w:hint="eastAsia"/>
                <w:color w:val="auto"/>
                <w:highlight w:val="none"/>
                <w:lang w:val="en-US" w:eastAsia="zh-CN"/>
              </w:rPr>
              <w:t>0</w:t>
            </w:r>
          </w:p>
        </w:tc>
        <w:tc>
          <w:tcPr>
            <w:tcW w:w="774" w:type="pct"/>
            <w:vAlign w:val="center"/>
          </w:tcPr>
          <w:p w14:paraId="0421E54E">
            <w:pPr>
              <w:pStyle w:val="17"/>
              <w:bidi w:val="0"/>
              <w:rPr>
                <w:rFonts w:hint="default"/>
                <w:color w:val="auto"/>
                <w:highlight w:val="none"/>
                <w:lang w:val="en-US" w:eastAsia="zh-CN"/>
              </w:rPr>
            </w:pPr>
            <w:r>
              <w:rPr>
                <w:rFonts w:hint="eastAsia"/>
                <w:color w:val="auto"/>
                <w:highlight w:val="none"/>
                <w:lang w:val="en-US" w:eastAsia="zh-CN"/>
              </w:rPr>
              <w:t>197.25</w:t>
            </w:r>
          </w:p>
        </w:tc>
        <w:tc>
          <w:tcPr>
            <w:tcW w:w="652" w:type="pct"/>
            <w:vAlign w:val="center"/>
          </w:tcPr>
          <w:p w14:paraId="63426A09">
            <w:pPr>
              <w:pStyle w:val="17"/>
              <w:bidi w:val="0"/>
              <w:rPr>
                <w:rFonts w:hint="default"/>
                <w:color w:val="auto"/>
                <w:highlight w:val="none"/>
                <w:lang w:val="en-US" w:eastAsia="zh-CN"/>
              </w:rPr>
            </w:pPr>
            <w:r>
              <w:rPr>
                <w:rFonts w:hint="eastAsia"/>
                <w:color w:val="auto"/>
                <w:highlight w:val="none"/>
                <w:lang w:val="en-US" w:eastAsia="zh-CN"/>
              </w:rPr>
              <w:t>1.1835</w:t>
            </w:r>
          </w:p>
        </w:tc>
        <w:tc>
          <w:tcPr>
            <w:tcW w:w="652" w:type="pct"/>
            <w:vMerge w:val="continue"/>
            <w:vAlign w:val="center"/>
          </w:tcPr>
          <w:p w14:paraId="41D0C7BD">
            <w:pPr>
              <w:pStyle w:val="17"/>
              <w:bidi w:val="0"/>
              <w:rPr>
                <w:rFonts w:hint="eastAsia"/>
                <w:color w:val="auto"/>
                <w:highlight w:val="none"/>
                <w:lang w:val="en-US" w:eastAsia="zh-CN"/>
              </w:rPr>
            </w:pPr>
          </w:p>
        </w:tc>
        <w:tc>
          <w:tcPr>
            <w:tcW w:w="626" w:type="pct"/>
            <w:vMerge w:val="continue"/>
            <w:vAlign w:val="center"/>
          </w:tcPr>
          <w:p w14:paraId="660FE576">
            <w:pPr>
              <w:pStyle w:val="17"/>
              <w:bidi w:val="0"/>
              <w:rPr>
                <w:rFonts w:hint="eastAsia"/>
                <w:color w:val="auto"/>
                <w:highlight w:val="none"/>
                <w:lang w:val="en-US" w:eastAsia="zh-CN"/>
              </w:rPr>
            </w:pPr>
          </w:p>
        </w:tc>
      </w:tr>
      <w:tr w14:paraId="492C7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2" w:hRule="atLeast"/>
          <w:jc w:val="center"/>
        </w:trPr>
        <w:tc>
          <w:tcPr>
            <w:tcW w:w="286" w:type="pct"/>
            <w:vMerge w:val="continue"/>
            <w:vAlign w:val="center"/>
          </w:tcPr>
          <w:p w14:paraId="0EEF9CB5">
            <w:pPr>
              <w:pStyle w:val="17"/>
              <w:bidi w:val="0"/>
              <w:rPr>
                <w:color w:val="auto"/>
                <w:highlight w:val="none"/>
              </w:rPr>
            </w:pPr>
          </w:p>
        </w:tc>
        <w:tc>
          <w:tcPr>
            <w:tcW w:w="476" w:type="pct"/>
            <w:vMerge w:val="restart"/>
            <w:shd w:val="clear" w:color="auto" w:fill="auto"/>
            <w:vAlign w:val="center"/>
          </w:tcPr>
          <w:p w14:paraId="60EF2E93">
            <w:pPr>
              <w:pStyle w:val="17"/>
              <w:bidi w:val="0"/>
              <w:rPr>
                <w:color w:val="auto"/>
                <w:highlight w:val="none"/>
              </w:rPr>
            </w:pPr>
            <w:r>
              <w:rPr>
                <w:rFonts w:hint="eastAsia"/>
                <w:color w:val="auto"/>
                <w:highlight w:val="none"/>
                <w:lang w:val="en-US" w:eastAsia="zh-CN"/>
              </w:rPr>
              <w:t>中细碎厂房</w:t>
            </w:r>
            <w:r>
              <w:rPr>
                <w:rFonts w:hint="eastAsia"/>
                <w:color w:val="auto"/>
                <w:highlight w:val="none"/>
              </w:rPr>
              <w:t>排气筒</w:t>
            </w:r>
          </w:p>
        </w:tc>
        <w:tc>
          <w:tcPr>
            <w:tcW w:w="763" w:type="pct"/>
            <w:vAlign w:val="center"/>
          </w:tcPr>
          <w:p w14:paraId="3A8DFF54">
            <w:pPr>
              <w:pStyle w:val="17"/>
              <w:bidi w:val="0"/>
              <w:rPr>
                <w:color w:val="auto"/>
                <w:highlight w:val="none"/>
              </w:rPr>
            </w:pPr>
            <w:r>
              <w:rPr>
                <w:rFonts w:hint="eastAsia"/>
                <w:color w:val="auto"/>
                <w:highlight w:val="none"/>
              </w:rPr>
              <w:t>粉尘</w:t>
            </w:r>
          </w:p>
        </w:tc>
        <w:tc>
          <w:tcPr>
            <w:tcW w:w="765" w:type="pct"/>
            <w:vAlign w:val="center"/>
          </w:tcPr>
          <w:p w14:paraId="20A9431B">
            <w:pPr>
              <w:pStyle w:val="17"/>
              <w:bidi w:val="0"/>
              <w:rPr>
                <w:color w:val="auto"/>
                <w:highlight w:val="none"/>
              </w:rPr>
            </w:pPr>
            <w:r>
              <w:rPr>
                <w:rFonts w:hint="eastAsia"/>
                <w:color w:val="auto"/>
                <w:highlight w:val="none"/>
              </w:rPr>
              <w:t>0</w:t>
            </w:r>
          </w:p>
        </w:tc>
        <w:tc>
          <w:tcPr>
            <w:tcW w:w="774" w:type="pct"/>
            <w:shd w:val="clear" w:color="auto" w:fill="auto"/>
            <w:vAlign w:val="center"/>
          </w:tcPr>
          <w:p w14:paraId="69D8655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1666.6667</w:t>
            </w:r>
          </w:p>
        </w:tc>
        <w:tc>
          <w:tcPr>
            <w:tcW w:w="652" w:type="pct"/>
            <w:shd w:val="clear" w:color="auto" w:fill="auto"/>
            <w:vAlign w:val="center"/>
          </w:tcPr>
          <w:p w14:paraId="6B34802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75</w:t>
            </w:r>
          </w:p>
        </w:tc>
        <w:tc>
          <w:tcPr>
            <w:tcW w:w="652" w:type="pct"/>
            <w:vMerge w:val="continue"/>
            <w:vAlign w:val="center"/>
          </w:tcPr>
          <w:p w14:paraId="12F5243C">
            <w:pPr>
              <w:pStyle w:val="17"/>
              <w:bidi w:val="0"/>
              <w:rPr>
                <w:rFonts w:hint="eastAsia"/>
                <w:color w:val="auto"/>
                <w:highlight w:val="none"/>
                <w:lang w:val="en-US" w:eastAsia="zh-CN"/>
              </w:rPr>
            </w:pPr>
          </w:p>
        </w:tc>
        <w:tc>
          <w:tcPr>
            <w:tcW w:w="626" w:type="pct"/>
            <w:vMerge w:val="continue"/>
            <w:vAlign w:val="center"/>
          </w:tcPr>
          <w:p w14:paraId="3D6A9372">
            <w:pPr>
              <w:pStyle w:val="17"/>
              <w:bidi w:val="0"/>
              <w:rPr>
                <w:rFonts w:hint="eastAsia"/>
                <w:color w:val="auto"/>
                <w:highlight w:val="none"/>
                <w:lang w:val="en-US" w:eastAsia="zh-CN"/>
              </w:rPr>
            </w:pPr>
          </w:p>
        </w:tc>
      </w:tr>
      <w:tr w14:paraId="49EC6E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2" w:hRule="atLeast"/>
          <w:jc w:val="center"/>
        </w:trPr>
        <w:tc>
          <w:tcPr>
            <w:tcW w:w="286" w:type="pct"/>
            <w:vMerge w:val="continue"/>
            <w:vAlign w:val="center"/>
          </w:tcPr>
          <w:p w14:paraId="7C19E9DE">
            <w:pPr>
              <w:pStyle w:val="17"/>
              <w:bidi w:val="0"/>
              <w:rPr>
                <w:color w:val="auto"/>
                <w:highlight w:val="none"/>
              </w:rPr>
            </w:pPr>
          </w:p>
        </w:tc>
        <w:tc>
          <w:tcPr>
            <w:tcW w:w="476" w:type="pct"/>
            <w:vMerge w:val="continue"/>
            <w:vAlign w:val="center"/>
          </w:tcPr>
          <w:p w14:paraId="5B3A36D5">
            <w:pPr>
              <w:pStyle w:val="17"/>
              <w:bidi w:val="0"/>
              <w:rPr>
                <w:color w:val="auto"/>
                <w:highlight w:val="none"/>
              </w:rPr>
            </w:pPr>
          </w:p>
        </w:tc>
        <w:tc>
          <w:tcPr>
            <w:tcW w:w="763" w:type="pct"/>
            <w:vAlign w:val="center"/>
          </w:tcPr>
          <w:p w14:paraId="118C923D">
            <w:pPr>
              <w:pStyle w:val="17"/>
              <w:bidi w:val="0"/>
              <w:rPr>
                <w:rFonts w:hint="eastAsia"/>
                <w:color w:val="auto"/>
                <w:highlight w:val="none"/>
              </w:rPr>
            </w:pPr>
            <w:r>
              <w:rPr>
                <w:rFonts w:hint="eastAsia"/>
                <w:color w:val="auto"/>
                <w:highlight w:val="none"/>
                <w:lang w:eastAsia="zh-CN"/>
              </w:rPr>
              <w:t>氟化物</w:t>
            </w:r>
          </w:p>
        </w:tc>
        <w:tc>
          <w:tcPr>
            <w:tcW w:w="765" w:type="pct"/>
            <w:vAlign w:val="center"/>
          </w:tcPr>
          <w:p w14:paraId="764180A3">
            <w:pPr>
              <w:pStyle w:val="17"/>
              <w:bidi w:val="0"/>
              <w:rPr>
                <w:rFonts w:hint="eastAsia"/>
                <w:color w:val="auto"/>
                <w:highlight w:val="none"/>
                <w:lang w:val="en-US" w:eastAsia="zh-CN"/>
              </w:rPr>
            </w:pPr>
            <w:r>
              <w:rPr>
                <w:rFonts w:hint="eastAsia"/>
                <w:color w:val="auto"/>
                <w:highlight w:val="none"/>
                <w:lang w:val="en-US" w:eastAsia="zh-CN"/>
              </w:rPr>
              <w:t>0</w:t>
            </w:r>
          </w:p>
        </w:tc>
        <w:tc>
          <w:tcPr>
            <w:tcW w:w="774" w:type="pct"/>
            <w:shd w:val="clear" w:color="auto" w:fill="auto"/>
            <w:vAlign w:val="center"/>
          </w:tcPr>
          <w:p w14:paraId="526F6C1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263</w:t>
            </w:r>
          </w:p>
        </w:tc>
        <w:tc>
          <w:tcPr>
            <w:tcW w:w="652" w:type="pct"/>
            <w:shd w:val="clear" w:color="auto" w:fill="auto"/>
            <w:vAlign w:val="center"/>
          </w:tcPr>
          <w:p w14:paraId="12477FD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11.8350</w:t>
            </w:r>
          </w:p>
        </w:tc>
        <w:tc>
          <w:tcPr>
            <w:tcW w:w="652" w:type="pct"/>
            <w:vMerge w:val="continue"/>
            <w:vAlign w:val="center"/>
          </w:tcPr>
          <w:p w14:paraId="6800E3CD">
            <w:pPr>
              <w:pStyle w:val="17"/>
              <w:bidi w:val="0"/>
              <w:rPr>
                <w:rFonts w:hint="eastAsia"/>
                <w:color w:val="auto"/>
                <w:highlight w:val="none"/>
                <w:lang w:val="en-US" w:eastAsia="zh-CN"/>
              </w:rPr>
            </w:pPr>
          </w:p>
        </w:tc>
        <w:tc>
          <w:tcPr>
            <w:tcW w:w="626" w:type="pct"/>
            <w:vMerge w:val="continue"/>
            <w:vAlign w:val="center"/>
          </w:tcPr>
          <w:p w14:paraId="2B6E56EF">
            <w:pPr>
              <w:pStyle w:val="17"/>
              <w:bidi w:val="0"/>
              <w:rPr>
                <w:rFonts w:hint="eastAsia"/>
                <w:color w:val="auto"/>
                <w:highlight w:val="none"/>
                <w:lang w:val="en-US" w:eastAsia="zh-CN"/>
              </w:rPr>
            </w:pPr>
          </w:p>
        </w:tc>
      </w:tr>
      <w:tr w14:paraId="7A3BF4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2" w:hRule="atLeast"/>
          <w:jc w:val="center"/>
        </w:trPr>
        <w:tc>
          <w:tcPr>
            <w:tcW w:w="286" w:type="pct"/>
            <w:vMerge w:val="continue"/>
            <w:vAlign w:val="center"/>
          </w:tcPr>
          <w:p w14:paraId="64E6D4B3">
            <w:pPr>
              <w:pStyle w:val="17"/>
              <w:bidi w:val="0"/>
              <w:rPr>
                <w:color w:val="auto"/>
                <w:highlight w:val="none"/>
              </w:rPr>
            </w:pPr>
          </w:p>
        </w:tc>
        <w:tc>
          <w:tcPr>
            <w:tcW w:w="476" w:type="pct"/>
            <w:vMerge w:val="restart"/>
            <w:shd w:val="clear" w:color="auto" w:fill="auto"/>
            <w:vAlign w:val="center"/>
          </w:tcPr>
          <w:p w14:paraId="272BB64A">
            <w:pPr>
              <w:pStyle w:val="17"/>
              <w:bidi w:val="0"/>
              <w:rPr>
                <w:rFonts w:hint="eastAsia"/>
                <w:color w:val="auto"/>
                <w:highlight w:val="none"/>
                <w:lang w:eastAsia="zh-CN"/>
              </w:rPr>
            </w:pPr>
            <w:r>
              <w:rPr>
                <w:rFonts w:hint="default"/>
                <w:color w:val="auto"/>
                <w:highlight w:val="none"/>
                <w:lang w:eastAsia="zh-CN"/>
              </w:rPr>
              <w:t>筛分</w:t>
            </w:r>
            <w:r>
              <w:rPr>
                <w:rFonts w:hint="eastAsia"/>
                <w:color w:val="auto"/>
                <w:highlight w:val="none"/>
                <w:lang w:val="en-US" w:eastAsia="zh-CN"/>
              </w:rPr>
              <w:t>厂房</w:t>
            </w:r>
            <w:r>
              <w:rPr>
                <w:rFonts w:hint="eastAsia"/>
                <w:color w:val="auto"/>
                <w:highlight w:val="none"/>
              </w:rPr>
              <w:t>排气筒</w:t>
            </w:r>
          </w:p>
        </w:tc>
        <w:tc>
          <w:tcPr>
            <w:tcW w:w="763" w:type="pct"/>
            <w:vAlign w:val="center"/>
          </w:tcPr>
          <w:p w14:paraId="3858DCC9">
            <w:pPr>
              <w:pStyle w:val="17"/>
              <w:bidi w:val="0"/>
              <w:rPr>
                <w:rFonts w:hint="eastAsia"/>
                <w:color w:val="auto"/>
                <w:highlight w:val="none"/>
              </w:rPr>
            </w:pPr>
            <w:r>
              <w:rPr>
                <w:rFonts w:hint="eastAsia"/>
                <w:color w:val="auto"/>
                <w:highlight w:val="none"/>
              </w:rPr>
              <w:t>粉尘</w:t>
            </w:r>
          </w:p>
        </w:tc>
        <w:tc>
          <w:tcPr>
            <w:tcW w:w="765" w:type="pct"/>
            <w:vAlign w:val="center"/>
          </w:tcPr>
          <w:p w14:paraId="79B7CD48">
            <w:pPr>
              <w:pStyle w:val="17"/>
              <w:bidi w:val="0"/>
              <w:rPr>
                <w:rFonts w:hint="eastAsia"/>
                <w:color w:val="auto"/>
                <w:highlight w:val="none"/>
                <w:lang w:val="en-US" w:eastAsia="zh-CN"/>
              </w:rPr>
            </w:pPr>
            <w:r>
              <w:rPr>
                <w:rFonts w:hint="eastAsia"/>
                <w:color w:val="auto"/>
                <w:highlight w:val="none"/>
                <w:lang w:val="en-US" w:eastAsia="zh-CN"/>
              </w:rPr>
              <w:t>0</w:t>
            </w:r>
          </w:p>
        </w:tc>
        <w:tc>
          <w:tcPr>
            <w:tcW w:w="774" w:type="pct"/>
            <w:vAlign w:val="center"/>
          </w:tcPr>
          <w:p w14:paraId="1787693E">
            <w:pPr>
              <w:pStyle w:val="17"/>
              <w:bidi w:val="0"/>
              <w:rPr>
                <w:rFonts w:hint="default" w:eastAsia="宋体"/>
                <w:color w:val="auto"/>
                <w:highlight w:val="none"/>
                <w:lang w:val="en-US" w:eastAsia="zh-CN"/>
              </w:rPr>
            </w:pPr>
            <w:r>
              <w:rPr>
                <w:rFonts w:hint="eastAsia"/>
                <w:color w:val="auto"/>
                <w:highlight w:val="none"/>
                <w:lang w:val="en-US" w:eastAsia="zh-CN"/>
              </w:rPr>
              <w:t>1071.4286</w:t>
            </w:r>
          </w:p>
        </w:tc>
        <w:tc>
          <w:tcPr>
            <w:tcW w:w="652" w:type="pct"/>
            <w:vAlign w:val="center"/>
          </w:tcPr>
          <w:p w14:paraId="6AF11F5A">
            <w:pPr>
              <w:pStyle w:val="17"/>
              <w:bidi w:val="0"/>
              <w:rPr>
                <w:rFonts w:hint="default"/>
                <w:color w:val="auto"/>
                <w:highlight w:val="none"/>
                <w:lang w:val="en-US" w:eastAsia="zh-CN"/>
              </w:rPr>
            </w:pPr>
            <w:r>
              <w:rPr>
                <w:rFonts w:hint="eastAsia"/>
                <w:color w:val="auto"/>
                <w:highlight w:val="none"/>
                <w:lang w:val="en-US" w:eastAsia="zh-CN"/>
              </w:rPr>
              <w:t>75</w:t>
            </w:r>
          </w:p>
        </w:tc>
        <w:tc>
          <w:tcPr>
            <w:tcW w:w="652" w:type="pct"/>
            <w:vMerge w:val="continue"/>
            <w:vAlign w:val="center"/>
          </w:tcPr>
          <w:p w14:paraId="514E4999">
            <w:pPr>
              <w:pStyle w:val="17"/>
              <w:bidi w:val="0"/>
              <w:rPr>
                <w:rFonts w:hint="eastAsia"/>
                <w:color w:val="auto"/>
                <w:highlight w:val="none"/>
                <w:lang w:val="en-US" w:eastAsia="zh-CN"/>
              </w:rPr>
            </w:pPr>
          </w:p>
        </w:tc>
        <w:tc>
          <w:tcPr>
            <w:tcW w:w="626" w:type="pct"/>
            <w:vMerge w:val="continue"/>
            <w:vAlign w:val="center"/>
          </w:tcPr>
          <w:p w14:paraId="5628D251">
            <w:pPr>
              <w:pStyle w:val="17"/>
              <w:bidi w:val="0"/>
              <w:rPr>
                <w:rFonts w:hint="eastAsia"/>
                <w:color w:val="auto"/>
                <w:highlight w:val="none"/>
                <w:lang w:val="en-US" w:eastAsia="zh-CN"/>
              </w:rPr>
            </w:pPr>
          </w:p>
        </w:tc>
      </w:tr>
      <w:tr w14:paraId="3A0AB1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2" w:hRule="atLeast"/>
          <w:jc w:val="center"/>
        </w:trPr>
        <w:tc>
          <w:tcPr>
            <w:tcW w:w="286" w:type="pct"/>
            <w:vMerge w:val="continue"/>
            <w:vAlign w:val="center"/>
          </w:tcPr>
          <w:p w14:paraId="66872473">
            <w:pPr>
              <w:pStyle w:val="17"/>
              <w:bidi w:val="0"/>
              <w:rPr>
                <w:color w:val="auto"/>
                <w:highlight w:val="none"/>
              </w:rPr>
            </w:pPr>
          </w:p>
        </w:tc>
        <w:tc>
          <w:tcPr>
            <w:tcW w:w="476" w:type="pct"/>
            <w:vMerge w:val="continue"/>
            <w:vAlign w:val="center"/>
          </w:tcPr>
          <w:p w14:paraId="15641E66">
            <w:pPr>
              <w:pStyle w:val="17"/>
              <w:bidi w:val="0"/>
              <w:rPr>
                <w:color w:val="auto"/>
                <w:highlight w:val="none"/>
              </w:rPr>
            </w:pPr>
          </w:p>
        </w:tc>
        <w:tc>
          <w:tcPr>
            <w:tcW w:w="763" w:type="pct"/>
            <w:vAlign w:val="center"/>
          </w:tcPr>
          <w:p w14:paraId="12289EA8">
            <w:pPr>
              <w:pStyle w:val="17"/>
              <w:bidi w:val="0"/>
              <w:rPr>
                <w:rFonts w:hint="eastAsia"/>
                <w:color w:val="auto"/>
                <w:highlight w:val="none"/>
              </w:rPr>
            </w:pPr>
            <w:r>
              <w:rPr>
                <w:rFonts w:hint="eastAsia"/>
                <w:color w:val="auto"/>
                <w:highlight w:val="none"/>
                <w:lang w:eastAsia="zh-CN"/>
              </w:rPr>
              <w:t>氟化物</w:t>
            </w:r>
          </w:p>
        </w:tc>
        <w:tc>
          <w:tcPr>
            <w:tcW w:w="765" w:type="pct"/>
            <w:vAlign w:val="center"/>
          </w:tcPr>
          <w:p w14:paraId="771F7619">
            <w:pPr>
              <w:pStyle w:val="17"/>
              <w:bidi w:val="0"/>
              <w:rPr>
                <w:rFonts w:hint="eastAsia"/>
                <w:color w:val="auto"/>
                <w:highlight w:val="none"/>
                <w:lang w:val="en-US" w:eastAsia="zh-CN"/>
              </w:rPr>
            </w:pPr>
            <w:r>
              <w:rPr>
                <w:rFonts w:hint="eastAsia"/>
                <w:color w:val="auto"/>
                <w:highlight w:val="none"/>
                <w:lang w:val="en-US" w:eastAsia="zh-CN"/>
              </w:rPr>
              <w:t>0</w:t>
            </w:r>
          </w:p>
        </w:tc>
        <w:tc>
          <w:tcPr>
            <w:tcW w:w="774" w:type="pct"/>
            <w:vAlign w:val="center"/>
          </w:tcPr>
          <w:p w14:paraId="0065295B">
            <w:pPr>
              <w:pStyle w:val="17"/>
              <w:bidi w:val="0"/>
              <w:rPr>
                <w:rFonts w:hint="default" w:eastAsia="宋体"/>
                <w:color w:val="auto"/>
                <w:highlight w:val="none"/>
                <w:lang w:val="en-US" w:eastAsia="zh-CN"/>
              </w:rPr>
            </w:pPr>
            <w:r>
              <w:rPr>
                <w:rFonts w:hint="eastAsia"/>
                <w:color w:val="auto"/>
                <w:highlight w:val="none"/>
                <w:lang w:val="en-US" w:eastAsia="zh-CN"/>
              </w:rPr>
              <w:t>169.0714</w:t>
            </w:r>
          </w:p>
        </w:tc>
        <w:tc>
          <w:tcPr>
            <w:tcW w:w="652" w:type="pct"/>
            <w:vAlign w:val="center"/>
          </w:tcPr>
          <w:p w14:paraId="73BA9A6F">
            <w:pPr>
              <w:pStyle w:val="17"/>
              <w:bidi w:val="0"/>
              <w:rPr>
                <w:rFonts w:hint="default"/>
                <w:color w:val="auto"/>
                <w:highlight w:val="none"/>
                <w:lang w:val="en-US" w:eastAsia="zh-CN"/>
              </w:rPr>
            </w:pPr>
            <w:r>
              <w:rPr>
                <w:rFonts w:hint="eastAsia"/>
                <w:color w:val="auto"/>
                <w:highlight w:val="none"/>
                <w:lang w:val="en-US" w:eastAsia="zh-CN"/>
              </w:rPr>
              <w:t>11.8350</w:t>
            </w:r>
          </w:p>
        </w:tc>
        <w:tc>
          <w:tcPr>
            <w:tcW w:w="652" w:type="pct"/>
            <w:vMerge w:val="continue"/>
            <w:vAlign w:val="center"/>
          </w:tcPr>
          <w:p w14:paraId="4FA0091F">
            <w:pPr>
              <w:pStyle w:val="17"/>
              <w:bidi w:val="0"/>
              <w:rPr>
                <w:rFonts w:hint="eastAsia"/>
                <w:color w:val="auto"/>
                <w:highlight w:val="none"/>
                <w:lang w:val="en-US" w:eastAsia="zh-CN"/>
              </w:rPr>
            </w:pPr>
          </w:p>
        </w:tc>
        <w:tc>
          <w:tcPr>
            <w:tcW w:w="626" w:type="pct"/>
            <w:vMerge w:val="continue"/>
            <w:vAlign w:val="center"/>
          </w:tcPr>
          <w:p w14:paraId="3FD8B192">
            <w:pPr>
              <w:pStyle w:val="17"/>
              <w:bidi w:val="0"/>
              <w:rPr>
                <w:rFonts w:hint="eastAsia"/>
                <w:color w:val="auto"/>
                <w:highlight w:val="none"/>
                <w:lang w:val="en-US" w:eastAsia="zh-CN"/>
              </w:rPr>
            </w:pPr>
          </w:p>
        </w:tc>
      </w:tr>
      <w:tr w14:paraId="037A9A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2" w:hRule="atLeast"/>
          <w:jc w:val="center"/>
        </w:trPr>
        <w:tc>
          <w:tcPr>
            <w:tcW w:w="286" w:type="pct"/>
            <w:vMerge w:val="continue"/>
            <w:vAlign w:val="center"/>
          </w:tcPr>
          <w:p w14:paraId="01968554">
            <w:pPr>
              <w:pStyle w:val="17"/>
              <w:bidi w:val="0"/>
              <w:rPr>
                <w:color w:val="auto"/>
                <w:highlight w:val="none"/>
              </w:rPr>
            </w:pPr>
          </w:p>
        </w:tc>
        <w:tc>
          <w:tcPr>
            <w:tcW w:w="476" w:type="pct"/>
            <w:vMerge w:val="restart"/>
            <w:shd w:val="clear" w:color="auto" w:fill="auto"/>
            <w:vAlign w:val="center"/>
          </w:tcPr>
          <w:p w14:paraId="03149886">
            <w:pPr>
              <w:pStyle w:val="17"/>
              <w:bidi w:val="0"/>
              <w:rPr>
                <w:rFonts w:hint="default"/>
                <w:color w:val="auto"/>
                <w:highlight w:val="none"/>
                <w:lang w:val="en-US" w:eastAsia="zh-CN"/>
              </w:rPr>
            </w:pPr>
            <w:r>
              <w:rPr>
                <w:rFonts w:hint="eastAsia"/>
                <w:color w:val="auto"/>
                <w:highlight w:val="none"/>
                <w:lang w:val="en-US" w:eastAsia="zh-CN"/>
              </w:rPr>
              <w:t>粉矿仓</w:t>
            </w:r>
            <w:r>
              <w:rPr>
                <w:rFonts w:hint="eastAsia"/>
                <w:color w:val="auto"/>
                <w:highlight w:val="none"/>
              </w:rPr>
              <w:t>排气筒</w:t>
            </w:r>
          </w:p>
        </w:tc>
        <w:tc>
          <w:tcPr>
            <w:tcW w:w="763" w:type="pct"/>
            <w:vAlign w:val="center"/>
          </w:tcPr>
          <w:p w14:paraId="2EFEB98D">
            <w:pPr>
              <w:pStyle w:val="17"/>
              <w:bidi w:val="0"/>
              <w:rPr>
                <w:rFonts w:hint="eastAsia"/>
                <w:color w:val="auto"/>
                <w:highlight w:val="none"/>
              </w:rPr>
            </w:pPr>
            <w:r>
              <w:rPr>
                <w:rFonts w:hint="eastAsia"/>
                <w:color w:val="auto"/>
                <w:highlight w:val="none"/>
              </w:rPr>
              <w:t>粉尘</w:t>
            </w:r>
          </w:p>
        </w:tc>
        <w:tc>
          <w:tcPr>
            <w:tcW w:w="765" w:type="pct"/>
            <w:vAlign w:val="center"/>
          </w:tcPr>
          <w:p w14:paraId="709CF1B4">
            <w:pPr>
              <w:pStyle w:val="17"/>
              <w:bidi w:val="0"/>
              <w:rPr>
                <w:rFonts w:hint="default"/>
                <w:color w:val="auto"/>
                <w:highlight w:val="none"/>
                <w:lang w:val="en-US" w:eastAsia="zh-CN"/>
              </w:rPr>
            </w:pPr>
            <w:r>
              <w:rPr>
                <w:rFonts w:hint="eastAsia"/>
                <w:color w:val="auto"/>
                <w:highlight w:val="none"/>
                <w:lang w:val="en-US" w:eastAsia="zh-CN"/>
              </w:rPr>
              <w:t>0</w:t>
            </w:r>
          </w:p>
        </w:tc>
        <w:tc>
          <w:tcPr>
            <w:tcW w:w="774" w:type="pct"/>
            <w:vAlign w:val="center"/>
          </w:tcPr>
          <w:p w14:paraId="2EF8120B">
            <w:pPr>
              <w:pStyle w:val="17"/>
              <w:bidi w:val="0"/>
              <w:ind w:firstLine="0" w:firstLineChars="0"/>
              <w:rPr>
                <w:rFonts w:hint="eastAsia"/>
                <w:color w:val="auto"/>
                <w:highlight w:val="none"/>
              </w:rPr>
            </w:pPr>
            <w:r>
              <w:rPr>
                <w:rFonts w:hint="eastAsia"/>
                <w:color w:val="auto"/>
                <w:highlight w:val="none"/>
                <w:lang w:val="en-US" w:eastAsia="zh-CN"/>
              </w:rPr>
              <w:t>1250</w:t>
            </w:r>
          </w:p>
        </w:tc>
        <w:tc>
          <w:tcPr>
            <w:tcW w:w="652" w:type="pct"/>
            <w:vAlign w:val="center"/>
          </w:tcPr>
          <w:p w14:paraId="236E67A9">
            <w:pPr>
              <w:pStyle w:val="17"/>
              <w:bidi w:val="0"/>
              <w:ind w:firstLine="0" w:firstLineChars="0"/>
              <w:rPr>
                <w:rFonts w:hint="eastAsia"/>
                <w:color w:val="auto"/>
                <w:highlight w:val="none"/>
                <w:lang w:val="en-US" w:eastAsia="zh-CN"/>
              </w:rPr>
            </w:pPr>
            <w:r>
              <w:rPr>
                <w:rFonts w:hint="eastAsia"/>
                <w:color w:val="auto"/>
                <w:highlight w:val="none"/>
                <w:lang w:val="en-US" w:eastAsia="zh-CN"/>
              </w:rPr>
              <w:t>7.5</w:t>
            </w:r>
          </w:p>
        </w:tc>
        <w:tc>
          <w:tcPr>
            <w:tcW w:w="652" w:type="pct"/>
            <w:vMerge w:val="continue"/>
            <w:vAlign w:val="center"/>
          </w:tcPr>
          <w:p w14:paraId="39D30569">
            <w:pPr>
              <w:pStyle w:val="17"/>
              <w:bidi w:val="0"/>
              <w:rPr>
                <w:rFonts w:hint="eastAsia"/>
                <w:color w:val="auto"/>
                <w:highlight w:val="none"/>
                <w:lang w:val="en-US" w:eastAsia="zh-CN"/>
              </w:rPr>
            </w:pPr>
          </w:p>
        </w:tc>
        <w:tc>
          <w:tcPr>
            <w:tcW w:w="626" w:type="pct"/>
            <w:vMerge w:val="continue"/>
            <w:vAlign w:val="center"/>
          </w:tcPr>
          <w:p w14:paraId="7E17165C">
            <w:pPr>
              <w:pStyle w:val="17"/>
              <w:bidi w:val="0"/>
              <w:rPr>
                <w:rFonts w:hint="eastAsia"/>
                <w:color w:val="auto"/>
                <w:highlight w:val="none"/>
                <w:lang w:val="en-US" w:eastAsia="zh-CN"/>
              </w:rPr>
            </w:pPr>
          </w:p>
        </w:tc>
      </w:tr>
      <w:tr w14:paraId="07FE6E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2" w:hRule="atLeast"/>
          <w:jc w:val="center"/>
        </w:trPr>
        <w:tc>
          <w:tcPr>
            <w:tcW w:w="286" w:type="pct"/>
            <w:vMerge w:val="continue"/>
            <w:vAlign w:val="center"/>
          </w:tcPr>
          <w:p w14:paraId="23D452B2">
            <w:pPr>
              <w:pStyle w:val="17"/>
              <w:bidi w:val="0"/>
              <w:rPr>
                <w:color w:val="auto"/>
                <w:highlight w:val="none"/>
              </w:rPr>
            </w:pPr>
          </w:p>
        </w:tc>
        <w:tc>
          <w:tcPr>
            <w:tcW w:w="476" w:type="pct"/>
            <w:vMerge w:val="continue"/>
            <w:vAlign w:val="center"/>
          </w:tcPr>
          <w:p w14:paraId="11C6D84A">
            <w:pPr>
              <w:pStyle w:val="17"/>
              <w:bidi w:val="0"/>
              <w:rPr>
                <w:color w:val="auto"/>
                <w:highlight w:val="none"/>
              </w:rPr>
            </w:pPr>
          </w:p>
        </w:tc>
        <w:tc>
          <w:tcPr>
            <w:tcW w:w="763" w:type="pct"/>
            <w:vAlign w:val="center"/>
          </w:tcPr>
          <w:p w14:paraId="4641A48A">
            <w:pPr>
              <w:pStyle w:val="17"/>
              <w:bidi w:val="0"/>
              <w:rPr>
                <w:rFonts w:hint="eastAsia"/>
                <w:color w:val="auto"/>
                <w:highlight w:val="none"/>
              </w:rPr>
            </w:pPr>
            <w:r>
              <w:rPr>
                <w:rFonts w:hint="eastAsia"/>
                <w:color w:val="auto"/>
                <w:highlight w:val="none"/>
                <w:lang w:eastAsia="zh-CN"/>
              </w:rPr>
              <w:t>氟化物</w:t>
            </w:r>
          </w:p>
        </w:tc>
        <w:tc>
          <w:tcPr>
            <w:tcW w:w="765" w:type="pct"/>
            <w:vAlign w:val="center"/>
          </w:tcPr>
          <w:p w14:paraId="2EDCDAA7">
            <w:pPr>
              <w:pStyle w:val="17"/>
              <w:bidi w:val="0"/>
              <w:rPr>
                <w:rFonts w:hint="eastAsia"/>
                <w:color w:val="auto"/>
                <w:highlight w:val="none"/>
                <w:lang w:val="en-US" w:eastAsia="zh-CN"/>
              </w:rPr>
            </w:pPr>
            <w:r>
              <w:rPr>
                <w:rFonts w:hint="eastAsia"/>
                <w:color w:val="auto"/>
                <w:highlight w:val="none"/>
                <w:lang w:val="en-US" w:eastAsia="zh-CN"/>
              </w:rPr>
              <w:t>0</w:t>
            </w:r>
          </w:p>
        </w:tc>
        <w:tc>
          <w:tcPr>
            <w:tcW w:w="774" w:type="pct"/>
            <w:vAlign w:val="center"/>
          </w:tcPr>
          <w:p w14:paraId="537B0B98">
            <w:pPr>
              <w:pStyle w:val="17"/>
              <w:bidi w:val="0"/>
              <w:ind w:firstLine="0" w:firstLineChars="0"/>
              <w:rPr>
                <w:rFonts w:hint="eastAsia"/>
                <w:color w:val="auto"/>
                <w:highlight w:val="none"/>
              </w:rPr>
            </w:pPr>
            <w:r>
              <w:rPr>
                <w:rFonts w:hint="eastAsia"/>
                <w:color w:val="auto"/>
                <w:highlight w:val="none"/>
                <w:lang w:val="en-US" w:eastAsia="zh-CN"/>
              </w:rPr>
              <w:t>197.25</w:t>
            </w:r>
          </w:p>
        </w:tc>
        <w:tc>
          <w:tcPr>
            <w:tcW w:w="652" w:type="pct"/>
            <w:vAlign w:val="center"/>
          </w:tcPr>
          <w:p w14:paraId="4FE1F003">
            <w:pPr>
              <w:pStyle w:val="17"/>
              <w:bidi w:val="0"/>
              <w:ind w:firstLine="0" w:firstLineChars="0"/>
              <w:rPr>
                <w:rFonts w:hint="eastAsia"/>
                <w:color w:val="auto"/>
                <w:highlight w:val="none"/>
                <w:lang w:val="en-US" w:eastAsia="zh-CN"/>
              </w:rPr>
            </w:pPr>
            <w:r>
              <w:rPr>
                <w:rFonts w:hint="eastAsia"/>
                <w:color w:val="auto"/>
                <w:highlight w:val="none"/>
                <w:lang w:val="en-US" w:eastAsia="zh-CN"/>
              </w:rPr>
              <w:t>1.1835</w:t>
            </w:r>
          </w:p>
        </w:tc>
        <w:tc>
          <w:tcPr>
            <w:tcW w:w="652" w:type="pct"/>
            <w:vMerge w:val="continue"/>
            <w:vAlign w:val="center"/>
          </w:tcPr>
          <w:p w14:paraId="5A8E641B">
            <w:pPr>
              <w:pStyle w:val="17"/>
              <w:bidi w:val="0"/>
              <w:rPr>
                <w:rFonts w:hint="eastAsia"/>
                <w:color w:val="auto"/>
                <w:highlight w:val="none"/>
                <w:lang w:val="en-US" w:eastAsia="zh-CN"/>
              </w:rPr>
            </w:pPr>
          </w:p>
        </w:tc>
        <w:tc>
          <w:tcPr>
            <w:tcW w:w="626" w:type="pct"/>
            <w:vMerge w:val="continue"/>
            <w:vAlign w:val="center"/>
          </w:tcPr>
          <w:p w14:paraId="26869BD7">
            <w:pPr>
              <w:pStyle w:val="17"/>
              <w:bidi w:val="0"/>
              <w:rPr>
                <w:rFonts w:hint="eastAsia"/>
                <w:color w:val="auto"/>
                <w:highlight w:val="none"/>
                <w:lang w:val="en-US" w:eastAsia="zh-CN"/>
              </w:rPr>
            </w:pPr>
          </w:p>
        </w:tc>
      </w:tr>
      <w:tr w14:paraId="45C675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60" w:hRule="atLeast"/>
          <w:jc w:val="center"/>
        </w:trPr>
        <w:tc>
          <w:tcPr>
            <w:tcW w:w="286" w:type="pct"/>
            <w:vMerge w:val="continue"/>
            <w:vAlign w:val="center"/>
          </w:tcPr>
          <w:p w14:paraId="4F8C7A46">
            <w:pPr>
              <w:pStyle w:val="17"/>
              <w:bidi w:val="0"/>
              <w:rPr>
                <w:color w:val="auto"/>
                <w:highlight w:val="none"/>
              </w:rPr>
            </w:pPr>
          </w:p>
        </w:tc>
        <w:tc>
          <w:tcPr>
            <w:tcW w:w="476" w:type="pct"/>
            <w:shd w:val="clear" w:color="auto" w:fill="auto"/>
            <w:vAlign w:val="center"/>
          </w:tcPr>
          <w:p w14:paraId="42A794D0">
            <w:pPr>
              <w:pStyle w:val="17"/>
              <w:bidi w:val="0"/>
              <w:rPr>
                <w:rFonts w:hint="default"/>
                <w:color w:val="auto"/>
                <w:highlight w:val="none"/>
                <w:lang w:val="en-US" w:eastAsia="zh-CN"/>
              </w:rPr>
            </w:pPr>
            <w:r>
              <w:rPr>
                <w:rFonts w:hint="eastAsia"/>
                <w:color w:val="auto"/>
                <w:highlight w:val="none"/>
                <w:lang w:val="en-US" w:eastAsia="zh-CN"/>
              </w:rPr>
              <w:t>硫酸稀释车间排气筒</w:t>
            </w:r>
          </w:p>
        </w:tc>
        <w:tc>
          <w:tcPr>
            <w:tcW w:w="763" w:type="pct"/>
            <w:vAlign w:val="center"/>
          </w:tcPr>
          <w:p w14:paraId="04C08BE1">
            <w:pPr>
              <w:pStyle w:val="17"/>
              <w:bidi w:val="0"/>
              <w:rPr>
                <w:rFonts w:hint="eastAsia"/>
                <w:color w:val="auto"/>
                <w:highlight w:val="none"/>
                <w:lang w:eastAsia="zh-CN"/>
              </w:rPr>
            </w:pPr>
            <w:r>
              <w:rPr>
                <w:rFonts w:hint="eastAsia"/>
                <w:color w:val="auto"/>
                <w:highlight w:val="none"/>
                <w:lang w:val="en-US" w:eastAsia="zh-CN"/>
              </w:rPr>
              <w:t>硫酸雾</w:t>
            </w:r>
          </w:p>
        </w:tc>
        <w:tc>
          <w:tcPr>
            <w:tcW w:w="765" w:type="pct"/>
            <w:vAlign w:val="center"/>
          </w:tcPr>
          <w:p w14:paraId="341584F7">
            <w:pPr>
              <w:pStyle w:val="17"/>
              <w:bidi w:val="0"/>
              <w:rPr>
                <w:rFonts w:hint="default"/>
                <w:color w:val="auto"/>
                <w:highlight w:val="none"/>
                <w:lang w:val="en-US" w:eastAsia="zh-CN"/>
              </w:rPr>
            </w:pPr>
            <w:r>
              <w:rPr>
                <w:rFonts w:hint="eastAsia"/>
                <w:color w:val="auto"/>
                <w:highlight w:val="none"/>
                <w:lang w:val="en-US" w:eastAsia="zh-CN"/>
              </w:rPr>
              <w:t>45%</w:t>
            </w:r>
          </w:p>
        </w:tc>
        <w:tc>
          <w:tcPr>
            <w:tcW w:w="774" w:type="pct"/>
            <w:vAlign w:val="center"/>
          </w:tcPr>
          <w:p w14:paraId="3588BD27">
            <w:pPr>
              <w:pStyle w:val="17"/>
              <w:bidi w:val="0"/>
              <w:rPr>
                <w:rFonts w:hint="default"/>
                <w:color w:val="auto"/>
                <w:highlight w:val="none"/>
                <w:lang w:val="en-US" w:eastAsia="zh-CN"/>
              </w:rPr>
            </w:pPr>
            <w:r>
              <w:rPr>
                <w:rFonts w:hint="eastAsia"/>
                <w:color w:val="auto"/>
                <w:highlight w:val="none"/>
                <w:lang w:val="en-US" w:eastAsia="zh-CN"/>
              </w:rPr>
              <w:t>98.0833</w:t>
            </w:r>
          </w:p>
        </w:tc>
        <w:tc>
          <w:tcPr>
            <w:tcW w:w="652" w:type="pct"/>
            <w:vAlign w:val="center"/>
          </w:tcPr>
          <w:p w14:paraId="72C297AC">
            <w:pPr>
              <w:pStyle w:val="17"/>
              <w:bidi w:val="0"/>
              <w:rPr>
                <w:rFonts w:hint="default"/>
                <w:color w:val="auto"/>
                <w:highlight w:val="none"/>
                <w:lang w:val="en-US" w:eastAsia="zh-CN"/>
              </w:rPr>
            </w:pPr>
            <w:r>
              <w:rPr>
                <w:rFonts w:hint="eastAsia"/>
                <w:color w:val="auto"/>
                <w:highlight w:val="none"/>
                <w:lang w:val="en-US" w:eastAsia="zh-CN"/>
              </w:rPr>
              <w:t>0.7062</w:t>
            </w:r>
          </w:p>
        </w:tc>
        <w:tc>
          <w:tcPr>
            <w:tcW w:w="652" w:type="pct"/>
            <w:vMerge w:val="continue"/>
            <w:vAlign w:val="center"/>
          </w:tcPr>
          <w:p w14:paraId="4B5E87A0">
            <w:pPr>
              <w:pStyle w:val="17"/>
              <w:bidi w:val="0"/>
              <w:rPr>
                <w:rFonts w:hint="eastAsia"/>
                <w:color w:val="auto"/>
                <w:highlight w:val="none"/>
                <w:lang w:val="en-US" w:eastAsia="zh-CN"/>
              </w:rPr>
            </w:pPr>
          </w:p>
        </w:tc>
        <w:tc>
          <w:tcPr>
            <w:tcW w:w="626" w:type="pct"/>
            <w:vMerge w:val="continue"/>
            <w:vAlign w:val="center"/>
          </w:tcPr>
          <w:p w14:paraId="5472B3C7">
            <w:pPr>
              <w:pStyle w:val="17"/>
              <w:bidi w:val="0"/>
              <w:rPr>
                <w:rFonts w:hint="eastAsia"/>
                <w:color w:val="auto"/>
                <w:highlight w:val="none"/>
                <w:lang w:val="en-US" w:eastAsia="zh-CN"/>
              </w:rPr>
            </w:pPr>
          </w:p>
        </w:tc>
      </w:tr>
    </w:tbl>
    <w:p w14:paraId="010747BA">
      <w:pPr>
        <w:pStyle w:val="6"/>
        <w:bidi w:val="0"/>
        <w:rPr>
          <w:rFonts w:hint="eastAsia"/>
          <w:color w:val="auto"/>
          <w:highlight w:val="none"/>
          <w:lang w:eastAsia="zh-CN"/>
        </w:rPr>
      </w:pPr>
      <w:r>
        <w:rPr>
          <w:color w:val="auto"/>
          <w:highlight w:val="none"/>
        </w:rPr>
        <w:t>3.</w:t>
      </w:r>
      <w:r>
        <w:rPr>
          <w:rFonts w:hint="eastAsia"/>
          <w:color w:val="auto"/>
          <w:highlight w:val="none"/>
          <w:lang w:val="en-US" w:eastAsia="zh-CN"/>
        </w:rPr>
        <w:t>3.2废水</w:t>
      </w:r>
    </w:p>
    <w:p w14:paraId="09491952">
      <w:pPr>
        <w:overflowPunct w:val="0"/>
        <w:topLinePunct/>
        <w:ind w:firstLine="480"/>
        <w:rPr>
          <w:color w:val="auto"/>
          <w:kern w:val="0"/>
          <w:highlight w:val="none"/>
        </w:rPr>
      </w:pPr>
      <w:r>
        <w:rPr>
          <w:rFonts w:hint="eastAsia"/>
          <w:color w:val="auto"/>
          <w:kern w:val="0"/>
          <w:highlight w:val="none"/>
        </w:rPr>
        <w:t>项目运营期废水主要</w:t>
      </w:r>
      <w:r>
        <w:rPr>
          <w:color w:val="auto"/>
          <w:highlight w:val="none"/>
        </w:rPr>
        <w:t>为选矿工艺产生的选矿废水</w:t>
      </w:r>
      <w:r>
        <w:rPr>
          <w:rFonts w:hint="eastAsia"/>
          <w:color w:val="auto"/>
          <w:highlight w:val="none"/>
        </w:rPr>
        <w:t>、</w:t>
      </w:r>
      <w:r>
        <w:rPr>
          <w:color w:val="auto"/>
          <w:highlight w:val="none"/>
        </w:rPr>
        <w:t>办公生活区产生的少量生活污水</w:t>
      </w:r>
      <w:r>
        <w:rPr>
          <w:rFonts w:hint="eastAsia"/>
          <w:color w:val="auto"/>
          <w:highlight w:val="none"/>
        </w:rPr>
        <w:t>、锅炉房废水（包括锅炉排污水、软水系统废水）以及化验废水</w:t>
      </w:r>
      <w:r>
        <w:rPr>
          <w:rFonts w:hint="eastAsia"/>
          <w:color w:val="auto"/>
          <w:kern w:val="0"/>
          <w:highlight w:val="none"/>
        </w:rPr>
        <w:t>。</w:t>
      </w:r>
    </w:p>
    <w:p w14:paraId="4973B98E">
      <w:pPr>
        <w:overflowPunct w:val="0"/>
        <w:topLinePunct/>
        <w:ind w:firstLine="480"/>
        <w:rPr>
          <w:rFonts w:hint="eastAsia"/>
          <w:color w:val="auto"/>
          <w:kern w:val="0"/>
          <w:highlight w:val="none"/>
          <w:lang w:val="en-US" w:eastAsia="zh-CN"/>
        </w:rPr>
      </w:pPr>
      <w:r>
        <w:rPr>
          <w:rFonts w:hint="eastAsia"/>
          <w:color w:val="auto"/>
          <w:kern w:val="0"/>
          <w:highlight w:val="none"/>
        </w:rPr>
        <w:t>（1）</w:t>
      </w:r>
      <w:r>
        <w:rPr>
          <w:rFonts w:hint="eastAsia"/>
          <w:color w:val="auto"/>
          <w:kern w:val="0"/>
          <w:highlight w:val="none"/>
          <w:lang w:val="en-US" w:eastAsia="zh-CN"/>
        </w:rPr>
        <w:t>矿井涌水</w:t>
      </w:r>
    </w:p>
    <w:p w14:paraId="77480072">
      <w:pPr>
        <w:bidi w:val="0"/>
        <w:rPr>
          <w:rFonts w:hint="eastAsia"/>
          <w:color w:val="auto"/>
          <w:highlight w:val="none"/>
          <w:lang w:val="en-US" w:eastAsia="zh-CN"/>
        </w:rPr>
      </w:pPr>
      <w:r>
        <w:rPr>
          <w:color w:val="auto"/>
          <w:highlight w:val="none"/>
        </w:rPr>
        <w:t>实际开采时，矿井涌水主要污染物为SS，同时矿井下方部分矿石会因氧化作用或者因矿物质粉尘进入矿井涌水，会析出矿石中的氟化物成分，可能会使矿井涌水中的氟化物浓度增加，故必须对生产工况下的矿井涌水进行沉淀处理。</w:t>
      </w:r>
      <w:r>
        <w:rPr>
          <w:rFonts w:hint="eastAsia"/>
          <w:color w:val="auto"/>
          <w:highlight w:val="none"/>
          <w:lang w:eastAsia="zh-CN"/>
        </w:rPr>
        <w:t>首采期和中期</w:t>
      </w:r>
      <w:r>
        <w:rPr>
          <w:color w:val="auto"/>
          <w:highlight w:val="none"/>
        </w:rPr>
        <w:t>矿井涌水经</w:t>
      </w:r>
      <w:r>
        <w:rPr>
          <w:rFonts w:hint="eastAsia"/>
          <w:color w:val="auto"/>
          <w:highlight w:val="none"/>
          <w:lang w:eastAsia="zh-CN"/>
        </w:rPr>
        <w:t>混凝</w:t>
      </w:r>
      <w:r>
        <w:rPr>
          <w:color w:val="auto"/>
          <w:highlight w:val="none"/>
        </w:rPr>
        <w:t>沉淀处理</w:t>
      </w:r>
      <w:r>
        <w:rPr>
          <w:rFonts w:hint="eastAsia"/>
          <w:color w:val="auto"/>
          <w:highlight w:val="none"/>
          <w:lang w:eastAsia="zh-CN"/>
        </w:rPr>
        <w:t>达到</w:t>
      </w:r>
      <w:r>
        <w:rPr>
          <w:rFonts w:hint="eastAsia" w:cs="Times New Roman"/>
          <w:color w:val="auto"/>
          <w:spacing w:val="-5"/>
          <w:sz w:val="24"/>
          <w:highlight w:val="none"/>
          <w:vertAlign w:val="baseline"/>
          <w:lang w:val="en-US" w:eastAsia="zh-CN"/>
        </w:rPr>
        <w:t>《城市污水再生利用 城市杂用水水质》（GB/T18920-2020）中的城市绿化、道路清扫、消防、建筑施工限值标准</w:t>
      </w:r>
      <w:r>
        <w:rPr>
          <w:color w:val="auto"/>
          <w:highlight w:val="none"/>
        </w:rPr>
        <w:t>后回用作矿区井下生产用水、</w:t>
      </w:r>
      <w:r>
        <w:rPr>
          <w:rFonts w:hint="eastAsia"/>
          <w:color w:val="auto"/>
          <w:highlight w:val="none"/>
          <w:lang w:val="en-US" w:eastAsia="zh-CN"/>
        </w:rPr>
        <w:t>充填用水</w:t>
      </w:r>
      <w:r>
        <w:rPr>
          <w:color w:val="auto"/>
          <w:highlight w:val="none"/>
        </w:rPr>
        <w:t>等</w:t>
      </w:r>
      <w:r>
        <w:rPr>
          <w:rFonts w:hint="eastAsia"/>
          <w:color w:val="auto"/>
          <w:highlight w:val="none"/>
          <w:lang w:eastAsia="zh-CN"/>
        </w:rPr>
        <w:t>，后期涌水量大于采矿生产用水量，涌水回用剩余部分输送至配套选矿厂，用于选矿生产用水，</w:t>
      </w:r>
      <w:r>
        <w:rPr>
          <w:rFonts w:hint="eastAsia"/>
          <w:color w:val="auto"/>
          <w:highlight w:val="none"/>
          <w:lang w:val="en-US" w:eastAsia="zh-CN"/>
        </w:rPr>
        <w:t>不外排。由于后期开采在20年以后，现有勘探报告预测水量较大，井下涌水存在动态变化，后期开采视涌水情况提前探水，通过加大除尘用水频次和扩大矿区灌溉面积消耗多余涌水。</w:t>
      </w:r>
    </w:p>
    <w:p w14:paraId="4842BCF5">
      <w:pPr>
        <w:overflowPunct w:val="0"/>
        <w:topLinePunct/>
        <w:ind w:firstLine="480"/>
        <w:rPr>
          <w:color w:val="auto"/>
          <w:kern w:val="0"/>
          <w:highlight w:val="none"/>
        </w:rPr>
      </w:pPr>
      <w:r>
        <w:rPr>
          <w:rFonts w:hint="eastAsia"/>
          <w:color w:val="auto"/>
          <w:kern w:val="0"/>
          <w:highlight w:val="none"/>
          <w:lang w:eastAsia="zh-CN"/>
        </w:rPr>
        <w:t>（</w:t>
      </w:r>
      <w:r>
        <w:rPr>
          <w:rFonts w:hint="eastAsia"/>
          <w:color w:val="auto"/>
          <w:kern w:val="0"/>
          <w:highlight w:val="none"/>
          <w:lang w:val="en-US" w:eastAsia="zh-CN"/>
        </w:rPr>
        <w:t>2）</w:t>
      </w:r>
      <w:r>
        <w:rPr>
          <w:rFonts w:hint="eastAsia"/>
          <w:color w:val="auto"/>
          <w:kern w:val="0"/>
          <w:highlight w:val="none"/>
        </w:rPr>
        <w:t>选矿废水</w:t>
      </w:r>
    </w:p>
    <w:p w14:paraId="3AD0EE45">
      <w:pPr>
        <w:overflowPunct w:val="0"/>
        <w:topLinePunct/>
        <w:ind w:firstLine="480"/>
        <w:rPr>
          <w:color w:val="auto"/>
          <w:highlight w:val="none"/>
        </w:rPr>
      </w:pPr>
      <w:r>
        <w:rPr>
          <w:rFonts w:hint="eastAsia"/>
          <w:color w:val="auto"/>
          <w:highlight w:val="none"/>
        </w:rPr>
        <w:t>本项目运营期选矿废水产生于选矿过程中，选矿废水部分被</w:t>
      </w:r>
      <w:r>
        <w:rPr>
          <w:rFonts w:hint="eastAsia"/>
          <w:color w:val="auto"/>
          <w:highlight w:val="none"/>
          <w:lang w:eastAsia="zh-CN"/>
        </w:rPr>
        <w:t>萤石</w:t>
      </w:r>
      <w:r>
        <w:rPr>
          <w:rFonts w:hint="eastAsia"/>
          <w:color w:val="auto"/>
          <w:highlight w:val="none"/>
        </w:rPr>
        <w:t>精</w:t>
      </w:r>
      <w:r>
        <w:rPr>
          <w:rFonts w:hint="eastAsia"/>
          <w:color w:val="auto"/>
          <w:highlight w:val="none"/>
          <w:lang w:val="en-US" w:eastAsia="zh-CN"/>
        </w:rPr>
        <w:t>矿、尾矿</w:t>
      </w:r>
      <w:r>
        <w:rPr>
          <w:rFonts w:hint="eastAsia"/>
          <w:color w:val="auto"/>
          <w:highlight w:val="none"/>
        </w:rPr>
        <w:t>带走，</w:t>
      </w:r>
      <w:r>
        <w:rPr>
          <w:rFonts w:hint="eastAsia"/>
          <w:color w:val="auto"/>
          <w:highlight w:val="none"/>
          <w:lang w:eastAsia="zh-CN"/>
        </w:rPr>
        <w:t>精矿压滤</w:t>
      </w:r>
      <w:r>
        <w:rPr>
          <w:rFonts w:hint="eastAsia"/>
          <w:color w:val="auto"/>
          <w:highlight w:val="none"/>
        </w:rPr>
        <w:t>水、尾矿浓缩溢流水</w:t>
      </w:r>
      <w:r>
        <w:rPr>
          <w:rFonts w:hint="eastAsia"/>
          <w:color w:val="auto"/>
          <w:highlight w:val="none"/>
          <w:lang w:eastAsia="zh-CN"/>
        </w:rPr>
        <w:t>、</w:t>
      </w:r>
      <w:r>
        <w:rPr>
          <w:rFonts w:hint="eastAsia"/>
          <w:color w:val="auto"/>
          <w:highlight w:val="none"/>
          <w:lang w:val="en-US" w:eastAsia="zh-CN"/>
        </w:rPr>
        <w:t>填充站回水、</w:t>
      </w:r>
      <w:r>
        <w:rPr>
          <w:rFonts w:hint="eastAsia"/>
          <w:color w:val="auto"/>
          <w:highlight w:val="none"/>
        </w:rPr>
        <w:t>尾矿库回水</w:t>
      </w:r>
      <w:r>
        <w:rPr>
          <w:rFonts w:hint="eastAsia"/>
          <w:color w:val="auto"/>
          <w:highlight w:val="none"/>
          <w:lang w:val="en-US" w:eastAsia="zh-CN"/>
        </w:rPr>
        <w:t>经回水泵</w:t>
      </w:r>
      <w:r>
        <w:rPr>
          <w:rFonts w:hint="eastAsia"/>
          <w:color w:val="auto"/>
          <w:highlight w:val="none"/>
        </w:rPr>
        <w:t>通过管道泵送至选矿厂</w:t>
      </w:r>
      <w:r>
        <w:rPr>
          <w:rFonts w:hint="eastAsia"/>
          <w:color w:val="auto"/>
          <w:highlight w:val="none"/>
          <w:lang w:val="en-US" w:eastAsia="zh-CN"/>
        </w:rPr>
        <w:t>4000m</w:t>
      </w:r>
      <w:r>
        <w:rPr>
          <w:rFonts w:hint="eastAsia"/>
          <w:color w:val="auto"/>
          <w:highlight w:val="none"/>
          <w:vertAlign w:val="superscript"/>
          <w:lang w:val="en-US" w:eastAsia="zh-CN"/>
        </w:rPr>
        <w:t>3</w:t>
      </w:r>
      <w:r>
        <w:rPr>
          <w:rFonts w:hint="eastAsia"/>
          <w:color w:val="auto"/>
          <w:highlight w:val="none"/>
        </w:rPr>
        <w:t>生产回水池，供选矿循环使用，实现生产废水“闭路循环”，不外排。</w:t>
      </w:r>
    </w:p>
    <w:p w14:paraId="1A4895E6">
      <w:pPr>
        <w:overflowPunct w:val="0"/>
        <w:topLinePunct/>
        <w:ind w:firstLine="48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w:t>
      </w:r>
      <w:r>
        <w:rPr>
          <w:rFonts w:hint="eastAsia"/>
          <w:color w:val="auto"/>
          <w:kern w:val="0"/>
          <w:highlight w:val="none"/>
        </w:rPr>
        <w:t>生活污水</w:t>
      </w:r>
    </w:p>
    <w:p w14:paraId="45A598DA">
      <w:pPr>
        <w:overflowPunct w:val="0"/>
        <w:topLinePunct/>
        <w:ind w:firstLine="480"/>
        <w:rPr>
          <w:color w:val="auto"/>
          <w:highlight w:val="none"/>
        </w:rPr>
      </w:pPr>
      <w:r>
        <w:rPr>
          <w:rFonts w:hint="eastAsia"/>
          <w:color w:val="auto"/>
          <w:highlight w:val="none"/>
        </w:rPr>
        <w:t>生活污水主要为洗浴、食堂、卫生间以及洗衣等产生的，属于一般性生活污水，主要污染物为</w:t>
      </w:r>
      <w:r>
        <w:rPr>
          <w:color w:val="auto"/>
          <w:highlight w:val="none"/>
        </w:rPr>
        <w:t>SS</w:t>
      </w:r>
      <w:r>
        <w:rPr>
          <w:rFonts w:hint="eastAsia"/>
          <w:color w:val="auto"/>
          <w:highlight w:val="none"/>
        </w:rPr>
        <w:t>、</w:t>
      </w:r>
      <w:r>
        <w:rPr>
          <w:color w:val="auto"/>
          <w:highlight w:val="none"/>
        </w:rPr>
        <w:t>BOD</w:t>
      </w:r>
      <w:r>
        <w:rPr>
          <w:color w:val="auto"/>
          <w:highlight w:val="none"/>
          <w:vertAlign w:val="subscript"/>
        </w:rPr>
        <w:t>5</w:t>
      </w:r>
      <w:r>
        <w:rPr>
          <w:rFonts w:hint="eastAsia"/>
          <w:color w:val="auto"/>
          <w:highlight w:val="none"/>
        </w:rPr>
        <w:t>、</w:t>
      </w:r>
      <w:r>
        <w:rPr>
          <w:color w:val="auto"/>
          <w:highlight w:val="none"/>
        </w:rPr>
        <w:t>COD</w:t>
      </w:r>
      <w:r>
        <w:rPr>
          <w:rFonts w:hint="eastAsia"/>
          <w:color w:val="auto"/>
          <w:highlight w:val="none"/>
        </w:rPr>
        <w:t>、氨氮及动植物油等，</w:t>
      </w:r>
      <w:r>
        <w:rPr>
          <w:rFonts w:hint="eastAsia"/>
          <w:color w:val="auto"/>
          <w:highlight w:val="none"/>
          <w:lang w:eastAsia="zh-CN"/>
        </w:rPr>
        <w:t>工作人员</w:t>
      </w:r>
      <w:r>
        <w:rPr>
          <w:rFonts w:hint="eastAsia"/>
          <w:color w:val="auto"/>
          <w:highlight w:val="none"/>
        </w:rPr>
        <w:t>生活污水产生量</w:t>
      </w:r>
      <w:r>
        <w:rPr>
          <w:rFonts w:hint="eastAsia"/>
          <w:color w:val="auto"/>
          <w:highlight w:val="none"/>
          <w:lang w:val="en-US" w:eastAsia="zh-CN"/>
        </w:rPr>
        <w:t>约</w:t>
      </w:r>
      <w:r>
        <w:rPr>
          <w:rFonts w:hint="eastAsia"/>
          <w:color w:val="auto"/>
          <w:highlight w:val="none"/>
        </w:rPr>
        <w:t>为</w:t>
      </w:r>
      <w:r>
        <w:rPr>
          <w:rFonts w:hint="eastAsia"/>
          <w:color w:val="auto"/>
          <w:highlight w:val="none"/>
          <w:lang w:val="en-US" w:eastAsia="zh-CN"/>
        </w:rPr>
        <w:t>22.3</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6679.2</w:t>
      </w:r>
      <w:r>
        <w:rPr>
          <w:rFonts w:hint="eastAsia"/>
          <w:color w:val="auto"/>
          <w:highlight w:val="none"/>
        </w:rPr>
        <w:t>m</w:t>
      </w:r>
      <w:r>
        <w:rPr>
          <w:rFonts w:hint="eastAsia"/>
          <w:color w:val="auto"/>
          <w:highlight w:val="none"/>
          <w:vertAlign w:val="superscript"/>
        </w:rPr>
        <w:t>3</w:t>
      </w:r>
      <w:r>
        <w:rPr>
          <w:rFonts w:hint="eastAsia"/>
          <w:color w:val="auto"/>
          <w:highlight w:val="none"/>
        </w:rPr>
        <w:t>/a）。生活污水污染物浓度及产生量为</w:t>
      </w:r>
      <w:r>
        <w:rPr>
          <w:color w:val="auto"/>
          <w:highlight w:val="none"/>
        </w:rPr>
        <w:t>SS</w:t>
      </w:r>
      <w:r>
        <w:rPr>
          <w:rFonts w:hint="eastAsia"/>
          <w:color w:val="auto"/>
          <w:highlight w:val="none"/>
        </w:rPr>
        <w:t>：</w:t>
      </w:r>
      <w:r>
        <w:rPr>
          <w:color w:val="auto"/>
          <w:highlight w:val="none"/>
        </w:rPr>
        <w:t>220mg/L</w:t>
      </w:r>
      <w:r>
        <w:rPr>
          <w:rFonts w:hint="eastAsia"/>
          <w:color w:val="auto"/>
          <w:highlight w:val="none"/>
        </w:rPr>
        <w:t>（</w:t>
      </w:r>
      <w:r>
        <w:rPr>
          <w:rFonts w:hint="eastAsia"/>
          <w:color w:val="auto"/>
          <w:highlight w:val="none"/>
          <w:lang w:val="en-US" w:eastAsia="zh-CN"/>
        </w:rPr>
        <w:t>1.4694</w:t>
      </w:r>
      <w:r>
        <w:rPr>
          <w:color w:val="auto"/>
          <w:highlight w:val="none"/>
        </w:rPr>
        <w:t>t/a</w:t>
      </w:r>
      <w:r>
        <w:rPr>
          <w:rFonts w:hint="eastAsia"/>
          <w:color w:val="auto"/>
          <w:highlight w:val="none"/>
        </w:rPr>
        <w:t>）、</w:t>
      </w:r>
      <w:r>
        <w:rPr>
          <w:color w:val="auto"/>
          <w:highlight w:val="none"/>
        </w:rPr>
        <w:t>COD</w:t>
      </w:r>
      <w:r>
        <w:rPr>
          <w:rFonts w:hint="eastAsia"/>
          <w:color w:val="auto"/>
          <w:highlight w:val="none"/>
        </w:rPr>
        <w:t>：</w:t>
      </w:r>
      <w:r>
        <w:rPr>
          <w:color w:val="auto"/>
          <w:highlight w:val="none"/>
        </w:rPr>
        <w:t>300mg/L</w:t>
      </w:r>
      <w:r>
        <w:rPr>
          <w:rFonts w:hint="eastAsia"/>
          <w:color w:val="auto"/>
          <w:highlight w:val="none"/>
        </w:rPr>
        <w:t>（</w:t>
      </w:r>
      <w:r>
        <w:rPr>
          <w:rFonts w:hint="eastAsia"/>
          <w:color w:val="auto"/>
          <w:highlight w:val="none"/>
          <w:lang w:val="en-US" w:eastAsia="zh-CN"/>
        </w:rPr>
        <w:t>2.004</w:t>
      </w:r>
      <w:r>
        <w:rPr>
          <w:color w:val="auto"/>
          <w:highlight w:val="none"/>
        </w:rPr>
        <w:t>t/a</w:t>
      </w:r>
      <w:r>
        <w:rPr>
          <w:rFonts w:hint="eastAsia"/>
          <w:color w:val="auto"/>
          <w:highlight w:val="none"/>
        </w:rPr>
        <w:t>）、</w:t>
      </w:r>
      <w:r>
        <w:rPr>
          <w:color w:val="auto"/>
          <w:highlight w:val="none"/>
        </w:rPr>
        <w:t>BOD</w:t>
      </w:r>
      <w:r>
        <w:rPr>
          <w:color w:val="auto"/>
          <w:highlight w:val="none"/>
          <w:vertAlign w:val="subscript"/>
        </w:rPr>
        <w:t>5</w:t>
      </w:r>
      <w:r>
        <w:rPr>
          <w:rFonts w:hint="eastAsia"/>
          <w:color w:val="auto"/>
          <w:highlight w:val="none"/>
        </w:rPr>
        <w:t>：</w:t>
      </w:r>
      <w:r>
        <w:rPr>
          <w:color w:val="auto"/>
          <w:highlight w:val="none"/>
        </w:rPr>
        <w:t>200mg/L</w:t>
      </w:r>
      <w:r>
        <w:rPr>
          <w:rFonts w:hint="eastAsia"/>
          <w:color w:val="auto"/>
          <w:highlight w:val="none"/>
        </w:rPr>
        <w:t>（</w:t>
      </w:r>
      <w:r>
        <w:rPr>
          <w:rFonts w:hint="eastAsia"/>
          <w:color w:val="auto"/>
          <w:highlight w:val="none"/>
          <w:lang w:val="en-US" w:eastAsia="zh-CN"/>
        </w:rPr>
        <w:t>1.3358</w:t>
      </w:r>
      <w:r>
        <w:rPr>
          <w:color w:val="auto"/>
          <w:highlight w:val="none"/>
        </w:rPr>
        <w:t>t/a</w:t>
      </w:r>
      <w:r>
        <w:rPr>
          <w:rFonts w:hint="eastAsia"/>
          <w:color w:val="auto"/>
          <w:highlight w:val="none"/>
        </w:rPr>
        <w:t>）、氨氮：</w:t>
      </w:r>
      <w:r>
        <w:rPr>
          <w:color w:val="auto"/>
          <w:highlight w:val="none"/>
        </w:rPr>
        <w:t>30mg/L</w:t>
      </w:r>
      <w:r>
        <w:rPr>
          <w:rFonts w:hint="eastAsia"/>
          <w:color w:val="auto"/>
          <w:highlight w:val="none"/>
        </w:rPr>
        <w:t>（</w:t>
      </w:r>
      <w:r>
        <w:rPr>
          <w:color w:val="auto"/>
          <w:highlight w:val="none"/>
        </w:rPr>
        <w:t>0.</w:t>
      </w:r>
      <w:r>
        <w:rPr>
          <w:rFonts w:hint="eastAsia"/>
          <w:color w:val="auto"/>
          <w:highlight w:val="none"/>
          <w:lang w:val="en-US" w:eastAsia="zh-CN"/>
        </w:rPr>
        <w:t>2004</w:t>
      </w:r>
      <w:r>
        <w:rPr>
          <w:color w:val="auto"/>
          <w:highlight w:val="none"/>
        </w:rPr>
        <w:t>t/a</w:t>
      </w:r>
      <w:r>
        <w:rPr>
          <w:rFonts w:hint="eastAsia"/>
          <w:color w:val="auto"/>
          <w:highlight w:val="none"/>
        </w:rPr>
        <w:t>）、动植物油</w:t>
      </w:r>
      <w:r>
        <w:rPr>
          <w:color w:val="auto"/>
          <w:highlight w:val="none"/>
        </w:rPr>
        <w:t>100mg/L</w:t>
      </w:r>
      <w:r>
        <w:rPr>
          <w:rFonts w:hint="eastAsia"/>
          <w:color w:val="auto"/>
          <w:highlight w:val="none"/>
        </w:rPr>
        <w:t>（</w:t>
      </w:r>
      <w:r>
        <w:rPr>
          <w:color w:val="auto"/>
          <w:highlight w:val="none"/>
        </w:rPr>
        <w:t>0.</w:t>
      </w:r>
      <w:r>
        <w:rPr>
          <w:rFonts w:hint="eastAsia"/>
          <w:color w:val="auto"/>
          <w:highlight w:val="none"/>
          <w:lang w:val="en-US" w:eastAsia="zh-CN"/>
        </w:rPr>
        <w:t>6679</w:t>
      </w:r>
      <w:r>
        <w:rPr>
          <w:color w:val="auto"/>
          <w:highlight w:val="none"/>
        </w:rPr>
        <w:t>t/a</w:t>
      </w:r>
      <w:r>
        <w:rPr>
          <w:rFonts w:hint="eastAsia"/>
          <w:color w:val="auto"/>
          <w:highlight w:val="none"/>
        </w:rPr>
        <w:t>）。</w:t>
      </w:r>
    </w:p>
    <w:p w14:paraId="56167F6D">
      <w:pPr>
        <w:overflowPunct w:val="0"/>
        <w:topLinePunct/>
        <w:ind w:firstLine="480"/>
        <w:rPr>
          <w:color w:val="auto"/>
          <w:highlight w:val="none"/>
        </w:rPr>
      </w:pPr>
      <w:r>
        <w:rPr>
          <w:rFonts w:hint="eastAsia"/>
          <w:color w:val="auto"/>
          <w:highlight w:val="none"/>
        </w:rPr>
        <w:t>本项目生活污水排入</w:t>
      </w:r>
      <w:r>
        <w:rPr>
          <w:rFonts w:hint="eastAsia"/>
          <w:color w:val="auto"/>
          <w:highlight w:val="none"/>
          <w:lang w:val="en-US" w:eastAsia="zh-CN"/>
        </w:rPr>
        <w:t>地埋式污水处理设施</w:t>
      </w:r>
      <w:r>
        <w:rPr>
          <w:rFonts w:hint="eastAsia"/>
          <w:color w:val="auto"/>
          <w:highlight w:val="none"/>
        </w:rPr>
        <w:t>处理。鉴于当地蒸发量较大，为节约用水，项目餐饮废水经隔油池预处理后与盥洗废水等一同排入</w:t>
      </w:r>
      <w:r>
        <w:rPr>
          <w:rFonts w:hint="eastAsia"/>
          <w:b w:val="0"/>
          <w:bCs/>
          <w:color w:val="auto"/>
          <w:highlight w:val="none"/>
          <w:lang w:val="en-US" w:eastAsia="zh-CN"/>
        </w:rPr>
        <w:t>地埋式污水</w:t>
      </w:r>
      <w:r>
        <w:rPr>
          <w:rFonts w:hint="default"/>
          <w:b w:val="0"/>
          <w:bCs/>
          <w:color w:val="auto"/>
          <w:highlight w:val="none"/>
          <w:lang w:val="en-US" w:eastAsia="zh-CN"/>
        </w:rPr>
        <w:t>处理设施</w:t>
      </w:r>
      <w:r>
        <w:rPr>
          <w:rFonts w:hint="eastAsia"/>
          <w:color w:val="auto"/>
          <w:highlight w:val="none"/>
        </w:rPr>
        <w:t>（处理规模</w:t>
      </w:r>
      <w:r>
        <w:rPr>
          <w:rFonts w:hint="eastAsia"/>
          <w:color w:val="auto"/>
          <w:highlight w:val="none"/>
          <w:lang w:val="en-US" w:eastAsia="zh-CN"/>
        </w:rPr>
        <w:t>20</w:t>
      </w:r>
      <w:r>
        <w:rPr>
          <w:rFonts w:hint="eastAsia"/>
          <w:color w:val="auto"/>
          <w:highlight w:val="none"/>
        </w:rPr>
        <w:t>m</w:t>
      </w:r>
      <w:r>
        <w:rPr>
          <w:rFonts w:hint="eastAsia"/>
          <w:color w:val="auto"/>
          <w:highlight w:val="none"/>
          <w:vertAlign w:val="superscript"/>
        </w:rPr>
        <w:t>3</w:t>
      </w:r>
      <w:r>
        <w:rPr>
          <w:rFonts w:hint="eastAsia"/>
          <w:color w:val="auto"/>
          <w:highlight w:val="none"/>
        </w:rPr>
        <w:t>/h）处理</w:t>
      </w:r>
      <w:r>
        <w:rPr>
          <w:color w:val="auto"/>
          <w:highlight w:val="none"/>
        </w:rPr>
        <w:t>达到</w:t>
      </w:r>
      <w:r>
        <w:rPr>
          <w:rFonts w:hint="default" w:ascii="Times New Roman" w:hAnsi="Times New Roman" w:eastAsia="宋体" w:cs="Times New Roman"/>
          <w:b w:val="0"/>
          <w:bCs/>
          <w:color w:val="auto"/>
          <w:sz w:val="24"/>
          <w:szCs w:val="24"/>
          <w:highlight w:val="none"/>
          <w:shd w:val="clear" w:color="auto" w:fill="auto"/>
          <w:lang w:val="en-US" w:eastAsia="zh-CN"/>
        </w:rPr>
        <w:t>《农村生活污水处理排放标准》（DB65 4275-2019）表</w:t>
      </w:r>
      <w:r>
        <w:rPr>
          <w:rFonts w:hint="eastAsia" w:cs="Times New Roman"/>
          <w:b w:val="0"/>
          <w:bCs/>
          <w:color w:val="auto"/>
          <w:sz w:val="24"/>
          <w:szCs w:val="24"/>
          <w:highlight w:val="none"/>
          <w:shd w:val="clear" w:color="auto" w:fill="auto"/>
          <w:lang w:val="en-US" w:eastAsia="zh-CN"/>
        </w:rPr>
        <w:t>2</w:t>
      </w:r>
      <w:r>
        <w:rPr>
          <w:rFonts w:hint="default" w:ascii="Times New Roman" w:hAnsi="Times New Roman" w:eastAsia="宋体" w:cs="Times New Roman"/>
          <w:b w:val="0"/>
          <w:bCs/>
          <w:color w:val="auto"/>
          <w:sz w:val="24"/>
          <w:szCs w:val="24"/>
          <w:highlight w:val="none"/>
          <w:shd w:val="clear" w:color="auto" w:fill="auto"/>
          <w:lang w:val="en-US" w:eastAsia="zh-CN"/>
        </w:rPr>
        <w:t>中</w:t>
      </w:r>
      <w:r>
        <w:rPr>
          <w:rFonts w:hint="eastAsia" w:cs="Times New Roman"/>
          <w:b w:val="0"/>
          <w:bCs/>
          <w:color w:val="auto"/>
          <w:sz w:val="24"/>
          <w:szCs w:val="24"/>
          <w:highlight w:val="none"/>
          <w:shd w:val="clear" w:color="auto" w:fill="auto"/>
          <w:lang w:val="en-US" w:eastAsia="zh-CN"/>
        </w:rPr>
        <w:t>A</w:t>
      </w:r>
      <w:r>
        <w:rPr>
          <w:rFonts w:hint="default" w:ascii="Times New Roman" w:hAnsi="Times New Roman" w:eastAsia="宋体" w:cs="Times New Roman"/>
          <w:b w:val="0"/>
          <w:bCs/>
          <w:color w:val="auto"/>
          <w:sz w:val="24"/>
          <w:szCs w:val="24"/>
          <w:highlight w:val="none"/>
          <w:shd w:val="clear" w:color="auto" w:fill="auto"/>
          <w:lang w:val="en-US" w:eastAsia="zh-CN"/>
        </w:rPr>
        <w:t>级标准限值</w:t>
      </w:r>
      <w:r>
        <w:rPr>
          <w:rFonts w:hint="eastAsia" w:cs="Times New Roman"/>
          <w:b w:val="0"/>
          <w:bCs/>
          <w:color w:val="auto"/>
          <w:sz w:val="24"/>
          <w:szCs w:val="24"/>
          <w:highlight w:val="none"/>
          <w:shd w:val="clear" w:color="auto" w:fill="auto"/>
          <w:lang w:val="en-US" w:eastAsia="zh-CN"/>
        </w:rPr>
        <w:t>后，</w:t>
      </w:r>
      <w:r>
        <w:rPr>
          <w:rFonts w:hint="eastAsia"/>
          <w:b w:val="0"/>
          <w:bCs/>
          <w:color w:val="auto"/>
          <w:highlight w:val="none"/>
          <w:lang w:val="en-US" w:eastAsia="zh-CN"/>
        </w:rPr>
        <w:t>用于项目区洒水绿化，不外排</w:t>
      </w:r>
      <w:r>
        <w:rPr>
          <w:color w:val="auto"/>
          <w:highlight w:val="none"/>
        </w:rPr>
        <w:t>。</w:t>
      </w:r>
    </w:p>
    <w:p w14:paraId="54B7F0D9">
      <w:pPr>
        <w:overflowPunct w:val="0"/>
        <w:topLinePunct/>
        <w:ind w:firstLine="480"/>
        <w:rPr>
          <w:color w:val="auto"/>
          <w:highlight w:val="none"/>
        </w:rPr>
      </w:pPr>
      <w:r>
        <w:rPr>
          <w:rFonts w:hint="eastAsia"/>
          <w:color w:val="auto"/>
          <w:highlight w:val="none"/>
        </w:rPr>
        <w:t>（</w:t>
      </w:r>
      <w:r>
        <w:rPr>
          <w:rFonts w:hint="eastAsia"/>
          <w:color w:val="auto"/>
          <w:highlight w:val="none"/>
          <w:lang w:val="en-US" w:eastAsia="zh-CN"/>
        </w:rPr>
        <w:t>4</w:t>
      </w:r>
      <w:r>
        <w:rPr>
          <w:rFonts w:hint="eastAsia"/>
          <w:color w:val="auto"/>
          <w:highlight w:val="none"/>
        </w:rPr>
        <w:t>）锅炉房废水</w:t>
      </w:r>
    </w:p>
    <w:p w14:paraId="3B4B8B13">
      <w:pPr>
        <w:overflowPunct w:val="0"/>
        <w:topLinePunct/>
        <w:ind w:firstLine="480"/>
        <w:rPr>
          <w:color w:val="auto"/>
          <w:highlight w:val="none"/>
        </w:rPr>
      </w:pPr>
      <w:r>
        <w:rPr>
          <w:rFonts w:hint="eastAsia"/>
          <w:color w:val="auto"/>
          <w:highlight w:val="none"/>
        </w:rPr>
        <w:t>锅炉房废水包括锅炉排污水、软水废水，废水量约</w:t>
      </w:r>
      <w:r>
        <w:rPr>
          <w:rFonts w:hint="eastAsia"/>
          <w:color w:val="auto"/>
          <w:highlight w:val="none"/>
          <w:lang w:val="en-US" w:eastAsia="zh-CN"/>
        </w:rPr>
        <w:t>81.6</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rPr>
        <w:t>（</w:t>
      </w:r>
      <w:r>
        <w:rPr>
          <w:rFonts w:hint="eastAsia"/>
          <w:color w:val="auto"/>
          <w:highlight w:val="none"/>
          <w:lang w:val="en-US" w:eastAsia="zh-CN"/>
        </w:rPr>
        <w:t>2.448</w:t>
      </w:r>
      <w:r>
        <w:rPr>
          <w:rFonts w:hint="eastAsia"/>
          <w:color w:val="auto"/>
          <w:highlight w:val="none"/>
        </w:rPr>
        <w:t>万m</w:t>
      </w:r>
      <w:r>
        <w:rPr>
          <w:color w:val="auto"/>
          <w:highlight w:val="none"/>
          <w:vertAlign w:val="superscript"/>
        </w:rPr>
        <w:t>3</w:t>
      </w:r>
      <w:r>
        <w:rPr>
          <w:color w:val="auto"/>
          <w:highlight w:val="none"/>
        </w:rPr>
        <w:t>/</w:t>
      </w:r>
      <w:r>
        <w:rPr>
          <w:rFonts w:hint="eastAsia"/>
          <w:color w:val="auto"/>
          <w:highlight w:val="none"/>
        </w:rPr>
        <w:t>a）。锅炉排污水主要污染物为SS；软化废水为浓盐水，主要污染物为pH、COD、溶解性总固体（全盐量），全盐量浓度较高。锅炉排污水和软化废水排至沉淀池经沉淀处理后</w:t>
      </w:r>
      <w:r>
        <w:rPr>
          <w:rFonts w:hint="eastAsia"/>
          <w:color w:val="auto"/>
          <w:highlight w:val="none"/>
          <w:lang w:val="en-US" w:eastAsia="zh-CN"/>
        </w:rPr>
        <w:t>全部回用于选矿</w:t>
      </w:r>
      <w:r>
        <w:rPr>
          <w:rFonts w:hint="eastAsia"/>
          <w:color w:val="auto"/>
          <w:highlight w:val="none"/>
        </w:rPr>
        <w:t>。</w:t>
      </w:r>
    </w:p>
    <w:p w14:paraId="6FD60A5D">
      <w:pPr>
        <w:overflowPunct w:val="0"/>
        <w:topLinePunct/>
        <w:ind w:firstLine="480"/>
        <w:rPr>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）化验废水</w:t>
      </w:r>
    </w:p>
    <w:p w14:paraId="0CACDEE1">
      <w:pPr>
        <w:keepNext w:val="0"/>
        <w:keepLines w:val="0"/>
        <w:pageBreakBefore w:val="0"/>
        <w:widowControl w:val="0"/>
        <w:kinsoku/>
        <w:wordWrap/>
        <w:overflowPunct/>
        <w:topLinePunct w:val="0"/>
        <w:autoSpaceDE/>
        <w:autoSpaceDN/>
        <w:bidi w:val="0"/>
        <w:adjustRightInd/>
        <w:snapToGrid/>
        <w:spacing w:line="520" w:lineRule="exact"/>
        <w:ind w:right="0" w:firstLine="480" w:firstLineChars="200"/>
        <w:textAlignment w:val="auto"/>
        <w:rPr>
          <w:color w:val="auto"/>
          <w:sz w:val="24"/>
          <w:highlight w:val="none"/>
          <w:shd w:val="clear"/>
        </w:rPr>
      </w:pPr>
      <w:r>
        <w:rPr>
          <w:rFonts w:hint="eastAsia"/>
          <w:color w:val="auto"/>
          <w:sz w:val="24"/>
          <w:highlight w:val="none"/>
          <w:lang w:eastAsia="zh-CN"/>
        </w:rPr>
        <w:t>化验</w:t>
      </w:r>
      <w:r>
        <w:rPr>
          <w:rFonts w:hint="eastAsia"/>
          <w:color w:val="auto"/>
          <w:sz w:val="24"/>
          <w:highlight w:val="none"/>
        </w:rPr>
        <w:t>废水主要为</w:t>
      </w:r>
      <w:r>
        <w:rPr>
          <w:rFonts w:hint="eastAsia"/>
          <w:color w:val="auto"/>
          <w:sz w:val="24"/>
          <w:highlight w:val="none"/>
          <w:lang w:eastAsia="zh-CN"/>
        </w:rPr>
        <w:t>化验</w:t>
      </w:r>
      <w:r>
        <w:rPr>
          <w:rFonts w:hint="eastAsia"/>
          <w:color w:val="auto"/>
          <w:sz w:val="24"/>
          <w:highlight w:val="none"/>
        </w:rPr>
        <w:t>前后器皿冲洗废水，根据建设单位提供资料，</w:t>
      </w:r>
      <w:r>
        <w:rPr>
          <w:rFonts w:hint="eastAsia"/>
          <w:color w:val="auto"/>
          <w:sz w:val="24"/>
          <w:highlight w:val="none"/>
          <w:lang w:eastAsia="zh-CN"/>
        </w:rPr>
        <w:t>化验</w:t>
      </w:r>
      <w:r>
        <w:rPr>
          <w:rFonts w:hint="eastAsia"/>
          <w:color w:val="auto"/>
          <w:sz w:val="24"/>
          <w:highlight w:val="none"/>
        </w:rPr>
        <w:t>第一次清洗产生的废水约</w:t>
      </w:r>
      <w:r>
        <w:rPr>
          <w:rFonts w:hint="eastAsia"/>
          <w:color w:val="auto"/>
          <w:sz w:val="24"/>
          <w:highlight w:val="none"/>
          <w:lang w:val="en-US" w:eastAsia="zh-CN"/>
        </w:rPr>
        <w:t>3</w:t>
      </w:r>
      <w:r>
        <w:rPr>
          <w:rFonts w:hint="eastAsia"/>
          <w:color w:val="auto"/>
          <w:sz w:val="24"/>
          <w:highlight w:val="none"/>
          <w:shd w:val="clear"/>
        </w:rPr>
        <w:t>t/a，作为危废处理，</w:t>
      </w:r>
      <w:r>
        <w:rPr>
          <w:color w:val="auto"/>
          <w:sz w:val="24"/>
          <w:highlight w:val="none"/>
          <w:shd w:val="clear"/>
        </w:rPr>
        <w:t>应暂存于</w:t>
      </w:r>
      <w:r>
        <w:rPr>
          <w:rFonts w:hint="eastAsia"/>
          <w:color w:val="auto"/>
          <w:sz w:val="24"/>
          <w:highlight w:val="none"/>
          <w:shd w:val="clear"/>
          <w:lang w:val="en-US" w:eastAsia="zh-CN"/>
        </w:rPr>
        <w:t>危废贮存库</w:t>
      </w:r>
      <w:r>
        <w:rPr>
          <w:color w:val="auto"/>
          <w:sz w:val="24"/>
          <w:highlight w:val="none"/>
          <w:shd w:val="clear"/>
        </w:rPr>
        <w:t>内，定期送有资质单位处置。</w:t>
      </w:r>
    </w:p>
    <w:p w14:paraId="09228088">
      <w:pPr>
        <w:bidi w:val="0"/>
        <w:rPr>
          <w:color w:val="auto"/>
          <w:highlight w:val="none"/>
        </w:rPr>
      </w:pPr>
      <w:r>
        <w:rPr>
          <w:rFonts w:hint="eastAsia"/>
          <w:color w:val="auto"/>
          <w:sz w:val="24"/>
          <w:highlight w:val="none"/>
          <w:lang w:eastAsia="zh-CN"/>
        </w:rPr>
        <w:t>化验</w:t>
      </w:r>
      <w:r>
        <w:rPr>
          <w:color w:val="auto"/>
          <w:sz w:val="24"/>
          <w:highlight w:val="none"/>
        </w:rPr>
        <w:t>清洗废水</w:t>
      </w:r>
      <w:r>
        <w:rPr>
          <w:rFonts w:hint="eastAsia"/>
          <w:color w:val="auto"/>
          <w:sz w:val="24"/>
          <w:highlight w:val="none"/>
        </w:rPr>
        <w:t>指</w:t>
      </w:r>
      <w:r>
        <w:rPr>
          <w:rFonts w:hint="eastAsia"/>
          <w:color w:val="auto"/>
          <w:sz w:val="24"/>
          <w:highlight w:val="none"/>
          <w:lang w:eastAsia="zh-CN"/>
        </w:rPr>
        <w:t>第一次清洗后</w:t>
      </w:r>
      <w:r>
        <w:rPr>
          <w:rFonts w:hint="eastAsia"/>
          <w:color w:val="auto"/>
          <w:sz w:val="24"/>
          <w:highlight w:val="none"/>
        </w:rPr>
        <w:t>的洗涤废水，</w:t>
      </w:r>
      <w:r>
        <w:rPr>
          <w:color w:val="auto"/>
          <w:sz w:val="24"/>
          <w:highlight w:val="none"/>
        </w:rPr>
        <w:t>含酸、碱、有毒有害等物质含量较少，</w:t>
      </w:r>
      <w:r>
        <w:rPr>
          <w:rFonts w:hint="eastAsia"/>
          <w:color w:val="auto"/>
          <w:highlight w:val="none"/>
        </w:rPr>
        <w:t>废水量约</w:t>
      </w:r>
      <w:r>
        <w:rPr>
          <w:rFonts w:hint="eastAsia"/>
          <w:color w:val="auto"/>
          <w:highlight w:val="none"/>
          <w:lang w:val="en-US" w:eastAsia="zh-CN"/>
        </w:rPr>
        <w:t>1.59</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rPr>
        <w:t>（</w:t>
      </w:r>
      <w:r>
        <w:rPr>
          <w:rFonts w:hint="eastAsia"/>
          <w:color w:val="auto"/>
          <w:highlight w:val="none"/>
          <w:lang w:val="en-US" w:eastAsia="zh-CN"/>
        </w:rPr>
        <w:t>477</w:t>
      </w:r>
      <w:r>
        <w:rPr>
          <w:rFonts w:hint="eastAsia"/>
          <w:color w:val="auto"/>
          <w:highlight w:val="none"/>
        </w:rPr>
        <w:t>m</w:t>
      </w:r>
      <w:r>
        <w:rPr>
          <w:color w:val="auto"/>
          <w:highlight w:val="none"/>
          <w:vertAlign w:val="superscript"/>
        </w:rPr>
        <w:t>3</w:t>
      </w:r>
      <w:r>
        <w:rPr>
          <w:color w:val="auto"/>
          <w:highlight w:val="none"/>
        </w:rPr>
        <w:t>/a</w:t>
      </w:r>
      <w:r>
        <w:rPr>
          <w:rFonts w:hint="eastAsia"/>
          <w:color w:val="auto"/>
          <w:highlight w:val="none"/>
        </w:rPr>
        <w:t>），</w:t>
      </w:r>
      <w:r>
        <w:rPr>
          <w:color w:val="auto"/>
          <w:highlight w:val="none"/>
        </w:rPr>
        <w:t>通过管路输入选矿生产工序循环使用，做到零排放</w:t>
      </w:r>
      <w:r>
        <w:rPr>
          <w:rFonts w:hint="eastAsia"/>
          <w:color w:val="auto"/>
          <w:highlight w:val="none"/>
        </w:rPr>
        <w:t>。</w:t>
      </w:r>
    </w:p>
    <w:p w14:paraId="6A11B19D">
      <w:pPr>
        <w:pStyle w:val="6"/>
        <w:bidi w:val="0"/>
        <w:rPr>
          <w:color w:val="auto"/>
          <w:highlight w:val="none"/>
        </w:rPr>
      </w:pPr>
      <w:r>
        <w:rPr>
          <w:color w:val="auto"/>
          <w:highlight w:val="none"/>
        </w:rPr>
        <w:t>3.</w:t>
      </w:r>
      <w:r>
        <w:rPr>
          <w:rFonts w:hint="eastAsia"/>
          <w:color w:val="auto"/>
          <w:highlight w:val="none"/>
          <w:lang w:val="en-US" w:eastAsia="zh-CN"/>
        </w:rPr>
        <w:t>3.3</w:t>
      </w:r>
      <w:r>
        <w:rPr>
          <w:rFonts w:hint="eastAsia"/>
          <w:color w:val="auto"/>
          <w:highlight w:val="none"/>
        </w:rPr>
        <w:t>噪声</w:t>
      </w:r>
    </w:p>
    <w:p w14:paraId="34ACC1D6">
      <w:pPr>
        <w:bidi w:val="0"/>
        <w:rPr>
          <w:color w:val="auto"/>
          <w:highlight w:val="none"/>
        </w:rPr>
      </w:pPr>
      <w:r>
        <w:rPr>
          <w:color w:val="auto"/>
          <w:highlight w:val="none"/>
        </w:rPr>
        <w:t>本项目的主要噪声源是</w:t>
      </w:r>
      <w:r>
        <w:rPr>
          <w:rFonts w:hint="eastAsia"/>
          <w:color w:val="auto"/>
          <w:highlight w:val="none"/>
          <w:lang w:val="en-US" w:eastAsia="zh-CN"/>
        </w:rPr>
        <w:t>选矿厂</w:t>
      </w:r>
      <w:r>
        <w:rPr>
          <w:rFonts w:hint="eastAsia"/>
          <w:color w:val="auto"/>
          <w:kern w:val="0"/>
          <w:highlight w:val="none"/>
          <w:lang w:eastAsia="zh-CN"/>
        </w:rPr>
        <w:t>破碎机、振动筛、</w:t>
      </w:r>
      <w:r>
        <w:rPr>
          <w:rFonts w:hint="eastAsia"/>
          <w:color w:val="auto"/>
          <w:kern w:val="0"/>
          <w:highlight w:val="none"/>
        </w:rPr>
        <w:t>球磨机、</w:t>
      </w:r>
      <w:r>
        <w:rPr>
          <w:rFonts w:hint="eastAsia"/>
          <w:color w:val="auto"/>
          <w:kern w:val="0"/>
          <w:highlight w:val="none"/>
          <w:lang w:eastAsia="zh-CN"/>
        </w:rPr>
        <w:t>风机</w:t>
      </w:r>
      <w:r>
        <w:rPr>
          <w:rFonts w:hint="eastAsia"/>
          <w:color w:val="auto"/>
          <w:kern w:val="0"/>
          <w:highlight w:val="none"/>
        </w:rPr>
        <w:t>及水泵</w:t>
      </w:r>
      <w:r>
        <w:rPr>
          <w:color w:val="auto"/>
          <w:highlight w:val="none"/>
        </w:rPr>
        <w:t>等设备运转噪声，此外爆破噪声也是项目的主要噪声源之一。爆破噪声属瞬间噪声，瞬时源强在140dB</w:t>
      </w:r>
      <w:r>
        <w:rPr>
          <w:rFonts w:hint="eastAsia"/>
          <w:color w:val="auto"/>
          <w:highlight w:val="none"/>
          <w:lang w:eastAsia="zh-CN"/>
        </w:rPr>
        <w:t>（</w:t>
      </w:r>
      <w:r>
        <w:rPr>
          <w:color w:val="auto"/>
          <w:highlight w:val="none"/>
        </w:rPr>
        <w:t>A</w:t>
      </w:r>
      <w:r>
        <w:rPr>
          <w:rFonts w:hint="eastAsia"/>
          <w:color w:val="auto"/>
          <w:highlight w:val="none"/>
          <w:lang w:eastAsia="zh-CN"/>
        </w:rPr>
        <w:t>）</w:t>
      </w:r>
      <w:r>
        <w:rPr>
          <w:color w:val="auto"/>
          <w:highlight w:val="none"/>
        </w:rPr>
        <w:t>左右，爆破在昼间进行，由于本矿为</w:t>
      </w:r>
      <w:r>
        <w:rPr>
          <w:rFonts w:hint="eastAsia"/>
          <w:color w:val="auto"/>
          <w:highlight w:val="none"/>
          <w:lang w:val="en-US" w:eastAsia="zh-CN"/>
        </w:rPr>
        <w:t>地下开采</w:t>
      </w:r>
      <w:r>
        <w:rPr>
          <w:color w:val="auto"/>
          <w:highlight w:val="none"/>
        </w:rPr>
        <w:t>，</w:t>
      </w:r>
      <w:r>
        <w:rPr>
          <w:rFonts w:hint="eastAsia"/>
          <w:color w:val="auto"/>
          <w:highlight w:val="none"/>
          <w:lang w:val="en-US" w:eastAsia="zh-CN"/>
        </w:rPr>
        <w:t>开采</w:t>
      </w:r>
      <w:r>
        <w:rPr>
          <w:color w:val="auto"/>
          <w:highlight w:val="none"/>
        </w:rPr>
        <w:t>高噪声设备大多在井下，到达地面以上噪声值基本降低到55dB</w:t>
      </w:r>
      <w:r>
        <w:rPr>
          <w:rFonts w:hint="eastAsia"/>
          <w:color w:val="auto"/>
          <w:highlight w:val="none"/>
          <w:lang w:eastAsia="zh-CN"/>
        </w:rPr>
        <w:t>（</w:t>
      </w:r>
      <w:r>
        <w:rPr>
          <w:color w:val="auto"/>
          <w:highlight w:val="none"/>
        </w:rPr>
        <w:t>A</w:t>
      </w:r>
      <w:r>
        <w:rPr>
          <w:rFonts w:hint="eastAsia"/>
          <w:color w:val="auto"/>
          <w:highlight w:val="none"/>
          <w:lang w:eastAsia="zh-CN"/>
        </w:rPr>
        <w:t>）</w:t>
      </w:r>
      <w:r>
        <w:rPr>
          <w:color w:val="auto"/>
          <w:highlight w:val="none"/>
        </w:rPr>
        <w:t>以下</w:t>
      </w:r>
      <w:r>
        <w:rPr>
          <w:rFonts w:hint="eastAsia"/>
          <w:color w:val="auto"/>
          <w:highlight w:val="none"/>
          <w:lang w:eastAsia="zh-CN"/>
        </w:rPr>
        <w:t>，</w:t>
      </w:r>
      <w:r>
        <w:rPr>
          <w:rFonts w:hint="eastAsia"/>
          <w:color w:val="auto"/>
          <w:highlight w:val="none"/>
          <w:lang w:val="en-US" w:eastAsia="zh-CN"/>
        </w:rPr>
        <w:t>因此本次评价不考虑井下设备，仅对地面设备进行预测</w:t>
      </w:r>
      <w:r>
        <w:rPr>
          <w:color w:val="auto"/>
          <w:highlight w:val="none"/>
        </w:rPr>
        <w:t>。</w:t>
      </w:r>
    </w:p>
    <w:p w14:paraId="04382A9F">
      <w:pPr>
        <w:ind w:firstLine="0" w:firstLineChars="0"/>
        <w:jc w:val="center"/>
        <w:rPr>
          <w:rFonts w:cs="Times New Roman" w:asciiTheme="minorEastAsia" w:hAnsiTheme="minorEastAsia" w:eastAsiaTheme="minorEastAsia"/>
          <w:b/>
          <w:bCs/>
          <w:color w:val="auto"/>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E82DFE4">
      <w:pPr>
        <w:pStyle w:val="19"/>
        <w:bidi w:val="0"/>
        <w:rPr>
          <w:color w:val="auto"/>
          <w:highlight w:val="none"/>
          <w:lang w:eastAsia="zh-CN"/>
        </w:rPr>
      </w:pPr>
      <w:r>
        <w:rPr>
          <w:color w:val="auto"/>
          <w:highlight w:val="none"/>
          <w:lang w:eastAsia="zh-CN"/>
        </w:rPr>
        <w:t>表</w:t>
      </w:r>
      <w:r>
        <w:rPr>
          <w:rFonts w:hint="eastAsia"/>
          <w:color w:val="auto"/>
          <w:highlight w:val="none"/>
          <w:lang w:val="en-US" w:eastAsia="zh-CN"/>
        </w:rPr>
        <w:t xml:space="preserve">3.3-7   </w:t>
      </w:r>
      <w:r>
        <w:rPr>
          <w:color w:val="auto"/>
          <w:highlight w:val="none"/>
          <w:lang w:eastAsia="zh-CN"/>
        </w:rPr>
        <w:t>工业企业噪声源强调查清单（室外声源）</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7"/>
        <w:gridCol w:w="1774"/>
        <w:gridCol w:w="1412"/>
        <w:gridCol w:w="1542"/>
        <w:gridCol w:w="1774"/>
        <w:gridCol w:w="1380"/>
        <w:gridCol w:w="1746"/>
        <w:gridCol w:w="1743"/>
        <w:gridCol w:w="1525"/>
      </w:tblGrid>
      <w:tr w14:paraId="367F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447" w:type="pct"/>
            <w:vMerge w:val="restart"/>
            <w:shd w:val="clear" w:color="auto" w:fill="auto"/>
            <w:vAlign w:val="center"/>
          </w:tcPr>
          <w:p w14:paraId="31081EF4">
            <w:pPr>
              <w:pStyle w:val="17"/>
              <w:bidi w:val="0"/>
              <w:rPr>
                <w:color w:val="auto"/>
                <w:highlight w:val="none"/>
              </w:rPr>
            </w:pPr>
            <w:bookmarkStart w:id="422" w:name="PT_5"/>
            <w:r>
              <w:rPr>
                <w:color w:val="auto"/>
                <w:highlight w:val="none"/>
              </w:rPr>
              <w:t>序号</w:t>
            </w:r>
          </w:p>
        </w:tc>
        <w:tc>
          <w:tcPr>
            <w:tcW w:w="626" w:type="pct"/>
            <w:vMerge w:val="restart"/>
            <w:shd w:val="clear" w:color="auto" w:fill="auto"/>
            <w:vAlign w:val="center"/>
          </w:tcPr>
          <w:p w14:paraId="480F5C47">
            <w:pPr>
              <w:pStyle w:val="17"/>
              <w:bidi w:val="0"/>
              <w:rPr>
                <w:color w:val="auto"/>
                <w:highlight w:val="none"/>
              </w:rPr>
            </w:pPr>
            <w:r>
              <w:rPr>
                <w:color w:val="auto"/>
                <w:highlight w:val="none"/>
              </w:rPr>
              <w:t>声源名称</w:t>
            </w:r>
          </w:p>
        </w:tc>
        <w:tc>
          <w:tcPr>
            <w:tcW w:w="498" w:type="pct"/>
            <w:vMerge w:val="restart"/>
            <w:shd w:val="clear" w:color="auto" w:fill="auto"/>
            <w:vAlign w:val="center"/>
          </w:tcPr>
          <w:p w14:paraId="0E7C1A74">
            <w:pPr>
              <w:pStyle w:val="17"/>
              <w:bidi w:val="0"/>
              <w:rPr>
                <w:color w:val="auto"/>
                <w:highlight w:val="none"/>
              </w:rPr>
            </w:pPr>
            <w:r>
              <w:rPr>
                <w:color w:val="auto"/>
                <w:highlight w:val="none"/>
              </w:rPr>
              <w:t>型号</w:t>
            </w:r>
          </w:p>
        </w:tc>
        <w:tc>
          <w:tcPr>
            <w:tcW w:w="1657" w:type="pct"/>
            <w:gridSpan w:val="3"/>
            <w:shd w:val="clear" w:color="auto" w:fill="auto"/>
            <w:vAlign w:val="center"/>
          </w:tcPr>
          <w:p w14:paraId="3B9AC26D">
            <w:pPr>
              <w:pStyle w:val="17"/>
              <w:bidi w:val="0"/>
              <w:rPr>
                <w:color w:val="auto"/>
                <w:highlight w:val="none"/>
              </w:rPr>
            </w:pPr>
            <w:r>
              <w:rPr>
                <w:color w:val="auto"/>
                <w:highlight w:val="none"/>
              </w:rPr>
              <w:t>空间相对位置/m</w:t>
            </w:r>
          </w:p>
        </w:tc>
        <w:tc>
          <w:tcPr>
            <w:tcW w:w="616" w:type="pct"/>
            <w:vMerge w:val="restart"/>
            <w:shd w:val="clear" w:color="auto" w:fill="auto"/>
            <w:vAlign w:val="center"/>
          </w:tcPr>
          <w:p w14:paraId="084F6E12">
            <w:pPr>
              <w:pStyle w:val="17"/>
              <w:bidi w:val="0"/>
              <w:rPr>
                <w:rFonts w:hint="eastAsia" w:eastAsia="宋体"/>
                <w:color w:val="auto"/>
                <w:highlight w:val="none"/>
                <w:lang w:eastAsia="zh-CN"/>
              </w:rPr>
            </w:pPr>
            <w:r>
              <w:rPr>
                <w:color w:val="auto"/>
                <w:highlight w:val="none"/>
              </w:rPr>
              <w:t>声功率级/dB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615" w:type="pct"/>
            <w:vMerge w:val="restart"/>
            <w:shd w:val="clear" w:color="auto" w:fill="auto"/>
            <w:vAlign w:val="center"/>
          </w:tcPr>
          <w:p w14:paraId="144B8BBD">
            <w:pPr>
              <w:pStyle w:val="17"/>
              <w:bidi w:val="0"/>
              <w:rPr>
                <w:color w:val="auto"/>
                <w:highlight w:val="none"/>
              </w:rPr>
            </w:pPr>
            <w:r>
              <w:rPr>
                <w:color w:val="auto"/>
                <w:highlight w:val="none"/>
              </w:rPr>
              <w:t>声源控制措施</w:t>
            </w:r>
          </w:p>
        </w:tc>
        <w:tc>
          <w:tcPr>
            <w:tcW w:w="538" w:type="pct"/>
            <w:vMerge w:val="restart"/>
            <w:shd w:val="clear" w:color="auto" w:fill="auto"/>
            <w:vAlign w:val="center"/>
          </w:tcPr>
          <w:p w14:paraId="11A41D69">
            <w:pPr>
              <w:pStyle w:val="17"/>
              <w:bidi w:val="0"/>
              <w:rPr>
                <w:color w:val="auto"/>
                <w:highlight w:val="none"/>
              </w:rPr>
            </w:pPr>
            <w:r>
              <w:rPr>
                <w:color w:val="auto"/>
                <w:highlight w:val="none"/>
              </w:rPr>
              <w:t>运行时段</w:t>
            </w:r>
          </w:p>
        </w:tc>
      </w:tr>
      <w:tr w14:paraId="52A8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7" w:type="pct"/>
            <w:vMerge w:val="continue"/>
            <w:shd w:val="clear" w:color="auto" w:fill="auto"/>
            <w:vAlign w:val="center"/>
          </w:tcPr>
          <w:p w14:paraId="5DB53A29">
            <w:pPr>
              <w:pStyle w:val="17"/>
              <w:bidi w:val="0"/>
              <w:rPr>
                <w:color w:val="auto"/>
                <w:highlight w:val="none"/>
              </w:rPr>
            </w:pPr>
          </w:p>
        </w:tc>
        <w:tc>
          <w:tcPr>
            <w:tcW w:w="626" w:type="pct"/>
            <w:vMerge w:val="continue"/>
            <w:shd w:val="clear" w:color="auto" w:fill="auto"/>
            <w:vAlign w:val="center"/>
          </w:tcPr>
          <w:p w14:paraId="48F399F9">
            <w:pPr>
              <w:pStyle w:val="17"/>
              <w:bidi w:val="0"/>
              <w:rPr>
                <w:color w:val="auto"/>
                <w:highlight w:val="none"/>
              </w:rPr>
            </w:pPr>
          </w:p>
        </w:tc>
        <w:tc>
          <w:tcPr>
            <w:tcW w:w="498" w:type="pct"/>
            <w:vMerge w:val="continue"/>
            <w:shd w:val="clear" w:color="auto" w:fill="auto"/>
            <w:vAlign w:val="center"/>
          </w:tcPr>
          <w:p w14:paraId="07E86A90">
            <w:pPr>
              <w:pStyle w:val="17"/>
              <w:bidi w:val="0"/>
              <w:rPr>
                <w:color w:val="auto"/>
                <w:highlight w:val="none"/>
              </w:rPr>
            </w:pPr>
          </w:p>
        </w:tc>
        <w:tc>
          <w:tcPr>
            <w:tcW w:w="544" w:type="pct"/>
            <w:shd w:val="clear" w:color="auto" w:fill="auto"/>
            <w:vAlign w:val="center"/>
          </w:tcPr>
          <w:p w14:paraId="237F5D27">
            <w:pPr>
              <w:pStyle w:val="17"/>
              <w:bidi w:val="0"/>
              <w:rPr>
                <w:color w:val="auto"/>
                <w:highlight w:val="none"/>
              </w:rPr>
            </w:pPr>
            <w:r>
              <w:rPr>
                <w:color w:val="auto"/>
                <w:highlight w:val="none"/>
              </w:rPr>
              <w:t>X</w:t>
            </w:r>
          </w:p>
        </w:tc>
        <w:tc>
          <w:tcPr>
            <w:tcW w:w="626" w:type="pct"/>
            <w:shd w:val="clear" w:color="auto" w:fill="auto"/>
            <w:vAlign w:val="center"/>
          </w:tcPr>
          <w:p w14:paraId="3287834E">
            <w:pPr>
              <w:pStyle w:val="17"/>
              <w:bidi w:val="0"/>
              <w:rPr>
                <w:color w:val="auto"/>
                <w:highlight w:val="none"/>
              </w:rPr>
            </w:pPr>
            <w:r>
              <w:rPr>
                <w:color w:val="auto"/>
                <w:highlight w:val="none"/>
              </w:rPr>
              <w:t>Y</w:t>
            </w:r>
          </w:p>
        </w:tc>
        <w:tc>
          <w:tcPr>
            <w:tcW w:w="486" w:type="pct"/>
            <w:shd w:val="clear" w:color="auto" w:fill="auto"/>
            <w:vAlign w:val="center"/>
          </w:tcPr>
          <w:p w14:paraId="48C03770">
            <w:pPr>
              <w:pStyle w:val="17"/>
              <w:bidi w:val="0"/>
              <w:rPr>
                <w:color w:val="auto"/>
                <w:highlight w:val="none"/>
              </w:rPr>
            </w:pPr>
            <w:r>
              <w:rPr>
                <w:color w:val="auto"/>
                <w:highlight w:val="none"/>
              </w:rPr>
              <w:t>Z</w:t>
            </w:r>
          </w:p>
        </w:tc>
        <w:tc>
          <w:tcPr>
            <w:tcW w:w="616" w:type="pct"/>
            <w:vMerge w:val="continue"/>
            <w:shd w:val="clear" w:color="auto" w:fill="auto"/>
            <w:vAlign w:val="center"/>
          </w:tcPr>
          <w:p w14:paraId="53AC578D">
            <w:pPr>
              <w:pStyle w:val="17"/>
              <w:bidi w:val="0"/>
              <w:rPr>
                <w:color w:val="auto"/>
                <w:highlight w:val="none"/>
              </w:rPr>
            </w:pPr>
          </w:p>
        </w:tc>
        <w:tc>
          <w:tcPr>
            <w:tcW w:w="615" w:type="pct"/>
            <w:vMerge w:val="continue"/>
            <w:shd w:val="clear" w:color="auto" w:fill="auto"/>
            <w:vAlign w:val="center"/>
          </w:tcPr>
          <w:p w14:paraId="5EF691ED">
            <w:pPr>
              <w:pStyle w:val="17"/>
              <w:bidi w:val="0"/>
              <w:rPr>
                <w:color w:val="auto"/>
                <w:highlight w:val="none"/>
              </w:rPr>
            </w:pPr>
          </w:p>
          <w:bookmarkEnd w:id="422"/>
        </w:tc>
        <w:tc>
          <w:tcPr>
            <w:tcW w:w="538" w:type="pct"/>
            <w:vMerge w:val="continue"/>
            <w:shd w:val="clear" w:color="auto" w:fill="auto"/>
            <w:vAlign w:val="center"/>
          </w:tcPr>
          <w:p w14:paraId="5C855871">
            <w:pPr>
              <w:pStyle w:val="17"/>
              <w:bidi w:val="0"/>
              <w:rPr>
                <w:color w:val="auto"/>
                <w:highlight w:val="none"/>
              </w:rPr>
            </w:pPr>
          </w:p>
        </w:tc>
      </w:tr>
      <w:tr w14:paraId="524F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7" w:type="pct"/>
            <w:shd w:val="clear" w:color="auto" w:fill="auto"/>
            <w:vAlign w:val="center"/>
          </w:tcPr>
          <w:p w14:paraId="598F9DB7">
            <w:pPr>
              <w:pStyle w:val="17"/>
              <w:bidi w:val="0"/>
              <w:rPr>
                <w:color w:val="auto"/>
                <w:highlight w:val="none"/>
              </w:rPr>
            </w:pPr>
            <w:r>
              <w:rPr>
                <w:color w:val="auto"/>
                <w:highlight w:val="none"/>
              </w:rPr>
              <w:t>1</w:t>
            </w:r>
          </w:p>
        </w:tc>
        <w:tc>
          <w:tcPr>
            <w:tcW w:w="626" w:type="pct"/>
            <w:shd w:val="clear" w:color="auto" w:fill="auto"/>
            <w:vAlign w:val="center"/>
          </w:tcPr>
          <w:p w14:paraId="2F23C8D3">
            <w:pPr>
              <w:pStyle w:val="17"/>
              <w:bidi w:val="0"/>
              <w:rPr>
                <w:color w:val="auto"/>
                <w:highlight w:val="none"/>
              </w:rPr>
            </w:pPr>
            <w:r>
              <w:rPr>
                <w:color w:val="auto"/>
                <w:highlight w:val="none"/>
              </w:rPr>
              <w:t>CV.1带式输送机</w:t>
            </w:r>
          </w:p>
        </w:tc>
        <w:tc>
          <w:tcPr>
            <w:tcW w:w="498" w:type="pct"/>
            <w:shd w:val="clear" w:color="auto" w:fill="auto"/>
            <w:vAlign w:val="center"/>
          </w:tcPr>
          <w:p w14:paraId="542AC558">
            <w:pPr>
              <w:pStyle w:val="17"/>
              <w:bidi w:val="0"/>
              <w:rPr>
                <w:color w:val="auto"/>
                <w:highlight w:val="none"/>
              </w:rPr>
            </w:pPr>
            <w:r>
              <w:rPr>
                <w:rFonts w:hint="eastAsia"/>
                <w:color w:val="auto"/>
                <w:highlight w:val="none"/>
                <w:lang w:val="en-US" w:eastAsia="zh-CN"/>
              </w:rPr>
              <w:t>B=1200，L=331.36m</w:t>
            </w:r>
          </w:p>
        </w:tc>
        <w:tc>
          <w:tcPr>
            <w:tcW w:w="544" w:type="pct"/>
            <w:shd w:val="clear" w:color="auto" w:fill="auto"/>
            <w:vAlign w:val="center"/>
          </w:tcPr>
          <w:p w14:paraId="5BBFEF14">
            <w:pPr>
              <w:pStyle w:val="17"/>
              <w:bidi w:val="0"/>
              <w:rPr>
                <w:color w:val="auto"/>
                <w:highlight w:val="none"/>
              </w:rPr>
            </w:pPr>
            <w:r>
              <w:rPr>
                <w:color w:val="auto"/>
                <w:highlight w:val="none"/>
              </w:rPr>
              <w:t>499.9</w:t>
            </w:r>
          </w:p>
        </w:tc>
        <w:tc>
          <w:tcPr>
            <w:tcW w:w="626" w:type="pct"/>
            <w:shd w:val="clear" w:color="auto" w:fill="auto"/>
            <w:vAlign w:val="center"/>
          </w:tcPr>
          <w:p w14:paraId="324B4EE6">
            <w:pPr>
              <w:pStyle w:val="17"/>
              <w:bidi w:val="0"/>
              <w:rPr>
                <w:color w:val="auto"/>
                <w:highlight w:val="none"/>
              </w:rPr>
            </w:pPr>
            <w:r>
              <w:rPr>
                <w:color w:val="auto"/>
                <w:highlight w:val="none"/>
              </w:rPr>
              <w:t>-572.7</w:t>
            </w:r>
          </w:p>
        </w:tc>
        <w:tc>
          <w:tcPr>
            <w:tcW w:w="486" w:type="pct"/>
            <w:shd w:val="clear" w:color="auto" w:fill="auto"/>
            <w:vAlign w:val="center"/>
          </w:tcPr>
          <w:p w14:paraId="09D3BEC3">
            <w:pPr>
              <w:pStyle w:val="17"/>
              <w:bidi w:val="0"/>
              <w:rPr>
                <w:color w:val="auto"/>
                <w:highlight w:val="none"/>
              </w:rPr>
            </w:pPr>
            <w:r>
              <w:rPr>
                <w:color w:val="auto"/>
                <w:highlight w:val="none"/>
              </w:rPr>
              <w:t>1.2</w:t>
            </w:r>
          </w:p>
        </w:tc>
        <w:tc>
          <w:tcPr>
            <w:tcW w:w="616" w:type="pct"/>
            <w:shd w:val="clear" w:color="auto" w:fill="auto"/>
            <w:vAlign w:val="center"/>
          </w:tcPr>
          <w:p w14:paraId="62679CF9">
            <w:pPr>
              <w:pStyle w:val="17"/>
              <w:bidi w:val="0"/>
              <w:rPr>
                <w:color w:val="auto"/>
                <w:highlight w:val="none"/>
              </w:rPr>
            </w:pPr>
            <w:r>
              <w:rPr>
                <w:color w:val="auto"/>
                <w:highlight w:val="none"/>
              </w:rPr>
              <w:t>65</w:t>
            </w:r>
          </w:p>
        </w:tc>
        <w:tc>
          <w:tcPr>
            <w:tcW w:w="615" w:type="pct"/>
            <w:vMerge w:val="restart"/>
            <w:shd w:val="clear" w:color="auto" w:fill="auto"/>
            <w:vAlign w:val="center"/>
          </w:tcPr>
          <w:p w14:paraId="7E0C761D">
            <w:pPr>
              <w:pStyle w:val="17"/>
              <w:bidi w:val="0"/>
              <w:rPr>
                <w:rFonts w:hint="default" w:eastAsia="宋体"/>
                <w:color w:val="auto"/>
                <w:highlight w:val="none"/>
                <w:lang w:val="en-US" w:eastAsia="zh-CN"/>
              </w:rPr>
            </w:pPr>
            <w:r>
              <w:rPr>
                <w:rFonts w:hint="eastAsia"/>
                <w:color w:val="auto"/>
                <w:highlight w:val="none"/>
                <w:lang w:val="en-US" w:eastAsia="zh-CN"/>
              </w:rPr>
              <w:t>定期检修、维护</w:t>
            </w:r>
          </w:p>
        </w:tc>
        <w:tc>
          <w:tcPr>
            <w:tcW w:w="538" w:type="pct"/>
            <w:shd w:val="clear" w:color="auto" w:fill="auto"/>
            <w:vAlign w:val="center"/>
          </w:tcPr>
          <w:p w14:paraId="13FA0DBB">
            <w:pPr>
              <w:pStyle w:val="17"/>
              <w:bidi w:val="0"/>
              <w:rPr>
                <w:color w:val="auto"/>
                <w:highlight w:val="none"/>
              </w:rPr>
            </w:pPr>
            <w:r>
              <w:rPr>
                <w:color w:val="auto"/>
                <w:highlight w:val="none"/>
              </w:rPr>
              <w:t>24.0</w:t>
            </w:r>
          </w:p>
        </w:tc>
      </w:tr>
      <w:tr w14:paraId="5957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7" w:type="pct"/>
            <w:shd w:val="clear" w:color="auto" w:fill="auto"/>
            <w:vAlign w:val="center"/>
          </w:tcPr>
          <w:p w14:paraId="53F6B52E">
            <w:pPr>
              <w:pStyle w:val="17"/>
              <w:bidi w:val="0"/>
              <w:rPr>
                <w:color w:val="auto"/>
                <w:highlight w:val="none"/>
              </w:rPr>
            </w:pPr>
            <w:r>
              <w:rPr>
                <w:color w:val="auto"/>
                <w:highlight w:val="none"/>
              </w:rPr>
              <w:t>2</w:t>
            </w:r>
          </w:p>
        </w:tc>
        <w:tc>
          <w:tcPr>
            <w:tcW w:w="626" w:type="pct"/>
            <w:shd w:val="clear" w:color="auto" w:fill="auto"/>
            <w:vAlign w:val="center"/>
          </w:tcPr>
          <w:p w14:paraId="78315501">
            <w:pPr>
              <w:pStyle w:val="17"/>
              <w:bidi w:val="0"/>
              <w:rPr>
                <w:color w:val="auto"/>
                <w:highlight w:val="none"/>
              </w:rPr>
            </w:pPr>
            <w:r>
              <w:rPr>
                <w:color w:val="auto"/>
                <w:highlight w:val="none"/>
              </w:rPr>
              <w:t>CV.2带式输送机</w:t>
            </w:r>
          </w:p>
        </w:tc>
        <w:tc>
          <w:tcPr>
            <w:tcW w:w="498" w:type="pct"/>
            <w:shd w:val="clear" w:color="auto" w:fill="auto"/>
            <w:vAlign w:val="center"/>
          </w:tcPr>
          <w:p w14:paraId="3E72D76A">
            <w:pPr>
              <w:pStyle w:val="17"/>
              <w:bidi w:val="0"/>
              <w:rPr>
                <w:color w:val="auto"/>
                <w:highlight w:val="none"/>
              </w:rPr>
            </w:pPr>
            <w:r>
              <w:rPr>
                <w:rFonts w:hint="eastAsia"/>
                <w:color w:val="auto"/>
                <w:highlight w:val="none"/>
                <w:lang w:val="en-US" w:eastAsia="zh-CN"/>
              </w:rPr>
              <w:t>B=1200，L=176.4m</w:t>
            </w:r>
          </w:p>
        </w:tc>
        <w:tc>
          <w:tcPr>
            <w:tcW w:w="544" w:type="pct"/>
            <w:shd w:val="clear" w:color="auto" w:fill="auto"/>
            <w:vAlign w:val="center"/>
          </w:tcPr>
          <w:p w14:paraId="287C4BBC">
            <w:pPr>
              <w:pStyle w:val="17"/>
              <w:bidi w:val="0"/>
              <w:rPr>
                <w:color w:val="auto"/>
                <w:highlight w:val="none"/>
              </w:rPr>
            </w:pPr>
            <w:r>
              <w:rPr>
                <w:color w:val="auto"/>
                <w:highlight w:val="none"/>
              </w:rPr>
              <w:t>355.5</w:t>
            </w:r>
          </w:p>
        </w:tc>
        <w:tc>
          <w:tcPr>
            <w:tcW w:w="626" w:type="pct"/>
            <w:shd w:val="clear" w:color="auto" w:fill="auto"/>
            <w:vAlign w:val="center"/>
          </w:tcPr>
          <w:p w14:paraId="674A7180">
            <w:pPr>
              <w:pStyle w:val="17"/>
              <w:bidi w:val="0"/>
              <w:rPr>
                <w:color w:val="auto"/>
                <w:highlight w:val="none"/>
              </w:rPr>
            </w:pPr>
            <w:r>
              <w:rPr>
                <w:color w:val="auto"/>
                <w:highlight w:val="none"/>
              </w:rPr>
              <w:t>-647</w:t>
            </w:r>
          </w:p>
        </w:tc>
        <w:tc>
          <w:tcPr>
            <w:tcW w:w="486" w:type="pct"/>
            <w:shd w:val="clear" w:color="auto" w:fill="auto"/>
            <w:vAlign w:val="center"/>
          </w:tcPr>
          <w:p w14:paraId="504B2436">
            <w:pPr>
              <w:pStyle w:val="17"/>
              <w:bidi w:val="0"/>
              <w:rPr>
                <w:color w:val="auto"/>
                <w:highlight w:val="none"/>
              </w:rPr>
            </w:pPr>
            <w:r>
              <w:rPr>
                <w:color w:val="auto"/>
                <w:highlight w:val="none"/>
              </w:rPr>
              <w:t>1.2</w:t>
            </w:r>
          </w:p>
        </w:tc>
        <w:tc>
          <w:tcPr>
            <w:tcW w:w="616" w:type="pct"/>
            <w:shd w:val="clear" w:color="auto" w:fill="auto"/>
            <w:vAlign w:val="center"/>
          </w:tcPr>
          <w:p w14:paraId="4F498393">
            <w:pPr>
              <w:pStyle w:val="17"/>
              <w:bidi w:val="0"/>
              <w:rPr>
                <w:color w:val="auto"/>
                <w:highlight w:val="none"/>
              </w:rPr>
            </w:pPr>
            <w:r>
              <w:rPr>
                <w:color w:val="auto"/>
                <w:highlight w:val="none"/>
              </w:rPr>
              <w:t>65</w:t>
            </w:r>
          </w:p>
        </w:tc>
        <w:tc>
          <w:tcPr>
            <w:tcW w:w="615" w:type="pct"/>
            <w:vMerge w:val="continue"/>
            <w:shd w:val="clear" w:color="auto" w:fill="auto"/>
            <w:vAlign w:val="center"/>
          </w:tcPr>
          <w:p w14:paraId="350F6631">
            <w:pPr>
              <w:pStyle w:val="17"/>
              <w:bidi w:val="0"/>
              <w:rPr>
                <w:color w:val="auto"/>
                <w:highlight w:val="none"/>
              </w:rPr>
            </w:pPr>
          </w:p>
        </w:tc>
        <w:tc>
          <w:tcPr>
            <w:tcW w:w="538" w:type="pct"/>
            <w:shd w:val="clear" w:color="auto" w:fill="auto"/>
            <w:vAlign w:val="center"/>
          </w:tcPr>
          <w:p w14:paraId="42FB2689">
            <w:pPr>
              <w:pStyle w:val="17"/>
              <w:bidi w:val="0"/>
              <w:rPr>
                <w:color w:val="auto"/>
                <w:highlight w:val="none"/>
              </w:rPr>
            </w:pPr>
            <w:r>
              <w:rPr>
                <w:color w:val="auto"/>
                <w:highlight w:val="none"/>
              </w:rPr>
              <w:t>24.0</w:t>
            </w:r>
          </w:p>
        </w:tc>
      </w:tr>
      <w:tr w14:paraId="0F69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7" w:type="pct"/>
            <w:shd w:val="clear" w:color="auto" w:fill="auto"/>
            <w:vAlign w:val="center"/>
          </w:tcPr>
          <w:p w14:paraId="5424231E">
            <w:pPr>
              <w:pStyle w:val="17"/>
              <w:bidi w:val="0"/>
              <w:rPr>
                <w:color w:val="auto"/>
                <w:highlight w:val="none"/>
              </w:rPr>
            </w:pPr>
            <w:r>
              <w:rPr>
                <w:color w:val="auto"/>
                <w:highlight w:val="none"/>
              </w:rPr>
              <w:t>3</w:t>
            </w:r>
          </w:p>
        </w:tc>
        <w:tc>
          <w:tcPr>
            <w:tcW w:w="626" w:type="pct"/>
            <w:shd w:val="clear" w:color="auto" w:fill="auto"/>
            <w:vAlign w:val="center"/>
          </w:tcPr>
          <w:p w14:paraId="60D37763">
            <w:pPr>
              <w:pStyle w:val="17"/>
              <w:bidi w:val="0"/>
              <w:rPr>
                <w:color w:val="auto"/>
                <w:highlight w:val="none"/>
              </w:rPr>
            </w:pPr>
            <w:r>
              <w:rPr>
                <w:color w:val="auto"/>
                <w:highlight w:val="none"/>
              </w:rPr>
              <w:t>CV.3带式输送机</w:t>
            </w:r>
          </w:p>
        </w:tc>
        <w:tc>
          <w:tcPr>
            <w:tcW w:w="498" w:type="pct"/>
            <w:shd w:val="clear" w:color="auto" w:fill="auto"/>
            <w:vAlign w:val="center"/>
          </w:tcPr>
          <w:p w14:paraId="4FAC3E70">
            <w:pPr>
              <w:pStyle w:val="17"/>
              <w:bidi w:val="0"/>
              <w:rPr>
                <w:color w:val="auto"/>
                <w:highlight w:val="none"/>
              </w:rPr>
            </w:pPr>
            <w:r>
              <w:rPr>
                <w:rFonts w:hint="eastAsia"/>
                <w:color w:val="auto"/>
                <w:highlight w:val="none"/>
                <w:lang w:val="en-US" w:eastAsia="zh-CN"/>
              </w:rPr>
              <w:t>B=1200，L=168m</w:t>
            </w:r>
          </w:p>
        </w:tc>
        <w:tc>
          <w:tcPr>
            <w:tcW w:w="544" w:type="pct"/>
            <w:shd w:val="clear" w:color="auto" w:fill="auto"/>
            <w:vAlign w:val="center"/>
          </w:tcPr>
          <w:p w14:paraId="564F842C">
            <w:pPr>
              <w:pStyle w:val="17"/>
              <w:bidi w:val="0"/>
              <w:rPr>
                <w:color w:val="auto"/>
                <w:highlight w:val="none"/>
              </w:rPr>
            </w:pPr>
            <w:r>
              <w:rPr>
                <w:color w:val="auto"/>
                <w:highlight w:val="none"/>
              </w:rPr>
              <w:t>233.9</w:t>
            </w:r>
          </w:p>
        </w:tc>
        <w:tc>
          <w:tcPr>
            <w:tcW w:w="626" w:type="pct"/>
            <w:shd w:val="clear" w:color="auto" w:fill="auto"/>
            <w:vAlign w:val="center"/>
          </w:tcPr>
          <w:p w14:paraId="1D38B37A">
            <w:pPr>
              <w:pStyle w:val="17"/>
              <w:bidi w:val="0"/>
              <w:rPr>
                <w:color w:val="auto"/>
                <w:highlight w:val="none"/>
              </w:rPr>
            </w:pPr>
            <w:r>
              <w:rPr>
                <w:color w:val="auto"/>
                <w:highlight w:val="none"/>
              </w:rPr>
              <w:t>-701.2</w:t>
            </w:r>
          </w:p>
        </w:tc>
        <w:tc>
          <w:tcPr>
            <w:tcW w:w="486" w:type="pct"/>
            <w:shd w:val="clear" w:color="auto" w:fill="auto"/>
            <w:vAlign w:val="center"/>
          </w:tcPr>
          <w:p w14:paraId="25FB161C">
            <w:pPr>
              <w:pStyle w:val="17"/>
              <w:bidi w:val="0"/>
              <w:rPr>
                <w:color w:val="auto"/>
                <w:highlight w:val="none"/>
              </w:rPr>
            </w:pPr>
            <w:r>
              <w:rPr>
                <w:color w:val="auto"/>
                <w:highlight w:val="none"/>
              </w:rPr>
              <w:t>1.2</w:t>
            </w:r>
          </w:p>
        </w:tc>
        <w:tc>
          <w:tcPr>
            <w:tcW w:w="616" w:type="pct"/>
            <w:shd w:val="clear" w:color="auto" w:fill="auto"/>
            <w:vAlign w:val="center"/>
          </w:tcPr>
          <w:p w14:paraId="33A26979">
            <w:pPr>
              <w:pStyle w:val="17"/>
              <w:bidi w:val="0"/>
              <w:rPr>
                <w:color w:val="auto"/>
                <w:highlight w:val="none"/>
              </w:rPr>
            </w:pPr>
            <w:r>
              <w:rPr>
                <w:color w:val="auto"/>
                <w:highlight w:val="none"/>
              </w:rPr>
              <w:t>65</w:t>
            </w:r>
          </w:p>
        </w:tc>
        <w:tc>
          <w:tcPr>
            <w:tcW w:w="615" w:type="pct"/>
            <w:vMerge w:val="continue"/>
            <w:shd w:val="clear" w:color="auto" w:fill="auto"/>
            <w:vAlign w:val="center"/>
          </w:tcPr>
          <w:p w14:paraId="3D67C595">
            <w:pPr>
              <w:pStyle w:val="17"/>
              <w:bidi w:val="0"/>
              <w:rPr>
                <w:color w:val="auto"/>
                <w:highlight w:val="none"/>
              </w:rPr>
            </w:pPr>
          </w:p>
        </w:tc>
        <w:tc>
          <w:tcPr>
            <w:tcW w:w="538" w:type="pct"/>
            <w:shd w:val="clear" w:color="auto" w:fill="auto"/>
            <w:vAlign w:val="center"/>
          </w:tcPr>
          <w:p w14:paraId="5B4FE734">
            <w:pPr>
              <w:pStyle w:val="17"/>
              <w:bidi w:val="0"/>
              <w:rPr>
                <w:color w:val="auto"/>
                <w:highlight w:val="none"/>
              </w:rPr>
            </w:pPr>
            <w:r>
              <w:rPr>
                <w:color w:val="auto"/>
                <w:highlight w:val="none"/>
              </w:rPr>
              <w:t>24.0</w:t>
            </w:r>
          </w:p>
        </w:tc>
      </w:tr>
      <w:tr w14:paraId="276C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7" w:type="pct"/>
            <w:shd w:val="clear" w:color="auto" w:fill="auto"/>
            <w:vAlign w:val="center"/>
          </w:tcPr>
          <w:p w14:paraId="2505C6B6">
            <w:pPr>
              <w:pStyle w:val="17"/>
              <w:bidi w:val="0"/>
              <w:rPr>
                <w:color w:val="auto"/>
                <w:highlight w:val="none"/>
              </w:rPr>
            </w:pPr>
            <w:r>
              <w:rPr>
                <w:color w:val="auto"/>
                <w:highlight w:val="none"/>
              </w:rPr>
              <w:t>4</w:t>
            </w:r>
          </w:p>
        </w:tc>
        <w:tc>
          <w:tcPr>
            <w:tcW w:w="626" w:type="pct"/>
            <w:shd w:val="clear" w:color="auto" w:fill="auto"/>
            <w:vAlign w:val="center"/>
          </w:tcPr>
          <w:p w14:paraId="39C39F98">
            <w:pPr>
              <w:pStyle w:val="17"/>
              <w:bidi w:val="0"/>
              <w:rPr>
                <w:color w:val="auto"/>
                <w:highlight w:val="none"/>
              </w:rPr>
            </w:pPr>
            <w:r>
              <w:rPr>
                <w:color w:val="auto"/>
                <w:highlight w:val="none"/>
              </w:rPr>
              <w:t>CV.4带式输送机</w:t>
            </w:r>
          </w:p>
        </w:tc>
        <w:tc>
          <w:tcPr>
            <w:tcW w:w="498" w:type="pct"/>
            <w:shd w:val="clear" w:color="auto" w:fill="auto"/>
            <w:vAlign w:val="center"/>
          </w:tcPr>
          <w:p w14:paraId="7E84AFFE">
            <w:pPr>
              <w:pStyle w:val="17"/>
              <w:bidi w:val="0"/>
              <w:rPr>
                <w:color w:val="auto"/>
                <w:highlight w:val="none"/>
              </w:rPr>
            </w:pPr>
            <w:r>
              <w:rPr>
                <w:rFonts w:hint="eastAsia"/>
                <w:color w:val="auto"/>
                <w:highlight w:val="none"/>
                <w:lang w:val="en-US" w:eastAsia="zh-CN"/>
              </w:rPr>
              <w:t>B=1200，L=21.9m</w:t>
            </w:r>
          </w:p>
        </w:tc>
        <w:tc>
          <w:tcPr>
            <w:tcW w:w="544" w:type="pct"/>
            <w:shd w:val="clear" w:color="auto" w:fill="auto"/>
            <w:vAlign w:val="center"/>
          </w:tcPr>
          <w:p w14:paraId="67D8B986">
            <w:pPr>
              <w:pStyle w:val="17"/>
              <w:bidi w:val="0"/>
              <w:rPr>
                <w:color w:val="auto"/>
                <w:highlight w:val="none"/>
              </w:rPr>
            </w:pPr>
            <w:r>
              <w:rPr>
                <w:color w:val="auto"/>
                <w:highlight w:val="none"/>
              </w:rPr>
              <w:t>213.4</w:t>
            </w:r>
          </w:p>
        </w:tc>
        <w:tc>
          <w:tcPr>
            <w:tcW w:w="626" w:type="pct"/>
            <w:shd w:val="clear" w:color="auto" w:fill="auto"/>
            <w:vAlign w:val="center"/>
          </w:tcPr>
          <w:p w14:paraId="7DEDADAA">
            <w:pPr>
              <w:pStyle w:val="17"/>
              <w:bidi w:val="0"/>
              <w:rPr>
                <w:color w:val="auto"/>
                <w:highlight w:val="none"/>
              </w:rPr>
            </w:pPr>
            <w:r>
              <w:rPr>
                <w:color w:val="auto"/>
                <w:highlight w:val="none"/>
              </w:rPr>
              <w:t>-712.4</w:t>
            </w:r>
          </w:p>
        </w:tc>
        <w:tc>
          <w:tcPr>
            <w:tcW w:w="486" w:type="pct"/>
            <w:shd w:val="clear" w:color="auto" w:fill="auto"/>
            <w:vAlign w:val="center"/>
          </w:tcPr>
          <w:p w14:paraId="4DBEFF4F">
            <w:pPr>
              <w:pStyle w:val="17"/>
              <w:bidi w:val="0"/>
              <w:rPr>
                <w:color w:val="auto"/>
                <w:highlight w:val="none"/>
              </w:rPr>
            </w:pPr>
            <w:r>
              <w:rPr>
                <w:color w:val="auto"/>
                <w:highlight w:val="none"/>
              </w:rPr>
              <w:t>1.2</w:t>
            </w:r>
          </w:p>
        </w:tc>
        <w:tc>
          <w:tcPr>
            <w:tcW w:w="616" w:type="pct"/>
            <w:shd w:val="clear" w:color="auto" w:fill="auto"/>
            <w:vAlign w:val="center"/>
          </w:tcPr>
          <w:p w14:paraId="63130A52">
            <w:pPr>
              <w:pStyle w:val="17"/>
              <w:bidi w:val="0"/>
              <w:rPr>
                <w:color w:val="auto"/>
                <w:highlight w:val="none"/>
              </w:rPr>
            </w:pPr>
            <w:r>
              <w:rPr>
                <w:color w:val="auto"/>
                <w:highlight w:val="none"/>
              </w:rPr>
              <w:t>65</w:t>
            </w:r>
          </w:p>
        </w:tc>
        <w:tc>
          <w:tcPr>
            <w:tcW w:w="615" w:type="pct"/>
            <w:vMerge w:val="continue"/>
            <w:shd w:val="clear" w:color="auto" w:fill="auto"/>
            <w:vAlign w:val="center"/>
          </w:tcPr>
          <w:p w14:paraId="226F3A46">
            <w:pPr>
              <w:pStyle w:val="17"/>
              <w:bidi w:val="0"/>
              <w:rPr>
                <w:color w:val="auto"/>
                <w:highlight w:val="none"/>
              </w:rPr>
            </w:pPr>
          </w:p>
        </w:tc>
        <w:tc>
          <w:tcPr>
            <w:tcW w:w="538" w:type="pct"/>
            <w:shd w:val="clear" w:color="auto" w:fill="auto"/>
            <w:vAlign w:val="center"/>
          </w:tcPr>
          <w:p w14:paraId="50C79A1D">
            <w:pPr>
              <w:pStyle w:val="17"/>
              <w:bidi w:val="0"/>
              <w:rPr>
                <w:color w:val="auto"/>
                <w:highlight w:val="none"/>
              </w:rPr>
            </w:pPr>
            <w:r>
              <w:rPr>
                <w:color w:val="auto"/>
                <w:highlight w:val="none"/>
              </w:rPr>
              <w:t>24.0</w:t>
            </w:r>
          </w:p>
        </w:tc>
      </w:tr>
      <w:tr w14:paraId="1B8D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7" w:type="pct"/>
            <w:shd w:val="clear" w:color="auto" w:fill="auto"/>
            <w:vAlign w:val="center"/>
          </w:tcPr>
          <w:p w14:paraId="037589E9">
            <w:pPr>
              <w:pStyle w:val="17"/>
              <w:bidi w:val="0"/>
              <w:rPr>
                <w:color w:val="auto"/>
                <w:highlight w:val="none"/>
              </w:rPr>
            </w:pPr>
            <w:r>
              <w:rPr>
                <w:color w:val="auto"/>
                <w:highlight w:val="none"/>
              </w:rPr>
              <w:t>5</w:t>
            </w:r>
          </w:p>
        </w:tc>
        <w:tc>
          <w:tcPr>
            <w:tcW w:w="626" w:type="pct"/>
            <w:shd w:val="clear" w:color="auto" w:fill="auto"/>
            <w:vAlign w:val="center"/>
          </w:tcPr>
          <w:p w14:paraId="7CE0D5AC">
            <w:pPr>
              <w:pStyle w:val="17"/>
              <w:bidi w:val="0"/>
              <w:rPr>
                <w:color w:val="auto"/>
                <w:highlight w:val="none"/>
              </w:rPr>
            </w:pPr>
            <w:r>
              <w:rPr>
                <w:color w:val="auto"/>
                <w:highlight w:val="none"/>
              </w:rPr>
              <w:t>CV.5带式输送机</w:t>
            </w:r>
          </w:p>
        </w:tc>
        <w:tc>
          <w:tcPr>
            <w:tcW w:w="498" w:type="pct"/>
            <w:shd w:val="clear" w:color="auto" w:fill="auto"/>
            <w:vAlign w:val="center"/>
          </w:tcPr>
          <w:p w14:paraId="78F46392">
            <w:pPr>
              <w:pStyle w:val="17"/>
              <w:bidi w:val="0"/>
              <w:rPr>
                <w:color w:val="auto"/>
                <w:highlight w:val="none"/>
              </w:rPr>
            </w:pPr>
            <w:r>
              <w:rPr>
                <w:rFonts w:hint="eastAsia"/>
                <w:color w:val="auto"/>
                <w:highlight w:val="none"/>
                <w:lang w:val="en-US" w:eastAsia="zh-CN"/>
              </w:rPr>
              <w:t>B=1200，L=146.33m</w:t>
            </w:r>
          </w:p>
        </w:tc>
        <w:tc>
          <w:tcPr>
            <w:tcW w:w="544" w:type="pct"/>
            <w:shd w:val="clear" w:color="auto" w:fill="auto"/>
            <w:vAlign w:val="center"/>
          </w:tcPr>
          <w:p w14:paraId="2C6285A2">
            <w:pPr>
              <w:pStyle w:val="17"/>
              <w:bidi w:val="0"/>
              <w:rPr>
                <w:color w:val="auto"/>
                <w:highlight w:val="none"/>
              </w:rPr>
            </w:pPr>
            <w:r>
              <w:rPr>
                <w:color w:val="auto"/>
                <w:highlight w:val="none"/>
              </w:rPr>
              <w:t>132.1</w:t>
            </w:r>
          </w:p>
        </w:tc>
        <w:tc>
          <w:tcPr>
            <w:tcW w:w="626" w:type="pct"/>
            <w:shd w:val="clear" w:color="auto" w:fill="auto"/>
            <w:vAlign w:val="center"/>
          </w:tcPr>
          <w:p w14:paraId="5BC2C604">
            <w:pPr>
              <w:pStyle w:val="17"/>
              <w:bidi w:val="0"/>
              <w:rPr>
                <w:color w:val="auto"/>
                <w:highlight w:val="none"/>
              </w:rPr>
            </w:pPr>
            <w:r>
              <w:rPr>
                <w:color w:val="auto"/>
                <w:highlight w:val="none"/>
              </w:rPr>
              <w:t>-758.2</w:t>
            </w:r>
          </w:p>
        </w:tc>
        <w:tc>
          <w:tcPr>
            <w:tcW w:w="486" w:type="pct"/>
            <w:shd w:val="clear" w:color="auto" w:fill="auto"/>
            <w:vAlign w:val="center"/>
          </w:tcPr>
          <w:p w14:paraId="1C88A5FB">
            <w:pPr>
              <w:pStyle w:val="17"/>
              <w:bidi w:val="0"/>
              <w:rPr>
                <w:color w:val="auto"/>
                <w:highlight w:val="none"/>
              </w:rPr>
            </w:pPr>
            <w:r>
              <w:rPr>
                <w:color w:val="auto"/>
                <w:highlight w:val="none"/>
              </w:rPr>
              <w:t>1.2</w:t>
            </w:r>
          </w:p>
        </w:tc>
        <w:tc>
          <w:tcPr>
            <w:tcW w:w="616" w:type="pct"/>
            <w:shd w:val="clear" w:color="auto" w:fill="auto"/>
            <w:vAlign w:val="center"/>
          </w:tcPr>
          <w:p w14:paraId="61F57AD4">
            <w:pPr>
              <w:pStyle w:val="17"/>
              <w:bidi w:val="0"/>
              <w:rPr>
                <w:color w:val="auto"/>
                <w:highlight w:val="none"/>
              </w:rPr>
            </w:pPr>
            <w:r>
              <w:rPr>
                <w:color w:val="auto"/>
                <w:highlight w:val="none"/>
              </w:rPr>
              <w:t>65</w:t>
            </w:r>
          </w:p>
        </w:tc>
        <w:tc>
          <w:tcPr>
            <w:tcW w:w="615" w:type="pct"/>
            <w:vMerge w:val="continue"/>
            <w:shd w:val="clear" w:color="auto" w:fill="auto"/>
            <w:vAlign w:val="center"/>
          </w:tcPr>
          <w:p w14:paraId="77CE2503">
            <w:pPr>
              <w:pStyle w:val="17"/>
              <w:bidi w:val="0"/>
              <w:rPr>
                <w:color w:val="auto"/>
                <w:highlight w:val="none"/>
              </w:rPr>
            </w:pPr>
          </w:p>
        </w:tc>
        <w:tc>
          <w:tcPr>
            <w:tcW w:w="538" w:type="pct"/>
            <w:shd w:val="clear" w:color="auto" w:fill="auto"/>
            <w:vAlign w:val="center"/>
          </w:tcPr>
          <w:p w14:paraId="6AC636F7">
            <w:pPr>
              <w:pStyle w:val="17"/>
              <w:bidi w:val="0"/>
              <w:rPr>
                <w:color w:val="auto"/>
                <w:highlight w:val="none"/>
              </w:rPr>
            </w:pPr>
            <w:r>
              <w:rPr>
                <w:color w:val="auto"/>
                <w:highlight w:val="none"/>
              </w:rPr>
              <w:t>24.0</w:t>
            </w:r>
          </w:p>
        </w:tc>
      </w:tr>
      <w:tr w14:paraId="63E1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7" w:type="pct"/>
            <w:shd w:val="clear" w:color="auto" w:fill="auto"/>
            <w:vAlign w:val="center"/>
          </w:tcPr>
          <w:p w14:paraId="1DD8DD04">
            <w:pPr>
              <w:pStyle w:val="17"/>
              <w:bidi w:val="0"/>
              <w:rPr>
                <w:color w:val="auto"/>
                <w:highlight w:val="none"/>
              </w:rPr>
            </w:pPr>
            <w:r>
              <w:rPr>
                <w:color w:val="auto"/>
                <w:highlight w:val="none"/>
              </w:rPr>
              <w:t>6</w:t>
            </w:r>
          </w:p>
        </w:tc>
        <w:tc>
          <w:tcPr>
            <w:tcW w:w="626" w:type="pct"/>
            <w:shd w:val="clear" w:color="auto" w:fill="auto"/>
            <w:vAlign w:val="center"/>
          </w:tcPr>
          <w:p w14:paraId="206BE802">
            <w:pPr>
              <w:pStyle w:val="17"/>
              <w:bidi w:val="0"/>
              <w:rPr>
                <w:color w:val="auto"/>
                <w:highlight w:val="none"/>
              </w:rPr>
            </w:pPr>
            <w:r>
              <w:rPr>
                <w:color w:val="auto"/>
                <w:highlight w:val="none"/>
              </w:rPr>
              <w:t>CV.6带式输送机</w:t>
            </w:r>
          </w:p>
        </w:tc>
        <w:tc>
          <w:tcPr>
            <w:tcW w:w="498" w:type="pct"/>
            <w:shd w:val="clear" w:color="auto" w:fill="auto"/>
            <w:vAlign w:val="center"/>
          </w:tcPr>
          <w:p w14:paraId="520A026A">
            <w:pPr>
              <w:pStyle w:val="17"/>
              <w:bidi w:val="0"/>
              <w:rPr>
                <w:color w:val="auto"/>
                <w:highlight w:val="none"/>
              </w:rPr>
            </w:pPr>
            <w:r>
              <w:rPr>
                <w:rFonts w:hint="eastAsia"/>
                <w:color w:val="auto"/>
                <w:highlight w:val="none"/>
                <w:lang w:val="en-US" w:eastAsia="zh-CN"/>
              </w:rPr>
              <w:t>B=1000，L=154.5</w:t>
            </w:r>
          </w:p>
        </w:tc>
        <w:tc>
          <w:tcPr>
            <w:tcW w:w="544" w:type="pct"/>
            <w:shd w:val="clear" w:color="auto" w:fill="auto"/>
            <w:vAlign w:val="center"/>
          </w:tcPr>
          <w:p w14:paraId="09BA7A95">
            <w:pPr>
              <w:pStyle w:val="17"/>
              <w:bidi w:val="0"/>
              <w:rPr>
                <w:color w:val="auto"/>
                <w:highlight w:val="none"/>
              </w:rPr>
            </w:pPr>
            <w:r>
              <w:rPr>
                <w:color w:val="auto"/>
                <w:highlight w:val="none"/>
              </w:rPr>
              <w:t>119.9</w:t>
            </w:r>
          </w:p>
        </w:tc>
        <w:tc>
          <w:tcPr>
            <w:tcW w:w="626" w:type="pct"/>
            <w:shd w:val="clear" w:color="auto" w:fill="auto"/>
            <w:vAlign w:val="center"/>
          </w:tcPr>
          <w:p w14:paraId="45F298B6">
            <w:pPr>
              <w:pStyle w:val="17"/>
              <w:bidi w:val="0"/>
              <w:rPr>
                <w:color w:val="auto"/>
                <w:highlight w:val="none"/>
              </w:rPr>
            </w:pPr>
            <w:r>
              <w:rPr>
                <w:color w:val="auto"/>
                <w:highlight w:val="none"/>
              </w:rPr>
              <w:t>-977</w:t>
            </w:r>
          </w:p>
        </w:tc>
        <w:tc>
          <w:tcPr>
            <w:tcW w:w="486" w:type="pct"/>
            <w:shd w:val="clear" w:color="auto" w:fill="auto"/>
            <w:vAlign w:val="center"/>
          </w:tcPr>
          <w:p w14:paraId="3237ECF9">
            <w:pPr>
              <w:pStyle w:val="17"/>
              <w:bidi w:val="0"/>
              <w:rPr>
                <w:color w:val="auto"/>
                <w:highlight w:val="none"/>
              </w:rPr>
            </w:pPr>
            <w:r>
              <w:rPr>
                <w:color w:val="auto"/>
                <w:highlight w:val="none"/>
              </w:rPr>
              <w:t>1.2</w:t>
            </w:r>
          </w:p>
        </w:tc>
        <w:tc>
          <w:tcPr>
            <w:tcW w:w="616" w:type="pct"/>
            <w:shd w:val="clear" w:color="auto" w:fill="auto"/>
            <w:vAlign w:val="center"/>
          </w:tcPr>
          <w:p w14:paraId="6398E8D5">
            <w:pPr>
              <w:pStyle w:val="17"/>
              <w:bidi w:val="0"/>
              <w:rPr>
                <w:color w:val="auto"/>
                <w:highlight w:val="none"/>
              </w:rPr>
            </w:pPr>
            <w:r>
              <w:rPr>
                <w:color w:val="auto"/>
                <w:highlight w:val="none"/>
              </w:rPr>
              <w:t>65</w:t>
            </w:r>
          </w:p>
        </w:tc>
        <w:tc>
          <w:tcPr>
            <w:tcW w:w="615" w:type="pct"/>
            <w:vMerge w:val="continue"/>
            <w:shd w:val="clear" w:color="auto" w:fill="auto"/>
            <w:vAlign w:val="center"/>
          </w:tcPr>
          <w:p w14:paraId="617FB57E">
            <w:pPr>
              <w:pStyle w:val="17"/>
              <w:bidi w:val="0"/>
              <w:rPr>
                <w:color w:val="auto"/>
                <w:highlight w:val="none"/>
              </w:rPr>
            </w:pPr>
          </w:p>
        </w:tc>
        <w:tc>
          <w:tcPr>
            <w:tcW w:w="538" w:type="pct"/>
            <w:shd w:val="clear" w:color="auto" w:fill="auto"/>
            <w:vAlign w:val="center"/>
          </w:tcPr>
          <w:p w14:paraId="00D7E958">
            <w:pPr>
              <w:pStyle w:val="17"/>
              <w:bidi w:val="0"/>
              <w:rPr>
                <w:color w:val="auto"/>
                <w:highlight w:val="none"/>
              </w:rPr>
            </w:pPr>
            <w:r>
              <w:rPr>
                <w:color w:val="auto"/>
                <w:highlight w:val="none"/>
              </w:rPr>
              <w:t>24.0</w:t>
            </w:r>
          </w:p>
        </w:tc>
      </w:tr>
    </w:tbl>
    <w:p w14:paraId="539C88E3">
      <w:pPr>
        <w:bidi w:val="0"/>
        <w:rPr>
          <w:rFonts w:hint="default"/>
          <w:color w:val="auto"/>
          <w:sz w:val="21"/>
          <w:szCs w:val="21"/>
          <w:highlight w:val="none"/>
          <w:lang w:val="en-US" w:eastAsia="zh-CN"/>
        </w:rPr>
      </w:pPr>
      <w:r>
        <w:rPr>
          <w:rFonts w:hint="eastAsia"/>
          <w:color w:val="auto"/>
          <w:sz w:val="21"/>
          <w:szCs w:val="21"/>
          <w:highlight w:val="none"/>
          <w:lang w:val="en-US" w:eastAsia="zh-CN"/>
        </w:rPr>
        <w:t>注：</w:t>
      </w:r>
      <w:r>
        <w:rPr>
          <w:rFonts w:hint="default"/>
          <w:color w:val="auto"/>
          <w:sz w:val="21"/>
          <w:szCs w:val="21"/>
          <w:highlight w:val="none"/>
          <w:lang w:val="en-US" w:eastAsia="zh-CN"/>
        </w:rPr>
        <w:t>表中坐标以厂界中心（）为坐标原点，正东向为X轴正方向，正北向为Y轴正方向</w:t>
      </w:r>
    </w:p>
    <w:p w14:paraId="27E01ABD">
      <w:pPr>
        <w:pStyle w:val="19"/>
        <w:bidi w:val="0"/>
        <w:rPr>
          <w:color w:val="auto"/>
          <w:highlight w:val="none"/>
          <w:lang w:eastAsia="zh-CN"/>
        </w:rPr>
      </w:pPr>
      <w:r>
        <w:rPr>
          <w:color w:val="auto"/>
          <w:highlight w:val="none"/>
          <w:lang w:eastAsia="zh-CN"/>
        </w:rPr>
        <w:t>表</w:t>
      </w:r>
      <w:r>
        <w:rPr>
          <w:rFonts w:hint="eastAsia"/>
          <w:color w:val="auto"/>
          <w:highlight w:val="none"/>
          <w:lang w:val="en-US" w:eastAsia="zh-CN"/>
        </w:rPr>
        <w:t xml:space="preserve">3.3-8   </w:t>
      </w:r>
      <w:r>
        <w:rPr>
          <w:color w:val="auto"/>
          <w:highlight w:val="none"/>
          <w:lang w:eastAsia="zh-CN"/>
        </w:rPr>
        <w:t>工业企业噪声源强调查清单（室内声源）</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47"/>
        <w:gridCol w:w="664"/>
        <w:gridCol w:w="1354"/>
        <w:gridCol w:w="1099"/>
        <w:gridCol w:w="935"/>
        <w:gridCol w:w="466"/>
        <w:gridCol w:w="584"/>
        <w:gridCol w:w="550"/>
        <w:gridCol w:w="634"/>
        <w:gridCol w:w="584"/>
        <w:gridCol w:w="667"/>
        <w:gridCol w:w="567"/>
        <w:gridCol w:w="532"/>
        <w:gridCol w:w="600"/>
        <w:gridCol w:w="517"/>
        <w:gridCol w:w="650"/>
        <w:gridCol w:w="767"/>
        <w:gridCol w:w="999"/>
        <w:gridCol w:w="816"/>
        <w:gridCol w:w="732"/>
      </w:tblGrid>
      <w:tr w14:paraId="7432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58" w:type="pct"/>
            <w:vMerge w:val="restart"/>
            <w:shd w:val="clear" w:color="auto" w:fill="auto"/>
            <w:vAlign w:val="center"/>
          </w:tcPr>
          <w:p w14:paraId="751E36BD">
            <w:pPr>
              <w:pStyle w:val="17"/>
              <w:bidi w:val="0"/>
              <w:rPr>
                <w:color w:val="auto"/>
                <w:highlight w:val="none"/>
              </w:rPr>
            </w:pPr>
            <w:bookmarkStart w:id="423" w:name="PT_6"/>
            <w:r>
              <w:rPr>
                <w:color w:val="auto"/>
                <w:highlight w:val="none"/>
              </w:rPr>
              <w:t>序号</w:t>
            </w:r>
          </w:p>
        </w:tc>
        <w:tc>
          <w:tcPr>
            <w:tcW w:w="234" w:type="pct"/>
            <w:vMerge w:val="restart"/>
            <w:shd w:val="clear" w:color="auto" w:fill="auto"/>
            <w:vAlign w:val="center"/>
          </w:tcPr>
          <w:p w14:paraId="38780569">
            <w:pPr>
              <w:pStyle w:val="17"/>
              <w:bidi w:val="0"/>
              <w:rPr>
                <w:color w:val="auto"/>
                <w:highlight w:val="none"/>
              </w:rPr>
            </w:pPr>
            <w:r>
              <w:rPr>
                <w:color w:val="auto"/>
                <w:highlight w:val="none"/>
              </w:rPr>
              <w:t>建筑物名称</w:t>
            </w:r>
          </w:p>
        </w:tc>
        <w:tc>
          <w:tcPr>
            <w:tcW w:w="478" w:type="pct"/>
            <w:vMerge w:val="restart"/>
            <w:shd w:val="clear" w:color="auto" w:fill="auto"/>
            <w:vAlign w:val="center"/>
          </w:tcPr>
          <w:p w14:paraId="080BC643">
            <w:pPr>
              <w:pStyle w:val="17"/>
              <w:bidi w:val="0"/>
              <w:rPr>
                <w:color w:val="auto"/>
                <w:highlight w:val="none"/>
              </w:rPr>
            </w:pPr>
            <w:r>
              <w:rPr>
                <w:color w:val="auto"/>
                <w:highlight w:val="none"/>
              </w:rPr>
              <w:t>声源名称</w:t>
            </w:r>
          </w:p>
        </w:tc>
        <w:tc>
          <w:tcPr>
            <w:tcW w:w="388" w:type="pct"/>
            <w:shd w:val="clear" w:color="auto" w:fill="auto"/>
            <w:vAlign w:val="center"/>
          </w:tcPr>
          <w:p w14:paraId="45AF89C6">
            <w:pPr>
              <w:pStyle w:val="17"/>
              <w:bidi w:val="0"/>
              <w:rPr>
                <w:color w:val="auto"/>
                <w:highlight w:val="none"/>
                <w:lang w:eastAsia="zh-CN"/>
              </w:rPr>
            </w:pPr>
            <w:r>
              <w:rPr>
                <w:color w:val="auto"/>
                <w:highlight w:val="none"/>
                <w:lang w:eastAsia="zh-CN"/>
              </w:rPr>
              <w:t>声源源强</w:t>
            </w:r>
          </w:p>
        </w:tc>
        <w:tc>
          <w:tcPr>
            <w:tcW w:w="329" w:type="pct"/>
            <w:vMerge w:val="restart"/>
            <w:shd w:val="clear" w:color="auto" w:fill="auto"/>
            <w:vAlign w:val="center"/>
          </w:tcPr>
          <w:p w14:paraId="0BC06E06">
            <w:pPr>
              <w:pStyle w:val="17"/>
              <w:bidi w:val="0"/>
              <w:rPr>
                <w:color w:val="auto"/>
                <w:highlight w:val="none"/>
              </w:rPr>
            </w:pPr>
            <w:r>
              <w:rPr>
                <w:color w:val="auto"/>
                <w:highlight w:val="none"/>
              </w:rPr>
              <w:t>声源控制措施</w:t>
            </w:r>
          </w:p>
        </w:tc>
        <w:tc>
          <w:tcPr>
            <w:tcW w:w="564" w:type="pct"/>
            <w:gridSpan w:val="3"/>
            <w:shd w:val="clear" w:color="auto" w:fill="auto"/>
            <w:vAlign w:val="center"/>
          </w:tcPr>
          <w:p w14:paraId="3FC3DF0E">
            <w:pPr>
              <w:pStyle w:val="17"/>
              <w:bidi w:val="0"/>
              <w:rPr>
                <w:color w:val="auto"/>
                <w:highlight w:val="none"/>
              </w:rPr>
            </w:pPr>
            <w:r>
              <w:rPr>
                <w:color w:val="auto"/>
                <w:highlight w:val="none"/>
              </w:rPr>
              <w:t>空间相对位置/m</w:t>
            </w:r>
          </w:p>
        </w:tc>
        <w:tc>
          <w:tcPr>
            <w:tcW w:w="864" w:type="pct"/>
            <w:gridSpan w:val="4"/>
            <w:shd w:val="clear" w:color="auto" w:fill="auto"/>
            <w:vAlign w:val="center"/>
          </w:tcPr>
          <w:p w14:paraId="162F3D25">
            <w:pPr>
              <w:pStyle w:val="17"/>
              <w:bidi w:val="0"/>
              <w:rPr>
                <w:color w:val="auto"/>
                <w:highlight w:val="none"/>
              </w:rPr>
            </w:pPr>
            <w:r>
              <w:rPr>
                <w:color w:val="auto"/>
                <w:highlight w:val="none"/>
              </w:rPr>
              <w:t>距室内边界距离/m</w:t>
            </w:r>
          </w:p>
        </w:tc>
        <w:tc>
          <w:tcPr>
            <w:tcW w:w="811" w:type="pct"/>
            <w:gridSpan w:val="4"/>
            <w:shd w:val="clear" w:color="auto" w:fill="auto"/>
            <w:vAlign w:val="center"/>
          </w:tcPr>
          <w:p w14:paraId="17068C34">
            <w:pPr>
              <w:pStyle w:val="17"/>
              <w:bidi w:val="0"/>
              <w:rPr>
                <w:rFonts w:hint="eastAsia" w:eastAsia="宋体"/>
                <w:color w:val="auto"/>
                <w:highlight w:val="none"/>
                <w:lang w:eastAsia="zh-CN"/>
              </w:rPr>
            </w:pPr>
            <w:r>
              <w:rPr>
                <w:color w:val="auto"/>
                <w:highlight w:val="none"/>
              </w:rPr>
              <w:t>室内边界声级/dB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270" w:type="pct"/>
            <w:vMerge w:val="restart"/>
            <w:shd w:val="clear" w:color="auto" w:fill="auto"/>
            <w:vAlign w:val="center"/>
          </w:tcPr>
          <w:p w14:paraId="45E40D3C">
            <w:pPr>
              <w:pStyle w:val="17"/>
              <w:bidi w:val="0"/>
              <w:rPr>
                <w:color w:val="auto"/>
                <w:highlight w:val="none"/>
              </w:rPr>
            </w:pPr>
            <w:r>
              <w:rPr>
                <w:color w:val="auto"/>
                <w:highlight w:val="none"/>
              </w:rPr>
              <w:t>运行时段</w:t>
            </w:r>
          </w:p>
        </w:tc>
        <w:tc>
          <w:tcPr>
            <w:tcW w:w="353" w:type="pct"/>
            <w:vMerge w:val="restart"/>
            <w:shd w:val="clear" w:color="auto" w:fill="auto"/>
            <w:vAlign w:val="center"/>
          </w:tcPr>
          <w:p w14:paraId="697AB5B9">
            <w:pPr>
              <w:pStyle w:val="17"/>
              <w:bidi w:val="0"/>
              <w:rPr>
                <w:rFonts w:hint="eastAsia" w:eastAsia="宋体"/>
                <w:color w:val="auto"/>
                <w:highlight w:val="none"/>
                <w:lang w:eastAsia="zh-CN"/>
              </w:rPr>
            </w:pPr>
            <w:r>
              <w:rPr>
                <w:color w:val="auto"/>
                <w:highlight w:val="none"/>
              </w:rPr>
              <w:t>建筑物插入损失/dB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288" w:type="pct"/>
            <w:vMerge w:val="restart"/>
            <w:shd w:val="clear" w:color="auto" w:fill="auto"/>
            <w:vAlign w:val="center"/>
          </w:tcPr>
          <w:p w14:paraId="44DF58C4">
            <w:pPr>
              <w:pStyle w:val="17"/>
              <w:bidi w:val="0"/>
              <w:rPr>
                <w:rFonts w:hint="eastAsia" w:eastAsia="宋体"/>
                <w:color w:val="auto"/>
                <w:highlight w:val="none"/>
                <w:lang w:eastAsia="zh-CN"/>
              </w:rPr>
            </w:pPr>
            <w:bookmarkStart w:id="424" w:name="PT_10"/>
            <w:bookmarkEnd w:id="424"/>
            <w:r>
              <w:rPr>
                <w:color w:val="auto"/>
                <w:highlight w:val="none"/>
              </w:rPr>
              <w:t>建筑物外噪声声压级/dB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258" w:type="pct"/>
            <w:vMerge w:val="restart"/>
            <w:shd w:val="clear" w:color="auto" w:fill="auto"/>
            <w:vAlign w:val="center"/>
          </w:tcPr>
          <w:p w14:paraId="27130D37">
            <w:pPr>
              <w:pStyle w:val="17"/>
              <w:bidi w:val="0"/>
              <w:rPr>
                <w:rFonts w:hint="default" w:ascii="Times New Roman" w:hAnsi="Times New Roman" w:cs="Times New Roman" w:eastAsiaTheme="minorEastAsia"/>
                <w:color w:val="auto"/>
                <w:sz w:val="21"/>
                <w:szCs w:val="21"/>
                <w:highlight w:val="none"/>
                <w:lang w:val="en-US" w:eastAsia="zh-CN"/>
              </w:rPr>
            </w:pPr>
            <w:r>
              <w:rPr>
                <w:rFonts w:ascii="Times New Roman" w:hAnsi="Times New Roman" w:cs="Times New Roman" w:eastAsiaTheme="minorEastAsia"/>
                <w:color w:val="auto"/>
                <w:sz w:val="21"/>
                <w:szCs w:val="21"/>
                <w:highlight w:val="none"/>
              </w:rPr>
              <w:t>建筑物外距离</w:t>
            </w:r>
            <w:r>
              <w:rPr>
                <w:rFonts w:hint="eastAsia" w:ascii="Times New Roman" w:hAnsi="Times New Roman" w:cs="Times New Roman" w:eastAsiaTheme="minorEastAsia"/>
                <w:color w:val="auto"/>
                <w:sz w:val="21"/>
                <w:szCs w:val="21"/>
                <w:highlight w:val="none"/>
                <w:lang w:eastAsia="zh-CN"/>
              </w:rPr>
              <w:t>（</w:t>
            </w:r>
            <w:r>
              <w:rPr>
                <w:rFonts w:hint="eastAsia" w:ascii="Times New Roman" w:hAnsi="Times New Roman" w:cs="Times New Roman" w:eastAsiaTheme="minorEastAsia"/>
                <w:color w:val="auto"/>
                <w:sz w:val="21"/>
                <w:szCs w:val="21"/>
                <w:highlight w:val="none"/>
                <w:lang w:val="en-US" w:eastAsia="zh-CN"/>
              </w:rPr>
              <w:t>m）</w:t>
            </w:r>
          </w:p>
        </w:tc>
      </w:tr>
      <w:tr w14:paraId="3084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vMerge w:val="continue"/>
            <w:shd w:val="clear" w:color="auto" w:fill="auto"/>
            <w:tcMar>
              <w:top w:w="0" w:type="dxa"/>
              <w:left w:w="0" w:type="dxa"/>
              <w:bottom w:w="0" w:type="dxa"/>
              <w:right w:w="0" w:type="dxa"/>
            </w:tcMar>
            <w:vAlign w:val="center"/>
          </w:tcPr>
          <w:p w14:paraId="62DCC3FB">
            <w:pPr>
              <w:pStyle w:val="17"/>
              <w:bidi w:val="0"/>
              <w:rPr>
                <w:rFonts w:hint="default"/>
                <w:color w:val="auto"/>
                <w:highlight w:val="none"/>
                <w:lang w:val="en-US" w:eastAsia="zh-CN"/>
              </w:rPr>
            </w:pPr>
          </w:p>
        </w:tc>
        <w:tc>
          <w:tcPr>
            <w:tcW w:w="234" w:type="pct"/>
            <w:vMerge w:val="continue"/>
            <w:shd w:val="clear" w:color="auto" w:fill="auto"/>
            <w:tcMar>
              <w:top w:w="0" w:type="dxa"/>
              <w:left w:w="0" w:type="dxa"/>
              <w:bottom w:w="0" w:type="dxa"/>
              <w:right w:w="0" w:type="dxa"/>
            </w:tcMar>
            <w:vAlign w:val="center"/>
          </w:tcPr>
          <w:p w14:paraId="7E0F7570">
            <w:pPr>
              <w:pStyle w:val="17"/>
              <w:bidi w:val="0"/>
              <w:rPr>
                <w:color w:val="auto"/>
                <w:highlight w:val="none"/>
              </w:rPr>
            </w:pPr>
          </w:p>
        </w:tc>
        <w:tc>
          <w:tcPr>
            <w:tcW w:w="478" w:type="pct"/>
            <w:vMerge w:val="continue"/>
            <w:shd w:val="clear" w:color="auto" w:fill="auto"/>
            <w:tcMar>
              <w:top w:w="0" w:type="dxa"/>
              <w:left w:w="0" w:type="dxa"/>
              <w:bottom w:w="0" w:type="dxa"/>
              <w:right w:w="0" w:type="dxa"/>
            </w:tcMar>
            <w:vAlign w:val="center"/>
          </w:tcPr>
          <w:p w14:paraId="2840288E">
            <w:pPr>
              <w:pStyle w:val="17"/>
              <w:bidi w:val="0"/>
              <w:rPr>
                <w:color w:val="auto"/>
                <w:highlight w:val="none"/>
              </w:rPr>
            </w:pPr>
          </w:p>
        </w:tc>
        <w:tc>
          <w:tcPr>
            <w:tcW w:w="388" w:type="pct"/>
            <w:shd w:val="clear" w:color="auto" w:fill="auto"/>
            <w:tcMar>
              <w:top w:w="0" w:type="dxa"/>
              <w:left w:w="0" w:type="dxa"/>
              <w:bottom w:w="0" w:type="dxa"/>
              <w:right w:w="0" w:type="dxa"/>
            </w:tcMar>
            <w:vAlign w:val="center"/>
          </w:tcPr>
          <w:p w14:paraId="44D0E4AA">
            <w:pPr>
              <w:pStyle w:val="17"/>
              <w:bidi w:val="0"/>
              <w:rPr>
                <w:rFonts w:hint="eastAsia" w:eastAsia="宋体"/>
                <w:color w:val="auto"/>
                <w:highlight w:val="none"/>
                <w:lang w:eastAsia="zh-CN"/>
              </w:rPr>
            </w:pPr>
            <w:r>
              <w:rPr>
                <w:color w:val="auto"/>
                <w:highlight w:val="none"/>
              </w:rPr>
              <w:t>声功率级/dB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24E756DD">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56677A5A">
            <w:pPr>
              <w:pStyle w:val="17"/>
              <w:bidi w:val="0"/>
              <w:rPr>
                <w:color w:val="auto"/>
                <w:highlight w:val="none"/>
              </w:rPr>
            </w:pPr>
            <w:r>
              <w:rPr>
                <w:color w:val="auto"/>
                <w:highlight w:val="none"/>
              </w:rPr>
              <w:t>X</w:t>
            </w:r>
          </w:p>
        </w:tc>
        <w:tc>
          <w:tcPr>
            <w:tcW w:w="206" w:type="pct"/>
            <w:shd w:val="clear" w:color="auto" w:fill="auto"/>
            <w:tcMar>
              <w:top w:w="0" w:type="dxa"/>
              <w:left w:w="0" w:type="dxa"/>
              <w:bottom w:w="0" w:type="dxa"/>
              <w:right w:w="0" w:type="dxa"/>
            </w:tcMar>
            <w:vAlign w:val="center"/>
          </w:tcPr>
          <w:p w14:paraId="4170BC65">
            <w:pPr>
              <w:pStyle w:val="17"/>
              <w:bidi w:val="0"/>
              <w:rPr>
                <w:color w:val="auto"/>
                <w:highlight w:val="none"/>
              </w:rPr>
            </w:pPr>
            <w:r>
              <w:rPr>
                <w:color w:val="auto"/>
                <w:highlight w:val="none"/>
              </w:rPr>
              <w:t>Y</w:t>
            </w:r>
          </w:p>
        </w:tc>
        <w:tc>
          <w:tcPr>
            <w:tcW w:w="194" w:type="pct"/>
            <w:shd w:val="clear" w:color="auto" w:fill="auto"/>
            <w:tcMar>
              <w:top w:w="0" w:type="dxa"/>
              <w:left w:w="0" w:type="dxa"/>
              <w:bottom w:w="0" w:type="dxa"/>
              <w:right w:w="0" w:type="dxa"/>
            </w:tcMar>
            <w:vAlign w:val="center"/>
          </w:tcPr>
          <w:p w14:paraId="66CD0680">
            <w:pPr>
              <w:pStyle w:val="17"/>
              <w:bidi w:val="0"/>
              <w:rPr>
                <w:color w:val="auto"/>
                <w:highlight w:val="none"/>
              </w:rPr>
            </w:pPr>
            <w:r>
              <w:rPr>
                <w:color w:val="auto"/>
                <w:highlight w:val="none"/>
              </w:rPr>
              <w:t>Z</w:t>
            </w:r>
          </w:p>
        </w:tc>
        <w:tc>
          <w:tcPr>
            <w:tcW w:w="223" w:type="pct"/>
            <w:shd w:val="clear" w:color="auto" w:fill="auto"/>
            <w:tcMar>
              <w:top w:w="0" w:type="dxa"/>
              <w:left w:w="0" w:type="dxa"/>
              <w:bottom w:w="0" w:type="dxa"/>
              <w:right w:w="0" w:type="dxa"/>
            </w:tcMar>
            <w:vAlign w:val="center"/>
          </w:tcPr>
          <w:p w14:paraId="34CA94FE">
            <w:pPr>
              <w:pStyle w:val="17"/>
              <w:bidi w:val="0"/>
              <w:rPr>
                <w:color w:val="auto"/>
                <w:highlight w:val="none"/>
              </w:rPr>
            </w:pPr>
            <w:r>
              <w:rPr>
                <w:rFonts w:hint="eastAsia"/>
                <w:color w:val="auto"/>
                <w:highlight w:val="none"/>
                <w:lang w:val="en-US" w:eastAsia="zh-CN"/>
              </w:rPr>
              <w:t>东</w:t>
            </w:r>
          </w:p>
        </w:tc>
        <w:tc>
          <w:tcPr>
            <w:tcW w:w="205" w:type="pct"/>
            <w:shd w:val="clear" w:color="auto" w:fill="auto"/>
            <w:tcMar>
              <w:top w:w="0" w:type="dxa"/>
              <w:left w:w="0" w:type="dxa"/>
              <w:bottom w:w="0" w:type="dxa"/>
              <w:right w:w="0" w:type="dxa"/>
            </w:tcMar>
            <w:vAlign w:val="center"/>
          </w:tcPr>
          <w:p w14:paraId="1443D5D9">
            <w:pPr>
              <w:pStyle w:val="17"/>
              <w:bidi w:val="0"/>
              <w:rPr>
                <w:color w:val="auto"/>
                <w:highlight w:val="none"/>
              </w:rPr>
            </w:pPr>
            <w:r>
              <w:rPr>
                <w:rFonts w:hint="eastAsia"/>
                <w:color w:val="auto"/>
                <w:highlight w:val="none"/>
                <w:lang w:val="en-US" w:eastAsia="zh-CN"/>
              </w:rPr>
              <w:t>南</w:t>
            </w:r>
          </w:p>
        </w:tc>
        <w:tc>
          <w:tcPr>
            <w:tcW w:w="235" w:type="pct"/>
            <w:shd w:val="clear" w:color="auto" w:fill="auto"/>
            <w:tcMar>
              <w:top w:w="0" w:type="dxa"/>
              <w:left w:w="0" w:type="dxa"/>
              <w:bottom w:w="0" w:type="dxa"/>
              <w:right w:w="0" w:type="dxa"/>
            </w:tcMar>
            <w:vAlign w:val="center"/>
          </w:tcPr>
          <w:p w14:paraId="5485E9F9">
            <w:pPr>
              <w:pStyle w:val="17"/>
              <w:bidi w:val="0"/>
              <w:rPr>
                <w:color w:val="auto"/>
                <w:highlight w:val="none"/>
              </w:rPr>
            </w:pPr>
            <w:r>
              <w:rPr>
                <w:rFonts w:hint="eastAsia"/>
                <w:color w:val="auto"/>
                <w:highlight w:val="none"/>
                <w:lang w:val="en-US" w:eastAsia="zh-CN"/>
              </w:rPr>
              <w:t>西</w:t>
            </w:r>
          </w:p>
        </w:tc>
        <w:tc>
          <w:tcPr>
            <w:tcW w:w="200" w:type="pct"/>
            <w:shd w:val="clear" w:color="auto" w:fill="auto"/>
            <w:tcMar>
              <w:top w:w="0" w:type="dxa"/>
              <w:left w:w="0" w:type="dxa"/>
              <w:bottom w:w="0" w:type="dxa"/>
              <w:right w:w="0" w:type="dxa"/>
            </w:tcMar>
            <w:vAlign w:val="center"/>
          </w:tcPr>
          <w:p w14:paraId="299EDAF8">
            <w:pPr>
              <w:pStyle w:val="17"/>
              <w:bidi w:val="0"/>
              <w:rPr>
                <w:color w:val="auto"/>
                <w:highlight w:val="none"/>
              </w:rPr>
            </w:pPr>
            <w:r>
              <w:rPr>
                <w:rFonts w:hint="eastAsia"/>
                <w:color w:val="auto"/>
                <w:highlight w:val="none"/>
                <w:lang w:val="en-US" w:eastAsia="zh-CN"/>
              </w:rPr>
              <w:t>北</w:t>
            </w:r>
          </w:p>
        </w:tc>
        <w:tc>
          <w:tcPr>
            <w:tcW w:w="188" w:type="pct"/>
            <w:shd w:val="clear" w:color="auto" w:fill="auto"/>
            <w:tcMar>
              <w:top w:w="0" w:type="dxa"/>
              <w:left w:w="0" w:type="dxa"/>
              <w:bottom w:w="0" w:type="dxa"/>
              <w:right w:w="0" w:type="dxa"/>
            </w:tcMar>
            <w:vAlign w:val="center"/>
          </w:tcPr>
          <w:p w14:paraId="088FBC56">
            <w:pPr>
              <w:pStyle w:val="17"/>
              <w:bidi w:val="0"/>
              <w:rPr>
                <w:color w:val="auto"/>
                <w:highlight w:val="none"/>
              </w:rPr>
            </w:pPr>
            <w:r>
              <w:rPr>
                <w:rFonts w:hint="eastAsia"/>
                <w:color w:val="auto"/>
                <w:highlight w:val="none"/>
                <w:lang w:val="en-US" w:eastAsia="zh-CN"/>
              </w:rPr>
              <w:t>东</w:t>
            </w:r>
          </w:p>
        </w:tc>
        <w:tc>
          <w:tcPr>
            <w:tcW w:w="211" w:type="pct"/>
            <w:shd w:val="clear" w:color="auto" w:fill="auto"/>
            <w:tcMar>
              <w:top w:w="0" w:type="dxa"/>
              <w:left w:w="0" w:type="dxa"/>
              <w:bottom w:w="0" w:type="dxa"/>
              <w:right w:w="0" w:type="dxa"/>
            </w:tcMar>
            <w:vAlign w:val="center"/>
          </w:tcPr>
          <w:p w14:paraId="6555C414">
            <w:pPr>
              <w:pStyle w:val="17"/>
              <w:bidi w:val="0"/>
              <w:rPr>
                <w:color w:val="auto"/>
                <w:highlight w:val="none"/>
              </w:rPr>
            </w:pPr>
            <w:r>
              <w:rPr>
                <w:rFonts w:hint="eastAsia"/>
                <w:color w:val="auto"/>
                <w:highlight w:val="none"/>
                <w:lang w:val="en-US" w:eastAsia="zh-CN"/>
              </w:rPr>
              <w:t>南</w:t>
            </w:r>
          </w:p>
        </w:tc>
        <w:tc>
          <w:tcPr>
            <w:tcW w:w="182" w:type="pct"/>
            <w:shd w:val="clear" w:color="auto" w:fill="auto"/>
            <w:tcMar>
              <w:top w:w="0" w:type="dxa"/>
              <w:left w:w="0" w:type="dxa"/>
              <w:bottom w:w="0" w:type="dxa"/>
              <w:right w:w="0" w:type="dxa"/>
            </w:tcMar>
            <w:vAlign w:val="center"/>
          </w:tcPr>
          <w:p w14:paraId="2743B326">
            <w:pPr>
              <w:pStyle w:val="17"/>
              <w:bidi w:val="0"/>
              <w:rPr>
                <w:color w:val="auto"/>
                <w:highlight w:val="none"/>
              </w:rPr>
            </w:pPr>
            <w:r>
              <w:rPr>
                <w:rFonts w:hint="eastAsia"/>
                <w:color w:val="auto"/>
                <w:highlight w:val="none"/>
                <w:lang w:val="en-US" w:eastAsia="zh-CN"/>
              </w:rPr>
              <w:t>西</w:t>
            </w:r>
          </w:p>
        </w:tc>
        <w:tc>
          <w:tcPr>
            <w:tcW w:w="229" w:type="pct"/>
            <w:shd w:val="clear" w:color="auto" w:fill="auto"/>
            <w:tcMar>
              <w:top w:w="0" w:type="dxa"/>
              <w:left w:w="0" w:type="dxa"/>
              <w:bottom w:w="0" w:type="dxa"/>
              <w:right w:w="0" w:type="dxa"/>
            </w:tcMar>
            <w:vAlign w:val="center"/>
          </w:tcPr>
          <w:p w14:paraId="75481069">
            <w:pPr>
              <w:pStyle w:val="17"/>
              <w:bidi w:val="0"/>
              <w:rPr>
                <w:color w:val="auto"/>
                <w:highlight w:val="none"/>
              </w:rPr>
            </w:pPr>
            <w:r>
              <w:rPr>
                <w:rFonts w:hint="eastAsia"/>
                <w:color w:val="auto"/>
                <w:highlight w:val="none"/>
                <w:lang w:val="en-US" w:eastAsia="zh-CN"/>
              </w:rPr>
              <w:t>北</w:t>
            </w:r>
          </w:p>
        </w:tc>
        <w:tc>
          <w:tcPr>
            <w:tcW w:w="270" w:type="pct"/>
            <w:vMerge w:val="continue"/>
            <w:shd w:val="clear" w:color="auto" w:fill="auto"/>
            <w:tcMar>
              <w:top w:w="0" w:type="dxa"/>
              <w:left w:w="0" w:type="dxa"/>
              <w:bottom w:w="0" w:type="dxa"/>
              <w:right w:w="0" w:type="dxa"/>
            </w:tcMar>
            <w:vAlign w:val="center"/>
          </w:tcPr>
          <w:p w14:paraId="027EF62C">
            <w:pPr>
              <w:pStyle w:val="17"/>
              <w:bidi w:val="0"/>
              <w:rPr>
                <w:color w:val="auto"/>
                <w:highlight w:val="none"/>
              </w:rPr>
            </w:pPr>
          </w:p>
        </w:tc>
        <w:tc>
          <w:tcPr>
            <w:tcW w:w="353" w:type="pct"/>
            <w:vMerge w:val="continue"/>
            <w:shd w:val="clear" w:color="auto" w:fill="auto"/>
            <w:tcMar>
              <w:top w:w="0" w:type="dxa"/>
              <w:left w:w="0" w:type="dxa"/>
              <w:bottom w:w="0" w:type="dxa"/>
              <w:right w:w="0" w:type="dxa"/>
            </w:tcMar>
            <w:vAlign w:val="center"/>
          </w:tcPr>
          <w:p w14:paraId="7BB1F33A">
            <w:pPr>
              <w:pStyle w:val="17"/>
              <w:bidi w:val="0"/>
              <w:rPr>
                <w:color w:val="auto"/>
                <w:highlight w:val="none"/>
              </w:rPr>
            </w:pPr>
          </w:p>
        </w:tc>
        <w:tc>
          <w:tcPr>
            <w:tcW w:w="288" w:type="pct"/>
            <w:vMerge w:val="continue"/>
            <w:shd w:val="clear" w:color="auto" w:fill="auto"/>
            <w:tcMar>
              <w:top w:w="0" w:type="dxa"/>
              <w:left w:w="0" w:type="dxa"/>
              <w:bottom w:w="0" w:type="dxa"/>
              <w:right w:w="0" w:type="dxa"/>
            </w:tcMar>
            <w:vAlign w:val="center"/>
          </w:tcPr>
          <w:p w14:paraId="6EE6B1C6">
            <w:pPr>
              <w:pStyle w:val="17"/>
              <w:bidi w:val="0"/>
              <w:rPr>
                <w:color w:val="auto"/>
                <w:highlight w:val="none"/>
              </w:rPr>
            </w:pPr>
          </w:p>
        </w:tc>
        <w:tc>
          <w:tcPr>
            <w:tcW w:w="258" w:type="pct"/>
            <w:vMerge w:val="continue"/>
            <w:shd w:val="clear" w:color="auto" w:fill="auto"/>
            <w:tcMar>
              <w:top w:w="0" w:type="dxa"/>
              <w:left w:w="0" w:type="dxa"/>
              <w:bottom w:w="0" w:type="dxa"/>
              <w:right w:w="0" w:type="dxa"/>
            </w:tcMar>
            <w:vAlign w:val="center"/>
          </w:tcPr>
          <w:p w14:paraId="5D31B6D3">
            <w:pPr>
              <w:pStyle w:val="17"/>
              <w:bidi w:val="0"/>
              <w:rPr>
                <w:color w:val="auto"/>
                <w:highlight w:val="none"/>
              </w:rPr>
            </w:pPr>
          </w:p>
        </w:tc>
      </w:tr>
      <w:tr w14:paraId="7104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B5EF51D">
            <w:pPr>
              <w:pStyle w:val="17"/>
              <w:bidi w:val="0"/>
              <w:rPr>
                <w:color w:val="auto"/>
                <w:highlight w:val="none"/>
              </w:rPr>
            </w:pPr>
            <w:r>
              <w:rPr>
                <w:color w:val="auto"/>
                <w:highlight w:val="none"/>
              </w:rPr>
              <w:t>1</w:t>
            </w:r>
          </w:p>
        </w:tc>
        <w:tc>
          <w:tcPr>
            <w:tcW w:w="234" w:type="pct"/>
            <w:shd w:val="clear" w:color="auto" w:fill="auto"/>
            <w:tcMar>
              <w:top w:w="0" w:type="dxa"/>
              <w:left w:w="0" w:type="dxa"/>
              <w:bottom w:w="0" w:type="dxa"/>
              <w:right w:w="0" w:type="dxa"/>
            </w:tcMar>
            <w:vAlign w:val="center"/>
          </w:tcPr>
          <w:p w14:paraId="3D336E4D">
            <w:pPr>
              <w:pStyle w:val="17"/>
              <w:bidi w:val="0"/>
              <w:rPr>
                <w:color w:val="auto"/>
                <w:highlight w:val="none"/>
              </w:rPr>
            </w:pPr>
            <w:r>
              <w:rPr>
                <w:color w:val="auto"/>
                <w:highlight w:val="none"/>
              </w:rPr>
              <w:t>粗矿仓</w:t>
            </w:r>
          </w:p>
        </w:tc>
        <w:tc>
          <w:tcPr>
            <w:tcW w:w="478" w:type="pct"/>
            <w:shd w:val="clear" w:color="auto" w:fill="auto"/>
            <w:tcMar>
              <w:top w:w="0" w:type="dxa"/>
              <w:left w:w="0" w:type="dxa"/>
              <w:bottom w:w="0" w:type="dxa"/>
              <w:right w:w="0" w:type="dxa"/>
            </w:tcMar>
            <w:vAlign w:val="center"/>
          </w:tcPr>
          <w:p w14:paraId="29E69139">
            <w:pPr>
              <w:pStyle w:val="17"/>
              <w:bidi w:val="0"/>
              <w:rPr>
                <w:color w:val="auto"/>
                <w:highlight w:val="none"/>
              </w:rPr>
            </w:pPr>
            <w:r>
              <w:rPr>
                <w:color w:val="auto"/>
                <w:highlight w:val="none"/>
              </w:rPr>
              <w:t>重型皮带给料机,4台（按点声源组预测）</w:t>
            </w:r>
          </w:p>
        </w:tc>
        <w:tc>
          <w:tcPr>
            <w:tcW w:w="388" w:type="pct"/>
            <w:shd w:val="clear" w:color="auto" w:fill="auto"/>
            <w:tcMar>
              <w:top w:w="0" w:type="dxa"/>
              <w:left w:w="0" w:type="dxa"/>
              <w:bottom w:w="0" w:type="dxa"/>
              <w:right w:w="0" w:type="dxa"/>
            </w:tcMar>
            <w:vAlign w:val="center"/>
          </w:tcPr>
          <w:p w14:paraId="65BE41E5">
            <w:pPr>
              <w:pStyle w:val="17"/>
              <w:bidi w:val="0"/>
              <w:rPr>
                <w:rFonts w:hint="eastAsia" w:eastAsia="宋体"/>
                <w:color w:val="auto"/>
                <w:highlight w:val="none"/>
                <w:lang w:eastAsia="zh-CN"/>
              </w:rPr>
            </w:pPr>
            <w:r>
              <w:rPr>
                <w:color w:val="auto"/>
                <w:highlight w:val="none"/>
              </w:rPr>
              <w:t>70（等效后：76.0</w:t>
            </w:r>
            <w:r>
              <w:rPr>
                <w:rFonts w:hint="eastAsia"/>
                <w:color w:val="auto"/>
                <w:highlight w:val="none"/>
                <w:lang w:eastAsia="zh-CN"/>
              </w:rPr>
              <w:t>）</w:t>
            </w:r>
          </w:p>
        </w:tc>
        <w:tc>
          <w:tcPr>
            <w:tcW w:w="329" w:type="pct"/>
            <w:vMerge w:val="restart"/>
            <w:shd w:val="clear" w:color="auto" w:fill="auto"/>
            <w:tcMar>
              <w:top w:w="0" w:type="dxa"/>
              <w:left w:w="0" w:type="dxa"/>
              <w:bottom w:w="0" w:type="dxa"/>
              <w:right w:w="0" w:type="dxa"/>
            </w:tcMar>
            <w:vAlign w:val="center"/>
          </w:tcPr>
          <w:p w14:paraId="693284D5">
            <w:pPr>
              <w:pStyle w:val="17"/>
              <w:bidi w:val="0"/>
              <w:rPr>
                <w:color w:val="auto"/>
                <w:highlight w:val="none"/>
              </w:rPr>
            </w:pPr>
            <w:bookmarkStart w:id="425" w:name="OLE_LINK232"/>
            <w:r>
              <w:rPr>
                <w:rFonts w:hint="default" w:ascii="Times New Roman" w:hAnsi="Times New Roman" w:cs="Times New Roman"/>
                <w:color w:val="auto"/>
                <w:sz w:val="21"/>
                <w:szCs w:val="21"/>
                <w:highlight w:val="none"/>
                <w:lang w:val="en-US" w:eastAsia="zh-CN"/>
              </w:rPr>
              <w:t>基础减振、厂房隔声、合理布局</w:t>
            </w:r>
            <w:bookmarkEnd w:id="425"/>
          </w:p>
        </w:tc>
        <w:tc>
          <w:tcPr>
            <w:tcW w:w="164" w:type="pct"/>
            <w:shd w:val="clear" w:color="auto" w:fill="auto"/>
            <w:tcMar>
              <w:top w:w="0" w:type="dxa"/>
              <w:left w:w="0" w:type="dxa"/>
              <w:bottom w:w="0" w:type="dxa"/>
              <w:right w:w="0" w:type="dxa"/>
            </w:tcMar>
            <w:vAlign w:val="center"/>
          </w:tcPr>
          <w:p w14:paraId="0EC0FBB9">
            <w:pPr>
              <w:pStyle w:val="17"/>
              <w:bidi w:val="0"/>
              <w:rPr>
                <w:color w:val="auto"/>
                <w:highlight w:val="none"/>
              </w:rPr>
            </w:pPr>
            <w:r>
              <w:rPr>
                <w:color w:val="auto"/>
                <w:highlight w:val="none"/>
              </w:rPr>
              <w:t>541.5</w:t>
            </w:r>
          </w:p>
        </w:tc>
        <w:tc>
          <w:tcPr>
            <w:tcW w:w="206" w:type="pct"/>
            <w:shd w:val="clear" w:color="auto" w:fill="auto"/>
            <w:tcMar>
              <w:top w:w="0" w:type="dxa"/>
              <w:left w:w="0" w:type="dxa"/>
              <w:bottom w:w="0" w:type="dxa"/>
              <w:right w:w="0" w:type="dxa"/>
            </w:tcMar>
            <w:vAlign w:val="center"/>
          </w:tcPr>
          <w:p w14:paraId="2D4457CC">
            <w:pPr>
              <w:pStyle w:val="17"/>
              <w:bidi w:val="0"/>
              <w:rPr>
                <w:color w:val="auto"/>
                <w:highlight w:val="none"/>
              </w:rPr>
            </w:pPr>
            <w:r>
              <w:rPr>
                <w:color w:val="auto"/>
                <w:highlight w:val="none"/>
              </w:rPr>
              <w:t>-554</w:t>
            </w:r>
          </w:p>
        </w:tc>
        <w:tc>
          <w:tcPr>
            <w:tcW w:w="194" w:type="pct"/>
            <w:shd w:val="clear" w:color="auto" w:fill="auto"/>
            <w:tcMar>
              <w:top w:w="0" w:type="dxa"/>
              <w:left w:w="0" w:type="dxa"/>
              <w:bottom w:w="0" w:type="dxa"/>
              <w:right w:w="0" w:type="dxa"/>
            </w:tcMar>
            <w:vAlign w:val="center"/>
          </w:tcPr>
          <w:p w14:paraId="0BB147B9">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F539311">
            <w:pPr>
              <w:pStyle w:val="17"/>
              <w:bidi w:val="0"/>
              <w:rPr>
                <w:color w:val="auto"/>
                <w:highlight w:val="none"/>
              </w:rPr>
            </w:pPr>
            <w:r>
              <w:rPr>
                <w:color w:val="auto"/>
                <w:highlight w:val="none"/>
              </w:rPr>
              <w:t>22.0</w:t>
            </w:r>
          </w:p>
        </w:tc>
        <w:tc>
          <w:tcPr>
            <w:tcW w:w="205" w:type="pct"/>
            <w:shd w:val="clear" w:color="auto" w:fill="auto"/>
            <w:tcMar>
              <w:top w:w="0" w:type="dxa"/>
              <w:left w:w="0" w:type="dxa"/>
              <w:bottom w:w="0" w:type="dxa"/>
              <w:right w:w="0" w:type="dxa"/>
            </w:tcMar>
            <w:vAlign w:val="center"/>
          </w:tcPr>
          <w:p w14:paraId="1573033B">
            <w:pPr>
              <w:pStyle w:val="17"/>
              <w:bidi w:val="0"/>
              <w:rPr>
                <w:color w:val="auto"/>
                <w:highlight w:val="none"/>
              </w:rPr>
            </w:pPr>
            <w:r>
              <w:rPr>
                <w:color w:val="auto"/>
                <w:highlight w:val="none"/>
              </w:rPr>
              <w:t>25.2</w:t>
            </w:r>
          </w:p>
        </w:tc>
        <w:tc>
          <w:tcPr>
            <w:tcW w:w="235" w:type="pct"/>
            <w:shd w:val="clear" w:color="auto" w:fill="auto"/>
            <w:tcMar>
              <w:top w:w="0" w:type="dxa"/>
              <w:left w:w="0" w:type="dxa"/>
              <w:bottom w:w="0" w:type="dxa"/>
              <w:right w:w="0" w:type="dxa"/>
            </w:tcMar>
            <w:vAlign w:val="center"/>
          </w:tcPr>
          <w:p w14:paraId="559782D6">
            <w:pPr>
              <w:pStyle w:val="17"/>
              <w:bidi w:val="0"/>
              <w:rPr>
                <w:color w:val="auto"/>
                <w:highlight w:val="none"/>
              </w:rPr>
            </w:pPr>
            <w:r>
              <w:rPr>
                <w:color w:val="auto"/>
                <w:highlight w:val="none"/>
              </w:rPr>
              <w:t>37.8</w:t>
            </w:r>
          </w:p>
        </w:tc>
        <w:tc>
          <w:tcPr>
            <w:tcW w:w="200" w:type="pct"/>
            <w:shd w:val="clear" w:color="auto" w:fill="auto"/>
            <w:tcMar>
              <w:top w:w="0" w:type="dxa"/>
              <w:left w:w="0" w:type="dxa"/>
              <w:bottom w:w="0" w:type="dxa"/>
              <w:right w:w="0" w:type="dxa"/>
            </w:tcMar>
            <w:vAlign w:val="center"/>
          </w:tcPr>
          <w:p w14:paraId="072ADFA3">
            <w:pPr>
              <w:pStyle w:val="17"/>
              <w:bidi w:val="0"/>
              <w:rPr>
                <w:color w:val="auto"/>
                <w:highlight w:val="none"/>
              </w:rPr>
            </w:pPr>
            <w:r>
              <w:rPr>
                <w:color w:val="auto"/>
                <w:highlight w:val="none"/>
              </w:rPr>
              <w:t>19.7</w:t>
            </w:r>
          </w:p>
        </w:tc>
        <w:tc>
          <w:tcPr>
            <w:tcW w:w="188" w:type="pct"/>
            <w:shd w:val="clear" w:color="auto" w:fill="auto"/>
            <w:tcMar>
              <w:top w:w="0" w:type="dxa"/>
              <w:left w:w="0" w:type="dxa"/>
              <w:bottom w:w="0" w:type="dxa"/>
              <w:right w:w="0" w:type="dxa"/>
            </w:tcMar>
            <w:vAlign w:val="center"/>
          </w:tcPr>
          <w:p w14:paraId="44BFC3AE">
            <w:pPr>
              <w:pStyle w:val="17"/>
              <w:bidi w:val="0"/>
              <w:rPr>
                <w:color w:val="auto"/>
                <w:highlight w:val="none"/>
              </w:rPr>
            </w:pPr>
            <w:r>
              <w:rPr>
                <w:color w:val="auto"/>
                <w:highlight w:val="none"/>
              </w:rPr>
              <w:t>60.0</w:t>
            </w:r>
          </w:p>
        </w:tc>
        <w:tc>
          <w:tcPr>
            <w:tcW w:w="211" w:type="pct"/>
            <w:shd w:val="clear" w:color="auto" w:fill="auto"/>
            <w:tcMar>
              <w:top w:w="0" w:type="dxa"/>
              <w:left w:w="0" w:type="dxa"/>
              <w:bottom w:w="0" w:type="dxa"/>
              <w:right w:w="0" w:type="dxa"/>
            </w:tcMar>
            <w:vAlign w:val="center"/>
          </w:tcPr>
          <w:p w14:paraId="606CB297">
            <w:pPr>
              <w:pStyle w:val="17"/>
              <w:bidi w:val="0"/>
              <w:rPr>
                <w:color w:val="auto"/>
                <w:highlight w:val="none"/>
              </w:rPr>
            </w:pPr>
            <w:r>
              <w:rPr>
                <w:color w:val="auto"/>
                <w:highlight w:val="none"/>
              </w:rPr>
              <w:t>60.0</w:t>
            </w:r>
          </w:p>
        </w:tc>
        <w:tc>
          <w:tcPr>
            <w:tcW w:w="182" w:type="pct"/>
            <w:shd w:val="clear" w:color="auto" w:fill="auto"/>
            <w:tcMar>
              <w:top w:w="0" w:type="dxa"/>
              <w:left w:w="0" w:type="dxa"/>
              <w:bottom w:w="0" w:type="dxa"/>
              <w:right w:w="0" w:type="dxa"/>
            </w:tcMar>
            <w:vAlign w:val="center"/>
          </w:tcPr>
          <w:p w14:paraId="291184EC">
            <w:pPr>
              <w:pStyle w:val="17"/>
              <w:bidi w:val="0"/>
              <w:rPr>
                <w:color w:val="auto"/>
                <w:highlight w:val="none"/>
              </w:rPr>
            </w:pPr>
            <w:r>
              <w:rPr>
                <w:color w:val="auto"/>
                <w:highlight w:val="none"/>
              </w:rPr>
              <w:t>60.0</w:t>
            </w:r>
          </w:p>
        </w:tc>
        <w:tc>
          <w:tcPr>
            <w:tcW w:w="229" w:type="pct"/>
            <w:shd w:val="clear" w:color="auto" w:fill="auto"/>
            <w:tcMar>
              <w:top w:w="0" w:type="dxa"/>
              <w:left w:w="0" w:type="dxa"/>
              <w:bottom w:w="0" w:type="dxa"/>
              <w:right w:w="0" w:type="dxa"/>
            </w:tcMar>
            <w:vAlign w:val="center"/>
          </w:tcPr>
          <w:p w14:paraId="7F91A5BD">
            <w:pPr>
              <w:pStyle w:val="17"/>
              <w:bidi w:val="0"/>
              <w:rPr>
                <w:color w:val="auto"/>
                <w:highlight w:val="none"/>
              </w:rPr>
            </w:pPr>
            <w:r>
              <w:rPr>
                <w:color w:val="auto"/>
                <w:highlight w:val="none"/>
              </w:rPr>
              <w:t>60.0</w:t>
            </w:r>
          </w:p>
        </w:tc>
        <w:tc>
          <w:tcPr>
            <w:tcW w:w="270" w:type="pct"/>
            <w:shd w:val="clear" w:color="auto" w:fill="auto"/>
            <w:tcMar>
              <w:top w:w="0" w:type="dxa"/>
              <w:left w:w="0" w:type="dxa"/>
              <w:bottom w:w="0" w:type="dxa"/>
              <w:right w:w="0" w:type="dxa"/>
            </w:tcMar>
            <w:vAlign w:val="center"/>
          </w:tcPr>
          <w:p w14:paraId="61B8B917">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6F08E562">
            <w:pPr>
              <w:pStyle w:val="17"/>
              <w:bidi w:val="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1065D7E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50.0</w:t>
            </w:r>
          </w:p>
        </w:tc>
        <w:tc>
          <w:tcPr>
            <w:tcW w:w="258" w:type="pct"/>
            <w:shd w:val="clear" w:color="auto" w:fill="auto"/>
            <w:tcMar>
              <w:top w:w="0" w:type="dxa"/>
              <w:left w:w="0" w:type="dxa"/>
              <w:bottom w:w="0" w:type="dxa"/>
              <w:right w:w="0" w:type="dxa"/>
            </w:tcMar>
            <w:vAlign w:val="center"/>
          </w:tcPr>
          <w:p w14:paraId="5BB3076C">
            <w:pPr>
              <w:pStyle w:val="17"/>
              <w:bidi w:val="0"/>
              <w:ind w:firstLine="0" w:firstLineChars="0"/>
              <w:rPr>
                <w:rFonts w:hint="eastAsia" w:eastAsia="宋体"/>
                <w:color w:val="auto"/>
                <w:highlight w:val="none"/>
                <w:lang w:val="en-US" w:eastAsia="zh-CN"/>
              </w:rPr>
            </w:pPr>
            <w:r>
              <w:rPr>
                <w:rFonts w:hint="eastAsia"/>
                <w:color w:val="auto"/>
                <w:highlight w:val="none"/>
                <w:lang w:val="en-US" w:eastAsia="zh-CN"/>
              </w:rPr>
              <w:t>1</w:t>
            </w:r>
          </w:p>
        </w:tc>
      </w:tr>
      <w:tr w14:paraId="6940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4188F6B1">
            <w:pPr>
              <w:pStyle w:val="17"/>
              <w:bidi w:val="0"/>
              <w:rPr>
                <w:color w:val="auto"/>
                <w:highlight w:val="none"/>
              </w:rPr>
            </w:pPr>
            <w:r>
              <w:rPr>
                <w:color w:val="auto"/>
                <w:highlight w:val="none"/>
              </w:rPr>
              <w:t>2</w:t>
            </w:r>
          </w:p>
        </w:tc>
        <w:tc>
          <w:tcPr>
            <w:tcW w:w="234" w:type="pct"/>
            <w:shd w:val="clear" w:color="auto" w:fill="auto"/>
            <w:tcMar>
              <w:top w:w="0" w:type="dxa"/>
              <w:left w:w="0" w:type="dxa"/>
              <w:bottom w:w="0" w:type="dxa"/>
              <w:right w:w="0" w:type="dxa"/>
            </w:tcMar>
            <w:vAlign w:val="center"/>
          </w:tcPr>
          <w:p w14:paraId="7F211AA8">
            <w:pPr>
              <w:pStyle w:val="17"/>
              <w:bidi w:val="0"/>
              <w:rPr>
                <w:color w:val="auto"/>
                <w:highlight w:val="none"/>
              </w:rPr>
            </w:pPr>
            <w:r>
              <w:rPr>
                <w:color w:val="auto"/>
                <w:highlight w:val="none"/>
              </w:rPr>
              <w:t>粗矿仓</w:t>
            </w:r>
          </w:p>
        </w:tc>
        <w:tc>
          <w:tcPr>
            <w:tcW w:w="478" w:type="pct"/>
            <w:shd w:val="clear" w:color="auto" w:fill="auto"/>
            <w:tcMar>
              <w:top w:w="0" w:type="dxa"/>
              <w:left w:w="0" w:type="dxa"/>
              <w:bottom w:w="0" w:type="dxa"/>
              <w:right w:w="0" w:type="dxa"/>
            </w:tcMar>
            <w:vAlign w:val="center"/>
          </w:tcPr>
          <w:p w14:paraId="69E2983D">
            <w:pPr>
              <w:pStyle w:val="17"/>
              <w:bidi w:val="0"/>
              <w:rPr>
                <w:color w:val="auto"/>
                <w:highlight w:val="none"/>
              </w:rPr>
            </w:pPr>
            <w:r>
              <w:rPr>
                <w:color w:val="auto"/>
                <w:highlight w:val="none"/>
              </w:rPr>
              <w:t>振动给料机</w:t>
            </w:r>
          </w:p>
        </w:tc>
        <w:tc>
          <w:tcPr>
            <w:tcW w:w="388" w:type="pct"/>
            <w:shd w:val="clear" w:color="auto" w:fill="auto"/>
            <w:tcMar>
              <w:top w:w="0" w:type="dxa"/>
              <w:left w:w="0" w:type="dxa"/>
              <w:bottom w:w="0" w:type="dxa"/>
              <w:right w:w="0" w:type="dxa"/>
            </w:tcMar>
            <w:vAlign w:val="center"/>
          </w:tcPr>
          <w:p w14:paraId="67AA479C">
            <w:pPr>
              <w:pStyle w:val="17"/>
              <w:bidi w:val="0"/>
              <w:rPr>
                <w:color w:val="auto"/>
                <w:highlight w:val="none"/>
              </w:rPr>
            </w:pPr>
            <w:r>
              <w:rPr>
                <w:color w:val="auto"/>
                <w:highlight w:val="none"/>
              </w:rPr>
              <w:t>75</w:t>
            </w:r>
          </w:p>
        </w:tc>
        <w:tc>
          <w:tcPr>
            <w:tcW w:w="329" w:type="pct"/>
            <w:vMerge w:val="continue"/>
            <w:shd w:val="clear" w:color="auto" w:fill="auto"/>
            <w:tcMar>
              <w:top w:w="0" w:type="dxa"/>
              <w:left w:w="0" w:type="dxa"/>
              <w:bottom w:w="0" w:type="dxa"/>
              <w:right w:w="0" w:type="dxa"/>
            </w:tcMar>
            <w:vAlign w:val="center"/>
          </w:tcPr>
          <w:p w14:paraId="77C6CEEB">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0D885594">
            <w:pPr>
              <w:pStyle w:val="17"/>
              <w:bidi w:val="0"/>
              <w:rPr>
                <w:color w:val="auto"/>
                <w:highlight w:val="none"/>
              </w:rPr>
            </w:pPr>
            <w:r>
              <w:rPr>
                <w:color w:val="auto"/>
                <w:highlight w:val="none"/>
              </w:rPr>
              <w:t>525.6</w:t>
            </w:r>
          </w:p>
        </w:tc>
        <w:tc>
          <w:tcPr>
            <w:tcW w:w="206" w:type="pct"/>
            <w:shd w:val="clear" w:color="auto" w:fill="auto"/>
            <w:tcMar>
              <w:top w:w="0" w:type="dxa"/>
              <w:left w:w="0" w:type="dxa"/>
              <w:bottom w:w="0" w:type="dxa"/>
              <w:right w:w="0" w:type="dxa"/>
            </w:tcMar>
            <w:vAlign w:val="center"/>
          </w:tcPr>
          <w:p w14:paraId="2A90A839">
            <w:pPr>
              <w:pStyle w:val="17"/>
              <w:bidi w:val="0"/>
              <w:rPr>
                <w:color w:val="auto"/>
                <w:highlight w:val="none"/>
              </w:rPr>
            </w:pPr>
            <w:r>
              <w:rPr>
                <w:color w:val="auto"/>
                <w:highlight w:val="none"/>
              </w:rPr>
              <w:t>-554</w:t>
            </w:r>
          </w:p>
        </w:tc>
        <w:tc>
          <w:tcPr>
            <w:tcW w:w="194" w:type="pct"/>
            <w:shd w:val="clear" w:color="auto" w:fill="auto"/>
            <w:tcMar>
              <w:top w:w="0" w:type="dxa"/>
              <w:left w:w="0" w:type="dxa"/>
              <w:bottom w:w="0" w:type="dxa"/>
              <w:right w:w="0" w:type="dxa"/>
            </w:tcMar>
            <w:vAlign w:val="center"/>
          </w:tcPr>
          <w:p w14:paraId="2C7870A4">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474E8D73">
            <w:pPr>
              <w:pStyle w:val="17"/>
              <w:bidi w:val="0"/>
              <w:rPr>
                <w:color w:val="auto"/>
                <w:highlight w:val="none"/>
              </w:rPr>
            </w:pPr>
            <w:r>
              <w:rPr>
                <w:color w:val="auto"/>
                <w:highlight w:val="none"/>
              </w:rPr>
              <w:t>37.9</w:t>
            </w:r>
          </w:p>
        </w:tc>
        <w:tc>
          <w:tcPr>
            <w:tcW w:w="205" w:type="pct"/>
            <w:shd w:val="clear" w:color="auto" w:fill="auto"/>
            <w:tcMar>
              <w:top w:w="0" w:type="dxa"/>
              <w:left w:w="0" w:type="dxa"/>
              <w:bottom w:w="0" w:type="dxa"/>
              <w:right w:w="0" w:type="dxa"/>
            </w:tcMar>
            <w:vAlign w:val="center"/>
          </w:tcPr>
          <w:p w14:paraId="1B499181">
            <w:pPr>
              <w:pStyle w:val="17"/>
              <w:bidi w:val="0"/>
              <w:rPr>
                <w:color w:val="auto"/>
                <w:highlight w:val="none"/>
              </w:rPr>
            </w:pPr>
            <w:r>
              <w:rPr>
                <w:color w:val="auto"/>
                <w:highlight w:val="none"/>
              </w:rPr>
              <w:t>25.2</w:t>
            </w:r>
          </w:p>
        </w:tc>
        <w:tc>
          <w:tcPr>
            <w:tcW w:w="235" w:type="pct"/>
            <w:shd w:val="clear" w:color="auto" w:fill="auto"/>
            <w:tcMar>
              <w:top w:w="0" w:type="dxa"/>
              <w:left w:w="0" w:type="dxa"/>
              <w:bottom w:w="0" w:type="dxa"/>
              <w:right w:w="0" w:type="dxa"/>
            </w:tcMar>
            <w:vAlign w:val="center"/>
          </w:tcPr>
          <w:p w14:paraId="230B6F9A">
            <w:pPr>
              <w:pStyle w:val="17"/>
              <w:bidi w:val="0"/>
              <w:rPr>
                <w:color w:val="auto"/>
                <w:highlight w:val="none"/>
              </w:rPr>
            </w:pPr>
            <w:r>
              <w:rPr>
                <w:color w:val="auto"/>
                <w:highlight w:val="none"/>
              </w:rPr>
              <w:t>21.9</w:t>
            </w:r>
          </w:p>
        </w:tc>
        <w:tc>
          <w:tcPr>
            <w:tcW w:w="200" w:type="pct"/>
            <w:shd w:val="clear" w:color="auto" w:fill="auto"/>
            <w:tcMar>
              <w:top w:w="0" w:type="dxa"/>
              <w:left w:w="0" w:type="dxa"/>
              <w:bottom w:w="0" w:type="dxa"/>
              <w:right w:w="0" w:type="dxa"/>
            </w:tcMar>
            <w:vAlign w:val="center"/>
          </w:tcPr>
          <w:p w14:paraId="6E454EE0">
            <w:pPr>
              <w:pStyle w:val="17"/>
              <w:bidi w:val="0"/>
              <w:rPr>
                <w:color w:val="auto"/>
                <w:highlight w:val="none"/>
              </w:rPr>
            </w:pPr>
            <w:r>
              <w:rPr>
                <w:color w:val="auto"/>
                <w:highlight w:val="none"/>
              </w:rPr>
              <w:t>19.7</w:t>
            </w:r>
          </w:p>
        </w:tc>
        <w:tc>
          <w:tcPr>
            <w:tcW w:w="188" w:type="pct"/>
            <w:shd w:val="clear" w:color="auto" w:fill="auto"/>
            <w:tcMar>
              <w:top w:w="0" w:type="dxa"/>
              <w:left w:w="0" w:type="dxa"/>
              <w:bottom w:w="0" w:type="dxa"/>
              <w:right w:w="0" w:type="dxa"/>
            </w:tcMar>
            <w:vAlign w:val="center"/>
          </w:tcPr>
          <w:p w14:paraId="6021940B">
            <w:pPr>
              <w:pStyle w:val="17"/>
              <w:bidi w:val="0"/>
              <w:rPr>
                <w:color w:val="auto"/>
                <w:highlight w:val="none"/>
              </w:rPr>
            </w:pPr>
            <w:r>
              <w:rPr>
                <w:color w:val="auto"/>
                <w:highlight w:val="none"/>
              </w:rPr>
              <w:t>59.0</w:t>
            </w:r>
          </w:p>
        </w:tc>
        <w:tc>
          <w:tcPr>
            <w:tcW w:w="211" w:type="pct"/>
            <w:shd w:val="clear" w:color="auto" w:fill="auto"/>
            <w:tcMar>
              <w:top w:w="0" w:type="dxa"/>
              <w:left w:w="0" w:type="dxa"/>
              <w:bottom w:w="0" w:type="dxa"/>
              <w:right w:w="0" w:type="dxa"/>
            </w:tcMar>
            <w:vAlign w:val="center"/>
          </w:tcPr>
          <w:p w14:paraId="7DC9CED0">
            <w:pPr>
              <w:pStyle w:val="17"/>
              <w:bidi w:val="0"/>
              <w:rPr>
                <w:color w:val="auto"/>
                <w:highlight w:val="none"/>
              </w:rPr>
            </w:pPr>
            <w:r>
              <w:rPr>
                <w:color w:val="auto"/>
                <w:highlight w:val="none"/>
              </w:rPr>
              <w:t>59.0</w:t>
            </w:r>
          </w:p>
        </w:tc>
        <w:tc>
          <w:tcPr>
            <w:tcW w:w="182" w:type="pct"/>
            <w:shd w:val="clear" w:color="auto" w:fill="auto"/>
            <w:tcMar>
              <w:top w:w="0" w:type="dxa"/>
              <w:left w:w="0" w:type="dxa"/>
              <w:bottom w:w="0" w:type="dxa"/>
              <w:right w:w="0" w:type="dxa"/>
            </w:tcMar>
            <w:vAlign w:val="center"/>
          </w:tcPr>
          <w:p w14:paraId="57738517">
            <w:pPr>
              <w:pStyle w:val="17"/>
              <w:bidi w:val="0"/>
              <w:rPr>
                <w:color w:val="auto"/>
                <w:highlight w:val="none"/>
              </w:rPr>
            </w:pPr>
            <w:r>
              <w:rPr>
                <w:color w:val="auto"/>
                <w:highlight w:val="none"/>
              </w:rPr>
              <w:t>59.0</w:t>
            </w:r>
          </w:p>
        </w:tc>
        <w:tc>
          <w:tcPr>
            <w:tcW w:w="229" w:type="pct"/>
            <w:shd w:val="clear" w:color="auto" w:fill="auto"/>
            <w:tcMar>
              <w:top w:w="0" w:type="dxa"/>
              <w:left w:w="0" w:type="dxa"/>
              <w:bottom w:w="0" w:type="dxa"/>
              <w:right w:w="0" w:type="dxa"/>
            </w:tcMar>
            <w:vAlign w:val="center"/>
          </w:tcPr>
          <w:p w14:paraId="12F9582C">
            <w:pPr>
              <w:pStyle w:val="17"/>
              <w:bidi w:val="0"/>
              <w:rPr>
                <w:color w:val="auto"/>
                <w:highlight w:val="none"/>
              </w:rPr>
            </w:pPr>
            <w:r>
              <w:rPr>
                <w:color w:val="auto"/>
                <w:highlight w:val="none"/>
              </w:rPr>
              <w:t>59.0</w:t>
            </w:r>
          </w:p>
        </w:tc>
        <w:tc>
          <w:tcPr>
            <w:tcW w:w="270" w:type="pct"/>
            <w:shd w:val="clear" w:color="auto" w:fill="auto"/>
            <w:tcMar>
              <w:top w:w="0" w:type="dxa"/>
              <w:left w:w="0" w:type="dxa"/>
              <w:bottom w:w="0" w:type="dxa"/>
              <w:right w:w="0" w:type="dxa"/>
            </w:tcMar>
            <w:vAlign w:val="center"/>
          </w:tcPr>
          <w:p w14:paraId="619740E5">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09812A9">
            <w:pPr>
              <w:pStyle w:val="17"/>
              <w:bidi w:val="0"/>
              <w:rPr>
                <w:rFonts w:hint="default" w:eastAsia="宋体"/>
                <w:color w:val="auto"/>
                <w:highlight w:val="none"/>
                <w:lang w:val="en-US" w:eastAsia="zh-CN"/>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6EEE31B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49.0</w:t>
            </w:r>
          </w:p>
        </w:tc>
        <w:tc>
          <w:tcPr>
            <w:tcW w:w="258" w:type="pct"/>
            <w:shd w:val="clear" w:color="auto" w:fill="auto"/>
            <w:tcMar>
              <w:top w:w="0" w:type="dxa"/>
              <w:left w:w="0" w:type="dxa"/>
              <w:bottom w:w="0" w:type="dxa"/>
              <w:right w:w="0" w:type="dxa"/>
            </w:tcMar>
            <w:vAlign w:val="center"/>
          </w:tcPr>
          <w:p w14:paraId="5DAB7D6F">
            <w:pPr>
              <w:pStyle w:val="17"/>
              <w:bidi w:val="0"/>
              <w:ind w:firstLine="0" w:firstLineChars="0"/>
              <w:rPr>
                <w:rFonts w:hint="eastAsia" w:eastAsia="宋体"/>
                <w:color w:val="auto"/>
                <w:highlight w:val="none"/>
                <w:lang w:val="en-US" w:eastAsia="zh-CN"/>
              </w:rPr>
            </w:pPr>
            <w:r>
              <w:rPr>
                <w:rFonts w:hint="eastAsia"/>
                <w:color w:val="auto"/>
                <w:highlight w:val="none"/>
                <w:lang w:val="en-US" w:eastAsia="zh-CN"/>
              </w:rPr>
              <w:t>1</w:t>
            </w:r>
          </w:p>
        </w:tc>
      </w:tr>
      <w:tr w14:paraId="02A6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21C943F">
            <w:pPr>
              <w:pStyle w:val="17"/>
              <w:bidi w:val="0"/>
              <w:rPr>
                <w:color w:val="auto"/>
                <w:highlight w:val="none"/>
              </w:rPr>
            </w:pPr>
            <w:r>
              <w:rPr>
                <w:color w:val="auto"/>
                <w:highlight w:val="none"/>
              </w:rPr>
              <w:t>3</w:t>
            </w:r>
          </w:p>
        </w:tc>
        <w:tc>
          <w:tcPr>
            <w:tcW w:w="234" w:type="pct"/>
            <w:shd w:val="clear" w:color="auto" w:fill="auto"/>
            <w:tcMar>
              <w:top w:w="0" w:type="dxa"/>
              <w:left w:w="0" w:type="dxa"/>
              <w:bottom w:w="0" w:type="dxa"/>
              <w:right w:w="0" w:type="dxa"/>
            </w:tcMar>
            <w:vAlign w:val="center"/>
          </w:tcPr>
          <w:p w14:paraId="4948F48B">
            <w:pPr>
              <w:pStyle w:val="17"/>
              <w:bidi w:val="0"/>
              <w:rPr>
                <w:color w:val="auto"/>
                <w:highlight w:val="none"/>
              </w:rPr>
            </w:pPr>
            <w:r>
              <w:rPr>
                <w:color w:val="auto"/>
                <w:highlight w:val="none"/>
              </w:rPr>
              <w:t>粗矿仓</w:t>
            </w:r>
          </w:p>
        </w:tc>
        <w:tc>
          <w:tcPr>
            <w:tcW w:w="478" w:type="pct"/>
            <w:shd w:val="clear" w:color="auto" w:fill="auto"/>
            <w:tcMar>
              <w:top w:w="0" w:type="dxa"/>
              <w:left w:w="0" w:type="dxa"/>
              <w:bottom w:w="0" w:type="dxa"/>
              <w:right w:w="0" w:type="dxa"/>
            </w:tcMar>
            <w:vAlign w:val="center"/>
          </w:tcPr>
          <w:p w14:paraId="095E5B33">
            <w:pPr>
              <w:pStyle w:val="17"/>
              <w:bidi w:val="0"/>
              <w:rPr>
                <w:color w:val="auto"/>
                <w:highlight w:val="none"/>
              </w:rPr>
            </w:pPr>
            <w:r>
              <w:rPr>
                <w:color w:val="auto"/>
                <w:highlight w:val="none"/>
              </w:rPr>
              <w:t>电动单梁悬挂起重机</w:t>
            </w:r>
          </w:p>
        </w:tc>
        <w:tc>
          <w:tcPr>
            <w:tcW w:w="388" w:type="pct"/>
            <w:shd w:val="clear" w:color="auto" w:fill="auto"/>
            <w:tcMar>
              <w:top w:w="0" w:type="dxa"/>
              <w:left w:w="0" w:type="dxa"/>
              <w:bottom w:w="0" w:type="dxa"/>
              <w:right w:w="0" w:type="dxa"/>
            </w:tcMar>
            <w:vAlign w:val="center"/>
          </w:tcPr>
          <w:p w14:paraId="092C011F">
            <w:pPr>
              <w:pStyle w:val="17"/>
              <w:bidi w:val="0"/>
              <w:rPr>
                <w:color w:val="auto"/>
                <w:highlight w:val="none"/>
              </w:rPr>
            </w:pPr>
            <w:r>
              <w:rPr>
                <w:color w:val="auto"/>
                <w:highlight w:val="none"/>
              </w:rPr>
              <w:t>65</w:t>
            </w:r>
          </w:p>
        </w:tc>
        <w:tc>
          <w:tcPr>
            <w:tcW w:w="329" w:type="pct"/>
            <w:vMerge w:val="continue"/>
            <w:shd w:val="clear" w:color="auto" w:fill="auto"/>
            <w:tcMar>
              <w:top w:w="0" w:type="dxa"/>
              <w:left w:w="0" w:type="dxa"/>
              <w:bottom w:w="0" w:type="dxa"/>
              <w:right w:w="0" w:type="dxa"/>
            </w:tcMar>
            <w:vAlign w:val="center"/>
          </w:tcPr>
          <w:p w14:paraId="512EFA4A">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61E67309">
            <w:pPr>
              <w:pStyle w:val="17"/>
              <w:bidi w:val="0"/>
              <w:rPr>
                <w:color w:val="auto"/>
                <w:highlight w:val="none"/>
              </w:rPr>
            </w:pPr>
            <w:r>
              <w:rPr>
                <w:color w:val="auto"/>
                <w:highlight w:val="none"/>
              </w:rPr>
              <w:t>533.1</w:t>
            </w:r>
          </w:p>
        </w:tc>
        <w:tc>
          <w:tcPr>
            <w:tcW w:w="206" w:type="pct"/>
            <w:shd w:val="clear" w:color="auto" w:fill="auto"/>
            <w:tcMar>
              <w:top w:w="0" w:type="dxa"/>
              <w:left w:w="0" w:type="dxa"/>
              <w:bottom w:w="0" w:type="dxa"/>
              <w:right w:w="0" w:type="dxa"/>
            </w:tcMar>
            <w:vAlign w:val="center"/>
          </w:tcPr>
          <w:p w14:paraId="0725808D">
            <w:pPr>
              <w:pStyle w:val="17"/>
              <w:bidi w:val="0"/>
              <w:rPr>
                <w:color w:val="auto"/>
                <w:highlight w:val="none"/>
              </w:rPr>
            </w:pPr>
            <w:r>
              <w:rPr>
                <w:color w:val="auto"/>
                <w:highlight w:val="none"/>
              </w:rPr>
              <w:t>-567.1</w:t>
            </w:r>
          </w:p>
        </w:tc>
        <w:tc>
          <w:tcPr>
            <w:tcW w:w="194" w:type="pct"/>
            <w:shd w:val="clear" w:color="auto" w:fill="auto"/>
            <w:tcMar>
              <w:top w:w="0" w:type="dxa"/>
              <w:left w:w="0" w:type="dxa"/>
              <w:bottom w:w="0" w:type="dxa"/>
              <w:right w:w="0" w:type="dxa"/>
            </w:tcMar>
            <w:vAlign w:val="center"/>
          </w:tcPr>
          <w:p w14:paraId="2080E9F8">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73AE9831">
            <w:pPr>
              <w:pStyle w:val="17"/>
              <w:bidi w:val="0"/>
              <w:rPr>
                <w:color w:val="auto"/>
                <w:highlight w:val="none"/>
              </w:rPr>
            </w:pPr>
            <w:r>
              <w:rPr>
                <w:color w:val="auto"/>
                <w:highlight w:val="none"/>
              </w:rPr>
              <w:t>30.4</w:t>
            </w:r>
          </w:p>
        </w:tc>
        <w:tc>
          <w:tcPr>
            <w:tcW w:w="205" w:type="pct"/>
            <w:shd w:val="clear" w:color="auto" w:fill="auto"/>
            <w:tcMar>
              <w:top w:w="0" w:type="dxa"/>
              <w:left w:w="0" w:type="dxa"/>
              <w:bottom w:w="0" w:type="dxa"/>
              <w:right w:w="0" w:type="dxa"/>
            </w:tcMar>
            <w:vAlign w:val="center"/>
          </w:tcPr>
          <w:p w14:paraId="0E7C0B88">
            <w:pPr>
              <w:pStyle w:val="17"/>
              <w:bidi w:val="0"/>
              <w:rPr>
                <w:color w:val="auto"/>
                <w:highlight w:val="none"/>
              </w:rPr>
            </w:pPr>
            <w:r>
              <w:rPr>
                <w:color w:val="auto"/>
                <w:highlight w:val="none"/>
              </w:rPr>
              <w:t>12.1</w:t>
            </w:r>
          </w:p>
        </w:tc>
        <w:tc>
          <w:tcPr>
            <w:tcW w:w="235" w:type="pct"/>
            <w:shd w:val="clear" w:color="auto" w:fill="auto"/>
            <w:tcMar>
              <w:top w:w="0" w:type="dxa"/>
              <w:left w:w="0" w:type="dxa"/>
              <w:bottom w:w="0" w:type="dxa"/>
              <w:right w:w="0" w:type="dxa"/>
            </w:tcMar>
            <w:vAlign w:val="center"/>
          </w:tcPr>
          <w:p w14:paraId="06944B73">
            <w:pPr>
              <w:pStyle w:val="17"/>
              <w:bidi w:val="0"/>
              <w:rPr>
                <w:color w:val="auto"/>
                <w:highlight w:val="none"/>
              </w:rPr>
            </w:pPr>
            <w:r>
              <w:rPr>
                <w:color w:val="auto"/>
                <w:highlight w:val="none"/>
              </w:rPr>
              <w:t>29.4</w:t>
            </w:r>
          </w:p>
        </w:tc>
        <w:tc>
          <w:tcPr>
            <w:tcW w:w="200" w:type="pct"/>
            <w:shd w:val="clear" w:color="auto" w:fill="auto"/>
            <w:tcMar>
              <w:top w:w="0" w:type="dxa"/>
              <w:left w:w="0" w:type="dxa"/>
              <w:bottom w:w="0" w:type="dxa"/>
              <w:right w:w="0" w:type="dxa"/>
            </w:tcMar>
            <w:vAlign w:val="center"/>
          </w:tcPr>
          <w:p w14:paraId="28A28055">
            <w:pPr>
              <w:pStyle w:val="17"/>
              <w:bidi w:val="0"/>
              <w:rPr>
                <w:color w:val="auto"/>
                <w:highlight w:val="none"/>
              </w:rPr>
            </w:pPr>
            <w:r>
              <w:rPr>
                <w:color w:val="auto"/>
                <w:highlight w:val="none"/>
              </w:rPr>
              <w:t>32.8</w:t>
            </w:r>
          </w:p>
        </w:tc>
        <w:tc>
          <w:tcPr>
            <w:tcW w:w="188" w:type="pct"/>
            <w:shd w:val="clear" w:color="auto" w:fill="auto"/>
            <w:tcMar>
              <w:top w:w="0" w:type="dxa"/>
              <w:left w:w="0" w:type="dxa"/>
              <w:bottom w:w="0" w:type="dxa"/>
              <w:right w:w="0" w:type="dxa"/>
            </w:tcMar>
            <w:vAlign w:val="center"/>
          </w:tcPr>
          <w:p w14:paraId="693E3FD0">
            <w:pPr>
              <w:pStyle w:val="17"/>
              <w:bidi w:val="0"/>
              <w:rPr>
                <w:color w:val="auto"/>
                <w:highlight w:val="none"/>
              </w:rPr>
            </w:pPr>
            <w:r>
              <w:rPr>
                <w:color w:val="auto"/>
                <w:highlight w:val="none"/>
              </w:rPr>
              <w:t>49.0</w:t>
            </w:r>
          </w:p>
        </w:tc>
        <w:tc>
          <w:tcPr>
            <w:tcW w:w="211" w:type="pct"/>
            <w:shd w:val="clear" w:color="auto" w:fill="auto"/>
            <w:tcMar>
              <w:top w:w="0" w:type="dxa"/>
              <w:left w:w="0" w:type="dxa"/>
              <w:bottom w:w="0" w:type="dxa"/>
              <w:right w:w="0" w:type="dxa"/>
            </w:tcMar>
            <w:vAlign w:val="center"/>
          </w:tcPr>
          <w:p w14:paraId="006C8F0E">
            <w:pPr>
              <w:pStyle w:val="17"/>
              <w:bidi w:val="0"/>
              <w:rPr>
                <w:color w:val="auto"/>
                <w:highlight w:val="none"/>
              </w:rPr>
            </w:pPr>
            <w:r>
              <w:rPr>
                <w:color w:val="auto"/>
                <w:highlight w:val="none"/>
              </w:rPr>
              <w:t>49.1</w:t>
            </w:r>
          </w:p>
        </w:tc>
        <w:tc>
          <w:tcPr>
            <w:tcW w:w="182" w:type="pct"/>
            <w:shd w:val="clear" w:color="auto" w:fill="auto"/>
            <w:tcMar>
              <w:top w:w="0" w:type="dxa"/>
              <w:left w:w="0" w:type="dxa"/>
              <w:bottom w:w="0" w:type="dxa"/>
              <w:right w:w="0" w:type="dxa"/>
            </w:tcMar>
            <w:vAlign w:val="center"/>
          </w:tcPr>
          <w:p w14:paraId="21422097">
            <w:pPr>
              <w:pStyle w:val="17"/>
              <w:bidi w:val="0"/>
              <w:rPr>
                <w:color w:val="auto"/>
                <w:highlight w:val="none"/>
              </w:rPr>
            </w:pPr>
            <w:r>
              <w:rPr>
                <w:color w:val="auto"/>
                <w:highlight w:val="none"/>
              </w:rPr>
              <w:t>49.0</w:t>
            </w:r>
          </w:p>
        </w:tc>
        <w:tc>
          <w:tcPr>
            <w:tcW w:w="229" w:type="pct"/>
            <w:shd w:val="clear" w:color="auto" w:fill="auto"/>
            <w:tcMar>
              <w:top w:w="0" w:type="dxa"/>
              <w:left w:w="0" w:type="dxa"/>
              <w:bottom w:w="0" w:type="dxa"/>
              <w:right w:w="0" w:type="dxa"/>
            </w:tcMar>
            <w:vAlign w:val="center"/>
          </w:tcPr>
          <w:p w14:paraId="1820FB77">
            <w:pPr>
              <w:pStyle w:val="17"/>
              <w:bidi w:val="0"/>
              <w:rPr>
                <w:color w:val="auto"/>
                <w:highlight w:val="none"/>
              </w:rPr>
            </w:pPr>
            <w:r>
              <w:rPr>
                <w:color w:val="auto"/>
                <w:highlight w:val="none"/>
              </w:rPr>
              <w:t>49.0</w:t>
            </w:r>
          </w:p>
        </w:tc>
        <w:tc>
          <w:tcPr>
            <w:tcW w:w="270" w:type="pct"/>
            <w:shd w:val="clear" w:color="auto" w:fill="auto"/>
            <w:tcMar>
              <w:top w:w="0" w:type="dxa"/>
              <w:left w:w="0" w:type="dxa"/>
              <w:bottom w:w="0" w:type="dxa"/>
              <w:right w:w="0" w:type="dxa"/>
            </w:tcMar>
            <w:vAlign w:val="center"/>
          </w:tcPr>
          <w:p w14:paraId="4FDE725E">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D1EC12D">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11EE66B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39.0</w:t>
            </w:r>
          </w:p>
        </w:tc>
        <w:tc>
          <w:tcPr>
            <w:tcW w:w="258" w:type="pct"/>
            <w:shd w:val="clear" w:color="auto" w:fill="auto"/>
            <w:tcMar>
              <w:top w:w="0" w:type="dxa"/>
              <w:left w:w="0" w:type="dxa"/>
              <w:bottom w:w="0" w:type="dxa"/>
              <w:right w:w="0" w:type="dxa"/>
            </w:tcMar>
            <w:vAlign w:val="center"/>
          </w:tcPr>
          <w:p w14:paraId="03A04630">
            <w:pPr>
              <w:pStyle w:val="17"/>
              <w:bidi w:val="0"/>
              <w:ind w:firstLine="0" w:firstLineChars="0"/>
              <w:rPr>
                <w:color w:val="auto"/>
                <w:highlight w:val="none"/>
              </w:rPr>
            </w:pPr>
            <w:r>
              <w:rPr>
                <w:rFonts w:hint="eastAsia"/>
                <w:color w:val="auto"/>
                <w:highlight w:val="none"/>
                <w:lang w:val="en-US" w:eastAsia="zh-CN"/>
              </w:rPr>
              <w:t>1</w:t>
            </w:r>
          </w:p>
        </w:tc>
      </w:tr>
      <w:tr w14:paraId="6038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92EA73D">
            <w:pPr>
              <w:pStyle w:val="17"/>
              <w:bidi w:val="0"/>
              <w:rPr>
                <w:color w:val="auto"/>
                <w:highlight w:val="none"/>
              </w:rPr>
            </w:pPr>
            <w:r>
              <w:rPr>
                <w:color w:val="auto"/>
                <w:highlight w:val="none"/>
              </w:rPr>
              <w:t>4</w:t>
            </w:r>
          </w:p>
        </w:tc>
        <w:tc>
          <w:tcPr>
            <w:tcW w:w="234" w:type="pct"/>
            <w:shd w:val="clear" w:color="auto" w:fill="auto"/>
            <w:tcMar>
              <w:top w:w="0" w:type="dxa"/>
              <w:left w:w="0" w:type="dxa"/>
              <w:bottom w:w="0" w:type="dxa"/>
              <w:right w:w="0" w:type="dxa"/>
            </w:tcMar>
            <w:vAlign w:val="center"/>
          </w:tcPr>
          <w:p w14:paraId="1B51B825">
            <w:pPr>
              <w:pStyle w:val="17"/>
              <w:bidi w:val="0"/>
              <w:rPr>
                <w:color w:val="auto"/>
                <w:highlight w:val="none"/>
              </w:rPr>
            </w:pPr>
            <w:r>
              <w:rPr>
                <w:color w:val="auto"/>
                <w:highlight w:val="none"/>
              </w:rPr>
              <w:t>粗矿仓</w:t>
            </w:r>
          </w:p>
        </w:tc>
        <w:tc>
          <w:tcPr>
            <w:tcW w:w="478" w:type="pct"/>
            <w:shd w:val="clear" w:color="auto" w:fill="auto"/>
            <w:tcMar>
              <w:top w:w="0" w:type="dxa"/>
              <w:left w:w="0" w:type="dxa"/>
              <w:bottom w:w="0" w:type="dxa"/>
              <w:right w:w="0" w:type="dxa"/>
            </w:tcMar>
            <w:vAlign w:val="center"/>
          </w:tcPr>
          <w:p w14:paraId="08CE539C">
            <w:pPr>
              <w:pStyle w:val="17"/>
              <w:bidi w:val="0"/>
              <w:rPr>
                <w:color w:val="auto"/>
                <w:highlight w:val="none"/>
              </w:rPr>
            </w:pPr>
            <w:r>
              <w:rPr>
                <w:color w:val="auto"/>
                <w:highlight w:val="none"/>
              </w:rPr>
              <w:t>环裢手拉葫芦,4台（按点声源组预测）</w:t>
            </w:r>
          </w:p>
        </w:tc>
        <w:tc>
          <w:tcPr>
            <w:tcW w:w="388" w:type="pct"/>
            <w:shd w:val="clear" w:color="auto" w:fill="auto"/>
            <w:tcMar>
              <w:top w:w="0" w:type="dxa"/>
              <w:left w:w="0" w:type="dxa"/>
              <w:bottom w:w="0" w:type="dxa"/>
              <w:right w:w="0" w:type="dxa"/>
            </w:tcMar>
            <w:vAlign w:val="center"/>
          </w:tcPr>
          <w:p w14:paraId="61D619E7">
            <w:pPr>
              <w:pStyle w:val="17"/>
              <w:bidi w:val="0"/>
              <w:rPr>
                <w:rFonts w:hint="eastAsia" w:eastAsia="宋体"/>
                <w:color w:val="auto"/>
                <w:highlight w:val="none"/>
                <w:lang w:eastAsia="zh-CN"/>
              </w:rPr>
            </w:pPr>
            <w:r>
              <w:rPr>
                <w:color w:val="auto"/>
                <w:highlight w:val="none"/>
              </w:rPr>
              <w:t>65（等效后：71.0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4D09B234">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4F94226D">
            <w:pPr>
              <w:pStyle w:val="17"/>
              <w:bidi w:val="0"/>
              <w:rPr>
                <w:color w:val="auto"/>
                <w:highlight w:val="none"/>
              </w:rPr>
            </w:pPr>
            <w:r>
              <w:rPr>
                <w:color w:val="auto"/>
                <w:highlight w:val="none"/>
              </w:rPr>
              <w:t>547.1</w:t>
            </w:r>
          </w:p>
        </w:tc>
        <w:tc>
          <w:tcPr>
            <w:tcW w:w="206" w:type="pct"/>
            <w:shd w:val="clear" w:color="auto" w:fill="auto"/>
            <w:tcMar>
              <w:top w:w="0" w:type="dxa"/>
              <w:left w:w="0" w:type="dxa"/>
              <w:bottom w:w="0" w:type="dxa"/>
              <w:right w:w="0" w:type="dxa"/>
            </w:tcMar>
            <w:vAlign w:val="center"/>
          </w:tcPr>
          <w:p w14:paraId="43967782">
            <w:pPr>
              <w:pStyle w:val="17"/>
              <w:bidi w:val="0"/>
              <w:rPr>
                <w:color w:val="auto"/>
                <w:highlight w:val="none"/>
              </w:rPr>
            </w:pPr>
            <w:r>
              <w:rPr>
                <w:color w:val="auto"/>
                <w:highlight w:val="none"/>
              </w:rPr>
              <w:t>-564.3</w:t>
            </w:r>
          </w:p>
        </w:tc>
        <w:tc>
          <w:tcPr>
            <w:tcW w:w="194" w:type="pct"/>
            <w:shd w:val="clear" w:color="auto" w:fill="auto"/>
            <w:tcMar>
              <w:top w:w="0" w:type="dxa"/>
              <w:left w:w="0" w:type="dxa"/>
              <w:bottom w:w="0" w:type="dxa"/>
              <w:right w:w="0" w:type="dxa"/>
            </w:tcMar>
            <w:vAlign w:val="center"/>
          </w:tcPr>
          <w:p w14:paraId="2B1FD0EC">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18D3C269">
            <w:pPr>
              <w:pStyle w:val="17"/>
              <w:bidi w:val="0"/>
              <w:rPr>
                <w:color w:val="auto"/>
                <w:highlight w:val="none"/>
              </w:rPr>
            </w:pPr>
            <w:r>
              <w:rPr>
                <w:color w:val="auto"/>
                <w:highlight w:val="none"/>
              </w:rPr>
              <w:t>16.4</w:t>
            </w:r>
          </w:p>
        </w:tc>
        <w:tc>
          <w:tcPr>
            <w:tcW w:w="205" w:type="pct"/>
            <w:shd w:val="clear" w:color="auto" w:fill="auto"/>
            <w:tcMar>
              <w:top w:w="0" w:type="dxa"/>
              <w:left w:w="0" w:type="dxa"/>
              <w:bottom w:w="0" w:type="dxa"/>
              <w:right w:w="0" w:type="dxa"/>
            </w:tcMar>
            <w:vAlign w:val="center"/>
          </w:tcPr>
          <w:p w14:paraId="70A5822D">
            <w:pPr>
              <w:pStyle w:val="17"/>
              <w:bidi w:val="0"/>
              <w:rPr>
                <w:color w:val="auto"/>
                <w:highlight w:val="none"/>
              </w:rPr>
            </w:pPr>
            <w:r>
              <w:rPr>
                <w:color w:val="auto"/>
                <w:highlight w:val="none"/>
              </w:rPr>
              <w:t>14.9</w:t>
            </w:r>
          </w:p>
        </w:tc>
        <w:tc>
          <w:tcPr>
            <w:tcW w:w="235" w:type="pct"/>
            <w:shd w:val="clear" w:color="auto" w:fill="auto"/>
            <w:tcMar>
              <w:top w:w="0" w:type="dxa"/>
              <w:left w:w="0" w:type="dxa"/>
              <w:bottom w:w="0" w:type="dxa"/>
              <w:right w:w="0" w:type="dxa"/>
            </w:tcMar>
            <w:vAlign w:val="center"/>
          </w:tcPr>
          <w:p w14:paraId="713245A2">
            <w:pPr>
              <w:pStyle w:val="17"/>
              <w:bidi w:val="0"/>
              <w:rPr>
                <w:color w:val="auto"/>
                <w:highlight w:val="none"/>
              </w:rPr>
            </w:pPr>
            <w:r>
              <w:rPr>
                <w:color w:val="auto"/>
                <w:highlight w:val="none"/>
              </w:rPr>
              <w:t>43.4</w:t>
            </w:r>
          </w:p>
        </w:tc>
        <w:tc>
          <w:tcPr>
            <w:tcW w:w="200" w:type="pct"/>
            <w:shd w:val="clear" w:color="auto" w:fill="auto"/>
            <w:tcMar>
              <w:top w:w="0" w:type="dxa"/>
              <w:left w:w="0" w:type="dxa"/>
              <w:bottom w:w="0" w:type="dxa"/>
              <w:right w:w="0" w:type="dxa"/>
            </w:tcMar>
            <w:vAlign w:val="center"/>
          </w:tcPr>
          <w:p w14:paraId="6FE89FD3">
            <w:pPr>
              <w:pStyle w:val="17"/>
              <w:bidi w:val="0"/>
              <w:rPr>
                <w:color w:val="auto"/>
                <w:highlight w:val="none"/>
              </w:rPr>
            </w:pPr>
            <w:r>
              <w:rPr>
                <w:color w:val="auto"/>
                <w:highlight w:val="none"/>
              </w:rPr>
              <w:t>30.0</w:t>
            </w:r>
          </w:p>
        </w:tc>
        <w:tc>
          <w:tcPr>
            <w:tcW w:w="188" w:type="pct"/>
            <w:shd w:val="clear" w:color="auto" w:fill="auto"/>
            <w:tcMar>
              <w:top w:w="0" w:type="dxa"/>
              <w:left w:w="0" w:type="dxa"/>
              <w:bottom w:w="0" w:type="dxa"/>
              <w:right w:w="0" w:type="dxa"/>
            </w:tcMar>
            <w:vAlign w:val="center"/>
          </w:tcPr>
          <w:p w14:paraId="681EC28A">
            <w:pPr>
              <w:pStyle w:val="17"/>
              <w:bidi w:val="0"/>
              <w:rPr>
                <w:color w:val="auto"/>
                <w:highlight w:val="none"/>
              </w:rPr>
            </w:pPr>
            <w:r>
              <w:rPr>
                <w:color w:val="auto"/>
                <w:highlight w:val="none"/>
              </w:rPr>
              <w:t>55.0</w:t>
            </w:r>
          </w:p>
        </w:tc>
        <w:tc>
          <w:tcPr>
            <w:tcW w:w="211" w:type="pct"/>
            <w:shd w:val="clear" w:color="auto" w:fill="auto"/>
            <w:tcMar>
              <w:top w:w="0" w:type="dxa"/>
              <w:left w:w="0" w:type="dxa"/>
              <w:bottom w:w="0" w:type="dxa"/>
              <w:right w:w="0" w:type="dxa"/>
            </w:tcMar>
            <w:vAlign w:val="center"/>
          </w:tcPr>
          <w:p w14:paraId="407923CF">
            <w:pPr>
              <w:pStyle w:val="17"/>
              <w:bidi w:val="0"/>
              <w:rPr>
                <w:color w:val="auto"/>
                <w:highlight w:val="none"/>
              </w:rPr>
            </w:pPr>
            <w:r>
              <w:rPr>
                <w:color w:val="auto"/>
                <w:highlight w:val="none"/>
              </w:rPr>
              <w:t>55.0</w:t>
            </w:r>
          </w:p>
        </w:tc>
        <w:tc>
          <w:tcPr>
            <w:tcW w:w="182" w:type="pct"/>
            <w:shd w:val="clear" w:color="auto" w:fill="auto"/>
            <w:tcMar>
              <w:top w:w="0" w:type="dxa"/>
              <w:left w:w="0" w:type="dxa"/>
              <w:bottom w:w="0" w:type="dxa"/>
              <w:right w:w="0" w:type="dxa"/>
            </w:tcMar>
            <w:vAlign w:val="center"/>
          </w:tcPr>
          <w:p w14:paraId="32E26282">
            <w:pPr>
              <w:pStyle w:val="17"/>
              <w:bidi w:val="0"/>
              <w:rPr>
                <w:color w:val="auto"/>
                <w:highlight w:val="none"/>
              </w:rPr>
            </w:pPr>
            <w:r>
              <w:rPr>
                <w:color w:val="auto"/>
                <w:highlight w:val="none"/>
              </w:rPr>
              <w:t>55.0</w:t>
            </w:r>
          </w:p>
        </w:tc>
        <w:tc>
          <w:tcPr>
            <w:tcW w:w="229" w:type="pct"/>
            <w:shd w:val="clear" w:color="auto" w:fill="auto"/>
            <w:tcMar>
              <w:top w:w="0" w:type="dxa"/>
              <w:left w:w="0" w:type="dxa"/>
              <w:bottom w:w="0" w:type="dxa"/>
              <w:right w:w="0" w:type="dxa"/>
            </w:tcMar>
            <w:vAlign w:val="center"/>
          </w:tcPr>
          <w:p w14:paraId="21B0BB76">
            <w:pPr>
              <w:pStyle w:val="17"/>
              <w:bidi w:val="0"/>
              <w:rPr>
                <w:color w:val="auto"/>
                <w:highlight w:val="none"/>
              </w:rPr>
            </w:pPr>
            <w:r>
              <w:rPr>
                <w:color w:val="auto"/>
                <w:highlight w:val="none"/>
              </w:rPr>
              <w:t>55.0</w:t>
            </w:r>
          </w:p>
        </w:tc>
        <w:tc>
          <w:tcPr>
            <w:tcW w:w="270" w:type="pct"/>
            <w:shd w:val="clear" w:color="auto" w:fill="auto"/>
            <w:tcMar>
              <w:top w:w="0" w:type="dxa"/>
              <w:left w:w="0" w:type="dxa"/>
              <w:bottom w:w="0" w:type="dxa"/>
              <w:right w:w="0" w:type="dxa"/>
            </w:tcMar>
            <w:vAlign w:val="center"/>
          </w:tcPr>
          <w:p w14:paraId="2E29CB14">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9B95016">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6D397A9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45.0</w:t>
            </w:r>
          </w:p>
        </w:tc>
        <w:tc>
          <w:tcPr>
            <w:tcW w:w="258" w:type="pct"/>
            <w:shd w:val="clear" w:color="auto" w:fill="auto"/>
            <w:tcMar>
              <w:top w:w="0" w:type="dxa"/>
              <w:left w:w="0" w:type="dxa"/>
              <w:bottom w:w="0" w:type="dxa"/>
              <w:right w:w="0" w:type="dxa"/>
            </w:tcMar>
            <w:vAlign w:val="center"/>
          </w:tcPr>
          <w:p w14:paraId="0E6D217B">
            <w:pPr>
              <w:pStyle w:val="17"/>
              <w:bidi w:val="0"/>
              <w:ind w:firstLine="0" w:firstLineChars="0"/>
              <w:rPr>
                <w:color w:val="auto"/>
                <w:highlight w:val="none"/>
              </w:rPr>
            </w:pPr>
            <w:r>
              <w:rPr>
                <w:rFonts w:hint="eastAsia"/>
                <w:color w:val="auto"/>
                <w:highlight w:val="none"/>
                <w:lang w:val="en-US" w:eastAsia="zh-CN"/>
              </w:rPr>
              <w:t>1</w:t>
            </w:r>
          </w:p>
        </w:tc>
      </w:tr>
      <w:tr w14:paraId="3088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D83E396">
            <w:pPr>
              <w:pStyle w:val="17"/>
              <w:bidi w:val="0"/>
              <w:rPr>
                <w:color w:val="auto"/>
                <w:highlight w:val="none"/>
              </w:rPr>
            </w:pPr>
            <w:r>
              <w:rPr>
                <w:color w:val="auto"/>
                <w:highlight w:val="none"/>
              </w:rPr>
              <w:t>5</w:t>
            </w:r>
          </w:p>
        </w:tc>
        <w:tc>
          <w:tcPr>
            <w:tcW w:w="234" w:type="pct"/>
            <w:shd w:val="clear" w:color="auto" w:fill="auto"/>
            <w:tcMar>
              <w:top w:w="0" w:type="dxa"/>
              <w:left w:w="0" w:type="dxa"/>
              <w:bottom w:w="0" w:type="dxa"/>
              <w:right w:w="0" w:type="dxa"/>
            </w:tcMar>
            <w:vAlign w:val="center"/>
          </w:tcPr>
          <w:p w14:paraId="363D54F2">
            <w:pPr>
              <w:pStyle w:val="17"/>
              <w:bidi w:val="0"/>
              <w:rPr>
                <w:color w:val="auto"/>
                <w:highlight w:val="none"/>
              </w:rPr>
            </w:pPr>
            <w:r>
              <w:rPr>
                <w:color w:val="auto"/>
                <w:highlight w:val="none"/>
              </w:rPr>
              <w:t>粗矿仓</w:t>
            </w:r>
          </w:p>
        </w:tc>
        <w:tc>
          <w:tcPr>
            <w:tcW w:w="478" w:type="pct"/>
            <w:shd w:val="clear" w:color="auto" w:fill="auto"/>
            <w:tcMar>
              <w:top w:w="0" w:type="dxa"/>
              <w:left w:w="0" w:type="dxa"/>
              <w:bottom w:w="0" w:type="dxa"/>
              <w:right w:w="0" w:type="dxa"/>
            </w:tcMar>
            <w:vAlign w:val="center"/>
          </w:tcPr>
          <w:p w14:paraId="2A579676">
            <w:pPr>
              <w:pStyle w:val="17"/>
              <w:bidi w:val="0"/>
              <w:rPr>
                <w:color w:val="auto"/>
                <w:highlight w:val="none"/>
              </w:rPr>
            </w:pPr>
            <w:r>
              <w:rPr>
                <w:color w:val="auto"/>
                <w:highlight w:val="none"/>
              </w:rPr>
              <w:t>液下泵,4台（按点声源组预测）</w:t>
            </w:r>
          </w:p>
        </w:tc>
        <w:tc>
          <w:tcPr>
            <w:tcW w:w="388" w:type="pct"/>
            <w:shd w:val="clear" w:color="auto" w:fill="auto"/>
            <w:tcMar>
              <w:top w:w="0" w:type="dxa"/>
              <w:left w:w="0" w:type="dxa"/>
              <w:bottom w:w="0" w:type="dxa"/>
              <w:right w:w="0" w:type="dxa"/>
            </w:tcMar>
            <w:vAlign w:val="center"/>
          </w:tcPr>
          <w:p w14:paraId="0A27A211">
            <w:pPr>
              <w:pStyle w:val="17"/>
              <w:bidi w:val="0"/>
              <w:rPr>
                <w:rFonts w:hint="eastAsia" w:eastAsia="宋体"/>
                <w:color w:val="auto"/>
                <w:highlight w:val="none"/>
                <w:lang w:eastAsia="zh-CN"/>
              </w:rPr>
            </w:pPr>
            <w:r>
              <w:rPr>
                <w:color w:val="auto"/>
                <w:highlight w:val="none"/>
              </w:rPr>
              <w:t>75（等效后：81.0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3A24A698">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3CAD614">
            <w:pPr>
              <w:pStyle w:val="17"/>
              <w:bidi w:val="0"/>
              <w:rPr>
                <w:color w:val="auto"/>
                <w:highlight w:val="none"/>
              </w:rPr>
            </w:pPr>
            <w:r>
              <w:rPr>
                <w:color w:val="auto"/>
                <w:highlight w:val="none"/>
              </w:rPr>
              <w:t>520</w:t>
            </w:r>
          </w:p>
        </w:tc>
        <w:tc>
          <w:tcPr>
            <w:tcW w:w="206" w:type="pct"/>
            <w:shd w:val="clear" w:color="auto" w:fill="auto"/>
            <w:tcMar>
              <w:top w:w="0" w:type="dxa"/>
              <w:left w:w="0" w:type="dxa"/>
              <w:bottom w:w="0" w:type="dxa"/>
              <w:right w:w="0" w:type="dxa"/>
            </w:tcMar>
            <w:vAlign w:val="center"/>
          </w:tcPr>
          <w:p w14:paraId="53EC81BD">
            <w:pPr>
              <w:pStyle w:val="17"/>
              <w:bidi w:val="0"/>
              <w:rPr>
                <w:color w:val="auto"/>
                <w:highlight w:val="none"/>
              </w:rPr>
            </w:pPr>
            <w:r>
              <w:rPr>
                <w:color w:val="auto"/>
                <w:highlight w:val="none"/>
              </w:rPr>
              <w:t>-557.7</w:t>
            </w:r>
          </w:p>
        </w:tc>
        <w:tc>
          <w:tcPr>
            <w:tcW w:w="194" w:type="pct"/>
            <w:shd w:val="clear" w:color="auto" w:fill="auto"/>
            <w:tcMar>
              <w:top w:w="0" w:type="dxa"/>
              <w:left w:w="0" w:type="dxa"/>
              <w:bottom w:w="0" w:type="dxa"/>
              <w:right w:w="0" w:type="dxa"/>
            </w:tcMar>
            <w:vAlign w:val="center"/>
          </w:tcPr>
          <w:p w14:paraId="45850F5E">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4D9D41BB">
            <w:pPr>
              <w:pStyle w:val="17"/>
              <w:bidi w:val="0"/>
              <w:rPr>
                <w:color w:val="auto"/>
                <w:highlight w:val="none"/>
              </w:rPr>
            </w:pPr>
            <w:r>
              <w:rPr>
                <w:color w:val="auto"/>
                <w:highlight w:val="none"/>
              </w:rPr>
              <w:t>43.5</w:t>
            </w:r>
          </w:p>
        </w:tc>
        <w:tc>
          <w:tcPr>
            <w:tcW w:w="205" w:type="pct"/>
            <w:shd w:val="clear" w:color="auto" w:fill="auto"/>
            <w:tcMar>
              <w:top w:w="0" w:type="dxa"/>
              <w:left w:w="0" w:type="dxa"/>
              <w:bottom w:w="0" w:type="dxa"/>
              <w:right w:w="0" w:type="dxa"/>
            </w:tcMar>
            <w:vAlign w:val="center"/>
          </w:tcPr>
          <w:p w14:paraId="27747CD9">
            <w:pPr>
              <w:pStyle w:val="17"/>
              <w:bidi w:val="0"/>
              <w:rPr>
                <w:color w:val="auto"/>
                <w:highlight w:val="none"/>
              </w:rPr>
            </w:pPr>
            <w:r>
              <w:rPr>
                <w:color w:val="auto"/>
                <w:highlight w:val="none"/>
              </w:rPr>
              <w:t>21.5</w:t>
            </w:r>
          </w:p>
        </w:tc>
        <w:tc>
          <w:tcPr>
            <w:tcW w:w="235" w:type="pct"/>
            <w:shd w:val="clear" w:color="auto" w:fill="auto"/>
            <w:tcMar>
              <w:top w:w="0" w:type="dxa"/>
              <w:left w:w="0" w:type="dxa"/>
              <w:bottom w:w="0" w:type="dxa"/>
              <w:right w:w="0" w:type="dxa"/>
            </w:tcMar>
            <w:vAlign w:val="center"/>
          </w:tcPr>
          <w:p w14:paraId="36B7A039">
            <w:pPr>
              <w:pStyle w:val="17"/>
              <w:bidi w:val="0"/>
              <w:rPr>
                <w:color w:val="auto"/>
                <w:highlight w:val="none"/>
              </w:rPr>
            </w:pPr>
            <w:r>
              <w:rPr>
                <w:color w:val="auto"/>
                <w:highlight w:val="none"/>
              </w:rPr>
              <w:t>16.3</w:t>
            </w:r>
          </w:p>
        </w:tc>
        <w:tc>
          <w:tcPr>
            <w:tcW w:w="200" w:type="pct"/>
            <w:shd w:val="clear" w:color="auto" w:fill="auto"/>
            <w:tcMar>
              <w:top w:w="0" w:type="dxa"/>
              <w:left w:w="0" w:type="dxa"/>
              <w:bottom w:w="0" w:type="dxa"/>
              <w:right w:w="0" w:type="dxa"/>
            </w:tcMar>
            <w:vAlign w:val="center"/>
          </w:tcPr>
          <w:p w14:paraId="087866D1">
            <w:pPr>
              <w:pStyle w:val="17"/>
              <w:bidi w:val="0"/>
              <w:rPr>
                <w:color w:val="auto"/>
                <w:highlight w:val="none"/>
              </w:rPr>
            </w:pPr>
            <w:r>
              <w:rPr>
                <w:color w:val="auto"/>
                <w:highlight w:val="none"/>
              </w:rPr>
              <w:t>23.4</w:t>
            </w:r>
          </w:p>
        </w:tc>
        <w:tc>
          <w:tcPr>
            <w:tcW w:w="188" w:type="pct"/>
            <w:shd w:val="clear" w:color="auto" w:fill="auto"/>
            <w:tcMar>
              <w:top w:w="0" w:type="dxa"/>
              <w:left w:w="0" w:type="dxa"/>
              <w:bottom w:w="0" w:type="dxa"/>
              <w:right w:w="0" w:type="dxa"/>
            </w:tcMar>
            <w:vAlign w:val="center"/>
          </w:tcPr>
          <w:p w14:paraId="0B8BF26C">
            <w:pPr>
              <w:pStyle w:val="17"/>
              <w:bidi w:val="0"/>
              <w:rPr>
                <w:color w:val="auto"/>
                <w:highlight w:val="none"/>
              </w:rPr>
            </w:pPr>
            <w:r>
              <w:rPr>
                <w:color w:val="auto"/>
                <w:highlight w:val="none"/>
              </w:rPr>
              <w:t>65.0</w:t>
            </w:r>
          </w:p>
        </w:tc>
        <w:tc>
          <w:tcPr>
            <w:tcW w:w="211" w:type="pct"/>
            <w:shd w:val="clear" w:color="auto" w:fill="auto"/>
            <w:tcMar>
              <w:top w:w="0" w:type="dxa"/>
              <w:left w:w="0" w:type="dxa"/>
              <w:bottom w:w="0" w:type="dxa"/>
              <w:right w:w="0" w:type="dxa"/>
            </w:tcMar>
            <w:vAlign w:val="center"/>
          </w:tcPr>
          <w:p w14:paraId="5C29AF9B">
            <w:pPr>
              <w:pStyle w:val="17"/>
              <w:bidi w:val="0"/>
              <w:rPr>
                <w:color w:val="auto"/>
                <w:highlight w:val="none"/>
              </w:rPr>
            </w:pPr>
            <w:r>
              <w:rPr>
                <w:color w:val="auto"/>
                <w:highlight w:val="none"/>
              </w:rPr>
              <w:t>65.0</w:t>
            </w:r>
          </w:p>
        </w:tc>
        <w:tc>
          <w:tcPr>
            <w:tcW w:w="182" w:type="pct"/>
            <w:shd w:val="clear" w:color="auto" w:fill="auto"/>
            <w:tcMar>
              <w:top w:w="0" w:type="dxa"/>
              <w:left w:w="0" w:type="dxa"/>
              <w:bottom w:w="0" w:type="dxa"/>
              <w:right w:w="0" w:type="dxa"/>
            </w:tcMar>
            <w:vAlign w:val="center"/>
          </w:tcPr>
          <w:p w14:paraId="0F462105">
            <w:pPr>
              <w:pStyle w:val="17"/>
              <w:bidi w:val="0"/>
              <w:rPr>
                <w:color w:val="auto"/>
                <w:highlight w:val="none"/>
              </w:rPr>
            </w:pPr>
            <w:r>
              <w:rPr>
                <w:color w:val="auto"/>
                <w:highlight w:val="none"/>
              </w:rPr>
              <w:t>65.0</w:t>
            </w:r>
          </w:p>
        </w:tc>
        <w:tc>
          <w:tcPr>
            <w:tcW w:w="229" w:type="pct"/>
            <w:shd w:val="clear" w:color="auto" w:fill="auto"/>
            <w:tcMar>
              <w:top w:w="0" w:type="dxa"/>
              <w:left w:w="0" w:type="dxa"/>
              <w:bottom w:w="0" w:type="dxa"/>
              <w:right w:w="0" w:type="dxa"/>
            </w:tcMar>
            <w:vAlign w:val="center"/>
          </w:tcPr>
          <w:p w14:paraId="5BCEB39D">
            <w:pPr>
              <w:pStyle w:val="17"/>
              <w:bidi w:val="0"/>
              <w:rPr>
                <w:color w:val="auto"/>
                <w:highlight w:val="none"/>
              </w:rPr>
            </w:pPr>
            <w:r>
              <w:rPr>
                <w:color w:val="auto"/>
                <w:highlight w:val="none"/>
              </w:rPr>
              <w:t>65.0</w:t>
            </w:r>
          </w:p>
        </w:tc>
        <w:tc>
          <w:tcPr>
            <w:tcW w:w="270" w:type="pct"/>
            <w:shd w:val="clear" w:color="auto" w:fill="auto"/>
            <w:tcMar>
              <w:top w:w="0" w:type="dxa"/>
              <w:left w:w="0" w:type="dxa"/>
              <w:bottom w:w="0" w:type="dxa"/>
              <w:right w:w="0" w:type="dxa"/>
            </w:tcMar>
            <w:vAlign w:val="center"/>
          </w:tcPr>
          <w:p w14:paraId="707D43C2">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A8613F1">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78AED68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55.0</w:t>
            </w:r>
          </w:p>
        </w:tc>
        <w:tc>
          <w:tcPr>
            <w:tcW w:w="258" w:type="pct"/>
            <w:shd w:val="clear" w:color="auto" w:fill="auto"/>
            <w:tcMar>
              <w:top w:w="0" w:type="dxa"/>
              <w:left w:w="0" w:type="dxa"/>
              <w:bottom w:w="0" w:type="dxa"/>
              <w:right w:w="0" w:type="dxa"/>
            </w:tcMar>
            <w:vAlign w:val="center"/>
          </w:tcPr>
          <w:p w14:paraId="5302DB66">
            <w:pPr>
              <w:pStyle w:val="17"/>
              <w:bidi w:val="0"/>
              <w:ind w:firstLine="0" w:firstLineChars="0"/>
              <w:rPr>
                <w:color w:val="auto"/>
                <w:highlight w:val="none"/>
              </w:rPr>
            </w:pPr>
            <w:r>
              <w:rPr>
                <w:rFonts w:hint="eastAsia"/>
                <w:color w:val="auto"/>
                <w:highlight w:val="none"/>
                <w:lang w:val="en-US" w:eastAsia="zh-CN"/>
              </w:rPr>
              <w:t>1</w:t>
            </w:r>
          </w:p>
        </w:tc>
      </w:tr>
      <w:tr w14:paraId="6763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4D0A0C1">
            <w:pPr>
              <w:pStyle w:val="17"/>
              <w:bidi w:val="0"/>
              <w:rPr>
                <w:color w:val="auto"/>
                <w:highlight w:val="none"/>
              </w:rPr>
            </w:pPr>
            <w:r>
              <w:rPr>
                <w:color w:val="auto"/>
                <w:highlight w:val="none"/>
              </w:rPr>
              <w:t>6</w:t>
            </w:r>
          </w:p>
        </w:tc>
        <w:tc>
          <w:tcPr>
            <w:tcW w:w="234" w:type="pct"/>
            <w:shd w:val="clear" w:color="auto" w:fill="auto"/>
            <w:tcMar>
              <w:top w:w="0" w:type="dxa"/>
              <w:left w:w="0" w:type="dxa"/>
              <w:bottom w:w="0" w:type="dxa"/>
              <w:right w:w="0" w:type="dxa"/>
            </w:tcMar>
            <w:vAlign w:val="center"/>
          </w:tcPr>
          <w:p w14:paraId="19E67B64">
            <w:pPr>
              <w:pStyle w:val="17"/>
              <w:bidi w:val="0"/>
              <w:rPr>
                <w:color w:val="auto"/>
                <w:highlight w:val="none"/>
              </w:rPr>
            </w:pPr>
            <w:r>
              <w:rPr>
                <w:color w:val="auto"/>
                <w:highlight w:val="none"/>
              </w:rPr>
              <w:t>中细碎厂房</w:t>
            </w:r>
          </w:p>
        </w:tc>
        <w:tc>
          <w:tcPr>
            <w:tcW w:w="478" w:type="pct"/>
            <w:shd w:val="clear" w:color="auto" w:fill="auto"/>
            <w:tcMar>
              <w:top w:w="0" w:type="dxa"/>
              <w:left w:w="0" w:type="dxa"/>
              <w:bottom w:w="0" w:type="dxa"/>
              <w:right w:w="0" w:type="dxa"/>
            </w:tcMar>
            <w:vAlign w:val="center"/>
          </w:tcPr>
          <w:p w14:paraId="2F090C6E">
            <w:pPr>
              <w:pStyle w:val="17"/>
              <w:bidi w:val="0"/>
              <w:rPr>
                <w:color w:val="auto"/>
                <w:highlight w:val="none"/>
              </w:rPr>
            </w:pPr>
            <w:r>
              <w:rPr>
                <w:color w:val="auto"/>
                <w:highlight w:val="none"/>
              </w:rPr>
              <w:t>中碎标准圆锥破碎机</w:t>
            </w:r>
          </w:p>
        </w:tc>
        <w:tc>
          <w:tcPr>
            <w:tcW w:w="388" w:type="pct"/>
            <w:shd w:val="clear" w:color="auto" w:fill="auto"/>
            <w:tcMar>
              <w:top w:w="0" w:type="dxa"/>
              <w:left w:w="0" w:type="dxa"/>
              <w:bottom w:w="0" w:type="dxa"/>
              <w:right w:w="0" w:type="dxa"/>
            </w:tcMar>
            <w:vAlign w:val="center"/>
          </w:tcPr>
          <w:p w14:paraId="64937A5F">
            <w:pPr>
              <w:pStyle w:val="17"/>
              <w:bidi w:val="0"/>
              <w:rPr>
                <w:color w:val="auto"/>
                <w:highlight w:val="none"/>
              </w:rPr>
            </w:pPr>
            <w:r>
              <w:rPr>
                <w:color w:val="auto"/>
                <w:highlight w:val="none"/>
              </w:rPr>
              <w:t>80</w:t>
            </w:r>
          </w:p>
        </w:tc>
        <w:tc>
          <w:tcPr>
            <w:tcW w:w="329" w:type="pct"/>
            <w:vMerge w:val="continue"/>
            <w:shd w:val="clear" w:color="auto" w:fill="auto"/>
            <w:tcMar>
              <w:top w:w="0" w:type="dxa"/>
              <w:left w:w="0" w:type="dxa"/>
              <w:bottom w:w="0" w:type="dxa"/>
              <w:right w:w="0" w:type="dxa"/>
            </w:tcMar>
            <w:vAlign w:val="center"/>
          </w:tcPr>
          <w:p w14:paraId="4CC4AA02">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9C975DC">
            <w:pPr>
              <w:pStyle w:val="17"/>
              <w:bidi w:val="0"/>
              <w:rPr>
                <w:color w:val="auto"/>
                <w:highlight w:val="none"/>
              </w:rPr>
            </w:pPr>
            <w:r>
              <w:rPr>
                <w:color w:val="auto"/>
                <w:highlight w:val="none"/>
              </w:rPr>
              <w:t>316.2</w:t>
            </w:r>
          </w:p>
        </w:tc>
        <w:tc>
          <w:tcPr>
            <w:tcW w:w="206" w:type="pct"/>
            <w:shd w:val="clear" w:color="auto" w:fill="auto"/>
            <w:tcMar>
              <w:top w:w="0" w:type="dxa"/>
              <w:left w:w="0" w:type="dxa"/>
              <w:bottom w:w="0" w:type="dxa"/>
              <w:right w:w="0" w:type="dxa"/>
            </w:tcMar>
            <w:vAlign w:val="center"/>
          </w:tcPr>
          <w:p w14:paraId="2CBFBA4A">
            <w:pPr>
              <w:pStyle w:val="17"/>
              <w:bidi w:val="0"/>
              <w:rPr>
                <w:color w:val="auto"/>
                <w:highlight w:val="none"/>
              </w:rPr>
            </w:pPr>
            <w:r>
              <w:rPr>
                <w:color w:val="auto"/>
                <w:highlight w:val="none"/>
              </w:rPr>
              <w:t>-656.8</w:t>
            </w:r>
          </w:p>
        </w:tc>
        <w:tc>
          <w:tcPr>
            <w:tcW w:w="194" w:type="pct"/>
            <w:shd w:val="clear" w:color="auto" w:fill="auto"/>
            <w:tcMar>
              <w:top w:w="0" w:type="dxa"/>
              <w:left w:w="0" w:type="dxa"/>
              <w:bottom w:w="0" w:type="dxa"/>
              <w:right w:w="0" w:type="dxa"/>
            </w:tcMar>
            <w:vAlign w:val="center"/>
          </w:tcPr>
          <w:p w14:paraId="5EB321A8">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1A4E3106">
            <w:pPr>
              <w:pStyle w:val="17"/>
              <w:bidi w:val="0"/>
              <w:rPr>
                <w:color w:val="auto"/>
                <w:highlight w:val="none"/>
              </w:rPr>
            </w:pPr>
            <w:r>
              <w:rPr>
                <w:color w:val="auto"/>
                <w:highlight w:val="none"/>
              </w:rPr>
              <w:t>24.4</w:t>
            </w:r>
          </w:p>
        </w:tc>
        <w:tc>
          <w:tcPr>
            <w:tcW w:w="205" w:type="pct"/>
            <w:shd w:val="clear" w:color="auto" w:fill="auto"/>
            <w:tcMar>
              <w:top w:w="0" w:type="dxa"/>
              <w:left w:w="0" w:type="dxa"/>
              <w:bottom w:w="0" w:type="dxa"/>
              <w:right w:w="0" w:type="dxa"/>
            </w:tcMar>
            <w:vAlign w:val="center"/>
          </w:tcPr>
          <w:p w14:paraId="5D50FE81">
            <w:pPr>
              <w:pStyle w:val="17"/>
              <w:bidi w:val="0"/>
              <w:rPr>
                <w:color w:val="auto"/>
                <w:highlight w:val="none"/>
              </w:rPr>
            </w:pPr>
            <w:r>
              <w:rPr>
                <w:color w:val="auto"/>
                <w:highlight w:val="none"/>
              </w:rPr>
              <w:t>32.4</w:t>
            </w:r>
          </w:p>
        </w:tc>
        <w:tc>
          <w:tcPr>
            <w:tcW w:w="235" w:type="pct"/>
            <w:shd w:val="clear" w:color="auto" w:fill="auto"/>
            <w:tcMar>
              <w:top w:w="0" w:type="dxa"/>
              <w:left w:w="0" w:type="dxa"/>
              <w:bottom w:w="0" w:type="dxa"/>
              <w:right w:w="0" w:type="dxa"/>
            </w:tcMar>
            <w:vAlign w:val="center"/>
          </w:tcPr>
          <w:p w14:paraId="6A46D782">
            <w:pPr>
              <w:pStyle w:val="17"/>
              <w:bidi w:val="0"/>
              <w:rPr>
                <w:color w:val="auto"/>
                <w:highlight w:val="none"/>
              </w:rPr>
            </w:pPr>
            <w:r>
              <w:rPr>
                <w:color w:val="auto"/>
                <w:highlight w:val="none"/>
              </w:rPr>
              <w:t>87.8</w:t>
            </w:r>
          </w:p>
        </w:tc>
        <w:tc>
          <w:tcPr>
            <w:tcW w:w="200" w:type="pct"/>
            <w:shd w:val="clear" w:color="auto" w:fill="auto"/>
            <w:tcMar>
              <w:top w:w="0" w:type="dxa"/>
              <w:left w:w="0" w:type="dxa"/>
              <w:bottom w:w="0" w:type="dxa"/>
              <w:right w:w="0" w:type="dxa"/>
            </w:tcMar>
            <w:vAlign w:val="center"/>
          </w:tcPr>
          <w:p w14:paraId="5698CF8C">
            <w:pPr>
              <w:pStyle w:val="17"/>
              <w:bidi w:val="0"/>
              <w:rPr>
                <w:color w:val="auto"/>
                <w:highlight w:val="none"/>
              </w:rPr>
            </w:pPr>
            <w:r>
              <w:rPr>
                <w:color w:val="auto"/>
                <w:highlight w:val="none"/>
              </w:rPr>
              <w:t>19.9</w:t>
            </w:r>
          </w:p>
        </w:tc>
        <w:tc>
          <w:tcPr>
            <w:tcW w:w="188" w:type="pct"/>
            <w:shd w:val="clear" w:color="auto" w:fill="auto"/>
            <w:tcMar>
              <w:top w:w="0" w:type="dxa"/>
              <w:left w:w="0" w:type="dxa"/>
              <w:bottom w:w="0" w:type="dxa"/>
              <w:right w:w="0" w:type="dxa"/>
            </w:tcMar>
            <w:vAlign w:val="center"/>
          </w:tcPr>
          <w:p w14:paraId="3DDF8078">
            <w:pPr>
              <w:pStyle w:val="17"/>
              <w:bidi w:val="0"/>
              <w:rPr>
                <w:color w:val="auto"/>
                <w:highlight w:val="none"/>
              </w:rPr>
            </w:pPr>
            <w:r>
              <w:rPr>
                <w:color w:val="auto"/>
                <w:highlight w:val="none"/>
              </w:rPr>
              <w:t>62.0</w:t>
            </w:r>
          </w:p>
        </w:tc>
        <w:tc>
          <w:tcPr>
            <w:tcW w:w="211" w:type="pct"/>
            <w:shd w:val="clear" w:color="auto" w:fill="auto"/>
            <w:tcMar>
              <w:top w:w="0" w:type="dxa"/>
              <w:left w:w="0" w:type="dxa"/>
              <w:bottom w:w="0" w:type="dxa"/>
              <w:right w:w="0" w:type="dxa"/>
            </w:tcMar>
            <w:vAlign w:val="center"/>
          </w:tcPr>
          <w:p w14:paraId="173227AB">
            <w:pPr>
              <w:pStyle w:val="17"/>
              <w:bidi w:val="0"/>
              <w:rPr>
                <w:color w:val="auto"/>
                <w:highlight w:val="none"/>
              </w:rPr>
            </w:pPr>
            <w:r>
              <w:rPr>
                <w:color w:val="auto"/>
                <w:highlight w:val="none"/>
              </w:rPr>
              <w:t>62.0</w:t>
            </w:r>
          </w:p>
        </w:tc>
        <w:tc>
          <w:tcPr>
            <w:tcW w:w="182" w:type="pct"/>
            <w:shd w:val="clear" w:color="auto" w:fill="auto"/>
            <w:tcMar>
              <w:top w:w="0" w:type="dxa"/>
              <w:left w:w="0" w:type="dxa"/>
              <w:bottom w:w="0" w:type="dxa"/>
              <w:right w:w="0" w:type="dxa"/>
            </w:tcMar>
            <w:vAlign w:val="center"/>
          </w:tcPr>
          <w:p w14:paraId="00F0CCB5">
            <w:pPr>
              <w:pStyle w:val="17"/>
              <w:bidi w:val="0"/>
              <w:rPr>
                <w:color w:val="auto"/>
                <w:highlight w:val="none"/>
              </w:rPr>
            </w:pPr>
            <w:r>
              <w:rPr>
                <w:color w:val="auto"/>
                <w:highlight w:val="none"/>
              </w:rPr>
              <w:t>62.0</w:t>
            </w:r>
          </w:p>
        </w:tc>
        <w:tc>
          <w:tcPr>
            <w:tcW w:w="229" w:type="pct"/>
            <w:shd w:val="clear" w:color="auto" w:fill="auto"/>
            <w:tcMar>
              <w:top w:w="0" w:type="dxa"/>
              <w:left w:w="0" w:type="dxa"/>
              <w:bottom w:w="0" w:type="dxa"/>
              <w:right w:w="0" w:type="dxa"/>
            </w:tcMar>
            <w:vAlign w:val="center"/>
          </w:tcPr>
          <w:p w14:paraId="75F6EF9C">
            <w:pPr>
              <w:pStyle w:val="17"/>
              <w:bidi w:val="0"/>
              <w:rPr>
                <w:color w:val="auto"/>
                <w:highlight w:val="none"/>
              </w:rPr>
            </w:pPr>
            <w:r>
              <w:rPr>
                <w:color w:val="auto"/>
                <w:highlight w:val="none"/>
              </w:rPr>
              <w:t>62.1</w:t>
            </w:r>
          </w:p>
        </w:tc>
        <w:tc>
          <w:tcPr>
            <w:tcW w:w="270" w:type="pct"/>
            <w:shd w:val="clear" w:color="auto" w:fill="auto"/>
            <w:tcMar>
              <w:top w:w="0" w:type="dxa"/>
              <w:left w:w="0" w:type="dxa"/>
              <w:bottom w:w="0" w:type="dxa"/>
              <w:right w:w="0" w:type="dxa"/>
            </w:tcMar>
            <w:vAlign w:val="center"/>
          </w:tcPr>
          <w:p w14:paraId="445EF0D9">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AE5C38F">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6E23807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52.0</w:t>
            </w:r>
          </w:p>
        </w:tc>
        <w:tc>
          <w:tcPr>
            <w:tcW w:w="258" w:type="pct"/>
            <w:shd w:val="clear" w:color="auto" w:fill="auto"/>
            <w:tcMar>
              <w:top w:w="0" w:type="dxa"/>
              <w:left w:w="0" w:type="dxa"/>
              <w:bottom w:w="0" w:type="dxa"/>
              <w:right w:w="0" w:type="dxa"/>
            </w:tcMar>
            <w:vAlign w:val="center"/>
          </w:tcPr>
          <w:p w14:paraId="55695537">
            <w:pPr>
              <w:pStyle w:val="17"/>
              <w:bidi w:val="0"/>
              <w:ind w:firstLine="0" w:firstLineChars="0"/>
              <w:rPr>
                <w:color w:val="auto"/>
                <w:highlight w:val="none"/>
              </w:rPr>
            </w:pPr>
            <w:r>
              <w:rPr>
                <w:rFonts w:hint="eastAsia"/>
                <w:color w:val="auto"/>
                <w:highlight w:val="none"/>
                <w:lang w:val="en-US" w:eastAsia="zh-CN"/>
              </w:rPr>
              <w:t>1</w:t>
            </w:r>
          </w:p>
        </w:tc>
      </w:tr>
      <w:tr w14:paraId="405C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510250F">
            <w:pPr>
              <w:pStyle w:val="17"/>
              <w:bidi w:val="0"/>
              <w:rPr>
                <w:color w:val="auto"/>
                <w:highlight w:val="none"/>
              </w:rPr>
            </w:pPr>
            <w:r>
              <w:rPr>
                <w:color w:val="auto"/>
                <w:highlight w:val="none"/>
              </w:rPr>
              <w:t>7</w:t>
            </w:r>
          </w:p>
        </w:tc>
        <w:tc>
          <w:tcPr>
            <w:tcW w:w="234" w:type="pct"/>
            <w:shd w:val="clear" w:color="auto" w:fill="auto"/>
            <w:tcMar>
              <w:top w:w="0" w:type="dxa"/>
              <w:left w:w="0" w:type="dxa"/>
              <w:bottom w:w="0" w:type="dxa"/>
              <w:right w:w="0" w:type="dxa"/>
            </w:tcMar>
            <w:vAlign w:val="center"/>
          </w:tcPr>
          <w:p w14:paraId="53679AA2">
            <w:pPr>
              <w:pStyle w:val="17"/>
              <w:bidi w:val="0"/>
              <w:rPr>
                <w:color w:val="auto"/>
                <w:highlight w:val="none"/>
              </w:rPr>
            </w:pPr>
            <w:r>
              <w:rPr>
                <w:color w:val="auto"/>
                <w:highlight w:val="none"/>
              </w:rPr>
              <w:t>中细碎厂房</w:t>
            </w:r>
          </w:p>
        </w:tc>
        <w:tc>
          <w:tcPr>
            <w:tcW w:w="478" w:type="pct"/>
            <w:shd w:val="clear" w:color="auto" w:fill="auto"/>
            <w:tcMar>
              <w:top w:w="0" w:type="dxa"/>
              <w:left w:w="0" w:type="dxa"/>
              <w:bottom w:w="0" w:type="dxa"/>
              <w:right w:w="0" w:type="dxa"/>
            </w:tcMar>
            <w:vAlign w:val="center"/>
          </w:tcPr>
          <w:p w14:paraId="768CB427">
            <w:pPr>
              <w:pStyle w:val="17"/>
              <w:bidi w:val="0"/>
              <w:rPr>
                <w:color w:val="auto"/>
                <w:highlight w:val="none"/>
              </w:rPr>
            </w:pPr>
            <w:r>
              <w:rPr>
                <w:color w:val="auto"/>
                <w:highlight w:val="none"/>
              </w:rPr>
              <w:t>细碎短头圆锥破碎机</w:t>
            </w:r>
          </w:p>
        </w:tc>
        <w:tc>
          <w:tcPr>
            <w:tcW w:w="388" w:type="pct"/>
            <w:shd w:val="clear" w:color="auto" w:fill="auto"/>
            <w:tcMar>
              <w:top w:w="0" w:type="dxa"/>
              <w:left w:w="0" w:type="dxa"/>
              <w:bottom w:w="0" w:type="dxa"/>
              <w:right w:w="0" w:type="dxa"/>
            </w:tcMar>
            <w:vAlign w:val="center"/>
          </w:tcPr>
          <w:p w14:paraId="2D329302">
            <w:pPr>
              <w:pStyle w:val="17"/>
              <w:bidi w:val="0"/>
              <w:rPr>
                <w:color w:val="auto"/>
                <w:highlight w:val="none"/>
              </w:rPr>
            </w:pPr>
            <w:r>
              <w:rPr>
                <w:color w:val="auto"/>
                <w:highlight w:val="none"/>
              </w:rPr>
              <w:t>80</w:t>
            </w:r>
          </w:p>
        </w:tc>
        <w:tc>
          <w:tcPr>
            <w:tcW w:w="329" w:type="pct"/>
            <w:vMerge w:val="continue"/>
            <w:shd w:val="clear" w:color="auto" w:fill="auto"/>
            <w:tcMar>
              <w:top w:w="0" w:type="dxa"/>
              <w:left w:w="0" w:type="dxa"/>
              <w:bottom w:w="0" w:type="dxa"/>
              <w:right w:w="0" w:type="dxa"/>
            </w:tcMar>
            <w:vAlign w:val="center"/>
          </w:tcPr>
          <w:p w14:paraId="0EBB3533">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072C3D84">
            <w:pPr>
              <w:pStyle w:val="17"/>
              <w:bidi w:val="0"/>
              <w:rPr>
                <w:color w:val="auto"/>
                <w:highlight w:val="none"/>
              </w:rPr>
            </w:pPr>
            <w:r>
              <w:rPr>
                <w:color w:val="auto"/>
                <w:highlight w:val="none"/>
              </w:rPr>
              <w:t>297.5</w:t>
            </w:r>
          </w:p>
        </w:tc>
        <w:tc>
          <w:tcPr>
            <w:tcW w:w="206" w:type="pct"/>
            <w:shd w:val="clear" w:color="auto" w:fill="auto"/>
            <w:tcMar>
              <w:top w:w="0" w:type="dxa"/>
              <w:left w:w="0" w:type="dxa"/>
              <w:bottom w:w="0" w:type="dxa"/>
              <w:right w:w="0" w:type="dxa"/>
            </w:tcMar>
            <w:vAlign w:val="center"/>
          </w:tcPr>
          <w:p w14:paraId="36EC70F9">
            <w:pPr>
              <w:pStyle w:val="17"/>
              <w:bidi w:val="0"/>
              <w:rPr>
                <w:color w:val="auto"/>
                <w:highlight w:val="none"/>
              </w:rPr>
            </w:pPr>
            <w:r>
              <w:rPr>
                <w:color w:val="auto"/>
                <w:highlight w:val="none"/>
              </w:rPr>
              <w:t>-664.3</w:t>
            </w:r>
          </w:p>
        </w:tc>
        <w:tc>
          <w:tcPr>
            <w:tcW w:w="194" w:type="pct"/>
            <w:shd w:val="clear" w:color="auto" w:fill="auto"/>
            <w:tcMar>
              <w:top w:w="0" w:type="dxa"/>
              <w:left w:w="0" w:type="dxa"/>
              <w:bottom w:w="0" w:type="dxa"/>
              <w:right w:w="0" w:type="dxa"/>
            </w:tcMar>
            <w:vAlign w:val="center"/>
          </w:tcPr>
          <w:p w14:paraId="102077EF">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5D9ED384">
            <w:pPr>
              <w:pStyle w:val="17"/>
              <w:bidi w:val="0"/>
              <w:rPr>
                <w:color w:val="auto"/>
                <w:highlight w:val="none"/>
              </w:rPr>
            </w:pPr>
            <w:r>
              <w:rPr>
                <w:color w:val="auto"/>
                <w:highlight w:val="none"/>
              </w:rPr>
              <w:t>44.5</w:t>
            </w:r>
          </w:p>
        </w:tc>
        <w:tc>
          <w:tcPr>
            <w:tcW w:w="205" w:type="pct"/>
            <w:shd w:val="clear" w:color="auto" w:fill="auto"/>
            <w:tcMar>
              <w:top w:w="0" w:type="dxa"/>
              <w:left w:w="0" w:type="dxa"/>
              <w:bottom w:w="0" w:type="dxa"/>
              <w:right w:w="0" w:type="dxa"/>
            </w:tcMar>
            <w:vAlign w:val="center"/>
          </w:tcPr>
          <w:p w14:paraId="4146DD56">
            <w:pPr>
              <w:pStyle w:val="17"/>
              <w:bidi w:val="0"/>
              <w:rPr>
                <w:color w:val="auto"/>
                <w:highlight w:val="none"/>
              </w:rPr>
            </w:pPr>
            <w:r>
              <w:rPr>
                <w:color w:val="auto"/>
                <w:highlight w:val="none"/>
              </w:rPr>
              <w:t>33.9</w:t>
            </w:r>
          </w:p>
        </w:tc>
        <w:tc>
          <w:tcPr>
            <w:tcW w:w="235" w:type="pct"/>
            <w:shd w:val="clear" w:color="auto" w:fill="auto"/>
            <w:tcMar>
              <w:top w:w="0" w:type="dxa"/>
              <w:left w:w="0" w:type="dxa"/>
              <w:bottom w:w="0" w:type="dxa"/>
              <w:right w:w="0" w:type="dxa"/>
            </w:tcMar>
            <w:vAlign w:val="center"/>
          </w:tcPr>
          <w:p w14:paraId="7307064F">
            <w:pPr>
              <w:pStyle w:val="17"/>
              <w:bidi w:val="0"/>
              <w:rPr>
                <w:color w:val="auto"/>
                <w:highlight w:val="none"/>
              </w:rPr>
            </w:pPr>
            <w:r>
              <w:rPr>
                <w:color w:val="auto"/>
                <w:highlight w:val="none"/>
              </w:rPr>
              <w:t>67.7</w:t>
            </w:r>
          </w:p>
        </w:tc>
        <w:tc>
          <w:tcPr>
            <w:tcW w:w="200" w:type="pct"/>
            <w:shd w:val="clear" w:color="auto" w:fill="auto"/>
            <w:tcMar>
              <w:top w:w="0" w:type="dxa"/>
              <w:left w:w="0" w:type="dxa"/>
              <w:bottom w:w="0" w:type="dxa"/>
              <w:right w:w="0" w:type="dxa"/>
            </w:tcMar>
            <w:vAlign w:val="center"/>
          </w:tcPr>
          <w:p w14:paraId="66E2ED4D">
            <w:pPr>
              <w:pStyle w:val="17"/>
              <w:bidi w:val="0"/>
              <w:rPr>
                <w:color w:val="auto"/>
                <w:highlight w:val="none"/>
              </w:rPr>
            </w:pPr>
            <w:r>
              <w:rPr>
                <w:color w:val="auto"/>
                <w:highlight w:val="none"/>
              </w:rPr>
              <w:t>18.4</w:t>
            </w:r>
          </w:p>
        </w:tc>
        <w:tc>
          <w:tcPr>
            <w:tcW w:w="188" w:type="pct"/>
            <w:shd w:val="clear" w:color="auto" w:fill="auto"/>
            <w:tcMar>
              <w:top w:w="0" w:type="dxa"/>
              <w:left w:w="0" w:type="dxa"/>
              <w:bottom w:w="0" w:type="dxa"/>
              <w:right w:w="0" w:type="dxa"/>
            </w:tcMar>
            <w:vAlign w:val="center"/>
          </w:tcPr>
          <w:p w14:paraId="50678BFF">
            <w:pPr>
              <w:pStyle w:val="17"/>
              <w:bidi w:val="0"/>
              <w:rPr>
                <w:color w:val="auto"/>
                <w:highlight w:val="none"/>
              </w:rPr>
            </w:pPr>
            <w:r>
              <w:rPr>
                <w:color w:val="auto"/>
                <w:highlight w:val="none"/>
              </w:rPr>
              <w:t>62.0</w:t>
            </w:r>
          </w:p>
        </w:tc>
        <w:tc>
          <w:tcPr>
            <w:tcW w:w="211" w:type="pct"/>
            <w:shd w:val="clear" w:color="auto" w:fill="auto"/>
            <w:tcMar>
              <w:top w:w="0" w:type="dxa"/>
              <w:left w:w="0" w:type="dxa"/>
              <w:bottom w:w="0" w:type="dxa"/>
              <w:right w:w="0" w:type="dxa"/>
            </w:tcMar>
            <w:vAlign w:val="center"/>
          </w:tcPr>
          <w:p w14:paraId="4D88FF4D">
            <w:pPr>
              <w:pStyle w:val="17"/>
              <w:bidi w:val="0"/>
              <w:rPr>
                <w:color w:val="auto"/>
                <w:highlight w:val="none"/>
              </w:rPr>
            </w:pPr>
            <w:r>
              <w:rPr>
                <w:color w:val="auto"/>
                <w:highlight w:val="none"/>
              </w:rPr>
              <w:t>62.0</w:t>
            </w:r>
          </w:p>
        </w:tc>
        <w:tc>
          <w:tcPr>
            <w:tcW w:w="182" w:type="pct"/>
            <w:shd w:val="clear" w:color="auto" w:fill="auto"/>
            <w:tcMar>
              <w:top w:w="0" w:type="dxa"/>
              <w:left w:w="0" w:type="dxa"/>
              <w:bottom w:w="0" w:type="dxa"/>
              <w:right w:w="0" w:type="dxa"/>
            </w:tcMar>
            <w:vAlign w:val="center"/>
          </w:tcPr>
          <w:p w14:paraId="2B203AD0">
            <w:pPr>
              <w:pStyle w:val="17"/>
              <w:bidi w:val="0"/>
              <w:rPr>
                <w:color w:val="auto"/>
                <w:highlight w:val="none"/>
              </w:rPr>
            </w:pPr>
            <w:r>
              <w:rPr>
                <w:color w:val="auto"/>
                <w:highlight w:val="none"/>
              </w:rPr>
              <w:t>62.0</w:t>
            </w:r>
          </w:p>
        </w:tc>
        <w:tc>
          <w:tcPr>
            <w:tcW w:w="229" w:type="pct"/>
            <w:shd w:val="clear" w:color="auto" w:fill="auto"/>
            <w:tcMar>
              <w:top w:w="0" w:type="dxa"/>
              <w:left w:w="0" w:type="dxa"/>
              <w:bottom w:w="0" w:type="dxa"/>
              <w:right w:w="0" w:type="dxa"/>
            </w:tcMar>
            <w:vAlign w:val="center"/>
          </w:tcPr>
          <w:p w14:paraId="0F2C6F0C">
            <w:pPr>
              <w:pStyle w:val="17"/>
              <w:bidi w:val="0"/>
              <w:rPr>
                <w:color w:val="auto"/>
                <w:highlight w:val="none"/>
              </w:rPr>
            </w:pPr>
            <w:r>
              <w:rPr>
                <w:color w:val="auto"/>
                <w:highlight w:val="none"/>
              </w:rPr>
              <w:t>62.1</w:t>
            </w:r>
          </w:p>
        </w:tc>
        <w:tc>
          <w:tcPr>
            <w:tcW w:w="270" w:type="pct"/>
            <w:shd w:val="clear" w:color="auto" w:fill="auto"/>
            <w:tcMar>
              <w:top w:w="0" w:type="dxa"/>
              <w:left w:w="0" w:type="dxa"/>
              <w:bottom w:w="0" w:type="dxa"/>
              <w:right w:w="0" w:type="dxa"/>
            </w:tcMar>
            <w:vAlign w:val="center"/>
          </w:tcPr>
          <w:p w14:paraId="7EDC6C88">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ACC707A">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32F18F3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52.0</w:t>
            </w:r>
          </w:p>
        </w:tc>
        <w:tc>
          <w:tcPr>
            <w:tcW w:w="258" w:type="pct"/>
            <w:shd w:val="clear" w:color="auto" w:fill="auto"/>
            <w:tcMar>
              <w:top w:w="0" w:type="dxa"/>
              <w:left w:w="0" w:type="dxa"/>
              <w:bottom w:w="0" w:type="dxa"/>
              <w:right w:w="0" w:type="dxa"/>
            </w:tcMar>
            <w:vAlign w:val="center"/>
          </w:tcPr>
          <w:p w14:paraId="348AAD68">
            <w:pPr>
              <w:pStyle w:val="17"/>
              <w:bidi w:val="0"/>
              <w:ind w:firstLine="0" w:firstLineChars="0"/>
              <w:rPr>
                <w:color w:val="auto"/>
                <w:highlight w:val="none"/>
              </w:rPr>
            </w:pPr>
            <w:r>
              <w:rPr>
                <w:rFonts w:hint="eastAsia"/>
                <w:color w:val="auto"/>
                <w:highlight w:val="none"/>
                <w:lang w:val="en-US" w:eastAsia="zh-CN"/>
              </w:rPr>
              <w:t>1</w:t>
            </w:r>
          </w:p>
        </w:tc>
      </w:tr>
      <w:tr w14:paraId="22C0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4B869225">
            <w:pPr>
              <w:pStyle w:val="17"/>
              <w:bidi w:val="0"/>
              <w:rPr>
                <w:color w:val="auto"/>
                <w:highlight w:val="none"/>
              </w:rPr>
            </w:pPr>
            <w:r>
              <w:rPr>
                <w:color w:val="auto"/>
                <w:highlight w:val="none"/>
              </w:rPr>
              <w:t>8</w:t>
            </w:r>
          </w:p>
        </w:tc>
        <w:tc>
          <w:tcPr>
            <w:tcW w:w="234" w:type="pct"/>
            <w:shd w:val="clear" w:color="auto" w:fill="auto"/>
            <w:tcMar>
              <w:top w:w="0" w:type="dxa"/>
              <w:left w:w="0" w:type="dxa"/>
              <w:bottom w:w="0" w:type="dxa"/>
              <w:right w:w="0" w:type="dxa"/>
            </w:tcMar>
            <w:vAlign w:val="center"/>
          </w:tcPr>
          <w:p w14:paraId="479C47E1">
            <w:pPr>
              <w:pStyle w:val="17"/>
              <w:bidi w:val="0"/>
              <w:rPr>
                <w:color w:val="auto"/>
                <w:highlight w:val="none"/>
              </w:rPr>
            </w:pPr>
            <w:r>
              <w:rPr>
                <w:color w:val="auto"/>
                <w:highlight w:val="none"/>
              </w:rPr>
              <w:t>中细碎厂房</w:t>
            </w:r>
          </w:p>
        </w:tc>
        <w:tc>
          <w:tcPr>
            <w:tcW w:w="478" w:type="pct"/>
            <w:shd w:val="clear" w:color="auto" w:fill="auto"/>
            <w:tcMar>
              <w:top w:w="0" w:type="dxa"/>
              <w:left w:w="0" w:type="dxa"/>
              <w:bottom w:w="0" w:type="dxa"/>
              <w:right w:w="0" w:type="dxa"/>
            </w:tcMar>
            <w:vAlign w:val="center"/>
          </w:tcPr>
          <w:p w14:paraId="0B56CF28">
            <w:pPr>
              <w:pStyle w:val="17"/>
              <w:bidi w:val="0"/>
              <w:rPr>
                <w:color w:val="auto"/>
                <w:highlight w:val="none"/>
              </w:rPr>
            </w:pPr>
            <w:r>
              <w:rPr>
                <w:color w:val="auto"/>
                <w:highlight w:val="none"/>
              </w:rPr>
              <w:t>移动式皮带给矿机,2台（按点声源组预测）</w:t>
            </w:r>
          </w:p>
        </w:tc>
        <w:tc>
          <w:tcPr>
            <w:tcW w:w="388" w:type="pct"/>
            <w:shd w:val="clear" w:color="auto" w:fill="auto"/>
            <w:tcMar>
              <w:top w:w="0" w:type="dxa"/>
              <w:left w:w="0" w:type="dxa"/>
              <w:bottom w:w="0" w:type="dxa"/>
              <w:right w:w="0" w:type="dxa"/>
            </w:tcMar>
            <w:vAlign w:val="center"/>
          </w:tcPr>
          <w:p w14:paraId="003DE8DC">
            <w:pPr>
              <w:pStyle w:val="17"/>
              <w:bidi w:val="0"/>
              <w:rPr>
                <w:rFonts w:hint="eastAsia" w:eastAsia="宋体"/>
                <w:color w:val="auto"/>
                <w:highlight w:val="none"/>
                <w:lang w:eastAsia="zh-CN"/>
              </w:rPr>
            </w:pPr>
            <w:r>
              <w:rPr>
                <w:color w:val="auto"/>
                <w:highlight w:val="none"/>
              </w:rPr>
              <w:t>70（等效后：73.0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4213AD13">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397EA394">
            <w:pPr>
              <w:pStyle w:val="17"/>
              <w:bidi w:val="0"/>
              <w:rPr>
                <w:color w:val="auto"/>
                <w:highlight w:val="none"/>
              </w:rPr>
            </w:pPr>
            <w:r>
              <w:rPr>
                <w:color w:val="auto"/>
                <w:highlight w:val="none"/>
              </w:rPr>
              <w:t>271.3</w:t>
            </w:r>
          </w:p>
        </w:tc>
        <w:tc>
          <w:tcPr>
            <w:tcW w:w="206" w:type="pct"/>
            <w:shd w:val="clear" w:color="auto" w:fill="auto"/>
            <w:tcMar>
              <w:top w:w="0" w:type="dxa"/>
              <w:left w:w="0" w:type="dxa"/>
              <w:bottom w:w="0" w:type="dxa"/>
              <w:right w:w="0" w:type="dxa"/>
            </w:tcMar>
            <w:vAlign w:val="center"/>
          </w:tcPr>
          <w:p w14:paraId="00A5D267">
            <w:pPr>
              <w:pStyle w:val="17"/>
              <w:bidi w:val="0"/>
              <w:rPr>
                <w:color w:val="auto"/>
                <w:highlight w:val="none"/>
              </w:rPr>
            </w:pPr>
            <w:r>
              <w:rPr>
                <w:color w:val="auto"/>
                <w:highlight w:val="none"/>
              </w:rPr>
              <w:t>-681.1</w:t>
            </w:r>
          </w:p>
        </w:tc>
        <w:tc>
          <w:tcPr>
            <w:tcW w:w="194" w:type="pct"/>
            <w:shd w:val="clear" w:color="auto" w:fill="auto"/>
            <w:tcMar>
              <w:top w:w="0" w:type="dxa"/>
              <w:left w:w="0" w:type="dxa"/>
              <w:bottom w:w="0" w:type="dxa"/>
              <w:right w:w="0" w:type="dxa"/>
            </w:tcMar>
            <w:vAlign w:val="center"/>
          </w:tcPr>
          <w:p w14:paraId="41DDDB10">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67AC2D1C">
            <w:pPr>
              <w:pStyle w:val="17"/>
              <w:bidi w:val="0"/>
              <w:rPr>
                <w:color w:val="auto"/>
                <w:highlight w:val="none"/>
              </w:rPr>
            </w:pPr>
            <w:r>
              <w:rPr>
                <w:color w:val="auto"/>
                <w:highlight w:val="none"/>
              </w:rPr>
              <w:t>75.4</w:t>
            </w:r>
          </w:p>
        </w:tc>
        <w:tc>
          <w:tcPr>
            <w:tcW w:w="205" w:type="pct"/>
            <w:shd w:val="clear" w:color="auto" w:fill="auto"/>
            <w:tcMar>
              <w:top w:w="0" w:type="dxa"/>
              <w:left w:w="0" w:type="dxa"/>
              <w:bottom w:w="0" w:type="dxa"/>
              <w:right w:w="0" w:type="dxa"/>
            </w:tcMar>
            <w:vAlign w:val="center"/>
          </w:tcPr>
          <w:p w14:paraId="5D5658F5">
            <w:pPr>
              <w:pStyle w:val="17"/>
              <w:bidi w:val="0"/>
              <w:rPr>
                <w:color w:val="auto"/>
                <w:highlight w:val="none"/>
              </w:rPr>
            </w:pPr>
            <w:r>
              <w:rPr>
                <w:color w:val="auto"/>
                <w:highlight w:val="none"/>
              </w:rPr>
              <w:t>30.4</w:t>
            </w:r>
          </w:p>
        </w:tc>
        <w:tc>
          <w:tcPr>
            <w:tcW w:w="235" w:type="pct"/>
            <w:shd w:val="clear" w:color="auto" w:fill="auto"/>
            <w:tcMar>
              <w:top w:w="0" w:type="dxa"/>
              <w:left w:w="0" w:type="dxa"/>
              <w:bottom w:w="0" w:type="dxa"/>
              <w:right w:w="0" w:type="dxa"/>
            </w:tcMar>
            <w:vAlign w:val="center"/>
          </w:tcPr>
          <w:p w14:paraId="6D1AC034">
            <w:pPr>
              <w:pStyle w:val="17"/>
              <w:bidi w:val="0"/>
              <w:rPr>
                <w:color w:val="auto"/>
                <w:highlight w:val="none"/>
              </w:rPr>
            </w:pPr>
            <w:r>
              <w:rPr>
                <w:color w:val="auto"/>
                <w:highlight w:val="none"/>
              </w:rPr>
              <w:t>36.8</w:t>
            </w:r>
          </w:p>
        </w:tc>
        <w:tc>
          <w:tcPr>
            <w:tcW w:w="200" w:type="pct"/>
            <w:shd w:val="clear" w:color="auto" w:fill="auto"/>
            <w:tcMar>
              <w:top w:w="0" w:type="dxa"/>
              <w:left w:w="0" w:type="dxa"/>
              <w:bottom w:w="0" w:type="dxa"/>
              <w:right w:w="0" w:type="dxa"/>
            </w:tcMar>
            <w:vAlign w:val="center"/>
          </w:tcPr>
          <w:p w14:paraId="1D297F9F">
            <w:pPr>
              <w:pStyle w:val="17"/>
              <w:bidi w:val="0"/>
              <w:rPr>
                <w:color w:val="auto"/>
                <w:highlight w:val="none"/>
              </w:rPr>
            </w:pPr>
            <w:r>
              <w:rPr>
                <w:color w:val="auto"/>
                <w:highlight w:val="none"/>
              </w:rPr>
              <w:t>21.9</w:t>
            </w:r>
          </w:p>
        </w:tc>
        <w:tc>
          <w:tcPr>
            <w:tcW w:w="188" w:type="pct"/>
            <w:shd w:val="clear" w:color="auto" w:fill="auto"/>
            <w:tcMar>
              <w:top w:w="0" w:type="dxa"/>
              <w:left w:w="0" w:type="dxa"/>
              <w:bottom w:w="0" w:type="dxa"/>
              <w:right w:w="0" w:type="dxa"/>
            </w:tcMar>
            <w:vAlign w:val="center"/>
          </w:tcPr>
          <w:p w14:paraId="5A0907DE">
            <w:pPr>
              <w:pStyle w:val="17"/>
              <w:bidi w:val="0"/>
              <w:rPr>
                <w:color w:val="auto"/>
                <w:highlight w:val="none"/>
              </w:rPr>
            </w:pPr>
            <w:r>
              <w:rPr>
                <w:color w:val="auto"/>
                <w:highlight w:val="none"/>
              </w:rPr>
              <w:t>55.0</w:t>
            </w:r>
          </w:p>
        </w:tc>
        <w:tc>
          <w:tcPr>
            <w:tcW w:w="211" w:type="pct"/>
            <w:shd w:val="clear" w:color="auto" w:fill="auto"/>
            <w:tcMar>
              <w:top w:w="0" w:type="dxa"/>
              <w:left w:w="0" w:type="dxa"/>
              <w:bottom w:w="0" w:type="dxa"/>
              <w:right w:w="0" w:type="dxa"/>
            </w:tcMar>
            <w:vAlign w:val="center"/>
          </w:tcPr>
          <w:p w14:paraId="0EBC61C0">
            <w:pPr>
              <w:pStyle w:val="17"/>
              <w:bidi w:val="0"/>
              <w:rPr>
                <w:color w:val="auto"/>
                <w:highlight w:val="none"/>
              </w:rPr>
            </w:pPr>
            <w:r>
              <w:rPr>
                <w:color w:val="auto"/>
                <w:highlight w:val="none"/>
              </w:rPr>
              <w:t>55.0</w:t>
            </w:r>
          </w:p>
        </w:tc>
        <w:tc>
          <w:tcPr>
            <w:tcW w:w="182" w:type="pct"/>
            <w:shd w:val="clear" w:color="auto" w:fill="auto"/>
            <w:tcMar>
              <w:top w:w="0" w:type="dxa"/>
              <w:left w:w="0" w:type="dxa"/>
              <w:bottom w:w="0" w:type="dxa"/>
              <w:right w:w="0" w:type="dxa"/>
            </w:tcMar>
            <w:vAlign w:val="center"/>
          </w:tcPr>
          <w:p w14:paraId="21278C6D">
            <w:pPr>
              <w:pStyle w:val="17"/>
              <w:bidi w:val="0"/>
              <w:rPr>
                <w:color w:val="auto"/>
                <w:highlight w:val="none"/>
              </w:rPr>
            </w:pPr>
            <w:r>
              <w:rPr>
                <w:color w:val="auto"/>
                <w:highlight w:val="none"/>
              </w:rPr>
              <w:t>55.0</w:t>
            </w:r>
          </w:p>
        </w:tc>
        <w:tc>
          <w:tcPr>
            <w:tcW w:w="229" w:type="pct"/>
            <w:shd w:val="clear" w:color="auto" w:fill="auto"/>
            <w:tcMar>
              <w:top w:w="0" w:type="dxa"/>
              <w:left w:w="0" w:type="dxa"/>
              <w:bottom w:w="0" w:type="dxa"/>
              <w:right w:w="0" w:type="dxa"/>
            </w:tcMar>
            <w:vAlign w:val="center"/>
          </w:tcPr>
          <w:p w14:paraId="5154C80B">
            <w:pPr>
              <w:pStyle w:val="17"/>
              <w:bidi w:val="0"/>
              <w:rPr>
                <w:color w:val="auto"/>
                <w:highlight w:val="none"/>
              </w:rPr>
            </w:pPr>
            <w:r>
              <w:rPr>
                <w:color w:val="auto"/>
                <w:highlight w:val="none"/>
              </w:rPr>
              <w:t>55.0</w:t>
            </w:r>
          </w:p>
        </w:tc>
        <w:tc>
          <w:tcPr>
            <w:tcW w:w="270" w:type="pct"/>
            <w:shd w:val="clear" w:color="auto" w:fill="auto"/>
            <w:tcMar>
              <w:top w:w="0" w:type="dxa"/>
              <w:left w:w="0" w:type="dxa"/>
              <w:bottom w:w="0" w:type="dxa"/>
              <w:right w:w="0" w:type="dxa"/>
            </w:tcMar>
            <w:vAlign w:val="center"/>
          </w:tcPr>
          <w:p w14:paraId="013B64F7">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29CDC5F8">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3A7F84B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45.0</w:t>
            </w:r>
          </w:p>
        </w:tc>
        <w:tc>
          <w:tcPr>
            <w:tcW w:w="258" w:type="pct"/>
            <w:shd w:val="clear" w:color="auto" w:fill="auto"/>
            <w:tcMar>
              <w:top w:w="0" w:type="dxa"/>
              <w:left w:w="0" w:type="dxa"/>
              <w:bottom w:w="0" w:type="dxa"/>
              <w:right w:w="0" w:type="dxa"/>
            </w:tcMar>
            <w:vAlign w:val="center"/>
          </w:tcPr>
          <w:p w14:paraId="1B87AEE3">
            <w:pPr>
              <w:pStyle w:val="17"/>
              <w:bidi w:val="0"/>
              <w:ind w:firstLine="0" w:firstLineChars="0"/>
              <w:rPr>
                <w:color w:val="auto"/>
                <w:highlight w:val="none"/>
              </w:rPr>
            </w:pPr>
            <w:r>
              <w:rPr>
                <w:rFonts w:hint="eastAsia"/>
                <w:color w:val="auto"/>
                <w:highlight w:val="none"/>
                <w:lang w:val="en-US" w:eastAsia="zh-CN"/>
              </w:rPr>
              <w:t>1</w:t>
            </w:r>
          </w:p>
        </w:tc>
      </w:tr>
      <w:tr w14:paraId="6412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D00A2C0">
            <w:pPr>
              <w:pStyle w:val="17"/>
              <w:bidi w:val="0"/>
              <w:rPr>
                <w:color w:val="auto"/>
                <w:highlight w:val="none"/>
              </w:rPr>
            </w:pPr>
            <w:r>
              <w:rPr>
                <w:color w:val="auto"/>
                <w:highlight w:val="none"/>
              </w:rPr>
              <w:t>9</w:t>
            </w:r>
          </w:p>
        </w:tc>
        <w:tc>
          <w:tcPr>
            <w:tcW w:w="234" w:type="pct"/>
            <w:shd w:val="clear" w:color="auto" w:fill="auto"/>
            <w:tcMar>
              <w:top w:w="0" w:type="dxa"/>
              <w:left w:w="0" w:type="dxa"/>
              <w:bottom w:w="0" w:type="dxa"/>
              <w:right w:w="0" w:type="dxa"/>
            </w:tcMar>
            <w:vAlign w:val="center"/>
          </w:tcPr>
          <w:p w14:paraId="40ACB4DD">
            <w:pPr>
              <w:pStyle w:val="17"/>
              <w:bidi w:val="0"/>
              <w:rPr>
                <w:color w:val="auto"/>
                <w:highlight w:val="none"/>
              </w:rPr>
            </w:pPr>
            <w:r>
              <w:rPr>
                <w:color w:val="auto"/>
                <w:highlight w:val="none"/>
              </w:rPr>
              <w:t>中细碎厂房</w:t>
            </w:r>
          </w:p>
        </w:tc>
        <w:tc>
          <w:tcPr>
            <w:tcW w:w="478" w:type="pct"/>
            <w:shd w:val="clear" w:color="auto" w:fill="auto"/>
            <w:tcMar>
              <w:top w:w="0" w:type="dxa"/>
              <w:left w:w="0" w:type="dxa"/>
              <w:bottom w:w="0" w:type="dxa"/>
              <w:right w:w="0" w:type="dxa"/>
            </w:tcMar>
            <w:vAlign w:val="center"/>
          </w:tcPr>
          <w:p w14:paraId="151B58CF">
            <w:pPr>
              <w:pStyle w:val="17"/>
              <w:bidi w:val="0"/>
              <w:rPr>
                <w:color w:val="auto"/>
                <w:highlight w:val="none"/>
              </w:rPr>
            </w:pPr>
            <w:r>
              <w:rPr>
                <w:color w:val="auto"/>
                <w:highlight w:val="none"/>
              </w:rPr>
              <w:t>电动双梁吊钩桥式起重机</w:t>
            </w:r>
          </w:p>
        </w:tc>
        <w:tc>
          <w:tcPr>
            <w:tcW w:w="388" w:type="pct"/>
            <w:shd w:val="clear" w:color="auto" w:fill="auto"/>
            <w:tcMar>
              <w:top w:w="0" w:type="dxa"/>
              <w:left w:w="0" w:type="dxa"/>
              <w:bottom w:w="0" w:type="dxa"/>
              <w:right w:w="0" w:type="dxa"/>
            </w:tcMar>
            <w:vAlign w:val="center"/>
          </w:tcPr>
          <w:p w14:paraId="01CE2C46">
            <w:pPr>
              <w:pStyle w:val="17"/>
              <w:bidi w:val="0"/>
              <w:rPr>
                <w:color w:val="auto"/>
                <w:highlight w:val="none"/>
              </w:rPr>
            </w:pPr>
            <w:r>
              <w:rPr>
                <w:color w:val="auto"/>
                <w:highlight w:val="none"/>
              </w:rPr>
              <w:t>65</w:t>
            </w:r>
          </w:p>
        </w:tc>
        <w:tc>
          <w:tcPr>
            <w:tcW w:w="329" w:type="pct"/>
            <w:vMerge w:val="continue"/>
            <w:shd w:val="clear" w:color="auto" w:fill="auto"/>
            <w:tcMar>
              <w:top w:w="0" w:type="dxa"/>
              <w:left w:w="0" w:type="dxa"/>
              <w:bottom w:w="0" w:type="dxa"/>
              <w:right w:w="0" w:type="dxa"/>
            </w:tcMar>
            <w:vAlign w:val="center"/>
          </w:tcPr>
          <w:p w14:paraId="2EB6945A">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0E58CCBE">
            <w:pPr>
              <w:pStyle w:val="17"/>
              <w:bidi w:val="0"/>
              <w:rPr>
                <w:color w:val="auto"/>
                <w:highlight w:val="none"/>
              </w:rPr>
            </w:pPr>
            <w:r>
              <w:rPr>
                <w:color w:val="auto"/>
                <w:highlight w:val="none"/>
              </w:rPr>
              <w:t>260.1</w:t>
            </w:r>
          </w:p>
        </w:tc>
        <w:tc>
          <w:tcPr>
            <w:tcW w:w="206" w:type="pct"/>
            <w:shd w:val="clear" w:color="auto" w:fill="auto"/>
            <w:tcMar>
              <w:top w:w="0" w:type="dxa"/>
              <w:left w:w="0" w:type="dxa"/>
              <w:bottom w:w="0" w:type="dxa"/>
              <w:right w:w="0" w:type="dxa"/>
            </w:tcMar>
            <w:vAlign w:val="center"/>
          </w:tcPr>
          <w:p w14:paraId="43E9ED45">
            <w:pPr>
              <w:pStyle w:val="17"/>
              <w:bidi w:val="0"/>
              <w:rPr>
                <w:color w:val="auto"/>
                <w:highlight w:val="none"/>
              </w:rPr>
            </w:pPr>
            <w:r>
              <w:rPr>
                <w:color w:val="auto"/>
                <w:highlight w:val="none"/>
              </w:rPr>
              <w:t>-696.1</w:t>
            </w:r>
          </w:p>
        </w:tc>
        <w:tc>
          <w:tcPr>
            <w:tcW w:w="194" w:type="pct"/>
            <w:shd w:val="clear" w:color="auto" w:fill="auto"/>
            <w:tcMar>
              <w:top w:w="0" w:type="dxa"/>
              <w:left w:w="0" w:type="dxa"/>
              <w:bottom w:w="0" w:type="dxa"/>
              <w:right w:w="0" w:type="dxa"/>
            </w:tcMar>
            <w:vAlign w:val="center"/>
          </w:tcPr>
          <w:p w14:paraId="6BBD8396">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7A80E9D6">
            <w:pPr>
              <w:pStyle w:val="17"/>
              <w:bidi w:val="0"/>
              <w:rPr>
                <w:color w:val="auto"/>
                <w:highlight w:val="none"/>
              </w:rPr>
            </w:pPr>
            <w:r>
              <w:rPr>
                <w:color w:val="auto"/>
                <w:highlight w:val="none"/>
              </w:rPr>
              <w:t>92.0</w:t>
            </w:r>
          </w:p>
        </w:tc>
        <w:tc>
          <w:tcPr>
            <w:tcW w:w="205" w:type="pct"/>
            <w:shd w:val="clear" w:color="auto" w:fill="auto"/>
            <w:tcMar>
              <w:top w:w="0" w:type="dxa"/>
              <w:left w:w="0" w:type="dxa"/>
              <w:bottom w:w="0" w:type="dxa"/>
              <w:right w:w="0" w:type="dxa"/>
            </w:tcMar>
            <w:vAlign w:val="center"/>
          </w:tcPr>
          <w:p w14:paraId="4D1584BF">
            <w:pPr>
              <w:pStyle w:val="17"/>
              <w:bidi w:val="0"/>
              <w:rPr>
                <w:color w:val="auto"/>
                <w:highlight w:val="none"/>
              </w:rPr>
            </w:pPr>
            <w:r>
              <w:rPr>
                <w:color w:val="auto"/>
                <w:highlight w:val="none"/>
              </w:rPr>
              <w:t>21.9</w:t>
            </w:r>
          </w:p>
        </w:tc>
        <w:tc>
          <w:tcPr>
            <w:tcW w:w="235" w:type="pct"/>
            <w:shd w:val="clear" w:color="auto" w:fill="auto"/>
            <w:tcMar>
              <w:top w:w="0" w:type="dxa"/>
              <w:left w:w="0" w:type="dxa"/>
              <w:bottom w:w="0" w:type="dxa"/>
              <w:right w:w="0" w:type="dxa"/>
            </w:tcMar>
            <w:vAlign w:val="center"/>
          </w:tcPr>
          <w:p w14:paraId="7A602F50">
            <w:pPr>
              <w:pStyle w:val="17"/>
              <w:bidi w:val="0"/>
              <w:rPr>
                <w:color w:val="auto"/>
                <w:highlight w:val="none"/>
              </w:rPr>
            </w:pPr>
            <w:r>
              <w:rPr>
                <w:color w:val="auto"/>
                <w:highlight w:val="none"/>
              </w:rPr>
              <w:t>20.1</w:t>
            </w:r>
          </w:p>
        </w:tc>
        <w:tc>
          <w:tcPr>
            <w:tcW w:w="200" w:type="pct"/>
            <w:shd w:val="clear" w:color="auto" w:fill="auto"/>
            <w:tcMar>
              <w:top w:w="0" w:type="dxa"/>
              <w:left w:w="0" w:type="dxa"/>
              <w:bottom w:w="0" w:type="dxa"/>
              <w:right w:w="0" w:type="dxa"/>
            </w:tcMar>
            <w:vAlign w:val="center"/>
          </w:tcPr>
          <w:p w14:paraId="2DFBD16A">
            <w:pPr>
              <w:pStyle w:val="17"/>
              <w:bidi w:val="0"/>
              <w:rPr>
                <w:color w:val="auto"/>
                <w:highlight w:val="none"/>
              </w:rPr>
            </w:pPr>
            <w:r>
              <w:rPr>
                <w:color w:val="auto"/>
                <w:highlight w:val="none"/>
              </w:rPr>
              <w:t>30.4</w:t>
            </w:r>
          </w:p>
        </w:tc>
        <w:tc>
          <w:tcPr>
            <w:tcW w:w="188" w:type="pct"/>
            <w:shd w:val="clear" w:color="auto" w:fill="auto"/>
            <w:tcMar>
              <w:top w:w="0" w:type="dxa"/>
              <w:left w:w="0" w:type="dxa"/>
              <w:bottom w:w="0" w:type="dxa"/>
              <w:right w:w="0" w:type="dxa"/>
            </w:tcMar>
            <w:vAlign w:val="center"/>
          </w:tcPr>
          <w:p w14:paraId="79575C01">
            <w:pPr>
              <w:pStyle w:val="17"/>
              <w:bidi w:val="0"/>
              <w:rPr>
                <w:color w:val="auto"/>
                <w:highlight w:val="none"/>
              </w:rPr>
            </w:pPr>
            <w:r>
              <w:rPr>
                <w:color w:val="auto"/>
                <w:highlight w:val="none"/>
              </w:rPr>
              <w:t>47.0</w:t>
            </w:r>
          </w:p>
        </w:tc>
        <w:tc>
          <w:tcPr>
            <w:tcW w:w="211" w:type="pct"/>
            <w:shd w:val="clear" w:color="auto" w:fill="auto"/>
            <w:tcMar>
              <w:top w:w="0" w:type="dxa"/>
              <w:left w:w="0" w:type="dxa"/>
              <w:bottom w:w="0" w:type="dxa"/>
              <w:right w:w="0" w:type="dxa"/>
            </w:tcMar>
            <w:vAlign w:val="center"/>
          </w:tcPr>
          <w:p w14:paraId="5BC48D2A">
            <w:pPr>
              <w:pStyle w:val="17"/>
              <w:bidi w:val="0"/>
              <w:rPr>
                <w:color w:val="auto"/>
                <w:highlight w:val="none"/>
              </w:rPr>
            </w:pPr>
            <w:r>
              <w:rPr>
                <w:color w:val="auto"/>
                <w:highlight w:val="none"/>
              </w:rPr>
              <w:t>47.0</w:t>
            </w:r>
          </w:p>
        </w:tc>
        <w:tc>
          <w:tcPr>
            <w:tcW w:w="182" w:type="pct"/>
            <w:shd w:val="clear" w:color="auto" w:fill="auto"/>
            <w:tcMar>
              <w:top w:w="0" w:type="dxa"/>
              <w:left w:w="0" w:type="dxa"/>
              <w:bottom w:w="0" w:type="dxa"/>
              <w:right w:w="0" w:type="dxa"/>
            </w:tcMar>
            <w:vAlign w:val="center"/>
          </w:tcPr>
          <w:p w14:paraId="5C3C57D7">
            <w:pPr>
              <w:pStyle w:val="17"/>
              <w:bidi w:val="0"/>
              <w:rPr>
                <w:color w:val="auto"/>
                <w:highlight w:val="none"/>
              </w:rPr>
            </w:pPr>
            <w:r>
              <w:rPr>
                <w:color w:val="auto"/>
                <w:highlight w:val="none"/>
              </w:rPr>
              <w:t>47.1</w:t>
            </w:r>
          </w:p>
        </w:tc>
        <w:tc>
          <w:tcPr>
            <w:tcW w:w="229" w:type="pct"/>
            <w:shd w:val="clear" w:color="auto" w:fill="auto"/>
            <w:tcMar>
              <w:top w:w="0" w:type="dxa"/>
              <w:left w:w="0" w:type="dxa"/>
              <w:bottom w:w="0" w:type="dxa"/>
              <w:right w:w="0" w:type="dxa"/>
            </w:tcMar>
            <w:vAlign w:val="center"/>
          </w:tcPr>
          <w:p w14:paraId="3E3E8C1E">
            <w:pPr>
              <w:pStyle w:val="17"/>
              <w:bidi w:val="0"/>
              <w:rPr>
                <w:color w:val="auto"/>
                <w:highlight w:val="none"/>
              </w:rPr>
            </w:pPr>
            <w:r>
              <w:rPr>
                <w:color w:val="auto"/>
                <w:highlight w:val="none"/>
              </w:rPr>
              <w:t>47.0</w:t>
            </w:r>
          </w:p>
        </w:tc>
        <w:tc>
          <w:tcPr>
            <w:tcW w:w="270" w:type="pct"/>
            <w:shd w:val="clear" w:color="auto" w:fill="auto"/>
            <w:tcMar>
              <w:top w:w="0" w:type="dxa"/>
              <w:left w:w="0" w:type="dxa"/>
              <w:bottom w:w="0" w:type="dxa"/>
              <w:right w:w="0" w:type="dxa"/>
            </w:tcMar>
            <w:vAlign w:val="center"/>
          </w:tcPr>
          <w:p w14:paraId="641EEBCF">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19CE7626">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5631A65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37.0</w:t>
            </w:r>
          </w:p>
        </w:tc>
        <w:tc>
          <w:tcPr>
            <w:tcW w:w="258" w:type="pct"/>
            <w:shd w:val="clear" w:color="auto" w:fill="auto"/>
            <w:tcMar>
              <w:top w:w="0" w:type="dxa"/>
              <w:left w:w="0" w:type="dxa"/>
              <w:bottom w:w="0" w:type="dxa"/>
              <w:right w:w="0" w:type="dxa"/>
            </w:tcMar>
            <w:vAlign w:val="center"/>
          </w:tcPr>
          <w:p w14:paraId="55BFEC6F">
            <w:pPr>
              <w:pStyle w:val="17"/>
              <w:bidi w:val="0"/>
              <w:ind w:firstLine="0" w:firstLineChars="0"/>
              <w:rPr>
                <w:color w:val="auto"/>
                <w:highlight w:val="none"/>
              </w:rPr>
            </w:pPr>
            <w:r>
              <w:rPr>
                <w:rFonts w:hint="eastAsia"/>
                <w:color w:val="auto"/>
                <w:highlight w:val="none"/>
                <w:lang w:val="en-US" w:eastAsia="zh-CN"/>
              </w:rPr>
              <w:t>1</w:t>
            </w:r>
          </w:p>
        </w:tc>
      </w:tr>
      <w:tr w14:paraId="2927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45022CB7">
            <w:pPr>
              <w:pStyle w:val="17"/>
              <w:bidi w:val="0"/>
              <w:rPr>
                <w:color w:val="auto"/>
                <w:highlight w:val="none"/>
              </w:rPr>
            </w:pPr>
            <w:r>
              <w:rPr>
                <w:color w:val="auto"/>
                <w:highlight w:val="none"/>
              </w:rPr>
              <w:t>10</w:t>
            </w:r>
          </w:p>
        </w:tc>
        <w:tc>
          <w:tcPr>
            <w:tcW w:w="234" w:type="pct"/>
            <w:shd w:val="clear" w:color="auto" w:fill="auto"/>
            <w:tcMar>
              <w:top w:w="0" w:type="dxa"/>
              <w:left w:w="0" w:type="dxa"/>
              <w:bottom w:w="0" w:type="dxa"/>
              <w:right w:w="0" w:type="dxa"/>
            </w:tcMar>
            <w:vAlign w:val="center"/>
          </w:tcPr>
          <w:p w14:paraId="7F83E366">
            <w:pPr>
              <w:pStyle w:val="17"/>
              <w:bidi w:val="0"/>
              <w:rPr>
                <w:color w:val="auto"/>
                <w:highlight w:val="none"/>
              </w:rPr>
            </w:pPr>
            <w:r>
              <w:rPr>
                <w:color w:val="auto"/>
                <w:highlight w:val="none"/>
              </w:rPr>
              <w:t>中细碎厂房</w:t>
            </w:r>
          </w:p>
        </w:tc>
        <w:tc>
          <w:tcPr>
            <w:tcW w:w="478" w:type="pct"/>
            <w:shd w:val="clear" w:color="auto" w:fill="auto"/>
            <w:tcMar>
              <w:top w:w="0" w:type="dxa"/>
              <w:left w:w="0" w:type="dxa"/>
              <w:bottom w:w="0" w:type="dxa"/>
              <w:right w:w="0" w:type="dxa"/>
            </w:tcMar>
            <w:vAlign w:val="center"/>
          </w:tcPr>
          <w:p w14:paraId="1321CE59">
            <w:pPr>
              <w:pStyle w:val="17"/>
              <w:bidi w:val="0"/>
              <w:rPr>
                <w:color w:val="auto"/>
                <w:highlight w:val="none"/>
              </w:rPr>
            </w:pPr>
            <w:r>
              <w:rPr>
                <w:color w:val="auto"/>
                <w:highlight w:val="none"/>
              </w:rPr>
              <w:t>液下泵,2台（按点声源组预测）</w:t>
            </w:r>
          </w:p>
        </w:tc>
        <w:tc>
          <w:tcPr>
            <w:tcW w:w="388" w:type="pct"/>
            <w:shd w:val="clear" w:color="auto" w:fill="auto"/>
            <w:tcMar>
              <w:top w:w="0" w:type="dxa"/>
              <w:left w:w="0" w:type="dxa"/>
              <w:bottom w:w="0" w:type="dxa"/>
              <w:right w:w="0" w:type="dxa"/>
            </w:tcMar>
            <w:vAlign w:val="center"/>
          </w:tcPr>
          <w:p w14:paraId="7B62CC94">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2928C68C">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A35B086">
            <w:pPr>
              <w:pStyle w:val="17"/>
              <w:bidi w:val="0"/>
              <w:rPr>
                <w:color w:val="auto"/>
                <w:highlight w:val="none"/>
              </w:rPr>
            </w:pPr>
            <w:r>
              <w:rPr>
                <w:color w:val="auto"/>
                <w:highlight w:val="none"/>
              </w:rPr>
              <w:t>295.6</w:t>
            </w:r>
          </w:p>
        </w:tc>
        <w:tc>
          <w:tcPr>
            <w:tcW w:w="206" w:type="pct"/>
            <w:shd w:val="clear" w:color="auto" w:fill="auto"/>
            <w:tcMar>
              <w:top w:w="0" w:type="dxa"/>
              <w:left w:w="0" w:type="dxa"/>
              <w:bottom w:w="0" w:type="dxa"/>
              <w:right w:w="0" w:type="dxa"/>
            </w:tcMar>
            <w:vAlign w:val="center"/>
          </w:tcPr>
          <w:p w14:paraId="12C9ACCE">
            <w:pPr>
              <w:pStyle w:val="17"/>
              <w:bidi w:val="0"/>
              <w:rPr>
                <w:color w:val="auto"/>
                <w:highlight w:val="none"/>
              </w:rPr>
            </w:pPr>
            <w:r>
              <w:rPr>
                <w:color w:val="auto"/>
                <w:highlight w:val="none"/>
              </w:rPr>
              <w:t>-684.9</w:t>
            </w:r>
          </w:p>
        </w:tc>
        <w:tc>
          <w:tcPr>
            <w:tcW w:w="194" w:type="pct"/>
            <w:shd w:val="clear" w:color="auto" w:fill="auto"/>
            <w:tcMar>
              <w:top w:w="0" w:type="dxa"/>
              <w:left w:w="0" w:type="dxa"/>
              <w:bottom w:w="0" w:type="dxa"/>
              <w:right w:w="0" w:type="dxa"/>
            </w:tcMar>
            <w:vAlign w:val="center"/>
          </w:tcPr>
          <w:p w14:paraId="0B867E1D">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46A067DD">
            <w:pPr>
              <w:pStyle w:val="17"/>
              <w:bidi w:val="0"/>
              <w:rPr>
                <w:color w:val="auto"/>
                <w:highlight w:val="none"/>
              </w:rPr>
            </w:pPr>
            <w:r>
              <w:rPr>
                <w:color w:val="auto"/>
                <w:highlight w:val="none"/>
              </w:rPr>
              <w:t>55.3</w:t>
            </w:r>
          </w:p>
        </w:tc>
        <w:tc>
          <w:tcPr>
            <w:tcW w:w="205" w:type="pct"/>
            <w:shd w:val="clear" w:color="auto" w:fill="auto"/>
            <w:tcMar>
              <w:top w:w="0" w:type="dxa"/>
              <w:left w:w="0" w:type="dxa"/>
              <w:bottom w:w="0" w:type="dxa"/>
              <w:right w:w="0" w:type="dxa"/>
            </w:tcMar>
            <w:vAlign w:val="center"/>
          </w:tcPr>
          <w:p w14:paraId="62D37ADC">
            <w:pPr>
              <w:pStyle w:val="17"/>
              <w:bidi w:val="0"/>
              <w:rPr>
                <w:color w:val="auto"/>
                <w:highlight w:val="none"/>
              </w:rPr>
            </w:pPr>
            <w:r>
              <w:rPr>
                <w:color w:val="auto"/>
                <w:highlight w:val="none"/>
              </w:rPr>
              <w:t>16.3</w:t>
            </w:r>
          </w:p>
        </w:tc>
        <w:tc>
          <w:tcPr>
            <w:tcW w:w="235" w:type="pct"/>
            <w:shd w:val="clear" w:color="auto" w:fill="auto"/>
            <w:tcMar>
              <w:top w:w="0" w:type="dxa"/>
              <w:left w:w="0" w:type="dxa"/>
              <w:bottom w:w="0" w:type="dxa"/>
              <w:right w:w="0" w:type="dxa"/>
            </w:tcMar>
            <w:vAlign w:val="center"/>
          </w:tcPr>
          <w:p w14:paraId="7E3DE4D9">
            <w:pPr>
              <w:pStyle w:val="17"/>
              <w:bidi w:val="0"/>
              <w:rPr>
                <w:color w:val="auto"/>
                <w:highlight w:val="none"/>
              </w:rPr>
            </w:pPr>
            <w:r>
              <w:rPr>
                <w:color w:val="auto"/>
                <w:highlight w:val="none"/>
              </w:rPr>
              <w:t>56.9</w:t>
            </w:r>
          </w:p>
        </w:tc>
        <w:tc>
          <w:tcPr>
            <w:tcW w:w="200" w:type="pct"/>
            <w:shd w:val="clear" w:color="auto" w:fill="auto"/>
            <w:tcMar>
              <w:top w:w="0" w:type="dxa"/>
              <w:left w:w="0" w:type="dxa"/>
              <w:bottom w:w="0" w:type="dxa"/>
              <w:right w:w="0" w:type="dxa"/>
            </w:tcMar>
            <w:vAlign w:val="center"/>
          </w:tcPr>
          <w:p w14:paraId="4C17615B">
            <w:pPr>
              <w:pStyle w:val="17"/>
              <w:bidi w:val="0"/>
              <w:rPr>
                <w:color w:val="auto"/>
                <w:highlight w:val="none"/>
              </w:rPr>
            </w:pPr>
            <w:r>
              <w:rPr>
                <w:color w:val="auto"/>
                <w:highlight w:val="none"/>
              </w:rPr>
              <w:t>36.0</w:t>
            </w:r>
          </w:p>
        </w:tc>
        <w:tc>
          <w:tcPr>
            <w:tcW w:w="188" w:type="pct"/>
            <w:shd w:val="clear" w:color="auto" w:fill="auto"/>
            <w:tcMar>
              <w:top w:w="0" w:type="dxa"/>
              <w:left w:w="0" w:type="dxa"/>
              <w:bottom w:w="0" w:type="dxa"/>
              <w:right w:w="0" w:type="dxa"/>
            </w:tcMar>
            <w:vAlign w:val="center"/>
          </w:tcPr>
          <w:p w14:paraId="7E50AE2A">
            <w:pPr>
              <w:pStyle w:val="17"/>
              <w:bidi w:val="0"/>
              <w:rPr>
                <w:color w:val="auto"/>
                <w:highlight w:val="none"/>
              </w:rPr>
            </w:pPr>
            <w:r>
              <w:rPr>
                <w:color w:val="auto"/>
                <w:highlight w:val="none"/>
              </w:rPr>
              <w:t>60.0</w:t>
            </w:r>
          </w:p>
        </w:tc>
        <w:tc>
          <w:tcPr>
            <w:tcW w:w="211" w:type="pct"/>
            <w:shd w:val="clear" w:color="auto" w:fill="auto"/>
            <w:tcMar>
              <w:top w:w="0" w:type="dxa"/>
              <w:left w:w="0" w:type="dxa"/>
              <w:bottom w:w="0" w:type="dxa"/>
              <w:right w:w="0" w:type="dxa"/>
            </w:tcMar>
            <w:vAlign w:val="center"/>
          </w:tcPr>
          <w:p w14:paraId="0CAA297E">
            <w:pPr>
              <w:pStyle w:val="17"/>
              <w:bidi w:val="0"/>
              <w:rPr>
                <w:color w:val="auto"/>
                <w:highlight w:val="none"/>
              </w:rPr>
            </w:pPr>
            <w:r>
              <w:rPr>
                <w:color w:val="auto"/>
                <w:highlight w:val="none"/>
              </w:rPr>
              <w:t>60.1</w:t>
            </w:r>
          </w:p>
        </w:tc>
        <w:tc>
          <w:tcPr>
            <w:tcW w:w="182" w:type="pct"/>
            <w:shd w:val="clear" w:color="auto" w:fill="auto"/>
            <w:tcMar>
              <w:top w:w="0" w:type="dxa"/>
              <w:left w:w="0" w:type="dxa"/>
              <w:bottom w:w="0" w:type="dxa"/>
              <w:right w:w="0" w:type="dxa"/>
            </w:tcMar>
            <w:vAlign w:val="center"/>
          </w:tcPr>
          <w:p w14:paraId="1EB6F52E">
            <w:pPr>
              <w:pStyle w:val="17"/>
              <w:bidi w:val="0"/>
              <w:rPr>
                <w:color w:val="auto"/>
                <w:highlight w:val="none"/>
              </w:rPr>
            </w:pPr>
            <w:r>
              <w:rPr>
                <w:color w:val="auto"/>
                <w:highlight w:val="none"/>
              </w:rPr>
              <w:t>60.0</w:t>
            </w:r>
          </w:p>
        </w:tc>
        <w:tc>
          <w:tcPr>
            <w:tcW w:w="229" w:type="pct"/>
            <w:shd w:val="clear" w:color="auto" w:fill="auto"/>
            <w:tcMar>
              <w:top w:w="0" w:type="dxa"/>
              <w:left w:w="0" w:type="dxa"/>
              <w:bottom w:w="0" w:type="dxa"/>
              <w:right w:w="0" w:type="dxa"/>
            </w:tcMar>
            <w:vAlign w:val="center"/>
          </w:tcPr>
          <w:p w14:paraId="75BC6606">
            <w:pPr>
              <w:pStyle w:val="17"/>
              <w:bidi w:val="0"/>
              <w:rPr>
                <w:color w:val="auto"/>
                <w:highlight w:val="none"/>
              </w:rPr>
            </w:pPr>
            <w:r>
              <w:rPr>
                <w:color w:val="auto"/>
                <w:highlight w:val="none"/>
              </w:rPr>
              <w:t>60.0</w:t>
            </w:r>
          </w:p>
        </w:tc>
        <w:tc>
          <w:tcPr>
            <w:tcW w:w="270" w:type="pct"/>
            <w:shd w:val="clear" w:color="auto" w:fill="auto"/>
            <w:tcMar>
              <w:top w:w="0" w:type="dxa"/>
              <w:left w:w="0" w:type="dxa"/>
              <w:bottom w:w="0" w:type="dxa"/>
              <w:right w:w="0" w:type="dxa"/>
            </w:tcMar>
            <w:vAlign w:val="center"/>
          </w:tcPr>
          <w:p w14:paraId="03FA2006">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E28FB07">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4F7A445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50.0</w:t>
            </w:r>
          </w:p>
        </w:tc>
        <w:tc>
          <w:tcPr>
            <w:tcW w:w="258" w:type="pct"/>
            <w:shd w:val="clear" w:color="auto" w:fill="auto"/>
            <w:tcMar>
              <w:top w:w="0" w:type="dxa"/>
              <w:left w:w="0" w:type="dxa"/>
              <w:bottom w:w="0" w:type="dxa"/>
              <w:right w:w="0" w:type="dxa"/>
            </w:tcMar>
            <w:vAlign w:val="center"/>
          </w:tcPr>
          <w:p w14:paraId="6B2BCDB5">
            <w:pPr>
              <w:pStyle w:val="17"/>
              <w:bidi w:val="0"/>
              <w:ind w:firstLine="0" w:firstLineChars="0"/>
              <w:rPr>
                <w:color w:val="auto"/>
                <w:highlight w:val="none"/>
              </w:rPr>
            </w:pPr>
            <w:r>
              <w:rPr>
                <w:rFonts w:hint="eastAsia"/>
                <w:color w:val="auto"/>
                <w:highlight w:val="none"/>
                <w:lang w:val="en-US" w:eastAsia="zh-CN"/>
              </w:rPr>
              <w:t>1</w:t>
            </w:r>
          </w:p>
        </w:tc>
      </w:tr>
      <w:tr w14:paraId="39ED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E19344C">
            <w:pPr>
              <w:pStyle w:val="17"/>
              <w:bidi w:val="0"/>
              <w:rPr>
                <w:color w:val="auto"/>
                <w:highlight w:val="none"/>
              </w:rPr>
            </w:pPr>
            <w:r>
              <w:rPr>
                <w:color w:val="auto"/>
                <w:highlight w:val="none"/>
              </w:rPr>
              <w:t>11</w:t>
            </w:r>
          </w:p>
        </w:tc>
        <w:tc>
          <w:tcPr>
            <w:tcW w:w="234" w:type="pct"/>
            <w:shd w:val="clear" w:color="auto" w:fill="auto"/>
            <w:tcMar>
              <w:top w:w="0" w:type="dxa"/>
              <w:left w:w="0" w:type="dxa"/>
              <w:bottom w:w="0" w:type="dxa"/>
              <w:right w:w="0" w:type="dxa"/>
            </w:tcMar>
            <w:vAlign w:val="center"/>
          </w:tcPr>
          <w:p w14:paraId="6C614A75">
            <w:pPr>
              <w:pStyle w:val="17"/>
              <w:bidi w:val="0"/>
              <w:rPr>
                <w:color w:val="auto"/>
                <w:highlight w:val="none"/>
              </w:rPr>
            </w:pPr>
            <w:r>
              <w:rPr>
                <w:color w:val="auto"/>
                <w:highlight w:val="none"/>
              </w:rPr>
              <w:t>筛分厂房</w:t>
            </w:r>
          </w:p>
        </w:tc>
        <w:tc>
          <w:tcPr>
            <w:tcW w:w="478" w:type="pct"/>
            <w:shd w:val="clear" w:color="auto" w:fill="auto"/>
            <w:tcMar>
              <w:top w:w="0" w:type="dxa"/>
              <w:left w:w="0" w:type="dxa"/>
              <w:bottom w:w="0" w:type="dxa"/>
              <w:right w:w="0" w:type="dxa"/>
            </w:tcMar>
            <w:vAlign w:val="center"/>
          </w:tcPr>
          <w:p w14:paraId="0870B120">
            <w:pPr>
              <w:pStyle w:val="17"/>
              <w:bidi w:val="0"/>
              <w:rPr>
                <w:color w:val="auto"/>
                <w:highlight w:val="none"/>
              </w:rPr>
            </w:pPr>
            <w:r>
              <w:rPr>
                <w:color w:val="auto"/>
                <w:highlight w:val="none"/>
              </w:rPr>
              <w:t>双层重型振动筛,2台（按点声源组预测）</w:t>
            </w:r>
          </w:p>
        </w:tc>
        <w:tc>
          <w:tcPr>
            <w:tcW w:w="388" w:type="pct"/>
            <w:shd w:val="clear" w:color="auto" w:fill="auto"/>
            <w:tcMar>
              <w:top w:w="0" w:type="dxa"/>
              <w:left w:w="0" w:type="dxa"/>
              <w:bottom w:w="0" w:type="dxa"/>
              <w:right w:w="0" w:type="dxa"/>
            </w:tcMar>
            <w:vAlign w:val="center"/>
          </w:tcPr>
          <w:p w14:paraId="27987FEE">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34D0B5DD">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2BAC76A3">
            <w:pPr>
              <w:pStyle w:val="17"/>
              <w:bidi w:val="0"/>
              <w:rPr>
                <w:color w:val="auto"/>
                <w:highlight w:val="none"/>
              </w:rPr>
            </w:pPr>
            <w:r>
              <w:rPr>
                <w:color w:val="auto"/>
                <w:highlight w:val="none"/>
              </w:rPr>
              <w:t>191.9</w:t>
            </w:r>
          </w:p>
        </w:tc>
        <w:tc>
          <w:tcPr>
            <w:tcW w:w="206" w:type="pct"/>
            <w:shd w:val="clear" w:color="auto" w:fill="auto"/>
            <w:tcMar>
              <w:top w:w="0" w:type="dxa"/>
              <w:left w:w="0" w:type="dxa"/>
              <w:bottom w:w="0" w:type="dxa"/>
              <w:right w:w="0" w:type="dxa"/>
            </w:tcMar>
            <w:vAlign w:val="center"/>
          </w:tcPr>
          <w:p w14:paraId="0A3FA2AE">
            <w:pPr>
              <w:pStyle w:val="17"/>
              <w:bidi w:val="0"/>
              <w:rPr>
                <w:color w:val="auto"/>
                <w:highlight w:val="none"/>
              </w:rPr>
            </w:pPr>
            <w:r>
              <w:rPr>
                <w:color w:val="auto"/>
                <w:highlight w:val="none"/>
              </w:rPr>
              <w:t>-726.9</w:t>
            </w:r>
          </w:p>
        </w:tc>
        <w:tc>
          <w:tcPr>
            <w:tcW w:w="194" w:type="pct"/>
            <w:shd w:val="clear" w:color="auto" w:fill="auto"/>
            <w:tcMar>
              <w:top w:w="0" w:type="dxa"/>
              <w:left w:w="0" w:type="dxa"/>
              <w:bottom w:w="0" w:type="dxa"/>
              <w:right w:w="0" w:type="dxa"/>
            </w:tcMar>
            <w:vAlign w:val="center"/>
          </w:tcPr>
          <w:p w14:paraId="784457EA">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2FDCFD06">
            <w:pPr>
              <w:pStyle w:val="17"/>
              <w:bidi w:val="0"/>
              <w:rPr>
                <w:color w:val="auto"/>
                <w:highlight w:val="none"/>
              </w:rPr>
            </w:pPr>
            <w:r>
              <w:rPr>
                <w:color w:val="auto"/>
                <w:highlight w:val="none"/>
              </w:rPr>
              <w:t>19.8</w:t>
            </w:r>
          </w:p>
        </w:tc>
        <w:tc>
          <w:tcPr>
            <w:tcW w:w="205" w:type="pct"/>
            <w:shd w:val="clear" w:color="auto" w:fill="auto"/>
            <w:tcMar>
              <w:top w:w="0" w:type="dxa"/>
              <w:left w:w="0" w:type="dxa"/>
              <w:bottom w:w="0" w:type="dxa"/>
              <w:right w:w="0" w:type="dxa"/>
            </w:tcMar>
            <w:vAlign w:val="center"/>
          </w:tcPr>
          <w:p w14:paraId="1F1B8E6F">
            <w:pPr>
              <w:pStyle w:val="17"/>
              <w:bidi w:val="0"/>
              <w:rPr>
                <w:color w:val="auto"/>
                <w:highlight w:val="none"/>
              </w:rPr>
            </w:pPr>
            <w:r>
              <w:rPr>
                <w:color w:val="auto"/>
                <w:highlight w:val="none"/>
              </w:rPr>
              <w:t>23.2</w:t>
            </w:r>
          </w:p>
        </w:tc>
        <w:tc>
          <w:tcPr>
            <w:tcW w:w="235" w:type="pct"/>
            <w:shd w:val="clear" w:color="auto" w:fill="auto"/>
            <w:tcMar>
              <w:top w:w="0" w:type="dxa"/>
              <w:left w:w="0" w:type="dxa"/>
              <w:bottom w:w="0" w:type="dxa"/>
              <w:right w:w="0" w:type="dxa"/>
            </w:tcMar>
            <w:vAlign w:val="center"/>
          </w:tcPr>
          <w:p w14:paraId="2E836D20">
            <w:pPr>
              <w:pStyle w:val="17"/>
              <w:bidi w:val="0"/>
              <w:rPr>
                <w:color w:val="auto"/>
                <w:highlight w:val="none"/>
              </w:rPr>
            </w:pPr>
            <w:r>
              <w:rPr>
                <w:color w:val="auto"/>
                <w:highlight w:val="none"/>
              </w:rPr>
              <w:t>55.9</w:t>
            </w:r>
          </w:p>
        </w:tc>
        <w:tc>
          <w:tcPr>
            <w:tcW w:w="200" w:type="pct"/>
            <w:shd w:val="clear" w:color="auto" w:fill="auto"/>
            <w:tcMar>
              <w:top w:w="0" w:type="dxa"/>
              <w:left w:w="0" w:type="dxa"/>
              <w:bottom w:w="0" w:type="dxa"/>
              <w:right w:w="0" w:type="dxa"/>
            </w:tcMar>
            <w:vAlign w:val="center"/>
          </w:tcPr>
          <w:p w14:paraId="35F104D3">
            <w:pPr>
              <w:pStyle w:val="17"/>
              <w:bidi w:val="0"/>
              <w:rPr>
                <w:color w:val="auto"/>
                <w:highlight w:val="none"/>
              </w:rPr>
            </w:pPr>
            <w:r>
              <w:rPr>
                <w:color w:val="auto"/>
                <w:highlight w:val="none"/>
              </w:rPr>
              <w:t>17.9</w:t>
            </w:r>
          </w:p>
        </w:tc>
        <w:tc>
          <w:tcPr>
            <w:tcW w:w="188" w:type="pct"/>
            <w:shd w:val="clear" w:color="auto" w:fill="auto"/>
            <w:tcMar>
              <w:top w:w="0" w:type="dxa"/>
              <w:left w:w="0" w:type="dxa"/>
              <w:bottom w:w="0" w:type="dxa"/>
              <w:right w:w="0" w:type="dxa"/>
            </w:tcMar>
            <w:vAlign w:val="center"/>
          </w:tcPr>
          <w:p w14:paraId="3D5729D5">
            <w:pPr>
              <w:pStyle w:val="17"/>
              <w:bidi w:val="0"/>
              <w:rPr>
                <w:color w:val="auto"/>
                <w:highlight w:val="none"/>
              </w:rPr>
            </w:pPr>
            <w:r>
              <w:rPr>
                <w:color w:val="auto"/>
                <w:highlight w:val="none"/>
              </w:rPr>
              <w:t>61.5</w:t>
            </w:r>
          </w:p>
        </w:tc>
        <w:tc>
          <w:tcPr>
            <w:tcW w:w="211" w:type="pct"/>
            <w:shd w:val="clear" w:color="auto" w:fill="auto"/>
            <w:tcMar>
              <w:top w:w="0" w:type="dxa"/>
              <w:left w:w="0" w:type="dxa"/>
              <w:bottom w:w="0" w:type="dxa"/>
              <w:right w:w="0" w:type="dxa"/>
            </w:tcMar>
            <w:vAlign w:val="center"/>
          </w:tcPr>
          <w:p w14:paraId="6E41BE45">
            <w:pPr>
              <w:pStyle w:val="17"/>
              <w:bidi w:val="0"/>
              <w:rPr>
                <w:color w:val="auto"/>
                <w:highlight w:val="none"/>
              </w:rPr>
            </w:pPr>
            <w:r>
              <w:rPr>
                <w:color w:val="auto"/>
                <w:highlight w:val="none"/>
              </w:rPr>
              <w:t>61.5</w:t>
            </w:r>
          </w:p>
        </w:tc>
        <w:tc>
          <w:tcPr>
            <w:tcW w:w="182" w:type="pct"/>
            <w:shd w:val="clear" w:color="auto" w:fill="auto"/>
            <w:tcMar>
              <w:top w:w="0" w:type="dxa"/>
              <w:left w:w="0" w:type="dxa"/>
              <w:bottom w:w="0" w:type="dxa"/>
              <w:right w:w="0" w:type="dxa"/>
            </w:tcMar>
            <w:vAlign w:val="center"/>
          </w:tcPr>
          <w:p w14:paraId="2269BAFE">
            <w:pPr>
              <w:pStyle w:val="17"/>
              <w:bidi w:val="0"/>
              <w:rPr>
                <w:color w:val="auto"/>
                <w:highlight w:val="none"/>
              </w:rPr>
            </w:pPr>
            <w:r>
              <w:rPr>
                <w:color w:val="auto"/>
                <w:highlight w:val="none"/>
              </w:rPr>
              <w:t>61.5</w:t>
            </w:r>
          </w:p>
        </w:tc>
        <w:tc>
          <w:tcPr>
            <w:tcW w:w="229" w:type="pct"/>
            <w:shd w:val="clear" w:color="auto" w:fill="auto"/>
            <w:tcMar>
              <w:top w:w="0" w:type="dxa"/>
              <w:left w:w="0" w:type="dxa"/>
              <w:bottom w:w="0" w:type="dxa"/>
              <w:right w:w="0" w:type="dxa"/>
            </w:tcMar>
            <w:vAlign w:val="center"/>
          </w:tcPr>
          <w:p w14:paraId="14658DDE">
            <w:pPr>
              <w:pStyle w:val="17"/>
              <w:bidi w:val="0"/>
              <w:rPr>
                <w:color w:val="auto"/>
                <w:highlight w:val="none"/>
              </w:rPr>
            </w:pPr>
            <w:r>
              <w:rPr>
                <w:color w:val="auto"/>
                <w:highlight w:val="none"/>
              </w:rPr>
              <w:t>61.5</w:t>
            </w:r>
          </w:p>
        </w:tc>
        <w:tc>
          <w:tcPr>
            <w:tcW w:w="270" w:type="pct"/>
            <w:shd w:val="clear" w:color="auto" w:fill="auto"/>
            <w:tcMar>
              <w:top w:w="0" w:type="dxa"/>
              <w:left w:w="0" w:type="dxa"/>
              <w:bottom w:w="0" w:type="dxa"/>
              <w:right w:w="0" w:type="dxa"/>
            </w:tcMar>
            <w:vAlign w:val="center"/>
          </w:tcPr>
          <w:p w14:paraId="733D0778">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07BBFAD0">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7324CC4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51.5</w:t>
            </w:r>
          </w:p>
        </w:tc>
        <w:tc>
          <w:tcPr>
            <w:tcW w:w="258" w:type="pct"/>
            <w:shd w:val="clear" w:color="auto" w:fill="auto"/>
            <w:tcMar>
              <w:top w:w="0" w:type="dxa"/>
              <w:left w:w="0" w:type="dxa"/>
              <w:bottom w:w="0" w:type="dxa"/>
              <w:right w:w="0" w:type="dxa"/>
            </w:tcMar>
            <w:vAlign w:val="center"/>
          </w:tcPr>
          <w:p w14:paraId="36DA6675">
            <w:pPr>
              <w:pStyle w:val="17"/>
              <w:bidi w:val="0"/>
              <w:ind w:firstLine="0" w:firstLineChars="0"/>
              <w:rPr>
                <w:color w:val="auto"/>
                <w:highlight w:val="none"/>
              </w:rPr>
            </w:pPr>
            <w:r>
              <w:rPr>
                <w:rFonts w:hint="eastAsia"/>
                <w:color w:val="auto"/>
                <w:highlight w:val="none"/>
                <w:lang w:val="en-US" w:eastAsia="zh-CN"/>
              </w:rPr>
              <w:t>1</w:t>
            </w:r>
          </w:p>
        </w:tc>
      </w:tr>
      <w:tr w14:paraId="64B1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4EBCEE22">
            <w:pPr>
              <w:pStyle w:val="17"/>
              <w:bidi w:val="0"/>
              <w:rPr>
                <w:color w:val="auto"/>
                <w:highlight w:val="none"/>
              </w:rPr>
            </w:pPr>
            <w:r>
              <w:rPr>
                <w:color w:val="auto"/>
                <w:highlight w:val="none"/>
              </w:rPr>
              <w:t>12</w:t>
            </w:r>
          </w:p>
        </w:tc>
        <w:tc>
          <w:tcPr>
            <w:tcW w:w="234" w:type="pct"/>
            <w:shd w:val="clear" w:color="auto" w:fill="auto"/>
            <w:tcMar>
              <w:top w:w="0" w:type="dxa"/>
              <w:left w:w="0" w:type="dxa"/>
              <w:bottom w:w="0" w:type="dxa"/>
              <w:right w:w="0" w:type="dxa"/>
            </w:tcMar>
            <w:vAlign w:val="center"/>
          </w:tcPr>
          <w:p w14:paraId="72FF6F57">
            <w:pPr>
              <w:pStyle w:val="17"/>
              <w:bidi w:val="0"/>
              <w:rPr>
                <w:color w:val="auto"/>
                <w:highlight w:val="none"/>
              </w:rPr>
            </w:pPr>
            <w:r>
              <w:rPr>
                <w:color w:val="auto"/>
                <w:highlight w:val="none"/>
              </w:rPr>
              <w:t>筛分厂房</w:t>
            </w:r>
          </w:p>
        </w:tc>
        <w:tc>
          <w:tcPr>
            <w:tcW w:w="478" w:type="pct"/>
            <w:shd w:val="clear" w:color="auto" w:fill="auto"/>
            <w:tcMar>
              <w:top w:w="0" w:type="dxa"/>
              <w:left w:w="0" w:type="dxa"/>
              <w:bottom w:w="0" w:type="dxa"/>
              <w:right w:w="0" w:type="dxa"/>
            </w:tcMar>
            <w:vAlign w:val="center"/>
          </w:tcPr>
          <w:p w14:paraId="06628A46">
            <w:pPr>
              <w:pStyle w:val="17"/>
              <w:bidi w:val="0"/>
              <w:rPr>
                <w:color w:val="auto"/>
                <w:highlight w:val="none"/>
              </w:rPr>
            </w:pPr>
            <w:r>
              <w:rPr>
                <w:color w:val="auto"/>
                <w:highlight w:val="none"/>
              </w:rPr>
              <w:t>移动式皮带给矿机,2台（按点声源组预测）</w:t>
            </w:r>
          </w:p>
        </w:tc>
        <w:tc>
          <w:tcPr>
            <w:tcW w:w="388" w:type="pct"/>
            <w:shd w:val="clear" w:color="auto" w:fill="auto"/>
            <w:tcMar>
              <w:top w:w="0" w:type="dxa"/>
              <w:left w:w="0" w:type="dxa"/>
              <w:bottom w:w="0" w:type="dxa"/>
              <w:right w:w="0" w:type="dxa"/>
            </w:tcMar>
            <w:vAlign w:val="center"/>
          </w:tcPr>
          <w:p w14:paraId="79D604F9">
            <w:pPr>
              <w:pStyle w:val="17"/>
              <w:bidi w:val="0"/>
              <w:rPr>
                <w:rFonts w:hint="eastAsia" w:eastAsia="宋体"/>
                <w:color w:val="auto"/>
                <w:highlight w:val="none"/>
                <w:lang w:eastAsia="zh-CN"/>
              </w:rPr>
            </w:pPr>
            <w:r>
              <w:rPr>
                <w:color w:val="auto"/>
                <w:highlight w:val="none"/>
              </w:rPr>
              <w:t>70（等效后：73.0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6EA57470">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6D6E0C9E">
            <w:pPr>
              <w:pStyle w:val="17"/>
              <w:bidi w:val="0"/>
              <w:rPr>
                <w:color w:val="auto"/>
                <w:highlight w:val="none"/>
              </w:rPr>
            </w:pPr>
            <w:r>
              <w:rPr>
                <w:color w:val="auto"/>
                <w:highlight w:val="none"/>
              </w:rPr>
              <w:t>177.9</w:t>
            </w:r>
          </w:p>
        </w:tc>
        <w:tc>
          <w:tcPr>
            <w:tcW w:w="206" w:type="pct"/>
            <w:shd w:val="clear" w:color="auto" w:fill="auto"/>
            <w:tcMar>
              <w:top w:w="0" w:type="dxa"/>
              <w:left w:w="0" w:type="dxa"/>
              <w:bottom w:w="0" w:type="dxa"/>
              <w:right w:w="0" w:type="dxa"/>
            </w:tcMar>
            <w:vAlign w:val="center"/>
          </w:tcPr>
          <w:p w14:paraId="45FEF18F">
            <w:pPr>
              <w:pStyle w:val="17"/>
              <w:bidi w:val="0"/>
              <w:rPr>
                <w:color w:val="auto"/>
                <w:highlight w:val="none"/>
              </w:rPr>
            </w:pPr>
            <w:r>
              <w:rPr>
                <w:color w:val="auto"/>
                <w:highlight w:val="none"/>
              </w:rPr>
              <w:t>-733.5</w:t>
            </w:r>
          </w:p>
        </w:tc>
        <w:tc>
          <w:tcPr>
            <w:tcW w:w="194" w:type="pct"/>
            <w:shd w:val="clear" w:color="auto" w:fill="auto"/>
            <w:tcMar>
              <w:top w:w="0" w:type="dxa"/>
              <w:left w:w="0" w:type="dxa"/>
              <w:bottom w:w="0" w:type="dxa"/>
              <w:right w:w="0" w:type="dxa"/>
            </w:tcMar>
            <w:vAlign w:val="center"/>
          </w:tcPr>
          <w:p w14:paraId="71F94BDC">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621528D">
            <w:pPr>
              <w:pStyle w:val="17"/>
              <w:bidi w:val="0"/>
              <w:rPr>
                <w:color w:val="auto"/>
                <w:highlight w:val="none"/>
              </w:rPr>
            </w:pPr>
            <w:r>
              <w:rPr>
                <w:color w:val="auto"/>
                <w:highlight w:val="none"/>
              </w:rPr>
              <w:t>35.3</w:t>
            </w:r>
          </w:p>
        </w:tc>
        <w:tc>
          <w:tcPr>
            <w:tcW w:w="205" w:type="pct"/>
            <w:shd w:val="clear" w:color="auto" w:fill="auto"/>
            <w:tcMar>
              <w:top w:w="0" w:type="dxa"/>
              <w:left w:w="0" w:type="dxa"/>
              <w:bottom w:w="0" w:type="dxa"/>
              <w:right w:w="0" w:type="dxa"/>
            </w:tcMar>
            <w:vAlign w:val="center"/>
          </w:tcPr>
          <w:p w14:paraId="6E815EA9">
            <w:pPr>
              <w:pStyle w:val="17"/>
              <w:bidi w:val="0"/>
              <w:rPr>
                <w:color w:val="auto"/>
                <w:highlight w:val="none"/>
              </w:rPr>
            </w:pPr>
            <w:r>
              <w:rPr>
                <w:color w:val="auto"/>
                <w:highlight w:val="none"/>
              </w:rPr>
              <w:t>23.4</w:t>
            </w:r>
          </w:p>
        </w:tc>
        <w:tc>
          <w:tcPr>
            <w:tcW w:w="235" w:type="pct"/>
            <w:shd w:val="clear" w:color="auto" w:fill="auto"/>
            <w:tcMar>
              <w:top w:w="0" w:type="dxa"/>
              <w:left w:w="0" w:type="dxa"/>
              <w:bottom w:w="0" w:type="dxa"/>
              <w:right w:w="0" w:type="dxa"/>
            </w:tcMar>
            <w:vAlign w:val="center"/>
          </w:tcPr>
          <w:p w14:paraId="042B4FC1">
            <w:pPr>
              <w:pStyle w:val="17"/>
              <w:bidi w:val="0"/>
              <w:rPr>
                <w:color w:val="auto"/>
                <w:highlight w:val="none"/>
              </w:rPr>
            </w:pPr>
            <w:r>
              <w:rPr>
                <w:color w:val="auto"/>
                <w:highlight w:val="none"/>
              </w:rPr>
              <w:t>40.5</w:t>
            </w:r>
          </w:p>
        </w:tc>
        <w:tc>
          <w:tcPr>
            <w:tcW w:w="200" w:type="pct"/>
            <w:shd w:val="clear" w:color="auto" w:fill="auto"/>
            <w:tcMar>
              <w:top w:w="0" w:type="dxa"/>
              <w:left w:w="0" w:type="dxa"/>
              <w:bottom w:w="0" w:type="dxa"/>
              <w:right w:w="0" w:type="dxa"/>
            </w:tcMar>
            <w:vAlign w:val="center"/>
          </w:tcPr>
          <w:p w14:paraId="28DB9F76">
            <w:pPr>
              <w:pStyle w:val="17"/>
              <w:bidi w:val="0"/>
              <w:rPr>
                <w:color w:val="auto"/>
                <w:highlight w:val="none"/>
              </w:rPr>
            </w:pPr>
            <w:r>
              <w:rPr>
                <w:color w:val="auto"/>
                <w:highlight w:val="none"/>
              </w:rPr>
              <w:t>17.7</w:t>
            </w:r>
          </w:p>
        </w:tc>
        <w:tc>
          <w:tcPr>
            <w:tcW w:w="188" w:type="pct"/>
            <w:shd w:val="clear" w:color="auto" w:fill="auto"/>
            <w:tcMar>
              <w:top w:w="0" w:type="dxa"/>
              <w:left w:w="0" w:type="dxa"/>
              <w:bottom w:w="0" w:type="dxa"/>
              <w:right w:w="0" w:type="dxa"/>
            </w:tcMar>
            <w:vAlign w:val="center"/>
          </w:tcPr>
          <w:p w14:paraId="1DBECC11">
            <w:pPr>
              <w:pStyle w:val="17"/>
              <w:bidi w:val="0"/>
              <w:rPr>
                <w:color w:val="auto"/>
                <w:highlight w:val="none"/>
              </w:rPr>
            </w:pPr>
            <w:r>
              <w:rPr>
                <w:color w:val="auto"/>
                <w:highlight w:val="none"/>
              </w:rPr>
              <w:t>56.5</w:t>
            </w:r>
          </w:p>
        </w:tc>
        <w:tc>
          <w:tcPr>
            <w:tcW w:w="211" w:type="pct"/>
            <w:shd w:val="clear" w:color="auto" w:fill="auto"/>
            <w:tcMar>
              <w:top w:w="0" w:type="dxa"/>
              <w:left w:w="0" w:type="dxa"/>
              <w:bottom w:w="0" w:type="dxa"/>
              <w:right w:w="0" w:type="dxa"/>
            </w:tcMar>
            <w:vAlign w:val="center"/>
          </w:tcPr>
          <w:p w14:paraId="2D68645A">
            <w:pPr>
              <w:pStyle w:val="17"/>
              <w:bidi w:val="0"/>
              <w:rPr>
                <w:color w:val="auto"/>
                <w:highlight w:val="none"/>
              </w:rPr>
            </w:pPr>
            <w:r>
              <w:rPr>
                <w:color w:val="auto"/>
                <w:highlight w:val="none"/>
              </w:rPr>
              <w:t>56.5</w:t>
            </w:r>
          </w:p>
        </w:tc>
        <w:tc>
          <w:tcPr>
            <w:tcW w:w="182" w:type="pct"/>
            <w:shd w:val="clear" w:color="auto" w:fill="auto"/>
            <w:tcMar>
              <w:top w:w="0" w:type="dxa"/>
              <w:left w:w="0" w:type="dxa"/>
              <w:bottom w:w="0" w:type="dxa"/>
              <w:right w:w="0" w:type="dxa"/>
            </w:tcMar>
            <w:vAlign w:val="center"/>
          </w:tcPr>
          <w:p w14:paraId="7680998B">
            <w:pPr>
              <w:pStyle w:val="17"/>
              <w:bidi w:val="0"/>
              <w:rPr>
                <w:color w:val="auto"/>
                <w:highlight w:val="none"/>
              </w:rPr>
            </w:pPr>
            <w:r>
              <w:rPr>
                <w:color w:val="auto"/>
                <w:highlight w:val="none"/>
              </w:rPr>
              <w:t>56.5</w:t>
            </w:r>
          </w:p>
        </w:tc>
        <w:tc>
          <w:tcPr>
            <w:tcW w:w="229" w:type="pct"/>
            <w:shd w:val="clear" w:color="auto" w:fill="auto"/>
            <w:tcMar>
              <w:top w:w="0" w:type="dxa"/>
              <w:left w:w="0" w:type="dxa"/>
              <w:bottom w:w="0" w:type="dxa"/>
              <w:right w:w="0" w:type="dxa"/>
            </w:tcMar>
            <w:vAlign w:val="center"/>
          </w:tcPr>
          <w:p w14:paraId="5742016D">
            <w:pPr>
              <w:pStyle w:val="17"/>
              <w:bidi w:val="0"/>
              <w:rPr>
                <w:color w:val="auto"/>
                <w:highlight w:val="none"/>
              </w:rPr>
            </w:pPr>
            <w:r>
              <w:rPr>
                <w:color w:val="auto"/>
                <w:highlight w:val="none"/>
              </w:rPr>
              <w:t>56.5</w:t>
            </w:r>
          </w:p>
        </w:tc>
        <w:tc>
          <w:tcPr>
            <w:tcW w:w="270" w:type="pct"/>
            <w:shd w:val="clear" w:color="auto" w:fill="auto"/>
            <w:tcMar>
              <w:top w:w="0" w:type="dxa"/>
              <w:left w:w="0" w:type="dxa"/>
              <w:bottom w:w="0" w:type="dxa"/>
              <w:right w:w="0" w:type="dxa"/>
            </w:tcMar>
            <w:vAlign w:val="center"/>
          </w:tcPr>
          <w:p w14:paraId="56569267">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A972D3C">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488154E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46.5</w:t>
            </w:r>
          </w:p>
        </w:tc>
        <w:tc>
          <w:tcPr>
            <w:tcW w:w="258" w:type="pct"/>
            <w:shd w:val="clear" w:color="auto" w:fill="auto"/>
            <w:tcMar>
              <w:top w:w="0" w:type="dxa"/>
              <w:left w:w="0" w:type="dxa"/>
              <w:bottom w:w="0" w:type="dxa"/>
              <w:right w:w="0" w:type="dxa"/>
            </w:tcMar>
            <w:vAlign w:val="center"/>
          </w:tcPr>
          <w:p w14:paraId="0A77176A">
            <w:pPr>
              <w:pStyle w:val="17"/>
              <w:bidi w:val="0"/>
              <w:ind w:firstLine="0" w:firstLineChars="0"/>
              <w:rPr>
                <w:color w:val="auto"/>
                <w:highlight w:val="none"/>
              </w:rPr>
            </w:pPr>
            <w:r>
              <w:rPr>
                <w:rFonts w:hint="eastAsia"/>
                <w:color w:val="auto"/>
                <w:highlight w:val="none"/>
                <w:lang w:val="en-US" w:eastAsia="zh-CN"/>
              </w:rPr>
              <w:t>1</w:t>
            </w:r>
          </w:p>
        </w:tc>
      </w:tr>
      <w:tr w14:paraId="4303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56DBC95">
            <w:pPr>
              <w:pStyle w:val="17"/>
              <w:bidi w:val="0"/>
              <w:rPr>
                <w:color w:val="auto"/>
                <w:highlight w:val="none"/>
              </w:rPr>
            </w:pPr>
            <w:r>
              <w:rPr>
                <w:color w:val="auto"/>
                <w:highlight w:val="none"/>
              </w:rPr>
              <w:t>13</w:t>
            </w:r>
          </w:p>
        </w:tc>
        <w:tc>
          <w:tcPr>
            <w:tcW w:w="234" w:type="pct"/>
            <w:shd w:val="clear" w:color="auto" w:fill="auto"/>
            <w:tcMar>
              <w:top w:w="0" w:type="dxa"/>
              <w:left w:w="0" w:type="dxa"/>
              <w:bottom w:w="0" w:type="dxa"/>
              <w:right w:w="0" w:type="dxa"/>
            </w:tcMar>
            <w:vAlign w:val="center"/>
          </w:tcPr>
          <w:p w14:paraId="197BF693">
            <w:pPr>
              <w:pStyle w:val="17"/>
              <w:bidi w:val="0"/>
              <w:rPr>
                <w:color w:val="auto"/>
                <w:highlight w:val="none"/>
              </w:rPr>
            </w:pPr>
            <w:r>
              <w:rPr>
                <w:color w:val="auto"/>
                <w:highlight w:val="none"/>
              </w:rPr>
              <w:t>筛分厂房</w:t>
            </w:r>
          </w:p>
        </w:tc>
        <w:tc>
          <w:tcPr>
            <w:tcW w:w="478" w:type="pct"/>
            <w:shd w:val="clear" w:color="auto" w:fill="auto"/>
            <w:tcMar>
              <w:top w:w="0" w:type="dxa"/>
              <w:left w:w="0" w:type="dxa"/>
              <w:bottom w:w="0" w:type="dxa"/>
              <w:right w:w="0" w:type="dxa"/>
            </w:tcMar>
            <w:vAlign w:val="center"/>
          </w:tcPr>
          <w:p w14:paraId="2072108B">
            <w:pPr>
              <w:pStyle w:val="17"/>
              <w:bidi w:val="0"/>
              <w:rPr>
                <w:color w:val="auto"/>
                <w:highlight w:val="none"/>
              </w:rPr>
            </w:pPr>
            <w:r>
              <w:rPr>
                <w:color w:val="auto"/>
                <w:highlight w:val="none"/>
              </w:rPr>
              <w:t>液下泵</w:t>
            </w:r>
          </w:p>
        </w:tc>
        <w:tc>
          <w:tcPr>
            <w:tcW w:w="388" w:type="pct"/>
            <w:shd w:val="clear" w:color="auto" w:fill="auto"/>
            <w:tcMar>
              <w:top w:w="0" w:type="dxa"/>
              <w:left w:w="0" w:type="dxa"/>
              <w:bottom w:w="0" w:type="dxa"/>
              <w:right w:w="0" w:type="dxa"/>
            </w:tcMar>
            <w:vAlign w:val="center"/>
          </w:tcPr>
          <w:p w14:paraId="31AC6FDF">
            <w:pPr>
              <w:pStyle w:val="17"/>
              <w:bidi w:val="0"/>
              <w:rPr>
                <w:color w:val="auto"/>
                <w:highlight w:val="none"/>
              </w:rPr>
            </w:pPr>
            <w:r>
              <w:rPr>
                <w:color w:val="auto"/>
                <w:highlight w:val="none"/>
              </w:rPr>
              <w:t>75</w:t>
            </w:r>
          </w:p>
        </w:tc>
        <w:tc>
          <w:tcPr>
            <w:tcW w:w="329" w:type="pct"/>
            <w:vMerge w:val="continue"/>
            <w:shd w:val="clear" w:color="auto" w:fill="auto"/>
            <w:tcMar>
              <w:top w:w="0" w:type="dxa"/>
              <w:left w:w="0" w:type="dxa"/>
              <w:bottom w:w="0" w:type="dxa"/>
              <w:right w:w="0" w:type="dxa"/>
            </w:tcMar>
            <w:vAlign w:val="center"/>
          </w:tcPr>
          <w:p w14:paraId="47C41D16">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624B048E">
            <w:pPr>
              <w:pStyle w:val="17"/>
              <w:bidi w:val="0"/>
              <w:rPr>
                <w:color w:val="auto"/>
                <w:highlight w:val="none"/>
              </w:rPr>
            </w:pPr>
            <w:r>
              <w:rPr>
                <w:color w:val="auto"/>
                <w:highlight w:val="none"/>
              </w:rPr>
              <w:t>157.3</w:t>
            </w:r>
          </w:p>
        </w:tc>
        <w:tc>
          <w:tcPr>
            <w:tcW w:w="206" w:type="pct"/>
            <w:shd w:val="clear" w:color="auto" w:fill="auto"/>
            <w:tcMar>
              <w:top w:w="0" w:type="dxa"/>
              <w:left w:w="0" w:type="dxa"/>
              <w:bottom w:w="0" w:type="dxa"/>
              <w:right w:w="0" w:type="dxa"/>
            </w:tcMar>
            <w:vAlign w:val="center"/>
          </w:tcPr>
          <w:p w14:paraId="22735D8F">
            <w:pPr>
              <w:pStyle w:val="17"/>
              <w:bidi w:val="0"/>
              <w:rPr>
                <w:color w:val="auto"/>
                <w:highlight w:val="none"/>
              </w:rPr>
            </w:pPr>
            <w:r>
              <w:rPr>
                <w:color w:val="auto"/>
                <w:highlight w:val="none"/>
              </w:rPr>
              <w:t>-746.5</w:t>
            </w:r>
          </w:p>
        </w:tc>
        <w:tc>
          <w:tcPr>
            <w:tcW w:w="194" w:type="pct"/>
            <w:shd w:val="clear" w:color="auto" w:fill="auto"/>
            <w:tcMar>
              <w:top w:w="0" w:type="dxa"/>
              <w:left w:w="0" w:type="dxa"/>
              <w:bottom w:w="0" w:type="dxa"/>
              <w:right w:w="0" w:type="dxa"/>
            </w:tcMar>
            <w:vAlign w:val="center"/>
          </w:tcPr>
          <w:p w14:paraId="7126C529">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2A2B03F">
            <w:pPr>
              <w:pStyle w:val="17"/>
              <w:bidi w:val="0"/>
              <w:rPr>
                <w:color w:val="auto"/>
                <w:highlight w:val="none"/>
              </w:rPr>
            </w:pPr>
            <w:r>
              <w:rPr>
                <w:color w:val="auto"/>
                <w:highlight w:val="none"/>
              </w:rPr>
              <w:t>59.5</w:t>
            </w:r>
          </w:p>
        </w:tc>
        <w:tc>
          <w:tcPr>
            <w:tcW w:w="205" w:type="pct"/>
            <w:shd w:val="clear" w:color="auto" w:fill="auto"/>
            <w:tcMar>
              <w:top w:w="0" w:type="dxa"/>
              <w:left w:w="0" w:type="dxa"/>
              <w:bottom w:w="0" w:type="dxa"/>
              <w:right w:w="0" w:type="dxa"/>
            </w:tcMar>
            <w:vAlign w:val="center"/>
          </w:tcPr>
          <w:p w14:paraId="3889D071">
            <w:pPr>
              <w:pStyle w:val="17"/>
              <w:bidi w:val="0"/>
              <w:rPr>
                <w:color w:val="auto"/>
                <w:highlight w:val="none"/>
              </w:rPr>
            </w:pPr>
            <w:r>
              <w:rPr>
                <w:color w:val="auto"/>
                <w:highlight w:val="none"/>
              </w:rPr>
              <w:t>20.8</w:t>
            </w:r>
          </w:p>
        </w:tc>
        <w:tc>
          <w:tcPr>
            <w:tcW w:w="235" w:type="pct"/>
            <w:shd w:val="clear" w:color="auto" w:fill="auto"/>
            <w:tcMar>
              <w:top w:w="0" w:type="dxa"/>
              <w:left w:w="0" w:type="dxa"/>
              <w:bottom w:w="0" w:type="dxa"/>
              <w:right w:w="0" w:type="dxa"/>
            </w:tcMar>
            <w:vAlign w:val="center"/>
          </w:tcPr>
          <w:p w14:paraId="530D3949">
            <w:pPr>
              <w:pStyle w:val="17"/>
              <w:bidi w:val="0"/>
              <w:rPr>
                <w:color w:val="auto"/>
                <w:highlight w:val="none"/>
              </w:rPr>
            </w:pPr>
            <w:r>
              <w:rPr>
                <w:color w:val="auto"/>
                <w:highlight w:val="none"/>
              </w:rPr>
              <w:t>16.2</w:t>
            </w:r>
          </w:p>
        </w:tc>
        <w:tc>
          <w:tcPr>
            <w:tcW w:w="200" w:type="pct"/>
            <w:shd w:val="clear" w:color="auto" w:fill="auto"/>
            <w:tcMar>
              <w:top w:w="0" w:type="dxa"/>
              <w:left w:w="0" w:type="dxa"/>
              <w:bottom w:w="0" w:type="dxa"/>
              <w:right w:w="0" w:type="dxa"/>
            </w:tcMar>
            <w:vAlign w:val="center"/>
          </w:tcPr>
          <w:p w14:paraId="22AF957B">
            <w:pPr>
              <w:pStyle w:val="17"/>
              <w:bidi w:val="0"/>
              <w:rPr>
                <w:color w:val="auto"/>
                <w:highlight w:val="none"/>
              </w:rPr>
            </w:pPr>
            <w:r>
              <w:rPr>
                <w:color w:val="auto"/>
                <w:highlight w:val="none"/>
              </w:rPr>
              <w:t>20.3</w:t>
            </w:r>
          </w:p>
        </w:tc>
        <w:tc>
          <w:tcPr>
            <w:tcW w:w="188" w:type="pct"/>
            <w:shd w:val="clear" w:color="auto" w:fill="auto"/>
            <w:tcMar>
              <w:top w:w="0" w:type="dxa"/>
              <w:left w:w="0" w:type="dxa"/>
              <w:bottom w:w="0" w:type="dxa"/>
              <w:right w:w="0" w:type="dxa"/>
            </w:tcMar>
            <w:vAlign w:val="center"/>
          </w:tcPr>
          <w:p w14:paraId="31B4EC07">
            <w:pPr>
              <w:pStyle w:val="17"/>
              <w:bidi w:val="0"/>
              <w:rPr>
                <w:color w:val="auto"/>
                <w:highlight w:val="none"/>
              </w:rPr>
            </w:pPr>
            <w:r>
              <w:rPr>
                <w:color w:val="auto"/>
                <w:highlight w:val="none"/>
              </w:rPr>
              <w:t>58.5</w:t>
            </w:r>
          </w:p>
        </w:tc>
        <w:tc>
          <w:tcPr>
            <w:tcW w:w="211" w:type="pct"/>
            <w:shd w:val="clear" w:color="auto" w:fill="auto"/>
            <w:tcMar>
              <w:top w:w="0" w:type="dxa"/>
              <w:left w:w="0" w:type="dxa"/>
              <w:bottom w:w="0" w:type="dxa"/>
              <w:right w:w="0" w:type="dxa"/>
            </w:tcMar>
            <w:vAlign w:val="center"/>
          </w:tcPr>
          <w:p w14:paraId="1672B649">
            <w:pPr>
              <w:pStyle w:val="17"/>
              <w:bidi w:val="0"/>
              <w:rPr>
                <w:color w:val="auto"/>
                <w:highlight w:val="none"/>
              </w:rPr>
            </w:pPr>
            <w:r>
              <w:rPr>
                <w:color w:val="auto"/>
                <w:highlight w:val="none"/>
              </w:rPr>
              <w:t>58.5</w:t>
            </w:r>
          </w:p>
        </w:tc>
        <w:tc>
          <w:tcPr>
            <w:tcW w:w="182" w:type="pct"/>
            <w:shd w:val="clear" w:color="auto" w:fill="auto"/>
            <w:tcMar>
              <w:top w:w="0" w:type="dxa"/>
              <w:left w:w="0" w:type="dxa"/>
              <w:bottom w:w="0" w:type="dxa"/>
              <w:right w:w="0" w:type="dxa"/>
            </w:tcMar>
            <w:vAlign w:val="center"/>
          </w:tcPr>
          <w:p w14:paraId="6606220C">
            <w:pPr>
              <w:pStyle w:val="17"/>
              <w:bidi w:val="0"/>
              <w:rPr>
                <w:color w:val="auto"/>
                <w:highlight w:val="none"/>
              </w:rPr>
            </w:pPr>
            <w:r>
              <w:rPr>
                <w:color w:val="auto"/>
                <w:highlight w:val="none"/>
              </w:rPr>
              <w:t>58.5</w:t>
            </w:r>
          </w:p>
        </w:tc>
        <w:tc>
          <w:tcPr>
            <w:tcW w:w="229" w:type="pct"/>
            <w:shd w:val="clear" w:color="auto" w:fill="auto"/>
            <w:tcMar>
              <w:top w:w="0" w:type="dxa"/>
              <w:left w:w="0" w:type="dxa"/>
              <w:bottom w:w="0" w:type="dxa"/>
              <w:right w:w="0" w:type="dxa"/>
            </w:tcMar>
            <w:vAlign w:val="center"/>
          </w:tcPr>
          <w:p w14:paraId="5A4BE2F1">
            <w:pPr>
              <w:pStyle w:val="17"/>
              <w:bidi w:val="0"/>
              <w:rPr>
                <w:color w:val="auto"/>
                <w:highlight w:val="none"/>
              </w:rPr>
            </w:pPr>
            <w:r>
              <w:rPr>
                <w:color w:val="auto"/>
                <w:highlight w:val="none"/>
              </w:rPr>
              <w:t>58.5</w:t>
            </w:r>
          </w:p>
        </w:tc>
        <w:tc>
          <w:tcPr>
            <w:tcW w:w="270" w:type="pct"/>
            <w:shd w:val="clear" w:color="auto" w:fill="auto"/>
            <w:tcMar>
              <w:top w:w="0" w:type="dxa"/>
              <w:left w:w="0" w:type="dxa"/>
              <w:bottom w:w="0" w:type="dxa"/>
              <w:right w:w="0" w:type="dxa"/>
            </w:tcMar>
            <w:vAlign w:val="center"/>
          </w:tcPr>
          <w:p w14:paraId="397A32DE">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2BE3031">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5E8C118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48.5</w:t>
            </w:r>
          </w:p>
        </w:tc>
        <w:tc>
          <w:tcPr>
            <w:tcW w:w="258" w:type="pct"/>
            <w:shd w:val="clear" w:color="auto" w:fill="auto"/>
            <w:tcMar>
              <w:top w:w="0" w:type="dxa"/>
              <w:left w:w="0" w:type="dxa"/>
              <w:bottom w:w="0" w:type="dxa"/>
              <w:right w:w="0" w:type="dxa"/>
            </w:tcMar>
            <w:vAlign w:val="center"/>
          </w:tcPr>
          <w:p w14:paraId="4F098E98">
            <w:pPr>
              <w:pStyle w:val="17"/>
              <w:bidi w:val="0"/>
              <w:ind w:firstLine="0" w:firstLineChars="0"/>
              <w:rPr>
                <w:color w:val="auto"/>
                <w:highlight w:val="none"/>
              </w:rPr>
            </w:pPr>
            <w:r>
              <w:rPr>
                <w:rFonts w:hint="eastAsia"/>
                <w:color w:val="auto"/>
                <w:highlight w:val="none"/>
                <w:lang w:val="en-US" w:eastAsia="zh-CN"/>
              </w:rPr>
              <w:t>1</w:t>
            </w:r>
          </w:p>
        </w:tc>
      </w:tr>
      <w:tr w14:paraId="4EA8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DC84AED">
            <w:pPr>
              <w:pStyle w:val="17"/>
              <w:bidi w:val="0"/>
              <w:rPr>
                <w:color w:val="auto"/>
                <w:highlight w:val="none"/>
              </w:rPr>
            </w:pPr>
            <w:r>
              <w:rPr>
                <w:color w:val="auto"/>
                <w:highlight w:val="none"/>
              </w:rPr>
              <w:t>14</w:t>
            </w:r>
          </w:p>
        </w:tc>
        <w:tc>
          <w:tcPr>
            <w:tcW w:w="234" w:type="pct"/>
            <w:shd w:val="clear" w:color="auto" w:fill="auto"/>
            <w:tcMar>
              <w:top w:w="0" w:type="dxa"/>
              <w:left w:w="0" w:type="dxa"/>
              <w:bottom w:w="0" w:type="dxa"/>
              <w:right w:w="0" w:type="dxa"/>
            </w:tcMar>
            <w:vAlign w:val="center"/>
          </w:tcPr>
          <w:p w14:paraId="421AD785">
            <w:pPr>
              <w:pStyle w:val="17"/>
              <w:bidi w:val="0"/>
              <w:rPr>
                <w:color w:val="auto"/>
                <w:highlight w:val="none"/>
              </w:rPr>
            </w:pPr>
            <w:r>
              <w:rPr>
                <w:color w:val="auto"/>
                <w:highlight w:val="none"/>
              </w:rPr>
              <w:t>粉矿仓</w:t>
            </w:r>
          </w:p>
        </w:tc>
        <w:tc>
          <w:tcPr>
            <w:tcW w:w="478" w:type="pct"/>
            <w:shd w:val="clear" w:color="auto" w:fill="auto"/>
            <w:tcMar>
              <w:top w:w="0" w:type="dxa"/>
              <w:left w:w="0" w:type="dxa"/>
              <w:bottom w:w="0" w:type="dxa"/>
              <w:right w:w="0" w:type="dxa"/>
            </w:tcMar>
            <w:vAlign w:val="center"/>
          </w:tcPr>
          <w:p w14:paraId="568830A8">
            <w:pPr>
              <w:pStyle w:val="17"/>
              <w:bidi w:val="0"/>
              <w:rPr>
                <w:color w:val="auto"/>
                <w:highlight w:val="none"/>
              </w:rPr>
            </w:pPr>
            <w:r>
              <w:rPr>
                <w:color w:val="auto"/>
                <w:highlight w:val="none"/>
              </w:rPr>
              <w:t>重型皮带给料机,4台（按点声源组预测）</w:t>
            </w:r>
          </w:p>
        </w:tc>
        <w:tc>
          <w:tcPr>
            <w:tcW w:w="388" w:type="pct"/>
            <w:shd w:val="clear" w:color="auto" w:fill="auto"/>
            <w:tcMar>
              <w:top w:w="0" w:type="dxa"/>
              <w:left w:w="0" w:type="dxa"/>
              <w:bottom w:w="0" w:type="dxa"/>
              <w:right w:w="0" w:type="dxa"/>
            </w:tcMar>
            <w:vAlign w:val="center"/>
          </w:tcPr>
          <w:p w14:paraId="3C5D6808">
            <w:pPr>
              <w:pStyle w:val="17"/>
              <w:bidi w:val="0"/>
              <w:rPr>
                <w:rFonts w:hint="eastAsia" w:eastAsia="宋体"/>
                <w:color w:val="auto"/>
                <w:highlight w:val="none"/>
                <w:lang w:eastAsia="zh-CN"/>
              </w:rPr>
            </w:pPr>
            <w:r>
              <w:rPr>
                <w:color w:val="auto"/>
                <w:highlight w:val="none"/>
              </w:rPr>
              <w:t>70（等效后：76.0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0CD56110">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655A7FCD">
            <w:pPr>
              <w:pStyle w:val="17"/>
              <w:bidi w:val="0"/>
              <w:rPr>
                <w:color w:val="auto"/>
                <w:highlight w:val="none"/>
              </w:rPr>
            </w:pPr>
            <w:r>
              <w:rPr>
                <w:color w:val="auto"/>
                <w:highlight w:val="none"/>
              </w:rPr>
              <w:t>99.3</w:t>
            </w:r>
          </w:p>
        </w:tc>
        <w:tc>
          <w:tcPr>
            <w:tcW w:w="206" w:type="pct"/>
            <w:shd w:val="clear" w:color="auto" w:fill="auto"/>
            <w:tcMar>
              <w:top w:w="0" w:type="dxa"/>
              <w:left w:w="0" w:type="dxa"/>
              <w:bottom w:w="0" w:type="dxa"/>
              <w:right w:w="0" w:type="dxa"/>
            </w:tcMar>
            <w:vAlign w:val="center"/>
          </w:tcPr>
          <w:p w14:paraId="6BDA42A2">
            <w:pPr>
              <w:pStyle w:val="17"/>
              <w:bidi w:val="0"/>
              <w:rPr>
                <w:color w:val="auto"/>
                <w:highlight w:val="none"/>
              </w:rPr>
            </w:pPr>
            <w:r>
              <w:rPr>
                <w:color w:val="auto"/>
                <w:highlight w:val="none"/>
              </w:rPr>
              <w:t>-982.1</w:t>
            </w:r>
          </w:p>
        </w:tc>
        <w:tc>
          <w:tcPr>
            <w:tcW w:w="194" w:type="pct"/>
            <w:shd w:val="clear" w:color="auto" w:fill="auto"/>
            <w:tcMar>
              <w:top w:w="0" w:type="dxa"/>
              <w:left w:w="0" w:type="dxa"/>
              <w:bottom w:w="0" w:type="dxa"/>
              <w:right w:w="0" w:type="dxa"/>
            </w:tcMar>
            <w:vAlign w:val="center"/>
          </w:tcPr>
          <w:p w14:paraId="660AFEBE">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6C9C314">
            <w:pPr>
              <w:pStyle w:val="17"/>
              <w:bidi w:val="0"/>
              <w:rPr>
                <w:color w:val="auto"/>
                <w:highlight w:val="none"/>
              </w:rPr>
            </w:pPr>
            <w:r>
              <w:rPr>
                <w:color w:val="auto"/>
                <w:highlight w:val="none"/>
              </w:rPr>
              <w:t>9.4</w:t>
            </w:r>
          </w:p>
        </w:tc>
        <w:tc>
          <w:tcPr>
            <w:tcW w:w="205" w:type="pct"/>
            <w:shd w:val="clear" w:color="auto" w:fill="auto"/>
            <w:tcMar>
              <w:top w:w="0" w:type="dxa"/>
              <w:left w:w="0" w:type="dxa"/>
              <w:bottom w:w="0" w:type="dxa"/>
              <w:right w:w="0" w:type="dxa"/>
            </w:tcMar>
            <w:vAlign w:val="center"/>
          </w:tcPr>
          <w:p w14:paraId="538F36C8">
            <w:pPr>
              <w:pStyle w:val="17"/>
              <w:bidi w:val="0"/>
              <w:rPr>
                <w:color w:val="auto"/>
                <w:highlight w:val="none"/>
              </w:rPr>
            </w:pPr>
            <w:r>
              <w:rPr>
                <w:color w:val="auto"/>
                <w:highlight w:val="none"/>
              </w:rPr>
              <w:t>13.1</w:t>
            </w:r>
          </w:p>
        </w:tc>
        <w:tc>
          <w:tcPr>
            <w:tcW w:w="235" w:type="pct"/>
            <w:shd w:val="clear" w:color="auto" w:fill="auto"/>
            <w:tcMar>
              <w:top w:w="0" w:type="dxa"/>
              <w:left w:w="0" w:type="dxa"/>
              <w:bottom w:w="0" w:type="dxa"/>
              <w:right w:w="0" w:type="dxa"/>
            </w:tcMar>
            <w:vAlign w:val="center"/>
          </w:tcPr>
          <w:p w14:paraId="23003D62">
            <w:pPr>
              <w:pStyle w:val="17"/>
              <w:bidi w:val="0"/>
              <w:rPr>
                <w:color w:val="auto"/>
                <w:highlight w:val="none"/>
              </w:rPr>
            </w:pPr>
            <w:r>
              <w:rPr>
                <w:color w:val="auto"/>
                <w:highlight w:val="none"/>
              </w:rPr>
              <w:t>20.5</w:t>
            </w:r>
          </w:p>
        </w:tc>
        <w:tc>
          <w:tcPr>
            <w:tcW w:w="200" w:type="pct"/>
            <w:shd w:val="clear" w:color="auto" w:fill="auto"/>
            <w:tcMar>
              <w:top w:w="0" w:type="dxa"/>
              <w:left w:w="0" w:type="dxa"/>
              <w:bottom w:w="0" w:type="dxa"/>
              <w:right w:w="0" w:type="dxa"/>
            </w:tcMar>
            <w:vAlign w:val="center"/>
          </w:tcPr>
          <w:p w14:paraId="3420F0DA">
            <w:pPr>
              <w:pStyle w:val="17"/>
              <w:bidi w:val="0"/>
              <w:rPr>
                <w:color w:val="auto"/>
                <w:highlight w:val="none"/>
              </w:rPr>
            </w:pPr>
            <w:r>
              <w:rPr>
                <w:color w:val="auto"/>
                <w:highlight w:val="none"/>
              </w:rPr>
              <w:t>16.8</w:t>
            </w:r>
          </w:p>
        </w:tc>
        <w:tc>
          <w:tcPr>
            <w:tcW w:w="188" w:type="pct"/>
            <w:shd w:val="clear" w:color="auto" w:fill="auto"/>
            <w:tcMar>
              <w:top w:w="0" w:type="dxa"/>
              <w:left w:w="0" w:type="dxa"/>
              <w:bottom w:w="0" w:type="dxa"/>
              <w:right w:w="0" w:type="dxa"/>
            </w:tcMar>
            <w:vAlign w:val="center"/>
          </w:tcPr>
          <w:p w14:paraId="4171E158">
            <w:pPr>
              <w:pStyle w:val="17"/>
              <w:bidi w:val="0"/>
              <w:rPr>
                <w:color w:val="auto"/>
                <w:highlight w:val="none"/>
              </w:rPr>
            </w:pPr>
            <w:r>
              <w:rPr>
                <w:color w:val="auto"/>
                <w:highlight w:val="none"/>
              </w:rPr>
              <w:t>62.5</w:t>
            </w:r>
          </w:p>
        </w:tc>
        <w:tc>
          <w:tcPr>
            <w:tcW w:w="211" w:type="pct"/>
            <w:shd w:val="clear" w:color="auto" w:fill="auto"/>
            <w:tcMar>
              <w:top w:w="0" w:type="dxa"/>
              <w:left w:w="0" w:type="dxa"/>
              <w:bottom w:w="0" w:type="dxa"/>
              <w:right w:w="0" w:type="dxa"/>
            </w:tcMar>
            <w:vAlign w:val="center"/>
          </w:tcPr>
          <w:p w14:paraId="18450EBF">
            <w:pPr>
              <w:pStyle w:val="17"/>
              <w:bidi w:val="0"/>
              <w:rPr>
                <w:color w:val="auto"/>
                <w:highlight w:val="none"/>
              </w:rPr>
            </w:pPr>
            <w:r>
              <w:rPr>
                <w:color w:val="auto"/>
                <w:highlight w:val="none"/>
              </w:rPr>
              <w:t>62.4</w:t>
            </w:r>
          </w:p>
        </w:tc>
        <w:tc>
          <w:tcPr>
            <w:tcW w:w="182" w:type="pct"/>
            <w:shd w:val="clear" w:color="auto" w:fill="auto"/>
            <w:tcMar>
              <w:top w:w="0" w:type="dxa"/>
              <w:left w:w="0" w:type="dxa"/>
              <w:bottom w:w="0" w:type="dxa"/>
              <w:right w:w="0" w:type="dxa"/>
            </w:tcMar>
            <w:vAlign w:val="center"/>
          </w:tcPr>
          <w:p w14:paraId="1A16D4AC">
            <w:pPr>
              <w:pStyle w:val="17"/>
              <w:bidi w:val="0"/>
              <w:rPr>
                <w:color w:val="auto"/>
                <w:highlight w:val="none"/>
              </w:rPr>
            </w:pPr>
            <w:r>
              <w:rPr>
                <w:color w:val="auto"/>
                <w:highlight w:val="none"/>
              </w:rPr>
              <w:t>62.4</w:t>
            </w:r>
          </w:p>
        </w:tc>
        <w:tc>
          <w:tcPr>
            <w:tcW w:w="229" w:type="pct"/>
            <w:shd w:val="clear" w:color="auto" w:fill="auto"/>
            <w:tcMar>
              <w:top w:w="0" w:type="dxa"/>
              <w:left w:w="0" w:type="dxa"/>
              <w:bottom w:w="0" w:type="dxa"/>
              <w:right w:w="0" w:type="dxa"/>
            </w:tcMar>
            <w:vAlign w:val="center"/>
          </w:tcPr>
          <w:p w14:paraId="347AF7D0">
            <w:pPr>
              <w:pStyle w:val="17"/>
              <w:bidi w:val="0"/>
              <w:rPr>
                <w:color w:val="auto"/>
                <w:highlight w:val="none"/>
              </w:rPr>
            </w:pPr>
            <w:r>
              <w:rPr>
                <w:color w:val="auto"/>
                <w:highlight w:val="none"/>
              </w:rPr>
              <w:t>62.4</w:t>
            </w:r>
          </w:p>
        </w:tc>
        <w:tc>
          <w:tcPr>
            <w:tcW w:w="270" w:type="pct"/>
            <w:shd w:val="clear" w:color="auto" w:fill="auto"/>
            <w:tcMar>
              <w:top w:w="0" w:type="dxa"/>
              <w:left w:w="0" w:type="dxa"/>
              <w:bottom w:w="0" w:type="dxa"/>
              <w:right w:w="0" w:type="dxa"/>
            </w:tcMar>
            <w:vAlign w:val="center"/>
          </w:tcPr>
          <w:p w14:paraId="66482B4D">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A3EDAD0">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0AC3A6B7">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52.5</w:t>
            </w:r>
          </w:p>
        </w:tc>
        <w:tc>
          <w:tcPr>
            <w:tcW w:w="258" w:type="pct"/>
            <w:shd w:val="clear" w:color="auto" w:fill="auto"/>
            <w:tcMar>
              <w:top w:w="0" w:type="dxa"/>
              <w:left w:w="0" w:type="dxa"/>
              <w:bottom w:w="0" w:type="dxa"/>
              <w:right w:w="0" w:type="dxa"/>
            </w:tcMar>
            <w:vAlign w:val="center"/>
          </w:tcPr>
          <w:p w14:paraId="6A4EFBDD">
            <w:pPr>
              <w:pStyle w:val="17"/>
              <w:bidi w:val="0"/>
              <w:ind w:firstLine="0" w:firstLineChars="0"/>
              <w:rPr>
                <w:color w:val="auto"/>
                <w:highlight w:val="none"/>
              </w:rPr>
            </w:pPr>
            <w:r>
              <w:rPr>
                <w:rFonts w:hint="eastAsia"/>
                <w:color w:val="auto"/>
                <w:highlight w:val="none"/>
                <w:lang w:val="en-US" w:eastAsia="zh-CN"/>
              </w:rPr>
              <w:t>1</w:t>
            </w:r>
          </w:p>
        </w:tc>
      </w:tr>
      <w:tr w14:paraId="7005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414B9C8">
            <w:pPr>
              <w:pStyle w:val="17"/>
              <w:bidi w:val="0"/>
              <w:rPr>
                <w:color w:val="auto"/>
                <w:highlight w:val="none"/>
              </w:rPr>
            </w:pPr>
            <w:r>
              <w:rPr>
                <w:color w:val="auto"/>
                <w:highlight w:val="none"/>
              </w:rPr>
              <w:t>15</w:t>
            </w:r>
          </w:p>
        </w:tc>
        <w:tc>
          <w:tcPr>
            <w:tcW w:w="234" w:type="pct"/>
            <w:shd w:val="clear" w:color="auto" w:fill="auto"/>
            <w:tcMar>
              <w:top w:w="0" w:type="dxa"/>
              <w:left w:w="0" w:type="dxa"/>
              <w:bottom w:w="0" w:type="dxa"/>
              <w:right w:w="0" w:type="dxa"/>
            </w:tcMar>
            <w:vAlign w:val="center"/>
          </w:tcPr>
          <w:p w14:paraId="24EEC908">
            <w:pPr>
              <w:pStyle w:val="17"/>
              <w:bidi w:val="0"/>
              <w:rPr>
                <w:color w:val="auto"/>
                <w:highlight w:val="none"/>
              </w:rPr>
            </w:pPr>
            <w:r>
              <w:rPr>
                <w:color w:val="auto"/>
                <w:highlight w:val="none"/>
              </w:rPr>
              <w:t>粉矿仓</w:t>
            </w:r>
          </w:p>
        </w:tc>
        <w:tc>
          <w:tcPr>
            <w:tcW w:w="478" w:type="pct"/>
            <w:shd w:val="clear" w:color="auto" w:fill="auto"/>
            <w:tcMar>
              <w:top w:w="0" w:type="dxa"/>
              <w:left w:w="0" w:type="dxa"/>
              <w:bottom w:w="0" w:type="dxa"/>
              <w:right w:w="0" w:type="dxa"/>
            </w:tcMar>
            <w:vAlign w:val="center"/>
          </w:tcPr>
          <w:p w14:paraId="09F267E9">
            <w:pPr>
              <w:pStyle w:val="17"/>
              <w:bidi w:val="0"/>
              <w:rPr>
                <w:color w:val="auto"/>
                <w:highlight w:val="none"/>
              </w:rPr>
            </w:pPr>
            <w:r>
              <w:rPr>
                <w:color w:val="auto"/>
                <w:highlight w:val="none"/>
              </w:rPr>
              <w:t>振动给料机</w:t>
            </w:r>
          </w:p>
        </w:tc>
        <w:tc>
          <w:tcPr>
            <w:tcW w:w="388" w:type="pct"/>
            <w:shd w:val="clear" w:color="auto" w:fill="auto"/>
            <w:tcMar>
              <w:top w:w="0" w:type="dxa"/>
              <w:left w:w="0" w:type="dxa"/>
              <w:bottom w:w="0" w:type="dxa"/>
              <w:right w:w="0" w:type="dxa"/>
            </w:tcMar>
            <w:vAlign w:val="center"/>
          </w:tcPr>
          <w:p w14:paraId="4B218088">
            <w:pPr>
              <w:pStyle w:val="17"/>
              <w:bidi w:val="0"/>
              <w:rPr>
                <w:color w:val="auto"/>
                <w:highlight w:val="none"/>
              </w:rPr>
            </w:pPr>
            <w:r>
              <w:rPr>
                <w:color w:val="auto"/>
                <w:highlight w:val="none"/>
              </w:rPr>
              <w:t>75</w:t>
            </w:r>
          </w:p>
        </w:tc>
        <w:tc>
          <w:tcPr>
            <w:tcW w:w="329" w:type="pct"/>
            <w:vMerge w:val="continue"/>
            <w:shd w:val="clear" w:color="auto" w:fill="auto"/>
            <w:tcMar>
              <w:top w:w="0" w:type="dxa"/>
              <w:left w:w="0" w:type="dxa"/>
              <w:bottom w:w="0" w:type="dxa"/>
              <w:right w:w="0" w:type="dxa"/>
            </w:tcMar>
            <w:vAlign w:val="center"/>
          </w:tcPr>
          <w:p w14:paraId="68A95F1E">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42C96ABF">
            <w:pPr>
              <w:pStyle w:val="17"/>
              <w:bidi w:val="0"/>
              <w:rPr>
                <w:color w:val="auto"/>
                <w:highlight w:val="none"/>
              </w:rPr>
            </w:pPr>
            <w:r>
              <w:rPr>
                <w:color w:val="auto"/>
                <w:highlight w:val="none"/>
              </w:rPr>
              <w:t>86.2</w:t>
            </w:r>
          </w:p>
        </w:tc>
        <w:tc>
          <w:tcPr>
            <w:tcW w:w="206" w:type="pct"/>
            <w:shd w:val="clear" w:color="auto" w:fill="auto"/>
            <w:tcMar>
              <w:top w:w="0" w:type="dxa"/>
              <w:left w:w="0" w:type="dxa"/>
              <w:bottom w:w="0" w:type="dxa"/>
              <w:right w:w="0" w:type="dxa"/>
            </w:tcMar>
            <w:vAlign w:val="center"/>
          </w:tcPr>
          <w:p w14:paraId="263C29EB">
            <w:pPr>
              <w:pStyle w:val="17"/>
              <w:bidi w:val="0"/>
              <w:rPr>
                <w:color w:val="auto"/>
                <w:highlight w:val="none"/>
              </w:rPr>
            </w:pPr>
            <w:r>
              <w:rPr>
                <w:color w:val="auto"/>
                <w:highlight w:val="none"/>
              </w:rPr>
              <w:t>-978.4</w:t>
            </w:r>
          </w:p>
        </w:tc>
        <w:tc>
          <w:tcPr>
            <w:tcW w:w="194" w:type="pct"/>
            <w:shd w:val="clear" w:color="auto" w:fill="auto"/>
            <w:tcMar>
              <w:top w:w="0" w:type="dxa"/>
              <w:left w:w="0" w:type="dxa"/>
              <w:bottom w:w="0" w:type="dxa"/>
              <w:right w:w="0" w:type="dxa"/>
            </w:tcMar>
            <w:vAlign w:val="center"/>
          </w:tcPr>
          <w:p w14:paraId="2940445D">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2D670780">
            <w:pPr>
              <w:pStyle w:val="17"/>
              <w:bidi w:val="0"/>
              <w:rPr>
                <w:color w:val="auto"/>
                <w:highlight w:val="none"/>
              </w:rPr>
            </w:pPr>
            <w:r>
              <w:rPr>
                <w:color w:val="auto"/>
                <w:highlight w:val="none"/>
              </w:rPr>
              <w:t>22.5</w:t>
            </w:r>
          </w:p>
        </w:tc>
        <w:tc>
          <w:tcPr>
            <w:tcW w:w="205" w:type="pct"/>
            <w:shd w:val="clear" w:color="auto" w:fill="auto"/>
            <w:tcMar>
              <w:top w:w="0" w:type="dxa"/>
              <w:left w:w="0" w:type="dxa"/>
              <w:bottom w:w="0" w:type="dxa"/>
              <w:right w:w="0" w:type="dxa"/>
            </w:tcMar>
            <w:vAlign w:val="center"/>
          </w:tcPr>
          <w:p w14:paraId="344E2BF4">
            <w:pPr>
              <w:pStyle w:val="17"/>
              <w:bidi w:val="0"/>
              <w:rPr>
                <w:color w:val="auto"/>
                <w:highlight w:val="none"/>
              </w:rPr>
            </w:pPr>
            <w:r>
              <w:rPr>
                <w:color w:val="auto"/>
                <w:highlight w:val="none"/>
              </w:rPr>
              <w:t>16.8</w:t>
            </w:r>
          </w:p>
        </w:tc>
        <w:tc>
          <w:tcPr>
            <w:tcW w:w="235" w:type="pct"/>
            <w:shd w:val="clear" w:color="auto" w:fill="auto"/>
            <w:tcMar>
              <w:top w:w="0" w:type="dxa"/>
              <w:left w:w="0" w:type="dxa"/>
              <w:bottom w:w="0" w:type="dxa"/>
              <w:right w:w="0" w:type="dxa"/>
            </w:tcMar>
            <w:vAlign w:val="center"/>
          </w:tcPr>
          <w:p w14:paraId="5B367E21">
            <w:pPr>
              <w:pStyle w:val="17"/>
              <w:bidi w:val="0"/>
              <w:rPr>
                <w:color w:val="auto"/>
                <w:highlight w:val="none"/>
              </w:rPr>
            </w:pPr>
            <w:r>
              <w:rPr>
                <w:color w:val="auto"/>
                <w:highlight w:val="none"/>
              </w:rPr>
              <w:t>7.4</w:t>
            </w:r>
          </w:p>
        </w:tc>
        <w:tc>
          <w:tcPr>
            <w:tcW w:w="200" w:type="pct"/>
            <w:shd w:val="clear" w:color="auto" w:fill="auto"/>
            <w:tcMar>
              <w:top w:w="0" w:type="dxa"/>
              <w:left w:w="0" w:type="dxa"/>
              <w:bottom w:w="0" w:type="dxa"/>
              <w:right w:w="0" w:type="dxa"/>
            </w:tcMar>
            <w:vAlign w:val="center"/>
          </w:tcPr>
          <w:p w14:paraId="15E76E65">
            <w:pPr>
              <w:pStyle w:val="17"/>
              <w:bidi w:val="0"/>
              <w:rPr>
                <w:color w:val="auto"/>
                <w:highlight w:val="none"/>
              </w:rPr>
            </w:pPr>
            <w:r>
              <w:rPr>
                <w:color w:val="auto"/>
                <w:highlight w:val="none"/>
              </w:rPr>
              <w:t>13.1</w:t>
            </w:r>
          </w:p>
        </w:tc>
        <w:tc>
          <w:tcPr>
            <w:tcW w:w="188" w:type="pct"/>
            <w:shd w:val="clear" w:color="auto" w:fill="auto"/>
            <w:tcMar>
              <w:top w:w="0" w:type="dxa"/>
              <w:left w:w="0" w:type="dxa"/>
              <w:bottom w:w="0" w:type="dxa"/>
              <w:right w:w="0" w:type="dxa"/>
            </w:tcMar>
            <w:vAlign w:val="center"/>
          </w:tcPr>
          <w:p w14:paraId="6D0900FC">
            <w:pPr>
              <w:pStyle w:val="17"/>
              <w:bidi w:val="0"/>
              <w:rPr>
                <w:color w:val="auto"/>
                <w:highlight w:val="none"/>
              </w:rPr>
            </w:pPr>
            <w:r>
              <w:rPr>
                <w:color w:val="auto"/>
                <w:highlight w:val="none"/>
              </w:rPr>
              <w:t>61.4</w:t>
            </w:r>
          </w:p>
        </w:tc>
        <w:tc>
          <w:tcPr>
            <w:tcW w:w="211" w:type="pct"/>
            <w:shd w:val="clear" w:color="auto" w:fill="auto"/>
            <w:tcMar>
              <w:top w:w="0" w:type="dxa"/>
              <w:left w:w="0" w:type="dxa"/>
              <w:bottom w:w="0" w:type="dxa"/>
              <w:right w:w="0" w:type="dxa"/>
            </w:tcMar>
            <w:vAlign w:val="center"/>
          </w:tcPr>
          <w:p w14:paraId="29B753FB">
            <w:pPr>
              <w:pStyle w:val="17"/>
              <w:bidi w:val="0"/>
              <w:rPr>
                <w:color w:val="auto"/>
                <w:highlight w:val="none"/>
              </w:rPr>
            </w:pPr>
            <w:r>
              <w:rPr>
                <w:color w:val="auto"/>
                <w:highlight w:val="none"/>
              </w:rPr>
              <w:t>61.4</w:t>
            </w:r>
          </w:p>
        </w:tc>
        <w:tc>
          <w:tcPr>
            <w:tcW w:w="182" w:type="pct"/>
            <w:shd w:val="clear" w:color="auto" w:fill="auto"/>
            <w:tcMar>
              <w:top w:w="0" w:type="dxa"/>
              <w:left w:w="0" w:type="dxa"/>
              <w:bottom w:w="0" w:type="dxa"/>
              <w:right w:w="0" w:type="dxa"/>
            </w:tcMar>
            <w:vAlign w:val="center"/>
          </w:tcPr>
          <w:p w14:paraId="3804CE9E">
            <w:pPr>
              <w:pStyle w:val="17"/>
              <w:bidi w:val="0"/>
              <w:rPr>
                <w:color w:val="auto"/>
                <w:highlight w:val="none"/>
              </w:rPr>
            </w:pPr>
            <w:r>
              <w:rPr>
                <w:color w:val="auto"/>
                <w:highlight w:val="none"/>
              </w:rPr>
              <w:t>61.5</w:t>
            </w:r>
          </w:p>
        </w:tc>
        <w:tc>
          <w:tcPr>
            <w:tcW w:w="229" w:type="pct"/>
            <w:shd w:val="clear" w:color="auto" w:fill="auto"/>
            <w:tcMar>
              <w:top w:w="0" w:type="dxa"/>
              <w:left w:w="0" w:type="dxa"/>
              <w:bottom w:w="0" w:type="dxa"/>
              <w:right w:w="0" w:type="dxa"/>
            </w:tcMar>
            <w:vAlign w:val="center"/>
          </w:tcPr>
          <w:p w14:paraId="3D77C787">
            <w:pPr>
              <w:pStyle w:val="17"/>
              <w:bidi w:val="0"/>
              <w:rPr>
                <w:color w:val="auto"/>
                <w:highlight w:val="none"/>
              </w:rPr>
            </w:pPr>
            <w:r>
              <w:rPr>
                <w:color w:val="auto"/>
                <w:highlight w:val="none"/>
              </w:rPr>
              <w:t>61.4</w:t>
            </w:r>
          </w:p>
        </w:tc>
        <w:tc>
          <w:tcPr>
            <w:tcW w:w="270" w:type="pct"/>
            <w:shd w:val="clear" w:color="auto" w:fill="auto"/>
            <w:tcMar>
              <w:top w:w="0" w:type="dxa"/>
              <w:left w:w="0" w:type="dxa"/>
              <w:bottom w:w="0" w:type="dxa"/>
              <w:right w:w="0" w:type="dxa"/>
            </w:tcMar>
            <w:vAlign w:val="center"/>
          </w:tcPr>
          <w:p w14:paraId="77C25C63">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5F178CC">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6527DD4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51.4</w:t>
            </w:r>
          </w:p>
        </w:tc>
        <w:tc>
          <w:tcPr>
            <w:tcW w:w="258" w:type="pct"/>
            <w:shd w:val="clear" w:color="auto" w:fill="auto"/>
            <w:tcMar>
              <w:top w:w="0" w:type="dxa"/>
              <w:left w:w="0" w:type="dxa"/>
              <w:bottom w:w="0" w:type="dxa"/>
              <w:right w:w="0" w:type="dxa"/>
            </w:tcMar>
            <w:vAlign w:val="center"/>
          </w:tcPr>
          <w:p w14:paraId="70C7F4CE">
            <w:pPr>
              <w:pStyle w:val="17"/>
              <w:bidi w:val="0"/>
              <w:ind w:firstLine="0" w:firstLineChars="0"/>
              <w:rPr>
                <w:color w:val="auto"/>
                <w:highlight w:val="none"/>
              </w:rPr>
            </w:pPr>
            <w:r>
              <w:rPr>
                <w:rFonts w:hint="eastAsia"/>
                <w:color w:val="auto"/>
                <w:highlight w:val="none"/>
                <w:lang w:val="en-US" w:eastAsia="zh-CN"/>
              </w:rPr>
              <w:t>1</w:t>
            </w:r>
          </w:p>
        </w:tc>
      </w:tr>
      <w:tr w14:paraId="27D7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70304A5">
            <w:pPr>
              <w:pStyle w:val="17"/>
              <w:bidi w:val="0"/>
              <w:rPr>
                <w:color w:val="auto"/>
                <w:highlight w:val="none"/>
              </w:rPr>
            </w:pPr>
            <w:r>
              <w:rPr>
                <w:color w:val="auto"/>
                <w:highlight w:val="none"/>
              </w:rPr>
              <w:t>16</w:t>
            </w:r>
          </w:p>
        </w:tc>
        <w:tc>
          <w:tcPr>
            <w:tcW w:w="234" w:type="pct"/>
            <w:shd w:val="clear" w:color="auto" w:fill="auto"/>
            <w:tcMar>
              <w:top w:w="0" w:type="dxa"/>
              <w:left w:w="0" w:type="dxa"/>
              <w:bottom w:w="0" w:type="dxa"/>
              <w:right w:w="0" w:type="dxa"/>
            </w:tcMar>
            <w:vAlign w:val="center"/>
          </w:tcPr>
          <w:p w14:paraId="179009D7">
            <w:pPr>
              <w:pStyle w:val="17"/>
              <w:bidi w:val="0"/>
              <w:rPr>
                <w:color w:val="auto"/>
                <w:highlight w:val="none"/>
              </w:rPr>
            </w:pPr>
            <w:r>
              <w:rPr>
                <w:color w:val="auto"/>
                <w:highlight w:val="none"/>
              </w:rPr>
              <w:t>粉矿仓</w:t>
            </w:r>
          </w:p>
        </w:tc>
        <w:tc>
          <w:tcPr>
            <w:tcW w:w="478" w:type="pct"/>
            <w:shd w:val="clear" w:color="auto" w:fill="auto"/>
            <w:tcMar>
              <w:top w:w="0" w:type="dxa"/>
              <w:left w:w="0" w:type="dxa"/>
              <w:bottom w:w="0" w:type="dxa"/>
              <w:right w:w="0" w:type="dxa"/>
            </w:tcMar>
            <w:vAlign w:val="center"/>
          </w:tcPr>
          <w:p w14:paraId="4514C909">
            <w:pPr>
              <w:pStyle w:val="17"/>
              <w:bidi w:val="0"/>
              <w:rPr>
                <w:color w:val="auto"/>
                <w:highlight w:val="none"/>
              </w:rPr>
            </w:pPr>
            <w:r>
              <w:rPr>
                <w:color w:val="auto"/>
                <w:highlight w:val="none"/>
              </w:rPr>
              <w:t>电动单梁悬挂起重机</w:t>
            </w:r>
          </w:p>
        </w:tc>
        <w:tc>
          <w:tcPr>
            <w:tcW w:w="388" w:type="pct"/>
            <w:shd w:val="clear" w:color="auto" w:fill="auto"/>
            <w:tcMar>
              <w:top w:w="0" w:type="dxa"/>
              <w:left w:w="0" w:type="dxa"/>
              <w:bottom w:w="0" w:type="dxa"/>
              <w:right w:w="0" w:type="dxa"/>
            </w:tcMar>
            <w:vAlign w:val="center"/>
          </w:tcPr>
          <w:p w14:paraId="768E0765">
            <w:pPr>
              <w:pStyle w:val="17"/>
              <w:bidi w:val="0"/>
              <w:rPr>
                <w:color w:val="auto"/>
                <w:highlight w:val="none"/>
              </w:rPr>
            </w:pPr>
            <w:r>
              <w:rPr>
                <w:color w:val="auto"/>
                <w:highlight w:val="none"/>
              </w:rPr>
              <w:t>65</w:t>
            </w:r>
          </w:p>
        </w:tc>
        <w:tc>
          <w:tcPr>
            <w:tcW w:w="329" w:type="pct"/>
            <w:vMerge w:val="continue"/>
            <w:shd w:val="clear" w:color="auto" w:fill="auto"/>
            <w:tcMar>
              <w:top w:w="0" w:type="dxa"/>
              <w:left w:w="0" w:type="dxa"/>
              <w:bottom w:w="0" w:type="dxa"/>
              <w:right w:w="0" w:type="dxa"/>
            </w:tcMar>
            <w:vAlign w:val="center"/>
          </w:tcPr>
          <w:p w14:paraId="28DD07CE">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3477B958">
            <w:pPr>
              <w:pStyle w:val="17"/>
              <w:bidi w:val="0"/>
              <w:rPr>
                <w:color w:val="auto"/>
                <w:highlight w:val="none"/>
              </w:rPr>
            </w:pPr>
            <w:r>
              <w:rPr>
                <w:color w:val="auto"/>
                <w:highlight w:val="none"/>
              </w:rPr>
              <w:t>95.6</w:t>
            </w:r>
          </w:p>
        </w:tc>
        <w:tc>
          <w:tcPr>
            <w:tcW w:w="206" w:type="pct"/>
            <w:shd w:val="clear" w:color="auto" w:fill="auto"/>
            <w:tcMar>
              <w:top w:w="0" w:type="dxa"/>
              <w:left w:w="0" w:type="dxa"/>
              <w:bottom w:w="0" w:type="dxa"/>
              <w:right w:w="0" w:type="dxa"/>
            </w:tcMar>
            <w:vAlign w:val="center"/>
          </w:tcPr>
          <w:p w14:paraId="57C1E6E2">
            <w:pPr>
              <w:pStyle w:val="17"/>
              <w:bidi w:val="0"/>
              <w:rPr>
                <w:color w:val="auto"/>
                <w:highlight w:val="none"/>
              </w:rPr>
            </w:pPr>
            <w:r>
              <w:rPr>
                <w:color w:val="auto"/>
                <w:highlight w:val="none"/>
              </w:rPr>
              <w:t>-974.6</w:t>
            </w:r>
          </w:p>
        </w:tc>
        <w:tc>
          <w:tcPr>
            <w:tcW w:w="194" w:type="pct"/>
            <w:shd w:val="clear" w:color="auto" w:fill="auto"/>
            <w:tcMar>
              <w:top w:w="0" w:type="dxa"/>
              <w:left w:w="0" w:type="dxa"/>
              <w:bottom w:w="0" w:type="dxa"/>
              <w:right w:w="0" w:type="dxa"/>
            </w:tcMar>
            <w:vAlign w:val="center"/>
          </w:tcPr>
          <w:p w14:paraId="0929EF96">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364129D0">
            <w:pPr>
              <w:pStyle w:val="17"/>
              <w:bidi w:val="0"/>
              <w:rPr>
                <w:color w:val="auto"/>
                <w:highlight w:val="none"/>
              </w:rPr>
            </w:pPr>
            <w:r>
              <w:rPr>
                <w:color w:val="auto"/>
                <w:highlight w:val="none"/>
              </w:rPr>
              <w:t>13.1</w:t>
            </w:r>
          </w:p>
        </w:tc>
        <w:tc>
          <w:tcPr>
            <w:tcW w:w="205" w:type="pct"/>
            <w:shd w:val="clear" w:color="auto" w:fill="auto"/>
            <w:tcMar>
              <w:top w:w="0" w:type="dxa"/>
              <w:left w:w="0" w:type="dxa"/>
              <w:bottom w:w="0" w:type="dxa"/>
              <w:right w:w="0" w:type="dxa"/>
            </w:tcMar>
            <w:vAlign w:val="center"/>
          </w:tcPr>
          <w:p w14:paraId="56216827">
            <w:pPr>
              <w:pStyle w:val="17"/>
              <w:bidi w:val="0"/>
              <w:rPr>
                <w:color w:val="auto"/>
                <w:highlight w:val="none"/>
              </w:rPr>
            </w:pPr>
            <w:r>
              <w:rPr>
                <w:color w:val="auto"/>
                <w:highlight w:val="none"/>
              </w:rPr>
              <w:t>20.6</w:t>
            </w:r>
          </w:p>
        </w:tc>
        <w:tc>
          <w:tcPr>
            <w:tcW w:w="235" w:type="pct"/>
            <w:shd w:val="clear" w:color="auto" w:fill="auto"/>
            <w:tcMar>
              <w:top w:w="0" w:type="dxa"/>
              <w:left w:w="0" w:type="dxa"/>
              <w:bottom w:w="0" w:type="dxa"/>
              <w:right w:w="0" w:type="dxa"/>
            </w:tcMar>
            <w:vAlign w:val="center"/>
          </w:tcPr>
          <w:p w14:paraId="2A5F1C32">
            <w:pPr>
              <w:pStyle w:val="17"/>
              <w:bidi w:val="0"/>
              <w:rPr>
                <w:color w:val="auto"/>
                <w:highlight w:val="none"/>
              </w:rPr>
            </w:pPr>
            <w:r>
              <w:rPr>
                <w:color w:val="auto"/>
                <w:highlight w:val="none"/>
              </w:rPr>
              <w:t>16.8</w:t>
            </w:r>
          </w:p>
        </w:tc>
        <w:tc>
          <w:tcPr>
            <w:tcW w:w="200" w:type="pct"/>
            <w:shd w:val="clear" w:color="auto" w:fill="auto"/>
            <w:tcMar>
              <w:top w:w="0" w:type="dxa"/>
              <w:left w:w="0" w:type="dxa"/>
              <w:bottom w:w="0" w:type="dxa"/>
              <w:right w:w="0" w:type="dxa"/>
            </w:tcMar>
            <w:vAlign w:val="center"/>
          </w:tcPr>
          <w:p w14:paraId="092A22D1">
            <w:pPr>
              <w:pStyle w:val="17"/>
              <w:bidi w:val="0"/>
              <w:rPr>
                <w:color w:val="auto"/>
                <w:highlight w:val="none"/>
              </w:rPr>
            </w:pPr>
            <w:r>
              <w:rPr>
                <w:color w:val="auto"/>
                <w:highlight w:val="none"/>
              </w:rPr>
              <w:t>9.3</w:t>
            </w:r>
          </w:p>
        </w:tc>
        <w:tc>
          <w:tcPr>
            <w:tcW w:w="188" w:type="pct"/>
            <w:shd w:val="clear" w:color="auto" w:fill="auto"/>
            <w:tcMar>
              <w:top w:w="0" w:type="dxa"/>
              <w:left w:w="0" w:type="dxa"/>
              <w:bottom w:w="0" w:type="dxa"/>
              <w:right w:w="0" w:type="dxa"/>
            </w:tcMar>
            <w:vAlign w:val="center"/>
          </w:tcPr>
          <w:p w14:paraId="2E6E9C2A">
            <w:pPr>
              <w:pStyle w:val="17"/>
              <w:bidi w:val="0"/>
              <w:rPr>
                <w:color w:val="auto"/>
                <w:highlight w:val="none"/>
              </w:rPr>
            </w:pPr>
            <w:r>
              <w:rPr>
                <w:color w:val="auto"/>
                <w:highlight w:val="none"/>
              </w:rPr>
              <w:t>51.4</w:t>
            </w:r>
          </w:p>
        </w:tc>
        <w:tc>
          <w:tcPr>
            <w:tcW w:w="211" w:type="pct"/>
            <w:shd w:val="clear" w:color="auto" w:fill="auto"/>
            <w:tcMar>
              <w:top w:w="0" w:type="dxa"/>
              <w:left w:w="0" w:type="dxa"/>
              <w:bottom w:w="0" w:type="dxa"/>
              <w:right w:w="0" w:type="dxa"/>
            </w:tcMar>
            <w:vAlign w:val="center"/>
          </w:tcPr>
          <w:p w14:paraId="0E11C6CE">
            <w:pPr>
              <w:pStyle w:val="17"/>
              <w:bidi w:val="0"/>
              <w:rPr>
                <w:color w:val="auto"/>
                <w:highlight w:val="none"/>
              </w:rPr>
            </w:pPr>
            <w:r>
              <w:rPr>
                <w:color w:val="auto"/>
                <w:highlight w:val="none"/>
              </w:rPr>
              <w:t>51.4</w:t>
            </w:r>
          </w:p>
        </w:tc>
        <w:tc>
          <w:tcPr>
            <w:tcW w:w="182" w:type="pct"/>
            <w:shd w:val="clear" w:color="auto" w:fill="auto"/>
            <w:tcMar>
              <w:top w:w="0" w:type="dxa"/>
              <w:left w:w="0" w:type="dxa"/>
              <w:bottom w:w="0" w:type="dxa"/>
              <w:right w:w="0" w:type="dxa"/>
            </w:tcMar>
            <w:vAlign w:val="center"/>
          </w:tcPr>
          <w:p w14:paraId="7832E36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51.5</w:t>
            </w:r>
          </w:p>
        </w:tc>
        <w:tc>
          <w:tcPr>
            <w:tcW w:w="229" w:type="pct"/>
            <w:shd w:val="clear" w:color="auto" w:fill="auto"/>
            <w:tcMar>
              <w:top w:w="0" w:type="dxa"/>
              <w:left w:w="0" w:type="dxa"/>
              <w:bottom w:w="0" w:type="dxa"/>
              <w:right w:w="0" w:type="dxa"/>
            </w:tcMar>
            <w:vAlign w:val="center"/>
          </w:tcPr>
          <w:p w14:paraId="36944444">
            <w:pPr>
              <w:pStyle w:val="17"/>
              <w:bidi w:val="0"/>
              <w:rPr>
                <w:color w:val="auto"/>
                <w:highlight w:val="none"/>
              </w:rPr>
            </w:pPr>
            <w:r>
              <w:rPr>
                <w:color w:val="auto"/>
                <w:highlight w:val="none"/>
              </w:rPr>
              <w:t>51.5</w:t>
            </w:r>
          </w:p>
        </w:tc>
        <w:tc>
          <w:tcPr>
            <w:tcW w:w="270" w:type="pct"/>
            <w:shd w:val="clear" w:color="auto" w:fill="auto"/>
            <w:tcMar>
              <w:top w:w="0" w:type="dxa"/>
              <w:left w:w="0" w:type="dxa"/>
              <w:bottom w:w="0" w:type="dxa"/>
              <w:right w:w="0" w:type="dxa"/>
            </w:tcMar>
            <w:vAlign w:val="center"/>
          </w:tcPr>
          <w:p w14:paraId="16F2FEB1">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424D4B11">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769C4FA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41.4</w:t>
            </w:r>
          </w:p>
        </w:tc>
        <w:tc>
          <w:tcPr>
            <w:tcW w:w="258" w:type="pct"/>
            <w:shd w:val="clear" w:color="auto" w:fill="auto"/>
            <w:tcMar>
              <w:top w:w="0" w:type="dxa"/>
              <w:left w:w="0" w:type="dxa"/>
              <w:bottom w:w="0" w:type="dxa"/>
              <w:right w:w="0" w:type="dxa"/>
            </w:tcMar>
            <w:vAlign w:val="center"/>
          </w:tcPr>
          <w:p w14:paraId="2535CC2B">
            <w:pPr>
              <w:pStyle w:val="17"/>
              <w:bidi w:val="0"/>
              <w:ind w:firstLine="0" w:firstLineChars="0"/>
              <w:rPr>
                <w:color w:val="auto"/>
                <w:highlight w:val="none"/>
              </w:rPr>
            </w:pPr>
            <w:r>
              <w:rPr>
                <w:rFonts w:hint="eastAsia"/>
                <w:color w:val="auto"/>
                <w:highlight w:val="none"/>
                <w:lang w:val="en-US" w:eastAsia="zh-CN"/>
              </w:rPr>
              <w:t>1</w:t>
            </w:r>
          </w:p>
        </w:tc>
      </w:tr>
      <w:tr w14:paraId="60A2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2705DBF">
            <w:pPr>
              <w:pStyle w:val="17"/>
              <w:bidi w:val="0"/>
              <w:rPr>
                <w:color w:val="auto"/>
                <w:highlight w:val="none"/>
              </w:rPr>
            </w:pPr>
            <w:r>
              <w:rPr>
                <w:color w:val="auto"/>
                <w:highlight w:val="none"/>
              </w:rPr>
              <w:t>17</w:t>
            </w:r>
          </w:p>
        </w:tc>
        <w:tc>
          <w:tcPr>
            <w:tcW w:w="234" w:type="pct"/>
            <w:shd w:val="clear" w:color="auto" w:fill="auto"/>
            <w:tcMar>
              <w:top w:w="0" w:type="dxa"/>
              <w:left w:w="0" w:type="dxa"/>
              <w:bottom w:w="0" w:type="dxa"/>
              <w:right w:w="0" w:type="dxa"/>
            </w:tcMar>
            <w:vAlign w:val="center"/>
          </w:tcPr>
          <w:p w14:paraId="6C989B27">
            <w:pPr>
              <w:pStyle w:val="17"/>
              <w:bidi w:val="0"/>
              <w:rPr>
                <w:color w:val="auto"/>
                <w:highlight w:val="none"/>
              </w:rPr>
            </w:pPr>
            <w:r>
              <w:rPr>
                <w:color w:val="auto"/>
                <w:highlight w:val="none"/>
              </w:rPr>
              <w:t>粉矿仓</w:t>
            </w:r>
          </w:p>
        </w:tc>
        <w:tc>
          <w:tcPr>
            <w:tcW w:w="478" w:type="pct"/>
            <w:shd w:val="clear" w:color="auto" w:fill="auto"/>
            <w:tcMar>
              <w:top w:w="0" w:type="dxa"/>
              <w:left w:w="0" w:type="dxa"/>
              <w:bottom w:w="0" w:type="dxa"/>
              <w:right w:w="0" w:type="dxa"/>
            </w:tcMar>
            <w:vAlign w:val="center"/>
          </w:tcPr>
          <w:p w14:paraId="4AB5F9B5">
            <w:pPr>
              <w:pStyle w:val="17"/>
              <w:bidi w:val="0"/>
              <w:rPr>
                <w:color w:val="auto"/>
                <w:highlight w:val="none"/>
              </w:rPr>
            </w:pPr>
            <w:r>
              <w:rPr>
                <w:color w:val="auto"/>
                <w:highlight w:val="none"/>
              </w:rPr>
              <w:t>液下泵,4台（按点声源组预测）</w:t>
            </w:r>
          </w:p>
        </w:tc>
        <w:tc>
          <w:tcPr>
            <w:tcW w:w="388" w:type="pct"/>
            <w:shd w:val="clear" w:color="auto" w:fill="auto"/>
            <w:tcMar>
              <w:top w:w="0" w:type="dxa"/>
              <w:left w:w="0" w:type="dxa"/>
              <w:bottom w:w="0" w:type="dxa"/>
              <w:right w:w="0" w:type="dxa"/>
            </w:tcMar>
            <w:vAlign w:val="center"/>
          </w:tcPr>
          <w:p w14:paraId="3B9D4565">
            <w:pPr>
              <w:pStyle w:val="17"/>
              <w:bidi w:val="0"/>
              <w:rPr>
                <w:rFonts w:hint="eastAsia" w:eastAsia="宋体"/>
                <w:color w:val="auto"/>
                <w:highlight w:val="none"/>
                <w:lang w:eastAsia="zh-CN"/>
              </w:rPr>
            </w:pPr>
            <w:r>
              <w:rPr>
                <w:color w:val="auto"/>
                <w:highlight w:val="none"/>
              </w:rPr>
              <w:t>75（等效后：81.0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61DFC68C">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258E9134">
            <w:pPr>
              <w:pStyle w:val="17"/>
              <w:bidi w:val="0"/>
              <w:rPr>
                <w:color w:val="auto"/>
                <w:highlight w:val="none"/>
              </w:rPr>
            </w:pPr>
            <w:r>
              <w:rPr>
                <w:color w:val="auto"/>
                <w:highlight w:val="none"/>
              </w:rPr>
              <w:t>88.1</w:t>
            </w:r>
          </w:p>
        </w:tc>
        <w:tc>
          <w:tcPr>
            <w:tcW w:w="206" w:type="pct"/>
            <w:shd w:val="clear" w:color="auto" w:fill="auto"/>
            <w:tcMar>
              <w:top w:w="0" w:type="dxa"/>
              <w:left w:w="0" w:type="dxa"/>
              <w:bottom w:w="0" w:type="dxa"/>
              <w:right w:w="0" w:type="dxa"/>
            </w:tcMar>
            <w:vAlign w:val="center"/>
          </w:tcPr>
          <w:p w14:paraId="13208C79">
            <w:pPr>
              <w:pStyle w:val="17"/>
              <w:bidi w:val="0"/>
              <w:rPr>
                <w:color w:val="auto"/>
                <w:highlight w:val="none"/>
              </w:rPr>
            </w:pPr>
            <w:r>
              <w:rPr>
                <w:color w:val="auto"/>
                <w:highlight w:val="none"/>
              </w:rPr>
              <w:t>-985.9</w:t>
            </w:r>
          </w:p>
        </w:tc>
        <w:tc>
          <w:tcPr>
            <w:tcW w:w="194" w:type="pct"/>
            <w:shd w:val="clear" w:color="auto" w:fill="auto"/>
            <w:tcMar>
              <w:top w:w="0" w:type="dxa"/>
              <w:left w:w="0" w:type="dxa"/>
              <w:bottom w:w="0" w:type="dxa"/>
              <w:right w:w="0" w:type="dxa"/>
            </w:tcMar>
            <w:vAlign w:val="center"/>
          </w:tcPr>
          <w:p w14:paraId="1AE53CA6">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1E96272A">
            <w:pPr>
              <w:pStyle w:val="17"/>
              <w:bidi w:val="0"/>
              <w:rPr>
                <w:color w:val="auto"/>
                <w:highlight w:val="none"/>
              </w:rPr>
            </w:pPr>
            <w:r>
              <w:rPr>
                <w:color w:val="auto"/>
                <w:highlight w:val="none"/>
              </w:rPr>
              <w:t>20.6</w:t>
            </w:r>
          </w:p>
        </w:tc>
        <w:tc>
          <w:tcPr>
            <w:tcW w:w="205" w:type="pct"/>
            <w:shd w:val="clear" w:color="auto" w:fill="auto"/>
            <w:tcMar>
              <w:top w:w="0" w:type="dxa"/>
              <w:left w:w="0" w:type="dxa"/>
              <w:bottom w:w="0" w:type="dxa"/>
              <w:right w:w="0" w:type="dxa"/>
            </w:tcMar>
            <w:vAlign w:val="center"/>
          </w:tcPr>
          <w:p w14:paraId="34815187">
            <w:pPr>
              <w:pStyle w:val="17"/>
              <w:bidi w:val="0"/>
              <w:rPr>
                <w:color w:val="auto"/>
                <w:highlight w:val="none"/>
              </w:rPr>
            </w:pPr>
            <w:r>
              <w:rPr>
                <w:color w:val="auto"/>
                <w:highlight w:val="none"/>
              </w:rPr>
              <w:t>9.3</w:t>
            </w:r>
          </w:p>
        </w:tc>
        <w:tc>
          <w:tcPr>
            <w:tcW w:w="235" w:type="pct"/>
            <w:shd w:val="clear" w:color="auto" w:fill="auto"/>
            <w:tcMar>
              <w:top w:w="0" w:type="dxa"/>
              <w:left w:w="0" w:type="dxa"/>
              <w:bottom w:w="0" w:type="dxa"/>
              <w:right w:w="0" w:type="dxa"/>
            </w:tcMar>
            <w:vAlign w:val="center"/>
          </w:tcPr>
          <w:p w14:paraId="366828F7">
            <w:pPr>
              <w:pStyle w:val="17"/>
              <w:bidi w:val="0"/>
              <w:rPr>
                <w:color w:val="auto"/>
                <w:highlight w:val="none"/>
              </w:rPr>
            </w:pPr>
            <w:r>
              <w:rPr>
                <w:color w:val="auto"/>
                <w:highlight w:val="none"/>
              </w:rPr>
              <w:t>9.3</w:t>
            </w:r>
          </w:p>
        </w:tc>
        <w:tc>
          <w:tcPr>
            <w:tcW w:w="200" w:type="pct"/>
            <w:shd w:val="clear" w:color="auto" w:fill="auto"/>
            <w:tcMar>
              <w:top w:w="0" w:type="dxa"/>
              <w:left w:w="0" w:type="dxa"/>
              <w:bottom w:w="0" w:type="dxa"/>
              <w:right w:w="0" w:type="dxa"/>
            </w:tcMar>
            <w:vAlign w:val="center"/>
          </w:tcPr>
          <w:p w14:paraId="7CD2D3F6">
            <w:pPr>
              <w:pStyle w:val="17"/>
              <w:bidi w:val="0"/>
              <w:rPr>
                <w:color w:val="auto"/>
                <w:highlight w:val="none"/>
              </w:rPr>
            </w:pPr>
            <w:r>
              <w:rPr>
                <w:color w:val="auto"/>
                <w:highlight w:val="none"/>
              </w:rPr>
              <w:t>20.6</w:t>
            </w:r>
          </w:p>
        </w:tc>
        <w:tc>
          <w:tcPr>
            <w:tcW w:w="188" w:type="pct"/>
            <w:shd w:val="clear" w:color="auto" w:fill="auto"/>
            <w:tcMar>
              <w:top w:w="0" w:type="dxa"/>
              <w:left w:w="0" w:type="dxa"/>
              <w:bottom w:w="0" w:type="dxa"/>
              <w:right w:w="0" w:type="dxa"/>
            </w:tcMar>
            <w:vAlign w:val="center"/>
          </w:tcPr>
          <w:p w14:paraId="07BDB9C0">
            <w:pPr>
              <w:pStyle w:val="17"/>
              <w:bidi w:val="0"/>
              <w:rPr>
                <w:color w:val="auto"/>
                <w:highlight w:val="none"/>
              </w:rPr>
            </w:pPr>
            <w:r>
              <w:rPr>
                <w:color w:val="auto"/>
                <w:highlight w:val="none"/>
              </w:rPr>
              <w:t>67.4</w:t>
            </w:r>
          </w:p>
        </w:tc>
        <w:tc>
          <w:tcPr>
            <w:tcW w:w="211" w:type="pct"/>
            <w:shd w:val="clear" w:color="auto" w:fill="auto"/>
            <w:tcMar>
              <w:top w:w="0" w:type="dxa"/>
              <w:left w:w="0" w:type="dxa"/>
              <w:bottom w:w="0" w:type="dxa"/>
              <w:right w:w="0" w:type="dxa"/>
            </w:tcMar>
            <w:vAlign w:val="center"/>
          </w:tcPr>
          <w:p w14:paraId="056A4DDC">
            <w:pPr>
              <w:pStyle w:val="17"/>
              <w:bidi w:val="0"/>
              <w:rPr>
                <w:color w:val="auto"/>
                <w:highlight w:val="none"/>
              </w:rPr>
            </w:pPr>
            <w:r>
              <w:rPr>
                <w:color w:val="auto"/>
                <w:highlight w:val="none"/>
              </w:rPr>
              <w:t>67.5</w:t>
            </w:r>
          </w:p>
        </w:tc>
        <w:tc>
          <w:tcPr>
            <w:tcW w:w="182" w:type="pct"/>
            <w:shd w:val="clear" w:color="auto" w:fill="auto"/>
            <w:tcMar>
              <w:top w:w="0" w:type="dxa"/>
              <w:left w:w="0" w:type="dxa"/>
              <w:bottom w:w="0" w:type="dxa"/>
              <w:right w:w="0" w:type="dxa"/>
            </w:tcMar>
            <w:vAlign w:val="center"/>
          </w:tcPr>
          <w:p w14:paraId="4ED7F50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67.4</w:t>
            </w:r>
          </w:p>
        </w:tc>
        <w:tc>
          <w:tcPr>
            <w:tcW w:w="229" w:type="pct"/>
            <w:shd w:val="clear" w:color="auto" w:fill="auto"/>
            <w:tcMar>
              <w:top w:w="0" w:type="dxa"/>
              <w:left w:w="0" w:type="dxa"/>
              <w:bottom w:w="0" w:type="dxa"/>
              <w:right w:w="0" w:type="dxa"/>
            </w:tcMar>
            <w:vAlign w:val="center"/>
          </w:tcPr>
          <w:p w14:paraId="394D0CF7">
            <w:pPr>
              <w:pStyle w:val="17"/>
              <w:bidi w:val="0"/>
              <w:rPr>
                <w:color w:val="auto"/>
                <w:highlight w:val="none"/>
              </w:rPr>
            </w:pPr>
            <w:r>
              <w:rPr>
                <w:color w:val="auto"/>
                <w:highlight w:val="none"/>
              </w:rPr>
              <w:t>67.4</w:t>
            </w:r>
          </w:p>
        </w:tc>
        <w:tc>
          <w:tcPr>
            <w:tcW w:w="270" w:type="pct"/>
            <w:shd w:val="clear" w:color="auto" w:fill="auto"/>
            <w:tcMar>
              <w:top w:w="0" w:type="dxa"/>
              <w:left w:w="0" w:type="dxa"/>
              <w:bottom w:w="0" w:type="dxa"/>
              <w:right w:w="0" w:type="dxa"/>
            </w:tcMar>
            <w:vAlign w:val="center"/>
          </w:tcPr>
          <w:p w14:paraId="13827A47">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110D00B">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341A484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57.4</w:t>
            </w:r>
          </w:p>
        </w:tc>
        <w:tc>
          <w:tcPr>
            <w:tcW w:w="258" w:type="pct"/>
            <w:shd w:val="clear" w:color="auto" w:fill="auto"/>
            <w:tcMar>
              <w:top w:w="0" w:type="dxa"/>
              <w:left w:w="0" w:type="dxa"/>
              <w:bottom w:w="0" w:type="dxa"/>
              <w:right w:w="0" w:type="dxa"/>
            </w:tcMar>
            <w:vAlign w:val="center"/>
          </w:tcPr>
          <w:p w14:paraId="4866A3DD">
            <w:pPr>
              <w:pStyle w:val="17"/>
              <w:bidi w:val="0"/>
              <w:ind w:firstLine="0" w:firstLineChars="0"/>
              <w:rPr>
                <w:color w:val="auto"/>
                <w:highlight w:val="none"/>
              </w:rPr>
            </w:pPr>
            <w:r>
              <w:rPr>
                <w:rFonts w:hint="eastAsia"/>
                <w:color w:val="auto"/>
                <w:highlight w:val="none"/>
                <w:lang w:val="en-US" w:eastAsia="zh-CN"/>
              </w:rPr>
              <w:t>1</w:t>
            </w:r>
          </w:p>
        </w:tc>
      </w:tr>
      <w:tr w14:paraId="181D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44BFF82D">
            <w:pPr>
              <w:pStyle w:val="17"/>
              <w:bidi w:val="0"/>
              <w:rPr>
                <w:color w:val="auto"/>
                <w:highlight w:val="none"/>
              </w:rPr>
            </w:pPr>
            <w:r>
              <w:rPr>
                <w:color w:val="auto"/>
                <w:highlight w:val="none"/>
              </w:rPr>
              <w:t>18</w:t>
            </w:r>
          </w:p>
        </w:tc>
        <w:tc>
          <w:tcPr>
            <w:tcW w:w="234" w:type="pct"/>
            <w:shd w:val="clear" w:color="auto" w:fill="auto"/>
            <w:tcMar>
              <w:top w:w="0" w:type="dxa"/>
              <w:left w:w="0" w:type="dxa"/>
              <w:bottom w:w="0" w:type="dxa"/>
              <w:right w:w="0" w:type="dxa"/>
            </w:tcMar>
            <w:vAlign w:val="center"/>
          </w:tcPr>
          <w:p w14:paraId="0DA86EF4">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14A33F47">
            <w:pPr>
              <w:pStyle w:val="17"/>
              <w:bidi w:val="0"/>
              <w:rPr>
                <w:color w:val="auto"/>
                <w:highlight w:val="none"/>
              </w:rPr>
            </w:pPr>
            <w:r>
              <w:rPr>
                <w:color w:val="auto"/>
                <w:highlight w:val="none"/>
              </w:rPr>
              <w:t>双层直线振动筛,2台（按点声源组预测）</w:t>
            </w:r>
          </w:p>
        </w:tc>
        <w:tc>
          <w:tcPr>
            <w:tcW w:w="388" w:type="pct"/>
            <w:shd w:val="clear" w:color="auto" w:fill="auto"/>
            <w:tcMar>
              <w:top w:w="0" w:type="dxa"/>
              <w:left w:w="0" w:type="dxa"/>
              <w:bottom w:w="0" w:type="dxa"/>
              <w:right w:w="0" w:type="dxa"/>
            </w:tcMar>
            <w:vAlign w:val="center"/>
          </w:tcPr>
          <w:p w14:paraId="64D978B4">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29722F45">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3A208845">
            <w:pPr>
              <w:pStyle w:val="17"/>
              <w:bidi w:val="0"/>
              <w:rPr>
                <w:color w:val="auto"/>
                <w:highlight w:val="none"/>
              </w:rPr>
            </w:pPr>
            <w:r>
              <w:rPr>
                <w:color w:val="auto"/>
                <w:highlight w:val="none"/>
              </w:rPr>
              <w:t>20.8</w:t>
            </w:r>
          </w:p>
        </w:tc>
        <w:tc>
          <w:tcPr>
            <w:tcW w:w="206" w:type="pct"/>
            <w:shd w:val="clear" w:color="auto" w:fill="auto"/>
            <w:tcMar>
              <w:top w:w="0" w:type="dxa"/>
              <w:left w:w="0" w:type="dxa"/>
              <w:bottom w:w="0" w:type="dxa"/>
              <w:right w:w="0" w:type="dxa"/>
            </w:tcMar>
            <w:vAlign w:val="center"/>
          </w:tcPr>
          <w:p w14:paraId="0F27A39E">
            <w:pPr>
              <w:pStyle w:val="17"/>
              <w:bidi w:val="0"/>
              <w:rPr>
                <w:color w:val="auto"/>
                <w:highlight w:val="none"/>
              </w:rPr>
            </w:pPr>
            <w:r>
              <w:rPr>
                <w:color w:val="auto"/>
                <w:highlight w:val="none"/>
              </w:rPr>
              <w:t>-967.2</w:t>
            </w:r>
          </w:p>
        </w:tc>
        <w:tc>
          <w:tcPr>
            <w:tcW w:w="194" w:type="pct"/>
            <w:shd w:val="clear" w:color="auto" w:fill="auto"/>
            <w:tcMar>
              <w:top w:w="0" w:type="dxa"/>
              <w:left w:w="0" w:type="dxa"/>
              <w:bottom w:w="0" w:type="dxa"/>
              <w:right w:w="0" w:type="dxa"/>
            </w:tcMar>
            <w:vAlign w:val="center"/>
          </w:tcPr>
          <w:p w14:paraId="573826BE">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14FC156C">
            <w:pPr>
              <w:pStyle w:val="17"/>
              <w:bidi w:val="0"/>
              <w:rPr>
                <w:color w:val="auto"/>
                <w:highlight w:val="none"/>
              </w:rPr>
            </w:pPr>
            <w:r>
              <w:rPr>
                <w:color w:val="auto"/>
                <w:highlight w:val="none"/>
              </w:rPr>
              <w:t>20.6</w:t>
            </w:r>
          </w:p>
        </w:tc>
        <w:tc>
          <w:tcPr>
            <w:tcW w:w="205" w:type="pct"/>
            <w:shd w:val="clear" w:color="auto" w:fill="auto"/>
            <w:tcMar>
              <w:top w:w="0" w:type="dxa"/>
              <w:left w:w="0" w:type="dxa"/>
              <w:bottom w:w="0" w:type="dxa"/>
              <w:right w:w="0" w:type="dxa"/>
            </w:tcMar>
            <w:vAlign w:val="center"/>
          </w:tcPr>
          <w:p w14:paraId="369178A5">
            <w:pPr>
              <w:pStyle w:val="17"/>
              <w:bidi w:val="0"/>
              <w:rPr>
                <w:color w:val="auto"/>
                <w:highlight w:val="none"/>
              </w:rPr>
            </w:pPr>
            <w:r>
              <w:rPr>
                <w:color w:val="auto"/>
                <w:highlight w:val="none"/>
              </w:rPr>
              <w:t>14.9</w:t>
            </w:r>
          </w:p>
        </w:tc>
        <w:tc>
          <w:tcPr>
            <w:tcW w:w="235" w:type="pct"/>
            <w:shd w:val="clear" w:color="auto" w:fill="auto"/>
            <w:tcMar>
              <w:top w:w="0" w:type="dxa"/>
              <w:left w:w="0" w:type="dxa"/>
              <w:bottom w:w="0" w:type="dxa"/>
              <w:right w:w="0" w:type="dxa"/>
            </w:tcMar>
            <w:vAlign w:val="center"/>
          </w:tcPr>
          <w:p w14:paraId="41AD001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14.9</w:t>
            </w:r>
          </w:p>
        </w:tc>
        <w:tc>
          <w:tcPr>
            <w:tcW w:w="200" w:type="pct"/>
            <w:shd w:val="clear" w:color="auto" w:fill="auto"/>
            <w:tcMar>
              <w:top w:w="0" w:type="dxa"/>
              <w:left w:w="0" w:type="dxa"/>
              <w:bottom w:w="0" w:type="dxa"/>
              <w:right w:w="0" w:type="dxa"/>
            </w:tcMar>
            <w:vAlign w:val="center"/>
          </w:tcPr>
          <w:p w14:paraId="521ED6F6">
            <w:pPr>
              <w:pStyle w:val="17"/>
              <w:bidi w:val="0"/>
              <w:rPr>
                <w:color w:val="auto"/>
                <w:highlight w:val="none"/>
              </w:rPr>
            </w:pPr>
            <w:r>
              <w:rPr>
                <w:color w:val="auto"/>
                <w:highlight w:val="none"/>
              </w:rPr>
              <w:t>82.3</w:t>
            </w:r>
          </w:p>
        </w:tc>
        <w:tc>
          <w:tcPr>
            <w:tcW w:w="188" w:type="pct"/>
            <w:shd w:val="clear" w:color="auto" w:fill="auto"/>
            <w:tcMar>
              <w:top w:w="0" w:type="dxa"/>
              <w:left w:w="0" w:type="dxa"/>
              <w:bottom w:w="0" w:type="dxa"/>
              <w:right w:w="0" w:type="dxa"/>
            </w:tcMar>
            <w:vAlign w:val="center"/>
          </w:tcPr>
          <w:p w14:paraId="35198904">
            <w:pPr>
              <w:pStyle w:val="17"/>
              <w:bidi w:val="0"/>
              <w:rPr>
                <w:color w:val="auto"/>
                <w:highlight w:val="none"/>
              </w:rPr>
            </w:pPr>
            <w:r>
              <w:rPr>
                <w:color w:val="auto"/>
                <w:highlight w:val="none"/>
              </w:rPr>
              <w:t>59.5</w:t>
            </w:r>
          </w:p>
        </w:tc>
        <w:tc>
          <w:tcPr>
            <w:tcW w:w="211" w:type="pct"/>
            <w:shd w:val="clear" w:color="auto" w:fill="auto"/>
            <w:tcMar>
              <w:top w:w="0" w:type="dxa"/>
              <w:left w:w="0" w:type="dxa"/>
              <w:bottom w:w="0" w:type="dxa"/>
              <w:right w:w="0" w:type="dxa"/>
            </w:tcMar>
            <w:vAlign w:val="center"/>
          </w:tcPr>
          <w:p w14:paraId="77A199D2">
            <w:pPr>
              <w:pStyle w:val="17"/>
              <w:bidi w:val="0"/>
              <w:rPr>
                <w:color w:val="auto"/>
                <w:highlight w:val="none"/>
              </w:rPr>
            </w:pPr>
            <w:r>
              <w:rPr>
                <w:color w:val="auto"/>
                <w:highlight w:val="none"/>
              </w:rPr>
              <w:t>59.5</w:t>
            </w:r>
          </w:p>
        </w:tc>
        <w:tc>
          <w:tcPr>
            <w:tcW w:w="182" w:type="pct"/>
            <w:shd w:val="clear" w:color="auto" w:fill="auto"/>
            <w:tcMar>
              <w:top w:w="0" w:type="dxa"/>
              <w:left w:w="0" w:type="dxa"/>
              <w:bottom w:w="0" w:type="dxa"/>
              <w:right w:w="0" w:type="dxa"/>
            </w:tcMar>
            <w:vAlign w:val="center"/>
          </w:tcPr>
          <w:p w14:paraId="3B9314F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59.4</w:t>
            </w:r>
          </w:p>
        </w:tc>
        <w:tc>
          <w:tcPr>
            <w:tcW w:w="229" w:type="pct"/>
            <w:shd w:val="clear" w:color="auto" w:fill="auto"/>
            <w:tcMar>
              <w:top w:w="0" w:type="dxa"/>
              <w:left w:w="0" w:type="dxa"/>
              <w:bottom w:w="0" w:type="dxa"/>
              <w:right w:w="0" w:type="dxa"/>
            </w:tcMar>
            <w:vAlign w:val="center"/>
          </w:tcPr>
          <w:p w14:paraId="1CAD324C">
            <w:pPr>
              <w:pStyle w:val="17"/>
              <w:bidi w:val="0"/>
              <w:rPr>
                <w:color w:val="auto"/>
                <w:highlight w:val="none"/>
              </w:rPr>
            </w:pPr>
            <w:r>
              <w:rPr>
                <w:color w:val="auto"/>
                <w:highlight w:val="none"/>
              </w:rPr>
              <w:t>59.4</w:t>
            </w:r>
          </w:p>
        </w:tc>
        <w:tc>
          <w:tcPr>
            <w:tcW w:w="270" w:type="pct"/>
            <w:shd w:val="clear" w:color="auto" w:fill="auto"/>
            <w:tcMar>
              <w:top w:w="0" w:type="dxa"/>
              <w:left w:w="0" w:type="dxa"/>
              <w:bottom w:w="0" w:type="dxa"/>
              <w:right w:w="0" w:type="dxa"/>
            </w:tcMar>
            <w:vAlign w:val="center"/>
          </w:tcPr>
          <w:p w14:paraId="566CC7F9">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0CDD8D6">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0A1CCCD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49.5</w:t>
            </w:r>
          </w:p>
        </w:tc>
        <w:tc>
          <w:tcPr>
            <w:tcW w:w="258" w:type="pct"/>
            <w:shd w:val="clear" w:color="auto" w:fill="auto"/>
            <w:tcMar>
              <w:top w:w="0" w:type="dxa"/>
              <w:left w:w="0" w:type="dxa"/>
              <w:bottom w:w="0" w:type="dxa"/>
              <w:right w:w="0" w:type="dxa"/>
            </w:tcMar>
            <w:vAlign w:val="center"/>
          </w:tcPr>
          <w:p w14:paraId="011478DC">
            <w:pPr>
              <w:pStyle w:val="17"/>
              <w:bidi w:val="0"/>
              <w:ind w:firstLine="0" w:firstLineChars="0"/>
              <w:rPr>
                <w:color w:val="auto"/>
                <w:highlight w:val="none"/>
              </w:rPr>
            </w:pPr>
            <w:r>
              <w:rPr>
                <w:rFonts w:hint="eastAsia"/>
                <w:color w:val="auto"/>
                <w:highlight w:val="none"/>
                <w:lang w:val="en-US" w:eastAsia="zh-CN"/>
              </w:rPr>
              <w:t>1</w:t>
            </w:r>
          </w:p>
        </w:tc>
      </w:tr>
      <w:tr w14:paraId="3374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4AD356D3">
            <w:pPr>
              <w:pStyle w:val="17"/>
              <w:bidi w:val="0"/>
              <w:rPr>
                <w:color w:val="auto"/>
                <w:highlight w:val="none"/>
              </w:rPr>
            </w:pPr>
            <w:r>
              <w:rPr>
                <w:color w:val="auto"/>
                <w:highlight w:val="none"/>
              </w:rPr>
              <w:t>19</w:t>
            </w:r>
          </w:p>
        </w:tc>
        <w:tc>
          <w:tcPr>
            <w:tcW w:w="234" w:type="pct"/>
            <w:shd w:val="clear" w:color="auto" w:fill="auto"/>
            <w:tcMar>
              <w:top w:w="0" w:type="dxa"/>
              <w:left w:w="0" w:type="dxa"/>
              <w:bottom w:w="0" w:type="dxa"/>
              <w:right w:w="0" w:type="dxa"/>
            </w:tcMar>
            <w:vAlign w:val="center"/>
          </w:tcPr>
          <w:p w14:paraId="034AAD39">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34E14982">
            <w:pPr>
              <w:pStyle w:val="17"/>
              <w:bidi w:val="0"/>
              <w:rPr>
                <w:color w:val="auto"/>
                <w:highlight w:val="none"/>
              </w:rPr>
            </w:pPr>
            <w:r>
              <w:rPr>
                <w:color w:val="auto"/>
                <w:highlight w:val="none"/>
              </w:rPr>
              <w:t>CV.8带式输送机</w:t>
            </w:r>
          </w:p>
        </w:tc>
        <w:tc>
          <w:tcPr>
            <w:tcW w:w="388" w:type="pct"/>
            <w:shd w:val="clear" w:color="auto" w:fill="auto"/>
            <w:tcMar>
              <w:top w:w="0" w:type="dxa"/>
              <w:left w:w="0" w:type="dxa"/>
              <w:bottom w:w="0" w:type="dxa"/>
              <w:right w:w="0" w:type="dxa"/>
            </w:tcMar>
            <w:vAlign w:val="center"/>
          </w:tcPr>
          <w:p w14:paraId="639DDE7F">
            <w:pPr>
              <w:pStyle w:val="17"/>
              <w:bidi w:val="0"/>
              <w:rPr>
                <w:color w:val="auto"/>
                <w:highlight w:val="none"/>
              </w:rPr>
            </w:pPr>
            <w:r>
              <w:rPr>
                <w:color w:val="auto"/>
                <w:highlight w:val="none"/>
              </w:rPr>
              <w:t>65</w:t>
            </w:r>
          </w:p>
        </w:tc>
        <w:tc>
          <w:tcPr>
            <w:tcW w:w="329" w:type="pct"/>
            <w:vMerge w:val="continue"/>
            <w:shd w:val="clear" w:color="auto" w:fill="auto"/>
            <w:tcMar>
              <w:top w:w="0" w:type="dxa"/>
              <w:left w:w="0" w:type="dxa"/>
              <w:bottom w:w="0" w:type="dxa"/>
              <w:right w:w="0" w:type="dxa"/>
            </w:tcMar>
            <w:vAlign w:val="center"/>
          </w:tcPr>
          <w:p w14:paraId="6A09279F">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50C293C7">
            <w:pPr>
              <w:pStyle w:val="17"/>
              <w:bidi w:val="0"/>
              <w:rPr>
                <w:color w:val="auto"/>
                <w:highlight w:val="none"/>
              </w:rPr>
            </w:pPr>
            <w:r>
              <w:rPr>
                <w:color w:val="auto"/>
                <w:highlight w:val="none"/>
              </w:rPr>
              <w:t>20.8</w:t>
            </w:r>
          </w:p>
        </w:tc>
        <w:tc>
          <w:tcPr>
            <w:tcW w:w="206" w:type="pct"/>
            <w:shd w:val="clear" w:color="auto" w:fill="auto"/>
            <w:tcMar>
              <w:top w:w="0" w:type="dxa"/>
              <w:left w:w="0" w:type="dxa"/>
              <w:bottom w:w="0" w:type="dxa"/>
              <w:right w:w="0" w:type="dxa"/>
            </w:tcMar>
            <w:vAlign w:val="center"/>
          </w:tcPr>
          <w:p w14:paraId="5894ED80">
            <w:pPr>
              <w:pStyle w:val="17"/>
              <w:bidi w:val="0"/>
              <w:rPr>
                <w:color w:val="auto"/>
                <w:highlight w:val="none"/>
              </w:rPr>
            </w:pPr>
            <w:r>
              <w:rPr>
                <w:color w:val="auto"/>
                <w:highlight w:val="none"/>
              </w:rPr>
              <w:t>-948.5</w:t>
            </w:r>
          </w:p>
        </w:tc>
        <w:tc>
          <w:tcPr>
            <w:tcW w:w="194" w:type="pct"/>
            <w:shd w:val="clear" w:color="auto" w:fill="auto"/>
            <w:tcMar>
              <w:top w:w="0" w:type="dxa"/>
              <w:left w:w="0" w:type="dxa"/>
              <w:bottom w:w="0" w:type="dxa"/>
              <w:right w:w="0" w:type="dxa"/>
            </w:tcMar>
            <w:vAlign w:val="center"/>
          </w:tcPr>
          <w:p w14:paraId="38235B92">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76B829FA">
            <w:pPr>
              <w:pStyle w:val="17"/>
              <w:bidi w:val="0"/>
              <w:rPr>
                <w:color w:val="auto"/>
                <w:highlight w:val="none"/>
              </w:rPr>
            </w:pPr>
            <w:r>
              <w:rPr>
                <w:color w:val="auto"/>
                <w:highlight w:val="none"/>
              </w:rPr>
              <w:t>20.6</w:t>
            </w:r>
          </w:p>
        </w:tc>
        <w:tc>
          <w:tcPr>
            <w:tcW w:w="205" w:type="pct"/>
            <w:shd w:val="clear" w:color="auto" w:fill="auto"/>
            <w:tcMar>
              <w:top w:w="0" w:type="dxa"/>
              <w:left w:w="0" w:type="dxa"/>
              <w:bottom w:w="0" w:type="dxa"/>
              <w:right w:w="0" w:type="dxa"/>
            </w:tcMar>
            <w:vAlign w:val="center"/>
          </w:tcPr>
          <w:p w14:paraId="54D15E98">
            <w:pPr>
              <w:pStyle w:val="17"/>
              <w:bidi w:val="0"/>
              <w:rPr>
                <w:color w:val="auto"/>
                <w:highlight w:val="none"/>
              </w:rPr>
            </w:pPr>
            <w:r>
              <w:rPr>
                <w:color w:val="auto"/>
                <w:highlight w:val="none"/>
              </w:rPr>
              <w:t>33.6</w:t>
            </w:r>
          </w:p>
        </w:tc>
        <w:tc>
          <w:tcPr>
            <w:tcW w:w="235" w:type="pct"/>
            <w:shd w:val="clear" w:color="auto" w:fill="auto"/>
            <w:tcMar>
              <w:top w:w="0" w:type="dxa"/>
              <w:left w:w="0" w:type="dxa"/>
              <w:bottom w:w="0" w:type="dxa"/>
              <w:right w:w="0" w:type="dxa"/>
            </w:tcMar>
            <w:vAlign w:val="center"/>
          </w:tcPr>
          <w:p w14:paraId="4D3DED8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33.6</w:t>
            </w:r>
          </w:p>
        </w:tc>
        <w:tc>
          <w:tcPr>
            <w:tcW w:w="200" w:type="pct"/>
            <w:shd w:val="clear" w:color="auto" w:fill="auto"/>
            <w:tcMar>
              <w:top w:w="0" w:type="dxa"/>
              <w:left w:w="0" w:type="dxa"/>
              <w:bottom w:w="0" w:type="dxa"/>
              <w:right w:w="0" w:type="dxa"/>
            </w:tcMar>
            <w:vAlign w:val="center"/>
          </w:tcPr>
          <w:p w14:paraId="65E456BB">
            <w:pPr>
              <w:pStyle w:val="17"/>
              <w:bidi w:val="0"/>
              <w:rPr>
                <w:color w:val="auto"/>
                <w:highlight w:val="none"/>
              </w:rPr>
            </w:pPr>
            <w:r>
              <w:rPr>
                <w:color w:val="auto"/>
                <w:highlight w:val="none"/>
              </w:rPr>
              <w:t>63.6</w:t>
            </w:r>
          </w:p>
        </w:tc>
        <w:tc>
          <w:tcPr>
            <w:tcW w:w="188" w:type="pct"/>
            <w:shd w:val="clear" w:color="auto" w:fill="auto"/>
            <w:tcMar>
              <w:top w:w="0" w:type="dxa"/>
              <w:left w:w="0" w:type="dxa"/>
              <w:bottom w:w="0" w:type="dxa"/>
              <w:right w:w="0" w:type="dxa"/>
            </w:tcMar>
            <w:vAlign w:val="center"/>
          </w:tcPr>
          <w:p w14:paraId="44D54230">
            <w:pPr>
              <w:pStyle w:val="17"/>
              <w:bidi w:val="0"/>
              <w:rPr>
                <w:color w:val="auto"/>
                <w:highlight w:val="none"/>
              </w:rPr>
            </w:pPr>
            <w:r>
              <w:rPr>
                <w:color w:val="auto"/>
                <w:highlight w:val="none"/>
              </w:rPr>
              <w:t>46.5</w:t>
            </w:r>
          </w:p>
        </w:tc>
        <w:tc>
          <w:tcPr>
            <w:tcW w:w="211" w:type="pct"/>
            <w:shd w:val="clear" w:color="auto" w:fill="auto"/>
            <w:tcMar>
              <w:top w:w="0" w:type="dxa"/>
              <w:left w:w="0" w:type="dxa"/>
              <w:bottom w:w="0" w:type="dxa"/>
              <w:right w:w="0" w:type="dxa"/>
            </w:tcMar>
            <w:vAlign w:val="center"/>
          </w:tcPr>
          <w:p w14:paraId="1A5B82CC">
            <w:pPr>
              <w:pStyle w:val="17"/>
              <w:bidi w:val="0"/>
              <w:rPr>
                <w:color w:val="auto"/>
                <w:highlight w:val="none"/>
              </w:rPr>
            </w:pPr>
            <w:r>
              <w:rPr>
                <w:color w:val="auto"/>
                <w:highlight w:val="none"/>
              </w:rPr>
              <w:t>46.4</w:t>
            </w:r>
          </w:p>
        </w:tc>
        <w:tc>
          <w:tcPr>
            <w:tcW w:w="182" w:type="pct"/>
            <w:shd w:val="clear" w:color="auto" w:fill="auto"/>
            <w:tcMar>
              <w:top w:w="0" w:type="dxa"/>
              <w:left w:w="0" w:type="dxa"/>
              <w:bottom w:w="0" w:type="dxa"/>
              <w:right w:w="0" w:type="dxa"/>
            </w:tcMar>
            <w:vAlign w:val="center"/>
          </w:tcPr>
          <w:p w14:paraId="25C82A3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46.4</w:t>
            </w:r>
          </w:p>
        </w:tc>
        <w:tc>
          <w:tcPr>
            <w:tcW w:w="229" w:type="pct"/>
            <w:shd w:val="clear" w:color="auto" w:fill="auto"/>
            <w:tcMar>
              <w:top w:w="0" w:type="dxa"/>
              <w:left w:w="0" w:type="dxa"/>
              <w:bottom w:w="0" w:type="dxa"/>
              <w:right w:w="0" w:type="dxa"/>
            </w:tcMar>
            <w:vAlign w:val="center"/>
          </w:tcPr>
          <w:p w14:paraId="484B794C">
            <w:pPr>
              <w:pStyle w:val="17"/>
              <w:bidi w:val="0"/>
              <w:rPr>
                <w:color w:val="auto"/>
                <w:highlight w:val="none"/>
              </w:rPr>
            </w:pPr>
            <w:r>
              <w:rPr>
                <w:color w:val="auto"/>
                <w:highlight w:val="none"/>
              </w:rPr>
              <w:t>46.4</w:t>
            </w:r>
          </w:p>
        </w:tc>
        <w:tc>
          <w:tcPr>
            <w:tcW w:w="270" w:type="pct"/>
            <w:shd w:val="clear" w:color="auto" w:fill="auto"/>
            <w:tcMar>
              <w:top w:w="0" w:type="dxa"/>
              <w:left w:w="0" w:type="dxa"/>
              <w:bottom w:w="0" w:type="dxa"/>
              <w:right w:w="0" w:type="dxa"/>
            </w:tcMar>
            <w:vAlign w:val="center"/>
          </w:tcPr>
          <w:p w14:paraId="2FCD947B">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49E19AF8">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4DA67A8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36.5</w:t>
            </w:r>
          </w:p>
        </w:tc>
        <w:tc>
          <w:tcPr>
            <w:tcW w:w="258" w:type="pct"/>
            <w:shd w:val="clear" w:color="auto" w:fill="auto"/>
            <w:tcMar>
              <w:top w:w="0" w:type="dxa"/>
              <w:left w:w="0" w:type="dxa"/>
              <w:bottom w:w="0" w:type="dxa"/>
              <w:right w:w="0" w:type="dxa"/>
            </w:tcMar>
            <w:vAlign w:val="center"/>
          </w:tcPr>
          <w:p w14:paraId="15B320DE">
            <w:pPr>
              <w:pStyle w:val="17"/>
              <w:bidi w:val="0"/>
              <w:ind w:firstLine="0" w:firstLineChars="0"/>
              <w:rPr>
                <w:color w:val="auto"/>
                <w:highlight w:val="none"/>
              </w:rPr>
            </w:pPr>
            <w:r>
              <w:rPr>
                <w:rFonts w:hint="eastAsia"/>
                <w:color w:val="auto"/>
                <w:highlight w:val="none"/>
                <w:lang w:val="en-US" w:eastAsia="zh-CN"/>
              </w:rPr>
              <w:t>1</w:t>
            </w:r>
          </w:p>
        </w:tc>
      </w:tr>
      <w:tr w14:paraId="3A22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2C040D7">
            <w:pPr>
              <w:pStyle w:val="17"/>
              <w:bidi w:val="0"/>
              <w:rPr>
                <w:color w:val="auto"/>
                <w:highlight w:val="none"/>
              </w:rPr>
            </w:pPr>
            <w:r>
              <w:rPr>
                <w:color w:val="auto"/>
                <w:highlight w:val="none"/>
              </w:rPr>
              <w:t>20</w:t>
            </w:r>
          </w:p>
        </w:tc>
        <w:tc>
          <w:tcPr>
            <w:tcW w:w="234" w:type="pct"/>
            <w:shd w:val="clear" w:color="auto" w:fill="auto"/>
            <w:tcMar>
              <w:top w:w="0" w:type="dxa"/>
              <w:left w:w="0" w:type="dxa"/>
              <w:bottom w:w="0" w:type="dxa"/>
              <w:right w:w="0" w:type="dxa"/>
            </w:tcMar>
            <w:vAlign w:val="center"/>
          </w:tcPr>
          <w:p w14:paraId="514F1158">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4711ECCE">
            <w:pPr>
              <w:pStyle w:val="17"/>
              <w:bidi w:val="0"/>
              <w:rPr>
                <w:color w:val="auto"/>
                <w:highlight w:val="none"/>
              </w:rPr>
            </w:pPr>
            <w:r>
              <w:rPr>
                <w:color w:val="auto"/>
                <w:highlight w:val="none"/>
              </w:rPr>
              <w:t>球磨机</w:t>
            </w:r>
          </w:p>
        </w:tc>
        <w:tc>
          <w:tcPr>
            <w:tcW w:w="388" w:type="pct"/>
            <w:shd w:val="clear" w:color="auto" w:fill="auto"/>
            <w:tcMar>
              <w:top w:w="0" w:type="dxa"/>
              <w:left w:w="0" w:type="dxa"/>
              <w:bottom w:w="0" w:type="dxa"/>
              <w:right w:w="0" w:type="dxa"/>
            </w:tcMar>
            <w:vAlign w:val="center"/>
          </w:tcPr>
          <w:p w14:paraId="72E30C1F">
            <w:pPr>
              <w:pStyle w:val="17"/>
              <w:bidi w:val="0"/>
              <w:rPr>
                <w:color w:val="auto"/>
                <w:highlight w:val="none"/>
              </w:rPr>
            </w:pPr>
            <w:r>
              <w:rPr>
                <w:color w:val="auto"/>
                <w:highlight w:val="none"/>
              </w:rPr>
              <w:t>80</w:t>
            </w:r>
          </w:p>
        </w:tc>
        <w:tc>
          <w:tcPr>
            <w:tcW w:w="329" w:type="pct"/>
            <w:vMerge w:val="continue"/>
            <w:shd w:val="clear" w:color="auto" w:fill="auto"/>
            <w:tcMar>
              <w:top w:w="0" w:type="dxa"/>
              <w:left w:w="0" w:type="dxa"/>
              <w:bottom w:w="0" w:type="dxa"/>
              <w:right w:w="0" w:type="dxa"/>
            </w:tcMar>
            <w:vAlign w:val="center"/>
          </w:tcPr>
          <w:p w14:paraId="1287347D">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DC54662">
            <w:pPr>
              <w:pStyle w:val="17"/>
              <w:bidi w:val="0"/>
              <w:rPr>
                <w:color w:val="auto"/>
                <w:highlight w:val="none"/>
              </w:rPr>
            </w:pPr>
            <w:r>
              <w:rPr>
                <w:color w:val="auto"/>
                <w:highlight w:val="none"/>
              </w:rPr>
              <w:t>-1.6</w:t>
            </w:r>
          </w:p>
        </w:tc>
        <w:tc>
          <w:tcPr>
            <w:tcW w:w="206" w:type="pct"/>
            <w:shd w:val="clear" w:color="auto" w:fill="auto"/>
            <w:tcMar>
              <w:top w:w="0" w:type="dxa"/>
              <w:left w:w="0" w:type="dxa"/>
              <w:bottom w:w="0" w:type="dxa"/>
              <w:right w:w="0" w:type="dxa"/>
            </w:tcMar>
            <w:vAlign w:val="center"/>
          </w:tcPr>
          <w:p w14:paraId="60C63203">
            <w:pPr>
              <w:pStyle w:val="17"/>
              <w:bidi w:val="0"/>
              <w:rPr>
                <w:color w:val="auto"/>
                <w:highlight w:val="none"/>
              </w:rPr>
            </w:pPr>
            <w:r>
              <w:rPr>
                <w:color w:val="auto"/>
                <w:highlight w:val="none"/>
              </w:rPr>
              <w:t>-967.2</w:t>
            </w:r>
          </w:p>
        </w:tc>
        <w:tc>
          <w:tcPr>
            <w:tcW w:w="194" w:type="pct"/>
            <w:shd w:val="clear" w:color="auto" w:fill="auto"/>
            <w:tcMar>
              <w:top w:w="0" w:type="dxa"/>
              <w:left w:w="0" w:type="dxa"/>
              <w:bottom w:w="0" w:type="dxa"/>
              <w:right w:w="0" w:type="dxa"/>
            </w:tcMar>
            <w:vAlign w:val="center"/>
          </w:tcPr>
          <w:p w14:paraId="38B6A0F0">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55738BB">
            <w:pPr>
              <w:pStyle w:val="17"/>
              <w:bidi w:val="0"/>
              <w:rPr>
                <w:color w:val="auto"/>
                <w:highlight w:val="none"/>
              </w:rPr>
            </w:pPr>
            <w:r>
              <w:rPr>
                <w:color w:val="auto"/>
                <w:highlight w:val="none"/>
              </w:rPr>
              <w:t>43.0</w:t>
            </w:r>
          </w:p>
        </w:tc>
        <w:tc>
          <w:tcPr>
            <w:tcW w:w="205" w:type="pct"/>
            <w:shd w:val="clear" w:color="auto" w:fill="auto"/>
            <w:tcMar>
              <w:top w:w="0" w:type="dxa"/>
              <w:left w:w="0" w:type="dxa"/>
              <w:bottom w:w="0" w:type="dxa"/>
              <w:right w:w="0" w:type="dxa"/>
            </w:tcMar>
            <w:vAlign w:val="center"/>
          </w:tcPr>
          <w:p w14:paraId="679E000C">
            <w:pPr>
              <w:pStyle w:val="17"/>
              <w:bidi w:val="0"/>
              <w:rPr>
                <w:color w:val="auto"/>
                <w:highlight w:val="none"/>
              </w:rPr>
            </w:pPr>
            <w:r>
              <w:rPr>
                <w:color w:val="auto"/>
                <w:highlight w:val="none"/>
              </w:rPr>
              <w:t>14.9</w:t>
            </w:r>
          </w:p>
        </w:tc>
        <w:tc>
          <w:tcPr>
            <w:tcW w:w="235" w:type="pct"/>
            <w:shd w:val="clear" w:color="auto" w:fill="auto"/>
            <w:tcMar>
              <w:top w:w="0" w:type="dxa"/>
              <w:left w:w="0" w:type="dxa"/>
              <w:bottom w:w="0" w:type="dxa"/>
              <w:right w:w="0" w:type="dxa"/>
            </w:tcMar>
            <w:vAlign w:val="center"/>
          </w:tcPr>
          <w:p w14:paraId="7E7AE40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14.9</w:t>
            </w:r>
          </w:p>
        </w:tc>
        <w:tc>
          <w:tcPr>
            <w:tcW w:w="200" w:type="pct"/>
            <w:shd w:val="clear" w:color="auto" w:fill="auto"/>
            <w:tcMar>
              <w:top w:w="0" w:type="dxa"/>
              <w:left w:w="0" w:type="dxa"/>
              <w:bottom w:w="0" w:type="dxa"/>
              <w:right w:w="0" w:type="dxa"/>
            </w:tcMar>
            <w:vAlign w:val="center"/>
          </w:tcPr>
          <w:p w14:paraId="6998D957">
            <w:pPr>
              <w:pStyle w:val="17"/>
              <w:bidi w:val="0"/>
              <w:rPr>
                <w:color w:val="auto"/>
                <w:highlight w:val="none"/>
              </w:rPr>
            </w:pPr>
            <w:r>
              <w:rPr>
                <w:color w:val="auto"/>
                <w:highlight w:val="none"/>
              </w:rPr>
              <w:t>82.3</w:t>
            </w:r>
          </w:p>
        </w:tc>
        <w:tc>
          <w:tcPr>
            <w:tcW w:w="188" w:type="pct"/>
            <w:shd w:val="clear" w:color="auto" w:fill="auto"/>
            <w:tcMar>
              <w:top w:w="0" w:type="dxa"/>
              <w:left w:w="0" w:type="dxa"/>
              <w:bottom w:w="0" w:type="dxa"/>
              <w:right w:w="0" w:type="dxa"/>
            </w:tcMar>
            <w:vAlign w:val="center"/>
          </w:tcPr>
          <w:p w14:paraId="24FE5043">
            <w:pPr>
              <w:pStyle w:val="17"/>
              <w:bidi w:val="0"/>
              <w:rPr>
                <w:color w:val="auto"/>
                <w:highlight w:val="none"/>
              </w:rPr>
            </w:pPr>
            <w:r>
              <w:rPr>
                <w:color w:val="auto"/>
                <w:highlight w:val="none"/>
              </w:rPr>
              <w:t>61.4</w:t>
            </w:r>
          </w:p>
        </w:tc>
        <w:tc>
          <w:tcPr>
            <w:tcW w:w="211" w:type="pct"/>
            <w:shd w:val="clear" w:color="auto" w:fill="auto"/>
            <w:tcMar>
              <w:top w:w="0" w:type="dxa"/>
              <w:left w:w="0" w:type="dxa"/>
              <w:bottom w:w="0" w:type="dxa"/>
              <w:right w:w="0" w:type="dxa"/>
            </w:tcMar>
            <w:vAlign w:val="center"/>
          </w:tcPr>
          <w:p w14:paraId="13572F8A">
            <w:pPr>
              <w:pStyle w:val="17"/>
              <w:bidi w:val="0"/>
              <w:rPr>
                <w:color w:val="auto"/>
                <w:highlight w:val="none"/>
              </w:rPr>
            </w:pPr>
            <w:r>
              <w:rPr>
                <w:color w:val="auto"/>
                <w:highlight w:val="none"/>
              </w:rPr>
              <w:t>61.5</w:t>
            </w:r>
          </w:p>
        </w:tc>
        <w:tc>
          <w:tcPr>
            <w:tcW w:w="182" w:type="pct"/>
            <w:shd w:val="clear" w:color="auto" w:fill="auto"/>
            <w:tcMar>
              <w:top w:w="0" w:type="dxa"/>
              <w:left w:w="0" w:type="dxa"/>
              <w:bottom w:w="0" w:type="dxa"/>
              <w:right w:w="0" w:type="dxa"/>
            </w:tcMar>
            <w:vAlign w:val="center"/>
          </w:tcPr>
          <w:p w14:paraId="02B3BA5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61.4</w:t>
            </w:r>
          </w:p>
        </w:tc>
        <w:tc>
          <w:tcPr>
            <w:tcW w:w="229" w:type="pct"/>
            <w:shd w:val="clear" w:color="auto" w:fill="auto"/>
            <w:tcMar>
              <w:top w:w="0" w:type="dxa"/>
              <w:left w:w="0" w:type="dxa"/>
              <w:bottom w:w="0" w:type="dxa"/>
              <w:right w:w="0" w:type="dxa"/>
            </w:tcMar>
            <w:vAlign w:val="center"/>
          </w:tcPr>
          <w:p w14:paraId="323BB408">
            <w:pPr>
              <w:pStyle w:val="17"/>
              <w:bidi w:val="0"/>
              <w:rPr>
                <w:color w:val="auto"/>
                <w:highlight w:val="none"/>
              </w:rPr>
            </w:pPr>
            <w:r>
              <w:rPr>
                <w:color w:val="auto"/>
                <w:highlight w:val="none"/>
              </w:rPr>
              <w:t>61.4</w:t>
            </w:r>
          </w:p>
        </w:tc>
        <w:tc>
          <w:tcPr>
            <w:tcW w:w="270" w:type="pct"/>
            <w:shd w:val="clear" w:color="auto" w:fill="auto"/>
            <w:tcMar>
              <w:top w:w="0" w:type="dxa"/>
              <w:left w:w="0" w:type="dxa"/>
              <w:bottom w:w="0" w:type="dxa"/>
              <w:right w:w="0" w:type="dxa"/>
            </w:tcMar>
            <w:vAlign w:val="center"/>
          </w:tcPr>
          <w:p w14:paraId="74F57BE7">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19A477D7">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04CA9A9B">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51.4</w:t>
            </w:r>
          </w:p>
        </w:tc>
        <w:tc>
          <w:tcPr>
            <w:tcW w:w="258" w:type="pct"/>
            <w:shd w:val="clear" w:color="auto" w:fill="auto"/>
            <w:tcMar>
              <w:top w:w="0" w:type="dxa"/>
              <w:left w:w="0" w:type="dxa"/>
              <w:bottom w:w="0" w:type="dxa"/>
              <w:right w:w="0" w:type="dxa"/>
            </w:tcMar>
            <w:vAlign w:val="center"/>
          </w:tcPr>
          <w:p w14:paraId="1B101F41">
            <w:pPr>
              <w:pStyle w:val="17"/>
              <w:bidi w:val="0"/>
              <w:ind w:firstLine="0" w:firstLineChars="0"/>
              <w:rPr>
                <w:color w:val="auto"/>
                <w:highlight w:val="none"/>
              </w:rPr>
            </w:pPr>
            <w:r>
              <w:rPr>
                <w:rFonts w:hint="eastAsia"/>
                <w:color w:val="auto"/>
                <w:highlight w:val="none"/>
                <w:lang w:val="en-US" w:eastAsia="zh-CN"/>
              </w:rPr>
              <w:t>1</w:t>
            </w:r>
          </w:p>
        </w:tc>
      </w:tr>
      <w:tr w14:paraId="253E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CE4C28C">
            <w:pPr>
              <w:pStyle w:val="17"/>
              <w:bidi w:val="0"/>
              <w:rPr>
                <w:color w:val="auto"/>
                <w:highlight w:val="none"/>
              </w:rPr>
            </w:pPr>
            <w:r>
              <w:rPr>
                <w:color w:val="auto"/>
                <w:highlight w:val="none"/>
              </w:rPr>
              <w:t>21</w:t>
            </w:r>
          </w:p>
        </w:tc>
        <w:tc>
          <w:tcPr>
            <w:tcW w:w="234" w:type="pct"/>
            <w:shd w:val="clear" w:color="auto" w:fill="auto"/>
            <w:tcMar>
              <w:top w:w="0" w:type="dxa"/>
              <w:left w:w="0" w:type="dxa"/>
              <w:bottom w:w="0" w:type="dxa"/>
              <w:right w:w="0" w:type="dxa"/>
            </w:tcMar>
            <w:vAlign w:val="center"/>
          </w:tcPr>
          <w:p w14:paraId="774A343F">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41A06BEA">
            <w:pPr>
              <w:pStyle w:val="17"/>
              <w:bidi w:val="0"/>
              <w:rPr>
                <w:color w:val="auto"/>
                <w:highlight w:val="none"/>
              </w:rPr>
            </w:pPr>
            <w:r>
              <w:rPr>
                <w:color w:val="auto"/>
                <w:highlight w:val="none"/>
              </w:rPr>
              <w:t>水力旋流器,7台（按点声源组预测）</w:t>
            </w:r>
          </w:p>
        </w:tc>
        <w:tc>
          <w:tcPr>
            <w:tcW w:w="388" w:type="pct"/>
            <w:shd w:val="clear" w:color="auto" w:fill="auto"/>
            <w:tcMar>
              <w:top w:w="0" w:type="dxa"/>
              <w:left w:w="0" w:type="dxa"/>
              <w:bottom w:w="0" w:type="dxa"/>
              <w:right w:w="0" w:type="dxa"/>
            </w:tcMar>
            <w:vAlign w:val="center"/>
          </w:tcPr>
          <w:p w14:paraId="4D4B064B">
            <w:pPr>
              <w:pStyle w:val="17"/>
              <w:bidi w:val="0"/>
              <w:rPr>
                <w:rFonts w:hint="eastAsia" w:eastAsia="宋体"/>
                <w:color w:val="auto"/>
                <w:highlight w:val="none"/>
                <w:lang w:eastAsia="zh-CN"/>
              </w:rPr>
            </w:pPr>
            <w:r>
              <w:rPr>
                <w:color w:val="auto"/>
                <w:highlight w:val="none"/>
              </w:rPr>
              <w:t>70（等效后：78.5</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520B2AF9">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5ABB8AF8">
            <w:pPr>
              <w:pStyle w:val="17"/>
              <w:bidi w:val="0"/>
              <w:rPr>
                <w:color w:val="auto"/>
                <w:highlight w:val="none"/>
              </w:rPr>
            </w:pPr>
            <w:r>
              <w:rPr>
                <w:color w:val="auto"/>
                <w:highlight w:val="none"/>
              </w:rPr>
              <w:t>-6.3</w:t>
            </w:r>
          </w:p>
        </w:tc>
        <w:tc>
          <w:tcPr>
            <w:tcW w:w="206" w:type="pct"/>
            <w:shd w:val="clear" w:color="auto" w:fill="auto"/>
            <w:tcMar>
              <w:top w:w="0" w:type="dxa"/>
              <w:left w:w="0" w:type="dxa"/>
              <w:bottom w:w="0" w:type="dxa"/>
              <w:right w:w="0" w:type="dxa"/>
            </w:tcMar>
            <w:vAlign w:val="center"/>
          </w:tcPr>
          <w:p w14:paraId="4D391271">
            <w:pPr>
              <w:pStyle w:val="17"/>
              <w:bidi w:val="0"/>
              <w:rPr>
                <w:color w:val="auto"/>
                <w:highlight w:val="none"/>
              </w:rPr>
            </w:pPr>
            <w:r>
              <w:rPr>
                <w:color w:val="auto"/>
                <w:highlight w:val="none"/>
              </w:rPr>
              <w:t>-929.8</w:t>
            </w:r>
          </w:p>
        </w:tc>
        <w:tc>
          <w:tcPr>
            <w:tcW w:w="194" w:type="pct"/>
            <w:shd w:val="clear" w:color="auto" w:fill="auto"/>
            <w:tcMar>
              <w:top w:w="0" w:type="dxa"/>
              <w:left w:w="0" w:type="dxa"/>
              <w:bottom w:w="0" w:type="dxa"/>
              <w:right w:w="0" w:type="dxa"/>
            </w:tcMar>
            <w:vAlign w:val="center"/>
          </w:tcPr>
          <w:p w14:paraId="179374FB">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3E1BFBFE">
            <w:pPr>
              <w:pStyle w:val="17"/>
              <w:bidi w:val="0"/>
              <w:rPr>
                <w:color w:val="auto"/>
                <w:highlight w:val="none"/>
              </w:rPr>
            </w:pPr>
            <w:r>
              <w:rPr>
                <w:color w:val="auto"/>
                <w:highlight w:val="none"/>
              </w:rPr>
              <w:t>47.7</w:t>
            </w:r>
          </w:p>
        </w:tc>
        <w:tc>
          <w:tcPr>
            <w:tcW w:w="205" w:type="pct"/>
            <w:shd w:val="clear" w:color="auto" w:fill="auto"/>
            <w:tcMar>
              <w:top w:w="0" w:type="dxa"/>
              <w:left w:w="0" w:type="dxa"/>
              <w:bottom w:w="0" w:type="dxa"/>
              <w:right w:w="0" w:type="dxa"/>
            </w:tcMar>
            <w:vAlign w:val="center"/>
          </w:tcPr>
          <w:p w14:paraId="418603FF">
            <w:pPr>
              <w:pStyle w:val="17"/>
              <w:bidi w:val="0"/>
              <w:rPr>
                <w:color w:val="auto"/>
                <w:highlight w:val="none"/>
              </w:rPr>
            </w:pPr>
            <w:r>
              <w:rPr>
                <w:color w:val="auto"/>
                <w:highlight w:val="none"/>
              </w:rPr>
              <w:t>43.9</w:t>
            </w:r>
          </w:p>
        </w:tc>
        <w:tc>
          <w:tcPr>
            <w:tcW w:w="235" w:type="pct"/>
            <w:shd w:val="clear" w:color="auto" w:fill="auto"/>
            <w:tcMar>
              <w:top w:w="0" w:type="dxa"/>
              <w:left w:w="0" w:type="dxa"/>
              <w:bottom w:w="0" w:type="dxa"/>
              <w:right w:w="0" w:type="dxa"/>
            </w:tcMar>
            <w:vAlign w:val="center"/>
          </w:tcPr>
          <w:p w14:paraId="67EC94B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43.9</w:t>
            </w:r>
          </w:p>
        </w:tc>
        <w:tc>
          <w:tcPr>
            <w:tcW w:w="200" w:type="pct"/>
            <w:shd w:val="clear" w:color="auto" w:fill="auto"/>
            <w:tcMar>
              <w:top w:w="0" w:type="dxa"/>
              <w:left w:w="0" w:type="dxa"/>
              <w:bottom w:w="0" w:type="dxa"/>
              <w:right w:w="0" w:type="dxa"/>
            </w:tcMar>
            <w:vAlign w:val="center"/>
          </w:tcPr>
          <w:p w14:paraId="691B03D5">
            <w:pPr>
              <w:pStyle w:val="17"/>
              <w:bidi w:val="0"/>
              <w:rPr>
                <w:color w:val="auto"/>
                <w:highlight w:val="none"/>
              </w:rPr>
            </w:pPr>
            <w:r>
              <w:rPr>
                <w:color w:val="auto"/>
                <w:highlight w:val="none"/>
              </w:rPr>
              <w:t>44.9</w:t>
            </w:r>
          </w:p>
        </w:tc>
        <w:tc>
          <w:tcPr>
            <w:tcW w:w="188" w:type="pct"/>
            <w:shd w:val="clear" w:color="auto" w:fill="auto"/>
            <w:tcMar>
              <w:top w:w="0" w:type="dxa"/>
              <w:left w:w="0" w:type="dxa"/>
              <w:bottom w:w="0" w:type="dxa"/>
              <w:right w:w="0" w:type="dxa"/>
            </w:tcMar>
            <w:vAlign w:val="center"/>
          </w:tcPr>
          <w:p w14:paraId="0C7436DA">
            <w:pPr>
              <w:pStyle w:val="17"/>
              <w:bidi w:val="0"/>
              <w:rPr>
                <w:color w:val="auto"/>
                <w:highlight w:val="none"/>
              </w:rPr>
            </w:pPr>
            <w:r>
              <w:rPr>
                <w:color w:val="auto"/>
                <w:highlight w:val="none"/>
              </w:rPr>
              <w:t>59.9</w:t>
            </w:r>
          </w:p>
        </w:tc>
        <w:tc>
          <w:tcPr>
            <w:tcW w:w="211" w:type="pct"/>
            <w:shd w:val="clear" w:color="auto" w:fill="auto"/>
            <w:tcMar>
              <w:top w:w="0" w:type="dxa"/>
              <w:left w:w="0" w:type="dxa"/>
              <w:bottom w:w="0" w:type="dxa"/>
              <w:right w:w="0" w:type="dxa"/>
            </w:tcMar>
            <w:vAlign w:val="center"/>
          </w:tcPr>
          <w:p w14:paraId="1618038E">
            <w:pPr>
              <w:pStyle w:val="17"/>
              <w:bidi w:val="0"/>
              <w:rPr>
                <w:color w:val="auto"/>
                <w:highlight w:val="none"/>
              </w:rPr>
            </w:pPr>
            <w:r>
              <w:rPr>
                <w:color w:val="auto"/>
                <w:highlight w:val="none"/>
              </w:rPr>
              <w:t>59.9</w:t>
            </w:r>
          </w:p>
        </w:tc>
        <w:tc>
          <w:tcPr>
            <w:tcW w:w="182" w:type="pct"/>
            <w:shd w:val="clear" w:color="auto" w:fill="auto"/>
            <w:tcMar>
              <w:top w:w="0" w:type="dxa"/>
              <w:left w:w="0" w:type="dxa"/>
              <w:bottom w:w="0" w:type="dxa"/>
              <w:right w:w="0" w:type="dxa"/>
            </w:tcMar>
            <w:vAlign w:val="center"/>
          </w:tcPr>
          <w:p w14:paraId="5C35901B">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59.9</w:t>
            </w:r>
          </w:p>
        </w:tc>
        <w:tc>
          <w:tcPr>
            <w:tcW w:w="229" w:type="pct"/>
            <w:shd w:val="clear" w:color="auto" w:fill="auto"/>
            <w:tcMar>
              <w:top w:w="0" w:type="dxa"/>
              <w:left w:w="0" w:type="dxa"/>
              <w:bottom w:w="0" w:type="dxa"/>
              <w:right w:w="0" w:type="dxa"/>
            </w:tcMar>
            <w:vAlign w:val="center"/>
          </w:tcPr>
          <w:p w14:paraId="445F6946">
            <w:pPr>
              <w:pStyle w:val="17"/>
              <w:bidi w:val="0"/>
              <w:rPr>
                <w:color w:val="auto"/>
                <w:highlight w:val="none"/>
              </w:rPr>
            </w:pPr>
            <w:r>
              <w:rPr>
                <w:color w:val="auto"/>
                <w:highlight w:val="none"/>
              </w:rPr>
              <w:t>59.9</w:t>
            </w:r>
          </w:p>
        </w:tc>
        <w:tc>
          <w:tcPr>
            <w:tcW w:w="270" w:type="pct"/>
            <w:shd w:val="clear" w:color="auto" w:fill="auto"/>
            <w:tcMar>
              <w:top w:w="0" w:type="dxa"/>
              <w:left w:w="0" w:type="dxa"/>
              <w:bottom w:w="0" w:type="dxa"/>
              <w:right w:w="0" w:type="dxa"/>
            </w:tcMar>
            <w:vAlign w:val="center"/>
          </w:tcPr>
          <w:p w14:paraId="325FC0B1">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105B648">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16E6075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49.9</w:t>
            </w:r>
          </w:p>
        </w:tc>
        <w:tc>
          <w:tcPr>
            <w:tcW w:w="258" w:type="pct"/>
            <w:shd w:val="clear" w:color="auto" w:fill="auto"/>
            <w:tcMar>
              <w:top w:w="0" w:type="dxa"/>
              <w:left w:w="0" w:type="dxa"/>
              <w:bottom w:w="0" w:type="dxa"/>
              <w:right w:w="0" w:type="dxa"/>
            </w:tcMar>
            <w:vAlign w:val="center"/>
          </w:tcPr>
          <w:p w14:paraId="7686EB9C">
            <w:pPr>
              <w:pStyle w:val="17"/>
              <w:bidi w:val="0"/>
              <w:ind w:firstLine="0" w:firstLineChars="0"/>
              <w:rPr>
                <w:color w:val="auto"/>
                <w:highlight w:val="none"/>
              </w:rPr>
            </w:pPr>
            <w:r>
              <w:rPr>
                <w:rFonts w:hint="eastAsia"/>
                <w:color w:val="auto"/>
                <w:highlight w:val="none"/>
                <w:lang w:val="en-US" w:eastAsia="zh-CN"/>
              </w:rPr>
              <w:t>1</w:t>
            </w:r>
          </w:p>
        </w:tc>
      </w:tr>
      <w:tr w14:paraId="4EA6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F4D6B7C">
            <w:pPr>
              <w:pStyle w:val="17"/>
              <w:bidi w:val="0"/>
              <w:rPr>
                <w:color w:val="auto"/>
                <w:highlight w:val="none"/>
              </w:rPr>
            </w:pPr>
            <w:r>
              <w:rPr>
                <w:color w:val="auto"/>
                <w:highlight w:val="none"/>
              </w:rPr>
              <w:t>22</w:t>
            </w:r>
          </w:p>
        </w:tc>
        <w:tc>
          <w:tcPr>
            <w:tcW w:w="234" w:type="pct"/>
            <w:shd w:val="clear" w:color="auto" w:fill="auto"/>
            <w:tcMar>
              <w:top w:w="0" w:type="dxa"/>
              <w:left w:w="0" w:type="dxa"/>
              <w:bottom w:w="0" w:type="dxa"/>
              <w:right w:w="0" w:type="dxa"/>
            </w:tcMar>
            <w:vAlign w:val="center"/>
          </w:tcPr>
          <w:p w14:paraId="244E5D12">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53F286FB">
            <w:pPr>
              <w:pStyle w:val="17"/>
              <w:bidi w:val="0"/>
              <w:rPr>
                <w:color w:val="auto"/>
                <w:highlight w:val="none"/>
              </w:rPr>
            </w:pPr>
            <w:r>
              <w:rPr>
                <w:color w:val="auto"/>
                <w:highlight w:val="none"/>
              </w:rPr>
              <w:t>渣浆泵,32台（按点声源组预测）</w:t>
            </w:r>
          </w:p>
        </w:tc>
        <w:tc>
          <w:tcPr>
            <w:tcW w:w="388" w:type="pct"/>
            <w:shd w:val="clear" w:color="auto" w:fill="auto"/>
            <w:tcMar>
              <w:top w:w="0" w:type="dxa"/>
              <w:left w:w="0" w:type="dxa"/>
              <w:bottom w:w="0" w:type="dxa"/>
              <w:right w:w="0" w:type="dxa"/>
            </w:tcMar>
            <w:vAlign w:val="center"/>
          </w:tcPr>
          <w:p w14:paraId="7132A8C5">
            <w:pPr>
              <w:pStyle w:val="17"/>
              <w:bidi w:val="0"/>
              <w:rPr>
                <w:rFonts w:hint="eastAsia" w:eastAsia="宋体"/>
                <w:color w:val="auto"/>
                <w:highlight w:val="none"/>
                <w:lang w:eastAsia="zh-CN"/>
              </w:rPr>
            </w:pPr>
            <w:r>
              <w:rPr>
                <w:color w:val="auto"/>
                <w:highlight w:val="none"/>
              </w:rPr>
              <w:t>80（等效后：95.1</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3B21ABEA">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6FC37A6">
            <w:pPr>
              <w:pStyle w:val="17"/>
              <w:bidi w:val="0"/>
              <w:rPr>
                <w:color w:val="auto"/>
                <w:highlight w:val="none"/>
              </w:rPr>
            </w:pPr>
            <w:r>
              <w:rPr>
                <w:color w:val="auto"/>
                <w:highlight w:val="none"/>
              </w:rPr>
              <w:t>-1.6</w:t>
            </w:r>
          </w:p>
        </w:tc>
        <w:tc>
          <w:tcPr>
            <w:tcW w:w="206" w:type="pct"/>
            <w:shd w:val="clear" w:color="auto" w:fill="auto"/>
            <w:tcMar>
              <w:top w:w="0" w:type="dxa"/>
              <w:left w:w="0" w:type="dxa"/>
              <w:bottom w:w="0" w:type="dxa"/>
              <w:right w:w="0" w:type="dxa"/>
            </w:tcMar>
            <w:vAlign w:val="center"/>
          </w:tcPr>
          <w:p w14:paraId="15CE7254">
            <w:pPr>
              <w:pStyle w:val="17"/>
              <w:bidi w:val="0"/>
              <w:rPr>
                <w:color w:val="auto"/>
                <w:highlight w:val="none"/>
              </w:rPr>
            </w:pPr>
            <w:r>
              <w:rPr>
                <w:color w:val="auto"/>
                <w:highlight w:val="none"/>
              </w:rPr>
              <w:t>-912.9</w:t>
            </w:r>
          </w:p>
        </w:tc>
        <w:tc>
          <w:tcPr>
            <w:tcW w:w="194" w:type="pct"/>
            <w:shd w:val="clear" w:color="auto" w:fill="auto"/>
            <w:tcMar>
              <w:top w:w="0" w:type="dxa"/>
              <w:left w:w="0" w:type="dxa"/>
              <w:bottom w:w="0" w:type="dxa"/>
              <w:right w:w="0" w:type="dxa"/>
            </w:tcMar>
            <w:vAlign w:val="center"/>
          </w:tcPr>
          <w:p w14:paraId="4E69F617">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59DB169F">
            <w:pPr>
              <w:pStyle w:val="17"/>
              <w:bidi w:val="0"/>
              <w:rPr>
                <w:color w:val="auto"/>
                <w:highlight w:val="none"/>
              </w:rPr>
            </w:pPr>
            <w:r>
              <w:rPr>
                <w:color w:val="auto"/>
                <w:highlight w:val="none"/>
              </w:rPr>
              <w:t>43.0</w:t>
            </w:r>
          </w:p>
        </w:tc>
        <w:tc>
          <w:tcPr>
            <w:tcW w:w="205" w:type="pct"/>
            <w:shd w:val="clear" w:color="auto" w:fill="auto"/>
            <w:tcMar>
              <w:top w:w="0" w:type="dxa"/>
              <w:left w:w="0" w:type="dxa"/>
              <w:bottom w:w="0" w:type="dxa"/>
              <w:right w:w="0" w:type="dxa"/>
            </w:tcMar>
            <w:vAlign w:val="center"/>
          </w:tcPr>
          <w:p w14:paraId="536770D1">
            <w:pPr>
              <w:pStyle w:val="17"/>
              <w:bidi w:val="0"/>
              <w:rPr>
                <w:color w:val="auto"/>
                <w:highlight w:val="none"/>
              </w:rPr>
            </w:pPr>
            <w:r>
              <w:rPr>
                <w:color w:val="auto"/>
                <w:highlight w:val="none"/>
              </w:rPr>
              <w:t>48.6</w:t>
            </w:r>
          </w:p>
        </w:tc>
        <w:tc>
          <w:tcPr>
            <w:tcW w:w="235" w:type="pct"/>
            <w:shd w:val="clear" w:color="auto" w:fill="auto"/>
            <w:tcMar>
              <w:top w:w="0" w:type="dxa"/>
              <w:left w:w="0" w:type="dxa"/>
              <w:bottom w:w="0" w:type="dxa"/>
              <w:right w:w="0" w:type="dxa"/>
            </w:tcMar>
            <w:vAlign w:val="center"/>
          </w:tcPr>
          <w:p w14:paraId="45BAA8C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48.6</w:t>
            </w:r>
          </w:p>
        </w:tc>
        <w:tc>
          <w:tcPr>
            <w:tcW w:w="200" w:type="pct"/>
            <w:shd w:val="clear" w:color="auto" w:fill="auto"/>
            <w:tcMar>
              <w:top w:w="0" w:type="dxa"/>
              <w:left w:w="0" w:type="dxa"/>
              <w:bottom w:w="0" w:type="dxa"/>
              <w:right w:w="0" w:type="dxa"/>
            </w:tcMar>
            <w:vAlign w:val="center"/>
          </w:tcPr>
          <w:p w14:paraId="26E82A45">
            <w:pPr>
              <w:pStyle w:val="17"/>
              <w:bidi w:val="0"/>
              <w:rPr>
                <w:color w:val="auto"/>
                <w:highlight w:val="none"/>
              </w:rPr>
            </w:pPr>
            <w:r>
              <w:rPr>
                <w:color w:val="auto"/>
                <w:highlight w:val="none"/>
              </w:rPr>
              <w:t>28.0</w:t>
            </w:r>
          </w:p>
        </w:tc>
        <w:tc>
          <w:tcPr>
            <w:tcW w:w="188" w:type="pct"/>
            <w:shd w:val="clear" w:color="auto" w:fill="auto"/>
            <w:tcMar>
              <w:top w:w="0" w:type="dxa"/>
              <w:left w:w="0" w:type="dxa"/>
              <w:bottom w:w="0" w:type="dxa"/>
              <w:right w:w="0" w:type="dxa"/>
            </w:tcMar>
            <w:vAlign w:val="center"/>
          </w:tcPr>
          <w:p w14:paraId="67ECBFA9">
            <w:pPr>
              <w:pStyle w:val="17"/>
              <w:bidi w:val="0"/>
              <w:rPr>
                <w:color w:val="auto"/>
                <w:highlight w:val="none"/>
              </w:rPr>
            </w:pPr>
            <w:r>
              <w:rPr>
                <w:color w:val="auto"/>
                <w:highlight w:val="none"/>
              </w:rPr>
              <w:t>76.5</w:t>
            </w:r>
          </w:p>
        </w:tc>
        <w:tc>
          <w:tcPr>
            <w:tcW w:w="211" w:type="pct"/>
            <w:shd w:val="clear" w:color="auto" w:fill="auto"/>
            <w:tcMar>
              <w:top w:w="0" w:type="dxa"/>
              <w:left w:w="0" w:type="dxa"/>
              <w:bottom w:w="0" w:type="dxa"/>
              <w:right w:w="0" w:type="dxa"/>
            </w:tcMar>
            <w:vAlign w:val="center"/>
          </w:tcPr>
          <w:p w14:paraId="220812FF">
            <w:pPr>
              <w:pStyle w:val="17"/>
              <w:bidi w:val="0"/>
              <w:rPr>
                <w:color w:val="auto"/>
                <w:highlight w:val="none"/>
              </w:rPr>
            </w:pPr>
            <w:r>
              <w:rPr>
                <w:color w:val="auto"/>
                <w:highlight w:val="none"/>
              </w:rPr>
              <w:t>76.5</w:t>
            </w:r>
          </w:p>
        </w:tc>
        <w:tc>
          <w:tcPr>
            <w:tcW w:w="182" w:type="pct"/>
            <w:shd w:val="clear" w:color="auto" w:fill="auto"/>
            <w:tcMar>
              <w:top w:w="0" w:type="dxa"/>
              <w:left w:w="0" w:type="dxa"/>
              <w:bottom w:w="0" w:type="dxa"/>
              <w:right w:w="0" w:type="dxa"/>
            </w:tcMar>
            <w:vAlign w:val="center"/>
          </w:tcPr>
          <w:p w14:paraId="35A81D4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76.5</w:t>
            </w:r>
          </w:p>
        </w:tc>
        <w:tc>
          <w:tcPr>
            <w:tcW w:w="229" w:type="pct"/>
            <w:shd w:val="clear" w:color="auto" w:fill="auto"/>
            <w:tcMar>
              <w:top w:w="0" w:type="dxa"/>
              <w:left w:w="0" w:type="dxa"/>
              <w:bottom w:w="0" w:type="dxa"/>
              <w:right w:w="0" w:type="dxa"/>
            </w:tcMar>
            <w:vAlign w:val="center"/>
          </w:tcPr>
          <w:p w14:paraId="6634AB51">
            <w:pPr>
              <w:pStyle w:val="17"/>
              <w:bidi w:val="0"/>
              <w:rPr>
                <w:color w:val="auto"/>
                <w:highlight w:val="none"/>
              </w:rPr>
            </w:pPr>
            <w:r>
              <w:rPr>
                <w:color w:val="auto"/>
                <w:highlight w:val="none"/>
              </w:rPr>
              <w:t>76.5</w:t>
            </w:r>
          </w:p>
        </w:tc>
        <w:tc>
          <w:tcPr>
            <w:tcW w:w="270" w:type="pct"/>
            <w:shd w:val="clear" w:color="auto" w:fill="auto"/>
            <w:tcMar>
              <w:top w:w="0" w:type="dxa"/>
              <w:left w:w="0" w:type="dxa"/>
              <w:bottom w:w="0" w:type="dxa"/>
              <w:right w:w="0" w:type="dxa"/>
            </w:tcMar>
            <w:vAlign w:val="center"/>
          </w:tcPr>
          <w:p w14:paraId="1111C80F">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52C3DBC">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25AA7A9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66.5</w:t>
            </w:r>
          </w:p>
        </w:tc>
        <w:tc>
          <w:tcPr>
            <w:tcW w:w="258" w:type="pct"/>
            <w:shd w:val="clear" w:color="auto" w:fill="auto"/>
            <w:tcMar>
              <w:top w:w="0" w:type="dxa"/>
              <w:left w:w="0" w:type="dxa"/>
              <w:bottom w:w="0" w:type="dxa"/>
              <w:right w:w="0" w:type="dxa"/>
            </w:tcMar>
            <w:vAlign w:val="center"/>
          </w:tcPr>
          <w:p w14:paraId="1666EE7C">
            <w:pPr>
              <w:pStyle w:val="17"/>
              <w:bidi w:val="0"/>
              <w:ind w:firstLine="0" w:firstLineChars="0"/>
              <w:rPr>
                <w:color w:val="auto"/>
                <w:highlight w:val="none"/>
              </w:rPr>
            </w:pPr>
            <w:r>
              <w:rPr>
                <w:rFonts w:hint="eastAsia"/>
                <w:color w:val="auto"/>
                <w:highlight w:val="none"/>
                <w:lang w:val="en-US" w:eastAsia="zh-CN"/>
              </w:rPr>
              <w:t>1</w:t>
            </w:r>
          </w:p>
        </w:tc>
      </w:tr>
      <w:tr w14:paraId="1A67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A518C11">
            <w:pPr>
              <w:pStyle w:val="17"/>
              <w:bidi w:val="0"/>
              <w:rPr>
                <w:color w:val="auto"/>
                <w:highlight w:val="none"/>
              </w:rPr>
            </w:pPr>
            <w:r>
              <w:rPr>
                <w:color w:val="auto"/>
                <w:highlight w:val="none"/>
              </w:rPr>
              <w:t>23</w:t>
            </w:r>
          </w:p>
        </w:tc>
        <w:tc>
          <w:tcPr>
            <w:tcW w:w="234" w:type="pct"/>
            <w:shd w:val="clear" w:color="auto" w:fill="auto"/>
            <w:tcMar>
              <w:top w:w="0" w:type="dxa"/>
              <w:left w:w="0" w:type="dxa"/>
              <w:bottom w:w="0" w:type="dxa"/>
              <w:right w:w="0" w:type="dxa"/>
            </w:tcMar>
            <w:vAlign w:val="center"/>
          </w:tcPr>
          <w:p w14:paraId="77BE9D93">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1D7E2FB2">
            <w:pPr>
              <w:pStyle w:val="17"/>
              <w:bidi w:val="0"/>
              <w:rPr>
                <w:color w:val="auto"/>
                <w:highlight w:val="none"/>
              </w:rPr>
            </w:pPr>
            <w:r>
              <w:rPr>
                <w:color w:val="auto"/>
                <w:highlight w:val="none"/>
              </w:rPr>
              <w:t>电动双梁吊钩桥式起重机</w:t>
            </w:r>
          </w:p>
        </w:tc>
        <w:tc>
          <w:tcPr>
            <w:tcW w:w="388" w:type="pct"/>
            <w:shd w:val="clear" w:color="auto" w:fill="auto"/>
            <w:tcMar>
              <w:top w:w="0" w:type="dxa"/>
              <w:left w:w="0" w:type="dxa"/>
              <w:bottom w:w="0" w:type="dxa"/>
              <w:right w:w="0" w:type="dxa"/>
            </w:tcMar>
            <w:vAlign w:val="center"/>
          </w:tcPr>
          <w:p w14:paraId="1C4E2B94">
            <w:pPr>
              <w:pStyle w:val="17"/>
              <w:bidi w:val="0"/>
              <w:rPr>
                <w:color w:val="auto"/>
                <w:highlight w:val="none"/>
              </w:rPr>
            </w:pPr>
            <w:r>
              <w:rPr>
                <w:color w:val="auto"/>
                <w:highlight w:val="none"/>
              </w:rPr>
              <w:t>65</w:t>
            </w:r>
          </w:p>
        </w:tc>
        <w:tc>
          <w:tcPr>
            <w:tcW w:w="329" w:type="pct"/>
            <w:vMerge w:val="continue"/>
            <w:shd w:val="clear" w:color="auto" w:fill="auto"/>
            <w:tcMar>
              <w:top w:w="0" w:type="dxa"/>
              <w:left w:w="0" w:type="dxa"/>
              <w:bottom w:w="0" w:type="dxa"/>
              <w:right w:w="0" w:type="dxa"/>
            </w:tcMar>
            <w:vAlign w:val="center"/>
          </w:tcPr>
          <w:p w14:paraId="52985F1C">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25F40B58">
            <w:pPr>
              <w:pStyle w:val="17"/>
              <w:bidi w:val="0"/>
              <w:rPr>
                <w:color w:val="auto"/>
                <w:highlight w:val="none"/>
              </w:rPr>
            </w:pPr>
            <w:r>
              <w:rPr>
                <w:color w:val="auto"/>
                <w:highlight w:val="none"/>
              </w:rPr>
              <w:t>-40.9</w:t>
            </w:r>
          </w:p>
        </w:tc>
        <w:tc>
          <w:tcPr>
            <w:tcW w:w="206" w:type="pct"/>
            <w:shd w:val="clear" w:color="auto" w:fill="auto"/>
            <w:tcMar>
              <w:top w:w="0" w:type="dxa"/>
              <w:left w:w="0" w:type="dxa"/>
              <w:bottom w:w="0" w:type="dxa"/>
              <w:right w:w="0" w:type="dxa"/>
            </w:tcMar>
            <w:vAlign w:val="center"/>
          </w:tcPr>
          <w:p w14:paraId="767B926F">
            <w:pPr>
              <w:pStyle w:val="17"/>
              <w:bidi w:val="0"/>
              <w:rPr>
                <w:color w:val="auto"/>
                <w:highlight w:val="none"/>
              </w:rPr>
            </w:pPr>
            <w:r>
              <w:rPr>
                <w:color w:val="auto"/>
                <w:highlight w:val="none"/>
              </w:rPr>
              <w:t>-905.5</w:t>
            </w:r>
          </w:p>
        </w:tc>
        <w:tc>
          <w:tcPr>
            <w:tcW w:w="194" w:type="pct"/>
            <w:shd w:val="clear" w:color="auto" w:fill="auto"/>
            <w:tcMar>
              <w:top w:w="0" w:type="dxa"/>
              <w:left w:w="0" w:type="dxa"/>
              <w:bottom w:w="0" w:type="dxa"/>
              <w:right w:w="0" w:type="dxa"/>
            </w:tcMar>
            <w:vAlign w:val="center"/>
          </w:tcPr>
          <w:p w14:paraId="6DFF1DB5">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6C7B20E0">
            <w:pPr>
              <w:pStyle w:val="17"/>
              <w:bidi w:val="0"/>
              <w:rPr>
                <w:color w:val="auto"/>
                <w:highlight w:val="none"/>
              </w:rPr>
            </w:pPr>
            <w:r>
              <w:rPr>
                <w:color w:val="auto"/>
                <w:highlight w:val="none"/>
              </w:rPr>
              <w:t>82.3</w:t>
            </w:r>
          </w:p>
        </w:tc>
        <w:tc>
          <w:tcPr>
            <w:tcW w:w="205" w:type="pct"/>
            <w:shd w:val="clear" w:color="auto" w:fill="auto"/>
            <w:tcMar>
              <w:top w:w="0" w:type="dxa"/>
              <w:left w:w="0" w:type="dxa"/>
              <w:bottom w:w="0" w:type="dxa"/>
              <w:right w:w="0" w:type="dxa"/>
            </w:tcMar>
            <w:vAlign w:val="center"/>
          </w:tcPr>
          <w:p w14:paraId="0117368E">
            <w:pPr>
              <w:pStyle w:val="17"/>
              <w:bidi w:val="0"/>
              <w:rPr>
                <w:color w:val="auto"/>
                <w:highlight w:val="none"/>
              </w:rPr>
            </w:pPr>
            <w:r>
              <w:rPr>
                <w:color w:val="auto"/>
                <w:highlight w:val="none"/>
              </w:rPr>
              <w:t>9.3</w:t>
            </w:r>
          </w:p>
        </w:tc>
        <w:tc>
          <w:tcPr>
            <w:tcW w:w="235" w:type="pct"/>
            <w:shd w:val="clear" w:color="auto" w:fill="auto"/>
            <w:tcMar>
              <w:top w:w="0" w:type="dxa"/>
              <w:left w:w="0" w:type="dxa"/>
              <w:bottom w:w="0" w:type="dxa"/>
              <w:right w:w="0" w:type="dxa"/>
            </w:tcMar>
            <w:vAlign w:val="center"/>
          </w:tcPr>
          <w:p w14:paraId="4FE236C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9.3</w:t>
            </w:r>
          </w:p>
        </w:tc>
        <w:tc>
          <w:tcPr>
            <w:tcW w:w="200" w:type="pct"/>
            <w:shd w:val="clear" w:color="auto" w:fill="auto"/>
            <w:tcMar>
              <w:top w:w="0" w:type="dxa"/>
              <w:left w:w="0" w:type="dxa"/>
              <w:bottom w:w="0" w:type="dxa"/>
              <w:right w:w="0" w:type="dxa"/>
            </w:tcMar>
            <w:vAlign w:val="center"/>
          </w:tcPr>
          <w:p w14:paraId="2638811F">
            <w:pPr>
              <w:pStyle w:val="17"/>
              <w:bidi w:val="0"/>
              <w:rPr>
                <w:color w:val="auto"/>
                <w:highlight w:val="none"/>
              </w:rPr>
            </w:pPr>
            <w:r>
              <w:rPr>
                <w:color w:val="auto"/>
                <w:highlight w:val="none"/>
              </w:rPr>
              <w:t>20.6</w:t>
            </w:r>
          </w:p>
        </w:tc>
        <w:tc>
          <w:tcPr>
            <w:tcW w:w="188" w:type="pct"/>
            <w:shd w:val="clear" w:color="auto" w:fill="auto"/>
            <w:tcMar>
              <w:top w:w="0" w:type="dxa"/>
              <w:left w:w="0" w:type="dxa"/>
              <w:bottom w:w="0" w:type="dxa"/>
              <w:right w:w="0" w:type="dxa"/>
            </w:tcMar>
            <w:vAlign w:val="center"/>
          </w:tcPr>
          <w:p w14:paraId="09CFDB52">
            <w:pPr>
              <w:pStyle w:val="17"/>
              <w:bidi w:val="0"/>
              <w:rPr>
                <w:color w:val="auto"/>
                <w:highlight w:val="none"/>
              </w:rPr>
            </w:pPr>
            <w:r>
              <w:rPr>
                <w:color w:val="auto"/>
                <w:highlight w:val="none"/>
              </w:rPr>
              <w:t>46.4</w:t>
            </w:r>
          </w:p>
        </w:tc>
        <w:tc>
          <w:tcPr>
            <w:tcW w:w="211" w:type="pct"/>
            <w:shd w:val="clear" w:color="auto" w:fill="auto"/>
            <w:tcMar>
              <w:top w:w="0" w:type="dxa"/>
              <w:left w:w="0" w:type="dxa"/>
              <w:bottom w:w="0" w:type="dxa"/>
              <w:right w:w="0" w:type="dxa"/>
            </w:tcMar>
            <w:vAlign w:val="center"/>
          </w:tcPr>
          <w:p w14:paraId="05E2A296">
            <w:pPr>
              <w:pStyle w:val="17"/>
              <w:bidi w:val="0"/>
              <w:rPr>
                <w:color w:val="auto"/>
                <w:highlight w:val="none"/>
              </w:rPr>
            </w:pPr>
            <w:r>
              <w:rPr>
                <w:color w:val="auto"/>
                <w:highlight w:val="none"/>
              </w:rPr>
              <w:t>46.7</w:t>
            </w:r>
          </w:p>
        </w:tc>
        <w:tc>
          <w:tcPr>
            <w:tcW w:w="182" w:type="pct"/>
            <w:shd w:val="clear" w:color="auto" w:fill="auto"/>
            <w:tcMar>
              <w:top w:w="0" w:type="dxa"/>
              <w:left w:w="0" w:type="dxa"/>
              <w:bottom w:w="0" w:type="dxa"/>
              <w:right w:w="0" w:type="dxa"/>
            </w:tcMar>
            <w:vAlign w:val="center"/>
          </w:tcPr>
          <w:p w14:paraId="3AFF5A7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46.5</w:t>
            </w:r>
          </w:p>
        </w:tc>
        <w:tc>
          <w:tcPr>
            <w:tcW w:w="229" w:type="pct"/>
            <w:shd w:val="clear" w:color="auto" w:fill="auto"/>
            <w:tcMar>
              <w:top w:w="0" w:type="dxa"/>
              <w:left w:w="0" w:type="dxa"/>
              <w:bottom w:w="0" w:type="dxa"/>
              <w:right w:w="0" w:type="dxa"/>
            </w:tcMar>
            <w:vAlign w:val="center"/>
          </w:tcPr>
          <w:p w14:paraId="03D00911">
            <w:pPr>
              <w:pStyle w:val="17"/>
              <w:bidi w:val="0"/>
              <w:rPr>
                <w:color w:val="auto"/>
                <w:highlight w:val="none"/>
              </w:rPr>
            </w:pPr>
            <w:r>
              <w:rPr>
                <w:color w:val="auto"/>
                <w:highlight w:val="none"/>
              </w:rPr>
              <w:t>46.5</w:t>
            </w:r>
          </w:p>
        </w:tc>
        <w:tc>
          <w:tcPr>
            <w:tcW w:w="270" w:type="pct"/>
            <w:shd w:val="clear" w:color="auto" w:fill="auto"/>
            <w:tcMar>
              <w:top w:w="0" w:type="dxa"/>
              <w:left w:w="0" w:type="dxa"/>
              <w:bottom w:w="0" w:type="dxa"/>
              <w:right w:w="0" w:type="dxa"/>
            </w:tcMar>
            <w:vAlign w:val="center"/>
          </w:tcPr>
          <w:p w14:paraId="02B4EB04">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01B9132F">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4258DED6">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36.4</w:t>
            </w:r>
          </w:p>
        </w:tc>
        <w:tc>
          <w:tcPr>
            <w:tcW w:w="258" w:type="pct"/>
            <w:shd w:val="clear" w:color="auto" w:fill="auto"/>
            <w:tcMar>
              <w:top w:w="0" w:type="dxa"/>
              <w:left w:w="0" w:type="dxa"/>
              <w:bottom w:w="0" w:type="dxa"/>
              <w:right w:w="0" w:type="dxa"/>
            </w:tcMar>
            <w:vAlign w:val="center"/>
          </w:tcPr>
          <w:p w14:paraId="6B10B174">
            <w:pPr>
              <w:pStyle w:val="17"/>
              <w:bidi w:val="0"/>
              <w:ind w:firstLine="0" w:firstLineChars="0"/>
              <w:rPr>
                <w:color w:val="auto"/>
                <w:highlight w:val="none"/>
              </w:rPr>
            </w:pPr>
            <w:r>
              <w:rPr>
                <w:rFonts w:hint="eastAsia"/>
                <w:color w:val="auto"/>
                <w:highlight w:val="none"/>
                <w:lang w:val="en-US" w:eastAsia="zh-CN"/>
              </w:rPr>
              <w:t>1</w:t>
            </w:r>
          </w:p>
        </w:tc>
      </w:tr>
      <w:tr w14:paraId="0020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E21C714">
            <w:pPr>
              <w:pStyle w:val="17"/>
              <w:bidi w:val="0"/>
              <w:rPr>
                <w:color w:val="auto"/>
                <w:highlight w:val="none"/>
              </w:rPr>
            </w:pPr>
            <w:r>
              <w:rPr>
                <w:color w:val="auto"/>
                <w:highlight w:val="none"/>
              </w:rPr>
              <w:t>24</w:t>
            </w:r>
          </w:p>
        </w:tc>
        <w:tc>
          <w:tcPr>
            <w:tcW w:w="234" w:type="pct"/>
            <w:shd w:val="clear" w:color="auto" w:fill="auto"/>
            <w:tcMar>
              <w:top w:w="0" w:type="dxa"/>
              <w:left w:w="0" w:type="dxa"/>
              <w:bottom w:w="0" w:type="dxa"/>
              <w:right w:w="0" w:type="dxa"/>
            </w:tcMar>
            <w:vAlign w:val="center"/>
          </w:tcPr>
          <w:p w14:paraId="77FCF265">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00E77A84">
            <w:pPr>
              <w:pStyle w:val="17"/>
              <w:bidi w:val="0"/>
              <w:rPr>
                <w:color w:val="auto"/>
                <w:highlight w:val="none"/>
              </w:rPr>
            </w:pPr>
            <w:r>
              <w:rPr>
                <w:color w:val="auto"/>
                <w:highlight w:val="none"/>
              </w:rPr>
              <w:t>矿浆搅拌槽,4台（按点声源组预测）</w:t>
            </w:r>
          </w:p>
        </w:tc>
        <w:tc>
          <w:tcPr>
            <w:tcW w:w="388" w:type="pct"/>
            <w:shd w:val="clear" w:color="auto" w:fill="auto"/>
            <w:tcMar>
              <w:top w:w="0" w:type="dxa"/>
              <w:left w:w="0" w:type="dxa"/>
              <w:bottom w:w="0" w:type="dxa"/>
              <w:right w:w="0" w:type="dxa"/>
            </w:tcMar>
            <w:vAlign w:val="center"/>
          </w:tcPr>
          <w:p w14:paraId="73149CFA">
            <w:pPr>
              <w:pStyle w:val="17"/>
              <w:bidi w:val="0"/>
              <w:rPr>
                <w:rFonts w:hint="eastAsia" w:eastAsia="宋体"/>
                <w:color w:val="auto"/>
                <w:highlight w:val="none"/>
                <w:lang w:eastAsia="zh-CN"/>
              </w:rPr>
            </w:pPr>
            <w:r>
              <w:rPr>
                <w:color w:val="auto"/>
                <w:highlight w:val="none"/>
              </w:rPr>
              <w:t>70（等效后：76.0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12119C9D">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78FEBA80">
            <w:pPr>
              <w:pStyle w:val="17"/>
              <w:bidi w:val="0"/>
              <w:rPr>
                <w:color w:val="auto"/>
                <w:highlight w:val="none"/>
              </w:rPr>
            </w:pPr>
            <w:r>
              <w:rPr>
                <w:color w:val="auto"/>
                <w:highlight w:val="none"/>
              </w:rPr>
              <w:t>26.4</w:t>
            </w:r>
          </w:p>
        </w:tc>
        <w:tc>
          <w:tcPr>
            <w:tcW w:w="206" w:type="pct"/>
            <w:shd w:val="clear" w:color="auto" w:fill="auto"/>
            <w:tcMar>
              <w:top w:w="0" w:type="dxa"/>
              <w:left w:w="0" w:type="dxa"/>
              <w:bottom w:w="0" w:type="dxa"/>
              <w:right w:w="0" w:type="dxa"/>
            </w:tcMar>
            <w:vAlign w:val="center"/>
          </w:tcPr>
          <w:p w14:paraId="55A421A2">
            <w:pPr>
              <w:pStyle w:val="17"/>
              <w:bidi w:val="0"/>
              <w:rPr>
                <w:color w:val="auto"/>
                <w:highlight w:val="none"/>
              </w:rPr>
            </w:pPr>
            <w:r>
              <w:rPr>
                <w:color w:val="auto"/>
                <w:highlight w:val="none"/>
              </w:rPr>
              <w:t>-910.1</w:t>
            </w:r>
          </w:p>
        </w:tc>
        <w:tc>
          <w:tcPr>
            <w:tcW w:w="194" w:type="pct"/>
            <w:shd w:val="clear" w:color="auto" w:fill="auto"/>
            <w:tcMar>
              <w:top w:w="0" w:type="dxa"/>
              <w:left w:w="0" w:type="dxa"/>
              <w:bottom w:w="0" w:type="dxa"/>
              <w:right w:w="0" w:type="dxa"/>
            </w:tcMar>
            <w:vAlign w:val="center"/>
          </w:tcPr>
          <w:p w14:paraId="677B80F9">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74FCA1C6">
            <w:pPr>
              <w:pStyle w:val="17"/>
              <w:bidi w:val="0"/>
              <w:rPr>
                <w:color w:val="auto"/>
                <w:highlight w:val="none"/>
              </w:rPr>
            </w:pPr>
            <w:r>
              <w:rPr>
                <w:color w:val="auto"/>
                <w:highlight w:val="none"/>
              </w:rPr>
              <w:t>15.0</w:t>
            </w:r>
          </w:p>
        </w:tc>
        <w:tc>
          <w:tcPr>
            <w:tcW w:w="205" w:type="pct"/>
            <w:shd w:val="clear" w:color="auto" w:fill="auto"/>
            <w:tcMar>
              <w:top w:w="0" w:type="dxa"/>
              <w:left w:w="0" w:type="dxa"/>
              <w:bottom w:w="0" w:type="dxa"/>
              <w:right w:w="0" w:type="dxa"/>
            </w:tcMar>
            <w:vAlign w:val="center"/>
          </w:tcPr>
          <w:p w14:paraId="2C77767C">
            <w:pPr>
              <w:pStyle w:val="17"/>
              <w:bidi w:val="0"/>
              <w:rPr>
                <w:color w:val="auto"/>
                <w:highlight w:val="none"/>
              </w:rPr>
            </w:pPr>
            <w:r>
              <w:rPr>
                <w:color w:val="auto"/>
                <w:highlight w:val="none"/>
              </w:rPr>
              <w:t>72.0</w:t>
            </w:r>
          </w:p>
        </w:tc>
        <w:tc>
          <w:tcPr>
            <w:tcW w:w="235" w:type="pct"/>
            <w:shd w:val="clear" w:color="auto" w:fill="auto"/>
            <w:tcMar>
              <w:top w:w="0" w:type="dxa"/>
              <w:left w:w="0" w:type="dxa"/>
              <w:bottom w:w="0" w:type="dxa"/>
              <w:right w:w="0" w:type="dxa"/>
            </w:tcMar>
            <w:vAlign w:val="center"/>
          </w:tcPr>
          <w:p w14:paraId="3E20CA86">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72.0</w:t>
            </w:r>
          </w:p>
        </w:tc>
        <w:tc>
          <w:tcPr>
            <w:tcW w:w="200" w:type="pct"/>
            <w:shd w:val="clear" w:color="auto" w:fill="auto"/>
            <w:tcMar>
              <w:top w:w="0" w:type="dxa"/>
              <w:left w:w="0" w:type="dxa"/>
              <w:bottom w:w="0" w:type="dxa"/>
              <w:right w:w="0" w:type="dxa"/>
            </w:tcMar>
            <w:vAlign w:val="center"/>
          </w:tcPr>
          <w:p w14:paraId="12164307">
            <w:pPr>
              <w:pStyle w:val="17"/>
              <w:bidi w:val="0"/>
              <w:rPr>
                <w:color w:val="auto"/>
                <w:highlight w:val="none"/>
              </w:rPr>
            </w:pPr>
            <w:r>
              <w:rPr>
                <w:color w:val="auto"/>
                <w:highlight w:val="none"/>
              </w:rPr>
              <w:t>25.2</w:t>
            </w:r>
          </w:p>
        </w:tc>
        <w:tc>
          <w:tcPr>
            <w:tcW w:w="188" w:type="pct"/>
            <w:shd w:val="clear" w:color="auto" w:fill="auto"/>
            <w:tcMar>
              <w:top w:w="0" w:type="dxa"/>
              <w:left w:w="0" w:type="dxa"/>
              <w:bottom w:w="0" w:type="dxa"/>
              <w:right w:w="0" w:type="dxa"/>
            </w:tcMar>
            <w:vAlign w:val="center"/>
          </w:tcPr>
          <w:p w14:paraId="7A406440">
            <w:pPr>
              <w:pStyle w:val="17"/>
              <w:bidi w:val="0"/>
              <w:rPr>
                <w:color w:val="auto"/>
                <w:highlight w:val="none"/>
              </w:rPr>
            </w:pPr>
            <w:r>
              <w:rPr>
                <w:color w:val="auto"/>
                <w:highlight w:val="none"/>
              </w:rPr>
              <w:t>57.5</w:t>
            </w:r>
          </w:p>
        </w:tc>
        <w:tc>
          <w:tcPr>
            <w:tcW w:w="211" w:type="pct"/>
            <w:shd w:val="clear" w:color="auto" w:fill="auto"/>
            <w:tcMar>
              <w:top w:w="0" w:type="dxa"/>
              <w:left w:w="0" w:type="dxa"/>
              <w:bottom w:w="0" w:type="dxa"/>
              <w:right w:w="0" w:type="dxa"/>
            </w:tcMar>
            <w:vAlign w:val="center"/>
          </w:tcPr>
          <w:p w14:paraId="47DF3D76">
            <w:pPr>
              <w:pStyle w:val="17"/>
              <w:bidi w:val="0"/>
              <w:rPr>
                <w:color w:val="auto"/>
                <w:highlight w:val="none"/>
              </w:rPr>
            </w:pPr>
            <w:r>
              <w:rPr>
                <w:color w:val="auto"/>
                <w:highlight w:val="none"/>
              </w:rPr>
              <w:t>57.4</w:t>
            </w:r>
          </w:p>
        </w:tc>
        <w:tc>
          <w:tcPr>
            <w:tcW w:w="182" w:type="pct"/>
            <w:shd w:val="clear" w:color="auto" w:fill="auto"/>
            <w:tcMar>
              <w:top w:w="0" w:type="dxa"/>
              <w:left w:w="0" w:type="dxa"/>
              <w:bottom w:w="0" w:type="dxa"/>
              <w:right w:w="0" w:type="dxa"/>
            </w:tcMar>
            <w:vAlign w:val="center"/>
          </w:tcPr>
          <w:p w14:paraId="7E8122C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57.4</w:t>
            </w:r>
          </w:p>
        </w:tc>
        <w:tc>
          <w:tcPr>
            <w:tcW w:w="229" w:type="pct"/>
            <w:shd w:val="clear" w:color="auto" w:fill="auto"/>
            <w:tcMar>
              <w:top w:w="0" w:type="dxa"/>
              <w:left w:w="0" w:type="dxa"/>
              <w:bottom w:w="0" w:type="dxa"/>
              <w:right w:w="0" w:type="dxa"/>
            </w:tcMar>
            <w:vAlign w:val="center"/>
          </w:tcPr>
          <w:p w14:paraId="41CA0EB6">
            <w:pPr>
              <w:pStyle w:val="17"/>
              <w:bidi w:val="0"/>
              <w:rPr>
                <w:color w:val="auto"/>
                <w:highlight w:val="none"/>
              </w:rPr>
            </w:pPr>
            <w:r>
              <w:rPr>
                <w:color w:val="auto"/>
                <w:highlight w:val="none"/>
              </w:rPr>
              <w:t>57.4</w:t>
            </w:r>
          </w:p>
        </w:tc>
        <w:tc>
          <w:tcPr>
            <w:tcW w:w="270" w:type="pct"/>
            <w:shd w:val="clear" w:color="auto" w:fill="auto"/>
            <w:tcMar>
              <w:top w:w="0" w:type="dxa"/>
              <w:left w:w="0" w:type="dxa"/>
              <w:bottom w:w="0" w:type="dxa"/>
              <w:right w:w="0" w:type="dxa"/>
            </w:tcMar>
            <w:vAlign w:val="center"/>
          </w:tcPr>
          <w:p w14:paraId="08E6C70D">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2B50E6B">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57AA06B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47.5</w:t>
            </w:r>
          </w:p>
        </w:tc>
        <w:tc>
          <w:tcPr>
            <w:tcW w:w="258" w:type="pct"/>
            <w:shd w:val="clear" w:color="auto" w:fill="auto"/>
            <w:tcMar>
              <w:top w:w="0" w:type="dxa"/>
              <w:left w:w="0" w:type="dxa"/>
              <w:bottom w:w="0" w:type="dxa"/>
              <w:right w:w="0" w:type="dxa"/>
            </w:tcMar>
            <w:vAlign w:val="center"/>
          </w:tcPr>
          <w:p w14:paraId="33906C98">
            <w:pPr>
              <w:pStyle w:val="17"/>
              <w:bidi w:val="0"/>
              <w:ind w:firstLine="0" w:firstLineChars="0"/>
              <w:rPr>
                <w:color w:val="auto"/>
                <w:highlight w:val="none"/>
              </w:rPr>
            </w:pPr>
            <w:r>
              <w:rPr>
                <w:rFonts w:hint="eastAsia"/>
                <w:color w:val="auto"/>
                <w:highlight w:val="none"/>
                <w:lang w:val="en-US" w:eastAsia="zh-CN"/>
              </w:rPr>
              <w:t>1</w:t>
            </w:r>
          </w:p>
        </w:tc>
      </w:tr>
      <w:tr w14:paraId="7E45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7A23D8B">
            <w:pPr>
              <w:pStyle w:val="17"/>
              <w:bidi w:val="0"/>
              <w:rPr>
                <w:color w:val="auto"/>
                <w:highlight w:val="none"/>
              </w:rPr>
            </w:pPr>
            <w:r>
              <w:rPr>
                <w:color w:val="auto"/>
                <w:highlight w:val="none"/>
              </w:rPr>
              <w:t>25</w:t>
            </w:r>
          </w:p>
        </w:tc>
        <w:tc>
          <w:tcPr>
            <w:tcW w:w="234" w:type="pct"/>
            <w:shd w:val="clear" w:color="auto" w:fill="auto"/>
            <w:tcMar>
              <w:top w:w="0" w:type="dxa"/>
              <w:left w:w="0" w:type="dxa"/>
              <w:bottom w:w="0" w:type="dxa"/>
              <w:right w:w="0" w:type="dxa"/>
            </w:tcMar>
            <w:vAlign w:val="center"/>
          </w:tcPr>
          <w:p w14:paraId="48BD4C2E">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2E514B79">
            <w:pPr>
              <w:pStyle w:val="17"/>
              <w:bidi w:val="0"/>
              <w:rPr>
                <w:color w:val="auto"/>
                <w:highlight w:val="none"/>
              </w:rPr>
            </w:pPr>
            <w:r>
              <w:rPr>
                <w:color w:val="auto"/>
                <w:highlight w:val="none"/>
              </w:rPr>
              <w:t>矿浆搅拌槽</w:t>
            </w:r>
          </w:p>
        </w:tc>
        <w:tc>
          <w:tcPr>
            <w:tcW w:w="388" w:type="pct"/>
            <w:shd w:val="clear" w:color="auto" w:fill="auto"/>
            <w:tcMar>
              <w:top w:w="0" w:type="dxa"/>
              <w:left w:w="0" w:type="dxa"/>
              <w:bottom w:w="0" w:type="dxa"/>
              <w:right w:w="0" w:type="dxa"/>
            </w:tcMar>
            <w:vAlign w:val="center"/>
          </w:tcPr>
          <w:p w14:paraId="166F51A4">
            <w:pPr>
              <w:pStyle w:val="17"/>
              <w:bidi w:val="0"/>
              <w:rPr>
                <w:color w:val="auto"/>
                <w:highlight w:val="none"/>
              </w:rPr>
            </w:pPr>
            <w:r>
              <w:rPr>
                <w:color w:val="auto"/>
                <w:highlight w:val="none"/>
              </w:rPr>
              <w:t>70</w:t>
            </w:r>
          </w:p>
        </w:tc>
        <w:tc>
          <w:tcPr>
            <w:tcW w:w="329" w:type="pct"/>
            <w:vMerge w:val="continue"/>
            <w:shd w:val="clear" w:color="auto" w:fill="auto"/>
            <w:tcMar>
              <w:top w:w="0" w:type="dxa"/>
              <w:left w:w="0" w:type="dxa"/>
              <w:bottom w:w="0" w:type="dxa"/>
              <w:right w:w="0" w:type="dxa"/>
            </w:tcMar>
            <w:vAlign w:val="center"/>
          </w:tcPr>
          <w:p w14:paraId="30EA7D71">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3F89AA3">
            <w:pPr>
              <w:pStyle w:val="17"/>
              <w:bidi w:val="0"/>
              <w:rPr>
                <w:color w:val="auto"/>
                <w:highlight w:val="none"/>
              </w:rPr>
            </w:pPr>
            <w:r>
              <w:rPr>
                <w:color w:val="auto"/>
                <w:highlight w:val="none"/>
              </w:rPr>
              <w:t>30.2</w:t>
            </w:r>
          </w:p>
        </w:tc>
        <w:tc>
          <w:tcPr>
            <w:tcW w:w="206" w:type="pct"/>
            <w:shd w:val="clear" w:color="auto" w:fill="auto"/>
            <w:tcMar>
              <w:top w:w="0" w:type="dxa"/>
              <w:left w:w="0" w:type="dxa"/>
              <w:bottom w:w="0" w:type="dxa"/>
              <w:right w:w="0" w:type="dxa"/>
            </w:tcMar>
            <w:vAlign w:val="center"/>
          </w:tcPr>
          <w:p w14:paraId="7F53809C">
            <w:pPr>
              <w:pStyle w:val="17"/>
              <w:bidi w:val="0"/>
              <w:rPr>
                <w:color w:val="auto"/>
                <w:highlight w:val="none"/>
              </w:rPr>
            </w:pPr>
            <w:r>
              <w:rPr>
                <w:color w:val="auto"/>
                <w:highlight w:val="none"/>
              </w:rPr>
              <w:t>-920.4</w:t>
            </w:r>
          </w:p>
        </w:tc>
        <w:tc>
          <w:tcPr>
            <w:tcW w:w="194" w:type="pct"/>
            <w:shd w:val="clear" w:color="auto" w:fill="auto"/>
            <w:tcMar>
              <w:top w:w="0" w:type="dxa"/>
              <w:left w:w="0" w:type="dxa"/>
              <w:bottom w:w="0" w:type="dxa"/>
              <w:right w:w="0" w:type="dxa"/>
            </w:tcMar>
            <w:vAlign w:val="center"/>
          </w:tcPr>
          <w:p w14:paraId="00119181">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3F833E72">
            <w:pPr>
              <w:pStyle w:val="17"/>
              <w:bidi w:val="0"/>
              <w:rPr>
                <w:color w:val="auto"/>
                <w:highlight w:val="none"/>
              </w:rPr>
            </w:pPr>
            <w:r>
              <w:rPr>
                <w:color w:val="auto"/>
                <w:highlight w:val="none"/>
              </w:rPr>
              <w:t>11.2</w:t>
            </w:r>
          </w:p>
        </w:tc>
        <w:tc>
          <w:tcPr>
            <w:tcW w:w="205" w:type="pct"/>
            <w:shd w:val="clear" w:color="auto" w:fill="auto"/>
            <w:tcMar>
              <w:top w:w="0" w:type="dxa"/>
              <w:left w:w="0" w:type="dxa"/>
              <w:bottom w:w="0" w:type="dxa"/>
              <w:right w:w="0" w:type="dxa"/>
            </w:tcMar>
            <w:vAlign w:val="center"/>
          </w:tcPr>
          <w:p w14:paraId="26BF80CD">
            <w:pPr>
              <w:pStyle w:val="17"/>
              <w:bidi w:val="0"/>
              <w:rPr>
                <w:color w:val="auto"/>
                <w:highlight w:val="none"/>
              </w:rPr>
            </w:pPr>
            <w:r>
              <w:rPr>
                <w:color w:val="auto"/>
                <w:highlight w:val="none"/>
              </w:rPr>
              <w:t>61.7</w:t>
            </w:r>
          </w:p>
        </w:tc>
        <w:tc>
          <w:tcPr>
            <w:tcW w:w="235" w:type="pct"/>
            <w:shd w:val="clear" w:color="auto" w:fill="auto"/>
            <w:tcMar>
              <w:top w:w="0" w:type="dxa"/>
              <w:left w:w="0" w:type="dxa"/>
              <w:bottom w:w="0" w:type="dxa"/>
              <w:right w:w="0" w:type="dxa"/>
            </w:tcMar>
            <w:vAlign w:val="center"/>
          </w:tcPr>
          <w:p w14:paraId="0098467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61.7</w:t>
            </w:r>
          </w:p>
        </w:tc>
        <w:tc>
          <w:tcPr>
            <w:tcW w:w="200" w:type="pct"/>
            <w:shd w:val="clear" w:color="auto" w:fill="auto"/>
            <w:tcMar>
              <w:top w:w="0" w:type="dxa"/>
              <w:left w:w="0" w:type="dxa"/>
              <w:bottom w:w="0" w:type="dxa"/>
              <w:right w:w="0" w:type="dxa"/>
            </w:tcMar>
            <w:vAlign w:val="center"/>
          </w:tcPr>
          <w:p w14:paraId="69DF8917">
            <w:pPr>
              <w:pStyle w:val="17"/>
              <w:bidi w:val="0"/>
              <w:rPr>
                <w:color w:val="auto"/>
                <w:highlight w:val="none"/>
              </w:rPr>
            </w:pPr>
            <w:r>
              <w:rPr>
                <w:color w:val="auto"/>
                <w:highlight w:val="none"/>
              </w:rPr>
              <w:t>35.5</w:t>
            </w:r>
          </w:p>
        </w:tc>
        <w:tc>
          <w:tcPr>
            <w:tcW w:w="188" w:type="pct"/>
            <w:shd w:val="clear" w:color="auto" w:fill="auto"/>
            <w:tcMar>
              <w:top w:w="0" w:type="dxa"/>
              <w:left w:w="0" w:type="dxa"/>
              <w:bottom w:w="0" w:type="dxa"/>
              <w:right w:w="0" w:type="dxa"/>
            </w:tcMar>
            <w:vAlign w:val="center"/>
          </w:tcPr>
          <w:p w14:paraId="3EC79725">
            <w:pPr>
              <w:pStyle w:val="17"/>
              <w:bidi w:val="0"/>
              <w:rPr>
                <w:color w:val="auto"/>
                <w:highlight w:val="none"/>
              </w:rPr>
            </w:pPr>
            <w:r>
              <w:rPr>
                <w:color w:val="auto"/>
                <w:highlight w:val="none"/>
              </w:rPr>
              <w:t>51.6</w:t>
            </w:r>
          </w:p>
        </w:tc>
        <w:tc>
          <w:tcPr>
            <w:tcW w:w="211" w:type="pct"/>
            <w:shd w:val="clear" w:color="auto" w:fill="auto"/>
            <w:tcMar>
              <w:top w:w="0" w:type="dxa"/>
              <w:left w:w="0" w:type="dxa"/>
              <w:bottom w:w="0" w:type="dxa"/>
              <w:right w:w="0" w:type="dxa"/>
            </w:tcMar>
            <w:vAlign w:val="center"/>
          </w:tcPr>
          <w:p w14:paraId="7048BF4F">
            <w:pPr>
              <w:pStyle w:val="17"/>
              <w:bidi w:val="0"/>
              <w:rPr>
                <w:color w:val="auto"/>
                <w:highlight w:val="none"/>
              </w:rPr>
            </w:pPr>
            <w:r>
              <w:rPr>
                <w:color w:val="auto"/>
                <w:highlight w:val="none"/>
              </w:rPr>
              <w:t>51.4</w:t>
            </w:r>
          </w:p>
        </w:tc>
        <w:tc>
          <w:tcPr>
            <w:tcW w:w="182" w:type="pct"/>
            <w:shd w:val="clear" w:color="auto" w:fill="auto"/>
            <w:tcMar>
              <w:top w:w="0" w:type="dxa"/>
              <w:left w:w="0" w:type="dxa"/>
              <w:bottom w:w="0" w:type="dxa"/>
              <w:right w:w="0" w:type="dxa"/>
            </w:tcMar>
            <w:vAlign w:val="center"/>
          </w:tcPr>
          <w:p w14:paraId="30BFDE5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51.4</w:t>
            </w:r>
          </w:p>
        </w:tc>
        <w:tc>
          <w:tcPr>
            <w:tcW w:w="229" w:type="pct"/>
            <w:shd w:val="clear" w:color="auto" w:fill="auto"/>
            <w:tcMar>
              <w:top w:w="0" w:type="dxa"/>
              <w:left w:w="0" w:type="dxa"/>
              <w:bottom w:w="0" w:type="dxa"/>
              <w:right w:w="0" w:type="dxa"/>
            </w:tcMar>
            <w:vAlign w:val="center"/>
          </w:tcPr>
          <w:p w14:paraId="72D484E2">
            <w:pPr>
              <w:pStyle w:val="17"/>
              <w:bidi w:val="0"/>
              <w:rPr>
                <w:color w:val="auto"/>
                <w:highlight w:val="none"/>
              </w:rPr>
            </w:pPr>
            <w:r>
              <w:rPr>
                <w:color w:val="auto"/>
                <w:highlight w:val="none"/>
              </w:rPr>
              <w:t>51.4</w:t>
            </w:r>
          </w:p>
        </w:tc>
        <w:tc>
          <w:tcPr>
            <w:tcW w:w="270" w:type="pct"/>
            <w:shd w:val="clear" w:color="auto" w:fill="auto"/>
            <w:tcMar>
              <w:top w:w="0" w:type="dxa"/>
              <w:left w:w="0" w:type="dxa"/>
              <w:bottom w:w="0" w:type="dxa"/>
              <w:right w:w="0" w:type="dxa"/>
            </w:tcMar>
            <w:vAlign w:val="center"/>
          </w:tcPr>
          <w:p w14:paraId="2EA0A72B">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A6DA224">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03414ED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41.6</w:t>
            </w:r>
          </w:p>
        </w:tc>
        <w:tc>
          <w:tcPr>
            <w:tcW w:w="258" w:type="pct"/>
            <w:shd w:val="clear" w:color="auto" w:fill="auto"/>
            <w:tcMar>
              <w:top w:w="0" w:type="dxa"/>
              <w:left w:w="0" w:type="dxa"/>
              <w:bottom w:w="0" w:type="dxa"/>
              <w:right w:w="0" w:type="dxa"/>
            </w:tcMar>
            <w:vAlign w:val="center"/>
          </w:tcPr>
          <w:p w14:paraId="17E40815">
            <w:pPr>
              <w:pStyle w:val="17"/>
              <w:bidi w:val="0"/>
              <w:ind w:firstLine="0" w:firstLineChars="0"/>
              <w:rPr>
                <w:color w:val="auto"/>
                <w:highlight w:val="none"/>
              </w:rPr>
            </w:pPr>
            <w:r>
              <w:rPr>
                <w:rFonts w:hint="eastAsia"/>
                <w:color w:val="auto"/>
                <w:highlight w:val="none"/>
                <w:lang w:val="en-US" w:eastAsia="zh-CN"/>
              </w:rPr>
              <w:t>1</w:t>
            </w:r>
          </w:p>
        </w:tc>
      </w:tr>
      <w:tr w14:paraId="0185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B2386FA">
            <w:pPr>
              <w:pStyle w:val="17"/>
              <w:bidi w:val="0"/>
              <w:rPr>
                <w:color w:val="auto"/>
                <w:highlight w:val="none"/>
              </w:rPr>
            </w:pPr>
            <w:r>
              <w:rPr>
                <w:color w:val="auto"/>
                <w:highlight w:val="none"/>
              </w:rPr>
              <w:t>26</w:t>
            </w:r>
          </w:p>
        </w:tc>
        <w:tc>
          <w:tcPr>
            <w:tcW w:w="234" w:type="pct"/>
            <w:shd w:val="clear" w:color="auto" w:fill="auto"/>
            <w:tcMar>
              <w:top w:w="0" w:type="dxa"/>
              <w:left w:w="0" w:type="dxa"/>
              <w:bottom w:w="0" w:type="dxa"/>
              <w:right w:w="0" w:type="dxa"/>
            </w:tcMar>
            <w:vAlign w:val="center"/>
          </w:tcPr>
          <w:p w14:paraId="27C48AA2">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0E8D9288">
            <w:pPr>
              <w:pStyle w:val="17"/>
              <w:bidi w:val="0"/>
              <w:rPr>
                <w:color w:val="auto"/>
                <w:highlight w:val="none"/>
              </w:rPr>
            </w:pPr>
            <w:r>
              <w:rPr>
                <w:color w:val="auto"/>
                <w:highlight w:val="none"/>
              </w:rPr>
              <w:t>浮选机,40台（按点声源组预测）</w:t>
            </w:r>
          </w:p>
        </w:tc>
        <w:tc>
          <w:tcPr>
            <w:tcW w:w="388" w:type="pct"/>
            <w:shd w:val="clear" w:color="auto" w:fill="auto"/>
            <w:tcMar>
              <w:top w:w="0" w:type="dxa"/>
              <w:left w:w="0" w:type="dxa"/>
              <w:bottom w:w="0" w:type="dxa"/>
              <w:right w:w="0" w:type="dxa"/>
            </w:tcMar>
            <w:vAlign w:val="center"/>
          </w:tcPr>
          <w:p w14:paraId="185E3429">
            <w:pPr>
              <w:pStyle w:val="17"/>
              <w:bidi w:val="0"/>
              <w:rPr>
                <w:rFonts w:hint="eastAsia" w:eastAsia="宋体"/>
                <w:color w:val="auto"/>
                <w:highlight w:val="none"/>
                <w:lang w:eastAsia="zh-CN"/>
              </w:rPr>
            </w:pPr>
            <w:r>
              <w:rPr>
                <w:color w:val="auto"/>
                <w:highlight w:val="none"/>
              </w:rPr>
              <w:t>65（等效后：81.0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667A20A6">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6A768A8">
            <w:pPr>
              <w:pStyle w:val="17"/>
              <w:bidi w:val="0"/>
              <w:rPr>
                <w:color w:val="auto"/>
                <w:highlight w:val="none"/>
              </w:rPr>
            </w:pPr>
            <w:r>
              <w:rPr>
                <w:color w:val="auto"/>
                <w:highlight w:val="none"/>
              </w:rPr>
              <w:t>-2.6</w:t>
            </w:r>
          </w:p>
        </w:tc>
        <w:tc>
          <w:tcPr>
            <w:tcW w:w="206" w:type="pct"/>
            <w:shd w:val="clear" w:color="auto" w:fill="auto"/>
            <w:tcMar>
              <w:top w:w="0" w:type="dxa"/>
              <w:left w:w="0" w:type="dxa"/>
              <w:bottom w:w="0" w:type="dxa"/>
              <w:right w:w="0" w:type="dxa"/>
            </w:tcMar>
            <w:vAlign w:val="center"/>
          </w:tcPr>
          <w:p w14:paraId="59AE0DA3">
            <w:pPr>
              <w:pStyle w:val="17"/>
              <w:bidi w:val="0"/>
              <w:rPr>
                <w:color w:val="auto"/>
                <w:highlight w:val="none"/>
              </w:rPr>
            </w:pPr>
            <w:r>
              <w:rPr>
                <w:color w:val="auto"/>
                <w:highlight w:val="none"/>
              </w:rPr>
              <w:t>-912</w:t>
            </w:r>
          </w:p>
        </w:tc>
        <w:tc>
          <w:tcPr>
            <w:tcW w:w="194" w:type="pct"/>
            <w:shd w:val="clear" w:color="auto" w:fill="auto"/>
            <w:tcMar>
              <w:top w:w="0" w:type="dxa"/>
              <w:left w:w="0" w:type="dxa"/>
              <w:bottom w:w="0" w:type="dxa"/>
              <w:right w:w="0" w:type="dxa"/>
            </w:tcMar>
            <w:vAlign w:val="center"/>
          </w:tcPr>
          <w:p w14:paraId="0B726A1B">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BBB8E57">
            <w:pPr>
              <w:pStyle w:val="17"/>
              <w:bidi w:val="0"/>
              <w:rPr>
                <w:color w:val="auto"/>
                <w:highlight w:val="none"/>
              </w:rPr>
            </w:pPr>
            <w:r>
              <w:rPr>
                <w:color w:val="auto"/>
                <w:highlight w:val="none"/>
              </w:rPr>
              <w:t>44.0</w:t>
            </w:r>
          </w:p>
        </w:tc>
        <w:tc>
          <w:tcPr>
            <w:tcW w:w="205" w:type="pct"/>
            <w:shd w:val="clear" w:color="auto" w:fill="auto"/>
            <w:tcMar>
              <w:top w:w="0" w:type="dxa"/>
              <w:left w:w="0" w:type="dxa"/>
              <w:bottom w:w="0" w:type="dxa"/>
              <w:right w:w="0" w:type="dxa"/>
            </w:tcMar>
            <w:vAlign w:val="center"/>
          </w:tcPr>
          <w:p w14:paraId="39468CAA">
            <w:pPr>
              <w:pStyle w:val="17"/>
              <w:bidi w:val="0"/>
              <w:rPr>
                <w:color w:val="auto"/>
                <w:highlight w:val="none"/>
              </w:rPr>
            </w:pPr>
            <w:r>
              <w:rPr>
                <w:color w:val="auto"/>
                <w:highlight w:val="none"/>
              </w:rPr>
              <w:t>47.6</w:t>
            </w:r>
          </w:p>
        </w:tc>
        <w:tc>
          <w:tcPr>
            <w:tcW w:w="235" w:type="pct"/>
            <w:shd w:val="clear" w:color="auto" w:fill="auto"/>
            <w:tcMar>
              <w:top w:w="0" w:type="dxa"/>
              <w:left w:w="0" w:type="dxa"/>
              <w:bottom w:w="0" w:type="dxa"/>
              <w:right w:w="0" w:type="dxa"/>
            </w:tcMar>
            <w:vAlign w:val="center"/>
          </w:tcPr>
          <w:p w14:paraId="62368B9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47.6</w:t>
            </w:r>
          </w:p>
        </w:tc>
        <w:tc>
          <w:tcPr>
            <w:tcW w:w="200" w:type="pct"/>
            <w:shd w:val="clear" w:color="auto" w:fill="auto"/>
            <w:tcMar>
              <w:top w:w="0" w:type="dxa"/>
              <w:left w:w="0" w:type="dxa"/>
              <w:bottom w:w="0" w:type="dxa"/>
              <w:right w:w="0" w:type="dxa"/>
            </w:tcMar>
            <w:vAlign w:val="center"/>
          </w:tcPr>
          <w:p w14:paraId="721054B2">
            <w:pPr>
              <w:pStyle w:val="17"/>
              <w:bidi w:val="0"/>
              <w:rPr>
                <w:color w:val="auto"/>
                <w:highlight w:val="none"/>
              </w:rPr>
            </w:pPr>
            <w:r>
              <w:rPr>
                <w:color w:val="auto"/>
                <w:highlight w:val="none"/>
              </w:rPr>
              <w:t>27.1</w:t>
            </w:r>
          </w:p>
        </w:tc>
        <w:tc>
          <w:tcPr>
            <w:tcW w:w="188" w:type="pct"/>
            <w:shd w:val="clear" w:color="auto" w:fill="auto"/>
            <w:tcMar>
              <w:top w:w="0" w:type="dxa"/>
              <w:left w:w="0" w:type="dxa"/>
              <w:bottom w:w="0" w:type="dxa"/>
              <w:right w:w="0" w:type="dxa"/>
            </w:tcMar>
            <w:vAlign w:val="center"/>
          </w:tcPr>
          <w:p w14:paraId="70EB23B7">
            <w:pPr>
              <w:pStyle w:val="17"/>
              <w:bidi w:val="0"/>
              <w:rPr>
                <w:color w:val="auto"/>
                <w:highlight w:val="none"/>
              </w:rPr>
            </w:pPr>
            <w:r>
              <w:rPr>
                <w:color w:val="auto"/>
                <w:highlight w:val="none"/>
              </w:rPr>
              <w:t>62.4</w:t>
            </w:r>
          </w:p>
        </w:tc>
        <w:tc>
          <w:tcPr>
            <w:tcW w:w="211" w:type="pct"/>
            <w:shd w:val="clear" w:color="auto" w:fill="auto"/>
            <w:tcMar>
              <w:top w:w="0" w:type="dxa"/>
              <w:left w:w="0" w:type="dxa"/>
              <w:bottom w:w="0" w:type="dxa"/>
              <w:right w:w="0" w:type="dxa"/>
            </w:tcMar>
            <w:vAlign w:val="center"/>
          </w:tcPr>
          <w:p w14:paraId="07D0601C">
            <w:pPr>
              <w:pStyle w:val="17"/>
              <w:bidi w:val="0"/>
              <w:rPr>
                <w:color w:val="auto"/>
                <w:highlight w:val="none"/>
              </w:rPr>
            </w:pPr>
            <w:r>
              <w:rPr>
                <w:color w:val="auto"/>
                <w:highlight w:val="none"/>
              </w:rPr>
              <w:t>62.4</w:t>
            </w:r>
          </w:p>
        </w:tc>
        <w:tc>
          <w:tcPr>
            <w:tcW w:w="182" w:type="pct"/>
            <w:shd w:val="clear" w:color="auto" w:fill="auto"/>
            <w:tcMar>
              <w:top w:w="0" w:type="dxa"/>
              <w:left w:w="0" w:type="dxa"/>
              <w:bottom w:w="0" w:type="dxa"/>
              <w:right w:w="0" w:type="dxa"/>
            </w:tcMar>
            <w:vAlign w:val="center"/>
          </w:tcPr>
          <w:p w14:paraId="0703D44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62.4</w:t>
            </w:r>
          </w:p>
        </w:tc>
        <w:tc>
          <w:tcPr>
            <w:tcW w:w="229" w:type="pct"/>
            <w:shd w:val="clear" w:color="auto" w:fill="auto"/>
            <w:tcMar>
              <w:top w:w="0" w:type="dxa"/>
              <w:left w:w="0" w:type="dxa"/>
              <w:bottom w:w="0" w:type="dxa"/>
              <w:right w:w="0" w:type="dxa"/>
            </w:tcMar>
            <w:vAlign w:val="center"/>
          </w:tcPr>
          <w:p w14:paraId="49810090">
            <w:pPr>
              <w:pStyle w:val="17"/>
              <w:bidi w:val="0"/>
              <w:rPr>
                <w:color w:val="auto"/>
                <w:highlight w:val="none"/>
              </w:rPr>
            </w:pPr>
            <w:r>
              <w:rPr>
                <w:color w:val="auto"/>
                <w:highlight w:val="none"/>
              </w:rPr>
              <w:t>62.4</w:t>
            </w:r>
          </w:p>
        </w:tc>
        <w:tc>
          <w:tcPr>
            <w:tcW w:w="270" w:type="pct"/>
            <w:shd w:val="clear" w:color="auto" w:fill="auto"/>
            <w:tcMar>
              <w:top w:w="0" w:type="dxa"/>
              <w:left w:w="0" w:type="dxa"/>
              <w:bottom w:w="0" w:type="dxa"/>
              <w:right w:w="0" w:type="dxa"/>
            </w:tcMar>
            <w:vAlign w:val="center"/>
          </w:tcPr>
          <w:p w14:paraId="291A1870">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86DF497">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37A3308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52.4</w:t>
            </w:r>
          </w:p>
        </w:tc>
        <w:tc>
          <w:tcPr>
            <w:tcW w:w="258" w:type="pct"/>
            <w:shd w:val="clear" w:color="auto" w:fill="auto"/>
            <w:tcMar>
              <w:top w:w="0" w:type="dxa"/>
              <w:left w:w="0" w:type="dxa"/>
              <w:bottom w:w="0" w:type="dxa"/>
              <w:right w:w="0" w:type="dxa"/>
            </w:tcMar>
            <w:vAlign w:val="center"/>
          </w:tcPr>
          <w:p w14:paraId="26133922">
            <w:pPr>
              <w:pStyle w:val="17"/>
              <w:bidi w:val="0"/>
              <w:ind w:firstLine="0" w:firstLineChars="0"/>
              <w:rPr>
                <w:color w:val="auto"/>
                <w:highlight w:val="none"/>
              </w:rPr>
            </w:pPr>
            <w:r>
              <w:rPr>
                <w:rFonts w:hint="eastAsia"/>
                <w:color w:val="auto"/>
                <w:highlight w:val="none"/>
                <w:lang w:val="en-US" w:eastAsia="zh-CN"/>
              </w:rPr>
              <w:t>1</w:t>
            </w:r>
          </w:p>
        </w:tc>
      </w:tr>
      <w:tr w14:paraId="6489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F73313B">
            <w:pPr>
              <w:pStyle w:val="17"/>
              <w:bidi w:val="0"/>
              <w:rPr>
                <w:color w:val="auto"/>
                <w:highlight w:val="none"/>
              </w:rPr>
            </w:pPr>
            <w:r>
              <w:rPr>
                <w:color w:val="auto"/>
                <w:highlight w:val="none"/>
              </w:rPr>
              <w:t>27</w:t>
            </w:r>
          </w:p>
        </w:tc>
        <w:tc>
          <w:tcPr>
            <w:tcW w:w="234" w:type="pct"/>
            <w:shd w:val="clear" w:color="auto" w:fill="auto"/>
            <w:tcMar>
              <w:top w:w="0" w:type="dxa"/>
              <w:left w:w="0" w:type="dxa"/>
              <w:bottom w:w="0" w:type="dxa"/>
              <w:right w:w="0" w:type="dxa"/>
            </w:tcMar>
            <w:vAlign w:val="center"/>
          </w:tcPr>
          <w:p w14:paraId="27FB9FCC">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46F8B798">
            <w:pPr>
              <w:pStyle w:val="17"/>
              <w:bidi w:val="0"/>
              <w:rPr>
                <w:color w:val="auto"/>
                <w:highlight w:val="none"/>
              </w:rPr>
            </w:pPr>
            <w:r>
              <w:rPr>
                <w:color w:val="auto"/>
                <w:highlight w:val="none"/>
              </w:rPr>
              <w:t>液下泵,25台（按点声源组预测）</w:t>
            </w:r>
          </w:p>
        </w:tc>
        <w:tc>
          <w:tcPr>
            <w:tcW w:w="388" w:type="pct"/>
            <w:shd w:val="clear" w:color="auto" w:fill="auto"/>
            <w:tcMar>
              <w:top w:w="0" w:type="dxa"/>
              <w:left w:w="0" w:type="dxa"/>
              <w:bottom w:w="0" w:type="dxa"/>
              <w:right w:w="0" w:type="dxa"/>
            </w:tcMar>
            <w:vAlign w:val="center"/>
          </w:tcPr>
          <w:p w14:paraId="738030D5">
            <w:pPr>
              <w:pStyle w:val="17"/>
              <w:bidi w:val="0"/>
              <w:rPr>
                <w:rFonts w:hint="eastAsia" w:eastAsia="宋体"/>
                <w:color w:val="auto"/>
                <w:highlight w:val="none"/>
                <w:lang w:eastAsia="zh-CN"/>
              </w:rPr>
            </w:pPr>
            <w:r>
              <w:rPr>
                <w:color w:val="auto"/>
                <w:highlight w:val="none"/>
              </w:rPr>
              <w:t>75（等效后：89.0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45E207D4">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08E4F208">
            <w:pPr>
              <w:pStyle w:val="17"/>
              <w:bidi w:val="0"/>
              <w:rPr>
                <w:color w:val="auto"/>
                <w:highlight w:val="none"/>
              </w:rPr>
            </w:pPr>
            <w:r>
              <w:rPr>
                <w:color w:val="auto"/>
                <w:highlight w:val="none"/>
              </w:rPr>
              <w:t>-10</w:t>
            </w:r>
          </w:p>
        </w:tc>
        <w:tc>
          <w:tcPr>
            <w:tcW w:w="206" w:type="pct"/>
            <w:shd w:val="clear" w:color="auto" w:fill="auto"/>
            <w:tcMar>
              <w:top w:w="0" w:type="dxa"/>
              <w:left w:w="0" w:type="dxa"/>
              <w:bottom w:w="0" w:type="dxa"/>
              <w:right w:w="0" w:type="dxa"/>
            </w:tcMar>
            <w:vAlign w:val="center"/>
          </w:tcPr>
          <w:p w14:paraId="0BC39501">
            <w:pPr>
              <w:pStyle w:val="17"/>
              <w:bidi w:val="0"/>
              <w:rPr>
                <w:color w:val="auto"/>
                <w:highlight w:val="none"/>
              </w:rPr>
            </w:pPr>
            <w:r>
              <w:rPr>
                <w:color w:val="auto"/>
                <w:highlight w:val="none"/>
              </w:rPr>
              <w:t>-933.5</w:t>
            </w:r>
          </w:p>
        </w:tc>
        <w:tc>
          <w:tcPr>
            <w:tcW w:w="194" w:type="pct"/>
            <w:shd w:val="clear" w:color="auto" w:fill="auto"/>
            <w:tcMar>
              <w:top w:w="0" w:type="dxa"/>
              <w:left w:w="0" w:type="dxa"/>
              <w:bottom w:w="0" w:type="dxa"/>
              <w:right w:w="0" w:type="dxa"/>
            </w:tcMar>
            <w:vAlign w:val="center"/>
          </w:tcPr>
          <w:p w14:paraId="6A125A56">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49D4C865">
            <w:pPr>
              <w:pStyle w:val="17"/>
              <w:bidi w:val="0"/>
              <w:rPr>
                <w:color w:val="auto"/>
                <w:highlight w:val="none"/>
              </w:rPr>
            </w:pPr>
            <w:r>
              <w:rPr>
                <w:color w:val="auto"/>
                <w:highlight w:val="none"/>
              </w:rPr>
              <w:t>51.4</w:t>
            </w:r>
          </w:p>
        </w:tc>
        <w:tc>
          <w:tcPr>
            <w:tcW w:w="205" w:type="pct"/>
            <w:shd w:val="clear" w:color="auto" w:fill="auto"/>
            <w:tcMar>
              <w:top w:w="0" w:type="dxa"/>
              <w:left w:w="0" w:type="dxa"/>
              <w:bottom w:w="0" w:type="dxa"/>
              <w:right w:w="0" w:type="dxa"/>
            </w:tcMar>
            <w:vAlign w:val="center"/>
          </w:tcPr>
          <w:p w14:paraId="38C4321B">
            <w:pPr>
              <w:pStyle w:val="17"/>
              <w:bidi w:val="0"/>
              <w:rPr>
                <w:color w:val="auto"/>
                <w:highlight w:val="none"/>
              </w:rPr>
            </w:pPr>
            <w:r>
              <w:rPr>
                <w:color w:val="auto"/>
                <w:highlight w:val="none"/>
              </w:rPr>
              <w:t>40.2</w:t>
            </w:r>
          </w:p>
        </w:tc>
        <w:tc>
          <w:tcPr>
            <w:tcW w:w="235" w:type="pct"/>
            <w:shd w:val="clear" w:color="auto" w:fill="auto"/>
            <w:tcMar>
              <w:top w:w="0" w:type="dxa"/>
              <w:left w:w="0" w:type="dxa"/>
              <w:bottom w:w="0" w:type="dxa"/>
              <w:right w:w="0" w:type="dxa"/>
            </w:tcMar>
            <w:vAlign w:val="center"/>
          </w:tcPr>
          <w:p w14:paraId="64DAD09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40.2</w:t>
            </w:r>
          </w:p>
        </w:tc>
        <w:tc>
          <w:tcPr>
            <w:tcW w:w="200" w:type="pct"/>
            <w:shd w:val="clear" w:color="auto" w:fill="auto"/>
            <w:tcMar>
              <w:top w:w="0" w:type="dxa"/>
              <w:left w:w="0" w:type="dxa"/>
              <w:bottom w:w="0" w:type="dxa"/>
              <w:right w:w="0" w:type="dxa"/>
            </w:tcMar>
            <w:vAlign w:val="center"/>
          </w:tcPr>
          <w:p w14:paraId="2D4A0B76">
            <w:pPr>
              <w:pStyle w:val="17"/>
              <w:bidi w:val="0"/>
              <w:rPr>
                <w:color w:val="auto"/>
                <w:highlight w:val="none"/>
              </w:rPr>
            </w:pPr>
            <w:r>
              <w:rPr>
                <w:color w:val="auto"/>
                <w:highlight w:val="none"/>
              </w:rPr>
              <w:t>48.6</w:t>
            </w:r>
          </w:p>
        </w:tc>
        <w:tc>
          <w:tcPr>
            <w:tcW w:w="188" w:type="pct"/>
            <w:shd w:val="clear" w:color="auto" w:fill="auto"/>
            <w:tcMar>
              <w:top w:w="0" w:type="dxa"/>
              <w:left w:w="0" w:type="dxa"/>
              <w:bottom w:w="0" w:type="dxa"/>
              <w:right w:w="0" w:type="dxa"/>
            </w:tcMar>
            <w:vAlign w:val="center"/>
          </w:tcPr>
          <w:p w14:paraId="31CD0B8D">
            <w:pPr>
              <w:pStyle w:val="17"/>
              <w:bidi w:val="0"/>
              <w:rPr>
                <w:color w:val="auto"/>
                <w:highlight w:val="none"/>
              </w:rPr>
            </w:pPr>
            <w:r>
              <w:rPr>
                <w:color w:val="auto"/>
                <w:highlight w:val="none"/>
              </w:rPr>
              <w:t>70.4</w:t>
            </w:r>
          </w:p>
        </w:tc>
        <w:tc>
          <w:tcPr>
            <w:tcW w:w="211" w:type="pct"/>
            <w:shd w:val="clear" w:color="auto" w:fill="auto"/>
            <w:tcMar>
              <w:top w:w="0" w:type="dxa"/>
              <w:left w:w="0" w:type="dxa"/>
              <w:bottom w:w="0" w:type="dxa"/>
              <w:right w:w="0" w:type="dxa"/>
            </w:tcMar>
            <w:vAlign w:val="center"/>
          </w:tcPr>
          <w:p w14:paraId="08AC6E1B">
            <w:pPr>
              <w:pStyle w:val="17"/>
              <w:bidi w:val="0"/>
              <w:rPr>
                <w:color w:val="auto"/>
                <w:highlight w:val="none"/>
              </w:rPr>
            </w:pPr>
            <w:r>
              <w:rPr>
                <w:color w:val="auto"/>
                <w:highlight w:val="none"/>
              </w:rPr>
              <w:t>70.4</w:t>
            </w:r>
          </w:p>
        </w:tc>
        <w:tc>
          <w:tcPr>
            <w:tcW w:w="182" w:type="pct"/>
            <w:shd w:val="clear" w:color="auto" w:fill="auto"/>
            <w:tcMar>
              <w:top w:w="0" w:type="dxa"/>
              <w:left w:w="0" w:type="dxa"/>
              <w:bottom w:w="0" w:type="dxa"/>
              <w:right w:w="0" w:type="dxa"/>
            </w:tcMar>
            <w:vAlign w:val="center"/>
          </w:tcPr>
          <w:p w14:paraId="4AB3EC4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70.4</w:t>
            </w:r>
          </w:p>
        </w:tc>
        <w:tc>
          <w:tcPr>
            <w:tcW w:w="229" w:type="pct"/>
            <w:shd w:val="clear" w:color="auto" w:fill="auto"/>
            <w:tcMar>
              <w:top w:w="0" w:type="dxa"/>
              <w:left w:w="0" w:type="dxa"/>
              <w:bottom w:w="0" w:type="dxa"/>
              <w:right w:w="0" w:type="dxa"/>
            </w:tcMar>
            <w:vAlign w:val="center"/>
          </w:tcPr>
          <w:p w14:paraId="40980724">
            <w:pPr>
              <w:pStyle w:val="17"/>
              <w:bidi w:val="0"/>
              <w:rPr>
                <w:color w:val="auto"/>
                <w:highlight w:val="none"/>
              </w:rPr>
            </w:pPr>
            <w:r>
              <w:rPr>
                <w:color w:val="auto"/>
                <w:highlight w:val="none"/>
              </w:rPr>
              <w:t>70.4</w:t>
            </w:r>
          </w:p>
        </w:tc>
        <w:tc>
          <w:tcPr>
            <w:tcW w:w="270" w:type="pct"/>
            <w:shd w:val="clear" w:color="auto" w:fill="auto"/>
            <w:tcMar>
              <w:top w:w="0" w:type="dxa"/>
              <w:left w:w="0" w:type="dxa"/>
              <w:bottom w:w="0" w:type="dxa"/>
              <w:right w:w="0" w:type="dxa"/>
            </w:tcMar>
            <w:vAlign w:val="center"/>
          </w:tcPr>
          <w:p w14:paraId="74C93B12">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B7D4734">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5411765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60.4</w:t>
            </w:r>
          </w:p>
        </w:tc>
        <w:tc>
          <w:tcPr>
            <w:tcW w:w="258" w:type="pct"/>
            <w:shd w:val="clear" w:color="auto" w:fill="auto"/>
            <w:tcMar>
              <w:top w:w="0" w:type="dxa"/>
              <w:left w:w="0" w:type="dxa"/>
              <w:bottom w:w="0" w:type="dxa"/>
              <w:right w:w="0" w:type="dxa"/>
            </w:tcMar>
            <w:vAlign w:val="center"/>
          </w:tcPr>
          <w:p w14:paraId="6A12A357">
            <w:pPr>
              <w:pStyle w:val="17"/>
              <w:bidi w:val="0"/>
              <w:ind w:firstLine="0" w:firstLineChars="0"/>
              <w:rPr>
                <w:color w:val="auto"/>
                <w:highlight w:val="none"/>
              </w:rPr>
            </w:pPr>
            <w:r>
              <w:rPr>
                <w:rFonts w:hint="eastAsia"/>
                <w:color w:val="auto"/>
                <w:highlight w:val="none"/>
                <w:lang w:val="en-US" w:eastAsia="zh-CN"/>
              </w:rPr>
              <w:t>1</w:t>
            </w:r>
          </w:p>
        </w:tc>
      </w:tr>
      <w:tr w14:paraId="4B76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479F1BF">
            <w:pPr>
              <w:pStyle w:val="17"/>
              <w:bidi w:val="0"/>
              <w:rPr>
                <w:color w:val="auto"/>
                <w:highlight w:val="none"/>
              </w:rPr>
            </w:pPr>
            <w:r>
              <w:rPr>
                <w:color w:val="auto"/>
                <w:highlight w:val="none"/>
              </w:rPr>
              <w:t>28</w:t>
            </w:r>
          </w:p>
        </w:tc>
        <w:tc>
          <w:tcPr>
            <w:tcW w:w="234" w:type="pct"/>
            <w:shd w:val="clear" w:color="auto" w:fill="auto"/>
            <w:tcMar>
              <w:top w:w="0" w:type="dxa"/>
              <w:left w:w="0" w:type="dxa"/>
              <w:bottom w:w="0" w:type="dxa"/>
              <w:right w:w="0" w:type="dxa"/>
            </w:tcMar>
            <w:vAlign w:val="center"/>
          </w:tcPr>
          <w:p w14:paraId="44EBB132">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0F24E841">
            <w:pPr>
              <w:pStyle w:val="17"/>
              <w:bidi w:val="0"/>
              <w:rPr>
                <w:color w:val="auto"/>
                <w:highlight w:val="none"/>
              </w:rPr>
            </w:pPr>
            <w:r>
              <w:rPr>
                <w:color w:val="auto"/>
                <w:highlight w:val="none"/>
              </w:rPr>
              <w:t>浓缩机,2台（按点声源组预测）</w:t>
            </w:r>
          </w:p>
        </w:tc>
        <w:tc>
          <w:tcPr>
            <w:tcW w:w="388" w:type="pct"/>
            <w:shd w:val="clear" w:color="auto" w:fill="auto"/>
            <w:tcMar>
              <w:top w:w="0" w:type="dxa"/>
              <w:left w:w="0" w:type="dxa"/>
              <w:bottom w:w="0" w:type="dxa"/>
              <w:right w:w="0" w:type="dxa"/>
            </w:tcMar>
            <w:vAlign w:val="center"/>
          </w:tcPr>
          <w:p w14:paraId="67C10368">
            <w:pPr>
              <w:pStyle w:val="17"/>
              <w:bidi w:val="0"/>
              <w:rPr>
                <w:rFonts w:hint="eastAsia" w:eastAsia="宋体"/>
                <w:color w:val="auto"/>
                <w:highlight w:val="none"/>
                <w:lang w:eastAsia="zh-CN"/>
              </w:rPr>
            </w:pPr>
            <w:r>
              <w:rPr>
                <w:color w:val="auto"/>
                <w:highlight w:val="none"/>
              </w:rPr>
              <w:t>65（等效后：68.0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0AE91368">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68F68B52">
            <w:pPr>
              <w:pStyle w:val="17"/>
              <w:bidi w:val="0"/>
              <w:rPr>
                <w:color w:val="auto"/>
                <w:highlight w:val="none"/>
              </w:rPr>
            </w:pPr>
            <w:r>
              <w:rPr>
                <w:color w:val="auto"/>
                <w:highlight w:val="none"/>
              </w:rPr>
              <w:t>29.2</w:t>
            </w:r>
          </w:p>
        </w:tc>
        <w:tc>
          <w:tcPr>
            <w:tcW w:w="206" w:type="pct"/>
            <w:shd w:val="clear" w:color="auto" w:fill="auto"/>
            <w:tcMar>
              <w:top w:w="0" w:type="dxa"/>
              <w:left w:w="0" w:type="dxa"/>
              <w:bottom w:w="0" w:type="dxa"/>
              <w:right w:w="0" w:type="dxa"/>
            </w:tcMar>
            <w:vAlign w:val="center"/>
          </w:tcPr>
          <w:p w14:paraId="55111AD3">
            <w:pPr>
              <w:pStyle w:val="17"/>
              <w:bidi w:val="0"/>
              <w:rPr>
                <w:color w:val="auto"/>
                <w:highlight w:val="none"/>
              </w:rPr>
            </w:pPr>
            <w:r>
              <w:rPr>
                <w:color w:val="auto"/>
                <w:highlight w:val="none"/>
              </w:rPr>
              <w:t>-897.1</w:t>
            </w:r>
          </w:p>
        </w:tc>
        <w:tc>
          <w:tcPr>
            <w:tcW w:w="194" w:type="pct"/>
            <w:shd w:val="clear" w:color="auto" w:fill="auto"/>
            <w:tcMar>
              <w:top w:w="0" w:type="dxa"/>
              <w:left w:w="0" w:type="dxa"/>
              <w:bottom w:w="0" w:type="dxa"/>
              <w:right w:w="0" w:type="dxa"/>
            </w:tcMar>
            <w:vAlign w:val="center"/>
          </w:tcPr>
          <w:p w14:paraId="3A9E1C52">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859D117">
            <w:pPr>
              <w:pStyle w:val="17"/>
              <w:bidi w:val="0"/>
              <w:rPr>
                <w:color w:val="auto"/>
                <w:highlight w:val="none"/>
              </w:rPr>
            </w:pPr>
            <w:r>
              <w:rPr>
                <w:color w:val="auto"/>
                <w:highlight w:val="none"/>
              </w:rPr>
              <w:t>12.2</w:t>
            </w:r>
          </w:p>
        </w:tc>
        <w:tc>
          <w:tcPr>
            <w:tcW w:w="205" w:type="pct"/>
            <w:shd w:val="clear" w:color="auto" w:fill="auto"/>
            <w:tcMar>
              <w:top w:w="0" w:type="dxa"/>
              <w:left w:w="0" w:type="dxa"/>
              <w:bottom w:w="0" w:type="dxa"/>
              <w:right w:w="0" w:type="dxa"/>
            </w:tcMar>
            <w:vAlign w:val="center"/>
          </w:tcPr>
          <w:p w14:paraId="1EBE107E">
            <w:pPr>
              <w:pStyle w:val="17"/>
              <w:bidi w:val="0"/>
              <w:rPr>
                <w:color w:val="auto"/>
                <w:highlight w:val="none"/>
              </w:rPr>
            </w:pPr>
            <w:r>
              <w:rPr>
                <w:color w:val="auto"/>
                <w:highlight w:val="none"/>
              </w:rPr>
              <w:t>79.4</w:t>
            </w:r>
          </w:p>
        </w:tc>
        <w:tc>
          <w:tcPr>
            <w:tcW w:w="235" w:type="pct"/>
            <w:shd w:val="clear" w:color="auto" w:fill="auto"/>
            <w:tcMar>
              <w:top w:w="0" w:type="dxa"/>
              <w:left w:w="0" w:type="dxa"/>
              <w:bottom w:w="0" w:type="dxa"/>
              <w:right w:w="0" w:type="dxa"/>
            </w:tcMar>
            <w:vAlign w:val="center"/>
          </w:tcPr>
          <w:p w14:paraId="71F86DA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79.4</w:t>
            </w:r>
          </w:p>
        </w:tc>
        <w:tc>
          <w:tcPr>
            <w:tcW w:w="200" w:type="pct"/>
            <w:shd w:val="clear" w:color="auto" w:fill="auto"/>
            <w:tcMar>
              <w:top w:w="0" w:type="dxa"/>
              <w:left w:w="0" w:type="dxa"/>
              <w:bottom w:w="0" w:type="dxa"/>
              <w:right w:w="0" w:type="dxa"/>
            </w:tcMar>
            <w:vAlign w:val="center"/>
          </w:tcPr>
          <w:p w14:paraId="6BF1881B">
            <w:pPr>
              <w:pStyle w:val="17"/>
              <w:bidi w:val="0"/>
              <w:rPr>
                <w:color w:val="auto"/>
                <w:highlight w:val="none"/>
              </w:rPr>
            </w:pPr>
            <w:r>
              <w:rPr>
                <w:color w:val="auto"/>
                <w:highlight w:val="none"/>
              </w:rPr>
              <w:t>12.2</w:t>
            </w:r>
          </w:p>
        </w:tc>
        <w:tc>
          <w:tcPr>
            <w:tcW w:w="188" w:type="pct"/>
            <w:shd w:val="clear" w:color="auto" w:fill="auto"/>
            <w:tcMar>
              <w:top w:w="0" w:type="dxa"/>
              <w:left w:w="0" w:type="dxa"/>
              <w:bottom w:w="0" w:type="dxa"/>
              <w:right w:w="0" w:type="dxa"/>
            </w:tcMar>
            <w:vAlign w:val="center"/>
          </w:tcPr>
          <w:p w14:paraId="45E0CC65">
            <w:pPr>
              <w:pStyle w:val="17"/>
              <w:bidi w:val="0"/>
              <w:rPr>
                <w:color w:val="auto"/>
                <w:highlight w:val="none"/>
              </w:rPr>
            </w:pPr>
            <w:r>
              <w:rPr>
                <w:color w:val="auto"/>
                <w:highlight w:val="none"/>
              </w:rPr>
              <w:t>49.6</w:t>
            </w:r>
          </w:p>
        </w:tc>
        <w:tc>
          <w:tcPr>
            <w:tcW w:w="211" w:type="pct"/>
            <w:shd w:val="clear" w:color="auto" w:fill="auto"/>
            <w:tcMar>
              <w:top w:w="0" w:type="dxa"/>
              <w:left w:w="0" w:type="dxa"/>
              <w:bottom w:w="0" w:type="dxa"/>
              <w:right w:w="0" w:type="dxa"/>
            </w:tcMar>
            <w:vAlign w:val="center"/>
          </w:tcPr>
          <w:p w14:paraId="6CFAFD44">
            <w:pPr>
              <w:pStyle w:val="17"/>
              <w:bidi w:val="0"/>
              <w:rPr>
                <w:color w:val="auto"/>
                <w:highlight w:val="none"/>
              </w:rPr>
            </w:pPr>
            <w:r>
              <w:rPr>
                <w:color w:val="auto"/>
                <w:highlight w:val="none"/>
              </w:rPr>
              <w:t>49.4</w:t>
            </w:r>
          </w:p>
        </w:tc>
        <w:tc>
          <w:tcPr>
            <w:tcW w:w="182" w:type="pct"/>
            <w:shd w:val="clear" w:color="auto" w:fill="auto"/>
            <w:tcMar>
              <w:top w:w="0" w:type="dxa"/>
              <w:left w:w="0" w:type="dxa"/>
              <w:bottom w:w="0" w:type="dxa"/>
              <w:right w:w="0" w:type="dxa"/>
            </w:tcMar>
            <w:vAlign w:val="center"/>
          </w:tcPr>
          <w:p w14:paraId="7019DEC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49.6</w:t>
            </w:r>
          </w:p>
        </w:tc>
        <w:tc>
          <w:tcPr>
            <w:tcW w:w="229" w:type="pct"/>
            <w:shd w:val="clear" w:color="auto" w:fill="auto"/>
            <w:tcMar>
              <w:top w:w="0" w:type="dxa"/>
              <w:left w:w="0" w:type="dxa"/>
              <w:bottom w:w="0" w:type="dxa"/>
              <w:right w:w="0" w:type="dxa"/>
            </w:tcMar>
            <w:vAlign w:val="center"/>
          </w:tcPr>
          <w:p w14:paraId="4F4D0F00">
            <w:pPr>
              <w:pStyle w:val="17"/>
              <w:bidi w:val="0"/>
              <w:rPr>
                <w:color w:val="auto"/>
                <w:highlight w:val="none"/>
              </w:rPr>
            </w:pPr>
            <w:r>
              <w:rPr>
                <w:color w:val="auto"/>
                <w:highlight w:val="none"/>
              </w:rPr>
              <w:t>49.6</w:t>
            </w:r>
          </w:p>
        </w:tc>
        <w:tc>
          <w:tcPr>
            <w:tcW w:w="270" w:type="pct"/>
            <w:shd w:val="clear" w:color="auto" w:fill="auto"/>
            <w:tcMar>
              <w:top w:w="0" w:type="dxa"/>
              <w:left w:w="0" w:type="dxa"/>
              <w:bottom w:w="0" w:type="dxa"/>
              <w:right w:w="0" w:type="dxa"/>
            </w:tcMar>
            <w:vAlign w:val="center"/>
          </w:tcPr>
          <w:p w14:paraId="59A955DE">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250387A5">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253BA80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39.6</w:t>
            </w:r>
          </w:p>
        </w:tc>
        <w:tc>
          <w:tcPr>
            <w:tcW w:w="258" w:type="pct"/>
            <w:shd w:val="clear" w:color="auto" w:fill="auto"/>
            <w:tcMar>
              <w:top w:w="0" w:type="dxa"/>
              <w:left w:w="0" w:type="dxa"/>
              <w:bottom w:w="0" w:type="dxa"/>
              <w:right w:w="0" w:type="dxa"/>
            </w:tcMar>
            <w:vAlign w:val="center"/>
          </w:tcPr>
          <w:p w14:paraId="52D8C879">
            <w:pPr>
              <w:pStyle w:val="17"/>
              <w:bidi w:val="0"/>
              <w:ind w:firstLine="0" w:firstLineChars="0"/>
              <w:rPr>
                <w:color w:val="auto"/>
                <w:highlight w:val="none"/>
              </w:rPr>
            </w:pPr>
            <w:r>
              <w:rPr>
                <w:rFonts w:hint="eastAsia"/>
                <w:color w:val="auto"/>
                <w:highlight w:val="none"/>
                <w:lang w:val="en-US" w:eastAsia="zh-CN"/>
              </w:rPr>
              <w:t>1</w:t>
            </w:r>
          </w:p>
        </w:tc>
      </w:tr>
      <w:tr w14:paraId="0F9A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93F84C1">
            <w:pPr>
              <w:pStyle w:val="17"/>
              <w:bidi w:val="0"/>
              <w:rPr>
                <w:color w:val="auto"/>
                <w:highlight w:val="none"/>
              </w:rPr>
            </w:pPr>
            <w:r>
              <w:rPr>
                <w:color w:val="auto"/>
                <w:highlight w:val="none"/>
              </w:rPr>
              <w:t>29</w:t>
            </w:r>
          </w:p>
        </w:tc>
        <w:tc>
          <w:tcPr>
            <w:tcW w:w="234" w:type="pct"/>
            <w:shd w:val="clear" w:color="auto" w:fill="auto"/>
            <w:tcMar>
              <w:top w:w="0" w:type="dxa"/>
              <w:left w:w="0" w:type="dxa"/>
              <w:bottom w:w="0" w:type="dxa"/>
              <w:right w:w="0" w:type="dxa"/>
            </w:tcMar>
            <w:vAlign w:val="center"/>
          </w:tcPr>
          <w:p w14:paraId="5FA5DE01">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0B62CA72">
            <w:pPr>
              <w:pStyle w:val="17"/>
              <w:bidi w:val="0"/>
              <w:rPr>
                <w:color w:val="auto"/>
                <w:highlight w:val="none"/>
              </w:rPr>
            </w:pPr>
            <w:r>
              <w:rPr>
                <w:color w:val="auto"/>
                <w:highlight w:val="none"/>
              </w:rPr>
              <w:t>高浓度矿浆搅拌槽</w:t>
            </w:r>
          </w:p>
        </w:tc>
        <w:tc>
          <w:tcPr>
            <w:tcW w:w="388" w:type="pct"/>
            <w:shd w:val="clear" w:color="auto" w:fill="auto"/>
            <w:tcMar>
              <w:top w:w="0" w:type="dxa"/>
              <w:left w:w="0" w:type="dxa"/>
              <w:bottom w:w="0" w:type="dxa"/>
              <w:right w:w="0" w:type="dxa"/>
            </w:tcMar>
            <w:vAlign w:val="center"/>
          </w:tcPr>
          <w:p w14:paraId="01530EAC">
            <w:pPr>
              <w:pStyle w:val="17"/>
              <w:bidi w:val="0"/>
              <w:rPr>
                <w:color w:val="auto"/>
                <w:highlight w:val="none"/>
              </w:rPr>
            </w:pPr>
            <w:r>
              <w:rPr>
                <w:color w:val="auto"/>
                <w:highlight w:val="none"/>
              </w:rPr>
              <w:t>70</w:t>
            </w:r>
          </w:p>
        </w:tc>
        <w:tc>
          <w:tcPr>
            <w:tcW w:w="329" w:type="pct"/>
            <w:vMerge w:val="continue"/>
            <w:shd w:val="clear" w:color="auto" w:fill="auto"/>
            <w:tcMar>
              <w:top w:w="0" w:type="dxa"/>
              <w:left w:w="0" w:type="dxa"/>
              <w:bottom w:w="0" w:type="dxa"/>
              <w:right w:w="0" w:type="dxa"/>
            </w:tcMar>
            <w:vAlign w:val="center"/>
          </w:tcPr>
          <w:p w14:paraId="49225C0C">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72F73B69">
            <w:pPr>
              <w:pStyle w:val="17"/>
              <w:bidi w:val="0"/>
              <w:rPr>
                <w:color w:val="auto"/>
                <w:highlight w:val="none"/>
              </w:rPr>
            </w:pPr>
            <w:r>
              <w:rPr>
                <w:color w:val="auto"/>
                <w:highlight w:val="none"/>
              </w:rPr>
              <w:t>28.3</w:t>
            </w:r>
          </w:p>
        </w:tc>
        <w:tc>
          <w:tcPr>
            <w:tcW w:w="206" w:type="pct"/>
            <w:shd w:val="clear" w:color="auto" w:fill="auto"/>
            <w:tcMar>
              <w:top w:w="0" w:type="dxa"/>
              <w:left w:w="0" w:type="dxa"/>
              <w:bottom w:w="0" w:type="dxa"/>
              <w:right w:w="0" w:type="dxa"/>
            </w:tcMar>
            <w:vAlign w:val="center"/>
          </w:tcPr>
          <w:p w14:paraId="43C7FFE8">
            <w:pPr>
              <w:pStyle w:val="17"/>
              <w:bidi w:val="0"/>
              <w:rPr>
                <w:color w:val="auto"/>
                <w:highlight w:val="none"/>
              </w:rPr>
            </w:pPr>
            <w:r>
              <w:rPr>
                <w:color w:val="auto"/>
                <w:highlight w:val="none"/>
              </w:rPr>
              <w:t>-931.6</w:t>
            </w:r>
          </w:p>
        </w:tc>
        <w:tc>
          <w:tcPr>
            <w:tcW w:w="194" w:type="pct"/>
            <w:shd w:val="clear" w:color="auto" w:fill="auto"/>
            <w:tcMar>
              <w:top w:w="0" w:type="dxa"/>
              <w:left w:w="0" w:type="dxa"/>
              <w:bottom w:w="0" w:type="dxa"/>
              <w:right w:w="0" w:type="dxa"/>
            </w:tcMar>
            <w:vAlign w:val="center"/>
          </w:tcPr>
          <w:p w14:paraId="144E4D2B">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47CC6A1F">
            <w:pPr>
              <w:pStyle w:val="17"/>
              <w:bidi w:val="0"/>
              <w:rPr>
                <w:color w:val="auto"/>
                <w:highlight w:val="none"/>
              </w:rPr>
            </w:pPr>
            <w:r>
              <w:rPr>
                <w:color w:val="auto"/>
                <w:highlight w:val="none"/>
              </w:rPr>
              <w:t>13.1</w:t>
            </w:r>
          </w:p>
        </w:tc>
        <w:tc>
          <w:tcPr>
            <w:tcW w:w="205" w:type="pct"/>
            <w:shd w:val="clear" w:color="auto" w:fill="auto"/>
            <w:tcMar>
              <w:top w:w="0" w:type="dxa"/>
              <w:left w:w="0" w:type="dxa"/>
              <w:bottom w:w="0" w:type="dxa"/>
              <w:right w:w="0" w:type="dxa"/>
            </w:tcMar>
            <w:vAlign w:val="center"/>
          </w:tcPr>
          <w:p w14:paraId="4207CC41">
            <w:pPr>
              <w:pStyle w:val="17"/>
              <w:bidi w:val="0"/>
              <w:rPr>
                <w:color w:val="auto"/>
                <w:highlight w:val="none"/>
              </w:rPr>
            </w:pPr>
            <w:r>
              <w:rPr>
                <w:color w:val="auto"/>
                <w:highlight w:val="none"/>
              </w:rPr>
              <w:t>50.5</w:t>
            </w:r>
          </w:p>
        </w:tc>
        <w:tc>
          <w:tcPr>
            <w:tcW w:w="235" w:type="pct"/>
            <w:shd w:val="clear" w:color="auto" w:fill="auto"/>
            <w:tcMar>
              <w:top w:w="0" w:type="dxa"/>
              <w:left w:w="0" w:type="dxa"/>
              <w:bottom w:w="0" w:type="dxa"/>
              <w:right w:w="0" w:type="dxa"/>
            </w:tcMar>
            <w:vAlign w:val="center"/>
          </w:tcPr>
          <w:p w14:paraId="50A505D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50.5</w:t>
            </w:r>
          </w:p>
        </w:tc>
        <w:tc>
          <w:tcPr>
            <w:tcW w:w="200" w:type="pct"/>
            <w:shd w:val="clear" w:color="auto" w:fill="auto"/>
            <w:tcMar>
              <w:top w:w="0" w:type="dxa"/>
              <w:left w:w="0" w:type="dxa"/>
              <w:bottom w:w="0" w:type="dxa"/>
              <w:right w:w="0" w:type="dxa"/>
            </w:tcMar>
            <w:vAlign w:val="center"/>
          </w:tcPr>
          <w:p w14:paraId="24BD44D8">
            <w:pPr>
              <w:pStyle w:val="17"/>
              <w:bidi w:val="0"/>
              <w:rPr>
                <w:color w:val="auto"/>
                <w:highlight w:val="none"/>
              </w:rPr>
            </w:pPr>
            <w:r>
              <w:rPr>
                <w:color w:val="auto"/>
                <w:highlight w:val="none"/>
              </w:rPr>
              <w:t>46.7</w:t>
            </w:r>
          </w:p>
        </w:tc>
        <w:tc>
          <w:tcPr>
            <w:tcW w:w="188" w:type="pct"/>
            <w:shd w:val="clear" w:color="auto" w:fill="auto"/>
            <w:tcMar>
              <w:top w:w="0" w:type="dxa"/>
              <w:left w:w="0" w:type="dxa"/>
              <w:bottom w:w="0" w:type="dxa"/>
              <w:right w:w="0" w:type="dxa"/>
            </w:tcMar>
            <w:vAlign w:val="center"/>
          </w:tcPr>
          <w:p w14:paraId="15A756DC">
            <w:pPr>
              <w:pStyle w:val="17"/>
              <w:bidi w:val="0"/>
              <w:rPr>
                <w:color w:val="auto"/>
                <w:highlight w:val="none"/>
              </w:rPr>
            </w:pPr>
            <w:r>
              <w:rPr>
                <w:color w:val="auto"/>
                <w:highlight w:val="none"/>
              </w:rPr>
              <w:t>51.6</w:t>
            </w:r>
          </w:p>
        </w:tc>
        <w:tc>
          <w:tcPr>
            <w:tcW w:w="211" w:type="pct"/>
            <w:shd w:val="clear" w:color="auto" w:fill="auto"/>
            <w:tcMar>
              <w:top w:w="0" w:type="dxa"/>
              <w:left w:w="0" w:type="dxa"/>
              <w:bottom w:w="0" w:type="dxa"/>
              <w:right w:w="0" w:type="dxa"/>
            </w:tcMar>
            <w:vAlign w:val="center"/>
          </w:tcPr>
          <w:p w14:paraId="76D74BDC">
            <w:pPr>
              <w:pStyle w:val="17"/>
              <w:bidi w:val="0"/>
              <w:rPr>
                <w:color w:val="auto"/>
                <w:highlight w:val="none"/>
              </w:rPr>
            </w:pPr>
            <w:r>
              <w:rPr>
                <w:color w:val="auto"/>
                <w:highlight w:val="none"/>
              </w:rPr>
              <w:t>51.4</w:t>
            </w:r>
          </w:p>
        </w:tc>
        <w:tc>
          <w:tcPr>
            <w:tcW w:w="182" w:type="pct"/>
            <w:shd w:val="clear" w:color="auto" w:fill="auto"/>
            <w:tcMar>
              <w:top w:w="0" w:type="dxa"/>
              <w:left w:w="0" w:type="dxa"/>
              <w:bottom w:w="0" w:type="dxa"/>
              <w:right w:w="0" w:type="dxa"/>
            </w:tcMar>
            <w:vAlign w:val="center"/>
          </w:tcPr>
          <w:p w14:paraId="2CF5711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51.4</w:t>
            </w:r>
          </w:p>
        </w:tc>
        <w:tc>
          <w:tcPr>
            <w:tcW w:w="229" w:type="pct"/>
            <w:shd w:val="clear" w:color="auto" w:fill="auto"/>
            <w:tcMar>
              <w:top w:w="0" w:type="dxa"/>
              <w:left w:w="0" w:type="dxa"/>
              <w:bottom w:w="0" w:type="dxa"/>
              <w:right w:w="0" w:type="dxa"/>
            </w:tcMar>
            <w:vAlign w:val="center"/>
          </w:tcPr>
          <w:p w14:paraId="0DAD7D1C">
            <w:pPr>
              <w:pStyle w:val="17"/>
              <w:bidi w:val="0"/>
              <w:rPr>
                <w:color w:val="auto"/>
                <w:highlight w:val="none"/>
              </w:rPr>
            </w:pPr>
            <w:r>
              <w:rPr>
                <w:color w:val="auto"/>
                <w:highlight w:val="none"/>
              </w:rPr>
              <w:t>51.4</w:t>
            </w:r>
          </w:p>
        </w:tc>
        <w:tc>
          <w:tcPr>
            <w:tcW w:w="270" w:type="pct"/>
            <w:shd w:val="clear" w:color="auto" w:fill="auto"/>
            <w:tcMar>
              <w:top w:w="0" w:type="dxa"/>
              <w:left w:w="0" w:type="dxa"/>
              <w:bottom w:w="0" w:type="dxa"/>
              <w:right w:w="0" w:type="dxa"/>
            </w:tcMar>
            <w:vAlign w:val="center"/>
          </w:tcPr>
          <w:p w14:paraId="2B685DEF">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49417609">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456B468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41.6</w:t>
            </w:r>
          </w:p>
        </w:tc>
        <w:tc>
          <w:tcPr>
            <w:tcW w:w="258" w:type="pct"/>
            <w:shd w:val="clear" w:color="auto" w:fill="auto"/>
            <w:tcMar>
              <w:top w:w="0" w:type="dxa"/>
              <w:left w:w="0" w:type="dxa"/>
              <w:bottom w:w="0" w:type="dxa"/>
              <w:right w:w="0" w:type="dxa"/>
            </w:tcMar>
            <w:vAlign w:val="center"/>
          </w:tcPr>
          <w:p w14:paraId="593D568D">
            <w:pPr>
              <w:pStyle w:val="17"/>
              <w:bidi w:val="0"/>
              <w:ind w:firstLine="0" w:firstLineChars="0"/>
              <w:rPr>
                <w:color w:val="auto"/>
                <w:highlight w:val="none"/>
              </w:rPr>
            </w:pPr>
            <w:r>
              <w:rPr>
                <w:rFonts w:hint="eastAsia"/>
                <w:color w:val="auto"/>
                <w:highlight w:val="none"/>
                <w:lang w:val="en-US" w:eastAsia="zh-CN"/>
              </w:rPr>
              <w:t>1</w:t>
            </w:r>
          </w:p>
        </w:tc>
      </w:tr>
      <w:tr w14:paraId="0D2F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1E19497">
            <w:pPr>
              <w:pStyle w:val="17"/>
              <w:bidi w:val="0"/>
              <w:rPr>
                <w:color w:val="auto"/>
                <w:highlight w:val="none"/>
              </w:rPr>
            </w:pPr>
            <w:r>
              <w:rPr>
                <w:color w:val="auto"/>
                <w:highlight w:val="none"/>
              </w:rPr>
              <w:t>30</w:t>
            </w:r>
          </w:p>
        </w:tc>
        <w:tc>
          <w:tcPr>
            <w:tcW w:w="234" w:type="pct"/>
            <w:shd w:val="clear" w:color="auto" w:fill="auto"/>
            <w:tcMar>
              <w:top w:w="0" w:type="dxa"/>
              <w:left w:w="0" w:type="dxa"/>
              <w:bottom w:w="0" w:type="dxa"/>
              <w:right w:w="0" w:type="dxa"/>
            </w:tcMar>
            <w:vAlign w:val="center"/>
          </w:tcPr>
          <w:p w14:paraId="7CD5E0B2">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7721CA72">
            <w:pPr>
              <w:pStyle w:val="17"/>
              <w:bidi w:val="0"/>
              <w:rPr>
                <w:color w:val="auto"/>
                <w:highlight w:val="none"/>
              </w:rPr>
            </w:pPr>
            <w:r>
              <w:rPr>
                <w:color w:val="auto"/>
                <w:highlight w:val="none"/>
              </w:rPr>
              <w:t>盘式过滤机,4台（按点声源组预测）</w:t>
            </w:r>
          </w:p>
        </w:tc>
        <w:tc>
          <w:tcPr>
            <w:tcW w:w="388" w:type="pct"/>
            <w:shd w:val="clear" w:color="auto" w:fill="auto"/>
            <w:tcMar>
              <w:top w:w="0" w:type="dxa"/>
              <w:left w:w="0" w:type="dxa"/>
              <w:bottom w:w="0" w:type="dxa"/>
              <w:right w:w="0" w:type="dxa"/>
            </w:tcMar>
            <w:vAlign w:val="center"/>
          </w:tcPr>
          <w:p w14:paraId="67A3F90B">
            <w:pPr>
              <w:pStyle w:val="17"/>
              <w:bidi w:val="0"/>
              <w:rPr>
                <w:rFonts w:hint="eastAsia" w:eastAsia="宋体"/>
                <w:color w:val="auto"/>
                <w:highlight w:val="none"/>
                <w:lang w:eastAsia="zh-CN"/>
              </w:rPr>
            </w:pPr>
            <w:r>
              <w:rPr>
                <w:color w:val="auto"/>
                <w:highlight w:val="none"/>
              </w:rPr>
              <w:t>65（等效后：71.0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314BC06A">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44F215F6">
            <w:pPr>
              <w:pStyle w:val="17"/>
              <w:bidi w:val="0"/>
              <w:rPr>
                <w:color w:val="auto"/>
                <w:highlight w:val="none"/>
              </w:rPr>
            </w:pPr>
            <w:r>
              <w:rPr>
                <w:color w:val="auto"/>
                <w:highlight w:val="none"/>
              </w:rPr>
              <w:t>-17.5</w:t>
            </w:r>
          </w:p>
        </w:tc>
        <w:tc>
          <w:tcPr>
            <w:tcW w:w="206" w:type="pct"/>
            <w:shd w:val="clear" w:color="auto" w:fill="auto"/>
            <w:tcMar>
              <w:top w:w="0" w:type="dxa"/>
              <w:left w:w="0" w:type="dxa"/>
              <w:bottom w:w="0" w:type="dxa"/>
              <w:right w:w="0" w:type="dxa"/>
            </w:tcMar>
            <w:vAlign w:val="center"/>
          </w:tcPr>
          <w:p w14:paraId="7F89DF5C">
            <w:pPr>
              <w:pStyle w:val="17"/>
              <w:bidi w:val="0"/>
              <w:rPr>
                <w:color w:val="auto"/>
                <w:highlight w:val="none"/>
              </w:rPr>
            </w:pPr>
            <w:r>
              <w:rPr>
                <w:color w:val="auto"/>
                <w:highlight w:val="none"/>
              </w:rPr>
              <w:t>-892.4</w:t>
            </w:r>
          </w:p>
        </w:tc>
        <w:tc>
          <w:tcPr>
            <w:tcW w:w="194" w:type="pct"/>
            <w:shd w:val="clear" w:color="auto" w:fill="auto"/>
            <w:tcMar>
              <w:top w:w="0" w:type="dxa"/>
              <w:left w:w="0" w:type="dxa"/>
              <w:bottom w:w="0" w:type="dxa"/>
              <w:right w:w="0" w:type="dxa"/>
            </w:tcMar>
            <w:vAlign w:val="center"/>
          </w:tcPr>
          <w:p w14:paraId="27879CAB">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2793ECA0">
            <w:pPr>
              <w:pStyle w:val="17"/>
              <w:bidi w:val="0"/>
              <w:rPr>
                <w:color w:val="auto"/>
                <w:highlight w:val="none"/>
              </w:rPr>
            </w:pPr>
            <w:r>
              <w:rPr>
                <w:color w:val="auto"/>
                <w:highlight w:val="none"/>
              </w:rPr>
              <w:t>58.9</w:t>
            </w:r>
          </w:p>
        </w:tc>
        <w:tc>
          <w:tcPr>
            <w:tcW w:w="205" w:type="pct"/>
            <w:shd w:val="clear" w:color="auto" w:fill="auto"/>
            <w:tcMar>
              <w:top w:w="0" w:type="dxa"/>
              <w:left w:w="0" w:type="dxa"/>
              <w:bottom w:w="0" w:type="dxa"/>
              <w:right w:w="0" w:type="dxa"/>
            </w:tcMar>
            <w:vAlign w:val="center"/>
          </w:tcPr>
          <w:p w14:paraId="7C711680">
            <w:pPr>
              <w:pStyle w:val="17"/>
              <w:bidi w:val="0"/>
              <w:rPr>
                <w:color w:val="auto"/>
                <w:highlight w:val="none"/>
              </w:rPr>
            </w:pPr>
            <w:r>
              <w:rPr>
                <w:color w:val="auto"/>
                <w:highlight w:val="none"/>
              </w:rPr>
              <w:t>32.7</w:t>
            </w:r>
          </w:p>
        </w:tc>
        <w:tc>
          <w:tcPr>
            <w:tcW w:w="235" w:type="pct"/>
            <w:shd w:val="clear" w:color="auto" w:fill="auto"/>
            <w:tcMar>
              <w:top w:w="0" w:type="dxa"/>
              <w:left w:w="0" w:type="dxa"/>
              <w:bottom w:w="0" w:type="dxa"/>
              <w:right w:w="0" w:type="dxa"/>
            </w:tcMar>
            <w:vAlign w:val="center"/>
          </w:tcPr>
          <w:p w14:paraId="2BA4281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32.7</w:t>
            </w:r>
          </w:p>
        </w:tc>
        <w:tc>
          <w:tcPr>
            <w:tcW w:w="200" w:type="pct"/>
            <w:shd w:val="clear" w:color="auto" w:fill="auto"/>
            <w:tcMar>
              <w:top w:w="0" w:type="dxa"/>
              <w:left w:w="0" w:type="dxa"/>
              <w:bottom w:w="0" w:type="dxa"/>
              <w:right w:w="0" w:type="dxa"/>
            </w:tcMar>
            <w:vAlign w:val="center"/>
          </w:tcPr>
          <w:p w14:paraId="2C0527EB">
            <w:pPr>
              <w:pStyle w:val="17"/>
              <w:bidi w:val="0"/>
              <w:rPr>
                <w:color w:val="auto"/>
                <w:highlight w:val="none"/>
              </w:rPr>
            </w:pPr>
            <w:r>
              <w:rPr>
                <w:color w:val="auto"/>
                <w:highlight w:val="none"/>
              </w:rPr>
              <w:t>7.5</w:t>
            </w:r>
          </w:p>
        </w:tc>
        <w:tc>
          <w:tcPr>
            <w:tcW w:w="188" w:type="pct"/>
            <w:shd w:val="clear" w:color="auto" w:fill="auto"/>
            <w:tcMar>
              <w:top w:w="0" w:type="dxa"/>
              <w:left w:w="0" w:type="dxa"/>
              <w:bottom w:w="0" w:type="dxa"/>
              <w:right w:w="0" w:type="dxa"/>
            </w:tcMar>
            <w:vAlign w:val="center"/>
          </w:tcPr>
          <w:p w14:paraId="2EF768A8">
            <w:pPr>
              <w:pStyle w:val="17"/>
              <w:bidi w:val="0"/>
              <w:rPr>
                <w:color w:val="auto"/>
                <w:highlight w:val="none"/>
              </w:rPr>
            </w:pPr>
            <w:r>
              <w:rPr>
                <w:color w:val="auto"/>
                <w:highlight w:val="none"/>
              </w:rPr>
              <w:t>52.4</w:t>
            </w:r>
          </w:p>
        </w:tc>
        <w:tc>
          <w:tcPr>
            <w:tcW w:w="211" w:type="pct"/>
            <w:shd w:val="clear" w:color="auto" w:fill="auto"/>
            <w:tcMar>
              <w:top w:w="0" w:type="dxa"/>
              <w:left w:w="0" w:type="dxa"/>
              <w:bottom w:w="0" w:type="dxa"/>
              <w:right w:w="0" w:type="dxa"/>
            </w:tcMar>
            <w:vAlign w:val="center"/>
          </w:tcPr>
          <w:p w14:paraId="6EFA4D4D">
            <w:pPr>
              <w:pStyle w:val="17"/>
              <w:bidi w:val="0"/>
              <w:rPr>
                <w:color w:val="auto"/>
                <w:highlight w:val="none"/>
              </w:rPr>
            </w:pPr>
            <w:r>
              <w:rPr>
                <w:color w:val="auto"/>
                <w:highlight w:val="none"/>
              </w:rPr>
              <w:t>52.4</w:t>
            </w:r>
          </w:p>
        </w:tc>
        <w:tc>
          <w:tcPr>
            <w:tcW w:w="182" w:type="pct"/>
            <w:shd w:val="clear" w:color="auto" w:fill="auto"/>
            <w:tcMar>
              <w:top w:w="0" w:type="dxa"/>
              <w:left w:w="0" w:type="dxa"/>
              <w:bottom w:w="0" w:type="dxa"/>
              <w:right w:w="0" w:type="dxa"/>
            </w:tcMar>
            <w:vAlign w:val="center"/>
          </w:tcPr>
          <w:p w14:paraId="37FE739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52.8</w:t>
            </w:r>
          </w:p>
        </w:tc>
        <w:tc>
          <w:tcPr>
            <w:tcW w:w="229" w:type="pct"/>
            <w:shd w:val="clear" w:color="auto" w:fill="auto"/>
            <w:tcMar>
              <w:top w:w="0" w:type="dxa"/>
              <w:left w:w="0" w:type="dxa"/>
              <w:bottom w:w="0" w:type="dxa"/>
              <w:right w:w="0" w:type="dxa"/>
            </w:tcMar>
            <w:vAlign w:val="center"/>
          </w:tcPr>
          <w:p w14:paraId="00C54661">
            <w:pPr>
              <w:pStyle w:val="17"/>
              <w:bidi w:val="0"/>
              <w:rPr>
                <w:color w:val="auto"/>
                <w:highlight w:val="none"/>
              </w:rPr>
            </w:pPr>
            <w:r>
              <w:rPr>
                <w:color w:val="auto"/>
                <w:highlight w:val="none"/>
              </w:rPr>
              <w:t>52.8</w:t>
            </w:r>
          </w:p>
        </w:tc>
        <w:tc>
          <w:tcPr>
            <w:tcW w:w="270" w:type="pct"/>
            <w:shd w:val="clear" w:color="auto" w:fill="auto"/>
            <w:tcMar>
              <w:top w:w="0" w:type="dxa"/>
              <w:left w:w="0" w:type="dxa"/>
              <w:bottom w:w="0" w:type="dxa"/>
              <w:right w:w="0" w:type="dxa"/>
            </w:tcMar>
            <w:vAlign w:val="center"/>
          </w:tcPr>
          <w:p w14:paraId="4CEB76A3">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06B01EC7">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5C0830B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42.4</w:t>
            </w:r>
          </w:p>
        </w:tc>
        <w:tc>
          <w:tcPr>
            <w:tcW w:w="258" w:type="pct"/>
            <w:shd w:val="clear" w:color="auto" w:fill="auto"/>
            <w:tcMar>
              <w:top w:w="0" w:type="dxa"/>
              <w:left w:w="0" w:type="dxa"/>
              <w:bottom w:w="0" w:type="dxa"/>
              <w:right w:w="0" w:type="dxa"/>
            </w:tcMar>
            <w:vAlign w:val="center"/>
          </w:tcPr>
          <w:p w14:paraId="63396F2A">
            <w:pPr>
              <w:pStyle w:val="17"/>
              <w:bidi w:val="0"/>
              <w:ind w:firstLine="0" w:firstLineChars="0"/>
              <w:rPr>
                <w:color w:val="auto"/>
                <w:highlight w:val="none"/>
              </w:rPr>
            </w:pPr>
            <w:r>
              <w:rPr>
                <w:rFonts w:hint="eastAsia"/>
                <w:color w:val="auto"/>
                <w:highlight w:val="none"/>
                <w:lang w:val="en-US" w:eastAsia="zh-CN"/>
              </w:rPr>
              <w:t>1</w:t>
            </w:r>
          </w:p>
        </w:tc>
      </w:tr>
      <w:tr w14:paraId="5186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5FECA0A">
            <w:pPr>
              <w:pStyle w:val="17"/>
              <w:bidi w:val="0"/>
              <w:rPr>
                <w:color w:val="auto"/>
                <w:highlight w:val="none"/>
              </w:rPr>
            </w:pPr>
            <w:r>
              <w:rPr>
                <w:color w:val="auto"/>
                <w:highlight w:val="none"/>
              </w:rPr>
              <w:t>31</w:t>
            </w:r>
          </w:p>
        </w:tc>
        <w:tc>
          <w:tcPr>
            <w:tcW w:w="234" w:type="pct"/>
            <w:shd w:val="clear" w:color="auto" w:fill="auto"/>
            <w:tcMar>
              <w:top w:w="0" w:type="dxa"/>
              <w:left w:w="0" w:type="dxa"/>
              <w:bottom w:w="0" w:type="dxa"/>
              <w:right w:w="0" w:type="dxa"/>
            </w:tcMar>
            <w:vAlign w:val="center"/>
          </w:tcPr>
          <w:p w14:paraId="16E1C96E">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4B93A193">
            <w:pPr>
              <w:pStyle w:val="17"/>
              <w:bidi w:val="0"/>
              <w:rPr>
                <w:color w:val="auto"/>
                <w:highlight w:val="none"/>
              </w:rPr>
            </w:pPr>
            <w:r>
              <w:rPr>
                <w:color w:val="auto"/>
                <w:highlight w:val="none"/>
              </w:rPr>
              <w:t>鼓风机,2台（按点声源组预测）</w:t>
            </w:r>
          </w:p>
        </w:tc>
        <w:tc>
          <w:tcPr>
            <w:tcW w:w="388" w:type="pct"/>
            <w:shd w:val="clear" w:color="auto" w:fill="auto"/>
            <w:tcMar>
              <w:top w:w="0" w:type="dxa"/>
              <w:left w:w="0" w:type="dxa"/>
              <w:bottom w:w="0" w:type="dxa"/>
              <w:right w:w="0" w:type="dxa"/>
            </w:tcMar>
            <w:vAlign w:val="center"/>
          </w:tcPr>
          <w:p w14:paraId="55663005">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78CFF5ED">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04582398">
            <w:pPr>
              <w:pStyle w:val="17"/>
              <w:bidi w:val="0"/>
              <w:rPr>
                <w:color w:val="auto"/>
                <w:highlight w:val="none"/>
              </w:rPr>
            </w:pPr>
            <w:r>
              <w:rPr>
                <w:color w:val="auto"/>
                <w:highlight w:val="none"/>
              </w:rPr>
              <w:t>-37.2</w:t>
            </w:r>
          </w:p>
        </w:tc>
        <w:tc>
          <w:tcPr>
            <w:tcW w:w="206" w:type="pct"/>
            <w:shd w:val="clear" w:color="auto" w:fill="auto"/>
            <w:tcMar>
              <w:top w:w="0" w:type="dxa"/>
              <w:left w:w="0" w:type="dxa"/>
              <w:bottom w:w="0" w:type="dxa"/>
              <w:right w:w="0" w:type="dxa"/>
            </w:tcMar>
            <w:vAlign w:val="center"/>
          </w:tcPr>
          <w:p w14:paraId="5295AAC3">
            <w:pPr>
              <w:pStyle w:val="17"/>
              <w:bidi w:val="0"/>
              <w:rPr>
                <w:color w:val="auto"/>
                <w:highlight w:val="none"/>
              </w:rPr>
            </w:pPr>
            <w:r>
              <w:rPr>
                <w:color w:val="auto"/>
                <w:highlight w:val="none"/>
              </w:rPr>
              <w:t>-930.7</w:t>
            </w:r>
          </w:p>
        </w:tc>
        <w:tc>
          <w:tcPr>
            <w:tcW w:w="194" w:type="pct"/>
            <w:shd w:val="clear" w:color="auto" w:fill="auto"/>
            <w:tcMar>
              <w:top w:w="0" w:type="dxa"/>
              <w:left w:w="0" w:type="dxa"/>
              <w:bottom w:w="0" w:type="dxa"/>
              <w:right w:w="0" w:type="dxa"/>
            </w:tcMar>
            <w:vAlign w:val="center"/>
          </w:tcPr>
          <w:p w14:paraId="47CED6BE">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4A3E9E57">
            <w:pPr>
              <w:pStyle w:val="17"/>
              <w:bidi w:val="0"/>
              <w:rPr>
                <w:color w:val="auto"/>
                <w:highlight w:val="none"/>
              </w:rPr>
            </w:pPr>
            <w:r>
              <w:rPr>
                <w:color w:val="auto"/>
                <w:highlight w:val="none"/>
              </w:rPr>
              <w:t>78.6</w:t>
            </w:r>
          </w:p>
        </w:tc>
        <w:tc>
          <w:tcPr>
            <w:tcW w:w="205" w:type="pct"/>
            <w:shd w:val="clear" w:color="auto" w:fill="auto"/>
            <w:tcMar>
              <w:top w:w="0" w:type="dxa"/>
              <w:left w:w="0" w:type="dxa"/>
              <w:bottom w:w="0" w:type="dxa"/>
              <w:right w:w="0" w:type="dxa"/>
            </w:tcMar>
            <w:vAlign w:val="center"/>
          </w:tcPr>
          <w:p w14:paraId="7001B8C6">
            <w:pPr>
              <w:pStyle w:val="17"/>
              <w:bidi w:val="0"/>
              <w:rPr>
                <w:color w:val="auto"/>
                <w:highlight w:val="none"/>
              </w:rPr>
            </w:pPr>
            <w:r>
              <w:rPr>
                <w:color w:val="auto"/>
                <w:highlight w:val="none"/>
              </w:rPr>
              <w:t>13.0</w:t>
            </w:r>
          </w:p>
        </w:tc>
        <w:tc>
          <w:tcPr>
            <w:tcW w:w="235" w:type="pct"/>
            <w:shd w:val="clear" w:color="auto" w:fill="auto"/>
            <w:tcMar>
              <w:top w:w="0" w:type="dxa"/>
              <w:left w:w="0" w:type="dxa"/>
              <w:bottom w:w="0" w:type="dxa"/>
              <w:right w:w="0" w:type="dxa"/>
            </w:tcMar>
            <w:vAlign w:val="center"/>
          </w:tcPr>
          <w:p w14:paraId="03C639F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13.0</w:t>
            </w:r>
          </w:p>
        </w:tc>
        <w:tc>
          <w:tcPr>
            <w:tcW w:w="200" w:type="pct"/>
            <w:shd w:val="clear" w:color="auto" w:fill="auto"/>
            <w:tcMar>
              <w:top w:w="0" w:type="dxa"/>
              <w:left w:w="0" w:type="dxa"/>
              <w:bottom w:w="0" w:type="dxa"/>
              <w:right w:w="0" w:type="dxa"/>
            </w:tcMar>
            <w:vAlign w:val="center"/>
          </w:tcPr>
          <w:p w14:paraId="28F4E9EB">
            <w:pPr>
              <w:pStyle w:val="17"/>
              <w:bidi w:val="0"/>
              <w:rPr>
                <w:color w:val="auto"/>
                <w:highlight w:val="none"/>
              </w:rPr>
            </w:pPr>
            <w:r>
              <w:rPr>
                <w:color w:val="auto"/>
                <w:highlight w:val="none"/>
              </w:rPr>
              <w:t>45.8</w:t>
            </w:r>
          </w:p>
        </w:tc>
        <w:tc>
          <w:tcPr>
            <w:tcW w:w="188" w:type="pct"/>
            <w:shd w:val="clear" w:color="auto" w:fill="auto"/>
            <w:tcMar>
              <w:top w:w="0" w:type="dxa"/>
              <w:left w:w="0" w:type="dxa"/>
              <w:bottom w:w="0" w:type="dxa"/>
              <w:right w:w="0" w:type="dxa"/>
            </w:tcMar>
            <w:vAlign w:val="center"/>
          </w:tcPr>
          <w:p w14:paraId="457E0A62">
            <w:pPr>
              <w:pStyle w:val="17"/>
              <w:bidi w:val="0"/>
              <w:rPr>
                <w:color w:val="auto"/>
                <w:highlight w:val="none"/>
              </w:rPr>
            </w:pPr>
            <w:r>
              <w:rPr>
                <w:color w:val="auto"/>
                <w:highlight w:val="none"/>
              </w:rPr>
              <w:t>59.4</w:t>
            </w:r>
          </w:p>
        </w:tc>
        <w:tc>
          <w:tcPr>
            <w:tcW w:w="211" w:type="pct"/>
            <w:shd w:val="clear" w:color="auto" w:fill="auto"/>
            <w:tcMar>
              <w:top w:w="0" w:type="dxa"/>
              <w:left w:w="0" w:type="dxa"/>
              <w:bottom w:w="0" w:type="dxa"/>
              <w:right w:w="0" w:type="dxa"/>
            </w:tcMar>
            <w:vAlign w:val="center"/>
          </w:tcPr>
          <w:p w14:paraId="2AB1B26A">
            <w:pPr>
              <w:pStyle w:val="17"/>
              <w:bidi w:val="0"/>
              <w:rPr>
                <w:color w:val="auto"/>
                <w:highlight w:val="none"/>
              </w:rPr>
            </w:pPr>
            <w:r>
              <w:rPr>
                <w:color w:val="auto"/>
                <w:highlight w:val="none"/>
              </w:rPr>
              <w:t>59.6</w:t>
            </w:r>
          </w:p>
        </w:tc>
        <w:tc>
          <w:tcPr>
            <w:tcW w:w="182" w:type="pct"/>
            <w:shd w:val="clear" w:color="auto" w:fill="auto"/>
            <w:tcMar>
              <w:top w:w="0" w:type="dxa"/>
              <w:left w:w="0" w:type="dxa"/>
              <w:bottom w:w="0" w:type="dxa"/>
              <w:right w:w="0" w:type="dxa"/>
            </w:tcMar>
            <w:vAlign w:val="center"/>
          </w:tcPr>
          <w:p w14:paraId="0C2DB43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59.4</w:t>
            </w:r>
          </w:p>
        </w:tc>
        <w:tc>
          <w:tcPr>
            <w:tcW w:w="229" w:type="pct"/>
            <w:shd w:val="clear" w:color="auto" w:fill="auto"/>
            <w:tcMar>
              <w:top w:w="0" w:type="dxa"/>
              <w:left w:w="0" w:type="dxa"/>
              <w:bottom w:w="0" w:type="dxa"/>
              <w:right w:w="0" w:type="dxa"/>
            </w:tcMar>
            <w:vAlign w:val="center"/>
          </w:tcPr>
          <w:p w14:paraId="6E9B6AD3">
            <w:pPr>
              <w:pStyle w:val="17"/>
              <w:bidi w:val="0"/>
              <w:rPr>
                <w:color w:val="auto"/>
                <w:highlight w:val="none"/>
              </w:rPr>
            </w:pPr>
            <w:r>
              <w:rPr>
                <w:color w:val="auto"/>
                <w:highlight w:val="none"/>
              </w:rPr>
              <w:t>59.4</w:t>
            </w:r>
          </w:p>
        </w:tc>
        <w:tc>
          <w:tcPr>
            <w:tcW w:w="270" w:type="pct"/>
            <w:shd w:val="clear" w:color="auto" w:fill="auto"/>
            <w:tcMar>
              <w:top w:w="0" w:type="dxa"/>
              <w:left w:w="0" w:type="dxa"/>
              <w:bottom w:w="0" w:type="dxa"/>
              <w:right w:w="0" w:type="dxa"/>
            </w:tcMar>
            <w:vAlign w:val="center"/>
          </w:tcPr>
          <w:p w14:paraId="4CA80DFD">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343062A4">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5BF4B84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49.4</w:t>
            </w:r>
          </w:p>
        </w:tc>
        <w:tc>
          <w:tcPr>
            <w:tcW w:w="258" w:type="pct"/>
            <w:shd w:val="clear" w:color="auto" w:fill="auto"/>
            <w:tcMar>
              <w:top w:w="0" w:type="dxa"/>
              <w:left w:w="0" w:type="dxa"/>
              <w:bottom w:w="0" w:type="dxa"/>
              <w:right w:w="0" w:type="dxa"/>
            </w:tcMar>
            <w:vAlign w:val="center"/>
          </w:tcPr>
          <w:p w14:paraId="1A570555">
            <w:pPr>
              <w:pStyle w:val="17"/>
              <w:bidi w:val="0"/>
              <w:ind w:firstLine="0" w:firstLineChars="0"/>
              <w:rPr>
                <w:color w:val="auto"/>
                <w:highlight w:val="none"/>
              </w:rPr>
            </w:pPr>
            <w:r>
              <w:rPr>
                <w:rFonts w:hint="eastAsia"/>
                <w:color w:val="auto"/>
                <w:highlight w:val="none"/>
                <w:lang w:val="en-US" w:eastAsia="zh-CN"/>
              </w:rPr>
              <w:t>1</w:t>
            </w:r>
          </w:p>
        </w:tc>
      </w:tr>
      <w:tr w14:paraId="78F4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1DCDE4D">
            <w:pPr>
              <w:pStyle w:val="17"/>
              <w:bidi w:val="0"/>
              <w:rPr>
                <w:color w:val="auto"/>
                <w:highlight w:val="none"/>
              </w:rPr>
            </w:pPr>
            <w:r>
              <w:rPr>
                <w:color w:val="auto"/>
                <w:highlight w:val="none"/>
              </w:rPr>
              <w:t>32</w:t>
            </w:r>
          </w:p>
        </w:tc>
        <w:tc>
          <w:tcPr>
            <w:tcW w:w="234" w:type="pct"/>
            <w:shd w:val="clear" w:color="auto" w:fill="auto"/>
            <w:tcMar>
              <w:top w:w="0" w:type="dxa"/>
              <w:left w:w="0" w:type="dxa"/>
              <w:bottom w:w="0" w:type="dxa"/>
              <w:right w:w="0" w:type="dxa"/>
            </w:tcMar>
            <w:vAlign w:val="center"/>
          </w:tcPr>
          <w:p w14:paraId="476C44F6">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53C8264F">
            <w:pPr>
              <w:pStyle w:val="17"/>
              <w:bidi w:val="0"/>
              <w:rPr>
                <w:color w:val="auto"/>
                <w:highlight w:val="none"/>
              </w:rPr>
            </w:pPr>
            <w:r>
              <w:rPr>
                <w:color w:val="auto"/>
                <w:highlight w:val="none"/>
              </w:rPr>
              <w:t>空压机,2台（按点声源组预测）</w:t>
            </w:r>
          </w:p>
        </w:tc>
        <w:tc>
          <w:tcPr>
            <w:tcW w:w="388" w:type="pct"/>
            <w:shd w:val="clear" w:color="auto" w:fill="auto"/>
            <w:tcMar>
              <w:top w:w="0" w:type="dxa"/>
              <w:left w:w="0" w:type="dxa"/>
              <w:bottom w:w="0" w:type="dxa"/>
              <w:right w:w="0" w:type="dxa"/>
            </w:tcMar>
            <w:vAlign w:val="center"/>
          </w:tcPr>
          <w:p w14:paraId="44063CE0">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1CC5449C">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23ABFEBA">
            <w:pPr>
              <w:pStyle w:val="17"/>
              <w:bidi w:val="0"/>
              <w:rPr>
                <w:color w:val="auto"/>
                <w:highlight w:val="none"/>
              </w:rPr>
            </w:pPr>
            <w:r>
              <w:rPr>
                <w:color w:val="auto"/>
                <w:highlight w:val="none"/>
              </w:rPr>
              <w:t>11.5</w:t>
            </w:r>
          </w:p>
        </w:tc>
        <w:tc>
          <w:tcPr>
            <w:tcW w:w="206" w:type="pct"/>
            <w:shd w:val="clear" w:color="auto" w:fill="auto"/>
            <w:tcMar>
              <w:top w:w="0" w:type="dxa"/>
              <w:left w:w="0" w:type="dxa"/>
              <w:bottom w:w="0" w:type="dxa"/>
              <w:right w:w="0" w:type="dxa"/>
            </w:tcMar>
            <w:vAlign w:val="center"/>
          </w:tcPr>
          <w:p w14:paraId="14B26206">
            <w:pPr>
              <w:pStyle w:val="17"/>
              <w:bidi w:val="0"/>
              <w:rPr>
                <w:color w:val="auto"/>
                <w:highlight w:val="none"/>
              </w:rPr>
            </w:pPr>
            <w:r>
              <w:rPr>
                <w:color w:val="auto"/>
                <w:highlight w:val="none"/>
              </w:rPr>
              <w:t>-890.5</w:t>
            </w:r>
          </w:p>
        </w:tc>
        <w:tc>
          <w:tcPr>
            <w:tcW w:w="194" w:type="pct"/>
            <w:shd w:val="clear" w:color="auto" w:fill="auto"/>
            <w:tcMar>
              <w:top w:w="0" w:type="dxa"/>
              <w:left w:w="0" w:type="dxa"/>
              <w:bottom w:w="0" w:type="dxa"/>
              <w:right w:w="0" w:type="dxa"/>
            </w:tcMar>
            <w:vAlign w:val="center"/>
          </w:tcPr>
          <w:p w14:paraId="59318A83">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424F1C60">
            <w:pPr>
              <w:pStyle w:val="17"/>
              <w:bidi w:val="0"/>
              <w:rPr>
                <w:color w:val="auto"/>
                <w:highlight w:val="none"/>
              </w:rPr>
            </w:pPr>
            <w:r>
              <w:rPr>
                <w:color w:val="auto"/>
                <w:highlight w:val="none"/>
              </w:rPr>
              <w:t>29.9</w:t>
            </w:r>
          </w:p>
        </w:tc>
        <w:tc>
          <w:tcPr>
            <w:tcW w:w="205" w:type="pct"/>
            <w:shd w:val="clear" w:color="auto" w:fill="auto"/>
            <w:tcMar>
              <w:top w:w="0" w:type="dxa"/>
              <w:left w:w="0" w:type="dxa"/>
              <w:bottom w:w="0" w:type="dxa"/>
              <w:right w:w="0" w:type="dxa"/>
            </w:tcMar>
            <w:vAlign w:val="center"/>
          </w:tcPr>
          <w:p w14:paraId="74A01DAC">
            <w:pPr>
              <w:pStyle w:val="17"/>
              <w:bidi w:val="0"/>
              <w:rPr>
                <w:color w:val="auto"/>
                <w:highlight w:val="none"/>
              </w:rPr>
            </w:pPr>
            <w:r>
              <w:rPr>
                <w:color w:val="auto"/>
                <w:highlight w:val="none"/>
              </w:rPr>
              <w:t>61.7</w:t>
            </w:r>
          </w:p>
        </w:tc>
        <w:tc>
          <w:tcPr>
            <w:tcW w:w="235" w:type="pct"/>
            <w:shd w:val="clear" w:color="auto" w:fill="auto"/>
            <w:tcMar>
              <w:top w:w="0" w:type="dxa"/>
              <w:left w:w="0" w:type="dxa"/>
              <w:bottom w:w="0" w:type="dxa"/>
              <w:right w:w="0" w:type="dxa"/>
            </w:tcMar>
            <w:vAlign w:val="center"/>
          </w:tcPr>
          <w:p w14:paraId="209F717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61.7</w:t>
            </w:r>
          </w:p>
        </w:tc>
        <w:tc>
          <w:tcPr>
            <w:tcW w:w="200" w:type="pct"/>
            <w:shd w:val="clear" w:color="auto" w:fill="auto"/>
            <w:tcMar>
              <w:top w:w="0" w:type="dxa"/>
              <w:left w:w="0" w:type="dxa"/>
              <w:bottom w:w="0" w:type="dxa"/>
              <w:right w:w="0" w:type="dxa"/>
            </w:tcMar>
            <w:vAlign w:val="center"/>
          </w:tcPr>
          <w:p w14:paraId="07FB2D64">
            <w:pPr>
              <w:pStyle w:val="17"/>
              <w:bidi w:val="0"/>
              <w:rPr>
                <w:color w:val="auto"/>
                <w:highlight w:val="none"/>
              </w:rPr>
            </w:pPr>
            <w:r>
              <w:rPr>
                <w:color w:val="auto"/>
                <w:highlight w:val="none"/>
              </w:rPr>
              <w:t>5.6</w:t>
            </w:r>
          </w:p>
        </w:tc>
        <w:tc>
          <w:tcPr>
            <w:tcW w:w="188" w:type="pct"/>
            <w:shd w:val="clear" w:color="auto" w:fill="auto"/>
            <w:tcMar>
              <w:top w:w="0" w:type="dxa"/>
              <w:left w:w="0" w:type="dxa"/>
              <w:bottom w:w="0" w:type="dxa"/>
              <w:right w:w="0" w:type="dxa"/>
            </w:tcMar>
            <w:vAlign w:val="center"/>
          </w:tcPr>
          <w:p w14:paraId="0A675D23">
            <w:pPr>
              <w:pStyle w:val="17"/>
              <w:bidi w:val="0"/>
              <w:rPr>
                <w:color w:val="auto"/>
                <w:highlight w:val="none"/>
              </w:rPr>
            </w:pPr>
            <w:r>
              <w:rPr>
                <w:color w:val="auto"/>
                <w:highlight w:val="none"/>
              </w:rPr>
              <w:t>59.4</w:t>
            </w:r>
          </w:p>
        </w:tc>
        <w:tc>
          <w:tcPr>
            <w:tcW w:w="211" w:type="pct"/>
            <w:shd w:val="clear" w:color="auto" w:fill="auto"/>
            <w:tcMar>
              <w:top w:w="0" w:type="dxa"/>
              <w:left w:w="0" w:type="dxa"/>
              <w:bottom w:w="0" w:type="dxa"/>
              <w:right w:w="0" w:type="dxa"/>
            </w:tcMar>
            <w:vAlign w:val="center"/>
          </w:tcPr>
          <w:p w14:paraId="1D03A1AA">
            <w:pPr>
              <w:pStyle w:val="17"/>
              <w:bidi w:val="0"/>
              <w:rPr>
                <w:color w:val="auto"/>
                <w:highlight w:val="none"/>
              </w:rPr>
            </w:pPr>
            <w:r>
              <w:rPr>
                <w:color w:val="auto"/>
                <w:highlight w:val="none"/>
              </w:rPr>
              <w:t>59.4</w:t>
            </w:r>
          </w:p>
        </w:tc>
        <w:tc>
          <w:tcPr>
            <w:tcW w:w="182" w:type="pct"/>
            <w:shd w:val="clear" w:color="auto" w:fill="auto"/>
            <w:tcMar>
              <w:top w:w="0" w:type="dxa"/>
              <w:left w:w="0" w:type="dxa"/>
              <w:bottom w:w="0" w:type="dxa"/>
              <w:right w:w="0" w:type="dxa"/>
            </w:tcMar>
            <w:vAlign w:val="center"/>
          </w:tcPr>
          <w:p w14:paraId="487C10E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60.1</w:t>
            </w:r>
          </w:p>
        </w:tc>
        <w:tc>
          <w:tcPr>
            <w:tcW w:w="229" w:type="pct"/>
            <w:shd w:val="clear" w:color="auto" w:fill="auto"/>
            <w:tcMar>
              <w:top w:w="0" w:type="dxa"/>
              <w:left w:w="0" w:type="dxa"/>
              <w:bottom w:w="0" w:type="dxa"/>
              <w:right w:w="0" w:type="dxa"/>
            </w:tcMar>
            <w:vAlign w:val="center"/>
          </w:tcPr>
          <w:p w14:paraId="18066A77">
            <w:pPr>
              <w:pStyle w:val="17"/>
              <w:bidi w:val="0"/>
              <w:rPr>
                <w:color w:val="auto"/>
                <w:highlight w:val="none"/>
              </w:rPr>
            </w:pPr>
            <w:r>
              <w:rPr>
                <w:color w:val="auto"/>
                <w:highlight w:val="none"/>
              </w:rPr>
              <w:t>60.1</w:t>
            </w:r>
          </w:p>
        </w:tc>
        <w:tc>
          <w:tcPr>
            <w:tcW w:w="270" w:type="pct"/>
            <w:shd w:val="clear" w:color="auto" w:fill="auto"/>
            <w:tcMar>
              <w:top w:w="0" w:type="dxa"/>
              <w:left w:w="0" w:type="dxa"/>
              <w:bottom w:w="0" w:type="dxa"/>
              <w:right w:w="0" w:type="dxa"/>
            </w:tcMar>
            <w:vAlign w:val="center"/>
          </w:tcPr>
          <w:p w14:paraId="159CBC1A">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51A0303">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015B5DB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49.4</w:t>
            </w:r>
          </w:p>
        </w:tc>
        <w:tc>
          <w:tcPr>
            <w:tcW w:w="258" w:type="pct"/>
            <w:shd w:val="clear" w:color="auto" w:fill="auto"/>
            <w:tcMar>
              <w:top w:w="0" w:type="dxa"/>
              <w:left w:w="0" w:type="dxa"/>
              <w:bottom w:w="0" w:type="dxa"/>
              <w:right w:w="0" w:type="dxa"/>
            </w:tcMar>
            <w:vAlign w:val="center"/>
          </w:tcPr>
          <w:p w14:paraId="2C7CE4A3">
            <w:pPr>
              <w:pStyle w:val="17"/>
              <w:bidi w:val="0"/>
              <w:ind w:firstLine="0" w:firstLineChars="0"/>
              <w:rPr>
                <w:color w:val="auto"/>
                <w:highlight w:val="none"/>
              </w:rPr>
            </w:pPr>
            <w:r>
              <w:rPr>
                <w:rFonts w:hint="eastAsia"/>
                <w:color w:val="auto"/>
                <w:highlight w:val="none"/>
                <w:lang w:val="en-US" w:eastAsia="zh-CN"/>
              </w:rPr>
              <w:t>1</w:t>
            </w:r>
          </w:p>
        </w:tc>
      </w:tr>
      <w:tr w14:paraId="1D3D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0C1AC1C">
            <w:pPr>
              <w:pStyle w:val="17"/>
              <w:bidi w:val="0"/>
              <w:rPr>
                <w:color w:val="auto"/>
                <w:highlight w:val="none"/>
              </w:rPr>
            </w:pPr>
            <w:r>
              <w:rPr>
                <w:color w:val="auto"/>
                <w:highlight w:val="none"/>
              </w:rPr>
              <w:t>33</w:t>
            </w:r>
          </w:p>
        </w:tc>
        <w:tc>
          <w:tcPr>
            <w:tcW w:w="234" w:type="pct"/>
            <w:shd w:val="clear" w:color="auto" w:fill="auto"/>
            <w:tcMar>
              <w:top w:w="0" w:type="dxa"/>
              <w:left w:w="0" w:type="dxa"/>
              <w:bottom w:w="0" w:type="dxa"/>
              <w:right w:w="0" w:type="dxa"/>
            </w:tcMar>
            <w:vAlign w:val="center"/>
          </w:tcPr>
          <w:p w14:paraId="7D3ADFF4">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7BABF8A5">
            <w:pPr>
              <w:pStyle w:val="17"/>
              <w:bidi w:val="0"/>
              <w:rPr>
                <w:color w:val="auto"/>
                <w:highlight w:val="none"/>
              </w:rPr>
            </w:pPr>
            <w:r>
              <w:rPr>
                <w:color w:val="auto"/>
                <w:highlight w:val="none"/>
              </w:rPr>
              <w:t>药剂搅拌槽,16台（按点声源组预测）</w:t>
            </w:r>
          </w:p>
        </w:tc>
        <w:tc>
          <w:tcPr>
            <w:tcW w:w="388" w:type="pct"/>
            <w:shd w:val="clear" w:color="auto" w:fill="auto"/>
            <w:tcMar>
              <w:top w:w="0" w:type="dxa"/>
              <w:left w:w="0" w:type="dxa"/>
              <w:bottom w:w="0" w:type="dxa"/>
              <w:right w:w="0" w:type="dxa"/>
            </w:tcMar>
            <w:vAlign w:val="center"/>
          </w:tcPr>
          <w:p w14:paraId="0F3C4049">
            <w:pPr>
              <w:pStyle w:val="17"/>
              <w:bidi w:val="0"/>
              <w:rPr>
                <w:rFonts w:hint="eastAsia" w:eastAsia="宋体"/>
                <w:color w:val="auto"/>
                <w:highlight w:val="none"/>
                <w:lang w:eastAsia="zh-CN"/>
              </w:rPr>
            </w:pPr>
            <w:r>
              <w:rPr>
                <w:color w:val="auto"/>
                <w:highlight w:val="none"/>
              </w:rPr>
              <w:t>60（等效后：72.0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30D6A971">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3A2E7FF5">
            <w:pPr>
              <w:pStyle w:val="17"/>
              <w:bidi w:val="0"/>
              <w:rPr>
                <w:color w:val="auto"/>
                <w:highlight w:val="none"/>
              </w:rPr>
            </w:pPr>
            <w:r>
              <w:rPr>
                <w:color w:val="auto"/>
                <w:highlight w:val="none"/>
              </w:rPr>
              <w:t>-28.7</w:t>
            </w:r>
          </w:p>
        </w:tc>
        <w:tc>
          <w:tcPr>
            <w:tcW w:w="206" w:type="pct"/>
            <w:shd w:val="clear" w:color="auto" w:fill="auto"/>
            <w:tcMar>
              <w:top w:w="0" w:type="dxa"/>
              <w:left w:w="0" w:type="dxa"/>
              <w:bottom w:w="0" w:type="dxa"/>
              <w:right w:w="0" w:type="dxa"/>
            </w:tcMar>
            <w:vAlign w:val="center"/>
          </w:tcPr>
          <w:p w14:paraId="02CF8913">
            <w:pPr>
              <w:pStyle w:val="17"/>
              <w:bidi w:val="0"/>
              <w:rPr>
                <w:color w:val="auto"/>
                <w:highlight w:val="none"/>
              </w:rPr>
            </w:pPr>
            <w:r>
              <w:rPr>
                <w:color w:val="auto"/>
                <w:highlight w:val="none"/>
              </w:rPr>
              <w:t>-950.3</w:t>
            </w:r>
          </w:p>
        </w:tc>
        <w:tc>
          <w:tcPr>
            <w:tcW w:w="194" w:type="pct"/>
            <w:shd w:val="clear" w:color="auto" w:fill="auto"/>
            <w:tcMar>
              <w:top w:w="0" w:type="dxa"/>
              <w:left w:w="0" w:type="dxa"/>
              <w:bottom w:w="0" w:type="dxa"/>
              <w:right w:w="0" w:type="dxa"/>
            </w:tcMar>
            <w:vAlign w:val="center"/>
          </w:tcPr>
          <w:p w14:paraId="4D3CCC85">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5A387E5C">
            <w:pPr>
              <w:pStyle w:val="17"/>
              <w:bidi w:val="0"/>
              <w:rPr>
                <w:color w:val="auto"/>
                <w:highlight w:val="none"/>
              </w:rPr>
            </w:pPr>
            <w:r>
              <w:rPr>
                <w:color w:val="auto"/>
                <w:highlight w:val="none"/>
              </w:rPr>
              <w:t>70.1</w:t>
            </w:r>
          </w:p>
        </w:tc>
        <w:tc>
          <w:tcPr>
            <w:tcW w:w="205" w:type="pct"/>
            <w:shd w:val="clear" w:color="auto" w:fill="auto"/>
            <w:tcMar>
              <w:top w:w="0" w:type="dxa"/>
              <w:left w:w="0" w:type="dxa"/>
              <w:bottom w:w="0" w:type="dxa"/>
              <w:right w:w="0" w:type="dxa"/>
            </w:tcMar>
            <w:vAlign w:val="center"/>
          </w:tcPr>
          <w:p w14:paraId="76CB3260">
            <w:pPr>
              <w:pStyle w:val="17"/>
              <w:bidi w:val="0"/>
              <w:rPr>
                <w:color w:val="auto"/>
                <w:highlight w:val="none"/>
              </w:rPr>
            </w:pPr>
            <w:r>
              <w:rPr>
                <w:color w:val="auto"/>
                <w:highlight w:val="none"/>
              </w:rPr>
              <w:t>21.5</w:t>
            </w:r>
          </w:p>
        </w:tc>
        <w:tc>
          <w:tcPr>
            <w:tcW w:w="235" w:type="pct"/>
            <w:shd w:val="clear" w:color="auto" w:fill="auto"/>
            <w:tcMar>
              <w:top w:w="0" w:type="dxa"/>
              <w:left w:w="0" w:type="dxa"/>
              <w:bottom w:w="0" w:type="dxa"/>
              <w:right w:w="0" w:type="dxa"/>
            </w:tcMar>
            <w:vAlign w:val="center"/>
          </w:tcPr>
          <w:p w14:paraId="00DC5B2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21.5</w:t>
            </w:r>
          </w:p>
        </w:tc>
        <w:tc>
          <w:tcPr>
            <w:tcW w:w="200" w:type="pct"/>
            <w:shd w:val="clear" w:color="auto" w:fill="auto"/>
            <w:tcMar>
              <w:top w:w="0" w:type="dxa"/>
              <w:left w:w="0" w:type="dxa"/>
              <w:bottom w:w="0" w:type="dxa"/>
              <w:right w:w="0" w:type="dxa"/>
            </w:tcMar>
            <w:vAlign w:val="center"/>
          </w:tcPr>
          <w:p w14:paraId="6B2E3AA3">
            <w:pPr>
              <w:pStyle w:val="17"/>
              <w:bidi w:val="0"/>
              <w:rPr>
                <w:color w:val="auto"/>
                <w:highlight w:val="none"/>
              </w:rPr>
            </w:pPr>
            <w:r>
              <w:rPr>
                <w:color w:val="auto"/>
                <w:highlight w:val="none"/>
              </w:rPr>
              <w:t>65.4</w:t>
            </w:r>
          </w:p>
        </w:tc>
        <w:tc>
          <w:tcPr>
            <w:tcW w:w="188" w:type="pct"/>
            <w:shd w:val="clear" w:color="auto" w:fill="auto"/>
            <w:tcMar>
              <w:top w:w="0" w:type="dxa"/>
              <w:left w:w="0" w:type="dxa"/>
              <w:bottom w:w="0" w:type="dxa"/>
              <w:right w:w="0" w:type="dxa"/>
            </w:tcMar>
            <w:vAlign w:val="center"/>
          </w:tcPr>
          <w:p w14:paraId="01169A08">
            <w:pPr>
              <w:pStyle w:val="17"/>
              <w:bidi w:val="0"/>
              <w:rPr>
                <w:color w:val="auto"/>
                <w:highlight w:val="none"/>
              </w:rPr>
            </w:pPr>
            <w:r>
              <w:rPr>
                <w:color w:val="auto"/>
                <w:highlight w:val="none"/>
              </w:rPr>
              <w:t>53.4</w:t>
            </w:r>
          </w:p>
        </w:tc>
        <w:tc>
          <w:tcPr>
            <w:tcW w:w="211" w:type="pct"/>
            <w:shd w:val="clear" w:color="auto" w:fill="auto"/>
            <w:tcMar>
              <w:top w:w="0" w:type="dxa"/>
              <w:left w:w="0" w:type="dxa"/>
              <w:bottom w:w="0" w:type="dxa"/>
              <w:right w:w="0" w:type="dxa"/>
            </w:tcMar>
            <w:vAlign w:val="center"/>
          </w:tcPr>
          <w:p w14:paraId="105C2F05">
            <w:pPr>
              <w:pStyle w:val="17"/>
              <w:bidi w:val="0"/>
              <w:rPr>
                <w:color w:val="auto"/>
                <w:highlight w:val="none"/>
              </w:rPr>
            </w:pPr>
            <w:r>
              <w:rPr>
                <w:color w:val="auto"/>
                <w:highlight w:val="none"/>
              </w:rPr>
              <w:t>53.5</w:t>
            </w:r>
          </w:p>
        </w:tc>
        <w:tc>
          <w:tcPr>
            <w:tcW w:w="182" w:type="pct"/>
            <w:shd w:val="clear" w:color="auto" w:fill="auto"/>
            <w:tcMar>
              <w:top w:w="0" w:type="dxa"/>
              <w:left w:w="0" w:type="dxa"/>
              <w:bottom w:w="0" w:type="dxa"/>
              <w:right w:w="0" w:type="dxa"/>
            </w:tcMar>
            <w:vAlign w:val="center"/>
          </w:tcPr>
          <w:p w14:paraId="6D68987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53.4</w:t>
            </w:r>
          </w:p>
        </w:tc>
        <w:tc>
          <w:tcPr>
            <w:tcW w:w="229" w:type="pct"/>
            <w:shd w:val="clear" w:color="auto" w:fill="auto"/>
            <w:tcMar>
              <w:top w:w="0" w:type="dxa"/>
              <w:left w:w="0" w:type="dxa"/>
              <w:bottom w:w="0" w:type="dxa"/>
              <w:right w:w="0" w:type="dxa"/>
            </w:tcMar>
            <w:vAlign w:val="center"/>
          </w:tcPr>
          <w:p w14:paraId="05E6E276">
            <w:pPr>
              <w:pStyle w:val="17"/>
              <w:bidi w:val="0"/>
              <w:rPr>
                <w:color w:val="auto"/>
                <w:highlight w:val="none"/>
              </w:rPr>
            </w:pPr>
            <w:r>
              <w:rPr>
                <w:color w:val="auto"/>
                <w:highlight w:val="none"/>
              </w:rPr>
              <w:t>53.4</w:t>
            </w:r>
          </w:p>
        </w:tc>
        <w:tc>
          <w:tcPr>
            <w:tcW w:w="270" w:type="pct"/>
            <w:shd w:val="clear" w:color="auto" w:fill="auto"/>
            <w:tcMar>
              <w:top w:w="0" w:type="dxa"/>
              <w:left w:w="0" w:type="dxa"/>
              <w:bottom w:w="0" w:type="dxa"/>
              <w:right w:w="0" w:type="dxa"/>
            </w:tcMar>
            <w:vAlign w:val="center"/>
          </w:tcPr>
          <w:p w14:paraId="177D7503">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620709BF">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781DCC06">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43.4</w:t>
            </w:r>
          </w:p>
        </w:tc>
        <w:tc>
          <w:tcPr>
            <w:tcW w:w="258" w:type="pct"/>
            <w:shd w:val="clear" w:color="auto" w:fill="auto"/>
            <w:tcMar>
              <w:top w:w="0" w:type="dxa"/>
              <w:left w:w="0" w:type="dxa"/>
              <w:bottom w:w="0" w:type="dxa"/>
              <w:right w:w="0" w:type="dxa"/>
            </w:tcMar>
            <w:vAlign w:val="center"/>
          </w:tcPr>
          <w:p w14:paraId="427FD5BF">
            <w:pPr>
              <w:pStyle w:val="17"/>
              <w:bidi w:val="0"/>
              <w:ind w:firstLine="0" w:firstLineChars="0"/>
              <w:rPr>
                <w:color w:val="auto"/>
                <w:highlight w:val="none"/>
              </w:rPr>
            </w:pPr>
            <w:r>
              <w:rPr>
                <w:rFonts w:hint="eastAsia"/>
                <w:color w:val="auto"/>
                <w:highlight w:val="none"/>
                <w:lang w:val="en-US" w:eastAsia="zh-CN"/>
              </w:rPr>
              <w:t>1</w:t>
            </w:r>
          </w:p>
        </w:tc>
      </w:tr>
      <w:tr w14:paraId="70C9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35E469D">
            <w:pPr>
              <w:pStyle w:val="17"/>
              <w:bidi w:val="0"/>
              <w:rPr>
                <w:color w:val="auto"/>
                <w:highlight w:val="none"/>
              </w:rPr>
            </w:pPr>
            <w:r>
              <w:rPr>
                <w:color w:val="auto"/>
                <w:highlight w:val="none"/>
              </w:rPr>
              <w:t>34</w:t>
            </w:r>
          </w:p>
        </w:tc>
        <w:tc>
          <w:tcPr>
            <w:tcW w:w="234" w:type="pct"/>
            <w:shd w:val="clear" w:color="auto" w:fill="auto"/>
            <w:tcMar>
              <w:top w:w="0" w:type="dxa"/>
              <w:left w:w="0" w:type="dxa"/>
              <w:bottom w:w="0" w:type="dxa"/>
              <w:right w:w="0" w:type="dxa"/>
            </w:tcMar>
            <w:vAlign w:val="center"/>
          </w:tcPr>
          <w:p w14:paraId="47B2EB6B">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46F6C80E">
            <w:pPr>
              <w:pStyle w:val="17"/>
              <w:bidi w:val="0"/>
              <w:rPr>
                <w:color w:val="auto"/>
                <w:highlight w:val="none"/>
              </w:rPr>
            </w:pPr>
            <w:r>
              <w:rPr>
                <w:color w:val="auto"/>
                <w:highlight w:val="none"/>
              </w:rPr>
              <w:t>磁力泵,12台（按点声源组预测）</w:t>
            </w:r>
          </w:p>
        </w:tc>
        <w:tc>
          <w:tcPr>
            <w:tcW w:w="388" w:type="pct"/>
            <w:shd w:val="clear" w:color="auto" w:fill="auto"/>
            <w:tcMar>
              <w:top w:w="0" w:type="dxa"/>
              <w:left w:w="0" w:type="dxa"/>
              <w:bottom w:w="0" w:type="dxa"/>
              <w:right w:w="0" w:type="dxa"/>
            </w:tcMar>
            <w:vAlign w:val="center"/>
          </w:tcPr>
          <w:p w14:paraId="6754139B">
            <w:pPr>
              <w:pStyle w:val="17"/>
              <w:bidi w:val="0"/>
              <w:rPr>
                <w:rFonts w:hint="eastAsia" w:eastAsia="宋体"/>
                <w:color w:val="auto"/>
                <w:highlight w:val="none"/>
                <w:lang w:eastAsia="zh-CN"/>
              </w:rPr>
            </w:pPr>
            <w:r>
              <w:rPr>
                <w:color w:val="auto"/>
                <w:highlight w:val="none"/>
              </w:rPr>
              <w:t>75（等效后：85.8</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61DD10AB">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4E88BBC5">
            <w:pPr>
              <w:pStyle w:val="17"/>
              <w:bidi w:val="0"/>
              <w:rPr>
                <w:color w:val="auto"/>
                <w:highlight w:val="none"/>
              </w:rPr>
            </w:pPr>
            <w:r>
              <w:rPr>
                <w:color w:val="auto"/>
                <w:highlight w:val="none"/>
              </w:rPr>
              <w:t>13.3</w:t>
            </w:r>
          </w:p>
        </w:tc>
        <w:tc>
          <w:tcPr>
            <w:tcW w:w="206" w:type="pct"/>
            <w:shd w:val="clear" w:color="auto" w:fill="auto"/>
            <w:tcMar>
              <w:top w:w="0" w:type="dxa"/>
              <w:left w:w="0" w:type="dxa"/>
              <w:bottom w:w="0" w:type="dxa"/>
              <w:right w:w="0" w:type="dxa"/>
            </w:tcMar>
            <w:vAlign w:val="center"/>
          </w:tcPr>
          <w:p w14:paraId="485E38C7">
            <w:pPr>
              <w:pStyle w:val="17"/>
              <w:bidi w:val="0"/>
              <w:rPr>
                <w:color w:val="auto"/>
                <w:highlight w:val="none"/>
              </w:rPr>
            </w:pPr>
            <w:r>
              <w:rPr>
                <w:color w:val="auto"/>
                <w:highlight w:val="none"/>
              </w:rPr>
              <w:t>-927.9</w:t>
            </w:r>
          </w:p>
        </w:tc>
        <w:tc>
          <w:tcPr>
            <w:tcW w:w="194" w:type="pct"/>
            <w:shd w:val="clear" w:color="auto" w:fill="auto"/>
            <w:tcMar>
              <w:top w:w="0" w:type="dxa"/>
              <w:left w:w="0" w:type="dxa"/>
              <w:bottom w:w="0" w:type="dxa"/>
              <w:right w:w="0" w:type="dxa"/>
            </w:tcMar>
            <w:vAlign w:val="center"/>
          </w:tcPr>
          <w:p w14:paraId="567725BE">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12E6557A">
            <w:pPr>
              <w:pStyle w:val="17"/>
              <w:bidi w:val="0"/>
              <w:rPr>
                <w:color w:val="auto"/>
                <w:highlight w:val="none"/>
              </w:rPr>
            </w:pPr>
            <w:r>
              <w:rPr>
                <w:color w:val="auto"/>
                <w:highlight w:val="none"/>
              </w:rPr>
              <w:t>28.1</w:t>
            </w:r>
          </w:p>
        </w:tc>
        <w:tc>
          <w:tcPr>
            <w:tcW w:w="205" w:type="pct"/>
            <w:shd w:val="clear" w:color="auto" w:fill="auto"/>
            <w:tcMar>
              <w:top w:w="0" w:type="dxa"/>
              <w:left w:w="0" w:type="dxa"/>
              <w:bottom w:w="0" w:type="dxa"/>
              <w:right w:w="0" w:type="dxa"/>
            </w:tcMar>
            <w:vAlign w:val="center"/>
          </w:tcPr>
          <w:p w14:paraId="5411F2D5">
            <w:pPr>
              <w:pStyle w:val="17"/>
              <w:bidi w:val="0"/>
              <w:rPr>
                <w:color w:val="auto"/>
                <w:highlight w:val="none"/>
              </w:rPr>
            </w:pPr>
            <w:r>
              <w:rPr>
                <w:color w:val="auto"/>
                <w:highlight w:val="none"/>
              </w:rPr>
              <w:t>54.2</w:t>
            </w:r>
          </w:p>
        </w:tc>
        <w:tc>
          <w:tcPr>
            <w:tcW w:w="235" w:type="pct"/>
            <w:shd w:val="clear" w:color="auto" w:fill="auto"/>
            <w:tcMar>
              <w:top w:w="0" w:type="dxa"/>
              <w:left w:w="0" w:type="dxa"/>
              <w:bottom w:w="0" w:type="dxa"/>
              <w:right w:w="0" w:type="dxa"/>
            </w:tcMar>
            <w:vAlign w:val="center"/>
          </w:tcPr>
          <w:p w14:paraId="6E24E58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54.2</w:t>
            </w:r>
          </w:p>
        </w:tc>
        <w:tc>
          <w:tcPr>
            <w:tcW w:w="200" w:type="pct"/>
            <w:shd w:val="clear" w:color="auto" w:fill="auto"/>
            <w:tcMar>
              <w:top w:w="0" w:type="dxa"/>
              <w:left w:w="0" w:type="dxa"/>
              <w:bottom w:w="0" w:type="dxa"/>
              <w:right w:w="0" w:type="dxa"/>
            </w:tcMar>
            <w:vAlign w:val="center"/>
          </w:tcPr>
          <w:p w14:paraId="768650F4">
            <w:pPr>
              <w:pStyle w:val="17"/>
              <w:bidi w:val="0"/>
              <w:rPr>
                <w:color w:val="auto"/>
                <w:highlight w:val="none"/>
              </w:rPr>
            </w:pPr>
            <w:r>
              <w:rPr>
                <w:color w:val="auto"/>
                <w:highlight w:val="none"/>
              </w:rPr>
              <w:t>43.0</w:t>
            </w:r>
          </w:p>
        </w:tc>
        <w:tc>
          <w:tcPr>
            <w:tcW w:w="188" w:type="pct"/>
            <w:shd w:val="clear" w:color="auto" w:fill="auto"/>
            <w:tcMar>
              <w:top w:w="0" w:type="dxa"/>
              <w:left w:w="0" w:type="dxa"/>
              <w:bottom w:w="0" w:type="dxa"/>
              <w:right w:w="0" w:type="dxa"/>
            </w:tcMar>
            <w:vAlign w:val="center"/>
          </w:tcPr>
          <w:p w14:paraId="6C106500">
            <w:pPr>
              <w:pStyle w:val="17"/>
              <w:bidi w:val="0"/>
              <w:rPr>
                <w:color w:val="auto"/>
                <w:highlight w:val="none"/>
              </w:rPr>
            </w:pPr>
            <w:r>
              <w:rPr>
                <w:color w:val="auto"/>
                <w:highlight w:val="none"/>
              </w:rPr>
              <w:t>67.2</w:t>
            </w:r>
          </w:p>
        </w:tc>
        <w:tc>
          <w:tcPr>
            <w:tcW w:w="211" w:type="pct"/>
            <w:shd w:val="clear" w:color="auto" w:fill="auto"/>
            <w:tcMar>
              <w:top w:w="0" w:type="dxa"/>
              <w:left w:w="0" w:type="dxa"/>
              <w:bottom w:w="0" w:type="dxa"/>
              <w:right w:w="0" w:type="dxa"/>
            </w:tcMar>
            <w:vAlign w:val="center"/>
          </w:tcPr>
          <w:p w14:paraId="491FB99D">
            <w:pPr>
              <w:pStyle w:val="17"/>
              <w:bidi w:val="0"/>
              <w:rPr>
                <w:color w:val="auto"/>
                <w:highlight w:val="none"/>
              </w:rPr>
            </w:pPr>
            <w:r>
              <w:rPr>
                <w:color w:val="auto"/>
                <w:highlight w:val="none"/>
              </w:rPr>
              <w:t>67.2</w:t>
            </w:r>
          </w:p>
        </w:tc>
        <w:tc>
          <w:tcPr>
            <w:tcW w:w="182" w:type="pct"/>
            <w:shd w:val="clear" w:color="auto" w:fill="auto"/>
            <w:tcMar>
              <w:top w:w="0" w:type="dxa"/>
              <w:left w:w="0" w:type="dxa"/>
              <w:bottom w:w="0" w:type="dxa"/>
              <w:right w:w="0" w:type="dxa"/>
            </w:tcMar>
            <w:vAlign w:val="center"/>
          </w:tcPr>
          <w:p w14:paraId="1859C22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67.2</w:t>
            </w:r>
          </w:p>
        </w:tc>
        <w:tc>
          <w:tcPr>
            <w:tcW w:w="229" w:type="pct"/>
            <w:shd w:val="clear" w:color="auto" w:fill="auto"/>
            <w:tcMar>
              <w:top w:w="0" w:type="dxa"/>
              <w:left w:w="0" w:type="dxa"/>
              <w:bottom w:w="0" w:type="dxa"/>
              <w:right w:w="0" w:type="dxa"/>
            </w:tcMar>
            <w:vAlign w:val="center"/>
          </w:tcPr>
          <w:p w14:paraId="35A3EF8A">
            <w:pPr>
              <w:pStyle w:val="17"/>
              <w:bidi w:val="0"/>
              <w:rPr>
                <w:color w:val="auto"/>
                <w:highlight w:val="none"/>
              </w:rPr>
            </w:pPr>
            <w:r>
              <w:rPr>
                <w:color w:val="auto"/>
                <w:highlight w:val="none"/>
              </w:rPr>
              <w:t>67.2</w:t>
            </w:r>
          </w:p>
        </w:tc>
        <w:tc>
          <w:tcPr>
            <w:tcW w:w="270" w:type="pct"/>
            <w:shd w:val="clear" w:color="auto" w:fill="auto"/>
            <w:tcMar>
              <w:top w:w="0" w:type="dxa"/>
              <w:left w:w="0" w:type="dxa"/>
              <w:bottom w:w="0" w:type="dxa"/>
              <w:right w:w="0" w:type="dxa"/>
            </w:tcMar>
            <w:vAlign w:val="center"/>
          </w:tcPr>
          <w:p w14:paraId="6EACAC14">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02093C2B">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48B5B66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57.2</w:t>
            </w:r>
          </w:p>
        </w:tc>
        <w:tc>
          <w:tcPr>
            <w:tcW w:w="258" w:type="pct"/>
            <w:shd w:val="clear" w:color="auto" w:fill="auto"/>
            <w:tcMar>
              <w:top w:w="0" w:type="dxa"/>
              <w:left w:w="0" w:type="dxa"/>
              <w:bottom w:w="0" w:type="dxa"/>
              <w:right w:w="0" w:type="dxa"/>
            </w:tcMar>
            <w:vAlign w:val="center"/>
          </w:tcPr>
          <w:p w14:paraId="56B16EEB">
            <w:pPr>
              <w:pStyle w:val="17"/>
              <w:bidi w:val="0"/>
              <w:ind w:firstLine="0" w:firstLineChars="0"/>
              <w:rPr>
                <w:color w:val="auto"/>
                <w:highlight w:val="none"/>
              </w:rPr>
            </w:pPr>
            <w:r>
              <w:rPr>
                <w:rFonts w:hint="eastAsia"/>
                <w:color w:val="auto"/>
                <w:highlight w:val="none"/>
                <w:lang w:val="en-US" w:eastAsia="zh-CN"/>
              </w:rPr>
              <w:t>1</w:t>
            </w:r>
          </w:p>
        </w:tc>
      </w:tr>
      <w:tr w14:paraId="7238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113518E">
            <w:pPr>
              <w:pStyle w:val="17"/>
              <w:bidi w:val="0"/>
              <w:rPr>
                <w:color w:val="auto"/>
                <w:highlight w:val="none"/>
              </w:rPr>
            </w:pPr>
            <w:r>
              <w:rPr>
                <w:color w:val="auto"/>
                <w:highlight w:val="none"/>
              </w:rPr>
              <w:t>35</w:t>
            </w:r>
          </w:p>
        </w:tc>
        <w:tc>
          <w:tcPr>
            <w:tcW w:w="234" w:type="pct"/>
            <w:shd w:val="clear" w:color="auto" w:fill="auto"/>
            <w:tcMar>
              <w:top w:w="0" w:type="dxa"/>
              <w:left w:w="0" w:type="dxa"/>
              <w:bottom w:w="0" w:type="dxa"/>
              <w:right w:w="0" w:type="dxa"/>
            </w:tcMar>
            <w:vAlign w:val="center"/>
          </w:tcPr>
          <w:p w14:paraId="46A0657C">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7A2BB97E">
            <w:pPr>
              <w:pStyle w:val="17"/>
              <w:bidi w:val="0"/>
              <w:rPr>
                <w:color w:val="auto"/>
                <w:highlight w:val="none"/>
              </w:rPr>
            </w:pPr>
            <w:r>
              <w:rPr>
                <w:color w:val="auto"/>
                <w:highlight w:val="none"/>
              </w:rPr>
              <w:t>氟塑料合金离心泵,8台（按点声源组预测）</w:t>
            </w:r>
          </w:p>
        </w:tc>
        <w:tc>
          <w:tcPr>
            <w:tcW w:w="388" w:type="pct"/>
            <w:shd w:val="clear" w:color="auto" w:fill="auto"/>
            <w:tcMar>
              <w:top w:w="0" w:type="dxa"/>
              <w:left w:w="0" w:type="dxa"/>
              <w:bottom w:w="0" w:type="dxa"/>
              <w:right w:w="0" w:type="dxa"/>
            </w:tcMar>
            <w:vAlign w:val="center"/>
          </w:tcPr>
          <w:p w14:paraId="4A0EC789">
            <w:pPr>
              <w:pStyle w:val="17"/>
              <w:bidi w:val="0"/>
              <w:rPr>
                <w:rFonts w:hint="eastAsia" w:eastAsia="宋体"/>
                <w:color w:val="auto"/>
                <w:highlight w:val="none"/>
                <w:lang w:eastAsia="zh-CN"/>
              </w:rPr>
            </w:pPr>
            <w:r>
              <w:rPr>
                <w:color w:val="auto"/>
                <w:highlight w:val="none"/>
              </w:rPr>
              <w:t>75（等效后：84.0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1D133861">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316D0087">
            <w:pPr>
              <w:pStyle w:val="17"/>
              <w:bidi w:val="0"/>
              <w:rPr>
                <w:color w:val="auto"/>
                <w:highlight w:val="none"/>
              </w:rPr>
            </w:pPr>
            <w:r>
              <w:rPr>
                <w:color w:val="auto"/>
                <w:highlight w:val="none"/>
              </w:rPr>
              <w:t>-20.3</w:t>
            </w:r>
          </w:p>
        </w:tc>
        <w:tc>
          <w:tcPr>
            <w:tcW w:w="206" w:type="pct"/>
            <w:shd w:val="clear" w:color="auto" w:fill="auto"/>
            <w:tcMar>
              <w:top w:w="0" w:type="dxa"/>
              <w:left w:w="0" w:type="dxa"/>
              <w:bottom w:w="0" w:type="dxa"/>
              <w:right w:w="0" w:type="dxa"/>
            </w:tcMar>
            <w:vAlign w:val="center"/>
          </w:tcPr>
          <w:p w14:paraId="7A0A4C35">
            <w:pPr>
              <w:pStyle w:val="17"/>
              <w:bidi w:val="0"/>
              <w:rPr>
                <w:color w:val="auto"/>
                <w:highlight w:val="none"/>
              </w:rPr>
            </w:pPr>
            <w:r>
              <w:rPr>
                <w:color w:val="auto"/>
                <w:highlight w:val="none"/>
              </w:rPr>
              <w:t>-905.5</w:t>
            </w:r>
          </w:p>
        </w:tc>
        <w:tc>
          <w:tcPr>
            <w:tcW w:w="194" w:type="pct"/>
            <w:shd w:val="clear" w:color="auto" w:fill="auto"/>
            <w:tcMar>
              <w:top w:w="0" w:type="dxa"/>
              <w:left w:w="0" w:type="dxa"/>
              <w:bottom w:w="0" w:type="dxa"/>
              <w:right w:w="0" w:type="dxa"/>
            </w:tcMar>
            <w:vAlign w:val="center"/>
          </w:tcPr>
          <w:p w14:paraId="0404E892">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2951015">
            <w:pPr>
              <w:pStyle w:val="17"/>
              <w:bidi w:val="0"/>
              <w:rPr>
                <w:color w:val="auto"/>
                <w:highlight w:val="none"/>
              </w:rPr>
            </w:pPr>
            <w:r>
              <w:rPr>
                <w:color w:val="auto"/>
                <w:highlight w:val="none"/>
              </w:rPr>
              <w:t>61.7</w:t>
            </w:r>
          </w:p>
        </w:tc>
        <w:tc>
          <w:tcPr>
            <w:tcW w:w="205" w:type="pct"/>
            <w:shd w:val="clear" w:color="auto" w:fill="auto"/>
            <w:tcMar>
              <w:top w:w="0" w:type="dxa"/>
              <w:left w:w="0" w:type="dxa"/>
              <w:bottom w:w="0" w:type="dxa"/>
              <w:right w:w="0" w:type="dxa"/>
            </w:tcMar>
            <w:vAlign w:val="center"/>
          </w:tcPr>
          <w:p w14:paraId="316A1428">
            <w:pPr>
              <w:pStyle w:val="17"/>
              <w:bidi w:val="0"/>
              <w:rPr>
                <w:color w:val="auto"/>
                <w:highlight w:val="none"/>
              </w:rPr>
            </w:pPr>
            <w:r>
              <w:rPr>
                <w:color w:val="auto"/>
                <w:highlight w:val="none"/>
              </w:rPr>
              <w:t>29.9</w:t>
            </w:r>
          </w:p>
        </w:tc>
        <w:tc>
          <w:tcPr>
            <w:tcW w:w="235" w:type="pct"/>
            <w:shd w:val="clear" w:color="auto" w:fill="auto"/>
            <w:tcMar>
              <w:top w:w="0" w:type="dxa"/>
              <w:left w:w="0" w:type="dxa"/>
              <w:bottom w:w="0" w:type="dxa"/>
              <w:right w:w="0" w:type="dxa"/>
            </w:tcMar>
            <w:vAlign w:val="center"/>
          </w:tcPr>
          <w:p w14:paraId="3C1A77F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29.9</w:t>
            </w:r>
          </w:p>
        </w:tc>
        <w:tc>
          <w:tcPr>
            <w:tcW w:w="200" w:type="pct"/>
            <w:shd w:val="clear" w:color="auto" w:fill="auto"/>
            <w:tcMar>
              <w:top w:w="0" w:type="dxa"/>
              <w:left w:w="0" w:type="dxa"/>
              <w:bottom w:w="0" w:type="dxa"/>
              <w:right w:w="0" w:type="dxa"/>
            </w:tcMar>
            <w:vAlign w:val="center"/>
          </w:tcPr>
          <w:p w14:paraId="7D4313F2">
            <w:pPr>
              <w:pStyle w:val="17"/>
              <w:bidi w:val="0"/>
              <w:rPr>
                <w:color w:val="auto"/>
                <w:highlight w:val="none"/>
              </w:rPr>
            </w:pPr>
            <w:r>
              <w:rPr>
                <w:color w:val="auto"/>
                <w:highlight w:val="none"/>
              </w:rPr>
              <w:t>20.6</w:t>
            </w:r>
          </w:p>
        </w:tc>
        <w:tc>
          <w:tcPr>
            <w:tcW w:w="188" w:type="pct"/>
            <w:shd w:val="clear" w:color="auto" w:fill="auto"/>
            <w:tcMar>
              <w:top w:w="0" w:type="dxa"/>
              <w:left w:w="0" w:type="dxa"/>
              <w:bottom w:w="0" w:type="dxa"/>
              <w:right w:w="0" w:type="dxa"/>
            </w:tcMar>
            <w:vAlign w:val="center"/>
          </w:tcPr>
          <w:p w14:paraId="6532AEE0">
            <w:pPr>
              <w:pStyle w:val="17"/>
              <w:bidi w:val="0"/>
              <w:rPr>
                <w:color w:val="auto"/>
                <w:highlight w:val="none"/>
              </w:rPr>
            </w:pPr>
            <w:r>
              <w:rPr>
                <w:color w:val="auto"/>
                <w:highlight w:val="none"/>
              </w:rPr>
              <w:t>65.4</w:t>
            </w:r>
          </w:p>
        </w:tc>
        <w:tc>
          <w:tcPr>
            <w:tcW w:w="211" w:type="pct"/>
            <w:shd w:val="clear" w:color="auto" w:fill="auto"/>
            <w:tcMar>
              <w:top w:w="0" w:type="dxa"/>
              <w:left w:w="0" w:type="dxa"/>
              <w:bottom w:w="0" w:type="dxa"/>
              <w:right w:w="0" w:type="dxa"/>
            </w:tcMar>
            <w:vAlign w:val="center"/>
          </w:tcPr>
          <w:p w14:paraId="62154E2A">
            <w:pPr>
              <w:pStyle w:val="17"/>
              <w:bidi w:val="0"/>
              <w:rPr>
                <w:color w:val="auto"/>
                <w:highlight w:val="none"/>
              </w:rPr>
            </w:pPr>
            <w:r>
              <w:rPr>
                <w:color w:val="auto"/>
                <w:highlight w:val="none"/>
              </w:rPr>
              <w:t>65.4</w:t>
            </w:r>
          </w:p>
        </w:tc>
        <w:tc>
          <w:tcPr>
            <w:tcW w:w="182" w:type="pct"/>
            <w:shd w:val="clear" w:color="auto" w:fill="auto"/>
            <w:tcMar>
              <w:top w:w="0" w:type="dxa"/>
              <w:left w:w="0" w:type="dxa"/>
              <w:bottom w:w="0" w:type="dxa"/>
              <w:right w:w="0" w:type="dxa"/>
            </w:tcMar>
            <w:vAlign w:val="center"/>
          </w:tcPr>
          <w:p w14:paraId="6F8ED73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65.5</w:t>
            </w:r>
          </w:p>
        </w:tc>
        <w:tc>
          <w:tcPr>
            <w:tcW w:w="229" w:type="pct"/>
            <w:shd w:val="clear" w:color="auto" w:fill="auto"/>
            <w:tcMar>
              <w:top w:w="0" w:type="dxa"/>
              <w:left w:w="0" w:type="dxa"/>
              <w:bottom w:w="0" w:type="dxa"/>
              <w:right w:w="0" w:type="dxa"/>
            </w:tcMar>
            <w:vAlign w:val="center"/>
          </w:tcPr>
          <w:p w14:paraId="21506FA3">
            <w:pPr>
              <w:pStyle w:val="17"/>
              <w:bidi w:val="0"/>
              <w:rPr>
                <w:color w:val="auto"/>
                <w:highlight w:val="none"/>
              </w:rPr>
            </w:pPr>
            <w:r>
              <w:rPr>
                <w:color w:val="auto"/>
                <w:highlight w:val="none"/>
              </w:rPr>
              <w:t>65.5</w:t>
            </w:r>
          </w:p>
        </w:tc>
        <w:tc>
          <w:tcPr>
            <w:tcW w:w="270" w:type="pct"/>
            <w:shd w:val="clear" w:color="auto" w:fill="auto"/>
            <w:tcMar>
              <w:top w:w="0" w:type="dxa"/>
              <w:left w:w="0" w:type="dxa"/>
              <w:bottom w:w="0" w:type="dxa"/>
              <w:right w:w="0" w:type="dxa"/>
            </w:tcMar>
            <w:vAlign w:val="center"/>
          </w:tcPr>
          <w:p w14:paraId="1B072D7A">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17BCB930">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480BF3A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55.4</w:t>
            </w:r>
          </w:p>
        </w:tc>
        <w:tc>
          <w:tcPr>
            <w:tcW w:w="258" w:type="pct"/>
            <w:shd w:val="clear" w:color="auto" w:fill="auto"/>
            <w:tcMar>
              <w:top w:w="0" w:type="dxa"/>
              <w:left w:w="0" w:type="dxa"/>
              <w:bottom w:w="0" w:type="dxa"/>
              <w:right w:w="0" w:type="dxa"/>
            </w:tcMar>
            <w:vAlign w:val="center"/>
          </w:tcPr>
          <w:p w14:paraId="614BB764">
            <w:pPr>
              <w:pStyle w:val="17"/>
              <w:bidi w:val="0"/>
              <w:ind w:firstLine="0" w:firstLineChars="0"/>
              <w:rPr>
                <w:color w:val="auto"/>
                <w:highlight w:val="none"/>
              </w:rPr>
            </w:pPr>
            <w:r>
              <w:rPr>
                <w:rFonts w:hint="eastAsia"/>
                <w:color w:val="auto"/>
                <w:highlight w:val="none"/>
                <w:lang w:val="en-US" w:eastAsia="zh-CN"/>
              </w:rPr>
              <w:t>1</w:t>
            </w:r>
          </w:p>
        </w:tc>
      </w:tr>
      <w:tr w14:paraId="62C1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3A08236">
            <w:pPr>
              <w:pStyle w:val="17"/>
              <w:bidi w:val="0"/>
              <w:rPr>
                <w:color w:val="auto"/>
                <w:highlight w:val="none"/>
              </w:rPr>
            </w:pPr>
            <w:r>
              <w:rPr>
                <w:color w:val="auto"/>
                <w:highlight w:val="none"/>
              </w:rPr>
              <w:t>36</w:t>
            </w:r>
          </w:p>
        </w:tc>
        <w:tc>
          <w:tcPr>
            <w:tcW w:w="234" w:type="pct"/>
            <w:shd w:val="clear" w:color="auto" w:fill="auto"/>
            <w:tcMar>
              <w:top w:w="0" w:type="dxa"/>
              <w:left w:w="0" w:type="dxa"/>
              <w:bottom w:w="0" w:type="dxa"/>
              <w:right w:w="0" w:type="dxa"/>
            </w:tcMar>
            <w:vAlign w:val="center"/>
          </w:tcPr>
          <w:p w14:paraId="4D3A55D8">
            <w:pPr>
              <w:pStyle w:val="17"/>
              <w:bidi w:val="0"/>
              <w:rPr>
                <w:color w:val="auto"/>
                <w:highlight w:val="none"/>
              </w:rPr>
            </w:pPr>
            <w:r>
              <w:rPr>
                <w:color w:val="auto"/>
                <w:highlight w:val="none"/>
              </w:rPr>
              <w:t>主厂房</w:t>
            </w:r>
          </w:p>
        </w:tc>
        <w:tc>
          <w:tcPr>
            <w:tcW w:w="478" w:type="pct"/>
            <w:shd w:val="clear" w:color="auto" w:fill="auto"/>
            <w:tcMar>
              <w:top w:w="0" w:type="dxa"/>
              <w:left w:w="0" w:type="dxa"/>
              <w:bottom w:w="0" w:type="dxa"/>
              <w:right w:w="0" w:type="dxa"/>
            </w:tcMar>
            <w:vAlign w:val="center"/>
          </w:tcPr>
          <w:p w14:paraId="5A33E9FC">
            <w:pPr>
              <w:pStyle w:val="17"/>
              <w:bidi w:val="0"/>
              <w:rPr>
                <w:color w:val="auto"/>
                <w:highlight w:val="none"/>
              </w:rPr>
            </w:pPr>
            <w:r>
              <w:rPr>
                <w:color w:val="auto"/>
                <w:highlight w:val="none"/>
              </w:rPr>
              <w:t>CV.7带式输送机</w:t>
            </w:r>
          </w:p>
        </w:tc>
        <w:tc>
          <w:tcPr>
            <w:tcW w:w="388" w:type="pct"/>
            <w:shd w:val="clear" w:color="auto" w:fill="auto"/>
            <w:tcMar>
              <w:top w:w="0" w:type="dxa"/>
              <w:left w:w="0" w:type="dxa"/>
              <w:bottom w:w="0" w:type="dxa"/>
              <w:right w:w="0" w:type="dxa"/>
            </w:tcMar>
            <w:vAlign w:val="center"/>
          </w:tcPr>
          <w:p w14:paraId="0C4E569F">
            <w:pPr>
              <w:pStyle w:val="17"/>
              <w:bidi w:val="0"/>
              <w:rPr>
                <w:color w:val="auto"/>
                <w:highlight w:val="none"/>
              </w:rPr>
            </w:pPr>
            <w:r>
              <w:rPr>
                <w:color w:val="auto"/>
                <w:highlight w:val="none"/>
              </w:rPr>
              <w:t>65</w:t>
            </w:r>
          </w:p>
        </w:tc>
        <w:tc>
          <w:tcPr>
            <w:tcW w:w="329" w:type="pct"/>
            <w:vMerge w:val="continue"/>
            <w:shd w:val="clear" w:color="auto" w:fill="auto"/>
            <w:tcMar>
              <w:top w:w="0" w:type="dxa"/>
              <w:left w:w="0" w:type="dxa"/>
              <w:bottom w:w="0" w:type="dxa"/>
              <w:right w:w="0" w:type="dxa"/>
            </w:tcMar>
            <w:vAlign w:val="center"/>
          </w:tcPr>
          <w:p w14:paraId="562A8BDD">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654AB0E3">
            <w:pPr>
              <w:pStyle w:val="17"/>
              <w:bidi w:val="0"/>
              <w:rPr>
                <w:color w:val="auto"/>
                <w:highlight w:val="none"/>
              </w:rPr>
            </w:pPr>
            <w:r>
              <w:rPr>
                <w:color w:val="auto"/>
                <w:highlight w:val="none"/>
              </w:rPr>
              <w:t>0.2</w:t>
            </w:r>
          </w:p>
        </w:tc>
        <w:tc>
          <w:tcPr>
            <w:tcW w:w="206" w:type="pct"/>
            <w:shd w:val="clear" w:color="auto" w:fill="auto"/>
            <w:tcMar>
              <w:top w:w="0" w:type="dxa"/>
              <w:left w:w="0" w:type="dxa"/>
              <w:bottom w:w="0" w:type="dxa"/>
              <w:right w:w="0" w:type="dxa"/>
            </w:tcMar>
            <w:vAlign w:val="center"/>
          </w:tcPr>
          <w:p w14:paraId="34EE7C29">
            <w:pPr>
              <w:pStyle w:val="17"/>
              <w:bidi w:val="0"/>
              <w:rPr>
                <w:color w:val="auto"/>
                <w:highlight w:val="none"/>
              </w:rPr>
            </w:pPr>
            <w:r>
              <w:rPr>
                <w:color w:val="auto"/>
                <w:highlight w:val="none"/>
              </w:rPr>
              <w:t>-890.5</w:t>
            </w:r>
          </w:p>
        </w:tc>
        <w:tc>
          <w:tcPr>
            <w:tcW w:w="194" w:type="pct"/>
            <w:shd w:val="clear" w:color="auto" w:fill="auto"/>
            <w:tcMar>
              <w:top w:w="0" w:type="dxa"/>
              <w:left w:w="0" w:type="dxa"/>
              <w:bottom w:w="0" w:type="dxa"/>
              <w:right w:w="0" w:type="dxa"/>
            </w:tcMar>
            <w:vAlign w:val="center"/>
          </w:tcPr>
          <w:p w14:paraId="44A94882">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018E2DE4">
            <w:pPr>
              <w:pStyle w:val="17"/>
              <w:bidi w:val="0"/>
              <w:rPr>
                <w:color w:val="auto"/>
                <w:highlight w:val="none"/>
              </w:rPr>
            </w:pPr>
            <w:r>
              <w:rPr>
                <w:color w:val="auto"/>
                <w:highlight w:val="none"/>
              </w:rPr>
              <w:t>41.2</w:t>
            </w:r>
          </w:p>
        </w:tc>
        <w:tc>
          <w:tcPr>
            <w:tcW w:w="205" w:type="pct"/>
            <w:shd w:val="clear" w:color="auto" w:fill="auto"/>
            <w:tcMar>
              <w:top w:w="0" w:type="dxa"/>
              <w:left w:w="0" w:type="dxa"/>
              <w:bottom w:w="0" w:type="dxa"/>
              <w:right w:w="0" w:type="dxa"/>
            </w:tcMar>
            <w:vAlign w:val="center"/>
          </w:tcPr>
          <w:p w14:paraId="22893AA1">
            <w:pPr>
              <w:pStyle w:val="17"/>
              <w:bidi w:val="0"/>
              <w:rPr>
                <w:color w:val="auto"/>
                <w:highlight w:val="none"/>
              </w:rPr>
            </w:pPr>
            <w:r>
              <w:rPr>
                <w:color w:val="auto"/>
                <w:highlight w:val="none"/>
              </w:rPr>
              <w:t>50.4</w:t>
            </w:r>
          </w:p>
        </w:tc>
        <w:tc>
          <w:tcPr>
            <w:tcW w:w="235" w:type="pct"/>
            <w:shd w:val="clear" w:color="auto" w:fill="auto"/>
            <w:tcMar>
              <w:top w:w="0" w:type="dxa"/>
              <w:left w:w="0" w:type="dxa"/>
              <w:bottom w:w="0" w:type="dxa"/>
              <w:right w:w="0" w:type="dxa"/>
            </w:tcMar>
            <w:vAlign w:val="center"/>
          </w:tcPr>
          <w:p w14:paraId="6BF78BD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50.4</w:t>
            </w:r>
          </w:p>
        </w:tc>
        <w:tc>
          <w:tcPr>
            <w:tcW w:w="200" w:type="pct"/>
            <w:shd w:val="clear" w:color="auto" w:fill="auto"/>
            <w:tcMar>
              <w:top w:w="0" w:type="dxa"/>
              <w:left w:w="0" w:type="dxa"/>
              <w:bottom w:w="0" w:type="dxa"/>
              <w:right w:w="0" w:type="dxa"/>
            </w:tcMar>
            <w:vAlign w:val="center"/>
          </w:tcPr>
          <w:p w14:paraId="3F4EDC42">
            <w:pPr>
              <w:pStyle w:val="17"/>
              <w:bidi w:val="0"/>
              <w:rPr>
                <w:color w:val="auto"/>
                <w:highlight w:val="none"/>
              </w:rPr>
            </w:pPr>
            <w:r>
              <w:rPr>
                <w:color w:val="auto"/>
                <w:highlight w:val="none"/>
              </w:rPr>
              <w:t>5.6</w:t>
            </w:r>
          </w:p>
        </w:tc>
        <w:tc>
          <w:tcPr>
            <w:tcW w:w="188" w:type="pct"/>
            <w:shd w:val="clear" w:color="auto" w:fill="auto"/>
            <w:tcMar>
              <w:top w:w="0" w:type="dxa"/>
              <w:left w:w="0" w:type="dxa"/>
              <w:bottom w:w="0" w:type="dxa"/>
              <w:right w:w="0" w:type="dxa"/>
            </w:tcMar>
            <w:vAlign w:val="center"/>
          </w:tcPr>
          <w:p w14:paraId="554AF9FE">
            <w:pPr>
              <w:pStyle w:val="17"/>
              <w:bidi w:val="0"/>
              <w:rPr>
                <w:color w:val="auto"/>
                <w:highlight w:val="none"/>
              </w:rPr>
            </w:pPr>
            <w:r>
              <w:rPr>
                <w:color w:val="auto"/>
                <w:highlight w:val="none"/>
              </w:rPr>
              <w:t>46.4</w:t>
            </w:r>
          </w:p>
        </w:tc>
        <w:tc>
          <w:tcPr>
            <w:tcW w:w="211" w:type="pct"/>
            <w:shd w:val="clear" w:color="auto" w:fill="auto"/>
            <w:tcMar>
              <w:top w:w="0" w:type="dxa"/>
              <w:left w:w="0" w:type="dxa"/>
              <w:bottom w:w="0" w:type="dxa"/>
              <w:right w:w="0" w:type="dxa"/>
            </w:tcMar>
            <w:vAlign w:val="center"/>
          </w:tcPr>
          <w:p w14:paraId="4C08A4F4">
            <w:pPr>
              <w:pStyle w:val="17"/>
              <w:bidi w:val="0"/>
              <w:rPr>
                <w:color w:val="auto"/>
                <w:highlight w:val="none"/>
              </w:rPr>
            </w:pPr>
            <w:r>
              <w:rPr>
                <w:color w:val="auto"/>
                <w:highlight w:val="none"/>
              </w:rPr>
              <w:t>46.4</w:t>
            </w:r>
          </w:p>
        </w:tc>
        <w:tc>
          <w:tcPr>
            <w:tcW w:w="182" w:type="pct"/>
            <w:shd w:val="clear" w:color="auto" w:fill="auto"/>
            <w:tcMar>
              <w:top w:w="0" w:type="dxa"/>
              <w:left w:w="0" w:type="dxa"/>
              <w:bottom w:w="0" w:type="dxa"/>
              <w:right w:w="0" w:type="dxa"/>
            </w:tcMar>
            <w:vAlign w:val="center"/>
          </w:tcPr>
          <w:p w14:paraId="49D9971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47.1</w:t>
            </w:r>
          </w:p>
        </w:tc>
        <w:tc>
          <w:tcPr>
            <w:tcW w:w="229" w:type="pct"/>
            <w:shd w:val="clear" w:color="auto" w:fill="auto"/>
            <w:tcMar>
              <w:top w:w="0" w:type="dxa"/>
              <w:left w:w="0" w:type="dxa"/>
              <w:bottom w:w="0" w:type="dxa"/>
              <w:right w:w="0" w:type="dxa"/>
            </w:tcMar>
            <w:vAlign w:val="center"/>
          </w:tcPr>
          <w:p w14:paraId="0C9C9011">
            <w:pPr>
              <w:pStyle w:val="17"/>
              <w:bidi w:val="0"/>
              <w:rPr>
                <w:color w:val="auto"/>
                <w:highlight w:val="none"/>
              </w:rPr>
            </w:pPr>
            <w:r>
              <w:rPr>
                <w:color w:val="auto"/>
                <w:highlight w:val="none"/>
              </w:rPr>
              <w:t>47.1</w:t>
            </w:r>
          </w:p>
        </w:tc>
        <w:tc>
          <w:tcPr>
            <w:tcW w:w="270" w:type="pct"/>
            <w:shd w:val="clear" w:color="auto" w:fill="auto"/>
            <w:tcMar>
              <w:top w:w="0" w:type="dxa"/>
              <w:left w:w="0" w:type="dxa"/>
              <w:bottom w:w="0" w:type="dxa"/>
              <w:right w:w="0" w:type="dxa"/>
            </w:tcMar>
            <w:vAlign w:val="center"/>
          </w:tcPr>
          <w:p w14:paraId="78D82F13">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676DB177">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5B30746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36.4</w:t>
            </w:r>
          </w:p>
        </w:tc>
        <w:tc>
          <w:tcPr>
            <w:tcW w:w="258" w:type="pct"/>
            <w:shd w:val="clear" w:color="auto" w:fill="auto"/>
            <w:tcMar>
              <w:top w:w="0" w:type="dxa"/>
              <w:left w:w="0" w:type="dxa"/>
              <w:bottom w:w="0" w:type="dxa"/>
              <w:right w:w="0" w:type="dxa"/>
            </w:tcMar>
            <w:vAlign w:val="center"/>
          </w:tcPr>
          <w:p w14:paraId="5300428F">
            <w:pPr>
              <w:pStyle w:val="17"/>
              <w:bidi w:val="0"/>
              <w:ind w:firstLine="0" w:firstLineChars="0"/>
              <w:rPr>
                <w:color w:val="auto"/>
                <w:highlight w:val="none"/>
              </w:rPr>
            </w:pPr>
            <w:r>
              <w:rPr>
                <w:rFonts w:hint="eastAsia"/>
                <w:color w:val="auto"/>
                <w:highlight w:val="none"/>
                <w:lang w:val="en-US" w:eastAsia="zh-CN"/>
              </w:rPr>
              <w:t>1</w:t>
            </w:r>
          </w:p>
        </w:tc>
      </w:tr>
      <w:tr w14:paraId="69AC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7995B2E">
            <w:pPr>
              <w:pStyle w:val="17"/>
              <w:bidi w:val="0"/>
              <w:rPr>
                <w:color w:val="auto"/>
                <w:highlight w:val="none"/>
              </w:rPr>
            </w:pPr>
            <w:r>
              <w:rPr>
                <w:color w:val="auto"/>
                <w:highlight w:val="none"/>
              </w:rPr>
              <w:t>37</w:t>
            </w:r>
          </w:p>
        </w:tc>
        <w:tc>
          <w:tcPr>
            <w:tcW w:w="234" w:type="pct"/>
            <w:shd w:val="clear" w:color="auto" w:fill="auto"/>
            <w:tcMar>
              <w:top w:w="0" w:type="dxa"/>
              <w:left w:w="0" w:type="dxa"/>
              <w:bottom w:w="0" w:type="dxa"/>
              <w:right w:w="0" w:type="dxa"/>
            </w:tcMar>
            <w:vAlign w:val="center"/>
          </w:tcPr>
          <w:p w14:paraId="2CF37C35">
            <w:pPr>
              <w:pStyle w:val="17"/>
              <w:bidi w:val="0"/>
              <w:rPr>
                <w:color w:val="auto"/>
                <w:highlight w:val="none"/>
              </w:rPr>
            </w:pPr>
            <w:r>
              <w:rPr>
                <w:color w:val="auto"/>
                <w:highlight w:val="none"/>
              </w:rPr>
              <w:t>硫酸稀释车间</w:t>
            </w:r>
          </w:p>
        </w:tc>
        <w:tc>
          <w:tcPr>
            <w:tcW w:w="478" w:type="pct"/>
            <w:shd w:val="clear" w:color="auto" w:fill="auto"/>
            <w:tcMar>
              <w:top w:w="0" w:type="dxa"/>
              <w:left w:w="0" w:type="dxa"/>
              <w:bottom w:w="0" w:type="dxa"/>
              <w:right w:w="0" w:type="dxa"/>
            </w:tcMar>
            <w:vAlign w:val="center"/>
          </w:tcPr>
          <w:p w14:paraId="4BEF0171">
            <w:pPr>
              <w:pStyle w:val="17"/>
              <w:bidi w:val="0"/>
              <w:rPr>
                <w:color w:val="auto"/>
                <w:highlight w:val="none"/>
              </w:rPr>
            </w:pPr>
            <w:r>
              <w:rPr>
                <w:color w:val="auto"/>
                <w:highlight w:val="none"/>
              </w:rPr>
              <w:t>氟塑料合金离心泵,8台（按点声源组预测）</w:t>
            </w:r>
          </w:p>
        </w:tc>
        <w:tc>
          <w:tcPr>
            <w:tcW w:w="388" w:type="pct"/>
            <w:shd w:val="clear" w:color="auto" w:fill="auto"/>
            <w:tcMar>
              <w:top w:w="0" w:type="dxa"/>
              <w:left w:w="0" w:type="dxa"/>
              <w:bottom w:w="0" w:type="dxa"/>
              <w:right w:w="0" w:type="dxa"/>
            </w:tcMar>
            <w:vAlign w:val="center"/>
          </w:tcPr>
          <w:p w14:paraId="256019BD">
            <w:pPr>
              <w:pStyle w:val="17"/>
              <w:bidi w:val="0"/>
              <w:rPr>
                <w:rFonts w:hint="eastAsia" w:eastAsia="宋体"/>
                <w:color w:val="auto"/>
                <w:highlight w:val="none"/>
                <w:lang w:eastAsia="zh-CN"/>
              </w:rPr>
            </w:pPr>
            <w:r>
              <w:rPr>
                <w:color w:val="auto"/>
                <w:highlight w:val="none"/>
              </w:rPr>
              <w:t>75（等效后：84.0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26E86632">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6110D9D">
            <w:pPr>
              <w:pStyle w:val="17"/>
              <w:bidi w:val="0"/>
              <w:rPr>
                <w:color w:val="auto"/>
                <w:highlight w:val="none"/>
              </w:rPr>
            </w:pPr>
            <w:r>
              <w:rPr>
                <w:color w:val="auto"/>
                <w:highlight w:val="none"/>
              </w:rPr>
              <w:t>-266.2</w:t>
            </w:r>
          </w:p>
        </w:tc>
        <w:tc>
          <w:tcPr>
            <w:tcW w:w="206" w:type="pct"/>
            <w:shd w:val="clear" w:color="auto" w:fill="auto"/>
            <w:tcMar>
              <w:top w:w="0" w:type="dxa"/>
              <w:left w:w="0" w:type="dxa"/>
              <w:bottom w:w="0" w:type="dxa"/>
              <w:right w:w="0" w:type="dxa"/>
            </w:tcMar>
            <w:vAlign w:val="center"/>
          </w:tcPr>
          <w:p w14:paraId="1EDFE714">
            <w:pPr>
              <w:pStyle w:val="17"/>
              <w:bidi w:val="0"/>
              <w:rPr>
                <w:color w:val="auto"/>
                <w:highlight w:val="none"/>
              </w:rPr>
            </w:pPr>
            <w:r>
              <w:rPr>
                <w:color w:val="auto"/>
                <w:highlight w:val="none"/>
              </w:rPr>
              <w:t>-978.4</w:t>
            </w:r>
          </w:p>
        </w:tc>
        <w:tc>
          <w:tcPr>
            <w:tcW w:w="194" w:type="pct"/>
            <w:shd w:val="clear" w:color="auto" w:fill="auto"/>
            <w:tcMar>
              <w:top w:w="0" w:type="dxa"/>
              <w:left w:w="0" w:type="dxa"/>
              <w:bottom w:w="0" w:type="dxa"/>
              <w:right w:w="0" w:type="dxa"/>
            </w:tcMar>
            <w:vAlign w:val="center"/>
          </w:tcPr>
          <w:p w14:paraId="6297E7C3">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57FF1054">
            <w:pPr>
              <w:pStyle w:val="17"/>
              <w:bidi w:val="0"/>
              <w:rPr>
                <w:color w:val="auto"/>
                <w:highlight w:val="none"/>
              </w:rPr>
            </w:pPr>
            <w:r>
              <w:rPr>
                <w:color w:val="auto"/>
                <w:highlight w:val="none"/>
              </w:rPr>
              <w:t>10.3</w:t>
            </w:r>
          </w:p>
        </w:tc>
        <w:tc>
          <w:tcPr>
            <w:tcW w:w="205" w:type="pct"/>
            <w:shd w:val="clear" w:color="auto" w:fill="auto"/>
            <w:tcMar>
              <w:top w:w="0" w:type="dxa"/>
              <w:left w:w="0" w:type="dxa"/>
              <w:bottom w:w="0" w:type="dxa"/>
              <w:right w:w="0" w:type="dxa"/>
            </w:tcMar>
            <w:vAlign w:val="center"/>
          </w:tcPr>
          <w:p w14:paraId="417A751C">
            <w:pPr>
              <w:pStyle w:val="17"/>
              <w:bidi w:val="0"/>
              <w:rPr>
                <w:color w:val="auto"/>
                <w:highlight w:val="none"/>
              </w:rPr>
            </w:pPr>
            <w:r>
              <w:rPr>
                <w:color w:val="auto"/>
                <w:highlight w:val="none"/>
              </w:rPr>
              <w:t>14.9</w:t>
            </w:r>
          </w:p>
        </w:tc>
        <w:tc>
          <w:tcPr>
            <w:tcW w:w="235" w:type="pct"/>
            <w:shd w:val="clear" w:color="auto" w:fill="auto"/>
            <w:tcMar>
              <w:top w:w="0" w:type="dxa"/>
              <w:left w:w="0" w:type="dxa"/>
              <w:bottom w:w="0" w:type="dxa"/>
              <w:right w:w="0" w:type="dxa"/>
            </w:tcMar>
            <w:vAlign w:val="center"/>
          </w:tcPr>
          <w:p w14:paraId="19304B59">
            <w:pPr>
              <w:pStyle w:val="17"/>
              <w:bidi w:val="0"/>
              <w:rPr>
                <w:color w:val="auto"/>
                <w:highlight w:val="none"/>
              </w:rPr>
            </w:pPr>
            <w:r>
              <w:rPr>
                <w:color w:val="auto"/>
                <w:highlight w:val="none"/>
              </w:rPr>
              <w:t>19.6</w:t>
            </w:r>
          </w:p>
        </w:tc>
        <w:tc>
          <w:tcPr>
            <w:tcW w:w="200" w:type="pct"/>
            <w:shd w:val="clear" w:color="auto" w:fill="auto"/>
            <w:tcMar>
              <w:top w:w="0" w:type="dxa"/>
              <w:left w:w="0" w:type="dxa"/>
              <w:bottom w:w="0" w:type="dxa"/>
              <w:right w:w="0" w:type="dxa"/>
            </w:tcMar>
            <w:vAlign w:val="center"/>
          </w:tcPr>
          <w:p w14:paraId="380152AC">
            <w:pPr>
              <w:pStyle w:val="17"/>
              <w:bidi w:val="0"/>
              <w:rPr>
                <w:color w:val="auto"/>
                <w:highlight w:val="none"/>
              </w:rPr>
            </w:pPr>
            <w:r>
              <w:rPr>
                <w:color w:val="auto"/>
                <w:highlight w:val="none"/>
              </w:rPr>
              <w:t>13.1</w:t>
            </w:r>
          </w:p>
        </w:tc>
        <w:tc>
          <w:tcPr>
            <w:tcW w:w="188" w:type="pct"/>
            <w:shd w:val="clear" w:color="auto" w:fill="auto"/>
            <w:tcMar>
              <w:top w:w="0" w:type="dxa"/>
              <w:left w:w="0" w:type="dxa"/>
              <w:bottom w:w="0" w:type="dxa"/>
              <w:right w:w="0" w:type="dxa"/>
            </w:tcMar>
            <w:vAlign w:val="center"/>
          </w:tcPr>
          <w:p w14:paraId="088B8058">
            <w:pPr>
              <w:pStyle w:val="17"/>
              <w:bidi w:val="0"/>
              <w:rPr>
                <w:color w:val="auto"/>
                <w:highlight w:val="none"/>
              </w:rPr>
            </w:pPr>
            <w:r>
              <w:rPr>
                <w:color w:val="auto"/>
                <w:highlight w:val="none"/>
              </w:rPr>
              <w:t>70.6</w:t>
            </w:r>
          </w:p>
        </w:tc>
        <w:tc>
          <w:tcPr>
            <w:tcW w:w="211" w:type="pct"/>
            <w:shd w:val="clear" w:color="auto" w:fill="auto"/>
            <w:tcMar>
              <w:top w:w="0" w:type="dxa"/>
              <w:left w:w="0" w:type="dxa"/>
              <w:bottom w:w="0" w:type="dxa"/>
              <w:right w:w="0" w:type="dxa"/>
            </w:tcMar>
            <w:vAlign w:val="center"/>
          </w:tcPr>
          <w:p w14:paraId="5257E997">
            <w:pPr>
              <w:pStyle w:val="17"/>
              <w:bidi w:val="0"/>
              <w:rPr>
                <w:color w:val="auto"/>
                <w:highlight w:val="none"/>
              </w:rPr>
            </w:pPr>
            <w:r>
              <w:rPr>
                <w:color w:val="auto"/>
                <w:highlight w:val="none"/>
              </w:rPr>
              <w:t>70.6</w:t>
            </w:r>
          </w:p>
        </w:tc>
        <w:tc>
          <w:tcPr>
            <w:tcW w:w="182" w:type="pct"/>
            <w:shd w:val="clear" w:color="auto" w:fill="auto"/>
            <w:tcMar>
              <w:top w:w="0" w:type="dxa"/>
              <w:left w:w="0" w:type="dxa"/>
              <w:bottom w:w="0" w:type="dxa"/>
              <w:right w:w="0" w:type="dxa"/>
            </w:tcMar>
            <w:vAlign w:val="center"/>
          </w:tcPr>
          <w:p w14:paraId="3D7B8AE3">
            <w:pPr>
              <w:pStyle w:val="17"/>
              <w:bidi w:val="0"/>
              <w:rPr>
                <w:color w:val="auto"/>
                <w:highlight w:val="none"/>
              </w:rPr>
            </w:pPr>
            <w:r>
              <w:rPr>
                <w:color w:val="auto"/>
                <w:highlight w:val="none"/>
              </w:rPr>
              <w:t>70.6</w:t>
            </w:r>
          </w:p>
        </w:tc>
        <w:tc>
          <w:tcPr>
            <w:tcW w:w="229" w:type="pct"/>
            <w:shd w:val="clear" w:color="auto" w:fill="auto"/>
            <w:tcMar>
              <w:top w:w="0" w:type="dxa"/>
              <w:left w:w="0" w:type="dxa"/>
              <w:bottom w:w="0" w:type="dxa"/>
              <w:right w:w="0" w:type="dxa"/>
            </w:tcMar>
            <w:vAlign w:val="center"/>
          </w:tcPr>
          <w:p w14:paraId="5D85DCD2">
            <w:pPr>
              <w:pStyle w:val="17"/>
              <w:bidi w:val="0"/>
              <w:rPr>
                <w:color w:val="auto"/>
                <w:highlight w:val="none"/>
              </w:rPr>
            </w:pPr>
            <w:r>
              <w:rPr>
                <w:color w:val="auto"/>
                <w:highlight w:val="none"/>
              </w:rPr>
              <w:t>70.6</w:t>
            </w:r>
          </w:p>
        </w:tc>
        <w:tc>
          <w:tcPr>
            <w:tcW w:w="270" w:type="pct"/>
            <w:shd w:val="clear" w:color="auto" w:fill="auto"/>
            <w:tcMar>
              <w:top w:w="0" w:type="dxa"/>
              <w:left w:w="0" w:type="dxa"/>
              <w:bottom w:w="0" w:type="dxa"/>
              <w:right w:w="0" w:type="dxa"/>
            </w:tcMar>
            <w:vAlign w:val="center"/>
          </w:tcPr>
          <w:p w14:paraId="477805DA">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8F0CDEE">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644DF2E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60.6</w:t>
            </w:r>
          </w:p>
        </w:tc>
        <w:tc>
          <w:tcPr>
            <w:tcW w:w="258" w:type="pct"/>
            <w:shd w:val="clear" w:color="auto" w:fill="auto"/>
            <w:tcMar>
              <w:top w:w="0" w:type="dxa"/>
              <w:left w:w="0" w:type="dxa"/>
              <w:bottom w:w="0" w:type="dxa"/>
              <w:right w:w="0" w:type="dxa"/>
            </w:tcMar>
            <w:vAlign w:val="center"/>
          </w:tcPr>
          <w:p w14:paraId="210534DC">
            <w:pPr>
              <w:pStyle w:val="17"/>
              <w:bidi w:val="0"/>
              <w:ind w:firstLine="0" w:firstLineChars="0"/>
              <w:rPr>
                <w:color w:val="auto"/>
                <w:highlight w:val="none"/>
              </w:rPr>
            </w:pPr>
            <w:r>
              <w:rPr>
                <w:rFonts w:hint="eastAsia"/>
                <w:color w:val="auto"/>
                <w:highlight w:val="none"/>
                <w:lang w:val="en-US" w:eastAsia="zh-CN"/>
              </w:rPr>
              <w:t>1</w:t>
            </w:r>
          </w:p>
        </w:tc>
      </w:tr>
      <w:tr w14:paraId="7DDE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8DDB887">
            <w:pPr>
              <w:pStyle w:val="17"/>
              <w:bidi w:val="0"/>
              <w:rPr>
                <w:color w:val="auto"/>
                <w:highlight w:val="none"/>
              </w:rPr>
            </w:pPr>
            <w:r>
              <w:rPr>
                <w:color w:val="auto"/>
                <w:highlight w:val="none"/>
              </w:rPr>
              <w:t>38</w:t>
            </w:r>
          </w:p>
        </w:tc>
        <w:tc>
          <w:tcPr>
            <w:tcW w:w="234" w:type="pct"/>
            <w:shd w:val="clear" w:color="auto" w:fill="auto"/>
            <w:tcMar>
              <w:top w:w="0" w:type="dxa"/>
              <w:left w:w="0" w:type="dxa"/>
              <w:bottom w:w="0" w:type="dxa"/>
              <w:right w:w="0" w:type="dxa"/>
            </w:tcMar>
            <w:vAlign w:val="center"/>
          </w:tcPr>
          <w:p w14:paraId="5B459858">
            <w:pPr>
              <w:pStyle w:val="17"/>
              <w:bidi w:val="0"/>
              <w:rPr>
                <w:color w:val="auto"/>
                <w:highlight w:val="none"/>
              </w:rPr>
            </w:pPr>
            <w:r>
              <w:rPr>
                <w:color w:val="auto"/>
                <w:highlight w:val="none"/>
              </w:rPr>
              <w:t>硫酸稀释车间</w:t>
            </w:r>
          </w:p>
        </w:tc>
        <w:tc>
          <w:tcPr>
            <w:tcW w:w="478" w:type="pct"/>
            <w:shd w:val="clear" w:color="auto" w:fill="auto"/>
            <w:tcMar>
              <w:top w:w="0" w:type="dxa"/>
              <w:left w:w="0" w:type="dxa"/>
              <w:bottom w:w="0" w:type="dxa"/>
              <w:right w:w="0" w:type="dxa"/>
            </w:tcMar>
            <w:vAlign w:val="center"/>
          </w:tcPr>
          <w:p w14:paraId="5645C3D0">
            <w:pPr>
              <w:pStyle w:val="17"/>
              <w:bidi w:val="0"/>
              <w:rPr>
                <w:color w:val="auto"/>
                <w:highlight w:val="none"/>
              </w:rPr>
            </w:pPr>
            <w:r>
              <w:rPr>
                <w:color w:val="auto"/>
                <w:highlight w:val="none"/>
              </w:rPr>
              <w:t>浓硫酸稀释槽,3台（按点声源组预测）</w:t>
            </w:r>
          </w:p>
        </w:tc>
        <w:tc>
          <w:tcPr>
            <w:tcW w:w="388" w:type="pct"/>
            <w:shd w:val="clear" w:color="auto" w:fill="auto"/>
            <w:tcMar>
              <w:top w:w="0" w:type="dxa"/>
              <w:left w:w="0" w:type="dxa"/>
              <w:bottom w:w="0" w:type="dxa"/>
              <w:right w:w="0" w:type="dxa"/>
            </w:tcMar>
            <w:vAlign w:val="center"/>
          </w:tcPr>
          <w:p w14:paraId="50F59FA5">
            <w:pPr>
              <w:pStyle w:val="17"/>
              <w:bidi w:val="0"/>
              <w:rPr>
                <w:rFonts w:hint="eastAsia" w:eastAsia="宋体"/>
                <w:color w:val="auto"/>
                <w:highlight w:val="none"/>
                <w:lang w:eastAsia="zh-CN"/>
              </w:rPr>
            </w:pPr>
            <w:r>
              <w:rPr>
                <w:color w:val="auto"/>
                <w:highlight w:val="none"/>
              </w:rPr>
              <w:t>65（等效后：69.8</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433240B0">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5680FEBE">
            <w:pPr>
              <w:pStyle w:val="17"/>
              <w:bidi w:val="0"/>
              <w:rPr>
                <w:color w:val="auto"/>
                <w:highlight w:val="none"/>
              </w:rPr>
            </w:pPr>
            <w:r>
              <w:rPr>
                <w:color w:val="auto"/>
                <w:highlight w:val="none"/>
              </w:rPr>
              <w:t>-276.5</w:t>
            </w:r>
          </w:p>
        </w:tc>
        <w:tc>
          <w:tcPr>
            <w:tcW w:w="206" w:type="pct"/>
            <w:shd w:val="clear" w:color="auto" w:fill="auto"/>
            <w:tcMar>
              <w:top w:w="0" w:type="dxa"/>
              <w:left w:w="0" w:type="dxa"/>
              <w:bottom w:w="0" w:type="dxa"/>
              <w:right w:w="0" w:type="dxa"/>
            </w:tcMar>
            <w:vAlign w:val="center"/>
          </w:tcPr>
          <w:p w14:paraId="448BAC59">
            <w:pPr>
              <w:pStyle w:val="17"/>
              <w:bidi w:val="0"/>
              <w:rPr>
                <w:color w:val="auto"/>
                <w:highlight w:val="none"/>
              </w:rPr>
            </w:pPr>
            <w:r>
              <w:rPr>
                <w:color w:val="auto"/>
                <w:highlight w:val="none"/>
              </w:rPr>
              <w:t>-975.6</w:t>
            </w:r>
          </w:p>
        </w:tc>
        <w:tc>
          <w:tcPr>
            <w:tcW w:w="194" w:type="pct"/>
            <w:shd w:val="clear" w:color="auto" w:fill="auto"/>
            <w:tcMar>
              <w:top w:w="0" w:type="dxa"/>
              <w:left w:w="0" w:type="dxa"/>
              <w:bottom w:w="0" w:type="dxa"/>
              <w:right w:w="0" w:type="dxa"/>
            </w:tcMar>
            <w:vAlign w:val="center"/>
          </w:tcPr>
          <w:p w14:paraId="4D90E12E">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482DA535">
            <w:pPr>
              <w:pStyle w:val="17"/>
              <w:bidi w:val="0"/>
              <w:rPr>
                <w:color w:val="auto"/>
                <w:highlight w:val="none"/>
              </w:rPr>
            </w:pPr>
            <w:r>
              <w:rPr>
                <w:color w:val="auto"/>
                <w:highlight w:val="none"/>
              </w:rPr>
              <w:t>20.6</w:t>
            </w:r>
          </w:p>
        </w:tc>
        <w:tc>
          <w:tcPr>
            <w:tcW w:w="205" w:type="pct"/>
            <w:shd w:val="clear" w:color="auto" w:fill="auto"/>
            <w:tcMar>
              <w:top w:w="0" w:type="dxa"/>
              <w:left w:w="0" w:type="dxa"/>
              <w:bottom w:w="0" w:type="dxa"/>
              <w:right w:w="0" w:type="dxa"/>
            </w:tcMar>
            <w:vAlign w:val="center"/>
          </w:tcPr>
          <w:p w14:paraId="777A27A3">
            <w:pPr>
              <w:pStyle w:val="17"/>
              <w:bidi w:val="0"/>
              <w:rPr>
                <w:color w:val="auto"/>
                <w:highlight w:val="none"/>
              </w:rPr>
            </w:pPr>
            <w:r>
              <w:rPr>
                <w:color w:val="auto"/>
                <w:highlight w:val="none"/>
              </w:rPr>
              <w:t>17.7</w:t>
            </w:r>
          </w:p>
        </w:tc>
        <w:tc>
          <w:tcPr>
            <w:tcW w:w="235" w:type="pct"/>
            <w:shd w:val="clear" w:color="auto" w:fill="auto"/>
            <w:tcMar>
              <w:top w:w="0" w:type="dxa"/>
              <w:left w:w="0" w:type="dxa"/>
              <w:bottom w:w="0" w:type="dxa"/>
              <w:right w:w="0" w:type="dxa"/>
            </w:tcMar>
            <w:vAlign w:val="center"/>
          </w:tcPr>
          <w:p w14:paraId="50014E08">
            <w:pPr>
              <w:pStyle w:val="17"/>
              <w:bidi w:val="0"/>
              <w:rPr>
                <w:color w:val="auto"/>
                <w:highlight w:val="none"/>
              </w:rPr>
            </w:pPr>
            <w:r>
              <w:rPr>
                <w:color w:val="auto"/>
                <w:highlight w:val="none"/>
              </w:rPr>
              <w:t>9.3</w:t>
            </w:r>
          </w:p>
        </w:tc>
        <w:tc>
          <w:tcPr>
            <w:tcW w:w="200" w:type="pct"/>
            <w:shd w:val="clear" w:color="auto" w:fill="auto"/>
            <w:tcMar>
              <w:top w:w="0" w:type="dxa"/>
              <w:left w:w="0" w:type="dxa"/>
              <w:bottom w:w="0" w:type="dxa"/>
              <w:right w:w="0" w:type="dxa"/>
            </w:tcMar>
            <w:vAlign w:val="center"/>
          </w:tcPr>
          <w:p w14:paraId="051AE502">
            <w:pPr>
              <w:pStyle w:val="17"/>
              <w:bidi w:val="0"/>
              <w:rPr>
                <w:color w:val="auto"/>
                <w:highlight w:val="none"/>
              </w:rPr>
            </w:pPr>
            <w:r>
              <w:rPr>
                <w:color w:val="auto"/>
                <w:highlight w:val="none"/>
              </w:rPr>
              <w:t>10.3</w:t>
            </w:r>
          </w:p>
        </w:tc>
        <w:tc>
          <w:tcPr>
            <w:tcW w:w="188" w:type="pct"/>
            <w:shd w:val="clear" w:color="auto" w:fill="auto"/>
            <w:tcMar>
              <w:top w:w="0" w:type="dxa"/>
              <w:left w:w="0" w:type="dxa"/>
              <w:bottom w:w="0" w:type="dxa"/>
              <w:right w:w="0" w:type="dxa"/>
            </w:tcMar>
            <w:vAlign w:val="center"/>
          </w:tcPr>
          <w:p w14:paraId="31E68AFD">
            <w:pPr>
              <w:pStyle w:val="17"/>
              <w:bidi w:val="0"/>
              <w:rPr>
                <w:color w:val="auto"/>
                <w:highlight w:val="none"/>
              </w:rPr>
            </w:pPr>
            <w:r>
              <w:rPr>
                <w:color w:val="auto"/>
                <w:highlight w:val="none"/>
              </w:rPr>
              <w:t>56.4</w:t>
            </w:r>
          </w:p>
        </w:tc>
        <w:tc>
          <w:tcPr>
            <w:tcW w:w="211" w:type="pct"/>
            <w:shd w:val="clear" w:color="auto" w:fill="auto"/>
            <w:tcMar>
              <w:top w:w="0" w:type="dxa"/>
              <w:left w:w="0" w:type="dxa"/>
              <w:bottom w:w="0" w:type="dxa"/>
              <w:right w:w="0" w:type="dxa"/>
            </w:tcMar>
            <w:vAlign w:val="center"/>
          </w:tcPr>
          <w:p w14:paraId="6CE260BA">
            <w:pPr>
              <w:pStyle w:val="17"/>
              <w:bidi w:val="0"/>
              <w:rPr>
                <w:color w:val="auto"/>
                <w:highlight w:val="none"/>
              </w:rPr>
            </w:pPr>
            <w:r>
              <w:rPr>
                <w:color w:val="auto"/>
                <w:highlight w:val="none"/>
              </w:rPr>
              <w:t>56.4</w:t>
            </w:r>
          </w:p>
        </w:tc>
        <w:tc>
          <w:tcPr>
            <w:tcW w:w="182" w:type="pct"/>
            <w:shd w:val="clear" w:color="auto" w:fill="auto"/>
            <w:tcMar>
              <w:top w:w="0" w:type="dxa"/>
              <w:left w:w="0" w:type="dxa"/>
              <w:bottom w:w="0" w:type="dxa"/>
              <w:right w:w="0" w:type="dxa"/>
            </w:tcMar>
            <w:vAlign w:val="center"/>
          </w:tcPr>
          <w:p w14:paraId="1EA56C5A">
            <w:pPr>
              <w:pStyle w:val="17"/>
              <w:bidi w:val="0"/>
              <w:rPr>
                <w:color w:val="auto"/>
                <w:highlight w:val="none"/>
              </w:rPr>
            </w:pPr>
            <w:r>
              <w:rPr>
                <w:color w:val="auto"/>
                <w:highlight w:val="none"/>
              </w:rPr>
              <w:t>56.4</w:t>
            </w:r>
          </w:p>
        </w:tc>
        <w:tc>
          <w:tcPr>
            <w:tcW w:w="229" w:type="pct"/>
            <w:shd w:val="clear" w:color="auto" w:fill="auto"/>
            <w:tcMar>
              <w:top w:w="0" w:type="dxa"/>
              <w:left w:w="0" w:type="dxa"/>
              <w:bottom w:w="0" w:type="dxa"/>
              <w:right w:w="0" w:type="dxa"/>
            </w:tcMar>
            <w:vAlign w:val="center"/>
          </w:tcPr>
          <w:p w14:paraId="6B11A646">
            <w:pPr>
              <w:pStyle w:val="17"/>
              <w:bidi w:val="0"/>
              <w:rPr>
                <w:color w:val="auto"/>
                <w:highlight w:val="none"/>
              </w:rPr>
            </w:pPr>
            <w:r>
              <w:rPr>
                <w:color w:val="auto"/>
                <w:highlight w:val="none"/>
              </w:rPr>
              <w:t>56.4</w:t>
            </w:r>
          </w:p>
        </w:tc>
        <w:tc>
          <w:tcPr>
            <w:tcW w:w="270" w:type="pct"/>
            <w:shd w:val="clear" w:color="auto" w:fill="auto"/>
            <w:tcMar>
              <w:top w:w="0" w:type="dxa"/>
              <w:left w:w="0" w:type="dxa"/>
              <w:bottom w:w="0" w:type="dxa"/>
              <w:right w:w="0" w:type="dxa"/>
            </w:tcMar>
            <w:vAlign w:val="center"/>
          </w:tcPr>
          <w:p w14:paraId="7119B612">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50341967">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43613A77">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46.4</w:t>
            </w:r>
          </w:p>
        </w:tc>
        <w:tc>
          <w:tcPr>
            <w:tcW w:w="258" w:type="pct"/>
            <w:shd w:val="clear" w:color="auto" w:fill="auto"/>
            <w:tcMar>
              <w:top w:w="0" w:type="dxa"/>
              <w:left w:w="0" w:type="dxa"/>
              <w:bottom w:w="0" w:type="dxa"/>
              <w:right w:w="0" w:type="dxa"/>
            </w:tcMar>
            <w:vAlign w:val="center"/>
          </w:tcPr>
          <w:p w14:paraId="249E12F1">
            <w:pPr>
              <w:pStyle w:val="17"/>
              <w:bidi w:val="0"/>
              <w:ind w:firstLine="0" w:firstLineChars="0"/>
              <w:rPr>
                <w:color w:val="auto"/>
                <w:highlight w:val="none"/>
              </w:rPr>
            </w:pPr>
            <w:r>
              <w:rPr>
                <w:rFonts w:hint="eastAsia"/>
                <w:color w:val="auto"/>
                <w:highlight w:val="none"/>
                <w:lang w:val="en-US" w:eastAsia="zh-CN"/>
              </w:rPr>
              <w:t>1</w:t>
            </w:r>
          </w:p>
        </w:tc>
      </w:tr>
      <w:tr w14:paraId="26F9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A6D44BB">
            <w:pPr>
              <w:pStyle w:val="17"/>
              <w:bidi w:val="0"/>
              <w:rPr>
                <w:color w:val="auto"/>
                <w:highlight w:val="none"/>
              </w:rPr>
            </w:pPr>
            <w:r>
              <w:rPr>
                <w:color w:val="auto"/>
                <w:highlight w:val="none"/>
              </w:rPr>
              <w:t>39</w:t>
            </w:r>
          </w:p>
        </w:tc>
        <w:tc>
          <w:tcPr>
            <w:tcW w:w="234" w:type="pct"/>
            <w:shd w:val="clear" w:color="auto" w:fill="auto"/>
            <w:tcMar>
              <w:top w:w="0" w:type="dxa"/>
              <w:left w:w="0" w:type="dxa"/>
              <w:bottom w:w="0" w:type="dxa"/>
              <w:right w:w="0" w:type="dxa"/>
            </w:tcMar>
            <w:vAlign w:val="center"/>
          </w:tcPr>
          <w:p w14:paraId="3AC2B289">
            <w:pPr>
              <w:pStyle w:val="17"/>
              <w:bidi w:val="0"/>
              <w:rPr>
                <w:color w:val="auto"/>
                <w:highlight w:val="none"/>
              </w:rPr>
            </w:pPr>
            <w:r>
              <w:rPr>
                <w:color w:val="auto"/>
                <w:highlight w:val="none"/>
              </w:rPr>
              <w:t>硫酸稀释车间</w:t>
            </w:r>
          </w:p>
        </w:tc>
        <w:tc>
          <w:tcPr>
            <w:tcW w:w="478" w:type="pct"/>
            <w:shd w:val="clear" w:color="auto" w:fill="auto"/>
            <w:tcMar>
              <w:top w:w="0" w:type="dxa"/>
              <w:left w:w="0" w:type="dxa"/>
              <w:bottom w:w="0" w:type="dxa"/>
              <w:right w:w="0" w:type="dxa"/>
            </w:tcMar>
            <w:vAlign w:val="center"/>
          </w:tcPr>
          <w:p w14:paraId="0FBC0EFA">
            <w:pPr>
              <w:pStyle w:val="17"/>
              <w:bidi w:val="0"/>
              <w:rPr>
                <w:color w:val="auto"/>
                <w:highlight w:val="none"/>
              </w:rPr>
            </w:pPr>
            <w:r>
              <w:rPr>
                <w:color w:val="auto"/>
                <w:highlight w:val="none"/>
              </w:rPr>
              <w:t>液下泵,2台（按点声源组预测）</w:t>
            </w:r>
          </w:p>
        </w:tc>
        <w:tc>
          <w:tcPr>
            <w:tcW w:w="388" w:type="pct"/>
            <w:shd w:val="clear" w:color="auto" w:fill="auto"/>
            <w:tcMar>
              <w:top w:w="0" w:type="dxa"/>
              <w:left w:w="0" w:type="dxa"/>
              <w:bottom w:w="0" w:type="dxa"/>
              <w:right w:w="0" w:type="dxa"/>
            </w:tcMar>
            <w:vAlign w:val="center"/>
          </w:tcPr>
          <w:p w14:paraId="4D1D553F">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5366F1BF">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2BF4FE17">
            <w:pPr>
              <w:pStyle w:val="17"/>
              <w:bidi w:val="0"/>
              <w:rPr>
                <w:color w:val="auto"/>
                <w:highlight w:val="none"/>
              </w:rPr>
            </w:pPr>
            <w:r>
              <w:rPr>
                <w:color w:val="auto"/>
                <w:highlight w:val="none"/>
              </w:rPr>
              <w:t>-273.2</w:t>
            </w:r>
          </w:p>
        </w:tc>
        <w:tc>
          <w:tcPr>
            <w:tcW w:w="206" w:type="pct"/>
            <w:shd w:val="clear" w:color="auto" w:fill="auto"/>
            <w:tcMar>
              <w:top w:w="0" w:type="dxa"/>
              <w:left w:w="0" w:type="dxa"/>
              <w:bottom w:w="0" w:type="dxa"/>
              <w:right w:w="0" w:type="dxa"/>
            </w:tcMar>
            <w:vAlign w:val="center"/>
          </w:tcPr>
          <w:p w14:paraId="3987AF11">
            <w:pPr>
              <w:pStyle w:val="17"/>
              <w:bidi w:val="0"/>
              <w:rPr>
                <w:color w:val="auto"/>
                <w:highlight w:val="none"/>
              </w:rPr>
            </w:pPr>
            <w:r>
              <w:rPr>
                <w:color w:val="auto"/>
                <w:highlight w:val="none"/>
              </w:rPr>
              <w:t>-985.9</w:t>
            </w:r>
          </w:p>
        </w:tc>
        <w:tc>
          <w:tcPr>
            <w:tcW w:w="194" w:type="pct"/>
            <w:shd w:val="clear" w:color="auto" w:fill="auto"/>
            <w:tcMar>
              <w:top w:w="0" w:type="dxa"/>
              <w:left w:w="0" w:type="dxa"/>
              <w:bottom w:w="0" w:type="dxa"/>
              <w:right w:w="0" w:type="dxa"/>
            </w:tcMar>
            <w:vAlign w:val="center"/>
          </w:tcPr>
          <w:p w14:paraId="79409A71">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2A1462FC">
            <w:pPr>
              <w:pStyle w:val="17"/>
              <w:bidi w:val="0"/>
              <w:rPr>
                <w:color w:val="auto"/>
                <w:highlight w:val="none"/>
              </w:rPr>
            </w:pPr>
            <w:r>
              <w:rPr>
                <w:color w:val="auto"/>
                <w:highlight w:val="none"/>
              </w:rPr>
              <w:t>17.3</w:t>
            </w:r>
          </w:p>
        </w:tc>
        <w:tc>
          <w:tcPr>
            <w:tcW w:w="205" w:type="pct"/>
            <w:shd w:val="clear" w:color="auto" w:fill="auto"/>
            <w:tcMar>
              <w:top w:w="0" w:type="dxa"/>
              <w:left w:w="0" w:type="dxa"/>
              <w:bottom w:w="0" w:type="dxa"/>
              <w:right w:w="0" w:type="dxa"/>
            </w:tcMar>
            <w:vAlign w:val="center"/>
          </w:tcPr>
          <w:p w14:paraId="7B48EDD0">
            <w:pPr>
              <w:pStyle w:val="17"/>
              <w:bidi w:val="0"/>
              <w:rPr>
                <w:color w:val="auto"/>
                <w:highlight w:val="none"/>
              </w:rPr>
            </w:pPr>
            <w:r>
              <w:rPr>
                <w:color w:val="auto"/>
                <w:highlight w:val="none"/>
              </w:rPr>
              <w:t>7.4</w:t>
            </w:r>
          </w:p>
        </w:tc>
        <w:tc>
          <w:tcPr>
            <w:tcW w:w="235" w:type="pct"/>
            <w:shd w:val="clear" w:color="auto" w:fill="auto"/>
            <w:tcMar>
              <w:top w:w="0" w:type="dxa"/>
              <w:left w:w="0" w:type="dxa"/>
              <w:bottom w:w="0" w:type="dxa"/>
              <w:right w:w="0" w:type="dxa"/>
            </w:tcMar>
            <w:vAlign w:val="center"/>
          </w:tcPr>
          <w:p w14:paraId="54B6DA57">
            <w:pPr>
              <w:pStyle w:val="17"/>
              <w:bidi w:val="0"/>
              <w:rPr>
                <w:color w:val="auto"/>
                <w:highlight w:val="none"/>
              </w:rPr>
            </w:pPr>
            <w:r>
              <w:rPr>
                <w:color w:val="auto"/>
                <w:highlight w:val="none"/>
              </w:rPr>
              <w:t>12.6</w:t>
            </w:r>
          </w:p>
        </w:tc>
        <w:tc>
          <w:tcPr>
            <w:tcW w:w="200" w:type="pct"/>
            <w:shd w:val="clear" w:color="auto" w:fill="auto"/>
            <w:tcMar>
              <w:top w:w="0" w:type="dxa"/>
              <w:left w:w="0" w:type="dxa"/>
              <w:bottom w:w="0" w:type="dxa"/>
              <w:right w:w="0" w:type="dxa"/>
            </w:tcMar>
            <w:vAlign w:val="center"/>
          </w:tcPr>
          <w:p w14:paraId="1DAF22D6">
            <w:pPr>
              <w:pStyle w:val="17"/>
              <w:bidi w:val="0"/>
              <w:rPr>
                <w:color w:val="auto"/>
                <w:highlight w:val="none"/>
              </w:rPr>
            </w:pPr>
            <w:r>
              <w:rPr>
                <w:color w:val="auto"/>
                <w:highlight w:val="none"/>
              </w:rPr>
              <w:t>20.6</w:t>
            </w:r>
          </w:p>
        </w:tc>
        <w:tc>
          <w:tcPr>
            <w:tcW w:w="188" w:type="pct"/>
            <w:shd w:val="clear" w:color="auto" w:fill="auto"/>
            <w:tcMar>
              <w:top w:w="0" w:type="dxa"/>
              <w:left w:w="0" w:type="dxa"/>
              <w:bottom w:w="0" w:type="dxa"/>
              <w:right w:w="0" w:type="dxa"/>
            </w:tcMar>
            <w:vAlign w:val="center"/>
          </w:tcPr>
          <w:p w14:paraId="37E2C30D">
            <w:pPr>
              <w:pStyle w:val="17"/>
              <w:bidi w:val="0"/>
              <w:rPr>
                <w:color w:val="auto"/>
                <w:highlight w:val="none"/>
              </w:rPr>
            </w:pPr>
            <w:r>
              <w:rPr>
                <w:color w:val="auto"/>
                <w:highlight w:val="none"/>
              </w:rPr>
              <w:t>64.6</w:t>
            </w:r>
          </w:p>
        </w:tc>
        <w:tc>
          <w:tcPr>
            <w:tcW w:w="211" w:type="pct"/>
            <w:shd w:val="clear" w:color="auto" w:fill="auto"/>
            <w:tcMar>
              <w:top w:w="0" w:type="dxa"/>
              <w:left w:w="0" w:type="dxa"/>
              <w:bottom w:w="0" w:type="dxa"/>
              <w:right w:w="0" w:type="dxa"/>
            </w:tcMar>
            <w:vAlign w:val="center"/>
          </w:tcPr>
          <w:p w14:paraId="2420CC0F">
            <w:pPr>
              <w:pStyle w:val="17"/>
              <w:bidi w:val="0"/>
              <w:rPr>
                <w:color w:val="auto"/>
                <w:highlight w:val="none"/>
              </w:rPr>
            </w:pPr>
            <w:r>
              <w:rPr>
                <w:color w:val="auto"/>
                <w:highlight w:val="none"/>
              </w:rPr>
              <w:t>64.7</w:t>
            </w:r>
          </w:p>
        </w:tc>
        <w:tc>
          <w:tcPr>
            <w:tcW w:w="182" w:type="pct"/>
            <w:shd w:val="clear" w:color="auto" w:fill="auto"/>
            <w:tcMar>
              <w:top w:w="0" w:type="dxa"/>
              <w:left w:w="0" w:type="dxa"/>
              <w:bottom w:w="0" w:type="dxa"/>
              <w:right w:w="0" w:type="dxa"/>
            </w:tcMar>
            <w:vAlign w:val="center"/>
          </w:tcPr>
          <w:p w14:paraId="48229844">
            <w:pPr>
              <w:pStyle w:val="17"/>
              <w:bidi w:val="0"/>
              <w:rPr>
                <w:color w:val="auto"/>
                <w:highlight w:val="none"/>
              </w:rPr>
            </w:pPr>
            <w:r>
              <w:rPr>
                <w:color w:val="auto"/>
                <w:highlight w:val="none"/>
              </w:rPr>
              <w:t>64.6</w:t>
            </w:r>
          </w:p>
        </w:tc>
        <w:tc>
          <w:tcPr>
            <w:tcW w:w="229" w:type="pct"/>
            <w:shd w:val="clear" w:color="auto" w:fill="auto"/>
            <w:tcMar>
              <w:top w:w="0" w:type="dxa"/>
              <w:left w:w="0" w:type="dxa"/>
              <w:bottom w:w="0" w:type="dxa"/>
              <w:right w:w="0" w:type="dxa"/>
            </w:tcMar>
            <w:vAlign w:val="center"/>
          </w:tcPr>
          <w:p w14:paraId="6BEC11ED">
            <w:pPr>
              <w:pStyle w:val="17"/>
              <w:bidi w:val="0"/>
              <w:rPr>
                <w:color w:val="auto"/>
                <w:highlight w:val="none"/>
              </w:rPr>
            </w:pPr>
            <w:r>
              <w:rPr>
                <w:color w:val="auto"/>
                <w:highlight w:val="none"/>
              </w:rPr>
              <w:t>64.6</w:t>
            </w:r>
          </w:p>
        </w:tc>
        <w:tc>
          <w:tcPr>
            <w:tcW w:w="270" w:type="pct"/>
            <w:shd w:val="clear" w:color="auto" w:fill="auto"/>
            <w:tcMar>
              <w:top w:w="0" w:type="dxa"/>
              <w:left w:w="0" w:type="dxa"/>
              <w:bottom w:w="0" w:type="dxa"/>
              <w:right w:w="0" w:type="dxa"/>
            </w:tcMar>
            <w:vAlign w:val="center"/>
          </w:tcPr>
          <w:p w14:paraId="21394229">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74E9FA31">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597894F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54.6</w:t>
            </w:r>
          </w:p>
        </w:tc>
        <w:tc>
          <w:tcPr>
            <w:tcW w:w="258" w:type="pct"/>
            <w:shd w:val="clear" w:color="auto" w:fill="auto"/>
            <w:tcMar>
              <w:top w:w="0" w:type="dxa"/>
              <w:left w:w="0" w:type="dxa"/>
              <w:bottom w:w="0" w:type="dxa"/>
              <w:right w:w="0" w:type="dxa"/>
            </w:tcMar>
            <w:vAlign w:val="center"/>
          </w:tcPr>
          <w:p w14:paraId="1B36343C">
            <w:pPr>
              <w:pStyle w:val="17"/>
              <w:bidi w:val="0"/>
              <w:ind w:firstLine="0" w:firstLineChars="0"/>
              <w:rPr>
                <w:color w:val="auto"/>
                <w:highlight w:val="none"/>
              </w:rPr>
            </w:pPr>
            <w:r>
              <w:rPr>
                <w:rFonts w:hint="eastAsia"/>
                <w:color w:val="auto"/>
                <w:highlight w:val="none"/>
                <w:lang w:val="en-US" w:eastAsia="zh-CN"/>
              </w:rPr>
              <w:t>1</w:t>
            </w:r>
          </w:p>
        </w:tc>
      </w:tr>
      <w:tr w14:paraId="1F50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15405A50">
            <w:pPr>
              <w:pStyle w:val="17"/>
              <w:bidi w:val="0"/>
              <w:rPr>
                <w:color w:val="auto"/>
                <w:highlight w:val="none"/>
              </w:rPr>
            </w:pPr>
            <w:r>
              <w:rPr>
                <w:color w:val="auto"/>
                <w:highlight w:val="none"/>
              </w:rPr>
              <w:t>40</w:t>
            </w:r>
          </w:p>
        </w:tc>
        <w:tc>
          <w:tcPr>
            <w:tcW w:w="234" w:type="pct"/>
            <w:shd w:val="clear" w:color="auto" w:fill="auto"/>
            <w:tcMar>
              <w:top w:w="0" w:type="dxa"/>
              <w:left w:w="0" w:type="dxa"/>
              <w:bottom w:w="0" w:type="dxa"/>
              <w:right w:w="0" w:type="dxa"/>
            </w:tcMar>
            <w:vAlign w:val="center"/>
          </w:tcPr>
          <w:p w14:paraId="32DDC3D0">
            <w:pPr>
              <w:pStyle w:val="17"/>
              <w:bidi w:val="0"/>
              <w:rPr>
                <w:color w:val="auto"/>
                <w:highlight w:val="none"/>
              </w:rPr>
            </w:pPr>
            <w:r>
              <w:rPr>
                <w:color w:val="auto"/>
                <w:highlight w:val="none"/>
              </w:rPr>
              <w:t>尾矿浓缩及输送泵站</w:t>
            </w:r>
          </w:p>
        </w:tc>
        <w:tc>
          <w:tcPr>
            <w:tcW w:w="478" w:type="pct"/>
            <w:shd w:val="clear" w:color="auto" w:fill="auto"/>
            <w:tcMar>
              <w:top w:w="0" w:type="dxa"/>
              <w:left w:w="0" w:type="dxa"/>
              <w:bottom w:w="0" w:type="dxa"/>
              <w:right w:w="0" w:type="dxa"/>
            </w:tcMar>
            <w:vAlign w:val="center"/>
          </w:tcPr>
          <w:p w14:paraId="4676796E">
            <w:pPr>
              <w:pStyle w:val="17"/>
              <w:bidi w:val="0"/>
              <w:rPr>
                <w:color w:val="auto"/>
                <w:highlight w:val="none"/>
              </w:rPr>
            </w:pPr>
            <w:r>
              <w:rPr>
                <w:color w:val="auto"/>
                <w:highlight w:val="none"/>
              </w:rPr>
              <w:t>高效浓密机</w:t>
            </w:r>
          </w:p>
        </w:tc>
        <w:tc>
          <w:tcPr>
            <w:tcW w:w="388" w:type="pct"/>
            <w:shd w:val="clear" w:color="auto" w:fill="auto"/>
            <w:tcMar>
              <w:top w:w="0" w:type="dxa"/>
              <w:left w:w="0" w:type="dxa"/>
              <w:bottom w:w="0" w:type="dxa"/>
              <w:right w:w="0" w:type="dxa"/>
            </w:tcMar>
            <w:vAlign w:val="center"/>
          </w:tcPr>
          <w:p w14:paraId="2B07B1CD">
            <w:pPr>
              <w:pStyle w:val="17"/>
              <w:bidi w:val="0"/>
              <w:rPr>
                <w:color w:val="auto"/>
                <w:highlight w:val="none"/>
              </w:rPr>
            </w:pPr>
            <w:r>
              <w:rPr>
                <w:color w:val="auto"/>
                <w:highlight w:val="none"/>
              </w:rPr>
              <w:t>75</w:t>
            </w:r>
          </w:p>
        </w:tc>
        <w:tc>
          <w:tcPr>
            <w:tcW w:w="329" w:type="pct"/>
            <w:vMerge w:val="continue"/>
            <w:shd w:val="clear" w:color="auto" w:fill="auto"/>
            <w:tcMar>
              <w:top w:w="0" w:type="dxa"/>
              <w:left w:w="0" w:type="dxa"/>
              <w:bottom w:w="0" w:type="dxa"/>
              <w:right w:w="0" w:type="dxa"/>
            </w:tcMar>
            <w:vAlign w:val="center"/>
          </w:tcPr>
          <w:p w14:paraId="1C0165C6">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433C4F38">
            <w:pPr>
              <w:pStyle w:val="17"/>
              <w:bidi w:val="0"/>
              <w:rPr>
                <w:color w:val="auto"/>
                <w:highlight w:val="none"/>
              </w:rPr>
            </w:pPr>
            <w:r>
              <w:rPr>
                <w:color w:val="auto"/>
                <w:highlight w:val="none"/>
              </w:rPr>
              <w:t>83</w:t>
            </w:r>
          </w:p>
        </w:tc>
        <w:tc>
          <w:tcPr>
            <w:tcW w:w="206" w:type="pct"/>
            <w:shd w:val="clear" w:color="auto" w:fill="auto"/>
            <w:tcMar>
              <w:top w:w="0" w:type="dxa"/>
              <w:left w:w="0" w:type="dxa"/>
              <w:bottom w:w="0" w:type="dxa"/>
              <w:right w:w="0" w:type="dxa"/>
            </w:tcMar>
            <w:vAlign w:val="center"/>
          </w:tcPr>
          <w:p w14:paraId="6F3DB70B">
            <w:pPr>
              <w:pStyle w:val="17"/>
              <w:bidi w:val="0"/>
              <w:rPr>
                <w:color w:val="auto"/>
                <w:highlight w:val="none"/>
              </w:rPr>
            </w:pPr>
            <w:r>
              <w:rPr>
                <w:color w:val="auto"/>
                <w:highlight w:val="none"/>
              </w:rPr>
              <w:t>-896.6</w:t>
            </w:r>
          </w:p>
        </w:tc>
        <w:tc>
          <w:tcPr>
            <w:tcW w:w="194" w:type="pct"/>
            <w:shd w:val="clear" w:color="auto" w:fill="auto"/>
            <w:tcMar>
              <w:top w:w="0" w:type="dxa"/>
              <w:left w:w="0" w:type="dxa"/>
              <w:bottom w:w="0" w:type="dxa"/>
              <w:right w:w="0" w:type="dxa"/>
            </w:tcMar>
            <w:vAlign w:val="center"/>
          </w:tcPr>
          <w:p w14:paraId="176B6E69">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1535C5D9">
            <w:pPr>
              <w:pStyle w:val="17"/>
              <w:bidi w:val="0"/>
              <w:rPr>
                <w:color w:val="auto"/>
                <w:highlight w:val="none"/>
              </w:rPr>
            </w:pPr>
            <w:r>
              <w:rPr>
                <w:color w:val="auto"/>
                <w:highlight w:val="none"/>
              </w:rPr>
              <w:t>21.9</w:t>
            </w:r>
          </w:p>
        </w:tc>
        <w:tc>
          <w:tcPr>
            <w:tcW w:w="205" w:type="pct"/>
            <w:shd w:val="clear" w:color="auto" w:fill="auto"/>
            <w:tcMar>
              <w:top w:w="0" w:type="dxa"/>
              <w:left w:w="0" w:type="dxa"/>
              <w:bottom w:w="0" w:type="dxa"/>
              <w:right w:w="0" w:type="dxa"/>
            </w:tcMar>
            <w:vAlign w:val="center"/>
          </w:tcPr>
          <w:p w14:paraId="6C8BE19C">
            <w:pPr>
              <w:pStyle w:val="17"/>
              <w:bidi w:val="0"/>
              <w:rPr>
                <w:color w:val="auto"/>
                <w:highlight w:val="none"/>
              </w:rPr>
            </w:pPr>
            <w:r>
              <w:rPr>
                <w:color w:val="auto"/>
                <w:highlight w:val="none"/>
              </w:rPr>
              <w:t>35.0</w:t>
            </w:r>
          </w:p>
        </w:tc>
        <w:tc>
          <w:tcPr>
            <w:tcW w:w="235" w:type="pct"/>
            <w:shd w:val="clear" w:color="auto" w:fill="auto"/>
            <w:tcMar>
              <w:top w:w="0" w:type="dxa"/>
              <w:left w:w="0" w:type="dxa"/>
              <w:bottom w:w="0" w:type="dxa"/>
              <w:right w:w="0" w:type="dxa"/>
            </w:tcMar>
            <w:vAlign w:val="center"/>
          </w:tcPr>
          <w:p w14:paraId="2EA5E64C">
            <w:pPr>
              <w:pStyle w:val="17"/>
              <w:bidi w:val="0"/>
              <w:rPr>
                <w:color w:val="auto"/>
                <w:highlight w:val="none"/>
              </w:rPr>
            </w:pPr>
            <w:r>
              <w:rPr>
                <w:color w:val="auto"/>
                <w:highlight w:val="none"/>
              </w:rPr>
              <w:t>19.2</w:t>
            </w:r>
          </w:p>
        </w:tc>
        <w:tc>
          <w:tcPr>
            <w:tcW w:w="200" w:type="pct"/>
            <w:shd w:val="clear" w:color="auto" w:fill="auto"/>
            <w:tcMar>
              <w:top w:w="0" w:type="dxa"/>
              <w:left w:w="0" w:type="dxa"/>
              <w:bottom w:w="0" w:type="dxa"/>
              <w:right w:w="0" w:type="dxa"/>
            </w:tcMar>
            <w:vAlign w:val="center"/>
          </w:tcPr>
          <w:p w14:paraId="4E9EE53E">
            <w:pPr>
              <w:pStyle w:val="17"/>
              <w:bidi w:val="0"/>
              <w:rPr>
                <w:color w:val="auto"/>
                <w:highlight w:val="none"/>
              </w:rPr>
            </w:pPr>
            <w:r>
              <w:rPr>
                <w:color w:val="auto"/>
                <w:highlight w:val="none"/>
              </w:rPr>
              <w:t>17.3</w:t>
            </w:r>
          </w:p>
        </w:tc>
        <w:tc>
          <w:tcPr>
            <w:tcW w:w="188" w:type="pct"/>
            <w:shd w:val="clear" w:color="auto" w:fill="auto"/>
            <w:tcMar>
              <w:top w:w="0" w:type="dxa"/>
              <w:left w:w="0" w:type="dxa"/>
              <w:bottom w:w="0" w:type="dxa"/>
              <w:right w:w="0" w:type="dxa"/>
            </w:tcMar>
            <w:vAlign w:val="center"/>
          </w:tcPr>
          <w:p w14:paraId="1A46D45D">
            <w:pPr>
              <w:pStyle w:val="17"/>
              <w:bidi w:val="0"/>
              <w:rPr>
                <w:color w:val="auto"/>
                <w:highlight w:val="none"/>
              </w:rPr>
            </w:pPr>
            <w:r>
              <w:rPr>
                <w:color w:val="auto"/>
                <w:highlight w:val="none"/>
              </w:rPr>
              <w:t>59.5</w:t>
            </w:r>
          </w:p>
        </w:tc>
        <w:tc>
          <w:tcPr>
            <w:tcW w:w="211" w:type="pct"/>
            <w:shd w:val="clear" w:color="auto" w:fill="auto"/>
            <w:tcMar>
              <w:top w:w="0" w:type="dxa"/>
              <w:left w:w="0" w:type="dxa"/>
              <w:bottom w:w="0" w:type="dxa"/>
              <w:right w:w="0" w:type="dxa"/>
            </w:tcMar>
            <w:vAlign w:val="center"/>
          </w:tcPr>
          <w:p w14:paraId="4E3EEB01">
            <w:pPr>
              <w:pStyle w:val="17"/>
              <w:bidi w:val="0"/>
              <w:rPr>
                <w:color w:val="auto"/>
                <w:highlight w:val="none"/>
              </w:rPr>
            </w:pPr>
            <w:r>
              <w:rPr>
                <w:color w:val="auto"/>
                <w:highlight w:val="none"/>
              </w:rPr>
              <w:t>59.5</w:t>
            </w:r>
          </w:p>
        </w:tc>
        <w:tc>
          <w:tcPr>
            <w:tcW w:w="182" w:type="pct"/>
            <w:shd w:val="clear" w:color="auto" w:fill="auto"/>
            <w:tcMar>
              <w:top w:w="0" w:type="dxa"/>
              <w:left w:w="0" w:type="dxa"/>
              <w:bottom w:w="0" w:type="dxa"/>
              <w:right w:w="0" w:type="dxa"/>
            </w:tcMar>
            <w:vAlign w:val="center"/>
          </w:tcPr>
          <w:p w14:paraId="1178E976">
            <w:pPr>
              <w:pStyle w:val="17"/>
              <w:bidi w:val="0"/>
              <w:rPr>
                <w:color w:val="auto"/>
                <w:highlight w:val="none"/>
              </w:rPr>
            </w:pPr>
            <w:r>
              <w:rPr>
                <w:color w:val="auto"/>
                <w:highlight w:val="none"/>
              </w:rPr>
              <w:t>59.5</w:t>
            </w:r>
          </w:p>
        </w:tc>
        <w:tc>
          <w:tcPr>
            <w:tcW w:w="229" w:type="pct"/>
            <w:shd w:val="clear" w:color="auto" w:fill="auto"/>
            <w:tcMar>
              <w:top w:w="0" w:type="dxa"/>
              <w:left w:w="0" w:type="dxa"/>
              <w:bottom w:w="0" w:type="dxa"/>
              <w:right w:w="0" w:type="dxa"/>
            </w:tcMar>
            <w:vAlign w:val="center"/>
          </w:tcPr>
          <w:p w14:paraId="328FB3C9">
            <w:pPr>
              <w:pStyle w:val="17"/>
              <w:bidi w:val="0"/>
              <w:rPr>
                <w:color w:val="auto"/>
                <w:highlight w:val="none"/>
              </w:rPr>
            </w:pPr>
            <w:r>
              <w:rPr>
                <w:color w:val="auto"/>
                <w:highlight w:val="none"/>
              </w:rPr>
              <w:t>59.5</w:t>
            </w:r>
          </w:p>
        </w:tc>
        <w:tc>
          <w:tcPr>
            <w:tcW w:w="270" w:type="pct"/>
            <w:shd w:val="clear" w:color="auto" w:fill="auto"/>
            <w:tcMar>
              <w:top w:w="0" w:type="dxa"/>
              <w:left w:w="0" w:type="dxa"/>
              <w:bottom w:w="0" w:type="dxa"/>
              <w:right w:w="0" w:type="dxa"/>
            </w:tcMar>
            <w:vAlign w:val="center"/>
          </w:tcPr>
          <w:p w14:paraId="2FE8B443">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65B669F0">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5DD6CDB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49.5</w:t>
            </w:r>
          </w:p>
        </w:tc>
        <w:tc>
          <w:tcPr>
            <w:tcW w:w="258" w:type="pct"/>
            <w:shd w:val="clear" w:color="auto" w:fill="auto"/>
            <w:tcMar>
              <w:top w:w="0" w:type="dxa"/>
              <w:left w:w="0" w:type="dxa"/>
              <w:bottom w:w="0" w:type="dxa"/>
              <w:right w:w="0" w:type="dxa"/>
            </w:tcMar>
            <w:vAlign w:val="center"/>
          </w:tcPr>
          <w:p w14:paraId="30A8CCE2">
            <w:pPr>
              <w:pStyle w:val="17"/>
              <w:bidi w:val="0"/>
              <w:ind w:firstLine="0" w:firstLineChars="0"/>
              <w:rPr>
                <w:color w:val="auto"/>
                <w:highlight w:val="none"/>
              </w:rPr>
            </w:pPr>
            <w:r>
              <w:rPr>
                <w:rFonts w:hint="eastAsia"/>
                <w:color w:val="auto"/>
                <w:highlight w:val="none"/>
                <w:lang w:val="en-US" w:eastAsia="zh-CN"/>
              </w:rPr>
              <w:t>1</w:t>
            </w:r>
          </w:p>
        </w:tc>
      </w:tr>
      <w:tr w14:paraId="4A4C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F8AA1C5">
            <w:pPr>
              <w:pStyle w:val="17"/>
              <w:bidi w:val="0"/>
              <w:rPr>
                <w:color w:val="auto"/>
                <w:highlight w:val="none"/>
              </w:rPr>
            </w:pPr>
            <w:r>
              <w:rPr>
                <w:color w:val="auto"/>
                <w:highlight w:val="none"/>
              </w:rPr>
              <w:t>41</w:t>
            </w:r>
          </w:p>
        </w:tc>
        <w:tc>
          <w:tcPr>
            <w:tcW w:w="234" w:type="pct"/>
            <w:shd w:val="clear" w:color="auto" w:fill="auto"/>
            <w:tcMar>
              <w:top w:w="0" w:type="dxa"/>
              <w:left w:w="0" w:type="dxa"/>
              <w:bottom w:w="0" w:type="dxa"/>
              <w:right w:w="0" w:type="dxa"/>
            </w:tcMar>
            <w:vAlign w:val="center"/>
          </w:tcPr>
          <w:p w14:paraId="634A009E">
            <w:pPr>
              <w:pStyle w:val="17"/>
              <w:bidi w:val="0"/>
              <w:rPr>
                <w:color w:val="auto"/>
                <w:highlight w:val="none"/>
              </w:rPr>
            </w:pPr>
            <w:r>
              <w:rPr>
                <w:color w:val="auto"/>
                <w:highlight w:val="none"/>
              </w:rPr>
              <w:t>尾矿浓缩及输送泵站</w:t>
            </w:r>
          </w:p>
        </w:tc>
        <w:tc>
          <w:tcPr>
            <w:tcW w:w="478" w:type="pct"/>
            <w:shd w:val="clear" w:color="auto" w:fill="auto"/>
            <w:tcMar>
              <w:top w:w="0" w:type="dxa"/>
              <w:left w:w="0" w:type="dxa"/>
              <w:bottom w:w="0" w:type="dxa"/>
              <w:right w:w="0" w:type="dxa"/>
            </w:tcMar>
            <w:vAlign w:val="center"/>
          </w:tcPr>
          <w:p w14:paraId="748B1CAA">
            <w:pPr>
              <w:pStyle w:val="17"/>
              <w:bidi w:val="0"/>
              <w:rPr>
                <w:color w:val="auto"/>
                <w:highlight w:val="none"/>
              </w:rPr>
            </w:pPr>
            <w:r>
              <w:rPr>
                <w:color w:val="auto"/>
                <w:highlight w:val="none"/>
              </w:rPr>
              <w:t>渣浆泵,4台（按点声源组预测）</w:t>
            </w:r>
          </w:p>
        </w:tc>
        <w:tc>
          <w:tcPr>
            <w:tcW w:w="388" w:type="pct"/>
            <w:shd w:val="clear" w:color="auto" w:fill="auto"/>
            <w:tcMar>
              <w:top w:w="0" w:type="dxa"/>
              <w:left w:w="0" w:type="dxa"/>
              <w:bottom w:w="0" w:type="dxa"/>
              <w:right w:w="0" w:type="dxa"/>
            </w:tcMar>
            <w:vAlign w:val="center"/>
          </w:tcPr>
          <w:p w14:paraId="3880AE10">
            <w:pPr>
              <w:pStyle w:val="17"/>
              <w:bidi w:val="0"/>
              <w:rPr>
                <w:rFonts w:hint="eastAsia" w:eastAsia="宋体"/>
                <w:color w:val="auto"/>
                <w:highlight w:val="none"/>
                <w:lang w:eastAsia="zh-CN"/>
              </w:rPr>
            </w:pPr>
            <w:r>
              <w:rPr>
                <w:color w:val="auto"/>
                <w:highlight w:val="none"/>
              </w:rPr>
              <w:t>75（等效后：81.0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67BB8828">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44493C77">
            <w:pPr>
              <w:pStyle w:val="17"/>
              <w:bidi w:val="0"/>
              <w:rPr>
                <w:color w:val="auto"/>
                <w:highlight w:val="none"/>
              </w:rPr>
            </w:pPr>
            <w:r>
              <w:rPr>
                <w:color w:val="auto"/>
                <w:highlight w:val="none"/>
              </w:rPr>
              <w:t>79.2</w:t>
            </w:r>
          </w:p>
        </w:tc>
        <w:tc>
          <w:tcPr>
            <w:tcW w:w="206" w:type="pct"/>
            <w:shd w:val="clear" w:color="auto" w:fill="auto"/>
            <w:tcMar>
              <w:top w:w="0" w:type="dxa"/>
              <w:left w:w="0" w:type="dxa"/>
              <w:bottom w:w="0" w:type="dxa"/>
              <w:right w:w="0" w:type="dxa"/>
            </w:tcMar>
            <w:vAlign w:val="center"/>
          </w:tcPr>
          <w:p w14:paraId="7A6A1DB3">
            <w:pPr>
              <w:pStyle w:val="17"/>
              <w:bidi w:val="0"/>
              <w:rPr>
                <w:color w:val="auto"/>
                <w:highlight w:val="none"/>
              </w:rPr>
            </w:pPr>
            <w:r>
              <w:rPr>
                <w:color w:val="auto"/>
                <w:highlight w:val="none"/>
              </w:rPr>
              <w:t>-905.5</w:t>
            </w:r>
          </w:p>
        </w:tc>
        <w:tc>
          <w:tcPr>
            <w:tcW w:w="194" w:type="pct"/>
            <w:shd w:val="clear" w:color="auto" w:fill="auto"/>
            <w:tcMar>
              <w:top w:w="0" w:type="dxa"/>
              <w:left w:w="0" w:type="dxa"/>
              <w:bottom w:w="0" w:type="dxa"/>
              <w:right w:w="0" w:type="dxa"/>
            </w:tcMar>
            <w:vAlign w:val="center"/>
          </w:tcPr>
          <w:p w14:paraId="49EFBB6D">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74E990E0">
            <w:pPr>
              <w:pStyle w:val="17"/>
              <w:bidi w:val="0"/>
              <w:rPr>
                <w:color w:val="auto"/>
                <w:highlight w:val="none"/>
              </w:rPr>
            </w:pPr>
            <w:r>
              <w:rPr>
                <w:color w:val="auto"/>
                <w:highlight w:val="none"/>
              </w:rPr>
              <w:t>25.7</w:t>
            </w:r>
          </w:p>
        </w:tc>
        <w:tc>
          <w:tcPr>
            <w:tcW w:w="205" w:type="pct"/>
            <w:shd w:val="clear" w:color="auto" w:fill="auto"/>
            <w:tcMar>
              <w:top w:w="0" w:type="dxa"/>
              <w:left w:w="0" w:type="dxa"/>
              <w:bottom w:w="0" w:type="dxa"/>
              <w:right w:w="0" w:type="dxa"/>
            </w:tcMar>
            <w:vAlign w:val="center"/>
          </w:tcPr>
          <w:p w14:paraId="12D2EB23">
            <w:pPr>
              <w:pStyle w:val="17"/>
              <w:bidi w:val="0"/>
              <w:rPr>
                <w:color w:val="auto"/>
                <w:highlight w:val="none"/>
              </w:rPr>
            </w:pPr>
            <w:r>
              <w:rPr>
                <w:color w:val="auto"/>
                <w:highlight w:val="none"/>
              </w:rPr>
              <w:t>26.1</w:t>
            </w:r>
          </w:p>
        </w:tc>
        <w:tc>
          <w:tcPr>
            <w:tcW w:w="235" w:type="pct"/>
            <w:shd w:val="clear" w:color="auto" w:fill="auto"/>
            <w:tcMar>
              <w:top w:w="0" w:type="dxa"/>
              <w:left w:w="0" w:type="dxa"/>
              <w:bottom w:w="0" w:type="dxa"/>
              <w:right w:w="0" w:type="dxa"/>
            </w:tcMar>
            <w:vAlign w:val="center"/>
          </w:tcPr>
          <w:p w14:paraId="75DF1166">
            <w:pPr>
              <w:pStyle w:val="17"/>
              <w:bidi w:val="0"/>
              <w:rPr>
                <w:color w:val="auto"/>
                <w:highlight w:val="none"/>
              </w:rPr>
            </w:pPr>
            <w:r>
              <w:rPr>
                <w:color w:val="auto"/>
                <w:highlight w:val="none"/>
              </w:rPr>
              <w:t>15.4</w:t>
            </w:r>
          </w:p>
        </w:tc>
        <w:tc>
          <w:tcPr>
            <w:tcW w:w="200" w:type="pct"/>
            <w:shd w:val="clear" w:color="auto" w:fill="auto"/>
            <w:tcMar>
              <w:top w:w="0" w:type="dxa"/>
              <w:left w:w="0" w:type="dxa"/>
              <w:bottom w:w="0" w:type="dxa"/>
              <w:right w:w="0" w:type="dxa"/>
            </w:tcMar>
            <w:vAlign w:val="center"/>
          </w:tcPr>
          <w:p w14:paraId="0A61B210">
            <w:pPr>
              <w:pStyle w:val="17"/>
              <w:bidi w:val="0"/>
              <w:rPr>
                <w:color w:val="auto"/>
                <w:highlight w:val="none"/>
              </w:rPr>
            </w:pPr>
            <w:r>
              <w:rPr>
                <w:color w:val="auto"/>
                <w:highlight w:val="none"/>
              </w:rPr>
              <w:t>26.2</w:t>
            </w:r>
          </w:p>
        </w:tc>
        <w:tc>
          <w:tcPr>
            <w:tcW w:w="188" w:type="pct"/>
            <w:shd w:val="clear" w:color="auto" w:fill="auto"/>
            <w:tcMar>
              <w:top w:w="0" w:type="dxa"/>
              <w:left w:w="0" w:type="dxa"/>
              <w:bottom w:w="0" w:type="dxa"/>
              <w:right w:w="0" w:type="dxa"/>
            </w:tcMar>
            <w:vAlign w:val="center"/>
          </w:tcPr>
          <w:p w14:paraId="06C1D8AC">
            <w:pPr>
              <w:pStyle w:val="17"/>
              <w:bidi w:val="0"/>
              <w:rPr>
                <w:color w:val="auto"/>
                <w:highlight w:val="none"/>
              </w:rPr>
            </w:pPr>
            <w:r>
              <w:rPr>
                <w:color w:val="auto"/>
                <w:highlight w:val="none"/>
              </w:rPr>
              <w:t>65.5</w:t>
            </w:r>
          </w:p>
        </w:tc>
        <w:tc>
          <w:tcPr>
            <w:tcW w:w="211" w:type="pct"/>
            <w:shd w:val="clear" w:color="auto" w:fill="auto"/>
            <w:tcMar>
              <w:top w:w="0" w:type="dxa"/>
              <w:left w:w="0" w:type="dxa"/>
              <w:bottom w:w="0" w:type="dxa"/>
              <w:right w:w="0" w:type="dxa"/>
            </w:tcMar>
            <w:vAlign w:val="center"/>
          </w:tcPr>
          <w:p w14:paraId="37755AAA">
            <w:pPr>
              <w:pStyle w:val="17"/>
              <w:bidi w:val="0"/>
              <w:rPr>
                <w:color w:val="auto"/>
                <w:highlight w:val="none"/>
              </w:rPr>
            </w:pPr>
            <w:r>
              <w:rPr>
                <w:color w:val="auto"/>
                <w:highlight w:val="none"/>
              </w:rPr>
              <w:t>65.5</w:t>
            </w:r>
          </w:p>
        </w:tc>
        <w:tc>
          <w:tcPr>
            <w:tcW w:w="182" w:type="pct"/>
            <w:shd w:val="clear" w:color="auto" w:fill="auto"/>
            <w:tcMar>
              <w:top w:w="0" w:type="dxa"/>
              <w:left w:w="0" w:type="dxa"/>
              <w:bottom w:w="0" w:type="dxa"/>
              <w:right w:w="0" w:type="dxa"/>
            </w:tcMar>
            <w:vAlign w:val="center"/>
          </w:tcPr>
          <w:p w14:paraId="7DF69F42">
            <w:pPr>
              <w:pStyle w:val="17"/>
              <w:bidi w:val="0"/>
              <w:rPr>
                <w:color w:val="auto"/>
                <w:highlight w:val="none"/>
              </w:rPr>
            </w:pPr>
            <w:r>
              <w:rPr>
                <w:color w:val="auto"/>
                <w:highlight w:val="none"/>
              </w:rPr>
              <w:t>65.5</w:t>
            </w:r>
          </w:p>
        </w:tc>
        <w:tc>
          <w:tcPr>
            <w:tcW w:w="229" w:type="pct"/>
            <w:shd w:val="clear" w:color="auto" w:fill="auto"/>
            <w:tcMar>
              <w:top w:w="0" w:type="dxa"/>
              <w:left w:w="0" w:type="dxa"/>
              <w:bottom w:w="0" w:type="dxa"/>
              <w:right w:w="0" w:type="dxa"/>
            </w:tcMar>
            <w:vAlign w:val="center"/>
          </w:tcPr>
          <w:p w14:paraId="3EFB35CF">
            <w:pPr>
              <w:pStyle w:val="17"/>
              <w:bidi w:val="0"/>
              <w:rPr>
                <w:color w:val="auto"/>
                <w:highlight w:val="none"/>
              </w:rPr>
            </w:pPr>
            <w:r>
              <w:rPr>
                <w:color w:val="auto"/>
                <w:highlight w:val="none"/>
              </w:rPr>
              <w:t>65.5</w:t>
            </w:r>
          </w:p>
        </w:tc>
        <w:tc>
          <w:tcPr>
            <w:tcW w:w="270" w:type="pct"/>
            <w:shd w:val="clear" w:color="auto" w:fill="auto"/>
            <w:tcMar>
              <w:top w:w="0" w:type="dxa"/>
              <w:left w:w="0" w:type="dxa"/>
              <w:bottom w:w="0" w:type="dxa"/>
              <w:right w:w="0" w:type="dxa"/>
            </w:tcMar>
            <w:vAlign w:val="center"/>
          </w:tcPr>
          <w:p w14:paraId="643F901B">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273CAE3D">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3991F6D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55.5</w:t>
            </w:r>
          </w:p>
        </w:tc>
        <w:tc>
          <w:tcPr>
            <w:tcW w:w="258" w:type="pct"/>
            <w:shd w:val="clear" w:color="auto" w:fill="auto"/>
            <w:tcMar>
              <w:top w:w="0" w:type="dxa"/>
              <w:left w:w="0" w:type="dxa"/>
              <w:bottom w:w="0" w:type="dxa"/>
              <w:right w:w="0" w:type="dxa"/>
            </w:tcMar>
            <w:vAlign w:val="center"/>
          </w:tcPr>
          <w:p w14:paraId="56E22C02">
            <w:pPr>
              <w:pStyle w:val="17"/>
              <w:bidi w:val="0"/>
              <w:ind w:firstLine="0" w:firstLineChars="0"/>
              <w:rPr>
                <w:color w:val="auto"/>
                <w:highlight w:val="none"/>
              </w:rPr>
            </w:pPr>
            <w:r>
              <w:rPr>
                <w:rFonts w:hint="eastAsia"/>
                <w:color w:val="auto"/>
                <w:highlight w:val="none"/>
                <w:lang w:val="en-US" w:eastAsia="zh-CN"/>
              </w:rPr>
              <w:t>1</w:t>
            </w:r>
          </w:p>
        </w:tc>
      </w:tr>
      <w:tr w14:paraId="573B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797A278">
            <w:pPr>
              <w:pStyle w:val="17"/>
              <w:bidi w:val="0"/>
              <w:rPr>
                <w:color w:val="auto"/>
                <w:highlight w:val="none"/>
              </w:rPr>
            </w:pPr>
            <w:r>
              <w:rPr>
                <w:color w:val="auto"/>
                <w:highlight w:val="none"/>
              </w:rPr>
              <w:t>42</w:t>
            </w:r>
          </w:p>
        </w:tc>
        <w:tc>
          <w:tcPr>
            <w:tcW w:w="234" w:type="pct"/>
            <w:shd w:val="clear" w:color="auto" w:fill="auto"/>
            <w:tcMar>
              <w:top w:w="0" w:type="dxa"/>
              <w:left w:w="0" w:type="dxa"/>
              <w:bottom w:w="0" w:type="dxa"/>
              <w:right w:w="0" w:type="dxa"/>
            </w:tcMar>
            <w:vAlign w:val="center"/>
          </w:tcPr>
          <w:p w14:paraId="5474EE05">
            <w:pPr>
              <w:pStyle w:val="17"/>
              <w:bidi w:val="0"/>
              <w:rPr>
                <w:color w:val="auto"/>
                <w:highlight w:val="none"/>
              </w:rPr>
            </w:pPr>
            <w:r>
              <w:rPr>
                <w:color w:val="auto"/>
                <w:highlight w:val="none"/>
              </w:rPr>
              <w:t>尾矿浓缩及输送泵站</w:t>
            </w:r>
          </w:p>
        </w:tc>
        <w:tc>
          <w:tcPr>
            <w:tcW w:w="478" w:type="pct"/>
            <w:shd w:val="clear" w:color="auto" w:fill="auto"/>
            <w:tcMar>
              <w:top w:w="0" w:type="dxa"/>
              <w:left w:w="0" w:type="dxa"/>
              <w:bottom w:w="0" w:type="dxa"/>
              <w:right w:w="0" w:type="dxa"/>
            </w:tcMar>
            <w:vAlign w:val="center"/>
          </w:tcPr>
          <w:p w14:paraId="5DB2D6F0">
            <w:pPr>
              <w:pStyle w:val="17"/>
              <w:bidi w:val="0"/>
              <w:rPr>
                <w:color w:val="auto"/>
                <w:highlight w:val="none"/>
              </w:rPr>
            </w:pPr>
            <w:r>
              <w:rPr>
                <w:color w:val="auto"/>
                <w:highlight w:val="none"/>
              </w:rPr>
              <w:t>水封水泵,2台（按点声源组预测）</w:t>
            </w:r>
          </w:p>
        </w:tc>
        <w:tc>
          <w:tcPr>
            <w:tcW w:w="388" w:type="pct"/>
            <w:shd w:val="clear" w:color="auto" w:fill="auto"/>
            <w:tcMar>
              <w:top w:w="0" w:type="dxa"/>
              <w:left w:w="0" w:type="dxa"/>
              <w:bottom w:w="0" w:type="dxa"/>
              <w:right w:w="0" w:type="dxa"/>
            </w:tcMar>
            <w:vAlign w:val="center"/>
          </w:tcPr>
          <w:p w14:paraId="0A91C3F6">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664445D6">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115061D3">
            <w:pPr>
              <w:pStyle w:val="17"/>
              <w:bidi w:val="0"/>
              <w:rPr>
                <w:color w:val="auto"/>
                <w:highlight w:val="none"/>
              </w:rPr>
            </w:pPr>
            <w:r>
              <w:rPr>
                <w:color w:val="auto"/>
                <w:highlight w:val="none"/>
              </w:rPr>
              <w:t>94.2</w:t>
            </w:r>
          </w:p>
        </w:tc>
        <w:tc>
          <w:tcPr>
            <w:tcW w:w="206" w:type="pct"/>
            <w:shd w:val="clear" w:color="auto" w:fill="auto"/>
            <w:tcMar>
              <w:top w:w="0" w:type="dxa"/>
              <w:left w:w="0" w:type="dxa"/>
              <w:bottom w:w="0" w:type="dxa"/>
              <w:right w:w="0" w:type="dxa"/>
            </w:tcMar>
            <w:vAlign w:val="center"/>
          </w:tcPr>
          <w:p w14:paraId="1EF1D91F">
            <w:pPr>
              <w:pStyle w:val="17"/>
              <w:bidi w:val="0"/>
              <w:rPr>
                <w:color w:val="auto"/>
                <w:highlight w:val="none"/>
              </w:rPr>
            </w:pPr>
            <w:r>
              <w:rPr>
                <w:color w:val="auto"/>
                <w:highlight w:val="none"/>
              </w:rPr>
              <w:t>-905.9</w:t>
            </w:r>
          </w:p>
        </w:tc>
        <w:tc>
          <w:tcPr>
            <w:tcW w:w="194" w:type="pct"/>
            <w:shd w:val="clear" w:color="auto" w:fill="auto"/>
            <w:tcMar>
              <w:top w:w="0" w:type="dxa"/>
              <w:left w:w="0" w:type="dxa"/>
              <w:bottom w:w="0" w:type="dxa"/>
              <w:right w:w="0" w:type="dxa"/>
            </w:tcMar>
            <w:vAlign w:val="center"/>
          </w:tcPr>
          <w:p w14:paraId="7538BFCB">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7B10F4E7">
            <w:pPr>
              <w:pStyle w:val="17"/>
              <w:bidi w:val="0"/>
              <w:rPr>
                <w:color w:val="auto"/>
                <w:highlight w:val="none"/>
              </w:rPr>
            </w:pPr>
            <w:r>
              <w:rPr>
                <w:color w:val="auto"/>
                <w:highlight w:val="none"/>
              </w:rPr>
              <w:t>10.7</w:t>
            </w:r>
          </w:p>
        </w:tc>
        <w:tc>
          <w:tcPr>
            <w:tcW w:w="205" w:type="pct"/>
            <w:shd w:val="clear" w:color="auto" w:fill="auto"/>
            <w:tcMar>
              <w:top w:w="0" w:type="dxa"/>
              <w:left w:w="0" w:type="dxa"/>
              <w:bottom w:w="0" w:type="dxa"/>
              <w:right w:w="0" w:type="dxa"/>
            </w:tcMar>
            <w:vAlign w:val="center"/>
          </w:tcPr>
          <w:p w14:paraId="36ADBC07">
            <w:pPr>
              <w:pStyle w:val="17"/>
              <w:bidi w:val="0"/>
              <w:rPr>
                <w:color w:val="auto"/>
                <w:highlight w:val="none"/>
              </w:rPr>
            </w:pPr>
            <w:r>
              <w:rPr>
                <w:color w:val="auto"/>
                <w:highlight w:val="none"/>
              </w:rPr>
              <w:t>25.7</w:t>
            </w:r>
          </w:p>
        </w:tc>
        <w:tc>
          <w:tcPr>
            <w:tcW w:w="235" w:type="pct"/>
            <w:shd w:val="clear" w:color="auto" w:fill="auto"/>
            <w:tcMar>
              <w:top w:w="0" w:type="dxa"/>
              <w:left w:w="0" w:type="dxa"/>
              <w:bottom w:w="0" w:type="dxa"/>
              <w:right w:w="0" w:type="dxa"/>
            </w:tcMar>
            <w:vAlign w:val="center"/>
          </w:tcPr>
          <w:p w14:paraId="4FFF017E">
            <w:pPr>
              <w:pStyle w:val="17"/>
              <w:bidi w:val="0"/>
              <w:rPr>
                <w:color w:val="auto"/>
                <w:highlight w:val="none"/>
              </w:rPr>
            </w:pPr>
            <w:r>
              <w:rPr>
                <w:color w:val="auto"/>
                <w:highlight w:val="none"/>
              </w:rPr>
              <w:t>30.4</w:t>
            </w:r>
          </w:p>
        </w:tc>
        <w:tc>
          <w:tcPr>
            <w:tcW w:w="200" w:type="pct"/>
            <w:shd w:val="clear" w:color="auto" w:fill="auto"/>
            <w:tcMar>
              <w:top w:w="0" w:type="dxa"/>
              <w:left w:w="0" w:type="dxa"/>
              <w:bottom w:w="0" w:type="dxa"/>
              <w:right w:w="0" w:type="dxa"/>
            </w:tcMar>
            <w:vAlign w:val="center"/>
          </w:tcPr>
          <w:p w14:paraId="47B44063">
            <w:pPr>
              <w:pStyle w:val="17"/>
              <w:bidi w:val="0"/>
              <w:rPr>
                <w:color w:val="auto"/>
                <w:highlight w:val="none"/>
              </w:rPr>
            </w:pPr>
            <w:r>
              <w:rPr>
                <w:color w:val="auto"/>
                <w:highlight w:val="none"/>
              </w:rPr>
              <w:t>26.6</w:t>
            </w:r>
          </w:p>
        </w:tc>
        <w:tc>
          <w:tcPr>
            <w:tcW w:w="188" w:type="pct"/>
            <w:shd w:val="clear" w:color="auto" w:fill="auto"/>
            <w:tcMar>
              <w:top w:w="0" w:type="dxa"/>
              <w:left w:w="0" w:type="dxa"/>
              <w:bottom w:w="0" w:type="dxa"/>
              <w:right w:w="0" w:type="dxa"/>
            </w:tcMar>
            <w:vAlign w:val="center"/>
          </w:tcPr>
          <w:p w14:paraId="0280ED29">
            <w:pPr>
              <w:pStyle w:val="17"/>
              <w:bidi w:val="0"/>
              <w:rPr>
                <w:color w:val="auto"/>
                <w:highlight w:val="none"/>
              </w:rPr>
            </w:pPr>
            <w:r>
              <w:rPr>
                <w:color w:val="auto"/>
                <w:highlight w:val="none"/>
              </w:rPr>
              <w:t>62.6</w:t>
            </w:r>
          </w:p>
        </w:tc>
        <w:tc>
          <w:tcPr>
            <w:tcW w:w="211" w:type="pct"/>
            <w:shd w:val="clear" w:color="auto" w:fill="auto"/>
            <w:tcMar>
              <w:top w:w="0" w:type="dxa"/>
              <w:left w:w="0" w:type="dxa"/>
              <w:bottom w:w="0" w:type="dxa"/>
              <w:right w:w="0" w:type="dxa"/>
            </w:tcMar>
            <w:vAlign w:val="center"/>
          </w:tcPr>
          <w:p w14:paraId="2944E95D">
            <w:pPr>
              <w:pStyle w:val="17"/>
              <w:bidi w:val="0"/>
              <w:rPr>
                <w:color w:val="auto"/>
                <w:highlight w:val="none"/>
              </w:rPr>
            </w:pPr>
            <w:r>
              <w:rPr>
                <w:color w:val="auto"/>
                <w:highlight w:val="none"/>
              </w:rPr>
              <w:t>62.5</w:t>
            </w:r>
          </w:p>
        </w:tc>
        <w:tc>
          <w:tcPr>
            <w:tcW w:w="182" w:type="pct"/>
            <w:shd w:val="clear" w:color="auto" w:fill="auto"/>
            <w:tcMar>
              <w:top w:w="0" w:type="dxa"/>
              <w:left w:w="0" w:type="dxa"/>
              <w:bottom w:w="0" w:type="dxa"/>
              <w:right w:w="0" w:type="dxa"/>
            </w:tcMar>
            <w:vAlign w:val="center"/>
          </w:tcPr>
          <w:p w14:paraId="7315265A">
            <w:pPr>
              <w:pStyle w:val="17"/>
              <w:bidi w:val="0"/>
              <w:rPr>
                <w:color w:val="auto"/>
                <w:highlight w:val="none"/>
              </w:rPr>
            </w:pPr>
            <w:r>
              <w:rPr>
                <w:color w:val="auto"/>
                <w:highlight w:val="none"/>
              </w:rPr>
              <w:t>62.5</w:t>
            </w:r>
          </w:p>
        </w:tc>
        <w:tc>
          <w:tcPr>
            <w:tcW w:w="229" w:type="pct"/>
            <w:shd w:val="clear" w:color="auto" w:fill="auto"/>
            <w:tcMar>
              <w:top w:w="0" w:type="dxa"/>
              <w:left w:w="0" w:type="dxa"/>
              <w:bottom w:w="0" w:type="dxa"/>
              <w:right w:w="0" w:type="dxa"/>
            </w:tcMar>
            <w:vAlign w:val="center"/>
          </w:tcPr>
          <w:p w14:paraId="266B95AA">
            <w:pPr>
              <w:pStyle w:val="17"/>
              <w:bidi w:val="0"/>
              <w:rPr>
                <w:color w:val="auto"/>
                <w:highlight w:val="none"/>
              </w:rPr>
            </w:pPr>
            <w:r>
              <w:rPr>
                <w:color w:val="auto"/>
                <w:highlight w:val="none"/>
              </w:rPr>
              <w:t>62.5</w:t>
            </w:r>
          </w:p>
        </w:tc>
        <w:tc>
          <w:tcPr>
            <w:tcW w:w="270" w:type="pct"/>
            <w:shd w:val="clear" w:color="auto" w:fill="auto"/>
            <w:tcMar>
              <w:top w:w="0" w:type="dxa"/>
              <w:left w:w="0" w:type="dxa"/>
              <w:bottom w:w="0" w:type="dxa"/>
              <w:right w:w="0" w:type="dxa"/>
            </w:tcMar>
            <w:vAlign w:val="center"/>
          </w:tcPr>
          <w:p w14:paraId="5C0A3B14">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16BC6DBC">
            <w:pPr>
              <w:pStyle w:val="17"/>
              <w:bidi w:val="0"/>
              <w:ind w:firstLine="0" w:firstLineChars="0"/>
              <w:rPr>
                <w:color w:val="auto"/>
                <w:highlight w:val="none"/>
              </w:rPr>
            </w:pPr>
            <w:r>
              <w:rPr>
                <w:rFonts w:hint="eastAsia"/>
                <w:color w:val="auto"/>
                <w:highlight w:val="none"/>
                <w:lang w:val="en-US" w:eastAsia="zh-CN"/>
              </w:rPr>
              <w:t>10.0</w:t>
            </w:r>
          </w:p>
        </w:tc>
        <w:tc>
          <w:tcPr>
            <w:tcW w:w="288" w:type="pct"/>
            <w:shd w:val="clear" w:color="auto" w:fill="auto"/>
            <w:tcMar>
              <w:top w:w="0" w:type="dxa"/>
              <w:left w:w="0" w:type="dxa"/>
              <w:bottom w:w="0" w:type="dxa"/>
              <w:right w:w="0" w:type="dxa"/>
            </w:tcMar>
            <w:vAlign w:val="center"/>
          </w:tcPr>
          <w:p w14:paraId="317A75F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52.6</w:t>
            </w:r>
          </w:p>
        </w:tc>
        <w:tc>
          <w:tcPr>
            <w:tcW w:w="258" w:type="pct"/>
            <w:shd w:val="clear" w:color="auto" w:fill="auto"/>
            <w:tcMar>
              <w:top w:w="0" w:type="dxa"/>
              <w:left w:w="0" w:type="dxa"/>
              <w:bottom w:w="0" w:type="dxa"/>
              <w:right w:w="0" w:type="dxa"/>
            </w:tcMar>
            <w:vAlign w:val="center"/>
          </w:tcPr>
          <w:p w14:paraId="55D2930A">
            <w:pPr>
              <w:pStyle w:val="17"/>
              <w:bidi w:val="0"/>
              <w:ind w:firstLine="0" w:firstLineChars="0"/>
              <w:rPr>
                <w:color w:val="auto"/>
                <w:highlight w:val="none"/>
              </w:rPr>
            </w:pPr>
            <w:r>
              <w:rPr>
                <w:rFonts w:hint="eastAsia"/>
                <w:color w:val="auto"/>
                <w:highlight w:val="none"/>
                <w:lang w:val="en-US" w:eastAsia="zh-CN"/>
              </w:rPr>
              <w:t>1</w:t>
            </w:r>
          </w:p>
        </w:tc>
      </w:tr>
      <w:tr w14:paraId="7EEC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A5E13C4">
            <w:pPr>
              <w:pStyle w:val="17"/>
              <w:bidi w:val="0"/>
              <w:rPr>
                <w:color w:val="auto"/>
                <w:highlight w:val="none"/>
              </w:rPr>
            </w:pPr>
            <w:r>
              <w:rPr>
                <w:color w:val="auto"/>
                <w:highlight w:val="none"/>
              </w:rPr>
              <w:t>43</w:t>
            </w:r>
          </w:p>
        </w:tc>
        <w:tc>
          <w:tcPr>
            <w:tcW w:w="234" w:type="pct"/>
            <w:shd w:val="clear" w:color="auto" w:fill="auto"/>
            <w:tcMar>
              <w:top w:w="0" w:type="dxa"/>
              <w:left w:w="0" w:type="dxa"/>
              <w:bottom w:w="0" w:type="dxa"/>
              <w:right w:w="0" w:type="dxa"/>
            </w:tcMar>
            <w:vAlign w:val="center"/>
          </w:tcPr>
          <w:p w14:paraId="2CA3C765">
            <w:pPr>
              <w:pStyle w:val="17"/>
              <w:bidi w:val="0"/>
              <w:rPr>
                <w:color w:val="auto"/>
                <w:highlight w:val="none"/>
              </w:rPr>
            </w:pPr>
            <w:r>
              <w:rPr>
                <w:color w:val="auto"/>
                <w:highlight w:val="none"/>
              </w:rPr>
              <w:t>尾矿浓缩及输送泵站</w:t>
            </w:r>
          </w:p>
        </w:tc>
        <w:tc>
          <w:tcPr>
            <w:tcW w:w="478" w:type="pct"/>
            <w:shd w:val="clear" w:color="auto" w:fill="auto"/>
            <w:tcMar>
              <w:top w:w="0" w:type="dxa"/>
              <w:left w:w="0" w:type="dxa"/>
              <w:bottom w:w="0" w:type="dxa"/>
              <w:right w:w="0" w:type="dxa"/>
            </w:tcMar>
            <w:vAlign w:val="center"/>
          </w:tcPr>
          <w:p w14:paraId="6807F027">
            <w:pPr>
              <w:pStyle w:val="17"/>
              <w:bidi w:val="0"/>
              <w:rPr>
                <w:color w:val="auto"/>
                <w:highlight w:val="none"/>
              </w:rPr>
            </w:pPr>
            <w:r>
              <w:rPr>
                <w:color w:val="auto"/>
                <w:highlight w:val="none"/>
              </w:rPr>
              <w:t>液下泵,2台（按点声源组预测）</w:t>
            </w:r>
          </w:p>
        </w:tc>
        <w:tc>
          <w:tcPr>
            <w:tcW w:w="388" w:type="pct"/>
            <w:shd w:val="clear" w:color="auto" w:fill="auto"/>
            <w:tcMar>
              <w:top w:w="0" w:type="dxa"/>
              <w:left w:w="0" w:type="dxa"/>
              <w:bottom w:w="0" w:type="dxa"/>
              <w:right w:w="0" w:type="dxa"/>
            </w:tcMar>
            <w:vAlign w:val="center"/>
          </w:tcPr>
          <w:p w14:paraId="12B0C190">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29" w:type="pct"/>
            <w:vMerge w:val="continue"/>
            <w:shd w:val="clear" w:color="auto" w:fill="auto"/>
            <w:tcMar>
              <w:top w:w="0" w:type="dxa"/>
              <w:left w:w="0" w:type="dxa"/>
              <w:bottom w:w="0" w:type="dxa"/>
              <w:right w:w="0" w:type="dxa"/>
            </w:tcMar>
            <w:vAlign w:val="center"/>
          </w:tcPr>
          <w:p w14:paraId="5BE52CE0">
            <w:pPr>
              <w:pStyle w:val="17"/>
              <w:bidi w:val="0"/>
              <w:rPr>
                <w:color w:val="auto"/>
                <w:highlight w:val="none"/>
              </w:rPr>
            </w:pPr>
          </w:p>
        </w:tc>
        <w:tc>
          <w:tcPr>
            <w:tcW w:w="164" w:type="pct"/>
            <w:shd w:val="clear" w:color="auto" w:fill="auto"/>
            <w:tcMar>
              <w:top w:w="0" w:type="dxa"/>
              <w:left w:w="0" w:type="dxa"/>
              <w:bottom w:w="0" w:type="dxa"/>
              <w:right w:w="0" w:type="dxa"/>
            </w:tcMar>
            <w:vAlign w:val="center"/>
          </w:tcPr>
          <w:p w14:paraId="4E949E40">
            <w:pPr>
              <w:pStyle w:val="17"/>
              <w:bidi w:val="0"/>
              <w:rPr>
                <w:color w:val="auto"/>
                <w:highlight w:val="none"/>
              </w:rPr>
            </w:pPr>
            <w:r>
              <w:rPr>
                <w:color w:val="auto"/>
                <w:highlight w:val="none"/>
              </w:rPr>
              <w:t>-262.9</w:t>
            </w:r>
          </w:p>
        </w:tc>
        <w:tc>
          <w:tcPr>
            <w:tcW w:w="206" w:type="pct"/>
            <w:shd w:val="clear" w:color="auto" w:fill="auto"/>
            <w:tcMar>
              <w:top w:w="0" w:type="dxa"/>
              <w:left w:w="0" w:type="dxa"/>
              <w:bottom w:w="0" w:type="dxa"/>
              <w:right w:w="0" w:type="dxa"/>
            </w:tcMar>
            <w:vAlign w:val="center"/>
          </w:tcPr>
          <w:p w14:paraId="2BF3DECE">
            <w:pPr>
              <w:pStyle w:val="17"/>
              <w:bidi w:val="0"/>
              <w:rPr>
                <w:color w:val="auto"/>
                <w:highlight w:val="none"/>
              </w:rPr>
            </w:pPr>
            <w:r>
              <w:rPr>
                <w:color w:val="auto"/>
                <w:highlight w:val="none"/>
              </w:rPr>
              <w:t>-984.9</w:t>
            </w:r>
          </w:p>
        </w:tc>
        <w:tc>
          <w:tcPr>
            <w:tcW w:w="194" w:type="pct"/>
            <w:shd w:val="clear" w:color="auto" w:fill="auto"/>
            <w:tcMar>
              <w:top w:w="0" w:type="dxa"/>
              <w:left w:w="0" w:type="dxa"/>
              <w:bottom w:w="0" w:type="dxa"/>
              <w:right w:w="0" w:type="dxa"/>
            </w:tcMar>
            <w:vAlign w:val="center"/>
          </w:tcPr>
          <w:p w14:paraId="42EA6932">
            <w:pPr>
              <w:pStyle w:val="17"/>
              <w:bidi w:val="0"/>
              <w:rPr>
                <w:color w:val="auto"/>
                <w:highlight w:val="none"/>
              </w:rPr>
            </w:pPr>
            <w:r>
              <w:rPr>
                <w:color w:val="auto"/>
                <w:highlight w:val="none"/>
              </w:rPr>
              <w:t>1.2</w:t>
            </w:r>
          </w:p>
        </w:tc>
        <w:tc>
          <w:tcPr>
            <w:tcW w:w="223" w:type="pct"/>
            <w:shd w:val="clear" w:color="auto" w:fill="auto"/>
            <w:tcMar>
              <w:top w:w="0" w:type="dxa"/>
              <w:left w:w="0" w:type="dxa"/>
              <w:bottom w:w="0" w:type="dxa"/>
              <w:right w:w="0" w:type="dxa"/>
            </w:tcMar>
            <w:vAlign w:val="center"/>
          </w:tcPr>
          <w:p w14:paraId="5358864E">
            <w:pPr>
              <w:pStyle w:val="17"/>
              <w:bidi w:val="0"/>
              <w:rPr>
                <w:color w:val="auto"/>
                <w:highlight w:val="none"/>
              </w:rPr>
            </w:pPr>
            <w:r>
              <w:rPr>
                <w:color w:val="auto"/>
                <w:highlight w:val="none"/>
              </w:rPr>
              <w:t>367.8</w:t>
            </w:r>
          </w:p>
        </w:tc>
        <w:tc>
          <w:tcPr>
            <w:tcW w:w="205" w:type="pct"/>
            <w:shd w:val="clear" w:color="auto" w:fill="auto"/>
            <w:tcMar>
              <w:top w:w="0" w:type="dxa"/>
              <w:left w:w="0" w:type="dxa"/>
              <w:bottom w:w="0" w:type="dxa"/>
              <w:right w:w="0" w:type="dxa"/>
            </w:tcMar>
            <w:vAlign w:val="center"/>
          </w:tcPr>
          <w:p w14:paraId="6D0BD98C">
            <w:pPr>
              <w:pStyle w:val="17"/>
              <w:bidi w:val="0"/>
              <w:rPr>
                <w:color w:val="auto"/>
                <w:highlight w:val="none"/>
              </w:rPr>
            </w:pPr>
            <w:r>
              <w:rPr>
                <w:color w:val="auto"/>
                <w:highlight w:val="none"/>
              </w:rPr>
              <w:t>53.3</w:t>
            </w:r>
          </w:p>
        </w:tc>
        <w:tc>
          <w:tcPr>
            <w:tcW w:w="235" w:type="pct"/>
            <w:shd w:val="clear" w:color="auto" w:fill="auto"/>
            <w:tcMar>
              <w:top w:w="0" w:type="dxa"/>
              <w:left w:w="0" w:type="dxa"/>
              <w:bottom w:w="0" w:type="dxa"/>
              <w:right w:w="0" w:type="dxa"/>
            </w:tcMar>
            <w:vAlign w:val="center"/>
          </w:tcPr>
          <w:p w14:paraId="01CB8CE1">
            <w:pPr>
              <w:pStyle w:val="17"/>
              <w:bidi w:val="0"/>
              <w:rPr>
                <w:color w:val="auto"/>
                <w:highlight w:val="none"/>
              </w:rPr>
            </w:pPr>
            <w:r>
              <w:rPr>
                <w:color w:val="auto"/>
                <w:highlight w:val="none"/>
              </w:rPr>
              <w:t>326.7</w:t>
            </w:r>
          </w:p>
        </w:tc>
        <w:tc>
          <w:tcPr>
            <w:tcW w:w="200" w:type="pct"/>
            <w:shd w:val="clear" w:color="auto" w:fill="auto"/>
            <w:tcMar>
              <w:top w:w="0" w:type="dxa"/>
              <w:left w:w="0" w:type="dxa"/>
              <w:bottom w:w="0" w:type="dxa"/>
              <w:right w:w="0" w:type="dxa"/>
            </w:tcMar>
            <w:vAlign w:val="center"/>
          </w:tcPr>
          <w:p w14:paraId="1B6EFB25">
            <w:pPr>
              <w:pStyle w:val="17"/>
              <w:bidi w:val="0"/>
              <w:rPr>
                <w:color w:val="auto"/>
                <w:highlight w:val="none"/>
              </w:rPr>
            </w:pPr>
            <w:r>
              <w:rPr>
                <w:color w:val="auto"/>
                <w:highlight w:val="none"/>
              </w:rPr>
              <w:t>105.6</w:t>
            </w:r>
          </w:p>
        </w:tc>
        <w:tc>
          <w:tcPr>
            <w:tcW w:w="188" w:type="pct"/>
            <w:shd w:val="clear" w:color="auto" w:fill="auto"/>
            <w:tcMar>
              <w:top w:w="0" w:type="dxa"/>
              <w:left w:w="0" w:type="dxa"/>
              <w:bottom w:w="0" w:type="dxa"/>
              <w:right w:w="0" w:type="dxa"/>
            </w:tcMar>
            <w:vAlign w:val="center"/>
          </w:tcPr>
          <w:p w14:paraId="54D64416">
            <w:pPr>
              <w:pStyle w:val="17"/>
              <w:bidi w:val="0"/>
              <w:rPr>
                <w:color w:val="auto"/>
                <w:highlight w:val="none"/>
              </w:rPr>
            </w:pPr>
            <w:r>
              <w:rPr>
                <w:color w:val="auto"/>
                <w:highlight w:val="none"/>
              </w:rPr>
              <w:t>62.5</w:t>
            </w:r>
          </w:p>
        </w:tc>
        <w:tc>
          <w:tcPr>
            <w:tcW w:w="211" w:type="pct"/>
            <w:shd w:val="clear" w:color="auto" w:fill="auto"/>
            <w:tcMar>
              <w:top w:w="0" w:type="dxa"/>
              <w:left w:w="0" w:type="dxa"/>
              <w:bottom w:w="0" w:type="dxa"/>
              <w:right w:w="0" w:type="dxa"/>
            </w:tcMar>
            <w:vAlign w:val="center"/>
          </w:tcPr>
          <w:p w14:paraId="4B5360CB">
            <w:pPr>
              <w:pStyle w:val="17"/>
              <w:bidi w:val="0"/>
              <w:rPr>
                <w:color w:val="auto"/>
                <w:highlight w:val="none"/>
              </w:rPr>
            </w:pPr>
            <w:r>
              <w:rPr>
                <w:color w:val="auto"/>
                <w:highlight w:val="none"/>
              </w:rPr>
              <w:t>62.5</w:t>
            </w:r>
          </w:p>
        </w:tc>
        <w:tc>
          <w:tcPr>
            <w:tcW w:w="182" w:type="pct"/>
            <w:shd w:val="clear" w:color="auto" w:fill="auto"/>
            <w:tcMar>
              <w:top w:w="0" w:type="dxa"/>
              <w:left w:w="0" w:type="dxa"/>
              <w:bottom w:w="0" w:type="dxa"/>
              <w:right w:w="0" w:type="dxa"/>
            </w:tcMar>
            <w:vAlign w:val="center"/>
          </w:tcPr>
          <w:p w14:paraId="18D03F50">
            <w:pPr>
              <w:pStyle w:val="17"/>
              <w:bidi w:val="0"/>
              <w:rPr>
                <w:color w:val="auto"/>
                <w:highlight w:val="none"/>
              </w:rPr>
            </w:pPr>
            <w:r>
              <w:rPr>
                <w:color w:val="auto"/>
                <w:highlight w:val="none"/>
              </w:rPr>
              <w:t>62.5</w:t>
            </w:r>
          </w:p>
        </w:tc>
        <w:tc>
          <w:tcPr>
            <w:tcW w:w="229" w:type="pct"/>
            <w:shd w:val="clear" w:color="auto" w:fill="auto"/>
            <w:tcMar>
              <w:top w:w="0" w:type="dxa"/>
              <w:left w:w="0" w:type="dxa"/>
              <w:bottom w:w="0" w:type="dxa"/>
              <w:right w:w="0" w:type="dxa"/>
            </w:tcMar>
            <w:vAlign w:val="center"/>
          </w:tcPr>
          <w:p w14:paraId="4466C574">
            <w:pPr>
              <w:pStyle w:val="17"/>
              <w:bidi w:val="0"/>
              <w:rPr>
                <w:color w:val="auto"/>
                <w:highlight w:val="none"/>
              </w:rPr>
            </w:pPr>
            <w:r>
              <w:rPr>
                <w:color w:val="auto"/>
                <w:highlight w:val="none"/>
              </w:rPr>
              <w:t>62.5</w:t>
            </w:r>
          </w:p>
        </w:tc>
        <w:tc>
          <w:tcPr>
            <w:tcW w:w="270" w:type="pct"/>
            <w:shd w:val="clear" w:color="auto" w:fill="auto"/>
            <w:tcMar>
              <w:top w:w="0" w:type="dxa"/>
              <w:left w:w="0" w:type="dxa"/>
              <w:bottom w:w="0" w:type="dxa"/>
              <w:right w:w="0" w:type="dxa"/>
            </w:tcMar>
            <w:vAlign w:val="center"/>
          </w:tcPr>
          <w:p w14:paraId="550EEC5E">
            <w:pPr>
              <w:pStyle w:val="17"/>
              <w:bidi w:val="0"/>
              <w:rPr>
                <w:color w:val="auto"/>
                <w:highlight w:val="none"/>
              </w:rPr>
            </w:pPr>
            <w:r>
              <w:rPr>
                <w:color w:val="auto"/>
                <w:highlight w:val="none"/>
              </w:rPr>
              <w:t>24.0</w:t>
            </w:r>
          </w:p>
        </w:tc>
        <w:tc>
          <w:tcPr>
            <w:tcW w:w="353" w:type="pct"/>
            <w:shd w:val="clear" w:color="auto" w:fill="auto"/>
            <w:tcMar>
              <w:top w:w="0" w:type="dxa"/>
              <w:left w:w="0" w:type="dxa"/>
              <w:bottom w:w="0" w:type="dxa"/>
              <w:right w:w="0" w:type="dxa"/>
            </w:tcMar>
            <w:vAlign w:val="center"/>
          </w:tcPr>
          <w:p w14:paraId="6257E6AB">
            <w:pPr>
              <w:pStyle w:val="17"/>
              <w:bidi w:val="0"/>
              <w:ind w:firstLine="0" w:firstLineChars="0"/>
              <w:rPr>
                <w:color w:val="auto"/>
                <w:highlight w:val="none"/>
              </w:rPr>
            </w:pPr>
            <w:r>
              <w:rPr>
                <w:color w:val="auto"/>
                <w:highlight w:val="none"/>
              </w:rPr>
              <w:t>10.0</w:t>
            </w:r>
          </w:p>
        </w:tc>
        <w:tc>
          <w:tcPr>
            <w:tcW w:w="288" w:type="pct"/>
            <w:shd w:val="clear" w:color="auto" w:fill="auto"/>
            <w:tcMar>
              <w:top w:w="0" w:type="dxa"/>
              <w:left w:w="0" w:type="dxa"/>
              <w:bottom w:w="0" w:type="dxa"/>
              <w:right w:w="0" w:type="dxa"/>
            </w:tcMar>
            <w:vAlign w:val="center"/>
          </w:tcPr>
          <w:p w14:paraId="44B174B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52.5</w:t>
            </w:r>
          </w:p>
        </w:tc>
        <w:tc>
          <w:tcPr>
            <w:tcW w:w="258" w:type="pct"/>
            <w:shd w:val="clear" w:color="auto" w:fill="auto"/>
            <w:tcMar>
              <w:top w:w="0" w:type="dxa"/>
              <w:left w:w="0" w:type="dxa"/>
              <w:bottom w:w="0" w:type="dxa"/>
              <w:right w:w="0" w:type="dxa"/>
            </w:tcMar>
            <w:vAlign w:val="center"/>
          </w:tcPr>
          <w:p w14:paraId="76360F04">
            <w:pPr>
              <w:pStyle w:val="17"/>
              <w:bidi w:val="0"/>
              <w:ind w:firstLine="0" w:firstLineChars="0"/>
              <w:rPr>
                <w:color w:val="auto"/>
                <w:highlight w:val="none"/>
              </w:rPr>
            </w:pPr>
            <w:r>
              <w:rPr>
                <w:rFonts w:hint="eastAsia"/>
                <w:color w:val="auto"/>
                <w:highlight w:val="none"/>
                <w:lang w:val="en-US" w:eastAsia="zh-CN"/>
              </w:rPr>
              <w:t>1</w:t>
            </w:r>
          </w:p>
        </w:tc>
      </w:tr>
      <w:bookmarkEnd w:id="423"/>
    </w:tbl>
    <w:p w14:paraId="0D761D92">
      <w:pPr>
        <w:rPr>
          <w:rFonts w:ascii="Times New Roman" w:hAnsi="Times New Roman" w:cs="Times New Roman"/>
          <w:color w:val="auto"/>
          <w:highlight w:val="none"/>
        </w:rPr>
      </w:pPr>
      <w:r>
        <w:rPr>
          <w:rFonts w:hint="eastAsia" w:ascii="Times New Roman" w:hAnsi="Times New Roman" w:cs="Times New Roman" w:eastAsiaTheme="minorEastAsia"/>
          <w:b w:val="0"/>
          <w:bCs/>
          <w:color w:val="auto"/>
          <w:sz w:val="21"/>
          <w:szCs w:val="21"/>
          <w:highlight w:val="none"/>
          <w:lang w:val="en-US" w:eastAsia="zh-CN"/>
        </w:rPr>
        <w:t>注：</w:t>
      </w:r>
      <w:r>
        <w:rPr>
          <w:rFonts w:hint="default" w:ascii="Times New Roman" w:hAnsi="Times New Roman" w:cs="Times New Roman" w:eastAsiaTheme="minorEastAsia"/>
          <w:b w:val="0"/>
          <w:bCs/>
          <w:color w:val="auto"/>
          <w:sz w:val="21"/>
          <w:szCs w:val="21"/>
          <w:highlight w:val="none"/>
          <w:lang w:val="en-US" w:eastAsia="zh-CN"/>
        </w:rPr>
        <w:t>表中坐标以厂界中心（）为坐标原点，正东向为X轴正方向，正北向为Y轴正方向</w:t>
      </w:r>
    </w:p>
    <w:p w14:paraId="1188B386">
      <w:pPr>
        <w:ind w:firstLine="0" w:firstLineChars="0"/>
        <w:jc w:val="center"/>
        <w:rPr>
          <w:rFonts w:cs="Times New Roman" w:asciiTheme="minorEastAsia" w:hAnsiTheme="minorEastAsia" w:eastAsiaTheme="minorEastAsia"/>
          <w:b/>
          <w:bCs/>
          <w:color w:val="auto"/>
          <w:highlight w:val="none"/>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3BF49D3D">
      <w:pPr>
        <w:pStyle w:val="6"/>
        <w:bidi w:val="0"/>
        <w:rPr>
          <w:color w:val="auto"/>
          <w:highlight w:val="none"/>
        </w:rPr>
      </w:pPr>
      <w:r>
        <w:rPr>
          <w:color w:val="auto"/>
          <w:highlight w:val="none"/>
        </w:rPr>
        <w:t>3.</w:t>
      </w:r>
      <w:r>
        <w:rPr>
          <w:rFonts w:hint="eastAsia"/>
          <w:color w:val="auto"/>
          <w:highlight w:val="none"/>
          <w:lang w:val="en-US" w:eastAsia="zh-CN"/>
        </w:rPr>
        <w:t>3.4</w:t>
      </w:r>
      <w:r>
        <w:rPr>
          <w:rFonts w:hint="eastAsia"/>
          <w:color w:val="auto"/>
          <w:highlight w:val="none"/>
        </w:rPr>
        <w:t>固体废物</w:t>
      </w:r>
    </w:p>
    <w:p w14:paraId="5A34E5C2">
      <w:pPr>
        <w:overflowPunct w:val="0"/>
        <w:topLinePunct/>
        <w:ind w:firstLine="480"/>
        <w:rPr>
          <w:color w:val="auto"/>
          <w:kern w:val="0"/>
          <w:highlight w:val="none"/>
        </w:rPr>
      </w:pPr>
      <w:r>
        <w:rPr>
          <w:rFonts w:hint="eastAsia"/>
          <w:color w:val="auto"/>
          <w:kern w:val="0"/>
          <w:highlight w:val="none"/>
        </w:rPr>
        <w:t>运营期固体废物主要来源于选矿工序产生的尾矿砂、除尘灰（除尘器收集的粉尘）、废药剂及包装物、废离子交换树脂、废布袋、循环水池底泥、生活垃圾及少量废机油、废油桶、化验废液等。</w:t>
      </w:r>
    </w:p>
    <w:p w14:paraId="17595740">
      <w:pPr>
        <w:overflowPunct w:val="0"/>
        <w:topLinePunct/>
        <w:ind w:firstLine="480"/>
        <w:rPr>
          <w:color w:val="auto"/>
          <w:kern w:val="0"/>
          <w:highlight w:val="none"/>
        </w:rPr>
      </w:pPr>
      <w:r>
        <w:rPr>
          <w:rFonts w:hint="eastAsia"/>
          <w:color w:val="auto"/>
          <w:kern w:val="0"/>
          <w:highlight w:val="none"/>
        </w:rPr>
        <w:t>（</w:t>
      </w:r>
      <w:r>
        <w:rPr>
          <w:color w:val="auto"/>
          <w:kern w:val="0"/>
          <w:highlight w:val="none"/>
        </w:rPr>
        <w:t>1</w:t>
      </w:r>
      <w:r>
        <w:rPr>
          <w:rFonts w:hint="eastAsia"/>
          <w:color w:val="auto"/>
          <w:kern w:val="0"/>
          <w:highlight w:val="none"/>
        </w:rPr>
        <w:t>）生活垃圾</w:t>
      </w:r>
    </w:p>
    <w:p w14:paraId="02020B17">
      <w:pPr>
        <w:bidi w:val="0"/>
        <w:rPr>
          <w:rFonts w:hint="eastAsia"/>
          <w:color w:val="auto"/>
          <w:highlight w:val="none"/>
        </w:rPr>
      </w:pPr>
      <w:r>
        <w:rPr>
          <w:rFonts w:hint="eastAsia"/>
          <w:color w:val="auto"/>
          <w:highlight w:val="none"/>
        </w:rPr>
        <w:t>本项目</w:t>
      </w:r>
      <w:r>
        <w:rPr>
          <w:rFonts w:hint="eastAsia"/>
          <w:color w:val="auto"/>
          <w:highlight w:val="none"/>
          <w:lang w:val="en-US" w:eastAsia="zh-CN"/>
        </w:rPr>
        <w:t>劳动</w:t>
      </w:r>
      <w:r>
        <w:rPr>
          <w:rFonts w:hint="eastAsia"/>
          <w:color w:val="auto"/>
          <w:highlight w:val="none"/>
        </w:rPr>
        <w:t>定员</w:t>
      </w:r>
      <w:r>
        <w:rPr>
          <w:rFonts w:hint="eastAsia"/>
          <w:color w:val="auto"/>
          <w:highlight w:val="none"/>
          <w:lang w:val="en-US" w:eastAsia="zh-CN"/>
        </w:rPr>
        <w:t>253</w:t>
      </w:r>
      <w:r>
        <w:rPr>
          <w:rFonts w:hint="eastAsia"/>
          <w:color w:val="auto"/>
          <w:highlight w:val="none"/>
        </w:rPr>
        <w:t>人，</w:t>
      </w:r>
      <w:r>
        <w:rPr>
          <w:rFonts w:hint="eastAsia"/>
          <w:color w:val="auto"/>
          <w:kern w:val="0"/>
          <w:highlight w:val="none"/>
        </w:rPr>
        <w:t>生活垃圾的产生量按</w:t>
      </w:r>
      <w:r>
        <w:rPr>
          <w:rFonts w:hint="eastAsia"/>
          <w:color w:val="auto"/>
          <w:kern w:val="0"/>
          <w:highlight w:val="none"/>
          <w:lang w:val="en-US" w:eastAsia="zh-CN"/>
        </w:rPr>
        <w:t>1</w:t>
      </w:r>
      <w:r>
        <w:rPr>
          <w:color w:val="auto"/>
          <w:kern w:val="0"/>
          <w:highlight w:val="none"/>
        </w:rPr>
        <w:t>kg/d·</w:t>
      </w:r>
      <w:r>
        <w:rPr>
          <w:rFonts w:hint="eastAsia"/>
          <w:color w:val="auto"/>
          <w:kern w:val="0"/>
          <w:highlight w:val="none"/>
        </w:rPr>
        <w:t>人计，则生活垃圾产生</w:t>
      </w:r>
      <w:r>
        <w:rPr>
          <w:rFonts w:hint="eastAsia"/>
          <w:color w:val="auto"/>
          <w:highlight w:val="none"/>
        </w:rPr>
        <w:t>量为</w:t>
      </w:r>
      <w:r>
        <w:rPr>
          <w:rFonts w:hint="eastAsia"/>
          <w:color w:val="auto"/>
          <w:highlight w:val="none"/>
          <w:lang w:val="en-US" w:eastAsia="zh-CN"/>
        </w:rPr>
        <w:t>253</w:t>
      </w:r>
      <w:r>
        <w:rPr>
          <w:color w:val="auto"/>
          <w:highlight w:val="none"/>
        </w:rPr>
        <w:t>kg/d</w:t>
      </w:r>
      <w:r>
        <w:rPr>
          <w:rFonts w:hint="eastAsia"/>
          <w:color w:val="auto"/>
          <w:highlight w:val="none"/>
        </w:rPr>
        <w:t>（</w:t>
      </w:r>
      <w:r>
        <w:rPr>
          <w:rFonts w:hint="eastAsia"/>
          <w:color w:val="auto"/>
          <w:highlight w:val="none"/>
          <w:lang w:val="en-US" w:eastAsia="zh-CN"/>
        </w:rPr>
        <w:t>75.9</w:t>
      </w:r>
      <w:r>
        <w:rPr>
          <w:color w:val="auto"/>
          <w:highlight w:val="none"/>
        </w:rPr>
        <w:t>t/a</w:t>
      </w:r>
      <w:r>
        <w:rPr>
          <w:rFonts w:hint="eastAsia"/>
          <w:color w:val="auto"/>
          <w:highlight w:val="none"/>
        </w:rPr>
        <w:t>）。</w:t>
      </w:r>
    </w:p>
    <w:p w14:paraId="19C2F092">
      <w:pPr>
        <w:overflowPunct w:val="0"/>
        <w:topLinePunct/>
        <w:ind w:firstLine="480"/>
        <w:rPr>
          <w:rFonts w:hint="eastAsia"/>
          <w:color w:val="auto"/>
          <w:kern w:val="0"/>
          <w:highlight w:val="none"/>
        </w:rPr>
      </w:pPr>
      <w:r>
        <w:rPr>
          <w:rFonts w:hint="eastAsia"/>
          <w:color w:val="auto"/>
          <w:kern w:val="0"/>
          <w:highlight w:val="none"/>
        </w:rPr>
        <w:t>（2）尾矿砂</w:t>
      </w:r>
    </w:p>
    <w:p w14:paraId="0F358C8A">
      <w:pPr>
        <w:overflowPunct w:val="0"/>
        <w:topLinePunct/>
        <w:ind w:firstLine="480"/>
        <w:rPr>
          <w:color w:val="auto"/>
          <w:kern w:val="0"/>
          <w:highlight w:val="none"/>
        </w:rPr>
      </w:pPr>
      <w:r>
        <w:rPr>
          <w:rFonts w:hint="eastAsia"/>
          <w:color w:val="auto"/>
          <w:kern w:val="0"/>
          <w:highlight w:val="none"/>
        </w:rPr>
        <w:t>本项目尾矿主要为磨矿选别过程中产生的尾矿砂，尾矿砂产生量</w:t>
      </w:r>
      <w:r>
        <w:rPr>
          <w:rFonts w:hint="eastAsia"/>
          <w:color w:val="auto"/>
          <w:kern w:val="0"/>
          <w:highlight w:val="none"/>
          <w:lang w:val="en-US" w:eastAsia="zh-CN"/>
        </w:rPr>
        <w:t>89.36</w:t>
      </w:r>
      <w:r>
        <w:rPr>
          <w:rFonts w:hint="eastAsia"/>
          <w:color w:val="auto"/>
          <w:kern w:val="0"/>
          <w:highlight w:val="none"/>
        </w:rPr>
        <w:t>万</w:t>
      </w:r>
      <w:r>
        <w:rPr>
          <w:color w:val="auto"/>
          <w:kern w:val="0"/>
          <w:highlight w:val="none"/>
        </w:rPr>
        <w:t>t/a</w:t>
      </w:r>
      <w:r>
        <w:rPr>
          <w:rFonts w:hint="eastAsia"/>
          <w:color w:val="auto"/>
          <w:kern w:val="0"/>
          <w:highlight w:val="none"/>
          <w:lang w:eastAsia="zh-CN"/>
        </w:rPr>
        <w:t>。</w:t>
      </w:r>
      <w:r>
        <w:rPr>
          <w:rFonts w:hint="eastAsia"/>
          <w:color w:val="auto"/>
          <w:kern w:val="0"/>
          <w:highlight w:val="none"/>
          <w:lang w:val="en-US" w:eastAsia="zh-CN"/>
        </w:rPr>
        <w:t>根据尾矿砂监测报告（详见附件），尾矿砂浸出污染物浓度</w:t>
      </w:r>
      <w:r>
        <w:rPr>
          <w:rFonts w:ascii="Times New Roman" w:hAnsi="Times New Roman" w:cs="Times New Roman"/>
          <w:color w:val="auto"/>
          <w:highlight w:val="none"/>
        </w:rPr>
        <w:t>均未超过《污水综合排放标准》（GB8978-1996）的最高允许排放浓度，且pH值在6～9范围之内</w:t>
      </w:r>
      <w:r>
        <w:rPr>
          <w:rFonts w:hint="eastAsia"/>
          <w:color w:val="auto"/>
          <w:highlight w:val="none"/>
          <w:lang w:val="en-US" w:eastAsia="zh-CN"/>
        </w:rPr>
        <w:t>，</w:t>
      </w:r>
      <w:r>
        <w:rPr>
          <w:rFonts w:hint="eastAsia"/>
          <w:color w:val="auto"/>
          <w:kern w:val="0"/>
          <w:highlight w:val="none"/>
        </w:rPr>
        <w:t>属于《一般工业固体废物贮存和填埋污染控制标准》（GB18599-2020）中规定的</w:t>
      </w:r>
      <w:r>
        <w:rPr>
          <w:rFonts w:hint="eastAsia"/>
          <w:color w:val="auto"/>
          <w:kern w:val="0"/>
          <w:highlight w:val="none"/>
          <w:lang w:val="en-US" w:eastAsia="zh-CN"/>
        </w:rPr>
        <w:t>第</w:t>
      </w:r>
      <w:r>
        <w:rPr>
          <w:rFonts w:hint="eastAsia"/>
          <w:color w:val="auto"/>
          <w:kern w:val="0"/>
          <w:highlight w:val="none"/>
          <w:lang w:eastAsia="zh-CN"/>
        </w:rPr>
        <w:t>I</w:t>
      </w:r>
      <w:r>
        <w:rPr>
          <w:rFonts w:hint="eastAsia"/>
          <w:color w:val="auto"/>
          <w:kern w:val="0"/>
          <w:highlight w:val="none"/>
        </w:rPr>
        <w:t>类一般工业固体废物。</w:t>
      </w:r>
      <w:r>
        <w:rPr>
          <w:rFonts w:hint="eastAsia"/>
          <w:color w:val="auto"/>
          <w:kern w:val="0"/>
          <w:highlight w:val="none"/>
          <w:lang w:eastAsia="zh-CN"/>
        </w:rPr>
        <w:t>其中</w:t>
      </w:r>
      <w:r>
        <w:rPr>
          <w:rFonts w:hint="eastAsia"/>
          <w:color w:val="auto"/>
          <w:kern w:val="0"/>
          <w:highlight w:val="none"/>
          <w:lang w:val="en-US" w:eastAsia="zh-CN"/>
        </w:rPr>
        <w:t>44</w:t>
      </w:r>
      <w:r>
        <w:rPr>
          <w:rFonts w:hint="eastAsia"/>
          <w:color w:val="auto"/>
          <w:kern w:val="0"/>
          <w:highlight w:val="none"/>
        </w:rPr>
        <w:t>万</w:t>
      </w:r>
      <w:r>
        <w:rPr>
          <w:color w:val="auto"/>
          <w:kern w:val="0"/>
          <w:highlight w:val="none"/>
        </w:rPr>
        <w:t>t/a</w:t>
      </w:r>
      <w:r>
        <w:rPr>
          <w:rFonts w:hint="eastAsia"/>
          <w:color w:val="auto"/>
          <w:kern w:val="0"/>
          <w:highlight w:val="none"/>
          <w:lang w:eastAsia="zh-CN"/>
        </w:rPr>
        <w:t>尾矿砂</w:t>
      </w:r>
      <w:r>
        <w:rPr>
          <w:rFonts w:hint="eastAsia"/>
          <w:color w:val="auto"/>
          <w:kern w:val="0"/>
          <w:highlight w:val="none"/>
        </w:rPr>
        <w:t>经</w:t>
      </w:r>
      <w:r>
        <w:rPr>
          <w:color w:val="auto"/>
          <w:kern w:val="0"/>
          <w:highlight w:val="none"/>
        </w:rPr>
        <w:t>管线输送至尾矿库</w:t>
      </w:r>
      <w:r>
        <w:rPr>
          <w:rFonts w:hint="eastAsia"/>
          <w:color w:val="auto"/>
          <w:kern w:val="0"/>
          <w:highlight w:val="none"/>
          <w:lang w:eastAsia="zh-CN"/>
        </w:rPr>
        <w:t>（</w:t>
      </w:r>
      <w:r>
        <w:rPr>
          <w:rFonts w:hint="eastAsia"/>
          <w:color w:val="auto"/>
          <w:kern w:val="0"/>
          <w:highlight w:val="none"/>
          <w:lang w:val="en-US" w:eastAsia="zh-CN"/>
        </w:rPr>
        <w:t>其中</w:t>
      </w:r>
      <w:r>
        <w:rPr>
          <w:rFonts w:hint="eastAsia"/>
          <w:color w:val="auto"/>
          <w:kern w:val="0"/>
          <w:highlight w:val="none"/>
          <w:lang w:eastAsia="zh-CN"/>
        </w:rPr>
        <w:t>约</w:t>
      </w:r>
      <w:r>
        <w:rPr>
          <w:rFonts w:hint="eastAsia"/>
          <w:color w:val="auto"/>
          <w:kern w:val="0"/>
          <w:highlight w:val="none"/>
          <w:lang w:val="en-US" w:eastAsia="zh-CN"/>
        </w:rPr>
        <w:t>10.7</w:t>
      </w:r>
      <w:r>
        <w:rPr>
          <w:rFonts w:hint="eastAsia"/>
          <w:color w:val="auto"/>
          <w:kern w:val="0"/>
          <w:highlight w:val="none"/>
        </w:rPr>
        <w:t>万</w:t>
      </w:r>
      <w:r>
        <w:rPr>
          <w:color w:val="auto"/>
          <w:kern w:val="0"/>
          <w:highlight w:val="none"/>
        </w:rPr>
        <w:t>t/a</w:t>
      </w:r>
      <w:r>
        <w:rPr>
          <w:rFonts w:hint="eastAsia"/>
          <w:color w:val="auto"/>
          <w:kern w:val="0"/>
          <w:highlight w:val="none"/>
          <w:lang w:eastAsia="zh-CN"/>
        </w:rPr>
        <w:t>用于堆积筑坝）</w:t>
      </w:r>
      <w:r>
        <w:rPr>
          <w:color w:val="auto"/>
          <w:kern w:val="0"/>
          <w:highlight w:val="none"/>
        </w:rPr>
        <w:t>，</w:t>
      </w:r>
      <w:r>
        <w:rPr>
          <w:rFonts w:hint="eastAsia"/>
          <w:color w:val="auto"/>
          <w:kern w:val="0"/>
          <w:highlight w:val="none"/>
        </w:rPr>
        <w:t>约4</w:t>
      </w:r>
      <w:r>
        <w:rPr>
          <w:color w:val="auto"/>
          <w:kern w:val="0"/>
          <w:highlight w:val="none"/>
        </w:rPr>
        <w:t>5</w:t>
      </w:r>
      <w:r>
        <w:rPr>
          <w:rFonts w:hint="eastAsia"/>
          <w:color w:val="auto"/>
          <w:kern w:val="0"/>
          <w:highlight w:val="none"/>
          <w:lang w:val="en-US" w:eastAsia="zh-CN"/>
        </w:rPr>
        <w:t>.36</w:t>
      </w:r>
      <w:r>
        <w:rPr>
          <w:rFonts w:hint="eastAsia"/>
          <w:color w:val="auto"/>
          <w:kern w:val="0"/>
          <w:highlight w:val="none"/>
        </w:rPr>
        <w:t>万</w:t>
      </w:r>
      <w:r>
        <w:rPr>
          <w:color w:val="auto"/>
          <w:kern w:val="0"/>
          <w:highlight w:val="none"/>
        </w:rPr>
        <w:t>t/a</w:t>
      </w:r>
      <w:r>
        <w:rPr>
          <w:rFonts w:hint="eastAsia"/>
          <w:color w:val="auto"/>
          <w:kern w:val="0"/>
          <w:highlight w:val="none"/>
        </w:rPr>
        <w:t>用于采场地下充填</w:t>
      </w:r>
      <w:r>
        <w:rPr>
          <w:rFonts w:hint="eastAsia"/>
          <w:color w:val="auto"/>
          <w:kern w:val="0"/>
          <w:highlight w:val="none"/>
          <w:lang w:eastAsia="zh-CN"/>
        </w:rPr>
        <w:t>，</w:t>
      </w:r>
      <w:r>
        <w:rPr>
          <w:rFonts w:hint="eastAsia"/>
          <w:color w:val="auto"/>
          <w:kern w:val="0"/>
          <w:highlight w:val="none"/>
        </w:rPr>
        <w:t>尾矿砂综合利用率可达到</w:t>
      </w:r>
      <w:r>
        <w:rPr>
          <w:rFonts w:hint="eastAsia"/>
          <w:color w:val="auto"/>
          <w:kern w:val="0"/>
          <w:highlight w:val="none"/>
          <w:lang w:val="en-US" w:eastAsia="zh-CN"/>
        </w:rPr>
        <w:t>6</w:t>
      </w:r>
      <w:r>
        <w:rPr>
          <w:rFonts w:hint="eastAsia"/>
          <w:color w:val="auto"/>
          <w:kern w:val="0"/>
          <w:highlight w:val="none"/>
        </w:rPr>
        <w:t>0%。</w:t>
      </w:r>
    </w:p>
    <w:p w14:paraId="3078759B">
      <w:pPr>
        <w:bidi w:val="0"/>
        <w:rPr>
          <w:color w:val="auto"/>
          <w:highlight w:val="none"/>
        </w:rPr>
      </w:pPr>
      <w:r>
        <w:rPr>
          <w:rFonts w:hint="eastAsia"/>
          <w:color w:val="auto"/>
          <w:highlight w:val="none"/>
          <w:lang w:eastAsia="zh-CN"/>
        </w:rPr>
        <w:t>（</w:t>
      </w:r>
      <w:r>
        <w:rPr>
          <w:rFonts w:hint="eastAsia"/>
          <w:color w:val="auto"/>
          <w:highlight w:val="none"/>
          <w:lang w:val="en-US" w:eastAsia="zh-CN"/>
        </w:rPr>
        <w:t>3）</w:t>
      </w:r>
      <w:r>
        <w:rPr>
          <w:color w:val="auto"/>
          <w:highlight w:val="none"/>
        </w:rPr>
        <w:t>废石</w:t>
      </w:r>
    </w:p>
    <w:p w14:paraId="6A59CD22">
      <w:pPr>
        <w:bidi w:val="0"/>
        <w:rPr>
          <w:rFonts w:hint="eastAsia"/>
          <w:color w:val="auto"/>
          <w:highlight w:val="none"/>
          <w:lang w:eastAsia="zh-CN"/>
        </w:rPr>
      </w:pPr>
      <w:r>
        <w:rPr>
          <w:color w:val="auto"/>
          <w:highlight w:val="none"/>
        </w:rPr>
        <w:t>项目矿区采矿过程中将产生废石，根据开发利用方案，本项目</w:t>
      </w:r>
      <w:r>
        <w:rPr>
          <w:rFonts w:hint="eastAsia"/>
          <w:color w:val="auto"/>
          <w:highlight w:val="none"/>
        </w:rPr>
        <w:t>设计生产能力120万吨/年，废石产生量</w:t>
      </w:r>
      <w:r>
        <w:rPr>
          <w:rFonts w:hint="eastAsia"/>
          <w:color w:val="auto"/>
          <w:highlight w:val="none"/>
          <w:lang w:val="en-US" w:eastAsia="zh-CN"/>
        </w:rPr>
        <w:t>37.5</w:t>
      </w:r>
      <w:r>
        <w:rPr>
          <w:rFonts w:hint="eastAsia"/>
          <w:color w:val="auto"/>
          <w:highlight w:val="none"/>
        </w:rPr>
        <w:t>万吨/年，</w:t>
      </w:r>
      <w:r>
        <w:rPr>
          <w:color w:val="auto"/>
          <w:highlight w:val="none"/>
        </w:rPr>
        <w:t>废石</w:t>
      </w:r>
      <w:r>
        <w:rPr>
          <w:rFonts w:hint="eastAsia"/>
          <w:color w:val="auto"/>
          <w:highlight w:val="none"/>
          <w:lang w:val="en-US" w:eastAsia="zh-CN"/>
        </w:rPr>
        <w:t>产生后运送至废石堆场妥善堆存，用于尾矿库筑坝或者铺路以及矿区复垦</w:t>
      </w:r>
      <w:r>
        <w:rPr>
          <w:rFonts w:hint="eastAsia"/>
          <w:color w:val="auto"/>
          <w:highlight w:val="none"/>
          <w:lang w:eastAsia="zh-CN"/>
        </w:rPr>
        <w:t>。</w:t>
      </w:r>
    </w:p>
    <w:p w14:paraId="2A389188">
      <w:pPr>
        <w:overflowPunct w:val="0"/>
        <w:topLinePunct/>
        <w:ind w:firstLine="480"/>
        <w:rPr>
          <w:rFonts w:hint="eastAsia" w:eastAsia="宋体"/>
          <w:color w:val="auto"/>
          <w:kern w:val="0"/>
          <w:highlight w:val="none"/>
          <w:lang w:eastAsia="zh-CN"/>
        </w:rPr>
      </w:pPr>
      <w:r>
        <w:rPr>
          <w:rFonts w:hint="eastAsia"/>
          <w:color w:val="auto"/>
          <w:kern w:val="0"/>
          <w:highlight w:val="none"/>
        </w:rPr>
        <w:t>（</w:t>
      </w:r>
      <w:r>
        <w:rPr>
          <w:rFonts w:hint="eastAsia"/>
          <w:color w:val="auto"/>
          <w:kern w:val="0"/>
          <w:highlight w:val="none"/>
          <w:lang w:val="en-US" w:eastAsia="zh-CN"/>
        </w:rPr>
        <w:t>4</w:t>
      </w:r>
      <w:r>
        <w:rPr>
          <w:rFonts w:hint="eastAsia"/>
          <w:color w:val="auto"/>
          <w:kern w:val="0"/>
          <w:highlight w:val="none"/>
        </w:rPr>
        <w:t>）废机油及废油桶</w:t>
      </w:r>
    </w:p>
    <w:p w14:paraId="07B42334">
      <w:pPr>
        <w:overflowPunct w:val="0"/>
        <w:topLinePunct/>
        <w:ind w:firstLine="480"/>
        <w:rPr>
          <w:rFonts w:hint="eastAsia" w:ascii="Times New Roman" w:hAnsi="Times New Roman" w:cs="Times New Roman"/>
          <w:color w:val="auto"/>
          <w:highlight w:val="none"/>
        </w:rPr>
      </w:pPr>
      <w:r>
        <w:rPr>
          <w:rFonts w:hint="eastAsia"/>
          <w:color w:val="auto"/>
          <w:kern w:val="0"/>
          <w:highlight w:val="none"/>
        </w:rPr>
        <w:t>项目运营过程中会产生少量废机油（</w:t>
      </w:r>
      <w:r>
        <w:rPr>
          <w:color w:val="auto"/>
          <w:kern w:val="0"/>
          <w:highlight w:val="none"/>
        </w:rPr>
        <w:t>HW08</w:t>
      </w:r>
      <w:r>
        <w:rPr>
          <w:rFonts w:hint="eastAsia"/>
          <w:color w:val="auto"/>
          <w:kern w:val="0"/>
          <w:highlight w:val="none"/>
          <w:lang w:val="en-US" w:eastAsia="zh-CN"/>
        </w:rPr>
        <w:t xml:space="preserve"> </w:t>
      </w:r>
      <w:r>
        <w:rPr>
          <w:color w:val="auto"/>
          <w:kern w:val="0"/>
          <w:highlight w:val="none"/>
        </w:rPr>
        <w:t>900-2</w:t>
      </w:r>
      <w:r>
        <w:rPr>
          <w:rFonts w:hint="eastAsia"/>
          <w:color w:val="auto"/>
          <w:kern w:val="0"/>
          <w:highlight w:val="none"/>
        </w:rPr>
        <w:t>1</w:t>
      </w:r>
      <w:r>
        <w:rPr>
          <w:color w:val="auto"/>
          <w:kern w:val="0"/>
          <w:highlight w:val="none"/>
        </w:rPr>
        <w:t>7-08</w:t>
      </w:r>
      <w:r>
        <w:rPr>
          <w:rFonts w:hint="eastAsia"/>
          <w:color w:val="auto"/>
          <w:kern w:val="0"/>
          <w:highlight w:val="none"/>
        </w:rPr>
        <w:t>）及废油桶</w:t>
      </w:r>
      <w:r>
        <w:rPr>
          <w:rFonts w:hint="eastAsia"/>
          <w:color w:val="auto"/>
          <w:kern w:val="0"/>
          <w:highlight w:val="none"/>
          <w:lang w:eastAsia="zh-CN"/>
        </w:rPr>
        <w:t>（</w:t>
      </w:r>
      <w:r>
        <w:rPr>
          <w:color w:val="auto"/>
          <w:kern w:val="0"/>
          <w:highlight w:val="none"/>
        </w:rPr>
        <w:t>HW08</w:t>
      </w:r>
      <w:r>
        <w:rPr>
          <w:rFonts w:hint="eastAsia"/>
          <w:color w:val="auto"/>
          <w:kern w:val="0"/>
          <w:highlight w:val="none"/>
          <w:lang w:val="en-US" w:eastAsia="zh-CN"/>
        </w:rPr>
        <w:t xml:space="preserve"> </w:t>
      </w:r>
      <w:r>
        <w:rPr>
          <w:color w:val="auto"/>
          <w:highlight w:val="none"/>
        </w:rPr>
        <w:t>900-2</w:t>
      </w:r>
      <w:r>
        <w:rPr>
          <w:rFonts w:hint="eastAsia"/>
          <w:color w:val="auto"/>
          <w:highlight w:val="none"/>
          <w:lang w:val="en-US" w:eastAsia="zh-CN"/>
        </w:rPr>
        <w:t>49</w:t>
      </w:r>
      <w:r>
        <w:rPr>
          <w:color w:val="auto"/>
          <w:highlight w:val="none"/>
        </w:rPr>
        <w:t>-08</w:t>
      </w:r>
      <w:r>
        <w:rPr>
          <w:rFonts w:hint="eastAsia"/>
          <w:color w:val="auto"/>
          <w:highlight w:val="none"/>
          <w:lang w:eastAsia="zh-CN"/>
        </w:rPr>
        <w:t>）</w:t>
      </w:r>
      <w:r>
        <w:rPr>
          <w:rFonts w:hint="eastAsia"/>
          <w:color w:val="auto"/>
          <w:kern w:val="0"/>
          <w:highlight w:val="none"/>
        </w:rPr>
        <w:t>，</w:t>
      </w:r>
      <w:r>
        <w:rPr>
          <w:rFonts w:hint="eastAsia"/>
          <w:color w:val="auto"/>
          <w:kern w:val="0"/>
          <w:highlight w:val="none"/>
          <w:lang w:val="en-US" w:eastAsia="zh-CN"/>
        </w:rPr>
        <w:t>均</w:t>
      </w:r>
      <w:r>
        <w:rPr>
          <w:rFonts w:hint="eastAsia"/>
          <w:color w:val="auto"/>
          <w:kern w:val="0"/>
          <w:highlight w:val="none"/>
        </w:rPr>
        <w:t>属于危险废物，主要来源于工程机械和大型设备润滑、维护、检修。</w:t>
      </w:r>
      <w:r>
        <w:rPr>
          <w:color w:val="auto"/>
          <w:highlight w:val="none"/>
        </w:rPr>
        <w:t>废油桶产生量</w:t>
      </w:r>
      <w:r>
        <w:rPr>
          <w:rFonts w:hint="eastAsia"/>
          <w:color w:val="auto"/>
          <w:highlight w:val="none"/>
          <w:lang w:val="en-US" w:eastAsia="zh-CN"/>
        </w:rPr>
        <w:t>约</w:t>
      </w:r>
      <w:r>
        <w:rPr>
          <w:color w:val="auto"/>
          <w:highlight w:val="none"/>
        </w:rPr>
        <w:t>为</w:t>
      </w:r>
      <w:r>
        <w:rPr>
          <w:rFonts w:hint="eastAsia"/>
          <w:color w:val="auto"/>
          <w:highlight w:val="none"/>
          <w:lang w:val="en-US" w:eastAsia="zh-CN"/>
        </w:rPr>
        <w:t>120个</w:t>
      </w:r>
      <w:r>
        <w:rPr>
          <w:color w:val="auto"/>
          <w:highlight w:val="none"/>
        </w:rPr>
        <w:t>/年</w:t>
      </w:r>
      <w:r>
        <w:rPr>
          <w:rFonts w:hint="eastAsia"/>
          <w:color w:val="auto"/>
          <w:highlight w:val="none"/>
        </w:rPr>
        <w:t>（约</w:t>
      </w:r>
      <w:r>
        <w:rPr>
          <w:rFonts w:hint="eastAsia"/>
          <w:color w:val="auto"/>
          <w:highlight w:val="none"/>
          <w:lang w:val="en-US" w:eastAsia="zh-CN"/>
        </w:rPr>
        <w:t>2.4</w:t>
      </w:r>
      <w:r>
        <w:rPr>
          <w:rFonts w:hint="eastAsia"/>
          <w:color w:val="auto"/>
          <w:highlight w:val="none"/>
        </w:rPr>
        <w:t>t/a）</w:t>
      </w:r>
      <w:r>
        <w:rPr>
          <w:color w:val="auto"/>
          <w:highlight w:val="none"/>
        </w:rPr>
        <w:t>，</w:t>
      </w:r>
      <w:r>
        <w:rPr>
          <w:rFonts w:hint="eastAsia"/>
          <w:color w:val="auto"/>
          <w:kern w:val="0"/>
          <w:highlight w:val="none"/>
        </w:rPr>
        <w:t>废机油产生量约2</w:t>
      </w:r>
      <w:r>
        <w:rPr>
          <w:color w:val="auto"/>
          <w:kern w:val="0"/>
          <w:highlight w:val="none"/>
        </w:rPr>
        <w:t>t/a</w:t>
      </w:r>
      <w:r>
        <w:rPr>
          <w:rFonts w:hint="eastAsia"/>
          <w:color w:val="auto"/>
          <w:kern w:val="0"/>
          <w:highlight w:val="none"/>
        </w:rPr>
        <w:t>。</w:t>
      </w:r>
      <w:r>
        <w:rPr>
          <w:rFonts w:hint="eastAsia" w:ascii="Times New Roman" w:hAnsi="Times New Roman" w:cs="Times New Roman"/>
          <w:color w:val="auto"/>
          <w:highlight w:val="none"/>
        </w:rPr>
        <w:t>暂存于</w:t>
      </w:r>
      <w:r>
        <w:rPr>
          <w:rFonts w:hint="eastAsia" w:cs="Times New Roman"/>
          <w:color w:val="auto"/>
          <w:highlight w:val="none"/>
          <w:lang w:eastAsia="zh-CN"/>
        </w:rPr>
        <w:t>危废贮存库</w:t>
      </w:r>
      <w:r>
        <w:rPr>
          <w:rFonts w:hint="eastAsia" w:ascii="Times New Roman" w:hAnsi="Times New Roman" w:cs="Times New Roman"/>
          <w:color w:val="auto"/>
          <w:highlight w:val="none"/>
        </w:rPr>
        <w:t>，</w:t>
      </w:r>
      <w:r>
        <w:rPr>
          <w:rFonts w:hint="eastAsia" w:cs="Times New Roman"/>
          <w:color w:val="auto"/>
          <w:highlight w:val="none"/>
          <w:lang w:val="en-US" w:eastAsia="zh-CN"/>
        </w:rPr>
        <w:t>定期</w:t>
      </w:r>
      <w:r>
        <w:rPr>
          <w:rFonts w:hint="eastAsia" w:ascii="Times New Roman" w:hAnsi="Times New Roman" w:cs="Times New Roman"/>
          <w:color w:val="auto"/>
          <w:highlight w:val="none"/>
        </w:rPr>
        <w:t>委托有资质单位处置。</w:t>
      </w:r>
    </w:p>
    <w:p w14:paraId="62C24C6A">
      <w:pPr>
        <w:overflowPunct w:val="0"/>
        <w:topLinePunct/>
        <w:ind w:firstLine="480"/>
        <w:rPr>
          <w:rFonts w:hint="eastAsia" w:eastAsia="宋体"/>
          <w:color w:val="auto"/>
          <w:kern w:val="0"/>
          <w:highlight w:val="none"/>
          <w:lang w:val="en-US" w:eastAsia="zh-CN"/>
        </w:rPr>
      </w:pPr>
      <w:r>
        <w:rPr>
          <w:rFonts w:hint="eastAsia"/>
          <w:color w:val="auto"/>
          <w:kern w:val="0"/>
          <w:highlight w:val="none"/>
        </w:rPr>
        <w:t>（</w:t>
      </w:r>
      <w:r>
        <w:rPr>
          <w:rFonts w:hint="eastAsia"/>
          <w:color w:val="auto"/>
          <w:kern w:val="0"/>
          <w:highlight w:val="none"/>
          <w:lang w:val="en-US" w:eastAsia="zh-CN"/>
        </w:rPr>
        <w:t>5</w:t>
      </w:r>
      <w:r>
        <w:rPr>
          <w:rFonts w:hint="eastAsia"/>
          <w:color w:val="auto"/>
          <w:kern w:val="0"/>
          <w:highlight w:val="none"/>
        </w:rPr>
        <w:t>）</w:t>
      </w:r>
      <w:r>
        <w:rPr>
          <w:rFonts w:hint="eastAsia"/>
          <w:color w:val="auto"/>
          <w:kern w:val="0"/>
          <w:highlight w:val="none"/>
          <w:lang w:eastAsia="zh-CN"/>
        </w:rPr>
        <w:t>原辅料废</w:t>
      </w:r>
      <w:r>
        <w:rPr>
          <w:rFonts w:hint="eastAsia"/>
          <w:color w:val="auto"/>
          <w:kern w:val="0"/>
          <w:highlight w:val="none"/>
        </w:rPr>
        <w:t>包装</w:t>
      </w:r>
      <w:r>
        <w:rPr>
          <w:rFonts w:hint="eastAsia"/>
          <w:color w:val="auto"/>
          <w:kern w:val="0"/>
          <w:highlight w:val="none"/>
          <w:lang w:val="en-US" w:eastAsia="zh-CN"/>
        </w:rPr>
        <w:t>材料</w:t>
      </w:r>
    </w:p>
    <w:p w14:paraId="618ABC3B">
      <w:pPr>
        <w:overflowPunct w:val="0"/>
        <w:topLinePunct/>
        <w:ind w:firstLine="480"/>
        <w:rPr>
          <w:color w:val="auto"/>
          <w:highlight w:val="none"/>
        </w:rPr>
      </w:pPr>
      <w:r>
        <w:rPr>
          <w:color w:val="auto"/>
          <w:highlight w:val="none"/>
        </w:rPr>
        <w:t>本项目原辅料包装形式包括桶装和袋装，废包装</w:t>
      </w:r>
      <w:r>
        <w:rPr>
          <w:rFonts w:hint="eastAsia"/>
          <w:color w:val="auto"/>
          <w:highlight w:val="none"/>
        </w:rPr>
        <w:t>物</w:t>
      </w:r>
      <w:r>
        <w:rPr>
          <w:color w:val="auto"/>
          <w:highlight w:val="none"/>
        </w:rPr>
        <w:t>产生情况见表3.</w:t>
      </w:r>
      <w:r>
        <w:rPr>
          <w:rFonts w:hint="eastAsia"/>
          <w:color w:val="auto"/>
          <w:highlight w:val="none"/>
          <w:lang w:val="en-US" w:eastAsia="zh-CN"/>
        </w:rPr>
        <w:t>3</w:t>
      </w:r>
      <w:r>
        <w:rPr>
          <w:color w:val="auto"/>
          <w:highlight w:val="none"/>
        </w:rPr>
        <w:t>-</w:t>
      </w:r>
      <w:r>
        <w:rPr>
          <w:rFonts w:hint="eastAsia"/>
          <w:color w:val="auto"/>
          <w:highlight w:val="none"/>
          <w:lang w:val="en-US" w:eastAsia="zh-CN"/>
        </w:rPr>
        <w:t>9</w:t>
      </w:r>
      <w:r>
        <w:rPr>
          <w:color w:val="auto"/>
          <w:highlight w:val="none"/>
        </w:rPr>
        <w:t>。</w:t>
      </w:r>
    </w:p>
    <w:p w14:paraId="14521A38">
      <w:pPr>
        <w:pStyle w:val="19"/>
        <w:bidi w:val="0"/>
        <w:rPr>
          <w:color w:val="auto"/>
          <w:highlight w:val="none"/>
        </w:rPr>
      </w:pPr>
      <w:r>
        <w:rPr>
          <w:rFonts w:hint="eastAsia"/>
          <w:color w:val="auto"/>
          <w:highlight w:val="none"/>
        </w:rPr>
        <w:t>表3.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 xml:space="preserve">9   </w:t>
      </w:r>
      <w:r>
        <w:rPr>
          <w:rFonts w:hint="eastAsia"/>
          <w:color w:val="auto"/>
          <w:highlight w:val="none"/>
        </w:rPr>
        <w:t>废包装</w:t>
      </w:r>
      <w:r>
        <w:rPr>
          <w:rFonts w:hint="eastAsia"/>
          <w:color w:val="auto"/>
          <w:highlight w:val="none"/>
          <w:lang w:val="en-US" w:eastAsia="zh-CN"/>
        </w:rPr>
        <w:t>材料</w:t>
      </w:r>
      <w:r>
        <w:rPr>
          <w:rFonts w:hint="eastAsia"/>
          <w:color w:val="auto"/>
          <w:highlight w:val="none"/>
        </w:rPr>
        <w:t>情况统计一览表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1816"/>
        <w:gridCol w:w="1961"/>
        <w:gridCol w:w="1647"/>
        <w:gridCol w:w="1890"/>
      </w:tblGrid>
      <w:tr w14:paraId="45D1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1012" w:type="pct"/>
            <w:tcBorders>
              <w:tl2br w:val="nil"/>
              <w:tr2bl w:val="nil"/>
            </w:tcBorders>
            <w:shd w:val="clear" w:color="auto" w:fill="auto"/>
            <w:vAlign w:val="center"/>
          </w:tcPr>
          <w:p w14:paraId="5E8E5D60">
            <w:pPr>
              <w:pStyle w:val="17"/>
              <w:bidi w:val="0"/>
              <w:rPr>
                <w:color w:val="auto"/>
                <w:highlight w:val="none"/>
              </w:rPr>
            </w:pPr>
            <w:r>
              <w:rPr>
                <w:rFonts w:hint="eastAsia"/>
                <w:color w:val="auto"/>
                <w:highlight w:val="none"/>
              </w:rPr>
              <w:t>药剂名称</w:t>
            </w:r>
          </w:p>
        </w:tc>
        <w:tc>
          <w:tcPr>
            <w:tcW w:w="990" w:type="pct"/>
            <w:tcBorders>
              <w:tl2br w:val="nil"/>
              <w:tr2bl w:val="nil"/>
            </w:tcBorders>
            <w:shd w:val="clear" w:color="auto" w:fill="auto"/>
            <w:vAlign w:val="center"/>
          </w:tcPr>
          <w:p w14:paraId="4122192E">
            <w:pPr>
              <w:pStyle w:val="17"/>
              <w:bidi w:val="0"/>
              <w:rPr>
                <w:color w:val="auto"/>
                <w:highlight w:val="none"/>
              </w:rPr>
            </w:pPr>
            <w:r>
              <w:rPr>
                <w:rFonts w:hint="eastAsia"/>
                <w:color w:val="auto"/>
                <w:highlight w:val="none"/>
              </w:rPr>
              <w:t>年消耗量（t/a）</w:t>
            </w:r>
          </w:p>
        </w:tc>
        <w:tc>
          <w:tcPr>
            <w:tcW w:w="1069" w:type="pct"/>
            <w:tcBorders>
              <w:tl2br w:val="nil"/>
              <w:tr2bl w:val="nil"/>
            </w:tcBorders>
            <w:shd w:val="clear" w:color="auto" w:fill="auto"/>
            <w:vAlign w:val="center"/>
          </w:tcPr>
          <w:p w14:paraId="7ED718C4">
            <w:pPr>
              <w:pStyle w:val="17"/>
              <w:bidi w:val="0"/>
              <w:rPr>
                <w:color w:val="auto"/>
                <w:highlight w:val="none"/>
              </w:rPr>
            </w:pPr>
            <w:r>
              <w:rPr>
                <w:rFonts w:hint="eastAsia"/>
                <w:color w:val="auto"/>
                <w:highlight w:val="none"/>
              </w:rPr>
              <w:t>包装规格</w:t>
            </w:r>
          </w:p>
        </w:tc>
        <w:tc>
          <w:tcPr>
            <w:tcW w:w="897" w:type="pct"/>
            <w:tcBorders>
              <w:tl2br w:val="nil"/>
              <w:tr2bl w:val="nil"/>
            </w:tcBorders>
            <w:shd w:val="clear" w:color="auto" w:fill="auto"/>
            <w:vAlign w:val="center"/>
          </w:tcPr>
          <w:p w14:paraId="4E3FFA26">
            <w:pPr>
              <w:pStyle w:val="17"/>
              <w:bidi w:val="0"/>
              <w:rPr>
                <w:color w:val="auto"/>
                <w:highlight w:val="none"/>
              </w:rPr>
            </w:pPr>
            <w:r>
              <w:rPr>
                <w:rFonts w:hint="eastAsia"/>
                <w:color w:val="auto"/>
                <w:highlight w:val="none"/>
              </w:rPr>
              <w:t>废包装袋或桶（个）</w:t>
            </w:r>
          </w:p>
        </w:tc>
        <w:tc>
          <w:tcPr>
            <w:tcW w:w="1030" w:type="pct"/>
            <w:tcBorders>
              <w:tl2br w:val="nil"/>
              <w:tr2bl w:val="nil"/>
            </w:tcBorders>
            <w:shd w:val="clear" w:color="auto" w:fill="auto"/>
            <w:vAlign w:val="center"/>
          </w:tcPr>
          <w:p w14:paraId="2B4193CB">
            <w:pPr>
              <w:pStyle w:val="17"/>
              <w:bidi w:val="0"/>
              <w:rPr>
                <w:color w:val="auto"/>
                <w:highlight w:val="none"/>
              </w:rPr>
            </w:pPr>
            <w:r>
              <w:rPr>
                <w:rFonts w:hint="eastAsia"/>
                <w:color w:val="auto"/>
                <w:highlight w:val="none"/>
              </w:rPr>
              <w:t>废包装产生量（t/a）</w:t>
            </w:r>
          </w:p>
        </w:tc>
      </w:tr>
      <w:tr w14:paraId="72D2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pct"/>
            <w:tcBorders>
              <w:tl2br w:val="nil"/>
              <w:tr2bl w:val="nil"/>
            </w:tcBorders>
            <w:shd w:val="clear" w:color="auto" w:fill="auto"/>
            <w:vAlign w:val="center"/>
          </w:tcPr>
          <w:p w14:paraId="658DF9AC">
            <w:pPr>
              <w:pStyle w:val="17"/>
              <w:bidi w:val="0"/>
              <w:rPr>
                <w:color w:val="auto"/>
                <w:highlight w:val="none"/>
              </w:rPr>
            </w:pPr>
            <w:r>
              <w:rPr>
                <w:rFonts w:hint="default"/>
                <w:color w:val="auto"/>
                <w:highlight w:val="none"/>
              </w:rPr>
              <w:t>水玻璃</w:t>
            </w:r>
          </w:p>
        </w:tc>
        <w:tc>
          <w:tcPr>
            <w:tcW w:w="990" w:type="pct"/>
            <w:tcBorders>
              <w:tl2br w:val="nil"/>
              <w:tr2bl w:val="nil"/>
            </w:tcBorders>
            <w:shd w:val="clear" w:color="auto" w:fill="auto"/>
            <w:vAlign w:val="center"/>
          </w:tcPr>
          <w:p w14:paraId="43BC91E3">
            <w:pPr>
              <w:pStyle w:val="17"/>
              <w:bidi w:val="0"/>
              <w:rPr>
                <w:rFonts w:hint="default"/>
                <w:color w:val="auto"/>
                <w:highlight w:val="none"/>
                <w:lang w:val="en-US" w:eastAsia="zh-CN"/>
              </w:rPr>
            </w:pPr>
            <w:r>
              <w:rPr>
                <w:rFonts w:hint="eastAsia"/>
                <w:color w:val="auto"/>
                <w:highlight w:val="none"/>
                <w:lang w:val="en-US" w:eastAsia="zh-CN"/>
              </w:rPr>
              <w:t>2178</w:t>
            </w:r>
          </w:p>
        </w:tc>
        <w:tc>
          <w:tcPr>
            <w:tcW w:w="1069" w:type="pct"/>
            <w:tcBorders>
              <w:tl2br w:val="nil"/>
              <w:tr2bl w:val="nil"/>
            </w:tcBorders>
            <w:shd w:val="clear" w:color="auto" w:fill="auto"/>
            <w:vAlign w:val="center"/>
          </w:tcPr>
          <w:p w14:paraId="5DDBA455">
            <w:pPr>
              <w:pStyle w:val="17"/>
              <w:bidi w:val="0"/>
              <w:rPr>
                <w:color w:val="auto"/>
                <w:highlight w:val="none"/>
              </w:rPr>
            </w:pPr>
            <w:r>
              <w:rPr>
                <w:rFonts w:hint="eastAsia"/>
                <w:color w:val="auto"/>
                <w:highlight w:val="none"/>
                <w:lang w:val="en-US" w:eastAsia="zh-CN"/>
              </w:rPr>
              <w:t>200</w:t>
            </w:r>
            <w:r>
              <w:rPr>
                <w:rFonts w:hint="eastAsia"/>
                <w:color w:val="auto"/>
                <w:highlight w:val="none"/>
              </w:rPr>
              <w:t>kg/</w:t>
            </w:r>
            <w:r>
              <w:rPr>
                <w:rFonts w:hint="eastAsia"/>
                <w:color w:val="auto"/>
                <w:highlight w:val="none"/>
                <w:lang w:eastAsia="zh-CN"/>
              </w:rPr>
              <w:t>桶</w:t>
            </w:r>
          </w:p>
        </w:tc>
        <w:tc>
          <w:tcPr>
            <w:tcW w:w="897" w:type="pct"/>
            <w:tcBorders>
              <w:tl2br w:val="nil"/>
              <w:tr2bl w:val="nil"/>
            </w:tcBorders>
            <w:shd w:val="clear" w:color="auto" w:fill="auto"/>
            <w:vAlign w:val="center"/>
          </w:tcPr>
          <w:p w14:paraId="4E4F8138">
            <w:pPr>
              <w:pStyle w:val="17"/>
              <w:bidi w:val="0"/>
              <w:rPr>
                <w:rFonts w:hint="default"/>
                <w:color w:val="auto"/>
                <w:highlight w:val="none"/>
                <w:lang w:val="en-US" w:eastAsia="zh-CN"/>
              </w:rPr>
            </w:pPr>
            <w:r>
              <w:rPr>
                <w:rFonts w:hint="default"/>
                <w:color w:val="auto"/>
                <w:highlight w:val="none"/>
                <w:lang w:val="en-US" w:eastAsia="zh-CN"/>
              </w:rPr>
              <w:t>32100</w:t>
            </w:r>
          </w:p>
        </w:tc>
        <w:tc>
          <w:tcPr>
            <w:tcW w:w="1030" w:type="pct"/>
            <w:tcBorders>
              <w:tl2br w:val="nil"/>
              <w:tr2bl w:val="nil"/>
            </w:tcBorders>
            <w:shd w:val="clear" w:color="auto" w:fill="auto"/>
            <w:vAlign w:val="center"/>
          </w:tcPr>
          <w:p w14:paraId="4BFE274D">
            <w:pPr>
              <w:pStyle w:val="17"/>
              <w:bidi w:val="0"/>
              <w:rPr>
                <w:rFonts w:hint="default"/>
                <w:color w:val="auto"/>
                <w:highlight w:val="none"/>
                <w:lang w:val="en-US" w:eastAsia="zh-CN"/>
              </w:rPr>
            </w:pPr>
            <w:r>
              <w:rPr>
                <w:rFonts w:hint="eastAsia"/>
                <w:color w:val="auto"/>
                <w:highlight w:val="none"/>
                <w:lang w:val="en-US" w:eastAsia="zh-CN"/>
              </w:rPr>
              <w:t>176.55</w:t>
            </w:r>
          </w:p>
        </w:tc>
      </w:tr>
      <w:tr w14:paraId="3E18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pct"/>
            <w:tcBorders>
              <w:tl2br w:val="nil"/>
              <w:tr2bl w:val="nil"/>
            </w:tcBorders>
            <w:shd w:val="clear" w:color="auto" w:fill="auto"/>
            <w:vAlign w:val="center"/>
          </w:tcPr>
          <w:p w14:paraId="7DA1DB25">
            <w:pPr>
              <w:pStyle w:val="17"/>
              <w:bidi w:val="0"/>
              <w:rPr>
                <w:rFonts w:hint="default"/>
                <w:color w:val="auto"/>
                <w:highlight w:val="none"/>
              </w:rPr>
            </w:pPr>
            <w:r>
              <w:rPr>
                <w:rFonts w:hint="eastAsia"/>
                <w:color w:val="auto"/>
                <w:highlight w:val="none"/>
                <w:lang w:val="en-US" w:eastAsia="zh-CN"/>
              </w:rPr>
              <w:t>CD-8</w:t>
            </w:r>
          </w:p>
        </w:tc>
        <w:tc>
          <w:tcPr>
            <w:tcW w:w="990" w:type="pct"/>
            <w:tcBorders>
              <w:tl2br w:val="nil"/>
              <w:tr2bl w:val="nil"/>
            </w:tcBorders>
            <w:shd w:val="clear" w:color="auto" w:fill="auto"/>
            <w:vAlign w:val="center"/>
          </w:tcPr>
          <w:p w14:paraId="3027A91C">
            <w:pPr>
              <w:pStyle w:val="17"/>
              <w:bidi w:val="0"/>
              <w:rPr>
                <w:rFonts w:hint="default"/>
                <w:color w:val="auto"/>
                <w:highlight w:val="none"/>
                <w:lang w:val="en-US" w:eastAsia="zh-CN"/>
              </w:rPr>
            </w:pPr>
            <w:r>
              <w:rPr>
                <w:rFonts w:hint="eastAsia"/>
                <w:color w:val="auto"/>
                <w:highlight w:val="none"/>
                <w:lang w:val="en-US" w:eastAsia="zh-CN"/>
              </w:rPr>
              <w:t>660</w:t>
            </w:r>
          </w:p>
        </w:tc>
        <w:tc>
          <w:tcPr>
            <w:tcW w:w="1069" w:type="pct"/>
            <w:tcBorders>
              <w:tl2br w:val="nil"/>
              <w:tr2bl w:val="nil"/>
            </w:tcBorders>
            <w:shd w:val="clear" w:color="auto" w:fill="auto"/>
            <w:vAlign w:val="center"/>
          </w:tcPr>
          <w:p w14:paraId="13E49205">
            <w:pPr>
              <w:pStyle w:val="17"/>
              <w:bidi w:val="0"/>
              <w:rPr>
                <w:rFonts w:hint="eastAsia"/>
                <w:color w:val="auto"/>
                <w:highlight w:val="none"/>
              </w:rPr>
            </w:pPr>
            <w:r>
              <w:rPr>
                <w:rFonts w:hint="eastAsia"/>
                <w:color w:val="auto"/>
                <w:highlight w:val="none"/>
              </w:rPr>
              <w:t>50kg/袋</w:t>
            </w:r>
          </w:p>
        </w:tc>
        <w:tc>
          <w:tcPr>
            <w:tcW w:w="897" w:type="pct"/>
            <w:tcBorders>
              <w:tl2br w:val="nil"/>
              <w:tr2bl w:val="nil"/>
            </w:tcBorders>
            <w:shd w:val="clear" w:color="auto" w:fill="auto"/>
            <w:vAlign w:val="center"/>
          </w:tcPr>
          <w:p w14:paraId="345C945E">
            <w:pPr>
              <w:pStyle w:val="17"/>
              <w:bidi w:val="0"/>
              <w:rPr>
                <w:rFonts w:hint="default"/>
                <w:color w:val="auto"/>
                <w:highlight w:val="none"/>
                <w:lang w:val="en-US" w:eastAsia="zh-CN"/>
              </w:rPr>
            </w:pPr>
            <w:r>
              <w:rPr>
                <w:rFonts w:hint="default"/>
                <w:color w:val="auto"/>
                <w:highlight w:val="none"/>
                <w:lang w:val="en-US" w:eastAsia="zh-CN"/>
              </w:rPr>
              <w:t>18000</w:t>
            </w:r>
          </w:p>
        </w:tc>
        <w:tc>
          <w:tcPr>
            <w:tcW w:w="1030" w:type="pct"/>
            <w:tcBorders>
              <w:tl2br w:val="nil"/>
              <w:tr2bl w:val="nil"/>
            </w:tcBorders>
            <w:shd w:val="clear" w:color="auto" w:fill="auto"/>
            <w:vAlign w:val="center"/>
          </w:tcPr>
          <w:p w14:paraId="69B25923">
            <w:pPr>
              <w:pStyle w:val="17"/>
              <w:bidi w:val="0"/>
              <w:rPr>
                <w:rFonts w:hint="default"/>
                <w:color w:val="auto"/>
                <w:highlight w:val="none"/>
                <w:lang w:val="en-US" w:eastAsia="zh-CN"/>
              </w:rPr>
            </w:pPr>
            <w:r>
              <w:rPr>
                <w:rFonts w:hint="eastAsia"/>
                <w:color w:val="auto"/>
                <w:highlight w:val="none"/>
                <w:lang w:val="en-US" w:eastAsia="zh-CN"/>
              </w:rPr>
              <w:t>1.8</w:t>
            </w:r>
          </w:p>
        </w:tc>
      </w:tr>
      <w:tr w14:paraId="757D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pct"/>
            <w:tcBorders>
              <w:tl2br w:val="nil"/>
              <w:tr2bl w:val="nil"/>
            </w:tcBorders>
            <w:shd w:val="clear" w:color="auto" w:fill="auto"/>
            <w:vAlign w:val="center"/>
          </w:tcPr>
          <w:p w14:paraId="6505F496">
            <w:pPr>
              <w:pStyle w:val="17"/>
              <w:bidi w:val="0"/>
              <w:rPr>
                <w:rFonts w:hint="eastAsia"/>
                <w:color w:val="auto"/>
                <w:highlight w:val="none"/>
                <w:lang w:eastAsia="zh-CN"/>
              </w:rPr>
            </w:pPr>
            <w:r>
              <w:rPr>
                <w:rFonts w:hint="eastAsia"/>
                <w:color w:val="auto"/>
                <w:highlight w:val="none"/>
                <w:lang w:val="en-US" w:eastAsia="zh-CN"/>
              </w:rPr>
              <w:t>CK-1</w:t>
            </w:r>
          </w:p>
        </w:tc>
        <w:tc>
          <w:tcPr>
            <w:tcW w:w="990" w:type="pct"/>
            <w:tcBorders>
              <w:tl2br w:val="nil"/>
              <w:tr2bl w:val="nil"/>
            </w:tcBorders>
            <w:shd w:val="clear" w:color="auto" w:fill="auto"/>
            <w:vAlign w:val="center"/>
          </w:tcPr>
          <w:p w14:paraId="23AAD5F5">
            <w:pPr>
              <w:pStyle w:val="17"/>
              <w:bidi w:val="0"/>
              <w:rPr>
                <w:rFonts w:hint="default"/>
                <w:color w:val="auto"/>
                <w:highlight w:val="none"/>
                <w:lang w:val="en-US" w:eastAsia="zh-CN"/>
              </w:rPr>
            </w:pPr>
            <w:r>
              <w:rPr>
                <w:rFonts w:hint="eastAsia"/>
                <w:color w:val="auto"/>
                <w:highlight w:val="none"/>
                <w:lang w:val="en-US" w:eastAsia="zh-CN"/>
              </w:rPr>
              <w:t>1135.2</w:t>
            </w:r>
          </w:p>
        </w:tc>
        <w:tc>
          <w:tcPr>
            <w:tcW w:w="1069" w:type="pct"/>
            <w:tcBorders>
              <w:tl2br w:val="nil"/>
              <w:tr2bl w:val="nil"/>
            </w:tcBorders>
            <w:shd w:val="clear" w:color="auto" w:fill="auto"/>
            <w:vAlign w:val="center"/>
          </w:tcPr>
          <w:p w14:paraId="2319A90B">
            <w:pPr>
              <w:pStyle w:val="17"/>
              <w:bidi w:val="0"/>
              <w:rPr>
                <w:rFonts w:hint="eastAsia"/>
                <w:color w:val="auto"/>
                <w:highlight w:val="none"/>
                <w:lang w:eastAsia="zh-CN"/>
              </w:rPr>
            </w:pPr>
            <w:r>
              <w:rPr>
                <w:rFonts w:hint="eastAsia"/>
                <w:color w:val="auto"/>
                <w:highlight w:val="none"/>
                <w:lang w:val="en-US" w:eastAsia="zh-CN"/>
              </w:rPr>
              <w:t>20</w:t>
            </w:r>
            <w:r>
              <w:rPr>
                <w:rFonts w:hint="eastAsia"/>
                <w:color w:val="auto"/>
                <w:highlight w:val="none"/>
              </w:rPr>
              <w:t>0kg/</w:t>
            </w:r>
            <w:r>
              <w:rPr>
                <w:rFonts w:hint="eastAsia"/>
                <w:color w:val="auto"/>
                <w:highlight w:val="none"/>
                <w:lang w:eastAsia="zh-CN"/>
              </w:rPr>
              <w:t>桶</w:t>
            </w:r>
          </w:p>
        </w:tc>
        <w:tc>
          <w:tcPr>
            <w:tcW w:w="897" w:type="pct"/>
            <w:tcBorders>
              <w:tl2br w:val="nil"/>
              <w:tr2bl w:val="nil"/>
            </w:tcBorders>
            <w:shd w:val="clear" w:color="auto" w:fill="auto"/>
            <w:vAlign w:val="center"/>
          </w:tcPr>
          <w:p w14:paraId="19B97315">
            <w:pPr>
              <w:pStyle w:val="17"/>
              <w:bidi w:val="0"/>
              <w:rPr>
                <w:rFonts w:hint="default"/>
                <w:color w:val="auto"/>
                <w:highlight w:val="none"/>
                <w:lang w:val="en-US" w:eastAsia="zh-CN"/>
              </w:rPr>
            </w:pPr>
            <w:r>
              <w:rPr>
                <w:rFonts w:hint="default"/>
                <w:color w:val="auto"/>
                <w:highlight w:val="none"/>
                <w:lang w:val="en-US" w:eastAsia="zh-CN"/>
              </w:rPr>
              <w:t>4140</w:t>
            </w:r>
          </w:p>
        </w:tc>
        <w:tc>
          <w:tcPr>
            <w:tcW w:w="1030" w:type="pct"/>
            <w:tcBorders>
              <w:tl2br w:val="nil"/>
              <w:tr2bl w:val="nil"/>
            </w:tcBorders>
            <w:shd w:val="clear" w:color="auto" w:fill="auto"/>
            <w:vAlign w:val="center"/>
          </w:tcPr>
          <w:p w14:paraId="04DB223A">
            <w:pPr>
              <w:pStyle w:val="17"/>
              <w:bidi w:val="0"/>
              <w:rPr>
                <w:rFonts w:hint="default"/>
                <w:color w:val="auto"/>
                <w:highlight w:val="none"/>
                <w:lang w:val="en-US" w:eastAsia="zh-CN"/>
              </w:rPr>
            </w:pPr>
            <w:r>
              <w:rPr>
                <w:rFonts w:hint="eastAsia"/>
                <w:color w:val="auto"/>
                <w:highlight w:val="none"/>
                <w:lang w:val="en-US" w:eastAsia="zh-CN"/>
              </w:rPr>
              <w:t>22.77</w:t>
            </w:r>
          </w:p>
        </w:tc>
      </w:tr>
      <w:tr w14:paraId="5449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 w:type="pct"/>
            <w:tcBorders>
              <w:tl2br w:val="nil"/>
              <w:tr2bl w:val="nil"/>
            </w:tcBorders>
            <w:shd w:val="clear" w:color="auto" w:fill="auto"/>
            <w:vAlign w:val="center"/>
          </w:tcPr>
          <w:p w14:paraId="2399F335">
            <w:pPr>
              <w:pStyle w:val="17"/>
              <w:bidi w:val="0"/>
              <w:rPr>
                <w:color w:val="auto"/>
                <w:highlight w:val="none"/>
              </w:rPr>
            </w:pPr>
            <w:bookmarkStart w:id="426" w:name="_Toc31083"/>
            <w:bookmarkStart w:id="427" w:name="_Toc2367"/>
            <w:bookmarkStart w:id="428" w:name="_Toc27579"/>
            <w:r>
              <w:rPr>
                <w:rFonts w:hint="eastAsia"/>
                <w:color w:val="auto"/>
                <w:highlight w:val="none"/>
                <w:lang w:eastAsia="zh-CN"/>
              </w:rPr>
              <w:t>碳酸钠</w:t>
            </w:r>
            <w:bookmarkEnd w:id="426"/>
            <w:bookmarkEnd w:id="427"/>
            <w:bookmarkEnd w:id="428"/>
          </w:p>
        </w:tc>
        <w:tc>
          <w:tcPr>
            <w:tcW w:w="990" w:type="pct"/>
            <w:tcBorders>
              <w:tl2br w:val="nil"/>
              <w:tr2bl w:val="nil"/>
            </w:tcBorders>
            <w:shd w:val="clear" w:color="auto" w:fill="auto"/>
            <w:vAlign w:val="center"/>
          </w:tcPr>
          <w:p w14:paraId="35666678">
            <w:pPr>
              <w:pStyle w:val="17"/>
              <w:bidi w:val="0"/>
              <w:rPr>
                <w:rFonts w:hint="default"/>
                <w:color w:val="auto"/>
                <w:highlight w:val="none"/>
                <w:lang w:val="en-US" w:eastAsia="zh-CN"/>
              </w:rPr>
            </w:pPr>
            <w:r>
              <w:rPr>
                <w:rFonts w:hint="eastAsia"/>
                <w:color w:val="auto"/>
                <w:highlight w:val="none"/>
                <w:lang w:val="en-US" w:eastAsia="zh-CN"/>
              </w:rPr>
              <w:t>660</w:t>
            </w:r>
          </w:p>
        </w:tc>
        <w:tc>
          <w:tcPr>
            <w:tcW w:w="1069" w:type="pct"/>
            <w:tcBorders>
              <w:tl2br w:val="nil"/>
              <w:tr2bl w:val="nil"/>
            </w:tcBorders>
            <w:shd w:val="clear" w:color="auto" w:fill="auto"/>
            <w:vAlign w:val="center"/>
          </w:tcPr>
          <w:p w14:paraId="41CD158D">
            <w:pPr>
              <w:pStyle w:val="17"/>
              <w:bidi w:val="0"/>
              <w:rPr>
                <w:color w:val="auto"/>
                <w:highlight w:val="none"/>
              </w:rPr>
            </w:pPr>
            <w:r>
              <w:rPr>
                <w:rFonts w:hint="eastAsia"/>
                <w:color w:val="auto"/>
                <w:highlight w:val="none"/>
              </w:rPr>
              <w:t>50kg/袋</w:t>
            </w:r>
          </w:p>
        </w:tc>
        <w:tc>
          <w:tcPr>
            <w:tcW w:w="897" w:type="pct"/>
            <w:tcBorders>
              <w:tl2br w:val="nil"/>
              <w:tr2bl w:val="nil"/>
            </w:tcBorders>
            <w:shd w:val="clear" w:color="auto" w:fill="auto"/>
            <w:vAlign w:val="center"/>
          </w:tcPr>
          <w:p w14:paraId="76157EC2">
            <w:pPr>
              <w:pStyle w:val="17"/>
              <w:bidi w:val="0"/>
              <w:rPr>
                <w:rFonts w:hint="default"/>
                <w:color w:val="auto"/>
                <w:highlight w:val="none"/>
                <w:lang w:val="en-US" w:eastAsia="zh-CN"/>
              </w:rPr>
            </w:pPr>
            <w:r>
              <w:rPr>
                <w:rFonts w:hint="default"/>
                <w:color w:val="auto"/>
                <w:highlight w:val="none"/>
                <w:lang w:val="en-US" w:eastAsia="zh-CN"/>
              </w:rPr>
              <w:t>12000</w:t>
            </w:r>
          </w:p>
        </w:tc>
        <w:tc>
          <w:tcPr>
            <w:tcW w:w="1030" w:type="pct"/>
            <w:tcBorders>
              <w:tl2br w:val="nil"/>
              <w:tr2bl w:val="nil"/>
            </w:tcBorders>
            <w:shd w:val="clear" w:color="auto" w:fill="auto"/>
            <w:vAlign w:val="center"/>
          </w:tcPr>
          <w:p w14:paraId="0F061F24">
            <w:pPr>
              <w:pStyle w:val="17"/>
              <w:bidi w:val="0"/>
              <w:rPr>
                <w:rFonts w:hint="default"/>
                <w:color w:val="auto"/>
                <w:highlight w:val="none"/>
                <w:lang w:val="en-US" w:eastAsia="zh-CN"/>
              </w:rPr>
            </w:pPr>
            <w:r>
              <w:rPr>
                <w:rFonts w:hint="eastAsia"/>
                <w:color w:val="auto"/>
                <w:highlight w:val="none"/>
                <w:lang w:val="en-US" w:eastAsia="zh-CN"/>
              </w:rPr>
              <w:t>1.2</w:t>
            </w:r>
          </w:p>
        </w:tc>
      </w:tr>
      <w:tr w14:paraId="0725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pct"/>
            <w:gridSpan w:val="4"/>
            <w:tcBorders>
              <w:tl2br w:val="nil"/>
              <w:tr2bl w:val="nil"/>
            </w:tcBorders>
            <w:shd w:val="clear" w:color="auto" w:fill="auto"/>
            <w:vAlign w:val="center"/>
          </w:tcPr>
          <w:p w14:paraId="5F52D234">
            <w:pPr>
              <w:pStyle w:val="17"/>
              <w:bidi w:val="0"/>
              <w:rPr>
                <w:rFonts w:hint="default"/>
                <w:color w:val="auto"/>
                <w:highlight w:val="none"/>
                <w:lang w:val="en-US" w:eastAsia="zh-CN"/>
              </w:rPr>
            </w:pPr>
            <w:r>
              <w:rPr>
                <w:rFonts w:hint="eastAsia"/>
                <w:color w:val="auto"/>
                <w:highlight w:val="none"/>
                <w:lang w:val="en-US" w:eastAsia="zh-CN"/>
              </w:rPr>
              <w:t>合计</w:t>
            </w:r>
          </w:p>
        </w:tc>
        <w:tc>
          <w:tcPr>
            <w:tcW w:w="1030" w:type="pct"/>
            <w:tcBorders>
              <w:tl2br w:val="nil"/>
              <w:tr2bl w:val="nil"/>
            </w:tcBorders>
            <w:shd w:val="clear" w:color="auto" w:fill="auto"/>
            <w:vAlign w:val="center"/>
          </w:tcPr>
          <w:p w14:paraId="0A60C341">
            <w:pPr>
              <w:pStyle w:val="17"/>
              <w:bidi w:val="0"/>
              <w:rPr>
                <w:rFonts w:hint="default"/>
                <w:color w:val="auto"/>
                <w:highlight w:val="none"/>
                <w:lang w:val="en-US" w:eastAsia="zh-CN"/>
              </w:rPr>
            </w:pPr>
            <w:r>
              <w:rPr>
                <w:rFonts w:hint="eastAsia"/>
                <w:color w:val="auto"/>
                <w:highlight w:val="none"/>
                <w:lang w:val="en-US" w:eastAsia="zh-CN"/>
              </w:rPr>
              <w:t>202.32</w:t>
            </w:r>
          </w:p>
        </w:tc>
      </w:tr>
    </w:tbl>
    <w:p w14:paraId="36FD8C97">
      <w:pPr>
        <w:overflowPunct w:val="0"/>
        <w:topLinePunct/>
        <w:ind w:firstLine="480"/>
        <w:rPr>
          <w:rFonts w:hint="eastAsia"/>
          <w:color w:val="auto"/>
          <w:kern w:val="0"/>
          <w:highlight w:val="none"/>
        </w:rPr>
      </w:pPr>
      <w:r>
        <w:rPr>
          <w:rFonts w:hint="eastAsia"/>
          <w:color w:val="auto"/>
          <w:kern w:val="0"/>
          <w:highlight w:val="none"/>
        </w:rPr>
        <w:t>本项目产生废包装</w:t>
      </w:r>
      <w:r>
        <w:rPr>
          <w:rFonts w:hint="eastAsia"/>
          <w:color w:val="auto"/>
          <w:kern w:val="0"/>
          <w:highlight w:val="none"/>
          <w:lang w:val="en-US" w:eastAsia="zh-CN"/>
        </w:rPr>
        <w:t>材料约</w:t>
      </w:r>
      <w:r>
        <w:rPr>
          <w:rFonts w:hint="eastAsia"/>
          <w:color w:val="auto"/>
          <w:highlight w:val="none"/>
          <w:lang w:val="en-US" w:eastAsia="zh-CN"/>
        </w:rPr>
        <w:t>202.32</w:t>
      </w:r>
      <w:r>
        <w:rPr>
          <w:rFonts w:hint="eastAsia"/>
          <w:color w:val="auto"/>
          <w:kern w:val="0"/>
          <w:highlight w:val="none"/>
        </w:rPr>
        <w:t>t/a</w:t>
      </w:r>
      <w:r>
        <w:rPr>
          <w:rFonts w:hint="eastAsia"/>
          <w:color w:val="auto"/>
          <w:kern w:val="0"/>
          <w:highlight w:val="none"/>
          <w:lang w:eastAsia="zh-CN"/>
        </w:rPr>
        <w:t>，</w:t>
      </w:r>
      <w:r>
        <w:rPr>
          <w:rFonts w:hint="eastAsia"/>
          <w:color w:val="auto"/>
          <w:kern w:val="0"/>
          <w:highlight w:val="none"/>
          <w:lang w:val="en-US" w:eastAsia="zh-CN"/>
        </w:rPr>
        <w:t>属于一般固废，由厂家定期回收</w:t>
      </w:r>
      <w:r>
        <w:rPr>
          <w:rFonts w:hint="eastAsia"/>
          <w:color w:val="auto"/>
          <w:kern w:val="0"/>
          <w:highlight w:val="none"/>
        </w:rPr>
        <w:t>。</w:t>
      </w:r>
    </w:p>
    <w:p w14:paraId="5D0131BC">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6</w:t>
      </w:r>
      <w:r>
        <w:rPr>
          <w:rFonts w:hint="eastAsia"/>
          <w:color w:val="auto"/>
          <w:kern w:val="0"/>
          <w:highlight w:val="none"/>
        </w:rPr>
        <w:t>）除尘灰</w:t>
      </w:r>
    </w:p>
    <w:p w14:paraId="4EDC7A8E">
      <w:pPr>
        <w:overflowPunct w:val="0"/>
        <w:topLinePunct/>
        <w:ind w:firstLine="480"/>
        <w:rPr>
          <w:color w:val="auto"/>
          <w:kern w:val="0"/>
          <w:highlight w:val="none"/>
        </w:rPr>
      </w:pPr>
      <w:r>
        <w:rPr>
          <w:rFonts w:hint="eastAsia"/>
          <w:color w:val="auto"/>
          <w:kern w:val="0"/>
          <w:highlight w:val="none"/>
          <w:lang w:val="en-US" w:eastAsia="zh-CN"/>
        </w:rPr>
        <w:t>项目</w:t>
      </w:r>
      <w:r>
        <w:rPr>
          <w:rFonts w:hint="eastAsia"/>
          <w:color w:val="auto"/>
          <w:kern w:val="0"/>
          <w:highlight w:val="none"/>
        </w:rPr>
        <w:t>除尘器收集的粉尘</w:t>
      </w:r>
      <w:r>
        <w:rPr>
          <w:rFonts w:hint="eastAsia" w:ascii="Times New Roman" w:hAnsi="Times New Roman" w:eastAsia="宋体" w:cs="Times New Roman"/>
          <w:color w:val="auto"/>
          <w:kern w:val="2"/>
          <w:sz w:val="24"/>
          <w:szCs w:val="24"/>
          <w:highlight w:val="none"/>
          <w:lang w:val="en-US" w:eastAsia="zh-CN" w:bidi="ar-SA"/>
        </w:rPr>
        <w:t>的量约为</w:t>
      </w:r>
      <w:r>
        <w:rPr>
          <w:rFonts w:hint="eastAsia" w:cs="Times New Roman"/>
          <w:color w:val="auto"/>
          <w:kern w:val="2"/>
          <w:sz w:val="24"/>
          <w:szCs w:val="24"/>
          <w:highlight w:val="none"/>
          <w:lang w:val="en-US" w:eastAsia="zh-CN" w:bidi="ar-SA"/>
        </w:rPr>
        <w:t>1186.8</w:t>
      </w:r>
      <w:r>
        <w:rPr>
          <w:rFonts w:hint="eastAsia"/>
          <w:color w:val="auto"/>
          <w:kern w:val="0"/>
          <w:highlight w:val="none"/>
        </w:rPr>
        <w:t>t/a</w:t>
      </w:r>
      <w:r>
        <w:rPr>
          <w:rFonts w:hint="eastAsia"/>
          <w:color w:val="auto"/>
          <w:kern w:val="0"/>
          <w:highlight w:val="none"/>
          <w:lang w:eastAsia="zh-CN"/>
        </w:rPr>
        <w:t>，</w:t>
      </w:r>
      <w:r>
        <w:rPr>
          <w:rFonts w:hint="eastAsia"/>
          <w:color w:val="auto"/>
          <w:kern w:val="0"/>
          <w:highlight w:val="none"/>
          <w:lang w:val="en-US" w:eastAsia="zh-CN"/>
        </w:rPr>
        <w:t>其主要成分为萤石矿粉</w:t>
      </w:r>
      <w:r>
        <w:rPr>
          <w:rFonts w:hint="eastAsia"/>
          <w:color w:val="auto"/>
          <w:kern w:val="0"/>
          <w:highlight w:val="none"/>
        </w:rPr>
        <w:t>，</w:t>
      </w:r>
      <w:r>
        <w:rPr>
          <w:color w:val="auto"/>
          <w:highlight w:val="none"/>
        </w:rPr>
        <w:t>通过除尘器灰斗</w:t>
      </w:r>
      <w:r>
        <w:rPr>
          <w:rFonts w:hint="eastAsia"/>
          <w:color w:val="auto"/>
          <w:highlight w:val="none"/>
        </w:rPr>
        <w:t>收集后</w:t>
      </w:r>
      <w:r>
        <w:rPr>
          <w:rFonts w:hint="eastAsia"/>
          <w:color w:val="auto"/>
          <w:kern w:val="0"/>
          <w:highlight w:val="none"/>
        </w:rPr>
        <w:t>回用于选矿生产</w:t>
      </w:r>
      <w:r>
        <w:rPr>
          <w:rFonts w:hint="eastAsia"/>
          <w:color w:val="auto"/>
          <w:highlight w:val="none"/>
        </w:rPr>
        <w:t>。</w:t>
      </w:r>
    </w:p>
    <w:p w14:paraId="10BD7B1D">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7</w:t>
      </w:r>
      <w:r>
        <w:rPr>
          <w:rFonts w:hint="eastAsia"/>
          <w:color w:val="auto"/>
          <w:kern w:val="0"/>
          <w:highlight w:val="none"/>
        </w:rPr>
        <w:t>）废离子交换树脂</w:t>
      </w:r>
    </w:p>
    <w:p w14:paraId="0E1BBD01">
      <w:pPr>
        <w:overflowPunct w:val="0"/>
        <w:topLinePunct/>
        <w:ind w:firstLine="480"/>
        <w:rPr>
          <w:color w:val="auto"/>
          <w:kern w:val="0"/>
          <w:highlight w:val="none"/>
        </w:rPr>
      </w:pPr>
      <w:r>
        <w:rPr>
          <w:rFonts w:hint="eastAsia"/>
          <w:color w:val="auto"/>
          <w:kern w:val="0"/>
          <w:highlight w:val="none"/>
        </w:rPr>
        <w:t>锅炉制软水</w:t>
      </w:r>
      <w:r>
        <w:rPr>
          <w:rFonts w:hint="eastAsia"/>
          <w:color w:val="auto"/>
          <w:kern w:val="0"/>
          <w:highlight w:val="none"/>
          <w:lang w:val="en-US" w:eastAsia="zh-CN"/>
        </w:rPr>
        <w:t>制备</w:t>
      </w:r>
      <w:r>
        <w:rPr>
          <w:rFonts w:hint="eastAsia"/>
          <w:color w:val="auto"/>
          <w:kern w:val="0"/>
          <w:highlight w:val="none"/>
        </w:rPr>
        <w:t>会产生废离子交换树脂，</w:t>
      </w:r>
      <w:r>
        <w:rPr>
          <w:color w:val="auto"/>
          <w:highlight w:val="none"/>
        </w:rPr>
        <w:t>废离子交换树脂年产生量为0.</w:t>
      </w:r>
      <w:r>
        <w:rPr>
          <w:rFonts w:hint="eastAsia"/>
          <w:color w:val="auto"/>
          <w:highlight w:val="none"/>
          <w:lang w:val="en-US" w:eastAsia="zh-CN"/>
        </w:rPr>
        <w:t>2</w:t>
      </w:r>
      <w:r>
        <w:rPr>
          <w:color w:val="auto"/>
          <w:highlight w:val="none"/>
        </w:rPr>
        <w:t>t/</w:t>
      </w:r>
      <w:r>
        <w:rPr>
          <w:rFonts w:hint="eastAsia"/>
          <w:color w:val="auto"/>
          <w:highlight w:val="none"/>
        </w:rPr>
        <w:t>3</w:t>
      </w:r>
      <w:r>
        <w:rPr>
          <w:color w:val="auto"/>
          <w:highlight w:val="none"/>
        </w:rPr>
        <w:t>a，</w:t>
      </w:r>
      <w:r>
        <w:rPr>
          <w:rFonts w:hint="eastAsia"/>
          <w:color w:val="auto"/>
          <w:highlight w:val="none"/>
          <w:lang w:val="en-US" w:eastAsia="zh-CN"/>
        </w:rPr>
        <w:t>属于一般固废</w:t>
      </w:r>
      <w:r>
        <w:rPr>
          <w:rFonts w:hint="eastAsia"/>
          <w:color w:val="auto"/>
          <w:highlight w:val="none"/>
        </w:rPr>
        <w:t>，</w:t>
      </w:r>
      <w:r>
        <w:rPr>
          <w:color w:val="auto"/>
          <w:highlight w:val="none"/>
        </w:rPr>
        <w:t>树脂更换由厂家负责，更换的旧树脂由厂家回收处理。</w:t>
      </w:r>
    </w:p>
    <w:p w14:paraId="77CC0F16">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8</w:t>
      </w:r>
      <w:r>
        <w:rPr>
          <w:rFonts w:hint="eastAsia"/>
          <w:color w:val="auto"/>
          <w:kern w:val="0"/>
          <w:highlight w:val="none"/>
        </w:rPr>
        <w:t>）</w:t>
      </w:r>
      <w:r>
        <w:rPr>
          <w:rFonts w:hint="eastAsia"/>
          <w:color w:val="auto"/>
          <w:kern w:val="0"/>
          <w:highlight w:val="none"/>
          <w:lang w:val="en-US" w:eastAsia="zh-CN"/>
        </w:rPr>
        <w:t>回水</w:t>
      </w:r>
      <w:r>
        <w:rPr>
          <w:rFonts w:hint="eastAsia"/>
          <w:color w:val="auto"/>
          <w:kern w:val="0"/>
          <w:highlight w:val="none"/>
        </w:rPr>
        <w:t>底泥</w:t>
      </w:r>
    </w:p>
    <w:p w14:paraId="6FE927B8">
      <w:pPr>
        <w:overflowPunct w:val="0"/>
        <w:topLinePunct/>
        <w:ind w:firstLine="480"/>
        <w:rPr>
          <w:color w:val="auto"/>
          <w:kern w:val="0"/>
          <w:highlight w:val="none"/>
        </w:rPr>
      </w:pPr>
      <w:r>
        <w:rPr>
          <w:rFonts w:hint="eastAsia"/>
          <w:color w:val="auto"/>
          <w:kern w:val="0"/>
          <w:highlight w:val="none"/>
          <w:lang w:val="en-US" w:eastAsia="zh-CN"/>
        </w:rPr>
        <w:t>项目回水池</w:t>
      </w:r>
      <w:r>
        <w:rPr>
          <w:rFonts w:hint="eastAsia"/>
          <w:color w:val="auto"/>
          <w:kern w:val="0"/>
          <w:highlight w:val="none"/>
        </w:rPr>
        <w:t>底泥产生量约</w:t>
      </w:r>
      <w:r>
        <w:rPr>
          <w:rFonts w:hint="eastAsia"/>
          <w:color w:val="auto"/>
          <w:kern w:val="0"/>
          <w:highlight w:val="none"/>
          <w:lang w:val="en-US" w:eastAsia="zh-CN"/>
        </w:rPr>
        <w:t>120</w:t>
      </w:r>
      <w:r>
        <w:rPr>
          <w:rFonts w:hint="eastAsia"/>
          <w:color w:val="auto"/>
          <w:kern w:val="0"/>
          <w:highlight w:val="none"/>
        </w:rPr>
        <w:t>t/a</w:t>
      </w:r>
      <w:r>
        <w:rPr>
          <w:rFonts w:hint="eastAsia"/>
          <w:color w:val="auto"/>
          <w:kern w:val="0"/>
          <w:highlight w:val="none"/>
          <w:lang w:eastAsia="zh-CN"/>
        </w:rPr>
        <w:t>，</w:t>
      </w:r>
      <w:r>
        <w:rPr>
          <w:rFonts w:hint="eastAsia"/>
          <w:color w:val="auto"/>
          <w:kern w:val="0"/>
          <w:highlight w:val="none"/>
        </w:rPr>
        <w:t>循环水池定期清理，返回生产工序回用于选矿。</w:t>
      </w:r>
    </w:p>
    <w:p w14:paraId="48A8F817">
      <w:pPr>
        <w:overflowPunct w:val="0"/>
        <w:topLinePunct/>
        <w:ind w:firstLine="480"/>
        <w:rPr>
          <w:rFonts w:hint="eastAsia"/>
          <w:color w:val="auto"/>
          <w:kern w:val="0"/>
          <w:highlight w:val="none"/>
          <w:lang w:val="en-US" w:eastAsia="zh-CN"/>
        </w:rPr>
      </w:pPr>
      <w:r>
        <w:rPr>
          <w:rFonts w:hint="eastAsia"/>
          <w:color w:val="auto"/>
          <w:kern w:val="0"/>
          <w:highlight w:val="none"/>
          <w:lang w:eastAsia="zh-CN"/>
        </w:rPr>
        <w:t>（</w:t>
      </w:r>
      <w:r>
        <w:rPr>
          <w:rFonts w:hint="eastAsia"/>
          <w:color w:val="auto"/>
          <w:kern w:val="0"/>
          <w:highlight w:val="none"/>
          <w:lang w:val="en-US" w:eastAsia="zh-CN"/>
        </w:rPr>
        <w:t>9）水处理底泥</w:t>
      </w:r>
    </w:p>
    <w:p w14:paraId="7614F935">
      <w:pPr>
        <w:overflowPunct w:val="0"/>
        <w:topLinePunct/>
        <w:ind w:firstLine="480"/>
        <w:rPr>
          <w:color w:val="auto"/>
          <w:highlight w:val="none"/>
        </w:rPr>
      </w:pPr>
      <w:r>
        <w:rPr>
          <w:rFonts w:hint="eastAsia"/>
          <w:color w:val="auto"/>
          <w:kern w:val="0"/>
          <w:highlight w:val="none"/>
          <w:lang w:val="en-US" w:eastAsia="zh-CN"/>
        </w:rPr>
        <w:t>项目坑内水、水源地生产水处理产生的底泥，主要成分为泥沙，产生量约为155t/a，</w:t>
      </w:r>
      <w:r>
        <w:rPr>
          <w:rFonts w:hint="eastAsia"/>
          <w:color w:val="auto"/>
          <w:kern w:val="0"/>
          <w:highlight w:val="none"/>
        </w:rPr>
        <w:t>属于一般固体废物，集中收集后定期拉运至</w:t>
      </w:r>
      <w:r>
        <w:rPr>
          <w:rFonts w:hint="eastAsia"/>
          <w:color w:val="auto"/>
          <w:kern w:val="0"/>
          <w:highlight w:val="none"/>
          <w:lang w:eastAsia="zh-CN"/>
        </w:rPr>
        <w:t>若羌</w:t>
      </w:r>
      <w:r>
        <w:rPr>
          <w:rFonts w:hint="eastAsia"/>
          <w:color w:val="auto"/>
          <w:kern w:val="0"/>
          <w:highlight w:val="none"/>
        </w:rPr>
        <w:t>县一般工业固体废物填埋场进行处置</w:t>
      </w:r>
      <w:r>
        <w:rPr>
          <w:rFonts w:hint="eastAsia"/>
          <w:color w:val="auto"/>
          <w:kern w:val="0"/>
          <w:highlight w:val="none"/>
          <w:lang w:val="en-US" w:eastAsia="zh-CN"/>
        </w:rPr>
        <w:t>。</w:t>
      </w:r>
    </w:p>
    <w:p w14:paraId="03B0A377">
      <w:pPr>
        <w:overflowPunct w:val="0"/>
        <w:topLinePunct/>
        <w:ind w:firstLine="480"/>
        <w:rPr>
          <w:rFonts w:hint="default" w:eastAsia="宋体"/>
          <w:color w:val="auto"/>
          <w:kern w:val="0"/>
          <w:highlight w:val="none"/>
          <w:lang w:val="en-US" w:eastAsia="zh-CN"/>
        </w:rPr>
      </w:pPr>
      <w:r>
        <w:rPr>
          <w:rFonts w:hint="eastAsia"/>
          <w:color w:val="auto"/>
          <w:kern w:val="0"/>
          <w:highlight w:val="none"/>
          <w:lang w:val="en-US" w:eastAsia="zh-CN"/>
        </w:rPr>
        <w:t>（10</w:t>
      </w:r>
      <w:r>
        <w:rPr>
          <w:rFonts w:hint="eastAsia"/>
          <w:color w:val="auto"/>
          <w:kern w:val="0"/>
          <w:highlight w:val="none"/>
        </w:rPr>
        <w:t>）</w:t>
      </w:r>
      <w:r>
        <w:rPr>
          <w:rFonts w:hint="eastAsia"/>
          <w:color w:val="auto"/>
          <w:kern w:val="0"/>
          <w:highlight w:val="none"/>
          <w:lang w:val="en-US" w:eastAsia="zh-CN"/>
        </w:rPr>
        <w:t>废活性炭</w:t>
      </w:r>
    </w:p>
    <w:p w14:paraId="3A068242">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生活用水净化</w:t>
      </w:r>
      <w:r>
        <w:rPr>
          <w:rFonts w:hint="default"/>
          <w:color w:val="auto"/>
          <w:highlight w:val="none"/>
          <w:lang w:val="en-US" w:eastAsia="zh-CN"/>
        </w:rPr>
        <w:t>采用活性炭过滤，</w:t>
      </w:r>
      <w:r>
        <w:rPr>
          <w:rFonts w:hint="eastAsia"/>
          <w:color w:val="auto"/>
          <w:highlight w:val="none"/>
          <w:lang w:val="en-US" w:eastAsia="zh-CN"/>
        </w:rPr>
        <w:t>定期更换</w:t>
      </w:r>
      <w:r>
        <w:rPr>
          <w:rFonts w:hint="default"/>
          <w:color w:val="auto"/>
          <w:highlight w:val="none"/>
          <w:lang w:val="en-US" w:eastAsia="zh-CN"/>
        </w:rPr>
        <w:t>，废活性炭产生量为0.</w:t>
      </w:r>
      <w:r>
        <w:rPr>
          <w:rFonts w:hint="eastAsia"/>
          <w:color w:val="auto"/>
          <w:highlight w:val="none"/>
          <w:lang w:val="en-US" w:eastAsia="zh-CN"/>
        </w:rPr>
        <w:t>2</w:t>
      </w:r>
      <w:r>
        <w:rPr>
          <w:rFonts w:hint="default"/>
          <w:color w:val="auto"/>
          <w:highlight w:val="none"/>
          <w:lang w:val="en-US" w:eastAsia="zh-CN"/>
        </w:rPr>
        <w:t>t/a</w:t>
      </w:r>
      <w:r>
        <w:rPr>
          <w:rFonts w:hint="eastAsia"/>
          <w:color w:val="auto"/>
          <w:highlight w:val="none"/>
          <w:lang w:val="en-US" w:eastAsia="zh-CN"/>
        </w:rPr>
        <w:t>，外售处置利用。</w:t>
      </w:r>
    </w:p>
    <w:p w14:paraId="12CF7F55">
      <w:pPr>
        <w:overflowPunct w:val="0"/>
        <w:topLinePunct/>
        <w:ind w:firstLine="480"/>
        <w:rPr>
          <w:rFonts w:hint="eastAsia"/>
          <w:color w:val="auto"/>
          <w:kern w:val="0"/>
          <w:highlight w:val="none"/>
          <w:lang w:val="en-US" w:eastAsia="zh-CN"/>
        </w:rPr>
      </w:pPr>
      <w:r>
        <w:rPr>
          <w:rFonts w:hint="eastAsia"/>
          <w:color w:val="auto"/>
          <w:kern w:val="0"/>
          <w:highlight w:val="none"/>
          <w:lang w:eastAsia="zh-CN"/>
        </w:rPr>
        <w:t>（</w:t>
      </w:r>
      <w:r>
        <w:rPr>
          <w:rFonts w:hint="eastAsia"/>
          <w:color w:val="auto"/>
          <w:kern w:val="0"/>
          <w:highlight w:val="none"/>
          <w:lang w:val="en-US" w:eastAsia="zh-CN"/>
        </w:rPr>
        <w:t>11）废石英砂</w:t>
      </w:r>
    </w:p>
    <w:p w14:paraId="276EDBD0">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生活用水净化</w:t>
      </w:r>
      <w:r>
        <w:rPr>
          <w:rFonts w:hint="default"/>
          <w:color w:val="auto"/>
          <w:highlight w:val="none"/>
          <w:lang w:val="en-US" w:eastAsia="zh-CN"/>
        </w:rPr>
        <w:t>采用石英砂过滤，</w:t>
      </w:r>
      <w:r>
        <w:rPr>
          <w:rFonts w:hint="eastAsia"/>
          <w:color w:val="auto"/>
          <w:highlight w:val="none"/>
          <w:lang w:val="en-US" w:eastAsia="zh-CN"/>
        </w:rPr>
        <w:t>定期更换</w:t>
      </w:r>
      <w:r>
        <w:rPr>
          <w:rFonts w:hint="default"/>
          <w:color w:val="auto"/>
          <w:highlight w:val="none"/>
          <w:lang w:val="en-US" w:eastAsia="zh-CN"/>
        </w:rPr>
        <w:t>，废石英砂产生量约为</w:t>
      </w:r>
      <w:r>
        <w:rPr>
          <w:rFonts w:hint="eastAsia"/>
          <w:color w:val="auto"/>
          <w:highlight w:val="none"/>
          <w:lang w:val="en-US" w:eastAsia="zh-CN"/>
        </w:rPr>
        <w:t>0.</w:t>
      </w:r>
      <w:r>
        <w:rPr>
          <w:rFonts w:hint="default"/>
          <w:color w:val="auto"/>
          <w:highlight w:val="none"/>
          <w:lang w:val="en-US" w:eastAsia="zh-CN"/>
        </w:rPr>
        <w:t>5t/a</w:t>
      </w:r>
      <w:r>
        <w:rPr>
          <w:rFonts w:hint="eastAsia"/>
          <w:color w:val="auto"/>
          <w:highlight w:val="none"/>
          <w:lang w:val="en-US" w:eastAsia="zh-CN"/>
        </w:rPr>
        <w:t>，</w:t>
      </w:r>
      <w:r>
        <w:rPr>
          <w:rFonts w:hint="default"/>
          <w:color w:val="auto"/>
          <w:highlight w:val="none"/>
          <w:lang w:val="en-US" w:eastAsia="zh-CN"/>
        </w:rPr>
        <w:t>外售处置利用。</w:t>
      </w:r>
    </w:p>
    <w:p w14:paraId="0D47B988">
      <w:pPr>
        <w:overflowPunct w:val="0"/>
        <w:topLinePunct/>
        <w:ind w:firstLine="480"/>
        <w:rPr>
          <w:color w:val="auto"/>
          <w:kern w:val="0"/>
          <w:highlight w:val="none"/>
        </w:rPr>
      </w:pPr>
      <w:r>
        <w:rPr>
          <w:rFonts w:hint="eastAsia"/>
          <w:color w:val="auto"/>
          <w:kern w:val="0"/>
          <w:highlight w:val="none"/>
          <w:lang w:val="en-US" w:eastAsia="zh-CN"/>
        </w:rPr>
        <w:t>（12）</w:t>
      </w:r>
      <w:r>
        <w:rPr>
          <w:rFonts w:hint="eastAsia"/>
          <w:color w:val="auto"/>
          <w:kern w:val="0"/>
          <w:highlight w:val="none"/>
        </w:rPr>
        <w:t>废布袋</w:t>
      </w:r>
    </w:p>
    <w:p w14:paraId="5AEACA34">
      <w:pPr>
        <w:overflowPunct w:val="0"/>
        <w:topLinePunct/>
        <w:ind w:firstLine="480"/>
        <w:rPr>
          <w:color w:val="auto"/>
          <w:kern w:val="0"/>
          <w:highlight w:val="none"/>
        </w:rPr>
      </w:pPr>
      <w:r>
        <w:rPr>
          <w:rFonts w:hint="eastAsia"/>
          <w:color w:val="auto"/>
          <w:kern w:val="0"/>
          <w:highlight w:val="none"/>
        </w:rPr>
        <w:t>根据项目需要采取布袋除尘器作为环保处理措施手段，但在运行过程中难免会发生布袋破损，或遇水后糊袋的现象，因此需要更换布袋。本项目废布袋产生量约为0.5t/a，该部分固废属于一般固体废物，集中收集后定期拉运至</w:t>
      </w:r>
      <w:r>
        <w:rPr>
          <w:rFonts w:hint="eastAsia"/>
          <w:color w:val="auto"/>
          <w:kern w:val="0"/>
          <w:highlight w:val="none"/>
          <w:lang w:eastAsia="zh-CN"/>
        </w:rPr>
        <w:t>若羌</w:t>
      </w:r>
      <w:r>
        <w:rPr>
          <w:rFonts w:hint="eastAsia"/>
          <w:color w:val="auto"/>
          <w:kern w:val="0"/>
          <w:highlight w:val="none"/>
        </w:rPr>
        <w:t>县一般工业固体废物填埋场进行处置。</w:t>
      </w:r>
    </w:p>
    <w:p w14:paraId="46DBA3AC">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13</w:t>
      </w:r>
      <w:r>
        <w:rPr>
          <w:rFonts w:hint="eastAsia"/>
          <w:color w:val="auto"/>
          <w:kern w:val="0"/>
          <w:highlight w:val="none"/>
        </w:rPr>
        <w:t>）化验废液</w:t>
      </w:r>
    </w:p>
    <w:p w14:paraId="0D4DC766">
      <w:pPr>
        <w:spacing w:line="480" w:lineRule="exact"/>
        <w:ind w:firstLine="480" w:firstLineChars="200"/>
        <w:textAlignment w:val="baseline"/>
        <w:rPr>
          <w:color w:val="auto"/>
          <w:sz w:val="24"/>
          <w:highlight w:val="none"/>
        </w:rPr>
      </w:pPr>
      <w:r>
        <w:rPr>
          <w:rFonts w:hint="eastAsia" w:ascii="Times New Roman" w:hAnsi="Times New Roman" w:eastAsia="宋体" w:cs="Times New Roman"/>
          <w:b w:val="0"/>
          <w:bCs w:val="0"/>
          <w:color w:val="auto"/>
          <w:kern w:val="0"/>
          <w:sz w:val="24"/>
          <w:szCs w:val="24"/>
          <w:highlight w:val="none"/>
          <w:lang w:val="en-US" w:eastAsia="zh-CN" w:bidi="ar-SA"/>
        </w:rPr>
        <w:t>本项目危险废物为实验室化验废物，包括</w:t>
      </w:r>
      <w:r>
        <w:rPr>
          <w:rFonts w:hint="eastAsia"/>
          <w:color w:val="auto"/>
          <w:sz w:val="24"/>
          <w:highlight w:val="none"/>
          <w:lang w:eastAsia="zh-CN"/>
        </w:rPr>
        <w:t>项目化验室</w:t>
      </w:r>
      <w:r>
        <w:rPr>
          <w:rFonts w:hint="eastAsia"/>
          <w:color w:val="auto"/>
          <w:sz w:val="24"/>
          <w:highlight w:val="none"/>
        </w:rPr>
        <w:t>第一次清洗废水</w:t>
      </w:r>
      <w:r>
        <w:rPr>
          <w:rFonts w:hint="eastAsia"/>
          <w:color w:val="auto"/>
          <w:sz w:val="24"/>
          <w:highlight w:val="none"/>
          <w:lang w:eastAsia="zh-CN"/>
        </w:rPr>
        <w:t>（</w:t>
      </w:r>
      <w:r>
        <w:rPr>
          <w:rFonts w:hint="eastAsia"/>
          <w:color w:val="auto"/>
          <w:sz w:val="24"/>
          <w:highlight w:val="none"/>
          <w:lang w:val="en-US" w:eastAsia="zh-CN"/>
        </w:rPr>
        <w:t>3t/a）</w:t>
      </w:r>
      <w:r>
        <w:rPr>
          <w:rFonts w:hint="eastAsia"/>
          <w:color w:val="auto"/>
          <w:sz w:val="24"/>
          <w:highlight w:val="none"/>
        </w:rPr>
        <w:t>、</w:t>
      </w:r>
      <w:r>
        <w:rPr>
          <w:rFonts w:hint="eastAsia"/>
          <w:color w:val="auto"/>
          <w:sz w:val="24"/>
          <w:highlight w:val="none"/>
          <w:lang w:eastAsia="zh-CN"/>
        </w:rPr>
        <w:t>化验</w:t>
      </w:r>
      <w:r>
        <w:rPr>
          <w:color w:val="auto"/>
          <w:sz w:val="24"/>
          <w:highlight w:val="none"/>
        </w:rPr>
        <w:t>废液</w:t>
      </w:r>
      <w:r>
        <w:rPr>
          <w:rFonts w:hint="eastAsia"/>
          <w:color w:val="auto"/>
          <w:sz w:val="24"/>
          <w:highlight w:val="none"/>
          <w:lang w:eastAsia="zh-CN"/>
        </w:rPr>
        <w:t>（</w:t>
      </w:r>
      <w:r>
        <w:rPr>
          <w:rFonts w:hint="eastAsia"/>
          <w:color w:val="auto"/>
          <w:sz w:val="24"/>
          <w:highlight w:val="none"/>
          <w:lang w:val="en-US" w:eastAsia="zh-CN"/>
        </w:rPr>
        <w:t>1t/a）</w:t>
      </w:r>
      <w:r>
        <w:rPr>
          <w:color w:val="auto"/>
          <w:sz w:val="24"/>
          <w:highlight w:val="none"/>
        </w:rPr>
        <w:t>，含重金属或有毒有害化学试剂的废试纸、废滤膜、废容器、危险化学品废弃包装物</w:t>
      </w:r>
      <w:r>
        <w:rPr>
          <w:rFonts w:hint="eastAsia"/>
          <w:color w:val="auto"/>
          <w:sz w:val="24"/>
          <w:highlight w:val="none"/>
          <w:lang w:eastAsia="zh-CN"/>
        </w:rPr>
        <w:t>（</w:t>
      </w:r>
      <w:r>
        <w:rPr>
          <w:rFonts w:hint="eastAsia"/>
          <w:color w:val="auto"/>
          <w:sz w:val="24"/>
          <w:highlight w:val="none"/>
          <w:lang w:val="en-US" w:eastAsia="zh-CN"/>
        </w:rPr>
        <w:t>0.1t/a）</w:t>
      </w:r>
      <w:r>
        <w:rPr>
          <w:color w:val="auto"/>
          <w:sz w:val="24"/>
          <w:highlight w:val="none"/>
        </w:rPr>
        <w:t>，废弃化学试剂和废弃药品</w:t>
      </w:r>
      <w:r>
        <w:rPr>
          <w:rFonts w:hint="eastAsia"/>
          <w:color w:val="auto"/>
          <w:sz w:val="24"/>
          <w:highlight w:val="none"/>
          <w:lang w:eastAsia="zh-CN"/>
        </w:rPr>
        <w:t>（</w:t>
      </w:r>
      <w:r>
        <w:rPr>
          <w:rFonts w:hint="eastAsia"/>
          <w:color w:val="auto"/>
          <w:sz w:val="24"/>
          <w:highlight w:val="none"/>
          <w:lang w:val="en-US" w:eastAsia="zh-CN"/>
        </w:rPr>
        <w:t>0.05t/a）</w:t>
      </w:r>
      <w:r>
        <w:rPr>
          <w:color w:val="auto"/>
          <w:sz w:val="24"/>
          <w:highlight w:val="none"/>
        </w:rPr>
        <w:t>等</w:t>
      </w:r>
      <w:r>
        <w:rPr>
          <w:rFonts w:hint="eastAsia"/>
          <w:color w:val="auto"/>
          <w:sz w:val="24"/>
          <w:highlight w:val="none"/>
          <w:lang w:eastAsia="zh-CN"/>
        </w:rPr>
        <w:t>，均属于危险废物，</w:t>
      </w:r>
      <w:r>
        <w:rPr>
          <w:color w:val="auto"/>
          <w:sz w:val="24"/>
          <w:highlight w:val="none"/>
        </w:rPr>
        <w:t>根据《</w:t>
      </w:r>
      <w:r>
        <w:rPr>
          <w:color w:val="auto"/>
          <w:sz w:val="24"/>
          <w:highlight w:val="none"/>
        </w:rPr>
        <w:fldChar w:fldCharType="begin"/>
      </w:r>
      <w:r>
        <w:rPr>
          <w:color w:val="auto"/>
          <w:sz w:val="24"/>
          <w:highlight w:val="none"/>
        </w:rPr>
        <w:instrText xml:space="preserve"> HYPERLINK "http://www.zhb.gov.cn/info/bgw/bl/200806/W020080617312803614193.pdf" \t "_self" </w:instrText>
      </w:r>
      <w:r>
        <w:rPr>
          <w:color w:val="auto"/>
          <w:sz w:val="24"/>
          <w:highlight w:val="none"/>
        </w:rPr>
        <w:fldChar w:fldCharType="separate"/>
      </w:r>
      <w:r>
        <w:rPr>
          <w:color w:val="auto"/>
          <w:sz w:val="24"/>
          <w:highlight w:val="none"/>
        </w:rPr>
        <w:t>国家危险废物名录</w:t>
      </w:r>
      <w:r>
        <w:rPr>
          <w:color w:val="auto"/>
          <w:sz w:val="24"/>
          <w:highlight w:val="none"/>
        </w:rPr>
        <w:fldChar w:fldCharType="end"/>
      </w:r>
      <w:r>
        <w:rPr>
          <w:bCs/>
          <w:color w:val="auto"/>
          <w:sz w:val="24"/>
          <w:highlight w:val="none"/>
        </w:rPr>
        <w:t>（</w:t>
      </w:r>
      <w:r>
        <w:rPr>
          <w:rFonts w:hint="eastAsia"/>
          <w:bCs/>
          <w:color w:val="auto"/>
          <w:sz w:val="24"/>
          <w:highlight w:val="none"/>
          <w:lang w:val="en-US" w:eastAsia="zh-CN"/>
        </w:rPr>
        <w:t>2025</w:t>
      </w:r>
      <w:r>
        <w:rPr>
          <w:bCs/>
          <w:color w:val="auto"/>
          <w:sz w:val="24"/>
          <w:highlight w:val="none"/>
        </w:rPr>
        <w:t>年版）</w:t>
      </w:r>
      <w:r>
        <w:rPr>
          <w:color w:val="auto"/>
          <w:sz w:val="24"/>
          <w:highlight w:val="none"/>
        </w:rPr>
        <w:t>》，</w:t>
      </w:r>
      <w:r>
        <w:rPr>
          <w:rFonts w:hint="eastAsia"/>
          <w:bCs/>
          <w:color w:val="auto"/>
          <w:sz w:val="24"/>
          <w:highlight w:val="none"/>
        </w:rPr>
        <w:t>废物类别为HW</w:t>
      </w:r>
      <w:r>
        <w:rPr>
          <w:rFonts w:hint="eastAsia"/>
          <w:bCs/>
          <w:color w:val="auto"/>
          <w:sz w:val="24"/>
          <w:highlight w:val="none"/>
          <w:lang w:val="en-US" w:eastAsia="zh-CN"/>
        </w:rPr>
        <w:t>49</w:t>
      </w:r>
      <w:r>
        <w:rPr>
          <w:rFonts w:hint="eastAsia"/>
          <w:bCs/>
          <w:color w:val="auto"/>
          <w:sz w:val="24"/>
          <w:highlight w:val="none"/>
          <w:lang w:eastAsia="zh-CN"/>
        </w:rPr>
        <w:t>其他</w:t>
      </w:r>
      <w:r>
        <w:rPr>
          <w:rFonts w:hint="eastAsia"/>
          <w:bCs/>
          <w:color w:val="auto"/>
          <w:sz w:val="24"/>
          <w:highlight w:val="none"/>
        </w:rPr>
        <w:t>废物，废物代码900-</w:t>
      </w:r>
      <w:r>
        <w:rPr>
          <w:rFonts w:hint="eastAsia"/>
          <w:bCs/>
          <w:color w:val="auto"/>
          <w:sz w:val="24"/>
          <w:highlight w:val="none"/>
          <w:lang w:val="en-US" w:eastAsia="zh-CN"/>
        </w:rPr>
        <w:t>047</w:t>
      </w:r>
      <w:r>
        <w:rPr>
          <w:rFonts w:hint="eastAsia"/>
          <w:bCs/>
          <w:color w:val="auto"/>
          <w:sz w:val="24"/>
          <w:highlight w:val="none"/>
        </w:rPr>
        <w:t>-</w:t>
      </w:r>
      <w:r>
        <w:rPr>
          <w:rFonts w:hint="eastAsia"/>
          <w:bCs/>
          <w:color w:val="auto"/>
          <w:sz w:val="24"/>
          <w:highlight w:val="none"/>
          <w:lang w:val="en-US" w:eastAsia="zh-CN"/>
        </w:rPr>
        <w:t>49</w:t>
      </w:r>
      <w:r>
        <w:rPr>
          <w:rFonts w:hint="eastAsia"/>
          <w:bCs/>
          <w:color w:val="auto"/>
          <w:sz w:val="24"/>
          <w:highlight w:val="none"/>
        </w:rPr>
        <w:t>，</w:t>
      </w:r>
      <w:r>
        <w:rPr>
          <w:rFonts w:hint="eastAsia"/>
          <w:bCs/>
          <w:color w:val="auto"/>
          <w:sz w:val="24"/>
          <w:highlight w:val="none"/>
          <w:lang w:eastAsia="zh-CN"/>
        </w:rPr>
        <w:t>化验室第一次清洗废水、化验废液使用耐酸碱，耐腐蚀的容器盛装，</w:t>
      </w:r>
      <w:r>
        <w:rPr>
          <w:rFonts w:hint="eastAsia"/>
          <w:bCs/>
          <w:color w:val="auto"/>
          <w:sz w:val="24"/>
          <w:highlight w:val="none"/>
        </w:rPr>
        <w:t>暂存</w:t>
      </w:r>
      <w:r>
        <w:rPr>
          <w:rFonts w:hint="eastAsia"/>
          <w:bCs/>
          <w:color w:val="auto"/>
          <w:sz w:val="24"/>
          <w:highlight w:val="none"/>
          <w:lang w:eastAsia="zh-CN"/>
        </w:rPr>
        <w:t>在</w:t>
      </w:r>
      <w:r>
        <w:rPr>
          <w:rFonts w:hint="eastAsia"/>
          <w:bCs/>
          <w:color w:val="auto"/>
          <w:sz w:val="24"/>
          <w:highlight w:val="none"/>
        </w:rPr>
        <w:t>危险废物</w:t>
      </w:r>
      <w:r>
        <w:rPr>
          <w:rFonts w:hint="eastAsia"/>
          <w:bCs/>
          <w:color w:val="auto"/>
          <w:sz w:val="24"/>
          <w:highlight w:val="none"/>
          <w:lang w:eastAsia="zh-CN"/>
        </w:rPr>
        <w:t>贮存</w:t>
      </w:r>
      <w:r>
        <w:rPr>
          <w:rFonts w:hint="eastAsia"/>
          <w:bCs/>
          <w:color w:val="auto"/>
          <w:sz w:val="24"/>
          <w:highlight w:val="none"/>
          <w:lang w:val="en-US" w:eastAsia="zh-CN"/>
        </w:rPr>
        <w:t>库</w:t>
      </w:r>
      <w:r>
        <w:rPr>
          <w:rFonts w:hint="eastAsia"/>
          <w:bCs/>
          <w:color w:val="auto"/>
          <w:sz w:val="24"/>
          <w:highlight w:val="none"/>
          <w:lang w:eastAsia="zh-CN"/>
        </w:rPr>
        <w:t>；</w:t>
      </w:r>
      <w:r>
        <w:rPr>
          <w:color w:val="auto"/>
          <w:sz w:val="24"/>
          <w:highlight w:val="none"/>
        </w:rPr>
        <w:t>含重金属或有毒有害化学试剂的废试纸、废滤膜、废容器、危险化学品废弃包装物</w:t>
      </w:r>
      <w:r>
        <w:rPr>
          <w:rFonts w:hint="eastAsia"/>
          <w:color w:val="auto"/>
          <w:sz w:val="24"/>
          <w:highlight w:val="none"/>
          <w:lang w:eastAsia="zh-CN"/>
        </w:rPr>
        <w:t>等使用收集箱盛装，暂存在危废贮存</w:t>
      </w:r>
      <w:r>
        <w:rPr>
          <w:rFonts w:hint="eastAsia"/>
          <w:color w:val="auto"/>
          <w:sz w:val="24"/>
          <w:highlight w:val="none"/>
          <w:lang w:val="en-US" w:eastAsia="zh-CN"/>
        </w:rPr>
        <w:t>库</w:t>
      </w:r>
      <w:r>
        <w:rPr>
          <w:rFonts w:hint="eastAsia"/>
          <w:color w:val="auto"/>
          <w:sz w:val="24"/>
          <w:highlight w:val="none"/>
          <w:lang w:eastAsia="zh-CN"/>
        </w:rPr>
        <w:t>内，定期</w:t>
      </w:r>
      <w:r>
        <w:rPr>
          <w:rFonts w:hint="eastAsia"/>
          <w:bCs/>
          <w:color w:val="auto"/>
          <w:sz w:val="24"/>
          <w:highlight w:val="none"/>
        </w:rPr>
        <w:t>委托有资质的单位处置。</w:t>
      </w:r>
    </w:p>
    <w:p w14:paraId="0776E6B3">
      <w:pPr>
        <w:overflowPunct w:val="0"/>
        <w:topLinePunct/>
        <w:ind w:firstLine="480"/>
        <w:rPr>
          <w:color w:val="auto"/>
          <w:kern w:val="0"/>
          <w:highlight w:val="none"/>
        </w:rPr>
      </w:pPr>
      <w:r>
        <w:rPr>
          <w:rFonts w:hint="eastAsia"/>
          <w:color w:val="auto"/>
          <w:kern w:val="0"/>
          <w:highlight w:val="none"/>
        </w:rPr>
        <w:t>本项目固体废物排放情况具体见表</w:t>
      </w:r>
      <w:r>
        <w:rPr>
          <w:color w:val="auto"/>
          <w:kern w:val="0"/>
          <w:highlight w:val="none"/>
        </w:rPr>
        <w:t>3.</w:t>
      </w:r>
      <w:r>
        <w:rPr>
          <w:rFonts w:hint="eastAsia"/>
          <w:color w:val="auto"/>
          <w:kern w:val="0"/>
          <w:highlight w:val="none"/>
          <w:lang w:val="en-US" w:eastAsia="zh-CN"/>
        </w:rPr>
        <w:t>3</w:t>
      </w:r>
      <w:r>
        <w:rPr>
          <w:color w:val="auto"/>
          <w:kern w:val="0"/>
          <w:highlight w:val="none"/>
        </w:rPr>
        <w:t>-</w:t>
      </w:r>
      <w:r>
        <w:rPr>
          <w:rFonts w:hint="eastAsia"/>
          <w:color w:val="auto"/>
          <w:kern w:val="0"/>
          <w:highlight w:val="none"/>
          <w:lang w:val="en-US" w:eastAsia="zh-CN"/>
        </w:rPr>
        <w:t>10</w:t>
      </w:r>
      <w:r>
        <w:rPr>
          <w:rFonts w:hint="eastAsia"/>
          <w:color w:val="auto"/>
          <w:kern w:val="0"/>
          <w:highlight w:val="none"/>
        </w:rPr>
        <w:t>。</w:t>
      </w:r>
    </w:p>
    <w:p w14:paraId="3819923B">
      <w:pPr>
        <w:ind w:firstLine="0" w:firstLineChars="0"/>
        <w:jc w:val="center"/>
        <w:rPr>
          <w:b/>
          <w:color w:val="auto"/>
          <w:kern w:val="0"/>
          <w:highlight w:val="none"/>
        </w:rPr>
      </w:pPr>
      <w:r>
        <w:rPr>
          <w:rFonts w:hint="eastAsia"/>
          <w:b/>
          <w:color w:val="auto"/>
          <w:kern w:val="0"/>
          <w:highlight w:val="none"/>
        </w:rPr>
        <w:t>表3.</w:t>
      </w:r>
      <w:r>
        <w:rPr>
          <w:rFonts w:hint="eastAsia"/>
          <w:b/>
          <w:color w:val="auto"/>
          <w:kern w:val="0"/>
          <w:highlight w:val="none"/>
          <w:lang w:val="en-US" w:eastAsia="zh-CN"/>
        </w:rPr>
        <w:t>3</w:t>
      </w:r>
      <w:r>
        <w:rPr>
          <w:rFonts w:hint="eastAsia"/>
          <w:b/>
          <w:color w:val="auto"/>
          <w:kern w:val="0"/>
          <w:highlight w:val="none"/>
        </w:rPr>
        <w:t>-</w:t>
      </w:r>
      <w:r>
        <w:rPr>
          <w:rFonts w:hint="eastAsia"/>
          <w:b/>
          <w:color w:val="auto"/>
          <w:kern w:val="0"/>
          <w:highlight w:val="none"/>
          <w:lang w:val="en-US" w:eastAsia="zh-CN"/>
        </w:rPr>
        <w:t xml:space="preserve">10   </w:t>
      </w:r>
      <w:r>
        <w:rPr>
          <w:rFonts w:hint="eastAsia"/>
          <w:b/>
          <w:color w:val="auto"/>
          <w:kern w:val="0"/>
          <w:highlight w:val="none"/>
        </w:rPr>
        <w:t>固体废物排放情况</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5"/>
        <w:gridCol w:w="1149"/>
        <w:gridCol w:w="771"/>
        <w:gridCol w:w="947"/>
        <w:gridCol w:w="1453"/>
        <w:gridCol w:w="2628"/>
        <w:gridCol w:w="855"/>
      </w:tblGrid>
      <w:tr w14:paraId="3A58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44" w:type="pct"/>
            <w:tcBorders>
              <w:tl2br w:val="nil"/>
              <w:tr2bl w:val="nil"/>
            </w:tcBorders>
            <w:vAlign w:val="center"/>
          </w:tcPr>
          <w:p w14:paraId="13BEB752">
            <w:pPr>
              <w:pStyle w:val="17"/>
              <w:bidi w:val="0"/>
              <w:rPr>
                <w:color w:val="auto"/>
                <w:highlight w:val="none"/>
              </w:rPr>
            </w:pPr>
            <w:r>
              <w:rPr>
                <w:rFonts w:hint="eastAsia"/>
                <w:color w:val="auto"/>
                <w:highlight w:val="none"/>
              </w:rPr>
              <w:t>固废名称</w:t>
            </w:r>
          </w:p>
        </w:tc>
        <w:tc>
          <w:tcPr>
            <w:tcW w:w="626" w:type="pct"/>
            <w:tcBorders>
              <w:tl2br w:val="nil"/>
              <w:tr2bl w:val="nil"/>
            </w:tcBorders>
            <w:vAlign w:val="center"/>
          </w:tcPr>
          <w:p w14:paraId="16467CED">
            <w:pPr>
              <w:pStyle w:val="17"/>
              <w:bidi w:val="0"/>
              <w:rPr>
                <w:color w:val="auto"/>
                <w:highlight w:val="none"/>
              </w:rPr>
            </w:pPr>
            <w:r>
              <w:rPr>
                <w:rFonts w:hint="eastAsia"/>
                <w:color w:val="auto"/>
                <w:highlight w:val="none"/>
              </w:rPr>
              <w:t>产生量</w:t>
            </w:r>
          </w:p>
        </w:tc>
        <w:tc>
          <w:tcPr>
            <w:tcW w:w="420" w:type="pct"/>
            <w:tcBorders>
              <w:tl2br w:val="nil"/>
              <w:tr2bl w:val="nil"/>
            </w:tcBorders>
            <w:vAlign w:val="center"/>
          </w:tcPr>
          <w:p w14:paraId="6EF9B00C">
            <w:pPr>
              <w:pStyle w:val="17"/>
              <w:bidi w:val="0"/>
              <w:rPr>
                <w:rFonts w:hint="eastAsia"/>
                <w:color w:val="auto"/>
                <w:highlight w:val="none"/>
              </w:rPr>
            </w:pPr>
            <w:r>
              <w:rPr>
                <w:rFonts w:hint="default"/>
                <w:color w:val="auto"/>
                <w:highlight w:val="none"/>
              </w:rPr>
              <w:t>固废类别</w:t>
            </w:r>
          </w:p>
        </w:tc>
        <w:tc>
          <w:tcPr>
            <w:tcW w:w="516" w:type="pct"/>
            <w:tcBorders>
              <w:tl2br w:val="nil"/>
              <w:tr2bl w:val="nil"/>
            </w:tcBorders>
            <w:vAlign w:val="center"/>
          </w:tcPr>
          <w:p w14:paraId="11C6758A">
            <w:pPr>
              <w:pStyle w:val="17"/>
              <w:bidi w:val="0"/>
              <w:rPr>
                <w:color w:val="auto"/>
                <w:highlight w:val="none"/>
              </w:rPr>
            </w:pPr>
            <w:r>
              <w:rPr>
                <w:rFonts w:hint="default"/>
                <w:color w:val="auto"/>
                <w:highlight w:val="none"/>
              </w:rPr>
              <w:t>废物类别</w:t>
            </w:r>
          </w:p>
        </w:tc>
        <w:tc>
          <w:tcPr>
            <w:tcW w:w="792" w:type="pct"/>
            <w:tcBorders>
              <w:tl2br w:val="nil"/>
              <w:tr2bl w:val="nil"/>
            </w:tcBorders>
            <w:vAlign w:val="center"/>
          </w:tcPr>
          <w:p w14:paraId="1FAE8AD2">
            <w:pPr>
              <w:pStyle w:val="17"/>
              <w:bidi w:val="0"/>
              <w:rPr>
                <w:rFonts w:hint="eastAsia"/>
                <w:color w:val="auto"/>
                <w:highlight w:val="none"/>
              </w:rPr>
            </w:pPr>
            <w:r>
              <w:rPr>
                <w:rFonts w:hint="default"/>
                <w:color w:val="auto"/>
                <w:highlight w:val="none"/>
              </w:rPr>
              <w:t>废物代码</w:t>
            </w:r>
          </w:p>
        </w:tc>
        <w:tc>
          <w:tcPr>
            <w:tcW w:w="1432" w:type="pct"/>
            <w:tcBorders>
              <w:tl2br w:val="nil"/>
              <w:tr2bl w:val="nil"/>
            </w:tcBorders>
            <w:vAlign w:val="center"/>
          </w:tcPr>
          <w:p w14:paraId="011C87AD">
            <w:pPr>
              <w:pStyle w:val="17"/>
              <w:bidi w:val="0"/>
              <w:rPr>
                <w:color w:val="auto"/>
                <w:highlight w:val="none"/>
              </w:rPr>
            </w:pPr>
            <w:r>
              <w:rPr>
                <w:rFonts w:hint="eastAsia"/>
                <w:color w:val="auto"/>
                <w:highlight w:val="none"/>
              </w:rPr>
              <w:t>治理措施</w:t>
            </w:r>
          </w:p>
        </w:tc>
        <w:tc>
          <w:tcPr>
            <w:tcW w:w="466" w:type="pct"/>
            <w:tcBorders>
              <w:tl2br w:val="nil"/>
              <w:tr2bl w:val="nil"/>
            </w:tcBorders>
            <w:vAlign w:val="center"/>
          </w:tcPr>
          <w:p w14:paraId="7139C280">
            <w:pPr>
              <w:pStyle w:val="17"/>
              <w:bidi w:val="0"/>
              <w:rPr>
                <w:color w:val="auto"/>
                <w:highlight w:val="none"/>
              </w:rPr>
            </w:pPr>
            <w:r>
              <w:rPr>
                <w:rFonts w:hint="eastAsia"/>
                <w:color w:val="auto"/>
                <w:highlight w:val="none"/>
              </w:rPr>
              <w:t>排放量</w:t>
            </w:r>
          </w:p>
        </w:tc>
      </w:tr>
      <w:tr w14:paraId="69F4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vAlign w:val="center"/>
          </w:tcPr>
          <w:p w14:paraId="54854D74">
            <w:pPr>
              <w:pStyle w:val="17"/>
              <w:bidi w:val="0"/>
              <w:rPr>
                <w:color w:val="auto"/>
                <w:highlight w:val="none"/>
              </w:rPr>
            </w:pPr>
            <w:r>
              <w:rPr>
                <w:rFonts w:hint="eastAsia"/>
                <w:color w:val="auto"/>
                <w:highlight w:val="none"/>
              </w:rPr>
              <w:t>生活垃圾</w:t>
            </w:r>
          </w:p>
        </w:tc>
        <w:tc>
          <w:tcPr>
            <w:tcW w:w="626" w:type="pct"/>
            <w:tcBorders>
              <w:tl2br w:val="nil"/>
              <w:tr2bl w:val="nil"/>
            </w:tcBorders>
            <w:vAlign w:val="center"/>
          </w:tcPr>
          <w:p w14:paraId="2CAE8A4A">
            <w:pPr>
              <w:pStyle w:val="17"/>
              <w:bidi w:val="0"/>
              <w:rPr>
                <w:color w:val="auto"/>
                <w:highlight w:val="none"/>
              </w:rPr>
            </w:pPr>
            <w:r>
              <w:rPr>
                <w:rFonts w:hint="eastAsia"/>
                <w:color w:val="auto"/>
                <w:highlight w:val="none"/>
                <w:lang w:val="en-US" w:eastAsia="zh-CN"/>
              </w:rPr>
              <w:t>75.9</w:t>
            </w:r>
            <w:r>
              <w:rPr>
                <w:color w:val="auto"/>
                <w:highlight w:val="none"/>
              </w:rPr>
              <w:t>t/a</w:t>
            </w:r>
          </w:p>
        </w:tc>
        <w:tc>
          <w:tcPr>
            <w:tcW w:w="420" w:type="pct"/>
            <w:tcBorders>
              <w:tl2br w:val="nil"/>
              <w:tr2bl w:val="nil"/>
            </w:tcBorders>
            <w:vAlign w:val="center"/>
          </w:tcPr>
          <w:p w14:paraId="6EF5B993">
            <w:pPr>
              <w:pStyle w:val="17"/>
              <w:bidi w:val="0"/>
              <w:rPr>
                <w:rFonts w:hint="default"/>
                <w:color w:val="auto"/>
                <w:highlight w:val="none"/>
                <w:lang w:val="en-US" w:eastAsia="zh-CN"/>
              </w:rPr>
            </w:pPr>
            <w:r>
              <w:rPr>
                <w:rFonts w:hint="eastAsia"/>
                <w:color w:val="auto"/>
                <w:highlight w:val="none"/>
                <w:lang w:val="en-US" w:eastAsia="zh-CN"/>
              </w:rPr>
              <w:t>/</w:t>
            </w:r>
          </w:p>
        </w:tc>
        <w:tc>
          <w:tcPr>
            <w:tcW w:w="516" w:type="pct"/>
            <w:tcBorders>
              <w:tl2br w:val="nil"/>
              <w:tr2bl w:val="nil"/>
            </w:tcBorders>
            <w:vAlign w:val="center"/>
          </w:tcPr>
          <w:p w14:paraId="41DA34D9">
            <w:pPr>
              <w:pStyle w:val="17"/>
              <w:bidi w:val="0"/>
              <w:rPr>
                <w:rFonts w:hint="eastAsia"/>
                <w:color w:val="auto"/>
                <w:highlight w:val="none"/>
                <w:lang w:val="en-US" w:eastAsia="zh-CN"/>
              </w:rPr>
            </w:pPr>
            <w:r>
              <w:rPr>
                <w:rFonts w:hint="eastAsia"/>
                <w:color w:val="auto"/>
                <w:highlight w:val="none"/>
                <w:lang w:val="en-US" w:eastAsia="zh-CN"/>
              </w:rPr>
              <w:t>SW61</w:t>
            </w:r>
          </w:p>
          <w:p w14:paraId="6730CB3E">
            <w:pPr>
              <w:pStyle w:val="17"/>
              <w:bidi w:val="0"/>
              <w:rPr>
                <w:color w:val="auto"/>
                <w:highlight w:val="none"/>
              </w:rPr>
            </w:pPr>
            <w:r>
              <w:rPr>
                <w:rFonts w:hint="eastAsia"/>
                <w:color w:val="auto"/>
                <w:highlight w:val="none"/>
                <w:lang w:val="en-US" w:eastAsia="zh-CN"/>
              </w:rPr>
              <w:t>SW62</w:t>
            </w:r>
          </w:p>
        </w:tc>
        <w:tc>
          <w:tcPr>
            <w:tcW w:w="792" w:type="pct"/>
            <w:tcBorders>
              <w:tl2br w:val="nil"/>
              <w:tr2bl w:val="nil"/>
            </w:tcBorders>
            <w:vAlign w:val="center"/>
          </w:tcPr>
          <w:p w14:paraId="6DF5A5B8">
            <w:pPr>
              <w:pStyle w:val="17"/>
              <w:bidi w:val="0"/>
              <w:rPr>
                <w:rFonts w:hint="eastAsia"/>
                <w:color w:val="auto"/>
                <w:highlight w:val="none"/>
                <w:lang w:val="en-US" w:eastAsia="zh-CN"/>
              </w:rPr>
            </w:pPr>
            <w:r>
              <w:rPr>
                <w:rFonts w:hint="eastAsia"/>
                <w:color w:val="auto"/>
                <w:highlight w:val="none"/>
                <w:lang w:val="en-US" w:eastAsia="zh-CN"/>
              </w:rPr>
              <w:t>900-001-S61</w:t>
            </w:r>
          </w:p>
          <w:p w14:paraId="4EDFE255">
            <w:pPr>
              <w:pStyle w:val="17"/>
              <w:bidi w:val="0"/>
              <w:rPr>
                <w:rFonts w:hint="eastAsia"/>
                <w:color w:val="auto"/>
                <w:highlight w:val="none"/>
                <w:lang w:val="en-US" w:eastAsia="zh-CN"/>
              </w:rPr>
            </w:pPr>
            <w:r>
              <w:rPr>
                <w:rFonts w:hint="eastAsia"/>
                <w:color w:val="auto"/>
                <w:highlight w:val="none"/>
                <w:lang w:val="en-US" w:eastAsia="zh-CN"/>
              </w:rPr>
              <w:t>900-001-S62</w:t>
            </w:r>
          </w:p>
          <w:p w14:paraId="4E864AAA">
            <w:pPr>
              <w:pStyle w:val="17"/>
              <w:bidi w:val="0"/>
              <w:rPr>
                <w:rFonts w:hint="eastAsia"/>
                <w:color w:val="auto"/>
                <w:highlight w:val="none"/>
              </w:rPr>
            </w:pPr>
            <w:r>
              <w:rPr>
                <w:rFonts w:hint="eastAsia"/>
                <w:color w:val="auto"/>
                <w:highlight w:val="none"/>
                <w:lang w:val="en-US" w:eastAsia="zh-CN"/>
              </w:rPr>
              <w:t>900-002-S62</w:t>
            </w:r>
          </w:p>
        </w:tc>
        <w:tc>
          <w:tcPr>
            <w:tcW w:w="1432" w:type="pct"/>
            <w:tcBorders>
              <w:tl2br w:val="nil"/>
              <w:tr2bl w:val="nil"/>
            </w:tcBorders>
            <w:vAlign w:val="center"/>
          </w:tcPr>
          <w:p w14:paraId="73F4BA58">
            <w:pPr>
              <w:pStyle w:val="17"/>
              <w:bidi w:val="0"/>
              <w:rPr>
                <w:color w:val="auto"/>
                <w:highlight w:val="none"/>
              </w:rPr>
            </w:pPr>
            <w:r>
              <w:rPr>
                <w:rFonts w:hint="eastAsia"/>
                <w:color w:val="auto"/>
                <w:highlight w:val="none"/>
              </w:rPr>
              <w:t>集中收集后，定期清运</w:t>
            </w:r>
          </w:p>
        </w:tc>
        <w:tc>
          <w:tcPr>
            <w:tcW w:w="466" w:type="pct"/>
            <w:tcBorders>
              <w:tl2br w:val="nil"/>
              <w:tr2bl w:val="nil"/>
            </w:tcBorders>
            <w:vAlign w:val="center"/>
          </w:tcPr>
          <w:p w14:paraId="0704737E">
            <w:pPr>
              <w:pStyle w:val="17"/>
              <w:bidi w:val="0"/>
              <w:rPr>
                <w:color w:val="auto"/>
                <w:highlight w:val="none"/>
              </w:rPr>
            </w:pPr>
            <w:r>
              <w:rPr>
                <w:rFonts w:hint="eastAsia"/>
                <w:color w:val="auto"/>
                <w:highlight w:val="none"/>
                <w:lang w:val="en-US" w:eastAsia="zh-CN"/>
              </w:rPr>
              <w:t>75.9</w:t>
            </w:r>
            <w:r>
              <w:rPr>
                <w:color w:val="auto"/>
                <w:highlight w:val="none"/>
              </w:rPr>
              <w:t>t/a</w:t>
            </w:r>
          </w:p>
        </w:tc>
      </w:tr>
      <w:tr w14:paraId="59CE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vAlign w:val="center"/>
          </w:tcPr>
          <w:p w14:paraId="39359432">
            <w:pPr>
              <w:pStyle w:val="17"/>
              <w:bidi w:val="0"/>
              <w:rPr>
                <w:color w:val="auto"/>
                <w:highlight w:val="none"/>
              </w:rPr>
            </w:pPr>
            <w:r>
              <w:rPr>
                <w:rFonts w:hint="eastAsia"/>
                <w:color w:val="auto"/>
                <w:highlight w:val="none"/>
              </w:rPr>
              <w:t>尾矿砂</w:t>
            </w:r>
          </w:p>
        </w:tc>
        <w:tc>
          <w:tcPr>
            <w:tcW w:w="626" w:type="pct"/>
            <w:tcBorders>
              <w:tl2br w:val="nil"/>
              <w:tr2bl w:val="nil"/>
            </w:tcBorders>
            <w:vAlign w:val="center"/>
          </w:tcPr>
          <w:p w14:paraId="46AA6862">
            <w:pPr>
              <w:pStyle w:val="17"/>
              <w:bidi w:val="0"/>
              <w:rPr>
                <w:rFonts w:hint="eastAsia"/>
                <w:color w:val="auto"/>
                <w:highlight w:val="none"/>
                <w:lang w:val="en-US" w:eastAsia="zh-CN"/>
              </w:rPr>
            </w:pPr>
            <w:r>
              <w:rPr>
                <w:rFonts w:hint="eastAsia"/>
                <w:color w:val="auto"/>
                <w:highlight w:val="none"/>
                <w:lang w:val="en-US" w:eastAsia="zh-CN"/>
              </w:rPr>
              <w:t>89.36万t/a</w:t>
            </w:r>
          </w:p>
        </w:tc>
        <w:tc>
          <w:tcPr>
            <w:tcW w:w="420" w:type="pct"/>
            <w:vMerge w:val="restart"/>
            <w:tcBorders>
              <w:tl2br w:val="nil"/>
              <w:tr2bl w:val="nil"/>
            </w:tcBorders>
            <w:vAlign w:val="center"/>
          </w:tcPr>
          <w:p w14:paraId="2A405DFF">
            <w:pPr>
              <w:pStyle w:val="17"/>
              <w:bidi w:val="0"/>
              <w:rPr>
                <w:rFonts w:hint="default"/>
                <w:color w:val="auto"/>
                <w:highlight w:val="none"/>
                <w:lang w:val="en-US" w:eastAsia="zh-CN"/>
              </w:rPr>
            </w:pPr>
            <w:r>
              <w:rPr>
                <w:rFonts w:hint="default"/>
                <w:color w:val="auto"/>
                <w:highlight w:val="none"/>
                <w:lang w:val="en-US" w:eastAsia="zh-CN"/>
              </w:rPr>
              <w:t>一般固废</w:t>
            </w:r>
          </w:p>
        </w:tc>
        <w:tc>
          <w:tcPr>
            <w:tcW w:w="516" w:type="pct"/>
            <w:tcBorders>
              <w:tl2br w:val="nil"/>
              <w:tr2bl w:val="nil"/>
            </w:tcBorders>
            <w:vAlign w:val="center"/>
          </w:tcPr>
          <w:p w14:paraId="7392960F">
            <w:pPr>
              <w:pStyle w:val="17"/>
              <w:bidi w:val="0"/>
              <w:rPr>
                <w:rFonts w:hint="default"/>
                <w:color w:val="auto"/>
                <w:highlight w:val="none"/>
                <w:lang w:val="en-US" w:eastAsia="zh-CN"/>
              </w:rPr>
            </w:pPr>
            <w:r>
              <w:rPr>
                <w:rFonts w:hint="eastAsia"/>
                <w:color w:val="auto"/>
                <w:highlight w:val="none"/>
                <w:lang w:val="en-US" w:eastAsia="zh-CN"/>
              </w:rPr>
              <w:t>SW05</w:t>
            </w:r>
          </w:p>
        </w:tc>
        <w:tc>
          <w:tcPr>
            <w:tcW w:w="792" w:type="pct"/>
            <w:tcBorders>
              <w:tl2br w:val="nil"/>
              <w:tr2bl w:val="nil"/>
            </w:tcBorders>
            <w:vAlign w:val="center"/>
          </w:tcPr>
          <w:p w14:paraId="1C50C4FB">
            <w:pPr>
              <w:pStyle w:val="17"/>
              <w:bidi w:val="0"/>
              <w:rPr>
                <w:rFonts w:hint="eastAsia"/>
                <w:color w:val="auto"/>
                <w:highlight w:val="none"/>
                <w:lang w:val="en-US" w:eastAsia="zh-CN"/>
              </w:rPr>
            </w:pPr>
            <w:r>
              <w:rPr>
                <w:rFonts w:hint="eastAsia"/>
                <w:color w:val="auto"/>
                <w:highlight w:val="none"/>
                <w:lang w:val="en-US" w:eastAsia="zh-CN"/>
              </w:rPr>
              <w:t>109-001-S05</w:t>
            </w:r>
          </w:p>
        </w:tc>
        <w:tc>
          <w:tcPr>
            <w:tcW w:w="1432" w:type="pct"/>
            <w:tcBorders>
              <w:tl2br w:val="nil"/>
              <w:tr2bl w:val="nil"/>
            </w:tcBorders>
            <w:vAlign w:val="center"/>
          </w:tcPr>
          <w:p w14:paraId="07D5772D">
            <w:pPr>
              <w:pStyle w:val="17"/>
              <w:bidi w:val="0"/>
              <w:rPr>
                <w:rFonts w:hint="eastAsia"/>
                <w:color w:val="auto"/>
                <w:highlight w:val="none"/>
                <w:lang w:val="en-US" w:eastAsia="zh-CN"/>
              </w:rPr>
            </w:pPr>
            <w:r>
              <w:rPr>
                <w:rFonts w:hint="eastAsia"/>
                <w:color w:val="auto"/>
                <w:highlight w:val="none"/>
                <w:lang w:val="en-US" w:eastAsia="zh-CN"/>
              </w:rPr>
              <w:t>堆存于尾矿库，其中约45.36万t/a用于采矿场地下充填，约10.7万t/a用于堆积筑坝</w:t>
            </w:r>
          </w:p>
        </w:tc>
        <w:tc>
          <w:tcPr>
            <w:tcW w:w="466" w:type="pct"/>
            <w:tcBorders>
              <w:tl2br w:val="nil"/>
              <w:tr2bl w:val="nil"/>
            </w:tcBorders>
            <w:vAlign w:val="center"/>
          </w:tcPr>
          <w:p w14:paraId="257969E7">
            <w:pPr>
              <w:pStyle w:val="17"/>
              <w:bidi w:val="0"/>
              <w:rPr>
                <w:color w:val="auto"/>
                <w:highlight w:val="none"/>
              </w:rPr>
            </w:pPr>
            <w:r>
              <w:rPr>
                <w:rFonts w:hint="eastAsia"/>
                <w:color w:val="auto"/>
                <w:highlight w:val="none"/>
                <w:lang w:val="en-US" w:eastAsia="zh-CN"/>
              </w:rPr>
              <w:t>44</w:t>
            </w:r>
            <w:r>
              <w:rPr>
                <w:rFonts w:hint="eastAsia"/>
                <w:color w:val="auto"/>
                <w:highlight w:val="none"/>
              </w:rPr>
              <w:t>万</w:t>
            </w:r>
            <w:r>
              <w:rPr>
                <w:color w:val="auto"/>
                <w:highlight w:val="none"/>
              </w:rPr>
              <w:t>t/a</w:t>
            </w:r>
          </w:p>
        </w:tc>
      </w:tr>
      <w:tr w14:paraId="7B75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vAlign w:val="center"/>
          </w:tcPr>
          <w:p w14:paraId="2565EE4C">
            <w:pPr>
              <w:pStyle w:val="17"/>
              <w:bidi w:val="0"/>
              <w:rPr>
                <w:rFonts w:hint="eastAsia" w:eastAsia="宋体"/>
                <w:color w:val="auto"/>
                <w:highlight w:val="none"/>
                <w:lang w:val="en-US" w:eastAsia="zh-CN"/>
              </w:rPr>
            </w:pPr>
            <w:r>
              <w:rPr>
                <w:rFonts w:hint="eastAsia"/>
                <w:color w:val="auto"/>
                <w:highlight w:val="none"/>
                <w:lang w:val="en-US" w:eastAsia="zh-CN"/>
              </w:rPr>
              <w:t>废石</w:t>
            </w:r>
          </w:p>
        </w:tc>
        <w:tc>
          <w:tcPr>
            <w:tcW w:w="626" w:type="pct"/>
            <w:tcBorders>
              <w:tl2br w:val="nil"/>
              <w:tr2bl w:val="nil"/>
            </w:tcBorders>
            <w:vAlign w:val="center"/>
          </w:tcPr>
          <w:p w14:paraId="732A8C6C">
            <w:pPr>
              <w:pStyle w:val="17"/>
              <w:bidi w:val="0"/>
              <w:rPr>
                <w:rFonts w:hint="default"/>
                <w:color w:val="auto"/>
                <w:highlight w:val="none"/>
                <w:lang w:val="en-US" w:eastAsia="zh-CN"/>
              </w:rPr>
            </w:pPr>
            <w:r>
              <w:rPr>
                <w:rFonts w:hint="eastAsia"/>
                <w:color w:val="auto"/>
                <w:highlight w:val="none"/>
                <w:lang w:val="en-US" w:eastAsia="zh-CN"/>
              </w:rPr>
              <w:t>37.5万t/a</w:t>
            </w:r>
          </w:p>
        </w:tc>
        <w:tc>
          <w:tcPr>
            <w:tcW w:w="420" w:type="pct"/>
            <w:vMerge w:val="continue"/>
            <w:tcBorders>
              <w:tl2br w:val="nil"/>
              <w:tr2bl w:val="nil"/>
            </w:tcBorders>
            <w:vAlign w:val="center"/>
          </w:tcPr>
          <w:p w14:paraId="1953A94D">
            <w:pPr>
              <w:pStyle w:val="17"/>
              <w:bidi w:val="0"/>
              <w:rPr>
                <w:rFonts w:hint="default"/>
                <w:color w:val="auto"/>
                <w:highlight w:val="none"/>
                <w:lang w:val="en-US" w:eastAsia="zh-CN"/>
              </w:rPr>
            </w:pPr>
          </w:p>
        </w:tc>
        <w:tc>
          <w:tcPr>
            <w:tcW w:w="516" w:type="pct"/>
            <w:tcBorders>
              <w:tl2br w:val="nil"/>
              <w:tr2bl w:val="nil"/>
            </w:tcBorders>
            <w:vAlign w:val="center"/>
          </w:tcPr>
          <w:p w14:paraId="39A39B6D">
            <w:pPr>
              <w:pStyle w:val="17"/>
              <w:bidi w:val="0"/>
              <w:ind w:firstLine="0" w:firstLineChars="0"/>
              <w:rPr>
                <w:rFonts w:hint="eastAsia"/>
                <w:color w:val="auto"/>
                <w:highlight w:val="none"/>
                <w:lang w:val="en-US" w:eastAsia="zh-CN"/>
              </w:rPr>
            </w:pPr>
            <w:r>
              <w:rPr>
                <w:rFonts w:hint="default"/>
                <w:color w:val="auto"/>
                <w:highlight w:val="none"/>
                <w:lang w:val="en-US" w:eastAsia="zh-CN"/>
              </w:rPr>
              <w:t>SW59</w:t>
            </w:r>
          </w:p>
        </w:tc>
        <w:tc>
          <w:tcPr>
            <w:tcW w:w="792" w:type="pct"/>
            <w:tcBorders>
              <w:tl2br w:val="nil"/>
              <w:tr2bl w:val="nil"/>
            </w:tcBorders>
            <w:vAlign w:val="center"/>
          </w:tcPr>
          <w:p w14:paraId="36176D17">
            <w:pPr>
              <w:pStyle w:val="17"/>
              <w:bidi w:val="0"/>
              <w:ind w:firstLine="0" w:firstLineChars="0"/>
              <w:rPr>
                <w:rFonts w:hint="eastAsia"/>
                <w:color w:val="auto"/>
                <w:highlight w:val="none"/>
                <w:lang w:val="en-US" w:eastAsia="zh-CN"/>
              </w:rPr>
            </w:pPr>
            <w:r>
              <w:rPr>
                <w:rFonts w:hint="eastAsia"/>
                <w:color w:val="auto"/>
                <w:highlight w:val="none"/>
                <w:lang w:val="en-US" w:eastAsia="zh-CN"/>
              </w:rPr>
              <w:t>900-099-S59</w:t>
            </w:r>
          </w:p>
        </w:tc>
        <w:tc>
          <w:tcPr>
            <w:tcW w:w="1432" w:type="pct"/>
            <w:tcBorders>
              <w:tl2br w:val="nil"/>
              <w:tr2bl w:val="nil"/>
            </w:tcBorders>
            <w:vAlign w:val="center"/>
          </w:tcPr>
          <w:p w14:paraId="0215F836">
            <w:pPr>
              <w:pStyle w:val="17"/>
              <w:bidi w:val="0"/>
              <w:rPr>
                <w:rFonts w:hint="eastAsia"/>
                <w:color w:val="auto"/>
                <w:highlight w:val="none"/>
                <w:lang w:val="en-US" w:eastAsia="zh-CN"/>
              </w:rPr>
            </w:pPr>
            <w:r>
              <w:rPr>
                <w:rFonts w:hint="eastAsia"/>
                <w:color w:val="auto"/>
                <w:highlight w:val="none"/>
                <w:lang w:val="en-US" w:eastAsia="zh-CN"/>
              </w:rPr>
              <w:t>送至废石堆场妥善堆存，后期</w:t>
            </w:r>
            <w:r>
              <w:rPr>
                <w:color w:val="auto"/>
                <w:highlight w:val="none"/>
              </w:rPr>
              <w:t>综合利用</w:t>
            </w:r>
          </w:p>
        </w:tc>
        <w:tc>
          <w:tcPr>
            <w:tcW w:w="466" w:type="pct"/>
            <w:tcBorders>
              <w:tl2br w:val="nil"/>
              <w:tr2bl w:val="nil"/>
            </w:tcBorders>
            <w:vAlign w:val="center"/>
          </w:tcPr>
          <w:p w14:paraId="30D78363">
            <w:pPr>
              <w:pStyle w:val="17"/>
              <w:bidi w:val="0"/>
              <w:rPr>
                <w:rFonts w:hint="eastAsia"/>
                <w:color w:val="auto"/>
                <w:highlight w:val="none"/>
                <w:lang w:val="en-US" w:eastAsia="zh-CN"/>
              </w:rPr>
            </w:pPr>
            <w:r>
              <w:rPr>
                <w:rFonts w:hint="eastAsia"/>
                <w:color w:val="auto"/>
                <w:highlight w:val="none"/>
                <w:lang w:val="en-US" w:eastAsia="zh-CN"/>
              </w:rPr>
              <w:t>37.5万t/a</w:t>
            </w:r>
          </w:p>
        </w:tc>
      </w:tr>
      <w:tr w14:paraId="67A8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shd w:val="clear" w:color="auto" w:fill="auto"/>
            <w:vAlign w:val="center"/>
          </w:tcPr>
          <w:p w14:paraId="53861925">
            <w:pPr>
              <w:pStyle w:val="17"/>
              <w:bidi w:val="0"/>
              <w:rPr>
                <w:rFonts w:hint="eastAsia"/>
                <w:color w:val="auto"/>
                <w:highlight w:val="none"/>
                <w:lang w:val="en-US" w:eastAsia="zh-CN"/>
              </w:rPr>
            </w:pPr>
            <w:r>
              <w:rPr>
                <w:rFonts w:hint="eastAsia"/>
                <w:color w:val="auto"/>
                <w:highlight w:val="none"/>
                <w:lang w:eastAsia="zh-CN"/>
              </w:rPr>
              <w:t>除尘系统收集的粉尘</w:t>
            </w:r>
          </w:p>
        </w:tc>
        <w:tc>
          <w:tcPr>
            <w:tcW w:w="626" w:type="pct"/>
            <w:tcBorders>
              <w:tl2br w:val="nil"/>
              <w:tr2bl w:val="nil"/>
            </w:tcBorders>
            <w:shd w:val="clear" w:color="auto" w:fill="auto"/>
            <w:vAlign w:val="center"/>
          </w:tcPr>
          <w:p w14:paraId="6677586A">
            <w:pPr>
              <w:pStyle w:val="17"/>
              <w:bidi w:val="0"/>
              <w:rPr>
                <w:rFonts w:hint="eastAsia"/>
                <w:color w:val="auto"/>
                <w:highlight w:val="none"/>
                <w:lang w:val="en-US" w:eastAsia="zh-CN"/>
              </w:rPr>
            </w:pPr>
            <w:r>
              <w:rPr>
                <w:rFonts w:hint="eastAsia"/>
                <w:color w:val="auto"/>
                <w:highlight w:val="none"/>
                <w:lang w:val="en-US" w:eastAsia="zh-CN"/>
              </w:rPr>
              <w:t>193.2</w:t>
            </w:r>
            <w:r>
              <w:rPr>
                <w:rFonts w:hint="eastAsia"/>
                <w:color w:val="auto"/>
                <w:highlight w:val="none"/>
              </w:rPr>
              <w:t>t/a</w:t>
            </w:r>
          </w:p>
        </w:tc>
        <w:tc>
          <w:tcPr>
            <w:tcW w:w="420" w:type="pct"/>
            <w:vMerge w:val="continue"/>
            <w:tcBorders>
              <w:tl2br w:val="nil"/>
              <w:tr2bl w:val="nil"/>
            </w:tcBorders>
            <w:shd w:val="clear" w:color="auto" w:fill="auto"/>
            <w:vAlign w:val="center"/>
          </w:tcPr>
          <w:p w14:paraId="79416B9E">
            <w:pPr>
              <w:pStyle w:val="17"/>
              <w:bidi w:val="0"/>
              <w:rPr>
                <w:rFonts w:hint="default"/>
                <w:color w:val="auto"/>
                <w:highlight w:val="none"/>
                <w:lang w:val="en-US" w:eastAsia="zh-CN"/>
              </w:rPr>
            </w:pPr>
          </w:p>
        </w:tc>
        <w:tc>
          <w:tcPr>
            <w:tcW w:w="516" w:type="pct"/>
            <w:tcBorders>
              <w:tl2br w:val="nil"/>
              <w:tr2bl w:val="nil"/>
            </w:tcBorders>
            <w:shd w:val="clear" w:color="auto" w:fill="auto"/>
            <w:vAlign w:val="center"/>
          </w:tcPr>
          <w:p w14:paraId="38AAF150">
            <w:pPr>
              <w:pStyle w:val="17"/>
              <w:bidi w:val="0"/>
              <w:rPr>
                <w:color w:val="auto"/>
                <w:highlight w:val="none"/>
                <w:lang w:val="en-US" w:eastAsia="zh-CN"/>
              </w:rPr>
            </w:pPr>
            <w:r>
              <w:rPr>
                <w:rFonts w:hint="default"/>
                <w:color w:val="auto"/>
                <w:highlight w:val="none"/>
                <w:lang w:val="en-US" w:eastAsia="zh-CN"/>
              </w:rPr>
              <w:t>SW59</w:t>
            </w:r>
          </w:p>
        </w:tc>
        <w:tc>
          <w:tcPr>
            <w:tcW w:w="792" w:type="pct"/>
            <w:tcBorders>
              <w:tl2br w:val="nil"/>
              <w:tr2bl w:val="nil"/>
            </w:tcBorders>
            <w:shd w:val="clear" w:color="auto" w:fill="auto"/>
            <w:vAlign w:val="center"/>
          </w:tcPr>
          <w:p w14:paraId="2594D6FD">
            <w:pPr>
              <w:pStyle w:val="17"/>
              <w:bidi w:val="0"/>
              <w:rPr>
                <w:rFonts w:hint="eastAsia"/>
                <w:color w:val="auto"/>
                <w:highlight w:val="none"/>
                <w:lang w:val="en-US" w:eastAsia="zh-CN"/>
              </w:rPr>
            </w:pPr>
            <w:r>
              <w:rPr>
                <w:rFonts w:hint="eastAsia"/>
                <w:color w:val="auto"/>
                <w:highlight w:val="none"/>
                <w:lang w:val="en-US" w:eastAsia="zh-CN"/>
              </w:rPr>
              <w:t>900-099-S59</w:t>
            </w:r>
          </w:p>
        </w:tc>
        <w:tc>
          <w:tcPr>
            <w:tcW w:w="1432" w:type="pct"/>
            <w:tcBorders>
              <w:tl2br w:val="nil"/>
              <w:tr2bl w:val="nil"/>
            </w:tcBorders>
            <w:shd w:val="clear" w:color="auto" w:fill="auto"/>
            <w:vAlign w:val="center"/>
          </w:tcPr>
          <w:p w14:paraId="192F0F33">
            <w:pPr>
              <w:pStyle w:val="17"/>
              <w:bidi w:val="0"/>
              <w:rPr>
                <w:rFonts w:hint="eastAsia"/>
                <w:color w:val="auto"/>
                <w:highlight w:val="none"/>
                <w:lang w:val="en-US" w:eastAsia="zh-CN"/>
              </w:rPr>
            </w:pPr>
            <w:r>
              <w:rPr>
                <w:rFonts w:hint="eastAsia"/>
                <w:color w:val="auto"/>
                <w:highlight w:val="none"/>
              </w:rPr>
              <w:t>回用于选矿生产</w:t>
            </w:r>
          </w:p>
        </w:tc>
        <w:tc>
          <w:tcPr>
            <w:tcW w:w="466" w:type="pct"/>
            <w:tcBorders>
              <w:tl2br w:val="nil"/>
              <w:tr2bl w:val="nil"/>
            </w:tcBorders>
            <w:shd w:val="clear" w:color="auto" w:fill="auto"/>
            <w:vAlign w:val="center"/>
          </w:tcPr>
          <w:p w14:paraId="19FD9DB6">
            <w:pPr>
              <w:pStyle w:val="17"/>
              <w:bidi w:val="0"/>
              <w:rPr>
                <w:rFonts w:hint="eastAsia"/>
                <w:color w:val="auto"/>
                <w:highlight w:val="none"/>
                <w:lang w:val="en-US" w:eastAsia="zh-CN"/>
              </w:rPr>
            </w:pPr>
            <w:r>
              <w:rPr>
                <w:rFonts w:hint="eastAsia"/>
                <w:color w:val="auto"/>
                <w:highlight w:val="none"/>
              </w:rPr>
              <w:t>0</w:t>
            </w:r>
            <w:r>
              <w:rPr>
                <w:color w:val="auto"/>
                <w:highlight w:val="none"/>
              </w:rPr>
              <w:t>t/a</w:t>
            </w:r>
          </w:p>
        </w:tc>
      </w:tr>
      <w:tr w14:paraId="7E5F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shd w:val="clear" w:color="auto" w:fill="auto"/>
            <w:vAlign w:val="center"/>
          </w:tcPr>
          <w:p w14:paraId="63D83AAB">
            <w:pPr>
              <w:pStyle w:val="17"/>
              <w:bidi w:val="0"/>
              <w:rPr>
                <w:rFonts w:hint="eastAsia"/>
                <w:color w:val="auto"/>
                <w:highlight w:val="none"/>
                <w:lang w:val="en-US" w:eastAsia="zh-CN"/>
              </w:rPr>
            </w:pPr>
            <w:r>
              <w:rPr>
                <w:rFonts w:hint="eastAsia"/>
                <w:color w:val="auto"/>
                <w:highlight w:val="none"/>
              </w:rPr>
              <w:t>废离子交换树脂</w:t>
            </w:r>
          </w:p>
        </w:tc>
        <w:tc>
          <w:tcPr>
            <w:tcW w:w="626" w:type="pct"/>
            <w:tcBorders>
              <w:tl2br w:val="nil"/>
              <w:tr2bl w:val="nil"/>
            </w:tcBorders>
            <w:shd w:val="clear" w:color="auto" w:fill="auto"/>
            <w:vAlign w:val="center"/>
          </w:tcPr>
          <w:p w14:paraId="1922C6B5">
            <w:pPr>
              <w:pStyle w:val="17"/>
              <w:bidi w:val="0"/>
              <w:rPr>
                <w:rFonts w:hint="eastAsia"/>
                <w:color w:val="auto"/>
                <w:highlight w:val="none"/>
                <w:lang w:val="en-US" w:eastAsia="zh-CN"/>
              </w:rPr>
            </w:pPr>
            <w:r>
              <w:rPr>
                <w:rFonts w:hint="eastAsia"/>
                <w:color w:val="auto"/>
                <w:highlight w:val="none"/>
              </w:rPr>
              <w:t>0.</w:t>
            </w:r>
            <w:r>
              <w:rPr>
                <w:rFonts w:hint="eastAsia"/>
                <w:color w:val="auto"/>
                <w:highlight w:val="none"/>
                <w:lang w:val="en-US" w:eastAsia="zh-CN"/>
              </w:rPr>
              <w:t>2</w:t>
            </w:r>
            <w:r>
              <w:rPr>
                <w:rFonts w:hint="eastAsia"/>
                <w:color w:val="auto"/>
                <w:highlight w:val="none"/>
              </w:rPr>
              <w:t>t/3a</w:t>
            </w:r>
          </w:p>
        </w:tc>
        <w:tc>
          <w:tcPr>
            <w:tcW w:w="420" w:type="pct"/>
            <w:vMerge w:val="continue"/>
            <w:tcBorders>
              <w:tl2br w:val="nil"/>
              <w:tr2bl w:val="nil"/>
            </w:tcBorders>
            <w:shd w:val="clear" w:color="auto" w:fill="auto"/>
            <w:vAlign w:val="center"/>
          </w:tcPr>
          <w:p w14:paraId="422818F9">
            <w:pPr>
              <w:pStyle w:val="17"/>
              <w:bidi w:val="0"/>
              <w:rPr>
                <w:rFonts w:hint="default"/>
                <w:color w:val="auto"/>
                <w:highlight w:val="none"/>
                <w:lang w:val="en-US" w:eastAsia="zh-CN"/>
              </w:rPr>
            </w:pPr>
          </w:p>
        </w:tc>
        <w:tc>
          <w:tcPr>
            <w:tcW w:w="516" w:type="pct"/>
            <w:tcBorders>
              <w:tl2br w:val="nil"/>
              <w:tr2bl w:val="nil"/>
            </w:tcBorders>
            <w:shd w:val="clear" w:color="auto" w:fill="auto"/>
            <w:vAlign w:val="center"/>
          </w:tcPr>
          <w:p w14:paraId="6979FC72">
            <w:pPr>
              <w:pStyle w:val="17"/>
              <w:bidi w:val="0"/>
              <w:rPr>
                <w:color w:val="auto"/>
                <w:highlight w:val="none"/>
                <w:lang w:val="en-US" w:eastAsia="zh-CN"/>
              </w:rPr>
            </w:pPr>
            <w:r>
              <w:rPr>
                <w:rFonts w:hint="default"/>
                <w:color w:val="auto"/>
                <w:highlight w:val="none"/>
                <w:lang w:val="en-US" w:eastAsia="zh-CN"/>
              </w:rPr>
              <w:t>SW59</w:t>
            </w:r>
          </w:p>
        </w:tc>
        <w:tc>
          <w:tcPr>
            <w:tcW w:w="792" w:type="pct"/>
            <w:tcBorders>
              <w:tl2br w:val="nil"/>
              <w:tr2bl w:val="nil"/>
            </w:tcBorders>
            <w:shd w:val="clear" w:color="auto" w:fill="auto"/>
            <w:vAlign w:val="center"/>
          </w:tcPr>
          <w:p w14:paraId="4ADCA0E9">
            <w:pPr>
              <w:pStyle w:val="17"/>
              <w:bidi w:val="0"/>
              <w:rPr>
                <w:rFonts w:hint="eastAsia"/>
                <w:color w:val="auto"/>
                <w:highlight w:val="none"/>
                <w:lang w:val="en-US" w:eastAsia="zh-CN"/>
              </w:rPr>
            </w:pPr>
            <w:r>
              <w:rPr>
                <w:rFonts w:hint="eastAsia"/>
                <w:color w:val="auto"/>
                <w:highlight w:val="none"/>
                <w:lang w:val="en-US" w:eastAsia="zh-CN"/>
              </w:rPr>
              <w:t>900-008-S59</w:t>
            </w:r>
          </w:p>
        </w:tc>
        <w:tc>
          <w:tcPr>
            <w:tcW w:w="1432" w:type="pct"/>
            <w:tcBorders>
              <w:tl2br w:val="nil"/>
              <w:tr2bl w:val="nil"/>
            </w:tcBorders>
            <w:shd w:val="clear" w:color="auto" w:fill="auto"/>
            <w:vAlign w:val="center"/>
          </w:tcPr>
          <w:p w14:paraId="6F315664">
            <w:pPr>
              <w:pStyle w:val="17"/>
              <w:bidi w:val="0"/>
              <w:rPr>
                <w:rFonts w:hint="eastAsia"/>
                <w:color w:val="auto"/>
                <w:highlight w:val="none"/>
                <w:lang w:val="en-US" w:eastAsia="zh-CN"/>
              </w:rPr>
            </w:pPr>
            <w:r>
              <w:rPr>
                <w:rFonts w:hint="eastAsia"/>
                <w:color w:val="auto"/>
                <w:highlight w:val="none"/>
              </w:rPr>
              <w:t>厂家回收处理</w:t>
            </w:r>
          </w:p>
        </w:tc>
        <w:tc>
          <w:tcPr>
            <w:tcW w:w="466" w:type="pct"/>
            <w:tcBorders>
              <w:tl2br w:val="nil"/>
              <w:tr2bl w:val="nil"/>
            </w:tcBorders>
            <w:shd w:val="clear" w:color="auto" w:fill="auto"/>
            <w:vAlign w:val="center"/>
          </w:tcPr>
          <w:p w14:paraId="535336A9">
            <w:pPr>
              <w:pStyle w:val="17"/>
              <w:bidi w:val="0"/>
              <w:rPr>
                <w:rFonts w:hint="eastAsia"/>
                <w:color w:val="auto"/>
                <w:highlight w:val="none"/>
                <w:lang w:val="en-US" w:eastAsia="zh-CN"/>
              </w:rPr>
            </w:pPr>
            <w:r>
              <w:rPr>
                <w:rFonts w:hint="eastAsia"/>
                <w:color w:val="auto"/>
                <w:highlight w:val="none"/>
              </w:rPr>
              <w:t>0</w:t>
            </w:r>
            <w:r>
              <w:rPr>
                <w:color w:val="auto"/>
                <w:highlight w:val="none"/>
              </w:rPr>
              <w:t>t/a</w:t>
            </w:r>
          </w:p>
        </w:tc>
      </w:tr>
      <w:tr w14:paraId="524C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shd w:val="clear" w:color="auto" w:fill="auto"/>
            <w:vAlign w:val="center"/>
          </w:tcPr>
          <w:p w14:paraId="22725129">
            <w:pPr>
              <w:pStyle w:val="17"/>
              <w:bidi w:val="0"/>
              <w:rPr>
                <w:rFonts w:hint="eastAsia"/>
                <w:color w:val="auto"/>
                <w:highlight w:val="none"/>
                <w:lang w:val="en-US" w:eastAsia="zh-CN"/>
              </w:rPr>
            </w:pPr>
            <w:r>
              <w:rPr>
                <w:rFonts w:hint="eastAsia"/>
                <w:color w:val="auto"/>
                <w:highlight w:val="none"/>
                <w:lang w:val="en-US" w:eastAsia="zh-CN"/>
              </w:rPr>
              <w:t>回水</w:t>
            </w:r>
            <w:r>
              <w:rPr>
                <w:rFonts w:hint="eastAsia"/>
                <w:color w:val="auto"/>
                <w:highlight w:val="none"/>
              </w:rPr>
              <w:t>底泥</w:t>
            </w:r>
          </w:p>
        </w:tc>
        <w:tc>
          <w:tcPr>
            <w:tcW w:w="626" w:type="pct"/>
            <w:tcBorders>
              <w:tl2br w:val="nil"/>
              <w:tr2bl w:val="nil"/>
            </w:tcBorders>
            <w:shd w:val="clear" w:color="auto" w:fill="auto"/>
            <w:vAlign w:val="center"/>
          </w:tcPr>
          <w:p w14:paraId="05A06D07">
            <w:pPr>
              <w:pStyle w:val="17"/>
              <w:bidi w:val="0"/>
              <w:rPr>
                <w:rFonts w:hint="eastAsia"/>
                <w:color w:val="auto"/>
                <w:highlight w:val="none"/>
                <w:lang w:val="en-US" w:eastAsia="zh-CN"/>
              </w:rPr>
            </w:pPr>
            <w:r>
              <w:rPr>
                <w:rFonts w:hint="eastAsia"/>
                <w:color w:val="auto"/>
                <w:highlight w:val="none"/>
                <w:lang w:val="en-US" w:eastAsia="zh-CN"/>
              </w:rPr>
              <w:t>120</w:t>
            </w:r>
            <w:r>
              <w:rPr>
                <w:rFonts w:hint="eastAsia"/>
                <w:color w:val="auto"/>
                <w:highlight w:val="none"/>
              </w:rPr>
              <w:t>t/a</w:t>
            </w:r>
          </w:p>
        </w:tc>
        <w:tc>
          <w:tcPr>
            <w:tcW w:w="420" w:type="pct"/>
            <w:vMerge w:val="continue"/>
            <w:tcBorders>
              <w:tl2br w:val="nil"/>
              <w:tr2bl w:val="nil"/>
            </w:tcBorders>
            <w:shd w:val="clear" w:color="auto" w:fill="auto"/>
            <w:vAlign w:val="center"/>
          </w:tcPr>
          <w:p w14:paraId="5A42DD1B">
            <w:pPr>
              <w:pStyle w:val="17"/>
              <w:bidi w:val="0"/>
              <w:rPr>
                <w:rFonts w:hint="default"/>
                <w:color w:val="auto"/>
                <w:highlight w:val="none"/>
                <w:lang w:val="en-US" w:eastAsia="zh-CN"/>
              </w:rPr>
            </w:pPr>
          </w:p>
        </w:tc>
        <w:tc>
          <w:tcPr>
            <w:tcW w:w="516" w:type="pct"/>
            <w:tcBorders>
              <w:tl2br w:val="nil"/>
              <w:tr2bl w:val="nil"/>
            </w:tcBorders>
            <w:shd w:val="clear" w:color="auto" w:fill="auto"/>
            <w:vAlign w:val="center"/>
          </w:tcPr>
          <w:p w14:paraId="5D236AE1">
            <w:pPr>
              <w:pStyle w:val="17"/>
              <w:bidi w:val="0"/>
              <w:rPr>
                <w:color w:val="auto"/>
                <w:highlight w:val="none"/>
                <w:lang w:val="en-US" w:eastAsia="zh-CN"/>
              </w:rPr>
            </w:pPr>
            <w:r>
              <w:rPr>
                <w:rFonts w:hint="default"/>
                <w:color w:val="auto"/>
                <w:highlight w:val="none"/>
                <w:lang w:val="en-US" w:eastAsia="zh-CN"/>
              </w:rPr>
              <w:t>SW59</w:t>
            </w:r>
          </w:p>
        </w:tc>
        <w:tc>
          <w:tcPr>
            <w:tcW w:w="792" w:type="pct"/>
            <w:tcBorders>
              <w:tl2br w:val="nil"/>
              <w:tr2bl w:val="nil"/>
            </w:tcBorders>
            <w:shd w:val="clear" w:color="auto" w:fill="auto"/>
            <w:vAlign w:val="center"/>
          </w:tcPr>
          <w:p w14:paraId="1474FF9D">
            <w:pPr>
              <w:pStyle w:val="17"/>
              <w:bidi w:val="0"/>
              <w:rPr>
                <w:rFonts w:hint="eastAsia"/>
                <w:color w:val="auto"/>
                <w:highlight w:val="none"/>
                <w:lang w:val="en-US" w:eastAsia="zh-CN"/>
              </w:rPr>
            </w:pPr>
            <w:r>
              <w:rPr>
                <w:rFonts w:hint="eastAsia"/>
                <w:color w:val="auto"/>
                <w:highlight w:val="none"/>
                <w:lang w:val="en-US" w:eastAsia="zh-CN"/>
              </w:rPr>
              <w:t>900-099-S59</w:t>
            </w:r>
          </w:p>
        </w:tc>
        <w:tc>
          <w:tcPr>
            <w:tcW w:w="1432" w:type="pct"/>
            <w:tcBorders>
              <w:tl2br w:val="nil"/>
              <w:tr2bl w:val="nil"/>
            </w:tcBorders>
            <w:shd w:val="clear" w:color="auto" w:fill="auto"/>
            <w:vAlign w:val="center"/>
          </w:tcPr>
          <w:p w14:paraId="3DFB1106">
            <w:pPr>
              <w:pStyle w:val="17"/>
              <w:bidi w:val="0"/>
              <w:rPr>
                <w:rFonts w:hint="eastAsia"/>
                <w:color w:val="auto"/>
                <w:highlight w:val="none"/>
                <w:lang w:val="en-US" w:eastAsia="zh-CN"/>
              </w:rPr>
            </w:pPr>
            <w:r>
              <w:rPr>
                <w:rFonts w:hint="eastAsia"/>
                <w:color w:val="auto"/>
                <w:highlight w:val="none"/>
              </w:rPr>
              <w:t>定期清理，返回生产工序回用于选矿</w:t>
            </w:r>
          </w:p>
        </w:tc>
        <w:tc>
          <w:tcPr>
            <w:tcW w:w="466" w:type="pct"/>
            <w:tcBorders>
              <w:tl2br w:val="nil"/>
              <w:tr2bl w:val="nil"/>
            </w:tcBorders>
            <w:shd w:val="clear" w:color="auto" w:fill="auto"/>
            <w:vAlign w:val="center"/>
          </w:tcPr>
          <w:p w14:paraId="049DD47B">
            <w:pPr>
              <w:pStyle w:val="17"/>
              <w:bidi w:val="0"/>
              <w:rPr>
                <w:rFonts w:hint="eastAsia"/>
                <w:color w:val="auto"/>
                <w:highlight w:val="none"/>
                <w:lang w:val="en-US" w:eastAsia="zh-CN"/>
              </w:rPr>
            </w:pPr>
            <w:r>
              <w:rPr>
                <w:rFonts w:hint="eastAsia"/>
                <w:color w:val="auto"/>
                <w:highlight w:val="none"/>
              </w:rPr>
              <w:t>0</w:t>
            </w:r>
            <w:r>
              <w:rPr>
                <w:color w:val="auto"/>
                <w:highlight w:val="none"/>
              </w:rPr>
              <w:t>t/a</w:t>
            </w:r>
          </w:p>
        </w:tc>
      </w:tr>
      <w:tr w14:paraId="7936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shd w:val="clear" w:color="auto" w:fill="auto"/>
            <w:vAlign w:val="center"/>
          </w:tcPr>
          <w:p w14:paraId="79E04D45">
            <w:pPr>
              <w:pStyle w:val="17"/>
              <w:bidi w:val="0"/>
              <w:rPr>
                <w:rFonts w:hint="eastAsia"/>
                <w:color w:val="auto"/>
                <w:highlight w:val="none"/>
              </w:rPr>
            </w:pPr>
            <w:r>
              <w:rPr>
                <w:rFonts w:hint="eastAsia"/>
                <w:color w:val="auto"/>
                <w:kern w:val="0"/>
                <w:highlight w:val="none"/>
                <w:lang w:val="en-US" w:eastAsia="zh-CN"/>
              </w:rPr>
              <w:t>水处理底泥</w:t>
            </w:r>
          </w:p>
        </w:tc>
        <w:tc>
          <w:tcPr>
            <w:tcW w:w="626" w:type="pct"/>
            <w:tcBorders>
              <w:tl2br w:val="nil"/>
              <w:tr2bl w:val="nil"/>
            </w:tcBorders>
            <w:shd w:val="clear" w:color="auto" w:fill="auto"/>
            <w:vAlign w:val="center"/>
          </w:tcPr>
          <w:p w14:paraId="753A2FD6">
            <w:pPr>
              <w:pStyle w:val="17"/>
              <w:bidi w:val="0"/>
              <w:rPr>
                <w:rFonts w:hint="default"/>
                <w:color w:val="auto"/>
                <w:highlight w:val="none"/>
                <w:lang w:val="en-US" w:eastAsia="zh-CN"/>
              </w:rPr>
            </w:pPr>
            <w:r>
              <w:rPr>
                <w:rFonts w:hint="eastAsia"/>
                <w:color w:val="auto"/>
                <w:highlight w:val="none"/>
                <w:lang w:val="en-US" w:eastAsia="zh-CN"/>
              </w:rPr>
              <w:t>155</w:t>
            </w:r>
            <w:r>
              <w:rPr>
                <w:rFonts w:hint="eastAsia"/>
                <w:color w:val="auto"/>
                <w:highlight w:val="none"/>
              </w:rPr>
              <w:t>t/a</w:t>
            </w:r>
          </w:p>
        </w:tc>
        <w:tc>
          <w:tcPr>
            <w:tcW w:w="420" w:type="pct"/>
            <w:vMerge w:val="continue"/>
            <w:tcBorders>
              <w:tl2br w:val="nil"/>
              <w:tr2bl w:val="nil"/>
            </w:tcBorders>
            <w:shd w:val="clear" w:color="auto" w:fill="auto"/>
            <w:vAlign w:val="center"/>
          </w:tcPr>
          <w:p w14:paraId="1A319480">
            <w:pPr>
              <w:pStyle w:val="17"/>
              <w:bidi w:val="0"/>
              <w:rPr>
                <w:rFonts w:hint="eastAsia"/>
                <w:color w:val="auto"/>
                <w:highlight w:val="none"/>
                <w:lang w:val="en-US" w:eastAsia="zh-CN"/>
              </w:rPr>
            </w:pPr>
          </w:p>
        </w:tc>
        <w:tc>
          <w:tcPr>
            <w:tcW w:w="516" w:type="pct"/>
            <w:tcBorders>
              <w:tl2br w:val="nil"/>
              <w:tr2bl w:val="nil"/>
            </w:tcBorders>
            <w:shd w:val="clear" w:color="auto" w:fill="auto"/>
            <w:vAlign w:val="center"/>
          </w:tcPr>
          <w:p w14:paraId="5476CA20">
            <w:pPr>
              <w:pStyle w:val="17"/>
              <w:bidi w:val="0"/>
              <w:ind w:firstLine="0" w:firstLineChars="0"/>
              <w:rPr>
                <w:rFonts w:hint="default"/>
                <w:color w:val="auto"/>
                <w:highlight w:val="none"/>
                <w:lang w:val="en-US" w:eastAsia="zh-CN"/>
              </w:rPr>
            </w:pPr>
            <w:r>
              <w:rPr>
                <w:rFonts w:hint="default"/>
                <w:color w:val="auto"/>
                <w:highlight w:val="none"/>
                <w:lang w:val="en-US" w:eastAsia="zh-CN"/>
              </w:rPr>
              <w:t>SW59</w:t>
            </w:r>
          </w:p>
        </w:tc>
        <w:tc>
          <w:tcPr>
            <w:tcW w:w="792" w:type="pct"/>
            <w:tcBorders>
              <w:tl2br w:val="nil"/>
              <w:tr2bl w:val="nil"/>
            </w:tcBorders>
            <w:shd w:val="clear" w:color="auto" w:fill="auto"/>
            <w:vAlign w:val="center"/>
          </w:tcPr>
          <w:p w14:paraId="218CC7D4">
            <w:pPr>
              <w:pStyle w:val="17"/>
              <w:bidi w:val="0"/>
              <w:rPr>
                <w:rFonts w:hint="eastAsia"/>
                <w:color w:val="auto"/>
                <w:highlight w:val="none"/>
                <w:lang w:val="en-US" w:eastAsia="zh-CN"/>
              </w:rPr>
            </w:pPr>
            <w:r>
              <w:rPr>
                <w:rFonts w:hint="eastAsia"/>
                <w:color w:val="auto"/>
                <w:highlight w:val="none"/>
                <w:lang w:val="en-US" w:eastAsia="zh-CN"/>
              </w:rPr>
              <w:t>900-099-S59</w:t>
            </w:r>
          </w:p>
        </w:tc>
        <w:tc>
          <w:tcPr>
            <w:tcW w:w="1432" w:type="pct"/>
            <w:tcBorders>
              <w:tl2br w:val="nil"/>
              <w:tr2bl w:val="nil"/>
            </w:tcBorders>
            <w:shd w:val="clear" w:color="auto" w:fill="auto"/>
            <w:vAlign w:val="center"/>
          </w:tcPr>
          <w:p w14:paraId="6A33C85F">
            <w:pPr>
              <w:pStyle w:val="17"/>
              <w:bidi w:val="0"/>
              <w:rPr>
                <w:rFonts w:hint="eastAsia"/>
                <w:color w:val="auto"/>
                <w:highlight w:val="none"/>
              </w:rPr>
            </w:pPr>
            <w:r>
              <w:rPr>
                <w:rFonts w:hint="eastAsia"/>
                <w:color w:val="auto"/>
                <w:highlight w:val="none"/>
              </w:rPr>
              <w:t>定期拉运至</w:t>
            </w:r>
            <w:r>
              <w:rPr>
                <w:rFonts w:hint="eastAsia"/>
                <w:color w:val="auto"/>
                <w:highlight w:val="none"/>
                <w:lang w:eastAsia="zh-CN"/>
              </w:rPr>
              <w:t>若羌</w:t>
            </w:r>
            <w:r>
              <w:rPr>
                <w:rFonts w:hint="eastAsia"/>
                <w:color w:val="auto"/>
                <w:highlight w:val="none"/>
              </w:rPr>
              <w:t>县一般工业固体废物填埋场进行处置</w:t>
            </w:r>
          </w:p>
        </w:tc>
        <w:tc>
          <w:tcPr>
            <w:tcW w:w="466" w:type="pct"/>
            <w:tcBorders>
              <w:tl2br w:val="nil"/>
              <w:tr2bl w:val="nil"/>
            </w:tcBorders>
            <w:shd w:val="clear" w:color="auto" w:fill="auto"/>
            <w:vAlign w:val="center"/>
          </w:tcPr>
          <w:p w14:paraId="343B0DB7">
            <w:pPr>
              <w:pStyle w:val="17"/>
              <w:bidi w:val="0"/>
              <w:rPr>
                <w:rFonts w:hint="eastAsia"/>
                <w:color w:val="auto"/>
                <w:highlight w:val="none"/>
              </w:rPr>
            </w:pPr>
            <w:r>
              <w:rPr>
                <w:rFonts w:hint="eastAsia"/>
                <w:color w:val="auto"/>
                <w:highlight w:val="none"/>
                <w:lang w:val="en-US" w:eastAsia="zh-CN"/>
              </w:rPr>
              <w:t>155</w:t>
            </w:r>
            <w:r>
              <w:rPr>
                <w:color w:val="auto"/>
                <w:highlight w:val="none"/>
              </w:rPr>
              <w:t>t/a</w:t>
            </w:r>
          </w:p>
        </w:tc>
      </w:tr>
      <w:tr w14:paraId="1192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shd w:val="clear" w:color="auto" w:fill="auto"/>
            <w:vAlign w:val="center"/>
          </w:tcPr>
          <w:p w14:paraId="69133128">
            <w:pPr>
              <w:pStyle w:val="17"/>
              <w:bidi w:val="0"/>
              <w:rPr>
                <w:rFonts w:hint="default" w:eastAsia="宋体"/>
                <w:color w:val="auto"/>
                <w:highlight w:val="none"/>
                <w:lang w:val="en-US" w:eastAsia="zh-CN"/>
              </w:rPr>
            </w:pPr>
            <w:r>
              <w:rPr>
                <w:rFonts w:hint="eastAsia"/>
                <w:color w:val="auto"/>
                <w:highlight w:val="none"/>
                <w:lang w:val="en-US" w:eastAsia="zh-CN"/>
              </w:rPr>
              <w:t>废石英砂</w:t>
            </w:r>
          </w:p>
        </w:tc>
        <w:tc>
          <w:tcPr>
            <w:tcW w:w="626" w:type="pct"/>
            <w:tcBorders>
              <w:tl2br w:val="nil"/>
              <w:tr2bl w:val="nil"/>
            </w:tcBorders>
            <w:shd w:val="clear" w:color="auto" w:fill="auto"/>
            <w:vAlign w:val="center"/>
          </w:tcPr>
          <w:p w14:paraId="7A8C1F42">
            <w:pPr>
              <w:pStyle w:val="17"/>
              <w:bidi w:val="0"/>
              <w:rPr>
                <w:rFonts w:hint="default"/>
                <w:color w:val="auto"/>
                <w:highlight w:val="none"/>
                <w:lang w:val="en-US" w:eastAsia="zh-CN"/>
              </w:rPr>
            </w:pPr>
            <w:r>
              <w:rPr>
                <w:rFonts w:hint="eastAsia"/>
                <w:color w:val="auto"/>
                <w:highlight w:val="none"/>
                <w:lang w:val="en-US" w:eastAsia="zh-CN"/>
              </w:rPr>
              <w:t>0.5</w:t>
            </w:r>
            <w:r>
              <w:rPr>
                <w:rFonts w:hint="eastAsia"/>
                <w:color w:val="auto"/>
                <w:highlight w:val="none"/>
              </w:rPr>
              <w:t>t/a</w:t>
            </w:r>
          </w:p>
        </w:tc>
        <w:tc>
          <w:tcPr>
            <w:tcW w:w="420" w:type="pct"/>
            <w:vMerge w:val="continue"/>
            <w:tcBorders>
              <w:tl2br w:val="nil"/>
              <w:tr2bl w:val="nil"/>
            </w:tcBorders>
            <w:shd w:val="clear" w:color="auto" w:fill="auto"/>
            <w:vAlign w:val="center"/>
          </w:tcPr>
          <w:p w14:paraId="1C80AF7E">
            <w:pPr>
              <w:pStyle w:val="17"/>
              <w:bidi w:val="0"/>
              <w:rPr>
                <w:rFonts w:hint="eastAsia"/>
                <w:color w:val="auto"/>
                <w:highlight w:val="none"/>
                <w:lang w:val="en-US" w:eastAsia="zh-CN"/>
              </w:rPr>
            </w:pPr>
          </w:p>
        </w:tc>
        <w:tc>
          <w:tcPr>
            <w:tcW w:w="516" w:type="pct"/>
            <w:tcBorders>
              <w:tl2br w:val="nil"/>
              <w:tr2bl w:val="nil"/>
            </w:tcBorders>
            <w:shd w:val="clear" w:color="auto" w:fill="auto"/>
            <w:vAlign w:val="center"/>
          </w:tcPr>
          <w:p w14:paraId="207423EB">
            <w:pPr>
              <w:pStyle w:val="17"/>
              <w:bidi w:val="0"/>
              <w:ind w:firstLine="0" w:firstLineChars="0"/>
              <w:rPr>
                <w:rFonts w:hint="default"/>
                <w:color w:val="auto"/>
                <w:highlight w:val="none"/>
                <w:lang w:val="en-US" w:eastAsia="zh-CN"/>
              </w:rPr>
            </w:pPr>
            <w:r>
              <w:rPr>
                <w:rFonts w:hint="default"/>
                <w:color w:val="auto"/>
                <w:highlight w:val="none"/>
                <w:lang w:val="en-US" w:eastAsia="zh-CN"/>
              </w:rPr>
              <w:t>SW59</w:t>
            </w:r>
          </w:p>
        </w:tc>
        <w:tc>
          <w:tcPr>
            <w:tcW w:w="792" w:type="pct"/>
            <w:tcBorders>
              <w:tl2br w:val="nil"/>
              <w:tr2bl w:val="nil"/>
            </w:tcBorders>
            <w:shd w:val="clear" w:color="auto" w:fill="auto"/>
            <w:vAlign w:val="center"/>
          </w:tcPr>
          <w:p w14:paraId="3A4091FE">
            <w:pPr>
              <w:pStyle w:val="17"/>
              <w:bidi w:val="0"/>
              <w:rPr>
                <w:rFonts w:hint="eastAsia"/>
                <w:color w:val="auto"/>
                <w:highlight w:val="none"/>
                <w:lang w:val="en-US" w:eastAsia="zh-CN"/>
              </w:rPr>
            </w:pPr>
            <w:r>
              <w:rPr>
                <w:rFonts w:hint="eastAsia"/>
                <w:color w:val="auto"/>
                <w:highlight w:val="none"/>
                <w:lang w:val="en-US" w:eastAsia="zh-CN"/>
              </w:rPr>
              <w:t>900-009-S59</w:t>
            </w:r>
          </w:p>
        </w:tc>
        <w:tc>
          <w:tcPr>
            <w:tcW w:w="1432" w:type="pct"/>
            <w:tcBorders>
              <w:tl2br w:val="nil"/>
              <w:tr2bl w:val="nil"/>
            </w:tcBorders>
            <w:shd w:val="clear" w:color="auto" w:fill="auto"/>
            <w:vAlign w:val="center"/>
          </w:tcPr>
          <w:p w14:paraId="64C1A005">
            <w:pPr>
              <w:pStyle w:val="17"/>
              <w:bidi w:val="0"/>
              <w:rPr>
                <w:rFonts w:hint="eastAsia"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外售处置利用</w:t>
            </w:r>
          </w:p>
        </w:tc>
        <w:tc>
          <w:tcPr>
            <w:tcW w:w="466" w:type="pct"/>
            <w:tcBorders>
              <w:tl2br w:val="nil"/>
              <w:tr2bl w:val="nil"/>
            </w:tcBorders>
            <w:shd w:val="clear" w:color="auto" w:fill="auto"/>
            <w:vAlign w:val="center"/>
          </w:tcPr>
          <w:p w14:paraId="79DB1706">
            <w:pPr>
              <w:pStyle w:val="17"/>
              <w:bidi w:val="0"/>
              <w:ind w:firstLine="0" w:firstLineChars="0"/>
              <w:rPr>
                <w:rFonts w:hint="eastAsia"/>
                <w:color w:val="auto"/>
                <w:highlight w:val="none"/>
              </w:rPr>
            </w:pPr>
            <w:r>
              <w:rPr>
                <w:rFonts w:hint="eastAsia"/>
                <w:color w:val="auto"/>
                <w:highlight w:val="none"/>
                <w:lang w:val="en-US" w:eastAsia="zh-CN"/>
              </w:rPr>
              <w:t>0.5</w:t>
            </w:r>
            <w:r>
              <w:rPr>
                <w:rFonts w:hint="eastAsia"/>
                <w:color w:val="auto"/>
                <w:highlight w:val="none"/>
              </w:rPr>
              <w:t>t/a</w:t>
            </w:r>
          </w:p>
        </w:tc>
      </w:tr>
      <w:tr w14:paraId="30C0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shd w:val="clear" w:color="auto" w:fill="auto"/>
            <w:vAlign w:val="center"/>
          </w:tcPr>
          <w:p w14:paraId="138C881F">
            <w:pPr>
              <w:pStyle w:val="17"/>
              <w:bidi w:val="0"/>
              <w:rPr>
                <w:rFonts w:hint="eastAsia" w:eastAsia="宋体"/>
                <w:color w:val="auto"/>
                <w:highlight w:val="none"/>
                <w:lang w:val="en-US" w:eastAsia="zh-CN"/>
              </w:rPr>
            </w:pPr>
            <w:r>
              <w:rPr>
                <w:rFonts w:hint="eastAsia"/>
                <w:color w:val="auto"/>
                <w:highlight w:val="none"/>
                <w:lang w:val="en-US" w:eastAsia="zh-CN"/>
              </w:rPr>
              <w:t>废活性炭</w:t>
            </w:r>
          </w:p>
        </w:tc>
        <w:tc>
          <w:tcPr>
            <w:tcW w:w="626" w:type="pct"/>
            <w:tcBorders>
              <w:tl2br w:val="nil"/>
              <w:tr2bl w:val="nil"/>
            </w:tcBorders>
            <w:shd w:val="clear" w:color="auto" w:fill="auto"/>
            <w:vAlign w:val="center"/>
          </w:tcPr>
          <w:p w14:paraId="75D8572D">
            <w:pPr>
              <w:pStyle w:val="17"/>
              <w:bidi w:val="0"/>
              <w:rPr>
                <w:rFonts w:hint="default"/>
                <w:color w:val="auto"/>
                <w:highlight w:val="none"/>
                <w:lang w:val="en-US" w:eastAsia="zh-CN"/>
              </w:rPr>
            </w:pPr>
            <w:r>
              <w:rPr>
                <w:rFonts w:hint="eastAsia"/>
                <w:color w:val="auto"/>
                <w:highlight w:val="none"/>
                <w:lang w:val="en-US" w:eastAsia="zh-CN"/>
              </w:rPr>
              <w:t>0.2</w:t>
            </w:r>
            <w:r>
              <w:rPr>
                <w:rFonts w:hint="eastAsia"/>
                <w:color w:val="auto"/>
                <w:highlight w:val="none"/>
              </w:rPr>
              <w:t>t/a</w:t>
            </w:r>
          </w:p>
        </w:tc>
        <w:tc>
          <w:tcPr>
            <w:tcW w:w="420" w:type="pct"/>
            <w:vMerge w:val="continue"/>
            <w:tcBorders>
              <w:tl2br w:val="nil"/>
              <w:tr2bl w:val="nil"/>
            </w:tcBorders>
            <w:shd w:val="clear" w:color="auto" w:fill="auto"/>
            <w:vAlign w:val="center"/>
          </w:tcPr>
          <w:p w14:paraId="537D4AE7">
            <w:pPr>
              <w:pStyle w:val="17"/>
              <w:bidi w:val="0"/>
              <w:rPr>
                <w:rFonts w:hint="eastAsia"/>
                <w:color w:val="auto"/>
                <w:highlight w:val="none"/>
                <w:lang w:val="en-US" w:eastAsia="zh-CN"/>
              </w:rPr>
            </w:pPr>
          </w:p>
        </w:tc>
        <w:tc>
          <w:tcPr>
            <w:tcW w:w="516" w:type="pct"/>
            <w:tcBorders>
              <w:tl2br w:val="nil"/>
              <w:tr2bl w:val="nil"/>
            </w:tcBorders>
            <w:shd w:val="clear" w:color="auto" w:fill="auto"/>
            <w:vAlign w:val="center"/>
          </w:tcPr>
          <w:p w14:paraId="6A290A30">
            <w:pPr>
              <w:pStyle w:val="17"/>
              <w:bidi w:val="0"/>
              <w:ind w:firstLine="0" w:firstLineChars="0"/>
              <w:rPr>
                <w:rFonts w:hint="default"/>
                <w:color w:val="auto"/>
                <w:highlight w:val="none"/>
                <w:lang w:val="en-US" w:eastAsia="zh-CN"/>
              </w:rPr>
            </w:pPr>
            <w:r>
              <w:rPr>
                <w:rFonts w:hint="default"/>
                <w:color w:val="auto"/>
                <w:highlight w:val="none"/>
                <w:lang w:val="en-US" w:eastAsia="zh-CN"/>
              </w:rPr>
              <w:t>SW59</w:t>
            </w:r>
          </w:p>
        </w:tc>
        <w:tc>
          <w:tcPr>
            <w:tcW w:w="792" w:type="pct"/>
            <w:tcBorders>
              <w:tl2br w:val="nil"/>
              <w:tr2bl w:val="nil"/>
            </w:tcBorders>
            <w:shd w:val="clear" w:color="auto" w:fill="auto"/>
            <w:vAlign w:val="center"/>
          </w:tcPr>
          <w:p w14:paraId="41C4B8B3">
            <w:pPr>
              <w:pStyle w:val="17"/>
              <w:bidi w:val="0"/>
              <w:rPr>
                <w:rFonts w:hint="eastAsia"/>
                <w:color w:val="auto"/>
                <w:highlight w:val="none"/>
                <w:lang w:val="en-US" w:eastAsia="zh-CN"/>
              </w:rPr>
            </w:pPr>
            <w:r>
              <w:rPr>
                <w:rFonts w:hint="eastAsia"/>
                <w:color w:val="auto"/>
                <w:highlight w:val="none"/>
                <w:lang w:val="en-US" w:eastAsia="zh-CN"/>
              </w:rPr>
              <w:t>900-008-S59</w:t>
            </w:r>
          </w:p>
        </w:tc>
        <w:tc>
          <w:tcPr>
            <w:tcW w:w="1432" w:type="pct"/>
            <w:tcBorders>
              <w:tl2br w:val="nil"/>
              <w:tr2bl w:val="nil"/>
            </w:tcBorders>
            <w:shd w:val="clear" w:color="auto" w:fill="auto"/>
            <w:vAlign w:val="center"/>
          </w:tcPr>
          <w:p w14:paraId="2ED145BD">
            <w:pPr>
              <w:pStyle w:val="17"/>
              <w:bidi w:val="0"/>
              <w:rPr>
                <w:rFonts w:hint="eastAsia"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外售处置利用</w:t>
            </w:r>
          </w:p>
        </w:tc>
        <w:tc>
          <w:tcPr>
            <w:tcW w:w="466" w:type="pct"/>
            <w:tcBorders>
              <w:tl2br w:val="nil"/>
              <w:tr2bl w:val="nil"/>
            </w:tcBorders>
            <w:shd w:val="clear" w:color="auto" w:fill="auto"/>
            <w:vAlign w:val="center"/>
          </w:tcPr>
          <w:p w14:paraId="5E9E0E86">
            <w:pPr>
              <w:pStyle w:val="17"/>
              <w:bidi w:val="0"/>
              <w:ind w:firstLine="0" w:firstLineChars="0"/>
              <w:rPr>
                <w:rFonts w:hint="eastAsia"/>
                <w:color w:val="auto"/>
                <w:highlight w:val="none"/>
              </w:rPr>
            </w:pPr>
            <w:r>
              <w:rPr>
                <w:rFonts w:hint="eastAsia"/>
                <w:color w:val="auto"/>
                <w:highlight w:val="none"/>
                <w:lang w:val="en-US" w:eastAsia="zh-CN"/>
              </w:rPr>
              <w:t>0.2</w:t>
            </w:r>
            <w:r>
              <w:rPr>
                <w:rFonts w:hint="eastAsia"/>
                <w:color w:val="auto"/>
                <w:highlight w:val="none"/>
              </w:rPr>
              <w:t>t/a</w:t>
            </w:r>
          </w:p>
        </w:tc>
      </w:tr>
      <w:tr w14:paraId="4493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shd w:val="clear" w:color="auto" w:fill="auto"/>
            <w:vAlign w:val="center"/>
          </w:tcPr>
          <w:p w14:paraId="55C1F62B">
            <w:pPr>
              <w:pStyle w:val="17"/>
              <w:bidi w:val="0"/>
              <w:rPr>
                <w:rFonts w:hint="eastAsia"/>
                <w:color w:val="auto"/>
                <w:highlight w:val="none"/>
                <w:lang w:val="en-US" w:eastAsia="zh-CN"/>
              </w:rPr>
            </w:pPr>
            <w:r>
              <w:rPr>
                <w:rFonts w:hint="eastAsia"/>
                <w:color w:val="auto"/>
                <w:highlight w:val="none"/>
              </w:rPr>
              <w:t>废布袋</w:t>
            </w:r>
          </w:p>
        </w:tc>
        <w:tc>
          <w:tcPr>
            <w:tcW w:w="626" w:type="pct"/>
            <w:tcBorders>
              <w:tl2br w:val="nil"/>
              <w:tr2bl w:val="nil"/>
            </w:tcBorders>
            <w:shd w:val="clear" w:color="auto" w:fill="auto"/>
            <w:vAlign w:val="center"/>
          </w:tcPr>
          <w:p w14:paraId="61B38F98">
            <w:pPr>
              <w:pStyle w:val="17"/>
              <w:bidi w:val="0"/>
              <w:rPr>
                <w:rFonts w:hint="eastAsia"/>
                <w:color w:val="auto"/>
                <w:highlight w:val="none"/>
                <w:lang w:val="en-US" w:eastAsia="zh-CN"/>
              </w:rPr>
            </w:pPr>
            <w:r>
              <w:rPr>
                <w:rFonts w:hint="eastAsia"/>
                <w:color w:val="auto"/>
                <w:highlight w:val="none"/>
              </w:rPr>
              <w:t>0.5t/a</w:t>
            </w:r>
          </w:p>
        </w:tc>
        <w:tc>
          <w:tcPr>
            <w:tcW w:w="420" w:type="pct"/>
            <w:vMerge w:val="continue"/>
            <w:tcBorders>
              <w:tl2br w:val="nil"/>
              <w:tr2bl w:val="nil"/>
            </w:tcBorders>
            <w:shd w:val="clear" w:color="auto" w:fill="auto"/>
            <w:vAlign w:val="center"/>
          </w:tcPr>
          <w:p w14:paraId="0628A374">
            <w:pPr>
              <w:pStyle w:val="17"/>
              <w:bidi w:val="0"/>
              <w:rPr>
                <w:rFonts w:hint="default"/>
                <w:color w:val="auto"/>
                <w:highlight w:val="none"/>
                <w:lang w:val="en-US" w:eastAsia="zh-CN"/>
              </w:rPr>
            </w:pPr>
          </w:p>
        </w:tc>
        <w:tc>
          <w:tcPr>
            <w:tcW w:w="516" w:type="pct"/>
            <w:tcBorders>
              <w:tl2br w:val="nil"/>
              <w:tr2bl w:val="nil"/>
            </w:tcBorders>
            <w:shd w:val="clear" w:color="auto" w:fill="auto"/>
            <w:vAlign w:val="center"/>
          </w:tcPr>
          <w:p w14:paraId="4A6FDB55">
            <w:pPr>
              <w:pStyle w:val="17"/>
              <w:bidi w:val="0"/>
              <w:rPr>
                <w:color w:val="auto"/>
                <w:highlight w:val="none"/>
                <w:lang w:val="en-US" w:eastAsia="zh-CN"/>
              </w:rPr>
            </w:pPr>
            <w:r>
              <w:rPr>
                <w:rFonts w:hint="default"/>
                <w:color w:val="auto"/>
                <w:highlight w:val="none"/>
                <w:lang w:val="en-US" w:eastAsia="zh-CN"/>
              </w:rPr>
              <w:t>SW59</w:t>
            </w:r>
          </w:p>
        </w:tc>
        <w:tc>
          <w:tcPr>
            <w:tcW w:w="792" w:type="pct"/>
            <w:tcBorders>
              <w:tl2br w:val="nil"/>
              <w:tr2bl w:val="nil"/>
            </w:tcBorders>
            <w:shd w:val="clear" w:color="auto" w:fill="auto"/>
            <w:vAlign w:val="center"/>
          </w:tcPr>
          <w:p w14:paraId="711FDF58">
            <w:pPr>
              <w:pStyle w:val="17"/>
              <w:bidi w:val="0"/>
              <w:rPr>
                <w:rFonts w:hint="eastAsia"/>
                <w:color w:val="auto"/>
                <w:highlight w:val="none"/>
                <w:lang w:val="en-US" w:eastAsia="zh-CN"/>
              </w:rPr>
            </w:pPr>
            <w:r>
              <w:rPr>
                <w:rFonts w:hint="eastAsia"/>
                <w:color w:val="auto"/>
                <w:highlight w:val="none"/>
                <w:lang w:val="en-US" w:eastAsia="zh-CN"/>
              </w:rPr>
              <w:t>900-099-S59</w:t>
            </w:r>
          </w:p>
        </w:tc>
        <w:tc>
          <w:tcPr>
            <w:tcW w:w="1432" w:type="pct"/>
            <w:tcBorders>
              <w:tl2br w:val="nil"/>
              <w:tr2bl w:val="nil"/>
            </w:tcBorders>
            <w:shd w:val="clear" w:color="auto" w:fill="auto"/>
            <w:vAlign w:val="center"/>
          </w:tcPr>
          <w:p w14:paraId="026D2381">
            <w:pPr>
              <w:pStyle w:val="17"/>
              <w:bidi w:val="0"/>
              <w:rPr>
                <w:rFonts w:hint="eastAsia"/>
                <w:color w:val="auto"/>
                <w:highlight w:val="none"/>
                <w:lang w:val="en-US" w:eastAsia="zh-CN"/>
              </w:rPr>
            </w:pPr>
            <w:r>
              <w:rPr>
                <w:rFonts w:hint="eastAsia"/>
                <w:color w:val="auto"/>
                <w:highlight w:val="none"/>
              </w:rPr>
              <w:t>集中收集后定期拉运至</w:t>
            </w:r>
            <w:r>
              <w:rPr>
                <w:rFonts w:hint="eastAsia"/>
                <w:color w:val="auto"/>
                <w:highlight w:val="none"/>
                <w:lang w:eastAsia="zh-CN"/>
              </w:rPr>
              <w:t>若羌</w:t>
            </w:r>
            <w:r>
              <w:rPr>
                <w:rFonts w:hint="eastAsia"/>
                <w:color w:val="auto"/>
                <w:highlight w:val="none"/>
              </w:rPr>
              <w:t>县一般工业固体废物填埋场进行处置</w:t>
            </w:r>
          </w:p>
        </w:tc>
        <w:tc>
          <w:tcPr>
            <w:tcW w:w="466" w:type="pct"/>
            <w:tcBorders>
              <w:tl2br w:val="nil"/>
              <w:tr2bl w:val="nil"/>
            </w:tcBorders>
            <w:shd w:val="clear" w:color="auto" w:fill="auto"/>
            <w:vAlign w:val="center"/>
          </w:tcPr>
          <w:p w14:paraId="129EA824">
            <w:pPr>
              <w:pStyle w:val="17"/>
              <w:bidi w:val="0"/>
              <w:rPr>
                <w:rFonts w:hint="eastAsia"/>
                <w:color w:val="auto"/>
                <w:highlight w:val="none"/>
                <w:lang w:val="en-US" w:eastAsia="zh-CN"/>
              </w:rPr>
            </w:pPr>
            <w:r>
              <w:rPr>
                <w:rFonts w:hint="eastAsia"/>
                <w:color w:val="auto"/>
                <w:highlight w:val="none"/>
              </w:rPr>
              <w:t>0.5t/a</w:t>
            </w:r>
          </w:p>
        </w:tc>
      </w:tr>
      <w:tr w14:paraId="7001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shd w:val="clear" w:color="auto" w:fill="auto"/>
            <w:vAlign w:val="center"/>
          </w:tcPr>
          <w:p w14:paraId="1060CF9B">
            <w:pPr>
              <w:pStyle w:val="17"/>
              <w:bidi w:val="0"/>
              <w:rPr>
                <w:rFonts w:hint="eastAsia"/>
                <w:color w:val="auto"/>
                <w:highlight w:val="none"/>
                <w:lang w:val="en-US" w:eastAsia="zh-CN"/>
              </w:rPr>
            </w:pPr>
            <w:r>
              <w:rPr>
                <w:rFonts w:hint="eastAsia"/>
                <w:color w:val="auto"/>
                <w:highlight w:val="none"/>
                <w:lang w:eastAsia="zh-CN"/>
              </w:rPr>
              <w:t>原辅料废包装物</w:t>
            </w:r>
          </w:p>
        </w:tc>
        <w:tc>
          <w:tcPr>
            <w:tcW w:w="626" w:type="pct"/>
            <w:tcBorders>
              <w:tl2br w:val="nil"/>
              <w:tr2bl w:val="nil"/>
            </w:tcBorders>
            <w:shd w:val="clear" w:color="auto" w:fill="auto"/>
            <w:vAlign w:val="center"/>
          </w:tcPr>
          <w:p w14:paraId="323F7A3B">
            <w:pPr>
              <w:pStyle w:val="17"/>
              <w:bidi w:val="0"/>
              <w:rPr>
                <w:rFonts w:hint="eastAsia"/>
                <w:color w:val="auto"/>
                <w:highlight w:val="none"/>
                <w:lang w:val="en-US" w:eastAsia="zh-CN"/>
              </w:rPr>
            </w:pPr>
            <w:r>
              <w:rPr>
                <w:rFonts w:hint="eastAsia"/>
                <w:color w:val="auto"/>
                <w:highlight w:val="none"/>
                <w:lang w:val="en-US" w:eastAsia="zh-CN"/>
              </w:rPr>
              <w:t>202.32</w:t>
            </w:r>
            <w:r>
              <w:rPr>
                <w:rFonts w:hint="eastAsia"/>
                <w:color w:val="auto"/>
                <w:highlight w:val="none"/>
              </w:rPr>
              <w:t>t/a</w:t>
            </w:r>
          </w:p>
        </w:tc>
        <w:tc>
          <w:tcPr>
            <w:tcW w:w="420" w:type="pct"/>
            <w:vMerge w:val="continue"/>
            <w:tcBorders>
              <w:tl2br w:val="nil"/>
              <w:tr2bl w:val="nil"/>
            </w:tcBorders>
            <w:shd w:val="clear" w:color="auto" w:fill="auto"/>
            <w:vAlign w:val="center"/>
          </w:tcPr>
          <w:p w14:paraId="68EFC536">
            <w:pPr>
              <w:pStyle w:val="17"/>
              <w:bidi w:val="0"/>
              <w:rPr>
                <w:rFonts w:hint="default"/>
                <w:color w:val="auto"/>
                <w:highlight w:val="none"/>
                <w:lang w:val="en-US" w:eastAsia="zh-CN"/>
              </w:rPr>
            </w:pPr>
          </w:p>
        </w:tc>
        <w:tc>
          <w:tcPr>
            <w:tcW w:w="516" w:type="pct"/>
            <w:tcBorders>
              <w:tl2br w:val="nil"/>
              <w:tr2bl w:val="nil"/>
            </w:tcBorders>
            <w:shd w:val="clear" w:color="auto" w:fill="auto"/>
            <w:vAlign w:val="center"/>
          </w:tcPr>
          <w:p w14:paraId="71B94303">
            <w:pPr>
              <w:pStyle w:val="17"/>
              <w:bidi w:val="0"/>
              <w:rPr>
                <w:rFonts w:hint="eastAsia"/>
                <w:color w:val="auto"/>
                <w:highlight w:val="none"/>
                <w:lang w:val="en-US" w:eastAsia="zh-CN"/>
              </w:rPr>
            </w:pPr>
            <w:r>
              <w:rPr>
                <w:rFonts w:hint="eastAsia"/>
                <w:color w:val="auto"/>
                <w:highlight w:val="none"/>
                <w:lang w:val="en-US" w:eastAsia="zh-CN"/>
              </w:rPr>
              <w:t>SW17</w:t>
            </w:r>
          </w:p>
        </w:tc>
        <w:tc>
          <w:tcPr>
            <w:tcW w:w="792" w:type="pct"/>
            <w:tcBorders>
              <w:tl2br w:val="nil"/>
              <w:tr2bl w:val="nil"/>
            </w:tcBorders>
            <w:shd w:val="clear" w:color="auto" w:fill="auto"/>
            <w:vAlign w:val="center"/>
          </w:tcPr>
          <w:p w14:paraId="77977627">
            <w:pPr>
              <w:pStyle w:val="17"/>
              <w:bidi w:val="0"/>
              <w:rPr>
                <w:rFonts w:hint="eastAsia"/>
                <w:color w:val="auto"/>
                <w:highlight w:val="none"/>
                <w:lang w:val="en-US" w:eastAsia="zh-CN"/>
              </w:rPr>
            </w:pPr>
            <w:r>
              <w:rPr>
                <w:rFonts w:hint="default"/>
                <w:color w:val="auto"/>
                <w:highlight w:val="none"/>
                <w:lang w:val="en-US" w:eastAsia="zh-CN"/>
              </w:rPr>
              <w:t>900-003-S17</w:t>
            </w:r>
          </w:p>
        </w:tc>
        <w:tc>
          <w:tcPr>
            <w:tcW w:w="1432" w:type="pct"/>
            <w:tcBorders>
              <w:tl2br w:val="nil"/>
              <w:tr2bl w:val="nil"/>
            </w:tcBorders>
            <w:shd w:val="clear" w:color="auto" w:fill="auto"/>
            <w:vAlign w:val="center"/>
          </w:tcPr>
          <w:p w14:paraId="68DD5D3E">
            <w:pPr>
              <w:pStyle w:val="17"/>
              <w:bidi w:val="0"/>
              <w:rPr>
                <w:rFonts w:hint="eastAsia"/>
                <w:color w:val="auto"/>
                <w:highlight w:val="none"/>
                <w:lang w:val="en-US" w:eastAsia="zh-CN"/>
              </w:rPr>
            </w:pPr>
            <w:r>
              <w:rPr>
                <w:rFonts w:hint="eastAsia"/>
                <w:color w:val="auto"/>
                <w:highlight w:val="none"/>
              </w:rPr>
              <w:t>厂家回收处理</w:t>
            </w:r>
          </w:p>
        </w:tc>
        <w:tc>
          <w:tcPr>
            <w:tcW w:w="466" w:type="pct"/>
            <w:tcBorders>
              <w:tl2br w:val="nil"/>
              <w:tr2bl w:val="nil"/>
            </w:tcBorders>
            <w:shd w:val="clear" w:color="auto" w:fill="auto"/>
            <w:vAlign w:val="center"/>
          </w:tcPr>
          <w:p w14:paraId="6CB2F8ED">
            <w:pPr>
              <w:pStyle w:val="17"/>
              <w:bidi w:val="0"/>
              <w:rPr>
                <w:rFonts w:hint="eastAsia"/>
                <w:color w:val="auto"/>
                <w:highlight w:val="none"/>
                <w:lang w:val="en-US" w:eastAsia="zh-CN"/>
              </w:rPr>
            </w:pPr>
            <w:r>
              <w:rPr>
                <w:rFonts w:hint="eastAsia"/>
                <w:color w:val="auto"/>
                <w:highlight w:val="none"/>
                <w:lang w:val="en-US" w:eastAsia="zh-CN"/>
              </w:rPr>
              <w:t>0</w:t>
            </w:r>
            <w:r>
              <w:rPr>
                <w:rFonts w:hint="eastAsia"/>
                <w:color w:val="auto"/>
                <w:highlight w:val="none"/>
              </w:rPr>
              <w:t>t/a</w:t>
            </w:r>
          </w:p>
        </w:tc>
      </w:tr>
      <w:tr w14:paraId="4EC2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44" w:type="pct"/>
            <w:tcBorders>
              <w:tl2br w:val="nil"/>
              <w:tr2bl w:val="nil"/>
            </w:tcBorders>
            <w:vAlign w:val="center"/>
          </w:tcPr>
          <w:p w14:paraId="07C8CF4E">
            <w:pPr>
              <w:pStyle w:val="17"/>
              <w:bidi w:val="0"/>
              <w:rPr>
                <w:color w:val="auto"/>
                <w:highlight w:val="none"/>
              </w:rPr>
            </w:pPr>
            <w:r>
              <w:rPr>
                <w:rFonts w:hint="eastAsia"/>
                <w:color w:val="auto"/>
                <w:highlight w:val="none"/>
              </w:rPr>
              <w:t>废机油</w:t>
            </w:r>
          </w:p>
        </w:tc>
        <w:tc>
          <w:tcPr>
            <w:tcW w:w="626" w:type="pct"/>
            <w:tcBorders>
              <w:tl2br w:val="nil"/>
              <w:tr2bl w:val="nil"/>
            </w:tcBorders>
            <w:vAlign w:val="center"/>
          </w:tcPr>
          <w:p w14:paraId="2BBE6974">
            <w:pPr>
              <w:pStyle w:val="17"/>
              <w:bidi w:val="0"/>
              <w:rPr>
                <w:color w:val="auto"/>
                <w:highlight w:val="none"/>
              </w:rPr>
            </w:pPr>
            <w:r>
              <w:rPr>
                <w:rFonts w:hint="eastAsia"/>
                <w:color w:val="auto"/>
                <w:highlight w:val="none"/>
              </w:rPr>
              <w:t>2</w:t>
            </w:r>
            <w:r>
              <w:rPr>
                <w:color w:val="auto"/>
                <w:highlight w:val="none"/>
              </w:rPr>
              <w:t>t/a</w:t>
            </w:r>
          </w:p>
        </w:tc>
        <w:tc>
          <w:tcPr>
            <w:tcW w:w="420" w:type="pct"/>
            <w:vMerge w:val="restart"/>
            <w:tcBorders>
              <w:tl2br w:val="nil"/>
              <w:tr2bl w:val="nil"/>
            </w:tcBorders>
            <w:vAlign w:val="center"/>
          </w:tcPr>
          <w:p w14:paraId="14878F5D">
            <w:pPr>
              <w:pStyle w:val="17"/>
              <w:bidi w:val="0"/>
              <w:rPr>
                <w:rFonts w:hint="eastAsia"/>
                <w:color w:val="auto"/>
                <w:highlight w:val="none"/>
                <w:lang w:val="en-US" w:eastAsia="zh-CN"/>
              </w:rPr>
            </w:pPr>
            <w:r>
              <w:rPr>
                <w:rFonts w:hint="eastAsia"/>
                <w:color w:val="auto"/>
                <w:highlight w:val="none"/>
                <w:lang w:val="en-US" w:eastAsia="zh-CN"/>
              </w:rPr>
              <w:t>危险废物</w:t>
            </w:r>
          </w:p>
        </w:tc>
        <w:tc>
          <w:tcPr>
            <w:tcW w:w="516" w:type="pct"/>
            <w:tcBorders>
              <w:tl2br w:val="nil"/>
              <w:tr2bl w:val="nil"/>
            </w:tcBorders>
            <w:vAlign w:val="center"/>
          </w:tcPr>
          <w:p w14:paraId="60ACAC45">
            <w:pPr>
              <w:pStyle w:val="17"/>
              <w:bidi w:val="0"/>
              <w:rPr>
                <w:color w:val="auto"/>
                <w:highlight w:val="none"/>
              </w:rPr>
            </w:pPr>
            <w:r>
              <w:rPr>
                <w:color w:val="auto"/>
                <w:highlight w:val="none"/>
              </w:rPr>
              <w:t>HW08</w:t>
            </w:r>
          </w:p>
        </w:tc>
        <w:tc>
          <w:tcPr>
            <w:tcW w:w="792" w:type="pct"/>
            <w:tcBorders>
              <w:tl2br w:val="nil"/>
              <w:tr2bl w:val="nil"/>
            </w:tcBorders>
            <w:vAlign w:val="center"/>
          </w:tcPr>
          <w:p w14:paraId="5D5B3C25">
            <w:pPr>
              <w:pStyle w:val="17"/>
              <w:bidi w:val="0"/>
              <w:rPr>
                <w:rFonts w:hint="eastAsia"/>
                <w:color w:val="auto"/>
                <w:highlight w:val="none"/>
              </w:rPr>
            </w:pPr>
            <w:r>
              <w:rPr>
                <w:color w:val="auto"/>
                <w:highlight w:val="none"/>
              </w:rPr>
              <w:t>900-2</w:t>
            </w:r>
            <w:r>
              <w:rPr>
                <w:rFonts w:hint="eastAsia"/>
                <w:color w:val="auto"/>
                <w:highlight w:val="none"/>
              </w:rPr>
              <w:t>1</w:t>
            </w:r>
            <w:r>
              <w:rPr>
                <w:color w:val="auto"/>
                <w:highlight w:val="none"/>
              </w:rPr>
              <w:t>7-08</w:t>
            </w:r>
          </w:p>
        </w:tc>
        <w:tc>
          <w:tcPr>
            <w:tcW w:w="1432" w:type="pct"/>
            <w:vMerge w:val="restart"/>
            <w:tcBorders>
              <w:tl2br w:val="nil"/>
              <w:tr2bl w:val="nil"/>
            </w:tcBorders>
            <w:vAlign w:val="center"/>
          </w:tcPr>
          <w:p w14:paraId="06BB5A03">
            <w:pPr>
              <w:pStyle w:val="17"/>
              <w:bidi w:val="0"/>
              <w:rPr>
                <w:color w:val="auto"/>
                <w:highlight w:val="none"/>
              </w:rPr>
            </w:pPr>
            <w:r>
              <w:rPr>
                <w:rFonts w:hint="eastAsia"/>
                <w:color w:val="auto"/>
                <w:highlight w:val="none"/>
                <w:lang w:eastAsia="zh-CN"/>
              </w:rPr>
              <w:t>危废贮存库</w:t>
            </w:r>
            <w:r>
              <w:rPr>
                <w:rFonts w:hint="eastAsia"/>
                <w:color w:val="auto"/>
                <w:highlight w:val="none"/>
                <w:lang w:val="en-US" w:eastAsia="zh-CN"/>
              </w:rPr>
              <w:t>贮存</w:t>
            </w:r>
            <w:r>
              <w:rPr>
                <w:rFonts w:hint="eastAsia"/>
                <w:color w:val="auto"/>
                <w:highlight w:val="none"/>
                <w:lang w:eastAsia="zh-CN"/>
              </w:rPr>
              <w:t>，</w:t>
            </w:r>
            <w:r>
              <w:rPr>
                <w:rFonts w:hint="eastAsia"/>
                <w:color w:val="auto"/>
                <w:highlight w:val="none"/>
              </w:rPr>
              <w:t>定期交</w:t>
            </w:r>
            <w:r>
              <w:rPr>
                <w:rFonts w:hint="eastAsia"/>
                <w:color w:val="auto"/>
                <w:highlight w:val="none"/>
                <w:lang w:val="en-US" w:eastAsia="zh-CN"/>
              </w:rPr>
              <w:t>由</w:t>
            </w:r>
            <w:r>
              <w:rPr>
                <w:rFonts w:hint="eastAsia"/>
                <w:color w:val="auto"/>
                <w:highlight w:val="none"/>
              </w:rPr>
              <w:t>有资质单位处置</w:t>
            </w:r>
          </w:p>
        </w:tc>
        <w:tc>
          <w:tcPr>
            <w:tcW w:w="466" w:type="pct"/>
            <w:vMerge w:val="restart"/>
            <w:tcBorders>
              <w:tl2br w:val="nil"/>
              <w:tr2bl w:val="nil"/>
            </w:tcBorders>
            <w:vAlign w:val="center"/>
          </w:tcPr>
          <w:p w14:paraId="6AB93AD6">
            <w:pPr>
              <w:pStyle w:val="17"/>
              <w:bidi w:val="0"/>
              <w:rPr>
                <w:color w:val="auto"/>
                <w:highlight w:val="none"/>
              </w:rPr>
            </w:pPr>
            <w:r>
              <w:rPr>
                <w:rFonts w:hint="eastAsia"/>
                <w:color w:val="auto"/>
                <w:highlight w:val="none"/>
                <w:lang w:val="en-US" w:eastAsia="zh-CN"/>
              </w:rPr>
              <w:t>4.4</w:t>
            </w:r>
            <w:r>
              <w:rPr>
                <w:color w:val="auto"/>
                <w:highlight w:val="none"/>
              </w:rPr>
              <w:t>t/a</w:t>
            </w:r>
          </w:p>
        </w:tc>
      </w:tr>
      <w:tr w14:paraId="4077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44" w:type="pct"/>
            <w:tcBorders>
              <w:tl2br w:val="nil"/>
              <w:tr2bl w:val="nil"/>
            </w:tcBorders>
            <w:vAlign w:val="center"/>
          </w:tcPr>
          <w:p w14:paraId="19012631">
            <w:pPr>
              <w:pStyle w:val="17"/>
              <w:bidi w:val="0"/>
              <w:rPr>
                <w:color w:val="auto"/>
                <w:highlight w:val="none"/>
              </w:rPr>
            </w:pPr>
            <w:r>
              <w:rPr>
                <w:rFonts w:hint="eastAsia"/>
                <w:color w:val="auto"/>
                <w:highlight w:val="none"/>
              </w:rPr>
              <w:t>废油桶</w:t>
            </w:r>
          </w:p>
        </w:tc>
        <w:tc>
          <w:tcPr>
            <w:tcW w:w="626" w:type="pct"/>
            <w:tcBorders>
              <w:tl2br w:val="nil"/>
              <w:tr2bl w:val="nil"/>
            </w:tcBorders>
            <w:vAlign w:val="center"/>
          </w:tcPr>
          <w:p w14:paraId="6E092758">
            <w:pPr>
              <w:pStyle w:val="17"/>
              <w:bidi w:val="0"/>
              <w:rPr>
                <w:color w:val="auto"/>
                <w:highlight w:val="none"/>
              </w:rPr>
            </w:pPr>
            <w:r>
              <w:rPr>
                <w:rFonts w:hint="eastAsia"/>
                <w:color w:val="auto"/>
                <w:highlight w:val="none"/>
                <w:lang w:val="en-US" w:eastAsia="zh-CN"/>
              </w:rPr>
              <w:t>2.4</w:t>
            </w:r>
            <w:r>
              <w:rPr>
                <w:rFonts w:hint="eastAsia"/>
                <w:color w:val="auto"/>
                <w:highlight w:val="none"/>
              </w:rPr>
              <w:t>t/a</w:t>
            </w:r>
          </w:p>
        </w:tc>
        <w:tc>
          <w:tcPr>
            <w:tcW w:w="420" w:type="pct"/>
            <w:vMerge w:val="continue"/>
            <w:tcBorders>
              <w:tl2br w:val="nil"/>
              <w:tr2bl w:val="nil"/>
            </w:tcBorders>
            <w:vAlign w:val="center"/>
          </w:tcPr>
          <w:p w14:paraId="2E36B101">
            <w:pPr>
              <w:pStyle w:val="17"/>
              <w:bidi w:val="0"/>
              <w:rPr>
                <w:rFonts w:hint="eastAsia"/>
                <w:color w:val="auto"/>
                <w:highlight w:val="none"/>
                <w:lang w:val="en-US" w:eastAsia="zh-CN"/>
              </w:rPr>
            </w:pPr>
          </w:p>
        </w:tc>
        <w:tc>
          <w:tcPr>
            <w:tcW w:w="516" w:type="pct"/>
            <w:tcBorders>
              <w:tl2br w:val="nil"/>
              <w:tr2bl w:val="nil"/>
            </w:tcBorders>
            <w:vAlign w:val="center"/>
          </w:tcPr>
          <w:p w14:paraId="06D75D3C">
            <w:pPr>
              <w:pStyle w:val="17"/>
              <w:bidi w:val="0"/>
              <w:rPr>
                <w:color w:val="auto"/>
                <w:highlight w:val="none"/>
              </w:rPr>
            </w:pPr>
            <w:r>
              <w:rPr>
                <w:color w:val="auto"/>
                <w:highlight w:val="none"/>
              </w:rPr>
              <w:t>HW08</w:t>
            </w:r>
          </w:p>
        </w:tc>
        <w:tc>
          <w:tcPr>
            <w:tcW w:w="792" w:type="pct"/>
            <w:tcBorders>
              <w:tl2br w:val="nil"/>
              <w:tr2bl w:val="nil"/>
            </w:tcBorders>
            <w:vAlign w:val="center"/>
          </w:tcPr>
          <w:p w14:paraId="3BC905E3">
            <w:pPr>
              <w:pStyle w:val="17"/>
              <w:bidi w:val="0"/>
              <w:rPr>
                <w:color w:val="auto"/>
                <w:highlight w:val="none"/>
              </w:rPr>
            </w:pPr>
            <w:r>
              <w:rPr>
                <w:color w:val="auto"/>
                <w:highlight w:val="none"/>
              </w:rPr>
              <w:t>900-2</w:t>
            </w:r>
            <w:r>
              <w:rPr>
                <w:rFonts w:hint="eastAsia"/>
                <w:color w:val="auto"/>
                <w:highlight w:val="none"/>
                <w:lang w:val="en-US" w:eastAsia="zh-CN"/>
              </w:rPr>
              <w:t>49</w:t>
            </w:r>
            <w:r>
              <w:rPr>
                <w:color w:val="auto"/>
                <w:highlight w:val="none"/>
              </w:rPr>
              <w:t>-08</w:t>
            </w:r>
          </w:p>
        </w:tc>
        <w:tc>
          <w:tcPr>
            <w:tcW w:w="1432" w:type="pct"/>
            <w:vMerge w:val="continue"/>
            <w:tcBorders>
              <w:tl2br w:val="nil"/>
              <w:tr2bl w:val="nil"/>
            </w:tcBorders>
            <w:vAlign w:val="center"/>
          </w:tcPr>
          <w:p w14:paraId="7F965974">
            <w:pPr>
              <w:pStyle w:val="17"/>
              <w:bidi w:val="0"/>
              <w:rPr>
                <w:color w:val="auto"/>
                <w:highlight w:val="none"/>
              </w:rPr>
            </w:pPr>
          </w:p>
        </w:tc>
        <w:tc>
          <w:tcPr>
            <w:tcW w:w="466" w:type="pct"/>
            <w:vMerge w:val="continue"/>
            <w:tcBorders>
              <w:tl2br w:val="nil"/>
              <w:tr2bl w:val="nil"/>
            </w:tcBorders>
            <w:vAlign w:val="center"/>
          </w:tcPr>
          <w:p w14:paraId="78D78927">
            <w:pPr>
              <w:pStyle w:val="17"/>
              <w:bidi w:val="0"/>
              <w:rPr>
                <w:color w:val="auto"/>
                <w:highlight w:val="none"/>
              </w:rPr>
            </w:pPr>
          </w:p>
        </w:tc>
      </w:tr>
      <w:tr w14:paraId="35F3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4" w:type="pct"/>
            <w:tcBorders>
              <w:tl2br w:val="nil"/>
              <w:tr2bl w:val="nil"/>
            </w:tcBorders>
            <w:vAlign w:val="center"/>
          </w:tcPr>
          <w:p w14:paraId="57F4A7EB">
            <w:pPr>
              <w:pStyle w:val="17"/>
              <w:bidi w:val="0"/>
              <w:rPr>
                <w:rFonts w:hint="eastAsia"/>
                <w:color w:val="auto"/>
                <w:highlight w:val="none"/>
                <w:lang w:eastAsia="zh-CN"/>
              </w:rPr>
            </w:pPr>
            <w:r>
              <w:rPr>
                <w:rFonts w:hint="eastAsia"/>
                <w:color w:val="auto"/>
                <w:highlight w:val="none"/>
              </w:rPr>
              <w:t>化验</w:t>
            </w:r>
            <w:r>
              <w:rPr>
                <w:rFonts w:hint="eastAsia"/>
                <w:color w:val="auto"/>
                <w:highlight w:val="none"/>
                <w:lang w:val="en-US" w:eastAsia="zh-CN"/>
              </w:rPr>
              <w:t>废物</w:t>
            </w:r>
          </w:p>
        </w:tc>
        <w:tc>
          <w:tcPr>
            <w:tcW w:w="626" w:type="pct"/>
            <w:tcBorders>
              <w:tl2br w:val="nil"/>
              <w:tr2bl w:val="nil"/>
            </w:tcBorders>
            <w:vAlign w:val="center"/>
          </w:tcPr>
          <w:p w14:paraId="7F7BAC55">
            <w:pPr>
              <w:pStyle w:val="17"/>
              <w:bidi w:val="0"/>
              <w:rPr>
                <w:color w:val="auto"/>
                <w:highlight w:val="none"/>
              </w:rPr>
            </w:pPr>
            <w:r>
              <w:rPr>
                <w:rFonts w:hint="eastAsia"/>
                <w:color w:val="auto"/>
                <w:highlight w:val="none"/>
                <w:lang w:val="en-US" w:eastAsia="zh-CN"/>
              </w:rPr>
              <w:t>4.15</w:t>
            </w:r>
            <w:r>
              <w:rPr>
                <w:rFonts w:hint="eastAsia"/>
                <w:color w:val="auto"/>
                <w:highlight w:val="none"/>
              </w:rPr>
              <w:t>t/a</w:t>
            </w:r>
          </w:p>
        </w:tc>
        <w:tc>
          <w:tcPr>
            <w:tcW w:w="420" w:type="pct"/>
            <w:vMerge w:val="continue"/>
            <w:tcBorders>
              <w:tl2br w:val="nil"/>
              <w:tr2bl w:val="nil"/>
            </w:tcBorders>
            <w:vAlign w:val="center"/>
          </w:tcPr>
          <w:p w14:paraId="6CAF5C42">
            <w:pPr>
              <w:pStyle w:val="17"/>
              <w:bidi w:val="0"/>
              <w:rPr>
                <w:rFonts w:hint="eastAsia"/>
                <w:color w:val="auto"/>
                <w:highlight w:val="none"/>
                <w:lang w:val="en-US" w:eastAsia="zh-CN"/>
              </w:rPr>
            </w:pPr>
          </w:p>
        </w:tc>
        <w:tc>
          <w:tcPr>
            <w:tcW w:w="516" w:type="pct"/>
            <w:tcBorders>
              <w:tl2br w:val="nil"/>
              <w:tr2bl w:val="nil"/>
            </w:tcBorders>
            <w:vAlign w:val="center"/>
          </w:tcPr>
          <w:p w14:paraId="3FE5F694">
            <w:pPr>
              <w:pStyle w:val="17"/>
              <w:bidi w:val="0"/>
              <w:rPr>
                <w:color w:val="auto"/>
                <w:highlight w:val="none"/>
              </w:rPr>
            </w:pPr>
            <w:r>
              <w:rPr>
                <w:rFonts w:hint="eastAsia"/>
                <w:color w:val="auto"/>
                <w:highlight w:val="none"/>
                <w:lang w:val="en-US" w:eastAsia="zh-CN"/>
              </w:rPr>
              <w:t>HW49</w:t>
            </w:r>
          </w:p>
        </w:tc>
        <w:tc>
          <w:tcPr>
            <w:tcW w:w="792" w:type="pct"/>
            <w:tcBorders>
              <w:tl2br w:val="nil"/>
              <w:tr2bl w:val="nil"/>
            </w:tcBorders>
            <w:vAlign w:val="center"/>
          </w:tcPr>
          <w:p w14:paraId="6F3825DA">
            <w:pPr>
              <w:pStyle w:val="17"/>
              <w:bidi w:val="0"/>
              <w:rPr>
                <w:rFonts w:hint="eastAsia"/>
                <w:color w:val="auto"/>
                <w:highlight w:val="none"/>
              </w:rPr>
            </w:pPr>
            <w:r>
              <w:rPr>
                <w:rFonts w:hint="eastAsia"/>
                <w:color w:val="auto"/>
                <w:highlight w:val="none"/>
                <w:lang w:val="en-US" w:eastAsia="zh-CN"/>
              </w:rPr>
              <w:t>900-047-49</w:t>
            </w:r>
          </w:p>
        </w:tc>
        <w:tc>
          <w:tcPr>
            <w:tcW w:w="1432" w:type="pct"/>
            <w:tcBorders>
              <w:tl2br w:val="nil"/>
              <w:tr2bl w:val="nil"/>
            </w:tcBorders>
            <w:vAlign w:val="center"/>
          </w:tcPr>
          <w:p w14:paraId="3DEE2463">
            <w:pPr>
              <w:pStyle w:val="17"/>
              <w:bidi w:val="0"/>
              <w:rPr>
                <w:color w:val="auto"/>
                <w:highlight w:val="none"/>
              </w:rPr>
            </w:pPr>
            <w:r>
              <w:rPr>
                <w:rFonts w:hint="eastAsia"/>
                <w:color w:val="auto"/>
                <w:highlight w:val="none"/>
                <w:lang w:eastAsia="zh-CN"/>
              </w:rPr>
              <w:t>危废贮存库</w:t>
            </w:r>
            <w:r>
              <w:rPr>
                <w:rFonts w:hint="eastAsia"/>
                <w:color w:val="auto"/>
                <w:highlight w:val="none"/>
                <w:lang w:val="en-US" w:eastAsia="zh-CN"/>
              </w:rPr>
              <w:t>贮存</w:t>
            </w:r>
            <w:r>
              <w:rPr>
                <w:rFonts w:hint="eastAsia"/>
                <w:color w:val="auto"/>
                <w:highlight w:val="none"/>
                <w:lang w:eastAsia="zh-CN"/>
              </w:rPr>
              <w:t>，</w:t>
            </w:r>
            <w:r>
              <w:rPr>
                <w:rFonts w:hint="eastAsia"/>
                <w:color w:val="auto"/>
                <w:highlight w:val="none"/>
              </w:rPr>
              <w:t>定期交</w:t>
            </w:r>
            <w:r>
              <w:rPr>
                <w:rFonts w:hint="eastAsia"/>
                <w:color w:val="auto"/>
                <w:highlight w:val="none"/>
                <w:lang w:val="en-US" w:eastAsia="zh-CN"/>
              </w:rPr>
              <w:t>由</w:t>
            </w:r>
            <w:r>
              <w:rPr>
                <w:rFonts w:hint="eastAsia"/>
                <w:color w:val="auto"/>
                <w:highlight w:val="none"/>
              </w:rPr>
              <w:t>有资质单位处置</w:t>
            </w:r>
          </w:p>
        </w:tc>
        <w:tc>
          <w:tcPr>
            <w:tcW w:w="466" w:type="pct"/>
            <w:tcBorders>
              <w:tl2br w:val="nil"/>
              <w:tr2bl w:val="nil"/>
            </w:tcBorders>
            <w:vAlign w:val="center"/>
          </w:tcPr>
          <w:p w14:paraId="7B9D9E06">
            <w:pPr>
              <w:pStyle w:val="17"/>
              <w:bidi w:val="0"/>
              <w:rPr>
                <w:rFonts w:hint="default" w:eastAsia="宋体"/>
                <w:color w:val="auto"/>
                <w:highlight w:val="none"/>
                <w:lang w:val="en-US" w:eastAsia="zh-CN"/>
              </w:rPr>
            </w:pPr>
            <w:r>
              <w:rPr>
                <w:rFonts w:hint="eastAsia"/>
                <w:color w:val="auto"/>
                <w:highlight w:val="none"/>
                <w:lang w:val="en-US" w:eastAsia="zh-CN"/>
              </w:rPr>
              <w:t>4.15t/a</w:t>
            </w:r>
          </w:p>
        </w:tc>
      </w:tr>
    </w:tbl>
    <w:p w14:paraId="122ED161">
      <w:pPr>
        <w:pStyle w:val="6"/>
        <w:bidi w:val="0"/>
        <w:rPr>
          <w:color w:val="auto"/>
          <w:highlight w:val="none"/>
        </w:rPr>
      </w:pPr>
      <w:bookmarkStart w:id="429" w:name="_Toc8540"/>
      <w:bookmarkStart w:id="430" w:name="_Toc20715"/>
      <w:bookmarkStart w:id="431" w:name="_Toc107413891"/>
      <w:bookmarkStart w:id="432" w:name="_Toc107414658"/>
      <w:bookmarkStart w:id="433" w:name="_Toc5893"/>
      <w:bookmarkStart w:id="434" w:name="_Toc27931"/>
      <w:bookmarkStart w:id="435" w:name="_Toc17387"/>
      <w:bookmarkStart w:id="436" w:name="_Toc10911"/>
      <w:bookmarkStart w:id="437" w:name="_Toc6298"/>
      <w:bookmarkStart w:id="438" w:name="_Toc29855"/>
      <w:bookmarkStart w:id="439" w:name="_Toc21356"/>
      <w:bookmarkStart w:id="440" w:name="_Toc24211"/>
      <w:bookmarkStart w:id="441" w:name="_Toc107413890"/>
      <w:bookmarkStart w:id="442" w:name="_Toc29311"/>
      <w:bookmarkStart w:id="443" w:name="_Toc16102"/>
      <w:bookmarkStart w:id="444" w:name="_Toc28605"/>
      <w:bookmarkStart w:id="445" w:name="_Toc107414657"/>
      <w:bookmarkStart w:id="446" w:name="_Toc18866"/>
      <w:bookmarkStart w:id="447" w:name="_Toc10610"/>
      <w:bookmarkStart w:id="448" w:name="_Toc11624"/>
      <w:bookmarkStart w:id="449" w:name="_Toc6277"/>
      <w:bookmarkStart w:id="450" w:name="_Toc10742"/>
      <w:bookmarkStart w:id="451" w:name="_Toc31750"/>
      <w:bookmarkStart w:id="452" w:name="_Toc5816"/>
      <w:bookmarkStart w:id="453" w:name="_Toc30963"/>
      <w:r>
        <w:rPr>
          <w:color w:val="auto"/>
          <w:highlight w:val="none"/>
        </w:rPr>
        <w:t>3</w:t>
      </w:r>
      <w:r>
        <w:rPr>
          <w:rFonts w:hint="eastAsia"/>
          <w:color w:val="auto"/>
          <w:highlight w:val="none"/>
        </w:rPr>
        <w:t>.</w:t>
      </w:r>
      <w:bookmarkEnd w:id="429"/>
      <w:bookmarkEnd w:id="430"/>
      <w:bookmarkEnd w:id="431"/>
      <w:bookmarkEnd w:id="432"/>
      <w:bookmarkEnd w:id="433"/>
      <w:bookmarkEnd w:id="434"/>
      <w:r>
        <w:rPr>
          <w:rFonts w:hint="eastAsia"/>
          <w:color w:val="auto"/>
          <w:highlight w:val="none"/>
          <w:lang w:val="en-US" w:eastAsia="zh-CN"/>
        </w:rPr>
        <w:t>3.5运营期污染物排放情况汇总</w:t>
      </w:r>
      <w:bookmarkEnd w:id="435"/>
    </w:p>
    <w:p w14:paraId="5F723720">
      <w:pPr>
        <w:shd w:val="clear"/>
        <w:overflowPunct w:val="0"/>
        <w:topLinePunct/>
        <w:spacing w:line="480" w:lineRule="exact"/>
        <w:ind w:firstLine="480"/>
        <w:rPr>
          <w:rFonts w:cs="Times New Roman"/>
          <w:color w:val="auto"/>
          <w:kern w:val="0"/>
          <w:highlight w:val="none"/>
        </w:rPr>
      </w:pPr>
      <w:r>
        <w:rPr>
          <w:rFonts w:hint="eastAsia" w:cs="Times New Roman"/>
          <w:color w:val="auto"/>
          <w:kern w:val="0"/>
          <w:highlight w:val="none"/>
          <w:lang w:eastAsia="zh-CN"/>
        </w:rPr>
        <w:t>本工程</w:t>
      </w:r>
      <w:r>
        <w:rPr>
          <w:rFonts w:hint="eastAsia" w:cs="Times New Roman"/>
          <w:color w:val="auto"/>
          <w:kern w:val="0"/>
          <w:highlight w:val="none"/>
        </w:rPr>
        <w:t>污染物排放情况汇总见</w:t>
      </w:r>
      <w:r>
        <w:rPr>
          <w:rFonts w:hint="eastAsia" w:cs="Times New Roman"/>
          <w:color w:val="auto"/>
          <w:kern w:val="0"/>
          <w:highlight w:val="none"/>
          <w:lang w:eastAsia="zh-CN"/>
        </w:rPr>
        <w:t>下</w:t>
      </w:r>
      <w:r>
        <w:rPr>
          <w:rFonts w:hint="eastAsia" w:cs="Times New Roman"/>
          <w:color w:val="auto"/>
          <w:kern w:val="0"/>
          <w:highlight w:val="none"/>
        </w:rPr>
        <w:t>表。</w:t>
      </w:r>
    </w:p>
    <w:p w14:paraId="3B528822">
      <w:pPr>
        <w:shd w:val="clear"/>
        <w:ind w:firstLine="0" w:firstLineChars="0"/>
        <w:jc w:val="center"/>
        <w:rPr>
          <w:rFonts w:hint="default"/>
          <w:b/>
          <w:color w:val="auto"/>
          <w:kern w:val="0"/>
          <w:highlight w:val="none"/>
        </w:rPr>
      </w:pPr>
      <w:r>
        <w:rPr>
          <w:b/>
          <w:color w:val="auto"/>
          <w:kern w:val="0"/>
          <w:highlight w:val="none"/>
        </w:rPr>
        <w:t>表3.</w:t>
      </w:r>
      <w:r>
        <w:rPr>
          <w:rFonts w:hint="eastAsia"/>
          <w:b/>
          <w:color w:val="auto"/>
          <w:kern w:val="0"/>
          <w:highlight w:val="none"/>
          <w:lang w:val="en-US" w:eastAsia="zh-CN"/>
        </w:rPr>
        <w:t>3</w:t>
      </w:r>
      <w:r>
        <w:rPr>
          <w:rFonts w:hint="eastAsia"/>
          <w:b/>
          <w:color w:val="auto"/>
          <w:kern w:val="0"/>
          <w:highlight w:val="none"/>
        </w:rPr>
        <w:t>-1</w:t>
      </w:r>
      <w:r>
        <w:rPr>
          <w:rFonts w:hint="eastAsia"/>
          <w:b/>
          <w:color w:val="auto"/>
          <w:kern w:val="0"/>
          <w:highlight w:val="none"/>
          <w:lang w:val="en-US" w:eastAsia="zh-CN"/>
        </w:rPr>
        <w:t xml:space="preserve">1   </w:t>
      </w:r>
      <w:r>
        <w:rPr>
          <w:rFonts w:hint="eastAsia"/>
          <w:b/>
          <w:color w:val="auto"/>
          <w:kern w:val="0"/>
          <w:highlight w:val="none"/>
          <w:lang w:eastAsia="zh-CN"/>
        </w:rPr>
        <w:t>本工程</w:t>
      </w:r>
      <w:r>
        <w:rPr>
          <w:rFonts w:hint="default"/>
          <w:b/>
          <w:color w:val="auto"/>
          <w:kern w:val="0"/>
          <w:highlight w:val="none"/>
        </w:rPr>
        <w:t>污染物排放情况汇总</w:t>
      </w:r>
    </w:p>
    <w:tbl>
      <w:tblPr>
        <w:tblStyle w:val="13"/>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73"/>
        <w:gridCol w:w="990"/>
        <w:gridCol w:w="2667"/>
        <w:gridCol w:w="1123"/>
        <w:gridCol w:w="1695"/>
        <w:gridCol w:w="1916"/>
      </w:tblGrid>
      <w:tr w14:paraId="697F9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872" w:type="pct"/>
            <w:gridSpan w:val="2"/>
            <w:tcBorders>
              <w:tl2br w:val="nil"/>
              <w:tr2bl w:val="nil"/>
            </w:tcBorders>
            <w:shd w:val="clear" w:color="auto" w:fill="auto"/>
            <w:vAlign w:val="center"/>
          </w:tcPr>
          <w:p w14:paraId="271B29E6">
            <w:pPr>
              <w:pStyle w:val="17"/>
              <w:shd w:val="clear"/>
              <w:bidi w:val="0"/>
              <w:rPr>
                <w:color w:val="auto"/>
                <w:highlight w:val="none"/>
              </w:rPr>
            </w:pPr>
            <w:r>
              <w:rPr>
                <w:rFonts w:hint="eastAsia"/>
                <w:color w:val="auto"/>
                <w:highlight w:val="none"/>
              </w:rPr>
              <w:t>类别</w:t>
            </w:r>
          </w:p>
        </w:tc>
        <w:tc>
          <w:tcPr>
            <w:tcW w:w="1487" w:type="pct"/>
            <w:tcBorders>
              <w:tl2br w:val="nil"/>
              <w:tr2bl w:val="nil"/>
            </w:tcBorders>
            <w:shd w:val="clear" w:color="auto" w:fill="auto"/>
            <w:vAlign w:val="center"/>
          </w:tcPr>
          <w:p w14:paraId="616E7094">
            <w:pPr>
              <w:pStyle w:val="17"/>
              <w:shd w:val="clear"/>
              <w:bidi w:val="0"/>
              <w:rPr>
                <w:color w:val="auto"/>
                <w:highlight w:val="none"/>
              </w:rPr>
            </w:pPr>
            <w:r>
              <w:rPr>
                <w:rFonts w:hint="eastAsia"/>
                <w:color w:val="auto"/>
                <w:highlight w:val="none"/>
              </w:rPr>
              <w:t>污染源</w:t>
            </w:r>
          </w:p>
        </w:tc>
        <w:tc>
          <w:tcPr>
            <w:tcW w:w="625" w:type="pct"/>
            <w:tcBorders>
              <w:tl2br w:val="nil"/>
              <w:tr2bl w:val="nil"/>
            </w:tcBorders>
            <w:shd w:val="clear" w:color="auto" w:fill="auto"/>
            <w:vAlign w:val="center"/>
          </w:tcPr>
          <w:p w14:paraId="08410904">
            <w:pPr>
              <w:pStyle w:val="17"/>
              <w:shd w:val="clear"/>
              <w:bidi w:val="0"/>
              <w:rPr>
                <w:color w:val="auto"/>
                <w:highlight w:val="none"/>
              </w:rPr>
            </w:pPr>
            <w:r>
              <w:rPr>
                <w:rFonts w:hint="eastAsia"/>
                <w:color w:val="auto"/>
                <w:highlight w:val="none"/>
              </w:rPr>
              <w:t>污染物名称</w:t>
            </w:r>
          </w:p>
        </w:tc>
        <w:tc>
          <w:tcPr>
            <w:tcW w:w="945" w:type="pct"/>
            <w:tcBorders>
              <w:tl2br w:val="nil"/>
              <w:tr2bl w:val="nil"/>
            </w:tcBorders>
            <w:shd w:val="clear" w:color="auto" w:fill="auto"/>
            <w:vAlign w:val="center"/>
          </w:tcPr>
          <w:p w14:paraId="0A5D11C5">
            <w:pPr>
              <w:pStyle w:val="17"/>
              <w:shd w:val="clear"/>
              <w:bidi w:val="0"/>
              <w:rPr>
                <w:color w:val="auto"/>
                <w:highlight w:val="none"/>
              </w:rPr>
            </w:pPr>
            <w:r>
              <w:rPr>
                <w:rFonts w:hint="eastAsia"/>
                <w:color w:val="auto"/>
                <w:highlight w:val="none"/>
                <w:lang w:eastAsia="zh-CN"/>
              </w:rPr>
              <w:t>产生</w:t>
            </w:r>
            <w:r>
              <w:rPr>
                <w:rFonts w:hint="eastAsia"/>
                <w:color w:val="auto"/>
                <w:highlight w:val="none"/>
              </w:rPr>
              <w:t>量</w:t>
            </w:r>
          </w:p>
        </w:tc>
        <w:tc>
          <w:tcPr>
            <w:tcW w:w="1068" w:type="pct"/>
            <w:tcBorders>
              <w:tl2br w:val="nil"/>
              <w:tr2bl w:val="nil"/>
            </w:tcBorders>
            <w:shd w:val="clear" w:color="auto" w:fill="auto"/>
            <w:vAlign w:val="center"/>
          </w:tcPr>
          <w:p w14:paraId="0BCE3264">
            <w:pPr>
              <w:pStyle w:val="17"/>
              <w:shd w:val="clear"/>
              <w:bidi w:val="0"/>
              <w:rPr>
                <w:color w:val="auto"/>
                <w:highlight w:val="none"/>
              </w:rPr>
            </w:pPr>
            <w:r>
              <w:rPr>
                <w:rFonts w:hint="eastAsia"/>
                <w:color w:val="auto"/>
                <w:highlight w:val="none"/>
              </w:rPr>
              <w:t>排放量</w:t>
            </w:r>
          </w:p>
        </w:tc>
      </w:tr>
      <w:tr w14:paraId="3C826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restart"/>
            <w:tcBorders>
              <w:tl2br w:val="nil"/>
              <w:tr2bl w:val="nil"/>
            </w:tcBorders>
            <w:shd w:val="clear" w:color="auto" w:fill="auto"/>
            <w:vAlign w:val="center"/>
          </w:tcPr>
          <w:p w14:paraId="066A0A0C">
            <w:pPr>
              <w:pStyle w:val="17"/>
              <w:shd w:val="clear"/>
              <w:bidi w:val="0"/>
              <w:rPr>
                <w:color w:val="auto"/>
                <w:highlight w:val="none"/>
              </w:rPr>
            </w:pPr>
            <w:r>
              <w:rPr>
                <w:rFonts w:hint="eastAsia"/>
                <w:color w:val="auto"/>
                <w:highlight w:val="none"/>
              </w:rPr>
              <w:t>废气</w:t>
            </w:r>
          </w:p>
        </w:tc>
        <w:tc>
          <w:tcPr>
            <w:tcW w:w="552" w:type="pct"/>
            <w:vMerge w:val="restart"/>
            <w:tcBorders>
              <w:tl2br w:val="nil"/>
              <w:tr2bl w:val="nil"/>
            </w:tcBorders>
            <w:shd w:val="clear" w:color="auto" w:fill="auto"/>
            <w:vAlign w:val="center"/>
          </w:tcPr>
          <w:p w14:paraId="0D583AEA">
            <w:pPr>
              <w:pStyle w:val="17"/>
              <w:shd w:val="clear"/>
              <w:bidi w:val="0"/>
              <w:rPr>
                <w:color w:val="auto"/>
                <w:highlight w:val="none"/>
              </w:rPr>
            </w:pPr>
            <w:r>
              <w:rPr>
                <w:rFonts w:hint="eastAsia"/>
                <w:color w:val="auto"/>
                <w:highlight w:val="none"/>
              </w:rPr>
              <w:t>有组织</w:t>
            </w:r>
          </w:p>
        </w:tc>
        <w:tc>
          <w:tcPr>
            <w:tcW w:w="1487" w:type="pct"/>
            <w:vMerge w:val="restart"/>
            <w:tcBorders>
              <w:tl2br w:val="nil"/>
              <w:tr2bl w:val="nil"/>
            </w:tcBorders>
            <w:shd w:val="clear" w:color="auto" w:fill="auto"/>
            <w:vAlign w:val="center"/>
          </w:tcPr>
          <w:p w14:paraId="775EE8B5">
            <w:pPr>
              <w:pStyle w:val="17"/>
              <w:shd w:val="clear"/>
              <w:bidi w:val="0"/>
              <w:rPr>
                <w:color w:val="auto"/>
                <w:highlight w:val="none"/>
              </w:rPr>
            </w:pPr>
            <w:r>
              <w:rPr>
                <w:rFonts w:hint="default"/>
                <w:color w:val="auto"/>
                <w:highlight w:val="none"/>
                <w:lang w:eastAsia="zh-CN"/>
              </w:rPr>
              <w:t>粗</w:t>
            </w:r>
            <w:r>
              <w:rPr>
                <w:rFonts w:hint="eastAsia"/>
                <w:color w:val="auto"/>
                <w:highlight w:val="none"/>
                <w:lang w:eastAsia="zh-CN"/>
              </w:rPr>
              <w:t>碎</w:t>
            </w:r>
            <w:r>
              <w:rPr>
                <w:rFonts w:hint="eastAsia"/>
                <w:color w:val="auto"/>
                <w:highlight w:val="none"/>
                <w:lang w:val="en-US" w:eastAsia="zh-CN"/>
              </w:rPr>
              <w:t>仓</w:t>
            </w:r>
            <w:r>
              <w:rPr>
                <w:rFonts w:hint="eastAsia"/>
                <w:color w:val="auto"/>
                <w:highlight w:val="none"/>
              </w:rPr>
              <w:t>排气筒</w:t>
            </w:r>
          </w:p>
        </w:tc>
        <w:tc>
          <w:tcPr>
            <w:tcW w:w="625" w:type="pct"/>
            <w:tcBorders>
              <w:tl2br w:val="nil"/>
              <w:tr2bl w:val="nil"/>
            </w:tcBorders>
            <w:shd w:val="clear" w:color="auto" w:fill="auto"/>
            <w:vAlign w:val="center"/>
          </w:tcPr>
          <w:p w14:paraId="00D71620">
            <w:pPr>
              <w:pStyle w:val="17"/>
              <w:shd w:val="clear"/>
              <w:bidi w:val="0"/>
              <w:rPr>
                <w:color w:val="auto"/>
                <w:highlight w:val="none"/>
              </w:rPr>
            </w:pPr>
            <w:r>
              <w:rPr>
                <w:rFonts w:hint="eastAsia"/>
                <w:color w:val="auto"/>
                <w:highlight w:val="none"/>
              </w:rPr>
              <w:t>颗粒物</w:t>
            </w:r>
          </w:p>
        </w:tc>
        <w:tc>
          <w:tcPr>
            <w:tcW w:w="945" w:type="pct"/>
            <w:tcBorders>
              <w:tl2br w:val="nil"/>
              <w:tr2bl w:val="nil"/>
            </w:tcBorders>
            <w:shd w:val="clear" w:color="auto" w:fill="auto"/>
            <w:vAlign w:val="center"/>
          </w:tcPr>
          <w:p w14:paraId="72B1BAC1">
            <w:pPr>
              <w:pStyle w:val="17"/>
              <w:shd w:val="clear"/>
              <w:bidi w:val="0"/>
              <w:rPr>
                <w:color w:val="auto"/>
                <w:highlight w:val="none"/>
              </w:rPr>
            </w:pPr>
            <w:r>
              <w:rPr>
                <w:rFonts w:hint="eastAsia"/>
                <w:color w:val="auto"/>
                <w:highlight w:val="none"/>
                <w:lang w:val="en-US" w:eastAsia="zh-CN"/>
              </w:rPr>
              <w:t>54</w:t>
            </w:r>
            <w:r>
              <w:rPr>
                <w:color w:val="auto"/>
                <w:highlight w:val="none"/>
              </w:rPr>
              <w:t>t/a</w:t>
            </w:r>
          </w:p>
        </w:tc>
        <w:tc>
          <w:tcPr>
            <w:tcW w:w="1068" w:type="pct"/>
            <w:tcBorders>
              <w:tl2br w:val="nil"/>
              <w:tr2bl w:val="nil"/>
            </w:tcBorders>
            <w:shd w:val="clear" w:color="auto" w:fill="auto"/>
            <w:vAlign w:val="center"/>
          </w:tcPr>
          <w:p w14:paraId="7986CE4A">
            <w:pPr>
              <w:pStyle w:val="17"/>
              <w:shd w:val="clear"/>
              <w:bidi w:val="0"/>
              <w:rPr>
                <w:color w:val="auto"/>
                <w:highlight w:val="none"/>
              </w:rPr>
            </w:pPr>
            <w:r>
              <w:rPr>
                <w:rFonts w:hint="eastAsia"/>
                <w:color w:val="auto"/>
                <w:highlight w:val="none"/>
                <w:lang w:val="en-US" w:eastAsia="zh-CN"/>
              </w:rPr>
              <w:t>0.054</w:t>
            </w:r>
            <w:r>
              <w:rPr>
                <w:color w:val="auto"/>
                <w:highlight w:val="none"/>
              </w:rPr>
              <w:t>t/a</w:t>
            </w:r>
          </w:p>
        </w:tc>
      </w:tr>
      <w:tr w14:paraId="6FBFF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2746E9A6">
            <w:pPr>
              <w:pStyle w:val="17"/>
              <w:shd w:val="clear"/>
              <w:bidi w:val="0"/>
              <w:rPr>
                <w:rFonts w:hint="eastAsia"/>
                <w:color w:val="auto"/>
                <w:highlight w:val="none"/>
              </w:rPr>
            </w:pPr>
          </w:p>
        </w:tc>
        <w:tc>
          <w:tcPr>
            <w:tcW w:w="552" w:type="pct"/>
            <w:vMerge w:val="continue"/>
            <w:tcBorders>
              <w:tl2br w:val="nil"/>
              <w:tr2bl w:val="nil"/>
            </w:tcBorders>
            <w:shd w:val="clear" w:color="auto" w:fill="auto"/>
            <w:vAlign w:val="center"/>
          </w:tcPr>
          <w:p w14:paraId="3955681A">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4B0144D1">
            <w:pPr>
              <w:pStyle w:val="17"/>
              <w:shd w:val="clear"/>
              <w:bidi w:val="0"/>
              <w:rPr>
                <w:rFonts w:hint="default"/>
                <w:color w:val="auto"/>
                <w:highlight w:val="none"/>
                <w:lang w:eastAsia="zh-CN"/>
              </w:rPr>
            </w:pPr>
          </w:p>
        </w:tc>
        <w:tc>
          <w:tcPr>
            <w:tcW w:w="625" w:type="pct"/>
            <w:tcBorders>
              <w:tl2br w:val="nil"/>
              <w:tr2bl w:val="nil"/>
            </w:tcBorders>
            <w:shd w:val="clear" w:color="auto" w:fill="auto"/>
            <w:vAlign w:val="center"/>
          </w:tcPr>
          <w:p w14:paraId="5B783E8E">
            <w:pPr>
              <w:pStyle w:val="17"/>
              <w:shd w:val="clear"/>
              <w:bidi w:val="0"/>
              <w:rPr>
                <w:rFonts w:hint="eastAsia"/>
                <w:color w:val="auto"/>
                <w:highlight w:val="none"/>
                <w:lang w:eastAsia="zh-CN"/>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22695A57">
            <w:pPr>
              <w:pStyle w:val="17"/>
              <w:shd w:val="clear"/>
              <w:bidi w:val="0"/>
              <w:rPr>
                <w:rFonts w:hint="eastAsia"/>
                <w:color w:val="auto"/>
                <w:highlight w:val="none"/>
                <w:lang w:val="en-US" w:eastAsia="zh-CN"/>
              </w:rPr>
            </w:pPr>
            <w:r>
              <w:rPr>
                <w:rFonts w:hint="eastAsia"/>
                <w:color w:val="auto"/>
                <w:highlight w:val="none"/>
                <w:lang w:val="en-US" w:eastAsia="zh-CN"/>
              </w:rPr>
              <w:t>0.8521</w:t>
            </w:r>
            <w:r>
              <w:rPr>
                <w:color w:val="auto"/>
                <w:highlight w:val="none"/>
              </w:rPr>
              <w:t>t/a</w:t>
            </w:r>
          </w:p>
        </w:tc>
        <w:tc>
          <w:tcPr>
            <w:tcW w:w="1068" w:type="pct"/>
            <w:tcBorders>
              <w:tl2br w:val="nil"/>
              <w:tr2bl w:val="nil"/>
            </w:tcBorders>
            <w:shd w:val="clear" w:color="auto" w:fill="auto"/>
            <w:vAlign w:val="center"/>
          </w:tcPr>
          <w:p w14:paraId="0494B0C5">
            <w:pPr>
              <w:pStyle w:val="17"/>
              <w:shd w:val="clear"/>
              <w:bidi w:val="0"/>
              <w:rPr>
                <w:rFonts w:hint="eastAsia"/>
                <w:color w:val="auto"/>
                <w:highlight w:val="none"/>
              </w:rPr>
            </w:pPr>
            <w:r>
              <w:rPr>
                <w:rFonts w:hint="eastAsia"/>
                <w:color w:val="auto"/>
                <w:highlight w:val="none"/>
              </w:rPr>
              <w:t>0.</w:t>
            </w:r>
            <w:r>
              <w:rPr>
                <w:rFonts w:hint="eastAsia"/>
                <w:color w:val="auto"/>
                <w:highlight w:val="none"/>
                <w:lang w:val="en-US" w:eastAsia="zh-CN"/>
              </w:rPr>
              <w:t>0085</w:t>
            </w:r>
            <w:r>
              <w:rPr>
                <w:color w:val="auto"/>
                <w:highlight w:val="none"/>
              </w:rPr>
              <w:t>t/a</w:t>
            </w:r>
          </w:p>
        </w:tc>
      </w:tr>
      <w:tr w14:paraId="1A67B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218D4C99">
            <w:pPr>
              <w:pStyle w:val="17"/>
              <w:shd w:val="clear"/>
              <w:bidi w:val="0"/>
              <w:rPr>
                <w:rFonts w:hint="eastAsia"/>
                <w:color w:val="auto"/>
                <w:highlight w:val="none"/>
              </w:rPr>
            </w:pPr>
          </w:p>
        </w:tc>
        <w:tc>
          <w:tcPr>
            <w:tcW w:w="552" w:type="pct"/>
            <w:vMerge w:val="continue"/>
            <w:tcBorders>
              <w:tl2br w:val="nil"/>
              <w:tr2bl w:val="nil"/>
            </w:tcBorders>
            <w:shd w:val="clear" w:color="auto" w:fill="auto"/>
            <w:vAlign w:val="center"/>
          </w:tcPr>
          <w:p w14:paraId="79DD1F49">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15C274AC">
            <w:pPr>
              <w:pStyle w:val="17"/>
              <w:shd w:val="clear"/>
              <w:bidi w:val="0"/>
              <w:rPr>
                <w:rFonts w:hint="eastAsia"/>
                <w:color w:val="auto"/>
                <w:highlight w:val="none"/>
                <w:lang w:eastAsia="zh-CN"/>
              </w:rPr>
            </w:pPr>
            <w:r>
              <w:rPr>
                <w:rFonts w:hint="eastAsia"/>
                <w:color w:val="auto"/>
                <w:highlight w:val="none"/>
                <w:lang w:val="en-US" w:eastAsia="zh-CN"/>
              </w:rPr>
              <w:t>中细碎厂房</w:t>
            </w:r>
            <w:r>
              <w:rPr>
                <w:rFonts w:hint="eastAsia"/>
                <w:color w:val="auto"/>
                <w:highlight w:val="none"/>
              </w:rPr>
              <w:t>排气筒</w:t>
            </w:r>
          </w:p>
        </w:tc>
        <w:tc>
          <w:tcPr>
            <w:tcW w:w="625" w:type="pct"/>
            <w:tcBorders>
              <w:tl2br w:val="nil"/>
              <w:tr2bl w:val="nil"/>
            </w:tcBorders>
            <w:shd w:val="clear" w:color="auto" w:fill="auto"/>
            <w:vAlign w:val="center"/>
          </w:tcPr>
          <w:p w14:paraId="47B888D5">
            <w:pPr>
              <w:pStyle w:val="17"/>
              <w:shd w:val="clear"/>
              <w:bidi w:val="0"/>
              <w:rPr>
                <w:rFonts w:hint="eastAsia"/>
                <w:color w:val="auto"/>
                <w:highlight w:val="none"/>
              </w:rPr>
            </w:pPr>
            <w:r>
              <w:rPr>
                <w:rFonts w:hint="eastAsia"/>
                <w:color w:val="auto"/>
                <w:highlight w:val="none"/>
              </w:rPr>
              <w:t>颗粒物</w:t>
            </w:r>
          </w:p>
        </w:tc>
        <w:tc>
          <w:tcPr>
            <w:tcW w:w="945" w:type="pct"/>
            <w:tcBorders>
              <w:tl2br w:val="nil"/>
              <w:tr2bl w:val="nil"/>
            </w:tcBorders>
            <w:shd w:val="clear" w:color="auto" w:fill="auto"/>
            <w:vAlign w:val="center"/>
          </w:tcPr>
          <w:p w14:paraId="3079EB78">
            <w:pPr>
              <w:pStyle w:val="17"/>
              <w:shd w:val="clear"/>
              <w:bidi w:val="0"/>
              <w:rPr>
                <w:rFonts w:hint="eastAsia"/>
                <w:color w:val="auto"/>
                <w:highlight w:val="none"/>
              </w:rPr>
            </w:pPr>
            <w:r>
              <w:rPr>
                <w:rFonts w:hint="eastAsia"/>
                <w:color w:val="auto"/>
                <w:highlight w:val="none"/>
                <w:lang w:val="en-US" w:eastAsia="zh-CN"/>
              </w:rPr>
              <w:t>540</w:t>
            </w:r>
            <w:r>
              <w:rPr>
                <w:color w:val="auto"/>
                <w:highlight w:val="none"/>
              </w:rPr>
              <w:t>t/a</w:t>
            </w:r>
          </w:p>
        </w:tc>
        <w:tc>
          <w:tcPr>
            <w:tcW w:w="1068" w:type="pct"/>
            <w:tcBorders>
              <w:tl2br w:val="nil"/>
              <w:tr2bl w:val="nil"/>
            </w:tcBorders>
            <w:shd w:val="clear" w:color="auto" w:fill="auto"/>
            <w:vAlign w:val="center"/>
          </w:tcPr>
          <w:p w14:paraId="784F7FFE">
            <w:pPr>
              <w:pStyle w:val="17"/>
              <w:shd w:val="clear"/>
              <w:bidi w:val="0"/>
              <w:rPr>
                <w:rFonts w:hint="eastAsia"/>
                <w:color w:val="auto"/>
                <w:highlight w:val="none"/>
              </w:rPr>
            </w:pPr>
            <w:r>
              <w:rPr>
                <w:rFonts w:hint="eastAsia"/>
                <w:color w:val="auto"/>
                <w:highlight w:val="none"/>
                <w:lang w:val="en-US" w:eastAsia="zh-CN"/>
              </w:rPr>
              <w:t>0.054</w:t>
            </w:r>
            <w:r>
              <w:rPr>
                <w:color w:val="auto"/>
                <w:highlight w:val="none"/>
              </w:rPr>
              <w:t>t/a</w:t>
            </w:r>
          </w:p>
        </w:tc>
      </w:tr>
      <w:tr w14:paraId="66547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15EFAFDD">
            <w:pPr>
              <w:pStyle w:val="17"/>
              <w:shd w:val="clear"/>
              <w:bidi w:val="0"/>
              <w:rPr>
                <w:rFonts w:hint="eastAsia"/>
                <w:color w:val="auto"/>
                <w:highlight w:val="none"/>
              </w:rPr>
            </w:pPr>
          </w:p>
        </w:tc>
        <w:tc>
          <w:tcPr>
            <w:tcW w:w="552" w:type="pct"/>
            <w:vMerge w:val="continue"/>
            <w:tcBorders>
              <w:tl2br w:val="nil"/>
              <w:tr2bl w:val="nil"/>
            </w:tcBorders>
            <w:shd w:val="clear" w:color="auto" w:fill="auto"/>
            <w:vAlign w:val="center"/>
          </w:tcPr>
          <w:p w14:paraId="7D006E05">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626E56B8">
            <w:pPr>
              <w:pStyle w:val="17"/>
              <w:shd w:val="clear"/>
              <w:bidi w:val="0"/>
              <w:rPr>
                <w:rFonts w:hint="default"/>
                <w:color w:val="auto"/>
                <w:highlight w:val="none"/>
                <w:lang w:eastAsia="zh-CN"/>
              </w:rPr>
            </w:pPr>
          </w:p>
        </w:tc>
        <w:tc>
          <w:tcPr>
            <w:tcW w:w="625" w:type="pct"/>
            <w:tcBorders>
              <w:tl2br w:val="nil"/>
              <w:tr2bl w:val="nil"/>
            </w:tcBorders>
            <w:shd w:val="clear" w:color="auto" w:fill="auto"/>
            <w:vAlign w:val="center"/>
          </w:tcPr>
          <w:p w14:paraId="1FBECF70">
            <w:pPr>
              <w:pStyle w:val="17"/>
              <w:shd w:val="clear"/>
              <w:bidi w:val="0"/>
              <w:rPr>
                <w:rFonts w:hint="eastAsia"/>
                <w:color w:val="auto"/>
                <w:highlight w:val="none"/>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08E5647F">
            <w:pPr>
              <w:pStyle w:val="17"/>
              <w:shd w:val="clear"/>
              <w:bidi w:val="0"/>
              <w:rPr>
                <w:rFonts w:hint="eastAsia"/>
                <w:color w:val="auto"/>
                <w:highlight w:val="none"/>
                <w:lang w:val="en-US" w:eastAsia="zh-CN"/>
              </w:rPr>
            </w:pPr>
            <w:r>
              <w:rPr>
                <w:rFonts w:hint="eastAsia"/>
                <w:color w:val="auto"/>
                <w:highlight w:val="none"/>
                <w:lang w:val="en-US" w:eastAsia="zh-CN"/>
              </w:rPr>
              <w:t>85.2120</w:t>
            </w:r>
            <w:r>
              <w:rPr>
                <w:color w:val="auto"/>
                <w:highlight w:val="none"/>
              </w:rPr>
              <w:t>t/a</w:t>
            </w:r>
          </w:p>
        </w:tc>
        <w:tc>
          <w:tcPr>
            <w:tcW w:w="1068" w:type="pct"/>
            <w:tcBorders>
              <w:tl2br w:val="nil"/>
              <w:tr2bl w:val="nil"/>
            </w:tcBorders>
            <w:shd w:val="clear" w:color="auto" w:fill="auto"/>
            <w:vAlign w:val="center"/>
          </w:tcPr>
          <w:p w14:paraId="4F304B8E">
            <w:pPr>
              <w:pStyle w:val="17"/>
              <w:shd w:val="clear"/>
              <w:bidi w:val="0"/>
              <w:rPr>
                <w:rFonts w:hint="eastAsia"/>
                <w:color w:val="auto"/>
                <w:highlight w:val="none"/>
              </w:rPr>
            </w:pPr>
            <w:r>
              <w:rPr>
                <w:rFonts w:hint="eastAsia"/>
                <w:color w:val="auto"/>
                <w:highlight w:val="none"/>
                <w:lang w:val="en-US" w:eastAsia="zh-CN"/>
              </w:rPr>
              <w:t>0.0852</w:t>
            </w:r>
            <w:r>
              <w:rPr>
                <w:color w:val="auto"/>
                <w:highlight w:val="none"/>
              </w:rPr>
              <w:t>t/a</w:t>
            </w:r>
          </w:p>
        </w:tc>
      </w:tr>
      <w:tr w14:paraId="7DF96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620052CF">
            <w:pPr>
              <w:pStyle w:val="17"/>
              <w:shd w:val="clear"/>
              <w:bidi w:val="0"/>
              <w:rPr>
                <w:rFonts w:hint="eastAsia"/>
                <w:color w:val="auto"/>
                <w:highlight w:val="none"/>
              </w:rPr>
            </w:pPr>
          </w:p>
        </w:tc>
        <w:tc>
          <w:tcPr>
            <w:tcW w:w="552" w:type="pct"/>
            <w:vMerge w:val="continue"/>
            <w:tcBorders>
              <w:tl2br w:val="nil"/>
              <w:tr2bl w:val="nil"/>
            </w:tcBorders>
            <w:shd w:val="clear" w:color="auto" w:fill="auto"/>
            <w:vAlign w:val="center"/>
          </w:tcPr>
          <w:p w14:paraId="4E126351">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34F13D9F">
            <w:pPr>
              <w:pStyle w:val="17"/>
              <w:shd w:val="clear"/>
              <w:bidi w:val="0"/>
              <w:rPr>
                <w:rFonts w:hint="eastAsia"/>
                <w:color w:val="auto"/>
                <w:highlight w:val="none"/>
                <w:lang w:eastAsia="zh-CN"/>
              </w:rPr>
            </w:pPr>
            <w:r>
              <w:rPr>
                <w:rFonts w:hint="default"/>
                <w:color w:val="auto"/>
                <w:highlight w:val="none"/>
                <w:lang w:eastAsia="zh-CN"/>
              </w:rPr>
              <w:t>筛分</w:t>
            </w:r>
            <w:r>
              <w:rPr>
                <w:rFonts w:hint="eastAsia"/>
                <w:color w:val="auto"/>
                <w:highlight w:val="none"/>
                <w:lang w:val="en-US" w:eastAsia="zh-CN"/>
              </w:rPr>
              <w:t>厂房</w:t>
            </w:r>
            <w:r>
              <w:rPr>
                <w:rFonts w:hint="eastAsia"/>
                <w:color w:val="auto"/>
                <w:highlight w:val="none"/>
              </w:rPr>
              <w:t>排气筒</w:t>
            </w:r>
          </w:p>
        </w:tc>
        <w:tc>
          <w:tcPr>
            <w:tcW w:w="625" w:type="pct"/>
            <w:tcBorders>
              <w:tl2br w:val="nil"/>
              <w:tr2bl w:val="nil"/>
            </w:tcBorders>
            <w:shd w:val="clear" w:color="auto" w:fill="auto"/>
            <w:vAlign w:val="center"/>
          </w:tcPr>
          <w:p w14:paraId="52C8E25D">
            <w:pPr>
              <w:pStyle w:val="17"/>
              <w:shd w:val="clear"/>
              <w:bidi w:val="0"/>
              <w:rPr>
                <w:rFonts w:hint="eastAsia"/>
                <w:color w:val="auto"/>
                <w:highlight w:val="none"/>
              </w:rPr>
            </w:pPr>
            <w:r>
              <w:rPr>
                <w:rFonts w:hint="eastAsia"/>
                <w:color w:val="auto"/>
                <w:highlight w:val="none"/>
              </w:rPr>
              <w:t>颗粒物</w:t>
            </w:r>
          </w:p>
        </w:tc>
        <w:tc>
          <w:tcPr>
            <w:tcW w:w="945" w:type="pct"/>
            <w:tcBorders>
              <w:tl2br w:val="nil"/>
              <w:tr2bl w:val="nil"/>
            </w:tcBorders>
            <w:shd w:val="clear" w:color="auto" w:fill="auto"/>
            <w:vAlign w:val="center"/>
          </w:tcPr>
          <w:p w14:paraId="477A41EF">
            <w:pPr>
              <w:pStyle w:val="17"/>
              <w:shd w:val="clear"/>
              <w:bidi w:val="0"/>
              <w:ind w:firstLine="0" w:firstLineChars="0"/>
              <w:rPr>
                <w:rFonts w:hint="eastAsia"/>
                <w:color w:val="auto"/>
                <w:highlight w:val="none"/>
              </w:rPr>
            </w:pPr>
            <w:r>
              <w:rPr>
                <w:rFonts w:hint="eastAsia"/>
                <w:color w:val="auto"/>
                <w:highlight w:val="none"/>
                <w:lang w:val="en-US" w:eastAsia="zh-CN"/>
              </w:rPr>
              <w:t>540</w:t>
            </w:r>
            <w:r>
              <w:rPr>
                <w:color w:val="auto"/>
                <w:highlight w:val="none"/>
              </w:rPr>
              <w:t>t/a</w:t>
            </w:r>
          </w:p>
        </w:tc>
        <w:tc>
          <w:tcPr>
            <w:tcW w:w="1068" w:type="pct"/>
            <w:tcBorders>
              <w:tl2br w:val="nil"/>
              <w:tr2bl w:val="nil"/>
            </w:tcBorders>
            <w:shd w:val="clear" w:color="auto" w:fill="auto"/>
            <w:vAlign w:val="center"/>
          </w:tcPr>
          <w:p w14:paraId="3F7C874B">
            <w:pPr>
              <w:pStyle w:val="17"/>
              <w:shd w:val="clear"/>
              <w:bidi w:val="0"/>
              <w:ind w:firstLine="0" w:firstLineChars="0"/>
              <w:rPr>
                <w:rFonts w:hint="eastAsia"/>
                <w:color w:val="auto"/>
                <w:highlight w:val="none"/>
              </w:rPr>
            </w:pPr>
            <w:r>
              <w:rPr>
                <w:rFonts w:hint="eastAsia"/>
                <w:color w:val="auto"/>
                <w:highlight w:val="none"/>
                <w:lang w:val="en-US" w:eastAsia="zh-CN"/>
              </w:rPr>
              <w:t>0.054</w:t>
            </w:r>
            <w:r>
              <w:rPr>
                <w:color w:val="auto"/>
                <w:highlight w:val="none"/>
              </w:rPr>
              <w:t>t/a</w:t>
            </w:r>
          </w:p>
        </w:tc>
      </w:tr>
      <w:tr w14:paraId="5FF46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32CA6DDF">
            <w:pPr>
              <w:pStyle w:val="17"/>
              <w:shd w:val="clear"/>
              <w:bidi w:val="0"/>
              <w:rPr>
                <w:rFonts w:hint="eastAsia"/>
                <w:color w:val="auto"/>
                <w:highlight w:val="none"/>
              </w:rPr>
            </w:pPr>
          </w:p>
        </w:tc>
        <w:tc>
          <w:tcPr>
            <w:tcW w:w="552" w:type="pct"/>
            <w:vMerge w:val="continue"/>
            <w:tcBorders>
              <w:tl2br w:val="nil"/>
              <w:tr2bl w:val="nil"/>
            </w:tcBorders>
            <w:shd w:val="clear" w:color="auto" w:fill="auto"/>
            <w:vAlign w:val="center"/>
          </w:tcPr>
          <w:p w14:paraId="09A63D75">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3A734A74">
            <w:pPr>
              <w:pStyle w:val="17"/>
              <w:shd w:val="clear"/>
              <w:bidi w:val="0"/>
              <w:rPr>
                <w:rFonts w:hint="default"/>
                <w:color w:val="auto"/>
                <w:highlight w:val="none"/>
                <w:lang w:eastAsia="zh-CN"/>
              </w:rPr>
            </w:pPr>
          </w:p>
        </w:tc>
        <w:tc>
          <w:tcPr>
            <w:tcW w:w="625" w:type="pct"/>
            <w:tcBorders>
              <w:tl2br w:val="nil"/>
              <w:tr2bl w:val="nil"/>
            </w:tcBorders>
            <w:shd w:val="clear" w:color="auto" w:fill="auto"/>
            <w:vAlign w:val="center"/>
          </w:tcPr>
          <w:p w14:paraId="60C9D80A">
            <w:pPr>
              <w:pStyle w:val="17"/>
              <w:shd w:val="clear"/>
              <w:bidi w:val="0"/>
              <w:rPr>
                <w:rFonts w:hint="eastAsia"/>
                <w:color w:val="auto"/>
                <w:highlight w:val="none"/>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15FCEFE6">
            <w:pPr>
              <w:pStyle w:val="17"/>
              <w:shd w:val="clear"/>
              <w:bidi w:val="0"/>
              <w:ind w:firstLine="0" w:firstLineChars="0"/>
              <w:rPr>
                <w:rFonts w:hint="eastAsia"/>
                <w:color w:val="auto"/>
                <w:highlight w:val="none"/>
                <w:lang w:val="en-US" w:eastAsia="zh-CN"/>
              </w:rPr>
            </w:pPr>
            <w:r>
              <w:rPr>
                <w:rFonts w:hint="eastAsia"/>
                <w:color w:val="auto"/>
                <w:highlight w:val="none"/>
                <w:lang w:val="en-US" w:eastAsia="zh-CN"/>
              </w:rPr>
              <w:t>85.2120</w:t>
            </w:r>
            <w:r>
              <w:rPr>
                <w:color w:val="auto"/>
                <w:highlight w:val="none"/>
              </w:rPr>
              <w:t>t/a</w:t>
            </w:r>
          </w:p>
        </w:tc>
        <w:tc>
          <w:tcPr>
            <w:tcW w:w="1068" w:type="pct"/>
            <w:tcBorders>
              <w:tl2br w:val="nil"/>
              <w:tr2bl w:val="nil"/>
            </w:tcBorders>
            <w:shd w:val="clear" w:color="auto" w:fill="auto"/>
            <w:vAlign w:val="center"/>
          </w:tcPr>
          <w:p w14:paraId="771F31C5">
            <w:pPr>
              <w:pStyle w:val="17"/>
              <w:shd w:val="clear"/>
              <w:bidi w:val="0"/>
              <w:ind w:firstLine="0" w:firstLineChars="0"/>
              <w:rPr>
                <w:rFonts w:hint="eastAsia"/>
                <w:color w:val="auto"/>
                <w:highlight w:val="none"/>
              </w:rPr>
            </w:pPr>
            <w:r>
              <w:rPr>
                <w:rFonts w:hint="eastAsia"/>
                <w:color w:val="auto"/>
                <w:highlight w:val="none"/>
                <w:lang w:val="en-US" w:eastAsia="zh-CN"/>
              </w:rPr>
              <w:t>0.0852</w:t>
            </w:r>
            <w:r>
              <w:rPr>
                <w:color w:val="auto"/>
                <w:highlight w:val="none"/>
              </w:rPr>
              <w:t>t/a</w:t>
            </w:r>
          </w:p>
        </w:tc>
      </w:tr>
      <w:tr w14:paraId="0F4B1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176A560">
            <w:pPr>
              <w:pStyle w:val="17"/>
              <w:shd w:val="clear"/>
              <w:bidi w:val="0"/>
              <w:rPr>
                <w:rFonts w:hint="eastAsia"/>
                <w:color w:val="auto"/>
                <w:highlight w:val="none"/>
              </w:rPr>
            </w:pPr>
          </w:p>
        </w:tc>
        <w:tc>
          <w:tcPr>
            <w:tcW w:w="552" w:type="pct"/>
            <w:vMerge w:val="continue"/>
            <w:tcBorders>
              <w:tl2br w:val="nil"/>
              <w:tr2bl w:val="nil"/>
            </w:tcBorders>
            <w:shd w:val="clear" w:color="auto" w:fill="auto"/>
            <w:vAlign w:val="center"/>
          </w:tcPr>
          <w:p w14:paraId="36D6054B">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618C3876">
            <w:pPr>
              <w:pStyle w:val="17"/>
              <w:shd w:val="clear"/>
              <w:bidi w:val="0"/>
              <w:rPr>
                <w:rFonts w:hint="eastAsia"/>
                <w:color w:val="auto"/>
                <w:highlight w:val="none"/>
                <w:lang w:eastAsia="zh-CN"/>
              </w:rPr>
            </w:pPr>
            <w:r>
              <w:rPr>
                <w:rFonts w:hint="eastAsia"/>
                <w:color w:val="auto"/>
                <w:highlight w:val="none"/>
                <w:lang w:val="en-US" w:eastAsia="zh-CN"/>
              </w:rPr>
              <w:t>粉矿仓</w:t>
            </w:r>
            <w:r>
              <w:rPr>
                <w:rFonts w:hint="eastAsia"/>
                <w:color w:val="auto"/>
                <w:highlight w:val="none"/>
              </w:rPr>
              <w:t>排气筒</w:t>
            </w:r>
          </w:p>
        </w:tc>
        <w:tc>
          <w:tcPr>
            <w:tcW w:w="625" w:type="pct"/>
            <w:tcBorders>
              <w:tl2br w:val="nil"/>
              <w:tr2bl w:val="nil"/>
            </w:tcBorders>
            <w:shd w:val="clear" w:color="auto" w:fill="auto"/>
            <w:vAlign w:val="center"/>
          </w:tcPr>
          <w:p w14:paraId="7FBA7B73">
            <w:pPr>
              <w:pStyle w:val="17"/>
              <w:shd w:val="clear"/>
              <w:bidi w:val="0"/>
              <w:rPr>
                <w:rFonts w:hint="eastAsia"/>
                <w:color w:val="auto"/>
                <w:highlight w:val="none"/>
              </w:rPr>
            </w:pPr>
            <w:r>
              <w:rPr>
                <w:rFonts w:hint="eastAsia"/>
                <w:color w:val="auto"/>
                <w:highlight w:val="none"/>
              </w:rPr>
              <w:t>颗粒物</w:t>
            </w:r>
          </w:p>
        </w:tc>
        <w:tc>
          <w:tcPr>
            <w:tcW w:w="945" w:type="pct"/>
            <w:tcBorders>
              <w:tl2br w:val="nil"/>
              <w:tr2bl w:val="nil"/>
            </w:tcBorders>
            <w:shd w:val="clear" w:color="auto" w:fill="auto"/>
            <w:vAlign w:val="center"/>
          </w:tcPr>
          <w:p w14:paraId="6B5764A6">
            <w:pPr>
              <w:pStyle w:val="17"/>
              <w:shd w:val="clear"/>
              <w:bidi w:val="0"/>
              <w:ind w:firstLine="0" w:firstLineChars="0"/>
              <w:rPr>
                <w:rFonts w:hint="eastAsia"/>
                <w:color w:val="auto"/>
                <w:highlight w:val="none"/>
              </w:rPr>
            </w:pPr>
            <w:r>
              <w:rPr>
                <w:rFonts w:hint="eastAsia"/>
                <w:color w:val="auto"/>
                <w:highlight w:val="none"/>
                <w:lang w:val="en-US" w:eastAsia="zh-CN"/>
              </w:rPr>
              <w:t>54</w:t>
            </w:r>
            <w:r>
              <w:rPr>
                <w:color w:val="auto"/>
                <w:highlight w:val="none"/>
              </w:rPr>
              <w:t>t/a</w:t>
            </w:r>
          </w:p>
        </w:tc>
        <w:tc>
          <w:tcPr>
            <w:tcW w:w="1068" w:type="pct"/>
            <w:tcBorders>
              <w:tl2br w:val="nil"/>
              <w:tr2bl w:val="nil"/>
            </w:tcBorders>
            <w:shd w:val="clear" w:color="auto" w:fill="auto"/>
            <w:vAlign w:val="center"/>
          </w:tcPr>
          <w:p w14:paraId="299D339F">
            <w:pPr>
              <w:pStyle w:val="17"/>
              <w:shd w:val="clear"/>
              <w:bidi w:val="0"/>
              <w:ind w:firstLine="0" w:firstLineChars="0"/>
              <w:rPr>
                <w:rFonts w:hint="eastAsia"/>
                <w:color w:val="auto"/>
                <w:highlight w:val="none"/>
              </w:rPr>
            </w:pPr>
            <w:r>
              <w:rPr>
                <w:rFonts w:hint="eastAsia"/>
                <w:color w:val="auto"/>
                <w:highlight w:val="none"/>
                <w:lang w:val="en-US" w:eastAsia="zh-CN"/>
              </w:rPr>
              <w:t>0.054</w:t>
            </w:r>
            <w:r>
              <w:rPr>
                <w:color w:val="auto"/>
                <w:highlight w:val="none"/>
              </w:rPr>
              <w:t>t/a</w:t>
            </w:r>
          </w:p>
        </w:tc>
      </w:tr>
      <w:tr w14:paraId="218BC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782A595A">
            <w:pPr>
              <w:pStyle w:val="17"/>
              <w:shd w:val="clear"/>
              <w:bidi w:val="0"/>
              <w:rPr>
                <w:rFonts w:hint="eastAsia"/>
                <w:color w:val="auto"/>
                <w:highlight w:val="none"/>
              </w:rPr>
            </w:pPr>
          </w:p>
        </w:tc>
        <w:tc>
          <w:tcPr>
            <w:tcW w:w="552" w:type="pct"/>
            <w:vMerge w:val="continue"/>
            <w:tcBorders>
              <w:tl2br w:val="nil"/>
              <w:tr2bl w:val="nil"/>
            </w:tcBorders>
            <w:shd w:val="clear" w:color="auto" w:fill="auto"/>
            <w:vAlign w:val="center"/>
          </w:tcPr>
          <w:p w14:paraId="44E7DDA7">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4895356C">
            <w:pPr>
              <w:pStyle w:val="17"/>
              <w:shd w:val="clear"/>
              <w:bidi w:val="0"/>
              <w:rPr>
                <w:rFonts w:hint="eastAsia"/>
                <w:color w:val="auto"/>
                <w:highlight w:val="none"/>
              </w:rPr>
            </w:pPr>
          </w:p>
        </w:tc>
        <w:tc>
          <w:tcPr>
            <w:tcW w:w="625" w:type="pct"/>
            <w:tcBorders>
              <w:tl2br w:val="nil"/>
              <w:tr2bl w:val="nil"/>
            </w:tcBorders>
            <w:shd w:val="clear" w:color="auto" w:fill="auto"/>
            <w:vAlign w:val="center"/>
          </w:tcPr>
          <w:p w14:paraId="633F2740">
            <w:pPr>
              <w:pStyle w:val="17"/>
              <w:shd w:val="clear"/>
              <w:bidi w:val="0"/>
              <w:rPr>
                <w:rFonts w:hint="eastAsia"/>
                <w:color w:val="auto"/>
                <w:highlight w:val="none"/>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7F61762F">
            <w:pPr>
              <w:pStyle w:val="17"/>
              <w:shd w:val="clear"/>
              <w:bidi w:val="0"/>
              <w:ind w:firstLine="0" w:firstLineChars="0"/>
              <w:rPr>
                <w:rFonts w:hint="eastAsia"/>
                <w:color w:val="auto"/>
                <w:highlight w:val="none"/>
                <w:lang w:val="en-US" w:eastAsia="zh-CN"/>
              </w:rPr>
            </w:pPr>
            <w:r>
              <w:rPr>
                <w:rFonts w:hint="eastAsia"/>
                <w:color w:val="auto"/>
                <w:highlight w:val="none"/>
                <w:lang w:val="en-US" w:eastAsia="zh-CN"/>
              </w:rPr>
              <w:t>0.8521</w:t>
            </w:r>
            <w:r>
              <w:rPr>
                <w:color w:val="auto"/>
                <w:highlight w:val="none"/>
              </w:rPr>
              <w:t>t/a</w:t>
            </w:r>
          </w:p>
        </w:tc>
        <w:tc>
          <w:tcPr>
            <w:tcW w:w="1068" w:type="pct"/>
            <w:tcBorders>
              <w:tl2br w:val="nil"/>
              <w:tr2bl w:val="nil"/>
            </w:tcBorders>
            <w:shd w:val="clear" w:color="auto" w:fill="auto"/>
            <w:vAlign w:val="center"/>
          </w:tcPr>
          <w:p w14:paraId="68B26376">
            <w:pPr>
              <w:pStyle w:val="17"/>
              <w:shd w:val="clear"/>
              <w:bidi w:val="0"/>
              <w:ind w:firstLine="0" w:firstLineChars="0"/>
              <w:rPr>
                <w:rFonts w:hint="eastAsia"/>
                <w:color w:val="auto"/>
                <w:highlight w:val="none"/>
              </w:rPr>
            </w:pPr>
            <w:r>
              <w:rPr>
                <w:rFonts w:hint="eastAsia"/>
                <w:color w:val="auto"/>
                <w:highlight w:val="none"/>
              </w:rPr>
              <w:t>0.</w:t>
            </w:r>
            <w:r>
              <w:rPr>
                <w:rFonts w:hint="eastAsia"/>
                <w:color w:val="auto"/>
                <w:highlight w:val="none"/>
                <w:lang w:val="en-US" w:eastAsia="zh-CN"/>
              </w:rPr>
              <w:t>0085</w:t>
            </w:r>
            <w:r>
              <w:rPr>
                <w:color w:val="auto"/>
                <w:highlight w:val="none"/>
              </w:rPr>
              <w:t>t/a</w:t>
            </w:r>
          </w:p>
        </w:tc>
      </w:tr>
      <w:tr w14:paraId="27595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03B66AC1">
            <w:pPr>
              <w:pStyle w:val="17"/>
              <w:shd w:val="clear"/>
              <w:bidi w:val="0"/>
              <w:rPr>
                <w:rFonts w:hint="eastAsia"/>
                <w:color w:val="auto"/>
                <w:highlight w:val="none"/>
              </w:rPr>
            </w:pPr>
          </w:p>
        </w:tc>
        <w:tc>
          <w:tcPr>
            <w:tcW w:w="552" w:type="pct"/>
            <w:vMerge w:val="continue"/>
            <w:tcBorders>
              <w:tl2br w:val="nil"/>
              <w:tr2bl w:val="nil"/>
            </w:tcBorders>
            <w:shd w:val="clear" w:color="auto" w:fill="auto"/>
            <w:vAlign w:val="center"/>
          </w:tcPr>
          <w:p w14:paraId="0BB0B7D8">
            <w:pPr>
              <w:pStyle w:val="17"/>
              <w:shd w:val="clear"/>
              <w:bidi w:val="0"/>
              <w:rPr>
                <w:rFonts w:hint="eastAsia"/>
                <w:color w:val="auto"/>
                <w:highlight w:val="none"/>
              </w:rPr>
            </w:pPr>
          </w:p>
        </w:tc>
        <w:tc>
          <w:tcPr>
            <w:tcW w:w="1487" w:type="pct"/>
            <w:tcBorders>
              <w:tl2br w:val="nil"/>
              <w:tr2bl w:val="nil"/>
            </w:tcBorders>
            <w:shd w:val="clear" w:color="auto" w:fill="auto"/>
            <w:vAlign w:val="center"/>
          </w:tcPr>
          <w:p w14:paraId="41F248C8">
            <w:pPr>
              <w:pStyle w:val="17"/>
              <w:shd w:val="clear"/>
              <w:bidi w:val="0"/>
              <w:rPr>
                <w:rFonts w:hint="default"/>
                <w:color w:val="auto"/>
                <w:highlight w:val="none"/>
                <w:lang w:val="en-US" w:eastAsia="zh-CN"/>
              </w:rPr>
            </w:pPr>
            <w:r>
              <w:rPr>
                <w:rFonts w:hint="eastAsia"/>
                <w:color w:val="auto"/>
                <w:highlight w:val="none"/>
                <w:lang w:val="en-US" w:eastAsia="zh-CN"/>
              </w:rPr>
              <w:t>硫酸稀释车间排气筒</w:t>
            </w:r>
          </w:p>
        </w:tc>
        <w:tc>
          <w:tcPr>
            <w:tcW w:w="625" w:type="pct"/>
            <w:tcBorders>
              <w:tl2br w:val="nil"/>
              <w:tr2bl w:val="nil"/>
            </w:tcBorders>
            <w:shd w:val="clear" w:color="auto" w:fill="auto"/>
            <w:vAlign w:val="center"/>
          </w:tcPr>
          <w:p w14:paraId="47B5B0DC">
            <w:pPr>
              <w:pStyle w:val="17"/>
              <w:shd w:val="clear"/>
              <w:bidi w:val="0"/>
              <w:rPr>
                <w:rFonts w:hint="default"/>
                <w:color w:val="auto"/>
                <w:highlight w:val="none"/>
                <w:lang w:val="en-US" w:eastAsia="zh-CN"/>
              </w:rPr>
            </w:pPr>
            <w:r>
              <w:rPr>
                <w:rFonts w:hint="eastAsia"/>
                <w:color w:val="auto"/>
                <w:highlight w:val="none"/>
                <w:lang w:val="en-US" w:eastAsia="zh-CN"/>
              </w:rPr>
              <w:t>硫酸雾</w:t>
            </w:r>
          </w:p>
        </w:tc>
        <w:tc>
          <w:tcPr>
            <w:tcW w:w="945" w:type="pct"/>
            <w:tcBorders>
              <w:tl2br w:val="nil"/>
              <w:tr2bl w:val="nil"/>
            </w:tcBorders>
            <w:shd w:val="clear" w:color="auto" w:fill="auto"/>
            <w:vAlign w:val="center"/>
          </w:tcPr>
          <w:p w14:paraId="145BFCD4">
            <w:pPr>
              <w:pStyle w:val="17"/>
              <w:shd w:val="clear"/>
              <w:bidi w:val="0"/>
              <w:rPr>
                <w:rFonts w:hint="eastAsia"/>
                <w:color w:val="auto"/>
                <w:highlight w:val="none"/>
                <w:lang w:val="en-US" w:eastAsia="zh-CN"/>
              </w:rPr>
            </w:pPr>
            <w:r>
              <w:rPr>
                <w:rFonts w:hint="eastAsia"/>
                <w:color w:val="auto"/>
                <w:highlight w:val="none"/>
                <w:lang w:val="en-US" w:eastAsia="zh-CN"/>
              </w:rPr>
              <w:t>1.2840</w:t>
            </w:r>
            <w:r>
              <w:rPr>
                <w:color w:val="auto"/>
                <w:highlight w:val="none"/>
              </w:rPr>
              <w:t>t/a</w:t>
            </w:r>
          </w:p>
        </w:tc>
        <w:tc>
          <w:tcPr>
            <w:tcW w:w="1068" w:type="pct"/>
            <w:tcBorders>
              <w:tl2br w:val="nil"/>
              <w:tr2bl w:val="nil"/>
            </w:tcBorders>
            <w:shd w:val="clear" w:color="auto" w:fill="auto"/>
            <w:vAlign w:val="center"/>
          </w:tcPr>
          <w:p w14:paraId="11BE1F8B">
            <w:pPr>
              <w:pStyle w:val="17"/>
              <w:shd w:val="clear"/>
              <w:bidi w:val="0"/>
              <w:rPr>
                <w:rFonts w:hint="eastAsia"/>
                <w:color w:val="auto"/>
                <w:highlight w:val="none"/>
                <w:lang w:val="en-US" w:eastAsia="zh-CN"/>
              </w:rPr>
            </w:pPr>
            <w:r>
              <w:rPr>
                <w:rFonts w:hint="eastAsia"/>
                <w:color w:val="auto"/>
                <w:highlight w:val="none"/>
                <w:lang w:val="en-US" w:eastAsia="zh-CN"/>
              </w:rPr>
              <w:t>0.1284</w:t>
            </w:r>
            <w:r>
              <w:rPr>
                <w:color w:val="auto"/>
                <w:highlight w:val="none"/>
              </w:rPr>
              <w:t>t/a</w:t>
            </w:r>
          </w:p>
        </w:tc>
      </w:tr>
      <w:tr w14:paraId="4C40B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5AD8E8B">
            <w:pPr>
              <w:pStyle w:val="17"/>
              <w:shd w:val="clear"/>
              <w:bidi w:val="0"/>
              <w:rPr>
                <w:color w:val="auto"/>
                <w:highlight w:val="none"/>
              </w:rPr>
            </w:pPr>
          </w:p>
        </w:tc>
        <w:tc>
          <w:tcPr>
            <w:tcW w:w="552" w:type="pct"/>
            <w:vMerge w:val="restart"/>
            <w:tcBorders>
              <w:tl2br w:val="nil"/>
              <w:tr2bl w:val="nil"/>
            </w:tcBorders>
            <w:shd w:val="clear" w:color="auto" w:fill="auto"/>
            <w:vAlign w:val="center"/>
          </w:tcPr>
          <w:p w14:paraId="6EBDE5F4">
            <w:pPr>
              <w:pStyle w:val="17"/>
              <w:shd w:val="clear"/>
              <w:bidi w:val="0"/>
              <w:rPr>
                <w:color w:val="auto"/>
                <w:highlight w:val="none"/>
              </w:rPr>
            </w:pPr>
            <w:r>
              <w:rPr>
                <w:rFonts w:hint="eastAsia"/>
                <w:color w:val="auto"/>
                <w:highlight w:val="none"/>
              </w:rPr>
              <w:t>无组织</w:t>
            </w:r>
          </w:p>
        </w:tc>
        <w:tc>
          <w:tcPr>
            <w:tcW w:w="1487" w:type="pct"/>
            <w:vMerge w:val="restart"/>
            <w:tcBorders>
              <w:tl2br w:val="nil"/>
              <w:tr2bl w:val="nil"/>
            </w:tcBorders>
            <w:shd w:val="clear" w:color="auto" w:fill="auto"/>
            <w:vAlign w:val="center"/>
          </w:tcPr>
          <w:p w14:paraId="4043302C">
            <w:pPr>
              <w:pStyle w:val="17"/>
              <w:shd w:val="clear"/>
              <w:bidi w:val="0"/>
              <w:rPr>
                <w:color w:val="auto"/>
                <w:highlight w:val="none"/>
              </w:rPr>
            </w:pPr>
            <w:r>
              <w:rPr>
                <w:rFonts w:hint="eastAsia"/>
                <w:color w:val="auto"/>
                <w:highlight w:val="none"/>
                <w:lang w:val="en-US" w:eastAsia="zh-CN"/>
              </w:rPr>
              <w:t>爆破废气</w:t>
            </w:r>
          </w:p>
        </w:tc>
        <w:tc>
          <w:tcPr>
            <w:tcW w:w="625" w:type="pct"/>
            <w:tcBorders>
              <w:tl2br w:val="nil"/>
              <w:tr2bl w:val="nil"/>
            </w:tcBorders>
            <w:shd w:val="clear" w:color="auto" w:fill="auto"/>
            <w:vAlign w:val="center"/>
          </w:tcPr>
          <w:p w14:paraId="2CC180B6">
            <w:pPr>
              <w:pStyle w:val="17"/>
              <w:shd w:val="clear"/>
              <w:bidi w:val="0"/>
              <w:rPr>
                <w:color w:val="auto"/>
                <w:highlight w:val="none"/>
                <w:lang w:val="en-US" w:eastAsia="zh-CN"/>
              </w:rPr>
            </w:pPr>
            <w:r>
              <w:rPr>
                <w:rFonts w:hint="eastAsia"/>
                <w:color w:val="auto"/>
                <w:highlight w:val="none"/>
              </w:rPr>
              <w:t>CO</w:t>
            </w:r>
          </w:p>
        </w:tc>
        <w:tc>
          <w:tcPr>
            <w:tcW w:w="945" w:type="pct"/>
            <w:tcBorders>
              <w:tl2br w:val="nil"/>
              <w:tr2bl w:val="nil"/>
            </w:tcBorders>
            <w:shd w:val="clear" w:color="auto" w:fill="auto"/>
            <w:vAlign w:val="center"/>
          </w:tcPr>
          <w:p w14:paraId="1D230210">
            <w:pPr>
              <w:pStyle w:val="17"/>
              <w:shd w:val="clear"/>
              <w:bidi w:val="0"/>
              <w:rPr>
                <w:color w:val="auto"/>
                <w:highlight w:val="none"/>
              </w:rPr>
            </w:pPr>
            <w:r>
              <w:rPr>
                <w:rFonts w:hint="eastAsia"/>
                <w:color w:val="auto"/>
                <w:highlight w:val="none"/>
                <w:lang w:val="en-US" w:eastAsia="zh-CN"/>
              </w:rPr>
              <w:t>1.98</w:t>
            </w:r>
            <w:r>
              <w:rPr>
                <w:color w:val="auto"/>
                <w:highlight w:val="none"/>
              </w:rPr>
              <w:t>t/a</w:t>
            </w:r>
          </w:p>
        </w:tc>
        <w:tc>
          <w:tcPr>
            <w:tcW w:w="1068" w:type="pct"/>
            <w:tcBorders>
              <w:tl2br w:val="nil"/>
              <w:tr2bl w:val="nil"/>
            </w:tcBorders>
            <w:shd w:val="clear" w:color="auto" w:fill="auto"/>
            <w:vAlign w:val="center"/>
          </w:tcPr>
          <w:p w14:paraId="77EB2E57">
            <w:pPr>
              <w:pStyle w:val="17"/>
              <w:shd w:val="clear"/>
              <w:bidi w:val="0"/>
              <w:rPr>
                <w:color w:val="auto"/>
                <w:highlight w:val="none"/>
              </w:rPr>
            </w:pPr>
            <w:r>
              <w:rPr>
                <w:rFonts w:hint="eastAsia"/>
                <w:color w:val="auto"/>
                <w:highlight w:val="none"/>
                <w:lang w:val="en-US" w:eastAsia="zh-CN"/>
              </w:rPr>
              <w:t>1.98</w:t>
            </w:r>
            <w:r>
              <w:rPr>
                <w:color w:val="auto"/>
                <w:highlight w:val="none"/>
              </w:rPr>
              <w:t>t/a</w:t>
            </w:r>
          </w:p>
        </w:tc>
      </w:tr>
      <w:tr w14:paraId="5BB0B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AA08CCF">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631C94F3">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098BDB91">
            <w:pPr>
              <w:pStyle w:val="17"/>
              <w:shd w:val="clear"/>
              <w:bidi w:val="0"/>
              <w:rPr>
                <w:rFonts w:hint="eastAsia"/>
                <w:color w:val="auto"/>
                <w:highlight w:val="none"/>
                <w:lang w:eastAsia="zh-CN"/>
              </w:rPr>
            </w:pPr>
          </w:p>
        </w:tc>
        <w:tc>
          <w:tcPr>
            <w:tcW w:w="625" w:type="pct"/>
            <w:tcBorders>
              <w:tl2br w:val="nil"/>
              <w:tr2bl w:val="nil"/>
            </w:tcBorders>
            <w:shd w:val="clear" w:color="auto" w:fill="auto"/>
            <w:vAlign w:val="center"/>
          </w:tcPr>
          <w:p w14:paraId="7DADE8F9">
            <w:pPr>
              <w:pStyle w:val="17"/>
              <w:shd w:val="clear"/>
              <w:bidi w:val="0"/>
              <w:rPr>
                <w:rFonts w:hint="eastAsia"/>
                <w:color w:val="auto"/>
                <w:highlight w:val="none"/>
                <w:lang w:val="en-US" w:eastAsia="zh-CN"/>
              </w:rPr>
            </w:pPr>
            <w:r>
              <w:rPr>
                <w:rFonts w:hint="eastAsia"/>
                <w:color w:val="auto"/>
                <w:highlight w:val="none"/>
              </w:rPr>
              <w:t>NOx</w:t>
            </w:r>
          </w:p>
        </w:tc>
        <w:tc>
          <w:tcPr>
            <w:tcW w:w="945" w:type="pct"/>
            <w:tcBorders>
              <w:tl2br w:val="nil"/>
              <w:tr2bl w:val="nil"/>
            </w:tcBorders>
            <w:shd w:val="clear" w:color="auto" w:fill="auto"/>
            <w:vAlign w:val="center"/>
          </w:tcPr>
          <w:p w14:paraId="6BA90CCD">
            <w:pPr>
              <w:pStyle w:val="17"/>
              <w:shd w:val="clear"/>
              <w:bidi w:val="0"/>
              <w:rPr>
                <w:rFonts w:hint="eastAsia"/>
                <w:color w:val="auto"/>
                <w:highlight w:val="none"/>
                <w:lang w:val="en-US" w:eastAsia="zh-CN"/>
              </w:rPr>
            </w:pPr>
            <w:r>
              <w:rPr>
                <w:rFonts w:hint="eastAsia"/>
                <w:color w:val="auto"/>
                <w:highlight w:val="none"/>
                <w:lang w:val="en-US" w:eastAsia="zh-CN"/>
              </w:rPr>
              <w:t>4.38</w:t>
            </w:r>
            <w:r>
              <w:rPr>
                <w:color w:val="auto"/>
                <w:highlight w:val="none"/>
              </w:rPr>
              <w:t>t/a</w:t>
            </w:r>
          </w:p>
        </w:tc>
        <w:tc>
          <w:tcPr>
            <w:tcW w:w="1068" w:type="pct"/>
            <w:tcBorders>
              <w:tl2br w:val="nil"/>
              <w:tr2bl w:val="nil"/>
            </w:tcBorders>
            <w:shd w:val="clear" w:color="auto" w:fill="auto"/>
            <w:vAlign w:val="center"/>
          </w:tcPr>
          <w:p w14:paraId="020F8251">
            <w:pPr>
              <w:pStyle w:val="17"/>
              <w:shd w:val="clear"/>
              <w:bidi w:val="0"/>
              <w:rPr>
                <w:rFonts w:hint="eastAsia"/>
                <w:color w:val="auto"/>
                <w:highlight w:val="none"/>
                <w:lang w:val="en-US" w:eastAsia="zh-CN"/>
              </w:rPr>
            </w:pPr>
            <w:r>
              <w:rPr>
                <w:rFonts w:hint="eastAsia"/>
                <w:color w:val="auto"/>
                <w:highlight w:val="none"/>
                <w:lang w:val="en-US" w:eastAsia="zh-CN"/>
              </w:rPr>
              <w:t>4.38</w:t>
            </w:r>
            <w:r>
              <w:rPr>
                <w:color w:val="auto"/>
                <w:highlight w:val="none"/>
              </w:rPr>
              <w:t>t/a</w:t>
            </w:r>
          </w:p>
        </w:tc>
      </w:tr>
      <w:tr w14:paraId="3E092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D4EF7A6">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609E06D1">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029DA897">
            <w:pPr>
              <w:pStyle w:val="17"/>
              <w:shd w:val="clear"/>
              <w:bidi w:val="0"/>
              <w:rPr>
                <w:rFonts w:hint="eastAsia"/>
                <w:color w:val="auto"/>
                <w:highlight w:val="none"/>
                <w:lang w:val="en-US" w:eastAsia="zh-CN"/>
              </w:rPr>
            </w:pPr>
            <w:r>
              <w:rPr>
                <w:rFonts w:hint="default"/>
                <w:color w:val="auto"/>
                <w:highlight w:val="none"/>
                <w:lang w:val="en-US" w:eastAsia="zh-CN"/>
              </w:rPr>
              <w:t>凿岩、掘进</w:t>
            </w:r>
            <w:r>
              <w:rPr>
                <w:rFonts w:hint="eastAsia"/>
                <w:color w:val="auto"/>
                <w:highlight w:val="none"/>
                <w:lang w:val="en-US" w:eastAsia="zh-CN"/>
              </w:rPr>
              <w:t>废气</w:t>
            </w:r>
          </w:p>
        </w:tc>
        <w:tc>
          <w:tcPr>
            <w:tcW w:w="625" w:type="pct"/>
            <w:tcBorders>
              <w:tl2br w:val="nil"/>
              <w:tr2bl w:val="nil"/>
            </w:tcBorders>
            <w:shd w:val="clear" w:color="auto" w:fill="auto"/>
            <w:vAlign w:val="center"/>
          </w:tcPr>
          <w:p w14:paraId="5473385D">
            <w:pPr>
              <w:pStyle w:val="17"/>
              <w:shd w:val="clear"/>
              <w:bidi w:val="0"/>
              <w:rPr>
                <w:rFonts w:hint="eastAsia"/>
                <w:color w:val="auto"/>
                <w:highlight w:val="none"/>
                <w:lang w:val="en-US" w:eastAsia="zh-CN"/>
              </w:rPr>
            </w:pPr>
            <w:r>
              <w:rPr>
                <w:rFonts w:hint="eastAsia"/>
                <w:color w:val="auto"/>
                <w:highlight w:val="none"/>
              </w:rPr>
              <w:t>颗粒物</w:t>
            </w:r>
          </w:p>
        </w:tc>
        <w:tc>
          <w:tcPr>
            <w:tcW w:w="945" w:type="pct"/>
            <w:tcBorders>
              <w:tl2br w:val="nil"/>
              <w:tr2bl w:val="nil"/>
            </w:tcBorders>
            <w:shd w:val="clear" w:color="auto" w:fill="auto"/>
            <w:vAlign w:val="center"/>
          </w:tcPr>
          <w:p w14:paraId="06D368F1">
            <w:pPr>
              <w:pStyle w:val="17"/>
              <w:shd w:val="clear"/>
              <w:bidi w:val="0"/>
              <w:rPr>
                <w:rFonts w:hint="eastAsia"/>
                <w:color w:val="auto"/>
                <w:highlight w:val="none"/>
                <w:lang w:val="en-US" w:eastAsia="zh-CN"/>
              </w:rPr>
            </w:pPr>
            <w:r>
              <w:rPr>
                <w:rFonts w:hint="eastAsia"/>
                <w:color w:val="auto"/>
                <w:highlight w:val="none"/>
                <w:lang w:val="en-US" w:eastAsia="zh-CN"/>
              </w:rPr>
              <w:t>16.5110</w:t>
            </w:r>
            <w:r>
              <w:rPr>
                <w:color w:val="auto"/>
                <w:highlight w:val="none"/>
              </w:rPr>
              <w:t>t/a</w:t>
            </w:r>
          </w:p>
        </w:tc>
        <w:tc>
          <w:tcPr>
            <w:tcW w:w="1068" w:type="pct"/>
            <w:tcBorders>
              <w:tl2br w:val="nil"/>
              <w:tr2bl w:val="nil"/>
            </w:tcBorders>
            <w:shd w:val="clear" w:color="auto" w:fill="auto"/>
            <w:vAlign w:val="center"/>
          </w:tcPr>
          <w:p w14:paraId="45278131">
            <w:pPr>
              <w:pStyle w:val="17"/>
              <w:shd w:val="clear"/>
              <w:bidi w:val="0"/>
              <w:rPr>
                <w:rFonts w:hint="eastAsia"/>
                <w:color w:val="auto"/>
                <w:highlight w:val="none"/>
                <w:lang w:val="en-US" w:eastAsia="zh-CN"/>
              </w:rPr>
            </w:pPr>
            <w:r>
              <w:rPr>
                <w:rFonts w:hint="eastAsia"/>
                <w:color w:val="auto"/>
                <w:highlight w:val="none"/>
                <w:lang w:val="en-US" w:eastAsia="zh-CN"/>
              </w:rPr>
              <w:t>6.7392</w:t>
            </w:r>
            <w:r>
              <w:rPr>
                <w:color w:val="auto"/>
                <w:highlight w:val="none"/>
              </w:rPr>
              <w:t>t/a</w:t>
            </w:r>
          </w:p>
        </w:tc>
      </w:tr>
      <w:tr w14:paraId="3791F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4DDC202D">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40765E34">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356EC7FE">
            <w:pPr>
              <w:pStyle w:val="17"/>
              <w:shd w:val="clear"/>
              <w:bidi w:val="0"/>
              <w:rPr>
                <w:rFonts w:hint="eastAsia"/>
                <w:color w:val="auto"/>
                <w:highlight w:val="none"/>
                <w:lang w:eastAsia="zh-CN"/>
              </w:rPr>
            </w:pPr>
          </w:p>
        </w:tc>
        <w:tc>
          <w:tcPr>
            <w:tcW w:w="625" w:type="pct"/>
            <w:tcBorders>
              <w:tl2br w:val="nil"/>
              <w:tr2bl w:val="nil"/>
            </w:tcBorders>
            <w:shd w:val="clear" w:color="auto" w:fill="auto"/>
            <w:vAlign w:val="center"/>
          </w:tcPr>
          <w:p w14:paraId="7371FBFE">
            <w:pPr>
              <w:pStyle w:val="17"/>
              <w:shd w:val="clear"/>
              <w:bidi w:val="0"/>
              <w:rPr>
                <w:rFonts w:hint="eastAsia"/>
                <w:color w:val="auto"/>
                <w:highlight w:val="none"/>
                <w:lang w:val="en-US" w:eastAsia="zh-CN"/>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4488474D">
            <w:pPr>
              <w:pStyle w:val="17"/>
              <w:shd w:val="clear"/>
              <w:bidi w:val="0"/>
              <w:rPr>
                <w:rFonts w:hint="eastAsia"/>
                <w:color w:val="auto"/>
                <w:highlight w:val="none"/>
                <w:lang w:val="en-US" w:eastAsia="zh-CN"/>
              </w:rPr>
            </w:pPr>
            <w:r>
              <w:rPr>
                <w:rFonts w:hint="eastAsia"/>
                <w:color w:val="auto"/>
                <w:highlight w:val="none"/>
                <w:lang w:val="en-US" w:eastAsia="zh-CN"/>
              </w:rPr>
              <w:t>2.6054</w:t>
            </w:r>
            <w:r>
              <w:rPr>
                <w:color w:val="auto"/>
                <w:highlight w:val="none"/>
              </w:rPr>
              <w:t>t/a</w:t>
            </w:r>
          </w:p>
        </w:tc>
        <w:tc>
          <w:tcPr>
            <w:tcW w:w="1068" w:type="pct"/>
            <w:tcBorders>
              <w:tl2br w:val="nil"/>
              <w:tr2bl w:val="nil"/>
            </w:tcBorders>
            <w:shd w:val="clear" w:color="auto" w:fill="auto"/>
            <w:vAlign w:val="center"/>
          </w:tcPr>
          <w:p w14:paraId="2EA4054D">
            <w:pPr>
              <w:pStyle w:val="17"/>
              <w:shd w:val="clear"/>
              <w:bidi w:val="0"/>
              <w:rPr>
                <w:rFonts w:hint="eastAsia"/>
                <w:color w:val="auto"/>
                <w:highlight w:val="none"/>
                <w:lang w:val="en-US" w:eastAsia="zh-CN"/>
              </w:rPr>
            </w:pPr>
            <w:r>
              <w:rPr>
                <w:rFonts w:hint="eastAsia"/>
                <w:color w:val="auto"/>
                <w:highlight w:val="none"/>
                <w:lang w:val="en-US" w:eastAsia="zh-CN"/>
              </w:rPr>
              <w:t>1.0634</w:t>
            </w:r>
            <w:r>
              <w:rPr>
                <w:color w:val="auto"/>
                <w:highlight w:val="none"/>
              </w:rPr>
              <w:t>t/a</w:t>
            </w:r>
          </w:p>
        </w:tc>
      </w:tr>
      <w:tr w14:paraId="7A198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B938344">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75676AFC">
            <w:pPr>
              <w:pStyle w:val="17"/>
              <w:shd w:val="clear"/>
              <w:bidi w:val="0"/>
              <w:rPr>
                <w:rFonts w:hint="eastAsia"/>
                <w:color w:val="auto"/>
                <w:highlight w:val="none"/>
              </w:rPr>
            </w:pPr>
          </w:p>
        </w:tc>
        <w:tc>
          <w:tcPr>
            <w:tcW w:w="1487" w:type="pct"/>
            <w:tcBorders>
              <w:tl2br w:val="nil"/>
              <w:tr2bl w:val="nil"/>
            </w:tcBorders>
            <w:shd w:val="clear" w:color="auto" w:fill="auto"/>
            <w:vAlign w:val="center"/>
          </w:tcPr>
          <w:p w14:paraId="1AD0F076">
            <w:pPr>
              <w:pStyle w:val="17"/>
              <w:shd w:val="clear"/>
              <w:bidi w:val="0"/>
              <w:rPr>
                <w:rFonts w:hint="eastAsia"/>
                <w:color w:val="auto"/>
                <w:highlight w:val="none"/>
                <w:lang w:val="en-US" w:eastAsia="zh-CN"/>
              </w:rPr>
            </w:pPr>
            <w:r>
              <w:rPr>
                <w:rFonts w:hint="eastAsia"/>
                <w:color w:val="auto"/>
                <w:highlight w:val="none"/>
                <w:lang w:val="en-US" w:eastAsia="zh-CN"/>
              </w:rPr>
              <w:t>废石运输</w:t>
            </w:r>
          </w:p>
        </w:tc>
        <w:tc>
          <w:tcPr>
            <w:tcW w:w="625" w:type="pct"/>
            <w:tcBorders>
              <w:tl2br w:val="nil"/>
              <w:tr2bl w:val="nil"/>
            </w:tcBorders>
            <w:shd w:val="clear" w:color="auto" w:fill="auto"/>
            <w:vAlign w:val="center"/>
          </w:tcPr>
          <w:p w14:paraId="555564B2">
            <w:pPr>
              <w:pStyle w:val="17"/>
              <w:shd w:val="clear"/>
              <w:bidi w:val="0"/>
              <w:rPr>
                <w:rFonts w:hint="eastAsia"/>
                <w:color w:val="auto"/>
                <w:highlight w:val="none"/>
                <w:lang w:val="en-US" w:eastAsia="zh-CN"/>
              </w:rPr>
            </w:pPr>
            <w:r>
              <w:rPr>
                <w:rFonts w:hint="eastAsia"/>
                <w:color w:val="auto"/>
                <w:highlight w:val="none"/>
              </w:rPr>
              <w:t>颗粒物</w:t>
            </w:r>
          </w:p>
        </w:tc>
        <w:tc>
          <w:tcPr>
            <w:tcW w:w="945" w:type="pct"/>
            <w:tcBorders>
              <w:tl2br w:val="nil"/>
              <w:tr2bl w:val="nil"/>
            </w:tcBorders>
            <w:shd w:val="clear" w:color="auto" w:fill="auto"/>
            <w:vAlign w:val="center"/>
          </w:tcPr>
          <w:p w14:paraId="52DEAC9E">
            <w:pPr>
              <w:pStyle w:val="17"/>
              <w:shd w:val="clear"/>
              <w:bidi w:val="0"/>
              <w:rPr>
                <w:rFonts w:hint="eastAsia"/>
                <w:color w:val="auto"/>
                <w:highlight w:val="none"/>
                <w:lang w:val="en-US" w:eastAsia="zh-CN"/>
              </w:rPr>
            </w:pPr>
            <w:r>
              <w:rPr>
                <w:rFonts w:hint="eastAsia"/>
                <w:color w:val="auto"/>
                <w:highlight w:val="none"/>
                <w:lang w:val="en-US" w:eastAsia="zh-CN"/>
              </w:rPr>
              <w:t>3.4741</w:t>
            </w:r>
            <w:r>
              <w:rPr>
                <w:color w:val="auto"/>
                <w:highlight w:val="none"/>
              </w:rPr>
              <w:t>t/a</w:t>
            </w:r>
          </w:p>
        </w:tc>
        <w:tc>
          <w:tcPr>
            <w:tcW w:w="1068" w:type="pct"/>
            <w:tcBorders>
              <w:tl2br w:val="nil"/>
              <w:tr2bl w:val="nil"/>
            </w:tcBorders>
            <w:shd w:val="clear" w:color="auto" w:fill="auto"/>
            <w:vAlign w:val="center"/>
          </w:tcPr>
          <w:p w14:paraId="72031832">
            <w:pPr>
              <w:pStyle w:val="17"/>
              <w:shd w:val="clear"/>
              <w:bidi w:val="0"/>
              <w:rPr>
                <w:rFonts w:hint="eastAsia"/>
                <w:color w:val="auto"/>
                <w:highlight w:val="none"/>
                <w:lang w:val="en-US" w:eastAsia="zh-CN"/>
              </w:rPr>
            </w:pPr>
            <w:r>
              <w:rPr>
                <w:rFonts w:hint="eastAsia"/>
                <w:color w:val="auto"/>
                <w:highlight w:val="none"/>
                <w:lang w:val="en-US" w:eastAsia="zh-CN"/>
              </w:rPr>
              <w:t>0.6948</w:t>
            </w:r>
            <w:r>
              <w:rPr>
                <w:color w:val="auto"/>
                <w:highlight w:val="none"/>
              </w:rPr>
              <w:t>t/a</w:t>
            </w:r>
          </w:p>
        </w:tc>
      </w:tr>
      <w:tr w14:paraId="4FD30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691D4D14">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4836CD7D">
            <w:pPr>
              <w:pStyle w:val="17"/>
              <w:shd w:val="clear"/>
              <w:bidi w:val="0"/>
              <w:rPr>
                <w:rFonts w:hint="eastAsia"/>
                <w:color w:val="auto"/>
                <w:highlight w:val="none"/>
              </w:rPr>
            </w:pPr>
          </w:p>
        </w:tc>
        <w:tc>
          <w:tcPr>
            <w:tcW w:w="1487" w:type="pct"/>
            <w:tcBorders>
              <w:tl2br w:val="nil"/>
              <w:tr2bl w:val="nil"/>
            </w:tcBorders>
            <w:shd w:val="clear" w:color="auto" w:fill="auto"/>
            <w:vAlign w:val="center"/>
          </w:tcPr>
          <w:p w14:paraId="67A3366A">
            <w:pPr>
              <w:pStyle w:val="17"/>
              <w:shd w:val="clear"/>
              <w:bidi w:val="0"/>
              <w:rPr>
                <w:rFonts w:hint="eastAsia"/>
                <w:color w:val="auto"/>
                <w:highlight w:val="none"/>
                <w:lang w:val="en-US" w:eastAsia="zh-CN"/>
              </w:rPr>
            </w:pPr>
            <w:r>
              <w:rPr>
                <w:rFonts w:hint="eastAsia"/>
                <w:color w:val="auto"/>
                <w:highlight w:val="none"/>
                <w:lang w:val="en-US" w:eastAsia="zh-CN"/>
              </w:rPr>
              <w:t>废石堆场</w:t>
            </w:r>
          </w:p>
        </w:tc>
        <w:tc>
          <w:tcPr>
            <w:tcW w:w="625" w:type="pct"/>
            <w:tcBorders>
              <w:tl2br w:val="nil"/>
              <w:tr2bl w:val="nil"/>
            </w:tcBorders>
            <w:shd w:val="clear" w:color="auto" w:fill="auto"/>
            <w:vAlign w:val="center"/>
          </w:tcPr>
          <w:p w14:paraId="72A6FE39">
            <w:pPr>
              <w:pStyle w:val="17"/>
              <w:shd w:val="clear"/>
              <w:bidi w:val="0"/>
              <w:rPr>
                <w:rFonts w:hint="eastAsia"/>
                <w:color w:val="auto"/>
                <w:highlight w:val="none"/>
                <w:lang w:val="en-US" w:eastAsia="zh-CN"/>
              </w:rPr>
            </w:pPr>
            <w:r>
              <w:rPr>
                <w:rFonts w:hint="eastAsia"/>
                <w:color w:val="auto"/>
                <w:highlight w:val="none"/>
              </w:rPr>
              <w:t>颗粒物</w:t>
            </w:r>
          </w:p>
        </w:tc>
        <w:tc>
          <w:tcPr>
            <w:tcW w:w="945" w:type="pct"/>
            <w:tcBorders>
              <w:tl2br w:val="nil"/>
              <w:tr2bl w:val="nil"/>
            </w:tcBorders>
            <w:shd w:val="clear" w:color="auto" w:fill="auto"/>
            <w:vAlign w:val="center"/>
          </w:tcPr>
          <w:p w14:paraId="0CD0CFD4">
            <w:pPr>
              <w:pStyle w:val="17"/>
              <w:shd w:val="clear"/>
              <w:bidi w:val="0"/>
              <w:rPr>
                <w:rFonts w:hint="eastAsia"/>
                <w:color w:val="auto"/>
                <w:highlight w:val="none"/>
                <w:lang w:val="en-US" w:eastAsia="zh-CN"/>
              </w:rPr>
            </w:pPr>
            <w:r>
              <w:rPr>
                <w:rFonts w:hint="eastAsia"/>
                <w:color w:val="auto"/>
                <w:highlight w:val="none"/>
                <w:lang w:val="en-US" w:eastAsia="zh-CN"/>
              </w:rPr>
              <w:t>49.11</w:t>
            </w:r>
            <w:r>
              <w:rPr>
                <w:color w:val="auto"/>
                <w:highlight w:val="none"/>
              </w:rPr>
              <w:t>t/a</w:t>
            </w:r>
          </w:p>
        </w:tc>
        <w:tc>
          <w:tcPr>
            <w:tcW w:w="1068" w:type="pct"/>
            <w:tcBorders>
              <w:tl2br w:val="nil"/>
              <w:tr2bl w:val="nil"/>
            </w:tcBorders>
            <w:shd w:val="clear" w:color="auto" w:fill="auto"/>
            <w:vAlign w:val="center"/>
          </w:tcPr>
          <w:p w14:paraId="7375941D">
            <w:pPr>
              <w:pStyle w:val="17"/>
              <w:shd w:val="clear"/>
              <w:bidi w:val="0"/>
              <w:rPr>
                <w:rFonts w:hint="eastAsia"/>
                <w:color w:val="auto"/>
                <w:highlight w:val="none"/>
                <w:lang w:val="en-US" w:eastAsia="zh-CN"/>
              </w:rPr>
            </w:pPr>
            <w:r>
              <w:rPr>
                <w:rFonts w:hint="eastAsia"/>
                <w:color w:val="auto"/>
                <w:highlight w:val="none"/>
                <w:lang w:val="en-US" w:eastAsia="zh-CN"/>
              </w:rPr>
              <w:t>12.77</w:t>
            </w:r>
            <w:r>
              <w:rPr>
                <w:color w:val="auto"/>
                <w:highlight w:val="none"/>
              </w:rPr>
              <w:t>t/a</w:t>
            </w:r>
          </w:p>
        </w:tc>
      </w:tr>
      <w:tr w14:paraId="08FC1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70BC7BD1">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26C9C27A">
            <w:pPr>
              <w:pStyle w:val="17"/>
              <w:shd w:val="clear"/>
              <w:bidi w:val="0"/>
              <w:rPr>
                <w:rFonts w:hint="eastAsia"/>
                <w:color w:val="auto"/>
                <w:highlight w:val="none"/>
              </w:rPr>
            </w:pPr>
          </w:p>
        </w:tc>
        <w:tc>
          <w:tcPr>
            <w:tcW w:w="1487" w:type="pct"/>
            <w:tcBorders>
              <w:tl2br w:val="nil"/>
              <w:tr2bl w:val="nil"/>
            </w:tcBorders>
            <w:shd w:val="clear" w:color="auto" w:fill="auto"/>
            <w:vAlign w:val="center"/>
          </w:tcPr>
          <w:p w14:paraId="371DDD30">
            <w:pPr>
              <w:pStyle w:val="17"/>
              <w:shd w:val="clear"/>
              <w:bidi w:val="0"/>
              <w:rPr>
                <w:rFonts w:hint="eastAsia"/>
                <w:color w:val="auto"/>
                <w:highlight w:val="none"/>
                <w:lang w:val="en-US" w:eastAsia="zh-CN"/>
              </w:rPr>
            </w:pPr>
            <w:r>
              <w:rPr>
                <w:rFonts w:hint="eastAsia"/>
                <w:color w:val="auto"/>
                <w:highlight w:val="none"/>
                <w:lang w:val="en-US" w:eastAsia="zh-CN"/>
              </w:rPr>
              <w:t>填充站水泥筒仓</w:t>
            </w:r>
          </w:p>
        </w:tc>
        <w:tc>
          <w:tcPr>
            <w:tcW w:w="625" w:type="pct"/>
            <w:tcBorders>
              <w:tl2br w:val="nil"/>
              <w:tr2bl w:val="nil"/>
            </w:tcBorders>
            <w:shd w:val="clear" w:color="auto" w:fill="auto"/>
            <w:vAlign w:val="center"/>
          </w:tcPr>
          <w:p w14:paraId="5629A4C8">
            <w:pPr>
              <w:pStyle w:val="17"/>
              <w:shd w:val="clear"/>
              <w:bidi w:val="0"/>
              <w:rPr>
                <w:rFonts w:hint="eastAsia"/>
                <w:color w:val="auto"/>
                <w:highlight w:val="none"/>
                <w:lang w:val="en-US" w:eastAsia="zh-CN"/>
              </w:rPr>
            </w:pPr>
            <w:r>
              <w:rPr>
                <w:rFonts w:hint="eastAsia"/>
                <w:color w:val="auto"/>
                <w:highlight w:val="none"/>
                <w:lang w:val="en-US" w:eastAsia="zh-CN"/>
              </w:rPr>
              <w:t>颗粒物</w:t>
            </w:r>
          </w:p>
        </w:tc>
        <w:tc>
          <w:tcPr>
            <w:tcW w:w="945" w:type="pct"/>
            <w:tcBorders>
              <w:tl2br w:val="nil"/>
              <w:tr2bl w:val="nil"/>
            </w:tcBorders>
            <w:shd w:val="clear" w:color="auto" w:fill="auto"/>
            <w:vAlign w:val="center"/>
          </w:tcPr>
          <w:p w14:paraId="32F5FBF2">
            <w:pPr>
              <w:pStyle w:val="17"/>
              <w:shd w:val="clear"/>
              <w:bidi w:val="0"/>
              <w:rPr>
                <w:rFonts w:hint="eastAsia"/>
                <w:color w:val="auto"/>
                <w:highlight w:val="none"/>
                <w:lang w:val="en-US" w:eastAsia="zh-CN"/>
              </w:rPr>
            </w:pPr>
            <w:r>
              <w:rPr>
                <w:rFonts w:hint="eastAsia"/>
                <w:color w:val="auto"/>
                <w:highlight w:val="none"/>
                <w:lang w:val="en-US" w:eastAsia="zh-CN"/>
              </w:rPr>
              <w:t>8.1011</w:t>
            </w:r>
            <w:r>
              <w:rPr>
                <w:color w:val="auto"/>
                <w:highlight w:val="none"/>
              </w:rPr>
              <w:t>t/a</w:t>
            </w:r>
          </w:p>
        </w:tc>
        <w:tc>
          <w:tcPr>
            <w:tcW w:w="1068" w:type="pct"/>
            <w:tcBorders>
              <w:tl2br w:val="nil"/>
              <w:tr2bl w:val="nil"/>
            </w:tcBorders>
            <w:shd w:val="clear" w:color="auto" w:fill="auto"/>
            <w:vAlign w:val="center"/>
          </w:tcPr>
          <w:p w14:paraId="5C728E1E">
            <w:pPr>
              <w:pStyle w:val="17"/>
              <w:shd w:val="clear"/>
              <w:bidi w:val="0"/>
              <w:rPr>
                <w:rFonts w:hint="eastAsia"/>
                <w:color w:val="auto"/>
                <w:highlight w:val="none"/>
                <w:lang w:val="en-US" w:eastAsia="zh-CN"/>
              </w:rPr>
            </w:pPr>
            <w:r>
              <w:rPr>
                <w:rFonts w:hint="eastAsia"/>
                <w:color w:val="auto"/>
                <w:highlight w:val="none"/>
                <w:lang w:val="en-US" w:eastAsia="zh-CN"/>
              </w:rPr>
              <w:t>0.0810</w:t>
            </w:r>
            <w:r>
              <w:rPr>
                <w:color w:val="auto"/>
                <w:highlight w:val="none"/>
              </w:rPr>
              <w:t>t/a</w:t>
            </w:r>
          </w:p>
        </w:tc>
      </w:tr>
      <w:tr w14:paraId="63B6E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6CB0DD16">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42D906CC">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458A4520">
            <w:pPr>
              <w:pStyle w:val="17"/>
              <w:shd w:val="clear"/>
              <w:bidi w:val="0"/>
              <w:rPr>
                <w:rFonts w:hint="eastAsia"/>
                <w:color w:val="auto"/>
                <w:highlight w:val="none"/>
                <w:lang w:eastAsia="zh-CN"/>
              </w:rPr>
            </w:pPr>
            <w:r>
              <w:rPr>
                <w:rFonts w:hint="eastAsia"/>
                <w:color w:val="auto"/>
                <w:sz w:val="21"/>
                <w:szCs w:val="21"/>
                <w:highlight w:val="none"/>
                <w:lang w:val="en-US" w:eastAsia="zh-CN"/>
              </w:rPr>
              <w:t>柴油燃烧</w:t>
            </w:r>
          </w:p>
        </w:tc>
        <w:tc>
          <w:tcPr>
            <w:tcW w:w="625" w:type="pct"/>
            <w:tcBorders>
              <w:tl2br w:val="nil"/>
              <w:tr2bl w:val="nil"/>
            </w:tcBorders>
            <w:shd w:val="clear" w:color="auto" w:fill="auto"/>
            <w:vAlign w:val="center"/>
          </w:tcPr>
          <w:p w14:paraId="6CF19B65">
            <w:pPr>
              <w:pStyle w:val="17"/>
              <w:shd w:val="clear"/>
              <w:bidi w:val="0"/>
              <w:rPr>
                <w:rFonts w:hint="eastAsia"/>
                <w:color w:val="auto"/>
                <w:highlight w:val="none"/>
                <w:lang w:val="en-US" w:eastAsia="zh-CN"/>
              </w:rPr>
            </w:pPr>
            <w:r>
              <w:rPr>
                <w:color w:val="auto"/>
                <w:highlight w:val="none"/>
              </w:rPr>
              <w:t>NO</w:t>
            </w:r>
            <w:r>
              <w:rPr>
                <w:color w:val="auto"/>
                <w:highlight w:val="none"/>
                <w:vertAlign w:val="subscript"/>
              </w:rPr>
              <w:t>X</w:t>
            </w:r>
          </w:p>
        </w:tc>
        <w:tc>
          <w:tcPr>
            <w:tcW w:w="945" w:type="pct"/>
            <w:tcBorders>
              <w:tl2br w:val="nil"/>
              <w:tr2bl w:val="nil"/>
            </w:tcBorders>
            <w:shd w:val="clear" w:color="auto" w:fill="auto"/>
            <w:vAlign w:val="center"/>
          </w:tcPr>
          <w:p w14:paraId="04B419C3">
            <w:pPr>
              <w:pStyle w:val="17"/>
              <w:shd w:val="clear"/>
              <w:bidi w:val="0"/>
              <w:ind w:firstLine="0" w:firstLineChars="0"/>
              <w:jc w:val="center"/>
              <w:rPr>
                <w:rFonts w:hint="eastAsia"/>
                <w:color w:val="auto"/>
                <w:highlight w:val="none"/>
                <w:lang w:val="en-US" w:eastAsia="zh-CN"/>
              </w:rPr>
            </w:pPr>
            <w:r>
              <w:rPr>
                <w:rFonts w:hint="eastAsia"/>
                <w:color w:val="auto"/>
                <w:highlight w:val="none"/>
                <w:lang w:val="en-US" w:eastAsia="zh-CN"/>
              </w:rPr>
              <w:t>2.0122</w:t>
            </w:r>
            <w:r>
              <w:rPr>
                <w:color w:val="auto"/>
                <w:sz w:val="21"/>
                <w:szCs w:val="21"/>
                <w:highlight w:val="none"/>
              </w:rPr>
              <w:t>t/a</w:t>
            </w:r>
          </w:p>
        </w:tc>
        <w:tc>
          <w:tcPr>
            <w:tcW w:w="1068" w:type="pct"/>
            <w:tcBorders>
              <w:tl2br w:val="nil"/>
              <w:tr2bl w:val="nil"/>
            </w:tcBorders>
            <w:shd w:val="clear" w:color="auto" w:fill="auto"/>
            <w:vAlign w:val="center"/>
          </w:tcPr>
          <w:p w14:paraId="6044126F">
            <w:pPr>
              <w:pStyle w:val="17"/>
              <w:shd w:val="clear"/>
              <w:bidi w:val="0"/>
              <w:ind w:firstLine="0" w:firstLineChars="0"/>
              <w:jc w:val="center"/>
              <w:rPr>
                <w:rFonts w:hint="eastAsia"/>
                <w:color w:val="auto"/>
                <w:highlight w:val="none"/>
                <w:lang w:val="en-US" w:eastAsia="zh-CN"/>
              </w:rPr>
            </w:pPr>
            <w:r>
              <w:rPr>
                <w:rFonts w:hint="eastAsia"/>
                <w:color w:val="auto"/>
                <w:highlight w:val="none"/>
                <w:lang w:val="en-US" w:eastAsia="zh-CN"/>
              </w:rPr>
              <w:t>2.0122</w:t>
            </w:r>
            <w:r>
              <w:rPr>
                <w:color w:val="auto"/>
                <w:sz w:val="21"/>
                <w:szCs w:val="21"/>
                <w:highlight w:val="none"/>
              </w:rPr>
              <w:t>t/a</w:t>
            </w:r>
          </w:p>
        </w:tc>
      </w:tr>
      <w:tr w14:paraId="758B9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69E793F5">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1174EF04">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421A9D9A">
            <w:pPr>
              <w:pStyle w:val="17"/>
              <w:shd w:val="clear"/>
              <w:bidi w:val="0"/>
              <w:rPr>
                <w:rFonts w:hint="eastAsia"/>
                <w:color w:val="auto"/>
                <w:highlight w:val="none"/>
                <w:lang w:eastAsia="zh-CN"/>
              </w:rPr>
            </w:pPr>
          </w:p>
        </w:tc>
        <w:tc>
          <w:tcPr>
            <w:tcW w:w="625" w:type="pct"/>
            <w:tcBorders>
              <w:tl2br w:val="nil"/>
              <w:tr2bl w:val="nil"/>
            </w:tcBorders>
            <w:shd w:val="clear" w:color="auto" w:fill="auto"/>
            <w:vAlign w:val="center"/>
          </w:tcPr>
          <w:p w14:paraId="23DC4E85">
            <w:pPr>
              <w:pStyle w:val="17"/>
              <w:shd w:val="clear"/>
              <w:bidi w:val="0"/>
              <w:rPr>
                <w:rFonts w:hint="eastAsia" w:eastAsia="宋体"/>
                <w:color w:val="auto"/>
                <w:highlight w:val="none"/>
                <w:lang w:val="en-US" w:eastAsia="zh-CN"/>
              </w:rPr>
            </w:pPr>
            <w:r>
              <w:rPr>
                <w:rFonts w:hint="eastAsia"/>
                <w:color w:val="auto"/>
                <w:highlight w:val="none"/>
                <w:lang w:val="en-US" w:eastAsia="zh-CN"/>
              </w:rPr>
              <w:t>烟尘</w:t>
            </w:r>
          </w:p>
        </w:tc>
        <w:tc>
          <w:tcPr>
            <w:tcW w:w="945" w:type="pct"/>
            <w:tcBorders>
              <w:tl2br w:val="nil"/>
              <w:tr2bl w:val="nil"/>
            </w:tcBorders>
            <w:shd w:val="clear" w:color="auto" w:fill="auto"/>
            <w:vAlign w:val="center"/>
          </w:tcPr>
          <w:p w14:paraId="4ACA8381">
            <w:pPr>
              <w:pStyle w:val="17"/>
              <w:shd w:val="clear"/>
              <w:bidi w:val="0"/>
              <w:ind w:firstLine="0" w:firstLineChars="0"/>
              <w:jc w:val="center"/>
              <w:rPr>
                <w:rFonts w:hint="eastAsia"/>
                <w:color w:val="auto"/>
                <w:highlight w:val="none"/>
                <w:lang w:val="en-US" w:eastAsia="zh-CN"/>
              </w:rPr>
            </w:pPr>
            <w:r>
              <w:rPr>
                <w:rFonts w:hint="eastAsia"/>
                <w:color w:val="auto"/>
                <w:highlight w:val="none"/>
                <w:lang w:val="en-US" w:eastAsia="zh-CN"/>
              </w:rPr>
              <w:t>0.5612</w:t>
            </w:r>
            <w:r>
              <w:rPr>
                <w:color w:val="auto"/>
                <w:sz w:val="21"/>
                <w:szCs w:val="21"/>
                <w:highlight w:val="none"/>
              </w:rPr>
              <w:t>t/a</w:t>
            </w:r>
          </w:p>
        </w:tc>
        <w:tc>
          <w:tcPr>
            <w:tcW w:w="1068" w:type="pct"/>
            <w:tcBorders>
              <w:tl2br w:val="nil"/>
              <w:tr2bl w:val="nil"/>
            </w:tcBorders>
            <w:shd w:val="clear" w:color="auto" w:fill="auto"/>
            <w:vAlign w:val="center"/>
          </w:tcPr>
          <w:p w14:paraId="074472A9">
            <w:pPr>
              <w:pStyle w:val="17"/>
              <w:shd w:val="clear"/>
              <w:bidi w:val="0"/>
              <w:ind w:firstLine="0" w:firstLineChars="0"/>
              <w:jc w:val="center"/>
              <w:rPr>
                <w:rFonts w:hint="eastAsia"/>
                <w:color w:val="auto"/>
                <w:highlight w:val="none"/>
                <w:lang w:val="en-US" w:eastAsia="zh-CN"/>
              </w:rPr>
            </w:pPr>
            <w:r>
              <w:rPr>
                <w:rFonts w:hint="eastAsia"/>
                <w:color w:val="auto"/>
                <w:highlight w:val="none"/>
                <w:lang w:val="en-US" w:eastAsia="zh-CN"/>
              </w:rPr>
              <w:t>0.5612</w:t>
            </w:r>
            <w:r>
              <w:rPr>
                <w:color w:val="auto"/>
                <w:sz w:val="21"/>
                <w:szCs w:val="21"/>
                <w:highlight w:val="none"/>
              </w:rPr>
              <w:t>t/a</w:t>
            </w:r>
          </w:p>
        </w:tc>
      </w:tr>
      <w:tr w14:paraId="23104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4640D091">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6C872D21">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45A78E4C">
            <w:pPr>
              <w:pStyle w:val="17"/>
              <w:shd w:val="clear"/>
              <w:bidi w:val="0"/>
              <w:rPr>
                <w:rFonts w:hint="eastAsia"/>
                <w:color w:val="auto"/>
                <w:highlight w:val="none"/>
                <w:lang w:eastAsia="zh-CN"/>
              </w:rPr>
            </w:pPr>
          </w:p>
        </w:tc>
        <w:tc>
          <w:tcPr>
            <w:tcW w:w="625" w:type="pct"/>
            <w:tcBorders>
              <w:tl2br w:val="nil"/>
              <w:tr2bl w:val="nil"/>
            </w:tcBorders>
            <w:shd w:val="clear" w:color="auto" w:fill="auto"/>
            <w:vAlign w:val="center"/>
          </w:tcPr>
          <w:p w14:paraId="65DDF889">
            <w:pPr>
              <w:pStyle w:val="17"/>
              <w:shd w:val="clear"/>
              <w:bidi w:val="0"/>
              <w:rPr>
                <w:rFonts w:hint="eastAsia"/>
                <w:color w:val="auto"/>
                <w:highlight w:val="none"/>
                <w:lang w:val="en-US" w:eastAsia="zh-CN"/>
              </w:rPr>
            </w:pPr>
            <w:r>
              <w:rPr>
                <w:color w:val="auto"/>
                <w:highlight w:val="none"/>
              </w:rPr>
              <w:t>SO</w:t>
            </w:r>
            <w:r>
              <w:rPr>
                <w:color w:val="auto"/>
                <w:highlight w:val="none"/>
                <w:vertAlign w:val="subscript"/>
              </w:rPr>
              <w:t>2</w:t>
            </w:r>
          </w:p>
        </w:tc>
        <w:tc>
          <w:tcPr>
            <w:tcW w:w="945" w:type="pct"/>
            <w:tcBorders>
              <w:tl2br w:val="nil"/>
              <w:tr2bl w:val="nil"/>
            </w:tcBorders>
            <w:shd w:val="clear" w:color="auto" w:fill="auto"/>
            <w:vAlign w:val="center"/>
          </w:tcPr>
          <w:p w14:paraId="499E9C27">
            <w:pPr>
              <w:pStyle w:val="17"/>
              <w:shd w:val="clear"/>
              <w:bidi w:val="0"/>
              <w:ind w:firstLine="0" w:firstLineChars="0"/>
              <w:jc w:val="center"/>
              <w:rPr>
                <w:rFonts w:hint="eastAsia"/>
                <w:color w:val="auto"/>
                <w:highlight w:val="none"/>
                <w:lang w:val="en-US" w:eastAsia="zh-CN"/>
              </w:rPr>
            </w:pPr>
            <w:r>
              <w:rPr>
                <w:rFonts w:hint="eastAsia"/>
                <w:color w:val="auto"/>
                <w:highlight w:val="none"/>
                <w:lang w:val="en-US" w:eastAsia="zh-CN"/>
              </w:rPr>
              <w:t>3.144</w:t>
            </w:r>
            <w:r>
              <w:rPr>
                <w:color w:val="auto"/>
                <w:sz w:val="21"/>
                <w:szCs w:val="21"/>
                <w:highlight w:val="none"/>
              </w:rPr>
              <w:t>t/a</w:t>
            </w:r>
          </w:p>
        </w:tc>
        <w:tc>
          <w:tcPr>
            <w:tcW w:w="1068" w:type="pct"/>
            <w:tcBorders>
              <w:tl2br w:val="nil"/>
              <w:tr2bl w:val="nil"/>
            </w:tcBorders>
            <w:shd w:val="clear" w:color="auto" w:fill="auto"/>
            <w:vAlign w:val="center"/>
          </w:tcPr>
          <w:p w14:paraId="2E533348">
            <w:pPr>
              <w:pStyle w:val="17"/>
              <w:shd w:val="clear"/>
              <w:bidi w:val="0"/>
              <w:ind w:firstLine="0" w:firstLineChars="0"/>
              <w:jc w:val="center"/>
              <w:rPr>
                <w:rFonts w:hint="eastAsia"/>
                <w:color w:val="auto"/>
                <w:highlight w:val="none"/>
                <w:lang w:val="en-US" w:eastAsia="zh-CN"/>
              </w:rPr>
            </w:pPr>
            <w:r>
              <w:rPr>
                <w:rFonts w:hint="eastAsia"/>
                <w:color w:val="auto"/>
                <w:highlight w:val="none"/>
                <w:lang w:val="en-US" w:eastAsia="zh-CN"/>
              </w:rPr>
              <w:t>3.144</w:t>
            </w:r>
            <w:r>
              <w:rPr>
                <w:color w:val="auto"/>
                <w:sz w:val="21"/>
                <w:szCs w:val="21"/>
                <w:highlight w:val="none"/>
              </w:rPr>
              <w:t>t/a</w:t>
            </w:r>
          </w:p>
        </w:tc>
      </w:tr>
      <w:tr w14:paraId="7183C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1EB1A382">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2D6EE047">
            <w:pPr>
              <w:pStyle w:val="17"/>
              <w:shd w:val="clear"/>
              <w:bidi w:val="0"/>
              <w:rPr>
                <w:rFonts w:hint="eastAsia"/>
                <w:color w:val="auto"/>
                <w:highlight w:val="none"/>
              </w:rPr>
            </w:pPr>
          </w:p>
        </w:tc>
        <w:tc>
          <w:tcPr>
            <w:tcW w:w="1487" w:type="pct"/>
            <w:tcBorders>
              <w:tl2br w:val="nil"/>
              <w:tr2bl w:val="nil"/>
            </w:tcBorders>
            <w:shd w:val="clear" w:color="auto" w:fill="auto"/>
            <w:vAlign w:val="center"/>
          </w:tcPr>
          <w:p w14:paraId="17231716">
            <w:pPr>
              <w:pStyle w:val="17"/>
              <w:shd w:val="clear"/>
              <w:bidi w:val="0"/>
              <w:rPr>
                <w:rFonts w:hint="eastAsia"/>
                <w:color w:val="auto"/>
                <w:highlight w:val="none"/>
                <w:lang w:val="en-US" w:eastAsia="zh-CN"/>
              </w:rPr>
            </w:pPr>
            <w:r>
              <w:rPr>
                <w:rFonts w:hint="eastAsia"/>
                <w:color w:val="auto"/>
                <w:highlight w:val="none"/>
                <w:lang w:val="en-US" w:eastAsia="zh-CN"/>
              </w:rPr>
              <w:t>柴油储罐损失</w:t>
            </w:r>
          </w:p>
        </w:tc>
        <w:tc>
          <w:tcPr>
            <w:tcW w:w="625" w:type="pct"/>
            <w:tcBorders>
              <w:tl2br w:val="nil"/>
              <w:tr2bl w:val="nil"/>
            </w:tcBorders>
            <w:shd w:val="clear" w:color="auto" w:fill="auto"/>
            <w:vAlign w:val="center"/>
          </w:tcPr>
          <w:p w14:paraId="59935CBB">
            <w:pPr>
              <w:pStyle w:val="17"/>
              <w:shd w:val="clear"/>
              <w:bidi w:val="0"/>
              <w:rPr>
                <w:rFonts w:hint="eastAsia"/>
                <w:color w:val="auto"/>
                <w:highlight w:val="none"/>
                <w:lang w:val="en-US" w:eastAsia="zh-CN"/>
              </w:rPr>
            </w:pPr>
            <w:r>
              <w:rPr>
                <w:rFonts w:hint="eastAsia"/>
                <w:color w:val="auto"/>
                <w:highlight w:val="none"/>
                <w:lang w:val="en-US" w:eastAsia="zh-CN"/>
              </w:rPr>
              <w:t>非甲烷总烃</w:t>
            </w:r>
          </w:p>
        </w:tc>
        <w:tc>
          <w:tcPr>
            <w:tcW w:w="945" w:type="pct"/>
            <w:tcBorders>
              <w:tl2br w:val="nil"/>
              <w:tr2bl w:val="nil"/>
            </w:tcBorders>
            <w:shd w:val="clear" w:color="auto" w:fill="auto"/>
            <w:vAlign w:val="center"/>
          </w:tcPr>
          <w:p w14:paraId="722F3690">
            <w:pPr>
              <w:pStyle w:val="17"/>
              <w:shd w:val="clear"/>
              <w:bidi w:val="0"/>
              <w:rPr>
                <w:rFonts w:hint="eastAsia"/>
                <w:color w:val="auto"/>
                <w:highlight w:val="none"/>
                <w:lang w:val="en-US" w:eastAsia="zh-CN"/>
              </w:rPr>
            </w:pPr>
            <w:r>
              <w:rPr>
                <w:rFonts w:hint="eastAsia"/>
                <w:color w:val="auto"/>
                <w:highlight w:val="none"/>
                <w:lang w:val="en-US" w:eastAsia="zh-CN"/>
              </w:rPr>
              <w:t>0.627</w:t>
            </w:r>
            <w:r>
              <w:rPr>
                <w:color w:val="auto"/>
                <w:highlight w:val="none"/>
              </w:rPr>
              <w:t>t/a</w:t>
            </w:r>
          </w:p>
        </w:tc>
        <w:tc>
          <w:tcPr>
            <w:tcW w:w="1068" w:type="pct"/>
            <w:tcBorders>
              <w:tl2br w:val="nil"/>
              <w:tr2bl w:val="nil"/>
            </w:tcBorders>
            <w:shd w:val="clear" w:color="auto" w:fill="auto"/>
            <w:vAlign w:val="center"/>
          </w:tcPr>
          <w:p w14:paraId="2AB16610">
            <w:pPr>
              <w:pStyle w:val="17"/>
              <w:shd w:val="clear"/>
              <w:bidi w:val="0"/>
              <w:rPr>
                <w:rFonts w:hint="eastAsia"/>
                <w:color w:val="auto"/>
                <w:highlight w:val="none"/>
                <w:lang w:val="en-US" w:eastAsia="zh-CN"/>
              </w:rPr>
            </w:pPr>
            <w:r>
              <w:rPr>
                <w:rFonts w:hint="eastAsia"/>
                <w:color w:val="auto"/>
                <w:highlight w:val="none"/>
                <w:lang w:val="en-US" w:eastAsia="zh-CN"/>
              </w:rPr>
              <w:t>0.627</w:t>
            </w:r>
            <w:r>
              <w:rPr>
                <w:color w:val="auto"/>
                <w:highlight w:val="none"/>
              </w:rPr>
              <w:t>t/a</w:t>
            </w:r>
          </w:p>
        </w:tc>
      </w:tr>
      <w:tr w14:paraId="16CC7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2531A814">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39CE8F3C">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1BB181A3">
            <w:pPr>
              <w:pStyle w:val="17"/>
              <w:shd w:val="clear"/>
              <w:bidi w:val="0"/>
              <w:rPr>
                <w:rFonts w:hint="eastAsia"/>
                <w:color w:val="auto"/>
                <w:highlight w:val="none"/>
                <w:lang w:val="en-US" w:eastAsia="zh-CN"/>
              </w:rPr>
            </w:pPr>
            <w:r>
              <w:rPr>
                <w:rFonts w:hint="eastAsia"/>
                <w:color w:val="auto"/>
                <w:highlight w:val="none"/>
                <w:lang w:val="en-US" w:eastAsia="zh-CN"/>
              </w:rPr>
              <w:t>粗矿仓</w:t>
            </w:r>
          </w:p>
        </w:tc>
        <w:tc>
          <w:tcPr>
            <w:tcW w:w="625" w:type="pct"/>
            <w:tcBorders>
              <w:tl2br w:val="nil"/>
              <w:tr2bl w:val="nil"/>
            </w:tcBorders>
            <w:shd w:val="clear" w:color="auto" w:fill="auto"/>
            <w:vAlign w:val="center"/>
          </w:tcPr>
          <w:p w14:paraId="4915AE91">
            <w:pPr>
              <w:pStyle w:val="17"/>
              <w:shd w:val="clear"/>
              <w:bidi w:val="0"/>
              <w:rPr>
                <w:rFonts w:hint="eastAsia"/>
                <w:color w:val="auto"/>
                <w:highlight w:val="none"/>
                <w:lang w:val="en-US" w:eastAsia="zh-CN"/>
              </w:rPr>
            </w:pPr>
            <w:r>
              <w:rPr>
                <w:rFonts w:hint="eastAsia"/>
                <w:color w:val="auto"/>
                <w:highlight w:val="none"/>
              </w:rPr>
              <w:t>颗粒物</w:t>
            </w:r>
          </w:p>
        </w:tc>
        <w:tc>
          <w:tcPr>
            <w:tcW w:w="945" w:type="pct"/>
            <w:tcBorders>
              <w:tl2br w:val="nil"/>
              <w:tr2bl w:val="nil"/>
            </w:tcBorders>
            <w:shd w:val="clear" w:color="auto" w:fill="auto"/>
            <w:vAlign w:val="center"/>
          </w:tcPr>
          <w:p w14:paraId="2CBCDCB5">
            <w:pPr>
              <w:pStyle w:val="17"/>
              <w:shd w:val="clear"/>
              <w:bidi w:val="0"/>
              <w:rPr>
                <w:rFonts w:hint="eastAsia"/>
                <w:color w:val="auto"/>
                <w:highlight w:val="none"/>
                <w:lang w:val="en-US" w:eastAsia="zh-CN"/>
              </w:rPr>
            </w:pPr>
            <w:r>
              <w:rPr>
                <w:rFonts w:hint="eastAsia"/>
                <w:color w:val="auto"/>
                <w:highlight w:val="none"/>
                <w:lang w:val="en-US" w:eastAsia="zh-CN"/>
              </w:rPr>
              <w:t>6</w:t>
            </w:r>
            <w:r>
              <w:rPr>
                <w:color w:val="auto"/>
                <w:highlight w:val="none"/>
              </w:rPr>
              <w:t>t/a</w:t>
            </w:r>
          </w:p>
        </w:tc>
        <w:tc>
          <w:tcPr>
            <w:tcW w:w="1068" w:type="pct"/>
            <w:tcBorders>
              <w:tl2br w:val="nil"/>
              <w:tr2bl w:val="nil"/>
            </w:tcBorders>
            <w:shd w:val="clear" w:color="auto" w:fill="auto"/>
            <w:vAlign w:val="center"/>
          </w:tcPr>
          <w:p w14:paraId="27EC026F">
            <w:pPr>
              <w:pStyle w:val="17"/>
              <w:shd w:val="clear"/>
              <w:bidi w:val="0"/>
              <w:rPr>
                <w:rFonts w:hint="eastAsia"/>
                <w:color w:val="auto"/>
                <w:highlight w:val="none"/>
                <w:lang w:val="en-US" w:eastAsia="zh-CN"/>
              </w:rPr>
            </w:pPr>
            <w:r>
              <w:rPr>
                <w:rFonts w:hint="eastAsia"/>
                <w:color w:val="auto"/>
                <w:highlight w:val="none"/>
                <w:lang w:val="en-US" w:eastAsia="zh-CN"/>
              </w:rPr>
              <w:t>0.06</w:t>
            </w:r>
            <w:r>
              <w:rPr>
                <w:color w:val="auto"/>
                <w:highlight w:val="none"/>
              </w:rPr>
              <w:t>t/a</w:t>
            </w:r>
          </w:p>
        </w:tc>
      </w:tr>
      <w:tr w14:paraId="0CBD1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7025B7EF">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086B2E9A">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2C556B02">
            <w:pPr>
              <w:pStyle w:val="17"/>
              <w:shd w:val="clear"/>
              <w:bidi w:val="0"/>
              <w:rPr>
                <w:rFonts w:hint="eastAsia"/>
                <w:color w:val="auto"/>
                <w:highlight w:val="none"/>
                <w:lang w:eastAsia="zh-CN"/>
              </w:rPr>
            </w:pPr>
          </w:p>
        </w:tc>
        <w:tc>
          <w:tcPr>
            <w:tcW w:w="625" w:type="pct"/>
            <w:tcBorders>
              <w:tl2br w:val="nil"/>
              <w:tr2bl w:val="nil"/>
            </w:tcBorders>
            <w:shd w:val="clear" w:color="auto" w:fill="auto"/>
            <w:vAlign w:val="center"/>
          </w:tcPr>
          <w:p w14:paraId="3D573EBF">
            <w:pPr>
              <w:pStyle w:val="17"/>
              <w:shd w:val="clear"/>
              <w:bidi w:val="0"/>
              <w:rPr>
                <w:rFonts w:hint="eastAsia"/>
                <w:color w:val="auto"/>
                <w:highlight w:val="none"/>
                <w:lang w:val="en-US" w:eastAsia="zh-CN"/>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07A57599">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0.9468</w:t>
            </w:r>
            <w:r>
              <w:rPr>
                <w:color w:val="auto"/>
                <w:sz w:val="21"/>
                <w:szCs w:val="21"/>
                <w:highlight w:val="none"/>
              </w:rPr>
              <w:t>t/a</w:t>
            </w:r>
          </w:p>
        </w:tc>
        <w:tc>
          <w:tcPr>
            <w:tcW w:w="1068" w:type="pct"/>
            <w:tcBorders>
              <w:tl2br w:val="nil"/>
              <w:tr2bl w:val="nil"/>
            </w:tcBorders>
            <w:shd w:val="clear" w:color="auto" w:fill="auto"/>
            <w:vAlign w:val="center"/>
          </w:tcPr>
          <w:p w14:paraId="27E1FB26">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0.0095</w:t>
            </w:r>
            <w:r>
              <w:rPr>
                <w:color w:val="auto"/>
                <w:sz w:val="21"/>
                <w:szCs w:val="21"/>
                <w:highlight w:val="none"/>
              </w:rPr>
              <w:t>t/a</w:t>
            </w:r>
          </w:p>
        </w:tc>
      </w:tr>
      <w:tr w14:paraId="7551B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BE53E96">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2CBDB841">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25A725BE">
            <w:pPr>
              <w:pStyle w:val="17"/>
              <w:shd w:val="clear"/>
              <w:bidi w:val="0"/>
              <w:rPr>
                <w:rFonts w:hint="eastAsia"/>
                <w:color w:val="auto"/>
                <w:highlight w:val="none"/>
                <w:lang w:val="en-US" w:eastAsia="zh-CN"/>
              </w:rPr>
            </w:pPr>
            <w:r>
              <w:rPr>
                <w:rFonts w:hint="eastAsia"/>
                <w:color w:val="auto"/>
                <w:highlight w:val="none"/>
                <w:lang w:val="en-US" w:eastAsia="zh-CN"/>
              </w:rPr>
              <w:t>中细碎车间</w:t>
            </w:r>
          </w:p>
        </w:tc>
        <w:tc>
          <w:tcPr>
            <w:tcW w:w="625" w:type="pct"/>
            <w:tcBorders>
              <w:tl2br w:val="nil"/>
              <w:tr2bl w:val="nil"/>
            </w:tcBorders>
            <w:shd w:val="clear" w:color="auto" w:fill="auto"/>
            <w:vAlign w:val="center"/>
          </w:tcPr>
          <w:p w14:paraId="325EE7E5">
            <w:pPr>
              <w:pStyle w:val="17"/>
              <w:shd w:val="clear"/>
              <w:bidi w:val="0"/>
              <w:rPr>
                <w:rFonts w:hint="eastAsia"/>
                <w:color w:val="auto"/>
                <w:highlight w:val="none"/>
                <w:lang w:val="en-US" w:eastAsia="zh-CN"/>
              </w:rPr>
            </w:pPr>
            <w:r>
              <w:rPr>
                <w:rFonts w:hint="eastAsia"/>
                <w:color w:val="auto"/>
                <w:highlight w:val="none"/>
              </w:rPr>
              <w:t>颗粒物</w:t>
            </w:r>
          </w:p>
        </w:tc>
        <w:tc>
          <w:tcPr>
            <w:tcW w:w="945" w:type="pct"/>
            <w:tcBorders>
              <w:tl2br w:val="nil"/>
              <w:tr2bl w:val="nil"/>
            </w:tcBorders>
            <w:shd w:val="clear" w:color="auto" w:fill="auto"/>
            <w:vAlign w:val="center"/>
          </w:tcPr>
          <w:p w14:paraId="6DCA4B16">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60</w:t>
            </w:r>
            <w:r>
              <w:rPr>
                <w:color w:val="auto"/>
                <w:sz w:val="21"/>
                <w:szCs w:val="21"/>
                <w:highlight w:val="none"/>
              </w:rPr>
              <w:t>t/a</w:t>
            </w:r>
          </w:p>
        </w:tc>
        <w:tc>
          <w:tcPr>
            <w:tcW w:w="1068" w:type="pct"/>
            <w:tcBorders>
              <w:tl2br w:val="nil"/>
              <w:tr2bl w:val="nil"/>
            </w:tcBorders>
            <w:shd w:val="clear" w:color="auto" w:fill="auto"/>
            <w:vAlign w:val="center"/>
          </w:tcPr>
          <w:p w14:paraId="4555B63F">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0.6</w:t>
            </w:r>
            <w:r>
              <w:rPr>
                <w:color w:val="auto"/>
                <w:sz w:val="21"/>
                <w:szCs w:val="21"/>
                <w:highlight w:val="none"/>
              </w:rPr>
              <w:t>t/a</w:t>
            </w:r>
          </w:p>
        </w:tc>
      </w:tr>
      <w:tr w14:paraId="0AAED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4EC936E8">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1CC5ACCD">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23593D3F">
            <w:pPr>
              <w:pStyle w:val="17"/>
              <w:shd w:val="clear"/>
              <w:bidi w:val="0"/>
              <w:rPr>
                <w:rFonts w:hint="eastAsia"/>
                <w:color w:val="auto"/>
                <w:highlight w:val="none"/>
                <w:lang w:eastAsia="zh-CN"/>
              </w:rPr>
            </w:pPr>
          </w:p>
        </w:tc>
        <w:tc>
          <w:tcPr>
            <w:tcW w:w="625" w:type="pct"/>
            <w:tcBorders>
              <w:tl2br w:val="nil"/>
              <w:tr2bl w:val="nil"/>
            </w:tcBorders>
            <w:shd w:val="clear" w:color="auto" w:fill="auto"/>
            <w:vAlign w:val="center"/>
          </w:tcPr>
          <w:p w14:paraId="145D5C50">
            <w:pPr>
              <w:pStyle w:val="17"/>
              <w:shd w:val="clear"/>
              <w:bidi w:val="0"/>
              <w:rPr>
                <w:rFonts w:hint="eastAsia"/>
                <w:color w:val="auto"/>
                <w:highlight w:val="none"/>
                <w:lang w:val="en-US" w:eastAsia="zh-CN"/>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2E598816">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9.4680</w:t>
            </w:r>
            <w:r>
              <w:rPr>
                <w:color w:val="auto"/>
                <w:sz w:val="21"/>
                <w:szCs w:val="21"/>
                <w:highlight w:val="none"/>
              </w:rPr>
              <w:t>t/a</w:t>
            </w:r>
          </w:p>
        </w:tc>
        <w:tc>
          <w:tcPr>
            <w:tcW w:w="1068" w:type="pct"/>
            <w:tcBorders>
              <w:tl2br w:val="nil"/>
              <w:tr2bl w:val="nil"/>
            </w:tcBorders>
            <w:shd w:val="clear" w:color="auto" w:fill="auto"/>
            <w:vAlign w:val="center"/>
          </w:tcPr>
          <w:p w14:paraId="4743C6E5">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0.0947</w:t>
            </w:r>
            <w:r>
              <w:rPr>
                <w:color w:val="auto"/>
                <w:sz w:val="21"/>
                <w:szCs w:val="21"/>
                <w:highlight w:val="none"/>
              </w:rPr>
              <w:t>t/a</w:t>
            </w:r>
          </w:p>
        </w:tc>
      </w:tr>
      <w:tr w14:paraId="79997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3CAB94DD">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0988A4BF">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46518F21">
            <w:pPr>
              <w:pStyle w:val="17"/>
              <w:shd w:val="clear"/>
              <w:bidi w:val="0"/>
              <w:rPr>
                <w:rFonts w:hint="eastAsia"/>
                <w:color w:val="auto"/>
                <w:highlight w:val="none"/>
                <w:lang w:val="en-US" w:eastAsia="zh-CN"/>
              </w:rPr>
            </w:pPr>
            <w:r>
              <w:rPr>
                <w:rFonts w:hint="eastAsia"/>
                <w:color w:val="auto"/>
                <w:highlight w:val="none"/>
                <w:lang w:val="en-US" w:eastAsia="zh-CN"/>
              </w:rPr>
              <w:t>筛分车间</w:t>
            </w:r>
          </w:p>
        </w:tc>
        <w:tc>
          <w:tcPr>
            <w:tcW w:w="625" w:type="pct"/>
            <w:tcBorders>
              <w:tl2br w:val="nil"/>
              <w:tr2bl w:val="nil"/>
            </w:tcBorders>
            <w:shd w:val="clear" w:color="auto" w:fill="auto"/>
            <w:vAlign w:val="center"/>
          </w:tcPr>
          <w:p w14:paraId="682C8F75">
            <w:pPr>
              <w:pStyle w:val="17"/>
              <w:shd w:val="clear"/>
              <w:bidi w:val="0"/>
              <w:rPr>
                <w:rFonts w:hint="eastAsia"/>
                <w:color w:val="auto"/>
                <w:highlight w:val="none"/>
                <w:lang w:val="en-US" w:eastAsia="zh-CN"/>
              </w:rPr>
            </w:pPr>
            <w:r>
              <w:rPr>
                <w:rFonts w:hint="eastAsia"/>
                <w:color w:val="auto"/>
                <w:highlight w:val="none"/>
              </w:rPr>
              <w:t>颗粒物</w:t>
            </w:r>
          </w:p>
        </w:tc>
        <w:tc>
          <w:tcPr>
            <w:tcW w:w="945" w:type="pct"/>
            <w:tcBorders>
              <w:tl2br w:val="nil"/>
              <w:tr2bl w:val="nil"/>
            </w:tcBorders>
            <w:shd w:val="clear" w:color="auto" w:fill="auto"/>
            <w:vAlign w:val="center"/>
          </w:tcPr>
          <w:p w14:paraId="40F6B2CF">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60</w:t>
            </w:r>
            <w:r>
              <w:rPr>
                <w:color w:val="auto"/>
                <w:sz w:val="21"/>
                <w:szCs w:val="21"/>
                <w:highlight w:val="none"/>
              </w:rPr>
              <w:t>t/a</w:t>
            </w:r>
          </w:p>
        </w:tc>
        <w:tc>
          <w:tcPr>
            <w:tcW w:w="1068" w:type="pct"/>
            <w:tcBorders>
              <w:tl2br w:val="nil"/>
              <w:tr2bl w:val="nil"/>
            </w:tcBorders>
            <w:shd w:val="clear" w:color="auto" w:fill="auto"/>
            <w:vAlign w:val="center"/>
          </w:tcPr>
          <w:p w14:paraId="0FC4C39D">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0.6</w:t>
            </w:r>
            <w:r>
              <w:rPr>
                <w:color w:val="auto"/>
                <w:sz w:val="21"/>
                <w:szCs w:val="21"/>
                <w:highlight w:val="none"/>
              </w:rPr>
              <w:t>t/a</w:t>
            </w:r>
          </w:p>
        </w:tc>
      </w:tr>
      <w:tr w14:paraId="3AA59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243D9EFF">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493C6932">
            <w:pPr>
              <w:pStyle w:val="17"/>
              <w:shd w:val="clear"/>
              <w:bidi w:val="0"/>
              <w:rPr>
                <w:rFonts w:hint="eastAsia"/>
                <w:color w:val="auto"/>
                <w:highlight w:val="none"/>
              </w:rPr>
            </w:pPr>
          </w:p>
        </w:tc>
        <w:tc>
          <w:tcPr>
            <w:tcW w:w="1487" w:type="pct"/>
            <w:vMerge w:val="continue"/>
            <w:tcBorders>
              <w:tl2br w:val="nil"/>
              <w:tr2bl w:val="nil"/>
            </w:tcBorders>
            <w:shd w:val="clear" w:color="auto" w:fill="auto"/>
            <w:vAlign w:val="center"/>
          </w:tcPr>
          <w:p w14:paraId="54E7D3DF">
            <w:pPr>
              <w:pStyle w:val="17"/>
              <w:shd w:val="clear"/>
              <w:bidi w:val="0"/>
              <w:rPr>
                <w:rFonts w:hint="eastAsia"/>
                <w:color w:val="auto"/>
                <w:highlight w:val="none"/>
                <w:lang w:eastAsia="zh-CN"/>
              </w:rPr>
            </w:pPr>
          </w:p>
        </w:tc>
        <w:tc>
          <w:tcPr>
            <w:tcW w:w="625" w:type="pct"/>
            <w:tcBorders>
              <w:tl2br w:val="nil"/>
              <w:tr2bl w:val="nil"/>
            </w:tcBorders>
            <w:shd w:val="clear" w:color="auto" w:fill="auto"/>
            <w:vAlign w:val="center"/>
          </w:tcPr>
          <w:p w14:paraId="4A0A9964">
            <w:pPr>
              <w:pStyle w:val="17"/>
              <w:shd w:val="clear"/>
              <w:bidi w:val="0"/>
              <w:rPr>
                <w:rFonts w:hint="eastAsia"/>
                <w:color w:val="auto"/>
                <w:highlight w:val="none"/>
                <w:lang w:val="en-US" w:eastAsia="zh-CN"/>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2019980F">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9.4680</w:t>
            </w:r>
            <w:r>
              <w:rPr>
                <w:color w:val="auto"/>
                <w:sz w:val="21"/>
                <w:szCs w:val="21"/>
                <w:highlight w:val="none"/>
              </w:rPr>
              <w:t>t/a</w:t>
            </w:r>
          </w:p>
        </w:tc>
        <w:tc>
          <w:tcPr>
            <w:tcW w:w="1068" w:type="pct"/>
            <w:tcBorders>
              <w:tl2br w:val="nil"/>
              <w:tr2bl w:val="nil"/>
            </w:tcBorders>
            <w:shd w:val="clear" w:color="auto" w:fill="auto"/>
            <w:vAlign w:val="center"/>
          </w:tcPr>
          <w:p w14:paraId="7676E031">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0.0947</w:t>
            </w:r>
            <w:r>
              <w:rPr>
                <w:color w:val="auto"/>
                <w:sz w:val="21"/>
                <w:szCs w:val="21"/>
                <w:highlight w:val="none"/>
              </w:rPr>
              <w:t>t/a</w:t>
            </w:r>
          </w:p>
        </w:tc>
      </w:tr>
      <w:tr w14:paraId="08F28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2A25F161">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334E276E">
            <w:pPr>
              <w:pStyle w:val="17"/>
              <w:shd w:val="clear"/>
              <w:bidi w:val="0"/>
              <w:rPr>
                <w:rFonts w:hint="eastAsia"/>
                <w:color w:val="auto"/>
                <w:highlight w:val="none"/>
              </w:rPr>
            </w:pPr>
          </w:p>
        </w:tc>
        <w:tc>
          <w:tcPr>
            <w:tcW w:w="1487" w:type="pct"/>
            <w:vMerge w:val="restart"/>
            <w:tcBorders>
              <w:tl2br w:val="nil"/>
              <w:tr2bl w:val="nil"/>
            </w:tcBorders>
            <w:shd w:val="clear" w:color="auto" w:fill="auto"/>
            <w:vAlign w:val="center"/>
          </w:tcPr>
          <w:p w14:paraId="536DDCD9">
            <w:pPr>
              <w:pStyle w:val="17"/>
              <w:shd w:val="clear"/>
              <w:bidi w:val="0"/>
              <w:rPr>
                <w:rFonts w:hint="eastAsia"/>
                <w:color w:val="auto"/>
                <w:highlight w:val="none"/>
                <w:lang w:val="en-US" w:eastAsia="zh-CN"/>
              </w:rPr>
            </w:pPr>
            <w:r>
              <w:rPr>
                <w:rFonts w:hint="eastAsia"/>
                <w:color w:val="auto"/>
                <w:highlight w:val="none"/>
                <w:lang w:val="en-US" w:eastAsia="zh-CN"/>
              </w:rPr>
              <w:t>粉矿仓</w:t>
            </w:r>
          </w:p>
        </w:tc>
        <w:tc>
          <w:tcPr>
            <w:tcW w:w="625" w:type="pct"/>
            <w:tcBorders>
              <w:tl2br w:val="nil"/>
              <w:tr2bl w:val="nil"/>
            </w:tcBorders>
            <w:shd w:val="clear" w:color="auto" w:fill="auto"/>
            <w:vAlign w:val="center"/>
          </w:tcPr>
          <w:p w14:paraId="6064A1E6">
            <w:pPr>
              <w:pStyle w:val="17"/>
              <w:shd w:val="clear"/>
              <w:bidi w:val="0"/>
              <w:rPr>
                <w:rFonts w:hint="eastAsia"/>
                <w:color w:val="auto"/>
                <w:highlight w:val="none"/>
                <w:lang w:val="en-US" w:eastAsia="zh-CN"/>
              </w:rPr>
            </w:pPr>
            <w:r>
              <w:rPr>
                <w:rFonts w:hint="eastAsia"/>
                <w:color w:val="auto"/>
                <w:highlight w:val="none"/>
              </w:rPr>
              <w:t>颗粒物</w:t>
            </w:r>
          </w:p>
        </w:tc>
        <w:tc>
          <w:tcPr>
            <w:tcW w:w="945" w:type="pct"/>
            <w:tcBorders>
              <w:tl2br w:val="nil"/>
              <w:tr2bl w:val="nil"/>
            </w:tcBorders>
            <w:shd w:val="clear" w:color="auto" w:fill="auto"/>
            <w:vAlign w:val="center"/>
          </w:tcPr>
          <w:p w14:paraId="5F65104B">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w:t>
            </w:r>
            <w:r>
              <w:rPr>
                <w:color w:val="auto"/>
                <w:sz w:val="21"/>
                <w:szCs w:val="21"/>
                <w:highlight w:val="none"/>
              </w:rPr>
              <w:t>t/a</w:t>
            </w:r>
          </w:p>
        </w:tc>
        <w:tc>
          <w:tcPr>
            <w:tcW w:w="1068" w:type="pct"/>
            <w:tcBorders>
              <w:tl2br w:val="nil"/>
              <w:tr2bl w:val="nil"/>
            </w:tcBorders>
            <w:shd w:val="clear" w:color="auto" w:fill="auto"/>
            <w:vAlign w:val="center"/>
          </w:tcPr>
          <w:p w14:paraId="3282CBAC">
            <w:pPr>
              <w:shd w:val="clea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0.06</w:t>
            </w:r>
            <w:r>
              <w:rPr>
                <w:color w:val="auto"/>
                <w:sz w:val="21"/>
                <w:szCs w:val="21"/>
                <w:highlight w:val="none"/>
              </w:rPr>
              <w:t>t/a</w:t>
            </w:r>
          </w:p>
        </w:tc>
      </w:tr>
      <w:tr w14:paraId="07C12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62024CB9">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1A163934">
            <w:pPr>
              <w:pStyle w:val="17"/>
              <w:shd w:val="clear"/>
              <w:bidi w:val="0"/>
              <w:rPr>
                <w:color w:val="auto"/>
                <w:highlight w:val="none"/>
              </w:rPr>
            </w:pPr>
          </w:p>
        </w:tc>
        <w:tc>
          <w:tcPr>
            <w:tcW w:w="1487" w:type="pct"/>
            <w:vMerge w:val="continue"/>
            <w:tcBorders>
              <w:tl2br w:val="nil"/>
              <w:tr2bl w:val="nil"/>
            </w:tcBorders>
            <w:shd w:val="clear" w:color="auto" w:fill="auto"/>
            <w:vAlign w:val="center"/>
          </w:tcPr>
          <w:p w14:paraId="5FD7406C">
            <w:pPr>
              <w:pStyle w:val="17"/>
              <w:shd w:val="clear"/>
              <w:bidi w:val="0"/>
              <w:rPr>
                <w:color w:val="auto"/>
                <w:highlight w:val="none"/>
              </w:rPr>
            </w:pPr>
          </w:p>
        </w:tc>
        <w:tc>
          <w:tcPr>
            <w:tcW w:w="625" w:type="pct"/>
            <w:tcBorders>
              <w:tl2br w:val="nil"/>
              <w:tr2bl w:val="nil"/>
            </w:tcBorders>
            <w:shd w:val="clear" w:color="auto" w:fill="auto"/>
            <w:vAlign w:val="center"/>
          </w:tcPr>
          <w:p w14:paraId="2892E9C7">
            <w:pPr>
              <w:pStyle w:val="17"/>
              <w:shd w:val="clear"/>
              <w:bidi w:val="0"/>
              <w:rPr>
                <w:rFonts w:hint="eastAsia"/>
                <w:color w:val="auto"/>
                <w:highlight w:val="none"/>
                <w:lang w:val="en-US" w:eastAsia="zh-CN"/>
              </w:rPr>
            </w:pPr>
            <w:r>
              <w:rPr>
                <w:rFonts w:hint="eastAsia"/>
                <w:color w:val="auto"/>
                <w:highlight w:val="none"/>
                <w:lang w:eastAsia="zh-CN"/>
              </w:rPr>
              <w:t>氟化物</w:t>
            </w:r>
          </w:p>
        </w:tc>
        <w:tc>
          <w:tcPr>
            <w:tcW w:w="945" w:type="pct"/>
            <w:tcBorders>
              <w:tl2br w:val="nil"/>
              <w:tr2bl w:val="nil"/>
            </w:tcBorders>
            <w:shd w:val="clear" w:color="auto" w:fill="auto"/>
            <w:vAlign w:val="center"/>
          </w:tcPr>
          <w:p w14:paraId="0ACF39AB">
            <w:pPr>
              <w:shd w:val="clea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0.9468</w:t>
            </w:r>
            <w:r>
              <w:rPr>
                <w:color w:val="auto"/>
                <w:sz w:val="21"/>
                <w:szCs w:val="21"/>
                <w:highlight w:val="none"/>
              </w:rPr>
              <w:t>t/a</w:t>
            </w:r>
          </w:p>
        </w:tc>
        <w:tc>
          <w:tcPr>
            <w:tcW w:w="1068" w:type="pct"/>
            <w:tcBorders>
              <w:tl2br w:val="nil"/>
              <w:tr2bl w:val="nil"/>
            </w:tcBorders>
            <w:shd w:val="clear" w:color="auto" w:fill="auto"/>
            <w:vAlign w:val="center"/>
          </w:tcPr>
          <w:p w14:paraId="3A7A8637">
            <w:pPr>
              <w:shd w:val="clea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0.0095</w:t>
            </w:r>
            <w:r>
              <w:rPr>
                <w:color w:val="auto"/>
                <w:sz w:val="21"/>
                <w:szCs w:val="21"/>
                <w:highlight w:val="none"/>
              </w:rPr>
              <w:t>t/a</w:t>
            </w:r>
          </w:p>
        </w:tc>
      </w:tr>
      <w:tr w14:paraId="0A51D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restart"/>
            <w:tcBorders>
              <w:tl2br w:val="nil"/>
              <w:tr2bl w:val="nil"/>
            </w:tcBorders>
            <w:shd w:val="clear" w:color="auto" w:fill="auto"/>
            <w:vAlign w:val="center"/>
          </w:tcPr>
          <w:p w14:paraId="4BB17760">
            <w:pPr>
              <w:pStyle w:val="17"/>
              <w:shd w:val="clear"/>
              <w:bidi w:val="0"/>
              <w:rPr>
                <w:color w:val="auto"/>
                <w:highlight w:val="none"/>
              </w:rPr>
            </w:pPr>
            <w:r>
              <w:rPr>
                <w:rFonts w:hint="eastAsia"/>
                <w:color w:val="auto"/>
                <w:highlight w:val="none"/>
              </w:rPr>
              <w:t>废水</w:t>
            </w:r>
          </w:p>
        </w:tc>
        <w:tc>
          <w:tcPr>
            <w:tcW w:w="2665" w:type="pct"/>
            <w:gridSpan w:val="3"/>
            <w:tcBorders>
              <w:tl2br w:val="nil"/>
              <w:tr2bl w:val="nil"/>
            </w:tcBorders>
            <w:shd w:val="clear" w:color="auto" w:fill="auto"/>
            <w:vAlign w:val="center"/>
          </w:tcPr>
          <w:p w14:paraId="1F1E3C13">
            <w:pPr>
              <w:pStyle w:val="17"/>
              <w:shd w:val="clear"/>
              <w:bidi w:val="0"/>
              <w:rPr>
                <w:color w:val="auto"/>
                <w:highlight w:val="none"/>
              </w:rPr>
            </w:pPr>
            <w:r>
              <w:rPr>
                <w:rFonts w:hint="eastAsia"/>
                <w:color w:val="auto"/>
                <w:highlight w:val="none"/>
              </w:rPr>
              <w:t>选矿废水</w:t>
            </w:r>
          </w:p>
        </w:tc>
        <w:tc>
          <w:tcPr>
            <w:tcW w:w="945" w:type="pct"/>
            <w:tcBorders>
              <w:tl2br w:val="nil"/>
              <w:tr2bl w:val="nil"/>
            </w:tcBorders>
            <w:shd w:val="clear" w:color="auto" w:fill="auto"/>
            <w:vAlign w:val="center"/>
          </w:tcPr>
          <w:p w14:paraId="5003A469">
            <w:pPr>
              <w:pStyle w:val="17"/>
              <w:shd w:val="clear"/>
              <w:bidi w:val="0"/>
              <w:rPr>
                <w:color w:val="auto"/>
                <w:highlight w:val="none"/>
              </w:rPr>
            </w:pPr>
            <w:r>
              <w:rPr>
                <w:rFonts w:hint="eastAsia"/>
                <w:color w:val="auto"/>
                <w:highlight w:val="none"/>
              </w:rPr>
              <w:t>0t/a</w:t>
            </w:r>
          </w:p>
        </w:tc>
        <w:tc>
          <w:tcPr>
            <w:tcW w:w="1068" w:type="pct"/>
            <w:tcBorders>
              <w:tl2br w:val="nil"/>
              <w:tr2bl w:val="nil"/>
            </w:tcBorders>
            <w:shd w:val="clear" w:color="auto" w:fill="auto"/>
            <w:vAlign w:val="center"/>
          </w:tcPr>
          <w:p w14:paraId="333ACB8D">
            <w:pPr>
              <w:pStyle w:val="17"/>
              <w:shd w:val="clear"/>
              <w:bidi w:val="0"/>
              <w:rPr>
                <w:color w:val="auto"/>
                <w:highlight w:val="none"/>
              </w:rPr>
            </w:pPr>
            <w:r>
              <w:rPr>
                <w:rFonts w:hint="eastAsia"/>
                <w:color w:val="auto"/>
                <w:highlight w:val="none"/>
              </w:rPr>
              <w:t>0t/a</w:t>
            </w:r>
          </w:p>
        </w:tc>
      </w:tr>
      <w:tr w14:paraId="7512B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EC7474F">
            <w:pPr>
              <w:pStyle w:val="17"/>
              <w:shd w:val="clear"/>
              <w:bidi w:val="0"/>
              <w:rPr>
                <w:color w:val="auto"/>
                <w:highlight w:val="none"/>
              </w:rPr>
            </w:pPr>
          </w:p>
        </w:tc>
        <w:tc>
          <w:tcPr>
            <w:tcW w:w="2665" w:type="pct"/>
            <w:gridSpan w:val="3"/>
            <w:tcBorders>
              <w:tl2br w:val="nil"/>
              <w:tr2bl w:val="nil"/>
            </w:tcBorders>
            <w:shd w:val="clear" w:color="auto" w:fill="auto"/>
            <w:vAlign w:val="center"/>
          </w:tcPr>
          <w:p w14:paraId="1201DF00">
            <w:pPr>
              <w:pStyle w:val="17"/>
              <w:shd w:val="clear"/>
              <w:bidi w:val="0"/>
              <w:rPr>
                <w:color w:val="auto"/>
                <w:highlight w:val="none"/>
              </w:rPr>
            </w:pPr>
            <w:r>
              <w:rPr>
                <w:rFonts w:hint="eastAsia"/>
                <w:color w:val="auto"/>
                <w:highlight w:val="none"/>
              </w:rPr>
              <w:t>生活污水</w:t>
            </w:r>
          </w:p>
        </w:tc>
        <w:tc>
          <w:tcPr>
            <w:tcW w:w="945" w:type="pct"/>
            <w:tcBorders>
              <w:tl2br w:val="nil"/>
              <w:tr2bl w:val="nil"/>
            </w:tcBorders>
            <w:shd w:val="clear" w:color="auto" w:fill="auto"/>
            <w:vAlign w:val="center"/>
          </w:tcPr>
          <w:p w14:paraId="37833129">
            <w:pPr>
              <w:pStyle w:val="17"/>
              <w:shd w:val="clear"/>
              <w:bidi w:val="0"/>
              <w:rPr>
                <w:color w:val="auto"/>
                <w:highlight w:val="none"/>
              </w:rPr>
            </w:pPr>
            <w:r>
              <w:rPr>
                <w:rFonts w:hint="eastAsia"/>
                <w:color w:val="auto"/>
                <w:highlight w:val="none"/>
                <w:lang w:val="en-US" w:eastAsia="zh-CN"/>
              </w:rPr>
              <w:t>6679.2m</w:t>
            </w:r>
            <w:r>
              <w:rPr>
                <w:rFonts w:hint="eastAsia"/>
                <w:color w:val="auto"/>
                <w:highlight w:val="none"/>
                <w:vertAlign w:val="superscript"/>
                <w:lang w:val="en-US" w:eastAsia="zh-CN"/>
              </w:rPr>
              <w:t>3</w:t>
            </w:r>
            <w:r>
              <w:rPr>
                <w:rFonts w:hint="eastAsia"/>
                <w:color w:val="auto"/>
                <w:highlight w:val="none"/>
              </w:rPr>
              <w:t>/a</w:t>
            </w:r>
          </w:p>
        </w:tc>
        <w:tc>
          <w:tcPr>
            <w:tcW w:w="1068" w:type="pct"/>
            <w:tcBorders>
              <w:tl2br w:val="nil"/>
              <w:tr2bl w:val="nil"/>
            </w:tcBorders>
            <w:shd w:val="clear" w:color="auto" w:fill="auto"/>
            <w:vAlign w:val="center"/>
          </w:tcPr>
          <w:p w14:paraId="3C89CD83">
            <w:pPr>
              <w:pStyle w:val="17"/>
              <w:shd w:val="clear"/>
              <w:bidi w:val="0"/>
              <w:rPr>
                <w:color w:val="auto"/>
                <w:highlight w:val="none"/>
              </w:rPr>
            </w:pPr>
            <w:r>
              <w:rPr>
                <w:rFonts w:hint="eastAsia"/>
                <w:color w:val="auto"/>
                <w:highlight w:val="none"/>
                <w:lang w:val="en-US" w:eastAsia="zh-CN"/>
              </w:rPr>
              <w:t>0</w:t>
            </w:r>
            <w:r>
              <w:rPr>
                <w:rFonts w:hint="eastAsia"/>
                <w:color w:val="auto"/>
                <w:highlight w:val="none"/>
              </w:rPr>
              <w:t>t/a</w:t>
            </w:r>
          </w:p>
        </w:tc>
      </w:tr>
      <w:tr w14:paraId="3DDAC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restart"/>
            <w:tcBorders>
              <w:tl2br w:val="nil"/>
              <w:tr2bl w:val="nil"/>
            </w:tcBorders>
            <w:shd w:val="clear" w:color="auto" w:fill="auto"/>
            <w:vAlign w:val="center"/>
          </w:tcPr>
          <w:p w14:paraId="2243C81B">
            <w:pPr>
              <w:pStyle w:val="17"/>
              <w:shd w:val="clear"/>
              <w:bidi w:val="0"/>
              <w:rPr>
                <w:color w:val="auto"/>
                <w:highlight w:val="none"/>
              </w:rPr>
            </w:pPr>
            <w:r>
              <w:rPr>
                <w:rFonts w:hint="eastAsia"/>
                <w:color w:val="auto"/>
                <w:highlight w:val="none"/>
              </w:rPr>
              <w:t>固废</w:t>
            </w:r>
          </w:p>
        </w:tc>
        <w:tc>
          <w:tcPr>
            <w:tcW w:w="552" w:type="pct"/>
            <w:tcBorders>
              <w:tl2br w:val="nil"/>
              <w:tr2bl w:val="nil"/>
            </w:tcBorders>
            <w:shd w:val="clear" w:color="auto" w:fill="auto"/>
            <w:vAlign w:val="center"/>
          </w:tcPr>
          <w:p w14:paraId="22C542A8">
            <w:pPr>
              <w:pStyle w:val="17"/>
              <w:shd w:val="clear"/>
              <w:bidi w:val="0"/>
              <w:rPr>
                <w:color w:val="auto"/>
                <w:highlight w:val="none"/>
              </w:rPr>
            </w:pPr>
            <w:r>
              <w:rPr>
                <w:rFonts w:hint="eastAsia"/>
                <w:color w:val="auto"/>
                <w:highlight w:val="none"/>
              </w:rPr>
              <w:t>生活垃圾</w:t>
            </w:r>
          </w:p>
        </w:tc>
        <w:tc>
          <w:tcPr>
            <w:tcW w:w="2113" w:type="pct"/>
            <w:gridSpan w:val="2"/>
            <w:tcBorders>
              <w:tl2br w:val="nil"/>
              <w:tr2bl w:val="nil"/>
            </w:tcBorders>
            <w:shd w:val="clear" w:color="auto" w:fill="auto"/>
            <w:vAlign w:val="center"/>
          </w:tcPr>
          <w:p w14:paraId="78655BEA">
            <w:pPr>
              <w:pStyle w:val="17"/>
              <w:shd w:val="clear"/>
              <w:bidi w:val="0"/>
              <w:rPr>
                <w:color w:val="auto"/>
                <w:highlight w:val="none"/>
              </w:rPr>
            </w:pPr>
            <w:r>
              <w:rPr>
                <w:rFonts w:hint="eastAsia"/>
                <w:color w:val="auto"/>
                <w:highlight w:val="none"/>
              </w:rPr>
              <w:t>生活垃圾</w:t>
            </w:r>
          </w:p>
        </w:tc>
        <w:tc>
          <w:tcPr>
            <w:tcW w:w="945" w:type="pct"/>
            <w:tcBorders>
              <w:tl2br w:val="nil"/>
              <w:tr2bl w:val="nil"/>
            </w:tcBorders>
            <w:shd w:val="clear" w:color="auto" w:fill="auto"/>
            <w:vAlign w:val="center"/>
          </w:tcPr>
          <w:p w14:paraId="58BF998B">
            <w:pPr>
              <w:pStyle w:val="17"/>
              <w:shd w:val="clear"/>
              <w:bidi w:val="0"/>
              <w:rPr>
                <w:color w:val="auto"/>
                <w:highlight w:val="none"/>
              </w:rPr>
            </w:pPr>
            <w:r>
              <w:rPr>
                <w:rFonts w:hint="eastAsia"/>
                <w:color w:val="auto"/>
                <w:highlight w:val="none"/>
                <w:lang w:val="en-US" w:eastAsia="zh-CN"/>
              </w:rPr>
              <w:t>75.9</w:t>
            </w:r>
            <w:r>
              <w:rPr>
                <w:color w:val="auto"/>
                <w:highlight w:val="none"/>
              </w:rPr>
              <w:t>t/a</w:t>
            </w:r>
          </w:p>
        </w:tc>
        <w:tc>
          <w:tcPr>
            <w:tcW w:w="1068" w:type="pct"/>
            <w:tcBorders>
              <w:tl2br w:val="nil"/>
              <w:tr2bl w:val="nil"/>
            </w:tcBorders>
            <w:shd w:val="clear" w:color="auto" w:fill="auto"/>
            <w:vAlign w:val="center"/>
          </w:tcPr>
          <w:p w14:paraId="3AFB413E">
            <w:pPr>
              <w:pStyle w:val="17"/>
              <w:shd w:val="clear"/>
              <w:bidi w:val="0"/>
              <w:rPr>
                <w:color w:val="auto"/>
                <w:highlight w:val="none"/>
              </w:rPr>
            </w:pPr>
            <w:r>
              <w:rPr>
                <w:rFonts w:hint="eastAsia"/>
                <w:color w:val="auto"/>
                <w:highlight w:val="none"/>
                <w:lang w:val="en-US" w:eastAsia="zh-CN"/>
              </w:rPr>
              <w:t>75.9</w:t>
            </w:r>
            <w:r>
              <w:rPr>
                <w:rFonts w:hint="eastAsia"/>
                <w:color w:val="auto"/>
                <w:highlight w:val="none"/>
              </w:rPr>
              <w:t>t/a</w:t>
            </w:r>
          </w:p>
        </w:tc>
      </w:tr>
      <w:tr w14:paraId="27C3B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62DFA628">
            <w:pPr>
              <w:pStyle w:val="17"/>
              <w:shd w:val="clear"/>
              <w:bidi w:val="0"/>
              <w:rPr>
                <w:color w:val="auto"/>
                <w:highlight w:val="none"/>
              </w:rPr>
            </w:pPr>
          </w:p>
        </w:tc>
        <w:tc>
          <w:tcPr>
            <w:tcW w:w="552" w:type="pct"/>
            <w:vMerge w:val="restart"/>
            <w:tcBorders>
              <w:tl2br w:val="nil"/>
              <w:tr2bl w:val="nil"/>
            </w:tcBorders>
            <w:shd w:val="clear" w:color="auto" w:fill="auto"/>
            <w:vAlign w:val="center"/>
          </w:tcPr>
          <w:p w14:paraId="7C8D5B4C">
            <w:pPr>
              <w:pStyle w:val="17"/>
              <w:shd w:val="clear"/>
              <w:bidi w:val="0"/>
              <w:rPr>
                <w:color w:val="auto"/>
                <w:highlight w:val="none"/>
              </w:rPr>
            </w:pPr>
            <w:r>
              <w:rPr>
                <w:rFonts w:hint="eastAsia"/>
                <w:color w:val="auto"/>
                <w:highlight w:val="none"/>
              </w:rPr>
              <w:t>一般固废</w:t>
            </w:r>
          </w:p>
        </w:tc>
        <w:tc>
          <w:tcPr>
            <w:tcW w:w="2113" w:type="pct"/>
            <w:gridSpan w:val="2"/>
            <w:tcBorders>
              <w:tl2br w:val="nil"/>
              <w:tr2bl w:val="nil"/>
            </w:tcBorders>
            <w:shd w:val="clear" w:color="auto" w:fill="auto"/>
            <w:vAlign w:val="center"/>
          </w:tcPr>
          <w:p w14:paraId="7BB5EDF8">
            <w:pPr>
              <w:pStyle w:val="17"/>
              <w:shd w:val="clear"/>
              <w:bidi w:val="0"/>
              <w:rPr>
                <w:color w:val="auto"/>
                <w:highlight w:val="none"/>
              </w:rPr>
            </w:pPr>
            <w:r>
              <w:rPr>
                <w:rFonts w:hint="eastAsia"/>
                <w:color w:val="auto"/>
                <w:highlight w:val="none"/>
              </w:rPr>
              <w:t>尾矿砂</w:t>
            </w:r>
          </w:p>
        </w:tc>
        <w:tc>
          <w:tcPr>
            <w:tcW w:w="945" w:type="pct"/>
            <w:tcBorders>
              <w:tl2br w:val="nil"/>
              <w:tr2bl w:val="nil"/>
            </w:tcBorders>
            <w:shd w:val="clear" w:color="auto" w:fill="auto"/>
            <w:vAlign w:val="center"/>
          </w:tcPr>
          <w:p w14:paraId="6CA2387C">
            <w:pPr>
              <w:pStyle w:val="17"/>
              <w:shd w:val="clear"/>
              <w:bidi w:val="0"/>
              <w:rPr>
                <w:color w:val="auto"/>
                <w:highlight w:val="none"/>
              </w:rPr>
            </w:pPr>
            <w:r>
              <w:rPr>
                <w:rFonts w:hint="eastAsia"/>
                <w:color w:val="auto"/>
                <w:highlight w:val="none"/>
                <w:lang w:val="en-US" w:eastAsia="zh-CN"/>
              </w:rPr>
              <w:t>89.36</w:t>
            </w:r>
            <w:r>
              <w:rPr>
                <w:rFonts w:hint="eastAsia"/>
                <w:color w:val="auto"/>
                <w:highlight w:val="none"/>
              </w:rPr>
              <w:t>万t/a</w:t>
            </w:r>
          </w:p>
        </w:tc>
        <w:tc>
          <w:tcPr>
            <w:tcW w:w="1068" w:type="pct"/>
            <w:tcBorders>
              <w:tl2br w:val="nil"/>
              <w:tr2bl w:val="nil"/>
            </w:tcBorders>
            <w:shd w:val="clear" w:color="auto" w:fill="auto"/>
            <w:vAlign w:val="center"/>
          </w:tcPr>
          <w:p w14:paraId="399EA4E0">
            <w:pPr>
              <w:pStyle w:val="17"/>
              <w:shd w:val="clear"/>
              <w:bidi w:val="0"/>
              <w:rPr>
                <w:color w:val="auto"/>
                <w:highlight w:val="none"/>
              </w:rPr>
            </w:pPr>
            <w:r>
              <w:rPr>
                <w:rFonts w:hint="eastAsia"/>
                <w:color w:val="auto"/>
                <w:highlight w:val="none"/>
                <w:lang w:val="en-US" w:eastAsia="zh-CN"/>
              </w:rPr>
              <w:t>44</w:t>
            </w:r>
            <w:r>
              <w:rPr>
                <w:rFonts w:hint="eastAsia"/>
                <w:color w:val="auto"/>
                <w:highlight w:val="none"/>
              </w:rPr>
              <w:t>万t/a</w:t>
            </w:r>
          </w:p>
        </w:tc>
      </w:tr>
      <w:tr w14:paraId="5287B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6BC10EBC">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2970AB0B">
            <w:pPr>
              <w:pStyle w:val="17"/>
              <w:shd w:val="clear"/>
              <w:bidi w:val="0"/>
              <w:rPr>
                <w:rFonts w:hint="eastAsia"/>
                <w:color w:val="auto"/>
                <w:highlight w:val="none"/>
              </w:rPr>
            </w:pPr>
          </w:p>
        </w:tc>
        <w:tc>
          <w:tcPr>
            <w:tcW w:w="2113" w:type="pct"/>
            <w:gridSpan w:val="2"/>
            <w:tcBorders>
              <w:tl2br w:val="nil"/>
              <w:tr2bl w:val="nil"/>
            </w:tcBorders>
            <w:shd w:val="clear" w:color="auto" w:fill="auto"/>
            <w:vAlign w:val="center"/>
          </w:tcPr>
          <w:p w14:paraId="4723EE2C">
            <w:pPr>
              <w:pStyle w:val="17"/>
              <w:shd w:val="clear"/>
              <w:bidi w:val="0"/>
              <w:rPr>
                <w:rFonts w:hint="eastAsia" w:eastAsia="宋体"/>
                <w:color w:val="auto"/>
                <w:highlight w:val="none"/>
                <w:lang w:val="en-US" w:eastAsia="zh-CN"/>
              </w:rPr>
            </w:pPr>
            <w:r>
              <w:rPr>
                <w:rFonts w:hint="eastAsia"/>
                <w:color w:val="auto"/>
                <w:highlight w:val="none"/>
                <w:lang w:val="en-US" w:eastAsia="zh-CN"/>
              </w:rPr>
              <w:t>废石</w:t>
            </w:r>
          </w:p>
        </w:tc>
        <w:tc>
          <w:tcPr>
            <w:tcW w:w="945" w:type="pct"/>
            <w:tcBorders>
              <w:tl2br w:val="nil"/>
              <w:tr2bl w:val="nil"/>
            </w:tcBorders>
            <w:shd w:val="clear" w:color="auto" w:fill="auto"/>
            <w:vAlign w:val="center"/>
          </w:tcPr>
          <w:p w14:paraId="5C557061">
            <w:pPr>
              <w:pStyle w:val="17"/>
              <w:shd w:val="clear"/>
              <w:bidi w:val="0"/>
              <w:rPr>
                <w:rFonts w:hint="default"/>
                <w:color w:val="auto"/>
                <w:highlight w:val="none"/>
                <w:lang w:val="en-US" w:eastAsia="zh-CN"/>
              </w:rPr>
            </w:pPr>
            <w:r>
              <w:rPr>
                <w:rFonts w:hint="eastAsia"/>
                <w:color w:val="auto"/>
                <w:highlight w:val="none"/>
                <w:lang w:val="en-US" w:eastAsia="zh-CN"/>
              </w:rPr>
              <w:t>37.5</w:t>
            </w:r>
            <w:r>
              <w:rPr>
                <w:rFonts w:hint="eastAsia"/>
                <w:color w:val="auto"/>
                <w:highlight w:val="none"/>
              </w:rPr>
              <w:t>万t/a</w:t>
            </w:r>
          </w:p>
        </w:tc>
        <w:tc>
          <w:tcPr>
            <w:tcW w:w="1068" w:type="pct"/>
            <w:tcBorders>
              <w:tl2br w:val="nil"/>
              <w:tr2bl w:val="nil"/>
            </w:tcBorders>
            <w:shd w:val="clear" w:color="auto" w:fill="auto"/>
            <w:vAlign w:val="center"/>
          </w:tcPr>
          <w:p w14:paraId="2E7EC544">
            <w:pPr>
              <w:pStyle w:val="17"/>
              <w:shd w:val="clear"/>
              <w:bidi w:val="0"/>
              <w:rPr>
                <w:rFonts w:hint="eastAsia"/>
                <w:color w:val="auto"/>
                <w:highlight w:val="none"/>
                <w:lang w:val="en-US" w:eastAsia="zh-CN"/>
              </w:rPr>
            </w:pPr>
            <w:r>
              <w:rPr>
                <w:rFonts w:hint="eastAsia"/>
                <w:color w:val="auto"/>
                <w:highlight w:val="none"/>
                <w:lang w:val="en-US" w:eastAsia="zh-CN"/>
              </w:rPr>
              <w:t>37.5</w:t>
            </w:r>
            <w:r>
              <w:rPr>
                <w:rFonts w:hint="eastAsia"/>
                <w:color w:val="auto"/>
                <w:highlight w:val="none"/>
              </w:rPr>
              <w:t>万t/a</w:t>
            </w:r>
          </w:p>
        </w:tc>
      </w:tr>
      <w:tr w14:paraId="2BECE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7BA6EFB0">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53168ECE">
            <w:pPr>
              <w:pStyle w:val="17"/>
              <w:shd w:val="clear"/>
              <w:bidi w:val="0"/>
              <w:rPr>
                <w:rFonts w:hint="eastAsia" w:eastAsia="宋体"/>
                <w:color w:val="auto"/>
                <w:highlight w:val="none"/>
                <w:lang w:val="en-US" w:eastAsia="zh-CN"/>
              </w:rPr>
            </w:pPr>
          </w:p>
        </w:tc>
        <w:tc>
          <w:tcPr>
            <w:tcW w:w="2113" w:type="pct"/>
            <w:gridSpan w:val="2"/>
            <w:tcBorders>
              <w:tl2br w:val="nil"/>
              <w:tr2bl w:val="nil"/>
            </w:tcBorders>
            <w:shd w:val="clear" w:color="auto" w:fill="auto"/>
            <w:vAlign w:val="center"/>
          </w:tcPr>
          <w:p w14:paraId="5BF7D190">
            <w:pPr>
              <w:pStyle w:val="17"/>
              <w:shd w:val="clear"/>
              <w:bidi w:val="0"/>
              <w:rPr>
                <w:color w:val="auto"/>
                <w:highlight w:val="none"/>
              </w:rPr>
            </w:pPr>
            <w:r>
              <w:rPr>
                <w:rFonts w:hint="eastAsia"/>
                <w:color w:val="auto"/>
                <w:highlight w:val="none"/>
                <w:lang w:val="en-US" w:eastAsia="zh-CN"/>
              </w:rPr>
              <w:t>收集</w:t>
            </w:r>
            <w:r>
              <w:rPr>
                <w:rFonts w:hint="eastAsia"/>
                <w:color w:val="auto"/>
                <w:highlight w:val="none"/>
              </w:rPr>
              <w:t>除尘灰</w:t>
            </w:r>
          </w:p>
        </w:tc>
        <w:tc>
          <w:tcPr>
            <w:tcW w:w="945" w:type="pct"/>
            <w:tcBorders>
              <w:tl2br w:val="nil"/>
              <w:tr2bl w:val="nil"/>
            </w:tcBorders>
            <w:shd w:val="clear" w:color="auto" w:fill="auto"/>
            <w:vAlign w:val="center"/>
          </w:tcPr>
          <w:p w14:paraId="53B310BC">
            <w:pPr>
              <w:pStyle w:val="17"/>
              <w:shd w:val="clear"/>
              <w:bidi w:val="0"/>
              <w:rPr>
                <w:color w:val="auto"/>
                <w:highlight w:val="none"/>
              </w:rPr>
            </w:pPr>
            <w:r>
              <w:rPr>
                <w:rFonts w:hint="eastAsia"/>
                <w:color w:val="auto"/>
                <w:highlight w:val="none"/>
                <w:lang w:val="en-US" w:eastAsia="zh-CN"/>
              </w:rPr>
              <w:t>1186.8</w:t>
            </w:r>
            <w:r>
              <w:rPr>
                <w:rFonts w:hint="eastAsia"/>
                <w:color w:val="auto"/>
                <w:highlight w:val="none"/>
              </w:rPr>
              <w:t>t/a</w:t>
            </w:r>
          </w:p>
        </w:tc>
        <w:tc>
          <w:tcPr>
            <w:tcW w:w="1068" w:type="pct"/>
            <w:tcBorders>
              <w:tl2br w:val="nil"/>
              <w:tr2bl w:val="nil"/>
            </w:tcBorders>
            <w:shd w:val="clear" w:color="auto" w:fill="auto"/>
            <w:vAlign w:val="center"/>
          </w:tcPr>
          <w:p w14:paraId="79C44008">
            <w:pPr>
              <w:pStyle w:val="17"/>
              <w:shd w:val="clear"/>
              <w:bidi w:val="0"/>
              <w:rPr>
                <w:color w:val="auto"/>
                <w:highlight w:val="none"/>
              </w:rPr>
            </w:pPr>
            <w:r>
              <w:rPr>
                <w:rFonts w:hint="eastAsia"/>
                <w:color w:val="auto"/>
                <w:highlight w:val="none"/>
                <w:lang w:val="en-US" w:eastAsia="zh-CN"/>
              </w:rPr>
              <w:t>0</w:t>
            </w:r>
            <w:r>
              <w:rPr>
                <w:rFonts w:hint="eastAsia"/>
                <w:color w:val="auto"/>
                <w:highlight w:val="none"/>
              </w:rPr>
              <w:t>t/a</w:t>
            </w:r>
          </w:p>
        </w:tc>
      </w:tr>
      <w:tr w14:paraId="6DC8A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72159C11">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574412B2">
            <w:pPr>
              <w:pStyle w:val="17"/>
              <w:shd w:val="clear"/>
              <w:bidi w:val="0"/>
              <w:rPr>
                <w:color w:val="auto"/>
                <w:highlight w:val="none"/>
              </w:rPr>
            </w:pPr>
          </w:p>
        </w:tc>
        <w:tc>
          <w:tcPr>
            <w:tcW w:w="2113" w:type="pct"/>
            <w:gridSpan w:val="2"/>
            <w:tcBorders>
              <w:tl2br w:val="nil"/>
              <w:tr2bl w:val="nil"/>
            </w:tcBorders>
            <w:shd w:val="clear" w:color="auto" w:fill="auto"/>
            <w:vAlign w:val="center"/>
          </w:tcPr>
          <w:p w14:paraId="2EF14092">
            <w:pPr>
              <w:pStyle w:val="17"/>
              <w:shd w:val="clear"/>
              <w:bidi w:val="0"/>
              <w:rPr>
                <w:color w:val="auto"/>
                <w:highlight w:val="none"/>
              </w:rPr>
            </w:pPr>
            <w:r>
              <w:rPr>
                <w:rFonts w:hint="eastAsia"/>
                <w:color w:val="auto"/>
                <w:highlight w:val="none"/>
              </w:rPr>
              <w:t>废离子交换树脂</w:t>
            </w:r>
          </w:p>
        </w:tc>
        <w:tc>
          <w:tcPr>
            <w:tcW w:w="945" w:type="pct"/>
            <w:tcBorders>
              <w:tl2br w:val="nil"/>
              <w:tr2bl w:val="nil"/>
            </w:tcBorders>
            <w:shd w:val="clear" w:color="auto" w:fill="auto"/>
            <w:vAlign w:val="center"/>
          </w:tcPr>
          <w:p w14:paraId="48E7DC35">
            <w:pPr>
              <w:pStyle w:val="17"/>
              <w:shd w:val="clear"/>
              <w:bidi w:val="0"/>
              <w:rPr>
                <w:color w:val="auto"/>
                <w:highlight w:val="none"/>
              </w:rPr>
            </w:pPr>
            <w:r>
              <w:rPr>
                <w:rFonts w:hint="eastAsia"/>
                <w:color w:val="auto"/>
                <w:highlight w:val="none"/>
              </w:rPr>
              <w:t>0.</w:t>
            </w:r>
            <w:r>
              <w:rPr>
                <w:rFonts w:hint="eastAsia"/>
                <w:color w:val="auto"/>
                <w:highlight w:val="none"/>
                <w:lang w:val="en-US" w:eastAsia="zh-CN"/>
              </w:rPr>
              <w:t>2</w:t>
            </w:r>
            <w:r>
              <w:rPr>
                <w:rFonts w:hint="eastAsia"/>
                <w:color w:val="auto"/>
                <w:highlight w:val="none"/>
              </w:rPr>
              <w:t>t/3a</w:t>
            </w:r>
          </w:p>
        </w:tc>
        <w:tc>
          <w:tcPr>
            <w:tcW w:w="1068" w:type="pct"/>
            <w:tcBorders>
              <w:tl2br w:val="nil"/>
              <w:tr2bl w:val="nil"/>
            </w:tcBorders>
            <w:shd w:val="clear" w:color="auto" w:fill="auto"/>
            <w:vAlign w:val="center"/>
          </w:tcPr>
          <w:p w14:paraId="7B8EE087">
            <w:pPr>
              <w:pStyle w:val="17"/>
              <w:shd w:val="clear"/>
              <w:bidi w:val="0"/>
              <w:rPr>
                <w:rFonts w:hint="eastAsia"/>
                <w:color w:val="auto"/>
                <w:highlight w:val="none"/>
                <w:lang w:eastAsia="zh-CN"/>
              </w:rPr>
            </w:pPr>
            <w:r>
              <w:rPr>
                <w:rFonts w:hint="eastAsia"/>
                <w:color w:val="auto"/>
                <w:highlight w:val="none"/>
              </w:rPr>
              <w:t>0t/a</w:t>
            </w:r>
          </w:p>
        </w:tc>
      </w:tr>
      <w:tr w14:paraId="172A9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320" w:type="pct"/>
            <w:vMerge w:val="continue"/>
            <w:tcBorders>
              <w:tl2br w:val="nil"/>
              <w:tr2bl w:val="nil"/>
            </w:tcBorders>
            <w:shd w:val="clear" w:color="auto" w:fill="auto"/>
            <w:vAlign w:val="center"/>
          </w:tcPr>
          <w:p w14:paraId="7383B8DB">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579A3342">
            <w:pPr>
              <w:pStyle w:val="17"/>
              <w:shd w:val="clear"/>
              <w:bidi w:val="0"/>
              <w:rPr>
                <w:color w:val="auto"/>
                <w:highlight w:val="none"/>
              </w:rPr>
            </w:pPr>
          </w:p>
        </w:tc>
        <w:tc>
          <w:tcPr>
            <w:tcW w:w="2113" w:type="pct"/>
            <w:gridSpan w:val="2"/>
            <w:tcBorders>
              <w:tl2br w:val="nil"/>
              <w:tr2bl w:val="nil"/>
            </w:tcBorders>
            <w:shd w:val="clear" w:color="auto" w:fill="auto"/>
            <w:vAlign w:val="center"/>
          </w:tcPr>
          <w:p w14:paraId="6983C22B">
            <w:pPr>
              <w:pStyle w:val="17"/>
              <w:shd w:val="clear"/>
              <w:bidi w:val="0"/>
              <w:rPr>
                <w:color w:val="auto"/>
                <w:highlight w:val="none"/>
              </w:rPr>
            </w:pPr>
            <w:r>
              <w:rPr>
                <w:rFonts w:hint="eastAsia"/>
                <w:color w:val="auto"/>
                <w:highlight w:val="none"/>
                <w:lang w:val="en-US" w:eastAsia="zh-CN"/>
              </w:rPr>
              <w:t>回水</w:t>
            </w:r>
            <w:r>
              <w:rPr>
                <w:rFonts w:hint="eastAsia"/>
                <w:color w:val="auto"/>
                <w:highlight w:val="none"/>
              </w:rPr>
              <w:t>底泥</w:t>
            </w:r>
          </w:p>
        </w:tc>
        <w:tc>
          <w:tcPr>
            <w:tcW w:w="945" w:type="pct"/>
            <w:tcBorders>
              <w:tl2br w:val="nil"/>
              <w:tr2bl w:val="nil"/>
            </w:tcBorders>
            <w:shd w:val="clear" w:color="auto" w:fill="auto"/>
            <w:vAlign w:val="center"/>
          </w:tcPr>
          <w:p w14:paraId="1787FD30">
            <w:pPr>
              <w:pStyle w:val="17"/>
              <w:shd w:val="clear"/>
              <w:bidi w:val="0"/>
              <w:rPr>
                <w:color w:val="auto"/>
                <w:highlight w:val="none"/>
              </w:rPr>
            </w:pPr>
            <w:r>
              <w:rPr>
                <w:rFonts w:hint="eastAsia"/>
                <w:color w:val="auto"/>
                <w:highlight w:val="none"/>
                <w:lang w:val="en-US" w:eastAsia="zh-CN"/>
              </w:rPr>
              <w:t>12</w:t>
            </w:r>
            <w:r>
              <w:rPr>
                <w:rFonts w:hint="eastAsia"/>
                <w:color w:val="auto"/>
                <w:highlight w:val="none"/>
              </w:rPr>
              <w:t>0t/a</w:t>
            </w:r>
          </w:p>
        </w:tc>
        <w:tc>
          <w:tcPr>
            <w:tcW w:w="1068" w:type="pct"/>
            <w:tcBorders>
              <w:tl2br w:val="nil"/>
              <w:tr2bl w:val="nil"/>
            </w:tcBorders>
            <w:shd w:val="clear" w:color="auto" w:fill="auto"/>
            <w:vAlign w:val="center"/>
          </w:tcPr>
          <w:p w14:paraId="0D5919FE">
            <w:pPr>
              <w:pStyle w:val="17"/>
              <w:shd w:val="clear"/>
              <w:bidi w:val="0"/>
              <w:rPr>
                <w:color w:val="auto"/>
                <w:highlight w:val="none"/>
              </w:rPr>
            </w:pPr>
            <w:r>
              <w:rPr>
                <w:rFonts w:hint="eastAsia"/>
                <w:color w:val="auto"/>
                <w:highlight w:val="none"/>
              </w:rPr>
              <w:t>0t/a</w:t>
            </w:r>
          </w:p>
        </w:tc>
      </w:tr>
      <w:tr w14:paraId="496C9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320" w:type="pct"/>
            <w:vMerge w:val="continue"/>
            <w:tcBorders>
              <w:tl2br w:val="nil"/>
              <w:tr2bl w:val="nil"/>
            </w:tcBorders>
            <w:shd w:val="clear" w:color="auto" w:fill="auto"/>
            <w:vAlign w:val="center"/>
          </w:tcPr>
          <w:p w14:paraId="2556F784">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1FE7D6E7">
            <w:pPr>
              <w:pStyle w:val="17"/>
              <w:shd w:val="clear"/>
              <w:bidi w:val="0"/>
              <w:rPr>
                <w:color w:val="auto"/>
                <w:highlight w:val="none"/>
              </w:rPr>
            </w:pPr>
          </w:p>
        </w:tc>
        <w:tc>
          <w:tcPr>
            <w:tcW w:w="2113" w:type="pct"/>
            <w:gridSpan w:val="2"/>
            <w:tcBorders>
              <w:tl2br w:val="nil"/>
              <w:tr2bl w:val="nil"/>
            </w:tcBorders>
            <w:shd w:val="clear" w:color="auto" w:fill="auto"/>
            <w:vAlign w:val="center"/>
          </w:tcPr>
          <w:p w14:paraId="784A3454">
            <w:pPr>
              <w:pStyle w:val="17"/>
              <w:shd w:val="clear"/>
              <w:bidi w:val="0"/>
              <w:rPr>
                <w:rFonts w:hint="default"/>
                <w:color w:val="auto"/>
                <w:highlight w:val="none"/>
                <w:lang w:val="en-US" w:eastAsia="zh-CN"/>
              </w:rPr>
            </w:pPr>
            <w:r>
              <w:rPr>
                <w:rFonts w:hint="eastAsia"/>
                <w:color w:val="auto"/>
                <w:highlight w:val="none"/>
                <w:lang w:val="en-US" w:eastAsia="zh-CN"/>
              </w:rPr>
              <w:t>水处理底泥</w:t>
            </w:r>
          </w:p>
        </w:tc>
        <w:tc>
          <w:tcPr>
            <w:tcW w:w="945" w:type="pct"/>
            <w:tcBorders>
              <w:tl2br w:val="nil"/>
              <w:tr2bl w:val="nil"/>
            </w:tcBorders>
            <w:shd w:val="clear" w:color="auto" w:fill="auto"/>
            <w:vAlign w:val="center"/>
          </w:tcPr>
          <w:p w14:paraId="716462B5">
            <w:pPr>
              <w:pStyle w:val="17"/>
              <w:shd w:val="clear"/>
              <w:bidi w:val="0"/>
              <w:rPr>
                <w:rFonts w:hint="default"/>
                <w:color w:val="auto"/>
                <w:highlight w:val="none"/>
                <w:lang w:val="en-US" w:eastAsia="zh-CN"/>
              </w:rPr>
            </w:pPr>
            <w:r>
              <w:rPr>
                <w:rFonts w:hint="eastAsia"/>
                <w:color w:val="auto"/>
                <w:highlight w:val="none"/>
                <w:lang w:val="en-US" w:eastAsia="zh-CN"/>
              </w:rPr>
              <w:t>155t/a</w:t>
            </w:r>
          </w:p>
        </w:tc>
        <w:tc>
          <w:tcPr>
            <w:tcW w:w="1068" w:type="pct"/>
            <w:tcBorders>
              <w:tl2br w:val="nil"/>
              <w:tr2bl w:val="nil"/>
            </w:tcBorders>
            <w:shd w:val="clear" w:color="auto" w:fill="auto"/>
            <w:vAlign w:val="center"/>
          </w:tcPr>
          <w:p w14:paraId="386DB553">
            <w:pPr>
              <w:pStyle w:val="17"/>
              <w:shd w:val="clear"/>
              <w:bidi w:val="0"/>
              <w:rPr>
                <w:rFonts w:hint="eastAsia"/>
                <w:color w:val="auto"/>
                <w:highlight w:val="none"/>
              </w:rPr>
            </w:pPr>
            <w:r>
              <w:rPr>
                <w:rFonts w:hint="eastAsia"/>
                <w:color w:val="auto"/>
                <w:highlight w:val="none"/>
                <w:lang w:val="en-US" w:eastAsia="zh-CN"/>
              </w:rPr>
              <w:t>155</w:t>
            </w:r>
            <w:r>
              <w:rPr>
                <w:rFonts w:hint="eastAsia"/>
                <w:color w:val="auto"/>
                <w:highlight w:val="none"/>
              </w:rPr>
              <w:t>t/a</w:t>
            </w:r>
          </w:p>
        </w:tc>
      </w:tr>
      <w:tr w14:paraId="36261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320" w:type="pct"/>
            <w:vMerge w:val="continue"/>
            <w:tcBorders>
              <w:tl2br w:val="nil"/>
              <w:tr2bl w:val="nil"/>
            </w:tcBorders>
            <w:shd w:val="clear" w:color="auto" w:fill="auto"/>
            <w:vAlign w:val="center"/>
          </w:tcPr>
          <w:p w14:paraId="728AA1C6">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1BE24F3A">
            <w:pPr>
              <w:pStyle w:val="17"/>
              <w:shd w:val="clear"/>
              <w:bidi w:val="0"/>
              <w:rPr>
                <w:color w:val="auto"/>
                <w:highlight w:val="none"/>
              </w:rPr>
            </w:pPr>
          </w:p>
        </w:tc>
        <w:tc>
          <w:tcPr>
            <w:tcW w:w="2113" w:type="pct"/>
            <w:gridSpan w:val="2"/>
            <w:tcBorders>
              <w:tl2br w:val="nil"/>
              <w:tr2bl w:val="nil"/>
            </w:tcBorders>
            <w:shd w:val="clear" w:color="auto" w:fill="auto"/>
            <w:vAlign w:val="center"/>
          </w:tcPr>
          <w:p w14:paraId="71A08994">
            <w:pPr>
              <w:pStyle w:val="17"/>
              <w:shd w:val="clear"/>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废石英砂</w:t>
            </w:r>
          </w:p>
        </w:tc>
        <w:tc>
          <w:tcPr>
            <w:tcW w:w="945" w:type="pct"/>
            <w:tcBorders>
              <w:tl2br w:val="nil"/>
              <w:tr2bl w:val="nil"/>
            </w:tcBorders>
            <w:shd w:val="clear" w:color="auto" w:fill="auto"/>
            <w:vAlign w:val="center"/>
          </w:tcPr>
          <w:p w14:paraId="1EF05951">
            <w:pPr>
              <w:pStyle w:val="17"/>
              <w:shd w:val="clear"/>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0.5</w:t>
            </w:r>
            <w:r>
              <w:rPr>
                <w:rFonts w:hint="eastAsia"/>
                <w:color w:val="auto"/>
                <w:highlight w:val="none"/>
              </w:rPr>
              <w:t>t/a</w:t>
            </w:r>
          </w:p>
        </w:tc>
        <w:tc>
          <w:tcPr>
            <w:tcW w:w="1068" w:type="pct"/>
            <w:tcBorders>
              <w:tl2br w:val="nil"/>
              <w:tr2bl w:val="nil"/>
            </w:tcBorders>
            <w:shd w:val="clear" w:color="auto" w:fill="auto"/>
            <w:vAlign w:val="center"/>
          </w:tcPr>
          <w:p w14:paraId="48DC5AAE">
            <w:pPr>
              <w:pStyle w:val="17"/>
              <w:shd w:val="clear"/>
              <w:bidi w:val="0"/>
              <w:ind w:firstLine="0" w:firstLineChars="0"/>
              <w:rPr>
                <w:rFonts w:hint="eastAsia"/>
                <w:color w:val="auto"/>
                <w:highlight w:val="none"/>
              </w:rPr>
            </w:pPr>
            <w:r>
              <w:rPr>
                <w:rFonts w:hint="eastAsia"/>
                <w:color w:val="auto"/>
                <w:highlight w:val="none"/>
                <w:lang w:val="en-US" w:eastAsia="zh-CN"/>
              </w:rPr>
              <w:t>0.5</w:t>
            </w:r>
            <w:r>
              <w:rPr>
                <w:rFonts w:hint="eastAsia"/>
                <w:color w:val="auto"/>
                <w:highlight w:val="none"/>
              </w:rPr>
              <w:t>t/a</w:t>
            </w:r>
          </w:p>
        </w:tc>
      </w:tr>
      <w:tr w14:paraId="07BD0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320" w:type="pct"/>
            <w:vMerge w:val="continue"/>
            <w:tcBorders>
              <w:tl2br w:val="nil"/>
              <w:tr2bl w:val="nil"/>
            </w:tcBorders>
            <w:shd w:val="clear" w:color="auto" w:fill="auto"/>
            <w:vAlign w:val="center"/>
          </w:tcPr>
          <w:p w14:paraId="38EF8EEC">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71C14BDB">
            <w:pPr>
              <w:pStyle w:val="17"/>
              <w:shd w:val="clear"/>
              <w:bidi w:val="0"/>
              <w:rPr>
                <w:color w:val="auto"/>
                <w:highlight w:val="none"/>
              </w:rPr>
            </w:pPr>
          </w:p>
        </w:tc>
        <w:tc>
          <w:tcPr>
            <w:tcW w:w="2113" w:type="pct"/>
            <w:gridSpan w:val="2"/>
            <w:tcBorders>
              <w:tl2br w:val="nil"/>
              <w:tr2bl w:val="nil"/>
            </w:tcBorders>
            <w:shd w:val="clear" w:color="auto" w:fill="auto"/>
            <w:vAlign w:val="center"/>
          </w:tcPr>
          <w:p w14:paraId="2FFEBB01">
            <w:pPr>
              <w:pStyle w:val="17"/>
              <w:shd w:val="clear"/>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废活性炭</w:t>
            </w:r>
          </w:p>
        </w:tc>
        <w:tc>
          <w:tcPr>
            <w:tcW w:w="945" w:type="pct"/>
            <w:tcBorders>
              <w:tl2br w:val="nil"/>
              <w:tr2bl w:val="nil"/>
            </w:tcBorders>
            <w:shd w:val="clear" w:color="auto" w:fill="auto"/>
            <w:vAlign w:val="center"/>
          </w:tcPr>
          <w:p w14:paraId="1CF93BC8">
            <w:pPr>
              <w:pStyle w:val="17"/>
              <w:shd w:val="clear"/>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0.2</w:t>
            </w:r>
            <w:r>
              <w:rPr>
                <w:rFonts w:hint="eastAsia"/>
                <w:color w:val="auto"/>
                <w:highlight w:val="none"/>
              </w:rPr>
              <w:t>t/a</w:t>
            </w:r>
          </w:p>
        </w:tc>
        <w:tc>
          <w:tcPr>
            <w:tcW w:w="1068" w:type="pct"/>
            <w:tcBorders>
              <w:tl2br w:val="nil"/>
              <w:tr2bl w:val="nil"/>
            </w:tcBorders>
            <w:shd w:val="clear" w:color="auto" w:fill="auto"/>
            <w:vAlign w:val="center"/>
          </w:tcPr>
          <w:p w14:paraId="0B5CDBEC">
            <w:pPr>
              <w:pStyle w:val="17"/>
              <w:shd w:val="clear"/>
              <w:bidi w:val="0"/>
              <w:ind w:firstLine="0" w:firstLineChars="0"/>
              <w:rPr>
                <w:rFonts w:hint="eastAsia"/>
                <w:color w:val="auto"/>
                <w:highlight w:val="none"/>
              </w:rPr>
            </w:pPr>
            <w:r>
              <w:rPr>
                <w:rFonts w:hint="eastAsia"/>
                <w:color w:val="auto"/>
                <w:highlight w:val="none"/>
                <w:lang w:val="en-US" w:eastAsia="zh-CN"/>
              </w:rPr>
              <w:t>0.2</w:t>
            </w:r>
            <w:r>
              <w:rPr>
                <w:rFonts w:hint="eastAsia"/>
                <w:color w:val="auto"/>
                <w:highlight w:val="none"/>
              </w:rPr>
              <w:t>t/a</w:t>
            </w:r>
          </w:p>
        </w:tc>
      </w:tr>
      <w:tr w14:paraId="61B2A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0D8EA08D">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36468349">
            <w:pPr>
              <w:pStyle w:val="17"/>
              <w:shd w:val="clear"/>
              <w:bidi w:val="0"/>
              <w:rPr>
                <w:color w:val="auto"/>
                <w:highlight w:val="none"/>
              </w:rPr>
            </w:pPr>
          </w:p>
        </w:tc>
        <w:tc>
          <w:tcPr>
            <w:tcW w:w="2113" w:type="pct"/>
            <w:gridSpan w:val="2"/>
            <w:tcBorders>
              <w:tl2br w:val="nil"/>
              <w:tr2bl w:val="nil"/>
            </w:tcBorders>
            <w:shd w:val="clear" w:color="auto" w:fill="auto"/>
            <w:vAlign w:val="center"/>
          </w:tcPr>
          <w:p w14:paraId="0D5FEAAE">
            <w:pPr>
              <w:pStyle w:val="17"/>
              <w:shd w:val="clear"/>
              <w:bidi w:val="0"/>
              <w:rPr>
                <w:color w:val="auto"/>
                <w:highlight w:val="none"/>
              </w:rPr>
            </w:pPr>
            <w:r>
              <w:rPr>
                <w:rFonts w:hint="eastAsia"/>
                <w:color w:val="auto"/>
                <w:highlight w:val="none"/>
              </w:rPr>
              <w:t>废布袋</w:t>
            </w:r>
          </w:p>
        </w:tc>
        <w:tc>
          <w:tcPr>
            <w:tcW w:w="945" w:type="pct"/>
            <w:tcBorders>
              <w:tl2br w:val="nil"/>
              <w:tr2bl w:val="nil"/>
            </w:tcBorders>
            <w:shd w:val="clear" w:color="auto" w:fill="auto"/>
            <w:vAlign w:val="center"/>
          </w:tcPr>
          <w:p w14:paraId="3A628690">
            <w:pPr>
              <w:pStyle w:val="17"/>
              <w:shd w:val="clear"/>
              <w:bidi w:val="0"/>
              <w:rPr>
                <w:color w:val="auto"/>
                <w:highlight w:val="none"/>
              </w:rPr>
            </w:pPr>
            <w:r>
              <w:rPr>
                <w:rFonts w:hint="eastAsia"/>
                <w:color w:val="auto"/>
                <w:highlight w:val="none"/>
              </w:rPr>
              <w:t>0.5t/a</w:t>
            </w:r>
          </w:p>
        </w:tc>
        <w:tc>
          <w:tcPr>
            <w:tcW w:w="1068" w:type="pct"/>
            <w:tcBorders>
              <w:tl2br w:val="nil"/>
              <w:tr2bl w:val="nil"/>
            </w:tcBorders>
            <w:shd w:val="clear" w:color="auto" w:fill="auto"/>
            <w:vAlign w:val="center"/>
          </w:tcPr>
          <w:p w14:paraId="7CA24CFF">
            <w:pPr>
              <w:pStyle w:val="17"/>
              <w:shd w:val="clear"/>
              <w:bidi w:val="0"/>
              <w:rPr>
                <w:color w:val="auto"/>
                <w:highlight w:val="none"/>
              </w:rPr>
            </w:pPr>
            <w:r>
              <w:rPr>
                <w:rFonts w:hint="eastAsia"/>
                <w:color w:val="auto"/>
                <w:highlight w:val="none"/>
                <w:lang w:val="en-US" w:eastAsia="zh-CN"/>
              </w:rPr>
              <w:t>0.5</w:t>
            </w:r>
            <w:r>
              <w:rPr>
                <w:rFonts w:hint="eastAsia"/>
                <w:color w:val="auto"/>
                <w:highlight w:val="none"/>
              </w:rPr>
              <w:t>t/a</w:t>
            </w:r>
          </w:p>
        </w:tc>
      </w:tr>
      <w:tr w14:paraId="6519D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BCA0FC4">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2BF30E2F">
            <w:pPr>
              <w:pStyle w:val="17"/>
              <w:shd w:val="clear"/>
              <w:bidi w:val="0"/>
              <w:rPr>
                <w:color w:val="auto"/>
                <w:highlight w:val="none"/>
              </w:rPr>
            </w:pPr>
          </w:p>
        </w:tc>
        <w:tc>
          <w:tcPr>
            <w:tcW w:w="2113" w:type="pct"/>
            <w:gridSpan w:val="2"/>
            <w:tcBorders>
              <w:tl2br w:val="nil"/>
              <w:tr2bl w:val="nil"/>
            </w:tcBorders>
            <w:shd w:val="clear" w:color="auto" w:fill="auto"/>
            <w:vAlign w:val="center"/>
          </w:tcPr>
          <w:p w14:paraId="4703D415">
            <w:pPr>
              <w:pStyle w:val="17"/>
              <w:shd w:val="clear"/>
              <w:bidi w:val="0"/>
              <w:rPr>
                <w:rFonts w:hint="eastAsia" w:eastAsia="宋体"/>
                <w:color w:val="auto"/>
                <w:highlight w:val="none"/>
                <w:lang w:eastAsia="zh-CN"/>
              </w:rPr>
            </w:pPr>
            <w:r>
              <w:rPr>
                <w:rFonts w:hint="eastAsia"/>
                <w:color w:val="auto"/>
                <w:highlight w:val="none"/>
              </w:rPr>
              <w:t>化验</w:t>
            </w:r>
            <w:r>
              <w:rPr>
                <w:rFonts w:hint="eastAsia"/>
                <w:color w:val="auto"/>
                <w:highlight w:val="none"/>
                <w:lang w:val="en-US" w:eastAsia="zh-CN"/>
              </w:rPr>
              <w:t>废物</w:t>
            </w:r>
          </w:p>
        </w:tc>
        <w:tc>
          <w:tcPr>
            <w:tcW w:w="945" w:type="pct"/>
            <w:tcBorders>
              <w:tl2br w:val="nil"/>
              <w:tr2bl w:val="nil"/>
            </w:tcBorders>
            <w:shd w:val="clear" w:color="auto" w:fill="auto"/>
            <w:vAlign w:val="center"/>
          </w:tcPr>
          <w:p w14:paraId="64A24810">
            <w:pPr>
              <w:pStyle w:val="17"/>
              <w:shd w:val="clear"/>
              <w:bidi w:val="0"/>
              <w:rPr>
                <w:rFonts w:hint="eastAsia"/>
                <w:color w:val="auto"/>
                <w:highlight w:val="none"/>
              </w:rPr>
            </w:pPr>
            <w:r>
              <w:rPr>
                <w:rFonts w:hint="eastAsia"/>
                <w:color w:val="auto"/>
                <w:highlight w:val="none"/>
                <w:lang w:val="en-US" w:eastAsia="zh-CN"/>
              </w:rPr>
              <w:t>4.15</w:t>
            </w:r>
            <w:r>
              <w:rPr>
                <w:rFonts w:hint="eastAsia"/>
                <w:color w:val="auto"/>
                <w:highlight w:val="none"/>
              </w:rPr>
              <w:t>t/a</w:t>
            </w:r>
          </w:p>
        </w:tc>
        <w:tc>
          <w:tcPr>
            <w:tcW w:w="1068" w:type="pct"/>
            <w:tcBorders>
              <w:tl2br w:val="nil"/>
              <w:tr2bl w:val="nil"/>
            </w:tcBorders>
            <w:shd w:val="clear" w:color="auto" w:fill="auto"/>
            <w:vAlign w:val="center"/>
          </w:tcPr>
          <w:p w14:paraId="007520F2">
            <w:pPr>
              <w:pStyle w:val="17"/>
              <w:shd w:val="clear"/>
              <w:bidi w:val="0"/>
              <w:rPr>
                <w:rFonts w:hint="eastAsia"/>
                <w:color w:val="auto"/>
                <w:highlight w:val="none"/>
                <w:lang w:val="en-US" w:eastAsia="zh-CN"/>
              </w:rPr>
            </w:pPr>
            <w:r>
              <w:rPr>
                <w:rFonts w:hint="eastAsia"/>
                <w:color w:val="auto"/>
                <w:highlight w:val="none"/>
                <w:lang w:val="en-US" w:eastAsia="zh-CN"/>
              </w:rPr>
              <w:t>4.15</w:t>
            </w:r>
            <w:r>
              <w:rPr>
                <w:rFonts w:hint="eastAsia"/>
                <w:color w:val="auto"/>
                <w:highlight w:val="none"/>
              </w:rPr>
              <w:t>t/a</w:t>
            </w:r>
          </w:p>
        </w:tc>
      </w:tr>
      <w:tr w14:paraId="2C9E5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50BCA23D">
            <w:pPr>
              <w:pStyle w:val="17"/>
              <w:shd w:val="clear"/>
              <w:bidi w:val="0"/>
              <w:rPr>
                <w:color w:val="auto"/>
                <w:highlight w:val="none"/>
              </w:rPr>
            </w:pPr>
          </w:p>
        </w:tc>
        <w:tc>
          <w:tcPr>
            <w:tcW w:w="552" w:type="pct"/>
            <w:vMerge w:val="continue"/>
            <w:tcBorders>
              <w:tl2br w:val="nil"/>
              <w:tr2bl w:val="nil"/>
            </w:tcBorders>
            <w:shd w:val="clear" w:color="auto" w:fill="auto"/>
            <w:vAlign w:val="center"/>
          </w:tcPr>
          <w:p w14:paraId="62D1F8D2">
            <w:pPr>
              <w:pStyle w:val="17"/>
              <w:shd w:val="clear"/>
              <w:bidi w:val="0"/>
              <w:rPr>
                <w:color w:val="auto"/>
                <w:highlight w:val="none"/>
              </w:rPr>
            </w:pPr>
          </w:p>
        </w:tc>
        <w:tc>
          <w:tcPr>
            <w:tcW w:w="2113" w:type="pct"/>
            <w:gridSpan w:val="2"/>
            <w:tcBorders>
              <w:tl2br w:val="nil"/>
              <w:tr2bl w:val="nil"/>
            </w:tcBorders>
            <w:shd w:val="clear" w:color="auto" w:fill="auto"/>
            <w:vAlign w:val="center"/>
          </w:tcPr>
          <w:p w14:paraId="647668A6">
            <w:pPr>
              <w:pStyle w:val="17"/>
              <w:shd w:val="clear"/>
              <w:bidi w:val="0"/>
              <w:rPr>
                <w:rFonts w:hint="eastAsia"/>
                <w:color w:val="auto"/>
                <w:highlight w:val="none"/>
              </w:rPr>
            </w:pPr>
            <w:r>
              <w:rPr>
                <w:rFonts w:hint="eastAsia"/>
                <w:color w:val="auto"/>
                <w:highlight w:val="none"/>
                <w:lang w:eastAsia="zh-CN"/>
              </w:rPr>
              <w:t>原辅料废包装物</w:t>
            </w:r>
          </w:p>
        </w:tc>
        <w:tc>
          <w:tcPr>
            <w:tcW w:w="945" w:type="pct"/>
            <w:tcBorders>
              <w:tl2br w:val="nil"/>
              <w:tr2bl w:val="nil"/>
            </w:tcBorders>
            <w:shd w:val="clear" w:color="auto" w:fill="auto"/>
            <w:vAlign w:val="center"/>
          </w:tcPr>
          <w:p w14:paraId="3E9B5088">
            <w:pPr>
              <w:pStyle w:val="17"/>
              <w:shd w:val="clear"/>
              <w:bidi w:val="0"/>
              <w:rPr>
                <w:color w:val="auto"/>
                <w:highlight w:val="none"/>
              </w:rPr>
            </w:pPr>
            <w:r>
              <w:rPr>
                <w:rFonts w:hint="eastAsia"/>
                <w:color w:val="auto"/>
                <w:highlight w:val="none"/>
                <w:lang w:val="en-US" w:eastAsia="zh-CN"/>
              </w:rPr>
              <w:t>202.32</w:t>
            </w:r>
            <w:r>
              <w:rPr>
                <w:rFonts w:hint="eastAsia"/>
                <w:color w:val="auto"/>
                <w:highlight w:val="none"/>
              </w:rPr>
              <w:t>t/a</w:t>
            </w:r>
          </w:p>
        </w:tc>
        <w:tc>
          <w:tcPr>
            <w:tcW w:w="1068" w:type="pct"/>
            <w:tcBorders>
              <w:tl2br w:val="nil"/>
              <w:tr2bl w:val="nil"/>
            </w:tcBorders>
            <w:shd w:val="clear" w:color="auto" w:fill="auto"/>
            <w:vAlign w:val="center"/>
          </w:tcPr>
          <w:p w14:paraId="7043012C">
            <w:pPr>
              <w:pStyle w:val="17"/>
              <w:shd w:val="clear"/>
              <w:bidi w:val="0"/>
              <w:rPr>
                <w:rFonts w:hint="default"/>
                <w:color w:val="auto"/>
                <w:highlight w:val="none"/>
                <w:lang w:val="en-US" w:eastAsia="zh-CN"/>
              </w:rPr>
            </w:pPr>
            <w:r>
              <w:rPr>
                <w:rFonts w:hint="eastAsia"/>
                <w:color w:val="auto"/>
                <w:highlight w:val="none"/>
                <w:lang w:val="en-US" w:eastAsia="zh-CN"/>
              </w:rPr>
              <w:t>0t/a</w:t>
            </w:r>
          </w:p>
        </w:tc>
      </w:tr>
      <w:tr w14:paraId="04420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38C4E343">
            <w:pPr>
              <w:pStyle w:val="17"/>
              <w:bidi w:val="0"/>
              <w:rPr>
                <w:color w:val="auto"/>
                <w:highlight w:val="none"/>
              </w:rPr>
            </w:pPr>
          </w:p>
        </w:tc>
        <w:tc>
          <w:tcPr>
            <w:tcW w:w="552" w:type="pct"/>
            <w:vMerge w:val="restart"/>
            <w:tcBorders>
              <w:tl2br w:val="nil"/>
              <w:tr2bl w:val="nil"/>
            </w:tcBorders>
            <w:shd w:val="clear" w:color="auto" w:fill="auto"/>
            <w:vAlign w:val="center"/>
          </w:tcPr>
          <w:p w14:paraId="3D3B1805">
            <w:pPr>
              <w:pStyle w:val="17"/>
              <w:bidi w:val="0"/>
              <w:rPr>
                <w:color w:val="auto"/>
                <w:highlight w:val="none"/>
              </w:rPr>
            </w:pPr>
            <w:r>
              <w:rPr>
                <w:rFonts w:hint="eastAsia"/>
                <w:color w:val="auto"/>
                <w:highlight w:val="none"/>
              </w:rPr>
              <w:t>危险废物</w:t>
            </w:r>
          </w:p>
        </w:tc>
        <w:tc>
          <w:tcPr>
            <w:tcW w:w="2113" w:type="pct"/>
            <w:gridSpan w:val="2"/>
            <w:tcBorders>
              <w:tl2br w:val="nil"/>
              <w:tr2bl w:val="nil"/>
            </w:tcBorders>
            <w:shd w:val="clear" w:color="auto" w:fill="auto"/>
            <w:vAlign w:val="center"/>
          </w:tcPr>
          <w:p w14:paraId="178C1519">
            <w:pPr>
              <w:pStyle w:val="17"/>
              <w:bidi w:val="0"/>
              <w:rPr>
                <w:color w:val="auto"/>
                <w:highlight w:val="none"/>
              </w:rPr>
            </w:pPr>
            <w:r>
              <w:rPr>
                <w:rFonts w:hint="eastAsia"/>
                <w:color w:val="auto"/>
                <w:highlight w:val="none"/>
              </w:rPr>
              <w:t>废机油及废油桶</w:t>
            </w:r>
          </w:p>
        </w:tc>
        <w:tc>
          <w:tcPr>
            <w:tcW w:w="945" w:type="pct"/>
            <w:tcBorders>
              <w:tl2br w:val="nil"/>
              <w:tr2bl w:val="nil"/>
            </w:tcBorders>
            <w:shd w:val="clear" w:color="auto" w:fill="auto"/>
            <w:vAlign w:val="center"/>
          </w:tcPr>
          <w:p w14:paraId="4A75329B">
            <w:pPr>
              <w:pStyle w:val="17"/>
              <w:bidi w:val="0"/>
              <w:rPr>
                <w:color w:val="auto"/>
                <w:highlight w:val="none"/>
              </w:rPr>
            </w:pPr>
            <w:r>
              <w:rPr>
                <w:rFonts w:hint="eastAsia"/>
                <w:color w:val="auto"/>
                <w:highlight w:val="none"/>
                <w:lang w:val="en-US" w:eastAsia="zh-CN"/>
              </w:rPr>
              <w:t>4.4</w:t>
            </w:r>
            <w:r>
              <w:rPr>
                <w:rFonts w:hint="eastAsia"/>
                <w:color w:val="auto"/>
                <w:highlight w:val="none"/>
              </w:rPr>
              <w:t>t/a</w:t>
            </w:r>
          </w:p>
        </w:tc>
        <w:tc>
          <w:tcPr>
            <w:tcW w:w="1068" w:type="pct"/>
            <w:tcBorders>
              <w:tl2br w:val="nil"/>
              <w:tr2bl w:val="nil"/>
            </w:tcBorders>
            <w:shd w:val="clear" w:color="auto" w:fill="auto"/>
            <w:vAlign w:val="center"/>
          </w:tcPr>
          <w:p w14:paraId="2BA046E3">
            <w:pPr>
              <w:pStyle w:val="17"/>
              <w:bidi w:val="0"/>
              <w:rPr>
                <w:color w:val="auto"/>
                <w:highlight w:val="none"/>
              </w:rPr>
            </w:pPr>
            <w:r>
              <w:rPr>
                <w:rFonts w:hint="eastAsia"/>
                <w:color w:val="auto"/>
                <w:highlight w:val="none"/>
                <w:lang w:val="en-US" w:eastAsia="zh-CN"/>
              </w:rPr>
              <w:t>4.4</w:t>
            </w:r>
            <w:r>
              <w:rPr>
                <w:rFonts w:hint="eastAsia"/>
                <w:color w:val="auto"/>
                <w:highlight w:val="none"/>
              </w:rPr>
              <w:t>t/a</w:t>
            </w:r>
          </w:p>
        </w:tc>
      </w:tr>
      <w:tr w14:paraId="714EA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320" w:type="pct"/>
            <w:vMerge w:val="continue"/>
            <w:tcBorders>
              <w:tl2br w:val="nil"/>
              <w:tr2bl w:val="nil"/>
            </w:tcBorders>
            <w:shd w:val="clear" w:color="auto" w:fill="auto"/>
            <w:vAlign w:val="center"/>
          </w:tcPr>
          <w:p w14:paraId="124FC309">
            <w:pPr>
              <w:pStyle w:val="17"/>
              <w:bidi w:val="0"/>
              <w:rPr>
                <w:color w:val="auto"/>
                <w:highlight w:val="none"/>
              </w:rPr>
            </w:pPr>
          </w:p>
        </w:tc>
        <w:tc>
          <w:tcPr>
            <w:tcW w:w="552" w:type="pct"/>
            <w:vMerge w:val="continue"/>
            <w:tcBorders>
              <w:tl2br w:val="nil"/>
              <w:tr2bl w:val="nil"/>
            </w:tcBorders>
            <w:shd w:val="clear" w:color="auto" w:fill="auto"/>
            <w:vAlign w:val="center"/>
          </w:tcPr>
          <w:p w14:paraId="611BBDB2">
            <w:pPr>
              <w:pStyle w:val="17"/>
              <w:bidi w:val="0"/>
              <w:rPr>
                <w:rFonts w:hint="eastAsia"/>
                <w:color w:val="auto"/>
                <w:highlight w:val="none"/>
              </w:rPr>
            </w:pPr>
          </w:p>
        </w:tc>
        <w:tc>
          <w:tcPr>
            <w:tcW w:w="2113" w:type="pct"/>
            <w:gridSpan w:val="2"/>
            <w:tcBorders>
              <w:tl2br w:val="nil"/>
              <w:tr2bl w:val="nil"/>
            </w:tcBorders>
            <w:shd w:val="clear" w:color="auto" w:fill="auto"/>
            <w:vAlign w:val="center"/>
          </w:tcPr>
          <w:p w14:paraId="495602E1">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化验</w:t>
            </w:r>
            <w:r>
              <w:rPr>
                <w:rFonts w:hint="eastAsia"/>
                <w:color w:val="auto"/>
                <w:highlight w:val="none"/>
                <w:lang w:val="en-US" w:eastAsia="zh-CN"/>
              </w:rPr>
              <w:t>废物</w:t>
            </w:r>
          </w:p>
        </w:tc>
        <w:tc>
          <w:tcPr>
            <w:tcW w:w="945" w:type="pct"/>
            <w:tcBorders>
              <w:tl2br w:val="nil"/>
              <w:tr2bl w:val="nil"/>
            </w:tcBorders>
            <w:shd w:val="clear" w:color="auto" w:fill="auto"/>
            <w:vAlign w:val="center"/>
          </w:tcPr>
          <w:p w14:paraId="449374B7">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4.15</w:t>
            </w:r>
            <w:r>
              <w:rPr>
                <w:rFonts w:hint="eastAsia"/>
                <w:color w:val="auto"/>
                <w:highlight w:val="none"/>
              </w:rPr>
              <w:t>t/a</w:t>
            </w:r>
          </w:p>
        </w:tc>
        <w:tc>
          <w:tcPr>
            <w:tcW w:w="1068" w:type="pct"/>
            <w:tcBorders>
              <w:tl2br w:val="nil"/>
              <w:tr2bl w:val="nil"/>
            </w:tcBorders>
            <w:shd w:val="clear" w:color="auto" w:fill="auto"/>
            <w:vAlign w:val="center"/>
          </w:tcPr>
          <w:p w14:paraId="7E162967">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4.15</w:t>
            </w:r>
            <w:r>
              <w:rPr>
                <w:rFonts w:hint="eastAsia"/>
                <w:color w:val="auto"/>
                <w:highlight w:val="none"/>
              </w:rPr>
              <w:t>t/a</w:t>
            </w:r>
          </w:p>
        </w:tc>
      </w:tr>
    </w:tbl>
    <w:p w14:paraId="2EB9A4B3">
      <w:pPr>
        <w:pStyle w:val="5"/>
        <w:rPr>
          <w:color w:val="auto"/>
          <w:highlight w:val="none"/>
        </w:rPr>
      </w:pPr>
      <w:bookmarkStart w:id="454" w:name="_Toc29565"/>
      <w:r>
        <w:rPr>
          <w:color w:val="auto"/>
          <w:highlight w:val="none"/>
        </w:rPr>
        <w:t>3.</w:t>
      </w:r>
      <w:r>
        <w:rPr>
          <w:rFonts w:hint="eastAsia"/>
          <w:color w:val="auto"/>
          <w:highlight w:val="none"/>
          <w:lang w:val="en-US" w:eastAsia="zh-CN"/>
        </w:rPr>
        <w:t>4</w:t>
      </w:r>
      <w:r>
        <w:rPr>
          <w:color w:val="auto"/>
          <w:highlight w:val="none"/>
        </w:rPr>
        <w:t>清洁生产分析</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1740F01A">
      <w:pPr>
        <w:overflowPunct w:val="0"/>
        <w:topLinePunct/>
        <w:spacing w:after="0"/>
        <w:ind w:left="0" w:leftChars="0" w:firstLine="480"/>
        <w:rPr>
          <w:color w:val="auto"/>
          <w:sz w:val="24"/>
          <w:highlight w:val="none"/>
        </w:rPr>
      </w:pPr>
      <w:r>
        <w:rPr>
          <w:rFonts w:hint="eastAsia"/>
          <w:color w:val="auto"/>
          <w:sz w:val="24"/>
          <w:highlight w:val="none"/>
        </w:rPr>
        <w:t>清洁生产是指不断采取改进设计、使用清洁的能源和原料、采用先进的工艺技术与合理的综合利用等措施，从源头削减污染，提高资源利用率，减少或者避免生产、服务和产品使用过程中污染物的产生和排放，以减轻或者消除对人类健康和环境的危害。《中华人民共和国清洁生产促进法》第十八条要求“新建、改建和</w:t>
      </w:r>
      <w:r>
        <w:rPr>
          <w:rFonts w:hint="eastAsia"/>
          <w:color w:val="auto"/>
          <w:sz w:val="24"/>
          <w:highlight w:val="none"/>
          <w:lang w:eastAsia="zh-CN"/>
        </w:rPr>
        <w:t>新建</w:t>
      </w:r>
      <w:r>
        <w:rPr>
          <w:rFonts w:hint="eastAsia"/>
          <w:color w:val="auto"/>
          <w:sz w:val="24"/>
          <w:highlight w:val="none"/>
        </w:rPr>
        <w:t>项目应当进行环境影响评价，对原料使用、资源消耗、资源综合利用以及处置等进行分析论证。优先采用资源利用率高，污染物产生量少的清洁生产技术、工艺和设备”。</w:t>
      </w:r>
    </w:p>
    <w:p w14:paraId="6088DA15">
      <w:pPr>
        <w:pStyle w:val="6"/>
        <w:rPr>
          <w:color w:val="auto"/>
          <w:highlight w:val="none"/>
        </w:rPr>
      </w:pPr>
      <w:r>
        <w:rPr>
          <w:color w:val="auto"/>
          <w:highlight w:val="none"/>
        </w:rPr>
        <w:t>3.</w:t>
      </w:r>
      <w:r>
        <w:rPr>
          <w:rFonts w:hint="eastAsia"/>
          <w:color w:val="auto"/>
          <w:highlight w:val="none"/>
          <w:lang w:val="en-US" w:eastAsia="zh-CN"/>
        </w:rPr>
        <w:t>4</w:t>
      </w:r>
      <w:r>
        <w:rPr>
          <w:color w:val="auto"/>
          <w:highlight w:val="none"/>
        </w:rPr>
        <w:t>.1</w:t>
      </w:r>
      <w:r>
        <w:rPr>
          <w:rFonts w:hint="default"/>
          <w:color w:val="auto"/>
          <w:highlight w:val="none"/>
          <w:lang w:val="de-DE" w:eastAsia="zh-CN"/>
        </w:rPr>
        <w:t>项目清洁生产</w:t>
      </w:r>
      <w:r>
        <w:rPr>
          <w:rFonts w:hint="eastAsia"/>
          <w:color w:val="auto"/>
          <w:highlight w:val="none"/>
          <w:lang w:val="de-DE" w:eastAsia="zh-CN"/>
        </w:rPr>
        <w:t>水平</w:t>
      </w:r>
      <w:r>
        <w:rPr>
          <w:rFonts w:hint="default"/>
          <w:color w:val="auto"/>
          <w:highlight w:val="none"/>
          <w:lang w:val="de-DE" w:eastAsia="zh-CN"/>
        </w:rPr>
        <w:t>分析</w:t>
      </w:r>
    </w:p>
    <w:p w14:paraId="10BF7540">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eastAsia" w:hAnsi="Times New Roman" w:cs="Times New Roman"/>
          <w:snapToGrid/>
          <w:color w:val="auto"/>
          <w:kern w:val="2"/>
          <w:sz w:val="24"/>
          <w:szCs w:val="24"/>
          <w:highlight w:val="none"/>
          <w:lang w:val="en-US" w:eastAsia="zh-CN" w:bidi="ar-SA"/>
        </w:rPr>
        <w:t>本工程</w:t>
      </w:r>
      <w:r>
        <w:rPr>
          <w:rFonts w:hint="default" w:ascii="Times New Roman" w:hAnsi="Times New Roman" w:eastAsia="宋体" w:cs="Times New Roman"/>
          <w:snapToGrid/>
          <w:color w:val="auto"/>
          <w:kern w:val="2"/>
          <w:sz w:val="24"/>
          <w:szCs w:val="24"/>
          <w:highlight w:val="none"/>
          <w:lang w:val="en-US" w:eastAsia="zh-CN" w:bidi="ar-SA"/>
        </w:rPr>
        <w:t>属于</w:t>
      </w:r>
      <w:r>
        <w:rPr>
          <w:rFonts w:hint="eastAsia" w:hAnsi="Times New Roman" w:cs="Times New Roman"/>
          <w:snapToGrid/>
          <w:color w:val="auto"/>
          <w:kern w:val="2"/>
          <w:sz w:val="24"/>
          <w:szCs w:val="24"/>
          <w:highlight w:val="none"/>
          <w:lang w:val="en-US" w:eastAsia="zh-CN" w:bidi="ar-SA"/>
        </w:rPr>
        <w:t>新</w:t>
      </w:r>
      <w:r>
        <w:rPr>
          <w:rFonts w:hint="default" w:ascii="Times New Roman" w:hAnsi="Times New Roman" w:eastAsia="宋体" w:cs="Times New Roman"/>
          <w:snapToGrid/>
          <w:color w:val="auto"/>
          <w:kern w:val="2"/>
          <w:sz w:val="24"/>
          <w:szCs w:val="24"/>
          <w:highlight w:val="none"/>
          <w:lang w:val="en-US" w:eastAsia="zh-CN" w:bidi="ar-SA"/>
        </w:rPr>
        <w:t>建项目，</w:t>
      </w:r>
      <w:r>
        <w:rPr>
          <w:rFonts w:hint="eastAsia" w:eastAsia="宋体" w:cs="Times New Roman"/>
          <w:snapToGrid/>
          <w:color w:val="auto"/>
          <w:kern w:val="2"/>
          <w:sz w:val="24"/>
          <w:szCs w:val="24"/>
          <w:highlight w:val="none"/>
          <w:lang w:val="en-US" w:eastAsia="zh-CN" w:bidi="ar-SA"/>
        </w:rPr>
        <w:t>属于非金属矿选矿项目</w:t>
      </w:r>
      <w:r>
        <w:rPr>
          <w:rFonts w:hint="default" w:ascii="Times New Roman" w:hAnsi="Times New Roman" w:eastAsia="宋体" w:cs="Times New Roman"/>
          <w:snapToGrid/>
          <w:color w:val="auto"/>
          <w:kern w:val="2"/>
          <w:sz w:val="24"/>
          <w:szCs w:val="24"/>
          <w:highlight w:val="none"/>
          <w:lang w:val="en-US" w:eastAsia="zh-CN" w:bidi="ar-SA"/>
        </w:rPr>
        <w:t>。</w:t>
      </w:r>
      <w:r>
        <w:rPr>
          <w:rFonts w:hint="eastAsia" w:eastAsia="宋体" w:cs="Times New Roman"/>
          <w:snapToGrid/>
          <w:color w:val="auto"/>
          <w:kern w:val="2"/>
          <w:sz w:val="24"/>
          <w:szCs w:val="24"/>
          <w:highlight w:val="none"/>
          <w:lang w:val="en-US" w:eastAsia="zh-CN" w:bidi="ar-SA"/>
        </w:rPr>
        <w:t>结合清洁生产相关指标和</w:t>
      </w:r>
      <w:r>
        <w:rPr>
          <w:rFonts w:hint="default" w:ascii="Times New Roman" w:hAnsi="Times New Roman" w:eastAsia="宋体" w:cs="Times New Roman"/>
          <w:snapToGrid/>
          <w:color w:val="auto"/>
          <w:kern w:val="2"/>
          <w:sz w:val="24"/>
          <w:szCs w:val="24"/>
          <w:highlight w:val="none"/>
          <w:lang w:val="en-US" w:eastAsia="zh-CN" w:bidi="ar-SA"/>
        </w:rPr>
        <w:t>《萤石行业规范条件（征求意见稿）》</w:t>
      </w:r>
      <w:r>
        <w:rPr>
          <w:rFonts w:hint="eastAsia" w:eastAsia="宋体" w:cs="Times New Roman"/>
          <w:snapToGrid/>
          <w:color w:val="auto"/>
          <w:kern w:val="2"/>
          <w:sz w:val="24"/>
          <w:szCs w:val="24"/>
          <w:highlight w:val="none"/>
          <w:lang w:val="en-US" w:eastAsia="zh-CN" w:bidi="ar-SA"/>
        </w:rPr>
        <w:t>，分析如下：</w:t>
      </w:r>
    </w:p>
    <w:p w14:paraId="1AF9CED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（1）生产工艺及装备指标</w:t>
      </w:r>
    </w:p>
    <w:p w14:paraId="7E7961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eastAsia="zh-CN"/>
        </w:rPr>
        <w:t>本项目选矿工艺采取两次粗选+粗尾脱泥+两次扫选+八次精选+一次精扫+粗精矿再磨+精尾脱泥</w:t>
      </w:r>
      <w:r>
        <w:rPr>
          <w:rFonts w:hint="eastAsia" w:ascii="Times New Roman" w:hAnsi="Times New Roman" w:cs="Times New Roman"/>
          <w:color w:val="auto"/>
          <w:sz w:val="24"/>
          <w:szCs w:val="24"/>
          <w:highlight w:val="none"/>
          <w:lang w:eastAsia="zh-CN"/>
        </w:rPr>
        <w:t>的浮选工艺</w:t>
      </w:r>
      <w:r>
        <w:rPr>
          <w:rFonts w:hint="eastAsia" w:cs="Times New Roman"/>
          <w:color w:val="auto"/>
          <w:sz w:val="24"/>
          <w:szCs w:val="24"/>
          <w:highlight w:val="none"/>
          <w:lang w:eastAsia="zh-CN"/>
        </w:rPr>
        <w:t>，可满足</w:t>
      </w:r>
      <w:r>
        <w:rPr>
          <w:rFonts w:hint="eastAsia"/>
          <w:color w:val="auto"/>
          <w:szCs w:val="28"/>
          <w:highlight w:val="none"/>
          <w:lang w:val="en-US" w:eastAsia="zh-CN"/>
        </w:rPr>
        <w:t>97%的</w:t>
      </w:r>
      <w:r>
        <w:rPr>
          <w:rFonts w:hint="eastAsia"/>
          <w:color w:val="auto"/>
          <w:szCs w:val="28"/>
          <w:highlight w:val="none"/>
        </w:rPr>
        <w:t>CaF</w:t>
      </w:r>
      <w:r>
        <w:rPr>
          <w:rFonts w:hint="eastAsia"/>
          <w:color w:val="auto"/>
          <w:szCs w:val="28"/>
          <w:highlight w:val="none"/>
          <w:vertAlign w:val="subscript"/>
        </w:rPr>
        <w:t>2</w:t>
      </w:r>
      <w:r>
        <w:rPr>
          <w:rFonts w:hint="eastAsia"/>
          <w:color w:val="auto"/>
          <w:szCs w:val="28"/>
          <w:highlight w:val="none"/>
        </w:rPr>
        <w:t>品位</w:t>
      </w:r>
      <w:r>
        <w:rPr>
          <w:rFonts w:hint="eastAsia"/>
          <w:color w:val="auto"/>
          <w:szCs w:val="28"/>
          <w:highlight w:val="none"/>
          <w:lang w:val="en-US" w:eastAsia="zh-CN"/>
        </w:rPr>
        <w:t>、</w:t>
      </w:r>
      <w:r>
        <w:rPr>
          <w:rFonts w:hint="eastAsia" w:cs="Times New Roman"/>
          <w:color w:val="auto"/>
          <w:sz w:val="24"/>
          <w:szCs w:val="24"/>
          <w:highlight w:val="none"/>
          <w:lang w:eastAsia="zh-CN"/>
        </w:rPr>
        <w:t>回收率</w:t>
      </w:r>
      <w:r>
        <w:rPr>
          <w:rFonts w:hint="eastAsia" w:cs="Times New Roman"/>
          <w:color w:val="auto"/>
          <w:sz w:val="24"/>
          <w:szCs w:val="24"/>
          <w:highlight w:val="none"/>
          <w:lang w:val="en-US" w:eastAsia="zh-CN"/>
        </w:rPr>
        <w:t>80%的设定要求</w:t>
      </w:r>
      <w:r>
        <w:rPr>
          <w:rFonts w:hint="eastAsia"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t>本</w:t>
      </w:r>
      <w:r>
        <w:rPr>
          <w:rFonts w:hint="eastAsia" w:cs="Times New Roman"/>
          <w:color w:val="auto"/>
          <w:sz w:val="24"/>
          <w:szCs w:val="24"/>
          <w:highlight w:val="none"/>
          <w:lang w:eastAsia="zh-CN"/>
        </w:rPr>
        <w:t>项目选矿厂</w:t>
      </w:r>
      <w:r>
        <w:rPr>
          <w:rFonts w:hint="default" w:ascii="Times New Roman" w:hAnsi="Times New Roman" w:cs="Times New Roman"/>
          <w:color w:val="auto"/>
          <w:sz w:val="24"/>
          <w:szCs w:val="24"/>
          <w:highlight w:val="none"/>
        </w:rPr>
        <w:t>主要生产设备大部分为国产定型设备，</w:t>
      </w:r>
      <w:r>
        <w:rPr>
          <w:rFonts w:hint="eastAsia" w:cs="Times New Roman"/>
          <w:color w:val="auto"/>
          <w:sz w:val="24"/>
          <w:szCs w:val="24"/>
          <w:highlight w:val="none"/>
          <w:lang w:eastAsia="zh-CN"/>
        </w:rPr>
        <w:t>以</w:t>
      </w:r>
      <w:r>
        <w:rPr>
          <w:rFonts w:hint="default" w:ascii="Times New Roman" w:hAnsi="Times New Roman" w:cs="Times New Roman"/>
          <w:color w:val="auto"/>
          <w:sz w:val="24"/>
          <w:szCs w:val="24"/>
          <w:highlight w:val="none"/>
        </w:rPr>
        <w:t>及</w:t>
      </w:r>
      <w:r>
        <w:rPr>
          <w:rFonts w:hint="eastAsia" w:cs="Times New Roman"/>
          <w:color w:val="auto"/>
          <w:sz w:val="24"/>
          <w:szCs w:val="24"/>
          <w:highlight w:val="none"/>
          <w:lang w:eastAsia="zh-CN"/>
        </w:rPr>
        <w:t>选矿厂选矿</w:t>
      </w:r>
      <w:r>
        <w:rPr>
          <w:rFonts w:hint="default" w:ascii="Times New Roman" w:hAnsi="Times New Roman" w:cs="Times New Roman"/>
          <w:color w:val="auto"/>
          <w:sz w:val="24"/>
          <w:szCs w:val="24"/>
          <w:highlight w:val="none"/>
        </w:rPr>
        <w:t>通用设备，主要生产设备无国家明令淘汰的项目。</w:t>
      </w:r>
      <w:r>
        <w:rPr>
          <w:rFonts w:hint="eastAsia" w:cs="Times New Roman"/>
          <w:color w:val="auto"/>
          <w:sz w:val="24"/>
          <w:szCs w:val="24"/>
          <w:highlight w:val="none"/>
          <w:lang w:eastAsia="zh-CN"/>
        </w:rPr>
        <w:t>选矿厂</w:t>
      </w:r>
      <w:r>
        <w:rPr>
          <w:rFonts w:hint="default" w:ascii="Times New Roman" w:hAnsi="Times New Roman" w:cs="Times New Roman"/>
          <w:color w:val="auto"/>
          <w:sz w:val="24"/>
          <w:szCs w:val="24"/>
          <w:highlight w:val="none"/>
        </w:rPr>
        <w:t>装备水平</w:t>
      </w:r>
      <w:r>
        <w:rPr>
          <w:rFonts w:hint="default" w:ascii="Times New Roman" w:hAnsi="Times New Roman" w:cs="Times New Roman"/>
          <w:color w:val="auto"/>
          <w:sz w:val="24"/>
          <w:szCs w:val="24"/>
          <w:highlight w:val="none"/>
          <w:lang w:eastAsia="zh-CN"/>
        </w:rPr>
        <w:t>为国内同行业水平</w:t>
      </w:r>
      <w:r>
        <w:rPr>
          <w:rFonts w:hint="default" w:ascii="Times New Roman" w:hAnsi="Times New Roman" w:cs="Times New Roman"/>
          <w:color w:val="auto"/>
          <w:sz w:val="24"/>
          <w:szCs w:val="24"/>
          <w:highlight w:val="none"/>
        </w:rPr>
        <w:t>，均达到国内清洁生产</w:t>
      </w:r>
      <w:r>
        <w:rPr>
          <w:rFonts w:hint="default" w:ascii="Times New Roman" w:hAnsi="Times New Roman" w:cs="Times New Roman"/>
          <w:color w:val="auto"/>
          <w:sz w:val="24"/>
          <w:szCs w:val="24"/>
          <w:highlight w:val="none"/>
          <w:lang w:eastAsia="zh-CN"/>
        </w:rPr>
        <w:t>先进</w:t>
      </w:r>
      <w:r>
        <w:rPr>
          <w:rFonts w:hint="default" w:ascii="Times New Roman" w:hAnsi="Times New Roman" w:cs="Times New Roman"/>
          <w:color w:val="auto"/>
          <w:sz w:val="24"/>
          <w:szCs w:val="24"/>
          <w:highlight w:val="none"/>
        </w:rPr>
        <w:t>水平</w:t>
      </w:r>
      <w:r>
        <w:rPr>
          <w:rFonts w:hint="eastAsia" w:cs="Times New Roman"/>
          <w:color w:val="auto"/>
          <w:sz w:val="24"/>
          <w:szCs w:val="24"/>
          <w:highlight w:val="none"/>
          <w:lang w:eastAsia="zh-CN"/>
        </w:rPr>
        <w:t>，</w:t>
      </w:r>
      <w:r>
        <w:rPr>
          <w:rFonts w:hint="eastAsia" w:ascii="Arial" w:hAnsi="Arial" w:eastAsia="Arial" w:cs="Arial"/>
          <w:i w:val="0"/>
          <w:iCs w:val="0"/>
          <w:caps w:val="0"/>
          <w:color w:val="auto"/>
          <w:spacing w:val="0"/>
          <w:sz w:val="24"/>
          <w:szCs w:val="24"/>
          <w:highlight w:val="none"/>
          <w:shd w:val="clear" w:fill="FFFFFF"/>
        </w:rPr>
        <w:t>实现选矿工艺机械化、自动化、智能化</w:t>
      </w:r>
      <w:r>
        <w:rPr>
          <w:rFonts w:hint="eastAsia" w:ascii="Arial" w:hAnsi="Arial" w:eastAsia="宋体" w:cs="Arial"/>
          <w:i w:val="0"/>
          <w:iCs w:val="0"/>
          <w:caps w:val="0"/>
          <w:color w:val="auto"/>
          <w:spacing w:val="0"/>
          <w:sz w:val="24"/>
          <w:szCs w:val="24"/>
          <w:highlight w:val="none"/>
          <w:shd w:val="clear" w:fill="FFFFFF"/>
          <w:lang w:eastAsia="zh-CN"/>
        </w:rPr>
        <w:t>，并</w:t>
      </w:r>
      <w:r>
        <w:rPr>
          <w:rFonts w:hint="eastAsia" w:ascii="Arial" w:hAnsi="Arial" w:eastAsia="Arial" w:cs="Arial"/>
          <w:i w:val="0"/>
          <w:iCs w:val="0"/>
          <w:caps w:val="0"/>
          <w:color w:val="auto"/>
          <w:spacing w:val="0"/>
          <w:sz w:val="24"/>
          <w:szCs w:val="24"/>
          <w:highlight w:val="none"/>
          <w:shd w:val="clear" w:fill="FFFFFF"/>
        </w:rPr>
        <w:t>建立安全监测监控系统，保障安全生产</w:t>
      </w:r>
      <w:r>
        <w:rPr>
          <w:rFonts w:hint="default" w:ascii="Times New Roman" w:hAnsi="Times New Roman" w:cs="Times New Roman"/>
          <w:color w:val="auto"/>
          <w:sz w:val="24"/>
          <w:szCs w:val="24"/>
          <w:highlight w:val="none"/>
          <w:lang w:eastAsia="zh-CN"/>
        </w:rPr>
        <w:t>。</w:t>
      </w:r>
    </w:p>
    <w:p w14:paraId="3FB384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color w:val="auto"/>
          <w:highlight w:val="none"/>
          <w:lang w:eastAsia="zh-CN"/>
        </w:rPr>
      </w:pPr>
      <w:r>
        <w:rPr>
          <w:rFonts w:hint="eastAsia"/>
          <w:color w:val="auto"/>
          <w:highlight w:val="none"/>
          <w:lang w:eastAsia="zh-CN"/>
        </w:rPr>
        <w:t>企业</w:t>
      </w:r>
      <w:r>
        <w:rPr>
          <w:rFonts w:hint="default"/>
          <w:color w:val="auto"/>
          <w:highlight w:val="none"/>
          <w:lang w:eastAsia="zh-CN"/>
        </w:rPr>
        <w:t>严控粉尘无组织排放，优先采用不产生粉尘无组织排放的工艺和设备</w:t>
      </w:r>
      <w:r>
        <w:rPr>
          <w:rFonts w:hint="eastAsia"/>
          <w:color w:val="auto"/>
          <w:highlight w:val="none"/>
          <w:lang w:eastAsia="zh-CN"/>
        </w:rPr>
        <w:t>，磨矿和选矿采取湿式磨选</w:t>
      </w:r>
      <w:r>
        <w:rPr>
          <w:rFonts w:hint="default"/>
          <w:color w:val="auto"/>
          <w:highlight w:val="none"/>
          <w:lang w:eastAsia="zh-CN"/>
        </w:rPr>
        <w:t>。对存在粉尘无组织排放的工艺和设备配套采取防尘措施</w:t>
      </w:r>
      <w:r>
        <w:rPr>
          <w:rFonts w:hint="eastAsia"/>
          <w:color w:val="auto"/>
          <w:highlight w:val="none"/>
          <w:lang w:eastAsia="zh-CN"/>
        </w:rPr>
        <w:t>。</w:t>
      </w:r>
    </w:p>
    <w:p w14:paraId="3C02D7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建设单位</w:t>
      </w:r>
      <w:r>
        <w:rPr>
          <w:rFonts w:hint="default" w:ascii="Times New Roman" w:hAnsi="Times New Roman" w:cs="Times New Roman"/>
          <w:color w:val="auto"/>
          <w:sz w:val="24"/>
          <w:szCs w:val="24"/>
          <w:highlight w:val="none"/>
          <w:lang w:val="en-US" w:eastAsia="zh-CN"/>
        </w:rPr>
        <w:t>积极建设清洁生产，在选购设备时，采用国际先进的</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效率较高</w:t>
      </w:r>
      <w:r>
        <w:rPr>
          <w:rFonts w:hint="eastAsia" w:cs="Times New Roman"/>
          <w:color w:val="auto"/>
          <w:sz w:val="24"/>
          <w:szCs w:val="24"/>
          <w:highlight w:val="none"/>
          <w:lang w:val="en-US" w:eastAsia="zh-CN"/>
        </w:rPr>
        <w:t>的浮选设备</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各产尘点配备袋式除尘器，产噪声设备采取减震隔声措施，</w:t>
      </w:r>
      <w:r>
        <w:rPr>
          <w:rFonts w:hint="default" w:ascii="Times New Roman" w:hAnsi="Times New Roman" w:cs="Times New Roman"/>
          <w:color w:val="auto"/>
          <w:sz w:val="24"/>
          <w:szCs w:val="24"/>
          <w:highlight w:val="none"/>
          <w:lang w:val="en-US" w:eastAsia="zh-CN"/>
        </w:rPr>
        <w:t>使清洁生产达到国内先进水平。</w:t>
      </w:r>
    </w:p>
    <w:p w14:paraId="669FFA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（2）资源利用指标</w:t>
      </w:r>
    </w:p>
    <w:p w14:paraId="4A8B1F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 1 \* GB3 \* MERGEFORMAT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highlight w:val="none"/>
        </w:rPr>
        <w:t>①</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回采率</w:t>
      </w:r>
    </w:p>
    <w:p w14:paraId="2C67F4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选矿厂设计规模为年处理原矿石120万t</w:t>
      </w:r>
      <w:r>
        <w:rPr>
          <w:rFonts w:hint="eastAsia" w:cs="Times New Roman"/>
          <w:color w:val="auto"/>
          <w:sz w:val="24"/>
          <w:szCs w:val="24"/>
          <w:highlight w:val="none"/>
          <w:lang w:eastAsia="zh-CN"/>
        </w:rPr>
        <w:t>，属于较难选矿石，采取浮选工艺选矿</w:t>
      </w:r>
      <w:r>
        <w:rPr>
          <w:rFonts w:hint="default" w:ascii="Times New Roman" w:hAnsi="Times New Roman" w:cs="Times New Roman"/>
          <w:color w:val="auto"/>
          <w:sz w:val="24"/>
          <w:szCs w:val="24"/>
          <w:highlight w:val="none"/>
        </w:rPr>
        <w:t>，回</w:t>
      </w:r>
      <w:r>
        <w:rPr>
          <w:rFonts w:hint="eastAsia" w:ascii="Times New Roman" w:hAnsi="Times New Roman" w:cs="Times New Roman"/>
          <w:color w:val="auto"/>
          <w:sz w:val="24"/>
          <w:szCs w:val="24"/>
          <w:highlight w:val="none"/>
          <w:lang w:eastAsia="zh-CN"/>
        </w:rPr>
        <w:t>收</w:t>
      </w:r>
      <w:r>
        <w:rPr>
          <w:rFonts w:hint="default" w:ascii="Times New Roman" w:hAnsi="Times New Roman" w:cs="Times New Roman"/>
          <w:color w:val="auto"/>
          <w:sz w:val="24"/>
          <w:szCs w:val="24"/>
          <w:highlight w:val="none"/>
        </w:rPr>
        <w:t>率</w:t>
      </w:r>
      <w:r>
        <w:rPr>
          <w:rFonts w:hint="eastAsia" w:ascii="Times New Roman" w:hAnsi="Times New Roman" w:cs="Times New Roman"/>
          <w:color w:val="auto"/>
          <w:sz w:val="24"/>
          <w:szCs w:val="24"/>
          <w:highlight w:val="none"/>
          <w:lang w:val="en-US" w:eastAsia="zh-CN"/>
        </w:rPr>
        <w:t>80</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，大于</w:t>
      </w:r>
      <w:r>
        <w:rPr>
          <w:rFonts w:hint="default" w:ascii="Times New Roman" w:hAnsi="Times New Roman" w:eastAsia="宋体" w:cs="Times New Roman"/>
          <w:snapToGrid/>
          <w:color w:val="auto"/>
          <w:kern w:val="2"/>
          <w:sz w:val="24"/>
          <w:szCs w:val="24"/>
          <w:highlight w:val="none"/>
          <w:lang w:val="en-US" w:eastAsia="zh-CN" w:bidi="ar-SA"/>
        </w:rPr>
        <w:t>行业规范</w:t>
      </w:r>
      <w:r>
        <w:rPr>
          <w:rFonts w:hint="eastAsia" w:eastAsia="宋体" w:cs="Times New Roman"/>
          <w:snapToGrid/>
          <w:color w:val="auto"/>
          <w:kern w:val="2"/>
          <w:sz w:val="24"/>
          <w:szCs w:val="24"/>
          <w:highlight w:val="none"/>
          <w:lang w:val="en-US" w:eastAsia="zh-CN" w:bidi="ar-SA"/>
        </w:rPr>
        <w:t>要求的75%</w:t>
      </w:r>
      <w:r>
        <w:rPr>
          <w:rFonts w:hint="default" w:ascii="Times New Roman" w:hAnsi="Times New Roman" w:cs="Times New Roman"/>
          <w:color w:val="auto"/>
          <w:sz w:val="24"/>
          <w:szCs w:val="24"/>
          <w:highlight w:val="none"/>
        </w:rPr>
        <w:t>，清洁生产水平较高，均达到国内清洁生产先进水平，资源利用率高。</w:t>
      </w:r>
    </w:p>
    <w:p w14:paraId="243EDC3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 2 \* GB3 \* MERGEFORMAT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highlight w:val="none"/>
        </w:rPr>
        <w:t>②</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rPr>
        <w:t>耗电水平</w:t>
      </w:r>
    </w:p>
    <w:p w14:paraId="39BEC13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本项目选矿工序综合电耗折合原矿为</w:t>
      </w:r>
      <w:r>
        <w:rPr>
          <w:rFonts w:hint="eastAsia" w:cs="Times New Roman"/>
          <w:color w:val="auto"/>
          <w:sz w:val="24"/>
          <w:szCs w:val="24"/>
          <w:highlight w:val="none"/>
          <w:lang w:val="en-US" w:eastAsia="zh-CN"/>
        </w:rPr>
        <w:t>29.91</w:t>
      </w:r>
      <w:r>
        <w:rPr>
          <w:rFonts w:hint="eastAsia" w:ascii="Times New Roman" w:hAnsi="Times New Roman" w:cs="Times New Roman"/>
          <w:color w:val="auto"/>
          <w:sz w:val="24"/>
          <w:szCs w:val="24"/>
          <w:highlight w:val="none"/>
          <w:lang w:eastAsia="zh-CN"/>
        </w:rPr>
        <w:t>kWh/t原矿，折合精矿为</w:t>
      </w:r>
      <w:r>
        <w:rPr>
          <w:rFonts w:hint="eastAsia" w:cs="Times New Roman"/>
          <w:color w:val="auto"/>
          <w:sz w:val="24"/>
          <w:szCs w:val="24"/>
          <w:highlight w:val="none"/>
          <w:lang w:val="en-US" w:eastAsia="zh-CN"/>
        </w:rPr>
        <w:t>121.78</w:t>
      </w:r>
      <w:r>
        <w:rPr>
          <w:rFonts w:hint="eastAsia" w:ascii="Times New Roman" w:hAnsi="Times New Roman" w:cs="Times New Roman"/>
          <w:color w:val="auto"/>
          <w:sz w:val="24"/>
          <w:szCs w:val="24"/>
          <w:highlight w:val="none"/>
          <w:lang w:eastAsia="zh-CN"/>
        </w:rPr>
        <w:t>kW</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t>h/t精矿</w:t>
      </w:r>
      <w:r>
        <w:rPr>
          <w:rFonts w:hint="eastAsia" w:cs="Times New Roman"/>
          <w:color w:val="auto"/>
          <w:sz w:val="24"/>
          <w:szCs w:val="24"/>
          <w:highlight w:val="none"/>
          <w:lang w:eastAsia="zh-CN"/>
        </w:rPr>
        <w:t>，低于</w:t>
      </w:r>
      <w:r>
        <w:rPr>
          <w:rFonts w:hint="default" w:ascii="Times New Roman" w:hAnsi="Times New Roman" w:eastAsia="宋体" w:cs="Times New Roman"/>
          <w:snapToGrid/>
          <w:color w:val="auto"/>
          <w:kern w:val="2"/>
          <w:sz w:val="24"/>
          <w:szCs w:val="24"/>
          <w:highlight w:val="none"/>
          <w:lang w:val="en-US" w:eastAsia="zh-CN" w:bidi="ar-SA"/>
        </w:rPr>
        <w:t>行业规范</w:t>
      </w:r>
      <w:r>
        <w:rPr>
          <w:rFonts w:hint="eastAsia" w:eastAsia="宋体" w:cs="Times New Roman"/>
          <w:snapToGrid/>
          <w:color w:val="auto"/>
          <w:kern w:val="2"/>
          <w:sz w:val="24"/>
          <w:szCs w:val="24"/>
          <w:highlight w:val="none"/>
          <w:lang w:val="en-US" w:eastAsia="zh-CN" w:bidi="ar-SA"/>
        </w:rPr>
        <w:t>要求的150k</w:t>
      </w:r>
      <w:r>
        <w:rPr>
          <w:rFonts w:hint="eastAsia" w:ascii="Times New Roman" w:hAnsi="Times New Roman" w:cs="Times New Roman"/>
          <w:color w:val="auto"/>
          <w:sz w:val="24"/>
          <w:szCs w:val="24"/>
          <w:highlight w:val="none"/>
          <w:lang w:eastAsia="zh-CN"/>
        </w:rPr>
        <w:t>W</w:t>
      </w:r>
      <w:r>
        <w:rPr>
          <w:rFonts w:hint="default"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t>h/t精矿，</w:t>
      </w:r>
      <w:r>
        <w:rPr>
          <w:rFonts w:hint="eastAsia" w:cs="Times New Roman"/>
          <w:color w:val="auto"/>
          <w:sz w:val="24"/>
          <w:szCs w:val="24"/>
          <w:highlight w:val="none"/>
          <w:lang w:eastAsia="zh-CN"/>
        </w:rPr>
        <w:t>可</w:t>
      </w:r>
      <w:r>
        <w:rPr>
          <w:rFonts w:hint="default" w:ascii="Times New Roman" w:hAnsi="Times New Roman" w:cs="Times New Roman"/>
          <w:color w:val="auto"/>
          <w:sz w:val="24"/>
          <w:szCs w:val="24"/>
          <w:highlight w:val="none"/>
        </w:rPr>
        <w:t>达到国内清洁生产</w:t>
      </w:r>
      <w:r>
        <w:rPr>
          <w:rFonts w:hint="default" w:ascii="Times New Roman" w:hAnsi="Times New Roman" w:cs="Times New Roman"/>
          <w:color w:val="auto"/>
          <w:sz w:val="24"/>
          <w:szCs w:val="24"/>
          <w:highlight w:val="none"/>
          <w:lang w:val="en-US" w:eastAsia="zh-CN"/>
        </w:rPr>
        <w:t>先进</w:t>
      </w:r>
      <w:r>
        <w:rPr>
          <w:rFonts w:hint="default" w:ascii="Times New Roman" w:hAnsi="Times New Roman" w:cs="Times New Roman"/>
          <w:color w:val="auto"/>
          <w:sz w:val="24"/>
          <w:szCs w:val="24"/>
          <w:highlight w:val="none"/>
        </w:rPr>
        <w:t>水平。</w:t>
      </w:r>
    </w:p>
    <w:p w14:paraId="52954F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（3）废物回收利用指标</w:t>
      </w:r>
    </w:p>
    <w:p w14:paraId="727C868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本</w:t>
      </w:r>
      <w:r>
        <w:rPr>
          <w:rFonts w:hint="default" w:ascii="Times New Roman" w:hAnsi="Times New Roman" w:cs="Times New Roman"/>
          <w:color w:val="auto"/>
          <w:sz w:val="24"/>
          <w:szCs w:val="24"/>
          <w:highlight w:val="none"/>
        </w:rPr>
        <w:t>项目</w:t>
      </w:r>
      <w:r>
        <w:rPr>
          <w:rFonts w:hint="eastAsia" w:cs="Times New Roman"/>
          <w:color w:val="auto"/>
          <w:sz w:val="24"/>
          <w:szCs w:val="24"/>
          <w:highlight w:val="none"/>
          <w:lang w:eastAsia="zh-CN"/>
        </w:rPr>
        <w:t>选矿废</w:t>
      </w:r>
      <w:r>
        <w:rPr>
          <w:rFonts w:hint="default" w:ascii="Times New Roman" w:hAnsi="Times New Roman" w:cs="Times New Roman"/>
          <w:color w:val="auto"/>
          <w:sz w:val="24"/>
          <w:szCs w:val="24"/>
          <w:highlight w:val="none"/>
        </w:rPr>
        <w:t>水</w:t>
      </w:r>
      <w:r>
        <w:rPr>
          <w:rFonts w:hint="eastAsia" w:cs="Times New Roman"/>
          <w:color w:val="auto"/>
          <w:sz w:val="24"/>
          <w:szCs w:val="24"/>
          <w:highlight w:val="none"/>
          <w:lang w:eastAsia="zh-CN"/>
        </w:rPr>
        <w:t>全部循环利用</w:t>
      </w:r>
      <w:r>
        <w:rPr>
          <w:rFonts w:hint="default" w:ascii="Times New Roman" w:hAnsi="Times New Roman" w:cs="Times New Roman"/>
          <w:color w:val="auto"/>
          <w:sz w:val="24"/>
          <w:szCs w:val="24"/>
          <w:highlight w:val="none"/>
        </w:rPr>
        <w:t>，</w:t>
      </w:r>
      <w:r>
        <w:rPr>
          <w:color w:val="auto"/>
          <w:sz w:val="24"/>
          <w:highlight w:val="none"/>
          <w:lang w:bidi="ar"/>
        </w:rPr>
        <w:t>生活污水</w:t>
      </w:r>
      <w:r>
        <w:rPr>
          <w:rFonts w:hint="eastAsia"/>
          <w:color w:val="auto"/>
          <w:sz w:val="24"/>
          <w:highlight w:val="none"/>
          <w:lang w:bidi="ar"/>
        </w:rPr>
        <w:t>经</w:t>
      </w:r>
      <w:r>
        <w:rPr>
          <w:rFonts w:hint="eastAsia"/>
          <w:color w:val="auto"/>
          <w:sz w:val="24"/>
          <w:highlight w:val="none"/>
          <w:lang w:eastAsia="zh-CN" w:bidi="ar"/>
        </w:rPr>
        <w:t>采矿生活区</w:t>
      </w:r>
      <w:r>
        <w:rPr>
          <w:rFonts w:hint="eastAsia"/>
          <w:b w:val="0"/>
          <w:bCs/>
          <w:color w:val="auto"/>
          <w:highlight w:val="none"/>
          <w:lang w:val="en-US" w:eastAsia="zh-CN"/>
        </w:rPr>
        <w:t>地埋式污水</w:t>
      </w:r>
      <w:r>
        <w:rPr>
          <w:rFonts w:hint="default"/>
          <w:b w:val="0"/>
          <w:bCs/>
          <w:color w:val="auto"/>
          <w:highlight w:val="none"/>
          <w:lang w:val="en-US" w:eastAsia="zh-CN"/>
        </w:rPr>
        <w:t>处理设施</w:t>
      </w:r>
      <w:r>
        <w:rPr>
          <w:rFonts w:hint="eastAsia"/>
          <w:color w:val="auto"/>
          <w:sz w:val="24"/>
          <w:highlight w:val="none"/>
          <w:lang w:bidi="ar"/>
        </w:rPr>
        <w:t>处理后用于</w:t>
      </w:r>
      <w:r>
        <w:rPr>
          <w:rFonts w:hint="eastAsia" w:ascii="Times New Roman" w:hAnsi="Times New Roman" w:cs="Times New Roman"/>
          <w:color w:val="auto"/>
          <w:sz w:val="24"/>
          <w:szCs w:val="24"/>
          <w:highlight w:val="none"/>
          <w:lang w:val="en-US" w:eastAsia="zh-CN" w:bidi="ar"/>
        </w:rPr>
        <w:t>选矿厂</w:t>
      </w:r>
      <w:r>
        <w:rPr>
          <w:rFonts w:hint="eastAsia"/>
          <w:color w:val="auto"/>
          <w:sz w:val="24"/>
          <w:highlight w:val="none"/>
          <w:lang w:bidi="ar"/>
        </w:rPr>
        <w:t>绿化，不外排</w:t>
      </w:r>
      <w:r>
        <w:rPr>
          <w:rFonts w:hint="default" w:ascii="Times New Roman" w:hAnsi="Times New Roman" w:cs="Times New Roman"/>
          <w:color w:val="auto"/>
          <w:sz w:val="24"/>
          <w:szCs w:val="24"/>
          <w:highlight w:val="none"/>
          <w:lang w:eastAsia="zh-CN"/>
        </w:rPr>
        <w:t>。</w:t>
      </w:r>
      <w:r>
        <w:rPr>
          <w:rFonts w:hint="eastAsia"/>
          <w:color w:val="auto"/>
          <w:sz w:val="24"/>
          <w:highlight w:val="none"/>
          <w:lang w:bidi="ar"/>
        </w:rPr>
        <w:t>生活垃圾集中收集，</w:t>
      </w:r>
      <w:r>
        <w:rPr>
          <w:color w:val="auto"/>
          <w:sz w:val="24"/>
          <w:highlight w:val="none"/>
        </w:rPr>
        <w:t>定期运至</w:t>
      </w:r>
      <w:r>
        <w:rPr>
          <w:rFonts w:hint="eastAsia" w:cs="Times New Roman"/>
          <w:color w:val="auto"/>
          <w:sz w:val="24"/>
          <w:highlight w:val="none"/>
          <w:lang w:val="en-US" w:eastAsia="zh-CN"/>
        </w:rPr>
        <w:t>若羌</w:t>
      </w:r>
      <w:r>
        <w:rPr>
          <w:rFonts w:hint="eastAsia" w:ascii="Times New Roman" w:hAnsi="Times New Roman" w:cs="Times New Roman"/>
          <w:color w:val="auto"/>
          <w:sz w:val="24"/>
          <w:highlight w:val="none"/>
          <w:lang w:val="en-US" w:eastAsia="zh-CN"/>
        </w:rPr>
        <w:t>县</w:t>
      </w:r>
      <w:r>
        <w:rPr>
          <w:color w:val="auto"/>
          <w:sz w:val="24"/>
          <w:highlight w:val="none"/>
        </w:rPr>
        <w:t>生活垃圾填埋场填埋处理</w:t>
      </w:r>
      <w:r>
        <w:rPr>
          <w:rFonts w:hint="default" w:ascii="Times New Roman" w:hAnsi="Times New Roman" w:cs="Times New Roman"/>
          <w:color w:val="auto"/>
          <w:sz w:val="24"/>
          <w:szCs w:val="24"/>
          <w:highlight w:val="none"/>
          <w:lang w:val="en-US" w:eastAsia="zh-CN"/>
        </w:rPr>
        <w:t>。</w:t>
      </w:r>
    </w:p>
    <w:p w14:paraId="1248D2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本项目选矿厂产生的尾矿</w:t>
      </w:r>
      <w:r>
        <w:rPr>
          <w:rFonts w:hint="eastAsia" w:cs="Times New Roman"/>
          <w:color w:val="auto"/>
          <w:sz w:val="24"/>
          <w:szCs w:val="24"/>
          <w:highlight w:val="none"/>
          <w:lang w:eastAsia="zh-CN"/>
        </w:rPr>
        <w:t>排至尾矿库，部分尾矿</w:t>
      </w:r>
      <w:r>
        <w:rPr>
          <w:rFonts w:hint="default" w:ascii="Times New Roman" w:hAnsi="Times New Roman" w:cs="Times New Roman"/>
          <w:color w:val="auto"/>
          <w:sz w:val="24"/>
          <w:szCs w:val="24"/>
          <w:highlight w:val="none"/>
        </w:rPr>
        <w:t>充填到</w:t>
      </w:r>
      <w:r>
        <w:rPr>
          <w:rFonts w:hint="eastAsia" w:cs="Times New Roman"/>
          <w:color w:val="auto"/>
          <w:sz w:val="24"/>
          <w:szCs w:val="24"/>
          <w:highlight w:val="none"/>
          <w:lang w:eastAsia="zh-CN"/>
        </w:rPr>
        <w:t>矿区</w:t>
      </w:r>
      <w:r>
        <w:rPr>
          <w:rFonts w:hint="default" w:ascii="Times New Roman" w:hAnsi="Times New Roman" w:cs="Times New Roman"/>
          <w:color w:val="auto"/>
          <w:sz w:val="24"/>
          <w:szCs w:val="24"/>
          <w:highlight w:val="none"/>
        </w:rPr>
        <w:t>采空区，既保证了作业安全和</w:t>
      </w:r>
      <w:r>
        <w:rPr>
          <w:rFonts w:hint="eastAsia" w:cs="Times New Roman"/>
          <w:color w:val="auto"/>
          <w:sz w:val="24"/>
          <w:szCs w:val="24"/>
          <w:highlight w:val="none"/>
          <w:lang w:eastAsia="zh-CN"/>
        </w:rPr>
        <w:t>防止</w:t>
      </w:r>
      <w:r>
        <w:rPr>
          <w:rFonts w:hint="default" w:ascii="Times New Roman" w:hAnsi="Times New Roman" w:cs="Times New Roman"/>
          <w:color w:val="auto"/>
          <w:sz w:val="24"/>
          <w:szCs w:val="24"/>
          <w:highlight w:val="none"/>
        </w:rPr>
        <w:t>地表塌陷，又减少了外排尾渣</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选矿厂产生的尾矿</w:t>
      </w:r>
      <w:r>
        <w:rPr>
          <w:rFonts w:hint="eastAsia" w:cs="Times New Roman"/>
          <w:color w:val="auto"/>
          <w:sz w:val="24"/>
          <w:szCs w:val="24"/>
          <w:highlight w:val="none"/>
          <w:lang w:eastAsia="zh-CN"/>
        </w:rPr>
        <w:t>可</w:t>
      </w:r>
      <w:r>
        <w:rPr>
          <w:rFonts w:hint="default" w:ascii="Times New Roman" w:hAnsi="Times New Roman" w:cs="Times New Roman"/>
          <w:color w:val="auto"/>
          <w:sz w:val="24"/>
          <w:szCs w:val="24"/>
          <w:highlight w:val="none"/>
        </w:rPr>
        <w:t>充填至井下。分析认为项目废物综合</w:t>
      </w:r>
      <w:r>
        <w:rPr>
          <w:rFonts w:hint="default" w:ascii="Times New Roman" w:hAnsi="Times New Roman" w:cs="Times New Roman"/>
          <w:color w:val="auto"/>
          <w:sz w:val="24"/>
          <w:szCs w:val="24"/>
          <w:highlight w:val="none"/>
          <w:lang w:val="en-US" w:eastAsia="zh-CN"/>
        </w:rPr>
        <w:t>利用</w:t>
      </w:r>
      <w:r>
        <w:rPr>
          <w:rFonts w:hint="default" w:ascii="Times New Roman" w:hAnsi="Times New Roman" w:cs="Times New Roman"/>
          <w:color w:val="auto"/>
          <w:sz w:val="24"/>
          <w:szCs w:val="24"/>
          <w:highlight w:val="none"/>
        </w:rPr>
        <w:t>率较高，</w:t>
      </w:r>
      <w:r>
        <w:rPr>
          <w:rFonts w:hint="eastAsia" w:cs="Times New Roman"/>
          <w:color w:val="auto"/>
          <w:sz w:val="24"/>
          <w:szCs w:val="24"/>
          <w:highlight w:val="none"/>
          <w:lang w:eastAsia="zh-CN"/>
        </w:rPr>
        <w:t>可</w:t>
      </w:r>
      <w:r>
        <w:rPr>
          <w:rFonts w:hint="default" w:ascii="Times New Roman" w:hAnsi="Times New Roman" w:cs="Times New Roman"/>
          <w:color w:val="auto"/>
          <w:sz w:val="24"/>
          <w:szCs w:val="24"/>
          <w:highlight w:val="none"/>
        </w:rPr>
        <w:t>达到国内清洁生产</w:t>
      </w:r>
      <w:r>
        <w:rPr>
          <w:rFonts w:hint="default" w:ascii="Times New Roman" w:hAnsi="Times New Roman" w:cs="Times New Roman"/>
          <w:color w:val="auto"/>
          <w:sz w:val="24"/>
          <w:szCs w:val="24"/>
          <w:highlight w:val="none"/>
          <w:lang w:val="en-US" w:eastAsia="zh-CN"/>
        </w:rPr>
        <w:t>先进</w:t>
      </w:r>
      <w:r>
        <w:rPr>
          <w:rFonts w:hint="default" w:ascii="Times New Roman" w:hAnsi="Times New Roman" w:cs="Times New Roman"/>
          <w:color w:val="auto"/>
          <w:sz w:val="24"/>
          <w:szCs w:val="24"/>
          <w:highlight w:val="none"/>
        </w:rPr>
        <w:t>水平。</w:t>
      </w:r>
    </w:p>
    <w:p w14:paraId="5385C4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（4）环境管理要求指标</w:t>
      </w:r>
    </w:p>
    <w:p w14:paraId="2EF7FFE8">
      <w:pPr>
        <w:keepNext w:val="0"/>
        <w:keepLines w:val="0"/>
        <w:pageBreakBefore w:val="0"/>
        <w:widowControl w:val="0"/>
        <w:kinsoku/>
        <w:wordWrap/>
        <w:overflowPunct w:val="0"/>
        <w:topLinePunct/>
        <w:autoSpaceDE/>
        <w:autoSpaceDN/>
        <w:bidi w:val="0"/>
        <w:adjustRightInd/>
        <w:snapToGrid/>
        <w:spacing w:after="0"/>
        <w:ind w:left="0" w:leftChars="0" w:firstLine="480"/>
        <w:textAlignment w:val="auto"/>
        <w:rPr>
          <w:rFonts w:hint="eastAsia" w:cs="Times New Roman"/>
          <w:color w:val="auto"/>
          <w:sz w:val="24"/>
          <w:szCs w:val="24"/>
          <w:highlight w:val="none"/>
          <w:lang w:eastAsia="zh-CN"/>
        </w:rPr>
      </w:pPr>
      <w:r>
        <w:rPr>
          <w:rFonts w:hint="eastAsia" w:cs="Times New Roman"/>
          <w:color w:val="auto"/>
          <w:sz w:val="24"/>
          <w:szCs w:val="24"/>
          <w:highlight w:val="none"/>
          <w:lang w:eastAsia="zh-CN"/>
        </w:rPr>
        <w:t>本项目在采取有效污染防治措施后，污染物排放符合国家和地方</w:t>
      </w:r>
      <w:r>
        <w:rPr>
          <w:rFonts w:hint="eastAsia" w:cs="Times New Roman"/>
          <w:color w:val="auto"/>
          <w:sz w:val="24"/>
          <w:szCs w:val="24"/>
          <w:highlight w:val="none"/>
          <w:lang w:val="en-US" w:eastAsia="zh-CN"/>
        </w:rPr>
        <w:t>有关要求及标准的规定。</w:t>
      </w:r>
    </w:p>
    <w:p w14:paraId="34BBDFC9">
      <w:pPr>
        <w:keepNext w:val="0"/>
        <w:keepLines w:val="0"/>
        <w:pageBreakBefore w:val="0"/>
        <w:widowControl w:val="0"/>
        <w:kinsoku/>
        <w:wordWrap/>
        <w:overflowPunct w:val="0"/>
        <w:topLinePunct/>
        <w:autoSpaceDE/>
        <w:autoSpaceDN/>
        <w:bidi w:val="0"/>
        <w:adjustRightInd/>
        <w:snapToGrid/>
        <w:spacing w:after="0"/>
        <w:ind w:left="0" w:leftChars="0" w:firstLine="480"/>
        <w:textAlignment w:val="auto"/>
        <w:rPr>
          <w:color w:val="auto"/>
          <w:sz w:val="24"/>
          <w:highlight w:val="none"/>
        </w:rPr>
      </w:pPr>
      <w:r>
        <w:rPr>
          <w:rFonts w:hint="eastAsia" w:cs="Times New Roman"/>
          <w:color w:val="auto"/>
          <w:sz w:val="24"/>
          <w:szCs w:val="24"/>
          <w:highlight w:val="none"/>
          <w:lang w:eastAsia="zh-CN"/>
        </w:rPr>
        <w:t>选矿厂</w:t>
      </w:r>
      <w:r>
        <w:rPr>
          <w:rFonts w:hint="default" w:ascii="Times New Roman" w:hAnsi="Times New Roman" w:cs="Times New Roman"/>
          <w:color w:val="auto"/>
          <w:sz w:val="24"/>
          <w:szCs w:val="24"/>
          <w:highlight w:val="none"/>
          <w:lang w:val="en-US" w:eastAsia="zh-CN"/>
        </w:rPr>
        <w:t>应</w:t>
      </w:r>
      <w:r>
        <w:rPr>
          <w:rFonts w:hint="default" w:ascii="Times New Roman" w:hAnsi="Times New Roman" w:cs="Times New Roman"/>
          <w:color w:val="auto"/>
          <w:sz w:val="24"/>
          <w:szCs w:val="24"/>
          <w:highlight w:val="none"/>
        </w:rPr>
        <w:t>建立完整的环境管理体系，</w:t>
      </w:r>
      <w:r>
        <w:rPr>
          <w:rFonts w:hint="eastAsia" w:ascii="Times New Roman" w:hAnsi="Times New Roman" w:cs="Times New Roman"/>
          <w:color w:val="auto"/>
          <w:sz w:val="24"/>
          <w:szCs w:val="24"/>
          <w:highlight w:val="none"/>
          <w:lang w:eastAsia="zh-CN"/>
        </w:rPr>
        <w:t>建立</w:t>
      </w:r>
      <w:r>
        <w:rPr>
          <w:rFonts w:hint="default" w:ascii="Times New Roman" w:hAnsi="Times New Roman" w:cs="Times New Roman"/>
          <w:color w:val="auto"/>
          <w:sz w:val="24"/>
          <w:szCs w:val="24"/>
          <w:highlight w:val="none"/>
        </w:rPr>
        <w:t>以</w:t>
      </w:r>
      <w:r>
        <w:rPr>
          <w:rFonts w:hint="eastAsia" w:cs="Times New Roman"/>
          <w:color w:val="auto"/>
          <w:sz w:val="24"/>
          <w:szCs w:val="24"/>
          <w:highlight w:val="none"/>
          <w:lang w:eastAsia="zh-CN"/>
        </w:rPr>
        <w:t>厂</w:t>
      </w:r>
      <w:r>
        <w:rPr>
          <w:rFonts w:hint="default" w:ascii="Times New Roman" w:hAnsi="Times New Roman" w:cs="Times New Roman"/>
          <w:color w:val="auto"/>
          <w:sz w:val="24"/>
          <w:szCs w:val="24"/>
          <w:highlight w:val="none"/>
        </w:rPr>
        <w:t>长为负责人的整套环境管理体系，设置</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名兼职环境管理人员，随时监督</w:t>
      </w:r>
      <w:r>
        <w:rPr>
          <w:rFonts w:hint="eastAsia" w:cs="Times New Roman"/>
          <w:color w:val="auto"/>
          <w:sz w:val="24"/>
          <w:szCs w:val="24"/>
          <w:highlight w:val="none"/>
          <w:lang w:eastAsia="zh-CN"/>
        </w:rPr>
        <w:t>厂</w:t>
      </w:r>
      <w:r>
        <w:rPr>
          <w:rFonts w:hint="default" w:ascii="Times New Roman" w:hAnsi="Times New Roman" w:cs="Times New Roman"/>
          <w:color w:val="auto"/>
          <w:sz w:val="24"/>
          <w:szCs w:val="24"/>
          <w:highlight w:val="none"/>
        </w:rPr>
        <w:t>区环境保护措施落实情况，随时向</w:t>
      </w:r>
      <w:r>
        <w:rPr>
          <w:rFonts w:hint="eastAsia" w:cs="Times New Roman"/>
          <w:color w:val="auto"/>
          <w:sz w:val="24"/>
          <w:szCs w:val="24"/>
          <w:highlight w:val="none"/>
          <w:lang w:eastAsia="zh-CN"/>
        </w:rPr>
        <w:t>厂</w:t>
      </w:r>
      <w:r>
        <w:rPr>
          <w:rFonts w:hint="default" w:ascii="Times New Roman" w:hAnsi="Times New Roman" w:cs="Times New Roman"/>
          <w:color w:val="auto"/>
          <w:sz w:val="24"/>
          <w:szCs w:val="24"/>
          <w:highlight w:val="none"/>
        </w:rPr>
        <w:t>长</w:t>
      </w:r>
      <w:r>
        <w:rPr>
          <w:rFonts w:hint="eastAsia" w:cs="Times New Roman"/>
          <w:color w:val="auto"/>
          <w:sz w:val="24"/>
          <w:szCs w:val="24"/>
          <w:highlight w:val="none"/>
          <w:lang w:eastAsia="zh-CN"/>
        </w:rPr>
        <w:t>汇</w:t>
      </w:r>
      <w:r>
        <w:rPr>
          <w:rFonts w:hint="default" w:ascii="Times New Roman" w:hAnsi="Times New Roman" w:cs="Times New Roman"/>
          <w:color w:val="auto"/>
          <w:sz w:val="24"/>
          <w:szCs w:val="24"/>
          <w:highlight w:val="none"/>
        </w:rPr>
        <w:t>报环保工作情况，保证</w:t>
      </w:r>
      <w:r>
        <w:rPr>
          <w:rFonts w:hint="eastAsia" w:cs="Times New Roman"/>
          <w:color w:val="auto"/>
          <w:sz w:val="24"/>
          <w:szCs w:val="24"/>
          <w:highlight w:val="none"/>
          <w:lang w:eastAsia="zh-CN"/>
        </w:rPr>
        <w:t>厂</w:t>
      </w:r>
      <w:r>
        <w:rPr>
          <w:rFonts w:hint="default" w:ascii="Times New Roman" w:hAnsi="Times New Roman" w:cs="Times New Roman"/>
          <w:color w:val="auto"/>
          <w:sz w:val="24"/>
          <w:szCs w:val="24"/>
          <w:highlight w:val="none"/>
        </w:rPr>
        <w:t>区环保工作的顺利开展和持续</w:t>
      </w:r>
      <w:r>
        <w:rPr>
          <w:rFonts w:hint="eastAsia" w:cs="Times New Roman"/>
          <w:color w:val="auto"/>
          <w:sz w:val="24"/>
          <w:szCs w:val="24"/>
          <w:highlight w:val="none"/>
          <w:lang w:eastAsia="zh-CN"/>
        </w:rPr>
        <w:t>，可</w:t>
      </w:r>
      <w:r>
        <w:rPr>
          <w:rFonts w:hint="default" w:ascii="Times New Roman" w:hAnsi="Times New Roman" w:cs="Times New Roman"/>
          <w:color w:val="auto"/>
          <w:sz w:val="24"/>
          <w:szCs w:val="24"/>
          <w:highlight w:val="none"/>
        </w:rPr>
        <w:t>达到国内清洁生产</w:t>
      </w:r>
      <w:r>
        <w:rPr>
          <w:rFonts w:hint="default" w:ascii="Times New Roman" w:hAnsi="Times New Roman" w:cs="Times New Roman"/>
          <w:color w:val="auto"/>
          <w:sz w:val="24"/>
          <w:szCs w:val="24"/>
          <w:highlight w:val="none"/>
          <w:lang w:val="en-US" w:eastAsia="zh-CN"/>
        </w:rPr>
        <w:t>先进</w:t>
      </w:r>
      <w:r>
        <w:rPr>
          <w:rFonts w:hint="default" w:ascii="Times New Roman" w:hAnsi="Times New Roman" w:cs="Times New Roman"/>
          <w:color w:val="auto"/>
          <w:sz w:val="24"/>
          <w:szCs w:val="24"/>
          <w:highlight w:val="none"/>
        </w:rPr>
        <w:t>水平。</w:t>
      </w:r>
    </w:p>
    <w:p w14:paraId="3AC681A9">
      <w:pPr>
        <w:pStyle w:val="6"/>
        <w:rPr>
          <w:color w:val="auto"/>
          <w:highlight w:val="none"/>
        </w:rPr>
      </w:pPr>
      <w:bookmarkStart w:id="455" w:name="_Toc22925"/>
      <w:bookmarkStart w:id="456" w:name="_Toc11882"/>
      <w:bookmarkStart w:id="457" w:name="_Toc735"/>
      <w:bookmarkStart w:id="458" w:name="_Toc23425"/>
      <w:bookmarkStart w:id="459" w:name="_Toc14284"/>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lang w:val="en-US" w:eastAsia="zh-CN"/>
        </w:rPr>
        <w:t>2</w:t>
      </w:r>
      <w:bookmarkEnd w:id="455"/>
      <w:bookmarkEnd w:id="456"/>
      <w:bookmarkEnd w:id="457"/>
      <w:bookmarkEnd w:id="458"/>
      <w:bookmarkEnd w:id="459"/>
      <w:r>
        <w:rPr>
          <w:rFonts w:hint="eastAsia"/>
          <w:color w:val="auto"/>
          <w:highlight w:val="none"/>
          <w:lang w:val="en-US" w:eastAsia="zh-CN"/>
        </w:rPr>
        <w:t>清洁生产的措施和建议</w:t>
      </w:r>
    </w:p>
    <w:p w14:paraId="0EA7293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清洁生产审计的原则，我们对拟建项目生产全过程从工艺装备要求、资源能源利用指标、废物回收利用指标和环境管理要求四个重要环节进行了初步的清洁生产预审计，根据预评价结果，对其中一些环节的清洁生产潜力提出建议：</w:t>
      </w:r>
    </w:p>
    <w:p w14:paraId="39FCD8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bidi="ar"/>
        </w:rPr>
        <w:t>（1）采用先进的工艺设备、先进的</w:t>
      </w:r>
      <w:r>
        <w:rPr>
          <w:rFonts w:hint="eastAsia" w:cs="Times New Roman"/>
          <w:color w:val="auto"/>
          <w:sz w:val="24"/>
          <w:szCs w:val="24"/>
          <w:highlight w:val="none"/>
          <w:lang w:eastAsia="zh-CN" w:bidi="ar"/>
        </w:rPr>
        <w:t>选矿</w:t>
      </w:r>
      <w:r>
        <w:rPr>
          <w:rFonts w:hint="default" w:ascii="Times New Roman" w:hAnsi="Times New Roman" w:cs="Times New Roman"/>
          <w:color w:val="auto"/>
          <w:sz w:val="24"/>
          <w:szCs w:val="24"/>
          <w:highlight w:val="none"/>
          <w:lang w:bidi="ar"/>
        </w:rPr>
        <w:t>工艺，提高资源回</w:t>
      </w:r>
      <w:r>
        <w:rPr>
          <w:rFonts w:hint="eastAsia" w:cs="Times New Roman"/>
          <w:color w:val="auto"/>
          <w:sz w:val="24"/>
          <w:szCs w:val="24"/>
          <w:highlight w:val="none"/>
          <w:lang w:eastAsia="zh-CN" w:bidi="ar"/>
        </w:rPr>
        <w:t>收</w:t>
      </w:r>
      <w:r>
        <w:rPr>
          <w:rFonts w:hint="default" w:ascii="Times New Roman" w:hAnsi="Times New Roman" w:cs="Times New Roman"/>
          <w:color w:val="auto"/>
          <w:sz w:val="24"/>
          <w:szCs w:val="24"/>
          <w:highlight w:val="none"/>
          <w:lang w:bidi="ar"/>
        </w:rPr>
        <w:t>率和劳动生产率。</w:t>
      </w:r>
    </w:p>
    <w:p w14:paraId="21010B6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bidi="ar"/>
        </w:rPr>
        <w:t>（2）根据矿</w:t>
      </w:r>
      <w:r>
        <w:rPr>
          <w:rFonts w:hint="eastAsia" w:cs="Times New Roman"/>
          <w:color w:val="auto"/>
          <w:sz w:val="24"/>
          <w:szCs w:val="24"/>
          <w:highlight w:val="none"/>
          <w:lang w:eastAsia="zh-CN" w:bidi="ar"/>
        </w:rPr>
        <w:t>石结构成分</w:t>
      </w:r>
      <w:r>
        <w:rPr>
          <w:rFonts w:hint="default" w:ascii="Times New Roman" w:hAnsi="Times New Roman" w:cs="Times New Roman"/>
          <w:color w:val="auto"/>
          <w:sz w:val="24"/>
          <w:szCs w:val="24"/>
          <w:highlight w:val="none"/>
          <w:lang w:bidi="ar"/>
        </w:rPr>
        <w:t>和</w:t>
      </w:r>
      <w:r>
        <w:rPr>
          <w:rFonts w:hint="eastAsia" w:cs="Times New Roman"/>
          <w:color w:val="auto"/>
          <w:sz w:val="24"/>
          <w:szCs w:val="24"/>
          <w:highlight w:val="none"/>
          <w:lang w:eastAsia="zh-CN" w:bidi="ar"/>
        </w:rPr>
        <w:t>选矿</w:t>
      </w:r>
      <w:r>
        <w:rPr>
          <w:rFonts w:hint="default" w:ascii="Times New Roman" w:hAnsi="Times New Roman" w:cs="Times New Roman"/>
          <w:color w:val="auto"/>
          <w:sz w:val="24"/>
          <w:szCs w:val="24"/>
          <w:highlight w:val="none"/>
          <w:lang w:bidi="ar"/>
        </w:rPr>
        <w:t>工艺特点，选择恰当的</w:t>
      </w:r>
      <w:r>
        <w:rPr>
          <w:rFonts w:hint="eastAsia" w:cs="Times New Roman"/>
          <w:color w:val="auto"/>
          <w:sz w:val="24"/>
          <w:szCs w:val="24"/>
          <w:highlight w:val="none"/>
          <w:lang w:eastAsia="zh-CN" w:bidi="ar"/>
        </w:rPr>
        <w:t>选</w:t>
      </w:r>
      <w:r>
        <w:rPr>
          <w:rFonts w:hint="default" w:ascii="Times New Roman" w:hAnsi="Times New Roman" w:cs="Times New Roman"/>
          <w:color w:val="auto"/>
          <w:sz w:val="24"/>
          <w:szCs w:val="24"/>
          <w:highlight w:val="none"/>
          <w:lang w:bidi="ar"/>
        </w:rPr>
        <w:t>矿方法，提高回</w:t>
      </w:r>
      <w:r>
        <w:rPr>
          <w:rFonts w:hint="eastAsia" w:cs="Times New Roman"/>
          <w:color w:val="auto"/>
          <w:sz w:val="24"/>
          <w:szCs w:val="24"/>
          <w:highlight w:val="none"/>
          <w:lang w:eastAsia="zh-CN" w:bidi="ar"/>
        </w:rPr>
        <w:t>收</w:t>
      </w:r>
      <w:r>
        <w:rPr>
          <w:rFonts w:hint="default" w:ascii="Times New Roman" w:hAnsi="Times New Roman" w:cs="Times New Roman"/>
          <w:color w:val="auto"/>
          <w:sz w:val="24"/>
          <w:szCs w:val="24"/>
          <w:highlight w:val="none"/>
          <w:lang w:bidi="ar"/>
        </w:rPr>
        <w:t>率，尽可能地减少</w:t>
      </w:r>
      <w:r>
        <w:rPr>
          <w:rFonts w:hint="eastAsia" w:cs="Times New Roman"/>
          <w:color w:val="auto"/>
          <w:sz w:val="24"/>
          <w:szCs w:val="24"/>
          <w:highlight w:val="none"/>
          <w:lang w:eastAsia="zh-CN" w:bidi="ar"/>
        </w:rPr>
        <w:t>尾矿</w:t>
      </w:r>
      <w:r>
        <w:rPr>
          <w:rFonts w:hint="default" w:ascii="Times New Roman" w:hAnsi="Times New Roman" w:cs="Times New Roman"/>
          <w:color w:val="auto"/>
          <w:sz w:val="24"/>
          <w:szCs w:val="24"/>
          <w:highlight w:val="none"/>
          <w:lang w:bidi="ar"/>
        </w:rPr>
        <w:t>产生量。</w:t>
      </w:r>
    </w:p>
    <w:p w14:paraId="215822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bidi="ar"/>
        </w:rPr>
        <w:t>（3）各岗位操作规程和设备检修制度完善，设有专人严格监督执行情况，设备运转完好连续，对生产过程中产生的粉尘有相应的控制措施，并满足规定要求。</w:t>
      </w:r>
    </w:p>
    <w:p w14:paraId="539DC4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bidi="ar"/>
        </w:rPr>
        <w:t>（4）落实固体废物防治措施，</w:t>
      </w:r>
      <w:r>
        <w:rPr>
          <w:rFonts w:hint="eastAsia" w:cs="Times New Roman"/>
          <w:color w:val="auto"/>
          <w:sz w:val="24"/>
          <w:szCs w:val="24"/>
          <w:highlight w:val="none"/>
          <w:lang w:eastAsia="zh-CN" w:bidi="ar"/>
        </w:rPr>
        <w:t>选矿</w:t>
      </w:r>
      <w:r>
        <w:rPr>
          <w:rFonts w:hint="default" w:ascii="Times New Roman" w:hAnsi="Times New Roman" w:cs="Times New Roman"/>
          <w:color w:val="auto"/>
          <w:sz w:val="24"/>
          <w:szCs w:val="24"/>
          <w:highlight w:val="none"/>
          <w:lang w:bidi="ar"/>
        </w:rPr>
        <w:t>产生的</w:t>
      </w:r>
      <w:r>
        <w:rPr>
          <w:rFonts w:hint="eastAsia" w:cs="Times New Roman"/>
          <w:color w:val="auto"/>
          <w:sz w:val="24"/>
          <w:szCs w:val="24"/>
          <w:highlight w:val="none"/>
          <w:lang w:eastAsia="zh-CN" w:bidi="ar"/>
        </w:rPr>
        <w:t>尾矿</w:t>
      </w:r>
      <w:r>
        <w:rPr>
          <w:rFonts w:hint="default" w:ascii="Times New Roman" w:hAnsi="Times New Roman" w:cs="Times New Roman"/>
          <w:color w:val="auto"/>
          <w:sz w:val="24"/>
          <w:szCs w:val="24"/>
          <w:highlight w:val="none"/>
          <w:lang w:bidi="ar"/>
        </w:rPr>
        <w:t>全部排入规划的</w:t>
      </w:r>
      <w:r>
        <w:rPr>
          <w:rFonts w:hint="eastAsia" w:cs="Times New Roman"/>
          <w:color w:val="auto"/>
          <w:sz w:val="24"/>
          <w:szCs w:val="24"/>
          <w:highlight w:val="none"/>
          <w:lang w:eastAsia="zh-CN" w:bidi="ar"/>
        </w:rPr>
        <w:t>尾矿库，部分用于井下充填</w:t>
      </w:r>
      <w:r>
        <w:rPr>
          <w:rFonts w:hint="default" w:ascii="Times New Roman" w:hAnsi="Times New Roman" w:cs="Times New Roman"/>
          <w:color w:val="auto"/>
          <w:sz w:val="24"/>
          <w:szCs w:val="24"/>
          <w:highlight w:val="none"/>
          <w:lang w:bidi="ar"/>
        </w:rPr>
        <w:t>，做好</w:t>
      </w:r>
      <w:r>
        <w:rPr>
          <w:rFonts w:hint="eastAsia" w:cs="Times New Roman"/>
          <w:color w:val="auto"/>
          <w:sz w:val="24"/>
          <w:szCs w:val="24"/>
          <w:highlight w:val="none"/>
          <w:lang w:eastAsia="zh-CN" w:bidi="ar"/>
        </w:rPr>
        <w:t>尾矿库</w:t>
      </w:r>
      <w:r>
        <w:rPr>
          <w:rFonts w:hint="default" w:ascii="Times New Roman" w:hAnsi="Times New Roman" w:cs="Times New Roman"/>
          <w:color w:val="auto"/>
          <w:sz w:val="24"/>
          <w:szCs w:val="24"/>
          <w:highlight w:val="none"/>
          <w:lang w:bidi="ar"/>
        </w:rPr>
        <w:t>的管理。</w:t>
      </w:r>
    </w:p>
    <w:p w14:paraId="089079D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lang w:bidi="ar"/>
        </w:rPr>
      </w:pPr>
      <w:r>
        <w:rPr>
          <w:rFonts w:hint="default" w:ascii="Times New Roman" w:hAnsi="Times New Roman" w:cs="Times New Roman"/>
          <w:color w:val="auto"/>
          <w:sz w:val="24"/>
          <w:szCs w:val="24"/>
          <w:highlight w:val="none"/>
          <w:lang w:bidi="ar"/>
        </w:rPr>
        <w:t>（5）提高设备生产率，对主要工作岗位进行节能培训，提高操作水平，建立完善节能奖惩制度。</w:t>
      </w:r>
    </w:p>
    <w:p w14:paraId="12BAF5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cs="Times New Roman"/>
          <w:bCs/>
          <w:color w:val="auto"/>
          <w:szCs w:val="24"/>
          <w:highlight w:val="none"/>
        </w:rPr>
      </w:pPr>
      <w:r>
        <w:rPr>
          <w:rFonts w:hint="default" w:ascii="Times New Roman" w:hAnsi="Times New Roman" w:eastAsia="宋体" w:cs="Times New Roman"/>
          <w:color w:val="auto"/>
          <w:sz w:val="24"/>
          <w:szCs w:val="24"/>
          <w:highlight w:val="none"/>
          <w:lang w:bidi="ar"/>
        </w:rPr>
        <w:t>（6）清洁生产涉及</w:t>
      </w:r>
      <w:r>
        <w:rPr>
          <w:rFonts w:hint="eastAsia" w:ascii="Times New Roman" w:hAnsi="Times New Roman" w:cs="Times New Roman"/>
          <w:color w:val="auto"/>
          <w:sz w:val="24"/>
          <w:szCs w:val="24"/>
          <w:highlight w:val="none"/>
          <w:lang w:eastAsia="zh-CN" w:bidi="ar"/>
        </w:rPr>
        <w:t>建设单位</w:t>
      </w:r>
      <w:r>
        <w:rPr>
          <w:rFonts w:hint="default" w:ascii="Times New Roman" w:hAnsi="Times New Roman" w:eastAsia="宋体" w:cs="Times New Roman"/>
          <w:color w:val="auto"/>
          <w:sz w:val="24"/>
          <w:szCs w:val="24"/>
          <w:highlight w:val="none"/>
          <w:lang w:bidi="ar"/>
        </w:rPr>
        <w:t>生产、技术和管理的各个方面，需要全员参与，建议在全公司开展全员节能、降耗、减污、增效等清洁生产合理化建议活动，并制订切实可行的激励手段，鼓励员工提出合理化建议，组织力量研究、实施职工的合理化建议，争取尽快取得清洁生产成效，同时对职工进行清洁生产宣传教育和操作培训，提高员工的清洁生产意识和操作水平。</w:t>
      </w:r>
    </w:p>
    <w:p w14:paraId="49537868">
      <w:pPr>
        <w:overflowPunct w:val="0"/>
        <w:topLinePunct/>
        <w:spacing w:line="480" w:lineRule="exact"/>
        <w:ind w:firstLine="480"/>
        <w:rPr>
          <w:rFonts w:cs="Times New Roman"/>
          <w:color w:val="auto"/>
          <w:kern w:val="0"/>
          <w:highlight w:val="none"/>
        </w:rPr>
      </w:pPr>
      <w:r>
        <w:rPr>
          <w:rFonts w:cs="Times New Roman"/>
          <w:color w:val="auto"/>
          <w:kern w:val="0"/>
          <w:highlight w:val="none"/>
        </w:rPr>
        <w:t>企业严格执行环保</w:t>
      </w:r>
      <w:r>
        <w:rPr>
          <w:rFonts w:hint="eastAsia" w:cs="Times New Roman"/>
          <w:color w:val="auto"/>
          <w:kern w:val="0"/>
          <w:highlight w:val="none"/>
        </w:rPr>
        <w:t>“</w:t>
      </w:r>
      <w:r>
        <w:rPr>
          <w:rFonts w:cs="Times New Roman"/>
          <w:color w:val="auto"/>
          <w:kern w:val="0"/>
          <w:highlight w:val="none"/>
        </w:rPr>
        <w:t>三同时</w:t>
      </w:r>
      <w:r>
        <w:rPr>
          <w:rFonts w:hint="eastAsia" w:cs="Times New Roman"/>
          <w:color w:val="auto"/>
          <w:kern w:val="0"/>
          <w:highlight w:val="none"/>
        </w:rPr>
        <w:t>”</w:t>
      </w:r>
      <w:r>
        <w:rPr>
          <w:rFonts w:cs="Times New Roman"/>
          <w:color w:val="auto"/>
          <w:kern w:val="0"/>
          <w:highlight w:val="none"/>
        </w:rPr>
        <w:t>制度，切实加强建设项目环境影响评价，可有效地控制新增污染，提高企业的清洁生产水平。企业在采取报告书中提出的相关改进措施后清洁生产水平可达二级水平，为国内清洁生产先进水平，符合清洁生产要求。</w:t>
      </w:r>
    </w:p>
    <w:p w14:paraId="1E8A4290">
      <w:pPr>
        <w:pStyle w:val="5"/>
        <w:rPr>
          <w:color w:val="auto"/>
          <w:highlight w:val="none"/>
        </w:rPr>
      </w:pPr>
      <w:bookmarkStart w:id="460" w:name="_Toc107413892"/>
      <w:bookmarkStart w:id="461" w:name="_Toc9900"/>
      <w:bookmarkStart w:id="462" w:name="_Toc3485"/>
      <w:bookmarkStart w:id="463" w:name="_Toc107414659"/>
      <w:bookmarkStart w:id="464" w:name="_Toc27182"/>
      <w:bookmarkStart w:id="465" w:name="_Toc12782"/>
      <w:bookmarkStart w:id="466" w:name="_Toc28273"/>
      <w:bookmarkStart w:id="467" w:name="_Toc30441"/>
      <w:r>
        <w:rPr>
          <w:color w:val="auto"/>
          <w:highlight w:val="none"/>
        </w:rPr>
        <w:t>3.</w:t>
      </w:r>
      <w:r>
        <w:rPr>
          <w:rFonts w:hint="eastAsia"/>
          <w:color w:val="auto"/>
          <w:highlight w:val="none"/>
          <w:lang w:val="en-US" w:eastAsia="zh-CN"/>
        </w:rPr>
        <w:t>5</w:t>
      </w:r>
      <w:r>
        <w:rPr>
          <w:color w:val="auto"/>
          <w:highlight w:val="none"/>
        </w:rPr>
        <w:t>总量控制</w:t>
      </w:r>
      <w:bookmarkEnd w:id="460"/>
      <w:bookmarkEnd w:id="461"/>
      <w:bookmarkEnd w:id="462"/>
      <w:bookmarkEnd w:id="463"/>
      <w:bookmarkEnd w:id="464"/>
      <w:bookmarkEnd w:id="465"/>
      <w:bookmarkEnd w:id="466"/>
      <w:bookmarkEnd w:id="467"/>
    </w:p>
    <w:p w14:paraId="3BE03432">
      <w:pPr>
        <w:overflowPunct w:val="0"/>
        <w:topLinePunct/>
        <w:ind w:firstLine="480"/>
        <w:rPr>
          <w:rFonts w:hint="eastAsia" w:eastAsia="宋体"/>
          <w:color w:val="auto"/>
          <w:kern w:val="0"/>
          <w:highlight w:val="none"/>
          <w:lang w:eastAsia="zh-CN"/>
        </w:rPr>
      </w:pPr>
      <w:r>
        <w:rPr>
          <w:rFonts w:hint="eastAsia"/>
          <w:color w:val="auto"/>
          <w:kern w:val="0"/>
          <w:highlight w:val="none"/>
          <w:lang w:eastAsia="zh-CN"/>
        </w:rPr>
        <w:t>本</w:t>
      </w:r>
      <w:r>
        <w:rPr>
          <w:color w:val="auto"/>
          <w:kern w:val="0"/>
          <w:highlight w:val="none"/>
        </w:rPr>
        <w:t>项目大气污染物主要为</w:t>
      </w:r>
      <w:r>
        <w:rPr>
          <w:rFonts w:hint="eastAsia"/>
          <w:color w:val="auto"/>
          <w:kern w:val="0"/>
          <w:highlight w:val="none"/>
        </w:rPr>
        <w:t>颗粒物</w:t>
      </w:r>
      <w:r>
        <w:rPr>
          <w:rFonts w:hint="eastAsia"/>
          <w:color w:val="auto"/>
          <w:kern w:val="0"/>
          <w:highlight w:val="none"/>
          <w:lang w:eastAsia="zh-CN"/>
        </w:rPr>
        <w:t>、</w:t>
      </w:r>
      <w:r>
        <w:rPr>
          <w:rFonts w:hint="eastAsia"/>
          <w:color w:val="auto"/>
          <w:kern w:val="0"/>
          <w:highlight w:val="none"/>
          <w:lang w:val="en-US" w:eastAsia="zh-CN"/>
        </w:rPr>
        <w:t>氟化物</w:t>
      </w:r>
      <w:r>
        <w:rPr>
          <w:color w:val="auto"/>
          <w:kern w:val="0"/>
          <w:highlight w:val="none"/>
        </w:rPr>
        <w:t>；</w:t>
      </w:r>
      <w:r>
        <w:rPr>
          <w:rFonts w:hint="eastAsia"/>
          <w:color w:val="auto"/>
          <w:kern w:val="0"/>
          <w:highlight w:val="none"/>
        </w:rPr>
        <w:t>生产</w:t>
      </w:r>
      <w:r>
        <w:rPr>
          <w:color w:val="auto"/>
          <w:kern w:val="0"/>
          <w:highlight w:val="none"/>
        </w:rPr>
        <w:t>废水</w:t>
      </w:r>
      <w:r>
        <w:rPr>
          <w:rFonts w:hint="eastAsia"/>
          <w:color w:val="auto"/>
          <w:kern w:val="0"/>
          <w:highlight w:val="none"/>
        </w:rPr>
        <w:t>“</w:t>
      </w:r>
      <w:r>
        <w:rPr>
          <w:color w:val="auto"/>
          <w:kern w:val="0"/>
          <w:highlight w:val="none"/>
        </w:rPr>
        <w:t>闭路循环</w:t>
      </w:r>
      <w:r>
        <w:rPr>
          <w:rFonts w:hint="eastAsia"/>
          <w:color w:val="auto"/>
          <w:kern w:val="0"/>
          <w:highlight w:val="none"/>
        </w:rPr>
        <w:t>”</w:t>
      </w:r>
      <w:r>
        <w:rPr>
          <w:color w:val="auto"/>
          <w:kern w:val="0"/>
          <w:highlight w:val="none"/>
        </w:rPr>
        <w:t>不外排，因此本项目</w:t>
      </w:r>
      <w:r>
        <w:rPr>
          <w:rFonts w:hint="eastAsia"/>
          <w:color w:val="auto"/>
          <w:kern w:val="0"/>
          <w:highlight w:val="none"/>
          <w:lang w:eastAsia="zh-CN"/>
        </w:rPr>
        <w:t>不设</w:t>
      </w:r>
      <w:r>
        <w:rPr>
          <w:color w:val="auto"/>
          <w:kern w:val="0"/>
          <w:highlight w:val="none"/>
        </w:rPr>
        <w:t>总量控制指标</w:t>
      </w:r>
      <w:r>
        <w:rPr>
          <w:rFonts w:hint="eastAsia"/>
          <w:color w:val="auto"/>
          <w:highlight w:val="none"/>
          <w:shd w:val="clear" w:color="auto" w:fill="FFFFFF"/>
          <w:lang w:eastAsia="zh-CN"/>
        </w:rPr>
        <w:t>。</w:t>
      </w:r>
    </w:p>
    <w:p w14:paraId="61B81C24">
      <w:pPr>
        <w:rPr>
          <w:color w:val="auto"/>
          <w:highlight w:val="none"/>
        </w:rPr>
      </w:pPr>
    </w:p>
    <w:p w14:paraId="3DA1091A">
      <w:pPr>
        <w:rPr>
          <w:color w:val="auto"/>
          <w:highlight w:val="none"/>
        </w:rPr>
      </w:pPr>
      <w:r>
        <w:rPr>
          <w:color w:val="auto"/>
          <w:highlight w:val="none"/>
        </w:rPr>
        <w:br w:type="page"/>
      </w:r>
    </w:p>
    <w:p w14:paraId="6EBF2D13">
      <w:pPr>
        <w:pStyle w:val="4"/>
        <w:spacing w:line="720" w:lineRule="exact"/>
        <w:rPr>
          <w:color w:val="auto"/>
          <w:highlight w:val="none"/>
        </w:rPr>
      </w:pPr>
      <w:bookmarkStart w:id="468" w:name="_Toc32433"/>
      <w:bookmarkStart w:id="469" w:name="_Toc19224"/>
      <w:bookmarkStart w:id="470" w:name="_Toc22355"/>
      <w:bookmarkStart w:id="471" w:name="_Toc21890"/>
      <w:bookmarkStart w:id="472" w:name="_Toc14588"/>
      <w:bookmarkStart w:id="473" w:name="_Toc18"/>
      <w:bookmarkStart w:id="474" w:name="_Toc13626"/>
      <w:bookmarkStart w:id="475" w:name="_Toc1111"/>
      <w:bookmarkStart w:id="476" w:name="_Toc27841"/>
      <w:bookmarkStart w:id="477" w:name="_Toc107413893"/>
      <w:bookmarkStart w:id="478" w:name="_Toc20957"/>
      <w:bookmarkStart w:id="479" w:name="_Toc25076"/>
      <w:bookmarkStart w:id="480" w:name="_Toc7296"/>
      <w:bookmarkStart w:id="481" w:name="_Toc14850"/>
      <w:bookmarkStart w:id="482" w:name="_Toc29875"/>
      <w:bookmarkStart w:id="483" w:name="_Toc29042"/>
      <w:bookmarkStart w:id="484" w:name="_Toc8266"/>
      <w:bookmarkStart w:id="485" w:name="_Toc26256"/>
      <w:bookmarkStart w:id="486" w:name="_Toc107414660"/>
      <w:bookmarkStart w:id="487" w:name="_Toc5990"/>
      <w:bookmarkStart w:id="488" w:name="_Toc12013"/>
      <w:bookmarkStart w:id="489" w:name="_Toc3781"/>
      <w:r>
        <w:rPr>
          <w:color w:val="auto"/>
          <w:highlight w:val="none"/>
        </w:rPr>
        <w:t>4环境现状调查与评价</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723684F0">
      <w:pPr>
        <w:pStyle w:val="5"/>
        <w:rPr>
          <w:color w:val="auto"/>
          <w:highlight w:val="none"/>
        </w:rPr>
      </w:pPr>
      <w:bookmarkStart w:id="490" w:name="_Toc6404"/>
      <w:bookmarkStart w:id="491" w:name="_Toc107413894"/>
      <w:bookmarkStart w:id="492" w:name="_Toc107414661"/>
      <w:bookmarkStart w:id="493" w:name="_Toc20671"/>
      <w:bookmarkStart w:id="494" w:name="_Toc16586"/>
      <w:bookmarkStart w:id="495" w:name="_Toc23778"/>
      <w:bookmarkStart w:id="496" w:name="_Toc5122"/>
      <w:bookmarkStart w:id="497" w:name="_Toc18089"/>
      <w:bookmarkStart w:id="498" w:name="_Toc18721"/>
      <w:bookmarkStart w:id="499" w:name="_Toc16191"/>
      <w:bookmarkStart w:id="500" w:name="_Toc6577"/>
      <w:bookmarkStart w:id="501" w:name="_Toc12566"/>
      <w:bookmarkStart w:id="502" w:name="_Toc20573"/>
      <w:bookmarkStart w:id="503" w:name="_Toc28153"/>
      <w:bookmarkStart w:id="504" w:name="_Toc18850"/>
      <w:bookmarkStart w:id="505" w:name="_Toc21521"/>
      <w:bookmarkStart w:id="506" w:name="_Toc21954"/>
      <w:bookmarkStart w:id="507" w:name="_Toc20708"/>
      <w:bookmarkStart w:id="508" w:name="_Toc7162"/>
      <w:bookmarkStart w:id="509" w:name="_Toc23126"/>
      <w:bookmarkStart w:id="510" w:name="_Toc17165"/>
      <w:bookmarkStart w:id="511" w:name="_Toc31464"/>
      <w:r>
        <w:rPr>
          <w:color w:val="auto"/>
          <w:highlight w:val="none"/>
        </w:rPr>
        <w:t>4.1自然环境</w:t>
      </w:r>
      <w:bookmarkEnd w:id="490"/>
      <w:r>
        <w:rPr>
          <w:color w:val="auto"/>
          <w:highlight w:val="none"/>
        </w:rPr>
        <w:t>概况</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416640E1">
      <w:pPr>
        <w:pStyle w:val="6"/>
        <w:rPr>
          <w:color w:val="auto"/>
          <w:highlight w:val="none"/>
        </w:rPr>
      </w:pPr>
      <w:bookmarkStart w:id="512" w:name="_Toc23532"/>
      <w:bookmarkStart w:id="513" w:name="_Toc24507"/>
      <w:bookmarkStart w:id="514" w:name="_Toc6355"/>
      <w:bookmarkStart w:id="515" w:name="_Toc2649"/>
      <w:bookmarkStart w:id="516" w:name="_Toc26432"/>
      <w:bookmarkStart w:id="517" w:name="_Toc9800"/>
      <w:bookmarkStart w:id="518" w:name="_Toc10252"/>
      <w:bookmarkStart w:id="519" w:name="_Toc18493"/>
      <w:bookmarkStart w:id="520" w:name="_Toc29653"/>
      <w:bookmarkStart w:id="521" w:name="_Toc20425"/>
      <w:r>
        <w:rPr>
          <w:color w:val="auto"/>
          <w:highlight w:val="none"/>
        </w:rPr>
        <w:t>4.1.1地理位置</w:t>
      </w:r>
      <w:bookmarkEnd w:id="512"/>
      <w:bookmarkEnd w:id="513"/>
      <w:bookmarkEnd w:id="514"/>
      <w:bookmarkEnd w:id="515"/>
      <w:bookmarkEnd w:id="516"/>
      <w:bookmarkEnd w:id="517"/>
      <w:bookmarkEnd w:id="518"/>
      <w:bookmarkEnd w:id="519"/>
      <w:bookmarkEnd w:id="520"/>
      <w:bookmarkEnd w:id="521"/>
    </w:p>
    <w:p w14:paraId="6BE07F1B">
      <w:pPr>
        <w:overflowPunct w:val="0"/>
        <w:topLinePunct/>
        <w:spacing w:line="480" w:lineRule="exact"/>
        <w:ind w:firstLine="480"/>
        <w:rPr>
          <w:rFonts w:cs="Times New Roman"/>
          <w:color w:val="auto"/>
          <w:highlight w:val="none"/>
        </w:rPr>
      </w:pPr>
      <w:r>
        <w:rPr>
          <w:rFonts w:hint="eastAsia" w:cs="Times New Roman"/>
          <w:color w:val="auto"/>
          <w:highlight w:val="none"/>
        </w:rPr>
        <w:t>巴音郭楞蒙古自治州，简称“巴州”，隶属于新疆维吾尔自治区，位于新疆维吾尔自治区东南部，境内有高山、盆地、河流、湖泊、戈壁、沙漠和平原绿洲，属中温带和暖温带大陆性气候。总面积47.15万平方千米，辖库尔勒市、轮台县、尉犁县、若羌县、且末县、焉耆县、</w:t>
      </w:r>
      <w:r>
        <w:rPr>
          <w:rFonts w:hint="eastAsia" w:cs="Times New Roman"/>
          <w:color w:val="auto"/>
          <w:highlight w:val="none"/>
          <w:lang w:eastAsia="zh-CN"/>
        </w:rPr>
        <w:t>若羌</w:t>
      </w:r>
      <w:r>
        <w:rPr>
          <w:rFonts w:hint="eastAsia" w:cs="Times New Roman"/>
          <w:color w:val="auto"/>
          <w:highlight w:val="none"/>
        </w:rPr>
        <w:t>县、和硕县、博湖县共八县一市。</w:t>
      </w:r>
    </w:p>
    <w:p w14:paraId="1EA84C5D">
      <w:pPr>
        <w:overflowPunct w:val="0"/>
        <w:topLinePunct/>
        <w:spacing w:line="480" w:lineRule="exact"/>
        <w:ind w:firstLine="480"/>
        <w:rPr>
          <w:rFonts w:cs="Times New Roman"/>
          <w:color w:val="auto"/>
          <w:highlight w:val="none"/>
        </w:rPr>
      </w:pPr>
      <w:r>
        <w:rPr>
          <w:rFonts w:hint="eastAsia" w:cs="Times New Roman"/>
          <w:color w:val="auto"/>
          <w:highlight w:val="none"/>
        </w:rPr>
        <w:t>若羌县，新疆维吾尔自治区</w:t>
      </w:r>
      <w:r>
        <w:rPr>
          <w:rFonts w:hint="eastAsia" w:cs="Times New Roman"/>
          <w:color w:val="auto"/>
          <w:highlight w:val="none"/>
        </w:rPr>
        <w:fldChar w:fldCharType="begin"/>
      </w:r>
      <w:r>
        <w:rPr>
          <w:rFonts w:hint="eastAsia" w:cs="Times New Roman"/>
          <w:color w:val="auto"/>
          <w:highlight w:val="none"/>
        </w:rPr>
        <w:instrText xml:space="preserve"> HYPERLINK "https://baike.baidu.com/item/%E5%B7%B4%E9%9F%B3%E9%83%AD%E6%A5%9E%E8%92%99%E5%8F%A4%E8%87%AA%E6%B2%BB%E5%B7%9E/5310284?fromModule=lemma_inlink"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巴音郭楞蒙古自治州</w:t>
      </w:r>
      <w:r>
        <w:rPr>
          <w:rFonts w:hint="eastAsia" w:cs="Times New Roman"/>
          <w:color w:val="auto"/>
          <w:highlight w:val="none"/>
        </w:rPr>
        <w:fldChar w:fldCharType="end"/>
      </w:r>
      <w:r>
        <w:rPr>
          <w:rFonts w:hint="eastAsia" w:cs="Times New Roman"/>
          <w:color w:val="auto"/>
          <w:highlight w:val="none"/>
        </w:rPr>
        <w:t>辖县，地处巴州东南部，</w:t>
      </w:r>
      <w:r>
        <w:rPr>
          <w:rFonts w:hint="eastAsia" w:cs="Times New Roman"/>
          <w:color w:val="auto"/>
          <w:highlight w:val="none"/>
        </w:rPr>
        <w:fldChar w:fldCharType="begin"/>
      </w:r>
      <w:r>
        <w:rPr>
          <w:rFonts w:hint="eastAsia" w:cs="Times New Roman"/>
          <w:color w:val="auto"/>
          <w:highlight w:val="none"/>
        </w:rPr>
        <w:instrText xml:space="preserve"> HYPERLINK "https://baike.baidu.com/item/%E5%A1%94%E5%85%8B%E6%8B%89%E7%8E%9B%E5%B9%B2%E6%B2%99%E6%BC%A0/502350?fromModule=lemma_inlink"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塔克拉玛干沙漠</w:t>
      </w:r>
      <w:r>
        <w:rPr>
          <w:rFonts w:hint="eastAsia" w:cs="Times New Roman"/>
          <w:color w:val="auto"/>
          <w:highlight w:val="none"/>
        </w:rPr>
        <w:fldChar w:fldCharType="end"/>
      </w:r>
      <w:r>
        <w:rPr>
          <w:rFonts w:hint="eastAsia" w:cs="Times New Roman"/>
          <w:color w:val="auto"/>
          <w:highlight w:val="none"/>
        </w:rPr>
        <w:t>东南缘。西接</w:t>
      </w:r>
      <w:r>
        <w:rPr>
          <w:rFonts w:hint="eastAsia" w:cs="Times New Roman"/>
          <w:color w:val="auto"/>
          <w:highlight w:val="none"/>
        </w:rPr>
        <w:fldChar w:fldCharType="begin"/>
      </w:r>
      <w:r>
        <w:rPr>
          <w:rFonts w:hint="eastAsia" w:cs="Times New Roman"/>
          <w:color w:val="auto"/>
          <w:highlight w:val="none"/>
        </w:rPr>
        <w:instrText xml:space="preserve"> HYPERLINK "https://baike.baidu.com/item/%E4%B8%94%E6%9C%AB%E5%8E%BF/4816583?fromModule=lemma_inlink"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且末县</w:t>
      </w:r>
      <w:r>
        <w:rPr>
          <w:rFonts w:hint="eastAsia" w:cs="Times New Roman"/>
          <w:color w:val="auto"/>
          <w:highlight w:val="none"/>
        </w:rPr>
        <w:fldChar w:fldCharType="end"/>
      </w:r>
      <w:r>
        <w:rPr>
          <w:rFonts w:hint="eastAsia" w:cs="Times New Roman"/>
          <w:color w:val="auto"/>
          <w:highlight w:val="none"/>
        </w:rPr>
        <w:t>，北邻</w:t>
      </w:r>
      <w:r>
        <w:rPr>
          <w:rFonts w:hint="eastAsia" w:cs="Times New Roman"/>
          <w:color w:val="auto"/>
          <w:highlight w:val="none"/>
        </w:rPr>
        <w:fldChar w:fldCharType="begin"/>
      </w:r>
      <w:r>
        <w:rPr>
          <w:rFonts w:hint="eastAsia" w:cs="Times New Roman"/>
          <w:color w:val="auto"/>
          <w:highlight w:val="none"/>
        </w:rPr>
        <w:instrText xml:space="preserve"> HYPERLINK "https://baike.baidu.com/item/%E5%B0%89%E7%8A%81%E5%8E%BF/4584116?fromModule=lemma_inlink"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尉犁县</w:t>
      </w:r>
      <w:r>
        <w:rPr>
          <w:rFonts w:hint="eastAsia" w:cs="Times New Roman"/>
          <w:color w:val="auto"/>
          <w:highlight w:val="none"/>
        </w:rPr>
        <w:fldChar w:fldCharType="end"/>
      </w:r>
      <w:r>
        <w:rPr>
          <w:rFonts w:hint="eastAsia" w:cs="Times New Roman"/>
          <w:color w:val="auto"/>
          <w:highlight w:val="none"/>
        </w:rPr>
        <w:t>及</w:t>
      </w:r>
      <w:r>
        <w:rPr>
          <w:rFonts w:hint="eastAsia" w:cs="Times New Roman"/>
          <w:color w:val="auto"/>
          <w:highlight w:val="none"/>
        </w:rPr>
        <w:fldChar w:fldCharType="begin"/>
      </w:r>
      <w:r>
        <w:rPr>
          <w:rFonts w:hint="eastAsia" w:cs="Times New Roman"/>
          <w:color w:val="auto"/>
          <w:highlight w:val="none"/>
        </w:rPr>
        <w:instrText xml:space="preserve"> HYPERLINK "https://baike.baidu.com/item/%E9%84%AF%E5%96%84%E5%8E%BF/4807439?fromModule=lemma_inlink"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鄯善县</w:t>
      </w:r>
      <w:r>
        <w:rPr>
          <w:rFonts w:hint="eastAsia" w:cs="Times New Roman"/>
          <w:color w:val="auto"/>
          <w:highlight w:val="none"/>
        </w:rPr>
        <w:fldChar w:fldCharType="end"/>
      </w:r>
      <w:r>
        <w:rPr>
          <w:rFonts w:hint="eastAsia" w:cs="Times New Roman"/>
          <w:color w:val="auto"/>
          <w:highlight w:val="none"/>
        </w:rPr>
        <w:t>和</w:t>
      </w:r>
      <w:r>
        <w:rPr>
          <w:rFonts w:hint="eastAsia" w:cs="Times New Roman"/>
          <w:color w:val="auto"/>
          <w:highlight w:val="none"/>
        </w:rPr>
        <w:fldChar w:fldCharType="begin"/>
      </w:r>
      <w:r>
        <w:rPr>
          <w:rFonts w:hint="eastAsia" w:cs="Times New Roman"/>
          <w:color w:val="auto"/>
          <w:highlight w:val="none"/>
        </w:rPr>
        <w:instrText xml:space="preserve"> HYPERLINK "https://baike.baidu.com/item/%E5%93%88%E5%AF%86%E5%B8%82/2394303?fromModule=lemma_inlink"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哈密市</w:t>
      </w:r>
      <w:r>
        <w:rPr>
          <w:rFonts w:hint="eastAsia" w:cs="Times New Roman"/>
          <w:color w:val="auto"/>
          <w:highlight w:val="none"/>
        </w:rPr>
        <w:fldChar w:fldCharType="end"/>
      </w:r>
      <w:r>
        <w:rPr>
          <w:rFonts w:hint="eastAsia" w:cs="Times New Roman"/>
          <w:color w:val="auto"/>
          <w:highlight w:val="none"/>
        </w:rPr>
        <w:t>，东与</w:t>
      </w:r>
      <w:r>
        <w:rPr>
          <w:rFonts w:hint="eastAsia" w:cs="Times New Roman"/>
          <w:color w:val="auto"/>
          <w:highlight w:val="none"/>
        </w:rPr>
        <w:fldChar w:fldCharType="begin"/>
      </w:r>
      <w:r>
        <w:rPr>
          <w:rFonts w:hint="eastAsia" w:cs="Times New Roman"/>
          <w:color w:val="auto"/>
          <w:highlight w:val="none"/>
        </w:rPr>
        <w:instrText xml:space="preserve"> HYPERLINK "https://baike.baidu.com/item/%E7%94%98%E8%82%83%E7%9C%81/684374?fromModule=lemma_inlink"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甘肃省</w:t>
      </w:r>
      <w:r>
        <w:rPr>
          <w:rFonts w:hint="eastAsia" w:cs="Times New Roman"/>
          <w:color w:val="auto"/>
          <w:highlight w:val="none"/>
        </w:rPr>
        <w:fldChar w:fldCharType="end"/>
      </w:r>
      <w:r>
        <w:rPr>
          <w:rFonts w:hint="eastAsia" w:cs="Times New Roman"/>
          <w:color w:val="auto"/>
          <w:highlight w:val="none"/>
        </w:rPr>
        <w:t>、</w:t>
      </w:r>
      <w:r>
        <w:rPr>
          <w:rFonts w:hint="eastAsia" w:cs="Times New Roman"/>
          <w:color w:val="auto"/>
          <w:highlight w:val="none"/>
        </w:rPr>
        <w:fldChar w:fldCharType="begin"/>
      </w:r>
      <w:r>
        <w:rPr>
          <w:rFonts w:hint="eastAsia" w:cs="Times New Roman"/>
          <w:color w:val="auto"/>
          <w:highlight w:val="none"/>
        </w:rPr>
        <w:instrText xml:space="preserve"> HYPERLINK "https://baike.baidu.com/item/%E9%9D%92%E6%B5%B7%E7%9C%81/19428913?fromModule=lemma_inlink"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青海省</w:t>
      </w:r>
      <w:r>
        <w:rPr>
          <w:rFonts w:hint="eastAsia" w:cs="Times New Roman"/>
          <w:color w:val="auto"/>
          <w:highlight w:val="none"/>
        </w:rPr>
        <w:fldChar w:fldCharType="end"/>
      </w:r>
      <w:r>
        <w:rPr>
          <w:rFonts w:hint="eastAsia" w:cs="Times New Roman"/>
          <w:color w:val="auto"/>
          <w:highlight w:val="none"/>
        </w:rPr>
        <w:t>交界，南与</w:t>
      </w:r>
      <w:r>
        <w:rPr>
          <w:rFonts w:hint="eastAsia" w:cs="Times New Roman"/>
          <w:color w:val="auto"/>
          <w:highlight w:val="none"/>
        </w:rPr>
        <w:fldChar w:fldCharType="begin"/>
      </w:r>
      <w:r>
        <w:rPr>
          <w:rFonts w:hint="eastAsia" w:cs="Times New Roman"/>
          <w:color w:val="auto"/>
          <w:highlight w:val="none"/>
        </w:rPr>
        <w:instrText xml:space="preserve"> HYPERLINK "https://baike.baidu.com/item/%E8%A5%BF%E8%97%8F%E8%87%AA%E6%B2%BB%E5%8C%BA/242417?fromModule=lemma_inlink" \t "https://baike.baidu.com/item/%E8%8B%A5%E7%BE%8C%E5%8E%BF/_blank" </w:instrText>
      </w:r>
      <w:r>
        <w:rPr>
          <w:rFonts w:hint="eastAsia" w:cs="Times New Roman"/>
          <w:color w:val="auto"/>
          <w:highlight w:val="none"/>
        </w:rPr>
        <w:fldChar w:fldCharType="separate"/>
      </w:r>
      <w:r>
        <w:rPr>
          <w:rFonts w:hint="eastAsia" w:cs="Times New Roman"/>
          <w:color w:val="auto"/>
          <w:highlight w:val="none"/>
        </w:rPr>
        <w:t>西藏</w:t>
      </w:r>
      <w:r>
        <w:rPr>
          <w:rFonts w:hint="eastAsia" w:cs="Times New Roman"/>
          <w:color w:val="auto"/>
          <w:highlight w:val="none"/>
        </w:rPr>
        <w:fldChar w:fldCharType="end"/>
      </w:r>
      <w:r>
        <w:rPr>
          <w:rFonts w:hint="eastAsia" w:cs="Times New Roman"/>
          <w:color w:val="auto"/>
          <w:highlight w:val="none"/>
        </w:rPr>
        <w:t>接壤。</w:t>
      </w:r>
    </w:p>
    <w:p w14:paraId="16A0B3B4">
      <w:pPr>
        <w:overflowPunct w:val="0"/>
        <w:topLinePunct/>
        <w:snapToGrid w:val="0"/>
        <w:ind w:firstLine="480" w:firstLineChars="200"/>
        <w:rPr>
          <w:rFonts w:hint="eastAsia" w:eastAsia="宋体"/>
          <w:color w:val="auto"/>
          <w:highlight w:val="none"/>
          <w:lang w:val="en-US" w:eastAsia="zh-CN"/>
        </w:rPr>
      </w:pPr>
      <w:r>
        <w:rPr>
          <w:rFonts w:hint="eastAsia"/>
          <w:color w:val="auto"/>
          <w:highlight w:val="none"/>
        </w:rPr>
        <w:t>本项目位于新疆维吾尔自治区巴音郭楞蒙古自治州</w:t>
      </w:r>
      <w:r>
        <w:rPr>
          <w:rFonts w:hint="eastAsia"/>
          <w:color w:val="auto"/>
          <w:highlight w:val="none"/>
          <w:lang w:eastAsia="zh-CN"/>
        </w:rPr>
        <w:t>若羌</w:t>
      </w:r>
      <w:r>
        <w:rPr>
          <w:rFonts w:hint="eastAsia"/>
          <w:color w:val="auto"/>
          <w:highlight w:val="none"/>
        </w:rPr>
        <w:t>县</w:t>
      </w:r>
      <w:r>
        <w:rPr>
          <w:rFonts w:hint="eastAsia"/>
          <w:color w:val="auto"/>
          <w:highlight w:val="none"/>
          <w:lang w:eastAsia="zh-CN"/>
        </w:rPr>
        <w:t>东南</w:t>
      </w:r>
      <w:r>
        <w:rPr>
          <w:rFonts w:hint="eastAsia"/>
          <w:color w:val="auto"/>
          <w:highlight w:val="none"/>
          <w:lang w:val="en-US" w:eastAsia="zh-CN"/>
        </w:rPr>
        <w:t>144</w:t>
      </w:r>
      <w:r>
        <w:rPr>
          <w:rFonts w:hint="eastAsia"/>
          <w:color w:val="auto"/>
          <w:highlight w:val="none"/>
        </w:rPr>
        <w:t>°方向，距</w:t>
      </w:r>
      <w:r>
        <w:rPr>
          <w:rFonts w:hint="eastAsia"/>
          <w:color w:val="auto"/>
          <w:highlight w:val="none"/>
          <w:lang w:eastAsia="zh-CN"/>
        </w:rPr>
        <w:t>若羌</w:t>
      </w:r>
      <w:r>
        <w:rPr>
          <w:rFonts w:hint="eastAsia"/>
          <w:color w:val="auto"/>
          <w:highlight w:val="none"/>
        </w:rPr>
        <w:t>县城</w:t>
      </w:r>
      <w:r>
        <w:rPr>
          <w:rFonts w:hint="eastAsia"/>
          <w:color w:val="auto"/>
          <w:highlight w:val="none"/>
          <w:lang w:eastAsia="zh-CN"/>
        </w:rPr>
        <w:t>直线距离</w:t>
      </w:r>
      <w:r>
        <w:rPr>
          <w:rFonts w:hint="eastAsia"/>
          <w:color w:val="auto"/>
          <w:highlight w:val="none"/>
          <w:lang w:val="en-US" w:eastAsia="zh-CN"/>
        </w:rPr>
        <w:t>74</w:t>
      </w:r>
      <w:r>
        <w:rPr>
          <w:rFonts w:hint="eastAsia"/>
          <w:color w:val="auto"/>
          <w:highlight w:val="none"/>
        </w:rPr>
        <w:t>公里，行政区划隶属</w:t>
      </w:r>
      <w:r>
        <w:rPr>
          <w:rFonts w:hint="eastAsia"/>
          <w:color w:val="auto"/>
          <w:highlight w:val="none"/>
          <w:lang w:eastAsia="zh-CN"/>
        </w:rPr>
        <w:t>若羌</w:t>
      </w:r>
      <w:r>
        <w:rPr>
          <w:rFonts w:hint="eastAsia"/>
          <w:color w:val="auto"/>
          <w:highlight w:val="none"/>
        </w:rPr>
        <w:t>县管辖。</w:t>
      </w:r>
      <w:r>
        <w:rPr>
          <w:rFonts w:hint="eastAsia" w:cs="Times New Roman"/>
          <w:color w:val="auto"/>
          <w:szCs w:val="24"/>
          <w:highlight w:val="none"/>
        </w:rPr>
        <w:t>本项目</w:t>
      </w:r>
      <w:r>
        <w:rPr>
          <w:rFonts w:hint="eastAsia"/>
          <w:color w:val="auto"/>
          <w:highlight w:val="none"/>
        </w:rPr>
        <w:t>采矿工程</w:t>
      </w:r>
      <w:r>
        <w:rPr>
          <w:rFonts w:hint="eastAsia"/>
          <w:color w:val="auto"/>
          <w:highlight w:val="none"/>
          <w:lang w:val="en-US" w:eastAsia="zh-CN"/>
        </w:rPr>
        <w:t>位于矿区范围内，</w:t>
      </w:r>
      <w:r>
        <w:rPr>
          <w:rFonts w:hint="eastAsia" w:cs="Times New Roman"/>
          <w:color w:val="auto"/>
          <w:szCs w:val="24"/>
          <w:highlight w:val="none"/>
        </w:rPr>
        <w:t>选矿厂</w:t>
      </w:r>
      <w:r>
        <w:rPr>
          <w:rFonts w:hint="eastAsia" w:cs="Times New Roman"/>
          <w:color w:val="auto"/>
          <w:szCs w:val="24"/>
          <w:highlight w:val="none"/>
          <w:lang w:val="en-US" w:eastAsia="zh-CN"/>
        </w:rPr>
        <w:t>位于</w:t>
      </w:r>
      <w:r>
        <w:rPr>
          <w:rFonts w:hint="eastAsia"/>
          <w:color w:val="auto"/>
          <w:highlight w:val="none"/>
        </w:rPr>
        <w:t>采矿工程</w:t>
      </w:r>
      <w:r>
        <w:rPr>
          <w:rFonts w:hint="eastAsia"/>
          <w:color w:val="auto"/>
          <w:highlight w:val="none"/>
          <w:lang w:val="en-US" w:eastAsia="zh-CN"/>
        </w:rPr>
        <w:t>南侧</w:t>
      </w:r>
      <w:r>
        <w:rPr>
          <w:rFonts w:hint="eastAsia" w:cs="Times New Roman"/>
          <w:color w:val="auto"/>
          <w:szCs w:val="24"/>
          <w:highlight w:val="none"/>
          <w:lang w:eastAsia="zh-CN"/>
        </w:rPr>
        <w:t>，</w:t>
      </w:r>
      <w:r>
        <w:rPr>
          <w:rFonts w:hint="eastAsia" w:cs="Times New Roman"/>
          <w:color w:val="auto"/>
          <w:szCs w:val="24"/>
          <w:highlight w:val="none"/>
          <w:lang w:val="en-US" w:eastAsia="zh-CN"/>
        </w:rPr>
        <w:t>采选区中心地理坐标为。</w:t>
      </w:r>
      <w:r>
        <w:rPr>
          <w:rFonts w:hint="eastAsia" w:cs="Times New Roman"/>
          <w:color w:val="auto"/>
          <w:szCs w:val="24"/>
          <w:highlight w:val="none"/>
          <w:lang w:eastAsia="zh-CN"/>
        </w:rPr>
        <w:t>尾矿库位于选矿厂东南方向</w:t>
      </w:r>
      <w:r>
        <w:rPr>
          <w:rFonts w:hint="eastAsia" w:cs="Times New Roman"/>
          <w:color w:val="auto"/>
          <w:szCs w:val="24"/>
          <w:highlight w:val="none"/>
          <w:lang w:val="en-US" w:eastAsia="zh-CN"/>
        </w:rPr>
        <w:t>3.2km处</w:t>
      </w:r>
      <w:r>
        <w:rPr>
          <w:rFonts w:hint="eastAsia" w:cs="Times New Roman"/>
          <w:color w:val="auto"/>
          <w:szCs w:val="24"/>
          <w:highlight w:val="none"/>
          <w:lang w:eastAsia="zh-CN"/>
        </w:rPr>
        <w:t>，</w:t>
      </w:r>
      <w:r>
        <w:rPr>
          <w:rFonts w:hint="eastAsia" w:cs="Times New Roman"/>
          <w:color w:val="auto"/>
          <w:szCs w:val="24"/>
          <w:highlight w:val="none"/>
          <w:lang w:val="en-US" w:eastAsia="zh-CN"/>
        </w:rPr>
        <w:t>中心</w:t>
      </w:r>
      <w:r>
        <w:rPr>
          <w:rFonts w:hint="eastAsia" w:cs="Times New Roman"/>
          <w:color w:val="auto"/>
          <w:szCs w:val="24"/>
          <w:highlight w:val="none"/>
          <w:lang w:eastAsia="zh-CN"/>
        </w:rPr>
        <w:t>坐标为。</w:t>
      </w:r>
    </w:p>
    <w:p w14:paraId="55516D71">
      <w:pPr>
        <w:pStyle w:val="6"/>
        <w:rPr>
          <w:color w:val="auto"/>
          <w:highlight w:val="none"/>
        </w:rPr>
      </w:pPr>
      <w:bookmarkStart w:id="522" w:name="_Toc28124"/>
      <w:bookmarkStart w:id="523" w:name="_Toc6685"/>
      <w:bookmarkStart w:id="524" w:name="_Toc30674"/>
      <w:r>
        <w:rPr>
          <w:color w:val="auto"/>
          <w:highlight w:val="none"/>
        </w:rPr>
        <w:t>4.1.</w:t>
      </w:r>
      <w:r>
        <w:rPr>
          <w:rFonts w:hint="eastAsia"/>
          <w:color w:val="auto"/>
          <w:highlight w:val="none"/>
        </w:rPr>
        <w:t>2地形地貌</w:t>
      </w:r>
      <w:bookmarkEnd w:id="522"/>
      <w:bookmarkEnd w:id="523"/>
      <w:bookmarkEnd w:id="524"/>
    </w:p>
    <w:p w14:paraId="3F851893">
      <w:pPr>
        <w:keepNext w:val="0"/>
        <w:keepLines w:val="0"/>
        <w:pageBreakBefore w:val="0"/>
        <w:widowControl w:val="0"/>
        <w:kinsoku/>
        <w:wordWrap/>
        <w:autoSpaceDE/>
        <w:autoSpaceDN/>
        <w:bidi w:val="0"/>
        <w:adjustRightInd/>
        <w:snapToGrid/>
        <w:textAlignment w:val="auto"/>
        <w:rPr>
          <w:color w:val="auto"/>
          <w:highlight w:val="none"/>
        </w:rPr>
      </w:pPr>
      <w:r>
        <w:rPr>
          <w:rFonts w:hint="eastAsia"/>
          <w:color w:val="auto"/>
          <w:highlight w:val="none"/>
          <w:lang w:val="en-US" w:eastAsia="zh-CN"/>
        </w:rPr>
        <w:t>项目区</w:t>
      </w:r>
      <w:r>
        <w:rPr>
          <w:color w:val="auto"/>
          <w:highlight w:val="none"/>
        </w:rPr>
        <w:t>位于阿尔金山山脉中段北麓，区域上属中高山区地形。山脉呈近东西向分布，总的地势是</w:t>
      </w:r>
      <w:r>
        <w:rPr>
          <w:rFonts w:hint="eastAsia"/>
          <w:color w:val="auto"/>
          <w:highlight w:val="none"/>
          <w:lang w:eastAsia="zh-CN"/>
        </w:rPr>
        <w:t>西南</w:t>
      </w:r>
      <w:r>
        <w:rPr>
          <w:color w:val="auto"/>
          <w:highlight w:val="none"/>
        </w:rPr>
        <w:t>低</w:t>
      </w:r>
      <w:r>
        <w:rPr>
          <w:rFonts w:hint="eastAsia"/>
          <w:color w:val="auto"/>
          <w:highlight w:val="none"/>
          <w:lang w:eastAsia="zh-CN"/>
        </w:rPr>
        <w:t>、东北</w:t>
      </w:r>
      <w:r>
        <w:rPr>
          <w:color w:val="auto"/>
          <w:highlight w:val="none"/>
        </w:rPr>
        <w:t>高，绝对高程3300</w:t>
      </w:r>
      <w:r>
        <w:rPr>
          <w:rFonts w:hint="eastAsia"/>
          <w:color w:val="auto"/>
          <w:highlight w:val="none"/>
        </w:rPr>
        <w:t>-</w:t>
      </w:r>
      <w:r>
        <w:rPr>
          <w:color w:val="auto"/>
          <w:highlight w:val="none"/>
        </w:rPr>
        <w:t>3200</w:t>
      </w:r>
      <w:r>
        <w:rPr>
          <w:rFonts w:hint="eastAsia"/>
          <w:color w:val="auto"/>
          <w:highlight w:val="none"/>
        </w:rPr>
        <w:t>米</w:t>
      </w:r>
      <w:r>
        <w:rPr>
          <w:color w:val="auto"/>
          <w:highlight w:val="none"/>
        </w:rPr>
        <w:t>，切割深度500</w:t>
      </w:r>
      <w:r>
        <w:rPr>
          <w:rFonts w:hint="eastAsia"/>
          <w:color w:val="auto"/>
          <w:highlight w:val="none"/>
        </w:rPr>
        <w:t>-</w:t>
      </w:r>
      <w:r>
        <w:rPr>
          <w:color w:val="auto"/>
          <w:highlight w:val="none"/>
        </w:rPr>
        <w:t>600</w:t>
      </w:r>
      <w:r>
        <w:rPr>
          <w:rFonts w:hint="eastAsia"/>
          <w:color w:val="auto"/>
          <w:highlight w:val="none"/>
        </w:rPr>
        <w:t>米</w:t>
      </w:r>
      <w:r>
        <w:rPr>
          <w:color w:val="auto"/>
          <w:highlight w:val="none"/>
        </w:rPr>
        <w:t>。山势陡峭，山脊多呈尖顶状，岩石裸露，植被稀少。</w:t>
      </w:r>
    </w:p>
    <w:p w14:paraId="6B8ABF61">
      <w:pPr>
        <w:keepNext w:val="0"/>
        <w:keepLines w:val="0"/>
        <w:pageBreakBefore w:val="0"/>
        <w:widowControl w:val="0"/>
        <w:kinsoku/>
        <w:wordWrap/>
        <w:autoSpaceDE/>
        <w:autoSpaceDN/>
        <w:bidi w:val="0"/>
        <w:adjustRightInd/>
        <w:snapToGrid/>
        <w:textAlignment w:val="auto"/>
        <w:rPr>
          <w:rFonts w:hint="eastAsia"/>
          <w:color w:val="auto"/>
          <w:highlight w:val="none"/>
        </w:rPr>
      </w:pPr>
      <w:r>
        <w:rPr>
          <w:rFonts w:hint="eastAsia"/>
          <w:color w:val="auto"/>
          <w:highlight w:val="none"/>
          <w:lang w:eastAsia="zh-CN"/>
        </w:rPr>
        <w:t>区域内</w:t>
      </w:r>
      <w:r>
        <w:rPr>
          <w:color w:val="auto"/>
          <w:highlight w:val="none"/>
        </w:rPr>
        <w:t>西部由东南向北西方向发育一条若羌河上游支流沟谷</w:t>
      </w:r>
      <w:r>
        <w:rPr>
          <w:rFonts w:hint="eastAsia"/>
          <w:color w:val="auto"/>
          <w:highlight w:val="none"/>
        </w:rPr>
        <w:t>-</w:t>
      </w:r>
      <w:r>
        <w:rPr>
          <w:color w:val="auto"/>
          <w:highlight w:val="none"/>
        </w:rPr>
        <w:t>阿克苏河，由南向北方向径流（由东南边界流入</w:t>
      </w:r>
      <w:r>
        <w:rPr>
          <w:rFonts w:hint="eastAsia"/>
          <w:color w:val="auto"/>
          <w:highlight w:val="none"/>
          <w:lang w:eastAsia="zh-CN"/>
        </w:rPr>
        <w:t>北侧</w:t>
      </w:r>
      <w:r>
        <w:rPr>
          <w:color w:val="auto"/>
          <w:highlight w:val="none"/>
        </w:rPr>
        <w:t>矿区，由北西方向流出</w:t>
      </w:r>
      <w:r>
        <w:rPr>
          <w:rFonts w:hint="eastAsia"/>
          <w:color w:val="auto"/>
          <w:highlight w:val="none"/>
          <w:lang w:eastAsia="zh-CN"/>
        </w:rPr>
        <w:t>北侧</w:t>
      </w:r>
      <w:r>
        <w:rPr>
          <w:color w:val="auto"/>
          <w:highlight w:val="none"/>
        </w:rPr>
        <w:t>矿区）河流曲折蜿蜒，水流湍急，河漫滩植被相对发育，河谷横断面多呈“V”或“U”型。</w:t>
      </w:r>
    </w:p>
    <w:p w14:paraId="49AE34B9">
      <w:pPr>
        <w:keepNext w:val="0"/>
        <w:keepLines w:val="0"/>
        <w:pageBreakBefore w:val="0"/>
        <w:widowControl w:val="0"/>
        <w:kinsoku/>
        <w:wordWrap/>
        <w:overflowPunct w:val="0"/>
        <w:topLinePunct/>
        <w:autoSpaceDE/>
        <w:autoSpaceDN/>
        <w:bidi w:val="0"/>
        <w:adjustRightInd/>
        <w:snapToGrid/>
        <w:spacing w:line="480" w:lineRule="exact"/>
        <w:ind w:firstLine="480"/>
        <w:textAlignment w:val="auto"/>
        <w:rPr>
          <w:rFonts w:cs="Times New Roman"/>
          <w:color w:val="auto"/>
          <w:szCs w:val="24"/>
          <w:highlight w:val="none"/>
        </w:rPr>
      </w:pPr>
      <w:r>
        <w:rPr>
          <w:color w:val="auto"/>
          <w:highlight w:val="none"/>
        </w:rPr>
        <w:t>总体上，</w:t>
      </w:r>
      <w:r>
        <w:rPr>
          <w:rFonts w:hint="eastAsia"/>
          <w:color w:val="auto"/>
          <w:highlight w:val="none"/>
          <w:lang w:eastAsia="zh-CN"/>
        </w:rPr>
        <w:t>项目区</w:t>
      </w:r>
      <w:r>
        <w:rPr>
          <w:color w:val="auto"/>
          <w:highlight w:val="none"/>
        </w:rPr>
        <w:t>周边地区地貌类型单一，地形</w:t>
      </w:r>
      <w:r>
        <w:rPr>
          <w:rFonts w:hint="eastAsia"/>
          <w:color w:val="auto"/>
          <w:highlight w:val="none"/>
        </w:rPr>
        <w:t>复杂程度较复杂</w:t>
      </w:r>
      <w:r>
        <w:rPr>
          <w:color w:val="auto"/>
          <w:highlight w:val="none"/>
        </w:rPr>
        <w:t>。</w:t>
      </w:r>
    </w:p>
    <w:p w14:paraId="29547146">
      <w:pPr>
        <w:pStyle w:val="6"/>
        <w:rPr>
          <w:color w:val="auto"/>
          <w:highlight w:val="none"/>
        </w:rPr>
      </w:pPr>
      <w:bookmarkStart w:id="525" w:name="_Toc22609"/>
      <w:bookmarkStart w:id="526" w:name="_Toc8000"/>
      <w:bookmarkStart w:id="527" w:name="_Toc10168"/>
      <w:r>
        <w:rPr>
          <w:color w:val="auto"/>
          <w:highlight w:val="none"/>
        </w:rPr>
        <w:t>4.1.</w:t>
      </w:r>
      <w:r>
        <w:rPr>
          <w:rFonts w:hint="eastAsia"/>
          <w:color w:val="auto"/>
          <w:highlight w:val="none"/>
        </w:rPr>
        <w:t>3气象</w:t>
      </w:r>
      <w:bookmarkEnd w:id="525"/>
      <w:bookmarkEnd w:id="526"/>
      <w:bookmarkEnd w:id="527"/>
    </w:p>
    <w:p w14:paraId="1747DE8D">
      <w:pPr>
        <w:overflowPunct w:val="0"/>
        <w:topLinePunct/>
        <w:spacing w:line="480" w:lineRule="exact"/>
        <w:ind w:firstLine="480"/>
        <w:rPr>
          <w:rFonts w:cs="Times New Roman"/>
          <w:bCs/>
          <w:color w:val="auto"/>
          <w:highlight w:val="none"/>
        </w:rPr>
      </w:pPr>
      <w:r>
        <w:rPr>
          <w:rFonts w:hint="eastAsia"/>
          <w:color w:val="auto"/>
          <w:highlight w:val="none"/>
          <w:lang w:val="en-US" w:eastAsia="zh-CN"/>
        </w:rPr>
        <w:t>本区域</w:t>
      </w:r>
      <w:r>
        <w:rPr>
          <w:color w:val="auto"/>
          <w:highlight w:val="none"/>
          <w:lang w:val="en-US" w:eastAsia="zh-CN"/>
        </w:rPr>
        <w:t>属典型大陆</w:t>
      </w:r>
      <w:r>
        <w:rPr>
          <w:rFonts w:hint="eastAsia"/>
          <w:color w:val="auto"/>
          <w:highlight w:val="none"/>
          <w:lang w:val="en-US" w:eastAsia="zh-CN"/>
        </w:rPr>
        <w:t>性</w:t>
      </w:r>
      <w:r>
        <w:rPr>
          <w:color w:val="auto"/>
          <w:highlight w:val="none"/>
          <w:lang w:val="en-US" w:eastAsia="zh-CN"/>
        </w:rPr>
        <w:t>高</w:t>
      </w:r>
      <w:r>
        <w:rPr>
          <w:rFonts w:hint="eastAsia"/>
          <w:color w:val="auto"/>
          <w:highlight w:val="none"/>
          <w:lang w:val="en-US" w:eastAsia="zh-CN"/>
        </w:rPr>
        <w:t>原</w:t>
      </w:r>
      <w:r>
        <w:rPr>
          <w:color w:val="auto"/>
          <w:highlight w:val="none"/>
          <w:lang w:val="en-US" w:eastAsia="zh-CN"/>
        </w:rPr>
        <w:t>寒冷干旱气候区，夏季炎热干燥，冬季严寒。据</w:t>
      </w:r>
      <w:r>
        <w:rPr>
          <w:rFonts w:hint="eastAsia"/>
          <w:color w:val="auto"/>
          <w:highlight w:val="none"/>
          <w:lang w:val="en-US" w:eastAsia="zh-CN"/>
        </w:rPr>
        <w:t>若羌县茫崖气象站资料统计：年平均气温</w:t>
      </w:r>
      <w:r>
        <w:rPr>
          <w:rFonts w:hint="default"/>
          <w:color w:val="auto"/>
          <w:highlight w:val="none"/>
          <w:lang w:val="en-US" w:eastAsia="zh-CN"/>
        </w:rPr>
        <w:t>1.5℃</w:t>
      </w:r>
      <w:r>
        <w:rPr>
          <w:rFonts w:hint="eastAsia"/>
          <w:color w:val="auto"/>
          <w:highlight w:val="none"/>
          <w:lang w:val="en-US" w:eastAsia="zh-CN"/>
        </w:rPr>
        <w:t>，最高温度出现在</w:t>
      </w:r>
      <w:r>
        <w:rPr>
          <w:rFonts w:hint="default"/>
          <w:color w:val="auto"/>
          <w:highlight w:val="none"/>
          <w:lang w:val="en-US" w:eastAsia="zh-CN"/>
        </w:rPr>
        <w:t>7</w:t>
      </w:r>
      <w:r>
        <w:rPr>
          <w:rFonts w:hint="eastAsia"/>
          <w:color w:val="auto"/>
          <w:highlight w:val="none"/>
          <w:lang w:val="en-US" w:eastAsia="zh-CN"/>
        </w:rPr>
        <w:t>月份，月平均气温</w:t>
      </w:r>
      <w:r>
        <w:rPr>
          <w:rFonts w:hint="default"/>
          <w:color w:val="auto"/>
          <w:highlight w:val="none"/>
          <w:lang w:val="en-US" w:eastAsia="zh-CN"/>
        </w:rPr>
        <w:t>12.5℃</w:t>
      </w:r>
      <w:r>
        <w:rPr>
          <w:rFonts w:hint="eastAsia"/>
          <w:color w:val="auto"/>
          <w:highlight w:val="none"/>
          <w:lang w:val="en-US" w:eastAsia="zh-CN"/>
        </w:rPr>
        <w:t>，</w:t>
      </w:r>
      <w:r>
        <w:rPr>
          <w:rFonts w:hint="default"/>
          <w:color w:val="auto"/>
          <w:highlight w:val="none"/>
          <w:lang w:val="en-US" w:eastAsia="zh-CN"/>
        </w:rPr>
        <w:t>0℃</w:t>
      </w:r>
      <w:r>
        <w:rPr>
          <w:rFonts w:hint="eastAsia"/>
          <w:color w:val="auto"/>
          <w:highlight w:val="none"/>
          <w:lang w:val="en-US" w:eastAsia="zh-CN"/>
        </w:rPr>
        <w:t>以下温度出现在</w:t>
      </w:r>
      <w:r>
        <w:rPr>
          <w:rFonts w:hint="default"/>
          <w:color w:val="auto"/>
          <w:highlight w:val="none"/>
          <w:lang w:val="en-US" w:eastAsia="zh-CN"/>
        </w:rPr>
        <w:t>1</w:t>
      </w:r>
      <w:r>
        <w:rPr>
          <w:rFonts w:hint="eastAsia"/>
          <w:color w:val="auto"/>
          <w:highlight w:val="none"/>
          <w:lang w:val="en-US" w:eastAsia="zh-CN"/>
        </w:rPr>
        <w:t>、</w:t>
      </w:r>
      <w:r>
        <w:rPr>
          <w:rFonts w:hint="default"/>
          <w:color w:val="auto"/>
          <w:highlight w:val="none"/>
          <w:lang w:val="en-US" w:eastAsia="zh-CN"/>
        </w:rPr>
        <w:t>2</w:t>
      </w:r>
      <w:r>
        <w:rPr>
          <w:rFonts w:hint="eastAsia"/>
          <w:color w:val="auto"/>
          <w:highlight w:val="none"/>
          <w:lang w:val="en-US" w:eastAsia="zh-CN"/>
        </w:rPr>
        <w:t>、</w:t>
      </w:r>
      <w:r>
        <w:rPr>
          <w:rFonts w:hint="default"/>
          <w:color w:val="auto"/>
          <w:highlight w:val="none"/>
          <w:lang w:val="en-US" w:eastAsia="zh-CN"/>
        </w:rPr>
        <w:t>3</w:t>
      </w:r>
      <w:r>
        <w:rPr>
          <w:rFonts w:hint="eastAsia"/>
          <w:color w:val="auto"/>
          <w:highlight w:val="none"/>
          <w:lang w:val="en-US" w:eastAsia="zh-CN"/>
        </w:rPr>
        <w:t>、</w:t>
      </w:r>
      <w:r>
        <w:rPr>
          <w:rFonts w:hint="default"/>
          <w:color w:val="auto"/>
          <w:highlight w:val="none"/>
          <w:lang w:val="en-US" w:eastAsia="zh-CN"/>
        </w:rPr>
        <w:t>11</w:t>
      </w:r>
      <w:r>
        <w:rPr>
          <w:rFonts w:hint="eastAsia"/>
          <w:color w:val="auto"/>
          <w:highlight w:val="none"/>
          <w:lang w:val="en-US" w:eastAsia="zh-CN"/>
        </w:rPr>
        <w:t>和</w:t>
      </w:r>
      <w:r>
        <w:rPr>
          <w:rFonts w:hint="default"/>
          <w:color w:val="auto"/>
          <w:highlight w:val="none"/>
          <w:lang w:val="en-US" w:eastAsia="zh-CN"/>
        </w:rPr>
        <w:t>12</w:t>
      </w:r>
      <w:r>
        <w:rPr>
          <w:rFonts w:hint="eastAsia"/>
          <w:color w:val="auto"/>
          <w:highlight w:val="none"/>
          <w:lang w:val="en-US" w:eastAsia="zh-CN"/>
        </w:rPr>
        <w:t>月份，日最高、最低气温分别为</w:t>
      </w:r>
      <w:r>
        <w:rPr>
          <w:rFonts w:hint="default"/>
          <w:color w:val="auto"/>
          <w:highlight w:val="none"/>
          <w:lang w:val="en-US" w:eastAsia="zh-CN"/>
        </w:rPr>
        <w:t>28.7℃</w:t>
      </w:r>
      <w:r>
        <w:rPr>
          <w:rFonts w:hint="eastAsia"/>
          <w:color w:val="auto"/>
          <w:highlight w:val="none"/>
          <w:lang w:val="en-US" w:eastAsia="zh-CN"/>
        </w:rPr>
        <w:t>和</w:t>
      </w:r>
      <w:r>
        <w:rPr>
          <w:rFonts w:hint="default"/>
          <w:color w:val="auto"/>
          <w:highlight w:val="none"/>
          <w:lang w:val="en-US" w:eastAsia="zh-CN"/>
        </w:rPr>
        <w:t>-29.5℃</w:t>
      </w:r>
      <w:r>
        <w:rPr>
          <w:rFonts w:hint="eastAsia"/>
          <w:color w:val="auto"/>
          <w:highlight w:val="none"/>
          <w:lang w:val="en-US" w:eastAsia="zh-CN"/>
        </w:rPr>
        <w:t>，七、八月份气温较高时在</w:t>
      </w:r>
      <w:r>
        <w:rPr>
          <w:rFonts w:hint="default"/>
          <w:color w:val="auto"/>
          <w:highlight w:val="none"/>
          <w:lang w:val="en-US" w:eastAsia="zh-CN"/>
        </w:rPr>
        <w:t>15℃</w:t>
      </w:r>
      <w:r>
        <w:rPr>
          <w:rFonts w:hint="eastAsia"/>
          <w:color w:val="auto"/>
          <w:highlight w:val="none"/>
          <w:lang w:val="en-US" w:eastAsia="zh-CN"/>
        </w:rPr>
        <w:t>以上，夜间降至</w:t>
      </w:r>
      <w:r>
        <w:rPr>
          <w:rFonts w:hint="default"/>
          <w:color w:val="auto"/>
          <w:highlight w:val="none"/>
          <w:lang w:val="en-US" w:eastAsia="zh-CN"/>
        </w:rPr>
        <w:t>4℃</w:t>
      </w:r>
      <w:r>
        <w:rPr>
          <w:rFonts w:hint="eastAsia"/>
          <w:color w:val="auto"/>
          <w:highlight w:val="none"/>
          <w:lang w:val="en-US" w:eastAsia="zh-CN"/>
        </w:rPr>
        <w:t>以下，时有寒流侵袭，昼夜温差很大，大于</w:t>
      </w:r>
      <w:r>
        <w:rPr>
          <w:rFonts w:hint="default"/>
          <w:color w:val="auto"/>
          <w:highlight w:val="none"/>
          <w:lang w:val="en-US" w:eastAsia="zh-CN"/>
        </w:rPr>
        <w:t>0℃</w:t>
      </w:r>
      <w:r>
        <w:rPr>
          <w:rFonts w:hint="eastAsia"/>
          <w:color w:val="auto"/>
          <w:highlight w:val="none"/>
          <w:lang w:val="en-US" w:eastAsia="zh-CN"/>
        </w:rPr>
        <w:t>的多年平均积温</w:t>
      </w:r>
      <w:r>
        <w:rPr>
          <w:rFonts w:hint="default"/>
          <w:color w:val="auto"/>
          <w:highlight w:val="none"/>
          <w:lang w:val="en-US" w:eastAsia="zh-CN"/>
        </w:rPr>
        <w:t>2100℃</w:t>
      </w:r>
      <w:r>
        <w:rPr>
          <w:rFonts w:hint="eastAsia"/>
          <w:color w:val="auto"/>
          <w:highlight w:val="none"/>
          <w:lang w:val="en-US" w:eastAsia="zh-CN"/>
        </w:rPr>
        <w:t>。</w:t>
      </w:r>
      <w:r>
        <w:rPr>
          <w:rFonts w:hint="default"/>
          <w:color w:val="auto"/>
          <w:highlight w:val="none"/>
          <w:lang w:val="en-US" w:eastAsia="zh-CN"/>
        </w:rPr>
        <w:t>6-8</w:t>
      </w:r>
      <w:r>
        <w:rPr>
          <w:rFonts w:hint="eastAsia"/>
          <w:color w:val="auto"/>
          <w:highlight w:val="none"/>
          <w:lang w:val="en-US" w:eastAsia="zh-CN"/>
        </w:rPr>
        <w:t>月为雨季，年均降水量</w:t>
      </w:r>
      <w:r>
        <w:rPr>
          <w:rFonts w:hint="default"/>
          <w:color w:val="auto"/>
          <w:highlight w:val="none"/>
          <w:lang w:val="en-US" w:eastAsia="zh-CN"/>
        </w:rPr>
        <w:t>63.6mm</w:t>
      </w:r>
      <w:r>
        <w:rPr>
          <w:rFonts w:hint="eastAsia"/>
          <w:color w:val="auto"/>
          <w:highlight w:val="none"/>
          <w:lang w:val="en-US" w:eastAsia="zh-CN"/>
        </w:rPr>
        <w:t>，最大日降水量</w:t>
      </w:r>
      <w:r>
        <w:rPr>
          <w:rFonts w:hint="default"/>
          <w:color w:val="auto"/>
          <w:highlight w:val="none"/>
          <w:lang w:val="en-US" w:eastAsia="zh-CN"/>
        </w:rPr>
        <w:t>20.1mm</w:t>
      </w:r>
      <w:r>
        <w:rPr>
          <w:rFonts w:hint="eastAsia"/>
          <w:color w:val="auto"/>
          <w:highlight w:val="none"/>
          <w:lang w:val="en-US" w:eastAsia="zh-CN"/>
        </w:rPr>
        <w:t>，年均蒸发量</w:t>
      </w:r>
      <w:r>
        <w:rPr>
          <w:rFonts w:hint="default"/>
          <w:color w:val="auto"/>
          <w:highlight w:val="none"/>
          <w:lang w:val="en-US" w:eastAsia="zh-CN"/>
        </w:rPr>
        <w:t>3057mm</w:t>
      </w:r>
      <w:r>
        <w:rPr>
          <w:rFonts w:hint="eastAsia"/>
          <w:color w:val="auto"/>
          <w:highlight w:val="none"/>
          <w:lang w:val="en-US" w:eastAsia="zh-CN"/>
        </w:rPr>
        <w:t>，集中在夏季的</w:t>
      </w:r>
      <w:r>
        <w:rPr>
          <w:rFonts w:hint="default"/>
          <w:color w:val="auto"/>
          <w:highlight w:val="none"/>
          <w:lang w:val="en-US" w:eastAsia="zh-CN"/>
        </w:rPr>
        <w:t>6</w:t>
      </w:r>
      <w:r>
        <w:rPr>
          <w:rFonts w:hint="eastAsia"/>
          <w:color w:val="auto"/>
          <w:highlight w:val="none"/>
          <w:lang w:val="en-US" w:eastAsia="zh-CN"/>
        </w:rPr>
        <w:t>、</w:t>
      </w:r>
      <w:r>
        <w:rPr>
          <w:rFonts w:hint="default"/>
          <w:color w:val="auto"/>
          <w:highlight w:val="none"/>
          <w:lang w:val="en-US" w:eastAsia="zh-CN"/>
        </w:rPr>
        <w:t>7</w:t>
      </w:r>
      <w:r>
        <w:rPr>
          <w:rFonts w:hint="eastAsia"/>
          <w:color w:val="auto"/>
          <w:highlight w:val="none"/>
          <w:lang w:val="en-US" w:eastAsia="zh-CN"/>
        </w:rPr>
        <w:t>和</w:t>
      </w:r>
      <w:r>
        <w:rPr>
          <w:rFonts w:hint="default"/>
          <w:color w:val="auto"/>
          <w:highlight w:val="none"/>
          <w:lang w:val="en-US" w:eastAsia="zh-CN"/>
        </w:rPr>
        <w:t>8</w:t>
      </w:r>
      <w:r>
        <w:rPr>
          <w:rFonts w:hint="eastAsia"/>
          <w:color w:val="auto"/>
          <w:highlight w:val="none"/>
          <w:lang w:val="en-US" w:eastAsia="zh-CN"/>
        </w:rPr>
        <w:t>月份，月累计蒸发量高达</w:t>
      </w:r>
      <w:r>
        <w:rPr>
          <w:rFonts w:hint="default"/>
          <w:color w:val="auto"/>
          <w:highlight w:val="none"/>
          <w:lang w:val="en-US" w:eastAsia="zh-CN"/>
        </w:rPr>
        <w:t>1445mm</w:t>
      </w:r>
      <w:r>
        <w:rPr>
          <w:rFonts w:hint="eastAsia"/>
          <w:color w:val="auto"/>
          <w:highlight w:val="none"/>
          <w:lang w:val="en-US" w:eastAsia="zh-CN"/>
        </w:rPr>
        <w:t>，年均无霜期</w:t>
      </w:r>
      <w:r>
        <w:rPr>
          <w:rFonts w:hint="default"/>
          <w:color w:val="auto"/>
          <w:highlight w:val="none"/>
          <w:lang w:val="en-US" w:eastAsia="zh-CN"/>
        </w:rPr>
        <w:t>227</w:t>
      </w:r>
      <w:r>
        <w:rPr>
          <w:rFonts w:hint="eastAsia"/>
          <w:color w:val="auto"/>
          <w:highlight w:val="none"/>
          <w:lang w:val="en-US" w:eastAsia="zh-CN"/>
        </w:rPr>
        <w:t>天，降水以固态降雪形式为主，年平均湿度</w:t>
      </w:r>
      <w:r>
        <w:rPr>
          <w:rFonts w:hint="default"/>
          <w:color w:val="auto"/>
          <w:highlight w:val="none"/>
          <w:lang w:val="en-US" w:eastAsia="zh-CN"/>
        </w:rPr>
        <w:t>31%</w:t>
      </w:r>
      <w:r>
        <w:rPr>
          <w:rFonts w:hint="eastAsia"/>
          <w:color w:val="auto"/>
          <w:highlight w:val="none"/>
          <w:lang w:val="en-US" w:eastAsia="zh-CN"/>
        </w:rPr>
        <w:t>；</w:t>
      </w:r>
      <w:r>
        <w:rPr>
          <w:rFonts w:hint="default"/>
          <w:color w:val="auto"/>
          <w:highlight w:val="none"/>
          <w:lang w:val="en-US" w:eastAsia="zh-CN"/>
        </w:rPr>
        <w:t>3</w:t>
      </w:r>
      <w:r>
        <w:rPr>
          <w:rFonts w:hint="eastAsia"/>
          <w:color w:val="auto"/>
          <w:highlight w:val="none"/>
          <w:lang w:val="en-US" w:eastAsia="zh-CN"/>
        </w:rPr>
        <w:t>－</w:t>
      </w:r>
      <w:r>
        <w:rPr>
          <w:rFonts w:hint="default"/>
          <w:color w:val="auto"/>
          <w:highlight w:val="none"/>
          <w:lang w:val="en-US" w:eastAsia="zh-CN"/>
        </w:rPr>
        <w:t>8</w:t>
      </w:r>
      <w:r>
        <w:rPr>
          <w:rFonts w:hint="eastAsia"/>
          <w:color w:val="auto"/>
          <w:highlight w:val="none"/>
          <w:lang w:val="en-US" w:eastAsia="zh-CN"/>
        </w:rPr>
        <w:t>月为风季。多为东北风，年平均风速</w:t>
      </w:r>
      <w:r>
        <w:rPr>
          <w:rFonts w:hint="default"/>
          <w:color w:val="auto"/>
          <w:highlight w:val="none"/>
          <w:lang w:val="en-US" w:eastAsia="zh-CN"/>
        </w:rPr>
        <w:t>2.2m/s</w:t>
      </w:r>
      <w:r>
        <w:rPr>
          <w:rFonts w:hint="eastAsia"/>
          <w:color w:val="auto"/>
          <w:highlight w:val="none"/>
          <w:lang w:val="en-US" w:eastAsia="zh-CN"/>
        </w:rPr>
        <w:t>，最大风力</w:t>
      </w:r>
      <w:r>
        <w:rPr>
          <w:rFonts w:hint="default"/>
          <w:color w:val="auto"/>
          <w:highlight w:val="none"/>
          <w:lang w:val="en-US" w:eastAsia="zh-CN"/>
        </w:rPr>
        <w:t>26m/s</w:t>
      </w:r>
      <w:r>
        <w:rPr>
          <w:rFonts w:hint="eastAsia"/>
          <w:color w:val="auto"/>
          <w:highlight w:val="none"/>
          <w:lang w:val="en-US" w:eastAsia="zh-CN"/>
        </w:rPr>
        <w:t>（</w:t>
      </w:r>
      <w:r>
        <w:rPr>
          <w:rFonts w:hint="default"/>
          <w:color w:val="auto"/>
          <w:highlight w:val="none"/>
          <w:lang w:val="en-US" w:eastAsia="zh-CN"/>
        </w:rPr>
        <w:t>8</w:t>
      </w:r>
      <w:r>
        <w:rPr>
          <w:rFonts w:hint="eastAsia"/>
          <w:color w:val="auto"/>
          <w:highlight w:val="none"/>
          <w:lang w:val="en-US" w:eastAsia="zh-CN"/>
        </w:rPr>
        <w:t>级以上），来自塔里木盆地边缘的风成沙、风成黄土，在区内有不同程度的覆盖。</w:t>
      </w:r>
      <w:r>
        <w:rPr>
          <w:rFonts w:hint="default"/>
          <w:color w:val="auto"/>
          <w:highlight w:val="none"/>
          <w:lang w:val="en-US" w:eastAsia="zh-CN"/>
        </w:rPr>
        <w:t>10</w:t>
      </w:r>
      <w:r>
        <w:rPr>
          <w:rFonts w:hint="eastAsia"/>
          <w:color w:val="auto"/>
          <w:highlight w:val="none"/>
          <w:lang w:val="en-US" w:eastAsia="zh-CN"/>
        </w:rPr>
        <w:t>月中旬至来年</w:t>
      </w:r>
      <w:r>
        <w:rPr>
          <w:rFonts w:hint="default"/>
          <w:color w:val="auto"/>
          <w:highlight w:val="none"/>
          <w:lang w:val="en-US" w:eastAsia="zh-CN"/>
        </w:rPr>
        <w:t>4</w:t>
      </w:r>
      <w:r>
        <w:rPr>
          <w:rFonts w:hint="eastAsia"/>
          <w:color w:val="auto"/>
          <w:highlight w:val="none"/>
          <w:lang w:val="en-US" w:eastAsia="zh-CN"/>
        </w:rPr>
        <w:t>月为冰冻期，冻土层平均厚度</w:t>
      </w:r>
      <w:r>
        <w:rPr>
          <w:rFonts w:hint="default"/>
          <w:color w:val="auto"/>
          <w:highlight w:val="none"/>
          <w:lang w:val="en-US" w:eastAsia="zh-CN"/>
        </w:rPr>
        <w:t>2.29m</w:t>
      </w:r>
      <w:r>
        <w:rPr>
          <w:rFonts w:hint="eastAsia"/>
          <w:color w:val="auto"/>
          <w:highlight w:val="none"/>
          <w:lang w:val="en-US" w:eastAsia="zh-CN"/>
        </w:rPr>
        <w:t>，最大积雪厚度</w:t>
      </w:r>
      <w:r>
        <w:rPr>
          <w:rFonts w:hint="default"/>
          <w:color w:val="auto"/>
          <w:highlight w:val="none"/>
          <w:lang w:val="en-US" w:eastAsia="zh-CN"/>
        </w:rPr>
        <w:t>9cm</w:t>
      </w:r>
      <w:r>
        <w:rPr>
          <w:rFonts w:hint="eastAsia"/>
          <w:color w:val="auto"/>
          <w:highlight w:val="none"/>
          <w:lang w:val="en-US" w:eastAsia="zh-CN"/>
        </w:rPr>
        <w:t>。</w:t>
      </w:r>
    </w:p>
    <w:p w14:paraId="0F70934B">
      <w:pPr>
        <w:pStyle w:val="6"/>
        <w:pageBreakBefore w:val="0"/>
        <w:widowControl w:val="0"/>
        <w:kinsoku/>
        <w:wordWrap/>
        <w:autoSpaceDE/>
        <w:autoSpaceDN/>
        <w:bidi w:val="0"/>
        <w:adjustRightInd/>
        <w:snapToGrid/>
        <w:spacing w:before="0" w:after="0"/>
        <w:textAlignment w:val="auto"/>
        <w:rPr>
          <w:color w:val="auto"/>
          <w:highlight w:val="none"/>
        </w:rPr>
      </w:pPr>
      <w:bookmarkStart w:id="528" w:name="_Toc24642"/>
      <w:bookmarkStart w:id="529" w:name="_Toc24081"/>
      <w:bookmarkStart w:id="530" w:name="_Toc26969"/>
      <w:r>
        <w:rPr>
          <w:color w:val="auto"/>
          <w:highlight w:val="none"/>
        </w:rPr>
        <w:t>4.1.</w:t>
      </w:r>
      <w:r>
        <w:rPr>
          <w:rFonts w:hint="eastAsia"/>
          <w:color w:val="auto"/>
          <w:highlight w:val="none"/>
        </w:rPr>
        <w:t>4水文</w:t>
      </w:r>
      <w:bookmarkEnd w:id="528"/>
      <w:bookmarkEnd w:id="529"/>
      <w:bookmarkEnd w:id="530"/>
    </w:p>
    <w:p w14:paraId="4B07BD37">
      <w:pPr>
        <w:pStyle w:val="7"/>
        <w:pageBreakBefore w:val="0"/>
        <w:widowControl w:val="0"/>
        <w:tabs>
          <w:tab w:val="left" w:pos="2041"/>
          <w:tab w:val="left" w:pos="3402"/>
        </w:tabs>
        <w:kinsoku/>
        <w:wordWrap/>
        <w:autoSpaceDE/>
        <w:autoSpaceDN/>
        <w:bidi w:val="0"/>
        <w:adjustRightInd/>
        <w:snapToGrid/>
        <w:ind w:firstLine="482" w:firstLineChars="200"/>
        <w:textAlignment w:val="auto"/>
        <w:rPr>
          <w:bCs/>
          <w:color w:val="auto"/>
          <w:highlight w:val="none"/>
        </w:rPr>
      </w:pPr>
      <w:bookmarkStart w:id="531" w:name="_Toc26632"/>
      <w:bookmarkStart w:id="532" w:name="_Toc32134"/>
      <w:bookmarkStart w:id="533" w:name="_Toc24499"/>
      <w:bookmarkStart w:id="534" w:name="_Toc27602"/>
      <w:bookmarkStart w:id="535" w:name="_Toc8479"/>
      <w:bookmarkStart w:id="536" w:name="_Toc6178"/>
      <w:r>
        <w:rPr>
          <w:rFonts w:hint="eastAsia"/>
          <w:bCs/>
          <w:color w:val="auto"/>
          <w:highlight w:val="none"/>
        </w:rPr>
        <w:t>4</w:t>
      </w:r>
      <w:r>
        <w:rPr>
          <w:bCs/>
          <w:color w:val="auto"/>
          <w:highlight w:val="none"/>
        </w:rPr>
        <w:t>.1.4.1</w:t>
      </w:r>
      <w:r>
        <w:rPr>
          <w:rFonts w:hint="eastAsia"/>
          <w:bCs/>
          <w:color w:val="auto"/>
          <w:highlight w:val="none"/>
        </w:rPr>
        <w:t>地表水</w:t>
      </w:r>
    </w:p>
    <w:bookmarkEnd w:id="531"/>
    <w:bookmarkEnd w:id="532"/>
    <w:bookmarkEnd w:id="533"/>
    <w:bookmarkEnd w:id="534"/>
    <w:bookmarkEnd w:id="535"/>
    <w:bookmarkEnd w:id="536"/>
    <w:p w14:paraId="1F90B0F5">
      <w:pPr>
        <w:pageBreakBefore w:val="0"/>
        <w:widowControl w:val="0"/>
        <w:kinsoku/>
        <w:wordWrap/>
        <w:autoSpaceDE/>
        <w:autoSpaceDN/>
        <w:bidi w:val="0"/>
        <w:adjustRightInd/>
        <w:snapToGrid/>
        <w:textAlignment w:val="auto"/>
        <w:rPr>
          <w:color w:val="auto"/>
          <w:highlight w:val="none"/>
        </w:rPr>
      </w:pPr>
      <w:r>
        <w:rPr>
          <w:color w:val="auto"/>
          <w:highlight w:val="none"/>
        </w:rPr>
        <w:t>若羌河上游支流水系—阿克苏河</w:t>
      </w:r>
      <w:r>
        <w:rPr>
          <w:rFonts w:hint="eastAsia"/>
          <w:color w:val="auto"/>
          <w:highlight w:val="none"/>
          <w:lang w:eastAsia="zh-CN"/>
        </w:rPr>
        <w:t>在</w:t>
      </w:r>
      <w:r>
        <w:rPr>
          <w:rFonts w:hint="eastAsia"/>
          <w:color w:val="auto"/>
          <w:highlight w:val="none"/>
          <w:lang w:val="en-US" w:eastAsia="zh-CN"/>
        </w:rPr>
        <w:t>矿区内</w:t>
      </w:r>
      <w:r>
        <w:rPr>
          <w:color w:val="auto"/>
          <w:highlight w:val="none"/>
        </w:rPr>
        <w:t>由南往北流</w:t>
      </w:r>
      <w:r>
        <w:rPr>
          <w:rFonts w:hint="eastAsia"/>
          <w:color w:val="auto"/>
          <w:highlight w:val="none"/>
          <w:lang w:eastAsia="zh-CN"/>
        </w:rPr>
        <w:t>过</w:t>
      </w:r>
      <w:r>
        <w:rPr>
          <w:color w:val="auto"/>
          <w:highlight w:val="none"/>
        </w:rPr>
        <w:t>，河水源于南部玉苏普阿勒克山海拔5000m以上高山终年积</w:t>
      </w:r>
      <w:r>
        <w:rPr>
          <w:color w:val="auto"/>
          <w:highlight w:val="none"/>
        </w:rPr>
        <w:fldChar w:fldCharType="begin"/>
      </w:r>
      <w:r>
        <w:rPr>
          <w:color w:val="auto"/>
          <w:highlight w:val="none"/>
        </w:rPr>
        <w:instrText xml:space="preserve"> HYPERLINK "https://baike.baidu.com/item/%E9%9B%AA%E5%B8%A6" \t "_blank" </w:instrText>
      </w:r>
      <w:r>
        <w:rPr>
          <w:color w:val="auto"/>
          <w:highlight w:val="none"/>
        </w:rPr>
        <w:fldChar w:fldCharType="separate"/>
      </w:r>
      <w:r>
        <w:rPr>
          <w:color w:val="auto"/>
          <w:highlight w:val="none"/>
        </w:rPr>
        <w:t>雪带</w:t>
      </w:r>
      <w:r>
        <w:rPr>
          <w:color w:val="auto"/>
          <w:highlight w:val="none"/>
        </w:rPr>
        <w:fldChar w:fldCharType="end"/>
      </w:r>
      <w:r>
        <w:rPr>
          <w:color w:val="auto"/>
          <w:highlight w:val="none"/>
        </w:rPr>
        <w:t>，融雪水向北汇流十余km处渗入地下，又向北十余</w:t>
      </w:r>
      <w:r>
        <w:rPr>
          <w:rFonts w:hint="eastAsia"/>
          <w:color w:val="auto"/>
          <w:highlight w:val="none"/>
        </w:rPr>
        <w:t>公里</w:t>
      </w:r>
      <w:r>
        <w:rPr>
          <w:color w:val="auto"/>
          <w:highlight w:val="none"/>
        </w:rPr>
        <w:t>处涌出地面，形成一条东南至西北长55km，平均宽约100m</w:t>
      </w:r>
      <w:r>
        <w:rPr>
          <w:rFonts w:hint="eastAsia"/>
          <w:color w:val="auto"/>
          <w:highlight w:val="none"/>
        </w:rPr>
        <w:t>的河谷</w:t>
      </w:r>
      <w:r>
        <w:rPr>
          <w:color w:val="auto"/>
          <w:highlight w:val="none"/>
        </w:rPr>
        <w:t>，最低侵蚀基准面标高+2886.59m。</w:t>
      </w:r>
    </w:p>
    <w:p w14:paraId="3EA205FD">
      <w:pPr>
        <w:pageBreakBefore w:val="0"/>
        <w:widowControl w:val="0"/>
        <w:kinsoku/>
        <w:wordWrap/>
        <w:autoSpaceDE/>
        <w:autoSpaceDN/>
        <w:bidi w:val="0"/>
        <w:adjustRightInd/>
        <w:snapToGrid/>
        <w:textAlignment w:val="auto"/>
        <w:rPr>
          <w:rFonts w:hint="eastAsia"/>
          <w:color w:val="auto"/>
          <w:highlight w:val="none"/>
          <w:lang w:eastAsia="zh-CN"/>
        </w:rPr>
      </w:pPr>
      <w:r>
        <w:rPr>
          <w:color w:val="auto"/>
          <w:highlight w:val="none"/>
        </w:rPr>
        <w:t>阿克苏河年径流量1.23亿m</w:t>
      </w:r>
      <w:r>
        <w:rPr>
          <w:color w:val="auto"/>
          <w:highlight w:val="none"/>
          <w:vertAlign w:val="superscript"/>
        </w:rPr>
        <w:t>3</w:t>
      </w:r>
      <w:r>
        <w:rPr>
          <w:color w:val="auto"/>
          <w:highlight w:val="none"/>
        </w:rPr>
        <w:t>/a，平均流量3.91m</w:t>
      </w:r>
      <w:r>
        <w:rPr>
          <w:color w:val="auto"/>
          <w:highlight w:val="none"/>
          <w:vertAlign w:val="superscript"/>
        </w:rPr>
        <w:t>3</w:t>
      </w:r>
      <w:r>
        <w:rPr>
          <w:color w:val="auto"/>
          <w:highlight w:val="none"/>
        </w:rPr>
        <w:t>/s，径流年内分配不均匀，枯水期最小流量0.91m</w:t>
      </w:r>
      <w:r>
        <w:rPr>
          <w:color w:val="auto"/>
          <w:highlight w:val="none"/>
          <w:vertAlign w:val="superscript"/>
        </w:rPr>
        <w:t>3</w:t>
      </w:r>
      <w:r>
        <w:rPr>
          <w:color w:val="auto"/>
          <w:highlight w:val="none"/>
        </w:rPr>
        <w:t>/s（出现在1月份），丰水期最大流量8.68m</w:t>
      </w:r>
      <w:r>
        <w:rPr>
          <w:color w:val="auto"/>
          <w:highlight w:val="none"/>
          <w:vertAlign w:val="superscript"/>
        </w:rPr>
        <w:t>3</w:t>
      </w:r>
      <w:r>
        <w:rPr>
          <w:color w:val="auto"/>
          <w:highlight w:val="none"/>
        </w:rPr>
        <w:t>/s（出现在7月份），夏季6~8月径流量占全年45.96%，春季3~5月占全年26.87%，秋季9~11月占全年18.92%，冬季11月</w:t>
      </w:r>
      <w:r>
        <w:rPr>
          <w:rFonts w:hint="eastAsia"/>
          <w:color w:val="auto"/>
          <w:highlight w:val="none"/>
          <w:lang w:eastAsia="zh-CN"/>
        </w:rPr>
        <w:t>～</w:t>
      </w:r>
      <w:r>
        <w:rPr>
          <w:color w:val="auto"/>
          <w:highlight w:val="none"/>
        </w:rPr>
        <w:t>次年2月仅占13.47%。洪水期出现在6月下旬至8月下旬，历史洪水位最高标高+2900.59m，正常水位标高+2900.28m，补给水主要靠山地降水和高山融雪，年径流量稳定</w:t>
      </w:r>
      <w:r>
        <w:rPr>
          <w:rFonts w:hint="eastAsia"/>
          <w:color w:val="auto"/>
          <w:highlight w:val="none"/>
          <w:lang w:eastAsia="zh-CN"/>
        </w:rPr>
        <w:t>。</w:t>
      </w:r>
    </w:p>
    <w:p w14:paraId="1A5D4948">
      <w:pPr>
        <w:pageBreakBefore w:val="0"/>
        <w:widowControl w:val="0"/>
        <w:kinsoku/>
        <w:wordWrap/>
        <w:overflowPunct w:val="0"/>
        <w:topLinePunct/>
        <w:autoSpaceDE/>
        <w:autoSpaceDN/>
        <w:bidi w:val="0"/>
        <w:adjustRightInd/>
        <w:snapToGrid/>
        <w:spacing w:line="480" w:lineRule="exact"/>
        <w:ind w:firstLine="480"/>
        <w:textAlignment w:val="auto"/>
        <w:rPr>
          <w:rFonts w:cs="Times New Roman"/>
          <w:color w:val="auto"/>
          <w:highlight w:val="none"/>
        </w:rPr>
      </w:pPr>
      <w:r>
        <w:rPr>
          <w:rFonts w:hint="default"/>
          <w:color w:val="auto"/>
          <w:highlight w:val="none"/>
          <w:lang w:val="zh-CN"/>
        </w:rPr>
        <w:t>阿克苏河是距离矿床较近的地表水体，该地表水体水物理性质随季节变化而变化，夏季冰雪消融水体浑浊，春秋冬季水体呈乳白色。总硬度340.3mg/L，矿化度428.60mg/L，pH值7.42，无侵蚀性。硬锅垢重量168.88mg/L，属具硬沉淀物的水；起泡系数90.24mmol/L，为半起泡的水，水质类型为HCO</w:t>
      </w:r>
      <w:r>
        <w:rPr>
          <w:rFonts w:hint="default"/>
          <w:color w:val="auto"/>
          <w:highlight w:val="none"/>
          <w:vertAlign w:val="subscript"/>
          <w:lang w:val="zh-CN"/>
        </w:rPr>
        <w:t>3</w:t>
      </w:r>
      <w:r>
        <w:rPr>
          <w:rFonts w:hint="default"/>
          <w:color w:val="auto"/>
          <w:highlight w:val="none"/>
          <w:lang w:val="zh-CN"/>
        </w:rPr>
        <w:t>-Mg·Ca型水，作为采矿选矿和锅炉工业用水是合适的。</w:t>
      </w:r>
    </w:p>
    <w:p w14:paraId="797EBE30">
      <w:pPr>
        <w:pStyle w:val="7"/>
        <w:tabs>
          <w:tab w:val="left" w:pos="2041"/>
          <w:tab w:val="left" w:pos="3402"/>
        </w:tabs>
        <w:ind w:firstLine="482" w:firstLineChars="200"/>
        <w:rPr>
          <w:bCs/>
          <w:color w:val="auto"/>
          <w:highlight w:val="none"/>
        </w:rPr>
      </w:pPr>
      <w:r>
        <w:rPr>
          <w:rFonts w:hint="eastAsia"/>
          <w:bCs/>
          <w:color w:val="auto"/>
          <w:highlight w:val="none"/>
        </w:rPr>
        <w:t>4</w:t>
      </w:r>
      <w:r>
        <w:rPr>
          <w:bCs/>
          <w:color w:val="auto"/>
          <w:highlight w:val="none"/>
        </w:rPr>
        <w:t>.1.4.2</w:t>
      </w:r>
      <w:r>
        <w:rPr>
          <w:rFonts w:hint="eastAsia"/>
          <w:bCs/>
          <w:color w:val="auto"/>
          <w:highlight w:val="none"/>
        </w:rPr>
        <w:t>地下水</w:t>
      </w:r>
    </w:p>
    <w:p w14:paraId="138ABD63">
      <w:pPr>
        <w:overflowPunct w:val="0"/>
        <w:topLinePunct/>
        <w:spacing w:line="480" w:lineRule="exact"/>
        <w:ind w:firstLine="480"/>
        <w:rPr>
          <w:rFonts w:hint="default"/>
          <w:color w:val="auto"/>
          <w:highlight w:val="none"/>
          <w:lang w:val="en-US" w:eastAsia="zh-CN"/>
        </w:rPr>
      </w:pPr>
      <w:r>
        <w:rPr>
          <w:rFonts w:hint="default"/>
          <w:color w:val="auto"/>
          <w:highlight w:val="none"/>
          <w:lang w:val="en-US" w:eastAsia="zh-CN"/>
        </w:rPr>
        <w:t>（1）矿区所处区域水文地质单元位置</w:t>
      </w:r>
    </w:p>
    <w:p w14:paraId="542DDBD1">
      <w:pPr>
        <w:bidi w:val="0"/>
        <w:rPr>
          <w:color w:val="auto"/>
          <w:highlight w:val="none"/>
        </w:rPr>
      </w:pPr>
      <w:r>
        <w:rPr>
          <w:rFonts w:hint="eastAsia"/>
          <w:color w:val="auto"/>
          <w:highlight w:val="none"/>
          <w:lang w:val="en-US" w:eastAsia="zh-CN"/>
        </w:rPr>
        <w:t>卡尔恰尔萤石矿矿区属阿中微地块地层小区，矿区内主要出露地层为新太古-古元古界阿尔金岩群a岩组（Ar3-Pt1Aa）变质岩、新太古-古元古代变质古侵入岩（Ar3-Pt1Ygni）、奥陶-泥盆纪侵入岩（O-DηγP）和第四系地层，地下水含水层系统和流动系统与区域特征基本一致。地貌属阿尔金山山脉中段北麓中高山区地貌，地势上表现为东高西低、南高北低，处在阿尔金山中段北麓中山区水文地质单元阿克苏河河谷上游，位于分水岭北侧。阿克苏河从矿区西南角穿过，自南向北径流，南部矿区边界流入河床海拔高程2900m，北部矿区边界流出，河床海拔高程2886.59m，矿山总体开采顺序从浅部向深部开采，采矿范围标高+2450-地表（最高标高+3202.87m），分为一期和二期开采，一期开采浅部2900米以上矿体（已进行一期开采标高范围内的水文地质勘查），从下向上开采，一期最低开采标高几乎平行于最低侵蚀基准面，二期开采深部2900米以下的矿体，位于最低侵蚀基准面之下。总体上矿区处于水文地质单元的径流区，同时矿区地下水接受阿克苏河补给，补给程度中等。矿区水文地质图详见4.1-1。</w:t>
      </w:r>
    </w:p>
    <w:p w14:paraId="49E07806">
      <w:pPr>
        <w:bidi w:val="0"/>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2）地下水类型</w:t>
      </w:r>
    </w:p>
    <w:p w14:paraId="4D23B427">
      <w:pPr>
        <w:bidi w:val="0"/>
        <w:rPr>
          <w:rFonts w:hint="eastAsia"/>
          <w:color w:val="auto"/>
          <w:highlight w:val="none"/>
          <w:lang w:val="en-US" w:eastAsia="zh-CN"/>
        </w:rPr>
      </w:pPr>
      <w:r>
        <w:rPr>
          <w:rFonts w:hint="eastAsia"/>
          <w:color w:val="auto"/>
          <w:highlight w:val="none"/>
          <w:lang w:val="en-US" w:eastAsia="zh-CN"/>
        </w:rPr>
        <w:t>矿区西南角阿克苏河河谷两侧、南北2条季节性水流支沟被第四系覆盖，第四系厚度河谷中部向南北两侧逐渐变薄，南北2条季节性水流支沟向两侧坡脚、由西向东逐渐变薄，河水由南向北径流，沿径流方向第四系厚度变化不大，沟谷由东向西延伸，延伸方向第四系厚度由浅到厚。山体表层为第四系风成黄土及风化基岩，下伏新太古-古元古界阿尔金岩群a岩组（Ar3-Pt1Aa）变质岩、新太古-古元古代变质古侵入岩（Ar3-Pt1Ygni）、奥陶-泥盆纪侵入岩（O-DηγP）。矿区内地形起伏变化较大，区内地形地貌、第四系厚度、地层岩性等控制着地下水的补、径、排和赋存，主要分布第四系松散岩类孔隙水、块状岩类基岩裂隙水及断层水，随着其所处的地貌条件、岩性结构及补给条件的不同，其富水性、水质等均有相应的差异。</w:t>
      </w:r>
    </w:p>
    <w:p w14:paraId="534E097A">
      <w:pPr>
        <w:bidi w:val="0"/>
        <w:rPr>
          <w:rFonts w:hint="eastAsia"/>
          <w:color w:val="auto"/>
          <w:highlight w:val="none"/>
          <w:lang w:val="en-US" w:eastAsia="zh-CN"/>
        </w:rPr>
      </w:pPr>
      <w:r>
        <w:rPr>
          <w:rFonts w:hint="eastAsia"/>
          <w:color w:val="auto"/>
          <w:highlight w:val="none"/>
          <w:lang w:val="en-US" w:eastAsia="zh-CN"/>
        </w:rPr>
        <w:t>根据地下水的贮水类型及埋藏条件，将地下水划分为第四系松散岩类孔隙水、块状岩类基岩裂隙水、断层水。分述如下：</w:t>
      </w:r>
    </w:p>
    <w:p w14:paraId="72909ACF">
      <w:pPr>
        <w:bidi w:val="0"/>
        <w:rPr>
          <w:rFonts w:hint="eastAsia"/>
          <w:color w:val="auto"/>
          <w:highlight w:val="none"/>
          <w:lang w:val="en-US" w:eastAsia="zh-CN"/>
        </w:rPr>
      </w:pPr>
      <w:r>
        <w:rPr>
          <w:rFonts w:hint="eastAsia"/>
          <w:color w:val="auto"/>
          <w:highlight w:val="none"/>
          <w:lang w:val="en-US" w:eastAsia="zh-CN"/>
        </w:rPr>
        <w:t>①第四系松散岩类孔隙水</w:t>
      </w:r>
    </w:p>
    <w:p w14:paraId="2EF6BB12">
      <w:pPr>
        <w:bidi w:val="0"/>
        <w:rPr>
          <w:rFonts w:hint="eastAsia"/>
          <w:color w:val="auto"/>
          <w:highlight w:val="none"/>
          <w:lang w:val="en-US" w:eastAsia="zh-CN"/>
        </w:rPr>
      </w:pPr>
      <w:r>
        <w:rPr>
          <w:rFonts w:hint="eastAsia"/>
          <w:color w:val="auto"/>
          <w:highlight w:val="none"/>
          <w:lang w:val="en-US" w:eastAsia="zh-CN"/>
        </w:rPr>
        <w:t>矿区内第四系地层厚度约0-76.4m，主要分布于阿克苏河床、河漫滩、南北沟谷及低洼地带，含水岩组主要为砂砾石、卵石、砾岩、角砾土，含水层厚薄不均，本次施工的水文地质勘探取芯孔，在0-76.4m勘探深度内，河谷东侧上部0.00-33.5m为细砂及卵石，下部33.5-76.4m为西域组固结半固结砾岩，含水层结构松散，孔隙较发育，含水层岩性主要为砂砾石、卵石和西域组固结半固结砾岩，属于强富水性含水层。</w:t>
      </w:r>
    </w:p>
    <w:p w14:paraId="09AABC43">
      <w:pPr>
        <w:bidi w:val="0"/>
        <w:rPr>
          <w:rFonts w:hint="eastAsia"/>
          <w:color w:val="auto"/>
          <w:highlight w:val="none"/>
          <w:lang w:val="en-US" w:eastAsia="zh-CN"/>
        </w:rPr>
      </w:pPr>
      <w:r>
        <w:rPr>
          <w:rFonts w:hint="eastAsia"/>
          <w:color w:val="auto"/>
          <w:highlight w:val="none"/>
          <w:lang w:val="en-US" w:eastAsia="zh-CN"/>
        </w:rPr>
        <w:t>②块状岩类基岩裂隙水</w:t>
      </w:r>
    </w:p>
    <w:p w14:paraId="0ED44A1A">
      <w:pPr>
        <w:bidi w:val="0"/>
        <w:rPr>
          <w:rFonts w:hint="eastAsia"/>
          <w:color w:val="auto"/>
          <w:highlight w:val="none"/>
          <w:lang w:val="en-US" w:eastAsia="zh-CN"/>
        </w:rPr>
      </w:pPr>
      <w:r>
        <w:rPr>
          <w:rFonts w:hint="eastAsia"/>
          <w:color w:val="auto"/>
          <w:highlight w:val="none"/>
          <w:lang w:val="en-US" w:eastAsia="zh-CN"/>
        </w:rPr>
        <w:t>新太古界-古元古界阿尔金岩群a岩组变质岩和新太古-古元古代混合岩、中奥陶世二长花岗岩裂隙潜水含水岩组分布于整个矿区，据钻孔揭露岩性主要为黑云斜长片麻岩、黑云二长片麻岩、花岗质二长片麻状混合岩、中细粒二长花岗岩、似斑状二长花岗岩。水位埋深17.4～185.5m远在风化裂隙带之下，属于构造裂隙水，裂隙之间沟通不好，属弱富水含水层。</w:t>
      </w:r>
    </w:p>
    <w:p w14:paraId="0638B30E">
      <w:pPr>
        <w:bidi w:val="0"/>
        <w:rPr>
          <w:rFonts w:hint="eastAsia"/>
          <w:color w:val="auto"/>
          <w:highlight w:val="none"/>
          <w:lang w:val="en-US" w:eastAsia="zh-CN"/>
        </w:rPr>
      </w:pPr>
      <w:r>
        <w:rPr>
          <w:rFonts w:hint="eastAsia"/>
          <w:color w:val="auto"/>
          <w:highlight w:val="none"/>
          <w:lang w:val="en-US" w:eastAsia="zh-CN"/>
        </w:rPr>
        <w:t>③断层水矿区断层水</w:t>
      </w:r>
    </w:p>
    <w:p w14:paraId="387BD0D6">
      <w:pPr>
        <w:bidi w:val="0"/>
        <w:rPr>
          <w:color w:val="auto"/>
          <w:highlight w:val="none"/>
        </w:rPr>
      </w:pPr>
      <w:r>
        <w:rPr>
          <w:rFonts w:hint="eastAsia"/>
          <w:color w:val="auto"/>
          <w:highlight w:val="none"/>
          <w:lang w:val="en-US" w:eastAsia="zh-CN"/>
        </w:rPr>
        <w:t>主要赋存在F1、F2断层。F1断层属韧性剪切断裂，分布在矿区南侧，属于斜断裂（韧性剪切带），断裂延伸长度5600m，两端延出矿区，往西在矿区外交汇于F2断裂。构造带宽度16～53m，近东西向-北东向展布，大部分地段覆盖第四系洪冲积物，覆盖区长度4600m，西段和东段部分出露地表。断裂近东西向延伸，倾向7～358°，倾角76～83°，东段为北东东向，倾向326～334°，倾角76～78°。构造三角面发育，岩石挤压变形特征明显。构造表现形式为韧性剪切变形糜棱岩带，断裂通过处岩石多具糜棱结构，挤压扭曲形变强烈，构造片理发育强，在断层东段出露地表地段，断裂裂隙中为钙质胶结充填。F2断层属复合型断裂：分布在矿区北侧，属卡尔恰尔-阔实区域性断裂带派生的复合型断裂，活动时间长，经历了逆冲挤压、左行走滑、右行走滑、脆性变形的构造演化过程，断裂规模大，延伸长度6800m以上，呈北东东向延出矿区，破碎带宽度50～70m，走向N62～76°E，倾向146～178°，陡倾，倾角68～77°。西段在矿区外与F1交汇。构造性质为压扭性逆冲斜断裂，南盘（上盘）上升，北盘（下盘）下降，表现出逆冲韧脆性构造变形特点。沿断裂发育压性结构面，脉体及岩石有揉曲褶皱现象。F1断层靠近东侧矿区基本无水，靠近阿克苏河的钻孔为中等富水。F2断层靠近东侧矿区钻孔为弱富水性，靠近阿克苏河中等富水。断层靠近阿克苏河地段富水性强于断层东侧矿区地段。</w:t>
      </w:r>
    </w:p>
    <w:p w14:paraId="657FED69">
      <w:pPr>
        <w:bidi w:val="0"/>
        <w:rPr>
          <w:color w:val="auto"/>
          <w:highlight w:val="none"/>
        </w:rPr>
      </w:pPr>
      <w:r>
        <w:rPr>
          <w:rFonts w:hint="eastAsia"/>
          <w:color w:val="auto"/>
          <w:highlight w:val="none"/>
          <w:lang w:eastAsia="zh-CN"/>
        </w:rPr>
        <w:t>（</w:t>
      </w:r>
      <w:r>
        <w:rPr>
          <w:rFonts w:hint="eastAsia"/>
          <w:color w:val="auto"/>
          <w:highlight w:val="none"/>
          <w:lang w:val="en-US" w:eastAsia="zh-CN"/>
        </w:rPr>
        <w:t>3）矿区地下水补、径、排条件</w:t>
      </w:r>
    </w:p>
    <w:p w14:paraId="316DDF47">
      <w:pPr>
        <w:bidi w:val="0"/>
        <w:rPr>
          <w:rFonts w:hint="eastAsia"/>
          <w:color w:val="auto"/>
          <w:highlight w:val="none"/>
          <w:lang w:val="en-US" w:eastAsia="zh-CN"/>
        </w:rPr>
      </w:pPr>
      <w:r>
        <w:rPr>
          <w:rFonts w:hint="eastAsia"/>
          <w:color w:val="auto"/>
          <w:highlight w:val="none"/>
          <w:lang w:val="en-US" w:eastAsia="zh-CN"/>
        </w:rPr>
        <w:t>①第四系松散岩类孔隙潜水补、径、排条件</w:t>
      </w:r>
    </w:p>
    <w:p w14:paraId="6116983C">
      <w:pPr>
        <w:bidi w:val="0"/>
        <w:rPr>
          <w:rFonts w:hint="eastAsia"/>
          <w:color w:val="auto"/>
          <w:highlight w:val="none"/>
          <w:lang w:val="en-US" w:eastAsia="zh-CN"/>
        </w:rPr>
      </w:pPr>
      <w:r>
        <w:rPr>
          <w:rFonts w:hint="eastAsia"/>
          <w:color w:val="auto"/>
          <w:highlight w:val="none"/>
          <w:lang w:val="en-US" w:eastAsia="zh-CN"/>
        </w:rPr>
        <w:t>阿克苏河为常年流动的地表水流，夏季大气降水及冰雪融水形成季节性地表水流，河水和季节性水流补给地下水，地下水与地表水之间存在水力联系。矿区阿克苏河谷第四系潜水，主要接受阿克苏河水入渗补给。河谷潜水一部分由东南向西北、由高到低径流，在矿区西北边界排泄流出矿区；一部分则通过地表蒸发的方式排泄。</w:t>
      </w:r>
    </w:p>
    <w:p w14:paraId="2B33CB98">
      <w:pPr>
        <w:bidi w:val="0"/>
        <w:rPr>
          <w:rFonts w:hint="eastAsia"/>
          <w:color w:val="auto"/>
          <w:highlight w:val="none"/>
          <w:lang w:val="en-US" w:eastAsia="zh-CN"/>
        </w:rPr>
      </w:pPr>
      <w:r>
        <w:rPr>
          <w:rFonts w:hint="eastAsia"/>
          <w:color w:val="auto"/>
          <w:highlight w:val="none"/>
          <w:lang w:val="en-US" w:eastAsia="zh-CN"/>
        </w:rPr>
        <w:t>②块状岩类基岩裂隙水补、径、排条件</w:t>
      </w:r>
    </w:p>
    <w:p w14:paraId="68C269B7">
      <w:pPr>
        <w:bidi w:val="0"/>
        <w:rPr>
          <w:rFonts w:hint="eastAsia"/>
          <w:color w:val="auto"/>
          <w:highlight w:val="none"/>
          <w:lang w:val="en-US" w:eastAsia="zh-CN"/>
        </w:rPr>
      </w:pPr>
      <w:r>
        <w:rPr>
          <w:rFonts w:hint="eastAsia"/>
          <w:color w:val="auto"/>
          <w:highlight w:val="none"/>
          <w:lang w:val="en-US" w:eastAsia="zh-CN"/>
        </w:rPr>
        <w:t>基岩裂隙水接受流域范围内及其周边大气降水、冰雪融水入渗补给；分布在阿克苏河谷的第四系潜水含水层与基岩裂隙含水层之间无隔水层，第四系含水层直接与阿尔金岩群变质岩和岩浆岩接触，沿裂隙补给地下水，发生水力联系；矿区基岩裂隙水还接受上游地下水径流补给、侧向补给。基岩裂隙水主要受地形控制整体上由东向西、由南向北径流，最终流出矿区。未来矿山开采地下水疏干是区内地下水排泄的主要方式。</w:t>
      </w:r>
    </w:p>
    <w:p w14:paraId="5F8CB77F">
      <w:pPr>
        <w:bidi w:val="0"/>
        <w:rPr>
          <w:rFonts w:hint="eastAsia"/>
          <w:color w:val="auto"/>
          <w:highlight w:val="none"/>
          <w:lang w:val="en-US" w:eastAsia="zh-CN"/>
        </w:rPr>
      </w:pPr>
      <w:r>
        <w:rPr>
          <w:rFonts w:hint="eastAsia"/>
          <w:color w:val="auto"/>
          <w:highlight w:val="none"/>
          <w:lang w:val="en-US" w:eastAsia="zh-CN"/>
        </w:rPr>
        <w:t>③断层水补、径、排条件</w:t>
      </w:r>
    </w:p>
    <w:p w14:paraId="2FCB89DE">
      <w:pPr>
        <w:bidi w:val="0"/>
        <w:rPr>
          <w:rFonts w:hint="eastAsia"/>
          <w:color w:val="auto"/>
          <w:highlight w:val="none"/>
          <w:lang w:val="en-US" w:eastAsia="zh-CN"/>
        </w:rPr>
      </w:pPr>
      <w:r>
        <w:rPr>
          <w:rFonts w:hint="eastAsia"/>
          <w:color w:val="auto"/>
          <w:highlight w:val="none"/>
          <w:lang w:val="en-US" w:eastAsia="zh-CN"/>
        </w:rPr>
        <w:t>1、F2断层补给-径流-排泄分析</w:t>
      </w:r>
    </w:p>
    <w:p w14:paraId="2AE29799">
      <w:pPr>
        <w:bidi w:val="0"/>
        <w:rPr>
          <w:rFonts w:hint="eastAsia"/>
          <w:color w:val="auto"/>
          <w:highlight w:val="none"/>
          <w:lang w:val="en-US" w:eastAsia="zh-CN"/>
        </w:rPr>
      </w:pPr>
      <w:r>
        <w:rPr>
          <w:rFonts w:hint="eastAsia"/>
          <w:color w:val="auto"/>
          <w:highlight w:val="none"/>
          <w:lang w:val="en-US" w:eastAsia="zh-CN"/>
        </w:rPr>
        <w:t>F2断层自身渗透性极差～较差（中、东部K=0.0001～0.0099m/d；西部河谷SWK3：K=0.0170m/d），难以直接接受大气降水或地表水的有效补给。F2断层主要接受侧向来自深部矿床水的微弱越流补给。F2断层水径流极缓慢，极低的涌水量和渗透系数表明，F2断层带内部的地下水径流近乎，仅存在微弱定向流动，从西向东，溶解性总固体和同位素值略有降低，指示存在一个极其缓慢的、自西向东的微弱径流，可能是深部水在压力驱动下的缓慢迁移。F2断层水排泄方式：微弱泄入相邻含水层：东端可能以越流形式微弱排泄至相邻的、水位更低的第四系含水层。</w:t>
      </w:r>
    </w:p>
    <w:p w14:paraId="1CD699BD">
      <w:pPr>
        <w:bidi w:val="0"/>
        <w:rPr>
          <w:rFonts w:hint="eastAsia"/>
          <w:color w:val="auto"/>
          <w:highlight w:val="none"/>
          <w:lang w:val="en-US" w:eastAsia="zh-CN"/>
        </w:rPr>
      </w:pPr>
      <w:r>
        <w:rPr>
          <w:rFonts w:hint="eastAsia"/>
          <w:color w:val="auto"/>
          <w:highlight w:val="none"/>
          <w:lang w:val="en-US" w:eastAsia="zh-CN"/>
        </w:rPr>
        <w:t>2、F1断层补给-径流-排泄分析</w:t>
      </w:r>
    </w:p>
    <w:p w14:paraId="1C21E937">
      <w:pPr>
        <w:bidi w:val="0"/>
        <w:rPr>
          <w:color w:val="auto"/>
          <w:highlight w:val="none"/>
        </w:rPr>
      </w:pPr>
      <w:r>
        <w:rPr>
          <w:rFonts w:hint="eastAsia"/>
          <w:color w:val="auto"/>
          <w:highlight w:val="none"/>
          <w:lang w:val="en-US" w:eastAsia="zh-CN"/>
        </w:rPr>
        <w:t>F1断层补给来源多样且充沛，在山区出露段接受降水入渗，在阿克苏河等地表水在流经断层时发生强烈渗漏补给，这是其最重要的补给来源之一。F1断层与第四系含水层连通性好，接受其侧向补给。F1断层东段溶解性总固体高，表明也接受深部高矿化水的补给。F1断层径流空间分异极大：西段为强径流带：高涌水量、较高渗透系数、低溶解性总固体，表明地下水径流畅通，流速快。东段为弱径流带：涌水量小，溶解性总固体高，表明向东径流受阻，流速缓慢，趋于滞留。主导径流方向总体表现为自西向东的径流，但在东段能量迅速衰减。F1断层水排泄方式集中且量大：一旦巷道揭露其强径流段，将产生大规模、稳定的涌水（&gt;1100m³/d）。F1断层水还向下游河谷排泄：未受采矿扰动时，断层水会继续向东径流，最终排泄至下游河谷。F1断层是一个强排泄通道，尤其是通过人工揭露，其排泄量远大于天然状态。</w:t>
      </w:r>
    </w:p>
    <w:p w14:paraId="3BEF8FC7">
      <w:pPr>
        <w:bidi w:val="0"/>
        <w:rPr>
          <w:color w:val="auto"/>
          <w:highlight w:val="none"/>
        </w:rPr>
      </w:pPr>
      <w:r>
        <w:rPr>
          <w:rFonts w:hint="eastAsia"/>
          <w:color w:val="auto"/>
          <w:highlight w:val="none"/>
          <w:lang w:eastAsia="zh-CN"/>
        </w:rPr>
        <w:t>（</w:t>
      </w:r>
      <w:r>
        <w:rPr>
          <w:rFonts w:hint="eastAsia"/>
          <w:color w:val="auto"/>
          <w:highlight w:val="none"/>
          <w:lang w:val="en-US" w:eastAsia="zh-CN"/>
        </w:rPr>
        <w:t>4）断层水与主要矿体的水力联系</w:t>
      </w:r>
    </w:p>
    <w:p w14:paraId="11EBDE90">
      <w:pPr>
        <w:bidi w:val="0"/>
        <w:rPr>
          <w:color w:val="auto"/>
          <w:highlight w:val="none"/>
        </w:rPr>
      </w:pPr>
      <w:r>
        <w:rPr>
          <w:rFonts w:hint="eastAsia"/>
          <w:color w:val="auto"/>
          <w:highlight w:val="none"/>
          <w:lang w:val="en-US" w:eastAsia="zh-CN"/>
        </w:rPr>
        <w:t>根据地质勘察资料，F1断层为韧性剪切断裂，断裂为压性断裂，断层东侧富水性差，钻孔多为干孔或有极少量的地下水，为弱富水性含水层，靠近阿克苏河地段中等富水含水层。</w:t>
      </w:r>
    </w:p>
    <w:p w14:paraId="179597CB">
      <w:pPr>
        <w:bidi w:val="0"/>
        <w:rPr>
          <w:color w:val="auto"/>
          <w:highlight w:val="none"/>
        </w:rPr>
      </w:pPr>
      <w:r>
        <w:rPr>
          <w:rFonts w:hint="eastAsia"/>
          <w:color w:val="auto"/>
          <w:highlight w:val="none"/>
          <w:lang w:val="en-US" w:eastAsia="zh-CN"/>
        </w:rPr>
        <w:t>F2断层为复合型断裂，F2断层在东侧地段弱富水或为相对隔水。F2断层东侧为弱富水性含水层，在靠近阿克苏河的地段为中等富水含水层。阿克苏河与第四系地下水存在一定的相互水力联系，阿克苏河与基岩裂隙水无直接水力联系，第四系地下水与基岩裂隙水水力联系相对较弱。F1断层靠近阿克苏河一侧接受河水入渗补给，东侧水力联系微弱；F2断层与河水无直接联系。</w:t>
      </w:r>
    </w:p>
    <w:p w14:paraId="77F95BCD">
      <w:pPr>
        <w:bidi w:val="0"/>
        <w:rPr>
          <w:color w:val="auto"/>
          <w:highlight w:val="none"/>
        </w:rPr>
      </w:pPr>
      <w:r>
        <w:rPr>
          <w:rFonts w:hint="eastAsia"/>
          <w:color w:val="auto"/>
          <w:highlight w:val="none"/>
          <w:lang w:val="en-US" w:eastAsia="zh-CN"/>
        </w:rPr>
        <w:t>本区矿床距离断层带有一定距离，矿区断层与主要矿体之间为有厚层相对隔水的围岩，断层水与矿体的水力联系较弱。</w:t>
      </w:r>
    </w:p>
    <w:p w14:paraId="0486904E">
      <w:pPr>
        <w:pStyle w:val="6"/>
        <w:bidi w:val="0"/>
        <w:rPr>
          <w:color w:val="auto"/>
          <w:highlight w:val="none"/>
        </w:rPr>
      </w:pPr>
      <w:r>
        <w:rPr>
          <w:rFonts w:hint="eastAsia"/>
          <w:color w:val="auto"/>
          <w:highlight w:val="none"/>
          <w:lang w:val="en-US" w:eastAsia="zh-CN"/>
        </w:rPr>
        <w:t>4.1.5</w:t>
      </w:r>
      <w:r>
        <w:rPr>
          <w:rFonts w:hint="eastAsia"/>
          <w:color w:val="auto"/>
          <w:highlight w:val="none"/>
        </w:rPr>
        <w:t>土壤</w:t>
      </w:r>
    </w:p>
    <w:p w14:paraId="69223C3A">
      <w:pPr>
        <w:bidi w:val="0"/>
        <w:rPr>
          <w:rFonts w:hint="eastAsia"/>
          <w:color w:val="auto"/>
          <w:highlight w:val="none"/>
        </w:rPr>
      </w:pPr>
      <w:r>
        <w:rPr>
          <w:rFonts w:hint="eastAsia"/>
          <w:color w:val="auto"/>
          <w:highlight w:val="none"/>
          <w:lang w:val="en-US" w:eastAsia="zh-CN"/>
        </w:rPr>
        <w:t>根据地质勘探报告，项目区</w:t>
      </w:r>
      <w:r>
        <w:rPr>
          <w:rFonts w:hint="eastAsia"/>
          <w:color w:val="auto"/>
          <w:highlight w:val="none"/>
        </w:rPr>
        <w:t>内第四系广泛分布，土壤类型主要为</w:t>
      </w:r>
      <w:r>
        <w:rPr>
          <w:rFonts w:hint="eastAsia"/>
          <w:color w:val="auto"/>
          <w:highlight w:val="none"/>
          <w:lang w:eastAsia="zh-CN"/>
        </w:rPr>
        <w:t>淡棕钙土+钙质石质土，栗高山草原土</w:t>
      </w:r>
      <w:r>
        <w:rPr>
          <w:rFonts w:hint="eastAsia"/>
          <w:color w:val="auto"/>
          <w:highlight w:val="none"/>
        </w:rPr>
        <w:t>，根据调查土壤层厚度分布不均，厚度0.5-5米。土壤剖面由上到下为：0-0.5米为砂砾石土层，0.5米以下为基岩风化层，详见</w:t>
      </w:r>
      <w:r>
        <w:rPr>
          <w:rFonts w:hint="eastAsia"/>
          <w:color w:val="auto"/>
          <w:highlight w:val="none"/>
          <w:lang w:val="en-US" w:eastAsia="zh-CN"/>
        </w:rPr>
        <w:t>图4.1-2</w:t>
      </w:r>
      <w:r>
        <w:rPr>
          <w:rFonts w:hint="eastAsia"/>
          <w:color w:val="auto"/>
          <w:highlight w:val="none"/>
        </w:rPr>
        <w:t>。</w:t>
      </w:r>
    </w:p>
    <w:p w14:paraId="3036A374">
      <w:pPr>
        <w:bidi w:val="0"/>
        <w:rPr>
          <w:rFonts w:hint="eastAsia"/>
          <w:color w:val="auto"/>
          <w:highlight w:val="none"/>
        </w:rPr>
      </w:pPr>
      <w:r>
        <w:rPr>
          <w:rFonts w:hint="eastAsia"/>
          <w:color w:val="auto"/>
          <w:highlight w:val="none"/>
          <w:lang w:eastAsia="zh-CN"/>
        </w:rPr>
        <w:t>项目区</w:t>
      </w:r>
      <w:r>
        <w:rPr>
          <w:rFonts w:hint="eastAsia"/>
          <w:color w:val="auto"/>
          <w:highlight w:val="none"/>
        </w:rPr>
        <w:t>内土壤成土母质多为砾质，总体有机质含量1.2-6.2g/kg，全氮含量0.62-0.95g/kg，砂砾石含量约50%，</w:t>
      </w:r>
      <w:r>
        <w:rPr>
          <w:color w:val="auto"/>
          <w:highlight w:val="none"/>
        </w:rPr>
        <w:t>土壤容重</w:t>
      </w:r>
      <w:r>
        <w:rPr>
          <w:rFonts w:hint="eastAsia"/>
          <w:color w:val="auto"/>
          <w:highlight w:val="none"/>
        </w:rPr>
        <w:t>1.6-1.9</w:t>
      </w:r>
      <w:r>
        <w:rPr>
          <w:color w:val="auto"/>
          <w:highlight w:val="none"/>
        </w:rPr>
        <w:t>g/cm</w:t>
      </w:r>
      <w:r>
        <w:rPr>
          <w:color w:val="auto"/>
          <w:highlight w:val="none"/>
          <w:vertAlign w:val="superscript"/>
        </w:rPr>
        <w:t>3</w:t>
      </w:r>
      <w:r>
        <w:rPr>
          <w:color w:val="auto"/>
          <w:highlight w:val="none"/>
        </w:rPr>
        <w:t>，</w:t>
      </w:r>
      <w:r>
        <w:rPr>
          <w:rFonts w:hint="eastAsia"/>
          <w:color w:val="auto"/>
          <w:highlight w:val="none"/>
          <w:lang w:eastAsia="zh-CN"/>
        </w:rPr>
        <w:t>pH值</w:t>
      </w:r>
      <w:r>
        <w:rPr>
          <w:rFonts w:hint="eastAsia"/>
          <w:color w:val="auto"/>
          <w:highlight w:val="none"/>
        </w:rPr>
        <w:t>8.39-8.69</w:t>
      </w:r>
      <w:r>
        <w:rPr>
          <w:color w:val="auto"/>
          <w:highlight w:val="none"/>
        </w:rPr>
        <w:t>，土壤质地为砂砾质</w:t>
      </w:r>
      <w:r>
        <w:rPr>
          <w:rFonts w:hint="eastAsia"/>
          <w:color w:val="auto"/>
          <w:highlight w:val="none"/>
        </w:rPr>
        <w:t>。</w:t>
      </w:r>
    </w:p>
    <w:p w14:paraId="57A00C96">
      <w:pPr>
        <w:spacing w:line="240" w:lineRule="auto"/>
        <w:ind w:left="0" w:leftChars="0" w:firstLine="0" w:firstLineChars="0"/>
        <w:jc w:val="center"/>
        <w:rPr>
          <w:rFonts w:hint="eastAsia"/>
          <w:color w:val="auto"/>
          <w:highlight w:val="none"/>
        </w:rPr>
      </w:pPr>
    </w:p>
    <w:p w14:paraId="4707B88B">
      <w:pPr>
        <w:pStyle w:val="19"/>
        <w:bidi w:val="0"/>
        <w:rPr>
          <w:rFonts w:hint="default"/>
          <w:color w:val="auto"/>
          <w:highlight w:val="none"/>
          <w:lang w:val="en-US"/>
        </w:rPr>
      </w:pPr>
      <w:r>
        <w:rPr>
          <w:rFonts w:hint="eastAsia"/>
          <w:color w:val="auto"/>
          <w:highlight w:val="none"/>
          <w:lang w:val="en-US" w:eastAsia="zh-CN"/>
        </w:rPr>
        <w:t>图4.1-1    土壤剖面示意图</w:t>
      </w:r>
    </w:p>
    <w:p w14:paraId="114877BA">
      <w:pPr>
        <w:pStyle w:val="6"/>
        <w:bidi w:val="0"/>
        <w:rPr>
          <w:rFonts w:hint="eastAsia"/>
          <w:color w:val="auto"/>
          <w:highlight w:val="none"/>
          <w:lang w:val="en-US" w:eastAsia="zh-CN"/>
        </w:rPr>
      </w:pPr>
      <w:r>
        <w:rPr>
          <w:rFonts w:hint="eastAsia"/>
          <w:color w:val="auto"/>
          <w:highlight w:val="none"/>
          <w:lang w:val="en-US" w:eastAsia="zh-CN"/>
        </w:rPr>
        <w:t>4.1.6地质特征</w:t>
      </w:r>
    </w:p>
    <w:p w14:paraId="7CEA826D">
      <w:pPr>
        <w:pStyle w:val="7"/>
        <w:bidi w:val="0"/>
        <w:ind w:firstLine="482" w:firstLineChars="200"/>
        <w:outlineLvl w:val="3"/>
        <w:rPr>
          <w:rFonts w:hint="default"/>
          <w:color w:val="auto"/>
          <w:highlight w:val="none"/>
          <w:lang w:val="en-US" w:eastAsia="zh-CN"/>
        </w:rPr>
      </w:pPr>
      <w:r>
        <w:rPr>
          <w:rFonts w:hint="eastAsia"/>
          <w:color w:val="auto"/>
          <w:highlight w:val="none"/>
          <w:lang w:val="en-US" w:eastAsia="zh-CN"/>
        </w:rPr>
        <w:t>4.1.6.1地层岩性特征</w:t>
      </w:r>
    </w:p>
    <w:p w14:paraId="2486C4DF">
      <w:pPr>
        <w:bidi w:val="0"/>
        <w:rPr>
          <w:color w:val="auto"/>
          <w:highlight w:val="none"/>
        </w:rPr>
      </w:pPr>
      <w:r>
        <w:rPr>
          <w:rFonts w:hint="eastAsia"/>
          <w:color w:val="auto"/>
          <w:highlight w:val="none"/>
          <w:lang w:eastAsia="zh-CN"/>
        </w:rPr>
        <w:t>区域</w:t>
      </w:r>
      <w:r>
        <w:rPr>
          <w:color w:val="auto"/>
          <w:highlight w:val="none"/>
        </w:rPr>
        <w:t>新太古界-古元古界阿尔金岩群a岩组</w:t>
      </w:r>
      <w:r>
        <w:rPr>
          <w:rFonts w:hint="eastAsia"/>
          <w:color w:val="auto"/>
          <w:highlight w:val="none"/>
          <w:lang w:eastAsia="zh-CN"/>
        </w:rPr>
        <w:t>（</w:t>
      </w:r>
      <w:r>
        <w:rPr>
          <w:color w:val="auto"/>
          <w:highlight w:val="none"/>
        </w:rPr>
        <w:t>Ar3-Pt1Aa</w:t>
      </w:r>
      <w:r>
        <w:rPr>
          <w:rFonts w:hint="eastAsia"/>
          <w:color w:val="auto"/>
          <w:highlight w:val="none"/>
          <w:lang w:eastAsia="zh-CN"/>
        </w:rPr>
        <w:t>）</w:t>
      </w:r>
      <w:r>
        <w:rPr>
          <w:color w:val="auto"/>
          <w:highlight w:val="none"/>
        </w:rPr>
        <w:t>近东西向展布，表现为往南陡倾的单斜层，倾角74-80°。总体近东西向展布，倾向176-193°，东部变化为北东东向，倾向144-157°。其变质程度达到了高角闪岩相</w:t>
      </w:r>
      <w:r>
        <w:rPr>
          <w:rFonts w:hint="eastAsia"/>
          <w:color w:val="auto"/>
          <w:highlight w:val="none"/>
          <w:lang w:eastAsia="zh-CN"/>
        </w:rPr>
        <w:t>（</w:t>
      </w:r>
      <w:r>
        <w:rPr>
          <w:color w:val="auto"/>
          <w:highlight w:val="none"/>
        </w:rPr>
        <w:t>蓝晶石—矽线石亚相</w:t>
      </w:r>
      <w:r>
        <w:rPr>
          <w:rFonts w:hint="eastAsia"/>
          <w:color w:val="auto"/>
          <w:highlight w:val="none"/>
          <w:lang w:eastAsia="zh-CN"/>
        </w:rPr>
        <w:t>）</w:t>
      </w:r>
      <w:r>
        <w:rPr>
          <w:color w:val="auto"/>
          <w:highlight w:val="none"/>
        </w:rPr>
        <w:t>，岩性为片麻岩、</w:t>
      </w:r>
      <w:r>
        <w:rPr>
          <w:rFonts w:hint="eastAsia"/>
          <w:color w:val="auto"/>
          <w:highlight w:val="none"/>
          <w:lang w:eastAsia="zh-CN"/>
        </w:rPr>
        <w:t>变</w:t>
      </w:r>
      <w:r>
        <w:rPr>
          <w:color w:val="auto"/>
          <w:highlight w:val="none"/>
        </w:rPr>
        <w:t>粒岩、片岩、石英岩，夹大理岩，根据地层分布及岩石组合详细划分出4个变质岩段。</w:t>
      </w:r>
    </w:p>
    <w:p w14:paraId="619FC846">
      <w:pPr>
        <w:bidi w:val="0"/>
        <w:rPr>
          <w:color w:val="auto"/>
          <w:highlight w:val="none"/>
        </w:rPr>
      </w:pPr>
      <w:r>
        <w:rPr>
          <w:color w:val="auto"/>
          <w:highlight w:val="none"/>
        </w:rPr>
        <w:t>若羌河上游—阿克苏河流经</w:t>
      </w:r>
      <w:r>
        <w:rPr>
          <w:rFonts w:hint="eastAsia"/>
          <w:color w:val="auto"/>
          <w:highlight w:val="none"/>
          <w:lang w:eastAsia="zh-CN"/>
        </w:rPr>
        <w:t>项目区西侧</w:t>
      </w:r>
      <w:r>
        <w:rPr>
          <w:rFonts w:hint="eastAsia"/>
          <w:color w:val="auto"/>
          <w:highlight w:val="none"/>
          <w:lang w:val="en-US" w:eastAsia="zh-CN"/>
        </w:rPr>
        <w:t>1km处</w:t>
      </w:r>
      <w:r>
        <w:rPr>
          <w:color w:val="auto"/>
          <w:highlight w:val="none"/>
        </w:rPr>
        <w:t>，流域内分布冲积堆积物</w:t>
      </w:r>
      <w:r>
        <w:rPr>
          <w:rFonts w:hint="eastAsia"/>
          <w:color w:val="auto"/>
          <w:highlight w:val="none"/>
          <w:lang w:eastAsia="zh-CN"/>
        </w:rPr>
        <w:t>（</w:t>
      </w:r>
      <w:r>
        <w:rPr>
          <w:color w:val="auto"/>
          <w:highlight w:val="none"/>
        </w:rPr>
        <w:t>Qhal</w:t>
      </w:r>
      <w:r>
        <w:rPr>
          <w:rFonts w:hint="eastAsia"/>
          <w:color w:val="auto"/>
          <w:highlight w:val="none"/>
          <w:lang w:eastAsia="zh-CN"/>
        </w:rPr>
        <w:t>）</w:t>
      </w:r>
      <w:r>
        <w:rPr>
          <w:color w:val="auto"/>
          <w:highlight w:val="none"/>
        </w:rPr>
        <w:t>，南北沟谷洼地分布第四系现代洪冲积堆积物</w:t>
      </w:r>
      <w:r>
        <w:rPr>
          <w:rFonts w:hint="eastAsia"/>
          <w:color w:val="auto"/>
          <w:highlight w:val="none"/>
          <w:lang w:eastAsia="zh-CN"/>
        </w:rPr>
        <w:t>（</w:t>
      </w:r>
      <w:r>
        <w:rPr>
          <w:color w:val="auto"/>
          <w:highlight w:val="none"/>
        </w:rPr>
        <w:t>Qhpal</w:t>
      </w:r>
      <w:r>
        <w:rPr>
          <w:rFonts w:hint="eastAsia"/>
          <w:color w:val="auto"/>
          <w:highlight w:val="none"/>
          <w:lang w:eastAsia="zh-CN"/>
        </w:rPr>
        <w:t>）</w:t>
      </w:r>
      <w:r>
        <w:rPr>
          <w:color w:val="auto"/>
          <w:highlight w:val="none"/>
        </w:rPr>
        <w:t>。沿阿克苏河河床深切割河漫滩、Ⅰ、Ⅱ阶地出露早更新世西域组</w:t>
      </w:r>
      <w:r>
        <w:rPr>
          <w:rFonts w:hint="eastAsia"/>
          <w:color w:val="auto"/>
          <w:highlight w:val="none"/>
          <w:lang w:eastAsia="zh-CN"/>
        </w:rPr>
        <w:t>（</w:t>
      </w:r>
      <w:r>
        <w:rPr>
          <w:color w:val="auto"/>
          <w:highlight w:val="none"/>
        </w:rPr>
        <w:t>Qp1pal</w:t>
      </w:r>
      <w:r>
        <w:rPr>
          <w:rFonts w:hint="eastAsia"/>
          <w:color w:val="auto"/>
          <w:highlight w:val="none"/>
          <w:lang w:eastAsia="zh-CN"/>
        </w:rPr>
        <w:t>）</w:t>
      </w:r>
      <w:r>
        <w:rPr>
          <w:color w:val="auto"/>
          <w:highlight w:val="none"/>
        </w:rPr>
        <w:t>冲积半固结漂砾卵砾岩，钻探资料岩层厚度达32.64-43.58m。</w:t>
      </w:r>
    </w:p>
    <w:p w14:paraId="74C91E8D">
      <w:pPr>
        <w:bidi w:val="0"/>
        <w:rPr>
          <w:color w:val="auto"/>
          <w:highlight w:val="none"/>
        </w:rPr>
      </w:pPr>
      <w:r>
        <w:rPr>
          <w:color w:val="auto"/>
          <w:highlight w:val="none"/>
        </w:rPr>
        <w:t>阿尔金岩群a岩组第一岩段</w:t>
      </w:r>
      <w:r>
        <w:rPr>
          <w:rFonts w:hint="eastAsia"/>
          <w:color w:val="auto"/>
          <w:highlight w:val="none"/>
          <w:lang w:eastAsia="zh-CN"/>
        </w:rPr>
        <w:t>（</w:t>
      </w:r>
      <w:r>
        <w:rPr>
          <w:color w:val="auto"/>
          <w:highlight w:val="none"/>
        </w:rPr>
        <w:t>Ar3-Pt1Aa1</w:t>
      </w:r>
      <w:r>
        <w:rPr>
          <w:rFonts w:hint="eastAsia"/>
          <w:color w:val="auto"/>
          <w:highlight w:val="none"/>
          <w:lang w:eastAsia="zh-CN"/>
        </w:rPr>
        <w:t>）</w:t>
      </w:r>
      <w:r>
        <w:rPr>
          <w:color w:val="auto"/>
          <w:highlight w:val="none"/>
        </w:rPr>
        <w:t>分布在中部，是重要赋矿岩层，原岩为碳酸盐岩—细碎屑岩—中基性火山岩建造，岩石类型为黑云斜长片麻岩、黑云二长片麻岩，其次是黑云斜长</w:t>
      </w:r>
      <w:r>
        <w:rPr>
          <w:rFonts w:hint="eastAsia"/>
          <w:color w:val="auto"/>
          <w:highlight w:val="none"/>
          <w:lang w:eastAsia="zh-CN"/>
        </w:rPr>
        <w:t>变</w:t>
      </w:r>
      <w:r>
        <w:rPr>
          <w:color w:val="auto"/>
          <w:highlight w:val="none"/>
        </w:rPr>
        <w:t>粒岩、角闪斜长片麻岩、角闪二长片麻岩，夹薄层状含金云橄榄大理岩。</w:t>
      </w:r>
    </w:p>
    <w:p w14:paraId="68E60AA2">
      <w:pPr>
        <w:pStyle w:val="7"/>
        <w:bidi w:val="0"/>
        <w:ind w:firstLine="482" w:firstLineChars="200"/>
        <w:outlineLvl w:val="3"/>
        <w:rPr>
          <w:color w:val="auto"/>
          <w:highlight w:val="none"/>
        </w:rPr>
      </w:pPr>
      <w:r>
        <w:rPr>
          <w:color w:val="auto"/>
          <w:highlight w:val="none"/>
        </w:rPr>
        <w:t>4.</w:t>
      </w:r>
      <w:r>
        <w:rPr>
          <w:rFonts w:hint="eastAsia"/>
          <w:color w:val="auto"/>
          <w:highlight w:val="none"/>
          <w:lang w:val="en-US" w:eastAsia="zh-CN"/>
        </w:rPr>
        <w:t>1.6.2</w:t>
      </w:r>
      <w:r>
        <w:rPr>
          <w:color w:val="auto"/>
          <w:highlight w:val="none"/>
        </w:rPr>
        <w:t>构造</w:t>
      </w:r>
    </w:p>
    <w:p w14:paraId="43A6E2BD">
      <w:pPr>
        <w:bidi w:val="0"/>
        <w:rPr>
          <w:color w:val="auto"/>
          <w:highlight w:val="none"/>
        </w:rPr>
      </w:pPr>
      <w:r>
        <w:rPr>
          <w:rFonts w:hint="eastAsia"/>
          <w:color w:val="auto"/>
          <w:highlight w:val="none"/>
          <w:lang w:eastAsia="zh-CN"/>
        </w:rPr>
        <w:t>项目区</w:t>
      </w:r>
      <w:r>
        <w:rPr>
          <w:color w:val="auto"/>
          <w:highlight w:val="none"/>
        </w:rPr>
        <w:t>构造形式以斜切片麻理的断裂构造</w:t>
      </w:r>
      <w:r>
        <w:rPr>
          <w:rFonts w:hint="eastAsia"/>
          <w:color w:val="auto"/>
          <w:highlight w:val="none"/>
          <w:lang w:eastAsia="zh-CN"/>
        </w:rPr>
        <w:t>为主</w:t>
      </w:r>
      <w:r>
        <w:rPr>
          <w:color w:val="auto"/>
          <w:highlight w:val="none"/>
        </w:rPr>
        <w:t>，依据断裂构造与萤石矿分布之间关系，划分出成矿期前断裂，成矿期断层和成矿期后断层。</w:t>
      </w:r>
    </w:p>
    <w:p w14:paraId="3BF70A0D">
      <w:pPr>
        <w:bidi w:val="0"/>
        <w:rPr>
          <w:color w:val="auto"/>
          <w:highlight w:val="none"/>
        </w:rPr>
      </w:pPr>
      <w:r>
        <w:rPr>
          <w:color w:val="auto"/>
          <w:highlight w:val="none"/>
        </w:rPr>
        <w:t>其中F1断裂是矿区萤石矿控矿构造，近东西-北东向展布，往东交汇于卡尔恰尔—阔实区域性大断裂。由于断裂走滑韧性剪切作用，在走向变化的转折端内侧</w:t>
      </w:r>
      <w:r>
        <w:rPr>
          <w:rFonts w:hint="eastAsia"/>
          <w:color w:val="auto"/>
          <w:highlight w:val="none"/>
          <w:lang w:eastAsia="zh-CN"/>
        </w:rPr>
        <w:t>（</w:t>
      </w:r>
      <w:r>
        <w:rPr>
          <w:color w:val="auto"/>
          <w:highlight w:val="none"/>
        </w:rPr>
        <w:t>北侧</w:t>
      </w:r>
      <w:r>
        <w:rPr>
          <w:rFonts w:hint="eastAsia"/>
          <w:color w:val="auto"/>
          <w:highlight w:val="none"/>
          <w:lang w:eastAsia="zh-CN"/>
        </w:rPr>
        <w:t>）</w:t>
      </w:r>
      <w:r>
        <w:rPr>
          <w:color w:val="auto"/>
          <w:highlight w:val="none"/>
        </w:rPr>
        <w:t>的引张应力区发育一系列次级近东西向压性-压扭性弧形断层带，构成了萤石重要赋矿构造。形成时间略晚的北北西-近东西向断层切割近东西向分布的赋矿断层，成矿过程中萤石矿脉沿后形成的断层追踪充填，造成了两组断层交汇处萤石矿体产状变化和厚大矿脉的出现。</w:t>
      </w:r>
    </w:p>
    <w:p w14:paraId="40B01B76">
      <w:pPr>
        <w:pStyle w:val="7"/>
        <w:bidi w:val="0"/>
        <w:ind w:firstLine="482" w:firstLineChars="200"/>
        <w:outlineLvl w:val="3"/>
        <w:rPr>
          <w:color w:val="auto"/>
          <w:highlight w:val="none"/>
        </w:rPr>
      </w:pPr>
      <w:r>
        <w:rPr>
          <w:color w:val="auto"/>
          <w:highlight w:val="none"/>
        </w:rPr>
        <w:t>4.</w:t>
      </w:r>
      <w:r>
        <w:rPr>
          <w:rFonts w:hint="eastAsia"/>
          <w:color w:val="auto"/>
          <w:highlight w:val="none"/>
          <w:lang w:val="en-US" w:eastAsia="zh-CN"/>
        </w:rPr>
        <w:t>1.6.3</w:t>
      </w:r>
      <w:r>
        <w:rPr>
          <w:color w:val="auto"/>
          <w:highlight w:val="none"/>
        </w:rPr>
        <w:t>侵入岩</w:t>
      </w:r>
    </w:p>
    <w:p w14:paraId="0AA31F01">
      <w:pPr>
        <w:bidi w:val="0"/>
        <w:rPr>
          <w:color w:val="auto"/>
          <w:highlight w:val="none"/>
        </w:rPr>
      </w:pPr>
      <w:r>
        <w:rPr>
          <w:color w:val="auto"/>
          <w:highlight w:val="none"/>
        </w:rPr>
        <w:t>新太古代-古元古代侵入岩，主要岩性为长英质黑云斜长条带状混合岩</w:t>
      </w:r>
      <w:r>
        <w:rPr>
          <w:rFonts w:hint="eastAsia"/>
          <w:color w:val="auto"/>
          <w:highlight w:val="none"/>
          <w:lang w:eastAsia="zh-CN"/>
        </w:rPr>
        <w:t>（</w:t>
      </w:r>
      <w:r>
        <w:rPr>
          <w:color w:val="auto"/>
          <w:highlight w:val="none"/>
        </w:rPr>
        <w:t>ιpbam</w:t>
      </w:r>
      <w:r>
        <w:rPr>
          <w:rFonts w:hint="eastAsia"/>
          <w:color w:val="auto"/>
          <w:highlight w:val="none"/>
          <w:lang w:eastAsia="zh-CN"/>
        </w:rPr>
        <w:t>）</w:t>
      </w:r>
      <w:r>
        <w:rPr>
          <w:color w:val="auto"/>
          <w:highlight w:val="none"/>
        </w:rPr>
        <w:t>、花岗质二长角砾状混合岩</w:t>
      </w:r>
      <w:r>
        <w:rPr>
          <w:rFonts w:hint="eastAsia"/>
          <w:color w:val="auto"/>
          <w:highlight w:val="none"/>
          <w:lang w:eastAsia="zh-CN"/>
        </w:rPr>
        <w:t>（</w:t>
      </w:r>
      <w:r>
        <w:rPr>
          <w:color w:val="auto"/>
          <w:highlight w:val="none"/>
        </w:rPr>
        <w:t>ηγbm</w:t>
      </w:r>
      <w:r>
        <w:rPr>
          <w:rFonts w:hint="eastAsia"/>
          <w:color w:val="auto"/>
          <w:highlight w:val="none"/>
          <w:lang w:eastAsia="zh-CN"/>
        </w:rPr>
        <w:t>）</w:t>
      </w:r>
      <w:r>
        <w:rPr>
          <w:color w:val="auto"/>
          <w:highlight w:val="none"/>
        </w:rPr>
        <w:t>和花岗质二长片麻状混合岩</w:t>
      </w:r>
      <w:r>
        <w:rPr>
          <w:rFonts w:hint="eastAsia"/>
          <w:color w:val="auto"/>
          <w:highlight w:val="none"/>
          <w:lang w:eastAsia="zh-CN"/>
        </w:rPr>
        <w:t>（</w:t>
      </w:r>
      <w:r>
        <w:rPr>
          <w:color w:val="auto"/>
          <w:highlight w:val="none"/>
        </w:rPr>
        <w:t>ηγgm</w:t>
      </w:r>
      <w:r>
        <w:rPr>
          <w:rFonts w:hint="eastAsia"/>
          <w:color w:val="auto"/>
          <w:highlight w:val="none"/>
          <w:lang w:eastAsia="zh-CN"/>
        </w:rPr>
        <w:t>）</w:t>
      </w:r>
      <w:r>
        <w:rPr>
          <w:color w:val="auto"/>
          <w:highlight w:val="none"/>
        </w:rPr>
        <w:t>。</w:t>
      </w:r>
    </w:p>
    <w:p w14:paraId="6A116BA7">
      <w:pPr>
        <w:bidi w:val="0"/>
        <w:rPr>
          <w:color w:val="auto"/>
          <w:highlight w:val="none"/>
        </w:rPr>
      </w:pPr>
      <w:r>
        <w:rPr>
          <w:color w:val="auto"/>
          <w:highlight w:val="none"/>
        </w:rPr>
        <w:t>奥陶纪—泥盆纪侵入岩，主要岩性为中细粒二长花岗岩</w:t>
      </w:r>
      <w:r>
        <w:rPr>
          <w:rFonts w:hint="eastAsia"/>
          <w:color w:val="auto"/>
          <w:highlight w:val="none"/>
          <w:lang w:eastAsia="zh-CN"/>
        </w:rPr>
        <w:t>（</w:t>
      </w:r>
      <w:r>
        <w:rPr>
          <w:color w:val="auto"/>
          <w:highlight w:val="none"/>
        </w:rPr>
        <w:t>ηγ</w:t>
      </w:r>
      <w:r>
        <w:rPr>
          <w:rFonts w:hint="eastAsia"/>
          <w:color w:val="auto"/>
          <w:highlight w:val="none"/>
          <w:lang w:eastAsia="zh-CN"/>
        </w:rPr>
        <w:t>）</w:t>
      </w:r>
      <w:r>
        <w:rPr>
          <w:color w:val="auto"/>
          <w:highlight w:val="none"/>
        </w:rPr>
        <w:t>、似斑状二长花岗岩</w:t>
      </w:r>
      <w:r>
        <w:rPr>
          <w:rFonts w:hint="eastAsia"/>
          <w:color w:val="auto"/>
          <w:highlight w:val="none"/>
          <w:lang w:eastAsia="zh-CN"/>
        </w:rPr>
        <w:t>（</w:t>
      </w:r>
      <w:r>
        <w:rPr>
          <w:color w:val="auto"/>
          <w:highlight w:val="none"/>
        </w:rPr>
        <w:t>πηγ</w:t>
      </w:r>
      <w:r>
        <w:rPr>
          <w:rFonts w:hint="eastAsia"/>
          <w:color w:val="auto"/>
          <w:highlight w:val="none"/>
          <w:lang w:eastAsia="zh-CN"/>
        </w:rPr>
        <w:t>）</w:t>
      </w:r>
      <w:r>
        <w:rPr>
          <w:color w:val="auto"/>
          <w:highlight w:val="none"/>
        </w:rPr>
        <w:t>。</w:t>
      </w:r>
    </w:p>
    <w:p w14:paraId="352DB10D">
      <w:pPr>
        <w:bidi w:val="0"/>
        <w:rPr>
          <w:color w:val="auto"/>
          <w:highlight w:val="none"/>
        </w:rPr>
      </w:pPr>
      <w:r>
        <w:rPr>
          <w:color w:val="auto"/>
          <w:highlight w:val="none"/>
        </w:rPr>
        <w:t>脉岩分布广泛，且种类较多，主要有长英质岩脉、二长花岗岩脉、透辉角闪斜长岩脉、黑云花岗岩脉、花岗伟晶岩脉、钾长花岗岩脉、萤石方解石伟晶岩脉和石英脉，数量众多，密集成群分布的萤石方解石伟晶岩脉是萤石矿主要含矿载体。</w:t>
      </w:r>
    </w:p>
    <w:p w14:paraId="1F461A91">
      <w:pPr>
        <w:pStyle w:val="6"/>
        <w:bidi w:val="0"/>
        <w:rPr>
          <w:rFonts w:hint="eastAsia"/>
          <w:color w:val="auto"/>
          <w:highlight w:val="none"/>
          <w:lang w:val="en-US" w:eastAsia="zh-CN"/>
        </w:rPr>
      </w:pPr>
      <w:r>
        <w:rPr>
          <w:rFonts w:hint="eastAsia"/>
          <w:color w:val="auto"/>
          <w:highlight w:val="none"/>
          <w:lang w:val="en-US" w:eastAsia="zh-CN"/>
        </w:rPr>
        <w:t>4.1.7地震等级</w:t>
      </w:r>
    </w:p>
    <w:p w14:paraId="447ADEBF">
      <w:pPr>
        <w:bidi w:val="0"/>
        <w:rPr>
          <w:rFonts w:hint="eastAsia"/>
          <w:color w:val="auto"/>
          <w:highlight w:val="none"/>
        </w:rPr>
      </w:pPr>
      <w:r>
        <w:rPr>
          <w:rFonts w:hint="eastAsia"/>
          <w:color w:val="auto"/>
          <w:highlight w:val="none"/>
          <w:lang w:eastAsia="zh-CN"/>
        </w:rPr>
        <w:t>项目区</w:t>
      </w:r>
      <w:r>
        <w:rPr>
          <w:color w:val="auto"/>
          <w:highlight w:val="none"/>
        </w:rPr>
        <w:t>地处阿尔金大断裂北缘，区域性构造断裂十分发育</w:t>
      </w:r>
      <w:r>
        <w:rPr>
          <w:rFonts w:hint="eastAsia"/>
          <w:color w:val="auto"/>
          <w:highlight w:val="none"/>
          <w:lang w:eastAsia="zh-CN"/>
        </w:rPr>
        <w:t>，根</w:t>
      </w:r>
      <w:r>
        <w:rPr>
          <w:color w:val="auto"/>
          <w:highlight w:val="none"/>
        </w:rPr>
        <w:t>据《中国地震动峰值加速度区划图》</w:t>
      </w:r>
      <w:r>
        <w:rPr>
          <w:rFonts w:hint="eastAsia"/>
          <w:color w:val="auto"/>
          <w:highlight w:val="none"/>
          <w:lang w:eastAsia="zh-CN"/>
        </w:rPr>
        <w:t>（</w:t>
      </w:r>
      <w:r>
        <w:rPr>
          <w:color w:val="auto"/>
          <w:highlight w:val="none"/>
        </w:rPr>
        <w:t>GB18306-2015</w:t>
      </w:r>
      <w:r>
        <w:rPr>
          <w:rFonts w:hint="eastAsia"/>
          <w:color w:val="auto"/>
          <w:highlight w:val="none"/>
          <w:lang w:eastAsia="zh-CN"/>
        </w:rPr>
        <w:t>）</w:t>
      </w:r>
      <w:r>
        <w:rPr>
          <w:color w:val="auto"/>
          <w:highlight w:val="none"/>
        </w:rPr>
        <w:t>，矿区地震动峰值加速度为0.15g，对应地震基本烈度Ⅶ度</w:t>
      </w:r>
      <w:r>
        <w:rPr>
          <w:rFonts w:hint="eastAsia"/>
          <w:color w:val="auto"/>
          <w:highlight w:val="none"/>
        </w:rPr>
        <w:t>，区域地壳属于基本稳定区。</w:t>
      </w:r>
    </w:p>
    <w:p w14:paraId="0AB1225F">
      <w:pPr>
        <w:pStyle w:val="5"/>
        <w:rPr>
          <w:color w:val="auto"/>
          <w:highlight w:val="none"/>
        </w:rPr>
      </w:pPr>
      <w:bookmarkStart w:id="537" w:name="_Toc14371"/>
      <w:bookmarkStart w:id="538" w:name="_Toc13643"/>
      <w:bookmarkStart w:id="539" w:name="_Toc22894"/>
      <w:bookmarkStart w:id="540" w:name="_Toc15340"/>
      <w:bookmarkStart w:id="541" w:name="_Toc30264"/>
      <w:bookmarkStart w:id="542" w:name="_Toc107413895"/>
      <w:bookmarkStart w:id="543" w:name="_Toc107414662"/>
      <w:bookmarkStart w:id="544" w:name="_Toc12837"/>
      <w:r>
        <w:rPr>
          <w:color w:val="auto"/>
          <w:highlight w:val="none"/>
        </w:rPr>
        <w:t>4.</w:t>
      </w:r>
      <w:r>
        <w:rPr>
          <w:rFonts w:hint="eastAsia"/>
          <w:color w:val="auto"/>
          <w:highlight w:val="none"/>
        </w:rPr>
        <w:t>2</w:t>
      </w:r>
      <w:bookmarkStart w:id="545" w:name="_Toc10930"/>
      <w:bookmarkStart w:id="546" w:name="_Toc26966"/>
      <w:bookmarkStart w:id="547" w:name="_Toc23905"/>
      <w:bookmarkStart w:id="548" w:name="_Toc13419"/>
      <w:bookmarkStart w:id="549" w:name="_Toc14680"/>
      <w:bookmarkStart w:id="550" w:name="_Toc15748"/>
      <w:bookmarkStart w:id="551" w:name="_Toc5163"/>
      <w:bookmarkStart w:id="552" w:name="_Toc20418"/>
      <w:bookmarkStart w:id="553" w:name="_Toc20695"/>
      <w:bookmarkStart w:id="554" w:name="_Toc27679"/>
      <w:bookmarkStart w:id="555" w:name="_Toc7315"/>
      <w:bookmarkStart w:id="556" w:name="_Toc31678"/>
      <w:bookmarkStart w:id="557" w:name="_Toc611"/>
      <w:r>
        <w:rPr>
          <w:color w:val="auto"/>
          <w:highlight w:val="none"/>
        </w:rPr>
        <w:t>环境质量现状调查与评价</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5861D02A">
      <w:pPr>
        <w:pStyle w:val="6"/>
        <w:rPr>
          <w:color w:val="auto"/>
          <w:highlight w:val="none"/>
        </w:rPr>
      </w:pPr>
      <w:bookmarkStart w:id="558" w:name="_Toc493523109"/>
      <w:bookmarkStart w:id="559" w:name="_Toc19413"/>
      <w:bookmarkStart w:id="560" w:name="_Toc21136"/>
      <w:bookmarkStart w:id="561" w:name="_Toc24064"/>
      <w:bookmarkStart w:id="562" w:name="_Toc370052902"/>
      <w:bookmarkStart w:id="563" w:name="_Toc4027"/>
      <w:bookmarkStart w:id="564" w:name="_Toc5243"/>
      <w:bookmarkStart w:id="565" w:name="_Toc10860"/>
      <w:bookmarkStart w:id="566" w:name="_Toc12143"/>
      <w:bookmarkStart w:id="567" w:name="_Toc24390"/>
      <w:bookmarkStart w:id="568" w:name="_Toc12180"/>
      <w:bookmarkStart w:id="569" w:name="_Toc391741196"/>
      <w:bookmarkStart w:id="570" w:name="_Toc6403"/>
      <w:bookmarkStart w:id="571" w:name="_Toc341282358"/>
      <w:bookmarkStart w:id="572" w:name="_Toc32466"/>
      <w:bookmarkStart w:id="573" w:name="_Toc484105105"/>
      <w:r>
        <w:rPr>
          <w:color w:val="auto"/>
          <w:highlight w:val="none"/>
        </w:rPr>
        <w:t>4.</w:t>
      </w:r>
      <w:r>
        <w:rPr>
          <w:rFonts w:hint="eastAsia"/>
          <w:color w:val="auto"/>
          <w:highlight w:val="none"/>
        </w:rPr>
        <w:t>2</w:t>
      </w:r>
      <w:r>
        <w:rPr>
          <w:color w:val="auto"/>
          <w:highlight w:val="none"/>
        </w:rPr>
        <w:t>.1大气环境现状调查与评价</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35037B0B">
      <w:pPr>
        <w:pStyle w:val="7"/>
        <w:ind w:firstLine="482"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1</w:t>
      </w:r>
      <w:r>
        <w:rPr>
          <w:color w:val="auto"/>
          <w:highlight w:val="none"/>
        </w:rPr>
        <w:t>.1</w:t>
      </w:r>
      <w:r>
        <w:rPr>
          <w:rFonts w:hint="eastAsia" w:hAnsi="宋体"/>
          <w:color w:val="auto"/>
          <w:highlight w:val="none"/>
        </w:rPr>
        <w:t>环境空气质量现状调查及区域达标判定</w:t>
      </w:r>
    </w:p>
    <w:p w14:paraId="0125BA17">
      <w:pPr>
        <w:keepNext w:val="0"/>
        <w:keepLines w:val="0"/>
        <w:pageBreakBefore w:val="0"/>
        <w:widowControl w:val="0"/>
        <w:kinsoku/>
        <w:wordWrap/>
        <w:autoSpaceDE/>
        <w:autoSpaceDN/>
        <w:bidi w:val="0"/>
        <w:adjustRightInd/>
        <w:snapToGrid/>
        <w:spacing w:line="480" w:lineRule="exact"/>
        <w:ind w:firstLine="480" w:firstLineChars="200"/>
        <w:textAlignment w:val="auto"/>
        <w:rPr>
          <w:rFonts w:eastAsia="宋体"/>
          <w:snapToGrid/>
          <w:color w:val="auto"/>
          <w:kern w:val="2"/>
          <w:sz w:val="24"/>
          <w:szCs w:val="24"/>
          <w:highlight w:val="none"/>
          <w:lang w:val="en-US" w:eastAsia="zh-CN" w:bidi="ar-SA"/>
        </w:rPr>
      </w:pPr>
      <w:r>
        <w:rPr>
          <w:rFonts w:hint="eastAsia" w:eastAsia="宋体"/>
          <w:snapToGrid/>
          <w:color w:val="auto"/>
          <w:kern w:val="2"/>
          <w:sz w:val="24"/>
          <w:szCs w:val="24"/>
          <w:highlight w:val="none"/>
          <w:lang w:val="en-US" w:eastAsia="zh-CN" w:bidi="ar-SA"/>
        </w:rPr>
        <w:t>本次大气环境影响评价等级为二级。根据《环境影响评价技术导则 大气环境》（HJ2.2-2018）“6.1.2-二级评价项目-调查项目所在区域环境质量达标情况及调查评价范围内有环境质量标准的评价因子的环境质量监测数据或进行补充监测，用于评价项目所在区域污染物环境质量现状。”</w:t>
      </w:r>
    </w:p>
    <w:p w14:paraId="50F1E7BF">
      <w:pPr>
        <w:keepNext w:val="0"/>
        <w:keepLines w:val="0"/>
        <w:pageBreakBefore w:val="0"/>
        <w:widowControl w:val="0"/>
        <w:kinsoku/>
        <w:wordWrap/>
        <w:autoSpaceDE/>
        <w:autoSpaceDN/>
        <w:bidi w:val="0"/>
        <w:adjustRightInd/>
        <w:snapToGrid/>
        <w:spacing w:line="480" w:lineRule="exact"/>
        <w:ind w:firstLine="480" w:firstLineChars="200"/>
        <w:textAlignment w:val="auto"/>
        <w:rPr>
          <w:rFonts w:hint="eastAsia" w:eastAsia="宋体"/>
          <w:snapToGrid/>
          <w:color w:val="auto"/>
          <w:kern w:val="2"/>
          <w:sz w:val="24"/>
          <w:szCs w:val="24"/>
          <w:highlight w:val="none"/>
          <w:lang w:val="en-US" w:eastAsia="zh-CN" w:bidi="ar-SA"/>
        </w:rPr>
      </w:pPr>
      <w:r>
        <w:rPr>
          <w:rFonts w:hint="eastAsia" w:eastAsia="宋体"/>
          <w:snapToGrid/>
          <w:color w:val="auto"/>
          <w:kern w:val="2"/>
          <w:sz w:val="24"/>
          <w:szCs w:val="24"/>
          <w:highlight w:val="none"/>
          <w:lang w:val="en-US" w:eastAsia="zh-CN" w:bidi="ar-SA"/>
        </w:rPr>
        <w:t>项目所在区域达标判定，优先采用国家或地方生态环境主管部门公开发布的评价基准年环境质量公告或环境质量报告中的数据或结论；采用评价范围内国家或地方环境空气质量监测网中评价基准年连续1年的监测数据，或采用生态环境主管部门公开发布的环境空气质量现状数据；评价范围内没有环境空气质量监测网数据或公开发布的环境空气质量现状数据的，可选择符合HJ664规定，并且与评价范围地理位置临近，地形、气候条件相近的环境空气质量城市点或区域点的监测数据。本次评价环境空气基本污染物数据</w:t>
      </w:r>
      <w:r>
        <w:rPr>
          <w:rFonts w:hint="eastAsia"/>
          <w:snapToGrid/>
          <w:color w:val="auto"/>
          <w:kern w:val="2"/>
          <w:sz w:val="24"/>
          <w:szCs w:val="24"/>
          <w:highlight w:val="none"/>
          <w:lang w:val="en-US" w:eastAsia="zh-CN" w:bidi="ar-SA"/>
        </w:rPr>
        <w:t>来自若羌县自动监测站2024年全年</w:t>
      </w:r>
      <w:r>
        <w:rPr>
          <w:rFonts w:hint="eastAsia" w:eastAsia="宋体"/>
          <w:snapToGrid/>
          <w:color w:val="auto"/>
          <w:kern w:val="2"/>
          <w:sz w:val="24"/>
          <w:szCs w:val="24"/>
          <w:highlight w:val="none"/>
          <w:lang w:val="en-US" w:eastAsia="zh-CN" w:bidi="ar-SA"/>
        </w:rPr>
        <w:t>环境质量数据。</w:t>
      </w:r>
    </w:p>
    <w:p w14:paraId="4BCA6640">
      <w:pPr>
        <w:ind w:firstLine="480"/>
        <w:rPr>
          <w:color w:val="auto"/>
          <w:highlight w:val="none"/>
        </w:rPr>
      </w:pPr>
      <w:r>
        <w:rPr>
          <w:rFonts w:hint="eastAsia" w:eastAsia="宋体"/>
          <w:snapToGrid/>
          <w:color w:val="auto"/>
          <w:kern w:val="2"/>
          <w:sz w:val="24"/>
          <w:szCs w:val="24"/>
          <w:highlight w:val="none"/>
          <w:lang w:val="en-US" w:eastAsia="zh-CN" w:bidi="ar-SA"/>
        </w:rPr>
        <w:t>环境空气质量现状监测结果见表4.</w:t>
      </w:r>
      <w:r>
        <w:rPr>
          <w:rFonts w:hint="eastAsia"/>
          <w:snapToGrid/>
          <w:color w:val="auto"/>
          <w:kern w:val="2"/>
          <w:sz w:val="24"/>
          <w:szCs w:val="24"/>
          <w:highlight w:val="none"/>
          <w:lang w:val="en-US" w:eastAsia="zh-CN" w:bidi="ar-SA"/>
        </w:rPr>
        <w:t>2</w:t>
      </w:r>
      <w:r>
        <w:rPr>
          <w:rFonts w:hint="eastAsia" w:eastAsia="宋体"/>
          <w:snapToGrid/>
          <w:color w:val="auto"/>
          <w:kern w:val="2"/>
          <w:sz w:val="24"/>
          <w:szCs w:val="24"/>
          <w:highlight w:val="none"/>
          <w:lang w:val="en-US" w:eastAsia="zh-CN" w:bidi="ar-SA"/>
        </w:rPr>
        <w:t>-1。</w:t>
      </w:r>
    </w:p>
    <w:p w14:paraId="51BEC9FC">
      <w:pPr>
        <w:pStyle w:val="19"/>
        <w:bidi w:val="0"/>
        <w:rPr>
          <w:color w:val="auto"/>
          <w:highlight w:val="none"/>
        </w:rPr>
      </w:pPr>
      <w:r>
        <w:rPr>
          <w:color w:val="auto"/>
          <w:highlight w:val="none"/>
        </w:rPr>
        <w:t>表4.2</w:t>
      </w:r>
      <w:r>
        <w:rPr>
          <w:color w:val="auto"/>
          <w:highlight w:val="none"/>
        </w:rPr>
        <w:noBreakHyphen/>
      </w:r>
      <w:r>
        <w:rPr>
          <w:color w:val="auto"/>
          <w:highlight w:val="none"/>
        </w:rPr>
        <w:t xml:space="preserve">1    </w:t>
      </w:r>
      <w:r>
        <w:rPr>
          <w:rFonts w:hint="eastAsia"/>
          <w:color w:val="auto"/>
          <w:highlight w:val="none"/>
          <w:lang w:val="en-US" w:eastAsia="zh-CN"/>
        </w:rPr>
        <w:t>若羌县</w:t>
      </w:r>
      <w:r>
        <w:rPr>
          <w:rFonts w:hint="default" w:ascii="Times New Roman" w:hAnsi="Times New Roman" w:cs="Times New Roman"/>
          <w:b/>
          <w:bCs/>
          <w:color w:val="auto"/>
          <w:sz w:val="24"/>
          <w:szCs w:val="24"/>
          <w:highlight w:val="none"/>
        </w:rPr>
        <w:t>环境空气质量现状监测统计数据</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2715"/>
        <w:gridCol w:w="1545"/>
        <w:gridCol w:w="1455"/>
        <w:gridCol w:w="1215"/>
        <w:gridCol w:w="1066"/>
      </w:tblGrid>
      <w:tr w14:paraId="27BB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tcBorders>
              <w:tl2br w:val="nil"/>
              <w:tr2bl w:val="nil"/>
            </w:tcBorders>
            <w:noWrap w:val="0"/>
            <w:vAlign w:val="center"/>
          </w:tcPr>
          <w:p w14:paraId="6AE83309">
            <w:pPr>
              <w:pStyle w:val="17"/>
              <w:bidi w:val="0"/>
              <w:rPr>
                <w:rFonts w:hint="eastAsia" w:eastAsia="宋体"/>
                <w:color w:val="auto"/>
                <w:highlight w:val="none"/>
                <w:lang w:val="en-US" w:eastAsia="zh-CN"/>
              </w:rPr>
            </w:pPr>
            <w:r>
              <w:rPr>
                <w:rFonts w:hint="eastAsia"/>
                <w:color w:val="auto"/>
                <w:highlight w:val="none"/>
              </w:rPr>
              <w:t>污染物</w:t>
            </w:r>
            <w:r>
              <w:rPr>
                <w:rFonts w:hint="eastAsia"/>
                <w:color w:val="auto"/>
                <w:highlight w:val="none"/>
                <w:lang w:val="en-US" w:eastAsia="zh-CN"/>
              </w:rPr>
              <w:t>项目</w:t>
            </w:r>
          </w:p>
        </w:tc>
        <w:tc>
          <w:tcPr>
            <w:tcW w:w="1480" w:type="pct"/>
            <w:tcBorders>
              <w:tl2br w:val="nil"/>
              <w:tr2bl w:val="nil"/>
            </w:tcBorders>
            <w:noWrap w:val="0"/>
            <w:vAlign w:val="center"/>
          </w:tcPr>
          <w:p w14:paraId="39CF85CC">
            <w:pPr>
              <w:pStyle w:val="17"/>
              <w:bidi w:val="0"/>
              <w:rPr>
                <w:rFonts w:hint="eastAsia" w:eastAsia="宋体"/>
                <w:color w:val="auto"/>
                <w:highlight w:val="none"/>
                <w:lang w:val="en-US" w:eastAsia="zh-CN"/>
              </w:rPr>
            </w:pPr>
            <w:r>
              <w:rPr>
                <w:rFonts w:hint="eastAsia"/>
                <w:color w:val="auto"/>
                <w:highlight w:val="none"/>
                <w:lang w:val="en-US" w:eastAsia="zh-CN"/>
              </w:rPr>
              <w:t>年评价指标</w:t>
            </w:r>
          </w:p>
        </w:tc>
        <w:tc>
          <w:tcPr>
            <w:tcW w:w="842" w:type="pct"/>
            <w:tcBorders>
              <w:tl2br w:val="nil"/>
              <w:tr2bl w:val="nil"/>
            </w:tcBorders>
            <w:noWrap w:val="0"/>
            <w:vAlign w:val="center"/>
          </w:tcPr>
          <w:p w14:paraId="0981A72F">
            <w:pPr>
              <w:pStyle w:val="17"/>
              <w:bidi w:val="0"/>
              <w:rPr>
                <w:color w:val="auto"/>
                <w:highlight w:val="none"/>
              </w:rPr>
            </w:pPr>
            <w:r>
              <w:rPr>
                <w:color w:val="auto"/>
                <w:highlight w:val="none"/>
              </w:rPr>
              <w:t>浓度（μ</w:t>
            </w:r>
            <w:r>
              <w:rPr>
                <w:rFonts w:hint="eastAsia"/>
                <w:color w:val="auto"/>
                <w:highlight w:val="none"/>
                <w:lang w:val="en-US" w:eastAsia="zh-CN"/>
              </w:rPr>
              <w:t>g</w:t>
            </w:r>
            <w:r>
              <w:rPr>
                <w:color w:val="auto"/>
                <w:highlight w:val="none"/>
              </w:rPr>
              <w:t>/m</w:t>
            </w:r>
            <w:r>
              <w:rPr>
                <w:color w:val="auto"/>
                <w:highlight w:val="none"/>
                <w:vertAlign w:val="superscript"/>
              </w:rPr>
              <w:t>3</w:t>
            </w:r>
            <w:r>
              <w:rPr>
                <w:color w:val="auto"/>
                <w:highlight w:val="none"/>
              </w:rPr>
              <w:t>）</w:t>
            </w:r>
          </w:p>
        </w:tc>
        <w:tc>
          <w:tcPr>
            <w:tcW w:w="793" w:type="pct"/>
            <w:tcBorders>
              <w:tl2br w:val="nil"/>
              <w:tr2bl w:val="nil"/>
            </w:tcBorders>
            <w:noWrap w:val="0"/>
            <w:vAlign w:val="center"/>
          </w:tcPr>
          <w:p w14:paraId="7C5C9D66">
            <w:pPr>
              <w:pStyle w:val="17"/>
              <w:bidi w:val="0"/>
              <w:rPr>
                <w:color w:val="auto"/>
                <w:highlight w:val="none"/>
              </w:rPr>
            </w:pPr>
            <w:r>
              <w:rPr>
                <w:rFonts w:hint="eastAsia"/>
                <w:color w:val="auto"/>
                <w:highlight w:val="none"/>
              </w:rPr>
              <w:t>标准（二级）</w:t>
            </w:r>
            <w:r>
              <w:rPr>
                <w:color w:val="auto"/>
                <w:highlight w:val="none"/>
              </w:rPr>
              <w:t>（μ</w:t>
            </w:r>
            <w:r>
              <w:rPr>
                <w:rFonts w:hint="eastAsia"/>
                <w:color w:val="auto"/>
                <w:highlight w:val="none"/>
                <w:lang w:val="en-US" w:eastAsia="zh-CN"/>
              </w:rPr>
              <w:t>g</w:t>
            </w:r>
            <w:r>
              <w:rPr>
                <w:color w:val="auto"/>
                <w:highlight w:val="none"/>
              </w:rPr>
              <w:t>/m</w:t>
            </w:r>
            <w:r>
              <w:rPr>
                <w:color w:val="auto"/>
                <w:highlight w:val="none"/>
                <w:vertAlign w:val="superscript"/>
              </w:rPr>
              <w:t>3</w:t>
            </w:r>
            <w:r>
              <w:rPr>
                <w:color w:val="auto"/>
                <w:highlight w:val="none"/>
              </w:rPr>
              <w:t>）</w:t>
            </w:r>
          </w:p>
        </w:tc>
        <w:tc>
          <w:tcPr>
            <w:tcW w:w="662" w:type="pct"/>
            <w:tcBorders>
              <w:tl2br w:val="nil"/>
              <w:tr2bl w:val="nil"/>
            </w:tcBorders>
            <w:noWrap w:val="0"/>
            <w:vAlign w:val="center"/>
          </w:tcPr>
          <w:p w14:paraId="5597DA92">
            <w:pPr>
              <w:pStyle w:val="17"/>
              <w:bidi w:val="0"/>
              <w:rPr>
                <w:rFonts w:hint="default"/>
                <w:color w:val="auto"/>
                <w:highlight w:val="none"/>
                <w:lang w:val="en-US" w:eastAsia="zh-CN"/>
              </w:rPr>
            </w:pPr>
            <w:r>
              <w:rPr>
                <w:rFonts w:hint="eastAsia"/>
                <w:color w:val="auto"/>
                <w:highlight w:val="none"/>
                <w:lang w:eastAsia="zh-CN"/>
              </w:rPr>
              <w:t>占标率</w:t>
            </w:r>
            <w:r>
              <w:rPr>
                <w:rFonts w:hint="eastAsia"/>
                <w:color w:val="auto"/>
                <w:highlight w:val="none"/>
                <w:lang w:val="en-US" w:eastAsia="zh-CN"/>
              </w:rPr>
              <w:t>%</w:t>
            </w:r>
          </w:p>
        </w:tc>
        <w:tc>
          <w:tcPr>
            <w:tcW w:w="581" w:type="pct"/>
            <w:tcBorders>
              <w:tl2br w:val="nil"/>
              <w:tr2bl w:val="nil"/>
            </w:tcBorders>
            <w:noWrap w:val="0"/>
            <w:vAlign w:val="center"/>
          </w:tcPr>
          <w:p w14:paraId="506CF23A">
            <w:pPr>
              <w:pStyle w:val="17"/>
              <w:bidi w:val="0"/>
              <w:rPr>
                <w:rFonts w:hint="eastAsia"/>
                <w:color w:val="auto"/>
                <w:highlight w:val="none"/>
                <w:lang w:eastAsia="zh-CN"/>
              </w:rPr>
            </w:pPr>
            <w:r>
              <w:rPr>
                <w:rFonts w:hint="eastAsia"/>
                <w:color w:val="auto"/>
                <w:highlight w:val="none"/>
                <w:lang w:eastAsia="zh-CN"/>
              </w:rPr>
              <w:t>达标情况</w:t>
            </w:r>
          </w:p>
        </w:tc>
      </w:tr>
      <w:tr w14:paraId="0B49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vMerge w:val="restart"/>
            <w:tcBorders>
              <w:tl2br w:val="nil"/>
              <w:tr2bl w:val="nil"/>
            </w:tcBorders>
            <w:noWrap w:val="0"/>
            <w:vAlign w:val="center"/>
          </w:tcPr>
          <w:p w14:paraId="3C1A30C1">
            <w:pPr>
              <w:pStyle w:val="17"/>
              <w:bidi w:val="0"/>
              <w:rPr>
                <w:color w:val="auto"/>
                <w:highlight w:val="none"/>
              </w:rPr>
            </w:pPr>
            <w:r>
              <w:rPr>
                <w:rFonts w:hint="eastAsia"/>
                <w:color w:val="auto"/>
                <w:highlight w:val="none"/>
              </w:rPr>
              <w:t>SO</w:t>
            </w:r>
            <w:r>
              <w:rPr>
                <w:rFonts w:hint="eastAsia"/>
                <w:color w:val="auto"/>
                <w:highlight w:val="none"/>
                <w:vertAlign w:val="subscript"/>
              </w:rPr>
              <w:t>2</w:t>
            </w:r>
          </w:p>
        </w:tc>
        <w:tc>
          <w:tcPr>
            <w:tcW w:w="1480" w:type="pct"/>
            <w:tcBorders>
              <w:tl2br w:val="nil"/>
              <w:tr2bl w:val="nil"/>
            </w:tcBorders>
            <w:noWrap w:val="0"/>
            <w:vAlign w:val="center"/>
          </w:tcPr>
          <w:p w14:paraId="46FC049C">
            <w:pPr>
              <w:pStyle w:val="17"/>
              <w:bidi w:val="0"/>
              <w:rPr>
                <w:rFonts w:hint="default"/>
                <w:color w:val="auto"/>
                <w:highlight w:val="none"/>
                <w:lang w:val="en-US" w:eastAsia="zh-CN"/>
              </w:rPr>
            </w:pPr>
            <w:r>
              <w:rPr>
                <w:rFonts w:hint="eastAsia"/>
                <w:color w:val="auto"/>
                <w:highlight w:val="none"/>
                <w:lang w:val="en-US" w:eastAsia="zh-CN"/>
              </w:rPr>
              <w:t>年平均质量浓度</w:t>
            </w:r>
          </w:p>
        </w:tc>
        <w:tc>
          <w:tcPr>
            <w:tcW w:w="842" w:type="pct"/>
            <w:tcBorders>
              <w:tl2br w:val="nil"/>
              <w:tr2bl w:val="nil"/>
            </w:tcBorders>
            <w:noWrap w:val="0"/>
            <w:vAlign w:val="center"/>
          </w:tcPr>
          <w:p w14:paraId="582430DB">
            <w:pPr>
              <w:pStyle w:val="17"/>
              <w:bidi w:val="0"/>
              <w:rPr>
                <w:rFonts w:hint="default"/>
                <w:color w:val="auto"/>
                <w:highlight w:val="none"/>
                <w:lang w:val="en-US" w:eastAsia="zh-CN"/>
              </w:rPr>
            </w:pPr>
            <w:r>
              <w:rPr>
                <w:rFonts w:hint="eastAsia"/>
                <w:color w:val="auto"/>
                <w:highlight w:val="none"/>
                <w:lang w:val="en-US" w:eastAsia="zh-CN"/>
              </w:rPr>
              <w:t>6</w:t>
            </w:r>
          </w:p>
        </w:tc>
        <w:tc>
          <w:tcPr>
            <w:tcW w:w="793" w:type="pct"/>
            <w:tcBorders>
              <w:tl2br w:val="nil"/>
              <w:tr2bl w:val="nil"/>
            </w:tcBorders>
            <w:noWrap w:val="0"/>
            <w:vAlign w:val="center"/>
          </w:tcPr>
          <w:p w14:paraId="22BF8CA7">
            <w:pPr>
              <w:pStyle w:val="17"/>
              <w:bidi w:val="0"/>
              <w:rPr>
                <w:color w:val="auto"/>
                <w:highlight w:val="none"/>
              </w:rPr>
            </w:pPr>
            <w:r>
              <w:rPr>
                <w:rFonts w:hint="eastAsia"/>
                <w:color w:val="auto"/>
                <w:highlight w:val="none"/>
              </w:rPr>
              <w:t>60</w:t>
            </w:r>
          </w:p>
        </w:tc>
        <w:tc>
          <w:tcPr>
            <w:tcW w:w="662" w:type="pct"/>
            <w:tcBorders>
              <w:tl2br w:val="nil"/>
              <w:tr2bl w:val="nil"/>
            </w:tcBorders>
            <w:noWrap w:val="0"/>
            <w:vAlign w:val="center"/>
          </w:tcPr>
          <w:p w14:paraId="3225444F">
            <w:pPr>
              <w:pStyle w:val="17"/>
              <w:bidi w:val="0"/>
              <w:rPr>
                <w:rFonts w:hint="default"/>
                <w:color w:val="auto"/>
                <w:highlight w:val="none"/>
                <w:lang w:val="en-US" w:eastAsia="zh-CN"/>
              </w:rPr>
            </w:pPr>
            <w:r>
              <w:rPr>
                <w:rFonts w:hint="eastAsia"/>
                <w:color w:val="auto"/>
                <w:highlight w:val="none"/>
                <w:lang w:val="en-US" w:eastAsia="zh-CN"/>
              </w:rPr>
              <w:t>10</w:t>
            </w:r>
          </w:p>
        </w:tc>
        <w:tc>
          <w:tcPr>
            <w:tcW w:w="581" w:type="pct"/>
            <w:tcBorders>
              <w:tl2br w:val="nil"/>
              <w:tr2bl w:val="nil"/>
            </w:tcBorders>
            <w:noWrap w:val="0"/>
            <w:vAlign w:val="center"/>
          </w:tcPr>
          <w:p w14:paraId="4A74E4CE">
            <w:pPr>
              <w:pStyle w:val="17"/>
              <w:bidi w:val="0"/>
              <w:rPr>
                <w:rFonts w:hint="eastAsia"/>
                <w:color w:val="auto"/>
                <w:highlight w:val="none"/>
                <w:lang w:eastAsia="zh-CN"/>
              </w:rPr>
            </w:pPr>
            <w:r>
              <w:rPr>
                <w:rFonts w:hint="default"/>
                <w:color w:val="auto"/>
                <w:highlight w:val="none"/>
                <w:lang w:eastAsia="zh-CN"/>
              </w:rPr>
              <w:t>达标</w:t>
            </w:r>
          </w:p>
        </w:tc>
      </w:tr>
      <w:tr w14:paraId="688F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vMerge w:val="continue"/>
            <w:tcBorders>
              <w:tl2br w:val="nil"/>
              <w:tr2bl w:val="nil"/>
            </w:tcBorders>
            <w:noWrap w:val="0"/>
            <w:vAlign w:val="center"/>
          </w:tcPr>
          <w:p w14:paraId="04C2FB43">
            <w:pPr>
              <w:pStyle w:val="17"/>
              <w:bidi w:val="0"/>
              <w:rPr>
                <w:rFonts w:hint="eastAsia"/>
                <w:color w:val="auto"/>
                <w:highlight w:val="none"/>
              </w:rPr>
            </w:pPr>
          </w:p>
        </w:tc>
        <w:tc>
          <w:tcPr>
            <w:tcW w:w="1480" w:type="pct"/>
            <w:tcBorders>
              <w:tl2br w:val="nil"/>
              <w:tr2bl w:val="nil"/>
            </w:tcBorders>
            <w:noWrap w:val="0"/>
            <w:vAlign w:val="center"/>
          </w:tcPr>
          <w:p w14:paraId="5E92179D">
            <w:pPr>
              <w:pStyle w:val="17"/>
              <w:bidi w:val="0"/>
              <w:rPr>
                <w:rFonts w:hint="default"/>
                <w:color w:val="auto"/>
                <w:highlight w:val="none"/>
                <w:lang w:val="en-US" w:eastAsia="zh-CN"/>
              </w:rPr>
            </w:pPr>
            <w:r>
              <w:rPr>
                <w:rFonts w:hint="eastAsia"/>
                <w:color w:val="auto"/>
                <w:highlight w:val="none"/>
                <w:lang w:val="en-US" w:eastAsia="zh-CN"/>
              </w:rPr>
              <w:t>24小时平均第98百分位数</w:t>
            </w:r>
          </w:p>
        </w:tc>
        <w:tc>
          <w:tcPr>
            <w:tcW w:w="842" w:type="pct"/>
            <w:tcBorders>
              <w:tl2br w:val="nil"/>
              <w:tr2bl w:val="nil"/>
            </w:tcBorders>
            <w:noWrap w:val="0"/>
            <w:vAlign w:val="center"/>
          </w:tcPr>
          <w:p w14:paraId="2D8FB830">
            <w:pPr>
              <w:pStyle w:val="17"/>
              <w:bidi w:val="0"/>
              <w:rPr>
                <w:rFonts w:hint="eastAsia"/>
                <w:color w:val="auto"/>
                <w:highlight w:val="none"/>
                <w:lang w:val="en-US" w:eastAsia="zh-CN"/>
              </w:rPr>
            </w:pPr>
            <w:r>
              <w:rPr>
                <w:rFonts w:hint="eastAsia"/>
                <w:color w:val="auto"/>
                <w:highlight w:val="none"/>
                <w:lang w:val="en-US" w:eastAsia="zh-CN"/>
              </w:rPr>
              <w:t>9</w:t>
            </w:r>
          </w:p>
        </w:tc>
        <w:tc>
          <w:tcPr>
            <w:tcW w:w="793" w:type="pct"/>
            <w:tcBorders>
              <w:tl2br w:val="nil"/>
              <w:tr2bl w:val="nil"/>
            </w:tcBorders>
            <w:noWrap w:val="0"/>
            <w:vAlign w:val="center"/>
          </w:tcPr>
          <w:p w14:paraId="11B70FED">
            <w:pPr>
              <w:pStyle w:val="17"/>
              <w:bidi w:val="0"/>
              <w:rPr>
                <w:rFonts w:hint="eastAsia"/>
                <w:color w:val="auto"/>
                <w:highlight w:val="none"/>
              </w:rPr>
            </w:pPr>
            <w:r>
              <w:rPr>
                <w:rFonts w:hint="eastAsia"/>
                <w:color w:val="auto"/>
                <w:highlight w:val="none"/>
              </w:rPr>
              <w:t>150</w:t>
            </w:r>
          </w:p>
        </w:tc>
        <w:tc>
          <w:tcPr>
            <w:tcW w:w="662" w:type="pct"/>
            <w:tcBorders>
              <w:tl2br w:val="nil"/>
              <w:tr2bl w:val="nil"/>
            </w:tcBorders>
            <w:noWrap w:val="0"/>
            <w:vAlign w:val="center"/>
          </w:tcPr>
          <w:p w14:paraId="5A2F1A6E">
            <w:pPr>
              <w:pStyle w:val="17"/>
              <w:bidi w:val="0"/>
              <w:rPr>
                <w:rFonts w:hint="default"/>
                <w:color w:val="auto"/>
                <w:highlight w:val="none"/>
                <w:lang w:val="en-US" w:eastAsia="zh-CN"/>
              </w:rPr>
            </w:pPr>
            <w:r>
              <w:rPr>
                <w:rFonts w:hint="eastAsia"/>
                <w:color w:val="auto"/>
                <w:highlight w:val="none"/>
                <w:lang w:val="en-US" w:eastAsia="zh-CN"/>
              </w:rPr>
              <w:t>6</w:t>
            </w:r>
          </w:p>
        </w:tc>
        <w:tc>
          <w:tcPr>
            <w:tcW w:w="581" w:type="pct"/>
            <w:tcBorders>
              <w:tl2br w:val="nil"/>
              <w:tr2bl w:val="nil"/>
            </w:tcBorders>
            <w:noWrap w:val="0"/>
            <w:vAlign w:val="center"/>
          </w:tcPr>
          <w:p w14:paraId="38045A6F">
            <w:pPr>
              <w:pStyle w:val="17"/>
              <w:bidi w:val="0"/>
              <w:rPr>
                <w:rFonts w:hint="default"/>
                <w:color w:val="auto"/>
                <w:highlight w:val="none"/>
                <w:lang w:eastAsia="zh-CN"/>
              </w:rPr>
            </w:pPr>
            <w:r>
              <w:rPr>
                <w:rFonts w:hint="default"/>
                <w:color w:val="auto"/>
                <w:highlight w:val="none"/>
                <w:lang w:eastAsia="zh-CN"/>
              </w:rPr>
              <w:t>达标</w:t>
            </w:r>
          </w:p>
        </w:tc>
      </w:tr>
      <w:tr w14:paraId="1295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vMerge w:val="restart"/>
            <w:tcBorders>
              <w:tl2br w:val="nil"/>
              <w:tr2bl w:val="nil"/>
            </w:tcBorders>
            <w:noWrap w:val="0"/>
            <w:vAlign w:val="center"/>
          </w:tcPr>
          <w:p w14:paraId="15BEC005">
            <w:pPr>
              <w:pStyle w:val="17"/>
              <w:bidi w:val="0"/>
              <w:rPr>
                <w:color w:val="auto"/>
                <w:highlight w:val="none"/>
              </w:rPr>
            </w:pPr>
            <w:r>
              <w:rPr>
                <w:rFonts w:hint="eastAsia"/>
                <w:color w:val="auto"/>
                <w:highlight w:val="none"/>
              </w:rPr>
              <w:t>NO</w:t>
            </w:r>
            <w:r>
              <w:rPr>
                <w:rFonts w:hint="eastAsia"/>
                <w:color w:val="auto"/>
                <w:highlight w:val="none"/>
                <w:vertAlign w:val="subscript"/>
              </w:rPr>
              <w:t>2</w:t>
            </w:r>
          </w:p>
        </w:tc>
        <w:tc>
          <w:tcPr>
            <w:tcW w:w="1480" w:type="pct"/>
            <w:tcBorders>
              <w:tl2br w:val="nil"/>
              <w:tr2bl w:val="nil"/>
            </w:tcBorders>
            <w:noWrap w:val="0"/>
            <w:vAlign w:val="center"/>
          </w:tcPr>
          <w:p w14:paraId="473701D7">
            <w:pPr>
              <w:pStyle w:val="17"/>
              <w:bidi w:val="0"/>
              <w:rPr>
                <w:rFonts w:hint="default"/>
                <w:color w:val="auto"/>
                <w:highlight w:val="none"/>
                <w:lang w:val="en-US" w:eastAsia="zh-CN"/>
              </w:rPr>
            </w:pPr>
            <w:r>
              <w:rPr>
                <w:rFonts w:hint="eastAsia"/>
                <w:color w:val="auto"/>
                <w:highlight w:val="none"/>
                <w:lang w:val="en-US" w:eastAsia="zh-CN"/>
              </w:rPr>
              <w:t>年平均质量浓度</w:t>
            </w:r>
          </w:p>
        </w:tc>
        <w:tc>
          <w:tcPr>
            <w:tcW w:w="842" w:type="pct"/>
            <w:tcBorders>
              <w:tl2br w:val="nil"/>
              <w:tr2bl w:val="nil"/>
            </w:tcBorders>
            <w:noWrap w:val="0"/>
            <w:vAlign w:val="center"/>
          </w:tcPr>
          <w:p w14:paraId="5D2D633C">
            <w:pPr>
              <w:pStyle w:val="17"/>
              <w:bidi w:val="0"/>
              <w:rPr>
                <w:rFonts w:hint="default"/>
                <w:color w:val="auto"/>
                <w:highlight w:val="none"/>
                <w:lang w:val="en-US" w:eastAsia="zh-CN"/>
              </w:rPr>
            </w:pPr>
            <w:r>
              <w:rPr>
                <w:rFonts w:hint="eastAsia"/>
                <w:color w:val="auto"/>
                <w:highlight w:val="none"/>
                <w:lang w:val="en-US" w:eastAsia="zh-CN"/>
              </w:rPr>
              <w:t>8</w:t>
            </w:r>
          </w:p>
        </w:tc>
        <w:tc>
          <w:tcPr>
            <w:tcW w:w="793" w:type="pct"/>
            <w:tcBorders>
              <w:tl2br w:val="nil"/>
              <w:tr2bl w:val="nil"/>
            </w:tcBorders>
            <w:noWrap w:val="0"/>
            <w:vAlign w:val="center"/>
          </w:tcPr>
          <w:p w14:paraId="28E09BD8">
            <w:pPr>
              <w:pStyle w:val="17"/>
              <w:bidi w:val="0"/>
              <w:rPr>
                <w:color w:val="auto"/>
                <w:highlight w:val="none"/>
              </w:rPr>
            </w:pPr>
            <w:r>
              <w:rPr>
                <w:rFonts w:hint="eastAsia"/>
                <w:color w:val="auto"/>
                <w:highlight w:val="none"/>
              </w:rPr>
              <w:t>40</w:t>
            </w:r>
          </w:p>
        </w:tc>
        <w:tc>
          <w:tcPr>
            <w:tcW w:w="662" w:type="pct"/>
            <w:tcBorders>
              <w:tl2br w:val="nil"/>
              <w:tr2bl w:val="nil"/>
            </w:tcBorders>
            <w:noWrap w:val="0"/>
            <w:vAlign w:val="center"/>
          </w:tcPr>
          <w:p w14:paraId="2121AB56">
            <w:pPr>
              <w:pStyle w:val="17"/>
              <w:bidi w:val="0"/>
              <w:rPr>
                <w:rFonts w:hint="default"/>
                <w:color w:val="auto"/>
                <w:highlight w:val="none"/>
                <w:lang w:val="en-US" w:eastAsia="zh-CN"/>
              </w:rPr>
            </w:pPr>
            <w:r>
              <w:rPr>
                <w:rFonts w:hint="eastAsia"/>
                <w:color w:val="auto"/>
                <w:highlight w:val="none"/>
                <w:lang w:val="en-US" w:eastAsia="zh-CN"/>
              </w:rPr>
              <w:t>20</w:t>
            </w:r>
          </w:p>
        </w:tc>
        <w:tc>
          <w:tcPr>
            <w:tcW w:w="581" w:type="pct"/>
            <w:tcBorders>
              <w:tl2br w:val="nil"/>
              <w:tr2bl w:val="nil"/>
            </w:tcBorders>
            <w:noWrap w:val="0"/>
            <w:vAlign w:val="center"/>
          </w:tcPr>
          <w:p w14:paraId="08C78456">
            <w:pPr>
              <w:pStyle w:val="17"/>
              <w:bidi w:val="0"/>
              <w:rPr>
                <w:rFonts w:hint="eastAsia"/>
                <w:color w:val="auto"/>
                <w:highlight w:val="none"/>
              </w:rPr>
            </w:pPr>
            <w:r>
              <w:rPr>
                <w:rFonts w:hint="default"/>
                <w:color w:val="auto"/>
                <w:highlight w:val="none"/>
                <w:lang w:eastAsia="zh-CN"/>
              </w:rPr>
              <w:t>达标</w:t>
            </w:r>
          </w:p>
        </w:tc>
      </w:tr>
      <w:tr w14:paraId="356C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vMerge w:val="continue"/>
            <w:tcBorders>
              <w:tl2br w:val="nil"/>
              <w:tr2bl w:val="nil"/>
            </w:tcBorders>
            <w:noWrap w:val="0"/>
            <w:vAlign w:val="center"/>
          </w:tcPr>
          <w:p w14:paraId="62E60E42">
            <w:pPr>
              <w:pStyle w:val="17"/>
              <w:bidi w:val="0"/>
              <w:rPr>
                <w:rFonts w:hint="eastAsia"/>
                <w:color w:val="auto"/>
                <w:highlight w:val="none"/>
              </w:rPr>
            </w:pPr>
          </w:p>
        </w:tc>
        <w:tc>
          <w:tcPr>
            <w:tcW w:w="1480" w:type="pct"/>
            <w:tcBorders>
              <w:tl2br w:val="nil"/>
              <w:tr2bl w:val="nil"/>
            </w:tcBorders>
            <w:noWrap w:val="0"/>
            <w:vAlign w:val="center"/>
          </w:tcPr>
          <w:p w14:paraId="64D7494B">
            <w:pPr>
              <w:pStyle w:val="17"/>
              <w:bidi w:val="0"/>
              <w:rPr>
                <w:rFonts w:hint="eastAsia"/>
                <w:color w:val="auto"/>
                <w:highlight w:val="none"/>
                <w:lang w:val="en-US" w:eastAsia="zh-CN"/>
              </w:rPr>
            </w:pPr>
            <w:r>
              <w:rPr>
                <w:rFonts w:hint="eastAsia"/>
                <w:color w:val="auto"/>
                <w:highlight w:val="none"/>
                <w:lang w:val="en-US" w:eastAsia="zh-CN"/>
              </w:rPr>
              <w:t>24小时平均第98百分位数</w:t>
            </w:r>
          </w:p>
        </w:tc>
        <w:tc>
          <w:tcPr>
            <w:tcW w:w="842" w:type="pct"/>
            <w:tcBorders>
              <w:tl2br w:val="nil"/>
              <w:tr2bl w:val="nil"/>
            </w:tcBorders>
            <w:noWrap w:val="0"/>
            <w:vAlign w:val="center"/>
          </w:tcPr>
          <w:p w14:paraId="7A7A9500">
            <w:pPr>
              <w:pStyle w:val="17"/>
              <w:bidi w:val="0"/>
              <w:rPr>
                <w:rFonts w:hint="eastAsia"/>
                <w:color w:val="auto"/>
                <w:highlight w:val="none"/>
                <w:lang w:val="en-US" w:eastAsia="zh-CN"/>
              </w:rPr>
            </w:pPr>
            <w:r>
              <w:rPr>
                <w:rFonts w:hint="eastAsia"/>
                <w:color w:val="auto"/>
                <w:highlight w:val="none"/>
                <w:lang w:val="en-US" w:eastAsia="zh-CN"/>
              </w:rPr>
              <w:t>15</w:t>
            </w:r>
          </w:p>
        </w:tc>
        <w:tc>
          <w:tcPr>
            <w:tcW w:w="793" w:type="pct"/>
            <w:tcBorders>
              <w:tl2br w:val="nil"/>
              <w:tr2bl w:val="nil"/>
            </w:tcBorders>
            <w:noWrap w:val="0"/>
            <w:vAlign w:val="center"/>
          </w:tcPr>
          <w:p w14:paraId="2B23B194">
            <w:pPr>
              <w:pStyle w:val="17"/>
              <w:bidi w:val="0"/>
              <w:rPr>
                <w:rFonts w:hint="eastAsia"/>
                <w:color w:val="auto"/>
                <w:highlight w:val="none"/>
              </w:rPr>
            </w:pPr>
            <w:r>
              <w:rPr>
                <w:rFonts w:hint="eastAsia"/>
                <w:color w:val="auto"/>
                <w:highlight w:val="none"/>
              </w:rPr>
              <w:t>80</w:t>
            </w:r>
          </w:p>
        </w:tc>
        <w:tc>
          <w:tcPr>
            <w:tcW w:w="662" w:type="pct"/>
            <w:tcBorders>
              <w:tl2br w:val="nil"/>
              <w:tr2bl w:val="nil"/>
            </w:tcBorders>
            <w:noWrap w:val="0"/>
            <w:vAlign w:val="center"/>
          </w:tcPr>
          <w:p w14:paraId="10CFF40E">
            <w:pPr>
              <w:pStyle w:val="17"/>
              <w:bidi w:val="0"/>
              <w:rPr>
                <w:rFonts w:hint="default"/>
                <w:color w:val="auto"/>
                <w:highlight w:val="none"/>
                <w:lang w:val="en-US" w:eastAsia="zh-CN"/>
              </w:rPr>
            </w:pPr>
            <w:r>
              <w:rPr>
                <w:rFonts w:hint="eastAsia"/>
                <w:color w:val="auto"/>
                <w:highlight w:val="none"/>
                <w:lang w:val="en-US" w:eastAsia="zh-CN"/>
              </w:rPr>
              <w:t>19</w:t>
            </w:r>
          </w:p>
        </w:tc>
        <w:tc>
          <w:tcPr>
            <w:tcW w:w="581" w:type="pct"/>
            <w:tcBorders>
              <w:tl2br w:val="nil"/>
              <w:tr2bl w:val="nil"/>
            </w:tcBorders>
            <w:noWrap w:val="0"/>
            <w:vAlign w:val="center"/>
          </w:tcPr>
          <w:p w14:paraId="0E2B801B">
            <w:pPr>
              <w:pStyle w:val="17"/>
              <w:bidi w:val="0"/>
              <w:rPr>
                <w:rFonts w:hint="default"/>
                <w:color w:val="auto"/>
                <w:highlight w:val="none"/>
                <w:lang w:eastAsia="zh-CN"/>
              </w:rPr>
            </w:pPr>
            <w:r>
              <w:rPr>
                <w:rFonts w:hint="default"/>
                <w:color w:val="auto"/>
                <w:highlight w:val="none"/>
                <w:lang w:eastAsia="zh-CN"/>
              </w:rPr>
              <w:t>达标</w:t>
            </w:r>
          </w:p>
        </w:tc>
      </w:tr>
      <w:tr w14:paraId="252D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tcBorders>
              <w:tl2br w:val="nil"/>
              <w:tr2bl w:val="nil"/>
            </w:tcBorders>
            <w:noWrap w:val="0"/>
            <w:vAlign w:val="center"/>
          </w:tcPr>
          <w:p w14:paraId="5A7C1686">
            <w:pPr>
              <w:pStyle w:val="17"/>
              <w:bidi w:val="0"/>
              <w:rPr>
                <w:color w:val="auto"/>
                <w:highlight w:val="none"/>
              </w:rPr>
            </w:pPr>
            <w:r>
              <w:rPr>
                <w:rFonts w:hint="eastAsia"/>
                <w:color w:val="auto"/>
                <w:highlight w:val="none"/>
              </w:rPr>
              <w:t>CO（mg/m</w:t>
            </w:r>
            <w:r>
              <w:rPr>
                <w:rFonts w:hint="eastAsia"/>
                <w:color w:val="auto"/>
                <w:highlight w:val="none"/>
                <w:vertAlign w:val="superscript"/>
              </w:rPr>
              <w:t>3</w:t>
            </w:r>
            <w:r>
              <w:rPr>
                <w:rFonts w:hint="eastAsia"/>
                <w:color w:val="auto"/>
                <w:highlight w:val="none"/>
              </w:rPr>
              <w:t>）</w:t>
            </w:r>
          </w:p>
        </w:tc>
        <w:tc>
          <w:tcPr>
            <w:tcW w:w="1480" w:type="pct"/>
            <w:tcBorders>
              <w:tl2br w:val="nil"/>
              <w:tr2bl w:val="nil"/>
            </w:tcBorders>
            <w:noWrap w:val="0"/>
            <w:vAlign w:val="center"/>
          </w:tcPr>
          <w:p w14:paraId="73C0113C">
            <w:pPr>
              <w:pStyle w:val="17"/>
              <w:bidi w:val="0"/>
              <w:rPr>
                <w:rFonts w:hint="default"/>
                <w:color w:val="auto"/>
                <w:highlight w:val="none"/>
                <w:lang w:val="en-US" w:eastAsia="zh-CN"/>
              </w:rPr>
            </w:pPr>
            <w:r>
              <w:rPr>
                <w:rFonts w:hint="eastAsia"/>
                <w:color w:val="auto"/>
                <w:highlight w:val="none"/>
                <w:lang w:val="en-US" w:eastAsia="zh-CN"/>
              </w:rPr>
              <w:t>24小时平均第95百分位数</w:t>
            </w:r>
          </w:p>
        </w:tc>
        <w:tc>
          <w:tcPr>
            <w:tcW w:w="842" w:type="pct"/>
            <w:tcBorders>
              <w:tl2br w:val="nil"/>
              <w:tr2bl w:val="nil"/>
            </w:tcBorders>
            <w:noWrap w:val="0"/>
            <w:vAlign w:val="center"/>
          </w:tcPr>
          <w:p w14:paraId="7945E451">
            <w:pPr>
              <w:pStyle w:val="17"/>
              <w:bidi w:val="0"/>
              <w:rPr>
                <w:rFonts w:hint="default"/>
                <w:color w:val="auto"/>
                <w:highlight w:val="none"/>
                <w:lang w:val="en-US" w:eastAsia="zh-CN"/>
              </w:rPr>
            </w:pPr>
            <w:r>
              <w:rPr>
                <w:rFonts w:hint="eastAsia"/>
                <w:color w:val="auto"/>
                <w:highlight w:val="none"/>
                <w:lang w:val="en-US" w:eastAsia="zh-CN"/>
              </w:rPr>
              <w:t>304</w:t>
            </w:r>
          </w:p>
        </w:tc>
        <w:tc>
          <w:tcPr>
            <w:tcW w:w="793" w:type="pct"/>
            <w:tcBorders>
              <w:tl2br w:val="nil"/>
              <w:tr2bl w:val="nil"/>
            </w:tcBorders>
            <w:noWrap w:val="0"/>
            <w:vAlign w:val="center"/>
          </w:tcPr>
          <w:p w14:paraId="059DE265">
            <w:pPr>
              <w:pStyle w:val="17"/>
              <w:bidi w:val="0"/>
              <w:rPr>
                <w:rFonts w:hint="eastAsia"/>
                <w:color w:val="auto"/>
                <w:highlight w:val="none"/>
                <w:lang w:val="en-US" w:eastAsia="zh-CN"/>
              </w:rPr>
            </w:pPr>
            <w:r>
              <w:rPr>
                <w:rFonts w:hint="default"/>
                <w:color w:val="auto"/>
                <w:highlight w:val="none"/>
                <w:lang w:val="en-US" w:eastAsia="zh-CN"/>
              </w:rPr>
              <w:t>4000</w:t>
            </w:r>
          </w:p>
        </w:tc>
        <w:tc>
          <w:tcPr>
            <w:tcW w:w="662" w:type="pct"/>
            <w:tcBorders>
              <w:tl2br w:val="nil"/>
              <w:tr2bl w:val="nil"/>
            </w:tcBorders>
            <w:noWrap w:val="0"/>
            <w:vAlign w:val="center"/>
          </w:tcPr>
          <w:p w14:paraId="2281BF03">
            <w:pPr>
              <w:pStyle w:val="17"/>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7.6</w:t>
            </w:r>
          </w:p>
        </w:tc>
        <w:tc>
          <w:tcPr>
            <w:tcW w:w="581" w:type="pct"/>
            <w:tcBorders>
              <w:tl2br w:val="nil"/>
              <w:tr2bl w:val="nil"/>
            </w:tcBorders>
            <w:noWrap w:val="0"/>
            <w:vAlign w:val="center"/>
          </w:tcPr>
          <w:p w14:paraId="5D58C85F">
            <w:pPr>
              <w:pStyle w:val="17"/>
              <w:bidi w:val="0"/>
              <w:rPr>
                <w:rFonts w:hint="eastAsia"/>
                <w:color w:val="auto"/>
                <w:highlight w:val="none"/>
              </w:rPr>
            </w:pPr>
            <w:r>
              <w:rPr>
                <w:rFonts w:hint="default"/>
                <w:color w:val="auto"/>
                <w:highlight w:val="none"/>
                <w:lang w:eastAsia="zh-CN"/>
              </w:rPr>
              <w:t>达标</w:t>
            </w:r>
          </w:p>
        </w:tc>
      </w:tr>
      <w:tr w14:paraId="2EF3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tcBorders>
              <w:tl2br w:val="nil"/>
              <w:tr2bl w:val="nil"/>
            </w:tcBorders>
            <w:noWrap w:val="0"/>
            <w:vAlign w:val="center"/>
          </w:tcPr>
          <w:p w14:paraId="71627F19">
            <w:pPr>
              <w:pStyle w:val="17"/>
              <w:bidi w:val="0"/>
              <w:rPr>
                <w:color w:val="auto"/>
                <w:highlight w:val="none"/>
              </w:rPr>
            </w:pPr>
            <w:r>
              <w:rPr>
                <w:rFonts w:hint="eastAsia"/>
                <w:color w:val="auto"/>
                <w:highlight w:val="none"/>
              </w:rPr>
              <w:t>O</w:t>
            </w:r>
            <w:r>
              <w:rPr>
                <w:rFonts w:hint="eastAsia"/>
                <w:color w:val="auto"/>
                <w:highlight w:val="none"/>
                <w:vertAlign w:val="subscript"/>
              </w:rPr>
              <w:t>3</w:t>
            </w:r>
          </w:p>
        </w:tc>
        <w:tc>
          <w:tcPr>
            <w:tcW w:w="1480" w:type="pct"/>
            <w:tcBorders>
              <w:tl2br w:val="nil"/>
              <w:tr2bl w:val="nil"/>
            </w:tcBorders>
            <w:noWrap w:val="0"/>
            <w:vAlign w:val="center"/>
          </w:tcPr>
          <w:p w14:paraId="1167425A">
            <w:pPr>
              <w:pStyle w:val="17"/>
              <w:bidi w:val="0"/>
              <w:rPr>
                <w:rFonts w:hint="default"/>
                <w:color w:val="auto"/>
                <w:highlight w:val="none"/>
                <w:lang w:val="en-US" w:eastAsia="zh-CN"/>
              </w:rPr>
            </w:pPr>
            <w:r>
              <w:rPr>
                <w:rFonts w:hint="eastAsia"/>
                <w:color w:val="auto"/>
                <w:highlight w:val="none"/>
                <w:lang w:val="en-US" w:eastAsia="zh-CN"/>
              </w:rPr>
              <w:t>24小时最大8小时滑动平均值的第90百分位数</w:t>
            </w:r>
          </w:p>
        </w:tc>
        <w:tc>
          <w:tcPr>
            <w:tcW w:w="842" w:type="pct"/>
            <w:tcBorders>
              <w:tl2br w:val="nil"/>
              <w:tr2bl w:val="nil"/>
            </w:tcBorders>
            <w:noWrap w:val="0"/>
            <w:vAlign w:val="center"/>
          </w:tcPr>
          <w:p w14:paraId="1A2E3BEF">
            <w:pPr>
              <w:pStyle w:val="17"/>
              <w:bidi w:val="0"/>
              <w:rPr>
                <w:rFonts w:hint="default"/>
                <w:color w:val="auto"/>
                <w:highlight w:val="none"/>
                <w:lang w:val="en-US" w:eastAsia="zh-CN"/>
              </w:rPr>
            </w:pPr>
            <w:r>
              <w:rPr>
                <w:rFonts w:hint="eastAsia"/>
                <w:color w:val="auto"/>
                <w:highlight w:val="none"/>
                <w:lang w:val="en-US" w:eastAsia="zh-CN"/>
              </w:rPr>
              <w:t>104</w:t>
            </w:r>
          </w:p>
        </w:tc>
        <w:tc>
          <w:tcPr>
            <w:tcW w:w="793" w:type="pct"/>
            <w:tcBorders>
              <w:tl2br w:val="nil"/>
              <w:tr2bl w:val="nil"/>
            </w:tcBorders>
            <w:noWrap w:val="0"/>
            <w:vAlign w:val="center"/>
          </w:tcPr>
          <w:p w14:paraId="56AD71B6">
            <w:pPr>
              <w:pStyle w:val="17"/>
              <w:bidi w:val="0"/>
              <w:rPr>
                <w:rFonts w:hint="eastAsia"/>
                <w:color w:val="auto"/>
                <w:highlight w:val="none"/>
                <w:lang w:val="en-US" w:eastAsia="zh-CN"/>
              </w:rPr>
            </w:pPr>
            <w:r>
              <w:rPr>
                <w:rFonts w:hint="default"/>
                <w:color w:val="auto"/>
                <w:highlight w:val="none"/>
                <w:lang w:val="en-US" w:eastAsia="zh-CN"/>
              </w:rPr>
              <w:t>160</w:t>
            </w:r>
          </w:p>
        </w:tc>
        <w:tc>
          <w:tcPr>
            <w:tcW w:w="662" w:type="pct"/>
            <w:tcBorders>
              <w:tl2br w:val="nil"/>
              <w:tr2bl w:val="nil"/>
            </w:tcBorders>
            <w:noWrap w:val="0"/>
            <w:vAlign w:val="center"/>
          </w:tcPr>
          <w:p w14:paraId="6D24D71F">
            <w:pPr>
              <w:pStyle w:val="17"/>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65</w:t>
            </w:r>
          </w:p>
        </w:tc>
        <w:tc>
          <w:tcPr>
            <w:tcW w:w="581" w:type="pct"/>
            <w:tcBorders>
              <w:tl2br w:val="nil"/>
              <w:tr2bl w:val="nil"/>
            </w:tcBorders>
            <w:noWrap w:val="0"/>
            <w:vAlign w:val="center"/>
          </w:tcPr>
          <w:p w14:paraId="4C60FF21">
            <w:pPr>
              <w:pStyle w:val="17"/>
              <w:bidi w:val="0"/>
              <w:rPr>
                <w:rFonts w:hint="eastAsia"/>
                <w:color w:val="auto"/>
                <w:highlight w:val="none"/>
              </w:rPr>
            </w:pPr>
            <w:r>
              <w:rPr>
                <w:rFonts w:hint="default"/>
                <w:color w:val="auto"/>
                <w:highlight w:val="none"/>
                <w:lang w:eastAsia="zh-CN"/>
              </w:rPr>
              <w:t>达标</w:t>
            </w:r>
          </w:p>
        </w:tc>
      </w:tr>
      <w:tr w14:paraId="1028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vMerge w:val="restart"/>
            <w:tcBorders>
              <w:tl2br w:val="nil"/>
              <w:tr2bl w:val="nil"/>
            </w:tcBorders>
            <w:noWrap w:val="0"/>
            <w:vAlign w:val="center"/>
          </w:tcPr>
          <w:p w14:paraId="25DDF603">
            <w:pPr>
              <w:pStyle w:val="17"/>
              <w:bidi w:val="0"/>
              <w:rPr>
                <w:color w:val="auto"/>
                <w:highlight w:val="none"/>
              </w:rPr>
            </w:pPr>
            <w:r>
              <w:rPr>
                <w:rFonts w:hint="eastAsia"/>
                <w:color w:val="auto"/>
                <w:highlight w:val="none"/>
              </w:rPr>
              <w:t>PM</w:t>
            </w:r>
            <w:r>
              <w:rPr>
                <w:rFonts w:hint="eastAsia"/>
                <w:color w:val="auto"/>
                <w:highlight w:val="none"/>
                <w:vertAlign w:val="subscript"/>
              </w:rPr>
              <w:t>10</w:t>
            </w:r>
          </w:p>
        </w:tc>
        <w:tc>
          <w:tcPr>
            <w:tcW w:w="1480" w:type="pct"/>
            <w:tcBorders>
              <w:tl2br w:val="nil"/>
              <w:tr2bl w:val="nil"/>
            </w:tcBorders>
            <w:noWrap w:val="0"/>
            <w:vAlign w:val="center"/>
          </w:tcPr>
          <w:p w14:paraId="734C7273">
            <w:pPr>
              <w:pStyle w:val="17"/>
              <w:bidi w:val="0"/>
              <w:rPr>
                <w:rFonts w:hint="default"/>
                <w:color w:val="auto"/>
                <w:highlight w:val="none"/>
                <w:lang w:val="en-US" w:eastAsia="zh-CN"/>
              </w:rPr>
            </w:pPr>
            <w:r>
              <w:rPr>
                <w:rFonts w:hint="eastAsia"/>
                <w:color w:val="auto"/>
                <w:highlight w:val="none"/>
                <w:lang w:val="en-US" w:eastAsia="zh-CN"/>
              </w:rPr>
              <w:t>年平均质量浓度</w:t>
            </w:r>
          </w:p>
        </w:tc>
        <w:tc>
          <w:tcPr>
            <w:tcW w:w="842" w:type="pct"/>
            <w:tcBorders>
              <w:tl2br w:val="nil"/>
              <w:tr2bl w:val="nil"/>
            </w:tcBorders>
            <w:noWrap w:val="0"/>
            <w:vAlign w:val="center"/>
          </w:tcPr>
          <w:p w14:paraId="66C5885B">
            <w:pPr>
              <w:pStyle w:val="17"/>
              <w:bidi w:val="0"/>
              <w:rPr>
                <w:rFonts w:hint="default"/>
                <w:color w:val="auto"/>
                <w:highlight w:val="none"/>
                <w:lang w:val="en-US" w:eastAsia="zh-CN"/>
              </w:rPr>
            </w:pPr>
            <w:r>
              <w:rPr>
                <w:rFonts w:hint="eastAsia"/>
                <w:color w:val="auto"/>
                <w:highlight w:val="none"/>
                <w:lang w:val="en-US" w:eastAsia="zh-CN"/>
              </w:rPr>
              <w:t>284</w:t>
            </w:r>
          </w:p>
        </w:tc>
        <w:tc>
          <w:tcPr>
            <w:tcW w:w="793" w:type="pct"/>
            <w:tcBorders>
              <w:tl2br w:val="nil"/>
              <w:tr2bl w:val="nil"/>
            </w:tcBorders>
            <w:noWrap w:val="0"/>
            <w:vAlign w:val="center"/>
          </w:tcPr>
          <w:p w14:paraId="59660515">
            <w:pPr>
              <w:pStyle w:val="17"/>
              <w:bidi w:val="0"/>
              <w:rPr>
                <w:rFonts w:hint="default"/>
                <w:color w:val="auto"/>
                <w:highlight w:val="none"/>
                <w:lang w:val="en-US" w:eastAsia="zh-CN"/>
              </w:rPr>
            </w:pPr>
            <w:r>
              <w:rPr>
                <w:rFonts w:hint="eastAsia"/>
                <w:color w:val="auto"/>
                <w:highlight w:val="none"/>
                <w:lang w:val="en-US" w:eastAsia="zh-CN"/>
              </w:rPr>
              <w:t>60</w:t>
            </w:r>
          </w:p>
        </w:tc>
        <w:tc>
          <w:tcPr>
            <w:tcW w:w="662" w:type="pct"/>
            <w:tcBorders>
              <w:tl2br w:val="nil"/>
              <w:tr2bl w:val="nil"/>
            </w:tcBorders>
            <w:noWrap w:val="0"/>
            <w:vAlign w:val="center"/>
          </w:tcPr>
          <w:p w14:paraId="332A5FB6">
            <w:pPr>
              <w:pStyle w:val="17"/>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473</w:t>
            </w:r>
          </w:p>
        </w:tc>
        <w:tc>
          <w:tcPr>
            <w:tcW w:w="581" w:type="pct"/>
            <w:tcBorders>
              <w:tl2br w:val="nil"/>
              <w:tr2bl w:val="nil"/>
            </w:tcBorders>
            <w:noWrap w:val="0"/>
            <w:vAlign w:val="center"/>
          </w:tcPr>
          <w:p w14:paraId="1621EC8A">
            <w:pPr>
              <w:pStyle w:val="17"/>
              <w:bidi w:val="0"/>
              <w:rPr>
                <w:rFonts w:hint="eastAsia"/>
                <w:color w:val="auto"/>
                <w:highlight w:val="none"/>
              </w:rPr>
            </w:pPr>
            <w:r>
              <w:rPr>
                <w:rFonts w:hint="eastAsia"/>
                <w:color w:val="auto"/>
                <w:highlight w:val="none"/>
                <w:lang w:val="en-US" w:eastAsia="zh-CN"/>
              </w:rPr>
              <w:t>超标</w:t>
            </w:r>
          </w:p>
        </w:tc>
      </w:tr>
      <w:tr w14:paraId="61E1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vMerge w:val="continue"/>
            <w:tcBorders>
              <w:tl2br w:val="nil"/>
              <w:tr2bl w:val="nil"/>
            </w:tcBorders>
            <w:noWrap w:val="0"/>
            <w:vAlign w:val="center"/>
          </w:tcPr>
          <w:p w14:paraId="3F866861">
            <w:pPr>
              <w:pStyle w:val="17"/>
              <w:bidi w:val="0"/>
              <w:rPr>
                <w:rFonts w:hint="eastAsia"/>
                <w:color w:val="auto"/>
                <w:highlight w:val="none"/>
              </w:rPr>
            </w:pPr>
          </w:p>
        </w:tc>
        <w:tc>
          <w:tcPr>
            <w:tcW w:w="1480" w:type="pct"/>
            <w:tcBorders>
              <w:tl2br w:val="nil"/>
              <w:tr2bl w:val="nil"/>
            </w:tcBorders>
            <w:noWrap w:val="0"/>
            <w:vAlign w:val="center"/>
          </w:tcPr>
          <w:p w14:paraId="6C4799D6">
            <w:pPr>
              <w:pStyle w:val="17"/>
              <w:bidi w:val="0"/>
              <w:rPr>
                <w:rFonts w:hint="eastAsia"/>
                <w:color w:val="auto"/>
                <w:highlight w:val="none"/>
                <w:lang w:val="en-US" w:eastAsia="zh-CN"/>
              </w:rPr>
            </w:pPr>
            <w:r>
              <w:rPr>
                <w:rFonts w:hint="eastAsia"/>
                <w:color w:val="auto"/>
                <w:highlight w:val="none"/>
                <w:lang w:val="en-US" w:eastAsia="zh-CN"/>
              </w:rPr>
              <w:t>24小时平均第95百分位数</w:t>
            </w:r>
          </w:p>
        </w:tc>
        <w:tc>
          <w:tcPr>
            <w:tcW w:w="842" w:type="pct"/>
            <w:tcBorders>
              <w:tl2br w:val="nil"/>
              <w:tr2bl w:val="nil"/>
            </w:tcBorders>
            <w:noWrap w:val="0"/>
            <w:vAlign w:val="center"/>
          </w:tcPr>
          <w:p w14:paraId="3E028CAF">
            <w:pPr>
              <w:pStyle w:val="17"/>
              <w:bidi w:val="0"/>
              <w:rPr>
                <w:rFonts w:hint="eastAsia"/>
                <w:color w:val="auto"/>
                <w:highlight w:val="none"/>
                <w:lang w:val="en-US" w:eastAsia="zh-CN"/>
              </w:rPr>
            </w:pPr>
            <w:r>
              <w:rPr>
                <w:rFonts w:hint="eastAsia"/>
                <w:color w:val="auto"/>
                <w:highlight w:val="none"/>
                <w:lang w:val="en-US" w:eastAsia="zh-CN"/>
              </w:rPr>
              <w:t>876</w:t>
            </w:r>
          </w:p>
        </w:tc>
        <w:tc>
          <w:tcPr>
            <w:tcW w:w="793" w:type="pct"/>
            <w:tcBorders>
              <w:tl2br w:val="nil"/>
              <w:tr2bl w:val="nil"/>
            </w:tcBorders>
            <w:noWrap w:val="0"/>
            <w:vAlign w:val="center"/>
          </w:tcPr>
          <w:p w14:paraId="69D3858F">
            <w:pPr>
              <w:pStyle w:val="17"/>
              <w:bidi w:val="0"/>
              <w:rPr>
                <w:rFonts w:hint="default"/>
                <w:color w:val="auto"/>
                <w:highlight w:val="none"/>
                <w:lang w:val="en-US" w:eastAsia="zh-CN"/>
              </w:rPr>
            </w:pPr>
            <w:r>
              <w:rPr>
                <w:rFonts w:hint="eastAsia"/>
                <w:color w:val="auto"/>
                <w:highlight w:val="none"/>
                <w:lang w:val="en-US" w:eastAsia="zh-CN"/>
              </w:rPr>
              <w:t>120</w:t>
            </w:r>
          </w:p>
        </w:tc>
        <w:tc>
          <w:tcPr>
            <w:tcW w:w="662" w:type="pct"/>
            <w:tcBorders>
              <w:tl2br w:val="nil"/>
              <w:tr2bl w:val="nil"/>
            </w:tcBorders>
            <w:noWrap w:val="0"/>
            <w:vAlign w:val="center"/>
          </w:tcPr>
          <w:p w14:paraId="4240D519">
            <w:pPr>
              <w:pStyle w:val="17"/>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730</w:t>
            </w:r>
          </w:p>
        </w:tc>
        <w:tc>
          <w:tcPr>
            <w:tcW w:w="581" w:type="pct"/>
            <w:tcBorders>
              <w:tl2br w:val="nil"/>
              <w:tr2bl w:val="nil"/>
            </w:tcBorders>
            <w:noWrap w:val="0"/>
            <w:vAlign w:val="center"/>
          </w:tcPr>
          <w:p w14:paraId="6A342D09">
            <w:pPr>
              <w:pStyle w:val="17"/>
              <w:bidi w:val="0"/>
              <w:rPr>
                <w:rFonts w:hint="eastAsia"/>
                <w:color w:val="auto"/>
                <w:highlight w:val="none"/>
                <w:lang w:val="en-US" w:eastAsia="zh-CN"/>
              </w:rPr>
            </w:pPr>
            <w:r>
              <w:rPr>
                <w:rFonts w:hint="eastAsia"/>
                <w:color w:val="auto"/>
                <w:highlight w:val="none"/>
                <w:lang w:val="en-US" w:eastAsia="zh-CN"/>
              </w:rPr>
              <w:t>超标</w:t>
            </w:r>
          </w:p>
        </w:tc>
      </w:tr>
      <w:tr w14:paraId="22A0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vMerge w:val="restart"/>
            <w:tcBorders>
              <w:tl2br w:val="nil"/>
              <w:tr2bl w:val="nil"/>
            </w:tcBorders>
            <w:noWrap w:val="0"/>
            <w:vAlign w:val="center"/>
          </w:tcPr>
          <w:p w14:paraId="3E258F9E">
            <w:pPr>
              <w:pStyle w:val="17"/>
              <w:bidi w:val="0"/>
              <w:rPr>
                <w:color w:val="auto"/>
                <w:highlight w:val="none"/>
              </w:rPr>
            </w:pPr>
            <w:r>
              <w:rPr>
                <w:rFonts w:hint="eastAsia"/>
                <w:color w:val="auto"/>
                <w:highlight w:val="none"/>
              </w:rPr>
              <w:t>PM</w:t>
            </w:r>
            <w:r>
              <w:rPr>
                <w:rFonts w:hint="eastAsia"/>
                <w:color w:val="auto"/>
                <w:highlight w:val="none"/>
                <w:vertAlign w:val="subscript"/>
              </w:rPr>
              <w:t>2.5</w:t>
            </w:r>
          </w:p>
        </w:tc>
        <w:tc>
          <w:tcPr>
            <w:tcW w:w="1480" w:type="pct"/>
            <w:tcBorders>
              <w:tl2br w:val="nil"/>
              <w:tr2bl w:val="nil"/>
            </w:tcBorders>
            <w:noWrap w:val="0"/>
            <w:vAlign w:val="center"/>
          </w:tcPr>
          <w:p w14:paraId="1A0A22DC">
            <w:pPr>
              <w:pStyle w:val="17"/>
              <w:bidi w:val="0"/>
              <w:ind w:firstLine="0" w:firstLineChars="0"/>
              <w:rPr>
                <w:rFonts w:hint="default"/>
                <w:color w:val="auto"/>
                <w:highlight w:val="none"/>
                <w:lang w:val="en-US" w:eastAsia="zh-CN"/>
              </w:rPr>
            </w:pPr>
            <w:r>
              <w:rPr>
                <w:rFonts w:hint="eastAsia"/>
                <w:color w:val="auto"/>
                <w:highlight w:val="none"/>
                <w:lang w:val="en-US" w:eastAsia="zh-CN"/>
              </w:rPr>
              <w:t>年平均质量浓度</w:t>
            </w:r>
          </w:p>
        </w:tc>
        <w:tc>
          <w:tcPr>
            <w:tcW w:w="842" w:type="pct"/>
            <w:tcBorders>
              <w:tl2br w:val="nil"/>
              <w:tr2bl w:val="nil"/>
            </w:tcBorders>
            <w:noWrap w:val="0"/>
            <w:vAlign w:val="center"/>
          </w:tcPr>
          <w:p w14:paraId="14EC18A9">
            <w:pPr>
              <w:pStyle w:val="17"/>
              <w:bidi w:val="0"/>
              <w:rPr>
                <w:rFonts w:hint="default"/>
                <w:color w:val="auto"/>
                <w:highlight w:val="none"/>
                <w:lang w:val="en-US" w:eastAsia="zh-CN"/>
              </w:rPr>
            </w:pPr>
            <w:r>
              <w:rPr>
                <w:rFonts w:hint="eastAsia"/>
                <w:color w:val="auto"/>
                <w:highlight w:val="none"/>
                <w:lang w:val="en-US" w:eastAsia="zh-CN"/>
              </w:rPr>
              <w:t>94</w:t>
            </w:r>
          </w:p>
        </w:tc>
        <w:tc>
          <w:tcPr>
            <w:tcW w:w="793" w:type="pct"/>
            <w:tcBorders>
              <w:tl2br w:val="nil"/>
              <w:tr2bl w:val="nil"/>
            </w:tcBorders>
            <w:noWrap w:val="0"/>
            <w:vAlign w:val="center"/>
          </w:tcPr>
          <w:p w14:paraId="0DB5C743">
            <w:pPr>
              <w:pStyle w:val="17"/>
              <w:bidi w:val="0"/>
              <w:rPr>
                <w:rFonts w:hint="default"/>
                <w:color w:val="auto"/>
                <w:highlight w:val="none"/>
                <w:lang w:val="en-US" w:eastAsia="zh-CN"/>
              </w:rPr>
            </w:pPr>
            <w:r>
              <w:rPr>
                <w:rFonts w:hint="eastAsia"/>
                <w:color w:val="auto"/>
                <w:highlight w:val="none"/>
                <w:lang w:val="en-US" w:eastAsia="zh-CN"/>
              </w:rPr>
              <w:t>30</w:t>
            </w:r>
          </w:p>
        </w:tc>
        <w:tc>
          <w:tcPr>
            <w:tcW w:w="662" w:type="pct"/>
            <w:tcBorders>
              <w:tl2br w:val="nil"/>
              <w:tr2bl w:val="nil"/>
            </w:tcBorders>
            <w:noWrap w:val="0"/>
            <w:vAlign w:val="center"/>
          </w:tcPr>
          <w:p w14:paraId="0277D47C">
            <w:pPr>
              <w:pStyle w:val="17"/>
              <w:bidi w:val="0"/>
              <w:rPr>
                <w:rFonts w:hint="default"/>
                <w:color w:val="auto"/>
                <w:highlight w:val="none"/>
                <w:lang w:val="en-US" w:eastAsia="zh-CN"/>
              </w:rPr>
            </w:pPr>
            <w:r>
              <w:rPr>
                <w:rFonts w:hint="eastAsia"/>
                <w:color w:val="auto"/>
                <w:highlight w:val="none"/>
                <w:lang w:val="en-US" w:eastAsia="zh-CN"/>
              </w:rPr>
              <w:t>313</w:t>
            </w:r>
          </w:p>
        </w:tc>
        <w:tc>
          <w:tcPr>
            <w:tcW w:w="581" w:type="pct"/>
            <w:tcBorders>
              <w:tl2br w:val="nil"/>
              <w:tr2bl w:val="nil"/>
            </w:tcBorders>
            <w:noWrap w:val="0"/>
            <w:vAlign w:val="center"/>
          </w:tcPr>
          <w:p w14:paraId="4EE9B3CC">
            <w:pPr>
              <w:pStyle w:val="17"/>
              <w:bidi w:val="0"/>
              <w:rPr>
                <w:rFonts w:hint="eastAsia"/>
                <w:color w:val="auto"/>
                <w:highlight w:val="none"/>
              </w:rPr>
            </w:pPr>
            <w:r>
              <w:rPr>
                <w:rFonts w:hint="eastAsia"/>
                <w:color w:val="auto"/>
                <w:highlight w:val="none"/>
                <w:lang w:val="en-US" w:eastAsia="zh-CN"/>
              </w:rPr>
              <w:t>超标</w:t>
            </w:r>
          </w:p>
        </w:tc>
      </w:tr>
      <w:tr w14:paraId="6029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8" w:type="pct"/>
            <w:vMerge w:val="continue"/>
            <w:tcBorders>
              <w:tl2br w:val="nil"/>
              <w:tr2bl w:val="nil"/>
            </w:tcBorders>
            <w:noWrap w:val="0"/>
            <w:vAlign w:val="center"/>
          </w:tcPr>
          <w:p w14:paraId="0A45F338">
            <w:pPr>
              <w:pStyle w:val="17"/>
              <w:bidi w:val="0"/>
              <w:rPr>
                <w:rFonts w:hint="eastAsia"/>
                <w:color w:val="auto"/>
                <w:highlight w:val="none"/>
              </w:rPr>
            </w:pPr>
          </w:p>
        </w:tc>
        <w:tc>
          <w:tcPr>
            <w:tcW w:w="1480" w:type="pct"/>
            <w:tcBorders>
              <w:tl2br w:val="nil"/>
              <w:tr2bl w:val="nil"/>
            </w:tcBorders>
            <w:noWrap w:val="0"/>
            <w:vAlign w:val="center"/>
          </w:tcPr>
          <w:p w14:paraId="34D6091E">
            <w:pPr>
              <w:pStyle w:val="17"/>
              <w:bidi w:val="0"/>
              <w:ind w:firstLine="0" w:firstLineChars="0"/>
              <w:rPr>
                <w:rFonts w:hint="eastAsia"/>
                <w:color w:val="auto"/>
                <w:highlight w:val="none"/>
                <w:lang w:val="en-US" w:eastAsia="zh-CN"/>
              </w:rPr>
            </w:pPr>
            <w:r>
              <w:rPr>
                <w:rFonts w:hint="eastAsia"/>
                <w:color w:val="auto"/>
                <w:highlight w:val="none"/>
                <w:lang w:val="en-US" w:eastAsia="zh-CN"/>
              </w:rPr>
              <w:t>24小时平均第95百分位数</w:t>
            </w:r>
          </w:p>
        </w:tc>
        <w:tc>
          <w:tcPr>
            <w:tcW w:w="842" w:type="pct"/>
            <w:tcBorders>
              <w:tl2br w:val="nil"/>
              <w:tr2bl w:val="nil"/>
            </w:tcBorders>
            <w:noWrap w:val="0"/>
            <w:vAlign w:val="center"/>
          </w:tcPr>
          <w:p w14:paraId="54250D80">
            <w:pPr>
              <w:pStyle w:val="17"/>
              <w:bidi w:val="0"/>
              <w:rPr>
                <w:rFonts w:hint="eastAsia"/>
                <w:color w:val="auto"/>
                <w:highlight w:val="none"/>
                <w:lang w:val="en-US" w:eastAsia="zh-CN"/>
              </w:rPr>
            </w:pPr>
            <w:r>
              <w:rPr>
                <w:rFonts w:hint="eastAsia"/>
                <w:color w:val="auto"/>
                <w:highlight w:val="none"/>
                <w:lang w:val="en-US" w:eastAsia="zh-CN"/>
              </w:rPr>
              <w:t>320</w:t>
            </w:r>
          </w:p>
        </w:tc>
        <w:tc>
          <w:tcPr>
            <w:tcW w:w="793" w:type="pct"/>
            <w:tcBorders>
              <w:tl2br w:val="nil"/>
              <w:tr2bl w:val="nil"/>
            </w:tcBorders>
            <w:noWrap w:val="0"/>
            <w:vAlign w:val="center"/>
          </w:tcPr>
          <w:p w14:paraId="111A31E8">
            <w:pPr>
              <w:pStyle w:val="17"/>
              <w:bidi w:val="0"/>
              <w:rPr>
                <w:rFonts w:hint="default"/>
                <w:color w:val="auto"/>
                <w:highlight w:val="none"/>
                <w:lang w:val="en-US" w:eastAsia="zh-CN"/>
              </w:rPr>
            </w:pPr>
            <w:r>
              <w:rPr>
                <w:rFonts w:hint="eastAsia"/>
                <w:color w:val="auto"/>
                <w:highlight w:val="none"/>
                <w:lang w:val="en-US" w:eastAsia="zh-CN"/>
              </w:rPr>
              <w:t>60</w:t>
            </w:r>
          </w:p>
        </w:tc>
        <w:tc>
          <w:tcPr>
            <w:tcW w:w="662" w:type="pct"/>
            <w:tcBorders>
              <w:tl2br w:val="nil"/>
              <w:tr2bl w:val="nil"/>
            </w:tcBorders>
            <w:noWrap w:val="0"/>
            <w:vAlign w:val="center"/>
          </w:tcPr>
          <w:p w14:paraId="412C74EE">
            <w:pPr>
              <w:pStyle w:val="17"/>
              <w:bidi w:val="0"/>
              <w:rPr>
                <w:rFonts w:hint="default"/>
                <w:color w:val="auto"/>
                <w:highlight w:val="none"/>
                <w:lang w:val="en-US" w:eastAsia="zh-CN"/>
              </w:rPr>
            </w:pPr>
            <w:r>
              <w:rPr>
                <w:rFonts w:hint="eastAsia"/>
                <w:color w:val="auto"/>
                <w:highlight w:val="none"/>
                <w:lang w:val="en-US" w:eastAsia="zh-CN"/>
              </w:rPr>
              <w:t>533</w:t>
            </w:r>
          </w:p>
        </w:tc>
        <w:tc>
          <w:tcPr>
            <w:tcW w:w="581" w:type="pct"/>
            <w:tcBorders>
              <w:tl2br w:val="nil"/>
              <w:tr2bl w:val="nil"/>
            </w:tcBorders>
            <w:noWrap w:val="0"/>
            <w:vAlign w:val="center"/>
          </w:tcPr>
          <w:p w14:paraId="18837947">
            <w:pPr>
              <w:pStyle w:val="17"/>
              <w:bidi w:val="0"/>
              <w:rPr>
                <w:rFonts w:hint="eastAsia"/>
                <w:color w:val="auto"/>
                <w:highlight w:val="none"/>
                <w:lang w:val="en-US" w:eastAsia="zh-CN"/>
              </w:rPr>
            </w:pPr>
            <w:r>
              <w:rPr>
                <w:rFonts w:hint="eastAsia"/>
                <w:color w:val="auto"/>
                <w:highlight w:val="none"/>
                <w:lang w:val="en-US" w:eastAsia="zh-CN"/>
              </w:rPr>
              <w:t>超标</w:t>
            </w:r>
          </w:p>
        </w:tc>
      </w:tr>
    </w:tbl>
    <w:p w14:paraId="5FE4806C">
      <w:pPr>
        <w:bidi w:val="0"/>
        <w:rPr>
          <w:rFonts w:hint="default"/>
          <w:color w:val="auto"/>
          <w:highlight w:val="none"/>
          <w:lang w:val="en-US"/>
        </w:rPr>
      </w:pPr>
      <w:r>
        <w:rPr>
          <w:rFonts w:hint="eastAsia"/>
          <w:color w:val="auto"/>
          <w:highlight w:val="none"/>
          <w:lang w:val="en-US" w:eastAsia="zh-CN"/>
        </w:rPr>
        <w:t>根据</w:t>
      </w:r>
      <w:r>
        <w:rPr>
          <w:rFonts w:hint="default"/>
          <w:color w:val="auto"/>
          <w:highlight w:val="none"/>
          <w:lang w:val="en-US" w:eastAsia="zh-CN"/>
        </w:rPr>
        <w:t>统计结果可知，</w:t>
      </w:r>
      <w:r>
        <w:rPr>
          <w:rFonts w:hint="default" w:ascii="Times New Roman" w:hAnsi="Times New Roman" w:eastAsia="宋体" w:cs="Times New Roman"/>
          <w:color w:val="auto"/>
          <w:sz w:val="24"/>
          <w:szCs w:val="24"/>
          <w:highlight w:val="none"/>
          <w:lang w:eastAsia="zh-CN"/>
        </w:rPr>
        <w:t>本</w:t>
      </w:r>
      <w:r>
        <w:rPr>
          <w:rFonts w:hint="default" w:ascii="Times New Roman" w:hAnsi="Times New Roman" w:eastAsia="宋体" w:cs="Times New Roman"/>
          <w:color w:val="auto"/>
          <w:sz w:val="24"/>
          <w:szCs w:val="24"/>
          <w:highlight w:val="none"/>
        </w:rPr>
        <w:t>项目所在区域SO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、CO和O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cs="Times New Roman"/>
          <w:color w:val="auto"/>
          <w:sz w:val="24"/>
          <w:szCs w:val="24"/>
          <w:highlight w:val="none"/>
          <w:vertAlign w:val="baseline"/>
          <w:lang w:val="en-US" w:eastAsia="zh-CN"/>
        </w:rPr>
        <w:t>年</w:t>
      </w:r>
      <w:r>
        <w:rPr>
          <w:rFonts w:hint="default" w:ascii="Times New Roman" w:hAnsi="Times New Roman" w:eastAsia="宋体" w:cs="Times New Roman"/>
          <w:color w:val="auto"/>
          <w:sz w:val="24"/>
          <w:szCs w:val="24"/>
          <w:highlight w:val="none"/>
          <w:lang w:eastAsia="zh-CN"/>
        </w:rPr>
        <w:t>平均浓度</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val="en-US" w:eastAsia="zh-CN"/>
        </w:rPr>
        <w:t>24小时</w:t>
      </w:r>
      <w:r>
        <w:rPr>
          <w:rFonts w:hint="default" w:ascii="Times New Roman" w:hAnsi="Times New Roman" w:cs="Times New Roman"/>
          <w:color w:val="auto"/>
          <w:sz w:val="24"/>
          <w:szCs w:val="24"/>
          <w:highlight w:val="none"/>
          <w:lang w:val="en-US" w:eastAsia="zh-CN"/>
        </w:rPr>
        <w:t>平均</w:t>
      </w:r>
      <w:r>
        <w:rPr>
          <w:rFonts w:hint="eastAsia" w:cs="Times New Roman"/>
          <w:color w:val="auto"/>
          <w:sz w:val="24"/>
          <w:szCs w:val="24"/>
          <w:highlight w:val="none"/>
          <w:lang w:val="en-US" w:eastAsia="zh-CN"/>
        </w:rPr>
        <w:t>浓度</w:t>
      </w:r>
      <w:r>
        <w:rPr>
          <w:rFonts w:hint="default" w:ascii="Times New Roman" w:hAnsi="Times New Roman" w:eastAsia="宋体" w:cs="Times New Roman"/>
          <w:color w:val="auto"/>
          <w:sz w:val="24"/>
          <w:szCs w:val="24"/>
          <w:highlight w:val="none"/>
        </w:rPr>
        <w:t>满足《环境空气质量标准》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GB3095-20</w:t>
      </w:r>
      <w:r>
        <w:rPr>
          <w:rFonts w:hint="eastAsia" w:cs="Times New Roman"/>
          <w:color w:val="auto"/>
          <w:sz w:val="24"/>
          <w:szCs w:val="24"/>
          <w:highlight w:val="none"/>
          <w:lang w:val="en-US" w:eastAsia="zh-CN"/>
        </w:rPr>
        <w:t>26</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二级标准</w:t>
      </w:r>
      <w:r>
        <w:rPr>
          <w:rFonts w:hint="eastAsia" w:cs="Times New Roman"/>
          <w:color w:val="auto"/>
          <w:sz w:val="24"/>
          <w:highlight w:val="none"/>
          <w:lang w:eastAsia="zh-CN"/>
        </w:rPr>
        <w:t>（</w:t>
      </w:r>
      <w:r>
        <w:rPr>
          <w:rFonts w:hint="eastAsia" w:cs="Times New Roman"/>
          <w:color w:val="auto"/>
          <w:sz w:val="24"/>
          <w:highlight w:val="none"/>
          <w:lang w:val="en-US" w:eastAsia="zh-CN"/>
        </w:rPr>
        <w:t>过渡阶段浓度限值</w:t>
      </w:r>
      <w:r>
        <w:rPr>
          <w:rFonts w:hint="eastAsia" w:cs="Times New Roman"/>
          <w:color w:val="auto"/>
          <w:sz w:val="24"/>
          <w:highlight w:val="none"/>
          <w:lang w:eastAsia="zh-CN"/>
        </w:rPr>
        <w:t>）</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default" w:ascii="Times New Roman" w:hAnsi="Times New Roman" w:cs="Times New Roman"/>
          <w:color w:val="auto"/>
          <w:sz w:val="24"/>
          <w:szCs w:val="24"/>
          <w:highlight w:val="none"/>
          <w:vertAlign w:val="baseline"/>
          <w:lang w:val="en-US" w:eastAsia="zh-CN"/>
        </w:rPr>
        <w:t>年</w:t>
      </w:r>
      <w:r>
        <w:rPr>
          <w:rFonts w:hint="default" w:ascii="Times New Roman" w:hAnsi="Times New Roman" w:eastAsia="宋体" w:cs="Times New Roman"/>
          <w:color w:val="auto"/>
          <w:sz w:val="24"/>
          <w:szCs w:val="24"/>
          <w:highlight w:val="none"/>
          <w:lang w:eastAsia="zh-CN"/>
        </w:rPr>
        <w:t>平均</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24小时平均</w:t>
      </w:r>
      <w:r>
        <w:rPr>
          <w:rFonts w:hint="default" w:ascii="Times New Roman" w:hAnsi="Times New Roman" w:eastAsia="宋体" w:cs="Times New Roman"/>
          <w:color w:val="auto"/>
          <w:sz w:val="24"/>
          <w:szCs w:val="24"/>
          <w:highlight w:val="none"/>
          <w:lang w:eastAsia="zh-CN"/>
        </w:rPr>
        <w:t>浓度</w:t>
      </w:r>
      <w:r>
        <w:rPr>
          <w:rFonts w:hint="default" w:ascii="Times New Roman" w:hAnsi="Times New Roman" w:eastAsia="宋体" w:cs="Times New Roman"/>
          <w:color w:val="auto"/>
          <w:sz w:val="24"/>
          <w:szCs w:val="24"/>
          <w:highlight w:val="none"/>
        </w:rPr>
        <w:t>超过《环境空气质量标准》（GB3095-20</w:t>
      </w:r>
      <w:r>
        <w:rPr>
          <w:rFonts w:hint="eastAsia"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）中的二级标准</w:t>
      </w:r>
      <w:r>
        <w:rPr>
          <w:rFonts w:hint="eastAsia" w:cs="Times New Roman"/>
          <w:color w:val="auto"/>
          <w:sz w:val="24"/>
          <w:highlight w:val="none"/>
          <w:lang w:eastAsia="zh-CN"/>
        </w:rPr>
        <w:t>（</w:t>
      </w:r>
      <w:r>
        <w:rPr>
          <w:rFonts w:hint="eastAsia" w:cs="Times New Roman"/>
          <w:color w:val="auto"/>
          <w:sz w:val="24"/>
          <w:highlight w:val="none"/>
          <w:lang w:val="en-US" w:eastAsia="zh-CN"/>
        </w:rPr>
        <w:t>过渡阶段浓度限值</w:t>
      </w:r>
      <w:r>
        <w:rPr>
          <w:rFonts w:hint="eastAsia" w:cs="Times New Roman"/>
          <w:color w:val="auto"/>
          <w:sz w:val="24"/>
          <w:highlight w:val="none"/>
          <w:lang w:eastAsia="zh-CN"/>
        </w:rPr>
        <w:t>）</w:t>
      </w:r>
      <w:r>
        <w:rPr>
          <w:rFonts w:hint="default" w:ascii="Times New Roman" w:hAnsi="Times New Roman" w:eastAsia="宋体" w:cs="Times New Roman"/>
          <w:color w:val="auto"/>
          <w:sz w:val="24"/>
          <w:szCs w:val="24"/>
          <w:highlight w:val="none"/>
        </w:rPr>
        <w:t>，超标原因为项目区地处南疆，位于沙漠边缘，受沙尘天气影响，</w:t>
      </w:r>
      <w:r>
        <w:rPr>
          <w:rFonts w:hint="default"/>
          <w:color w:val="auto"/>
          <w:highlight w:val="none"/>
          <w:lang w:val="en-US" w:eastAsia="zh-CN"/>
        </w:rPr>
        <w:t>根据《环境影响评价技术导则</w:t>
      </w:r>
      <w:r>
        <w:rPr>
          <w:rFonts w:hint="eastAsia"/>
          <w:color w:val="auto"/>
          <w:highlight w:val="none"/>
          <w:lang w:val="en-US" w:eastAsia="zh-CN"/>
        </w:rPr>
        <w:t xml:space="preserve"> </w:t>
      </w:r>
      <w:r>
        <w:rPr>
          <w:rFonts w:hint="default"/>
          <w:color w:val="auto"/>
          <w:highlight w:val="none"/>
          <w:lang w:val="en-US" w:eastAsia="zh-CN"/>
        </w:rPr>
        <w:t>大气环境》（HJ2.2-2018），项目所在区域属于环境空气质量为不达标区。</w:t>
      </w:r>
    </w:p>
    <w:p w14:paraId="24108290">
      <w:pPr>
        <w:pStyle w:val="7"/>
        <w:ind w:firstLine="482"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1</w:t>
      </w:r>
      <w:r>
        <w:rPr>
          <w:color w:val="auto"/>
          <w:highlight w:val="none"/>
        </w:rPr>
        <w:t>.</w:t>
      </w:r>
      <w:r>
        <w:rPr>
          <w:rFonts w:hint="eastAsia"/>
          <w:color w:val="auto"/>
          <w:highlight w:val="none"/>
        </w:rPr>
        <w:t>2其他污染物环境质量现状调查与评价</w:t>
      </w:r>
    </w:p>
    <w:p w14:paraId="5C0F01DE">
      <w:pPr>
        <w:ind w:firstLine="480"/>
        <w:rPr>
          <w:color w:val="auto"/>
          <w:highlight w:val="none"/>
        </w:rPr>
      </w:pPr>
      <w:r>
        <w:rPr>
          <w:rFonts w:hint="eastAsia"/>
          <w:color w:val="auto"/>
          <w:highlight w:val="none"/>
        </w:rPr>
        <w:t>其他污染物主要为本项目特征污染物TSP</w:t>
      </w:r>
      <w:r>
        <w:rPr>
          <w:rFonts w:hint="eastAsia"/>
          <w:color w:val="auto"/>
          <w:highlight w:val="none"/>
          <w:lang w:eastAsia="zh-CN"/>
        </w:rPr>
        <w:t>、氟化物</w:t>
      </w:r>
      <w:r>
        <w:rPr>
          <w:rFonts w:hint="eastAsia"/>
          <w:color w:val="auto"/>
          <w:highlight w:val="none"/>
          <w:lang w:val="en-US" w:eastAsia="zh-CN"/>
        </w:rPr>
        <w:t>及硫酸雾</w:t>
      </w:r>
      <w:r>
        <w:rPr>
          <w:rFonts w:hint="eastAsia"/>
          <w:color w:val="auto"/>
          <w:highlight w:val="none"/>
        </w:rPr>
        <w:t>，</w:t>
      </w:r>
      <w:r>
        <w:rPr>
          <w:color w:val="auto"/>
          <w:highlight w:val="none"/>
        </w:rPr>
        <w:t>采用现场补充监测</w:t>
      </w:r>
      <w:r>
        <w:rPr>
          <w:rFonts w:hint="eastAsia"/>
          <w:color w:val="auto"/>
          <w:highlight w:val="none"/>
        </w:rPr>
        <w:t>的</w:t>
      </w:r>
      <w:r>
        <w:rPr>
          <w:color w:val="auto"/>
          <w:highlight w:val="none"/>
        </w:rPr>
        <w:t>方式</w:t>
      </w:r>
      <w:r>
        <w:rPr>
          <w:rFonts w:hint="eastAsia"/>
          <w:color w:val="auto"/>
          <w:highlight w:val="none"/>
        </w:rPr>
        <w:t>进行调查。</w:t>
      </w:r>
    </w:p>
    <w:p w14:paraId="005A2A5D">
      <w:pPr>
        <w:ind w:firstLine="464"/>
        <w:rPr>
          <w:color w:val="auto"/>
          <w:spacing w:val="-4"/>
          <w:highlight w:val="none"/>
        </w:rPr>
      </w:pPr>
      <w:r>
        <w:rPr>
          <w:rFonts w:hint="eastAsia"/>
          <w:color w:val="auto"/>
          <w:spacing w:val="-4"/>
          <w:highlight w:val="none"/>
        </w:rPr>
        <w:t>（1）</w:t>
      </w:r>
      <w:r>
        <w:rPr>
          <w:color w:val="auto"/>
          <w:spacing w:val="-4"/>
          <w:highlight w:val="none"/>
        </w:rPr>
        <w:t>监测点布设</w:t>
      </w:r>
    </w:p>
    <w:p w14:paraId="556679B0">
      <w:pPr>
        <w:ind w:firstLine="464"/>
        <w:rPr>
          <w:color w:val="auto"/>
          <w:highlight w:val="none"/>
        </w:rPr>
      </w:pPr>
      <w:r>
        <w:rPr>
          <w:color w:val="auto"/>
          <w:spacing w:val="-4"/>
          <w:highlight w:val="none"/>
        </w:rPr>
        <w:t>根据项目特点</w:t>
      </w:r>
      <w:r>
        <w:rPr>
          <w:rFonts w:hint="eastAsia"/>
          <w:color w:val="auto"/>
          <w:spacing w:val="-4"/>
          <w:highlight w:val="none"/>
        </w:rPr>
        <w:t>、</w:t>
      </w:r>
      <w:r>
        <w:rPr>
          <w:color w:val="auto"/>
          <w:spacing w:val="-4"/>
          <w:highlight w:val="none"/>
        </w:rPr>
        <w:t>结合评价区域环境空气保护目标和区域环境情况，本次评价共设1个</w:t>
      </w:r>
      <w:r>
        <w:rPr>
          <w:rFonts w:hint="eastAsia"/>
          <w:color w:val="auto"/>
          <w:spacing w:val="-4"/>
          <w:highlight w:val="none"/>
        </w:rPr>
        <w:t>环境空气质量</w:t>
      </w:r>
      <w:r>
        <w:rPr>
          <w:color w:val="auto"/>
          <w:spacing w:val="-4"/>
          <w:highlight w:val="none"/>
        </w:rPr>
        <w:t>监测点，监测布点图见图</w:t>
      </w:r>
      <w:r>
        <w:rPr>
          <w:rFonts w:hint="eastAsia"/>
          <w:color w:val="auto"/>
          <w:spacing w:val="-4"/>
          <w:highlight w:val="none"/>
        </w:rPr>
        <w:t>4.2</w:t>
      </w:r>
      <w:r>
        <w:rPr>
          <w:color w:val="auto"/>
          <w:spacing w:val="-4"/>
          <w:highlight w:val="none"/>
        </w:rPr>
        <w:t>-1。</w:t>
      </w:r>
    </w:p>
    <w:p w14:paraId="276F9B7C">
      <w:pPr>
        <w:spacing w:line="480" w:lineRule="exact"/>
        <w:jc w:val="center"/>
        <w:rPr>
          <w:rFonts w:ascii="Times New Roman"/>
          <w:b/>
          <w:bCs/>
          <w:color w:val="auto"/>
          <w:highlight w:val="none"/>
        </w:rPr>
      </w:pPr>
      <w:r>
        <w:rPr>
          <w:rFonts w:ascii="Times New Roman"/>
          <w:b/>
          <w:bCs/>
          <w:color w:val="auto"/>
          <w:highlight w:val="none"/>
        </w:rPr>
        <w:t>表4.2-</w:t>
      </w:r>
      <w:r>
        <w:rPr>
          <w:rFonts w:hint="eastAsia" w:ascii="Times New Roman"/>
          <w:b/>
          <w:bCs/>
          <w:color w:val="auto"/>
          <w:highlight w:val="none"/>
        </w:rPr>
        <w:t>2</w:t>
      </w:r>
      <w:r>
        <w:rPr>
          <w:rFonts w:ascii="Times New Roman"/>
          <w:b/>
          <w:bCs/>
          <w:color w:val="auto"/>
          <w:highlight w:val="none"/>
        </w:rPr>
        <w:t xml:space="preserve">    区域空气质量现状</w:t>
      </w:r>
      <w:r>
        <w:rPr>
          <w:rFonts w:hint="eastAsia" w:ascii="Times New Roman"/>
          <w:b/>
          <w:bCs/>
          <w:color w:val="auto"/>
          <w:highlight w:val="none"/>
        </w:rPr>
        <w:t>监测点位布置情况</w:t>
      </w:r>
    </w:p>
    <w:tbl>
      <w:tblPr>
        <w:tblStyle w:val="13"/>
        <w:tblW w:w="8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684"/>
        <w:gridCol w:w="1822"/>
        <w:gridCol w:w="1248"/>
        <w:gridCol w:w="2958"/>
      </w:tblGrid>
      <w:tr w14:paraId="71B4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dxa"/>
            <w:vAlign w:val="center"/>
          </w:tcPr>
          <w:p w14:paraId="4598F8CD">
            <w:pPr>
              <w:pStyle w:val="17"/>
              <w:bidi w:val="0"/>
              <w:rPr>
                <w:color w:val="auto"/>
                <w:highlight w:val="none"/>
              </w:rPr>
            </w:pPr>
            <w:r>
              <w:rPr>
                <w:color w:val="auto"/>
                <w:highlight w:val="none"/>
              </w:rPr>
              <w:t>编号</w:t>
            </w:r>
          </w:p>
        </w:tc>
        <w:tc>
          <w:tcPr>
            <w:tcW w:w="1684" w:type="dxa"/>
            <w:vAlign w:val="center"/>
          </w:tcPr>
          <w:p w14:paraId="4DEEE5B1">
            <w:pPr>
              <w:pStyle w:val="17"/>
              <w:bidi w:val="0"/>
              <w:rPr>
                <w:color w:val="auto"/>
                <w:highlight w:val="none"/>
              </w:rPr>
            </w:pPr>
            <w:r>
              <w:rPr>
                <w:color w:val="auto"/>
                <w:highlight w:val="none"/>
              </w:rPr>
              <w:t>监测点名称</w:t>
            </w:r>
          </w:p>
        </w:tc>
        <w:tc>
          <w:tcPr>
            <w:tcW w:w="1822" w:type="dxa"/>
            <w:vAlign w:val="center"/>
          </w:tcPr>
          <w:p w14:paraId="205553E7">
            <w:pPr>
              <w:pStyle w:val="17"/>
              <w:bidi w:val="0"/>
              <w:rPr>
                <w:color w:val="auto"/>
                <w:highlight w:val="none"/>
              </w:rPr>
            </w:pPr>
            <w:r>
              <w:rPr>
                <w:color w:val="auto"/>
                <w:highlight w:val="none"/>
              </w:rPr>
              <w:t>监测点坐标</w:t>
            </w:r>
          </w:p>
        </w:tc>
        <w:tc>
          <w:tcPr>
            <w:tcW w:w="1248" w:type="dxa"/>
            <w:vAlign w:val="center"/>
          </w:tcPr>
          <w:p w14:paraId="62C201C0">
            <w:pPr>
              <w:pStyle w:val="17"/>
              <w:bidi w:val="0"/>
              <w:rPr>
                <w:color w:val="auto"/>
                <w:highlight w:val="none"/>
              </w:rPr>
            </w:pPr>
            <w:r>
              <w:rPr>
                <w:color w:val="auto"/>
                <w:highlight w:val="none"/>
              </w:rPr>
              <w:t>监测因子</w:t>
            </w:r>
          </w:p>
        </w:tc>
        <w:tc>
          <w:tcPr>
            <w:tcW w:w="2958" w:type="dxa"/>
            <w:vAlign w:val="center"/>
          </w:tcPr>
          <w:p w14:paraId="06AFD9A4">
            <w:pPr>
              <w:pStyle w:val="17"/>
              <w:bidi w:val="0"/>
              <w:rPr>
                <w:rFonts w:hint="eastAsia"/>
                <w:color w:val="auto"/>
                <w:highlight w:val="none"/>
                <w:lang w:eastAsia="zh-CN"/>
              </w:rPr>
            </w:pPr>
            <w:r>
              <w:rPr>
                <w:rFonts w:hint="eastAsia"/>
                <w:color w:val="auto"/>
                <w:highlight w:val="none"/>
                <w:lang w:val="en-US" w:eastAsia="zh-CN"/>
              </w:rPr>
              <w:t>评定标准</w:t>
            </w:r>
          </w:p>
        </w:tc>
      </w:tr>
      <w:tr w14:paraId="3DD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dxa"/>
            <w:vAlign w:val="center"/>
          </w:tcPr>
          <w:p w14:paraId="582F7B5C">
            <w:pPr>
              <w:pStyle w:val="17"/>
              <w:bidi w:val="0"/>
              <w:rPr>
                <w:rFonts w:hint="default" w:eastAsia="宋体"/>
                <w:color w:val="auto"/>
                <w:highlight w:val="none"/>
                <w:lang w:val="en-US" w:eastAsia="zh-CN"/>
              </w:rPr>
            </w:pPr>
            <w:r>
              <w:rPr>
                <w:rFonts w:hint="eastAsia"/>
                <w:color w:val="auto"/>
                <w:highlight w:val="none"/>
                <w:lang w:val="en-US" w:eastAsia="zh-CN"/>
              </w:rPr>
              <w:t>W1</w:t>
            </w:r>
          </w:p>
        </w:tc>
        <w:tc>
          <w:tcPr>
            <w:tcW w:w="1684" w:type="dxa"/>
            <w:vAlign w:val="center"/>
          </w:tcPr>
          <w:p w14:paraId="05C8FA57">
            <w:pPr>
              <w:pStyle w:val="17"/>
              <w:bidi w:val="0"/>
              <w:rPr>
                <w:rFonts w:hint="default"/>
                <w:color w:val="auto"/>
                <w:highlight w:val="none"/>
                <w:lang w:val="en-US"/>
              </w:rPr>
            </w:pPr>
            <w:r>
              <w:rPr>
                <w:rFonts w:hint="eastAsia"/>
                <w:color w:val="auto"/>
                <w:highlight w:val="none"/>
                <w:lang w:val="en-US" w:eastAsia="zh-CN"/>
              </w:rPr>
              <w:t>采选区内</w:t>
            </w:r>
          </w:p>
        </w:tc>
        <w:tc>
          <w:tcPr>
            <w:tcW w:w="1822" w:type="dxa"/>
            <w:vAlign w:val="center"/>
          </w:tcPr>
          <w:p w14:paraId="43F718C6">
            <w:pPr>
              <w:pStyle w:val="17"/>
              <w:bidi w:val="0"/>
              <w:rPr>
                <w:color w:val="auto"/>
                <w:highlight w:val="none"/>
                <w:lang w:val="zh-CN"/>
              </w:rPr>
            </w:pPr>
          </w:p>
        </w:tc>
        <w:tc>
          <w:tcPr>
            <w:tcW w:w="1248" w:type="dxa"/>
            <w:vMerge w:val="restart"/>
            <w:vAlign w:val="center"/>
          </w:tcPr>
          <w:p w14:paraId="081B4132">
            <w:pPr>
              <w:pStyle w:val="17"/>
              <w:bidi w:val="0"/>
              <w:rPr>
                <w:rFonts w:hint="default"/>
                <w:color w:val="auto"/>
                <w:highlight w:val="none"/>
                <w:lang w:val="en-US" w:eastAsia="zh-CN"/>
              </w:rPr>
            </w:pPr>
            <w:r>
              <w:rPr>
                <w:color w:val="auto"/>
                <w:highlight w:val="none"/>
              </w:rPr>
              <w:t>TSP</w:t>
            </w:r>
            <w:r>
              <w:rPr>
                <w:rFonts w:hint="eastAsia"/>
                <w:color w:val="auto"/>
                <w:highlight w:val="none"/>
                <w:lang w:eastAsia="zh-CN"/>
              </w:rPr>
              <w:t>、氟化物</w:t>
            </w:r>
            <w:r>
              <w:rPr>
                <w:rFonts w:hint="eastAsia"/>
                <w:color w:val="auto"/>
                <w:highlight w:val="none"/>
                <w:lang w:val="en-US" w:eastAsia="zh-CN"/>
              </w:rPr>
              <w:t>、硫酸雾</w:t>
            </w:r>
          </w:p>
        </w:tc>
        <w:tc>
          <w:tcPr>
            <w:tcW w:w="2958" w:type="dxa"/>
            <w:vAlign w:val="center"/>
          </w:tcPr>
          <w:p w14:paraId="05E48263">
            <w:pPr>
              <w:pStyle w:val="17"/>
              <w:bidi w:val="0"/>
              <w:rPr>
                <w:rFonts w:hint="default"/>
                <w:color w:val="auto"/>
                <w:highlight w:val="none"/>
                <w:lang w:val="en-US" w:eastAsia="zh-CN"/>
              </w:rPr>
            </w:pPr>
            <w:r>
              <w:rPr>
                <w:rFonts w:hint="default"/>
                <w:color w:val="auto"/>
                <w:highlight w:val="none"/>
                <w:lang w:val="en-US" w:eastAsia="zh-CN"/>
              </w:rPr>
              <w:t>《环境空气质量标准》（GB3095-2026）中24小时平均的二级标准</w:t>
            </w:r>
          </w:p>
        </w:tc>
      </w:tr>
      <w:tr w14:paraId="3D3A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22" w:type="dxa"/>
            <w:vAlign w:val="center"/>
          </w:tcPr>
          <w:p w14:paraId="0DFC1928">
            <w:pPr>
              <w:pStyle w:val="17"/>
              <w:bidi w:val="0"/>
              <w:rPr>
                <w:rFonts w:hint="default"/>
                <w:color w:val="auto"/>
                <w:highlight w:val="none"/>
                <w:lang w:val="en-US" w:eastAsia="zh-CN"/>
              </w:rPr>
            </w:pPr>
            <w:r>
              <w:rPr>
                <w:rFonts w:hint="eastAsia"/>
                <w:color w:val="auto"/>
                <w:highlight w:val="none"/>
                <w:lang w:val="en-US" w:eastAsia="zh-CN"/>
              </w:rPr>
              <w:t>W2</w:t>
            </w:r>
          </w:p>
        </w:tc>
        <w:tc>
          <w:tcPr>
            <w:tcW w:w="1684" w:type="dxa"/>
            <w:vAlign w:val="center"/>
          </w:tcPr>
          <w:p w14:paraId="1985FEDE">
            <w:pPr>
              <w:pStyle w:val="17"/>
              <w:bidi w:val="0"/>
              <w:rPr>
                <w:rFonts w:hint="eastAsia"/>
                <w:color w:val="auto"/>
                <w:highlight w:val="none"/>
              </w:rPr>
            </w:pPr>
            <w:r>
              <w:rPr>
                <w:rFonts w:hint="eastAsia"/>
                <w:color w:val="auto"/>
                <w:highlight w:val="none"/>
                <w:lang w:val="en-US" w:eastAsia="zh-CN"/>
              </w:rPr>
              <w:t>尾矿库内</w:t>
            </w:r>
          </w:p>
        </w:tc>
        <w:tc>
          <w:tcPr>
            <w:tcW w:w="1822" w:type="dxa"/>
            <w:vAlign w:val="center"/>
          </w:tcPr>
          <w:p w14:paraId="752DB420">
            <w:pPr>
              <w:pStyle w:val="17"/>
              <w:bidi w:val="0"/>
              <w:rPr>
                <w:rFonts w:hint="eastAsia"/>
                <w:color w:val="auto"/>
                <w:highlight w:val="none"/>
                <w:lang w:val="en-US" w:eastAsia="zh-CN"/>
              </w:rPr>
            </w:pPr>
          </w:p>
        </w:tc>
        <w:tc>
          <w:tcPr>
            <w:tcW w:w="1248" w:type="dxa"/>
            <w:vMerge w:val="continue"/>
            <w:vAlign w:val="center"/>
          </w:tcPr>
          <w:p w14:paraId="1970A453">
            <w:pPr>
              <w:pStyle w:val="17"/>
              <w:bidi w:val="0"/>
              <w:rPr>
                <w:color w:val="auto"/>
                <w:highlight w:val="none"/>
              </w:rPr>
            </w:pPr>
          </w:p>
        </w:tc>
        <w:tc>
          <w:tcPr>
            <w:tcW w:w="2958" w:type="dxa"/>
            <w:vAlign w:val="center"/>
          </w:tcPr>
          <w:p w14:paraId="60BA609A">
            <w:pPr>
              <w:pStyle w:val="17"/>
              <w:bidi w:val="0"/>
              <w:rPr>
                <w:rFonts w:hint="eastAsia"/>
                <w:color w:val="auto"/>
                <w:highlight w:val="none"/>
                <w:lang w:eastAsia="zh-CN"/>
              </w:rPr>
            </w:pPr>
            <w:r>
              <w:rPr>
                <w:rFonts w:hint="eastAsia"/>
                <w:color w:val="auto"/>
                <w:highlight w:val="none"/>
                <w:lang w:val="en-US" w:eastAsia="zh-CN"/>
              </w:rPr>
              <w:t>《环境影响评价技术导则 大气环境》（HJ2.2-2018）附录D</w:t>
            </w:r>
          </w:p>
        </w:tc>
      </w:tr>
    </w:tbl>
    <w:p w14:paraId="4D89389D">
      <w:pPr>
        <w:ind w:firstLine="464"/>
        <w:rPr>
          <w:color w:val="auto"/>
          <w:spacing w:val="-4"/>
          <w:highlight w:val="none"/>
        </w:rPr>
      </w:pPr>
      <w:r>
        <w:rPr>
          <w:rFonts w:hint="eastAsia"/>
          <w:color w:val="auto"/>
          <w:spacing w:val="-4"/>
          <w:highlight w:val="none"/>
        </w:rPr>
        <w:t>（</w:t>
      </w:r>
      <w:r>
        <w:rPr>
          <w:color w:val="auto"/>
          <w:spacing w:val="-4"/>
          <w:highlight w:val="none"/>
        </w:rPr>
        <w:t>2）监测时间与监测单位</w:t>
      </w:r>
    </w:p>
    <w:p w14:paraId="3B8D6B9E">
      <w:pPr>
        <w:ind w:firstLine="464"/>
        <w:rPr>
          <w:color w:val="auto"/>
          <w:highlight w:val="none"/>
        </w:rPr>
      </w:pPr>
      <w:r>
        <w:rPr>
          <w:rFonts w:hint="eastAsia"/>
          <w:color w:val="auto"/>
          <w:highlight w:val="none"/>
          <w:lang w:val="en-US" w:eastAsia="zh-CN"/>
        </w:rPr>
        <w:t>监测时间为2026年2月27日-3月6日，</w:t>
      </w:r>
      <w:r>
        <w:rPr>
          <w:color w:val="auto"/>
          <w:spacing w:val="-4"/>
          <w:highlight w:val="none"/>
        </w:rPr>
        <w:t>连续监测7天，</w:t>
      </w:r>
      <w:r>
        <w:rPr>
          <w:rFonts w:hint="eastAsia"/>
          <w:color w:val="auto"/>
          <w:spacing w:val="-4"/>
          <w:highlight w:val="none"/>
          <w:lang w:val="en-US" w:eastAsia="zh-CN"/>
        </w:rPr>
        <w:t>由</w:t>
      </w:r>
      <w:r>
        <w:rPr>
          <w:rFonts w:hint="eastAsia"/>
          <w:color w:val="auto"/>
          <w:spacing w:val="-4"/>
          <w:highlight w:val="none"/>
          <w:lang w:eastAsia="zh-CN"/>
        </w:rPr>
        <w:t>新疆壹诺环保科技有限公司</w:t>
      </w:r>
      <w:r>
        <w:rPr>
          <w:color w:val="auto"/>
          <w:spacing w:val="-4"/>
          <w:highlight w:val="none"/>
        </w:rPr>
        <w:t>承担监测。</w:t>
      </w:r>
    </w:p>
    <w:p w14:paraId="4C805810">
      <w:pPr>
        <w:ind w:firstLine="464"/>
        <w:rPr>
          <w:color w:val="auto"/>
          <w:highlight w:val="none"/>
        </w:rPr>
      </w:pPr>
      <w:r>
        <w:rPr>
          <w:rFonts w:hint="eastAsia"/>
          <w:color w:val="auto"/>
          <w:spacing w:val="-4"/>
          <w:highlight w:val="none"/>
        </w:rPr>
        <w:t>（3）</w:t>
      </w:r>
      <w:r>
        <w:rPr>
          <w:color w:val="auto"/>
          <w:spacing w:val="-4"/>
          <w:highlight w:val="none"/>
        </w:rPr>
        <w:t>监测结果</w:t>
      </w:r>
    </w:p>
    <w:p w14:paraId="07BCDC4B">
      <w:pPr>
        <w:ind w:firstLine="464"/>
        <w:rPr>
          <w:color w:val="auto"/>
          <w:highlight w:val="none"/>
        </w:rPr>
      </w:pPr>
      <w:r>
        <w:rPr>
          <w:color w:val="auto"/>
          <w:spacing w:val="-4"/>
          <w:highlight w:val="none"/>
        </w:rPr>
        <w:t>监测结果及评价结果见表4.2-</w:t>
      </w:r>
      <w:r>
        <w:rPr>
          <w:rFonts w:hint="eastAsia"/>
          <w:color w:val="auto"/>
          <w:spacing w:val="-4"/>
          <w:highlight w:val="none"/>
        </w:rPr>
        <w:t>3</w:t>
      </w:r>
      <w:r>
        <w:rPr>
          <w:color w:val="auto"/>
          <w:spacing w:val="-4"/>
          <w:highlight w:val="none"/>
        </w:rPr>
        <w:t>。</w:t>
      </w:r>
    </w:p>
    <w:p w14:paraId="57EC5BE6">
      <w:pPr>
        <w:spacing w:line="480" w:lineRule="exact"/>
        <w:jc w:val="center"/>
        <w:rPr>
          <w:rFonts w:ascii="Times New Roman"/>
          <w:b/>
          <w:bCs/>
          <w:color w:val="auto"/>
          <w:highlight w:val="none"/>
        </w:rPr>
      </w:pPr>
      <w:r>
        <w:rPr>
          <w:rFonts w:ascii="Times New Roman"/>
          <w:b/>
          <w:bCs/>
          <w:color w:val="auto"/>
          <w:highlight w:val="none"/>
        </w:rPr>
        <w:t>表</w:t>
      </w:r>
      <w:r>
        <w:rPr>
          <w:rFonts w:hint="eastAsia" w:ascii="Times New Roman"/>
          <w:b/>
          <w:bCs/>
          <w:color w:val="auto"/>
          <w:highlight w:val="none"/>
        </w:rPr>
        <w:t>4.2</w:t>
      </w:r>
      <w:r>
        <w:rPr>
          <w:rFonts w:ascii="Times New Roman"/>
          <w:b/>
          <w:bCs/>
          <w:color w:val="auto"/>
          <w:highlight w:val="none"/>
        </w:rPr>
        <w:noBreakHyphen/>
      </w:r>
      <w:r>
        <w:rPr>
          <w:rFonts w:ascii="Times New Roman"/>
          <w:b/>
          <w:bCs/>
          <w:color w:val="auto"/>
          <w:highlight w:val="none"/>
        </w:rPr>
        <w:t xml:space="preserve">3    </w:t>
      </w:r>
      <w:r>
        <w:rPr>
          <w:rFonts w:hint="eastAsia"/>
          <w:b/>
          <w:bCs/>
          <w:color w:val="auto"/>
          <w:highlight w:val="none"/>
          <w:lang w:val="en-US" w:eastAsia="zh-CN"/>
        </w:rPr>
        <w:t>TSP、氟化物</w:t>
      </w:r>
      <w:r>
        <w:rPr>
          <w:rFonts w:ascii="Times New Roman"/>
          <w:b/>
          <w:bCs/>
          <w:color w:val="auto"/>
          <w:highlight w:val="none"/>
        </w:rPr>
        <w:t>监测结果及评价结果</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722"/>
        <w:gridCol w:w="2443"/>
        <w:gridCol w:w="1235"/>
        <w:gridCol w:w="1144"/>
        <w:gridCol w:w="1169"/>
        <w:gridCol w:w="866"/>
        <w:gridCol w:w="1068"/>
      </w:tblGrid>
      <w:tr w14:paraId="036A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Align w:val="center"/>
          </w:tcPr>
          <w:p w14:paraId="2D6D2E74">
            <w:pPr>
              <w:pStyle w:val="17"/>
              <w:bidi w:val="0"/>
              <w:rPr>
                <w:color w:val="auto"/>
                <w:highlight w:val="none"/>
              </w:rPr>
            </w:pPr>
            <w:r>
              <w:rPr>
                <w:color w:val="auto"/>
                <w:highlight w:val="none"/>
              </w:rPr>
              <w:t>监测点位</w:t>
            </w:r>
          </w:p>
        </w:tc>
        <w:tc>
          <w:tcPr>
            <w:tcW w:w="395" w:type="pct"/>
            <w:vAlign w:val="center"/>
          </w:tcPr>
          <w:p w14:paraId="429FAA95">
            <w:pPr>
              <w:pStyle w:val="17"/>
              <w:bidi w:val="0"/>
              <w:rPr>
                <w:color w:val="auto"/>
                <w:highlight w:val="none"/>
              </w:rPr>
            </w:pPr>
            <w:r>
              <w:rPr>
                <w:color w:val="auto"/>
                <w:highlight w:val="none"/>
              </w:rPr>
              <w:t>监测项目</w:t>
            </w:r>
          </w:p>
        </w:tc>
        <w:tc>
          <w:tcPr>
            <w:tcW w:w="1333" w:type="pct"/>
            <w:vAlign w:val="center"/>
          </w:tcPr>
          <w:p w14:paraId="2920F7A4">
            <w:pPr>
              <w:pStyle w:val="17"/>
              <w:bidi w:val="0"/>
              <w:rPr>
                <w:rFonts w:hint="default" w:eastAsia="宋体"/>
                <w:color w:val="auto"/>
                <w:highlight w:val="none"/>
                <w:lang w:val="en-US" w:eastAsia="zh-CN"/>
              </w:rPr>
            </w:pPr>
            <w:r>
              <w:rPr>
                <w:rFonts w:hint="eastAsia"/>
                <w:color w:val="auto"/>
                <w:highlight w:val="none"/>
                <w:lang w:val="en-US" w:eastAsia="zh-CN"/>
              </w:rPr>
              <w:t>监测时间</w:t>
            </w:r>
          </w:p>
        </w:tc>
        <w:tc>
          <w:tcPr>
            <w:tcW w:w="674" w:type="pct"/>
            <w:vAlign w:val="center"/>
          </w:tcPr>
          <w:p w14:paraId="7727F74D">
            <w:pPr>
              <w:pStyle w:val="17"/>
              <w:bidi w:val="0"/>
              <w:rPr>
                <w:color w:val="auto"/>
                <w:highlight w:val="none"/>
              </w:rPr>
            </w:pPr>
            <w:r>
              <w:rPr>
                <w:rFonts w:hint="eastAsia"/>
                <w:color w:val="auto"/>
                <w:highlight w:val="none"/>
                <w:lang w:val="en-US" w:eastAsia="zh-CN"/>
              </w:rPr>
              <w:t>监测结果</w:t>
            </w:r>
            <w:r>
              <w:rPr>
                <w:color w:val="auto"/>
                <w:highlight w:val="none"/>
              </w:rPr>
              <w:t>（μg/m</w:t>
            </w:r>
            <w:r>
              <w:rPr>
                <w:color w:val="auto"/>
                <w:highlight w:val="none"/>
                <w:vertAlign w:val="superscript"/>
              </w:rPr>
              <w:t>3</w:t>
            </w:r>
            <w:r>
              <w:rPr>
                <w:color w:val="auto"/>
                <w:highlight w:val="none"/>
              </w:rPr>
              <w:t>）</w:t>
            </w:r>
          </w:p>
        </w:tc>
        <w:tc>
          <w:tcPr>
            <w:tcW w:w="623" w:type="pct"/>
            <w:vAlign w:val="center"/>
          </w:tcPr>
          <w:p w14:paraId="04B9464B">
            <w:pPr>
              <w:pStyle w:val="17"/>
              <w:bidi w:val="0"/>
              <w:rPr>
                <w:color w:val="auto"/>
                <w:highlight w:val="none"/>
              </w:rPr>
            </w:pPr>
            <w:r>
              <w:rPr>
                <w:color w:val="auto"/>
                <w:highlight w:val="none"/>
              </w:rPr>
              <w:t>标准值（μg/m</w:t>
            </w:r>
            <w:r>
              <w:rPr>
                <w:color w:val="auto"/>
                <w:highlight w:val="none"/>
                <w:vertAlign w:val="superscript"/>
              </w:rPr>
              <w:t>3</w:t>
            </w:r>
            <w:r>
              <w:rPr>
                <w:color w:val="auto"/>
                <w:highlight w:val="none"/>
              </w:rPr>
              <w:t>）</w:t>
            </w:r>
          </w:p>
        </w:tc>
        <w:tc>
          <w:tcPr>
            <w:tcW w:w="638" w:type="pct"/>
            <w:vAlign w:val="center"/>
          </w:tcPr>
          <w:p w14:paraId="6F2AF00F">
            <w:pPr>
              <w:pStyle w:val="17"/>
              <w:bidi w:val="0"/>
              <w:rPr>
                <w:color w:val="auto"/>
                <w:highlight w:val="none"/>
              </w:rPr>
            </w:pPr>
            <w:r>
              <w:rPr>
                <w:color w:val="auto"/>
                <w:highlight w:val="none"/>
              </w:rPr>
              <w:t>占标率（%）</w:t>
            </w:r>
          </w:p>
        </w:tc>
        <w:tc>
          <w:tcPr>
            <w:tcW w:w="473" w:type="pct"/>
            <w:vAlign w:val="center"/>
          </w:tcPr>
          <w:p w14:paraId="744A2B47">
            <w:pPr>
              <w:pStyle w:val="17"/>
              <w:bidi w:val="0"/>
              <w:rPr>
                <w:color w:val="auto"/>
                <w:highlight w:val="none"/>
              </w:rPr>
            </w:pPr>
            <w:r>
              <w:rPr>
                <w:color w:val="auto"/>
                <w:highlight w:val="none"/>
              </w:rPr>
              <w:t>超标率（%）</w:t>
            </w:r>
          </w:p>
        </w:tc>
        <w:tc>
          <w:tcPr>
            <w:tcW w:w="583" w:type="pct"/>
            <w:vAlign w:val="center"/>
          </w:tcPr>
          <w:p w14:paraId="19DFBDD2">
            <w:pPr>
              <w:pStyle w:val="17"/>
              <w:bidi w:val="0"/>
              <w:rPr>
                <w:color w:val="auto"/>
                <w:highlight w:val="none"/>
              </w:rPr>
            </w:pPr>
            <w:r>
              <w:rPr>
                <w:color w:val="auto"/>
                <w:highlight w:val="none"/>
              </w:rPr>
              <w:t>达标</w:t>
            </w:r>
          </w:p>
          <w:p w14:paraId="541BA923">
            <w:pPr>
              <w:pStyle w:val="17"/>
              <w:bidi w:val="0"/>
              <w:rPr>
                <w:color w:val="auto"/>
                <w:highlight w:val="none"/>
              </w:rPr>
            </w:pPr>
            <w:r>
              <w:rPr>
                <w:color w:val="auto"/>
                <w:highlight w:val="none"/>
              </w:rPr>
              <w:t>情况</w:t>
            </w:r>
          </w:p>
        </w:tc>
      </w:tr>
      <w:tr w14:paraId="18FB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restart"/>
            <w:vAlign w:val="center"/>
          </w:tcPr>
          <w:p w14:paraId="4EDF62B2">
            <w:pPr>
              <w:pStyle w:val="17"/>
              <w:bidi w:val="0"/>
              <w:rPr>
                <w:rFonts w:hint="default" w:eastAsia="宋体"/>
                <w:color w:val="auto"/>
                <w:highlight w:val="none"/>
                <w:lang w:val="en-US" w:eastAsia="zh-CN"/>
              </w:rPr>
            </w:pPr>
            <w:r>
              <w:rPr>
                <w:rFonts w:hint="eastAsia"/>
                <w:color w:val="auto"/>
                <w:highlight w:val="none"/>
                <w:lang w:val="en-US" w:eastAsia="zh-CN"/>
              </w:rPr>
              <w:t>W1</w:t>
            </w:r>
          </w:p>
        </w:tc>
        <w:tc>
          <w:tcPr>
            <w:tcW w:w="395" w:type="pct"/>
            <w:vMerge w:val="restart"/>
            <w:vAlign w:val="center"/>
          </w:tcPr>
          <w:p w14:paraId="30D58A26">
            <w:pPr>
              <w:pStyle w:val="17"/>
              <w:bidi w:val="0"/>
              <w:rPr>
                <w:color w:val="auto"/>
                <w:highlight w:val="none"/>
              </w:rPr>
            </w:pPr>
            <w:r>
              <w:rPr>
                <w:color w:val="auto"/>
                <w:highlight w:val="none"/>
              </w:rPr>
              <w:t>TSP</w:t>
            </w:r>
          </w:p>
        </w:tc>
        <w:tc>
          <w:tcPr>
            <w:tcW w:w="1333" w:type="pct"/>
            <w:vAlign w:val="center"/>
          </w:tcPr>
          <w:p w14:paraId="02A850B2">
            <w:pPr>
              <w:pStyle w:val="17"/>
              <w:bidi w:val="0"/>
              <w:rPr>
                <w:rFonts w:hint="default" w:eastAsia="宋体"/>
                <w:color w:val="auto"/>
                <w:highlight w:val="none"/>
                <w:lang w:val="en-US" w:eastAsia="zh-CN"/>
              </w:rPr>
            </w:pPr>
            <w:r>
              <w:rPr>
                <w:rFonts w:hint="eastAsia"/>
                <w:color w:val="auto"/>
                <w:highlight w:val="none"/>
                <w:lang w:val="en-US" w:eastAsia="zh-CN"/>
              </w:rPr>
              <w:t>2026年2月27日-28日</w:t>
            </w:r>
          </w:p>
        </w:tc>
        <w:tc>
          <w:tcPr>
            <w:tcW w:w="674" w:type="pct"/>
            <w:vAlign w:val="center"/>
          </w:tcPr>
          <w:p w14:paraId="06046E94">
            <w:pPr>
              <w:pStyle w:val="17"/>
              <w:bidi w:val="0"/>
              <w:rPr>
                <w:rFonts w:hint="default"/>
                <w:color w:val="auto"/>
                <w:highlight w:val="none"/>
                <w:lang w:val="en-US" w:eastAsia="zh-CN"/>
              </w:rPr>
            </w:pPr>
            <w:r>
              <w:rPr>
                <w:rFonts w:hint="eastAsia"/>
                <w:color w:val="auto"/>
                <w:highlight w:val="none"/>
                <w:lang w:val="en-US" w:eastAsia="zh-CN"/>
              </w:rPr>
              <w:t>124</w:t>
            </w:r>
          </w:p>
        </w:tc>
        <w:tc>
          <w:tcPr>
            <w:tcW w:w="623" w:type="pct"/>
            <w:vMerge w:val="restart"/>
            <w:vAlign w:val="center"/>
          </w:tcPr>
          <w:p w14:paraId="170449B1">
            <w:pPr>
              <w:pStyle w:val="17"/>
              <w:bidi w:val="0"/>
              <w:rPr>
                <w:rFonts w:hint="default" w:eastAsia="宋体"/>
                <w:color w:val="auto"/>
                <w:highlight w:val="none"/>
                <w:lang w:val="en-US" w:eastAsia="zh-CN"/>
              </w:rPr>
            </w:pPr>
            <w:r>
              <w:rPr>
                <w:rFonts w:hint="eastAsia"/>
                <w:color w:val="auto"/>
                <w:highlight w:val="none"/>
                <w:lang w:val="en-US" w:eastAsia="zh-CN"/>
              </w:rPr>
              <w:t>300</w:t>
            </w:r>
          </w:p>
        </w:tc>
        <w:tc>
          <w:tcPr>
            <w:tcW w:w="638" w:type="pct"/>
            <w:vAlign w:val="center"/>
          </w:tcPr>
          <w:p w14:paraId="443BE2CB">
            <w:pPr>
              <w:pStyle w:val="17"/>
              <w:bidi w:val="0"/>
              <w:rPr>
                <w:rFonts w:hint="default"/>
                <w:color w:val="auto"/>
                <w:highlight w:val="none"/>
                <w:lang w:val="en-US" w:eastAsia="zh-CN"/>
              </w:rPr>
            </w:pPr>
            <w:r>
              <w:rPr>
                <w:rFonts w:hint="eastAsia"/>
                <w:color w:val="auto"/>
                <w:highlight w:val="none"/>
                <w:lang w:val="en-US" w:eastAsia="zh-CN"/>
              </w:rPr>
              <w:t>41.3</w:t>
            </w:r>
          </w:p>
        </w:tc>
        <w:tc>
          <w:tcPr>
            <w:tcW w:w="473" w:type="pct"/>
            <w:vAlign w:val="center"/>
          </w:tcPr>
          <w:p w14:paraId="193DC5B3">
            <w:pPr>
              <w:pStyle w:val="17"/>
              <w:bidi w:val="0"/>
              <w:rPr>
                <w:rFonts w:hint="default"/>
                <w:color w:val="auto"/>
                <w:highlight w:val="none"/>
                <w:lang w:val="en-US" w:eastAsia="zh-CN"/>
              </w:rPr>
            </w:pPr>
            <w:r>
              <w:rPr>
                <w:rFonts w:hint="eastAsia"/>
                <w:color w:val="auto"/>
                <w:highlight w:val="none"/>
                <w:lang w:val="en-US" w:eastAsia="zh-CN"/>
              </w:rPr>
              <w:t>0</w:t>
            </w:r>
          </w:p>
        </w:tc>
        <w:tc>
          <w:tcPr>
            <w:tcW w:w="583" w:type="pct"/>
            <w:vAlign w:val="center"/>
          </w:tcPr>
          <w:p w14:paraId="00ECA655">
            <w:pPr>
              <w:pStyle w:val="17"/>
              <w:bidi w:val="0"/>
              <w:rPr>
                <w:rFonts w:hint="eastAsia"/>
                <w:color w:val="auto"/>
                <w:highlight w:val="none"/>
                <w:lang w:eastAsia="zh-CN"/>
              </w:rPr>
            </w:pPr>
            <w:r>
              <w:rPr>
                <w:rFonts w:hint="eastAsia"/>
                <w:color w:val="auto"/>
                <w:highlight w:val="none"/>
                <w:lang w:eastAsia="zh-CN"/>
              </w:rPr>
              <w:t>达标</w:t>
            </w:r>
          </w:p>
        </w:tc>
      </w:tr>
      <w:tr w14:paraId="0948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37C93946">
            <w:pPr>
              <w:pStyle w:val="17"/>
              <w:bidi w:val="0"/>
              <w:rPr>
                <w:color w:val="auto"/>
                <w:highlight w:val="none"/>
              </w:rPr>
            </w:pPr>
          </w:p>
        </w:tc>
        <w:tc>
          <w:tcPr>
            <w:tcW w:w="395" w:type="pct"/>
            <w:vMerge w:val="continue"/>
            <w:vAlign w:val="center"/>
          </w:tcPr>
          <w:p w14:paraId="48896F7A">
            <w:pPr>
              <w:pStyle w:val="17"/>
              <w:bidi w:val="0"/>
              <w:rPr>
                <w:rFonts w:hint="eastAsia"/>
                <w:color w:val="auto"/>
                <w:highlight w:val="none"/>
                <w:lang w:eastAsia="zh-CN"/>
              </w:rPr>
            </w:pPr>
          </w:p>
        </w:tc>
        <w:tc>
          <w:tcPr>
            <w:tcW w:w="1333" w:type="pct"/>
            <w:vAlign w:val="center"/>
          </w:tcPr>
          <w:p w14:paraId="327F3C91">
            <w:pPr>
              <w:pStyle w:val="17"/>
              <w:bidi w:val="0"/>
              <w:rPr>
                <w:rFonts w:hint="eastAsia"/>
                <w:color w:val="auto"/>
                <w:highlight w:val="none"/>
                <w:lang w:eastAsia="zh-CN"/>
              </w:rPr>
            </w:pPr>
            <w:r>
              <w:rPr>
                <w:rFonts w:hint="eastAsia"/>
                <w:color w:val="auto"/>
                <w:highlight w:val="none"/>
                <w:lang w:val="en-US" w:eastAsia="zh-CN"/>
              </w:rPr>
              <w:t>2026年2月28日-1日</w:t>
            </w:r>
          </w:p>
        </w:tc>
        <w:tc>
          <w:tcPr>
            <w:tcW w:w="674" w:type="pct"/>
            <w:vAlign w:val="center"/>
          </w:tcPr>
          <w:p w14:paraId="2449C5B2">
            <w:pPr>
              <w:pStyle w:val="17"/>
              <w:bidi w:val="0"/>
              <w:rPr>
                <w:rFonts w:hint="default"/>
                <w:color w:val="auto"/>
                <w:highlight w:val="none"/>
                <w:lang w:val="en-US" w:eastAsia="zh-CN"/>
              </w:rPr>
            </w:pPr>
            <w:r>
              <w:rPr>
                <w:rFonts w:hint="eastAsia"/>
                <w:color w:val="auto"/>
                <w:highlight w:val="none"/>
                <w:lang w:val="en-US" w:eastAsia="zh-CN"/>
              </w:rPr>
              <w:t>124</w:t>
            </w:r>
          </w:p>
        </w:tc>
        <w:tc>
          <w:tcPr>
            <w:tcW w:w="623" w:type="pct"/>
            <w:vMerge w:val="continue"/>
            <w:vAlign w:val="center"/>
          </w:tcPr>
          <w:p w14:paraId="6251A31B">
            <w:pPr>
              <w:pStyle w:val="17"/>
              <w:bidi w:val="0"/>
              <w:rPr>
                <w:rFonts w:hint="eastAsia"/>
                <w:color w:val="auto"/>
                <w:highlight w:val="none"/>
                <w:lang w:val="en-US" w:eastAsia="zh-CN"/>
              </w:rPr>
            </w:pPr>
          </w:p>
        </w:tc>
        <w:tc>
          <w:tcPr>
            <w:tcW w:w="638" w:type="pct"/>
            <w:vAlign w:val="center"/>
          </w:tcPr>
          <w:p w14:paraId="2C513D37">
            <w:pPr>
              <w:pStyle w:val="17"/>
              <w:bidi w:val="0"/>
              <w:rPr>
                <w:rFonts w:hint="default"/>
                <w:color w:val="auto"/>
                <w:highlight w:val="none"/>
                <w:lang w:val="en-US" w:eastAsia="zh-CN"/>
              </w:rPr>
            </w:pPr>
            <w:r>
              <w:rPr>
                <w:rFonts w:hint="eastAsia"/>
                <w:color w:val="auto"/>
                <w:highlight w:val="none"/>
                <w:lang w:val="en-US" w:eastAsia="zh-CN"/>
              </w:rPr>
              <w:t>41.3</w:t>
            </w:r>
          </w:p>
        </w:tc>
        <w:tc>
          <w:tcPr>
            <w:tcW w:w="473" w:type="pct"/>
            <w:vAlign w:val="center"/>
          </w:tcPr>
          <w:p w14:paraId="35AC349F">
            <w:pPr>
              <w:pStyle w:val="17"/>
              <w:bidi w:val="0"/>
              <w:rPr>
                <w:rFonts w:hint="default"/>
                <w:color w:val="auto"/>
                <w:highlight w:val="none"/>
                <w:lang w:val="en-US" w:eastAsia="zh-CN"/>
              </w:rPr>
            </w:pPr>
            <w:r>
              <w:rPr>
                <w:rFonts w:hint="eastAsia"/>
                <w:color w:val="auto"/>
                <w:highlight w:val="none"/>
                <w:lang w:val="en-US" w:eastAsia="zh-CN"/>
              </w:rPr>
              <w:t>0</w:t>
            </w:r>
          </w:p>
        </w:tc>
        <w:tc>
          <w:tcPr>
            <w:tcW w:w="583" w:type="pct"/>
            <w:vAlign w:val="center"/>
          </w:tcPr>
          <w:p w14:paraId="347E711C">
            <w:pPr>
              <w:pStyle w:val="17"/>
              <w:bidi w:val="0"/>
              <w:rPr>
                <w:rFonts w:hint="eastAsia"/>
                <w:color w:val="auto"/>
                <w:highlight w:val="none"/>
                <w:lang w:eastAsia="zh-CN"/>
              </w:rPr>
            </w:pPr>
            <w:r>
              <w:rPr>
                <w:rFonts w:hint="eastAsia"/>
                <w:color w:val="auto"/>
                <w:highlight w:val="none"/>
                <w:lang w:eastAsia="zh-CN"/>
              </w:rPr>
              <w:t>达标</w:t>
            </w:r>
          </w:p>
        </w:tc>
      </w:tr>
      <w:tr w14:paraId="6FFE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58CBCB13">
            <w:pPr>
              <w:pStyle w:val="17"/>
              <w:bidi w:val="0"/>
              <w:rPr>
                <w:color w:val="auto"/>
                <w:highlight w:val="none"/>
              </w:rPr>
            </w:pPr>
          </w:p>
        </w:tc>
        <w:tc>
          <w:tcPr>
            <w:tcW w:w="395" w:type="pct"/>
            <w:vMerge w:val="continue"/>
            <w:vAlign w:val="center"/>
          </w:tcPr>
          <w:p w14:paraId="053EEEE0">
            <w:pPr>
              <w:pStyle w:val="17"/>
              <w:bidi w:val="0"/>
              <w:rPr>
                <w:rFonts w:hint="eastAsia"/>
                <w:color w:val="auto"/>
                <w:highlight w:val="none"/>
                <w:lang w:eastAsia="zh-CN"/>
              </w:rPr>
            </w:pPr>
          </w:p>
        </w:tc>
        <w:tc>
          <w:tcPr>
            <w:tcW w:w="1333" w:type="pct"/>
            <w:vAlign w:val="center"/>
          </w:tcPr>
          <w:p w14:paraId="52A198ED">
            <w:pPr>
              <w:pStyle w:val="17"/>
              <w:bidi w:val="0"/>
              <w:ind w:firstLine="0" w:firstLineChars="0"/>
              <w:rPr>
                <w:rFonts w:hint="eastAsia"/>
                <w:color w:val="auto"/>
                <w:highlight w:val="none"/>
                <w:lang w:eastAsia="zh-CN"/>
              </w:rPr>
            </w:pPr>
            <w:r>
              <w:rPr>
                <w:rFonts w:hint="eastAsia"/>
                <w:color w:val="auto"/>
                <w:highlight w:val="none"/>
                <w:lang w:val="en-US" w:eastAsia="zh-CN"/>
              </w:rPr>
              <w:t>2026年3月1日-2日</w:t>
            </w:r>
          </w:p>
        </w:tc>
        <w:tc>
          <w:tcPr>
            <w:tcW w:w="674" w:type="pct"/>
            <w:vAlign w:val="center"/>
          </w:tcPr>
          <w:p w14:paraId="7B7085B3">
            <w:pPr>
              <w:pStyle w:val="17"/>
              <w:bidi w:val="0"/>
              <w:rPr>
                <w:rFonts w:hint="default"/>
                <w:color w:val="auto"/>
                <w:highlight w:val="none"/>
                <w:lang w:val="en-US" w:eastAsia="zh-CN"/>
              </w:rPr>
            </w:pPr>
            <w:r>
              <w:rPr>
                <w:rFonts w:hint="eastAsia"/>
                <w:color w:val="auto"/>
                <w:highlight w:val="none"/>
                <w:lang w:val="en-US" w:eastAsia="zh-CN"/>
              </w:rPr>
              <w:t>143</w:t>
            </w:r>
          </w:p>
        </w:tc>
        <w:tc>
          <w:tcPr>
            <w:tcW w:w="623" w:type="pct"/>
            <w:vMerge w:val="continue"/>
            <w:vAlign w:val="center"/>
          </w:tcPr>
          <w:p w14:paraId="42D50B44">
            <w:pPr>
              <w:pStyle w:val="17"/>
              <w:bidi w:val="0"/>
              <w:rPr>
                <w:rFonts w:hint="eastAsia"/>
                <w:color w:val="auto"/>
                <w:highlight w:val="none"/>
                <w:lang w:val="en-US" w:eastAsia="zh-CN"/>
              </w:rPr>
            </w:pPr>
          </w:p>
        </w:tc>
        <w:tc>
          <w:tcPr>
            <w:tcW w:w="638" w:type="pct"/>
            <w:vAlign w:val="center"/>
          </w:tcPr>
          <w:p w14:paraId="09A69E3C">
            <w:pPr>
              <w:pStyle w:val="17"/>
              <w:bidi w:val="0"/>
              <w:rPr>
                <w:rFonts w:hint="default"/>
                <w:color w:val="auto"/>
                <w:highlight w:val="none"/>
                <w:lang w:val="en-US" w:eastAsia="zh-CN"/>
              </w:rPr>
            </w:pPr>
            <w:r>
              <w:rPr>
                <w:rFonts w:hint="eastAsia"/>
                <w:color w:val="auto"/>
                <w:highlight w:val="none"/>
                <w:lang w:val="en-US" w:eastAsia="zh-CN"/>
              </w:rPr>
              <w:t>47.7</w:t>
            </w:r>
          </w:p>
        </w:tc>
        <w:tc>
          <w:tcPr>
            <w:tcW w:w="473" w:type="pct"/>
            <w:vAlign w:val="center"/>
          </w:tcPr>
          <w:p w14:paraId="72C27222">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095DAC30">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83C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31CAFEDF">
            <w:pPr>
              <w:pStyle w:val="17"/>
              <w:bidi w:val="0"/>
              <w:rPr>
                <w:color w:val="auto"/>
                <w:highlight w:val="none"/>
              </w:rPr>
            </w:pPr>
          </w:p>
        </w:tc>
        <w:tc>
          <w:tcPr>
            <w:tcW w:w="395" w:type="pct"/>
            <w:vMerge w:val="continue"/>
            <w:vAlign w:val="center"/>
          </w:tcPr>
          <w:p w14:paraId="178BE8EB">
            <w:pPr>
              <w:pStyle w:val="17"/>
              <w:bidi w:val="0"/>
              <w:rPr>
                <w:rFonts w:hint="eastAsia"/>
                <w:color w:val="auto"/>
                <w:highlight w:val="none"/>
                <w:lang w:eastAsia="zh-CN"/>
              </w:rPr>
            </w:pPr>
          </w:p>
        </w:tc>
        <w:tc>
          <w:tcPr>
            <w:tcW w:w="1333" w:type="pct"/>
            <w:vAlign w:val="center"/>
          </w:tcPr>
          <w:p w14:paraId="3386E35A">
            <w:pPr>
              <w:pStyle w:val="17"/>
              <w:bidi w:val="0"/>
              <w:ind w:firstLine="0" w:firstLineChars="0"/>
              <w:rPr>
                <w:rFonts w:hint="eastAsia"/>
                <w:color w:val="auto"/>
                <w:highlight w:val="none"/>
                <w:lang w:eastAsia="zh-CN"/>
              </w:rPr>
            </w:pPr>
            <w:r>
              <w:rPr>
                <w:rFonts w:hint="eastAsia"/>
                <w:color w:val="auto"/>
                <w:highlight w:val="none"/>
                <w:lang w:val="en-US" w:eastAsia="zh-CN"/>
              </w:rPr>
              <w:t>2026年3月2日-3日</w:t>
            </w:r>
          </w:p>
        </w:tc>
        <w:tc>
          <w:tcPr>
            <w:tcW w:w="674" w:type="pct"/>
            <w:vAlign w:val="center"/>
          </w:tcPr>
          <w:p w14:paraId="22711E49">
            <w:pPr>
              <w:pStyle w:val="17"/>
              <w:bidi w:val="0"/>
              <w:rPr>
                <w:rFonts w:hint="default"/>
                <w:color w:val="auto"/>
                <w:highlight w:val="none"/>
                <w:lang w:val="en-US" w:eastAsia="zh-CN"/>
              </w:rPr>
            </w:pPr>
            <w:r>
              <w:rPr>
                <w:rFonts w:hint="eastAsia"/>
                <w:color w:val="auto"/>
                <w:highlight w:val="none"/>
                <w:lang w:val="en-US" w:eastAsia="zh-CN"/>
              </w:rPr>
              <w:t>140</w:t>
            </w:r>
          </w:p>
        </w:tc>
        <w:tc>
          <w:tcPr>
            <w:tcW w:w="623" w:type="pct"/>
            <w:vMerge w:val="continue"/>
            <w:vAlign w:val="center"/>
          </w:tcPr>
          <w:p w14:paraId="3CBE4926">
            <w:pPr>
              <w:pStyle w:val="17"/>
              <w:bidi w:val="0"/>
              <w:rPr>
                <w:rFonts w:hint="eastAsia"/>
                <w:color w:val="auto"/>
                <w:highlight w:val="none"/>
                <w:lang w:val="en-US" w:eastAsia="zh-CN"/>
              </w:rPr>
            </w:pPr>
          </w:p>
        </w:tc>
        <w:tc>
          <w:tcPr>
            <w:tcW w:w="638" w:type="pct"/>
            <w:vAlign w:val="center"/>
          </w:tcPr>
          <w:p w14:paraId="6839611D">
            <w:pPr>
              <w:pStyle w:val="17"/>
              <w:bidi w:val="0"/>
              <w:rPr>
                <w:rFonts w:hint="default"/>
                <w:color w:val="auto"/>
                <w:highlight w:val="none"/>
                <w:lang w:val="en-US" w:eastAsia="zh-CN"/>
              </w:rPr>
            </w:pPr>
            <w:r>
              <w:rPr>
                <w:rFonts w:hint="eastAsia"/>
                <w:color w:val="auto"/>
                <w:highlight w:val="none"/>
                <w:lang w:val="en-US" w:eastAsia="zh-CN"/>
              </w:rPr>
              <w:t>46.7</w:t>
            </w:r>
          </w:p>
        </w:tc>
        <w:tc>
          <w:tcPr>
            <w:tcW w:w="473" w:type="pct"/>
            <w:vAlign w:val="center"/>
          </w:tcPr>
          <w:p w14:paraId="779176C8">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65688BD0">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350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1E65D254">
            <w:pPr>
              <w:pStyle w:val="17"/>
              <w:bidi w:val="0"/>
              <w:rPr>
                <w:color w:val="auto"/>
                <w:highlight w:val="none"/>
              </w:rPr>
            </w:pPr>
          </w:p>
        </w:tc>
        <w:tc>
          <w:tcPr>
            <w:tcW w:w="395" w:type="pct"/>
            <w:vMerge w:val="continue"/>
            <w:vAlign w:val="center"/>
          </w:tcPr>
          <w:p w14:paraId="6CA13989">
            <w:pPr>
              <w:pStyle w:val="17"/>
              <w:bidi w:val="0"/>
              <w:rPr>
                <w:rFonts w:hint="eastAsia"/>
                <w:color w:val="auto"/>
                <w:highlight w:val="none"/>
                <w:lang w:eastAsia="zh-CN"/>
              </w:rPr>
            </w:pPr>
          </w:p>
        </w:tc>
        <w:tc>
          <w:tcPr>
            <w:tcW w:w="1333" w:type="pct"/>
            <w:vAlign w:val="center"/>
          </w:tcPr>
          <w:p w14:paraId="01B770CB">
            <w:pPr>
              <w:pStyle w:val="17"/>
              <w:bidi w:val="0"/>
              <w:ind w:firstLine="0" w:firstLineChars="0"/>
              <w:rPr>
                <w:rFonts w:hint="eastAsia"/>
                <w:color w:val="auto"/>
                <w:highlight w:val="none"/>
                <w:lang w:eastAsia="zh-CN"/>
              </w:rPr>
            </w:pPr>
            <w:r>
              <w:rPr>
                <w:rFonts w:hint="eastAsia"/>
                <w:color w:val="auto"/>
                <w:highlight w:val="none"/>
                <w:lang w:val="en-US" w:eastAsia="zh-CN"/>
              </w:rPr>
              <w:t>2026年3月3日-4日</w:t>
            </w:r>
          </w:p>
        </w:tc>
        <w:tc>
          <w:tcPr>
            <w:tcW w:w="674" w:type="pct"/>
            <w:vAlign w:val="center"/>
          </w:tcPr>
          <w:p w14:paraId="18F75151">
            <w:pPr>
              <w:pStyle w:val="17"/>
              <w:bidi w:val="0"/>
              <w:rPr>
                <w:rFonts w:hint="default"/>
                <w:color w:val="auto"/>
                <w:highlight w:val="none"/>
                <w:lang w:val="en-US" w:eastAsia="zh-CN"/>
              </w:rPr>
            </w:pPr>
            <w:r>
              <w:rPr>
                <w:rFonts w:hint="eastAsia"/>
                <w:color w:val="auto"/>
                <w:highlight w:val="none"/>
                <w:lang w:val="en-US" w:eastAsia="zh-CN"/>
              </w:rPr>
              <w:t>129</w:t>
            </w:r>
          </w:p>
        </w:tc>
        <w:tc>
          <w:tcPr>
            <w:tcW w:w="623" w:type="pct"/>
            <w:vMerge w:val="continue"/>
            <w:vAlign w:val="center"/>
          </w:tcPr>
          <w:p w14:paraId="2BACBA1C">
            <w:pPr>
              <w:pStyle w:val="17"/>
              <w:bidi w:val="0"/>
              <w:rPr>
                <w:rFonts w:hint="eastAsia"/>
                <w:color w:val="auto"/>
                <w:highlight w:val="none"/>
                <w:lang w:val="en-US" w:eastAsia="zh-CN"/>
              </w:rPr>
            </w:pPr>
          </w:p>
        </w:tc>
        <w:tc>
          <w:tcPr>
            <w:tcW w:w="638" w:type="pct"/>
            <w:vAlign w:val="center"/>
          </w:tcPr>
          <w:p w14:paraId="2853094F">
            <w:pPr>
              <w:pStyle w:val="17"/>
              <w:bidi w:val="0"/>
              <w:rPr>
                <w:rFonts w:hint="default"/>
                <w:color w:val="auto"/>
                <w:highlight w:val="none"/>
                <w:lang w:val="en-US" w:eastAsia="zh-CN"/>
              </w:rPr>
            </w:pPr>
            <w:r>
              <w:rPr>
                <w:rFonts w:hint="eastAsia"/>
                <w:color w:val="auto"/>
                <w:highlight w:val="none"/>
                <w:lang w:val="en-US" w:eastAsia="zh-CN"/>
              </w:rPr>
              <w:t>43.0</w:t>
            </w:r>
          </w:p>
        </w:tc>
        <w:tc>
          <w:tcPr>
            <w:tcW w:w="473" w:type="pct"/>
            <w:vAlign w:val="center"/>
          </w:tcPr>
          <w:p w14:paraId="49A64050">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403BAFC7">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8A3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62ED94B4">
            <w:pPr>
              <w:pStyle w:val="17"/>
              <w:bidi w:val="0"/>
              <w:rPr>
                <w:color w:val="auto"/>
                <w:highlight w:val="none"/>
              </w:rPr>
            </w:pPr>
          </w:p>
        </w:tc>
        <w:tc>
          <w:tcPr>
            <w:tcW w:w="395" w:type="pct"/>
            <w:vMerge w:val="continue"/>
            <w:vAlign w:val="center"/>
          </w:tcPr>
          <w:p w14:paraId="535C4592">
            <w:pPr>
              <w:pStyle w:val="17"/>
              <w:bidi w:val="0"/>
              <w:rPr>
                <w:rFonts w:hint="eastAsia"/>
                <w:color w:val="auto"/>
                <w:highlight w:val="none"/>
                <w:lang w:eastAsia="zh-CN"/>
              </w:rPr>
            </w:pPr>
          </w:p>
        </w:tc>
        <w:tc>
          <w:tcPr>
            <w:tcW w:w="1333" w:type="pct"/>
            <w:vAlign w:val="center"/>
          </w:tcPr>
          <w:p w14:paraId="7A6181F8">
            <w:pPr>
              <w:pStyle w:val="17"/>
              <w:bidi w:val="0"/>
              <w:ind w:firstLine="0" w:firstLineChars="0"/>
              <w:rPr>
                <w:rFonts w:hint="eastAsia"/>
                <w:color w:val="auto"/>
                <w:highlight w:val="none"/>
                <w:lang w:eastAsia="zh-CN"/>
              </w:rPr>
            </w:pPr>
            <w:r>
              <w:rPr>
                <w:rFonts w:hint="eastAsia"/>
                <w:color w:val="auto"/>
                <w:highlight w:val="none"/>
                <w:lang w:val="en-US" w:eastAsia="zh-CN"/>
              </w:rPr>
              <w:t>2026年3月4日-5日</w:t>
            </w:r>
          </w:p>
        </w:tc>
        <w:tc>
          <w:tcPr>
            <w:tcW w:w="674" w:type="pct"/>
            <w:vAlign w:val="center"/>
          </w:tcPr>
          <w:p w14:paraId="3683C10A">
            <w:pPr>
              <w:pStyle w:val="17"/>
              <w:bidi w:val="0"/>
              <w:rPr>
                <w:rFonts w:hint="default"/>
                <w:color w:val="auto"/>
                <w:highlight w:val="none"/>
                <w:lang w:val="en-US" w:eastAsia="zh-CN"/>
              </w:rPr>
            </w:pPr>
            <w:r>
              <w:rPr>
                <w:rFonts w:hint="eastAsia"/>
                <w:color w:val="auto"/>
                <w:highlight w:val="none"/>
                <w:lang w:val="en-US" w:eastAsia="zh-CN"/>
              </w:rPr>
              <w:t>134</w:t>
            </w:r>
          </w:p>
        </w:tc>
        <w:tc>
          <w:tcPr>
            <w:tcW w:w="623" w:type="pct"/>
            <w:vMerge w:val="continue"/>
            <w:vAlign w:val="center"/>
          </w:tcPr>
          <w:p w14:paraId="3B1D28CE">
            <w:pPr>
              <w:pStyle w:val="17"/>
              <w:bidi w:val="0"/>
              <w:rPr>
                <w:rFonts w:hint="eastAsia"/>
                <w:color w:val="auto"/>
                <w:highlight w:val="none"/>
                <w:lang w:val="en-US" w:eastAsia="zh-CN"/>
              </w:rPr>
            </w:pPr>
          </w:p>
        </w:tc>
        <w:tc>
          <w:tcPr>
            <w:tcW w:w="638" w:type="pct"/>
            <w:vAlign w:val="center"/>
          </w:tcPr>
          <w:p w14:paraId="24D0BC0C">
            <w:pPr>
              <w:pStyle w:val="17"/>
              <w:bidi w:val="0"/>
              <w:rPr>
                <w:rFonts w:hint="default"/>
                <w:color w:val="auto"/>
                <w:highlight w:val="none"/>
                <w:lang w:val="en-US" w:eastAsia="zh-CN"/>
              </w:rPr>
            </w:pPr>
            <w:r>
              <w:rPr>
                <w:rFonts w:hint="eastAsia"/>
                <w:color w:val="auto"/>
                <w:highlight w:val="none"/>
                <w:lang w:val="en-US" w:eastAsia="zh-CN"/>
              </w:rPr>
              <w:t>44.7</w:t>
            </w:r>
          </w:p>
        </w:tc>
        <w:tc>
          <w:tcPr>
            <w:tcW w:w="473" w:type="pct"/>
            <w:vAlign w:val="center"/>
          </w:tcPr>
          <w:p w14:paraId="50B953F1">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2DA91FEA">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9FC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425EBB95">
            <w:pPr>
              <w:pStyle w:val="17"/>
              <w:bidi w:val="0"/>
              <w:rPr>
                <w:color w:val="auto"/>
                <w:highlight w:val="none"/>
              </w:rPr>
            </w:pPr>
          </w:p>
        </w:tc>
        <w:tc>
          <w:tcPr>
            <w:tcW w:w="395" w:type="pct"/>
            <w:vMerge w:val="continue"/>
            <w:vAlign w:val="center"/>
          </w:tcPr>
          <w:p w14:paraId="1EC355B8">
            <w:pPr>
              <w:pStyle w:val="17"/>
              <w:bidi w:val="0"/>
              <w:rPr>
                <w:rFonts w:hint="eastAsia"/>
                <w:color w:val="auto"/>
                <w:highlight w:val="none"/>
                <w:lang w:eastAsia="zh-CN"/>
              </w:rPr>
            </w:pPr>
          </w:p>
        </w:tc>
        <w:tc>
          <w:tcPr>
            <w:tcW w:w="1333" w:type="pct"/>
            <w:vAlign w:val="center"/>
          </w:tcPr>
          <w:p w14:paraId="13283869">
            <w:pPr>
              <w:pStyle w:val="17"/>
              <w:bidi w:val="0"/>
              <w:ind w:firstLine="0" w:firstLineChars="0"/>
              <w:rPr>
                <w:rFonts w:hint="eastAsia"/>
                <w:color w:val="auto"/>
                <w:highlight w:val="none"/>
                <w:lang w:eastAsia="zh-CN"/>
              </w:rPr>
            </w:pPr>
            <w:r>
              <w:rPr>
                <w:rFonts w:hint="eastAsia"/>
                <w:color w:val="auto"/>
                <w:highlight w:val="none"/>
                <w:lang w:val="en-US" w:eastAsia="zh-CN"/>
              </w:rPr>
              <w:t>2026年3月5日-6日</w:t>
            </w:r>
          </w:p>
        </w:tc>
        <w:tc>
          <w:tcPr>
            <w:tcW w:w="674" w:type="pct"/>
            <w:vAlign w:val="center"/>
          </w:tcPr>
          <w:p w14:paraId="14448774">
            <w:pPr>
              <w:pStyle w:val="17"/>
              <w:bidi w:val="0"/>
              <w:rPr>
                <w:rFonts w:hint="default"/>
                <w:color w:val="auto"/>
                <w:highlight w:val="none"/>
                <w:lang w:val="en-US" w:eastAsia="zh-CN"/>
              </w:rPr>
            </w:pPr>
            <w:r>
              <w:rPr>
                <w:rFonts w:hint="eastAsia"/>
                <w:color w:val="auto"/>
                <w:highlight w:val="none"/>
                <w:lang w:val="en-US" w:eastAsia="zh-CN"/>
              </w:rPr>
              <w:t>134</w:t>
            </w:r>
          </w:p>
        </w:tc>
        <w:tc>
          <w:tcPr>
            <w:tcW w:w="623" w:type="pct"/>
            <w:vMerge w:val="continue"/>
            <w:vAlign w:val="center"/>
          </w:tcPr>
          <w:p w14:paraId="1799B6D1">
            <w:pPr>
              <w:pStyle w:val="17"/>
              <w:bidi w:val="0"/>
              <w:rPr>
                <w:rFonts w:hint="default"/>
                <w:color w:val="auto"/>
                <w:highlight w:val="none"/>
                <w:lang w:val="en-US" w:eastAsia="zh-CN"/>
              </w:rPr>
            </w:pPr>
          </w:p>
        </w:tc>
        <w:tc>
          <w:tcPr>
            <w:tcW w:w="638" w:type="pct"/>
            <w:vAlign w:val="center"/>
          </w:tcPr>
          <w:p w14:paraId="2B9CAF56">
            <w:pPr>
              <w:pStyle w:val="17"/>
              <w:bidi w:val="0"/>
              <w:rPr>
                <w:rFonts w:hint="default"/>
                <w:color w:val="auto"/>
                <w:highlight w:val="none"/>
                <w:lang w:val="en-US" w:eastAsia="zh-CN"/>
              </w:rPr>
            </w:pPr>
            <w:r>
              <w:rPr>
                <w:rFonts w:hint="eastAsia"/>
                <w:color w:val="auto"/>
                <w:highlight w:val="none"/>
                <w:lang w:val="en-US" w:eastAsia="zh-CN"/>
              </w:rPr>
              <w:t>44.7</w:t>
            </w:r>
          </w:p>
        </w:tc>
        <w:tc>
          <w:tcPr>
            <w:tcW w:w="473" w:type="pct"/>
            <w:vAlign w:val="center"/>
          </w:tcPr>
          <w:p w14:paraId="62084238">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0509E601">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5AA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4D9A6E0A">
            <w:pPr>
              <w:pStyle w:val="17"/>
              <w:bidi w:val="0"/>
              <w:rPr>
                <w:color w:val="auto"/>
                <w:highlight w:val="none"/>
              </w:rPr>
            </w:pPr>
          </w:p>
        </w:tc>
        <w:tc>
          <w:tcPr>
            <w:tcW w:w="395" w:type="pct"/>
            <w:vMerge w:val="restart"/>
            <w:vAlign w:val="center"/>
          </w:tcPr>
          <w:p w14:paraId="2825690D">
            <w:pPr>
              <w:pStyle w:val="17"/>
              <w:bidi w:val="0"/>
              <w:rPr>
                <w:rFonts w:hint="eastAsia"/>
                <w:color w:val="auto"/>
                <w:highlight w:val="none"/>
                <w:lang w:eastAsia="zh-CN"/>
              </w:rPr>
            </w:pPr>
            <w:r>
              <w:rPr>
                <w:rFonts w:hint="eastAsia"/>
                <w:color w:val="auto"/>
                <w:highlight w:val="none"/>
                <w:lang w:eastAsia="zh-CN"/>
              </w:rPr>
              <w:t>氟化物</w:t>
            </w:r>
          </w:p>
        </w:tc>
        <w:tc>
          <w:tcPr>
            <w:tcW w:w="1333" w:type="pct"/>
            <w:shd w:val="clear" w:color="auto" w:fill="auto"/>
            <w:vAlign w:val="center"/>
          </w:tcPr>
          <w:p w14:paraId="711E27B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2026年2月27日-28日</w:t>
            </w:r>
          </w:p>
        </w:tc>
        <w:tc>
          <w:tcPr>
            <w:tcW w:w="674" w:type="pct"/>
            <w:vAlign w:val="center"/>
          </w:tcPr>
          <w:p w14:paraId="42911B46">
            <w:pPr>
              <w:pStyle w:val="17"/>
              <w:bidi w:val="0"/>
              <w:rPr>
                <w:rFonts w:hint="default"/>
                <w:color w:val="auto"/>
                <w:highlight w:val="none"/>
                <w:lang w:val="en-US" w:eastAsia="zh-CN"/>
              </w:rPr>
            </w:pPr>
            <w:r>
              <w:rPr>
                <w:rFonts w:hint="eastAsia"/>
                <w:color w:val="auto"/>
                <w:highlight w:val="none"/>
                <w:lang w:val="en-US" w:eastAsia="zh-CN"/>
              </w:rPr>
              <w:t>0.14</w:t>
            </w:r>
          </w:p>
        </w:tc>
        <w:tc>
          <w:tcPr>
            <w:tcW w:w="623" w:type="pct"/>
            <w:vMerge w:val="restart"/>
            <w:vAlign w:val="center"/>
          </w:tcPr>
          <w:p w14:paraId="67886447">
            <w:pPr>
              <w:pStyle w:val="17"/>
              <w:bidi w:val="0"/>
              <w:rPr>
                <w:rFonts w:hint="eastAsia"/>
                <w:color w:val="auto"/>
                <w:highlight w:val="none"/>
                <w:lang w:val="en-US" w:eastAsia="zh-CN"/>
              </w:rPr>
            </w:pPr>
            <w:r>
              <w:rPr>
                <w:rFonts w:hint="eastAsia"/>
                <w:color w:val="auto"/>
                <w:highlight w:val="none"/>
                <w:lang w:val="en-US" w:eastAsia="zh-CN"/>
              </w:rPr>
              <w:t>7</w:t>
            </w:r>
          </w:p>
        </w:tc>
        <w:tc>
          <w:tcPr>
            <w:tcW w:w="638" w:type="pct"/>
            <w:vAlign w:val="center"/>
          </w:tcPr>
          <w:p w14:paraId="222837AD">
            <w:pPr>
              <w:pStyle w:val="17"/>
              <w:bidi w:val="0"/>
              <w:rPr>
                <w:rFonts w:hint="default"/>
                <w:color w:val="auto"/>
                <w:highlight w:val="none"/>
                <w:lang w:val="en-US" w:eastAsia="zh-CN"/>
              </w:rPr>
            </w:pPr>
            <w:r>
              <w:rPr>
                <w:rFonts w:hint="eastAsia"/>
                <w:color w:val="auto"/>
                <w:highlight w:val="none"/>
                <w:lang w:val="en-US" w:eastAsia="zh-CN"/>
              </w:rPr>
              <w:t>4.7</w:t>
            </w:r>
          </w:p>
        </w:tc>
        <w:tc>
          <w:tcPr>
            <w:tcW w:w="473" w:type="pct"/>
            <w:vAlign w:val="center"/>
          </w:tcPr>
          <w:p w14:paraId="6B9D05C0">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6724D530">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81F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3A53A04B">
            <w:pPr>
              <w:pStyle w:val="17"/>
              <w:bidi w:val="0"/>
              <w:rPr>
                <w:color w:val="auto"/>
                <w:highlight w:val="none"/>
              </w:rPr>
            </w:pPr>
          </w:p>
        </w:tc>
        <w:tc>
          <w:tcPr>
            <w:tcW w:w="395" w:type="pct"/>
            <w:vMerge w:val="continue"/>
            <w:vAlign w:val="center"/>
          </w:tcPr>
          <w:p w14:paraId="6298E897">
            <w:pPr>
              <w:pStyle w:val="17"/>
              <w:bidi w:val="0"/>
              <w:rPr>
                <w:rFonts w:hint="eastAsia"/>
                <w:color w:val="auto"/>
                <w:highlight w:val="none"/>
                <w:lang w:eastAsia="zh-CN"/>
              </w:rPr>
            </w:pPr>
          </w:p>
        </w:tc>
        <w:tc>
          <w:tcPr>
            <w:tcW w:w="1333" w:type="pct"/>
            <w:shd w:val="clear" w:color="auto" w:fill="auto"/>
            <w:vAlign w:val="center"/>
          </w:tcPr>
          <w:p w14:paraId="48135318">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2026年2月28日-1日</w:t>
            </w:r>
          </w:p>
        </w:tc>
        <w:tc>
          <w:tcPr>
            <w:tcW w:w="674" w:type="pct"/>
            <w:vAlign w:val="center"/>
          </w:tcPr>
          <w:p w14:paraId="09A90F72">
            <w:pPr>
              <w:pStyle w:val="17"/>
              <w:bidi w:val="0"/>
              <w:rPr>
                <w:rFonts w:hint="default"/>
                <w:color w:val="auto"/>
                <w:highlight w:val="none"/>
                <w:lang w:val="en-US" w:eastAsia="zh-CN"/>
              </w:rPr>
            </w:pPr>
            <w:r>
              <w:rPr>
                <w:rFonts w:hint="eastAsia"/>
                <w:color w:val="auto"/>
                <w:highlight w:val="none"/>
                <w:lang w:val="en-US" w:eastAsia="zh-CN"/>
              </w:rPr>
              <w:t>0.13</w:t>
            </w:r>
          </w:p>
        </w:tc>
        <w:tc>
          <w:tcPr>
            <w:tcW w:w="623" w:type="pct"/>
            <w:vMerge w:val="continue"/>
            <w:vAlign w:val="center"/>
          </w:tcPr>
          <w:p w14:paraId="499D9E30">
            <w:pPr>
              <w:pStyle w:val="17"/>
              <w:bidi w:val="0"/>
              <w:rPr>
                <w:rFonts w:hint="eastAsia"/>
                <w:color w:val="auto"/>
                <w:highlight w:val="none"/>
                <w:lang w:val="en-US" w:eastAsia="zh-CN"/>
              </w:rPr>
            </w:pPr>
          </w:p>
        </w:tc>
        <w:tc>
          <w:tcPr>
            <w:tcW w:w="638" w:type="pct"/>
            <w:vAlign w:val="center"/>
          </w:tcPr>
          <w:p w14:paraId="1AB6DF57">
            <w:pPr>
              <w:pStyle w:val="17"/>
              <w:bidi w:val="0"/>
              <w:rPr>
                <w:rFonts w:hint="default"/>
                <w:color w:val="auto"/>
                <w:highlight w:val="none"/>
                <w:lang w:val="en-US" w:eastAsia="zh-CN"/>
              </w:rPr>
            </w:pPr>
            <w:r>
              <w:rPr>
                <w:rFonts w:hint="eastAsia"/>
                <w:color w:val="auto"/>
                <w:highlight w:val="none"/>
                <w:lang w:val="en-US" w:eastAsia="zh-CN"/>
              </w:rPr>
              <w:t>4.3</w:t>
            </w:r>
          </w:p>
        </w:tc>
        <w:tc>
          <w:tcPr>
            <w:tcW w:w="473" w:type="pct"/>
            <w:vAlign w:val="center"/>
          </w:tcPr>
          <w:p w14:paraId="63936384">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10F62A1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0935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5CADC599">
            <w:pPr>
              <w:pStyle w:val="17"/>
              <w:bidi w:val="0"/>
              <w:rPr>
                <w:color w:val="auto"/>
                <w:highlight w:val="none"/>
              </w:rPr>
            </w:pPr>
          </w:p>
        </w:tc>
        <w:tc>
          <w:tcPr>
            <w:tcW w:w="395" w:type="pct"/>
            <w:vMerge w:val="continue"/>
            <w:vAlign w:val="center"/>
          </w:tcPr>
          <w:p w14:paraId="589A05A2">
            <w:pPr>
              <w:pStyle w:val="17"/>
              <w:bidi w:val="0"/>
              <w:rPr>
                <w:rFonts w:hint="eastAsia"/>
                <w:color w:val="auto"/>
                <w:highlight w:val="none"/>
                <w:lang w:eastAsia="zh-CN"/>
              </w:rPr>
            </w:pPr>
          </w:p>
        </w:tc>
        <w:tc>
          <w:tcPr>
            <w:tcW w:w="1333" w:type="pct"/>
            <w:shd w:val="clear" w:color="auto" w:fill="auto"/>
            <w:vAlign w:val="center"/>
          </w:tcPr>
          <w:p w14:paraId="76F98DB8">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2026年3月1日-2日</w:t>
            </w:r>
          </w:p>
        </w:tc>
        <w:tc>
          <w:tcPr>
            <w:tcW w:w="674" w:type="pct"/>
            <w:vAlign w:val="center"/>
          </w:tcPr>
          <w:p w14:paraId="038BD177">
            <w:pPr>
              <w:pStyle w:val="17"/>
              <w:bidi w:val="0"/>
              <w:rPr>
                <w:rFonts w:hint="default"/>
                <w:color w:val="auto"/>
                <w:highlight w:val="none"/>
                <w:lang w:val="en-US" w:eastAsia="zh-CN"/>
              </w:rPr>
            </w:pPr>
            <w:r>
              <w:rPr>
                <w:rFonts w:hint="eastAsia"/>
                <w:color w:val="auto"/>
                <w:highlight w:val="none"/>
                <w:lang w:val="en-US" w:eastAsia="zh-CN"/>
              </w:rPr>
              <w:t>0.12</w:t>
            </w:r>
          </w:p>
        </w:tc>
        <w:tc>
          <w:tcPr>
            <w:tcW w:w="623" w:type="pct"/>
            <w:vMerge w:val="continue"/>
            <w:vAlign w:val="center"/>
          </w:tcPr>
          <w:p w14:paraId="1F2FDD96">
            <w:pPr>
              <w:pStyle w:val="17"/>
              <w:bidi w:val="0"/>
              <w:rPr>
                <w:rFonts w:hint="eastAsia"/>
                <w:color w:val="auto"/>
                <w:highlight w:val="none"/>
                <w:lang w:val="en-US" w:eastAsia="zh-CN"/>
              </w:rPr>
            </w:pPr>
          </w:p>
        </w:tc>
        <w:tc>
          <w:tcPr>
            <w:tcW w:w="638" w:type="pct"/>
            <w:vAlign w:val="center"/>
          </w:tcPr>
          <w:p w14:paraId="47E9D7EC">
            <w:pPr>
              <w:pStyle w:val="17"/>
              <w:bidi w:val="0"/>
              <w:rPr>
                <w:rFonts w:hint="default"/>
                <w:color w:val="auto"/>
                <w:highlight w:val="none"/>
                <w:lang w:val="en-US" w:eastAsia="zh-CN"/>
              </w:rPr>
            </w:pPr>
            <w:r>
              <w:rPr>
                <w:rFonts w:hint="eastAsia"/>
                <w:color w:val="auto"/>
                <w:highlight w:val="none"/>
                <w:lang w:val="en-US" w:eastAsia="zh-CN"/>
              </w:rPr>
              <w:t>4.0</w:t>
            </w:r>
          </w:p>
        </w:tc>
        <w:tc>
          <w:tcPr>
            <w:tcW w:w="473" w:type="pct"/>
            <w:vAlign w:val="center"/>
          </w:tcPr>
          <w:p w14:paraId="35AA0C55">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2039482F">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B4C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137FC363">
            <w:pPr>
              <w:pStyle w:val="17"/>
              <w:bidi w:val="0"/>
              <w:rPr>
                <w:color w:val="auto"/>
                <w:highlight w:val="none"/>
              </w:rPr>
            </w:pPr>
          </w:p>
        </w:tc>
        <w:tc>
          <w:tcPr>
            <w:tcW w:w="395" w:type="pct"/>
            <w:vMerge w:val="continue"/>
            <w:vAlign w:val="center"/>
          </w:tcPr>
          <w:p w14:paraId="5DB5E9F0">
            <w:pPr>
              <w:pStyle w:val="17"/>
              <w:bidi w:val="0"/>
              <w:rPr>
                <w:rFonts w:hint="eastAsia"/>
                <w:color w:val="auto"/>
                <w:highlight w:val="none"/>
                <w:lang w:eastAsia="zh-CN"/>
              </w:rPr>
            </w:pPr>
          </w:p>
        </w:tc>
        <w:tc>
          <w:tcPr>
            <w:tcW w:w="1333" w:type="pct"/>
            <w:shd w:val="clear" w:color="auto" w:fill="auto"/>
            <w:vAlign w:val="center"/>
          </w:tcPr>
          <w:p w14:paraId="41B8296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2026年3月2日-3日</w:t>
            </w:r>
          </w:p>
        </w:tc>
        <w:tc>
          <w:tcPr>
            <w:tcW w:w="674" w:type="pct"/>
            <w:vAlign w:val="center"/>
          </w:tcPr>
          <w:p w14:paraId="25B58E74">
            <w:pPr>
              <w:pStyle w:val="17"/>
              <w:bidi w:val="0"/>
              <w:rPr>
                <w:rFonts w:hint="default"/>
                <w:color w:val="auto"/>
                <w:highlight w:val="none"/>
                <w:lang w:val="en-US" w:eastAsia="zh-CN"/>
              </w:rPr>
            </w:pPr>
            <w:r>
              <w:rPr>
                <w:rFonts w:hint="eastAsia"/>
                <w:color w:val="auto"/>
                <w:highlight w:val="none"/>
                <w:lang w:val="en-US" w:eastAsia="zh-CN"/>
              </w:rPr>
              <w:t>0.13</w:t>
            </w:r>
          </w:p>
        </w:tc>
        <w:tc>
          <w:tcPr>
            <w:tcW w:w="623" w:type="pct"/>
            <w:vMerge w:val="continue"/>
            <w:vAlign w:val="center"/>
          </w:tcPr>
          <w:p w14:paraId="015669AB">
            <w:pPr>
              <w:pStyle w:val="17"/>
              <w:bidi w:val="0"/>
              <w:rPr>
                <w:rFonts w:hint="eastAsia"/>
                <w:color w:val="auto"/>
                <w:highlight w:val="none"/>
                <w:lang w:val="en-US" w:eastAsia="zh-CN"/>
              </w:rPr>
            </w:pPr>
          </w:p>
        </w:tc>
        <w:tc>
          <w:tcPr>
            <w:tcW w:w="638" w:type="pct"/>
            <w:vAlign w:val="center"/>
          </w:tcPr>
          <w:p w14:paraId="6B285125">
            <w:pPr>
              <w:pStyle w:val="17"/>
              <w:bidi w:val="0"/>
              <w:rPr>
                <w:rFonts w:hint="default"/>
                <w:color w:val="auto"/>
                <w:highlight w:val="none"/>
                <w:lang w:val="en-US" w:eastAsia="zh-CN"/>
              </w:rPr>
            </w:pPr>
            <w:r>
              <w:rPr>
                <w:rFonts w:hint="eastAsia"/>
                <w:color w:val="auto"/>
                <w:highlight w:val="none"/>
                <w:lang w:val="en-US" w:eastAsia="zh-CN"/>
              </w:rPr>
              <w:t>4.3</w:t>
            </w:r>
          </w:p>
        </w:tc>
        <w:tc>
          <w:tcPr>
            <w:tcW w:w="473" w:type="pct"/>
            <w:vAlign w:val="center"/>
          </w:tcPr>
          <w:p w14:paraId="34DAFC9E">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5D13336B">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997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63F1FEDB">
            <w:pPr>
              <w:pStyle w:val="17"/>
              <w:bidi w:val="0"/>
              <w:rPr>
                <w:color w:val="auto"/>
                <w:highlight w:val="none"/>
              </w:rPr>
            </w:pPr>
          </w:p>
        </w:tc>
        <w:tc>
          <w:tcPr>
            <w:tcW w:w="395" w:type="pct"/>
            <w:vMerge w:val="continue"/>
            <w:vAlign w:val="center"/>
          </w:tcPr>
          <w:p w14:paraId="5B6733ED">
            <w:pPr>
              <w:pStyle w:val="17"/>
              <w:bidi w:val="0"/>
              <w:rPr>
                <w:rFonts w:hint="eastAsia"/>
                <w:color w:val="auto"/>
                <w:highlight w:val="none"/>
                <w:lang w:eastAsia="zh-CN"/>
              </w:rPr>
            </w:pPr>
          </w:p>
        </w:tc>
        <w:tc>
          <w:tcPr>
            <w:tcW w:w="1333" w:type="pct"/>
            <w:shd w:val="clear" w:color="auto" w:fill="auto"/>
            <w:vAlign w:val="center"/>
          </w:tcPr>
          <w:p w14:paraId="0FFD27ED">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2026年3月3日-4日</w:t>
            </w:r>
          </w:p>
        </w:tc>
        <w:tc>
          <w:tcPr>
            <w:tcW w:w="674" w:type="pct"/>
            <w:vAlign w:val="center"/>
          </w:tcPr>
          <w:p w14:paraId="1867D324">
            <w:pPr>
              <w:pStyle w:val="17"/>
              <w:bidi w:val="0"/>
              <w:rPr>
                <w:rFonts w:hint="default"/>
                <w:color w:val="auto"/>
                <w:highlight w:val="none"/>
                <w:lang w:val="en-US" w:eastAsia="zh-CN"/>
              </w:rPr>
            </w:pPr>
            <w:r>
              <w:rPr>
                <w:rFonts w:hint="eastAsia"/>
                <w:color w:val="auto"/>
                <w:highlight w:val="none"/>
                <w:lang w:val="en-US" w:eastAsia="zh-CN"/>
              </w:rPr>
              <w:t>0.13</w:t>
            </w:r>
          </w:p>
        </w:tc>
        <w:tc>
          <w:tcPr>
            <w:tcW w:w="623" w:type="pct"/>
            <w:vMerge w:val="continue"/>
            <w:vAlign w:val="center"/>
          </w:tcPr>
          <w:p w14:paraId="34B65E16">
            <w:pPr>
              <w:pStyle w:val="17"/>
              <w:bidi w:val="0"/>
              <w:rPr>
                <w:rFonts w:hint="eastAsia"/>
                <w:color w:val="auto"/>
                <w:highlight w:val="none"/>
                <w:lang w:val="en-US" w:eastAsia="zh-CN"/>
              </w:rPr>
            </w:pPr>
          </w:p>
        </w:tc>
        <w:tc>
          <w:tcPr>
            <w:tcW w:w="638" w:type="pct"/>
            <w:vAlign w:val="center"/>
          </w:tcPr>
          <w:p w14:paraId="4C5A4465">
            <w:pPr>
              <w:pStyle w:val="17"/>
              <w:bidi w:val="0"/>
              <w:rPr>
                <w:rFonts w:hint="default"/>
                <w:color w:val="auto"/>
                <w:highlight w:val="none"/>
                <w:lang w:val="en-US" w:eastAsia="zh-CN"/>
              </w:rPr>
            </w:pPr>
            <w:r>
              <w:rPr>
                <w:rFonts w:hint="eastAsia"/>
                <w:color w:val="auto"/>
                <w:highlight w:val="none"/>
                <w:lang w:val="en-US" w:eastAsia="zh-CN"/>
              </w:rPr>
              <w:t>4.3</w:t>
            </w:r>
          </w:p>
        </w:tc>
        <w:tc>
          <w:tcPr>
            <w:tcW w:w="473" w:type="pct"/>
            <w:vAlign w:val="center"/>
          </w:tcPr>
          <w:p w14:paraId="2DEF83B1">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7592E759">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6FA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7A6A7EB3">
            <w:pPr>
              <w:pStyle w:val="17"/>
              <w:bidi w:val="0"/>
              <w:rPr>
                <w:color w:val="auto"/>
                <w:highlight w:val="none"/>
              </w:rPr>
            </w:pPr>
          </w:p>
        </w:tc>
        <w:tc>
          <w:tcPr>
            <w:tcW w:w="395" w:type="pct"/>
            <w:vMerge w:val="continue"/>
            <w:vAlign w:val="center"/>
          </w:tcPr>
          <w:p w14:paraId="3CC2FF74">
            <w:pPr>
              <w:pStyle w:val="17"/>
              <w:bidi w:val="0"/>
              <w:rPr>
                <w:rFonts w:hint="eastAsia"/>
                <w:color w:val="auto"/>
                <w:highlight w:val="none"/>
                <w:lang w:eastAsia="zh-CN"/>
              </w:rPr>
            </w:pPr>
          </w:p>
        </w:tc>
        <w:tc>
          <w:tcPr>
            <w:tcW w:w="1333" w:type="pct"/>
            <w:shd w:val="clear" w:color="auto" w:fill="auto"/>
            <w:vAlign w:val="center"/>
          </w:tcPr>
          <w:p w14:paraId="336D537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2026年3月4日-5日</w:t>
            </w:r>
          </w:p>
        </w:tc>
        <w:tc>
          <w:tcPr>
            <w:tcW w:w="674" w:type="pct"/>
            <w:vAlign w:val="center"/>
          </w:tcPr>
          <w:p w14:paraId="31F9B456">
            <w:pPr>
              <w:pStyle w:val="17"/>
              <w:bidi w:val="0"/>
              <w:rPr>
                <w:rFonts w:hint="default"/>
                <w:color w:val="auto"/>
                <w:highlight w:val="none"/>
                <w:lang w:val="en-US" w:eastAsia="zh-CN"/>
              </w:rPr>
            </w:pPr>
            <w:r>
              <w:rPr>
                <w:rFonts w:hint="eastAsia"/>
                <w:color w:val="auto"/>
                <w:highlight w:val="none"/>
                <w:lang w:val="en-US" w:eastAsia="zh-CN"/>
              </w:rPr>
              <w:t>0.12</w:t>
            </w:r>
          </w:p>
        </w:tc>
        <w:tc>
          <w:tcPr>
            <w:tcW w:w="623" w:type="pct"/>
            <w:vMerge w:val="continue"/>
            <w:vAlign w:val="center"/>
          </w:tcPr>
          <w:p w14:paraId="7667BB32">
            <w:pPr>
              <w:pStyle w:val="17"/>
              <w:bidi w:val="0"/>
              <w:rPr>
                <w:rFonts w:hint="eastAsia"/>
                <w:color w:val="auto"/>
                <w:highlight w:val="none"/>
                <w:lang w:val="en-US" w:eastAsia="zh-CN"/>
              </w:rPr>
            </w:pPr>
          </w:p>
        </w:tc>
        <w:tc>
          <w:tcPr>
            <w:tcW w:w="638" w:type="pct"/>
            <w:vAlign w:val="center"/>
          </w:tcPr>
          <w:p w14:paraId="3CA24663">
            <w:pPr>
              <w:pStyle w:val="17"/>
              <w:bidi w:val="0"/>
              <w:rPr>
                <w:rFonts w:hint="default"/>
                <w:color w:val="auto"/>
                <w:highlight w:val="none"/>
                <w:lang w:val="en-US" w:eastAsia="zh-CN"/>
              </w:rPr>
            </w:pPr>
            <w:r>
              <w:rPr>
                <w:rFonts w:hint="eastAsia"/>
                <w:color w:val="auto"/>
                <w:highlight w:val="none"/>
                <w:lang w:val="en-US" w:eastAsia="zh-CN"/>
              </w:rPr>
              <w:t>4.0</w:t>
            </w:r>
          </w:p>
        </w:tc>
        <w:tc>
          <w:tcPr>
            <w:tcW w:w="473" w:type="pct"/>
            <w:vAlign w:val="center"/>
          </w:tcPr>
          <w:p w14:paraId="4BF18733">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425BEA52">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01D9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24E20432">
            <w:pPr>
              <w:pStyle w:val="17"/>
              <w:bidi w:val="0"/>
              <w:rPr>
                <w:color w:val="auto"/>
                <w:highlight w:val="none"/>
              </w:rPr>
            </w:pPr>
          </w:p>
        </w:tc>
        <w:tc>
          <w:tcPr>
            <w:tcW w:w="395" w:type="pct"/>
            <w:vMerge w:val="continue"/>
            <w:vAlign w:val="center"/>
          </w:tcPr>
          <w:p w14:paraId="2014DF5A">
            <w:pPr>
              <w:pStyle w:val="17"/>
              <w:bidi w:val="0"/>
              <w:rPr>
                <w:rFonts w:hint="eastAsia"/>
                <w:color w:val="auto"/>
                <w:highlight w:val="none"/>
                <w:lang w:eastAsia="zh-CN"/>
              </w:rPr>
            </w:pPr>
          </w:p>
        </w:tc>
        <w:tc>
          <w:tcPr>
            <w:tcW w:w="1333" w:type="pct"/>
            <w:shd w:val="clear" w:color="auto" w:fill="auto"/>
            <w:vAlign w:val="center"/>
          </w:tcPr>
          <w:p w14:paraId="1A13555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2026年3月5日-6日</w:t>
            </w:r>
          </w:p>
        </w:tc>
        <w:tc>
          <w:tcPr>
            <w:tcW w:w="674" w:type="pct"/>
            <w:vAlign w:val="center"/>
          </w:tcPr>
          <w:p w14:paraId="5DBA5254">
            <w:pPr>
              <w:pStyle w:val="17"/>
              <w:bidi w:val="0"/>
              <w:rPr>
                <w:rFonts w:hint="default"/>
                <w:color w:val="auto"/>
                <w:highlight w:val="none"/>
                <w:lang w:val="en-US" w:eastAsia="zh-CN"/>
              </w:rPr>
            </w:pPr>
            <w:r>
              <w:rPr>
                <w:rFonts w:hint="eastAsia"/>
                <w:color w:val="auto"/>
                <w:highlight w:val="none"/>
                <w:lang w:val="en-US" w:eastAsia="zh-CN"/>
              </w:rPr>
              <w:t>0.13</w:t>
            </w:r>
          </w:p>
        </w:tc>
        <w:tc>
          <w:tcPr>
            <w:tcW w:w="623" w:type="pct"/>
            <w:vMerge w:val="continue"/>
            <w:vAlign w:val="center"/>
          </w:tcPr>
          <w:p w14:paraId="47742632">
            <w:pPr>
              <w:pStyle w:val="17"/>
              <w:bidi w:val="0"/>
              <w:rPr>
                <w:rFonts w:hint="eastAsia"/>
                <w:color w:val="auto"/>
                <w:highlight w:val="none"/>
                <w:lang w:val="en-US" w:eastAsia="zh-CN"/>
              </w:rPr>
            </w:pPr>
          </w:p>
        </w:tc>
        <w:tc>
          <w:tcPr>
            <w:tcW w:w="638" w:type="pct"/>
            <w:vAlign w:val="center"/>
          </w:tcPr>
          <w:p w14:paraId="6878121F">
            <w:pPr>
              <w:pStyle w:val="17"/>
              <w:bidi w:val="0"/>
              <w:rPr>
                <w:rFonts w:hint="default"/>
                <w:color w:val="auto"/>
                <w:highlight w:val="none"/>
                <w:lang w:val="en-US" w:eastAsia="zh-CN"/>
              </w:rPr>
            </w:pPr>
            <w:r>
              <w:rPr>
                <w:rFonts w:hint="eastAsia"/>
                <w:color w:val="auto"/>
                <w:highlight w:val="none"/>
                <w:lang w:val="en-US" w:eastAsia="zh-CN"/>
              </w:rPr>
              <w:t>4.3</w:t>
            </w:r>
          </w:p>
        </w:tc>
        <w:tc>
          <w:tcPr>
            <w:tcW w:w="473" w:type="pct"/>
            <w:vAlign w:val="center"/>
          </w:tcPr>
          <w:p w14:paraId="3098352C">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480C0BDC">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5DA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restart"/>
            <w:vAlign w:val="center"/>
          </w:tcPr>
          <w:p w14:paraId="13C3D584">
            <w:pPr>
              <w:pStyle w:val="17"/>
              <w:bidi w:val="0"/>
              <w:rPr>
                <w:rFonts w:hint="default" w:eastAsia="宋体"/>
                <w:color w:val="auto"/>
                <w:highlight w:val="none"/>
                <w:lang w:val="en-US" w:eastAsia="zh-CN"/>
              </w:rPr>
            </w:pPr>
            <w:r>
              <w:rPr>
                <w:rFonts w:hint="eastAsia"/>
                <w:color w:val="auto"/>
                <w:highlight w:val="none"/>
                <w:lang w:val="en-US" w:eastAsia="zh-CN"/>
              </w:rPr>
              <w:t>W2</w:t>
            </w:r>
          </w:p>
        </w:tc>
        <w:tc>
          <w:tcPr>
            <w:tcW w:w="395" w:type="pct"/>
            <w:vMerge w:val="restart"/>
            <w:vAlign w:val="center"/>
          </w:tcPr>
          <w:p w14:paraId="07AE1CA8">
            <w:pPr>
              <w:pStyle w:val="17"/>
              <w:bidi w:val="0"/>
              <w:ind w:firstLine="0" w:firstLineChars="0"/>
              <w:rPr>
                <w:rFonts w:hint="eastAsia"/>
                <w:color w:val="auto"/>
                <w:highlight w:val="none"/>
                <w:lang w:eastAsia="zh-CN"/>
              </w:rPr>
            </w:pPr>
            <w:r>
              <w:rPr>
                <w:color w:val="auto"/>
                <w:highlight w:val="none"/>
              </w:rPr>
              <w:t>TSP</w:t>
            </w:r>
          </w:p>
        </w:tc>
        <w:tc>
          <w:tcPr>
            <w:tcW w:w="1333" w:type="pct"/>
            <w:shd w:val="clear" w:color="auto" w:fill="auto"/>
            <w:vAlign w:val="center"/>
          </w:tcPr>
          <w:p w14:paraId="44758683">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2026年2月27日-28日</w:t>
            </w:r>
          </w:p>
        </w:tc>
        <w:tc>
          <w:tcPr>
            <w:tcW w:w="674" w:type="pct"/>
            <w:shd w:val="clear" w:color="auto" w:fill="auto"/>
            <w:vAlign w:val="center"/>
          </w:tcPr>
          <w:p w14:paraId="152B9B7F">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221</w:t>
            </w:r>
          </w:p>
        </w:tc>
        <w:tc>
          <w:tcPr>
            <w:tcW w:w="623" w:type="pct"/>
            <w:vMerge w:val="restart"/>
            <w:vAlign w:val="center"/>
          </w:tcPr>
          <w:p w14:paraId="39264B83">
            <w:pPr>
              <w:pStyle w:val="17"/>
              <w:bidi w:val="0"/>
              <w:rPr>
                <w:rFonts w:hint="default"/>
                <w:color w:val="auto"/>
                <w:highlight w:val="none"/>
                <w:lang w:val="en-US" w:eastAsia="zh-CN"/>
              </w:rPr>
            </w:pPr>
            <w:r>
              <w:rPr>
                <w:rFonts w:hint="eastAsia"/>
                <w:color w:val="auto"/>
                <w:highlight w:val="none"/>
                <w:lang w:val="en-US" w:eastAsia="zh-CN"/>
              </w:rPr>
              <w:t>300</w:t>
            </w:r>
          </w:p>
        </w:tc>
        <w:tc>
          <w:tcPr>
            <w:tcW w:w="638" w:type="pct"/>
            <w:vAlign w:val="center"/>
          </w:tcPr>
          <w:p w14:paraId="3C667A1D">
            <w:pPr>
              <w:pStyle w:val="17"/>
              <w:bidi w:val="0"/>
              <w:rPr>
                <w:rFonts w:hint="default"/>
                <w:color w:val="auto"/>
                <w:highlight w:val="none"/>
                <w:lang w:val="en-US" w:eastAsia="zh-CN"/>
              </w:rPr>
            </w:pPr>
            <w:r>
              <w:rPr>
                <w:rFonts w:hint="eastAsia"/>
                <w:color w:val="auto"/>
                <w:highlight w:val="none"/>
                <w:lang w:val="en-US" w:eastAsia="zh-CN"/>
              </w:rPr>
              <w:t>73.7</w:t>
            </w:r>
          </w:p>
        </w:tc>
        <w:tc>
          <w:tcPr>
            <w:tcW w:w="473" w:type="pct"/>
            <w:vAlign w:val="center"/>
          </w:tcPr>
          <w:p w14:paraId="482D0B75">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2BC2827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3097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17311F20">
            <w:pPr>
              <w:pStyle w:val="17"/>
              <w:bidi w:val="0"/>
              <w:rPr>
                <w:color w:val="auto"/>
                <w:highlight w:val="none"/>
              </w:rPr>
            </w:pPr>
          </w:p>
        </w:tc>
        <w:tc>
          <w:tcPr>
            <w:tcW w:w="395" w:type="pct"/>
            <w:vMerge w:val="continue"/>
            <w:vAlign w:val="center"/>
          </w:tcPr>
          <w:p w14:paraId="24629BE7">
            <w:pPr>
              <w:pStyle w:val="17"/>
              <w:bidi w:val="0"/>
              <w:rPr>
                <w:rFonts w:hint="eastAsia"/>
                <w:color w:val="auto"/>
                <w:highlight w:val="none"/>
                <w:lang w:eastAsia="zh-CN"/>
              </w:rPr>
            </w:pPr>
          </w:p>
        </w:tc>
        <w:tc>
          <w:tcPr>
            <w:tcW w:w="1333" w:type="pct"/>
            <w:shd w:val="clear" w:color="auto" w:fill="auto"/>
            <w:vAlign w:val="center"/>
          </w:tcPr>
          <w:p w14:paraId="00AAE7F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2026年2月28日-1日</w:t>
            </w:r>
          </w:p>
        </w:tc>
        <w:tc>
          <w:tcPr>
            <w:tcW w:w="674" w:type="pct"/>
            <w:shd w:val="clear" w:color="auto" w:fill="auto"/>
            <w:vAlign w:val="center"/>
          </w:tcPr>
          <w:p w14:paraId="61713C2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236</w:t>
            </w:r>
          </w:p>
        </w:tc>
        <w:tc>
          <w:tcPr>
            <w:tcW w:w="623" w:type="pct"/>
            <w:vMerge w:val="continue"/>
            <w:vAlign w:val="center"/>
          </w:tcPr>
          <w:p w14:paraId="17FCD62A">
            <w:pPr>
              <w:pStyle w:val="17"/>
              <w:bidi w:val="0"/>
              <w:rPr>
                <w:rFonts w:hint="eastAsia"/>
                <w:color w:val="auto"/>
                <w:highlight w:val="none"/>
                <w:lang w:val="en-US" w:eastAsia="zh-CN"/>
              </w:rPr>
            </w:pPr>
          </w:p>
        </w:tc>
        <w:tc>
          <w:tcPr>
            <w:tcW w:w="638" w:type="pct"/>
            <w:vAlign w:val="center"/>
          </w:tcPr>
          <w:p w14:paraId="4258745B">
            <w:pPr>
              <w:pStyle w:val="17"/>
              <w:bidi w:val="0"/>
              <w:rPr>
                <w:rFonts w:hint="default"/>
                <w:color w:val="auto"/>
                <w:highlight w:val="none"/>
                <w:lang w:val="en-US" w:eastAsia="zh-CN"/>
              </w:rPr>
            </w:pPr>
            <w:r>
              <w:rPr>
                <w:rFonts w:hint="eastAsia"/>
                <w:color w:val="auto"/>
                <w:highlight w:val="none"/>
                <w:lang w:val="en-US" w:eastAsia="zh-CN"/>
              </w:rPr>
              <w:t>77.7</w:t>
            </w:r>
          </w:p>
        </w:tc>
        <w:tc>
          <w:tcPr>
            <w:tcW w:w="473" w:type="pct"/>
            <w:vAlign w:val="center"/>
          </w:tcPr>
          <w:p w14:paraId="7AC3EF58">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37FF6CAE">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B5B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7" w:type="pct"/>
            <w:vMerge w:val="continue"/>
            <w:vAlign w:val="center"/>
          </w:tcPr>
          <w:p w14:paraId="179A57A5">
            <w:pPr>
              <w:pStyle w:val="17"/>
              <w:bidi w:val="0"/>
              <w:rPr>
                <w:color w:val="auto"/>
                <w:highlight w:val="none"/>
              </w:rPr>
            </w:pPr>
          </w:p>
        </w:tc>
        <w:tc>
          <w:tcPr>
            <w:tcW w:w="395" w:type="pct"/>
            <w:vMerge w:val="continue"/>
            <w:vAlign w:val="center"/>
          </w:tcPr>
          <w:p w14:paraId="12D3E658">
            <w:pPr>
              <w:pStyle w:val="17"/>
              <w:bidi w:val="0"/>
              <w:rPr>
                <w:rFonts w:hint="eastAsia"/>
                <w:color w:val="auto"/>
                <w:highlight w:val="none"/>
                <w:lang w:eastAsia="zh-CN"/>
              </w:rPr>
            </w:pPr>
          </w:p>
        </w:tc>
        <w:tc>
          <w:tcPr>
            <w:tcW w:w="1333" w:type="pct"/>
            <w:shd w:val="clear" w:color="auto" w:fill="auto"/>
            <w:vAlign w:val="center"/>
          </w:tcPr>
          <w:p w14:paraId="45C019A5">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2026年3月1日-2日</w:t>
            </w:r>
          </w:p>
        </w:tc>
        <w:tc>
          <w:tcPr>
            <w:tcW w:w="674" w:type="pct"/>
            <w:shd w:val="clear" w:color="auto" w:fill="auto"/>
            <w:vAlign w:val="center"/>
          </w:tcPr>
          <w:p w14:paraId="7E6B2E1E">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249</w:t>
            </w:r>
          </w:p>
        </w:tc>
        <w:tc>
          <w:tcPr>
            <w:tcW w:w="623" w:type="pct"/>
            <w:vMerge w:val="continue"/>
            <w:vAlign w:val="center"/>
          </w:tcPr>
          <w:p w14:paraId="3B543A41">
            <w:pPr>
              <w:pStyle w:val="17"/>
              <w:bidi w:val="0"/>
              <w:rPr>
                <w:rFonts w:hint="eastAsia"/>
                <w:color w:val="auto"/>
                <w:highlight w:val="none"/>
                <w:lang w:val="en-US" w:eastAsia="zh-CN"/>
              </w:rPr>
            </w:pPr>
          </w:p>
        </w:tc>
        <w:tc>
          <w:tcPr>
            <w:tcW w:w="638" w:type="pct"/>
            <w:vAlign w:val="center"/>
          </w:tcPr>
          <w:p w14:paraId="0D950173">
            <w:pPr>
              <w:pStyle w:val="17"/>
              <w:bidi w:val="0"/>
              <w:rPr>
                <w:rFonts w:hint="default"/>
                <w:color w:val="auto"/>
                <w:highlight w:val="none"/>
                <w:lang w:val="en-US" w:eastAsia="zh-CN"/>
              </w:rPr>
            </w:pPr>
            <w:r>
              <w:rPr>
                <w:rFonts w:hint="eastAsia"/>
                <w:color w:val="auto"/>
                <w:highlight w:val="none"/>
                <w:lang w:val="en-US" w:eastAsia="zh-CN"/>
              </w:rPr>
              <w:t>83.0</w:t>
            </w:r>
          </w:p>
        </w:tc>
        <w:tc>
          <w:tcPr>
            <w:tcW w:w="473" w:type="pct"/>
            <w:vAlign w:val="center"/>
          </w:tcPr>
          <w:p w14:paraId="37B33B58">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5C4F964B">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3A46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685C490B">
            <w:pPr>
              <w:pStyle w:val="17"/>
              <w:bidi w:val="0"/>
              <w:rPr>
                <w:color w:val="auto"/>
                <w:highlight w:val="none"/>
              </w:rPr>
            </w:pPr>
          </w:p>
        </w:tc>
        <w:tc>
          <w:tcPr>
            <w:tcW w:w="395" w:type="pct"/>
            <w:vMerge w:val="continue"/>
            <w:vAlign w:val="center"/>
          </w:tcPr>
          <w:p w14:paraId="13888732">
            <w:pPr>
              <w:pStyle w:val="17"/>
              <w:bidi w:val="0"/>
              <w:rPr>
                <w:rFonts w:hint="eastAsia"/>
                <w:color w:val="auto"/>
                <w:highlight w:val="none"/>
                <w:lang w:eastAsia="zh-CN"/>
              </w:rPr>
            </w:pPr>
          </w:p>
        </w:tc>
        <w:tc>
          <w:tcPr>
            <w:tcW w:w="1333" w:type="pct"/>
            <w:shd w:val="clear" w:color="auto" w:fill="auto"/>
            <w:vAlign w:val="center"/>
          </w:tcPr>
          <w:p w14:paraId="05FB0AE6">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2026年3月2日-3日</w:t>
            </w:r>
          </w:p>
        </w:tc>
        <w:tc>
          <w:tcPr>
            <w:tcW w:w="674" w:type="pct"/>
            <w:shd w:val="clear" w:color="auto" w:fill="auto"/>
            <w:vAlign w:val="center"/>
          </w:tcPr>
          <w:p w14:paraId="33E1F94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230</w:t>
            </w:r>
          </w:p>
        </w:tc>
        <w:tc>
          <w:tcPr>
            <w:tcW w:w="623" w:type="pct"/>
            <w:vMerge w:val="continue"/>
            <w:vAlign w:val="center"/>
          </w:tcPr>
          <w:p w14:paraId="5B6C0DC3">
            <w:pPr>
              <w:pStyle w:val="17"/>
              <w:bidi w:val="0"/>
              <w:rPr>
                <w:rFonts w:hint="eastAsia"/>
                <w:color w:val="auto"/>
                <w:highlight w:val="none"/>
                <w:lang w:val="en-US" w:eastAsia="zh-CN"/>
              </w:rPr>
            </w:pPr>
          </w:p>
        </w:tc>
        <w:tc>
          <w:tcPr>
            <w:tcW w:w="638" w:type="pct"/>
            <w:vAlign w:val="center"/>
          </w:tcPr>
          <w:p w14:paraId="29AA01F4">
            <w:pPr>
              <w:pStyle w:val="17"/>
              <w:bidi w:val="0"/>
              <w:rPr>
                <w:rFonts w:hint="default"/>
                <w:color w:val="auto"/>
                <w:highlight w:val="none"/>
                <w:lang w:val="en-US" w:eastAsia="zh-CN"/>
              </w:rPr>
            </w:pPr>
            <w:r>
              <w:rPr>
                <w:rFonts w:hint="eastAsia"/>
                <w:color w:val="auto"/>
                <w:highlight w:val="none"/>
                <w:lang w:val="en-US" w:eastAsia="zh-CN"/>
              </w:rPr>
              <w:t>76.7</w:t>
            </w:r>
          </w:p>
        </w:tc>
        <w:tc>
          <w:tcPr>
            <w:tcW w:w="473" w:type="pct"/>
            <w:vAlign w:val="center"/>
          </w:tcPr>
          <w:p w14:paraId="1D21FD80">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52A276D2">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C14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6F917939">
            <w:pPr>
              <w:pStyle w:val="17"/>
              <w:bidi w:val="0"/>
              <w:rPr>
                <w:color w:val="auto"/>
                <w:highlight w:val="none"/>
              </w:rPr>
            </w:pPr>
          </w:p>
        </w:tc>
        <w:tc>
          <w:tcPr>
            <w:tcW w:w="395" w:type="pct"/>
            <w:vMerge w:val="continue"/>
            <w:vAlign w:val="center"/>
          </w:tcPr>
          <w:p w14:paraId="1081012D">
            <w:pPr>
              <w:pStyle w:val="17"/>
              <w:bidi w:val="0"/>
              <w:rPr>
                <w:rFonts w:hint="eastAsia"/>
                <w:color w:val="auto"/>
                <w:highlight w:val="none"/>
                <w:lang w:eastAsia="zh-CN"/>
              </w:rPr>
            </w:pPr>
          </w:p>
        </w:tc>
        <w:tc>
          <w:tcPr>
            <w:tcW w:w="1333" w:type="pct"/>
            <w:shd w:val="clear" w:color="auto" w:fill="auto"/>
            <w:vAlign w:val="center"/>
          </w:tcPr>
          <w:p w14:paraId="6D1C7CFE">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2026年3月3日-4日</w:t>
            </w:r>
          </w:p>
        </w:tc>
        <w:tc>
          <w:tcPr>
            <w:tcW w:w="674" w:type="pct"/>
            <w:shd w:val="clear" w:color="auto" w:fill="auto"/>
            <w:vAlign w:val="center"/>
          </w:tcPr>
          <w:p w14:paraId="3ED05164">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233</w:t>
            </w:r>
          </w:p>
        </w:tc>
        <w:tc>
          <w:tcPr>
            <w:tcW w:w="623" w:type="pct"/>
            <w:vMerge w:val="continue"/>
            <w:vAlign w:val="center"/>
          </w:tcPr>
          <w:p w14:paraId="19E22EFC">
            <w:pPr>
              <w:pStyle w:val="17"/>
              <w:bidi w:val="0"/>
              <w:rPr>
                <w:rFonts w:hint="eastAsia"/>
                <w:color w:val="auto"/>
                <w:highlight w:val="none"/>
                <w:lang w:val="en-US" w:eastAsia="zh-CN"/>
              </w:rPr>
            </w:pPr>
          </w:p>
        </w:tc>
        <w:tc>
          <w:tcPr>
            <w:tcW w:w="638" w:type="pct"/>
            <w:vAlign w:val="center"/>
          </w:tcPr>
          <w:p w14:paraId="0C508F44">
            <w:pPr>
              <w:pStyle w:val="17"/>
              <w:bidi w:val="0"/>
              <w:rPr>
                <w:rFonts w:hint="default"/>
                <w:color w:val="auto"/>
                <w:highlight w:val="none"/>
                <w:lang w:val="en-US" w:eastAsia="zh-CN"/>
              </w:rPr>
            </w:pPr>
            <w:r>
              <w:rPr>
                <w:rFonts w:hint="eastAsia"/>
                <w:color w:val="auto"/>
                <w:highlight w:val="none"/>
                <w:lang w:val="en-US" w:eastAsia="zh-CN"/>
              </w:rPr>
              <w:t>77.7</w:t>
            </w:r>
          </w:p>
        </w:tc>
        <w:tc>
          <w:tcPr>
            <w:tcW w:w="473" w:type="pct"/>
            <w:vAlign w:val="center"/>
          </w:tcPr>
          <w:p w14:paraId="6FEC3562">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026048C4">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902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7BCBF420">
            <w:pPr>
              <w:pStyle w:val="17"/>
              <w:bidi w:val="0"/>
              <w:rPr>
                <w:color w:val="auto"/>
                <w:highlight w:val="none"/>
              </w:rPr>
            </w:pPr>
          </w:p>
        </w:tc>
        <w:tc>
          <w:tcPr>
            <w:tcW w:w="395" w:type="pct"/>
            <w:vMerge w:val="continue"/>
            <w:vAlign w:val="center"/>
          </w:tcPr>
          <w:p w14:paraId="636A1B10">
            <w:pPr>
              <w:pStyle w:val="17"/>
              <w:bidi w:val="0"/>
              <w:rPr>
                <w:rFonts w:hint="eastAsia"/>
                <w:color w:val="auto"/>
                <w:highlight w:val="none"/>
                <w:lang w:eastAsia="zh-CN"/>
              </w:rPr>
            </w:pPr>
          </w:p>
        </w:tc>
        <w:tc>
          <w:tcPr>
            <w:tcW w:w="1333" w:type="pct"/>
            <w:shd w:val="clear" w:color="auto" w:fill="auto"/>
            <w:vAlign w:val="center"/>
          </w:tcPr>
          <w:p w14:paraId="30264382">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2026年3月4日-5日</w:t>
            </w:r>
          </w:p>
        </w:tc>
        <w:tc>
          <w:tcPr>
            <w:tcW w:w="674" w:type="pct"/>
            <w:shd w:val="clear" w:color="auto" w:fill="auto"/>
            <w:vAlign w:val="center"/>
          </w:tcPr>
          <w:p w14:paraId="6B190354">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248</w:t>
            </w:r>
          </w:p>
        </w:tc>
        <w:tc>
          <w:tcPr>
            <w:tcW w:w="623" w:type="pct"/>
            <w:vMerge w:val="continue"/>
            <w:vAlign w:val="center"/>
          </w:tcPr>
          <w:p w14:paraId="5466A203">
            <w:pPr>
              <w:pStyle w:val="17"/>
              <w:bidi w:val="0"/>
              <w:rPr>
                <w:rFonts w:hint="eastAsia"/>
                <w:color w:val="auto"/>
                <w:highlight w:val="none"/>
                <w:lang w:val="en-US" w:eastAsia="zh-CN"/>
              </w:rPr>
            </w:pPr>
          </w:p>
        </w:tc>
        <w:tc>
          <w:tcPr>
            <w:tcW w:w="638" w:type="pct"/>
            <w:vAlign w:val="center"/>
          </w:tcPr>
          <w:p w14:paraId="46DE4EA7">
            <w:pPr>
              <w:pStyle w:val="17"/>
              <w:bidi w:val="0"/>
              <w:rPr>
                <w:rFonts w:hint="default"/>
                <w:color w:val="auto"/>
                <w:highlight w:val="none"/>
                <w:lang w:val="en-US" w:eastAsia="zh-CN"/>
              </w:rPr>
            </w:pPr>
            <w:r>
              <w:rPr>
                <w:rFonts w:hint="eastAsia"/>
                <w:color w:val="auto"/>
                <w:highlight w:val="none"/>
                <w:lang w:val="en-US" w:eastAsia="zh-CN"/>
              </w:rPr>
              <w:t>82.7</w:t>
            </w:r>
          </w:p>
        </w:tc>
        <w:tc>
          <w:tcPr>
            <w:tcW w:w="473" w:type="pct"/>
            <w:vAlign w:val="center"/>
          </w:tcPr>
          <w:p w14:paraId="12FFB3CE">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00ABB52F">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51DC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21DC4DDB">
            <w:pPr>
              <w:pStyle w:val="17"/>
              <w:bidi w:val="0"/>
              <w:rPr>
                <w:color w:val="auto"/>
                <w:highlight w:val="none"/>
              </w:rPr>
            </w:pPr>
          </w:p>
        </w:tc>
        <w:tc>
          <w:tcPr>
            <w:tcW w:w="395" w:type="pct"/>
            <w:vMerge w:val="continue"/>
            <w:vAlign w:val="center"/>
          </w:tcPr>
          <w:p w14:paraId="0446E6C3">
            <w:pPr>
              <w:pStyle w:val="17"/>
              <w:bidi w:val="0"/>
              <w:rPr>
                <w:rFonts w:hint="eastAsia"/>
                <w:color w:val="auto"/>
                <w:highlight w:val="none"/>
                <w:lang w:eastAsia="zh-CN"/>
              </w:rPr>
            </w:pPr>
          </w:p>
        </w:tc>
        <w:tc>
          <w:tcPr>
            <w:tcW w:w="1333" w:type="pct"/>
            <w:shd w:val="clear" w:color="auto" w:fill="auto"/>
            <w:vAlign w:val="center"/>
          </w:tcPr>
          <w:p w14:paraId="7A477F92">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2026年3月5日-6日</w:t>
            </w:r>
          </w:p>
        </w:tc>
        <w:tc>
          <w:tcPr>
            <w:tcW w:w="674" w:type="pct"/>
            <w:shd w:val="clear" w:color="auto" w:fill="auto"/>
            <w:vAlign w:val="center"/>
          </w:tcPr>
          <w:p w14:paraId="5751E11D">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227</w:t>
            </w:r>
          </w:p>
        </w:tc>
        <w:tc>
          <w:tcPr>
            <w:tcW w:w="623" w:type="pct"/>
            <w:vMerge w:val="continue"/>
            <w:vAlign w:val="center"/>
          </w:tcPr>
          <w:p w14:paraId="7E7CE0E2">
            <w:pPr>
              <w:pStyle w:val="17"/>
              <w:bidi w:val="0"/>
              <w:rPr>
                <w:rFonts w:hint="eastAsia"/>
                <w:color w:val="auto"/>
                <w:highlight w:val="none"/>
                <w:lang w:val="en-US" w:eastAsia="zh-CN"/>
              </w:rPr>
            </w:pPr>
          </w:p>
        </w:tc>
        <w:tc>
          <w:tcPr>
            <w:tcW w:w="638" w:type="pct"/>
            <w:vAlign w:val="center"/>
          </w:tcPr>
          <w:p w14:paraId="2EC69F85">
            <w:pPr>
              <w:pStyle w:val="17"/>
              <w:bidi w:val="0"/>
              <w:rPr>
                <w:rFonts w:hint="default"/>
                <w:color w:val="auto"/>
                <w:highlight w:val="none"/>
                <w:lang w:val="en-US" w:eastAsia="zh-CN"/>
              </w:rPr>
            </w:pPr>
            <w:r>
              <w:rPr>
                <w:rFonts w:hint="eastAsia"/>
                <w:color w:val="auto"/>
                <w:highlight w:val="none"/>
                <w:lang w:val="en-US" w:eastAsia="zh-CN"/>
              </w:rPr>
              <w:t>75.7</w:t>
            </w:r>
          </w:p>
        </w:tc>
        <w:tc>
          <w:tcPr>
            <w:tcW w:w="473" w:type="pct"/>
            <w:vAlign w:val="center"/>
          </w:tcPr>
          <w:p w14:paraId="3DDEF2DF">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21BF555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B26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46A3F644">
            <w:pPr>
              <w:pStyle w:val="17"/>
              <w:bidi w:val="0"/>
              <w:rPr>
                <w:color w:val="auto"/>
                <w:highlight w:val="none"/>
              </w:rPr>
            </w:pPr>
          </w:p>
        </w:tc>
        <w:tc>
          <w:tcPr>
            <w:tcW w:w="395" w:type="pct"/>
            <w:vMerge w:val="restart"/>
            <w:vAlign w:val="center"/>
          </w:tcPr>
          <w:p w14:paraId="66091154">
            <w:pPr>
              <w:pStyle w:val="17"/>
              <w:bidi w:val="0"/>
              <w:ind w:firstLine="0" w:firstLineChars="0"/>
              <w:rPr>
                <w:rFonts w:hint="eastAsia"/>
                <w:color w:val="auto"/>
                <w:highlight w:val="none"/>
                <w:lang w:eastAsia="zh-CN"/>
              </w:rPr>
            </w:pPr>
            <w:r>
              <w:rPr>
                <w:rFonts w:hint="eastAsia"/>
                <w:color w:val="auto"/>
                <w:highlight w:val="none"/>
                <w:lang w:eastAsia="zh-CN"/>
              </w:rPr>
              <w:t>氟化物</w:t>
            </w:r>
          </w:p>
        </w:tc>
        <w:tc>
          <w:tcPr>
            <w:tcW w:w="1333" w:type="pct"/>
            <w:shd w:val="clear" w:color="auto" w:fill="auto"/>
            <w:vAlign w:val="center"/>
          </w:tcPr>
          <w:p w14:paraId="542E32E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2026年2月27日-28日</w:t>
            </w:r>
          </w:p>
        </w:tc>
        <w:tc>
          <w:tcPr>
            <w:tcW w:w="674" w:type="pct"/>
            <w:vAlign w:val="center"/>
          </w:tcPr>
          <w:p w14:paraId="5C61C3FC">
            <w:pPr>
              <w:pStyle w:val="17"/>
              <w:bidi w:val="0"/>
              <w:rPr>
                <w:rFonts w:hint="default"/>
                <w:color w:val="auto"/>
                <w:highlight w:val="none"/>
                <w:lang w:val="en-US" w:eastAsia="zh-CN"/>
              </w:rPr>
            </w:pPr>
            <w:r>
              <w:rPr>
                <w:rFonts w:hint="eastAsia"/>
                <w:color w:val="auto"/>
                <w:highlight w:val="none"/>
                <w:lang w:val="en-US" w:eastAsia="zh-CN"/>
              </w:rPr>
              <w:t>0.12</w:t>
            </w:r>
          </w:p>
        </w:tc>
        <w:tc>
          <w:tcPr>
            <w:tcW w:w="623" w:type="pct"/>
            <w:vMerge w:val="restart"/>
            <w:vAlign w:val="center"/>
          </w:tcPr>
          <w:p w14:paraId="5BE92401">
            <w:pPr>
              <w:pStyle w:val="17"/>
              <w:bidi w:val="0"/>
              <w:rPr>
                <w:rFonts w:hint="default"/>
                <w:color w:val="auto"/>
                <w:highlight w:val="none"/>
                <w:lang w:val="en-US" w:eastAsia="zh-CN"/>
              </w:rPr>
            </w:pPr>
            <w:r>
              <w:rPr>
                <w:rFonts w:hint="eastAsia"/>
                <w:color w:val="auto"/>
                <w:highlight w:val="none"/>
                <w:lang w:val="en-US" w:eastAsia="zh-CN"/>
              </w:rPr>
              <w:t>7</w:t>
            </w:r>
          </w:p>
        </w:tc>
        <w:tc>
          <w:tcPr>
            <w:tcW w:w="638" w:type="pct"/>
            <w:vAlign w:val="center"/>
          </w:tcPr>
          <w:p w14:paraId="164F482F">
            <w:pPr>
              <w:pStyle w:val="17"/>
              <w:bidi w:val="0"/>
              <w:rPr>
                <w:rFonts w:hint="default"/>
                <w:color w:val="auto"/>
                <w:highlight w:val="none"/>
                <w:lang w:val="en-US" w:eastAsia="zh-CN"/>
              </w:rPr>
            </w:pPr>
            <w:r>
              <w:rPr>
                <w:rFonts w:hint="eastAsia"/>
                <w:color w:val="auto"/>
                <w:highlight w:val="none"/>
                <w:lang w:val="en-US" w:eastAsia="zh-CN"/>
              </w:rPr>
              <w:t>4.0</w:t>
            </w:r>
          </w:p>
        </w:tc>
        <w:tc>
          <w:tcPr>
            <w:tcW w:w="473" w:type="pct"/>
            <w:vAlign w:val="center"/>
          </w:tcPr>
          <w:p w14:paraId="74E9576E">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0B33C0D8">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527C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72367029">
            <w:pPr>
              <w:pStyle w:val="17"/>
              <w:bidi w:val="0"/>
              <w:rPr>
                <w:color w:val="auto"/>
                <w:highlight w:val="none"/>
              </w:rPr>
            </w:pPr>
          </w:p>
        </w:tc>
        <w:tc>
          <w:tcPr>
            <w:tcW w:w="395" w:type="pct"/>
            <w:vMerge w:val="continue"/>
            <w:vAlign w:val="center"/>
          </w:tcPr>
          <w:p w14:paraId="348AAEFA">
            <w:pPr>
              <w:pStyle w:val="17"/>
              <w:bidi w:val="0"/>
              <w:rPr>
                <w:rFonts w:hint="eastAsia"/>
                <w:color w:val="auto"/>
                <w:highlight w:val="none"/>
                <w:lang w:eastAsia="zh-CN"/>
              </w:rPr>
            </w:pPr>
          </w:p>
        </w:tc>
        <w:tc>
          <w:tcPr>
            <w:tcW w:w="1333" w:type="pct"/>
            <w:shd w:val="clear" w:color="auto" w:fill="auto"/>
            <w:vAlign w:val="center"/>
          </w:tcPr>
          <w:p w14:paraId="3A2ED56D">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2026年2月28日-1日</w:t>
            </w:r>
          </w:p>
        </w:tc>
        <w:tc>
          <w:tcPr>
            <w:tcW w:w="674" w:type="pct"/>
            <w:vAlign w:val="center"/>
          </w:tcPr>
          <w:p w14:paraId="25E61A0E">
            <w:pPr>
              <w:pStyle w:val="17"/>
              <w:bidi w:val="0"/>
              <w:rPr>
                <w:rFonts w:hint="default"/>
                <w:color w:val="auto"/>
                <w:highlight w:val="none"/>
                <w:lang w:val="en-US" w:eastAsia="zh-CN"/>
              </w:rPr>
            </w:pPr>
            <w:r>
              <w:rPr>
                <w:rFonts w:hint="eastAsia"/>
                <w:color w:val="auto"/>
                <w:highlight w:val="none"/>
                <w:lang w:val="en-US" w:eastAsia="zh-CN"/>
              </w:rPr>
              <w:t>0.12</w:t>
            </w:r>
          </w:p>
        </w:tc>
        <w:tc>
          <w:tcPr>
            <w:tcW w:w="623" w:type="pct"/>
            <w:vMerge w:val="continue"/>
            <w:vAlign w:val="center"/>
          </w:tcPr>
          <w:p w14:paraId="7792C0B0">
            <w:pPr>
              <w:pStyle w:val="17"/>
              <w:bidi w:val="0"/>
              <w:rPr>
                <w:rFonts w:hint="eastAsia"/>
                <w:color w:val="auto"/>
                <w:highlight w:val="none"/>
                <w:lang w:val="en-US" w:eastAsia="zh-CN"/>
              </w:rPr>
            </w:pPr>
          </w:p>
        </w:tc>
        <w:tc>
          <w:tcPr>
            <w:tcW w:w="638" w:type="pct"/>
            <w:vAlign w:val="center"/>
          </w:tcPr>
          <w:p w14:paraId="5F0CC37B">
            <w:pPr>
              <w:pStyle w:val="17"/>
              <w:bidi w:val="0"/>
              <w:rPr>
                <w:rFonts w:hint="default"/>
                <w:color w:val="auto"/>
                <w:highlight w:val="none"/>
                <w:lang w:val="en-US" w:eastAsia="zh-CN"/>
              </w:rPr>
            </w:pPr>
            <w:r>
              <w:rPr>
                <w:rFonts w:hint="eastAsia"/>
                <w:color w:val="auto"/>
                <w:highlight w:val="none"/>
                <w:lang w:val="en-US" w:eastAsia="zh-CN"/>
              </w:rPr>
              <w:t>4.0</w:t>
            </w:r>
          </w:p>
        </w:tc>
        <w:tc>
          <w:tcPr>
            <w:tcW w:w="473" w:type="pct"/>
            <w:vAlign w:val="center"/>
          </w:tcPr>
          <w:p w14:paraId="62ED46B6">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6C783BDC">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01D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51BA14BF">
            <w:pPr>
              <w:pStyle w:val="17"/>
              <w:bidi w:val="0"/>
              <w:rPr>
                <w:color w:val="auto"/>
                <w:highlight w:val="none"/>
              </w:rPr>
            </w:pPr>
          </w:p>
        </w:tc>
        <w:tc>
          <w:tcPr>
            <w:tcW w:w="395" w:type="pct"/>
            <w:vMerge w:val="continue"/>
            <w:vAlign w:val="center"/>
          </w:tcPr>
          <w:p w14:paraId="6B731BF5">
            <w:pPr>
              <w:pStyle w:val="17"/>
              <w:bidi w:val="0"/>
              <w:rPr>
                <w:rFonts w:hint="eastAsia"/>
                <w:color w:val="auto"/>
                <w:highlight w:val="none"/>
                <w:lang w:eastAsia="zh-CN"/>
              </w:rPr>
            </w:pPr>
          </w:p>
        </w:tc>
        <w:tc>
          <w:tcPr>
            <w:tcW w:w="1333" w:type="pct"/>
            <w:shd w:val="clear" w:color="auto" w:fill="auto"/>
            <w:vAlign w:val="center"/>
          </w:tcPr>
          <w:p w14:paraId="3B0DFC66">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2026年3月1日-2日</w:t>
            </w:r>
          </w:p>
        </w:tc>
        <w:tc>
          <w:tcPr>
            <w:tcW w:w="674" w:type="pct"/>
            <w:vAlign w:val="center"/>
          </w:tcPr>
          <w:p w14:paraId="2B2EFD7F">
            <w:pPr>
              <w:pStyle w:val="17"/>
              <w:bidi w:val="0"/>
              <w:rPr>
                <w:rFonts w:hint="default"/>
                <w:color w:val="auto"/>
                <w:highlight w:val="none"/>
                <w:lang w:val="en-US" w:eastAsia="zh-CN"/>
              </w:rPr>
            </w:pPr>
            <w:r>
              <w:rPr>
                <w:rFonts w:hint="eastAsia"/>
                <w:color w:val="auto"/>
                <w:highlight w:val="none"/>
                <w:lang w:val="en-US" w:eastAsia="zh-CN"/>
              </w:rPr>
              <w:t>0.12</w:t>
            </w:r>
          </w:p>
        </w:tc>
        <w:tc>
          <w:tcPr>
            <w:tcW w:w="623" w:type="pct"/>
            <w:vMerge w:val="continue"/>
            <w:vAlign w:val="center"/>
          </w:tcPr>
          <w:p w14:paraId="111184EE">
            <w:pPr>
              <w:pStyle w:val="17"/>
              <w:bidi w:val="0"/>
              <w:rPr>
                <w:rFonts w:hint="eastAsia"/>
                <w:color w:val="auto"/>
                <w:highlight w:val="none"/>
                <w:lang w:val="en-US" w:eastAsia="zh-CN"/>
              </w:rPr>
            </w:pPr>
          </w:p>
        </w:tc>
        <w:tc>
          <w:tcPr>
            <w:tcW w:w="638" w:type="pct"/>
            <w:vAlign w:val="center"/>
          </w:tcPr>
          <w:p w14:paraId="1774CE5C">
            <w:pPr>
              <w:pStyle w:val="17"/>
              <w:bidi w:val="0"/>
              <w:rPr>
                <w:rFonts w:hint="default"/>
                <w:color w:val="auto"/>
                <w:highlight w:val="none"/>
                <w:lang w:val="en-US" w:eastAsia="zh-CN"/>
              </w:rPr>
            </w:pPr>
            <w:r>
              <w:rPr>
                <w:rFonts w:hint="eastAsia"/>
                <w:color w:val="auto"/>
                <w:highlight w:val="none"/>
                <w:lang w:val="en-US" w:eastAsia="zh-CN"/>
              </w:rPr>
              <w:t>4.0</w:t>
            </w:r>
          </w:p>
        </w:tc>
        <w:tc>
          <w:tcPr>
            <w:tcW w:w="473" w:type="pct"/>
            <w:vAlign w:val="center"/>
          </w:tcPr>
          <w:p w14:paraId="63F9CE8F">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1025BD4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407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6E6A31F2">
            <w:pPr>
              <w:pStyle w:val="17"/>
              <w:bidi w:val="0"/>
              <w:rPr>
                <w:color w:val="auto"/>
                <w:highlight w:val="none"/>
              </w:rPr>
            </w:pPr>
          </w:p>
        </w:tc>
        <w:tc>
          <w:tcPr>
            <w:tcW w:w="395" w:type="pct"/>
            <w:vMerge w:val="continue"/>
            <w:vAlign w:val="center"/>
          </w:tcPr>
          <w:p w14:paraId="156159C0">
            <w:pPr>
              <w:pStyle w:val="17"/>
              <w:bidi w:val="0"/>
              <w:rPr>
                <w:rFonts w:hint="eastAsia"/>
                <w:color w:val="auto"/>
                <w:highlight w:val="none"/>
                <w:lang w:eastAsia="zh-CN"/>
              </w:rPr>
            </w:pPr>
          </w:p>
        </w:tc>
        <w:tc>
          <w:tcPr>
            <w:tcW w:w="1333" w:type="pct"/>
            <w:shd w:val="clear" w:color="auto" w:fill="auto"/>
            <w:vAlign w:val="center"/>
          </w:tcPr>
          <w:p w14:paraId="08FEACA3">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2026年3月2日-3日</w:t>
            </w:r>
          </w:p>
        </w:tc>
        <w:tc>
          <w:tcPr>
            <w:tcW w:w="674" w:type="pct"/>
            <w:vAlign w:val="center"/>
          </w:tcPr>
          <w:p w14:paraId="79474256">
            <w:pPr>
              <w:pStyle w:val="17"/>
              <w:bidi w:val="0"/>
              <w:rPr>
                <w:rFonts w:hint="default"/>
                <w:color w:val="auto"/>
                <w:highlight w:val="none"/>
                <w:lang w:val="en-US" w:eastAsia="zh-CN"/>
              </w:rPr>
            </w:pPr>
            <w:r>
              <w:rPr>
                <w:rFonts w:hint="eastAsia"/>
                <w:color w:val="auto"/>
                <w:highlight w:val="none"/>
                <w:lang w:val="en-US" w:eastAsia="zh-CN"/>
              </w:rPr>
              <w:t>0.13</w:t>
            </w:r>
          </w:p>
        </w:tc>
        <w:tc>
          <w:tcPr>
            <w:tcW w:w="623" w:type="pct"/>
            <w:vMerge w:val="continue"/>
            <w:vAlign w:val="center"/>
          </w:tcPr>
          <w:p w14:paraId="0E786027">
            <w:pPr>
              <w:pStyle w:val="17"/>
              <w:bidi w:val="0"/>
              <w:rPr>
                <w:rFonts w:hint="eastAsia"/>
                <w:color w:val="auto"/>
                <w:highlight w:val="none"/>
                <w:lang w:val="en-US" w:eastAsia="zh-CN"/>
              </w:rPr>
            </w:pPr>
          </w:p>
        </w:tc>
        <w:tc>
          <w:tcPr>
            <w:tcW w:w="638" w:type="pct"/>
            <w:vAlign w:val="center"/>
          </w:tcPr>
          <w:p w14:paraId="64D9D57F">
            <w:pPr>
              <w:pStyle w:val="17"/>
              <w:bidi w:val="0"/>
              <w:rPr>
                <w:rFonts w:hint="default"/>
                <w:color w:val="auto"/>
                <w:highlight w:val="none"/>
                <w:lang w:val="en-US" w:eastAsia="zh-CN"/>
              </w:rPr>
            </w:pPr>
            <w:r>
              <w:rPr>
                <w:rFonts w:hint="eastAsia"/>
                <w:color w:val="auto"/>
                <w:highlight w:val="none"/>
                <w:lang w:val="en-US" w:eastAsia="zh-CN"/>
              </w:rPr>
              <w:t>4.3</w:t>
            </w:r>
          </w:p>
        </w:tc>
        <w:tc>
          <w:tcPr>
            <w:tcW w:w="473" w:type="pct"/>
            <w:vAlign w:val="center"/>
          </w:tcPr>
          <w:p w14:paraId="1A21B1FA">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6E2A1789">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E8C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791DB560">
            <w:pPr>
              <w:pStyle w:val="17"/>
              <w:bidi w:val="0"/>
              <w:rPr>
                <w:color w:val="auto"/>
                <w:highlight w:val="none"/>
              </w:rPr>
            </w:pPr>
          </w:p>
        </w:tc>
        <w:tc>
          <w:tcPr>
            <w:tcW w:w="395" w:type="pct"/>
            <w:vMerge w:val="continue"/>
            <w:vAlign w:val="center"/>
          </w:tcPr>
          <w:p w14:paraId="22D5E9E7">
            <w:pPr>
              <w:pStyle w:val="17"/>
              <w:bidi w:val="0"/>
              <w:rPr>
                <w:rFonts w:hint="eastAsia"/>
                <w:color w:val="auto"/>
                <w:highlight w:val="none"/>
                <w:lang w:eastAsia="zh-CN"/>
              </w:rPr>
            </w:pPr>
          </w:p>
        </w:tc>
        <w:tc>
          <w:tcPr>
            <w:tcW w:w="1333" w:type="pct"/>
            <w:shd w:val="clear" w:color="auto" w:fill="auto"/>
            <w:vAlign w:val="center"/>
          </w:tcPr>
          <w:p w14:paraId="35CCA052">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2026年3月3日-4日</w:t>
            </w:r>
          </w:p>
        </w:tc>
        <w:tc>
          <w:tcPr>
            <w:tcW w:w="674" w:type="pct"/>
            <w:vAlign w:val="center"/>
          </w:tcPr>
          <w:p w14:paraId="1880D98C">
            <w:pPr>
              <w:pStyle w:val="17"/>
              <w:bidi w:val="0"/>
              <w:rPr>
                <w:rFonts w:hint="default"/>
                <w:color w:val="auto"/>
                <w:highlight w:val="none"/>
                <w:lang w:val="en-US" w:eastAsia="zh-CN"/>
              </w:rPr>
            </w:pPr>
            <w:r>
              <w:rPr>
                <w:rFonts w:hint="eastAsia"/>
                <w:color w:val="auto"/>
                <w:highlight w:val="none"/>
                <w:lang w:val="en-US" w:eastAsia="zh-CN"/>
              </w:rPr>
              <w:t>0.13</w:t>
            </w:r>
          </w:p>
        </w:tc>
        <w:tc>
          <w:tcPr>
            <w:tcW w:w="623" w:type="pct"/>
            <w:vMerge w:val="continue"/>
            <w:vAlign w:val="center"/>
          </w:tcPr>
          <w:p w14:paraId="4F8030AD">
            <w:pPr>
              <w:pStyle w:val="17"/>
              <w:bidi w:val="0"/>
              <w:rPr>
                <w:rFonts w:hint="eastAsia"/>
                <w:color w:val="auto"/>
                <w:highlight w:val="none"/>
                <w:lang w:val="en-US" w:eastAsia="zh-CN"/>
              </w:rPr>
            </w:pPr>
          </w:p>
        </w:tc>
        <w:tc>
          <w:tcPr>
            <w:tcW w:w="638" w:type="pct"/>
            <w:vAlign w:val="center"/>
          </w:tcPr>
          <w:p w14:paraId="43B17A2E">
            <w:pPr>
              <w:pStyle w:val="17"/>
              <w:bidi w:val="0"/>
              <w:rPr>
                <w:rFonts w:hint="default"/>
                <w:color w:val="auto"/>
                <w:highlight w:val="none"/>
                <w:lang w:val="en-US" w:eastAsia="zh-CN"/>
              </w:rPr>
            </w:pPr>
            <w:r>
              <w:rPr>
                <w:rFonts w:hint="eastAsia"/>
                <w:color w:val="auto"/>
                <w:highlight w:val="none"/>
                <w:lang w:val="en-US" w:eastAsia="zh-CN"/>
              </w:rPr>
              <w:t>4.3</w:t>
            </w:r>
          </w:p>
        </w:tc>
        <w:tc>
          <w:tcPr>
            <w:tcW w:w="473" w:type="pct"/>
            <w:vAlign w:val="center"/>
          </w:tcPr>
          <w:p w14:paraId="41498B47">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01D5BB38">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A6E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149CF1AE">
            <w:pPr>
              <w:pStyle w:val="17"/>
              <w:bidi w:val="0"/>
              <w:rPr>
                <w:color w:val="auto"/>
                <w:highlight w:val="none"/>
              </w:rPr>
            </w:pPr>
          </w:p>
        </w:tc>
        <w:tc>
          <w:tcPr>
            <w:tcW w:w="395" w:type="pct"/>
            <w:vMerge w:val="continue"/>
            <w:vAlign w:val="center"/>
          </w:tcPr>
          <w:p w14:paraId="2EEA63B4">
            <w:pPr>
              <w:pStyle w:val="17"/>
              <w:bidi w:val="0"/>
              <w:rPr>
                <w:rFonts w:hint="eastAsia"/>
                <w:color w:val="auto"/>
                <w:highlight w:val="none"/>
                <w:lang w:eastAsia="zh-CN"/>
              </w:rPr>
            </w:pPr>
          </w:p>
        </w:tc>
        <w:tc>
          <w:tcPr>
            <w:tcW w:w="1333" w:type="pct"/>
            <w:shd w:val="clear" w:color="auto" w:fill="auto"/>
            <w:vAlign w:val="center"/>
          </w:tcPr>
          <w:p w14:paraId="58C5C9E6">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2026年3月4日-5日</w:t>
            </w:r>
          </w:p>
        </w:tc>
        <w:tc>
          <w:tcPr>
            <w:tcW w:w="674" w:type="pct"/>
            <w:vAlign w:val="center"/>
          </w:tcPr>
          <w:p w14:paraId="62827393">
            <w:pPr>
              <w:pStyle w:val="17"/>
              <w:bidi w:val="0"/>
              <w:rPr>
                <w:rFonts w:hint="default"/>
                <w:color w:val="auto"/>
                <w:highlight w:val="none"/>
                <w:lang w:val="en-US" w:eastAsia="zh-CN"/>
              </w:rPr>
            </w:pPr>
            <w:r>
              <w:rPr>
                <w:rFonts w:hint="eastAsia"/>
                <w:color w:val="auto"/>
                <w:highlight w:val="none"/>
                <w:lang w:val="en-US" w:eastAsia="zh-CN"/>
              </w:rPr>
              <w:t>0.12</w:t>
            </w:r>
          </w:p>
        </w:tc>
        <w:tc>
          <w:tcPr>
            <w:tcW w:w="623" w:type="pct"/>
            <w:vMerge w:val="continue"/>
            <w:vAlign w:val="center"/>
          </w:tcPr>
          <w:p w14:paraId="4A43DBF2">
            <w:pPr>
              <w:pStyle w:val="17"/>
              <w:bidi w:val="0"/>
              <w:rPr>
                <w:rFonts w:hint="eastAsia"/>
                <w:color w:val="auto"/>
                <w:highlight w:val="none"/>
                <w:lang w:val="en-US" w:eastAsia="zh-CN"/>
              </w:rPr>
            </w:pPr>
          </w:p>
        </w:tc>
        <w:tc>
          <w:tcPr>
            <w:tcW w:w="638" w:type="pct"/>
            <w:vAlign w:val="center"/>
          </w:tcPr>
          <w:p w14:paraId="754885CD">
            <w:pPr>
              <w:pStyle w:val="17"/>
              <w:bidi w:val="0"/>
              <w:rPr>
                <w:rFonts w:hint="default"/>
                <w:color w:val="auto"/>
                <w:highlight w:val="none"/>
                <w:lang w:val="en-US" w:eastAsia="zh-CN"/>
              </w:rPr>
            </w:pPr>
            <w:r>
              <w:rPr>
                <w:rFonts w:hint="eastAsia"/>
                <w:color w:val="auto"/>
                <w:highlight w:val="none"/>
                <w:lang w:val="en-US" w:eastAsia="zh-CN"/>
              </w:rPr>
              <w:t>4.0</w:t>
            </w:r>
          </w:p>
        </w:tc>
        <w:tc>
          <w:tcPr>
            <w:tcW w:w="473" w:type="pct"/>
            <w:vAlign w:val="center"/>
          </w:tcPr>
          <w:p w14:paraId="29E13D51">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18D8BF2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F9E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7" w:type="pct"/>
            <w:vMerge w:val="continue"/>
            <w:vAlign w:val="center"/>
          </w:tcPr>
          <w:p w14:paraId="44DF5534">
            <w:pPr>
              <w:pStyle w:val="17"/>
              <w:bidi w:val="0"/>
              <w:rPr>
                <w:color w:val="auto"/>
                <w:highlight w:val="none"/>
              </w:rPr>
            </w:pPr>
          </w:p>
        </w:tc>
        <w:tc>
          <w:tcPr>
            <w:tcW w:w="395" w:type="pct"/>
            <w:vMerge w:val="continue"/>
            <w:vAlign w:val="center"/>
          </w:tcPr>
          <w:p w14:paraId="32E4AE73">
            <w:pPr>
              <w:pStyle w:val="17"/>
              <w:bidi w:val="0"/>
              <w:rPr>
                <w:rFonts w:hint="eastAsia"/>
                <w:color w:val="auto"/>
                <w:highlight w:val="none"/>
                <w:lang w:eastAsia="zh-CN"/>
              </w:rPr>
            </w:pPr>
          </w:p>
        </w:tc>
        <w:tc>
          <w:tcPr>
            <w:tcW w:w="1333" w:type="pct"/>
            <w:shd w:val="clear" w:color="auto" w:fill="auto"/>
            <w:vAlign w:val="center"/>
          </w:tcPr>
          <w:p w14:paraId="4C1D7552">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2026年3月5日-6日</w:t>
            </w:r>
          </w:p>
        </w:tc>
        <w:tc>
          <w:tcPr>
            <w:tcW w:w="674" w:type="pct"/>
            <w:vAlign w:val="center"/>
          </w:tcPr>
          <w:p w14:paraId="436E351D">
            <w:pPr>
              <w:pStyle w:val="17"/>
              <w:bidi w:val="0"/>
              <w:rPr>
                <w:rFonts w:hint="default"/>
                <w:color w:val="auto"/>
                <w:highlight w:val="none"/>
                <w:lang w:val="en-US" w:eastAsia="zh-CN"/>
              </w:rPr>
            </w:pPr>
            <w:r>
              <w:rPr>
                <w:rFonts w:hint="eastAsia"/>
                <w:color w:val="auto"/>
                <w:highlight w:val="none"/>
                <w:lang w:val="en-US" w:eastAsia="zh-CN"/>
              </w:rPr>
              <w:t>0.14</w:t>
            </w:r>
          </w:p>
        </w:tc>
        <w:tc>
          <w:tcPr>
            <w:tcW w:w="623" w:type="pct"/>
            <w:vMerge w:val="continue"/>
            <w:vAlign w:val="center"/>
          </w:tcPr>
          <w:p w14:paraId="0FD625B1">
            <w:pPr>
              <w:pStyle w:val="17"/>
              <w:bidi w:val="0"/>
              <w:rPr>
                <w:rFonts w:hint="eastAsia"/>
                <w:color w:val="auto"/>
                <w:highlight w:val="none"/>
                <w:lang w:val="en-US" w:eastAsia="zh-CN"/>
              </w:rPr>
            </w:pPr>
          </w:p>
        </w:tc>
        <w:tc>
          <w:tcPr>
            <w:tcW w:w="638" w:type="pct"/>
            <w:vAlign w:val="center"/>
          </w:tcPr>
          <w:p w14:paraId="01CDB63C">
            <w:pPr>
              <w:pStyle w:val="17"/>
              <w:bidi w:val="0"/>
              <w:rPr>
                <w:rFonts w:hint="default"/>
                <w:color w:val="auto"/>
                <w:highlight w:val="none"/>
                <w:lang w:val="en-US" w:eastAsia="zh-CN"/>
              </w:rPr>
            </w:pPr>
            <w:r>
              <w:rPr>
                <w:rFonts w:hint="eastAsia"/>
                <w:color w:val="auto"/>
                <w:highlight w:val="none"/>
                <w:lang w:val="en-US" w:eastAsia="zh-CN"/>
              </w:rPr>
              <w:t>4.7</w:t>
            </w:r>
          </w:p>
        </w:tc>
        <w:tc>
          <w:tcPr>
            <w:tcW w:w="473" w:type="pct"/>
            <w:vAlign w:val="center"/>
          </w:tcPr>
          <w:p w14:paraId="2EC62FC5">
            <w:pPr>
              <w:pStyle w:val="17"/>
              <w:bidi w:val="0"/>
              <w:ind w:firstLine="0" w:firstLineChars="0"/>
              <w:rPr>
                <w:rFonts w:hint="eastAsia"/>
                <w:color w:val="auto"/>
                <w:highlight w:val="none"/>
                <w:lang w:val="en-US" w:eastAsia="zh-CN"/>
              </w:rPr>
            </w:pPr>
            <w:r>
              <w:rPr>
                <w:rFonts w:hint="eastAsia"/>
                <w:color w:val="auto"/>
                <w:highlight w:val="none"/>
                <w:lang w:val="en-US" w:eastAsia="zh-CN"/>
              </w:rPr>
              <w:t>0</w:t>
            </w:r>
          </w:p>
        </w:tc>
        <w:tc>
          <w:tcPr>
            <w:tcW w:w="583" w:type="pct"/>
            <w:vAlign w:val="center"/>
          </w:tcPr>
          <w:p w14:paraId="471650AF">
            <w:pPr>
              <w:pStyle w:val="17"/>
              <w:bidi w:val="0"/>
              <w:ind w:firstLine="0" w:firstLineChars="0"/>
              <w:rPr>
                <w:rFonts w:hint="eastAsia"/>
                <w:color w:val="auto"/>
                <w:highlight w:val="none"/>
                <w:lang w:eastAsia="zh-CN"/>
              </w:rPr>
            </w:pPr>
            <w:r>
              <w:rPr>
                <w:rFonts w:hint="eastAsia"/>
                <w:color w:val="auto"/>
                <w:highlight w:val="none"/>
                <w:lang w:eastAsia="zh-CN"/>
              </w:rPr>
              <w:t>达标</w:t>
            </w:r>
          </w:p>
        </w:tc>
      </w:tr>
    </w:tbl>
    <w:p w14:paraId="6E323960">
      <w:pPr>
        <w:ind w:firstLine="464"/>
        <w:rPr>
          <w:color w:val="auto"/>
          <w:highlight w:val="none"/>
        </w:rPr>
      </w:pPr>
      <w:r>
        <w:rPr>
          <w:rFonts w:hint="eastAsia"/>
          <w:color w:val="auto"/>
          <w:spacing w:val="-4"/>
          <w:highlight w:val="none"/>
        </w:rPr>
        <w:t>由上表可知，</w:t>
      </w:r>
      <w:r>
        <w:rPr>
          <w:color w:val="auto"/>
          <w:highlight w:val="none"/>
        </w:rPr>
        <w:t>本次评价项目区TSP</w:t>
      </w:r>
      <w:r>
        <w:rPr>
          <w:rFonts w:hint="eastAsia"/>
          <w:color w:val="auto"/>
          <w:highlight w:val="none"/>
          <w:lang w:eastAsia="zh-CN"/>
        </w:rPr>
        <w:t>、</w:t>
      </w:r>
      <w:r>
        <w:rPr>
          <w:rFonts w:hint="eastAsia"/>
          <w:color w:val="auto"/>
          <w:szCs w:val="21"/>
          <w:highlight w:val="none"/>
          <w:lang w:eastAsia="zh-CN"/>
        </w:rPr>
        <w:t>氟化物</w:t>
      </w:r>
      <w:r>
        <w:rPr>
          <w:color w:val="auto"/>
          <w:highlight w:val="none"/>
        </w:rPr>
        <w:t>日均浓度满足《环境空气质量标准》（GB3095-20</w:t>
      </w:r>
      <w:r>
        <w:rPr>
          <w:rFonts w:hint="eastAsia"/>
          <w:color w:val="auto"/>
          <w:highlight w:val="none"/>
          <w:lang w:val="en-US" w:eastAsia="zh-CN"/>
        </w:rPr>
        <w:t>26</w:t>
      </w:r>
      <w:r>
        <w:rPr>
          <w:color w:val="auto"/>
          <w:highlight w:val="none"/>
        </w:rPr>
        <w:t>）</w:t>
      </w:r>
      <w:r>
        <w:rPr>
          <w:color w:val="auto"/>
          <w:spacing w:val="-4"/>
          <w:highlight w:val="none"/>
        </w:rPr>
        <w:t>二级标准要求</w:t>
      </w:r>
      <w:r>
        <w:rPr>
          <w:color w:val="auto"/>
          <w:highlight w:val="none"/>
        </w:rPr>
        <w:t>。</w:t>
      </w:r>
    </w:p>
    <w:p w14:paraId="6282F37B">
      <w:pPr>
        <w:spacing w:line="480" w:lineRule="exact"/>
        <w:jc w:val="center"/>
        <w:rPr>
          <w:rFonts w:ascii="Times New Roman"/>
          <w:b/>
          <w:bCs/>
          <w:color w:val="auto"/>
          <w:highlight w:val="none"/>
        </w:rPr>
      </w:pPr>
      <w:r>
        <w:rPr>
          <w:rFonts w:ascii="Times New Roman"/>
          <w:b/>
          <w:bCs/>
          <w:color w:val="auto"/>
          <w:highlight w:val="none"/>
        </w:rPr>
        <w:t>表</w:t>
      </w:r>
      <w:r>
        <w:rPr>
          <w:rFonts w:hint="eastAsia" w:ascii="Times New Roman"/>
          <w:b/>
          <w:bCs/>
          <w:color w:val="auto"/>
          <w:highlight w:val="none"/>
        </w:rPr>
        <w:t>4.2</w:t>
      </w:r>
      <w:r>
        <w:rPr>
          <w:rFonts w:ascii="Times New Roman"/>
          <w:b/>
          <w:bCs/>
          <w:color w:val="auto"/>
          <w:highlight w:val="none"/>
        </w:rPr>
        <w:noBreakHyphen/>
      </w:r>
      <w:r>
        <w:rPr>
          <w:rFonts w:hint="eastAsia"/>
          <w:b/>
          <w:bCs/>
          <w:color w:val="auto"/>
          <w:highlight w:val="none"/>
          <w:lang w:val="en-US" w:eastAsia="zh-CN"/>
        </w:rPr>
        <w:t>4</w:t>
      </w:r>
      <w:r>
        <w:rPr>
          <w:rFonts w:ascii="Times New Roman"/>
          <w:b/>
          <w:bCs/>
          <w:color w:val="auto"/>
          <w:highlight w:val="none"/>
        </w:rPr>
        <w:t xml:space="preserve">   </w:t>
      </w:r>
      <w:r>
        <w:rPr>
          <w:rFonts w:hint="eastAsia"/>
          <w:b/>
          <w:bCs/>
          <w:color w:val="auto"/>
          <w:highlight w:val="none"/>
          <w:lang w:val="en-US" w:eastAsia="zh-CN"/>
        </w:rPr>
        <w:t>硫酸雾</w:t>
      </w:r>
      <w:r>
        <w:rPr>
          <w:rFonts w:ascii="Times New Roman"/>
          <w:b/>
          <w:bCs/>
          <w:color w:val="auto"/>
          <w:highlight w:val="none"/>
        </w:rPr>
        <w:t>监测结果及评价结果</w:t>
      </w:r>
    </w:p>
    <w:tbl>
      <w:tblPr>
        <w:tblStyle w:val="13"/>
        <w:tblW w:w="49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738"/>
        <w:gridCol w:w="2323"/>
        <w:gridCol w:w="850"/>
        <w:gridCol w:w="1076"/>
        <w:gridCol w:w="1075"/>
        <w:gridCol w:w="850"/>
        <w:gridCol w:w="850"/>
        <w:gridCol w:w="794"/>
      </w:tblGrid>
      <w:tr w14:paraId="3959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Align w:val="center"/>
          </w:tcPr>
          <w:p w14:paraId="471FEB2E">
            <w:pPr>
              <w:pStyle w:val="17"/>
              <w:bidi w:val="0"/>
              <w:rPr>
                <w:color w:val="auto"/>
                <w:highlight w:val="none"/>
              </w:rPr>
            </w:pPr>
            <w:r>
              <w:rPr>
                <w:color w:val="auto"/>
                <w:highlight w:val="none"/>
              </w:rPr>
              <w:t>监测点位</w:t>
            </w:r>
          </w:p>
        </w:tc>
        <w:tc>
          <w:tcPr>
            <w:tcW w:w="406" w:type="pct"/>
            <w:vAlign w:val="center"/>
          </w:tcPr>
          <w:p w14:paraId="54C6CFD7">
            <w:pPr>
              <w:pStyle w:val="17"/>
              <w:bidi w:val="0"/>
              <w:rPr>
                <w:color w:val="auto"/>
                <w:highlight w:val="none"/>
              </w:rPr>
            </w:pPr>
            <w:r>
              <w:rPr>
                <w:color w:val="auto"/>
                <w:highlight w:val="none"/>
              </w:rPr>
              <w:t>监测项目</w:t>
            </w:r>
          </w:p>
        </w:tc>
        <w:tc>
          <w:tcPr>
            <w:tcW w:w="1278" w:type="pct"/>
            <w:vAlign w:val="center"/>
          </w:tcPr>
          <w:p w14:paraId="41AB81F9">
            <w:pPr>
              <w:pStyle w:val="17"/>
              <w:bidi w:val="0"/>
              <w:rPr>
                <w:rFonts w:hint="default" w:eastAsia="宋体"/>
                <w:color w:val="auto"/>
                <w:highlight w:val="none"/>
                <w:lang w:val="en-US" w:eastAsia="zh-CN"/>
              </w:rPr>
            </w:pPr>
            <w:r>
              <w:rPr>
                <w:rFonts w:hint="eastAsia"/>
                <w:color w:val="auto"/>
                <w:highlight w:val="none"/>
                <w:lang w:val="en-US" w:eastAsia="zh-CN"/>
              </w:rPr>
              <w:t>监测时间</w:t>
            </w:r>
          </w:p>
        </w:tc>
        <w:tc>
          <w:tcPr>
            <w:tcW w:w="468" w:type="pct"/>
            <w:vAlign w:val="center"/>
          </w:tcPr>
          <w:p w14:paraId="384EE175">
            <w:pPr>
              <w:pStyle w:val="17"/>
              <w:bidi w:val="0"/>
              <w:rPr>
                <w:rFonts w:hint="default"/>
                <w:color w:val="auto"/>
                <w:highlight w:val="none"/>
                <w:lang w:val="en-US" w:eastAsia="zh-CN"/>
              </w:rPr>
            </w:pPr>
            <w:r>
              <w:rPr>
                <w:rFonts w:hint="eastAsia"/>
                <w:color w:val="auto"/>
                <w:highlight w:val="none"/>
                <w:lang w:val="en-US" w:eastAsia="zh-CN"/>
              </w:rPr>
              <w:t>频次</w:t>
            </w:r>
          </w:p>
        </w:tc>
        <w:tc>
          <w:tcPr>
            <w:tcW w:w="592" w:type="pct"/>
            <w:vAlign w:val="center"/>
          </w:tcPr>
          <w:p w14:paraId="75CC057F">
            <w:pPr>
              <w:pStyle w:val="17"/>
              <w:bidi w:val="0"/>
              <w:rPr>
                <w:color w:val="auto"/>
                <w:highlight w:val="none"/>
              </w:rPr>
            </w:pPr>
            <w:r>
              <w:rPr>
                <w:rFonts w:hint="eastAsia"/>
                <w:color w:val="auto"/>
                <w:highlight w:val="none"/>
                <w:lang w:val="en-US" w:eastAsia="zh-CN"/>
              </w:rPr>
              <w:t>监测结果</w:t>
            </w:r>
            <w:r>
              <w:rPr>
                <w:color w:val="auto"/>
                <w:highlight w:val="none"/>
              </w:rPr>
              <w:t>（μg/m</w:t>
            </w:r>
            <w:r>
              <w:rPr>
                <w:color w:val="auto"/>
                <w:highlight w:val="none"/>
                <w:vertAlign w:val="superscript"/>
              </w:rPr>
              <w:t>3</w:t>
            </w:r>
            <w:r>
              <w:rPr>
                <w:color w:val="auto"/>
                <w:highlight w:val="none"/>
              </w:rPr>
              <w:t>）</w:t>
            </w:r>
          </w:p>
        </w:tc>
        <w:tc>
          <w:tcPr>
            <w:tcW w:w="592" w:type="pct"/>
            <w:vAlign w:val="center"/>
          </w:tcPr>
          <w:p w14:paraId="62564543">
            <w:pPr>
              <w:pStyle w:val="17"/>
              <w:bidi w:val="0"/>
              <w:rPr>
                <w:color w:val="auto"/>
                <w:highlight w:val="none"/>
              </w:rPr>
            </w:pPr>
            <w:r>
              <w:rPr>
                <w:color w:val="auto"/>
                <w:highlight w:val="none"/>
              </w:rPr>
              <w:t>标准值（μg/m</w:t>
            </w:r>
            <w:r>
              <w:rPr>
                <w:color w:val="auto"/>
                <w:highlight w:val="none"/>
                <w:vertAlign w:val="superscript"/>
              </w:rPr>
              <w:t>3</w:t>
            </w:r>
            <w:r>
              <w:rPr>
                <w:color w:val="auto"/>
                <w:highlight w:val="none"/>
              </w:rPr>
              <w:t>）</w:t>
            </w:r>
          </w:p>
        </w:tc>
        <w:tc>
          <w:tcPr>
            <w:tcW w:w="468" w:type="pct"/>
            <w:vAlign w:val="center"/>
          </w:tcPr>
          <w:p w14:paraId="27D3A6AD">
            <w:pPr>
              <w:pStyle w:val="17"/>
              <w:bidi w:val="0"/>
              <w:rPr>
                <w:color w:val="auto"/>
                <w:highlight w:val="none"/>
              </w:rPr>
            </w:pPr>
            <w:r>
              <w:rPr>
                <w:color w:val="auto"/>
                <w:highlight w:val="none"/>
              </w:rPr>
              <w:t>占标率（%）</w:t>
            </w:r>
          </w:p>
        </w:tc>
        <w:tc>
          <w:tcPr>
            <w:tcW w:w="468" w:type="pct"/>
            <w:vAlign w:val="center"/>
          </w:tcPr>
          <w:p w14:paraId="10014221">
            <w:pPr>
              <w:pStyle w:val="17"/>
              <w:bidi w:val="0"/>
              <w:rPr>
                <w:color w:val="auto"/>
                <w:highlight w:val="none"/>
              </w:rPr>
            </w:pPr>
            <w:r>
              <w:rPr>
                <w:color w:val="auto"/>
                <w:highlight w:val="none"/>
              </w:rPr>
              <w:t>超标率（%）</w:t>
            </w:r>
          </w:p>
        </w:tc>
        <w:tc>
          <w:tcPr>
            <w:tcW w:w="437" w:type="pct"/>
            <w:vAlign w:val="center"/>
          </w:tcPr>
          <w:p w14:paraId="153720C3">
            <w:pPr>
              <w:pStyle w:val="17"/>
              <w:bidi w:val="0"/>
              <w:rPr>
                <w:color w:val="auto"/>
                <w:highlight w:val="none"/>
              </w:rPr>
            </w:pPr>
            <w:r>
              <w:rPr>
                <w:color w:val="auto"/>
                <w:highlight w:val="none"/>
              </w:rPr>
              <w:t>达标</w:t>
            </w:r>
          </w:p>
          <w:p w14:paraId="4A39E576">
            <w:pPr>
              <w:pStyle w:val="17"/>
              <w:bidi w:val="0"/>
              <w:rPr>
                <w:color w:val="auto"/>
                <w:highlight w:val="none"/>
              </w:rPr>
            </w:pPr>
            <w:r>
              <w:rPr>
                <w:color w:val="auto"/>
                <w:highlight w:val="none"/>
              </w:rPr>
              <w:t>情况</w:t>
            </w:r>
          </w:p>
        </w:tc>
      </w:tr>
      <w:tr w14:paraId="456C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14:paraId="08FCB74D">
            <w:pPr>
              <w:pStyle w:val="17"/>
              <w:bidi w:val="0"/>
              <w:rPr>
                <w:rFonts w:hint="default" w:eastAsia="宋体"/>
                <w:color w:val="auto"/>
                <w:highlight w:val="none"/>
                <w:lang w:val="en-US" w:eastAsia="zh-CN"/>
              </w:rPr>
            </w:pPr>
            <w:r>
              <w:rPr>
                <w:rFonts w:hint="eastAsia"/>
                <w:color w:val="auto"/>
                <w:highlight w:val="none"/>
                <w:lang w:val="en-US" w:eastAsia="zh-CN"/>
              </w:rPr>
              <w:t>W1</w:t>
            </w:r>
          </w:p>
        </w:tc>
        <w:tc>
          <w:tcPr>
            <w:tcW w:w="406" w:type="pct"/>
            <w:vMerge w:val="restart"/>
            <w:vAlign w:val="center"/>
          </w:tcPr>
          <w:p w14:paraId="550835C0">
            <w:pPr>
              <w:pStyle w:val="17"/>
              <w:bidi w:val="0"/>
              <w:rPr>
                <w:rFonts w:hint="default" w:eastAsia="宋体"/>
                <w:color w:val="auto"/>
                <w:highlight w:val="none"/>
                <w:lang w:val="en-US" w:eastAsia="zh-CN"/>
              </w:rPr>
            </w:pPr>
            <w:r>
              <w:rPr>
                <w:rFonts w:hint="eastAsia"/>
                <w:color w:val="auto"/>
                <w:highlight w:val="none"/>
                <w:lang w:val="en-US" w:eastAsia="zh-CN"/>
              </w:rPr>
              <w:t>硫酸雾</w:t>
            </w:r>
          </w:p>
        </w:tc>
        <w:tc>
          <w:tcPr>
            <w:tcW w:w="1278" w:type="pct"/>
            <w:vMerge w:val="restart"/>
            <w:vAlign w:val="center"/>
          </w:tcPr>
          <w:p w14:paraId="4AFB3EAB">
            <w:pPr>
              <w:pStyle w:val="17"/>
              <w:bidi w:val="0"/>
              <w:rPr>
                <w:rFonts w:hint="default" w:eastAsia="宋体"/>
                <w:color w:val="auto"/>
                <w:highlight w:val="none"/>
                <w:lang w:val="en-US" w:eastAsia="zh-CN"/>
              </w:rPr>
            </w:pPr>
            <w:r>
              <w:rPr>
                <w:rFonts w:hint="eastAsia"/>
                <w:color w:val="auto"/>
                <w:highlight w:val="none"/>
                <w:lang w:val="en-US" w:eastAsia="zh-CN"/>
              </w:rPr>
              <w:t>2026年2月27日-28日</w:t>
            </w:r>
          </w:p>
        </w:tc>
        <w:tc>
          <w:tcPr>
            <w:tcW w:w="468" w:type="pct"/>
            <w:vAlign w:val="center"/>
          </w:tcPr>
          <w:p w14:paraId="4BEF957D">
            <w:pPr>
              <w:pStyle w:val="17"/>
              <w:bidi w:val="0"/>
              <w:rPr>
                <w:rFonts w:hint="default"/>
                <w:color w:val="auto"/>
                <w:highlight w:val="none"/>
                <w:lang w:val="en-US" w:eastAsia="zh-CN"/>
              </w:rPr>
            </w:pPr>
            <w:r>
              <w:rPr>
                <w:rFonts w:hint="eastAsia"/>
                <w:color w:val="auto"/>
                <w:highlight w:val="none"/>
                <w:lang w:val="en-US" w:eastAsia="zh-CN"/>
              </w:rPr>
              <w:t>第一次</w:t>
            </w:r>
          </w:p>
        </w:tc>
        <w:tc>
          <w:tcPr>
            <w:tcW w:w="592" w:type="pct"/>
            <w:vAlign w:val="center"/>
          </w:tcPr>
          <w:p w14:paraId="7DFCCB38">
            <w:pPr>
              <w:pStyle w:val="17"/>
              <w:bidi w:val="0"/>
              <w:rPr>
                <w:rFonts w:hint="default"/>
                <w:color w:val="auto"/>
                <w:highlight w:val="none"/>
                <w:lang w:val="en-US" w:eastAsia="zh-CN"/>
              </w:rPr>
            </w:pPr>
            <w:r>
              <w:rPr>
                <w:rFonts w:hint="eastAsia"/>
                <w:color w:val="auto"/>
                <w:highlight w:val="none"/>
                <w:lang w:val="en-US" w:eastAsia="zh-CN"/>
              </w:rPr>
              <w:t>0.005L</w:t>
            </w:r>
          </w:p>
        </w:tc>
        <w:tc>
          <w:tcPr>
            <w:tcW w:w="592" w:type="pct"/>
            <w:vMerge w:val="restart"/>
            <w:vAlign w:val="center"/>
          </w:tcPr>
          <w:p w14:paraId="050CA61C">
            <w:pPr>
              <w:pStyle w:val="17"/>
              <w:bidi w:val="0"/>
              <w:rPr>
                <w:rFonts w:hint="default" w:eastAsia="宋体"/>
                <w:color w:val="auto"/>
                <w:highlight w:val="none"/>
                <w:lang w:val="en-US" w:eastAsia="zh-CN"/>
              </w:rPr>
            </w:pPr>
            <w:r>
              <w:rPr>
                <w:rFonts w:hint="eastAsia"/>
                <w:color w:val="auto"/>
                <w:highlight w:val="none"/>
                <w:lang w:val="en-US" w:eastAsia="zh-CN"/>
              </w:rPr>
              <w:t>300</w:t>
            </w:r>
          </w:p>
        </w:tc>
        <w:tc>
          <w:tcPr>
            <w:tcW w:w="468" w:type="pct"/>
            <w:vAlign w:val="center"/>
          </w:tcPr>
          <w:p w14:paraId="4100D6FB">
            <w:pPr>
              <w:pStyle w:val="17"/>
              <w:bidi w:val="0"/>
              <w:rPr>
                <w:rFonts w:hint="default"/>
                <w:color w:val="auto"/>
                <w:highlight w:val="none"/>
                <w:lang w:val="en-US" w:eastAsia="zh-CN"/>
              </w:rPr>
            </w:pPr>
            <w:r>
              <w:rPr>
                <w:rFonts w:hint="eastAsia"/>
                <w:color w:val="auto"/>
                <w:highlight w:val="none"/>
                <w:lang w:val="en-US" w:eastAsia="zh-CN"/>
              </w:rPr>
              <w:t>/</w:t>
            </w:r>
          </w:p>
        </w:tc>
        <w:tc>
          <w:tcPr>
            <w:tcW w:w="468" w:type="pct"/>
            <w:vAlign w:val="center"/>
          </w:tcPr>
          <w:p w14:paraId="2EA72D62">
            <w:pPr>
              <w:pStyle w:val="17"/>
              <w:bidi w:val="0"/>
              <w:rPr>
                <w:rFonts w:hint="default"/>
                <w:color w:val="auto"/>
                <w:highlight w:val="none"/>
                <w:lang w:val="en-US" w:eastAsia="zh-CN"/>
              </w:rPr>
            </w:pPr>
            <w:r>
              <w:rPr>
                <w:rFonts w:hint="eastAsia"/>
                <w:color w:val="auto"/>
                <w:highlight w:val="none"/>
                <w:lang w:val="en-US" w:eastAsia="zh-CN"/>
              </w:rPr>
              <w:t>/</w:t>
            </w:r>
          </w:p>
        </w:tc>
        <w:tc>
          <w:tcPr>
            <w:tcW w:w="437" w:type="pct"/>
            <w:vAlign w:val="center"/>
          </w:tcPr>
          <w:p w14:paraId="6F790296">
            <w:pPr>
              <w:pStyle w:val="17"/>
              <w:bidi w:val="0"/>
              <w:rPr>
                <w:rFonts w:hint="eastAsia"/>
                <w:color w:val="auto"/>
                <w:highlight w:val="none"/>
                <w:lang w:eastAsia="zh-CN"/>
              </w:rPr>
            </w:pPr>
            <w:r>
              <w:rPr>
                <w:rFonts w:hint="eastAsia"/>
                <w:color w:val="auto"/>
                <w:highlight w:val="none"/>
                <w:lang w:eastAsia="zh-CN"/>
              </w:rPr>
              <w:t>达标</w:t>
            </w:r>
          </w:p>
        </w:tc>
      </w:tr>
      <w:tr w14:paraId="2CE3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715E1F25">
            <w:pPr>
              <w:pStyle w:val="17"/>
              <w:bidi w:val="0"/>
              <w:rPr>
                <w:color w:val="auto"/>
                <w:highlight w:val="none"/>
              </w:rPr>
            </w:pPr>
          </w:p>
        </w:tc>
        <w:tc>
          <w:tcPr>
            <w:tcW w:w="406" w:type="pct"/>
            <w:vMerge w:val="continue"/>
            <w:vAlign w:val="center"/>
          </w:tcPr>
          <w:p w14:paraId="64459349">
            <w:pPr>
              <w:pStyle w:val="17"/>
              <w:bidi w:val="0"/>
              <w:rPr>
                <w:color w:val="auto"/>
                <w:highlight w:val="none"/>
              </w:rPr>
            </w:pPr>
          </w:p>
        </w:tc>
        <w:tc>
          <w:tcPr>
            <w:tcW w:w="1278" w:type="pct"/>
            <w:vMerge w:val="continue"/>
            <w:vAlign w:val="center"/>
          </w:tcPr>
          <w:p w14:paraId="225894C5">
            <w:pPr>
              <w:pStyle w:val="17"/>
              <w:bidi w:val="0"/>
              <w:rPr>
                <w:rFonts w:hint="eastAsia"/>
                <w:color w:val="auto"/>
                <w:highlight w:val="none"/>
                <w:lang w:val="en-US" w:eastAsia="zh-CN"/>
              </w:rPr>
            </w:pPr>
          </w:p>
        </w:tc>
        <w:tc>
          <w:tcPr>
            <w:tcW w:w="468" w:type="pct"/>
            <w:vAlign w:val="center"/>
          </w:tcPr>
          <w:p w14:paraId="2323F7A7">
            <w:pPr>
              <w:pStyle w:val="17"/>
              <w:bidi w:val="0"/>
              <w:rPr>
                <w:rFonts w:hint="default"/>
                <w:color w:val="auto"/>
                <w:highlight w:val="none"/>
                <w:lang w:val="en-US" w:eastAsia="zh-CN"/>
              </w:rPr>
            </w:pPr>
            <w:r>
              <w:rPr>
                <w:rFonts w:hint="eastAsia"/>
                <w:color w:val="auto"/>
                <w:highlight w:val="none"/>
                <w:lang w:val="en-US" w:eastAsia="zh-CN"/>
              </w:rPr>
              <w:t>第二次</w:t>
            </w:r>
          </w:p>
        </w:tc>
        <w:tc>
          <w:tcPr>
            <w:tcW w:w="592" w:type="pct"/>
            <w:vAlign w:val="center"/>
          </w:tcPr>
          <w:p w14:paraId="3153731B">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6332408">
            <w:pPr>
              <w:pStyle w:val="17"/>
              <w:bidi w:val="0"/>
              <w:rPr>
                <w:color w:val="auto"/>
                <w:highlight w:val="none"/>
              </w:rPr>
            </w:pPr>
          </w:p>
        </w:tc>
        <w:tc>
          <w:tcPr>
            <w:tcW w:w="850" w:type="dxa"/>
            <w:vAlign w:val="center"/>
          </w:tcPr>
          <w:p w14:paraId="792E71F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6ED3E80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10AEEA55">
            <w:pPr>
              <w:pStyle w:val="17"/>
              <w:bidi w:val="0"/>
              <w:rPr>
                <w:rFonts w:hint="eastAsia"/>
                <w:color w:val="auto"/>
                <w:highlight w:val="none"/>
                <w:lang w:eastAsia="zh-CN"/>
              </w:rPr>
            </w:pPr>
            <w:r>
              <w:rPr>
                <w:rFonts w:hint="eastAsia"/>
                <w:color w:val="auto"/>
                <w:highlight w:val="none"/>
                <w:lang w:eastAsia="zh-CN"/>
              </w:rPr>
              <w:t>达标</w:t>
            </w:r>
          </w:p>
        </w:tc>
      </w:tr>
      <w:tr w14:paraId="2B58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50120E10">
            <w:pPr>
              <w:pStyle w:val="17"/>
              <w:bidi w:val="0"/>
              <w:rPr>
                <w:color w:val="auto"/>
                <w:highlight w:val="none"/>
              </w:rPr>
            </w:pPr>
          </w:p>
        </w:tc>
        <w:tc>
          <w:tcPr>
            <w:tcW w:w="406" w:type="pct"/>
            <w:vMerge w:val="continue"/>
            <w:vAlign w:val="center"/>
          </w:tcPr>
          <w:p w14:paraId="66D4B69A">
            <w:pPr>
              <w:pStyle w:val="17"/>
              <w:bidi w:val="0"/>
              <w:rPr>
                <w:color w:val="auto"/>
                <w:highlight w:val="none"/>
              </w:rPr>
            </w:pPr>
          </w:p>
        </w:tc>
        <w:tc>
          <w:tcPr>
            <w:tcW w:w="1278" w:type="pct"/>
            <w:vMerge w:val="continue"/>
            <w:vAlign w:val="center"/>
          </w:tcPr>
          <w:p w14:paraId="618DF1D6">
            <w:pPr>
              <w:pStyle w:val="17"/>
              <w:bidi w:val="0"/>
              <w:rPr>
                <w:rFonts w:hint="eastAsia"/>
                <w:color w:val="auto"/>
                <w:highlight w:val="none"/>
                <w:lang w:val="en-US" w:eastAsia="zh-CN"/>
              </w:rPr>
            </w:pPr>
          </w:p>
        </w:tc>
        <w:tc>
          <w:tcPr>
            <w:tcW w:w="468" w:type="pct"/>
            <w:vAlign w:val="center"/>
          </w:tcPr>
          <w:p w14:paraId="61DF7F75">
            <w:pPr>
              <w:pStyle w:val="17"/>
              <w:bidi w:val="0"/>
              <w:rPr>
                <w:rFonts w:hint="default"/>
                <w:color w:val="auto"/>
                <w:highlight w:val="none"/>
                <w:lang w:val="en-US" w:eastAsia="zh-CN"/>
              </w:rPr>
            </w:pPr>
            <w:r>
              <w:rPr>
                <w:rFonts w:hint="eastAsia"/>
                <w:color w:val="auto"/>
                <w:highlight w:val="none"/>
                <w:lang w:val="en-US" w:eastAsia="zh-CN"/>
              </w:rPr>
              <w:t>第三次</w:t>
            </w:r>
          </w:p>
        </w:tc>
        <w:tc>
          <w:tcPr>
            <w:tcW w:w="592" w:type="pct"/>
            <w:vAlign w:val="center"/>
          </w:tcPr>
          <w:p w14:paraId="1C85E86E">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40900AD7">
            <w:pPr>
              <w:pStyle w:val="17"/>
              <w:bidi w:val="0"/>
              <w:rPr>
                <w:color w:val="auto"/>
                <w:highlight w:val="none"/>
              </w:rPr>
            </w:pPr>
          </w:p>
        </w:tc>
        <w:tc>
          <w:tcPr>
            <w:tcW w:w="850" w:type="dxa"/>
            <w:vAlign w:val="center"/>
          </w:tcPr>
          <w:p w14:paraId="1612F0A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54740FA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1A37F502">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F3C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55466699">
            <w:pPr>
              <w:pStyle w:val="17"/>
              <w:bidi w:val="0"/>
              <w:rPr>
                <w:color w:val="auto"/>
                <w:highlight w:val="none"/>
              </w:rPr>
            </w:pPr>
          </w:p>
        </w:tc>
        <w:tc>
          <w:tcPr>
            <w:tcW w:w="406" w:type="pct"/>
            <w:vMerge w:val="continue"/>
            <w:vAlign w:val="center"/>
          </w:tcPr>
          <w:p w14:paraId="5D39B503">
            <w:pPr>
              <w:pStyle w:val="17"/>
              <w:bidi w:val="0"/>
              <w:rPr>
                <w:color w:val="auto"/>
                <w:highlight w:val="none"/>
              </w:rPr>
            </w:pPr>
          </w:p>
        </w:tc>
        <w:tc>
          <w:tcPr>
            <w:tcW w:w="1278" w:type="pct"/>
            <w:vMerge w:val="continue"/>
            <w:vAlign w:val="center"/>
          </w:tcPr>
          <w:p w14:paraId="71A69F97">
            <w:pPr>
              <w:pStyle w:val="17"/>
              <w:bidi w:val="0"/>
              <w:rPr>
                <w:rFonts w:hint="eastAsia"/>
                <w:color w:val="auto"/>
                <w:highlight w:val="none"/>
                <w:lang w:val="en-US" w:eastAsia="zh-CN"/>
              </w:rPr>
            </w:pPr>
          </w:p>
        </w:tc>
        <w:tc>
          <w:tcPr>
            <w:tcW w:w="468" w:type="pct"/>
            <w:vAlign w:val="center"/>
          </w:tcPr>
          <w:p w14:paraId="2BB2DE3A">
            <w:pPr>
              <w:pStyle w:val="17"/>
              <w:bidi w:val="0"/>
              <w:rPr>
                <w:rFonts w:hint="default"/>
                <w:color w:val="auto"/>
                <w:highlight w:val="none"/>
                <w:lang w:val="en-US" w:eastAsia="zh-CN"/>
              </w:rPr>
            </w:pPr>
            <w:r>
              <w:rPr>
                <w:rFonts w:hint="eastAsia"/>
                <w:color w:val="auto"/>
                <w:highlight w:val="none"/>
                <w:lang w:val="en-US" w:eastAsia="zh-CN"/>
              </w:rPr>
              <w:t>第三次</w:t>
            </w:r>
          </w:p>
        </w:tc>
        <w:tc>
          <w:tcPr>
            <w:tcW w:w="592" w:type="pct"/>
            <w:vAlign w:val="center"/>
          </w:tcPr>
          <w:p w14:paraId="7A936BCE">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1B4AFB3F">
            <w:pPr>
              <w:pStyle w:val="17"/>
              <w:bidi w:val="0"/>
              <w:rPr>
                <w:color w:val="auto"/>
                <w:highlight w:val="none"/>
              </w:rPr>
            </w:pPr>
          </w:p>
        </w:tc>
        <w:tc>
          <w:tcPr>
            <w:tcW w:w="850" w:type="dxa"/>
            <w:vAlign w:val="center"/>
          </w:tcPr>
          <w:p w14:paraId="7F1AA2A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6784477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50C7E9D8">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C28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63122374">
            <w:pPr>
              <w:pStyle w:val="17"/>
              <w:bidi w:val="0"/>
              <w:rPr>
                <w:color w:val="auto"/>
                <w:highlight w:val="none"/>
              </w:rPr>
            </w:pPr>
          </w:p>
        </w:tc>
        <w:tc>
          <w:tcPr>
            <w:tcW w:w="406" w:type="pct"/>
            <w:vMerge w:val="continue"/>
            <w:vAlign w:val="center"/>
          </w:tcPr>
          <w:p w14:paraId="5F40A5A0">
            <w:pPr>
              <w:pStyle w:val="17"/>
              <w:bidi w:val="0"/>
              <w:rPr>
                <w:rFonts w:hint="eastAsia"/>
                <w:color w:val="auto"/>
                <w:highlight w:val="none"/>
                <w:lang w:eastAsia="zh-CN"/>
              </w:rPr>
            </w:pPr>
          </w:p>
        </w:tc>
        <w:tc>
          <w:tcPr>
            <w:tcW w:w="1278" w:type="pct"/>
            <w:vMerge w:val="restart"/>
            <w:vAlign w:val="center"/>
          </w:tcPr>
          <w:p w14:paraId="70CFE7BA">
            <w:pPr>
              <w:pStyle w:val="17"/>
              <w:bidi w:val="0"/>
              <w:rPr>
                <w:rFonts w:hint="eastAsia"/>
                <w:color w:val="auto"/>
                <w:highlight w:val="none"/>
                <w:lang w:eastAsia="zh-CN"/>
              </w:rPr>
            </w:pPr>
            <w:r>
              <w:rPr>
                <w:rFonts w:hint="eastAsia"/>
                <w:color w:val="auto"/>
                <w:highlight w:val="none"/>
                <w:lang w:val="en-US" w:eastAsia="zh-CN"/>
              </w:rPr>
              <w:t>2026年2月28日-1日</w:t>
            </w:r>
          </w:p>
        </w:tc>
        <w:tc>
          <w:tcPr>
            <w:tcW w:w="468" w:type="pct"/>
            <w:vAlign w:val="center"/>
          </w:tcPr>
          <w:p w14:paraId="03665FA5">
            <w:pPr>
              <w:pStyle w:val="17"/>
              <w:bidi w:val="0"/>
              <w:ind w:firstLine="0" w:firstLineChars="0"/>
              <w:rPr>
                <w:rFonts w:hint="eastAsia"/>
                <w:color w:val="auto"/>
                <w:highlight w:val="none"/>
                <w:lang w:val="en-US" w:eastAsia="zh-CN"/>
              </w:rPr>
            </w:pPr>
            <w:r>
              <w:rPr>
                <w:rFonts w:hint="eastAsia"/>
                <w:color w:val="auto"/>
                <w:highlight w:val="none"/>
                <w:lang w:val="en-US" w:eastAsia="zh-CN"/>
              </w:rPr>
              <w:t>第一次</w:t>
            </w:r>
          </w:p>
        </w:tc>
        <w:tc>
          <w:tcPr>
            <w:tcW w:w="592" w:type="pct"/>
            <w:vAlign w:val="center"/>
          </w:tcPr>
          <w:p w14:paraId="4FB07FB8">
            <w:pPr>
              <w:pStyle w:val="17"/>
              <w:bidi w:val="0"/>
              <w:rPr>
                <w:rFonts w:hint="default"/>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FA79E20">
            <w:pPr>
              <w:pStyle w:val="17"/>
              <w:bidi w:val="0"/>
              <w:rPr>
                <w:rFonts w:hint="eastAsia"/>
                <w:color w:val="auto"/>
                <w:highlight w:val="none"/>
                <w:lang w:val="en-US" w:eastAsia="zh-CN"/>
              </w:rPr>
            </w:pPr>
          </w:p>
        </w:tc>
        <w:tc>
          <w:tcPr>
            <w:tcW w:w="850" w:type="dxa"/>
            <w:vAlign w:val="center"/>
          </w:tcPr>
          <w:p w14:paraId="5EB6CA37">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850" w:type="dxa"/>
            <w:vAlign w:val="center"/>
          </w:tcPr>
          <w:p w14:paraId="39E085E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332D1AE0">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BEA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B4A68A0">
            <w:pPr>
              <w:pStyle w:val="17"/>
              <w:bidi w:val="0"/>
              <w:rPr>
                <w:color w:val="auto"/>
                <w:highlight w:val="none"/>
              </w:rPr>
            </w:pPr>
          </w:p>
        </w:tc>
        <w:tc>
          <w:tcPr>
            <w:tcW w:w="406" w:type="pct"/>
            <w:vMerge w:val="continue"/>
            <w:vAlign w:val="center"/>
          </w:tcPr>
          <w:p w14:paraId="07674244">
            <w:pPr>
              <w:pStyle w:val="17"/>
              <w:bidi w:val="0"/>
              <w:rPr>
                <w:rFonts w:hint="eastAsia"/>
                <w:color w:val="auto"/>
                <w:highlight w:val="none"/>
                <w:lang w:eastAsia="zh-CN"/>
              </w:rPr>
            </w:pPr>
          </w:p>
        </w:tc>
        <w:tc>
          <w:tcPr>
            <w:tcW w:w="1278" w:type="pct"/>
            <w:vMerge w:val="continue"/>
            <w:vAlign w:val="center"/>
          </w:tcPr>
          <w:p w14:paraId="4DFC1DD8">
            <w:pPr>
              <w:pStyle w:val="17"/>
              <w:bidi w:val="0"/>
              <w:rPr>
                <w:rFonts w:hint="eastAsia"/>
                <w:color w:val="auto"/>
                <w:highlight w:val="none"/>
                <w:lang w:val="en-US" w:eastAsia="zh-CN"/>
              </w:rPr>
            </w:pPr>
          </w:p>
        </w:tc>
        <w:tc>
          <w:tcPr>
            <w:tcW w:w="468" w:type="pct"/>
            <w:vAlign w:val="center"/>
          </w:tcPr>
          <w:p w14:paraId="0689CAB4">
            <w:pPr>
              <w:pStyle w:val="17"/>
              <w:bidi w:val="0"/>
              <w:ind w:firstLine="0" w:firstLineChars="0"/>
              <w:rPr>
                <w:rFonts w:hint="eastAsia"/>
                <w:color w:val="auto"/>
                <w:highlight w:val="none"/>
                <w:lang w:val="en-US" w:eastAsia="zh-CN"/>
              </w:rPr>
            </w:pPr>
            <w:r>
              <w:rPr>
                <w:rFonts w:hint="eastAsia"/>
                <w:color w:val="auto"/>
                <w:highlight w:val="none"/>
                <w:lang w:val="en-US" w:eastAsia="zh-CN"/>
              </w:rPr>
              <w:t>第二次</w:t>
            </w:r>
          </w:p>
        </w:tc>
        <w:tc>
          <w:tcPr>
            <w:tcW w:w="592" w:type="pct"/>
            <w:vAlign w:val="center"/>
          </w:tcPr>
          <w:p w14:paraId="5EE46D94">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2177F3F7">
            <w:pPr>
              <w:pStyle w:val="17"/>
              <w:bidi w:val="0"/>
              <w:rPr>
                <w:rFonts w:hint="eastAsia"/>
                <w:color w:val="auto"/>
                <w:highlight w:val="none"/>
                <w:lang w:val="en-US" w:eastAsia="zh-CN"/>
              </w:rPr>
            </w:pPr>
          </w:p>
        </w:tc>
        <w:tc>
          <w:tcPr>
            <w:tcW w:w="850" w:type="dxa"/>
            <w:vAlign w:val="center"/>
          </w:tcPr>
          <w:p w14:paraId="302A965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566FA9A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0402960">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0E0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73D36A1">
            <w:pPr>
              <w:pStyle w:val="17"/>
              <w:bidi w:val="0"/>
              <w:rPr>
                <w:color w:val="auto"/>
                <w:highlight w:val="none"/>
              </w:rPr>
            </w:pPr>
          </w:p>
        </w:tc>
        <w:tc>
          <w:tcPr>
            <w:tcW w:w="406" w:type="pct"/>
            <w:vMerge w:val="continue"/>
            <w:vAlign w:val="center"/>
          </w:tcPr>
          <w:p w14:paraId="56FF95D0">
            <w:pPr>
              <w:pStyle w:val="17"/>
              <w:bidi w:val="0"/>
              <w:rPr>
                <w:rFonts w:hint="eastAsia"/>
                <w:color w:val="auto"/>
                <w:highlight w:val="none"/>
                <w:lang w:eastAsia="zh-CN"/>
              </w:rPr>
            </w:pPr>
          </w:p>
        </w:tc>
        <w:tc>
          <w:tcPr>
            <w:tcW w:w="1278" w:type="pct"/>
            <w:vMerge w:val="continue"/>
            <w:vAlign w:val="center"/>
          </w:tcPr>
          <w:p w14:paraId="03C4C34A">
            <w:pPr>
              <w:pStyle w:val="17"/>
              <w:bidi w:val="0"/>
              <w:rPr>
                <w:rFonts w:hint="eastAsia"/>
                <w:color w:val="auto"/>
                <w:highlight w:val="none"/>
                <w:lang w:val="en-US" w:eastAsia="zh-CN"/>
              </w:rPr>
            </w:pPr>
          </w:p>
        </w:tc>
        <w:tc>
          <w:tcPr>
            <w:tcW w:w="468" w:type="pct"/>
            <w:vAlign w:val="center"/>
          </w:tcPr>
          <w:p w14:paraId="0501291C">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18E8F5BA">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01444A2">
            <w:pPr>
              <w:pStyle w:val="17"/>
              <w:bidi w:val="0"/>
              <w:rPr>
                <w:rFonts w:hint="eastAsia"/>
                <w:color w:val="auto"/>
                <w:highlight w:val="none"/>
                <w:lang w:val="en-US" w:eastAsia="zh-CN"/>
              </w:rPr>
            </w:pPr>
          </w:p>
        </w:tc>
        <w:tc>
          <w:tcPr>
            <w:tcW w:w="850" w:type="dxa"/>
            <w:vAlign w:val="center"/>
          </w:tcPr>
          <w:p w14:paraId="4B08879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7BF563C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43CEEA7">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2FD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756216E6">
            <w:pPr>
              <w:pStyle w:val="17"/>
              <w:bidi w:val="0"/>
              <w:rPr>
                <w:color w:val="auto"/>
                <w:highlight w:val="none"/>
              </w:rPr>
            </w:pPr>
          </w:p>
        </w:tc>
        <w:tc>
          <w:tcPr>
            <w:tcW w:w="406" w:type="pct"/>
            <w:vMerge w:val="continue"/>
            <w:vAlign w:val="center"/>
          </w:tcPr>
          <w:p w14:paraId="3396D8B2">
            <w:pPr>
              <w:pStyle w:val="17"/>
              <w:bidi w:val="0"/>
              <w:rPr>
                <w:rFonts w:hint="eastAsia"/>
                <w:color w:val="auto"/>
                <w:highlight w:val="none"/>
                <w:lang w:eastAsia="zh-CN"/>
              </w:rPr>
            </w:pPr>
          </w:p>
        </w:tc>
        <w:tc>
          <w:tcPr>
            <w:tcW w:w="1278" w:type="pct"/>
            <w:vMerge w:val="continue"/>
            <w:vAlign w:val="center"/>
          </w:tcPr>
          <w:p w14:paraId="5A25067B">
            <w:pPr>
              <w:pStyle w:val="17"/>
              <w:bidi w:val="0"/>
              <w:rPr>
                <w:rFonts w:hint="eastAsia"/>
                <w:color w:val="auto"/>
                <w:highlight w:val="none"/>
                <w:lang w:val="en-US" w:eastAsia="zh-CN"/>
              </w:rPr>
            </w:pPr>
          </w:p>
        </w:tc>
        <w:tc>
          <w:tcPr>
            <w:tcW w:w="468" w:type="pct"/>
            <w:vAlign w:val="center"/>
          </w:tcPr>
          <w:p w14:paraId="0DB50AED">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076FBE4D">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4E75D43">
            <w:pPr>
              <w:pStyle w:val="17"/>
              <w:bidi w:val="0"/>
              <w:rPr>
                <w:rFonts w:hint="eastAsia"/>
                <w:color w:val="auto"/>
                <w:highlight w:val="none"/>
                <w:lang w:val="en-US" w:eastAsia="zh-CN"/>
              </w:rPr>
            </w:pPr>
          </w:p>
        </w:tc>
        <w:tc>
          <w:tcPr>
            <w:tcW w:w="850" w:type="dxa"/>
            <w:vAlign w:val="center"/>
          </w:tcPr>
          <w:p w14:paraId="658654A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43DEE4B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3994241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BE0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28761A19">
            <w:pPr>
              <w:pStyle w:val="17"/>
              <w:bidi w:val="0"/>
              <w:rPr>
                <w:color w:val="auto"/>
                <w:highlight w:val="none"/>
              </w:rPr>
            </w:pPr>
          </w:p>
        </w:tc>
        <w:tc>
          <w:tcPr>
            <w:tcW w:w="406" w:type="pct"/>
            <w:vMerge w:val="continue"/>
            <w:vAlign w:val="center"/>
          </w:tcPr>
          <w:p w14:paraId="03BE2D1D">
            <w:pPr>
              <w:pStyle w:val="17"/>
              <w:bidi w:val="0"/>
              <w:rPr>
                <w:rFonts w:hint="eastAsia"/>
                <w:color w:val="auto"/>
                <w:highlight w:val="none"/>
                <w:lang w:eastAsia="zh-CN"/>
              </w:rPr>
            </w:pPr>
          </w:p>
        </w:tc>
        <w:tc>
          <w:tcPr>
            <w:tcW w:w="1278" w:type="pct"/>
            <w:vMerge w:val="restart"/>
            <w:vAlign w:val="center"/>
          </w:tcPr>
          <w:p w14:paraId="067C086C">
            <w:pPr>
              <w:pStyle w:val="17"/>
              <w:bidi w:val="0"/>
              <w:ind w:firstLine="0" w:firstLineChars="0"/>
              <w:rPr>
                <w:rFonts w:hint="eastAsia"/>
                <w:color w:val="auto"/>
                <w:highlight w:val="none"/>
                <w:lang w:eastAsia="zh-CN"/>
              </w:rPr>
            </w:pPr>
            <w:r>
              <w:rPr>
                <w:rFonts w:hint="eastAsia"/>
                <w:color w:val="auto"/>
                <w:highlight w:val="none"/>
                <w:lang w:val="en-US" w:eastAsia="zh-CN"/>
              </w:rPr>
              <w:t>2026年3月1日-2日</w:t>
            </w:r>
          </w:p>
        </w:tc>
        <w:tc>
          <w:tcPr>
            <w:tcW w:w="468" w:type="pct"/>
            <w:shd w:val="clear" w:color="auto" w:fill="auto"/>
            <w:vAlign w:val="center"/>
          </w:tcPr>
          <w:p w14:paraId="2CD5853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第一次</w:t>
            </w:r>
          </w:p>
        </w:tc>
        <w:tc>
          <w:tcPr>
            <w:tcW w:w="592" w:type="pct"/>
            <w:vAlign w:val="center"/>
          </w:tcPr>
          <w:p w14:paraId="5482635F">
            <w:pPr>
              <w:pStyle w:val="17"/>
              <w:bidi w:val="0"/>
              <w:rPr>
                <w:rFonts w:hint="default"/>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15FB26E4">
            <w:pPr>
              <w:pStyle w:val="17"/>
              <w:bidi w:val="0"/>
              <w:rPr>
                <w:rFonts w:hint="eastAsia"/>
                <w:color w:val="auto"/>
                <w:highlight w:val="none"/>
                <w:lang w:val="en-US" w:eastAsia="zh-CN"/>
              </w:rPr>
            </w:pPr>
          </w:p>
        </w:tc>
        <w:tc>
          <w:tcPr>
            <w:tcW w:w="850" w:type="dxa"/>
            <w:vAlign w:val="center"/>
          </w:tcPr>
          <w:p w14:paraId="070F9EF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5F4AA0A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51C1D4AC">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354F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3846EC56">
            <w:pPr>
              <w:pStyle w:val="17"/>
              <w:bidi w:val="0"/>
              <w:rPr>
                <w:color w:val="auto"/>
                <w:highlight w:val="none"/>
              </w:rPr>
            </w:pPr>
          </w:p>
        </w:tc>
        <w:tc>
          <w:tcPr>
            <w:tcW w:w="406" w:type="pct"/>
            <w:vMerge w:val="continue"/>
            <w:vAlign w:val="center"/>
          </w:tcPr>
          <w:p w14:paraId="65391776">
            <w:pPr>
              <w:pStyle w:val="17"/>
              <w:bidi w:val="0"/>
              <w:rPr>
                <w:rFonts w:hint="eastAsia"/>
                <w:color w:val="auto"/>
                <w:highlight w:val="none"/>
                <w:lang w:eastAsia="zh-CN"/>
              </w:rPr>
            </w:pPr>
          </w:p>
        </w:tc>
        <w:tc>
          <w:tcPr>
            <w:tcW w:w="1278" w:type="pct"/>
            <w:vMerge w:val="continue"/>
            <w:vAlign w:val="center"/>
          </w:tcPr>
          <w:p w14:paraId="30292A39">
            <w:pPr>
              <w:pStyle w:val="17"/>
              <w:bidi w:val="0"/>
              <w:ind w:firstLine="0" w:firstLineChars="0"/>
              <w:rPr>
                <w:rFonts w:hint="eastAsia"/>
                <w:color w:val="auto"/>
                <w:highlight w:val="none"/>
                <w:lang w:val="en-US" w:eastAsia="zh-CN"/>
              </w:rPr>
            </w:pPr>
          </w:p>
        </w:tc>
        <w:tc>
          <w:tcPr>
            <w:tcW w:w="468" w:type="pct"/>
            <w:shd w:val="clear" w:color="auto" w:fill="auto"/>
            <w:vAlign w:val="center"/>
          </w:tcPr>
          <w:p w14:paraId="0DB04485">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第二次</w:t>
            </w:r>
          </w:p>
        </w:tc>
        <w:tc>
          <w:tcPr>
            <w:tcW w:w="592" w:type="pct"/>
            <w:vAlign w:val="center"/>
          </w:tcPr>
          <w:p w14:paraId="524232B9">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F4D8FE4">
            <w:pPr>
              <w:pStyle w:val="17"/>
              <w:bidi w:val="0"/>
              <w:rPr>
                <w:rFonts w:hint="eastAsia"/>
                <w:color w:val="auto"/>
                <w:highlight w:val="none"/>
                <w:lang w:val="en-US" w:eastAsia="zh-CN"/>
              </w:rPr>
            </w:pPr>
          </w:p>
        </w:tc>
        <w:tc>
          <w:tcPr>
            <w:tcW w:w="850" w:type="dxa"/>
            <w:vAlign w:val="center"/>
          </w:tcPr>
          <w:p w14:paraId="7FBDA0D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1C40692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31932A94">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CFF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2771AA64">
            <w:pPr>
              <w:pStyle w:val="17"/>
              <w:bidi w:val="0"/>
              <w:rPr>
                <w:color w:val="auto"/>
                <w:highlight w:val="none"/>
              </w:rPr>
            </w:pPr>
          </w:p>
        </w:tc>
        <w:tc>
          <w:tcPr>
            <w:tcW w:w="406" w:type="pct"/>
            <w:vMerge w:val="continue"/>
            <w:vAlign w:val="center"/>
          </w:tcPr>
          <w:p w14:paraId="4690E510">
            <w:pPr>
              <w:pStyle w:val="17"/>
              <w:bidi w:val="0"/>
              <w:rPr>
                <w:rFonts w:hint="eastAsia"/>
                <w:color w:val="auto"/>
                <w:highlight w:val="none"/>
                <w:lang w:eastAsia="zh-CN"/>
              </w:rPr>
            </w:pPr>
          </w:p>
        </w:tc>
        <w:tc>
          <w:tcPr>
            <w:tcW w:w="1278" w:type="pct"/>
            <w:vMerge w:val="continue"/>
            <w:vAlign w:val="center"/>
          </w:tcPr>
          <w:p w14:paraId="52E77947">
            <w:pPr>
              <w:pStyle w:val="17"/>
              <w:bidi w:val="0"/>
              <w:ind w:firstLine="0" w:firstLineChars="0"/>
              <w:rPr>
                <w:rFonts w:hint="eastAsia"/>
                <w:color w:val="auto"/>
                <w:highlight w:val="none"/>
                <w:lang w:val="en-US" w:eastAsia="zh-CN"/>
              </w:rPr>
            </w:pPr>
          </w:p>
        </w:tc>
        <w:tc>
          <w:tcPr>
            <w:tcW w:w="468" w:type="pct"/>
            <w:shd w:val="clear" w:color="auto" w:fill="auto"/>
            <w:vAlign w:val="center"/>
          </w:tcPr>
          <w:p w14:paraId="54FD2BB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149DC1C2">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162E386">
            <w:pPr>
              <w:pStyle w:val="17"/>
              <w:bidi w:val="0"/>
              <w:rPr>
                <w:rFonts w:hint="eastAsia"/>
                <w:color w:val="auto"/>
                <w:highlight w:val="none"/>
                <w:lang w:val="en-US" w:eastAsia="zh-CN"/>
              </w:rPr>
            </w:pPr>
          </w:p>
        </w:tc>
        <w:tc>
          <w:tcPr>
            <w:tcW w:w="850" w:type="dxa"/>
            <w:vAlign w:val="center"/>
          </w:tcPr>
          <w:p w14:paraId="2953162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5A90B90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37AAD215">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A46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6A5940B">
            <w:pPr>
              <w:pStyle w:val="17"/>
              <w:bidi w:val="0"/>
              <w:rPr>
                <w:color w:val="auto"/>
                <w:highlight w:val="none"/>
              </w:rPr>
            </w:pPr>
          </w:p>
        </w:tc>
        <w:tc>
          <w:tcPr>
            <w:tcW w:w="406" w:type="pct"/>
            <w:vMerge w:val="continue"/>
            <w:vAlign w:val="center"/>
          </w:tcPr>
          <w:p w14:paraId="12CD6862">
            <w:pPr>
              <w:pStyle w:val="17"/>
              <w:bidi w:val="0"/>
              <w:rPr>
                <w:rFonts w:hint="eastAsia"/>
                <w:color w:val="auto"/>
                <w:highlight w:val="none"/>
                <w:lang w:eastAsia="zh-CN"/>
              </w:rPr>
            </w:pPr>
          </w:p>
        </w:tc>
        <w:tc>
          <w:tcPr>
            <w:tcW w:w="1278" w:type="pct"/>
            <w:vMerge w:val="continue"/>
            <w:vAlign w:val="center"/>
          </w:tcPr>
          <w:p w14:paraId="675E9FAD">
            <w:pPr>
              <w:pStyle w:val="17"/>
              <w:bidi w:val="0"/>
              <w:ind w:firstLine="0" w:firstLineChars="0"/>
              <w:rPr>
                <w:rFonts w:hint="eastAsia"/>
                <w:color w:val="auto"/>
                <w:highlight w:val="none"/>
                <w:lang w:val="en-US" w:eastAsia="zh-CN"/>
              </w:rPr>
            </w:pPr>
          </w:p>
        </w:tc>
        <w:tc>
          <w:tcPr>
            <w:tcW w:w="468" w:type="pct"/>
            <w:shd w:val="clear" w:color="auto" w:fill="auto"/>
            <w:vAlign w:val="center"/>
          </w:tcPr>
          <w:p w14:paraId="417F841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15F362D0">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2502CD0C">
            <w:pPr>
              <w:pStyle w:val="17"/>
              <w:bidi w:val="0"/>
              <w:rPr>
                <w:rFonts w:hint="eastAsia"/>
                <w:color w:val="auto"/>
                <w:highlight w:val="none"/>
                <w:lang w:val="en-US" w:eastAsia="zh-CN"/>
              </w:rPr>
            </w:pPr>
          </w:p>
        </w:tc>
        <w:tc>
          <w:tcPr>
            <w:tcW w:w="850" w:type="dxa"/>
            <w:vAlign w:val="center"/>
          </w:tcPr>
          <w:p w14:paraId="5D9E704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64D1232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7493964E">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03D8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33FCA52">
            <w:pPr>
              <w:pStyle w:val="17"/>
              <w:bidi w:val="0"/>
              <w:rPr>
                <w:color w:val="auto"/>
                <w:highlight w:val="none"/>
              </w:rPr>
            </w:pPr>
          </w:p>
        </w:tc>
        <w:tc>
          <w:tcPr>
            <w:tcW w:w="406" w:type="pct"/>
            <w:vMerge w:val="continue"/>
            <w:vAlign w:val="center"/>
          </w:tcPr>
          <w:p w14:paraId="14CC9D0F">
            <w:pPr>
              <w:pStyle w:val="17"/>
              <w:bidi w:val="0"/>
              <w:rPr>
                <w:rFonts w:hint="eastAsia"/>
                <w:color w:val="auto"/>
                <w:highlight w:val="none"/>
                <w:lang w:eastAsia="zh-CN"/>
              </w:rPr>
            </w:pPr>
          </w:p>
        </w:tc>
        <w:tc>
          <w:tcPr>
            <w:tcW w:w="1278" w:type="pct"/>
            <w:vMerge w:val="restart"/>
            <w:vAlign w:val="center"/>
          </w:tcPr>
          <w:p w14:paraId="557CCE62">
            <w:pPr>
              <w:pStyle w:val="17"/>
              <w:bidi w:val="0"/>
              <w:ind w:firstLine="0" w:firstLineChars="0"/>
              <w:rPr>
                <w:rFonts w:hint="eastAsia"/>
                <w:color w:val="auto"/>
                <w:highlight w:val="none"/>
                <w:lang w:eastAsia="zh-CN"/>
              </w:rPr>
            </w:pPr>
            <w:r>
              <w:rPr>
                <w:rFonts w:hint="eastAsia"/>
                <w:color w:val="auto"/>
                <w:highlight w:val="none"/>
                <w:lang w:val="en-US" w:eastAsia="zh-CN"/>
              </w:rPr>
              <w:t>2026年3月2日-3日</w:t>
            </w:r>
          </w:p>
        </w:tc>
        <w:tc>
          <w:tcPr>
            <w:tcW w:w="468" w:type="pct"/>
            <w:shd w:val="clear" w:color="auto" w:fill="auto"/>
            <w:vAlign w:val="center"/>
          </w:tcPr>
          <w:p w14:paraId="24829268">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第一次</w:t>
            </w:r>
          </w:p>
        </w:tc>
        <w:tc>
          <w:tcPr>
            <w:tcW w:w="592" w:type="pct"/>
            <w:vAlign w:val="center"/>
          </w:tcPr>
          <w:p w14:paraId="3DBD0DAC">
            <w:pPr>
              <w:pStyle w:val="17"/>
              <w:bidi w:val="0"/>
              <w:rPr>
                <w:rFonts w:hint="default"/>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44C4E92E">
            <w:pPr>
              <w:pStyle w:val="17"/>
              <w:bidi w:val="0"/>
              <w:rPr>
                <w:rFonts w:hint="eastAsia"/>
                <w:color w:val="auto"/>
                <w:highlight w:val="none"/>
                <w:lang w:val="en-US" w:eastAsia="zh-CN"/>
              </w:rPr>
            </w:pPr>
          </w:p>
        </w:tc>
        <w:tc>
          <w:tcPr>
            <w:tcW w:w="850" w:type="dxa"/>
            <w:vAlign w:val="center"/>
          </w:tcPr>
          <w:p w14:paraId="66827D0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2ECD127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749B377">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5999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5B189901">
            <w:pPr>
              <w:pStyle w:val="17"/>
              <w:bidi w:val="0"/>
              <w:rPr>
                <w:color w:val="auto"/>
                <w:highlight w:val="none"/>
              </w:rPr>
            </w:pPr>
          </w:p>
        </w:tc>
        <w:tc>
          <w:tcPr>
            <w:tcW w:w="406" w:type="pct"/>
            <w:vMerge w:val="continue"/>
            <w:vAlign w:val="center"/>
          </w:tcPr>
          <w:p w14:paraId="5BD1516D">
            <w:pPr>
              <w:pStyle w:val="17"/>
              <w:bidi w:val="0"/>
              <w:rPr>
                <w:rFonts w:hint="eastAsia"/>
                <w:color w:val="auto"/>
                <w:highlight w:val="none"/>
                <w:lang w:eastAsia="zh-CN"/>
              </w:rPr>
            </w:pPr>
          </w:p>
        </w:tc>
        <w:tc>
          <w:tcPr>
            <w:tcW w:w="1278" w:type="pct"/>
            <w:vMerge w:val="continue"/>
            <w:vAlign w:val="center"/>
          </w:tcPr>
          <w:p w14:paraId="2441A14E">
            <w:pPr>
              <w:pStyle w:val="17"/>
              <w:bidi w:val="0"/>
              <w:ind w:firstLine="0" w:firstLineChars="0"/>
              <w:rPr>
                <w:rFonts w:hint="eastAsia"/>
                <w:color w:val="auto"/>
                <w:highlight w:val="none"/>
                <w:lang w:val="en-US" w:eastAsia="zh-CN"/>
              </w:rPr>
            </w:pPr>
          </w:p>
        </w:tc>
        <w:tc>
          <w:tcPr>
            <w:tcW w:w="468" w:type="pct"/>
            <w:shd w:val="clear" w:color="auto" w:fill="auto"/>
            <w:vAlign w:val="center"/>
          </w:tcPr>
          <w:p w14:paraId="5F8E92B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第二次</w:t>
            </w:r>
          </w:p>
        </w:tc>
        <w:tc>
          <w:tcPr>
            <w:tcW w:w="592" w:type="pct"/>
            <w:vAlign w:val="center"/>
          </w:tcPr>
          <w:p w14:paraId="0C2FFD7D">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0E4BEBF">
            <w:pPr>
              <w:pStyle w:val="17"/>
              <w:bidi w:val="0"/>
              <w:rPr>
                <w:rFonts w:hint="eastAsia"/>
                <w:color w:val="auto"/>
                <w:highlight w:val="none"/>
                <w:lang w:val="en-US" w:eastAsia="zh-CN"/>
              </w:rPr>
            </w:pPr>
          </w:p>
        </w:tc>
        <w:tc>
          <w:tcPr>
            <w:tcW w:w="850" w:type="dxa"/>
            <w:vAlign w:val="center"/>
          </w:tcPr>
          <w:p w14:paraId="22105FD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19B1539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086AB12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D2C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887D845">
            <w:pPr>
              <w:pStyle w:val="17"/>
              <w:bidi w:val="0"/>
              <w:rPr>
                <w:color w:val="auto"/>
                <w:highlight w:val="none"/>
              </w:rPr>
            </w:pPr>
          </w:p>
        </w:tc>
        <w:tc>
          <w:tcPr>
            <w:tcW w:w="406" w:type="pct"/>
            <w:vMerge w:val="continue"/>
            <w:vAlign w:val="center"/>
          </w:tcPr>
          <w:p w14:paraId="1E94306A">
            <w:pPr>
              <w:pStyle w:val="17"/>
              <w:bidi w:val="0"/>
              <w:rPr>
                <w:rFonts w:hint="eastAsia"/>
                <w:color w:val="auto"/>
                <w:highlight w:val="none"/>
                <w:lang w:eastAsia="zh-CN"/>
              </w:rPr>
            </w:pPr>
          </w:p>
        </w:tc>
        <w:tc>
          <w:tcPr>
            <w:tcW w:w="1278" w:type="pct"/>
            <w:vMerge w:val="continue"/>
            <w:vAlign w:val="center"/>
          </w:tcPr>
          <w:p w14:paraId="12B3A98C">
            <w:pPr>
              <w:pStyle w:val="17"/>
              <w:bidi w:val="0"/>
              <w:ind w:firstLine="0" w:firstLineChars="0"/>
              <w:rPr>
                <w:rFonts w:hint="eastAsia"/>
                <w:color w:val="auto"/>
                <w:highlight w:val="none"/>
                <w:lang w:val="en-US" w:eastAsia="zh-CN"/>
              </w:rPr>
            </w:pPr>
          </w:p>
        </w:tc>
        <w:tc>
          <w:tcPr>
            <w:tcW w:w="468" w:type="pct"/>
            <w:shd w:val="clear" w:color="auto" w:fill="auto"/>
            <w:vAlign w:val="center"/>
          </w:tcPr>
          <w:p w14:paraId="2BD28293">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54696173">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42B7082">
            <w:pPr>
              <w:pStyle w:val="17"/>
              <w:bidi w:val="0"/>
              <w:rPr>
                <w:rFonts w:hint="eastAsia"/>
                <w:color w:val="auto"/>
                <w:highlight w:val="none"/>
                <w:lang w:val="en-US" w:eastAsia="zh-CN"/>
              </w:rPr>
            </w:pPr>
          </w:p>
        </w:tc>
        <w:tc>
          <w:tcPr>
            <w:tcW w:w="850" w:type="dxa"/>
            <w:vAlign w:val="center"/>
          </w:tcPr>
          <w:p w14:paraId="376E068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6671990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57D0937F">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24B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0A97EE26">
            <w:pPr>
              <w:pStyle w:val="17"/>
              <w:bidi w:val="0"/>
              <w:rPr>
                <w:color w:val="auto"/>
                <w:highlight w:val="none"/>
              </w:rPr>
            </w:pPr>
          </w:p>
        </w:tc>
        <w:tc>
          <w:tcPr>
            <w:tcW w:w="406" w:type="pct"/>
            <w:vMerge w:val="continue"/>
            <w:vAlign w:val="center"/>
          </w:tcPr>
          <w:p w14:paraId="0394E0F9">
            <w:pPr>
              <w:pStyle w:val="17"/>
              <w:bidi w:val="0"/>
              <w:rPr>
                <w:rFonts w:hint="eastAsia"/>
                <w:color w:val="auto"/>
                <w:highlight w:val="none"/>
                <w:lang w:eastAsia="zh-CN"/>
              </w:rPr>
            </w:pPr>
          </w:p>
        </w:tc>
        <w:tc>
          <w:tcPr>
            <w:tcW w:w="1278" w:type="pct"/>
            <w:vMerge w:val="continue"/>
            <w:vAlign w:val="center"/>
          </w:tcPr>
          <w:p w14:paraId="40092A7F">
            <w:pPr>
              <w:pStyle w:val="17"/>
              <w:bidi w:val="0"/>
              <w:ind w:firstLine="0" w:firstLineChars="0"/>
              <w:rPr>
                <w:rFonts w:hint="eastAsia"/>
                <w:color w:val="auto"/>
                <w:highlight w:val="none"/>
                <w:lang w:val="en-US" w:eastAsia="zh-CN"/>
              </w:rPr>
            </w:pPr>
          </w:p>
        </w:tc>
        <w:tc>
          <w:tcPr>
            <w:tcW w:w="468" w:type="pct"/>
            <w:shd w:val="clear" w:color="auto" w:fill="auto"/>
            <w:vAlign w:val="center"/>
          </w:tcPr>
          <w:p w14:paraId="54807BA8">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61FE6438">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4150ACD9">
            <w:pPr>
              <w:pStyle w:val="17"/>
              <w:bidi w:val="0"/>
              <w:rPr>
                <w:rFonts w:hint="eastAsia"/>
                <w:color w:val="auto"/>
                <w:highlight w:val="none"/>
                <w:lang w:val="en-US" w:eastAsia="zh-CN"/>
              </w:rPr>
            </w:pPr>
          </w:p>
        </w:tc>
        <w:tc>
          <w:tcPr>
            <w:tcW w:w="850" w:type="dxa"/>
            <w:vAlign w:val="center"/>
          </w:tcPr>
          <w:p w14:paraId="31E6875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27023A7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E362B8F">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15C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5FF754A3">
            <w:pPr>
              <w:pStyle w:val="17"/>
              <w:bidi w:val="0"/>
              <w:rPr>
                <w:color w:val="auto"/>
                <w:highlight w:val="none"/>
              </w:rPr>
            </w:pPr>
          </w:p>
        </w:tc>
        <w:tc>
          <w:tcPr>
            <w:tcW w:w="406" w:type="pct"/>
            <w:vMerge w:val="continue"/>
            <w:vAlign w:val="center"/>
          </w:tcPr>
          <w:p w14:paraId="6D34AE00">
            <w:pPr>
              <w:pStyle w:val="17"/>
              <w:bidi w:val="0"/>
              <w:rPr>
                <w:rFonts w:hint="eastAsia"/>
                <w:color w:val="auto"/>
                <w:highlight w:val="none"/>
                <w:lang w:eastAsia="zh-CN"/>
              </w:rPr>
            </w:pPr>
          </w:p>
        </w:tc>
        <w:tc>
          <w:tcPr>
            <w:tcW w:w="1278" w:type="pct"/>
            <w:vMerge w:val="restart"/>
            <w:vAlign w:val="center"/>
          </w:tcPr>
          <w:p w14:paraId="775EB477">
            <w:pPr>
              <w:pStyle w:val="17"/>
              <w:bidi w:val="0"/>
              <w:ind w:firstLine="0" w:firstLineChars="0"/>
              <w:rPr>
                <w:rFonts w:hint="eastAsia"/>
                <w:color w:val="auto"/>
                <w:highlight w:val="none"/>
                <w:lang w:eastAsia="zh-CN"/>
              </w:rPr>
            </w:pPr>
            <w:r>
              <w:rPr>
                <w:rFonts w:hint="eastAsia"/>
                <w:color w:val="auto"/>
                <w:highlight w:val="none"/>
                <w:lang w:val="en-US" w:eastAsia="zh-CN"/>
              </w:rPr>
              <w:t>2026年3月3日-4日</w:t>
            </w:r>
          </w:p>
        </w:tc>
        <w:tc>
          <w:tcPr>
            <w:tcW w:w="468" w:type="pct"/>
            <w:shd w:val="clear" w:color="auto" w:fill="auto"/>
            <w:vAlign w:val="center"/>
          </w:tcPr>
          <w:p w14:paraId="798D251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第一次</w:t>
            </w:r>
          </w:p>
        </w:tc>
        <w:tc>
          <w:tcPr>
            <w:tcW w:w="592" w:type="pct"/>
            <w:vAlign w:val="center"/>
          </w:tcPr>
          <w:p w14:paraId="7006A890">
            <w:pPr>
              <w:pStyle w:val="17"/>
              <w:bidi w:val="0"/>
              <w:rPr>
                <w:rFonts w:hint="default"/>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08A013F2">
            <w:pPr>
              <w:pStyle w:val="17"/>
              <w:bidi w:val="0"/>
              <w:rPr>
                <w:rFonts w:hint="eastAsia"/>
                <w:color w:val="auto"/>
                <w:highlight w:val="none"/>
                <w:lang w:val="en-US" w:eastAsia="zh-CN"/>
              </w:rPr>
            </w:pPr>
          </w:p>
        </w:tc>
        <w:tc>
          <w:tcPr>
            <w:tcW w:w="850" w:type="dxa"/>
            <w:vAlign w:val="center"/>
          </w:tcPr>
          <w:p w14:paraId="56AD05A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697EE6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750D52CD">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0F88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37EF1C32">
            <w:pPr>
              <w:pStyle w:val="17"/>
              <w:bidi w:val="0"/>
              <w:rPr>
                <w:color w:val="auto"/>
                <w:highlight w:val="none"/>
              </w:rPr>
            </w:pPr>
          </w:p>
        </w:tc>
        <w:tc>
          <w:tcPr>
            <w:tcW w:w="406" w:type="pct"/>
            <w:vMerge w:val="continue"/>
            <w:vAlign w:val="center"/>
          </w:tcPr>
          <w:p w14:paraId="41E4CDA0">
            <w:pPr>
              <w:pStyle w:val="17"/>
              <w:bidi w:val="0"/>
              <w:rPr>
                <w:rFonts w:hint="eastAsia"/>
                <w:color w:val="auto"/>
                <w:highlight w:val="none"/>
                <w:lang w:eastAsia="zh-CN"/>
              </w:rPr>
            </w:pPr>
          </w:p>
        </w:tc>
        <w:tc>
          <w:tcPr>
            <w:tcW w:w="1278" w:type="pct"/>
            <w:vMerge w:val="continue"/>
            <w:vAlign w:val="center"/>
          </w:tcPr>
          <w:p w14:paraId="18EEB76D">
            <w:pPr>
              <w:pStyle w:val="17"/>
              <w:bidi w:val="0"/>
              <w:ind w:firstLine="0" w:firstLineChars="0"/>
              <w:rPr>
                <w:rFonts w:hint="eastAsia"/>
                <w:color w:val="auto"/>
                <w:highlight w:val="none"/>
                <w:lang w:val="en-US" w:eastAsia="zh-CN"/>
              </w:rPr>
            </w:pPr>
          </w:p>
        </w:tc>
        <w:tc>
          <w:tcPr>
            <w:tcW w:w="468" w:type="pct"/>
            <w:shd w:val="clear" w:color="auto" w:fill="auto"/>
            <w:vAlign w:val="center"/>
          </w:tcPr>
          <w:p w14:paraId="4B38C227">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第二次</w:t>
            </w:r>
          </w:p>
        </w:tc>
        <w:tc>
          <w:tcPr>
            <w:tcW w:w="592" w:type="pct"/>
            <w:vAlign w:val="center"/>
          </w:tcPr>
          <w:p w14:paraId="055E49B5">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42694A53">
            <w:pPr>
              <w:pStyle w:val="17"/>
              <w:bidi w:val="0"/>
              <w:rPr>
                <w:rFonts w:hint="eastAsia"/>
                <w:color w:val="auto"/>
                <w:highlight w:val="none"/>
                <w:lang w:val="en-US" w:eastAsia="zh-CN"/>
              </w:rPr>
            </w:pPr>
          </w:p>
        </w:tc>
        <w:tc>
          <w:tcPr>
            <w:tcW w:w="850" w:type="dxa"/>
            <w:vAlign w:val="center"/>
          </w:tcPr>
          <w:p w14:paraId="3B6156A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28578D0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645ADA1C">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3358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D906A75">
            <w:pPr>
              <w:pStyle w:val="17"/>
              <w:bidi w:val="0"/>
              <w:rPr>
                <w:color w:val="auto"/>
                <w:highlight w:val="none"/>
              </w:rPr>
            </w:pPr>
          </w:p>
        </w:tc>
        <w:tc>
          <w:tcPr>
            <w:tcW w:w="406" w:type="pct"/>
            <w:vMerge w:val="continue"/>
            <w:vAlign w:val="center"/>
          </w:tcPr>
          <w:p w14:paraId="6EF9BC40">
            <w:pPr>
              <w:pStyle w:val="17"/>
              <w:bidi w:val="0"/>
              <w:rPr>
                <w:rFonts w:hint="eastAsia"/>
                <w:color w:val="auto"/>
                <w:highlight w:val="none"/>
                <w:lang w:eastAsia="zh-CN"/>
              </w:rPr>
            </w:pPr>
          </w:p>
        </w:tc>
        <w:tc>
          <w:tcPr>
            <w:tcW w:w="1278" w:type="pct"/>
            <w:vMerge w:val="continue"/>
            <w:vAlign w:val="center"/>
          </w:tcPr>
          <w:p w14:paraId="4D4ED9D9">
            <w:pPr>
              <w:pStyle w:val="17"/>
              <w:bidi w:val="0"/>
              <w:ind w:firstLine="0" w:firstLineChars="0"/>
              <w:rPr>
                <w:rFonts w:hint="eastAsia"/>
                <w:color w:val="auto"/>
                <w:highlight w:val="none"/>
                <w:lang w:val="en-US" w:eastAsia="zh-CN"/>
              </w:rPr>
            </w:pPr>
          </w:p>
        </w:tc>
        <w:tc>
          <w:tcPr>
            <w:tcW w:w="468" w:type="pct"/>
            <w:shd w:val="clear" w:color="auto" w:fill="auto"/>
            <w:vAlign w:val="center"/>
          </w:tcPr>
          <w:p w14:paraId="093A20FD">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6FFBCD9E">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D159617">
            <w:pPr>
              <w:pStyle w:val="17"/>
              <w:bidi w:val="0"/>
              <w:rPr>
                <w:rFonts w:hint="eastAsia"/>
                <w:color w:val="auto"/>
                <w:highlight w:val="none"/>
                <w:lang w:val="en-US" w:eastAsia="zh-CN"/>
              </w:rPr>
            </w:pPr>
          </w:p>
        </w:tc>
        <w:tc>
          <w:tcPr>
            <w:tcW w:w="850" w:type="dxa"/>
            <w:vAlign w:val="center"/>
          </w:tcPr>
          <w:p w14:paraId="121ED69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78C09C0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120F8D29">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14E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54404161">
            <w:pPr>
              <w:pStyle w:val="17"/>
              <w:bidi w:val="0"/>
              <w:rPr>
                <w:color w:val="auto"/>
                <w:highlight w:val="none"/>
              </w:rPr>
            </w:pPr>
          </w:p>
        </w:tc>
        <w:tc>
          <w:tcPr>
            <w:tcW w:w="406" w:type="pct"/>
            <w:vMerge w:val="continue"/>
            <w:vAlign w:val="center"/>
          </w:tcPr>
          <w:p w14:paraId="536AADE6">
            <w:pPr>
              <w:pStyle w:val="17"/>
              <w:bidi w:val="0"/>
              <w:rPr>
                <w:rFonts w:hint="eastAsia"/>
                <w:color w:val="auto"/>
                <w:highlight w:val="none"/>
                <w:lang w:eastAsia="zh-CN"/>
              </w:rPr>
            </w:pPr>
          </w:p>
        </w:tc>
        <w:tc>
          <w:tcPr>
            <w:tcW w:w="1278" w:type="pct"/>
            <w:vMerge w:val="continue"/>
            <w:vAlign w:val="center"/>
          </w:tcPr>
          <w:p w14:paraId="757F8CCE">
            <w:pPr>
              <w:pStyle w:val="17"/>
              <w:bidi w:val="0"/>
              <w:ind w:firstLine="0" w:firstLineChars="0"/>
              <w:rPr>
                <w:rFonts w:hint="eastAsia"/>
                <w:color w:val="auto"/>
                <w:highlight w:val="none"/>
                <w:lang w:val="en-US" w:eastAsia="zh-CN"/>
              </w:rPr>
            </w:pPr>
          </w:p>
        </w:tc>
        <w:tc>
          <w:tcPr>
            <w:tcW w:w="468" w:type="pct"/>
            <w:shd w:val="clear" w:color="auto" w:fill="auto"/>
            <w:vAlign w:val="center"/>
          </w:tcPr>
          <w:p w14:paraId="778219B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197CFF40">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3DB6C029">
            <w:pPr>
              <w:pStyle w:val="17"/>
              <w:bidi w:val="0"/>
              <w:rPr>
                <w:rFonts w:hint="eastAsia"/>
                <w:color w:val="auto"/>
                <w:highlight w:val="none"/>
                <w:lang w:val="en-US" w:eastAsia="zh-CN"/>
              </w:rPr>
            </w:pPr>
          </w:p>
        </w:tc>
        <w:tc>
          <w:tcPr>
            <w:tcW w:w="850" w:type="dxa"/>
            <w:vAlign w:val="center"/>
          </w:tcPr>
          <w:p w14:paraId="77FFDAB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773057B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6C6E370A">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C8E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BF81940">
            <w:pPr>
              <w:pStyle w:val="17"/>
              <w:bidi w:val="0"/>
              <w:rPr>
                <w:color w:val="auto"/>
                <w:highlight w:val="none"/>
              </w:rPr>
            </w:pPr>
          </w:p>
        </w:tc>
        <w:tc>
          <w:tcPr>
            <w:tcW w:w="406" w:type="pct"/>
            <w:vMerge w:val="continue"/>
            <w:vAlign w:val="center"/>
          </w:tcPr>
          <w:p w14:paraId="41734634">
            <w:pPr>
              <w:pStyle w:val="17"/>
              <w:bidi w:val="0"/>
              <w:rPr>
                <w:rFonts w:hint="eastAsia"/>
                <w:color w:val="auto"/>
                <w:highlight w:val="none"/>
                <w:lang w:eastAsia="zh-CN"/>
              </w:rPr>
            </w:pPr>
          </w:p>
        </w:tc>
        <w:tc>
          <w:tcPr>
            <w:tcW w:w="1278" w:type="pct"/>
            <w:vMerge w:val="restart"/>
            <w:vAlign w:val="center"/>
          </w:tcPr>
          <w:p w14:paraId="0B1167D6">
            <w:pPr>
              <w:pStyle w:val="17"/>
              <w:bidi w:val="0"/>
              <w:ind w:firstLine="0" w:firstLineChars="0"/>
              <w:rPr>
                <w:rFonts w:hint="eastAsia"/>
                <w:color w:val="auto"/>
                <w:highlight w:val="none"/>
                <w:lang w:eastAsia="zh-CN"/>
              </w:rPr>
            </w:pPr>
            <w:r>
              <w:rPr>
                <w:rFonts w:hint="eastAsia"/>
                <w:color w:val="auto"/>
                <w:highlight w:val="none"/>
                <w:lang w:val="en-US" w:eastAsia="zh-CN"/>
              </w:rPr>
              <w:t>2026年3月4日-5日</w:t>
            </w:r>
          </w:p>
        </w:tc>
        <w:tc>
          <w:tcPr>
            <w:tcW w:w="468" w:type="pct"/>
            <w:shd w:val="clear" w:color="auto" w:fill="auto"/>
            <w:vAlign w:val="center"/>
          </w:tcPr>
          <w:p w14:paraId="3B18432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第一次</w:t>
            </w:r>
          </w:p>
        </w:tc>
        <w:tc>
          <w:tcPr>
            <w:tcW w:w="592" w:type="pct"/>
            <w:vAlign w:val="center"/>
          </w:tcPr>
          <w:p w14:paraId="0851812A">
            <w:pPr>
              <w:pStyle w:val="17"/>
              <w:bidi w:val="0"/>
              <w:rPr>
                <w:rFonts w:hint="default"/>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0A7A8CA8">
            <w:pPr>
              <w:pStyle w:val="17"/>
              <w:bidi w:val="0"/>
              <w:rPr>
                <w:rFonts w:hint="eastAsia"/>
                <w:color w:val="auto"/>
                <w:highlight w:val="none"/>
                <w:lang w:val="en-US" w:eastAsia="zh-CN"/>
              </w:rPr>
            </w:pPr>
          </w:p>
        </w:tc>
        <w:tc>
          <w:tcPr>
            <w:tcW w:w="850" w:type="dxa"/>
            <w:vAlign w:val="center"/>
          </w:tcPr>
          <w:p w14:paraId="53DA236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437217A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15857A4E">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5A36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2C245DA7">
            <w:pPr>
              <w:pStyle w:val="17"/>
              <w:bidi w:val="0"/>
              <w:rPr>
                <w:color w:val="auto"/>
                <w:highlight w:val="none"/>
              </w:rPr>
            </w:pPr>
          </w:p>
        </w:tc>
        <w:tc>
          <w:tcPr>
            <w:tcW w:w="406" w:type="pct"/>
            <w:vMerge w:val="continue"/>
            <w:vAlign w:val="center"/>
          </w:tcPr>
          <w:p w14:paraId="34F514E1">
            <w:pPr>
              <w:pStyle w:val="17"/>
              <w:bidi w:val="0"/>
              <w:rPr>
                <w:rFonts w:hint="eastAsia"/>
                <w:color w:val="auto"/>
                <w:highlight w:val="none"/>
                <w:lang w:eastAsia="zh-CN"/>
              </w:rPr>
            </w:pPr>
          </w:p>
        </w:tc>
        <w:tc>
          <w:tcPr>
            <w:tcW w:w="1278" w:type="pct"/>
            <w:vMerge w:val="continue"/>
            <w:vAlign w:val="center"/>
          </w:tcPr>
          <w:p w14:paraId="68BA16EA">
            <w:pPr>
              <w:pStyle w:val="17"/>
              <w:bidi w:val="0"/>
              <w:ind w:firstLine="0" w:firstLineChars="0"/>
              <w:rPr>
                <w:rFonts w:hint="eastAsia"/>
                <w:color w:val="auto"/>
                <w:highlight w:val="none"/>
                <w:lang w:val="en-US" w:eastAsia="zh-CN"/>
              </w:rPr>
            </w:pPr>
          </w:p>
        </w:tc>
        <w:tc>
          <w:tcPr>
            <w:tcW w:w="468" w:type="pct"/>
            <w:shd w:val="clear" w:color="auto" w:fill="auto"/>
            <w:vAlign w:val="center"/>
          </w:tcPr>
          <w:p w14:paraId="763A478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第二次</w:t>
            </w:r>
          </w:p>
        </w:tc>
        <w:tc>
          <w:tcPr>
            <w:tcW w:w="592" w:type="pct"/>
            <w:vAlign w:val="center"/>
          </w:tcPr>
          <w:p w14:paraId="6060D8EB">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5EB9EEB1">
            <w:pPr>
              <w:pStyle w:val="17"/>
              <w:bidi w:val="0"/>
              <w:rPr>
                <w:rFonts w:hint="eastAsia"/>
                <w:color w:val="auto"/>
                <w:highlight w:val="none"/>
                <w:lang w:val="en-US" w:eastAsia="zh-CN"/>
              </w:rPr>
            </w:pPr>
          </w:p>
        </w:tc>
        <w:tc>
          <w:tcPr>
            <w:tcW w:w="850" w:type="dxa"/>
            <w:vAlign w:val="center"/>
          </w:tcPr>
          <w:p w14:paraId="5902685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816F27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BD1A531">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9AC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91E52FA">
            <w:pPr>
              <w:pStyle w:val="17"/>
              <w:bidi w:val="0"/>
              <w:rPr>
                <w:color w:val="auto"/>
                <w:highlight w:val="none"/>
              </w:rPr>
            </w:pPr>
          </w:p>
        </w:tc>
        <w:tc>
          <w:tcPr>
            <w:tcW w:w="406" w:type="pct"/>
            <w:vMerge w:val="continue"/>
            <w:vAlign w:val="center"/>
          </w:tcPr>
          <w:p w14:paraId="586AA0EB">
            <w:pPr>
              <w:pStyle w:val="17"/>
              <w:bidi w:val="0"/>
              <w:rPr>
                <w:rFonts w:hint="eastAsia"/>
                <w:color w:val="auto"/>
                <w:highlight w:val="none"/>
                <w:lang w:eastAsia="zh-CN"/>
              </w:rPr>
            </w:pPr>
          </w:p>
        </w:tc>
        <w:tc>
          <w:tcPr>
            <w:tcW w:w="1278" w:type="pct"/>
            <w:vMerge w:val="continue"/>
            <w:vAlign w:val="center"/>
          </w:tcPr>
          <w:p w14:paraId="0108948B">
            <w:pPr>
              <w:pStyle w:val="17"/>
              <w:bidi w:val="0"/>
              <w:ind w:firstLine="0" w:firstLineChars="0"/>
              <w:rPr>
                <w:rFonts w:hint="eastAsia"/>
                <w:color w:val="auto"/>
                <w:highlight w:val="none"/>
                <w:lang w:val="en-US" w:eastAsia="zh-CN"/>
              </w:rPr>
            </w:pPr>
          </w:p>
        </w:tc>
        <w:tc>
          <w:tcPr>
            <w:tcW w:w="468" w:type="pct"/>
            <w:shd w:val="clear" w:color="auto" w:fill="auto"/>
            <w:vAlign w:val="center"/>
          </w:tcPr>
          <w:p w14:paraId="59E0F6F2">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2ED784C1">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08219DA7">
            <w:pPr>
              <w:pStyle w:val="17"/>
              <w:bidi w:val="0"/>
              <w:rPr>
                <w:rFonts w:hint="eastAsia"/>
                <w:color w:val="auto"/>
                <w:highlight w:val="none"/>
                <w:lang w:val="en-US" w:eastAsia="zh-CN"/>
              </w:rPr>
            </w:pPr>
          </w:p>
        </w:tc>
        <w:tc>
          <w:tcPr>
            <w:tcW w:w="850" w:type="dxa"/>
            <w:vAlign w:val="center"/>
          </w:tcPr>
          <w:p w14:paraId="2FFDEED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6DC8C3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C154034">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02AC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9296C2F">
            <w:pPr>
              <w:pStyle w:val="17"/>
              <w:bidi w:val="0"/>
              <w:rPr>
                <w:color w:val="auto"/>
                <w:highlight w:val="none"/>
              </w:rPr>
            </w:pPr>
          </w:p>
        </w:tc>
        <w:tc>
          <w:tcPr>
            <w:tcW w:w="406" w:type="pct"/>
            <w:vMerge w:val="continue"/>
            <w:vAlign w:val="center"/>
          </w:tcPr>
          <w:p w14:paraId="107FE67E">
            <w:pPr>
              <w:pStyle w:val="17"/>
              <w:bidi w:val="0"/>
              <w:rPr>
                <w:rFonts w:hint="eastAsia"/>
                <w:color w:val="auto"/>
                <w:highlight w:val="none"/>
                <w:lang w:eastAsia="zh-CN"/>
              </w:rPr>
            </w:pPr>
          </w:p>
        </w:tc>
        <w:tc>
          <w:tcPr>
            <w:tcW w:w="1278" w:type="pct"/>
            <w:vMerge w:val="continue"/>
            <w:vAlign w:val="center"/>
          </w:tcPr>
          <w:p w14:paraId="59AFF46E">
            <w:pPr>
              <w:pStyle w:val="17"/>
              <w:bidi w:val="0"/>
              <w:ind w:firstLine="0" w:firstLineChars="0"/>
              <w:rPr>
                <w:rFonts w:hint="eastAsia"/>
                <w:color w:val="auto"/>
                <w:highlight w:val="none"/>
                <w:lang w:val="en-US" w:eastAsia="zh-CN"/>
              </w:rPr>
            </w:pPr>
          </w:p>
        </w:tc>
        <w:tc>
          <w:tcPr>
            <w:tcW w:w="468" w:type="pct"/>
            <w:shd w:val="clear" w:color="auto" w:fill="auto"/>
            <w:vAlign w:val="center"/>
          </w:tcPr>
          <w:p w14:paraId="451A634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02ABEF01">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5DE64D18">
            <w:pPr>
              <w:pStyle w:val="17"/>
              <w:bidi w:val="0"/>
              <w:rPr>
                <w:rFonts w:hint="eastAsia"/>
                <w:color w:val="auto"/>
                <w:highlight w:val="none"/>
                <w:lang w:val="en-US" w:eastAsia="zh-CN"/>
              </w:rPr>
            </w:pPr>
          </w:p>
        </w:tc>
        <w:tc>
          <w:tcPr>
            <w:tcW w:w="850" w:type="dxa"/>
            <w:vAlign w:val="center"/>
          </w:tcPr>
          <w:p w14:paraId="19B6D63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50816E5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E29BA9D">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105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062E0FB3">
            <w:pPr>
              <w:pStyle w:val="17"/>
              <w:bidi w:val="0"/>
              <w:rPr>
                <w:color w:val="auto"/>
                <w:highlight w:val="none"/>
              </w:rPr>
            </w:pPr>
          </w:p>
        </w:tc>
        <w:tc>
          <w:tcPr>
            <w:tcW w:w="406" w:type="pct"/>
            <w:vMerge w:val="continue"/>
            <w:vAlign w:val="center"/>
          </w:tcPr>
          <w:p w14:paraId="48A376A4">
            <w:pPr>
              <w:pStyle w:val="17"/>
              <w:bidi w:val="0"/>
              <w:rPr>
                <w:rFonts w:hint="eastAsia"/>
                <w:color w:val="auto"/>
                <w:highlight w:val="none"/>
                <w:lang w:eastAsia="zh-CN"/>
              </w:rPr>
            </w:pPr>
          </w:p>
        </w:tc>
        <w:tc>
          <w:tcPr>
            <w:tcW w:w="1278" w:type="pct"/>
            <w:vMerge w:val="restart"/>
            <w:vAlign w:val="center"/>
          </w:tcPr>
          <w:p w14:paraId="4761D3F3">
            <w:pPr>
              <w:pStyle w:val="17"/>
              <w:bidi w:val="0"/>
              <w:ind w:firstLine="0" w:firstLineChars="0"/>
              <w:rPr>
                <w:rFonts w:hint="eastAsia"/>
                <w:color w:val="auto"/>
                <w:highlight w:val="none"/>
                <w:lang w:eastAsia="zh-CN"/>
              </w:rPr>
            </w:pPr>
            <w:r>
              <w:rPr>
                <w:rFonts w:hint="eastAsia"/>
                <w:color w:val="auto"/>
                <w:highlight w:val="none"/>
                <w:lang w:val="en-US" w:eastAsia="zh-CN"/>
              </w:rPr>
              <w:t>2026年3月5日-6日</w:t>
            </w:r>
          </w:p>
        </w:tc>
        <w:tc>
          <w:tcPr>
            <w:tcW w:w="468" w:type="pct"/>
            <w:shd w:val="clear" w:color="auto" w:fill="auto"/>
            <w:vAlign w:val="center"/>
          </w:tcPr>
          <w:p w14:paraId="3A4A3FFF">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第一次</w:t>
            </w:r>
          </w:p>
        </w:tc>
        <w:tc>
          <w:tcPr>
            <w:tcW w:w="592" w:type="pct"/>
            <w:vAlign w:val="center"/>
          </w:tcPr>
          <w:p w14:paraId="1577B9FA">
            <w:pPr>
              <w:pStyle w:val="17"/>
              <w:bidi w:val="0"/>
              <w:rPr>
                <w:rFonts w:hint="default"/>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AFC62DA">
            <w:pPr>
              <w:pStyle w:val="17"/>
              <w:bidi w:val="0"/>
              <w:rPr>
                <w:rFonts w:hint="eastAsia"/>
                <w:color w:val="auto"/>
                <w:highlight w:val="none"/>
                <w:lang w:val="en-US" w:eastAsia="zh-CN"/>
              </w:rPr>
            </w:pPr>
          </w:p>
        </w:tc>
        <w:tc>
          <w:tcPr>
            <w:tcW w:w="850" w:type="dxa"/>
            <w:vAlign w:val="center"/>
          </w:tcPr>
          <w:p w14:paraId="67A9C1A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7EBC9C8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67F25ED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2B5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7BC7BECF">
            <w:pPr>
              <w:pStyle w:val="17"/>
              <w:bidi w:val="0"/>
              <w:rPr>
                <w:color w:val="auto"/>
                <w:highlight w:val="none"/>
              </w:rPr>
            </w:pPr>
            <w:bookmarkStart w:id="574" w:name="_Toc7374"/>
            <w:bookmarkStart w:id="575" w:name="_Toc10684"/>
            <w:bookmarkStart w:id="576" w:name="_Toc11554"/>
          </w:p>
        </w:tc>
        <w:tc>
          <w:tcPr>
            <w:tcW w:w="406" w:type="pct"/>
            <w:vMerge w:val="continue"/>
            <w:vAlign w:val="center"/>
          </w:tcPr>
          <w:p w14:paraId="36021C5E">
            <w:pPr>
              <w:pStyle w:val="17"/>
              <w:bidi w:val="0"/>
              <w:rPr>
                <w:rFonts w:hint="eastAsia"/>
                <w:color w:val="auto"/>
                <w:highlight w:val="none"/>
                <w:lang w:eastAsia="zh-CN"/>
              </w:rPr>
            </w:pPr>
          </w:p>
        </w:tc>
        <w:tc>
          <w:tcPr>
            <w:tcW w:w="1278" w:type="pct"/>
            <w:vMerge w:val="continue"/>
            <w:vAlign w:val="center"/>
          </w:tcPr>
          <w:p w14:paraId="2114A802">
            <w:pPr>
              <w:pStyle w:val="17"/>
              <w:bidi w:val="0"/>
              <w:ind w:firstLine="0" w:firstLineChars="0"/>
              <w:rPr>
                <w:rFonts w:hint="eastAsia"/>
                <w:color w:val="auto"/>
                <w:highlight w:val="none"/>
                <w:lang w:val="en-US" w:eastAsia="zh-CN"/>
              </w:rPr>
            </w:pPr>
          </w:p>
        </w:tc>
        <w:tc>
          <w:tcPr>
            <w:tcW w:w="468" w:type="pct"/>
            <w:shd w:val="clear" w:color="auto" w:fill="auto"/>
            <w:vAlign w:val="center"/>
          </w:tcPr>
          <w:p w14:paraId="21E91C13">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第二次</w:t>
            </w:r>
          </w:p>
        </w:tc>
        <w:tc>
          <w:tcPr>
            <w:tcW w:w="592" w:type="pct"/>
            <w:vAlign w:val="center"/>
          </w:tcPr>
          <w:p w14:paraId="31FD6AD5">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1E77C3DE">
            <w:pPr>
              <w:pStyle w:val="17"/>
              <w:bidi w:val="0"/>
              <w:rPr>
                <w:rFonts w:hint="eastAsia"/>
                <w:color w:val="auto"/>
                <w:highlight w:val="none"/>
                <w:lang w:val="en-US" w:eastAsia="zh-CN"/>
              </w:rPr>
            </w:pPr>
          </w:p>
        </w:tc>
        <w:tc>
          <w:tcPr>
            <w:tcW w:w="850" w:type="dxa"/>
            <w:vAlign w:val="center"/>
          </w:tcPr>
          <w:p w14:paraId="45BEBA2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051BED5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755995DC">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E58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69FB2EDF">
            <w:pPr>
              <w:pStyle w:val="17"/>
              <w:bidi w:val="0"/>
              <w:rPr>
                <w:color w:val="auto"/>
                <w:highlight w:val="none"/>
              </w:rPr>
            </w:pPr>
          </w:p>
        </w:tc>
        <w:tc>
          <w:tcPr>
            <w:tcW w:w="406" w:type="pct"/>
            <w:vMerge w:val="continue"/>
            <w:vAlign w:val="center"/>
          </w:tcPr>
          <w:p w14:paraId="15FCF401">
            <w:pPr>
              <w:pStyle w:val="17"/>
              <w:bidi w:val="0"/>
              <w:rPr>
                <w:rFonts w:hint="eastAsia"/>
                <w:color w:val="auto"/>
                <w:highlight w:val="none"/>
                <w:lang w:eastAsia="zh-CN"/>
              </w:rPr>
            </w:pPr>
          </w:p>
        </w:tc>
        <w:tc>
          <w:tcPr>
            <w:tcW w:w="1278" w:type="pct"/>
            <w:vMerge w:val="continue"/>
            <w:vAlign w:val="center"/>
          </w:tcPr>
          <w:p w14:paraId="14B040BB">
            <w:pPr>
              <w:pStyle w:val="17"/>
              <w:bidi w:val="0"/>
              <w:ind w:firstLine="0" w:firstLineChars="0"/>
              <w:rPr>
                <w:rFonts w:hint="eastAsia"/>
                <w:color w:val="auto"/>
                <w:highlight w:val="none"/>
                <w:lang w:val="en-US" w:eastAsia="zh-CN"/>
              </w:rPr>
            </w:pPr>
          </w:p>
        </w:tc>
        <w:tc>
          <w:tcPr>
            <w:tcW w:w="468" w:type="pct"/>
            <w:shd w:val="clear" w:color="auto" w:fill="auto"/>
            <w:vAlign w:val="center"/>
          </w:tcPr>
          <w:p w14:paraId="39632336">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1C67B88C">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94AD4A6">
            <w:pPr>
              <w:pStyle w:val="17"/>
              <w:bidi w:val="0"/>
              <w:rPr>
                <w:rFonts w:hint="eastAsia"/>
                <w:color w:val="auto"/>
                <w:highlight w:val="none"/>
                <w:lang w:val="en-US" w:eastAsia="zh-CN"/>
              </w:rPr>
            </w:pPr>
          </w:p>
        </w:tc>
        <w:tc>
          <w:tcPr>
            <w:tcW w:w="850" w:type="dxa"/>
            <w:vAlign w:val="center"/>
          </w:tcPr>
          <w:p w14:paraId="6D270FF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C2C9D6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6BC381BC">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D94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3FAA982">
            <w:pPr>
              <w:pStyle w:val="17"/>
              <w:bidi w:val="0"/>
              <w:rPr>
                <w:color w:val="auto"/>
                <w:highlight w:val="none"/>
              </w:rPr>
            </w:pPr>
          </w:p>
        </w:tc>
        <w:tc>
          <w:tcPr>
            <w:tcW w:w="406" w:type="pct"/>
            <w:vMerge w:val="continue"/>
            <w:vAlign w:val="center"/>
          </w:tcPr>
          <w:p w14:paraId="38DF6999">
            <w:pPr>
              <w:pStyle w:val="17"/>
              <w:bidi w:val="0"/>
              <w:rPr>
                <w:rFonts w:hint="eastAsia"/>
                <w:color w:val="auto"/>
                <w:highlight w:val="none"/>
                <w:lang w:eastAsia="zh-CN"/>
              </w:rPr>
            </w:pPr>
          </w:p>
        </w:tc>
        <w:tc>
          <w:tcPr>
            <w:tcW w:w="1278" w:type="pct"/>
            <w:vMerge w:val="continue"/>
            <w:vAlign w:val="center"/>
          </w:tcPr>
          <w:p w14:paraId="1A56EAE0">
            <w:pPr>
              <w:pStyle w:val="17"/>
              <w:bidi w:val="0"/>
              <w:ind w:firstLine="0" w:firstLineChars="0"/>
              <w:rPr>
                <w:rFonts w:hint="eastAsia"/>
                <w:color w:val="auto"/>
                <w:highlight w:val="none"/>
                <w:lang w:val="en-US" w:eastAsia="zh-CN"/>
              </w:rPr>
            </w:pPr>
          </w:p>
        </w:tc>
        <w:tc>
          <w:tcPr>
            <w:tcW w:w="468" w:type="pct"/>
            <w:shd w:val="clear" w:color="auto" w:fill="auto"/>
            <w:vAlign w:val="center"/>
          </w:tcPr>
          <w:p w14:paraId="3DEC383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第三次</w:t>
            </w:r>
          </w:p>
        </w:tc>
        <w:tc>
          <w:tcPr>
            <w:tcW w:w="592" w:type="pct"/>
            <w:vAlign w:val="center"/>
          </w:tcPr>
          <w:p w14:paraId="1A778163">
            <w:pPr>
              <w:pStyle w:val="17"/>
              <w:bidi w:val="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093CA9CD">
            <w:pPr>
              <w:pStyle w:val="17"/>
              <w:bidi w:val="0"/>
              <w:rPr>
                <w:rFonts w:hint="eastAsia"/>
                <w:color w:val="auto"/>
                <w:highlight w:val="none"/>
                <w:lang w:val="en-US" w:eastAsia="zh-CN"/>
              </w:rPr>
            </w:pPr>
          </w:p>
        </w:tc>
        <w:tc>
          <w:tcPr>
            <w:tcW w:w="850" w:type="dxa"/>
            <w:vAlign w:val="center"/>
          </w:tcPr>
          <w:p w14:paraId="24234CD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8A2905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B3952F9">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5100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restart"/>
            <w:vAlign w:val="center"/>
          </w:tcPr>
          <w:p w14:paraId="2A61302E">
            <w:pPr>
              <w:pStyle w:val="17"/>
              <w:bidi w:val="0"/>
              <w:rPr>
                <w:rFonts w:hint="default" w:eastAsia="宋体"/>
                <w:color w:val="auto"/>
                <w:highlight w:val="none"/>
                <w:lang w:val="en-US" w:eastAsia="zh-CN"/>
              </w:rPr>
            </w:pPr>
            <w:r>
              <w:rPr>
                <w:rFonts w:hint="eastAsia"/>
                <w:color w:val="auto"/>
                <w:highlight w:val="none"/>
                <w:lang w:val="en-US" w:eastAsia="zh-CN"/>
              </w:rPr>
              <w:t>W2</w:t>
            </w:r>
          </w:p>
        </w:tc>
        <w:tc>
          <w:tcPr>
            <w:tcW w:w="406" w:type="pct"/>
            <w:vMerge w:val="restart"/>
            <w:vAlign w:val="center"/>
          </w:tcPr>
          <w:p w14:paraId="3E805B2F">
            <w:pPr>
              <w:pStyle w:val="17"/>
              <w:bidi w:val="0"/>
              <w:rPr>
                <w:rFonts w:hint="default"/>
                <w:color w:val="auto"/>
                <w:highlight w:val="none"/>
                <w:lang w:val="en-US" w:eastAsia="zh-CN"/>
              </w:rPr>
            </w:pPr>
            <w:r>
              <w:rPr>
                <w:rFonts w:hint="eastAsia"/>
                <w:color w:val="auto"/>
                <w:highlight w:val="none"/>
                <w:lang w:val="en-US" w:eastAsia="zh-CN"/>
              </w:rPr>
              <w:t>硫酸雾</w:t>
            </w:r>
          </w:p>
        </w:tc>
        <w:tc>
          <w:tcPr>
            <w:tcW w:w="1278" w:type="pct"/>
            <w:vMerge w:val="restart"/>
            <w:vAlign w:val="center"/>
          </w:tcPr>
          <w:p w14:paraId="271C0529">
            <w:pPr>
              <w:pStyle w:val="17"/>
              <w:bidi w:val="0"/>
              <w:ind w:firstLine="0" w:firstLineChars="0"/>
              <w:rPr>
                <w:rFonts w:hint="eastAsia"/>
                <w:color w:val="auto"/>
                <w:highlight w:val="none"/>
                <w:lang w:val="en-US" w:eastAsia="zh-CN"/>
              </w:rPr>
            </w:pPr>
            <w:r>
              <w:rPr>
                <w:rFonts w:hint="eastAsia"/>
                <w:color w:val="auto"/>
                <w:highlight w:val="none"/>
                <w:lang w:val="en-US" w:eastAsia="zh-CN"/>
              </w:rPr>
              <w:t>2026年2月27日-28日</w:t>
            </w:r>
          </w:p>
        </w:tc>
        <w:tc>
          <w:tcPr>
            <w:tcW w:w="468" w:type="pct"/>
            <w:shd w:val="clear" w:color="auto" w:fill="auto"/>
            <w:vAlign w:val="center"/>
          </w:tcPr>
          <w:p w14:paraId="51B60210">
            <w:pPr>
              <w:pStyle w:val="17"/>
              <w:bidi w:val="0"/>
              <w:ind w:firstLine="0" w:firstLineChars="0"/>
              <w:rPr>
                <w:rFonts w:hint="eastAsia"/>
                <w:color w:val="auto"/>
                <w:highlight w:val="none"/>
                <w:lang w:val="en-US" w:eastAsia="zh-CN"/>
              </w:rPr>
            </w:pPr>
            <w:r>
              <w:rPr>
                <w:rFonts w:hint="eastAsia"/>
                <w:color w:val="auto"/>
                <w:highlight w:val="none"/>
                <w:lang w:val="en-US" w:eastAsia="zh-CN"/>
              </w:rPr>
              <w:t>第一次</w:t>
            </w:r>
          </w:p>
        </w:tc>
        <w:tc>
          <w:tcPr>
            <w:tcW w:w="592" w:type="pct"/>
            <w:vAlign w:val="center"/>
          </w:tcPr>
          <w:p w14:paraId="2E3B09FE">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17CC291D">
            <w:pPr>
              <w:pStyle w:val="17"/>
              <w:bidi w:val="0"/>
              <w:rPr>
                <w:rFonts w:hint="eastAsia"/>
                <w:color w:val="auto"/>
                <w:highlight w:val="none"/>
                <w:lang w:val="en-US" w:eastAsia="zh-CN"/>
              </w:rPr>
            </w:pPr>
          </w:p>
        </w:tc>
        <w:tc>
          <w:tcPr>
            <w:tcW w:w="850" w:type="dxa"/>
            <w:vAlign w:val="center"/>
          </w:tcPr>
          <w:p w14:paraId="144B363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53DF004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5B9CFD8">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3CFA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5C0832D">
            <w:pPr>
              <w:pStyle w:val="17"/>
              <w:bidi w:val="0"/>
              <w:rPr>
                <w:color w:val="auto"/>
                <w:highlight w:val="none"/>
              </w:rPr>
            </w:pPr>
          </w:p>
        </w:tc>
        <w:tc>
          <w:tcPr>
            <w:tcW w:w="406" w:type="pct"/>
            <w:vMerge w:val="continue"/>
            <w:vAlign w:val="center"/>
          </w:tcPr>
          <w:p w14:paraId="273941EF">
            <w:pPr>
              <w:pStyle w:val="17"/>
              <w:bidi w:val="0"/>
              <w:rPr>
                <w:rFonts w:hint="eastAsia"/>
                <w:color w:val="auto"/>
                <w:highlight w:val="none"/>
                <w:lang w:eastAsia="zh-CN"/>
              </w:rPr>
            </w:pPr>
          </w:p>
        </w:tc>
        <w:tc>
          <w:tcPr>
            <w:tcW w:w="1278" w:type="pct"/>
            <w:vMerge w:val="continue"/>
            <w:vAlign w:val="center"/>
          </w:tcPr>
          <w:p w14:paraId="08B82F31">
            <w:pPr>
              <w:pStyle w:val="17"/>
              <w:bidi w:val="0"/>
              <w:ind w:firstLine="0" w:firstLineChars="0"/>
              <w:rPr>
                <w:rFonts w:hint="eastAsia"/>
                <w:color w:val="auto"/>
                <w:highlight w:val="none"/>
                <w:lang w:val="en-US" w:eastAsia="zh-CN"/>
              </w:rPr>
            </w:pPr>
          </w:p>
        </w:tc>
        <w:tc>
          <w:tcPr>
            <w:tcW w:w="468" w:type="pct"/>
            <w:shd w:val="clear" w:color="auto" w:fill="auto"/>
            <w:vAlign w:val="center"/>
          </w:tcPr>
          <w:p w14:paraId="27FB2AD9">
            <w:pPr>
              <w:pStyle w:val="17"/>
              <w:bidi w:val="0"/>
              <w:ind w:firstLine="0" w:firstLineChars="0"/>
              <w:rPr>
                <w:rFonts w:hint="eastAsia"/>
                <w:color w:val="auto"/>
                <w:highlight w:val="none"/>
                <w:lang w:val="en-US" w:eastAsia="zh-CN"/>
              </w:rPr>
            </w:pPr>
            <w:r>
              <w:rPr>
                <w:rFonts w:hint="eastAsia"/>
                <w:color w:val="auto"/>
                <w:highlight w:val="none"/>
                <w:lang w:val="en-US" w:eastAsia="zh-CN"/>
              </w:rPr>
              <w:t>第二次</w:t>
            </w:r>
          </w:p>
        </w:tc>
        <w:tc>
          <w:tcPr>
            <w:tcW w:w="592" w:type="pct"/>
            <w:vAlign w:val="center"/>
          </w:tcPr>
          <w:p w14:paraId="6CD80DDF">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9A05B77">
            <w:pPr>
              <w:pStyle w:val="17"/>
              <w:bidi w:val="0"/>
              <w:rPr>
                <w:rFonts w:hint="eastAsia"/>
                <w:color w:val="auto"/>
                <w:highlight w:val="none"/>
                <w:lang w:val="en-US" w:eastAsia="zh-CN"/>
              </w:rPr>
            </w:pPr>
          </w:p>
        </w:tc>
        <w:tc>
          <w:tcPr>
            <w:tcW w:w="850" w:type="dxa"/>
            <w:vAlign w:val="center"/>
          </w:tcPr>
          <w:p w14:paraId="0E5E5CD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5B83FBE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0499A770">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30B0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7B9E9FC7">
            <w:pPr>
              <w:pStyle w:val="17"/>
              <w:bidi w:val="0"/>
              <w:rPr>
                <w:color w:val="auto"/>
                <w:highlight w:val="none"/>
              </w:rPr>
            </w:pPr>
          </w:p>
        </w:tc>
        <w:tc>
          <w:tcPr>
            <w:tcW w:w="406" w:type="pct"/>
            <w:vMerge w:val="continue"/>
            <w:vAlign w:val="center"/>
          </w:tcPr>
          <w:p w14:paraId="590A4F16">
            <w:pPr>
              <w:pStyle w:val="17"/>
              <w:bidi w:val="0"/>
              <w:rPr>
                <w:rFonts w:hint="eastAsia"/>
                <w:color w:val="auto"/>
                <w:highlight w:val="none"/>
                <w:lang w:eastAsia="zh-CN"/>
              </w:rPr>
            </w:pPr>
          </w:p>
        </w:tc>
        <w:tc>
          <w:tcPr>
            <w:tcW w:w="1278" w:type="pct"/>
            <w:vMerge w:val="continue"/>
            <w:vAlign w:val="center"/>
          </w:tcPr>
          <w:p w14:paraId="5D9A9D33">
            <w:pPr>
              <w:pStyle w:val="17"/>
              <w:bidi w:val="0"/>
              <w:ind w:firstLine="0" w:firstLineChars="0"/>
              <w:rPr>
                <w:rFonts w:hint="eastAsia"/>
                <w:color w:val="auto"/>
                <w:highlight w:val="none"/>
                <w:lang w:val="en-US" w:eastAsia="zh-CN"/>
              </w:rPr>
            </w:pPr>
          </w:p>
        </w:tc>
        <w:tc>
          <w:tcPr>
            <w:tcW w:w="468" w:type="pct"/>
            <w:shd w:val="clear" w:color="auto" w:fill="auto"/>
            <w:vAlign w:val="center"/>
          </w:tcPr>
          <w:p w14:paraId="036986E1">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35166CB9">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36947ADC">
            <w:pPr>
              <w:pStyle w:val="17"/>
              <w:bidi w:val="0"/>
              <w:rPr>
                <w:rFonts w:hint="eastAsia"/>
                <w:color w:val="auto"/>
                <w:highlight w:val="none"/>
                <w:lang w:val="en-US" w:eastAsia="zh-CN"/>
              </w:rPr>
            </w:pPr>
          </w:p>
        </w:tc>
        <w:tc>
          <w:tcPr>
            <w:tcW w:w="850" w:type="dxa"/>
            <w:vAlign w:val="center"/>
          </w:tcPr>
          <w:p w14:paraId="6CCEFF9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3694D3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C0356B2">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E99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EE5571E">
            <w:pPr>
              <w:pStyle w:val="17"/>
              <w:bidi w:val="0"/>
              <w:rPr>
                <w:color w:val="auto"/>
                <w:highlight w:val="none"/>
              </w:rPr>
            </w:pPr>
          </w:p>
        </w:tc>
        <w:tc>
          <w:tcPr>
            <w:tcW w:w="406" w:type="pct"/>
            <w:vMerge w:val="continue"/>
            <w:vAlign w:val="center"/>
          </w:tcPr>
          <w:p w14:paraId="01D8163E">
            <w:pPr>
              <w:pStyle w:val="17"/>
              <w:bidi w:val="0"/>
              <w:rPr>
                <w:rFonts w:hint="eastAsia"/>
                <w:color w:val="auto"/>
                <w:highlight w:val="none"/>
                <w:lang w:eastAsia="zh-CN"/>
              </w:rPr>
            </w:pPr>
          </w:p>
        </w:tc>
        <w:tc>
          <w:tcPr>
            <w:tcW w:w="1278" w:type="pct"/>
            <w:vMerge w:val="continue"/>
            <w:vAlign w:val="center"/>
          </w:tcPr>
          <w:p w14:paraId="1F36D944">
            <w:pPr>
              <w:pStyle w:val="17"/>
              <w:bidi w:val="0"/>
              <w:ind w:firstLine="0" w:firstLineChars="0"/>
              <w:rPr>
                <w:rFonts w:hint="eastAsia"/>
                <w:color w:val="auto"/>
                <w:highlight w:val="none"/>
                <w:lang w:val="en-US" w:eastAsia="zh-CN"/>
              </w:rPr>
            </w:pPr>
          </w:p>
        </w:tc>
        <w:tc>
          <w:tcPr>
            <w:tcW w:w="468" w:type="pct"/>
            <w:shd w:val="clear" w:color="auto" w:fill="auto"/>
            <w:vAlign w:val="center"/>
          </w:tcPr>
          <w:p w14:paraId="2AF16548">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692732A1">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2331B564">
            <w:pPr>
              <w:pStyle w:val="17"/>
              <w:bidi w:val="0"/>
              <w:rPr>
                <w:rFonts w:hint="eastAsia"/>
                <w:color w:val="auto"/>
                <w:highlight w:val="none"/>
                <w:lang w:val="en-US" w:eastAsia="zh-CN"/>
              </w:rPr>
            </w:pPr>
          </w:p>
        </w:tc>
        <w:tc>
          <w:tcPr>
            <w:tcW w:w="850" w:type="dxa"/>
            <w:vAlign w:val="center"/>
          </w:tcPr>
          <w:p w14:paraId="43CD3C6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7A09A2D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F7BC04D">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F4F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620AAB9E">
            <w:pPr>
              <w:pStyle w:val="17"/>
              <w:bidi w:val="0"/>
              <w:rPr>
                <w:color w:val="auto"/>
                <w:highlight w:val="none"/>
              </w:rPr>
            </w:pPr>
          </w:p>
        </w:tc>
        <w:tc>
          <w:tcPr>
            <w:tcW w:w="406" w:type="pct"/>
            <w:vMerge w:val="continue"/>
            <w:vAlign w:val="center"/>
          </w:tcPr>
          <w:p w14:paraId="49D6E8ED">
            <w:pPr>
              <w:pStyle w:val="17"/>
              <w:bidi w:val="0"/>
              <w:rPr>
                <w:rFonts w:hint="eastAsia"/>
                <w:color w:val="auto"/>
                <w:highlight w:val="none"/>
                <w:lang w:eastAsia="zh-CN"/>
              </w:rPr>
            </w:pPr>
          </w:p>
        </w:tc>
        <w:tc>
          <w:tcPr>
            <w:tcW w:w="1278" w:type="pct"/>
            <w:vMerge w:val="restart"/>
            <w:vAlign w:val="center"/>
          </w:tcPr>
          <w:p w14:paraId="27682493">
            <w:pPr>
              <w:pStyle w:val="17"/>
              <w:bidi w:val="0"/>
              <w:ind w:firstLine="0" w:firstLineChars="0"/>
              <w:rPr>
                <w:rFonts w:hint="eastAsia"/>
                <w:color w:val="auto"/>
                <w:highlight w:val="none"/>
                <w:lang w:val="en-US" w:eastAsia="zh-CN"/>
              </w:rPr>
            </w:pPr>
            <w:r>
              <w:rPr>
                <w:rFonts w:hint="eastAsia"/>
                <w:color w:val="auto"/>
                <w:highlight w:val="none"/>
                <w:lang w:val="en-US" w:eastAsia="zh-CN"/>
              </w:rPr>
              <w:t>2026年2月28日-1日</w:t>
            </w:r>
          </w:p>
        </w:tc>
        <w:tc>
          <w:tcPr>
            <w:tcW w:w="468" w:type="pct"/>
            <w:shd w:val="clear" w:color="auto" w:fill="auto"/>
            <w:vAlign w:val="center"/>
          </w:tcPr>
          <w:p w14:paraId="71955522">
            <w:pPr>
              <w:pStyle w:val="17"/>
              <w:bidi w:val="0"/>
              <w:ind w:firstLine="0" w:firstLineChars="0"/>
              <w:rPr>
                <w:rFonts w:hint="eastAsia"/>
                <w:color w:val="auto"/>
                <w:highlight w:val="none"/>
                <w:lang w:val="en-US" w:eastAsia="zh-CN"/>
              </w:rPr>
            </w:pPr>
            <w:r>
              <w:rPr>
                <w:rFonts w:hint="eastAsia"/>
                <w:color w:val="auto"/>
                <w:highlight w:val="none"/>
                <w:lang w:val="en-US" w:eastAsia="zh-CN"/>
              </w:rPr>
              <w:t>第一次</w:t>
            </w:r>
          </w:p>
        </w:tc>
        <w:tc>
          <w:tcPr>
            <w:tcW w:w="592" w:type="pct"/>
            <w:vAlign w:val="center"/>
          </w:tcPr>
          <w:p w14:paraId="5A275020">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5EBD8BF9">
            <w:pPr>
              <w:pStyle w:val="17"/>
              <w:bidi w:val="0"/>
              <w:rPr>
                <w:rFonts w:hint="eastAsia"/>
                <w:color w:val="auto"/>
                <w:highlight w:val="none"/>
                <w:lang w:val="en-US" w:eastAsia="zh-CN"/>
              </w:rPr>
            </w:pPr>
          </w:p>
        </w:tc>
        <w:tc>
          <w:tcPr>
            <w:tcW w:w="850" w:type="dxa"/>
            <w:vAlign w:val="center"/>
          </w:tcPr>
          <w:p w14:paraId="6C1AD42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CABA5A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E92DF18">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340B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5C169B47">
            <w:pPr>
              <w:pStyle w:val="17"/>
              <w:bidi w:val="0"/>
              <w:rPr>
                <w:color w:val="auto"/>
                <w:highlight w:val="none"/>
              </w:rPr>
            </w:pPr>
          </w:p>
        </w:tc>
        <w:tc>
          <w:tcPr>
            <w:tcW w:w="406" w:type="pct"/>
            <w:vMerge w:val="continue"/>
            <w:vAlign w:val="center"/>
          </w:tcPr>
          <w:p w14:paraId="202CBDBF">
            <w:pPr>
              <w:pStyle w:val="17"/>
              <w:bidi w:val="0"/>
              <w:rPr>
                <w:rFonts w:hint="eastAsia"/>
                <w:color w:val="auto"/>
                <w:highlight w:val="none"/>
                <w:lang w:eastAsia="zh-CN"/>
              </w:rPr>
            </w:pPr>
          </w:p>
        </w:tc>
        <w:tc>
          <w:tcPr>
            <w:tcW w:w="1278" w:type="pct"/>
            <w:vMerge w:val="continue"/>
            <w:vAlign w:val="center"/>
          </w:tcPr>
          <w:p w14:paraId="16F69BEB">
            <w:pPr>
              <w:pStyle w:val="17"/>
              <w:bidi w:val="0"/>
              <w:ind w:firstLine="0" w:firstLineChars="0"/>
              <w:rPr>
                <w:rFonts w:hint="eastAsia"/>
                <w:color w:val="auto"/>
                <w:highlight w:val="none"/>
                <w:lang w:val="en-US" w:eastAsia="zh-CN"/>
              </w:rPr>
            </w:pPr>
          </w:p>
        </w:tc>
        <w:tc>
          <w:tcPr>
            <w:tcW w:w="468" w:type="pct"/>
            <w:shd w:val="clear" w:color="auto" w:fill="auto"/>
            <w:vAlign w:val="center"/>
          </w:tcPr>
          <w:p w14:paraId="2CF16ACA">
            <w:pPr>
              <w:pStyle w:val="17"/>
              <w:bidi w:val="0"/>
              <w:ind w:firstLine="0" w:firstLineChars="0"/>
              <w:rPr>
                <w:rFonts w:hint="eastAsia"/>
                <w:color w:val="auto"/>
                <w:highlight w:val="none"/>
                <w:lang w:val="en-US" w:eastAsia="zh-CN"/>
              </w:rPr>
            </w:pPr>
            <w:r>
              <w:rPr>
                <w:rFonts w:hint="eastAsia"/>
                <w:color w:val="auto"/>
                <w:highlight w:val="none"/>
                <w:lang w:val="en-US" w:eastAsia="zh-CN"/>
              </w:rPr>
              <w:t>第二次</w:t>
            </w:r>
          </w:p>
        </w:tc>
        <w:tc>
          <w:tcPr>
            <w:tcW w:w="592" w:type="pct"/>
            <w:vAlign w:val="center"/>
          </w:tcPr>
          <w:p w14:paraId="1DC290E7">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D42A470">
            <w:pPr>
              <w:pStyle w:val="17"/>
              <w:bidi w:val="0"/>
              <w:rPr>
                <w:rFonts w:hint="eastAsia"/>
                <w:color w:val="auto"/>
                <w:highlight w:val="none"/>
                <w:lang w:val="en-US" w:eastAsia="zh-CN"/>
              </w:rPr>
            </w:pPr>
          </w:p>
        </w:tc>
        <w:tc>
          <w:tcPr>
            <w:tcW w:w="850" w:type="dxa"/>
            <w:vAlign w:val="center"/>
          </w:tcPr>
          <w:p w14:paraId="1E8E209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1BC0240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030F4BF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865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63341852">
            <w:pPr>
              <w:pStyle w:val="17"/>
              <w:bidi w:val="0"/>
              <w:rPr>
                <w:color w:val="auto"/>
                <w:highlight w:val="none"/>
              </w:rPr>
            </w:pPr>
          </w:p>
        </w:tc>
        <w:tc>
          <w:tcPr>
            <w:tcW w:w="406" w:type="pct"/>
            <w:vMerge w:val="continue"/>
            <w:vAlign w:val="center"/>
          </w:tcPr>
          <w:p w14:paraId="2EECB368">
            <w:pPr>
              <w:pStyle w:val="17"/>
              <w:bidi w:val="0"/>
              <w:rPr>
                <w:rFonts w:hint="eastAsia"/>
                <w:color w:val="auto"/>
                <w:highlight w:val="none"/>
                <w:lang w:eastAsia="zh-CN"/>
              </w:rPr>
            </w:pPr>
          </w:p>
        </w:tc>
        <w:tc>
          <w:tcPr>
            <w:tcW w:w="1278" w:type="pct"/>
            <w:vMerge w:val="continue"/>
            <w:vAlign w:val="center"/>
          </w:tcPr>
          <w:p w14:paraId="2DD9659B">
            <w:pPr>
              <w:pStyle w:val="17"/>
              <w:bidi w:val="0"/>
              <w:ind w:firstLine="0" w:firstLineChars="0"/>
              <w:rPr>
                <w:rFonts w:hint="eastAsia"/>
                <w:color w:val="auto"/>
                <w:highlight w:val="none"/>
                <w:lang w:val="en-US" w:eastAsia="zh-CN"/>
              </w:rPr>
            </w:pPr>
          </w:p>
        </w:tc>
        <w:tc>
          <w:tcPr>
            <w:tcW w:w="468" w:type="pct"/>
            <w:shd w:val="clear" w:color="auto" w:fill="auto"/>
            <w:vAlign w:val="center"/>
          </w:tcPr>
          <w:p w14:paraId="4E8DD9B8">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6AD591F8">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49DF3A3D">
            <w:pPr>
              <w:pStyle w:val="17"/>
              <w:bidi w:val="0"/>
              <w:rPr>
                <w:rFonts w:hint="eastAsia"/>
                <w:color w:val="auto"/>
                <w:highlight w:val="none"/>
                <w:lang w:val="en-US" w:eastAsia="zh-CN"/>
              </w:rPr>
            </w:pPr>
          </w:p>
        </w:tc>
        <w:tc>
          <w:tcPr>
            <w:tcW w:w="850" w:type="dxa"/>
            <w:vAlign w:val="center"/>
          </w:tcPr>
          <w:p w14:paraId="40CA310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4E61535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4D6B57F">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6E5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51DB6F1">
            <w:pPr>
              <w:pStyle w:val="17"/>
              <w:bidi w:val="0"/>
              <w:rPr>
                <w:color w:val="auto"/>
                <w:highlight w:val="none"/>
              </w:rPr>
            </w:pPr>
          </w:p>
        </w:tc>
        <w:tc>
          <w:tcPr>
            <w:tcW w:w="406" w:type="pct"/>
            <w:vMerge w:val="continue"/>
            <w:vAlign w:val="center"/>
          </w:tcPr>
          <w:p w14:paraId="1F12B922">
            <w:pPr>
              <w:pStyle w:val="17"/>
              <w:bidi w:val="0"/>
              <w:rPr>
                <w:rFonts w:hint="eastAsia"/>
                <w:color w:val="auto"/>
                <w:highlight w:val="none"/>
                <w:lang w:eastAsia="zh-CN"/>
              </w:rPr>
            </w:pPr>
          </w:p>
        </w:tc>
        <w:tc>
          <w:tcPr>
            <w:tcW w:w="1278" w:type="pct"/>
            <w:vMerge w:val="continue"/>
            <w:vAlign w:val="center"/>
          </w:tcPr>
          <w:p w14:paraId="07380EFD">
            <w:pPr>
              <w:pStyle w:val="17"/>
              <w:bidi w:val="0"/>
              <w:ind w:firstLine="0" w:firstLineChars="0"/>
              <w:rPr>
                <w:rFonts w:hint="eastAsia"/>
                <w:color w:val="auto"/>
                <w:highlight w:val="none"/>
                <w:lang w:val="en-US" w:eastAsia="zh-CN"/>
              </w:rPr>
            </w:pPr>
          </w:p>
        </w:tc>
        <w:tc>
          <w:tcPr>
            <w:tcW w:w="468" w:type="pct"/>
            <w:shd w:val="clear" w:color="auto" w:fill="auto"/>
            <w:vAlign w:val="center"/>
          </w:tcPr>
          <w:p w14:paraId="0A8C5B75">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21805863">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43C9068">
            <w:pPr>
              <w:pStyle w:val="17"/>
              <w:bidi w:val="0"/>
              <w:rPr>
                <w:rFonts w:hint="eastAsia"/>
                <w:color w:val="auto"/>
                <w:highlight w:val="none"/>
                <w:lang w:val="en-US" w:eastAsia="zh-CN"/>
              </w:rPr>
            </w:pPr>
          </w:p>
        </w:tc>
        <w:tc>
          <w:tcPr>
            <w:tcW w:w="850" w:type="dxa"/>
            <w:vAlign w:val="center"/>
          </w:tcPr>
          <w:p w14:paraId="216FA2E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1103FF8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11F71CE4">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6DB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FED7DA2">
            <w:pPr>
              <w:pStyle w:val="17"/>
              <w:bidi w:val="0"/>
              <w:rPr>
                <w:color w:val="auto"/>
                <w:highlight w:val="none"/>
              </w:rPr>
            </w:pPr>
          </w:p>
        </w:tc>
        <w:tc>
          <w:tcPr>
            <w:tcW w:w="406" w:type="pct"/>
            <w:vMerge w:val="continue"/>
            <w:vAlign w:val="center"/>
          </w:tcPr>
          <w:p w14:paraId="6BDB0356">
            <w:pPr>
              <w:pStyle w:val="17"/>
              <w:bidi w:val="0"/>
              <w:rPr>
                <w:rFonts w:hint="eastAsia"/>
                <w:color w:val="auto"/>
                <w:highlight w:val="none"/>
                <w:lang w:eastAsia="zh-CN"/>
              </w:rPr>
            </w:pPr>
          </w:p>
        </w:tc>
        <w:tc>
          <w:tcPr>
            <w:tcW w:w="1278" w:type="pct"/>
            <w:vMerge w:val="restart"/>
            <w:vAlign w:val="center"/>
          </w:tcPr>
          <w:p w14:paraId="61B8A726">
            <w:pPr>
              <w:pStyle w:val="17"/>
              <w:bidi w:val="0"/>
              <w:ind w:firstLine="0" w:firstLineChars="0"/>
              <w:rPr>
                <w:rFonts w:hint="eastAsia"/>
                <w:color w:val="auto"/>
                <w:highlight w:val="none"/>
                <w:lang w:val="en-US" w:eastAsia="zh-CN"/>
              </w:rPr>
            </w:pPr>
            <w:r>
              <w:rPr>
                <w:rFonts w:hint="eastAsia"/>
                <w:color w:val="auto"/>
                <w:highlight w:val="none"/>
                <w:lang w:val="en-US" w:eastAsia="zh-CN"/>
              </w:rPr>
              <w:t>2026年3月1日-2日</w:t>
            </w:r>
          </w:p>
        </w:tc>
        <w:tc>
          <w:tcPr>
            <w:tcW w:w="468" w:type="pct"/>
            <w:shd w:val="clear" w:color="auto" w:fill="auto"/>
            <w:vAlign w:val="center"/>
          </w:tcPr>
          <w:p w14:paraId="37FF73CF">
            <w:pPr>
              <w:pStyle w:val="17"/>
              <w:bidi w:val="0"/>
              <w:ind w:firstLine="0" w:firstLineChars="0"/>
              <w:rPr>
                <w:rFonts w:hint="eastAsia"/>
                <w:color w:val="auto"/>
                <w:highlight w:val="none"/>
                <w:lang w:val="en-US" w:eastAsia="zh-CN"/>
              </w:rPr>
            </w:pPr>
            <w:r>
              <w:rPr>
                <w:rFonts w:hint="eastAsia"/>
                <w:color w:val="auto"/>
                <w:highlight w:val="none"/>
                <w:lang w:val="en-US" w:eastAsia="zh-CN"/>
              </w:rPr>
              <w:t>第一次</w:t>
            </w:r>
          </w:p>
        </w:tc>
        <w:tc>
          <w:tcPr>
            <w:tcW w:w="592" w:type="pct"/>
            <w:vAlign w:val="center"/>
          </w:tcPr>
          <w:p w14:paraId="2BEA45B5">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36FC6D11">
            <w:pPr>
              <w:pStyle w:val="17"/>
              <w:bidi w:val="0"/>
              <w:rPr>
                <w:rFonts w:hint="eastAsia"/>
                <w:color w:val="auto"/>
                <w:highlight w:val="none"/>
                <w:lang w:val="en-US" w:eastAsia="zh-CN"/>
              </w:rPr>
            </w:pPr>
          </w:p>
        </w:tc>
        <w:tc>
          <w:tcPr>
            <w:tcW w:w="850" w:type="dxa"/>
            <w:vAlign w:val="center"/>
          </w:tcPr>
          <w:p w14:paraId="1CEA558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4E1E1C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562024EF">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5A04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CA8573D">
            <w:pPr>
              <w:pStyle w:val="17"/>
              <w:bidi w:val="0"/>
              <w:rPr>
                <w:color w:val="auto"/>
                <w:highlight w:val="none"/>
              </w:rPr>
            </w:pPr>
          </w:p>
        </w:tc>
        <w:tc>
          <w:tcPr>
            <w:tcW w:w="406" w:type="pct"/>
            <w:vMerge w:val="continue"/>
            <w:vAlign w:val="center"/>
          </w:tcPr>
          <w:p w14:paraId="07658039">
            <w:pPr>
              <w:pStyle w:val="17"/>
              <w:bidi w:val="0"/>
              <w:rPr>
                <w:rFonts w:hint="eastAsia"/>
                <w:color w:val="auto"/>
                <w:highlight w:val="none"/>
                <w:lang w:eastAsia="zh-CN"/>
              </w:rPr>
            </w:pPr>
          </w:p>
        </w:tc>
        <w:tc>
          <w:tcPr>
            <w:tcW w:w="1278" w:type="pct"/>
            <w:vMerge w:val="continue"/>
            <w:vAlign w:val="center"/>
          </w:tcPr>
          <w:p w14:paraId="2B3280B3">
            <w:pPr>
              <w:pStyle w:val="17"/>
              <w:bidi w:val="0"/>
              <w:ind w:firstLine="0" w:firstLineChars="0"/>
              <w:rPr>
                <w:rFonts w:hint="eastAsia"/>
                <w:color w:val="auto"/>
                <w:highlight w:val="none"/>
                <w:lang w:val="en-US" w:eastAsia="zh-CN"/>
              </w:rPr>
            </w:pPr>
          </w:p>
        </w:tc>
        <w:tc>
          <w:tcPr>
            <w:tcW w:w="468" w:type="pct"/>
            <w:shd w:val="clear" w:color="auto" w:fill="auto"/>
            <w:vAlign w:val="center"/>
          </w:tcPr>
          <w:p w14:paraId="05455D28">
            <w:pPr>
              <w:pStyle w:val="17"/>
              <w:bidi w:val="0"/>
              <w:ind w:firstLine="0" w:firstLineChars="0"/>
              <w:rPr>
                <w:rFonts w:hint="eastAsia"/>
                <w:color w:val="auto"/>
                <w:highlight w:val="none"/>
                <w:lang w:val="en-US" w:eastAsia="zh-CN"/>
              </w:rPr>
            </w:pPr>
            <w:r>
              <w:rPr>
                <w:rFonts w:hint="eastAsia"/>
                <w:color w:val="auto"/>
                <w:highlight w:val="none"/>
                <w:lang w:val="en-US" w:eastAsia="zh-CN"/>
              </w:rPr>
              <w:t>第二次</w:t>
            </w:r>
          </w:p>
        </w:tc>
        <w:tc>
          <w:tcPr>
            <w:tcW w:w="592" w:type="pct"/>
            <w:vAlign w:val="center"/>
          </w:tcPr>
          <w:p w14:paraId="4CEAEEB4">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0287193B">
            <w:pPr>
              <w:pStyle w:val="17"/>
              <w:bidi w:val="0"/>
              <w:rPr>
                <w:rFonts w:hint="eastAsia"/>
                <w:color w:val="auto"/>
                <w:highlight w:val="none"/>
                <w:lang w:val="en-US" w:eastAsia="zh-CN"/>
              </w:rPr>
            </w:pPr>
          </w:p>
        </w:tc>
        <w:tc>
          <w:tcPr>
            <w:tcW w:w="850" w:type="dxa"/>
            <w:vAlign w:val="center"/>
          </w:tcPr>
          <w:p w14:paraId="2E42017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220DEC6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1D39B221">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580B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76AF9C4C">
            <w:pPr>
              <w:pStyle w:val="17"/>
              <w:bidi w:val="0"/>
              <w:rPr>
                <w:color w:val="auto"/>
                <w:highlight w:val="none"/>
              </w:rPr>
            </w:pPr>
          </w:p>
        </w:tc>
        <w:tc>
          <w:tcPr>
            <w:tcW w:w="406" w:type="pct"/>
            <w:vMerge w:val="continue"/>
            <w:vAlign w:val="center"/>
          </w:tcPr>
          <w:p w14:paraId="23A6C447">
            <w:pPr>
              <w:pStyle w:val="17"/>
              <w:bidi w:val="0"/>
              <w:rPr>
                <w:rFonts w:hint="eastAsia"/>
                <w:color w:val="auto"/>
                <w:highlight w:val="none"/>
                <w:lang w:eastAsia="zh-CN"/>
              </w:rPr>
            </w:pPr>
          </w:p>
        </w:tc>
        <w:tc>
          <w:tcPr>
            <w:tcW w:w="1278" w:type="pct"/>
            <w:vMerge w:val="continue"/>
            <w:vAlign w:val="center"/>
          </w:tcPr>
          <w:p w14:paraId="76E48CCD">
            <w:pPr>
              <w:pStyle w:val="17"/>
              <w:bidi w:val="0"/>
              <w:ind w:firstLine="0" w:firstLineChars="0"/>
              <w:rPr>
                <w:rFonts w:hint="eastAsia"/>
                <w:color w:val="auto"/>
                <w:highlight w:val="none"/>
                <w:lang w:val="en-US" w:eastAsia="zh-CN"/>
              </w:rPr>
            </w:pPr>
          </w:p>
        </w:tc>
        <w:tc>
          <w:tcPr>
            <w:tcW w:w="468" w:type="pct"/>
            <w:shd w:val="clear" w:color="auto" w:fill="auto"/>
            <w:vAlign w:val="center"/>
          </w:tcPr>
          <w:p w14:paraId="5FF2DCAC">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3D1263F0">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064B2BAA">
            <w:pPr>
              <w:pStyle w:val="17"/>
              <w:bidi w:val="0"/>
              <w:rPr>
                <w:rFonts w:hint="eastAsia"/>
                <w:color w:val="auto"/>
                <w:highlight w:val="none"/>
                <w:lang w:val="en-US" w:eastAsia="zh-CN"/>
              </w:rPr>
            </w:pPr>
          </w:p>
        </w:tc>
        <w:tc>
          <w:tcPr>
            <w:tcW w:w="850" w:type="dxa"/>
            <w:vAlign w:val="center"/>
          </w:tcPr>
          <w:p w14:paraId="7FEDFAA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46545CC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4426385">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194D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EBBA3C5">
            <w:pPr>
              <w:pStyle w:val="17"/>
              <w:bidi w:val="0"/>
              <w:rPr>
                <w:color w:val="auto"/>
                <w:highlight w:val="none"/>
              </w:rPr>
            </w:pPr>
          </w:p>
        </w:tc>
        <w:tc>
          <w:tcPr>
            <w:tcW w:w="406" w:type="pct"/>
            <w:vMerge w:val="continue"/>
            <w:vAlign w:val="center"/>
          </w:tcPr>
          <w:p w14:paraId="4296E53F">
            <w:pPr>
              <w:pStyle w:val="17"/>
              <w:bidi w:val="0"/>
              <w:rPr>
                <w:rFonts w:hint="eastAsia"/>
                <w:color w:val="auto"/>
                <w:highlight w:val="none"/>
                <w:lang w:eastAsia="zh-CN"/>
              </w:rPr>
            </w:pPr>
          </w:p>
        </w:tc>
        <w:tc>
          <w:tcPr>
            <w:tcW w:w="1278" w:type="pct"/>
            <w:vMerge w:val="continue"/>
            <w:vAlign w:val="center"/>
          </w:tcPr>
          <w:p w14:paraId="3E4EF4A7">
            <w:pPr>
              <w:pStyle w:val="17"/>
              <w:bidi w:val="0"/>
              <w:ind w:firstLine="0" w:firstLineChars="0"/>
              <w:rPr>
                <w:rFonts w:hint="eastAsia"/>
                <w:color w:val="auto"/>
                <w:highlight w:val="none"/>
                <w:lang w:val="en-US" w:eastAsia="zh-CN"/>
              </w:rPr>
            </w:pPr>
          </w:p>
        </w:tc>
        <w:tc>
          <w:tcPr>
            <w:tcW w:w="468" w:type="pct"/>
            <w:shd w:val="clear" w:color="auto" w:fill="auto"/>
            <w:vAlign w:val="center"/>
          </w:tcPr>
          <w:p w14:paraId="59601585">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36D33B48">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3BF00D32">
            <w:pPr>
              <w:pStyle w:val="17"/>
              <w:bidi w:val="0"/>
              <w:rPr>
                <w:rFonts w:hint="eastAsia"/>
                <w:color w:val="auto"/>
                <w:highlight w:val="none"/>
                <w:lang w:val="en-US" w:eastAsia="zh-CN"/>
              </w:rPr>
            </w:pPr>
          </w:p>
        </w:tc>
        <w:tc>
          <w:tcPr>
            <w:tcW w:w="850" w:type="dxa"/>
            <w:vAlign w:val="center"/>
          </w:tcPr>
          <w:p w14:paraId="4B9D3FD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458539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668F4A25">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0A9D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AEFEAA1">
            <w:pPr>
              <w:pStyle w:val="17"/>
              <w:bidi w:val="0"/>
              <w:rPr>
                <w:color w:val="auto"/>
                <w:highlight w:val="none"/>
              </w:rPr>
            </w:pPr>
          </w:p>
        </w:tc>
        <w:tc>
          <w:tcPr>
            <w:tcW w:w="406" w:type="pct"/>
            <w:vMerge w:val="continue"/>
            <w:vAlign w:val="center"/>
          </w:tcPr>
          <w:p w14:paraId="7413E1AD">
            <w:pPr>
              <w:pStyle w:val="17"/>
              <w:bidi w:val="0"/>
              <w:rPr>
                <w:rFonts w:hint="eastAsia"/>
                <w:color w:val="auto"/>
                <w:highlight w:val="none"/>
                <w:lang w:eastAsia="zh-CN"/>
              </w:rPr>
            </w:pPr>
          </w:p>
        </w:tc>
        <w:tc>
          <w:tcPr>
            <w:tcW w:w="1278" w:type="pct"/>
            <w:vMerge w:val="restart"/>
            <w:vAlign w:val="center"/>
          </w:tcPr>
          <w:p w14:paraId="7C66AA37">
            <w:pPr>
              <w:pStyle w:val="17"/>
              <w:bidi w:val="0"/>
              <w:ind w:firstLine="0" w:firstLineChars="0"/>
              <w:rPr>
                <w:rFonts w:hint="eastAsia"/>
                <w:color w:val="auto"/>
                <w:highlight w:val="none"/>
                <w:lang w:val="en-US" w:eastAsia="zh-CN"/>
              </w:rPr>
            </w:pPr>
            <w:r>
              <w:rPr>
                <w:rFonts w:hint="eastAsia"/>
                <w:color w:val="auto"/>
                <w:highlight w:val="none"/>
                <w:lang w:val="en-US" w:eastAsia="zh-CN"/>
              </w:rPr>
              <w:t>2026年3月2日-3日</w:t>
            </w:r>
          </w:p>
        </w:tc>
        <w:tc>
          <w:tcPr>
            <w:tcW w:w="468" w:type="pct"/>
            <w:shd w:val="clear" w:color="auto" w:fill="auto"/>
            <w:vAlign w:val="center"/>
          </w:tcPr>
          <w:p w14:paraId="262BC998">
            <w:pPr>
              <w:pStyle w:val="17"/>
              <w:bidi w:val="0"/>
              <w:ind w:firstLine="0" w:firstLineChars="0"/>
              <w:rPr>
                <w:rFonts w:hint="eastAsia"/>
                <w:color w:val="auto"/>
                <w:highlight w:val="none"/>
                <w:lang w:val="en-US" w:eastAsia="zh-CN"/>
              </w:rPr>
            </w:pPr>
            <w:r>
              <w:rPr>
                <w:rFonts w:hint="eastAsia"/>
                <w:color w:val="auto"/>
                <w:highlight w:val="none"/>
                <w:lang w:val="en-US" w:eastAsia="zh-CN"/>
              </w:rPr>
              <w:t>第一次</w:t>
            </w:r>
          </w:p>
        </w:tc>
        <w:tc>
          <w:tcPr>
            <w:tcW w:w="592" w:type="pct"/>
            <w:vAlign w:val="center"/>
          </w:tcPr>
          <w:p w14:paraId="1112D885">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68EE65C">
            <w:pPr>
              <w:pStyle w:val="17"/>
              <w:bidi w:val="0"/>
              <w:rPr>
                <w:rFonts w:hint="eastAsia"/>
                <w:color w:val="auto"/>
                <w:highlight w:val="none"/>
                <w:lang w:val="en-US" w:eastAsia="zh-CN"/>
              </w:rPr>
            </w:pPr>
          </w:p>
        </w:tc>
        <w:tc>
          <w:tcPr>
            <w:tcW w:w="850" w:type="dxa"/>
            <w:vAlign w:val="center"/>
          </w:tcPr>
          <w:p w14:paraId="254E949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0689017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7E6582B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773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58C8011A">
            <w:pPr>
              <w:pStyle w:val="17"/>
              <w:bidi w:val="0"/>
              <w:rPr>
                <w:color w:val="auto"/>
                <w:highlight w:val="none"/>
              </w:rPr>
            </w:pPr>
          </w:p>
        </w:tc>
        <w:tc>
          <w:tcPr>
            <w:tcW w:w="406" w:type="pct"/>
            <w:vMerge w:val="continue"/>
            <w:vAlign w:val="center"/>
          </w:tcPr>
          <w:p w14:paraId="2F5A2675">
            <w:pPr>
              <w:pStyle w:val="17"/>
              <w:bidi w:val="0"/>
              <w:rPr>
                <w:rFonts w:hint="eastAsia"/>
                <w:color w:val="auto"/>
                <w:highlight w:val="none"/>
                <w:lang w:eastAsia="zh-CN"/>
              </w:rPr>
            </w:pPr>
          </w:p>
        </w:tc>
        <w:tc>
          <w:tcPr>
            <w:tcW w:w="1278" w:type="pct"/>
            <w:vMerge w:val="continue"/>
            <w:vAlign w:val="center"/>
          </w:tcPr>
          <w:p w14:paraId="38B84788">
            <w:pPr>
              <w:pStyle w:val="17"/>
              <w:bidi w:val="0"/>
              <w:ind w:firstLine="0" w:firstLineChars="0"/>
              <w:rPr>
                <w:rFonts w:hint="eastAsia"/>
                <w:color w:val="auto"/>
                <w:highlight w:val="none"/>
                <w:lang w:val="en-US" w:eastAsia="zh-CN"/>
              </w:rPr>
            </w:pPr>
          </w:p>
        </w:tc>
        <w:tc>
          <w:tcPr>
            <w:tcW w:w="468" w:type="pct"/>
            <w:shd w:val="clear" w:color="auto" w:fill="auto"/>
            <w:vAlign w:val="center"/>
          </w:tcPr>
          <w:p w14:paraId="6DE10FF6">
            <w:pPr>
              <w:pStyle w:val="17"/>
              <w:bidi w:val="0"/>
              <w:ind w:firstLine="0" w:firstLineChars="0"/>
              <w:rPr>
                <w:rFonts w:hint="eastAsia"/>
                <w:color w:val="auto"/>
                <w:highlight w:val="none"/>
                <w:lang w:val="en-US" w:eastAsia="zh-CN"/>
              </w:rPr>
            </w:pPr>
            <w:r>
              <w:rPr>
                <w:rFonts w:hint="eastAsia"/>
                <w:color w:val="auto"/>
                <w:highlight w:val="none"/>
                <w:lang w:val="en-US" w:eastAsia="zh-CN"/>
              </w:rPr>
              <w:t>第二次</w:t>
            </w:r>
          </w:p>
        </w:tc>
        <w:tc>
          <w:tcPr>
            <w:tcW w:w="592" w:type="pct"/>
            <w:vAlign w:val="center"/>
          </w:tcPr>
          <w:p w14:paraId="2E4B352B">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4479F1CF">
            <w:pPr>
              <w:pStyle w:val="17"/>
              <w:bidi w:val="0"/>
              <w:rPr>
                <w:rFonts w:hint="eastAsia"/>
                <w:color w:val="auto"/>
                <w:highlight w:val="none"/>
                <w:lang w:val="en-US" w:eastAsia="zh-CN"/>
              </w:rPr>
            </w:pPr>
          </w:p>
        </w:tc>
        <w:tc>
          <w:tcPr>
            <w:tcW w:w="850" w:type="dxa"/>
            <w:vAlign w:val="center"/>
          </w:tcPr>
          <w:p w14:paraId="7ECAFC4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19C1A30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56CAB88E">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6D5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53BD4019">
            <w:pPr>
              <w:pStyle w:val="17"/>
              <w:bidi w:val="0"/>
              <w:rPr>
                <w:color w:val="auto"/>
                <w:highlight w:val="none"/>
              </w:rPr>
            </w:pPr>
          </w:p>
        </w:tc>
        <w:tc>
          <w:tcPr>
            <w:tcW w:w="406" w:type="pct"/>
            <w:vMerge w:val="continue"/>
            <w:vAlign w:val="center"/>
          </w:tcPr>
          <w:p w14:paraId="77FE1A23">
            <w:pPr>
              <w:pStyle w:val="17"/>
              <w:bidi w:val="0"/>
              <w:rPr>
                <w:rFonts w:hint="eastAsia"/>
                <w:color w:val="auto"/>
                <w:highlight w:val="none"/>
                <w:lang w:eastAsia="zh-CN"/>
              </w:rPr>
            </w:pPr>
          </w:p>
        </w:tc>
        <w:tc>
          <w:tcPr>
            <w:tcW w:w="1278" w:type="pct"/>
            <w:vMerge w:val="continue"/>
            <w:vAlign w:val="center"/>
          </w:tcPr>
          <w:p w14:paraId="79631CCD">
            <w:pPr>
              <w:pStyle w:val="17"/>
              <w:bidi w:val="0"/>
              <w:ind w:firstLine="0" w:firstLineChars="0"/>
              <w:rPr>
                <w:rFonts w:hint="eastAsia"/>
                <w:color w:val="auto"/>
                <w:highlight w:val="none"/>
                <w:lang w:val="en-US" w:eastAsia="zh-CN"/>
              </w:rPr>
            </w:pPr>
          </w:p>
        </w:tc>
        <w:tc>
          <w:tcPr>
            <w:tcW w:w="468" w:type="pct"/>
            <w:shd w:val="clear" w:color="auto" w:fill="auto"/>
            <w:vAlign w:val="center"/>
          </w:tcPr>
          <w:p w14:paraId="04220D99">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5C4962E3">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5632321F">
            <w:pPr>
              <w:pStyle w:val="17"/>
              <w:bidi w:val="0"/>
              <w:rPr>
                <w:rFonts w:hint="eastAsia"/>
                <w:color w:val="auto"/>
                <w:highlight w:val="none"/>
                <w:lang w:val="en-US" w:eastAsia="zh-CN"/>
              </w:rPr>
            </w:pPr>
          </w:p>
        </w:tc>
        <w:tc>
          <w:tcPr>
            <w:tcW w:w="850" w:type="dxa"/>
            <w:vAlign w:val="center"/>
          </w:tcPr>
          <w:p w14:paraId="5B2D52D6">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0FBF8EC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7DBA89DB">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00B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7CF176C">
            <w:pPr>
              <w:pStyle w:val="17"/>
              <w:bidi w:val="0"/>
              <w:rPr>
                <w:color w:val="auto"/>
                <w:highlight w:val="none"/>
              </w:rPr>
            </w:pPr>
          </w:p>
        </w:tc>
        <w:tc>
          <w:tcPr>
            <w:tcW w:w="406" w:type="pct"/>
            <w:vMerge w:val="continue"/>
            <w:vAlign w:val="center"/>
          </w:tcPr>
          <w:p w14:paraId="5B1A4A52">
            <w:pPr>
              <w:pStyle w:val="17"/>
              <w:bidi w:val="0"/>
              <w:rPr>
                <w:rFonts w:hint="eastAsia"/>
                <w:color w:val="auto"/>
                <w:highlight w:val="none"/>
                <w:lang w:eastAsia="zh-CN"/>
              </w:rPr>
            </w:pPr>
          </w:p>
        </w:tc>
        <w:tc>
          <w:tcPr>
            <w:tcW w:w="1278" w:type="pct"/>
            <w:vMerge w:val="continue"/>
            <w:vAlign w:val="center"/>
          </w:tcPr>
          <w:p w14:paraId="01A42C92">
            <w:pPr>
              <w:pStyle w:val="17"/>
              <w:bidi w:val="0"/>
              <w:ind w:firstLine="0" w:firstLineChars="0"/>
              <w:rPr>
                <w:rFonts w:hint="eastAsia"/>
                <w:color w:val="auto"/>
                <w:highlight w:val="none"/>
                <w:lang w:val="en-US" w:eastAsia="zh-CN"/>
              </w:rPr>
            </w:pPr>
          </w:p>
        </w:tc>
        <w:tc>
          <w:tcPr>
            <w:tcW w:w="468" w:type="pct"/>
            <w:shd w:val="clear" w:color="auto" w:fill="auto"/>
            <w:vAlign w:val="center"/>
          </w:tcPr>
          <w:p w14:paraId="2106223D">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57798D87">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1D49F9D8">
            <w:pPr>
              <w:pStyle w:val="17"/>
              <w:bidi w:val="0"/>
              <w:rPr>
                <w:rFonts w:hint="eastAsia"/>
                <w:color w:val="auto"/>
                <w:highlight w:val="none"/>
                <w:lang w:val="en-US" w:eastAsia="zh-CN"/>
              </w:rPr>
            </w:pPr>
          </w:p>
        </w:tc>
        <w:tc>
          <w:tcPr>
            <w:tcW w:w="850" w:type="dxa"/>
            <w:vAlign w:val="center"/>
          </w:tcPr>
          <w:p w14:paraId="02648AE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7A499E2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3B885324">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65F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12EBAEA">
            <w:pPr>
              <w:pStyle w:val="17"/>
              <w:bidi w:val="0"/>
              <w:rPr>
                <w:color w:val="auto"/>
                <w:highlight w:val="none"/>
              </w:rPr>
            </w:pPr>
          </w:p>
        </w:tc>
        <w:tc>
          <w:tcPr>
            <w:tcW w:w="406" w:type="pct"/>
            <w:vMerge w:val="continue"/>
            <w:vAlign w:val="center"/>
          </w:tcPr>
          <w:p w14:paraId="48A1B4DC">
            <w:pPr>
              <w:pStyle w:val="17"/>
              <w:bidi w:val="0"/>
              <w:rPr>
                <w:rFonts w:hint="eastAsia"/>
                <w:color w:val="auto"/>
                <w:highlight w:val="none"/>
                <w:lang w:eastAsia="zh-CN"/>
              </w:rPr>
            </w:pPr>
          </w:p>
        </w:tc>
        <w:tc>
          <w:tcPr>
            <w:tcW w:w="1278" w:type="pct"/>
            <w:vMerge w:val="restart"/>
            <w:vAlign w:val="center"/>
          </w:tcPr>
          <w:p w14:paraId="304AE839">
            <w:pPr>
              <w:pStyle w:val="17"/>
              <w:bidi w:val="0"/>
              <w:ind w:firstLine="0" w:firstLineChars="0"/>
              <w:rPr>
                <w:rFonts w:hint="eastAsia"/>
                <w:color w:val="auto"/>
                <w:highlight w:val="none"/>
                <w:lang w:val="en-US" w:eastAsia="zh-CN"/>
              </w:rPr>
            </w:pPr>
            <w:r>
              <w:rPr>
                <w:rFonts w:hint="eastAsia"/>
                <w:color w:val="auto"/>
                <w:highlight w:val="none"/>
                <w:lang w:val="en-US" w:eastAsia="zh-CN"/>
              </w:rPr>
              <w:t>2026年3月3日-4日</w:t>
            </w:r>
          </w:p>
        </w:tc>
        <w:tc>
          <w:tcPr>
            <w:tcW w:w="468" w:type="pct"/>
            <w:shd w:val="clear" w:color="auto" w:fill="auto"/>
            <w:vAlign w:val="center"/>
          </w:tcPr>
          <w:p w14:paraId="0483EB7D">
            <w:pPr>
              <w:pStyle w:val="17"/>
              <w:bidi w:val="0"/>
              <w:ind w:firstLine="0" w:firstLineChars="0"/>
              <w:rPr>
                <w:rFonts w:hint="eastAsia"/>
                <w:color w:val="auto"/>
                <w:highlight w:val="none"/>
                <w:lang w:val="en-US" w:eastAsia="zh-CN"/>
              </w:rPr>
            </w:pPr>
            <w:r>
              <w:rPr>
                <w:rFonts w:hint="eastAsia"/>
                <w:color w:val="auto"/>
                <w:highlight w:val="none"/>
                <w:lang w:val="en-US" w:eastAsia="zh-CN"/>
              </w:rPr>
              <w:t>第一次</w:t>
            </w:r>
          </w:p>
        </w:tc>
        <w:tc>
          <w:tcPr>
            <w:tcW w:w="592" w:type="pct"/>
            <w:vAlign w:val="center"/>
          </w:tcPr>
          <w:p w14:paraId="0F932A9F">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36E34DAA">
            <w:pPr>
              <w:pStyle w:val="17"/>
              <w:bidi w:val="0"/>
              <w:rPr>
                <w:rFonts w:hint="eastAsia"/>
                <w:color w:val="auto"/>
                <w:highlight w:val="none"/>
                <w:lang w:val="en-US" w:eastAsia="zh-CN"/>
              </w:rPr>
            </w:pPr>
          </w:p>
        </w:tc>
        <w:tc>
          <w:tcPr>
            <w:tcW w:w="850" w:type="dxa"/>
            <w:vAlign w:val="center"/>
          </w:tcPr>
          <w:p w14:paraId="7F85DE2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40897C5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71065C4B">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48D1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C0AC313">
            <w:pPr>
              <w:pStyle w:val="17"/>
              <w:bidi w:val="0"/>
              <w:rPr>
                <w:color w:val="auto"/>
                <w:highlight w:val="none"/>
              </w:rPr>
            </w:pPr>
          </w:p>
        </w:tc>
        <w:tc>
          <w:tcPr>
            <w:tcW w:w="406" w:type="pct"/>
            <w:vMerge w:val="continue"/>
            <w:vAlign w:val="center"/>
          </w:tcPr>
          <w:p w14:paraId="4A5AED90">
            <w:pPr>
              <w:pStyle w:val="17"/>
              <w:bidi w:val="0"/>
              <w:rPr>
                <w:rFonts w:hint="eastAsia"/>
                <w:color w:val="auto"/>
                <w:highlight w:val="none"/>
                <w:lang w:eastAsia="zh-CN"/>
              </w:rPr>
            </w:pPr>
          </w:p>
        </w:tc>
        <w:tc>
          <w:tcPr>
            <w:tcW w:w="1278" w:type="pct"/>
            <w:vMerge w:val="continue"/>
            <w:vAlign w:val="center"/>
          </w:tcPr>
          <w:p w14:paraId="7CABD6B9">
            <w:pPr>
              <w:pStyle w:val="17"/>
              <w:bidi w:val="0"/>
              <w:ind w:firstLine="0" w:firstLineChars="0"/>
              <w:rPr>
                <w:rFonts w:hint="eastAsia"/>
                <w:color w:val="auto"/>
                <w:highlight w:val="none"/>
                <w:lang w:val="en-US" w:eastAsia="zh-CN"/>
              </w:rPr>
            </w:pPr>
          </w:p>
        </w:tc>
        <w:tc>
          <w:tcPr>
            <w:tcW w:w="468" w:type="pct"/>
            <w:shd w:val="clear" w:color="auto" w:fill="auto"/>
            <w:vAlign w:val="center"/>
          </w:tcPr>
          <w:p w14:paraId="0F59E3A9">
            <w:pPr>
              <w:pStyle w:val="17"/>
              <w:bidi w:val="0"/>
              <w:ind w:firstLine="0" w:firstLineChars="0"/>
              <w:rPr>
                <w:rFonts w:hint="eastAsia"/>
                <w:color w:val="auto"/>
                <w:highlight w:val="none"/>
                <w:lang w:val="en-US" w:eastAsia="zh-CN"/>
              </w:rPr>
            </w:pPr>
            <w:r>
              <w:rPr>
                <w:rFonts w:hint="eastAsia"/>
                <w:color w:val="auto"/>
                <w:highlight w:val="none"/>
                <w:lang w:val="en-US" w:eastAsia="zh-CN"/>
              </w:rPr>
              <w:t>第二次</w:t>
            </w:r>
          </w:p>
        </w:tc>
        <w:tc>
          <w:tcPr>
            <w:tcW w:w="592" w:type="pct"/>
            <w:vAlign w:val="center"/>
          </w:tcPr>
          <w:p w14:paraId="25573D59">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28E5A368">
            <w:pPr>
              <w:pStyle w:val="17"/>
              <w:bidi w:val="0"/>
              <w:rPr>
                <w:rFonts w:hint="eastAsia"/>
                <w:color w:val="auto"/>
                <w:highlight w:val="none"/>
                <w:lang w:val="en-US" w:eastAsia="zh-CN"/>
              </w:rPr>
            </w:pPr>
          </w:p>
        </w:tc>
        <w:tc>
          <w:tcPr>
            <w:tcW w:w="850" w:type="dxa"/>
            <w:vAlign w:val="center"/>
          </w:tcPr>
          <w:p w14:paraId="102B394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43445FC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694A048C">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07F3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14633DF2">
            <w:pPr>
              <w:pStyle w:val="17"/>
              <w:bidi w:val="0"/>
              <w:rPr>
                <w:color w:val="auto"/>
                <w:highlight w:val="none"/>
              </w:rPr>
            </w:pPr>
          </w:p>
        </w:tc>
        <w:tc>
          <w:tcPr>
            <w:tcW w:w="406" w:type="pct"/>
            <w:vMerge w:val="continue"/>
            <w:vAlign w:val="center"/>
          </w:tcPr>
          <w:p w14:paraId="18A5BF8C">
            <w:pPr>
              <w:pStyle w:val="17"/>
              <w:bidi w:val="0"/>
              <w:rPr>
                <w:rFonts w:hint="eastAsia"/>
                <w:color w:val="auto"/>
                <w:highlight w:val="none"/>
                <w:lang w:eastAsia="zh-CN"/>
              </w:rPr>
            </w:pPr>
          </w:p>
        </w:tc>
        <w:tc>
          <w:tcPr>
            <w:tcW w:w="1278" w:type="pct"/>
            <w:vMerge w:val="continue"/>
            <w:vAlign w:val="center"/>
          </w:tcPr>
          <w:p w14:paraId="3D82B677">
            <w:pPr>
              <w:pStyle w:val="17"/>
              <w:bidi w:val="0"/>
              <w:ind w:firstLine="0" w:firstLineChars="0"/>
              <w:rPr>
                <w:rFonts w:hint="eastAsia"/>
                <w:color w:val="auto"/>
                <w:highlight w:val="none"/>
                <w:lang w:val="en-US" w:eastAsia="zh-CN"/>
              </w:rPr>
            </w:pPr>
          </w:p>
        </w:tc>
        <w:tc>
          <w:tcPr>
            <w:tcW w:w="468" w:type="pct"/>
            <w:shd w:val="clear" w:color="auto" w:fill="auto"/>
            <w:vAlign w:val="center"/>
          </w:tcPr>
          <w:p w14:paraId="29CE2CDA">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4A035241">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201EAB8D">
            <w:pPr>
              <w:pStyle w:val="17"/>
              <w:bidi w:val="0"/>
              <w:rPr>
                <w:rFonts w:hint="eastAsia"/>
                <w:color w:val="auto"/>
                <w:highlight w:val="none"/>
                <w:lang w:val="en-US" w:eastAsia="zh-CN"/>
              </w:rPr>
            </w:pPr>
          </w:p>
        </w:tc>
        <w:tc>
          <w:tcPr>
            <w:tcW w:w="850" w:type="dxa"/>
            <w:vAlign w:val="center"/>
          </w:tcPr>
          <w:p w14:paraId="3D71C1C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732E28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03E1216">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737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2AC381D4">
            <w:pPr>
              <w:pStyle w:val="17"/>
              <w:bidi w:val="0"/>
              <w:rPr>
                <w:color w:val="auto"/>
                <w:highlight w:val="none"/>
              </w:rPr>
            </w:pPr>
          </w:p>
        </w:tc>
        <w:tc>
          <w:tcPr>
            <w:tcW w:w="406" w:type="pct"/>
            <w:vMerge w:val="continue"/>
            <w:vAlign w:val="center"/>
          </w:tcPr>
          <w:p w14:paraId="6F197BD3">
            <w:pPr>
              <w:pStyle w:val="17"/>
              <w:bidi w:val="0"/>
              <w:rPr>
                <w:rFonts w:hint="eastAsia"/>
                <w:color w:val="auto"/>
                <w:highlight w:val="none"/>
                <w:lang w:eastAsia="zh-CN"/>
              </w:rPr>
            </w:pPr>
          </w:p>
        </w:tc>
        <w:tc>
          <w:tcPr>
            <w:tcW w:w="1278" w:type="pct"/>
            <w:vMerge w:val="continue"/>
            <w:vAlign w:val="center"/>
          </w:tcPr>
          <w:p w14:paraId="2784354D">
            <w:pPr>
              <w:pStyle w:val="17"/>
              <w:bidi w:val="0"/>
              <w:ind w:firstLine="0" w:firstLineChars="0"/>
              <w:rPr>
                <w:rFonts w:hint="eastAsia"/>
                <w:color w:val="auto"/>
                <w:highlight w:val="none"/>
                <w:lang w:val="en-US" w:eastAsia="zh-CN"/>
              </w:rPr>
            </w:pPr>
          </w:p>
        </w:tc>
        <w:tc>
          <w:tcPr>
            <w:tcW w:w="468" w:type="pct"/>
            <w:shd w:val="clear" w:color="auto" w:fill="auto"/>
            <w:vAlign w:val="center"/>
          </w:tcPr>
          <w:p w14:paraId="5E53D725">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675FAF54">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03AD07AA">
            <w:pPr>
              <w:pStyle w:val="17"/>
              <w:bidi w:val="0"/>
              <w:rPr>
                <w:rFonts w:hint="eastAsia"/>
                <w:color w:val="auto"/>
                <w:highlight w:val="none"/>
                <w:lang w:val="en-US" w:eastAsia="zh-CN"/>
              </w:rPr>
            </w:pPr>
          </w:p>
        </w:tc>
        <w:tc>
          <w:tcPr>
            <w:tcW w:w="850" w:type="dxa"/>
            <w:vAlign w:val="center"/>
          </w:tcPr>
          <w:p w14:paraId="7770906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0447B73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618903D2">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7ED4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49C2E9F2">
            <w:pPr>
              <w:pStyle w:val="17"/>
              <w:bidi w:val="0"/>
              <w:rPr>
                <w:color w:val="auto"/>
                <w:highlight w:val="none"/>
              </w:rPr>
            </w:pPr>
          </w:p>
        </w:tc>
        <w:tc>
          <w:tcPr>
            <w:tcW w:w="406" w:type="pct"/>
            <w:vMerge w:val="continue"/>
            <w:vAlign w:val="center"/>
          </w:tcPr>
          <w:p w14:paraId="2FE100A2">
            <w:pPr>
              <w:pStyle w:val="17"/>
              <w:bidi w:val="0"/>
              <w:rPr>
                <w:rFonts w:hint="eastAsia"/>
                <w:color w:val="auto"/>
                <w:highlight w:val="none"/>
                <w:lang w:eastAsia="zh-CN"/>
              </w:rPr>
            </w:pPr>
          </w:p>
        </w:tc>
        <w:tc>
          <w:tcPr>
            <w:tcW w:w="1278" w:type="pct"/>
            <w:vMerge w:val="restart"/>
            <w:vAlign w:val="center"/>
          </w:tcPr>
          <w:p w14:paraId="02E0BAE9">
            <w:pPr>
              <w:pStyle w:val="17"/>
              <w:bidi w:val="0"/>
              <w:ind w:firstLine="0" w:firstLineChars="0"/>
              <w:rPr>
                <w:rFonts w:hint="eastAsia"/>
                <w:color w:val="auto"/>
                <w:highlight w:val="none"/>
                <w:lang w:val="en-US" w:eastAsia="zh-CN"/>
              </w:rPr>
            </w:pPr>
            <w:r>
              <w:rPr>
                <w:rFonts w:hint="eastAsia"/>
                <w:color w:val="auto"/>
                <w:highlight w:val="none"/>
                <w:lang w:val="en-US" w:eastAsia="zh-CN"/>
              </w:rPr>
              <w:t>2026年3月4日-5日</w:t>
            </w:r>
          </w:p>
        </w:tc>
        <w:tc>
          <w:tcPr>
            <w:tcW w:w="468" w:type="pct"/>
            <w:shd w:val="clear" w:color="auto" w:fill="auto"/>
            <w:vAlign w:val="center"/>
          </w:tcPr>
          <w:p w14:paraId="2D783C49">
            <w:pPr>
              <w:pStyle w:val="17"/>
              <w:bidi w:val="0"/>
              <w:ind w:firstLine="0" w:firstLineChars="0"/>
              <w:rPr>
                <w:rFonts w:hint="eastAsia"/>
                <w:color w:val="auto"/>
                <w:highlight w:val="none"/>
                <w:lang w:val="en-US" w:eastAsia="zh-CN"/>
              </w:rPr>
            </w:pPr>
            <w:r>
              <w:rPr>
                <w:rFonts w:hint="eastAsia"/>
                <w:color w:val="auto"/>
                <w:highlight w:val="none"/>
                <w:lang w:val="en-US" w:eastAsia="zh-CN"/>
              </w:rPr>
              <w:t>第一次</w:t>
            </w:r>
          </w:p>
        </w:tc>
        <w:tc>
          <w:tcPr>
            <w:tcW w:w="592" w:type="pct"/>
            <w:vAlign w:val="center"/>
          </w:tcPr>
          <w:p w14:paraId="56F1D3AA">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5825DC4">
            <w:pPr>
              <w:pStyle w:val="17"/>
              <w:bidi w:val="0"/>
              <w:rPr>
                <w:rFonts w:hint="eastAsia"/>
                <w:color w:val="auto"/>
                <w:highlight w:val="none"/>
                <w:lang w:val="en-US" w:eastAsia="zh-CN"/>
              </w:rPr>
            </w:pPr>
          </w:p>
        </w:tc>
        <w:tc>
          <w:tcPr>
            <w:tcW w:w="850" w:type="dxa"/>
            <w:vAlign w:val="center"/>
          </w:tcPr>
          <w:p w14:paraId="7839A8C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6BBA3B4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536F8A4E">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668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322AFCCB">
            <w:pPr>
              <w:pStyle w:val="17"/>
              <w:bidi w:val="0"/>
              <w:rPr>
                <w:color w:val="auto"/>
                <w:highlight w:val="none"/>
              </w:rPr>
            </w:pPr>
          </w:p>
        </w:tc>
        <w:tc>
          <w:tcPr>
            <w:tcW w:w="406" w:type="pct"/>
            <w:vMerge w:val="continue"/>
            <w:vAlign w:val="center"/>
          </w:tcPr>
          <w:p w14:paraId="43563A4F">
            <w:pPr>
              <w:pStyle w:val="17"/>
              <w:bidi w:val="0"/>
              <w:rPr>
                <w:rFonts w:hint="eastAsia"/>
                <w:color w:val="auto"/>
                <w:highlight w:val="none"/>
                <w:lang w:eastAsia="zh-CN"/>
              </w:rPr>
            </w:pPr>
          </w:p>
        </w:tc>
        <w:tc>
          <w:tcPr>
            <w:tcW w:w="1278" w:type="pct"/>
            <w:vMerge w:val="continue"/>
            <w:vAlign w:val="center"/>
          </w:tcPr>
          <w:p w14:paraId="7A831481">
            <w:pPr>
              <w:pStyle w:val="17"/>
              <w:bidi w:val="0"/>
              <w:ind w:firstLine="0" w:firstLineChars="0"/>
              <w:rPr>
                <w:rFonts w:hint="eastAsia"/>
                <w:color w:val="auto"/>
                <w:highlight w:val="none"/>
                <w:lang w:val="en-US" w:eastAsia="zh-CN"/>
              </w:rPr>
            </w:pPr>
          </w:p>
        </w:tc>
        <w:tc>
          <w:tcPr>
            <w:tcW w:w="468" w:type="pct"/>
            <w:shd w:val="clear" w:color="auto" w:fill="auto"/>
            <w:vAlign w:val="center"/>
          </w:tcPr>
          <w:p w14:paraId="4CF9AE57">
            <w:pPr>
              <w:pStyle w:val="17"/>
              <w:bidi w:val="0"/>
              <w:ind w:firstLine="0" w:firstLineChars="0"/>
              <w:rPr>
                <w:rFonts w:hint="eastAsia"/>
                <w:color w:val="auto"/>
                <w:highlight w:val="none"/>
                <w:lang w:val="en-US" w:eastAsia="zh-CN"/>
              </w:rPr>
            </w:pPr>
            <w:r>
              <w:rPr>
                <w:rFonts w:hint="eastAsia"/>
                <w:color w:val="auto"/>
                <w:highlight w:val="none"/>
                <w:lang w:val="en-US" w:eastAsia="zh-CN"/>
              </w:rPr>
              <w:t>第二次</w:t>
            </w:r>
          </w:p>
        </w:tc>
        <w:tc>
          <w:tcPr>
            <w:tcW w:w="592" w:type="pct"/>
            <w:vAlign w:val="center"/>
          </w:tcPr>
          <w:p w14:paraId="5E93ED2D">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472983A8">
            <w:pPr>
              <w:pStyle w:val="17"/>
              <w:bidi w:val="0"/>
              <w:rPr>
                <w:rFonts w:hint="eastAsia"/>
                <w:color w:val="auto"/>
                <w:highlight w:val="none"/>
                <w:lang w:val="en-US" w:eastAsia="zh-CN"/>
              </w:rPr>
            </w:pPr>
          </w:p>
        </w:tc>
        <w:tc>
          <w:tcPr>
            <w:tcW w:w="850" w:type="dxa"/>
            <w:vAlign w:val="center"/>
          </w:tcPr>
          <w:p w14:paraId="4BE2747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5CC193C6">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8AA77FE">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3298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2592D63F">
            <w:pPr>
              <w:pStyle w:val="17"/>
              <w:bidi w:val="0"/>
              <w:rPr>
                <w:color w:val="auto"/>
                <w:highlight w:val="none"/>
              </w:rPr>
            </w:pPr>
          </w:p>
        </w:tc>
        <w:tc>
          <w:tcPr>
            <w:tcW w:w="406" w:type="pct"/>
            <w:vMerge w:val="continue"/>
            <w:vAlign w:val="center"/>
          </w:tcPr>
          <w:p w14:paraId="3BF78642">
            <w:pPr>
              <w:pStyle w:val="17"/>
              <w:bidi w:val="0"/>
              <w:rPr>
                <w:rFonts w:hint="eastAsia"/>
                <w:color w:val="auto"/>
                <w:highlight w:val="none"/>
                <w:lang w:eastAsia="zh-CN"/>
              </w:rPr>
            </w:pPr>
          </w:p>
        </w:tc>
        <w:tc>
          <w:tcPr>
            <w:tcW w:w="1278" w:type="pct"/>
            <w:vMerge w:val="continue"/>
            <w:vAlign w:val="center"/>
          </w:tcPr>
          <w:p w14:paraId="713261ED">
            <w:pPr>
              <w:pStyle w:val="17"/>
              <w:bidi w:val="0"/>
              <w:ind w:firstLine="0" w:firstLineChars="0"/>
              <w:rPr>
                <w:rFonts w:hint="eastAsia"/>
                <w:color w:val="auto"/>
                <w:highlight w:val="none"/>
                <w:lang w:val="en-US" w:eastAsia="zh-CN"/>
              </w:rPr>
            </w:pPr>
          </w:p>
        </w:tc>
        <w:tc>
          <w:tcPr>
            <w:tcW w:w="468" w:type="pct"/>
            <w:shd w:val="clear" w:color="auto" w:fill="auto"/>
            <w:vAlign w:val="center"/>
          </w:tcPr>
          <w:p w14:paraId="3BBC8393">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1B11A578">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6B0D1A9C">
            <w:pPr>
              <w:pStyle w:val="17"/>
              <w:bidi w:val="0"/>
              <w:rPr>
                <w:rFonts w:hint="eastAsia"/>
                <w:color w:val="auto"/>
                <w:highlight w:val="none"/>
                <w:lang w:val="en-US" w:eastAsia="zh-CN"/>
              </w:rPr>
            </w:pPr>
          </w:p>
        </w:tc>
        <w:tc>
          <w:tcPr>
            <w:tcW w:w="850" w:type="dxa"/>
            <w:vAlign w:val="center"/>
          </w:tcPr>
          <w:p w14:paraId="441B509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686F24A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638D0DCB">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CAC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73A4EC26">
            <w:pPr>
              <w:pStyle w:val="17"/>
              <w:bidi w:val="0"/>
              <w:rPr>
                <w:color w:val="auto"/>
                <w:highlight w:val="none"/>
              </w:rPr>
            </w:pPr>
          </w:p>
        </w:tc>
        <w:tc>
          <w:tcPr>
            <w:tcW w:w="406" w:type="pct"/>
            <w:vMerge w:val="continue"/>
            <w:vAlign w:val="center"/>
          </w:tcPr>
          <w:p w14:paraId="2FB59C0C">
            <w:pPr>
              <w:pStyle w:val="17"/>
              <w:bidi w:val="0"/>
              <w:rPr>
                <w:rFonts w:hint="eastAsia"/>
                <w:color w:val="auto"/>
                <w:highlight w:val="none"/>
                <w:lang w:eastAsia="zh-CN"/>
              </w:rPr>
            </w:pPr>
          </w:p>
        </w:tc>
        <w:tc>
          <w:tcPr>
            <w:tcW w:w="1278" w:type="pct"/>
            <w:vMerge w:val="continue"/>
            <w:vAlign w:val="center"/>
          </w:tcPr>
          <w:p w14:paraId="55026433">
            <w:pPr>
              <w:pStyle w:val="17"/>
              <w:bidi w:val="0"/>
              <w:ind w:firstLine="0" w:firstLineChars="0"/>
              <w:rPr>
                <w:rFonts w:hint="eastAsia"/>
                <w:color w:val="auto"/>
                <w:highlight w:val="none"/>
                <w:lang w:val="en-US" w:eastAsia="zh-CN"/>
              </w:rPr>
            </w:pPr>
          </w:p>
        </w:tc>
        <w:tc>
          <w:tcPr>
            <w:tcW w:w="468" w:type="pct"/>
            <w:shd w:val="clear" w:color="auto" w:fill="auto"/>
            <w:vAlign w:val="center"/>
          </w:tcPr>
          <w:p w14:paraId="7513C5A7">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1B91A539">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586D3553">
            <w:pPr>
              <w:pStyle w:val="17"/>
              <w:bidi w:val="0"/>
              <w:rPr>
                <w:rFonts w:hint="eastAsia"/>
                <w:color w:val="auto"/>
                <w:highlight w:val="none"/>
                <w:lang w:val="en-US" w:eastAsia="zh-CN"/>
              </w:rPr>
            </w:pPr>
          </w:p>
        </w:tc>
        <w:tc>
          <w:tcPr>
            <w:tcW w:w="850" w:type="dxa"/>
            <w:vAlign w:val="center"/>
          </w:tcPr>
          <w:p w14:paraId="7159BAE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7D50E8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1D8BB32">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065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6DE43F4A">
            <w:pPr>
              <w:pStyle w:val="17"/>
              <w:bidi w:val="0"/>
              <w:rPr>
                <w:color w:val="auto"/>
                <w:highlight w:val="none"/>
              </w:rPr>
            </w:pPr>
          </w:p>
        </w:tc>
        <w:tc>
          <w:tcPr>
            <w:tcW w:w="406" w:type="pct"/>
            <w:vMerge w:val="continue"/>
            <w:vAlign w:val="center"/>
          </w:tcPr>
          <w:p w14:paraId="28CD0D16">
            <w:pPr>
              <w:pStyle w:val="17"/>
              <w:bidi w:val="0"/>
              <w:rPr>
                <w:rFonts w:hint="eastAsia"/>
                <w:color w:val="auto"/>
                <w:highlight w:val="none"/>
                <w:lang w:eastAsia="zh-CN"/>
              </w:rPr>
            </w:pPr>
          </w:p>
        </w:tc>
        <w:tc>
          <w:tcPr>
            <w:tcW w:w="1278" w:type="pct"/>
            <w:vMerge w:val="restart"/>
            <w:vAlign w:val="center"/>
          </w:tcPr>
          <w:p w14:paraId="4A9D475E">
            <w:pPr>
              <w:pStyle w:val="17"/>
              <w:bidi w:val="0"/>
              <w:ind w:firstLine="0" w:firstLineChars="0"/>
              <w:rPr>
                <w:rFonts w:hint="eastAsia"/>
                <w:color w:val="auto"/>
                <w:highlight w:val="none"/>
                <w:lang w:val="en-US" w:eastAsia="zh-CN"/>
              </w:rPr>
            </w:pPr>
            <w:r>
              <w:rPr>
                <w:rFonts w:hint="eastAsia"/>
                <w:color w:val="auto"/>
                <w:highlight w:val="none"/>
                <w:lang w:val="en-US" w:eastAsia="zh-CN"/>
              </w:rPr>
              <w:t>2026年3月5日-6日</w:t>
            </w:r>
          </w:p>
        </w:tc>
        <w:tc>
          <w:tcPr>
            <w:tcW w:w="468" w:type="pct"/>
            <w:shd w:val="clear" w:color="auto" w:fill="auto"/>
            <w:vAlign w:val="center"/>
          </w:tcPr>
          <w:p w14:paraId="334D6F9D">
            <w:pPr>
              <w:pStyle w:val="17"/>
              <w:bidi w:val="0"/>
              <w:ind w:firstLine="0" w:firstLineChars="0"/>
              <w:rPr>
                <w:rFonts w:hint="eastAsia"/>
                <w:color w:val="auto"/>
                <w:highlight w:val="none"/>
                <w:lang w:val="en-US" w:eastAsia="zh-CN"/>
              </w:rPr>
            </w:pPr>
            <w:r>
              <w:rPr>
                <w:rFonts w:hint="eastAsia"/>
                <w:color w:val="auto"/>
                <w:highlight w:val="none"/>
                <w:lang w:val="en-US" w:eastAsia="zh-CN"/>
              </w:rPr>
              <w:t>第一次</w:t>
            </w:r>
          </w:p>
        </w:tc>
        <w:tc>
          <w:tcPr>
            <w:tcW w:w="592" w:type="pct"/>
            <w:vAlign w:val="center"/>
          </w:tcPr>
          <w:p w14:paraId="723F5B5F">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5B01E6C1">
            <w:pPr>
              <w:pStyle w:val="17"/>
              <w:bidi w:val="0"/>
              <w:rPr>
                <w:rFonts w:hint="eastAsia"/>
                <w:color w:val="auto"/>
                <w:highlight w:val="none"/>
                <w:lang w:val="en-US" w:eastAsia="zh-CN"/>
              </w:rPr>
            </w:pPr>
          </w:p>
        </w:tc>
        <w:tc>
          <w:tcPr>
            <w:tcW w:w="850" w:type="dxa"/>
            <w:vAlign w:val="center"/>
          </w:tcPr>
          <w:p w14:paraId="2C25406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7CE08C76">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4FCF61F">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21DE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2753F4C3">
            <w:pPr>
              <w:pStyle w:val="17"/>
              <w:bidi w:val="0"/>
              <w:rPr>
                <w:color w:val="auto"/>
                <w:highlight w:val="none"/>
              </w:rPr>
            </w:pPr>
          </w:p>
        </w:tc>
        <w:tc>
          <w:tcPr>
            <w:tcW w:w="406" w:type="pct"/>
            <w:vMerge w:val="continue"/>
            <w:vAlign w:val="center"/>
          </w:tcPr>
          <w:p w14:paraId="2BF0CF4D">
            <w:pPr>
              <w:pStyle w:val="17"/>
              <w:bidi w:val="0"/>
              <w:rPr>
                <w:rFonts w:hint="eastAsia"/>
                <w:color w:val="auto"/>
                <w:highlight w:val="none"/>
                <w:lang w:eastAsia="zh-CN"/>
              </w:rPr>
            </w:pPr>
          </w:p>
        </w:tc>
        <w:tc>
          <w:tcPr>
            <w:tcW w:w="1278" w:type="pct"/>
            <w:vMerge w:val="continue"/>
            <w:vAlign w:val="center"/>
          </w:tcPr>
          <w:p w14:paraId="00FA2667">
            <w:pPr>
              <w:pStyle w:val="17"/>
              <w:bidi w:val="0"/>
              <w:ind w:firstLine="0" w:firstLineChars="0"/>
              <w:rPr>
                <w:rFonts w:hint="eastAsia"/>
                <w:color w:val="auto"/>
                <w:highlight w:val="none"/>
                <w:lang w:val="en-US" w:eastAsia="zh-CN"/>
              </w:rPr>
            </w:pPr>
          </w:p>
        </w:tc>
        <w:tc>
          <w:tcPr>
            <w:tcW w:w="468" w:type="pct"/>
            <w:shd w:val="clear" w:color="auto" w:fill="auto"/>
            <w:vAlign w:val="center"/>
          </w:tcPr>
          <w:p w14:paraId="18C7114D">
            <w:pPr>
              <w:pStyle w:val="17"/>
              <w:bidi w:val="0"/>
              <w:ind w:firstLine="0" w:firstLineChars="0"/>
              <w:rPr>
                <w:rFonts w:hint="eastAsia"/>
                <w:color w:val="auto"/>
                <w:highlight w:val="none"/>
                <w:lang w:val="en-US" w:eastAsia="zh-CN"/>
              </w:rPr>
            </w:pPr>
            <w:r>
              <w:rPr>
                <w:rFonts w:hint="eastAsia"/>
                <w:color w:val="auto"/>
                <w:highlight w:val="none"/>
                <w:lang w:val="en-US" w:eastAsia="zh-CN"/>
              </w:rPr>
              <w:t>第二次</w:t>
            </w:r>
          </w:p>
        </w:tc>
        <w:tc>
          <w:tcPr>
            <w:tcW w:w="592" w:type="pct"/>
            <w:vAlign w:val="center"/>
          </w:tcPr>
          <w:p w14:paraId="205279A2">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7D06B073">
            <w:pPr>
              <w:pStyle w:val="17"/>
              <w:bidi w:val="0"/>
              <w:rPr>
                <w:rFonts w:hint="eastAsia"/>
                <w:color w:val="auto"/>
                <w:highlight w:val="none"/>
                <w:lang w:val="en-US" w:eastAsia="zh-CN"/>
              </w:rPr>
            </w:pPr>
          </w:p>
        </w:tc>
        <w:tc>
          <w:tcPr>
            <w:tcW w:w="850" w:type="dxa"/>
            <w:vAlign w:val="center"/>
          </w:tcPr>
          <w:p w14:paraId="5AC6CBD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44F1F6B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29E66688">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5EF9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25773CD7">
            <w:pPr>
              <w:pStyle w:val="17"/>
              <w:bidi w:val="0"/>
              <w:rPr>
                <w:color w:val="auto"/>
                <w:highlight w:val="none"/>
              </w:rPr>
            </w:pPr>
          </w:p>
        </w:tc>
        <w:tc>
          <w:tcPr>
            <w:tcW w:w="406" w:type="pct"/>
            <w:vMerge w:val="continue"/>
            <w:vAlign w:val="center"/>
          </w:tcPr>
          <w:p w14:paraId="25C7730F">
            <w:pPr>
              <w:pStyle w:val="17"/>
              <w:bidi w:val="0"/>
              <w:rPr>
                <w:rFonts w:hint="eastAsia"/>
                <w:color w:val="auto"/>
                <w:highlight w:val="none"/>
                <w:lang w:eastAsia="zh-CN"/>
              </w:rPr>
            </w:pPr>
          </w:p>
        </w:tc>
        <w:tc>
          <w:tcPr>
            <w:tcW w:w="1278" w:type="pct"/>
            <w:vMerge w:val="continue"/>
            <w:vAlign w:val="center"/>
          </w:tcPr>
          <w:p w14:paraId="22CE1B5D">
            <w:pPr>
              <w:pStyle w:val="17"/>
              <w:bidi w:val="0"/>
              <w:ind w:firstLine="0" w:firstLineChars="0"/>
              <w:rPr>
                <w:rFonts w:hint="eastAsia"/>
                <w:color w:val="auto"/>
                <w:highlight w:val="none"/>
                <w:lang w:val="en-US" w:eastAsia="zh-CN"/>
              </w:rPr>
            </w:pPr>
          </w:p>
        </w:tc>
        <w:tc>
          <w:tcPr>
            <w:tcW w:w="468" w:type="pct"/>
            <w:shd w:val="clear" w:color="auto" w:fill="auto"/>
            <w:vAlign w:val="center"/>
          </w:tcPr>
          <w:p w14:paraId="29F42378">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503FA57B">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164C81B3">
            <w:pPr>
              <w:pStyle w:val="17"/>
              <w:bidi w:val="0"/>
              <w:rPr>
                <w:rFonts w:hint="eastAsia"/>
                <w:color w:val="auto"/>
                <w:highlight w:val="none"/>
                <w:lang w:val="en-US" w:eastAsia="zh-CN"/>
              </w:rPr>
            </w:pPr>
          </w:p>
        </w:tc>
        <w:tc>
          <w:tcPr>
            <w:tcW w:w="850" w:type="dxa"/>
            <w:vAlign w:val="center"/>
          </w:tcPr>
          <w:p w14:paraId="24A765A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3B7A1D7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0A1B4B63">
            <w:pPr>
              <w:pStyle w:val="17"/>
              <w:bidi w:val="0"/>
              <w:ind w:firstLine="0" w:firstLineChars="0"/>
              <w:rPr>
                <w:rFonts w:hint="eastAsia"/>
                <w:color w:val="auto"/>
                <w:highlight w:val="none"/>
                <w:lang w:eastAsia="zh-CN"/>
              </w:rPr>
            </w:pPr>
            <w:r>
              <w:rPr>
                <w:rFonts w:hint="eastAsia"/>
                <w:color w:val="auto"/>
                <w:highlight w:val="none"/>
                <w:lang w:eastAsia="zh-CN"/>
              </w:rPr>
              <w:t>达标</w:t>
            </w:r>
          </w:p>
        </w:tc>
      </w:tr>
      <w:tr w14:paraId="6AB0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7" w:type="pct"/>
            <w:vMerge w:val="continue"/>
            <w:vAlign w:val="center"/>
          </w:tcPr>
          <w:p w14:paraId="27F0BA0F">
            <w:pPr>
              <w:pStyle w:val="17"/>
              <w:bidi w:val="0"/>
              <w:rPr>
                <w:color w:val="auto"/>
                <w:highlight w:val="none"/>
              </w:rPr>
            </w:pPr>
          </w:p>
        </w:tc>
        <w:tc>
          <w:tcPr>
            <w:tcW w:w="406" w:type="pct"/>
            <w:vMerge w:val="continue"/>
            <w:vAlign w:val="center"/>
          </w:tcPr>
          <w:p w14:paraId="16F65BA0">
            <w:pPr>
              <w:pStyle w:val="17"/>
              <w:bidi w:val="0"/>
              <w:rPr>
                <w:rFonts w:hint="eastAsia"/>
                <w:color w:val="auto"/>
                <w:highlight w:val="none"/>
                <w:lang w:eastAsia="zh-CN"/>
              </w:rPr>
            </w:pPr>
          </w:p>
        </w:tc>
        <w:tc>
          <w:tcPr>
            <w:tcW w:w="1278" w:type="pct"/>
            <w:vMerge w:val="continue"/>
            <w:vAlign w:val="center"/>
          </w:tcPr>
          <w:p w14:paraId="58F1C545">
            <w:pPr>
              <w:pStyle w:val="17"/>
              <w:bidi w:val="0"/>
              <w:ind w:firstLine="0" w:firstLineChars="0"/>
              <w:rPr>
                <w:rFonts w:hint="eastAsia"/>
                <w:color w:val="auto"/>
                <w:highlight w:val="none"/>
                <w:lang w:val="en-US" w:eastAsia="zh-CN"/>
              </w:rPr>
            </w:pPr>
          </w:p>
        </w:tc>
        <w:tc>
          <w:tcPr>
            <w:tcW w:w="468" w:type="pct"/>
            <w:shd w:val="clear" w:color="auto" w:fill="auto"/>
            <w:vAlign w:val="center"/>
          </w:tcPr>
          <w:p w14:paraId="74357637">
            <w:pPr>
              <w:pStyle w:val="17"/>
              <w:bidi w:val="0"/>
              <w:ind w:firstLine="0" w:firstLineChars="0"/>
              <w:rPr>
                <w:rFonts w:hint="eastAsia"/>
                <w:color w:val="auto"/>
                <w:highlight w:val="none"/>
                <w:lang w:val="en-US" w:eastAsia="zh-CN"/>
              </w:rPr>
            </w:pPr>
            <w:r>
              <w:rPr>
                <w:rFonts w:hint="eastAsia"/>
                <w:color w:val="auto"/>
                <w:highlight w:val="none"/>
                <w:lang w:val="en-US" w:eastAsia="zh-CN"/>
              </w:rPr>
              <w:t>第三次</w:t>
            </w:r>
          </w:p>
        </w:tc>
        <w:tc>
          <w:tcPr>
            <w:tcW w:w="592" w:type="pct"/>
            <w:vAlign w:val="center"/>
          </w:tcPr>
          <w:p w14:paraId="443EC0A6">
            <w:pPr>
              <w:pStyle w:val="17"/>
              <w:bidi w:val="0"/>
              <w:ind w:firstLine="0" w:firstLineChars="0"/>
              <w:rPr>
                <w:rFonts w:hint="eastAsia"/>
                <w:color w:val="auto"/>
                <w:highlight w:val="none"/>
                <w:lang w:val="en-US" w:eastAsia="zh-CN"/>
              </w:rPr>
            </w:pPr>
            <w:r>
              <w:rPr>
                <w:rFonts w:hint="eastAsia"/>
                <w:color w:val="auto"/>
                <w:highlight w:val="none"/>
                <w:lang w:val="en-US" w:eastAsia="zh-CN"/>
              </w:rPr>
              <w:t>0.005L</w:t>
            </w:r>
          </w:p>
        </w:tc>
        <w:tc>
          <w:tcPr>
            <w:tcW w:w="592" w:type="pct"/>
            <w:vMerge w:val="continue"/>
            <w:vAlign w:val="center"/>
          </w:tcPr>
          <w:p w14:paraId="21872D9C">
            <w:pPr>
              <w:pStyle w:val="17"/>
              <w:bidi w:val="0"/>
              <w:rPr>
                <w:rFonts w:hint="eastAsia"/>
                <w:color w:val="auto"/>
                <w:highlight w:val="none"/>
                <w:lang w:val="en-US" w:eastAsia="zh-CN"/>
              </w:rPr>
            </w:pPr>
          </w:p>
        </w:tc>
        <w:tc>
          <w:tcPr>
            <w:tcW w:w="850" w:type="dxa"/>
            <w:vAlign w:val="center"/>
          </w:tcPr>
          <w:p w14:paraId="70C4E77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850" w:type="dxa"/>
            <w:vAlign w:val="center"/>
          </w:tcPr>
          <w:p w14:paraId="0746D8C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437" w:type="pct"/>
            <w:vAlign w:val="center"/>
          </w:tcPr>
          <w:p w14:paraId="4BECB40E">
            <w:pPr>
              <w:pStyle w:val="17"/>
              <w:bidi w:val="0"/>
              <w:ind w:firstLine="0" w:firstLineChars="0"/>
              <w:rPr>
                <w:rFonts w:hint="eastAsia"/>
                <w:color w:val="auto"/>
                <w:highlight w:val="none"/>
                <w:lang w:eastAsia="zh-CN"/>
              </w:rPr>
            </w:pPr>
            <w:r>
              <w:rPr>
                <w:rFonts w:hint="eastAsia"/>
                <w:color w:val="auto"/>
                <w:highlight w:val="none"/>
                <w:lang w:eastAsia="zh-CN"/>
              </w:rPr>
              <w:t>达标</w:t>
            </w:r>
          </w:p>
        </w:tc>
      </w:tr>
    </w:tbl>
    <w:p w14:paraId="397E922A">
      <w:pPr>
        <w:ind w:firstLine="464"/>
        <w:rPr>
          <w:color w:val="auto"/>
          <w:highlight w:val="none"/>
        </w:rPr>
      </w:pPr>
      <w:r>
        <w:rPr>
          <w:rFonts w:hint="eastAsia"/>
          <w:color w:val="auto"/>
          <w:spacing w:val="-4"/>
          <w:highlight w:val="none"/>
        </w:rPr>
        <w:t>由上表可知，</w:t>
      </w:r>
      <w:r>
        <w:rPr>
          <w:color w:val="auto"/>
          <w:highlight w:val="none"/>
        </w:rPr>
        <w:t>本次评价项目区</w:t>
      </w:r>
      <w:r>
        <w:rPr>
          <w:rFonts w:hint="eastAsia"/>
          <w:color w:val="auto"/>
          <w:highlight w:val="none"/>
          <w:lang w:val="en-US" w:eastAsia="zh-CN"/>
        </w:rPr>
        <w:t>硫酸雾小时</w:t>
      </w:r>
      <w:r>
        <w:rPr>
          <w:color w:val="auto"/>
          <w:highlight w:val="none"/>
        </w:rPr>
        <w:t>浓度满足</w:t>
      </w:r>
      <w:r>
        <w:rPr>
          <w:rFonts w:hint="eastAsia"/>
          <w:color w:val="auto"/>
          <w:highlight w:val="none"/>
          <w:lang w:val="en-US" w:eastAsia="zh-CN"/>
        </w:rPr>
        <w:t>《环境影响评价技术导则 大气环境》（HJ2.2-2018）附录D</w:t>
      </w:r>
      <w:r>
        <w:rPr>
          <w:color w:val="auto"/>
          <w:spacing w:val="-4"/>
          <w:highlight w:val="none"/>
        </w:rPr>
        <w:t>要求</w:t>
      </w:r>
      <w:r>
        <w:rPr>
          <w:color w:val="auto"/>
          <w:highlight w:val="none"/>
        </w:rPr>
        <w:t>。</w:t>
      </w:r>
    </w:p>
    <w:p w14:paraId="0E6F721B">
      <w:pPr>
        <w:pStyle w:val="6"/>
        <w:rPr>
          <w:color w:val="auto"/>
          <w:highlight w:val="none"/>
        </w:rPr>
      </w:pPr>
      <w:r>
        <w:rPr>
          <w:color w:val="auto"/>
          <w:highlight w:val="none"/>
        </w:rPr>
        <w:t>4.</w:t>
      </w:r>
      <w:r>
        <w:rPr>
          <w:rFonts w:hint="eastAsia"/>
          <w:color w:val="auto"/>
          <w:highlight w:val="none"/>
        </w:rPr>
        <w:t>2.2地表水</w:t>
      </w:r>
      <w:r>
        <w:rPr>
          <w:color w:val="auto"/>
          <w:highlight w:val="none"/>
        </w:rPr>
        <w:t>环境现状调查与评价</w:t>
      </w:r>
      <w:bookmarkEnd w:id="574"/>
      <w:bookmarkEnd w:id="575"/>
      <w:bookmarkEnd w:id="576"/>
    </w:p>
    <w:p w14:paraId="5635308D">
      <w:pPr>
        <w:ind w:firstLine="480"/>
        <w:rPr>
          <w:color w:val="auto"/>
          <w:highlight w:val="none"/>
        </w:rPr>
      </w:pPr>
      <w:r>
        <w:rPr>
          <w:rFonts w:hint="eastAsia"/>
          <w:color w:val="auto"/>
          <w:highlight w:val="none"/>
          <w:lang w:eastAsia="zh-CN"/>
        </w:rPr>
        <w:t>阿克苏</w:t>
      </w:r>
      <w:r>
        <w:rPr>
          <w:rFonts w:hint="eastAsia"/>
          <w:color w:val="auto"/>
          <w:highlight w:val="none"/>
        </w:rPr>
        <w:t>河</w:t>
      </w:r>
      <w:r>
        <w:rPr>
          <w:rFonts w:hint="eastAsia"/>
          <w:color w:val="auto"/>
          <w:highlight w:val="none"/>
          <w:lang w:val="en-US" w:eastAsia="zh-CN"/>
        </w:rPr>
        <w:t>穿过本项目矿区，</w:t>
      </w:r>
      <w:r>
        <w:rPr>
          <w:color w:val="auto"/>
          <w:highlight w:val="none"/>
        </w:rPr>
        <w:t>地表水环境功能区划属</w:t>
      </w:r>
      <w:r>
        <w:rPr>
          <w:rFonts w:hint="eastAsia"/>
          <w:color w:val="auto"/>
          <w:highlight w:val="none"/>
          <w:lang w:eastAsia="zh-CN"/>
        </w:rPr>
        <w:t>I</w:t>
      </w:r>
      <w:r>
        <w:rPr>
          <w:color w:val="auto"/>
          <w:highlight w:val="none"/>
        </w:rPr>
        <w:t>类功能区</w:t>
      </w:r>
      <w:r>
        <w:rPr>
          <w:rFonts w:hint="eastAsia"/>
          <w:color w:val="auto"/>
          <w:highlight w:val="none"/>
        </w:rPr>
        <w:t>，</w:t>
      </w:r>
      <w:r>
        <w:rPr>
          <w:color w:val="auto"/>
          <w:highlight w:val="none"/>
        </w:rPr>
        <w:t>执行《地表水环境质量标准》（GB3838-2002）</w:t>
      </w:r>
      <w:r>
        <w:rPr>
          <w:rFonts w:hint="eastAsia"/>
          <w:color w:val="auto"/>
          <w:highlight w:val="none"/>
          <w:lang w:eastAsia="zh-CN"/>
        </w:rPr>
        <w:t>I</w:t>
      </w:r>
      <w:r>
        <w:rPr>
          <w:color w:val="auto"/>
          <w:highlight w:val="none"/>
        </w:rPr>
        <w:t>类标准。</w:t>
      </w:r>
    </w:p>
    <w:p w14:paraId="7DE99B42">
      <w:pPr>
        <w:ind w:firstLine="480"/>
        <w:rPr>
          <w:color w:val="auto"/>
          <w:highlight w:val="none"/>
        </w:rPr>
      </w:pPr>
      <w:r>
        <w:rPr>
          <w:color w:val="auto"/>
          <w:highlight w:val="none"/>
        </w:rPr>
        <w:t>本项目生产废水</w:t>
      </w:r>
      <w:r>
        <w:rPr>
          <w:rFonts w:hint="eastAsia"/>
          <w:color w:val="auto"/>
          <w:highlight w:val="none"/>
        </w:rPr>
        <w:t>“</w:t>
      </w:r>
      <w:r>
        <w:rPr>
          <w:color w:val="auto"/>
          <w:highlight w:val="none"/>
        </w:rPr>
        <w:t>闭路循环</w:t>
      </w:r>
      <w:r>
        <w:rPr>
          <w:rFonts w:hint="eastAsia"/>
          <w:color w:val="auto"/>
          <w:highlight w:val="none"/>
        </w:rPr>
        <w:t>”</w:t>
      </w:r>
      <w:r>
        <w:rPr>
          <w:color w:val="auto"/>
          <w:highlight w:val="none"/>
        </w:rPr>
        <w:t>不外排。根据《环境影响评价技术导则 地表水环境》（HJ2.3-2018）中水污染影响型建设项目评价等级判定表，判定本项目排放方式为间接排放，地表水评价等级为三级B。根据《环境影响评价技术导则 地表水环境》（HJ2.3-2018），</w:t>
      </w:r>
      <w:r>
        <w:rPr>
          <w:rFonts w:hint="eastAsia"/>
          <w:color w:val="auto"/>
          <w:highlight w:val="none"/>
        </w:rPr>
        <w:t>地表</w:t>
      </w:r>
      <w:r>
        <w:rPr>
          <w:color w:val="auto"/>
          <w:highlight w:val="none"/>
        </w:rPr>
        <w:t>水污染影响型三级B评价，可不开展区域污染源调查，主要调查污水处理设施的日处理能力、处理工艺、设计进水水质、处理后的废水稳定达标排放情况。</w:t>
      </w:r>
    </w:p>
    <w:p w14:paraId="36840FD4">
      <w:pPr>
        <w:ind w:firstLine="480"/>
        <w:rPr>
          <w:color w:val="auto"/>
          <w:highlight w:val="none"/>
        </w:rPr>
      </w:pPr>
      <w:r>
        <w:rPr>
          <w:rFonts w:hint="eastAsia"/>
          <w:color w:val="auto"/>
          <w:highlight w:val="none"/>
        </w:rPr>
        <w:t>为了解</w:t>
      </w:r>
      <w:r>
        <w:rPr>
          <w:rFonts w:hint="eastAsia"/>
          <w:color w:val="auto"/>
          <w:highlight w:val="none"/>
          <w:lang w:eastAsia="zh-CN"/>
        </w:rPr>
        <w:t>阿克苏</w:t>
      </w:r>
      <w:r>
        <w:rPr>
          <w:rFonts w:hint="eastAsia"/>
          <w:color w:val="auto"/>
          <w:highlight w:val="none"/>
        </w:rPr>
        <w:t>河地表水环境质量现状，本次评价</w:t>
      </w:r>
      <w:r>
        <w:rPr>
          <w:rFonts w:hint="eastAsia"/>
          <w:color w:val="auto"/>
          <w:highlight w:val="none"/>
          <w:lang w:val="en-US" w:eastAsia="zh-CN"/>
        </w:rPr>
        <w:t>引用新疆锡水金山环境科技有限公司2025年2月22日出具的</w:t>
      </w:r>
      <w:r>
        <w:rPr>
          <w:rFonts w:hint="eastAsia"/>
          <w:color w:val="auto"/>
          <w:highlight w:val="none"/>
          <w:lang w:eastAsia="zh-CN"/>
        </w:rPr>
        <w:t>《</w:t>
      </w:r>
      <w:r>
        <w:rPr>
          <w:rFonts w:hint="eastAsia"/>
          <w:color w:val="auto"/>
          <w:highlight w:val="none"/>
          <w:lang w:val="en-US" w:eastAsia="zh-CN"/>
        </w:rPr>
        <w:t>新疆若羌县皮亚孜达坂萤石矿采选一体化项目环境现状检测报告</w:t>
      </w:r>
      <w:r>
        <w:rPr>
          <w:rFonts w:hint="eastAsia"/>
          <w:color w:val="auto"/>
          <w:highlight w:val="none"/>
          <w:lang w:eastAsia="zh-CN"/>
        </w:rPr>
        <w:t>》</w:t>
      </w:r>
      <w:r>
        <w:rPr>
          <w:rFonts w:hint="eastAsia"/>
          <w:color w:val="auto"/>
          <w:highlight w:val="none"/>
          <w:lang w:val="en-US" w:eastAsia="zh-CN"/>
        </w:rPr>
        <w:t>数据，详见附件</w:t>
      </w:r>
      <w:r>
        <w:rPr>
          <w:rFonts w:hint="eastAsia"/>
          <w:color w:val="auto"/>
          <w:highlight w:val="none"/>
        </w:rPr>
        <w:t>。</w:t>
      </w:r>
    </w:p>
    <w:p w14:paraId="596AA9F2">
      <w:pPr>
        <w:ind w:firstLine="480"/>
        <w:rPr>
          <w:rFonts w:hint="eastAsia" w:eastAsia="宋体"/>
          <w:color w:val="auto"/>
          <w:highlight w:val="none"/>
          <w:lang w:eastAsia="zh-CN"/>
        </w:rPr>
      </w:pPr>
      <w:r>
        <w:rPr>
          <w:rFonts w:hint="eastAsia"/>
          <w:color w:val="auto"/>
          <w:highlight w:val="none"/>
        </w:rPr>
        <w:t>（1）监测</w:t>
      </w:r>
      <w:r>
        <w:rPr>
          <w:rFonts w:hint="eastAsia"/>
          <w:color w:val="auto"/>
          <w:highlight w:val="none"/>
          <w:lang w:val="en-US" w:eastAsia="zh-CN"/>
        </w:rPr>
        <w:t>点位</w:t>
      </w:r>
    </w:p>
    <w:p w14:paraId="20A39BB0">
      <w:pPr>
        <w:spacing w:line="480" w:lineRule="exact"/>
        <w:jc w:val="center"/>
        <w:rPr>
          <w:rFonts w:ascii="Times New Roman"/>
          <w:b/>
          <w:bCs/>
          <w:color w:val="auto"/>
          <w:highlight w:val="none"/>
        </w:rPr>
      </w:pPr>
      <w:r>
        <w:rPr>
          <w:rFonts w:ascii="Times New Roman"/>
          <w:b/>
          <w:bCs/>
          <w:color w:val="auto"/>
          <w:highlight w:val="none"/>
        </w:rPr>
        <w:t>表4.2-</w:t>
      </w:r>
      <w:r>
        <w:rPr>
          <w:rFonts w:hint="eastAsia"/>
          <w:b/>
          <w:bCs/>
          <w:color w:val="auto"/>
          <w:highlight w:val="none"/>
          <w:lang w:val="en-US" w:eastAsia="zh-CN"/>
        </w:rPr>
        <w:t>5</w:t>
      </w:r>
      <w:r>
        <w:rPr>
          <w:rFonts w:ascii="Times New Roman"/>
          <w:b/>
          <w:bCs/>
          <w:color w:val="auto"/>
          <w:highlight w:val="none"/>
        </w:rPr>
        <w:t xml:space="preserve">    </w:t>
      </w:r>
      <w:r>
        <w:rPr>
          <w:rFonts w:hint="eastAsia"/>
          <w:b/>
          <w:bCs/>
          <w:color w:val="auto"/>
          <w:highlight w:val="none"/>
          <w:lang w:val="en-US" w:eastAsia="zh-CN"/>
        </w:rPr>
        <w:t>引用地表水</w:t>
      </w:r>
      <w:r>
        <w:rPr>
          <w:rFonts w:hint="eastAsia" w:ascii="Times New Roman"/>
          <w:b/>
          <w:bCs/>
          <w:color w:val="auto"/>
          <w:highlight w:val="none"/>
        </w:rPr>
        <w:t>监测点位布置情况</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5"/>
        <w:gridCol w:w="3342"/>
        <w:gridCol w:w="4311"/>
      </w:tblGrid>
      <w:tr w14:paraId="4E68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Align w:val="center"/>
          </w:tcPr>
          <w:p w14:paraId="273FA947">
            <w:pPr>
              <w:pStyle w:val="17"/>
              <w:bidi w:val="0"/>
              <w:rPr>
                <w:color w:val="auto"/>
                <w:highlight w:val="none"/>
              </w:rPr>
            </w:pPr>
            <w:r>
              <w:rPr>
                <w:color w:val="auto"/>
                <w:highlight w:val="none"/>
              </w:rPr>
              <w:t>编号</w:t>
            </w:r>
          </w:p>
        </w:tc>
        <w:tc>
          <w:tcPr>
            <w:tcW w:w="1822" w:type="pct"/>
            <w:vAlign w:val="center"/>
          </w:tcPr>
          <w:p w14:paraId="023E72F0">
            <w:pPr>
              <w:pStyle w:val="17"/>
              <w:bidi w:val="0"/>
              <w:rPr>
                <w:color w:val="auto"/>
                <w:highlight w:val="none"/>
              </w:rPr>
            </w:pPr>
            <w:r>
              <w:rPr>
                <w:color w:val="auto"/>
                <w:highlight w:val="none"/>
              </w:rPr>
              <w:t>监测点坐标</w:t>
            </w:r>
          </w:p>
        </w:tc>
        <w:tc>
          <w:tcPr>
            <w:tcW w:w="2350" w:type="pct"/>
            <w:vAlign w:val="center"/>
          </w:tcPr>
          <w:p w14:paraId="56D4A3E6">
            <w:pPr>
              <w:pStyle w:val="17"/>
              <w:bidi w:val="0"/>
              <w:rPr>
                <w:rFonts w:hint="default" w:eastAsia="宋体"/>
                <w:color w:val="auto"/>
                <w:highlight w:val="none"/>
                <w:lang w:val="en-US" w:eastAsia="zh-CN"/>
              </w:rPr>
            </w:pPr>
            <w:r>
              <w:rPr>
                <w:rFonts w:hint="eastAsia"/>
                <w:color w:val="auto"/>
                <w:highlight w:val="none"/>
                <w:lang w:val="en-US" w:eastAsia="zh-CN"/>
              </w:rPr>
              <w:t>与本项目位置关系</w:t>
            </w:r>
          </w:p>
        </w:tc>
      </w:tr>
      <w:tr w14:paraId="75E6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826" w:type="pct"/>
            <w:vAlign w:val="center"/>
          </w:tcPr>
          <w:p w14:paraId="072E4FFE">
            <w:pPr>
              <w:pStyle w:val="17"/>
              <w:bidi w:val="0"/>
              <w:rPr>
                <w:rFonts w:hint="default" w:eastAsia="宋体"/>
                <w:color w:val="auto"/>
                <w:highlight w:val="none"/>
                <w:lang w:val="en-US" w:eastAsia="zh-CN"/>
              </w:rPr>
            </w:pPr>
            <w:r>
              <w:rPr>
                <w:rFonts w:hint="eastAsia"/>
                <w:color w:val="auto"/>
                <w:highlight w:val="none"/>
                <w:lang w:val="en-US" w:eastAsia="zh-CN"/>
              </w:rPr>
              <w:t>G1</w:t>
            </w:r>
          </w:p>
        </w:tc>
        <w:tc>
          <w:tcPr>
            <w:tcW w:w="1822" w:type="pct"/>
            <w:vAlign w:val="center"/>
          </w:tcPr>
          <w:p w14:paraId="54EE3F69">
            <w:pPr>
              <w:pStyle w:val="17"/>
              <w:bidi w:val="0"/>
              <w:rPr>
                <w:rFonts w:hint="default" w:ascii="Times New Roman" w:hAnsi="Times New Roman" w:eastAsia="宋体" w:cs="Times New Roman"/>
                <w:color w:val="auto"/>
                <w:highlight w:val="none"/>
                <w:lang w:val="en-US" w:eastAsia="zh-CN"/>
              </w:rPr>
            </w:pPr>
          </w:p>
        </w:tc>
        <w:tc>
          <w:tcPr>
            <w:tcW w:w="2350" w:type="pct"/>
            <w:vAlign w:val="center"/>
          </w:tcPr>
          <w:p w14:paraId="5B24E646">
            <w:pPr>
              <w:pStyle w:val="17"/>
              <w:bidi w:val="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项目区上游，距尾矿库东南方向约7.2km处</w:t>
            </w:r>
          </w:p>
        </w:tc>
      </w:tr>
      <w:tr w14:paraId="3662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826" w:type="pct"/>
            <w:vAlign w:val="center"/>
          </w:tcPr>
          <w:p w14:paraId="54842E28">
            <w:pPr>
              <w:pStyle w:val="17"/>
              <w:bidi w:val="0"/>
              <w:rPr>
                <w:rFonts w:hint="default" w:eastAsia="宋体"/>
                <w:color w:val="auto"/>
                <w:highlight w:val="none"/>
                <w:lang w:val="en-US" w:eastAsia="zh-CN"/>
              </w:rPr>
            </w:pPr>
            <w:r>
              <w:rPr>
                <w:rFonts w:hint="eastAsia"/>
                <w:color w:val="auto"/>
                <w:highlight w:val="none"/>
                <w:lang w:val="en-US" w:eastAsia="zh-CN"/>
              </w:rPr>
              <w:t>G2</w:t>
            </w:r>
          </w:p>
        </w:tc>
        <w:tc>
          <w:tcPr>
            <w:tcW w:w="1822" w:type="pct"/>
            <w:vAlign w:val="center"/>
          </w:tcPr>
          <w:p w14:paraId="10A88593">
            <w:pPr>
              <w:pStyle w:val="17"/>
              <w:bidi w:val="0"/>
              <w:rPr>
                <w:rFonts w:hint="default" w:ascii="Times New Roman" w:hAnsi="Times New Roman" w:cs="Times New Roman"/>
                <w:color w:val="auto"/>
                <w:highlight w:val="none"/>
                <w:lang w:val="en-US" w:eastAsia="zh-CN"/>
              </w:rPr>
            </w:pPr>
          </w:p>
        </w:tc>
        <w:tc>
          <w:tcPr>
            <w:tcW w:w="2350" w:type="pct"/>
            <w:vAlign w:val="center"/>
          </w:tcPr>
          <w:p w14:paraId="75F23C0E">
            <w:pPr>
              <w:pStyle w:val="17"/>
              <w:bidi w:val="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项目区上游，距尾矿库东南方向约6.3km处</w:t>
            </w:r>
          </w:p>
        </w:tc>
      </w:tr>
      <w:tr w14:paraId="1E0F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Align w:val="center"/>
          </w:tcPr>
          <w:p w14:paraId="13FCDB8A">
            <w:pPr>
              <w:pStyle w:val="17"/>
              <w:bidi w:val="0"/>
              <w:rPr>
                <w:rFonts w:hint="default"/>
                <w:color w:val="auto"/>
                <w:highlight w:val="none"/>
                <w:lang w:val="en-US" w:eastAsia="zh-CN"/>
              </w:rPr>
            </w:pPr>
            <w:r>
              <w:rPr>
                <w:rFonts w:hint="eastAsia"/>
                <w:color w:val="auto"/>
                <w:highlight w:val="none"/>
                <w:lang w:val="en-US" w:eastAsia="zh-CN"/>
              </w:rPr>
              <w:t>G3</w:t>
            </w:r>
          </w:p>
        </w:tc>
        <w:tc>
          <w:tcPr>
            <w:tcW w:w="1822" w:type="pct"/>
            <w:vAlign w:val="center"/>
          </w:tcPr>
          <w:p w14:paraId="09080F2F">
            <w:pPr>
              <w:pStyle w:val="17"/>
              <w:bidi w:val="0"/>
              <w:rPr>
                <w:rFonts w:hint="default" w:ascii="Times New Roman" w:hAnsi="Times New Roman" w:cs="Times New Roman" w:eastAsiaTheme="minorEastAsia"/>
                <w:color w:val="auto"/>
                <w:sz w:val="21"/>
                <w:szCs w:val="21"/>
                <w:highlight w:val="none"/>
                <w:lang w:val="en-US" w:eastAsia="zh-CN"/>
              </w:rPr>
            </w:pPr>
          </w:p>
        </w:tc>
        <w:tc>
          <w:tcPr>
            <w:tcW w:w="2350" w:type="pct"/>
            <w:vAlign w:val="center"/>
          </w:tcPr>
          <w:p w14:paraId="21544148">
            <w:pPr>
              <w:pStyle w:val="17"/>
              <w:bidi w:val="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项目区上游，距尾矿库东南方向约3.1km处</w:t>
            </w:r>
          </w:p>
        </w:tc>
      </w:tr>
    </w:tbl>
    <w:p w14:paraId="6F9BED51">
      <w:pPr>
        <w:ind w:firstLine="480"/>
        <w:rPr>
          <w:color w:val="auto"/>
          <w:highlight w:val="none"/>
        </w:rPr>
      </w:pPr>
      <w:r>
        <w:rPr>
          <w:rFonts w:hint="eastAsia"/>
          <w:color w:val="auto"/>
          <w:highlight w:val="none"/>
        </w:rPr>
        <w:t>（2）监测时间</w:t>
      </w:r>
    </w:p>
    <w:p w14:paraId="3767B0BA">
      <w:pPr>
        <w:ind w:firstLine="480"/>
        <w:rPr>
          <w:color w:val="auto"/>
          <w:highlight w:val="none"/>
        </w:rPr>
      </w:pPr>
      <w:r>
        <w:rPr>
          <w:rFonts w:hint="eastAsia"/>
          <w:color w:val="auto"/>
          <w:highlight w:val="none"/>
          <w:lang w:val="en-US" w:eastAsia="zh-CN"/>
        </w:rPr>
        <w:t>采样时间：2025年1月22-24日</w:t>
      </w:r>
      <w:r>
        <w:rPr>
          <w:rFonts w:hint="eastAsia"/>
          <w:color w:val="auto"/>
          <w:highlight w:val="none"/>
        </w:rPr>
        <w:t>。</w:t>
      </w:r>
    </w:p>
    <w:p w14:paraId="3C073998">
      <w:pPr>
        <w:ind w:firstLine="480"/>
        <w:rPr>
          <w:color w:val="auto"/>
          <w:highlight w:val="none"/>
        </w:rPr>
      </w:pPr>
      <w:r>
        <w:rPr>
          <w:rFonts w:hint="eastAsia"/>
          <w:color w:val="auto"/>
          <w:highlight w:val="none"/>
        </w:rPr>
        <w:t>（3）</w:t>
      </w:r>
      <w:r>
        <w:rPr>
          <w:color w:val="auto"/>
          <w:highlight w:val="none"/>
        </w:rPr>
        <w:t>监测项目</w:t>
      </w:r>
    </w:p>
    <w:p w14:paraId="247DCEA9">
      <w:pPr>
        <w:ind w:firstLine="480"/>
        <w:rPr>
          <w:color w:val="auto"/>
          <w:highlight w:val="none"/>
        </w:rPr>
      </w:pPr>
      <w:r>
        <w:rPr>
          <w:rFonts w:hint="eastAsia"/>
          <w:color w:val="auto"/>
          <w:highlight w:val="none"/>
        </w:rPr>
        <w:t>监测项目包括：</w:t>
      </w:r>
      <w:r>
        <w:rPr>
          <w:rFonts w:hint="eastAsia"/>
          <w:color w:val="auto"/>
          <w:highlight w:val="none"/>
          <w:lang w:val="en-US" w:eastAsia="zh-CN"/>
        </w:rPr>
        <w:t>pH、溶解氧、高锰酸盐指数、COD、BOD</w:t>
      </w:r>
      <w:r>
        <w:rPr>
          <w:rFonts w:hint="eastAsia"/>
          <w:color w:val="auto"/>
          <w:highlight w:val="none"/>
          <w:vertAlign w:val="subscript"/>
          <w:lang w:val="en-US" w:eastAsia="zh-CN"/>
        </w:rPr>
        <w:t>5</w:t>
      </w:r>
      <w:r>
        <w:rPr>
          <w:rFonts w:hint="eastAsia"/>
          <w:color w:val="auto"/>
          <w:highlight w:val="none"/>
          <w:lang w:val="en-US" w:eastAsia="zh-CN"/>
        </w:rPr>
        <w:t>、氨氮、总磷、铜、锌、氟化物、硒、砷、汞、六价铬、铅、氰化物、挥发酚、石油类、硫化物、粪大肠菌群、氯化物、硝酸盐氮</w:t>
      </w:r>
      <w:r>
        <w:rPr>
          <w:rFonts w:hint="eastAsia"/>
          <w:color w:val="auto"/>
          <w:highlight w:val="none"/>
        </w:rPr>
        <w:t>，共计2</w:t>
      </w:r>
      <w:r>
        <w:rPr>
          <w:rFonts w:hint="eastAsia"/>
          <w:color w:val="auto"/>
          <w:highlight w:val="none"/>
          <w:lang w:val="en-US" w:eastAsia="zh-CN"/>
        </w:rPr>
        <w:t>2</w:t>
      </w:r>
      <w:r>
        <w:rPr>
          <w:rFonts w:hint="eastAsia"/>
          <w:color w:val="auto"/>
          <w:highlight w:val="none"/>
        </w:rPr>
        <w:t>项。</w:t>
      </w:r>
    </w:p>
    <w:p w14:paraId="234B9787">
      <w:pPr>
        <w:ind w:firstLine="480"/>
        <w:rPr>
          <w:color w:val="auto"/>
          <w:highlight w:val="none"/>
        </w:rPr>
      </w:pPr>
      <w:r>
        <w:rPr>
          <w:rFonts w:hint="eastAsia"/>
          <w:color w:val="auto"/>
          <w:highlight w:val="none"/>
        </w:rPr>
        <w:t>（4）</w:t>
      </w:r>
      <w:r>
        <w:rPr>
          <w:color w:val="auto"/>
          <w:highlight w:val="none"/>
        </w:rPr>
        <w:t>采样及分析方法</w:t>
      </w:r>
    </w:p>
    <w:p w14:paraId="2FAB69EA">
      <w:pPr>
        <w:ind w:firstLine="480"/>
        <w:rPr>
          <w:color w:val="auto"/>
          <w:highlight w:val="none"/>
        </w:rPr>
      </w:pPr>
      <w:r>
        <w:rPr>
          <w:color w:val="auto"/>
          <w:highlight w:val="none"/>
        </w:rPr>
        <w:t>采样及分析方法依照《环境水质监测质量保证手册</w:t>
      </w:r>
      <w:r>
        <w:rPr>
          <w:rFonts w:hint="eastAsia"/>
          <w:color w:val="auto"/>
          <w:highlight w:val="none"/>
          <w:lang w:eastAsia="zh-CN"/>
        </w:rPr>
        <w:t>》和《</w:t>
      </w:r>
      <w:r>
        <w:rPr>
          <w:color w:val="auto"/>
          <w:highlight w:val="none"/>
        </w:rPr>
        <w:t>水和废水监测分析方法》中的有关规定进行。</w:t>
      </w:r>
    </w:p>
    <w:p w14:paraId="70B64343">
      <w:pPr>
        <w:ind w:firstLine="480"/>
        <w:rPr>
          <w:color w:val="auto"/>
          <w:highlight w:val="none"/>
        </w:rPr>
      </w:pPr>
      <w:r>
        <w:rPr>
          <w:rFonts w:hint="eastAsia"/>
          <w:color w:val="auto"/>
          <w:highlight w:val="none"/>
        </w:rPr>
        <w:t>（5）</w:t>
      </w:r>
      <w:r>
        <w:rPr>
          <w:color w:val="auto"/>
          <w:highlight w:val="none"/>
        </w:rPr>
        <w:t>评价标准</w:t>
      </w:r>
    </w:p>
    <w:p w14:paraId="56F086DB">
      <w:pPr>
        <w:ind w:firstLine="480"/>
        <w:rPr>
          <w:color w:val="auto"/>
          <w:highlight w:val="none"/>
        </w:rPr>
      </w:pPr>
      <w:r>
        <w:rPr>
          <w:color w:val="auto"/>
          <w:highlight w:val="none"/>
        </w:rPr>
        <w:t>采用《地表水环境质量标准》（GB3838-2002）</w:t>
      </w:r>
      <w:r>
        <w:rPr>
          <w:rFonts w:hint="eastAsia"/>
          <w:color w:val="auto"/>
          <w:highlight w:val="none"/>
          <w:lang w:eastAsia="zh-CN"/>
        </w:rPr>
        <w:t>I</w:t>
      </w:r>
      <w:r>
        <w:rPr>
          <w:color w:val="auto"/>
          <w:highlight w:val="none"/>
        </w:rPr>
        <w:t>类标准对地表水水质进行评价。</w:t>
      </w:r>
    </w:p>
    <w:p w14:paraId="08669269">
      <w:pPr>
        <w:ind w:firstLine="480"/>
        <w:rPr>
          <w:color w:val="auto"/>
          <w:highlight w:val="none"/>
        </w:rPr>
      </w:pPr>
      <w:r>
        <w:rPr>
          <w:rFonts w:hint="eastAsia"/>
          <w:color w:val="auto"/>
          <w:highlight w:val="none"/>
        </w:rPr>
        <w:t>（6）</w:t>
      </w:r>
      <w:r>
        <w:rPr>
          <w:color w:val="auto"/>
          <w:highlight w:val="none"/>
        </w:rPr>
        <w:t>评价方法</w:t>
      </w:r>
    </w:p>
    <w:p w14:paraId="72E5DE2B">
      <w:pPr>
        <w:ind w:firstLine="480"/>
        <w:rPr>
          <w:color w:val="auto"/>
          <w:highlight w:val="none"/>
          <w:lang w:val="zh-CN"/>
        </w:rPr>
      </w:pPr>
      <w:r>
        <w:rPr>
          <w:color w:val="auto"/>
          <w:highlight w:val="none"/>
        </w:rPr>
        <w:t>水环境质量评价方法采用水质指数法。</w:t>
      </w:r>
    </w:p>
    <w:p w14:paraId="1FFD9BC2">
      <w:pPr>
        <w:ind w:firstLine="480"/>
        <w:rPr>
          <w:color w:val="auto"/>
          <w:highlight w:val="none"/>
        </w:rPr>
      </w:pPr>
      <w:r>
        <w:rPr>
          <w:rFonts w:hint="eastAsia"/>
          <w:color w:val="auto"/>
          <w:highlight w:val="none"/>
        </w:rPr>
        <w:t>①</w:t>
      </w:r>
      <w:r>
        <w:rPr>
          <w:color w:val="auto"/>
          <w:highlight w:val="none"/>
        </w:rPr>
        <w:t>一般性水质因子的指数计算公式，公式如下：</w:t>
      </w:r>
    </w:p>
    <w:p w14:paraId="4FEDC59E">
      <w:pPr>
        <w:ind w:firstLine="480"/>
        <w:jc w:val="center"/>
        <w:rPr>
          <w:color w:val="auto"/>
          <w:highlight w:val="none"/>
          <w:vertAlign w:val="subscript"/>
        </w:rPr>
      </w:pPr>
      <w:r>
        <w:rPr>
          <w:color w:val="auto"/>
          <w:highlight w:val="none"/>
        </w:rPr>
        <w:t>S</w:t>
      </w:r>
      <w:r>
        <w:rPr>
          <w:color w:val="auto"/>
          <w:highlight w:val="none"/>
          <w:vertAlign w:val="subscript"/>
        </w:rPr>
        <w:t>i</w:t>
      </w:r>
      <w:r>
        <w:rPr>
          <w:i/>
          <w:color w:val="auto"/>
          <w:highlight w:val="none"/>
          <w:vertAlign w:val="subscript"/>
        </w:rPr>
        <w:t>,j</w:t>
      </w:r>
      <w:r>
        <w:rPr>
          <w:color w:val="auto"/>
          <w:highlight w:val="none"/>
        </w:rPr>
        <w:t>=C</w:t>
      </w:r>
      <w:r>
        <w:rPr>
          <w:color w:val="auto"/>
          <w:highlight w:val="none"/>
          <w:vertAlign w:val="subscript"/>
        </w:rPr>
        <w:t>i</w:t>
      </w:r>
      <w:r>
        <w:rPr>
          <w:i/>
          <w:color w:val="auto"/>
          <w:highlight w:val="none"/>
          <w:vertAlign w:val="subscript"/>
        </w:rPr>
        <w:t>,j</w:t>
      </w:r>
      <w:r>
        <w:rPr>
          <w:color w:val="auto"/>
          <w:highlight w:val="none"/>
        </w:rPr>
        <w:t>/C</w:t>
      </w:r>
      <w:r>
        <w:rPr>
          <w:color w:val="auto"/>
          <w:highlight w:val="none"/>
          <w:vertAlign w:val="subscript"/>
        </w:rPr>
        <w:t>si</w:t>
      </w:r>
    </w:p>
    <w:p w14:paraId="56093403">
      <w:pPr>
        <w:ind w:firstLine="480"/>
        <w:rPr>
          <w:color w:val="auto"/>
          <w:highlight w:val="none"/>
        </w:rPr>
      </w:pPr>
      <w:r>
        <w:rPr>
          <w:color w:val="auto"/>
          <w:highlight w:val="none"/>
        </w:rPr>
        <w:t>式中：S</w:t>
      </w:r>
      <w:r>
        <w:rPr>
          <w:color w:val="auto"/>
          <w:highlight w:val="none"/>
          <w:vertAlign w:val="subscript"/>
        </w:rPr>
        <w:t>i</w:t>
      </w:r>
      <w:r>
        <w:rPr>
          <w:i/>
          <w:color w:val="auto"/>
          <w:highlight w:val="none"/>
          <w:vertAlign w:val="subscript"/>
        </w:rPr>
        <w:t>,j</w:t>
      </w:r>
      <w:r>
        <w:rPr>
          <w:color w:val="auto"/>
          <w:highlight w:val="none"/>
        </w:rPr>
        <w:t>—评价因子i的水质指数，大于1表明该水质因子超标；</w:t>
      </w:r>
    </w:p>
    <w:p w14:paraId="7A2A552F">
      <w:pPr>
        <w:ind w:firstLine="480"/>
        <w:rPr>
          <w:color w:val="auto"/>
          <w:highlight w:val="none"/>
        </w:rPr>
      </w:pPr>
      <w:r>
        <w:rPr>
          <w:rFonts w:hint="eastAsia"/>
          <w:color w:val="auto"/>
          <w:highlight w:val="none"/>
        </w:rPr>
        <w:t xml:space="preserve">      </w:t>
      </w:r>
      <w:r>
        <w:rPr>
          <w:color w:val="auto"/>
          <w:highlight w:val="none"/>
        </w:rPr>
        <w:t>C</w:t>
      </w:r>
      <w:r>
        <w:rPr>
          <w:color w:val="auto"/>
          <w:highlight w:val="none"/>
          <w:vertAlign w:val="subscript"/>
        </w:rPr>
        <w:t>i</w:t>
      </w:r>
      <w:r>
        <w:rPr>
          <w:i/>
          <w:color w:val="auto"/>
          <w:highlight w:val="none"/>
          <w:vertAlign w:val="subscript"/>
        </w:rPr>
        <w:t>,j</w:t>
      </w:r>
      <w:r>
        <w:rPr>
          <w:color w:val="auto"/>
          <w:highlight w:val="none"/>
        </w:rPr>
        <w:t>—评价因子i在</w:t>
      </w:r>
      <w:r>
        <w:rPr>
          <w:i/>
          <w:color w:val="auto"/>
          <w:highlight w:val="none"/>
        </w:rPr>
        <w:t>j</w:t>
      </w:r>
      <w:r>
        <w:rPr>
          <w:color w:val="auto"/>
          <w:highlight w:val="none"/>
        </w:rPr>
        <w:t>点的实测统计代表值，mg/L；</w:t>
      </w:r>
    </w:p>
    <w:p w14:paraId="213B88F1">
      <w:pPr>
        <w:ind w:firstLine="480"/>
        <w:rPr>
          <w:color w:val="auto"/>
          <w:highlight w:val="none"/>
        </w:rPr>
      </w:pPr>
      <w:r>
        <w:rPr>
          <w:rFonts w:hint="eastAsia"/>
          <w:color w:val="auto"/>
          <w:highlight w:val="none"/>
        </w:rPr>
        <w:t xml:space="preserve">      </w:t>
      </w:r>
      <w:r>
        <w:rPr>
          <w:color w:val="auto"/>
          <w:highlight w:val="none"/>
        </w:rPr>
        <w:t>C</w:t>
      </w:r>
      <w:r>
        <w:rPr>
          <w:color w:val="auto"/>
          <w:highlight w:val="none"/>
          <w:vertAlign w:val="subscript"/>
        </w:rPr>
        <w:t>si</w:t>
      </w:r>
      <w:r>
        <w:rPr>
          <w:color w:val="auto"/>
          <w:highlight w:val="none"/>
        </w:rPr>
        <w:t>—评价因子i的水质评价标准限值，mg/L。</w:t>
      </w:r>
    </w:p>
    <w:p w14:paraId="5835CF36">
      <w:pPr>
        <w:ind w:firstLine="480"/>
        <w:rPr>
          <w:color w:val="auto"/>
          <w:highlight w:val="none"/>
        </w:rPr>
      </w:pPr>
      <w:r>
        <w:rPr>
          <w:rFonts w:hint="eastAsia"/>
          <w:color w:val="auto"/>
          <w:highlight w:val="none"/>
        </w:rPr>
        <w:t>②</w:t>
      </w:r>
      <w:r>
        <w:rPr>
          <w:color w:val="auto"/>
          <w:highlight w:val="none"/>
        </w:rPr>
        <w:t>pH值的指数计算公式：</w:t>
      </w:r>
    </w:p>
    <w:p w14:paraId="0E27375D">
      <w:pPr>
        <w:ind w:firstLine="480"/>
        <w:jc w:val="center"/>
        <w:rPr>
          <w:color w:val="auto"/>
          <w:highlight w:val="none"/>
        </w:rPr>
      </w:pPr>
      <w:r>
        <w:rPr>
          <w:color w:val="auto"/>
          <w:highlight w:val="none"/>
        </w:rPr>
        <w:t>S</w:t>
      </w:r>
      <w:r>
        <w:rPr>
          <w:color w:val="auto"/>
          <w:highlight w:val="none"/>
          <w:vertAlign w:val="subscript"/>
        </w:rPr>
        <w:t>pH</w:t>
      </w:r>
      <w:r>
        <w:rPr>
          <w:i/>
          <w:color w:val="auto"/>
          <w:highlight w:val="none"/>
          <w:vertAlign w:val="subscript"/>
        </w:rPr>
        <w:t>,j</w:t>
      </w:r>
      <w:r>
        <w:rPr>
          <w:color w:val="auto"/>
          <w:highlight w:val="none"/>
        </w:rPr>
        <w:t>=（7.0-pH</w:t>
      </w:r>
      <w:r>
        <w:rPr>
          <w:i/>
          <w:color w:val="auto"/>
          <w:highlight w:val="none"/>
          <w:vertAlign w:val="subscript"/>
        </w:rPr>
        <w:t xml:space="preserve"> j</w:t>
      </w:r>
      <w:r>
        <w:rPr>
          <w:color w:val="auto"/>
          <w:highlight w:val="none"/>
        </w:rPr>
        <w:t>）/（7.0-pH</w:t>
      </w:r>
      <w:r>
        <w:rPr>
          <w:color w:val="auto"/>
          <w:highlight w:val="none"/>
          <w:vertAlign w:val="subscript"/>
        </w:rPr>
        <w:t>sd</w:t>
      </w:r>
      <w:r>
        <w:rPr>
          <w:color w:val="auto"/>
          <w:highlight w:val="none"/>
        </w:rPr>
        <w:t>）           （pH</w:t>
      </w:r>
      <w:r>
        <w:rPr>
          <w:i/>
          <w:color w:val="auto"/>
          <w:highlight w:val="none"/>
          <w:vertAlign w:val="subscript"/>
        </w:rPr>
        <w:t xml:space="preserve"> j</w:t>
      </w:r>
      <w:r>
        <w:rPr>
          <w:color w:val="auto"/>
          <w:highlight w:val="none"/>
        </w:rPr>
        <w:t>≤7）；</w:t>
      </w:r>
    </w:p>
    <w:p w14:paraId="53715371">
      <w:pPr>
        <w:ind w:firstLine="480"/>
        <w:jc w:val="center"/>
        <w:rPr>
          <w:color w:val="auto"/>
          <w:highlight w:val="none"/>
        </w:rPr>
      </w:pPr>
      <w:r>
        <w:rPr>
          <w:color w:val="auto"/>
          <w:highlight w:val="none"/>
        </w:rPr>
        <w:t>S</w:t>
      </w:r>
      <w:r>
        <w:rPr>
          <w:color w:val="auto"/>
          <w:highlight w:val="none"/>
          <w:vertAlign w:val="subscript"/>
        </w:rPr>
        <w:t>pH</w:t>
      </w:r>
      <w:r>
        <w:rPr>
          <w:i/>
          <w:color w:val="auto"/>
          <w:highlight w:val="none"/>
          <w:vertAlign w:val="subscript"/>
        </w:rPr>
        <w:t>,j</w:t>
      </w:r>
      <w:r>
        <w:rPr>
          <w:b/>
          <w:color w:val="auto"/>
          <w:highlight w:val="none"/>
        </w:rPr>
        <w:t xml:space="preserve"> =</w:t>
      </w:r>
      <w:r>
        <w:rPr>
          <w:color w:val="auto"/>
          <w:highlight w:val="none"/>
        </w:rPr>
        <w:t>（pH</w:t>
      </w:r>
      <w:r>
        <w:rPr>
          <w:i/>
          <w:color w:val="auto"/>
          <w:highlight w:val="none"/>
          <w:vertAlign w:val="subscript"/>
        </w:rPr>
        <w:t xml:space="preserve"> j</w:t>
      </w:r>
      <w:r>
        <w:rPr>
          <w:color w:val="auto"/>
          <w:highlight w:val="none"/>
        </w:rPr>
        <w:t xml:space="preserve"> -7.0）/（pH</w:t>
      </w:r>
      <w:r>
        <w:rPr>
          <w:color w:val="auto"/>
          <w:highlight w:val="none"/>
          <w:vertAlign w:val="subscript"/>
        </w:rPr>
        <w:t>su</w:t>
      </w:r>
      <w:r>
        <w:rPr>
          <w:color w:val="auto"/>
          <w:highlight w:val="none"/>
        </w:rPr>
        <w:t>-7.0）          （pH</w:t>
      </w:r>
      <w:r>
        <w:rPr>
          <w:i/>
          <w:color w:val="auto"/>
          <w:highlight w:val="none"/>
          <w:vertAlign w:val="subscript"/>
        </w:rPr>
        <w:t xml:space="preserve"> j</w:t>
      </w:r>
      <w:r>
        <w:rPr>
          <w:color w:val="auto"/>
          <w:highlight w:val="none"/>
        </w:rPr>
        <w:t xml:space="preserve"> &gt;7）；</w:t>
      </w:r>
    </w:p>
    <w:p w14:paraId="1C85E12D">
      <w:pPr>
        <w:ind w:firstLine="480"/>
        <w:rPr>
          <w:color w:val="auto"/>
          <w:highlight w:val="none"/>
        </w:rPr>
      </w:pPr>
      <w:r>
        <w:rPr>
          <w:color w:val="auto"/>
          <w:highlight w:val="none"/>
        </w:rPr>
        <w:t>式中：S</w:t>
      </w:r>
      <w:r>
        <w:rPr>
          <w:color w:val="auto"/>
          <w:highlight w:val="none"/>
          <w:vertAlign w:val="subscript"/>
        </w:rPr>
        <w:t>pH</w:t>
      </w:r>
      <w:r>
        <w:rPr>
          <w:i/>
          <w:color w:val="auto"/>
          <w:highlight w:val="none"/>
          <w:vertAlign w:val="subscript"/>
        </w:rPr>
        <w:t>,j</w:t>
      </w:r>
      <w:r>
        <w:rPr>
          <w:color w:val="auto"/>
          <w:highlight w:val="none"/>
        </w:rPr>
        <w:t>—pH值的指数，大于1表明该水质因子超标；</w:t>
      </w:r>
    </w:p>
    <w:p w14:paraId="45F4CDAD">
      <w:pPr>
        <w:ind w:firstLine="480"/>
        <w:rPr>
          <w:color w:val="auto"/>
          <w:highlight w:val="none"/>
        </w:rPr>
      </w:pPr>
      <w:r>
        <w:rPr>
          <w:rFonts w:hint="eastAsia"/>
          <w:color w:val="auto"/>
          <w:highlight w:val="none"/>
        </w:rPr>
        <w:t xml:space="preserve">      </w:t>
      </w:r>
      <w:r>
        <w:rPr>
          <w:color w:val="auto"/>
          <w:highlight w:val="none"/>
        </w:rPr>
        <w:t>pH</w:t>
      </w:r>
      <w:r>
        <w:rPr>
          <w:i/>
          <w:color w:val="auto"/>
          <w:highlight w:val="none"/>
          <w:vertAlign w:val="subscript"/>
        </w:rPr>
        <w:t xml:space="preserve"> j</w:t>
      </w:r>
      <w:r>
        <w:rPr>
          <w:color w:val="auto"/>
          <w:highlight w:val="none"/>
        </w:rPr>
        <w:t>—pH值实测统计代表值；</w:t>
      </w:r>
    </w:p>
    <w:p w14:paraId="0B5C07DC">
      <w:pPr>
        <w:ind w:firstLine="480"/>
        <w:rPr>
          <w:color w:val="auto"/>
          <w:highlight w:val="none"/>
        </w:rPr>
      </w:pPr>
      <w:r>
        <w:rPr>
          <w:rFonts w:hint="eastAsia"/>
          <w:color w:val="auto"/>
          <w:highlight w:val="none"/>
        </w:rPr>
        <w:t xml:space="preserve">      </w:t>
      </w:r>
      <w:r>
        <w:rPr>
          <w:color w:val="auto"/>
          <w:highlight w:val="none"/>
        </w:rPr>
        <w:t>pH</w:t>
      </w:r>
      <w:r>
        <w:rPr>
          <w:color w:val="auto"/>
          <w:highlight w:val="none"/>
          <w:vertAlign w:val="subscript"/>
        </w:rPr>
        <w:t>sd</w:t>
      </w:r>
      <w:r>
        <w:rPr>
          <w:color w:val="auto"/>
          <w:highlight w:val="none"/>
        </w:rPr>
        <w:t>—评价标准中pH值的下限值；</w:t>
      </w:r>
    </w:p>
    <w:p w14:paraId="601B6285">
      <w:pPr>
        <w:ind w:firstLine="480"/>
        <w:rPr>
          <w:color w:val="auto"/>
          <w:highlight w:val="none"/>
        </w:rPr>
      </w:pPr>
      <w:r>
        <w:rPr>
          <w:rFonts w:hint="eastAsia"/>
          <w:color w:val="auto"/>
          <w:highlight w:val="none"/>
        </w:rPr>
        <w:t xml:space="preserve">      </w:t>
      </w:r>
      <w:r>
        <w:rPr>
          <w:color w:val="auto"/>
          <w:highlight w:val="none"/>
        </w:rPr>
        <w:t>pH</w:t>
      </w:r>
      <w:r>
        <w:rPr>
          <w:color w:val="auto"/>
          <w:highlight w:val="none"/>
          <w:vertAlign w:val="subscript"/>
        </w:rPr>
        <w:t>su</w:t>
      </w:r>
      <w:r>
        <w:rPr>
          <w:color w:val="auto"/>
          <w:highlight w:val="none"/>
        </w:rPr>
        <w:t>—评价标准中pH值的上限值；</w:t>
      </w:r>
    </w:p>
    <w:p w14:paraId="076CAAD0">
      <w:pPr>
        <w:ind w:firstLine="480"/>
        <w:rPr>
          <w:color w:val="auto"/>
          <w:highlight w:val="none"/>
        </w:rPr>
      </w:pPr>
      <w:r>
        <w:rPr>
          <w:rFonts w:hint="eastAsia"/>
          <w:color w:val="auto"/>
          <w:highlight w:val="none"/>
        </w:rPr>
        <w:t>③</w:t>
      </w:r>
      <w:r>
        <w:rPr>
          <w:color w:val="auto"/>
          <w:highlight w:val="none"/>
        </w:rPr>
        <w:t>溶解氧（DO）的标准指数计算公式：</w:t>
      </w:r>
    </w:p>
    <w:p w14:paraId="77664EE7">
      <w:pPr>
        <w:ind w:firstLine="480"/>
        <w:jc w:val="center"/>
        <w:rPr>
          <w:color w:val="auto"/>
          <w:highlight w:val="none"/>
        </w:rPr>
      </w:pPr>
      <w:r>
        <w:rPr>
          <w:color w:val="auto"/>
          <w:highlight w:val="none"/>
        </w:rPr>
        <w:t>S</w:t>
      </w:r>
      <w:r>
        <w:rPr>
          <w:color w:val="auto"/>
          <w:highlight w:val="none"/>
          <w:vertAlign w:val="subscript"/>
        </w:rPr>
        <w:t>DO</w:t>
      </w:r>
      <w:r>
        <w:rPr>
          <w:i/>
          <w:color w:val="auto"/>
          <w:highlight w:val="none"/>
          <w:vertAlign w:val="subscript"/>
        </w:rPr>
        <w:t>,j</w:t>
      </w:r>
      <w:r>
        <w:rPr>
          <w:color w:val="auto"/>
          <w:highlight w:val="none"/>
        </w:rPr>
        <w:t>=DO</w:t>
      </w:r>
      <w:r>
        <w:rPr>
          <w:color w:val="auto"/>
          <w:highlight w:val="none"/>
          <w:vertAlign w:val="subscript"/>
        </w:rPr>
        <w:t>s</w:t>
      </w:r>
      <w:r>
        <w:rPr>
          <w:color w:val="auto"/>
          <w:highlight w:val="none"/>
        </w:rPr>
        <w:t>/DO</w:t>
      </w:r>
      <w:r>
        <w:rPr>
          <w:i/>
          <w:color w:val="auto"/>
          <w:highlight w:val="none"/>
          <w:vertAlign w:val="subscript"/>
        </w:rPr>
        <w:t>j</w:t>
      </w:r>
      <w:r>
        <w:rPr>
          <w:color w:val="auto"/>
          <w:highlight w:val="none"/>
        </w:rPr>
        <w:t xml:space="preserve">                               DO</w:t>
      </w:r>
      <w:r>
        <w:rPr>
          <w:i/>
          <w:color w:val="auto"/>
          <w:highlight w:val="none"/>
          <w:vertAlign w:val="subscript"/>
        </w:rPr>
        <w:t>j</w:t>
      </w:r>
      <w:r>
        <w:rPr>
          <w:color w:val="auto"/>
          <w:highlight w:val="none"/>
        </w:rPr>
        <w:t>≤DO</w:t>
      </w:r>
      <w:r>
        <w:rPr>
          <w:color w:val="auto"/>
          <w:highlight w:val="none"/>
          <w:vertAlign w:val="subscript"/>
        </w:rPr>
        <w:t>f</w:t>
      </w:r>
      <w:r>
        <w:rPr>
          <w:color w:val="auto"/>
          <w:highlight w:val="none"/>
        </w:rPr>
        <w:t>；</w:t>
      </w:r>
    </w:p>
    <w:p w14:paraId="680DABC9">
      <w:pPr>
        <w:ind w:firstLine="480"/>
        <w:jc w:val="center"/>
        <w:rPr>
          <w:color w:val="auto"/>
          <w:highlight w:val="none"/>
        </w:rPr>
      </w:pPr>
      <w:r>
        <w:rPr>
          <w:color w:val="auto"/>
          <w:highlight w:val="none"/>
        </w:rPr>
        <w:t>S</w:t>
      </w:r>
      <w:r>
        <w:rPr>
          <w:color w:val="auto"/>
          <w:highlight w:val="none"/>
          <w:vertAlign w:val="subscript"/>
        </w:rPr>
        <w:t>DO</w:t>
      </w:r>
      <w:r>
        <w:rPr>
          <w:i/>
          <w:color w:val="auto"/>
          <w:highlight w:val="none"/>
          <w:vertAlign w:val="subscript"/>
        </w:rPr>
        <w:t>,j</w:t>
      </w:r>
      <w:r>
        <w:rPr>
          <w:color w:val="auto"/>
          <w:highlight w:val="none"/>
        </w:rPr>
        <w:t>=︱DO</w:t>
      </w:r>
      <w:r>
        <w:rPr>
          <w:color w:val="auto"/>
          <w:highlight w:val="none"/>
          <w:vertAlign w:val="subscript"/>
        </w:rPr>
        <w:t xml:space="preserve">f </w:t>
      </w:r>
      <w:r>
        <w:rPr>
          <w:color w:val="auto"/>
          <w:highlight w:val="none"/>
        </w:rPr>
        <w:t>-DO</w:t>
      </w:r>
      <w:r>
        <w:rPr>
          <w:i/>
          <w:color w:val="auto"/>
          <w:highlight w:val="none"/>
          <w:vertAlign w:val="subscript"/>
        </w:rPr>
        <w:t>j</w:t>
      </w:r>
      <w:r>
        <w:rPr>
          <w:color w:val="auto"/>
          <w:highlight w:val="none"/>
        </w:rPr>
        <w:t>︱÷（DO</w:t>
      </w:r>
      <w:r>
        <w:rPr>
          <w:color w:val="auto"/>
          <w:highlight w:val="none"/>
          <w:vertAlign w:val="subscript"/>
        </w:rPr>
        <w:t>f</w:t>
      </w:r>
      <w:r>
        <w:rPr>
          <w:color w:val="auto"/>
          <w:highlight w:val="none"/>
        </w:rPr>
        <w:t>-DO</w:t>
      </w:r>
      <w:r>
        <w:rPr>
          <w:color w:val="auto"/>
          <w:highlight w:val="none"/>
          <w:vertAlign w:val="subscript"/>
        </w:rPr>
        <w:t>s</w:t>
      </w:r>
      <w:r>
        <w:rPr>
          <w:color w:val="auto"/>
          <w:highlight w:val="none"/>
        </w:rPr>
        <w:t>）               DO</w:t>
      </w:r>
      <w:r>
        <w:rPr>
          <w:i/>
          <w:color w:val="auto"/>
          <w:highlight w:val="none"/>
          <w:vertAlign w:val="subscript"/>
        </w:rPr>
        <w:t>j</w:t>
      </w:r>
      <w:r>
        <w:rPr>
          <w:color w:val="auto"/>
          <w:highlight w:val="none"/>
        </w:rPr>
        <w:t>&gt;DO</w:t>
      </w:r>
      <w:r>
        <w:rPr>
          <w:rFonts w:hint="eastAsia"/>
          <w:color w:val="auto"/>
          <w:highlight w:val="none"/>
          <w:vertAlign w:val="subscript"/>
          <w:lang w:val="en-US" w:eastAsia="zh-CN"/>
        </w:rPr>
        <w:t>f</w:t>
      </w:r>
      <w:r>
        <w:rPr>
          <w:color w:val="auto"/>
          <w:highlight w:val="none"/>
        </w:rPr>
        <w:t>；</w:t>
      </w:r>
    </w:p>
    <w:p w14:paraId="55054495">
      <w:pPr>
        <w:ind w:firstLine="480"/>
        <w:rPr>
          <w:color w:val="auto"/>
          <w:highlight w:val="none"/>
        </w:rPr>
      </w:pPr>
      <w:r>
        <w:rPr>
          <w:color w:val="auto"/>
          <w:highlight w:val="none"/>
        </w:rPr>
        <w:t>式中：S</w:t>
      </w:r>
      <w:r>
        <w:rPr>
          <w:color w:val="auto"/>
          <w:highlight w:val="none"/>
          <w:vertAlign w:val="subscript"/>
        </w:rPr>
        <w:t>DO</w:t>
      </w:r>
      <w:r>
        <w:rPr>
          <w:i/>
          <w:color w:val="auto"/>
          <w:highlight w:val="none"/>
          <w:vertAlign w:val="subscript"/>
        </w:rPr>
        <w:t>,j</w:t>
      </w:r>
      <w:r>
        <w:rPr>
          <w:color w:val="auto"/>
          <w:highlight w:val="none"/>
        </w:rPr>
        <w:t>—溶解氧的标准指数，大于1表明该水质因子超标；</w:t>
      </w:r>
    </w:p>
    <w:p w14:paraId="310A71D3">
      <w:pPr>
        <w:ind w:firstLine="480"/>
        <w:rPr>
          <w:color w:val="auto"/>
          <w:highlight w:val="none"/>
        </w:rPr>
      </w:pPr>
      <w:r>
        <w:rPr>
          <w:rFonts w:hint="eastAsia"/>
          <w:color w:val="auto"/>
          <w:highlight w:val="none"/>
        </w:rPr>
        <w:t xml:space="preserve">      </w:t>
      </w:r>
      <w:r>
        <w:rPr>
          <w:color w:val="auto"/>
          <w:highlight w:val="none"/>
        </w:rPr>
        <w:t>DO</w:t>
      </w:r>
      <w:r>
        <w:rPr>
          <w:i/>
          <w:color w:val="auto"/>
          <w:highlight w:val="none"/>
          <w:vertAlign w:val="subscript"/>
        </w:rPr>
        <w:t>j</w:t>
      </w:r>
      <w:r>
        <w:rPr>
          <w:color w:val="auto"/>
          <w:highlight w:val="none"/>
        </w:rPr>
        <w:t>—溶解氧在</w:t>
      </w:r>
      <w:r>
        <w:rPr>
          <w:i/>
          <w:color w:val="auto"/>
          <w:highlight w:val="none"/>
        </w:rPr>
        <w:t>j</w:t>
      </w:r>
      <w:r>
        <w:rPr>
          <w:color w:val="auto"/>
          <w:highlight w:val="none"/>
        </w:rPr>
        <w:t>点的实测统计代表值，mg/L；</w:t>
      </w:r>
    </w:p>
    <w:p w14:paraId="6F6ABC22">
      <w:pPr>
        <w:ind w:firstLine="480"/>
        <w:rPr>
          <w:color w:val="auto"/>
          <w:highlight w:val="none"/>
        </w:rPr>
      </w:pPr>
      <w:r>
        <w:rPr>
          <w:rFonts w:hint="eastAsia"/>
          <w:color w:val="auto"/>
          <w:highlight w:val="none"/>
        </w:rPr>
        <w:t xml:space="preserve">      </w:t>
      </w:r>
      <w:r>
        <w:rPr>
          <w:color w:val="auto"/>
          <w:highlight w:val="none"/>
        </w:rPr>
        <w:t>DO</w:t>
      </w:r>
      <w:r>
        <w:rPr>
          <w:color w:val="auto"/>
          <w:highlight w:val="none"/>
          <w:vertAlign w:val="subscript"/>
        </w:rPr>
        <w:t>s</w:t>
      </w:r>
      <w:r>
        <w:rPr>
          <w:color w:val="auto"/>
          <w:highlight w:val="none"/>
        </w:rPr>
        <w:t>—溶解氧的水质评价标准限值，mg/L；</w:t>
      </w:r>
    </w:p>
    <w:p w14:paraId="3EF56271">
      <w:pPr>
        <w:ind w:firstLine="480"/>
        <w:rPr>
          <w:color w:val="auto"/>
          <w:highlight w:val="none"/>
        </w:rPr>
      </w:pPr>
      <w:r>
        <w:rPr>
          <w:rFonts w:hint="eastAsia"/>
          <w:color w:val="auto"/>
          <w:highlight w:val="none"/>
        </w:rPr>
        <w:t xml:space="preserve">      </w:t>
      </w:r>
      <w:r>
        <w:rPr>
          <w:color w:val="auto"/>
          <w:highlight w:val="none"/>
        </w:rPr>
        <w:t>DO</w:t>
      </w:r>
      <w:r>
        <w:rPr>
          <w:color w:val="auto"/>
          <w:highlight w:val="none"/>
          <w:vertAlign w:val="subscript"/>
        </w:rPr>
        <w:t>f</w:t>
      </w:r>
      <w:r>
        <w:rPr>
          <w:color w:val="auto"/>
          <w:highlight w:val="none"/>
        </w:rPr>
        <w:t>—饱和溶解氧浓度，mg/L，对于河流，DO</w:t>
      </w:r>
      <w:r>
        <w:rPr>
          <w:color w:val="auto"/>
          <w:highlight w:val="none"/>
          <w:vertAlign w:val="subscript"/>
        </w:rPr>
        <w:t>f</w:t>
      </w:r>
      <w:r>
        <w:rPr>
          <w:color w:val="auto"/>
          <w:highlight w:val="none"/>
        </w:rPr>
        <w:t>=468/</w:t>
      </w:r>
      <w:r>
        <w:rPr>
          <w:rFonts w:hint="eastAsia"/>
          <w:color w:val="auto"/>
          <w:highlight w:val="none"/>
          <w:lang w:eastAsia="zh-CN"/>
        </w:rPr>
        <w:t>（</w:t>
      </w:r>
      <w:r>
        <w:rPr>
          <w:color w:val="auto"/>
          <w:highlight w:val="none"/>
        </w:rPr>
        <w:t>36.1+T</w:t>
      </w:r>
      <w:r>
        <w:rPr>
          <w:rFonts w:hint="eastAsia"/>
          <w:color w:val="auto"/>
          <w:highlight w:val="none"/>
          <w:lang w:eastAsia="zh-CN"/>
        </w:rPr>
        <w:t>）</w:t>
      </w:r>
      <w:r>
        <w:rPr>
          <w:color w:val="auto"/>
          <w:highlight w:val="none"/>
        </w:rPr>
        <w:t>，对于盐度比较高的湖泊、水库及入海河口、近岸海域，DO</w:t>
      </w:r>
      <w:r>
        <w:rPr>
          <w:color w:val="auto"/>
          <w:highlight w:val="none"/>
          <w:vertAlign w:val="subscript"/>
        </w:rPr>
        <w:t>f</w:t>
      </w:r>
      <w:r>
        <w:rPr>
          <w:color w:val="auto"/>
          <w:highlight w:val="none"/>
        </w:rPr>
        <w:t>=（491-2.65S）/</w:t>
      </w:r>
      <w:r>
        <w:rPr>
          <w:rFonts w:hint="eastAsia"/>
          <w:color w:val="auto"/>
          <w:highlight w:val="none"/>
          <w:lang w:eastAsia="zh-CN"/>
        </w:rPr>
        <w:t>（</w:t>
      </w:r>
      <w:r>
        <w:rPr>
          <w:color w:val="auto"/>
          <w:highlight w:val="none"/>
        </w:rPr>
        <w:t>33.5+T</w:t>
      </w:r>
      <w:r>
        <w:rPr>
          <w:rFonts w:hint="eastAsia"/>
          <w:color w:val="auto"/>
          <w:highlight w:val="none"/>
          <w:lang w:eastAsia="zh-CN"/>
        </w:rPr>
        <w:t>）</w:t>
      </w:r>
      <w:r>
        <w:rPr>
          <w:color w:val="auto"/>
          <w:highlight w:val="none"/>
        </w:rPr>
        <w:t>；</w:t>
      </w:r>
    </w:p>
    <w:p w14:paraId="1417139F">
      <w:pPr>
        <w:ind w:firstLine="480"/>
        <w:rPr>
          <w:color w:val="auto"/>
          <w:highlight w:val="none"/>
        </w:rPr>
      </w:pPr>
      <w:r>
        <w:rPr>
          <w:rFonts w:hint="eastAsia"/>
          <w:color w:val="auto"/>
          <w:highlight w:val="none"/>
        </w:rPr>
        <w:t xml:space="preserve">      </w:t>
      </w:r>
      <w:r>
        <w:rPr>
          <w:color w:val="auto"/>
          <w:highlight w:val="none"/>
        </w:rPr>
        <w:t>S—实用盐度符号，量纲一；</w:t>
      </w:r>
    </w:p>
    <w:p w14:paraId="01DB2488">
      <w:pPr>
        <w:ind w:firstLine="480"/>
        <w:rPr>
          <w:color w:val="auto"/>
          <w:highlight w:val="none"/>
        </w:rPr>
      </w:pPr>
      <w:r>
        <w:rPr>
          <w:rFonts w:hint="eastAsia"/>
          <w:color w:val="auto"/>
          <w:highlight w:val="none"/>
        </w:rPr>
        <w:t xml:space="preserve">      </w:t>
      </w:r>
      <w:r>
        <w:rPr>
          <w:color w:val="auto"/>
          <w:highlight w:val="none"/>
        </w:rPr>
        <w:t>T—水温，℃。</w:t>
      </w:r>
    </w:p>
    <w:p w14:paraId="0C344FA5">
      <w:pPr>
        <w:ind w:firstLine="480"/>
        <w:rPr>
          <w:color w:val="auto"/>
          <w:highlight w:val="none"/>
        </w:rPr>
      </w:pPr>
      <w:r>
        <w:rPr>
          <w:rFonts w:hint="eastAsia"/>
          <w:color w:val="auto"/>
          <w:highlight w:val="none"/>
        </w:rPr>
        <w:t>（7）</w:t>
      </w:r>
      <w:r>
        <w:rPr>
          <w:color w:val="auto"/>
          <w:highlight w:val="none"/>
        </w:rPr>
        <w:t>监测结果</w:t>
      </w:r>
    </w:p>
    <w:p w14:paraId="53FE2DC9">
      <w:pPr>
        <w:ind w:firstLine="480"/>
        <w:rPr>
          <w:color w:val="auto"/>
          <w:highlight w:val="none"/>
        </w:rPr>
      </w:pPr>
      <w:r>
        <w:rPr>
          <w:color w:val="auto"/>
          <w:highlight w:val="none"/>
        </w:rPr>
        <w:t>地表水水质监测结果及评价结果，见表</w:t>
      </w:r>
      <w:r>
        <w:rPr>
          <w:rFonts w:hint="eastAsia"/>
          <w:color w:val="auto"/>
          <w:highlight w:val="none"/>
        </w:rPr>
        <w:t>4.2-</w:t>
      </w:r>
      <w:r>
        <w:rPr>
          <w:rFonts w:hint="eastAsia"/>
          <w:color w:val="auto"/>
          <w:highlight w:val="none"/>
          <w:lang w:val="en-US" w:eastAsia="zh-CN"/>
        </w:rPr>
        <w:t>6</w:t>
      </w:r>
      <w:r>
        <w:rPr>
          <w:color w:val="auto"/>
          <w:highlight w:val="none"/>
        </w:rPr>
        <w:t>。</w:t>
      </w:r>
    </w:p>
    <w:p w14:paraId="38A36E91">
      <w:pPr>
        <w:spacing w:line="480" w:lineRule="exact"/>
        <w:jc w:val="center"/>
        <w:rPr>
          <w:rFonts w:ascii="Times New Roman"/>
          <w:b/>
          <w:bCs/>
          <w:color w:val="auto"/>
          <w:highlight w:val="none"/>
        </w:rPr>
        <w:sectPr>
          <w:pgSz w:w="11906" w:h="16838"/>
          <w:pgMar w:top="1474" w:right="1474" w:bottom="1474" w:left="1474" w:header="850" w:footer="1020" w:gutter="0"/>
          <w:pgBorders>
            <w:top w:val="none" w:sz="0" w:space="0"/>
            <w:left w:val="none" w:sz="0" w:space="0"/>
            <w:bottom w:val="none" w:sz="0" w:space="0"/>
            <w:right w:val="none" w:sz="0" w:space="0"/>
          </w:pgBorders>
          <w:cols w:space="720" w:num="1"/>
          <w:docGrid w:linePitch="312" w:charSpace="0"/>
        </w:sectPr>
      </w:pPr>
    </w:p>
    <w:p w14:paraId="7886EF4D">
      <w:pPr>
        <w:spacing w:line="480" w:lineRule="exact"/>
        <w:jc w:val="center"/>
        <w:rPr>
          <w:rFonts w:ascii="Times New Roman"/>
          <w:b/>
          <w:bCs/>
          <w:color w:val="auto"/>
          <w:highlight w:val="none"/>
        </w:rPr>
      </w:pPr>
      <w:r>
        <w:rPr>
          <w:rFonts w:ascii="Times New Roman"/>
          <w:b/>
          <w:bCs/>
          <w:color w:val="auto"/>
          <w:highlight w:val="none"/>
        </w:rPr>
        <w:t>表</w:t>
      </w:r>
      <w:r>
        <w:rPr>
          <w:rFonts w:hint="eastAsia" w:ascii="Times New Roman"/>
          <w:b/>
          <w:bCs/>
          <w:color w:val="auto"/>
          <w:highlight w:val="none"/>
        </w:rPr>
        <w:t>4.2-</w:t>
      </w:r>
      <w:r>
        <w:rPr>
          <w:rFonts w:hint="eastAsia"/>
          <w:b/>
          <w:bCs/>
          <w:color w:val="auto"/>
          <w:highlight w:val="none"/>
          <w:lang w:val="en-US" w:eastAsia="zh-CN"/>
        </w:rPr>
        <w:t>6</w:t>
      </w:r>
      <w:r>
        <w:rPr>
          <w:rFonts w:ascii="Times New Roman"/>
          <w:b/>
          <w:bCs/>
          <w:color w:val="auto"/>
          <w:highlight w:val="none"/>
        </w:rPr>
        <w:t xml:space="preserve">    </w:t>
      </w:r>
      <w:r>
        <w:rPr>
          <w:rFonts w:hint="eastAsia" w:ascii="Times New Roman"/>
          <w:b/>
          <w:bCs/>
          <w:color w:val="auto"/>
          <w:highlight w:val="none"/>
          <w:lang w:eastAsia="zh-CN"/>
        </w:rPr>
        <w:t>阿克苏</w:t>
      </w:r>
      <w:r>
        <w:rPr>
          <w:rFonts w:hint="eastAsia" w:ascii="Times New Roman"/>
          <w:b/>
          <w:bCs/>
          <w:color w:val="auto"/>
          <w:highlight w:val="none"/>
        </w:rPr>
        <w:t>河水质</w:t>
      </w:r>
      <w:r>
        <w:rPr>
          <w:rFonts w:ascii="Times New Roman"/>
          <w:b/>
          <w:bCs/>
          <w:color w:val="auto"/>
          <w:highlight w:val="none"/>
        </w:rPr>
        <w:t>现状监测结果</w:t>
      </w:r>
    </w:p>
    <w:tbl>
      <w:tblPr>
        <w:tblStyle w:val="18"/>
        <w:tblW w:w="14177" w:type="dxa"/>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6"/>
        <w:gridCol w:w="699"/>
        <w:gridCol w:w="936"/>
        <w:gridCol w:w="973"/>
        <w:gridCol w:w="1010"/>
        <w:gridCol w:w="943"/>
        <w:gridCol w:w="812"/>
        <w:gridCol w:w="1025"/>
        <w:gridCol w:w="1025"/>
        <w:gridCol w:w="1025"/>
        <w:gridCol w:w="812"/>
        <w:gridCol w:w="1025"/>
        <w:gridCol w:w="1025"/>
        <w:gridCol w:w="1025"/>
        <w:gridCol w:w="826"/>
      </w:tblGrid>
      <w:tr w14:paraId="1028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Merge w:val="restart"/>
            <w:vAlign w:val="center"/>
          </w:tcPr>
          <w:p w14:paraId="11231D87">
            <w:pPr>
              <w:pStyle w:val="17"/>
              <w:bidi w:val="0"/>
              <w:jc w:val="center"/>
              <w:rPr>
                <w:color w:val="auto"/>
                <w:highlight w:val="none"/>
              </w:rPr>
            </w:pPr>
            <w:r>
              <w:rPr>
                <w:color w:val="auto"/>
                <w:highlight w:val="none"/>
              </w:rPr>
              <w:t>监测项目</w:t>
            </w:r>
          </w:p>
        </w:tc>
        <w:tc>
          <w:tcPr>
            <w:tcW w:w="699" w:type="dxa"/>
            <w:vMerge w:val="restart"/>
            <w:vAlign w:val="center"/>
          </w:tcPr>
          <w:p w14:paraId="7B560790">
            <w:pPr>
              <w:pStyle w:val="17"/>
              <w:bidi w:val="0"/>
              <w:jc w:val="center"/>
              <w:rPr>
                <w:color w:val="auto"/>
                <w:highlight w:val="none"/>
              </w:rPr>
            </w:pPr>
            <w:r>
              <w:rPr>
                <w:color w:val="auto"/>
                <w:highlight w:val="none"/>
              </w:rPr>
              <w:t>单位</w:t>
            </w:r>
          </w:p>
        </w:tc>
        <w:tc>
          <w:tcPr>
            <w:tcW w:w="936" w:type="dxa"/>
            <w:vMerge w:val="restart"/>
            <w:vAlign w:val="center"/>
          </w:tcPr>
          <w:p w14:paraId="2EB99468">
            <w:pPr>
              <w:pStyle w:val="17"/>
              <w:bidi w:val="0"/>
              <w:jc w:val="center"/>
              <w:rPr>
                <w:color w:val="auto"/>
                <w:highlight w:val="none"/>
              </w:rPr>
            </w:pPr>
            <w:r>
              <w:rPr>
                <w:color w:val="auto"/>
                <w:highlight w:val="none"/>
              </w:rPr>
              <w:t>标准值</w:t>
            </w:r>
          </w:p>
        </w:tc>
        <w:tc>
          <w:tcPr>
            <w:tcW w:w="3738" w:type="dxa"/>
            <w:gridSpan w:val="4"/>
            <w:vAlign w:val="center"/>
          </w:tcPr>
          <w:p w14:paraId="03C0B73A">
            <w:pPr>
              <w:pStyle w:val="17"/>
              <w:bidi w:val="0"/>
              <w:jc w:val="center"/>
              <w:rPr>
                <w:rFonts w:hint="default" w:eastAsia="宋体"/>
                <w:color w:val="auto"/>
                <w:highlight w:val="none"/>
                <w:lang w:val="en-US" w:eastAsia="zh-CN"/>
              </w:rPr>
            </w:pPr>
            <w:r>
              <w:rPr>
                <w:rFonts w:hint="eastAsia"/>
                <w:color w:val="auto"/>
                <w:highlight w:val="none"/>
                <w:lang w:val="en-US" w:eastAsia="zh-CN"/>
              </w:rPr>
              <w:t>G1</w:t>
            </w:r>
          </w:p>
        </w:tc>
        <w:tc>
          <w:tcPr>
            <w:tcW w:w="3887" w:type="dxa"/>
            <w:gridSpan w:val="4"/>
            <w:vAlign w:val="center"/>
          </w:tcPr>
          <w:p w14:paraId="4F4803D9">
            <w:pPr>
              <w:pStyle w:val="17"/>
              <w:bidi w:val="0"/>
              <w:jc w:val="center"/>
              <w:rPr>
                <w:rFonts w:hint="default" w:eastAsia="宋体"/>
                <w:color w:val="auto"/>
                <w:highlight w:val="none"/>
                <w:lang w:val="en-US" w:eastAsia="zh-CN"/>
              </w:rPr>
            </w:pPr>
            <w:r>
              <w:rPr>
                <w:rFonts w:hint="eastAsia"/>
                <w:color w:val="auto"/>
                <w:highlight w:val="none"/>
                <w:lang w:val="en-US" w:eastAsia="zh-CN"/>
              </w:rPr>
              <w:t>G2</w:t>
            </w:r>
          </w:p>
        </w:tc>
        <w:tc>
          <w:tcPr>
            <w:tcW w:w="3901" w:type="dxa"/>
            <w:gridSpan w:val="4"/>
            <w:vAlign w:val="center"/>
          </w:tcPr>
          <w:p w14:paraId="3EF5F9EA">
            <w:pPr>
              <w:pStyle w:val="17"/>
              <w:bidi w:val="0"/>
              <w:jc w:val="center"/>
              <w:rPr>
                <w:rFonts w:hint="default" w:eastAsia="宋体"/>
                <w:color w:val="auto"/>
                <w:highlight w:val="none"/>
                <w:lang w:val="en-US" w:eastAsia="zh-CN"/>
              </w:rPr>
            </w:pPr>
            <w:r>
              <w:rPr>
                <w:rFonts w:hint="eastAsia"/>
                <w:color w:val="auto"/>
                <w:highlight w:val="none"/>
                <w:lang w:val="en-US" w:eastAsia="zh-CN"/>
              </w:rPr>
              <w:t>G3</w:t>
            </w:r>
          </w:p>
        </w:tc>
      </w:tr>
      <w:tr w14:paraId="22BC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Merge w:val="continue"/>
            <w:vAlign w:val="center"/>
          </w:tcPr>
          <w:p w14:paraId="31F168DB">
            <w:pPr>
              <w:pStyle w:val="17"/>
              <w:bidi w:val="0"/>
              <w:jc w:val="center"/>
              <w:rPr>
                <w:color w:val="auto"/>
                <w:highlight w:val="none"/>
              </w:rPr>
            </w:pPr>
          </w:p>
        </w:tc>
        <w:tc>
          <w:tcPr>
            <w:tcW w:w="699" w:type="dxa"/>
            <w:vMerge w:val="continue"/>
            <w:vAlign w:val="center"/>
          </w:tcPr>
          <w:p w14:paraId="571693F6">
            <w:pPr>
              <w:pStyle w:val="17"/>
              <w:bidi w:val="0"/>
              <w:jc w:val="center"/>
              <w:rPr>
                <w:color w:val="auto"/>
                <w:highlight w:val="none"/>
              </w:rPr>
            </w:pPr>
          </w:p>
        </w:tc>
        <w:tc>
          <w:tcPr>
            <w:tcW w:w="936" w:type="dxa"/>
            <w:vMerge w:val="continue"/>
            <w:vAlign w:val="center"/>
          </w:tcPr>
          <w:p w14:paraId="347AA089">
            <w:pPr>
              <w:pStyle w:val="17"/>
              <w:bidi w:val="0"/>
              <w:jc w:val="center"/>
              <w:rPr>
                <w:color w:val="auto"/>
                <w:highlight w:val="none"/>
              </w:rPr>
            </w:pPr>
          </w:p>
        </w:tc>
        <w:tc>
          <w:tcPr>
            <w:tcW w:w="2926" w:type="dxa"/>
            <w:gridSpan w:val="3"/>
            <w:vAlign w:val="center"/>
          </w:tcPr>
          <w:p w14:paraId="47BEA50A">
            <w:pPr>
              <w:pStyle w:val="17"/>
              <w:bidi w:val="0"/>
              <w:jc w:val="center"/>
              <w:rPr>
                <w:color w:val="auto"/>
                <w:highlight w:val="none"/>
              </w:rPr>
            </w:pPr>
            <w:r>
              <w:rPr>
                <w:color w:val="auto"/>
                <w:highlight w:val="none"/>
              </w:rPr>
              <w:t>监测值</w:t>
            </w:r>
          </w:p>
        </w:tc>
        <w:tc>
          <w:tcPr>
            <w:tcW w:w="812" w:type="dxa"/>
            <w:vAlign w:val="center"/>
          </w:tcPr>
          <w:p w14:paraId="401517CA">
            <w:pPr>
              <w:pStyle w:val="17"/>
              <w:bidi w:val="0"/>
              <w:jc w:val="center"/>
              <w:rPr>
                <w:color w:val="auto"/>
                <w:highlight w:val="none"/>
              </w:rPr>
            </w:pPr>
            <w:r>
              <w:rPr>
                <w:color w:val="auto"/>
                <w:highlight w:val="none"/>
              </w:rPr>
              <w:t>最大</w:t>
            </w:r>
          </w:p>
          <w:p w14:paraId="24265625">
            <w:pPr>
              <w:pStyle w:val="17"/>
              <w:bidi w:val="0"/>
              <w:jc w:val="center"/>
              <w:rPr>
                <w:color w:val="auto"/>
                <w:highlight w:val="none"/>
              </w:rPr>
            </w:pPr>
            <w:r>
              <w:rPr>
                <w:color w:val="auto"/>
                <w:highlight w:val="none"/>
              </w:rPr>
              <w:t>Pi</w:t>
            </w:r>
          </w:p>
        </w:tc>
        <w:tc>
          <w:tcPr>
            <w:tcW w:w="3075" w:type="dxa"/>
            <w:gridSpan w:val="3"/>
            <w:vAlign w:val="center"/>
          </w:tcPr>
          <w:p w14:paraId="0027E628">
            <w:pPr>
              <w:pStyle w:val="17"/>
              <w:bidi w:val="0"/>
              <w:jc w:val="center"/>
              <w:rPr>
                <w:color w:val="auto"/>
                <w:highlight w:val="none"/>
              </w:rPr>
            </w:pPr>
            <w:r>
              <w:rPr>
                <w:color w:val="auto"/>
                <w:highlight w:val="none"/>
              </w:rPr>
              <w:t>监测值</w:t>
            </w:r>
          </w:p>
        </w:tc>
        <w:tc>
          <w:tcPr>
            <w:tcW w:w="812" w:type="dxa"/>
            <w:vAlign w:val="center"/>
          </w:tcPr>
          <w:p w14:paraId="2CF30DD6">
            <w:pPr>
              <w:pStyle w:val="17"/>
              <w:bidi w:val="0"/>
              <w:jc w:val="center"/>
              <w:rPr>
                <w:color w:val="auto"/>
                <w:highlight w:val="none"/>
              </w:rPr>
            </w:pPr>
            <w:r>
              <w:rPr>
                <w:color w:val="auto"/>
                <w:highlight w:val="none"/>
              </w:rPr>
              <w:t>最大</w:t>
            </w:r>
          </w:p>
          <w:p w14:paraId="6841AF13">
            <w:pPr>
              <w:pStyle w:val="17"/>
              <w:bidi w:val="0"/>
              <w:jc w:val="center"/>
              <w:rPr>
                <w:color w:val="auto"/>
                <w:highlight w:val="none"/>
              </w:rPr>
            </w:pPr>
            <w:r>
              <w:rPr>
                <w:color w:val="auto"/>
                <w:highlight w:val="none"/>
              </w:rPr>
              <w:t>Pi</w:t>
            </w:r>
          </w:p>
        </w:tc>
        <w:tc>
          <w:tcPr>
            <w:tcW w:w="3075" w:type="dxa"/>
            <w:gridSpan w:val="3"/>
            <w:vAlign w:val="center"/>
          </w:tcPr>
          <w:p w14:paraId="232AA647">
            <w:pPr>
              <w:pStyle w:val="17"/>
              <w:bidi w:val="0"/>
              <w:jc w:val="center"/>
              <w:rPr>
                <w:color w:val="auto"/>
                <w:highlight w:val="none"/>
              </w:rPr>
            </w:pPr>
            <w:r>
              <w:rPr>
                <w:color w:val="auto"/>
                <w:highlight w:val="none"/>
              </w:rPr>
              <w:t>监测值</w:t>
            </w:r>
          </w:p>
        </w:tc>
        <w:tc>
          <w:tcPr>
            <w:tcW w:w="826" w:type="dxa"/>
            <w:vAlign w:val="center"/>
          </w:tcPr>
          <w:p w14:paraId="1CE90DB9">
            <w:pPr>
              <w:pStyle w:val="17"/>
              <w:bidi w:val="0"/>
              <w:jc w:val="center"/>
              <w:rPr>
                <w:color w:val="auto"/>
                <w:highlight w:val="none"/>
              </w:rPr>
            </w:pPr>
            <w:r>
              <w:rPr>
                <w:color w:val="auto"/>
                <w:highlight w:val="none"/>
              </w:rPr>
              <w:t>最大</w:t>
            </w:r>
          </w:p>
          <w:p w14:paraId="3AB87FA0">
            <w:pPr>
              <w:pStyle w:val="17"/>
              <w:bidi w:val="0"/>
              <w:jc w:val="center"/>
              <w:rPr>
                <w:color w:val="auto"/>
                <w:highlight w:val="none"/>
              </w:rPr>
            </w:pPr>
            <w:r>
              <w:rPr>
                <w:color w:val="auto"/>
                <w:highlight w:val="none"/>
              </w:rPr>
              <w:t>Pi</w:t>
            </w:r>
          </w:p>
        </w:tc>
      </w:tr>
      <w:tr w14:paraId="73CB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02C98453">
            <w:pPr>
              <w:pStyle w:val="17"/>
              <w:bidi w:val="0"/>
              <w:jc w:val="center"/>
              <w:rPr>
                <w:color w:val="auto"/>
                <w:highlight w:val="none"/>
              </w:rPr>
            </w:pPr>
            <w:r>
              <w:rPr>
                <w:color w:val="auto"/>
                <w:highlight w:val="none"/>
              </w:rPr>
              <w:t>pH值</w:t>
            </w:r>
          </w:p>
        </w:tc>
        <w:tc>
          <w:tcPr>
            <w:tcW w:w="699" w:type="dxa"/>
            <w:vAlign w:val="center"/>
          </w:tcPr>
          <w:p w14:paraId="5DF1A84B">
            <w:pPr>
              <w:pStyle w:val="17"/>
              <w:bidi w:val="0"/>
              <w:jc w:val="center"/>
              <w:rPr>
                <w:color w:val="auto"/>
                <w:highlight w:val="none"/>
              </w:rPr>
            </w:pPr>
            <w:r>
              <w:rPr>
                <w:color w:val="auto"/>
                <w:highlight w:val="none"/>
              </w:rPr>
              <w:t>无量纲</w:t>
            </w:r>
          </w:p>
        </w:tc>
        <w:tc>
          <w:tcPr>
            <w:tcW w:w="936" w:type="dxa"/>
            <w:vAlign w:val="center"/>
          </w:tcPr>
          <w:p w14:paraId="4265A60A">
            <w:pPr>
              <w:pStyle w:val="17"/>
              <w:bidi w:val="0"/>
              <w:jc w:val="center"/>
              <w:rPr>
                <w:color w:val="auto"/>
                <w:highlight w:val="none"/>
              </w:rPr>
            </w:pPr>
            <w:r>
              <w:rPr>
                <w:color w:val="auto"/>
                <w:highlight w:val="none"/>
              </w:rPr>
              <w:t>6~9</w:t>
            </w:r>
          </w:p>
        </w:tc>
        <w:tc>
          <w:tcPr>
            <w:tcW w:w="973" w:type="dxa"/>
            <w:vAlign w:val="center"/>
          </w:tcPr>
          <w:p w14:paraId="15E9028A">
            <w:pPr>
              <w:pStyle w:val="17"/>
              <w:bidi w:val="0"/>
              <w:jc w:val="center"/>
              <w:rPr>
                <w:color w:val="auto"/>
                <w:highlight w:val="none"/>
              </w:rPr>
            </w:pPr>
            <w:r>
              <w:rPr>
                <w:color w:val="auto"/>
                <w:highlight w:val="none"/>
              </w:rPr>
              <w:t>7.9</w:t>
            </w:r>
          </w:p>
        </w:tc>
        <w:tc>
          <w:tcPr>
            <w:tcW w:w="1010" w:type="dxa"/>
            <w:vAlign w:val="center"/>
          </w:tcPr>
          <w:p w14:paraId="61FE92D1">
            <w:pPr>
              <w:pStyle w:val="17"/>
              <w:bidi w:val="0"/>
              <w:jc w:val="center"/>
              <w:rPr>
                <w:color w:val="auto"/>
                <w:highlight w:val="none"/>
              </w:rPr>
            </w:pPr>
            <w:r>
              <w:rPr>
                <w:color w:val="auto"/>
                <w:highlight w:val="none"/>
              </w:rPr>
              <w:t>8</w:t>
            </w:r>
          </w:p>
        </w:tc>
        <w:tc>
          <w:tcPr>
            <w:tcW w:w="943" w:type="dxa"/>
            <w:vAlign w:val="center"/>
          </w:tcPr>
          <w:p w14:paraId="116DAD29">
            <w:pPr>
              <w:pStyle w:val="17"/>
              <w:bidi w:val="0"/>
              <w:jc w:val="center"/>
              <w:rPr>
                <w:color w:val="auto"/>
                <w:highlight w:val="none"/>
              </w:rPr>
            </w:pPr>
            <w:r>
              <w:rPr>
                <w:color w:val="auto"/>
                <w:highlight w:val="none"/>
              </w:rPr>
              <w:t>7.8</w:t>
            </w:r>
          </w:p>
        </w:tc>
        <w:tc>
          <w:tcPr>
            <w:tcW w:w="812" w:type="dxa"/>
            <w:vAlign w:val="center"/>
          </w:tcPr>
          <w:p w14:paraId="3B0E7BC5">
            <w:pPr>
              <w:pStyle w:val="17"/>
              <w:bidi w:val="0"/>
              <w:jc w:val="center"/>
              <w:rPr>
                <w:color w:val="auto"/>
                <w:highlight w:val="none"/>
              </w:rPr>
            </w:pPr>
            <w:r>
              <w:rPr>
                <w:color w:val="auto"/>
                <w:highlight w:val="none"/>
              </w:rPr>
              <w:t>0.5</w:t>
            </w:r>
          </w:p>
        </w:tc>
        <w:tc>
          <w:tcPr>
            <w:tcW w:w="1025" w:type="dxa"/>
            <w:vAlign w:val="center"/>
          </w:tcPr>
          <w:p w14:paraId="3207FFFF">
            <w:pPr>
              <w:pStyle w:val="17"/>
              <w:bidi w:val="0"/>
              <w:jc w:val="center"/>
              <w:rPr>
                <w:color w:val="auto"/>
                <w:highlight w:val="none"/>
              </w:rPr>
            </w:pPr>
            <w:r>
              <w:rPr>
                <w:color w:val="auto"/>
                <w:highlight w:val="none"/>
              </w:rPr>
              <w:t>8</w:t>
            </w:r>
          </w:p>
        </w:tc>
        <w:tc>
          <w:tcPr>
            <w:tcW w:w="1025" w:type="dxa"/>
            <w:vAlign w:val="center"/>
          </w:tcPr>
          <w:p w14:paraId="3DF2B200">
            <w:pPr>
              <w:pStyle w:val="17"/>
              <w:bidi w:val="0"/>
              <w:jc w:val="center"/>
              <w:rPr>
                <w:color w:val="auto"/>
                <w:highlight w:val="none"/>
              </w:rPr>
            </w:pPr>
            <w:r>
              <w:rPr>
                <w:color w:val="auto"/>
                <w:highlight w:val="none"/>
              </w:rPr>
              <w:t>8.1</w:t>
            </w:r>
          </w:p>
        </w:tc>
        <w:tc>
          <w:tcPr>
            <w:tcW w:w="1025" w:type="dxa"/>
            <w:vAlign w:val="center"/>
          </w:tcPr>
          <w:p w14:paraId="697D602B">
            <w:pPr>
              <w:pStyle w:val="17"/>
              <w:bidi w:val="0"/>
              <w:jc w:val="center"/>
              <w:rPr>
                <w:color w:val="auto"/>
                <w:highlight w:val="none"/>
              </w:rPr>
            </w:pPr>
            <w:r>
              <w:rPr>
                <w:color w:val="auto"/>
                <w:highlight w:val="none"/>
              </w:rPr>
              <w:t>7.8</w:t>
            </w:r>
          </w:p>
        </w:tc>
        <w:tc>
          <w:tcPr>
            <w:tcW w:w="812" w:type="dxa"/>
            <w:vAlign w:val="center"/>
          </w:tcPr>
          <w:p w14:paraId="4723E698">
            <w:pPr>
              <w:pStyle w:val="17"/>
              <w:bidi w:val="0"/>
              <w:jc w:val="center"/>
              <w:rPr>
                <w:color w:val="auto"/>
                <w:highlight w:val="none"/>
              </w:rPr>
            </w:pPr>
            <w:r>
              <w:rPr>
                <w:color w:val="auto"/>
                <w:highlight w:val="none"/>
              </w:rPr>
              <w:t>0.55</w:t>
            </w:r>
          </w:p>
        </w:tc>
        <w:tc>
          <w:tcPr>
            <w:tcW w:w="1025" w:type="dxa"/>
            <w:vAlign w:val="center"/>
          </w:tcPr>
          <w:p w14:paraId="0D81A0DC">
            <w:pPr>
              <w:pStyle w:val="17"/>
              <w:bidi w:val="0"/>
              <w:jc w:val="center"/>
              <w:rPr>
                <w:color w:val="auto"/>
                <w:highlight w:val="none"/>
              </w:rPr>
            </w:pPr>
            <w:r>
              <w:rPr>
                <w:color w:val="auto"/>
                <w:highlight w:val="none"/>
              </w:rPr>
              <w:t>7.8</w:t>
            </w:r>
          </w:p>
        </w:tc>
        <w:tc>
          <w:tcPr>
            <w:tcW w:w="1025" w:type="dxa"/>
            <w:vAlign w:val="center"/>
          </w:tcPr>
          <w:p w14:paraId="7BBC03B1">
            <w:pPr>
              <w:pStyle w:val="17"/>
              <w:bidi w:val="0"/>
              <w:jc w:val="center"/>
              <w:rPr>
                <w:color w:val="auto"/>
                <w:highlight w:val="none"/>
              </w:rPr>
            </w:pPr>
            <w:r>
              <w:rPr>
                <w:color w:val="auto"/>
                <w:highlight w:val="none"/>
              </w:rPr>
              <w:t>7.8</w:t>
            </w:r>
          </w:p>
        </w:tc>
        <w:tc>
          <w:tcPr>
            <w:tcW w:w="1025" w:type="dxa"/>
            <w:vAlign w:val="center"/>
          </w:tcPr>
          <w:p w14:paraId="2909953C">
            <w:pPr>
              <w:pStyle w:val="17"/>
              <w:bidi w:val="0"/>
              <w:jc w:val="center"/>
              <w:rPr>
                <w:color w:val="auto"/>
                <w:highlight w:val="none"/>
              </w:rPr>
            </w:pPr>
            <w:r>
              <w:rPr>
                <w:color w:val="auto"/>
                <w:highlight w:val="none"/>
              </w:rPr>
              <w:t>8</w:t>
            </w:r>
          </w:p>
        </w:tc>
        <w:tc>
          <w:tcPr>
            <w:tcW w:w="826" w:type="dxa"/>
            <w:vAlign w:val="center"/>
          </w:tcPr>
          <w:p w14:paraId="269F81A2">
            <w:pPr>
              <w:pStyle w:val="17"/>
              <w:bidi w:val="0"/>
              <w:jc w:val="center"/>
              <w:rPr>
                <w:color w:val="auto"/>
                <w:highlight w:val="none"/>
              </w:rPr>
            </w:pPr>
            <w:r>
              <w:rPr>
                <w:color w:val="auto"/>
                <w:highlight w:val="none"/>
              </w:rPr>
              <w:t>0.5</w:t>
            </w:r>
          </w:p>
        </w:tc>
      </w:tr>
      <w:tr w14:paraId="7A67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0D2DE9BE">
            <w:pPr>
              <w:pStyle w:val="17"/>
              <w:bidi w:val="0"/>
              <w:jc w:val="center"/>
              <w:rPr>
                <w:color w:val="auto"/>
                <w:highlight w:val="none"/>
              </w:rPr>
            </w:pPr>
            <w:r>
              <w:rPr>
                <w:color w:val="auto"/>
                <w:highlight w:val="none"/>
              </w:rPr>
              <w:t>溶解氧</w:t>
            </w:r>
          </w:p>
        </w:tc>
        <w:tc>
          <w:tcPr>
            <w:tcW w:w="699" w:type="dxa"/>
            <w:vAlign w:val="center"/>
          </w:tcPr>
          <w:p w14:paraId="78784180">
            <w:pPr>
              <w:pStyle w:val="17"/>
              <w:bidi w:val="0"/>
              <w:jc w:val="center"/>
              <w:rPr>
                <w:color w:val="auto"/>
                <w:highlight w:val="none"/>
              </w:rPr>
            </w:pPr>
            <w:r>
              <w:rPr>
                <w:color w:val="auto"/>
                <w:highlight w:val="none"/>
              </w:rPr>
              <w:t>mg/L</w:t>
            </w:r>
          </w:p>
        </w:tc>
        <w:tc>
          <w:tcPr>
            <w:tcW w:w="936" w:type="dxa"/>
            <w:vAlign w:val="center"/>
          </w:tcPr>
          <w:p w14:paraId="5A187C00">
            <w:pPr>
              <w:pStyle w:val="17"/>
              <w:bidi w:val="0"/>
              <w:jc w:val="center"/>
              <w:rPr>
                <w:color w:val="auto"/>
                <w:highlight w:val="none"/>
              </w:rPr>
            </w:pPr>
            <w:r>
              <w:rPr>
                <w:color w:val="auto"/>
                <w:highlight w:val="none"/>
              </w:rPr>
              <w:t>≥7.5</w:t>
            </w:r>
          </w:p>
        </w:tc>
        <w:tc>
          <w:tcPr>
            <w:tcW w:w="973" w:type="dxa"/>
            <w:vAlign w:val="center"/>
          </w:tcPr>
          <w:p w14:paraId="1A340F30">
            <w:pPr>
              <w:pStyle w:val="17"/>
              <w:bidi w:val="0"/>
              <w:jc w:val="center"/>
              <w:rPr>
                <w:color w:val="auto"/>
                <w:highlight w:val="none"/>
              </w:rPr>
            </w:pPr>
            <w:r>
              <w:rPr>
                <w:color w:val="auto"/>
                <w:highlight w:val="none"/>
              </w:rPr>
              <w:t>9.2</w:t>
            </w:r>
          </w:p>
        </w:tc>
        <w:tc>
          <w:tcPr>
            <w:tcW w:w="1010" w:type="dxa"/>
            <w:vAlign w:val="center"/>
          </w:tcPr>
          <w:p w14:paraId="0FD9B6D3">
            <w:pPr>
              <w:pStyle w:val="17"/>
              <w:bidi w:val="0"/>
              <w:jc w:val="center"/>
              <w:rPr>
                <w:color w:val="auto"/>
                <w:highlight w:val="none"/>
              </w:rPr>
            </w:pPr>
            <w:r>
              <w:rPr>
                <w:color w:val="auto"/>
                <w:highlight w:val="none"/>
              </w:rPr>
              <w:t>9.1</w:t>
            </w:r>
          </w:p>
        </w:tc>
        <w:tc>
          <w:tcPr>
            <w:tcW w:w="943" w:type="dxa"/>
            <w:vAlign w:val="center"/>
          </w:tcPr>
          <w:p w14:paraId="64824708">
            <w:pPr>
              <w:pStyle w:val="17"/>
              <w:bidi w:val="0"/>
              <w:jc w:val="center"/>
              <w:rPr>
                <w:color w:val="auto"/>
                <w:highlight w:val="none"/>
              </w:rPr>
            </w:pPr>
            <w:r>
              <w:rPr>
                <w:color w:val="auto"/>
                <w:highlight w:val="none"/>
              </w:rPr>
              <w:t>9.1</w:t>
            </w:r>
          </w:p>
        </w:tc>
        <w:tc>
          <w:tcPr>
            <w:tcW w:w="812" w:type="dxa"/>
            <w:vAlign w:val="center"/>
          </w:tcPr>
          <w:p w14:paraId="1D0D6DEC">
            <w:pPr>
              <w:pStyle w:val="17"/>
              <w:bidi w:val="0"/>
              <w:jc w:val="center"/>
              <w:rPr>
                <w:rFonts w:hint="default" w:eastAsia="宋体"/>
                <w:color w:val="auto"/>
                <w:highlight w:val="none"/>
                <w:lang w:val="en-US" w:eastAsia="zh-CN"/>
              </w:rPr>
            </w:pPr>
            <w:r>
              <w:rPr>
                <w:rFonts w:hint="eastAsia"/>
                <w:color w:val="auto"/>
                <w:highlight w:val="none"/>
                <w:lang w:val="en-US" w:eastAsia="zh-CN"/>
              </w:rPr>
              <w:t>0.71</w:t>
            </w:r>
          </w:p>
        </w:tc>
        <w:tc>
          <w:tcPr>
            <w:tcW w:w="1025" w:type="dxa"/>
            <w:vAlign w:val="center"/>
          </w:tcPr>
          <w:p w14:paraId="7AABC12A">
            <w:pPr>
              <w:pStyle w:val="17"/>
              <w:bidi w:val="0"/>
              <w:jc w:val="center"/>
              <w:rPr>
                <w:color w:val="auto"/>
                <w:highlight w:val="none"/>
              </w:rPr>
            </w:pPr>
            <w:r>
              <w:rPr>
                <w:color w:val="auto"/>
                <w:highlight w:val="none"/>
              </w:rPr>
              <w:t>9</w:t>
            </w:r>
          </w:p>
        </w:tc>
        <w:tc>
          <w:tcPr>
            <w:tcW w:w="1025" w:type="dxa"/>
            <w:vAlign w:val="center"/>
          </w:tcPr>
          <w:p w14:paraId="3661BF16">
            <w:pPr>
              <w:pStyle w:val="17"/>
              <w:bidi w:val="0"/>
              <w:jc w:val="center"/>
              <w:rPr>
                <w:color w:val="auto"/>
                <w:highlight w:val="none"/>
              </w:rPr>
            </w:pPr>
            <w:r>
              <w:rPr>
                <w:color w:val="auto"/>
                <w:highlight w:val="none"/>
              </w:rPr>
              <w:t>9</w:t>
            </w:r>
          </w:p>
        </w:tc>
        <w:tc>
          <w:tcPr>
            <w:tcW w:w="1025" w:type="dxa"/>
            <w:vAlign w:val="center"/>
          </w:tcPr>
          <w:p w14:paraId="1D891718">
            <w:pPr>
              <w:pStyle w:val="17"/>
              <w:bidi w:val="0"/>
              <w:jc w:val="center"/>
              <w:rPr>
                <w:color w:val="auto"/>
                <w:highlight w:val="none"/>
              </w:rPr>
            </w:pPr>
            <w:r>
              <w:rPr>
                <w:color w:val="auto"/>
                <w:highlight w:val="none"/>
              </w:rPr>
              <w:t>9</w:t>
            </w:r>
          </w:p>
        </w:tc>
        <w:tc>
          <w:tcPr>
            <w:tcW w:w="812" w:type="dxa"/>
            <w:vAlign w:val="center"/>
          </w:tcPr>
          <w:p w14:paraId="552FB40F">
            <w:pPr>
              <w:pStyle w:val="17"/>
              <w:bidi w:val="0"/>
              <w:jc w:val="center"/>
              <w:rPr>
                <w:rFonts w:hint="default" w:eastAsia="宋体"/>
                <w:color w:val="auto"/>
                <w:highlight w:val="none"/>
                <w:lang w:val="en-US" w:eastAsia="zh-CN"/>
              </w:rPr>
            </w:pPr>
            <w:r>
              <w:rPr>
                <w:rFonts w:hint="eastAsia"/>
                <w:color w:val="auto"/>
                <w:highlight w:val="none"/>
                <w:lang w:val="en-US" w:eastAsia="zh-CN"/>
              </w:rPr>
              <w:t>0.73</w:t>
            </w:r>
          </w:p>
        </w:tc>
        <w:tc>
          <w:tcPr>
            <w:tcW w:w="1025" w:type="dxa"/>
            <w:vAlign w:val="center"/>
          </w:tcPr>
          <w:p w14:paraId="7872BF3D">
            <w:pPr>
              <w:pStyle w:val="17"/>
              <w:bidi w:val="0"/>
              <w:jc w:val="center"/>
              <w:rPr>
                <w:color w:val="auto"/>
                <w:highlight w:val="none"/>
              </w:rPr>
            </w:pPr>
            <w:r>
              <w:rPr>
                <w:color w:val="auto"/>
                <w:highlight w:val="none"/>
              </w:rPr>
              <w:t>9.2</w:t>
            </w:r>
          </w:p>
        </w:tc>
        <w:tc>
          <w:tcPr>
            <w:tcW w:w="1025" w:type="dxa"/>
            <w:vAlign w:val="center"/>
          </w:tcPr>
          <w:p w14:paraId="067D4B06">
            <w:pPr>
              <w:pStyle w:val="17"/>
              <w:bidi w:val="0"/>
              <w:jc w:val="center"/>
              <w:rPr>
                <w:color w:val="auto"/>
                <w:highlight w:val="none"/>
              </w:rPr>
            </w:pPr>
            <w:r>
              <w:rPr>
                <w:color w:val="auto"/>
                <w:highlight w:val="none"/>
              </w:rPr>
              <w:t>9.3</w:t>
            </w:r>
          </w:p>
        </w:tc>
        <w:tc>
          <w:tcPr>
            <w:tcW w:w="1025" w:type="dxa"/>
            <w:vAlign w:val="center"/>
          </w:tcPr>
          <w:p w14:paraId="204E280B">
            <w:pPr>
              <w:pStyle w:val="17"/>
              <w:bidi w:val="0"/>
              <w:jc w:val="center"/>
              <w:rPr>
                <w:color w:val="auto"/>
                <w:highlight w:val="none"/>
              </w:rPr>
            </w:pPr>
            <w:r>
              <w:rPr>
                <w:color w:val="auto"/>
                <w:highlight w:val="none"/>
              </w:rPr>
              <w:t>9.3</w:t>
            </w:r>
          </w:p>
        </w:tc>
        <w:tc>
          <w:tcPr>
            <w:tcW w:w="826" w:type="dxa"/>
            <w:vAlign w:val="center"/>
          </w:tcPr>
          <w:p w14:paraId="78CBD60B">
            <w:pPr>
              <w:pStyle w:val="17"/>
              <w:bidi w:val="0"/>
              <w:jc w:val="center"/>
              <w:rPr>
                <w:rFonts w:hint="default" w:eastAsia="宋体"/>
                <w:color w:val="auto"/>
                <w:highlight w:val="none"/>
                <w:lang w:val="en-US" w:eastAsia="zh-CN"/>
              </w:rPr>
            </w:pPr>
            <w:r>
              <w:rPr>
                <w:rFonts w:hint="eastAsia"/>
                <w:color w:val="auto"/>
                <w:highlight w:val="none"/>
                <w:lang w:val="en-US" w:eastAsia="zh-CN"/>
              </w:rPr>
              <w:t>0.69</w:t>
            </w:r>
          </w:p>
        </w:tc>
      </w:tr>
      <w:tr w14:paraId="6797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30797D97">
            <w:pPr>
              <w:pStyle w:val="17"/>
              <w:bidi w:val="0"/>
              <w:jc w:val="center"/>
              <w:rPr>
                <w:color w:val="auto"/>
                <w:highlight w:val="none"/>
              </w:rPr>
            </w:pPr>
            <w:r>
              <w:rPr>
                <w:color w:val="auto"/>
                <w:highlight w:val="none"/>
              </w:rPr>
              <w:t>镉</w:t>
            </w:r>
          </w:p>
        </w:tc>
        <w:tc>
          <w:tcPr>
            <w:tcW w:w="699" w:type="dxa"/>
            <w:vAlign w:val="center"/>
          </w:tcPr>
          <w:p w14:paraId="0C6C4E52">
            <w:pPr>
              <w:pStyle w:val="17"/>
              <w:bidi w:val="0"/>
              <w:jc w:val="center"/>
              <w:rPr>
                <w:color w:val="auto"/>
                <w:highlight w:val="none"/>
              </w:rPr>
            </w:pPr>
            <w:r>
              <w:rPr>
                <w:color w:val="auto"/>
                <w:highlight w:val="none"/>
              </w:rPr>
              <w:t>mg/L</w:t>
            </w:r>
          </w:p>
        </w:tc>
        <w:tc>
          <w:tcPr>
            <w:tcW w:w="936" w:type="dxa"/>
            <w:vAlign w:val="center"/>
          </w:tcPr>
          <w:p w14:paraId="1F359063">
            <w:pPr>
              <w:pStyle w:val="17"/>
              <w:bidi w:val="0"/>
              <w:jc w:val="center"/>
              <w:rPr>
                <w:color w:val="auto"/>
                <w:highlight w:val="none"/>
              </w:rPr>
            </w:pPr>
            <w:r>
              <w:rPr>
                <w:color w:val="auto"/>
                <w:highlight w:val="none"/>
              </w:rPr>
              <w:t>≤0.001</w:t>
            </w:r>
          </w:p>
        </w:tc>
        <w:tc>
          <w:tcPr>
            <w:tcW w:w="973" w:type="dxa"/>
            <w:vAlign w:val="center"/>
          </w:tcPr>
          <w:p w14:paraId="368051AE">
            <w:pPr>
              <w:pStyle w:val="17"/>
              <w:bidi w:val="0"/>
              <w:jc w:val="center"/>
              <w:rPr>
                <w:color w:val="auto"/>
                <w:highlight w:val="none"/>
              </w:rPr>
            </w:pPr>
            <w:r>
              <w:rPr>
                <w:color w:val="auto"/>
                <w:highlight w:val="none"/>
              </w:rPr>
              <w:t>0.00005</w:t>
            </w:r>
          </w:p>
          <w:p w14:paraId="416EB5EB">
            <w:pPr>
              <w:pStyle w:val="17"/>
              <w:bidi w:val="0"/>
              <w:jc w:val="center"/>
              <w:rPr>
                <w:color w:val="auto"/>
                <w:highlight w:val="none"/>
              </w:rPr>
            </w:pPr>
            <w:r>
              <w:rPr>
                <w:color w:val="auto"/>
                <w:highlight w:val="none"/>
              </w:rPr>
              <w:t>L</w:t>
            </w:r>
          </w:p>
        </w:tc>
        <w:tc>
          <w:tcPr>
            <w:tcW w:w="1010" w:type="dxa"/>
            <w:vAlign w:val="center"/>
          </w:tcPr>
          <w:p w14:paraId="1F45255B">
            <w:pPr>
              <w:pStyle w:val="17"/>
              <w:bidi w:val="0"/>
              <w:jc w:val="center"/>
              <w:rPr>
                <w:color w:val="auto"/>
                <w:highlight w:val="none"/>
              </w:rPr>
            </w:pPr>
            <w:r>
              <w:rPr>
                <w:color w:val="auto"/>
                <w:highlight w:val="none"/>
              </w:rPr>
              <w:t>0.00005</w:t>
            </w:r>
          </w:p>
          <w:p w14:paraId="6F2C6A22">
            <w:pPr>
              <w:pStyle w:val="17"/>
              <w:bidi w:val="0"/>
              <w:jc w:val="center"/>
              <w:rPr>
                <w:color w:val="auto"/>
                <w:highlight w:val="none"/>
              </w:rPr>
            </w:pPr>
            <w:r>
              <w:rPr>
                <w:color w:val="auto"/>
                <w:highlight w:val="none"/>
              </w:rPr>
              <w:t>L</w:t>
            </w:r>
          </w:p>
        </w:tc>
        <w:tc>
          <w:tcPr>
            <w:tcW w:w="943" w:type="dxa"/>
            <w:vAlign w:val="center"/>
          </w:tcPr>
          <w:p w14:paraId="2AB9497B">
            <w:pPr>
              <w:pStyle w:val="17"/>
              <w:bidi w:val="0"/>
              <w:jc w:val="center"/>
              <w:rPr>
                <w:color w:val="auto"/>
                <w:highlight w:val="none"/>
              </w:rPr>
            </w:pPr>
            <w:r>
              <w:rPr>
                <w:color w:val="auto"/>
                <w:highlight w:val="none"/>
              </w:rPr>
              <w:t>0.00005</w:t>
            </w:r>
          </w:p>
          <w:p w14:paraId="5F720E27">
            <w:pPr>
              <w:pStyle w:val="17"/>
              <w:bidi w:val="0"/>
              <w:jc w:val="center"/>
              <w:rPr>
                <w:color w:val="auto"/>
                <w:highlight w:val="none"/>
              </w:rPr>
            </w:pPr>
            <w:r>
              <w:rPr>
                <w:color w:val="auto"/>
                <w:highlight w:val="none"/>
              </w:rPr>
              <w:t>L</w:t>
            </w:r>
          </w:p>
        </w:tc>
        <w:tc>
          <w:tcPr>
            <w:tcW w:w="812" w:type="dxa"/>
            <w:vAlign w:val="center"/>
          </w:tcPr>
          <w:p w14:paraId="60823A95">
            <w:pPr>
              <w:pStyle w:val="17"/>
              <w:bidi w:val="0"/>
              <w:jc w:val="center"/>
              <w:rPr>
                <w:color w:val="auto"/>
                <w:highlight w:val="none"/>
              </w:rPr>
            </w:pPr>
            <w:r>
              <w:rPr>
                <w:color w:val="auto"/>
                <w:highlight w:val="none"/>
              </w:rPr>
              <w:t>0.05</w:t>
            </w:r>
          </w:p>
        </w:tc>
        <w:tc>
          <w:tcPr>
            <w:tcW w:w="1025" w:type="dxa"/>
            <w:vAlign w:val="center"/>
          </w:tcPr>
          <w:p w14:paraId="7A119919">
            <w:pPr>
              <w:pStyle w:val="17"/>
              <w:bidi w:val="0"/>
              <w:jc w:val="center"/>
              <w:rPr>
                <w:color w:val="auto"/>
                <w:highlight w:val="none"/>
              </w:rPr>
            </w:pPr>
            <w:r>
              <w:rPr>
                <w:color w:val="auto"/>
                <w:highlight w:val="none"/>
              </w:rPr>
              <w:t>0.00005L</w:t>
            </w:r>
          </w:p>
        </w:tc>
        <w:tc>
          <w:tcPr>
            <w:tcW w:w="1025" w:type="dxa"/>
            <w:vAlign w:val="center"/>
          </w:tcPr>
          <w:p w14:paraId="474E4CE2">
            <w:pPr>
              <w:pStyle w:val="17"/>
              <w:bidi w:val="0"/>
              <w:jc w:val="center"/>
              <w:rPr>
                <w:color w:val="auto"/>
                <w:highlight w:val="none"/>
              </w:rPr>
            </w:pPr>
            <w:r>
              <w:rPr>
                <w:color w:val="auto"/>
                <w:highlight w:val="none"/>
              </w:rPr>
              <w:t>0.00005L</w:t>
            </w:r>
          </w:p>
        </w:tc>
        <w:tc>
          <w:tcPr>
            <w:tcW w:w="1025" w:type="dxa"/>
            <w:vAlign w:val="center"/>
          </w:tcPr>
          <w:p w14:paraId="4BBBABC5">
            <w:pPr>
              <w:pStyle w:val="17"/>
              <w:bidi w:val="0"/>
              <w:jc w:val="center"/>
              <w:rPr>
                <w:color w:val="auto"/>
                <w:highlight w:val="none"/>
              </w:rPr>
            </w:pPr>
            <w:r>
              <w:rPr>
                <w:color w:val="auto"/>
                <w:highlight w:val="none"/>
              </w:rPr>
              <w:t>0.00005L</w:t>
            </w:r>
          </w:p>
        </w:tc>
        <w:tc>
          <w:tcPr>
            <w:tcW w:w="812" w:type="dxa"/>
            <w:vAlign w:val="center"/>
          </w:tcPr>
          <w:p w14:paraId="1E4B4CB9">
            <w:pPr>
              <w:pStyle w:val="17"/>
              <w:bidi w:val="0"/>
              <w:jc w:val="center"/>
              <w:rPr>
                <w:color w:val="auto"/>
                <w:highlight w:val="none"/>
              </w:rPr>
            </w:pPr>
            <w:r>
              <w:rPr>
                <w:color w:val="auto"/>
                <w:highlight w:val="none"/>
              </w:rPr>
              <w:t>0.05</w:t>
            </w:r>
          </w:p>
        </w:tc>
        <w:tc>
          <w:tcPr>
            <w:tcW w:w="1025" w:type="dxa"/>
            <w:vAlign w:val="center"/>
          </w:tcPr>
          <w:p w14:paraId="59063B85">
            <w:pPr>
              <w:pStyle w:val="17"/>
              <w:bidi w:val="0"/>
              <w:jc w:val="center"/>
              <w:rPr>
                <w:color w:val="auto"/>
                <w:highlight w:val="none"/>
              </w:rPr>
            </w:pPr>
            <w:r>
              <w:rPr>
                <w:color w:val="auto"/>
                <w:highlight w:val="none"/>
              </w:rPr>
              <w:t>0.00005L</w:t>
            </w:r>
          </w:p>
        </w:tc>
        <w:tc>
          <w:tcPr>
            <w:tcW w:w="1025" w:type="dxa"/>
            <w:vAlign w:val="center"/>
          </w:tcPr>
          <w:p w14:paraId="2BAC8521">
            <w:pPr>
              <w:pStyle w:val="17"/>
              <w:bidi w:val="0"/>
              <w:jc w:val="center"/>
              <w:rPr>
                <w:color w:val="auto"/>
                <w:highlight w:val="none"/>
              </w:rPr>
            </w:pPr>
            <w:r>
              <w:rPr>
                <w:color w:val="auto"/>
                <w:highlight w:val="none"/>
              </w:rPr>
              <w:t>0.00005L</w:t>
            </w:r>
          </w:p>
        </w:tc>
        <w:tc>
          <w:tcPr>
            <w:tcW w:w="1025" w:type="dxa"/>
            <w:vAlign w:val="center"/>
          </w:tcPr>
          <w:p w14:paraId="1B49D4DA">
            <w:pPr>
              <w:pStyle w:val="17"/>
              <w:bidi w:val="0"/>
              <w:jc w:val="center"/>
              <w:rPr>
                <w:color w:val="auto"/>
                <w:highlight w:val="none"/>
              </w:rPr>
            </w:pPr>
            <w:r>
              <w:rPr>
                <w:color w:val="auto"/>
                <w:highlight w:val="none"/>
              </w:rPr>
              <w:t>0.00005L</w:t>
            </w:r>
          </w:p>
        </w:tc>
        <w:tc>
          <w:tcPr>
            <w:tcW w:w="826" w:type="dxa"/>
            <w:vAlign w:val="center"/>
          </w:tcPr>
          <w:p w14:paraId="744DCB2F">
            <w:pPr>
              <w:pStyle w:val="17"/>
              <w:bidi w:val="0"/>
              <w:jc w:val="center"/>
              <w:rPr>
                <w:color w:val="auto"/>
                <w:highlight w:val="none"/>
              </w:rPr>
            </w:pPr>
            <w:r>
              <w:rPr>
                <w:color w:val="auto"/>
                <w:highlight w:val="none"/>
              </w:rPr>
              <w:t>0.05</w:t>
            </w:r>
          </w:p>
        </w:tc>
      </w:tr>
      <w:tr w14:paraId="19A1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1E91D2FC">
            <w:pPr>
              <w:pStyle w:val="17"/>
              <w:bidi w:val="0"/>
              <w:jc w:val="center"/>
              <w:rPr>
                <w:color w:val="auto"/>
                <w:highlight w:val="none"/>
              </w:rPr>
            </w:pPr>
            <w:r>
              <w:rPr>
                <w:color w:val="auto"/>
                <w:highlight w:val="none"/>
              </w:rPr>
              <w:t>铁</w:t>
            </w:r>
          </w:p>
        </w:tc>
        <w:tc>
          <w:tcPr>
            <w:tcW w:w="699" w:type="dxa"/>
            <w:vAlign w:val="center"/>
          </w:tcPr>
          <w:p w14:paraId="06F367A4">
            <w:pPr>
              <w:pStyle w:val="17"/>
              <w:bidi w:val="0"/>
              <w:jc w:val="center"/>
              <w:rPr>
                <w:color w:val="auto"/>
                <w:highlight w:val="none"/>
              </w:rPr>
            </w:pPr>
            <w:r>
              <w:rPr>
                <w:color w:val="auto"/>
                <w:highlight w:val="none"/>
              </w:rPr>
              <w:t>mg/L</w:t>
            </w:r>
          </w:p>
        </w:tc>
        <w:tc>
          <w:tcPr>
            <w:tcW w:w="936" w:type="dxa"/>
            <w:vAlign w:val="center"/>
          </w:tcPr>
          <w:p w14:paraId="2DE2924B">
            <w:pPr>
              <w:pStyle w:val="17"/>
              <w:bidi w:val="0"/>
              <w:jc w:val="center"/>
              <w:rPr>
                <w:color w:val="auto"/>
                <w:highlight w:val="none"/>
              </w:rPr>
            </w:pPr>
            <w:r>
              <w:rPr>
                <w:color w:val="auto"/>
                <w:highlight w:val="none"/>
              </w:rPr>
              <w:t>≤0.3</w:t>
            </w:r>
          </w:p>
        </w:tc>
        <w:tc>
          <w:tcPr>
            <w:tcW w:w="973" w:type="dxa"/>
            <w:vAlign w:val="center"/>
          </w:tcPr>
          <w:p w14:paraId="39C5BF98">
            <w:pPr>
              <w:pStyle w:val="17"/>
              <w:bidi w:val="0"/>
              <w:jc w:val="center"/>
              <w:rPr>
                <w:color w:val="auto"/>
                <w:highlight w:val="none"/>
              </w:rPr>
            </w:pPr>
            <w:r>
              <w:rPr>
                <w:color w:val="auto"/>
                <w:highlight w:val="none"/>
              </w:rPr>
              <w:t>&lt;0.03</w:t>
            </w:r>
          </w:p>
        </w:tc>
        <w:tc>
          <w:tcPr>
            <w:tcW w:w="1010" w:type="dxa"/>
            <w:vAlign w:val="center"/>
          </w:tcPr>
          <w:p w14:paraId="1B0301B0">
            <w:pPr>
              <w:pStyle w:val="17"/>
              <w:bidi w:val="0"/>
              <w:jc w:val="center"/>
              <w:rPr>
                <w:color w:val="auto"/>
                <w:highlight w:val="none"/>
              </w:rPr>
            </w:pPr>
            <w:r>
              <w:rPr>
                <w:color w:val="auto"/>
                <w:highlight w:val="none"/>
              </w:rPr>
              <w:t>&lt;0.03</w:t>
            </w:r>
          </w:p>
        </w:tc>
        <w:tc>
          <w:tcPr>
            <w:tcW w:w="943" w:type="dxa"/>
            <w:vAlign w:val="center"/>
          </w:tcPr>
          <w:p w14:paraId="03F6785C">
            <w:pPr>
              <w:pStyle w:val="17"/>
              <w:bidi w:val="0"/>
              <w:jc w:val="center"/>
              <w:rPr>
                <w:color w:val="auto"/>
                <w:highlight w:val="none"/>
              </w:rPr>
            </w:pPr>
            <w:r>
              <w:rPr>
                <w:color w:val="auto"/>
                <w:highlight w:val="none"/>
              </w:rPr>
              <w:t>&lt;0.03</w:t>
            </w:r>
          </w:p>
        </w:tc>
        <w:tc>
          <w:tcPr>
            <w:tcW w:w="812" w:type="dxa"/>
            <w:vAlign w:val="center"/>
          </w:tcPr>
          <w:p w14:paraId="39B5DC80">
            <w:pPr>
              <w:pStyle w:val="17"/>
              <w:bidi w:val="0"/>
              <w:jc w:val="center"/>
              <w:rPr>
                <w:color w:val="auto"/>
                <w:highlight w:val="none"/>
              </w:rPr>
            </w:pPr>
            <w:r>
              <w:rPr>
                <w:color w:val="auto"/>
                <w:highlight w:val="none"/>
              </w:rPr>
              <w:t>&lt;0.1</w:t>
            </w:r>
          </w:p>
        </w:tc>
        <w:tc>
          <w:tcPr>
            <w:tcW w:w="1025" w:type="dxa"/>
            <w:vAlign w:val="center"/>
          </w:tcPr>
          <w:p w14:paraId="0777D70F">
            <w:pPr>
              <w:pStyle w:val="17"/>
              <w:bidi w:val="0"/>
              <w:jc w:val="center"/>
              <w:rPr>
                <w:color w:val="auto"/>
                <w:highlight w:val="none"/>
              </w:rPr>
            </w:pPr>
            <w:r>
              <w:rPr>
                <w:color w:val="auto"/>
                <w:highlight w:val="none"/>
              </w:rPr>
              <w:t>&lt;0.03</w:t>
            </w:r>
          </w:p>
        </w:tc>
        <w:tc>
          <w:tcPr>
            <w:tcW w:w="1025" w:type="dxa"/>
            <w:vAlign w:val="center"/>
          </w:tcPr>
          <w:p w14:paraId="3CCD90B5">
            <w:pPr>
              <w:pStyle w:val="17"/>
              <w:bidi w:val="0"/>
              <w:jc w:val="center"/>
              <w:rPr>
                <w:color w:val="auto"/>
                <w:highlight w:val="none"/>
              </w:rPr>
            </w:pPr>
            <w:r>
              <w:rPr>
                <w:color w:val="auto"/>
                <w:highlight w:val="none"/>
              </w:rPr>
              <w:t>&lt;0.03</w:t>
            </w:r>
          </w:p>
        </w:tc>
        <w:tc>
          <w:tcPr>
            <w:tcW w:w="1025" w:type="dxa"/>
            <w:vAlign w:val="center"/>
          </w:tcPr>
          <w:p w14:paraId="346CA193">
            <w:pPr>
              <w:pStyle w:val="17"/>
              <w:bidi w:val="0"/>
              <w:jc w:val="center"/>
              <w:rPr>
                <w:color w:val="auto"/>
                <w:highlight w:val="none"/>
              </w:rPr>
            </w:pPr>
            <w:r>
              <w:rPr>
                <w:color w:val="auto"/>
                <w:highlight w:val="none"/>
              </w:rPr>
              <w:t>&lt;0.03</w:t>
            </w:r>
          </w:p>
        </w:tc>
        <w:tc>
          <w:tcPr>
            <w:tcW w:w="812" w:type="dxa"/>
            <w:vAlign w:val="center"/>
          </w:tcPr>
          <w:p w14:paraId="62213A77">
            <w:pPr>
              <w:pStyle w:val="17"/>
              <w:bidi w:val="0"/>
              <w:jc w:val="center"/>
              <w:rPr>
                <w:color w:val="auto"/>
                <w:highlight w:val="none"/>
              </w:rPr>
            </w:pPr>
            <w:r>
              <w:rPr>
                <w:color w:val="auto"/>
                <w:highlight w:val="none"/>
              </w:rPr>
              <w:t>&lt;0.1</w:t>
            </w:r>
          </w:p>
        </w:tc>
        <w:tc>
          <w:tcPr>
            <w:tcW w:w="1025" w:type="dxa"/>
            <w:vAlign w:val="center"/>
          </w:tcPr>
          <w:p w14:paraId="67077082">
            <w:pPr>
              <w:pStyle w:val="17"/>
              <w:bidi w:val="0"/>
              <w:jc w:val="center"/>
              <w:rPr>
                <w:color w:val="auto"/>
                <w:highlight w:val="none"/>
              </w:rPr>
            </w:pPr>
            <w:r>
              <w:rPr>
                <w:color w:val="auto"/>
                <w:highlight w:val="none"/>
              </w:rPr>
              <w:t>&lt;0.03</w:t>
            </w:r>
          </w:p>
        </w:tc>
        <w:tc>
          <w:tcPr>
            <w:tcW w:w="1025" w:type="dxa"/>
            <w:vAlign w:val="center"/>
          </w:tcPr>
          <w:p w14:paraId="6E0666AD">
            <w:pPr>
              <w:pStyle w:val="17"/>
              <w:bidi w:val="0"/>
              <w:jc w:val="center"/>
              <w:rPr>
                <w:color w:val="auto"/>
                <w:highlight w:val="none"/>
              </w:rPr>
            </w:pPr>
            <w:r>
              <w:rPr>
                <w:color w:val="auto"/>
                <w:highlight w:val="none"/>
              </w:rPr>
              <w:t>&lt;0.03</w:t>
            </w:r>
          </w:p>
        </w:tc>
        <w:tc>
          <w:tcPr>
            <w:tcW w:w="1025" w:type="dxa"/>
            <w:vAlign w:val="center"/>
          </w:tcPr>
          <w:p w14:paraId="6BCC187E">
            <w:pPr>
              <w:pStyle w:val="17"/>
              <w:bidi w:val="0"/>
              <w:jc w:val="center"/>
              <w:rPr>
                <w:color w:val="auto"/>
                <w:highlight w:val="none"/>
              </w:rPr>
            </w:pPr>
            <w:r>
              <w:rPr>
                <w:color w:val="auto"/>
                <w:highlight w:val="none"/>
              </w:rPr>
              <w:t>&lt;0.03</w:t>
            </w:r>
          </w:p>
        </w:tc>
        <w:tc>
          <w:tcPr>
            <w:tcW w:w="826" w:type="dxa"/>
            <w:vAlign w:val="center"/>
          </w:tcPr>
          <w:p w14:paraId="1D19412B">
            <w:pPr>
              <w:pStyle w:val="17"/>
              <w:bidi w:val="0"/>
              <w:jc w:val="center"/>
              <w:rPr>
                <w:color w:val="auto"/>
                <w:highlight w:val="none"/>
              </w:rPr>
            </w:pPr>
            <w:r>
              <w:rPr>
                <w:color w:val="auto"/>
                <w:highlight w:val="none"/>
              </w:rPr>
              <w:t>&lt;0.1</w:t>
            </w:r>
          </w:p>
        </w:tc>
      </w:tr>
      <w:tr w14:paraId="1FF9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524F09F0">
            <w:pPr>
              <w:pStyle w:val="17"/>
              <w:bidi w:val="0"/>
              <w:jc w:val="center"/>
              <w:rPr>
                <w:color w:val="auto"/>
                <w:highlight w:val="none"/>
              </w:rPr>
            </w:pPr>
            <w:r>
              <w:rPr>
                <w:color w:val="auto"/>
                <w:highlight w:val="none"/>
              </w:rPr>
              <w:t>锰</w:t>
            </w:r>
          </w:p>
        </w:tc>
        <w:tc>
          <w:tcPr>
            <w:tcW w:w="699" w:type="dxa"/>
            <w:vAlign w:val="center"/>
          </w:tcPr>
          <w:p w14:paraId="5371B381">
            <w:pPr>
              <w:pStyle w:val="17"/>
              <w:bidi w:val="0"/>
              <w:jc w:val="center"/>
              <w:rPr>
                <w:color w:val="auto"/>
                <w:highlight w:val="none"/>
              </w:rPr>
            </w:pPr>
            <w:r>
              <w:rPr>
                <w:color w:val="auto"/>
                <w:highlight w:val="none"/>
              </w:rPr>
              <w:t>mg/L</w:t>
            </w:r>
          </w:p>
        </w:tc>
        <w:tc>
          <w:tcPr>
            <w:tcW w:w="936" w:type="dxa"/>
            <w:vAlign w:val="center"/>
          </w:tcPr>
          <w:p w14:paraId="5A46C877">
            <w:pPr>
              <w:pStyle w:val="17"/>
              <w:bidi w:val="0"/>
              <w:jc w:val="center"/>
              <w:rPr>
                <w:color w:val="auto"/>
                <w:highlight w:val="none"/>
              </w:rPr>
            </w:pPr>
            <w:r>
              <w:rPr>
                <w:color w:val="auto"/>
                <w:highlight w:val="none"/>
              </w:rPr>
              <w:t>≤0.1</w:t>
            </w:r>
          </w:p>
        </w:tc>
        <w:tc>
          <w:tcPr>
            <w:tcW w:w="973" w:type="dxa"/>
            <w:vAlign w:val="center"/>
          </w:tcPr>
          <w:p w14:paraId="6E09C8FA">
            <w:pPr>
              <w:pStyle w:val="17"/>
              <w:bidi w:val="0"/>
              <w:jc w:val="center"/>
              <w:rPr>
                <w:color w:val="auto"/>
                <w:highlight w:val="none"/>
              </w:rPr>
            </w:pPr>
            <w:r>
              <w:rPr>
                <w:color w:val="auto"/>
                <w:highlight w:val="none"/>
              </w:rPr>
              <w:t>&lt;0.01</w:t>
            </w:r>
          </w:p>
        </w:tc>
        <w:tc>
          <w:tcPr>
            <w:tcW w:w="1010" w:type="dxa"/>
            <w:vAlign w:val="center"/>
          </w:tcPr>
          <w:p w14:paraId="47CD34A7">
            <w:pPr>
              <w:pStyle w:val="17"/>
              <w:bidi w:val="0"/>
              <w:jc w:val="center"/>
              <w:rPr>
                <w:color w:val="auto"/>
                <w:highlight w:val="none"/>
              </w:rPr>
            </w:pPr>
            <w:r>
              <w:rPr>
                <w:color w:val="auto"/>
                <w:highlight w:val="none"/>
              </w:rPr>
              <w:t>&lt;0.01</w:t>
            </w:r>
          </w:p>
        </w:tc>
        <w:tc>
          <w:tcPr>
            <w:tcW w:w="943" w:type="dxa"/>
            <w:vAlign w:val="center"/>
          </w:tcPr>
          <w:p w14:paraId="41208E1D">
            <w:pPr>
              <w:pStyle w:val="17"/>
              <w:bidi w:val="0"/>
              <w:jc w:val="center"/>
              <w:rPr>
                <w:color w:val="auto"/>
                <w:highlight w:val="none"/>
              </w:rPr>
            </w:pPr>
            <w:r>
              <w:rPr>
                <w:color w:val="auto"/>
                <w:highlight w:val="none"/>
              </w:rPr>
              <w:t>&lt;0.01</w:t>
            </w:r>
          </w:p>
        </w:tc>
        <w:tc>
          <w:tcPr>
            <w:tcW w:w="812" w:type="dxa"/>
            <w:vAlign w:val="center"/>
          </w:tcPr>
          <w:p w14:paraId="6D74375B">
            <w:pPr>
              <w:pStyle w:val="17"/>
              <w:bidi w:val="0"/>
              <w:jc w:val="center"/>
              <w:rPr>
                <w:color w:val="auto"/>
                <w:highlight w:val="none"/>
              </w:rPr>
            </w:pPr>
            <w:r>
              <w:rPr>
                <w:color w:val="auto"/>
                <w:highlight w:val="none"/>
              </w:rPr>
              <w:t>&lt;0.1</w:t>
            </w:r>
          </w:p>
        </w:tc>
        <w:tc>
          <w:tcPr>
            <w:tcW w:w="1025" w:type="dxa"/>
            <w:vAlign w:val="center"/>
          </w:tcPr>
          <w:p w14:paraId="5F097C3D">
            <w:pPr>
              <w:pStyle w:val="17"/>
              <w:bidi w:val="0"/>
              <w:jc w:val="center"/>
              <w:rPr>
                <w:color w:val="auto"/>
                <w:highlight w:val="none"/>
              </w:rPr>
            </w:pPr>
            <w:r>
              <w:rPr>
                <w:color w:val="auto"/>
                <w:highlight w:val="none"/>
              </w:rPr>
              <w:t>&lt;0.01</w:t>
            </w:r>
          </w:p>
        </w:tc>
        <w:tc>
          <w:tcPr>
            <w:tcW w:w="1025" w:type="dxa"/>
            <w:vAlign w:val="center"/>
          </w:tcPr>
          <w:p w14:paraId="0FE0EC7A">
            <w:pPr>
              <w:pStyle w:val="17"/>
              <w:bidi w:val="0"/>
              <w:jc w:val="center"/>
              <w:rPr>
                <w:color w:val="auto"/>
                <w:highlight w:val="none"/>
              </w:rPr>
            </w:pPr>
            <w:r>
              <w:rPr>
                <w:color w:val="auto"/>
                <w:highlight w:val="none"/>
              </w:rPr>
              <w:t>&lt;0.01</w:t>
            </w:r>
          </w:p>
        </w:tc>
        <w:tc>
          <w:tcPr>
            <w:tcW w:w="1025" w:type="dxa"/>
            <w:vAlign w:val="center"/>
          </w:tcPr>
          <w:p w14:paraId="6E99A09A">
            <w:pPr>
              <w:pStyle w:val="17"/>
              <w:bidi w:val="0"/>
              <w:jc w:val="center"/>
              <w:rPr>
                <w:color w:val="auto"/>
                <w:highlight w:val="none"/>
              </w:rPr>
            </w:pPr>
            <w:r>
              <w:rPr>
                <w:color w:val="auto"/>
                <w:highlight w:val="none"/>
              </w:rPr>
              <w:t>&lt;0.01</w:t>
            </w:r>
          </w:p>
        </w:tc>
        <w:tc>
          <w:tcPr>
            <w:tcW w:w="812" w:type="dxa"/>
            <w:vAlign w:val="center"/>
          </w:tcPr>
          <w:p w14:paraId="34A1FCB2">
            <w:pPr>
              <w:pStyle w:val="17"/>
              <w:bidi w:val="0"/>
              <w:jc w:val="center"/>
              <w:rPr>
                <w:color w:val="auto"/>
                <w:highlight w:val="none"/>
              </w:rPr>
            </w:pPr>
            <w:r>
              <w:rPr>
                <w:color w:val="auto"/>
                <w:highlight w:val="none"/>
              </w:rPr>
              <w:t>&lt;0.1</w:t>
            </w:r>
          </w:p>
        </w:tc>
        <w:tc>
          <w:tcPr>
            <w:tcW w:w="1025" w:type="dxa"/>
            <w:vAlign w:val="center"/>
          </w:tcPr>
          <w:p w14:paraId="60A90F64">
            <w:pPr>
              <w:pStyle w:val="17"/>
              <w:bidi w:val="0"/>
              <w:jc w:val="center"/>
              <w:rPr>
                <w:color w:val="auto"/>
                <w:highlight w:val="none"/>
              </w:rPr>
            </w:pPr>
            <w:r>
              <w:rPr>
                <w:color w:val="auto"/>
                <w:highlight w:val="none"/>
              </w:rPr>
              <w:t>&lt;0.01</w:t>
            </w:r>
          </w:p>
        </w:tc>
        <w:tc>
          <w:tcPr>
            <w:tcW w:w="1025" w:type="dxa"/>
            <w:vAlign w:val="center"/>
          </w:tcPr>
          <w:p w14:paraId="5F272D81">
            <w:pPr>
              <w:pStyle w:val="17"/>
              <w:bidi w:val="0"/>
              <w:jc w:val="center"/>
              <w:rPr>
                <w:color w:val="auto"/>
                <w:highlight w:val="none"/>
              </w:rPr>
            </w:pPr>
            <w:r>
              <w:rPr>
                <w:color w:val="auto"/>
                <w:highlight w:val="none"/>
              </w:rPr>
              <w:t>&lt;0.01</w:t>
            </w:r>
          </w:p>
        </w:tc>
        <w:tc>
          <w:tcPr>
            <w:tcW w:w="1025" w:type="dxa"/>
            <w:vAlign w:val="center"/>
          </w:tcPr>
          <w:p w14:paraId="06D4E14E">
            <w:pPr>
              <w:pStyle w:val="17"/>
              <w:bidi w:val="0"/>
              <w:jc w:val="center"/>
              <w:rPr>
                <w:color w:val="auto"/>
                <w:highlight w:val="none"/>
              </w:rPr>
            </w:pPr>
            <w:r>
              <w:rPr>
                <w:color w:val="auto"/>
                <w:highlight w:val="none"/>
              </w:rPr>
              <w:t>&lt;0.01</w:t>
            </w:r>
          </w:p>
        </w:tc>
        <w:tc>
          <w:tcPr>
            <w:tcW w:w="826" w:type="dxa"/>
            <w:vAlign w:val="center"/>
          </w:tcPr>
          <w:p w14:paraId="38288822">
            <w:pPr>
              <w:pStyle w:val="17"/>
              <w:bidi w:val="0"/>
              <w:jc w:val="center"/>
              <w:rPr>
                <w:color w:val="auto"/>
                <w:highlight w:val="none"/>
              </w:rPr>
            </w:pPr>
            <w:r>
              <w:rPr>
                <w:color w:val="auto"/>
                <w:highlight w:val="none"/>
              </w:rPr>
              <w:t>&lt;0.1</w:t>
            </w:r>
          </w:p>
        </w:tc>
      </w:tr>
      <w:tr w14:paraId="7D97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0DB9EC6C">
            <w:pPr>
              <w:pStyle w:val="17"/>
              <w:bidi w:val="0"/>
              <w:jc w:val="center"/>
              <w:rPr>
                <w:color w:val="auto"/>
                <w:highlight w:val="none"/>
              </w:rPr>
            </w:pPr>
            <w:r>
              <w:rPr>
                <w:color w:val="auto"/>
                <w:highlight w:val="none"/>
              </w:rPr>
              <w:t>砷</w:t>
            </w:r>
          </w:p>
        </w:tc>
        <w:tc>
          <w:tcPr>
            <w:tcW w:w="699" w:type="dxa"/>
            <w:vAlign w:val="center"/>
          </w:tcPr>
          <w:p w14:paraId="67EF8BCC">
            <w:pPr>
              <w:pStyle w:val="17"/>
              <w:bidi w:val="0"/>
              <w:jc w:val="center"/>
              <w:rPr>
                <w:color w:val="auto"/>
                <w:highlight w:val="none"/>
              </w:rPr>
            </w:pPr>
            <w:r>
              <w:rPr>
                <w:color w:val="auto"/>
                <w:highlight w:val="none"/>
              </w:rPr>
              <w:t>mg/L</w:t>
            </w:r>
          </w:p>
        </w:tc>
        <w:tc>
          <w:tcPr>
            <w:tcW w:w="936" w:type="dxa"/>
            <w:vAlign w:val="center"/>
          </w:tcPr>
          <w:p w14:paraId="3A67F7CD">
            <w:pPr>
              <w:pStyle w:val="17"/>
              <w:bidi w:val="0"/>
              <w:jc w:val="center"/>
              <w:rPr>
                <w:color w:val="auto"/>
                <w:highlight w:val="none"/>
              </w:rPr>
            </w:pPr>
            <w:r>
              <w:rPr>
                <w:color w:val="auto"/>
                <w:highlight w:val="none"/>
              </w:rPr>
              <w:t>≤0.05</w:t>
            </w:r>
          </w:p>
        </w:tc>
        <w:tc>
          <w:tcPr>
            <w:tcW w:w="973" w:type="dxa"/>
            <w:vAlign w:val="center"/>
          </w:tcPr>
          <w:p w14:paraId="316640C8">
            <w:pPr>
              <w:pStyle w:val="17"/>
              <w:bidi w:val="0"/>
              <w:jc w:val="center"/>
              <w:rPr>
                <w:color w:val="auto"/>
                <w:highlight w:val="none"/>
              </w:rPr>
            </w:pPr>
            <w:r>
              <w:rPr>
                <w:color w:val="auto"/>
                <w:highlight w:val="none"/>
              </w:rPr>
              <w:t>0.0024</w:t>
            </w:r>
          </w:p>
        </w:tc>
        <w:tc>
          <w:tcPr>
            <w:tcW w:w="1010" w:type="dxa"/>
            <w:vAlign w:val="center"/>
          </w:tcPr>
          <w:p w14:paraId="6939561F">
            <w:pPr>
              <w:pStyle w:val="17"/>
              <w:bidi w:val="0"/>
              <w:jc w:val="center"/>
              <w:rPr>
                <w:color w:val="auto"/>
                <w:highlight w:val="none"/>
              </w:rPr>
            </w:pPr>
            <w:r>
              <w:rPr>
                <w:color w:val="auto"/>
                <w:highlight w:val="none"/>
              </w:rPr>
              <w:t>0.0016</w:t>
            </w:r>
          </w:p>
        </w:tc>
        <w:tc>
          <w:tcPr>
            <w:tcW w:w="943" w:type="dxa"/>
            <w:vAlign w:val="center"/>
          </w:tcPr>
          <w:p w14:paraId="16E74041">
            <w:pPr>
              <w:pStyle w:val="17"/>
              <w:bidi w:val="0"/>
              <w:jc w:val="center"/>
              <w:rPr>
                <w:color w:val="auto"/>
                <w:highlight w:val="none"/>
              </w:rPr>
            </w:pPr>
            <w:r>
              <w:rPr>
                <w:color w:val="auto"/>
                <w:highlight w:val="none"/>
              </w:rPr>
              <w:t>0.0023</w:t>
            </w:r>
          </w:p>
        </w:tc>
        <w:tc>
          <w:tcPr>
            <w:tcW w:w="812" w:type="dxa"/>
            <w:vAlign w:val="center"/>
          </w:tcPr>
          <w:p w14:paraId="4C0FFD4B">
            <w:pPr>
              <w:pStyle w:val="17"/>
              <w:bidi w:val="0"/>
              <w:jc w:val="center"/>
              <w:rPr>
                <w:color w:val="auto"/>
                <w:highlight w:val="none"/>
              </w:rPr>
            </w:pPr>
            <w:r>
              <w:rPr>
                <w:color w:val="auto"/>
                <w:highlight w:val="none"/>
              </w:rPr>
              <w:t>0.048</w:t>
            </w:r>
          </w:p>
        </w:tc>
        <w:tc>
          <w:tcPr>
            <w:tcW w:w="1025" w:type="dxa"/>
            <w:vAlign w:val="center"/>
          </w:tcPr>
          <w:p w14:paraId="054C2C20">
            <w:pPr>
              <w:pStyle w:val="17"/>
              <w:bidi w:val="0"/>
              <w:jc w:val="center"/>
              <w:rPr>
                <w:color w:val="auto"/>
                <w:highlight w:val="none"/>
              </w:rPr>
            </w:pPr>
            <w:r>
              <w:rPr>
                <w:color w:val="auto"/>
                <w:highlight w:val="none"/>
              </w:rPr>
              <w:t>0.0026</w:t>
            </w:r>
          </w:p>
        </w:tc>
        <w:tc>
          <w:tcPr>
            <w:tcW w:w="1025" w:type="dxa"/>
            <w:vAlign w:val="center"/>
          </w:tcPr>
          <w:p w14:paraId="52939F90">
            <w:pPr>
              <w:pStyle w:val="17"/>
              <w:bidi w:val="0"/>
              <w:jc w:val="center"/>
              <w:rPr>
                <w:color w:val="auto"/>
                <w:highlight w:val="none"/>
              </w:rPr>
            </w:pPr>
            <w:r>
              <w:rPr>
                <w:color w:val="auto"/>
                <w:highlight w:val="none"/>
              </w:rPr>
              <w:t>0.0019</w:t>
            </w:r>
          </w:p>
        </w:tc>
        <w:tc>
          <w:tcPr>
            <w:tcW w:w="1025" w:type="dxa"/>
            <w:vAlign w:val="center"/>
          </w:tcPr>
          <w:p w14:paraId="38DE4038">
            <w:pPr>
              <w:pStyle w:val="17"/>
              <w:bidi w:val="0"/>
              <w:jc w:val="center"/>
              <w:rPr>
                <w:color w:val="auto"/>
                <w:highlight w:val="none"/>
              </w:rPr>
            </w:pPr>
            <w:r>
              <w:rPr>
                <w:color w:val="auto"/>
                <w:highlight w:val="none"/>
              </w:rPr>
              <w:t>0.002</w:t>
            </w:r>
          </w:p>
        </w:tc>
        <w:tc>
          <w:tcPr>
            <w:tcW w:w="812" w:type="dxa"/>
            <w:vAlign w:val="center"/>
          </w:tcPr>
          <w:p w14:paraId="1CD321CB">
            <w:pPr>
              <w:pStyle w:val="17"/>
              <w:bidi w:val="0"/>
              <w:jc w:val="center"/>
              <w:rPr>
                <w:color w:val="auto"/>
                <w:highlight w:val="none"/>
              </w:rPr>
            </w:pPr>
            <w:r>
              <w:rPr>
                <w:color w:val="auto"/>
                <w:highlight w:val="none"/>
              </w:rPr>
              <w:t>0.052</w:t>
            </w:r>
          </w:p>
        </w:tc>
        <w:tc>
          <w:tcPr>
            <w:tcW w:w="1025" w:type="dxa"/>
            <w:vAlign w:val="center"/>
          </w:tcPr>
          <w:p w14:paraId="4AFD245E">
            <w:pPr>
              <w:pStyle w:val="17"/>
              <w:bidi w:val="0"/>
              <w:jc w:val="center"/>
              <w:rPr>
                <w:color w:val="auto"/>
                <w:highlight w:val="none"/>
              </w:rPr>
            </w:pPr>
            <w:r>
              <w:rPr>
                <w:color w:val="auto"/>
                <w:highlight w:val="none"/>
              </w:rPr>
              <w:t>0.0022</w:t>
            </w:r>
          </w:p>
        </w:tc>
        <w:tc>
          <w:tcPr>
            <w:tcW w:w="1025" w:type="dxa"/>
            <w:vAlign w:val="center"/>
          </w:tcPr>
          <w:p w14:paraId="24E02FDF">
            <w:pPr>
              <w:pStyle w:val="17"/>
              <w:bidi w:val="0"/>
              <w:jc w:val="center"/>
              <w:rPr>
                <w:color w:val="auto"/>
                <w:highlight w:val="none"/>
              </w:rPr>
            </w:pPr>
            <w:r>
              <w:rPr>
                <w:color w:val="auto"/>
                <w:highlight w:val="none"/>
              </w:rPr>
              <w:t>0.0019</w:t>
            </w:r>
          </w:p>
        </w:tc>
        <w:tc>
          <w:tcPr>
            <w:tcW w:w="1025" w:type="dxa"/>
            <w:vAlign w:val="center"/>
          </w:tcPr>
          <w:p w14:paraId="2C4D9E53">
            <w:pPr>
              <w:pStyle w:val="17"/>
              <w:bidi w:val="0"/>
              <w:jc w:val="center"/>
              <w:rPr>
                <w:color w:val="auto"/>
                <w:highlight w:val="none"/>
              </w:rPr>
            </w:pPr>
            <w:r>
              <w:rPr>
                <w:color w:val="auto"/>
                <w:highlight w:val="none"/>
              </w:rPr>
              <w:t>0.0015</w:t>
            </w:r>
          </w:p>
        </w:tc>
        <w:tc>
          <w:tcPr>
            <w:tcW w:w="826" w:type="dxa"/>
            <w:vAlign w:val="center"/>
          </w:tcPr>
          <w:p w14:paraId="741DDACD">
            <w:pPr>
              <w:pStyle w:val="17"/>
              <w:bidi w:val="0"/>
              <w:jc w:val="center"/>
              <w:rPr>
                <w:color w:val="auto"/>
                <w:highlight w:val="none"/>
              </w:rPr>
            </w:pPr>
            <w:r>
              <w:rPr>
                <w:color w:val="auto"/>
                <w:highlight w:val="none"/>
              </w:rPr>
              <w:t>0.044</w:t>
            </w:r>
          </w:p>
        </w:tc>
      </w:tr>
      <w:tr w14:paraId="0CAE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6E02A9D8">
            <w:pPr>
              <w:pStyle w:val="17"/>
              <w:bidi w:val="0"/>
              <w:jc w:val="center"/>
              <w:rPr>
                <w:color w:val="auto"/>
                <w:highlight w:val="none"/>
              </w:rPr>
            </w:pPr>
            <w:r>
              <w:rPr>
                <w:color w:val="auto"/>
                <w:highlight w:val="none"/>
              </w:rPr>
              <w:t>汞</w:t>
            </w:r>
          </w:p>
        </w:tc>
        <w:tc>
          <w:tcPr>
            <w:tcW w:w="699" w:type="dxa"/>
            <w:vAlign w:val="center"/>
          </w:tcPr>
          <w:p w14:paraId="61ABA42D">
            <w:pPr>
              <w:pStyle w:val="17"/>
              <w:bidi w:val="0"/>
              <w:jc w:val="center"/>
              <w:rPr>
                <w:color w:val="auto"/>
                <w:highlight w:val="none"/>
              </w:rPr>
            </w:pPr>
            <w:r>
              <w:rPr>
                <w:color w:val="auto"/>
                <w:highlight w:val="none"/>
              </w:rPr>
              <w:t>mg/L</w:t>
            </w:r>
          </w:p>
        </w:tc>
        <w:tc>
          <w:tcPr>
            <w:tcW w:w="936" w:type="dxa"/>
            <w:vAlign w:val="center"/>
          </w:tcPr>
          <w:p w14:paraId="2A25D216">
            <w:pPr>
              <w:pStyle w:val="17"/>
              <w:bidi w:val="0"/>
              <w:jc w:val="center"/>
              <w:rPr>
                <w:color w:val="auto"/>
                <w:highlight w:val="none"/>
              </w:rPr>
            </w:pPr>
            <w:r>
              <w:rPr>
                <w:color w:val="auto"/>
                <w:highlight w:val="none"/>
              </w:rPr>
              <w:t>≤0.0000</w:t>
            </w:r>
          </w:p>
          <w:p w14:paraId="31D5FB71">
            <w:pPr>
              <w:pStyle w:val="17"/>
              <w:bidi w:val="0"/>
              <w:jc w:val="center"/>
              <w:rPr>
                <w:color w:val="auto"/>
                <w:highlight w:val="none"/>
              </w:rPr>
            </w:pPr>
            <w:r>
              <w:rPr>
                <w:color w:val="auto"/>
                <w:highlight w:val="none"/>
              </w:rPr>
              <w:t>5</w:t>
            </w:r>
          </w:p>
        </w:tc>
        <w:tc>
          <w:tcPr>
            <w:tcW w:w="973" w:type="dxa"/>
            <w:vAlign w:val="center"/>
          </w:tcPr>
          <w:p w14:paraId="4B3D1609">
            <w:pPr>
              <w:pStyle w:val="17"/>
              <w:bidi w:val="0"/>
              <w:jc w:val="center"/>
              <w:rPr>
                <w:color w:val="auto"/>
                <w:highlight w:val="none"/>
              </w:rPr>
            </w:pPr>
            <w:r>
              <w:rPr>
                <w:color w:val="auto"/>
                <w:highlight w:val="none"/>
              </w:rPr>
              <w:t>&lt;0.0000</w:t>
            </w:r>
          </w:p>
          <w:p w14:paraId="7FA36F6F">
            <w:pPr>
              <w:pStyle w:val="17"/>
              <w:bidi w:val="0"/>
              <w:jc w:val="center"/>
              <w:rPr>
                <w:color w:val="auto"/>
                <w:highlight w:val="none"/>
              </w:rPr>
            </w:pPr>
            <w:r>
              <w:rPr>
                <w:color w:val="auto"/>
                <w:highlight w:val="none"/>
              </w:rPr>
              <w:t>4</w:t>
            </w:r>
          </w:p>
        </w:tc>
        <w:tc>
          <w:tcPr>
            <w:tcW w:w="1010" w:type="dxa"/>
            <w:vAlign w:val="center"/>
          </w:tcPr>
          <w:p w14:paraId="5688AF33">
            <w:pPr>
              <w:pStyle w:val="17"/>
              <w:bidi w:val="0"/>
              <w:jc w:val="center"/>
              <w:rPr>
                <w:color w:val="auto"/>
                <w:highlight w:val="none"/>
              </w:rPr>
            </w:pPr>
            <w:r>
              <w:rPr>
                <w:color w:val="auto"/>
                <w:highlight w:val="none"/>
              </w:rPr>
              <w:t>&lt;0.0000</w:t>
            </w:r>
          </w:p>
          <w:p w14:paraId="5A72907A">
            <w:pPr>
              <w:pStyle w:val="17"/>
              <w:bidi w:val="0"/>
              <w:jc w:val="center"/>
              <w:rPr>
                <w:color w:val="auto"/>
                <w:highlight w:val="none"/>
              </w:rPr>
            </w:pPr>
            <w:r>
              <w:rPr>
                <w:color w:val="auto"/>
                <w:highlight w:val="none"/>
              </w:rPr>
              <w:t>4</w:t>
            </w:r>
          </w:p>
        </w:tc>
        <w:tc>
          <w:tcPr>
            <w:tcW w:w="943" w:type="dxa"/>
            <w:vAlign w:val="center"/>
          </w:tcPr>
          <w:p w14:paraId="325B07E7">
            <w:pPr>
              <w:pStyle w:val="17"/>
              <w:bidi w:val="0"/>
              <w:jc w:val="center"/>
              <w:rPr>
                <w:color w:val="auto"/>
                <w:highlight w:val="none"/>
              </w:rPr>
            </w:pPr>
            <w:r>
              <w:rPr>
                <w:color w:val="auto"/>
                <w:highlight w:val="none"/>
              </w:rPr>
              <w:t>&lt;0.0000</w:t>
            </w:r>
          </w:p>
          <w:p w14:paraId="6CFD51C9">
            <w:pPr>
              <w:pStyle w:val="17"/>
              <w:bidi w:val="0"/>
              <w:jc w:val="center"/>
              <w:rPr>
                <w:color w:val="auto"/>
                <w:highlight w:val="none"/>
              </w:rPr>
            </w:pPr>
            <w:r>
              <w:rPr>
                <w:color w:val="auto"/>
                <w:highlight w:val="none"/>
              </w:rPr>
              <w:t>4</w:t>
            </w:r>
          </w:p>
        </w:tc>
        <w:tc>
          <w:tcPr>
            <w:tcW w:w="812" w:type="dxa"/>
            <w:vAlign w:val="center"/>
          </w:tcPr>
          <w:p w14:paraId="70926F37">
            <w:pPr>
              <w:pStyle w:val="17"/>
              <w:bidi w:val="0"/>
              <w:jc w:val="center"/>
              <w:rPr>
                <w:color w:val="auto"/>
                <w:highlight w:val="none"/>
              </w:rPr>
            </w:pPr>
            <w:r>
              <w:rPr>
                <w:color w:val="auto"/>
                <w:highlight w:val="none"/>
              </w:rPr>
              <w:t>&lt;0.8</w:t>
            </w:r>
          </w:p>
        </w:tc>
        <w:tc>
          <w:tcPr>
            <w:tcW w:w="1025" w:type="dxa"/>
            <w:vAlign w:val="center"/>
          </w:tcPr>
          <w:p w14:paraId="7981DAF6">
            <w:pPr>
              <w:pStyle w:val="17"/>
              <w:bidi w:val="0"/>
              <w:jc w:val="center"/>
              <w:rPr>
                <w:color w:val="auto"/>
                <w:highlight w:val="none"/>
              </w:rPr>
            </w:pPr>
            <w:r>
              <w:rPr>
                <w:color w:val="auto"/>
                <w:highlight w:val="none"/>
              </w:rPr>
              <w:t>&lt;0.00004</w:t>
            </w:r>
          </w:p>
        </w:tc>
        <w:tc>
          <w:tcPr>
            <w:tcW w:w="1025" w:type="dxa"/>
            <w:vAlign w:val="center"/>
          </w:tcPr>
          <w:p w14:paraId="3CFB30D0">
            <w:pPr>
              <w:pStyle w:val="17"/>
              <w:bidi w:val="0"/>
              <w:jc w:val="center"/>
              <w:rPr>
                <w:color w:val="auto"/>
                <w:highlight w:val="none"/>
              </w:rPr>
            </w:pPr>
            <w:r>
              <w:rPr>
                <w:color w:val="auto"/>
                <w:highlight w:val="none"/>
              </w:rPr>
              <w:t>&lt;0.00004</w:t>
            </w:r>
          </w:p>
        </w:tc>
        <w:tc>
          <w:tcPr>
            <w:tcW w:w="1025" w:type="dxa"/>
            <w:vAlign w:val="center"/>
          </w:tcPr>
          <w:p w14:paraId="1E7AF5AE">
            <w:pPr>
              <w:pStyle w:val="17"/>
              <w:bidi w:val="0"/>
              <w:jc w:val="center"/>
              <w:rPr>
                <w:color w:val="auto"/>
                <w:highlight w:val="none"/>
              </w:rPr>
            </w:pPr>
            <w:r>
              <w:rPr>
                <w:color w:val="auto"/>
                <w:highlight w:val="none"/>
              </w:rPr>
              <w:t>&lt;0.00004</w:t>
            </w:r>
          </w:p>
        </w:tc>
        <w:tc>
          <w:tcPr>
            <w:tcW w:w="812" w:type="dxa"/>
            <w:vAlign w:val="center"/>
          </w:tcPr>
          <w:p w14:paraId="083BC3A6">
            <w:pPr>
              <w:pStyle w:val="17"/>
              <w:bidi w:val="0"/>
              <w:jc w:val="center"/>
              <w:rPr>
                <w:color w:val="auto"/>
                <w:highlight w:val="none"/>
              </w:rPr>
            </w:pPr>
            <w:r>
              <w:rPr>
                <w:color w:val="auto"/>
                <w:highlight w:val="none"/>
              </w:rPr>
              <w:t>&lt;0.8</w:t>
            </w:r>
          </w:p>
        </w:tc>
        <w:tc>
          <w:tcPr>
            <w:tcW w:w="1025" w:type="dxa"/>
            <w:vAlign w:val="center"/>
          </w:tcPr>
          <w:p w14:paraId="42BF8D1F">
            <w:pPr>
              <w:pStyle w:val="17"/>
              <w:bidi w:val="0"/>
              <w:jc w:val="center"/>
              <w:rPr>
                <w:color w:val="auto"/>
                <w:highlight w:val="none"/>
              </w:rPr>
            </w:pPr>
            <w:r>
              <w:rPr>
                <w:color w:val="auto"/>
                <w:highlight w:val="none"/>
              </w:rPr>
              <w:t>&lt;0.00004</w:t>
            </w:r>
          </w:p>
        </w:tc>
        <w:tc>
          <w:tcPr>
            <w:tcW w:w="1025" w:type="dxa"/>
            <w:vAlign w:val="center"/>
          </w:tcPr>
          <w:p w14:paraId="0F7C5F77">
            <w:pPr>
              <w:pStyle w:val="17"/>
              <w:bidi w:val="0"/>
              <w:jc w:val="center"/>
              <w:rPr>
                <w:color w:val="auto"/>
                <w:highlight w:val="none"/>
              </w:rPr>
            </w:pPr>
            <w:r>
              <w:rPr>
                <w:color w:val="auto"/>
                <w:highlight w:val="none"/>
              </w:rPr>
              <w:t>&lt;0.00004</w:t>
            </w:r>
          </w:p>
        </w:tc>
        <w:tc>
          <w:tcPr>
            <w:tcW w:w="1025" w:type="dxa"/>
            <w:vAlign w:val="center"/>
          </w:tcPr>
          <w:p w14:paraId="22D5E8F3">
            <w:pPr>
              <w:pStyle w:val="17"/>
              <w:bidi w:val="0"/>
              <w:jc w:val="center"/>
              <w:rPr>
                <w:color w:val="auto"/>
                <w:highlight w:val="none"/>
              </w:rPr>
            </w:pPr>
            <w:r>
              <w:rPr>
                <w:color w:val="auto"/>
                <w:highlight w:val="none"/>
              </w:rPr>
              <w:t>&lt;0.00004</w:t>
            </w:r>
          </w:p>
        </w:tc>
        <w:tc>
          <w:tcPr>
            <w:tcW w:w="826" w:type="dxa"/>
            <w:vAlign w:val="center"/>
          </w:tcPr>
          <w:p w14:paraId="6496F0C8">
            <w:pPr>
              <w:pStyle w:val="17"/>
              <w:bidi w:val="0"/>
              <w:jc w:val="center"/>
              <w:rPr>
                <w:color w:val="auto"/>
                <w:highlight w:val="none"/>
              </w:rPr>
            </w:pPr>
            <w:r>
              <w:rPr>
                <w:color w:val="auto"/>
                <w:highlight w:val="none"/>
              </w:rPr>
              <w:t>&lt;0.8</w:t>
            </w:r>
          </w:p>
        </w:tc>
      </w:tr>
      <w:tr w14:paraId="7620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4ECA984A">
            <w:pPr>
              <w:pStyle w:val="17"/>
              <w:bidi w:val="0"/>
              <w:jc w:val="center"/>
              <w:rPr>
                <w:color w:val="auto"/>
                <w:highlight w:val="none"/>
              </w:rPr>
            </w:pPr>
            <w:r>
              <w:rPr>
                <w:color w:val="auto"/>
                <w:highlight w:val="none"/>
              </w:rPr>
              <w:t>氟化物</w:t>
            </w:r>
          </w:p>
        </w:tc>
        <w:tc>
          <w:tcPr>
            <w:tcW w:w="699" w:type="dxa"/>
            <w:vAlign w:val="center"/>
          </w:tcPr>
          <w:p w14:paraId="64173A55">
            <w:pPr>
              <w:pStyle w:val="17"/>
              <w:bidi w:val="0"/>
              <w:jc w:val="center"/>
              <w:rPr>
                <w:color w:val="auto"/>
                <w:highlight w:val="none"/>
              </w:rPr>
            </w:pPr>
            <w:r>
              <w:rPr>
                <w:color w:val="auto"/>
                <w:highlight w:val="none"/>
              </w:rPr>
              <w:t>mg/L</w:t>
            </w:r>
          </w:p>
        </w:tc>
        <w:tc>
          <w:tcPr>
            <w:tcW w:w="936" w:type="dxa"/>
            <w:vAlign w:val="center"/>
          </w:tcPr>
          <w:p w14:paraId="464AE3C4">
            <w:pPr>
              <w:pStyle w:val="17"/>
              <w:bidi w:val="0"/>
              <w:jc w:val="center"/>
              <w:rPr>
                <w:color w:val="auto"/>
                <w:highlight w:val="none"/>
              </w:rPr>
            </w:pPr>
            <w:r>
              <w:rPr>
                <w:color w:val="auto"/>
                <w:highlight w:val="none"/>
              </w:rPr>
              <w:t>≤1.0</w:t>
            </w:r>
          </w:p>
        </w:tc>
        <w:tc>
          <w:tcPr>
            <w:tcW w:w="973" w:type="dxa"/>
            <w:vAlign w:val="center"/>
          </w:tcPr>
          <w:p w14:paraId="589E32CB">
            <w:pPr>
              <w:pStyle w:val="17"/>
              <w:bidi w:val="0"/>
              <w:jc w:val="center"/>
              <w:rPr>
                <w:color w:val="auto"/>
                <w:highlight w:val="none"/>
              </w:rPr>
            </w:pPr>
            <w:r>
              <w:rPr>
                <w:color w:val="auto"/>
                <w:highlight w:val="none"/>
              </w:rPr>
              <w:t>0.7</w:t>
            </w:r>
          </w:p>
        </w:tc>
        <w:tc>
          <w:tcPr>
            <w:tcW w:w="1010" w:type="dxa"/>
            <w:vAlign w:val="center"/>
          </w:tcPr>
          <w:p w14:paraId="57AE59CC">
            <w:pPr>
              <w:pStyle w:val="17"/>
              <w:bidi w:val="0"/>
              <w:jc w:val="center"/>
              <w:rPr>
                <w:color w:val="auto"/>
                <w:highlight w:val="none"/>
              </w:rPr>
            </w:pPr>
            <w:r>
              <w:rPr>
                <w:color w:val="auto"/>
                <w:highlight w:val="none"/>
              </w:rPr>
              <w:t>0.77</w:t>
            </w:r>
          </w:p>
        </w:tc>
        <w:tc>
          <w:tcPr>
            <w:tcW w:w="943" w:type="dxa"/>
            <w:vAlign w:val="center"/>
          </w:tcPr>
          <w:p w14:paraId="432CDFC8">
            <w:pPr>
              <w:pStyle w:val="17"/>
              <w:bidi w:val="0"/>
              <w:jc w:val="center"/>
              <w:rPr>
                <w:color w:val="auto"/>
                <w:highlight w:val="none"/>
              </w:rPr>
            </w:pPr>
            <w:r>
              <w:rPr>
                <w:color w:val="auto"/>
                <w:highlight w:val="none"/>
              </w:rPr>
              <w:t>0.9</w:t>
            </w:r>
          </w:p>
        </w:tc>
        <w:tc>
          <w:tcPr>
            <w:tcW w:w="812" w:type="dxa"/>
            <w:vAlign w:val="center"/>
          </w:tcPr>
          <w:p w14:paraId="75FEE40C">
            <w:pPr>
              <w:pStyle w:val="17"/>
              <w:bidi w:val="0"/>
              <w:jc w:val="center"/>
              <w:rPr>
                <w:color w:val="auto"/>
                <w:highlight w:val="none"/>
              </w:rPr>
            </w:pPr>
            <w:r>
              <w:rPr>
                <w:color w:val="auto"/>
                <w:highlight w:val="none"/>
              </w:rPr>
              <w:t>0.9</w:t>
            </w:r>
          </w:p>
        </w:tc>
        <w:tc>
          <w:tcPr>
            <w:tcW w:w="1025" w:type="dxa"/>
            <w:vAlign w:val="center"/>
          </w:tcPr>
          <w:p w14:paraId="78E04178">
            <w:pPr>
              <w:pStyle w:val="17"/>
              <w:bidi w:val="0"/>
              <w:jc w:val="center"/>
              <w:rPr>
                <w:color w:val="auto"/>
                <w:highlight w:val="none"/>
              </w:rPr>
            </w:pPr>
            <w:r>
              <w:rPr>
                <w:color w:val="auto"/>
                <w:highlight w:val="none"/>
              </w:rPr>
              <w:t>0.83</w:t>
            </w:r>
          </w:p>
        </w:tc>
        <w:tc>
          <w:tcPr>
            <w:tcW w:w="1025" w:type="dxa"/>
            <w:vAlign w:val="center"/>
          </w:tcPr>
          <w:p w14:paraId="19955AA7">
            <w:pPr>
              <w:pStyle w:val="17"/>
              <w:bidi w:val="0"/>
              <w:jc w:val="center"/>
              <w:rPr>
                <w:color w:val="auto"/>
                <w:highlight w:val="none"/>
              </w:rPr>
            </w:pPr>
            <w:r>
              <w:rPr>
                <w:color w:val="auto"/>
                <w:highlight w:val="none"/>
              </w:rPr>
              <w:t>0.8</w:t>
            </w:r>
          </w:p>
        </w:tc>
        <w:tc>
          <w:tcPr>
            <w:tcW w:w="1025" w:type="dxa"/>
            <w:vAlign w:val="center"/>
          </w:tcPr>
          <w:p w14:paraId="18FB5C96">
            <w:pPr>
              <w:pStyle w:val="17"/>
              <w:bidi w:val="0"/>
              <w:jc w:val="center"/>
              <w:rPr>
                <w:color w:val="auto"/>
                <w:highlight w:val="none"/>
              </w:rPr>
            </w:pPr>
            <w:r>
              <w:rPr>
                <w:color w:val="auto"/>
                <w:highlight w:val="none"/>
              </w:rPr>
              <w:t>0.71</w:t>
            </w:r>
          </w:p>
        </w:tc>
        <w:tc>
          <w:tcPr>
            <w:tcW w:w="812" w:type="dxa"/>
            <w:vAlign w:val="center"/>
          </w:tcPr>
          <w:p w14:paraId="3DED86F5">
            <w:pPr>
              <w:pStyle w:val="17"/>
              <w:bidi w:val="0"/>
              <w:jc w:val="center"/>
              <w:rPr>
                <w:color w:val="auto"/>
                <w:highlight w:val="none"/>
              </w:rPr>
            </w:pPr>
            <w:r>
              <w:rPr>
                <w:color w:val="auto"/>
                <w:highlight w:val="none"/>
              </w:rPr>
              <w:t>0.83</w:t>
            </w:r>
          </w:p>
        </w:tc>
        <w:tc>
          <w:tcPr>
            <w:tcW w:w="1025" w:type="dxa"/>
            <w:vAlign w:val="center"/>
          </w:tcPr>
          <w:p w14:paraId="22654825">
            <w:pPr>
              <w:pStyle w:val="17"/>
              <w:bidi w:val="0"/>
              <w:jc w:val="center"/>
              <w:rPr>
                <w:color w:val="auto"/>
                <w:highlight w:val="none"/>
              </w:rPr>
            </w:pPr>
            <w:r>
              <w:rPr>
                <w:color w:val="auto"/>
                <w:highlight w:val="none"/>
              </w:rPr>
              <w:t>0.71</w:t>
            </w:r>
          </w:p>
        </w:tc>
        <w:tc>
          <w:tcPr>
            <w:tcW w:w="1025" w:type="dxa"/>
            <w:vAlign w:val="center"/>
          </w:tcPr>
          <w:p w14:paraId="5F147D40">
            <w:pPr>
              <w:pStyle w:val="17"/>
              <w:bidi w:val="0"/>
              <w:jc w:val="center"/>
              <w:rPr>
                <w:color w:val="auto"/>
                <w:highlight w:val="none"/>
              </w:rPr>
            </w:pPr>
            <w:r>
              <w:rPr>
                <w:color w:val="auto"/>
                <w:highlight w:val="none"/>
              </w:rPr>
              <w:t>0.83</w:t>
            </w:r>
          </w:p>
        </w:tc>
        <w:tc>
          <w:tcPr>
            <w:tcW w:w="1025" w:type="dxa"/>
            <w:vAlign w:val="center"/>
          </w:tcPr>
          <w:p w14:paraId="4B37EFD8">
            <w:pPr>
              <w:pStyle w:val="17"/>
              <w:bidi w:val="0"/>
              <w:jc w:val="center"/>
              <w:rPr>
                <w:color w:val="auto"/>
                <w:highlight w:val="none"/>
              </w:rPr>
            </w:pPr>
            <w:r>
              <w:rPr>
                <w:color w:val="auto"/>
                <w:highlight w:val="none"/>
              </w:rPr>
              <w:t>0.77</w:t>
            </w:r>
          </w:p>
        </w:tc>
        <w:tc>
          <w:tcPr>
            <w:tcW w:w="826" w:type="dxa"/>
            <w:vAlign w:val="center"/>
          </w:tcPr>
          <w:p w14:paraId="33AEBE4B">
            <w:pPr>
              <w:pStyle w:val="17"/>
              <w:bidi w:val="0"/>
              <w:jc w:val="center"/>
              <w:rPr>
                <w:color w:val="auto"/>
                <w:highlight w:val="none"/>
              </w:rPr>
            </w:pPr>
            <w:r>
              <w:rPr>
                <w:color w:val="auto"/>
                <w:highlight w:val="none"/>
              </w:rPr>
              <w:t>0.83</w:t>
            </w:r>
          </w:p>
        </w:tc>
      </w:tr>
      <w:tr w14:paraId="0979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7E1E9163">
            <w:pPr>
              <w:pStyle w:val="17"/>
              <w:bidi w:val="0"/>
              <w:jc w:val="center"/>
              <w:rPr>
                <w:color w:val="auto"/>
                <w:highlight w:val="none"/>
              </w:rPr>
            </w:pPr>
            <w:r>
              <w:rPr>
                <w:color w:val="auto"/>
                <w:highlight w:val="none"/>
              </w:rPr>
              <w:t>氯化物</w:t>
            </w:r>
          </w:p>
        </w:tc>
        <w:tc>
          <w:tcPr>
            <w:tcW w:w="699" w:type="dxa"/>
            <w:vAlign w:val="center"/>
          </w:tcPr>
          <w:p w14:paraId="47A3830D">
            <w:pPr>
              <w:pStyle w:val="17"/>
              <w:bidi w:val="0"/>
              <w:jc w:val="center"/>
              <w:rPr>
                <w:color w:val="auto"/>
                <w:highlight w:val="none"/>
              </w:rPr>
            </w:pPr>
            <w:r>
              <w:rPr>
                <w:color w:val="auto"/>
                <w:highlight w:val="none"/>
              </w:rPr>
              <w:t>mg/L</w:t>
            </w:r>
          </w:p>
        </w:tc>
        <w:tc>
          <w:tcPr>
            <w:tcW w:w="936" w:type="dxa"/>
            <w:vAlign w:val="center"/>
          </w:tcPr>
          <w:p w14:paraId="6C0A1E91">
            <w:pPr>
              <w:pStyle w:val="17"/>
              <w:bidi w:val="0"/>
              <w:jc w:val="center"/>
              <w:rPr>
                <w:color w:val="auto"/>
                <w:highlight w:val="none"/>
              </w:rPr>
            </w:pPr>
            <w:r>
              <w:rPr>
                <w:color w:val="auto"/>
                <w:highlight w:val="none"/>
              </w:rPr>
              <w:t>≤250</w:t>
            </w:r>
          </w:p>
        </w:tc>
        <w:tc>
          <w:tcPr>
            <w:tcW w:w="973" w:type="dxa"/>
            <w:vAlign w:val="center"/>
          </w:tcPr>
          <w:p w14:paraId="1BC6A6A9">
            <w:pPr>
              <w:pStyle w:val="17"/>
              <w:bidi w:val="0"/>
              <w:jc w:val="center"/>
              <w:rPr>
                <w:color w:val="auto"/>
                <w:highlight w:val="none"/>
              </w:rPr>
            </w:pPr>
            <w:r>
              <w:rPr>
                <w:color w:val="auto"/>
                <w:highlight w:val="none"/>
              </w:rPr>
              <w:t>31</w:t>
            </w:r>
          </w:p>
        </w:tc>
        <w:tc>
          <w:tcPr>
            <w:tcW w:w="1010" w:type="dxa"/>
            <w:vAlign w:val="center"/>
          </w:tcPr>
          <w:p w14:paraId="23AC5C4C">
            <w:pPr>
              <w:pStyle w:val="17"/>
              <w:bidi w:val="0"/>
              <w:jc w:val="center"/>
              <w:rPr>
                <w:color w:val="auto"/>
                <w:highlight w:val="none"/>
              </w:rPr>
            </w:pPr>
            <w:r>
              <w:rPr>
                <w:color w:val="auto"/>
                <w:highlight w:val="none"/>
              </w:rPr>
              <w:t>30</w:t>
            </w:r>
          </w:p>
        </w:tc>
        <w:tc>
          <w:tcPr>
            <w:tcW w:w="943" w:type="dxa"/>
            <w:vAlign w:val="center"/>
          </w:tcPr>
          <w:p w14:paraId="51FE3B22">
            <w:pPr>
              <w:pStyle w:val="17"/>
              <w:bidi w:val="0"/>
              <w:jc w:val="center"/>
              <w:rPr>
                <w:color w:val="auto"/>
                <w:highlight w:val="none"/>
              </w:rPr>
            </w:pPr>
            <w:r>
              <w:rPr>
                <w:color w:val="auto"/>
                <w:highlight w:val="none"/>
              </w:rPr>
              <w:t>31</w:t>
            </w:r>
          </w:p>
        </w:tc>
        <w:tc>
          <w:tcPr>
            <w:tcW w:w="812" w:type="dxa"/>
            <w:vAlign w:val="center"/>
          </w:tcPr>
          <w:p w14:paraId="7C0BD007">
            <w:pPr>
              <w:pStyle w:val="17"/>
              <w:bidi w:val="0"/>
              <w:jc w:val="center"/>
              <w:rPr>
                <w:color w:val="auto"/>
                <w:highlight w:val="none"/>
              </w:rPr>
            </w:pPr>
            <w:r>
              <w:rPr>
                <w:color w:val="auto"/>
                <w:highlight w:val="none"/>
              </w:rPr>
              <w:t>0.124</w:t>
            </w:r>
          </w:p>
        </w:tc>
        <w:tc>
          <w:tcPr>
            <w:tcW w:w="1025" w:type="dxa"/>
            <w:vAlign w:val="center"/>
          </w:tcPr>
          <w:p w14:paraId="4CAD0E56">
            <w:pPr>
              <w:pStyle w:val="17"/>
              <w:bidi w:val="0"/>
              <w:jc w:val="center"/>
              <w:rPr>
                <w:color w:val="auto"/>
                <w:highlight w:val="none"/>
              </w:rPr>
            </w:pPr>
            <w:r>
              <w:rPr>
                <w:color w:val="auto"/>
                <w:highlight w:val="none"/>
              </w:rPr>
              <w:t>31</w:t>
            </w:r>
          </w:p>
        </w:tc>
        <w:tc>
          <w:tcPr>
            <w:tcW w:w="1025" w:type="dxa"/>
            <w:vAlign w:val="center"/>
          </w:tcPr>
          <w:p w14:paraId="7FB95991">
            <w:pPr>
              <w:pStyle w:val="17"/>
              <w:bidi w:val="0"/>
              <w:jc w:val="center"/>
              <w:rPr>
                <w:color w:val="auto"/>
                <w:highlight w:val="none"/>
              </w:rPr>
            </w:pPr>
            <w:r>
              <w:rPr>
                <w:color w:val="auto"/>
                <w:highlight w:val="none"/>
              </w:rPr>
              <w:t>32</w:t>
            </w:r>
          </w:p>
        </w:tc>
        <w:tc>
          <w:tcPr>
            <w:tcW w:w="1025" w:type="dxa"/>
            <w:vAlign w:val="center"/>
          </w:tcPr>
          <w:p w14:paraId="469A3C33">
            <w:pPr>
              <w:pStyle w:val="17"/>
              <w:bidi w:val="0"/>
              <w:jc w:val="center"/>
              <w:rPr>
                <w:color w:val="auto"/>
                <w:highlight w:val="none"/>
              </w:rPr>
            </w:pPr>
            <w:r>
              <w:rPr>
                <w:color w:val="auto"/>
                <w:highlight w:val="none"/>
              </w:rPr>
              <w:t>32</w:t>
            </w:r>
          </w:p>
        </w:tc>
        <w:tc>
          <w:tcPr>
            <w:tcW w:w="812" w:type="dxa"/>
            <w:vAlign w:val="center"/>
          </w:tcPr>
          <w:p w14:paraId="4123504E">
            <w:pPr>
              <w:pStyle w:val="17"/>
              <w:bidi w:val="0"/>
              <w:jc w:val="center"/>
              <w:rPr>
                <w:color w:val="auto"/>
                <w:highlight w:val="none"/>
              </w:rPr>
            </w:pPr>
            <w:r>
              <w:rPr>
                <w:color w:val="auto"/>
                <w:highlight w:val="none"/>
              </w:rPr>
              <w:t>0.128</w:t>
            </w:r>
          </w:p>
        </w:tc>
        <w:tc>
          <w:tcPr>
            <w:tcW w:w="1025" w:type="dxa"/>
            <w:vAlign w:val="center"/>
          </w:tcPr>
          <w:p w14:paraId="1D042B0C">
            <w:pPr>
              <w:pStyle w:val="17"/>
              <w:bidi w:val="0"/>
              <w:jc w:val="center"/>
              <w:rPr>
                <w:color w:val="auto"/>
                <w:highlight w:val="none"/>
              </w:rPr>
            </w:pPr>
            <w:r>
              <w:rPr>
                <w:color w:val="auto"/>
                <w:highlight w:val="none"/>
              </w:rPr>
              <w:t>31</w:t>
            </w:r>
          </w:p>
        </w:tc>
        <w:tc>
          <w:tcPr>
            <w:tcW w:w="1025" w:type="dxa"/>
            <w:vAlign w:val="center"/>
          </w:tcPr>
          <w:p w14:paraId="7CF1AAA6">
            <w:pPr>
              <w:pStyle w:val="17"/>
              <w:bidi w:val="0"/>
              <w:jc w:val="center"/>
              <w:rPr>
                <w:color w:val="auto"/>
                <w:highlight w:val="none"/>
              </w:rPr>
            </w:pPr>
            <w:r>
              <w:rPr>
                <w:color w:val="auto"/>
                <w:highlight w:val="none"/>
              </w:rPr>
              <w:t>32</w:t>
            </w:r>
          </w:p>
        </w:tc>
        <w:tc>
          <w:tcPr>
            <w:tcW w:w="1025" w:type="dxa"/>
            <w:vAlign w:val="center"/>
          </w:tcPr>
          <w:p w14:paraId="7DF526C3">
            <w:pPr>
              <w:pStyle w:val="17"/>
              <w:bidi w:val="0"/>
              <w:jc w:val="center"/>
              <w:rPr>
                <w:color w:val="auto"/>
                <w:highlight w:val="none"/>
              </w:rPr>
            </w:pPr>
            <w:r>
              <w:rPr>
                <w:color w:val="auto"/>
                <w:highlight w:val="none"/>
              </w:rPr>
              <w:t>32</w:t>
            </w:r>
          </w:p>
        </w:tc>
        <w:tc>
          <w:tcPr>
            <w:tcW w:w="826" w:type="dxa"/>
            <w:vAlign w:val="center"/>
          </w:tcPr>
          <w:p w14:paraId="32993D20">
            <w:pPr>
              <w:pStyle w:val="17"/>
              <w:bidi w:val="0"/>
              <w:jc w:val="center"/>
              <w:rPr>
                <w:color w:val="auto"/>
                <w:highlight w:val="none"/>
              </w:rPr>
            </w:pPr>
            <w:r>
              <w:rPr>
                <w:color w:val="auto"/>
                <w:highlight w:val="none"/>
              </w:rPr>
              <w:t>0.128</w:t>
            </w:r>
          </w:p>
        </w:tc>
      </w:tr>
      <w:tr w14:paraId="4F74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6C554981">
            <w:pPr>
              <w:pStyle w:val="17"/>
              <w:bidi w:val="0"/>
              <w:jc w:val="center"/>
              <w:rPr>
                <w:color w:val="auto"/>
                <w:highlight w:val="none"/>
              </w:rPr>
            </w:pPr>
            <w:r>
              <w:rPr>
                <w:color w:val="auto"/>
                <w:highlight w:val="none"/>
              </w:rPr>
              <w:t>硝酸盐氮</w:t>
            </w:r>
          </w:p>
        </w:tc>
        <w:tc>
          <w:tcPr>
            <w:tcW w:w="699" w:type="dxa"/>
            <w:vAlign w:val="center"/>
          </w:tcPr>
          <w:p w14:paraId="6733274B">
            <w:pPr>
              <w:pStyle w:val="17"/>
              <w:bidi w:val="0"/>
              <w:jc w:val="center"/>
              <w:rPr>
                <w:color w:val="auto"/>
                <w:highlight w:val="none"/>
              </w:rPr>
            </w:pPr>
            <w:r>
              <w:rPr>
                <w:color w:val="auto"/>
                <w:highlight w:val="none"/>
              </w:rPr>
              <w:t>mg/L</w:t>
            </w:r>
          </w:p>
        </w:tc>
        <w:tc>
          <w:tcPr>
            <w:tcW w:w="936" w:type="dxa"/>
            <w:vAlign w:val="center"/>
          </w:tcPr>
          <w:p w14:paraId="17E48E6A">
            <w:pPr>
              <w:pStyle w:val="17"/>
              <w:bidi w:val="0"/>
              <w:jc w:val="center"/>
              <w:rPr>
                <w:color w:val="auto"/>
                <w:highlight w:val="none"/>
              </w:rPr>
            </w:pPr>
            <w:r>
              <w:rPr>
                <w:color w:val="auto"/>
                <w:highlight w:val="none"/>
              </w:rPr>
              <w:t>≤10</w:t>
            </w:r>
          </w:p>
        </w:tc>
        <w:tc>
          <w:tcPr>
            <w:tcW w:w="973" w:type="dxa"/>
            <w:vAlign w:val="center"/>
          </w:tcPr>
          <w:p w14:paraId="40113A27">
            <w:pPr>
              <w:pStyle w:val="17"/>
              <w:bidi w:val="0"/>
              <w:jc w:val="center"/>
              <w:rPr>
                <w:color w:val="auto"/>
                <w:highlight w:val="none"/>
              </w:rPr>
            </w:pPr>
            <w:r>
              <w:rPr>
                <w:color w:val="auto"/>
                <w:highlight w:val="none"/>
              </w:rPr>
              <w:t>0.23</w:t>
            </w:r>
          </w:p>
        </w:tc>
        <w:tc>
          <w:tcPr>
            <w:tcW w:w="1010" w:type="dxa"/>
            <w:vAlign w:val="center"/>
          </w:tcPr>
          <w:p w14:paraId="069B3A9A">
            <w:pPr>
              <w:pStyle w:val="17"/>
              <w:bidi w:val="0"/>
              <w:jc w:val="center"/>
              <w:rPr>
                <w:color w:val="auto"/>
                <w:highlight w:val="none"/>
              </w:rPr>
            </w:pPr>
            <w:r>
              <w:rPr>
                <w:color w:val="auto"/>
                <w:highlight w:val="none"/>
              </w:rPr>
              <w:t>0.23</w:t>
            </w:r>
          </w:p>
        </w:tc>
        <w:tc>
          <w:tcPr>
            <w:tcW w:w="943" w:type="dxa"/>
            <w:vAlign w:val="center"/>
          </w:tcPr>
          <w:p w14:paraId="0DDC5FE1">
            <w:pPr>
              <w:pStyle w:val="17"/>
              <w:bidi w:val="0"/>
              <w:jc w:val="center"/>
              <w:rPr>
                <w:color w:val="auto"/>
                <w:highlight w:val="none"/>
              </w:rPr>
            </w:pPr>
            <w:r>
              <w:rPr>
                <w:color w:val="auto"/>
                <w:highlight w:val="none"/>
              </w:rPr>
              <w:t>0.24</w:t>
            </w:r>
          </w:p>
        </w:tc>
        <w:tc>
          <w:tcPr>
            <w:tcW w:w="812" w:type="dxa"/>
            <w:vAlign w:val="center"/>
          </w:tcPr>
          <w:p w14:paraId="396CC72C">
            <w:pPr>
              <w:pStyle w:val="17"/>
              <w:bidi w:val="0"/>
              <w:jc w:val="center"/>
              <w:rPr>
                <w:color w:val="auto"/>
                <w:highlight w:val="none"/>
              </w:rPr>
            </w:pPr>
            <w:r>
              <w:rPr>
                <w:color w:val="auto"/>
                <w:highlight w:val="none"/>
              </w:rPr>
              <w:t>0.024</w:t>
            </w:r>
          </w:p>
        </w:tc>
        <w:tc>
          <w:tcPr>
            <w:tcW w:w="1025" w:type="dxa"/>
            <w:vAlign w:val="center"/>
          </w:tcPr>
          <w:p w14:paraId="20D186BD">
            <w:pPr>
              <w:pStyle w:val="17"/>
              <w:bidi w:val="0"/>
              <w:jc w:val="center"/>
              <w:rPr>
                <w:color w:val="auto"/>
                <w:highlight w:val="none"/>
              </w:rPr>
            </w:pPr>
            <w:r>
              <w:rPr>
                <w:color w:val="auto"/>
                <w:highlight w:val="none"/>
              </w:rPr>
              <w:t>0.17</w:t>
            </w:r>
          </w:p>
        </w:tc>
        <w:tc>
          <w:tcPr>
            <w:tcW w:w="1025" w:type="dxa"/>
            <w:vAlign w:val="center"/>
          </w:tcPr>
          <w:p w14:paraId="07B652F5">
            <w:pPr>
              <w:pStyle w:val="17"/>
              <w:bidi w:val="0"/>
              <w:jc w:val="center"/>
              <w:rPr>
                <w:color w:val="auto"/>
                <w:highlight w:val="none"/>
              </w:rPr>
            </w:pPr>
            <w:r>
              <w:rPr>
                <w:color w:val="auto"/>
                <w:highlight w:val="none"/>
              </w:rPr>
              <w:t>0.16</w:t>
            </w:r>
          </w:p>
        </w:tc>
        <w:tc>
          <w:tcPr>
            <w:tcW w:w="1025" w:type="dxa"/>
            <w:vAlign w:val="center"/>
          </w:tcPr>
          <w:p w14:paraId="11DF5359">
            <w:pPr>
              <w:pStyle w:val="17"/>
              <w:bidi w:val="0"/>
              <w:jc w:val="center"/>
              <w:rPr>
                <w:color w:val="auto"/>
                <w:highlight w:val="none"/>
              </w:rPr>
            </w:pPr>
            <w:r>
              <w:rPr>
                <w:color w:val="auto"/>
                <w:highlight w:val="none"/>
              </w:rPr>
              <w:t>0.17</w:t>
            </w:r>
          </w:p>
        </w:tc>
        <w:tc>
          <w:tcPr>
            <w:tcW w:w="812" w:type="dxa"/>
            <w:vAlign w:val="center"/>
          </w:tcPr>
          <w:p w14:paraId="52FF6C3D">
            <w:pPr>
              <w:pStyle w:val="17"/>
              <w:bidi w:val="0"/>
              <w:jc w:val="center"/>
              <w:rPr>
                <w:color w:val="auto"/>
                <w:highlight w:val="none"/>
              </w:rPr>
            </w:pPr>
            <w:r>
              <w:rPr>
                <w:color w:val="auto"/>
                <w:highlight w:val="none"/>
              </w:rPr>
              <w:t>0.017</w:t>
            </w:r>
          </w:p>
        </w:tc>
        <w:tc>
          <w:tcPr>
            <w:tcW w:w="1025" w:type="dxa"/>
            <w:vAlign w:val="center"/>
          </w:tcPr>
          <w:p w14:paraId="2FBB8DB5">
            <w:pPr>
              <w:pStyle w:val="17"/>
              <w:bidi w:val="0"/>
              <w:jc w:val="center"/>
              <w:rPr>
                <w:color w:val="auto"/>
                <w:highlight w:val="none"/>
              </w:rPr>
            </w:pPr>
            <w:r>
              <w:rPr>
                <w:color w:val="auto"/>
                <w:highlight w:val="none"/>
              </w:rPr>
              <w:t>0.2</w:t>
            </w:r>
          </w:p>
        </w:tc>
        <w:tc>
          <w:tcPr>
            <w:tcW w:w="1025" w:type="dxa"/>
            <w:vAlign w:val="center"/>
          </w:tcPr>
          <w:p w14:paraId="7ABAC15F">
            <w:pPr>
              <w:pStyle w:val="17"/>
              <w:bidi w:val="0"/>
              <w:jc w:val="center"/>
              <w:rPr>
                <w:color w:val="auto"/>
                <w:highlight w:val="none"/>
              </w:rPr>
            </w:pPr>
            <w:r>
              <w:rPr>
                <w:color w:val="auto"/>
                <w:highlight w:val="none"/>
              </w:rPr>
              <w:t>0.19</w:t>
            </w:r>
          </w:p>
        </w:tc>
        <w:tc>
          <w:tcPr>
            <w:tcW w:w="1025" w:type="dxa"/>
            <w:vAlign w:val="center"/>
          </w:tcPr>
          <w:p w14:paraId="2D8A1E37">
            <w:pPr>
              <w:pStyle w:val="17"/>
              <w:bidi w:val="0"/>
              <w:jc w:val="center"/>
              <w:rPr>
                <w:color w:val="auto"/>
                <w:highlight w:val="none"/>
              </w:rPr>
            </w:pPr>
            <w:r>
              <w:rPr>
                <w:color w:val="auto"/>
                <w:highlight w:val="none"/>
              </w:rPr>
              <w:t>0.19</w:t>
            </w:r>
          </w:p>
        </w:tc>
        <w:tc>
          <w:tcPr>
            <w:tcW w:w="826" w:type="dxa"/>
            <w:vAlign w:val="center"/>
          </w:tcPr>
          <w:p w14:paraId="47F054C1">
            <w:pPr>
              <w:pStyle w:val="17"/>
              <w:bidi w:val="0"/>
              <w:jc w:val="center"/>
              <w:rPr>
                <w:color w:val="auto"/>
                <w:highlight w:val="none"/>
              </w:rPr>
            </w:pPr>
            <w:r>
              <w:rPr>
                <w:color w:val="auto"/>
                <w:highlight w:val="none"/>
              </w:rPr>
              <w:t>0.02</w:t>
            </w:r>
          </w:p>
        </w:tc>
      </w:tr>
      <w:tr w14:paraId="6DC0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0F8D40AB">
            <w:pPr>
              <w:pStyle w:val="17"/>
              <w:bidi w:val="0"/>
              <w:jc w:val="center"/>
              <w:rPr>
                <w:color w:val="auto"/>
                <w:highlight w:val="none"/>
              </w:rPr>
            </w:pPr>
            <w:r>
              <w:rPr>
                <w:color w:val="auto"/>
                <w:highlight w:val="none"/>
              </w:rPr>
              <w:t>硫酸盐</w:t>
            </w:r>
          </w:p>
        </w:tc>
        <w:tc>
          <w:tcPr>
            <w:tcW w:w="699" w:type="dxa"/>
            <w:vAlign w:val="center"/>
          </w:tcPr>
          <w:p w14:paraId="4BA43614">
            <w:pPr>
              <w:pStyle w:val="17"/>
              <w:bidi w:val="0"/>
              <w:jc w:val="center"/>
              <w:rPr>
                <w:color w:val="auto"/>
                <w:highlight w:val="none"/>
              </w:rPr>
            </w:pPr>
            <w:r>
              <w:rPr>
                <w:color w:val="auto"/>
                <w:highlight w:val="none"/>
              </w:rPr>
              <w:t>mg/L</w:t>
            </w:r>
          </w:p>
        </w:tc>
        <w:tc>
          <w:tcPr>
            <w:tcW w:w="936" w:type="dxa"/>
            <w:vAlign w:val="center"/>
          </w:tcPr>
          <w:p w14:paraId="1122FF38">
            <w:pPr>
              <w:pStyle w:val="17"/>
              <w:bidi w:val="0"/>
              <w:jc w:val="center"/>
              <w:rPr>
                <w:color w:val="auto"/>
                <w:highlight w:val="none"/>
              </w:rPr>
            </w:pPr>
            <w:r>
              <w:rPr>
                <w:color w:val="auto"/>
                <w:highlight w:val="none"/>
              </w:rPr>
              <w:t>≤250</w:t>
            </w:r>
          </w:p>
        </w:tc>
        <w:tc>
          <w:tcPr>
            <w:tcW w:w="973" w:type="dxa"/>
            <w:vAlign w:val="center"/>
          </w:tcPr>
          <w:p w14:paraId="41CCDA46">
            <w:pPr>
              <w:pStyle w:val="17"/>
              <w:bidi w:val="0"/>
              <w:jc w:val="center"/>
              <w:rPr>
                <w:color w:val="auto"/>
                <w:highlight w:val="none"/>
              </w:rPr>
            </w:pPr>
            <w:r>
              <w:rPr>
                <w:color w:val="auto"/>
                <w:highlight w:val="none"/>
              </w:rPr>
              <w:t>72</w:t>
            </w:r>
          </w:p>
        </w:tc>
        <w:tc>
          <w:tcPr>
            <w:tcW w:w="1010" w:type="dxa"/>
            <w:vAlign w:val="center"/>
          </w:tcPr>
          <w:p w14:paraId="7351401C">
            <w:pPr>
              <w:pStyle w:val="17"/>
              <w:bidi w:val="0"/>
              <w:jc w:val="center"/>
              <w:rPr>
                <w:color w:val="auto"/>
                <w:highlight w:val="none"/>
              </w:rPr>
            </w:pPr>
            <w:r>
              <w:rPr>
                <w:color w:val="auto"/>
                <w:highlight w:val="none"/>
              </w:rPr>
              <w:t>71</w:t>
            </w:r>
          </w:p>
        </w:tc>
        <w:tc>
          <w:tcPr>
            <w:tcW w:w="943" w:type="dxa"/>
            <w:vAlign w:val="center"/>
          </w:tcPr>
          <w:p w14:paraId="773055C4">
            <w:pPr>
              <w:pStyle w:val="17"/>
              <w:bidi w:val="0"/>
              <w:jc w:val="center"/>
              <w:rPr>
                <w:color w:val="auto"/>
                <w:highlight w:val="none"/>
              </w:rPr>
            </w:pPr>
            <w:r>
              <w:rPr>
                <w:color w:val="auto"/>
                <w:highlight w:val="none"/>
              </w:rPr>
              <w:t>72</w:t>
            </w:r>
          </w:p>
        </w:tc>
        <w:tc>
          <w:tcPr>
            <w:tcW w:w="812" w:type="dxa"/>
            <w:vAlign w:val="center"/>
          </w:tcPr>
          <w:p w14:paraId="5BB0C347">
            <w:pPr>
              <w:pStyle w:val="17"/>
              <w:bidi w:val="0"/>
              <w:jc w:val="center"/>
              <w:rPr>
                <w:color w:val="auto"/>
                <w:highlight w:val="none"/>
              </w:rPr>
            </w:pPr>
            <w:r>
              <w:rPr>
                <w:color w:val="auto"/>
                <w:highlight w:val="none"/>
              </w:rPr>
              <w:t>0.288</w:t>
            </w:r>
          </w:p>
        </w:tc>
        <w:tc>
          <w:tcPr>
            <w:tcW w:w="1025" w:type="dxa"/>
            <w:vAlign w:val="center"/>
          </w:tcPr>
          <w:p w14:paraId="74E53996">
            <w:pPr>
              <w:pStyle w:val="17"/>
              <w:bidi w:val="0"/>
              <w:jc w:val="center"/>
              <w:rPr>
                <w:color w:val="auto"/>
                <w:highlight w:val="none"/>
              </w:rPr>
            </w:pPr>
            <w:r>
              <w:rPr>
                <w:color w:val="auto"/>
                <w:highlight w:val="none"/>
              </w:rPr>
              <w:t>67</w:t>
            </w:r>
          </w:p>
        </w:tc>
        <w:tc>
          <w:tcPr>
            <w:tcW w:w="1025" w:type="dxa"/>
            <w:vAlign w:val="center"/>
          </w:tcPr>
          <w:p w14:paraId="061BD622">
            <w:pPr>
              <w:pStyle w:val="17"/>
              <w:bidi w:val="0"/>
              <w:jc w:val="center"/>
              <w:rPr>
                <w:color w:val="auto"/>
                <w:highlight w:val="none"/>
              </w:rPr>
            </w:pPr>
            <w:r>
              <w:rPr>
                <w:color w:val="auto"/>
                <w:highlight w:val="none"/>
              </w:rPr>
              <w:t>66</w:t>
            </w:r>
          </w:p>
        </w:tc>
        <w:tc>
          <w:tcPr>
            <w:tcW w:w="1025" w:type="dxa"/>
            <w:vAlign w:val="center"/>
          </w:tcPr>
          <w:p w14:paraId="34A66F02">
            <w:pPr>
              <w:pStyle w:val="17"/>
              <w:bidi w:val="0"/>
              <w:jc w:val="center"/>
              <w:rPr>
                <w:color w:val="auto"/>
                <w:highlight w:val="none"/>
              </w:rPr>
            </w:pPr>
            <w:r>
              <w:rPr>
                <w:color w:val="auto"/>
                <w:highlight w:val="none"/>
              </w:rPr>
              <w:t>67</w:t>
            </w:r>
          </w:p>
        </w:tc>
        <w:tc>
          <w:tcPr>
            <w:tcW w:w="812" w:type="dxa"/>
            <w:vAlign w:val="center"/>
          </w:tcPr>
          <w:p w14:paraId="5CD30EEF">
            <w:pPr>
              <w:pStyle w:val="17"/>
              <w:bidi w:val="0"/>
              <w:jc w:val="center"/>
              <w:rPr>
                <w:color w:val="auto"/>
                <w:highlight w:val="none"/>
              </w:rPr>
            </w:pPr>
            <w:r>
              <w:rPr>
                <w:color w:val="auto"/>
                <w:highlight w:val="none"/>
              </w:rPr>
              <w:t>0.268</w:t>
            </w:r>
          </w:p>
        </w:tc>
        <w:tc>
          <w:tcPr>
            <w:tcW w:w="1025" w:type="dxa"/>
            <w:vAlign w:val="center"/>
          </w:tcPr>
          <w:p w14:paraId="6BD82E6E">
            <w:pPr>
              <w:pStyle w:val="17"/>
              <w:bidi w:val="0"/>
              <w:jc w:val="center"/>
              <w:rPr>
                <w:color w:val="auto"/>
                <w:highlight w:val="none"/>
              </w:rPr>
            </w:pPr>
            <w:r>
              <w:rPr>
                <w:color w:val="auto"/>
                <w:highlight w:val="none"/>
              </w:rPr>
              <w:t>74</w:t>
            </w:r>
          </w:p>
        </w:tc>
        <w:tc>
          <w:tcPr>
            <w:tcW w:w="1025" w:type="dxa"/>
            <w:vAlign w:val="center"/>
          </w:tcPr>
          <w:p w14:paraId="6CB095BD">
            <w:pPr>
              <w:pStyle w:val="17"/>
              <w:bidi w:val="0"/>
              <w:jc w:val="center"/>
              <w:rPr>
                <w:color w:val="auto"/>
                <w:highlight w:val="none"/>
              </w:rPr>
            </w:pPr>
            <w:r>
              <w:rPr>
                <w:color w:val="auto"/>
                <w:highlight w:val="none"/>
              </w:rPr>
              <w:t>74</w:t>
            </w:r>
          </w:p>
        </w:tc>
        <w:tc>
          <w:tcPr>
            <w:tcW w:w="1025" w:type="dxa"/>
            <w:vAlign w:val="center"/>
          </w:tcPr>
          <w:p w14:paraId="53B910B5">
            <w:pPr>
              <w:pStyle w:val="17"/>
              <w:bidi w:val="0"/>
              <w:jc w:val="center"/>
              <w:rPr>
                <w:color w:val="auto"/>
                <w:highlight w:val="none"/>
              </w:rPr>
            </w:pPr>
            <w:r>
              <w:rPr>
                <w:color w:val="auto"/>
                <w:highlight w:val="none"/>
              </w:rPr>
              <w:t>75</w:t>
            </w:r>
          </w:p>
        </w:tc>
        <w:tc>
          <w:tcPr>
            <w:tcW w:w="826" w:type="dxa"/>
            <w:vAlign w:val="center"/>
          </w:tcPr>
          <w:p w14:paraId="71D38799">
            <w:pPr>
              <w:pStyle w:val="17"/>
              <w:bidi w:val="0"/>
              <w:jc w:val="center"/>
              <w:rPr>
                <w:color w:val="auto"/>
                <w:highlight w:val="none"/>
              </w:rPr>
            </w:pPr>
            <w:r>
              <w:rPr>
                <w:color w:val="auto"/>
                <w:highlight w:val="none"/>
              </w:rPr>
              <w:t>0.3</w:t>
            </w:r>
          </w:p>
        </w:tc>
      </w:tr>
      <w:tr w14:paraId="1795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61A91990">
            <w:pPr>
              <w:pStyle w:val="17"/>
              <w:bidi w:val="0"/>
              <w:jc w:val="center"/>
              <w:rPr>
                <w:color w:val="auto"/>
                <w:highlight w:val="none"/>
              </w:rPr>
            </w:pPr>
            <w:r>
              <w:rPr>
                <w:color w:val="auto"/>
                <w:highlight w:val="none"/>
              </w:rPr>
              <w:t>石油类</w:t>
            </w:r>
          </w:p>
        </w:tc>
        <w:tc>
          <w:tcPr>
            <w:tcW w:w="699" w:type="dxa"/>
            <w:vAlign w:val="center"/>
          </w:tcPr>
          <w:p w14:paraId="6C84CFB9">
            <w:pPr>
              <w:pStyle w:val="17"/>
              <w:bidi w:val="0"/>
              <w:jc w:val="center"/>
              <w:rPr>
                <w:color w:val="auto"/>
                <w:highlight w:val="none"/>
              </w:rPr>
            </w:pPr>
            <w:r>
              <w:rPr>
                <w:color w:val="auto"/>
                <w:highlight w:val="none"/>
              </w:rPr>
              <w:t>mg/L</w:t>
            </w:r>
          </w:p>
        </w:tc>
        <w:tc>
          <w:tcPr>
            <w:tcW w:w="936" w:type="dxa"/>
            <w:vAlign w:val="center"/>
          </w:tcPr>
          <w:p w14:paraId="7DCAAE1C">
            <w:pPr>
              <w:pStyle w:val="17"/>
              <w:bidi w:val="0"/>
              <w:jc w:val="center"/>
              <w:rPr>
                <w:color w:val="auto"/>
                <w:highlight w:val="none"/>
              </w:rPr>
            </w:pPr>
            <w:r>
              <w:rPr>
                <w:color w:val="auto"/>
                <w:highlight w:val="none"/>
              </w:rPr>
              <w:t>≤0.05</w:t>
            </w:r>
          </w:p>
        </w:tc>
        <w:tc>
          <w:tcPr>
            <w:tcW w:w="973" w:type="dxa"/>
            <w:vAlign w:val="center"/>
          </w:tcPr>
          <w:p w14:paraId="710BABBE">
            <w:pPr>
              <w:pStyle w:val="17"/>
              <w:bidi w:val="0"/>
              <w:jc w:val="center"/>
              <w:rPr>
                <w:color w:val="auto"/>
                <w:highlight w:val="none"/>
              </w:rPr>
            </w:pPr>
            <w:r>
              <w:rPr>
                <w:color w:val="auto"/>
                <w:highlight w:val="none"/>
              </w:rPr>
              <w:t>&lt;0.01</w:t>
            </w:r>
          </w:p>
        </w:tc>
        <w:tc>
          <w:tcPr>
            <w:tcW w:w="1010" w:type="dxa"/>
            <w:vAlign w:val="center"/>
          </w:tcPr>
          <w:p w14:paraId="06AD00B9">
            <w:pPr>
              <w:pStyle w:val="17"/>
              <w:bidi w:val="0"/>
              <w:jc w:val="center"/>
              <w:rPr>
                <w:color w:val="auto"/>
                <w:highlight w:val="none"/>
              </w:rPr>
            </w:pPr>
            <w:r>
              <w:rPr>
                <w:color w:val="auto"/>
                <w:highlight w:val="none"/>
              </w:rPr>
              <w:t>&lt;0.01</w:t>
            </w:r>
          </w:p>
        </w:tc>
        <w:tc>
          <w:tcPr>
            <w:tcW w:w="943" w:type="dxa"/>
            <w:vAlign w:val="center"/>
          </w:tcPr>
          <w:p w14:paraId="7BBDC7DE">
            <w:pPr>
              <w:pStyle w:val="17"/>
              <w:bidi w:val="0"/>
              <w:jc w:val="center"/>
              <w:rPr>
                <w:color w:val="auto"/>
                <w:highlight w:val="none"/>
              </w:rPr>
            </w:pPr>
            <w:r>
              <w:rPr>
                <w:color w:val="auto"/>
                <w:highlight w:val="none"/>
              </w:rPr>
              <w:t>&lt;0.01</w:t>
            </w:r>
          </w:p>
        </w:tc>
        <w:tc>
          <w:tcPr>
            <w:tcW w:w="812" w:type="dxa"/>
            <w:vAlign w:val="center"/>
          </w:tcPr>
          <w:p w14:paraId="24B259A1">
            <w:pPr>
              <w:pStyle w:val="17"/>
              <w:bidi w:val="0"/>
              <w:jc w:val="center"/>
              <w:rPr>
                <w:color w:val="auto"/>
                <w:highlight w:val="none"/>
              </w:rPr>
            </w:pPr>
            <w:r>
              <w:rPr>
                <w:color w:val="auto"/>
                <w:highlight w:val="none"/>
              </w:rPr>
              <w:t>&lt;0.2</w:t>
            </w:r>
          </w:p>
        </w:tc>
        <w:tc>
          <w:tcPr>
            <w:tcW w:w="1025" w:type="dxa"/>
            <w:vAlign w:val="center"/>
          </w:tcPr>
          <w:p w14:paraId="0ED13C2B">
            <w:pPr>
              <w:pStyle w:val="17"/>
              <w:bidi w:val="0"/>
              <w:jc w:val="center"/>
              <w:rPr>
                <w:color w:val="auto"/>
                <w:highlight w:val="none"/>
              </w:rPr>
            </w:pPr>
            <w:r>
              <w:rPr>
                <w:color w:val="auto"/>
                <w:highlight w:val="none"/>
              </w:rPr>
              <w:t>&lt;0.01</w:t>
            </w:r>
          </w:p>
        </w:tc>
        <w:tc>
          <w:tcPr>
            <w:tcW w:w="1025" w:type="dxa"/>
            <w:vAlign w:val="center"/>
          </w:tcPr>
          <w:p w14:paraId="78C88E1C">
            <w:pPr>
              <w:pStyle w:val="17"/>
              <w:bidi w:val="0"/>
              <w:jc w:val="center"/>
              <w:rPr>
                <w:color w:val="auto"/>
                <w:highlight w:val="none"/>
              </w:rPr>
            </w:pPr>
            <w:r>
              <w:rPr>
                <w:color w:val="auto"/>
                <w:highlight w:val="none"/>
              </w:rPr>
              <w:t>&lt;0.01</w:t>
            </w:r>
          </w:p>
        </w:tc>
        <w:tc>
          <w:tcPr>
            <w:tcW w:w="1025" w:type="dxa"/>
            <w:vAlign w:val="center"/>
          </w:tcPr>
          <w:p w14:paraId="0C95AD37">
            <w:pPr>
              <w:pStyle w:val="17"/>
              <w:bidi w:val="0"/>
              <w:jc w:val="center"/>
              <w:rPr>
                <w:color w:val="auto"/>
                <w:highlight w:val="none"/>
              </w:rPr>
            </w:pPr>
            <w:r>
              <w:rPr>
                <w:color w:val="auto"/>
                <w:highlight w:val="none"/>
              </w:rPr>
              <w:t>&lt;0.01</w:t>
            </w:r>
          </w:p>
        </w:tc>
        <w:tc>
          <w:tcPr>
            <w:tcW w:w="812" w:type="dxa"/>
            <w:vAlign w:val="center"/>
          </w:tcPr>
          <w:p w14:paraId="0636093B">
            <w:pPr>
              <w:pStyle w:val="17"/>
              <w:bidi w:val="0"/>
              <w:jc w:val="center"/>
              <w:rPr>
                <w:color w:val="auto"/>
                <w:highlight w:val="none"/>
              </w:rPr>
            </w:pPr>
            <w:r>
              <w:rPr>
                <w:color w:val="auto"/>
                <w:highlight w:val="none"/>
              </w:rPr>
              <w:t>&lt;0.2</w:t>
            </w:r>
          </w:p>
        </w:tc>
        <w:tc>
          <w:tcPr>
            <w:tcW w:w="1025" w:type="dxa"/>
            <w:vAlign w:val="center"/>
          </w:tcPr>
          <w:p w14:paraId="2AC39EEE">
            <w:pPr>
              <w:pStyle w:val="17"/>
              <w:bidi w:val="0"/>
              <w:jc w:val="center"/>
              <w:rPr>
                <w:color w:val="auto"/>
                <w:highlight w:val="none"/>
              </w:rPr>
            </w:pPr>
            <w:r>
              <w:rPr>
                <w:color w:val="auto"/>
                <w:highlight w:val="none"/>
              </w:rPr>
              <w:t>&lt;0.01</w:t>
            </w:r>
          </w:p>
        </w:tc>
        <w:tc>
          <w:tcPr>
            <w:tcW w:w="1025" w:type="dxa"/>
            <w:vAlign w:val="center"/>
          </w:tcPr>
          <w:p w14:paraId="229BF1BA">
            <w:pPr>
              <w:pStyle w:val="17"/>
              <w:bidi w:val="0"/>
              <w:jc w:val="center"/>
              <w:rPr>
                <w:color w:val="auto"/>
                <w:highlight w:val="none"/>
              </w:rPr>
            </w:pPr>
            <w:r>
              <w:rPr>
                <w:color w:val="auto"/>
                <w:highlight w:val="none"/>
              </w:rPr>
              <w:t>&lt;0.01</w:t>
            </w:r>
          </w:p>
        </w:tc>
        <w:tc>
          <w:tcPr>
            <w:tcW w:w="1025" w:type="dxa"/>
            <w:vAlign w:val="center"/>
          </w:tcPr>
          <w:p w14:paraId="1841FF5E">
            <w:pPr>
              <w:pStyle w:val="17"/>
              <w:bidi w:val="0"/>
              <w:jc w:val="center"/>
              <w:rPr>
                <w:color w:val="auto"/>
                <w:highlight w:val="none"/>
              </w:rPr>
            </w:pPr>
            <w:r>
              <w:rPr>
                <w:color w:val="auto"/>
                <w:highlight w:val="none"/>
              </w:rPr>
              <w:t>&lt;0.01</w:t>
            </w:r>
          </w:p>
        </w:tc>
        <w:tc>
          <w:tcPr>
            <w:tcW w:w="826" w:type="dxa"/>
            <w:vAlign w:val="center"/>
          </w:tcPr>
          <w:p w14:paraId="21EFFFCE">
            <w:pPr>
              <w:pStyle w:val="17"/>
              <w:bidi w:val="0"/>
              <w:jc w:val="center"/>
              <w:rPr>
                <w:color w:val="auto"/>
                <w:highlight w:val="none"/>
              </w:rPr>
            </w:pPr>
            <w:r>
              <w:rPr>
                <w:color w:val="auto"/>
                <w:highlight w:val="none"/>
              </w:rPr>
              <w:t>&lt;0.2</w:t>
            </w:r>
          </w:p>
        </w:tc>
      </w:tr>
      <w:tr w14:paraId="2BAE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421AC573">
            <w:pPr>
              <w:pStyle w:val="17"/>
              <w:bidi w:val="0"/>
              <w:jc w:val="center"/>
              <w:rPr>
                <w:color w:val="auto"/>
                <w:highlight w:val="none"/>
              </w:rPr>
            </w:pPr>
            <w:r>
              <w:rPr>
                <w:color w:val="auto"/>
                <w:highlight w:val="none"/>
              </w:rPr>
              <w:t>硫化物</w:t>
            </w:r>
          </w:p>
        </w:tc>
        <w:tc>
          <w:tcPr>
            <w:tcW w:w="699" w:type="dxa"/>
            <w:vAlign w:val="center"/>
          </w:tcPr>
          <w:p w14:paraId="17CD5B4A">
            <w:pPr>
              <w:pStyle w:val="17"/>
              <w:bidi w:val="0"/>
              <w:jc w:val="center"/>
              <w:rPr>
                <w:color w:val="auto"/>
                <w:highlight w:val="none"/>
              </w:rPr>
            </w:pPr>
            <w:r>
              <w:rPr>
                <w:color w:val="auto"/>
                <w:highlight w:val="none"/>
              </w:rPr>
              <w:t>mg/L</w:t>
            </w:r>
          </w:p>
        </w:tc>
        <w:tc>
          <w:tcPr>
            <w:tcW w:w="936" w:type="dxa"/>
            <w:vAlign w:val="center"/>
          </w:tcPr>
          <w:p w14:paraId="6B18C122">
            <w:pPr>
              <w:pStyle w:val="17"/>
              <w:bidi w:val="0"/>
              <w:jc w:val="center"/>
              <w:rPr>
                <w:color w:val="auto"/>
                <w:highlight w:val="none"/>
              </w:rPr>
            </w:pPr>
            <w:r>
              <w:rPr>
                <w:color w:val="auto"/>
                <w:highlight w:val="none"/>
              </w:rPr>
              <w:t>≤0.05</w:t>
            </w:r>
          </w:p>
        </w:tc>
        <w:tc>
          <w:tcPr>
            <w:tcW w:w="973" w:type="dxa"/>
            <w:vAlign w:val="center"/>
          </w:tcPr>
          <w:p w14:paraId="43E23573">
            <w:pPr>
              <w:pStyle w:val="17"/>
              <w:bidi w:val="0"/>
              <w:jc w:val="center"/>
              <w:rPr>
                <w:color w:val="auto"/>
                <w:highlight w:val="none"/>
              </w:rPr>
            </w:pPr>
            <w:r>
              <w:rPr>
                <w:color w:val="auto"/>
                <w:highlight w:val="none"/>
              </w:rPr>
              <w:t>&lt;0.01</w:t>
            </w:r>
          </w:p>
        </w:tc>
        <w:tc>
          <w:tcPr>
            <w:tcW w:w="1010" w:type="dxa"/>
            <w:vAlign w:val="center"/>
          </w:tcPr>
          <w:p w14:paraId="67CED771">
            <w:pPr>
              <w:pStyle w:val="17"/>
              <w:bidi w:val="0"/>
              <w:jc w:val="center"/>
              <w:rPr>
                <w:color w:val="auto"/>
                <w:highlight w:val="none"/>
              </w:rPr>
            </w:pPr>
            <w:r>
              <w:rPr>
                <w:color w:val="auto"/>
                <w:highlight w:val="none"/>
              </w:rPr>
              <w:t>&lt;0.01</w:t>
            </w:r>
          </w:p>
        </w:tc>
        <w:tc>
          <w:tcPr>
            <w:tcW w:w="943" w:type="dxa"/>
            <w:vAlign w:val="center"/>
          </w:tcPr>
          <w:p w14:paraId="440B91E1">
            <w:pPr>
              <w:pStyle w:val="17"/>
              <w:bidi w:val="0"/>
              <w:jc w:val="center"/>
              <w:rPr>
                <w:color w:val="auto"/>
                <w:highlight w:val="none"/>
              </w:rPr>
            </w:pPr>
            <w:r>
              <w:rPr>
                <w:color w:val="auto"/>
                <w:highlight w:val="none"/>
              </w:rPr>
              <w:t>&lt;0.01</w:t>
            </w:r>
          </w:p>
        </w:tc>
        <w:tc>
          <w:tcPr>
            <w:tcW w:w="812" w:type="dxa"/>
            <w:vAlign w:val="center"/>
          </w:tcPr>
          <w:p w14:paraId="2165AF90">
            <w:pPr>
              <w:pStyle w:val="17"/>
              <w:bidi w:val="0"/>
              <w:jc w:val="center"/>
              <w:rPr>
                <w:color w:val="auto"/>
                <w:highlight w:val="none"/>
              </w:rPr>
            </w:pPr>
            <w:r>
              <w:rPr>
                <w:color w:val="auto"/>
                <w:highlight w:val="none"/>
              </w:rPr>
              <w:t>&lt;0.2</w:t>
            </w:r>
          </w:p>
        </w:tc>
        <w:tc>
          <w:tcPr>
            <w:tcW w:w="1025" w:type="dxa"/>
            <w:vAlign w:val="center"/>
          </w:tcPr>
          <w:p w14:paraId="0D8E0E3A">
            <w:pPr>
              <w:pStyle w:val="17"/>
              <w:bidi w:val="0"/>
              <w:jc w:val="center"/>
              <w:rPr>
                <w:color w:val="auto"/>
                <w:highlight w:val="none"/>
              </w:rPr>
            </w:pPr>
            <w:r>
              <w:rPr>
                <w:color w:val="auto"/>
                <w:highlight w:val="none"/>
              </w:rPr>
              <w:t>&lt;0.01</w:t>
            </w:r>
          </w:p>
        </w:tc>
        <w:tc>
          <w:tcPr>
            <w:tcW w:w="1025" w:type="dxa"/>
            <w:vAlign w:val="center"/>
          </w:tcPr>
          <w:p w14:paraId="7F8626B5">
            <w:pPr>
              <w:pStyle w:val="17"/>
              <w:bidi w:val="0"/>
              <w:jc w:val="center"/>
              <w:rPr>
                <w:color w:val="auto"/>
                <w:highlight w:val="none"/>
              </w:rPr>
            </w:pPr>
            <w:r>
              <w:rPr>
                <w:color w:val="auto"/>
                <w:highlight w:val="none"/>
              </w:rPr>
              <w:t>&lt;0.01</w:t>
            </w:r>
          </w:p>
        </w:tc>
        <w:tc>
          <w:tcPr>
            <w:tcW w:w="1025" w:type="dxa"/>
            <w:vAlign w:val="center"/>
          </w:tcPr>
          <w:p w14:paraId="172FD324">
            <w:pPr>
              <w:pStyle w:val="17"/>
              <w:bidi w:val="0"/>
              <w:jc w:val="center"/>
              <w:rPr>
                <w:color w:val="auto"/>
                <w:highlight w:val="none"/>
              </w:rPr>
            </w:pPr>
            <w:r>
              <w:rPr>
                <w:color w:val="auto"/>
                <w:highlight w:val="none"/>
              </w:rPr>
              <w:t>&lt;0.01</w:t>
            </w:r>
          </w:p>
        </w:tc>
        <w:tc>
          <w:tcPr>
            <w:tcW w:w="812" w:type="dxa"/>
            <w:vAlign w:val="center"/>
          </w:tcPr>
          <w:p w14:paraId="6D19F907">
            <w:pPr>
              <w:pStyle w:val="17"/>
              <w:bidi w:val="0"/>
              <w:jc w:val="center"/>
              <w:rPr>
                <w:color w:val="auto"/>
                <w:highlight w:val="none"/>
              </w:rPr>
            </w:pPr>
            <w:r>
              <w:rPr>
                <w:color w:val="auto"/>
                <w:highlight w:val="none"/>
              </w:rPr>
              <w:t>&lt;0.2</w:t>
            </w:r>
          </w:p>
        </w:tc>
        <w:tc>
          <w:tcPr>
            <w:tcW w:w="1025" w:type="dxa"/>
            <w:vAlign w:val="center"/>
          </w:tcPr>
          <w:p w14:paraId="741697F4">
            <w:pPr>
              <w:pStyle w:val="17"/>
              <w:bidi w:val="0"/>
              <w:jc w:val="center"/>
              <w:rPr>
                <w:color w:val="auto"/>
                <w:highlight w:val="none"/>
              </w:rPr>
            </w:pPr>
            <w:r>
              <w:rPr>
                <w:color w:val="auto"/>
                <w:highlight w:val="none"/>
              </w:rPr>
              <w:t>&lt;0.01</w:t>
            </w:r>
          </w:p>
        </w:tc>
        <w:tc>
          <w:tcPr>
            <w:tcW w:w="1025" w:type="dxa"/>
            <w:vAlign w:val="center"/>
          </w:tcPr>
          <w:p w14:paraId="177DA02D">
            <w:pPr>
              <w:pStyle w:val="17"/>
              <w:bidi w:val="0"/>
              <w:jc w:val="center"/>
              <w:rPr>
                <w:color w:val="auto"/>
                <w:highlight w:val="none"/>
              </w:rPr>
            </w:pPr>
            <w:r>
              <w:rPr>
                <w:color w:val="auto"/>
                <w:highlight w:val="none"/>
              </w:rPr>
              <w:t>&lt;0.01</w:t>
            </w:r>
          </w:p>
        </w:tc>
        <w:tc>
          <w:tcPr>
            <w:tcW w:w="1025" w:type="dxa"/>
            <w:vAlign w:val="center"/>
          </w:tcPr>
          <w:p w14:paraId="1DB54D1F">
            <w:pPr>
              <w:pStyle w:val="17"/>
              <w:bidi w:val="0"/>
              <w:jc w:val="center"/>
              <w:rPr>
                <w:color w:val="auto"/>
                <w:highlight w:val="none"/>
              </w:rPr>
            </w:pPr>
            <w:r>
              <w:rPr>
                <w:color w:val="auto"/>
                <w:highlight w:val="none"/>
              </w:rPr>
              <w:t>&lt;0.01</w:t>
            </w:r>
          </w:p>
        </w:tc>
        <w:tc>
          <w:tcPr>
            <w:tcW w:w="826" w:type="dxa"/>
            <w:vAlign w:val="center"/>
          </w:tcPr>
          <w:p w14:paraId="5CFA417D">
            <w:pPr>
              <w:pStyle w:val="17"/>
              <w:bidi w:val="0"/>
              <w:jc w:val="center"/>
              <w:rPr>
                <w:color w:val="auto"/>
                <w:highlight w:val="none"/>
              </w:rPr>
            </w:pPr>
            <w:r>
              <w:rPr>
                <w:color w:val="auto"/>
                <w:highlight w:val="none"/>
              </w:rPr>
              <w:t>&lt;0.2</w:t>
            </w:r>
          </w:p>
        </w:tc>
      </w:tr>
      <w:tr w14:paraId="6F93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73EB0427">
            <w:pPr>
              <w:pStyle w:val="17"/>
              <w:bidi w:val="0"/>
              <w:jc w:val="center"/>
              <w:rPr>
                <w:color w:val="auto"/>
                <w:highlight w:val="none"/>
              </w:rPr>
            </w:pPr>
            <w:r>
              <w:rPr>
                <w:color w:val="auto"/>
                <w:highlight w:val="none"/>
              </w:rPr>
              <w:t>高锰酸盐指数</w:t>
            </w:r>
          </w:p>
        </w:tc>
        <w:tc>
          <w:tcPr>
            <w:tcW w:w="699" w:type="dxa"/>
            <w:vAlign w:val="center"/>
          </w:tcPr>
          <w:p w14:paraId="07A562AC">
            <w:pPr>
              <w:pStyle w:val="17"/>
              <w:bidi w:val="0"/>
              <w:jc w:val="center"/>
              <w:rPr>
                <w:color w:val="auto"/>
                <w:highlight w:val="none"/>
              </w:rPr>
            </w:pPr>
            <w:r>
              <w:rPr>
                <w:color w:val="auto"/>
                <w:highlight w:val="none"/>
              </w:rPr>
              <w:t>mg/L</w:t>
            </w:r>
          </w:p>
        </w:tc>
        <w:tc>
          <w:tcPr>
            <w:tcW w:w="936" w:type="dxa"/>
            <w:vAlign w:val="center"/>
          </w:tcPr>
          <w:p w14:paraId="7A27754B">
            <w:pPr>
              <w:pStyle w:val="17"/>
              <w:bidi w:val="0"/>
              <w:jc w:val="center"/>
              <w:rPr>
                <w:color w:val="auto"/>
                <w:highlight w:val="none"/>
              </w:rPr>
            </w:pPr>
            <w:r>
              <w:rPr>
                <w:color w:val="auto"/>
                <w:highlight w:val="none"/>
              </w:rPr>
              <w:t>≤2</w:t>
            </w:r>
          </w:p>
        </w:tc>
        <w:tc>
          <w:tcPr>
            <w:tcW w:w="973" w:type="dxa"/>
            <w:vAlign w:val="center"/>
          </w:tcPr>
          <w:p w14:paraId="355FD2BE">
            <w:pPr>
              <w:pStyle w:val="17"/>
              <w:bidi w:val="0"/>
              <w:jc w:val="center"/>
              <w:rPr>
                <w:color w:val="auto"/>
                <w:highlight w:val="none"/>
              </w:rPr>
            </w:pPr>
            <w:r>
              <w:rPr>
                <w:color w:val="auto"/>
                <w:highlight w:val="none"/>
              </w:rPr>
              <w:t>1.9</w:t>
            </w:r>
          </w:p>
        </w:tc>
        <w:tc>
          <w:tcPr>
            <w:tcW w:w="1010" w:type="dxa"/>
            <w:vAlign w:val="center"/>
          </w:tcPr>
          <w:p w14:paraId="04CED668">
            <w:pPr>
              <w:pStyle w:val="17"/>
              <w:bidi w:val="0"/>
              <w:jc w:val="center"/>
              <w:rPr>
                <w:color w:val="auto"/>
                <w:highlight w:val="none"/>
              </w:rPr>
            </w:pPr>
            <w:r>
              <w:rPr>
                <w:color w:val="auto"/>
                <w:highlight w:val="none"/>
              </w:rPr>
              <w:t>1.9</w:t>
            </w:r>
          </w:p>
        </w:tc>
        <w:tc>
          <w:tcPr>
            <w:tcW w:w="943" w:type="dxa"/>
            <w:vAlign w:val="center"/>
          </w:tcPr>
          <w:p w14:paraId="4BC9FC07">
            <w:pPr>
              <w:pStyle w:val="17"/>
              <w:bidi w:val="0"/>
              <w:jc w:val="center"/>
              <w:rPr>
                <w:color w:val="auto"/>
                <w:highlight w:val="none"/>
              </w:rPr>
            </w:pPr>
            <w:r>
              <w:rPr>
                <w:color w:val="auto"/>
                <w:highlight w:val="none"/>
              </w:rPr>
              <w:t>1.9</w:t>
            </w:r>
          </w:p>
        </w:tc>
        <w:tc>
          <w:tcPr>
            <w:tcW w:w="812" w:type="dxa"/>
            <w:vAlign w:val="center"/>
          </w:tcPr>
          <w:p w14:paraId="53546BB0">
            <w:pPr>
              <w:pStyle w:val="17"/>
              <w:bidi w:val="0"/>
              <w:jc w:val="center"/>
              <w:rPr>
                <w:color w:val="auto"/>
                <w:highlight w:val="none"/>
              </w:rPr>
            </w:pPr>
            <w:r>
              <w:rPr>
                <w:color w:val="auto"/>
                <w:highlight w:val="none"/>
              </w:rPr>
              <w:t>0.95</w:t>
            </w:r>
          </w:p>
        </w:tc>
        <w:tc>
          <w:tcPr>
            <w:tcW w:w="1025" w:type="dxa"/>
            <w:vAlign w:val="center"/>
          </w:tcPr>
          <w:p w14:paraId="6B35133F">
            <w:pPr>
              <w:pStyle w:val="17"/>
              <w:bidi w:val="0"/>
              <w:jc w:val="center"/>
              <w:rPr>
                <w:color w:val="auto"/>
                <w:highlight w:val="none"/>
              </w:rPr>
            </w:pPr>
            <w:r>
              <w:rPr>
                <w:color w:val="auto"/>
                <w:highlight w:val="none"/>
              </w:rPr>
              <w:t>1.8</w:t>
            </w:r>
          </w:p>
        </w:tc>
        <w:tc>
          <w:tcPr>
            <w:tcW w:w="1025" w:type="dxa"/>
            <w:vAlign w:val="center"/>
          </w:tcPr>
          <w:p w14:paraId="7DC9C7CA">
            <w:pPr>
              <w:pStyle w:val="17"/>
              <w:bidi w:val="0"/>
              <w:jc w:val="center"/>
              <w:rPr>
                <w:color w:val="auto"/>
                <w:highlight w:val="none"/>
              </w:rPr>
            </w:pPr>
            <w:r>
              <w:rPr>
                <w:color w:val="auto"/>
                <w:highlight w:val="none"/>
              </w:rPr>
              <w:t>1.8</w:t>
            </w:r>
          </w:p>
        </w:tc>
        <w:tc>
          <w:tcPr>
            <w:tcW w:w="1025" w:type="dxa"/>
            <w:vAlign w:val="center"/>
          </w:tcPr>
          <w:p w14:paraId="3076C130">
            <w:pPr>
              <w:pStyle w:val="17"/>
              <w:bidi w:val="0"/>
              <w:jc w:val="center"/>
              <w:rPr>
                <w:color w:val="auto"/>
                <w:highlight w:val="none"/>
              </w:rPr>
            </w:pPr>
            <w:r>
              <w:rPr>
                <w:color w:val="auto"/>
                <w:highlight w:val="none"/>
              </w:rPr>
              <w:t>1.7</w:t>
            </w:r>
          </w:p>
        </w:tc>
        <w:tc>
          <w:tcPr>
            <w:tcW w:w="812" w:type="dxa"/>
            <w:vAlign w:val="center"/>
          </w:tcPr>
          <w:p w14:paraId="5E004A69">
            <w:pPr>
              <w:pStyle w:val="17"/>
              <w:bidi w:val="0"/>
              <w:jc w:val="center"/>
              <w:rPr>
                <w:color w:val="auto"/>
                <w:highlight w:val="none"/>
              </w:rPr>
            </w:pPr>
            <w:r>
              <w:rPr>
                <w:color w:val="auto"/>
                <w:highlight w:val="none"/>
              </w:rPr>
              <w:t>0.9</w:t>
            </w:r>
          </w:p>
        </w:tc>
        <w:tc>
          <w:tcPr>
            <w:tcW w:w="1025" w:type="dxa"/>
            <w:vAlign w:val="center"/>
          </w:tcPr>
          <w:p w14:paraId="01E20BA8">
            <w:pPr>
              <w:pStyle w:val="17"/>
              <w:bidi w:val="0"/>
              <w:jc w:val="center"/>
              <w:rPr>
                <w:color w:val="auto"/>
                <w:highlight w:val="none"/>
              </w:rPr>
            </w:pPr>
            <w:r>
              <w:rPr>
                <w:color w:val="auto"/>
                <w:highlight w:val="none"/>
              </w:rPr>
              <w:t>1.6</w:t>
            </w:r>
          </w:p>
        </w:tc>
        <w:tc>
          <w:tcPr>
            <w:tcW w:w="1025" w:type="dxa"/>
            <w:vAlign w:val="center"/>
          </w:tcPr>
          <w:p w14:paraId="28A4B062">
            <w:pPr>
              <w:pStyle w:val="17"/>
              <w:bidi w:val="0"/>
              <w:jc w:val="center"/>
              <w:rPr>
                <w:color w:val="auto"/>
                <w:highlight w:val="none"/>
              </w:rPr>
            </w:pPr>
            <w:r>
              <w:rPr>
                <w:color w:val="auto"/>
                <w:highlight w:val="none"/>
              </w:rPr>
              <w:t>1.7</w:t>
            </w:r>
          </w:p>
        </w:tc>
        <w:tc>
          <w:tcPr>
            <w:tcW w:w="1025" w:type="dxa"/>
            <w:vAlign w:val="center"/>
          </w:tcPr>
          <w:p w14:paraId="5FDFB6DA">
            <w:pPr>
              <w:pStyle w:val="17"/>
              <w:bidi w:val="0"/>
              <w:jc w:val="center"/>
              <w:rPr>
                <w:color w:val="auto"/>
                <w:highlight w:val="none"/>
              </w:rPr>
            </w:pPr>
            <w:r>
              <w:rPr>
                <w:color w:val="auto"/>
                <w:highlight w:val="none"/>
              </w:rPr>
              <w:t>1.6</w:t>
            </w:r>
          </w:p>
        </w:tc>
        <w:tc>
          <w:tcPr>
            <w:tcW w:w="826" w:type="dxa"/>
            <w:vAlign w:val="center"/>
          </w:tcPr>
          <w:p w14:paraId="6CB49838">
            <w:pPr>
              <w:pStyle w:val="17"/>
              <w:bidi w:val="0"/>
              <w:jc w:val="center"/>
              <w:rPr>
                <w:color w:val="auto"/>
                <w:highlight w:val="none"/>
              </w:rPr>
            </w:pPr>
            <w:r>
              <w:rPr>
                <w:color w:val="auto"/>
                <w:highlight w:val="none"/>
              </w:rPr>
              <w:t>0.85</w:t>
            </w:r>
          </w:p>
        </w:tc>
      </w:tr>
      <w:tr w14:paraId="22F9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675E523B">
            <w:pPr>
              <w:pStyle w:val="17"/>
              <w:bidi w:val="0"/>
              <w:jc w:val="center"/>
              <w:rPr>
                <w:color w:val="auto"/>
                <w:highlight w:val="none"/>
              </w:rPr>
            </w:pPr>
            <w:r>
              <w:rPr>
                <w:color w:val="auto"/>
                <w:highlight w:val="none"/>
              </w:rPr>
              <w:t>化学需氧量</w:t>
            </w:r>
          </w:p>
        </w:tc>
        <w:tc>
          <w:tcPr>
            <w:tcW w:w="699" w:type="dxa"/>
            <w:vAlign w:val="center"/>
          </w:tcPr>
          <w:p w14:paraId="68E32DAC">
            <w:pPr>
              <w:pStyle w:val="17"/>
              <w:bidi w:val="0"/>
              <w:jc w:val="center"/>
              <w:rPr>
                <w:color w:val="auto"/>
                <w:highlight w:val="none"/>
              </w:rPr>
            </w:pPr>
            <w:r>
              <w:rPr>
                <w:color w:val="auto"/>
                <w:highlight w:val="none"/>
              </w:rPr>
              <w:t>mg/L</w:t>
            </w:r>
          </w:p>
        </w:tc>
        <w:tc>
          <w:tcPr>
            <w:tcW w:w="936" w:type="dxa"/>
            <w:vAlign w:val="center"/>
          </w:tcPr>
          <w:p w14:paraId="0C74A520">
            <w:pPr>
              <w:pStyle w:val="17"/>
              <w:bidi w:val="0"/>
              <w:jc w:val="center"/>
              <w:rPr>
                <w:color w:val="auto"/>
                <w:highlight w:val="none"/>
              </w:rPr>
            </w:pPr>
            <w:r>
              <w:rPr>
                <w:color w:val="auto"/>
                <w:highlight w:val="none"/>
              </w:rPr>
              <w:t>≤15</w:t>
            </w:r>
          </w:p>
        </w:tc>
        <w:tc>
          <w:tcPr>
            <w:tcW w:w="973" w:type="dxa"/>
            <w:vAlign w:val="center"/>
          </w:tcPr>
          <w:p w14:paraId="1FDFF6FB">
            <w:pPr>
              <w:pStyle w:val="17"/>
              <w:bidi w:val="0"/>
              <w:jc w:val="center"/>
              <w:rPr>
                <w:color w:val="auto"/>
                <w:highlight w:val="none"/>
              </w:rPr>
            </w:pPr>
            <w:r>
              <w:rPr>
                <w:color w:val="auto"/>
                <w:highlight w:val="none"/>
              </w:rPr>
              <w:t>10</w:t>
            </w:r>
          </w:p>
        </w:tc>
        <w:tc>
          <w:tcPr>
            <w:tcW w:w="1010" w:type="dxa"/>
            <w:vAlign w:val="center"/>
          </w:tcPr>
          <w:p w14:paraId="6A331AD1">
            <w:pPr>
              <w:pStyle w:val="17"/>
              <w:bidi w:val="0"/>
              <w:jc w:val="center"/>
              <w:rPr>
                <w:color w:val="auto"/>
                <w:highlight w:val="none"/>
              </w:rPr>
            </w:pPr>
            <w:r>
              <w:rPr>
                <w:color w:val="auto"/>
                <w:highlight w:val="none"/>
              </w:rPr>
              <w:t>9</w:t>
            </w:r>
          </w:p>
        </w:tc>
        <w:tc>
          <w:tcPr>
            <w:tcW w:w="943" w:type="dxa"/>
            <w:vAlign w:val="center"/>
          </w:tcPr>
          <w:p w14:paraId="3332205E">
            <w:pPr>
              <w:pStyle w:val="17"/>
              <w:bidi w:val="0"/>
              <w:jc w:val="center"/>
              <w:rPr>
                <w:color w:val="auto"/>
                <w:highlight w:val="none"/>
              </w:rPr>
            </w:pPr>
            <w:r>
              <w:rPr>
                <w:color w:val="auto"/>
                <w:highlight w:val="none"/>
              </w:rPr>
              <w:t>9</w:t>
            </w:r>
          </w:p>
        </w:tc>
        <w:tc>
          <w:tcPr>
            <w:tcW w:w="812" w:type="dxa"/>
            <w:vAlign w:val="center"/>
          </w:tcPr>
          <w:p w14:paraId="7FF42198">
            <w:pPr>
              <w:pStyle w:val="17"/>
              <w:bidi w:val="0"/>
              <w:jc w:val="center"/>
              <w:rPr>
                <w:color w:val="auto"/>
                <w:highlight w:val="none"/>
              </w:rPr>
            </w:pPr>
            <w:r>
              <w:rPr>
                <w:color w:val="auto"/>
                <w:highlight w:val="none"/>
              </w:rPr>
              <w:t>0.67</w:t>
            </w:r>
          </w:p>
        </w:tc>
        <w:tc>
          <w:tcPr>
            <w:tcW w:w="1025" w:type="dxa"/>
            <w:vAlign w:val="center"/>
          </w:tcPr>
          <w:p w14:paraId="0C586694">
            <w:pPr>
              <w:pStyle w:val="17"/>
              <w:bidi w:val="0"/>
              <w:jc w:val="center"/>
              <w:rPr>
                <w:color w:val="auto"/>
                <w:highlight w:val="none"/>
              </w:rPr>
            </w:pPr>
            <w:r>
              <w:rPr>
                <w:color w:val="auto"/>
                <w:highlight w:val="none"/>
              </w:rPr>
              <w:t>7</w:t>
            </w:r>
          </w:p>
        </w:tc>
        <w:tc>
          <w:tcPr>
            <w:tcW w:w="1025" w:type="dxa"/>
            <w:vAlign w:val="center"/>
          </w:tcPr>
          <w:p w14:paraId="29244726">
            <w:pPr>
              <w:pStyle w:val="17"/>
              <w:bidi w:val="0"/>
              <w:jc w:val="center"/>
              <w:rPr>
                <w:color w:val="auto"/>
                <w:highlight w:val="none"/>
              </w:rPr>
            </w:pPr>
            <w:r>
              <w:rPr>
                <w:color w:val="auto"/>
                <w:highlight w:val="none"/>
              </w:rPr>
              <w:t>8</w:t>
            </w:r>
          </w:p>
        </w:tc>
        <w:tc>
          <w:tcPr>
            <w:tcW w:w="1025" w:type="dxa"/>
            <w:vAlign w:val="center"/>
          </w:tcPr>
          <w:p w14:paraId="14845B36">
            <w:pPr>
              <w:pStyle w:val="17"/>
              <w:bidi w:val="0"/>
              <w:jc w:val="center"/>
              <w:rPr>
                <w:color w:val="auto"/>
                <w:highlight w:val="none"/>
              </w:rPr>
            </w:pPr>
            <w:r>
              <w:rPr>
                <w:color w:val="auto"/>
                <w:highlight w:val="none"/>
              </w:rPr>
              <w:t>7</w:t>
            </w:r>
          </w:p>
        </w:tc>
        <w:tc>
          <w:tcPr>
            <w:tcW w:w="812" w:type="dxa"/>
            <w:vAlign w:val="center"/>
          </w:tcPr>
          <w:p w14:paraId="6986D121">
            <w:pPr>
              <w:pStyle w:val="17"/>
              <w:bidi w:val="0"/>
              <w:jc w:val="center"/>
              <w:rPr>
                <w:color w:val="auto"/>
                <w:highlight w:val="none"/>
              </w:rPr>
            </w:pPr>
            <w:r>
              <w:rPr>
                <w:color w:val="auto"/>
                <w:highlight w:val="none"/>
              </w:rPr>
              <w:t>0.53</w:t>
            </w:r>
          </w:p>
        </w:tc>
        <w:tc>
          <w:tcPr>
            <w:tcW w:w="1025" w:type="dxa"/>
            <w:vAlign w:val="center"/>
          </w:tcPr>
          <w:p w14:paraId="36881C68">
            <w:pPr>
              <w:pStyle w:val="17"/>
              <w:bidi w:val="0"/>
              <w:jc w:val="center"/>
              <w:rPr>
                <w:color w:val="auto"/>
                <w:highlight w:val="none"/>
              </w:rPr>
            </w:pPr>
            <w:r>
              <w:rPr>
                <w:color w:val="auto"/>
                <w:highlight w:val="none"/>
              </w:rPr>
              <w:t>6</w:t>
            </w:r>
          </w:p>
        </w:tc>
        <w:tc>
          <w:tcPr>
            <w:tcW w:w="1025" w:type="dxa"/>
            <w:vAlign w:val="center"/>
          </w:tcPr>
          <w:p w14:paraId="3D366154">
            <w:pPr>
              <w:pStyle w:val="17"/>
              <w:bidi w:val="0"/>
              <w:jc w:val="center"/>
              <w:rPr>
                <w:color w:val="auto"/>
                <w:highlight w:val="none"/>
              </w:rPr>
            </w:pPr>
            <w:r>
              <w:rPr>
                <w:color w:val="auto"/>
                <w:highlight w:val="none"/>
              </w:rPr>
              <w:t>7</w:t>
            </w:r>
          </w:p>
        </w:tc>
        <w:tc>
          <w:tcPr>
            <w:tcW w:w="1025" w:type="dxa"/>
            <w:vAlign w:val="center"/>
          </w:tcPr>
          <w:p w14:paraId="094EF734">
            <w:pPr>
              <w:pStyle w:val="17"/>
              <w:bidi w:val="0"/>
              <w:jc w:val="center"/>
              <w:rPr>
                <w:color w:val="auto"/>
                <w:highlight w:val="none"/>
              </w:rPr>
            </w:pPr>
            <w:r>
              <w:rPr>
                <w:color w:val="auto"/>
                <w:highlight w:val="none"/>
              </w:rPr>
              <w:t>6</w:t>
            </w:r>
          </w:p>
        </w:tc>
        <w:tc>
          <w:tcPr>
            <w:tcW w:w="826" w:type="dxa"/>
            <w:vAlign w:val="center"/>
          </w:tcPr>
          <w:p w14:paraId="2712452C">
            <w:pPr>
              <w:pStyle w:val="17"/>
              <w:bidi w:val="0"/>
              <w:jc w:val="center"/>
              <w:rPr>
                <w:color w:val="auto"/>
                <w:highlight w:val="none"/>
              </w:rPr>
            </w:pPr>
            <w:r>
              <w:rPr>
                <w:color w:val="auto"/>
                <w:highlight w:val="none"/>
              </w:rPr>
              <w:t>0.47</w:t>
            </w:r>
          </w:p>
        </w:tc>
      </w:tr>
      <w:tr w14:paraId="34C1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681BB5A0">
            <w:pPr>
              <w:pStyle w:val="17"/>
              <w:bidi w:val="0"/>
              <w:jc w:val="center"/>
              <w:rPr>
                <w:color w:val="auto"/>
                <w:highlight w:val="none"/>
              </w:rPr>
            </w:pPr>
            <w:r>
              <w:rPr>
                <w:color w:val="auto"/>
                <w:highlight w:val="none"/>
              </w:rPr>
              <w:t>五日生化需氧量</w:t>
            </w:r>
          </w:p>
        </w:tc>
        <w:tc>
          <w:tcPr>
            <w:tcW w:w="699" w:type="dxa"/>
            <w:vAlign w:val="center"/>
          </w:tcPr>
          <w:p w14:paraId="3D62B0B5">
            <w:pPr>
              <w:pStyle w:val="17"/>
              <w:bidi w:val="0"/>
              <w:jc w:val="center"/>
              <w:rPr>
                <w:color w:val="auto"/>
                <w:highlight w:val="none"/>
              </w:rPr>
            </w:pPr>
            <w:r>
              <w:rPr>
                <w:color w:val="auto"/>
                <w:highlight w:val="none"/>
              </w:rPr>
              <w:t>mg/L</w:t>
            </w:r>
          </w:p>
        </w:tc>
        <w:tc>
          <w:tcPr>
            <w:tcW w:w="936" w:type="dxa"/>
            <w:vAlign w:val="center"/>
          </w:tcPr>
          <w:p w14:paraId="69CCB308">
            <w:pPr>
              <w:pStyle w:val="17"/>
              <w:bidi w:val="0"/>
              <w:jc w:val="center"/>
              <w:rPr>
                <w:color w:val="auto"/>
                <w:highlight w:val="none"/>
              </w:rPr>
            </w:pPr>
            <w:r>
              <w:rPr>
                <w:color w:val="auto"/>
                <w:highlight w:val="none"/>
              </w:rPr>
              <w:t>≤3</w:t>
            </w:r>
          </w:p>
        </w:tc>
        <w:tc>
          <w:tcPr>
            <w:tcW w:w="973" w:type="dxa"/>
            <w:vAlign w:val="center"/>
          </w:tcPr>
          <w:p w14:paraId="0358E6BB">
            <w:pPr>
              <w:pStyle w:val="17"/>
              <w:bidi w:val="0"/>
              <w:jc w:val="center"/>
              <w:rPr>
                <w:color w:val="auto"/>
                <w:highlight w:val="none"/>
              </w:rPr>
            </w:pPr>
            <w:r>
              <w:rPr>
                <w:color w:val="auto"/>
                <w:highlight w:val="none"/>
              </w:rPr>
              <w:t>2.2</w:t>
            </w:r>
          </w:p>
        </w:tc>
        <w:tc>
          <w:tcPr>
            <w:tcW w:w="1010" w:type="dxa"/>
            <w:vAlign w:val="center"/>
          </w:tcPr>
          <w:p w14:paraId="07BACF53">
            <w:pPr>
              <w:pStyle w:val="17"/>
              <w:bidi w:val="0"/>
              <w:jc w:val="center"/>
              <w:rPr>
                <w:color w:val="auto"/>
                <w:highlight w:val="none"/>
              </w:rPr>
            </w:pPr>
            <w:r>
              <w:rPr>
                <w:color w:val="auto"/>
                <w:highlight w:val="none"/>
              </w:rPr>
              <w:t>2.2</w:t>
            </w:r>
          </w:p>
        </w:tc>
        <w:tc>
          <w:tcPr>
            <w:tcW w:w="943" w:type="dxa"/>
            <w:vAlign w:val="center"/>
          </w:tcPr>
          <w:p w14:paraId="218A02AB">
            <w:pPr>
              <w:pStyle w:val="17"/>
              <w:bidi w:val="0"/>
              <w:jc w:val="center"/>
              <w:rPr>
                <w:color w:val="auto"/>
                <w:highlight w:val="none"/>
              </w:rPr>
            </w:pPr>
            <w:r>
              <w:rPr>
                <w:color w:val="auto"/>
                <w:highlight w:val="none"/>
              </w:rPr>
              <w:t>2.2</w:t>
            </w:r>
          </w:p>
        </w:tc>
        <w:tc>
          <w:tcPr>
            <w:tcW w:w="812" w:type="dxa"/>
            <w:vAlign w:val="center"/>
          </w:tcPr>
          <w:p w14:paraId="7262793D">
            <w:pPr>
              <w:pStyle w:val="17"/>
              <w:bidi w:val="0"/>
              <w:jc w:val="center"/>
              <w:rPr>
                <w:color w:val="auto"/>
                <w:highlight w:val="none"/>
              </w:rPr>
            </w:pPr>
            <w:r>
              <w:rPr>
                <w:color w:val="auto"/>
                <w:highlight w:val="none"/>
              </w:rPr>
              <w:t>0.73</w:t>
            </w:r>
          </w:p>
        </w:tc>
        <w:tc>
          <w:tcPr>
            <w:tcW w:w="1025" w:type="dxa"/>
            <w:vAlign w:val="center"/>
          </w:tcPr>
          <w:p w14:paraId="4B9729BF">
            <w:pPr>
              <w:pStyle w:val="17"/>
              <w:bidi w:val="0"/>
              <w:jc w:val="center"/>
              <w:rPr>
                <w:color w:val="auto"/>
                <w:highlight w:val="none"/>
              </w:rPr>
            </w:pPr>
            <w:r>
              <w:rPr>
                <w:color w:val="auto"/>
                <w:highlight w:val="none"/>
              </w:rPr>
              <w:t>1.6</w:t>
            </w:r>
          </w:p>
        </w:tc>
        <w:tc>
          <w:tcPr>
            <w:tcW w:w="1025" w:type="dxa"/>
            <w:vAlign w:val="center"/>
          </w:tcPr>
          <w:p w14:paraId="05DFFA5E">
            <w:pPr>
              <w:pStyle w:val="17"/>
              <w:bidi w:val="0"/>
              <w:jc w:val="center"/>
              <w:rPr>
                <w:color w:val="auto"/>
                <w:highlight w:val="none"/>
              </w:rPr>
            </w:pPr>
            <w:r>
              <w:rPr>
                <w:color w:val="auto"/>
                <w:highlight w:val="none"/>
              </w:rPr>
              <w:t>1.6</w:t>
            </w:r>
          </w:p>
        </w:tc>
        <w:tc>
          <w:tcPr>
            <w:tcW w:w="1025" w:type="dxa"/>
            <w:vAlign w:val="center"/>
          </w:tcPr>
          <w:p w14:paraId="166AC339">
            <w:pPr>
              <w:pStyle w:val="17"/>
              <w:bidi w:val="0"/>
              <w:jc w:val="center"/>
              <w:rPr>
                <w:color w:val="auto"/>
                <w:highlight w:val="none"/>
              </w:rPr>
            </w:pPr>
            <w:r>
              <w:rPr>
                <w:color w:val="auto"/>
                <w:highlight w:val="none"/>
              </w:rPr>
              <w:t>1.6</w:t>
            </w:r>
          </w:p>
        </w:tc>
        <w:tc>
          <w:tcPr>
            <w:tcW w:w="812" w:type="dxa"/>
            <w:vAlign w:val="center"/>
          </w:tcPr>
          <w:p w14:paraId="666AE5EB">
            <w:pPr>
              <w:pStyle w:val="17"/>
              <w:bidi w:val="0"/>
              <w:jc w:val="center"/>
              <w:rPr>
                <w:color w:val="auto"/>
                <w:highlight w:val="none"/>
              </w:rPr>
            </w:pPr>
            <w:r>
              <w:rPr>
                <w:color w:val="auto"/>
                <w:highlight w:val="none"/>
              </w:rPr>
              <w:t>0.53</w:t>
            </w:r>
          </w:p>
        </w:tc>
        <w:tc>
          <w:tcPr>
            <w:tcW w:w="1025" w:type="dxa"/>
            <w:vAlign w:val="center"/>
          </w:tcPr>
          <w:p w14:paraId="22943F30">
            <w:pPr>
              <w:pStyle w:val="17"/>
              <w:bidi w:val="0"/>
              <w:jc w:val="center"/>
              <w:rPr>
                <w:color w:val="auto"/>
                <w:highlight w:val="none"/>
              </w:rPr>
            </w:pPr>
            <w:r>
              <w:rPr>
                <w:color w:val="auto"/>
                <w:highlight w:val="none"/>
              </w:rPr>
              <w:t>1.3</w:t>
            </w:r>
          </w:p>
        </w:tc>
        <w:tc>
          <w:tcPr>
            <w:tcW w:w="1025" w:type="dxa"/>
            <w:vAlign w:val="center"/>
          </w:tcPr>
          <w:p w14:paraId="6F35CDCA">
            <w:pPr>
              <w:pStyle w:val="17"/>
              <w:bidi w:val="0"/>
              <w:jc w:val="center"/>
              <w:rPr>
                <w:color w:val="auto"/>
                <w:highlight w:val="none"/>
              </w:rPr>
            </w:pPr>
            <w:r>
              <w:rPr>
                <w:color w:val="auto"/>
                <w:highlight w:val="none"/>
              </w:rPr>
              <w:t>1.4</w:t>
            </w:r>
          </w:p>
        </w:tc>
        <w:tc>
          <w:tcPr>
            <w:tcW w:w="1025" w:type="dxa"/>
            <w:vAlign w:val="center"/>
          </w:tcPr>
          <w:p w14:paraId="447EC680">
            <w:pPr>
              <w:pStyle w:val="17"/>
              <w:bidi w:val="0"/>
              <w:jc w:val="center"/>
              <w:rPr>
                <w:color w:val="auto"/>
                <w:highlight w:val="none"/>
              </w:rPr>
            </w:pPr>
            <w:r>
              <w:rPr>
                <w:color w:val="auto"/>
                <w:highlight w:val="none"/>
              </w:rPr>
              <w:t>1.4</w:t>
            </w:r>
          </w:p>
        </w:tc>
        <w:tc>
          <w:tcPr>
            <w:tcW w:w="826" w:type="dxa"/>
            <w:vAlign w:val="center"/>
          </w:tcPr>
          <w:p w14:paraId="6498CBDA">
            <w:pPr>
              <w:pStyle w:val="17"/>
              <w:bidi w:val="0"/>
              <w:jc w:val="center"/>
              <w:rPr>
                <w:color w:val="auto"/>
                <w:highlight w:val="none"/>
              </w:rPr>
            </w:pPr>
            <w:r>
              <w:rPr>
                <w:color w:val="auto"/>
                <w:highlight w:val="none"/>
              </w:rPr>
              <w:t>0.47</w:t>
            </w:r>
          </w:p>
        </w:tc>
      </w:tr>
      <w:tr w14:paraId="680B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2B093639">
            <w:pPr>
              <w:pStyle w:val="17"/>
              <w:bidi w:val="0"/>
              <w:jc w:val="center"/>
              <w:rPr>
                <w:color w:val="auto"/>
                <w:highlight w:val="none"/>
              </w:rPr>
            </w:pPr>
            <w:r>
              <w:rPr>
                <w:color w:val="auto"/>
                <w:highlight w:val="none"/>
              </w:rPr>
              <w:t>总磷</w:t>
            </w:r>
          </w:p>
        </w:tc>
        <w:tc>
          <w:tcPr>
            <w:tcW w:w="699" w:type="dxa"/>
            <w:vAlign w:val="center"/>
          </w:tcPr>
          <w:p w14:paraId="3E1C3D02">
            <w:pPr>
              <w:pStyle w:val="17"/>
              <w:bidi w:val="0"/>
              <w:jc w:val="center"/>
              <w:rPr>
                <w:color w:val="auto"/>
                <w:highlight w:val="none"/>
              </w:rPr>
            </w:pPr>
            <w:r>
              <w:rPr>
                <w:color w:val="auto"/>
                <w:highlight w:val="none"/>
              </w:rPr>
              <w:t>mg/L</w:t>
            </w:r>
          </w:p>
        </w:tc>
        <w:tc>
          <w:tcPr>
            <w:tcW w:w="936" w:type="dxa"/>
            <w:vAlign w:val="center"/>
          </w:tcPr>
          <w:p w14:paraId="26C5A50E">
            <w:pPr>
              <w:pStyle w:val="17"/>
              <w:bidi w:val="0"/>
              <w:jc w:val="center"/>
              <w:rPr>
                <w:color w:val="auto"/>
                <w:highlight w:val="none"/>
              </w:rPr>
            </w:pPr>
            <w:r>
              <w:rPr>
                <w:color w:val="auto"/>
                <w:highlight w:val="none"/>
              </w:rPr>
              <w:t>≤0.02</w:t>
            </w:r>
          </w:p>
        </w:tc>
        <w:tc>
          <w:tcPr>
            <w:tcW w:w="973" w:type="dxa"/>
            <w:vAlign w:val="center"/>
          </w:tcPr>
          <w:p w14:paraId="64996BC9">
            <w:pPr>
              <w:pStyle w:val="17"/>
              <w:bidi w:val="0"/>
              <w:jc w:val="center"/>
              <w:rPr>
                <w:color w:val="auto"/>
                <w:highlight w:val="none"/>
              </w:rPr>
            </w:pPr>
            <w:r>
              <w:rPr>
                <w:color w:val="auto"/>
                <w:highlight w:val="none"/>
              </w:rPr>
              <w:t>&lt;0.01</w:t>
            </w:r>
          </w:p>
        </w:tc>
        <w:tc>
          <w:tcPr>
            <w:tcW w:w="1010" w:type="dxa"/>
            <w:vAlign w:val="center"/>
          </w:tcPr>
          <w:p w14:paraId="76135F76">
            <w:pPr>
              <w:pStyle w:val="17"/>
              <w:bidi w:val="0"/>
              <w:jc w:val="center"/>
              <w:rPr>
                <w:color w:val="auto"/>
                <w:highlight w:val="none"/>
              </w:rPr>
            </w:pPr>
            <w:r>
              <w:rPr>
                <w:color w:val="auto"/>
                <w:highlight w:val="none"/>
              </w:rPr>
              <w:t>&lt;0.01</w:t>
            </w:r>
          </w:p>
        </w:tc>
        <w:tc>
          <w:tcPr>
            <w:tcW w:w="943" w:type="dxa"/>
            <w:vAlign w:val="center"/>
          </w:tcPr>
          <w:p w14:paraId="3E022E41">
            <w:pPr>
              <w:pStyle w:val="17"/>
              <w:bidi w:val="0"/>
              <w:jc w:val="center"/>
              <w:rPr>
                <w:color w:val="auto"/>
                <w:highlight w:val="none"/>
              </w:rPr>
            </w:pPr>
            <w:r>
              <w:rPr>
                <w:color w:val="auto"/>
                <w:highlight w:val="none"/>
              </w:rPr>
              <w:t>&lt;0.01</w:t>
            </w:r>
          </w:p>
        </w:tc>
        <w:tc>
          <w:tcPr>
            <w:tcW w:w="812" w:type="dxa"/>
            <w:vAlign w:val="center"/>
          </w:tcPr>
          <w:p w14:paraId="1CA4AE4D">
            <w:pPr>
              <w:pStyle w:val="17"/>
              <w:bidi w:val="0"/>
              <w:jc w:val="center"/>
              <w:rPr>
                <w:color w:val="auto"/>
                <w:highlight w:val="none"/>
              </w:rPr>
            </w:pPr>
            <w:r>
              <w:rPr>
                <w:color w:val="auto"/>
                <w:highlight w:val="none"/>
              </w:rPr>
              <w:t>&lt;0.5</w:t>
            </w:r>
          </w:p>
        </w:tc>
        <w:tc>
          <w:tcPr>
            <w:tcW w:w="1025" w:type="dxa"/>
            <w:vAlign w:val="center"/>
          </w:tcPr>
          <w:p w14:paraId="66B5D0C7">
            <w:pPr>
              <w:pStyle w:val="17"/>
              <w:bidi w:val="0"/>
              <w:jc w:val="center"/>
              <w:rPr>
                <w:color w:val="auto"/>
                <w:highlight w:val="none"/>
              </w:rPr>
            </w:pPr>
            <w:r>
              <w:rPr>
                <w:color w:val="auto"/>
                <w:highlight w:val="none"/>
              </w:rPr>
              <w:t>&lt;0.01</w:t>
            </w:r>
          </w:p>
        </w:tc>
        <w:tc>
          <w:tcPr>
            <w:tcW w:w="1025" w:type="dxa"/>
            <w:vAlign w:val="center"/>
          </w:tcPr>
          <w:p w14:paraId="1BFF9D96">
            <w:pPr>
              <w:pStyle w:val="17"/>
              <w:bidi w:val="0"/>
              <w:jc w:val="center"/>
              <w:rPr>
                <w:color w:val="auto"/>
                <w:highlight w:val="none"/>
              </w:rPr>
            </w:pPr>
            <w:r>
              <w:rPr>
                <w:color w:val="auto"/>
                <w:highlight w:val="none"/>
              </w:rPr>
              <w:t>&lt;0.01</w:t>
            </w:r>
          </w:p>
        </w:tc>
        <w:tc>
          <w:tcPr>
            <w:tcW w:w="1025" w:type="dxa"/>
            <w:vAlign w:val="center"/>
          </w:tcPr>
          <w:p w14:paraId="64AEA077">
            <w:pPr>
              <w:pStyle w:val="17"/>
              <w:bidi w:val="0"/>
              <w:jc w:val="center"/>
              <w:rPr>
                <w:color w:val="auto"/>
                <w:highlight w:val="none"/>
              </w:rPr>
            </w:pPr>
            <w:r>
              <w:rPr>
                <w:color w:val="auto"/>
                <w:highlight w:val="none"/>
              </w:rPr>
              <w:t>&lt;0.01</w:t>
            </w:r>
          </w:p>
        </w:tc>
        <w:tc>
          <w:tcPr>
            <w:tcW w:w="812" w:type="dxa"/>
            <w:vAlign w:val="center"/>
          </w:tcPr>
          <w:p w14:paraId="70967374">
            <w:pPr>
              <w:pStyle w:val="17"/>
              <w:bidi w:val="0"/>
              <w:jc w:val="center"/>
              <w:rPr>
                <w:color w:val="auto"/>
                <w:highlight w:val="none"/>
              </w:rPr>
            </w:pPr>
            <w:r>
              <w:rPr>
                <w:color w:val="auto"/>
                <w:highlight w:val="none"/>
              </w:rPr>
              <w:t>&lt;0.5</w:t>
            </w:r>
          </w:p>
        </w:tc>
        <w:tc>
          <w:tcPr>
            <w:tcW w:w="1025" w:type="dxa"/>
            <w:vAlign w:val="center"/>
          </w:tcPr>
          <w:p w14:paraId="39393699">
            <w:pPr>
              <w:pStyle w:val="17"/>
              <w:bidi w:val="0"/>
              <w:jc w:val="center"/>
              <w:rPr>
                <w:color w:val="auto"/>
                <w:highlight w:val="none"/>
              </w:rPr>
            </w:pPr>
            <w:r>
              <w:rPr>
                <w:color w:val="auto"/>
                <w:highlight w:val="none"/>
              </w:rPr>
              <w:t>&lt;0.01</w:t>
            </w:r>
          </w:p>
        </w:tc>
        <w:tc>
          <w:tcPr>
            <w:tcW w:w="1025" w:type="dxa"/>
            <w:vAlign w:val="center"/>
          </w:tcPr>
          <w:p w14:paraId="3403F96E">
            <w:pPr>
              <w:pStyle w:val="17"/>
              <w:bidi w:val="0"/>
              <w:jc w:val="center"/>
              <w:rPr>
                <w:color w:val="auto"/>
                <w:highlight w:val="none"/>
              </w:rPr>
            </w:pPr>
            <w:r>
              <w:rPr>
                <w:color w:val="auto"/>
                <w:highlight w:val="none"/>
              </w:rPr>
              <w:t>&lt;0.01</w:t>
            </w:r>
          </w:p>
        </w:tc>
        <w:tc>
          <w:tcPr>
            <w:tcW w:w="1025" w:type="dxa"/>
            <w:vAlign w:val="center"/>
          </w:tcPr>
          <w:p w14:paraId="4AAF2E5C">
            <w:pPr>
              <w:pStyle w:val="17"/>
              <w:bidi w:val="0"/>
              <w:jc w:val="center"/>
              <w:rPr>
                <w:color w:val="auto"/>
                <w:highlight w:val="none"/>
              </w:rPr>
            </w:pPr>
            <w:r>
              <w:rPr>
                <w:color w:val="auto"/>
                <w:highlight w:val="none"/>
              </w:rPr>
              <w:t>&lt;0.01</w:t>
            </w:r>
          </w:p>
        </w:tc>
        <w:tc>
          <w:tcPr>
            <w:tcW w:w="826" w:type="dxa"/>
            <w:vAlign w:val="center"/>
          </w:tcPr>
          <w:p w14:paraId="5339FDFE">
            <w:pPr>
              <w:pStyle w:val="17"/>
              <w:bidi w:val="0"/>
              <w:jc w:val="center"/>
              <w:rPr>
                <w:color w:val="auto"/>
                <w:highlight w:val="none"/>
              </w:rPr>
            </w:pPr>
            <w:r>
              <w:rPr>
                <w:color w:val="auto"/>
                <w:highlight w:val="none"/>
              </w:rPr>
              <w:t>&lt;0.5</w:t>
            </w:r>
          </w:p>
        </w:tc>
      </w:tr>
      <w:tr w14:paraId="5D47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7B1D9D67">
            <w:pPr>
              <w:pStyle w:val="17"/>
              <w:bidi w:val="0"/>
              <w:jc w:val="center"/>
              <w:rPr>
                <w:color w:val="auto"/>
                <w:highlight w:val="none"/>
              </w:rPr>
            </w:pPr>
            <w:r>
              <w:rPr>
                <w:color w:val="auto"/>
                <w:highlight w:val="none"/>
              </w:rPr>
              <w:t>阴离子表面活性剂</w:t>
            </w:r>
          </w:p>
        </w:tc>
        <w:tc>
          <w:tcPr>
            <w:tcW w:w="699" w:type="dxa"/>
            <w:vAlign w:val="center"/>
          </w:tcPr>
          <w:p w14:paraId="1C685B64">
            <w:pPr>
              <w:pStyle w:val="17"/>
              <w:bidi w:val="0"/>
              <w:jc w:val="center"/>
              <w:rPr>
                <w:color w:val="auto"/>
                <w:highlight w:val="none"/>
              </w:rPr>
            </w:pPr>
            <w:r>
              <w:rPr>
                <w:color w:val="auto"/>
                <w:highlight w:val="none"/>
              </w:rPr>
              <w:t>mg/L</w:t>
            </w:r>
          </w:p>
        </w:tc>
        <w:tc>
          <w:tcPr>
            <w:tcW w:w="936" w:type="dxa"/>
            <w:vAlign w:val="center"/>
          </w:tcPr>
          <w:p w14:paraId="7EBA3AE9">
            <w:pPr>
              <w:pStyle w:val="17"/>
              <w:bidi w:val="0"/>
              <w:jc w:val="center"/>
              <w:rPr>
                <w:color w:val="auto"/>
                <w:highlight w:val="none"/>
              </w:rPr>
            </w:pPr>
            <w:r>
              <w:rPr>
                <w:color w:val="auto"/>
                <w:highlight w:val="none"/>
              </w:rPr>
              <w:t>≤0.2</w:t>
            </w:r>
          </w:p>
        </w:tc>
        <w:tc>
          <w:tcPr>
            <w:tcW w:w="973" w:type="dxa"/>
            <w:vAlign w:val="center"/>
          </w:tcPr>
          <w:p w14:paraId="25D08F67">
            <w:pPr>
              <w:pStyle w:val="17"/>
              <w:bidi w:val="0"/>
              <w:jc w:val="center"/>
              <w:rPr>
                <w:color w:val="auto"/>
                <w:highlight w:val="none"/>
              </w:rPr>
            </w:pPr>
            <w:r>
              <w:rPr>
                <w:color w:val="auto"/>
                <w:highlight w:val="none"/>
              </w:rPr>
              <w:t>&lt;0.04</w:t>
            </w:r>
          </w:p>
        </w:tc>
        <w:tc>
          <w:tcPr>
            <w:tcW w:w="1010" w:type="dxa"/>
            <w:vAlign w:val="center"/>
          </w:tcPr>
          <w:p w14:paraId="2A16FD8E">
            <w:pPr>
              <w:pStyle w:val="17"/>
              <w:bidi w:val="0"/>
              <w:jc w:val="center"/>
              <w:rPr>
                <w:color w:val="auto"/>
                <w:highlight w:val="none"/>
              </w:rPr>
            </w:pPr>
            <w:r>
              <w:rPr>
                <w:color w:val="auto"/>
                <w:highlight w:val="none"/>
              </w:rPr>
              <w:t>&lt;0.04</w:t>
            </w:r>
          </w:p>
        </w:tc>
        <w:tc>
          <w:tcPr>
            <w:tcW w:w="943" w:type="dxa"/>
            <w:vAlign w:val="center"/>
          </w:tcPr>
          <w:p w14:paraId="2870A2E4">
            <w:pPr>
              <w:pStyle w:val="17"/>
              <w:bidi w:val="0"/>
              <w:jc w:val="center"/>
              <w:rPr>
                <w:color w:val="auto"/>
                <w:highlight w:val="none"/>
              </w:rPr>
            </w:pPr>
            <w:r>
              <w:rPr>
                <w:color w:val="auto"/>
                <w:highlight w:val="none"/>
              </w:rPr>
              <w:t>&lt;0.04</w:t>
            </w:r>
          </w:p>
        </w:tc>
        <w:tc>
          <w:tcPr>
            <w:tcW w:w="812" w:type="dxa"/>
            <w:vAlign w:val="center"/>
          </w:tcPr>
          <w:p w14:paraId="3D4DD352">
            <w:pPr>
              <w:pStyle w:val="17"/>
              <w:bidi w:val="0"/>
              <w:jc w:val="center"/>
              <w:rPr>
                <w:color w:val="auto"/>
                <w:highlight w:val="none"/>
              </w:rPr>
            </w:pPr>
            <w:r>
              <w:rPr>
                <w:color w:val="auto"/>
                <w:highlight w:val="none"/>
              </w:rPr>
              <w:t>&lt;0.2</w:t>
            </w:r>
          </w:p>
        </w:tc>
        <w:tc>
          <w:tcPr>
            <w:tcW w:w="1025" w:type="dxa"/>
            <w:vAlign w:val="center"/>
          </w:tcPr>
          <w:p w14:paraId="060756D3">
            <w:pPr>
              <w:pStyle w:val="17"/>
              <w:bidi w:val="0"/>
              <w:jc w:val="center"/>
              <w:rPr>
                <w:color w:val="auto"/>
                <w:highlight w:val="none"/>
              </w:rPr>
            </w:pPr>
            <w:r>
              <w:rPr>
                <w:color w:val="auto"/>
                <w:highlight w:val="none"/>
              </w:rPr>
              <w:t>&lt;0.04</w:t>
            </w:r>
          </w:p>
        </w:tc>
        <w:tc>
          <w:tcPr>
            <w:tcW w:w="1025" w:type="dxa"/>
            <w:vAlign w:val="center"/>
          </w:tcPr>
          <w:p w14:paraId="7C0A5210">
            <w:pPr>
              <w:pStyle w:val="17"/>
              <w:bidi w:val="0"/>
              <w:jc w:val="center"/>
              <w:rPr>
                <w:color w:val="auto"/>
                <w:highlight w:val="none"/>
              </w:rPr>
            </w:pPr>
            <w:r>
              <w:rPr>
                <w:color w:val="auto"/>
                <w:highlight w:val="none"/>
              </w:rPr>
              <w:t>&lt;0.04</w:t>
            </w:r>
          </w:p>
        </w:tc>
        <w:tc>
          <w:tcPr>
            <w:tcW w:w="1025" w:type="dxa"/>
            <w:vAlign w:val="center"/>
          </w:tcPr>
          <w:p w14:paraId="7A692A36">
            <w:pPr>
              <w:pStyle w:val="17"/>
              <w:bidi w:val="0"/>
              <w:jc w:val="center"/>
              <w:rPr>
                <w:color w:val="auto"/>
                <w:highlight w:val="none"/>
              </w:rPr>
            </w:pPr>
            <w:r>
              <w:rPr>
                <w:color w:val="auto"/>
                <w:highlight w:val="none"/>
              </w:rPr>
              <w:t>&lt;0.04</w:t>
            </w:r>
          </w:p>
        </w:tc>
        <w:tc>
          <w:tcPr>
            <w:tcW w:w="812" w:type="dxa"/>
            <w:vAlign w:val="center"/>
          </w:tcPr>
          <w:p w14:paraId="50AD19C8">
            <w:pPr>
              <w:pStyle w:val="17"/>
              <w:bidi w:val="0"/>
              <w:jc w:val="center"/>
              <w:rPr>
                <w:color w:val="auto"/>
                <w:highlight w:val="none"/>
              </w:rPr>
            </w:pPr>
            <w:r>
              <w:rPr>
                <w:color w:val="auto"/>
                <w:highlight w:val="none"/>
              </w:rPr>
              <w:t>&lt;0.2</w:t>
            </w:r>
          </w:p>
        </w:tc>
        <w:tc>
          <w:tcPr>
            <w:tcW w:w="1025" w:type="dxa"/>
            <w:vAlign w:val="center"/>
          </w:tcPr>
          <w:p w14:paraId="31BC1C5B">
            <w:pPr>
              <w:pStyle w:val="17"/>
              <w:bidi w:val="0"/>
              <w:jc w:val="center"/>
              <w:rPr>
                <w:color w:val="auto"/>
                <w:highlight w:val="none"/>
              </w:rPr>
            </w:pPr>
            <w:r>
              <w:rPr>
                <w:color w:val="auto"/>
                <w:highlight w:val="none"/>
              </w:rPr>
              <w:t>&lt;0.04</w:t>
            </w:r>
          </w:p>
        </w:tc>
        <w:tc>
          <w:tcPr>
            <w:tcW w:w="1025" w:type="dxa"/>
            <w:vAlign w:val="center"/>
          </w:tcPr>
          <w:p w14:paraId="08E9D17A">
            <w:pPr>
              <w:pStyle w:val="17"/>
              <w:bidi w:val="0"/>
              <w:jc w:val="center"/>
              <w:rPr>
                <w:color w:val="auto"/>
                <w:highlight w:val="none"/>
              </w:rPr>
            </w:pPr>
            <w:r>
              <w:rPr>
                <w:color w:val="auto"/>
                <w:highlight w:val="none"/>
              </w:rPr>
              <w:t>&lt;0.04</w:t>
            </w:r>
          </w:p>
        </w:tc>
        <w:tc>
          <w:tcPr>
            <w:tcW w:w="1025" w:type="dxa"/>
            <w:vAlign w:val="center"/>
          </w:tcPr>
          <w:p w14:paraId="096B741B">
            <w:pPr>
              <w:pStyle w:val="17"/>
              <w:bidi w:val="0"/>
              <w:jc w:val="center"/>
              <w:rPr>
                <w:color w:val="auto"/>
                <w:highlight w:val="none"/>
              </w:rPr>
            </w:pPr>
            <w:r>
              <w:rPr>
                <w:color w:val="auto"/>
                <w:highlight w:val="none"/>
              </w:rPr>
              <w:t>&lt;0.04</w:t>
            </w:r>
          </w:p>
        </w:tc>
        <w:tc>
          <w:tcPr>
            <w:tcW w:w="826" w:type="dxa"/>
            <w:vAlign w:val="center"/>
          </w:tcPr>
          <w:p w14:paraId="7E70A245">
            <w:pPr>
              <w:pStyle w:val="17"/>
              <w:bidi w:val="0"/>
              <w:jc w:val="center"/>
              <w:rPr>
                <w:color w:val="auto"/>
                <w:highlight w:val="none"/>
              </w:rPr>
            </w:pPr>
            <w:r>
              <w:rPr>
                <w:color w:val="auto"/>
                <w:highlight w:val="none"/>
              </w:rPr>
              <w:t>&lt;0.2</w:t>
            </w:r>
          </w:p>
        </w:tc>
      </w:tr>
      <w:tr w14:paraId="29F3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6B120338">
            <w:pPr>
              <w:pStyle w:val="17"/>
              <w:bidi w:val="0"/>
              <w:jc w:val="center"/>
              <w:rPr>
                <w:color w:val="auto"/>
                <w:highlight w:val="none"/>
              </w:rPr>
            </w:pPr>
            <w:r>
              <w:rPr>
                <w:color w:val="auto"/>
                <w:highlight w:val="none"/>
              </w:rPr>
              <w:t>挥发酚</w:t>
            </w:r>
          </w:p>
        </w:tc>
        <w:tc>
          <w:tcPr>
            <w:tcW w:w="699" w:type="dxa"/>
            <w:vAlign w:val="center"/>
          </w:tcPr>
          <w:p w14:paraId="747D1BA8">
            <w:pPr>
              <w:pStyle w:val="17"/>
              <w:bidi w:val="0"/>
              <w:jc w:val="center"/>
              <w:rPr>
                <w:color w:val="auto"/>
                <w:highlight w:val="none"/>
              </w:rPr>
            </w:pPr>
            <w:r>
              <w:rPr>
                <w:color w:val="auto"/>
                <w:highlight w:val="none"/>
              </w:rPr>
              <w:t>mg/L</w:t>
            </w:r>
          </w:p>
        </w:tc>
        <w:tc>
          <w:tcPr>
            <w:tcW w:w="936" w:type="dxa"/>
            <w:vAlign w:val="center"/>
          </w:tcPr>
          <w:p w14:paraId="011903CC">
            <w:pPr>
              <w:pStyle w:val="17"/>
              <w:bidi w:val="0"/>
              <w:jc w:val="center"/>
              <w:rPr>
                <w:color w:val="auto"/>
                <w:highlight w:val="none"/>
              </w:rPr>
            </w:pPr>
            <w:r>
              <w:rPr>
                <w:color w:val="auto"/>
                <w:highlight w:val="none"/>
              </w:rPr>
              <w:t>≤0.002</w:t>
            </w:r>
          </w:p>
        </w:tc>
        <w:tc>
          <w:tcPr>
            <w:tcW w:w="973" w:type="dxa"/>
            <w:vAlign w:val="center"/>
          </w:tcPr>
          <w:p w14:paraId="7F104A56">
            <w:pPr>
              <w:pStyle w:val="17"/>
              <w:bidi w:val="0"/>
              <w:jc w:val="center"/>
              <w:rPr>
                <w:color w:val="auto"/>
                <w:highlight w:val="none"/>
              </w:rPr>
            </w:pPr>
            <w:r>
              <w:rPr>
                <w:color w:val="auto"/>
                <w:highlight w:val="none"/>
              </w:rPr>
              <w:t>&lt;0.0003</w:t>
            </w:r>
          </w:p>
        </w:tc>
        <w:tc>
          <w:tcPr>
            <w:tcW w:w="1010" w:type="dxa"/>
            <w:vAlign w:val="center"/>
          </w:tcPr>
          <w:p w14:paraId="74524031">
            <w:pPr>
              <w:pStyle w:val="17"/>
              <w:bidi w:val="0"/>
              <w:jc w:val="center"/>
              <w:rPr>
                <w:color w:val="auto"/>
                <w:highlight w:val="none"/>
              </w:rPr>
            </w:pPr>
            <w:r>
              <w:rPr>
                <w:color w:val="auto"/>
                <w:highlight w:val="none"/>
              </w:rPr>
              <w:t>&lt;0.0003</w:t>
            </w:r>
          </w:p>
        </w:tc>
        <w:tc>
          <w:tcPr>
            <w:tcW w:w="943" w:type="dxa"/>
            <w:vAlign w:val="center"/>
          </w:tcPr>
          <w:p w14:paraId="671EFE7A">
            <w:pPr>
              <w:pStyle w:val="17"/>
              <w:bidi w:val="0"/>
              <w:jc w:val="center"/>
              <w:rPr>
                <w:color w:val="auto"/>
                <w:highlight w:val="none"/>
              </w:rPr>
            </w:pPr>
            <w:r>
              <w:rPr>
                <w:color w:val="auto"/>
                <w:highlight w:val="none"/>
              </w:rPr>
              <w:t>&lt;0.0003</w:t>
            </w:r>
          </w:p>
        </w:tc>
        <w:tc>
          <w:tcPr>
            <w:tcW w:w="812" w:type="dxa"/>
            <w:vAlign w:val="center"/>
          </w:tcPr>
          <w:p w14:paraId="4F5CA36F">
            <w:pPr>
              <w:pStyle w:val="17"/>
              <w:bidi w:val="0"/>
              <w:jc w:val="center"/>
              <w:rPr>
                <w:color w:val="auto"/>
                <w:highlight w:val="none"/>
              </w:rPr>
            </w:pPr>
            <w:r>
              <w:rPr>
                <w:color w:val="auto"/>
                <w:highlight w:val="none"/>
              </w:rPr>
              <w:t>&lt;0.15</w:t>
            </w:r>
          </w:p>
        </w:tc>
        <w:tc>
          <w:tcPr>
            <w:tcW w:w="1025" w:type="dxa"/>
            <w:vAlign w:val="center"/>
          </w:tcPr>
          <w:p w14:paraId="6F940262">
            <w:pPr>
              <w:pStyle w:val="17"/>
              <w:bidi w:val="0"/>
              <w:jc w:val="center"/>
              <w:rPr>
                <w:color w:val="auto"/>
                <w:highlight w:val="none"/>
              </w:rPr>
            </w:pPr>
            <w:r>
              <w:rPr>
                <w:color w:val="auto"/>
                <w:highlight w:val="none"/>
              </w:rPr>
              <w:t>&lt;0.0003</w:t>
            </w:r>
          </w:p>
        </w:tc>
        <w:tc>
          <w:tcPr>
            <w:tcW w:w="1025" w:type="dxa"/>
            <w:vAlign w:val="center"/>
          </w:tcPr>
          <w:p w14:paraId="19F4D3BB">
            <w:pPr>
              <w:pStyle w:val="17"/>
              <w:bidi w:val="0"/>
              <w:jc w:val="center"/>
              <w:rPr>
                <w:color w:val="auto"/>
                <w:highlight w:val="none"/>
              </w:rPr>
            </w:pPr>
            <w:r>
              <w:rPr>
                <w:color w:val="auto"/>
                <w:highlight w:val="none"/>
              </w:rPr>
              <w:t>&lt;0.0003</w:t>
            </w:r>
          </w:p>
        </w:tc>
        <w:tc>
          <w:tcPr>
            <w:tcW w:w="1025" w:type="dxa"/>
            <w:vAlign w:val="center"/>
          </w:tcPr>
          <w:p w14:paraId="6C818321">
            <w:pPr>
              <w:pStyle w:val="17"/>
              <w:bidi w:val="0"/>
              <w:jc w:val="center"/>
              <w:rPr>
                <w:color w:val="auto"/>
                <w:highlight w:val="none"/>
              </w:rPr>
            </w:pPr>
            <w:r>
              <w:rPr>
                <w:color w:val="auto"/>
                <w:highlight w:val="none"/>
              </w:rPr>
              <w:t>&lt;0.0003</w:t>
            </w:r>
          </w:p>
        </w:tc>
        <w:tc>
          <w:tcPr>
            <w:tcW w:w="812" w:type="dxa"/>
            <w:vAlign w:val="center"/>
          </w:tcPr>
          <w:p w14:paraId="599636D7">
            <w:pPr>
              <w:pStyle w:val="17"/>
              <w:bidi w:val="0"/>
              <w:jc w:val="center"/>
              <w:rPr>
                <w:color w:val="auto"/>
                <w:highlight w:val="none"/>
              </w:rPr>
            </w:pPr>
            <w:r>
              <w:rPr>
                <w:color w:val="auto"/>
                <w:highlight w:val="none"/>
              </w:rPr>
              <w:t>&lt;0.15</w:t>
            </w:r>
          </w:p>
        </w:tc>
        <w:tc>
          <w:tcPr>
            <w:tcW w:w="1025" w:type="dxa"/>
            <w:vAlign w:val="center"/>
          </w:tcPr>
          <w:p w14:paraId="09155778">
            <w:pPr>
              <w:pStyle w:val="17"/>
              <w:bidi w:val="0"/>
              <w:jc w:val="center"/>
              <w:rPr>
                <w:color w:val="auto"/>
                <w:highlight w:val="none"/>
              </w:rPr>
            </w:pPr>
            <w:r>
              <w:rPr>
                <w:color w:val="auto"/>
                <w:highlight w:val="none"/>
              </w:rPr>
              <w:t>&lt;0.0003</w:t>
            </w:r>
          </w:p>
        </w:tc>
        <w:tc>
          <w:tcPr>
            <w:tcW w:w="1025" w:type="dxa"/>
            <w:vAlign w:val="center"/>
          </w:tcPr>
          <w:p w14:paraId="28F66BDE">
            <w:pPr>
              <w:pStyle w:val="17"/>
              <w:bidi w:val="0"/>
              <w:jc w:val="center"/>
              <w:rPr>
                <w:color w:val="auto"/>
                <w:highlight w:val="none"/>
              </w:rPr>
            </w:pPr>
            <w:r>
              <w:rPr>
                <w:color w:val="auto"/>
                <w:highlight w:val="none"/>
              </w:rPr>
              <w:t>&lt;0.0003</w:t>
            </w:r>
          </w:p>
        </w:tc>
        <w:tc>
          <w:tcPr>
            <w:tcW w:w="1025" w:type="dxa"/>
            <w:vAlign w:val="center"/>
          </w:tcPr>
          <w:p w14:paraId="7B174F32">
            <w:pPr>
              <w:pStyle w:val="17"/>
              <w:bidi w:val="0"/>
              <w:jc w:val="center"/>
              <w:rPr>
                <w:color w:val="auto"/>
                <w:highlight w:val="none"/>
              </w:rPr>
            </w:pPr>
            <w:r>
              <w:rPr>
                <w:color w:val="auto"/>
                <w:highlight w:val="none"/>
              </w:rPr>
              <w:t>&lt;0.0003</w:t>
            </w:r>
          </w:p>
        </w:tc>
        <w:tc>
          <w:tcPr>
            <w:tcW w:w="826" w:type="dxa"/>
            <w:vAlign w:val="center"/>
          </w:tcPr>
          <w:p w14:paraId="6ABE77FD">
            <w:pPr>
              <w:pStyle w:val="17"/>
              <w:bidi w:val="0"/>
              <w:jc w:val="center"/>
              <w:rPr>
                <w:color w:val="auto"/>
                <w:highlight w:val="none"/>
              </w:rPr>
            </w:pPr>
            <w:r>
              <w:rPr>
                <w:color w:val="auto"/>
                <w:highlight w:val="none"/>
              </w:rPr>
              <w:t>&lt;0.15</w:t>
            </w:r>
          </w:p>
        </w:tc>
      </w:tr>
      <w:tr w14:paraId="283E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1016" w:type="dxa"/>
            <w:vAlign w:val="center"/>
          </w:tcPr>
          <w:p w14:paraId="050A4AE0">
            <w:pPr>
              <w:pStyle w:val="17"/>
              <w:bidi w:val="0"/>
              <w:jc w:val="center"/>
              <w:rPr>
                <w:color w:val="auto"/>
                <w:highlight w:val="none"/>
              </w:rPr>
            </w:pPr>
            <w:r>
              <w:rPr>
                <w:color w:val="auto"/>
                <w:highlight w:val="none"/>
              </w:rPr>
              <w:t>氨氮</w:t>
            </w:r>
          </w:p>
        </w:tc>
        <w:tc>
          <w:tcPr>
            <w:tcW w:w="699" w:type="dxa"/>
            <w:vAlign w:val="center"/>
          </w:tcPr>
          <w:p w14:paraId="1B4FD3DA">
            <w:pPr>
              <w:pStyle w:val="17"/>
              <w:bidi w:val="0"/>
              <w:jc w:val="center"/>
              <w:rPr>
                <w:color w:val="auto"/>
                <w:highlight w:val="none"/>
              </w:rPr>
            </w:pPr>
            <w:r>
              <w:rPr>
                <w:color w:val="auto"/>
                <w:highlight w:val="none"/>
              </w:rPr>
              <w:t>mg/L</w:t>
            </w:r>
          </w:p>
        </w:tc>
        <w:tc>
          <w:tcPr>
            <w:tcW w:w="936" w:type="dxa"/>
            <w:vAlign w:val="center"/>
          </w:tcPr>
          <w:p w14:paraId="3183E4C7">
            <w:pPr>
              <w:pStyle w:val="17"/>
              <w:bidi w:val="0"/>
              <w:jc w:val="center"/>
              <w:rPr>
                <w:color w:val="auto"/>
                <w:highlight w:val="none"/>
              </w:rPr>
            </w:pPr>
            <w:r>
              <w:rPr>
                <w:color w:val="auto"/>
                <w:highlight w:val="none"/>
              </w:rPr>
              <w:t>≤0.15</w:t>
            </w:r>
          </w:p>
        </w:tc>
        <w:tc>
          <w:tcPr>
            <w:tcW w:w="973" w:type="dxa"/>
            <w:vAlign w:val="center"/>
          </w:tcPr>
          <w:p w14:paraId="2E6135DB">
            <w:pPr>
              <w:pStyle w:val="17"/>
              <w:bidi w:val="0"/>
              <w:jc w:val="center"/>
              <w:rPr>
                <w:color w:val="auto"/>
                <w:highlight w:val="none"/>
              </w:rPr>
            </w:pPr>
            <w:r>
              <w:rPr>
                <w:color w:val="auto"/>
                <w:highlight w:val="none"/>
              </w:rPr>
              <w:t>&lt;0.01</w:t>
            </w:r>
          </w:p>
        </w:tc>
        <w:tc>
          <w:tcPr>
            <w:tcW w:w="1010" w:type="dxa"/>
            <w:vAlign w:val="center"/>
          </w:tcPr>
          <w:p w14:paraId="200E081C">
            <w:pPr>
              <w:pStyle w:val="17"/>
              <w:bidi w:val="0"/>
              <w:jc w:val="center"/>
              <w:rPr>
                <w:color w:val="auto"/>
                <w:highlight w:val="none"/>
              </w:rPr>
            </w:pPr>
            <w:r>
              <w:rPr>
                <w:color w:val="auto"/>
                <w:highlight w:val="none"/>
              </w:rPr>
              <w:t>&lt;0.01</w:t>
            </w:r>
          </w:p>
        </w:tc>
        <w:tc>
          <w:tcPr>
            <w:tcW w:w="943" w:type="dxa"/>
            <w:vAlign w:val="center"/>
          </w:tcPr>
          <w:p w14:paraId="1923D59A">
            <w:pPr>
              <w:pStyle w:val="17"/>
              <w:bidi w:val="0"/>
              <w:jc w:val="center"/>
              <w:rPr>
                <w:color w:val="auto"/>
                <w:highlight w:val="none"/>
              </w:rPr>
            </w:pPr>
            <w:r>
              <w:rPr>
                <w:color w:val="auto"/>
                <w:highlight w:val="none"/>
              </w:rPr>
              <w:t>&lt;0.01</w:t>
            </w:r>
          </w:p>
        </w:tc>
        <w:tc>
          <w:tcPr>
            <w:tcW w:w="812" w:type="dxa"/>
            <w:vAlign w:val="center"/>
          </w:tcPr>
          <w:p w14:paraId="21540BFC">
            <w:pPr>
              <w:pStyle w:val="17"/>
              <w:bidi w:val="0"/>
              <w:jc w:val="center"/>
              <w:rPr>
                <w:color w:val="auto"/>
                <w:highlight w:val="none"/>
              </w:rPr>
            </w:pPr>
            <w:r>
              <w:rPr>
                <w:color w:val="auto"/>
                <w:highlight w:val="none"/>
              </w:rPr>
              <w:t>&lt;0.07</w:t>
            </w:r>
          </w:p>
        </w:tc>
        <w:tc>
          <w:tcPr>
            <w:tcW w:w="1025" w:type="dxa"/>
            <w:vAlign w:val="center"/>
          </w:tcPr>
          <w:p w14:paraId="7665B8E3">
            <w:pPr>
              <w:pStyle w:val="17"/>
              <w:bidi w:val="0"/>
              <w:jc w:val="center"/>
              <w:rPr>
                <w:color w:val="auto"/>
                <w:highlight w:val="none"/>
              </w:rPr>
            </w:pPr>
            <w:r>
              <w:rPr>
                <w:color w:val="auto"/>
                <w:highlight w:val="none"/>
              </w:rPr>
              <w:t>&lt;0.01</w:t>
            </w:r>
          </w:p>
        </w:tc>
        <w:tc>
          <w:tcPr>
            <w:tcW w:w="1025" w:type="dxa"/>
            <w:vAlign w:val="center"/>
          </w:tcPr>
          <w:p w14:paraId="6FEB1D13">
            <w:pPr>
              <w:pStyle w:val="17"/>
              <w:bidi w:val="0"/>
              <w:jc w:val="center"/>
              <w:rPr>
                <w:color w:val="auto"/>
                <w:highlight w:val="none"/>
              </w:rPr>
            </w:pPr>
            <w:r>
              <w:rPr>
                <w:color w:val="auto"/>
                <w:highlight w:val="none"/>
              </w:rPr>
              <w:t>&lt;0.01</w:t>
            </w:r>
          </w:p>
        </w:tc>
        <w:tc>
          <w:tcPr>
            <w:tcW w:w="1025" w:type="dxa"/>
            <w:vAlign w:val="center"/>
          </w:tcPr>
          <w:p w14:paraId="31E1CCA7">
            <w:pPr>
              <w:pStyle w:val="17"/>
              <w:bidi w:val="0"/>
              <w:jc w:val="center"/>
              <w:rPr>
                <w:color w:val="auto"/>
                <w:highlight w:val="none"/>
              </w:rPr>
            </w:pPr>
            <w:r>
              <w:rPr>
                <w:color w:val="auto"/>
                <w:highlight w:val="none"/>
              </w:rPr>
              <w:t>&lt;0.01</w:t>
            </w:r>
          </w:p>
        </w:tc>
        <w:tc>
          <w:tcPr>
            <w:tcW w:w="812" w:type="dxa"/>
            <w:vAlign w:val="center"/>
          </w:tcPr>
          <w:p w14:paraId="00F02EB9">
            <w:pPr>
              <w:pStyle w:val="17"/>
              <w:bidi w:val="0"/>
              <w:jc w:val="center"/>
              <w:rPr>
                <w:color w:val="auto"/>
                <w:highlight w:val="none"/>
              </w:rPr>
            </w:pPr>
            <w:r>
              <w:rPr>
                <w:color w:val="auto"/>
                <w:highlight w:val="none"/>
              </w:rPr>
              <w:t>&lt;0.07</w:t>
            </w:r>
          </w:p>
        </w:tc>
        <w:tc>
          <w:tcPr>
            <w:tcW w:w="1025" w:type="dxa"/>
            <w:vAlign w:val="center"/>
          </w:tcPr>
          <w:p w14:paraId="75C33D29">
            <w:pPr>
              <w:pStyle w:val="17"/>
              <w:bidi w:val="0"/>
              <w:jc w:val="center"/>
              <w:rPr>
                <w:color w:val="auto"/>
                <w:highlight w:val="none"/>
              </w:rPr>
            </w:pPr>
            <w:r>
              <w:rPr>
                <w:color w:val="auto"/>
                <w:highlight w:val="none"/>
              </w:rPr>
              <w:t>&lt;0.01</w:t>
            </w:r>
          </w:p>
        </w:tc>
        <w:tc>
          <w:tcPr>
            <w:tcW w:w="1025" w:type="dxa"/>
            <w:vAlign w:val="center"/>
          </w:tcPr>
          <w:p w14:paraId="4056DC1D">
            <w:pPr>
              <w:pStyle w:val="17"/>
              <w:bidi w:val="0"/>
              <w:jc w:val="center"/>
              <w:rPr>
                <w:color w:val="auto"/>
                <w:highlight w:val="none"/>
              </w:rPr>
            </w:pPr>
            <w:r>
              <w:rPr>
                <w:color w:val="auto"/>
                <w:highlight w:val="none"/>
              </w:rPr>
              <w:t>&lt;0.01</w:t>
            </w:r>
          </w:p>
        </w:tc>
        <w:tc>
          <w:tcPr>
            <w:tcW w:w="1025" w:type="dxa"/>
            <w:vAlign w:val="center"/>
          </w:tcPr>
          <w:p w14:paraId="33A5ADCB">
            <w:pPr>
              <w:pStyle w:val="17"/>
              <w:bidi w:val="0"/>
              <w:jc w:val="center"/>
              <w:rPr>
                <w:color w:val="auto"/>
                <w:highlight w:val="none"/>
              </w:rPr>
            </w:pPr>
            <w:r>
              <w:rPr>
                <w:color w:val="auto"/>
                <w:highlight w:val="none"/>
              </w:rPr>
              <w:t>&lt;0.01</w:t>
            </w:r>
          </w:p>
        </w:tc>
        <w:tc>
          <w:tcPr>
            <w:tcW w:w="826" w:type="dxa"/>
            <w:vAlign w:val="center"/>
          </w:tcPr>
          <w:p w14:paraId="467B56D4">
            <w:pPr>
              <w:pStyle w:val="17"/>
              <w:bidi w:val="0"/>
              <w:jc w:val="center"/>
              <w:rPr>
                <w:color w:val="auto"/>
                <w:highlight w:val="none"/>
              </w:rPr>
            </w:pPr>
            <w:r>
              <w:rPr>
                <w:color w:val="auto"/>
                <w:highlight w:val="none"/>
              </w:rPr>
              <w:t>&lt;0.07</w:t>
            </w:r>
          </w:p>
        </w:tc>
      </w:tr>
    </w:tbl>
    <w:p w14:paraId="08377447">
      <w:pPr>
        <w:spacing w:line="480" w:lineRule="exact"/>
        <w:jc w:val="center"/>
        <w:rPr>
          <w:rFonts w:ascii="Times New Roman"/>
          <w:b/>
          <w:bCs/>
          <w:color w:val="auto"/>
          <w:highlight w:val="none"/>
        </w:rPr>
        <w:sectPr>
          <w:pgSz w:w="16838" w:h="11906" w:orient="landscape"/>
          <w:pgMar w:top="1474" w:right="1474" w:bottom="1474" w:left="1474" w:header="850" w:footer="1020" w:gutter="0"/>
          <w:pgBorders>
            <w:top w:val="none" w:sz="0" w:space="0"/>
            <w:left w:val="none" w:sz="0" w:space="0"/>
            <w:bottom w:val="none" w:sz="0" w:space="0"/>
            <w:right w:val="none" w:sz="0" w:space="0"/>
          </w:pgBorders>
          <w:cols w:space="720" w:num="1"/>
          <w:docGrid w:linePitch="312" w:charSpace="0"/>
        </w:sectPr>
      </w:pPr>
    </w:p>
    <w:p w14:paraId="70F9E15A">
      <w:pPr>
        <w:overflowPunct w:val="0"/>
        <w:topLinePunct/>
        <w:ind w:firstLine="480"/>
        <w:rPr>
          <w:color w:val="auto"/>
          <w:highlight w:val="none"/>
        </w:rPr>
      </w:pPr>
      <w:r>
        <w:rPr>
          <w:rFonts w:hint="eastAsia"/>
          <w:color w:val="auto"/>
          <w:highlight w:val="none"/>
          <w:lang w:val="en-US" w:eastAsia="zh-CN"/>
        </w:rPr>
        <w:t>根据引用报告数据，</w:t>
      </w:r>
      <w:r>
        <w:rPr>
          <w:rFonts w:hint="eastAsia"/>
          <w:color w:val="auto"/>
          <w:highlight w:val="none"/>
          <w:lang w:eastAsia="zh-CN"/>
        </w:rPr>
        <w:t>阿克苏</w:t>
      </w:r>
      <w:r>
        <w:rPr>
          <w:rFonts w:hint="eastAsia"/>
          <w:color w:val="auto"/>
          <w:highlight w:val="none"/>
        </w:rPr>
        <w:t>河</w:t>
      </w:r>
      <w:r>
        <w:rPr>
          <w:rFonts w:hint="default" w:ascii="Times New Roman" w:hAnsi="Times New Roman" w:eastAsia="宋体" w:cs="Times New Roman"/>
          <w:color w:val="auto"/>
          <w:sz w:val="24"/>
          <w:highlight w:val="none"/>
        </w:rPr>
        <w:t>水质</w:t>
      </w:r>
      <w:r>
        <w:rPr>
          <w:rFonts w:hint="eastAsia"/>
          <w:color w:val="auto"/>
          <w:highlight w:val="none"/>
        </w:rPr>
        <w:t>满足</w:t>
      </w:r>
      <w:r>
        <w:rPr>
          <w:color w:val="auto"/>
          <w:highlight w:val="none"/>
        </w:rPr>
        <w:t>《地表水环境质量标准》（GB3838-2002）中</w:t>
      </w:r>
      <w:r>
        <w:rPr>
          <w:rFonts w:hint="eastAsia"/>
          <w:color w:val="auto"/>
          <w:highlight w:val="none"/>
          <w:lang w:eastAsia="zh-CN"/>
        </w:rPr>
        <w:t>I</w:t>
      </w:r>
      <w:r>
        <w:rPr>
          <w:color w:val="auto"/>
          <w:highlight w:val="none"/>
        </w:rPr>
        <w:t>类标准</w:t>
      </w:r>
      <w:r>
        <w:rPr>
          <w:rFonts w:hint="eastAsia"/>
          <w:color w:val="auto"/>
          <w:highlight w:val="none"/>
          <w:lang w:eastAsia="zh-CN"/>
        </w:rPr>
        <w:t>，</w:t>
      </w:r>
      <w:r>
        <w:rPr>
          <w:rFonts w:hint="eastAsia"/>
          <w:color w:val="auto"/>
          <w:highlight w:val="none"/>
          <w:lang w:val="en-US" w:eastAsia="zh-CN"/>
        </w:rPr>
        <w:t>区域水环境质量良好</w:t>
      </w:r>
      <w:r>
        <w:rPr>
          <w:rFonts w:hint="eastAsia"/>
          <w:color w:val="auto"/>
          <w:highlight w:val="none"/>
        </w:rPr>
        <w:t>。</w:t>
      </w:r>
    </w:p>
    <w:p w14:paraId="4E4EF811">
      <w:pPr>
        <w:pStyle w:val="6"/>
        <w:rPr>
          <w:color w:val="auto"/>
          <w:highlight w:val="none"/>
        </w:rPr>
      </w:pPr>
      <w:bookmarkStart w:id="577" w:name="_Toc21084"/>
      <w:bookmarkStart w:id="578" w:name="_Toc12019"/>
      <w:bookmarkStart w:id="579" w:name="_Toc9217"/>
      <w:bookmarkStart w:id="580" w:name="_Toc24273"/>
      <w:bookmarkStart w:id="581" w:name="_Toc18222"/>
      <w:r>
        <w:rPr>
          <w:color w:val="auto"/>
          <w:highlight w:val="none"/>
        </w:rPr>
        <w:t>4.</w:t>
      </w:r>
      <w:r>
        <w:rPr>
          <w:rFonts w:hint="eastAsia"/>
          <w:color w:val="auto"/>
          <w:highlight w:val="none"/>
        </w:rPr>
        <w:t>2</w:t>
      </w:r>
      <w:r>
        <w:rPr>
          <w:color w:val="auto"/>
          <w:highlight w:val="none"/>
        </w:rPr>
        <w:t>.3地下水环境质量现状调查与评价</w:t>
      </w:r>
      <w:bookmarkEnd w:id="577"/>
      <w:bookmarkEnd w:id="578"/>
      <w:bookmarkEnd w:id="579"/>
      <w:bookmarkEnd w:id="580"/>
      <w:bookmarkEnd w:id="581"/>
    </w:p>
    <w:p w14:paraId="5CD09E8C">
      <w:pPr>
        <w:pStyle w:val="7"/>
        <w:ind w:firstLine="482" w:firstLineChars="200"/>
        <w:rPr>
          <w:color w:val="auto"/>
          <w:highlight w:val="none"/>
        </w:rPr>
      </w:pPr>
      <w:r>
        <w:rPr>
          <w:color w:val="auto"/>
          <w:highlight w:val="none"/>
        </w:rPr>
        <w:t>4</w:t>
      </w:r>
      <w:r>
        <w:rPr>
          <w:rFonts w:hint="eastAsia"/>
          <w:color w:val="auto"/>
          <w:highlight w:val="none"/>
        </w:rPr>
        <w:t>.2</w:t>
      </w:r>
      <w:r>
        <w:rPr>
          <w:color w:val="auto"/>
          <w:highlight w:val="none"/>
        </w:rPr>
        <w:t>.3.1监测</w:t>
      </w:r>
      <w:r>
        <w:rPr>
          <w:rFonts w:hint="eastAsia"/>
          <w:color w:val="auto"/>
          <w:highlight w:val="none"/>
        </w:rPr>
        <w:t>时间与监测单位</w:t>
      </w:r>
    </w:p>
    <w:p w14:paraId="0B7C6327">
      <w:pPr>
        <w:overflowPunct w:val="0"/>
        <w:topLinePunct/>
        <w:ind w:firstLine="476"/>
        <w:rPr>
          <w:color w:val="auto"/>
          <w:spacing w:val="-1"/>
          <w:position w:val="2"/>
          <w:highlight w:val="none"/>
        </w:rPr>
      </w:pPr>
      <w:r>
        <w:rPr>
          <w:rFonts w:hint="eastAsia"/>
          <w:color w:val="auto"/>
          <w:spacing w:val="-1"/>
          <w:position w:val="2"/>
          <w:highlight w:val="none"/>
        </w:rPr>
        <w:t>监测时间：2</w:t>
      </w:r>
      <w:r>
        <w:rPr>
          <w:color w:val="auto"/>
          <w:spacing w:val="-1"/>
          <w:position w:val="2"/>
          <w:highlight w:val="none"/>
        </w:rPr>
        <w:t>02</w:t>
      </w:r>
      <w:r>
        <w:rPr>
          <w:rFonts w:hint="eastAsia"/>
          <w:color w:val="auto"/>
          <w:spacing w:val="-1"/>
          <w:position w:val="2"/>
          <w:highlight w:val="none"/>
          <w:lang w:val="en-US" w:eastAsia="zh-CN"/>
        </w:rPr>
        <w:t>6</w:t>
      </w:r>
      <w:r>
        <w:rPr>
          <w:rFonts w:hint="eastAsia"/>
          <w:color w:val="auto"/>
          <w:spacing w:val="-1"/>
          <w:position w:val="2"/>
          <w:highlight w:val="none"/>
        </w:rPr>
        <w:t>年</w:t>
      </w:r>
      <w:r>
        <w:rPr>
          <w:rFonts w:hint="eastAsia"/>
          <w:color w:val="auto"/>
          <w:spacing w:val="-1"/>
          <w:position w:val="2"/>
          <w:highlight w:val="none"/>
          <w:lang w:val="en-US" w:eastAsia="zh-CN"/>
        </w:rPr>
        <w:t>3</w:t>
      </w:r>
      <w:r>
        <w:rPr>
          <w:rFonts w:hint="eastAsia"/>
          <w:color w:val="auto"/>
          <w:spacing w:val="-1"/>
          <w:position w:val="2"/>
          <w:highlight w:val="none"/>
        </w:rPr>
        <w:t>月</w:t>
      </w:r>
      <w:r>
        <w:rPr>
          <w:rFonts w:hint="eastAsia"/>
          <w:color w:val="auto"/>
          <w:spacing w:val="-1"/>
          <w:position w:val="2"/>
          <w:highlight w:val="none"/>
          <w:lang w:val="en-US" w:eastAsia="zh-CN"/>
        </w:rPr>
        <w:t>1</w:t>
      </w:r>
      <w:r>
        <w:rPr>
          <w:rFonts w:hint="eastAsia"/>
          <w:color w:val="auto"/>
          <w:spacing w:val="-1"/>
          <w:position w:val="2"/>
          <w:highlight w:val="none"/>
        </w:rPr>
        <w:t>日</w:t>
      </w:r>
      <w:r>
        <w:rPr>
          <w:rFonts w:hint="eastAsia"/>
          <w:color w:val="auto"/>
          <w:spacing w:val="-1"/>
          <w:position w:val="2"/>
          <w:highlight w:val="none"/>
          <w:lang w:eastAsia="zh-CN"/>
        </w:rPr>
        <w:t>、</w:t>
      </w:r>
      <w:r>
        <w:rPr>
          <w:rFonts w:hint="eastAsia"/>
          <w:color w:val="auto"/>
          <w:spacing w:val="-1"/>
          <w:position w:val="2"/>
          <w:highlight w:val="none"/>
          <w:lang w:val="en-US" w:eastAsia="zh-CN"/>
        </w:rPr>
        <w:t>2026年5月6日</w:t>
      </w:r>
      <w:r>
        <w:rPr>
          <w:rFonts w:hint="eastAsia"/>
          <w:color w:val="auto"/>
          <w:spacing w:val="-1"/>
          <w:position w:val="2"/>
          <w:highlight w:val="none"/>
        </w:rPr>
        <w:t>。</w:t>
      </w:r>
    </w:p>
    <w:p w14:paraId="557C550E">
      <w:pPr>
        <w:overflowPunct w:val="0"/>
        <w:topLinePunct/>
        <w:ind w:firstLine="480"/>
        <w:rPr>
          <w:color w:val="auto"/>
          <w:spacing w:val="-1"/>
          <w:position w:val="2"/>
          <w:highlight w:val="none"/>
        </w:rPr>
      </w:pPr>
      <w:r>
        <w:rPr>
          <w:rFonts w:hint="eastAsia"/>
          <w:color w:val="auto"/>
          <w:highlight w:val="none"/>
        </w:rPr>
        <w:t>监测单位：</w:t>
      </w:r>
      <w:r>
        <w:rPr>
          <w:rFonts w:hint="eastAsia"/>
          <w:color w:val="auto"/>
          <w:highlight w:val="none"/>
          <w:lang w:val="en-US" w:eastAsia="zh-CN"/>
        </w:rPr>
        <w:t>新疆壹诺环保科技有限公司</w:t>
      </w:r>
      <w:r>
        <w:rPr>
          <w:rFonts w:hint="eastAsia"/>
          <w:color w:val="auto"/>
          <w:highlight w:val="none"/>
        </w:rPr>
        <w:t>。</w:t>
      </w:r>
    </w:p>
    <w:p w14:paraId="6F398EB8">
      <w:pPr>
        <w:pStyle w:val="7"/>
        <w:ind w:firstLine="482" w:firstLineChars="200"/>
        <w:rPr>
          <w:color w:val="auto"/>
          <w:highlight w:val="none"/>
        </w:rPr>
      </w:pPr>
      <w:r>
        <w:rPr>
          <w:color w:val="auto"/>
          <w:highlight w:val="none"/>
        </w:rPr>
        <w:t>4</w:t>
      </w:r>
      <w:r>
        <w:rPr>
          <w:rFonts w:hint="eastAsia"/>
          <w:color w:val="auto"/>
          <w:highlight w:val="none"/>
        </w:rPr>
        <w:t>.2</w:t>
      </w:r>
      <w:r>
        <w:rPr>
          <w:color w:val="auto"/>
          <w:highlight w:val="none"/>
        </w:rPr>
        <w:t>.3.</w:t>
      </w:r>
      <w:r>
        <w:rPr>
          <w:rFonts w:hint="eastAsia"/>
          <w:color w:val="auto"/>
          <w:highlight w:val="none"/>
          <w:lang w:val="en-US" w:eastAsia="zh-CN"/>
        </w:rPr>
        <w:t>2</w:t>
      </w:r>
      <w:r>
        <w:rPr>
          <w:color w:val="auto"/>
          <w:highlight w:val="none"/>
        </w:rPr>
        <w:t>监测点布设</w:t>
      </w:r>
    </w:p>
    <w:p w14:paraId="4BE0EC6A">
      <w:pPr>
        <w:overflowPunct w:val="0"/>
        <w:topLinePunct/>
        <w:ind w:firstLine="476"/>
        <w:rPr>
          <w:color w:val="auto"/>
          <w:highlight w:val="none"/>
        </w:rPr>
      </w:pPr>
      <w:r>
        <w:rPr>
          <w:color w:val="auto"/>
          <w:spacing w:val="-1"/>
          <w:position w:val="2"/>
          <w:highlight w:val="none"/>
        </w:rPr>
        <w:t>项目区地下水环境质量现状评价执行《地下水质量标准》（GB/T14848-2017）中的</w:t>
      </w:r>
      <w:r>
        <w:rPr>
          <w:rFonts w:hint="eastAsia"/>
          <w:color w:val="auto"/>
          <w:spacing w:val="-1"/>
          <w:position w:val="2"/>
          <w:highlight w:val="none"/>
          <w:lang w:eastAsia="zh-CN"/>
        </w:rPr>
        <w:t>III</w:t>
      </w:r>
      <w:r>
        <w:rPr>
          <w:color w:val="auto"/>
          <w:spacing w:val="-1"/>
          <w:position w:val="2"/>
          <w:highlight w:val="none"/>
        </w:rPr>
        <w:t>类标准。</w:t>
      </w:r>
    </w:p>
    <w:p w14:paraId="5B1C237E">
      <w:pPr>
        <w:overflowPunct w:val="0"/>
        <w:topLinePunct/>
        <w:ind w:firstLine="480"/>
        <w:rPr>
          <w:color w:val="auto"/>
          <w:highlight w:val="none"/>
        </w:rPr>
      </w:pPr>
      <w:r>
        <w:rPr>
          <w:color w:val="auto"/>
          <w:highlight w:val="none"/>
        </w:rPr>
        <w:t>本项目选矿厂</w:t>
      </w:r>
      <w:r>
        <w:rPr>
          <w:rFonts w:hint="eastAsia"/>
          <w:color w:val="auto"/>
          <w:highlight w:val="none"/>
          <w:lang w:eastAsia="zh-CN"/>
        </w:rPr>
        <w:t>和尾矿库</w:t>
      </w:r>
      <w:r>
        <w:rPr>
          <w:color w:val="auto"/>
          <w:highlight w:val="none"/>
        </w:rPr>
        <w:t>地下水评价等级为三级</w:t>
      </w:r>
      <w:r>
        <w:rPr>
          <w:rFonts w:hint="eastAsia"/>
          <w:color w:val="auto"/>
          <w:highlight w:val="none"/>
        </w:rPr>
        <w:t>。根据《环境影响评价技术导则 地下水环境》（HJ</w:t>
      </w:r>
      <w:r>
        <w:rPr>
          <w:color w:val="auto"/>
          <w:highlight w:val="none"/>
        </w:rPr>
        <w:t>610-2016</w:t>
      </w:r>
      <w:r>
        <w:rPr>
          <w:rFonts w:hint="eastAsia"/>
          <w:color w:val="auto"/>
          <w:highlight w:val="none"/>
        </w:rPr>
        <w:t>），本项目潜水含水层的水质监测点应不少于</w:t>
      </w:r>
      <w:r>
        <w:rPr>
          <w:rFonts w:hint="eastAsia"/>
          <w:color w:val="auto"/>
          <w:highlight w:val="none"/>
          <w:lang w:val="en-US" w:eastAsia="zh-CN"/>
        </w:rPr>
        <w:t>3</w:t>
      </w:r>
      <w:r>
        <w:rPr>
          <w:rFonts w:hint="eastAsia"/>
          <w:color w:val="auto"/>
          <w:highlight w:val="none"/>
        </w:rPr>
        <w:t>个</w:t>
      </w:r>
      <w:r>
        <w:rPr>
          <w:rFonts w:hint="eastAsia" w:cs="Courier New"/>
          <w:color w:val="auto"/>
          <w:highlight w:val="none"/>
        </w:rPr>
        <w:t>。</w:t>
      </w:r>
      <w:r>
        <w:rPr>
          <w:rFonts w:hint="eastAsia" w:cs="Courier New"/>
          <w:color w:val="auto"/>
          <w:highlight w:val="none"/>
          <w:lang w:eastAsia="zh-CN"/>
        </w:rPr>
        <w:t>本次</w:t>
      </w:r>
      <w:r>
        <w:rPr>
          <w:rFonts w:hint="eastAsia" w:cs="Courier New"/>
          <w:color w:val="auto"/>
          <w:highlight w:val="none"/>
          <w:lang w:val="en-US" w:eastAsia="zh-CN"/>
        </w:rPr>
        <w:t>环评实地监测了2处点位，并</w:t>
      </w:r>
      <w:r>
        <w:rPr>
          <w:rFonts w:hint="eastAsia" w:cs="Courier New"/>
          <w:color w:val="auto"/>
          <w:highlight w:val="none"/>
          <w:lang w:eastAsia="zh-CN"/>
        </w:rPr>
        <w:t>引用</w:t>
      </w:r>
      <w:r>
        <w:rPr>
          <w:rFonts w:hint="eastAsia"/>
          <w:color w:val="auto"/>
          <w:highlight w:val="none"/>
          <w:lang w:val="en-US" w:eastAsia="zh-CN"/>
        </w:rPr>
        <w:t>新疆锡水金山环境科技有限公司2025年2月22日出具的</w:t>
      </w:r>
      <w:r>
        <w:rPr>
          <w:rFonts w:hint="eastAsia"/>
          <w:color w:val="auto"/>
          <w:highlight w:val="none"/>
          <w:lang w:eastAsia="zh-CN"/>
        </w:rPr>
        <w:t>《</w:t>
      </w:r>
      <w:r>
        <w:rPr>
          <w:rFonts w:hint="eastAsia"/>
          <w:color w:val="auto"/>
          <w:highlight w:val="none"/>
          <w:lang w:val="en-US" w:eastAsia="zh-CN"/>
        </w:rPr>
        <w:t>新疆若羌县皮亚孜达坂萤石矿采选一体化项目环境现状检测报告</w:t>
      </w:r>
      <w:r>
        <w:rPr>
          <w:rFonts w:hint="eastAsia"/>
          <w:color w:val="auto"/>
          <w:highlight w:val="none"/>
          <w:lang w:eastAsia="zh-CN"/>
        </w:rPr>
        <w:t>》</w:t>
      </w:r>
      <w:r>
        <w:rPr>
          <w:rFonts w:hint="eastAsia" w:cs="Courier New"/>
          <w:color w:val="auto"/>
          <w:highlight w:val="none"/>
          <w:lang w:eastAsia="zh-CN"/>
        </w:rPr>
        <w:t>的中位于</w:t>
      </w:r>
      <w:r>
        <w:rPr>
          <w:rFonts w:hint="eastAsia" w:cs="Courier New"/>
          <w:color w:val="auto"/>
          <w:highlight w:val="none"/>
          <w:lang w:val="en-US" w:eastAsia="zh-CN"/>
        </w:rPr>
        <w:t>本项目</w:t>
      </w:r>
      <w:r>
        <w:rPr>
          <w:rFonts w:hint="eastAsia" w:cs="Courier New"/>
          <w:color w:val="auto"/>
          <w:highlight w:val="none"/>
          <w:lang w:eastAsia="zh-CN"/>
        </w:rPr>
        <w:t>上游的监测井地下水监测数据</w:t>
      </w:r>
      <w:r>
        <w:rPr>
          <w:rFonts w:hint="eastAsia"/>
          <w:color w:val="auto"/>
          <w:highlight w:val="none"/>
        </w:rPr>
        <w:t>，地下水监测点</w:t>
      </w:r>
      <w:r>
        <w:rPr>
          <w:color w:val="auto"/>
          <w:highlight w:val="none"/>
        </w:rPr>
        <w:t>具体位置见</w:t>
      </w:r>
      <w:r>
        <w:rPr>
          <w:rFonts w:hint="eastAsia"/>
          <w:color w:val="auto"/>
          <w:highlight w:val="none"/>
        </w:rPr>
        <w:t>表4</w:t>
      </w:r>
      <w:r>
        <w:rPr>
          <w:color w:val="auto"/>
          <w:highlight w:val="none"/>
        </w:rPr>
        <w:t>.2-</w:t>
      </w:r>
      <w:r>
        <w:rPr>
          <w:rFonts w:hint="eastAsia"/>
          <w:color w:val="auto"/>
          <w:highlight w:val="none"/>
          <w:lang w:val="en-US" w:eastAsia="zh-CN"/>
        </w:rPr>
        <w:t>7</w:t>
      </w:r>
      <w:r>
        <w:rPr>
          <w:rFonts w:hint="eastAsia"/>
          <w:color w:val="auto"/>
          <w:highlight w:val="none"/>
        </w:rPr>
        <w:t>、</w:t>
      </w:r>
      <w:r>
        <w:rPr>
          <w:color w:val="auto"/>
          <w:highlight w:val="none"/>
        </w:rPr>
        <w:t>图4.</w:t>
      </w:r>
      <w:r>
        <w:rPr>
          <w:rFonts w:hint="eastAsia"/>
          <w:color w:val="auto"/>
          <w:highlight w:val="none"/>
        </w:rPr>
        <w:t>2-</w:t>
      </w:r>
      <w:r>
        <w:rPr>
          <w:rFonts w:hint="eastAsia"/>
          <w:color w:val="auto"/>
          <w:highlight w:val="none"/>
          <w:lang w:val="en-US" w:eastAsia="zh-CN"/>
        </w:rPr>
        <w:t>2</w:t>
      </w:r>
      <w:r>
        <w:rPr>
          <w:rFonts w:hint="eastAsia"/>
          <w:color w:val="auto"/>
          <w:highlight w:val="none"/>
        </w:rPr>
        <w:t>。</w:t>
      </w:r>
    </w:p>
    <w:p w14:paraId="1E4D5CB0">
      <w:pPr>
        <w:adjustRightInd w:val="0"/>
        <w:snapToGrid w:val="0"/>
        <w:ind w:firstLine="0" w:firstLineChars="0"/>
        <w:jc w:val="center"/>
        <w:rPr>
          <w:b/>
          <w:color w:val="auto"/>
          <w:kern w:val="0"/>
          <w:szCs w:val="22"/>
          <w:highlight w:val="none"/>
          <w:lang w:val="zh-CN"/>
        </w:rPr>
      </w:pPr>
      <w:r>
        <w:rPr>
          <w:b/>
          <w:color w:val="auto"/>
          <w:kern w:val="0"/>
          <w:szCs w:val="22"/>
          <w:highlight w:val="none"/>
          <w:lang w:val="zh-CN"/>
        </w:rPr>
        <w:t>表</w:t>
      </w:r>
      <w:r>
        <w:rPr>
          <w:rFonts w:hint="eastAsia"/>
          <w:b/>
          <w:color w:val="auto"/>
          <w:kern w:val="0"/>
          <w:szCs w:val="22"/>
          <w:highlight w:val="none"/>
          <w:lang w:val="zh-CN"/>
        </w:rPr>
        <w:t>4.2-</w:t>
      </w:r>
      <w:r>
        <w:rPr>
          <w:rFonts w:hint="eastAsia"/>
          <w:b/>
          <w:color w:val="auto"/>
          <w:kern w:val="0"/>
          <w:szCs w:val="22"/>
          <w:highlight w:val="none"/>
          <w:lang w:val="en-US" w:eastAsia="zh-CN"/>
        </w:rPr>
        <w:t>7</w:t>
      </w:r>
      <w:r>
        <w:rPr>
          <w:b/>
          <w:color w:val="auto"/>
          <w:kern w:val="0"/>
          <w:szCs w:val="22"/>
          <w:highlight w:val="none"/>
          <w:lang w:val="zh-CN"/>
        </w:rPr>
        <w:t xml:space="preserve">    地下水监测点位</w:t>
      </w:r>
      <w:r>
        <w:rPr>
          <w:rFonts w:hint="eastAsia"/>
          <w:b/>
          <w:color w:val="auto"/>
          <w:kern w:val="0"/>
          <w:szCs w:val="22"/>
          <w:highlight w:val="none"/>
          <w:lang w:val="zh-CN"/>
        </w:rPr>
        <w:t>情况表</w:t>
      </w:r>
    </w:p>
    <w:tbl>
      <w:tblPr>
        <w:tblStyle w:val="1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1810"/>
        <w:gridCol w:w="1759"/>
        <w:gridCol w:w="1759"/>
        <w:gridCol w:w="1759"/>
      </w:tblGrid>
      <w:tr w14:paraId="10BA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pct"/>
            <w:tcBorders>
              <w:tl2br w:val="nil"/>
              <w:tr2bl w:val="nil"/>
            </w:tcBorders>
            <w:vAlign w:val="center"/>
          </w:tcPr>
          <w:p w14:paraId="59BC18F0">
            <w:pPr>
              <w:pStyle w:val="17"/>
              <w:bidi w:val="0"/>
              <w:rPr>
                <w:rFonts w:hint="eastAsia"/>
                <w:color w:val="auto"/>
                <w:highlight w:val="none"/>
                <w:lang w:eastAsia="zh-CN"/>
              </w:rPr>
            </w:pPr>
            <w:r>
              <w:rPr>
                <w:color w:val="auto"/>
                <w:highlight w:val="none"/>
              </w:rPr>
              <w:t>点位</w:t>
            </w:r>
            <w:r>
              <w:rPr>
                <w:rFonts w:hint="eastAsia"/>
                <w:color w:val="auto"/>
                <w:highlight w:val="none"/>
                <w:lang w:eastAsia="zh-CN"/>
              </w:rPr>
              <w:t>序号</w:t>
            </w:r>
          </w:p>
        </w:tc>
        <w:tc>
          <w:tcPr>
            <w:tcW w:w="1062" w:type="pct"/>
            <w:tcBorders>
              <w:tl2br w:val="nil"/>
              <w:tr2bl w:val="nil"/>
            </w:tcBorders>
            <w:vAlign w:val="center"/>
          </w:tcPr>
          <w:p w14:paraId="69D4F678">
            <w:pPr>
              <w:pStyle w:val="17"/>
              <w:bidi w:val="0"/>
              <w:rPr>
                <w:color w:val="auto"/>
                <w:highlight w:val="none"/>
              </w:rPr>
            </w:pPr>
            <w:r>
              <w:rPr>
                <w:color w:val="auto"/>
                <w:highlight w:val="none"/>
              </w:rPr>
              <w:t>经度</w:t>
            </w:r>
          </w:p>
        </w:tc>
        <w:tc>
          <w:tcPr>
            <w:tcW w:w="1032" w:type="pct"/>
            <w:tcBorders>
              <w:tl2br w:val="nil"/>
              <w:tr2bl w:val="nil"/>
            </w:tcBorders>
            <w:vAlign w:val="center"/>
          </w:tcPr>
          <w:p w14:paraId="79B87183">
            <w:pPr>
              <w:pStyle w:val="17"/>
              <w:bidi w:val="0"/>
              <w:rPr>
                <w:color w:val="auto"/>
                <w:highlight w:val="none"/>
              </w:rPr>
            </w:pPr>
            <w:r>
              <w:rPr>
                <w:color w:val="auto"/>
                <w:highlight w:val="none"/>
              </w:rPr>
              <w:t>纬度</w:t>
            </w:r>
          </w:p>
        </w:tc>
        <w:tc>
          <w:tcPr>
            <w:tcW w:w="1032" w:type="pct"/>
            <w:tcBorders>
              <w:tl2br w:val="nil"/>
              <w:tr2bl w:val="nil"/>
            </w:tcBorders>
            <w:vAlign w:val="center"/>
          </w:tcPr>
          <w:p w14:paraId="40F6E6CB">
            <w:pPr>
              <w:pStyle w:val="17"/>
              <w:bidi w:val="0"/>
              <w:rPr>
                <w:rFonts w:hint="default"/>
                <w:color w:val="auto"/>
                <w:highlight w:val="none"/>
                <w:lang w:val="en-US" w:eastAsia="zh-CN"/>
              </w:rPr>
            </w:pPr>
            <w:r>
              <w:rPr>
                <w:rFonts w:hint="eastAsia"/>
                <w:color w:val="auto"/>
                <w:highlight w:val="none"/>
                <w:lang w:val="en-US" w:eastAsia="zh-CN"/>
              </w:rPr>
              <w:t>与本项目位置关系</w:t>
            </w:r>
          </w:p>
        </w:tc>
        <w:tc>
          <w:tcPr>
            <w:tcW w:w="1032" w:type="pct"/>
            <w:tcBorders>
              <w:tl2br w:val="nil"/>
              <w:tr2bl w:val="nil"/>
            </w:tcBorders>
            <w:vAlign w:val="center"/>
          </w:tcPr>
          <w:p w14:paraId="1D9CA546">
            <w:pPr>
              <w:pStyle w:val="17"/>
              <w:bidi w:val="0"/>
              <w:rPr>
                <w:rFonts w:hint="eastAsia"/>
                <w:color w:val="auto"/>
                <w:highlight w:val="none"/>
                <w:lang w:val="en-US" w:eastAsia="zh-CN"/>
              </w:rPr>
            </w:pPr>
            <w:r>
              <w:rPr>
                <w:rFonts w:hint="eastAsia"/>
                <w:color w:val="auto"/>
                <w:highlight w:val="none"/>
                <w:lang w:val="en-US" w:eastAsia="zh-CN"/>
              </w:rPr>
              <w:t>备注</w:t>
            </w:r>
          </w:p>
        </w:tc>
      </w:tr>
      <w:tr w14:paraId="06C5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pct"/>
            <w:tcBorders>
              <w:tl2br w:val="nil"/>
              <w:tr2bl w:val="nil"/>
            </w:tcBorders>
            <w:vAlign w:val="center"/>
          </w:tcPr>
          <w:p w14:paraId="777317C3">
            <w:pPr>
              <w:pStyle w:val="17"/>
              <w:bidi w:val="0"/>
              <w:rPr>
                <w:rFonts w:hint="default" w:eastAsia="宋体"/>
                <w:color w:val="auto"/>
                <w:highlight w:val="none"/>
                <w:lang w:val="en-US" w:eastAsia="zh-CN"/>
              </w:rPr>
            </w:pPr>
            <w:r>
              <w:rPr>
                <w:rFonts w:hint="eastAsia"/>
                <w:color w:val="auto"/>
                <w:highlight w:val="none"/>
                <w:lang w:val="en-US" w:eastAsia="zh-CN"/>
              </w:rPr>
              <w:t>D1</w:t>
            </w:r>
          </w:p>
        </w:tc>
        <w:tc>
          <w:tcPr>
            <w:tcW w:w="1062" w:type="pct"/>
            <w:tcBorders>
              <w:tl2br w:val="nil"/>
              <w:tr2bl w:val="nil"/>
            </w:tcBorders>
            <w:vAlign w:val="center"/>
          </w:tcPr>
          <w:p w14:paraId="77EED6E4">
            <w:pPr>
              <w:pStyle w:val="17"/>
              <w:bidi w:val="0"/>
              <w:rPr>
                <w:rFonts w:hint="default"/>
                <w:color w:val="auto"/>
                <w:highlight w:val="none"/>
                <w:lang w:val="en-US" w:eastAsia="zh-CN"/>
              </w:rPr>
            </w:pPr>
          </w:p>
        </w:tc>
        <w:tc>
          <w:tcPr>
            <w:tcW w:w="1032" w:type="pct"/>
            <w:tcBorders>
              <w:tl2br w:val="nil"/>
              <w:tr2bl w:val="nil"/>
            </w:tcBorders>
            <w:vAlign w:val="center"/>
          </w:tcPr>
          <w:p w14:paraId="441D2D39">
            <w:pPr>
              <w:pStyle w:val="17"/>
              <w:bidi w:val="0"/>
              <w:rPr>
                <w:rFonts w:hint="default"/>
                <w:color w:val="auto"/>
                <w:highlight w:val="none"/>
                <w:lang w:val="en-US" w:eastAsia="zh-CN"/>
              </w:rPr>
            </w:pPr>
          </w:p>
        </w:tc>
        <w:tc>
          <w:tcPr>
            <w:tcW w:w="1032" w:type="pct"/>
            <w:tcBorders>
              <w:tl2br w:val="nil"/>
              <w:tr2bl w:val="nil"/>
            </w:tcBorders>
            <w:vAlign w:val="center"/>
          </w:tcPr>
          <w:p w14:paraId="32DBAA34">
            <w:pPr>
              <w:pStyle w:val="17"/>
              <w:bidi w:val="0"/>
              <w:rPr>
                <w:rFonts w:hint="default"/>
                <w:color w:val="auto"/>
                <w:highlight w:val="none"/>
                <w:lang w:val="en-US" w:eastAsia="zh-CN"/>
              </w:rPr>
            </w:pPr>
            <w:r>
              <w:rPr>
                <w:rFonts w:hint="eastAsia"/>
                <w:color w:val="auto"/>
                <w:highlight w:val="none"/>
                <w:lang w:val="en-US" w:eastAsia="zh-CN"/>
              </w:rPr>
              <w:t>项目区内</w:t>
            </w:r>
          </w:p>
        </w:tc>
        <w:tc>
          <w:tcPr>
            <w:tcW w:w="1032" w:type="pct"/>
            <w:tcBorders>
              <w:tl2br w:val="nil"/>
              <w:tr2bl w:val="nil"/>
            </w:tcBorders>
            <w:vAlign w:val="center"/>
          </w:tcPr>
          <w:p w14:paraId="36DB218F">
            <w:pPr>
              <w:pStyle w:val="17"/>
              <w:bidi w:val="0"/>
              <w:rPr>
                <w:rFonts w:hint="default"/>
                <w:color w:val="auto"/>
                <w:highlight w:val="none"/>
                <w:lang w:val="en-US" w:eastAsia="zh-CN"/>
              </w:rPr>
            </w:pPr>
            <w:r>
              <w:rPr>
                <w:rFonts w:hint="eastAsia"/>
                <w:color w:val="auto"/>
                <w:highlight w:val="none"/>
                <w:lang w:val="en-US" w:eastAsia="zh-CN"/>
              </w:rPr>
              <w:t>实地监测</w:t>
            </w:r>
          </w:p>
        </w:tc>
      </w:tr>
      <w:tr w14:paraId="15E1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pct"/>
            <w:tcBorders>
              <w:tl2br w:val="nil"/>
              <w:tr2bl w:val="nil"/>
            </w:tcBorders>
            <w:vAlign w:val="center"/>
          </w:tcPr>
          <w:p w14:paraId="78EE6BED">
            <w:pPr>
              <w:pStyle w:val="17"/>
              <w:bidi w:val="0"/>
              <w:rPr>
                <w:rFonts w:hint="default" w:eastAsia="宋体"/>
                <w:color w:val="auto"/>
                <w:highlight w:val="none"/>
                <w:lang w:val="en-US" w:eastAsia="zh-CN"/>
              </w:rPr>
            </w:pPr>
            <w:r>
              <w:rPr>
                <w:rFonts w:hint="eastAsia"/>
                <w:color w:val="auto"/>
                <w:highlight w:val="none"/>
                <w:lang w:val="en-US" w:eastAsia="zh-CN"/>
              </w:rPr>
              <w:t>D2</w:t>
            </w:r>
          </w:p>
        </w:tc>
        <w:tc>
          <w:tcPr>
            <w:tcW w:w="1062" w:type="pct"/>
            <w:tcBorders>
              <w:tl2br w:val="nil"/>
              <w:tr2bl w:val="nil"/>
            </w:tcBorders>
            <w:vAlign w:val="center"/>
          </w:tcPr>
          <w:p w14:paraId="21364BA8">
            <w:pPr>
              <w:pStyle w:val="17"/>
              <w:bidi w:val="0"/>
              <w:rPr>
                <w:color w:val="auto"/>
                <w:highlight w:val="none"/>
              </w:rPr>
            </w:pPr>
          </w:p>
        </w:tc>
        <w:tc>
          <w:tcPr>
            <w:tcW w:w="1032" w:type="pct"/>
            <w:tcBorders>
              <w:tl2br w:val="nil"/>
              <w:tr2bl w:val="nil"/>
            </w:tcBorders>
            <w:vAlign w:val="center"/>
          </w:tcPr>
          <w:p w14:paraId="5EF04686">
            <w:pPr>
              <w:pStyle w:val="17"/>
              <w:bidi w:val="0"/>
              <w:rPr>
                <w:color w:val="auto"/>
                <w:highlight w:val="none"/>
              </w:rPr>
            </w:pPr>
          </w:p>
        </w:tc>
        <w:tc>
          <w:tcPr>
            <w:tcW w:w="1032" w:type="pct"/>
            <w:tcBorders>
              <w:tl2br w:val="nil"/>
              <w:tr2bl w:val="nil"/>
            </w:tcBorders>
            <w:vAlign w:val="center"/>
          </w:tcPr>
          <w:p w14:paraId="5F861779">
            <w:pPr>
              <w:pStyle w:val="17"/>
              <w:bidi w:val="0"/>
              <w:rPr>
                <w:rFonts w:hint="default"/>
                <w:color w:val="auto"/>
                <w:highlight w:val="none"/>
                <w:lang w:val="en-US" w:eastAsia="zh-CN"/>
              </w:rPr>
            </w:pPr>
            <w:r>
              <w:rPr>
                <w:rFonts w:hint="eastAsia"/>
                <w:color w:val="auto"/>
                <w:highlight w:val="none"/>
                <w:lang w:val="en-US" w:eastAsia="zh-CN"/>
              </w:rPr>
              <w:t>项目区内</w:t>
            </w:r>
          </w:p>
        </w:tc>
        <w:tc>
          <w:tcPr>
            <w:tcW w:w="1032" w:type="pct"/>
            <w:tcBorders>
              <w:tl2br w:val="nil"/>
              <w:tr2bl w:val="nil"/>
            </w:tcBorders>
            <w:vAlign w:val="center"/>
          </w:tcPr>
          <w:p w14:paraId="20A1A7A6">
            <w:pPr>
              <w:pStyle w:val="17"/>
              <w:bidi w:val="0"/>
              <w:rPr>
                <w:rFonts w:hint="default"/>
                <w:color w:val="auto"/>
                <w:highlight w:val="none"/>
                <w:lang w:val="en-US" w:eastAsia="zh-CN"/>
              </w:rPr>
            </w:pPr>
            <w:r>
              <w:rPr>
                <w:rFonts w:hint="eastAsia"/>
                <w:color w:val="auto"/>
                <w:highlight w:val="none"/>
                <w:lang w:val="en-US" w:eastAsia="zh-CN"/>
              </w:rPr>
              <w:t>实地监测</w:t>
            </w:r>
          </w:p>
        </w:tc>
      </w:tr>
      <w:tr w14:paraId="52D2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pct"/>
            <w:tcBorders>
              <w:tl2br w:val="nil"/>
              <w:tr2bl w:val="nil"/>
            </w:tcBorders>
            <w:vAlign w:val="center"/>
          </w:tcPr>
          <w:p w14:paraId="071B82E2">
            <w:pPr>
              <w:pStyle w:val="17"/>
              <w:bidi w:val="0"/>
              <w:rPr>
                <w:rFonts w:hint="default"/>
                <w:color w:val="auto"/>
                <w:highlight w:val="none"/>
                <w:lang w:val="en-US" w:eastAsia="zh-CN"/>
              </w:rPr>
            </w:pPr>
            <w:r>
              <w:rPr>
                <w:rFonts w:hint="eastAsia"/>
                <w:color w:val="auto"/>
                <w:highlight w:val="none"/>
                <w:lang w:val="en-US" w:eastAsia="zh-CN"/>
              </w:rPr>
              <w:t>D3</w:t>
            </w:r>
          </w:p>
        </w:tc>
        <w:tc>
          <w:tcPr>
            <w:tcW w:w="1062" w:type="pct"/>
            <w:tcBorders>
              <w:tl2br w:val="nil"/>
              <w:tr2bl w:val="nil"/>
            </w:tcBorders>
            <w:vAlign w:val="center"/>
          </w:tcPr>
          <w:p w14:paraId="0CD662A1">
            <w:pPr>
              <w:pStyle w:val="17"/>
              <w:bidi w:val="0"/>
              <w:rPr>
                <w:rFonts w:hint="default" w:ascii="Times New Roman" w:hAnsi="Times New Roman" w:cs="Times New Roman"/>
                <w:color w:val="auto"/>
                <w:highlight w:val="none"/>
                <w:lang w:val="en-US" w:eastAsia="zh-CN"/>
              </w:rPr>
            </w:pPr>
          </w:p>
        </w:tc>
        <w:tc>
          <w:tcPr>
            <w:tcW w:w="1032" w:type="pct"/>
            <w:tcBorders>
              <w:tl2br w:val="nil"/>
              <w:tr2bl w:val="nil"/>
            </w:tcBorders>
            <w:vAlign w:val="center"/>
          </w:tcPr>
          <w:p w14:paraId="031EE44B">
            <w:pPr>
              <w:pStyle w:val="17"/>
              <w:bidi w:val="0"/>
              <w:rPr>
                <w:rFonts w:hint="default" w:ascii="Times New Roman" w:hAnsi="Times New Roman" w:cs="Times New Roman"/>
                <w:color w:val="auto"/>
                <w:highlight w:val="none"/>
                <w:lang w:val="en-US" w:eastAsia="zh-CN"/>
              </w:rPr>
            </w:pPr>
          </w:p>
        </w:tc>
        <w:tc>
          <w:tcPr>
            <w:tcW w:w="1032" w:type="pct"/>
            <w:tcBorders>
              <w:tl2br w:val="nil"/>
              <w:tr2bl w:val="nil"/>
            </w:tcBorders>
            <w:vAlign w:val="center"/>
          </w:tcPr>
          <w:p w14:paraId="2086F609">
            <w:pPr>
              <w:pStyle w:val="17"/>
              <w:bidi w:val="0"/>
              <w:rPr>
                <w:rFonts w:hint="default"/>
                <w:color w:val="auto"/>
                <w:highlight w:val="none"/>
                <w:lang w:val="en-US" w:eastAsia="zh-CN"/>
              </w:rPr>
            </w:pPr>
            <w:r>
              <w:rPr>
                <w:rFonts w:hint="eastAsia"/>
                <w:color w:val="auto"/>
                <w:highlight w:val="none"/>
                <w:lang w:val="en-US" w:eastAsia="zh-CN"/>
              </w:rPr>
              <w:t>项目区上游</w:t>
            </w:r>
          </w:p>
        </w:tc>
        <w:tc>
          <w:tcPr>
            <w:tcW w:w="1032" w:type="pct"/>
            <w:tcBorders>
              <w:tl2br w:val="nil"/>
              <w:tr2bl w:val="nil"/>
            </w:tcBorders>
            <w:vAlign w:val="center"/>
          </w:tcPr>
          <w:p w14:paraId="6F497DC1">
            <w:pPr>
              <w:pStyle w:val="17"/>
              <w:bidi w:val="0"/>
              <w:rPr>
                <w:rFonts w:hint="default"/>
                <w:color w:val="auto"/>
                <w:highlight w:val="none"/>
                <w:lang w:val="en-US" w:eastAsia="zh-CN"/>
              </w:rPr>
            </w:pPr>
            <w:r>
              <w:rPr>
                <w:rFonts w:hint="eastAsia"/>
                <w:color w:val="auto"/>
                <w:highlight w:val="none"/>
                <w:lang w:val="en-US" w:eastAsia="zh-CN"/>
              </w:rPr>
              <w:t>引用数据</w:t>
            </w:r>
          </w:p>
        </w:tc>
      </w:tr>
    </w:tbl>
    <w:p w14:paraId="13186240">
      <w:pPr>
        <w:pStyle w:val="7"/>
        <w:ind w:firstLine="482" w:firstLineChars="200"/>
        <w:rPr>
          <w:color w:val="auto"/>
          <w:highlight w:val="none"/>
        </w:rPr>
      </w:pPr>
      <w:r>
        <w:rPr>
          <w:color w:val="auto"/>
          <w:highlight w:val="none"/>
        </w:rPr>
        <w:t>4.</w:t>
      </w:r>
      <w:r>
        <w:rPr>
          <w:rFonts w:hint="eastAsia"/>
          <w:color w:val="auto"/>
          <w:highlight w:val="none"/>
        </w:rPr>
        <w:t>2.</w:t>
      </w:r>
      <w:r>
        <w:rPr>
          <w:color w:val="auto"/>
          <w:highlight w:val="none"/>
        </w:rPr>
        <w:t>3.</w:t>
      </w:r>
      <w:r>
        <w:rPr>
          <w:rFonts w:hint="eastAsia"/>
          <w:color w:val="auto"/>
          <w:highlight w:val="none"/>
          <w:lang w:val="en-US" w:eastAsia="zh-CN"/>
        </w:rPr>
        <w:t>3</w:t>
      </w:r>
      <w:r>
        <w:rPr>
          <w:color w:val="auto"/>
          <w:highlight w:val="none"/>
        </w:rPr>
        <w:t>监测项目</w:t>
      </w:r>
    </w:p>
    <w:p w14:paraId="01E54636">
      <w:pPr>
        <w:overflowPunct w:val="0"/>
        <w:topLinePunct/>
        <w:ind w:firstLine="480"/>
        <w:rPr>
          <w:color w:val="auto"/>
          <w:highlight w:val="none"/>
        </w:rPr>
      </w:pPr>
      <w:r>
        <w:rPr>
          <w:rFonts w:hint="eastAsia" w:ascii="Times New Roman" w:hAnsi="Times New Roman" w:eastAsia="宋体" w:cs="Times New Roman"/>
          <w:color w:val="auto"/>
          <w:sz w:val="24"/>
          <w:szCs w:val="24"/>
          <w:highlight w:val="none"/>
          <w:lang w:val="en-US" w:eastAsia="zh-CN"/>
        </w:rPr>
        <w:t>钾</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钠</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钙</w:t>
      </w:r>
      <w:r>
        <w:rPr>
          <w:rFonts w:hint="default" w:ascii="Times New Roman" w:hAnsi="Times New Roman" w:eastAsia="宋体" w:cs="Times New Roman"/>
          <w:color w:val="auto"/>
          <w:sz w:val="24"/>
          <w:szCs w:val="24"/>
          <w:highlight w:val="none"/>
          <w:vertAlign w:val="baseline"/>
          <w:lang w:val="en-US" w:eastAsia="zh-CN"/>
        </w:rPr>
        <w:t>、</w:t>
      </w:r>
      <w:r>
        <w:rPr>
          <w:rFonts w:hint="eastAsia" w:ascii="Times New Roman" w:hAnsi="Times New Roman" w:eastAsia="宋体" w:cs="Times New Roman"/>
          <w:color w:val="auto"/>
          <w:sz w:val="24"/>
          <w:szCs w:val="24"/>
          <w:highlight w:val="none"/>
          <w:lang w:val="en-US" w:eastAsia="zh-CN"/>
        </w:rPr>
        <w:t>镁</w:t>
      </w:r>
      <w:r>
        <w:rPr>
          <w:rFonts w:hint="default" w:ascii="Times New Roman" w:hAnsi="Times New Roman" w:eastAsia="宋体" w:cs="Times New Roman"/>
          <w:color w:val="auto"/>
          <w:sz w:val="24"/>
          <w:szCs w:val="24"/>
          <w:highlight w:val="none"/>
          <w:lang w:val="en-US" w:eastAsia="zh-CN"/>
        </w:rPr>
        <w:t>、碳酸盐、</w:t>
      </w:r>
      <w:r>
        <w:rPr>
          <w:rFonts w:hint="eastAsia" w:ascii="Times New Roman" w:hAnsi="Times New Roman" w:eastAsia="宋体" w:cs="Times New Roman"/>
          <w:color w:val="auto"/>
          <w:sz w:val="24"/>
          <w:szCs w:val="24"/>
          <w:highlight w:val="none"/>
          <w:lang w:val="en-US" w:eastAsia="zh-CN"/>
        </w:rPr>
        <w:t>碳酸氢盐</w:t>
      </w:r>
      <w:r>
        <w:rPr>
          <w:rFonts w:hint="default" w:ascii="Times New Roman" w:hAnsi="Times New Roman" w:eastAsia="宋体" w:cs="Times New Roman"/>
          <w:color w:val="auto"/>
          <w:sz w:val="24"/>
          <w:szCs w:val="24"/>
          <w:highlight w:val="none"/>
          <w:vertAlign w:val="superscript"/>
          <w:lang w:val="en-US" w:eastAsia="zh-CN"/>
        </w:rPr>
        <w:t>-</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氯化物</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硫酸盐</w:t>
      </w:r>
      <w:r>
        <w:rPr>
          <w:rFonts w:hint="default" w:ascii="Times New Roman" w:hAnsi="Times New Roman" w:eastAsia="宋体" w:cs="Times New Roman"/>
          <w:color w:val="auto"/>
          <w:sz w:val="24"/>
          <w:szCs w:val="24"/>
          <w:highlight w:val="none"/>
          <w:vertAlign w:val="baseline"/>
          <w:lang w:val="en-US" w:eastAsia="zh-CN"/>
        </w:rPr>
        <w:t>以及</w:t>
      </w:r>
      <w:r>
        <w:rPr>
          <w:rFonts w:hint="default" w:ascii="Times New Roman" w:hAnsi="Times New Roman" w:eastAsia="宋体" w:cs="Times New Roman"/>
          <w:color w:val="auto"/>
          <w:sz w:val="24"/>
          <w:szCs w:val="24"/>
          <w:highlight w:val="none"/>
        </w:rPr>
        <w:t>pH值、总硬度</w:t>
      </w:r>
      <w:r>
        <w:rPr>
          <w:rFonts w:hint="default" w:ascii="Times New Roman" w:hAnsi="Times New Roman" w:eastAsia="宋体" w:cs="Times New Roman"/>
          <w:color w:val="auto"/>
          <w:sz w:val="24"/>
          <w:szCs w:val="24"/>
          <w:highlight w:val="none"/>
          <w:lang w:eastAsia="zh-CN"/>
        </w:rPr>
        <w:t>、溶解性总固体、铁、锰</w:t>
      </w:r>
      <w:r>
        <w:rPr>
          <w:rFonts w:hint="default" w:ascii="Times New Roman" w:hAnsi="Times New Roman" w:eastAsia="宋体" w:cs="Times New Roman"/>
          <w:b w:val="0"/>
          <w:bCs w:val="0"/>
          <w:color w:val="auto"/>
          <w:sz w:val="24"/>
          <w:szCs w:val="24"/>
          <w:highlight w:val="none"/>
          <w:lang w:eastAsia="zh-CN"/>
        </w:rPr>
        <w:t>、铜、</w:t>
      </w:r>
      <w:r>
        <w:rPr>
          <w:rFonts w:hint="default" w:ascii="Times New Roman" w:hAnsi="Times New Roman" w:eastAsia="宋体" w:cs="Times New Roman"/>
          <w:b w:val="0"/>
          <w:bCs w:val="0"/>
          <w:color w:val="auto"/>
          <w:sz w:val="24"/>
          <w:szCs w:val="24"/>
          <w:highlight w:val="none"/>
        </w:rPr>
        <w:t>锌、</w:t>
      </w:r>
      <w:r>
        <w:rPr>
          <w:rFonts w:hint="default" w:ascii="Times New Roman" w:hAnsi="Times New Roman" w:eastAsia="宋体" w:cs="Times New Roman"/>
          <w:color w:val="auto"/>
          <w:sz w:val="24"/>
          <w:szCs w:val="24"/>
          <w:highlight w:val="none"/>
        </w:rPr>
        <w:t>挥发性酚类、氨氮、总大肠菌群、亚硝酸盐、硝酸盐</w:t>
      </w:r>
      <w:r>
        <w:rPr>
          <w:rFonts w:hint="default" w:ascii="Times New Roman" w:hAnsi="Times New Roman" w:eastAsia="宋体" w:cs="Times New Roman"/>
          <w:color w:val="auto"/>
          <w:sz w:val="24"/>
          <w:szCs w:val="24"/>
          <w:highlight w:val="none"/>
          <w:lang w:eastAsia="zh-CN"/>
        </w:rPr>
        <w:t>、氰化物、氟化物</w:t>
      </w:r>
      <w:r>
        <w:rPr>
          <w:rFonts w:hint="default" w:ascii="Times New Roman" w:hAnsi="Times New Roman" w:eastAsia="宋体" w:cs="Times New Roman"/>
          <w:color w:val="auto"/>
          <w:sz w:val="24"/>
          <w:szCs w:val="24"/>
          <w:highlight w:val="none"/>
        </w:rPr>
        <w:t>、汞、砷、镉、铬（六价）、铅、镍</w:t>
      </w:r>
      <w:r>
        <w:rPr>
          <w:rFonts w:hint="eastAsia" w:ascii="Times New Roman" w:hAnsi="Times New Roman" w:eastAsia="宋体" w:cs="Times New Roman"/>
          <w:color w:val="auto"/>
          <w:sz w:val="24"/>
          <w:szCs w:val="24"/>
          <w:highlight w:val="none"/>
          <w:lang w:eastAsia="zh-CN"/>
        </w:rPr>
        <w:t>。</w:t>
      </w:r>
    </w:p>
    <w:p w14:paraId="259D5C95">
      <w:pPr>
        <w:pStyle w:val="7"/>
        <w:ind w:firstLine="482"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3</w:t>
      </w:r>
      <w:r>
        <w:rPr>
          <w:color w:val="auto"/>
          <w:highlight w:val="none"/>
        </w:rPr>
        <w:t>.</w:t>
      </w:r>
      <w:r>
        <w:rPr>
          <w:rFonts w:hint="eastAsia"/>
          <w:color w:val="auto"/>
          <w:highlight w:val="none"/>
          <w:lang w:val="en-US" w:eastAsia="zh-CN"/>
        </w:rPr>
        <w:t>4</w:t>
      </w:r>
      <w:r>
        <w:rPr>
          <w:color w:val="auto"/>
          <w:highlight w:val="none"/>
        </w:rPr>
        <w:t>评价标准</w:t>
      </w:r>
    </w:p>
    <w:p w14:paraId="0A462BD9">
      <w:pPr>
        <w:overflowPunct w:val="0"/>
        <w:topLinePunct/>
        <w:adjustRightInd w:val="0"/>
        <w:snapToGrid w:val="0"/>
        <w:ind w:firstLine="476"/>
        <w:rPr>
          <w:rFonts w:hint="default" w:ascii="Times New Roman" w:hAnsi="Times New Roman" w:cs="Times New Roman"/>
          <w:color w:val="auto"/>
          <w:spacing w:val="-1"/>
          <w:position w:val="2"/>
          <w:highlight w:val="none"/>
        </w:rPr>
      </w:pPr>
      <w:r>
        <w:rPr>
          <w:rFonts w:hint="default" w:ascii="Times New Roman" w:hAnsi="Times New Roman" w:cs="Times New Roman"/>
          <w:color w:val="auto"/>
          <w:spacing w:val="-1"/>
          <w:position w:val="2"/>
          <w:highlight w:val="none"/>
        </w:rPr>
        <w:t>本项目地下水评价标准执行《地下水质量标准》（GB/T14848-2017）中的</w:t>
      </w:r>
      <w:r>
        <w:rPr>
          <w:rFonts w:hint="default" w:ascii="Times New Roman" w:hAnsi="Times New Roman" w:cs="Times New Roman"/>
          <w:color w:val="auto"/>
          <w:spacing w:val="-1"/>
          <w:position w:val="2"/>
          <w:highlight w:val="none"/>
          <w:lang w:eastAsia="zh-CN"/>
        </w:rPr>
        <w:t>Ⅲ类</w:t>
      </w:r>
      <w:r>
        <w:rPr>
          <w:rFonts w:hint="default" w:ascii="Times New Roman" w:hAnsi="Times New Roman" w:cs="Times New Roman"/>
          <w:color w:val="auto"/>
          <w:spacing w:val="-1"/>
          <w:position w:val="2"/>
          <w:highlight w:val="none"/>
        </w:rPr>
        <w:t>标准。</w:t>
      </w:r>
    </w:p>
    <w:p w14:paraId="3980C12E">
      <w:pPr>
        <w:pStyle w:val="7"/>
        <w:ind w:firstLine="482" w:firstLineChars="200"/>
        <w:rPr>
          <w:color w:val="auto"/>
          <w:highlight w:val="none"/>
        </w:rPr>
      </w:pPr>
      <w:r>
        <w:rPr>
          <w:color w:val="auto"/>
          <w:highlight w:val="none"/>
        </w:rPr>
        <w:t>4.</w:t>
      </w:r>
      <w:r>
        <w:rPr>
          <w:rFonts w:hint="eastAsia"/>
          <w:color w:val="auto"/>
          <w:highlight w:val="none"/>
        </w:rPr>
        <w:t>2</w:t>
      </w:r>
      <w:r>
        <w:rPr>
          <w:color w:val="auto"/>
          <w:highlight w:val="none"/>
        </w:rPr>
        <w:t>.3.</w:t>
      </w:r>
      <w:r>
        <w:rPr>
          <w:rFonts w:hint="eastAsia"/>
          <w:color w:val="auto"/>
          <w:highlight w:val="none"/>
          <w:lang w:val="en-US" w:eastAsia="zh-CN"/>
        </w:rPr>
        <w:t>5</w:t>
      </w:r>
      <w:r>
        <w:rPr>
          <w:color w:val="auto"/>
          <w:highlight w:val="none"/>
        </w:rPr>
        <w:t>评价方法</w:t>
      </w:r>
    </w:p>
    <w:p w14:paraId="01437D2E">
      <w:pPr>
        <w:overflowPunct w:val="0"/>
        <w:topLinePunct/>
        <w:ind w:left="0" w:leftChars="0" w:firstLine="476"/>
        <w:rPr>
          <w:color w:val="auto"/>
          <w:spacing w:val="-1"/>
          <w:position w:val="2"/>
          <w:sz w:val="24"/>
          <w:highlight w:val="none"/>
        </w:rPr>
      </w:pPr>
      <w:r>
        <w:rPr>
          <w:color w:val="auto"/>
          <w:spacing w:val="-1"/>
          <w:position w:val="2"/>
          <w:sz w:val="24"/>
          <w:highlight w:val="none"/>
        </w:rPr>
        <w:t>评价方法采用单因子标准指数法，计算公式：</w:t>
      </w:r>
    </w:p>
    <w:p w14:paraId="4A009E57">
      <w:pPr>
        <w:spacing w:line="240" w:lineRule="atLeast"/>
        <w:ind w:firstLine="960" w:firstLineChars="400"/>
        <w:jc w:val="center"/>
        <w:rPr>
          <w:color w:val="auto"/>
          <w:highlight w:val="none"/>
        </w:rPr>
      </w:pPr>
      <w:r>
        <w:rPr>
          <w:color w:val="auto"/>
          <w:position w:val="-30"/>
          <w:highlight w:val="none"/>
        </w:rPr>
        <w:object>
          <v:shape id="_x0000_i1025" o:spt="75" type="#_x0000_t75" style="height:36pt;width:51.45pt;" o:ole="t" filled="f" o:preferrelative="t" stroked="f" coordsize="21600,21600">
            <v:path/>
            <v:fill on="f" focussize="0,0"/>
            <v:stroke on="f" joinstyle="miter"/>
            <v:imagedata r:id="rId33" o:title=""/>
            <o:lock v:ext="edit" aspectratio="t"/>
            <w10:wrap type="none"/>
            <w10:anchorlock/>
          </v:shape>
          <o:OLEObject Type="Embed" ProgID="Equation.2" ShapeID="_x0000_i1025" DrawAspect="Content" ObjectID="_1468075725" r:id="rId32">
            <o:LockedField>false</o:LockedField>
          </o:OLEObject>
        </w:object>
      </w:r>
    </w:p>
    <w:p w14:paraId="2631EB07">
      <w:pPr>
        <w:overflowPunct w:val="0"/>
        <w:topLinePunct/>
        <w:ind w:firstLine="480"/>
        <w:rPr>
          <w:color w:val="auto"/>
          <w:highlight w:val="none"/>
        </w:rPr>
      </w:pPr>
      <w:r>
        <w:rPr>
          <w:color w:val="auto"/>
          <w:highlight w:val="none"/>
        </w:rPr>
        <w:t>式中：S</w:t>
      </w:r>
      <w:r>
        <w:rPr>
          <w:color w:val="auto"/>
          <w:highlight w:val="none"/>
          <w:vertAlign w:val="subscript"/>
        </w:rPr>
        <w:t>i,j</w:t>
      </w:r>
      <w:r>
        <w:rPr>
          <w:color w:val="auto"/>
          <w:highlight w:val="none"/>
        </w:rPr>
        <w:t>——评价因子i的水质指数，大于1表明该水质因子超标；</w:t>
      </w:r>
    </w:p>
    <w:p w14:paraId="0F8A0699">
      <w:pPr>
        <w:overflowPunct w:val="0"/>
        <w:topLinePunct/>
        <w:ind w:firstLine="480"/>
        <w:rPr>
          <w:color w:val="auto"/>
          <w:highlight w:val="none"/>
        </w:rPr>
      </w:pPr>
      <w:r>
        <w:rPr>
          <w:color w:val="auto"/>
          <w:highlight w:val="none"/>
        </w:rPr>
        <w:t xml:space="preserve">      C</w:t>
      </w:r>
      <w:r>
        <w:rPr>
          <w:color w:val="auto"/>
          <w:highlight w:val="none"/>
          <w:vertAlign w:val="subscript"/>
        </w:rPr>
        <w:t>i,j</w:t>
      </w:r>
      <w:r>
        <w:rPr>
          <w:color w:val="auto"/>
          <w:highlight w:val="none"/>
        </w:rPr>
        <w:t>——评价因子i在j点的实测统计代表值，mg/L；</w:t>
      </w:r>
    </w:p>
    <w:p w14:paraId="1BA10821">
      <w:pPr>
        <w:overflowPunct w:val="0"/>
        <w:topLinePunct/>
        <w:ind w:firstLine="480"/>
        <w:rPr>
          <w:color w:val="auto"/>
          <w:highlight w:val="none"/>
        </w:rPr>
      </w:pPr>
      <w:r>
        <w:rPr>
          <w:color w:val="auto"/>
          <w:highlight w:val="none"/>
        </w:rPr>
        <w:t xml:space="preserve">      C</w:t>
      </w:r>
      <w:r>
        <w:rPr>
          <w:color w:val="auto"/>
          <w:highlight w:val="none"/>
          <w:vertAlign w:val="subscript"/>
        </w:rPr>
        <w:t>si</w:t>
      </w:r>
      <w:r>
        <w:rPr>
          <w:color w:val="auto"/>
          <w:highlight w:val="none"/>
        </w:rPr>
        <w:t>——评价因子i的水质评价标准限值，mg/L。</w:t>
      </w:r>
    </w:p>
    <w:p w14:paraId="3DBC00B6">
      <w:pPr>
        <w:overflowPunct w:val="0"/>
        <w:topLinePunct/>
        <w:ind w:firstLine="480"/>
        <w:textAlignment w:val="baseline"/>
        <w:rPr>
          <w:color w:val="auto"/>
          <w:highlight w:val="none"/>
        </w:rPr>
      </w:pPr>
      <w:r>
        <w:rPr>
          <w:color w:val="auto"/>
          <w:highlight w:val="none"/>
        </w:rPr>
        <w:t>pH值的指数计算公式：</w:t>
      </w:r>
    </w:p>
    <w:p w14:paraId="48B0A451">
      <w:pPr>
        <w:overflowPunct w:val="0"/>
        <w:topLinePunct/>
        <w:ind w:firstLine="480"/>
        <w:textAlignment w:val="baseline"/>
        <w:rPr>
          <w:color w:val="auto"/>
          <w:highlight w:val="none"/>
        </w:rPr>
      </w:pPr>
      <w:r>
        <w:rPr>
          <w:color w:val="auto"/>
          <w:highlight w:val="none"/>
        </w:rPr>
        <w:pict>
          <v:shape id="对象 1609" o:spid="_x0000_s1026" o:spt="75" type="#_x0000_t75" style="position:absolute;left:0pt;margin-left:140.95pt;margin-top:3.05pt;height:35.8pt;width:157.05pt;z-index:251664384;mso-width-relative:page;mso-height-relative:page;" o:ole="t" filled="f" o:preferrelative="t" stroked="f" coordsize="21600,21600">
            <v:path/>
            <v:fill on="f" focussize="0,0"/>
            <v:stroke on="f" joinstyle="miter"/>
            <v:imagedata r:id="rId35" o:title=""/>
            <o:lock v:ext="edit" aspectratio="t"/>
          </v:shape>
          <o:OLEObject Type="Embed" ProgID="Equation.3" ShapeID="对象 1609" DrawAspect="Content" ObjectID="_1468075726" r:id="rId34">
            <o:LockedField>false</o:LockedField>
          </o:OLEObject>
        </w:pict>
      </w:r>
    </w:p>
    <w:p w14:paraId="2244BB01">
      <w:pPr>
        <w:overflowPunct w:val="0"/>
        <w:topLinePunct/>
        <w:ind w:firstLine="480"/>
        <w:textAlignment w:val="baseline"/>
        <w:rPr>
          <w:color w:val="auto"/>
          <w:highlight w:val="none"/>
        </w:rPr>
      </w:pPr>
    </w:p>
    <w:p w14:paraId="2ED4D8AA">
      <w:pPr>
        <w:overflowPunct w:val="0"/>
        <w:topLinePunct/>
        <w:ind w:firstLine="480"/>
        <w:textAlignment w:val="baseline"/>
        <w:rPr>
          <w:color w:val="auto"/>
          <w:highlight w:val="none"/>
        </w:rPr>
      </w:pPr>
      <w:r>
        <w:rPr>
          <w:color w:val="auto"/>
          <w:highlight w:val="none"/>
        </w:rPr>
        <w:pict>
          <v:shape id="对象 1610" o:spid="_x0000_s1027" o:spt="75" type="#_x0000_t75" style="position:absolute;left:0pt;margin-left:142.7pt;margin-top:4.05pt;height:35.7pt;width:156.55pt;z-index:251663360;mso-width-relative:page;mso-height-relative:page;" o:ole="t" filled="f" o:preferrelative="t" stroked="f" coordsize="21600,21600">
            <v:path/>
            <v:fill on="f" focussize="0,0"/>
            <v:stroke on="f" joinstyle="miter"/>
            <v:imagedata r:id="rId37" o:title=""/>
            <o:lock v:ext="edit" aspectratio="t"/>
          </v:shape>
          <o:OLEObject Type="Embed" ProgID="Equation.3" ShapeID="对象 1610" DrawAspect="Content" ObjectID="_1468075727" r:id="rId36">
            <o:LockedField>false</o:LockedField>
          </o:OLEObject>
        </w:pict>
      </w:r>
    </w:p>
    <w:p w14:paraId="425B4EC6">
      <w:pPr>
        <w:overflowPunct w:val="0"/>
        <w:topLinePunct/>
        <w:ind w:firstLine="480"/>
        <w:textAlignment w:val="baseline"/>
        <w:rPr>
          <w:color w:val="auto"/>
          <w:highlight w:val="none"/>
        </w:rPr>
      </w:pPr>
    </w:p>
    <w:p w14:paraId="25F30DD5">
      <w:pPr>
        <w:overflowPunct w:val="0"/>
        <w:topLinePunct/>
        <w:ind w:firstLine="480"/>
        <w:textAlignment w:val="baseline"/>
        <w:rPr>
          <w:color w:val="auto"/>
          <w:highlight w:val="none"/>
        </w:rPr>
      </w:pPr>
      <w:r>
        <w:rPr>
          <w:color w:val="auto"/>
          <w:highlight w:val="none"/>
        </w:rPr>
        <w:t>式中：S</w:t>
      </w:r>
      <w:r>
        <w:rPr>
          <w:color w:val="auto"/>
          <w:highlight w:val="none"/>
          <w:vertAlign w:val="subscript"/>
        </w:rPr>
        <w:t>pH，j</w:t>
      </w:r>
      <w:r>
        <w:rPr>
          <w:color w:val="auto"/>
          <w:highlight w:val="none"/>
        </w:rPr>
        <w:t>——pH值的指数，大于1表明该水质因子超标；</w:t>
      </w:r>
    </w:p>
    <w:p w14:paraId="0E952283">
      <w:pPr>
        <w:overflowPunct w:val="0"/>
        <w:topLinePunct/>
        <w:ind w:firstLine="480"/>
        <w:rPr>
          <w:color w:val="auto"/>
          <w:highlight w:val="none"/>
        </w:rPr>
      </w:pPr>
      <w:r>
        <w:rPr>
          <w:color w:val="auto"/>
          <w:highlight w:val="none"/>
        </w:rPr>
        <w:t xml:space="preserve">      pH</w:t>
      </w:r>
      <w:r>
        <w:rPr>
          <w:color w:val="auto"/>
          <w:highlight w:val="none"/>
          <w:vertAlign w:val="subscript"/>
        </w:rPr>
        <w:t>j</w:t>
      </w:r>
      <w:r>
        <w:rPr>
          <w:color w:val="auto"/>
          <w:highlight w:val="none"/>
        </w:rPr>
        <w:t>——pH值实测统计代表值；</w:t>
      </w:r>
    </w:p>
    <w:p w14:paraId="021DCE45">
      <w:pPr>
        <w:overflowPunct w:val="0"/>
        <w:topLinePunct/>
        <w:ind w:firstLine="480"/>
        <w:rPr>
          <w:color w:val="auto"/>
          <w:highlight w:val="none"/>
        </w:rPr>
      </w:pPr>
      <w:r>
        <w:rPr>
          <w:color w:val="auto"/>
          <w:highlight w:val="none"/>
        </w:rPr>
        <w:t xml:space="preserve">      pH</w:t>
      </w:r>
      <w:r>
        <w:rPr>
          <w:color w:val="auto"/>
          <w:highlight w:val="none"/>
          <w:vertAlign w:val="subscript"/>
        </w:rPr>
        <w:t>sd</w:t>
      </w:r>
      <w:r>
        <w:rPr>
          <w:color w:val="auto"/>
          <w:highlight w:val="none"/>
        </w:rPr>
        <w:t>——评价标准中pH值的下限值；</w:t>
      </w:r>
    </w:p>
    <w:p w14:paraId="7C64BCAC">
      <w:pPr>
        <w:overflowPunct w:val="0"/>
        <w:topLinePunct/>
        <w:spacing w:line="480" w:lineRule="exact"/>
        <w:ind w:firstLine="480"/>
        <w:jc w:val="both"/>
        <w:rPr>
          <w:color w:val="auto"/>
          <w:highlight w:val="none"/>
        </w:rPr>
      </w:pPr>
      <w:r>
        <w:rPr>
          <w:color w:val="auto"/>
          <w:highlight w:val="none"/>
        </w:rPr>
        <w:t xml:space="preserve">      pH</w:t>
      </w:r>
      <w:r>
        <w:rPr>
          <w:color w:val="auto"/>
          <w:highlight w:val="none"/>
          <w:vertAlign w:val="subscript"/>
        </w:rPr>
        <w:t>su</w:t>
      </w:r>
      <w:r>
        <w:rPr>
          <w:color w:val="auto"/>
          <w:highlight w:val="none"/>
        </w:rPr>
        <w:t>——评价标准中pH值的上限值。</w:t>
      </w:r>
    </w:p>
    <w:p w14:paraId="5AE474C2">
      <w:pPr>
        <w:pStyle w:val="7"/>
        <w:ind w:firstLine="482" w:firstLineChars="200"/>
        <w:rPr>
          <w:color w:val="auto"/>
          <w:highlight w:val="none"/>
        </w:rPr>
      </w:pPr>
      <w:r>
        <w:rPr>
          <w:color w:val="auto"/>
          <w:highlight w:val="none"/>
        </w:rPr>
        <w:t>4.</w:t>
      </w:r>
      <w:r>
        <w:rPr>
          <w:rFonts w:hint="eastAsia"/>
          <w:color w:val="auto"/>
          <w:highlight w:val="none"/>
        </w:rPr>
        <w:t>2</w:t>
      </w:r>
      <w:r>
        <w:rPr>
          <w:color w:val="auto"/>
          <w:highlight w:val="none"/>
        </w:rPr>
        <w:t>.3.</w:t>
      </w:r>
      <w:r>
        <w:rPr>
          <w:rFonts w:hint="eastAsia"/>
          <w:color w:val="auto"/>
          <w:highlight w:val="none"/>
          <w:lang w:val="en-US" w:eastAsia="zh-CN"/>
        </w:rPr>
        <w:t>6</w:t>
      </w:r>
      <w:r>
        <w:rPr>
          <w:color w:val="auto"/>
          <w:highlight w:val="none"/>
        </w:rPr>
        <w:t>监测结果</w:t>
      </w:r>
    </w:p>
    <w:p w14:paraId="084B3978">
      <w:pPr>
        <w:overflowPunct w:val="0"/>
        <w:topLinePunct/>
        <w:adjustRightInd w:val="0"/>
        <w:snapToGrid w:val="0"/>
        <w:ind w:firstLine="476"/>
        <w:rPr>
          <w:color w:val="auto"/>
          <w:spacing w:val="-1"/>
          <w:position w:val="2"/>
          <w:highlight w:val="none"/>
        </w:rPr>
        <w:sectPr>
          <w:pgSz w:w="11906" w:h="16838"/>
          <w:pgMar w:top="1440" w:right="1800" w:bottom="1440" w:left="1800" w:header="851" w:footer="992" w:gutter="0"/>
          <w:cols w:space="425" w:num="1"/>
          <w:docGrid w:type="lines" w:linePitch="312" w:charSpace="0"/>
        </w:sectPr>
      </w:pPr>
      <w:r>
        <w:rPr>
          <w:color w:val="auto"/>
          <w:spacing w:val="-1"/>
          <w:position w:val="2"/>
          <w:highlight w:val="none"/>
        </w:rPr>
        <w:t>地下水水质现状监测结果见表4.</w:t>
      </w:r>
      <w:r>
        <w:rPr>
          <w:rFonts w:hint="eastAsia"/>
          <w:color w:val="auto"/>
          <w:spacing w:val="-1"/>
          <w:position w:val="2"/>
          <w:highlight w:val="none"/>
        </w:rPr>
        <w:t>2</w:t>
      </w:r>
      <w:r>
        <w:rPr>
          <w:color w:val="auto"/>
          <w:spacing w:val="-1"/>
          <w:position w:val="2"/>
          <w:highlight w:val="none"/>
        </w:rPr>
        <w:t>-</w:t>
      </w:r>
      <w:r>
        <w:rPr>
          <w:rFonts w:hint="eastAsia"/>
          <w:color w:val="auto"/>
          <w:spacing w:val="-1"/>
          <w:position w:val="2"/>
          <w:highlight w:val="none"/>
          <w:lang w:val="en-US" w:eastAsia="zh-CN"/>
        </w:rPr>
        <w:t>8</w:t>
      </w:r>
      <w:r>
        <w:rPr>
          <w:color w:val="auto"/>
          <w:spacing w:val="-1"/>
          <w:position w:val="2"/>
          <w:highlight w:val="none"/>
        </w:rPr>
        <w:t>。</w:t>
      </w:r>
    </w:p>
    <w:p w14:paraId="0646ACDD">
      <w:pPr>
        <w:adjustRightInd w:val="0"/>
        <w:snapToGrid w:val="0"/>
        <w:ind w:firstLine="0" w:firstLineChars="0"/>
        <w:jc w:val="center"/>
        <w:rPr>
          <w:b/>
          <w:color w:val="auto"/>
          <w:kern w:val="0"/>
          <w:szCs w:val="22"/>
          <w:highlight w:val="none"/>
          <w:lang w:val="zh-CN"/>
        </w:rPr>
      </w:pPr>
      <w:r>
        <w:rPr>
          <w:b/>
          <w:color w:val="auto"/>
          <w:kern w:val="0"/>
          <w:szCs w:val="22"/>
          <w:highlight w:val="none"/>
          <w:lang w:val="zh-CN"/>
        </w:rPr>
        <w:t>表</w:t>
      </w:r>
      <w:r>
        <w:rPr>
          <w:b/>
          <w:color w:val="auto"/>
          <w:kern w:val="0"/>
          <w:szCs w:val="22"/>
          <w:highlight w:val="none"/>
        </w:rPr>
        <w:t>4</w:t>
      </w:r>
      <w:r>
        <w:rPr>
          <w:b/>
          <w:color w:val="auto"/>
          <w:kern w:val="0"/>
          <w:szCs w:val="22"/>
          <w:highlight w:val="none"/>
          <w:lang w:val="zh-CN"/>
        </w:rPr>
        <w:t>.</w:t>
      </w:r>
      <w:r>
        <w:rPr>
          <w:rFonts w:hint="eastAsia"/>
          <w:b/>
          <w:color w:val="auto"/>
          <w:kern w:val="0"/>
          <w:szCs w:val="22"/>
          <w:highlight w:val="none"/>
        </w:rPr>
        <w:t>2-</w:t>
      </w:r>
      <w:r>
        <w:rPr>
          <w:rFonts w:hint="eastAsia"/>
          <w:b/>
          <w:color w:val="auto"/>
          <w:kern w:val="0"/>
          <w:szCs w:val="22"/>
          <w:highlight w:val="none"/>
          <w:lang w:val="en-US" w:eastAsia="zh-CN"/>
        </w:rPr>
        <w:t>8</w:t>
      </w:r>
      <w:r>
        <w:rPr>
          <w:b/>
          <w:color w:val="auto"/>
          <w:kern w:val="0"/>
          <w:szCs w:val="22"/>
          <w:highlight w:val="none"/>
        </w:rPr>
        <w:t xml:space="preserve">    </w:t>
      </w:r>
      <w:r>
        <w:rPr>
          <w:b/>
          <w:color w:val="auto"/>
          <w:kern w:val="0"/>
          <w:szCs w:val="22"/>
          <w:highlight w:val="none"/>
          <w:lang w:val="zh-CN"/>
        </w:rPr>
        <w:t>地下水现状监测</w:t>
      </w:r>
      <w:r>
        <w:rPr>
          <w:b/>
          <w:color w:val="auto"/>
          <w:kern w:val="0"/>
          <w:szCs w:val="22"/>
          <w:highlight w:val="none"/>
        </w:rPr>
        <w:t>及评价</w:t>
      </w:r>
      <w:r>
        <w:rPr>
          <w:b/>
          <w:color w:val="auto"/>
          <w:kern w:val="0"/>
          <w:szCs w:val="22"/>
          <w:highlight w:val="none"/>
          <w:lang w:val="zh-CN"/>
        </w:rPr>
        <w:t>结果</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2037"/>
        <w:gridCol w:w="1422"/>
        <w:gridCol w:w="1264"/>
        <w:gridCol w:w="1859"/>
        <w:gridCol w:w="1298"/>
        <w:gridCol w:w="1725"/>
        <w:gridCol w:w="1130"/>
        <w:gridCol w:w="1561"/>
        <w:gridCol w:w="1062"/>
      </w:tblGrid>
      <w:tr w14:paraId="0F2A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 w:type="pct"/>
            <w:vMerge w:val="restart"/>
            <w:noWrap/>
            <w:vAlign w:val="center"/>
          </w:tcPr>
          <w:p w14:paraId="36304329">
            <w:pPr>
              <w:pStyle w:val="17"/>
              <w:bidi w:val="0"/>
              <w:rPr>
                <w:rFonts w:hint="default" w:ascii="Times New Roman" w:hAnsi="Times New Roman" w:cs="Times New Roman"/>
                <w:color w:val="auto"/>
                <w:highlight w:val="none"/>
              </w:rPr>
            </w:pPr>
            <w:r>
              <w:rPr>
                <w:rFonts w:hint="default"/>
                <w:color w:val="auto"/>
                <w:highlight w:val="none"/>
              </w:rPr>
              <w:t>序号</w:t>
            </w:r>
          </w:p>
        </w:tc>
        <w:tc>
          <w:tcPr>
            <w:tcW w:w="719" w:type="pct"/>
            <w:vMerge w:val="restart"/>
            <w:vAlign w:val="center"/>
          </w:tcPr>
          <w:p w14:paraId="7F9FADDE">
            <w:pPr>
              <w:pStyle w:val="17"/>
              <w:bidi w:val="0"/>
              <w:rPr>
                <w:rFonts w:hint="default" w:ascii="Times New Roman" w:hAnsi="Times New Roman" w:cs="Times New Roman"/>
                <w:color w:val="auto"/>
                <w:highlight w:val="none"/>
              </w:rPr>
            </w:pPr>
            <w:r>
              <w:rPr>
                <w:rFonts w:hint="default"/>
                <w:color w:val="auto"/>
                <w:highlight w:val="none"/>
              </w:rPr>
              <w:t>评价因子</w:t>
            </w:r>
          </w:p>
        </w:tc>
        <w:tc>
          <w:tcPr>
            <w:tcW w:w="502" w:type="pct"/>
            <w:vMerge w:val="restart"/>
            <w:noWrap/>
            <w:vAlign w:val="center"/>
          </w:tcPr>
          <w:p w14:paraId="5189120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单位</w:t>
            </w:r>
          </w:p>
        </w:tc>
        <w:tc>
          <w:tcPr>
            <w:tcW w:w="446" w:type="pct"/>
            <w:vMerge w:val="restart"/>
            <w:shd w:val="clear" w:color="auto" w:fill="auto"/>
            <w:noWrap/>
            <w:vAlign w:val="center"/>
          </w:tcPr>
          <w:p w14:paraId="0EAF0746">
            <w:pPr>
              <w:pStyle w:val="17"/>
              <w:bidi w:val="0"/>
              <w:rPr>
                <w:rFonts w:hint="default" w:ascii="Times New Roman" w:hAnsi="Times New Roman" w:cs="Times New Roman"/>
                <w:color w:val="auto"/>
                <w:highlight w:val="none"/>
                <w:lang w:val="en-US" w:eastAsia="zh-CN"/>
              </w:rPr>
            </w:pPr>
            <w:r>
              <w:rPr>
                <w:rFonts w:hint="default"/>
                <w:color w:val="auto"/>
                <w:highlight w:val="none"/>
              </w:rPr>
              <w:t>标准限值</w:t>
            </w:r>
          </w:p>
        </w:tc>
        <w:tc>
          <w:tcPr>
            <w:tcW w:w="3048" w:type="pct"/>
            <w:gridSpan w:val="6"/>
            <w:shd w:val="clear" w:color="auto" w:fill="auto"/>
            <w:noWrap/>
            <w:vAlign w:val="center"/>
          </w:tcPr>
          <w:p w14:paraId="6E9B4AC4">
            <w:pPr>
              <w:pStyle w:val="17"/>
              <w:bidi w:val="0"/>
              <w:rPr>
                <w:rFonts w:hint="default" w:ascii="Times New Roman" w:hAnsi="Times New Roman" w:cs="Times New Roman"/>
                <w:color w:val="auto"/>
                <w:highlight w:val="none"/>
              </w:rPr>
            </w:pPr>
            <w:r>
              <w:rPr>
                <w:rFonts w:hint="default"/>
                <w:color w:val="auto"/>
                <w:highlight w:val="none"/>
              </w:rPr>
              <w:t>监测点位</w:t>
            </w:r>
          </w:p>
        </w:tc>
      </w:tr>
      <w:tr w14:paraId="075C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vMerge w:val="continue"/>
            <w:vAlign w:val="center"/>
          </w:tcPr>
          <w:p w14:paraId="47D12FD8">
            <w:pPr>
              <w:bidi w:val="0"/>
              <w:rPr>
                <w:rFonts w:hint="default" w:ascii="Times New Roman" w:hAnsi="Times New Roman" w:cs="Times New Roman"/>
                <w:color w:val="auto"/>
                <w:highlight w:val="none"/>
              </w:rPr>
            </w:pPr>
          </w:p>
        </w:tc>
        <w:tc>
          <w:tcPr>
            <w:tcW w:w="719" w:type="pct"/>
            <w:vMerge w:val="continue"/>
            <w:vAlign w:val="center"/>
          </w:tcPr>
          <w:p w14:paraId="3F381D22">
            <w:pPr>
              <w:bidi w:val="0"/>
              <w:rPr>
                <w:rFonts w:hint="default" w:ascii="Times New Roman" w:hAnsi="Times New Roman" w:cs="Times New Roman"/>
                <w:color w:val="auto"/>
                <w:highlight w:val="none"/>
              </w:rPr>
            </w:pPr>
          </w:p>
        </w:tc>
        <w:tc>
          <w:tcPr>
            <w:tcW w:w="502" w:type="pct"/>
            <w:vMerge w:val="continue"/>
            <w:shd w:val="clear" w:color="auto" w:fill="auto"/>
            <w:noWrap/>
            <w:vAlign w:val="center"/>
          </w:tcPr>
          <w:p w14:paraId="02A7DE5A">
            <w:pPr>
              <w:bidi w:val="0"/>
              <w:rPr>
                <w:rFonts w:hint="default" w:ascii="Times New Roman" w:hAnsi="Times New Roman" w:cs="Times New Roman"/>
                <w:color w:val="auto"/>
                <w:highlight w:val="none"/>
                <w:lang w:val="en-US" w:eastAsia="zh-CN"/>
              </w:rPr>
            </w:pPr>
          </w:p>
        </w:tc>
        <w:tc>
          <w:tcPr>
            <w:tcW w:w="446" w:type="pct"/>
            <w:vMerge w:val="continue"/>
            <w:shd w:val="clear" w:color="auto" w:fill="auto"/>
            <w:noWrap/>
            <w:vAlign w:val="center"/>
          </w:tcPr>
          <w:p w14:paraId="41A754D9">
            <w:pPr>
              <w:bidi w:val="0"/>
              <w:rPr>
                <w:rFonts w:hint="default" w:ascii="Times New Roman" w:hAnsi="Times New Roman" w:cs="Times New Roman"/>
                <w:color w:val="auto"/>
                <w:highlight w:val="none"/>
                <w:lang w:val="en-US" w:eastAsia="zh-CN"/>
              </w:rPr>
            </w:pPr>
          </w:p>
        </w:tc>
        <w:tc>
          <w:tcPr>
            <w:tcW w:w="1114" w:type="pct"/>
            <w:gridSpan w:val="2"/>
            <w:shd w:val="clear" w:color="auto" w:fill="auto"/>
            <w:noWrap/>
            <w:vAlign w:val="center"/>
          </w:tcPr>
          <w:p w14:paraId="72BAA824">
            <w:pPr>
              <w:pStyle w:val="17"/>
              <w:bidi w:val="0"/>
              <w:rPr>
                <w:rFonts w:hint="default" w:ascii="Times New Roman" w:hAnsi="Times New Roman" w:cs="Times New Roman"/>
                <w:color w:val="auto"/>
                <w:highlight w:val="none"/>
                <w:lang w:val="en-US" w:eastAsia="zh-CN"/>
              </w:rPr>
            </w:pPr>
            <w:r>
              <w:rPr>
                <w:rFonts w:hint="eastAsia"/>
                <w:color w:val="auto"/>
                <w:highlight w:val="none"/>
                <w:lang w:val="en-US" w:eastAsia="zh-CN"/>
              </w:rPr>
              <w:t>D1</w:t>
            </w:r>
          </w:p>
        </w:tc>
        <w:tc>
          <w:tcPr>
            <w:tcW w:w="1008" w:type="pct"/>
            <w:gridSpan w:val="2"/>
            <w:shd w:val="clear" w:color="auto" w:fill="auto"/>
            <w:noWrap/>
            <w:vAlign w:val="center"/>
          </w:tcPr>
          <w:p w14:paraId="1A412BDA">
            <w:pPr>
              <w:pStyle w:val="17"/>
              <w:bidi w:val="0"/>
              <w:rPr>
                <w:rFonts w:hint="default" w:ascii="Times New Roman" w:hAnsi="Times New Roman" w:cs="Times New Roman"/>
                <w:color w:val="auto"/>
                <w:highlight w:val="none"/>
                <w:lang w:val="en-US" w:eastAsia="zh-CN"/>
              </w:rPr>
            </w:pPr>
            <w:r>
              <w:rPr>
                <w:rFonts w:hint="eastAsia"/>
                <w:color w:val="auto"/>
                <w:highlight w:val="none"/>
                <w:lang w:val="en-US" w:eastAsia="zh-CN"/>
              </w:rPr>
              <w:t>D2</w:t>
            </w:r>
          </w:p>
        </w:tc>
        <w:tc>
          <w:tcPr>
            <w:tcW w:w="925" w:type="pct"/>
            <w:gridSpan w:val="2"/>
            <w:shd w:val="clear" w:color="auto" w:fill="auto"/>
            <w:noWrap/>
            <w:vAlign w:val="center"/>
          </w:tcPr>
          <w:p w14:paraId="653ABE05">
            <w:pPr>
              <w:pStyle w:val="17"/>
              <w:bidi w:val="0"/>
              <w:rPr>
                <w:rFonts w:hint="default" w:ascii="Times New Roman" w:hAnsi="Times New Roman" w:cs="Times New Roman"/>
                <w:color w:val="auto"/>
                <w:highlight w:val="none"/>
                <w:lang w:val="en-US" w:eastAsia="zh-CN"/>
              </w:rPr>
            </w:pPr>
            <w:r>
              <w:rPr>
                <w:rFonts w:hint="eastAsia"/>
                <w:color w:val="auto"/>
                <w:highlight w:val="none"/>
                <w:lang w:val="en-US" w:eastAsia="zh-CN"/>
              </w:rPr>
              <w:t>D3</w:t>
            </w:r>
          </w:p>
        </w:tc>
      </w:tr>
      <w:tr w14:paraId="3882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vMerge w:val="continue"/>
            <w:vAlign w:val="center"/>
          </w:tcPr>
          <w:p w14:paraId="0C697E78">
            <w:pPr>
              <w:bidi w:val="0"/>
              <w:rPr>
                <w:rFonts w:hint="default" w:ascii="Times New Roman" w:hAnsi="Times New Roman" w:cs="Times New Roman"/>
                <w:color w:val="auto"/>
                <w:highlight w:val="none"/>
              </w:rPr>
            </w:pPr>
          </w:p>
        </w:tc>
        <w:tc>
          <w:tcPr>
            <w:tcW w:w="719" w:type="pct"/>
            <w:vMerge w:val="continue"/>
            <w:vAlign w:val="center"/>
          </w:tcPr>
          <w:p w14:paraId="10677F5E">
            <w:pPr>
              <w:bidi w:val="0"/>
              <w:rPr>
                <w:rFonts w:hint="default" w:ascii="Times New Roman" w:hAnsi="Times New Roman" w:cs="Times New Roman"/>
                <w:color w:val="auto"/>
                <w:highlight w:val="none"/>
              </w:rPr>
            </w:pPr>
          </w:p>
        </w:tc>
        <w:tc>
          <w:tcPr>
            <w:tcW w:w="502" w:type="pct"/>
            <w:vMerge w:val="continue"/>
            <w:shd w:val="clear" w:color="auto" w:fill="auto"/>
            <w:noWrap/>
            <w:vAlign w:val="center"/>
          </w:tcPr>
          <w:p w14:paraId="2615EF29">
            <w:pPr>
              <w:bidi w:val="0"/>
              <w:rPr>
                <w:rFonts w:hint="default" w:ascii="Times New Roman" w:hAnsi="Times New Roman" w:cs="Times New Roman"/>
                <w:color w:val="auto"/>
                <w:highlight w:val="none"/>
                <w:lang w:val="en-US" w:eastAsia="zh-CN"/>
              </w:rPr>
            </w:pPr>
          </w:p>
        </w:tc>
        <w:tc>
          <w:tcPr>
            <w:tcW w:w="446" w:type="pct"/>
            <w:vMerge w:val="continue"/>
            <w:shd w:val="clear" w:color="auto" w:fill="auto"/>
            <w:noWrap/>
            <w:vAlign w:val="center"/>
          </w:tcPr>
          <w:p w14:paraId="6D8BBB63">
            <w:pPr>
              <w:bidi w:val="0"/>
              <w:rPr>
                <w:rFonts w:hint="default" w:ascii="Times New Roman" w:hAnsi="Times New Roman" w:cs="Times New Roman"/>
                <w:color w:val="auto"/>
                <w:highlight w:val="none"/>
              </w:rPr>
            </w:pPr>
          </w:p>
        </w:tc>
        <w:tc>
          <w:tcPr>
            <w:tcW w:w="656" w:type="pct"/>
            <w:shd w:val="clear" w:color="auto" w:fill="auto"/>
            <w:noWrap/>
            <w:vAlign w:val="center"/>
          </w:tcPr>
          <w:p w14:paraId="5E80C52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监测结果</w:t>
            </w:r>
          </w:p>
        </w:tc>
        <w:tc>
          <w:tcPr>
            <w:tcW w:w="457" w:type="pct"/>
            <w:shd w:val="clear" w:color="auto" w:fill="auto"/>
            <w:noWrap/>
            <w:vAlign w:val="center"/>
          </w:tcPr>
          <w:p w14:paraId="585E4F8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标准指数</w:t>
            </w:r>
          </w:p>
        </w:tc>
        <w:tc>
          <w:tcPr>
            <w:tcW w:w="609" w:type="pct"/>
            <w:shd w:val="clear" w:color="auto" w:fill="auto"/>
            <w:noWrap/>
            <w:vAlign w:val="center"/>
          </w:tcPr>
          <w:p w14:paraId="29221C5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监测结果</w:t>
            </w:r>
          </w:p>
        </w:tc>
        <w:tc>
          <w:tcPr>
            <w:tcW w:w="399" w:type="pct"/>
            <w:noWrap/>
            <w:vAlign w:val="center"/>
          </w:tcPr>
          <w:p w14:paraId="05AADB7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标准指数</w:t>
            </w:r>
          </w:p>
        </w:tc>
        <w:tc>
          <w:tcPr>
            <w:tcW w:w="551" w:type="pct"/>
            <w:noWrap/>
            <w:vAlign w:val="center"/>
          </w:tcPr>
          <w:p w14:paraId="352CAFE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监测结果</w:t>
            </w:r>
          </w:p>
        </w:tc>
        <w:tc>
          <w:tcPr>
            <w:tcW w:w="374" w:type="pct"/>
            <w:noWrap/>
            <w:vAlign w:val="center"/>
          </w:tcPr>
          <w:p w14:paraId="13529E6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标准指数</w:t>
            </w:r>
          </w:p>
        </w:tc>
      </w:tr>
      <w:tr w14:paraId="4BBA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5EEF8CB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w:t>
            </w:r>
          </w:p>
        </w:tc>
        <w:tc>
          <w:tcPr>
            <w:tcW w:w="719" w:type="pct"/>
            <w:shd w:val="clear" w:color="auto" w:fill="auto"/>
            <w:vAlign w:val="center"/>
          </w:tcPr>
          <w:p w14:paraId="7F6CA6C5">
            <w:pPr>
              <w:pStyle w:val="17"/>
              <w:bidi w:val="0"/>
              <w:rPr>
                <w:rFonts w:hint="default" w:ascii="Times New Roman" w:hAnsi="Times New Roman" w:cs="Times New Roman"/>
                <w:color w:val="auto"/>
                <w:highlight w:val="none"/>
                <w:lang w:val="en-US" w:eastAsia="zh-CN"/>
              </w:rPr>
            </w:pPr>
            <w:r>
              <w:rPr>
                <w:rFonts w:hint="default"/>
                <w:color w:val="auto"/>
                <w:highlight w:val="none"/>
              </w:rPr>
              <w:t>pH值</w:t>
            </w:r>
          </w:p>
        </w:tc>
        <w:tc>
          <w:tcPr>
            <w:tcW w:w="502" w:type="pct"/>
            <w:shd w:val="clear" w:color="auto" w:fill="auto"/>
            <w:noWrap/>
            <w:vAlign w:val="center"/>
          </w:tcPr>
          <w:p w14:paraId="0D8F3A8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无量纲</w:t>
            </w:r>
          </w:p>
        </w:tc>
        <w:tc>
          <w:tcPr>
            <w:tcW w:w="446" w:type="pct"/>
            <w:shd w:val="clear" w:color="auto" w:fill="auto"/>
            <w:noWrap/>
            <w:vAlign w:val="center"/>
          </w:tcPr>
          <w:p w14:paraId="755513C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6.5~8.5</w:t>
            </w:r>
          </w:p>
        </w:tc>
        <w:tc>
          <w:tcPr>
            <w:tcW w:w="656" w:type="pct"/>
            <w:shd w:val="clear" w:color="auto" w:fill="auto"/>
            <w:noWrap/>
            <w:vAlign w:val="center"/>
          </w:tcPr>
          <w:p w14:paraId="193BC0F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7.4</w:t>
            </w:r>
          </w:p>
        </w:tc>
        <w:tc>
          <w:tcPr>
            <w:tcW w:w="457" w:type="pct"/>
            <w:shd w:val="clear" w:color="auto" w:fill="auto"/>
            <w:noWrap/>
            <w:vAlign w:val="center"/>
          </w:tcPr>
          <w:p w14:paraId="09940D0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0.27</w:t>
            </w:r>
          </w:p>
        </w:tc>
        <w:tc>
          <w:tcPr>
            <w:tcW w:w="609" w:type="pct"/>
            <w:shd w:val="clear" w:color="auto" w:fill="auto"/>
            <w:noWrap/>
            <w:vAlign w:val="center"/>
          </w:tcPr>
          <w:p w14:paraId="6334CE9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7.5</w:t>
            </w:r>
          </w:p>
        </w:tc>
        <w:tc>
          <w:tcPr>
            <w:tcW w:w="399" w:type="pct"/>
            <w:noWrap/>
            <w:vAlign w:val="center"/>
          </w:tcPr>
          <w:p w14:paraId="69395DD7">
            <w:pPr>
              <w:pStyle w:val="17"/>
              <w:bidi w:val="0"/>
              <w:rPr>
                <w:rFonts w:hint="default" w:ascii="Times New Roman" w:hAnsi="Times New Roman" w:cs="Times New Roman"/>
                <w:color w:val="auto"/>
                <w:highlight w:val="none"/>
                <w:lang w:val="en-US" w:eastAsia="zh-CN"/>
              </w:rPr>
            </w:pPr>
            <w:r>
              <w:rPr>
                <w:rFonts w:hint="eastAsia"/>
                <w:color w:val="auto"/>
                <w:highlight w:val="none"/>
                <w:lang w:val="en-US" w:eastAsia="zh-CN"/>
              </w:rPr>
              <w:t>0.33</w:t>
            </w:r>
          </w:p>
        </w:tc>
        <w:tc>
          <w:tcPr>
            <w:tcW w:w="551" w:type="pct"/>
            <w:noWrap/>
            <w:vAlign w:val="center"/>
          </w:tcPr>
          <w:p w14:paraId="40C207E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8.0</w:t>
            </w:r>
          </w:p>
        </w:tc>
        <w:tc>
          <w:tcPr>
            <w:tcW w:w="374" w:type="pct"/>
            <w:noWrap/>
            <w:vAlign w:val="center"/>
          </w:tcPr>
          <w:p w14:paraId="2A0AC5BE">
            <w:pPr>
              <w:pStyle w:val="17"/>
              <w:bidi w:val="0"/>
              <w:rPr>
                <w:rFonts w:hint="default" w:ascii="Times New Roman" w:hAnsi="Times New Roman" w:cs="Times New Roman"/>
                <w:color w:val="auto"/>
                <w:highlight w:val="none"/>
                <w:lang w:val="en-US" w:eastAsia="zh-CN"/>
              </w:rPr>
            </w:pPr>
            <w:r>
              <w:rPr>
                <w:rFonts w:hint="eastAsia"/>
                <w:color w:val="auto"/>
                <w:highlight w:val="none"/>
                <w:lang w:val="en-US" w:eastAsia="zh-CN"/>
              </w:rPr>
              <w:t>0.67</w:t>
            </w:r>
          </w:p>
        </w:tc>
      </w:tr>
      <w:tr w14:paraId="0156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00792B5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w:t>
            </w:r>
          </w:p>
        </w:tc>
        <w:tc>
          <w:tcPr>
            <w:tcW w:w="719" w:type="pct"/>
            <w:shd w:val="clear" w:color="auto" w:fill="auto"/>
            <w:vAlign w:val="center"/>
          </w:tcPr>
          <w:p w14:paraId="4DD8DB3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总硬度</w:t>
            </w:r>
          </w:p>
        </w:tc>
        <w:tc>
          <w:tcPr>
            <w:tcW w:w="502" w:type="pct"/>
            <w:shd w:val="clear" w:color="auto" w:fill="auto"/>
            <w:noWrap/>
            <w:vAlign w:val="center"/>
          </w:tcPr>
          <w:p w14:paraId="498AA75E">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270496AC">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450</w:t>
            </w:r>
          </w:p>
        </w:tc>
        <w:tc>
          <w:tcPr>
            <w:tcW w:w="656" w:type="pct"/>
            <w:shd w:val="clear" w:color="auto" w:fill="auto"/>
            <w:noWrap/>
            <w:vAlign w:val="center"/>
          </w:tcPr>
          <w:p w14:paraId="1F139CAC">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242</w:t>
            </w:r>
          </w:p>
        </w:tc>
        <w:tc>
          <w:tcPr>
            <w:tcW w:w="457" w:type="pct"/>
            <w:shd w:val="clear" w:color="auto" w:fill="auto"/>
            <w:noWrap/>
            <w:vAlign w:val="center"/>
          </w:tcPr>
          <w:p w14:paraId="626530A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0.54</w:t>
            </w:r>
          </w:p>
        </w:tc>
        <w:tc>
          <w:tcPr>
            <w:tcW w:w="609" w:type="pct"/>
            <w:shd w:val="clear" w:color="auto" w:fill="auto"/>
            <w:noWrap/>
            <w:vAlign w:val="center"/>
          </w:tcPr>
          <w:p w14:paraId="5C038F3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510</w:t>
            </w:r>
          </w:p>
        </w:tc>
        <w:tc>
          <w:tcPr>
            <w:tcW w:w="399" w:type="pct"/>
            <w:noWrap/>
            <w:vAlign w:val="center"/>
          </w:tcPr>
          <w:p w14:paraId="31DDAE0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1.13</w:t>
            </w:r>
          </w:p>
        </w:tc>
        <w:tc>
          <w:tcPr>
            <w:tcW w:w="551" w:type="pct"/>
            <w:noWrap/>
            <w:vAlign w:val="center"/>
          </w:tcPr>
          <w:p w14:paraId="4048AC9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257</w:t>
            </w:r>
          </w:p>
        </w:tc>
        <w:tc>
          <w:tcPr>
            <w:tcW w:w="374" w:type="pct"/>
            <w:noWrap/>
            <w:vAlign w:val="center"/>
          </w:tcPr>
          <w:p w14:paraId="5668530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0.57</w:t>
            </w:r>
          </w:p>
        </w:tc>
      </w:tr>
      <w:tr w14:paraId="7261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0C501F9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3</w:t>
            </w:r>
          </w:p>
        </w:tc>
        <w:tc>
          <w:tcPr>
            <w:tcW w:w="719" w:type="pct"/>
            <w:shd w:val="clear" w:color="auto" w:fill="auto"/>
            <w:vAlign w:val="center"/>
          </w:tcPr>
          <w:p w14:paraId="6588461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溶解性总固体</w:t>
            </w:r>
          </w:p>
        </w:tc>
        <w:tc>
          <w:tcPr>
            <w:tcW w:w="502" w:type="pct"/>
            <w:shd w:val="clear" w:color="auto" w:fill="auto"/>
            <w:noWrap/>
            <w:vAlign w:val="center"/>
          </w:tcPr>
          <w:p w14:paraId="1CD97EF5">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1DDF047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1000</w:t>
            </w:r>
          </w:p>
        </w:tc>
        <w:tc>
          <w:tcPr>
            <w:tcW w:w="656" w:type="pct"/>
            <w:shd w:val="clear" w:color="auto" w:fill="auto"/>
            <w:noWrap/>
            <w:vAlign w:val="center"/>
          </w:tcPr>
          <w:p w14:paraId="4D58769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518</w:t>
            </w:r>
          </w:p>
        </w:tc>
        <w:tc>
          <w:tcPr>
            <w:tcW w:w="457" w:type="pct"/>
            <w:shd w:val="clear" w:color="auto" w:fill="auto"/>
            <w:noWrap/>
            <w:vAlign w:val="center"/>
          </w:tcPr>
          <w:p w14:paraId="78F278D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0.52</w:t>
            </w:r>
          </w:p>
        </w:tc>
        <w:tc>
          <w:tcPr>
            <w:tcW w:w="609" w:type="pct"/>
            <w:shd w:val="clear" w:color="auto" w:fill="auto"/>
            <w:noWrap/>
            <w:vAlign w:val="center"/>
          </w:tcPr>
          <w:p w14:paraId="2CB2A8A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798</w:t>
            </w:r>
          </w:p>
        </w:tc>
        <w:tc>
          <w:tcPr>
            <w:tcW w:w="399" w:type="pct"/>
            <w:noWrap/>
            <w:vAlign w:val="center"/>
          </w:tcPr>
          <w:p w14:paraId="189CE5C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0.80</w:t>
            </w:r>
          </w:p>
        </w:tc>
        <w:tc>
          <w:tcPr>
            <w:tcW w:w="551" w:type="pct"/>
            <w:noWrap/>
            <w:vAlign w:val="center"/>
          </w:tcPr>
          <w:p w14:paraId="47D24766">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405</w:t>
            </w:r>
          </w:p>
        </w:tc>
        <w:tc>
          <w:tcPr>
            <w:tcW w:w="374" w:type="pct"/>
            <w:noWrap/>
            <w:vAlign w:val="center"/>
          </w:tcPr>
          <w:p w14:paraId="6E046A5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0.40</w:t>
            </w:r>
          </w:p>
        </w:tc>
      </w:tr>
      <w:tr w14:paraId="2654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28956CA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4</w:t>
            </w:r>
          </w:p>
        </w:tc>
        <w:tc>
          <w:tcPr>
            <w:tcW w:w="719" w:type="pct"/>
            <w:shd w:val="clear" w:color="auto" w:fill="auto"/>
            <w:vAlign w:val="center"/>
          </w:tcPr>
          <w:p w14:paraId="5DA34777">
            <w:pPr>
              <w:pStyle w:val="17"/>
              <w:bidi w:val="0"/>
              <w:rPr>
                <w:rFonts w:hint="default" w:ascii="Times New Roman" w:hAnsi="Times New Roman" w:cs="Times New Roman"/>
                <w:color w:val="auto"/>
                <w:highlight w:val="none"/>
                <w:lang w:val="en-US" w:eastAsia="zh-CN"/>
              </w:rPr>
            </w:pPr>
            <w:r>
              <w:rPr>
                <w:rFonts w:hint="default"/>
                <w:color w:val="auto"/>
                <w:highlight w:val="none"/>
              </w:rPr>
              <w:t>铁</w:t>
            </w:r>
          </w:p>
        </w:tc>
        <w:tc>
          <w:tcPr>
            <w:tcW w:w="502" w:type="pct"/>
            <w:shd w:val="clear" w:color="auto" w:fill="auto"/>
            <w:noWrap/>
            <w:vAlign w:val="center"/>
          </w:tcPr>
          <w:p w14:paraId="20711CF5">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44D145D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0.3</w:t>
            </w:r>
          </w:p>
        </w:tc>
        <w:tc>
          <w:tcPr>
            <w:tcW w:w="656" w:type="pct"/>
            <w:shd w:val="clear" w:color="auto" w:fill="auto"/>
            <w:noWrap/>
            <w:vAlign w:val="center"/>
          </w:tcPr>
          <w:p w14:paraId="74FC895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w:t>
            </w:r>
            <w:r>
              <w:rPr>
                <w:rFonts w:hint="eastAsia"/>
                <w:color w:val="auto"/>
                <w:highlight w:val="none"/>
                <w:lang w:val="en-US" w:eastAsia="zh-CN"/>
              </w:rPr>
              <w:t>7</w:t>
            </w:r>
          </w:p>
        </w:tc>
        <w:tc>
          <w:tcPr>
            <w:tcW w:w="457" w:type="pct"/>
            <w:shd w:val="clear" w:color="auto" w:fill="auto"/>
            <w:noWrap/>
            <w:vAlign w:val="center"/>
          </w:tcPr>
          <w:p w14:paraId="4944CD9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w:t>
            </w:r>
            <w:r>
              <w:rPr>
                <w:rFonts w:hint="eastAsia"/>
                <w:color w:val="auto"/>
                <w:highlight w:val="none"/>
                <w:lang w:val="en-US" w:eastAsia="zh-CN"/>
              </w:rPr>
              <w:t>23</w:t>
            </w:r>
          </w:p>
        </w:tc>
        <w:tc>
          <w:tcPr>
            <w:tcW w:w="609" w:type="pct"/>
            <w:shd w:val="clear" w:color="auto" w:fill="auto"/>
            <w:noWrap/>
            <w:vAlign w:val="center"/>
          </w:tcPr>
          <w:p w14:paraId="5F575C1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0.01</w:t>
            </w:r>
          </w:p>
        </w:tc>
        <w:tc>
          <w:tcPr>
            <w:tcW w:w="399" w:type="pct"/>
            <w:noWrap/>
            <w:vAlign w:val="center"/>
          </w:tcPr>
          <w:p w14:paraId="75CBF50C">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0.03</w:t>
            </w:r>
          </w:p>
        </w:tc>
        <w:tc>
          <w:tcPr>
            <w:tcW w:w="551" w:type="pct"/>
            <w:noWrap/>
            <w:vAlign w:val="center"/>
          </w:tcPr>
          <w:p w14:paraId="6FF05C2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＜0.03</w:t>
            </w:r>
          </w:p>
        </w:tc>
        <w:tc>
          <w:tcPr>
            <w:tcW w:w="374" w:type="pct"/>
            <w:noWrap/>
            <w:vAlign w:val="center"/>
          </w:tcPr>
          <w:p w14:paraId="0972A5E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1D11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0C2A43D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5</w:t>
            </w:r>
          </w:p>
        </w:tc>
        <w:tc>
          <w:tcPr>
            <w:tcW w:w="719" w:type="pct"/>
            <w:shd w:val="clear" w:color="auto" w:fill="auto"/>
            <w:vAlign w:val="center"/>
          </w:tcPr>
          <w:p w14:paraId="0C9718B8">
            <w:pPr>
              <w:pStyle w:val="17"/>
              <w:bidi w:val="0"/>
              <w:rPr>
                <w:rFonts w:hint="default" w:ascii="Times New Roman" w:hAnsi="Times New Roman" w:cs="Times New Roman"/>
                <w:color w:val="auto"/>
                <w:highlight w:val="none"/>
                <w:lang w:val="en-US" w:eastAsia="zh-CN"/>
              </w:rPr>
            </w:pPr>
            <w:r>
              <w:rPr>
                <w:rFonts w:hint="default"/>
                <w:color w:val="auto"/>
                <w:highlight w:val="none"/>
              </w:rPr>
              <w:t>锰</w:t>
            </w:r>
          </w:p>
        </w:tc>
        <w:tc>
          <w:tcPr>
            <w:tcW w:w="502" w:type="pct"/>
            <w:shd w:val="clear" w:color="auto" w:fill="auto"/>
            <w:noWrap/>
            <w:vAlign w:val="center"/>
          </w:tcPr>
          <w:p w14:paraId="7C6750A3">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20A79F4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0.1</w:t>
            </w:r>
          </w:p>
        </w:tc>
        <w:tc>
          <w:tcPr>
            <w:tcW w:w="656" w:type="pct"/>
            <w:shd w:val="clear" w:color="auto" w:fill="auto"/>
            <w:noWrap/>
            <w:vAlign w:val="center"/>
          </w:tcPr>
          <w:p w14:paraId="400EE41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0.01L</w:t>
            </w:r>
          </w:p>
        </w:tc>
        <w:tc>
          <w:tcPr>
            <w:tcW w:w="457" w:type="pct"/>
            <w:shd w:val="clear" w:color="auto" w:fill="auto"/>
            <w:noWrap/>
            <w:vAlign w:val="center"/>
          </w:tcPr>
          <w:p w14:paraId="4E1A982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w:t>
            </w:r>
          </w:p>
        </w:tc>
        <w:tc>
          <w:tcPr>
            <w:tcW w:w="609" w:type="pct"/>
            <w:shd w:val="clear" w:color="auto" w:fill="auto"/>
            <w:noWrap/>
            <w:vAlign w:val="center"/>
          </w:tcPr>
          <w:p w14:paraId="3B8A063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0.04</w:t>
            </w:r>
          </w:p>
        </w:tc>
        <w:tc>
          <w:tcPr>
            <w:tcW w:w="399" w:type="pct"/>
            <w:noWrap/>
            <w:vAlign w:val="center"/>
          </w:tcPr>
          <w:p w14:paraId="1D5F049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0.4</w:t>
            </w:r>
          </w:p>
        </w:tc>
        <w:tc>
          <w:tcPr>
            <w:tcW w:w="551" w:type="pct"/>
            <w:noWrap/>
            <w:vAlign w:val="center"/>
          </w:tcPr>
          <w:p w14:paraId="722E80A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0.01</w:t>
            </w:r>
          </w:p>
        </w:tc>
        <w:tc>
          <w:tcPr>
            <w:tcW w:w="374" w:type="pct"/>
            <w:noWrap/>
            <w:vAlign w:val="center"/>
          </w:tcPr>
          <w:p w14:paraId="54069AE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0.1</w:t>
            </w:r>
          </w:p>
        </w:tc>
      </w:tr>
      <w:tr w14:paraId="4385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0CBAE4D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6</w:t>
            </w:r>
          </w:p>
        </w:tc>
        <w:tc>
          <w:tcPr>
            <w:tcW w:w="719" w:type="pct"/>
            <w:shd w:val="clear" w:color="auto" w:fill="auto"/>
            <w:vAlign w:val="center"/>
          </w:tcPr>
          <w:p w14:paraId="285CCC6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铅</w:t>
            </w:r>
          </w:p>
        </w:tc>
        <w:tc>
          <w:tcPr>
            <w:tcW w:w="502" w:type="pct"/>
            <w:shd w:val="clear" w:color="auto" w:fill="auto"/>
            <w:noWrap/>
            <w:vAlign w:val="center"/>
          </w:tcPr>
          <w:p w14:paraId="66E6D9E7">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3ED9B36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0.01</w:t>
            </w:r>
          </w:p>
        </w:tc>
        <w:tc>
          <w:tcPr>
            <w:tcW w:w="656" w:type="pct"/>
            <w:shd w:val="clear" w:color="auto" w:fill="auto"/>
            <w:noWrap/>
            <w:vAlign w:val="center"/>
          </w:tcPr>
          <w:p w14:paraId="59621F2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0.00009L</w:t>
            </w:r>
          </w:p>
        </w:tc>
        <w:tc>
          <w:tcPr>
            <w:tcW w:w="457" w:type="pct"/>
            <w:shd w:val="clear" w:color="auto" w:fill="auto"/>
            <w:noWrap/>
            <w:vAlign w:val="center"/>
          </w:tcPr>
          <w:p w14:paraId="01C5138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03525F8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0.00009L</w:t>
            </w:r>
          </w:p>
        </w:tc>
        <w:tc>
          <w:tcPr>
            <w:tcW w:w="399" w:type="pct"/>
            <w:noWrap/>
            <w:vAlign w:val="center"/>
          </w:tcPr>
          <w:p w14:paraId="397E72F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04DE03D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＜0.00124</w:t>
            </w:r>
          </w:p>
        </w:tc>
        <w:tc>
          <w:tcPr>
            <w:tcW w:w="374" w:type="pct"/>
            <w:noWrap/>
            <w:vAlign w:val="center"/>
          </w:tcPr>
          <w:p w14:paraId="6D31AE1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6D1D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04D20BB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7</w:t>
            </w:r>
          </w:p>
        </w:tc>
        <w:tc>
          <w:tcPr>
            <w:tcW w:w="719" w:type="pct"/>
            <w:shd w:val="clear" w:color="auto" w:fill="auto"/>
            <w:vAlign w:val="center"/>
          </w:tcPr>
          <w:p w14:paraId="136C0A55">
            <w:pPr>
              <w:pStyle w:val="17"/>
              <w:bidi w:val="0"/>
              <w:rPr>
                <w:rFonts w:hint="default" w:ascii="Times New Roman" w:hAnsi="Times New Roman" w:cs="Times New Roman"/>
                <w:color w:val="auto"/>
                <w:highlight w:val="none"/>
                <w:lang w:val="en-US" w:eastAsia="zh-CN"/>
              </w:rPr>
            </w:pPr>
            <w:r>
              <w:rPr>
                <w:rFonts w:hint="default"/>
                <w:color w:val="auto"/>
                <w:highlight w:val="none"/>
              </w:rPr>
              <w:t>挥发酚</w:t>
            </w:r>
          </w:p>
        </w:tc>
        <w:tc>
          <w:tcPr>
            <w:tcW w:w="502" w:type="pct"/>
            <w:shd w:val="clear" w:color="auto" w:fill="auto"/>
            <w:noWrap/>
            <w:vAlign w:val="center"/>
          </w:tcPr>
          <w:p w14:paraId="4755E9AE">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4A0D34B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0.002</w:t>
            </w:r>
          </w:p>
        </w:tc>
        <w:tc>
          <w:tcPr>
            <w:tcW w:w="656" w:type="pct"/>
            <w:shd w:val="clear" w:color="auto" w:fill="auto"/>
            <w:noWrap/>
            <w:vAlign w:val="center"/>
          </w:tcPr>
          <w:p w14:paraId="75636E1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0.0003L</w:t>
            </w:r>
          </w:p>
        </w:tc>
        <w:tc>
          <w:tcPr>
            <w:tcW w:w="457" w:type="pct"/>
            <w:shd w:val="clear" w:color="auto" w:fill="auto"/>
            <w:noWrap/>
            <w:vAlign w:val="center"/>
          </w:tcPr>
          <w:p w14:paraId="751096F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3C60345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0.0003L</w:t>
            </w:r>
          </w:p>
        </w:tc>
        <w:tc>
          <w:tcPr>
            <w:tcW w:w="399" w:type="pct"/>
            <w:noWrap/>
            <w:vAlign w:val="center"/>
          </w:tcPr>
          <w:p w14:paraId="3EAAB3C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45E4E33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＜0.0003</w:t>
            </w:r>
          </w:p>
        </w:tc>
        <w:tc>
          <w:tcPr>
            <w:tcW w:w="374" w:type="pct"/>
            <w:noWrap/>
            <w:vAlign w:val="center"/>
          </w:tcPr>
          <w:p w14:paraId="3E6E575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3852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142141F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8</w:t>
            </w:r>
          </w:p>
        </w:tc>
        <w:tc>
          <w:tcPr>
            <w:tcW w:w="719" w:type="pct"/>
            <w:shd w:val="clear" w:color="auto" w:fill="auto"/>
            <w:vAlign w:val="center"/>
          </w:tcPr>
          <w:p w14:paraId="38EB3A2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耗氧量</w:t>
            </w:r>
          </w:p>
        </w:tc>
        <w:tc>
          <w:tcPr>
            <w:tcW w:w="502" w:type="pct"/>
            <w:shd w:val="clear" w:color="auto" w:fill="auto"/>
            <w:noWrap/>
            <w:vAlign w:val="center"/>
          </w:tcPr>
          <w:p w14:paraId="2ECBCE65">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05F2452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3.0</w:t>
            </w:r>
          </w:p>
        </w:tc>
        <w:tc>
          <w:tcPr>
            <w:tcW w:w="656" w:type="pct"/>
            <w:shd w:val="clear" w:color="auto" w:fill="auto"/>
            <w:noWrap/>
            <w:vAlign w:val="center"/>
          </w:tcPr>
          <w:p w14:paraId="253A0F7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1.6</w:t>
            </w:r>
          </w:p>
        </w:tc>
        <w:tc>
          <w:tcPr>
            <w:tcW w:w="457" w:type="pct"/>
            <w:shd w:val="clear" w:color="auto" w:fill="auto"/>
            <w:noWrap/>
            <w:vAlign w:val="center"/>
          </w:tcPr>
          <w:p w14:paraId="60248E1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0.53</w:t>
            </w:r>
          </w:p>
        </w:tc>
        <w:tc>
          <w:tcPr>
            <w:tcW w:w="609" w:type="pct"/>
            <w:shd w:val="clear" w:color="auto" w:fill="auto"/>
            <w:noWrap/>
            <w:vAlign w:val="center"/>
          </w:tcPr>
          <w:p w14:paraId="29799F0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1.4</w:t>
            </w:r>
          </w:p>
        </w:tc>
        <w:tc>
          <w:tcPr>
            <w:tcW w:w="399" w:type="pct"/>
            <w:noWrap/>
            <w:vAlign w:val="center"/>
          </w:tcPr>
          <w:p w14:paraId="6E1D4F6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0.47</w:t>
            </w:r>
          </w:p>
        </w:tc>
        <w:tc>
          <w:tcPr>
            <w:tcW w:w="551" w:type="pct"/>
            <w:noWrap/>
            <w:vAlign w:val="center"/>
          </w:tcPr>
          <w:p w14:paraId="21D96C9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2.3</w:t>
            </w:r>
          </w:p>
        </w:tc>
        <w:tc>
          <w:tcPr>
            <w:tcW w:w="374" w:type="pct"/>
            <w:noWrap/>
            <w:vAlign w:val="center"/>
          </w:tcPr>
          <w:p w14:paraId="3091716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0.77</w:t>
            </w:r>
          </w:p>
        </w:tc>
      </w:tr>
      <w:tr w14:paraId="2651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3E85258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9</w:t>
            </w:r>
          </w:p>
        </w:tc>
        <w:tc>
          <w:tcPr>
            <w:tcW w:w="719" w:type="pct"/>
            <w:shd w:val="clear" w:color="auto" w:fill="auto"/>
            <w:vAlign w:val="center"/>
          </w:tcPr>
          <w:p w14:paraId="1B7A7283">
            <w:pPr>
              <w:pStyle w:val="17"/>
              <w:bidi w:val="0"/>
              <w:rPr>
                <w:rFonts w:hint="default" w:ascii="Times New Roman" w:hAnsi="Times New Roman" w:cs="Times New Roman"/>
                <w:color w:val="auto"/>
                <w:highlight w:val="none"/>
                <w:lang w:val="en-US" w:eastAsia="zh-CN"/>
              </w:rPr>
            </w:pPr>
            <w:r>
              <w:rPr>
                <w:rFonts w:hint="default"/>
                <w:color w:val="auto"/>
                <w:highlight w:val="none"/>
              </w:rPr>
              <w:t>氨氮</w:t>
            </w:r>
          </w:p>
        </w:tc>
        <w:tc>
          <w:tcPr>
            <w:tcW w:w="502" w:type="pct"/>
            <w:shd w:val="clear" w:color="auto" w:fill="auto"/>
            <w:noWrap/>
            <w:vAlign w:val="center"/>
          </w:tcPr>
          <w:p w14:paraId="281726D8">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2500525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0.5</w:t>
            </w:r>
          </w:p>
        </w:tc>
        <w:tc>
          <w:tcPr>
            <w:tcW w:w="656" w:type="pct"/>
            <w:shd w:val="clear" w:color="auto" w:fill="auto"/>
            <w:noWrap/>
            <w:vAlign w:val="center"/>
          </w:tcPr>
          <w:p w14:paraId="5482AF7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0.376</w:t>
            </w:r>
          </w:p>
        </w:tc>
        <w:tc>
          <w:tcPr>
            <w:tcW w:w="457" w:type="pct"/>
            <w:shd w:val="clear" w:color="auto" w:fill="auto"/>
            <w:noWrap/>
            <w:vAlign w:val="center"/>
          </w:tcPr>
          <w:p w14:paraId="185D2DC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0.752</w:t>
            </w:r>
          </w:p>
        </w:tc>
        <w:tc>
          <w:tcPr>
            <w:tcW w:w="609" w:type="pct"/>
            <w:shd w:val="clear" w:color="auto" w:fill="auto"/>
            <w:noWrap/>
            <w:vAlign w:val="center"/>
          </w:tcPr>
          <w:p w14:paraId="561ACB5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0.350</w:t>
            </w:r>
          </w:p>
        </w:tc>
        <w:tc>
          <w:tcPr>
            <w:tcW w:w="399" w:type="pct"/>
            <w:noWrap/>
            <w:vAlign w:val="center"/>
          </w:tcPr>
          <w:p w14:paraId="4F88324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0.7</w:t>
            </w:r>
          </w:p>
        </w:tc>
        <w:tc>
          <w:tcPr>
            <w:tcW w:w="551" w:type="pct"/>
            <w:noWrap/>
            <w:vAlign w:val="center"/>
          </w:tcPr>
          <w:p w14:paraId="54428DE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＜0.01</w:t>
            </w:r>
          </w:p>
        </w:tc>
        <w:tc>
          <w:tcPr>
            <w:tcW w:w="374" w:type="pct"/>
            <w:noWrap/>
            <w:vAlign w:val="center"/>
          </w:tcPr>
          <w:p w14:paraId="41738A46">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6CE6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62E1A97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10</w:t>
            </w:r>
          </w:p>
        </w:tc>
        <w:tc>
          <w:tcPr>
            <w:tcW w:w="719" w:type="pct"/>
            <w:shd w:val="clear" w:color="auto" w:fill="auto"/>
            <w:vAlign w:val="center"/>
          </w:tcPr>
          <w:p w14:paraId="721918A9">
            <w:pPr>
              <w:pStyle w:val="17"/>
              <w:bidi w:val="0"/>
              <w:rPr>
                <w:rFonts w:hint="default" w:ascii="Times New Roman" w:hAnsi="Times New Roman" w:cs="Times New Roman"/>
                <w:color w:val="auto"/>
                <w:highlight w:val="none"/>
                <w:lang w:val="en-US" w:eastAsia="zh-CN"/>
              </w:rPr>
            </w:pPr>
            <w:r>
              <w:rPr>
                <w:rFonts w:hint="default"/>
                <w:color w:val="auto"/>
                <w:highlight w:val="none"/>
              </w:rPr>
              <w:t>总大肠菌群</w:t>
            </w:r>
          </w:p>
        </w:tc>
        <w:tc>
          <w:tcPr>
            <w:tcW w:w="502" w:type="pct"/>
            <w:shd w:val="clear" w:color="auto" w:fill="auto"/>
            <w:noWrap/>
            <w:vAlign w:val="center"/>
          </w:tcPr>
          <w:p w14:paraId="5991D3FA">
            <w:pPr>
              <w:pStyle w:val="17"/>
              <w:bidi w:val="0"/>
              <w:rPr>
                <w:rFonts w:hint="default" w:ascii="Times New Roman" w:hAnsi="Times New Roman" w:cs="Times New Roman"/>
                <w:color w:val="auto"/>
                <w:highlight w:val="none"/>
                <w:lang w:val="en-US" w:eastAsia="zh-CN"/>
              </w:rPr>
            </w:pPr>
            <w:r>
              <w:rPr>
                <w:rFonts w:hint="default"/>
                <w:color w:val="auto"/>
                <w:highlight w:val="none"/>
              </w:rPr>
              <w:t>CFU/100mL</w:t>
            </w:r>
          </w:p>
        </w:tc>
        <w:tc>
          <w:tcPr>
            <w:tcW w:w="446" w:type="pct"/>
            <w:shd w:val="clear" w:color="auto" w:fill="auto"/>
            <w:noWrap/>
            <w:vAlign w:val="center"/>
          </w:tcPr>
          <w:p w14:paraId="52EBED3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3.0</w:t>
            </w:r>
          </w:p>
        </w:tc>
        <w:tc>
          <w:tcPr>
            <w:tcW w:w="656" w:type="pct"/>
            <w:shd w:val="clear" w:color="auto" w:fill="auto"/>
            <w:noWrap/>
            <w:vAlign w:val="center"/>
          </w:tcPr>
          <w:p w14:paraId="1D96785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未检出</w:t>
            </w:r>
          </w:p>
        </w:tc>
        <w:tc>
          <w:tcPr>
            <w:tcW w:w="457" w:type="pct"/>
            <w:shd w:val="clear" w:color="auto" w:fill="auto"/>
            <w:noWrap/>
            <w:vAlign w:val="center"/>
          </w:tcPr>
          <w:p w14:paraId="0C36F97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0925395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10L</w:t>
            </w:r>
          </w:p>
        </w:tc>
        <w:tc>
          <w:tcPr>
            <w:tcW w:w="399" w:type="pct"/>
            <w:noWrap/>
            <w:vAlign w:val="center"/>
          </w:tcPr>
          <w:p w14:paraId="2840EEC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15CA064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未检出</w:t>
            </w:r>
          </w:p>
        </w:tc>
        <w:tc>
          <w:tcPr>
            <w:tcW w:w="374" w:type="pct"/>
            <w:noWrap/>
            <w:vAlign w:val="center"/>
          </w:tcPr>
          <w:p w14:paraId="559A2B2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10D8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2E32A42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11</w:t>
            </w:r>
          </w:p>
        </w:tc>
        <w:tc>
          <w:tcPr>
            <w:tcW w:w="719" w:type="pct"/>
            <w:shd w:val="clear" w:color="auto" w:fill="auto"/>
            <w:vAlign w:val="center"/>
          </w:tcPr>
          <w:p w14:paraId="59C5ADB7">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细菌总数</w:t>
            </w:r>
          </w:p>
        </w:tc>
        <w:tc>
          <w:tcPr>
            <w:tcW w:w="502" w:type="pct"/>
            <w:shd w:val="clear" w:color="auto" w:fill="auto"/>
            <w:noWrap/>
            <w:vAlign w:val="center"/>
          </w:tcPr>
          <w:p w14:paraId="06FE49B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CFU/m</w:t>
            </w:r>
            <w:r>
              <w:rPr>
                <w:rFonts w:hint="default"/>
                <w:color w:val="auto"/>
                <w:highlight w:val="none"/>
              </w:rPr>
              <w:t>L</w:t>
            </w:r>
          </w:p>
        </w:tc>
        <w:tc>
          <w:tcPr>
            <w:tcW w:w="446" w:type="pct"/>
            <w:shd w:val="clear" w:color="auto" w:fill="auto"/>
            <w:noWrap/>
            <w:vAlign w:val="center"/>
          </w:tcPr>
          <w:p w14:paraId="6687889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100</w:t>
            </w:r>
          </w:p>
        </w:tc>
        <w:tc>
          <w:tcPr>
            <w:tcW w:w="656" w:type="pct"/>
            <w:shd w:val="clear" w:color="auto" w:fill="auto"/>
            <w:noWrap/>
            <w:vAlign w:val="center"/>
          </w:tcPr>
          <w:p w14:paraId="754BB26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26</w:t>
            </w:r>
          </w:p>
        </w:tc>
        <w:tc>
          <w:tcPr>
            <w:tcW w:w="457" w:type="pct"/>
            <w:shd w:val="clear" w:color="auto" w:fill="auto"/>
            <w:noWrap/>
            <w:vAlign w:val="center"/>
          </w:tcPr>
          <w:p w14:paraId="350841E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w:t>
            </w:r>
            <w:r>
              <w:rPr>
                <w:rFonts w:hint="eastAsia"/>
                <w:color w:val="auto"/>
                <w:highlight w:val="none"/>
                <w:lang w:val="en-US" w:eastAsia="zh-CN"/>
              </w:rPr>
              <w:t>26</w:t>
            </w:r>
          </w:p>
        </w:tc>
        <w:tc>
          <w:tcPr>
            <w:tcW w:w="609" w:type="pct"/>
            <w:shd w:val="clear" w:color="auto" w:fill="auto"/>
            <w:noWrap/>
            <w:vAlign w:val="center"/>
          </w:tcPr>
          <w:p w14:paraId="545F3A1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57</w:t>
            </w:r>
          </w:p>
        </w:tc>
        <w:tc>
          <w:tcPr>
            <w:tcW w:w="399" w:type="pct"/>
            <w:noWrap/>
            <w:vAlign w:val="center"/>
          </w:tcPr>
          <w:p w14:paraId="2873C07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0.57</w:t>
            </w:r>
          </w:p>
        </w:tc>
        <w:tc>
          <w:tcPr>
            <w:tcW w:w="551" w:type="pct"/>
            <w:noWrap/>
            <w:vAlign w:val="center"/>
          </w:tcPr>
          <w:p w14:paraId="4FBB7F56">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未检出</w:t>
            </w:r>
          </w:p>
        </w:tc>
        <w:tc>
          <w:tcPr>
            <w:tcW w:w="374" w:type="pct"/>
            <w:noWrap/>
            <w:vAlign w:val="center"/>
          </w:tcPr>
          <w:p w14:paraId="438F7B7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4157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3355103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12</w:t>
            </w:r>
          </w:p>
        </w:tc>
        <w:tc>
          <w:tcPr>
            <w:tcW w:w="719" w:type="pct"/>
            <w:shd w:val="clear" w:color="auto" w:fill="auto"/>
            <w:vAlign w:val="center"/>
          </w:tcPr>
          <w:p w14:paraId="55583E37">
            <w:pPr>
              <w:pStyle w:val="17"/>
              <w:bidi w:val="0"/>
              <w:rPr>
                <w:rFonts w:hint="default" w:ascii="Times New Roman" w:hAnsi="Times New Roman" w:cs="Times New Roman"/>
                <w:color w:val="auto"/>
                <w:highlight w:val="none"/>
                <w:lang w:val="en-US" w:eastAsia="zh-CN"/>
              </w:rPr>
            </w:pPr>
            <w:r>
              <w:rPr>
                <w:rFonts w:hint="default"/>
                <w:color w:val="auto"/>
                <w:highlight w:val="none"/>
              </w:rPr>
              <w:t>亚硝酸盐</w:t>
            </w:r>
            <w:r>
              <w:rPr>
                <w:rFonts w:hint="default"/>
                <w:color w:val="auto"/>
                <w:highlight w:val="none"/>
                <w:lang w:eastAsia="zh-CN"/>
              </w:rPr>
              <w:t>（</w:t>
            </w:r>
            <w:r>
              <w:rPr>
                <w:rFonts w:hint="default"/>
                <w:color w:val="auto"/>
                <w:highlight w:val="none"/>
              </w:rPr>
              <w:t>氮</w:t>
            </w:r>
            <w:r>
              <w:rPr>
                <w:rFonts w:hint="default"/>
                <w:color w:val="auto"/>
                <w:highlight w:val="none"/>
                <w:lang w:eastAsia="zh-CN"/>
              </w:rPr>
              <w:t>）</w:t>
            </w:r>
          </w:p>
        </w:tc>
        <w:tc>
          <w:tcPr>
            <w:tcW w:w="502" w:type="pct"/>
            <w:shd w:val="clear" w:color="auto" w:fill="auto"/>
            <w:noWrap/>
            <w:vAlign w:val="center"/>
          </w:tcPr>
          <w:p w14:paraId="4D38E86E">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508F36A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1.0</w:t>
            </w:r>
          </w:p>
        </w:tc>
        <w:tc>
          <w:tcPr>
            <w:tcW w:w="656" w:type="pct"/>
            <w:shd w:val="clear" w:color="auto" w:fill="auto"/>
            <w:noWrap/>
            <w:vAlign w:val="center"/>
          </w:tcPr>
          <w:p w14:paraId="7FCD04C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0.003L</w:t>
            </w:r>
          </w:p>
        </w:tc>
        <w:tc>
          <w:tcPr>
            <w:tcW w:w="457" w:type="pct"/>
            <w:shd w:val="clear" w:color="auto" w:fill="auto"/>
            <w:noWrap/>
            <w:vAlign w:val="center"/>
          </w:tcPr>
          <w:p w14:paraId="6B18350F">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5F6E6B7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0.003L</w:t>
            </w:r>
          </w:p>
        </w:tc>
        <w:tc>
          <w:tcPr>
            <w:tcW w:w="399" w:type="pct"/>
            <w:noWrap/>
            <w:vAlign w:val="center"/>
          </w:tcPr>
          <w:p w14:paraId="18A4385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4768E0A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＜0.003</w:t>
            </w:r>
          </w:p>
        </w:tc>
        <w:tc>
          <w:tcPr>
            <w:tcW w:w="374" w:type="pct"/>
            <w:noWrap/>
            <w:vAlign w:val="center"/>
          </w:tcPr>
          <w:p w14:paraId="3719B37C">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2AEF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680BF67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13</w:t>
            </w:r>
          </w:p>
        </w:tc>
        <w:tc>
          <w:tcPr>
            <w:tcW w:w="719" w:type="pct"/>
            <w:shd w:val="clear" w:color="auto" w:fill="auto"/>
            <w:vAlign w:val="center"/>
          </w:tcPr>
          <w:p w14:paraId="6BA86616">
            <w:pPr>
              <w:pStyle w:val="17"/>
              <w:bidi w:val="0"/>
              <w:rPr>
                <w:rFonts w:hint="default" w:ascii="Times New Roman" w:hAnsi="Times New Roman" w:cs="Times New Roman"/>
                <w:color w:val="auto"/>
                <w:highlight w:val="none"/>
                <w:lang w:val="en-US" w:eastAsia="zh-CN"/>
              </w:rPr>
            </w:pPr>
            <w:r>
              <w:rPr>
                <w:rFonts w:hint="default"/>
                <w:color w:val="auto"/>
                <w:highlight w:val="none"/>
              </w:rPr>
              <w:t>硝酸盐</w:t>
            </w:r>
            <w:r>
              <w:rPr>
                <w:rFonts w:hint="default"/>
                <w:color w:val="auto"/>
                <w:highlight w:val="none"/>
                <w:lang w:eastAsia="zh-CN"/>
              </w:rPr>
              <w:t>（</w:t>
            </w:r>
            <w:r>
              <w:rPr>
                <w:rFonts w:hint="default"/>
                <w:color w:val="auto"/>
                <w:highlight w:val="none"/>
              </w:rPr>
              <w:t>氮</w:t>
            </w:r>
            <w:r>
              <w:rPr>
                <w:rFonts w:hint="default"/>
                <w:color w:val="auto"/>
                <w:highlight w:val="none"/>
                <w:lang w:eastAsia="zh-CN"/>
              </w:rPr>
              <w:t>）</w:t>
            </w:r>
          </w:p>
        </w:tc>
        <w:tc>
          <w:tcPr>
            <w:tcW w:w="502" w:type="pct"/>
            <w:shd w:val="clear" w:color="auto" w:fill="auto"/>
            <w:noWrap/>
            <w:vAlign w:val="center"/>
          </w:tcPr>
          <w:p w14:paraId="17511833">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27F2EC4C">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20.0</w:t>
            </w:r>
          </w:p>
        </w:tc>
        <w:tc>
          <w:tcPr>
            <w:tcW w:w="656" w:type="pct"/>
            <w:shd w:val="clear" w:color="auto" w:fill="auto"/>
            <w:noWrap/>
            <w:vAlign w:val="center"/>
          </w:tcPr>
          <w:p w14:paraId="39E4F6B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1.26</w:t>
            </w:r>
          </w:p>
        </w:tc>
        <w:tc>
          <w:tcPr>
            <w:tcW w:w="457" w:type="pct"/>
            <w:shd w:val="clear" w:color="auto" w:fill="auto"/>
            <w:noWrap/>
            <w:vAlign w:val="center"/>
          </w:tcPr>
          <w:p w14:paraId="39E04B3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w:t>
            </w:r>
            <w:r>
              <w:rPr>
                <w:rFonts w:hint="eastAsia"/>
                <w:color w:val="auto"/>
                <w:highlight w:val="none"/>
                <w:lang w:val="en-US" w:eastAsia="zh-CN"/>
              </w:rPr>
              <w:t>063</w:t>
            </w:r>
          </w:p>
        </w:tc>
        <w:tc>
          <w:tcPr>
            <w:tcW w:w="609" w:type="pct"/>
            <w:shd w:val="clear" w:color="auto" w:fill="auto"/>
            <w:noWrap/>
            <w:vAlign w:val="center"/>
          </w:tcPr>
          <w:p w14:paraId="519A3F5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0.77</w:t>
            </w:r>
          </w:p>
        </w:tc>
        <w:tc>
          <w:tcPr>
            <w:tcW w:w="399" w:type="pct"/>
            <w:noWrap/>
            <w:vAlign w:val="center"/>
          </w:tcPr>
          <w:p w14:paraId="1195BD8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0.04</w:t>
            </w:r>
          </w:p>
        </w:tc>
        <w:tc>
          <w:tcPr>
            <w:tcW w:w="551" w:type="pct"/>
            <w:noWrap/>
            <w:vAlign w:val="center"/>
          </w:tcPr>
          <w:p w14:paraId="3471C15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0.6</w:t>
            </w:r>
          </w:p>
        </w:tc>
        <w:tc>
          <w:tcPr>
            <w:tcW w:w="374" w:type="pct"/>
            <w:noWrap/>
            <w:vAlign w:val="center"/>
          </w:tcPr>
          <w:p w14:paraId="5FE188B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0.03</w:t>
            </w:r>
          </w:p>
        </w:tc>
      </w:tr>
      <w:tr w14:paraId="21C2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68A738B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14</w:t>
            </w:r>
          </w:p>
        </w:tc>
        <w:tc>
          <w:tcPr>
            <w:tcW w:w="719" w:type="pct"/>
            <w:shd w:val="clear" w:color="auto" w:fill="auto"/>
            <w:vAlign w:val="center"/>
          </w:tcPr>
          <w:p w14:paraId="44024ACC">
            <w:pPr>
              <w:pStyle w:val="17"/>
              <w:bidi w:val="0"/>
              <w:rPr>
                <w:rFonts w:hint="default" w:ascii="Times New Roman" w:hAnsi="Times New Roman" w:cs="Times New Roman"/>
                <w:color w:val="auto"/>
                <w:highlight w:val="none"/>
                <w:lang w:val="en-US" w:eastAsia="zh-CN"/>
              </w:rPr>
            </w:pPr>
            <w:r>
              <w:rPr>
                <w:rFonts w:hint="default"/>
                <w:color w:val="auto"/>
                <w:highlight w:val="none"/>
              </w:rPr>
              <w:t>氰化物</w:t>
            </w:r>
          </w:p>
        </w:tc>
        <w:tc>
          <w:tcPr>
            <w:tcW w:w="502" w:type="pct"/>
            <w:shd w:val="clear" w:color="auto" w:fill="auto"/>
            <w:noWrap/>
            <w:vAlign w:val="center"/>
          </w:tcPr>
          <w:p w14:paraId="4762CF07">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71B63C8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0.05</w:t>
            </w:r>
          </w:p>
        </w:tc>
        <w:tc>
          <w:tcPr>
            <w:tcW w:w="656" w:type="pct"/>
            <w:shd w:val="clear" w:color="auto" w:fill="auto"/>
            <w:noWrap/>
            <w:vAlign w:val="center"/>
          </w:tcPr>
          <w:p w14:paraId="7169953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0.002L</w:t>
            </w:r>
          </w:p>
        </w:tc>
        <w:tc>
          <w:tcPr>
            <w:tcW w:w="457" w:type="pct"/>
            <w:shd w:val="clear" w:color="auto" w:fill="auto"/>
            <w:noWrap/>
            <w:vAlign w:val="center"/>
          </w:tcPr>
          <w:p w14:paraId="07CA382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0A1DA03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0.002L</w:t>
            </w:r>
          </w:p>
        </w:tc>
        <w:tc>
          <w:tcPr>
            <w:tcW w:w="399" w:type="pct"/>
            <w:noWrap/>
            <w:vAlign w:val="center"/>
          </w:tcPr>
          <w:p w14:paraId="02E26EE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73EB97D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＜0.001</w:t>
            </w:r>
          </w:p>
        </w:tc>
        <w:tc>
          <w:tcPr>
            <w:tcW w:w="374" w:type="pct"/>
            <w:noWrap/>
            <w:vAlign w:val="center"/>
          </w:tcPr>
          <w:p w14:paraId="02F9090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7A69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84" w:type="pct"/>
            <w:shd w:val="clear" w:color="auto" w:fill="auto"/>
            <w:noWrap/>
            <w:vAlign w:val="center"/>
          </w:tcPr>
          <w:p w14:paraId="4999B19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15</w:t>
            </w:r>
          </w:p>
        </w:tc>
        <w:tc>
          <w:tcPr>
            <w:tcW w:w="719" w:type="pct"/>
            <w:shd w:val="clear" w:color="auto" w:fill="auto"/>
            <w:vAlign w:val="center"/>
          </w:tcPr>
          <w:p w14:paraId="3A734295">
            <w:pPr>
              <w:pStyle w:val="17"/>
              <w:bidi w:val="0"/>
              <w:rPr>
                <w:rFonts w:hint="default" w:ascii="Times New Roman" w:hAnsi="Times New Roman" w:cs="Times New Roman"/>
                <w:color w:val="auto"/>
                <w:highlight w:val="none"/>
                <w:lang w:val="en-US" w:eastAsia="zh-CN"/>
              </w:rPr>
            </w:pPr>
            <w:r>
              <w:rPr>
                <w:rFonts w:hint="default"/>
                <w:color w:val="auto"/>
                <w:highlight w:val="none"/>
              </w:rPr>
              <w:t>氟化物</w:t>
            </w:r>
          </w:p>
        </w:tc>
        <w:tc>
          <w:tcPr>
            <w:tcW w:w="502" w:type="pct"/>
            <w:shd w:val="clear" w:color="auto" w:fill="auto"/>
            <w:noWrap/>
            <w:vAlign w:val="center"/>
          </w:tcPr>
          <w:p w14:paraId="3A4E0771">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76F3C0C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10</w:t>
            </w:r>
          </w:p>
        </w:tc>
        <w:tc>
          <w:tcPr>
            <w:tcW w:w="656" w:type="pct"/>
            <w:shd w:val="clear" w:color="auto" w:fill="auto"/>
            <w:noWrap/>
            <w:vAlign w:val="center"/>
          </w:tcPr>
          <w:p w14:paraId="1B3D2C7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0.729</w:t>
            </w:r>
          </w:p>
        </w:tc>
        <w:tc>
          <w:tcPr>
            <w:tcW w:w="457" w:type="pct"/>
            <w:shd w:val="clear" w:color="auto" w:fill="auto"/>
            <w:noWrap/>
            <w:vAlign w:val="center"/>
          </w:tcPr>
          <w:p w14:paraId="301840A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35120D6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0.33</w:t>
            </w:r>
          </w:p>
        </w:tc>
        <w:tc>
          <w:tcPr>
            <w:tcW w:w="399" w:type="pct"/>
            <w:noWrap/>
            <w:vAlign w:val="center"/>
          </w:tcPr>
          <w:p w14:paraId="791842B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0.03</w:t>
            </w:r>
          </w:p>
        </w:tc>
        <w:tc>
          <w:tcPr>
            <w:tcW w:w="551" w:type="pct"/>
            <w:noWrap/>
            <w:vAlign w:val="center"/>
          </w:tcPr>
          <w:p w14:paraId="09F49B0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＜0.001</w:t>
            </w:r>
          </w:p>
        </w:tc>
        <w:tc>
          <w:tcPr>
            <w:tcW w:w="374" w:type="pct"/>
            <w:noWrap/>
            <w:vAlign w:val="center"/>
          </w:tcPr>
          <w:p w14:paraId="5EB56D0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28F6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4D91F24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16</w:t>
            </w:r>
          </w:p>
        </w:tc>
        <w:tc>
          <w:tcPr>
            <w:tcW w:w="719" w:type="pct"/>
            <w:shd w:val="clear" w:color="auto" w:fill="auto"/>
            <w:vAlign w:val="center"/>
          </w:tcPr>
          <w:p w14:paraId="0E501D4B">
            <w:pPr>
              <w:pStyle w:val="17"/>
              <w:bidi w:val="0"/>
              <w:rPr>
                <w:rFonts w:hint="default" w:ascii="Times New Roman" w:hAnsi="Times New Roman" w:cs="Times New Roman"/>
                <w:color w:val="auto"/>
                <w:highlight w:val="none"/>
                <w:lang w:val="en-US" w:eastAsia="zh-CN"/>
              </w:rPr>
            </w:pPr>
            <w:r>
              <w:rPr>
                <w:rFonts w:hint="default"/>
                <w:color w:val="auto"/>
                <w:highlight w:val="none"/>
              </w:rPr>
              <w:t>汞</w:t>
            </w:r>
          </w:p>
        </w:tc>
        <w:tc>
          <w:tcPr>
            <w:tcW w:w="502" w:type="pct"/>
            <w:shd w:val="clear" w:color="auto" w:fill="auto"/>
            <w:noWrap/>
            <w:vAlign w:val="center"/>
          </w:tcPr>
          <w:p w14:paraId="61ABE7E3">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1394564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0.001</w:t>
            </w:r>
          </w:p>
        </w:tc>
        <w:tc>
          <w:tcPr>
            <w:tcW w:w="656" w:type="pct"/>
            <w:shd w:val="clear" w:color="auto" w:fill="auto"/>
            <w:noWrap/>
            <w:vAlign w:val="center"/>
          </w:tcPr>
          <w:p w14:paraId="0ED6779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0.00004L</w:t>
            </w:r>
          </w:p>
        </w:tc>
        <w:tc>
          <w:tcPr>
            <w:tcW w:w="457" w:type="pct"/>
            <w:shd w:val="clear" w:color="auto" w:fill="auto"/>
            <w:noWrap/>
            <w:vAlign w:val="center"/>
          </w:tcPr>
          <w:p w14:paraId="7659885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50CF080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0.00004L</w:t>
            </w:r>
          </w:p>
        </w:tc>
        <w:tc>
          <w:tcPr>
            <w:tcW w:w="399" w:type="pct"/>
            <w:noWrap/>
            <w:vAlign w:val="center"/>
          </w:tcPr>
          <w:p w14:paraId="56CE384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7D349AD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＜0.00004</w:t>
            </w:r>
          </w:p>
        </w:tc>
        <w:tc>
          <w:tcPr>
            <w:tcW w:w="374" w:type="pct"/>
            <w:noWrap/>
            <w:vAlign w:val="center"/>
          </w:tcPr>
          <w:p w14:paraId="0FF0BBF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1322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12FE116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17</w:t>
            </w:r>
          </w:p>
        </w:tc>
        <w:tc>
          <w:tcPr>
            <w:tcW w:w="719" w:type="pct"/>
            <w:shd w:val="clear" w:color="auto" w:fill="auto"/>
            <w:vAlign w:val="center"/>
          </w:tcPr>
          <w:p w14:paraId="56415902">
            <w:pPr>
              <w:pStyle w:val="17"/>
              <w:bidi w:val="0"/>
              <w:rPr>
                <w:rFonts w:hint="default" w:ascii="Times New Roman" w:hAnsi="Times New Roman" w:cs="Times New Roman"/>
                <w:color w:val="auto"/>
                <w:highlight w:val="none"/>
                <w:lang w:val="en-US" w:eastAsia="zh-CN"/>
              </w:rPr>
            </w:pPr>
            <w:r>
              <w:rPr>
                <w:rFonts w:hint="default"/>
                <w:color w:val="auto"/>
                <w:highlight w:val="none"/>
              </w:rPr>
              <w:t>砷</w:t>
            </w:r>
          </w:p>
        </w:tc>
        <w:tc>
          <w:tcPr>
            <w:tcW w:w="502" w:type="pct"/>
            <w:shd w:val="clear" w:color="auto" w:fill="auto"/>
            <w:noWrap/>
            <w:vAlign w:val="center"/>
          </w:tcPr>
          <w:p w14:paraId="04F578F2">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7B29481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0.01</w:t>
            </w:r>
          </w:p>
        </w:tc>
        <w:tc>
          <w:tcPr>
            <w:tcW w:w="656" w:type="pct"/>
            <w:shd w:val="clear" w:color="auto" w:fill="auto"/>
            <w:noWrap/>
            <w:vAlign w:val="center"/>
          </w:tcPr>
          <w:p w14:paraId="5CC0256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0.0003L</w:t>
            </w:r>
          </w:p>
        </w:tc>
        <w:tc>
          <w:tcPr>
            <w:tcW w:w="457" w:type="pct"/>
            <w:shd w:val="clear" w:color="auto" w:fill="auto"/>
            <w:noWrap/>
            <w:vAlign w:val="center"/>
          </w:tcPr>
          <w:p w14:paraId="20542C79">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1147497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0.0003L</w:t>
            </w:r>
          </w:p>
        </w:tc>
        <w:tc>
          <w:tcPr>
            <w:tcW w:w="399" w:type="pct"/>
            <w:noWrap/>
            <w:vAlign w:val="center"/>
          </w:tcPr>
          <w:p w14:paraId="3818567C">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1347902C">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0.0017</w:t>
            </w:r>
          </w:p>
        </w:tc>
        <w:tc>
          <w:tcPr>
            <w:tcW w:w="374" w:type="pct"/>
            <w:noWrap/>
            <w:vAlign w:val="center"/>
          </w:tcPr>
          <w:p w14:paraId="168A4806">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0.17</w:t>
            </w:r>
          </w:p>
        </w:tc>
      </w:tr>
      <w:tr w14:paraId="0526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6EA4BD1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18</w:t>
            </w:r>
          </w:p>
        </w:tc>
        <w:tc>
          <w:tcPr>
            <w:tcW w:w="719" w:type="pct"/>
            <w:shd w:val="clear" w:color="auto" w:fill="auto"/>
            <w:vAlign w:val="center"/>
          </w:tcPr>
          <w:p w14:paraId="4A172E85">
            <w:pPr>
              <w:pStyle w:val="17"/>
              <w:bidi w:val="0"/>
              <w:rPr>
                <w:rFonts w:hint="default" w:ascii="Times New Roman" w:hAnsi="Times New Roman" w:cs="Times New Roman"/>
                <w:color w:val="auto"/>
                <w:highlight w:val="none"/>
                <w:lang w:val="en-US" w:eastAsia="zh-CN"/>
              </w:rPr>
            </w:pPr>
            <w:r>
              <w:rPr>
                <w:rFonts w:hint="default"/>
                <w:color w:val="auto"/>
                <w:highlight w:val="none"/>
              </w:rPr>
              <w:t>镉</w:t>
            </w:r>
          </w:p>
        </w:tc>
        <w:tc>
          <w:tcPr>
            <w:tcW w:w="502" w:type="pct"/>
            <w:shd w:val="clear" w:color="auto" w:fill="auto"/>
            <w:noWrap/>
            <w:vAlign w:val="center"/>
          </w:tcPr>
          <w:p w14:paraId="7C0AA1FD">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663C942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0.005</w:t>
            </w:r>
          </w:p>
        </w:tc>
        <w:tc>
          <w:tcPr>
            <w:tcW w:w="656" w:type="pct"/>
            <w:shd w:val="clear" w:color="auto" w:fill="auto"/>
            <w:noWrap/>
            <w:vAlign w:val="center"/>
          </w:tcPr>
          <w:p w14:paraId="1ECB8D9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0.00</w:t>
            </w:r>
            <w:r>
              <w:rPr>
                <w:rFonts w:hint="eastAsia"/>
                <w:color w:val="auto"/>
                <w:highlight w:val="none"/>
                <w:lang w:val="en-US" w:eastAsia="zh-CN"/>
              </w:rPr>
              <w:t>0</w:t>
            </w:r>
            <w:r>
              <w:rPr>
                <w:rFonts w:hint="default"/>
                <w:color w:val="auto"/>
                <w:highlight w:val="none"/>
                <w:lang w:val="en-US" w:eastAsia="zh-CN"/>
              </w:rPr>
              <w:t>05L</w:t>
            </w:r>
          </w:p>
        </w:tc>
        <w:tc>
          <w:tcPr>
            <w:tcW w:w="457" w:type="pct"/>
            <w:shd w:val="clear" w:color="auto" w:fill="auto"/>
            <w:noWrap/>
            <w:vAlign w:val="center"/>
          </w:tcPr>
          <w:p w14:paraId="5E4BA09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35E219B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0.0005L</w:t>
            </w:r>
          </w:p>
        </w:tc>
        <w:tc>
          <w:tcPr>
            <w:tcW w:w="399" w:type="pct"/>
            <w:noWrap/>
            <w:vAlign w:val="center"/>
          </w:tcPr>
          <w:p w14:paraId="6746148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060C02F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＜0.001</w:t>
            </w:r>
          </w:p>
        </w:tc>
        <w:tc>
          <w:tcPr>
            <w:tcW w:w="374" w:type="pct"/>
            <w:noWrap/>
            <w:vAlign w:val="center"/>
          </w:tcPr>
          <w:p w14:paraId="1532249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3103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6298FFD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19</w:t>
            </w:r>
          </w:p>
        </w:tc>
        <w:tc>
          <w:tcPr>
            <w:tcW w:w="719" w:type="pct"/>
            <w:shd w:val="clear" w:color="auto" w:fill="auto"/>
            <w:vAlign w:val="center"/>
          </w:tcPr>
          <w:p w14:paraId="13B1504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铬（六价）</w:t>
            </w:r>
          </w:p>
        </w:tc>
        <w:tc>
          <w:tcPr>
            <w:tcW w:w="502" w:type="pct"/>
            <w:shd w:val="clear" w:color="auto" w:fill="auto"/>
            <w:noWrap/>
            <w:vAlign w:val="center"/>
          </w:tcPr>
          <w:p w14:paraId="5717D6C3">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7D61829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0.05</w:t>
            </w:r>
          </w:p>
        </w:tc>
        <w:tc>
          <w:tcPr>
            <w:tcW w:w="656" w:type="pct"/>
            <w:shd w:val="clear" w:color="auto" w:fill="auto"/>
            <w:noWrap/>
            <w:vAlign w:val="center"/>
          </w:tcPr>
          <w:p w14:paraId="4CEF303C">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0.03L</w:t>
            </w:r>
          </w:p>
        </w:tc>
        <w:tc>
          <w:tcPr>
            <w:tcW w:w="457" w:type="pct"/>
            <w:shd w:val="clear" w:color="auto" w:fill="auto"/>
            <w:noWrap/>
            <w:vAlign w:val="center"/>
          </w:tcPr>
          <w:p w14:paraId="6436A5D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698B92F6">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0.03L</w:t>
            </w:r>
          </w:p>
        </w:tc>
        <w:tc>
          <w:tcPr>
            <w:tcW w:w="399" w:type="pct"/>
            <w:noWrap/>
            <w:vAlign w:val="center"/>
          </w:tcPr>
          <w:p w14:paraId="2722745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4D49211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＜0.001</w:t>
            </w:r>
          </w:p>
        </w:tc>
        <w:tc>
          <w:tcPr>
            <w:tcW w:w="374" w:type="pct"/>
            <w:noWrap/>
            <w:vAlign w:val="center"/>
          </w:tcPr>
          <w:p w14:paraId="39297F2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2AC0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357CAC8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20</w:t>
            </w:r>
          </w:p>
        </w:tc>
        <w:tc>
          <w:tcPr>
            <w:tcW w:w="719" w:type="pct"/>
            <w:shd w:val="clear" w:color="auto" w:fill="auto"/>
            <w:vAlign w:val="center"/>
          </w:tcPr>
          <w:p w14:paraId="37D18825">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钾离子（</w:t>
            </w:r>
            <w:r>
              <w:rPr>
                <w:rFonts w:hint="default"/>
                <w:color w:val="auto"/>
                <w:highlight w:val="none"/>
                <w:lang w:val="en-US" w:eastAsia="zh-CN"/>
              </w:rPr>
              <w:t>钾）</w:t>
            </w:r>
          </w:p>
        </w:tc>
        <w:tc>
          <w:tcPr>
            <w:tcW w:w="502" w:type="pct"/>
            <w:shd w:val="clear" w:color="auto" w:fill="auto"/>
            <w:noWrap/>
            <w:vAlign w:val="center"/>
          </w:tcPr>
          <w:p w14:paraId="7DC7E43D">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22E63AE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656" w:type="pct"/>
            <w:shd w:val="clear" w:color="auto" w:fill="auto"/>
            <w:noWrap/>
            <w:vAlign w:val="center"/>
          </w:tcPr>
          <w:p w14:paraId="7ACADAC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2.38</w:t>
            </w:r>
          </w:p>
        </w:tc>
        <w:tc>
          <w:tcPr>
            <w:tcW w:w="457" w:type="pct"/>
            <w:shd w:val="clear" w:color="auto" w:fill="auto"/>
            <w:noWrap/>
            <w:vAlign w:val="center"/>
          </w:tcPr>
          <w:p w14:paraId="15604DA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2C38D37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4.32</w:t>
            </w:r>
          </w:p>
        </w:tc>
        <w:tc>
          <w:tcPr>
            <w:tcW w:w="399" w:type="pct"/>
            <w:noWrap/>
            <w:vAlign w:val="center"/>
          </w:tcPr>
          <w:p w14:paraId="1A6B2356">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3AD9B20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3.27</w:t>
            </w:r>
          </w:p>
        </w:tc>
        <w:tc>
          <w:tcPr>
            <w:tcW w:w="374" w:type="pct"/>
            <w:noWrap/>
            <w:vAlign w:val="center"/>
          </w:tcPr>
          <w:p w14:paraId="3E156CE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3188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69650CC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21</w:t>
            </w:r>
          </w:p>
        </w:tc>
        <w:tc>
          <w:tcPr>
            <w:tcW w:w="719" w:type="pct"/>
            <w:shd w:val="clear" w:color="auto" w:fill="auto"/>
            <w:vAlign w:val="center"/>
          </w:tcPr>
          <w:p w14:paraId="14390966">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钠离子（钠）</w:t>
            </w:r>
          </w:p>
        </w:tc>
        <w:tc>
          <w:tcPr>
            <w:tcW w:w="502" w:type="pct"/>
            <w:shd w:val="clear" w:color="auto" w:fill="auto"/>
            <w:noWrap/>
            <w:vAlign w:val="center"/>
          </w:tcPr>
          <w:p w14:paraId="1C9B676F">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6F6FFFE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200</w:t>
            </w:r>
          </w:p>
        </w:tc>
        <w:tc>
          <w:tcPr>
            <w:tcW w:w="656" w:type="pct"/>
            <w:shd w:val="clear" w:color="auto" w:fill="auto"/>
            <w:noWrap/>
            <w:vAlign w:val="center"/>
          </w:tcPr>
          <w:p w14:paraId="2FD650D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75.2</w:t>
            </w:r>
          </w:p>
        </w:tc>
        <w:tc>
          <w:tcPr>
            <w:tcW w:w="457" w:type="pct"/>
            <w:shd w:val="clear" w:color="auto" w:fill="auto"/>
            <w:noWrap/>
            <w:vAlign w:val="center"/>
          </w:tcPr>
          <w:p w14:paraId="39F3249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0.376</w:t>
            </w:r>
          </w:p>
        </w:tc>
        <w:tc>
          <w:tcPr>
            <w:tcW w:w="609" w:type="pct"/>
            <w:shd w:val="clear" w:color="auto" w:fill="auto"/>
            <w:noWrap/>
            <w:vAlign w:val="center"/>
          </w:tcPr>
          <w:p w14:paraId="6EF7AAC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95.7</w:t>
            </w:r>
          </w:p>
        </w:tc>
        <w:tc>
          <w:tcPr>
            <w:tcW w:w="399" w:type="pct"/>
            <w:noWrap/>
            <w:vAlign w:val="center"/>
          </w:tcPr>
          <w:p w14:paraId="1E8FCA9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0.48</w:t>
            </w:r>
          </w:p>
        </w:tc>
        <w:tc>
          <w:tcPr>
            <w:tcW w:w="551" w:type="pct"/>
            <w:noWrap/>
            <w:vAlign w:val="center"/>
          </w:tcPr>
          <w:p w14:paraId="6EF59F7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26</w:t>
            </w:r>
          </w:p>
        </w:tc>
        <w:tc>
          <w:tcPr>
            <w:tcW w:w="374" w:type="pct"/>
            <w:noWrap/>
            <w:vAlign w:val="center"/>
          </w:tcPr>
          <w:p w14:paraId="06CD949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0.13</w:t>
            </w:r>
          </w:p>
        </w:tc>
      </w:tr>
      <w:tr w14:paraId="2B0B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noWrap/>
            <w:vAlign w:val="center"/>
          </w:tcPr>
          <w:p w14:paraId="6C54318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22</w:t>
            </w:r>
          </w:p>
        </w:tc>
        <w:tc>
          <w:tcPr>
            <w:tcW w:w="719" w:type="pct"/>
            <w:shd w:val="clear" w:color="auto" w:fill="auto"/>
            <w:vAlign w:val="center"/>
          </w:tcPr>
          <w:p w14:paraId="7337366F">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钙离子</w:t>
            </w:r>
          </w:p>
        </w:tc>
        <w:tc>
          <w:tcPr>
            <w:tcW w:w="502" w:type="pct"/>
            <w:shd w:val="clear" w:color="auto" w:fill="auto"/>
            <w:noWrap/>
            <w:vAlign w:val="center"/>
          </w:tcPr>
          <w:p w14:paraId="121B5BFA">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noWrap/>
            <w:vAlign w:val="center"/>
          </w:tcPr>
          <w:p w14:paraId="7152D72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656" w:type="pct"/>
            <w:shd w:val="clear" w:color="auto" w:fill="auto"/>
            <w:noWrap/>
            <w:vAlign w:val="center"/>
          </w:tcPr>
          <w:p w14:paraId="60980265">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48.6</w:t>
            </w:r>
          </w:p>
        </w:tc>
        <w:tc>
          <w:tcPr>
            <w:tcW w:w="457" w:type="pct"/>
            <w:shd w:val="clear" w:color="auto" w:fill="auto"/>
            <w:noWrap/>
            <w:vAlign w:val="center"/>
          </w:tcPr>
          <w:p w14:paraId="776E779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noWrap/>
            <w:vAlign w:val="center"/>
          </w:tcPr>
          <w:p w14:paraId="7A51A43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123</w:t>
            </w:r>
          </w:p>
        </w:tc>
        <w:tc>
          <w:tcPr>
            <w:tcW w:w="399" w:type="pct"/>
            <w:noWrap/>
            <w:vAlign w:val="center"/>
          </w:tcPr>
          <w:p w14:paraId="1D193E5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noWrap/>
            <w:vAlign w:val="center"/>
          </w:tcPr>
          <w:p w14:paraId="5422DF3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63</w:t>
            </w:r>
          </w:p>
        </w:tc>
        <w:tc>
          <w:tcPr>
            <w:tcW w:w="374" w:type="pct"/>
            <w:noWrap/>
            <w:vAlign w:val="center"/>
          </w:tcPr>
          <w:p w14:paraId="6DE8DF8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2840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vAlign w:val="center"/>
          </w:tcPr>
          <w:p w14:paraId="2E247FD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23</w:t>
            </w:r>
          </w:p>
        </w:tc>
        <w:tc>
          <w:tcPr>
            <w:tcW w:w="719" w:type="pct"/>
            <w:shd w:val="clear" w:color="auto" w:fill="auto"/>
            <w:vAlign w:val="center"/>
          </w:tcPr>
          <w:p w14:paraId="4CAF7805">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镁离子</w:t>
            </w:r>
          </w:p>
        </w:tc>
        <w:tc>
          <w:tcPr>
            <w:tcW w:w="502" w:type="pct"/>
            <w:shd w:val="clear" w:color="auto" w:fill="auto"/>
            <w:vAlign w:val="center"/>
          </w:tcPr>
          <w:p w14:paraId="3EE83F74">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vAlign w:val="center"/>
          </w:tcPr>
          <w:p w14:paraId="02116A4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656" w:type="pct"/>
            <w:shd w:val="clear" w:color="auto" w:fill="auto"/>
            <w:vAlign w:val="center"/>
          </w:tcPr>
          <w:p w14:paraId="4E2B5D5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25.8</w:t>
            </w:r>
          </w:p>
        </w:tc>
        <w:tc>
          <w:tcPr>
            <w:tcW w:w="457" w:type="pct"/>
            <w:shd w:val="clear" w:color="auto" w:fill="auto"/>
            <w:vAlign w:val="center"/>
          </w:tcPr>
          <w:p w14:paraId="289717A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vAlign w:val="center"/>
          </w:tcPr>
          <w:p w14:paraId="5753343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46.9</w:t>
            </w:r>
          </w:p>
        </w:tc>
        <w:tc>
          <w:tcPr>
            <w:tcW w:w="399" w:type="pct"/>
            <w:vAlign w:val="center"/>
          </w:tcPr>
          <w:p w14:paraId="751286F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vAlign w:val="center"/>
          </w:tcPr>
          <w:p w14:paraId="583C9B9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28.3</w:t>
            </w:r>
          </w:p>
        </w:tc>
        <w:tc>
          <w:tcPr>
            <w:tcW w:w="374" w:type="pct"/>
            <w:vAlign w:val="center"/>
          </w:tcPr>
          <w:p w14:paraId="3DD8F3C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641E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vAlign w:val="center"/>
          </w:tcPr>
          <w:p w14:paraId="692D92E0">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24</w:t>
            </w:r>
          </w:p>
        </w:tc>
        <w:tc>
          <w:tcPr>
            <w:tcW w:w="719" w:type="pct"/>
            <w:shd w:val="clear" w:color="auto" w:fill="auto"/>
            <w:vAlign w:val="center"/>
          </w:tcPr>
          <w:p w14:paraId="76AA67B5">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氯离子</w:t>
            </w:r>
            <w:r>
              <w:rPr>
                <w:rFonts w:hint="eastAsia"/>
                <w:color w:val="auto"/>
                <w:highlight w:val="none"/>
                <w:lang w:eastAsia="zh-CN"/>
              </w:rPr>
              <w:t>（</w:t>
            </w:r>
            <w:r>
              <w:rPr>
                <w:rFonts w:hint="eastAsia"/>
                <w:color w:val="auto"/>
                <w:highlight w:val="none"/>
                <w:lang w:val="en-US" w:eastAsia="zh-CN"/>
              </w:rPr>
              <w:t>氯化物）</w:t>
            </w:r>
          </w:p>
        </w:tc>
        <w:tc>
          <w:tcPr>
            <w:tcW w:w="502" w:type="pct"/>
            <w:shd w:val="clear" w:color="auto" w:fill="auto"/>
            <w:vAlign w:val="center"/>
          </w:tcPr>
          <w:p w14:paraId="35F25FB6">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vAlign w:val="center"/>
          </w:tcPr>
          <w:p w14:paraId="67B93A8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250</w:t>
            </w:r>
          </w:p>
        </w:tc>
        <w:tc>
          <w:tcPr>
            <w:tcW w:w="656" w:type="pct"/>
            <w:shd w:val="clear" w:color="auto" w:fill="auto"/>
            <w:vAlign w:val="center"/>
          </w:tcPr>
          <w:p w14:paraId="05619C2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92.4</w:t>
            </w:r>
          </w:p>
        </w:tc>
        <w:tc>
          <w:tcPr>
            <w:tcW w:w="457" w:type="pct"/>
            <w:shd w:val="clear" w:color="auto" w:fill="auto"/>
            <w:vAlign w:val="center"/>
          </w:tcPr>
          <w:p w14:paraId="65C4632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0.37</w:t>
            </w:r>
          </w:p>
        </w:tc>
        <w:tc>
          <w:tcPr>
            <w:tcW w:w="609" w:type="pct"/>
            <w:shd w:val="clear" w:color="auto" w:fill="auto"/>
            <w:vAlign w:val="center"/>
          </w:tcPr>
          <w:p w14:paraId="379BC86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142</w:t>
            </w:r>
          </w:p>
        </w:tc>
        <w:tc>
          <w:tcPr>
            <w:tcW w:w="399" w:type="pct"/>
            <w:vAlign w:val="center"/>
          </w:tcPr>
          <w:p w14:paraId="7D83C8B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0.57</w:t>
            </w:r>
          </w:p>
        </w:tc>
        <w:tc>
          <w:tcPr>
            <w:tcW w:w="551" w:type="pct"/>
            <w:vAlign w:val="center"/>
          </w:tcPr>
          <w:p w14:paraId="0A3B613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61</w:t>
            </w:r>
          </w:p>
        </w:tc>
        <w:tc>
          <w:tcPr>
            <w:tcW w:w="374" w:type="pct"/>
            <w:vAlign w:val="center"/>
          </w:tcPr>
          <w:p w14:paraId="6A3FE8E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0.24</w:t>
            </w:r>
          </w:p>
        </w:tc>
      </w:tr>
      <w:tr w14:paraId="5814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vAlign w:val="center"/>
          </w:tcPr>
          <w:p w14:paraId="52C513B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25</w:t>
            </w:r>
          </w:p>
        </w:tc>
        <w:tc>
          <w:tcPr>
            <w:tcW w:w="719" w:type="pct"/>
            <w:shd w:val="clear" w:color="auto" w:fill="auto"/>
            <w:vAlign w:val="center"/>
          </w:tcPr>
          <w:p w14:paraId="578FA014">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硫酸根（硫酸盐）</w:t>
            </w:r>
          </w:p>
        </w:tc>
        <w:tc>
          <w:tcPr>
            <w:tcW w:w="502" w:type="pct"/>
            <w:shd w:val="clear" w:color="auto" w:fill="auto"/>
            <w:vAlign w:val="center"/>
          </w:tcPr>
          <w:p w14:paraId="35FB6B6F">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vAlign w:val="center"/>
          </w:tcPr>
          <w:p w14:paraId="6D29B7F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250</w:t>
            </w:r>
          </w:p>
        </w:tc>
        <w:tc>
          <w:tcPr>
            <w:tcW w:w="656" w:type="pct"/>
            <w:shd w:val="clear" w:color="auto" w:fill="auto"/>
            <w:vAlign w:val="center"/>
          </w:tcPr>
          <w:p w14:paraId="2295DA0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155</w:t>
            </w:r>
          </w:p>
        </w:tc>
        <w:tc>
          <w:tcPr>
            <w:tcW w:w="457" w:type="pct"/>
            <w:shd w:val="clear" w:color="auto" w:fill="auto"/>
            <w:vAlign w:val="center"/>
          </w:tcPr>
          <w:p w14:paraId="302092F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0.62</w:t>
            </w:r>
          </w:p>
        </w:tc>
        <w:tc>
          <w:tcPr>
            <w:tcW w:w="609" w:type="pct"/>
            <w:shd w:val="clear" w:color="auto" w:fill="auto"/>
            <w:vAlign w:val="center"/>
          </w:tcPr>
          <w:p w14:paraId="4C2BC68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177</w:t>
            </w:r>
          </w:p>
        </w:tc>
        <w:tc>
          <w:tcPr>
            <w:tcW w:w="399" w:type="pct"/>
            <w:vAlign w:val="center"/>
          </w:tcPr>
          <w:p w14:paraId="7BF05C7B">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0.71</w:t>
            </w:r>
          </w:p>
        </w:tc>
        <w:tc>
          <w:tcPr>
            <w:tcW w:w="551" w:type="pct"/>
            <w:vAlign w:val="center"/>
          </w:tcPr>
          <w:p w14:paraId="5CC28847">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119</w:t>
            </w:r>
          </w:p>
        </w:tc>
        <w:tc>
          <w:tcPr>
            <w:tcW w:w="374" w:type="pct"/>
            <w:vAlign w:val="center"/>
          </w:tcPr>
          <w:p w14:paraId="1B76B61A">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0.48</w:t>
            </w:r>
          </w:p>
        </w:tc>
      </w:tr>
      <w:tr w14:paraId="391F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vAlign w:val="center"/>
          </w:tcPr>
          <w:p w14:paraId="3F23742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26</w:t>
            </w:r>
          </w:p>
        </w:tc>
        <w:tc>
          <w:tcPr>
            <w:tcW w:w="719" w:type="pct"/>
            <w:shd w:val="clear" w:color="auto" w:fill="auto"/>
            <w:vAlign w:val="center"/>
          </w:tcPr>
          <w:p w14:paraId="71B09A5D">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碳酸根</w:t>
            </w:r>
          </w:p>
        </w:tc>
        <w:tc>
          <w:tcPr>
            <w:tcW w:w="502" w:type="pct"/>
            <w:shd w:val="clear" w:color="auto" w:fill="auto"/>
            <w:vAlign w:val="center"/>
          </w:tcPr>
          <w:p w14:paraId="337ED218">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vAlign w:val="center"/>
          </w:tcPr>
          <w:p w14:paraId="0919A08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656" w:type="pct"/>
            <w:shd w:val="clear" w:color="auto" w:fill="auto"/>
            <w:vAlign w:val="center"/>
          </w:tcPr>
          <w:p w14:paraId="562966E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w:t>
            </w:r>
          </w:p>
        </w:tc>
        <w:tc>
          <w:tcPr>
            <w:tcW w:w="457" w:type="pct"/>
            <w:shd w:val="clear" w:color="auto" w:fill="auto"/>
            <w:vAlign w:val="center"/>
          </w:tcPr>
          <w:p w14:paraId="347672E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vAlign w:val="center"/>
          </w:tcPr>
          <w:p w14:paraId="5B3D07D4">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w:t>
            </w:r>
          </w:p>
        </w:tc>
        <w:tc>
          <w:tcPr>
            <w:tcW w:w="399" w:type="pct"/>
            <w:vAlign w:val="center"/>
          </w:tcPr>
          <w:p w14:paraId="7F255B5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vAlign w:val="center"/>
          </w:tcPr>
          <w:p w14:paraId="76C6727C">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＜5</w:t>
            </w:r>
          </w:p>
        </w:tc>
        <w:tc>
          <w:tcPr>
            <w:tcW w:w="374" w:type="pct"/>
            <w:vAlign w:val="center"/>
          </w:tcPr>
          <w:p w14:paraId="7611422C">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0DC1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vAlign w:val="center"/>
          </w:tcPr>
          <w:p w14:paraId="3E1ACC4F">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27</w:t>
            </w:r>
          </w:p>
        </w:tc>
        <w:tc>
          <w:tcPr>
            <w:tcW w:w="719" w:type="pct"/>
            <w:shd w:val="clear" w:color="auto" w:fill="auto"/>
            <w:vAlign w:val="center"/>
          </w:tcPr>
          <w:p w14:paraId="58A1185A">
            <w:pPr>
              <w:pStyle w:val="17"/>
              <w:bidi w:val="0"/>
              <w:rPr>
                <w:rFonts w:hint="default" w:ascii="Times New Roman" w:hAnsi="Times New Roman" w:cs="Times New Roman"/>
                <w:color w:val="auto"/>
                <w:highlight w:val="none"/>
                <w:lang w:val="en-US" w:eastAsia="zh-CN"/>
              </w:rPr>
            </w:pPr>
            <w:r>
              <w:rPr>
                <w:rFonts w:hint="default"/>
                <w:color w:val="auto"/>
                <w:highlight w:val="none"/>
                <w:lang w:eastAsia="zh-CN"/>
              </w:rPr>
              <w:t>碳酸氢</w:t>
            </w:r>
            <w:r>
              <w:rPr>
                <w:rFonts w:hint="default"/>
                <w:color w:val="auto"/>
                <w:highlight w:val="none"/>
                <w:lang w:val="en-US" w:eastAsia="zh-CN"/>
              </w:rPr>
              <w:t>盐</w:t>
            </w:r>
          </w:p>
        </w:tc>
        <w:tc>
          <w:tcPr>
            <w:tcW w:w="502" w:type="pct"/>
            <w:shd w:val="clear" w:color="auto" w:fill="auto"/>
            <w:vAlign w:val="center"/>
          </w:tcPr>
          <w:p w14:paraId="34930F97">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vAlign w:val="center"/>
          </w:tcPr>
          <w:p w14:paraId="72DFDCD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656" w:type="pct"/>
            <w:shd w:val="clear" w:color="auto" w:fill="auto"/>
            <w:vAlign w:val="center"/>
          </w:tcPr>
          <w:p w14:paraId="3A75E26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199</w:t>
            </w:r>
          </w:p>
        </w:tc>
        <w:tc>
          <w:tcPr>
            <w:tcW w:w="457" w:type="pct"/>
            <w:shd w:val="clear" w:color="auto" w:fill="auto"/>
            <w:vAlign w:val="center"/>
          </w:tcPr>
          <w:p w14:paraId="7837F77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vAlign w:val="center"/>
          </w:tcPr>
          <w:p w14:paraId="41FF39AE">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378</w:t>
            </w:r>
          </w:p>
        </w:tc>
        <w:tc>
          <w:tcPr>
            <w:tcW w:w="399" w:type="pct"/>
            <w:vAlign w:val="center"/>
          </w:tcPr>
          <w:p w14:paraId="4E75B5F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vAlign w:val="center"/>
          </w:tcPr>
          <w:p w14:paraId="17D17D4D">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126</w:t>
            </w:r>
          </w:p>
        </w:tc>
        <w:tc>
          <w:tcPr>
            <w:tcW w:w="374" w:type="pct"/>
            <w:vAlign w:val="center"/>
          </w:tcPr>
          <w:p w14:paraId="6DFAD02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r w14:paraId="4229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4" w:type="pct"/>
            <w:shd w:val="clear" w:color="auto" w:fill="auto"/>
            <w:vAlign w:val="center"/>
          </w:tcPr>
          <w:p w14:paraId="08D8DC86">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28</w:t>
            </w:r>
          </w:p>
        </w:tc>
        <w:tc>
          <w:tcPr>
            <w:tcW w:w="719" w:type="pct"/>
            <w:shd w:val="clear" w:color="auto" w:fill="auto"/>
            <w:vAlign w:val="center"/>
          </w:tcPr>
          <w:p w14:paraId="77F6C165">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石油类</w:t>
            </w:r>
          </w:p>
        </w:tc>
        <w:tc>
          <w:tcPr>
            <w:tcW w:w="502" w:type="pct"/>
            <w:shd w:val="clear" w:color="auto" w:fill="auto"/>
            <w:vAlign w:val="center"/>
          </w:tcPr>
          <w:p w14:paraId="30E5779A">
            <w:pPr>
              <w:pStyle w:val="17"/>
              <w:bidi w:val="0"/>
              <w:rPr>
                <w:rFonts w:hint="default" w:ascii="Times New Roman" w:hAnsi="Times New Roman" w:cs="Times New Roman"/>
                <w:color w:val="auto"/>
                <w:highlight w:val="none"/>
                <w:lang w:val="en-US" w:eastAsia="zh-CN"/>
              </w:rPr>
            </w:pPr>
            <w:r>
              <w:rPr>
                <w:rFonts w:hint="default"/>
                <w:color w:val="auto"/>
                <w:highlight w:val="none"/>
              </w:rPr>
              <w:t>mg/L</w:t>
            </w:r>
          </w:p>
        </w:tc>
        <w:tc>
          <w:tcPr>
            <w:tcW w:w="446" w:type="pct"/>
            <w:shd w:val="clear" w:color="auto" w:fill="auto"/>
            <w:vAlign w:val="center"/>
          </w:tcPr>
          <w:p w14:paraId="42132998">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0.05</w:t>
            </w:r>
          </w:p>
        </w:tc>
        <w:tc>
          <w:tcPr>
            <w:tcW w:w="656" w:type="pct"/>
            <w:shd w:val="clear" w:color="auto" w:fill="auto"/>
            <w:vAlign w:val="center"/>
          </w:tcPr>
          <w:p w14:paraId="74EAAB2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0.01L</w:t>
            </w:r>
          </w:p>
        </w:tc>
        <w:tc>
          <w:tcPr>
            <w:tcW w:w="457" w:type="pct"/>
            <w:shd w:val="clear" w:color="auto" w:fill="auto"/>
            <w:vAlign w:val="center"/>
          </w:tcPr>
          <w:p w14:paraId="5481B46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w:t>
            </w:r>
          </w:p>
        </w:tc>
        <w:tc>
          <w:tcPr>
            <w:tcW w:w="609" w:type="pct"/>
            <w:shd w:val="clear" w:color="auto" w:fill="auto"/>
            <w:vAlign w:val="center"/>
          </w:tcPr>
          <w:p w14:paraId="229786D1">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0.01L</w:t>
            </w:r>
          </w:p>
        </w:tc>
        <w:tc>
          <w:tcPr>
            <w:tcW w:w="399" w:type="pct"/>
            <w:vAlign w:val="center"/>
          </w:tcPr>
          <w:p w14:paraId="65D529A2">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551" w:type="pct"/>
            <w:vAlign w:val="center"/>
          </w:tcPr>
          <w:p w14:paraId="44F21AF3">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c>
          <w:tcPr>
            <w:tcW w:w="374" w:type="pct"/>
            <w:vAlign w:val="center"/>
          </w:tcPr>
          <w:p w14:paraId="57495679">
            <w:pPr>
              <w:pStyle w:val="17"/>
              <w:bidi w:val="0"/>
              <w:rPr>
                <w:rFonts w:hint="default" w:ascii="Times New Roman" w:hAnsi="Times New Roman" w:cs="Times New Roman"/>
                <w:color w:val="auto"/>
                <w:highlight w:val="none"/>
                <w:lang w:val="en-US" w:eastAsia="zh-CN"/>
              </w:rPr>
            </w:pPr>
            <w:r>
              <w:rPr>
                <w:rFonts w:hint="default"/>
                <w:color w:val="auto"/>
                <w:highlight w:val="none"/>
                <w:lang w:val="en-US" w:eastAsia="zh-CN"/>
              </w:rPr>
              <w:t>/</w:t>
            </w:r>
          </w:p>
        </w:tc>
      </w:tr>
    </w:tbl>
    <w:p w14:paraId="4B9A0825">
      <w:pPr>
        <w:keepNext w:val="0"/>
        <w:keepLines w:val="0"/>
        <w:pageBreakBefore w:val="0"/>
        <w:widowControl/>
        <w:kinsoku/>
        <w:wordWrap/>
        <w:overflowPunct w:val="0"/>
        <w:topLinePunct/>
        <w:autoSpaceDE/>
        <w:autoSpaceDN/>
        <w:bidi w:val="0"/>
        <w:adjustRightInd/>
        <w:snapToGrid/>
        <w:spacing w:line="480" w:lineRule="exact"/>
        <w:ind w:firstLine="480"/>
        <w:jc w:val="both"/>
        <w:textAlignment w:val="auto"/>
        <w:rPr>
          <w:color w:val="auto"/>
          <w:szCs w:val="24"/>
          <w:highlight w:val="none"/>
        </w:rPr>
      </w:pPr>
      <w:r>
        <w:rPr>
          <w:color w:val="auto"/>
          <w:kern w:val="2"/>
          <w:szCs w:val="24"/>
          <w:highlight w:val="none"/>
        </w:rPr>
        <w:t>根据评价结果，各</w:t>
      </w:r>
      <w:r>
        <w:rPr>
          <w:rFonts w:hint="eastAsia"/>
          <w:color w:val="auto"/>
          <w:kern w:val="2"/>
          <w:szCs w:val="24"/>
          <w:highlight w:val="none"/>
        </w:rPr>
        <w:t>监测点</w:t>
      </w:r>
      <w:r>
        <w:rPr>
          <w:rFonts w:hint="eastAsia"/>
          <w:color w:val="auto"/>
          <w:kern w:val="2"/>
          <w:szCs w:val="24"/>
          <w:highlight w:val="none"/>
          <w:lang w:val="en-US" w:eastAsia="zh-CN"/>
        </w:rPr>
        <w:t>除总硬度外，</w:t>
      </w:r>
      <w:r>
        <w:rPr>
          <w:rFonts w:hint="eastAsia"/>
          <w:color w:val="auto"/>
          <w:kern w:val="2"/>
          <w:szCs w:val="24"/>
          <w:highlight w:val="none"/>
        </w:rPr>
        <w:t>各</w:t>
      </w:r>
      <w:r>
        <w:rPr>
          <w:color w:val="auto"/>
          <w:kern w:val="2"/>
          <w:szCs w:val="24"/>
          <w:highlight w:val="none"/>
        </w:rPr>
        <w:t>项</w:t>
      </w:r>
      <w:r>
        <w:rPr>
          <w:rFonts w:hint="eastAsia"/>
          <w:color w:val="auto"/>
          <w:kern w:val="2"/>
          <w:szCs w:val="24"/>
          <w:highlight w:val="none"/>
        </w:rPr>
        <w:t>地下水</w:t>
      </w:r>
      <w:r>
        <w:rPr>
          <w:color w:val="auto"/>
          <w:kern w:val="2"/>
          <w:szCs w:val="24"/>
          <w:highlight w:val="none"/>
        </w:rPr>
        <w:t>监测指标均可达到《地下水质量标准》（GB/T148</w:t>
      </w:r>
      <w:r>
        <w:rPr>
          <w:rFonts w:hint="default" w:ascii="Times New Roman" w:hAnsi="Times New Roman" w:cs="Times New Roman"/>
          <w:color w:val="auto"/>
          <w:kern w:val="2"/>
          <w:szCs w:val="24"/>
          <w:highlight w:val="none"/>
        </w:rPr>
        <w:t>48-2017）</w:t>
      </w:r>
      <w:r>
        <w:rPr>
          <w:rFonts w:hint="default" w:ascii="Times New Roman" w:hAnsi="Times New Roman" w:cs="Times New Roman"/>
          <w:color w:val="auto"/>
          <w:kern w:val="2"/>
          <w:szCs w:val="24"/>
          <w:highlight w:val="none"/>
          <w:lang w:val="en-US" w:eastAsia="zh-CN"/>
        </w:rPr>
        <w:t>Ⅲ</w:t>
      </w:r>
      <w:r>
        <w:rPr>
          <w:rFonts w:hint="default" w:ascii="Times New Roman" w:hAnsi="Times New Roman" w:cs="Times New Roman"/>
          <w:color w:val="auto"/>
          <w:kern w:val="2"/>
          <w:szCs w:val="24"/>
          <w:highlight w:val="none"/>
        </w:rPr>
        <w:t>类标准</w:t>
      </w:r>
      <w:r>
        <w:rPr>
          <w:color w:val="auto"/>
          <w:kern w:val="2"/>
          <w:szCs w:val="24"/>
          <w:highlight w:val="none"/>
        </w:rPr>
        <w:t>要求。</w:t>
      </w:r>
    </w:p>
    <w:p w14:paraId="19516AA0">
      <w:pPr>
        <w:overflowPunct w:val="0"/>
        <w:topLinePunct/>
        <w:adjustRightInd w:val="0"/>
        <w:snapToGrid w:val="0"/>
        <w:ind w:firstLine="476"/>
        <w:rPr>
          <w:color w:val="auto"/>
          <w:spacing w:val="-1"/>
          <w:position w:val="2"/>
          <w:highlight w:val="none"/>
        </w:rPr>
        <w:sectPr>
          <w:pgSz w:w="16838" w:h="11906" w:orient="landscape"/>
          <w:pgMar w:top="1800" w:right="1440" w:bottom="1800" w:left="1440" w:header="851" w:footer="992" w:gutter="0"/>
          <w:cols w:space="425" w:num="1"/>
          <w:docGrid w:type="lines" w:linePitch="312" w:charSpace="0"/>
        </w:sectPr>
      </w:pPr>
    </w:p>
    <w:p w14:paraId="24955833">
      <w:pPr>
        <w:pStyle w:val="6"/>
        <w:rPr>
          <w:color w:val="auto"/>
          <w:highlight w:val="none"/>
        </w:rPr>
      </w:pPr>
      <w:bookmarkStart w:id="582" w:name="_Toc13408"/>
      <w:bookmarkStart w:id="583" w:name="_Toc17201"/>
      <w:bookmarkStart w:id="584" w:name="_Toc22779"/>
      <w:bookmarkStart w:id="585" w:name="_Toc15076"/>
      <w:bookmarkStart w:id="586" w:name="_Toc9872"/>
      <w:bookmarkStart w:id="587" w:name="_Toc16093"/>
      <w:bookmarkStart w:id="588" w:name="_Toc31393"/>
      <w:bookmarkStart w:id="589" w:name="_Toc24500"/>
      <w:bookmarkStart w:id="590" w:name="_Toc8719"/>
      <w:bookmarkStart w:id="591" w:name="_Toc23819"/>
      <w:bookmarkStart w:id="592" w:name="_Toc2142"/>
      <w:r>
        <w:rPr>
          <w:color w:val="auto"/>
          <w:highlight w:val="none"/>
        </w:rPr>
        <w:t>4.</w:t>
      </w:r>
      <w:r>
        <w:rPr>
          <w:rFonts w:hint="eastAsia"/>
          <w:color w:val="auto"/>
          <w:highlight w:val="none"/>
        </w:rPr>
        <w:t>2</w:t>
      </w:r>
      <w:r>
        <w:rPr>
          <w:color w:val="auto"/>
          <w:highlight w:val="none"/>
        </w:rPr>
        <w:t>.4声环境质量现状评价</w:t>
      </w:r>
      <w:bookmarkEnd w:id="582"/>
      <w:bookmarkEnd w:id="583"/>
      <w:bookmarkEnd w:id="584"/>
      <w:bookmarkEnd w:id="585"/>
      <w:bookmarkEnd w:id="586"/>
      <w:bookmarkEnd w:id="587"/>
      <w:bookmarkEnd w:id="588"/>
      <w:bookmarkEnd w:id="589"/>
      <w:bookmarkEnd w:id="590"/>
      <w:bookmarkEnd w:id="591"/>
      <w:bookmarkEnd w:id="592"/>
    </w:p>
    <w:p w14:paraId="543C05B8">
      <w:pPr>
        <w:widowControl/>
        <w:overflowPunct w:val="0"/>
        <w:topLinePunct/>
        <w:spacing w:line="480" w:lineRule="exact"/>
        <w:ind w:firstLine="480"/>
        <w:jc w:val="both"/>
        <w:rPr>
          <w:color w:val="auto"/>
          <w:kern w:val="2"/>
          <w:szCs w:val="24"/>
          <w:highlight w:val="none"/>
        </w:rPr>
      </w:pPr>
      <w:r>
        <w:rPr>
          <w:color w:val="auto"/>
          <w:szCs w:val="24"/>
          <w:highlight w:val="none"/>
        </w:rPr>
        <w:t>本次评价</w:t>
      </w:r>
      <w:r>
        <w:rPr>
          <w:rFonts w:hint="eastAsia"/>
          <w:color w:val="auto"/>
          <w:szCs w:val="24"/>
          <w:highlight w:val="none"/>
        </w:rPr>
        <w:t>委托</w:t>
      </w:r>
      <w:r>
        <w:rPr>
          <w:rFonts w:hint="eastAsia"/>
          <w:color w:val="auto"/>
          <w:szCs w:val="24"/>
          <w:highlight w:val="none"/>
          <w:lang w:eastAsia="zh-CN"/>
        </w:rPr>
        <w:t>新疆壹诺环保科技有限公司</w:t>
      </w:r>
      <w:r>
        <w:rPr>
          <w:color w:val="auto"/>
          <w:szCs w:val="24"/>
          <w:highlight w:val="none"/>
        </w:rPr>
        <w:t>对</w:t>
      </w:r>
      <w:r>
        <w:rPr>
          <w:rFonts w:hint="eastAsia"/>
          <w:color w:val="auto"/>
          <w:szCs w:val="24"/>
          <w:highlight w:val="none"/>
        </w:rPr>
        <w:t>选矿工程、尾矿库进行噪声监测，于选矿工程、尾矿库边界各</w:t>
      </w:r>
      <w:r>
        <w:rPr>
          <w:color w:val="auto"/>
          <w:szCs w:val="24"/>
          <w:highlight w:val="none"/>
        </w:rPr>
        <w:t>布设了</w:t>
      </w:r>
      <w:r>
        <w:rPr>
          <w:rFonts w:hint="eastAsia"/>
          <w:color w:val="auto"/>
          <w:szCs w:val="24"/>
          <w:highlight w:val="none"/>
          <w:lang w:val="en-US" w:eastAsia="zh-CN"/>
        </w:rPr>
        <w:t>8</w:t>
      </w:r>
      <w:r>
        <w:rPr>
          <w:color w:val="auto"/>
          <w:szCs w:val="24"/>
          <w:highlight w:val="none"/>
        </w:rPr>
        <w:t>个噪声监测点</w:t>
      </w:r>
      <w:r>
        <w:rPr>
          <w:rFonts w:hint="eastAsia"/>
          <w:color w:val="auto"/>
          <w:szCs w:val="24"/>
          <w:highlight w:val="none"/>
        </w:rPr>
        <w:t>，</w:t>
      </w:r>
      <w:r>
        <w:rPr>
          <w:color w:val="auto"/>
          <w:szCs w:val="24"/>
          <w:highlight w:val="none"/>
        </w:rPr>
        <w:t>监测时间为20</w:t>
      </w:r>
      <w:r>
        <w:rPr>
          <w:rFonts w:hint="eastAsia"/>
          <w:color w:val="auto"/>
          <w:szCs w:val="24"/>
          <w:highlight w:val="none"/>
          <w:lang w:val="en-US" w:eastAsia="zh-CN"/>
        </w:rPr>
        <w:t>26</w:t>
      </w:r>
      <w:r>
        <w:rPr>
          <w:color w:val="auto"/>
          <w:szCs w:val="24"/>
          <w:highlight w:val="none"/>
        </w:rPr>
        <w:t>年</w:t>
      </w:r>
      <w:r>
        <w:rPr>
          <w:rFonts w:hint="eastAsia"/>
          <w:color w:val="auto"/>
          <w:szCs w:val="24"/>
          <w:highlight w:val="none"/>
          <w:lang w:val="en-US" w:eastAsia="zh-CN"/>
        </w:rPr>
        <w:t>3</w:t>
      </w:r>
      <w:r>
        <w:rPr>
          <w:color w:val="auto"/>
          <w:szCs w:val="24"/>
          <w:highlight w:val="none"/>
        </w:rPr>
        <w:t>月</w:t>
      </w:r>
      <w:r>
        <w:rPr>
          <w:rFonts w:hint="eastAsia"/>
          <w:color w:val="auto"/>
          <w:szCs w:val="24"/>
          <w:highlight w:val="none"/>
          <w:lang w:val="en-US" w:eastAsia="zh-CN"/>
        </w:rPr>
        <w:t>5</w:t>
      </w:r>
      <w:r>
        <w:rPr>
          <w:color w:val="auto"/>
          <w:szCs w:val="24"/>
          <w:highlight w:val="none"/>
        </w:rPr>
        <w:t>日</w:t>
      </w:r>
      <w:r>
        <w:rPr>
          <w:rFonts w:hint="eastAsia"/>
          <w:color w:val="auto"/>
          <w:szCs w:val="24"/>
          <w:highlight w:val="none"/>
          <w:lang w:val="en-US" w:eastAsia="zh-CN"/>
        </w:rPr>
        <w:t>-3月6日</w:t>
      </w:r>
      <w:r>
        <w:rPr>
          <w:color w:val="auto"/>
          <w:szCs w:val="24"/>
          <w:highlight w:val="none"/>
        </w:rPr>
        <w:t>。监测点位具体见图</w:t>
      </w:r>
      <w:r>
        <w:rPr>
          <w:rFonts w:hint="eastAsia"/>
          <w:color w:val="auto"/>
          <w:szCs w:val="24"/>
          <w:highlight w:val="none"/>
        </w:rPr>
        <w:t>4.2</w:t>
      </w:r>
      <w:r>
        <w:rPr>
          <w:color w:val="auto"/>
          <w:szCs w:val="24"/>
          <w:highlight w:val="none"/>
        </w:rPr>
        <w:t>-1。</w:t>
      </w:r>
    </w:p>
    <w:p w14:paraId="5FE20E82">
      <w:pPr>
        <w:overflowPunct w:val="0"/>
        <w:topLinePunct/>
        <w:ind w:firstLine="480"/>
        <w:rPr>
          <w:color w:val="auto"/>
          <w:highlight w:val="none"/>
        </w:rPr>
      </w:pPr>
      <w:r>
        <w:rPr>
          <w:rFonts w:hint="eastAsia"/>
          <w:color w:val="auto"/>
          <w:highlight w:val="none"/>
        </w:rPr>
        <w:t>（2）</w:t>
      </w:r>
      <w:r>
        <w:rPr>
          <w:color w:val="auto"/>
          <w:highlight w:val="none"/>
        </w:rPr>
        <w:t>评价标准</w:t>
      </w:r>
    </w:p>
    <w:p w14:paraId="1795AD7E">
      <w:pPr>
        <w:overflowPunct w:val="0"/>
        <w:topLinePunct/>
        <w:ind w:firstLine="480"/>
        <w:rPr>
          <w:color w:val="auto"/>
          <w:highlight w:val="none"/>
        </w:rPr>
      </w:pPr>
      <w:r>
        <w:rPr>
          <w:color w:val="auto"/>
          <w:highlight w:val="none"/>
        </w:rPr>
        <w:t>执行《声环境质量标准》（GB3096-2008）</w:t>
      </w:r>
      <w:r>
        <w:rPr>
          <w:rFonts w:hint="eastAsia"/>
          <w:color w:val="auto"/>
          <w:highlight w:val="none"/>
          <w:lang w:val="en-US" w:eastAsia="zh-CN"/>
        </w:rPr>
        <w:t>2</w:t>
      </w:r>
      <w:r>
        <w:rPr>
          <w:color w:val="auto"/>
          <w:highlight w:val="none"/>
        </w:rPr>
        <w:t>类标准。</w:t>
      </w:r>
    </w:p>
    <w:p w14:paraId="64CA542D">
      <w:pPr>
        <w:overflowPunct w:val="0"/>
        <w:topLinePunct/>
        <w:ind w:firstLine="480"/>
        <w:rPr>
          <w:color w:val="auto"/>
          <w:highlight w:val="none"/>
        </w:rPr>
      </w:pPr>
      <w:r>
        <w:rPr>
          <w:rFonts w:hint="eastAsia"/>
          <w:color w:val="auto"/>
          <w:highlight w:val="none"/>
        </w:rPr>
        <w:t>（3）</w:t>
      </w:r>
      <w:r>
        <w:rPr>
          <w:color w:val="auto"/>
          <w:highlight w:val="none"/>
        </w:rPr>
        <w:t>监测结果</w:t>
      </w:r>
    </w:p>
    <w:p w14:paraId="6894FEAE">
      <w:pPr>
        <w:widowControl/>
        <w:overflowPunct w:val="0"/>
        <w:topLinePunct/>
        <w:spacing w:line="480" w:lineRule="exact"/>
        <w:ind w:firstLine="480"/>
        <w:jc w:val="both"/>
        <w:rPr>
          <w:color w:val="auto"/>
          <w:kern w:val="2"/>
          <w:szCs w:val="24"/>
          <w:highlight w:val="none"/>
        </w:rPr>
      </w:pPr>
      <w:r>
        <w:rPr>
          <w:color w:val="auto"/>
          <w:szCs w:val="24"/>
          <w:highlight w:val="none"/>
        </w:rPr>
        <w:t>根据现场实测声环境现状监测结果见表</w:t>
      </w:r>
      <w:r>
        <w:rPr>
          <w:rFonts w:hint="eastAsia"/>
          <w:color w:val="auto"/>
          <w:szCs w:val="24"/>
          <w:highlight w:val="none"/>
        </w:rPr>
        <w:t>4.2</w:t>
      </w:r>
      <w:r>
        <w:rPr>
          <w:color w:val="auto"/>
          <w:szCs w:val="24"/>
          <w:highlight w:val="none"/>
        </w:rPr>
        <w:t>-</w:t>
      </w:r>
      <w:r>
        <w:rPr>
          <w:rFonts w:hint="eastAsia"/>
          <w:color w:val="auto"/>
          <w:szCs w:val="24"/>
          <w:highlight w:val="none"/>
          <w:lang w:val="en-US" w:eastAsia="zh-CN"/>
        </w:rPr>
        <w:t>9</w:t>
      </w:r>
      <w:r>
        <w:rPr>
          <w:color w:val="auto"/>
          <w:szCs w:val="24"/>
          <w:highlight w:val="none"/>
        </w:rPr>
        <w:t>。</w:t>
      </w:r>
    </w:p>
    <w:p w14:paraId="73592A5A">
      <w:pPr>
        <w:adjustRightInd w:val="0"/>
        <w:snapToGrid w:val="0"/>
        <w:ind w:firstLine="0" w:firstLineChars="0"/>
        <w:jc w:val="center"/>
        <w:rPr>
          <w:b/>
          <w:color w:val="auto"/>
          <w:kern w:val="0"/>
          <w:szCs w:val="22"/>
          <w:highlight w:val="none"/>
          <w:lang w:val="zh-CN"/>
        </w:rPr>
      </w:pPr>
      <w:r>
        <w:rPr>
          <w:b/>
          <w:color w:val="auto"/>
          <w:kern w:val="0"/>
          <w:szCs w:val="22"/>
          <w:highlight w:val="none"/>
        </w:rPr>
        <w:t>表4.2-</w:t>
      </w:r>
      <w:r>
        <w:rPr>
          <w:rFonts w:hint="eastAsia"/>
          <w:b/>
          <w:color w:val="auto"/>
          <w:kern w:val="0"/>
          <w:szCs w:val="22"/>
          <w:highlight w:val="none"/>
          <w:lang w:val="en-US" w:eastAsia="zh-CN"/>
        </w:rPr>
        <w:t>9</w:t>
      </w:r>
      <w:r>
        <w:rPr>
          <w:rFonts w:hint="eastAsia"/>
          <w:b/>
          <w:color w:val="auto"/>
          <w:kern w:val="0"/>
          <w:szCs w:val="22"/>
          <w:highlight w:val="none"/>
        </w:rPr>
        <w:t xml:space="preserve"> </w:t>
      </w:r>
      <w:r>
        <w:rPr>
          <w:b/>
          <w:color w:val="auto"/>
          <w:kern w:val="0"/>
          <w:szCs w:val="22"/>
          <w:highlight w:val="none"/>
        </w:rPr>
        <w:t xml:space="preserve">   噪声监测及评价结果</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autofit"/>
        <w:tblCellMar>
          <w:top w:w="0" w:type="dxa"/>
          <w:left w:w="108" w:type="dxa"/>
          <w:bottom w:w="0" w:type="dxa"/>
          <w:right w:w="108" w:type="dxa"/>
        </w:tblCellMar>
      </w:tblPr>
      <w:tblGrid>
        <w:gridCol w:w="1948"/>
        <w:gridCol w:w="1414"/>
        <w:gridCol w:w="1418"/>
        <w:gridCol w:w="1273"/>
        <w:gridCol w:w="1084"/>
        <w:gridCol w:w="1382"/>
      </w:tblGrid>
      <w:tr w14:paraId="494673B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blHeader/>
        </w:trPr>
        <w:tc>
          <w:tcPr>
            <w:tcW w:w="1143" w:type="pct"/>
            <w:vMerge w:val="restart"/>
            <w:vAlign w:val="center"/>
          </w:tcPr>
          <w:p w14:paraId="0E4805DF">
            <w:pPr>
              <w:pStyle w:val="17"/>
              <w:bidi w:val="0"/>
              <w:rPr>
                <w:color w:val="auto"/>
                <w:highlight w:val="none"/>
              </w:rPr>
            </w:pPr>
            <w:r>
              <w:rPr>
                <w:color w:val="auto"/>
                <w:highlight w:val="none"/>
              </w:rPr>
              <w:t>监测点位</w:t>
            </w:r>
          </w:p>
        </w:tc>
        <w:tc>
          <w:tcPr>
            <w:tcW w:w="1662" w:type="pct"/>
            <w:gridSpan w:val="2"/>
            <w:vAlign w:val="center"/>
          </w:tcPr>
          <w:p w14:paraId="15E2D8FD">
            <w:pPr>
              <w:pStyle w:val="17"/>
              <w:bidi w:val="0"/>
              <w:rPr>
                <w:rFonts w:hint="eastAsia" w:eastAsia="宋体"/>
                <w:color w:val="auto"/>
                <w:highlight w:val="none"/>
                <w:lang w:eastAsia="zh-CN"/>
              </w:rPr>
            </w:pPr>
            <w:r>
              <w:rPr>
                <w:color w:val="auto"/>
                <w:highlight w:val="none"/>
              </w:rPr>
              <w:t>Leq 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1383" w:type="pct"/>
            <w:gridSpan w:val="2"/>
            <w:vAlign w:val="center"/>
          </w:tcPr>
          <w:p w14:paraId="173F96A6">
            <w:pPr>
              <w:pStyle w:val="17"/>
              <w:bidi w:val="0"/>
              <w:rPr>
                <w:color w:val="auto"/>
                <w:highlight w:val="none"/>
              </w:rPr>
            </w:pPr>
            <w:r>
              <w:rPr>
                <w:color w:val="auto"/>
                <w:highlight w:val="none"/>
              </w:rPr>
              <w:t xml:space="preserve">GB3096-2008 </w:t>
            </w:r>
            <w:r>
              <w:rPr>
                <w:rFonts w:hint="eastAsia"/>
                <w:color w:val="auto"/>
                <w:highlight w:val="none"/>
                <w:lang w:val="en-US" w:eastAsia="zh-CN"/>
              </w:rPr>
              <w:t xml:space="preserve"> 2</w:t>
            </w:r>
            <w:r>
              <w:rPr>
                <w:color w:val="auto"/>
                <w:highlight w:val="none"/>
              </w:rPr>
              <w:t>类</w:t>
            </w:r>
          </w:p>
        </w:tc>
        <w:tc>
          <w:tcPr>
            <w:tcW w:w="811" w:type="pct"/>
            <w:vMerge w:val="restart"/>
            <w:vAlign w:val="center"/>
          </w:tcPr>
          <w:p w14:paraId="461589CD">
            <w:pPr>
              <w:pStyle w:val="17"/>
              <w:bidi w:val="0"/>
              <w:rPr>
                <w:color w:val="auto"/>
                <w:highlight w:val="none"/>
              </w:rPr>
            </w:pPr>
            <w:r>
              <w:rPr>
                <w:color w:val="auto"/>
                <w:highlight w:val="none"/>
              </w:rPr>
              <w:t>评价结果</w:t>
            </w:r>
          </w:p>
        </w:tc>
      </w:tr>
      <w:tr w14:paraId="2E362BC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blHeader/>
        </w:trPr>
        <w:tc>
          <w:tcPr>
            <w:tcW w:w="1143" w:type="pct"/>
            <w:vMerge w:val="continue"/>
            <w:vAlign w:val="center"/>
          </w:tcPr>
          <w:p w14:paraId="26AD842C">
            <w:pPr>
              <w:pStyle w:val="17"/>
              <w:bidi w:val="0"/>
              <w:rPr>
                <w:color w:val="auto"/>
                <w:highlight w:val="none"/>
              </w:rPr>
            </w:pPr>
          </w:p>
        </w:tc>
        <w:tc>
          <w:tcPr>
            <w:tcW w:w="830" w:type="pct"/>
            <w:vAlign w:val="center"/>
          </w:tcPr>
          <w:p w14:paraId="46304817">
            <w:pPr>
              <w:pStyle w:val="17"/>
              <w:bidi w:val="0"/>
              <w:rPr>
                <w:rFonts w:hint="eastAsia"/>
                <w:color w:val="auto"/>
                <w:highlight w:val="none"/>
                <w:lang w:eastAsia="zh-CN"/>
              </w:rPr>
            </w:pPr>
            <w:r>
              <w:rPr>
                <w:color w:val="auto"/>
                <w:highlight w:val="none"/>
              </w:rPr>
              <w:t>昼</w:t>
            </w:r>
            <w:r>
              <w:rPr>
                <w:rFonts w:hint="eastAsia"/>
                <w:color w:val="auto"/>
                <w:highlight w:val="none"/>
                <w:lang w:eastAsia="zh-CN"/>
              </w:rPr>
              <w:t>间</w:t>
            </w:r>
          </w:p>
        </w:tc>
        <w:tc>
          <w:tcPr>
            <w:tcW w:w="831" w:type="pct"/>
            <w:vAlign w:val="center"/>
          </w:tcPr>
          <w:p w14:paraId="06F2A8D7">
            <w:pPr>
              <w:pStyle w:val="17"/>
              <w:bidi w:val="0"/>
              <w:rPr>
                <w:color w:val="auto"/>
                <w:highlight w:val="none"/>
              </w:rPr>
            </w:pPr>
            <w:r>
              <w:rPr>
                <w:color w:val="auto"/>
                <w:highlight w:val="none"/>
              </w:rPr>
              <w:t>夜</w:t>
            </w:r>
            <w:r>
              <w:rPr>
                <w:rFonts w:hint="eastAsia"/>
                <w:color w:val="auto"/>
                <w:highlight w:val="none"/>
                <w:lang w:eastAsia="zh-CN"/>
              </w:rPr>
              <w:t>间</w:t>
            </w:r>
          </w:p>
        </w:tc>
        <w:tc>
          <w:tcPr>
            <w:tcW w:w="747" w:type="pct"/>
            <w:vAlign w:val="center"/>
          </w:tcPr>
          <w:p w14:paraId="16923D45">
            <w:pPr>
              <w:pStyle w:val="17"/>
              <w:bidi w:val="0"/>
              <w:rPr>
                <w:color w:val="auto"/>
                <w:highlight w:val="none"/>
              </w:rPr>
            </w:pPr>
            <w:r>
              <w:rPr>
                <w:color w:val="auto"/>
                <w:highlight w:val="none"/>
              </w:rPr>
              <w:t>昼</w:t>
            </w:r>
          </w:p>
        </w:tc>
        <w:tc>
          <w:tcPr>
            <w:tcW w:w="635" w:type="pct"/>
            <w:vAlign w:val="center"/>
          </w:tcPr>
          <w:p w14:paraId="364A289C">
            <w:pPr>
              <w:pStyle w:val="17"/>
              <w:bidi w:val="0"/>
              <w:rPr>
                <w:color w:val="auto"/>
                <w:highlight w:val="none"/>
              </w:rPr>
            </w:pPr>
            <w:r>
              <w:rPr>
                <w:color w:val="auto"/>
                <w:highlight w:val="none"/>
              </w:rPr>
              <w:t>夜</w:t>
            </w:r>
          </w:p>
        </w:tc>
        <w:tc>
          <w:tcPr>
            <w:tcW w:w="811" w:type="pct"/>
            <w:vMerge w:val="continue"/>
            <w:vAlign w:val="center"/>
          </w:tcPr>
          <w:p w14:paraId="4EB83832">
            <w:pPr>
              <w:pStyle w:val="17"/>
              <w:bidi w:val="0"/>
              <w:rPr>
                <w:color w:val="auto"/>
                <w:highlight w:val="none"/>
              </w:rPr>
            </w:pPr>
          </w:p>
        </w:tc>
      </w:tr>
      <w:tr w14:paraId="292B571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rPr>
        <w:tc>
          <w:tcPr>
            <w:tcW w:w="1143" w:type="pct"/>
            <w:vAlign w:val="center"/>
          </w:tcPr>
          <w:p w14:paraId="5E004CA6">
            <w:pPr>
              <w:pStyle w:val="17"/>
              <w:bidi w:val="0"/>
              <w:rPr>
                <w:rFonts w:hint="default" w:eastAsia="宋体"/>
                <w:color w:val="auto"/>
                <w:highlight w:val="none"/>
                <w:lang w:val="en-US" w:eastAsia="zh-CN"/>
              </w:rPr>
            </w:pPr>
            <w:r>
              <w:rPr>
                <w:rFonts w:hint="eastAsia"/>
                <w:color w:val="auto"/>
                <w:highlight w:val="none"/>
                <w:lang w:val="en-US" w:eastAsia="zh-CN"/>
              </w:rPr>
              <w:t>采选区东侧</w:t>
            </w:r>
          </w:p>
        </w:tc>
        <w:tc>
          <w:tcPr>
            <w:tcW w:w="830" w:type="pct"/>
            <w:vAlign w:val="center"/>
          </w:tcPr>
          <w:p w14:paraId="633B2834">
            <w:pPr>
              <w:pStyle w:val="17"/>
              <w:bidi w:val="0"/>
              <w:rPr>
                <w:rFonts w:hint="default"/>
                <w:color w:val="auto"/>
                <w:highlight w:val="none"/>
                <w:lang w:val="en-US" w:eastAsia="zh-CN"/>
              </w:rPr>
            </w:pPr>
            <w:r>
              <w:rPr>
                <w:rFonts w:hint="eastAsia"/>
                <w:color w:val="auto"/>
                <w:highlight w:val="none"/>
                <w:lang w:val="en-US" w:eastAsia="zh-CN"/>
              </w:rPr>
              <w:t>48</w:t>
            </w:r>
          </w:p>
        </w:tc>
        <w:tc>
          <w:tcPr>
            <w:tcW w:w="1418" w:type="dxa"/>
            <w:vAlign w:val="center"/>
          </w:tcPr>
          <w:p w14:paraId="525B6500">
            <w:pPr>
              <w:pStyle w:val="17"/>
              <w:bidi w:val="0"/>
              <w:ind w:firstLine="0" w:firstLineChars="0"/>
              <w:rPr>
                <w:rFonts w:hint="default"/>
                <w:color w:val="auto"/>
                <w:highlight w:val="none"/>
                <w:lang w:val="en-US" w:eastAsia="zh-CN"/>
              </w:rPr>
            </w:pPr>
            <w:r>
              <w:rPr>
                <w:rFonts w:hint="eastAsia"/>
                <w:color w:val="auto"/>
                <w:highlight w:val="none"/>
                <w:lang w:val="en-US" w:eastAsia="zh-CN"/>
              </w:rPr>
              <w:t>57</w:t>
            </w:r>
          </w:p>
        </w:tc>
        <w:tc>
          <w:tcPr>
            <w:tcW w:w="747" w:type="pct"/>
            <w:vMerge w:val="restart"/>
            <w:vAlign w:val="center"/>
          </w:tcPr>
          <w:p w14:paraId="18A3BF71">
            <w:pPr>
              <w:pStyle w:val="17"/>
              <w:bidi w:val="0"/>
              <w:rPr>
                <w:rFonts w:hint="eastAsia"/>
                <w:color w:val="auto"/>
                <w:highlight w:val="none"/>
                <w:lang w:eastAsia="zh-CN"/>
              </w:rPr>
            </w:pPr>
            <w:r>
              <w:rPr>
                <w:color w:val="auto"/>
                <w:highlight w:val="none"/>
              </w:rPr>
              <w:t>6</w:t>
            </w:r>
            <w:r>
              <w:rPr>
                <w:rFonts w:hint="eastAsia"/>
                <w:color w:val="auto"/>
                <w:highlight w:val="none"/>
                <w:lang w:val="en-US" w:eastAsia="zh-CN"/>
              </w:rPr>
              <w:t>0</w:t>
            </w:r>
          </w:p>
        </w:tc>
        <w:tc>
          <w:tcPr>
            <w:tcW w:w="635" w:type="pct"/>
            <w:vMerge w:val="restart"/>
            <w:vAlign w:val="center"/>
          </w:tcPr>
          <w:p w14:paraId="3DF748DF">
            <w:pPr>
              <w:pStyle w:val="17"/>
              <w:bidi w:val="0"/>
              <w:rPr>
                <w:rFonts w:hint="eastAsia"/>
                <w:color w:val="auto"/>
                <w:highlight w:val="none"/>
                <w:lang w:eastAsia="zh-CN"/>
              </w:rPr>
            </w:pPr>
            <w:r>
              <w:rPr>
                <w:color w:val="auto"/>
                <w:highlight w:val="none"/>
              </w:rPr>
              <w:t>5</w:t>
            </w:r>
            <w:r>
              <w:rPr>
                <w:rFonts w:hint="eastAsia"/>
                <w:color w:val="auto"/>
                <w:highlight w:val="none"/>
                <w:lang w:val="en-US" w:eastAsia="zh-CN"/>
              </w:rPr>
              <w:t>0</w:t>
            </w:r>
          </w:p>
        </w:tc>
        <w:tc>
          <w:tcPr>
            <w:tcW w:w="811" w:type="pct"/>
            <w:vAlign w:val="center"/>
          </w:tcPr>
          <w:p w14:paraId="4F94223F">
            <w:pPr>
              <w:pStyle w:val="17"/>
              <w:bidi w:val="0"/>
              <w:rPr>
                <w:color w:val="auto"/>
                <w:highlight w:val="none"/>
              </w:rPr>
            </w:pPr>
            <w:r>
              <w:rPr>
                <w:color w:val="auto"/>
                <w:highlight w:val="none"/>
              </w:rPr>
              <w:t>达标</w:t>
            </w:r>
          </w:p>
        </w:tc>
      </w:tr>
      <w:tr w14:paraId="52F68F3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rPr>
        <w:tc>
          <w:tcPr>
            <w:tcW w:w="1143" w:type="pct"/>
            <w:vAlign w:val="center"/>
          </w:tcPr>
          <w:p w14:paraId="4B36C5A9">
            <w:pPr>
              <w:pStyle w:val="17"/>
              <w:bidi w:val="0"/>
              <w:rPr>
                <w:rFonts w:hint="eastAsia"/>
                <w:color w:val="auto"/>
                <w:highlight w:val="none"/>
                <w:lang w:eastAsia="zh-CN"/>
              </w:rPr>
            </w:pPr>
            <w:r>
              <w:rPr>
                <w:rFonts w:hint="eastAsia"/>
                <w:color w:val="auto"/>
                <w:highlight w:val="none"/>
                <w:lang w:val="en-US" w:eastAsia="zh-CN"/>
              </w:rPr>
              <w:t>采选区南侧</w:t>
            </w:r>
          </w:p>
        </w:tc>
        <w:tc>
          <w:tcPr>
            <w:tcW w:w="830" w:type="pct"/>
            <w:vAlign w:val="center"/>
          </w:tcPr>
          <w:p w14:paraId="6562761D">
            <w:pPr>
              <w:pStyle w:val="17"/>
              <w:bidi w:val="0"/>
              <w:rPr>
                <w:rFonts w:hint="default"/>
                <w:color w:val="auto"/>
                <w:highlight w:val="none"/>
                <w:lang w:val="en-US" w:eastAsia="zh-CN"/>
              </w:rPr>
            </w:pPr>
            <w:r>
              <w:rPr>
                <w:rFonts w:hint="eastAsia"/>
                <w:color w:val="auto"/>
                <w:highlight w:val="none"/>
                <w:lang w:val="en-US" w:eastAsia="zh-CN"/>
              </w:rPr>
              <w:t>47</w:t>
            </w:r>
          </w:p>
        </w:tc>
        <w:tc>
          <w:tcPr>
            <w:tcW w:w="1418" w:type="dxa"/>
            <w:vAlign w:val="center"/>
          </w:tcPr>
          <w:p w14:paraId="38245FCD">
            <w:pPr>
              <w:pStyle w:val="17"/>
              <w:bidi w:val="0"/>
              <w:ind w:firstLine="0" w:firstLineChars="0"/>
              <w:rPr>
                <w:rFonts w:hint="default"/>
                <w:color w:val="auto"/>
                <w:highlight w:val="none"/>
                <w:lang w:val="en-US" w:eastAsia="zh-CN"/>
              </w:rPr>
            </w:pPr>
            <w:r>
              <w:rPr>
                <w:rFonts w:hint="eastAsia"/>
                <w:color w:val="auto"/>
                <w:highlight w:val="none"/>
                <w:lang w:val="en-US" w:eastAsia="zh-CN"/>
              </w:rPr>
              <w:t>55</w:t>
            </w:r>
          </w:p>
        </w:tc>
        <w:tc>
          <w:tcPr>
            <w:tcW w:w="747" w:type="pct"/>
            <w:vMerge w:val="continue"/>
            <w:vAlign w:val="center"/>
          </w:tcPr>
          <w:p w14:paraId="1A4EC5A1">
            <w:pPr>
              <w:pStyle w:val="17"/>
              <w:bidi w:val="0"/>
              <w:rPr>
                <w:color w:val="auto"/>
                <w:highlight w:val="none"/>
              </w:rPr>
            </w:pPr>
          </w:p>
        </w:tc>
        <w:tc>
          <w:tcPr>
            <w:tcW w:w="635" w:type="pct"/>
            <w:vMerge w:val="continue"/>
            <w:vAlign w:val="center"/>
          </w:tcPr>
          <w:p w14:paraId="39C425D2">
            <w:pPr>
              <w:pStyle w:val="17"/>
              <w:bidi w:val="0"/>
              <w:rPr>
                <w:color w:val="auto"/>
                <w:highlight w:val="none"/>
              </w:rPr>
            </w:pPr>
          </w:p>
        </w:tc>
        <w:tc>
          <w:tcPr>
            <w:tcW w:w="811" w:type="pct"/>
            <w:vAlign w:val="center"/>
          </w:tcPr>
          <w:p w14:paraId="372AB58B">
            <w:pPr>
              <w:pStyle w:val="17"/>
              <w:bidi w:val="0"/>
              <w:rPr>
                <w:color w:val="auto"/>
                <w:highlight w:val="none"/>
              </w:rPr>
            </w:pPr>
            <w:r>
              <w:rPr>
                <w:color w:val="auto"/>
                <w:highlight w:val="none"/>
              </w:rPr>
              <w:t>达标</w:t>
            </w:r>
          </w:p>
        </w:tc>
      </w:tr>
      <w:tr w14:paraId="2A2A69D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rPr>
        <w:tc>
          <w:tcPr>
            <w:tcW w:w="1143" w:type="pct"/>
            <w:vAlign w:val="center"/>
          </w:tcPr>
          <w:p w14:paraId="3EA6EC4D">
            <w:pPr>
              <w:pStyle w:val="17"/>
              <w:bidi w:val="0"/>
              <w:rPr>
                <w:rFonts w:hint="eastAsia" w:eastAsia="宋体"/>
                <w:color w:val="auto"/>
                <w:highlight w:val="none"/>
                <w:lang w:val="en-US" w:eastAsia="zh-CN"/>
              </w:rPr>
            </w:pPr>
            <w:r>
              <w:rPr>
                <w:rFonts w:hint="eastAsia" w:eastAsia="宋体"/>
                <w:color w:val="auto"/>
                <w:highlight w:val="none"/>
                <w:lang w:val="en-US" w:eastAsia="zh-CN"/>
              </w:rPr>
              <w:t>采选区西侧</w:t>
            </w:r>
          </w:p>
        </w:tc>
        <w:tc>
          <w:tcPr>
            <w:tcW w:w="830" w:type="pct"/>
            <w:vAlign w:val="center"/>
          </w:tcPr>
          <w:p w14:paraId="5DEE05D2">
            <w:pPr>
              <w:pStyle w:val="17"/>
              <w:bidi w:val="0"/>
              <w:rPr>
                <w:rFonts w:hint="default"/>
                <w:color w:val="auto"/>
                <w:highlight w:val="none"/>
                <w:lang w:val="en-US" w:eastAsia="zh-CN"/>
              </w:rPr>
            </w:pPr>
            <w:r>
              <w:rPr>
                <w:rFonts w:hint="eastAsia"/>
                <w:color w:val="auto"/>
                <w:highlight w:val="none"/>
                <w:lang w:val="en-US" w:eastAsia="zh-CN"/>
              </w:rPr>
              <w:t>48</w:t>
            </w:r>
          </w:p>
        </w:tc>
        <w:tc>
          <w:tcPr>
            <w:tcW w:w="1418" w:type="dxa"/>
            <w:vAlign w:val="center"/>
          </w:tcPr>
          <w:p w14:paraId="5BE82D1B">
            <w:pPr>
              <w:pStyle w:val="17"/>
              <w:bidi w:val="0"/>
              <w:ind w:firstLine="0" w:firstLineChars="0"/>
              <w:rPr>
                <w:rFonts w:hint="default"/>
                <w:color w:val="auto"/>
                <w:highlight w:val="none"/>
                <w:lang w:val="en-US" w:eastAsia="zh-CN"/>
              </w:rPr>
            </w:pPr>
            <w:r>
              <w:rPr>
                <w:rFonts w:hint="eastAsia"/>
                <w:color w:val="auto"/>
                <w:highlight w:val="none"/>
                <w:lang w:val="en-US" w:eastAsia="zh-CN"/>
              </w:rPr>
              <w:t>57</w:t>
            </w:r>
          </w:p>
        </w:tc>
        <w:tc>
          <w:tcPr>
            <w:tcW w:w="747" w:type="pct"/>
            <w:vMerge w:val="continue"/>
            <w:vAlign w:val="center"/>
          </w:tcPr>
          <w:p w14:paraId="04371AA4">
            <w:pPr>
              <w:pStyle w:val="17"/>
              <w:bidi w:val="0"/>
              <w:rPr>
                <w:color w:val="auto"/>
                <w:highlight w:val="none"/>
              </w:rPr>
            </w:pPr>
          </w:p>
        </w:tc>
        <w:tc>
          <w:tcPr>
            <w:tcW w:w="635" w:type="pct"/>
            <w:vMerge w:val="continue"/>
            <w:vAlign w:val="center"/>
          </w:tcPr>
          <w:p w14:paraId="3E42C2A3">
            <w:pPr>
              <w:pStyle w:val="17"/>
              <w:bidi w:val="0"/>
              <w:rPr>
                <w:color w:val="auto"/>
                <w:highlight w:val="none"/>
              </w:rPr>
            </w:pPr>
          </w:p>
        </w:tc>
        <w:tc>
          <w:tcPr>
            <w:tcW w:w="811" w:type="pct"/>
            <w:vAlign w:val="center"/>
          </w:tcPr>
          <w:p w14:paraId="72F74CF4">
            <w:pPr>
              <w:pStyle w:val="17"/>
              <w:bidi w:val="0"/>
              <w:rPr>
                <w:color w:val="auto"/>
                <w:highlight w:val="none"/>
              </w:rPr>
            </w:pPr>
            <w:r>
              <w:rPr>
                <w:color w:val="auto"/>
                <w:highlight w:val="none"/>
              </w:rPr>
              <w:t>达标</w:t>
            </w:r>
          </w:p>
        </w:tc>
      </w:tr>
      <w:tr w14:paraId="3E3AA7A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41" w:hRule="atLeast"/>
        </w:trPr>
        <w:tc>
          <w:tcPr>
            <w:tcW w:w="1143" w:type="pct"/>
            <w:vAlign w:val="center"/>
          </w:tcPr>
          <w:p w14:paraId="3BA2D650">
            <w:pPr>
              <w:pStyle w:val="17"/>
              <w:bidi w:val="0"/>
              <w:rPr>
                <w:rFonts w:hint="eastAsia" w:eastAsia="宋体"/>
                <w:color w:val="auto"/>
                <w:highlight w:val="none"/>
                <w:lang w:val="en-US" w:eastAsia="zh-CN"/>
              </w:rPr>
            </w:pPr>
            <w:r>
              <w:rPr>
                <w:rFonts w:hint="eastAsia" w:eastAsia="宋体"/>
                <w:color w:val="auto"/>
                <w:highlight w:val="none"/>
                <w:lang w:val="en-US" w:eastAsia="zh-CN"/>
              </w:rPr>
              <w:t>采选区北侧</w:t>
            </w:r>
          </w:p>
        </w:tc>
        <w:tc>
          <w:tcPr>
            <w:tcW w:w="830" w:type="pct"/>
            <w:vAlign w:val="center"/>
          </w:tcPr>
          <w:p w14:paraId="0A4E4BC3">
            <w:pPr>
              <w:pStyle w:val="17"/>
              <w:bidi w:val="0"/>
              <w:rPr>
                <w:rFonts w:hint="default"/>
                <w:color w:val="auto"/>
                <w:highlight w:val="none"/>
                <w:lang w:val="en-US" w:eastAsia="zh-CN"/>
              </w:rPr>
            </w:pPr>
            <w:r>
              <w:rPr>
                <w:rFonts w:hint="eastAsia"/>
                <w:color w:val="auto"/>
                <w:highlight w:val="none"/>
                <w:lang w:val="en-US" w:eastAsia="zh-CN"/>
              </w:rPr>
              <w:t>46</w:t>
            </w:r>
          </w:p>
        </w:tc>
        <w:tc>
          <w:tcPr>
            <w:tcW w:w="1418" w:type="dxa"/>
            <w:vAlign w:val="center"/>
          </w:tcPr>
          <w:p w14:paraId="3CDBD3D9">
            <w:pPr>
              <w:pStyle w:val="17"/>
              <w:bidi w:val="0"/>
              <w:ind w:firstLine="0" w:firstLineChars="0"/>
              <w:rPr>
                <w:rFonts w:hint="default"/>
                <w:color w:val="auto"/>
                <w:highlight w:val="none"/>
                <w:lang w:val="en-US" w:eastAsia="zh-CN"/>
              </w:rPr>
            </w:pPr>
            <w:r>
              <w:rPr>
                <w:rFonts w:hint="eastAsia"/>
                <w:color w:val="auto"/>
                <w:highlight w:val="none"/>
                <w:lang w:val="en-US" w:eastAsia="zh-CN"/>
              </w:rPr>
              <w:t>57</w:t>
            </w:r>
          </w:p>
        </w:tc>
        <w:tc>
          <w:tcPr>
            <w:tcW w:w="747" w:type="pct"/>
            <w:vMerge w:val="continue"/>
            <w:vAlign w:val="center"/>
          </w:tcPr>
          <w:p w14:paraId="54403362">
            <w:pPr>
              <w:pStyle w:val="17"/>
              <w:bidi w:val="0"/>
              <w:rPr>
                <w:color w:val="auto"/>
                <w:highlight w:val="none"/>
              </w:rPr>
            </w:pPr>
          </w:p>
        </w:tc>
        <w:tc>
          <w:tcPr>
            <w:tcW w:w="635" w:type="pct"/>
            <w:vMerge w:val="continue"/>
            <w:vAlign w:val="center"/>
          </w:tcPr>
          <w:p w14:paraId="52DD27B3">
            <w:pPr>
              <w:pStyle w:val="17"/>
              <w:bidi w:val="0"/>
              <w:rPr>
                <w:color w:val="auto"/>
                <w:highlight w:val="none"/>
              </w:rPr>
            </w:pPr>
          </w:p>
        </w:tc>
        <w:tc>
          <w:tcPr>
            <w:tcW w:w="811" w:type="pct"/>
            <w:vAlign w:val="center"/>
          </w:tcPr>
          <w:p w14:paraId="4E2DB835">
            <w:pPr>
              <w:pStyle w:val="17"/>
              <w:bidi w:val="0"/>
              <w:rPr>
                <w:color w:val="auto"/>
                <w:highlight w:val="none"/>
              </w:rPr>
            </w:pPr>
            <w:r>
              <w:rPr>
                <w:color w:val="auto"/>
                <w:highlight w:val="none"/>
              </w:rPr>
              <w:t>达标</w:t>
            </w:r>
          </w:p>
        </w:tc>
      </w:tr>
      <w:tr w14:paraId="52002DE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rPr>
        <w:tc>
          <w:tcPr>
            <w:tcW w:w="1143" w:type="pct"/>
            <w:vAlign w:val="center"/>
          </w:tcPr>
          <w:p w14:paraId="3D5760FE">
            <w:pPr>
              <w:pStyle w:val="17"/>
              <w:bidi w:val="0"/>
              <w:rPr>
                <w:rFonts w:hint="eastAsia" w:eastAsia="宋体"/>
                <w:color w:val="auto"/>
                <w:highlight w:val="none"/>
                <w:lang w:val="en-US" w:eastAsia="zh-CN"/>
              </w:rPr>
            </w:pPr>
            <w:r>
              <w:rPr>
                <w:rFonts w:hint="eastAsia" w:eastAsia="宋体"/>
                <w:color w:val="auto"/>
                <w:highlight w:val="none"/>
                <w:lang w:val="en-US" w:eastAsia="zh-CN"/>
              </w:rPr>
              <w:t>尾矿库东侧</w:t>
            </w:r>
          </w:p>
        </w:tc>
        <w:tc>
          <w:tcPr>
            <w:tcW w:w="830" w:type="pct"/>
            <w:vAlign w:val="center"/>
          </w:tcPr>
          <w:p w14:paraId="6AE118A7">
            <w:pPr>
              <w:pStyle w:val="17"/>
              <w:bidi w:val="0"/>
              <w:rPr>
                <w:rFonts w:hint="default"/>
                <w:color w:val="auto"/>
                <w:highlight w:val="none"/>
                <w:lang w:val="en-US" w:eastAsia="zh-CN"/>
              </w:rPr>
            </w:pPr>
            <w:r>
              <w:rPr>
                <w:rFonts w:hint="eastAsia"/>
                <w:color w:val="auto"/>
                <w:highlight w:val="none"/>
                <w:lang w:val="en-US" w:eastAsia="zh-CN"/>
              </w:rPr>
              <w:t>39</w:t>
            </w:r>
          </w:p>
        </w:tc>
        <w:tc>
          <w:tcPr>
            <w:tcW w:w="1418" w:type="dxa"/>
            <w:vAlign w:val="center"/>
          </w:tcPr>
          <w:p w14:paraId="538B462A">
            <w:pPr>
              <w:pStyle w:val="17"/>
              <w:bidi w:val="0"/>
              <w:ind w:firstLine="0" w:firstLineChars="0"/>
              <w:rPr>
                <w:rFonts w:hint="default"/>
                <w:color w:val="auto"/>
                <w:highlight w:val="none"/>
                <w:lang w:val="en-US" w:eastAsia="zh-CN"/>
              </w:rPr>
            </w:pPr>
            <w:r>
              <w:rPr>
                <w:rFonts w:hint="eastAsia"/>
                <w:color w:val="auto"/>
                <w:highlight w:val="none"/>
                <w:lang w:val="en-US" w:eastAsia="zh-CN"/>
              </w:rPr>
              <w:t>41</w:t>
            </w:r>
          </w:p>
        </w:tc>
        <w:tc>
          <w:tcPr>
            <w:tcW w:w="747" w:type="pct"/>
            <w:vMerge w:val="continue"/>
            <w:vAlign w:val="center"/>
          </w:tcPr>
          <w:p w14:paraId="554B53A4">
            <w:pPr>
              <w:pStyle w:val="17"/>
              <w:bidi w:val="0"/>
              <w:rPr>
                <w:color w:val="auto"/>
                <w:highlight w:val="none"/>
              </w:rPr>
            </w:pPr>
          </w:p>
        </w:tc>
        <w:tc>
          <w:tcPr>
            <w:tcW w:w="635" w:type="pct"/>
            <w:vMerge w:val="continue"/>
            <w:vAlign w:val="center"/>
          </w:tcPr>
          <w:p w14:paraId="774141F1">
            <w:pPr>
              <w:pStyle w:val="17"/>
              <w:bidi w:val="0"/>
              <w:rPr>
                <w:color w:val="auto"/>
                <w:highlight w:val="none"/>
              </w:rPr>
            </w:pPr>
          </w:p>
        </w:tc>
        <w:tc>
          <w:tcPr>
            <w:tcW w:w="811" w:type="pct"/>
            <w:vAlign w:val="center"/>
          </w:tcPr>
          <w:p w14:paraId="5F60CB2A">
            <w:pPr>
              <w:pStyle w:val="17"/>
              <w:bidi w:val="0"/>
              <w:rPr>
                <w:color w:val="auto"/>
                <w:highlight w:val="none"/>
              </w:rPr>
            </w:pPr>
            <w:r>
              <w:rPr>
                <w:color w:val="auto"/>
                <w:highlight w:val="none"/>
              </w:rPr>
              <w:t>达标</w:t>
            </w:r>
          </w:p>
        </w:tc>
      </w:tr>
      <w:tr w14:paraId="3A96591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rPr>
        <w:tc>
          <w:tcPr>
            <w:tcW w:w="1143" w:type="pct"/>
            <w:vAlign w:val="center"/>
          </w:tcPr>
          <w:p w14:paraId="312A1A95">
            <w:pPr>
              <w:pStyle w:val="17"/>
              <w:bidi w:val="0"/>
              <w:rPr>
                <w:rFonts w:hint="eastAsia" w:eastAsia="宋体"/>
                <w:color w:val="auto"/>
                <w:highlight w:val="none"/>
                <w:lang w:val="en-US" w:eastAsia="zh-CN"/>
              </w:rPr>
            </w:pPr>
            <w:r>
              <w:rPr>
                <w:rFonts w:hint="eastAsia" w:eastAsia="宋体"/>
                <w:color w:val="auto"/>
                <w:highlight w:val="none"/>
                <w:lang w:val="en-US" w:eastAsia="zh-CN"/>
              </w:rPr>
              <w:t>尾矿库南侧</w:t>
            </w:r>
          </w:p>
        </w:tc>
        <w:tc>
          <w:tcPr>
            <w:tcW w:w="830" w:type="pct"/>
            <w:vAlign w:val="center"/>
          </w:tcPr>
          <w:p w14:paraId="204328C2">
            <w:pPr>
              <w:pStyle w:val="17"/>
              <w:bidi w:val="0"/>
              <w:rPr>
                <w:rFonts w:hint="default"/>
                <w:color w:val="auto"/>
                <w:highlight w:val="none"/>
                <w:lang w:val="en-US" w:eastAsia="zh-CN"/>
              </w:rPr>
            </w:pPr>
            <w:r>
              <w:rPr>
                <w:rFonts w:hint="eastAsia"/>
                <w:color w:val="auto"/>
                <w:highlight w:val="none"/>
                <w:lang w:val="en-US" w:eastAsia="zh-CN"/>
              </w:rPr>
              <w:t>41</w:t>
            </w:r>
          </w:p>
        </w:tc>
        <w:tc>
          <w:tcPr>
            <w:tcW w:w="1418" w:type="dxa"/>
            <w:vAlign w:val="center"/>
          </w:tcPr>
          <w:p w14:paraId="14CE1DD1">
            <w:pPr>
              <w:pStyle w:val="17"/>
              <w:bidi w:val="0"/>
              <w:ind w:firstLine="0" w:firstLineChars="0"/>
              <w:rPr>
                <w:rFonts w:hint="default"/>
                <w:color w:val="auto"/>
                <w:highlight w:val="none"/>
                <w:lang w:val="en-US" w:eastAsia="zh-CN"/>
              </w:rPr>
            </w:pPr>
            <w:r>
              <w:rPr>
                <w:rFonts w:hint="eastAsia"/>
                <w:color w:val="auto"/>
                <w:highlight w:val="none"/>
                <w:lang w:val="en-US" w:eastAsia="zh-CN"/>
              </w:rPr>
              <w:t>42</w:t>
            </w:r>
          </w:p>
        </w:tc>
        <w:tc>
          <w:tcPr>
            <w:tcW w:w="747" w:type="pct"/>
            <w:vMerge w:val="continue"/>
            <w:vAlign w:val="center"/>
          </w:tcPr>
          <w:p w14:paraId="33A21B5D">
            <w:pPr>
              <w:pStyle w:val="17"/>
              <w:bidi w:val="0"/>
              <w:rPr>
                <w:color w:val="auto"/>
                <w:highlight w:val="none"/>
              </w:rPr>
            </w:pPr>
          </w:p>
        </w:tc>
        <w:tc>
          <w:tcPr>
            <w:tcW w:w="635" w:type="pct"/>
            <w:vMerge w:val="continue"/>
            <w:vAlign w:val="center"/>
          </w:tcPr>
          <w:p w14:paraId="16DA8183">
            <w:pPr>
              <w:pStyle w:val="17"/>
              <w:bidi w:val="0"/>
              <w:rPr>
                <w:color w:val="auto"/>
                <w:highlight w:val="none"/>
              </w:rPr>
            </w:pPr>
          </w:p>
        </w:tc>
        <w:tc>
          <w:tcPr>
            <w:tcW w:w="811" w:type="pct"/>
            <w:vAlign w:val="center"/>
          </w:tcPr>
          <w:p w14:paraId="132E3FE1">
            <w:pPr>
              <w:pStyle w:val="17"/>
              <w:bidi w:val="0"/>
              <w:rPr>
                <w:color w:val="auto"/>
                <w:highlight w:val="none"/>
              </w:rPr>
            </w:pPr>
            <w:r>
              <w:rPr>
                <w:color w:val="auto"/>
                <w:highlight w:val="none"/>
              </w:rPr>
              <w:t>达标</w:t>
            </w:r>
          </w:p>
        </w:tc>
      </w:tr>
      <w:tr w14:paraId="4895DD1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rPr>
        <w:tc>
          <w:tcPr>
            <w:tcW w:w="1143" w:type="pct"/>
            <w:vAlign w:val="center"/>
          </w:tcPr>
          <w:p w14:paraId="6E54244B">
            <w:pPr>
              <w:pStyle w:val="17"/>
              <w:bidi w:val="0"/>
              <w:rPr>
                <w:rFonts w:hint="eastAsia" w:eastAsia="宋体"/>
                <w:color w:val="auto"/>
                <w:highlight w:val="none"/>
                <w:lang w:val="en-US" w:eastAsia="zh-CN"/>
              </w:rPr>
            </w:pPr>
            <w:r>
              <w:rPr>
                <w:rFonts w:hint="eastAsia" w:eastAsia="宋体"/>
                <w:color w:val="auto"/>
                <w:highlight w:val="none"/>
                <w:lang w:val="en-US" w:eastAsia="zh-CN"/>
              </w:rPr>
              <w:t>尾矿库西侧</w:t>
            </w:r>
          </w:p>
        </w:tc>
        <w:tc>
          <w:tcPr>
            <w:tcW w:w="830" w:type="pct"/>
            <w:vAlign w:val="center"/>
          </w:tcPr>
          <w:p w14:paraId="2924CF17">
            <w:pPr>
              <w:pStyle w:val="17"/>
              <w:bidi w:val="0"/>
              <w:rPr>
                <w:rFonts w:hint="default"/>
                <w:color w:val="auto"/>
                <w:highlight w:val="none"/>
                <w:lang w:val="en-US" w:eastAsia="zh-CN"/>
              </w:rPr>
            </w:pPr>
            <w:r>
              <w:rPr>
                <w:rFonts w:hint="eastAsia"/>
                <w:color w:val="auto"/>
                <w:highlight w:val="none"/>
                <w:lang w:val="en-US" w:eastAsia="zh-CN"/>
              </w:rPr>
              <w:t>38</w:t>
            </w:r>
          </w:p>
        </w:tc>
        <w:tc>
          <w:tcPr>
            <w:tcW w:w="1418" w:type="dxa"/>
            <w:vAlign w:val="center"/>
          </w:tcPr>
          <w:p w14:paraId="420E9112">
            <w:pPr>
              <w:pStyle w:val="17"/>
              <w:bidi w:val="0"/>
              <w:ind w:firstLine="0" w:firstLineChars="0"/>
              <w:rPr>
                <w:rFonts w:hint="default"/>
                <w:color w:val="auto"/>
                <w:highlight w:val="none"/>
                <w:lang w:val="en-US" w:eastAsia="zh-CN"/>
              </w:rPr>
            </w:pPr>
            <w:r>
              <w:rPr>
                <w:rFonts w:hint="eastAsia"/>
                <w:color w:val="auto"/>
                <w:highlight w:val="none"/>
                <w:lang w:val="en-US" w:eastAsia="zh-CN"/>
              </w:rPr>
              <w:t>40</w:t>
            </w:r>
          </w:p>
        </w:tc>
        <w:tc>
          <w:tcPr>
            <w:tcW w:w="747" w:type="pct"/>
            <w:vMerge w:val="continue"/>
            <w:vAlign w:val="center"/>
          </w:tcPr>
          <w:p w14:paraId="3BAD83B5">
            <w:pPr>
              <w:pStyle w:val="17"/>
              <w:bidi w:val="0"/>
              <w:rPr>
                <w:color w:val="auto"/>
                <w:highlight w:val="none"/>
              </w:rPr>
            </w:pPr>
          </w:p>
        </w:tc>
        <w:tc>
          <w:tcPr>
            <w:tcW w:w="635" w:type="pct"/>
            <w:vMerge w:val="continue"/>
            <w:vAlign w:val="center"/>
          </w:tcPr>
          <w:p w14:paraId="0B37E3FE">
            <w:pPr>
              <w:pStyle w:val="17"/>
              <w:bidi w:val="0"/>
              <w:rPr>
                <w:color w:val="auto"/>
                <w:highlight w:val="none"/>
              </w:rPr>
            </w:pPr>
          </w:p>
        </w:tc>
        <w:tc>
          <w:tcPr>
            <w:tcW w:w="811" w:type="pct"/>
            <w:vAlign w:val="center"/>
          </w:tcPr>
          <w:p w14:paraId="20D1AD44">
            <w:pPr>
              <w:pStyle w:val="17"/>
              <w:bidi w:val="0"/>
              <w:rPr>
                <w:color w:val="auto"/>
                <w:highlight w:val="none"/>
              </w:rPr>
            </w:pPr>
            <w:r>
              <w:rPr>
                <w:color w:val="auto"/>
                <w:highlight w:val="none"/>
              </w:rPr>
              <w:t>达标</w:t>
            </w:r>
          </w:p>
        </w:tc>
      </w:tr>
      <w:tr w14:paraId="7DF9E04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227" w:hRule="atLeast"/>
        </w:trPr>
        <w:tc>
          <w:tcPr>
            <w:tcW w:w="1143" w:type="pct"/>
            <w:vAlign w:val="center"/>
          </w:tcPr>
          <w:p w14:paraId="04D499BF">
            <w:pPr>
              <w:pStyle w:val="17"/>
              <w:bidi w:val="0"/>
              <w:rPr>
                <w:rFonts w:hint="eastAsia" w:eastAsia="宋体"/>
                <w:color w:val="auto"/>
                <w:highlight w:val="none"/>
                <w:lang w:val="en-US" w:eastAsia="zh-CN"/>
              </w:rPr>
            </w:pPr>
            <w:r>
              <w:rPr>
                <w:rFonts w:hint="eastAsia" w:eastAsia="宋体"/>
                <w:color w:val="auto"/>
                <w:highlight w:val="none"/>
                <w:lang w:val="en-US" w:eastAsia="zh-CN"/>
              </w:rPr>
              <w:t>尾矿库北侧</w:t>
            </w:r>
          </w:p>
        </w:tc>
        <w:tc>
          <w:tcPr>
            <w:tcW w:w="830" w:type="pct"/>
            <w:vAlign w:val="center"/>
          </w:tcPr>
          <w:p w14:paraId="2351E717">
            <w:pPr>
              <w:pStyle w:val="17"/>
              <w:bidi w:val="0"/>
              <w:rPr>
                <w:rFonts w:hint="default"/>
                <w:color w:val="auto"/>
                <w:highlight w:val="none"/>
                <w:lang w:val="en-US" w:eastAsia="zh-CN"/>
              </w:rPr>
            </w:pPr>
            <w:r>
              <w:rPr>
                <w:rFonts w:hint="eastAsia"/>
                <w:color w:val="auto"/>
                <w:highlight w:val="none"/>
                <w:lang w:val="en-US" w:eastAsia="zh-CN"/>
              </w:rPr>
              <w:t>40</w:t>
            </w:r>
          </w:p>
        </w:tc>
        <w:tc>
          <w:tcPr>
            <w:tcW w:w="1418" w:type="dxa"/>
            <w:vAlign w:val="center"/>
          </w:tcPr>
          <w:p w14:paraId="009EBEC8">
            <w:pPr>
              <w:pStyle w:val="17"/>
              <w:bidi w:val="0"/>
              <w:ind w:firstLine="0" w:firstLineChars="0"/>
              <w:rPr>
                <w:rFonts w:hint="default"/>
                <w:color w:val="auto"/>
                <w:highlight w:val="none"/>
                <w:lang w:val="en-US" w:eastAsia="zh-CN"/>
              </w:rPr>
            </w:pPr>
            <w:r>
              <w:rPr>
                <w:rFonts w:hint="eastAsia"/>
                <w:color w:val="auto"/>
                <w:highlight w:val="none"/>
                <w:lang w:val="en-US" w:eastAsia="zh-CN"/>
              </w:rPr>
              <w:t>42</w:t>
            </w:r>
          </w:p>
        </w:tc>
        <w:tc>
          <w:tcPr>
            <w:tcW w:w="747" w:type="pct"/>
            <w:vMerge w:val="continue"/>
            <w:vAlign w:val="center"/>
          </w:tcPr>
          <w:p w14:paraId="3493021B">
            <w:pPr>
              <w:pStyle w:val="17"/>
              <w:bidi w:val="0"/>
              <w:rPr>
                <w:color w:val="auto"/>
                <w:highlight w:val="none"/>
              </w:rPr>
            </w:pPr>
          </w:p>
        </w:tc>
        <w:tc>
          <w:tcPr>
            <w:tcW w:w="635" w:type="pct"/>
            <w:vMerge w:val="continue"/>
            <w:vAlign w:val="center"/>
          </w:tcPr>
          <w:p w14:paraId="0DE2A214">
            <w:pPr>
              <w:pStyle w:val="17"/>
              <w:bidi w:val="0"/>
              <w:rPr>
                <w:color w:val="auto"/>
                <w:highlight w:val="none"/>
              </w:rPr>
            </w:pPr>
          </w:p>
        </w:tc>
        <w:tc>
          <w:tcPr>
            <w:tcW w:w="811" w:type="pct"/>
            <w:vAlign w:val="center"/>
          </w:tcPr>
          <w:p w14:paraId="185B83C9">
            <w:pPr>
              <w:pStyle w:val="17"/>
              <w:bidi w:val="0"/>
              <w:rPr>
                <w:color w:val="auto"/>
                <w:highlight w:val="none"/>
              </w:rPr>
            </w:pPr>
            <w:r>
              <w:rPr>
                <w:color w:val="auto"/>
                <w:highlight w:val="none"/>
              </w:rPr>
              <w:t>达标</w:t>
            </w:r>
          </w:p>
        </w:tc>
      </w:tr>
    </w:tbl>
    <w:p w14:paraId="0EE95D0E">
      <w:pPr>
        <w:overflowPunct w:val="0"/>
        <w:topLinePunct/>
        <w:ind w:firstLine="480"/>
        <w:rPr>
          <w:color w:val="auto"/>
          <w:highlight w:val="none"/>
        </w:rPr>
      </w:pPr>
      <w:r>
        <w:rPr>
          <w:color w:val="auto"/>
          <w:highlight w:val="none"/>
        </w:rPr>
        <w:t>由</w:t>
      </w:r>
      <w:r>
        <w:rPr>
          <w:rFonts w:hint="eastAsia"/>
          <w:color w:val="auto"/>
          <w:highlight w:val="none"/>
        </w:rPr>
        <w:t>上表</w:t>
      </w:r>
      <w:r>
        <w:rPr>
          <w:color w:val="auto"/>
          <w:highlight w:val="none"/>
        </w:rPr>
        <w:t>可知，厂界四周昼间、夜间噪声均满足《声环境质量标准》（GB3096-2008）中</w:t>
      </w:r>
      <w:r>
        <w:rPr>
          <w:rFonts w:hint="eastAsia"/>
          <w:color w:val="auto"/>
          <w:highlight w:val="none"/>
          <w:lang w:val="en-US" w:eastAsia="zh-CN"/>
        </w:rPr>
        <w:t>2</w:t>
      </w:r>
      <w:r>
        <w:rPr>
          <w:color w:val="auto"/>
          <w:highlight w:val="none"/>
        </w:rPr>
        <w:t>类标准限值要求。</w:t>
      </w:r>
    </w:p>
    <w:p w14:paraId="496F788D">
      <w:pPr>
        <w:pStyle w:val="6"/>
        <w:rPr>
          <w:color w:val="auto"/>
          <w:highlight w:val="none"/>
        </w:rPr>
      </w:pPr>
      <w:bookmarkStart w:id="593" w:name="_Toc173"/>
      <w:bookmarkStart w:id="594" w:name="_Toc22122"/>
      <w:bookmarkStart w:id="595" w:name="_Toc25512"/>
      <w:bookmarkStart w:id="596" w:name="_Toc19078"/>
      <w:bookmarkStart w:id="597" w:name="_Toc23597"/>
      <w:r>
        <w:rPr>
          <w:color w:val="auto"/>
          <w:highlight w:val="none"/>
        </w:rPr>
        <w:t>4.</w:t>
      </w:r>
      <w:r>
        <w:rPr>
          <w:rFonts w:hint="eastAsia"/>
          <w:color w:val="auto"/>
          <w:highlight w:val="none"/>
        </w:rPr>
        <w:t>2</w:t>
      </w:r>
      <w:r>
        <w:rPr>
          <w:color w:val="auto"/>
          <w:highlight w:val="none"/>
        </w:rPr>
        <w:t>.5土壤环境质量现状评价</w:t>
      </w:r>
      <w:bookmarkEnd w:id="593"/>
      <w:bookmarkEnd w:id="594"/>
      <w:bookmarkEnd w:id="595"/>
      <w:bookmarkEnd w:id="596"/>
      <w:bookmarkEnd w:id="597"/>
    </w:p>
    <w:p w14:paraId="7AAEC507">
      <w:pPr>
        <w:overflowPunct w:val="0"/>
        <w:topLinePunct/>
        <w:ind w:firstLine="480"/>
        <w:rPr>
          <w:color w:val="auto"/>
          <w:highlight w:val="none"/>
        </w:rPr>
      </w:pPr>
      <w:r>
        <w:rPr>
          <w:rFonts w:hint="eastAsia"/>
          <w:color w:val="auto"/>
          <w:highlight w:val="none"/>
        </w:rPr>
        <w:t>本次土壤现状调查</w:t>
      </w:r>
      <w:r>
        <w:rPr>
          <w:rFonts w:hint="eastAsia"/>
          <w:color w:val="auto"/>
          <w:highlight w:val="none"/>
          <w:lang w:val="en-US" w:eastAsia="zh-CN"/>
        </w:rPr>
        <w:t>委托新疆壹诺环保科技有限公司</w:t>
      </w:r>
      <w:r>
        <w:rPr>
          <w:rFonts w:hint="eastAsia"/>
          <w:color w:val="auto"/>
          <w:highlight w:val="none"/>
        </w:rPr>
        <w:t>对评价区域进行土壤质量</w:t>
      </w:r>
      <w:r>
        <w:rPr>
          <w:rFonts w:hint="eastAsia"/>
          <w:color w:val="auto"/>
          <w:highlight w:val="none"/>
          <w:lang w:val="en-US" w:eastAsia="zh-CN"/>
        </w:rPr>
        <w:t>现状</w:t>
      </w:r>
      <w:r>
        <w:rPr>
          <w:rFonts w:hint="eastAsia"/>
          <w:color w:val="auto"/>
          <w:highlight w:val="none"/>
        </w:rPr>
        <w:t>监测。</w:t>
      </w:r>
    </w:p>
    <w:p w14:paraId="0A11CA31">
      <w:pPr>
        <w:overflowPunct w:val="0"/>
        <w:topLinePunct/>
        <w:ind w:firstLine="480"/>
        <w:rPr>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监测项目</w:t>
      </w:r>
    </w:p>
    <w:p w14:paraId="2197590B">
      <w:pPr>
        <w:overflowPunct w:val="0"/>
        <w:topLinePunct/>
        <w:ind w:firstLine="480"/>
        <w:rPr>
          <w:rFonts w:hint="eastAsia" w:eastAsia="宋体"/>
          <w:color w:val="auto"/>
          <w:highlight w:val="none"/>
          <w:lang w:eastAsia="zh-CN"/>
        </w:rPr>
      </w:pPr>
      <w:r>
        <w:rPr>
          <w:rFonts w:hint="eastAsia"/>
          <w:color w:val="auto"/>
          <w:highlight w:val="none"/>
        </w:rPr>
        <w:t>建设用地土壤监测项目包括《土壤环境质量</w:t>
      </w:r>
      <w:r>
        <w:rPr>
          <w:rFonts w:hint="eastAsia"/>
          <w:color w:val="auto"/>
          <w:highlight w:val="none"/>
          <w:lang w:val="en-US" w:eastAsia="zh-CN"/>
        </w:rPr>
        <w:t xml:space="preserve"> </w:t>
      </w:r>
      <w:r>
        <w:rPr>
          <w:rFonts w:hint="eastAsia"/>
          <w:color w:val="auto"/>
          <w:highlight w:val="none"/>
        </w:rPr>
        <w:t>建设用地土壤污染风险管控标准（试行）》（GB36600-2018）中表1建设用地土壤污染风险筛选值（基本项目）45项</w:t>
      </w:r>
      <w:r>
        <w:rPr>
          <w:rFonts w:hint="eastAsia"/>
          <w:color w:val="auto"/>
          <w:highlight w:val="none"/>
          <w:lang w:eastAsia="zh-CN"/>
        </w:rPr>
        <w:t>、</w:t>
      </w:r>
      <w:r>
        <w:rPr>
          <w:rFonts w:hint="eastAsia"/>
          <w:color w:val="auto"/>
          <w:highlight w:val="none"/>
        </w:rPr>
        <w:t>pH</w:t>
      </w:r>
      <w:r>
        <w:rPr>
          <w:rFonts w:hint="eastAsia"/>
          <w:color w:val="auto"/>
          <w:highlight w:val="none"/>
          <w:lang w:eastAsia="zh-CN"/>
        </w:rPr>
        <w:t>、石油烃。</w:t>
      </w:r>
    </w:p>
    <w:p w14:paraId="189B08D6">
      <w:pPr>
        <w:overflowPunct w:val="0"/>
        <w:topLinePunct/>
        <w:ind w:firstLine="480"/>
        <w:rPr>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监测布点</w:t>
      </w:r>
    </w:p>
    <w:p w14:paraId="2DF35F1D">
      <w:pPr>
        <w:overflowPunct w:val="0"/>
        <w:topLinePunct/>
        <w:ind w:firstLine="480"/>
        <w:rPr>
          <w:color w:val="auto"/>
          <w:szCs w:val="22"/>
          <w:highlight w:val="none"/>
        </w:rPr>
      </w:pPr>
      <w:r>
        <w:rPr>
          <w:rFonts w:hint="eastAsia"/>
          <w:color w:val="auto"/>
          <w:highlight w:val="none"/>
        </w:rPr>
        <w:t>共</w:t>
      </w:r>
      <w:r>
        <w:rPr>
          <w:rFonts w:hint="eastAsia"/>
          <w:color w:val="auto"/>
          <w:highlight w:val="none"/>
          <w:lang w:val="en-US" w:eastAsia="zh-CN"/>
        </w:rPr>
        <w:t>设置10</w:t>
      </w:r>
      <w:r>
        <w:rPr>
          <w:rFonts w:hint="eastAsia"/>
          <w:color w:val="auto"/>
          <w:highlight w:val="none"/>
        </w:rPr>
        <w:t>个</w:t>
      </w:r>
      <w:r>
        <w:rPr>
          <w:rFonts w:hint="eastAsia"/>
          <w:color w:val="auto"/>
          <w:highlight w:val="none"/>
          <w:lang w:val="en-US" w:eastAsia="zh-CN"/>
        </w:rPr>
        <w:t>土壤监测</w:t>
      </w:r>
      <w:r>
        <w:rPr>
          <w:rFonts w:hint="eastAsia"/>
          <w:color w:val="auto"/>
          <w:highlight w:val="none"/>
        </w:rPr>
        <w:t>点，其中</w:t>
      </w:r>
      <w:r>
        <w:rPr>
          <w:rFonts w:hint="eastAsia"/>
          <w:color w:val="auto"/>
          <w:highlight w:val="none"/>
          <w:lang w:val="en-US" w:eastAsia="zh-CN"/>
        </w:rPr>
        <w:t>采场、</w:t>
      </w:r>
      <w:r>
        <w:rPr>
          <w:rFonts w:hint="eastAsia"/>
          <w:color w:val="auto"/>
          <w:highlight w:val="none"/>
        </w:rPr>
        <w:t>选厂内</w:t>
      </w:r>
      <w:r>
        <w:rPr>
          <w:rFonts w:hint="eastAsia"/>
          <w:color w:val="auto"/>
          <w:highlight w:val="none"/>
          <w:lang w:val="en-US" w:eastAsia="zh-CN"/>
        </w:rPr>
        <w:t>3</w:t>
      </w:r>
      <w:r>
        <w:rPr>
          <w:rFonts w:hint="eastAsia"/>
          <w:color w:val="auto"/>
          <w:highlight w:val="none"/>
        </w:rPr>
        <w:t>个点，尾矿库内</w:t>
      </w:r>
      <w:r>
        <w:rPr>
          <w:rFonts w:hint="eastAsia"/>
          <w:color w:val="auto"/>
          <w:highlight w:val="none"/>
          <w:lang w:val="en-US" w:eastAsia="zh-CN"/>
        </w:rPr>
        <w:t>3</w:t>
      </w:r>
      <w:r>
        <w:rPr>
          <w:rFonts w:hint="eastAsia"/>
          <w:color w:val="auto"/>
          <w:highlight w:val="none"/>
        </w:rPr>
        <w:t>个点</w:t>
      </w:r>
      <w:r>
        <w:rPr>
          <w:rFonts w:hint="eastAsia"/>
          <w:color w:val="auto"/>
          <w:highlight w:val="none"/>
          <w:lang w:eastAsia="zh-CN"/>
        </w:rPr>
        <w:t>，</w:t>
      </w:r>
      <w:r>
        <w:rPr>
          <w:rFonts w:hint="eastAsia"/>
          <w:color w:val="auto"/>
          <w:highlight w:val="none"/>
          <w:lang w:val="en-US" w:eastAsia="zh-CN"/>
        </w:rPr>
        <w:t>厂外共4个点位</w:t>
      </w:r>
      <w:r>
        <w:rPr>
          <w:rFonts w:hint="eastAsia"/>
          <w:color w:val="auto"/>
          <w:highlight w:val="none"/>
        </w:rPr>
        <w:t>。</w:t>
      </w:r>
    </w:p>
    <w:p w14:paraId="1F0DD129">
      <w:pPr>
        <w:overflowPunct w:val="0"/>
        <w:topLinePunct/>
        <w:ind w:firstLine="480"/>
        <w:rPr>
          <w:color w:val="auto"/>
          <w:highlight w:val="none"/>
        </w:rPr>
      </w:pPr>
      <w:r>
        <w:rPr>
          <w:color w:val="auto"/>
          <w:highlight w:val="none"/>
        </w:rPr>
        <w:t>土壤监测点布设情况</w:t>
      </w:r>
      <w:r>
        <w:rPr>
          <w:rFonts w:hint="eastAsia"/>
          <w:color w:val="auto"/>
          <w:highlight w:val="none"/>
        </w:rPr>
        <w:t>见表4.2-</w:t>
      </w:r>
      <w:r>
        <w:rPr>
          <w:rFonts w:hint="eastAsia"/>
          <w:color w:val="auto"/>
          <w:highlight w:val="none"/>
          <w:lang w:val="en-US" w:eastAsia="zh-CN"/>
        </w:rPr>
        <w:t>10</w:t>
      </w:r>
      <w:r>
        <w:rPr>
          <w:rFonts w:hint="eastAsia"/>
          <w:color w:val="auto"/>
          <w:highlight w:val="none"/>
        </w:rPr>
        <w:t>。</w:t>
      </w:r>
    </w:p>
    <w:p w14:paraId="42E74EEF">
      <w:pPr>
        <w:adjustRightInd w:val="0"/>
        <w:snapToGrid w:val="0"/>
        <w:ind w:firstLine="0" w:firstLineChars="0"/>
        <w:jc w:val="center"/>
        <w:rPr>
          <w:b/>
          <w:color w:val="auto"/>
          <w:kern w:val="0"/>
          <w:szCs w:val="22"/>
          <w:highlight w:val="none"/>
        </w:rPr>
      </w:pPr>
      <w:r>
        <w:rPr>
          <w:rFonts w:hint="eastAsia"/>
          <w:b/>
          <w:color w:val="auto"/>
          <w:kern w:val="0"/>
          <w:szCs w:val="22"/>
          <w:highlight w:val="none"/>
        </w:rPr>
        <w:t>表4.2-</w:t>
      </w:r>
      <w:r>
        <w:rPr>
          <w:rFonts w:hint="eastAsia"/>
          <w:b/>
          <w:color w:val="auto"/>
          <w:kern w:val="0"/>
          <w:szCs w:val="22"/>
          <w:highlight w:val="none"/>
          <w:lang w:val="en-US" w:eastAsia="zh-CN"/>
        </w:rPr>
        <w:t>10</w:t>
      </w:r>
      <w:r>
        <w:rPr>
          <w:rFonts w:hint="eastAsia"/>
          <w:b/>
          <w:color w:val="auto"/>
          <w:kern w:val="0"/>
          <w:szCs w:val="22"/>
          <w:highlight w:val="none"/>
        </w:rPr>
        <w:t xml:space="preserve">    项目土壤监测点布设情况一览表</w:t>
      </w:r>
    </w:p>
    <w:tbl>
      <w:tblPr>
        <w:tblStyle w:val="1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6" w:type="dxa"/>
          <w:bottom w:w="0" w:type="dxa"/>
          <w:right w:w="6" w:type="dxa"/>
        </w:tblCellMar>
      </w:tblPr>
      <w:tblGrid>
        <w:gridCol w:w="815"/>
        <w:gridCol w:w="2952"/>
        <w:gridCol w:w="4563"/>
      </w:tblGrid>
      <w:tr w14:paraId="60D4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tblHeader/>
          <w:jc w:val="center"/>
        </w:trPr>
        <w:tc>
          <w:tcPr>
            <w:tcW w:w="489" w:type="pct"/>
            <w:tcBorders>
              <w:tl2br w:val="nil"/>
              <w:tr2bl w:val="nil"/>
            </w:tcBorders>
            <w:vAlign w:val="center"/>
          </w:tcPr>
          <w:p w14:paraId="2CBCC745">
            <w:pPr>
              <w:pStyle w:val="17"/>
              <w:bidi w:val="0"/>
              <w:rPr>
                <w:color w:val="auto"/>
                <w:highlight w:val="none"/>
              </w:rPr>
            </w:pPr>
            <w:r>
              <w:rPr>
                <w:rFonts w:hint="eastAsia"/>
                <w:color w:val="auto"/>
                <w:highlight w:val="none"/>
              </w:rPr>
              <w:t>编号</w:t>
            </w:r>
          </w:p>
        </w:tc>
        <w:tc>
          <w:tcPr>
            <w:tcW w:w="1771" w:type="pct"/>
            <w:tcBorders>
              <w:tl2br w:val="nil"/>
              <w:tr2bl w:val="nil"/>
            </w:tcBorders>
            <w:vAlign w:val="center"/>
          </w:tcPr>
          <w:p w14:paraId="74A9BD04">
            <w:pPr>
              <w:pStyle w:val="17"/>
              <w:bidi w:val="0"/>
              <w:rPr>
                <w:color w:val="auto"/>
                <w:highlight w:val="none"/>
              </w:rPr>
            </w:pPr>
            <w:r>
              <w:rPr>
                <w:rFonts w:hint="eastAsia"/>
                <w:color w:val="auto"/>
                <w:highlight w:val="none"/>
              </w:rPr>
              <w:t>位置</w:t>
            </w:r>
          </w:p>
        </w:tc>
        <w:tc>
          <w:tcPr>
            <w:tcW w:w="2738" w:type="pct"/>
            <w:tcBorders>
              <w:tl2br w:val="nil"/>
              <w:tr2bl w:val="nil"/>
            </w:tcBorders>
            <w:vAlign w:val="center"/>
          </w:tcPr>
          <w:p w14:paraId="7A8E918D">
            <w:pPr>
              <w:pStyle w:val="17"/>
              <w:bidi w:val="0"/>
              <w:rPr>
                <w:color w:val="auto"/>
                <w:highlight w:val="none"/>
              </w:rPr>
            </w:pPr>
            <w:r>
              <w:rPr>
                <w:color w:val="auto"/>
                <w:highlight w:val="none"/>
              </w:rPr>
              <w:t>监测点</w:t>
            </w:r>
            <w:r>
              <w:rPr>
                <w:rFonts w:hint="eastAsia"/>
                <w:color w:val="auto"/>
                <w:highlight w:val="none"/>
              </w:rPr>
              <w:t>坐标</w:t>
            </w:r>
          </w:p>
        </w:tc>
      </w:tr>
      <w:tr w14:paraId="0A84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4385DF80">
            <w:pPr>
              <w:pStyle w:val="17"/>
              <w:bidi w:val="0"/>
              <w:rPr>
                <w:rFonts w:hint="default"/>
                <w:color w:val="auto"/>
                <w:highlight w:val="none"/>
                <w:lang w:val="en-US"/>
              </w:rPr>
            </w:pPr>
            <w:r>
              <w:rPr>
                <w:rFonts w:hint="eastAsia"/>
                <w:color w:val="auto"/>
                <w:highlight w:val="none"/>
                <w:lang w:val="en-US" w:eastAsia="zh-CN"/>
              </w:rPr>
              <w:t>T1</w:t>
            </w:r>
          </w:p>
        </w:tc>
        <w:tc>
          <w:tcPr>
            <w:tcW w:w="1771" w:type="pct"/>
            <w:tcBorders>
              <w:tl2br w:val="nil"/>
              <w:tr2bl w:val="nil"/>
            </w:tcBorders>
            <w:vAlign w:val="center"/>
          </w:tcPr>
          <w:p w14:paraId="63F9A77B">
            <w:pPr>
              <w:pStyle w:val="17"/>
              <w:bidi w:val="0"/>
              <w:rPr>
                <w:rFonts w:hint="default"/>
                <w:color w:val="auto"/>
                <w:highlight w:val="none"/>
                <w:lang w:val="en-US" w:eastAsia="zh-CN"/>
              </w:rPr>
            </w:pPr>
            <w:r>
              <w:rPr>
                <w:rFonts w:hint="eastAsia"/>
                <w:color w:val="auto"/>
                <w:highlight w:val="none"/>
                <w:lang w:val="en-US" w:eastAsia="zh-CN"/>
              </w:rPr>
              <w:t>采选区占地范围内</w:t>
            </w:r>
          </w:p>
        </w:tc>
        <w:tc>
          <w:tcPr>
            <w:tcW w:w="2738" w:type="pct"/>
            <w:tcBorders>
              <w:tl2br w:val="nil"/>
              <w:tr2bl w:val="nil"/>
            </w:tcBorders>
            <w:shd w:val="clear" w:color="auto" w:fill="auto"/>
            <w:vAlign w:val="center"/>
          </w:tcPr>
          <w:p w14:paraId="527B0127">
            <w:pPr>
              <w:pStyle w:val="17"/>
              <w:bidi w:val="0"/>
              <w:rPr>
                <w:rFonts w:hint="default"/>
                <w:color w:val="auto"/>
                <w:highlight w:val="none"/>
                <w:lang w:val="en-US" w:eastAsia="zh-CN"/>
              </w:rPr>
            </w:pPr>
          </w:p>
        </w:tc>
      </w:tr>
      <w:tr w14:paraId="6061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38179264">
            <w:pPr>
              <w:pStyle w:val="17"/>
              <w:bidi w:val="0"/>
              <w:rPr>
                <w:rFonts w:hint="default" w:eastAsia="宋体"/>
                <w:color w:val="auto"/>
                <w:highlight w:val="none"/>
                <w:lang w:val="en-US" w:eastAsia="zh-CN"/>
              </w:rPr>
            </w:pPr>
            <w:r>
              <w:rPr>
                <w:rFonts w:hint="eastAsia"/>
                <w:color w:val="auto"/>
                <w:highlight w:val="none"/>
                <w:lang w:val="en-US" w:eastAsia="zh-CN"/>
              </w:rPr>
              <w:t>T2</w:t>
            </w:r>
          </w:p>
        </w:tc>
        <w:tc>
          <w:tcPr>
            <w:tcW w:w="1771" w:type="pct"/>
            <w:tcBorders>
              <w:tl2br w:val="nil"/>
              <w:tr2bl w:val="nil"/>
            </w:tcBorders>
            <w:vAlign w:val="center"/>
          </w:tcPr>
          <w:p w14:paraId="47E6DFA9">
            <w:pPr>
              <w:pStyle w:val="17"/>
              <w:bidi w:val="0"/>
              <w:rPr>
                <w:color w:val="auto"/>
                <w:highlight w:val="none"/>
              </w:rPr>
            </w:pPr>
            <w:r>
              <w:rPr>
                <w:rFonts w:hint="eastAsia"/>
                <w:color w:val="auto"/>
                <w:highlight w:val="none"/>
                <w:lang w:val="en-US" w:eastAsia="zh-CN"/>
              </w:rPr>
              <w:t>采选区占地范围内</w:t>
            </w:r>
          </w:p>
        </w:tc>
        <w:tc>
          <w:tcPr>
            <w:tcW w:w="2738" w:type="pct"/>
            <w:tcBorders>
              <w:tl2br w:val="nil"/>
              <w:tr2bl w:val="nil"/>
            </w:tcBorders>
            <w:shd w:val="clear" w:color="auto" w:fill="auto"/>
            <w:vAlign w:val="center"/>
          </w:tcPr>
          <w:p w14:paraId="67BA3A87">
            <w:pPr>
              <w:pStyle w:val="17"/>
              <w:bidi w:val="0"/>
              <w:rPr>
                <w:rFonts w:hint="default"/>
                <w:color w:val="auto"/>
                <w:highlight w:val="none"/>
                <w:lang w:val="en-US" w:eastAsia="zh-CN"/>
              </w:rPr>
            </w:pPr>
          </w:p>
        </w:tc>
      </w:tr>
      <w:tr w14:paraId="7795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401ED09C">
            <w:pPr>
              <w:pStyle w:val="17"/>
              <w:bidi w:val="0"/>
              <w:rPr>
                <w:rFonts w:hint="default" w:eastAsia="宋体"/>
                <w:color w:val="auto"/>
                <w:highlight w:val="none"/>
                <w:lang w:val="en-US" w:eastAsia="zh-CN"/>
              </w:rPr>
            </w:pPr>
            <w:r>
              <w:rPr>
                <w:rFonts w:hint="eastAsia"/>
                <w:color w:val="auto"/>
                <w:highlight w:val="none"/>
                <w:lang w:val="en-US" w:eastAsia="zh-CN"/>
              </w:rPr>
              <w:t>T3</w:t>
            </w:r>
          </w:p>
        </w:tc>
        <w:tc>
          <w:tcPr>
            <w:tcW w:w="1771" w:type="pct"/>
            <w:tcBorders>
              <w:tl2br w:val="nil"/>
              <w:tr2bl w:val="nil"/>
            </w:tcBorders>
            <w:vAlign w:val="center"/>
          </w:tcPr>
          <w:p w14:paraId="37F937CE">
            <w:pPr>
              <w:pStyle w:val="17"/>
              <w:bidi w:val="0"/>
              <w:rPr>
                <w:color w:val="auto"/>
                <w:highlight w:val="none"/>
              </w:rPr>
            </w:pPr>
            <w:r>
              <w:rPr>
                <w:rFonts w:hint="eastAsia"/>
                <w:color w:val="auto"/>
                <w:highlight w:val="none"/>
                <w:lang w:val="en-US" w:eastAsia="zh-CN"/>
              </w:rPr>
              <w:t>采选区占地范围内</w:t>
            </w:r>
          </w:p>
        </w:tc>
        <w:tc>
          <w:tcPr>
            <w:tcW w:w="2738" w:type="pct"/>
            <w:tcBorders>
              <w:tl2br w:val="nil"/>
              <w:tr2bl w:val="nil"/>
            </w:tcBorders>
            <w:shd w:val="clear" w:color="auto" w:fill="auto"/>
            <w:vAlign w:val="center"/>
          </w:tcPr>
          <w:p w14:paraId="3A91CEAD">
            <w:pPr>
              <w:pStyle w:val="17"/>
              <w:bidi w:val="0"/>
              <w:rPr>
                <w:rFonts w:hint="default"/>
                <w:color w:val="auto"/>
                <w:highlight w:val="none"/>
                <w:lang w:val="en-US" w:eastAsia="zh-CN"/>
              </w:rPr>
            </w:pPr>
          </w:p>
        </w:tc>
      </w:tr>
      <w:tr w14:paraId="0ADE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1CD188E1">
            <w:pPr>
              <w:pStyle w:val="17"/>
              <w:bidi w:val="0"/>
              <w:rPr>
                <w:rFonts w:hint="default"/>
                <w:color w:val="auto"/>
                <w:highlight w:val="none"/>
                <w:lang w:val="en-US" w:eastAsia="zh-CN"/>
              </w:rPr>
            </w:pPr>
            <w:r>
              <w:rPr>
                <w:rFonts w:hint="eastAsia"/>
                <w:color w:val="auto"/>
                <w:highlight w:val="none"/>
                <w:lang w:val="en-US" w:eastAsia="zh-CN"/>
              </w:rPr>
              <w:t>T4</w:t>
            </w:r>
          </w:p>
        </w:tc>
        <w:tc>
          <w:tcPr>
            <w:tcW w:w="1771" w:type="pct"/>
            <w:tcBorders>
              <w:tl2br w:val="nil"/>
              <w:tr2bl w:val="nil"/>
            </w:tcBorders>
            <w:vAlign w:val="center"/>
          </w:tcPr>
          <w:p w14:paraId="6220C4D3">
            <w:pPr>
              <w:pStyle w:val="17"/>
              <w:bidi w:val="0"/>
              <w:rPr>
                <w:color w:val="auto"/>
                <w:highlight w:val="none"/>
              </w:rPr>
            </w:pPr>
            <w:r>
              <w:rPr>
                <w:rFonts w:hint="eastAsia"/>
                <w:color w:val="auto"/>
                <w:highlight w:val="none"/>
                <w:lang w:val="en-US" w:eastAsia="zh-CN"/>
              </w:rPr>
              <w:t>采选区占地范围外1km</w:t>
            </w:r>
          </w:p>
        </w:tc>
        <w:tc>
          <w:tcPr>
            <w:tcW w:w="2738" w:type="pct"/>
            <w:tcBorders>
              <w:tl2br w:val="nil"/>
              <w:tr2bl w:val="nil"/>
            </w:tcBorders>
            <w:shd w:val="clear" w:color="auto" w:fill="auto"/>
            <w:vAlign w:val="center"/>
          </w:tcPr>
          <w:p w14:paraId="409FB363">
            <w:pPr>
              <w:pStyle w:val="17"/>
              <w:bidi w:val="0"/>
              <w:rPr>
                <w:rFonts w:hint="default"/>
                <w:color w:val="auto"/>
                <w:highlight w:val="none"/>
                <w:lang w:val="en-US" w:eastAsia="zh-CN"/>
              </w:rPr>
            </w:pPr>
          </w:p>
        </w:tc>
      </w:tr>
      <w:tr w14:paraId="328E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3C6C81C8">
            <w:pPr>
              <w:pStyle w:val="17"/>
              <w:bidi w:val="0"/>
              <w:rPr>
                <w:rFonts w:hint="default"/>
                <w:color w:val="auto"/>
                <w:highlight w:val="none"/>
                <w:lang w:val="en-US" w:eastAsia="zh-CN"/>
              </w:rPr>
            </w:pPr>
            <w:r>
              <w:rPr>
                <w:rFonts w:hint="eastAsia"/>
                <w:color w:val="auto"/>
                <w:highlight w:val="none"/>
                <w:lang w:val="en-US" w:eastAsia="zh-CN"/>
              </w:rPr>
              <w:t>T5</w:t>
            </w:r>
          </w:p>
        </w:tc>
        <w:tc>
          <w:tcPr>
            <w:tcW w:w="1771" w:type="pct"/>
            <w:tcBorders>
              <w:tl2br w:val="nil"/>
              <w:tr2bl w:val="nil"/>
            </w:tcBorders>
            <w:vAlign w:val="center"/>
          </w:tcPr>
          <w:p w14:paraId="1C479C51">
            <w:pPr>
              <w:pStyle w:val="17"/>
              <w:bidi w:val="0"/>
              <w:rPr>
                <w:color w:val="auto"/>
                <w:highlight w:val="none"/>
              </w:rPr>
            </w:pPr>
            <w:r>
              <w:rPr>
                <w:rFonts w:hint="eastAsia"/>
                <w:color w:val="auto"/>
                <w:highlight w:val="none"/>
                <w:lang w:val="en-US" w:eastAsia="zh-CN"/>
              </w:rPr>
              <w:t>采选区占地范围外1km</w:t>
            </w:r>
          </w:p>
        </w:tc>
        <w:tc>
          <w:tcPr>
            <w:tcW w:w="2738" w:type="pct"/>
            <w:tcBorders>
              <w:tl2br w:val="nil"/>
              <w:tr2bl w:val="nil"/>
            </w:tcBorders>
            <w:shd w:val="clear" w:color="auto" w:fill="auto"/>
            <w:vAlign w:val="center"/>
          </w:tcPr>
          <w:p w14:paraId="54C333F7">
            <w:pPr>
              <w:pStyle w:val="17"/>
              <w:bidi w:val="0"/>
              <w:rPr>
                <w:rFonts w:hint="default"/>
                <w:color w:val="auto"/>
                <w:highlight w:val="none"/>
                <w:lang w:val="en-US" w:eastAsia="zh-CN"/>
              </w:rPr>
            </w:pPr>
          </w:p>
        </w:tc>
      </w:tr>
      <w:tr w14:paraId="27A0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2E22167C">
            <w:pPr>
              <w:pStyle w:val="17"/>
              <w:bidi w:val="0"/>
              <w:rPr>
                <w:rFonts w:hint="default"/>
                <w:color w:val="auto"/>
                <w:highlight w:val="none"/>
                <w:lang w:val="en-US" w:eastAsia="zh-CN"/>
              </w:rPr>
            </w:pPr>
            <w:r>
              <w:rPr>
                <w:rFonts w:hint="eastAsia"/>
                <w:color w:val="auto"/>
                <w:highlight w:val="none"/>
                <w:lang w:val="en-US" w:eastAsia="zh-CN"/>
              </w:rPr>
              <w:t>T6</w:t>
            </w:r>
          </w:p>
        </w:tc>
        <w:tc>
          <w:tcPr>
            <w:tcW w:w="1771" w:type="pct"/>
            <w:tcBorders>
              <w:tl2br w:val="nil"/>
              <w:tr2bl w:val="nil"/>
            </w:tcBorders>
            <w:vAlign w:val="center"/>
          </w:tcPr>
          <w:p w14:paraId="4E43E6FA">
            <w:pPr>
              <w:pStyle w:val="17"/>
              <w:bidi w:val="0"/>
              <w:rPr>
                <w:rFonts w:hint="default"/>
                <w:color w:val="auto"/>
                <w:highlight w:val="none"/>
                <w:lang w:val="en-US" w:eastAsia="zh-CN"/>
              </w:rPr>
            </w:pPr>
            <w:r>
              <w:rPr>
                <w:rFonts w:hint="eastAsia"/>
                <w:color w:val="auto"/>
                <w:highlight w:val="none"/>
                <w:lang w:val="en-US" w:eastAsia="zh-CN"/>
              </w:rPr>
              <w:t>尾矿库占地范围内</w:t>
            </w:r>
          </w:p>
        </w:tc>
        <w:tc>
          <w:tcPr>
            <w:tcW w:w="2738" w:type="pct"/>
            <w:tcBorders>
              <w:tl2br w:val="nil"/>
              <w:tr2bl w:val="nil"/>
            </w:tcBorders>
            <w:shd w:val="clear" w:color="auto" w:fill="auto"/>
            <w:vAlign w:val="center"/>
          </w:tcPr>
          <w:p w14:paraId="64C0EAB0">
            <w:pPr>
              <w:pStyle w:val="17"/>
              <w:bidi w:val="0"/>
              <w:rPr>
                <w:rFonts w:hint="default"/>
                <w:color w:val="auto"/>
                <w:highlight w:val="none"/>
                <w:lang w:val="en-US" w:eastAsia="zh-CN"/>
              </w:rPr>
            </w:pPr>
          </w:p>
        </w:tc>
      </w:tr>
      <w:tr w14:paraId="133D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5CADDA51">
            <w:pPr>
              <w:pStyle w:val="17"/>
              <w:bidi w:val="0"/>
              <w:rPr>
                <w:rFonts w:hint="default"/>
                <w:color w:val="auto"/>
                <w:highlight w:val="none"/>
                <w:lang w:val="en-US" w:eastAsia="zh-CN"/>
              </w:rPr>
            </w:pPr>
            <w:r>
              <w:rPr>
                <w:rFonts w:hint="eastAsia"/>
                <w:color w:val="auto"/>
                <w:highlight w:val="none"/>
                <w:lang w:val="en-US" w:eastAsia="zh-CN"/>
              </w:rPr>
              <w:t>T7</w:t>
            </w:r>
          </w:p>
        </w:tc>
        <w:tc>
          <w:tcPr>
            <w:tcW w:w="1771" w:type="pct"/>
            <w:tcBorders>
              <w:tl2br w:val="nil"/>
              <w:tr2bl w:val="nil"/>
            </w:tcBorders>
            <w:vAlign w:val="center"/>
          </w:tcPr>
          <w:p w14:paraId="7C6094DA">
            <w:pPr>
              <w:pStyle w:val="17"/>
              <w:bidi w:val="0"/>
              <w:rPr>
                <w:color w:val="auto"/>
                <w:highlight w:val="none"/>
              </w:rPr>
            </w:pPr>
            <w:r>
              <w:rPr>
                <w:rFonts w:hint="eastAsia"/>
                <w:color w:val="auto"/>
                <w:highlight w:val="none"/>
                <w:lang w:val="en-US" w:eastAsia="zh-CN"/>
              </w:rPr>
              <w:t>尾矿库占地范围内</w:t>
            </w:r>
          </w:p>
        </w:tc>
        <w:tc>
          <w:tcPr>
            <w:tcW w:w="2738" w:type="pct"/>
            <w:tcBorders>
              <w:tl2br w:val="nil"/>
              <w:tr2bl w:val="nil"/>
            </w:tcBorders>
            <w:shd w:val="clear" w:color="auto" w:fill="auto"/>
            <w:vAlign w:val="center"/>
          </w:tcPr>
          <w:p w14:paraId="5FFAD9D5">
            <w:pPr>
              <w:pStyle w:val="17"/>
              <w:bidi w:val="0"/>
              <w:rPr>
                <w:rFonts w:hint="default"/>
                <w:color w:val="auto"/>
                <w:highlight w:val="none"/>
                <w:lang w:val="en-US" w:eastAsia="zh-CN"/>
              </w:rPr>
            </w:pPr>
          </w:p>
        </w:tc>
      </w:tr>
      <w:tr w14:paraId="268C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5F60598D">
            <w:pPr>
              <w:pStyle w:val="17"/>
              <w:bidi w:val="0"/>
              <w:rPr>
                <w:rFonts w:hint="default"/>
                <w:color w:val="auto"/>
                <w:highlight w:val="none"/>
                <w:lang w:val="en-US" w:eastAsia="zh-CN"/>
              </w:rPr>
            </w:pPr>
            <w:r>
              <w:rPr>
                <w:rFonts w:hint="eastAsia"/>
                <w:color w:val="auto"/>
                <w:highlight w:val="none"/>
                <w:lang w:val="en-US" w:eastAsia="zh-CN"/>
              </w:rPr>
              <w:t>T8</w:t>
            </w:r>
          </w:p>
        </w:tc>
        <w:tc>
          <w:tcPr>
            <w:tcW w:w="1771" w:type="pct"/>
            <w:tcBorders>
              <w:tl2br w:val="nil"/>
              <w:tr2bl w:val="nil"/>
            </w:tcBorders>
            <w:vAlign w:val="center"/>
          </w:tcPr>
          <w:p w14:paraId="41BE32DB">
            <w:pPr>
              <w:pStyle w:val="17"/>
              <w:bidi w:val="0"/>
              <w:rPr>
                <w:color w:val="auto"/>
                <w:highlight w:val="none"/>
              </w:rPr>
            </w:pPr>
            <w:r>
              <w:rPr>
                <w:rFonts w:hint="eastAsia"/>
                <w:color w:val="auto"/>
                <w:highlight w:val="none"/>
                <w:lang w:val="en-US" w:eastAsia="zh-CN"/>
              </w:rPr>
              <w:t>尾矿库占地范围内</w:t>
            </w:r>
          </w:p>
        </w:tc>
        <w:tc>
          <w:tcPr>
            <w:tcW w:w="2738" w:type="pct"/>
            <w:tcBorders>
              <w:tl2br w:val="nil"/>
              <w:tr2bl w:val="nil"/>
            </w:tcBorders>
            <w:shd w:val="clear" w:color="auto" w:fill="auto"/>
            <w:vAlign w:val="center"/>
          </w:tcPr>
          <w:p w14:paraId="7B6BED97">
            <w:pPr>
              <w:pStyle w:val="17"/>
              <w:bidi w:val="0"/>
              <w:rPr>
                <w:rFonts w:hint="default"/>
                <w:color w:val="auto"/>
                <w:highlight w:val="none"/>
                <w:lang w:val="en-US" w:eastAsia="zh-CN"/>
              </w:rPr>
            </w:pPr>
          </w:p>
        </w:tc>
      </w:tr>
      <w:tr w14:paraId="1666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1B7586B0">
            <w:pPr>
              <w:pStyle w:val="17"/>
              <w:bidi w:val="0"/>
              <w:rPr>
                <w:rFonts w:hint="default"/>
                <w:color w:val="auto"/>
                <w:highlight w:val="none"/>
                <w:lang w:val="en-US" w:eastAsia="zh-CN"/>
              </w:rPr>
            </w:pPr>
            <w:r>
              <w:rPr>
                <w:rFonts w:hint="eastAsia"/>
                <w:color w:val="auto"/>
                <w:highlight w:val="none"/>
                <w:lang w:val="en-US" w:eastAsia="zh-CN"/>
              </w:rPr>
              <w:t>T9</w:t>
            </w:r>
          </w:p>
        </w:tc>
        <w:tc>
          <w:tcPr>
            <w:tcW w:w="1771" w:type="pct"/>
            <w:tcBorders>
              <w:tl2br w:val="nil"/>
              <w:tr2bl w:val="nil"/>
            </w:tcBorders>
            <w:vAlign w:val="center"/>
          </w:tcPr>
          <w:p w14:paraId="0F255D6F">
            <w:pPr>
              <w:pStyle w:val="17"/>
              <w:bidi w:val="0"/>
              <w:rPr>
                <w:color w:val="auto"/>
                <w:highlight w:val="none"/>
              </w:rPr>
            </w:pPr>
            <w:r>
              <w:rPr>
                <w:rFonts w:hint="eastAsia"/>
                <w:color w:val="auto"/>
                <w:highlight w:val="none"/>
                <w:lang w:val="en-US" w:eastAsia="zh-CN"/>
              </w:rPr>
              <w:t>尾矿库占地范围外1km</w:t>
            </w:r>
          </w:p>
        </w:tc>
        <w:tc>
          <w:tcPr>
            <w:tcW w:w="2738" w:type="pct"/>
            <w:tcBorders>
              <w:tl2br w:val="nil"/>
              <w:tr2bl w:val="nil"/>
            </w:tcBorders>
            <w:shd w:val="clear" w:color="auto" w:fill="auto"/>
            <w:vAlign w:val="center"/>
          </w:tcPr>
          <w:p w14:paraId="5C24185F">
            <w:pPr>
              <w:pStyle w:val="17"/>
              <w:bidi w:val="0"/>
              <w:rPr>
                <w:rFonts w:hint="default"/>
                <w:color w:val="auto"/>
                <w:highlight w:val="none"/>
                <w:lang w:val="en-US" w:eastAsia="zh-CN"/>
              </w:rPr>
            </w:pPr>
          </w:p>
        </w:tc>
      </w:tr>
      <w:tr w14:paraId="5009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340" w:hRule="atLeast"/>
          <w:jc w:val="center"/>
        </w:trPr>
        <w:tc>
          <w:tcPr>
            <w:tcW w:w="489" w:type="pct"/>
            <w:tcBorders>
              <w:tl2br w:val="nil"/>
              <w:tr2bl w:val="nil"/>
            </w:tcBorders>
            <w:vAlign w:val="center"/>
          </w:tcPr>
          <w:p w14:paraId="07642B59">
            <w:pPr>
              <w:pStyle w:val="17"/>
              <w:bidi w:val="0"/>
              <w:rPr>
                <w:rFonts w:hint="default"/>
                <w:color w:val="auto"/>
                <w:highlight w:val="none"/>
                <w:lang w:val="en-US" w:eastAsia="zh-CN"/>
              </w:rPr>
            </w:pPr>
            <w:r>
              <w:rPr>
                <w:rFonts w:hint="eastAsia"/>
                <w:color w:val="auto"/>
                <w:highlight w:val="none"/>
                <w:lang w:val="en-US" w:eastAsia="zh-CN"/>
              </w:rPr>
              <w:t>T10</w:t>
            </w:r>
          </w:p>
        </w:tc>
        <w:tc>
          <w:tcPr>
            <w:tcW w:w="1771" w:type="pct"/>
            <w:tcBorders>
              <w:tl2br w:val="nil"/>
              <w:tr2bl w:val="nil"/>
            </w:tcBorders>
            <w:vAlign w:val="center"/>
          </w:tcPr>
          <w:p w14:paraId="14299715">
            <w:pPr>
              <w:pStyle w:val="17"/>
              <w:bidi w:val="0"/>
              <w:rPr>
                <w:color w:val="auto"/>
                <w:highlight w:val="none"/>
              </w:rPr>
            </w:pPr>
            <w:r>
              <w:rPr>
                <w:rFonts w:hint="eastAsia"/>
                <w:color w:val="auto"/>
                <w:highlight w:val="none"/>
                <w:lang w:val="en-US" w:eastAsia="zh-CN"/>
              </w:rPr>
              <w:t>尾矿库占地范围外1km</w:t>
            </w:r>
          </w:p>
        </w:tc>
        <w:tc>
          <w:tcPr>
            <w:tcW w:w="2738" w:type="pct"/>
            <w:tcBorders>
              <w:tl2br w:val="nil"/>
              <w:tr2bl w:val="nil"/>
            </w:tcBorders>
            <w:shd w:val="clear" w:color="auto" w:fill="auto"/>
            <w:vAlign w:val="center"/>
          </w:tcPr>
          <w:p w14:paraId="46E93F37">
            <w:pPr>
              <w:pStyle w:val="17"/>
              <w:bidi w:val="0"/>
              <w:rPr>
                <w:rFonts w:hint="default"/>
                <w:color w:val="auto"/>
                <w:highlight w:val="none"/>
                <w:lang w:val="en-US" w:eastAsia="zh-CN"/>
              </w:rPr>
            </w:pPr>
          </w:p>
        </w:tc>
      </w:tr>
    </w:tbl>
    <w:p w14:paraId="5B7564FA">
      <w:pPr>
        <w:overflowPunct w:val="0"/>
        <w:topLinePunct/>
        <w:ind w:firstLine="480"/>
        <w:rPr>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kern w:val="0"/>
          <w:highlight w:val="none"/>
        </w:rPr>
        <w:t>监测</w:t>
      </w:r>
      <w:r>
        <w:rPr>
          <w:rFonts w:hint="eastAsia"/>
          <w:color w:val="auto"/>
          <w:highlight w:val="none"/>
        </w:rPr>
        <w:t>时间</w:t>
      </w:r>
    </w:p>
    <w:p w14:paraId="5900E4D6">
      <w:pPr>
        <w:overflowPunct w:val="0"/>
        <w:topLinePunct/>
        <w:ind w:firstLine="480"/>
        <w:rPr>
          <w:color w:val="auto"/>
          <w:highlight w:val="none"/>
        </w:rPr>
      </w:pPr>
      <w:r>
        <w:rPr>
          <w:rFonts w:hint="eastAsia"/>
          <w:color w:val="auto"/>
          <w:kern w:val="0"/>
          <w:highlight w:val="none"/>
        </w:rPr>
        <w:t>监测时间为202</w:t>
      </w:r>
      <w:r>
        <w:rPr>
          <w:rFonts w:hint="eastAsia"/>
          <w:color w:val="auto"/>
          <w:kern w:val="0"/>
          <w:highlight w:val="none"/>
          <w:lang w:val="en-US" w:eastAsia="zh-CN"/>
        </w:rPr>
        <w:t>6</w:t>
      </w:r>
      <w:r>
        <w:rPr>
          <w:rFonts w:hint="eastAsia"/>
          <w:color w:val="auto"/>
          <w:kern w:val="0"/>
          <w:highlight w:val="none"/>
        </w:rPr>
        <w:t>年</w:t>
      </w:r>
      <w:r>
        <w:rPr>
          <w:rFonts w:hint="eastAsia"/>
          <w:color w:val="auto"/>
          <w:szCs w:val="24"/>
          <w:highlight w:val="none"/>
          <w:lang w:val="en-US" w:eastAsia="zh-CN"/>
        </w:rPr>
        <w:t>2</w:t>
      </w:r>
      <w:r>
        <w:rPr>
          <w:color w:val="auto"/>
          <w:szCs w:val="24"/>
          <w:highlight w:val="none"/>
        </w:rPr>
        <w:t>月2</w:t>
      </w:r>
      <w:r>
        <w:rPr>
          <w:rFonts w:hint="eastAsia"/>
          <w:color w:val="auto"/>
          <w:szCs w:val="24"/>
          <w:highlight w:val="none"/>
          <w:lang w:val="en-US" w:eastAsia="zh-CN"/>
        </w:rPr>
        <w:t>7</w:t>
      </w:r>
      <w:r>
        <w:rPr>
          <w:color w:val="auto"/>
          <w:szCs w:val="24"/>
          <w:highlight w:val="none"/>
        </w:rPr>
        <w:t>日</w:t>
      </w:r>
      <w:r>
        <w:rPr>
          <w:rFonts w:hint="eastAsia"/>
          <w:color w:val="auto"/>
          <w:szCs w:val="24"/>
          <w:highlight w:val="none"/>
          <w:lang w:val="en-US" w:eastAsia="zh-CN"/>
        </w:rPr>
        <w:t>-3月1日</w:t>
      </w:r>
      <w:r>
        <w:rPr>
          <w:rFonts w:hint="eastAsia"/>
          <w:color w:val="auto"/>
          <w:kern w:val="0"/>
          <w:highlight w:val="none"/>
        </w:rPr>
        <w:t>。</w:t>
      </w:r>
    </w:p>
    <w:p w14:paraId="09428CA5">
      <w:pPr>
        <w:overflowPunct w:val="0"/>
        <w:topLinePunct/>
        <w:ind w:firstLine="480"/>
        <w:rPr>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采样深度</w:t>
      </w:r>
    </w:p>
    <w:p w14:paraId="4E1024A4">
      <w:pPr>
        <w:overflowPunct w:val="0"/>
        <w:topLinePunct/>
        <w:ind w:firstLine="480"/>
        <w:rPr>
          <w:color w:val="auto"/>
          <w:kern w:val="0"/>
          <w:highlight w:val="none"/>
        </w:rPr>
      </w:pPr>
      <w:r>
        <w:rPr>
          <w:rFonts w:hint="eastAsia"/>
          <w:color w:val="auto"/>
          <w:kern w:val="0"/>
          <w:highlight w:val="none"/>
        </w:rPr>
        <w:t>表层样采样深度为20cm。</w:t>
      </w:r>
    </w:p>
    <w:p w14:paraId="6283B5B4">
      <w:pPr>
        <w:overflowPunct w:val="0"/>
        <w:topLinePunct/>
        <w:ind w:firstLine="480"/>
        <w:rPr>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评价标准</w:t>
      </w:r>
    </w:p>
    <w:p w14:paraId="372ED5AD">
      <w:pPr>
        <w:overflowPunct w:val="0"/>
        <w:topLinePunct/>
        <w:ind w:firstLine="476"/>
        <w:rPr>
          <w:color w:val="auto"/>
          <w:highlight w:val="none"/>
        </w:rPr>
      </w:pPr>
      <w:r>
        <w:rPr>
          <w:rFonts w:hint="eastAsia"/>
          <w:color w:val="auto"/>
          <w:spacing w:val="-1"/>
          <w:kern w:val="0"/>
          <w:highlight w:val="none"/>
          <w:lang w:val="en-US" w:eastAsia="zh-CN" w:bidi="ar"/>
        </w:rPr>
        <w:t>项目区内</w:t>
      </w:r>
      <w:r>
        <w:rPr>
          <w:color w:val="auto"/>
          <w:spacing w:val="-1"/>
          <w:kern w:val="0"/>
          <w:highlight w:val="none"/>
          <w:lang w:bidi="ar"/>
        </w:rPr>
        <w:t>土壤环境执行《土壤环境质量</w:t>
      </w:r>
      <w:r>
        <w:rPr>
          <w:rFonts w:hint="eastAsia"/>
          <w:color w:val="auto"/>
          <w:spacing w:val="-1"/>
          <w:kern w:val="0"/>
          <w:highlight w:val="none"/>
          <w:lang w:bidi="ar"/>
        </w:rPr>
        <w:t xml:space="preserve"> </w:t>
      </w:r>
      <w:r>
        <w:rPr>
          <w:color w:val="auto"/>
          <w:spacing w:val="-1"/>
          <w:kern w:val="0"/>
          <w:highlight w:val="none"/>
          <w:lang w:bidi="ar"/>
        </w:rPr>
        <w:t>建设用地土壤污染风险管控标准（试行）》（GB36600-2018）第二类用地</w:t>
      </w:r>
      <w:r>
        <w:rPr>
          <w:color w:val="auto"/>
          <w:highlight w:val="none"/>
        </w:rPr>
        <w:t>筛选值</w:t>
      </w:r>
      <w:r>
        <w:rPr>
          <w:rFonts w:hint="eastAsia"/>
          <w:color w:val="auto"/>
          <w:highlight w:val="none"/>
        </w:rPr>
        <w:t>标准</w:t>
      </w:r>
      <w:r>
        <w:rPr>
          <w:rFonts w:hint="eastAsia"/>
          <w:color w:val="auto"/>
          <w:highlight w:val="none"/>
          <w:lang w:eastAsia="zh-CN"/>
        </w:rPr>
        <w:t>，</w:t>
      </w:r>
      <w:r>
        <w:rPr>
          <w:rFonts w:hint="eastAsia"/>
          <w:color w:val="auto"/>
          <w:highlight w:val="none"/>
          <w:lang w:val="en-US" w:eastAsia="zh-CN"/>
        </w:rPr>
        <w:t>项目区外执行《土壤环境质量 农用地土壤污染风险管控标准（试行）》（GB15618-2018）</w:t>
      </w:r>
      <w:r>
        <w:rPr>
          <w:color w:val="auto"/>
          <w:highlight w:val="none"/>
        </w:rPr>
        <w:t>。</w:t>
      </w:r>
    </w:p>
    <w:p w14:paraId="744DB79F">
      <w:pPr>
        <w:overflowPunct w:val="0"/>
        <w:topLinePunct/>
        <w:ind w:firstLine="480"/>
        <w:rPr>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评价方法</w:t>
      </w:r>
    </w:p>
    <w:p w14:paraId="41E23DF5">
      <w:pPr>
        <w:overflowPunct w:val="0"/>
        <w:topLinePunct/>
        <w:ind w:firstLine="480"/>
        <w:rPr>
          <w:color w:val="auto"/>
          <w:highlight w:val="none"/>
        </w:rPr>
      </w:pPr>
      <w:r>
        <w:rPr>
          <w:color w:val="auto"/>
          <w:highlight w:val="none"/>
        </w:rPr>
        <w:t>采用</w:t>
      </w:r>
      <w:r>
        <w:rPr>
          <w:rFonts w:hint="eastAsia"/>
          <w:color w:val="auto"/>
          <w:highlight w:val="none"/>
        </w:rPr>
        <w:t>直接比较的方法。</w:t>
      </w:r>
    </w:p>
    <w:p w14:paraId="2270A936">
      <w:pPr>
        <w:overflowPunct w:val="0"/>
        <w:topLinePunct/>
        <w:ind w:firstLine="480"/>
        <w:rPr>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监测结果</w:t>
      </w:r>
    </w:p>
    <w:p w14:paraId="33AF241A">
      <w:pPr>
        <w:overflowPunct w:val="0"/>
        <w:topLinePunct/>
        <w:ind w:firstLine="480"/>
        <w:rPr>
          <w:color w:val="auto"/>
          <w:highlight w:val="none"/>
        </w:rPr>
      </w:pPr>
      <w:r>
        <w:rPr>
          <w:rFonts w:hint="eastAsia"/>
          <w:color w:val="auto"/>
          <w:highlight w:val="none"/>
        </w:rPr>
        <w:t>监测数据见表4.2-</w:t>
      </w:r>
      <w:r>
        <w:rPr>
          <w:rFonts w:hint="eastAsia"/>
          <w:color w:val="auto"/>
          <w:highlight w:val="none"/>
          <w:lang w:val="en-US" w:eastAsia="zh-CN"/>
        </w:rPr>
        <w:t>11~4.2-14</w:t>
      </w:r>
      <w:r>
        <w:rPr>
          <w:rFonts w:hint="eastAsia"/>
          <w:color w:val="auto"/>
          <w:highlight w:val="none"/>
        </w:rPr>
        <w:t>，</w:t>
      </w:r>
      <w:r>
        <w:rPr>
          <w:color w:val="auto"/>
          <w:highlight w:val="none"/>
        </w:rPr>
        <w:t>土壤监测布点图</w:t>
      </w:r>
      <w:r>
        <w:rPr>
          <w:rFonts w:hint="eastAsia"/>
          <w:color w:val="auto"/>
          <w:highlight w:val="none"/>
        </w:rPr>
        <w:t>4.2-1</w:t>
      </w:r>
      <w:r>
        <w:rPr>
          <w:color w:val="auto"/>
          <w:highlight w:val="none"/>
        </w:rPr>
        <w:t>。</w:t>
      </w:r>
    </w:p>
    <w:p w14:paraId="456A9344">
      <w:pPr>
        <w:spacing w:line="480" w:lineRule="exact"/>
        <w:jc w:val="center"/>
        <w:rPr>
          <w:rFonts w:hint="default" w:ascii="Times New Roman" w:eastAsia="宋体"/>
          <w:b/>
          <w:bCs/>
          <w:color w:val="auto"/>
          <w:highlight w:val="none"/>
          <w:lang w:val="en-US" w:eastAsia="zh-CN"/>
        </w:rPr>
      </w:pPr>
      <w:r>
        <w:rPr>
          <w:rFonts w:ascii="Times New Roman"/>
          <w:b/>
          <w:bCs/>
          <w:color w:val="auto"/>
          <w:highlight w:val="none"/>
        </w:rPr>
        <w:t>表4.2-</w:t>
      </w:r>
      <w:r>
        <w:rPr>
          <w:rFonts w:hint="eastAsia"/>
          <w:b/>
          <w:bCs/>
          <w:color w:val="auto"/>
          <w:highlight w:val="none"/>
          <w:lang w:val="en-US" w:eastAsia="zh-CN"/>
        </w:rPr>
        <w:t>11</w:t>
      </w:r>
      <w:r>
        <w:rPr>
          <w:rFonts w:ascii="Times New Roman"/>
          <w:b/>
          <w:bCs/>
          <w:color w:val="auto"/>
          <w:highlight w:val="none"/>
        </w:rPr>
        <w:t xml:space="preserve">    </w:t>
      </w:r>
      <w:r>
        <w:rPr>
          <w:rFonts w:hint="eastAsia"/>
          <w:b/>
          <w:bCs/>
          <w:color w:val="auto"/>
          <w:highlight w:val="none"/>
          <w:lang w:val="en-US" w:eastAsia="zh-CN"/>
        </w:rPr>
        <w:t>采选区</w:t>
      </w:r>
      <w:r>
        <w:rPr>
          <w:rFonts w:ascii="Times New Roman"/>
          <w:b/>
          <w:bCs/>
          <w:color w:val="auto"/>
          <w:highlight w:val="none"/>
        </w:rPr>
        <w:t>土壤环境质量监测结果</w:t>
      </w:r>
      <w:r>
        <w:rPr>
          <w:rFonts w:hint="eastAsia"/>
          <w:b/>
          <w:bCs/>
          <w:color w:val="auto"/>
          <w:highlight w:val="none"/>
          <w:lang w:eastAsia="zh-CN"/>
        </w:rPr>
        <w:t>（</w:t>
      </w:r>
      <w:r>
        <w:rPr>
          <w:rFonts w:hint="eastAsia"/>
          <w:b/>
          <w:bCs/>
          <w:color w:val="auto"/>
          <w:highlight w:val="none"/>
          <w:lang w:val="en-US" w:eastAsia="zh-CN"/>
        </w:rPr>
        <w:t>项目区内）</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09"/>
        <w:gridCol w:w="1414"/>
        <w:gridCol w:w="1324"/>
        <w:gridCol w:w="1192"/>
        <w:gridCol w:w="1202"/>
        <w:gridCol w:w="1192"/>
      </w:tblGrid>
      <w:tr w14:paraId="628C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blHeader/>
          <w:jc w:val="center"/>
        </w:trPr>
        <w:tc>
          <w:tcPr>
            <w:tcW w:w="1205" w:type="pct"/>
            <w:vMerge w:val="restart"/>
            <w:tcBorders>
              <w:tl2br w:val="nil"/>
              <w:tr2bl w:val="nil"/>
            </w:tcBorders>
            <w:vAlign w:val="center"/>
          </w:tcPr>
          <w:p w14:paraId="7733AA0F">
            <w:pPr>
              <w:pStyle w:val="17"/>
              <w:bidi w:val="0"/>
              <w:rPr>
                <w:color w:val="auto"/>
                <w:highlight w:val="none"/>
              </w:rPr>
            </w:pPr>
            <w:r>
              <w:rPr>
                <w:color w:val="auto"/>
                <w:highlight w:val="none"/>
              </w:rPr>
              <w:t>检测项目</w:t>
            </w:r>
          </w:p>
        </w:tc>
        <w:tc>
          <w:tcPr>
            <w:tcW w:w="848" w:type="pct"/>
            <w:vMerge w:val="restart"/>
            <w:tcBorders>
              <w:tl2br w:val="nil"/>
              <w:tr2bl w:val="nil"/>
            </w:tcBorders>
            <w:vAlign w:val="center"/>
          </w:tcPr>
          <w:p w14:paraId="3C7BB493">
            <w:pPr>
              <w:pStyle w:val="17"/>
              <w:bidi w:val="0"/>
              <w:rPr>
                <w:color w:val="auto"/>
                <w:highlight w:val="none"/>
              </w:rPr>
            </w:pPr>
            <w:r>
              <w:rPr>
                <w:color w:val="auto"/>
                <w:highlight w:val="none"/>
              </w:rPr>
              <w:t>单位</w:t>
            </w:r>
          </w:p>
        </w:tc>
        <w:tc>
          <w:tcPr>
            <w:tcW w:w="2230" w:type="pct"/>
            <w:gridSpan w:val="3"/>
            <w:tcBorders>
              <w:tl2br w:val="nil"/>
              <w:tr2bl w:val="nil"/>
            </w:tcBorders>
            <w:vAlign w:val="center"/>
          </w:tcPr>
          <w:p w14:paraId="174AFF74">
            <w:pPr>
              <w:pStyle w:val="17"/>
              <w:bidi w:val="0"/>
              <w:rPr>
                <w:color w:val="auto"/>
                <w:highlight w:val="none"/>
              </w:rPr>
            </w:pPr>
            <w:r>
              <w:rPr>
                <w:color w:val="auto"/>
                <w:highlight w:val="none"/>
              </w:rPr>
              <w:t>检测结果</w:t>
            </w:r>
          </w:p>
        </w:tc>
        <w:tc>
          <w:tcPr>
            <w:tcW w:w="715" w:type="pct"/>
            <w:vMerge w:val="restart"/>
            <w:tcBorders>
              <w:tl2br w:val="nil"/>
              <w:tr2bl w:val="nil"/>
            </w:tcBorders>
            <w:vAlign w:val="center"/>
          </w:tcPr>
          <w:p w14:paraId="5C8DB039">
            <w:pPr>
              <w:pStyle w:val="17"/>
              <w:bidi w:val="0"/>
              <w:rPr>
                <w:color w:val="auto"/>
                <w:highlight w:val="none"/>
              </w:rPr>
            </w:pPr>
            <w:r>
              <w:rPr>
                <w:rFonts w:hint="eastAsia"/>
                <w:color w:val="auto"/>
                <w:highlight w:val="none"/>
              </w:rPr>
              <w:t>标准值</w:t>
            </w:r>
          </w:p>
        </w:tc>
      </w:tr>
      <w:tr w14:paraId="0005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blHeader/>
          <w:jc w:val="center"/>
        </w:trPr>
        <w:tc>
          <w:tcPr>
            <w:tcW w:w="1205" w:type="pct"/>
            <w:vMerge w:val="continue"/>
            <w:tcBorders>
              <w:tl2br w:val="nil"/>
              <w:tr2bl w:val="nil"/>
            </w:tcBorders>
            <w:vAlign w:val="center"/>
          </w:tcPr>
          <w:p w14:paraId="7064E6E8">
            <w:pPr>
              <w:pStyle w:val="17"/>
              <w:bidi w:val="0"/>
              <w:rPr>
                <w:color w:val="auto"/>
                <w:highlight w:val="none"/>
              </w:rPr>
            </w:pPr>
          </w:p>
        </w:tc>
        <w:tc>
          <w:tcPr>
            <w:tcW w:w="848" w:type="pct"/>
            <w:vMerge w:val="continue"/>
            <w:tcBorders>
              <w:tl2br w:val="nil"/>
              <w:tr2bl w:val="nil"/>
            </w:tcBorders>
            <w:vAlign w:val="center"/>
          </w:tcPr>
          <w:p w14:paraId="03668602">
            <w:pPr>
              <w:pStyle w:val="17"/>
              <w:bidi w:val="0"/>
              <w:rPr>
                <w:color w:val="auto"/>
                <w:highlight w:val="none"/>
              </w:rPr>
            </w:pPr>
          </w:p>
        </w:tc>
        <w:tc>
          <w:tcPr>
            <w:tcW w:w="794" w:type="pct"/>
            <w:tcBorders>
              <w:tl2br w:val="nil"/>
              <w:tr2bl w:val="nil"/>
            </w:tcBorders>
            <w:vAlign w:val="center"/>
          </w:tcPr>
          <w:p w14:paraId="2691001D">
            <w:pPr>
              <w:pStyle w:val="17"/>
              <w:bidi w:val="0"/>
              <w:rPr>
                <w:rFonts w:hint="default" w:eastAsia="宋体"/>
                <w:color w:val="auto"/>
                <w:highlight w:val="none"/>
                <w:lang w:val="en-US" w:eastAsia="zh-CN"/>
              </w:rPr>
            </w:pPr>
            <w:r>
              <w:rPr>
                <w:rFonts w:hint="eastAsia"/>
                <w:color w:val="auto"/>
                <w:highlight w:val="none"/>
                <w:lang w:val="en-US" w:eastAsia="zh-CN"/>
              </w:rPr>
              <w:t>T1</w:t>
            </w:r>
          </w:p>
        </w:tc>
        <w:tc>
          <w:tcPr>
            <w:tcW w:w="715" w:type="pct"/>
            <w:tcBorders>
              <w:tl2br w:val="nil"/>
              <w:tr2bl w:val="nil"/>
            </w:tcBorders>
            <w:vAlign w:val="center"/>
          </w:tcPr>
          <w:p w14:paraId="79B358B5">
            <w:pPr>
              <w:pStyle w:val="17"/>
              <w:bidi w:val="0"/>
              <w:jc w:val="center"/>
              <w:rPr>
                <w:rFonts w:hint="default" w:eastAsia="宋体"/>
                <w:color w:val="auto"/>
                <w:highlight w:val="none"/>
                <w:lang w:val="en-US" w:eastAsia="zh-CN"/>
              </w:rPr>
            </w:pPr>
            <w:r>
              <w:rPr>
                <w:rFonts w:hint="eastAsia"/>
                <w:color w:val="auto"/>
                <w:highlight w:val="none"/>
                <w:lang w:val="en-US" w:eastAsia="zh-CN"/>
              </w:rPr>
              <w:t>T2</w:t>
            </w:r>
          </w:p>
        </w:tc>
        <w:tc>
          <w:tcPr>
            <w:tcW w:w="720" w:type="pct"/>
            <w:tcBorders>
              <w:tl2br w:val="nil"/>
              <w:tr2bl w:val="nil"/>
            </w:tcBorders>
            <w:vAlign w:val="center"/>
          </w:tcPr>
          <w:p w14:paraId="0AB8C933">
            <w:pPr>
              <w:pStyle w:val="17"/>
              <w:bidi w:val="0"/>
              <w:rPr>
                <w:rFonts w:hint="default" w:eastAsia="宋体"/>
                <w:color w:val="auto"/>
                <w:highlight w:val="none"/>
                <w:lang w:val="en-US" w:eastAsia="zh-CN"/>
              </w:rPr>
            </w:pPr>
            <w:r>
              <w:rPr>
                <w:rFonts w:hint="eastAsia"/>
                <w:color w:val="auto"/>
                <w:highlight w:val="none"/>
                <w:lang w:val="en-US" w:eastAsia="zh-CN"/>
              </w:rPr>
              <w:t>T3</w:t>
            </w:r>
          </w:p>
        </w:tc>
        <w:tc>
          <w:tcPr>
            <w:tcW w:w="715" w:type="pct"/>
            <w:vMerge w:val="continue"/>
            <w:tcBorders>
              <w:tl2br w:val="nil"/>
              <w:tr2bl w:val="nil"/>
            </w:tcBorders>
            <w:vAlign w:val="center"/>
          </w:tcPr>
          <w:p w14:paraId="7B0BEDB3">
            <w:pPr>
              <w:pStyle w:val="17"/>
              <w:bidi w:val="0"/>
              <w:rPr>
                <w:color w:val="auto"/>
                <w:highlight w:val="none"/>
              </w:rPr>
            </w:pPr>
          </w:p>
        </w:tc>
      </w:tr>
      <w:tr w14:paraId="7FA7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1F69DB85">
            <w:pPr>
              <w:pStyle w:val="17"/>
              <w:bidi w:val="0"/>
              <w:rPr>
                <w:color w:val="auto"/>
                <w:highlight w:val="none"/>
              </w:rPr>
            </w:pPr>
            <w:r>
              <w:rPr>
                <w:color w:val="auto"/>
                <w:highlight w:val="none"/>
              </w:rPr>
              <w:t>pH</w:t>
            </w:r>
          </w:p>
        </w:tc>
        <w:tc>
          <w:tcPr>
            <w:tcW w:w="848" w:type="pct"/>
            <w:tcBorders>
              <w:tl2br w:val="nil"/>
              <w:tr2bl w:val="nil"/>
            </w:tcBorders>
            <w:vAlign w:val="center"/>
          </w:tcPr>
          <w:p w14:paraId="46CBB0B1">
            <w:pPr>
              <w:pStyle w:val="17"/>
              <w:bidi w:val="0"/>
              <w:rPr>
                <w:color w:val="auto"/>
                <w:highlight w:val="none"/>
              </w:rPr>
            </w:pPr>
            <w:r>
              <w:rPr>
                <w:color w:val="auto"/>
                <w:highlight w:val="none"/>
              </w:rPr>
              <w:t>无量纲</w:t>
            </w:r>
          </w:p>
        </w:tc>
        <w:tc>
          <w:tcPr>
            <w:tcW w:w="794" w:type="pct"/>
            <w:tcBorders>
              <w:tl2br w:val="nil"/>
              <w:tr2bl w:val="nil"/>
            </w:tcBorders>
            <w:vAlign w:val="center"/>
          </w:tcPr>
          <w:p w14:paraId="4AD9D67A">
            <w:pPr>
              <w:pStyle w:val="17"/>
              <w:bidi w:val="0"/>
              <w:rPr>
                <w:rFonts w:hint="default"/>
                <w:color w:val="auto"/>
                <w:highlight w:val="none"/>
                <w:lang w:val="en-US" w:eastAsia="zh-CN"/>
              </w:rPr>
            </w:pPr>
            <w:r>
              <w:rPr>
                <w:rFonts w:hint="eastAsia"/>
                <w:color w:val="auto"/>
                <w:highlight w:val="none"/>
                <w:lang w:val="en-US" w:eastAsia="zh-CN"/>
              </w:rPr>
              <w:t>8.62</w:t>
            </w:r>
          </w:p>
        </w:tc>
        <w:tc>
          <w:tcPr>
            <w:tcW w:w="715" w:type="pct"/>
            <w:tcBorders>
              <w:tl2br w:val="nil"/>
              <w:tr2bl w:val="nil"/>
            </w:tcBorders>
            <w:vAlign w:val="center"/>
          </w:tcPr>
          <w:p w14:paraId="36594C20">
            <w:pPr>
              <w:pStyle w:val="17"/>
              <w:bidi w:val="0"/>
              <w:rPr>
                <w:rFonts w:hint="default"/>
                <w:color w:val="auto"/>
                <w:highlight w:val="none"/>
                <w:lang w:val="en-US" w:eastAsia="zh-CN"/>
              </w:rPr>
            </w:pPr>
            <w:r>
              <w:rPr>
                <w:rFonts w:hint="eastAsia"/>
                <w:color w:val="auto"/>
                <w:highlight w:val="none"/>
                <w:lang w:val="en-US" w:eastAsia="zh-CN"/>
              </w:rPr>
              <w:t>8.23</w:t>
            </w:r>
          </w:p>
        </w:tc>
        <w:tc>
          <w:tcPr>
            <w:tcW w:w="720" w:type="pct"/>
            <w:tcBorders>
              <w:tl2br w:val="nil"/>
              <w:tr2bl w:val="nil"/>
            </w:tcBorders>
            <w:vAlign w:val="center"/>
          </w:tcPr>
          <w:p w14:paraId="67334506">
            <w:pPr>
              <w:pStyle w:val="17"/>
              <w:bidi w:val="0"/>
              <w:rPr>
                <w:rFonts w:hint="default"/>
                <w:color w:val="auto"/>
                <w:highlight w:val="none"/>
                <w:lang w:val="en-US" w:eastAsia="zh-CN"/>
              </w:rPr>
            </w:pPr>
            <w:r>
              <w:rPr>
                <w:rFonts w:hint="eastAsia"/>
                <w:color w:val="auto"/>
                <w:highlight w:val="none"/>
                <w:lang w:val="en-US" w:eastAsia="zh-CN"/>
              </w:rPr>
              <w:t>8.44</w:t>
            </w:r>
          </w:p>
        </w:tc>
        <w:tc>
          <w:tcPr>
            <w:tcW w:w="715" w:type="pct"/>
            <w:tcBorders>
              <w:tl2br w:val="nil"/>
              <w:tr2bl w:val="nil"/>
            </w:tcBorders>
            <w:vAlign w:val="center"/>
          </w:tcPr>
          <w:p w14:paraId="645F3A19">
            <w:pPr>
              <w:pStyle w:val="17"/>
              <w:bidi w:val="0"/>
              <w:rPr>
                <w:color w:val="auto"/>
                <w:highlight w:val="none"/>
              </w:rPr>
            </w:pPr>
            <w:r>
              <w:rPr>
                <w:rFonts w:hint="eastAsia"/>
                <w:color w:val="auto"/>
                <w:highlight w:val="none"/>
              </w:rPr>
              <w:t>/</w:t>
            </w:r>
          </w:p>
        </w:tc>
      </w:tr>
      <w:tr w14:paraId="79C9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60EB948A">
            <w:pPr>
              <w:pStyle w:val="17"/>
              <w:bidi w:val="0"/>
              <w:rPr>
                <w:color w:val="auto"/>
                <w:highlight w:val="none"/>
              </w:rPr>
            </w:pPr>
            <w:r>
              <w:rPr>
                <w:color w:val="auto"/>
                <w:highlight w:val="none"/>
              </w:rPr>
              <w:t>砷</w:t>
            </w:r>
          </w:p>
        </w:tc>
        <w:tc>
          <w:tcPr>
            <w:tcW w:w="848" w:type="pct"/>
            <w:tcBorders>
              <w:tl2br w:val="nil"/>
              <w:tr2bl w:val="nil"/>
            </w:tcBorders>
            <w:vAlign w:val="center"/>
          </w:tcPr>
          <w:p w14:paraId="02FC0C26">
            <w:pPr>
              <w:pStyle w:val="17"/>
              <w:bidi w:val="0"/>
              <w:rPr>
                <w:color w:val="auto"/>
                <w:highlight w:val="none"/>
              </w:rPr>
            </w:pPr>
            <w:r>
              <w:rPr>
                <w:color w:val="auto"/>
                <w:highlight w:val="none"/>
              </w:rPr>
              <w:t>mg/kg</w:t>
            </w:r>
          </w:p>
        </w:tc>
        <w:tc>
          <w:tcPr>
            <w:tcW w:w="794" w:type="pct"/>
            <w:tcBorders>
              <w:tl2br w:val="nil"/>
              <w:tr2bl w:val="nil"/>
            </w:tcBorders>
            <w:vAlign w:val="center"/>
          </w:tcPr>
          <w:p w14:paraId="52EE30FF">
            <w:pPr>
              <w:pStyle w:val="17"/>
              <w:bidi w:val="0"/>
              <w:rPr>
                <w:rFonts w:hint="default"/>
                <w:color w:val="auto"/>
                <w:highlight w:val="none"/>
                <w:lang w:val="en-US" w:eastAsia="zh-CN"/>
              </w:rPr>
            </w:pPr>
            <w:r>
              <w:rPr>
                <w:rFonts w:hint="eastAsia"/>
                <w:color w:val="auto"/>
                <w:highlight w:val="none"/>
                <w:lang w:val="en-US" w:eastAsia="zh-CN"/>
              </w:rPr>
              <w:t>10.3</w:t>
            </w:r>
          </w:p>
        </w:tc>
        <w:tc>
          <w:tcPr>
            <w:tcW w:w="715" w:type="pct"/>
            <w:tcBorders>
              <w:tl2br w:val="nil"/>
              <w:tr2bl w:val="nil"/>
            </w:tcBorders>
            <w:vAlign w:val="center"/>
          </w:tcPr>
          <w:p w14:paraId="68A3C379">
            <w:pPr>
              <w:pStyle w:val="17"/>
              <w:bidi w:val="0"/>
              <w:rPr>
                <w:rFonts w:hint="default"/>
                <w:color w:val="auto"/>
                <w:highlight w:val="none"/>
                <w:lang w:val="en-US" w:eastAsia="zh-CN"/>
              </w:rPr>
            </w:pPr>
            <w:r>
              <w:rPr>
                <w:rFonts w:hint="eastAsia"/>
                <w:color w:val="auto"/>
                <w:highlight w:val="none"/>
                <w:lang w:val="en-US" w:eastAsia="zh-CN"/>
              </w:rPr>
              <w:t>10.5</w:t>
            </w:r>
          </w:p>
        </w:tc>
        <w:tc>
          <w:tcPr>
            <w:tcW w:w="720" w:type="pct"/>
            <w:tcBorders>
              <w:tl2br w:val="nil"/>
              <w:tr2bl w:val="nil"/>
            </w:tcBorders>
            <w:vAlign w:val="center"/>
          </w:tcPr>
          <w:p w14:paraId="1C2B130B">
            <w:pPr>
              <w:pStyle w:val="17"/>
              <w:bidi w:val="0"/>
              <w:rPr>
                <w:rFonts w:hint="default"/>
                <w:color w:val="auto"/>
                <w:highlight w:val="none"/>
                <w:lang w:val="en-US" w:eastAsia="zh-CN"/>
              </w:rPr>
            </w:pPr>
            <w:r>
              <w:rPr>
                <w:rFonts w:hint="eastAsia"/>
                <w:color w:val="auto"/>
                <w:highlight w:val="none"/>
                <w:lang w:val="en-US" w:eastAsia="zh-CN"/>
              </w:rPr>
              <w:t>10.1</w:t>
            </w:r>
          </w:p>
        </w:tc>
        <w:tc>
          <w:tcPr>
            <w:tcW w:w="715" w:type="pct"/>
            <w:tcBorders>
              <w:tl2br w:val="nil"/>
              <w:tr2bl w:val="nil"/>
            </w:tcBorders>
            <w:vAlign w:val="center"/>
          </w:tcPr>
          <w:p w14:paraId="2563FB75">
            <w:pPr>
              <w:pStyle w:val="17"/>
              <w:bidi w:val="0"/>
              <w:rPr>
                <w:color w:val="auto"/>
                <w:highlight w:val="none"/>
              </w:rPr>
            </w:pPr>
            <w:r>
              <w:rPr>
                <w:color w:val="auto"/>
                <w:highlight w:val="none"/>
              </w:rPr>
              <w:t>60</w:t>
            </w:r>
          </w:p>
        </w:tc>
      </w:tr>
      <w:tr w14:paraId="2179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3BA48DD">
            <w:pPr>
              <w:pStyle w:val="17"/>
              <w:bidi w:val="0"/>
              <w:rPr>
                <w:color w:val="auto"/>
                <w:highlight w:val="none"/>
              </w:rPr>
            </w:pPr>
            <w:r>
              <w:rPr>
                <w:color w:val="auto"/>
                <w:highlight w:val="none"/>
              </w:rPr>
              <w:t>镉</w:t>
            </w:r>
          </w:p>
        </w:tc>
        <w:tc>
          <w:tcPr>
            <w:tcW w:w="848" w:type="pct"/>
            <w:tcBorders>
              <w:tl2br w:val="nil"/>
              <w:tr2bl w:val="nil"/>
            </w:tcBorders>
            <w:vAlign w:val="center"/>
          </w:tcPr>
          <w:p w14:paraId="6F30C6FA">
            <w:pPr>
              <w:pStyle w:val="17"/>
              <w:bidi w:val="0"/>
              <w:rPr>
                <w:color w:val="auto"/>
                <w:highlight w:val="none"/>
              </w:rPr>
            </w:pPr>
            <w:r>
              <w:rPr>
                <w:color w:val="auto"/>
                <w:highlight w:val="none"/>
              </w:rPr>
              <w:t>mg/kg</w:t>
            </w:r>
          </w:p>
        </w:tc>
        <w:tc>
          <w:tcPr>
            <w:tcW w:w="794" w:type="pct"/>
            <w:tcBorders>
              <w:tl2br w:val="nil"/>
              <w:tr2bl w:val="nil"/>
            </w:tcBorders>
            <w:vAlign w:val="center"/>
          </w:tcPr>
          <w:p w14:paraId="18FA34B0">
            <w:pPr>
              <w:pStyle w:val="17"/>
              <w:bidi w:val="0"/>
              <w:rPr>
                <w:rFonts w:hint="default"/>
                <w:color w:val="auto"/>
                <w:highlight w:val="none"/>
                <w:lang w:val="en-US" w:eastAsia="zh-CN"/>
              </w:rPr>
            </w:pPr>
            <w:r>
              <w:rPr>
                <w:rFonts w:hint="eastAsia"/>
                <w:color w:val="auto"/>
                <w:highlight w:val="none"/>
                <w:lang w:val="en-US" w:eastAsia="zh-CN"/>
              </w:rPr>
              <w:t>0.24</w:t>
            </w:r>
          </w:p>
        </w:tc>
        <w:tc>
          <w:tcPr>
            <w:tcW w:w="715" w:type="pct"/>
            <w:tcBorders>
              <w:tl2br w:val="nil"/>
              <w:tr2bl w:val="nil"/>
            </w:tcBorders>
            <w:vAlign w:val="center"/>
          </w:tcPr>
          <w:p w14:paraId="1073B8C5">
            <w:pPr>
              <w:pStyle w:val="17"/>
              <w:bidi w:val="0"/>
              <w:rPr>
                <w:rFonts w:hint="default"/>
                <w:color w:val="auto"/>
                <w:highlight w:val="none"/>
                <w:lang w:val="en-US" w:eastAsia="zh-CN"/>
              </w:rPr>
            </w:pPr>
            <w:r>
              <w:rPr>
                <w:rFonts w:hint="eastAsia"/>
                <w:color w:val="auto"/>
                <w:highlight w:val="none"/>
                <w:lang w:val="en-US" w:eastAsia="zh-CN"/>
              </w:rPr>
              <w:t>0.19</w:t>
            </w:r>
          </w:p>
        </w:tc>
        <w:tc>
          <w:tcPr>
            <w:tcW w:w="720" w:type="pct"/>
            <w:tcBorders>
              <w:tl2br w:val="nil"/>
              <w:tr2bl w:val="nil"/>
            </w:tcBorders>
            <w:vAlign w:val="center"/>
          </w:tcPr>
          <w:p w14:paraId="1135A5D4">
            <w:pPr>
              <w:pStyle w:val="17"/>
              <w:bidi w:val="0"/>
              <w:rPr>
                <w:rFonts w:hint="default"/>
                <w:color w:val="auto"/>
                <w:highlight w:val="none"/>
                <w:lang w:val="en-US" w:eastAsia="zh-CN"/>
              </w:rPr>
            </w:pPr>
            <w:r>
              <w:rPr>
                <w:rFonts w:hint="eastAsia"/>
                <w:color w:val="auto"/>
                <w:highlight w:val="none"/>
                <w:lang w:val="en-US" w:eastAsia="zh-CN"/>
              </w:rPr>
              <w:t>0.23</w:t>
            </w:r>
          </w:p>
        </w:tc>
        <w:tc>
          <w:tcPr>
            <w:tcW w:w="715" w:type="pct"/>
            <w:tcBorders>
              <w:tl2br w:val="nil"/>
              <w:tr2bl w:val="nil"/>
            </w:tcBorders>
            <w:vAlign w:val="center"/>
          </w:tcPr>
          <w:p w14:paraId="1110536A">
            <w:pPr>
              <w:pStyle w:val="17"/>
              <w:bidi w:val="0"/>
              <w:rPr>
                <w:color w:val="auto"/>
                <w:highlight w:val="none"/>
              </w:rPr>
            </w:pPr>
            <w:r>
              <w:rPr>
                <w:color w:val="auto"/>
                <w:highlight w:val="none"/>
              </w:rPr>
              <w:t>65</w:t>
            </w:r>
          </w:p>
        </w:tc>
      </w:tr>
      <w:tr w14:paraId="6365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048F4C6">
            <w:pPr>
              <w:pStyle w:val="17"/>
              <w:bidi w:val="0"/>
              <w:rPr>
                <w:color w:val="auto"/>
                <w:highlight w:val="none"/>
              </w:rPr>
            </w:pPr>
            <w:r>
              <w:rPr>
                <w:color w:val="auto"/>
                <w:highlight w:val="none"/>
              </w:rPr>
              <w:t>六价铬</w:t>
            </w:r>
          </w:p>
        </w:tc>
        <w:tc>
          <w:tcPr>
            <w:tcW w:w="848" w:type="pct"/>
            <w:tcBorders>
              <w:tl2br w:val="nil"/>
              <w:tr2bl w:val="nil"/>
            </w:tcBorders>
            <w:vAlign w:val="center"/>
          </w:tcPr>
          <w:p w14:paraId="13244E17">
            <w:pPr>
              <w:pStyle w:val="17"/>
              <w:bidi w:val="0"/>
              <w:rPr>
                <w:color w:val="auto"/>
                <w:highlight w:val="none"/>
              </w:rPr>
            </w:pPr>
            <w:r>
              <w:rPr>
                <w:color w:val="auto"/>
                <w:highlight w:val="none"/>
              </w:rPr>
              <w:t>mg/kg</w:t>
            </w:r>
          </w:p>
        </w:tc>
        <w:tc>
          <w:tcPr>
            <w:tcW w:w="794" w:type="pct"/>
            <w:tcBorders>
              <w:tl2br w:val="nil"/>
              <w:tr2bl w:val="nil"/>
            </w:tcBorders>
            <w:vAlign w:val="center"/>
          </w:tcPr>
          <w:p w14:paraId="3890CCAB">
            <w:pPr>
              <w:pStyle w:val="17"/>
              <w:bidi w:val="0"/>
              <w:rPr>
                <w:rFonts w:hint="default"/>
                <w:color w:val="auto"/>
                <w:highlight w:val="none"/>
                <w:lang w:val="en-US" w:eastAsia="zh-CN"/>
              </w:rPr>
            </w:pPr>
            <w:r>
              <w:rPr>
                <w:rFonts w:hint="eastAsia"/>
                <w:color w:val="auto"/>
                <w:highlight w:val="none"/>
                <w:lang w:val="en-US" w:eastAsia="zh-CN"/>
              </w:rPr>
              <w:t>0.5L</w:t>
            </w:r>
          </w:p>
        </w:tc>
        <w:tc>
          <w:tcPr>
            <w:tcW w:w="715" w:type="pct"/>
            <w:tcBorders>
              <w:tl2br w:val="nil"/>
              <w:tr2bl w:val="nil"/>
            </w:tcBorders>
            <w:vAlign w:val="center"/>
          </w:tcPr>
          <w:p w14:paraId="5B2F9318">
            <w:pPr>
              <w:pStyle w:val="17"/>
              <w:bidi w:val="0"/>
              <w:rPr>
                <w:rFonts w:hint="default"/>
                <w:color w:val="auto"/>
                <w:highlight w:val="none"/>
                <w:lang w:val="en-US" w:eastAsia="zh-CN"/>
              </w:rPr>
            </w:pPr>
            <w:r>
              <w:rPr>
                <w:rFonts w:hint="eastAsia"/>
                <w:color w:val="auto"/>
                <w:highlight w:val="none"/>
                <w:lang w:val="en-US" w:eastAsia="zh-CN"/>
              </w:rPr>
              <w:t>0.5L</w:t>
            </w:r>
          </w:p>
        </w:tc>
        <w:tc>
          <w:tcPr>
            <w:tcW w:w="720" w:type="pct"/>
            <w:tcBorders>
              <w:tl2br w:val="nil"/>
              <w:tr2bl w:val="nil"/>
            </w:tcBorders>
            <w:vAlign w:val="center"/>
          </w:tcPr>
          <w:p w14:paraId="6061DB16">
            <w:pPr>
              <w:pStyle w:val="17"/>
              <w:bidi w:val="0"/>
              <w:rPr>
                <w:rFonts w:hint="default"/>
                <w:color w:val="auto"/>
                <w:highlight w:val="none"/>
                <w:lang w:val="en-US" w:eastAsia="zh-CN"/>
              </w:rPr>
            </w:pPr>
            <w:r>
              <w:rPr>
                <w:rFonts w:hint="eastAsia"/>
                <w:color w:val="auto"/>
                <w:highlight w:val="none"/>
                <w:lang w:val="en-US" w:eastAsia="zh-CN"/>
              </w:rPr>
              <w:t>0.5L</w:t>
            </w:r>
          </w:p>
        </w:tc>
        <w:tc>
          <w:tcPr>
            <w:tcW w:w="715" w:type="pct"/>
            <w:tcBorders>
              <w:tl2br w:val="nil"/>
              <w:tr2bl w:val="nil"/>
            </w:tcBorders>
            <w:vAlign w:val="center"/>
          </w:tcPr>
          <w:p w14:paraId="53B5F23E">
            <w:pPr>
              <w:pStyle w:val="17"/>
              <w:bidi w:val="0"/>
              <w:rPr>
                <w:color w:val="auto"/>
                <w:highlight w:val="none"/>
              </w:rPr>
            </w:pPr>
            <w:r>
              <w:rPr>
                <w:color w:val="auto"/>
                <w:highlight w:val="none"/>
              </w:rPr>
              <w:t>5.7</w:t>
            </w:r>
          </w:p>
        </w:tc>
      </w:tr>
      <w:tr w14:paraId="673A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7D433DD">
            <w:pPr>
              <w:pStyle w:val="17"/>
              <w:bidi w:val="0"/>
              <w:rPr>
                <w:color w:val="auto"/>
                <w:highlight w:val="none"/>
              </w:rPr>
            </w:pPr>
            <w:r>
              <w:rPr>
                <w:color w:val="auto"/>
                <w:highlight w:val="none"/>
              </w:rPr>
              <w:t>铜</w:t>
            </w:r>
          </w:p>
        </w:tc>
        <w:tc>
          <w:tcPr>
            <w:tcW w:w="848" w:type="pct"/>
            <w:tcBorders>
              <w:tl2br w:val="nil"/>
              <w:tr2bl w:val="nil"/>
            </w:tcBorders>
            <w:vAlign w:val="center"/>
          </w:tcPr>
          <w:p w14:paraId="20294C82">
            <w:pPr>
              <w:pStyle w:val="17"/>
              <w:bidi w:val="0"/>
              <w:rPr>
                <w:color w:val="auto"/>
                <w:highlight w:val="none"/>
              </w:rPr>
            </w:pPr>
            <w:r>
              <w:rPr>
                <w:color w:val="auto"/>
                <w:highlight w:val="none"/>
              </w:rPr>
              <w:t>mg/kg</w:t>
            </w:r>
          </w:p>
        </w:tc>
        <w:tc>
          <w:tcPr>
            <w:tcW w:w="794" w:type="pct"/>
            <w:tcBorders>
              <w:tl2br w:val="nil"/>
              <w:tr2bl w:val="nil"/>
            </w:tcBorders>
            <w:vAlign w:val="center"/>
          </w:tcPr>
          <w:p w14:paraId="6E75D5CE">
            <w:pPr>
              <w:pStyle w:val="17"/>
              <w:bidi w:val="0"/>
              <w:rPr>
                <w:rFonts w:hint="default"/>
                <w:color w:val="auto"/>
                <w:highlight w:val="none"/>
                <w:lang w:val="en-US" w:eastAsia="zh-CN"/>
              </w:rPr>
            </w:pPr>
            <w:r>
              <w:rPr>
                <w:rFonts w:hint="eastAsia"/>
                <w:color w:val="auto"/>
                <w:highlight w:val="none"/>
                <w:lang w:val="en-US" w:eastAsia="zh-CN"/>
              </w:rPr>
              <w:t>15</w:t>
            </w:r>
          </w:p>
        </w:tc>
        <w:tc>
          <w:tcPr>
            <w:tcW w:w="715" w:type="pct"/>
            <w:tcBorders>
              <w:tl2br w:val="nil"/>
              <w:tr2bl w:val="nil"/>
            </w:tcBorders>
            <w:vAlign w:val="center"/>
          </w:tcPr>
          <w:p w14:paraId="57819389">
            <w:pPr>
              <w:pStyle w:val="17"/>
              <w:bidi w:val="0"/>
              <w:rPr>
                <w:rFonts w:hint="default"/>
                <w:color w:val="auto"/>
                <w:highlight w:val="none"/>
                <w:lang w:val="en-US" w:eastAsia="zh-CN"/>
              </w:rPr>
            </w:pPr>
            <w:r>
              <w:rPr>
                <w:rFonts w:hint="eastAsia"/>
                <w:color w:val="auto"/>
                <w:highlight w:val="none"/>
                <w:lang w:val="en-US" w:eastAsia="zh-CN"/>
              </w:rPr>
              <w:t>15</w:t>
            </w:r>
          </w:p>
        </w:tc>
        <w:tc>
          <w:tcPr>
            <w:tcW w:w="720" w:type="pct"/>
            <w:tcBorders>
              <w:tl2br w:val="nil"/>
              <w:tr2bl w:val="nil"/>
            </w:tcBorders>
            <w:vAlign w:val="center"/>
          </w:tcPr>
          <w:p w14:paraId="66365D46">
            <w:pPr>
              <w:pStyle w:val="17"/>
              <w:bidi w:val="0"/>
              <w:rPr>
                <w:rFonts w:hint="default"/>
                <w:color w:val="auto"/>
                <w:highlight w:val="none"/>
                <w:lang w:val="en-US" w:eastAsia="zh-CN"/>
              </w:rPr>
            </w:pPr>
            <w:r>
              <w:rPr>
                <w:rFonts w:hint="eastAsia"/>
                <w:color w:val="auto"/>
                <w:highlight w:val="none"/>
                <w:lang w:val="en-US" w:eastAsia="zh-CN"/>
              </w:rPr>
              <w:t>20</w:t>
            </w:r>
          </w:p>
        </w:tc>
        <w:tc>
          <w:tcPr>
            <w:tcW w:w="715" w:type="pct"/>
            <w:tcBorders>
              <w:tl2br w:val="nil"/>
              <w:tr2bl w:val="nil"/>
            </w:tcBorders>
            <w:vAlign w:val="center"/>
          </w:tcPr>
          <w:p w14:paraId="2B11F508">
            <w:pPr>
              <w:pStyle w:val="17"/>
              <w:bidi w:val="0"/>
              <w:rPr>
                <w:color w:val="auto"/>
                <w:highlight w:val="none"/>
              </w:rPr>
            </w:pPr>
            <w:r>
              <w:rPr>
                <w:color w:val="auto"/>
                <w:highlight w:val="none"/>
              </w:rPr>
              <w:t>18000</w:t>
            </w:r>
          </w:p>
        </w:tc>
      </w:tr>
      <w:tr w14:paraId="45CB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4C3CF486">
            <w:pPr>
              <w:pStyle w:val="17"/>
              <w:bidi w:val="0"/>
              <w:rPr>
                <w:color w:val="auto"/>
                <w:highlight w:val="none"/>
              </w:rPr>
            </w:pPr>
            <w:r>
              <w:rPr>
                <w:color w:val="auto"/>
                <w:highlight w:val="none"/>
              </w:rPr>
              <w:t>铅</w:t>
            </w:r>
          </w:p>
        </w:tc>
        <w:tc>
          <w:tcPr>
            <w:tcW w:w="848" w:type="pct"/>
            <w:tcBorders>
              <w:tl2br w:val="nil"/>
              <w:tr2bl w:val="nil"/>
            </w:tcBorders>
            <w:vAlign w:val="center"/>
          </w:tcPr>
          <w:p w14:paraId="3BFA91F9">
            <w:pPr>
              <w:pStyle w:val="17"/>
              <w:bidi w:val="0"/>
              <w:rPr>
                <w:color w:val="auto"/>
                <w:highlight w:val="none"/>
              </w:rPr>
            </w:pPr>
            <w:r>
              <w:rPr>
                <w:color w:val="auto"/>
                <w:highlight w:val="none"/>
              </w:rPr>
              <w:t>mg/kg</w:t>
            </w:r>
          </w:p>
        </w:tc>
        <w:tc>
          <w:tcPr>
            <w:tcW w:w="794" w:type="pct"/>
            <w:tcBorders>
              <w:tl2br w:val="nil"/>
              <w:tr2bl w:val="nil"/>
            </w:tcBorders>
            <w:vAlign w:val="center"/>
          </w:tcPr>
          <w:p w14:paraId="5461A854">
            <w:pPr>
              <w:pStyle w:val="17"/>
              <w:bidi w:val="0"/>
              <w:rPr>
                <w:rFonts w:hint="default"/>
                <w:color w:val="auto"/>
                <w:highlight w:val="none"/>
                <w:lang w:val="en-US" w:eastAsia="zh-CN"/>
              </w:rPr>
            </w:pPr>
            <w:r>
              <w:rPr>
                <w:rFonts w:hint="eastAsia"/>
                <w:color w:val="auto"/>
                <w:highlight w:val="none"/>
                <w:lang w:val="en-US" w:eastAsia="zh-CN"/>
              </w:rPr>
              <w:t>23</w:t>
            </w:r>
          </w:p>
        </w:tc>
        <w:tc>
          <w:tcPr>
            <w:tcW w:w="715" w:type="pct"/>
            <w:tcBorders>
              <w:tl2br w:val="nil"/>
              <w:tr2bl w:val="nil"/>
            </w:tcBorders>
            <w:vAlign w:val="center"/>
          </w:tcPr>
          <w:p w14:paraId="561E2C99">
            <w:pPr>
              <w:pStyle w:val="17"/>
              <w:bidi w:val="0"/>
              <w:rPr>
                <w:rFonts w:hint="default"/>
                <w:color w:val="auto"/>
                <w:highlight w:val="none"/>
                <w:lang w:val="en-US" w:eastAsia="zh-CN"/>
              </w:rPr>
            </w:pPr>
            <w:r>
              <w:rPr>
                <w:rFonts w:hint="eastAsia"/>
                <w:color w:val="auto"/>
                <w:highlight w:val="none"/>
                <w:lang w:val="en-US" w:eastAsia="zh-CN"/>
              </w:rPr>
              <w:t>19</w:t>
            </w:r>
          </w:p>
        </w:tc>
        <w:tc>
          <w:tcPr>
            <w:tcW w:w="720" w:type="pct"/>
            <w:tcBorders>
              <w:tl2br w:val="nil"/>
              <w:tr2bl w:val="nil"/>
            </w:tcBorders>
            <w:vAlign w:val="center"/>
          </w:tcPr>
          <w:p w14:paraId="4FE8682A">
            <w:pPr>
              <w:pStyle w:val="17"/>
              <w:bidi w:val="0"/>
              <w:rPr>
                <w:rFonts w:hint="default"/>
                <w:color w:val="auto"/>
                <w:highlight w:val="none"/>
                <w:lang w:val="en-US" w:eastAsia="zh-CN"/>
              </w:rPr>
            </w:pPr>
            <w:r>
              <w:rPr>
                <w:rFonts w:hint="eastAsia"/>
                <w:color w:val="auto"/>
                <w:highlight w:val="none"/>
                <w:lang w:val="en-US" w:eastAsia="zh-CN"/>
              </w:rPr>
              <w:t>24</w:t>
            </w:r>
          </w:p>
        </w:tc>
        <w:tc>
          <w:tcPr>
            <w:tcW w:w="715" w:type="pct"/>
            <w:tcBorders>
              <w:tl2br w:val="nil"/>
              <w:tr2bl w:val="nil"/>
            </w:tcBorders>
            <w:vAlign w:val="center"/>
          </w:tcPr>
          <w:p w14:paraId="627A4241">
            <w:pPr>
              <w:pStyle w:val="17"/>
              <w:bidi w:val="0"/>
              <w:rPr>
                <w:color w:val="auto"/>
                <w:highlight w:val="none"/>
              </w:rPr>
            </w:pPr>
            <w:r>
              <w:rPr>
                <w:color w:val="auto"/>
                <w:highlight w:val="none"/>
              </w:rPr>
              <w:t>800</w:t>
            </w:r>
          </w:p>
        </w:tc>
      </w:tr>
      <w:tr w14:paraId="2EAC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C49806B">
            <w:pPr>
              <w:pStyle w:val="17"/>
              <w:bidi w:val="0"/>
              <w:rPr>
                <w:color w:val="auto"/>
                <w:highlight w:val="none"/>
              </w:rPr>
            </w:pPr>
            <w:r>
              <w:rPr>
                <w:color w:val="auto"/>
                <w:highlight w:val="none"/>
              </w:rPr>
              <w:t>汞</w:t>
            </w:r>
          </w:p>
        </w:tc>
        <w:tc>
          <w:tcPr>
            <w:tcW w:w="848" w:type="pct"/>
            <w:tcBorders>
              <w:tl2br w:val="nil"/>
              <w:tr2bl w:val="nil"/>
            </w:tcBorders>
            <w:vAlign w:val="center"/>
          </w:tcPr>
          <w:p w14:paraId="66694132">
            <w:pPr>
              <w:pStyle w:val="17"/>
              <w:bidi w:val="0"/>
              <w:rPr>
                <w:color w:val="auto"/>
                <w:highlight w:val="none"/>
              </w:rPr>
            </w:pPr>
            <w:r>
              <w:rPr>
                <w:color w:val="auto"/>
                <w:highlight w:val="none"/>
              </w:rPr>
              <w:t>mg/kg</w:t>
            </w:r>
          </w:p>
        </w:tc>
        <w:tc>
          <w:tcPr>
            <w:tcW w:w="794" w:type="pct"/>
            <w:tcBorders>
              <w:tl2br w:val="nil"/>
              <w:tr2bl w:val="nil"/>
            </w:tcBorders>
            <w:vAlign w:val="center"/>
          </w:tcPr>
          <w:p w14:paraId="3C3D1DF0">
            <w:pPr>
              <w:pStyle w:val="17"/>
              <w:bidi w:val="0"/>
              <w:rPr>
                <w:rFonts w:hint="default"/>
                <w:color w:val="auto"/>
                <w:highlight w:val="none"/>
                <w:lang w:val="en-US" w:eastAsia="zh-CN"/>
              </w:rPr>
            </w:pPr>
            <w:r>
              <w:rPr>
                <w:rFonts w:hint="eastAsia"/>
                <w:color w:val="auto"/>
                <w:highlight w:val="none"/>
                <w:lang w:val="en-US" w:eastAsia="zh-CN"/>
              </w:rPr>
              <w:t>0.022</w:t>
            </w:r>
          </w:p>
        </w:tc>
        <w:tc>
          <w:tcPr>
            <w:tcW w:w="715" w:type="pct"/>
            <w:tcBorders>
              <w:tl2br w:val="nil"/>
              <w:tr2bl w:val="nil"/>
            </w:tcBorders>
            <w:vAlign w:val="center"/>
          </w:tcPr>
          <w:p w14:paraId="21B0A50E">
            <w:pPr>
              <w:pStyle w:val="17"/>
              <w:bidi w:val="0"/>
              <w:rPr>
                <w:rFonts w:hint="default"/>
                <w:color w:val="auto"/>
                <w:highlight w:val="none"/>
                <w:lang w:val="en-US" w:eastAsia="zh-CN"/>
              </w:rPr>
            </w:pPr>
            <w:r>
              <w:rPr>
                <w:rFonts w:hint="eastAsia"/>
                <w:color w:val="auto"/>
                <w:highlight w:val="none"/>
                <w:lang w:val="en-US" w:eastAsia="zh-CN"/>
              </w:rPr>
              <w:t>0.027</w:t>
            </w:r>
          </w:p>
        </w:tc>
        <w:tc>
          <w:tcPr>
            <w:tcW w:w="720" w:type="pct"/>
            <w:tcBorders>
              <w:tl2br w:val="nil"/>
              <w:tr2bl w:val="nil"/>
            </w:tcBorders>
            <w:vAlign w:val="center"/>
          </w:tcPr>
          <w:p w14:paraId="62BED605">
            <w:pPr>
              <w:pStyle w:val="17"/>
              <w:bidi w:val="0"/>
              <w:rPr>
                <w:rFonts w:hint="default"/>
                <w:color w:val="auto"/>
                <w:highlight w:val="none"/>
                <w:lang w:val="en-US" w:eastAsia="zh-CN"/>
              </w:rPr>
            </w:pPr>
            <w:r>
              <w:rPr>
                <w:rFonts w:hint="eastAsia"/>
                <w:color w:val="auto"/>
                <w:highlight w:val="none"/>
                <w:lang w:val="en-US" w:eastAsia="zh-CN"/>
              </w:rPr>
              <w:t>0.028</w:t>
            </w:r>
          </w:p>
        </w:tc>
        <w:tc>
          <w:tcPr>
            <w:tcW w:w="715" w:type="pct"/>
            <w:tcBorders>
              <w:tl2br w:val="nil"/>
              <w:tr2bl w:val="nil"/>
            </w:tcBorders>
            <w:vAlign w:val="center"/>
          </w:tcPr>
          <w:p w14:paraId="68EA4239">
            <w:pPr>
              <w:pStyle w:val="17"/>
              <w:bidi w:val="0"/>
              <w:rPr>
                <w:color w:val="auto"/>
                <w:highlight w:val="none"/>
              </w:rPr>
            </w:pPr>
            <w:r>
              <w:rPr>
                <w:color w:val="auto"/>
                <w:highlight w:val="none"/>
              </w:rPr>
              <w:t>38</w:t>
            </w:r>
          </w:p>
        </w:tc>
      </w:tr>
      <w:tr w14:paraId="10E2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6F71FE7E">
            <w:pPr>
              <w:pStyle w:val="17"/>
              <w:bidi w:val="0"/>
              <w:rPr>
                <w:color w:val="auto"/>
                <w:highlight w:val="none"/>
              </w:rPr>
            </w:pPr>
            <w:r>
              <w:rPr>
                <w:color w:val="auto"/>
                <w:highlight w:val="none"/>
              </w:rPr>
              <w:t>镍</w:t>
            </w:r>
          </w:p>
        </w:tc>
        <w:tc>
          <w:tcPr>
            <w:tcW w:w="848" w:type="pct"/>
            <w:tcBorders>
              <w:tl2br w:val="nil"/>
              <w:tr2bl w:val="nil"/>
            </w:tcBorders>
            <w:vAlign w:val="center"/>
          </w:tcPr>
          <w:p w14:paraId="20FD62F0">
            <w:pPr>
              <w:pStyle w:val="17"/>
              <w:bidi w:val="0"/>
              <w:rPr>
                <w:color w:val="auto"/>
                <w:highlight w:val="none"/>
              </w:rPr>
            </w:pPr>
            <w:r>
              <w:rPr>
                <w:color w:val="auto"/>
                <w:highlight w:val="none"/>
              </w:rPr>
              <w:t>mg/kg</w:t>
            </w:r>
          </w:p>
        </w:tc>
        <w:tc>
          <w:tcPr>
            <w:tcW w:w="794" w:type="pct"/>
            <w:tcBorders>
              <w:tl2br w:val="nil"/>
              <w:tr2bl w:val="nil"/>
            </w:tcBorders>
            <w:vAlign w:val="center"/>
          </w:tcPr>
          <w:p w14:paraId="15E9BB1C">
            <w:pPr>
              <w:pStyle w:val="17"/>
              <w:bidi w:val="0"/>
              <w:rPr>
                <w:rFonts w:hint="default"/>
                <w:color w:val="auto"/>
                <w:highlight w:val="none"/>
                <w:lang w:val="en-US" w:eastAsia="zh-CN"/>
              </w:rPr>
            </w:pPr>
            <w:r>
              <w:rPr>
                <w:rFonts w:hint="eastAsia"/>
                <w:color w:val="auto"/>
                <w:highlight w:val="none"/>
                <w:lang w:val="en-US" w:eastAsia="zh-CN"/>
              </w:rPr>
              <w:t>29</w:t>
            </w:r>
          </w:p>
        </w:tc>
        <w:tc>
          <w:tcPr>
            <w:tcW w:w="715" w:type="pct"/>
            <w:tcBorders>
              <w:tl2br w:val="nil"/>
              <w:tr2bl w:val="nil"/>
            </w:tcBorders>
            <w:vAlign w:val="center"/>
          </w:tcPr>
          <w:p w14:paraId="7D0B26E5">
            <w:pPr>
              <w:pStyle w:val="17"/>
              <w:bidi w:val="0"/>
              <w:rPr>
                <w:rFonts w:hint="default"/>
                <w:color w:val="auto"/>
                <w:highlight w:val="none"/>
                <w:lang w:val="en-US" w:eastAsia="zh-CN"/>
              </w:rPr>
            </w:pPr>
            <w:r>
              <w:rPr>
                <w:rFonts w:hint="eastAsia"/>
                <w:color w:val="auto"/>
                <w:highlight w:val="none"/>
                <w:lang w:val="en-US" w:eastAsia="zh-CN"/>
              </w:rPr>
              <w:t>27</w:t>
            </w:r>
          </w:p>
        </w:tc>
        <w:tc>
          <w:tcPr>
            <w:tcW w:w="720" w:type="pct"/>
            <w:tcBorders>
              <w:tl2br w:val="nil"/>
              <w:tr2bl w:val="nil"/>
            </w:tcBorders>
            <w:vAlign w:val="center"/>
          </w:tcPr>
          <w:p w14:paraId="40608065">
            <w:pPr>
              <w:pStyle w:val="17"/>
              <w:bidi w:val="0"/>
              <w:rPr>
                <w:rFonts w:hint="default"/>
                <w:color w:val="auto"/>
                <w:highlight w:val="none"/>
                <w:lang w:val="en-US" w:eastAsia="zh-CN"/>
              </w:rPr>
            </w:pPr>
            <w:r>
              <w:rPr>
                <w:rFonts w:hint="eastAsia"/>
                <w:color w:val="auto"/>
                <w:highlight w:val="none"/>
                <w:lang w:val="en-US" w:eastAsia="zh-CN"/>
              </w:rPr>
              <w:t>39</w:t>
            </w:r>
          </w:p>
        </w:tc>
        <w:tc>
          <w:tcPr>
            <w:tcW w:w="715" w:type="pct"/>
            <w:tcBorders>
              <w:tl2br w:val="nil"/>
              <w:tr2bl w:val="nil"/>
            </w:tcBorders>
            <w:vAlign w:val="center"/>
          </w:tcPr>
          <w:p w14:paraId="3DF0CCA0">
            <w:pPr>
              <w:pStyle w:val="17"/>
              <w:bidi w:val="0"/>
              <w:rPr>
                <w:color w:val="auto"/>
                <w:highlight w:val="none"/>
              </w:rPr>
            </w:pPr>
            <w:r>
              <w:rPr>
                <w:color w:val="auto"/>
                <w:highlight w:val="none"/>
              </w:rPr>
              <w:t>900</w:t>
            </w:r>
          </w:p>
        </w:tc>
      </w:tr>
      <w:tr w14:paraId="4473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5E74396B">
            <w:pPr>
              <w:pStyle w:val="17"/>
              <w:bidi w:val="0"/>
              <w:rPr>
                <w:color w:val="auto"/>
                <w:highlight w:val="none"/>
              </w:rPr>
            </w:pPr>
            <w:r>
              <w:rPr>
                <w:color w:val="auto"/>
                <w:highlight w:val="none"/>
              </w:rPr>
              <w:t>四氯化碳</w:t>
            </w:r>
          </w:p>
        </w:tc>
        <w:tc>
          <w:tcPr>
            <w:tcW w:w="848" w:type="pct"/>
            <w:tcBorders>
              <w:tl2br w:val="nil"/>
              <w:tr2bl w:val="nil"/>
            </w:tcBorders>
            <w:vAlign w:val="center"/>
          </w:tcPr>
          <w:p w14:paraId="2B59A0AE">
            <w:pPr>
              <w:pStyle w:val="17"/>
              <w:bidi w:val="0"/>
              <w:rPr>
                <w:color w:val="auto"/>
                <w:highlight w:val="none"/>
              </w:rPr>
            </w:pPr>
            <w:r>
              <w:rPr>
                <w:color w:val="auto"/>
                <w:highlight w:val="none"/>
              </w:rPr>
              <w:t>μg/kg</w:t>
            </w:r>
          </w:p>
        </w:tc>
        <w:tc>
          <w:tcPr>
            <w:tcW w:w="794" w:type="pct"/>
            <w:tcBorders>
              <w:tl2br w:val="nil"/>
              <w:tr2bl w:val="nil"/>
            </w:tcBorders>
            <w:vAlign w:val="center"/>
          </w:tcPr>
          <w:p w14:paraId="76E8FF10">
            <w:pPr>
              <w:pStyle w:val="17"/>
              <w:bidi w:val="0"/>
              <w:rPr>
                <w:rFonts w:hint="default"/>
                <w:color w:val="auto"/>
                <w:highlight w:val="none"/>
                <w:lang w:val="en-US" w:eastAsia="zh-CN"/>
              </w:rPr>
            </w:pPr>
            <w:r>
              <w:rPr>
                <w:rFonts w:hint="eastAsia"/>
                <w:color w:val="auto"/>
                <w:highlight w:val="none"/>
                <w:lang w:val="en-US" w:eastAsia="zh-CN"/>
              </w:rPr>
              <w:t>1.3L</w:t>
            </w:r>
          </w:p>
        </w:tc>
        <w:tc>
          <w:tcPr>
            <w:tcW w:w="715" w:type="pct"/>
            <w:tcBorders>
              <w:tl2br w:val="nil"/>
              <w:tr2bl w:val="nil"/>
            </w:tcBorders>
            <w:vAlign w:val="center"/>
          </w:tcPr>
          <w:p w14:paraId="1D37F26E">
            <w:pPr>
              <w:pStyle w:val="17"/>
              <w:bidi w:val="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4DF045E5">
            <w:pPr>
              <w:pStyle w:val="17"/>
              <w:bidi w:val="0"/>
              <w:rPr>
                <w:rFonts w:hint="default"/>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64FC4598">
            <w:pPr>
              <w:pStyle w:val="17"/>
              <w:bidi w:val="0"/>
              <w:rPr>
                <w:color w:val="auto"/>
                <w:highlight w:val="none"/>
              </w:rPr>
            </w:pPr>
            <w:r>
              <w:rPr>
                <w:color w:val="auto"/>
                <w:highlight w:val="none"/>
              </w:rPr>
              <w:t>2800</w:t>
            </w:r>
          </w:p>
        </w:tc>
      </w:tr>
      <w:tr w14:paraId="0014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0299C074">
            <w:pPr>
              <w:pStyle w:val="17"/>
              <w:bidi w:val="0"/>
              <w:rPr>
                <w:color w:val="auto"/>
                <w:highlight w:val="none"/>
              </w:rPr>
            </w:pPr>
            <w:r>
              <w:rPr>
                <w:color w:val="auto"/>
                <w:highlight w:val="none"/>
              </w:rPr>
              <w:t>三氯甲烷（氯仿）</w:t>
            </w:r>
          </w:p>
        </w:tc>
        <w:tc>
          <w:tcPr>
            <w:tcW w:w="848" w:type="pct"/>
            <w:tcBorders>
              <w:tl2br w:val="nil"/>
              <w:tr2bl w:val="nil"/>
            </w:tcBorders>
            <w:vAlign w:val="center"/>
          </w:tcPr>
          <w:p w14:paraId="6A0AC2ED">
            <w:pPr>
              <w:pStyle w:val="17"/>
              <w:bidi w:val="0"/>
              <w:rPr>
                <w:color w:val="auto"/>
                <w:highlight w:val="none"/>
              </w:rPr>
            </w:pPr>
            <w:r>
              <w:rPr>
                <w:color w:val="auto"/>
                <w:highlight w:val="none"/>
              </w:rPr>
              <w:t>μg/kg</w:t>
            </w:r>
          </w:p>
        </w:tc>
        <w:tc>
          <w:tcPr>
            <w:tcW w:w="794" w:type="pct"/>
            <w:tcBorders>
              <w:tl2br w:val="nil"/>
              <w:tr2bl w:val="nil"/>
            </w:tcBorders>
            <w:vAlign w:val="center"/>
          </w:tcPr>
          <w:p w14:paraId="50549FBF">
            <w:pPr>
              <w:pStyle w:val="17"/>
              <w:bidi w:val="0"/>
              <w:rPr>
                <w:rFonts w:hint="default"/>
                <w:color w:val="auto"/>
                <w:highlight w:val="none"/>
                <w:lang w:val="en-US" w:eastAsia="zh-CN"/>
              </w:rPr>
            </w:pPr>
            <w:r>
              <w:rPr>
                <w:rFonts w:hint="eastAsia"/>
                <w:color w:val="auto"/>
                <w:highlight w:val="none"/>
                <w:lang w:val="en-US" w:eastAsia="zh-CN"/>
              </w:rPr>
              <w:t>1.1L</w:t>
            </w:r>
          </w:p>
        </w:tc>
        <w:tc>
          <w:tcPr>
            <w:tcW w:w="715" w:type="pct"/>
            <w:tcBorders>
              <w:tl2br w:val="nil"/>
              <w:tr2bl w:val="nil"/>
            </w:tcBorders>
            <w:vAlign w:val="center"/>
          </w:tcPr>
          <w:p w14:paraId="7884E467">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4B4E127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8CB1A83">
            <w:pPr>
              <w:pStyle w:val="17"/>
              <w:bidi w:val="0"/>
              <w:rPr>
                <w:color w:val="auto"/>
                <w:highlight w:val="none"/>
              </w:rPr>
            </w:pPr>
            <w:r>
              <w:rPr>
                <w:color w:val="auto"/>
                <w:highlight w:val="none"/>
              </w:rPr>
              <w:t>900</w:t>
            </w:r>
          </w:p>
        </w:tc>
      </w:tr>
      <w:tr w14:paraId="7807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10DEC586">
            <w:pPr>
              <w:pStyle w:val="17"/>
              <w:bidi w:val="0"/>
              <w:rPr>
                <w:color w:val="auto"/>
                <w:highlight w:val="none"/>
              </w:rPr>
            </w:pPr>
            <w:r>
              <w:rPr>
                <w:color w:val="auto"/>
                <w:highlight w:val="none"/>
              </w:rPr>
              <w:t>氯甲烷</w:t>
            </w:r>
          </w:p>
        </w:tc>
        <w:tc>
          <w:tcPr>
            <w:tcW w:w="848" w:type="pct"/>
            <w:tcBorders>
              <w:tl2br w:val="nil"/>
              <w:tr2bl w:val="nil"/>
            </w:tcBorders>
            <w:vAlign w:val="center"/>
          </w:tcPr>
          <w:p w14:paraId="72F0314B">
            <w:pPr>
              <w:pStyle w:val="17"/>
              <w:bidi w:val="0"/>
              <w:rPr>
                <w:color w:val="auto"/>
                <w:highlight w:val="none"/>
              </w:rPr>
            </w:pPr>
            <w:r>
              <w:rPr>
                <w:color w:val="auto"/>
                <w:highlight w:val="none"/>
              </w:rPr>
              <w:t>μg/kg</w:t>
            </w:r>
          </w:p>
        </w:tc>
        <w:tc>
          <w:tcPr>
            <w:tcW w:w="794" w:type="pct"/>
            <w:tcBorders>
              <w:tl2br w:val="nil"/>
              <w:tr2bl w:val="nil"/>
            </w:tcBorders>
            <w:vAlign w:val="center"/>
          </w:tcPr>
          <w:p w14:paraId="712F1E73">
            <w:pPr>
              <w:pStyle w:val="17"/>
              <w:bidi w:val="0"/>
              <w:rPr>
                <w:rFonts w:hint="default"/>
                <w:color w:val="auto"/>
                <w:highlight w:val="none"/>
                <w:lang w:val="en-US" w:eastAsia="zh-CN"/>
              </w:rPr>
            </w:pPr>
            <w:r>
              <w:rPr>
                <w:rFonts w:hint="eastAsia"/>
                <w:color w:val="auto"/>
                <w:highlight w:val="none"/>
                <w:lang w:val="en-US" w:eastAsia="zh-CN"/>
              </w:rPr>
              <w:t>1.0L</w:t>
            </w:r>
          </w:p>
        </w:tc>
        <w:tc>
          <w:tcPr>
            <w:tcW w:w="715" w:type="pct"/>
            <w:tcBorders>
              <w:tl2br w:val="nil"/>
              <w:tr2bl w:val="nil"/>
            </w:tcBorders>
            <w:vAlign w:val="center"/>
          </w:tcPr>
          <w:p w14:paraId="6295AB22">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3CACF73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055B77A">
            <w:pPr>
              <w:pStyle w:val="17"/>
              <w:bidi w:val="0"/>
              <w:rPr>
                <w:color w:val="auto"/>
                <w:highlight w:val="none"/>
              </w:rPr>
            </w:pPr>
            <w:r>
              <w:rPr>
                <w:color w:val="auto"/>
                <w:highlight w:val="none"/>
              </w:rPr>
              <w:t>37000</w:t>
            </w:r>
          </w:p>
        </w:tc>
      </w:tr>
      <w:tr w14:paraId="7DBF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F482E2F">
            <w:pPr>
              <w:pStyle w:val="17"/>
              <w:bidi w:val="0"/>
              <w:rPr>
                <w:color w:val="auto"/>
                <w:highlight w:val="none"/>
              </w:rPr>
            </w:pPr>
            <w:r>
              <w:rPr>
                <w:color w:val="auto"/>
                <w:highlight w:val="none"/>
              </w:rPr>
              <w:t>1,1-二氯乙烷</w:t>
            </w:r>
          </w:p>
        </w:tc>
        <w:tc>
          <w:tcPr>
            <w:tcW w:w="848" w:type="pct"/>
            <w:tcBorders>
              <w:tl2br w:val="nil"/>
              <w:tr2bl w:val="nil"/>
            </w:tcBorders>
            <w:vAlign w:val="center"/>
          </w:tcPr>
          <w:p w14:paraId="61FD10D6">
            <w:pPr>
              <w:pStyle w:val="17"/>
              <w:bidi w:val="0"/>
              <w:rPr>
                <w:color w:val="auto"/>
                <w:highlight w:val="none"/>
              </w:rPr>
            </w:pPr>
            <w:r>
              <w:rPr>
                <w:color w:val="auto"/>
                <w:highlight w:val="none"/>
              </w:rPr>
              <w:t>μg/kg</w:t>
            </w:r>
          </w:p>
        </w:tc>
        <w:tc>
          <w:tcPr>
            <w:tcW w:w="794" w:type="pct"/>
            <w:tcBorders>
              <w:tl2br w:val="nil"/>
              <w:tr2bl w:val="nil"/>
            </w:tcBorders>
            <w:vAlign w:val="center"/>
          </w:tcPr>
          <w:p w14:paraId="71172412">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0EAA8C4C">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1DAD078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4E7F0E73">
            <w:pPr>
              <w:pStyle w:val="17"/>
              <w:bidi w:val="0"/>
              <w:rPr>
                <w:color w:val="auto"/>
                <w:highlight w:val="none"/>
              </w:rPr>
            </w:pPr>
            <w:r>
              <w:rPr>
                <w:color w:val="auto"/>
                <w:highlight w:val="none"/>
              </w:rPr>
              <w:t>9000</w:t>
            </w:r>
          </w:p>
        </w:tc>
      </w:tr>
      <w:tr w14:paraId="0ECE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A6F41D6">
            <w:pPr>
              <w:pStyle w:val="17"/>
              <w:bidi w:val="0"/>
              <w:rPr>
                <w:color w:val="auto"/>
                <w:highlight w:val="none"/>
              </w:rPr>
            </w:pPr>
            <w:r>
              <w:rPr>
                <w:color w:val="auto"/>
                <w:highlight w:val="none"/>
              </w:rPr>
              <w:t>1,2-二氯乙烷</w:t>
            </w:r>
          </w:p>
        </w:tc>
        <w:tc>
          <w:tcPr>
            <w:tcW w:w="848" w:type="pct"/>
            <w:tcBorders>
              <w:tl2br w:val="nil"/>
              <w:tr2bl w:val="nil"/>
            </w:tcBorders>
            <w:vAlign w:val="center"/>
          </w:tcPr>
          <w:p w14:paraId="1A94E6FD">
            <w:pPr>
              <w:pStyle w:val="17"/>
              <w:bidi w:val="0"/>
              <w:rPr>
                <w:color w:val="auto"/>
                <w:highlight w:val="none"/>
              </w:rPr>
            </w:pPr>
            <w:r>
              <w:rPr>
                <w:color w:val="auto"/>
                <w:highlight w:val="none"/>
              </w:rPr>
              <w:t>μg/kg</w:t>
            </w:r>
          </w:p>
        </w:tc>
        <w:tc>
          <w:tcPr>
            <w:tcW w:w="794" w:type="pct"/>
            <w:tcBorders>
              <w:tl2br w:val="nil"/>
              <w:tr2bl w:val="nil"/>
            </w:tcBorders>
            <w:vAlign w:val="center"/>
          </w:tcPr>
          <w:p w14:paraId="0C20F61C">
            <w:pPr>
              <w:pStyle w:val="17"/>
              <w:bidi w:val="0"/>
              <w:rPr>
                <w:rFonts w:hint="default"/>
                <w:color w:val="auto"/>
                <w:highlight w:val="none"/>
                <w:lang w:val="en-US" w:eastAsia="zh-CN"/>
              </w:rPr>
            </w:pPr>
            <w:r>
              <w:rPr>
                <w:rFonts w:hint="eastAsia"/>
                <w:color w:val="auto"/>
                <w:highlight w:val="none"/>
                <w:lang w:val="en-US" w:eastAsia="zh-CN"/>
              </w:rPr>
              <w:t>1.3L</w:t>
            </w:r>
          </w:p>
        </w:tc>
        <w:tc>
          <w:tcPr>
            <w:tcW w:w="715" w:type="pct"/>
            <w:tcBorders>
              <w:tl2br w:val="nil"/>
              <w:tr2bl w:val="nil"/>
            </w:tcBorders>
            <w:vAlign w:val="center"/>
          </w:tcPr>
          <w:p w14:paraId="18A5F002">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385D5F7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04564E78">
            <w:pPr>
              <w:pStyle w:val="17"/>
              <w:bidi w:val="0"/>
              <w:rPr>
                <w:color w:val="auto"/>
                <w:highlight w:val="none"/>
              </w:rPr>
            </w:pPr>
            <w:r>
              <w:rPr>
                <w:color w:val="auto"/>
                <w:highlight w:val="none"/>
              </w:rPr>
              <w:t>5000</w:t>
            </w:r>
          </w:p>
        </w:tc>
      </w:tr>
      <w:tr w14:paraId="166E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042AE269">
            <w:pPr>
              <w:pStyle w:val="17"/>
              <w:bidi w:val="0"/>
              <w:rPr>
                <w:color w:val="auto"/>
                <w:highlight w:val="none"/>
              </w:rPr>
            </w:pPr>
            <w:r>
              <w:rPr>
                <w:color w:val="auto"/>
                <w:highlight w:val="none"/>
              </w:rPr>
              <w:t>1，1-二氯乙烯</w:t>
            </w:r>
          </w:p>
        </w:tc>
        <w:tc>
          <w:tcPr>
            <w:tcW w:w="848" w:type="pct"/>
            <w:tcBorders>
              <w:tl2br w:val="nil"/>
              <w:tr2bl w:val="nil"/>
            </w:tcBorders>
            <w:vAlign w:val="center"/>
          </w:tcPr>
          <w:p w14:paraId="7CA228F0">
            <w:pPr>
              <w:pStyle w:val="17"/>
              <w:bidi w:val="0"/>
              <w:rPr>
                <w:color w:val="auto"/>
                <w:highlight w:val="none"/>
              </w:rPr>
            </w:pPr>
            <w:r>
              <w:rPr>
                <w:color w:val="auto"/>
                <w:highlight w:val="none"/>
              </w:rPr>
              <w:t>μg/kg</w:t>
            </w:r>
          </w:p>
        </w:tc>
        <w:tc>
          <w:tcPr>
            <w:tcW w:w="794" w:type="pct"/>
            <w:tcBorders>
              <w:tl2br w:val="nil"/>
              <w:tr2bl w:val="nil"/>
            </w:tcBorders>
            <w:vAlign w:val="center"/>
          </w:tcPr>
          <w:p w14:paraId="302F8DED">
            <w:pPr>
              <w:pStyle w:val="17"/>
              <w:bidi w:val="0"/>
              <w:rPr>
                <w:rFonts w:hint="default"/>
                <w:color w:val="auto"/>
                <w:highlight w:val="none"/>
                <w:lang w:val="en-US" w:eastAsia="zh-CN"/>
              </w:rPr>
            </w:pPr>
            <w:r>
              <w:rPr>
                <w:rFonts w:hint="eastAsia"/>
                <w:color w:val="auto"/>
                <w:highlight w:val="none"/>
                <w:lang w:val="en-US" w:eastAsia="zh-CN"/>
              </w:rPr>
              <w:t>1.0L</w:t>
            </w:r>
          </w:p>
        </w:tc>
        <w:tc>
          <w:tcPr>
            <w:tcW w:w="715" w:type="pct"/>
            <w:tcBorders>
              <w:tl2br w:val="nil"/>
              <w:tr2bl w:val="nil"/>
            </w:tcBorders>
            <w:vAlign w:val="center"/>
          </w:tcPr>
          <w:p w14:paraId="345E9F53">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1EEB1C6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42BF4F7A">
            <w:pPr>
              <w:pStyle w:val="17"/>
              <w:bidi w:val="0"/>
              <w:rPr>
                <w:color w:val="auto"/>
                <w:highlight w:val="none"/>
              </w:rPr>
            </w:pPr>
            <w:r>
              <w:rPr>
                <w:color w:val="auto"/>
                <w:highlight w:val="none"/>
              </w:rPr>
              <w:t>66000</w:t>
            </w:r>
          </w:p>
        </w:tc>
      </w:tr>
      <w:tr w14:paraId="1E25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4A309FBD">
            <w:pPr>
              <w:pStyle w:val="17"/>
              <w:bidi w:val="0"/>
              <w:rPr>
                <w:color w:val="auto"/>
                <w:highlight w:val="none"/>
              </w:rPr>
            </w:pPr>
            <w:r>
              <w:rPr>
                <w:color w:val="auto"/>
                <w:highlight w:val="none"/>
              </w:rPr>
              <w:t>顺-1,2-二氯乙烯</w:t>
            </w:r>
          </w:p>
        </w:tc>
        <w:tc>
          <w:tcPr>
            <w:tcW w:w="848" w:type="pct"/>
            <w:tcBorders>
              <w:tl2br w:val="nil"/>
              <w:tr2bl w:val="nil"/>
            </w:tcBorders>
            <w:vAlign w:val="center"/>
          </w:tcPr>
          <w:p w14:paraId="12733DA5">
            <w:pPr>
              <w:pStyle w:val="17"/>
              <w:bidi w:val="0"/>
              <w:rPr>
                <w:color w:val="auto"/>
                <w:highlight w:val="none"/>
              </w:rPr>
            </w:pPr>
            <w:r>
              <w:rPr>
                <w:color w:val="auto"/>
                <w:highlight w:val="none"/>
              </w:rPr>
              <w:t>μg/kg</w:t>
            </w:r>
          </w:p>
        </w:tc>
        <w:tc>
          <w:tcPr>
            <w:tcW w:w="794" w:type="pct"/>
            <w:tcBorders>
              <w:tl2br w:val="nil"/>
              <w:tr2bl w:val="nil"/>
            </w:tcBorders>
            <w:shd w:val="clear" w:color="auto" w:fill="auto"/>
            <w:vAlign w:val="center"/>
          </w:tcPr>
          <w:p w14:paraId="0A9611B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1.3L</w:t>
            </w:r>
          </w:p>
        </w:tc>
        <w:tc>
          <w:tcPr>
            <w:tcW w:w="715" w:type="pct"/>
            <w:tcBorders>
              <w:tl2br w:val="nil"/>
              <w:tr2bl w:val="nil"/>
            </w:tcBorders>
            <w:shd w:val="clear" w:color="auto" w:fill="auto"/>
            <w:vAlign w:val="center"/>
          </w:tcPr>
          <w:p w14:paraId="505C696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w:t>
            </w:r>
          </w:p>
        </w:tc>
        <w:tc>
          <w:tcPr>
            <w:tcW w:w="720" w:type="pct"/>
            <w:tcBorders>
              <w:tl2br w:val="nil"/>
              <w:tr2bl w:val="nil"/>
            </w:tcBorders>
            <w:vAlign w:val="center"/>
          </w:tcPr>
          <w:p w14:paraId="4263B929">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8622F60">
            <w:pPr>
              <w:pStyle w:val="17"/>
              <w:bidi w:val="0"/>
              <w:rPr>
                <w:color w:val="auto"/>
                <w:highlight w:val="none"/>
              </w:rPr>
            </w:pPr>
            <w:r>
              <w:rPr>
                <w:color w:val="auto"/>
                <w:highlight w:val="none"/>
              </w:rPr>
              <w:t>596000</w:t>
            </w:r>
          </w:p>
        </w:tc>
      </w:tr>
      <w:tr w14:paraId="23F2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36DD31BE">
            <w:pPr>
              <w:pStyle w:val="17"/>
              <w:bidi w:val="0"/>
              <w:rPr>
                <w:color w:val="auto"/>
                <w:highlight w:val="none"/>
              </w:rPr>
            </w:pPr>
            <w:r>
              <w:rPr>
                <w:color w:val="auto"/>
                <w:highlight w:val="none"/>
              </w:rPr>
              <w:t>反-1,2-二氯乙烯</w:t>
            </w:r>
          </w:p>
        </w:tc>
        <w:tc>
          <w:tcPr>
            <w:tcW w:w="848" w:type="pct"/>
            <w:tcBorders>
              <w:tl2br w:val="nil"/>
              <w:tr2bl w:val="nil"/>
            </w:tcBorders>
            <w:vAlign w:val="center"/>
          </w:tcPr>
          <w:p w14:paraId="30860905">
            <w:pPr>
              <w:pStyle w:val="17"/>
              <w:bidi w:val="0"/>
              <w:rPr>
                <w:color w:val="auto"/>
                <w:highlight w:val="none"/>
              </w:rPr>
            </w:pPr>
            <w:r>
              <w:rPr>
                <w:color w:val="auto"/>
                <w:highlight w:val="none"/>
              </w:rPr>
              <w:t>μg/kg</w:t>
            </w:r>
          </w:p>
        </w:tc>
        <w:tc>
          <w:tcPr>
            <w:tcW w:w="794" w:type="pct"/>
            <w:tcBorders>
              <w:tl2br w:val="nil"/>
              <w:tr2bl w:val="nil"/>
            </w:tcBorders>
            <w:vAlign w:val="center"/>
          </w:tcPr>
          <w:p w14:paraId="2E104B63">
            <w:pPr>
              <w:pStyle w:val="17"/>
              <w:bidi w:val="0"/>
              <w:rPr>
                <w:rFonts w:hint="default"/>
                <w:color w:val="auto"/>
                <w:highlight w:val="none"/>
                <w:lang w:val="en-US" w:eastAsia="zh-CN"/>
              </w:rPr>
            </w:pPr>
            <w:r>
              <w:rPr>
                <w:rFonts w:hint="eastAsia"/>
                <w:color w:val="auto"/>
                <w:highlight w:val="none"/>
                <w:lang w:val="en-US" w:eastAsia="zh-CN"/>
              </w:rPr>
              <w:t>1.4L</w:t>
            </w:r>
          </w:p>
        </w:tc>
        <w:tc>
          <w:tcPr>
            <w:tcW w:w="715" w:type="pct"/>
            <w:tcBorders>
              <w:tl2br w:val="nil"/>
              <w:tr2bl w:val="nil"/>
            </w:tcBorders>
            <w:vAlign w:val="center"/>
          </w:tcPr>
          <w:p w14:paraId="350D433E">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6188CD6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75FA1113">
            <w:pPr>
              <w:pStyle w:val="17"/>
              <w:bidi w:val="0"/>
              <w:rPr>
                <w:color w:val="auto"/>
                <w:highlight w:val="none"/>
              </w:rPr>
            </w:pPr>
            <w:r>
              <w:rPr>
                <w:color w:val="auto"/>
                <w:highlight w:val="none"/>
              </w:rPr>
              <w:t>54000</w:t>
            </w:r>
          </w:p>
        </w:tc>
      </w:tr>
      <w:tr w14:paraId="103A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3627C59D">
            <w:pPr>
              <w:pStyle w:val="17"/>
              <w:bidi w:val="0"/>
              <w:rPr>
                <w:color w:val="auto"/>
                <w:highlight w:val="none"/>
              </w:rPr>
            </w:pPr>
            <w:r>
              <w:rPr>
                <w:color w:val="auto"/>
                <w:highlight w:val="none"/>
              </w:rPr>
              <w:t>二氯甲烷</w:t>
            </w:r>
          </w:p>
        </w:tc>
        <w:tc>
          <w:tcPr>
            <w:tcW w:w="848" w:type="pct"/>
            <w:tcBorders>
              <w:tl2br w:val="nil"/>
              <w:tr2bl w:val="nil"/>
            </w:tcBorders>
            <w:vAlign w:val="center"/>
          </w:tcPr>
          <w:p w14:paraId="7817B5C0">
            <w:pPr>
              <w:pStyle w:val="17"/>
              <w:bidi w:val="0"/>
              <w:rPr>
                <w:color w:val="auto"/>
                <w:highlight w:val="none"/>
              </w:rPr>
            </w:pPr>
            <w:r>
              <w:rPr>
                <w:color w:val="auto"/>
                <w:highlight w:val="none"/>
              </w:rPr>
              <w:t>μg/kg</w:t>
            </w:r>
          </w:p>
        </w:tc>
        <w:tc>
          <w:tcPr>
            <w:tcW w:w="794" w:type="pct"/>
            <w:tcBorders>
              <w:tl2br w:val="nil"/>
              <w:tr2bl w:val="nil"/>
            </w:tcBorders>
            <w:vAlign w:val="center"/>
          </w:tcPr>
          <w:p w14:paraId="77C3885E">
            <w:pPr>
              <w:pStyle w:val="17"/>
              <w:bidi w:val="0"/>
              <w:rPr>
                <w:rFonts w:hint="default"/>
                <w:color w:val="auto"/>
                <w:highlight w:val="none"/>
                <w:lang w:val="en-US" w:eastAsia="zh-CN"/>
              </w:rPr>
            </w:pPr>
            <w:r>
              <w:rPr>
                <w:rFonts w:hint="eastAsia"/>
                <w:color w:val="auto"/>
                <w:highlight w:val="none"/>
                <w:lang w:val="en-US" w:eastAsia="zh-CN"/>
              </w:rPr>
              <w:t>1.5L</w:t>
            </w:r>
          </w:p>
        </w:tc>
        <w:tc>
          <w:tcPr>
            <w:tcW w:w="715" w:type="pct"/>
            <w:tcBorders>
              <w:tl2br w:val="nil"/>
              <w:tr2bl w:val="nil"/>
            </w:tcBorders>
            <w:vAlign w:val="center"/>
          </w:tcPr>
          <w:p w14:paraId="1431013D">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4BFA05A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5DE8ADE2">
            <w:pPr>
              <w:pStyle w:val="17"/>
              <w:bidi w:val="0"/>
              <w:rPr>
                <w:color w:val="auto"/>
                <w:highlight w:val="none"/>
              </w:rPr>
            </w:pPr>
            <w:r>
              <w:rPr>
                <w:rFonts w:hint="eastAsia"/>
                <w:color w:val="auto"/>
                <w:highlight w:val="none"/>
              </w:rPr>
              <w:t>616</w:t>
            </w:r>
            <w:r>
              <w:rPr>
                <w:color w:val="auto"/>
                <w:highlight w:val="none"/>
              </w:rPr>
              <w:t>000</w:t>
            </w:r>
          </w:p>
        </w:tc>
      </w:tr>
      <w:tr w14:paraId="14A7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3201C7F9">
            <w:pPr>
              <w:pStyle w:val="17"/>
              <w:bidi w:val="0"/>
              <w:rPr>
                <w:color w:val="auto"/>
                <w:highlight w:val="none"/>
              </w:rPr>
            </w:pPr>
            <w:r>
              <w:rPr>
                <w:color w:val="auto"/>
                <w:highlight w:val="none"/>
              </w:rPr>
              <w:t>1,2-二氯丙烷</w:t>
            </w:r>
          </w:p>
        </w:tc>
        <w:tc>
          <w:tcPr>
            <w:tcW w:w="848" w:type="pct"/>
            <w:tcBorders>
              <w:tl2br w:val="nil"/>
              <w:tr2bl w:val="nil"/>
            </w:tcBorders>
            <w:vAlign w:val="center"/>
          </w:tcPr>
          <w:p w14:paraId="06A50F12">
            <w:pPr>
              <w:pStyle w:val="17"/>
              <w:bidi w:val="0"/>
              <w:rPr>
                <w:color w:val="auto"/>
                <w:highlight w:val="none"/>
              </w:rPr>
            </w:pPr>
            <w:r>
              <w:rPr>
                <w:color w:val="auto"/>
                <w:highlight w:val="none"/>
              </w:rPr>
              <w:t>μg/kg</w:t>
            </w:r>
          </w:p>
        </w:tc>
        <w:tc>
          <w:tcPr>
            <w:tcW w:w="794" w:type="pct"/>
            <w:tcBorders>
              <w:tl2br w:val="nil"/>
              <w:tr2bl w:val="nil"/>
            </w:tcBorders>
            <w:vAlign w:val="center"/>
          </w:tcPr>
          <w:p w14:paraId="53147937">
            <w:pPr>
              <w:pStyle w:val="17"/>
              <w:bidi w:val="0"/>
              <w:rPr>
                <w:rFonts w:hint="default"/>
                <w:color w:val="auto"/>
                <w:highlight w:val="none"/>
                <w:lang w:val="en-US" w:eastAsia="zh-CN"/>
              </w:rPr>
            </w:pPr>
            <w:r>
              <w:rPr>
                <w:rFonts w:hint="eastAsia"/>
                <w:color w:val="auto"/>
                <w:highlight w:val="none"/>
                <w:lang w:val="en-US" w:eastAsia="zh-CN"/>
              </w:rPr>
              <w:t>1.5L</w:t>
            </w:r>
          </w:p>
        </w:tc>
        <w:tc>
          <w:tcPr>
            <w:tcW w:w="715" w:type="pct"/>
            <w:tcBorders>
              <w:tl2br w:val="nil"/>
              <w:tr2bl w:val="nil"/>
            </w:tcBorders>
            <w:vAlign w:val="center"/>
          </w:tcPr>
          <w:p w14:paraId="06835F65">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3019E916">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7D78600C">
            <w:pPr>
              <w:pStyle w:val="17"/>
              <w:bidi w:val="0"/>
              <w:rPr>
                <w:color w:val="auto"/>
                <w:highlight w:val="none"/>
              </w:rPr>
            </w:pPr>
            <w:r>
              <w:rPr>
                <w:color w:val="auto"/>
                <w:highlight w:val="none"/>
              </w:rPr>
              <w:t>5000</w:t>
            </w:r>
          </w:p>
        </w:tc>
      </w:tr>
      <w:tr w14:paraId="4B38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46B7A36D">
            <w:pPr>
              <w:pStyle w:val="17"/>
              <w:bidi w:val="0"/>
              <w:rPr>
                <w:color w:val="auto"/>
                <w:highlight w:val="none"/>
              </w:rPr>
            </w:pPr>
            <w:r>
              <w:rPr>
                <w:color w:val="auto"/>
                <w:highlight w:val="none"/>
              </w:rPr>
              <w:t>1,1,1,2-四氯乙烷</w:t>
            </w:r>
          </w:p>
        </w:tc>
        <w:tc>
          <w:tcPr>
            <w:tcW w:w="848" w:type="pct"/>
            <w:tcBorders>
              <w:tl2br w:val="nil"/>
              <w:tr2bl w:val="nil"/>
            </w:tcBorders>
            <w:vAlign w:val="center"/>
          </w:tcPr>
          <w:p w14:paraId="76A8EAD7">
            <w:pPr>
              <w:pStyle w:val="17"/>
              <w:bidi w:val="0"/>
              <w:rPr>
                <w:color w:val="auto"/>
                <w:highlight w:val="none"/>
              </w:rPr>
            </w:pPr>
            <w:r>
              <w:rPr>
                <w:color w:val="auto"/>
                <w:highlight w:val="none"/>
              </w:rPr>
              <w:t>μg/kg</w:t>
            </w:r>
          </w:p>
        </w:tc>
        <w:tc>
          <w:tcPr>
            <w:tcW w:w="794" w:type="pct"/>
            <w:tcBorders>
              <w:tl2br w:val="nil"/>
              <w:tr2bl w:val="nil"/>
            </w:tcBorders>
            <w:vAlign w:val="center"/>
          </w:tcPr>
          <w:p w14:paraId="050B8128">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79A2DDC6">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443AFA2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6E132CDC">
            <w:pPr>
              <w:pStyle w:val="17"/>
              <w:bidi w:val="0"/>
              <w:rPr>
                <w:color w:val="auto"/>
                <w:highlight w:val="none"/>
              </w:rPr>
            </w:pPr>
            <w:r>
              <w:rPr>
                <w:color w:val="auto"/>
                <w:highlight w:val="none"/>
              </w:rPr>
              <w:t>10000</w:t>
            </w:r>
          </w:p>
        </w:tc>
      </w:tr>
      <w:tr w14:paraId="23F7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5E147D4D">
            <w:pPr>
              <w:pStyle w:val="17"/>
              <w:bidi w:val="0"/>
              <w:rPr>
                <w:color w:val="auto"/>
                <w:highlight w:val="none"/>
              </w:rPr>
            </w:pPr>
            <w:r>
              <w:rPr>
                <w:color w:val="auto"/>
                <w:highlight w:val="none"/>
              </w:rPr>
              <w:t>1,1,2,2-四氯乙烷</w:t>
            </w:r>
          </w:p>
        </w:tc>
        <w:tc>
          <w:tcPr>
            <w:tcW w:w="848" w:type="pct"/>
            <w:tcBorders>
              <w:tl2br w:val="nil"/>
              <w:tr2bl w:val="nil"/>
            </w:tcBorders>
            <w:vAlign w:val="center"/>
          </w:tcPr>
          <w:p w14:paraId="0D53E2C7">
            <w:pPr>
              <w:pStyle w:val="17"/>
              <w:bidi w:val="0"/>
              <w:rPr>
                <w:color w:val="auto"/>
                <w:highlight w:val="none"/>
              </w:rPr>
            </w:pPr>
            <w:r>
              <w:rPr>
                <w:color w:val="auto"/>
                <w:highlight w:val="none"/>
              </w:rPr>
              <w:t>μg/kg</w:t>
            </w:r>
          </w:p>
        </w:tc>
        <w:tc>
          <w:tcPr>
            <w:tcW w:w="794" w:type="pct"/>
            <w:tcBorders>
              <w:tl2br w:val="nil"/>
              <w:tr2bl w:val="nil"/>
            </w:tcBorders>
            <w:vAlign w:val="center"/>
          </w:tcPr>
          <w:p w14:paraId="5D58741B">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118AC6C6">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6C546DE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632D7C14">
            <w:pPr>
              <w:pStyle w:val="17"/>
              <w:bidi w:val="0"/>
              <w:rPr>
                <w:color w:val="auto"/>
                <w:highlight w:val="none"/>
              </w:rPr>
            </w:pPr>
            <w:r>
              <w:rPr>
                <w:color w:val="auto"/>
                <w:highlight w:val="none"/>
              </w:rPr>
              <w:t>6800</w:t>
            </w:r>
          </w:p>
        </w:tc>
      </w:tr>
      <w:tr w14:paraId="550F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0C5F2413">
            <w:pPr>
              <w:pStyle w:val="17"/>
              <w:bidi w:val="0"/>
              <w:rPr>
                <w:color w:val="auto"/>
                <w:highlight w:val="none"/>
              </w:rPr>
            </w:pPr>
            <w:r>
              <w:rPr>
                <w:color w:val="auto"/>
                <w:highlight w:val="none"/>
              </w:rPr>
              <w:t>四氯乙烯</w:t>
            </w:r>
          </w:p>
        </w:tc>
        <w:tc>
          <w:tcPr>
            <w:tcW w:w="848" w:type="pct"/>
            <w:tcBorders>
              <w:tl2br w:val="nil"/>
              <w:tr2bl w:val="nil"/>
            </w:tcBorders>
            <w:vAlign w:val="center"/>
          </w:tcPr>
          <w:p w14:paraId="3642F4BA">
            <w:pPr>
              <w:pStyle w:val="17"/>
              <w:bidi w:val="0"/>
              <w:rPr>
                <w:color w:val="auto"/>
                <w:highlight w:val="none"/>
              </w:rPr>
            </w:pPr>
            <w:r>
              <w:rPr>
                <w:color w:val="auto"/>
                <w:highlight w:val="none"/>
              </w:rPr>
              <w:t>μg/kg</w:t>
            </w:r>
          </w:p>
        </w:tc>
        <w:tc>
          <w:tcPr>
            <w:tcW w:w="794" w:type="pct"/>
            <w:tcBorders>
              <w:tl2br w:val="nil"/>
              <w:tr2bl w:val="nil"/>
            </w:tcBorders>
            <w:vAlign w:val="center"/>
          </w:tcPr>
          <w:p w14:paraId="7C763BDD">
            <w:pPr>
              <w:pStyle w:val="17"/>
              <w:bidi w:val="0"/>
              <w:rPr>
                <w:rFonts w:hint="default"/>
                <w:color w:val="auto"/>
                <w:highlight w:val="none"/>
                <w:lang w:val="en-US" w:eastAsia="zh-CN"/>
              </w:rPr>
            </w:pPr>
            <w:r>
              <w:rPr>
                <w:rFonts w:hint="eastAsia"/>
                <w:color w:val="auto"/>
                <w:highlight w:val="none"/>
                <w:lang w:val="en-US" w:eastAsia="zh-CN"/>
              </w:rPr>
              <w:t>1.4L</w:t>
            </w:r>
          </w:p>
        </w:tc>
        <w:tc>
          <w:tcPr>
            <w:tcW w:w="715" w:type="pct"/>
            <w:tcBorders>
              <w:tl2br w:val="nil"/>
              <w:tr2bl w:val="nil"/>
            </w:tcBorders>
            <w:vAlign w:val="center"/>
          </w:tcPr>
          <w:p w14:paraId="06FA18B6">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0E0BBB9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1283340F">
            <w:pPr>
              <w:pStyle w:val="17"/>
              <w:bidi w:val="0"/>
              <w:rPr>
                <w:color w:val="auto"/>
                <w:highlight w:val="none"/>
              </w:rPr>
            </w:pPr>
            <w:r>
              <w:rPr>
                <w:color w:val="auto"/>
                <w:highlight w:val="none"/>
              </w:rPr>
              <w:t>53000</w:t>
            </w:r>
          </w:p>
        </w:tc>
      </w:tr>
      <w:tr w14:paraId="7675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1E27A74">
            <w:pPr>
              <w:pStyle w:val="17"/>
              <w:bidi w:val="0"/>
              <w:rPr>
                <w:color w:val="auto"/>
                <w:highlight w:val="none"/>
              </w:rPr>
            </w:pPr>
            <w:r>
              <w:rPr>
                <w:color w:val="auto"/>
                <w:highlight w:val="none"/>
              </w:rPr>
              <w:t>1,1,1-三氯乙烷</w:t>
            </w:r>
          </w:p>
        </w:tc>
        <w:tc>
          <w:tcPr>
            <w:tcW w:w="848" w:type="pct"/>
            <w:tcBorders>
              <w:tl2br w:val="nil"/>
              <w:tr2bl w:val="nil"/>
            </w:tcBorders>
            <w:vAlign w:val="center"/>
          </w:tcPr>
          <w:p w14:paraId="274ECC15">
            <w:pPr>
              <w:pStyle w:val="17"/>
              <w:bidi w:val="0"/>
              <w:rPr>
                <w:color w:val="auto"/>
                <w:highlight w:val="none"/>
              </w:rPr>
            </w:pPr>
            <w:r>
              <w:rPr>
                <w:color w:val="auto"/>
                <w:highlight w:val="none"/>
              </w:rPr>
              <w:t>μg/kg</w:t>
            </w:r>
          </w:p>
        </w:tc>
        <w:tc>
          <w:tcPr>
            <w:tcW w:w="794" w:type="pct"/>
            <w:tcBorders>
              <w:tl2br w:val="nil"/>
              <w:tr2bl w:val="nil"/>
            </w:tcBorders>
            <w:vAlign w:val="center"/>
          </w:tcPr>
          <w:p w14:paraId="03E5049B">
            <w:pPr>
              <w:pStyle w:val="17"/>
              <w:bidi w:val="0"/>
              <w:rPr>
                <w:rFonts w:hint="default"/>
                <w:color w:val="auto"/>
                <w:highlight w:val="none"/>
                <w:lang w:val="en-US" w:eastAsia="zh-CN"/>
              </w:rPr>
            </w:pPr>
            <w:r>
              <w:rPr>
                <w:rFonts w:hint="eastAsia"/>
                <w:color w:val="auto"/>
                <w:highlight w:val="none"/>
                <w:lang w:val="en-US" w:eastAsia="zh-CN"/>
              </w:rPr>
              <w:t>1.3L</w:t>
            </w:r>
          </w:p>
        </w:tc>
        <w:tc>
          <w:tcPr>
            <w:tcW w:w="715" w:type="pct"/>
            <w:tcBorders>
              <w:tl2br w:val="nil"/>
              <w:tr2bl w:val="nil"/>
            </w:tcBorders>
            <w:vAlign w:val="center"/>
          </w:tcPr>
          <w:p w14:paraId="3B09D980">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14738AF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314857FE">
            <w:pPr>
              <w:pStyle w:val="17"/>
              <w:bidi w:val="0"/>
              <w:rPr>
                <w:color w:val="auto"/>
                <w:highlight w:val="none"/>
              </w:rPr>
            </w:pPr>
            <w:r>
              <w:rPr>
                <w:color w:val="auto"/>
                <w:highlight w:val="none"/>
              </w:rPr>
              <w:t>840000</w:t>
            </w:r>
          </w:p>
        </w:tc>
      </w:tr>
      <w:tr w14:paraId="3655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16BC7E7A">
            <w:pPr>
              <w:pStyle w:val="17"/>
              <w:bidi w:val="0"/>
              <w:rPr>
                <w:color w:val="auto"/>
                <w:highlight w:val="none"/>
              </w:rPr>
            </w:pPr>
            <w:r>
              <w:rPr>
                <w:color w:val="auto"/>
                <w:highlight w:val="none"/>
              </w:rPr>
              <w:t>1,1,2-三氯乙烷</w:t>
            </w:r>
          </w:p>
        </w:tc>
        <w:tc>
          <w:tcPr>
            <w:tcW w:w="848" w:type="pct"/>
            <w:tcBorders>
              <w:tl2br w:val="nil"/>
              <w:tr2bl w:val="nil"/>
            </w:tcBorders>
            <w:vAlign w:val="center"/>
          </w:tcPr>
          <w:p w14:paraId="0C00F369">
            <w:pPr>
              <w:pStyle w:val="17"/>
              <w:bidi w:val="0"/>
              <w:rPr>
                <w:color w:val="auto"/>
                <w:highlight w:val="none"/>
              </w:rPr>
            </w:pPr>
            <w:r>
              <w:rPr>
                <w:color w:val="auto"/>
                <w:highlight w:val="none"/>
              </w:rPr>
              <w:t>μg/kg</w:t>
            </w:r>
          </w:p>
        </w:tc>
        <w:tc>
          <w:tcPr>
            <w:tcW w:w="794" w:type="pct"/>
            <w:tcBorders>
              <w:tl2br w:val="nil"/>
              <w:tr2bl w:val="nil"/>
            </w:tcBorders>
            <w:vAlign w:val="center"/>
          </w:tcPr>
          <w:p w14:paraId="7BD2020D">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332BD1DC">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3A0F9A7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3DFB010D">
            <w:pPr>
              <w:pStyle w:val="17"/>
              <w:bidi w:val="0"/>
              <w:rPr>
                <w:color w:val="auto"/>
                <w:highlight w:val="none"/>
              </w:rPr>
            </w:pPr>
            <w:r>
              <w:rPr>
                <w:color w:val="auto"/>
                <w:highlight w:val="none"/>
              </w:rPr>
              <w:t>2800</w:t>
            </w:r>
          </w:p>
        </w:tc>
      </w:tr>
      <w:tr w14:paraId="23A8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B4B5D63">
            <w:pPr>
              <w:pStyle w:val="17"/>
              <w:bidi w:val="0"/>
              <w:rPr>
                <w:color w:val="auto"/>
                <w:highlight w:val="none"/>
              </w:rPr>
            </w:pPr>
            <w:r>
              <w:rPr>
                <w:color w:val="auto"/>
                <w:highlight w:val="none"/>
              </w:rPr>
              <w:t>三氯乙烯</w:t>
            </w:r>
          </w:p>
        </w:tc>
        <w:tc>
          <w:tcPr>
            <w:tcW w:w="848" w:type="pct"/>
            <w:tcBorders>
              <w:tl2br w:val="nil"/>
              <w:tr2bl w:val="nil"/>
            </w:tcBorders>
            <w:vAlign w:val="center"/>
          </w:tcPr>
          <w:p w14:paraId="762BB149">
            <w:pPr>
              <w:pStyle w:val="17"/>
              <w:bidi w:val="0"/>
              <w:rPr>
                <w:color w:val="auto"/>
                <w:highlight w:val="none"/>
              </w:rPr>
            </w:pPr>
            <w:r>
              <w:rPr>
                <w:color w:val="auto"/>
                <w:highlight w:val="none"/>
              </w:rPr>
              <w:t>μg/kg</w:t>
            </w:r>
          </w:p>
        </w:tc>
        <w:tc>
          <w:tcPr>
            <w:tcW w:w="794" w:type="pct"/>
            <w:tcBorders>
              <w:tl2br w:val="nil"/>
              <w:tr2bl w:val="nil"/>
            </w:tcBorders>
            <w:vAlign w:val="center"/>
          </w:tcPr>
          <w:p w14:paraId="1441A8DB">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3276AAB1">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0EDE9B7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A6A0369">
            <w:pPr>
              <w:pStyle w:val="17"/>
              <w:bidi w:val="0"/>
              <w:rPr>
                <w:color w:val="auto"/>
                <w:highlight w:val="none"/>
              </w:rPr>
            </w:pPr>
            <w:r>
              <w:rPr>
                <w:color w:val="auto"/>
                <w:highlight w:val="none"/>
              </w:rPr>
              <w:t>2800</w:t>
            </w:r>
          </w:p>
        </w:tc>
      </w:tr>
      <w:tr w14:paraId="56C5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A01D206">
            <w:pPr>
              <w:pStyle w:val="17"/>
              <w:bidi w:val="0"/>
              <w:rPr>
                <w:color w:val="auto"/>
                <w:highlight w:val="none"/>
              </w:rPr>
            </w:pPr>
            <w:r>
              <w:rPr>
                <w:color w:val="auto"/>
                <w:highlight w:val="none"/>
              </w:rPr>
              <w:t>1,2,3-三氯丙烷</w:t>
            </w:r>
          </w:p>
        </w:tc>
        <w:tc>
          <w:tcPr>
            <w:tcW w:w="848" w:type="pct"/>
            <w:tcBorders>
              <w:tl2br w:val="nil"/>
              <w:tr2bl w:val="nil"/>
            </w:tcBorders>
            <w:vAlign w:val="center"/>
          </w:tcPr>
          <w:p w14:paraId="7400B3BB">
            <w:pPr>
              <w:pStyle w:val="17"/>
              <w:bidi w:val="0"/>
              <w:rPr>
                <w:color w:val="auto"/>
                <w:highlight w:val="none"/>
              </w:rPr>
            </w:pPr>
            <w:r>
              <w:rPr>
                <w:color w:val="auto"/>
                <w:highlight w:val="none"/>
              </w:rPr>
              <w:t>μg/kg</w:t>
            </w:r>
          </w:p>
        </w:tc>
        <w:tc>
          <w:tcPr>
            <w:tcW w:w="794" w:type="pct"/>
            <w:tcBorders>
              <w:tl2br w:val="nil"/>
              <w:tr2bl w:val="nil"/>
            </w:tcBorders>
            <w:vAlign w:val="center"/>
          </w:tcPr>
          <w:p w14:paraId="5399BA1A">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6BCC2858">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61FE046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91C9A07">
            <w:pPr>
              <w:pStyle w:val="17"/>
              <w:bidi w:val="0"/>
              <w:rPr>
                <w:color w:val="auto"/>
                <w:highlight w:val="none"/>
              </w:rPr>
            </w:pPr>
            <w:r>
              <w:rPr>
                <w:color w:val="auto"/>
                <w:highlight w:val="none"/>
              </w:rPr>
              <w:t>500</w:t>
            </w:r>
          </w:p>
        </w:tc>
      </w:tr>
      <w:tr w14:paraId="42CB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C4AA783">
            <w:pPr>
              <w:pStyle w:val="17"/>
              <w:bidi w:val="0"/>
              <w:rPr>
                <w:color w:val="auto"/>
                <w:highlight w:val="none"/>
              </w:rPr>
            </w:pPr>
            <w:r>
              <w:rPr>
                <w:color w:val="auto"/>
                <w:highlight w:val="none"/>
              </w:rPr>
              <w:t>氯乙烯</w:t>
            </w:r>
          </w:p>
        </w:tc>
        <w:tc>
          <w:tcPr>
            <w:tcW w:w="848" w:type="pct"/>
            <w:tcBorders>
              <w:tl2br w:val="nil"/>
              <w:tr2bl w:val="nil"/>
            </w:tcBorders>
            <w:vAlign w:val="center"/>
          </w:tcPr>
          <w:p w14:paraId="5819AA1E">
            <w:pPr>
              <w:pStyle w:val="17"/>
              <w:bidi w:val="0"/>
              <w:rPr>
                <w:color w:val="auto"/>
                <w:highlight w:val="none"/>
              </w:rPr>
            </w:pPr>
            <w:r>
              <w:rPr>
                <w:color w:val="auto"/>
                <w:highlight w:val="none"/>
              </w:rPr>
              <w:t>μg/kg</w:t>
            </w:r>
          </w:p>
        </w:tc>
        <w:tc>
          <w:tcPr>
            <w:tcW w:w="794" w:type="pct"/>
            <w:tcBorders>
              <w:tl2br w:val="nil"/>
              <w:tr2bl w:val="nil"/>
            </w:tcBorders>
            <w:vAlign w:val="center"/>
          </w:tcPr>
          <w:p w14:paraId="6DA31F8F">
            <w:pPr>
              <w:pStyle w:val="17"/>
              <w:bidi w:val="0"/>
              <w:rPr>
                <w:rFonts w:hint="default"/>
                <w:color w:val="auto"/>
                <w:highlight w:val="none"/>
                <w:lang w:val="en-US" w:eastAsia="zh-CN"/>
              </w:rPr>
            </w:pPr>
            <w:r>
              <w:rPr>
                <w:rFonts w:hint="eastAsia"/>
                <w:color w:val="auto"/>
                <w:highlight w:val="none"/>
                <w:lang w:val="en-US" w:eastAsia="zh-CN"/>
              </w:rPr>
              <w:t>1.0L</w:t>
            </w:r>
          </w:p>
        </w:tc>
        <w:tc>
          <w:tcPr>
            <w:tcW w:w="715" w:type="pct"/>
            <w:tcBorders>
              <w:tl2br w:val="nil"/>
              <w:tr2bl w:val="nil"/>
            </w:tcBorders>
            <w:vAlign w:val="center"/>
          </w:tcPr>
          <w:p w14:paraId="35FA77A1">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6AA425D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34C168EA">
            <w:pPr>
              <w:pStyle w:val="17"/>
              <w:bidi w:val="0"/>
              <w:rPr>
                <w:color w:val="auto"/>
                <w:highlight w:val="none"/>
              </w:rPr>
            </w:pPr>
            <w:r>
              <w:rPr>
                <w:color w:val="auto"/>
                <w:highlight w:val="none"/>
              </w:rPr>
              <w:t>430</w:t>
            </w:r>
          </w:p>
        </w:tc>
      </w:tr>
      <w:tr w14:paraId="1E10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145AB94B">
            <w:pPr>
              <w:pStyle w:val="17"/>
              <w:bidi w:val="0"/>
              <w:rPr>
                <w:color w:val="auto"/>
                <w:highlight w:val="none"/>
              </w:rPr>
            </w:pPr>
            <w:r>
              <w:rPr>
                <w:color w:val="auto"/>
                <w:highlight w:val="none"/>
              </w:rPr>
              <w:t>苯</w:t>
            </w:r>
          </w:p>
        </w:tc>
        <w:tc>
          <w:tcPr>
            <w:tcW w:w="848" w:type="pct"/>
            <w:tcBorders>
              <w:tl2br w:val="nil"/>
              <w:tr2bl w:val="nil"/>
            </w:tcBorders>
            <w:vAlign w:val="center"/>
          </w:tcPr>
          <w:p w14:paraId="6A1132F2">
            <w:pPr>
              <w:pStyle w:val="17"/>
              <w:bidi w:val="0"/>
              <w:rPr>
                <w:color w:val="auto"/>
                <w:highlight w:val="none"/>
              </w:rPr>
            </w:pPr>
            <w:r>
              <w:rPr>
                <w:color w:val="auto"/>
                <w:highlight w:val="none"/>
              </w:rPr>
              <w:t>μg/kg</w:t>
            </w:r>
          </w:p>
        </w:tc>
        <w:tc>
          <w:tcPr>
            <w:tcW w:w="794" w:type="pct"/>
            <w:tcBorders>
              <w:tl2br w:val="nil"/>
              <w:tr2bl w:val="nil"/>
            </w:tcBorders>
            <w:vAlign w:val="center"/>
          </w:tcPr>
          <w:p w14:paraId="1F99ACB9">
            <w:pPr>
              <w:pStyle w:val="17"/>
              <w:bidi w:val="0"/>
              <w:rPr>
                <w:rFonts w:hint="default"/>
                <w:color w:val="auto"/>
                <w:highlight w:val="none"/>
                <w:lang w:val="en-US" w:eastAsia="zh-CN"/>
              </w:rPr>
            </w:pPr>
            <w:r>
              <w:rPr>
                <w:rFonts w:hint="eastAsia"/>
                <w:color w:val="auto"/>
                <w:highlight w:val="none"/>
                <w:lang w:val="en-US" w:eastAsia="zh-CN"/>
              </w:rPr>
              <w:t>1.9L</w:t>
            </w:r>
          </w:p>
        </w:tc>
        <w:tc>
          <w:tcPr>
            <w:tcW w:w="715" w:type="pct"/>
            <w:tcBorders>
              <w:tl2br w:val="nil"/>
              <w:tr2bl w:val="nil"/>
            </w:tcBorders>
            <w:vAlign w:val="center"/>
          </w:tcPr>
          <w:p w14:paraId="4B0D47AA">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659BFFE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2124488">
            <w:pPr>
              <w:pStyle w:val="17"/>
              <w:bidi w:val="0"/>
              <w:rPr>
                <w:color w:val="auto"/>
                <w:highlight w:val="none"/>
              </w:rPr>
            </w:pPr>
            <w:r>
              <w:rPr>
                <w:color w:val="auto"/>
                <w:highlight w:val="none"/>
              </w:rPr>
              <w:t>4000</w:t>
            </w:r>
          </w:p>
        </w:tc>
      </w:tr>
      <w:tr w14:paraId="5A34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4B91281">
            <w:pPr>
              <w:pStyle w:val="17"/>
              <w:bidi w:val="0"/>
              <w:rPr>
                <w:color w:val="auto"/>
                <w:highlight w:val="none"/>
              </w:rPr>
            </w:pPr>
            <w:r>
              <w:rPr>
                <w:color w:val="auto"/>
                <w:highlight w:val="none"/>
              </w:rPr>
              <w:t>氯苯</w:t>
            </w:r>
          </w:p>
        </w:tc>
        <w:tc>
          <w:tcPr>
            <w:tcW w:w="848" w:type="pct"/>
            <w:tcBorders>
              <w:tl2br w:val="nil"/>
              <w:tr2bl w:val="nil"/>
            </w:tcBorders>
            <w:vAlign w:val="center"/>
          </w:tcPr>
          <w:p w14:paraId="3D9E2514">
            <w:pPr>
              <w:pStyle w:val="17"/>
              <w:bidi w:val="0"/>
              <w:rPr>
                <w:color w:val="auto"/>
                <w:highlight w:val="none"/>
              </w:rPr>
            </w:pPr>
            <w:r>
              <w:rPr>
                <w:color w:val="auto"/>
                <w:highlight w:val="none"/>
              </w:rPr>
              <w:t>μg/kg</w:t>
            </w:r>
          </w:p>
        </w:tc>
        <w:tc>
          <w:tcPr>
            <w:tcW w:w="794" w:type="pct"/>
            <w:tcBorders>
              <w:tl2br w:val="nil"/>
              <w:tr2bl w:val="nil"/>
            </w:tcBorders>
            <w:vAlign w:val="center"/>
          </w:tcPr>
          <w:p w14:paraId="7854F43A">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7FCEE495">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4755744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1ECCEE4">
            <w:pPr>
              <w:pStyle w:val="17"/>
              <w:bidi w:val="0"/>
              <w:rPr>
                <w:color w:val="auto"/>
                <w:highlight w:val="none"/>
              </w:rPr>
            </w:pPr>
            <w:r>
              <w:rPr>
                <w:color w:val="auto"/>
                <w:highlight w:val="none"/>
              </w:rPr>
              <w:t>270000</w:t>
            </w:r>
          </w:p>
        </w:tc>
      </w:tr>
      <w:tr w14:paraId="2B7F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6486F641">
            <w:pPr>
              <w:pStyle w:val="17"/>
              <w:bidi w:val="0"/>
              <w:rPr>
                <w:color w:val="auto"/>
                <w:highlight w:val="none"/>
              </w:rPr>
            </w:pPr>
            <w:r>
              <w:rPr>
                <w:color w:val="auto"/>
                <w:highlight w:val="none"/>
              </w:rPr>
              <w:t>1,2-二氯苯</w:t>
            </w:r>
          </w:p>
        </w:tc>
        <w:tc>
          <w:tcPr>
            <w:tcW w:w="848" w:type="pct"/>
            <w:tcBorders>
              <w:tl2br w:val="nil"/>
              <w:tr2bl w:val="nil"/>
            </w:tcBorders>
            <w:vAlign w:val="center"/>
          </w:tcPr>
          <w:p w14:paraId="690F740A">
            <w:pPr>
              <w:pStyle w:val="17"/>
              <w:bidi w:val="0"/>
              <w:rPr>
                <w:color w:val="auto"/>
                <w:highlight w:val="none"/>
              </w:rPr>
            </w:pPr>
            <w:r>
              <w:rPr>
                <w:color w:val="auto"/>
                <w:highlight w:val="none"/>
              </w:rPr>
              <w:t>μg/kg</w:t>
            </w:r>
          </w:p>
        </w:tc>
        <w:tc>
          <w:tcPr>
            <w:tcW w:w="794" w:type="pct"/>
            <w:tcBorders>
              <w:tl2br w:val="nil"/>
              <w:tr2bl w:val="nil"/>
            </w:tcBorders>
            <w:vAlign w:val="center"/>
          </w:tcPr>
          <w:p w14:paraId="798F117A">
            <w:pPr>
              <w:pStyle w:val="17"/>
              <w:bidi w:val="0"/>
              <w:rPr>
                <w:rFonts w:hint="default"/>
                <w:color w:val="auto"/>
                <w:highlight w:val="none"/>
                <w:lang w:val="en-US" w:eastAsia="zh-CN"/>
              </w:rPr>
            </w:pPr>
            <w:r>
              <w:rPr>
                <w:rFonts w:hint="eastAsia"/>
                <w:color w:val="auto"/>
                <w:highlight w:val="none"/>
                <w:lang w:val="en-US" w:eastAsia="zh-CN"/>
              </w:rPr>
              <w:t>1.5L</w:t>
            </w:r>
          </w:p>
        </w:tc>
        <w:tc>
          <w:tcPr>
            <w:tcW w:w="715" w:type="pct"/>
            <w:tcBorders>
              <w:tl2br w:val="nil"/>
              <w:tr2bl w:val="nil"/>
            </w:tcBorders>
            <w:vAlign w:val="center"/>
          </w:tcPr>
          <w:p w14:paraId="08E39472">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778C9386">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4E7D752B">
            <w:pPr>
              <w:pStyle w:val="17"/>
              <w:bidi w:val="0"/>
              <w:rPr>
                <w:color w:val="auto"/>
                <w:highlight w:val="none"/>
              </w:rPr>
            </w:pPr>
            <w:r>
              <w:rPr>
                <w:color w:val="auto"/>
                <w:highlight w:val="none"/>
              </w:rPr>
              <w:t>560000</w:t>
            </w:r>
          </w:p>
        </w:tc>
      </w:tr>
      <w:tr w14:paraId="2478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DC380CB">
            <w:pPr>
              <w:pStyle w:val="17"/>
              <w:bidi w:val="0"/>
              <w:rPr>
                <w:color w:val="auto"/>
                <w:highlight w:val="none"/>
              </w:rPr>
            </w:pPr>
            <w:r>
              <w:rPr>
                <w:color w:val="auto"/>
                <w:highlight w:val="none"/>
              </w:rPr>
              <w:t>1,4-二氯苯</w:t>
            </w:r>
          </w:p>
        </w:tc>
        <w:tc>
          <w:tcPr>
            <w:tcW w:w="848" w:type="pct"/>
            <w:tcBorders>
              <w:tl2br w:val="nil"/>
              <w:tr2bl w:val="nil"/>
            </w:tcBorders>
            <w:vAlign w:val="center"/>
          </w:tcPr>
          <w:p w14:paraId="21A63DD5">
            <w:pPr>
              <w:pStyle w:val="17"/>
              <w:bidi w:val="0"/>
              <w:rPr>
                <w:color w:val="auto"/>
                <w:highlight w:val="none"/>
              </w:rPr>
            </w:pPr>
            <w:r>
              <w:rPr>
                <w:color w:val="auto"/>
                <w:highlight w:val="none"/>
              </w:rPr>
              <w:t>μg/kg</w:t>
            </w:r>
          </w:p>
        </w:tc>
        <w:tc>
          <w:tcPr>
            <w:tcW w:w="794" w:type="pct"/>
            <w:tcBorders>
              <w:tl2br w:val="nil"/>
              <w:tr2bl w:val="nil"/>
            </w:tcBorders>
            <w:vAlign w:val="center"/>
          </w:tcPr>
          <w:p w14:paraId="52CD11B4">
            <w:pPr>
              <w:pStyle w:val="17"/>
              <w:bidi w:val="0"/>
              <w:rPr>
                <w:rFonts w:hint="default"/>
                <w:color w:val="auto"/>
                <w:highlight w:val="none"/>
                <w:lang w:val="en-US" w:eastAsia="zh-CN"/>
              </w:rPr>
            </w:pPr>
            <w:r>
              <w:rPr>
                <w:rFonts w:hint="eastAsia"/>
                <w:color w:val="auto"/>
                <w:highlight w:val="none"/>
                <w:lang w:val="en-US" w:eastAsia="zh-CN"/>
              </w:rPr>
              <w:t>1.5L</w:t>
            </w:r>
          </w:p>
        </w:tc>
        <w:tc>
          <w:tcPr>
            <w:tcW w:w="715" w:type="pct"/>
            <w:tcBorders>
              <w:tl2br w:val="nil"/>
              <w:tr2bl w:val="nil"/>
            </w:tcBorders>
            <w:vAlign w:val="center"/>
          </w:tcPr>
          <w:p w14:paraId="73447C6D">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71C14A2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7C42160C">
            <w:pPr>
              <w:pStyle w:val="17"/>
              <w:bidi w:val="0"/>
              <w:rPr>
                <w:color w:val="auto"/>
                <w:highlight w:val="none"/>
              </w:rPr>
            </w:pPr>
            <w:r>
              <w:rPr>
                <w:color w:val="auto"/>
                <w:highlight w:val="none"/>
              </w:rPr>
              <w:t>20000</w:t>
            </w:r>
          </w:p>
        </w:tc>
      </w:tr>
      <w:tr w14:paraId="02B7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40072C5">
            <w:pPr>
              <w:pStyle w:val="17"/>
              <w:bidi w:val="0"/>
              <w:rPr>
                <w:color w:val="auto"/>
                <w:highlight w:val="none"/>
              </w:rPr>
            </w:pPr>
            <w:r>
              <w:rPr>
                <w:color w:val="auto"/>
                <w:highlight w:val="none"/>
              </w:rPr>
              <w:t>乙苯</w:t>
            </w:r>
          </w:p>
        </w:tc>
        <w:tc>
          <w:tcPr>
            <w:tcW w:w="848" w:type="pct"/>
            <w:tcBorders>
              <w:tl2br w:val="nil"/>
              <w:tr2bl w:val="nil"/>
            </w:tcBorders>
            <w:vAlign w:val="center"/>
          </w:tcPr>
          <w:p w14:paraId="62C59EF2">
            <w:pPr>
              <w:pStyle w:val="17"/>
              <w:bidi w:val="0"/>
              <w:rPr>
                <w:color w:val="auto"/>
                <w:highlight w:val="none"/>
              </w:rPr>
            </w:pPr>
            <w:r>
              <w:rPr>
                <w:color w:val="auto"/>
                <w:highlight w:val="none"/>
              </w:rPr>
              <w:t>μg/kg</w:t>
            </w:r>
          </w:p>
        </w:tc>
        <w:tc>
          <w:tcPr>
            <w:tcW w:w="794" w:type="pct"/>
            <w:tcBorders>
              <w:tl2br w:val="nil"/>
              <w:tr2bl w:val="nil"/>
            </w:tcBorders>
            <w:vAlign w:val="center"/>
          </w:tcPr>
          <w:p w14:paraId="2E5A8557">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501006B1">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087A19B6">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5811EB0">
            <w:pPr>
              <w:pStyle w:val="17"/>
              <w:bidi w:val="0"/>
              <w:rPr>
                <w:color w:val="auto"/>
                <w:highlight w:val="none"/>
              </w:rPr>
            </w:pPr>
            <w:r>
              <w:rPr>
                <w:color w:val="auto"/>
                <w:highlight w:val="none"/>
              </w:rPr>
              <w:t>28000</w:t>
            </w:r>
          </w:p>
        </w:tc>
      </w:tr>
      <w:tr w14:paraId="4C85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28D8E2D">
            <w:pPr>
              <w:pStyle w:val="17"/>
              <w:bidi w:val="0"/>
              <w:rPr>
                <w:color w:val="auto"/>
                <w:highlight w:val="none"/>
              </w:rPr>
            </w:pPr>
            <w:r>
              <w:rPr>
                <w:color w:val="auto"/>
                <w:highlight w:val="none"/>
              </w:rPr>
              <w:t>苯乙烯</w:t>
            </w:r>
          </w:p>
        </w:tc>
        <w:tc>
          <w:tcPr>
            <w:tcW w:w="848" w:type="pct"/>
            <w:tcBorders>
              <w:tl2br w:val="nil"/>
              <w:tr2bl w:val="nil"/>
            </w:tcBorders>
            <w:vAlign w:val="center"/>
          </w:tcPr>
          <w:p w14:paraId="3C03ED84">
            <w:pPr>
              <w:pStyle w:val="17"/>
              <w:bidi w:val="0"/>
              <w:rPr>
                <w:color w:val="auto"/>
                <w:highlight w:val="none"/>
              </w:rPr>
            </w:pPr>
            <w:r>
              <w:rPr>
                <w:color w:val="auto"/>
                <w:highlight w:val="none"/>
              </w:rPr>
              <w:t>μg/kg</w:t>
            </w:r>
          </w:p>
        </w:tc>
        <w:tc>
          <w:tcPr>
            <w:tcW w:w="794" w:type="pct"/>
            <w:tcBorders>
              <w:tl2br w:val="nil"/>
              <w:tr2bl w:val="nil"/>
            </w:tcBorders>
            <w:vAlign w:val="center"/>
          </w:tcPr>
          <w:p w14:paraId="03BBAE1C">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65179C72">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2009EB3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523FB998">
            <w:pPr>
              <w:pStyle w:val="17"/>
              <w:bidi w:val="0"/>
              <w:rPr>
                <w:color w:val="auto"/>
                <w:highlight w:val="none"/>
              </w:rPr>
            </w:pPr>
            <w:r>
              <w:rPr>
                <w:color w:val="auto"/>
                <w:highlight w:val="none"/>
              </w:rPr>
              <w:t>1290000</w:t>
            </w:r>
          </w:p>
        </w:tc>
      </w:tr>
      <w:tr w14:paraId="6506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3C52256">
            <w:pPr>
              <w:pStyle w:val="17"/>
              <w:bidi w:val="0"/>
              <w:rPr>
                <w:color w:val="auto"/>
                <w:highlight w:val="none"/>
              </w:rPr>
            </w:pPr>
            <w:r>
              <w:rPr>
                <w:color w:val="auto"/>
                <w:highlight w:val="none"/>
              </w:rPr>
              <w:t>甲苯</w:t>
            </w:r>
          </w:p>
        </w:tc>
        <w:tc>
          <w:tcPr>
            <w:tcW w:w="848" w:type="pct"/>
            <w:tcBorders>
              <w:tl2br w:val="nil"/>
              <w:tr2bl w:val="nil"/>
            </w:tcBorders>
            <w:vAlign w:val="center"/>
          </w:tcPr>
          <w:p w14:paraId="63F38373">
            <w:pPr>
              <w:pStyle w:val="17"/>
              <w:bidi w:val="0"/>
              <w:rPr>
                <w:color w:val="auto"/>
                <w:highlight w:val="none"/>
              </w:rPr>
            </w:pPr>
            <w:r>
              <w:rPr>
                <w:color w:val="auto"/>
                <w:highlight w:val="none"/>
              </w:rPr>
              <w:t>μg/kg</w:t>
            </w:r>
          </w:p>
        </w:tc>
        <w:tc>
          <w:tcPr>
            <w:tcW w:w="794" w:type="pct"/>
            <w:tcBorders>
              <w:tl2br w:val="nil"/>
              <w:tr2bl w:val="nil"/>
            </w:tcBorders>
            <w:vAlign w:val="center"/>
          </w:tcPr>
          <w:p w14:paraId="6BD3BA8D">
            <w:pPr>
              <w:pStyle w:val="17"/>
              <w:bidi w:val="0"/>
              <w:rPr>
                <w:rFonts w:hint="default"/>
                <w:color w:val="auto"/>
                <w:highlight w:val="none"/>
                <w:lang w:val="en-US" w:eastAsia="zh-CN"/>
              </w:rPr>
            </w:pPr>
            <w:r>
              <w:rPr>
                <w:rFonts w:hint="eastAsia"/>
                <w:color w:val="auto"/>
                <w:highlight w:val="none"/>
                <w:lang w:val="en-US" w:eastAsia="zh-CN"/>
              </w:rPr>
              <w:t>1.3L</w:t>
            </w:r>
          </w:p>
        </w:tc>
        <w:tc>
          <w:tcPr>
            <w:tcW w:w="715" w:type="pct"/>
            <w:tcBorders>
              <w:tl2br w:val="nil"/>
              <w:tr2bl w:val="nil"/>
            </w:tcBorders>
            <w:vAlign w:val="center"/>
          </w:tcPr>
          <w:p w14:paraId="27869C5B">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1639890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1B0212D4">
            <w:pPr>
              <w:pStyle w:val="17"/>
              <w:bidi w:val="0"/>
              <w:rPr>
                <w:color w:val="auto"/>
                <w:highlight w:val="none"/>
              </w:rPr>
            </w:pPr>
            <w:r>
              <w:rPr>
                <w:color w:val="auto"/>
                <w:highlight w:val="none"/>
              </w:rPr>
              <w:t>1200000</w:t>
            </w:r>
          </w:p>
        </w:tc>
      </w:tr>
      <w:tr w14:paraId="79CD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5D157ACB">
            <w:pPr>
              <w:pStyle w:val="17"/>
              <w:bidi w:val="0"/>
              <w:rPr>
                <w:color w:val="auto"/>
                <w:highlight w:val="none"/>
              </w:rPr>
            </w:pPr>
            <w:r>
              <w:rPr>
                <w:color w:val="auto"/>
                <w:highlight w:val="none"/>
              </w:rPr>
              <w:t>间,对二甲苯</w:t>
            </w:r>
          </w:p>
        </w:tc>
        <w:tc>
          <w:tcPr>
            <w:tcW w:w="848" w:type="pct"/>
            <w:tcBorders>
              <w:tl2br w:val="nil"/>
              <w:tr2bl w:val="nil"/>
            </w:tcBorders>
            <w:vAlign w:val="center"/>
          </w:tcPr>
          <w:p w14:paraId="6F0C6870">
            <w:pPr>
              <w:pStyle w:val="17"/>
              <w:bidi w:val="0"/>
              <w:rPr>
                <w:color w:val="auto"/>
                <w:highlight w:val="none"/>
              </w:rPr>
            </w:pPr>
            <w:r>
              <w:rPr>
                <w:color w:val="auto"/>
                <w:highlight w:val="none"/>
              </w:rPr>
              <w:t>μg/kg</w:t>
            </w:r>
          </w:p>
        </w:tc>
        <w:tc>
          <w:tcPr>
            <w:tcW w:w="794" w:type="pct"/>
            <w:tcBorders>
              <w:tl2br w:val="nil"/>
              <w:tr2bl w:val="nil"/>
            </w:tcBorders>
            <w:vAlign w:val="center"/>
          </w:tcPr>
          <w:p w14:paraId="4F76A92F">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27CFB37E">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66B0B00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13791D97">
            <w:pPr>
              <w:pStyle w:val="17"/>
              <w:bidi w:val="0"/>
              <w:rPr>
                <w:color w:val="auto"/>
                <w:highlight w:val="none"/>
              </w:rPr>
            </w:pPr>
            <w:r>
              <w:rPr>
                <w:color w:val="auto"/>
                <w:highlight w:val="none"/>
              </w:rPr>
              <w:t>570000</w:t>
            </w:r>
          </w:p>
        </w:tc>
      </w:tr>
      <w:tr w14:paraId="169E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C66EE7F">
            <w:pPr>
              <w:pStyle w:val="17"/>
              <w:bidi w:val="0"/>
              <w:rPr>
                <w:color w:val="auto"/>
                <w:highlight w:val="none"/>
              </w:rPr>
            </w:pPr>
            <w:r>
              <w:rPr>
                <w:color w:val="auto"/>
                <w:highlight w:val="none"/>
              </w:rPr>
              <w:t>邻二甲苯</w:t>
            </w:r>
          </w:p>
        </w:tc>
        <w:tc>
          <w:tcPr>
            <w:tcW w:w="848" w:type="pct"/>
            <w:tcBorders>
              <w:tl2br w:val="nil"/>
              <w:tr2bl w:val="nil"/>
            </w:tcBorders>
            <w:vAlign w:val="center"/>
          </w:tcPr>
          <w:p w14:paraId="293DCA09">
            <w:pPr>
              <w:pStyle w:val="17"/>
              <w:bidi w:val="0"/>
              <w:rPr>
                <w:color w:val="auto"/>
                <w:highlight w:val="none"/>
              </w:rPr>
            </w:pPr>
            <w:r>
              <w:rPr>
                <w:color w:val="auto"/>
                <w:highlight w:val="none"/>
              </w:rPr>
              <w:t>μg/kg</w:t>
            </w:r>
          </w:p>
        </w:tc>
        <w:tc>
          <w:tcPr>
            <w:tcW w:w="794" w:type="pct"/>
            <w:tcBorders>
              <w:tl2br w:val="nil"/>
              <w:tr2bl w:val="nil"/>
            </w:tcBorders>
            <w:vAlign w:val="center"/>
          </w:tcPr>
          <w:p w14:paraId="21151C9D">
            <w:pPr>
              <w:pStyle w:val="17"/>
              <w:bidi w:val="0"/>
              <w:rPr>
                <w:rFonts w:hint="default"/>
                <w:color w:val="auto"/>
                <w:highlight w:val="none"/>
                <w:lang w:val="en-US" w:eastAsia="zh-CN"/>
              </w:rPr>
            </w:pPr>
            <w:r>
              <w:rPr>
                <w:rFonts w:hint="eastAsia"/>
                <w:color w:val="auto"/>
                <w:highlight w:val="none"/>
                <w:lang w:val="en-US" w:eastAsia="zh-CN"/>
              </w:rPr>
              <w:t>1.2L</w:t>
            </w:r>
          </w:p>
        </w:tc>
        <w:tc>
          <w:tcPr>
            <w:tcW w:w="715" w:type="pct"/>
            <w:tcBorders>
              <w:tl2br w:val="nil"/>
              <w:tr2bl w:val="nil"/>
            </w:tcBorders>
            <w:vAlign w:val="center"/>
          </w:tcPr>
          <w:p w14:paraId="24CDD1AB">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5F0624C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16D994C5">
            <w:pPr>
              <w:pStyle w:val="17"/>
              <w:bidi w:val="0"/>
              <w:rPr>
                <w:color w:val="auto"/>
                <w:highlight w:val="none"/>
              </w:rPr>
            </w:pPr>
            <w:r>
              <w:rPr>
                <w:color w:val="auto"/>
                <w:highlight w:val="none"/>
              </w:rPr>
              <w:t>640000</w:t>
            </w:r>
          </w:p>
        </w:tc>
      </w:tr>
      <w:tr w14:paraId="74A2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43DBF67C">
            <w:pPr>
              <w:pStyle w:val="17"/>
              <w:bidi w:val="0"/>
              <w:rPr>
                <w:color w:val="auto"/>
                <w:highlight w:val="none"/>
              </w:rPr>
            </w:pPr>
            <w:r>
              <w:rPr>
                <w:color w:val="auto"/>
                <w:highlight w:val="none"/>
              </w:rPr>
              <w:t>硝基苯</w:t>
            </w:r>
          </w:p>
        </w:tc>
        <w:tc>
          <w:tcPr>
            <w:tcW w:w="848" w:type="pct"/>
            <w:tcBorders>
              <w:tl2br w:val="nil"/>
              <w:tr2bl w:val="nil"/>
            </w:tcBorders>
            <w:vAlign w:val="center"/>
          </w:tcPr>
          <w:p w14:paraId="131921D3">
            <w:pPr>
              <w:pStyle w:val="17"/>
              <w:bidi w:val="0"/>
              <w:rPr>
                <w:color w:val="auto"/>
                <w:highlight w:val="none"/>
              </w:rPr>
            </w:pPr>
            <w:r>
              <w:rPr>
                <w:color w:val="auto"/>
                <w:highlight w:val="none"/>
              </w:rPr>
              <w:t>mg/kg</w:t>
            </w:r>
          </w:p>
        </w:tc>
        <w:tc>
          <w:tcPr>
            <w:tcW w:w="794" w:type="pct"/>
            <w:tcBorders>
              <w:tl2br w:val="nil"/>
              <w:tr2bl w:val="nil"/>
            </w:tcBorders>
            <w:vAlign w:val="center"/>
          </w:tcPr>
          <w:p w14:paraId="4CC2BD4D">
            <w:pPr>
              <w:pStyle w:val="17"/>
              <w:bidi w:val="0"/>
              <w:rPr>
                <w:rFonts w:hint="default"/>
                <w:color w:val="auto"/>
                <w:highlight w:val="none"/>
                <w:lang w:val="en-US" w:eastAsia="zh-CN"/>
              </w:rPr>
            </w:pPr>
            <w:r>
              <w:rPr>
                <w:rFonts w:hint="eastAsia"/>
                <w:color w:val="auto"/>
                <w:highlight w:val="none"/>
                <w:lang w:val="en-US" w:eastAsia="zh-CN"/>
              </w:rPr>
              <w:t>0.09L</w:t>
            </w:r>
          </w:p>
        </w:tc>
        <w:tc>
          <w:tcPr>
            <w:tcW w:w="715" w:type="pct"/>
            <w:tcBorders>
              <w:tl2br w:val="nil"/>
              <w:tr2bl w:val="nil"/>
            </w:tcBorders>
            <w:vAlign w:val="center"/>
          </w:tcPr>
          <w:p w14:paraId="56BF2AFA">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7A0B5F0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4BF1DC9D">
            <w:pPr>
              <w:pStyle w:val="17"/>
              <w:bidi w:val="0"/>
              <w:rPr>
                <w:color w:val="auto"/>
                <w:highlight w:val="none"/>
              </w:rPr>
            </w:pPr>
            <w:r>
              <w:rPr>
                <w:color w:val="auto"/>
                <w:highlight w:val="none"/>
              </w:rPr>
              <w:t>76</w:t>
            </w:r>
          </w:p>
        </w:tc>
      </w:tr>
      <w:tr w14:paraId="5C3E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717DE546">
            <w:pPr>
              <w:pStyle w:val="17"/>
              <w:bidi w:val="0"/>
              <w:rPr>
                <w:color w:val="auto"/>
                <w:highlight w:val="none"/>
              </w:rPr>
            </w:pPr>
            <w:r>
              <w:rPr>
                <w:color w:val="auto"/>
                <w:highlight w:val="none"/>
              </w:rPr>
              <w:t>苯胺</w:t>
            </w:r>
          </w:p>
        </w:tc>
        <w:tc>
          <w:tcPr>
            <w:tcW w:w="848" w:type="pct"/>
            <w:tcBorders>
              <w:tl2br w:val="nil"/>
              <w:tr2bl w:val="nil"/>
            </w:tcBorders>
            <w:vAlign w:val="center"/>
          </w:tcPr>
          <w:p w14:paraId="5F5D1E84">
            <w:pPr>
              <w:pStyle w:val="17"/>
              <w:bidi w:val="0"/>
              <w:rPr>
                <w:color w:val="auto"/>
                <w:highlight w:val="none"/>
              </w:rPr>
            </w:pPr>
            <w:r>
              <w:rPr>
                <w:color w:val="auto"/>
                <w:highlight w:val="none"/>
              </w:rPr>
              <w:t>mg/kg</w:t>
            </w:r>
          </w:p>
        </w:tc>
        <w:tc>
          <w:tcPr>
            <w:tcW w:w="794" w:type="pct"/>
            <w:tcBorders>
              <w:tl2br w:val="nil"/>
              <w:tr2bl w:val="nil"/>
            </w:tcBorders>
            <w:vAlign w:val="center"/>
          </w:tcPr>
          <w:p w14:paraId="4B8FDD6A">
            <w:pPr>
              <w:pStyle w:val="17"/>
              <w:bidi w:val="0"/>
              <w:rPr>
                <w:rFonts w:hint="default"/>
                <w:color w:val="auto"/>
                <w:highlight w:val="none"/>
                <w:lang w:val="en-US" w:eastAsia="zh-CN"/>
              </w:rPr>
            </w:pPr>
            <w:r>
              <w:rPr>
                <w:rFonts w:hint="eastAsia"/>
                <w:color w:val="auto"/>
                <w:highlight w:val="none"/>
                <w:lang w:val="en-US" w:eastAsia="zh-CN"/>
              </w:rPr>
              <w:t>0.1L</w:t>
            </w:r>
          </w:p>
        </w:tc>
        <w:tc>
          <w:tcPr>
            <w:tcW w:w="715" w:type="pct"/>
            <w:tcBorders>
              <w:tl2br w:val="nil"/>
              <w:tr2bl w:val="nil"/>
            </w:tcBorders>
            <w:vAlign w:val="center"/>
          </w:tcPr>
          <w:p w14:paraId="2B5585D1">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5B2FF29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423C54D0">
            <w:pPr>
              <w:pStyle w:val="17"/>
              <w:bidi w:val="0"/>
              <w:rPr>
                <w:color w:val="auto"/>
                <w:highlight w:val="none"/>
              </w:rPr>
            </w:pPr>
            <w:r>
              <w:rPr>
                <w:color w:val="auto"/>
                <w:highlight w:val="none"/>
              </w:rPr>
              <w:t>260</w:t>
            </w:r>
          </w:p>
        </w:tc>
      </w:tr>
      <w:tr w14:paraId="604D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6A0FC863">
            <w:pPr>
              <w:pStyle w:val="17"/>
              <w:bidi w:val="0"/>
              <w:rPr>
                <w:color w:val="auto"/>
                <w:highlight w:val="none"/>
              </w:rPr>
            </w:pPr>
            <w:r>
              <w:rPr>
                <w:color w:val="auto"/>
                <w:highlight w:val="none"/>
              </w:rPr>
              <w:t>2-氯酚</w:t>
            </w:r>
          </w:p>
        </w:tc>
        <w:tc>
          <w:tcPr>
            <w:tcW w:w="848" w:type="pct"/>
            <w:tcBorders>
              <w:tl2br w:val="nil"/>
              <w:tr2bl w:val="nil"/>
            </w:tcBorders>
            <w:vAlign w:val="center"/>
          </w:tcPr>
          <w:p w14:paraId="0C88F7A3">
            <w:pPr>
              <w:pStyle w:val="17"/>
              <w:bidi w:val="0"/>
              <w:rPr>
                <w:color w:val="auto"/>
                <w:highlight w:val="none"/>
              </w:rPr>
            </w:pPr>
            <w:r>
              <w:rPr>
                <w:color w:val="auto"/>
                <w:highlight w:val="none"/>
              </w:rPr>
              <w:t>mg/kg</w:t>
            </w:r>
          </w:p>
        </w:tc>
        <w:tc>
          <w:tcPr>
            <w:tcW w:w="794" w:type="pct"/>
            <w:tcBorders>
              <w:tl2br w:val="nil"/>
              <w:tr2bl w:val="nil"/>
            </w:tcBorders>
            <w:vAlign w:val="center"/>
          </w:tcPr>
          <w:p w14:paraId="3FB552F7">
            <w:pPr>
              <w:pStyle w:val="17"/>
              <w:bidi w:val="0"/>
              <w:rPr>
                <w:rFonts w:hint="default"/>
                <w:color w:val="auto"/>
                <w:highlight w:val="none"/>
                <w:lang w:val="en-US" w:eastAsia="zh-CN"/>
              </w:rPr>
            </w:pPr>
            <w:r>
              <w:rPr>
                <w:rFonts w:hint="eastAsia"/>
                <w:color w:val="auto"/>
                <w:highlight w:val="none"/>
                <w:lang w:val="en-US" w:eastAsia="zh-CN"/>
              </w:rPr>
              <w:t>0.06L</w:t>
            </w:r>
          </w:p>
        </w:tc>
        <w:tc>
          <w:tcPr>
            <w:tcW w:w="715" w:type="pct"/>
            <w:tcBorders>
              <w:tl2br w:val="nil"/>
              <w:tr2bl w:val="nil"/>
            </w:tcBorders>
            <w:vAlign w:val="center"/>
          </w:tcPr>
          <w:p w14:paraId="78BC42B6">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574920D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1FED4509">
            <w:pPr>
              <w:pStyle w:val="17"/>
              <w:bidi w:val="0"/>
              <w:rPr>
                <w:color w:val="auto"/>
                <w:highlight w:val="none"/>
              </w:rPr>
            </w:pPr>
            <w:r>
              <w:rPr>
                <w:color w:val="auto"/>
                <w:highlight w:val="none"/>
              </w:rPr>
              <w:t>2256</w:t>
            </w:r>
          </w:p>
        </w:tc>
      </w:tr>
      <w:tr w14:paraId="634E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6BDFA2A8">
            <w:pPr>
              <w:pStyle w:val="17"/>
              <w:bidi w:val="0"/>
              <w:rPr>
                <w:color w:val="auto"/>
                <w:highlight w:val="none"/>
              </w:rPr>
            </w:pPr>
            <w:r>
              <w:rPr>
                <w:color w:val="auto"/>
                <w:highlight w:val="none"/>
              </w:rPr>
              <w:t>苯并[a]蒽</w:t>
            </w:r>
          </w:p>
        </w:tc>
        <w:tc>
          <w:tcPr>
            <w:tcW w:w="848" w:type="pct"/>
            <w:tcBorders>
              <w:tl2br w:val="nil"/>
              <w:tr2bl w:val="nil"/>
            </w:tcBorders>
            <w:vAlign w:val="center"/>
          </w:tcPr>
          <w:p w14:paraId="42165672">
            <w:pPr>
              <w:pStyle w:val="17"/>
              <w:bidi w:val="0"/>
              <w:rPr>
                <w:color w:val="auto"/>
                <w:highlight w:val="none"/>
              </w:rPr>
            </w:pPr>
            <w:r>
              <w:rPr>
                <w:color w:val="auto"/>
                <w:highlight w:val="none"/>
              </w:rPr>
              <w:t>mg/kg</w:t>
            </w:r>
          </w:p>
        </w:tc>
        <w:tc>
          <w:tcPr>
            <w:tcW w:w="794" w:type="pct"/>
            <w:tcBorders>
              <w:tl2br w:val="nil"/>
              <w:tr2bl w:val="nil"/>
            </w:tcBorders>
            <w:vAlign w:val="center"/>
          </w:tcPr>
          <w:p w14:paraId="3ADF0F78">
            <w:pPr>
              <w:pStyle w:val="17"/>
              <w:bidi w:val="0"/>
              <w:rPr>
                <w:rFonts w:hint="default"/>
                <w:color w:val="auto"/>
                <w:highlight w:val="none"/>
                <w:lang w:val="en-US" w:eastAsia="zh-CN"/>
              </w:rPr>
            </w:pPr>
            <w:r>
              <w:rPr>
                <w:rFonts w:hint="eastAsia"/>
                <w:color w:val="auto"/>
                <w:highlight w:val="none"/>
                <w:lang w:val="en-US" w:eastAsia="zh-CN"/>
              </w:rPr>
              <w:t>0.1L</w:t>
            </w:r>
          </w:p>
        </w:tc>
        <w:tc>
          <w:tcPr>
            <w:tcW w:w="715" w:type="pct"/>
            <w:tcBorders>
              <w:tl2br w:val="nil"/>
              <w:tr2bl w:val="nil"/>
            </w:tcBorders>
            <w:vAlign w:val="center"/>
          </w:tcPr>
          <w:p w14:paraId="72FDAE49">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4FB95C3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3E67F575">
            <w:pPr>
              <w:pStyle w:val="17"/>
              <w:bidi w:val="0"/>
              <w:rPr>
                <w:color w:val="auto"/>
                <w:highlight w:val="none"/>
              </w:rPr>
            </w:pPr>
            <w:r>
              <w:rPr>
                <w:color w:val="auto"/>
                <w:highlight w:val="none"/>
              </w:rPr>
              <w:t>15</w:t>
            </w:r>
          </w:p>
        </w:tc>
      </w:tr>
      <w:tr w14:paraId="7B00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4C3E902E">
            <w:pPr>
              <w:pStyle w:val="17"/>
              <w:bidi w:val="0"/>
              <w:rPr>
                <w:color w:val="auto"/>
                <w:highlight w:val="none"/>
              </w:rPr>
            </w:pPr>
            <w:r>
              <w:rPr>
                <w:color w:val="auto"/>
                <w:highlight w:val="none"/>
              </w:rPr>
              <w:t>苯并[a]芘</w:t>
            </w:r>
          </w:p>
        </w:tc>
        <w:tc>
          <w:tcPr>
            <w:tcW w:w="848" w:type="pct"/>
            <w:tcBorders>
              <w:tl2br w:val="nil"/>
              <w:tr2bl w:val="nil"/>
            </w:tcBorders>
            <w:vAlign w:val="center"/>
          </w:tcPr>
          <w:p w14:paraId="3AB65758">
            <w:pPr>
              <w:pStyle w:val="17"/>
              <w:bidi w:val="0"/>
              <w:rPr>
                <w:color w:val="auto"/>
                <w:highlight w:val="none"/>
              </w:rPr>
            </w:pPr>
            <w:r>
              <w:rPr>
                <w:color w:val="auto"/>
                <w:highlight w:val="none"/>
              </w:rPr>
              <w:t>mg/kg</w:t>
            </w:r>
          </w:p>
        </w:tc>
        <w:tc>
          <w:tcPr>
            <w:tcW w:w="794" w:type="pct"/>
            <w:tcBorders>
              <w:tl2br w:val="nil"/>
              <w:tr2bl w:val="nil"/>
            </w:tcBorders>
            <w:vAlign w:val="center"/>
          </w:tcPr>
          <w:p w14:paraId="03526325">
            <w:pPr>
              <w:pStyle w:val="17"/>
              <w:bidi w:val="0"/>
              <w:rPr>
                <w:rFonts w:hint="default"/>
                <w:color w:val="auto"/>
                <w:highlight w:val="none"/>
                <w:lang w:val="en-US" w:eastAsia="zh-CN"/>
              </w:rPr>
            </w:pPr>
            <w:r>
              <w:rPr>
                <w:rFonts w:hint="eastAsia"/>
                <w:color w:val="auto"/>
                <w:highlight w:val="none"/>
                <w:lang w:val="en-US" w:eastAsia="zh-CN"/>
              </w:rPr>
              <w:t>0.1L</w:t>
            </w:r>
          </w:p>
        </w:tc>
        <w:tc>
          <w:tcPr>
            <w:tcW w:w="715" w:type="pct"/>
            <w:tcBorders>
              <w:tl2br w:val="nil"/>
              <w:tr2bl w:val="nil"/>
            </w:tcBorders>
            <w:vAlign w:val="center"/>
          </w:tcPr>
          <w:p w14:paraId="141A681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76EBCE4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1FD1B6DF">
            <w:pPr>
              <w:pStyle w:val="17"/>
              <w:bidi w:val="0"/>
              <w:rPr>
                <w:color w:val="auto"/>
                <w:highlight w:val="none"/>
              </w:rPr>
            </w:pPr>
            <w:r>
              <w:rPr>
                <w:color w:val="auto"/>
                <w:highlight w:val="none"/>
              </w:rPr>
              <w:t>1.5</w:t>
            </w:r>
          </w:p>
        </w:tc>
      </w:tr>
      <w:tr w14:paraId="19C8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63985041">
            <w:pPr>
              <w:pStyle w:val="17"/>
              <w:bidi w:val="0"/>
              <w:rPr>
                <w:color w:val="auto"/>
                <w:highlight w:val="none"/>
              </w:rPr>
            </w:pPr>
            <w:r>
              <w:rPr>
                <w:color w:val="auto"/>
                <w:highlight w:val="none"/>
              </w:rPr>
              <w:t>苯并[b]荧蒽</w:t>
            </w:r>
          </w:p>
        </w:tc>
        <w:tc>
          <w:tcPr>
            <w:tcW w:w="848" w:type="pct"/>
            <w:tcBorders>
              <w:tl2br w:val="nil"/>
              <w:tr2bl w:val="nil"/>
            </w:tcBorders>
            <w:vAlign w:val="center"/>
          </w:tcPr>
          <w:p w14:paraId="2CA064F5">
            <w:pPr>
              <w:pStyle w:val="17"/>
              <w:bidi w:val="0"/>
              <w:rPr>
                <w:color w:val="auto"/>
                <w:highlight w:val="none"/>
              </w:rPr>
            </w:pPr>
            <w:r>
              <w:rPr>
                <w:color w:val="auto"/>
                <w:highlight w:val="none"/>
              </w:rPr>
              <w:t>mg/kg</w:t>
            </w:r>
          </w:p>
        </w:tc>
        <w:tc>
          <w:tcPr>
            <w:tcW w:w="794" w:type="pct"/>
            <w:tcBorders>
              <w:tl2br w:val="nil"/>
              <w:tr2bl w:val="nil"/>
            </w:tcBorders>
            <w:vAlign w:val="center"/>
          </w:tcPr>
          <w:p w14:paraId="65DEDA0D">
            <w:pPr>
              <w:pStyle w:val="17"/>
              <w:bidi w:val="0"/>
              <w:rPr>
                <w:rFonts w:hint="default"/>
                <w:color w:val="auto"/>
                <w:highlight w:val="none"/>
                <w:lang w:val="en-US" w:eastAsia="zh-CN"/>
              </w:rPr>
            </w:pPr>
            <w:r>
              <w:rPr>
                <w:rFonts w:hint="eastAsia"/>
                <w:color w:val="auto"/>
                <w:highlight w:val="none"/>
                <w:lang w:val="en-US" w:eastAsia="zh-CN"/>
              </w:rPr>
              <w:t>0.2L</w:t>
            </w:r>
          </w:p>
        </w:tc>
        <w:tc>
          <w:tcPr>
            <w:tcW w:w="715" w:type="pct"/>
            <w:tcBorders>
              <w:tl2br w:val="nil"/>
              <w:tr2bl w:val="nil"/>
            </w:tcBorders>
            <w:vAlign w:val="center"/>
          </w:tcPr>
          <w:p w14:paraId="4AB10266">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5C64904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5F2ECCA8">
            <w:pPr>
              <w:pStyle w:val="17"/>
              <w:bidi w:val="0"/>
              <w:rPr>
                <w:color w:val="auto"/>
                <w:highlight w:val="none"/>
              </w:rPr>
            </w:pPr>
            <w:r>
              <w:rPr>
                <w:color w:val="auto"/>
                <w:highlight w:val="none"/>
              </w:rPr>
              <w:t>15</w:t>
            </w:r>
          </w:p>
        </w:tc>
      </w:tr>
      <w:tr w14:paraId="2A82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4F40DE22">
            <w:pPr>
              <w:pStyle w:val="17"/>
              <w:bidi w:val="0"/>
              <w:rPr>
                <w:color w:val="auto"/>
                <w:highlight w:val="none"/>
              </w:rPr>
            </w:pPr>
            <w:r>
              <w:rPr>
                <w:color w:val="auto"/>
                <w:highlight w:val="none"/>
              </w:rPr>
              <w:t>苯并[k]荧蒽</w:t>
            </w:r>
          </w:p>
        </w:tc>
        <w:tc>
          <w:tcPr>
            <w:tcW w:w="848" w:type="pct"/>
            <w:tcBorders>
              <w:tl2br w:val="nil"/>
              <w:tr2bl w:val="nil"/>
            </w:tcBorders>
            <w:vAlign w:val="center"/>
          </w:tcPr>
          <w:p w14:paraId="761FB845">
            <w:pPr>
              <w:pStyle w:val="17"/>
              <w:bidi w:val="0"/>
              <w:rPr>
                <w:color w:val="auto"/>
                <w:highlight w:val="none"/>
              </w:rPr>
            </w:pPr>
            <w:r>
              <w:rPr>
                <w:color w:val="auto"/>
                <w:highlight w:val="none"/>
              </w:rPr>
              <w:t>mg/kg</w:t>
            </w:r>
          </w:p>
        </w:tc>
        <w:tc>
          <w:tcPr>
            <w:tcW w:w="794" w:type="pct"/>
            <w:tcBorders>
              <w:tl2br w:val="nil"/>
              <w:tr2bl w:val="nil"/>
            </w:tcBorders>
            <w:vAlign w:val="center"/>
          </w:tcPr>
          <w:p w14:paraId="628B5167">
            <w:pPr>
              <w:pStyle w:val="17"/>
              <w:bidi w:val="0"/>
              <w:rPr>
                <w:rFonts w:hint="default"/>
                <w:color w:val="auto"/>
                <w:highlight w:val="none"/>
                <w:lang w:val="en-US" w:eastAsia="zh-CN"/>
              </w:rPr>
            </w:pPr>
            <w:r>
              <w:rPr>
                <w:rFonts w:hint="eastAsia"/>
                <w:color w:val="auto"/>
                <w:highlight w:val="none"/>
                <w:lang w:val="en-US" w:eastAsia="zh-CN"/>
              </w:rPr>
              <w:t>0.1L</w:t>
            </w:r>
          </w:p>
        </w:tc>
        <w:tc>
          <w:tcPr>
            <w:tcW w:w="715" w:type="pct"/>
            <w:tcBorders>
              <w:tl2br w:val="nil"/>
              <w:tr2bl w:val="nil"/>
            </w:tcBorders>
            <w:vAlign w:val="center"/>
          </w:tcPr>
          <w:p w14:paraId="5A7D5CA6">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3C8D5FC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063EF596">
            <w:pPr>
              <w:pStyle w:val="17"/>
              <w:bidi w:val="0"/>
              <w:rPr>
                <w:color w:val="auto"/>
                <w:highlight w:val="none"/>
              </w:rPr>
            </w:pPr>
            <w:r>
              <w:rPr>
                <w:color w:val="auto"/>
                <w:highlight w:val="none"/>
              </w:rPr>
              <w:t>151</w:t>
            </w:r>
          </w:p>
        </w:tc>
      </w:tr>
      <w:tr w14:paraId="0B7A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6801435E">
            <w:pPr>
              <w:pStyle w:val="17"/>
              <w:bidi w:val="0"/>
              <w:rPr>
                <w:color w:val="auto"/>
                <w:highlight w:val="none"/>
              </w:rPr>
            </w:pPr>
            <w:r>
              <w:rPr>
                <w:color w:val="auto"/>
                <w:highlight w:val="none"/>
              </w:rPr>
              <w:t>䓛</w:t>
            </w:r>
          </w:p>
        </w:tc>
        <w:tc>
          <w:tcPr>
            <w:tcW w:w="848" w:type="pct"/>
            <w:tcBorders>
              <w:tl2br w:val="nil"/>
              <w:tr2bl w:val="nil"/>
            </w:tcBorders>
            <w:vAlign w:val="center"/>
          </w:tcPr>
          <w:p w14:paraId="07E4B98C">
            <w:pPr>
              <w:pStyle w:val="17"/>
              <w:bidi w:val="0"/>
              <w:rPr>
                <w:color w:val="auto"/>
                <w:highlight w:val="none"/>
              </w:rPr>
            </w:pPr>
            <w:r>
              <w:rPr>
                <w:color w:val="auto"/>
                <w:highlight w:val="none"/>
              </w:rPr>
              <w:t>mg/kg</w:t>
            </w:r>
          </w:p>
        </w:tc>
        <w:tc>
          <w:tcPr>
            <w:tcW w:w="794" w:type="pct"/>
            <w:tcBorders>
              <w:tl2br w:val="nil"/>
              <w:tr2bl w:val="nil"/>
            </w:tcBorders>
            <w:vAlign w:val="center"/>
          </w:tcPr>
          <w:p w14:paraId="41761546">
            <w:pPr>
              <w:pStyle w:val="17"/>
              <w:bidi w:val="0"/>
              <w:rPr>
                <w:rFonts w:hint="default"/>
                <w:color w:val="auto"/>
                <w:highlight w:val="none"/>
                <w:lang w:val="en-US" w:eastAsia="zh-CN"/>
              </w:rPr>
            </w:pPr>
            <w:r>
              <w:rPr>
                <w:rFonts w:hint="eastAsia"/>
                <w:color w:val="auto"/>
                <w:highlight w:val="none"/>
                <w:lang w:val="en-US" w:eastAsia="zh-CN"/>
              </w:rPr>
              <w:t>0.1L</w:t>
            </w:r>
          </w:p>
        </w:tc>
        <w:tc>
          <w:tcPr>
            <w:tcW w:w="715" w:type="pct"/>
            <w:tcBorders>
              <w:tl2br w:val="nil"/>
              <w:tr2bl w:val="nil"/>
            </w:tcBorders>
            <w:vAlign w:val="center"/>
          </w:tcPr>
          <w:p w14:paraId="641162F3">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5DE7171A">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3687F85E">
            <w:pPr>
              <w:pStyle w:val="17"/>
              <w:bidi w:val="0"/>
              <w:rPr>
                <w:color w:val="auto"/>
                <w:highlight w:val="none"/>
              </w:rPr>
            </w:pPr>
            <w:r>
              <w:rPr>
                <w:color w:val="auto"/>
                <w:highlight w:val="none"/>
              </w:rPr>
              <w:t>1293</w:t>
            </w:r>
          </w:p>
        </w:tc>
      </w:tr>
      <w:tr w14:paraId="52CE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35F5CF8A">
            <w:pPr>
              <w:pStyle w:val="17"/>
              <w:bidi w:val="0"/>
              <w:rPr>
                <w:color w:val="auto"/>
                <w:highlight w:val="none"/>
              </w:rPr>
            </w:pPr>
            <w:r>
              <w:rPr>
                <w:color w:val="auto"/>
                <w:highlight w:val="none"/>
              </w:rPr>
              <w:t>二苯并[a，h]蒽</w:t>
            </w:r>
          </w:p>
        </w:tc>
        <w:tc>
          <w:tcPr>
            <w:tcW w:w="848" w:type="pct"/>
            <w:tcBorders>
              <w:tl2br w:val="nil"/>
              <w:tr2bl w:val="nil"/>
            </w:tcBorders>
            <w:vAlign w:val="center"/>
          </w:tcPr>
          <w:p w14:paraId="634CFF69">
            <w:pPr>
              <w:pStyle w:val="17"/>
              <w:bidi w:val="0"/>
              <w:rPr>
                <w:color w:val="auto"/>
                <w:highlight w:val="none"/>
              </w:rPr>
            </w:pPr>
            <w:r>
              <w:rPr>
                <w:color w:val="auto"/>
                <w:highlight w:val="none"/>
              </w:rPr>
              <w:t>mg/kg</w:t>
            </w:r>
          </w:p>
        </w:tc>
        <w:tc>
          <w:tcPr>
            <w:tcW w:w="794" w:type="pct"/>
            <w:tcBorders>
              <w:tl2br w:val="nil"/>
              <w:tr2bl w:val="nil"/>
            </w:tcBorders>
            <w:vAlign w:val="center"/>
          </w:tcPr>
          <w:p w14:paraId="33A6B6E4">
            <w:pPr>
              <w:pStyle w:val="17"/>
              <w:bidi w:val="0"/>
              <w:rPr>
                <w:rFonts w:hint="default"/>
                <w:color w:val="auto"/>
                <w:highlight w:val="none"/>
                <w:lang w:val="en-US" w:eastAsia="zh-CN"/>
              </w:rPr>
            </w:pPr>
            <w:r>
              <w:rPr>
                <w:rFonts w:hint="eastAsia"/>
                <w:color w:val="auto"/>
                <w:highlight w:val="none"/>
                <w:lang w:val="en-US" w:eastAsia="zh-CN"/>
              </w:rPr>
              <w:t>0.1L</w:t>
            </w:r>
          </w:p>
        </w:tc>
        <w:tc>
          <w:tcPr>
            <w:tcW w:w="715" w:type="pct"/>
            <w:tcBorders>
              <w:tl2br w:val="nil"/>
              <w:tr2bl w:val="nil"/>
            </w:tcBorders>
            <w:vAlign w:val="center"/>
          </w:tcPr>
          <w:p w14:paraId="31EE73B5">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22CEE18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25B03073">
            <w:pPr>
              <w:pStyle w:val="17"/>
              <w:bidi w:val="0"/>
              <w:rPr>
                <w:color w:val="auto"/>
                <w:highlight w:val="none"/>
              </w:rPr>
            </w:pPr>
            <w:r>
              <w:rPr>
                <w:color w:val="auto"/>
                <w:highlight w:val="none"/>
              </w:rPr>
              <w:t>1.5</w:t>
            </w:r>
          </w:p>
        </w:tc>
      </w:tr>
      <w:tr w14:paraId="5BC4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262F240E">
            <w:pPr>
              <w:pStyle w:val="17"/>
              <w:bidi w:val="0"/>
              <w:rPr>
                <w:color w:val="auto"/>
                <w:highlight w:val="none"/>
              </w:rPr>
            </w:pPr>
            <w:r>
              <w:rPr>
                <w:color w:val="auto"/>
                <w:highlight w:val="none"/>
              </w:rPr>
              <w:t>茚并[1、2、3-cd]芘</w:t>
            </w:r>
          </w:p>
        </w:tc>
        <w:tc>
          <w:tcPr>
            <w:tcW w:w="848" w:type="pct"/>
            <w:tcBorders>
              <w:tl2br w:val="nil"/>
              <w:tr2bl w:val="nil"/>
            </w:tcBorders>
            <w:vAlign w:val="center"/>
          </w:tcPr>
          <w:p w14:paraId="74913F69">
            <w:pPr>
              <w:pStyle w:val="17"/>
              <w:bidi w:val="0"/>
              <w:rPr>
                <w:color w:val="auto"/>
                <w:highlight w:val="none"/>
              </w:rPr>
            </w:pPr>
            <w:r>
              <w:rPr>
                <w:color w:val="auto"/>
                <w:highlight w:val="none"/>
              </w:rPr>
              <w:t>mg/kg</w:t>
            </w:r>
          </w:p>
        </w:tc>
        <w:tc>
          <w:tcPr>
            <w:tcW w:w="794" w:type="pct"/>
            <w:tcBorders>
              <w:tl2br w:val="nil"/>
              <w:tr2bl w:val="nil"/>
            </w:tcBorders>
            <w:vAlign w:val="center"/>
          </w:tcPr>
          <w:p w14:paraId="551375EF">
            <w:pPr>
              <w:pStyle w:val="17"/>
              <w:bidi w:val="0"/>
              <w:rPr>
                <w:rFonts w:hint="default"/>
                <w:color w:val="auto"/>
                <w:highlight w:val="none"/>
                <w:lang w:val="en-US" w:eastAsia="zh-CN"/>
              </w:rPr>
            </w:pPr>
            <w:r>
              <w:rPr>
                <w:rFonts w:hint="eastAsia"/>
                <w:color w:val="auto"/>
                <w:highlight w:val="none"/>
                <w:lang w:val="en-US" w:eastAsia="zh-CN"/>
              </w:rPr>
              <w:t>0.1L</w:t>
            </w:r>
          </w:p>
        </w:tc>
        <w:tc>
          <w:tcPr>
            <w:tcW w:w="715" w:type="pct"/>
            <w:tcBorders>
              <w:tl2br w:val="nil"/>
              <w:tr2bl w:val="nil"/>
            </w:tcBorders>
            <w:vAlign w:val="center"/>
          </w:tcPr>
          <w:p w14:paraId="2DEA255B">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5F5131F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3F5B8A87">
            <w:pPr>
              <w:pStyle w:val="17"/>
              <w:bidi w:val="0"/>
              <w:rPr>
                <w:color w:val="auto"/>
                <w:highlight w:val="none"/>
              </w:rPr>
            </w:pPr>
            <w:r>
              <w:rPr>
                <w:color w:val="auto"/>
                <w:highlight w:val="none"/>
              </w:rPr>
              <w:t>15</w:t>
            </w:r>
          </w:p>
        </w:tc>
      </w:tr>
      <w:tr w14:paraId="3E24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3B0EF693">
            <w:pPr>
              <w:pStyle w:val="17"/>
              <w:bidi w:val="0"/>
              <w:rPr>
                <w:color w:val="auto"/>
                <w:highlight w:val="none"/>
              </w:rPr>
            </w:pPr>
            <w:r>
              <w:rPr>
                <w:color w:val="auto"/>
                <w:highlight w:val="none"/>
              </w:rPr>
              <w:t>萘</w:t>
            </w:r>
          </w:p>
        </w:tc>
        <w:tc>
          <w:tcPr>
            <w:tcW w:w="848" w:type="pct"/>
            <w:tcBorders>
              <w:tl2br w:val="nil"/>
              <w:tr2bl w:val="nil"/>
            </w:tcBorders>
            <w:vAlign w:val="center"/>
          </w:tcPr>
          <w:p w14:paraId="039E04F6">
            <w:pPr>
              <w:pStyle w:val="17"/>
              <w:bidi w:val="0"/>
              <w:rPr>
                <w:color w:val="auto"/>
                <w:highlight w:val="none"/>
              </w:rPr>
            </w:pPr>
            <w:r>
              <w:rPr>
                <w:color w:val="auto"/>
                <w:highlight w:val="none"/>
              </w:rPr>
              <w:t>mg/kg</w:t>
            </w:r>
          </w:p>
        </w:tc>
        <w:tc>
          <w:tcPr>
            <w:tcW w:w="794" w:type="pct"/>
            <w:tcBorders>
              <w:tl2br w:val="nil"/>
              <w:tr2bl w:val="nil"/>
            </w:tcBorders>
            <w:vAlign w:val="center"/>
          </w:tcPr>
          <w:p w14:paraId="5F9CE9C7">
            <w:pPr>
              <w:pStyle w:val="17"/>
              <w:bidi w:val="0"/>
              <w:rPr>
                <w:rFonts w:hint="default"/>
                <w:color w:val="auto"/>
                <w:highlight w:val="none"/>
                <w:lang w:val="en-US" w:eastAsia="zh-CN"/>
              </w:rPr>
            </w:pPr>
            <w:r>
              <w:rPr>
                <w:rFonts w:hint="eastAsia"/>
                <w:color w:val="auto"/>
                <w:highlight w:val="none"/>
                <w:lang w:val="en-US" w:eastAsia="zh-CN"/>
              </w:rPr>
              <w:t>0.09L</w:t>
            </w:r>
          </w:p>
        </w:tc>
        <w:tc>
          <w:tcPr>
            <w:tcW w:w="715" w:type="pct"/>
            <w:tcBorders>
              <w:tl2br w:val="nil"/>
              <w:tr2bl w:val="nil"/>
            </w:tcBorders>
            <w:vAlign w:val="center"/>
          </w:tcPr>
          <w:p w14:paraId="61D79977">
            <w:pPr>
              <w:pStyle w:val="17"/>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720" w:type="pct"/>
            <w:tcBorders>
              <w:tl2br w:val="nil"/>
              <w:tr2bl w:val="nil"/>
            </w:tcBorders>
            <w:vAlign w:val="center"/>
          </w:tcPr>
          <w:p w14:paraId="1CC20B4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5" w:type="pct"/>
            <w:tcBorders>
              <w:tl2br w:val="nil"/>
              <w:tr2bl w:val="nil"/>
            </w:tcBorders>
            <w:vAlign w:val="center"/>
          </w:tcPr>
          <w:p w14:paraId="47C37B3D">
            <w:pPr>
              <w:pStyle w:val="17"/>
              <w:bidi w:val="0"/>
              <w:rPr>
                <w:color w:val="auto"/>
                <w:highlight w:val="none"/>
              </w:rPr>
            </w:pPr>
            <w:r>
              <w:rPr>
                <w:color w:val="auto"/>
                <w:highlight w:val="none"/>
              </w:rPr>
              <w:t>70</w:t>
            </w:r>
          </w:p>
        </w:tc>
      </w:tr>
      <w:tr w14:paraId="7126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3F91CAA5">
            <w:pPr>
              <w:pStyle w:val="17"/>
              <w:bidi w:val="0"/>
              <w:rPr>
                <w:rFonts w:hint="eastAsia"/>
                <w:color w:val="auto"/>
                <w:highlight w:val="none"/>
                <w:lang w:eastAsia="zh-CN"/>
              </w:rPr>
            </w:pPr>
            <w:r>
              <w:rPr>
                <w:rFonts w:hint="eastAsia"/>
                <w:color w:val="auto"/>
                <w:highlight w:val="none"/>
                <w:lang w:eastAsia="zh-CN"/>
              </w:rPr>
              <w:t>石油烃</w:t>
            </w:r>
          </w:p>
        </w:tc>
        <w:tc>
          <w:tcPr>
            <w:tcW w:w="848" w:type="pct"/>
            <w:tcBorders>
              <w:tl2br w:val="nil"/>
              <w:tr2bl w:val="nil"/>
            </w:tcBorders>
            <w:vAlign w:val="center"/>
          </w:tcPr>
          <w:p w14:paraId="6D5A4E09">
            <w:pPr>
              <w:pStyle w:val="17"/>
              <w:bidi w:val="0"/>
              <w:rPr>
                <w:color w:val="auto"/>
                <w:highlight w:val="none"/>
              </w:rPr>
            </w:pPr>
            <w:r>
              <w:rPr>
                <w:color w:val="auto"/>
                <w:highlight w:val="none"/>
              </w:rPr>
              <w:t>mg/kg</w:t>
            </w:r>
          </w:p>
        </w:tc>
        <w:tc>
          <w:tcPr>
            <w:tcW w:w="794" w:type="pct"/>
            <w:tcBorders>
              <w:tl2br w:val="nil"/>
              <w:tr2bl w:val="nil"/>
            </w:tcBorders>
            <w:vAlign w:val="center"/>
          </w:tcPr>
          <w:p w14:paraId="6ADA4195">
            <w:pPr>
              <w:pStyle w:val="17"/>
              <w:bidi w:val="0"/>
              <w:rPr>
                <w:rFonts w:hint="default"/>
                <w:color w:val="auto"/>
                <w:highlight w:val="none"/>
                <w:lang w:val="en-US" w:eastAsia="zh-CN"/>
              </w:rPr>
            </w:pPr>
            <w:r>
              <w:rPr>
                <w:rFonts w:hint="eastAsia"/>
                <w:color w:val="auto"/>
                <w:highlight w:val="none"/>
                <w:lang w:val="en-US" w:eastAsia="zh-CN"/>
              </w:rPr>
              <w:t>22</w:t>
            </w:r>
          </w:p>
        </w:tc>
        <w:tc>
          <w:tcPr>
            <w:tcW w:w="715" w:type="pct"/>
            <w:tcBorders>
              <w:tl2br w:val="nil"/>
              <w:tr2bl w:val="nil"/>
            </w:tcBorders>
            <w:vAlign w:val="center"/>
          </w:tcPr>
          <w:p w14:paraId="75BD36F0">
            <w:pPr>
              <w:pStyle w:val="17"/>
              <w:bidi w:val="0"/>
              <w:rPr>
                <w:rFonts w:hint="default"/>
                <w:color w:val="auto"/>
                <w:highlight w:val="none"/>
                <w:lang w:val="en-US" w:eastAsia="zh-CN"/>
              </w:rPr>
            </w:pPr>
            <w:r>
              <w:rPr>
                <w:rFonts w:hint="eastAsia"/>
                <w:color w:val="auto"/>
                <w:highlight w:val="none"/>
                <w:lang w:val="en-US" w:eastAsia="zh-CN"/>
              </w:rPr>
              <w:t>16</w:t>
            </w:r>
          </w:p>
        </w:tc>
        <w:tc>
          <w:tcPr>
            <w:tcW w:w="720" w:type="pct"/>
            <w:tcBorders>
              <w:tl2br w:val="nil"/>
              <w:tr2bl w:val="nil"/>
            </w:tcBorders>
            <w:vAlign w:val="center"/>
          </w:tcPr>
          <w:p w14:paraId="18A6E686">
            <w:pPr>
              <w:pStyle w:val="17"/>
              <w:bidi w:val="0"/>
              <w:rPr>
                <w:rFonts w:hint="default"/>
                <w:color w:val="auto"/>
                <w:highlight w:val="none"/>
                <w:lang w:val="en-US" w:eastAsia="zh-CN"/>
              </w:rPr>
            </w:pPr>
            <w:r>
              <w:rPr>
                <w:rFonts w:hint="eastAsia"/>
                <w:color w:val="auto"/>
                <w:highlight w:val="none"/>
                <w:lang w:val="en-US" w:eastAsia="zh-CN"/>
              </w:rPr>
              <w:t>15</w:t>
            </w:r>
          </w:p>
        </w:tc>
        <w:tc>
          <w:tcPr>
            <w:tcW w:w="715" w:type="pct"/>
            <w:tcBorders>
              <w:tl2br w:val="nil"/>
              <w:tr2bl w:val="nil"/>
            </w:tcBorders>
            <w:vAlign w:val="center"/>
          </w:tcPr>
          <w:p w14:paraId="75DDD52A">
            <w:pPr>
              <w:pStyle w:val="17"/>
              <w:bidi w:val="0"/>
              <w:rPr>
                <w:rFonts w:hint="default"/>
                <w:color w:val="auto"/>
                <w:highlight w:val="none"/>
                <w:lang w:val="en-US" w:eastAsia="zh-CN"/>
              </w:rPr>
            </w:pPr>
            <w:r>
              <w:rPr>
                <w:rFonts w:hint="eastAsia"/>
                <w:color w:val="auto"/>
                <w:highlight w:val="none"/>
                <w:lang w:val="en-US" w:eastAsia="zh-CN"/>
              </w:rPr>
              <w:t>4500</w:t>
            </w:r>
          </w:p>
        </w:tc>
      </w:tr>
      <w:tr w14:paraId="3762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05" w:type="pct"/>
            <w:tcBorders>
              <w:tl2br w:val="nil"/>
              <w:tr2bl w:val="nil"/>
            </w:tcBorders>
            <w:vAlign w:val="center"/>
          </w:tcPr>
          <w:p w14:paraId="5F2A52E4">
            <w:pPr>
              <w:pStyle w:val="17"/>
              <w:bidi w:val="0"/>
              <w:rPr>
                <w:rFonts w:hint="eastAsia"/>
                <w:color w:val="auto"/>
                <w:highlight w:val="none"/>
                <w:lang w:eastAsia="zh-CN"/>
              </w:rPr>
            </w:pPr>
            <w:r>
              <w:rPr>
                <w:rFonts w:hint="eastAsia"/>
                <w:color w:val="auto"/>
                <w:highlight w:val="none"/>
                <w:lang w:eastAsia="zh-CN"/>
              </w:rPr>
              <w:t>含盐量</w:t>
            </w:r>
          </w:p>
        </w:tc>
        <w:tc>
          <w:tcPr>
            <w:tcW w:w="848" w:type="pct"/>
            <w:tcBorders>
              <w:tl2br w:val="nil"/>
              <w:tr2bl w:val="nil"/>
            </w:tcBorders>
            <w:vAlign w:val="center"/>
          </w:tcPr>
          <w:p w14:paraId="5327CCA7">
            <w:pPr>
              <w:pStyle w:val="17"/>
              <w:bidi w:val="0"/>
              <w:rPr>
                <w:color w:val="auto"/>
                <w:highlight w:val="none"/>
              </w:rPr>
            </w:pPr>
            <w:r>
              <w:rPr>
                <w:color w:val="auto"/>
                <w:highlight w:val="none"/>
              </w:rPr>
              <w:t>g/kg</w:t>
            </w:r>
          </w:p>
        </w:tc>
        <w:tc>
          <w:tcPr>
            <w:tcW w:w="794" w:type="pct"/>
            <w:tcBorders>
              <w:tl2br w:val="nil"/>
              <w:tr2bl w:val="nil"/>
            </w:tcBorders>
            <w:vAlign w:val="center"/>
          </w:tcPr>
          <w:p w14:paraId="1AB055A8">
            <w:pPr>
              <w:pStyle w:val="17"/>
              <w:bidi w:val="0"/>
              <w:rPr>
                <w:rFonts w:hint="default"/>
                <w:color w:val="auto"/>
                <w:highlight w:val="none"/>
                <w:lang w:val="en-US" w:eastAsia="zh-CN"/>
              </w:rPr>
            </w:pPr>
            <w:r>
              <w:rPr>
                <w:rFonts w:hint="eastAsia"/>
                <w:color w:val="auto"/>
                <w:highlight w:val="none"/>
                <w:lang w:val="en-US" w:eastAsia="zh-CN"/>
              </w:rPr>
              <w:t>20.2</w:t>
            </w:r>
          </w:p>
        </w:tc>
        <w:tc>
          <w:tcPr>
            <w:tcW w:w="715" w:type="pct"/>
            <w:tcBorders>
              <w:tl2br w:val="nil"/>
              <w:tr2bl w:val="nil"/>
            </w:tcBorders>
            <w:vAlign w:val="center"/>
          </w:tcPr>
          <w:p w14:paraId="51279ED2">
            <w:pPr>
              <w:pStyle w:val="17"/>
              <w:bidi w:val="0"/>
              <w:rPr>
                <w:rFonts w:hint="default"/>
                <w:color w:val="auto"/>
                <w:highlight w:val="none"/>
                <w:lang w:val="en-US" w:eastAsia="zh-CN"/>
              </w:rPr>
            </w:pPr>
            <w:r>
              <w:rPr>
                <w:rFonts w:hint="eastAsia"/>
                <w:color w:val="auto"/>
                <w:highlight w:val="none"/>
                <w:lang w:val="en-US" w:eastAsia="zh-CN"/>
              </w:rPr>
              <w:t>13.6</w:t>
            </w:r>
          </w:p>
        </w:tc>
        <w:tc>
          <w:tcPr>
            <w:tcW w:w="720" w:type="pct"/>
            <w:tcBorders>
              <w:tl2br w:val="nil"/>
              <w:tr2bl w:val="nil"/>
            </w:tcBorders>
            <w:vAlign w:val="center"/>
          </w:tcPr>
          <w:p w14:paraId="1E2BE62F">
            <w:pPr>
              <w:pStyle w:val="17"/>
              <w:bidi w:val="0"/>
              <w:rPr>
                <w:rFonts w:hint="default"/>
                <w:color w:val="auto"/>
                <w:highlight w:val="none"/>
                <w:lang w:val="en-US" w:eastAsia="zh-CN"/>
              </w:rPr>
            </w:pPr>
            <w:r>
              <w:rPr>
                <w:rFonts w:hint="eastAsia"/>
                <w:color w:val="auto"/>
                <w:highlight w:val="none"/>
                <w:lang w:val="en-US" w:eastAsia="zh-CN"/>
              </w:rPr>
              <w:t>9.74</w:t>
            </w:r>
          </w:p>
        </w:tc>
        <w:tc>
          <w:tcPr>
            <w:tcW w:w="715" w:type="pct"/>
            <w:tcBorders>
              <w:tl2br w:val="nil"/>
              <w:tr2bl w:val="nil"/>
            </w:tcBorders>
            <w:vAlign w:val="center"/>
          </w:tcPr>
          <w:p w14:paraId="3A3ED981">
            <w:pPr>
              <w:pStyle w:val="17"/>
              <w:bidi w:val="0"/>
              <w:rPr>
                <w:rFonts w:hint="eastAsia"/>
                <w:color w:val="auto"/>
                <w:highlight w:val="none"/>
                <w:lang w:val="en-US" w:eastAsia="zh-CN"/>
              </w:rPr>
            </w:pPr>
            <w:r>
              <w:rPr>
                <w:rFonts w:hint="eastAsia"/>
                <w:color w:val="auto"/>
                <w:highlight w:val="none"/>
                <w:lang w:val="en-US" w:eastAsia="zh-CN"/>
              </w:rPr>
              <w:t>/</w:t>
            </w:r>
          </w:p>
        </w:tc>
      </w:tr>
    </w:tbl>
    <w:p w14:paraId="52334168">
      <w:pPr>
        <w:ind w:firstLine="0" w:firstLineChars="0"/>
        <w:jc w:val="center"/>
        <w:rPr>
          <w:rFonts w:hint="eastAsia"/>
          <w:b/>
          <w:bCs/>
          <w:color w:val="auto"/>
          <w:highlight w:val="none"/>
          <w:lang w:val="en-US" w:eastAsia="zh-CN"/>
        </w:rPr>
      </w:pPr>
      <w:r>
        <w:rPr>
          <w:rFonts w:cs="宋体"/>
          <w:b/>
          <w:bCs/>
          <w:color w:val="auto"/>
          <w:highlight w:val="none"/>
        </w:rPr>
        <w:t>表4.2-</w:t>
      </w:r>
      <w:r>
        <w:rPr>
          <w:rFonts w:hint="eastAsia" w:cs="宋体"/>
          <w:b/>
          <w:bCs/>
          <w:color w:val="auto"/>
          <w:highlight w:val="none"/>
        </w:rPr>
        <w:t>1</w:t>
      </w:r>
      <w:r>
        <w:rPr>
          <w:rFonts w:hint="eastAsia" w:cs="宋体"/>
          <w:b/>
          <w:bCs/>
          <w:color w:val="auto"/>
          <w:highlight w:val="none"/>
          <w:lang w:val="en-US" w:eastAsia="zh-CN"/>
        </w:rPr>
        <w:t>2</w:t>
      </w:r>
      <w:r>
        <w:rPr>
          <w:rFonts w:cs="宋体"/>
          <w:b/>
          <w:bCs/>
          <w:color w:val="auto"/>
          <w:highlight w:val="none"/>
        </w:rPr>
        <w:t xml:space="preserve">    </w:t>
      </w:r>
      <w:r>
        <w:rPr>
          <w:rFonts w:hint="eastAsia"/>
          <w:b/>
          <w:bCs/>
          <w:color w:val="auto"/>
          <w:highlight w:val="none"/>
          <w:lang w:val="en-US" w:eastAsia="zh-CN"/>
        </w:rPr>
        <w:t>采选区</w:t>
      </w:r>
      <w:r>
        <w:rPr>
          <w:rFonts w:ascii="Times New Roman"/>
          <w:b/>
          <w:bCs/>
          <w:color w:val="auto"/>
          <w:highlight w:val="none"/>
        </w:rPr>
        <w:t>土壤环境质量监测结果</w:t>
      </w:r>
      <w:r>
        <w:rPr>
          <w:rFonts w:hint="eastAsia"/>
          <w:b/>
          <w:bCs/>
          <w:color w:val="auto"/>
          <w:highlight w:val="none"/>
          <w:lang w:eastAsia="zh-CN"/>
        </w:rPr>
        <w:t>（</w:t>
      </w:r>
      <w:r>
        <w:rPr>
          <w:rFonts w:hint="eastAsia"/>
          <w:b/>
          <w:bCs/>
          <w:color w:val="auto"/>
          <w:highlight w:val="none"/>
          <w:lang w:val="en-US" w:eastAsia="zh-CN"/>
        </w:rPr>
        <w:t>项目区外）</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74F5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Merge w:val="restart"/>
            <w:shd w:val="clear" w:color="auto" w:fill="auto"/>
            <w:vAlign w:val="center"/>
          </w:tcPr>
          <w:p w14:paraId="1857B909">
            <w:pPr>
              <w:pStyle w:val="17"/>
              <w:bidi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color w:val="auto"/>
                <w:highlight w:val="none"/>
              </w:rPr>
              <w:t>检测项目</w:t>
            </w:r>
          </w:p>
        </w:tc>
        <w:tc>
          <w:tcPr>
            <w:tcW w:w="1704" w:type="dxa"/>
            <w:vMerge w:val="restart"/>
            <w:shd w:val="clear" w:color="auto" w:fill="auto"/>
            <w:vAlign w:val="center"/>
          </w:tcPr>
          <w:p w14:paraId="16821FBF">
            <w:pPr>
              <w:pStyle w:val="17"/>
              <w:bidi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color w:val="auto"/>
                <w:highlight w:val="none"/>
              </w:rPr>
              <w:t>单位</w:t>
            </w:r>
          </w:p>
        </w:tc>
        <w:tc>
          <w:tcPr>
            <w:tcW w:w="3409" w:type="dxa"/>
            <w:gridSpan w:val="2"/>
            <w:vAlign w:val="center"/>
          </w:tcPr>
          <w:p w14:paraId="0604C761">
            <w:pPr>
              <w:pStyle w:val="17"/>
              <w:bidi w:val="0"/>
              <w:spacing w:line="240" w:lineRule="auto"/>
              <w:jc w:val="center"/>
              <w:rPr>
                <w:rFonts w:hint="eastAsia"/>
                <w:color w:val="auto"/>
                <w:highlight w:val="none"/>
                <w:lang w:val="en-US" w:eastAsia="zh-CN"/>
              </w:rPr>
            </w:pPr>
            <w:r>
              <w:rPr>
                <w:color w:val="auto"/>
                <w:highlight w:val="none"/>
              </w:rPr>
              <w:t>检测结果</w:t>
            </w:r>
          </w:p>
        </w:tc>
        <w:tc>
          <w:tcPr>
            <w:tcW w:w="1705" w:type="dxa"/>
            <w:vMerge w:val="restart"/>
            <w:vAlign w:val="center"/>
          </w:tcPr>
          <w:p w14:paraId="35CEDB6F">
            <w:pPr>
              <w:pStyle w:val="17"/>
              <w:bidi w:val="0"/>
              <w:spacing w:line="240" w:lineRule="auto"/>
              <w:jc w:val="center"/>
              <w:rPr>
                <w:rFonts w:hint="eastAsia"/>
                <w:color w:val="auto"/>
                <w:highlight w:val="none"/>
                <w:lang w:val="en-US" w:eastAsia="zh-CN"/>
              </w:rPr>
            </w:pPr>
            <w:r>
              <w:rPr>
                <w:rFonts w:hint="eastAsia"/>
                <w:color w:val="auto"/>
                <w:highlight w:val="none"/>
              </w:rPr>
              <w:t>标准值</w:t>
            </w:r>
          </w:p>
        </w:tc>
      </w:tr>
      <w:tr w14:paraId="2508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Merge w:val="continue"/>
            <w:shd w:val="clear" w:color="auto" w:fill="auto"/>
            <w:vAlign w:val="center"/>
          </w:tcPr>
          <w:p w14:paraId="78F2DBA0">
            <w:pPr>
              <w:pStyle w:val="17"/>
              <w:bidi w:val="0"/>
              <w:spacing w:line="240" w:lineRule="auto"/>
              <w:ind w:firstLine="0" w:firstLineChars="0"/>
              <w:jc w:val="center"/>
              <w:rPr>
                <w:color w:val="auto"/>
                <w:highlight w:val="none"/>
              </w:rPr>
            </w:pPr>
          </w:p>
        </w:tc>
        <w:tc>
          <w:tcPr>
            <w:tcW w:w="1704" w:type="dxa"/>
            <w:vMerge w:val="continue"/>
            <w:shd w:val="clear" w:color="auto" w:fill="auto"/>
            <w:vAlign w:val="center"/>
          </w:tcPr>
          <w:p w14:paraId="7BDF7681">
            <w:pPr>
              <w:pStyle w:val="17"/>
              <w:bidi w:val="0"/>
              <w:spacing w:line="240" w:lineRule="auto"/>
              <w:ind w:firstLine="0" w:firstLineChars="0"/>
              <w:jc w:val="center"/>
              <w:rPr>
                <w:color w:val="auto"/>
                <w:highlight w:val="none"/>
              </w:rPr>
            </w:pPr>
          </w:p>
        </w:tc>
        <w:tc>
          <w:tcPr>
            <w:tcW w:w="1704" w:type="dxa"/>
            <w:vAlign w:val="center"/>
          </w:tcPr>
          <w:p w14:paraId="129EDC9C">
            <w:pPr>
              <w:pStyle w:val="17"/>
              <w:bidi w:val="0"/>
              <w:spacing w:line="240" w:lineRule="auto"/>
              <w:jc w:val="center"/>
              <w:rPr>
                <w:rFonts w:hint="default" w:eastAsia="宋体"/>
                <w:color w:val="auto"/>
                <w:highlight w:val="none"/>
                <w:lang w:val="en-US" w:eastAsia="zh-CN"/>
              </w:rPr>
            </w:pPr>
            <w:r>
              <w:rPr>
                <w:rFonts w:hint="eastAsia"/>
                <w:color w:val="auto"/>
                <w:highlight w:val="none"/>
                <w:lang w:val="en-US" w:eastAsia="zh-CN"/>
              </w:rPr>
              <w:t>T4</w:t>
            </w:r>
          </w:p>
        </w:tc>
        <w:tc>
          <w:tcPr>
            <w:tcW w:w="1705" w:type="dxa"/>
            <w:vAlign w:val="center"/>
          </w:tcPr>
          <w:p w14:paraId="3DA2C459">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T5</w:t>
            </w:r>
          </w:p>
        </w:tc>
        <w:tc>
          <w:tcPr>
            <w:tcW w:w="1705" w:type="dxa"/>
            <w:vMerge w:val="continue"/>
            <w:vAlign w:val="center"/>
          </w:tcPr>
          <w:p w14:paraId="0A8E3DC6">
            <w:pPr>
              <w:bidi w:val="0"/>
              <w:spacing w:line="240" w:lineRule="auto"/>
              <w:jc w:val="center"/>
              <w:rPr>
                <w:rFonts w:hint="eastAsia"/>
                <w:color w:val="auto"/>
                <w:highlight w:val="none"/>
              </w:rPr>
            </w:pPr>
          </w:p>
        </w:tc>
      </w:tr>
      <w:tr w14:paraId="100B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75ABCE7B">
            <w:pPr>
              <w:pStyle w:val="17"/>
              <w:bidi w:val="0"/>
              <w:spacing w:line="240" w:lineRule="auto"/>
              <w:jc w:val="center"/>
              <w:rPr>
                <w:rFonts w:hint="eastAsia"/>
                <w:color w:val="auto"/>
                <w:highlight w:val="none"/>
                <w:lang w:val="en-US" w:eastAsia="zh-CN"/>
              </w:rPr>
            </w:pPr>
            <w:r>
              <w:rPr>
                <w:color w:val="auto"/>
                <w:highlight w:val="none"/>
              </w:rPr>
              <w:t>pH</w:t>
            </w:r>
          </w:p>
        </w:tc>
        <w:tc>
          <w:tcPr>
            <w:tcW w:w="1704" w:type="dxa"/>
            <w:vAlign w:val="center"/>
          </w:tcPr>
          <w:p w14:paraId="2088A3A9">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无量纲</w:t>
            </w:r>
          </w:p>
        </w:tc>
        <w:tc>
          <w:tcPr>
            <w:tcW w:w="1704" w:type="dxa"/>
            <w:vAlign w:val="center"/>
          </w:tcPr>
          <w:p w14:paraId="645F9EBC">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8.65</w:t>
            </w:r>
          </w:p>
        </w:tc>
        <w:tc>
          <w:tcPr>
            <w:tcW w:w="1705" w:type="dxa"/>
            <w:vAlign w:val="center"/>
          </w:tcPr>
          <w:p w14:paraId="24810041">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8.71</w:t>
            </w:r>
          </w:p>
        </w:tc>
        <w:tc>
          <w:tcPr>
            <w:tcW w:w="1705" w:type="dxa"/>
            <w:vAlign w:val="center"/>
          </w:tcPr>
          <w:p w14:paraId="321AB3EC">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w:t>
            </w:r>
          </w:p>
        </w:tc>
      </w:tr>
      <w:tr w14:paraId="62E1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419924E6">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镉</w:t>
            </w:r>
          </w:p>
        </w:tc>
        <w:tc>
          <w:tcPr>
            <w:tcW w:w="1704" w:type="dxa"/>
            <w:vAlign w:val="center"/>
          </w:tcPr>
          <w:p w14:paraId="063E2E0A">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019E47EB">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0.14</w:t>
            </w:r>
          </w:p>
        </w:tc>
        <w:tc>
          <w:tcPr>
            <w:tcW w:w="1705" w:type="dxa"/>
            <w:vAlign w:val="center"/>
          </w:tcPr>
          <w:p w14:paraId="5F8F64B8">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0.10</w:t>
            </w:r>
          </w:p>
        </w:tc>
        <w:tc>
          <w:tcPr>
            <w:tcW w:w="1705" w:type="dxa"/>
            <w:vAlign w:val="center"/>
          </w:tcPr>
          <w:p w14:paraId="3E134DE2">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0.6</w:t>
            </w:r>
          </w:p>
        </w:tc>
      </w:tr>
      <w:tr w14:paraId="3157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446D26D8">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汞</w:t>
            </w:r>
          </w:p>
        </w:tc>
        <w:tc>
          <w:tcPr>
            <w:tcW w:w="1704" w:type="dxa"/>
            <w:vAlign w:val="center"/>
          </w:tcPr>
          <w:p w14:paraId="61780217">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67A76D9C">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0.019</w:t>
            </w:r>
          </w:p>
        </w:tc>
        <w:tc>
          <w:tcPr>
            <w:tcW w:w="1705" w:type="dxa"/>
            <w:vAlign w:val="center"/>
          </w:tcPr>
          <w:p w14:paraId="2DBB71D9">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0.018</w:t>
            </w:r>
          </w:p>
        </w:tc>
        <w:tc>
          <w:tcPr>
            <w:tcW w:w="1705" w:type="dxa"/>
            <w:vAlign w:val="center"/>
          </w:tcPr>
          <w:p w14:paraId="4550F1FF">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3.4</w:t>
            </w:r>
          </w:p>
        </w:tc>
      </w:tr>
      <w:tr w14:paraId="1962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48685A59">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砷</w:t>
            </w:r>
          </w:p>
        </w:tc>
        <w:tc>
          <w:tcPr>
            <w:tcW w:w="1704" w:type="dxa"/>
            <w:vAlign w:val="center"/>
          </w:tcPr>
          <w:p w14:paraId="7AA8BAAD">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1B60F942">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13.3</w:t>
            </w:r>
          </w:p>
        </w:tc>
        <w:tc>
          <w:tcPr>
            <w:tcW w:w="1705" w:type="dxa"/>
            <w:vAlign w:val="center"/>
          </w:tcPr>
          <w:p w14:paraId="30AC5DDC">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11.8</w:t>
            </w:r>
          </w:p>
        </w:tc>
        <w:tc>
          <w:tcPr>
            <w:tcW w:w="1705" w:type="dxa"/>
            <w:vAlign w:val="center"/>
          </w:tcPr>
          <w:p w14:paraId="0DCEC6D4">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25</w:t>
            </w:r>
          </w:p>
        </w:tc>
      </w:tr>
      <w:tr w14:paraId="49D7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349D2731">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铅</w:t>
            </w:r>
          </w:p>
        </w:tc>
        <w:tc>
          <w:tcPr>
            <w:tcW w:w="1704" w:type="dxa"/>
            <w:vAlign w:val="center"/>
          </w:tcPr>
          <w:p w14:paraId="33154A4A">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44D9D1CC">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14</w:t>
            </w:r>
          </w:p>
        </w:tc>
        <w:tc>
          <w:tcPr>
            <w:tcW w:w="1705" w:type="dxa"/>
            <w:vAlign w:val="center"/>
          </w:tcPr>
          <w:p w14:paraId="4DCCDB20">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11</w:t>
            </w:r>
          </w:p>
        </w:tc>
        <w:tc>
          <w:tcPr>
            <w:tcW w:w="1705" w:type="dxa"/>
            <w:vAlign w:val="center"/>
          </w:tcPr>
          <w:p w14:paraId="04D3434F">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170</w:t>
            </w:r>
          </w:p>
        </w:tc>
      </w:tr>
      <w:tr w14:paraId="780D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7CACB4D8">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铬</w:t>
            </w:r>
          </w:p>
        </w:tc>
        <w:tc>
          <w:tcPr>
            <w:tcW w:w="1704" w:type="dxa"/>
            <w:vAlign w:val="center"/>
          </w:tcPr>
          <w:p w14:paraId="491384D8">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758C7D5C">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60</w:t>
            </w:r>
          </w:p>
        </w:tc>
        <w:tc>
          <w:tcPr>
            <w:tcW w:w="1705" w:type="dxa"/>
            <w:vAlign w:val="center"/>
          </w:tcPr>
          <w:p w14:paraId="6B63DBD0">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61</w:t>
            </w:r>
          </w:p>
        </w:tc>
        <w:tc>
          <w:tcPr>
            <w:tcW w:w="1705" w:type="dxa"/>
            <w:vAlign w:val="center"/>
          </w:tcPr>
          <w:p w14:paraId="60ED8052">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250</w:t>
            </w:r>
          </w:p>
        </w:tc>
      </w:tr>
      <w:tr w14:paraId="5BDD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68A9C6C7">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铜</w:t>
            </w:r>
          </w:p>
        </w:tc>
        <w:tc>
          <w:tcPr>
            <w:tcW w:w="1704" w:type="dxa"/>
            <w:vAlign w:val="center"/>
          </w:tcPr>
          <w:p w14:paraId="5308F5F7">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267E7072">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17</w:t>
            </w:r>
          </w:p>
        </w:tc>
        <w:tc>
          <w:tcPr>
            <w:tcW w:w="1705" w:type="dxa"/>
            <w:vAlign w:val="center"/>
          </w:tcPr>
          <w:p w14:paraId="4A3D278D">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14</w:t>
            </w:r>
          </w:p>
        </w:tc>
        <w:tc>
          <w:tcPr>
            <w:tcW w:w="1705" w:type="dxa"/>
            <w:vAlign w:val="center"/>
          </w:tcPr>
          <w:p w14:paraId="10070420">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100</w:t>
            </w:r>
          </w:p>
        </w:tc>
      </w:tr>
      <w:tr w14:paraId="195D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079BCA85">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镍</w:t>
            </w:r>
          </w:p>
        </w:tc>
        <w:tc>
          <w:tcPr>
            <w:tcW w:w="1704" w:type="dxa"/>
            <w:vAlign w:val="center"/>
          </w:tcPr>
          <w:p w14:paraId="656B9C88">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6D30DF55">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31</w:t>
            </w:r>
          </w:p>
        </w:tc>
        <w:tc>
          <w:tcPr>
            <w:tcW w:w="1705" w:type="dxa"/>
            <w:vAlign w:val="center"/>
          </w:tcPr>
          <w:p w14:paraId="2D23BEF4">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29</w:t>
            </w:r>
          </w:p>
        </w:tc>
        <w:tc>
          <w:tcPr>
            <w:tcW w:w="1705" w:type="dxa"/>
            <w:vAlign w:val="center"/>
          </w:tcPr>
          <w:p w14:paraId="489EACE2">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190</w:t>
            </w:r>
          </w:p>
        </w:tc>
      </w:tr>
      <w:tr w14:paraId="1B08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1C5AA62E">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锌</w:t>
            </w:r>
          </w:p>
        </w:tc>
        <w:tc>
          <w:tcPr>
            <w:tcW w:w="1704" w:type="dxa"/>
            <w:vAlign w:val="center"/>
          </w:tcPr>
          <w:p w14:paraId="76274D9E">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2EA84016">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62</w:t>
            </w:r>
          </w:p>
        </w:tc>
        <w:tc>
          <w:tcPr>
            <w:tcW w:w="1705" w:type="dxa"/>
            <w:vAlign w:val="center"/>
          </w:tcPr>
          <w:p w14:paraId="1B38E4C4">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56</w:t>
            </w:r>
          </w:p>
        </w:tc>
        <w:tc>
          <w:tcPr>
            <w:tcW w:w="1705" w:type="dxa"/>
            <w:vAlign w:val="center"/>
          </w:tcPr>
          <w:p w14:paraId="67DAD114">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300</w:t>
            </w:r>
          </w:p>
        </w:tc>
      </w:tr>
      <w:tr w14:paraId="4EA5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shd w:val="clear" w:color="auto" w:fill="auto"/>
            <w:vAlign w:val="center"/>
          </w:tcPr>
          <w:p w14:paraId="040BE2C8">
            <w:pPr>
              <w:pStyle w:val="17"/>
              <w:bidi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石油烃</w:t>
            </w:r>
          </w:p>
        </w:tc>
        <w:tc>
          <w:tcPr>
            <w:tcW w:w="1704" w:type="dxa"/>
            <w:vAlign w:val="center"/>
          </w:tcPr>
          <w:p w14:paraId="35B40A2C">
            <w:pPr>
              <w:pStyle w:val="17"/>
              <w:bidi w:val="0"/>
              <w:spacing w:line="240" w:lineRule="auto"/>
              <w:jc w:val="center"/>
              <w:rPr>
                <w:rFonts w:hint="eastAsia"/>
                <w:color w:val="auto"/>
                <w:highlight w:val="none"/>
                <w:lang w:val="en-US" w:eastAsia="zh-CN"/>
              </w:rPr>
            </w:pPr>
            <w:r>
              <w:rPr>
                <w:color w:val="auto"/>
                <w:highlight w:val="none"/>
              </w:rPr>
              <w:t>mg/kg</w:t>
            </w:r>
          </w:p>
        </w:tc>
        <w:tc>
          <w:tcPr>
            <w:tcW w:w="1704" w:type="dxa"/>
            <w:vAlign w:val="center"/>
          </w:tcPr>
          <w:p w14:paraId="518D876E">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12</w:t>
            </w:r>
          </w:p>
        </w:tc>
        <w:tc>
          <w:tcPr>
            <w:tcW w:w="1705" w:type="dxa"/>
            <w:vAlign w:val="center"/>
          </w:tcPr>
          <w:p w14:paraId="4FAC6CD2">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13</w:t>
            </w:r>
          </w:p>
        </w:tc>
        <w:tc>
          <w:tcPr>
            <w:tcW w:w="1705" w:type="dxa"/>
            <w:vAlign w:val="center"/>
          </w:tcPr>
          <w:p w14:paraId="17C3BB3B">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4500</w:t>
            </w:r>
          </w:p>
        </w:tc>
      </w:tr>
      <w:tr w14:paraId="713F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shd w:val="clear" w:color="auto" w:fill="auto"/>
            <w:vAlign w:val="center"/>
          </w:tcPr>
          <w:p w14:paraId="31815877">
            <w:pPr>
              <w:pStyle w:val="17"/>
              <w:bidi w:val="0"/>
              <w:spacing w:line="240" w:lineRule="auto"/>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含盐量</w:t>
            </w:r>
          </w:p>
        </w:tc>
        <w:tc>
          <w:tcPr>
            <w:tcW w:w="1704" w:type="dxa"/>
            <w:vAlign w:val="center"/>
          </w:tcPr>
          <w:p w14:paraId="0F8D30C8">
            <w:pPr>
              <w:pStyle w:val="17"/>
              <w:bidi w:val="0"/>
              <w:spacing w:line="240" w:lineRule="auto"/>
              <w:jc w:val="center"/>
              <w:rPr>
                <w:rFonts w:hint="eastAsia"/>
                <w:color w:val="auto"/>
                <w:highlight w:val="none"/>
                <w:lang w:val="en-US" w:eastAsia="zh-CN"/>
              </w:rPr>
            </w:pPr>
            <w:r>
              <w:rPr>
                <w:color w:val="auto"/>
                <w:highlight w:val="none"/>
              </w:rPr>
              <w:t>g/kg</w:t>
            </w:r>
          </w:p>
        </w:tc>
        <w:tc>
          <w:tcPr>
            <w:tcW w:w="1704" w:type="dxa"/>
            <w:vAlign w:val="center"/>
          </w:tcPr>
          <w:p w14:paraId="091D74CF">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15.2</w:t>
            </w:r>
          </w:p>
        </w:tc>
        <w:tc>
          <w:tcPr>
            <w:tcW w:w="1705" w:type="dxa"/>
            <w:vAlign w:val="center"/>
          </w:tcPr>
          <w:p w14:paraId="66053C7C">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50.9</w:t>
            </w:r>
          </w:p>
        </w:tc>
        <w:tc>
          <w:tcPr>
            <w:tcW w:w="1705" w:type="dxa"/>
            <w:vAlign w:val="center"/>
          </w:tcPr>
          <w:p w14:paraId="58E12D8B">
            <w:pPr>
              <w:pStyle w:val="17"/>
              <w:bidi w:val="0"/>
              <w:spacing w:line="240" w:lineRule="auto"/>
              <w:jc w:val="center"/>
              <w:rPr>
                <w:rFonts w:hint="default"/>
                <w:color w:val="auto"/>
                <w:highlight w:val="none"/>
                <w:lang w:val="en-US" w:eastAsia="zh-CN"/>
              </w:rPr>
            </w:pPr>
            <w:r>
              <w:rPr>
                <w:rFonts w:hint="eastAsia"/>
                <w:color w:val="auto"/>
                <w:highlight w:val="none"/>
                <w:lang w:val="en-US" w:eastAsia="zh-CN"/>
              </w:rPr>
              <w:t>/</w:t>
            </w:r>
          </w:p>
        </w:tc>
      </w:tr>
    </w:tbl>
    <w:p w14:paraId="49DC6A28">
      <w:pPr>
        <w:ind w:firstLine="0" w:firstLineChars="0"/>
        <w:jc w:val="center"/>
        <w:rPr>
          <w:rFonts w:hint="default" w:eastAsia="宋体" w:cs="宋体"/>
          <w:b/>
          <w:bCs/>
          <w:color w:val="auto"/>
          <w:highlight w:val="none"/>
          <w:lang w:val="en-US" w:eastAsia="zh-CN"/>
        </w:rPr>
      </w:pPr>
      <w:r>
        <w:rPr>
          <w:rFonts w:hint="eastAsia"/>
          <w:b/>
          <w:bCs/>
          <w:color w:val="auto"/>
          <w:highlight w:val="none"/>
          <w:lang w:val="en-US" w:eastAsia="zh-CN"/>
        </w:rPr>
        <w:t>表4.2-13</w:t>
      </w:r>
      <w:r>
        <w:rPr>
          <w:rFonts w:hint="eastAsia" w:cs="宋体"/>
          <w:b/>
          <w:bCs/>
          <w:color w:val="auto"/>
          <w:highlight w:val="none"/>
          <w:lang w:eastAsia="zh-CN"/>
        </w:rPr>
        <w:t>尾矿库</w:t>
      </w:r>
      <w:r>
        <w:rPr>
          <w:rFonts w:cs="宋体"/>
          <w:b/>
          <w:bCs/>
          <w:color w:val="auto"/>
          <w:highlight w:val="none"/>
        </w:rPr>
        <w:t>土壤环境质量监测结果</w:t>
      </w:r>
      <w:r>
        <w:rPr>
          <w:rFonts w:hint="eastAsia" w:cs="宋体"/>
          <w:b/>
          <w:bCs/>
          <w:color w:val="auto"/>
          <w:highlight w:val="none"/>
          <w:lang w:eastAsia="zh-CN"/>
        </w:rPr>
        <w:t>（</w:t>
      </w:r>
      <w:r>
        <w:rPr>
          <w:rFonts w:hint="eastAsia" w:cs="宋体"/>
          <w:b/>
          <w:bCs/>
          <w:color w:val="auto"/>
          <w:highlight w:val="none"/>
          <w:lang w:val="en-US" w:eastAsia="zh-CN"/>
        </w:rPr>
        <w:t>项目区内）</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92"/>
        <w:gridCol w:w="1417"/>
        <w:gridCol w:w="1239"/>
        <w:gridCol w:w="1194"/>
        <w:gridCol w:w="1197"/>
        <w:gridCol w:w="1194"/>
      </w:tblGrid>
      <w:tr w14:paraId="539A2D3F">
        <w:tblPrEx>
          <w:tblCellMar>
            <w:top w:w="15" w:type="dxa"/>
            <w:left w:w="15" w:type="dxa"/>
            <w:bottom w:w="15" w:type="dxa"/>
            <w:right w:w="15" w:type="dxa"/>
          </w:tblCellMar>
        </w:tblPrEx>
        <w:trPr>
          <w:trHeight w:val="340" w:hRule="atLeast"/>
          <w:tblHeader/>
          <w:jc w:val="center"/>
        </w:trPr>
        <w:tc>
          <w:tcPr>
            <w:tcW w:w="1255" w:type="pct"/>
            <w:vMerge w:val="restart"/>
            <w:tcBorders>
              <w:tl2br w:val="nil"/>
              <w:tr2bl w:val="nil"/>
            </w:tcBorders>
            <w:vAlign w:val="center"/>
          </w:tcPr>
          <w:p w14:paraId="33468D23">
            <w:pPr>
              <w:pStyle w:val="17"/>
              <w:bidi w:val="0"/>
              <w:rPr>
                <w:color w:val="auto"/>
                <w:highlight w:val="none"/>
              </w:rPr>
            </w:pPr>
            <w:r>
              <w:rPr>
                <w:color w:val="auto"/>
                <w:highlight w:val="none"/>
              </w:rPr>
              <w:t>检测项目</w:t>
            </w:r>
          </w:p>
        </w:tc>
        <w:tc>
          <w:tcPr>
            <w:tcW w:w="850" w:type="pct"/>
            <w:vMerge w:val="restart"/>
            <w:tcBorders>
              <w:tl2br w:val="nil"/>
              <w:tr2bl w:val="nil"/>
            </w:tcBorders>
            <w:vAlign w:val="center"/>
          </w:tcPr>
          <w:p w14:paraId="697BA7C0">
            <w:pPr>
              <w:pStyle w:val="17"/>
              <w:bidi w:val="0"/>
              <w:rPr>
                <w:color w:val="auto"/>
                <w:highlight w:val="none"/>
              </w:rPr>
            </w:pPr>
            <w:r>
              <w:rPr>
                <w:color w:val="auto"/>
                <w:highlight w:val="none"/>
              </w:rPr>
              <w:t>单位</w:t>
            </w:r>
          </w:p>
        </w:tc>
        <w:tc>
          <w:tcPr>
            <w:tcW w:w="2177" w:type="pct"/>
            <w:gridSpan w:val="3"/>
            <w:tcBorders>
              <w:tl2br w:val="nil"/>
              <w:tr2bl w:val="nil"/>
            </w:tcBorders>
            <w:vAlign w:val="center"/>
          </w:tcPr>
          <w:p w14:paraId="0268F99B">
            <w:pPr>
              <w:pStyle w:val="17"/>
              <w:bidi w:val="0"/>
              <w:rPr>
                <w:color w:val="auto"/>
                <w:highlight w:val="none"/>
              </w:rPr>
            </w:pPr>
            <w:r>
              <w:rPr>
                <w:color w:val="auto"/>
                <w:highlight w:val="none"/>
              </w:rPr>
              <w:t>检测结果</w:t>
            </w:r>
          </w:p>
        </w:tc>
        <w:tc>
          <w:tcPr>
            <w:tcW w:w="716" w:type="pct"/>
            <w:vMerge w:val="restart"/>
            <w:tcBorders>
              <w:tl2br w:val="nil"/>
              <w:tr2bl w:val="nil"/>
            </w:tcBorders>
            <w:vAlign w:val="center"/>
          </w:tcPr>
          <w:p w14:paraId="7A76865C">
            <w:pPr>
              <w:pStyle w:val="17"/>
              <w:bidi w:val="0"/>
              <w:rPr>
                <w:color w:val="auto"/>
                <w:highlight w:val="none"/>
              </w:rPr>
            </w:pPr>
            <w:r>
              <w:rPr>
                <w:rFonts w:hint="eastAsia"/>
                <w:color w:val="auto"/>
                <w:highlight w:val="none"/>
              </w:rPr>
              <w:t>标准值</w:t>
            </w:r>
          </w:p>
        </w:tc>
      </w:tr>
      <w:tr w14:paraId="12BF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blHeader/>
          <w:jc w:val="center"/>
        </w:trPr>
        <w:tc>
          <w:tcPr>
            <w:tcW w:w="1255" w:type="pct"/>
            <w:vMerge w:val="continue"/>
            <w:tcBorders>
              <w:tl2br w:val="nil"/>
              <w:tr2bl w:val="nil"/>
            </w:tcBorders>
            <w:vAlign w:val="center"/>
          </w:tcPr>
          <w:p w14:paraId="51E2B7F2">
            <w:pPr>
              <w:pStyle w:val="17"/>
              <w:bidi w:val="0"/>
              <w:rPr>
                <w:color w:val="auto"/>
                <w:highlight w:val="none"/>
              </w:rPr>
            </w:pPr>
          </w:p>
        </w:tc>
        <w:tc>
          <w:tcPr>
            <w:tcW w:w="850" w:type="pct"/>
            <w:vMerge w:val="continue"/>
            <w:tcBorders>
              <w:tl2br w:val="nil"/>
              <w:tr2bl w:val="nil"/>
            </w:tcBorders>
            <w:vAlign w:val="center"/>
          </w:tcPr>
          <w:p w14:paraId="256806CD">
            <w:pPr>
              <w:pStyle w:val="17"/>
              <w:bidi w:val="0"/>
              <w:rPr>
                <w:color w:val="auto"/>
                <w:highlight w:val="none"/>
              </w:rPr>
            </w:pPr>
          </w:p>
        </w:tc>
        <w:tc>
          <w:tcPr>
            <w:tcW w:w="743" w:type="pct"/>
            <w:tcBorders>
              <w:tl2br w:val="nil"/>
              <w:tr2bl w:val="nil"/>
            </w:tcBorders>
            <w:vAlign w:val="center"/>
          </w:tcPr>
          <w:p w14:paraId="40CBF57C">
            <w:pPr>
              <w:pStyle w:val="17"/>
              <w:bidi w:val="0"/>
              <w:ind w:firstLine="0" w:firstLineChars="0"/>
              <w:rPr>
                <w:rFonts w:hint="default" w:eastAsia="宋体"/>
                <w:color w:val="auto"/>
                <w:highlight w:val="none"/>
                <w:lang w:val="en-US" w:eastAsia="zh-CN"/>
              </w:rPr>
            </w:pPr>
            <w:r>
              <w:rPr>
                <w:rFonts w:hint="eastAsia"/>
                <w:color w:val="auto"/>
                <w:highlight w:val="none"/>
                <w:lang w:val="en-US" w:eastAsia="zh-CN"/>
              </w:rPr>
              <w:t>T6</w:t>
            </w:r>
          </w:p>
        </w:tc>
        <w:tc>
          <w:tcPr>
            <w:tcW w:w="716" w:type="pct"/>
            <w:tcBorders>
              <w:tl2br w:val="nil"/>
              <w:tr2bl w:val="nil"/>
            </w:tcBorders>
            <w:vAlign w:val="center"/>
          </w:tcPr>
          <w:p w14:paraId="54053350">
            <w:pPr>
              <w:pStyle w:val="17"/>
              <w:bidi w:val="0"/>
              <w:ind w:firstLine="0" w:firstLineChars="0"/>
              <w:jc w:val="center"/>
              <w:rPr>
                <w:rFonts w:hint="default" w:eastAsia="宋体"/>
                <w:color w:val="auto"/>
                <w:highlight w:val="none"/>
                <w:lang w:val="en-US" w:eastAsia="zh-CN"/>
              </w:rPr>
            </w:pPr>
            <w:r>
              <w:rPr>
                <w:rFonts w:hint="eastAsia"/>
                <w:color w:val="auto"/>
                <w:highlight w:val="none"/>
                <w:lang w:val="en-US" w:eastAsia="zh-CN"/>
              </w:rPr>
              <w:t>T7</w:t>
            </w:r>
          </w:p>
        </w:tc>
        <w:tc>
          <w:tcPr>
            <w:tcW w:w="717" w:type="pct"/>
            <w:tcBorders>
              <w:tl2br w:val="nil"/>
              <w:tr2bl w:val="nil"/>
            </w:tcBorders>
            <w:vAlign w:val="center"/>
          </w:tcPr>
          <w:p w14:paraId="0283A614">
            <w:pPr>
              <w:pStyle w:val="17"/>
              <w:bidi w:val="0"/>
              <w:ind w:firstLine="0" w:firstLineChars="0"/>
              <w:rPr>
                <w:rFonts w:hint="default" w:eastAsia="宋体"/>
                <w:color w:val="auto"/>
                <w:highlight w:val="none"/>
                <w:lang w:val="en-US" w:eastAsia="zh-CN"/>
              </w:rPr>
            </w:pPr>
            <w:r>
              <w:rPr>
                <w:rFonts w:hint="eastAsia"/>
                <w:color w:val="auto"/>
                <w:highlight w:val="none"/>
                <w:lang w:val="en-US" w:eastAsia="zh-CN"/>
              </w:rPr>
              <w:t>T8</w:t>
            </w:r>
          </w:p>
        </w:tc>
        <w:tc>
          <w:tcPr>
            <w:tcW w:w="716" w:type="pct"/>
            <w:vMerge w:val="continue"/>
            <w:tcBorders>
              <w:tl2br w:val="nil"/>
              <w:tr2bl w:val="nil"/>
            </w:tcBorders>
            <w:vAlign w:val="center"/>
          </w:tcPr>
          <w:p w14:paraId="665DF4F9">
            <w:pPr>
              <w:pStyle w:val="17"/>
              <w:bidi w:val="0"/>
              <w:rPr>
                <w:color w:val="auto"/>
                <w:highlight w:val="none"/>
              </w:rPr>
            </w:pPr>
          </w:p>
        </w:tc>
      </w:tr>
      <w:tr w14:paraId="6FE6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3A7899AF">
            <w:pPr>
              <w:pStyle w:val="17"/>
              <w:bidi w:val="0"/>
              <w:rPr>
                <w:color w:val="auto"/>
                <w:highlight w:val="none"/>
              </w:rPr>
            </w:pPr>
            <w:r>
              <w:rPr>
                <w:color w:val="auto"/>
                <w:highlight w:val="none"/>
              </w:rPr>
              <w:t>pH</w:t>
            </w:r>
          </w:p>
        </w:tc>
        <w:tc>
          <w:tcPr>
            <w:tcW w:w="850" w:type="pct"/>
            <w:tcBorders>
              <w:tl2br w:val="nil"/>
              <w:tr2bl w:val="nil"/>
            </w:tcBorders>
            <w:vAlign w:val="center"/>
          </w:tcPr>
          <w:p w14:paraId="57469EB3">
            <w:pPr>
              <w:pStyle w:val="17"/>
              <w:bidi w:val="0"/>
              <w:rPr>
                <w:color w:val="auto"/>
                <w:highlight w:val="none"/>
              </w:rPr>
            </w:pPr>
            <w:r>
              <w:rPr>
                <w:color w:val="auto"/>
                <w:highlight w:val="none"/>
              </w:rPr>
              <w:t>无量纲</w:t>
            </w:r>
          </w:p>
        </w:tc>
        <w:tc>
          <w:tcPr>
            <w:tcW w:w="743" w:type="pct"/>
            <w:tcBorders>
              <w:tl2br w:val="nil"/>
              <w:tr2bl w:val="nil"/>
            </w:tcBorders>
            <w:shd w:val="clear" w:color="auto" w:fill="auto"/>
            <w:vAlign w:val="center"/>
          </w:tcPr>
          <w:p w14:paraId="2BA82DF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8.25</w:t>
            </w:r>
          </w:p>
        </w:tc>
        <w:tc>
          <w:tcPr>
            <w:tcW w:w="716" w:type="pct"/>
            <w:tcBorders>
              <w:tl2br w:val="nil"/>
              <w:tr2bl w:val="nil"/>
            </w:tcBorders>
            <w:vAlign w:val="center"/>
          </w:tcPr>
          <w:p w14:paraId="5A26C069">
            <w:pPr>
              <w:pStyle w:val="17"/>
              <w:bidi w:val="0"/>
              <w:rPr>
                <w:rFonts w:hint="default"/>
                <w:color w:val="auto"/>
                <w:highlight w:val="none"/>
                <w:lang w:val="en-US" w:eastAsia="zh-CN"/>
              </w:rPr>
            </w:pPr>
            <w:r>
              <w:rPr>
                <w:rFonts w:hint="eastAsia"/>
                <w:color w:val="auto"/>
                <w:highlight w:val="none"/>
                <w:lang w:val="en-US" w:eastAsia="zh-CN"/>
              </w:rPr>
              <w:t>8.6</w:t>
            </w:r>
          </w:p>
        </w:tc>
        <w:tc>
          <w:tcPr>
            <w:tcW w:w="717" w:type="pct"/>
            <w:tcBorders>
              <w:tl2br w:val="nil"/>
              <w:tr2bl w:val="nil"/>
            </w:tcBorders>
            <w:vAlign w:val="center"/>
          </w:tcPr>
          <w:p w14:paraId="3A84D11A">
            <w:pPr>
              <w:pStyle w:val="17"/>
              <w:bidi w:val="0"/>
              <w:rPr>
                <w:rFonts w:hint="default"/>
                <w:color w:val="auto"/>
                <w:highlight w:val="none"/>
                <w:lang w:val="en-US" w:eastAsia="zh-CN"/>
              </w:rPr>
            </w:pPr>
            <w:r>
              <w:rPr>
                <w:rFonts w:hint="eastAsia"/>
                <w:color w:val="auto"/>
                <w:highlight w:val="none"/>
                <w:lang w:val="en-US" w:eastAsia="zh-CN"/>
              </w:rPr>
              <w:t>8.57</w:t>
            </w:r>
          </w:p>
        </w:tc>
        <w:tc>
          <w:tcPr>
            <w:tcW w:w="716" w:type="pct"/>
            <w:tcBorders>
              <w:tl2br w:val="nil"/>
              <w:tr2bl w:val="nil"/>
            </w:tcBorders>
            <w:vAlign w:val="center"/>
          </w:tcPr>
          <w:p w14:paraId="0FB292BB">
            <w:pPr>
              <w:pStyle w:val="17"/>
              <w:bidi w:val="0"/>
              <w:rPr>
                <w:color w:val="auto"/>
                <w:highlight w:val="none"/>
              </w:rPr>
            </w:pPr>
            <w:r>
              <w:rPr>
                <w:rFonts w:hint="eastAsia"/>
                <w:color w:val="auto"/>
                <w:highlight w:val="none"/>
              </w:rPr>
              <w:t>/</w:t>
            </w:r>
          </w:p>
        </w:tc>
      </w:tr>
      <w:tr w14:paraId="585B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14F69510">
            <w:pPr>
              <w:pStyle w:val="17"/>
              <w:bidi w:val="0"/>
              <w:rPr>
                <w:color w:val="auto"/>
                <w:highlight w:val="none"/>
              </w:rPr>
            </w:pPr>
            <w:r>
              <w:rPr>
                <w:color w:val="auto"/>
                <w:highlight w:val="none"/>
              </w:rPr>
              <w:t>砷</w:t>
            </w:r>
          </w:p>
        </w:tc>
        <w:tc>
          <w:tcPr>
            <w:tcW w:w="850" w:type="pct"/>
            <w:tcBorders>
              <w:tl2br w:val="nil"/>
              <w:tr2bl w:val="nil"/>
            </w:tcBorders>
            <w:vAlign w:val="center"/>
          </w:tcPr>
          <w:p w14:paraId="64216F13">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0739AC69">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9.42</w:t>
            </w:r>
          </w:p>
        </w:tc>
        <w:tc>
          <w:tcPr>
            <w:tcW w:w="716" w:type="pct"/>
            <w:tcBorders>
              <w:tl2br w:val="nil"/>
              <w:tr2bl w:val="nil"/>
            </w:tcBorders>
            <w:vAlign w:val="center"/>
          </w:tcPr>
          <w:p w14:paraId="4B260AC3">
            <w:pPr>
              <w:pStyle w:val="17"/>
              <w:bidi w:val="0"/>
              <w:rPr>
                <w:rFonts w:hint="default"/>
                <w:color w:val="auto"/>
                <w:highlight w:val="none"/>
                <w:lang w:val="en-US" w:eastAsia="zh-CN"/>
              </w:rPr>
            </w:pPr>
            <w:r>
              <w:rPr>
                <w:rFonts w:hint="eastAsia"/>
                <w:color w:val="auto"/>
                <w:highlight w:val="none"/>
                <w:lang w:val="en-US" w:eastAsia="zh-CN"/>
              </w:rPr>
              <w:t>13.0</w:t>
            </w:r>
          </w:p>
        </w:tc>
        <w:tc>
          <w:tcPr>
            <w:tcW w:w="717" w:type="pct"/>
            <w:tcBorders>
              <w:tl2br w:val="nil"/>
              <w:tr2bl w:val="nil"/>
            </w:tcBorders>
            <w:vAlign w:val="center"/>
          </w:tcPr>
          <w:p w14:paraId="0A13D770">
            <w:pPr>
              <w:pStyle w:val="17"/>
              <w:bidi w:val="0"/>
              <w:rPr>
                <w:rFonts w:hint="default"/>
                <w:color w:val="auto"/>
                <w:highlight w:val="none"/>
                <w:lang w:val="en-US" w:eastAsia="zh-CN"/>
              </w:rPr>
            </w:pPr>
            <w:r>
              <w:rPr>
                <w:rFonts w:hint="eastAsia"/>
                <w:color w:val="auto"/>
                <w:highlight w:val="none"/>
                <w:lang w:val="en-US" w:eastAsia="zh-CN"/>
              </w:rPr>
              <w:t>13.3</w:t>
            </w:r>
          </w:p>
        </w:tc>
        <w:tc>
          <w:tcPr>
            <w:tcW w:w="716" w:type="pct"/>
            <w:tcBorders>
              <w:tl2br w:val="nil"/>
              <w:tr2bl w:val="nil"/>
            </w:tcBorders>
            <w:vAlign w:val="center"/>
          </w:tcPr>
          <w:p w14:paraId="7EB64A6F">
            <w:pPr>
              <w:pStyle w:val="17"/>
              <w:bidi w:val="0"/>
              <w:rPr>
                <w:color w:val="auto"/>
                <w:highlight w:val="none"/>
              </w:rPr>
            </w:pPr>
            <w:r>
              <w:rPr>
                <w:color w:val="auto"/>
                <w:highlight w:val="none"/>
              </w:rPr>
              <w:t>60</w:t>
            </w:r>
          </w:p>
        </w:tc>
      </w:tr>
      <w:tr w14:paraId="4E9E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49B7D1E9">
            <w:pPr>
              <w:pStyle w:val="17"/>
              <w:bidi w:val="0"/>
              <w:rPr>
                <w:color w:val="auto"/>
                <w:highlight w:val="none"/>
              </w:rPr>
            </w:pPr>
            <w:r>
              <w:rPr>
                <w:color w:val="auto"/>
                <w:highlight w:val="none"/>
              </w:rPr>
              <w:t>镉</w:t>
            </w:r>
          </w:p>
        </w:tc>
        <w:tc>
          <w:tcPr>
            <w:tcW w:w="850" w:type="pct"/>
            <w:tcBorders>
              <w:tl2br w:val="nil"/>
              <w:tr2bl w:val="nil"/>
            </w:tcBorders>
            <w:vAlign w:val="center"/>
          </w:tcPr>
          <w:p w14:paraId="65E41CA9">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5F027D3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0.10</w:t>
            </w:r>
          </w:p>
        </w:tc>
        <w:tc>
          <w:tcPr>
            <w:tcW w:w="716" w:type="pct"/>
            <w:tcBorders>
              <w:tl2br w:val="nil"/>
              <w:tr2bl w:val="nil"/>
            </w:tcBorders>
            <w:vAlign w:val="center"/>
          </w:tcPr>
          <w:p w14:paraId="625CFA70">
            <w:pPr>
              <w:pStyle w:val="17"/>
              <w:bidi w:val="0"/>
              <w:rPr>
                <w:rFonts w:hint="default"/>
                <w:color w:val="auto"/>
                <w:highlight w:val="none"/>
                <w:lang w:val="en-US" w:eastAsia="zh-CN"/>
              </w:rPr>
            </w:pPr>
            <w:r>
              <w:rPr>
                <w:rFonts w:hint="eastAsia"/>
                <w:color w:val="auto"/>
                <w:highlight w:val="none"/>
                <w:lang w:val="en-US" w:eastAsia="zh-CN"/>
              </w:rPr>
              <w:t>0.24</w:t>
            </w:r>
          </w:p>
        </w:tc>
        <w:tc>
          <w:tcPr>
            <w:tcW w:w="717" w:type="pct"/>
            <w:tcBorders>
              <w:tl2br w:val="nil"/>
              <w:tr2bl w:val="nil"/>
            </w:tcBorders>
            <w:vAlign w:val="center"/>
          </w:tcPr>
          <w:p w14:paraId="09302380">
            <w:pPr>
              <w:pStyle w:val="17"/>
              <w:bidi w:val="0"/>
              <w:rPr>
                <w:rFonts w:hint="default"/>
                <w:color w:val="auto"/>
                <w:highlight w:val="none"/>
                <w:lang w:val="en-US" w:eastAsia="zh-CN"/>
              </w:rPr>
            </w:pPr>
            <w:r>
              <w:rPr>
                <w:rFonts w:hint="eastAsia"/>
                <w:color w:val="auto"/>
                <w:highlight w:val="none"/>
                <w:lang w:val="en-US" w:eastAsia="zh-CN"/>
              </w:rPr>
              <w:t>0.29</w:t>
            </w:r>
          </w:p>
        </w:tc>
        <w:tc>
          <w:tcPr>
            <w:tcW w:w="716" w:type="pct"/>
            <w:tcBorders>
              <w:tl2br w:val="nil"/>
              <w:tr2bl w:val="nil"/>
            </w:tcBorders>
            <w:vAlign w:val="center"/>
          </w:tcPr>
          <w:p w14:paraId="459A8608">
            <w:pPr>
              <w:pStyle w:val="17"/>
              <w:bidi w:val="0"/>
              <w:rPr>
                <w:color w:val="auto"/>
                <w:highlight w:val="none"/>
              </w:rPr>
            </w:pPr>
            <w:r>
              <w:rPr>
                <w:color w:val="auto"/>
                <w:highlight w:val="none"/>
              </w:rPr>
              <w:t>65</w:t>
            </w:r>
          </w:p>
        </w:tc>
      </w:tr>
      <w:tr w14:paraId="0178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04BAB1FC">
            <w:pPr>
              <w:pStyle w:val="17"/>
              <w:bidi w:val="0"/>
              <w:rPr>
                <w:color w:val="auto"/>
                <w:highlight w:val="none"/>
              </w:rPr>
            </w:pPr>
            <w:r>
              <w:rPr>
                <w:color w:val="auto"/>
                <w:highlight w:val="none"/>
              </w:rPr>
              <w:t>六价铬</w:t>
            </w:r>
          </w:p>
        </w:tc>
        <w:tc>
          <w:tcPr>
            <w:tcW w:w="850" w:type="pct"/>
            <w:tcBorders>
              <w:tl2br w:val="nil"/>
              <w:tr2bl w:val="nil"/>
            </w:tcBorders>
            <w:vAlign w:val="center"/>
          </w:tcPr>
          <w:p w14:paraId="182CB742">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32283F8F">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0.5L</w:t>
            </w:r>
          </w:p>
        </w:tc>
        <w:tc>
          <w:tcPr>
            <w:tcW w:w="716" w:type="pct"/>
            <w:tcBorders>
              <w:tl2br w:val="nil"/>
              <w:tr2bl w:val="nil"/>
            </w:tcBorders>
            <w:vAlign w:val="center"/>
          </w:tcPr>
          <w:p w14:paraId="6BA38BB6">
            <w:pPr>
              <w:pStyle w:val="17"/>
              <w:bidi w:val="0"/>
              <w:rPr>
                <w:rFonts w:hint="default"/>
                <w:color w:val="auto"/>
                <w:highlight w:val="none"/>
                <w:lang w:val="en-US" w:eastAsia="zh-CN"/>
              </w:rPr>
            </w:pPr>
            <w:r>
              <w:rPr>
                <w:rFonts w:hint="eastAsia"/>
                <w:color w:val="auto"/>
                <w:highlight w:val="none"/>
                <w:lang w:val="en-US" w:eastAsia="zh-CN"/>
              </w:rPr>
              <w:t>0.5L</w:t>
            </w:r>
          </w:p>
        </w:tc>
        <w:tc>
          <w:tcPr>
            <w:tcW w:w="717" w:type="pct"/>
            <w:tcBorders>
              <w:tl2br w:val="nil"/>
              <w:tr2bl w:val="nil"/>
            </w:tcBorders>
            <w:vAlign w:val="center"/>
          </w:tcPr>
          <w:p w14:paraId="1E746D1C">
            <w:pPr>
              <w:pStyle w:val="17"/>
              <w:bidi w:val="0"/>
              <w:rPr>
                <w:rFonts w:hint="default"/>
                <w:color w:val="auto"/>
                <w:highlight w:val="none"/>
                <w:lang w:val="en-US" w:eastAsia="zh-CN"/>
              </w:rPr>
            </w:pPr>
            <w:r>
              <w:rPr>
                <w:rFonts w:hint="eastAsia"/>
                <w:color w:val="auto"/>
                <w:highlight w:val="none"/>
                <w:lang w:val="en-US" w:eastAsia="zh-CN"/>
              </w:rPr>
              <w:t>0.5L</w:t>
            </w:r>
          </w:p>
        </w:tc>
        <w:tc>
          <w:tcPr>
            <w:tcW w:w="716" w:type="pct"/>
            <w:tcBorders>
              <w:tl2br w:val="nil"/>
              <w:tr2bl w:val="nil"/>
            </w:tcBorders>
            <w:vAlign w:val="center"/>
          </w:tcPr>
          <w:p w14:paraId="705E7DE3">
            <w:pPr>
              <w:pStyle w:val="17"/>
              <w:bidi w:val="0"/>
              <w:rPr>
                <w:color w:val="auto"/>
                <w:highlight w:val="none"/>
              </w:rPr>
            </w:pPr>
            <w:r>
              <w:rPr>
                <w:color w:val="auto"/>
                <w:highlight w:val="none"/>
              </w:rPr>
              <w:t>5.7</w:t>
            </w:r>
          </w:p>
        </w:tc>
      </w:tr>
      <w:tr w14:paraId="3AB1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517FB08">
            <w:pPr>
              <w:pStyle w:val="17"/>
              <w:bidi w:val="0"/>
              <w:rPr>
                <w:color w:val="auto"/>
                <w:highlight w:val="none"/>
              </w:rPr>
            </w:pPr>
            <w:r>
              <w:rPr>
                <w:color w:val="auto"/>
                <w:highlight w:val="none"/>
              </w:rPr>
              <w:t>铜</w:t>
            </w:r>
          </w:p>
        </w:tc>
        <w:tc>
          <w:tcPr>
            <w:tcW w:w="850" w:type="pct"/>
            <w:tcBorders>
              <w:tl2br w:val="nil"/>
              <w:tr2bl w:val="nil"/>
            </w:tcBorders>
            <w:vAlign w:val="center"/>
          </w:tcPr>
          <w:p w14:paraId="30D2C2CE">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396470D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19</w:t>
            </w:r>
          </w:p>
        </w:tc>
        <w:tc>
          <w:tcPr>
            <w:tcW w:w="716" w:type="pct"/>
            <w:tcBorders>
              <w:tl2br w:val="nil"/>
              <w:tr2bl w:val="nil"/>
            </w:tcBorders>
            <w:vAlign w:val="center"/>
          </w:tcPr>
          <w:p w14:paraId="105185DE">
            <w:pPr>
              <w:pStyle w:val="17"/>
              <w:bidi w:val="0"/>
              <w:rPr>
                <w:rFonts w:hint="default"/>
                <w:color w:val="auto"/>
                <w:highlight w:val="none"/>
                <w:lang w:val="en-US" w:eastAsia="zh-CN"/>
              </w:rPr>
            </w:pPr>
            <w:r>
              <w:rPr>
                <w:rFonts w:hint="eastAsia"/>
                <w:color w:val="auto"/>
                <w:highlight w:val="none"/>
                <w:lang w:val="en-US" w:eastAsia="zh-CN"/>
              </w:rPr>
              <w:t>17</w:t>
            </w:r>
          </w:p>
        </w:tc>
        <w:tc>
          <w:tcPr>
            <w:tcW w:w="717" w:type="pct"/>
            <w:tcBorders>
              <w:tl2br w:val="nil"/>
              <w:tr2bl w:val="nil"/>
            </w:tcBorders>
            <w:vAlign w:val="center"/>
          </w:tcPr>
          <w:p w14:paraId="4C745929">
            <w:pPr>
              <w:pStyle w:val="17"/>
              <w:bidi w:val="0"/>
              <w:rPr>
                <w:rFonts w:hint="default"/>
                <w:color w:val="auto"/>
                <w:highlight w:val="none"/>
                <w:lang w:val="en-US" w:eastAsia="zh-CN"/>
              </w:rPr>
            </w:pPr>
            <w:r>
              <w:rPr>
                <w:rFonts w:hint="eastAsia"/>
                <w:color w:val="auto"/>
                <w:highlight w:val="none"/>
                <w:lang w:val="en-US" w:eastAsia="zh-CN"/>
              </w:rPr>
              <w:t>20</w:t>
            </w:r>
          </w:p>
        </w:tc>
        <w:tc>
          <w:tcPr>
            <w:tcW w:w="716" w:type="pct"/>
            <w:tcBorders>
              <w:tl2br w:val="nil"/>
              <w:tr2bl w:val="nil"/>
            </w:tcBorders>
            <w:vAlign w:val="center"/>
          </w:tcPr>
          <w:p w14:paraId="03482739">
            <w:pPr>
              <w:pStyle w:val="17"/>
              <w:bidi w:val="0"/>
              <w:rPr>
                <w:color w:val="auto"/>
                <w:highlight w:val="none"/>
              </w:rPr>
            </w:pPr>
            <w:r>
              <w:rPr>
                <w:color w:val="auto"/>
                <w:highlight w:val="none"/>
              </w:rPr>
              <w:t>18000</w:t>
            </w:r>
          </w:p>
        </w:tc>
      </w:tr>
      <w:tr w14:paraId="32F8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C546A13">
            <w:pPr>
              <w:pStyle w:val="17"/>
              <w:bidi w:val="0"/>
              <w:rPr>
                <w:color w:val="auto"/>
                <w:highlight w:val="none"/>
              </w:rPr>
            </w:pPr>
            <w:r>
              <w:rPr>
                <w:color w:val="auto"/>
                <w:highlight w:val="none"/>
              </w:rPr>
              <w:t>铅</w:t>
            </w:r>
          </w:p>
        </w:tc>
        <w:tc>
          <w:tcPr>
            <w:tcW w:w="850" w:type="pct"/>
            <w:tcBorders>
              <w:tl2br w:val="nil"/>
              <w:tr2bl w:val="nil"/>
            </w:tcBorders>
            <w:vAlign w:val="center"/>
          </w:tcPr>
          <w:p w14:paraId="753C0E1D">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21B6241C">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w:t>
            </w:r>
          </w:p>
        </w:tc>
        <w:tc>
          <w:tcPr>
            <w:tcW w:w="716" w:type="pct"/>
            <w:tcBorders>
              <w:tl2br w:val="nil"/>
              <w:tr2bl w:val="nil"/>
            </w:tcBorders>
            <w:vAlign w:val="center"/>
          </w:tcPr>
          <w:p w14:paraId="24A73C47">
            <w:pPr>
              <w:pStyle w:val="17"/>
              <w:bidi w:val="0"/>
              <w:rPr>
                <w:rFonts w:hint="default"/>
                <w:color w:val="auto"/>
                <w:highlight w:val="none"/>
                <w:lang w:val="en-US" w:eastAsia="zh-CN"/>
              </w:rPr>
            </w:pPr>
            <w:r>
              <w:rPr>
                <w:rFonts w:hint="eastAsia"/>
                <w:color w:val="auto"/>
                <w:highlight w:val="none"/>
                <w:lang w:val="en-US" w:eastAsia="zh-CN"/>
              </w:rPr>
              <w:t>23</w:t>
            </w:r>
          </w:p>
        </w:tc>
        <w:tc>
          <w:tcPr>
            <w:tcW w:w="717" w:type="pct"/>
            <w:tcBorders>
              <w:tl2br w:val="nil"/>
              <w:tr2bl w:val="nil"/>
            </w:tcBorders>
            <w:vAlign w:val="center"/>
          </w:tcPr>
          <w:p w14:paraId="5120B67D">
            <w:pPr>
              <w:pStyle w:val="17"/>
              <w:bidi w:val="0"/>
              <w:rPr>
                <w:rFonts w:hint="default"/>
                <w:color w:val="auto"/>
                <w:highlight w:val="none"/>
                <w:lang w:val="en-US" w:eastAsia="zh-CN"/>
              </w:rPr>
            </w:pPr>
            <w:r>
              <w:rPr>
                <w:rFonts w:hint="eastAsia"/>
                <w:color w:val="auto"/>
                <w:highlight w:val="none"/>
                <w:lang w:val="en-US" w:eastAsia="zh-CN"/>
              </w:rPr>
              <w:t>28</w:t>
            </w:r>
          </w:p>
        </w:tc>
        <w:tc>
          <w:tcPr>
            <w:tcW w:w="716" w:type="pct"/>
            <w:tcBorders>
              <w:tl2br w:val="nil"/>
              <w:tr2bl w:val="nil"/>
            </w:tcBorders>
            <w:vAlign w:val="center"/>
          </w:tcPr>
          <w:p w14:paraId="06342512">
            <w:pPr>
              <w:pStyle w:val="17"/>
              <w:bidi w:val="0"/>
              <w:rPr>
                <w:color w:val="auto"/>
                <w:highlight w:val="none"/>
              </w:rPr>
            </w:pPr>
            <w:r>
              <w:rPr>
                <w:color w:val="auto"/>
                <w:highlight w:val="none"/>
              </w:rPr>
              <w:t>800</w:t>
            </w:r>
          </w:p>
        </w:tc>
      </w:tr>
      <w:tr w14:paraId="0AFE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623EE4B3">
            <w:pPr>
              <w:pStyle w:val="17"/>
              <w:bidi w:val="0"/>
              <w:rPr>
                <w:color w:val="auto"/>
                <w:highlight w:val="none"/>
              </w:rPr>
            </w:pPr>
            <w:r>
              <w:rPr>
                <w:color w:val="auto"/>
                <w:highlight w:val="none"/>
              </w:rPr>
              <w:t>汞</w:t>
            </w:r>
          </w:p>
        </w:tc>
        <w:tc>
          <w:tcPr>
            <w:tcW w:w="850" w:type="pct"/>
            <w:tcBorders>
              <w:tl2br w:val="nil"/>
              <w:tr2bl w:val="nil"/>
            </w:tcBorders>
            <w:vAlign w:val="center"/>
          </w:tcPr>
          <w:p w14:paraId="3CE073C7">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2C7FDC9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0.031</w:t>
            </w:r>
          </w:p>
        </w:tc>
        <w:tc>
          <w:tcPr>
            <w:tcW w:w="716" w:type="pct"/>
            <w:tcBorders>
              <w:tl2br w:val="nil"/>
              <w:tr2bl w:val="nil"/>
            </w:tcBorders>
            <w:vAlign w:val="center"/>
          </w:tcPr>
          <w:p w14:paraId="3CCEA734">
            <w:pPr>
              <w:pStyle w:val="17"/>
              <w:bidi w:val="0"/>
              <w:rPr>
                <w:rFonts w:hint="default"/>
                <w:color w:val="auto"/>
                <w:highlight w:val="none"/>
                <w:lang w:val="en-US" w:eastAsia="zh-CN"/>
              </w:rPr>
            </w:pPr>
            <w:r>
              <w:rPr>
                <w:rFonts w:hint="eastAsia"/>
                <w:color w:val="auto"/>
                <w:highlight w:val="none"/>
                <w:lang w:val="en-US" w:eastAsia="zh-CN"/>
              </w:rPr>
              <w:t>0.033</w:t>
            </w:r>
          </w:p>
        </w:tc>
        <w:tc>
          <w:tcPr>
            <w:tcW w:w="717" w:type="pct"/>
            <w:tcBorders>
              <w:tl2br w:val="nil"/>
              <w:tr2bl w:val="nil"/>
            </w:tcBorders>
            <w:vAlign w:val="center"/>
          </w:tcPr>
          <w:p w14:paraId="1255F398">
            <w:pPr>
              <w:pStyle w:val="17"/>
              <w:bidi w:val="0"/>
              <w:rPr>
                <w:rFonts w:hint="default"/>
                <w:color w:val="auto"/>
                <w:highlight w:val="none"/>
                <w:lang w:val="en-US" w:eastAsia="zh-CN"/>
              </w:rPr>
            </w:pPr>
            <w:r>
              <w:rPr>
                <w:rFonts w:hint="eastAsia"/>
                <w:color w:val="auto"/>
                <w:highlight w:val="none"/>
                <w:lang w:val="en-US" w:eastAsia="zh-CN"/>
              </w:rPr>
              <w:t>0.032</w:t>
            </w:r>
          </w:p>
        </w:tc>
        <w:tc>
          <w:tcPr>
            <w:tcW w:w="716" w:type="pct"/>
            <w:tcBorders>
              <w:tl2br w:val="nil"/>
              <w:tr2bl w:val="nil"/>
            </w:tcBorders>
            <w:vAlign w:val="center"/>
          </w:tcPr>
          <w:p w14:paraId="29930C79">
            <w:pPr>
              <w:pStyle w:val="17"/>
              <w:bidi w:val="0"/>
              <w:rPr>
                <w:color w:val="auto"/>
                <w:highlight w:val="none"/>
              </w:rPr>
            </w:pPr>
            <w:r>
              <w:rPr>
                <w:color w:val="auto"/>
                <w:highlight w:val="none"/>
              </w:rPr>
              <w:t>38</w:t>
            </w:r>
          </w:p>
        </w:tc>
      </w:tr>
      <w:tr w14:paraId="072F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8B447B0">
            <w:pPr>
              <w:pStyle w:val="17"/>
              <w:bidi w:val="0"/>
              <w:rPr>
                <w:color w:val="auto"/>
                <w:highlight w:val="none"/>
              </w:rPr>
            </w:pPr>
            <w:r>
              <w:rPr>
                <w:color w:val="auto"/>
                <w:highlight w:val="none"/>
              </w:rPr>
              <w:t>镍</w:t>
            </w:r>
          </w:p>
        </w:tc>
        <w:tc>
          <w:tcPr>
            <w:tcW w:w="850" w:type="pct"/>
            <w:tcBorders>
              <w:tl2br w:val="nil"/>
              <w:tr2bl w:val="nil"/>
            </w:tcBorders>
            <w:vAlign w:val="center"/>
          </w:tcPr>
          <w:p w14:paraId="48A42D56">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56C5480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41</w:t>
            </w:r>
          </w:p>
        </w:tc>
        <w:tc>
          <w:tcPr>
            <w:tcW w:w="716" w:type="pct"/>
            <w:tcBorders>
              <w:tl2br w:val="nil"/>
              <w:tr2bl w:val="nil"/>
            </w:tcBorders>
            <w:vAlign w:val="center"/>
          </w:tcPr>
          <w:p w14:paraId="287F2936">
            <w:pPr>
              <w:pStyle w:val="17"/>
              <w:bidi w:val="0"/>
              <w:rPr>
                <w:rFonts w:hint="default"/>
                <w:color w:val="auto"/>
                <w:highlight w:val="none"/>
                <w:lang w:val="en-US" w:eastAsia="zh-CN"/>
              </w:rPr>
            </w:pPr>
            <w:r>
              <w:rPr>
                <w:rFonts w:hint="eastAsia"/>
                <w:color w:val="auto"/>
                <w:highlight w:val="none"/>
                <w:lang w:val="en-US" w:eastAsia="zh-CN"/>
              </w:rPr>
              <w:t>31</w:t>
            </w:r>
          </w:p>
        </w:tc>
        <w:tc>
          <w:tcPr>
            <w:tcW w:w="717" w:type="pct"/>
            <w:tcBorders>
              <w:tl2br w:val="nil"/>
              <w:tr2bl w:val="nil"/>
            </w:tcBorders>
            <w:vAlign w:val="center"/>
          </w:tcPr>
          <w:p w14:paraId="6EA3207F">
            <w:pPr>
              <w:pStyle w:val="17"/>
              <w:bidi w:val="0"/>
              <w:rPr>
                <w:rFonts w:hint="default"/>
                <w:color w:val="auto"/>
                <w:highlight w:val="none"/>
                <w:lang w:val="en-US" w:eastAsia="zh-CN"/>
              </w:rPr>
            </w:pPr>
            <w:r>
              <w:rPr>
                <w:rFonts w:hint="eastAsia"/>
                <w:color w:val="auto"/>
                <w:highlight w:val="none"/>
                <w:lang w:val="en-US" w:eastAsia="zh-CN"/>
              </w:rPr>
              <w:t>36</w:t>
            </w:r>
          </w:p>
        </w:tc>
        <w:tc>
          <w:tcPr>
            <w:tcW w:w="716" w:type="pct"/>
            <w:tcBorders>
              <w:tl2br w:val="nil"/>
              <w:tr2bl w:val="nil"/>
            </w:tcBorders>
            <w:vAlign w:val="center"/>
          </w:tcPr>
          <w:p w14:paraId="7546742E">
            <w:pPr>
              <w:pStyle w:val="17"/>
              <w:bidi w:val="0"/>
              <w:rPr>
                <w:color w:val="auto"/>
                <w:highlight w:val="none"/>
              </w:rPr>
            </w:pPr>
            <w:r>
              <w:rPr>
                <w:color w:val="auto"/>
                <w:highlight w:val="none"/>
              </w:rPr>
              <w:t>900</w:t>
            </w:r>
          </w:p>
        </w:tc>
      </w:tr>
      <w:tr w14:paraId="288E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7FC9D13E">
            <w:pPr>
              <w:pStyle w:val="17"/>
              <w:bidi w:val="0"/>
              <w:rPr>
                <w:color w:val="auto"/>
                <w:highlight w:val="none"/>
              </w:rPr>
            </w:pPr>
            <w:r>
              <w:rPr>
                <w:color w:val="auto"/>
                <w:highlight w:val="none"/>
              </w:rPr>
              <w:t>四氯化碳</w:t>
            </w:r>
          </w:p>
        </w:tc>
        <w:tc>
          <w:tcPr>
            <w:tcW w:w="850" w:type="pct"/>
            <w:tcBorders>
              <w:tl2br w:val="nil"/>
              <w:tr2bl w:val="nil"/>
            </w:tcBorders>
            <w:vAlign w:val="center"/>
          </w:tcPr>
          <w:p w14:paraId="6836941A">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6B5B31C5">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1.3L</w:t>
            </w:r>
          </w:p>
        </w:tc>
        <w:tc>
          <w:tcPr>
            <w:tcW w:w="716" w:type="pct"/>
            <w:tcBorders>
              <w:tl2br w:val="nil"/>
              <w:tr2bl w:val="nil"/>
            </w:tcBorders>
            <w:vAlign w:val="center"/>
          </w:tcPr>
          <w:p w14:paraId="57ACDF23">
            <w:pPr>
              <w:pStyle w:val="17"/>
              <w:bidi w:val="0"/>
              <w:rPr>
                <w:rFonts w:hint="default"/>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035B40D0">
            <w:pPr>
              <w:pStyle w:val="17"/>
              <w:bidi w:val="0"/>
              <w:rPr>
                <w:rFonts w:hint="default"/>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51F8C4FC">
            <w:pPr>
              <w:pStyle w:val="17"/>
              <w:bidi w:val="0"/>
              <w:rPr>
                <w:color w:val="auto"/>
                <w:highlight w:val="none"/>
              </w:rPr>
            </w:pPr>
            <w:r>
              <w:rPr>
                <w:color w:val="auto"/>
                <w:highlight w:val="none"/>
              </w:rPr>
              <w:t>2800</w:t>
            </w:r>
          </w:p>
        </w:tc>
      </w:tr>
      <w:tr w14:paraId="0F1B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88BE0B0">
            <w:pPr>
              <w:pStyle w:val="17"/>
              <w:bidi w:val="0"/>
              <w:rPr>
                <w:color w:val="auto"/>
                <w:highlight w:val="none"/>
              </w:rPr>
            </w:pPr>
            <w:r>
              <w:rPr>
                <w:color w:val="auto"/>
                <w:highlight w:val="none"/>
              </w:rPr>
              <w:t>三氯甲烷（氯仿）</w:t>
            </w:r>
          </w:p>
        </w:tc>
        <w:tc>
          <w:tcPr>
            <w:tcW w:w="850" w:type="pct"/>
            <w:tcBorders>
              <w:tl2br w:val="nil"/>
              <w:tr2bl w:val="nil"/>
            </w:tcBorders>
            <w:vAlign w:val="center"/>
          </w:tcPr>
          <w:p w14:paraId="288B36D5">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3119647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1.1L</w:t>
            </w:r>
          </w:p>
        </w:tc>
        <w:tc>
          <w:tcPr>
            <w:tcW w:w="716" w:type="pct"/>
            <w:tcBorders>
              <w:tl2br w:val="nil"/>
              <w:tr2bl w:val="nil"/>
            </w:tcBorders>
            <w:vAlign w:val="center"/>
          </w:tcPr>
          <w:p w14:paraId="7422E8C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0B078D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720487D2">
            <w:pPr>
              <w:pStyle w:val="17"/>
              <w:bidi w:val="0"/>
              <w:rPr>
                <w:color w:val="auto"/>
                <w:highlight w:val="none"/>
              </w:rPr>
            </w:pPr>
            <w:r>
              <w:rPr>
                <w:color w:val="auto"/>
                <w:highlight w:val="none"/>
              </w:rPr>
              <w:t>900</w:t>
            </w:r>
          </w:p>
        </w:tc>
      </w:tr>
      <w:tr w14:paraId="304E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FD39381">
            <w:pPr>
              <w:pStyle w:val="17"/>
              <w:bidi w:val="0"/>
              <w:rPr>
                <w:color w:val="auto"/>
                <w:highlight w:val="none"/>
              </w:rPr>
            </w:pPr>
            <w:r>
              <w:rPr>
                <w:color w:val="auto"/>
                <w:highlight w:val="none"/>
              </w:rPr>
              <w:t>氯甲烷</w:t>
            </w:r>
          </w:p>
        </w:tc>
        <w:tc>
          <w:tcPr>
            <w:tcW w:w="850" w:type="pct"/>
            <w:tcBorders>
              <w:tl2br w:val="nil"/>
              <w:tr2bl w:val="nil"/>
            </w:tcBorders>
            <w:vAlign w:val="center"/>
          </w:tcPr>
          <w:p w14:paraId="13F2A920">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15FAE6D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1.0L</w:t>
            </w:r>
          </w:p>
        </w:tc>
        <w:tc>
          <w:tcPr>
            <w:tcW w:w="716" w:type="pct"/>
            <w:tcBorders>
              <w:tl2br w:val="nil"/>
              <w:tr2bl w:val="nil"/>
            </w:tcBorders>
            <w:vAlign w:val="center"/>
          </w:tcPr>
          <w:p w14:paraId="5C5143A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3A095A2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1334A0FE">
            <w:pPr>
              <w:pStyle w:val="17"/>
              <w:bidi w:val="0"/>
              <w:rPr>
                <w:color w:val="auto"/>
                <w:highlight w:val="none"/>
              </w:rPr>
            </w:pPr>
            <w:r>
              <w:rPr>
                <w:color w:val="auto"/>
                <w:highlight w:val="none"/>
              </w:rPr>
              <w:t>37000</w:t>
            </w:r>
          </w:p>
        </w:tc>
      </w:tr>
      <w:tr w14:paraId="7821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76FCF458">
            <w:pPr>
              <w:pStyle w:val="17"/>
              <w:bidi w:val="0"/>
              <w:rPr>
                <w:color w:val="auto"/>
                <w:highlight w:val="none"/>
              </w:rPr>
            </w:pPr>
            <w:r>
              <w:rPr>
                <w:color w:val="auto"/>
                <w:highlight w:val="none"/>
              </w:rPr>
              <w:t>1,1-二氯乙烷</w:t>
            </w:r>
          </w:p>
        </w:tc>
        <w:tc>
          <w:tcPr>
            <w:tcW w:w="850" w:type="pct"/>
            <w:tcBorders>
              <w:tl2br w:val="nil"/>
              <w:tr2bl w:val="nil"/>
            </w:tcBorders>
            <w:vAlign w:val="center"/>
          </w:tcPr>
          <w:p w14:paraId="156AAEA8">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07906F5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3403121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BB7D5A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4950EF8D">
            <w:pPr>
              <w:pStyle w:val="17"/>
              <w:bidi w:val="0"/>
              <w:rPr>
                <w:color w:val="auto"/>
                <w:highlight w:val="none"/>
              </w:rPr>
            </w:pPr>
            <w:r>
              <w:rPr>
                <w:color w:val="auto"/>
                <w:highlight w:val="none"/>
              </w:rPr>
              <w:t>9000</w:t>
            </w:r>
          </w:p>
        </w:tc>
      </w:tr>
      <w:tr w14:paraId="4A47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7E679ED9">
            <w:pPr>
              <w:pStyle w:val="17"/>
              <w:bidi w:val="0"/>
              <w:rPr>
                <w:color w:val="auto"/>
                <w:highlight w:val="none"/>
              </w:rPr>
            </w:pPr>
            <w:r>
              <w:rPr>
                <w:color w:val="auto"/>
                <w:highlight w:val="none"/>
              </w:rPr>
              <w:t>1,2-二氯乙烷</w:t>
            </w:r>
          </w:p>
        </w:tc>
        <w:tc>
          <w:tcPr>
            <w:tcW w:w="850" w:type="pct"/>
            <w:tcBorders>
              <w:tl2br w:val="nil"/>
              <w:tr2bl w:val="nil"/>
            </w:tcBorders>
            <w:vAlign w:val="center"/>
          </w:tcPr>
          <w:p w14:paraId="6F29B17A">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58F1BA1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1.3L</w:t>
            </w:r>
          </w:p>
        </w:tc>
        <w:tc>
          <w:tcPr>
            <w:tcW w:w="716" w:type="pct"/>
            <w:tcBorders>
              <w:tl2br w:val="nil"/>
              <w:tr2bl w:val="nil"/>
            </w:tcBorders>
            <w:vAlign w:val="center"/>
          </w:tcPr>
          <w:p w14:paraId="4213D4A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7EB1DC3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2ED6A28F">
            <w:pPr>
              <w:pStyle w:val="17"/>
              <w:bidi w:val="0"/>
              <w:rPr>
                <w:color w:val="auto"/>
                <w:highlight w:val="none"/>
              </w:rPr>
            </w:pPr>
            <w:r>
              <w:rPr>
                <w:color w:val="auto"/>
                <w:highlight w:val="none"/>
              </w:rPr>
              <w:t>5000</w:t>
            </w:r>
          </w:p>
        </w:tc>
      </w:tr>
      <w:tr w14:paraId="5BED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1DA20AAA">
            <w:pPr>
              <w:pStyle w:val="17"/>
              <w:bidi w:val="0"/>
              <w:rPr>
                <w:color w:val="auto"/>
                <w:highlight w:val="none"/>
              </w:rPr>
            </w:pPr>
            <w:r>
              <w:rPr>
                <w:color w:val="auto"/>
                <w:highlight w:val="none"/>
              </w:rPr>
              <w:t>1，1-二氯乙烯</w:t>
            </w:r>
          </w:p>
        </w:tc>
        <w:tc>
          <w:tcPr>
            <w:tcW w:w="850" w:type="pct"/>
            <w:tcBorders>
              <w:tl2br w:val="nil"/>
              <w:tr2bl w:val="nil"/>
            </w:tcBorders>
            <w:vAlign w:val="center"/>
          </w:tcPr>
          <w:p w14:paraId="22C56347">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61F69DD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1.0L</w:t>
            </w:r>
          </w:p>
        </w:tc>
        <w:tc>
          <w:tcPr>
            <w:tcW w:w="716" w:type="pct"/>
            <w:tcBorders>
              <w:tl2br w:val="nil"/>
              <w:tr2bl w:val="nil"/>
            </w:tcBorders>
            <w:vAlign w:val="center"/>
          </w:tcPr>
          <w:p w14:paraId="412A640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5ACEF12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6EED2279">
            <w:pPr>
              <w:pStyle w:val="17"/>
              <w:bidi w:val="0"/>
              <w:rPr>
                <w:color w:val="auto"/>
                <w:highlight w:val="none"/>
              </w:rPr>
            </w:pPr>
            <w:r>
              <w:rPr>
                <w:color w:val="auto"/>
                <w:highlight w:val="none"/>
              </w:rPr>
              <w:t>66000</w:t>
            </w:r>
          </w:p>
        </w:tc>
      </w:tr>
      <w:tr w14:paraId="161C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1DEB459">
            <w:pPr>
              <w:pStyle w:val="17"/>
              <w:bidi w:val="0"/>
              <w:rPr>
                <w:color w:val="auto"/>
                <w:highlight w:val="none"/>
              </w:rPr>
            </w:pPr>
            <w:r>
              <w:rPr>
                <w:color w:val="auto"/>
                <w:highlight w:val="none"/>
              </w:rPr>
              <w:t>顺-1,2-二氯乙烯</w:t>
            </w:r>
          </w:p>
        </w:tc>
        <w:tc>
          <w:tcPr>
            <w:tcW w:w="850" w:type="pct"/>
            <w:tcBorders>
              <w:tl2br w:val="nil"/>
              <w:tr2bl w:val="nil"/>
            </w:tcBorders>
            <w:vAlign w:val="center"/>
          </w:tcPr>
          <w:p w14:paraId="4A4AEE2E">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14BFDE6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1.3L</w:t>
            </w:r>
          </w:p>
        </w:tc>
        <w:tc>
          <w:tcPr>
            <w:tcW w:w="716" w:type="pct"/>
            <w:tcBorders>
              <w:tl2br w:val="nil"/>
              <w:tr2bl w:val="nil"/>
            </w:tcBorders>
            <w:vAlign w:val="center"/>
          </w:tcPr>
          <w:p w14:paraId="2A8C0CE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0AAFBA8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12C1DE6B">
            <w:pPr>
              <w:pStyle w:val="17"/>
              <w:bidi w:val="0"/>
              <w:rPr>
                <w:color w:val="auto"/>
                <w:highlight w:val="none"/>
              </w:rPr>
            </w:pPr>
            <w:r>
              <w:rPr>
                <w:color w:val="auto"/>
                <w:highlight w:val="none"/>
              </w:rPr>
              <w:t>596000</w:t>
            </w:r>
          </w:p>
        </w:tc>
      </w:tr>
      <w:tr w14:paraId="16F5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3330E4E4">
            <w:pPr>
              <w:pStyle w:val="17"/>
              <w:bidi w:val="0"/>
              <w:rPr>
                <w:color w:val="auto"/>
                <w:highlight w:val="none"/>
              </w:rPr>
            </w:pPr>
            <w:r>
              <w:rPr>
                <w:color w:val="auto"/>
                <w:highlight w:val="none"/>
              </w:rPr>
              <w:t>反-1,2-二氯乙烯</w:t>
            </w:r>
          </w:p>
        </w:tc>
        <w:tc>
          <w:tcPr>
            <w:tcW w:w="850" w:type="pct"/>
            <w:tcBorders>
              <w:tl2br w:val="nil"/>
              <w:tr2bl w:val="nil"/>
            </w:tcBorders>
            <w:vAlign w:val="center"/>
          </w:tcPr>
          <w:p w14:paraId="0C454FA0">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2AFA552F">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1.4L</w:t>
            </w:r>
          </w:p>
        </w:tc>
        <w:tc>
          <w:tcPr>
            <w:tcW w:w="716" w:type="pct"/>
            <w:tcBorders>
              <w:tl2br w:val="nil"/>
              <w:tr2bl w:val="nil"/>
            </w:tcBorders>
            <w:vAlign w:val="center"/>
          </w:tcPr>
          <w:p w14:paraId="6C5A24A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1B464F0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1ABB7460">
            <w:pPr>
              <w:pStyle w:val="17"/>
              <w:bidi w:val="0"/>
              <w:rPr>
                <w:color w:val="auto"/>
                <w:highlight w:val="none"/>
              </w:rPr>
            </w:pPr>
            <w:r>
              <w:rPr>
                <w:color w:val="auto"/>
                <w:highlight w:val="none"/>
              </w:rPr>
              <w:t>54000</w:t>
            </w:r>
          </w:p>
        </w:tc>
      </w:tr>
      <w:tr w14:paraId="1CEE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612EAD37">
            <w:pPr>
              <w:pStyle w:val="17"/>
              <w:bidi w:val="0"/>
              <w:rPr>
                <w:color w:val="auto"/>
                <w:highlight w:val="none"/>
              </w:rPr>
            </w:pPr>
            <w:r>
              <w:rPr>
                <w:color w:val="auto"/>
                <w:highlight w:val="none"/>
              </w:rPr>
              <w:t>二氯甲烷</w:t>
            </w:r>
          </w:p>
        </w:tc>
        <w:tc>
          <w:tcPr>
            <w:tcW w:w="850" w:type="pct"/>
            <w:tcBorders>
              <w:tl2br w:val="nil"/>
              <w:tr2bl w:val="nil"/>
            </w:tcBorders>
            <w:vAlign w:val="center"/>
          </w:tcPr>
          <w:p w14:paraId="441097AD">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7F579A4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1.5L</w:t>
            </w:r>
          </w:p>
        </w:tc>
        <w:tc>
          <w:tcPr>
            <w:tcW w:w="716" w:type="pct"/>
            <w:tcBorders>
              <w:tl2br w:val="nil"/>
              <w:tr2bl w:val="nil"/>
            </w:tcBorders>
            <w:vAlign w:val="center"/>
          </w:tcPr>
          <w:p w14:paraId="4D72154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65EBE63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2DC6235E">
            <w:pPr>
              <w:pStyle w:val="17"/>
              <w:bidi w:val="0"/>
              <w:rPr>
                <w:color w:val="auto"/>
                <w:highlight w:val="none"/>
              </w:rPr>
            </w:pPr>
            <w:r>
              <w:rPr>
                <w:rFonts w:hint="eastAsia"/>
                <w:color w:val="auto"/>
                <w:highlight w:val="none"/>
              </w:rPr>
              <w:t>616</w:t>
            </w:r>
            <w:r>
              <w:rPr>
                <w:color w:val="auto"/>
                <w:highlight w:val="none"/>
              </w:rPr>
              <w:t>000</w:t>
            </w:r>
          </w:p>
        </w:tc>
      </w:tr>
      <w:tr w14:paraId="72A9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095FB795">
            <w:pPr>
              <w:pStyle w:val="17"/>
              <w:bidi w:val="0"/>
              <w:rPr>
                <w:color w:val="auto"/>
                <w:highlight w:val="none"/>
              </w:rPr>
            </w:pPr>
            <w:r>
              <w:rPr>
                <w:color w:val="auto"/>
                <w:highlight w:val="none"/>
              </w:rPr>
              <w:t>1,2-二氯丙烷</w:t>
            </w:r>
          </w:p>
        </w:tc>
        <w:tc>
          <w:tcPr>
            <w:tcW w:w="850" w:type="pct"/>
            <w:tcBorders>
              <w:tl2br w:val="nil"/>
              <w:tr2bl w:val="nil"/>
            </w:tcBorders>
            <w:vAlign w:val="center"/>
          </w:tcPr>
          <w:p w14:paraId="7239C251">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2AB1240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1.5L</w:t>
            </w:r>
          </w:p>
        </w:tc>
        <w:tc>
          <w:tcPr>
            <w:tcW w:w="716" w:type="pct"/>
            <w:tcBorders>
              <w:tl2br w:val="nil"/>
              <w:tr2bl w:val="nil"/>
            </w:tcBorders>
            <w:vAlign w:val="center"/>
          </w:tcPr>
          <w:p w14:paraId="18D2CE0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6B61776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2E237934">
            <w:pPr>
              <w:pStyle w:val="17"/>
              <w:bidi w:val="0"/>
              <w:rPr>
                <w:color w:val="auto"/>
                <w:highlight w:val="none"/>
              </w:rPr>
            </w:pPr>
            <w:r>
              <w:rPr>
                <w:color w:val="auto"/>
                <w:highlight w:val="none"/>
              </w:rPr>
              <w:t>5000</w:t>
            </w:r>
          </w:p>
        </w:tc>
      </w:tr>
      <w:tr w14:paraId="7F68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4CF199E6">
            <w:pPr>
              <w:pStyle w:val="17"/>
              <w:bidi w:val="0"/>
              <w:rPr>
                <w:color w:val="auto"/>
                <w:highlight w:val="none"/>
              </w:rPr>
            </w:pPr>
            <w:r>
              <w:rPr>
                <w:color w:val="auto"/>
                <w:highlight w:val="none"/>
              </w:rPr>
              <w:t>1,1,1,2-四氯乙烷</w:t>
            </w:r>
          </w:p>
        </w:tc>
        <w:tc>
          <w:tcPr>
            <w:tcW w:w="850" w:type="pct"/>
            <w:tcBorders>
              <w:tl2br w:val="nil"/>
              <w:tr2bl w:val="nil"/>
            </w:tcBorders>
            <w:vAlign w:val="center"/>
          </w:tcPr>
          <w:p w14:paraId="45D40B86">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200107EC">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3808A50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79BB92E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6E59C6B3">
            <w:pPr>
              <w:pStyle w:val="17"/>
              <w:bidi w:val="0"/>
              <w:rPr>
                <w:color w:val="auto"/>
                <w:highlight w:val="none"/>
              </w:rPr>
            </w:pPr>
            <w:r>
              <w:rPr>
                <w:color w:val="auto"/>
                <w:highlight w:val="none"/>
              </w:rPr>
              <w:t>10000</w:t>
            </w:r>
          </w:p>
        </w:tc>
      </w:tr>
      <w:tr w14:paraId="0169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4F428321">
            <w:pPr>
              <w:pStyle w:val="17"/>
              <w:bidi w:val="0"/>
              <w:rPr>
                <w:color w:val="auto"/>
                <w:highlight w:val="none"/>
              </w:rPr>
            </w:pPr>
            <w:r>
              <w:rPr>
                <w:color w:val="auto"/>
                <w:highlight w:val="none"/>
              </w:rPr>
              <w:t>1,1,2,2-四氯乙烷</w:t>
            </w:r>
          </w:p>
        </w:tc>
        <w:tc>
          <w:tcPr>
            <w:tcW w:w="850" w:type="pct"/>
            <w:tcBorders>
              <w:tl2br w:val="nil"/>
              <w:tr2bl w:val="nil"/>
            </w:tcBorders>
            <w:vAlign w:val="center"/>
          </w:tcPr>
          <w:p w14:paraId="5A570AFF">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42EFBEBF">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5332599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92693D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37447978">
            <w:pPr>
              <w:pStyle w:val="17"/>
              <w:bidi w:val="0"/>
              <w:rPr>
                <w:color w:val="auto"/>
                <w:highlight w:val="none"/>
              </w:rPr>
            </w:pPr>
            <w:r>
              <w:rPr>
                <w:color w:val="auto"/>
                <w:highlight w:val="none"/>
              </w:rPr>
              <w:t>6800</w:t>
            </w:r>
          </w:p>
        </w:tc>
      </w:tr>
      <w:tr w14:paraId="0A27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106C246C">
            <w:pPr>
              <w:pStyle w:val="17"/>
              <w:bidi w:val="0"/>
              <w:rPr>
                <w:color w:val="auto"/>
                <w:highlight w:val="none"/>
              </w:rPr>
            </w:pPr>
            <w:r>
              <w:rPr>
                <w:color w:val="auto"/>
                <w:highlight w:val="none"/>
              </w:rPr>
              <w:t>四氯乙烯</w:t>
            </w:r>
          </w:p>
        </w:tc>
        <w:tc>
          <w:tcPr>
            <w:tcW w:w="850" w:type="pct"/>
            <w:tcBorders>
              <w:tl2br w:val="nil"/>
              <w:tr2bl w:val="nil"/>
            </w:tcBorders>
            <w:vAlign w:val="center"/>
          </w:tcPr>
          <w:p w14:paraId="55B40085">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12039A3F">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1.4L</w:t>
            </w:r>
          </w:p>
        </w:tc>
        <w:tc>
          <w:tcPr>
            <w:tcW w:w="716" w:type="pct"/>
            <w:tcBorders>
              <w:tl2br w:val="nil"/>
              <w:tr2bl w:val="nil"/>
            </w:tcBorders>
            <w:vAlign w:val="center"/>
          </w:tcPr>
          <w:p w14:paraId="62C6013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51E013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07C0D447">
            <w:pPr>
              <w:pStyle w:val="17"/>
              <w:bidi w:val="0"/>
              <w:rPr>
                <w:color w:val="auto"/>
                <w:highlight w:val="none"/>
              </w:rPr>
            </w:pPr>
            <w:r>
              <w:rPr>
                <w:color w:val="auto"/>
                <w:highlight w:val="none"/>
              </w:rPr>
              <w:t>53000</w:t>
            </w:r>
          </w:p>
        </w:tc>
      </w:tr>
      <w:tr w14:paraId="7C72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222E411">
            <w:pPr>
              <w:pStyle w:val="17"/>
              <w:bidi w:val="0"/>
              <w:rPr>
                <w:color w:val="auto"/>
                <w:highlight w:val="none"/>
              </w:rPr>
            </w:pPr>
            <w:r>
              <w:rPr>
                <w:color w:val="auto"/>
                <w:highlight w:val="none"/>
              </w:rPr>
              <w:t>1,1,1-三氯乙烷</w:t>
            </w:r>
          </w:p>
        </w:tc>
        <w:tc>
          <w:tcPr>
            <w:tcW w:w="850" w:type="pct"/>
            <w:tcBorders>
              <w:tl2br w:val="nil"/>
              <w:tr2bl w:val="nil"/>
            </w:tcBorders>
            <w:vAlign w:val="center"/>
          </w:tcPr>
          <w:p w14:paraId="373F7400">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3EF21A5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1.3L</w:t>
            </w:r>
          </w:p>
        </w:tc>
        <w:tc>
          <w:tcPr>
            <w:tcW w:w="716" w:type="pct"/>
            <w:tcBorders>
              <w:tl2br w:val="nil"/>
              <w:tr2bl w:val="nil"/>
            </w:tcBorders>
            <w:vAlign w:val="center"/>
          </w:tcPr>
          <w:p w14:paraId="39CF3D5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63B5254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29C17601">
            <w:pPr>
              <w:pStyle w:val="17"/>
              <w:bidi w:val="0"/>
              <w:rPr>
                <w:color w:val="auto"/>
                <w:highlight w:val="none"/>
              </w:rPr>
            </w:pPr>
            <w:r>
              <w:rPr>
                <w:color w:val="auto"/>
                <w:highlight w:val="none"/>
              </w:rPr>
              <w:t>840000</w:t>
            </w:r>
          </w:p>
        </w:tc>
      </w:tr>
      <w:tr w14:paraId="19C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35F54999">
            <w:pPr>
              <w:pStyle w:val="17"/>
              <w:bidi w:val="0"/>
              <w:rPr>
                <w:color w:val="auto"/>
                <w:highlight w:val="none"/>
              </w:rPr>
            </w:pPr>
            <w:r>
              <w:rPr>
                <w:color w:val="auto"/>
                <w:highlight w:val="none"/>
              </w:rPr>
              <w:t>1,1,2-三氯乙烷</w:t>
            </w:r>
          </w:p>
        </w:tc>
        <w:tc>
          <w:tcPr>
            <w:tcW w:w="850" w:type="pct"/>
            <w:tcBorders>
              <w:tl2br w:val="nil"/>
              <w:tr2bl w:val="nil"/>
            </w:tcBorders>
            <w:vAlign w:val="center"/>
          </w:tcPr>
          <w:p w14:paraId="4068E50F">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34AABD8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6A29130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68882F8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5D2E2A11">
            <w:pPr>
              <w:pStyle w:val="17"/>
              <w:bidi w:val="0"/>
              <w:rPr>
                <w:color w:val="auto"/>
                <w:highlight w:val="none"/>
              </w:rPr>
            </w:pPr>
            <w:r>
              <w:rPr>
                <w:color w:val="auto"/>
                <w:highlight w:val="none"/>
              </w:rPr>
              <w:t>2800</w:t>
            </w:r>
          </w:p>
        </w:tc>
      </w:tr>
      <w:tr w14:paraId="4DAD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134694D9">
            <w:pPr>
              <w:pStyle w:val="17"/>
              <w:bidi w:val="0"/>
              <w:rPr>
                <w:color w:val="auto"/>
                <w:highlight w:val="none"/>
              </w:rPr>
            </w:pPr>
            <w:r>
              <w:rPr>
                <w:color w:val="auto"/>
                <w:highlight w:val="none"/>
              </w:rPr>
              <w:t>三氯乙烯</w:t>
            </w:r>
          </w:p>
        </w:tc>
        <w:tc>
          <w:tcPr>
            <w:tcW w:w="850" w:type="pct"/>
            <w:tcBorders>
              <w:tl2br w:val="nil"/>
              <w:tr2bl w:val="nil"/>
            </w:tcBorders>
            <w:vAlign w:val="center"/>
          </w:tcPr>
          <w:p w14:paraId="4FFB66BB">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0169CD15">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686F5E4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66F5DA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1C876C3C">
            <w:pPr>
              <w:pStyle w:val="17"/>
              <w:bidi w:val="0"/>
              <w:rPr>
                <w:color w:val="auto"/>
                <w:highlight w:val="none"/>
              </w:rPr>
            </w:pPr>
            <w:r>
              <w:rPr>
                <w:color w:val="auto"/>
                <w:highlight w:val="none"/>
              </w:rPr>
              <w:t>2800</w:t>
            </w:r>
          </w:p>
        </w:tc>
      </w:tr>
      <w:tr w14:paraId="060E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50E2A987">
            <w:pPr>
              <w:pStyle w:val="17"/>
              <w:bidi w:val="0"/>
              <w:rPr>
                <w:color w:val="auto"/>
                <w:highlight w:val="none"/>
              </w:rPr>
            </w:pPr>
            <w:r>
              <w:rPr>
                <w:color w:val="auto"/>
                <w:highlight w:val="none"/>
              </w:rPr>
              <w:t>1,2,3-三氯丙烷</w:t>
            </w:r>
          </w:p>
        </w:tc>
        <w:tc>
          <w:tcPr>
            <w:tcW w:w="850" w:type="pct"/>
            <w:tcBorders>
              <w:tl2br w:val="nil"/>
              <w:tr2bl w:val="nil"/>
            </w:tcBorders>
            <w:vAlign w:val="center"/>
          </w:tcPr>
          <w:p w14:paraId="0A11106F">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581F837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4D113EF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D0D6AF6">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4B9FE7E9">
            <w:pPr>
              <w:pStyle w:val="17"/>
              <w:bidi w:val="0"/>
              <w:rPr>
                <w:color w:val="auto"/>
                <w:highlight w:val="none"/>
              </w:rPr>
            </w:pPr>
            <w:r>
              <w:rPr>
                <w:color w:val="auto"/>
                <w:highlight w:val="none"/>
              </w:rPr>
              <w:t>500</w:t>
            </w:r>
          </w:p>
        </w:tc>
      </w:tr>
      <w:tr w14:paraId="552B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190E4634">
            <w:pPr>
              <w:pStyle w:val="17"/>
              <w:bidi w:val="0"/>
              <w:rPr>
                <w:color w:val="auto"/>
                <w:highlight w:val="none"/>
              </w:rPr>
            </w:pPr>
            <w:r>
              <w:rPr>
                <w:color w:val="auto"/>
                <w:highlight w:val="none"/>
              </w:rPr>
              <w:t>氯乙烯</w:t>
            </w:r>
          </w:p>
        </w:tc>
        <w:tc>
          <w:tcPr>
            <w:tcW w:w="850" w:type="pct"/>
            <w:tcBorders>
              <w:tl2br w:val="nil"/>
              <w:tr2bl w:val="nil"/>
            </w:tcBorders>
            <w:vAlign w:val="center"/>
          </w:tcPr>
          <w:p w14:paraId="38F530AC">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0F116B3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1.0L</w:t>
            </w:r>
          </w:p>
        </w:tc>
        <w:tc>
          <w:tcPr>
            <w:tcW w:w="716" w:type="pct"/>
            <w:tcBorders>
              <w:tl2br w:val="nil"/>
              <w:tr2bl w:val="nil"/>
            </w:tcBorders>
            <w:vAlign w:val="center"/>
          </w:tcPr>
          <w:p w14:paraId="2F9399F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13DC3EB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1B820BCB">
            <w:pPr>
              <w:pStyle w:val="17"/>
              <w:bidi w:val="0"/>
              <w:rPr>
                <w:color w:val="auto"/>
                <w:highlight w:val="none"/>
              </w:rPr>
            </w:pPr>
            <w:r>
              <w:rPr>
                <w:color w:val="auto"/>
                <w:highlight w:val="none"/>
              </w:rPr>
              <w:t>430</w:t>
            </w:r>
          </w:p>
        </w:tc>
      </w:tr>
      <w:tr w14:paraId="13B9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53604457">
            <w:pPr>
              <w:pStyle w:val="17"/>
              <w:bidi w:val="0"/>
              <w:rPr>
                <w:color w:val="auto"/>
                <w:highlight w:val="none"/>
              </w:rPr>
            </w:pPr>
            <w:r>
              <w:rPr>
                <w:color w:val="auto"/>
                <w:highlight w:val="none"/>
              </w:rPr>
              <w:t>苯</w:t>
            </w:r>
          </w:p>
        </w:tc>
        <w:tc>
          <w:tcPr>
            <w:tcW w:w="850" w:type="pct"/>
            <w:tcBorders>
              <w:tl2br w:val="nil"/>
              <w:tr2bl w:val="nil"/>
            </w:tcBorders>
            <w:vAlign w:val="center"/>
          </w:tcPr>
          <w:p w14:paraId="03C75689">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65349C3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1.9L</w:t>
            </w:r>
          </w:p>
        </w:tc>
        <w:tc>
          <w:tcPr>
            <w:tcW w:w="716" w:type="pct"/>
            <w:tcBorders>
              <w:tl2br w:val="nil"/>
              <w:tr2bl w:val="nil"/>
            </w:tcBorders>
            <w:vAlign w:val="center"/>
          </w:tcPr>
          <w:p w14:paraId="0B1DCE8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3729901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78F162A7">
            <w:pPr>
              <w:pStyle w:val="17"/>
              <w:bidi w:val="0"/>
              <w:rPr>
                <w:color w:val="auto"/>
                <w:highlight w:val="none"/>
              </w:rPr>
            </w:pPr>
            <w:r>
              <w:rPr>
                <w:color w:val="auto"/>
                <w:highlight w:val="none"/>
              </w:rPr>
              <w:t>4000</w:t>
            </w:r>
          </w:p>
        </w:tc>
      </w:tr>
      <w:tr w14:paraId="62A8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17068D1B">
            <w:pPr>
              <w:pStyle w:val="17"/>
              <w:bidi w:val="0"/>
              <w:rPr>
                <w:color w:val="auto"/>
                <w:highlight w:val="none"/>
              </w:rPr>
            </w:pPr>
            <w:r>
              <w:rPr>
                <w:color w:val="auto"/>
                <w:highlight w:val="none"/>
              </w:rPr>
              <w:t>氯苯</w:t>
            </w:r>
          </w:p>
        </w:tc>
        <w:tc>
          <w:tcPr>
            <w:tcW w:w="850" w:type="pct"/>
            <w:tcBorders>
              <w:tl2br w:val="nil"/>
              <w:tr2bl w:val="nil"/>
            </w:tcBorders>
            <w:vAlign w:val="center"/>
          </w:tcPr>
          <w:p w14:paraId="6F87F93D">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261286F9">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29989F5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1DD6DF5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09B6A691">
            <w:pPr>
              <w:pStyle w:val="17"/>
              <w:bidi w:val="0"/>
              <w:rPr>
                <w:color w:val="auto"/>
                <w:highlight w:val="none"/>
              </w:rPr>
            </w:pPr>
            <w:r>
              <w:rPr>
                <w:color w:val="auto"/>
                <w:highlight w:val="none"/>
              </w:rPr>
              <w:t>270000</w:t>
            </w:r>
          </w:p>
        </w:tc>
      </w:tr>
      <w:tr w14:paraId="2DF4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440AB8E8">
            <w:pPr>
              <w:pStyle w:val="17"/>
              <w:bidi w:val="0"/>
              <w:rPr>
                <w:color w:val="auto"/>
                <w:highlight w:val="none"/>
              </w:rPr>
            </w:pPr>
            <w:r>
              <w:rPr>
                <w:color w:val="auto"/>
                <w:highlight w:val="none"/>
              </w:rPr>
              <w:t>1,2-二氯苯</w:t>
            </w:r>
          </w:p>
        </w:tc>
        <w:tc>
          <w:tcPr>
            <w:tcW w:w="850" w:type="pct"/>
            <w:tcBorders>
              <w:tl2br w:val="nil"/>
              <w:tr2bl w:val="nil"/>
            </w:tcBorders>
            <w:vAlign w:val="center"/>
          </w:tcPr>
          <w:p w14:paraId="18C46A30">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7DF73279">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1.5L</w:t>
            </w:r>
          </w:p>
        </w:tc>
        <w:tc>
          <w:tcPr>
            <w:tcW w:w="716" w:type="pct"/>
            <w:tcBorders>
              <w:tl2br w:val="nil"/>
              <w:tr2bl w:val="nil"/>
            </w:tcBorders>
            <w:vAlign w:val="center"/>
          </w:tcPr>
          <w:p w14:paraId="7CAFB4C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7C3EBC6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233A927D">
            <w:pPr>
              <w:pStyle w:val="17"/>
              <w:bidi w:val="0"/>
              <w:rPr>
                <w:color w:val="auto"/>
                <w:highlight w:val="none"/>
              </w:rPr>
            </w:pPr>
            <w:r>
              <w:rPr>
                <w:color w:val="auto"/>
                <w:highlight w:val="none"/>
              </w:rPr>
              <w:t>560000</w:t>
            </w:r>
          </w:p>
        </w:tc>
      </w:tr>
      <w:tr w14:paraId="0F9A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67119ACD">
            <w:pPr>
              <w:pStyle w:val="17"/>
              <w:bidi w:val="0"/>
              <w:rPr>
                <w:color w:val="auto"/>
                <w:highlight w:val="none"/>
              </w:rPr>
            </w:pPr>
            <w:r>
              <w:rPr>
                <w:color w:val="auto"/>
                <w:highlight w:val="none"/>
              </w:rPr>
              <w:t>1,4-二氯苯</w:t>
            </w:r>
          </w:p>
        </w:tc>
        <w:tc>
          <w:tcPr>
            <w:tcW w:w="850" w:type="pct"/>
            <w:tcBorders>
              <w:tl2br w:val="nil"/>
              <w:tr2bl w:val="nil"/>
            </w:tcBorders>
            <w:vAlign w:val="center"/>
          </w:tcPr>
          <w:p w14:paraId="4EE62DF0">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7081434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1.5L</w:t>
            </w:r>
          </w:p>
        </w:tc>
        <w:tc>
          <w:tcPr>
            <w:tcW w:w="716" w:type="pct"/>
            <w:tcBorders>
              <w:tl2br w:val="nil"/>
              <w:tr2bl w:val="nil"/>
            </w:tcBorders>
            <w:vAlign w:val="center"/>
          </w:tcPr>
          <w:p w14:paraId="0E2A22A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6B72FD5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5A51F03F">
            <w:pPr>
              <w:pStyle w:val="17"/>
              <w:bidi w:val="0"/>
              <w:rPr>
                <w:color w:val="auto"/>
                <w:highlight w:val="none"/>
              </w:rPr>
            </w:pPr>
            <w:r>
              <w:rPr>
                <w:color w:val="auto"/>
                <w:highlight w:val="none"/>
              </w:rPr>
              <w:t>20000</w:t>
            </w:r>
          </w:p>
        </w:tc>
      </w:tr>
      <w:tr w14:paraId="4E0E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7CE88A0D">
            <w:pPr>
              <w:pStyle w:val="17"/>
              <w:bidi w:val="0"/>
              <w:rPr>
                <w:color w:val="auto"/>
                <w:highlight w:val="none"/>
              </w:rPr>
            </w:pPr>
            <w:r>
              <w:rPr>
                <w:color w:val="auto"/>
                <w:highlight w:val="none"/>
              </w:rPr>
              <w:t>乙苯</w:t>
            </w:r>
          </w:p>
        </w:tc>
        <w:tc>
          <w:tcPr>
            <w:tcW w:w="850" w:type="pct"/>
            <w:tcBorders>
              <w:tl2br w:val="nil"/>
              <w:tr2bl w:val="nil"/>
            </w:tcBorders>
            <w:vAlign w:val="center"/>
          </w:tcPr>
          <w:p w14:paraId="5792EFC5">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543C716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30FE1DB4">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09708CE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5C03BE6A">
            <w:pPr>
              <w:pStyle w:val="17"/>
              <w:bidi w:val="0"/>
              <w:rPr>
                <w:color w:val="auto"/>
                <w:highlight w:val="none"/>
              </w:rPr>
            </w:pPr>
            <w:r>
              <w:rPr>
                <w:color w:val="auto"/>
                <w:highlight w:val="none"/>
              </w:rPr>
              <w:t>28000</w:t>
            </w:r>
          </w:p>
        </w:tc>
      </w:tr>
      <w:tr w14:paraId="7154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4DCF0C8A">
            <w:pPr>
              <w:pStyle w:val="17"/>
              <w:bidi w:val="0"/>
              <w:rPr>
                <w:color w:val="auto"/>
                <w:highlight w:val="none"/>
              </w:rPr>
            </w:pPr>
            <w:r>
              <w:rPr>
                <w:color w:val="auto"/>
                <w:highlight w:val="none"/>
              </w:rPr>
              <w:t>苯乙烯</w:t>
            </w:r>
          </w:p>
        </w:tc>
        <w:tc>
          <w:tcPr>
            <w:tcW w:w="850" w:type="pct"/>
            <w:tcBorders>
              <w:tl2br w:val="nil"/>
              <w:tr2bl w:val="nil"/>
            </w:tcBorders>
            <w:vAlign w:val="center"/>
          </w:tcPr>
          <w:p w14:paraId="2AFA4A4C">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112F4C5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149009CB">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A46EA8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5AA8F40F">
            <w:pPr>
              <w:pStyle w:val="17"/>
              <w:bidi w:val="0"/>
              <w:rPr>
                <w:color w:val="auto"/>
                <w:highlight w:val="none"/>
              </w:rPr>
            </w:pPr>
            <w:r>
              <w:rPr>
                <w:color w:val="auto"/>
                <w:highlight w:val="none"/>
              </w:rPr>
              <w:t>1290000</w:t>
            </w:r>
          </w:p>
        </w:tc>
      </w:tr>
      <w:tr w14:paraId="4489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1158BCB5">
            <w:pPr>
              <w:pStyle w:val="17"/>
              <w:bidi w:val="0"/>
              <w:rPr>
                <w:color w:val="auto"/>
                <w:highlight w:val="none"/>
              </w:rPr>
            </w:pPr>
            <w:r>
              <w:rPr>
                <w:color w:val="auto"/>
                <w:highlight w:val="none"/>
              </w:rPr>
              <w:t>甲苯</w:t>
            </w:r>
          </w:p>
        </w:tc>
        <w:tc>
          <w:tcPr>
            <w:tcW w:w="850" w:type="pct"/>
            <w:tcBorders>
              <w:tl2br w:val="nil"/>
              <w:tr2bl w:val="nil"/>
            </w:tcBorders>
            <w:vAlign w:val="center"/>
          </w:tcPr>
          <w:p w14:paraId="610C6E39">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57781455">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1.3L</w:t>
            </w:r>
          </w:p>
        </w:tc>
        <w:tc>
          <w:tcPr>
            <w:tcW w:w="716" w:type="pct"/>
            <w:tcBorders>
              <w:tl2br w:val="nil"/>
              <w:tr2bl w:val="nil"/>
            </w:tcBorders>
            <w:vAlign w:val="center"/>
          </w:tcPr>
          <w:p w14:paraId="497E0A0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54150DA7">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01145BC3">
            <w:pPr>
              <w:pStyle w:val="17"/>
              <w:bidi w:val="0"/>
              <w:rPr>
                <w:color w:val="auto"/>
                <w:highlight w:val="none"/>
              </w:rPr>
            </w:pPr>
            <w:r>
              <w:rPr>
                <w:color w:val="auto"/>
                <w:highlight w:val="none"/>
              </w:rPr>
              <w:t>1200000</w:t>
            </w:r>
          </w:p>
        </w:tc>
      </w:tr>
      <w:tr w14:paraId="4EAF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05E90816">
            <w:pPr>
              <w:pStyle w:val="17"/>
              <w:bidi w:val="0"/>
              <w:rPr>
                <w:color w:val="auto"/>
                <w:highlight w:val="none"/>
              </w:rPr>
            </w:pPr>
            <w:r>
              <w:rPr>
                <w:color w:val="auto"/>
                <w:highlight w:val="none"/>
              </w:rPr>
              <w:t>间,对二甲苯</w:t>
            </w:r>
          </w:p>
        </w:tc>
        <w:tc>
          <w:tcPr>
            <w:tcW w:w="850" w:type="pct"/>
            <w:tcBorders>
              <w:tl2br w:val="nil"/>
              <w:tr2bl w:val="nil"/>
            </w:tcBorders>
            <w:vAlign w:val="center"/>
          </w:tcPr>
          <w:p w14:paraId="639C78E3">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52F6361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7B1DC20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1763F4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15F96D6E">
            <w:pPr>
              <w:pStyle w:val="17"/>
              <w:bidi w:val="0"/>
              <w:rPr>
                <w:color w:val="auto"/>
                <w:highlight w:val="none"/>
              </w:rPr>
            </w:pPr>
            <w:r>
              <w:rPr>
                <w:color w:val="auto"/>
                <w:highlight w:val="none"/>
              </w:rPr>
              <w:t>570000</w:t>
            </w:r>
          </w:p>
        </w:tc>
      </w:tr>
      <w:tr w14:paraId="2512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61FF38EE">
            <w:pPr>
              <w:pStyle w:val="17"/>
              <w:bidi w:val="0"/>
              <w:rPr>
                <w:color w:val="auto"/>
                <w:highlight w:val="none"/>
              </w:rPr>
            </w:pPr>
            <w:r>
              <w:rPr>
                <w:color w:val="auto"/>
                <w:highlight w:val="none"/>
              </w:rPr>
              <w:t>邻二甲苯</w:t>
            </w:r>
          </w:p>
        </w:tc>
        <w:tc>
          <w:tcPr>
            <w:tcW w:w="850" w:type="pct"/>
            <w:tcBorders>
              <w:tl2br w:val="nil"/>
              <w:tr2bl w:val="nil"/>
            </w:tcBorders>
            <w:vAlign w:val="center"/>
          </w:tcPr>
          <w:p w14:paraId="28397D7D">
            <w:pPr>
              <w:pStyle w:val="17"/>
              <w:bidi w:val="0"/>
              <w:rPr>
                <w:color w:val="auto"/>
                <w:highlight w:val="none"/>
              </w:rPr>
            </w:pPr>
            <w:r>
              <w:rPr>
                <w:color w:val="auto"/>
                <w:highlight w:val="none"/>
              </w:rPr>
              <w:t>μg/kg</w:t>
            </w:r>
          </w:p>
        </w:tc>
        <w:tc>
          <w:tcPr>
            <w:tcW w:w="743" w:type="pct"/>
            <w:tcBorders>
              <w:tl2br w:val="nil"/>
              <w:tr2bl w:val="nil"/>
            </w:tcBorders>
            <w:shd w:val="clear" w:color="auto" w:fill="auto"/>
            <w:vAlign w:val="center"/>
          </w:tcPr>
          <w:p w14:paraId="7A2BE24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1.2L</w:t>
            </w:r>
          </w:p>
        </w:tc>
        <w:tc>
          <w:tcPr>
            <w:tcW w:w="716" w:type="pct"/>
            <w:tcBorders>
              <w:tl2br w:val="nil"/>
              <w:tr2bl w:val="nil"/>
            </w:tcBorders>
            <w:vAlign w:val="center"/>
          </w:tcPr>
          <w:p w14:paraId="4670BE59">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04D2DF1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31E4E2DC">
            <w:pPr>
              <w:pStyle w:val="17"/>
              <w:bidi w:val="0"/>
              <w:rPr>
                <w:color w:val="auto"/>
                <w:highlight w:val="none"/>
              </w:rPr>
            </w:pPr>
            <w:r>
              <w:rPr>
                <w:color w:val="auto"/>
                <w:highlight w:val="none"/>
              </w:rPr>
              <w:t>640000</w:t>
            </w:r>
          </w:p>
        </w:tc>
      </w:tr>
      <w:tr w14:paraId="6543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71E9F8D">
            <w:pPr>
              <w:pStyle w:val="17"/>
              <w:bidi w:val="0"/>
              <w:rPr>
                <w:color w:val="auto"/>
                <w:highlight w:val="none"/>
              </w:rPr>
            </w:pPr>
            <w:r>
              <w:rPr>
                <w:color w:val="auto"/>
                <w:highlight w:val="none"/>
              </w:rPr>
              <w:t>硝基苯</w:t>
            </w:r>
          </w:p>
        </w:tc>
        <w:tc>
          <w:tcPr>
            <w:tcW w:w="850" w:type="pct"/>
            <w:tcBorders>
              <w:tl2br w:val="nil"/>
              <w:tr2bl w:val="nil"/>
            </w:tcBorders>
            <w:vAlign w:val="center"/>
          </w:tcPr>
          <w:p w14:paraId="28F0AB83">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1C888F75">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0.09L</w:t>
            </w:r>
          </w:p>
        </w:tc>
        <w:tc>
          <w:tcPr>
            <w:tcW w:w="716" w:type="pct"/>
            <w:tcBorders>
              <w:tl2br w:val="nil"/>
              <w:tr2bl w:val="nil"/>
            </w:tcBorders>
            <w:vAlign w:val="center"/>
          </w:tcPr>
          <w:p w14:paraId="2CAC02CC">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6414120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4C2F11DF">
            <w:pPr>
              <w:pStyle w:val="17"/>
              <w:bidi w:val="0"/>
              <w:rPr>
                <w:color w:val="auto"/>
                <w:highlight w:val="none"/>
              </w:rPr>
            </w:pPr>
            <w:r>
              <w:rPr>
                <w:color w:val="auto"/>
                <w:highlight w:val="none"/>
              </w:rPr>
              <w:t>76</w:t>
            </w:r>
          </w:p>
        </w:tc>
      </w:tr>
      <w:tr w14:paraId="5629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06113856">
            <w:pPr>
              <w:pStyle w:val="17"/>
              <w:bidi w:val="0"/>
              <w:rPr>
                <w:color w:val="auto"/>
                <w:highlight w:val="none"/>
              </w:rPr>
            </w:pPr>
            <w:r>
              <w:rPr>
                <w:color w:val="auto"/>
                <w:highlight w:val="none"/>
              </w:rPr>
              <w:t>苯胺</w:t>
            </w:r>
          </w:p>
        </w:tc>
        <w:tc>
          <w:tcPr>
            <w:tcW w:w="850" w:type="pct"/>
            <w:tcBorders>
              <w:tl2br w:val="nil"/>
              <w:tr2bl w:val="nil"/>
            </w:tcBorders>
            <w:vAlign w:val="center"/>
          </w:tcPr>
          <w:p w14:paraId="25B0D2C3">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77E14AA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0.1L</w:t>
            </w:r>
          </w:p>
        </w:tc>
        <w:tc>
          <w:tcPr>
            <w:tcW w:w="716" w:type="pct"/>
            <w:tcBorders>
              <w:tl2br w:val="nil"/>
              <w:tr2bl w:val="nil"/>
            </w:tcBorders>
            <w:vAlign w:val="center"/>
          </w:tcPr>
          <w:p w14:paraId="21055AF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6A6515F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4954D965">
            <w:pPr>
              <w:pStyle w:val="17"/>
              <w:bidi w:val="0"/>
              <w:rPr>
                <w:color w:val="auto"/>
                <w:highlight w:val="none"/>
              </w:rPr>
            </w:pPr>
            <w:r>
              <w:rPr>
                <w:color w:val="auto"/>
                <w:highlight w:val="none"/>
              </w:rPr>
              <w:t>260</w:t>
            </w:r>
          </w:p>
        </w:tc>
      </w:tr>
      <w:tr w14:paraId="162C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034701B8">
            <w:pPr>
              <w:pStyle w:val="17"/>
              <w:bidi w:val="0"/>
              <w:rPr>
                <w:color w:val="auto"/>
                <w:highlight w:val="none"/>
              </w:rPr>
            </w:pPr>
            <w:r>
              <w:rPr>
                <w:color w:val="auto"/>
                <w:highlight w:val="none"/>
              </w:rPr>
              <w:t>2-氯酚</w:t>
            </w:r>
          </w:p>
        </w:tc>
        <w:tc>
          <w:tcPr>
            <w:tcW w:w="850" w:type="pct"/>
            <w:tcBorders>
              <w:tl2br w:val="nil"/>
              <w:tr2bl w:val="nil"/>
            </w:tcBorders>
            <w:vAlign w:val="center"/>
          </w:tcPr>
          <w:p w14:paraId="1D6059AD">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51E0172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0.06L</w:t>
            </w:r>
          </w:p>
        </w:tc>
        <w:tc>
          <w:tcPr>
            <w:tcW w:w="716" w:type="pct"/>
            <w:tcBorders>
              <w:tl2br w:val="nil"/>
              <w:tr2bl w:val="nil"/>
            </w:tcBorders>
            <w:vAlign w:val="center"/>
          </w:tcPr>
          <w:p w14:paraId="7C1C6FA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192D966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0F21AC9D">
            <w:pPr>
              <w:pStyle w:val="17"/>
              <w:bidi w:val="0"/>
              <w:rPr>
                <w:color w:val="auto"/>
                <w:highlight w:val="none"/>
              </w:rPr>
            </w:pPr>
            <w:r>
              <w:rPr>
                <w:color w:val="auto"/>
                <w:highlight w:val="none"/>
              </w:rPr>
              <w:t>2256</w:t>
            </w:r>
          </w:p>
        </w:tc>
      </w:tr>
      <w:tr w14:paraId="53D9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045AF3D4">
            <w:pPr>
              <w:pStyle w:val="17"/>
              <w:bidi w:val="0"/>
              <w:rPr>
                <w:color w:val="auto"/>
                <w:highlight w:val="none"/>
              </w:rPr>
            </w:pPr>
            <w:r>
              <w:rPr>
                <w:color w:val="auto"/>
                <w:highlight w:val="none"/>
              </w:rPr>
              <w:t>苯并[a]蒽</w:t>
            </w:r>
          </w:p>
        </w:tc>
        <w:tc>
          <w:tcPr>
            <w:tcW w:w="850" w:type="pct"/>
            <w:tcBorders>
              <w:tl2br w:val="nil"/>
              <w:tr2bl w:val="nil"/>
            </w:tcBorders>
            <w:vAlign w:val="center"/>
          </w:tcPr>
          <w:p w14:paraId="3FCCC3E7">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76CA2B2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0.1L</w:t>
            </w:r>
          </w:p>
        </w:tc>
        <w:tc>
          <w:tcPr>
            <w:tcW w:w="716" w:type="pct"/>
            <w:tcBorders>
              <w:tl2br w:val="nil"/>
              <w:tr2bl w:val="nil"/>
            </w:tcBorders>
            <w:vAlign w:val="center"/>
          </w:tcPr>
          <w:p w14:paraId="49935706">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16C24ED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61414208">
            <w:pPr>
              <w:pStyle w:val="17"/>
              <w:bidi w:val="0"/>
              <w:rPr>
                <w:color w:val="auto"/>
                <w:highlight w:val="none"/>
              </w:rPr>
            </w:pPr>
            <w:r>
              <w:rPr>
                <w:color w:val="auto"/>
                <w:highlight w:val="none"/>
              </w:rPr>
              <w:t>15</w:t>
            </w:r>
          </w:p>
        </w:tc>
      </w:tr>
      <w:tr w14:paraId="0D07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62251973">
            <w:pPr>
              <w:pStyle w:val="17"/>
              <w:bidi w:val="0"/>
              <w:rPr>
                <w:color w:val="auto"/>
                <w:highlight w:val="none"/>
              </w:rPr>
            </w:pPr>
            <w:r>
              <w:rPr>
                <w:color w:val="auto"/>
                <w:highlight w:val="none"/>
              </w:rPr>
              <w:t>苯并[a]芘</w:t>
            </w:r>
          </w:p>
        </w:tc>
        <w:tc>
          <w:tcPr>
            <w:tcW w:w="850" w:type="pct"/>
            <w:tcBorders>
              <w:tl2br w:val="nil"/>
              <w:tr2bl w:val="nil"/>
            </w:tcBorders>
            <w:vAlign w:val="center"/>
          </w:tcPr>
          <w:p w14:paraId="3B805C7F">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5F9BB0E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0.1L</w:t>
            </w:r>
          </w:p>
        </w:tc>
        <w:tc>
          <w:tcPr>
            <w:tcW w:w="716" w:type="pct"/>
            <w:tcBorders>
              <w:tl2br w:val="nil"/>
              <w:tr2bl w:val="nil"/>
            </w:tcBorders>
            <w:vAlign w:val="center"/>
          </w:tcPr>
          <w:p w14:paraId="408BD66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018CEC4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47FE25B7">
            <w:pPr>
              <w:pStyle w:val="17"/>
              <w:bidi w:val="0"/>
              <w:rPr>
                <w:color w:val="auto"/>
                <w:highlight w:val="none"/>
              </w:rPr>
            </w:pPr>
            <w:r>
              <w:rPr>
                <w:color w:val="auto"/>
                <w:highlight w:val="none"/>
              </w:rPr>
              <w:t>1.5</w:t>
            </w:r>
          </w:p>
        </w:tc>
      </w:tr>
      <w:tr w14:paraId="423C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0DE68B47">
            <w:pPr>
              <w:pStyle w:val="17"/>
              <w:bidi w:val="0"/>
              <w:rPr>
                <w:color w:val="auto"/>
                <w:highlight w:val="none"/>
              </w:rPr>
            </w:pPr>
            <w:r>
              <w:rPr>
                <w:color w:val="auto"/>
                <w:highlight w:val="none"/>
              </w:rPr>
              <w:t>苯并[b]荧蒽</w:t>
            </w:r>
          </w:p>
        </w:tc>
        <w:tc>
          <w:tcPr>
            <w:tcW w:w="850" w:type="pct"/>
            <w:tcBorders>
              <w:tl2br w:val="nil"/>
              <w:tr2bl w:val="nil"/>
            </w:tcBorders>
            <w:vAlign w:val="center"/>
          </w:tcPr>
          <w:p w14:paraId="2DED692C">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234D509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0.2L</w:t>
            </w:r>
          </w:p>
        </w:tc>
        <w:tc>
          <w:tcPr>
            <w:tcW w:w="716" w:type="pct"/>
            <w:tcBorders>
              <w:tl2br w:val="nil"/>
              <w:tr2bl w:val="nil"/>
            </w:tcBorders>
            <w:vAlign w:val="center"/>
          </w:tcPr>
          <w:p w14:paraId="03E46C4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3DBAD54F">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1BF2F602">
            <w:pPr>
              <w:pStyle w:val="17"/>
              <w:bidi w:val="0"/>
              <w:rPr>
                <w:color w:val="auto"/>
                <w:highlight w:val="none"/>
              </w:rPr>
            </w:pPr>
            <w:r>
              <w:rPr>
                <w:color w:val="auto"/>
                <w:highlight w:val="none"/>
              </w:rPr>
              <w:t>15</w:t>
            </w:r>
          </w:p>
        </w:tc>
      </w:tr>
      <w:tr w14:paraId="47BD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451B22BA">
            <w:pPr>
              <w:pStyle w:val="17"/>
              <w:bidi w:val="0"/>
              <w:rPr>
                <w:color w:val="auto"/>
                <w:highlight w:val="none"/>
              </w:rPr>
            </w:pPr>
            <w:r>
              <w:rPr>
                <w:color w:val="auto"/>
                <w:highlight w:val="none"/>
              </w:rPr>
              <w:t>苯并[k]荧蒽</w:t>
            </w:r>
          </w:p>
        </w:tc>
        <w:tc>
          <w:tcPr>
            <w:tcW w:w="850" w:type="pct"/>
            <w:tcBorders>
              <w:tl2br w:val="nil"/>
              <w:tr2bl w:val="nil"/>
            </w:tcBorders>
            <w:vAlign w:val="center"/>
          </w:tcPr>
          <w:p w14:paraId="0F9D2802">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0D8B8B3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0.1L</w:t>
            </w:r>
          </w:p>
        </w:tc>
        <w:tc>
          <w:tcPr>
            <w:tcW w:w="716" w:type="pct"/>
            <w:tcBorders>
              <w:tl2br w:val="nil"/>
              <w:tr2bl w:val="nil"/>
            </w:tcBorders>
            <w:vAlign w:val="center"/>
          </w:tcPr>
          <w:p w14:paraId="244BBF3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5EB0E031">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05C2C25C">
            <w:pPr>
              <w:pStyle w:val="17"/>
              <w:bidi w:val="0"/>
              <w:rPr>
                <w:color w:val="auto"/>
                <w:highlight w:val="none"/>
              </w:rPr>
            </w:pPr>
            <w:r>
              <w:rPr>
                <w:color w:val="auto"/>
                <w:highlight w:val="none"/>
              </w:rPr>
              <w:t>151</w:t>
            </w:r>
          </w:p>
        </w:tc>
      </w:tr>
      <w:tr w14:paraId="2770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2E819904">
            <w:pPr>
              <w:pStyle w:val="17"/>
              <w:bidi w:val="0"/>
              <w:rPr>
                <w:color w:val="auto"/>
                <w:highlight w:val="none"/>
              </w:rPr>
            </w:pPr>
            <w:r>
              <w:rPr>
                <w:color w:val="auto"/>
                <w:highlight w:val="none"/>
              </w:rPr>
              <w:t>䓛</w:t>
            </w:r>
          </w:p>
        </w:tc>
        <w:tc>
          <w:tcPr>
            <w:tcW w:w="850" w:type="pct"/>
            <w:tcBorders>
              <w:tl2br w:val="nil"/>
              <w:tr2bl w:val="nil"/>
            </w:tcBorders>
            <w:vAlign w:val="center"/>
          </w:tcPr>
          <w:p w14:paraId="49D2C96B">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28353C2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0.1L</w:t>
            </w:r>
          </w:p>
        </w:tc>
        <w:tc>
          <w:tcPr>
            <w:tcW w:w="716" w:type="pct"/>
            <w:tcBorders>
              <w:tl2br w:val="nil"/>
              <w:tr2bl w:val="nil"/>
            </w:tcBorders>
            <w:vAlign w:val="center"/>
          </w:tcPr>
          <w:p w14:paraId="4EC03E33">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6F99EA2D">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717BC5DB">
            <w:pPr>
              <w:pStyle w:val="17"/>
              <w:bidi w:val="0"/>
              <w:rPr>
                <w:color w:val="auto"/>
                <w:highlight w:val="none"/>
              </w:rPr>
            </w:pPr>
            <w:r>
              <w:rPr>
                <w:color w:val="auto"/>
                <w:highlight w:val="none"/>
              </w:rPr>
              <w:t>1293</w:t>
            </w:r>
          </w:p>
        </w:tc>
      </w:tr>
      <w:tr w14:paraId="7875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5358FDBB">
            <w:pPr>
              <w:pStyle w:val="17"/>
              <w:bidi w:val="0"/>
              <w:rPr>
                <w:color w:val="auto"/>
                <w:highlight w:val="none"/>
              </w:rPr>
            </w:pPr>
            <w:r>
              <w:rPr>
                <w:color w:val="auto"/>
                <w:highlight w:val="none"/>
              </w:rPr>
              <w:t>二苯并[a，h]蒽</w:t>
            </w:r>
          </w:p>
        </w:tc>
        <w:tc>
          <w:tcPr>
            <w:tcW w:w="850" w:type="pct"/>
            <w:tcBorders>
              <w:tl2br w:val="nil"/>
              <w:tr2bl w:val="nil"/>
            </w:tcBorders>
            <w:vAlign w:val="center"/>
          </w:tcPr>
          <w:p w14:paraId="2185B651">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66FD33B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0.1L</w:t>
            </w:r>
          </w:p>
        </w:tc>
        <w:tc>
          <w:tcPr>
            <w:tcW w:w="716" w:type="pct"/>
            <w:tcBorders>
              <w:tl2br w:val="nil"/>
              <w:tr2bl w:val="nil"/>
            </w:tcBorders>
            <w:vAlign w:val="center"/>
          </w:tcPr>
          <w:p w14:paraId="128DDB02">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0400EA1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541BCC1B">
            <w:pPr>
              <w:pStyle w:val="17"/>
              <w:bidi w:val="0"/>
              <w:rPr>
                <w:color w:val="auto"/>
                <w:highlight w:val="none"/>
              </w:rPr>
            </w:pPr>
            <w:r>
              <w:rPr>
                <w:color w:val="auto"/>
                <w:highlight w:val="none"/>
              </w:rPr>
              <w:t>1.5</w:t>
            </w:r>
          </w:p>
        </w:tc>
      </w:tr>
      <w:tr w14:paraId="32DA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006F2337">
            <w:pPr>
              <w:pStyle w:val="17"/>
              <w:bidi w:val="0"/>
              <w:rPr>
                <w:color w:val="auto"/>
                <w:highlight w:val="none"/>
              </w:rPr>
            </w:pPr>
            <w:r>
              <w:rPr>
                <w:color w:val="auto"/>
                <w:highlight w:val="none"/>
              </w:rPr>
              <w:t>茚并[1、2、3-cd]芘</w:t>
            </w:r>
          </w:p>
        </w:tc>
        <w:tc>
          <w:tcPr>
            <w:tcW w:w="850" w:type="pct"/>
            <w:tcBorders>
              <w:tl2br w:val="nil"/>
              <w:tr2bl w:val="nil"/>
            </w:tcBorders>
            <w:vAlign w:val="center"/>
          </w:tcPr>
          <w:p w14:paraId="2CCC9B49">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701B759F">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0.1L</w:t>
            </w:r>
          </w:p>
        </w:tc>
        <w:tc>
          <w:tcPr>
            <w:tcW w:w="716" w:type="pct"/>
            <w:tcBorders>
              <w:tl2br w:val="nil"/>
              <w:tr2bl w:val="nil"/>
            </w:tcBorders>
            <w:vAlign w:val="center"/>
          </w:tcPr>
          <w:p w14:paraId="72B19B75">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20B3ABE8">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6E98C940">
            <w:pPr>
              <w:pStyle w:val="17"/>
              <w:bidi w:val="0"/>
              <w:rPr>
                <w:color w:val="auto"/>
                <w:highlight w:val="none"/>
              </w:rPr>
            </w:pPr>
            <w:r>
              <w:rPr>
                <w:color w:val="auto"/>
                <w:highlight w:val="none"/>
              </w:rPr>
              <w:t>15</w:t>
            </w:r>
          </w:p>
        </w:tc>
      </w:tr>
      <w:tr w14:paraId="565D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725A1FB7">
            <w:pPr>
              <w:pStyle w:val="17"/>
              <w:bidi w:val="0"/>
              <w:rPr>
                <w:color w:val="auto"/>
                <w:highlight w:val="none"/>
              </w:rPr>
            </w:pPr>
            <w:r>
              <w:rPr>
                <w:color w:val="auto"/>
                <w:highlight w:val="none"/>
              </w:rPr>
              <w:t>萘</w:t>
            </w:r>
          </w:p>
        </w:tc>
        <w:tc>
          <w:tcPr>
            <w:tcW w:w="850" w:type="pct"/>
            <w:tcBorders>
              <w:tl2br w:val="nil"/>
              <w:tr2bl w:val="nil"/>
            </w:tcBorders>
            <w:vAlign w:val="center"/>
          </w:tcPr>
          <w:p w14:paraId="6CC93838">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3941ABC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0.09L</w:t>
            </w:r>
          </w:p>
        </w:tc>
        <w:tc>
          <w:tcPr>
            <w:tcW w:w="716" w:type="pct"/>
            <w:tcBorders>
              <w:tl2br w:val="nil"/>
              <w:tr2bl w:val="nil"/>
            </w:tcBorders>
            <w:vAlign w:val="center"/>
          </w:tcPr>
          <w:p w14:paraId="1AA3FC40">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7" w:type="pct"/>
            <w:tcBorders>
              <w:tl2br w:val="nil"/>
              <w:tr2bl w:val="nil"/>
            </w:tcBorders>
            <w:vAlign w:val="center"/>
          </w:tcPr>
          <w:p w14:paraId="04A331DE">
            <w:pPr>
              <w:pStyle w:val="17"/>
              <w:bidi w:val="0"/>
              <w:ind w:firstLine="0" w:firstLineChars="0"/>
              <w:rPr>
                <w:rFonts w:hint="eastAsia"/>
                <w:color w:val="auto"/>
                <w:highlight w:val="none"/>
                <w:lang w:val="en-US" w:eastAsia="zh-CN"/>
              </w:rPr>
            </w:pPr>
            <w:r>
              <w:rPr>
                <w:rFonts w:hint="eastAsia"/>
                <w:color w:val="auto"/>
                <w:highlight w:val="none"/>
                <w:lang w:val="en-US" w:eastAsia="zh-CN"/>
              </w:rPr>
              <w:t>/</w:t>
            </w:r>
          </w:p>
        </w:tc>
        <w:tc>
          <w:tcPr>
            <w:tcW w:w="716" w:type="pct"/>
            <w:tcBorders>
              <w:tl2br w:val="nil"/>
              <w:tr2bl w:val="nil"/>
            </w:tcBorders>
            <w:vAlign w:val="center"/>
          </w:tcPr>
          <w:p w14:paraId="7727FE3C">
            <w:pPr>
              <w:pStyle w:val="17"/>
              <w:bidi w:val="0"/>
              <w:rPr>
                <w:color w:val="auto"/>
                <w:highlight w:val="none"/>
              </w:rPr>
            </w:pPr>
            <w:r>
              <w:rPr>
                <w:color w:val="auto"/>
                <w:highlight w:val="none"/>
              </w:rPr>
              <w:t>70</w:t>
            </w:r>
          </w:p>
        </w:tc>
      </w:tr>
      <w:tr w14:paraId="6B44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3A99F80B">
            <w:pPr>
              <w:pStyle w:val="17"/>
              <w:bidi w:val="0"/>
              <w:rPr>
                <w:rFonts w:hint="eastAsia"/>
                <w:color w:val="auto"/>
                <w:highlight w:val="none"/>
                <w:lang w:eastAsia="zh-CN"/>
              </w:rPr>
            </w:pPr>
            <w:r>
              <w:rPr>
                <w:rFonts w:hint="eastAsia"/>
                <w:color w:val="auto"/>
                <w:highlight w:val="none"/>
                <w:lang w:eastAsia="zh-CN"/>
              </w:rPr>
              <w:t>石油烃</w:t>
            </w:r>
          </w:p>
        </w:tc>
        <w:tc>
          <w:tcPr>
            <w:tcW w:w="850" w:type="pct"/>
            <w:tcBorders>
              <w:tl2br w:val="nil"/>
              <w:tr2bl w:val="nil"/>
            </w:tcBorders>
            <w:vAlign w:val="center"/>
          </w:tcPr>
          <w:p w14:paraId="7AE76F33">
            <w:pPr>
              <w:pStyle w:val="17"/>
              <w:bidi w:val="0"/>
              <w:rPr>
                <w:color w:val="auto"/>
                <w:highlight w:val="none"/>
              </w:rPr>
            </w:pPr>
            <w:r>
              <w:rPr>
                <w:color w:val="auto"/>
                <w:highlight w:val="none"/>
              </w:rPr>
              <w:t>mg/kg</w:t>
            </w:r>
          </w:p>
        </w:tc>
        <w:tc>
          <w:tcPr>
            <w:tcW w:w="743" w:type="pct"/>
            <w:tcBorders>
              <w:tl2br w:val="nil"/>
              <w:tr2bl w:val="nil"/>
            </w:tcBorders>
            <w:shd w:val="clear" w:color="auto" w:fill="auto"/>
            <w:vAlign w:val="center"/>
          </w:tcPr>
          <w:p w14:paraId="7E0E0E1F">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25</w:t>
            </w:r>
          </w:p>
        </w:tc>
        <w:tc>
          <w:tcPr>
            <w:tcW w:w="716" w:type="pct"/>
            <w:tcBorders>
              <w:tl2br w:val="nil"/>
              <w:tr2bl w:val="nil"/>
            </w:tcBorders>
            <w:vAlign w:val="center"/>
          </w:tcPr>
          <w:p w14:paraId="5668923E">
            <w:pPr>
              <w:pStyle w:val="17"/>
              <w:bidi w:val="0"/>
              <w:rPr>
                <w:rFonts w:hint="default"/>
                <w:color w:val="auto"/>
                <w:highlight w:val="none"/>
                <w:lang w:val="en-US" w:eastAsia="zh-CN"/>
              </w:rPr>
            </w:pPr>
            <w:r>
              <w:rPr>
                <w:rFonts w:hint="eastAsia"/>
                <w:color w:val="auto"/>
                <w:highlight w:val="none"/>
                <w:lang w:val="en-US" w:eastAsia="zh-CN"/>
              </w:rPr>
              <w:t>11</w:t>
            </w:r>
          </w:p>
        </w:tc>
        <w:tc>
          <w:tcPr>
            <w:tcW w:w="717" w:type="pct"/>
            <w:tcBorders>
              <w:tl2br w:val="nil"/>
              <w:tr2bl w:val="nil"/>
            </w:tcBorders>
            <w:vAlign w:val="center"/>
          </w:tcPr>
          <w:p w14:paraId="478D83AC">
            <w:pPr>
              <w:pStyle w:val="17"/>
              <w:bidi w:val="0"/>
              <w:rPr>
                <w:rFonts w:hint="default"/>
                <w:color w:val="auto"/>
                <w:highlight w:val="none"/>
                <w:lang w:val="en-US" w:eastAsia="zh-CN"/>
              </w:rPr>
            </w:pPr>
            <w:r>
              <w:rPr>
                <w:rFonts w:hint="eastAsia"/>
                <w:color w:val="auto"/>
                <w:highlight w:val="none"/>
                <w:lang w:val="en-US" w:eastAsia="zh-CN"/>
              </w:rPr>
              <w:t>20</w:t>
            </w:r>
          </w:p>
        </w:tc>
        <w:tc>
          <w:tcPr>
            <w:tcW w:w="716" w:type="pct"/>
            <w:tcBorders>
              <w:tl2br w:val="nil"/>
              <w:tr2bl w:val="nil"/>
            </w:tcBorders>
            <w:vAlign w:val="center"/>
          </w:tcPr>
          <w:p w14:paraId="289FA483">
            <w:pPr>
              <w:pStyle w:val="17"/>
              <w:bidi w:val="0"/>
              <w:rPr>
                <w:rFonts w:hint="default"/>
                <w:color w:val="auto"/>
                <w:highlight w:val="none"/>
                <w:lang w:val="en-US" w:eastAsia="zh-CN"/>
              </w:rPr>
            </w:pPr>
            <w:r>
              <w:rPr>
                <w:rFonts w:hint="eastAsia"/>
                <w:color w:val="auto"/>
                <w:highlight w:val="none"/>
                <w:lang w:val="en-US" w:eastAsia="zh-CN"/>
              </w:rPr>
              <w:t>4500</w:t>
            </w:r>
          </w:p>
        </w:tc>
      </w:tr>
      <w:tr w14:paraId="5FAB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255" w:type="pct"/>
            <w:tcBorders>
              <w:tl2br w:val="nil"/>
              <w:tr2bl w:val="nil"/>
            </w:tcBorders>
            <w:vAlign w:val="center"/>
          </w:tcPr>
          <w:p w14:paraId="57AA4059">
            <w:pPr>
              <w:pStyle w:val="17"/>
              <w:bidi w:val="0"/>
              <w:rPr>
                <w:rFonts w:hint="eastAsia"/>
                <w:color w:val="auto"/>
                <w:highlight w:val="none"/>
                <w:lang w:eastAsia="zh-CN"/>
              </w:rPr>
            </w:pPr>
            <w:r>
              <w:rPr>
                <w:rFonts w:hint="eastAsia"/>
                <w:color w:val="auto"/>
                <w:highlight w:val="none"/>
                <w:lang w:eastAsia="zh-CN"/>
              </w:rPr>
              <w:t>含盐量</w:t>
            </w:r>
          </w:p>
        </w:tc>
        <w:tc>
          <w:tcPr>
            <w:tcW w:w="850" w:type="pct"/>
            <w:tcBorders>
              <w:tl2br w:val="nil"/>
              <w:tr2bl w:val="nil"/>
            </w:tcBorders>
            <w:vAlign w:val="center"/>
          </w:tcPr>
          <w:p w14:paraId="7C96DDE8">
            <w:pPr>
              <w:pStyle w:val="17"/>
              <w:bidi w:val="0"/>
              <w:rPr>
                <w:color w:val="auto"/>
                <w:highlight w:val="none"/>
              </w:rPr>
            </w:pPr>
            <w:r>
              <w:rPr>
                <w:color w:val="auto"/>
                <w:highlight w:val="none"/>
              </w:rPr>
              <w:t>g/kg</w:t>
            </w:r>
          </w:p>
        </w:tc>
        <w:tc>
          <w:tcPr>
            <w:tcW w:w="743" w:type="pct"/>
            <w:tcBorders>
              <w:tl2br w:val="nil"/>
              <w:tr2bl w:val="nil"/>
            </w:tcBorders>
            <w:shd w:val="clear" w:color="auto" w:fill="auto"/>
            <w:vAlign w:val="center"/>
          </w:tcPr>
          <w:p w14:paraId="73AE543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10.9</w:t>
            </w:r>
          </w:p>
        </w:tc>
        <w:tc>
          <w:tcPr>
            <w:tcW w:w="716" w:type="pct"/>
            <w:tcBorders>
              <w:tl2br w:val="nil"/>
              <w:tr2bl w:val="nil"/>
            </w:tcBorders>
            <w:vAlign w:val="center"/>
          </w:tcPr>
          <w:p w14:paraId="1D1029D1">
            <w:pPr>
              <w:pStyle w:val="17"/>
              <w:bidi w:val="0"/>
              <w:rPr>
                <w:rFonts w:hint="default"/>
                <w:color w:val="auto"/>
                <w:highlight w:val="none"/>
                <w:lang w:val="en-US" w:eastAsia="zh-CN"/>
              </w:rPr>
            </w:pPr>
            <w:r>
              <w:rPr>
                <w:rFonts w:hint="eastAsia"/>
                <w:color w:val="auto"/>
                <w:highlight w:val="none"/>
                <w:lang w:val="en-US" w:eastAsia="zh-CN"/>
              </w:rPr>
              <w:t>6.68</w:t>
            </w:r>
          </w:p>
        </w:tc>
        <w:tc>
          <w:tcPr>
            <w:tcW w:w="717" w:type="pct"/>
            <w:tcBorders>
              <w:tl2br w:val="nil"/>
              <w:tr2bl w:val="nil"/>
            </w:tcBorders>
            <w:vAlign w:val="center"/>
          </w:tcPr>
          <w:p w14:paraId="72934163">
            <w:pPr>
              <w:pStyle w:val="17"/>
              <w:bidi w:val="0"/>
              <w:rPr>
                <w:rFonts w:hint="default"/>
                <w:color w:val="auto"/>
                <w:highlight w:val="none"/>
                <w:lang w:val="en-US" w:eastAsia="zh-CN"/>
              </w:rPr>
            </w:pPr>
            <w:r>
              <w:rPr>
                <w:rFonts w:hint="eastAsia"/>
                <w:color w:val="auto"/>
                <w:highlight w:val="none"/>
                <w:lang w:val="en-US" w:eastAsia="zh-CN"/>
              </w:rPr>
              <w:t>12.8</w:t>
            </w:r>
          </w:p>
        </w:tc>
        <w:tc>
          <w:tcPr>
            <w:tcW w:w="716" w:type="pct"/>
            <w:tcBorders>
              <w:tl2br w:val="nil"/>
              <w:tr2bl w:val="nil"/>
            </w:tcBorders>
            <w:vAlign w:val="center"/>
          </w:tcPr>
          <w:p w14:paraId="3253B272">
            <w:pPr>
              <w:pStyle w:val="17"/>
              <w:bidi w:val="0"/>
              <w:rPr>
                <w:rFonts w:hint="eastAsia"/>
                <w:color w:val="auto"/>
                <w:highlight w:val="none"/>
                <w:lang w:val="en-US" w:eastAsia="zh-CN"/>
              </w:rPr>
            </w:pPr>
            <w:r>
              <w:rPr>
                <w:rFonts w:hint="eastAsia"/>
                <w:color w:val="auto"/>
                <w:highlight w:val="none"/>
                <w:lang w:val="en-US" w:eastAsia="zh-CN"/>
              </w:rPr>
              <w:t>/</w:t>
            </w:r>
          </w:p>
        </w:tc>
      </w:tr>
    </w:tbl>
    <w:p w14:paraId="51F62691">
      <w:pPr>
        <w:ind w:firstLine="0" w:firstLineChars="0"/>
        <w:jc w:val="center"/>
        <w:rPr>
          <w:rFonts w:hint="default" w:eastAsia="宋体" w:cs="宋体"/>
          <w:b/>
          <w:bCs/>
          <w:color w:val="auto"/>
          <w:highlight w:val="none"/>
          <w:lang w:val="en-US" w:eastAsia="zh-CN"/>
        </w:rPr>
      </w:pPr>
      <w:r>
        <w:rPr>
          <w:rFonts w:hint="eastAsia"/>
          <w:b/>
          <w:bCs/>
          <w:color w:val="auto"/>
          <w:highlight w:val="none"/>
          <w:lang w:val="en-US" w:eastAsia="zh-CN"/>
        </w:rPr>
        <w:t>表4.2-14</w:t>
      </w:r>
      <w:r>
        <w:rPr>
          <w:rFonts w:hint="eastAsia" w:cs="宋体"/>
          <w:b/>
          <w:bCs/>
          <w:color w:val="auto"/>
          <w:highlight w:val="none"/>
          <w:lang w:eastAsia="zh-CN"/>
        </w:rPr>
        <w:t>尾矿库</w:t>
      </w:r>
      <w:r>
        <w:rPr>
          <w:rFonts w:cs="宋体"/>
          <w:b/>
          <w:bCs/>
          <w:color w:val="auto"/>
          <w:highlight w:val="none"/>
        </w:rPr>
        <w:t>土壤环境质量监测结果</w:t>
      </w:r>
      <w:r>
        <w:rPr>
          <w:rFonts w:hint="eastAsia" w:cs="宋体"/>
          <w:b/>
          <w:bCs/>
          <w:color w:val="auto"/>
          <w:highlight w:val="none"/>
          <w:lang w:eastAsia="zh-CN"/>
        </w:rPr>
        <w:t>（</w:t>
      </w:r>
      <w:r>
        <w:rPr>
          <w:rFonts w:hint="eastAsia" w:cs="宋体"/>
          <w:b/>
          <w:bCs/>
          <w:color w:val="auto"/>
          <w:highlight w:val="none"/>
          <w:lang w:val="en-US" w:eastAsia="zh-CN"/>
        </w:rPr>
        <w:t>项目区外）</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7718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Merge w:val="restart"/>
            <w:shd w:val="clear" w:color="auto" w:fill="auto"/>
            <w:vAlign w:val="center"/>
          </w:tcPr>
          <w:p w14:paraId="3C719B6F">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color w:val="auto"/>
                <w:highlight w:val="none"/>
              </w:rPr>
              <w:t>检测项目</w:t>
            </w:r>
          </w:p>
        </w:tc>
        <w:tc>
          <w:tcPr>
            <w:tcW w:w="1704" w:type="dxa"/>
            <w:vMerge w:val="restart"/>
            <w:shd w:val="clear" w:color="auto" w:fill="auto"/>
            <w:vAlign w:val="center"/>
          </w:tcPr>
          <w:p w14:paraId="536DA6B8">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color w:val="auto"/>
                <w:highlight w:val="none"/>
              </w:rPr>
              <w:t>单位</w:t>
            </w:r>
          </w:p>
        </w:tc>
        <w:tc>
          <w:tcPr>
            <w:tcW w:w="3409" w:type="dxa"/>
            <w:gridSpan w:val="2"/>
            <w:vAlign w:val="center"/>
          </w:tcPr>
          <w:p w14:paraId="50759EDC">
            <w:pPr>
              <w:pStyle w:val="17"/>
              <w:bidi w:val="0"/>
              <w:jc w:val="center"/>
              <w:rPr>
                <w:rFonts w:hint="eastAsia"/>
                <w:color w:val="auto"/>
                <w:highlight w:val="none"/>
                <w:lang w:val="en-US" w:eastAsia="zh-CN"/>
              </w:rPr>
            </w:pPr>
            <w:r>
              <w:rPr>
                <w:color w:val="auto"/>
                <w:highlight w:val="none"/>
              </w:rPr>
              <w:t>检测结果</w:t>
            </w:r>
          </w:p>
        </w:tc>
        <w:tc>
          <w:tcPr>
            <w:tcW w:w="1705" w:type="dxa"/>
            <w:vMerge w:val="restart"/>
            <w:vAlign w:val="center"/>
          </w:tcPr>
          <w:p w14:paraId="424A4AF2">
            <w:pPr>
              <w:pStyle w:val="17"/>
              <w:bidi w:val="0"/>
              <w:jc w:val="center"/>
              <w:rPr>
                <w:rFonts w:hint="eastAsia"/>
                <w:color w:val="auto"/>
                <w:highlight w:val="none"/>
                <w:lang w:val="en-US" w:eastAsia="zh-CN"/>
              </w:rPr>
            </w:pPr>
            <w:r>
              <w:rPr>
                <w:rFonts w:hint="eastAsia"/>
                <w:color w:val="auto"/>
                <w:highlight w:val="none"/>
              </w:rPr>
              <w:t>标准值</w:t>
            </w:r>
          </w:p>
        </w:tc>
      </w:tr>
      <w:tr w14:paraId="17FB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Merge w:val="continue"/>
            <w:shd w:val="clear" w:color="auto" w:fill="auto"/>
            <w:vAlign w:val="center"/>
          </w:tcPr>
          <w:p w14:paraId="4C0B8A11">
            <w:pPr>
              <w:pStyle w:val="17"/>
              <w:bidi w:val="0"/>
              <w:ind w:firstLine="0" w:firstLineChars="0"/>
              <w:jc w:val="center"/>
              <w:rPr>
                <w:color w:val="auto"/>
                <w:highlight w:val="none"/>
              </w:rPr>
            </w:pPr>
          </w:p>
        </w:tc>
        <w:tc>
          <w:tcPr>
            <w:tcW w:w="1704" w:type="dxa"/>
            <w:vMerge w:val="continue"/>
            <w:shd w:val="clear" w:color="auto" w:fill="auto"/>
            <w:vAlign w:val="center"/>
          </w:tcPr>
          <w:p w14:paraId="7C7B2CC0">
            <w:pPr>
              <w:pStyle w:val="17"/>
              <w:bidi w:val="0"/>
              <w:ind w:firstLine="0" w:firstLineChars="0"/>
              <w:jc w:val="center"/>
              <w:rPr>
                <w:color w:val="auto"/>
                <w:highlight w:val="none"/>
              </w:rPr>
            </w:pPr>
          </w:p>
        </w:tc>
        <w:tc>
          <w:tcPr>
            <w:tcW w:w="1704" w:type="dxa"/>
            <w:vAlign w:val="center"/>
          </w:tcPr>
          <w:p w14:paraId="06A70D5E">
            <w:pPr>
              <w:pStyle w:val="17"/>
              <w:bidi w:val="0"/>
              <w:jc w:val="center"/>
              <w:rPr>
                <w:rFonts w:hint="default" w:eastAsia="宋体"/>
                <w:color w:val="auto"/>
                <w:highlight w:val="none"/>
                <w:lang w:val="en-US" w:eastAsia="zh-CN"/>
              </w:rPr>
            </w:pPr>
            <w:r>
              <w:rPr>
                <w:rFonts w:hint="eastAsia"/>
                <w:color w:val="auto"/>
                <w:highlight w:val="none"/>
                <w:lang w:val="en-US" w:eastAsia="zh-CN"/>
              </w:rPr>
              <w:t>T9</w:t>
            </w:r>
          </w:p>
        </w:tc>
        <w:tc>
          <w:tcPr>
            <w:tcW w:w="1705" w:type="dxa"/>
            <w:vAlign w:val="center"/>
          </w:tcPr>
          <w:p w14:paraId="2DCDA993">
            <w:pPr>
              <w:pStyle w:val="17"/>
              <w:bidi w:val="0"/>
              <w:jc w:val="center"/>
              <w:rPr>
                <w:rFonts w:hint="default"/>
                <w:color w:val="auto"/>
                <w:highlight w:val="none"/>
                <w:lang w:val="en-US" w:eastAsia="zh-CN"/>
              </w:rPr>
            </w:pPr>
            <w:r>
              <w:rPr>
                <w:rFonts w:hint="eastAsia"/>
                <w:color w:val="auto"/>
                <w:highlight w:val="none"/>
                <w:lang w:val="en-US" w:eastAsia="zh-CN"/>
              </w:rPr>
              <w:t>T10</w:t>
            </w:r>
          </w:p>
        </w:tc>
        <w:tc>
          <w:tcPr>
            <w:tcW w:w="1705" w:type="dxa"/>
            <w:vMerge w:val="continue"/>
            <w:vAlign w:val="center"/>
          </w:tcPr>
          <w:p w14:paraId="545129F4">
            <w:pPr>
              <w:bidi w:val="0"/>
              <w:jc w:val="center"/>
              <w:rPr>
                <w:rFonts w:hint="eastAsia"/>
                <w:color w:val="auto"/>
                <w:highlight w:val="none"/>
              </w:rPr>
            </w:pPr>
          </w:p>
        </w:tc>
      </w:tr>
      <w:tr w14:paraId="0F68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70BD4BA2">
            <w:pPr>
              <w:pStyle w:val="17"/>
              <w:bidi w:val="0"/>
              <w:jc w:val="center"/>
              <w:rPr>
                <w:rFonts w:hint="eastAsia"/>
                <w:color w:val="auto"/>
                <w:highlight w:val="none"/>
                <w:lang w:val="en-US" w:eastAsia="zh-CN"/>
              </w:rPr>
            </w:pPr>
            <w:r>
              <w:rPr>
                <w:color w:val="auto"/>
                <w:highlight w:val="none"/>
              </w:rPr>
              <w:t>pH</w:t>
            </w:r>
          </w:p>
        </w:tc>
        <w:tc>
          <w:tcPr>
            <w:tcW w:w="1704" w:type="dxa"/>
            <w:vAlign w:val="center"/>
          </w:tcPr>
          <w:p w14:paraId="101B695A">
            <w:pPr>
              <w:pStyle w:val="17"/>
              <w:bidi w:val="0"/>
              <w:jc w:val="center"/>
              <w:rPr>
                <w:rFonts w:hint="default"/>
                <w:color w:val="auto"/>
                <w:highlight w:val="none"/>
                <w:lang w:val="en-US" w:eastAsia="zh-CN"/>
              </w:rPr>
            </w:pPr>
            <w:r>
              <w:rPr>
                <w:rFonts w:hint="eastAsia"/>
                <w:color w:val="auto"/>
                <w:highlight w:val="none"/>
                <w:lang w:val="en-US" w:eastAsia="zh-CN"/>
              </w:rPr>
              <w:t>无量纲</w:t>
            </w:r>
          </w:p>
        </w:tc>
        <w:tc>
          <w:tcPr>
            <w:tcW w:w="1704" w:type="dxa"/>
            <w:vAlign w:val="center"/>
          </w:tcPr>
          <w:p w14:paraId="1C24EBF3">
            <w:pPr>
              <w:pStyle w:val="17"/>
              <w:bidi w:val="0"/>
              <w:jc w:val="center"/>
              <w:rPr>
                <w:rFonts w:hint="default"/>
                <w:color w:val="auto"/>
                <w:highlight w:val="none"/>
                <w:lang w:val="en-US" w:eastAsia="zh-CN"/>
              </w:rPr>
            </w:pPr>
            <w:r>
              <w:rPr>
                <w:rFonts w:hint="eastAsia"/>
                <w:color w:val="auto"/>
                <w:highlight w:val="none"/>
                <w:lang w:val="en-US" w:eastAsia="zh-CN"/>
              </w:rPr>
              <w:t>8.88</w:t>
            </w:r>
          </w:p>
        </w:tc>
        <w:tc>
          <w:tcPr>
            <w:tcW w:w="1705" w:type="dxa"/>
            <w:vAlign w:val="center"/>
          </w:tcPr>
          <w:p w14:paraId="28B9922B">
            <w:pPr>
              <w:pStyle w:val="17"/>
              <w:bidi w:val="0"/>
              <w:jc w:val="center"/>
              <w:rPr>
                <w:rFonts w:hint="default"/>
                <w:color w:val="auto"/>
                <w:highlight w:val="none"/>
                <w:lang w:val="en-US" w:eastAsia="zh-CN"/>
              </w:rPr>
            </w:pPr>
            <w:r>
              <w:rPr>
                <w:rFonts w:hint="eastAsia"/>
                <w:color w:val="auto"/>
                <w:highlight w:val="none"/>
                <w:lang w:val="en-US" w:eastAsia="zh-CN"/>
              </w:rPr>
              <w:t>8.44</w:t>
            </w:r>
          </w:p>
        </w:tc>
        <w:tc>
          <w:tcPr>
            <w:tcW w:w="1705" w:type="dxa"/>
            <w:vAlign w:val="center"/>
          </w:tcPr>
          <w:p w14:paraId="298B887F">
            <w:pPr>
              <w:pStyle w:val="17"/>
              <w:bidi w:val="0"/>
              <w:jc w:val="center"/>
              <w:rPr>
                <w:rFonts w:hint="default"/>
                <w:color w:val="auto"/>
                <w:highlight w:val="none"/>
                <w:lang w:val="en-US" w:eastAsia="zh-CN"/>
              </w:rPr>
            </w:pPr>
            <w:r>
              <w:rPr>
                <w:rFonts w:hint="eastAsia"/>
                <w:color w:val="auto"/>
                <w:highlight w:val="none"/>
                <w:lang w:val="en-US" w:eastAsia="zh-CN"/>
              </w:rPr>
              <w:t>/</w:t>
            </w:r>
          </w:p>
        </w:tc>
      </w:tr>
      <w:tr w14:paraId="4260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4542366F">
            <w:pPr>
              <w:pStyle w:val="17"/>
              <w:bidi w:val="0"/>
              <w:jc w:val="center"/>
              <w:rPr>
                <w:rFonts w:hint="default"/>
                <w:color w:val="auto"/>
                <w:highlight w:val="none"/>
                <w:lang w:val="en-US" w:eastAsia="zh-CN"/>
              </w:rPr>
            </w:pPr>
            <w:r>
              <w:rPr>
                <w:rFonts w:hint="eastAsia"/>
                <w:color w:val="auto"/>
                <w:highlight w:val="none"/>
                <w:lang w:val="en-US" w:eastAsia="zh-CN"/>
              </w:rPr>
              <w:t>镉</w:t>
            </w:r>
          </w:p>
        </w:tc>
        <w:tc>
          <w:tcPr>
            <w:tcW w:w="1704" w:type="dxa"/>
            <w:vAlign w:val="center"/>
          </w:tcPr>
          <w:p w14:paraId="24DF7D0B">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2961EA82">
            <w:pPr>
              <w:pStyle w:val="17"/>
              <w:bidi w:val="0"/>
              <w:jc w:val="center"/>
              <w:rPr>
                <w:rFonts w:hint="default"/>
                <w:color w:val="auto"/>
                <w:highlight w:val="none"/>
                <w:lang w:val="en-US" w:eastAsia="zh-CN"/>
              </w:rPr>
            </w:pPr>
            <w:r>
              <w:rPr>
                <w:rFonts w:hint="eastAsia"/>
                <w:color w:val="auto"/>
                <w:highlight w:val="none"/>
                <w:lang w:val="en-US" w:eastAsia="zh-CN"/>
              </w:rPr>
              <w:t>0.22</w:t>
            </w:r>
          </w:p>
        </w:tc>
        <w:tc>
          <w:tcPr>
            <w:tcW w:w="1705" w:type="dxa"/>
            <w:vAlign w:val="center"/>
          </w:tcPr>
          <w:p w14:paraId="38CE2C73">
            <w:pPr>
              <w:pStyle w:val="17"/>
              <w:bidi w:val="0"/>
              <w:jc w:val="center"/>
              <w:rPr>
                <w:rFonts w:hint="default"/>
                <w:color w:val="auto"/>
                <w:highlight w:val="none"/>
                <w:lang w:val="en-US" w:eastAsia="zh-CN"/>
              </w:rPr>
            </w:pPr>
            <w:r>
              <w:rPr>
                <w:rFonts w:hint="eastAsia"/>
                <w:color w:val="auto"/>
                <w:highlight w:val="none"/>
                <w:lang w:val="en-US" w:eastAsia="zh-CN"/>
              </w:rPr>
              <w:t>0.30</w:t>
            </w:r>
          </w:p>
        </w:tc>
        <w:tc>
          <w:tcPr>
            <w:tcW w:w="1705" w:type="dxa"/>
            <w:vAlign w:val="center"/>
          </w:tcPr>
          <w:p w14:paraId="702E64FA">
            <w:pPr>
              <w:pStyle w:val="17"/>
              <w:bidi w:val="0"/>
              <w:jc w:val="center"/>
              <w:rPr>
                <w:rFonts w:hint="default"/>
                <w:color w:val="auto"/>
                <w:highlight w:val="none"/>
                <w:lang w:val="en-US" w:eastAsia="zh-CN"/>
              </w:rPr>
            </w:pPr>
            <w:r>
              <w:rPr>
                <w:rFonts w:hint="eastAsia"/>
                <w:color w:val="auto"/>
                <w:highlight w:val="none"/>
                <w:lang w:val="en-US" w:eastAsia="zh-CN"/>
              </w:rPr>
              <w:t>0.6</w:t>
            </w:r>
          </w:p>
        </w:tc>
      </w:tr>
      <w:tr w14:paraId="0326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671D41DF">
            <w:pPr>
              <w:pStyle w:val="17"/>
              <w:bidi w:val="0"/>
              <w:jc w:val="center"/>
              <w:rPr>
                <w:rFonts w:hint="default"/>
                <w:color w:val="auto"/>
                <w:highlight w:val="none"/>
                <w:lang w:val="en-US" w:eastAsia="zh-CN"/>
              </w:rPr>
            </w:pPr>
            <w:r>
              <w:rPr>
                <w:rFonts w:hint="eastAsia"/>
                <w:color w:val="auto"/>
                <w:highlight w:val="none"/>
                <w:lang w:val="en-US" w:eastAsia="zh-CN"/>
              </w:rPr>
              <w:t>汞</w:t>
            </w:r>
          </w:p>
        </w:tc>
        <w:tc>
          <w:tcPr>
            <w:tcW w:w="1704" w:type="dxa"/>
            <w:vAlign w:val="center"/>
          </w:tcPr>
          <w:p w14:paraId="4B18736E">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267A626F">
            <w:pPr>
              <w:pStyle w:val="17"/>
              <w:bidi w:val="0"/>
              <w:jc w:val="center"/>
              <w:rPr>
                <w:rFonts w:hint="default"/>
                <w:color w:val="auto"/>
                <w:highlight w:val="none"/>
                <w:lang w:val="en-US" w:eastAsia="zh-CN"/>
              </w:rPr>
            </w:pPr>
            <w:r>
              <w:rPr>
                <w:rFonts w:hint="eastAsia"/>
                <w:color w:val="auto"/>
                <w:highlight w:val="none"/>
                <w:lang w:val="en-US" w:eastAsia="zh-CN"/>
              </w:rPr>
              <w:t>0.031</w:t>
            </w:r>
          </w:p>
        </w:tc>
        <w:tc>
          <w:tcPr>
            <w:tcW w:w="1705" w:type="dxa"/>
            <w:vAlign w:val="center"/>
          </w:tcPr>
          <w:p w14:paraId="79F2ECA6">
            <w:pPr>
              <w:pStyle w:val="17"/>
              <w:bidi w:val="0"/>
              <w:jc w:val="center"/>
              <w:rPr>
                <w:rFonts w:hint="default"/>
                <w:color w:val="auto"/>
                <w:highlight w:val="none"/>
                <w:lang w:val="en-US" w:eastAsia="zh-CN"/>
              </w:rPr>
            </w:pPr>
            <w:r>
              <w:rPr>
                <w:rFonts w:hint="eastAsia"/>
                <w:color w:val="auto"/>
                <w:highlight w:val="none"/>
                <w:lang w:val="en-US" w:eastAsia="zh-CN"/>
              </w:rPr>
              <w:t>0.022</w:t>
            </w:r>
          </w:p>
        </w:tc>
        <w:tc>
          <w:tcPr>
            <w:tcW w:w="1705" w:type="dxa"/>
            <w:vAlign w:val="center"/>
          </w:tcPr>
          <w:p w14:paraId="355FC81E">
            <w:pPr>
              <w:pStyle w:val="17"/>
              <w:bidi w:val="0"/>
              <w:jc w:val="center"/>
              <w:rPr>
                <w:rFonts w:hint="default"/>
                <w:color w:val="auto"/>
                <w:highlight w:val="none"/>
                <w:lang w:val="en-US" w:eastAsia="zh-CN"/>
              </w:rPr>
            </w:pPr>
            <w:r>
              <w:rPr>
                <w:rFonts w:hint="eastAsia"/>
                <w:color w:val="auto"/>
                <w:highlight w:val="none"/>
                <w:lang w:val="en-US" w:eastAsia="zh-CN"/>
              </w:rPr>
              <w:t>3.4</w:t>
            </w:r>
          </w:p>
        </w:tc>
      </w:tr>
      <w:tr w14:paraId="3812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72496210">
            <w:pPr>
              <w:pStyle w:val="17"/>
              <w:bidi w:val="0"/>
              <w:jc w:val="center"/>
              <w:rPr>
                <w:rFonts w:hint="default"/>
                <w:color w:val="auto"/>
                <w:highlight w:val="none"/>
                <w:lang w:val="en-US" w:eastAsia="zh-CN"/>
              </w:rPr>
            </w:pPr>
            <w:r>
              <w:rPr>
                <w:rFonts w:hint="eastAsia"/>
                <w:color w:val="auto"/>
                <w:highlight w:val="none"/>
                <w:lang w:val="en-US" w:eastAsia="zh-CN"/>
              </w:rPr>
              <w:t>砷</w:t>
            </w:r>
          </w:p>
        </w:tc>
        <w:tc>
          <w:tcPr>
            <w:tcW w:w="1704" w:type="dxa"/>
            <w:vAlign w:val="center"/>
          </w:tcPr>
          <w:p w14:paraId="425CB015">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6F6A21E5">
            <w:pPr>
              <w:pStyle w:val="17"/>
              <w:bidi w:val="0"/>
              <w:jc w:val="center"/>
              <w:rPr>
                <w:rFonts w:hint="default"/>
                <w:color w:val="auto"/>
                <w:highlight w:val="none"/>
                <w:lang w:val="en-US" w:eastAsia="zh-CN"/>
              </w:rPr>
            </w:pPr>
            <w:r>
              <w:rPr>
                <w:rFonts w:hint="eastAsia"/>
                <w:color w:val="auto"/>
                <w:highlight w:val="none"/>
                <w:lang w:val="en-US" w:eastAsia="zh-CN"/>
              </w:rPr>
              <w:t>6.35</w:t>
            </w:r>
          </w:p>
        </w:tc>
        <w:tc>
          <w:tcPr>
            <w:tcW w:w="1705" w:type="dxa"/>
            <w:vAlign w:val="center"/>
          </w:tcPr>
          <w:p w14:paraId="76DDA146">
            <w:pPr>
              <w:pStyle w:val="17"/>
              <w:bidi w:val="0"/>
              <w:jc w:val="center"/>
              <w:rPr>
                <w:rFonts w:hint="default"/>
                <w:color w:val="auto"/>
                <w:highlight w:val="none"/>
                <w:lang w:val="en-US" w:eastAsia="zh-CN"/>
              </w:rPr>
            </w:pPr>
            <w:r>
              <w:rPr>
                <w:rFonts w:hint="eastAsia"/>
                <w:color w:val="auto"/>
                <w:highlight w:val="none"/>
                <w:lang w:val="en-US" w:eastAsia="zh-CN"/>
              </w:rPr>
              <w:t>13.7</w:t>
            </w:r>
          </w:p>
        </w:tc>
        <w:tc>
          <w:tcPr>
            <w:tcW w:w="1705" w:type="dxa"/>
            <w:vAlign w:val="center"/>
          </w:tcPr>
          <w:p w14:paraId="3725682B">
            <w:pPr>
              <w:pStyle w:val="17"/>
              <w:bidi w:val="0"/>
              <w:jc w:val="center"/>
              <w:rPr>
                <w:rFonts w:hint="default"/>
                <w:color w:val="auto"/>
                <w:highlight w:val="none"/>
                <w:lang w:val="en-US" w:eastAsia="zh-CN"/>
              </w:rPr>
            </w:pPr>
            <w:r>
              <w:rPr>
                <w:rFonts w:hint="eastAsia"/>
                <w:color w:val="auto"/>
                <w:highlight w:val="none"/>
                <w:lang w:val="en-US" w:eastAsia="zh-CN"/>
              </w:rPr>
              <w:t>25</w:t>
            </w:r>
          </w:p>
        </w:tc>
      </w:tr>
      <w:tr w14:paraId="6DDA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16BE8898">
            <w:pPr>
              <w:pStyle w:val="17"/>
              <w:bidi w:val="0"/>
              <w:jc w:val="center"/>
              <w:rPr>
                <w:rFonts w:hint="default"/>
                <w:color w:val="auto"/>
                <w:highlight w:val="none"/>
                <w:lang w:val="en-US" w:eastAsia="zh-CN"/>
              </w:rPr>
            </w:pPr>
            <w:r>
              <w:rPr>
                <w:rFonts w:hint="eastAsia"/>
                <w:color w:val="auto"/>
                <w:highlight w:val="none"/>
                <w:lang w:val="en-US" w:eastAsia="zh-CN"/>
              </w:rPr>
              <w:t>铅</w:t>
            </w:r>
          </w:p>
        </w:tc>
        <w:tc>
          <w:tcPr>
            <w:tcW w:w="1704" w:type="dxa"/>
            <w:vAlign w:val="center"/>
          </w:tcPr>
          <w:p w14:paraId="6F769374">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358E0B4E">
            <w:pPr>
              <w:pStyle w:val="17"/>
              <w:bidi w:val="0"/>
              <w:jc w:val="center"/>
              <w:rPr>
                <w:rFonts w:hint="default"/>
                <w:color w:val="auto"/>
                <w:highlight w:val="none"/>
                <w:lang w:val="en-US" w:eastAsia="zh-CN"/>
              </w:rPr>
            </w:pPr>
            <w:r>
              <w:rPr>
                <w:rFonts w:hint="eastAsia"/>
                <w:color w:val="auto"/>
                <w:highlight w:val="none"/>
                <w:lang w:val="en-US" w:eastAsia="zh-CN"/>
              </w:rPr>
              <w:t>20</w:t>
            </w:r>
          </w:p>
        </w:tc>
        <w:tc>
          <w:tcPr>
            <w:tcW w:w="1705" w:type="dxa"/>
            <w:vAlign w:val="center"/>
          </w:tcPr>
          <w:p w14:paraId="7EB9C489">
            <w:pPr>
              <w:pStyle w:val="17"/>
              <w:bidi w:val="0"/>
              <w:jc w:val="center"/>
              <w:rPr>
                <w:rFonts w:hint="default"/>
                <w:color w:val="auto"/>
                <w:highlight w:val="none"/>
                <w:lang w:val="en-US" w:eastAsia="zh-CN"/>
              </w:rPr>
            </w:pPr>
            <w:r>
              <w:rPr>
                <w:rFonts w:hint="eastAsia"/>
                <w:color w:val="auto"/>
                <w:highlight w:val="none"/>
                <w:lang w:val="en-US" w:eastAsia="zh-CN"/>
              </w:rPr>
              <w:t>29</w:t>
            </w:r>
          </w:p>
        </w:tc>
        <w:tc>
          <w:tcPr>
            <w:tcW w:w="1705" w:type="dxa"/>
            <w:vAlign w:val="center"/>
          </w:tcPr>
          <w:p w14:paraId="122F606D">
            <w:pPr>
              <w:pStyle w:val="17"/>
              <w:bidi w:val="0"/>
              <w:jc w:val="center"/>
              <w:rPr>
                <w:rFonts w:hint="default"/>
                <w:color w:val="auto"/>
                <w:highlight w:val="none"/>
                <w:lang w:val="en-US" w:eastAsia="zh-CN"/>
              </w:rPr>
            </w:pPr>
            <w:r>
              <w:rPr>
                <w:rFonts w:hint="eastAsia"/>
                <w:color w:val="auto"/>
                <w:highlight w:val="none"/>
                <w:lang w:val="en-US" w:eastAsia="zh-CN"/>
              </w:rPr>
              <w:t>170</w:t>
            </w:r>
          </w:p>
        </w:tc>
      </w:tr>
      <w:tr w14:paraId="52B3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6A134314">
            <w:pPr>
              <w:pStyle w:val="17"/>
              <w:bidi w:val="0"/>
              <w:jc w:val="center"/>
              <w:rPr>
                <w:rFonts w:hint="default"/>
                <w:color w:val="auto"/>
                <w:highlight w:val="none"/>
                <w:lang w:val="en-US" w:eastAsia="zh-CN"/>
              </w:rPr>
            </w:pPr>
            <w:r>
              <w:rPr>
                <w:rFonts w:hint="eastAsia"/>
                <w:color w:val="auto"/>
                <w:highlight w:val="none"/>
                <w:lang w:val="en-US" w:eastAsia="zh-CN"/>
              </w:rPr>
              <w:t>铬</w:t>
            </w:r>
          </w:p>
        </w:tc>
        <w:tc>
          <w:tcPr>
            <w:tcW w:w="1704" w:type="dxa"/>
            <w:vAlign w:val="center"/>
          </w:tcPr>
          <w:p w14:paraId="4ED5A7A2">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459BEDAE">
            <w:pPr>
              <w:pStyle w:val="17"/>
              <w:bidi w:val="0"/>
              <w:jc w:val="center"/>
              <w:rPr>
                <w:rFonts w:hint="default"/>
                <w:color w:val="auto"/>
                <w:highlight w:val="none"/>
                <w:lang w:val="en-US" w:eastAsia="zh-CN"/>
              </w:rPr>
            </w:pPr>
            <w:r>
              <w:rPr>
                <w:rFonts w:hint="eastAsia"/>
                <w:color w:val="auto"/>
                <w:highlight w:val="none"/>
                <w:lang w:val="en-US" w:eastAsia="zh-CN"/>
              </w:rPr>
              <w:t>72</w:t>
            </w:r>
          </w:p>
        </w:tc>
        <w:tc>
          <w:tcPr>
            <w:tcW w:w="1705" w:type="dxa"/>
            <w:vAlign w:val="center"/>
          </w:tcPr>
          <w:p w14:paraId="2E20541A">
            <w:pPr>
              <w:pStyle w:val="17"/>
              <w:bidi w:val="0"/>
              <w:jc w:val="center"/>
              <w:rPr>
                <w:rFonts w:hint="default"/>
                <w:color w:val="auto"/>
                <w:highlight w:val="none"/>
                <w:lang w:val="en-US" w:eastAsia="zh-CN"/>
              </w:rPr>
            </w:pPr>
            <w:r>
              <w:rPr>
                <w:rFonts w:hint="eastAsia"/>
                <w:color w:val="auto"/>
                <w:highlight w:val="none"/>
                <w:lang w:val="en-US" w:eastAsia="zh-CN"/>
              </w:rPr>
              <w:t>72</w:t>
            </w:r>
          </w:p>
        </w:tc>
        <w:tc>
          <w:tcPr>
            <w:tcW w:w="1705" w:type="dxa"/>
            <w:vAlign w:val="center"/>
          </w:tcPr>
          <w:p w14:paraId="63D04CD8">
            <w:pPr>
              <w:pStyle w:val="17"/>
              <w:bidi w:val="0"/>
              <w:jc w:val="center"/>
              <w:rPr>
                <w:rFonts w:hint="default"/>
                <w:color w:val="auto"/>
                <w:highlight w:val="none"/>
                <w:lang w:val="en-US" w:eastAsia="zh-CN"/>
              </w:rPr>
            </w:pPr>
            <w:r>
              <w:rPr>
                <w:rFonts w:hint="eastAsia"/>
                <w:color w:val="auto"/>
                <w:highlight w:val="none"/>
                <w:lang w:val="en-US" w:eastAsia="zh-CN"/>
              </w:rPr>
              <w:t>250</w:t>
            </w:r>
          </w:p>
        </w:tc>
      </w:tr>
      <w:tr w14:paraId="2D6E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05F2E21B">
            <w:pPr>
              <w:pStyle w:val="17"/>
              <w:bidi w:val="0"/>
              <w:jc w:val="center"/>
              <w:rPr>
                <w:rFonts w:hint="default"/>
                <w:color w:val="auto"/>
                <w:highlight w:val="none"/>
                <w:lang w:val="en-US" w:eastAsia="zh-CN"/>
              </w:rPr>
            </w:pPr>
            <w:r>
              <w:rPr>
                <w:rFonts w:hint="eastAsia"/>
                <w:color w:val="auto"/>
                <w:highlight w:val="none"/>
                <w:lang w:val="en-US" w:eastAsia="zh-CN"/>
              </w:rPr>
              <w:t>铜</w:t>
            </w:r>
          </w:p>
        </w:tc>
        <w:tc>
          <w:tcPr>
            <w:tcW w:w="1704" w:type="dxa"/>
            <w:vAlign w:val="center"/>
          </w:tcPr>
          <w:p w14:paraId="29B41FDA">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1D5629E7">
            <w:pPr>
              <w:pStyle w:val="17"/>
              <w:bidi w:val="0"/>
              <w:jc w:val="center"/>
              <w:rPr>
                <w:rFonts w:hint="default"/>
                <w:color w:val="auto"/>
                <w:highlight w:val="none"/>
                <w:lang w:val="en-US" w:eastAsia="zh-CN"/>
              </w:rPr>
            </w:pPr>
            <w:r>
              <w:rPr>
                <w:rFonts w:hint="eastAsia"/>
                <w:color w:val="auto"/>
                <w:highlight w:val="none"/>
                <w:lang w:val="en-US" w:eastAsia="zh-CN"/>
              </w:rPr>
              <w:t>13</w:t>
            </w:r>
          </w:p>
        </w:tc>
        <w:tc>
          <w:tcPr>
            <w:tcW w:w="1705" w:type="dxa"/>
            <w:vAlign w:val="center"/>
          </w:tcPr>
          <w:p w14:paraId="56613CFF">
            <w:pPr>
              <w:pStyle w:val="17"/>
              <w:bidi w:val="0"/>
              <w:jc w:val="center"/>
              <w:rPr>
                <w:rFonts w:hint="default"/>
                <w:color w:val="auto"/>
                <w:highlight w:val="none"/>
                <w:lang w:val="en-US" w:eastAsia="zh-CN"/>
              </w:rPr>
            </w:pPr>
            <w:r>
              <w:rPr>
                <w:rFonts w:hint="eastAsia"/>
                <w:color w:val="auto"/>
                <w:highlight w:val="none"/>
                <w:lang w:val="en-US" w:eastAsia="zh-CN"/>
              </w:rPr>
              <w:t>18</w:t>
            </w:r>
          </w:p>
        </w:tc>
        <w:tc>
          <w:tcPr>
            <w:tcW w:w="1705" w:type="dxa"/>
            <w:vAlign w:val="center"/>
          </w:tcPr>
          <w:p w14:paraId="1CF79BDF">
            <w:pPr>
              <w:pStyle w:val="17"/>
              <w:bidi w:val="0"/>
              <w:jc w:val="center"/>
              <w:rPr>
                <w:rFonts w:hint="default"/>
                <w:color w:val="auto"/>
                <w:highlight w:val="none"/>
                <w:lang w:val="en-US" w:eastAsia="zh-CN"/>
              </w:rPr>
            </w:pPr>
            <w:r>
              <w:rPr>
                <w:rFonts w:hint="eastAsia"/>
                <w:color w:val="auto"/>
                <w:highlight w:val="none"/>
                <w:lang w:val="en-US" w:eastAsia="zh-CN"/>
              </w:rPr>
              <w:t>100</w:t>
            </w:r>
          </w:p>
        </w:tc>
      </w:tr>
      <w:tr w14:paraId="23D6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1C0868BC">
            <w:pPr>
              <w:pStyle w:val="17"/>
              <w:bidi w:val="0"/>
              <w:jc w:val="center"/>
              <w:rPr>
                <w:rFonts w:hint="default"/>
                <w:color w:val="auto"/>
                <w:highlight w:val="none"/>
                <w:lang w:val="en-US" w:eastAsia="zh-CN"/>
              </w:rPr>
            </w:pPr>
            <w:r>
              <w:rPr>
                <w:rFonts w:hint="eastAsia"/>
                <w:color w:val="auto"/>
                <w:highlight w:val="none"/>
                <w:lang w:val="en-US" w:eastAsia="zh-CN"/>
              </w:rPr>
              <w:t>镍</w:t>
            </w:r>
          </w:p>
        </w:tc>
        <w:tc>
          <w:tcPr>
            <w:tcW w:w="1704" w:type="dxa"/>
            <w:vAlign w:val="center"/>
          </w:tcPr>
          <w:p w14:paraId="04F1F754">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5D17A954">
            <w:pPr>
              <w:pStyle w:val="17"/>
              <w:bidi w:val="0"/>
              <w:jc w:val="center"/>
              <w:rPr>
                <w:rFonts w:hint="default"/>
                <w:color w:val="auto"/>
                <w:highlight w:val="none"/>
                <w:lang w:val="en-US" w:eastAsia="zh-CN"/>
              </w:rPr>
            </w:pPr>
            <w:r>
              <w:rPr>
                <w:rFonts w:hint="eastAsia"/>
                <w:color w:val="auto"/>
                <w:highlight w:val="none"/>
                <w:lang w:val="en-US" w:eastAsia="zh-CN"/>
              </w:rPr>
              <w:t>25</w:t>
            </w:r>
          </w:p>
        </w:tc>
        <w:tc>
          <w:tcPr>
            <w:tcW w:w="1705" w:type="dxa"/>
            <w:vAlign w:val="center"/>
          </w:tcPr>
          <w:p w14:paraId="3F9CC9B4">
            <w:pPr>
              <w:pStyle w:val="17"/>
              <w:bidi w:val="0"/>
              <w:jc w:val="center"/>
              <w:rPr>
                <w:rFonts w:hint="default"/>
                <w:color w:val="auto"/>
                <w:highlight w:val="none"/>
                <w:lang w:val="en-US" w:eastAsia="zh-CN"/>
              </w:rPr>
            </w:pPr>
            <w:r>
              <w:rPr>
                <w:rFonts w:hint="eastAsia"/>
                <w:color w:val="auto"/>
                <w:highlight w:val="none"/>
                <w:lang w:val="en-US" w:eastAsia="zh-CN"/>
              </w:rPr>
              <w:t>34</w:t>
            </w:r>
          </w:p>
        </w:tc>
        <w:tc>
          <w:tcPr>
            <w:tcW w:w="1705" w:type="dxa"/>
            <w:vAlign w:val="center"/>
          </w:tcPr>
          <w:p w14:paraId="7E72DF9A">
            <w:pPr>
              <w:pStyle w:val="17"/>
              <w:bidi w:val="0"/>
              <w:jc w:val="center"/>
              <w:rPr>
                <w:rFonts w:hint="default"/>
                <w:color w:val="auto"/>
                <w:highlight w:val="none"/>
                <w:lang w:val="en-US" w:eastAsia="zh-CN"/>
              </w:rPr>
            </w:pPr>
            <w:r>
              <w:rPr>
                <w:rFonts w:hint="eastAsia"/>
                <w:color w:val="auto"/>
                <w:highlight w:val="none"/>
                <w:lang w:val="en-US" w:eastAsia="zh-CN"/>
              </w:rPr>
              <w:t>190</w:t>
            </w:r>
          </w:p>
        </w:tc>
      </w:tr>
      <w:tr w14:paraId="695D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vAlign w:val="center"/>
          </w:tcPr>
          <w:p w14:paraId="3D012281">
            <w:pPr>
              <w:pStyle w:val="17"/>
              <w:bidi w:val="0"/>
              <w:jc w:val="center"/>
              <w:rPr>
                <w:rFonts w:hint="default"/>
                <w:color w:val="auto"/>
                <w:highlight w:val="none"/>
                <w:lang w:val="en-US" w:eastAsia="zh-CN"/>
              </w:rPr>
            </w:pPr>
            <w:r>
              <w:rPr>
                <w:rFonts w:hint="eastAsia"/>
                <w:color w:val="auto"/>
                <w:highlight w:val="none"/>
                <w:lang w:val="en-US" w:eastAsia="zh-CN"/>
              </w:rPr>
              <w:t>锌</w:t>
            </w:r>
          </w:p>
        </w:tc>
        <w:tc>
          <w:tcPr>
            <w:tcW w:w="1704" w:type="dxa"/>
            <w:vAlign w:val="center"/>
          </w:tcPr>
          <w:p w14:paraId="4B76AF03">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1D5AD87A">
            <w:pPr>
              <w:pStyle w:val="17"/>
              <w:bidi w:val="0"/>
              <w:jc w:val="center"/>
              <w:rPr>
                <w:rFonts w:hint="default"/>
                <w:color w:val="auto"/>
                <w:highlight w:val="none"/>
                <w:lang w:val="en-US" w:eastAsia="zh-CN"/>
              </w:rPr>
            </w:pPr>
            <w:r>
              <w:rPr>
                <w:rFonts w:hint="eastAsia"/>
                <w:color w:val="auto"/>
                <w:highlight w:val="none"/>
                <w:lang w:val="en-US" w:eastAsia="zh-CN"/>
              </w:rPr>
              <w:t>51</w:t>
            </w:r>
          </w:p>
        </w:tc>
        <w:tc>
          <w:tcPr>
            <w:tcW w:w="1705" w:type="dxa"/>
            <w:vAlign w:val="center"/>
          </w:tcPr>
          <w:p w14:paraId="03C8047E">
            <w:pPr>
              <w:pStyle w:val="17"/>
              <w:bidi w:val="0"/>
              <w:jc w:val="center"/>
              <w:rPr>
                <w:rFonts w:hint="default"/>
                <w:color w:val="auto"/>
                <w:highlight w:val="none"/>
                <w:lang w:val="en-US" w:eastAsia="zh-CN"/>
              </w:rPr>
            </w:pPr>
            <w:r>
              <w:rPr>
                <w:rFonts w:hint="eastAsia"/>
                <w:color w:val="auto"/>
                <w:highlight w:val="none"/>
                <w:lang w:val="en-US" w:eastAsia="zh-CN"/>
              </w:rPr>
              <w:t>71</w:t>
            </w:r>
          </w:p>
        </w:tc>
        <w:tc>
          <w:tcPr>
            <w:tcW w:w="1705" w:type="dxa"/>
            <w:vAlign w:val="center"/>
          </w:tcPr>
          <w:p w14:paraId="60AB7950">
            <w:pPr>
              <w:pStyle w:val="17"/>
              <w:bidi w:val="0"/>
              <w:jc w:val="center"/>
              <w:rPr>
                <w:rFonts w:hint="default"/>
                <w:color w:val="auto"/>
                <w:highlight w:val="none"/>
                <w:lang w:val="en-US" w:eastAsia="zh-CN"/>
              </w:rPr>
            </w:pPr>
            <w:r>
              <w:rPr>
                <w:rFonts w:hint="eastAsia"/>
                <w:color w:val="auto"/>
                <w:highlight w:val="none"/>
                <w:lang w:val="en-US" w:eastAsia="zh-CN"/>
              </w:rPr>
              <w:t>300</w:t>
            </w:r>
          </w:p>
        </w:tc>
      </w:tr>
      <w:tr w14:paraId="1847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shd w:val="clear" w:color="auto" w:fill="auto"/>
            <w:vAlign w:val="center"/>
          </w:tcPr>
          <w:p w14:paraId="36CAF5C4">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石油烃</w:t>
            </w:r>
          </w:p>
        </w:tc>
        <w:tc>
          <w:tcPr>
            <w:tcW w:w="1704" w:type="dxa"/>
            <w:vAlign w:val="center"/>
          </w:tcPr>
          <w:p w14:paraId="503CFC4C">
            <w:pPr>
              <w:pStyle w:val="17"/>
              <w:bidi w:val="0"/>
              <w:jc w:val="center"/>
              <w:rPr>
                <w:rFonts w:hint="eastAsia"/>
                <w:color w:val="auto"/>
                <w:highlight w:val="none"/>
                <w:lang w:val="en-US" w:eastAsia="zh-CN"/>
              </w:rPr>
            </w:pPr>
            <w:r>
              <w:rPr>
                <w:color w:val="auto"/>
                <w:highlight w:val="none"/>
              </w:rPr>
              <w:t>mg/kg</w:t>
            </w:r>
          </w:p>
        </w:tc>
        <w:tc>
          <w:tcPr>
            <w:tcW w:w="1704" w:type="dxa"/>
            <w:vAlign w:val="center"/>
          </w:tcPr>
          <w:p w14:paraId="25A0F1BC">
            <w:pPr>
              <w:pStyle w:val="17"/>
              <w:bidi w:val="0"/>
              <w:jc w:val="center"/>
              <w:rPr>
                <w:rFonts w:hint="default"/>
                <w:color w:val="auto"/>
                <w:highlight w:val="none"/>
                <w:lang w:val="en-US" w:eastAsia="zh-CN"/>
              </w:rPr>
            </w:pPr>
            <w:r>
              <w:rPr>
                <w:rFonts w:hint="eastAsia"/>
                <w:color w:val="auto"/>
                <w:highlight w:val="none"/>
                <w:lang w:val="en-US" w:eastAsia="zh-CN"/>
              </w:rPr>
              <w:t>18</w:t>
            </w:r>
          </w:p>
        </w:tc>
        <w:tc>
          <w:tcPr>
            <w:tcW w:w="1705" w:type="dxa"/>
            <w:vAlign w:val="center"/>
          </w:tcPr>
          <w:p w14:paraId="1063FC74">
            <w:pPr>
              <w:pStyle w:val="17"/>
              <w:bidi w:val="0"/>
              <w:jc w:val="center"/>
              <w:rPr>
                <w:rFonts w:hint="default"/>
                <w:color w:val="auto"/>
                <w:highlight w:val="none"/>
                <w:lang w:val="en-US" w:eastAsia="zh-CN"/>
              </w:rPr>
            </w:pPr>
            <w:r>
              <w:rPr>
                <w:rFonts w:hint="eastAsia"/>
                <w:color w:val="auto"/>
                <w:highlight w:val="none"/>
                <w:lang w:val="en-US" w:eastAsia="zh-CN"/>
              </w:rPr>
              <w:t>21</w:t>
            </w:r>
          </w:p>
        </w:tc>
        <w:tc>
          <w:tcPr>
            <w:tcW w:w="1705" w:type="dxa"/>
            <w:vAlign w:val="center"/>
          </w:tcPr>
          <w:p w14:paraId="1387FD8D">
            <w:pPr>
              <w:pStyle w:val="17"/>
              <w:bidi w:val="0"/>
              <w:jc w:val="center"/>
              <w:rPr>
                <w:rFonts w:hint="default"/>
                <w:color w:val="auto"/>
                <w:highlight w:val="none"/>
                <w:lang w:val="en-US" w:eastAsia="zh-CN"/>
              </w:rPr>
            </w:pPr>
            <w:r>
              <w:rPr>
                <w:rFonts w:hint="eastAsia"/>
                <w:color w:val="auto"/>
                <w:highlight w:val="none"/>
                <w:lang w:val="en-US" w:eastAsia="zh-CN"/>
              </w:rPr>
              <w:t>4500</w:t>
            </w:r>
          </w:p>
        </w:tc>
      </w:tr>
      <w:tr w14:paraId="7E92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04" w:type="dxa"/>
            <w:shd w:val="clear" w:color="auto" w:fill="auto"/>
            <w:vAlign w:val="center"/>
          </w:tcPr>
          <w:p w14:paraId="71C29460">
            <w:pPr>
              <w:pStyle w:val="17"/>
              <w:bidi w:val="0"/>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含盐量</w:t>
            </w:r>
          </w:p>
        </w:tc>
        <w:tc>
          <w:tcPr>
            <w:tcW w:w="1704" w:type="dxa"/>
            <w:vAlign w:val="center"/>
          </w:tcPr>
          <w:p w14:paraId="37BEC1DE">
            <w:pPr>
              <w:pStyle w:val="17"/>
              <w:bidi w:val="0"/>
              <w:jc w:val="center"/>
              <w:rPr>
                <w:rFonts w:hint="eastAsia"/>
                <w:color w:val="auto"/>
                <w:highlight w:val="none"/>
                <w:lang w:val="en-US" w:eastAsia="zh-CN"/>
              </w:rPr>
            </w:pPr>
            <w:r>
              <w:rPr>
                <w:color w:val="auto"/>
                <w:highlight w:val="none"/>
              </w:rPr>
              <w:t>g/kg</w:t>
            </w:r>
          </w:p>
        </w:tc>
        <w:tc>
          <w:tcPr>
            <w:tcW w:w="1704" w:type="dxa"/>
            <w:vAlign w:val="center"/>
          </w:tcPr>
          <w:p w14:paraId="6B3F67BF">
            <w:pPr>
              <w:pStyle w:val="17"/>
              <w:bidi w:val="0"/>
              <w:jc w:val="center"/>
              <w:rPr>
                <w:rFonts w:hint="default"/>
                <w:color w:val="auto"/>
                <w:highlight w:val="none"/>
                <w:lang w:val="en-US" w:eastAsia="zh-CN"/>
              </w:rPr>
            </w:pPr>
            <w:r>
              <w:rPr>
                <w:rFonts w:hint="eastAsia"/>
                <w:color w:val="auto"/>
                <w:highlight w:val="none"/>
                <w:lang w:val="en-US" w:eastAsia="zh-CN"/>
              </w:rPr>
              <w:t>7.72</w:t>
            </w:r>
          </w:p>
        </w:tc>
        <w:tc>
          <w:tcPr>
            <w:tcW w:w="1705" w:type="dxa"/>
            <w:vAlign w:val="center"/>
          </w:tcPr>
          <w:p w14:paraId="6885D335">
            <w:pPr>
              <w:pStyle w:val="17"/>
              <w:bidi w:val="0"/>
              <w:jc w:val="center"/>
              <w:rPr>
                <w:rFonts w:hint="default"/>
                <w:color w:val="auto"/>
                <w:highlight w:val="none"/>
                <w:lang w:val="en-US" w:eastAsia="zh-CN"/>
              </w:rPr>
            </w:pPr>
            <w:r>
              <w:rPr>
                <w:rFonts w:hint="eastAsia"/>
                <w:color w:val="auto"/>
                <w:highlight w:val="none"/>
                <w:lang w:val="en-US" w:eastAsia="zh-CN"/>
              </w:rPr>
              <w:t>20.8</w:t>
            </w:r>
          </w:p>
        </w:tc>
        <w:tc>
          <w:tcPr>
            <w:tcW w:w="1705" w:type="dxa"/>
            <w:vAlign w:val="center"/>
          </w:tcPr>
          <w:p w14:paraId="67CE06AB">
            <w:pPr>
              <w:pStyle w:val="17"/>
              <w:bidi w:val="0"/>
              <w:jc w:val="center"/>
              <w:rPr>
                <w:rFonts w:hint="default"/>
                <w:color w:val="auto"/>
                <w:highlight w:val="none"/>
                <w:lang w:val="en-US" w:eastAsia="zh-CN"/>
              </w:rPr>
            </w:pPr>
            <w:r>
              <w:rPr>
                <w:rFonts w:hint="eastAsia"/>
                <w:color w:val="auto"/>
                <w:highlight w:val="none"/>
                <w:lang w:val="en-US" w:eastAsia="zh-CN"/>
              </w:rPr>
              <w:t>/</w:t>
            </w:r>
          </w:p>
        </w:tc>
      </w:tr>
    </w:tbl>
    <w:p w14:paraId="0F63C8D1">
      <w:pPr>
        <w:overflowPunct w:val="0"/>
        <w:topLinePunct/>
        <w:ind w:firstLine="480"/>
        <w:rPr>
          <w:rFonts w:hint="eastAsia"/>
          <w:color w:val="auto"/>
          <w:highlight w:val="none"/>
        </w:rPr>
      </w:pPr>
      <w:r>
        <w:rPr>
          <w:rFonts w:hint="eastAsia"/>
          <w:color w:val="auto"/>
          <w:highlight w:val="none"/>
        </w:rPr>
        <w:t>由</w:t>
      </w:r>
      <w:r>
        <w:rPr>
          <w:rFonts w:hint="eastAsia"/>
          <w:color w:val="auto"/>
          <w:highlight w:val="none"/>
          <w:lang w:val="en-US" w:eastAsia="zh-CN"/>
        </w:rPr>
        <w:t>上</w:t>
      </w:r>
      <w:r>
        <w:rPr>
          <w:rFonts w:hint="eastAsia"/>
          <w:color w:val="auto"/>
          <w:highlight w:val="none"/>
        </w:rPr>
        <w:t>表可知，</w:t>
      </w:r>
      <w:r>
        <w:rPr>
          <w:color w:val="auto"/>
          <w:highlight w:val="none"/>
        </w:rPr>
        <w:t>各土壤监测点</w:t>
      </w:r>
      <w:r>
        <w:rPr>
          <w:rFonts w:hint="eastAsia"/>
          <w:color w:val="auto"/>
          <w:highlight w:val="none"/>
        </w:rPr>
        <w:t>各项因子均满足</w:t>
      </w:r>
      <w:r>
        <w:rPr>
          <w:color w:val="auto"/>
          <w:highlight w:val="none"/>
        </w:rPr>
        <w:t>《土壤环境质量 建设用地土壤污染风险管控标准（试行）》（GB36600-2018）第二类用地筛选值</w:t>
      </w:r>
      <w:r>
        <w:rPr>
          <w:rFonts w:hint="eastAsia"/>
          <w:color w:val="auto"/>
          <w:highlight w:val="none"/>
          <w:lang w:val="en-US" w:eastAsia="zh-CN"/>
        </w:rPr>
        <w:t>和《土壤环境质量 农用地土壤污染风险管控标准（试行）》（GB15618-2018）</w:t>
      </w:r>
      <w:r>
        <w:rPr>
          <w:rFonts w:hint="eastAsia"/>
          <w:color w:val="auto"/>
          <w:highlight w:val="none"/>
        </w:rPr>
        <w:t>。</w:t>
      </w:r>
    </w:p>
    <w:p w14:paraId="393AE6A8">
      <w:pPr>
        <w:pStyle w:val="19"/>
        <w:bidi w:val="0"/>
        <w:rPr>
          <w:rFonts w:hint="eastAsia"/>
          <w:color w:val="auto"/>
          <w:highlight w:val="none"/>
          <w:lang w:val="en-US" w:eastAsia="zh-CN"/>
        </w:rPr>
      </w:pPr>
      <w:r>
        <w:rPr>
          <w:rFonts w:hint="eastAsia"/>
          <w:color w:val="auto"/>
          <w:highlight w:val="none"/>
          <w:lang w:val="en-US" w:eastAsia="zh-CN"/>
        </w:rPr>
        <w:t>表4.2-15  土壤理化性质调查表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
        <w:gridCol w:w="2147"/>
        <w:gridCol w:w="1900"/>
        <w:gridCol w:w="1550"/>
        <w:gridCol w:w="2538"/>
      </w:tblGrid>
      <w:tr w14:paraId="58FE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522" w:type="dxa"/>
            <w:gridSpan w:val="5"/>
            <w:vAlign w:val="center"/>
          </w:tcPr>
          <w:p w14:paraId="7393507D">
            <w:pPr>
              <w:pStyle w:val="17"/>
              <w:bidi w:val="0"/>
              <w:rPr>
                <w:rFonts w:hint="default"/>
                <w:color w:val="auto"/>
                <w:highlight w:val="none"/>
                <w:lang w:val="en-US" w:eastAsia="zh-CN"/>
              </w:rPr>
            </w:pPr>
            <w:r>
              <w:rPr>
                <w:rFonts w:hint="eastAsia"/>
                <w:color w:val="auto"/>
                <w:highlight w:val="none"/>
                <w:lang w:val="en-US" w:eastAsia="zh-CN"/>
              </w:rPr>
              <w:t>检测结果</w:t>
            </w:r>
          </w:p>
        </w:tc>
      </w:tr>
      <w:tr w14:paraId="12DC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4" w:type="dxa"/>
            <w:gridSpan w:val="2"/>
            <w:vAlign w:val="center"/>
          </w:tcPr>
          <w:p w14:paraId="72941F6C">
            <w:pPr>
              <w:pStyle w:val="17"/>
              <w:bidi w:val="0"/>
              <w:rPr>
                <w:rFonts w:hint="default"/>
                <w:color w:val="auto"/>
                <w:highlight w:val="none"/>
                <w:lang w:val="en-US" w:eastAsia="zh-CN"/>
              </w:rPr>
            </w:pPr>
            <w:r>
              <w:rPr>
                <w:rFonts w:hint="eastAsia"/>
                <w:color w:val="auto"/>
                <w:highlight w:val="none"/>
                <w:lang w:val="en-US" w:eastAsia="zh-CN"/>
              </w:rPr>
              <w:t>测定位置</w:t>
            </w:r>
          </w:p>
        </w:tc>
        <w:tc>
          <w:tcPr>
            <w:tcW w:w="1900" w:type="dxa"/>
            <w:vAlign w:val="center"/>
          </w:tcPr>
          <w:p w14:paraId="5CA1F370">
            <w:pPr>
              <w:pStyle w:val="17"/>
              <w:bidi w:val="0"/>
              <w:rPr>
                <w:rFonts w:hint="default"/>
                <w:color w:val="auto"/>
                <w:highlight w:val="none"/>
                <w:lang w:val="en-US" w:eastAsia="zh-CN"/>
              </w:rPr>
            </w:pPr>
            <w:r>
              <w:rPr>
                <w:rFonts w:hint="eastAsia"/>
                <w:color w:val="auto"/>
                <w:highlight w:val="none"/>
                <w:lang w:val="en-US" w:eastAsia="zh-CN"/>
              </w:rPr>
              <w:t>T1</w:t>
            </w:r>
          </w:p>
        </w:tc>
        <w:tc>
          <w:tcPr>
            <w:tcW w:w="1550" w:type="dxa"/>
            <w:vAlign w:val="center"/>
          </w:tcPr>
          <w:p w14:paraId="0731BDCC">
            <w:pPr>
              <w:pStyle w:val="17"/>
              <w:bidi w:val="0"/>
              <w:rPr>
                <w:rFonts w:hint="default"/>
                <w:color w:val="auto"/>
                <w:highlight w:val="none"/>
                <w:lang w:val="en-US" w:eastAsia="zh-CN"/>
              </w:rPr>
            </w:pPr>
            <w:r>
              <w:rPr>
                <w:rFonts w:hint="eastAsia"/>
                <w:color w:val="auto"/>
                <w:highlight w:val="none"/>
                <w:lang w:val="en-US" w:eastAsia="zh-CN"/>
              </w:rPr>
              <w:t>时间</w:t>
            </w:r>
          </w:p>
        </w:tc>
        <w:tc>
          <w:tcPr>
            <w:tcW w:w="2538" w:type="dxa"/>
            <w:vAlign w:val="center"/>
          </w:tcPr>
          <w:p w14:paraId="2719EE41">
            <w:pPr>
              <w:pStyle w:val="17"/>
              <w:bidi w:val="0"/>
              <w:rPr>
                <w:rFonts w:hint="default"/>
                <w:color w:val="auto"/>
                <w:highlight w:val="none"/>
                <w:lang w:val="en-US" w:eastAsia="zh-CN"/>
              </w:rPr>
            </w:pPr>
            <w:r>
              <w:rPr>
                <w:rFonts w:hint="eastAsia"/>
                <w:color w:val="auto"/>
                <w:highlight w:val="none"/>
                <w:lang w:val="en-US" w:eastAsia="zh-CN"/>
              </w:rPr>
              <w:t>2026年2月28-3月19日</w:t>
            </w:r>
          </w:p>
        </w:tc>
      </w:tr>
      <w:tr w14:paraId="5B14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4" w:type="dxa"/>
            <w:gridSpan w:val="2"/>
            <w:vAlign w:val="center"/>
          </w:tcPr>
          <w:p w14:paraId="23523DD4">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经度</w:t>
            </w:r>
          </w:p>
        </w:tc>
        <w:tc>
          <w:tcPr>
            <w:tcW w:w="1900" w:type="dxa"/>
            <w:vAlign w:val="center"/>
          </w:tcPr>
          <w:p w14:paraId="55FF66EC">
            <w:pPr>
              <w:pStyle w:val="17"/>
              <w:bidi w:val="0"/>
              <w:rPr>
                <w:rFonts w:hint="default" w:ascii="Times New Roman" w:hAnsi="Times New Roman" w:cs="Times New Roman"/>
                <w:color w:val="auto"/>
                <w:highlight w:val="none"/>
                <w:lang w:val="en-US" w:eastAsia="zh-CN"/>
              </w:rPr>
            </w:pPr>
          </w:p>
        </w:tc>
        <w:tc>
          <w:tcPr>
            <w:tcW w:w="1550" w:type="dxa"/>
            <w:vAlign w:val="center"/>
          </w:tcPr>
          <w:p w14:paraId="39256111">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纬度</w:t>
            </w:r>
          </w:p>
        </w:tc>
        <w:tc>
          <w:tcPr>
            <w:tcW w:w="2538" w:type="dxa"/>
            <w:vAlign w:val="center"/>
          </w:tcPr>
          <w:p w14:paraId="78BE704B">
            <w:pPr>
              <w:pStyle w:val="17"/>
              <w:bidi w:val="0"/>
              <w:rPr>
                <w:rFonts w:hint="default" w:ascii="Times New Roman" w:hAnsi="Times New Roman" w:cs="Times New Roman"/>
                <w:color w:val="auto"/>
                <w:highlight w:val="none"/>
                <w:lang w:val="en-US" w:eastAsia="zh-CN"/>
              </w:rPr>
            </w:pPr>
          </w:p>
        </w:tc>
      </w:tr>
      <w:tr w14:paraId="57C6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4" w:type="dxa"/>
            <w:gridSpan w:val="2"/>
            <w:vAlign w:val="center"/>
          </w:tcPr>
          <w:p w14:paraId="4A76B8AA">
            <w:pPr>
              <w:pStyle w:val="17"/>
              <w:bidi w:val="0"/>
              <w:rPr>
                <w:rFonts w:hint="eastAsia"/>
                <w:color w:val="auto"/>
                <w:highlight w:val="none"/>
                <w:lang w:val="en-US" w:eastAsia="zh-CN"/>
              </w:rPr>
            </w:pPr>
            <w:r>
              <w:rPr>
                <w:rFonts w:hint="eastAsia"/>
                <w:color w:val="auto"/>
                <w:highlight w:val="none"/>
                <w:lang w:val="en-US" w:eastAsia="zh-CN"/>
              </w:rPr>
              <w:t>层次</w:t>
            </w:r>
          </w:p>
        </w:tc>
        <w:tc>
          <w:tcPr>
            <w:tcW w:w="5988" w:type="dxa"/>
            <w:gridSpan w:val="3"/>
            <w:vAlign w:val="center"/>
          </w:tcPr>
          <w:p w14:paraId="60C0BBF7">
            <w:pPr>
              <w:pStyle w:val="17"/>
              <w:bidi w:val="0"/>
              <w:rPr>
                <w:rFonts w:hint="default"/>
                <w:color w:val="auto"/>
                <w:highlight w:val="none"/>
                <w:lang w:val="en-US" w:eastAsia="zh-CN"/>
              </w:rPr>
            </w:pPr>
            <w:r>
              <w:rPr>
                <w:rFonts w:hint="eastAsia"/>
                <w:color w:val="auto"/>
                <w:highlight w:val="none"/>
                <w:lang w:val="en-US" w:eastAsia="zh-CN"/>
              </w:rPr>
              <w:t>0-0.2m/</w:t>
            </w:r>
          </w:p>
        </w:tc>
      </w:tr>
      <w:tr w14:paraId="71C0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restart"/>
            <w:vAlign w:val="center"/>
          </w:tcPr>
          <w:p w14:paraId="3B0A982F">
            <w:pPr>
              <w:pStyle w:val="17"/>
              <w:bidi w:val="0"/>
              <w:rPr>
                <w:rFonts w:hint="default"/>
                <w:color w:val="auto"/>
                <w:highlight w:val="none"/>
                <w:lang w:val="en-US" w:eastAsia="zh-CN"/>
              </w:rPr>
            </w:pPr>
            <w:r>
              <w:rPr>
                <w:rFonts w:hint="eastAsia"/>
                <w:color w:val="auto"/>
                <w:highlight w:val="none"/>
                <w:lang w:val="en-US" w:eastAsia="zh-CN"/>
              </w:rPr>
              <w:t>现场记录</w:t>
            </w:r>
          </w:p>
        </w:tc>
        <w:tc>
          <w:tcPr>
            <w:tcW w:w="4047" w:type="dxa"/>
            <w:gridSpan w:val="2"/>
            <w:vAlign w:val="center"/>
          </w:tcPr>
          <w:p w14:paraId="02080C9E">
            <w:pPr>
              <w:pStyle w:val="17"/>
              <w:bidi w:val="0"/>
              <w:rPr>
                <w:rFonts w:hint="default"/>
                <w:color w:val="auto"/>
                <w:highlight w:val="none"/>
                <w:lang w:val="en-US" w:eastAsia="zh-CN"/>
              </w:rPr>
            </w:pPr>
            <w:r>
              <w:rPr>
                <w:rFonts w:hint="eastAsia"/>
                <w:color w:val="auto"/>
                <w:highlight w:val="none"/>
                <w:lang w:val="en-US" w:eastAsia="zh-CN"/>
              </w:rPr>
              <w:t>颜色</w:t>
            </w:r>
          </w:p>
        </w:tc>
        <w:tc>
          <w:tcPr>
            <w:tcW w:w="4088" w:type="dxa"/>
            <w:gridSpan w:val="2"/>
            <w:vAlign w:val="center"/>
          </w:tcPr>
          <w:p w14:paraId="56820172">
            <w:pPr>
              <w:pStyle w:val="17"/>
              <w:bidi w:val="0"/>
              <w:rPr>
                <w:rFonts w:hint="default"/>
                <w:color w:val="auto"/>
                <w:highlight w:val="none"/>
                <w:lang w:val="en-US" w:eastAsia="zh-CN"/>
              </w:rPr>
            </w:pPr>
            <w:r>
              <w:rPr>
                <w:rFonts w:hint="eastAsia"/>
                <w:color w:val="auto"/>
                <w:highlight w:val="none"/>
                <w:lang w:val="en-US" w:eastAsia="zh-CN"/>
              </w:rPr>
              <w:t>浅灰色</w:t>
            </w:r>
          </w:p>
        </w:tc>
      </w:tr>
      <w:tr w14:paraId="7525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11BF59F0">
            <w:pPr>
              <w:pStyle w:val="17"/>
              <w:bidi w:val="0"/>
              <w:rPr>
                <w:rFonts w:hint="default"/>
                <w:color w:val="auto"/>
                <w:highlight w:val="none"/>
                <w:lang w:val="en-US" w:eastAsia="zh-CN"/>
              </w:rPr>
            </w:pPr>
          </w:p>
        </w:tc>
        <w:tc>
          <w:tcPr>
            <w:tcW w:w="4047" w:type="dxa"/>
            <w:gridSpan w:val="2"/>
            <w:vAlign w:val="center"/>
          </w:tcPr>
          <w:p w14:paraId="631BCC4C">
            <w:pPr>
              <w:pStyle w:val="17"/>
              <w:bidi w:val="0"/>
              <w:rPr>
                <w:rFonts w:hint="default"/>
                <w:color w:val="auto"/>
                <w:highlight w:val="none"/>
                <w:lang w:val="en-US" w:eastAsia="zh-CN"/>
              </w:rPr>
            </w:pPr>
            <w:r>
              <w:rPr>
                <w:rFonts w:hint="eastAsia"/>
                <w:color w:val="auto"/>
                <w:highlight w:val="none"/>
                <w:lang w:val="en-US" w:eastAsia="zh-CN"/>
              </w:rPr>
              <w:t>结构</w:t>
            </w:r>
          </w:p>
        </w:tc>
        <w:tc>
          <w:tcPr>
            <w:tcW w:w="4088" w:type="dxa"/>
            <w:gridSpan w:val="2"/>
            <w:vAlign w:val="center"/>
          </w:tcPr>
          <w:p w14:paraId="4B69EC9A">
            <w:pPr>
              <w:pStyle w:val="17"/>
              <w:bidi w:val="0"/>
              <w:rPr>
                <w:rFonts w:hint="default"/>
                <w:color w:val="auto"/>
                <w:highlight w:val="none"/>
                <w:lang w:val="en-US" w:eastAsia="zh-CN"/>
              </w:rPr>
            </w:pPr>
            <w:r>
              <w:rPr>
                <w:rFonts w:hint="eastAsia"/>
                <w:color w:val="auto"/>
                <w:highlight w:val="none"/>
                <w:lang w:val="en-US" w:eastAsia="zh-CN"/>
              </w:rPr>
              <w:t>块状</w:t>
            </w:r>
          </w:p>
        </w:tc>
      </w:tr>
      <w:tr w14:paraId="079A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53132114">
            <w:pPr>
              <w:pStyle w:val="17"/>
              <w:bidi w:val="0"/>
              <w:rPr>
                <w:rFonts w:hint="default"/>
                <w:color w:val="auto"/>
                <w:highlight w:val="none"/>
                <w:lang w:val="en-US" w:eastAsia="zh-CN"/>
              </w:rPr>
            </w:pPr>
          </w:p>
        </w:tc>
        <w:tc>
          <w:tcPr>
            <w:tcW w:w="4047" w:type="dxa"/>
            <w:gridSpan w:val="2"/>
            <w:vAlign w:val="center"/>
          </w:tcPr>
          <w:p w14:paraId="67714012">
            <w:pPr>
              <w:pStyle w:val="17"/>
              <w:bidi w:val="0"/>
              <w:rPr>
                <w:rFonts w:hint="default"/>
                <w:color w:val="auto"/>
                <w:highlight w:val="none"/>
                <w:lang w:val="en-US" w:eastAsia="zh-CN"/>
              </w:rPr>
            </w:pPr>
            <w:r>
              <w:rPr>
                <w:rFonts w:hint="eastAsia"/>
                <w:color w:val="auto"/>
                <w:highlight w:val="none"/>
                <w:lang w:val="en-US" w:eastAsia="zh-CN"/>
              </w:rPr>
              <w:t>质地</w:t>
            </w:r>
          </w:p>
        </w:tc>
        <w:tc>
          <w:tcPr>
            <w:tcW w:w="4088" w:type="dxa"/>
            <w:gridSpan w:val="2"/>
            <w:vAlign w:val="center"/>
          </w:tcPr>
          <w:p w14:paraId="247EFBFA">
            <w:pPr>
              <w:pStyle w:val="17"/>
              <w:bidi w:val="0"/>
              <w:rPr>
                <w:rFonts w:hint="default"/>
                <w:color w:val="auto"/>
                <w:highlight w:val="none"/>
                <w:lang w:val="en-US" w:eastAsia="zh-CN"/>
              </w:rPr>
            </w:pPr>
            <w:r>
              <w:rPr>
                <w:rFonts w:hint="eastAsia"/>
                <w:color w:val="auto"/>
                <w:highlight w:val="none"/>
                <w:lang w:val="en-US" w:eastAsia="zh-CN"/>
              </w:rPr>
              <w:t>砂壤土</w:t>
            </w:r>
          </w:p>
        </w:tc>
      </w:tr>
      <w:tr w14:paraId="4E59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15A749E4">
            <w:pPr>
              <w:pStyle w:val="17"/>
              <w:bidi w:val="0"/>
              <w:rPr>
                <w:rFonts w:hint="default"/>
                <w:color w:val="auto"/>
                <w:highlight w:val="none"/>
                <w:lang w:val="en-US" w:eastAsia="zh-CN"/>
              </w:rPr>
            </w:pPr>
          </w:p>
        </w:tc>
        <w:tc>
          <w:tcPr>
            <w:tcW w:w="4047" w:type="dxa"/>
            <w:gridSpan w:val="2"/>
            <w:vAlign w:val="center"/>
          </w:tcPr>
          <w:p w14:paraId="54A270FF">
            <w:pPr>
              <w:pStyle w:val="17"/>
              <w:bidi w:val="0"/>
              <w:rPr>
                <w:rFonts w:hint="default"/>
                <w:color w:val="auto"/>
                <w:highlight w:val="none"/>
                <w:lang w:val="en-US" w:eastAsia="zh-CN"/>
              </w:rPr>
            </w:pPr>
            <w:r>
              <w:rPr>
                <w:rFonts w:hint="eastAsia"/>
                <w:color w:val="auto"/>
                <w:highlight w:val="none"/>
                <w:lang w:val="en-US" w:eastAsia="zh-CN"/>
              </w:rPr>
              <w:t>砂砾含量（%）</w:t>
            </w:r>
          </w:p>
        </w:tc>
        <w:tc>
          <w:tcPr>
            <w:tcW w:w="4088" w:type="dxa"/>
            <w:gridSpan w:val="2"/>
            <w:vAlign w:val="center"/>
          </w:tcPr>
          <w:p w14:paraId="1D4ABCE8">
            <w:pPr>
              <w:pStyle w:val="17"/>
              <w:bidi w:val="0"/>
              <w:rPr>
                <w:rFonts w:hint="default"/>
                <w:color w:val="auto"/>
                <w:highlight w:val="none"/>
                <w:lang w:val="en-US" w:eastAsia="zh-CN"/>
              </w:rPr>
            </w:pPr>
            <w:r>
              <w:rPr>
                <w:rFonts w:hint="eastAsia"/>
                <w:color w:val="auto"/>
                <w:highlight w:val="none"/>
                <w:lang w:val="en-US" w:eastAsia="zh-CN"/>
              </w:rPr>
              <w:t>35</w:t>
            </w:r>
          </w:p>
        </w:tc>
      </w:tr>
      <w:tr w14:paraId="1403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2757AB33">
            <w:pPr>
              <w:pStyle w:val="17"/>
              <w:bidi w:val="0"/>
              <w:rPr>
                <w:rFonts w:hint="default"/>
                <w:color w:val="auto"/>
                <w:highlight w:val="none"/>
                <w:lang w:val="en-US" w:eastAsia="zh-CN"/>
              </w:rPr>
            </w:pPr>
          </w:p>
        </w:tc>
        <w:tc>
          <w:tcPr>
            <w:tcW w:w="4047" w:type="dxa"/>
            <w:gridSpan w:val="2"/>
            <w:vAlign w:val="center"/>
          </w:tcPr>
          <w:p w14:paraId="6D33B721">
            <w:pPr>
              <w:pStyle w:val="17"/>
              <w:bidi w:val="0"/>
              <w:rPr>
                <w:rFonts w:hint="default"/>
                <w:color w:val="auto"/>
                <w:highlight w:val="none"/>
                <w:lang w:val="en-US" w:eastAsia="zh-CN"/>
              </w:rPr>
            </w:pPr>
            <w:r>
              <w:rPr>
                <w:rFonts w:hint="eastAsia"/>
                <w:color w:val="auto"/>
                <w:highlight w:val="none"/>
                <w:lang w:val="en-US" w:eastAsia="zh-CN"/>
              </w:rPr>
              <w:t>其他异物</w:t>
            </w:r>
          </w:p>
        </w:tc>
        <w:tc>
          <w:tcPr>
            <w:tcW w:w="4088" w:type="dxa"/>
            <w:gridSpan w:val="2"/>
            <w:vAlign w:val="center"/>
          </w:tcPr>
          <w:p w14:paraId="6F3FBC91">
            <w:pPr>
              <w:pStyle w:val="17"/>
              <w:bidi w:val="0"/>
              <w:rPr>
                <w:rFonts w:hint="default"/>
                <w:color w:val="auto"/>
                <w:highlight w:val="none"/>
                <w:lang w:val="en-US" w:eastAsia="zh-CN"/>
              </w:rPr>
            </w:pPr>
            <w:r>
              <w:rPr>
                <w:rFonts w:hint="eastAsia"/>
                <w:color w:val="auto"/>
                <w:highlight w:val="none"/>
                <w:lang w:val="en-US" w:eastAsia="zh-CN"/>
              </w:rPr>
              <w:t>无</w:t>
            </w:r>
          </w:p>
        </w:tc>
      </w:tr>
      <w:tr w14:paraId="11ED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40C56B95">
            <w:pPr>
              <w:pStyle w:val="17"/>
              <w:bidi w:val="0"/>
              <w:rPr>
                <w:rFonts w:hint="default"/>
                <w:color w:val="auto"/>
                <w:highlight w:val="none"/>
                <w:lang w:val="en-US" w:eastAsia="zh-CN"/>
              </w:rPr>
            </w:pPr>
          </w:p>
        </w:tc>
        <w:tc>
          <w:tcPr>
            <w:tcW w:w="4047" w:type="dxa"/>
            <w:gridSpan w:val="2"/>
            <w:vAlign w:val="center"/>
          </w:tcPr>
          <w:p w14:paraId="6749BC14">
            <w:pPr>
              <w:pStyle w:val="17"/>
              <w:bidi w:val="0"/>
              <w:rPr>
                <w:rFonts w:hint="default"/>
                <w:color w:val="auto"/>
                <w:highlight w:val="none"/>
                <w:lang w:val="en-US" w:eastAsia="zh-CN"/>
              </w:rPr>
            </w:pPr>
            <w:r>
              <w:rPr>
                <w:rFonts w:hint="eastAsia"/>
                <w:color w:val="auto"/>
                <w:highlight w:val="none"/>
                <w:lang w:val="en-US" w:eastAsia="zh-CN"/>
              </w:rPr>
              <w:t>氧化还原电位（mV）</w:t>
            </w:r>
          </w:p>
        </w:tc>
        <w:tc>
          <w:tcPr>
            <w:tcW w:w="4088" w:type="dxa"/>
            <w:gridSpan w:val="2"/>
            <w:vAlign w:val="center"/>
          </w:tcPr>
          <w:p w14:paraId="5C7A42AC">
            <w:pPr>
              <w:pStyle w:val="17"/>
              <w:bidi w:val="0"/>
              <w:rPr>
                <w:rFonts w:hint="default"/>
                <w:color w:val="auto"/>
                <w:highlight w:val="none"/>
                <w:lang w:val="en-US" w:eastAsia="zh-CN"/>
              </w:rPr>
            </w:pPr>
            <w:r>
              <w:rPr>
                <w:rFonts w:hint="eastAsia"/>
                <w:color w:val="auto"/>
                <w:highlight w:val="none"/>
                <w:lang w:val="en-US" w:eastAsia="zh-CN"/>
              </w:rPr>
              <w:t>531</w:t>
            </w:r>
          </w:p>
        </w:tc>
      </w:tr>
      <w:tr w14:paraId="00FF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restart"/>
            <w:vAlign w:val="center"/>
          </w:tcPr>
          <w:p w14:paraId="5E2EF54A">
            <w:pPr>
              <w:pStyle w:val="17"/>
              <w:bidi w:val="0"/>
              <w:rPr>
                <w:rFonts w:hint="default"/>
                <w:color w:val="auto"/>
                <w:highlight w:val="none"/>
                <w:lang w:val="en-US" w:eastAsia="zh-CN"/>
              </w:rPr>
            </w:pPr>
            <w:r>
              <w:rPr>
                <w:rFonts w:hint="eastAsia"/>
                <w:color w:val="auto"/>
                <w:highlight w:val="none"/>
                <w:lang w:val="en-US" w:eastAsia="zh-CN"/>
              </w:rPr>
              <w:t>实验室测定</w:t>
            </w:r>
          </w:p>
        </w:tc>
        <w:tc>
          <w:tcPr>
            <w:tcW w:w="4047" w:type="dxa"/>
            <w:gridSpan w:val="2"/>
            <w:vAlign w:val="center"/>
          </w:tcPr>
          <w:p w14:paraId="10E0C520">
            <w:pPr>
              <w:pStyle w:val="17"/>
              <w:bidi w:val="0"/>
              <w:rPr>
                <w:rFonts w:hint="default"/>
                <w:color w:val="auto"/>
                <w:highlight w:val="none"/>
                <w:lang w:val="en-US" w:eastAsia="zh-CN"/>
              </w:rPr>
            </w:pPr>
            <w:r>
              <w:rPr>
                <w:rFonts w:hint="eastAsia"/>
                <w:color w:val="auto"/>
                <w:highlight w:val="none"/>
                <w:lang w:val="en-US" w:eastAsia="zh-CN"/>
              </w:rPr>
              <w:t>pH（无量纲）</w:t>
            </w:r>
          </w:p>
        </w:tc>
        <w:tc>
          <w:tcPr>
            <w:tcW w:w="4088" w:type="dxa"/>
            <w:gridSpan w:val="2"/>
            <w:vAlign w:val="center"/>
          </w:tcPr>
          <w:p w14:paraId="3CAE8DE5">
            <w:pPr>
              <w:pStyle w:val="17"/>
              <w:bidi w:val="0"/>
              <w:rPr>
                <w:rFonts w:hint="default"/>
                <w:color w:val="auto"/>
                <w:highlight w:val="none"/>
                <w:lang w:val="en-US" w:eastAsia="zh-CN"/>
              </w:rPr>
            </w:pPr>
            <w:r>
              <w:rPr>
                <w:rFonts w:hint="eastAsia"/>
                <w:color w:val="auto"/>
                <w:highlight w:val="none"/>
                <w:lang w:val="en-US" w:eastAsia="zh-CN"/>
              </w:rPr>
              <w:t>8.62</w:t>
            </w:r>
          </w:p>
        </w:tc>
      </w:tr>
      <w:tr w14:paraId="337F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560D499D">
            <w:pPr>
              <w:pStyle w:val="17"/>
              <w:bidi w:val="0"/>
              <w:rPr>
                <w:rFonts w:hint="default"/>
                <w:color w:val="auto"/>
                <w:highlight w:val="none"/>
                <w:lang w:val="en-US" w:eastAsia="zh-CN"/>
              </w:rPr>
            </w:pPr>
          </w:p>
        </w:tc>
        <w:tc>
          <w:tcPr>
            <w:tcW w:w="4047" w:type="dxa"/>
            <w:gridSpan w:val="2"/>
            <w:vAlign w:val="center"/>
          </w:tcPr>
          <w:p w14:paraId="33C8A023">
            <w:pPr>
              <w:pStyle w:val="17"/>
              <w:bidi w:val="0"/>
              <w:rPr>
                <w:rFonts w:hint="default"/>
                <w:color w:val="auto"/>
                <w:highlight w:val="none"/>
                <w:lang w:val="en-US" w:eastAsia="zh-CN"/>
              </w:rPr>
            </w:pPr>
            <w:r>
              <w:rPr>
                <w:rFonts w:hint="eastAsia"/>
                <w:color w:val="auto"/>
                <w:highlight w:val="none"/>
                <w:lang w:val="en-US" w:eastAsia="zh-CN"/>
              </w:rPr>
              <w:t>阳离子交换量（cmol+/kg）</w:t>
            </w:r>
          </w:p>
        </w:tc>
        <w:tc>
          <w:tcPr>
            <w:tcW w:w="4088" w:type="dxa"/>
            <w:gridSpan w:val="2"/>
            <w:vAlign w:val="center"/>
          </w:tcPr>
          <w:p w14:paraId="58A4499B">
            <w:pPr>
              <w:pStyle w:val="17"/>
              <w:bidi w:val="0"/>
              <w:rPr>
                <w:rFonts w:hint="default"/>
                <w:color w:val="auto"/>
                <w:highlight w:val="none"/>
                <w:lang w:val="en-US" w:eastAsia="zh-CN"/>
              </w:rPr>
            </w:pPr>
            <w:r>
              <w:rPr>
                <w:rFonts w:hint="eastAsia"/>
                <w:color w:val="auto"/>
                <w:highlight w:val="none"/>
                <w:lang w:val="en-US" w:eastAsia="zh-CN"/>
              </w:rPr>
              <w:t>3.2</w:t>
            </w:r>
          </w:p>
        </w:tc>
      </w:tr>
      <w:tr w14:paraId="0BC2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5194D39D">
            <w:pPr>
              <w:pStyle w:val="17"/>
              <w:bidi w:val="0"/>
              <w:rPr>
                <w:rFonts w:hint="default"/>
                <w:color w:val="auto"/>
                <w:highlight w:val="none"/>
                <w:lang w:val="en-US" w:eastAsia="zh-CN"/>
              </w:rPr>
            </w:pPr>
          </w:p>
        </w:tc>
        <w:tc>
          <w:tcPr>
            <w:tcW w:w="4047" w:type="dxa"/>
            <w:gridSpan w:val="2"/>
            <w:vAlign w:val="center"/>
          </w:tcPr>
          <w:p w14:paraId="737099AF">
            <w:pPr>
              <w:pStyle w:val="17"/>
              <w:bidi w:val="0"/>
              <w:rPr>
                <w:rFonts w:hint="default"/>
                <w:color w:val="auto"/>
                <w:highlight w:val="none"/>
                <w:lang w:val="en-US" w:eastAsia="zh-CN"/>
              </w:rPr>
            </w:pPr>
            <w:r>
              <w:rPr>
                <w:rFonts w:hint="eastAsia"/>
                <w:color w:val="auto"/>
                <w:highlight w:val="none"/>
                <w:lang w:val="en-US" w:eastAsia="zh-CN"/>
              </w:rPr>
              <w:t>土壤容重（g/cm</w:t>
            </w:r>
            <w:r>
              <w:rPr>
                <w:rFonts w:hint="eastAsia"/>
                <w:color w:val="auto"/>
                <w:highlight w:val="none"/>
                <w:vertAlign w:val="superscript"/>
                <w:lang w:val="en-US" w:eastAsia="zh-CN"/>
              </w:rPr>
              <w:t>3</w:t>
            </w:r>
            <w:r>
              <w:rPr>
                <w:rFonts w:hint="eastAsia"/>
                <w:color w:val="auto"/>
                <w:highlight w:val="none"/>
                <w:lang w:val="en-US" w:eastAsia="zh-CN"/>
              </w:rPr>
              <w:t>）</w:t>
            </w:r>
          </w:p>
        </w:tc>
        <w:tc>
          <w:tcPr>
            <w:tcW w:w="4088" w:type="dxa"/>
            <w:gridSpan w:val="2"/>
            <w:vAlign w:val="center"/>
          </w:tcPr>
          <w:p w14:paraId="0EA7036A">
            <w:pPr>
              <w:pStyle w:val="17"/>
              <w:bidi w:val="0"/>
              <w:rPr>
                <w:rFonts w:hint="default"/>
                <w:color w:val="auto"/>
                <w:highlight w:val="none"/>
                <w:lang w:val="en-US" w:eastAsia="zh-CN"/>
              </w:rPr>
            </w:pPr>
            <w:r>
              <w:rPr>
                <w:rFonts w:hint="eastAsia"/>
                <w:color w:val="auto"/>
                <w:highlight w:val="none"/>
                <w:lang w:val="en-US" w:eastAsia="zh-CN"/>
              </w:rPr>
              <w:t>1.43</w:t>
            </w:r>
          </w:p>
        </w:tc>
      </w:tr>
      <w:tr w14:paraId="4757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520EB890">
            <w:pPr>
              <w:pStyle w:val="17"/>
              <w:bidi w:val="0"/>
              <w:rPr>
                <w:rFonts w:hint="default"/>
                <w:color w:val="auto"/>
                <w:highlight w:val="none"/>
                <w:lang w:val="en-US" w:eastAsia="zh-CN"/>
              </w:rPr>
            </w:pPr>
          </w:p>
        </w:tc>
        <w:tc>
          <w:tcPr>
            <w:tcW w:w="4047" w:type="dxa"/>
            <w:gridSpan w:val="2"/>
            <w:vAlign w:val="center"/>
          </w:tcPr>
          <w:p w14:paraId="7200C474">
            <w:pPr>
              <w:pStyle w:val="17"/>
              <w:bidi w:val="0"/>
              <w:rPr>
                <w:rFonts w:hint="default"/>
                <w:color w:val="auto"/>
                <w:highlight w:val="none"/>
                <w:lang w:val="en-US" w:eastAsia="zh-CN"/>
              </w:rPr>
            </w:pPr>
            <w:r>
              <w:rPr>
                <w:rFonts w:hint="eastAsia"/>
                <w:color w:val="auto"/>
                <w:highlight w:val="none"/>
                <w:lang w:val="en-US" w:eastAsia="zh-CN"/>
              </w:rPr>
              <w:t>孔隙度（%）</w:t>
            </w:r>
          </w:p>
        </w:tc>
        <w:tc>
          <w:tcPr>
            <w:tcW w:w="4088" w:type="dxa"/>
            <w:gridSpan w:val="2"/>
            <w:vAlign w:val="center"/>
          </w:tcPr>
          <w:p w14:paraId="52F6FAAB">
            <w:pPr>
              <w:pStyle w:val="17"/>
              <w:bidi w:val="0"/>
              <w:rPr>
                <w:rFonts w:hint="default"/>
                <w:color w:val="auto"/>
                <w:highlight w:val="none"/>
                <w:lang w:val="en-US" w:eastAsia="zh-CN"/>
              </w:rPr>
            </w:pPr>
            <w:r>
              <w:rPr>
                <w:rFonts w:hint="eastAsia"/>
                <w:color w:val="auto"/>
                <w:highlight w:val="none"/>
                <w:lang w:val="en-US" w:eastAsia="zh-CN"/>
              </w:rPr>
              <w:t>36.5</w:t>
            </w:r>
          </w:p>
        </w:tc>
      </w:tr>
      <w:tr w14:paraId="7920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61E6D33F">
            <w:pPr>
              <w:pStyle w:val="17"/>
              <w:bidi w:val="0"/>
              <w:rPr>
                <w:rFonts w:hint="default"/>
                <w:color w:val="auto"/>
                <w:highlight w:val="none"/>
                <w:lang w:val="en-US" w:eastAsia="zh-CN"/>
              </w:rPr>
            </w:pPr>
          </w:p>
        </w:tc>
        <w:tc>
          <w:tcPr>
            <w:tcW w:w="4047" w:type="dxa"/>
            <w:gridSpan w:val="2"/>
            <w:vAlign w:val="center"/>
          </w:tcPr>
          <w:p w14:paraId="0D4420CE">
            <w:pPr>
              <w:pStyle w:val="17"/>
              <w:bidi w:val="0"/>
              <w:rPr>
                <w:rFonts w:hint="default"/>
                <w:color w:val="auto"/>
                <w:highlight w:val="none"/>
                <w:lang w:val="en-US" w:eastAsia="zh-CN"/>
              </w:rPr>
            </w:pPr>
            <w:r>
              <w:rPr>
                <w:rFonts w:hint="eastAsia"/>
                <w:color w:val="auto"/>
                <w:highlight w:val="none"/>
                <w:lang w:val="en-US" w:eastAsia="zh-CN"/>
              </w:rPr>
              <w:t>渗滤率（mm/min）</w:t>
            </w:r>
          </w:p>
        </w:tc>
        <w:tc>
          <w:tcPr>
            <w:tcW w:w="4088" w:type="dxa"/>
            <w:gridSpan w:val="2"/>
            <w:vAlign w:val="center"/>
          </w:tcPr>
          <w:p w14:paraId="442A7130">
            <w:pPr>
              <w:pStyle w:val="17"/>
              <w:bidi w:val="0"/>
              <w:rPr>
                <w:rFonts w:hint="default"/>
                <w:color w:val="auto"/>
                <w:highlight w:val="none"/>
                <w:lang w:val="en-US" w:eastAsia="zh-CN"/>
              </w:rPr>
            </w:pPr>
            <w:r>
              <w:rPr>
                <w:rFonts w:hint="eastAsia"/>
                <w:color w:val="auto"/>
                <w:highlight w:val="none"/>
                <w:lang w:val="en-US" w:eastAsia="zh-CN"/>
              </w:rPr>
              <w:t>5.48</w:t>
            </w:r>
          </w:p>
        </w:tc>
      </w:tr>
      <w:tr w14:paraId="6FE2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4" w:type="dxa"/>
            <w:gridSpan w:val="2"/>
            <w:vAlign w:val="center"/>
          </w:tcPr>
          <w:p w14:paraId="231C0A1C">
            <w:pPr>
              <w:pStyle w:val="17"/>
              <w:bidi w:val="0"/>
              <w:rPr>
                <w:rFonts w:hint="default"/>
                <w:color w:val="auto"/>
                <w:highlight w:val="none"/>
                <w:lang w:val="en-US" w:eastAsia="zh-CN"/>
              </w:rPr>
            </w:pPr>
            <w:r>
              <w:rPr>
                <w:rFonts w:hint="eastAsia"/>
                <w:color w:val="auto"/>
                <w:highlight w:val="none"/>
                <w:lang w:val="en-US" w:eastAsia="zh-CN"/>
              </w:rPr>
              <w:t>测定位置</w:t>
            </w:r>
          </w:p>
        </w:tc>
        <w:tc>
          <w:tcPr>
            <w:tcW w:w="1900" w:type="dxa"/>
            <w:vAlign w:val="center"/>
          </w:tcPr>
          <w:p w14:paraId="03025F3D">
            <w:pPr>
              <w:pStyle w:val="17"/>
              <w:bidi w:val="0"/>
              <w:rPr>
                <w:rFonts w:hint="default"/>
                <w:color w:val="auto"/>
                <w:highlight w:val="none"/>
                <w:lang w:val="en-US" w:eastAsia="zh-CN"/>
              </w:rPr>
            </w:pPr>
            <w:r>
              <w:rPr>
                <w:rFonts w:hint="eastAsia"/>
                <w:color w:val="auto"/>
                <w:highlight w:val="none"/>
                <w:lang w:val="en-US" w:eastAsia="zh-CN"/>
              </w:rPr>
              <w:t>T6</w:t>
            </w:r>
          </w:p>
        </w:tc>
        <w:tc>
          <w:tcPr>
            <w:tcW w:w="1550" w:type="dxa"/>
            <w:vAlign w:val="center"/>
          </w:tcPr>
          <w:p w14:paraId="79412D61">
            <w:pPr>
              <w:pStyle w:val="17"/>
              <w:bidi w:val="0"/>
              <w:rPr>
                <w:rFonts w:hint="default"/>
                <w:color w:val="auto"/>
                <w:highlight w:val="none"/>
                <w:lang w:val="en-US" w:eastAsia="zh-CN"/>
              </w:rPr>
            </w:pPr>
            <w:r>
              <w:rPr>
                <w:rFonts w:hint="eastAsia"/>
                <w:color w:val="auto"/>
                <w:highlight w:val="none"/>
                <w:lang w:val="en-US" w:eastAsia="zh-CN"/>
              </w:rPr>
              <w:t>时间</w:t>
            </w:r>
          </w:p>
        </w:tc>
        <w:tc>
          <w:tcPr>
            <w:tcW w:w="2538" w:type="dxa"/>
            <w:vAlign w:val="center"/>
          </w:tcPr>
          <w:p w14:paraId="1E18493F">
            <w:pPr>
              <w:pStyle w:val="17"/>
              <w:bidi w:val="0"/>
              <w:rPr>
                <w:rFonts w:hint="default"/>
                <w:color w:val="auto"/>
                <w:highlight w:val="none"/>
                <w:lang w:val="en-US" w:eastAsia="zh-CN"/>
              </w:rPr>
            </w:pPr>
            <w:r>
              <w:rPr>
                <w:rFonts w:hint="eastAsia"/>
                <w:color w:val="auto"/>
                <w:highlight w:val="none"/>
                <w:lang w:val="en-US" w:eastAsia="zh-CN"/>
              </w:rPr>
              <w:t>2026年2月28-3月19日</w:t>
            </w:r>
          </w:p>
        </w:tc>
      </w:tr>
      <w:tr w14:paraId="1660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534" w:type="dxa"/>
            <w:gridSpan w:val="2"/>
            <w:vAlign w:val="center"/>
          </w:tcPr>
          <w:p w14:paraId="6AB8EF3A">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经度</w:t>
            </w:r>
          </w:p>
        </w:tc>
        <w:tc>
          <w:tcPr>
            <w:tcW w:w="1900" w:type="dxa"/>
            <w:vAlign w:val="center"/>
          </w:tcPr>
          <w:p w14:paraId="0965E5C0">
            <w:pPr>
              <w:pStyle w:val="17"/>
              <w:bidi w:val="0"/>
              <w:rPr>
                <w:rFonts w:hint="default" w:ascii="Times New Roman" w:hAnsi="Times New Roman" w:cs="Times New Roman"/>
                <w:color w:val="auto"/>
                <w:highlight w:val="none"/>
                <w:lang w:val="en-US" w:eastAsia="zh-CN"/>
              </w:rPr>
            </w:pPr>
          </w:p>
        </w:tc>
        <w:tc>
          <w:tcPr>
            <w:tcW w:w="1550" w:type="dxa"/>
            <w:vAlign w:val="center"/>
          </w:tcPr>
          <w:p w14:paraId="54D40ED5">
            <w:pPr>
              <w:pStyle w:val="1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纬度</w:t>
            </w:r>
          </w:p>
        </w:tc>
        <w:tc>
          <w:tcPr>
            <w:tcW w:w="2538" w:type="dxa"/>
            <w:vAlign w:val="center"/>
          </w:tcPr>
          <w:p w14:paraId="3DCC87B9">
            <w:pPr>
              <w:pStyle w:val="17"/>
              <w:bidi w:val="0"/>
              <w:rPr>
                <w:rFonts w:hint="default" w:ascii="Times New Roman" w:hAnsi="Times New Roman" w:cs="Times New Roman"/>
                <w:color w:val="auto"/>
                <w:highlight w:val="none"/>
                <w:lang w:val="en-US" w:eastAsia="zh-CN"/>
              </w:rPr>
            </w:pPr>
          </w:p>
        </w:tc>
      </w:tr>
      <w:tr w14:paraId="5A84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534" w:type="dxa"/>
            <w:gridSpan w:val="2"/>
            <w:vAlign w:val="center"/>
          </w:tcPr>
          <w:p w14:paraId="5509444D">
            <w:pPr>
              <w:pStyle w:val="17"/>
              <w:bidi w:val="0"/>
              <w:rPr>
                <w:rFonts w:hint="eastAsia"/>
                <w:color w:val="auto"/>
                <w:highlight w:val="none"/>
                <w:lang w:val="en-US" w:eastAsia="zh-CN"/>
              </w:rPr>
            </w:pPr>
            <w:r>
              <w:rPr>
                <w:rFonts w:hint="eastAsia"/>
                <w:color w:val="auto"/>
                <w:highlight w:val="none"/>
                <w:lang w:val="en-US" w:eastAsia="zh-CN"/>
              </w:rPr>
              <w:t>层次</w:t>
            </w:r>
          </w:p>
        </w:tc>
        <w:tc>
          <w:tcPr>
            <w:tcW w:w="5988" w:type="dxa"/>
            <w:gridSpan w:val="3"/>
            <w:vAlign w:val="center"/>
          </w:tcPr>
          <w:p w14:paraId="4828631F">
            <w:pPr>
              <w:pStyle w:val="17"/>
              <w:bidi w:val="0"/>
              <w:rPr>
                <w:rFonts w:hint="default"/>
                <w:color w:val="auto"/>
                <w:highlight w:val="none"/>
                <w:lang w:val="en-US" w:eastAsia="zh-CN"/>
              </w:rPr>
            </w:pPr>
            <w:r>
              <w:rPr>
                <w:rFonts w:hint="eastAsia"/>
                <w:color w:val="auto"/>
                <w:highlight w:val="none"/>
                <w:lang w:val="en-US" w:eastAsia="zh-CN"/>
              </w:rPr>
              <w:t>0-0.2m/</w:t>
            </w:r>
          </w:p>
        </w:tc>
      </w:tr>
      <w:tr w14:paraId="6F06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restart"/>
            <w:vAlign w:val="center"/>
          </w:tcPr>
          <w:p w14:paraId="286AA089">
            <w:pPr>
              <w:pStyle w:val="17"/>
              <w:bidi w:val="0"/>
              <w:rPr>
                <w:rFonts w:hint="default"/>
                <w:color w:val="auto"/>
                <w:highlight w:val="none"/>
                <w:lang w:val="en-US" w:eastAsia="zh-CN"/>
              </w:rPr>
            </w:pPr>
            <w:r>
              <w:rPr>
                <w:rFonts w:hint="eastAsia"/>
                <w:color w:val="auto"/>
                <w:highlight w:val="none"/>
                <w:lang w:val="en-US" w:eastAsia="zh-CN"/>
              </w:rPr>
              <w:t>现场记录</w:t>
            </w:r>
          </w:p>
        </w:tc>
        <w:tc>
          <w:tcPr>
            <w:tcW w:w="4047" w:type="dxa"/>
            <w:gridSpan w:val="2"/>
            <w:vAlign w:val="center"/>
          </w:tcPr>
          <w:p w14:paraId="3DE495C4">
            <w:pPr>
              <w:pStyle w:val="17"/>
              <w:bidi w:val="0"/>
              <w:rPr>
                <w:rFonts w:hint="default"/>
                <w:color w:val="auto"/>
                <w:highlight w:val="none"/>
                <w:lang w:val="en-US" w:eastAsia="zh-CN"/>
              </w:rPr>
            </w:pPr>
            <w:r>
              <w:rPr>
                <w:rFonts w:hint="eastAsia"/>
                <w:color w:val="auto"/>
                <w:highlight w:val="none"/>
                <w:lang w:val="en-US" w:eastAsia="zh-CN"/>
              </w:rPr>
              <w:t>颜色</w:t>
            </w:r>
          </w:p>
        </w:tc>
        <w:tc>
          <w:tcPr>
            <w:tcW w:w="4088" w:type="dxa"/>
            <w:gridSpan w:val="2"/>
            <w:vAlign w:val="center"/>
          </w:tcPr>
          <w:p w14:paraId="5B7FDE4F">
            <w:pPr>
              <w:pStyle w:val="17"/>
              <w:bidi w:val="0"/>
              <w:rPr>
                <w:rFonts w:hint="default"/>
                <w:color w:val="auto"/>
                <w:highlight w:val="none"/>
                <w:lang w:val="en-US" w:eastAsia="zh-CN"/>
              </w:rPr>
            </w:pPr>
            <w:r>
              <w:rPr>
                <w:rFonts w:hint="eastAsia"/>
                <w:color w:val="auto"/>
                <w:highlight w:val="none"/>
                <w:lang w:val="en-US" w:eastAsia="zh-CN"/>
              </w:rPr>
              <w:t>浅灰色</w:t>
            </w:r>
          </w:p>
        </w:tc>
      </w:tr>
      <w:tr w14:paraId="5DE9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312F46B2">
            <w:pPr>
              <w:pStyle w:val="17"/>
              <w:bidi w:val="0"/>
              <w:rPr>
                <w:rFonts w:hint="default"/>
                <w:color w:val="auto"/>
                <w:highlight w:val="none"/>
                <w:lang w:val="en-US" w:eastAsia="zh-CN"/>
              </w:rPr>
            </w:pPr>
          </w:p>
        </w:tc>
        <w:tc>
          <w:tcPr>
            <w:tcW w:w="4047" w:type="dxa"/>
            <w:gridSpan w:val="2"/>
            <w:vAlign w:val="center"/>
          </w:tcPr>
          <w:p w14:paraId="18398F5C">
            <w:pPr>
              <w:pStyle w:val="17"/>
              <w:bidi w:val="0"/>
              <w:rPr>
                <w:rFonts w:hint="default"/>
                <w:color w:val="auto"/>
                <w:highlight w:val="none"/>
                <w:lang w:val="en-US" w:eastAsia="zh-CN"/>
              </w:rPr>
            </w:pPr>
            <w:r>
              <w:rPr>
                <w:rFonts w:hint="eastAsia"/>
                <w:color w:val="auto"/>
                <w:highlight w:val="none"/>
                <w:lang w:val="en-US" w:eastAsia="zh-CN"/>
              </w:rPr>
              <w:t>结构</w:t>
            </w:r>
          </w:p>
        </w:tc>
        <w:tc>
          <w:tcPr>
            <w:tcW w:w="4088" w:type="dxa"/>
            <w:gridSpan w:val="2"/>
            <w:vAlign w:val="center"/>
          </w:tcPr>
          <w:p w14:paraId="5A2D8AE5">
            <w:pPr>
              <w:pStyle w:val="17"/>
              <w:bidi w:val="0"/>
              <w:rPr>
                <w:rFonts w:hint="default"/>
                <w:color w:val="auto"/>
                <w:highlight w:val="none"/>
                <w:lang w:val="en-US" w:eastAsia="zh-CN"/>
              </w:rPr>
            </w:pPr>
            <w:r>
              <w:rPr>
                <w:rFonts w:hint="eastAsia"/>
                <w:color w:val="auto"/>
                <w:highlight w:val="none"/>
                <w:lang w:val="en-US" w:eastAsia="zh-CN"/>
              </w:rPr>
              <w:t>块状</w:t>
            </w:r>
          </w:p>
        </w:tc>
      </w:tr>
      <w:tr w14:paraId="1F09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2D062114">
            <w:pPr>
              <w:pStyle w:val="17"/>
              <w:bidi w:val="0"/>
              <w:rPr>
                <w:rFonts w:hint="default"/>
                <w:color w:val="auto"/>
                <w:highlight w:val="none"/>
                <w:lang w:val="en-US" w:eastAsia="zh-CN"/>
              </w:rPr>
            </w:pPr>
          </w:p>
        </w:tc>
        <w:tc>
          <w:tcPr>
            <w:tcW w:w="4047" w:type="dxa"/>
            <w:gridSpan w:val="2"/>
            <w:vAlign w:val="center"/>
          </w:tcPr>
          <w:p w14:paraId="1F1A4E6D">
            <w:pPr>
              <w:pStyle w:val="17"/>
              <w:bidi w:val="0"/>
              <w:rPr>
                <w:rFonts w:hint="default"/>
                <w:color w:val="auto"/>
                <w:highlight w:val="none"/>
                <w:lang w:val="en-US" w:eastAsia="zh-CN"/>
              </w:rPr>
            </w:pPr>
            <w:r>
              <w:rPr>
                <w:rFonts w:hint="eastAsia"/>
                <w:color w:val="auto"/>
                <w:highlight w:val="none"/>
                <w:lang w:val="en-US" w:eastAsia="zh-CN"/>
              </w:rPr>
              <w:t>质地</w:t>
            </w:r>
          </w:p>
        </w:tc>
        <w:tc>
          <w:tcPr>
            <w:tcW w:w="4088" w:type="dxa"/>
            <w:gridSpan w:val="2"/>
            <w:vAlign w:val="center"/>
          </w:tcPr>
          <w:p w14:paraId="1A70ACDE">
            <w:pPr>
              <w:pStyle w:val="17"/>
              <w:bidi w:val="0"/>
              <w:rPr>
                <w:rFonts w:hint="default"/>
                <w:color w:val="auto"/>
                <w:highlight w:val="none"/>
                <w:lang w:val="en-US" w:eastAsia="zh-CN"/>
              </w:rPr>
            </w:pPr>
            <w:r>
              <w:rPr>
                <w:rFonts w:hint="eastAsia"/>
                <w:color w:val="auto"/>
                <w:highlight w:val="none"/>
                <w:lang w:val="en-US" w:eastAsia="zh-CN"/>
              </w:rPr>
              <w:t>砂壤土</w:t>
            </w:r>
          </w:p>
        </w:tc>
      </w:tr>
      <w:tr w14:paraId="58FD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3C188704">
            <w:pPr>
              <w:pStyle w:val="17"/>
              <w:bidi w:val="0"/>
              <w:rPr>
                <w:rFonts w:hint="default"/>
                <w:color w:val="auto"/>
                <w:highlight w:val="none"/>
                <w:lang w:val="en-US" w:eastAsia="zh-CN"/>
              </w:rPr>
            </w:pPr>
          </w:p>
        </w:tc>
        <w:tc>
          <w:tcPr>
            <w:tcW w:w="4047" w:type="dxa"/>
            <w:gridSpan w:val="2"/>
            <w:vAlign w:val="center"/>
          </w:tcPr>
          <w:p w14:paraId="774B64C4">
            <w:pPr>
              <w:pStyle w:val="17"/>
              <w:bidi w:val="0"/>
              <w:rPr>
                <w:rFonts w:hint="default"/>
                <w:color w:val="auto"/>
                <w:highlight w:val="none"/>
                <w:lang w:val="en-US" w:eastAsia="zh-CN"/>
              </w:rPr>
            </w:pPr>
            <w:r>
              <w:rPr>
                <w:rFonts w:hint="eastAsia"/>
                <w:color w:val="auto"/>
                <w:highlight w:val="none"/>
                <w:lang w:val="en-US" w:eastAsia="zh-CN"/>
              </w:rPr>
              <w:t>砂砾含量（%）</w:t>
            </w:r>
          </w:p>
        </w:tc>
        <w:tc>
          <w:tcPr>
            <w:tcW w:w="4088" w:type="dxa"/>
            <w:gridSpan w:val="2"/>
            <w:vAlign w:val="center"/>
          </w:tcPr>
          <w:p w14:paraId="608B8ED3">
            <w:pPr>
              <w:pStyle w:val="17"/>
              <w:bidi w:val="0"/>
              <w:rPr>
                <w:rFonts w:hint="default"/>
                <w:color w:val="auto"/>
                <w:highlight w:val="none"/>
                <w:lang w:val="en-US" w:eastAsia="zh-CN"/>
              </w:rPr>
            </w:pPr>
            <w:r>
              <w:rPr>
                <w:rFonts w:hint="eastAsia"/>
                <w:color w:val="auto"/>
                <w:highlight w:val="none"/>
                <w:lang w:val="en-US" w:eastAsia="zh-CN"/>
              </w:rPr>
              <w:t>30</w:t>
            </w:r>
          </w:p>
        </w:tc>
      </w:tr>
      <w:tr w14:paraId="2EB3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1C1D6DB7">
            <w:pPr>
              <w:pStyle w:val="17"/>
              <w:bidi w:val="0"/>
              <w:rPr>
                <w:rFonts w:hint="default"/>
                <w:color w:val="auto"/>
                <w:highlight w:val="none"/>
                <w:lang w:val="en-US" w:eastAsia="zh-CN"/>
              </w:rPr>
            </w:pPr>
          </w:p>
        </w:tc>
        <w:tc>
          <w:tcPr>
            <w:tcW w:w="4047" w:type="dxa"/>
            <w:gridSpan w:val="2"/>
            <w:vAlign w:val="center"/>
          </w:tcPr>
          <w:p w14:paraId="22D33E56">
            <w:pPr>
              <w:pStyle w:val="17"/>
              <w:bidi w:val="0"/>
              <w:rPr>
                <w:rFonts w:hint="default"/>
                <w:color w:val="auto"/>
                <w:highlight w:val="none"/>
                <w:lang w:val="en-US" w:eastAsia="zh-CN"/>
              </w:rPr>
            </w:pPr>
            <w:r>
              <w:rPr>
                <w:rFonts w:hint="eastAsia"/>
                <w:color w:val="auto"/>
                <w:highlight w:val="none"/>
                <w:lang w:val="en-US" w:eastAsia="zh-CN"/>
              </w:rPr>
              <w:t>其他异物</w:t>
            </w:r>
          </w:p>
        </w:tc>
        <w:tc>
          <w:tcPr>
            <w:tcW w:w="4088" w:type="dxa"/>
            <w:gridSpan w:val="2"/>
            <w:vAlign w:val="center"/>
          </w:tcPr>
          <w:p w14:paraId="0DAB947F">
            <w:pPr>
              <w:pStyle w:val="17"/>
              <w:bidi w:val="0"/>
              <w:rPr>
                <w:rFonts w:hint="default"/>
                <w:color w:val="auto"/>
                <w:highlight w:val="none"/>
                <w:lang w:val="en-US" w:eastAsia="zh-CN"/>
              </w:rPr>
            </w:pPr>
            <w:r>
              <w:rPr>
                <w:rFonts w:hint="eastAsia"/>
                <w:color w:val="auto"/>
                <w:highlight w:val="none"/>
                <w:lang w:val="en-US" w:eastAsia="zh-CN"/>
              </w:rPr>
              <w:t>无</w:t>
            </w:r>
          </w:p>
        </w:tc>
      </w:tr>
      <w:tr w14:paraId="52D7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3AF220DE">
            <w:pPr>
              <w:pStyle w:val="17"/>
              <w:bidi w:val="0"/>
              <w:rPr>
                <w:rFonts w:hint="default"/>
                <w:color w:val="auto"/>
                <w:highlight w:val="none"/>
                <w:lang w:val="en-US" w:eastAsia="zh-CN"/>
              </w:rPr>
            </w:pPr>
          </w:p>
        </w:tc>
        <w:tc>
          <w:tcPr>
            <w:tcW w:w="4047" w:type="dxa"/>
            <w:gridSpan w:val="2"/>
            <w:vAlign w:val="center"/>
          </w:tcPr>
          <w:p w14:paraId="07EB9C89">
            <w:pPr>
              <w:pStyle w:val="17"/>
              <w:bidi w:val="0"/>
              <w:rPr>
                <w:rFonts w:hint="default"/>
                <w:color w:val="auto"/>
                <w:highlight w:val="none"/>
                <w:lang w:val="en-US" w:eastAsia="zh-CN"/>
              </w:rPr>
            </w:pPr>
            <w:r>
              <w:rPr>
                <w:rFonts w:hint="eastAsia"/>
                <w:color w:val="auto"/>
                <w:highlight w:val="none"/>
                <w:lang w:val="en-US" w:eastAsia="zh-CN"/>
              </w:rPr>
              <w:t>氧化还原电位（mV）</w:t>
            </w:r>
          </w:p>
        </w:tc>
        <w:tc>
          <w:tcPr>
            <w:tcW w:w="4088" w:type="dxa"/>
            <w:gridSpan w:val="2"/>
            <w:vAlign w:val="center"/>
          </w:tcPr>
          <w:p w14:paraId="12A24DC4">
            <w:pPr>
              <w:pStyle w:val="17"/>
              <w:bidi w:val="0"/>
              <w:rPr>
                <w:rFonts w:hint="default"/>
                <w:color w:val="auto"/>
                <w:highlight w:val="none"/>
                <w:lang w:val="en-US" w:eastAsia="zh-CN"/>
              </w:rPr>
            </w:pPr>
            <w:r>
              <w:rPr>
                <w:rFonts w:hint="eastAsia"/>
                <w:color w:val="auto"/>
                <w:highlight w:val="none"/>
                <w:lang w:val="en-US" w:eastAsia="zh-CN"/>
              </w:rPr>
              <w:t>524</w:t>
            </w:r>
          </w:p>
        </w:tc>
      </w:tr>
      <w:tr w14:paraId="438C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restart"/>
            <w:vAlign w:val="center"/>
          </w:tcPr>
          <w:p w14:paraId="18217432">
            <w:pPr>
              <w:pStyle w:val="17"/>
              <w:bidi w:val="0"/>
              <w:rPr>
                <w:rFonts w:hint="default"/>
                <w:color w:val="auto"/>
                <w:highlight w:val="none"/>
                <w:lang w:val="en-US" w:eastAsia="zh-CN"/>
              </w:rPr>
            </w:pPr>
            <w:r>
              <w:rPr>
                <w:rFonts w:hint="eastAsia"/>
                <w:color w:val="auto"/>
                <w:highlight w:val="none"/>
                <w:lang w:val="en-US" w:eastAsia="zh-CN"/>
              </w:rPr>
              <w:t>实验室测定</w:t>
            </w:r>
          </w:p>
        </w:tc>
        <w:tc>
          <w:tcPr>
            <w:tcW w:w="4047" w:type="dxa"/>
            <w:gridSpan w:val="2"/>
            <w:vAlign w:val="center"/>
          </w:tcPr>
          <w:p w14:paraId="7636DADA">
            <w:pPr>
              <w:pStyle w:val="17"/>
              <w:bidi w:val="0"/>
              <w:rPr>
                <w:rFonts w:hint="default"/>
                <w:color w:val="auto"/>
                <w:highlight w:val="none"/>
                <w:lang w:val="en-US" w:eastAsia="zh-CN"/>
              </w:rPr>
            </w:pPr>
            <w:r>
              <w:rPr>
                <w:rFonts w:hint="eastAsia"/>
                <w:color w:val="auto"/>
                <w:highlight w:val="none"/>
                <w:lang w:val="en-US" w:eastAsia="zh-CN"/>
              </w:rPr>
              <w:t>pH（无量纲）</w:t>
            </w:r>
          </w:p>
        </w:tc>
        <w:tc>
          <w:tcPr>
            <w:tcW w:w="4088" w:type="dxa"/>
            <w:gridSpan w:val="2"/>
            <w:vAlign w:val="center"/>
          </w:tcPr>
          <w:p w14:paraId="3DDD71A1">
            <w:pPr>
              <w:pStyle w:val="17"/>
              <w:bidi w:val="0"/>
              <w:rPr>
                <w:rFonts w:hint="default"/>
                <w:color w:val="auto"/>
                <w:highlight w:val="none"/>
                <w:lang w:val="en-US" w:eastAsia="zh-CN"/>
              </w:rPr>
            </w:pPr>
            <w:r>
              <w:rPr>
                <w:rFonts w:hint="eastAsia"/>
                <w:color w:val="auto"/>
                <w:highlight w:val="none"/>
                <w:lang w:val="en-US" w:eastAsia="zh-CN"/>
              </w:rPr>
              <w:t>8.25</w:t>
            </w:r>
          </w:p>
        </w:tc>
      </w:tr>
      <w:tr w14:paraId="2393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6CAA4FDB">
            <w:pPr>
              <w:pStyle w:val="17"/>
              <w:bidi w:val="0"/>
              <w:rPr>
                <w:rFonts w:hint="default"/>
                <w:color w:val="auto"/>
                <w:highlight w:val="none"/>
                <w:lang w:val="en-US" w:eastAsia="zh-CN"/>
              </w:rPr>
            </w:pPr>
          </w:p>
        </w:tc>
        <w:tc>
          <w:tcPr>
            <w:tcW w:w="4047" w:type="dxa"/>
            <w:gridSpan w:val="2"/>
            <w:vAlign w:val="center"/>
          </w:tcPr>
          <w:p w14:paraId="5F6B3DA4">
            <w:pPr>
              <w:pStyle w:val="17"/>
              <w:bidi w:val="0"/>
              <w:rPr>
                <w:rFonts w:hint="default"/>
                <w:color w:val="auto"/>
                <w:highlight w:val="none"/>
                <w:lang w:val="en-US" w:eastAsia="zh-CN"/>
              </w:rPr>
            </w:pPr>
            <w:r>
              <w:rPr>
                <w:rFonts w:hint="eastAsia"/>
                <w:color w:val="auto"/>
                <w:highlight w:val="none"/>
                <w:lang w:val="en-US" w:eastAsia="zh-CN"/>
              </w:rPr>
              <w:t>阳离子交换量（cmol+/kg）</w:t>
            </w:r>
          </w:p>
        </w:tc>
        <w:tc>
          <w:tcPr>
            <w:tcW w:w="4088" w:type="dxa"/>
            <w:gridSpan w:val="2"/>
            <w:vAlign w:val="center"/>
          </w:tcPr>
          <w:p w14:paraId="5E616ECB">
            <w:pPr>
              <w:pStyle w:val="17"/>
              <w:bidi w:val="0"/>
              <w:rPr>
                <w:rFonts w:hint="default"/>
                <w:color w:val="auto"/>
                <w:highlight w:val="none"/>
                <w:lang w:val="en-US" w:eastAsia="zh-CN"/>
              </w:rPr>
            </w:pPr>
            <w:r>
              <w:rPr>
                <w:rFonts w:hint="eastAsia"/>
                <w:color w:val="auto"/>
                <w:highlight w:val="none"/>
                <w:lang w:val="en-US" w:eastAsia="zh-CN"/>
              </w:rPr>
              <w:t>1.1</w:t>
            </w:r>
          </w:p>
        </w:tc>
      </w:tr>
      <w:tr w14:paraId="3CD3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059C0284">
            <w:pPr>
              <w:pStyle w:val="17"/>
              <w:bidi w:val="0"/>
              <w:rPr>
                <w:rFonts w:hint="default"/>
                <w:color w:val="auto"/>
                <w:highlight w:val="none"/>
                <w:lang w:val="en-US" w:eastAsia="zh-CN"/>
              </w:rPr>
            </w:pPr>
          </w:p>
        </w:tc>
        <w:tc>
          <w:tcPr>
            <w:tcW w:w="4047" w:type="dxa"/>
            <w:gridSpan w:val="2"/>
            <w:vAlign w:val="center"/>
          </w:tcPr>
          <w:p w14:paraId="12BA3873">
            <w:pPr>
              <w:pStyle w:val="17"/>
              <w:bidi w:val="0"/>
              <w:rPr>
                <w:rFonts w:hint="default"/>
                <w:color w:val="auto"/>
                <w:highlight w:val="none"/>
                <w:lang w:val="en-US" w:eastAsia="zh-CN"/>
              </w:rPr>
            </w:pPr>
            <w:r>
              <w:rPr>
                <w:rFonts w:hint="eastAsia"/>
                <w:color w:val="auto"/>
                <w:highlight w:val="none"/>
                <w:lang w:val="en-US" w:eastAsia="zh-CN"/>
              </w:rPr>
              <w:t>土壤容重（g/cm</w:t>
            </w:r>
            <w:r>
              <w:rPr>
                <w:rFonts w:hint="eastAsia"/>
                <w:color w:val="auto"/>
                <w:highlight w:val="none"/>
                <w:vertAlign w:val="superscript"/>
                <w:lang w:val="en-US" w:eastAsia="zh-CN"/>
              </w:rPr>
              <w:t>3</w:t>
            </w:r>
            <w:r>
              <w:rPr>
                <w:rFonts w:hint="eastAsia"/>
                <w:color w:val="auto"/>
                <w:highlight w:val="none"/>
                <w:lang w:val="en-US" w:eastAsia="zh-CN"/>
              </w:rPr>
              <w:t>）</w:t>
            </w:r>
          </w:p>
        </w:tc>
        <w:tc>
          <w:tcPr>
            <w:tcW w:w="4088" w:type="dxa"/>
            <w:gridSpan w:val="2"/>
            <w:vAlign w:val="center"/>
          </w:tcPr>
          <w:p w14:paraId="5BD03CB5">
            <w:pPr>
              <w:pStyle w:val="17"/>
              <w:bidi w:val="0"/>
              <w:rPr>
                <w:rFonts w:hint="default"/>
                <w:color w:val="auto"/>
                <w:highlight w:val="none"/>
                <w:lang w:val="en-US" w:eastAsia="zh-CN"/>
              </w:rPr>
            </w:pPr>
            <w:r>
              <w:rPr>
                <w:rFonts w:hint="eastAsia"/>
                <w:color w:val="auto"/>
                <w:highlight w:val="none"/>
                <w:lang w:val="en-US" w:eastAsia="zh-CN"/>
              </w:rPr>
              <w:t>1.39</w:t>
            </w:r>
          </w:p>
        </w:tc>
      </w:tr>
      <w:tr w14:paraId="78E0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69300A8E">
            <w:pPr>
              <w:pStyle w:val="17"/>
              <w:bidi w:val="0"/>
              <w:rPr>
                <w:rFonts w:hint="default"/>
                <w:color w:val="auto"/>
                <w:highlight w:val="none"/>
                <w:lang w:val="en-US" w:eastAsia="zh-CN"/>
              </w:rPr>
            </w:pPr>
          </w:p>
        </w:tc>
        <w:tc>
          <w:tcPr>
            <w:tcW w:w="4047" w:type="dxa"/>
            <w:gridSpan w:val="2"/>
            <w:vAlign w:val="center"/>
          </w:tcPr>
          <w:p w14:paraId="194CC49D">
            <w:pPr>
              <w:pStyle w:val="17"/>
              <w:bidi w:val="0"/>
              <w:rPr>
                <w:rFonts w:hint="default"/>
                <w:color w:val="auto"/>
                <w:highlight w:val="none"/>
                <w:lang w:val="en-US" w:eastAsia="zh-CN"/>
              </w:rPr>
            </w:pPr>
            <w:r>
              <w:rPr>
                <w:rFonts w:hint="eastAsia"/>
                <w:color w:val="auto"/>
                <w:highlight w:val="none"/>
                <w:lang w:val="en-US" w:eastAsia="zh-CN"/>
              </w:rPr>
              <w:t>孔隙度（%）</w:t>
            </w:r>
          </w:p>
        </w:tc>
        <w:tc>
          <w:tcPr>
            <w:tcW w:w="4088" w:type="dxa"/>
            <w:gridSpan w:val="2"/>
            <w:vAlign w:val="center"/>
          </w:tcPr>
          <w:p w14:paraId="6357A9E1">
            <w:pPr>
              <w:pStyle w:val="17"/>
              <w:bidi w:val="0"/>
              <w:rPr>
                <w:rFonts w:hint="default"/>
                <w:color w:val="auto"/>
                <w:highlight w:val="none"/>
                <w:lang w:val="en-US" w:eastAsia="zh-CN"/>
              </w:rPr>
            </w:pPr>
            <w:r>
              <w:rPr>
                <w:rFonts w:hint="eastAsia"/>
                <w:color w:val="auto"/>
                <w:highlight w:val="none"/>
                <w:lang w:val="en-US" w:eastAsia="zh-CN"/>
              </w:rPr>
              <w:t>36.0</w:t>
            </w:r>
          </w:p>
        </w:tc>
      </w:tr>
      <w:tr w14:paraId="7052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7" w:type="dxa"/>
            <w:vMerge w:val="continue"/>
            <w:vAlign w:val="center"/>
          </w:tcPr>
          <w:p w14:paraId="5A10D217">
            <w:pPr>
              <w:pStyle w:val="17"/>
              <w:bidi w:val="0"/>
              <w:rPr>
                <w:rFonts w:hint="default"/>
                <w:color w:val="auto"/>
                <w:highlight w:val="none"/>
                <w:lang w:val="en-US" w:eastAsia="zh-CN"/>
              </w:rPr>
            </w:pPr>
          </w:p>
        </w:tc>
        <w:tc>
          <w:tcPr>
            <w:tcW w:w="4047" w:type="dxa"/>
            <w:gridSpan w:val="2"/>
            <w:vAlign w:val="center"/>
          </w:tcPr>
          <w:p w14:paraId="591CD3D8">
            <w:pPr>
              <w:pStyle w:val="17"/>
              <w:bidi w:val="0"/>
              <w:rPr>
                <w:rFonts w:hint="default"/>
                <w:color w:val="auto"/>
                <w:highlight w:val="none"/>
                <w:lang w:val="en-US" w:eastAsia="zh-CN"/>
              </w:rPr>
            </w:pPr>
            <w:r>
              <w:rPr>
                <w:rFonts w:hint="eastAsia"/>
                <w:color w:val="auto"/>
                <w:highlight w:val="none"/>
                <w:lang w:val="en-US" w:eastAsia="zh-CN"/>
              </w:rPr>
              <w:t>渗滤率（mm/min）</w:t>
            </w:r>
          </w:p>
        </w:tc>
        <w:tc>
          <w:tcPr>
            <w:tcW w:w="4088" w:type="dxa"/>
            <w:gridSpan w:val="2"/>
            <w:vAlign w:val="center"/>
          </w:tcPr>
          <w:p w14:paraId="57BB130F">
            <w:pPr>
              <w:pStyle w:val="17"/>
              <w:bidi w:val="0"/>
              <w:rPr>
                <w:rFonts w:hint="default"/>
                <w:color w:val="auto"/>
                <w:highlight w:val="none"/>
                <w:lang w:val="en-US" w:eastAsia="zh-CN"/>
              </w:rPr>
            </w:pPr>
            <w:r>
              <w:rPr>
                <w:rFonts w:hint="eastAsia"/>
                <w:color w:val="auto"/>
                <w:highlight w:val="none"/>
                <w:lang w:val="en-US" w:eastAsia="zh-CN"/>
              </w:rPr>
              <w:t>5.54</w:t>
            </w:r>
          </w:p>
        </w:tc>
      </w:tr>
    </w:tbl>
    <w:p w14:paraId="6E6E9692">
      <w:pPr>
        <w:bidi w:val="0"/>
        <w:rPr>
          <w:rFonts w:hint="default"/>
          <w:color w:val="auto"/>
          <w:highlight w:val="none"/>
          <w:lang w:val="en-US" w:eastAsia="zh-CN"/>
        </w:rPr>
      </w:pPr>
      <w:r>
        <w:rPr>
          <w:rFonts w:hint="default"/>
          <w:color w:val="auto"/>
          <w:highlight w:val="none"/>
          <w:lang w:val="en-US" w:eastAsia="zh-CN"/>
        </w:rPr>
        <w:t>根据评价结果，土壤含盐量</w:t>
      </w:r>
      <w:r>
        <w:rPr>
          <w:rFonts w:hint="eastAsia"/>
          <w:color w:val="auto"/>
          <w:highlight w:val="none"/>
          <w:lang w:val="en-US" w:eastAsia="zh-CN"/>
        </w:rPr>
        <w:t>在6.68～50.9</w:t>
      </w:r>
      <w:r>
        <w:rPr>
          <w:rFonts w:hint="default"/>
          <w:color w:val="auto"/>
          <w:highlight w:val="none"/>
          <w:lang w:val="en-US" w:eastAsia="zh-CN"/>
        </w:rPr>
        <w:t>g/kg</w:t>
      </w:r>
      <w:r>
        <w:rPr>
          <w:rFonts w:hint="eastAsia"/>
          <w:color w:val="auto"/>
          <w:highlight w:val="none"/>
          <w:lang w:val="en-US" w:eastAsia="zh-CN"/>
        </w:rPr>
        <w:t>之间</w:t>
      </w:r>
      <w:r>
        <w:rPr>
          <w:rFonts w:hint="default"/>
          <w:color w:val="auto"/>
          <w:highlight w:val="none"/>
          <w:lang w:val="en-US" w:eastAsia="zh-CN"/>
        </w:rPr>
        <w:t>，</w:t>
      </w:r>
      <w:r>
        <w:rPr>
          <w:rFonts w:hint="eastAsia"/>
          <w:color w:val="auto"/>
          <w:highlight w:val="none"/>
          <w:lang w:val="en-US" w:eastAsia="zh-CN"/>
        </w:rPr>
        <w:t>属于重度盐化、极重度</w:t>
      </w:r>
      <w:r>
        <w:rPr>
          <w:rFonts w:hint="default"/>
          <w:color w:val="auto"/>
          <w:highlight w:val="none"/>
          <w:lang w:val="en-US" w:eastAsia="zh-CN"/>
        </w:rPr>
        <w:t>盐化，pH</w:t>
      </w:r>
      <w:r>
        <w:rPr>
          <w:rFonts w:hint="eastAsia"/>
          <w:color w:val="auto"/>
          <w:highlight w:val="none"/>
          <w:lang w:val="en-US" w:eastAsia="zh-CN"/>
        </w:rPr>
        <w:t>在8.23～8.88之间</w:t>
      </w:r>
      <w:r>
        <w:rPr>
          <w:rFonts w:hint="default"/>
          <w:color w:val="auto"/>
          <w:highlight w:val="none"/>
          <w:lang w:val="en-US" w:eastAsia="zh-CN"/>
        </w:rPr>
        <w:t>，属于</w:t>
      </w:r>
      <w:r>
        <w:rPr>
          <w:rFonts w:hint="eastAsia"/>
          <w:color w:val="auto"/>
          <w:highlight w:val="none"/>
          <w:lang w:val="en-US" w:eastAsia="zh-CN"/>
        </w:rPr>
        <w:t>无酸化、轻度</w:t>
      </w:r>
      <w:r>
        <w:rPr>
          <w:rFonts w:hint="default"/>
          <w:color w:val="auto"/>
          <w:highlight w:val="none"/>
          <w:lang w:val="en-US" w:eastAsia="zh-CN"/>
        </w:rPr>
        <w:t>碱化。</w:t>
      </w:r>
      <w:r>
        <w:rPr>
          <w:rFonts w:hint="eastAsia"/>
          <w:color w:val="auto"/>
          <w:highlight w:val="none"/>
          <w:lang w:val="en-US" w:eastAsia="zh-CN"/>
        </w:rPr>
        <w:t>根据监测结果，</w:t>
      </w:r>
      <w:r>
        <w:rPr>
          <w:rFonts w:hint="default"/>
          <w:color w:val="auto"/>
          <w:highlight w:val="none"/>
          <w:lang w:val="en-US" w:eastAsia="zh-CN"/>
        </w:rPr>
        <w:t>占地范围内土壤各监测点（1#、2#、3#、4#、5#、6#）监测结果均能达到《土壤环境质量 建设用地土壤污染风险管控标准（试行）》（GB36600-2018）第二类用地筛选值要求；占地范围外（</w:t>
      </w:r>
      <w:r>
        <w:rPr>
          <w:rFonts w:hint="eastAsia"/>
          <w:color w:val="auto"/>
          <w:highlight w:val="none"/>
          <w:lang w:val="en-US" w:eastAsia="zh-CN"/>
        </w:rPr>
        <w:t>7</w:t>
      </w:r>
      <w:r>
        <w:rPr>
          <w:rFonts w:hint="default"/>
          <w:color w:val="auto"/>
          <w:highlight w:val="none"/>
          <w:lang w:val="en-US" w:eastAsia="zh-CN"/>
        </w:rPr>
        <w:t>#、</w:t>
      </w:r>
      <w:r>
        <w:rPr>
          <w:rFonts w:hint="eastAsia"/>
          <w:color w:val="auto"/>
          <w:highlight w:val="none"/>
          <w:lang w:val="en-US" w:eastAsia="zh-CN"/>
        </w:rPr>
        <w:t>8</w:t>
      </w:r>
      <w:r>
        <w:rPr>
          <w:rFonts w:hint="default"/>
          <w:color w:val="auto"/>
          <w:highlight w:val="none"/>
          <w:lang w:val="en-US" w:eastAsia="zh-CN"/>
        </w:rPr>
        <w:t>#</w:t>
      </w:r>
      <w:r>
        <w:rPr>
          <w:rFonts w:hint="eastAsia"/>
          <w:color w:val="auto"/>
          <w:highlight w:val="none"/>
          <w:lang w:val="en-US" w:eastAsia="zh-CN"/>
        </w:rPr>
        <w:t>、9#、10#</w:t>
      </w:r>
      <w:r>
        <w:rPr>
          <w:rFonts w:hint="default"/>
          <w:color w:val="auto"/>
          <w:highlight w:val="none"/>
          <w:lang w:val="en-US" w:eastAsia="zh-CN"/>
        </w:rPr>
        <w:t>）土壤监测结果均能达到《土壤环境质量 农用地土壤污染风险管控标准（试行）》（GB15618-2018）农用地土壤污染风险筛选值，</w:t>
      </w:r>
      <w:r>
        <w:rPr>
          <w:rFonts w:hint="eastAsia"/>
          <w:color w:val="auto"/>
          <w:highlight w:val="none"/>
          <w:lang w:val="en-US" w:eastAsia="zh-CN"/>
        </w:rPr>
        <w:t>满足本项目建设相关要求</w:t>
      </w:r>
      <w:r>
        <w:rPr>
          <w:rFonts w:hint="default"/>
          <w:color w:val="auto"/>
          <w:highlight w:val="none"/>
          <w:lang w:val="en-US" w:eastAsia="zh-CN"/>
        </w:rPr>
        <w:t>。</w:t>
      </w:r>
    </w:p>
    <w:p w14:paraId="5F4BD0F5">
      <w:pPr>
        <w:pStyle w:val="6"/>
        <w:rPr>
          <w:color w:val="auto"/>
          <w:highlight w:val="none"/>
        </w:rPr>
      </w:pPr>
      <w:bookmarkStart w:id="598" w:name="_Toc29098"/>
      <w:bookmarkStart w:id="599" w:name="_Toc27212"/>
      <w:bookmarkStart w:id="600" w:name="_Toc30667"/>
      <w:bookmarkStart w:id="601" w:name="_Toc11704"/>
      <w:bookmarkStart w:id="602" w:name="_Toc5061"/>
      <w:bookmarkStart w:id="603" w:name="_Toc17009"/>
      <w:bookmarkStart w:id="604" w:name="_Toc19053"/>
      <w:bookmarkStart w:id="605" w:name="_Toc20874"/>
      <w:bookmarkStart w:id="606" w:name="_Toc22777"/>
      <w:bookmarkStart w:id="607" w:name="_Toc472"/>
      <w:bookmarkStart w:id="608" w:name="_Toc20867"/>
      <w:r>
        <w:rPr>
          <w:color w:val="auto"/>
          <w:highlight w:val="none"/>
        </w:rPr>
        <w:t>4.</w:t>
      </w:r>
      <w:r>
        <w:rPr>
          <w:rFonts w:hint="eastAsia"/>
          <w:color w:val="auto"/>
          <w:highlight w:val="none"/>
        </w:rPr>
        <w:t>2</w:t>
      </w:r>
      <w:r>
        <w:rPr>
          <w:color w:val="auto"/>
          <w:highlight w:val="none"/>
        </w:rPr>
        <w:t>.6区域生态环境现状调查与评价</w:t>
      </w:r>
      <w:bookmarkEnd w:id="598"/>
      <w:bookmarkEnd w:id="599"/>
      <w:bookmarkEnd w:id="600"/>
      <w:bookmarkEnd w:id="601"/>
      <w:bookmarkEnd w:id="602"/>
      <w:bookmarkEnd w:id="603"/>
      <w:bookmarkEnd w:id="604"/>
      <w:bookmarkEnd w:id="605"/>
      <w:bookmarkEnd w:id="606"/>
      <w:bookmarkEnd w:id="607"/>
      <w:bookmarkEnd w:id="608"/>
    </w:p>
    <w:p w14:paraId="525B1A50">
      <w:pPr>
        <w:pStyle w:val="7"/>
        <w:ind w:firstLine="482"/>
        <w:rPr>
          <w:color w:val="auto"/>
          <w:highlight w:val="none"/>
        </w:rPr>
      </w:pPr>
      <w:r>
        <w:rPr>
          <w:color w:val="auto"/>
          <w:highlight w:val="none"/>
        </w:rPr>
        <w:t>4.</w:t>
      </w:r>
      <w:r>
        <w:rPr>
          <w:rFonts w:hint="eastAsia"/>
          <w:color w:val="auto"/>
          <w:highlight w:val="none"/>
        </w:rPr>
        <w:t>2</w:t>
      </w:r>
      <w:r>
        <w:rPr>
          <w:color w:val="auto"/>
          <w:highlight w:val="none"/>
        </w:rPr>
        <w:t>.6.1生态功能区划</w:t>
      </w:r>
    </w:p>
    <w:p w14:paraId="00F6481A">
      <w:pPr>
        <w:overflowPunct w:val="0"/>
        <w:topLinePunct/>
        <w:ind w:firstLine="480"/>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根据《新疆生态功能区划》，本项目</w:t>
      </w:r>
      <w:r>
        <w:rPr>
          <w:rFonts w:hint="default" w:ascii="Times New Roman" w:hAnsi="Times New Roman" w:cs="Times New Roman"/>
          <w:color w:val="auto"/>
          <w:kern w:val="0"/>
          <w:highlight w:val="none"/>
        </w:rPr>
        <w:t>位于Ⅴ帕米尔-昆仑山-阿尔金山荒漠干旱草原生态区</w:t>
      </w:r>
      <w:r>
        <w:rPr>
          <w:rFonts w:hint="default" w:ascii="Times New Roman" w:hAnsi="Times New Roman" w:cs="Times New Roman"/>
          <w:color w:val="auto"/>
          <w:kern w:val="0"/>
          <w:highlight w:val="none"/>
          <w:lang w:eastAsia="zh-CN"/>
        </w:rPr>
        <w:t>——Ⅴ</w:t>
      </w:r>
      <w:r>
        <w:rPr>
          <w:rFonts w:hint="default" w:ascii="Times New Roman" w:hAnsi="Times New Roman" w:cs="Times New Roman"/>
          <w:color w:val="auto"/>
          <w:kern w:val="0"/>
          <w:highlight w:val="none"/>
          <w:vertAlign w:val="subscript"/>
          <w:lang w:val="en-US" w:eastAsia="zh-CN"/>
        </w:rPr>
        <w:t>3</w:t>
      </w:r>
      <w:r>
        <w:rPr>
          <w:rFonts w:hint="default" w:ascii="Times New Roman" w:hAnsi="Times New Roman" w:cs="Times New Roman"/>
          <w:color w:val="auto"/>
          <w:kern w:val="0"/>
          <w:highlight w:val="none"/>
        </w:rPr>
        <w:t>阿尔金山荒漠草原生物多样性保护生态亚区</w:t>
      </w:r>
      <w:r>
        <w:rPr>
          <w:rFonts w:hint="default" w:ascii="Times New Roman" w:hAnsi="Times New Roman" w:cs="Times New Roman"/>
          <w:color w:val="auto"/>
          <w:kern w:val="0"/>
          <w:highlight w:val="none"/>
          <w:lang w:val="en-US" w:eastAsia="zh-CN"/>
        </w:rPr>
        <w:t>——76</w:t>
      </w:r>
      <w:r>
        <w:rPr>
          <w:rFonts w:hint="default" w:ascii="Times New Roman" w:hAnsi="Times New Roman" w:cs="Times New Roman"/>
          <w:color w:val="auto"/>
          <w:kern w:val="0"/>
          <w:highlight w:val="none"/>
        </w:rPr>
        <w:t>阿尔金山荒漠草原及野骆驼保护生态功能区</w:t>
      </w:r>
      <w:r>
        <w:rPr>
          <w:rFonts w:hint="default" w:ascii="Times New Roman" w:hAnsi="Times New Roman" w:cs="Times New Roman"/>
          <w:color w:val="auto"/>
          <w:kern w:val="0"/>
          <w:highlight w:val="none"/>
          <w:lang w:eastAsia="zh-CN"/>
        </w:rPr>
        <w:t>。</w:t>
      </w:r>
      <w:r>
        <w:rPr>
          <w:rFonts w:hint="default" w:ascii="Times New Roman" w:hAnsi="Times New Roman" w:eastAsia="宋体" w:cs="Times New Roman"/>
          <w:snapToGrid/>
          <w:color w:val="auto"/>
          <w:kern w:val="2"/>
          <w:sz w:val="24"/>
          <w:szCs w:val="24"/>
          <w:highlight w:val="none"/>
          <w:lang w:val="en-US" w:eastAsia="zh-CN" w:bidi="ar-SA"/>
        </w:rPr>
        <w:t>该生态功能区的主要生态服务功能、生态敏感因子、主要生态环境问题和主要保护目标见表4.2-1</w:t>
      </w:r>
      <w:r>
        <w:rPr>
          <w:rFonts w:hint="eastAsia" w:cs="Times New Roman"/>
          <w:snapToGrid/>
          <w:color w:val="auto"/>
          <w:kern w:val="2"/>
          <w:sz w:val="24"/>
          <w:szCs w:val="24"/>
          <w:highlight w:val="none"/>
          <w:lang w:val="en-US" w:eastAsia="zh-CN" w:bidi="ar-SA"/>
        </w:rPr>
        <w:t>6</w:t>
      </w:r>
      <w:r>
        <w:rPr>
          <w:rFonts w:hint="default" w:ascii="Times New Roman" w:hAnsi="Times New Roman" w:eastAsia="宋体" w:cs="Times New Roman"/>
          <w:snapToGrid/>
          <w:color w:val="auto"/>
          <w:kern w:val="2"/>
          <w:sz w:val="24"/>
          <w:szCs w:val="24"/>
          <w:highlight w:val="none"/>
          <w:lang w:val="en-US" w:eastAsia="zh-CN" w:bidi="ar-SA"/>
        </w:rPr>
        <w:t>。</w:t>
      </w:r>
    </w:p>
    <w:p w14:paraId="480D3B8A">
      <w:pPr>
        <w:widowControl w:val="0"/>
        <w:kinsoku/>
        <w:autoSpaceDE/>
        <w:autoSpaceDN/>
        <w:adjustRightInd/>
        <w:snapToGrid/>
        <w:spacing w:line="480" w:lineRule="exact"/>
        <w:ind w:firstLine="0" w:firstLineChars="0"/>
        <w:jc w:val="center"/>
        <w:textAlignment w:val="auto"/>
        <w:rPr>
          <w:rFonts w:eastAsia="宋体"/>
          <w:b/>
          <w:snapToGrid/>
          <w:color w:val="auto"/>
          <w:kern w:val="0"/>
          <w:sz w:val="24"/>
          <w:szCs w:val="24"/>
          <w:highlight w:val="none"/>
          <w:lang w:val="zh-CN" w:eastAsia="zh-CN" w:bidi="ar"/>
        </w:rPr>
      </w:pPr>
      <w:r>
        <w:rPr>
          <w:rFonts w:eastAsia="宋体"/>
          <w:b/>
          <w:snapToGrid/>
          <w:color w:val="auto"/>
          <w:kern w:val="0"/>
          <w:sz w:val="24"/>
          <w:szCs w:val="24"/>
          <w:highlight w:val="none"/>
          <w:lang w:val="zh-CN" w:eastAsia="zh-CN" w:bidi="ar"/>
        </w:rPr>
        <w:t>表</w:t>
      </w:r>
      <w:r>
        <w:rPr>
          <w:rFonts w:eastAsia="宋体"/>
          <w:b/>
          <w:snapToGrid/>
          <w:color w:val="auto"/>
          <w:kern w:val="0"/>
          <w:sz w:val="24"/>
          <w:szCs w:val="24"/>
          <w:highlight w:val="none"/>
          <w:lang w:val="en-US" w:eastAsia="zh-CN" w:bidi="ar"/>
        </w:rPr>
        <w:t>4.</w:t>
      </w:r>
      <w:r>
        <w:rPr>
          <w:rFonts w:hint="eastAsia" w:eastAsia="宋体"/>
          <w:b/>
          <w:snapToGrid/>
          <w:color w:val="auto"/>
          <w:kern w:val="0"/>
          <w:sz w:val="24"/>
          <w:szCs w:val="24"/>
          <w:highlight w:val="none"/>
          <w:lang w:val="en-US" w:eastAsia="zh-CN" w:bidi="ar"/>
        </w:rPr>
        <w:t>2</w:t>
      </w:r>
      <w:r>
        <w:rPr>
          <w:rFonts w:eastAsia="宋体"/>
          <w:b/>
          <w:snapToGrid/>
          <w:color w:val="auto"/>
          <w:kern w:val="0"/>
          <w:sz w:val="24"/>
          <w:szCs w:val="24"/>
          <w:highlight w:val="none"/>
          <w:lang w:val="en-US" w:eastAsia="zh-CN" w:bidi="ar"/>
        </w:rPr>
        <w:t>-</w:t>
      </w:r>
      <w:r>
        <w:rPr>
          <w:rFonts w:hint="eastAsia" w:eastAsia="宋体"/>
          <w:b/>
          <w:snapToGrid/>
          <w:color w:val="auto"/>
          <w:kern w:val="0"/>
          <w:sz w:val="24"/>
          <w:szCs w:val="24"/>
          <w:highlight w:val="none"/>
          <w:lang w:val="en-US" w:eastAsia="zh-CN" w:bidi="ar"/>
        </w:rPr>
        <w:t>1</w:t>
      </w:r>
      <w:r>
        <w:rPr>
          <w:rFonts w:hint="eastAsia"/>
          <w:b/>
          <w:snapToGrid/>
          <w:color w:val="auto"/>
          <w:kern w:val="0"/>
          <w:sz w:val="24"/>
          <w:szCs w:val="24"/>
          <w:highlight w:val="none"/>
          <w:lang w:val="en-US" w:eastAsia="zh-CN" w:bidi="ar"/>
        </w:rPr>
        <w:t>6</w:t>
      </w:r>
      <w:r>
        <w:rPr>
          <w:rFonts w:eastAsia="宋体"/>
          <w:b/>
          <w:snapToGrid/>
          <w:color w:val="auto"/>
          <w:kern w:val="0"/>
          <w:sz w:val="24"/>
          <w:szCs w:val="24"/>
          <w:highlight w:val="none"/>
          <w:lang w:val="en-US" w:eastAsia="zh-CN" w:bidi="ar"/>
        </w:rPr>
        <w:t xml:space="preserve">   </w:t>
      </w:r>
      <w:r>
        <w:rPr>
          <w:rFonts w:eastAsia="宋体"/>
          <w:b/>
          <w:snapToGrid/>
          <w:color w:val="auto"/>
          <w:kern w:val="0"/>
          <w:sz w:val="24"/>
          <w:szCs w:val="24"/>
          <w:highlight w:val="none"/>
          <w:lang w:val="zh-CN" w:eastAsia="zh-CN" w:bidi="ar"/>
        </w:rPr>
        <w:t xml:space="preserve"> 项目所在区域生态功能区划</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8"/>
        <w:gridCol w:w="1335"/>
        <w:gridCol w:w="6010"/>
      </w:tblGrid>
      <w:tr w14:paraId="47C5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2" w:type="pct"/>
            <w:vMerge w:val="restart"/>
            <w:vAlign w:val="center"/>
          </w:tcPr>
          <w:p w14:paraId="0ABA8DD9">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生态功能分区单元</w:t>
            </w:r>
          </w:p>
        </w:tc>
        <w:tc>
          <w:tcPr>
            <w:tcW w:w="803" w:type="pct"/>
            <w:vAlign w:val="center"/>
          </w:tcPr>
          <w:p w14:paraId="47A35346">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生态区</w:t>
            </w:r>
          </w:p>
        </w:tc>
        <w:tc>
          <w:tcPr>
            <w:tcW w:w="3614" w:type="pct"/>
            <w:vAlign w:val="center"/>
          </w:tcPr>
          <w:p w14:paraId="3EB14F2B">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Ⅴ帕米尔-昆仑山-阿尔金山荒漠干旱草原生态区</w:t>
            </w:r>
          </w:p>
        </w:tc>
      </w:tr>
      <w:tr w14:paraId="5001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2" w:type="pct"/>
            <w:vMerge w:val="continue"/>
            <w:vAlign w:val="center"/>
          </w:tcPr>
          <w:p w14:paraId="3806A2C8">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803" w:type="pct"/>
            <w:vAlign w:val="center"/>
          </w:tcPr>
          <w:p w14:paraId="59B9B015">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生态亚区</w:t>
            </w:r>
          </w:p>
        </w:tc>
        <w:tc>
          <w:tcPr>
            <w:tcW w:w="3614" w:type="pct"/>
            <w:vAlign w:val="center"/>
          </w:tcPr>
          <w:p w14:paraId="57AE96E4">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Ⅴ3阿尔金山荒漠草原生物多样性保护生态亚区</w:t>
            </w:r>
          </w:p>
        </w:tc>
      </w:tr>
      <w:tr w14:paraId="275F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82" w:type="pct"/>
            <w:vMerge w:val="continue"/>
            <w:vAlign w:val="center"/>
          </w:tcPr>
          <w:p w14:paraId="6A1D6509">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803" w:type="pct"/>
            <w:vAlign w:val="center"/>
          </w:tcPr>
          <w:p w14:paraId="4077C61E">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生态功能区</w:t>
            </w:r>
          </w:p>
        </w:tc>
        <w:tc>
          <w:tcPr>
            <w:tcW w:w="3614" w:type="pct"/>
            <w:vAlign w:val="center"/>
          </w:tcPr>
          <w:p w14:paraId="46DDAB41">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76</w:t>
            </w:r>
            <w:r>
              <w:rPr>
                <w:rFonts w:hint="default" w:ascii="Times New Roman" w:hAnsi="Times New Roman" w:eastAsia="宋体" w:cs="Times New Roman"/>
                <w:bCs/>
                <w:color w:val="auto"/>
                <w:sz w:val="21"/>
                <w:szCs w:val="21"/>
                <w:highlight w:val="none"/>
              </w:rPr>
              <w:t>阿尔金山荒漠草原及野骆驼保护生态功能区</w:t>
            </w:r>
          </w:p>
        </w:tc>
      </w:tr>
      <w:tr w14:paraId="7CEF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5" w:type="pct"/>
            <w:gridSpan w:val="2"/>
            <w:vAlign w:val="center"/>
          </w:tcPr>
          <w:p w14:paraId="58E6B888">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隶属行政区</w:t>
            </w:r>
          </w:p>
        </w:tc>
        <w:tc>
          <w:tcPr>
            <w:tcW w:w="3614" w:type="pct"/>
            <w:vAlign w:val="center"/>
          </w:tcPr>
          <w:p w14:paraId="5434E82E">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若羌县</w:t>
            </w:r>
          </w:p>
        </w:tc>
      </w:tr>
      <w:tr w14:paraId="0BBD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5" w:type="pct"/>
            <w:gridSpan w:val="2"/>
            <w:vAlign w:val="center"/>
          </w:tcPr>
          <w:p w14:paraId="36339F7E">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主要生态服务功能</w:t>
            </w:r>
          </w:p>
        </w:tc>
        <w:tc>
          <w:tcPr>
            <w:tcW w:w="3614" w:type="pct"/>
            <w:vAlign w:val="center"/>
          </w:tcPr>
          <w:p w14:paraId="08BF67FC">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土壤保持、生物多样性维护</w:t>
            </w:r>
          </w:p>
        </w:tc>
      </w:tr>
      <w:tr w14:paraId="39C0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5" w:type="pct"/>
            <w:gridSpan w:val="2"/>
            <w:vAlign w:val="center"/>
          </w:tcPr>
          <w:p w14:paraId="3798F69C">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主要生态环境问题</w:t>
            </w:r>
          </w:p>
        </w:tc>
        <w:tc>
          <w:tcPr>
            <w:tcW w:w="3614" w:type="pct"/>
            <w:vAlign w:val="center"/>
          </w:tcPr>
          <w:p w14:paraId="40F92B0A">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草地退化、水土流失、洪水危害</w:t>
            </w:r>
          </w:p>
        </w:tc>
      </w:tr>
      <w:tr w14:paraId="5783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5" w:type="pct"/>
            <w:gridSpan w:val="2"/>
            <w:vAlign w:val="center"/>
          </w:tcPr>
          <w:p w14:paraId="27C1D264">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主要生态敏感因子、敏感程度</w:t>
            </w:r>
          </w:p>
        </w:tc>
        <w:tc>
          <w:tcPr>
            <w:tcW w:w="3614" w:type="pct"/>
            <w:vAlign w:val="center"/>
          </w:tcPr>
          <w:p w14:paraId="381C077C">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生物多样性及其生境高度敏感，土壤侵蚀高度敏感</w:t>
            </w:r>
          </w:p>
        </w:tc>
      </w:tr>
      <w:tr w14:paraId="4C21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5" w:type="pct"/>
            <w:gridSpan w:val="2"/>
            <w:vAlign w:val="center"/>
          </w:tcPr>
          <w:p w14:paraId="406D3C72">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主要保护目标</w:t>
            </w:r>
          </w:p>
        </w:tc>
        <w:tc>
          <w:tcPr>
            <w:tcW w:w="3614" w:type="pct"/>
            <w:vAlign w:val="center"/>
          </w:tcPr>
          <w:p w14:paraId="3A225DB7">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保护荒漠草原和野骆驼</w:t>
            </w:r>
          </w:p>
        </w:tc>
      </w:tr>
      <w:tr w14:paraId="63BD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5" w:type="pct"/>
            <w:gridSpan w:val="2"/>
            <w:vAlign w:val="center"/>
          </w:tcPr>
          <w:p w14:paraId="356D4B78">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主要保护措施</w:t>
            </w:r>
          </w:p>
        </w:tc>
        <w:tc>
          <w:tcPr>
            <w:tcW w:w="3614" w:type="pct"/>
            <w:vAlign w:val="center"/>
          </w:tcPr>
          <w:p w14:paraId="0B0F4FEF">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保护区退牧、禁止偷猎、禁止乱采玉石矿、加强保护区管理</w:t>
            </w:r>
          </w:p>
        </w:tc>
      </w:tr>
      <w:tr w14:paraId="26CF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85" w:type="pct"/>
            <w:gridSpan w:val="2"/>
            <w:vAlign w:val="center"/>
          </w:tcPr>
          <w:p w14:paraId="711A3536">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适宜发展方向</w:t>
            </w:r>
          </w:p>
        </w:tc>
        <w:tc>
          <w:tcPr>
            <w:tcW w:w="3614" w:type="pct"/>
            <w:vAlign w:val="center"/>
          </w:tcPr>
          <w:p w14:paraId="46996C7E">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保护野生动物栖息地，维护自然生态平衡。</w:t>
            </w:r>
          </w:p>
        </w:tc>
      </w:tr>
    </w:tbl>
    <w:p w14:paraId="7379CBD6">
      <w:pPr>
        <w:pStyle w:val="7"/>
        <w:ind w:firstLine="482"/>
        <w:rPr>
          <w:rFonts w:hint="eastAsia" w:eastAsia="宋体"/>
          <w:color w:val="auto"/>
          <w:highlight w:val="none"/>
          <w:lang w:val="de-DE" w:eastAsia="zh-CN"/>
        </w:rPr>
      </w:pPr>
      <w:r>
        <w:rPr>
          <w:color w:val="auto"/>
          <w:highlight w:val="none"/>
          <w:lang w:val="en-US" w:eastAsia="zh-CN"/>
        </w:rPr>
        <w:t>4.2.</w:t>
      </w:r>
      <w:r>
        <w:rPr>
          <w:rFonts w:hint="eastAsia"/>
          <w:color w:val="auto"/>
          <w:highlight w:val="none"/>
          <w:lang w:val="en-US" w:eastAsia="zh-CN"/>
        </w:rPr>
        <w:t>6.</w:t>
      </w:r>
      <w:r>
        <w:rPr>
          <w:color w:val="auto"/>
          <w:highlight w:val="none"/>
          <w:lang w:val="en-US" w:eastAsia="zh-CN"/>
        </w:rPr>
        <w:t>2</w:t>
      </w:r>
      <w:r>
        <w:rPr>
          <w:rFonts w:hint="eastAsia"/>
          <w:color w:val="auto"/>
          <w:highlight w:val="none"/>
          <w:lang w:val="de-DE"/>
        </w:rPr>
        <w:t>土地利用</w:t>
      </w:r>
      <w:r>
        <w:rPr>
          <w:rFonts w:hint="eastAsia"/>
          <w:color w:val="auto"/>
          <w:highlight w:val="none"/>
          <w:lang w:val="en-US" w:eastAsia="zh-CN"/>
        </w:rPr>
        <w:t>现状</w:t>
      </w:r>
    </w:p>
    <w:p w14:paraId="1B81B775">
      <w:pPr>
        <w:keepNext w:val="0"/>
        <w:keepLines w:val="0"/>
        <w:widowControl/>
        <w:suppressLineNumbers w:val="0"/>
        <w:jc w:val="left"/>
        <w:rPr>
          <w:rFonts w:hint="default" w:ascii="Times New Roman" w:hAnsi="Times New Roman" w:eastAsia="宋体" w:cs="Times New Roman"/>
          <w:bCs/>
          <w:color w:val="auto"/>
          <w:kern w:val="0"/>
          <w:sz w:val="24"/>
          <w:szCs w:val="24"/>
          <w:highlight w:val="none"/>
          <w:lang w:val="en-US" w:eastAsia="zh-CN" w:bidi="ar"/>
        </w:rPr>
      </w:pPr>
      <w:r>
        <w:rPr>
          <w:rFonts w:hint="default" w:ascii="Times New Roman" w:hAnsi="Times New Roman" w:eastAsia="宋体" w:cs="Times New Roman"/>
          <w:bCs/>
          <w:color w:val="auto"/>
          <w:kern w:val="0"/>
          <w:sz w:val="24"/>
          <w:szCs w:val="24"/>
          <w:highlight w:val="none"/>
          <w:lang w:val="en-US" w:eastAsia="zh-CN" w:bidi="ar"/>
        </w:rPr>
        <w:t>本次生态评价以</w:t>
      </w:r>
      <w:r>
        <w:rPr>
          <w:rFonts w:hint="eastAsia" w:ascii="Times New Roman" w:hAnsi="Times New Roman" w:eastAsia="宋体" w:cs="Times New Roman"/>
          <w:bCs/>
          <w:color w:val="auto"/>
          <w:kern w:val="0"/>
          <w:sz w:val="24"/>
          <w:szCs w:val="24"/>
          <w:highlight w:val="none"/>
          <w:lang w:val="en-US" w:eastAsia="zh-CN" w:bidi="ar"/>
        </w:rPr>
        <w:t>矿区、尾矿库、选矿厂、废石堆场外延1000m范围</w:t>
      </w:r>
      <w:r>
        <w:rPr>
          <w:rFonts w:hint="default" w:ascii="Times New Roman" w:hAnsi="Times New Roman" w:eastAsia="宋体" w:cs="Times New Roman"/>
          <w:bCs/>
          <w:color w:val="auto"/>
          <w:kern w:val="0"/>
          <w:sz w:val="24"/>
          <w:szCs w:val="24"/>
          <w:highlight w:val="none"/>
          <w:lang w:val="en-US" w:eastAsia="zh-CN" w:bidi="ar"/>
        </w:rPr>
        <w:t>作为评价区域，土地利用</w:t>
      </w:r>
      <w:r>
        <w:rPr>
          <w:rFonts w:hint="eastAsia" w:cs="Times New Roman"/>
          <w:bCs/>
          <w:color w:val="auto"/>
          <w:kern w:val="0"/>
          <w:sz w:val="24"/>
          <w:szCs w:val="24"/>
          <w:highlight w:val="none"/>
          <w:lang w:val="en-US" w:eastAsia="zh-CN" w:bidi="ar"/>
        </w:rPr>
        <w:t>现状</w:t>
      </w:r>
      <w:r>
        <w:rPr>
          <w:rFonts w:hint="default" w:ascii="Times New Roman" w:hAnsi="Times New Roman" w:eastAsia="宋体" w:cs="Times New Roman"/>
          <w:bCs/>
          <w:color w:val="auto"/>
          <w:kern w:val="0"/>
          <w:sz w:val="24"/>
          <w:szCs w:val="24"/>
          <w:highlight w:val="none"/>
          <w:lang w:val="en-US" w:eastAsia="zh-CN" w:bidi="ar"/>
        </w:rPr>
        <w:t>见图</w:t>
      </w:r>
      <w:r>
        <w:rPr>
          <w:rFonts w:hint="eastAsia" w:ascii="Times New Roman" w:hAnsi="Times New Roman" w:eastAsia="宋体" w:cs="Times New Roman"/>
          <w:bCs/>
          <w:color w:val="auto"/>
          <w:kern w:val="0"/>
          <w:sz w:val="24"/>
          <w:szCs w:val="24"/>
          <w:highlight w:val="none"/>
          <w:lang w:val="en-US" w:eastAsia="zh-CN" w:bidi="ar"/>
        </w:rPr>
        <w:t>4</w:t>
      </w:r>
      <w:r>
        <w:rPr>
          <w:rFonts w:hint="default" w:ascii="Times New Roman" w:hAnsi="Times New Roman" w:eastAsia="宋体" w:cs="Times New Roman"/>
          <w:bCs/>
          <w:color w:val="auto"/>
          <w:kern w:val="0"/>
          <w:sz w:val="24"/>
          <w:szCs w:val="24"/>
          <w:highlight w:val="none"/>
          <w:lang w:val="en-US" w:eastAsia="zh-CN" w:bidi="ar"/>
        </w:rPr>
        <w:t>.</w:t>
      </w:r>
      <w:r>
        <w:rPr>
          <w:rFonts w:hint="eastAsia" w:ascii="Times New Roman" w:hAnsi="Times New Roman" w:eastAsia="宋体" w:cs="Times New Roman"/>
          <w:bCs/>
          <w:color w:val="auto"/>
          <w:kern w:val="0"/>
          <w:sz w:val="24"/>
          <w:szCs w:val="24"/>
          <w:highlight w:val="none"/>
          <w:lang w:val="en-US" w:eastAsia="zh-CN" w:bidi="ar"/>
        </w:rPr>
        <w:t>2</w:t>
      </w:r>
      <w:r>
        <w:rPr>
          <w:rFonts w:hint="default" w:ascii="Times New Roman" w:hAnsi="Times New Roman" w:eastAsia="宋体" w:cs="Times New Roman"/>
          <w:bCs/>
          <w:color w:val="auto"/>
          <w:kern w:val="0"/>
          <w:sz w:val="24"/>
          <w:szCs w:val="24"/>
          <w:highlight w:val="none"/>
          <w:lang w:val="en-US" w:eastAsia="zh-CN" w:bidi="ar"/>
        </w:rPr>
        <w:t>-</w:t>
      </w:r>
      <w:r>
        <w:rPr>
          <w:rFonts w:hint="eastAsia" w:ascii="Times New Roman" w:hAnsi="Times New Roman" w:eastAsia="宋体" w:cs="Times New Roman"/>
          <w:bCs/>
          <w:color w:val="auto"/>
          <w:kern w:val="0"/>
          <w:sz w:val="24"/>
          <w:szCs w:val="24"/>
          <w:highlight w:val="none"/>
          <w:lang w:val="en-US" w:eastAsia="zh-CN" w:bidi="ar"/>
        </w:rPr>
        <w:t>3</w:t>
      </w:r>
      <w:r>
        <w:rPr>
          <w:rFonts w:hint="default" w:ascii="Times New Roman" w:hAnsi="Times New Roman" w:eastAsia="宋体" w:cs="Times New Roman"/>
          <w:bCs/>
          <w:color w:val="auto"/>
          <w:kern w:val="0"/>
          <w:sz w:val="24"/>
          <w:szCs w:val="24"/>
          <w:highlight w:val="none"/>
          <w:lang w:val="en-US" w:eastAsia="zh-CN" w:bidi="ar"/>
        </w:rPr>
        <w:t>。</w:t>
      </w:r>
    </w:p>
    <w:p w14:paraId="6B6B0FAA">
      <w:pPr>
        <w:pStyle w:val="19"/>
        <w:bidi w:val="0"/>
        <w:rPr>
          <w:rFonts w:hint="eastAsia"/>
          <w:color w:val="auto"/>
          <w:highlight w:val="none"/>
          <w:lang w:val="en-US" w:eastAsia="zh-CN"/>
        </w:rPr>
      </w:pPr>
      <w:r>
        <w:rPr>
          <w:rFonts w:hint="eastAsia"/>
          <w:color w:val="auto"/>
          <w:highlight w:val="none"/>
          <w:lang w:val="en-US" w:eastAsia="zh-CN"/>
        </w:rPr>
        <w:t>表4.2-3  本工程土地利用情况一览表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2878"/>
        <w:gridCol w:w="2131"/>
        <w:gridCol w:w="2131"/>
      </w:tblGrid>
      <w:tr w14:paraId="625B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08167CAF">
            <w:pPr>
              <w:pStyle w:val="17"/>
              <w:bidi w:val="0"/>
              <w:jc w:val="center"/>
              <w:rPr>
                <w:rFonts w:hint="default"/>
                <w:color w:val="auto"/>
                <w:highlight w:val="none"/>
                <w:lang w:val="en-US" w:eastAsia="zh-CN"/>
              </w:rPr>
            </w:pPr>
            <w:r>
              <w:rPr>
                <w:rFonts w:hint="eastAsia"/>
                <w:color w:val="auto"/>
                <w:highlight w:val="none"/>
                <w:lang w:val="en-US" w:eastAsia="zh-CN"/>
              </w:rPr>
              <w:t>序号</w:t>
            </w:r>
          </w:p>
        </w:tc>
        <w:tc>
          <w:tcPr>
            <w:tcW w:w="2878" w:type="dxa"/>
            <w:vAlign w:val="center"/>
          </w:tcPr>
          <w:p w14:paraId="4F6E1393">
            <w:pPr>
              <w:pStyle w:val="17"/>
              <w:bidi w:val="0"/>
              <w:jc w:val="center"/>
              <w:rPr>
                <w:rFonts w:hint="default"/>
                <w:color w:val="auto"/>
                <w:highlight w:val="none"/>
                <w:lang w:val="en-US" w:eastAsia="zh-CN"/>
              </w:rPr>
            </w:pPr>
            <w:r>
              <w:rPr>
                <w:rFonts w:hint="eastAsia"/>
                <w:color w:val="auto"/>
                <w:highlight w:val="none"/>
                <w:lang w:val="en-US" w:eastAsia="zh-CN"/>
              </w:rPr>
              <w:t>土地类型</w:t>
            </w:r>
          </w:p>
        </w:tc>
        <w:tc>
          <w:tcPr>
            <w:tcW w:w="2131" w:type="dxa"/>
            <w:vAlign w:val="center"/>
          </w:tcPr>
          <w:p w14:paraId="6AF6A0D5">
            <w:pPr>
              <w:pStyle w:val="17"/>
              <w:bidi w:val="0"/>
              <w:jc w:val="center"/>
              <w:rPr>
                <w:rFonts w:hint="default"/>
                <w:color w:val="auto"/>
                <w:highlight w:val="none"/>
                <w:lang w:val="en-US" w:eastAsia="zh-CN"/>
              </w:rPr>
            </w:pPr>
            <w:r>
              <w:rPr>
                <w:rFonts w:hint="eastAsia"/>
                <w:color w:val="auto"/>
                <w:highlight w:val="none"/>
                <w:lang w:val="en-US" w:eastAsia="zh-CN"/>
              </w:rPr>
              <w:t>面积（m</w:t>
            </w:r>
            <w:r>
              <w:rPr>
                <w:rFonts w:hint="eastAsia"/>
                <w:color w:val="auto"/>
                <w:highlight w:val="none"/>
                <w:vertAlign w:val="superscript"/>
                <w:lang w:val="en-US" w:eastAsia="zh-CN"/>
              </w:rPr>
              <w:t>2</w:t>
            </w:r>
            <w:r>
              <w:rPr>
                <w:rFonts w:hint="eastAsia"/>
                <w:color w:val="auto"/>
                <w:highlight w:val="none"/>
                <w:lang w:val="en-US" w:eastAsia="zh-CN"/>
              </w:rPr>
              <w:t>）</w:t>
            </w:r>
          </w:p>
        </w:tc>
        <w:tc>
          <w:tcPr>
            <w:tcW w:w="2131" w:type="dxa"/>
            <w:vAlign w:val="center"/>
          </w:tcPr>
          <w:p w14:paraId="3D1AEFDC">
            <w:pPr>
              <w:pStyle w:val="17"/>
              <w:bidi w:val="0"/>
              <w:jc w:val="center"/>
              <w:rPr>
                <w:rFonts w:hint="default"/>
                <w:color w:val="auto"/>
                <w:highlight w:val="none"/>
                <w:lang w:val="en-US" w:eastAsia="zh-CN"/>
              </w:rPr>
            </w:pPr>
            <w:r>
              <w:rPr>
                <w:rFonts w:hint="eastAsia"/>
                <w:color w:val="auto"/>
                <w:highlight w:val="none"/>
                <w:lang w:val="en-US" w:eastAsia="zh-CN"/>
              </w:rPr>
              <w:t>占总面积比例</w:t>
            </w:r>
          </w:p>
        </w:tc>
      </w:tr>
      <w:tr w14:paraId="14EF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27DCCF81">
            <w:pPr>
              <w:pStyle w:val="17"/>
              <w:bidi w:val="0"/>
              <w:jc w:val="center"/>
              <w:rPr>
                <w:rFonts w:hint="default"/>
                <w:color w:val="auto"/>
                <w:highlight w:val="none"/>
                <w:lang w:val="en-US" w:eastAsia="zh-CN"/>
              </w:rPr>
            </w:pPr>
            <w:r>
              <w:rPr>
                <w:rFonts w:hint="eastAsia"/>
                <w:color w:val="auto"/>
                <w:highlight w:val="none"/>
                <w:lang w:val="en-US" w:eastAsia="zh-CN"/>
              </w:rPr>
              <w:t>1</w:t>
            </w:r>
          </w:p>
        </w:tc>
        <w:tc>
          <w:tcPr>
            <w:tcW w:w="2878" w:type="dxa"/>
            <w:vAlign w:val="center"/>
          </w:tcPr>
          <w:p w14:paraId="2C9957D9">
            <w:pPr>
              <w:pStyle w:val="17"/>
              <w:bidi w:val="0"/>
              <w:jc w:val="center"/>
              <w:rPr>
                <w:rFonts w:hint="default"/>
                <w:color w:val="auto"/>
                <w:highlight w:val="none"/>
                <w:lang w:val="en-US" w:eastAsia="zh-CN"/>
              </w:rPr>
            </w:pPr>
            <w:r>
              <w:rPr>
                <w:rFonts w:hint="default"/>
                <w:color w:val="auto"/>
                <w:highlight w:val="none"/>
                <w:lang w:val="en-US" w:eastAsia="zh-CN"/>
              </w:rPr>
              <w:t>裸岩石砾地</w:t>
            </w:r>
          </w:p>
        </w:tc>
        <w:tc>
          <w:tcPr>
            <w:tcW w:w="2131" w:type="dxa"/>
            <w:vAlign w:val="center"/>
          </w:tcPr>
          <w:p w14:paraId="108F62ED">
            <w:pPr>
              <w:pStyle w:val="17"/>
              <w:bidi w:val="0"/>
              <w:ind w:firstLine="0" w:firstLineChars="0"/>
              <w:jc w:val="center"/>
              <w:rPr>
                <w:rFonts w:hint="default"/>
                <w:color w:val="auto"/>
                <w:highlight w:val="none"/>
                <w:lang w:val="en-US" w:eastAsia="zh-CN"/>
              </w:rPr>
            </w:pPr>
            <w:r>
              <w:rPr>
                <w:rFonts w:hint="eastAsia" w:cs="Times New Roman"/>
                <w:color w:val="auto"/>
                <w:kern w:val="2"/>
                <w:sz w:val="21"/>
                <w:szCs w:val="21"/>
                <w:highlight w:val="none"/>
                <w:lang w:val="en-US" w:eastAsia="zh-CN" w:bidi="ar-SA"/>
              </w:rPr>
              <w:t>31976328</w:t>
            </w:r>
          </w:p>
        </w:tc>
        <w:tc>
          <w:tcPr>
            <w:tcW w:w="2131" w:type="dxa"/>
            <w:vAlign w:val="center"/>
          </w:tcPr>
          <w:p w14:paraId="0D67AD75">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95.56%</w:t>
            </w:r>
          </w:p>
        </w:tc>
      </w:tr>
      <w:tr w14:paraId="3078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007A3490">
            <w:pPr>
              <w:pStyle w:val="17"/>
              <w:bidi w:val="0"/>
              <w:jc w:val="center"/>
              <w:rPr>
                <w:rFonts w:hint="default"/>
                <w:color w:val="auto"/>
                <w:highlight w:val="none"/>
                <w:lang w:val="en-US" w:eastAsia="zh-CN"/>
              </w:rPr>
            </w:pPr>
            <w:r>
              <w:rPr>
                <w:rFonts w:hint="eastAsia"/>
                <w:color w:val="auto"/>
                <w:highlight w:val="none"/>
                <w:lang w:val="en-US" w:eastAsia="zh-CN"/>
              </w:rPr>
              <w:t>2</w:t>
            </w:r>
          </w:p>
        </w:tc>
        <w:tc>
          <w:tcPr>
            <w:tcW w:w="2878" w:type="dxa"/>
            <w:shd w:val="clear" w:color="auto" w:fill="auto"/>
            <w:vAlign w:val="center"/>
          </w:tcPr>
          <w:p w14:paraId="0F574CB0">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工业用地</w:t>
            </w:r>
          </w:p>
        </w:tc>
        <w:tc>
          <w:tcPr>
            <w:tcW w:w="2131" w:type="dxa"/>
            <w:shd w:val="clear" w:color="auto" w:fill="auto"/>
            <w:vAlign w:val="center"/>
          </w:tcPr>
          <w:p w14:paraId="7BC32567">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463398</w:t>
            </w:r>
          </w:p>
        </w:tc>
        <w:tc>
          <w:tcPr>
            <w:tcW w:w="2131" w:type="dxa"/>
            <w:shd w:val="clear" w:color="auto" w:fill="auto"/>
            <w:vAlign w:val="center"/>
          </w:tcPr>
          <w:p w14:paraId="424BCC1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1.38%</w:t>
            </w:r>
          </w:p>
        </w:tc>
      </w:tr>
      <w:tr w14:paraId="7C81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6744144E">
            <w:pPr>
              <w:pStyle w:val="17"/>
              <w:bidi w:val="0"/>
              <w:jc w:val="center"/>
              <w:rPr>
                <w:rFonts w:hint="default"/>
                <w:color w:val="auto"/>
                <w:highlight w:val="none"/>
                <w:lang w:val="en-US" w:eastAsia="zh-CN"/>
              </w:rPr>
            </w:pPr>
            <w:r>
              <w:rPr>
                <w:rFonts w:hint="eastAsia"/>
                <w:color w:val="auto"/>
                <w:highlight w:val="none"/>
                <w:lang w:val="en-US" w:eastAsia="zh-CN"/>
              </w:rPr>
              <w:t>3</w:t>
            </w:r>
          </w:p>
        </w:tc>
        <w:tc>
          <w:tcPr>
            <w:tcW w:w="2878" w:type="dxa"/>
            <w:shd w:val="clear" w:color="auto" w:fill="auto"/>
            <w:vAlign w:val="center"/>
          </w:tcPr>
          <w:p w14:paraId="2D94B823">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采矿用地</w:t>
            </w:r>
          </w:p>
        </w:tc>
        <w:tc>
          <w:tcPr>
            <w:tcW w:w="2131" w:type="dxa"/>
            <w:shd w:val="clear" w:color="auto" w:fill="auto"/>
            <w:vAlign w:val="center"/>
          </w:tcPr>
          <w:p w14:paraId="78A4AC29">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1020000</w:t>
            </w:r>
          </w:p>
        </w:tc>
        <w:tc>
          <w:tcPr>
            <w:tcW w:w="2131" w:type="dxa"/>
            <w:shd w:val="clear" w:color="auto" w:fill="auto"/>
            <w:vAlign w:val="center"/>
          </w:tcPr>
          <w:p w14:paraId="52E4F24A">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3.06%</w:t>
            </w:r>
          </w:p>
        </w:tc>
      </w:tr>
      <w:tr w14:paraId="73B6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60" w:type="dxa"/>
            <w:gridSpan w:val="2"/>
            <w:vAlign w:val="center"/>
          </w:tcPr>
          <w:p w14:paraId="7D598029">
            <w:pPr>
              <w:pStyle w:val="17"/>
              <w:bidi w:val="0"/>
              <w:jc w:val="center"/>
              <w:rPr>
                <w:rFonts w:hint="default"/>
                <w:color w:val="auto"/>
                <w:highlight w:val="none"/>
                <w:lang w:val="en-US" w:eastAsia="zh-CN"/>
              </w:rPr>
            </w:pPr>
            <w:r>
              <w:rPr>
                <w:rFonts w:hint="eastAsia"/>
                <w:color w:val="auto"/>
                <w:highlight w:val="none"/>
                <w:lang w:val="en-US" w:eastAsia="zh-CN"/>
              </w:rPr>
              <w:t>合计</w:t>
            </w:r>
          </w:p>
        </w:tc>
        <w:tc>
          <w:tcPr>
            <w:tcW w:w="2131" w:type="dxa"/>
            <w:vAlign w:val="center"/>
          </w:tcPr>
          <w:p w14:paraId="4ACC6013">
            <w:pPr>
              <w:pStyle w:val="17"/>
              <w:bidi w:val="0"/>
              <w:jc w:val="center"/>
              <w:rPr>
                <w:rFonts w:hint="default"/>
                <w:color w:val="auto"/>
                <w:highlight w:val="none"/>
                <w:lang w:val="en-US" w:eastAsia="zh-CN"/>
              </w:rPr>
            </w:pPr>
            <w:r>
              <w:rPr>
                <w:rFonts w:hint="eastAsia"/>
                <w:color w:val="auto"/>
                <w:highlight w:val="none"/>
                <w:lang w:val="en-US" w:eastAsia="zh-CN"/>
              </w:rPr>
              <w:t>33459726</w:t>
            </w:r>
          </w:p>
        </w:tc>
        <w:tc>
          <w:tcPr>
            <w:tcW w:w="2131" w:type="dxa"/>
            <w:vAlign w:val="center"/>
          </w:tcPr>
          <w:p w14:paraId="00115A52">
            <w:pPr>
              <w:pStyle w:val="17"/>
              <w:bidi w:val="0"/>
              <w:jc w:val="center"/>
              <w:rPr>
                <w:rFonts w:hint="default"/>
                <w:color w:val="auto"/>
                <w:highlight w:val="none"/>
                <w:lang w:val="en-US" w:eastAsia="zh-CN"/>
              </w:rPr>
            </w:pPr>
            <w:r>
              <w:rPr>
                <w:rFonts w:hint="eastAsia"/>
                <w:color w:val="auto"/>
                <w:highlight w:val="none"/>
                <w:lang w:val="en-US" w:eastAsia="zh-CN"/>
              </w:rPr>
              <w:t>100%</w:t>
            </w:r>
          </w:p>
        </w:tc>
      </w:tr>
    </w:tbl>
    <w:p w14:paraId="6E9E76E5">
      <w:pPr>
        <w:keepNext w:val="0"/>
        <w:keepLines w:val="0"/>
        <w:widowControl/>
        <w:suppressLineNumbers w:val="0"/>
        <w:jc w:val="left"/>
        <w:rPr>
          <w:color w:val="auto"/>
          <w:highlight w:val="none"/>
        </w:rPr>
      </w:pPr>
      <w:r>
        <w:rPr>
          <w:rFonts w:hint="eastAsia" w:ascii="宋体" w:hAnsi="宋体" w:eastAsia="宋体" w:cs="宋体"/>
          <w:bCs/>
          <w:color w:val="auto"/>
          <w:kern w:val="0"/>
          <w:sz w:val="24"/>
          <w:szCs w:val="24"/>
          <w:highlight w:val="none"/>
          <w:lang w:val="en-US" w:eastAsia="zh-CN" w:bidi="ar"/>
        </w:rPr>
        <w:t>本项目生态评价范围内土地利用类型均以</w:t>
      </w:r>
      <w:r>
        <w:rPr>
          <w:rFonts w:hint="default"/>
          <w:color w:val="auto"/>
          <w:highlight w:val="none"/>
          <w:lang w:val="en-US" w:eastAsia="zh-CN"/>
        </w:rPr>
        <w:t>裸岩石砾地</w:t>
      </w:r>
      <w:r>
        <w:rPr>
          <w:rFonts w:hint="eastAsia"/>
          <w:color w:val="auto"/>
          <w:highlight w:val="none"/>
          <w:lang w:val="en-US" w:eastAsia="zh-CN"/>
        </w:rPr>
        <w:t>为主</w:t>
      </w:r>
      <w:r>
        <w:rPr>
          <w:rFonts w:hint="eastAsia" w:ascii="宋体" w:hAnsi="宋体" w:eastAsia="宋体" w:cs="宋体"/>
          <w:bCs/>
          <w:color w:val="auto"/>
          <w:kern w:val="0"/>
          <w:sz w:val="24"/>
          <w:szCs w:val="24"/>
          <w:highlight w:val="none"/>
          <w:lang w:val="en-US" w:eastAsia="zh-CN" w:bidi="ar"/>
        </w:rPr>
        <w:t>，</w:t>
      </w:r>
      <w:r>
        <w:rPr>
          <w:rFonts w:hint="eastAsia"/>
          <w:color w:val="auto"/>
          <w:highlight w:val="none"/>
          <w:lang w:val="en-US" w:eastAsia="zh-CN"/>
        </w:rPr>
        <w:t>工程占地均为工业用地和采矿用地</w:t>
      </w:r>
      <w:r>
        <w:rPr>
          <w:rFonts w:hint="eastAsia" w:ascii="宋体" w:hAnsi="宋体" w:eastAsia="宋体" w:cs="宋体"/>
          <w:bCs/>
          <w:color w:val="auto"/>
          <w:kern w:val="0"/>
          <w:sz w:val="24"/>
          <w:szCs w:val="24"/>
          <w:highlight w:val="none"/>
          <w:lang w:val="en-US" w:eastAsia="zh-CN" w:bidi="ar"/>
        </w:rPr>
        <w:t>。</w:t>
      </w:r>
    </w:p>
    <w:p w14:paraId="74E098F7">
      <w:pPr>
        <w:pStyle w:val="7"/>
        <w:bidi w:val="0"/>
        <w:rPr>
          <w:rFonts w:hint="default"/>
          <w:color w:val="auto"/>
          <w:highlight w:val="none"/>
          <w:lang w:val="en-US" w:eastAsia="zh-CN"/>
        </w:rPr>
      </w:pPr>
      <w:r>
        <w:rPr>
          <w:rFonts w:hint="eastAsia"/>
          <w:color w:val="auto"/>
          <w:highlight w:val="none"/>
          <w:lang w:val="en-US" w:eastAsia="zh-CN"/>
        </w:rPr>
        <w:t>4.2.6.3生态系统现状调查</w:t>
      </w:r>
    </w:p>
    <w:p w14:paraId="247BB67E">
      <w:pPr>
        <w:bidi w:val="0"/>
        <w:rPr>
          <w:rFonts w:hint="default"/>
          <w:color w:val="auto"/>
          <w:highlight w:val="none"/>
          <w:lang w:val="en-US" w:eastAsia="zh-CN"/>
        </w:rPr>
      </w:pPr>
      <w:r>
        <w:rPr>
          <w:rFonts w:hint="default"/>
          <w:color w:val="auto"/>
          <w:highlight w:val="none"/>
          <w:lang w:val="en-US" w:eastAsia="zh-CN"/>
        </w:rPr>
        <w:t>生态系统是指在一定时空范围内，由生物群落中的一切有机体与其环境组成的具有一定结构和功能的综合统一体。生态系统多样性分析是在陆生动植物生态调查、分析评价的基础上，运用生态学原理进行的由此及彼、由表及里、由局部到整体的综合研究过程。进行生态系统分析主要是为了深入认识生态系统的内在本质和外在表征，明确区域主要生态环境问题，认识评价区域不同生态系统之间和各生态因子间的相互关系，分析区域资源优势，以及生态环境与社会经济的相互联系等等，从而为进一步的评价工作奠定基础。</w:t>
      </w:r>
    </w:p>
    <w:p w14:paraId="0F4D0CB9">
      <w:pPr>
        <w:bidi w:val="0"/>
        <w:rPr>
          <w:rFonts w:hint="eastAsia"/>
          <w:color w:val="auto"/>
          <w:highlight w:val="none"/>
          <w:lang w:val="en-US" w:eastAsia="zh-CN"/>
        </w:rPr>
      </w:pPr>
      <w:r>
        <w:rPr>
          <w:rFonts w:hint="eastAsia"/>
          <w:color w:val="auto"/>
          <w:highlight w:val="none"/>
          <w:lang w:val="en-US" w:eastAsia="zh-CN"/>
        </w:rPr>
        <w:t>（1）生态系统类型及组成分析</w:t>
      </w:r>
    </w:p>
    <w:p w14:paraId="32AFE5CE">
      <w:pPr>
        <w:bidi w:val="0"/>
        <w:rPr>
          <w:rFonts w:hint="eastAsia"/>
          <w:color w:val="auto"/>
          <w:highlight w:val="none"/>
          <w:lang w:val="en-US" w:eastAsia="zh-CN"/>
        </w:rPr>
      </w:pPr>
      <w:r>
        <w:rPr>
          <w:rFonts w:hint="default"/>
          <w:color w:val="auto"/>
          <w:highlight w:val="none"/>
          <w:lang w:val="en-US" w:eastAsia="zh-CN"/>
        </w:rPr>
        <w:t>按照《全国生态状况调查评估技术规范—生态系统遥感解译与野外核查》（HJ 1166-2021），依据评价区的自然地理条件和植被资源情况，评价区生态系统类型</w:t>
      </w:r>
      <w:r>
        <w:rPr>
          <w:rFonts w:hint="eastAsia"/>
          <w:color w:val="auto"/>
          <w:highlight w:val="none"/>
          <w:lang w:val="en-US" w:eastAsia="zh-CN"/>
        </w:rPr>
        <w:t>主要为城镇生态系统和裸地生态系统</w:t>
      </w:r>
      <w:r>
        <w:rPr>
          <w:rFonts w:hint="default"/>
          <w:color w:val="auto"/>
          <w:highlight w:val="none"/>
          <w:lang w:val="en-US" w:eastAsia="zh-CN"/>
        </w:rPr>
        <w:t>，</w:t>
      </w:r>
      <w:r>
        <w:rPr>
          <w:rFonts w:hint="eastAsia"/>
          <w:color w:val="auto"/>
          <w:highlight w:val="none"/>
          <w:lang w:val="en-US" w:eastAsia="zh-CN"/>
        </w:rPr>
        <w:t>评价范围内生态系统类型及面积见下表，评价范围内生态系统分布情况见表4.2-17。</w:t>
      </w:r>
    </w:p>
    <w:p w14:paraId="63262D73">
      <w:pPr>
        <w:pStyle w:val="19"/>
        <w:bidi w:val="0"/>
        <w:rPr>
          <w:rFonts w:hint="eastAsia"/>
          <w:color w:val="auto"/>
          <w:highlight w:val="none"/>
          <w:lang w:val="en-US" w:eastAsia="zh-CN"/>
        </w:rPr>
      </w:pPr>
      <w:r>
        <w:rPr>
          <w:rFonts w:hint="eastAsia"/>
          <w:color w:val="auto"/>
          <w:highlight w:val="none"/>
          <w:lang w:val="en-US" w:eastAsia="zh-CN"/>
        </w:rPr>
        <w:t>表4.2-17   生态评价范围内生态系统类型及面积示意表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2878"/>
        <w:gridCol w:w="2131"/>
        <w:gridCol w:w="2131"/>
      </w:tblGrid>
      <w:tr w14:paraId="6921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1DDD0799">
            <w:pPr>
              <w:pStyle w:val="17"/>
              <w:bidi w:val="0"/>
              <w:jc w:val="center"/>
              <w:rPr>
                <w:rFonts w:hint="default"/>
                <w:color w:val="auto"/>
                <w:highlight w:val="none"/>
                <w:lang w:val="en-US" w:eastAsia="zh-CN"/>
              </w:rPr>
            </w:pPr>
            <w:r>
              <w:rPr>
                <w:rFonts w:hint="eastAsia"/>
                <w:color w:val="auto"/>
                <w:highlight w:val="none"/>
                <w:lang w:val="en-US" w:eastAsia="zh-CN"/>
              </w:rPr>
              <w:t>序号</w:t>
            </w:r>
          </w:p>
        </w:tc>
        <w:tc>
          <w:tcPr>
            <w:tcW w:w="2878" w:type="dxa"/>
            <w:vAlign w:val="center"/>
          </w:tcPr>
          <w:p w14:paraId="68356BDA">
            <w:pPr>
              <w:pStyle w:val="17"/>
              <w:bidi w:val="0"/>
              <w:jc w:val="center"/>
              <w:rPr>
                <w:rFonts w:hint="default"/>
                <w:color w:val="auto"/>
                <w:highlight w:val="none"/>
                <w:lang w:val="en-US" w:eastAsia="zh-CN"/>
              </w:rPr>
            </w:pPr>
            <w:r>
              <w:rPr>
                <w:rFonts w:hint="eastAsia"/>
                <w:color w:val="auto"/>
                <w:highlight w:val="none"/>
                <w:lang w:val="en-US" w:eastAsia="zh-CN"/>
              </w:rPr>
              <w:t>系统类型</w:t>
            </w:r>
          </w:p>
        </w:tc>
        <w:tc>
          <w:tcPr>
            <w:tcW w:w="2131" w:type="dxa"/>
            <w:vAlign w:val="center"/>
          </w:tcPr>
          <w:p w14:paraId="66B3A755">
            <w:pPr>
              <w:pStyle w:val="17"/>
              <w:bidi w:val="0"/>
              <w:jc w:val="center"/>
              <w:rPr>
                <w:rFonts w:hint="default"/>
                <w:color w:val="auto"/>
                <w:highlight w:val="none"/>
                <w:lang w:val="en-US" w:eastAsia="zh-CN"/>
              </w:rPr>
            </w:pPr>
            <w:r>
              <w:rPr>
                <w:rFonts w:hint="eastAsia"/>
                <w:color w:val="auto"/>
                <w:highlight w:val="none"/>
                <w:lang w:val="en-US" w:eastAsia="zh-CN"/>
              </w:rPr>
              <w:t>面积（m</w:t>
            </w:r>
            <w:r>
              <w:rPr>
                <w:rFonts w:hint="eastAsia"/>
                <w:color w:val="auto"/>
                <w:highlight w:val="none"/>
                <w:vertAlign w:val="superscript"/>
                <w:lang w:val="en-US" w:eastAsia="zh-CN"/>
              </w:rPr>
              <w:t>2</w:t>
            </w:r>
            <w:r>
              <w:rPr>
                <w:rFonts w:hint="eastAsia"/>
                <w:color w:val="auto"/>
                <w:highlight w:val="none"/>
                <w:lang w:val="en-US" w:eastAsia="zh-CN"/>
              </w:rPr>
              <w:t>）</w:t>
            </w:r>
          </w:p>
        </w:tc>
        <w:tc>
          <w:tcPr>
            <w:tcW w:w="2131" w:type="dxa"/>
            <w:vAlign w:val="center"/>
          </w:tcPr>
          <w:p w14:paraId="72AC0E98">
            <w:pPr>
              <w:pStyle w:val="17"/>
              <w:bidi w:val="0"/>
              <w:jc w:val="center"/>
              <w:rPr>
                <w:rFonts w:hint="default"/>
                <w:color w:val="auto"/>
                <w:highlight w:val="none"/>
                <w:lang w:val="en-US" w:eastAsia="zh-CN"/>
              </w:rPr>
            </w:pPr>
            <w:r>
              <w:rPr>
                <w:rFonts w:hint="eastAsia"/>
                <w:color w:val="auto"/>
                <w:highlight w:val="none"/>
                <w:lang w:val="en-US" w:eastAsia="zh-CN"/>
              </w:rPr>
              <w:t>占总面积比例</w:t>
            </w:r>
          </w:p>
        </w:tc>
      </w:tr>
      <w:tr w14:paraId="40C7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514A7708">
            <w:pPr>
              <w:pStyle w:val="17"/>
              <w:bidi w:val="0"/>
              <w:jc w:val="center"/>
              <w:rPr>
                <w:rFonts w:hint="default"/>
                <w:color w:val="auto"/>
                <w:highlight w:val="none"/>
                <w:lang w:val="en-US" w:eastAsia="zh-CN"/>
              </w:rPr>
            </w:pPr>
            <w:r>
              <w:rPr>
                <w:rFonts w:hint="eastAsia"/>
                <w:color w:val="auto"/>
                <w:highlight w:val="none"/>
                <w:lang w:val="en-US" w:eastAsia="zh-CN"/>
              </w:rPr>
              <w:t>1</w:t>
            </w:r>
          </w:p>
        </w:tc>
        <w:tc>
          <w:tcPr>
            <w:tcW w:w="2878" w:type="dxa"/>
            <w:vAlign w:val="center"/>
          </w:tcPr>
          <w:p w14:paraId="2F5844F6">
            <w:pPr>
              <w:pStyle w:val="17"/>
              <w:bidi w:val="0"/>
              <w:jc w:val="center"/>
              <w:rPr>
                <w:rFonts w:hint="default"/>
                <w:color w:val="auto"/>
                <w:highlight w:val="none"/>
                <w:lang w:val="en-US" w:eastAsia="zh-CN"/>
              </w:rPr>
            </w:pPr>
            <w:r>
              <w:rPr>
                <w:rFonts w:hint="eastAsia"/>
                <w:color w:val="auto"/>
                <w:highlight w:val="none"/>
                <w:lang w:val="en-US" w:eastAsia="zh-CN"/>
              </w:rPr>
              <w:t>城镇生态系统-工矿交通</w:t>
            </w:r>
          </w:p>
        </w:tc>
        <w:tc>
          <w:tcPr>
            <w:tcW w:w="2131" w:type="dxa"/>
            <w:shd w:val="clear" w:color="auto" w:fill="auto"/>
            <w:vAlign w:val="center"/>
          </w:tcPr>
          <w:p w14:paraId="0DD2A136">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1483398</w:t>
            </w:r>
          </w:p>
        </w:tc>
        <w:tc>
          <w:tcPr>
            <w:tcW w:w="2131" w:type="dxa"/>
            <w:vAlign w:val="center"/>
          </w:tcPr>
          <w:p w14:paraId="097D402C">
            <w:pPr>
              <w:pStyle w:val="17"/>
              <w:bidi w:val="0"/>
              <w:jc w:val="center"/>
              <w:rPr>
                <w:rFonts w:hint="default"/>
                <w:color w:val="auto"/>
                <w:highlight w:val="none"/>
                <w:lang w:val="en-US" w:eastAsia="zh-CN"/>
              </w:rPr>
            </w:pPr>
            <w:r>
              <w:rPr>
                <w:rFonts w:hint="eastAsia"/>
                <w:color w:val="auto"/>
                <w:highlight w:val="none"/>
                <w:lang w:val="en-US" w:eastAsia="zh-CN"/>
              </w:rPr>
              <w:t>4.44%</w:t>
            </w:r>
          </w:p>
        </w:tc>
      </w:tr>
      <w:tr w14:paraId="4FAE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2" w:type="dxa"/>
            <w:vAlign w:val="center"/>
          </w:tcPr>
          <w:p w14:paraId="6ADF0524">
            <w:pPr>
              <w:pStyle w:val="17"/>
              <w:bidi w:val="0"/>
              <w:jc w:val="center"/>
              <w:rPr>
                <w:rFonts w:hint="default"/>
                <w:color w:val="auto"/>
                <w:highlight w:val="none"/>
                <w:lang w:val="en-US" w:eastAsia="zh-CN"/>
              </w:rPr>
            </w:pPr>
            <w:r>
              <w:rPr>
                <w:rFonts w:hint="eastAsia"/>
                <w:color w:val="auto"/>
                <w:highlight w:val="none"/>
                <w:lang w:val="en-US" w:eastAsia="zh-CN"/>
              </w:rPr>
              <w:t>2</w:t>
            </w:r>
          </w:p>
        </w:tc>
        <w:tc>
          <w:tcPr>
            <w:tcW w:w="2878" w:type="dxa"/>
            <w:shd w:val="clear" w:color="auto" w:fill="auto"/>
            <w:vAlign w:val="center"/>
          </w:tcPr>
          <w:p w14:paraId="7C33F025">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其他-裸地生态系统</w:t>
            </w:r>
          </w:p>
        </w:tc>
        <w:tc>
          <w:tcPr>
            <w:tcW w:w="2131" w:type="dxa"/>
            <w:shd w:val="clear" w:color="auto" w:fill="auto"/>
            <w:vAlign w:val="center"/>
          </w:tcPr>
          <w:p w14:paraId="4CD1E9EC">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31976328</w:t>
            </w:r>
          </w:p>
        </w:tc>
        <w:tc>
          <w:tcPr>
            <w:tcW w:w="2131" w:type="dxa"/>
            <w:shd w:val="clear" w:color="auto" w:fill="auto"/>
            <w:vAlign w:val="center"/>
          </w:tcPr>
          <w:p w14:paraId="54C7DC8D">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95.56%</w:t>
            </w:r>
          </w:p>
        </w:tc>
      </w:tr>
      <w:tr w14:paraId="0194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60" w:type="dxa"/>
            <w:gridSpan w:val="2"/>
            <w:vAlign w:val="center"/>
          </w:tcPr>
          <w:p w14:paraId="502A38A3">
            <w:pPr>
              <w:pStyle w:val="17"/>
              <w:bidi w:val="0"/>
              <w:jc w:val="center"/>
              <w:rPr>
                <w:rFonts w:hint="default"/>
                <w:color w:val="auto"/>
                <w:highlight w:val="none"/>
                <w:lang w:val="en-US" w:eastAsia="zh-CN"/>
              </w:rPr>
            </w:pPr>
            <w:r>
              <w:rPr>
                <w:rFonts w:hint="eastAsia"/>
                <w:color w:val="auto"/>
                <w:highlight w:val="none"/>
                <w:lang w:val="en-US" w:eastAsia="zh-CN"/>
              </w:rPr>
              <w:t>合计</w:t>
            </w:r>
          </w:p>
        </w:tc>
        <w:tc>
          <w:tcPr>
            <w:tcW w:w="2131" w:type="dxa"/>
            <w:vAlign w:val="center"/>
          </w:tcPr>
          <w:p w14:paraId="0ABE9BB7">
            <w:pPr>
              <w:pStyle w:val="17"/>
              <w:bidi w:val="0"/>
              <w:jc w:val="center"/>
              <w:rPr>
                <w:rFonts w:hint="default"/>
                <w:color w:val="auto"/>
                <w:highlight w:val="none"/>
                <w:lang w:val="en-US" w:eastAsia="zh-CN"/>
              </w:rPr>
            </w:pPr>
            <w:r>
              <w:rPr>
                <w:rFonts w:hint="eastAsia"/>
                <w:color w:val="auto"/>
                <w:highlight w:val="none"/>
                <w:lang w:val="en-US" w:eastAsia="zh-CN"/>
              </w:rPr>
              <w:t>33459726</w:t>
            </w:r>
          </w:p>
        </w:tc>
        <w:tc>
          <w:tcPr>
            <w:tcW w:w="2131" w:type="dxa"/>
            <w:vAlign w:val="center"/>
          </w:tcPr>
          <w:p w14:paraId="7540BA13">
            <w:pPr>
              <w:pStyle w:val="17"/>
              <w:bidi w:val="0"/>
              <w:jc w:val="center"/>
              <w:rPr>
                <w:rFonts w:hint="default"/>
                <w:color w:val="auto"/>
                <w:highlight w:val="none"/>
                <w:lang w:val="en-US" w:eastAsia="zh-CN"/>
              </w:rPr>
            </w:pPr>
            <w:r>
              <w:rPr>
                <w:rFonts w:hint="eastAsia"/>
                <w:color w:val="auto"/>
                <w:highlight w:val="none"/>
                <w:lang w:val="en-US" w:eastAsia="zh-CN"/>
              </w:rPr>
              <w:t>100%</w:t>
            </w:r>
          </w:p>
        </w:tc>
      </w:tr>
    </w:tbl>
    <w:p w14:paraId="3D89E167">
      <w:pPr>
        <w:bidi w:val="0"/>
        <w:rPr>
          <w:rFonts w:hint="default"/>
          <w:color w:val="auto"/>
          <w:highlight w:val="none"/>
          <w:lang w:val="en-US" w:eastAsia="zh-CN"/>
        </w:rPr>
      </w:pPr>
      <w:r>
        <w:rPr>
          <w:rFonts w:hint="default"/>
          <w:color w:val="auto"/>
          <w:highlight w:val="none"/>
          <w:lang w:val="en-US" w:eastAsia="zh-CN"/>
        </w:rPr>
        <w:t>①</w:t>
      </w:r>
      <w:r>
        <w:rPr>
          <w:rFonts w:hint="eastAsia"/>
          <w:color w:val="auto"/>
          <w:highlight w:val="none"/>
          <w:lang w:val="en-US" w:eastAsia="zh-CN"/>
        </w:rPr>
        <w:t>其他-裸地</w:t>
      </w:r>
      <w:r>
        <w:rPr>
          <w:rFonts w:hint="default"/>
          <w:color w:val="auto"/>
          <w:highlight w:val="none"/>
          <w:lang w:val="en-US" w:eastAsia="zh-CN"/>
        </w:rPr>
        <w:t>生态系统</w:t>
      </w:r>
    </w:p>
    <w:p w14:paraId="50B51A03">
      <w:pPr>
        <w:bidi w:val="0"/>
        <w:rPr>
          <w:rFonts w:hint="default"/>
          <w:color w:val="auto"/>
          <w:highlight w:val="none"/>
          <w:lang w:val="en-US" w:eastAsia="zh-CN"/>
        </w:rPr>
      </w:pPr>
      <w:r>
        <w:rPr>
          <w:rFonts w:hint="default"/>
          <w:color w:val="auto"/>
          <w:highlight w:val="none"/>
          <w:lang w:val="en-US" w:eastAsia="zh-CN"/>
        </w:rPr>
        <w:t>裸地生态系统主要指地表缺乏持续性植被覆盖，土壤裸露或仅存零星低等生物的自然或人为干扰区域。这类生态系统广泛分布于干旱区、高寒地带、火山活动区、采矿迹地、工程建设区等环境严酷或受高强度人类干扰的区域，具有独特的生态特征与环境敏感性。</w:t>
      </w:r>
    </w:p>
    <w:p w14:paraId="5EDC023D">
      <w:pPr>
        <w:bidi w:val="0"/>
        <w:rPr>
          <w:rFonts w:hint="default"/>
          <w:color w:val="auto"/>
          <w:sz w:val="24"/>
          <w:szCs w:val="24"/>
          <w:highlight w:val="none"/>
          <w:lang w:val="en-US" w:eastAsia="zh-CN"/>
        </w:rPr>
      </w:pPr>
      <w:r>
        <w:rPr>
          <w:rFonts w:hint="eastAsia"/>
          <w:color w:val="auto"/>
          <w:highlight w:val="none"/>
          <w:lang w:val="en-US" w:eastAsia="zh-CN"/>
        </w:rPr>
        <w:t>项目评价范围内裸地生态系</w:t>
      </w:r>
      <w:r>
        <w:rPr>
          <w:rFonts w:hint="eastAsia"/>
          <w:color w:val="auto"/>
          <w:sz w:val="24"/>
          <w:szCs w:val="24"/>
          <w:highlight w:val="none"/>
          <w:lang w:val="en-US" w:eastAsia="zh-CN"/>
        </w:rPr>
        <w:t>统面积为</w:t>
      </w:r>
      <w:r>
        <w:rPr>
          <w:rFonts w:hint="eastAsia"/>
          <w:color w:val="auto"/>
          <w:highlight w:val="none"/>
          <w:lang w:val="en-US" w:eastAsia="zh-CN"/>
        </w:rPr>
        <w:t>31976328</w:t>
      </w:r>
      <w:r>
        <w:rPr>
          <w:rFonts w:hint="eastAsia" w:cs="Times New Roman"/>
          <w:color w:val="auto"/>
          <w:kern w:val="2"/>
          <w:sz w:val="24"/>
          <w:szCs w:val="24"/>
          <w:highlight w:val="none"/>
          <w:lang w:val="en-US" w:eastAsia="zh-CN" w:bidi="ar-SA"/>
        </w:rPr>
        <w:t>m</w:t>
      </w:r>
      <w:r>
        <w:rPr>
          <w:rFonts w:hint="eastAsia" w:cs="Times New Roman"/>
          <w:color w:val="auto"/>
          <w:kern w:val="2"/>
          <w:sz w:val="24"/>
          <w:szCs w:val="24"/>
          <w:highlight w:val="none"/>
          <w:vertAlign w:val="superscript"/>
          <w:lang w:val="en-US" w:eastAsia="zh-CN" w:bidi="ar-SA"/>
        </w:rPr>
        <w:t>2</w:t>
      </w:r>
      <w:r>
        <w:rPr>
          <w:rFonts w:hint="eastAsia"/>
          <w:color w:val="auto"/>
          <w:sz w:val="24"/>
          <w:szCs w:val="24"/>
          <w:highlight w:val="none"/>
          <w:lang w:val="en-US" w:eastAsia="zh-CN"/>
        </w:rPr>
        <w:t>，占评价范围的95.56%，占比较大，是项目评价范围内的主要生态系统。</w:t>
      </w:r>
    </w:p>
    <w:p w14:paraId="19437F6E">
      <w:pPr>
        <w:bidi w:val="0"/>
        <w:rPr>
          <w:rFonts w:hint="default"/>
          <w:color w:val="auto"/>
          <w:highlight w:val="none"/>
          <w:lang w:val="en-US" w:eastAsia="zh-CN"/>
        </w:rPr>
      </w:pPr>
      <w:r>
        <w:rPr>
          <w:rFonts w:hint="default"/>
          <w:color w:val="auto"/>
          <w:highlight w:val="none"/>
          <w:lang w:val="en-US" w:eastAsia="zh-CN"/>
        </w:rPr>
        <w:t>②</w:t>
      </w:r>
      <w:r>
        <w:rPr>
          <w:rFonts w:hint="eastAsia"/>
          <w:color w:val="auto"/>
          <w:highlight w:val="none"/>
          <w:lang w:val="en-US" w:eastAsia="zh-CN"/>
        </w:rPr>
        <w:t>城镇生态系统-工矿交通</w:t>
      </w:r>
    </w:p>
    <w:p w14:paraId="02431F83">
      <w:pPr>
        <w:bidi w:val="0"/>
        <w:rPr>
          <w:rFonts w:hint="default"/>
          <w:color w:val="auto"/>
          <w:highlight w:val="none"/>
          <w:lang w:val="en-US" w:eastAsia="zh-CN"/>
        </w:rPr>
      </w:pPr>
      <w:r>
        <w:rPr>
          <w:rFonts w:hint="eastAsia"/>
          <w:color w:val="auto"/>
          <w:highlight w:val="none"/>
          <w:lang w:val="en-US" w:eastAsia="zh-CN"/>
        </w:rPr>
        <w:t>城镇生态系统-工矿交通是指人工挖掘表面和人工硬表面，工矿用地、交通用地，这类生态系统受人类活动干扰，</w:t>
      </w:r>
      <w:r>
        <w:rPr>
          <w:rFonts w:hint="default"/>
          <w:color w:val="auto"/>
          <w:highlight w:val="none"/>
          <w:lang w:val="en-US" w:eastAsia="zh-CN"/>
        </w:rPr>
        <w:t>以不透水硬化、地表扰动、无自然覆盖为主要特征</w:t>
      </w:r>
      <w:r>
        <w:rPr>
          <w:rFonts w:hint="eastAsia"/>
          <w:color w:val="auto"/>
          <w:highlight w:val="none"/>
          <w:lang w:val="en-US" w:eastAsia="zh-CN"/>
        </w:rPr>
        <w:t>。本项目采选工程已基本建设完成，工程占地均已转变为城镇生态系统。</w:t>
      </w:r>
    </w:p>
    <w:p w14:paraId="42A87F0C">
      <w:pPr>
        <w:pStyle w:val="7"/>
        <w:ind w:firstLine="482"/>
        <w:rPr>
          <w:color w:val="auto"/>
          <w:highlight w:val="none"/>
          <w:lang w:val="de-DE"/>
        </w:rPr>
      </w:pPr>
      <w:r>
        <w:rPr>
          <w:color w:val="auto"/>
          <w:highlight w:val="none"/>
        </w:rPr>
        <w:t>4.</w:t>
      </w:r>
      <w:r>
        <w:rPr>
          <w:rFonts w:hint="eastAsia"/>
          <w:color w:val="auto"/>
          <w:highlight w:val="none"/>
        </w:rPr>
        <w:t>2</w:t>
      </w:r>
      <w:r>
        <w:rPr>
          <w:color w:val="auto"/>
          <w:highlight w:val="none"/>
        </w:rPr>
        <w:t>.6.</w:t>
      </w:r>
      <w:r>
        <w:rPr>
          <w:rFonts w:hint="eastAsia"/>
          <w:color w:val="auto"/>
          <w:highlight w:val="none"/>
        </w:rPr>
        <w:t>3</w:t>
      </w:r>
      <w:r>
        <w:rPr>
          <w:color w:val="auto"/>
          <w:highlight w:val="none"/>
          <w:lang w:val="de-DE"/>
        </w:rPr>
        <w:t>植被</w:t>
      </w:r>
      <w:r>
        <w:rPr>
          <w:rFonts w:hint="eastAsia"/>
          <w:color w:val="auto"/>
          <w:highlight w:val="none"/>
          <w:lang w:val="de-DE"/>
        </w:rPr>
        <w:t>现状调查</w:t>
      </w:r>
      <w:r>
        <w:rPr>
          <w:color w:val="auto"/>
          <w:highlight w:val="none"/>
          <w:lang w:val="de-DE"/>
        </w:rPr>
        <w:t>及评价</w:t>
      </w:r>
    </w:p>
    <w:p w14:paraId="3E06B932">
      <w:pPr>
        <w:bidi w:val="0"/>
        <w:rPr>
          <w:rFonts w:hint="eastAsia"/>
          <w:color w:val="auto"/>
          <w:highlight w:val="none"/>
          <w:lang w:val="en-US" w:eastAsia="zh-CN"/>
        </w:rPr>
      </w:pPr>
      <w:r>
        <w:rPr>
          <w:rFonts w:hint="eastAsia"/>
          <w:color w:val="auto"/>
          <w:highlight w:val="none"/>
          <w:lang w:val="en-US" w:eastAsia="zh-CN"/>
        </w:rPr>
        <w:t>（1）调查内容与方法</w:t>
      </w:r>
    </w:p>
    <w:p w14:paraId="74EB2B1C">
      <w:pPr>
        <w:overflowPunct w:val="0"/>
        <w:topLinePunct/>
        <w:adjustRightInd w:val="0"/>
        <w:snapToGrid w:val="0"/>
        <w:ind w:firstLine="480"/>
        <w:rPr>
          <w:color w:val="auto"/>
          <w:highlight w:val="none"/>
          <w:shd w:val="clear" w:color="auto" w:fill="FFFFFF"/>
        </w:rPr>
      </w:pPr>
      <w:r>
        <w:rPr>
          <w:rFonts w:hint="eastAsia" w:eastAsia="宋体"/>
          <w:snapToGrid/>
          <w:color w:val="auto"/>
          <w:kern w:val="2"/>
          <w:sz w:val="24"/>
          <w:szCs w:val="24"/>
          <w:highlight w:val="none"/>
          <w:lang w:val="en-US" w:eastAsia="zh-CN" w:bidi="ar-SA"/>
        </w:rPr>
        <w:t>在区域踏勘的基础上，本次评价于</w:t>
      </w:r>
      <w:r>
        <w:rPr>
          <w:rFonts w:hint="eastAsia"/>
          <w:snapToGrid/>
          <w:color w:val="auto"/>
          <w:kern w:val="2"/>
          <w:sz w:val="24"/>
          <w:szCs w:val="24"/>
          <w:highlight w:val="none"/>
          <w:lang w:val="en-US" w:eastAsia="zh-CN" w:bidi="ar-SA"/>
        </w:rPr>
        <w:t>2026</w:t>
      </w:r>
      <w:r>
        <w:rPr>
          <w:rFonts w:hint="eastAsia" w:eastAsia="宋体"/>
          <w:snapToGrid/>
          <w:color w:val="auto"/>
          <w:kern w:val="2"/>
          <w:sz w:val="24"/>
          <w:szCs w:val="24"/>
          <w:highlight w:val="none"/>
          <w:lang w:val="en-US" w:eastAsia="zh-CN" w:bidi="ar-SA"/>
        </w:rPr>
        <w:t>年</w:t>
      </w:r>
      <w:r>
        <w:rPr>
          <w:rFonts w:hint="eastAsia"/>
          <w:snapToGrid/>
          <w:color w:val="auto"/>
          <w:kern w:val="2"/>
          <w:sz w:val="24"/>
          <w:szCs w:val="24"/>
          <w:highlight w:val="none"/>
          <w:lang w:val="en-US" w:eastAsia="zh-CN" w:bidi="ar-SA"/>
        </w:rPr>
        <w:t>5</w:t>
      </w:r>
      <w:r>
        <w:rPr>
          <w:rFonts w:hint="eastAsia" w:eastAsia="宋体"/>
          <w:snapToGrid/>
          <w:color w:val="auto"/>
          <w:kern w:val="2"/>
          <w:sz w:val="24"/>
          <w:szCs w:val="24"/>
          <w:highlight w:val="none"/>
          <w:lang w:val="en-US" w:eastAsia="zh-CN" w:bidi="ar-SA"/>
        </w:rPr>
        <w:t>月2</w:t>
      </w:r>
      <w:r>
        <w:rPr>
          <w:rFonts w:hint="eastAsia"/>
          <w:snapToGrid/>
          <w:color w:val="auto"/>
          <w:kern w:val="2"/>
          <w:sz w:val="24"/>
          <w:szCs w:val="24"/>
          <w:highlight w:val="none"/>
          <w:lang w:val="en-US" w:eastAsia="zh-CN" w:bidi="ar-SA"/>
        </w:rPr>
        <w:t>1</w:t>
      </w:r>
      <w:r>
        <w:rPr>
          <w:rFonts w:hint="eastAsia" w:eastAsia="宋体"/>
          <w:snapToGrid/>
          <w:color w:val="auto"/>
          <w:kern w:val="2"/>
          <w:sz w:val="24"/>
          <w:szCs w:val="24"/>
          <w:highlight w:val="none"/>
          <w:lang w:val="en-US" w:eastAsia="zh-CN" w:bidi="ar-SA"/>
        </w:rPr>
        <w:t>日对项目区内的生态植被进行了样方调查，根据普遍性和典型性相结合的原则，结合评价区植被覆盖情况和工程影响情况，在矿区范围设置点，进行了样方调查。</w:t>
      </w:r>
      <w:r>
        <w:rPr>
          <w:rFonts w:hint="eastAsia"/>
          <w:snapToGrid/>
          <w:color w:val="auto"/>
          <w:kern w:val="2"/>
          <w:sz w:val="24"/>
          <w:szCs w:val="24"/>
          <w:highlight w:val="none"/>
          <w:lang w:val="en-US" w:eastAsia="zh-CN" w:bidi="ar-SA"/>
        </w:rPr>
        <w:t>项目</w:t>
      </w:r>
      <w:r>
        <w:rPr>
          <w:rFonts w:hint="eastAsia" w:eastAsia="宋体"/>
          <w:snapToGrid/>
          <w:color w:val="auto"/>
          <w:kern w:val="2"/>
          <w:sz w:val="24"/>
          <w:szCs w:val="24"/>
          <w:highlight w:val="none"/>
          <w:lang w:val="en-US" w:eastAsia="zh-CN" w:bidi="ar-SA"/>
        </w:rPr>
        <w:t>土地类型主要为</w:t>
      </w:r>
      <w:r>
        <w:rPr>
          <w:rFonts w:hint="eastAsia"/>
          <w:snapToGrid/>
          <w:color w:val="auto"/>
          <w:kern w:val="2"/>
          <w:sz w:val="24"/>
          <w:szCs w:val="24"/>
          <w:highlight w:val="none"/>
          <w:lang w:val="en-US" w:eastAsia="zh-CN" w:bidi="ar-SA"/>
        </w:rPr>
        <w:t>裸岩石砾地</w:t>
      </w:r>
      <w:r>
        <w:rPr>
          <w:rFonts w:hint="eastAsia" w:eastAsia="宋体"/>
          <w:snapToGrid/>
          <w:color w:val="auto"/>
          <w:kern w:val="2"/>
          <w:sz w:val="24"/>
          <w:szCs w:val="24"/>
          <w:highlight w:val="none"/>
          <w:lang w:val="en-US" w:eastAsia="zh-CN" w:bidi="ar-SA"/>
        </w:rPr>
        <w:t>，</w:t>
      </w:r>
      <w:r>
        <w:rPr>
          <w:rFonts w:hint="eastAsia"/>
          <w:snapToGrid/>
          <w:color w:val="auto"/>
          <w:kern w:val="2"/>
          <w:sz w:val="24"/>
          <w:szCs w:val="24"/>
          <w:highlight w:val="none"/>
          <w:lang w:val="en-US" w:eastAsia="zh-CN" w:bidi="ar-SA"/>
        </w:rPr>
        <w:t>沟谷处有部分植被覆盖，主要植被群落为盐爪爪群落。</w:t>
      </w:r>
      <w:r>
        <w:rPr>
          <w:rFonts w:hint="eastAsia" w:eastAsia="宋体"/>
          <w:snapToGrid/>
          <w:color w:val="auto"/>
          <w:kern w:val="2"/>
          <w:sz w:val="24"/>
          <w:szCs w:val="24"/>
          <w:highlight w:val="none"/>
          <w:lang w:val="en-US" w:eastAsia="zh-CN" w:bidi="ar-SA"/>
        </w:rPr>
        <w:t>根据项目区土地类型及植物组成和盖度，统计样方内植被种类、盖度、高度等，样方面积为1m×1m</w:t>
      </w:r>
      <w:r>
        <w:rPr>
          <w:rFonts w:hint="eastAsia"/>
          <w:snapToGrid/>
          <w:color w:val="auto"/>
          <w:kern w:val="2"/>
          <w:sz w:val="24"/>
          <w:szCs w:val="24"/>
          <w:highlight w:val="none"/>
          <w:lang w:val="en-US" w:eastAsia="zh-CN" w:bidi="ar-SA"/>
        </w:rPr>
        <w:t>和5m</w:t>
      </w:r>
      <w:r>
        <w:rPr>
          <w:rFonts w:hint="eastAsia" w:eastAsia="宋体"/>
          <w:snapToGrid/>
          <w:color w:val="auto"/>
          <w:kern w:val="2"/>
          <w:sz w:val="24"/>
          <w:szCs w:val="24"/>
          <w:highlight w:val="none"/>
          <w:lang w:val="en-US" w:eastAsia="zh-CN" w:bidi="ar-SA"/>
        </w:rPr>
        <w:t>×5m。典型样方调查见样方表4.2-</w:t>
      </w:r>
      <w:r>
        <w:rPr>
          <w:rFonts w:hint="eastAsia"/>
          <w:snapToGrid/>
          <w:color w:val="auto"/>
          <w:kern w:val="2"/>
          <w:sz w:val="24"/>
          <w:szCs w:val="24"/>
          <w:highlight w:val="none"/>
          <w:lang w:val="en-US" w:eastAsia="zh-CN" w:bidi="ar-SA"/>
        </w:rPr>
        <w:t>18</w:t>
      </w:r>
      <w:r>
        <w:rPr>
          <w:rFonts w:hint="eastAsia" w:eastAsia="宋体"/>
          <w:snapToGrid/>
          <w:color w:val="auto"/>
          <w:kern w:val="2"/>
          <w:sz w:val="24"/>
          <w:szCs w:val="24"/>
          <w:highlight w:val="none"/>
          <w:lang w:val="en-US" w:eastAsia="zh-CN" w:bidi="ar-SA"/>
        </w:rPr>
        <w:t>。</w:t>
      </w:r>
    </w:p>
    <w:p w14:paraId="6346C579">
      <w:pPr>
        <w:overflowPunct w:val="0"/>
        <w:topLinePunct/>
        <w:adjustRightInd w:val="0"/>
        <w:ind w:firstLine="0" w:firstLineChars="0"/>
        <w:jc w:val="center"/>
        <w:rPr>
          <w:rFonts w:hint="eastAsia"/>
          <w:b/>
          <w:color w:val="auto"/>
          <w:highlight w:val="none"/>
        </w:rPr>
      </w:pPr>
    </w:p>
    <w:p w14:paraId="6F4F81E4">
      <w:pPr>
        <w:rPr>
          <w:rFonts w:hint="eastAsia"/>
          <w:b/>
          <w:color w:val="auto"/>
          <w:highlight w:val="none"/>
        </w:rPr>
      </w:pPr>
      <w:r>
        <w:rPr>
          <w:rFonts w:hint="eastAsia"/>
          <w:b/>
          <w:color w:val="auto"/>
          <w:highlight w:val="none"/>
        </w:rPr>
        <w:br w:type="page"/>
      </w:r>
    </w:p>
    <w:p w14:paraId="044D2216">
      <w:pPr>
        <w:overflowPunct w:val="0"/>
        <w:topLinePunct/>
        <w:adjustRightInd w:val="0"/>
        <w:ind w:firstLine="0" w:firstLineChars="0"/>
        <w:jc w:val="center"/>
        <w:rPr>
          <w:rFonts w:hint="eastAsia"/>
          <w:b/>
          <w:color w:val="auto"/>
          <w:highlight w:val="none"/>
        </w:rPr>
      </w:pPr>
      <w:r>
        <w:rPr>
          <w:rFonts w:hint="eastAsia"/>
          <w:b/>
          <w:color w:val="auto"/>
          <w:highlight w:val="none"/>
        </w:rPr>
        <w:t>表4.2-</w:t>
      </w:r>
      <w:r>
        <w:rPr>
          <w:b/>
          <w:color w:val="auto"/>
          <w:highlight w:val="none"/>
        </w:rPr>
        <w:t>1</w:t>
      </w:r>
      <w:r>
        <w:rPr>
          <w:rFonts w:hint="eastAsia"/>
          <w:b/>
          <w:color w:val="auto"/>
          <w:highlight w:val="none"/>
          <w:lang w:val="en-US" w:eastAsia="zh-CN"/>
        </w:rPr>
        <w:t>8</w:t>
      </w:r>
      <w:r>
        <w:rPr>
          <w:b/>
          <w:color w:val="auto"/>
          <w:highlight w:val="none"/>
        </w:rPr>
        <w:t xml:space="preserve">    </w:t>
      </w:r>
      <w:r>
        <w:rPr>
          <w:rFonts w:hint="eastAsia"/>
          <w:b/>
          <w:color w:val="auto"/>
          <w:highlight w:val="none"/>
        </w:rPr>
        <w:t>项目区群落典型样方调查表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1680"/>
        <w:gridCol w:w="1305"/>
        <w:gridCol w:w="1350"/>
        <w:gridCol w:w="1335"/>
        <w:gridCol w:w="1209"/>
      </w:tblGrid>
      <w:tr w14:paraId="448A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5978" w:type="dxa"/>
            <w:gridSpan w:val="4"/>
            <w:vMerge w:val="restart"/>
            <w:vAlign w:val="center"/>
          </w:tcPr>
          <w:p w14:paraId="099A4354">
            <w:pPr>
              <w:pStyle w:val="17"/>
              <w:bidi w:val="0"/>
              <w:rPr>
                <w:rFonts w:hint="default"/>
                <w:color w:val="auto"/>
                <w:highlight w:val="none"/>
                <w:lang w:val="en-US" w:eastAsia="zh-CN"/>
              </w:rPr>
            </w:pPr>
          </w:p>
        </w:tc>
        <w:tc>
          <w:tcPr>
            <w:tcW w:w="2544" w:type="dxa"/>
            <w:gridSpan w:val="2"/>
            <w:vAlign w:val="center"/>
          </w:tcPr>
          <w:p w14:paraId="52B01607">
            <w:pPr>
              <w:pStyle w:val="17"/>
              <w:bidi w:val="0"/>
              <w:rPr>
                <w:rFonts w:hint="default"/>
                <w:color w:val="auto"/>
                <w:highlight w:val="none"/>
                <w:lang w:val="en-US" w:eastAsia="zh-CN"/>
              </w:rPr>
            </w:pPr>
            <w:r>
              <w:rPr>
                <w:rFonts w:hint="eastAsia"/>
                <w:color w:val="auto"/>
                <w:highlight w:val="none"/>
                <w:lang w:val="en-US" w:eastAsia="zh-CN"/>
              </w:rPr>
              <w:t>调查日期</w:t>
            </w:r>
          </w:p>
        </w:tc>
      </w:tr>
      <w:tr w14:paraId="1FC7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5978" w:type="dxa"/>
            <w:gridSpan w:val="4"/>
            <w:vMerge w:val="continue"/>
            <w:vAlign w:val="center"/>
          </w:tcPr>
          <w:p w14:paraId="19E8317A">
            <w:pPr>
              <w:pStyle w:val="17"/>
              <w:bidi w:val="0"/>
              <w:rPr>
                <w:rFonts w:hint="default"/>
                <w:color w:val="auto"/>
                <w:highlight w:val="none"/>
                <w:lang w:val="en-US" w:eastAsia="zh-CN"/>
              </w:rPr>
            </w:pPr>
          </w:p>
        </w:tc>
        <w:tc>
          <w:tcPr>
            <w:tcW w:w="2544" w:type="dxa"/>
            <w:gridSpan w:val="2"/>
            <w:vAlign w:val="center"/>
          </w:tcPr>
          <w:p w14:paraId="2745B6EA">
            <w:pPr>
              <w:pStyle w:val="17"/>
              <w:bidi w:val="0"/>
              <w:rPr>
                <w:rFonts w:hint="default"/>
                <w:color w:val="auto"/>
                <w:highlight w:val="none"/>
                <w:lang w:val="en-US" w:eastAsia="zh-CN"/>
              </w:rPr>
            </w:pPr>
            <w:r>
              <w:rPr>
                <w:rFonts w:hint="eastAsia"/>
                <w:color w:val="auto"/>
                <w:highlight w:val="none"/>
                <w:lang w:val="en-US" w:eastAsia="zh-CN"/>
              </w:rPr>
              <w:t>2026年5月21日</w:t>
            </w:r>
          </w:p>
        </w:tc>
      </w:tr>
      <w:tr w14:paraId="0926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978" w:type="dxa"/>
            <w:gridSpan w:val="4"/>
            <w:vMerge w:val="continue"/>
            <w:vAlign w:val="center"/>
          </w:tcPr>
          <w:p w14:paraId="105FC083">
            <w:pPr>
              <w:pStyle w:val="17"/>
              <w:bidi w:val="0"/>
              <w:rPr>
                <w:rFonts w:hint="default"/>
                <w:color w:val="auto"/>
                <w:highlight w:val="none"/>
                <w:lang w:val="en-US" w:eastAsia="zh-CN"/>
              </w:rPr>
            </w:pPr>
          </w:p>
        </w:tc>
        <w:tc>
          <w:tcPr>
            <w:tcW w:w="2544" w:type="dxa"/>
            <w:gridSpan w:val="2"/>
            <w:vAlign w:val="center"/>
          </w:tcPr>
          <w:p w14:paraId="5CAA36D4">
            <w:pPr>
              <w:pStyle w:val="17"/>
              <w:bidi w:val="0"/>
              <w:rPr>
                <w:rFonts w:hint="default"/>
                <w:color w:val="auto"/>
                <w:highlight w:val="none"/>
                <w:lang w:val="en-US" w:eastAsia="zh-CN"/>
              </w:rPr>
            </w:pPr>
            <w:r>
              <w:rPr>
                <w:rFonts w:hint="eastAsia"/>
                <w:color w:val="auto"/>
                <w:highlight w:val="none"/>
                <w:lang w:val="en-US" w:eastAsia="zh-CN"/>
              </w:rPr>
              <w:t>调查地点</w:t>
            </w:r>
          </w:p>
        </w:tc>
      </w:tr>
      <w:tr w14:paraId="0987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5978" w:type="dxa"/>
            <w:gridSpan w:val="4"/>
            <w:vMerge w:val="continue"/>
            <w:vAlign w:val="center"/>
          </w:tcPr>
          <w:p w14:paraId="17A4BBE6">
            <w:pPr>
              <w:pStyle w:val="17"/>
              <w:bidi w:val="0"/>
              <w:rPr>
                <w:rFonts w:hint="default"/>
                <w:color w:val="auto"/>
                <w:highlight w:val="none"/>
                <w:lang w:val="en-US" w:eastAsia="zh-CN"/>
              </w:rPr>
            </w:pPr>
          </w:p>
        </w:tc>
        <w:tc>
          <w:tcPr>
            <w:tcW w:w="2544" w:type="dxa"/>
            <w:gridSpan w:val="2"/>
            <w:vAlign w:val="center"/>
          </w:tcPr>
          <w:p w14:paraId="28B834E3">
            <w:pPr>
              <w:pStyle w:val="17"/>
              <w:bidi w:val="0"/>
              <w:rPr>
                <w:rFonts w:hint="default"/>
                <w:color w:val="auto"/>
                <w:highlight w:val="none"/>
                <w:lang w:val="en-US" w:eastAsia="zh-CN"/>
              </w:rPr>
            </w:pPr>
            <w:r>
              <w:rPr>
                <w:rFonts w:hint="eastAsia"/>
                <w:color w:val="auto"/>
                <w:highlight w:val="none"/>
                <w:lang w:val="en-US" w:eastAsia="zh-CN"/>
              </w:rPr>
              <w:t>项目评价范围内</w:t>
            </w:r>
          </w:p>
        </w:tc>
      </w:tr>
      <w:tr w14:paraId="7AB0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978" w:type="dxa"/>
            <w:gridSpan w:val="4"/>
            <w:vMerge w:val="continue"/>
            <w:vAlign w:val="center"/>
          </w:tcPr>
          <w:p w14:paraId="35DCBE3F">
            <w:pPr>
              <w:pStyle w:val="17"/>
              <w:bidi w:val="0"/>
              <w:rPr>
                <w:rFonts w:hint="default"/>
                <w:color w:val="auto"/>
                <w:highlight w:val="none"/>
                <w:lang w:val="en-US" w:eastAsia="zh-CN"/>
              </w:rPr>
            </w:pPr>
          </w:p>
        </w:tc>
        <w:tc>
          <w:tcPr>
            <w:tcW w:w="2544" w:type="dxa"/>
            <w:gridSpan w:val="2"/>
            <w:vAlign w:val="center"/>
          </w:tcPr>
          <w:p w14:paraId="38B40CDC">
            <w:pPr>
              <w:pStyle w:val="17"/>
              <w:bidi w:val="0"/>
              <w:rPr>
                <w:rFonts w:hint="default"/>
                <w:color w:val="auto"/>
                <w:highlight w:val="none"/>
                <w:lang w:val="en-US" w:eastAsia="zh-CN"/>
              </w:rPr>
            </w:pPr>
            <w:r>
              <w:rPr>
                <w:rFonts w:hint="eastAsia"/>
                <w:color w:val="auto"/>
                <w:highlight w:val="none"/>
                <w:lang w:val="en-US" w:eastAsia="zh-CN"/>
              </w:rPr>
              <w:t>样方面积</w:t>
            </w:r>
          </w:p>
        </w:tc>
      </w:tr>
      <w:tr w14:paraId="40C6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978" w:type="dxa"/>
            <w:gridSpan w:val="4"/>
            <w:vMerge w:val="continue"/>
            <w:vAlign w:val="center"/>
          </w:tcPr>
          <w:p w14:paraId="3D03B61E">
            <w:pPr>
              <w:pStyle w:val="17"/>
              <w:bidi w:val="0"/>
              <w:rPr>
                <w:rFonts w:hint="default"/>
                <w:color w:val="auto"/>
                <w:highlight w:val="none"/>
                <w:lang w:val="en-US" w:eastAsia="zh-CN"/>
              </w:rPr>
            </w:pPr>
          </w:p>
        </w:tc>
        <w:tc>
          <w:tcPr>
            <w:tcW w:w="2544" w:type="dxa"/>
            <w:gridSpan w:val="2"/>
            <w:vAlign w:val="center"/>
          </w:tcPr>
          <w:p w14:paraId="3AB684CF">
            <w:pPr>
              <w:pStyle w:val="17"/>
              <w:bidi w:val="0"/>
              <w:rPr>
                <w:rFonts w:hint="default"/>
                <w:color w:val="auto"/>
                <w:highlight w:val="none"/>
                <w:lang w:val="en-US" w:eastAsia="zh-CN"/>
              </w:rPr>
            </w:pPr>
            <w:r>
              <w:rPr>
                <w:rFonts w:hint="eastAsia"/>
                <w:color w:val="auto"/>
                <w:highlight w:val="none"/>
                <w:lang w:val="en-US" w:eastAsia="zh-CN"/>
              </w:rPr>
              <w:t>1m×1m</w:t>
            </w:r>
          </w:p>
        </w:tc>
      </w:tr>
      <w:tr w14:paraId="5CA9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643" w:type="dxa"/>
            <w:vAlign w:val="center"/>
          </w:tcPr>
          <w:p w14:paraId="211934E5">
            <w:pPr>
              <w:pStyle w:val="17"/>
              <w:bidi w:val="0"/>
              <w:rPr>
                <w:rFonts w:hint="default"/>
                <w:color w:val="auto"/>
                <w:highlight w:val="none"/>
                <w:lang w:val="en-US" w:eastAsia="zh-CN"/>
              </w:rPr>
            </w:pPr>
            <w:r>
              <w:rPr>
                <w:rFonts w:hint="eastAsia"/>
                <w:color w:val="auto"/>
                <w:highlight w:val="none"/>
                <w:lang w:val="en-US" w:eastAsia="zh-CN"/>
              </w:rPr>
              <w:t>海拔</w:t>
            </w:r>
          </w:p>
        </w:tc>
        <w:tc>
          <w:tcPr>
            <w:tcW w:w="1680" w:type="dxa"/>
            <w:vAlign w:val="center"/>
          </w:tcPr>
          <w:p w14:paraId="761B7BE2">
            <w:pPr>
              <w:pStyle w:val="17"/>
              <w:bidi w:val="0"/>
              <w:rPr>
                <w:rFonts w:hint="default"/>
                <w:color w:val="auto"/>
                <w:highlight w:val="none"/>
                <w:lang w:val="en-US" w:eastAsia="zh-CN"/>
              </w:rPr>
            </w:pPr>
            <w:r>
              <w:rPr>
                <w:rFonts w:hint="eastAsia"/>
                <w:color w:val="auto"/>
                <w:highlight w:val="none"/>
                <w:lang w:val="en-US" w:eastAsia="zh-CN"/>
              </w:rPr>
              <w:t>2969</w:t>
            </w:r>
            <w:r>
              <w:rPr>
                <w:rFonts w:hint="default"/>
                <w:color w:val="auto"/>
                <w:highlight w:val="none"/>
                <w:lang w:val="en-US" w:eastAsia="zh-CN"/>
              </w:rPr>
              <w:t>m</w:t>
            </w:r>
          </w:p>
        </w:tc>
        <w:tc>
          <w:tcPr>
            <w:tcW w:w="1305" w:type="dxa"/>
            <w:vAlign w:val="center"/>
          </w:tcPr>
          <w:p w14:paraId="0E1EC951">
            <w:pPr>
              <w:pStyle w:val="17"/>
              <w:bidi w:val="0"/>
              <w:rPr>
                <w:rFonts w:hint="default"/>
                <w:color w:val="auto"/>
                <w:highlight w:val="none"/>
                <w:lang w:val="en-US" w:eastAsia="zh-CN"/>
              </w:rPr>
            </w:pPr>
            <w:r>
              <w:rPr>
                <w:rFonts w:hint="default"/>
                <w:color w:val="auto"/>
                <w:highlight w:val="none"/>
                <w:lang w:val="en-US" w:eastAsia="zh-CN"/>
              </w:rPr>
              <w:t>坡度</w:t>
            </w:r>
          </w:p>
        </w:tc>
        <w:tc>
          <w:tcPr>
            <w:tcW w:w="1350" w:type="dxa"/>
            <w:vAlign w:val="center"/>
          </w:tcPr>
          <w:p w14:paraId="457A3172">
            <w:pPr>
              <w:pStyle w:val="17"/>
              <w:bidi w:val="0"/>
              <w:rPr>
                <w:rFonts w:hint="eastAsia"/>
                <w:color w:val="auto"/>
                <w:highlight w:val="none"/>
                <w:lang w:val="en-US" w:eastAsia="zh-CN"/>
              </w:rPr>
            </w:pPr>
            <w:r>
              <w:rPr>
                <w:rFonts w:hint="eastAsia"/>
                <w:color w:val="auto"/>
                <w:highlight w:val="none"/>
                <w:lang w:val="en-US" w:eastAsia="zh-CN"/>
              </w:rPr>
              <w:t>3%</w:t>
            </w:r>
          </w:p>
        </w:tc>
        <w:tc>
          <w:tcPr>
            <w:tcW w:w="1335" w:type="dxa"/>
            <w:vAlign w:val="center"/>
          </w:tcPr>
          <w:p w14:paraId="0A98B641">
            <w:pPr>
              <w:pStyle w:val="17"/>
              <w:bidi w:val="0"/>
              <w:rPr>
                <w:rFonts w:hint="default"/>
                <w:color w:val="auto"/>
                <w:highlight w:val="none"/>
                <w:lang w:val="en-US" w:eastAsia="zh-CN"/>
              </w:rPr>
            </w:pPr>
            <w:r>
              <w:rPr>
                <w:rFonts w:hint="default"/>
                <w:color w:val="auto"/>
                <w:highlight w:val="none"/>
                <w:lang w:val="en-US" w:eastAsia="zh-CN"/>
              </w:rPr>
              <w:t>坡向</w:t>
            </w:r>
          </w:p>
        </w:tc>
        <w:tc>
          <w:tcPr>
            <w:tcW w:w="1209" w:type="dxa"/>
            <w:vAlign w:val="center"/>
          </w:tcPr>
          <w:p w14:paraId="3BD35B34">
            <w:pPr>
              <w:pStyle w:val="17"/>
              <w:bidi w:val="0"/>
              <w:rPr>
                <w:rFonts w:hint="default"/>
                <w:color w:val="auto"/>
                <w:highlight w:val="none"/>
                <w:lang w:val="en-US" w:eastAsia="zh-CN"/>
              </w:rPr>
            </w:pPr>
            <w:r>
              <w:rPr>
                <w:rFonts w:hint="default"/>
                <w:color w:val="auto"/>
                <w:highlight w:val="none"/>
                <w:lang w:val="en-US" w:eastAsia="zh-CN"/>
              </w:rPr>
              <w:t>N</w:t>
            </w:r>
          </w:p>
        </w:tc>
      </w:tr>
      <w:tr w14:paraId="067A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643" w:type="dxa"/>
            <w:vAlign w:val="center"/>
          </w:tcPr>
          <w:p w14:paraId="73534CFE">
            <w:pPr>
              <w:pStyle w:val="17"/>
              <w:bidi w:val="0"/>
              <w:rPr>
                <w:rFonts w:hint="default"/>
                <w:color w:val="auto"/>
                <w:highlight w:val="none"/>
                <w:lang w:val="en-US" w:eastAsia="zh-CN"/>
              </w:rPr>
            </w:pPr>
            <w:r>
              <w:rPr>
                <w:rFonts w:hint="default"/>
                <w:color w:val="auto"/>
                <w:highlight w:val="none"/>
                <w:lang w:val="en-US" w:eastAsia="zh-CN"/>
              </w:rPr>
              <w:t>土地类型</w:t>
            </w:r>
          </w:p>
        </w:tc>
        <w:tc>
          <w:tcPr>
            <w:tcW w:w="1680" w:type="dxa"/>
            <w:vAlign w:val="center"/>
          </w:tcPr>
          <w:p w14:paraId="459D68D1">
            <w:pPr>
              <w:pStyle w:val="17"/>
              <w:bidi w:val="0"/>
              <w:rPr>
                <w:rFonts w:hint="default"/>
                <w:color w:val="auto"/>
                <w:highlight w:val="none"/>
                <w:lang w:val="en-US" w:eastAsia="zh-CN"/>
              </w:rPr>
            </w:pPr>
            <w:r>
              <w:rPr>
                <w:rFonts w:hint="default"/>
                <w:color w:val="auto"/>
                <w:highlight w:val="none"/>
                <w:lang w:val="en-US" w:eastAsia="zh-CN"/>
              </w:rPr>
              <w:t>裸岩石砾地</w:t>
            </w:r>
          </w:p>
        </w:tc>
        <w:tc>
          <w:tcPr>
            <w:tcW w:w="1305" w:type="dxa"/>
            <w:shd w:val="clear" w:color="auto" w:fill="auto"/>
            <w:vAlign w:val="center"/>
          </w:tcPr>
          <w:p w14:paraId="763D3DD0">
            <w:pPr>
              <w:pStyle w:val="17"/>
              <w:bidi w:val="0"/>
              <w:rPr>
                <w:rFonts w:hint="default"/>
                <w:color w:val="auto"/>
                <w:highlight w:val="none"/>
                <w:lang w:val="en-US" w:eastAsia="zh-CN"/>
              </w:rPr>
            </w:pPr>
            <w:r>
              <w:rPr>
                <w:rFonts w:hint="default"/>
                <w:color w:val="auto"/>
                <w:highlight w:val="none"/>
                <w:lang w:val="en-US" w:eastAsia="zh-CN"/>
              </w:rPr>
              <w:t>地形/地貌</w:t>
            </w:r>
          </w:p>
        </w:tc>
        <w:tc>
          <w:tcPr>
            <w:tcW w:w="1350" w:type="dxa"/>
            <w:shd w:val="clear" w:color="auto" w:fill="auto"/>
            <w:vAlign w:val="center"/>
          </w:tcPr>
          <w:p w14:paraId="7D3C1AC2">
            <w:pPr>
              <w:pStyle w:val="17"/>
              <w:bidi w:val="0"/>
              <w:rPr>
                <w:rFonts w:hint="default"/>
                <w:color w:val="auto"/>
                <w:highlight w:val="none"/>
                <w:lang w:val="en-US" w:eastAsia="zh-CN"/>
              </w:rPr>
            </w:pPr>
            <w:r>
              <w:rPr>
                <w:rFonts w:hint="eastAsia"/>
                <w:color w:val="auto"/>
                <w:highlight w:val="none"/>
                <w:lang w:val="en-US" w:eastAsia="zh-CN"/>
              </w:rPr>
              <w:t>土丘</w:t>
            </w:r>
          </w:p>
        </w:tc>
        <w:tc>
          <w:tcPr>
            <w:tcW w:w="1335" w:type="dxa"/>
            <w:shd w:val="clear" w:color="auto" w:fill="auto"/>
            <w:vAlign w:val="center"/>
          </w:tcPr>
          <w:p w14:paraId="5D0A75B2">
            <w:pPr>
              <w:pStyle w:val="17"/>
              <w:bidi w:val="0"/>
              <w:rPr>
                <w:rFonts w:hint="default"/>
                <w:color w:val="auto"/>
                <w:highlight w:val="none"/>
                <w:lang w:val="en-US" w:eastAsia="zh-CN"/>
              </w:rPr>
            </w:pPr>
            <w:r>
              <w:rPr>
                <w:rFonts w:hint="default"/>
                <w:color w:val="auto"/>
                <w:highlight w:val="none"/>
                <w:lang w:val="en-US" w:eastAsia="zh-CN"/>
              </w:rPr>
              <w:t>植被种类</w:t>
            </w:r>
          </w:p>
        </w:tc>
        <w:tc>
          <w:tcPr>
            <w:tcW w:w="1209" w:type="dxa"/>
            <w:shd w:val="clear" w:color="auto" w:fill="auto"/>
            <w:vAlign w:val="center"/>
          </w:tcPr>
          <w:p w14:paraId="35098707">
            <w:pPr>
              <w:pStyle w:val="17"/>
              <w:bidi w:val="0"/>
              <w:rPr>
                <w:rFonts w:hint="default"/>
                <w:color w:val="auto"/>
                <w:highlight w:val="none"/>
                <w:lang w:val="en-US" w:eastAsia="zh-CN"/>
              </w:rPr>
            </w:pPr>
            <w:r>
              <w:rPr>
                <w:rFonts w:hint="default"/>
                <w:color w:val="auto"/>
                <w:highlight w:val="none"/>
                <w:lang w:val="en-US" w:eastAsia="zh-CN"/>
              </w:rPr>
              <w:t>1</w:t>
            </w:r>
          </w:p>
        </w:tc>
      </w:tr>
      <w:tr w14:paraId="24F3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43" w:type="dxa"/>
            <w:vAlign w:val="center"/>
          </w:tcPr>
          <w:p w14:paraId="78E56E5C">
            <w:pPr>
              <w:pStyle w:val="17"/>
              <w:bidi w:val="0"/>
              <w:rPr>
                <w:rFonts w:hint="default"/>
                <w:color w:val="auto"/>
                <w:highlight w:val="none"/>
                <w:lang w:val="en-US" w:eastAsia="zh-CN"/>
              </w:rPr>
            </w:pPr>
            <w:r>
              <w:rPr>
                <w:rFonts w:hint="default"/>
                <w:color w:val="auto"/>
                <w:highlight w:val="none"/>
                <w:lang w:val="en-US" w:eastAsia="zh-CN"/>
              </w:rPr>
              <w:t>植被覆盖度</w:t>
            </w:r>
          </w:p>
        </w:tc>
        <w:tc>
          <w:tcPr>
            <w:tcW w:w="6879" w:type="dxa"/>
            <w:gridSpan w:val="5"/>
            <w:vAlign w:val="center"/>
          </w:tcPr>
          <w:p w14:paraId="721A0176">
            <w:pPr>
              <w:pStyle w:val="17"/>
              <w:bidi w:val="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w:t>
            </w:r>
          </w:p>
        </w:tc>
      </w:tr>
      <w:tr w14:paraId="5869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643" w:type="dxa"/>
            <w:vAlign w:val="center"/>
          </w:tcPr>
          <w:p w14:paraId="7B9EF2D4">
            <w:pPr>
              <w:pStyle w:val="17"/>
              <w:bidi w:val="0"/>
              <w:rPr>
                <w:rFonts w:hint="default"/>
                <w:color w:val="auto"/>
                <w:highlight w:val="none"/>
                <w:lang w:val="en-US" w:eastAsia="zh-CN"/>
              </w:rPr>
            </w:pPr>
            <w:r>
              <w:rPr>
                <w:rFonts w:hint="default"/>
                <w:color w:val="auto"/>
                <w:highlight w:val="none"/>
                <w:lang w:val="en-US" w:eastAsia="zh-CN"/>
              </w:rPr>
              <w:t>序号</w:t>
            </w:r>
          </w:p>
        </w:tc>
        <w:tc>
          <w:tcPr>
            <w:tcW w:w="1680" w:type="dxa"/>
            <w:vAlign w:val="center"/>
          </w:tcPr>
          <w:p w14:paraId="44D3BA50">
            <w:pPr>
              <w:pStyle w:val="17"/>
              <w:bidi w:val="0"/>
              <w:rPr>
                <w:rFonts w:hint="default"/>
                <w:color w:val="auto"/>
                <w:highlight w:val="none"/>
                <w:lang w:val="en-US" w:eastAsia="zh-CN"/>
              </w:rPr>
            </w:pPr>
            <w:r>
              <w:rPr>
                <w:rFonts w:hint="default"/>
                <w:color w:val="auto"/>
                <w:highlight w:val="none"/>
                <w:lang w:val="en-US" w:eastAsia="zh-CN"/>
              </w:rPr>
              <w:t>植物名称</w:t>
            </w:r>
          </w:p>
        </w:tc>
        <w:tc>
          <w:tcPr>
            <w:tcW w:w="1305" w:type="dxa"/>
            <w:vAlign w:val="center"/>
          </w:tcPr>
          <w:p w14:paraId="0F35551C">
            <w:pPr>
              <w:pStyle w:val="17"/>
              <w:bidi w:val="0"/>
              <w:rPr>
                <w:rFonts w:hint="default"/>
                <w:color w:val="auto"/>
                <w:highlight w:val="none"/>
                <w:lang w:val="en-US" w:eastAsia="zh-CN"/>
              </w:rPr>
            </w:pPr>
            <w:r>
              <w:rPr>
                <w:rFonts w:hint="default"/>
                <w:color w:val="auto"/>
                <w:highlight w:val="none"/>
                <w:lang w:val="en-US" w:eastAsia="zh-CN"/>
              </w:rPr>
              <w:t>高度（cm）</w:t>
            </w:r>
          </w:p>
        </w:tc>
        <w:tc>
          <w:tcPr>
            <w:tcW w:w="2685" w:type="dxa"/>
            <w:gridSpan w:val="2"/>
            <w:vAlign w:val="center"/>
          </w:tcPr>
          <w:p w14:paraId="071B4552">
            <w:pPr>
              <w:pStyle w:val="17"/>
              <w:bidi w:val="0"/>
              <w:rPr>
                <w:rFonts w:hint="default"/>
                <w:color w:val="auto"/>
                <w:highlight w:val="none"/>
                <w:lang w:val="en-US" w:eastAsia="zh-CN"/>
              </w:rPr>
            </w:pPr>
            <w:r>
              <w:rPr>
                <w:rFonts w:hint="default"/>
                <w:color w:val="auto"/>
                <w:highlight w:val="none"/>
                <w:lang w:val="en-US" w:eastAsia="zh-CN"/>
              </w:rPr>
              <w:t>盖度</w:t>
            </w:r>
          </w:p>
        </w:tc>
        <w:tc>
          <w:tcPr>
            <w:tcW w:w="1209" w:type="dxa"/>
            <w:vAlign w:val="center"/>
          </w:tcPr>
          <w:p w14:paraId="1F8C1EEE">
            <w:pPr>
              <w:pStyle w:val="17"/>
              <w:bidi w:val="0"/>
              <w:rPr>
                <w:rFonts w:hint="default"/>
                <w:color w:val="auto"/>
                <w:highlight w:val="none"/>
                <w:lang w:val="en-US" w:eastAsia="zh-CN"/>
              </w:rPr>
            </w:pPr>
            <w:r>
              <w:rPr>
                <w:rFonts w:hint="eastAsia"/>
                <w:color w:val="auto"/>
                <w:highlight w:val="none"/>
                <w:lang w:val="en-US" w:eastAsia="zh-CN"/>
              </w:rPr>
              <w:t>多度</w:t>
            </w:r>
          </w:p>
        </w:tc>
      </w:tr>
      <w:tr w14:paraId="121C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643" w:type="dxa"/>
            <w:vAlign w:val="center"/>
          </w:tcPr>
          <w:p w14:paraId="032BBF51">
            <w:pPr>
              <w:pStyle w:val="17"/>
              <w:bidi w:val="0"/>
              <w:rPr>
                <w:rFonts w:hint="default"/>
                <w:color w:val="auto"/>
                <w:highlight w:val="none"/>
                <w:lang w:val="en-US" w:eastAsia="zh-CN"/>
              </w:rPr>
            </w:pPr>
            <w:r>
              <w:rPr>
                <w:rFonts w:hint="default"/>
                <w:color w:val="auto"/>
                <w:highlight w:val="none"/>
                <w:lang w:val="en-US" w:eastAsia="zh-CN"/>
              </w:rPr>
              <w:t>1</w:t>
            </w:r>
          </w:p>
        </w:tc>
        <w:tc>
          <w:tcPr>
            <w:tcW w:w="1680" w:type="dxa"/>
            <w:vAlign w:val="center"/>
          </w:tcPr>
          <w:p w14:paraId="0C158838">
            <w:pPr>
              <w:pStyle w:val="17"/>
              <w:bidi w:val="0"/>
              <w:rPr>
                <w:rFonts w:hint="default"/>
                <w:color w:val="auto"/>
                <w:highlight w:val="none"/>
                <w:lang w:val="en-US" w:eastAsia="zh-CN"/>
              </w:rPr>
            </w:pPr>
            <w:r>
              <w:rPr>
                <w:rFonts w:hint="eastAsia"/>
                <w:color w:val="auto"/>
                <w:highlight w:val="none"/>
                <w:lang w:val="en-US" w:eastAsia="zh-CN"/>
              </w:rPr>
              <w:t>盐爪爪</w:t>
            </w:r>
          </w:p>
        </w:tc>
        <w:tc>
          <w:tcPr>
            <w:tcW w:w="1305" w:type="dxa"/>
            <w:vAlign w:val="center"/>
          </w:tcPr>
          <w:p w14:paraId="3C4E6DAB">
            <w:pPr>
              <w:pStyle w:val="17"/>
              <w:bidi w:val="0"/>
              <w:rPr>
                <w:rFonts w:hint="default"/>
                <w:color w:val="auto"/>
                <w:highlight w:val="none"/>
                <w:lang w:val="en-US" w:eastAsia="zh-CN"/>
              </w:rPr>
            </w:pPr>
            <w:r>
              <w:rPr>
                <w:rFonts w:hint="eastAsia"/>
                <w:color w:val="auto"/>
                <w:highlight w:val="none"/>
                <w:lang w:val="en-US" w:eastAsia="zh-CN"/>
              </w:rPr>
              <w:t>8</w:t>
            </w:r>
          </w:p>
        </w:tc>
        <w:tc>
          <w:tcPr>
            <w:tcW w:w="2685" w:type="dxa"/>
            <w:gridSpan w:val="2"/>
            <w:vAlign w:val="center"/>
          </w:tcPr>
          <w:p w14:paraId="3ADD5CE7">
            <w:pPr>
              <w:pStyle w:val="17"/>
              <w:bidi w:val="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w:t>
            </w:r>
          </w:p>
        </w:tc>
        <w:tc>
          <w:tcPr>
            <w:tcW w:w="1209" w:type="dxa"/>
            <w:vAlign w:val="center"/>
          </w:tcPr>
          <w:p w14:paraId="4712F008">
            <w:pPr>
              <w:pStyle w:val="17"/>
              <w:bidi w:val="0"/>
              <w:rPr>
                <w:rFonts w:hint="default"/>
                <w:color w:val="auto"/>
                <w:highlight w:val="none"/>
                <w:lang w:val="en-US" w:eastAsia="zh-CN"/>
              </w:rPr>
            </w:pPr>
            <w:r>
              <w:rPr>
                <w:rFonts w:hint="eastAsia"/>
                <w:color w:val="auto"/>
                <w:highlight w:val="none"/>
                <w:lang w:val="en-US" w:eastAsia="zh-CN"/>
              </w:rPr>
              <w:t>SP</w:t>
            </w:r>
          </w:p>
        </w:tc>
      </w:tr>
      <w:tr w14:paraId="62C7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5978" w:type="dxa"/>
            <w:gridSpan w:val="4"/>
            <w:vMerge w:val="restart"/>
            <w:vAlign w:val="center"/>
          </w:tcPr>
          <w:p w14:paraId="59ECF56E">
            <w:pPr>
              <w:pStyle w:val="17"/>
              <w:bidi w:val="0"/>
              <w:rPr>
                <w:rFonts w:hint="default"/>
                <w:color w:val="auto"/>
                <w:highlight w:val="none"/>
                <w:lang w:val="en-US" w:eastAsia="zh-CN"/>
              </w:rPr>
            </w:pPr>
          </w:p>
        </w:tc>
        <w:tc>
          <w:tcPr>
            <w:tcW w:w="2544" w:type="dxa"/>
            <w:gridSpan w:val="2"/>
            <w:vAlign w:val="center"/>
          </w:tcPr>
          <w:p w14:paraId="76689FC1">
            <w:pPr>
              <w:pStyle w:val="17"/>
              <w:bidi w:val="0"/>
              <w:rPr>
                <w:rFonts w:hint="default"/>
                <w:color w:val="auto"/>
                <w:highlight w:val="none"/>
                <w:lang w:val="en-US" w:eastAsia="zh-CN"/>
              </w:rPr>
            </w:pPr>
            <w:r>
              <w:rPr>
                <w:rFonts w:hint="eastAsia"/>
                <w:color w:val="auto"/>
                <w:highlight w:val="none"/>
                <w:lang w:val="en-US" w:eastAsia="zh-CN"/>
              </w:rPr>
              <w:t>调查日期</w:t>
            </w:r>
          </w:p>
        </w:tc>
      </w:tr>
      <w:tr w14:paraId="0803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5978" w:type="dxa"/>
            <w:gridSpan w:val="4"/>
            <w:vMerge w:val="continue"/>
            <w:vAlign w:val="center"/>
          </w:tcPr>
          <w:p w14:paraId="694FB556">
            <w:pPr>
              <w:pStyle w:val="17"/>
              <w:bidi w:val="0"/>
              <w:rPr>
                <w:rFonts w:hint="default"/>
                <w:color w:val="auto"/>
                <w:highlight w:val="none"/>
                <w:lang w:val="en-US" w:eastAsia="zh-CN"/>
              </w:rPr>
            </w:pPr>
          </w:p>
        </w:tc>
        <w:tc>
          <w:tcPr>
            <w:tcW w:w="2544" w:type="dxa"/>
            <w:gridSpan w:val="2"/>
            <w:vAlign w:val="center"/>
          </w:tcPr>
          <w:p w14:paraId="67459B0F">
            <w:pPr>
              <w:pStyle w:val="17"/>
              <w:bidi w:val="0"/>
              <w:rPr>
                <w:rFonts w:hint="default"/>
                <w:color w:val="auto"/>
                <w:highlight w:val="none"/>
                <w:lang w:val="en-US" w:eastAsia="zh-CN"/>
              </w:rPr>
            </w:pPr>
            <w:r>
              <w:rPr>
                <w:rFonts w:hint="eastAsia"/>
                <w:color w:val="auto"/>
                <w:highlight w:val="none"/>
                <w:lang w:val="en-US" w:eastAsia="zh-CN"/>
              </w:rPr>
              <w:t>2026年5月21日</w:t>
            </w:r>
          </w:p>
        </w:tc>
      </w:tr>
      <w:tr w14:paraId="7CEA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978" w:type="dxa"/>
            <w:gridSpan w:val="4"/>
            <w:vMerge w:val="continue"/>
            <w:vAlign w:val="center"/>
          </w:tcPr>
          <w:p w14:paraId="4397DC16">
            <w:pPr>
              <w:pStyle w:val="17"/>
              <w:bidi w:val="0"/>
              <w:rPr>
                <w:rFonts w:hint="default"/>
                <w:color w:val="auto"/>
                <w:highlight w:val="none"/>
                <w:lang w:val="en-US" w:eastAsia="zh-CN"/>
              </w:rPr>
            </w:pPr>
          </w:p>
        </w:tc>
        <w:tc>
          <w:tcPr>
            <w:tcW w:w="2544" w:type="dxa"/>
            <w:gridSpan w:val="2"/>
            <w:vAlign w:val="center"/>
          </w:tcPr>
          <w:p w14:paraId="1FBD9502">
            <w:pPr>
              <w:pStyle w:val="17"/>
              <w:bidi w:val="0"/>
              <w:rPr>
                <w:rFonts w:hint="default"/>
                <w:color w:val="auto"/>
                <w:highlight w:val="none"/>
                <w:lang w:val="en-US" w:eastAsia="zh-CN"/>
              </w:rPr>
            </w:pPr>
            <w:r>
              <w:rPr>
                <w:rFonts w:hint="eastAsia"/>
                <w:color w:val="auto"/>
                <w:highlight w:val="none"/>
                <w:lang w:val="en-US" w:eastAsia="zh-CN"/>
              </w:rPr>
              <w:t>调查地点</w:t>
            </w:r>
          </w:p>
        </w:tc>
      </w:tr>
      <w:tr w14:paraId="1FEC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5978" w:type="dxa"/>
            <w:gridSpan w:val="4"/>
            <w:vMerge w:val="continue"/>
            <w:vAlign w:val="center"/>
          </w:tcPr>
          <w:p w14:paraId="4F6C1415">
            <w:pPr>
              <w:pStyle w:val="17"/>
              <w:bidi w:val="0"/>
              <w:rPr>
                <w:rFonts w:hint="default"/>
                <w:color w:val="auto"/>
                <w:highlight w:val="none"/>
                <w:lang w:val="en-US" w:eastAsia="zh-CN"/>
              </w:rPr>
            </w:pPr>
          </w:p>
        </w:tc>
        <w:tc>
          <w:tcPr>
            <w:tcW w:w="2544" w:type="dxa"/>
            <w:gridSpan w:val="2"/>
            <w:vAlign w:val="center"/>
          </w:tcPr>
          <w:p w14:paraId="648099FA">
            <w:pPr>
              <w:pStyle w:val="17"/>
              <w:bidi w:val="0"/>
              <w:rPr>
                <w:rFonts w:hint="default"/>
                <w:color w:val="auto"/>
                <w:highlight w:val="none"/>
                <w:lang w:val="en-US" w:eastAsia="zh-CN"/>
              </w:rPr>
            </w:pPr>
            <w:r>
              <w:rPr>
                <w:rFonts w:hint="eastAsia"/>
                <w:color w:val="auto"/>
                <w:highlight w:val="none"/>
                <w:lang w:val="en-US" w:eastAsia="zh-CN"/>
              </w:rPr>
              <w:t>项目评价范围内</w:t>
            </w:r>
          </w:p>
        </w:tc>
      </w:tr>
      <w:tr w14:paraId="6100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978" w:type="dxa"/>
            <w:gridSpan w:val="4"/>
            <w:vMerge w:val="continue"/>
            <w:vAlign w:val="center"/>
          </w:tcPr>
          <w:p w14:paraId="5CED1A77">
            <w:pPr>
              <w:pStyle w:val="17"/>
              <w:bidi w:val="0"/>
              <w:rPr>
                <w:rFonts w:hint="default"/>
                <w:color w:val="auto"/>
                <w:highlight w:val="none"/>
                <w:lang w:val="en-US" w:eastAsia="zh-CN"/>
              </w:rPr>
            </w:pPr>
          </w:p>
        </w:tc>
        <w:tc>
          <w:tcPr>
            <w:tcW w:w="2544" w:type="dxa"/>
            <w:gridSpan w:val="2"/>
            <w:vAlign w:val="center"/>
          </w:tcPr>
          <w:p w14:paraId="59AFBAE1">
            <w:pPr>
              <w:pStyle w:val="17"/>
              <w:bidi w:val="0"/>
              <w:rPr>
                <w:rFonts w:hint="default"/>
                <w:color w:val="auto"/>
                <w:highlight w:val="none"/>
                <w:lang w:val="en-US" w:eastAsia="zh-CN"/>
              </w:rPr>
            </w:pPr>
            <w:r>
              <w:rPr>
                <w:rFonts w:hint="eastAsia"/>
                <w:color w:val="auto"/>
                <w:highlight w:val="none"/>
                <w:lang w:val="en-US" w:eastAsia="zh-CN"/>
              </w:rPr>
              <w:t>样方面积</w:t>
            </w:r>
          </w:p>
        </w:tc>
      </w:tr>
      <w:tr w14:paraId="3BDE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978" w:type="dxa"/>
            <w:gridSpan w:val="4"/>
            <w:vMerge w:val="continue"/>
            <w:vAlign w:val="center"/>
          </w:tcPr>
          <w:p w14:paraId="1847983B">
            <w:pPr>
              <w:pStyle w:val="17"/>
              <w:bidi w:val="0"/>
              <w:rPr>
                <w:rFonts w:hint="default"/>
                <w:color w:val="auto"/>
                <w:highlight w:val="none"/>
                <w:lang w:val="en-US" w:eastAsia="zh-CN"/>
              </w:rPr>
            </w:pPr>
          </w:p>
        </w:tc>
        <w:tc>
          <w:tcPr>
            <w:tcW w:w="2544" w:type="dxa"/>
            <w:gridSpan w:val="2"/>
            <w:vAlign w:val="center"/>
          </w:tcPr>
          <w:p w14:paraId="66066973">
            <w:pPr>
              <w:pStyle w:val="17"/>
              <w:bidi w:val="0"/>
              <w:rPr>
                <w:rFonts w:hint="default"/>
                <w:color w:val="auto"/>
                <w:highlight w:val="none"/>
                <w:lang w:val="en-US" w:eastAsia="zh-CN"/>
              </w:rPr>
            </w:pPr>
            <w:r>
              <w:rPr>
                <w:rFonts w:hint="eastAsia"/>
                <w:color w:val="auto"/>
                <w:highlight w:val="none"/>
                <w:lang w:val="en-US" w:eastAsia="zh-CN"/>
              </w:rPr>
              <w:t>1m×1m</w:t>
            </w:r>
          </w:p>
        </w:tc>
      </w:tr>
      <w:tr w14:paraId="628C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43" w:type="dxa"/>
            <w:vAlign w:val="center"/>
          </w:tcPr>
          <w:p w14:paraId="057BD9A5">
            <w:pPr>
              <w:pStyle w:val="17"/>
              <w:bidi w:val="0"/>
              <w:rPr>
                <w:rFonts w:hint="default"/>
                <w:color w:val="auto"/>
                <w:highlight w:val="none"/>
                <w:lang w:val="en-US" w:eastAsia="zh-CN"/>
              </w:rPr>
            </w:pPr>
            <w:r>
              <w:rPr>
                <w:rFonts w:hint="eastAsia"/>
                <w:color w:val="auto"/>
                <w:highlight w:val="none"/>
                <w:lang w:val="en-US" w:eastAsia="zh-CN"/>
              </w:rPr>
              <w:t>海拔</w:t>
            </w:r>
          </w:p>
        </w:tc>
        <w:tc>
          <w:tcPr>
            <w:tcW w:w="1680" w:type="dxa"/>
            <w:vAlign w:val="center"/>
          </w:tcPr>
          <w:p w14:paraId="046E961C">
            <w:pPr>
              <w:pStyle w:val="17"/>
              <w:bidi w:val="0"/>
              <w:rPr>
                <w:rFonts w:hint="default"/>
                <w:color w:val="auto"/>
                <w:highlight w:val="none"/>
                <w:lang w:val="en-US" w:eastAsia="zh-CN"/>
              </w:rPr>
            </w:pPr>
            <w:r>
              <w:rPr>
                <w:rFonts w:hint="eastAsia"/>
                <w:color w:val="auto"/>
                <w:highlight w:val="none"/>
                <w:lang w:val="en-US" w:eastAsia="zh-CN"/>
              </w:rPr>
              <w:t>2973</w:t>
            </w:r>
            <w:r>
              <w:rPr>
                <w:rFonts w:hint="default"/>
                <w:color w:val="auto"/>
                <w:highlight w:val="none"/>
                <w:lang w:val="en-US" w:eastAsia="zh-CN"/>
              </w:rPr>
              <w:t>m</w:t>
            </w:r>
          </w:p>
        </w:tc>
        <w:tc>
          <w:tcPr>
            <w:tcW w:w="1305" w:type="dxa"/>
            <w:vAlign w:val="center"/>
          </w:tcPr>
          <w:p w14:paraId="50DA2ADD">
            <w:pPr>
              <w:pStyle w:val="17"/>
              <w:bidi w:val="0"/>
              <w:rPr>
                <w:rFonts w:hint="default"/>
                <w:color w:val="auto"/>
                <w:highlight w:val="none"/>
                <w:lang w:val="en-US" w:eastAsia="zh-CN"/>
              </w:rPr>
            </w:pPr>
            <w:r>
              <w:rPr>
                <w:rFonts w:hint="default"/>
                <w:color w:val="auto"/>
                <w:highlight w:val="none"/>
                <w:lang w:val="en-US" w:eastAsia="zh-CN"/>
              </w:rPr>
              <w:t>坡度</w:t>
            </w:r>
          </w:p>
        </w:tc>
        <w:tc>
          <w:tcPr>
            <w:tcW w:w="1350" w:type="dxa"/>
            <w:vAlign w:val="center"/>
          </w:tcPr>
          <w:p w14:paraId="10F6B221">
            <w:pPr>
              <w:pStyle w:val="17"/>
              <w:bidi w:val="0"/>
              <w:rPr>
                <w:rFonts w:hint="eastAsia"/>
                <w:color w:val="auto"/>
                <w:highlight w:val="none"/>
                <w:lang w:val="en-US" w:eastAsia="zh-CN"/>
              </w:rPr>
            </w:pPr>
            <w:r>
              <w:rPr>
                <w:rFonts w:hint="eastAsia"/>
                <w:color w:val="auto"/>
                <w:highlight w:val="none"/>
                <w:lang w:val="en-US" w:eastAsia="zh-CN"/>
              </w:rPr>
              <w:t>6%</w:t>
            </w:r>
          </w:p>
        </w:tc>
        <w:tc>
          <w:tcPr>
            <w:tcW w:w="1335" w:type="dxa"/>
            <w:vAlign w:val="center"/>
          </w:tcPr>
          <w:p w14:paraId="3BD839A3">
            <w:pPr>
              <w:pStyle w:val="17"/>
              <w:bidi w:val="0"/>
              <w:rPr>
                <w:rFonts w:hint="default"/>
                <w:color w:val="auto"/>
                <w:highlight w:val="none"/>
                <w:lang w:val="en-US" w:eastAsia="zh-CN"/>
              </w:rPr>
            </w:pPr>
            <w:r>
              <w:rPr>
                <w:rFonts w:hint="default"/>
                <w:color w:val="auto"/>
                <w:highlight w:val="none"/>
                <w:lang w:val="en-US" w:eastAsia="zh-CN"/>
              </w:rPr>
              <w:t>坡向</w:t>
            </w:r>
          </w:p>
        </w:tc>
        <w:tc>
          <w:tcPr>
            <w:tcW w:w="1209" w:type="dxa"/>
            <w:vAlign w:val="center"/>
          </w:tcPr>
          <w:p w14:paraId="1575FE43">
            <w:pPr>
              <w:pStyle w:val="17"/>
              <w:bidi w:val="0"/>
              <w:rPr>
                <w:rFonts w:hint="default"/>
                <w:color w:val="auto"/>
                <w:highlight w:val="none"/>
                <w:lang w:val="en-US" w:eastAsia="zh-CN"/>
              </w:rPr>
            </w:pPr>
            <w:r>
              <w:rPr>
                <w:rFonts w:hint="eastAsia"/>
                <w:color w:val="auto"/>
                <w:highlight w:val="none"/>
                <w:lang w:val="en-US" w:eastAsia="zh-CN"/>
              </w:rPr>
              <w:t>S</w:t>
            </w:r>
          </w:p>
        </w:tc>
      </w:tr>
      <w:tr w14:paraId="0CFF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643" w:type="dxa"/>
            <w:vAlign w:val="center"/>
          </w:tcPr>
          <w:p w14:paraId="7A1A363E">
            <w:pPr>
              <w:pStyle w:val="17"/>
              <w:bidi w:val="0"/>
              <w:rPr>
                <w:rFonts w:hint="default"/>
                <w:color w:val="auto"/>
                <w:highlight w:val="none"/>
                <w:lang w:val="en-US" w:eastAsia="zh-CN"/>
              </w:rPr>
            </w:pPr>
            <w:r>
              <w:rPr>
                <w:rFonts w:hint="default"/>
                <w:color w:val="auto"/>
                <w:highlight w:val="none"/>
                <w:lang w:val="en-US" w:eastAsia="zh-CN"/>
              </w:rPr>
              <w:t>土地类型</w:t>
            </w:r>
          </w:p>
        </w:tc>
        <w:tc>
          <w:tcPr>
            <w:tcW w:w="1680" w:type="dxa"/>
            <w:vAlign w:val="center"/>
          </w:tcPr>
          <w:p w14:paraId="5001DD12">
            <w:pPr>
              <w:pStyle w:val="17"/>
              <w:bidi w:val="0"/>
              <w:rPr>
                <w:rFonts w:hint="default"/>
                <w:color w:val="auto"/>
                <w:highlight w:val="none"/>
                <w:lang w:val="en-US" w:eastAsia="zh-CN"/>
              </w:rPr>
            </w:pPr>
            <w:r>
              <w:rPr>
                <w:rFonts w:hint="default"/>
                <w:color w:val="auto"/>
                <w:highlight w:val="none"/>
                <w:lang w:val="en-US" w:eastAsia="zh-CN"/>
              </w:rPr>
              <w:t>裸岩石砾地</w:t>
            </w:r>
          </w:p>
        </w:tc>
        <w:tc>
          <w:tcPr>
            <w:tcW w:w="1305" w:type="dxa"/>
            <w:shd w:val="clear" w:color="auto" w:fill="auto"/>
            <w:vAlign w:val="center"/>
          </w:tcPr>
          <w:p w14:paraId="0269E3B8">
            <w:pPr>
              <w:pStyle w:val="17"/>
              <w:bidi w:val="0"/>
              <w:rPr>
                <w:rFonts w:hint="default"/>
                <w:color w:val="auto"/>
                <w:highlight w:val="none"/>
                <w:lang w:val="en-US" w:eastAsia="zh-CN"/>
              </w:rPr>
            </w:pPr>
            <w:r>
              <w:rPr>
                <w:rFonts w:hint="default"/>
                <w:color w:val="auto"/>
                <w:highlight w:val="none"/>
                <w:lang w:val="en-US" w:eastAsia="zh-CN"/>
              </w:rPr>
              <w:t>地形/地貌</w:t>
            </w:r>
          </w:p>
        </w:tc>
        <w:tc>
          <w:tcPr>
            <w:tcW w:w="1350" w:type="dxa"/>
            <w:shd w:val="clear" w:color="auto" w:fill="auto"/>
            <w:vAlign w:val="center"/>
          </w:tcPr>
          <w:p w14:paraId="5AF31E19">
            <w:pPr>
              <w:pStyle w:val="17"/>
              <w:bidi w:val="0"/>
              <w:rPr>
                <w:rFonts w:hint="default"/>
                <w:color w:val="auto"/>
                <w:highlight w:val="none"/>
                <w:lang w:val="en-US" w:eastAsia="zh-CN"/>
              </w:rPr>
            </w:pPr>
            <w:r>
              <w:rPr>
                <w:rFonts w:hint="eastAsia"/>
                <w:color w:val="auto"/>
                <w:highlight w:val="none"/>
                <w:lang w:val="en-US" w:eastAsia="zh-CN"/>
              </w:rPr>
              <w:t>土丘</w:t>
            </w:r>
          </w:p>
        </w:tc>
        <w:tc>
          <w:tcPr>
            <w:tcW w:w="1335" w:type="dxa"/>
            <w:shd w:val="clear" w:color="auto" w:fill="auto"/>
            <w:vAlign w:val="center"/>
          </w:tcPr>
          <w:p w14:paraId="51A50F3B">
            <w:pPr>
              <w:pStyle w:val="17"/>
              <w:bidi w:val="0"/>
              <w:rPr>
                <w:rFonts w:hint="default"/>
                <w:color w:val="auto"/>
                <w:highlight w:val="none"/>
                <w:lang w:val="en-US" w:eastAsia="zh-CN"/>
              </w:rPr>
            </w:pPr>
            <w:r>
              <w:rPr>
                <w:rFonts w:hint="default"/>
                <w:color w:val="auto"/>
                <w:highlight w:val="none"/>
                <w:lang w:val="en-US" w:eastAsia="zh-CN"/>
              </w:rPr>
              <w:t>植被种类</w:t>
            </w:r>
          </w:p>
        </w:tc>
        <w:tc>
          <w:tcPr>
            <w:tcW w:w="1209" w:type="dxa"/>
            <w:shd w:val="clear" w:color="auto" w:fill="auto"/>
            <w:vAlign w:val="center"/>
          </w:tcPr>
          <w:p w14:paraId="2EF9A795">
            <w:pPr>
              <w:pStyle w:val="17"/>
              <w:bidi w:val="0"/>
              <w:rPr>
                <w:rFonts w:hint="default"/>
                <w:color w:val="auto"/>
                <w:highlight w:val="none"/>
                <w:lang w:val="en-US" w:eastAsia="zh-CN"/>
              </w:rPr>
            </w:pPr>
            <w:r>
              <w:rPr>
                <w:rFonts w:hint="default"/>
                <w:color w:val="auto"/>
                <w:highlight w:val="none"/>
                <w:lang w:val="en-US" w:eastAsia="zh-CN"/>
              </w:rPr>
              <w:t>1</w:t>
            </w:r>
          </w:p>
        </w:tc>
      </w:tr>
      <w:tr w14:paraId="7523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43" w:type="dxa"/>
            <w:vAlign w:val="center"/>
          </w:tcPr>
          <w:p w14:paraId="466DA204">
            <w:pPr>
              <w:pStyle w:val="17"/>
              <w:bidi w:val="0"/>
              <w:rPr>
                <w:rFonts w:hint="default"/>
                <w:color w:val="auto"/>
                <w:highlight w:val="none"/>
                <w:lang w:val="en-US" w:eastAsia="zh-CN"/>
              </w:rPr>
            </w:pPr>
            <w:r>
              <w:rPr>
                <w:rFonts w:hint="default"/>
                <w:color w:val="auto"/>
                <w:highlight w:val="none"/>
                <w:lang w:val="en-US" w:eastAsia="zh-CN"/>
              </w:rPr>
              <w:t>植被覆盖度</w:t>
            </w:r>
          </w:p>
        </w:tc>
        <w:tc>
          <w:tcPr>
            <w:tcW w:w="6879" w:type="dxa"/>
            <w:gridSpan w:val="5"/>
            <w:vAlign w:val="center"/>
          </w:tcPr>
          <w:p w14:paraId="5EEC522D">
            <w:pPr>
              <w:pStyle w:val="17"/>
              <w:bidi w:val="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w:t>
            </w:r>
          </w:p>
        </w:tc>
      </w:tr>
      <w:tr w14:paraId="468E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643" w:type="dxa"/>
            <w:vAlign w:val="center"/>
          </w:tcPr>
          <w:p w14:paraId="4C0F7F13">
            <w:pPr>
              <w:pStyle w:val="17"/>
              <w:bidi w:val="0"/>
              <w:rPr>
                <w:rFonts w:hint="default"/>
                <w:color w:val="auto"/>
                <w:highlight w:val="none"/>
                <w:lang w:val="en-US" w:eastAsia="zh-CN"/>
              </w:rPr>
            </w:pPr>
            <w:r>
              <w:rPr>
                <w:rFonts w:hint="default"/>
                <w:color w:val="auto"/>
                <w:highlight w:val="none"/>
                <w:lang w:val="en-US" w:eastAsia="zh-CN"/>
              </w:rPr>
              <w:t>序号</w:t>
            </w:r>
          </w:p>
        </w:tc>
        <w:tc>
          <w:tcPr>
            <w:tcW w:w="1680" w:type="dxa"/>
            <w:vAlign w:val="center"/>
          </w:tcPr>
          <w:p w14:paraId="2DE6E801">
            <w:pPr>
              <w:pStyle w:val="17"/>
              <w:bidi w:val="0"/>
              <w:rPr>
                <w:rFonts w:hint="default"/>
                <w:color w:val="auto"/>
                <w:highlight w:val="none"/>
                <w:lang w:val="en-US" w:eastAsia="zh-CN"/>
              </w:rPr>
            </w:pPr>
            <w:r>
              <w:rPr>
                <w:rFonts w:hint="default"/>
                <w:color w:val="auto"/>
                <w:highlight w:val="none"/>
                <w:lang w:val="en-US" w:eastAsia="zh-CN"/>
              </w:rPr>
              <w:t>植物名称</w:t>
            </w:r>
          </w:p>
        </w:tc>
        <w:tc>
          <w:tcPr>
            <w:tcW w:w="1305" w:type="dxa"/>
            <w:vAlign w:val="center"/>
          </w:tcPr>
          <w:p w14:paraId="13CEFF6D">
            <w:pPr>
              <w:pStyle w:val="17"/>
              <w:bidi w:val="0"/>
              <w:rPr>
                <w:rFonts w:hint="default"/>
                <w:color w:val="auto"/>
                <w:highlight w:val="none"/>
                <w:lang w:val="en-US" w:eastAsia="zh-CN"/>
              </w:rPr>
            </w:pPr>
            <w:r>
              <w:rPr>
                <w:rFonts w:hint="default"/>
                <w:color w:val="auto"/>
                <w:highlight w:val="none"/>
                <w:lang w:val="en-US" w:eastAsia="zh-CN"/>
              </w:rPr>
              <w:t>高度（cm）</w:t>
            </w:r>
          </w:p>
        </w:tc>
        <w:tc>
          <w:tcPr>
            <w:tcW w:w="2685" w:type="dxa"/>
            <w:gridSpan w:val="2"/>
            <w:vAlign w:val="center"/>
          </w:tcPr>
          <w:p w14:paraId="1774BC43">
            <w:pPr>
              <w:pStyle w:val="17"/>
              <w:bidi w:val="0"/>
              <w:rPr>
                <w:rFonts w:hint="default"/>
                <w:color w:val="auto"/>
                <w:highlight w:val="none"/>
                <w:lang w:val="en-US" w:eastAsia="zh-CN"/>
              </w:rPr>
            </w:pPr>
            <w:r>
              <w:rPr>
                <w:rFonts w:hint="default"/>
                <w:color w:val="auto"/>
                <w:highlight w:val="none"/>
                <w:lang w:val="en-US" w:eastAsia="zh-CN"/>
              </w:rPr>
              <w:t>盖度</w:t>
            </w:r>
          </w:p>
        </w:tc>
        <w:tc>
          <w:tcPr>
            <w:tcW w:w="1209" w:type="dxa"/>
            <w:vAlign w:val="center"/>
          </w:tcPr>
          <w:p w14:paraId="5BFD8DEB">
            <w:pPr>
              <w:pStyle w:val="17"/>
              <w:bidi w:val="0"/>
              <w:rPr>
                <w:rFonts w:hint="default"/>
                <w:color w:val="auto"/>
                <w:highlight w:val="none"/>
                <w:lang w:val="en-US" w:eastAsia="zh-CN"/>
              </w:rPr>
            </w:pPr>
            <w:r>
              <w:rPr>
                <w:rFonts w:hint="default"/>
                <w:color w:val="auto"/>
                <w:highlight w:val="none"/>
                <w:lang w:val="en-US" w:eastAsia="zh-CN"/>
              </w:rPr>
              <w:t>多度</w:t>
            </w:r>
          </w:p>
        </w:tc>
      </w:tr>
      <w:tr w14:paraId="039B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643" w:type="dxa"/>
            <w:vAlign w:val="center"/>
          </w:tcPr>
          <w:p w14:paraId="4D9D391E">
            <w:pPr>
              <w:pStyle w:val="17"/>
              <w:bidi w:val="0"/>
              <w:rPr>
                <w:rFonts w:hint="default"/>
                <w:color w:val="auto"/>
                <w:highlight w:val="none"/>
                <w:lang w:val="en-US" w:eastAsia="zh-CN"/>
              </w:rPr>
            </w:pPr>
            <w:r>
              <w:rPr>
                <w:rFonts w:hint="default"/>
                <w:color w:val="auto"/>
                <w:highlight w:val="none"/>
                <w:lang w:val="en-US" w:eastAsia="zh-CN"/>
              </w:rPr>
              <w:t>1</w:t>
            </w:r>
          </w:p>
        </w:tc>
        <w:tc>
          <w:tcPr>
            <w:tcW w:w="1680" w:type="dxa"/>
            <w:vAlign w:val="center"/>
          </w:tcPr>
          <w:p w14:paraId="01F7A202">
            <w:pPr>
              <w:pStyle w:val="17"/>
              <w:bidi w:val="0"/>
              <w:rPr>
                <w:rFonts w:hint="default"/>
                <w:color w:val="auto"/>
                <w:highlight w:val="none"/>
                <w:lang w:val="en-US" w:eastAsia="zh-CN"/>
              </w:rPr>
            </w:pPr>
            <w:r>
              <w:rPr>
                <w:rFonts w:hint="eastAsia"/>
                <w:color w:val="auto"/>
                <w:highlight w:val="none"/>
                <w:lang w:val="en-US" w:eastAsia="zh-CN"/>
              </w:rPr>
              <w:t>盐爪爪</w:t>
            </w:r>
          </w:p>
        </w:tc>
        <w:tc>
          <w:tcPr>
            <w:tcW w:w="1305" w:type="dxa"/>
            <w:vAlign w:val="center"/>
          </w:tcPr>
          <w:p w14:paraId="22C2F26B">
            <w:pPr>
              <w:pStyle w:val="17"/>
              <w:bidi w:val="0"/>
              <w:rPr>
                <w:rFonts w:hint="default"/>
                <w:color w:val="auto"/>
                <w:highlight w:val="none"/>
                <w:lang w:val="en-US" w:eastAsia="zh-CN"/>
              </w:rPr>
            </w:pPr>
            <w:r>
              <w:rPr>
                <w:rFonts w:hint="eastAsia"/>
                <w:color w:val="auto"/>
                <w:highlight w:val="none"/>
                <w:lang w:val="en-US" w:eastAsia="zh-CN"/>
              </w:rPr>
              <w:t>12</w:t>
            </w:r>
          </w:p>
        </w:tc>
        <w:tc>
          <w:tcPr>
            <w:tcW w:w="2685" w:type="dxa"/>
            <w:gridSpan w:val="2"/>
            <w:vAlign w:val="center"/>
          </w:tcPr>
          <w:p w14:paraId="63E71278">
            <w:pPr>
              <w:pStyle w:val="17"/>
              <w:bidi w:val="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w:t>
            </w:r>
          </w:p>
        </w:tc>
        <w:tc>
          <w:tcPr>
            <w:tcW w:w="1209" w:type="dxa"/>
            <w:vAlign w:val="center"/>
          </w:tcPr>
          <w:p w14:paraId="3A42A005">
            <w:pPr>
              <w:pStyle w:val="17"/>
              <w:bidi w:val="0"/>
              <w:rPr>
                <w:rFonts w:hint="default"/>
                <w:color w:val="auto"/>
                <w:highlight w:val="none"/>
                <w:lang w:val="en-US" w:eastAsia="zh-CN"/>
              </w:rPr>
            </w:pPr>
            <w:r>
              <w:rPr>
                <w:rFonts w:hint="eastAsia"/>
                <w:color w:val="auto"/>
                <w:highlight w:val="none"/>
                <w:lang w:val="en-US" w:eastAsia="zh-CN"/>
              </w:rPr>
              <w:t>SP</w:t>
            </w:r>
          </w:p>
        </w:tc>
      </w:tr>
      <w:tr w14:paraId="7BF8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5978" w:type="dxa"/>
            <w:gridSpan w:val="4"/>
            <w:vMerge w:val="restart"/>
            <w:vAlign w:val="center"/>
          </w:tcPr>
          <w:p w14:paraId="3D003520">
            <w:pPr>
              <w:pStyle w:val="17"/>
              <w:bidi w:val="0"/>
              <w:rPr>
                <w:rFonts w:hint="default"/>
                <w:color w:val="auto"/>
                <w:highlight w:val="none"/>
                <w:lang w:val="en-US" w:eastAsia="zh-CN"/>
              </w:rPr>
            </w:pPr>
          </w:p>
        </w:tc>
        <w:tc>
          <w:tcPr>
            <w:tcW w:w="2544" w:type="dxa"/>
            <w:gridSpan w:val="2"/>
            <w:vAlign w:val="center"/>
          </w:tcPr>
          <w:p w14:paraId="57ACA8A7">
            <w:pPr>
              <w:pStyle w:val="17"/>
              <w:bidi w:val="0"/>
              <w:rPr>
                <w:rFonts w:hint="default"/>
                <w:color w:val="auto"/>
                <w:highlight w:val="none"/>
                <w:lang w:val="en-US" w:eastAsia="zh-CN"/>
              </w:rPr>
            </w:pPr>
            <w:r>
              <w:rPr>
                <w:rFonts w:hint="eastAsia"/>
                <w:color w:val="auto"/>
                <w:highlight w:val="none"/>
                <w:lang w:val="en-US" w:eastAsia="zh-CN"/>
              </w:rPr>
              <w:t>调查日期</w:t>
            </w:r>
          </w:p>
        </w:tc>
      </w:tr>
      <w:tr w14:paraId="31D7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5978" w:type="dxa"/>
            <w:gridSpan w:val="4"/>
            <w:vMerge w:val="continue"/>
            <w:vAlign w:val="center"/>
          </w:tcPr>
          <w:p w14:paraId="58037702">
            <w:pPr>
              <w:pStyle w:val="17"/>
              <w:bidi w:val="0"/>
              <w:rPr>
                <w:rFonts w:hint="default"/>
                <w:color w:val="auto"/>
                <w:highlight w:val="none"/>
                <w:lang w:val="en-US" w:eastAsia="zh-CN"/>
              </w:rPr>
            </w:pPr>
          </w:p>
        </w:tc>
        <w:tc>
          <w:tcPr>
            <w:tcW w:w="2544" w:type="dxa"/>
            <w:gridSpan w:val="2"/>
            <w:vAlign w:val="center"/>
          </w:tcPr>
          <w:p w14:paraId="79E192A1">
            <w:pPr>
              <w:pStyle w:val="17"/>
              <w:bidi w:val="0"/>
              <w:rPr>
                <w:rFonts w:hint="default"/>
                <w:color w:val="auto"/>
                <w:highlight w:val="none"/>
                <w:lang w:val="en-US" w:eastAsia="zh-CN"/>
              </w:rPr>
            </w:pPr>
            <w:r>
              <w:rPr>
                <w:rFonts w:hint="eastAsia"/>
                <w:color w:val="auto"/>
                <w:highlight w:val="none"/>
                <w:lang w:val="en-US" w:eastAsia="zh-CN"/>
              </w:rPr>
              <w:t>2026年5月21日</w:t>
            </w:r>
          </w:p>
        </w:tc>
      </w:tr>
      <w:tr w14:paraId="2AFA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978" w:type="dxa"/>
            <w:gridSpan w:val="4"/>
            <w:vMerge w:val="continue"/>
            <w:vAlign w:val="center"/>
          </w:tcPr>
          <w:p w14:paraId="2B7D6EA6">
            <w:pPr>
              <w:pStyle w:val="17"/>
              <w:bidi w:val="0"/>
              <w:rPr>
                <w:rFonts w:hint="default"/>
                <w:color w:val="auto"/>
                <w:highlight w:val="none"/>
                <w:lang w:val="en-US" w:eastAsia="zh-CN"/>
              </w:rPr>
            </w:pPr>
          </w:p>
        </w:tc>
        <w:tc>
          <w:tcPr>
            <w:tcW w:w="2544" w:type="dxa"/>
            <w:gridSpan w:val="2"/>
            <w:vAlign w:val="center"/>
          </w:tcPr>
          <w:p w14:paraId="72936B80">
            <w:pPr>
              <w:pStyle w:val="17"/>
              <w:bidi w:val="0"/>
              <w:rPr>
                <w:rFonts w:hint="default"/>
                <w:color w:val="auto"/>
                <w:highlight w:val="none"/>
                <w:lang w:val="en-US" w:eastAsia="zh-CN"/>
              </w:rPr>
            </w:pPr>
            <w:r>
              <w:rPr>
                <w:rFonts w:hint="eastAsia"/>
                <w:color w:val="auto"/>
                <w:highlight w:val="none"/>
                <w:lang w:val="en-US" w:eastAsia="zh-CN"/>
              </w:rPr>
              <w:t>调查地点</w:t>
            </w:r>
          </w:p>
        </w:tc>
      </w:tr>
      <w:tr w14:paraId="5945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5978" w:type="dxa"/>
            <w:gridSpan w:val="4"/>
            <w:vMerge w:val="continue"/>
            <w:vAlign w:val="center"/>
          </w:tcPr>
          <w:p w14:paraId="7544A226">
            <w:pPr>
              <w:pStyle w:val="17"/>
              <w:bidi w:val="0"/>
              <w:rPr>
                <w:rFonts w:hint="default"/>
                <w:color w:val="auto"/>
                <w:highlight w:val="none"/>
                <w:lang w:val="en-US" w:eastAsia="zh-CN"/>
              </w:rPr>
            </w:pPr>
          </w:p>
        </w:tc>
        <w:tc>
          <w:tcPr>
            <w:tcW w:w="2544" w:type="dxa"/>
            <w:gridSpan w:val="2"/>
            <w:vAlign w:val="center"/>
          </w:tcPr>
          <w:p w14:paraId="5A0FC60A">
            <w:pPr>
              <w:pStyle w:val="17"/>
              <w:bidi w:val="0"/>
              <w:rPr>
                <w:rFonts w:hint="default"/>
                <w:color w:val="auto"/>
                <w:highlight w:val="none"/>
                <w:lang w:val="en-US" w:eastAsia="zh-CN"/>
              </w:rPr>
            </w:pPr>
            <w:r>
              <w:rPr>
                <w:rFonts w:hint="eastAsia"/>
                <w:color w:val="auto"/>
                <w:highlight w:val="none"/>
                <w:lang w:val="en-US" w:eastAsia="zh-CN"/>
              </w:rPr>
              <w:t>项目评价范围内</w:t>
            </w:r>
          </w:p>
        </w:tc>
      </w:tr>
      <w:tr w14:paraId="31F2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978" w:type="dxa"/>
            <w:gridSpan w:val="4"/>
            <w:vMerge w:val="continue"/>
            <w:vAlign w:val="center"/>
          </w:tcPr>
          <w:p w14:paraId="03D97DCD">
            <w:pPr>
              <w:pStyle w:val="17"/>
              <w:bidi w:val="0"/>
              <w:rPr>
                <w:rFonts w:hint="default"/>
                <w:color w:val="auto"/>
                <w:highlight w:val="none"/>
                <w:lang w:val="en-US" w:eastAsia="zh-CN"/>
              </w:rPr>
            </w:pPr>
          </w:p>
        </w:tc>
        <w:tc>
          <w:tcPr>
            <w:tcW w:w="2544" w:type="dxa"/>
            <w:gridSpan w:val="2"/>
            <w:vAlign w:val="center"/>
          </w:tcPr>
          <w:p w14:paraId="07AA86A2">
            <w:pPr>
              <w:pStyle w:val="17"/>
              <w:bidi w:val="0"/>
              <w:rPr>
                <w:rFonts w:hint="default"/>
                <w:color w:val="auto"/>
                <w:highlight w:val="none"/>
                <w:lang w:val="en-US" w:eastAsia="zh-CN"/>
              </w:rPr>
            </w:pPr>
            <w:r>
              <w:rPr>
                <w:rFonts w:hint="eastAsia"/>
                <w:color w:val="auto"/>
                <w:highlight w:val="none"/>
                <w:lang w:val="en-US" w:eastAsia="zh-CN"/>
              </w:rPr>
              <w:t>样方面积</w:t>
            </w:r>
          </w:p>
        </w:tc>
      </w:tr>
      <w:tr w14:paraId="737B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978" w:type="dxa"/>
            <w:gridSpan w:val="4"/>
            <w:vMerge w:val="continue"/>
            <w:vAlign w:val="center"/>
          </w:tcPr>
          <w:p w14:paraId="2432CF8D">
            <w:pPr>
              <w:pStyle w:val="17"/>
              <w:bidi w:val="0"/>
              <w:rPr>
                <w:rFonts w:hint="default"/>
                <w:color w:val="auto"/>
                <w:highlight w:val="none"/>
                <w:lang w:val="en-US" w:eastAsia="zh-CN"/>
              </w:rPr>
            </w:pPr>
          </w:p>
        </w:tc>
        <w:tc>
          <w:tcPr>
            <w:tcW w:w="2544" w:type="dxa"/>
            <w:gridSpan w:val="2"/>
            <w:vAlign w:val="center"/>
          </w:tcPr>
          <w:p w14:paraId="11F75334">
            <w:pPr>
              <w:pStyle w:val="17"/>
              <w:bidi w:val="0"/>
              <w:rPr>
                <w:rFonts w:hint="default"/>
                <w:color w:val="auto"/>
                <w:highlight w:val="none"/>
                <w:lang w:val="en-US" w:eastAsia="zh-CN"/>
              </w:rPr>
            </w:pPr>
            <w:r>
              <w:rPr>
                <w:rFonts w:hint="eastAsia"/>
                <w:color w:val="auto"/>
                <w:highlight w:val="none"/>
                <w:lang w:val="en-US" w:eastAsia="zh-CN"/>
              </w:rPr>
              <w:t>1m×1m</w:t>
            </w:r>
          </w:p>
        </w:tc>
      </w:tr>
      <w:tr w14:paraId="26AE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643" w:type="dxa"/>
            <w:vAlign w:val="center"/>
          </w:tcPr>
          <w:p w14:paraId="40891E75">
            <w:pPr>
              <w:pStyle w:val="17"/>
              <w:bidi w:val="0"/>
              <w:rPr>
                <w:rFonts w:hint="default"/>
                <w:color w:val="auto"/>
                <w:highlight w:val="none"/>
                <w:lang w:val="en-US" w:eastAsia="zh-CN"/>
              </w:rPr>
            </w:pPr>
            <w:r>
              <w:rPr>
                <w:rFonts w:hint="eastAsia"/>
                <w:color w:val="auto"/>
                <w:highlight w:val="none"/>
                <w:lang w:val="en-US" w:eastAsia="zh-CN"/>
              </w:rPr>
              <w:t>海拔</w:t>
            </w:r>
          </w:p>
        </w:tc>
        <w:tc>
          <w:tcPr>
            <w:tcW w:w="1680" w:type="dxa"/>
            <w:vAlign w:val="center"/>
          </w:tcPr>
          <w:p w14:paraId="1C4DF3F3">
            <w:pPr>
              <w:pStyle w:val="17"/>
              <w:bidi w:val="0"/>
              <w:rPr>
                <w:rFonts w:hint="default"/>
                <w:color w:val="auto"/>
                <w:highlight w:val="none"/>
                <w:lang w:val="en-US" w:eastAsia="zh-CN"/>
              </w:rPr>
            </w:pPr>
            <w:r>
              <w:rPr>
                <w:rFonts w:hint="eastAsia"/>
                <w:color w:val="auto"/>
                <w:highlight w:val="none"/>
                <w:lang w:val="en-US" w:eastAsia="zh-CN"/>
              </w:rPr>
              <w:t>2941</w:t>
            </w:r>
            <w:r>
              <w:rPr>
                <w:rFonts w:hint="default"/>
                <w:color w:val="auto"/>
                <w:highlight w:val="none"/>
                <w:lang w:val="en-US" w:eastAsia="zh-CN"/>
              </w:rPr>
              <w:t>m</w:t>
            </w:r>
          </w:p>
        </w:tc>
        <w:tc>
          <w:tcPr>
            <w:tcW w:w="1305" w:type="dxa"/>
            <w:vAlign w:val="center"/>
          </w:tcPr>
          <w:p w14:paraId="410E47C7">
            <w:pPr>
              <w:pStyle w:val="17"/>
              <w:bidi w:val="0"/>
              <w:rPr>
                <w:rFonts w:hint="default"/>
                <w:color w:val="auto"/>
                <w:highlight w:val="none"/>
                <w:lang w:val="en-US" w:eastAsia="zh-CN"/>
              </w:rPr>
            </w:pPr>
            <w:r>
              <w:rPr>
                <w:rFonts w:hint="default"/>
                <w:color w:val="auto"/>
                <w:highlight w:val="none"/>
                <w:lang w:val="en-US" w:eastAsia="zh-CN"/>
              </w:rPr>
              <w:t>坡度</w:t>
            </w:r>
          </w:p>
        </w:tc>
        <w:tc>
          <w:tcPr>
            <w:tcW w:w="1350" w:type="dxa"/>
            <w:vAlign w:val="center"/>
          </w:tcPr>
          <w:p w14:paraId="5CD122CC">
            <w:pPr>
              <w:pStyle w:val="17"/>
              <w:bidi w:val="0"/>
              <w:rPr>
                <w:rFonts w:hint="eastAsia"/>
                <w:color w:val="auto"/>
                <w:highlight w:val="none"/>
                <w:lang w:val="en-US" w:eastAsia="zh-CN"/>
              </w:rPr>
            </w:pPr>
            <w:r>
              <w:rPr>
                <w:rFonts w:hint="eastAsia"/>
                <w:color w:val="auto"/>
                <w:highlight w:val="none"/>
                <w:lang w:val="en-US" w:eastAsia="zh-CN"/>
              </w:rPr>
              <w:t>8%</w:t>
            </w:r>
          </w:p>
        </w:tc>
        <w:tc>
          <w:tcPr>
            <w:tcW w:w="1335" w:type="dxa"/>
            <w:vAlign w:val="center"/>
          </w:tcPr>
          <w:p w14:paraId="6B1CFFF9">
            <w:pPr>
              <w:pStyle w:val="17"/>
              <w:bidi w:val="0"/>
              <w:rPr>
                <w:rFonts w:hint="default"/>
                <w:color w:val="auto"/>
                <w:highlight w:val="none"/>
                <w:lang w:val="en-US" w:eastAsia="zh-CN"/>
              </w:rPr>
            </w:pPr>
            <w:r>
              <w:rPr>
                <w:rFonts w:hint="default"/>
                <w:color w:val="auto"/>
                <w:highlight w:val="none"/>
                <w:lang w:val="en-US" w:eastAsia="zh-CN"/>
              </w:rPr>
              <w:t>坡向</w:t>
            </w:r>
          </w:p>
        </w:tc>
        <w:tc>
          <w:tcPr>
            <w:tcW w:w="1209" w:type="dxa"/>
            <w:vAlign w:val="center"/>
          </w:tcPr>
          <w:p w14:paraId="07E6920A">
            <w:pPr>
              <w:pStyle w:val="17"/>
              <w:bidi w:val="0"/>
              <w:rPr>
                <w:rFonts w:hint="default"/>
                <w:color w:val="auto"/>
                <w:highlight w:val="none"/>
                <w:lang w:val="en-US" w:eastAsia="zh-CN"/>
              </w:rPr>
            </w:pPr>
            <w:r>
              <w:rPr>
                <w:rFonts w:hint="eastAsia"/>
                <w:color w:val="auto"/>
                <w:highlight w:val="none"/>
                <w:lang w:val="en-US" w:eastAsia="zh-CN"/>
              </w:rPr>
              <w:t>S</w:t>
            </w:r>
          </w:p>
        </w:tc>
      </w:tr>
      <w:tr w14:paraId="674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643" w:type="dxa"/>
            <w:vAlign w:val="center"/>
          </w:tcPr>
          <w:p w14:paraId="4C15D1A0">
            <w:pPr>
              <w:pStyle w:val="17"/>
              <w:bidi w:val="0"/>
              <w:rPr>
                <w:rFonts w:hint="default"/>
                <w:color w:val="auto"/>
                <w:highlight w:val="none"/>
                <w:lang w:val="en-US" w:eastAsia="zh-CN"/>
              </w:rPr>
            </w:pPr>
            <w:r>
              <w:rPr>
                <w:rFonts w:hint="default"/>
                <w:color w:val="auto"/>
                <w:highlight w:val="none"/>
                <w:lang w:val="en-US" w:eastAsia="zh-CN"/>
              </w:rPr>
              <w:t>土地类型</w:t>
            </w:r>
          </w:p>
        </w:tc>
        <w:tc>
          <w:tcPr>
            <w:tcW w:w="1680" w:type="dxa"/>
            <w:vAlign w:val="center"/>
          </w:tcPr>
          <w:p w14:paraId="67686561">
            <w:pPr>
              <w:pStyle w:val="17"/>
              <w:bidi w:val="0"/>
              <w:rPr>
                <w:rFonts w:hint="default"/>
                <w:color w:val="auto"/>
                <w:highlight w:val="none"/>
                <w:lang w:val="en-US" w:eastAsia="zh-CN"/>
              </w:rPr>
            </w:pPr>
            <w:r>
              <w:rPr>
                <w:rFonts w:hint="default"/>
                <w:color w:val="auto"/>
                <w:highlight w:val="none"/>
                <w:lang w:val="en-US" w:eastAsia="zh-CN"/>
              </w:rPr>
              <w:t>裸岩石砾地</w:t>
            </w:r>
          </w:p>
        </w:tc>
        <w:tc>
          <w:tcPr>
            <w:tcW w:w="1305" w:type="dxa"/>
            <w:shd w:val="clear" w:color="auto" w:fill="auto"/>
            <w:vAlign w:val="center"/>
          </w:tcPr>
          <w:p w14:paraId="51994DF0">
            <w:pPr>
              <w:pStyle w:val="17"/>
              <w:bidi w:val="0"/>
              <w:rPr>
                <w:rFonts w:hint="default"/>
                <w:color w:val="auto"/>
                <w:highlight w:val="none"/>
                <w:lang w:val="en-US" w:eastAsia="zh-CN"/>
              </w:rPr>
            </w:pPr>
            <w:r>
              <w:rPr>
                <w:rFonts w:hint="default"/>
                <w:color w:val="auto"/>
                <w:highlight w:val="none"/>
                <w:lang w:val="en-US" w:eastAsia="zh-CN"/>
              </w:rPr>
              <w:t>地形/地貌</w:t>
            </w:r>
          </w:p>
        </w:tc>
        <w:tc>
          <w:tcPr>
            <w:tcW w:w="1350" w:type="dxa"/>
            <w:shd w:val="clear" w:color="auto" w:fill="auto"/>
            <w:vAlign w:val="center"/>
          </w:tcPr>
          <w:p w14:paraId="71A5D562">
            <w:pPr>
              <w:pStyle w:val="17"/>
              <w:bidi w:val="0"/>
              <w:rPr>
                <w:rFonts w:hint="default"/>
                <w:color w:val="auto"/>
                <w:highlight w:val="none"/>
                <w:lang w:val="en-US" w:eastAsia="zh-CN"/>
              </w:rPr>
            </w:pPr>
            <w:r>
              <w:rPr>
                <w:rFonts w:hint="eastAsia"/>
                <w:color w:val="auto"/>
                <w:highlight w:val="none"/>
                <w:lang w:val="en-US" w:eastAsia="zh-CN"/>
              </w:rPr>
              <w:t>土丘</w:t>
            </w:r>
          </w:p>
        </w:tc>
        <w:tc>
          <w:tcPr>
            <w:tcW w:w="1335" w:type="dxa"/>
            <w:shd w:val="clear" w:color="auto" w:fill="auto"/>
            <w:vAlign w:val="center"/>
          </w:tcPr>
          <w:p w14:paraId="33016DF6">
            <w:pPr>
              <w:pStyle w:val="17"/>
              <w:bidi w:val="0"/>
              <w:rPr>
                <w:rFonts w:hint="default"/>
                <w:color w:val="auto"/>
                <w:highlight w:val="none"/>
                <w:lang w:val="en-US" w:eastAsia="zh-CN"/>
              </w:rPr>
            </w:pPr>
            <w:r>
              <w:rPr>
                <w:rFonts w:hint="default"/>
                <w:color w:val="auto"/>
                <w:highlight w:val="none"/>
                <w:lang w:val="en-US" w:eastAsia="zh-CN"/>
              </w:rPr>
              <w:t>植被种类</w:t>
            </w:r>
          </w:p>
        </w:tc>
        <w:tc>
          <w:tcPr>
            <w:tcW w:w="1209" w:type="dxa"/>
            <w:shd w:val="clear" w:color="auto" w:fill="auto"/>
            <w:vAlign w:val="center"/>
          </w:tcPr>
          <w:p w14:paraId="3723FB4E">
            <w:pPr>
              <w:pStyle w:val="17"/>
              <w:bidi w:val="0"/>
              <w:rPr>
                <w:rFonts w:hint="default"/>
                <w:color w:val="auto"/>
                <w:highlight w:val="none"/>
                <w:lang w:val="en-US" w:eastAsia="zh-CN"/>
              </w:rPr>
            </w:pPr>
            <w:r>
              <w:rPr>
                <w:rFonts w:hint="default"/>
                <w:color w:val="auto"/>
                <w:highlight w:val="none"/>
                <w:lang w:val="en-US" w:eastAsia="zh-CN"/>
              </w:rPr>
              <w:t>1</w:t>
            </w:r>
          </w:p>
        </w:tc>
      </w:tr>
      <w:tr w14:paraId="1165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643" w:type="dxa"/>
            <w:vAlign w:val="center"/>
          </w:tcPr>
          <w:p w14:paraId="3778D1F1">
            <w:pPr>
              <w:pStyle w:val="17"/>
              <w:bidi w:val="0"/>
              <w:rPr>
                <w:rFonts w:hint="default"/>
                <w:color w:val="auto"/>
                <w:highlight w:val="none"/>
                <w:lang w:val="en-US" w:eastAsia="zh-CN"/>
              </w:rPr>
            </w:pPr>
            <w:r>
              <w:rPr>
                <w:rFonts w:hint="default"/>
                <w:color w:val="auto"/>
                <w:highlight w:val="none"/>
                <w:lang w:val="en-US" w:eastAsia="zh-CN"/>
              </w:rPr>
              <w:t>植被覆盖度</w:t>
            </w:r>
          </w:p>
        </w:tc>
        <w:tc>
          <w:tcPr>
            <w:tcW w:w="6879" w:type="dxa"/>
            <w:gridSpan w:val="5"/>
            <w:vAlign w:val="center"/>
          </w:tcPr>
          <w:p w14:paraId="6D3A4A23">
            <w:pPr>
              <w:pStyle w:val="17"/>
              <w:bidi w:val="0"/>
              <w:rPr>
                <w:rFonts w:hint="default"/>
                <w:color w:val="auto"/>
                <w:highlight w:val="none"/>
                <w:lang w:val="en-US" w:eastAsia="zh-CN"/>
              </w:rPr>
            </w:pPr>
            <w:r>
              <w:rPr>
                <w:rFonts w:hint="eastAsia"/>
                <w:color w:val="auto"/>
                <w:highlight w:val="none"/>
                <w:lang w:val="en-US" w:eastAsia="zh-CN"/>
              </w:rPr>
              <w:t>4</w:t>
            </w:r>
            <w:r>
              <w:rPr>
                <w:rFonts w:hint="default"/>
                <w:color w:val="auto"/>
                <w:highlight w:val="none"/>
                <w:lang w:val="en-US" w:eastAsia="zh-CN"/>
              </w:rPr>
              <w:t>%</w:t>
            </w:r>
          </w:p>
        </w:tc>
      </w:tr>
      <w:tr w14:paraId="4352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643" w:type="dxa"/>
            <w:vAlign w:val="center"/>
          </w:tcPr>
          <w:p w14:paraId="499E9B7D">
            <w:pPr>
              <w:pStyle w:val="17"/>
              <w:bidi w:val="0"/>
              <w:rPr>
                <w:rFonts w:hint="default"/>
                <w:color w:val="auto"/>
                <w:highlight w:val="none"/>
                <w:lang w:val="en-US" w:eastAsia="zh-CN"/>
              </w:rPr>
            </w:pPr>
            <w:r>
              <w:rPr>
                <w:rFonts w:hint="default"/>
                <w:color w:val="auto"/>
                <w:highlight w:val="none"/>
                <w:lang w:val="en-US" w:eastAsia="zh-CN"/>
              </w:rPr>
              <w:t>序号</w:t>
            </w:r>
          </w:p>
        </w:tc>
        <w:tc>
          <w:tcPr>
            <w:tcW w:w="1680" w:type="dxa"/>
            <w:vAlign w:val="center"/>
          </w:tcPr>
          <w:p w14:paraId="11B7D7CE">
            <w:pPr>
              <w:pStyle w:val="17"/>
              <w:bidi w:val="0"/>
              <w:rPr>
                <w:rFonts w:hint="default"/>
                <w:color w:val="auto"/>
                <w:highlight w:val="none"/>
                <w:lang w:val="en-US" w:eastAsia="zh-CN"/>
              </w:rPr>
            </w:pPr>
            <w:r>
              <w:rPr>
                <w:rFonts w:hint="default"/>
                <w:color w:val="auto"/>
                <w:highlight w:val="none"/>
                <w:lang w:val="en-US" w:eastAsia="zh-CN"/>
              </w:rPr>
              <w:t>植物名称</w:t>
            </w:r>
          </w:p>
        </w:tc>
        <w:tc>
          <w:tcPr>
            <w:tcW w:w="1305" w:type="dxa"/>
            <w:vAlign w:val="center"/>
          </w:tcPr>
          <w:p w14:paraId="25787189">
            <w:pPr>
              <w:pStyle w:val="17"/>
              <w:bidi w:val="0"/>
              <w:rPr>
                <w:rFonts w:hint="default"/>
                <w:color w:val="auto"/>
                <w:highlight w:val="none"/>
                <w:lang w:val="en-US" w:eastAsia="zh-CN"/>
              </w:rPr>
            </w:pPr>
            <w:r>
              <w:rPr>
                <w:rFonts w:hint="default"/>
                <w:color w:val="auto"/>
                <w:highlight w:val="none"/>
                <w:lang w:val="en-US" w:eastAsia="zh-CN"/>
              </w:rPr>
              <w:t>高度（cm）</w:t>
            </w:r>
          </w:p>
        </w:tc>
        <w:tc>
          <w:tcPr>
            <w:tcW w:w="2685" w:type="dxa"/>
            <w:gridSpan w:val="2"/>
            <w:vAlign w:val="center"/>
          </w:tcPr>
          <w:p w14:paraId="05781355">
            <w:pPr>
              <w:pStyle w:val="17"/>
              <w:bidi w:val="0"/>
              <w:rPr>
                <w:rFonts w:hint="default"/>
                <w:color w:val="auto"/>
                <w:highlight w:val="none"/>
                <w:lang w:val="en-US" w:eastAsia="zh-CN"/>
              </w:rPr>
            </w:pPr>
            <w:r>
              <w:rPr>
                <w:rFonts w:hint="default"/>
                <w:color w:val="auto"/>
                <w:highlight w:val="none"/>
                <w:lang w:val="en-US" w:eastAsia="zh-CN"/>
              </w:rPr>
              <w:t>盖度</w:t>
            </w:r>
          </w:p>
        </w:tc>
        <w:tc>
          <w:tcPr>
            <w:tcW w:w="1209" w:type="dxa"/>
            <w:vAlign w:val="center"/>
          </w:tcPr>
          <w:p w14:paraId="411F56BB">
            <w:pPr>
              <w:pStyle w:val="17"/>
              <w:bidi w:val="0"/>
              <w:rPr>
                <w:rFonts w:hint="default"/>
                <w:color w:val="auto"/>
                <w:highlight w:val="none"/>
                <w:lang w:val="en-US" w:eastAsia="zh-CN"/>
              </w:rPr>
            </w:pPr>
            <w:r>
              <w:rPr>
                <w:rFonts w:hint="default"/>
                <w:color w:val="auto"/>
                <w:highlight w:val="none"/>
                <w:lang w:val="en-US" w:eastAsia="zh-CN"/>
              </w:rPr>
              <w:t>多度</w:t>
            </w:r>
          </w:p>
        </w:tc>
      </w:tr>
      <w:tr w14:paraId="54EC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643" w:type="dxa"/>
            <w:vAlign w:val="center"/>
          </w:tcPr>
          <w:p w14:paraId="5A06137C">
            <w:pPr>
              <w:pStyle w:val="17"/>
              <w:bidi w:val="0"/>
              <w:rPr>
                <w:rFonts w:hint="default"/>
                <w:color w:val="auto"/>
                <w:highlight w:val="none"/>
                <w:lang w:val="en-US" w:eastAsia="zh-CN"/>
              </w:rPr>
            </w:pPr>
            <w:r>
              <w:rPr>
                <w:rFonts w:hint="default"/>
                <w:color w:val="auto"/>
                <w:highlight w:val="none"/>
                <w:lang w:val="en-US" w:eastAsia="zh-CN"/>
              </w:rPr>
              <w:t>1</w:t>
            </w:r>
          </w:p>
        </w:tc>
        <w:tc>
          <w:tcPr>
            <w:tcW w:w="1680" w:type="dxa"/>
            <w:vAlign w:val="center"/>
          </w:tcPr>
          <w:p w14:paraId="6D4799A7">
            <w:pPr>
              <w:pStyle w:val="17"/>
              <w:bidi w:val="0"/>
              <w:rPr>
                <w:rFonts w:hint="default"/>
                <w:color w:val="auto"/>
                <w:highlight w:val="none"/>
                <w:lang w:val="en-US" w:eastAsia="zh-CN"/>
              </w:rPr>
            </w:pPr>
            <w:r>
              <w:rPr>
                <w:rFonts w:hint="eastAsia"/>
                <w:color w:val="auto"/>
                <w:highlight w:val="none"/>
                <w:lang w:val="en-US" w:eastAsia="zh-CN"/>
              </w:rPr>
              <w:t>盐爪爪</w:t>
            </w:r>
          </w:p>
        </w:tc>
        <w:tc>
          <w:tcPr>
            <w:tcW w:w="1305" w:type="dxa"/>
            <w:vAlign w:val="center"/>
          </w:tcPr>
          <w:p w14:paraId="742D88E9">
            <w:pPr>
              <w:pStyle w:val="17"/>
              <w:bidi w:val="0"/>
              <w:rPr>
                <w:rFonts w:hint="default"/>
                <w:color w:val="auto"/>
                <w:highlight w:val="none"/>
                <w:lang w:val="en-US" w:eastAsia="zh-CN"/>
              </w:rPr>
            </w:pPr>
            <w:r>
              <w:rPr>
                <w:rFonts w:hint="eastAsia"/>
                <w:color w:val="auto"/>
                <w:highlight w:val="none"/>
                <w:lang w:val="en-US" w:eastAsia="zh-CN"/>
              </w:rPr>
              <w:t>15</w:t>
            </w:r>
          </w:p>
        </w:tc>
        <w:tc>
          <w:tcPr>
            <w:tcW w:w="2685" w:type="dxa"/>
            <w:gridSpan w:val="2"/>
            <w:vAlign w:val="center"/>
          </w:tcPr>
          <w:p w14:paraId="45DBDF9E">
            <w:pPr>
              <w:pStyle w:val="17"/>
              <w:bidi w:val="0"/>
              <w:rPr>
                <w:rFonts w:hint="default"/>
                <w:color w:val="auto"/>
                <w:highlight w:val="none"/>
                <w:lang w:val="en-US" w:eastAsia="zh-CN"/>
              </w:rPr>
            </w:pPr>
            <w:r>
              <w:rPr>
                <w:rFonts w:hint="eastAsia"/>
                <w:color w:val="auto"/>
                <w:highlight w:val="none"/>
                <w:lang w:val="en-US" w:eastAsia="zh-CN"/>
              </w:rPr>
              <w:t>4</w:t>
            </w:r>
            <w:r>
              <w:rPr>
                <w:rFonts w:hint="default"/>
                <w:color w:val="auto"/>
                <w:highlight w:val="none"/>
                <w:lang w:val="en-US" w:eastAsia="zh-CN"/>
              </w:rPr>
              <w:t>%</w:t>
            </w:r>
          </w:p>
        </w:tc>
        <w:tc>
          <w:tcPr>
            <w:tcW w:w="1209" w:type="dxa"/>
            <w:vAlign w:val="center"/>
          </w:tcPr>
          <w:p w14:paraId="40BA6A72">
            <w:pPr>
              <w:pStyle w:val="17"/>
              <w:bidi w:val="0"/>
              <w:rPr>
                <w:rFonts w:hint="default"/>
                <w:color w:val="auto"/>
                <w:highlight w:val="none"/>
                <w:lang w:eastAsia="zh-CN"/>
              </w:rPr>
            </w:pPr>
            <w:r>
              <w:rPr>
                <w:rFonts w:hint="eastAsia"/>
                <w:color w:val="auto"/>
                <w:highlight w:val="none"/>
                <w:lang w:val="en-US" w:eastAsia="zh-CN"/>
              </w:rPr>
              <w:t>SP</w:t>
            </w:r>
          </w:p>
        </w:tc>
      </w:tr>
    </w:tbl>
    <w:p w14:paraId="27883855">
      <w:pPr>
        <w:bidi w:val="0"/>
        <w:rPr>
          <w:rFonts w:hint="eastAsia"/>
          <w:color w:val="auto"/>
          <w:highlight w:val="none"/>
          <w:lang w:val="en-US" w:eastAsia="zh-CN"/>
        </w:rPr>
      </w:pPr>
      <w:r>
        <w:rPr>
          <w:rFonts w:hint="eastAsia"/>
          <w:color w:val="auto"/>
          <w:highlight w:val="none"/>
          <w:lang w:val="en-US" w:eastAsia="zh-CN"/>
        </w:rPr>
        <w:t>（2）珍稀濒危物种调查</w:t>
      </w:r>
    </w:p>
    <w:p w14:paraId="62154013">
      <w:pPr>
        <w:bidi w:val="0"/>
        <w:rPr>
          <w:rFonts w:hint="eastAsia"/>
          <w:color w:val="auto"/>
          <w:highlight w:val="none"/>
          <w:lang w:val="en-US" w:eastAsia="zh-CN"/>
        </w:rPr>
      </w:pPr>
      <w:r>
        <w:rPr>
          <w:rFonts w:hint="eastAsia"/>
          <w:color w:val="auto"/>
          <w:highlight w:val="none"/>
          <w:lang w:val="en-US" w:eastAsia="zh-CN"/>
        </w:rPr>
        <w:t>依据《国家重点保护野生植物名录》（2021年第15号）、《新疆国家重点保护野生植物名录（2022年）》及《新疆维吾尔自治区重点保护野生植物名录（2024年）》，根据访问调查及现场实地调查情况，现阶段在评价区范围内未调查到重点保护野生植物分布。</w:t>
      </w:r>
    </w:p>
    <w:p w14:paraId="024982DD">
      <w:pPr>
        <w:bidi w:val="0"/>
        <w:rPr>
          <w:rFonts w:hint="default"/>
          <w:color w:val="auto"/>
          <w:highlight w:val="none"/>
          <w:lang w:val="en-US" w:eastAsia="zh-CN"/>
        </w:rPr>
      </w:pPr>
      <w:r>
        <w:rPr>
          <w:rFonts w:hint="eastAsia"/>
          <w:color w:val="auto"/>
          <w:highlight w:val="none"/>
          <w:lang w:val="en-US" w:eastAsia="zh-CN"/>
        </w:rPr>
        <w:t>项目评价范围内植被覆盖度较低，植被类型图见图4.2-5，评价区植被覆盖度示意图见图4.2-8。</w:t>
      </w:r>
    </w:p>
    <w:p w14:paraId="3CE6F83B">
      <w:pPr>
        <w:pStyle w:val="7"/>
        <w:ind w:firstLine="482"/>
        <w:rPr>
          <w:color w:val="auto"/>
          <w:highlight w:val="none"/>
          <w:lang w:val="de-DE"/>
        </w:rPr>
      </w:pPr>
      <w:r>
        <w:rPr>
          <w:rFonts w:hint="eastAsia"/>
          <w:color w:val="auto"/>
          <w:highlight w:val="none"/>
        </w:rPr>
        <w:t>4.2.6.4</w:t>
      </w:r>
      <w:r>
        <w:rPr>
          <w:rFonts w:hint="eastAsia"/>
          <w:color w:val="auto"/>
          <w:highlight w:val="none"/>
          <w:lang w:val="de-DE"/>
        </w:rPr>
        <w:t>区域动物现状</w:t>
      </w:r>
    </w:p>
    <w:p w14:paraId="4F8E8765">
      <w:pPr>
        <w:overflowPunct w:val="0"/>
        <w:topLinePunct/>
        <w:adjustRightInd w:val="0"/>
        <w:snapToGrid w:val="0"/>
        <w:ind w:firstLine="480"/>
        <w:rPr>
          <w:color w:val="auto"/>
          <w:highlight w:val="none"/>
          <w:shd w:val="clear" w:color="auto" w:fill="FFFFFF"/>
        </w:rPr>
      </w:pPr>
      <w:r>
        <w:rPr>
          <w:rFonts w:hint="eastAsia"/>
          <w:color w:val="auto"/>
          <w:highlight w:val="none"/>
          <w:shd w:val="clear" w:color="auto" w:fill="FFFFFF"/>
        </w:rPr>
        <w:t>区域内野生动物的种类和数量非常有限，</w:t>
      </w:r>
      <w:r>
        <w:rPr>
          <w:rFonts w:hint="eastAsia"/>
          <w:color w:val="auto"/>
          <w:highlight w:val="none"/>
          <w:shd w:val="clear" w:color="auto" w:fill="FFFFFF"/>
          <w:lang w:val="en-US" w:eastAsia="zh-CN"/>
        </w:rPr>
        <w:t>受地理条件的限制和人为活动影响，评价区偶见大型野生动物，常见耐旱荒漠种的小型动物。</w:t>
      </w:r>
      <w:r>
        <w:rPr>
          <w:rFonts w:hint="eastAsia"/>
          <w:color w:val="auto"/>
          <w:highlight w:val="none"/>
          <w:shd w:val="clear" w:color="auto" w:fill="FFFFFF"/>
        </w:rPr>
        <w:t>常见旱獭活动，偶见黄鼠、兔、麻雀、燕子、乌鸦等野生动物活动。</w:t>
      </w:r>
      <w:r>
        <w:rPr>
          <w:rFonts w:hint="eastAsia"/>
          <w:color w:val="auto"/>
          <w:highlight w:val="none"/>
          <w:shd w:val="clear" w:color="auto" w:fill="FFFFFF"/>
          <w:lang w:eastAsia="zh-CN"/>
        </w:rPr>
        <w:t>区域</w:t>
      </w:r>
      <w:r>
        <w:rPr>
          <w:rFonts w:hint="eastAsia"/>
          <w:color w:val="auto"/>
          <w:highlight w:val="none"/>
          <w:shd w:val="clear" w:color="auto" w:fill="FFFFFF"/>
        </w:rPr>
        <w:t>动物名录见表4.2-</w:t>
      </w:r>
      <w:r>
        <w:rPr>
          <w:rFonts w:hint="eastAsia"/>
          <w:color w:val="auto"/>
          <w:highlight w:val="none"/>
          <w:shd w:val="clear" w:color="auto" w:fill="FFFFFF"/>
          <w:lang w:val="en-US" w:eastAsia="zh-CN"/>
        </w:rPr>
        <w:t>19</w:t>
      </w:r>
      <w:r>
        <w:rPr>
          <w:rFonts w:hint="eastAsia"/>
          <w:color w:val="auto"/>
          <w:highlight w:val="none"/>
          <w:shd w:val="clear" w:color="auto" w:fill="FFFFFF"/>
        </w:rPr>
        <w:t>。</w:t>
      </w:r>
    </w:p>
    <w:p w14:paraId="43F304FC">
      <w:pPr>
        <w:pStyle w:val="19"/>
        <w:bidi w:val="0"/>
        <w:rPr>
          <w:color w:val="auto"/>
          <w:highlight w:val="none"/>
        </w:rPr>
      </w:pPr>
      <w:r>
        <w:rPr>
          <w:rFonts w:hint="eastAsia"/>
          <w:color w:val="auto"/>
          <w:highlight w:val="none"/>
        </w:rPr>
        <w:t>表4.2-</w:t>
      </w:r>
      <w:r>
        <w:rPr>
          <w:rFonts w:hint="eastAsia"/>
          <w:color w:val="auto"/>
          <w:highlight w:val="none"/>
          <w:lang w:val="en-US" w:eastAsia="zh-CN"/>
        </w:rPr>
        <w:t>19</w:t>
      </w:r>
      <w:r>
        <w:rPr>
          <w:rFonts w:hint="eastAsia"/>
          <w:color w:val="auto"/>
          <w:highlight w:val="none"/>
        </w:rPr>
        <w:t xml:space="preserve">    </w:t>
      </w:r>
      <w:r>
        <w:rPr>
          <w:rFonts w:hint="eastAsia"/>
          <w:color w:val="auto"/>
          <w:highlight w:val="none"/>
          <w:lang w:val="en-US" w:eastAsia="zh-CN"/>
        </w:rPr>
        <w:t>区域野生动物种类及分布</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7"/>
        <w:gridCol w:w="2638"/>
        <w:gridCol w:w="1328"/>
        <w:gridCol w:w="2886"/>
      </w:tblGrid>
      <w:tr w14:paraId="6E2F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Align w:val="center"/>
          </w:tcPr>
          <w:p w14:paraId="2B57B102">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b/>
                <w:bCs/>
                <w:color w:val="auto"/>
                <w:kern w:val="0"/>
                <w:sz w:val="21"/>
                <w:szCs w:val="22"/>
                <w:highlight w:val="none"/>
                <w:lang w:val="en-US" w:eastAsia="zh-CN" w:bidi="ar-SA"/>
              </w:rPr>
            </w:pPr>
            <w:r>
              <w:rPr>
                <w:rFonts w:ascii="Times New Roman" w:hAnsi="Times New Roman" w:eastAsia="宋体" w:cs="Times New Roman"/>
                <w:b/>
                <w:bCs/>
                <w:color w:val="auto"/>
                <w:kern w:val="0"/>
                <w:sz w:val="21"/>
                <w:szCs w:val="22"/>
                <w:highlight w:val="none"/>
                <w:lang w:val="en-US" w:eastAsia="zh-CN" w:bidi="ar-SA"/>
              </w:rPr>
              <w:t>目名</w:t>
            </w:r>
          </w:p>
        </w:tc>
        <w:tc>
          <w:tcPr>
            <w:tcW w:w="1548" w:type="pct"/>
            <w:vAlign w:val="center"/>
          </w:tcPr>
          <w:p w14:paraId="50E6C4B4">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b/>
                <w:bCs/>
                <w:color w:val="auto"/>
                <w:kern w:val="0"/>
                <w:sz w:val="21"/>
                <w:szCs w:val="22"/>
                <w:highlight w:val="none"/>
                <w:lang w:val="en-US" w:eastAsia="zh-CN" w:bidi="ar-SA"/>
              </w:rPr>
            </w:pPr>
            <w:r>
              <w:rPr>
                <w:rFonts w:ascii="Times New Roman" w:hAnsi="Times New Roman" w:eastAsia="宋体" w:cs="Times New Roman"/>
                <w:b/>
                <w:bCs/>
                <w:color w:val="auto"/>
                <w:kern w:val="0"/>
                <w:sz w:val="21"/>
                <w:szCs w:val="22"/>
                <w:highlight w:val="none"/>
                <w:lang w:val="en-US" w:eastAsia="zh-CN" w:bidi="ar-SA"/>
              </w:rPr>
              <w:t>科名</w:t>
            </w:r>
          </w:p>
        </w:tc>
        <w:tc>
          <w:tcPr>
            <w:tcW w:w="779" w:type="pct"/>
            <w:vAlign w:val="center"/>
          </w:tcPr>
          <w:p w14:paraId="658D9513">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b/>
                <w:bCs/>
                <w:color w:val="auto"/>
                <w:kern w:val="0"/>
                <w:sz w:val="21"/>
                <w:szCs w:val="22"/>
                <w:highlight w:val="none"/>
                <w:lang w:val="en-US" w:eastAsia="zh-CN" w:bidi="ar-SA"/>
              </w:rPr>
            </w:pPr>
            <w:r>
              <w:rPr>
                <w:rFonts w:ascii="Times New Roman" w:hAnsi="Times New Roman" w:eastAsia="宋体" w:cs="Times New Roman"/>
                <w:b/>
                <w:bCs/>
                <w:color w:val="auto"/>
                <w:kern w:val="0"/>
                <w:sz w:val="21"/>
                <w:szCs w:val="22"/>
                <w:highlight w:val="none"/>
                <w:lang w:val="en-US" w:eastAsia="zh-CN" w:bidi="ar-SA"/>
              </w:rPr>
              <w:t>中名</w:t>
            </w:r>
          </w:p>
        </w:tc>
        <w:tc>
          <w:tcPr>
            <w:tcW w:w="1693" w:type="pct"/>
            <w:vAlign w:val="center"/>
          </w:tcPr>
          <w:p w14:paraId="32DDFC94">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b/>
                <w:bCs/>
                <w:color w:val="auto"/>
                <w:kern w:val="0"/>
                <w:sz w:val="21"/>
                <w:szCs w:val="22"/>
                <w:highlight w:val="none"/>
                <w:lang w:val="en-US" w:eastAsia="zh-CN" w:bidi="ar-SA"/>
              </w:rPr>
            </w:pPr>
            <w:r>
              <w:rPr>
                <w:rFonts w:ascii="Times New Roman" w:hAnsi="Times New Roman" w:eastAsia="宋体" w:cs="Times New Roman"/>
                <w:b/>
                <w:bCs/>
                <w:color w:val="auto"/>
                <w:kern w:val="0"/>
                <w:sz w:val="21"/>
                <w:szCs w:val="22"/>
                <w:highlight w:val="none"/>
                <w:lang w:val="en-US" w:eastAsia="zh-CN" w:bidi="ar-SA"/>
              </w:rPr>
              <w:t>学名</w:t>
            </w:r>
          </w:p>
        </w:tc>
      </w:tr>
      <w:tr w14:paraId="7B50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Merge w:val="restart"/>
            <w:vAlign w:val="center"/>
          </w:tcPr>
          <w:p w14:paraId="77D39D4F">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啮齿目</w:t>
            </w:r>
          </w:p>
        </w:tc>
        <w:tc>
          <w:tcPr>
            <w:tcW w:w="1548" w:type="pct"/>
            <w:vMerge w:val="restart"/>
            <w:vAlign w:val="center"/>
          </w:tcPr>
          <w:p w14:paraId="0BA7C5B0">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鼠科Muridae</w:t>
            </w:r>
          </w:p>
        </w:tc>
        <w:tc>
          <w:tcPr>
            <w:tcW w:w="779" w:type="pct"/>
            <w:vAlign w:val="center"/>
          </w:tcPr>
          <w:p w14:paraId="7E9127BE">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褐家鼠</w:t>
            </w:r>
          </w:p>
        </w:tc>
        <w:tc>
          <w:tcPr>
            <w:tcW w:w="1693" w:type="pct"/>
            <w:vAlign w:val="center"/>
          </w:tcPr>
          <w:p w14:paraId="1CC6667E">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Rattus norvegicus</w:t>
            </w:r>
          </w:p>
        </w:tc>
      </w:tr>
      <w:tr w14:paraId="7954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Merge w:val="continue"/>
            <w:vAlign w:val="center"/>
          </w:tcPr>
          <w:p w14:paraId="19E8FE13">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1548" w:type="pct"/>
            <w:vMerge w:val="continue"/>
            <w:vAlign w:val="center"/>
          </w:tcPr>
          <w:p w14:paraId="5FA71053">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779" w:type="pct"/>
            <w:vAlign w:val="center"/>
          </w:tcPr>
          <w:p w14:paraId="4E2CA2DF">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小家鼠</w:t>
            </w:r>
          </w:p>
        </w:tc>
        <w:tc>
          <w:tcPr>
            <w:tcW w:w="1693" w:type="pct"/>
            <w:vAlign w:val="center"/>
          </w:tcPr>
          <w:p w14:paraId="1525F30A">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Mus musculus</w:t>
            </w:r>
          </w:p>
        </w:tc>
      </w:tr>
      <w:tr w14:paraId="0E8E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Merge w:val="continue"/>
            <w:vAlign w:val="center"/>
          </w:tcPr>
          <w:p w14:paraId="22623184">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1548" w:type="pct"/>
            <w:vMerge w:val="continue"/>
            <w:vAlign w:val="center"/>
          </w:tcPr>
          <w:p w14:paraId="5DF3C2D5">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779" w:type="pct"/>
            <w:vAlign w:val="center"/>
          </w:tcPr>
          <w:p w14:paraId="5DDFDF0C">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短尾仓鼠</w:t>
            </w:r>
          </w:p>
        </w:tc>
        <w:tc>
          <w:tcPr>
            <w:tcW w:w="1693" w:type="pct"/>
            <w:vAlign w:val="center"/>
          </w:tcPr>
          <w:p w14:paraId="66797E0F">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Cricetulus eversmanni</w:t>
            </w:r>
          </w:p>
        </w:tc>
      </w:tr>
      <w:tr w14:paraId="6418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Merge w:val="continue"/>
            <w:vAlign w:val="center"/>
          </w:tcPr>
          <w:p w14:paraId="70018A0E">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1548" w:type="pct"/>
            <w:vMerge w:val="continue"/>
            <w:vAlign w:val="center"/>
          </w:tcPr>
          <w:p w14:paraId="57126FFD">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779" w:type="pct"/>
            <w:vAlign w:val="center"/>
          </w:tcPr>
          <w:p w14:paraId="72E3511E">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灰仓鼠</w:t>
            </w:r>
          </w:p>
        </w:tc>
        <w:tc>
          <w:tcPr>
            <w:tcW w:w="1693" w:type="pct"/>
            <w:vAlign w:val="center"/>
          </w:tcPr>
          <w:p w14:paraId="67D80758">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Cricetulus migratorius</w:t>
            </w:r>
          </w:p>
        </w:tc>
      </w:tr>
      <w:tr w14:paraId="5CEF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Merge w:val="restart"/>
            <w:vAlign w:val="center"/>
          </w:tcPr>
          <w:p w14:paraId="4AB8468F">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鸽形目</w:t>
            </w:r>
          </w:p>
        </w:tc>
        <w:tc>
          <w:tcPr>
            <w:tcW w:w="1548" w:type="pct"/>
            <w:vAlign w:val="center"/>
          </w:tcPr>
          <w:p w14:paraId="3B33EAD5">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沙鸡科Pteroclidae</w:t>
            </w:r>
          </w:p>
        </w:tc>
        <w:tc>
          <w:tcPr>
            <w:tcW w:w="779" w:type="pct"/>
            <w:vAlign w:val="center"/>
          </w:tcPr>
          <w:p w14:paraId="4C50436A">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毛腿沙鸡</w:t>
            </w:r>
          </w:p>
        </w:tc>
        <w:tc>
          <w:tcPr>
            <w:tcW w:w="1693" w:type="pct"/>
            <w:vAlign w:val="center"/>
          </w:tcPr>
          <w:p w14:paraId="36CB706D">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Syrrhaptes paradoxus</w:t>
            </w:r>
          </w:p>
        </w:tc>
      </w:tr>
      <w:tr w14:paraId="0BDC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Merge w:val="continue"/>
            <w:vAlign w:val="center"/>
          </w:tcPr>
          <w:p w14:paraId="57C9B136">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1548" w:type="pct"/>
            <w:vAlign w:val="center"/>
          </w:tcPr>
          <w:p w14:paraId="303108DC">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鸠鸽科Columbidae</w:t>
            </w:r>
          </w:p>
        </w:tc>
        <w:tc>
          <w:tcPr>
            <w:tcW w:w="779" w:type="pct"/>
            <w:vAlign w:val="center"/>
          </w:tcPr>
          <w:p w14:paraId="2C8A47A8">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岩鸽</w:t>
            </w:r>
          </w:p>
        </w:tc>
        <w:tc>
          <w:tcPr>
            <w:tcW w:w="1693" w:type="pct"/>
            <w:vAlign w:val="center"/>
          </w:tcPr>
          <w:p w14:paraId="35F33882">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Columba rupestris</w:t>
            </w:r>
          </w:p>
        </w:tc>
      </w:tr>
      <w:tr w14:paraId="45B5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Align w:val="center"/>
          </w:tcPr>
          <w:p w14:paraId="699D7A5C">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鹃形目</w:t>
            </w:r>
          </w:p>
        </w:tc>
        <w:tc>
          <w:tcPr>
            <w:tcW w:w="1548" w:type="pct"/>
            <w:vAlign w:val="center"/>
          </w:tcPr>
          <w:p w14:paraId="1D561D65">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杜鹃科Cucudidae</w:t>
            </w:r>
          </w:p>
        </w:tc>
        <w:tc>
          <w:tcPr>
            <w:tcW w:w="779" w:type="pct"/>
            <w:vAlign w:val="center"/>
          </w:tcPr>
          <w:p w14:paraId="6D4F0E78">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大杜鹃</w:t>
            </w:r>
          </w:p>
        </w:tc>
        <w:tc>
          <w:tcPr>
            <w:tcW w:w="1693" w:type="pct"/>
            <w:vAlign w:val="center"/>
          </w:tcPr>
          <w:p w14:paraId="4F8BFFCB">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Cuculus canorus</w:t>
            </w:r>
          </w:p>
        </w:tc>
      </w:tr>
      <w:tr w14:paraId="0D51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Merge w:val="restart"/>
            <w:vAlign w:val="center"/>
          </w:tcPr>
          <w:p w14:paraId="450C1D1A">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隼形目</w:t>
            </w:r>
          </w:p>
        </w:tc>
        <w:tc>
          <w:tcPr>
            <w:tcW w:w="1548" w:type="pct"/>
            <w:vMerge w:val="restart"/>
            <w:vAlign w:val="center"/>
          </w:tcPr>
          <w:p w14:paraId="5C57817F">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鹰科Accipitridae</w:t>
            </w:r>
          </w:p>
        </w:tc>
        <w:tc>
          <w:tcPr>
            <w:tcW w:w="779" w:type="pct"/>
            <w:vAlign w:val="center"/>
          </w:tcPr>
          <w:p w14:paraId="7030BEF3">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苍鹰</w:t>
            </w:r>
          </w:p>
        </w:tc>
        <w:tc>
          <w:tcPr>
            <w:tcW w:w="1693" w:type="pct"/>
            <w:vAlign w:val="center"/>
          </w:tcPr>
          <w:p w14:paraId="7E2D5ECC">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Accipitergentilis</w:t>
            </w:r>
          </w:p>
        </w:tc>
      </w:tr>
      <w:tr w14:paraId="3E0C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Merge w:val="continue"/>
            <w:vAlign w:val="center"/>
          </w:tcPr>
          <w:p w14:paraId="1115D809">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1548" w:type="pct"/>
            <w:vMerge w:val="continue"/>
            <w:vAlign w:val="center"/>
          </w:tcPr>
          <w:p w14:paraId="5397FEA2">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p>
        </w:tc>
        <w:tc>
          <w:tcPr>
            <w:tcW w:w="779" w:type="pct"/>
            <w:vAlign w:val="center"/>
          </w:tcPr>
          <w:p w14:paraId="3280E85C">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雀鹰</w:t>
            </w:r>
          </w:p>
        </w:tc>
        <w:tc>
          <w:tcPr>
            <w:tcW w:w="1693" w:type="pct"/>
            <w:vAlign w:val="center"/>
          </w:tcPr>
          <w:p w14:paraId="2FBC81CB">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Accipiter nisus</w:t>
            </w:r>
          </w:p>
        </w:tc>
      </w:tr>
      <w:tr w14:paraId="257B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Align w:val="center"/>
          </w:tcPr>
          <w:p w14:paraId="41D98B15">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鸮形目</w:t>
            </w:r>
          </w:p>
        </w:tc>
        <w:tc>
          <w:tcPr>
            <w:tcW w:w="1548" w:type="pct"/>
            <w:vAlign w:val="center"/>
          </w:tcPr>
          <w:p w14:paraId="6769C743">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草鸮科Tytonidae</w:t>
            </w:r>
          </w:p>
        </w:tc>
        <w:tc>
          <w:tcPr>
            <w:tcW w:w="779" w:type="pct"/>
            <w:vAlign w:val="center"/>
          </w:tcPr>
          <w:p w14:paraId="35BEAEAB">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猫头鹰</w:t>
            </w:r>
          </w:p>
        </w:tc>
        <w:tc>
          <w:tcPr>
            <w:tcW w:w="1693" w:type="pct"/>
            <w:vAlign w:val="center"/>
          </w:tcPr>
          <w:p w14:paraId="2A782B45">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de-DE" w:eastAsia="zh-CN" w:bidi="ar-SA"/>
              </w:rPr>
              <w:t>Strigiformes</w:t>
            </w:r>
          </w:p>
        </w:tc>
      </w:tr>
      <w:tr w14:paraId="5856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78" w:type="pct"/>
            <w:vAlign w:val="center"/>
          </w:tcPr>
          <w:p w14:paraId="078989D2">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食肉目</w:t>
            </w:r>
          </w:p>
        </w:tc>
        <w:tc>
          <w:tcPr>
            <w:tcW w:w="1548" w:type="pct"/>
            <w:vAlign w:val="center"/>
          </w:tcPr>
          <w:p w14:paraId="611672A7">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en-US" w:eastAsia="zh-CN" w:bidi="ar-SA"/>
              </w:rPr>
            </w:pPr>
            <w:r>
              <w:rPr>
                <w:rFonts w:ascii="Times New Roman" w:hAnsi="Times New Roman" w:eastAsia="宋体" w:cs="Times New Roman"/>
                <w:color w:val="auto"/>
                <w:kern w:val="0"/>
                <w:sz w:val="21"/>
                <w:szCs w:val="22"/>
                <w:highlight w:val="none"/>
                <w:lang w:val="en-US" w:eastAsia="zh-CN" w:bidi="ar-SA"/>
              </w:rPr>
              <w:t>熊亚科Ursinae</w:t>
            </w:r>
          </w:p>
        </w:tc>
        <w:tc>
          <w:tcPr>
            <w:tcW w:w="779" w:type="pct"/>
            <w:vAlign w:val="center"/>
          </w:tcPr>
          <w:p w14:paraId="23612D38">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hint="default" w:ascii="Times New Roman" w:hAnsi="Times New Roman" w:eastAsia="宋体" w:cs="Times New Roman"/>
                <w:color w:val="auto"/>
                <w:kern w:val="0"/>
                <w:sz w:val="21"/>
                <w:szCs w:val="22"/>
                <w:highlight w:val="none"/>
                <w:lang w:val="en-US" w:eastAsia="zh-CN" w:bidi="ar-SA"/>
              </w:rPr>
            </w:pPr>
            <w:r>
              <w:rPr>
                <w:rFonts w:hint="eastAsia" w:ascii="Times New Roman" w:hAnsi="Times New Roman" w:eastAsia="宋体" w:cs="Times New Roman"/>
                <w:color w:val="auto"/>
                <w:kern w:val="0"/>
                <w:sz w:val="21"/>
                <w:szCs w:val="22"/>
                <w:highlight w:val="none"/>
                <w:lang w:val="en-US" w:eastAsia="zh-CN" w:bidi="ar-SA"/>
              </w:rPr>
              <w:t>棕熊</w:t>
            </w:r>
          </w:p>
        </w:tc>
        <w:tc>
          <w:tcPr>
            <w:tcW w:w="1693" w:type="pct"/>
            <w:vAlign w:val="center"/>
          </w:tcPr>
          <w:p w14:paraId="2A177E84">
            <w:pPr>
              <w:keepNext w:val="0"/>
              <w:keepLines w:val="0"/>
              <w:pageBreakBefore w:val="0"/>
              <w:widowControl w:val="0"/>
              <w:kinsoku/>
              <w:wordWrap/>
              <w:overflowPunct/>
              <w:topLinePunct w:val="0"/>
              <w:autoSpaceDE/>
              <w:autoSpaceDN/>
              <w:bidi w:val="0"/>
              <w:adjustRightInd w:val="0"/>
              <w:snapToGrid w:val="0"/>
              <w:spacing w:before="0" w:beforeAutospacing="0" w:line="360" w:lineRule="exact"/>
              <w:ind w:firstLine="0" w:firstLineChars="0"/>
              <w:jc w:val="center"/>
              <w:textAlignment w:val="baseline"/>
              <w:rPr>
                <w:rFonts w:ascii="Times New Roman" w:hAnsi="Times New Roman" w:eastAsia="宋体" w:cs="Times New Roman"/>
                <w:color w:val="auto"/>
                <w:kern w:val="0"/>
                <w:sz w:val="21"/>
                <w:szCs w:val="22"/>
                <w:highlight w:val="none"/>
                <w:lang w:val="de-DE" w:eastAsia="zh-CN" w:bidi="ar-SA"/>
              </w:rPr>
            </w:pPr>
            <w:r>
              <w:rPr>
                <w:rFonts w:ascii="Times New Roman" w:hAnsi="Times New Roman" w:eastAsia="宋体" w:cs="Times New Roman"/>
                <w:color w:val="auto"/>
                <w:kern w:val="0"/>
                <w:sz w:val="21"/>
                <w:szCs w:val="22"/>
                <w:highlight w:val="none"/>
                <w:lang w:val="en-US" w:eastAsia="zh-CN" w:bidi="ar-SA"/>
              </w:rPr>
              <w:t>Ursus arctos</w:t>
            </w:r>
          </w:p>
        </w:tc>
      </w:tr>
    </w:tbl>
    <w:p w14:paraId="2B606B23">
      <w:pPr>
        <w:bidi w:val="0"/>
        <w:rPr>
          <w:rFonts w:hint="eastAsia"/>
          <w:color w:val="auto"/>
          <w:highlight w:val="none"/>
          <w:lang w:val="en-US" w:eastAsia="zh-CN"/>
        </w:rPr>
      </w:pPr>
      <w:r>
        <w:rPr>
          <w:rFonts w:hint="default"/>
          <w:color w:val="auto"/>
          <w:highlight w:val="none"/>
          <w:lang w:val="en-US" w:eastAsia="zh-CN"/>
        </w:rPr>
        <w:t>在项目评价范围内，设置动物调查样线，共设置了</w:t>
      </w:r>
      <w:r>
        <w:rPr>
          <w:rFonts w:hint="eastAsia"/>
          <w:color w:val="auto"/>
          <w:highlight w:val="none"/>
          <w:lang w:val="en-US" w:eastAsia="zh-CN"/>
        </w:rPr>
        <w:t>3</w:t>
      </w:r>
      <w:r>
        <w:rPr>
          <w:rFonts w:hint="default"/>
          <w:color w:val="auto"/>
          <w:highlight w:val="none"/>
          <w:lang w:val="en-US" w:eastAsia="zh-CN"/>
        </w:rPr>
        <w:t>条调查样线，样线总长度</w:t>
      </w:r>
      <w:r>
        <w:rPr>
          <w:rFonts w:hint="eastAsia"/>
          <w:color w:val="auto"/>
          <w:highlight w:val="none"/>
          <w:lang w:val="en-US" w:eastAsia="zh-CN"/>
        </w:rPr>
        <w:t>3</w:t>
      </w:r>
      <w:r>
        <w:rPr>
          <w:rFonts w:hint="default"/>
          <w:color w:val="auto"/>
          <w:highlight w:val="none"/>
          <w:lang w:val="en-US" w:eastAsia="zh-CN"/>
        </w:rPr>
        <w:t>km</w:t>
      </w:r>
      <w:r>
        <w:rPr>
          <w:rFonts w:hint="eastAsia"/>
          <w:color w:val="auto"/>
          <w:highlight w:val="none"/>
          <w:lang w:val="en-US" w:eastAsia="zh-CN"/>
        </w:rPr>
        <w:t>，动物调查样线设置情况见表4.2-20。</w:t>
      </w:r>
    </w:p>
    <w:p w14:paraId="4EDA59C4">
      <w:pPr>
        <w:pStyle w:val="19"/>
        <w:bidi w:val="0"/>
        <w:rPr>
          <w:rFonts w:hint="eastAsia"/>
          <w:color w:val="auto"/>
          <w:highlight w:val="none"/>
          <w:lang w:val="en-US" w:eastAsia="zh-CN"/>
        </w:rPr>
      </w:pPr>
      <w:r>
        <w:rPr>
          <w:rFonts w:hint="eastAsia"/>
          <w:color w:val="auto"/>
          <w:highlight w:val="none"/>
          <w:lang w:val="en-US" w:eastAsia="zh-CN"/>
        </w:rPr>
        <w:t>表4.2-16   动物调查样线表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0373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restart"/>
            <w:vAlign w:val="center"/>
          </w:tcPr>
          <w:p w14:paraId="0D52EA5C">
            <w:pPr>
              <w:pStyle w:val="17"/>
              <w:bidi w:val="0"/>
              <w:rPr>
                <w:rFonts w:hint="default"/>
                <w:color w:val="auto"/>
                <w:highlight w:val="none"/>
                <w:lang w:val="en-US" w:eastAsia="zh-CN"/>
              </w:rPr>
            </w:pPr>
            <w:r>
              <w:rPr>
                <w:rFonts w:hint="eastAsia"/>
                <w:color w:val="auto"/>
                <w:highlight w:val="none"/>
                <w:lang w:val="en-US" w:eastAsia="zh-CN"/>
              </w:rPr>
              <w:t>样线编号</w:t>
            </w:r>
          </w:p>
        </w:tc>
        <w:tc>
          <w:tcPr>
            <w:tcW w:w="3408" w:type="dxa"/>
            <w:gridSpan w:val="2"/>
            <w:vAlign w:val="center"/>
          </w:tcPr>
          <w:p w14:paraId="7E6D272F">
            <w:pPr>
              <w:pStyle w:val="17"/>
              <w:bidi w:val="0"/>
              <w:rPr>
                <w:rFonts w:hint="default"/>
                <w:color w:val="auto"/>
                <w:highlight w:val="none"/>
                <w:lang w:val="en-US" w:eastAsia="zh-CN"/>
              </w:rPr>
            </w:pPr>
            <w:r>
              <w:rPr>
                <w:rFonts w:hint="eastAsia"/>
                <w:color w:val="auto"/>
                <w:highlight w:val="none"/>
                <w:lang w:val="en-US" w:eastAsia="zh-CN"/>
              </w:rPr>
              <w:t>起点</w:t>
            </w:r>
          </w:p>
        </w:tc>
        <w:tc>
          <w:tcPr>
            <w:tcW w:w="3410" w:type="dxa"/>
            <w:gridSpan w:val="2"/>
            <w:vAlign w:val="center"/>
          </w:tcPr>
          <w:p w14:paraId="25574083">
            <w:pPr>
              <w:pStyle w:val="17"/>
              <w:bidi w:val="0"/>
              <w:rPr>
                <w:rFonts w:hint="default"/>
                <w:color w:val="auto"/>
                <w:highlight w:val="none"/>
                <w:lang w:val="en-US" w:eastAsia="zh-CN"/>
              </w:rPr>
            </w:pPr>
            <w:r>
              <w:rPr>
                <w:rFonts w:hint="eastAsia"/>
                <w:color w:val="auto"/>
                <w:highlight w:val="none"/>
                <w:lang w:val="en-US" w:eastAsia="zh-CN"/>
              </w:rPr>
              <w:t>终点</w:t>
            </w:r>
          </w:p>
        </w:tc>
      </w:tr>
      <w:tr w14:paraId="3195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vAlign w:val="center"/>
          </w:tcPr>
          <w:p w14:paraId="5E1FF264">
            <w:pPr>
              <w:pStyle w:val="17"/>
              <w:bidi w:val="0"/>
              <w:rPr>
                <w:rFonts w:hint="default"/>
                <w:color w:val="auto"/>
                <w:highlight w:val="none"/>
                <w:lang w:val="en-US" w:eastAsia="zh-CN"/>
              </w:rPr>
            </w:pPr>
          </w:p>
        </w:tc>
        <w:tc>
          <w:tcPr>
            <w:tcW w:w="1704" w:type="dxa"/>
            <w:vAlign w:val="center"/>
          </w:tcPr>
          <w:p w14:paraId="46047C72">
            <w:pPr>
              <w:pStyle w:val="17"/>
              <w:bidi w:val="0"/>
              <w:rPr>
                <w:rFonts w:hint="default"/>
                <w:color w:val="auto"/>
                <w:highlight w:val="none"/>
                <w:lang w:val="en-US" w:eastAsia="zh-CN"/>
              </w:rPr>
            </w:pPr>
            <w:r>
              <w:rPr>
                <w:rFonts w:hint="eastAsia"/>
                <w:color w:val="auto"/>
                <w:highlight w:val="none"/>
                <w:lang w:val="en-US" w:eastAsia="zh-CN"/>
              </w:rPr>
              <w:t>经度</w:t>
            </w:r>
          </w:p>
        </w:tc>
        <w:tc>
          <w:tcPr>
            <w:tcW w:w="1704" w:type="dxa"/>
            <w:vAlign w:val="center"/>
          </w:tcPr>
          <w:p w14:paraId="5D38C9E9">
            <w:pPr>
              <w:pStyle w:val="17"/>
              <w:bidi w:val="0"/>
              <w:rPr>
                <w:rFonts w:hint="default"/>
                <w:color w:val="auto"/>
                <w:highlight w:val="none"/>
                <w:lang w:val="en-US" w:eastAsia="zh-CN"/>
              </w:rPr>
            </w:pPr>
            <w:r>
              <w:rPr>
                <w:rFonts w:hint="eastAsia"/>
                <w:color w:val="auto"/>
                <w:highlight w:val="none"/>
                <w:lang w:val="en-US" w:eastAsia="zh-CN"/>
              </w:rPr>
              <w:t>纬度</w:t>
            </w:r>
          </w:p>
        </w:tc>
        <w:tc>
          <w:tcPr>
            <w:tcW w:w="1705" w:type="dxa"/>
            <w:shd w:val="clear" w:color="auto" w:fill="auto"/>
            <w:vAlign w:val="center"/>
          </w:tcPr>
          <w:p w14:paraId="13DE8A2C">
            <w:pPr>
              <w:pStyle w:val="17"/>
              <w:bidi w:val="0"/>
              <w:rPr>
                <w:rFonts w:hint="default"/>
                <w:color w:val="auto"/>
                <w:highlight w:val="none"/>
                <w:lang w:val="en-US" w:eastAsia="zh-CN"/>
              </w:rPr>
            </w:pPr>
            <w:r>
              <w:rPr>
                <w:rFonts w:hint="eastAsia"/>
                <w:color w:val="auto"/>
                <w:highlight w:val="none"/>
                <w:lang w:val="en-US" w:eastAsia="zh-CN"/>
              </w:rPr>
              <w:t>经度</w:t>
            </w:r>
          </w:p>
        </w:tc>
        <w:tc>
          <w:tcPr>
            <w:tcW w:w="1705" w:type="dxa"/>
            <w:shd w:val="clear" w:color="auto" w:fill="auto"/>
            <w:vAlign w:val="center"/>
          </w:tcPr>
          <w:p w14:paraId="5F0C4608">
            <w:pPr>
              <w:pStyle w:val="17"/>
              <w:bidi w:val="0"/>
              <w:rPr>
                <w:rFonts w:hint="default"/>
                <w:color w:val="auto"/>
                <w:highlight w:val="none"/>
                <w:lang w:val="en-US" w:eastAsia="zh-CN"/>
              </w:rPr>
            </w:pPr>
            <w:r>
              <w:rPr>
                <w:rFonts w:hint="eastAsia"/>
                <w:color w:val="auto"/>
                <w:highlight w:val="none"/>
                <w:lang w:val="en-US" w:eastAsia="zh-CN"/>
              </w:rPr>
              <w:t>纬度</w:t>
            </w:r>
          </w:p>
        </w:tc>
      </w:tr>
      <w:tr w14:paraId="08A5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71974128">
            <w:pPr>
              <w:pStyle w:val="17"/>
              <w:bidi w:val="0"/>
              <w:rPr>
                <w:rFonts w:hint="default"/>
                <w:color w:val="auto"/>
                <w:highlight w:val="none"/>
                <w:lang w:val="en-US" w:eastAsia="zh-CN"/>
              </w:rPr>
            </w:pPr>
            <w:r>
              <w:rPr>
                <w:rFonts w:hint="eastAsia"/>
                <w:color w:val="auto"/>
                <w:highlight w:val="none"/>
                <w:lang w:val="en-US" w:eastAsia="zh-CN"/>
              </w:rPr>
              <w:t>样线1</w:t>
            </w:r>
          </w:p>
        </w:tc>
        <w:tc>
          <w:tcPr>
            <w:tcW w:w="1704" w:type="dxa"/>
            <w:vAlign w:val="center"/>
          </w:tcPr>
          <w:p w14:paraId="121E07EA">
            <w:pPr>
              <w:pStyle w:val="17"/>
              <w:bidi w:val="0"/>
              <w:rPr>
                <w:rFonts w:hint="default" w:ascii="Times New Roman" w:hAnsi="Times New Roman" w:cs="Times New Roman"/>
                <w:color w:val="auto"/>
                <w:highlight w:val="none"/>
                <w:lang w:val="en-US" w:eastAsia="zh-CN"/>
              </w:rPr>
            </w:pPr>
          </w:p>
        </w:tc>
        <w:tc>
          <w:tcPr>
            <w:tcW w:w="1704" w:type="dxa"/>
            <w:vAlign w:val="center"/>
          </w:tcPr>
          <w:p w14:paraId="2B208755">
            <w:pPr>
              <w:pStyle w:val="17"/>
              <w:bidi w:val="0"/>
              <w:rPr>
                <w:rFonts w:hint="default" w:ascii="Times New Roman" w:hAnsi="Times New Roman" w:cs="Times New Roman"/>
                <w:color w:val="auto"/>
                <w:highlight w:val="none"/>
                <w:lang w:val="en-US" w:eastAsia="zh-CN"/>
              </w:rPr>
            </w:pPr>
          </w:p>
        </w:tc>
        <w:tc>
          <w:tcPr>
            <w:tcW w:w="1705" w:type="dxa"/>
            <w:vAlign w:val="center"/>
          </w:tcPr>
          <w:p w14:paraId="4F5DF5A5">
            <w:pPr>
              <w:pStyle w:val="17"/>
              <w:bidi w:val="0"/>
              <w:rPr>
                <w:rFonts w:hint="default"/>
                <w:color w:val="auto"/>
                <w:highlight w:val="none"/>
                <w:lang w:val="en-US" w:eastAsia="zh-CN"/>
              </w:rPr>
            </w:pPr>
          </w:p>
        </w:tc>
        <w:tc>
          <w:tcPr>
            <w:tcW w:w="1705" w:type="dxa"/>
            <w:vAlign w:val="center"/>
          </w:tcPr>
          <w:p w14:paraId="53FF056D">
            <w:pPr>
              <w:pStyle w:val="17"/>
              <w:bidi w:val="0"/>
              <w:rPr>
                <w:rFonts w:hint="default"/>
                <w:color w:val="auto"/>
                <w:highlight w:val="none"/>
                <w:lang w:val="en-US" w:eastAsia="zh-CN"/>
              </w:rPr>
            </w:pPr>
          </w:p>
        </w:tc>
      </w:tr>
      <w:tr w14:paraId="1E9A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BD5C7C5">
            <w:pPr>
              <w:pStyle w:val="17"/>
              <w:bidi w:val="0"/>
              <w:rPr>
                <w:rFonts w:hint="default"/>
                <w:color w:val="auto"/>
                <w:highlight w:val="none"/>
                <w:lang w:val="en-US" w:eastAsia="zh-CN"/>
              </w:rPr>
            </w:pPr>
            <w:r>
              <w:rPr>
                <w:rFonts w:hint="eastAsia"/>
                <w:color w:val="auto"/>
                <w:highlight w:val="none"/>
                <w:lang w:val="en-US" w:eastAsia="zh-CN"/>
              </w:rPr>
              <w:t>样线2</w:t>
            </w:r>
          </w:p>
        </w:tc>
        <w:tc>
          <w:tcPr>
            <w:tcW w:w="1704" w:type="dxa"/>
            <w:vAlign w:val="center"/>
          </w:tcPr>
          <w:p w14:paraId="36A4F19A">
            <w:pPr>
              <w:pStyle w:val="17"/>
              <w:bidi w:val="0"/>
              <w:rPr>
                <w:rFonts w:hint="default" w:ascii="Times New Roman" w:hAnsi="Times New Roman" w:cs="Times New Roman"/>
                <w:color w:val="auto"/>
                <w:highlight w:val="none"/>
                <w:lang w:val="en-US" w:eastAsia="zh-CN"/>
              </w:rPr>
            </w:pPr>
          </w:p>
        </w:tc>
        <w:tc>
          <w:tcPr>
            <w:tcW w:w="1704" w:type="dxa"/>
            <w:vAlign w:val="center"/>
          </w:tcPr>
          <w:p w14:paraId="367DF029">
            <w:pPr>
              <w:pStyle w:val="17"/>
              <w:bidi w:val="0"/>
              <w:rPr>
                <w:rFonts w:hint="default" w:ascii="Times New Roman" w:hAnsi="Times New Roman" w:cs="Times New Roman"/>
                <w:color w:val="auto"/>
                <w:highlight w:val="none"/>
                <w:lang w:val="en-US" w:eastAsia="zh-CN"/>
              </w:rPr>
            </w:pPr>
          </w:p>
        </w:tc>
        <w:tc>
          <w:tcPr>
            <w:tcW w:w="1705" w:type="dxa"/>
            <w:vAlign w:val="center"/>
          </w:tcPr>
          <w:p w14:paraId="31381F82">
            <w:pPr>
              <w:pStyle w:val="17"/>
              <w:bidi w:val="0"/>
              <w:rPr>
                <w:rFonts w:hint="default"/>
                <w:color w:val="auto"/>
                <w:highlight w:val="none"/>
                <w:lang w:val="en-US" w:eastAsia="zh-CN"/>
              </w:rPr>
            </w:pPr>
          </w:p>
        </w:tc>
        <w:tc>
          <w:tcPr>
            <w:tcW w:w="1705" w:type="dxa"/>
            <w:vAlign w:val="center"/>
          </w:tcPr>
          <w:p w14:paraId="71046BBE">
            <w:pPr>
              <w:pStyle w:val="17"/>
              <w:bidi w:val="0"/>
              <w:rPr>
                <w:rFonts w:hint="default"/>
                <w:color w:val="auto"/>
                <w:highlight w:val="none"/>
                <w:lang w:val="en-US" w:eastAsia="zh-CN"/>
              </w:rPr>
            </w:pPr>
          </w:p>
        </w:tc>
      </w:tr>
      <w:tr w14:paraId="7CBE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873BC9D">
            <w:pPr>
              <w:pStyle w:val="17"/>
              <w:bidi w:val="0"/>
              <w:rPr>
                <w:rFonts w:hint="default"/>
                <w:color w:val="auto"/>
                <w:highlight w:val="none"/>
                <w:lang w:val="en-US" w:eastAsia="zh-CN"/>
              </w:rPr>
            </w:pPr>
            <w:r>
              <w:rPr>
                <w:rFonts w:hint="eastAsia"/>
                <w:color w:val="auto"/>
                <w:highlight w:val="none"/>
                <w:lang w:val="en-US" w:eastAsia="zh-CN"/>
              </w:rPr>
              <w:t>样线3</w:t>
            </w:r>
          </w:p>
        </w:tc>
        <w:tc>
          <w:tcPr>
            <w:tcW w:w="1704" w:type="dxa"/>
            <w:vAlign w:val="center"/>
          </w:tcPr>
          <w:p w14:paraId="4B457F35">
            <w:pPr>
              <w:pStyle w:val="17"/>
              <w:bidi w:val="0"/>
              <w:rPr>
                <w:rFonts w:hint="default"/>
                <w:color w:val="auto"/>
                <w:highlight w:val="none"/>
                <w:lang w:val="en-US" w:eastAsia="zh-CN"/>
              </w:rPr>
            </w:pPr>
          </w:p>
        </w:tc>
        <w:tc>
          <w:tcPr>
            <w:tcW w:w="1704" w:type="dxa"/>
            <w:vAlign w:val="center"/>
          </w:tcPr>
          <w:p w14:paraId="31CC5D22">
            <w:pPr>
              <w:pStyle w:val="17"/>
              <w:bidi w:val="0"/>
              <w:rPr>
                <w:rFonts w:hint="default"/>
                <w:color w:val="auto"/>
                <w:highlight w:val="none"/>
                <w:lang w:val="en-US" w:eastAsia="zh-CN"/>
              </w:rPr>
            </w:pPr>
          </w:p>
        </w:tc>
        <w:tc>
          <w:tcPr>
            <w:tcW w:w="1705" w:type="dxa"/>
            <w:vAlign w:val="center"/>
          </w:tcPr>
          <w:p w14:paraId="5D75E2D2">
            <w:pPr>
              <w:pStyle w:val="17"/>
              <w:bidi w:val="0"/>
              <w:rPr>
                <w:rFonts w:hint="default"/>
                <w:color w:val="auto"/>
                <w:highlight w:val="none"/>
                <w:lang w:val="en-US" w:eastAsia="zh-CN"/>
              </w:rPr>
            </w:pPr>
          </w:p>
        </w:tc>
        <w:tc>
          <w:tcPr>
            <w:tcW w:w="1705" w:type="dxa"/>
            <w:vAlign w:val="center"/>
          </w:tcPr>
          <w:p w14:paraId="271A8689">
            <w:pPr>
              <w:pStyle w:val="17"/>
              <w:bidi w:val="0"/>
              <w:rPr>
                <w:rFonts w:hint="default"/>
                <w:color w:val="auto"/>
                <w:highlight w:val="none"/>
                <w:lang w:val="en-US" w:eastAsia="zh-CN"/>
              </w:rPr>
            </w:pPr>
          </w:p>
        </w:tc>
      </w:tr>
    </w:tbl>
    <w:p w14:paraId="25F43A98">
      <w:pPr>
        <w:overflowPunct w:val="0"/>
        <w:topLinePunct/>
        <w:ind w:firstLine="480"/>
        <w:rPr>
          <w:rFonts w:hint="eastAsia" w:eastAsia="宋体"/>
          <w:color w:val="auto"/>
          <w:highlight w:val="none"/>
          <w:shd w:val="clear" w:color="auto" w:fill="FFFFFF"/>
        </w:rPr>
      </w:pPr>
      <w:r>
        <w:rPr>
          <w:rFonts w:hint="default" w:ascii="Times New Roman" w:hAnsi="Times New Roman" w:eastAsia="宋体" w:cs="Times New Roman"/>
          <w:color w:val="auto"/>
          <w:sz w:val="24"/>
          <w:szCs w:val="24"/>
          <w:highlight w:val="none"/>
          <w:lang w:val="en-US" w:eastAsia="zh-CN"/>
        </w:rPr>
        <w:t>经过沿途踏勘和资料收集</w:t>
      </w:r>
      <w:r>
        <w:rPr>
          <w:rFonts w:hint="default" w:ascii="Times New Roman" w:hAnsi="Times New Roman" w:cs="Times New Roman"/>
          <w:color w:val="auto"/>
          <w:sz w:val="24"/>
          <w:szCs w:val="24"/>
          <w:highlight w:val="none"/>
          <w:lang w:val="en-US" w:eastAsia="zh-CN"/>
        </w:rPr>
        <w:t>，样线调查采取</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条路线</w:t>
      </w:r>
      <w:r>
        <w:rPr>
          <w:rFonts w:hint="eastAsia"/>
          <w:color w:val="auto"/>
          <w:highlight w:val="none"/>
          <w:shd w:val="clear" w:color="auto" w:fill="FFFFFF"/>
          <w:lang w:val="en-US" w:eastAsia="zh-CN"/>
        </w:rPr>
        <w:t>分别沿线徒步观察</w:t>
      </w:r>
      <w:r>
        <w:rPr>
          <w:rFonts w:hint="eastAsia"/>
          <w:color w:val="auto"/>
          <w:highlight w:val="none"/>
          <w:shd w:val="clear" w:color="auto" w:fill="FFFFFF"/>
        </w:rPr>
        <w:t>，</w:t>
      </w:r>
      <w:r>
        <w:rPr>
          <w:rFonts w:hint="eastAsia"/>
          <w:color w:val="auto"/>
          <w:highlight w:val="none"/>
          <w:shd w:val="clear" w:color="auto" w:fill="FFFFFF"/>
          <w:lang w:val="en-US" w:eastAsia="zh-CN"/>
        </w:rPr>
        <w:t>未见</w:t>
      </w:r>
      <w:r>
        <w:rPr>
          <w:rFonts w:hint="eastAsia"/>
          <w:color w:val="auto"/>
          <w:highlight w:val="none"/>
          <w:shd w:val="clear" w:color="auto" w:fill="FFFFFF"/>
        </w:rPr>
        <w:t>《新疆国家重点保护野生动物名录</w:t>
      </w:r>
      <w:r>
        <w:rPr>
          <w:rFonts w:hint="eastAsia"/>
          <w:color w:val="auto"/>
          <w:highlight w:val="none"/>
          <w:shd w:val="clear" w:color="auto" w:fill="FFFFFF"/>
          <w:lang w:eastAsia="zh-CN"/>
        </w:rPr>
        <w:t>》《</w:t>
      </w:r>
      <w:r>
        <w:rPr>
          <w:rFonts w:hint="eastAsia"/>
          <w:color w:val="auto"/>
          <w:highlight w:val="none"/>
          <w:shd w:val="clear" w:color="auto" w:fill="FFFFFF"/>
        </w:rPr>
        <w:t>新疆维吾尔自治区重点保护野生动物名录（修订）》所列的保护动物以及</w:t>
      </w:r>
      <w:r>
        <w:rPr>
          <w:rFonts w:hint="eastAsia"/>
          <w:color w:val="auto"/>
          <w:highlight w:val="none"/>
          <w:lang w:val="en-US" w:eastAsia="zh-CN"/>
        </w:rPr>
        <w:t>《新疆国家重点保护野生植物名录（2022年）》《新疆维吾尔自治区重点保护野生植物名录（2024年）》</w:t>
      </w:r>
      <w:r>
        <w:rPr>
          <w:rFonts w:hint="eastAsia"/>
          <w:color w:val="auto"/>
          <w:highlight w:val="none"/>
          <w:shd w:val="clear" w:color="auto" w:fill="FFFFFF"/>
        </w:rPr>
        <w:t>中所列的保护植物</w:t>
      </w:r>
      <w:r>
        <w:rPr>
          <w:rFonts w:hint="eastAsia"/>
          <w:color w:val="auto"/>
          <w:highlight w:val="none"/>
          <w:shd w:val="clear" w:color="auto" w:fill="FFFFFF"/>
          <w:lang w:eastAsia="zh-CN"/>
        </w:rPr>
        <w:t>，</w:t>
      </w:r>
      <w:r>
        <w:rPr>
          <w:rFonts w:hint="eastAsia" w:eastAsia="宋体"/>
          <w:color w:val="auto"/>
          <w:highlight w:val="none"/>
          <w:shd w:val="clear" w:color="auto" w:fill="FFFFFF"/>
          <w:lang w:val="en-US" w:eastAsia="zh-CN"/>
        </w:rPr>
        <w:t>并且咨询矿区周边区域的牧民，在矿区范围附近极少见到</w:t>
      </w:r>
      <w:r>
        <w:rPr>
          <w:rFonts w:hint="default" w:eastAsia="宋体"/>
          <w:color w:val="auto"/>
          <w:highlight w:val="none"/>
          <w:shd w:val="clear" w:color="auto" w:fill="FFFFFF"/>
          <w:lang w:val="en-US" w:eastAsia="zh-CN"/>
        </w:rPr>
        <w:t>大型兽类动物</w:t>
      </w:r>
      <w:r>
        <w:rPr>
          <w:rFonts w:hint="eastAsia" w:eastAsia="宋体"/>
          <w:color w:val="auto"/>
          <w:highlight w:val="none"/>
          <w:shd w:val="clear" w:color="auto" w:fill="FFFFFF"/>
          <w:lang w:val="en-US" w:eastAsia="zh-CN"/>
        </w:rPr>
        <w:t>活动，在沿样线踏勘途中未发现重点保护野生动物的踪迹。</w:t>
      </w:r>
    </w:p>
    <w:p w14:paraId="7DF09D7C">
      <w:pPr>
        <w:pStyle w:val="7"/>
        <w:bidi w:val="0"/>
        <w:rPr>
          <w:rFonts w:hint="eastAsia"/>
          <w:color w:val="auto"/>
          <w:highlight w:val="none"/>
          <w:lang w:val="en-US" w:eastAsia="zh-CN"/>
        </w:rPr>
      </w:pPr>
      <w:r>
        <w:rPr>
          <w:rFonts w:hint="eastAsia"/>
          <w:color w:val="auto"/>
          <w:highlight w:val="none"/>
          <w:lang w:val="en-US" w:eastAsia="zh-CN"/>
        </w:rPr>
        <w:t>4.2.6.6水土流失现状</w:t>
      </w:r>
    </w:p>
    <w:p w14:paraId="422F0104">
      <w:pPr>
        <w:keepNext w:val="0"/>
        <w:pageBreakBefore w:val="0"/>
        <w:widowControl w:val="0"/>
        <w:kinsoku/>
        <w:wordWrap/>
        <w:overflowPunct/>
        <w:topLinePunct w:val="0"/>
        <w:autoSpaceDE/>
        <w:autoSpaceDN/>
        <w:bidi w:val="0"/>
        <w:adjustRightInd w:val="0"/>
        <w:snapToGrid w:val="0"/>
        <w:spacing w:line="50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依据</w:t>
      </w:r>
      <w:r>
        <w:rPr>
          <w:rFonts w:hint="eastAsia"/>
          <w:color w:val="auto"/>
          <w:highlight w:val="none"/>
          <w:lang w:val="en-US" w:eastAsia="zh-CN"/>
        </w:rPr>
        <w:t>《关于印发〈全国水土保持规划国家级水土流失重点预防区和重点治理区复核划分成果〉的通知》（水保办〔</w:t>
      </w:r>
      <w:r>
        <w:rPr>
          <w:rFonts w:hint="default"/>
          <w:color w:val="auto"/>
          <w:highlight w:val="none"/>
          <w:lang w:val="en-US" w:eastAsia="zh-CN"/>
        </w:rPr>
        <w:t>20</w:t>
      </w:r>
      <w:r>
        <w:rPr>
          <w:rFonts w:hint="eastAsia"/>
          <w:color w:val="auto"/>
          <w:highlight w:val="none"/>
          <w:lang w:val="en-US" w:eastAsia="zh-CN"/>
        </w:rPr>
        <w:t>13〕188号）</w:t>
      </w:r>
      <w:r>
        <w:rPr>
          <w:rFonts w:hint="eastAsia" w:cs="Times New Roman"/>
          <w:color w:val="auto"/>
          <w:sz w:val="24"/>
          <w:szCs w:val="24"/>
          <w:highlight w:val="none"/>
          <w:lang w:val="en-US" w:eastAsia="zh-CN"/>
        </w:rPr>
        <w:t>以及</w:t>
      </w:r>
      <w:r>
        <w:rPr>
          <w:rFonts w:hint="default" w:ascii="Times New Roman" w:hAnsi="Times New Roman" w:cs="Times New Roman"/>
          <w:color w:val="auto"/>
          <w:highlight w:val="none"/>
        </w:rPr>
        <w:t>《关于印发</w:t>
      </w:r>
      <w:r>
        <w:rPr>
          <w:rFonts w:hint="eastAsia" w:ascii="Times New Roman" w:hAnsi="Times New Roman" w:cs="Times New Roman"/>
          <w:color w:val="auto"/>
          <w:highlight w:val="none"/>
          <w:lang w:eastAsia="zh-CN"/>
        </w:rPr>
        <w:t>新疆维吾尔自治区</w:t>
      </w:r>
      <w:r>
        <w:rPr>
          <w:rFonts w:hint="default" w:ascii="Times New Roman" w:hAnsi="Times New Roman" w:cs="Times New Roman"/>
          <w:color w:val="auto"/>
          <w:highlight w:val="none"/>
        </w:rPr>
        <w:t>级水土流失重点预防保护区和重点治理区复核划分成果的通知》（新水水保</w:t>
      </w:r>
      <w:r>
        <w:rPr>
          <w:rFonts w:hint="eastAsia" w:ascii="Times New Roman" w:hAnsi="Times New Roman" w:cs="Times New Roman"/>
          <w:color w:val="auto"/>
          <w:highlight w:val="none"/>
          <w:lang w:eastAsia="zh-CN"/>
        </w:rPr>
        <w:t>〔2019〕4号</w:t>
      </w:r>
      <w:r>
        <w:rPr>
          <w:rFonts w:hint="default" w:ascii="Times New Roman" w:hAnsi="Times New Roman" w:cs="Times New Roman"/>
          <w:color w:val="auto"/>
          <w:highlight w:val="none"/>
        </w:rPr>
        <w:t>）</w:t>
      </w:r>
      <w:r>
        <w:rPr>
          <w:rFonts w:hint="default" w:ascii="Times New Roman" w:hAnsi="Times New Roman" w:eastAsia="宋体" w:cs="Times New Roman"/>
          <w:color w:val="auto"/>
          <w:sz w:val="24"/>
          <w:szCs w:val="24"/>
          <w:highlight w:val="none"/>
        </w:rPr>
        <w:t>，</w:t>
      </w:r>
      <w:r>
        <w:rPr>
          <w:rFonts w:hint="eastAsia"/>
          <w:color w:val="auto"/>
          <w:highlight w:val="none"/>
          <w:lang w:val="en-US" w:eastAsia="zh-CN"/>
        </w:rPr>
        <w:t>若羌县属于阿尔金山国家级水土流失重点预防区</w:t>
      </w:r>
      <w:r>
        <w:rPr>
          <w:rFonts w:hint="default" w:ascii="Times New Roman" w:hAnsi="Times New Roman" w:eastAsia="宋体" w:cs="Times New Roman"/>
          <w:color w:val="auto"/>
          <w:sz w:val="24"/>
          <w:szCs w:val="24"/>
          <w:highlight w:val="none"/>
        </w:rPr>
        <w:t>。</w:t>
      </w:r>
    </w:p>
    <w:p w14:paraId="57F4E202">
      <w:pPr>
        <w:pStyle w:val="7"/>
        <w:bidi w:val="0"/>
        <w:rPr>
          <w:rFonts w:hint="eastAsia"/>
          <w:color w:val="auto"/>
          <w:highlight w:val="none"/>
          <w:lang w:val="en-US" w:eastAsia="zh-CN"/>
        </w:rPr>
      </w:pPr>
      <w:r>
        <w:rPr>
          <w:rFonts w:hint="eastAsia"/>
          <w:color w:val="auto"/>
          <w:highlight w:val="none"/>
          <w:lang w:val="en-US" w:eastAsia="zh-CN"/>
        </w:rPr>
        <w:t>4.2.6.7土地沙化现状</w:t>
      </w:r>
    </w:p>
    <w:p w14:paraId="0AB132F8">
      <w:pPr>
        <w:bidi w:val="0"/>
        <w:rPr>
          <w:rFonts w:hint="default" w:ascii="Times New Roman" w:hAnsi="Times New Roman" w:cs="Times New Roman"/>
          <w:color w:val="auto"/>
          <w:highlight w:val="none"/>
          <w:lang w:val="en-US" w:eastAsia="zh-CN"/>
        </w:rPr>
      </w:pPr>
      <w:r>
        <w:rPr>
          <w:rFonts w:hint="eastAsia"/>
          <w:color w:val="auto"/>
          <w:highlight w:val="none"/>
          <w:lang w:val="en-US" w:eastAsia="zh-CN"/>
        </w:rPr>
        <w:t>本项目位于新疆维吾尔自治区巴音郭楞蒙古自治州若羌县境内，根据《新疆第六次沙化监测报告》调查数据显示，</w:t>
      </w:r>
      <w:r>
        <w:rPr>
          <w:rFonts w:hint="default"/>
          <w:color w:val="auto"/>
          <w:highlight w:val="none"/>
        </w:rPr>
        <w:t>若羌县沙化土地面积为1035</w:t>
      </w:r>
      <w:r>
        <w:rPr>
          <w:rFonts w:hint="eastAsia"/>
          <w:color w:val="auto"/>
          <w:highlight w:val="none"/>
          <w:lang w:val="en-US" w:eastAsia="zh-CN"/>
        </w:rPr>
        <w:t>.</w:t>
      </w:r>
      <w:r>
        <w:rPr>
          <w:rFonts w:hint="default"/>
          <w:color w:val="auto"/>
          <w:highlight w:val="none"/>
        </w:rPr>
        <w:t>1</w:t>
      </w:r>
      <w:r>
        <w:rPr>
          <w:rFonts w:hint="eastAsia"/>
          <w:color w:val="auto"/>
          <w:highlight w:val="none"/>
          <w:lang w:val="en-US" w:eastAsia="zh-CN"/>
        </w:rPr>
        <w:t>3万</w:t>
      </w:r>
      <w:r>
        <w:rPr>
          <w:rFonts w:hint="default"/>
          <w:color w:val="auto"/>
          <w:highlight w:val="none"/>
        </w:rPr>
        <w:t>公顷，占全州沙化土地面积的41.54%</w:t>
      </w:r>
      <w:r>
        <w:rPr>
          <w:rFonts w:hint="eastAsia"/>
          <w:color w:val="auto"/>
          <w:highlight w:val="none"/>
          <w:lang w:eastAsia="zh-CN"/>
        </w:rPr>
        <w:t>；</w:t>
      </w:r>
      <w:r>
        <w:rPr>
          <w:rFonts w:hint="default" w:ascii="Times New Roman" w:hAnsi="Times New Roman" w:cs="Times New Roman"/>
          <w:color w:val="auto"/>
          <w:highlight w:val="none"/>
          <w:lang w:val="en-US" w:eastAsia="zh-CN"/>
        </w:rPr>
        <w:t>根据新疆第</w:t>
      </w:r>
      <w:r>
        <w:rPr>
          <w:rFonts w:hint="eastAsia" w:cs="Times New Roman"/>
          <w:color w:val="auto"/>
          <w:highlight w:val="none"/>
          <w:lang w:val="en-US" w:eastAsia="zh-CN"/>
        </w:rPr>
        <w:t>六</w:t>
      </w:r>
      <w:r>
        <w:rPr>
          <w:rFonts w:hint="default" w:ascii="Times New Roman" w:hAnsi="Times New Roman" w:cs="Times New Roman"/>
          <w:color w:val="auto"/>
          <w:highlight w:val="none"/>
          <w:lang w:val="en-US" w:eastAsia="zh-CN"/>
        </w:rPr>
        <w:t>次沙化监测沙化土地分布图，项目区</w:t>
      </w:r>
      <w:r>
        <w:rPr>
          <w:rFonts w:hint="eastAsia" w:cs="Times New Roman"/>
          <w:color w:val="auto"/>
          <w:highlight w:val="none"/>
          <w:lang w:val="en-US" w:eastAsia="zh-CN"/>
        </w:rPr>
        <w:t>占地不涉及</w:t>
      </w:r>
      <w:r>
        <w:rPr>
          <w:rFonts w:hint="default" w:ascii="Times New Roman" w:hAnsi="Times New Roman" w:cs="Times New Roman"/>
          <w:color w:val="auto"/>
          <w:highlight w:val="none"/>
          <w:lang w:val="en-US" w:eastAsia="zh-CN"/>
        </w:rPr>
        <w:t>国家沙化土地封禁保护区</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占地为戈壁以及非沙化土地</w:t>
      </w:r>
      <w:r>
        <w:rPr>
          <w:rFonts w:hint="default" w:ascii="Times New Roman" w:hAnsi="Times New Roman" w:cs="Times New Roman"/>
          <w:color w:val="auto"/>
          <w:highlight w:val="none"/>
          <w:lang w:val="en-US" w:eastAsia="zh-CN"/>
        </w:rPr>
        <w:t>。</w:t>
      </w:r>
    </w:p>
    <w:p w14:paraId="281C491D">
      <w:pPr>
        <w:bidi w:val="0"/>
        <w:rPr>
          <w:color w:val="auto"/>
          <w:highlight w:val="none"/>
        </w:rPr>
      </w:pPr>
      <w:r>
        <w:rPr>
          <w:rFonts w:hint="eastAsia"/>
          <w:color w:val="auto"/>
          <w:highlight w:val="none"/>
          <w:lang w:val="en-US" w:eastAsia="zh-CN"/>
        </w:rPr>
        <w:t>本项目与新疆沙化土地分布位置见图4.2-7。</w:t>
      </w:r>
      <w:r>
        <w:rPr>
          <w:color w:val="auto"/>
          <w:highlight w:val="none"/>
        </w:rPr>
        <w:br w:type="page"/>
      </w:r>
    </w:p>
    <w:p w14:paraId="24B193C4">
      <w:pPr>
        <w:pStyle w:val="4"/>
        <w:spacing w:line="720" w:lineRule="exact"/>
        <w:rPr>
          <w:color w:val="auto"/>
          <w:highlight w:val="none"/>
        </w:rPr>
      </w:pPr>
      <w:bookmarkStart w:id="609" w:name="_Toc493523114"/>
      <w:bookmarkStart w:id="610" w:name="_Toc484105109"/>
      <w:bookmarkStart w:id="611" w:name="_Toc107414663"/>
      <w:bookmarkStart w:id="612" w:name="_Toc107413896"/>
      <w:bookmarkStart w:id="613" w:name="_Toc15495"/>
      <w:bookmarkStart w:id="614" w:name="_Toc20316"/>
      <w:bookmarkStart w:id="615" w:name="_Toc20787"/>
      <w:bookmarkStart w:id="616" w:name="_Toc15490"/>
      <w:bookmarkStart w:id="617" w:name="_Toc30353"/>
      <w:bookmarkStart w:id="618" w:name="_Toc5296"/>
      <w:bookmarkStart w:id="619" w:name="_Toc2272"/>
      <w:bookmarkStart w:id="620" w:name="_Toc15934"/>
      <w:bookmarkStart w:id="621" w:name="_Toc27520"/>
      <w:bookmarkStart w:id="622" w:name="_Toc14307"/>
      <w:bookmarkStart w:id="623" w:name="_Toc30557"/>
      <w:bookmarkStart w:id="624" w:name="_Toc26580"/>
      <w:bookmarkStart w:id="625" w:name="_Toc1736"/>
      <w:bookmarkStart w:id="626" w:name="_Toc14279"/>
      <w:bookmarkStart w:id="627" w:name="_Toc20925"/>
      <w:bookmarkStart w:id="628" w:name="_Toc29195"/>
      <w:bookmarkStart w:id="629" w:name="_Toc22456"/>
      <w:bookmarkStart w:id="630" w:name="_Toc9731"/>
      <w:bookmarkStart w:id="631" w:name="_Toc6745"/>
      <w:bookmarkStart w:id="632" w:name="_Toc13282"/>
      <w:bookmarkStart w:id="633" w:name="_Toc9752"/>
      <w:bookmarkStart w:id="634" w:name="_Toc23825"/>
      <w:bookmarkStart w:id="635" w:name="_Toc23228"/>
      <w:bookmarkStart w:id="636" w:name="_Toc107413897"/>
      <w:bookmarkStart w:id="637" w:name="_Toc1604"/>
      <w:bookmarkStart w:id="638" w:name="_Toc30343"/>
      <w:bookmarkStart w:id="639" w:name="_Toc107414664"/>
      <w:bookmarkStart w:id="640" w:name="_Toc253"/>
      <w:r>
        <w:rPr>
          <w:color w:val="auto"/>
          <w:highlight w:val="none"/>
        </w:rPr>
        <w:t>5环境影响</w:t>
      </w:r>
      <w:bookmarkEnd w:id="609"/>
      <w:bookmarkEnd w:id="610"/>
      <w:r>
        <w:rPr>
          <w:color w:val="auto"/>
          <w:highlight w:val="none"/>
        </w:rPr>
        <w:t>预测与评价</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063FA558">
      <w:pPr>
        <w:pStyle w:val="5"/>
        <w:spacing w:line="560" w:lineRule="atLeast"/>
        <w:rPr>
          <w:rFonts w:hint="eastAsia"/>
          <w:color w:val="auto"/>
          <w:highlight w:val="none"/>
        </w:rPr>
      </w:pPr>
      <w:bookmarkStart w:id="641" w:name="_Toc21479"/>
      <w:r>
        <w:rPr>
          <w:rFonts w:hint="eastAsia"/>
          <w:color w:val="auto"/>
          <w:highlight w:val="none"/>
        </w:rPr>
        <w:t>5</w:t>
      </w:r>
      <w:r>
        <w:rPr>
          <w:color w:val="auto"/>
          <w:highlight w:val="none"/>
        </w:rPr>
        <w:t>.1</w:t>
      </w:r>
      <w:r>
        <w:rPr>
          <w:rFonts w:hint="eastAsia"/>
          <w:color w:val="auto"/>
          <w:highlight w:val="none"/>
        </w:rPr>
        <w:t>施工期环境影响预测与评价</w:t>
      </w:r>
      <w:bookmarkEnd w:id="634"/>
      <w:bookmarkEnd w:id="635"/>
      <w:bookmarkEnd w:id="636"/>
      <w:bookmarkEnd w:id="637"/>
      <w:bookmarkEnd w:id="638"/>
      <w:bookmarkEnd w:id="639"/>
      <w:bookmarkEnd w:id="640"/>
      <w:bookmarkEnd w:id="641"/>
    </w:p>
    <w:p w14:paraId="45B01F6C">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2022年10月，</w:t>
      </w:r>
      <w:r>
        <w:rPr>
          <w:rFonts w:hint="eastAsia" w:cs="Times New Roman"/>
          <w:color w:val="auto"/>
          <w:highlight w:val="none"/>
          <w:lang w:val="en-US" w:eastAsia="zh-CN"/>
        </w:rPr>
        <w:t>建设单位</w:t>
      </w:r>
      <w:r>
        <w:rPr>
          <w:rFonts w:hint="default" w:ascii="Times New Roman" w:hAnsi="Times New Roman" w:cs="Times New Roman"/>
          <w:color w:val="auto"/>
          <w:highlight w:val="none"/>
          <w:lang w:val="en-US" w:eastAsia="zh-CN"/>
        </w:rPr>
        <w:t>委托新疆绿境天宸环保科技有限公司编制了《新疆华瓯矿业有限公司新疆若羌县卡尔恰尔萤石矿采选项目环境影响报告书》，并于2023年6月12日取得了巴州生态环境局出具的同意建设的批复（巴环评价函〔2023〕132号），2023年6月27日，新疆华瓯矿业有限公司取得了新疆华瓯矿业有限公司新疆若羌县卡尔恰尔萤石矿采矿许可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2023年7月27日，取得了若羌县发展和改革委员会核发的登记备案证，项目备案名称：新疆若羌县卡尔恰尔萤石矿采选建设项目，项目代码：2307-652824-15-01-369756。2023年8月，矿山建设工作正式启动</w:t>
      </w:r>
      <w:r>
        <w:rPr>
          <w:rFonts w:hint="eastAsia" w:cs="Times New Roman"/>
          <w:color w:val="auto"/>
          <w:highlight w:val="none"/>
          <w:lang w:val="en-US" w:eastAsia="zh-CN"/>
        </w:rPr>
        <w:t>，目前主体工程已基本建设完成，施工期影响已随施工期的结束而消失，故本次评价重点分析运营期环境影响</w:t>
      </w:r>
      <w:r>
        <w:rPr>
          <w:rFonts w:hint="default" w:ascii="Times New Roman" w:hAnsi="Times New Roman" w:cs="Times New Roman"/>
          <w:color w:val="auto"/>
          <w:highlight w:val="none"/>
          <w:lang w:val="en-US" w:eastAsia="zh-CN"/>
        </w:rPr>
        <w:t>。</w:t>
      </w:r>
    </w:p>
    <w:p w14:paraId="355541E2">
      <w:pPr>
        <w:pStyle w:val="5"/>
        <w:rPr>
          <w:color w:val="auto"/>
          <w:highlight w:val="none"/>
        </w:rPr>
      </w:pPr>
      <w:bookmarkStart w:id="642" w:name="_Toc9308"/>
      <w:bookmarkStart w:id="643" w:name="_Toc107414665"/>
      <w:bookmarkStart w:id="644" w:name="_Toc27236"/>
      <w:bookmarkStart w:id="645" w:name="_Toc15184"/>
      <w:bookmarkStart w:id="646" w:name="_Toc21045"/>
      <w:bookmarkStart w:id="647" w:name="_Toc107413898"/>
      <w:bookmarkStart w:id="648" w:name="_Toc9619"/>
      <w:bookmarkStart w:id="649" w:name="_Toc23802"/>
      <w:r>
        <w:rPr>
          <w:rFonts w:hint="eastAsia"/>
          <w:color w:val="auto"/>
          <w:highlight w:val="none"/>
        </w:rPr>
        <w:t>5</w:t>
      </w:r>
      <w:r>
        <w:rPr>
          <w:color w:val="auto"/>
          <w:highlight w:val="none"/>
        </w:rPr>
        <w:t>.</w:t>
      </w:r>
      <w:r>
        <w:rPr>
          <w:rFonts w:hint="eastAsia"/>
          <w:color w:val="auto"/>
          <w:highlight w:val="none"/>
        </w:rPr>
        <w:t>2运营期环境影响预测与评价</w:t>
      </w:r>
      <w:bookmarkEnd w:id="642"/>
      <w:bookmarkEnd w:id="643"/>
      <w:bookmarkEnd w:id="644"/>
      <w:bookmarkEnd w:id="645"/>
      <w:bookmarkEnd w:id="646"/>
      <w:bookmarkEnd w:id="647"/>
      <w:bookmarkEnd w:id="648"/>
      <w:bookmarkEnd w:id="649"/>
    </w:p>
    <w:p w14:paraId="45DFB554">
      <w:pPr>
        <w:pStyle w:val="6"/>
        <w:bidi w:val="0"/>
        <w:rPr>
          <w:rFonts w:hint="eastAsia"/>
          <w:color w:val="auto"/>
          <w:highlight w:val="none"/>
        </w:rPr>
      </w:pPr>
      <w:bookmarkStart w:id="650" w:name="_Toc1930"/>
      <w:bookmarkStart w:id="651" w:name="_Toc15983"/>
      <w:bookmarkStart w:id="652" w:name="_Toc21874"/>
      <w:r>
        <w:rPr>
          <w:rFonts w:hint="eastAsia"/>
          <w:color w:val="auto"/>
          <w:highlight w:val="none"/>
        </w:rPr>
        <w:t>5</w:t>
      </w:r>
      <w:r>
        <w:rPr>
          <w:color w:val="auto"/>
          <w:highlight w:val="none"/>
        </w:rPr>
        <w:t>.</w:t>
      </w:r>
      <w:r>
        <w:rPr>
          <w:rFonts w:hint="eastAsia"/>
          <w:color w:val="auto"/>
          <w:highlight w:val="none"/>
        </w:rPr>
        <w:t>2.1运营期大气环境影响分析与评价</w:t>
      </w:r>
      <w:bookmarkEnd w:id="650"/>
      <w:bookmarkEnd w:id="651"/>
      <w:bookmarkEnd w:id="652"/>
    </w:p>
    <w:p w14:paraId="1C879AF0">
      <w:pPr>
        <w:pStyle w:val="7"/>
        <w:bidi w:val="0"/>
        <w:rPr>
          <w:color w:val="auto"/>
          <w:highlight w:val="none"/>
        </w:rPr>
      </w:pPr>
      <w:r>
        <w:rPr>
          <w:color w:val="auto"/>
          <w:highlight w:val="none"/>
        </w:rPr>
        <w:t>5.2.</w:t>
      </w:r>
      <w:r>
        <w:rPr>
          <w:rFonts w:hint="eastAsia"/>
          <w:color w:val="auto"/>
          <w:highlight w:val="none"/>
        </w:rPr>
        <w:t>1.</w:t>
      </w:r>
      <w:r>
        <w:rPr>
          <w:rFonts w:hint="eastAsia"/>
          <w:color w:val="auto"/>
          <w:highlight w:val="none"/>
          <w:lang w:val="en-US" w:eastAsia="zh-CN"/>
        </w:rPr>
        <w:t>1</w:t>
      </w:r>
      <w:r>
        <w:rPr>
          <w:rFonts w:hint="default"/>
          <w:color w:val="auto"/>
          <w:highlight w:val="none"/>
          <w:lang w:val="en-US" w:eastAsia="zh-CN"/>
        </w:rPr>
        <w:t>环境空气影响预测与评价</w:t>
      </w:r>
    </w:p>
    <w:p w14:paraId="6632CACC">
      <w:pPr>
        <w:bidi w:val="0"/>
        <w:rPr>
          <w:rFonts w:hint="default"/>
          <w:color w:val="auto"/>
          <w:highlight w:val="none"/>
          <w:lang w:val="en-US" w:eastAsia="zh-CN"/>
        </w:rPr>
      </w:pPr>
      <w:r>
        <w:rPr>
          <w:rFonts w:hint="eastAsia"/>
          <w:color w:val="auto"/>
          <w:highlight w:val="none"/>
          <w:lang w:val="en-US" w:eastAsia="zh-CN"/>
        </w:rPr>
        <w:t>（1）预测</w:t>
      </w:r>
      <w:r>
        <w:rPr>
          <w:rFonts w:hint="default"/>
          <w:color w:val="auto"/>
          <w:highlight w:val="none"/>
          <w:lang w:val="en-US" w:eastAsia="zh-CN"/>
        </w:rPr>
        <w:t>内容</w:t>
      </w:r>
    </w:p>
    <w:p w14:paraId="3B8E39FC">
      <w:pPr>
        <w:bidi w:val="0"/>
        <w:rPr>
          <w:rFonts w:hint="default"/>
          <w:color w:val="auto"/>
          <w:highlight w:val="none"/>
        </w:rPr>
      </w:pPr>
      <w:r>
        <w:rPr>
          <w:rFonts w:hint="default"/>
          <w:color w:val="auto"/>
          <w:highlight w:val="none"/>
          <w:lang w:val="en-US" w:eastAsia="zh-CN"/>
        </w:rPr>
        <w:t>根据《环境影响评价技术导则</w:t>
      </w:r>
      <w:r>
        <w:rPr>
          <w:rFonts w:hint="eastAsia"/>
          <w:color w:val="auto"/>
          <w:highlight w:val="none"/>
          <w:lang w:val="en-US" w:eastAsia="zh-CN"/>
        </w:rPr>
        <w:t xml:space="preserve"> </w:t>
      </w:r>
      <w:r>
        <w:rPr>
          <w:rFonts w:hint="default"/>
          <w:color w:val="auto"/>
          <w:highlight w:val="none"/>
          <w:lang w:val="en-US" w:eastAsia="zh-CN"/>
        </w:rPr>
        <w:t>大气环境》（HJ2.2-2018）中推荐模式中的AERSCREEN估算模式对项目排放影响程度进行估算，选取占标率较大、影响较大并有环境质量标准的污染因子进行估算。</w:t>
      </w:r>
    </w:p>
    <w:p w14:paraId="64BD8D34">
      <w:pPr>
        <w:bidi w:val="0"/>
        <w:rPr>
          <w:rFonts w:hint="default"/>
          <w:color w:val="auto"/>
          <w:highlight w:val="none"/>
          <w:lang w:eastAsia="zh-CN"/>
        </w:rPr>
      </w:pPr>
      <w:bookmarkStart w:id="653" w:name="_Toc9093"/>
      <w:bookmarkStart w:id="654" w:name="_Toc20642"/>
      <w:bookmarkStart w:id="655" w:name="_Toc28488"/>
      <w:r>
        <w:rPr>
          <w:rFonts w:hint="eastAsia"/>
          <w:color w:val="auto"/>
          <w:highlight w:val="none"/>
          <w:lang w:val="en-US" w:eastAsia="zh-CN"/>
        </w:rPr>
        <w:t>（2）预测</w:t>
      </w:r>
      <w:r>
        <w:rPr>
          <w:rFonts w:hint="default"/>
          <w:color w:val="auto"/>
          <w:highlight w:val="none"/>
          <w:lang w:eastAsia="zh-CN"/>
        </w:rPr>
        <w:t>范围</w:t>
      </w:r>
      <w:bookmarkEnd w:id="653"/>
      <w:bookmarkEnd w:id="654"/>
      <w:bookmarkEnd w:id="655"/>
    </w:p>
    <w:p w14:paraId="2A6A7D46">
      <w:pPr>
        <w:bidi w:val="0"/>
        <w:rPr>
          <w:rFonts w:hint="default"/>
          <w:color w:val="auto"/>
          <w:highlight w:val="none"/>
          <w:lang w:eastAsia="zh-CN"/>
        </w:rPr>
      </w:pPr>
      <w:r>
        <w:rPr>
          <w:rFonts w:hint="default"/>
          <w:color w:val="auto"/>
          <w:highlight w:val="none"/>
          <w:lang w:eastAsia="zh-CN"/>
        </w:rPr>
        <w:t>根据《环境影响评价技术导则</w:t>
      </w:r>
      <w:r>
        <w:rPr>
          <w:rFonts w:hint="eastAsia"/>
          <w:color w:val="auto"/>
          <w:highlight w:val="none"/>
          <w:lang w:val="en-US" w:eastAsia="zh-CN"/>
        </w:rPr>
        <w:t xml:space="preserve"> </w:t>
      </w:r>
      <w:r>
        <w:rPr>
          <w:rFonts w:hint="default"/>
          <w:color w:val="auto"/>
          <w:highlight w:val="none"/>
          <w:lang w:eastAsia="zh-CN"/>
        </w:rPr>
        <w:t>大气环境》（HJ2.2-2018）中关于大气环境影响评价范围的划分，确定本项目的大气</w:t>
      </w:r>
      <w:r>
        <w:rPr>
          <w:rFonts w:hint="eastAsia"/>
          <w:color w:val="auto"/>
          <w:highlight w:val="none"/>
          <w:lang w:val="en-US" w:eastAsia="zh-CN"/>
        </w:rPr>
        <w:t>估算</w:t>
      </w:r>
      <w:r>
        <w:rPr>
          <w:rFonts w:hint="default"/>
          <w:color w:val="auto"/>
          <w:highlight w:val="none"/>
          <w:lang w:eastAsia="zh-CN"/>
        </w:rPr>
        <w:t>范围为以</w:t>
      </w:r>
      <w:r>
        <w:rPr>
          <w:rFonts w:hint="eastAsia" w:ascii="Times New Roman" w:hAnsi="Times New Roman" w:eastAsia="宋体" w:cs="Times New Roman"/>
          <w:color w:val="auto"/>
          <w:sz w:val="24"/>
          <w:highlight w:val="none"/>
          <w:lang w:val="en-US" w:eastAsia="zh-CN"/>
        </w:rPr>
        <w:t>选矿厂、尾矿库为中心</w:t>
      </w:r>
      <w:r>
        <w:rPr>
          <w:rFonts w:hint="eastAsia"/>
          <w:color w:val="auto"/>
          <w:highlight w:val="none"/>
          <w:lang w:val="en-US" w:eastAsia="zh-CN"/>
        </w:rPr>
        <w:t>，各</w:t>
      </w:r>
      <w:r>
        <w:rPr>
          <w:rFonts w:hint="default"/>
          <w:color w:val="auto"/>
          <w:highlight w:val="none"/>
          <w:lang w:val="en-US" w:eastAsia="zh-CN"/>
        </w:rPr>
        <w:t>边长5km</w:t>
      </w:r>
      <w:r>
        <w:rPr>
          <w:rFonts w:hint="default"/>
          <w:color w:val="auto"/>
          <w:highlight w:val="none"/>
          <w:lang w:eastAsia="zh-CN"/>
        </w:rPr>
        <w:t>的矩形区域。</w:t>
      </w:r>
    </w:p>
    <w:p w14:paraId="27018592">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3</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预测</w:t>
      </w:r>
      <w:r>
        <w:rPr>
          <w:rFonts w:hint="default" w:ascii="Times New Roman" w:hAnsi="Times New Roman" w:eastAsia="宋体" w:cs="Times New Roman"/>
          <w:color w:val="auto"/>
          <w:highlight w:val="none"/>
          <w:lang w:val="en-US" w:eastAsia="zh-CN"/>
        </w:rPr>
        <w:t>因子及评价标准</w:t>
      </w:r>
    </w:p>
    <w:p w14:paraId="7011A496">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有组织废气预测因子：</w:t>
      </w:r>
      <w:r>
        <w:rPr>
          <w:rFonts w:hint="default" w:ascii="Times New Roman" w:hAnsi="Times New Roman" w:eastAsia="宋体" w:cs="Times New Roman"/>
          <w:color w:val="auto"/>
          <w:sz w:val="24"/>
          <w:highlight w:val="none"/>
          <w:lang w:val="en-US" w:eastAsia="zh-CN"/>
        </w:rPr>
        <w:t>PM</w:t>
      </w:r>
      <w:r>
        <w:rPr>
          <w:rFonts w:hint="default" w:ascii="Times New Roman" w:hAnsi="Times New Roman" w:eastAsia="宋体" w:cs="Times New Roman"/>
          <w:color w:val="auto"/>
          <w:sz w:val="24"/>
          <w:highlight w:val="none"/>
          <w:vertAlign w:val="subscript"/>
          <w:lang w:val="en-US" w:eastAsia="zh-CN"/>
        </w:rPr>
        <w:t>10</w:t>
      </w:r>
      <w:r>
        <w:rPr>
          <w:rFonts w:hint="eastAsia" w:eastAsia="宋体" w:cs="Times New Roman"/>
          <w:color w:val="auto"/>
          <w:sz w:val="24"/>
          <w:highlight w:val="none"/>
          <w:vertAlign w:val="baseline"/>
          <w:lang w:val="en-US" w:eastAsia="zh-CN"/>
        </w:rPr>
        <w:t>、氟化物</w:t>
      </w:r>
      <w:r>
        <w:rPr>
          <w:rFonts w:hint="eastAsia" w:cs="Times New Roman"/>
          <w:color w:val="auto"/>
          <w:sz w:val="24"/>
          <w:highlight w:val="none"/>
          <w:vertAlign w:val="baseline"/>
          <w:lang w:val="en-US" w:eastAsia="zh-CN"/>
        </w:rPr>
        <w:t>、硫酸雾</w:t>
      </w:r>
      <w:r>
        <w:rPr>
          <w:rFonts w:hint="default" w:ascii="Times New Roman" w:hAnsi="Times New Roman" w:eastAsia="宋体" w:cs="Times New Roman"/>
          <w:snapToGrid/>
          <w:color w:val="auto"/>
          <w:kern w:val="2"/>
          <w:sz w:val="24"/>
          <w:szCs w:val="24"/>
          <w:highlight w:val="none"/>
          <w:lang w:val="en-US" w:eastAsia="zh-CN" w:bidi="ar-SA"/>
        </w:rPr>
        <w:t>。</w:t>
      </w:r>
    </w:p>
    <w:p w14:paraId="05EF168C">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snapToGrid/>
          <w:color w:val="auto"/>
          <w:kern w:val="2"/>
          <w:sz w:val="24"/>
          <w:szCs w:val="24"/>
          <w:highlight w:val="none"/>
          <w:lang w:val="en-US" w:eastAsia="zh-CN" w:bidi="ar-SA"/>
        </w:rPr>
        <w:t>无组织废气预测因子：</w:t>
      </w:r>
      <w:r>
        <w:rPr>
          <w:rFonts w:hint="default" w:ascii="Times New Roman" w:hAnsi="Times New Roman" w:eastAsia="宋体" w:cs="Times New Roman"/>
          <w:color w:val="auto"/>
          <w:sz w:val="24"/>
          <w:highlight w:val="none"/>
          <w:lang w:val="en-US" w:eastAsia="zh-CN"/>
        </w:rPr>
        <w:t>TSP</w:t>
      </w:r>
      <w:r>
        <w:rPr>
          <w:rFonts w:hint="default" w:ascii="Times New Roman" w:hAnsi="Times New Roman" w:eastAsia="宋体" w:cs="Times New Roman"/>
          <w:snapToGrid/>
          <w:color w:val="auto"/>
          <w:kern w:val="2"/>
          <w:sz w:val="24"/>
          <w:szCs w:val="24"/>
          <w:highlight w:val="none"/>
          <w:lang w:val="en-US" w:eastAsia="zh-CN" w:bidi="ar-SA"/>
        </w:rPr>
        <w:t>。</w:t>
      </w:r>
    </w:p>
    <w:p w14:paraId="32DF9D72">
      <w:pPr>
        <w:keepNext w:val="0"/>
        <w:keepLines w:val="0"/>
        <w:pageBreakBefore w:val="0"/>
        <w:widowControl w:val="0"/>
        <w:kinsoku/>
        <w:wordWrap/>
        <w:overflowPunct/>
        <w:topLinePunct w:val="0"/>
        <w:autoSpaceDE/>
        <w:autoSpaceDN/>
        <w:bidi w:val="0"/>
        <w:adjustRightInd/>
        <w:snapToGrid/>
        <w:spacing w:before="0" w:after="0"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评价区PM</w:t>
      </w:r>
      <w:r>
        <w:rPr>
          <w:rFonts w:hint="default" w:ascii="Times New Roman" w:hAnsi="Times New Roman" w:eastAsia="宋体" w:cs="Times New Roman"/>
          <w:color w:val="auto"/>
          <w:sz w:val="24"/>
          <w:highlight w:val="none"/>
          <w:vertAlign w:val="subscript"/>
        </w:rPr>
        <w:t>10</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vertAlign w:val="baseline"/>
          <w:lang w:val="en-US" w:eastAsia="zh-CN"/>
        </w:rPr>
        <w:t>TSP</w:t>
      </w:r>
      <w:r>
        <w:rPr>
          <w:rFonts w:hint="eastAsia" w:cs="Times New Roman"/>
          <w:color w:val="auto"/>
          <w:sz w:val="24"/>
          <w:highlight w:val="none"/>
          <w:vertAlign w:val="baseline"/>
          <w:lang w:val="en-US" w:eastAsia="zh-CN"/>
        </w:rPr>
        <w:t>、氟化物</w:t>
      </w:r>
      <w:r>
        <w:rPr>
          <w:rFonts w:hint="default" w:ascii="Times New Roman" w:hAnsi="Times New Roman" w:eastAsia="宋体" w:cs="Times New Roman"/>
          <w:color w:val="auto"/>
          <w:sz w:val="24"/>
          <w:highlight w:val="none"/>
        </w:rPr>
        <w:t>执行《环境空气质量标准》（GB3095-20</w:t>
      </w:r>
      <w:r>
        <w:rPr>
          <w:rFonts w:hint="eastAsia" w:cs="Times New Roman"/>
          <w:color w:val="auto"/>
          <w:sz w:val="24"/>
          <w:highlight w:val="none"/>
          <w:lang w:val="en-US" w:eastAsia="zh-CN"/>
        </w:rPr>
        <w:t>26</w:t>
      </w:r>
      <w:r>
        <w:rPr>
          <w:rFonts w:hint="default" w:ascii="Times New Roman" w:hAnsi="Times New Roman" w:eastAsia="宋体" w:cs="Times New Roman"/>
          <w:color w:val="auto"/>
          <w:sz w:val="24"/>
          <w:highlight w:val="none"/>
        </w:rPr>
        <w:t>）二级标准</w:t>
      </w:r>
      <w:r>
        <w:rPr>
          <w:rFonts w:hint="default"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硫酸雾执行</w:t>
      </w:r>
      <w:r>
        <w:rPr>
          <w:rFonts w:hint="default"/>
          <w:color w:val="auto"/>
          <w:highlight w:val="none"/>
          <w:lang w:eastAsia="zh-CN"/>
        </w:rPr>
        <w:t>《环境影响评价技术导则</w:t>
      </w:r>
      <w:r>
        <w:rPr>
          <w:rFonts w:hint="eastAsia"/>
          <w:color w:val="auto"/>
          <w:highlight w:val="none"/>
          <w:lang w:val="en-US" w:eastAsia="zh-CN"/>
        </w:rPr>
        <w:t xml:space="preserve"> </w:t>
      </w:r>
      <w:r>
        <w:rPr>
          <w:rFonts w:hint="default"/>
          <w:color w:val="auto"/>
          <w:highlight w:val="none"/>
          <w:lang w:eastAsia="zh-CN"/>
        </w:rPr>
        <w:t>大气环境》（HJ2.2-2018）</w:t>
      </w:r>
      <w:r>
        <w:rPr>
          <w:rFonts w:hint="eastAsia"/>
          <w:color w:val="auto"/>
          <w:highlight w:val="none"/>
          <w:lang w:val="en-US" w:eastAsia="zh-CN"/>
        </w:rPr>
        <w:t>附录D浓度参考限值，</w:t>
      </w:r>
      <w:r>
        <w:rPr>
          <w:rFonts w:hint="default" w:ascii="Times New Roman" w:hAnsi="Times New Roman" w:eastAsia="宋体" w:cs="Times New Roman"/>
          <w:color w:val="auto"/>
          <w:sz w:val="24"/>
          <w:highlight w:val="none"/>
        </w:rPr>
        <w:t>评价标准见表5.2-</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w:t>
      </w:r>
    </w:p>
    <w:p w14:paraId="2891BFC8">
      <w:pPr>
        <w:keepNext w:val="0"/>
        <w:keepLines w:val="0"/>
        <w:pageBreakBefore w:val="0"/>
        <w:widowControl w:val="0"/>
        <w:kinsoku/>
        <w:wordWrap/>
        <w:overflowPunct/>
        <w:topLinePunct w:val="0"/>
        <w:autoSpaceDE/>
        <w:autoSpaceDN/>
        <w:bidi w:val="0"/>
        <w:adjustRightInd/>
        <w:snapToGrid/>
        <w:spacing w:before="0" w:after="0" w:line="480" w:lineRule="exact"/>
        <w:ind w:firstLine="0"/>
        <w:jc w:val="center"/>
        <w:textAlignment w:val="auto"/>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表</w:t>
      </w:r>
      <w:r>
        <w:rPr>
          <w:rFonts w:hint="default" w:ascii="Times New Roman" w:hAnsi="Times New Roman" w:eastAsia="宋体" w:cs="Times New Roman"/>
          <w:b/>
          <w:color w:val="auto"/>
          <w:sz w:val="24"/>
          <w:highlight w:val="none"/>
          <w:lang w:val="en-US" w:eastAsia="zh-CN"/>
        </w:rPr>
        <w:t>5.2-</w:t>
      </w:r>
      <w:r>
        <w:rPr>
          <w:rFonts w:hint="eastAsia" w:cs="Times New Roman"/>
          <w:b/>
          <w:color w:val="auto"/>
          <w:sz w:val="24"/>
          <w:highlight w:val="none"/>
          <w:lang w:val="en-US" w:eastAsia="zh-CN"/>
        </w:rPr>
        <w:t>1</w:t>
      </w:r>
      <w:r>
        <w:rPr>
          <w:rFonts w:hint="default" w:ascii="Times New Roman" w:hAnsi="Times New Roman" w:eastAsia="宋体" w:cs="Times New Roman"/>
          <w:b/>
          <w:color w:val="auto"/>
          <w:sz w:val="24"/>
          <w:highlight w:val="none"/>
        </w:rPr>
        <w:t xml:space="preserve">   环境空气质量评价标准    单位：</w:t>
      </w:r>
      <w:r>
        <w:rPr>
          <w:rFonts w:hint="default" w:ascii="Times New Roman" w:hAnsi="Times New Roman" w:cs="Times New Roman"/>
          <w:b/>
          <w:color w:val="auto"/>
          <w:sz w:val="24"/>
          <w:highlight w:val="none"/>
          <w:lang w:val="en-US" w:eastAsia="zh-CN"/>
        </w:rPr>
        <w:t>μ</w:t>
      </w:r>
      <w:r>
        <w:rPr>
          <w:rFonts w:hint="default" w:ascii="Times New Roman" w:hAnsi="Times New Roman" w:eastAsia="宋体" w:cs="Times New Roman"/>
          <w:b/>
          <w:color w:val="auto"/>
          <w:sz w:val="24"/>
          <w:highlight w:val="none"/>
        </w:rPr>
        <w:t>g/m</w:t>
      </w:r>
      <w:r>
        <w:rPr>
          <w:rFonts w:hint="default" w:ascii="Times New Roman" w:hAnsi="Times New Roman" w:eastAsia="宋体" w:cs="Times New Roman"/>
          <w:b/>
          <w:color w:val="auto"/>
          <w:sz w:val="24"/>
          <w:highlight w:val="none"/>
          <w:vertAlign w:val="superscript"/>
        </w:rPr>
        <w:t>3</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1326"/>
        <w:gridCol w:w="1266"/>
        <w:gridCol w:w="1002"/>
        <w:gridCol w:w="1399"/>
        <w:gridCol w:w="2304"/>
      </w:tblGrid>
      <w:tr w14:paraId="3D3E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pct"/>
            <w:vMerge w:val="restart"/>
            <w:vAlign w:val="center"/>
          </w:tcPr>
          <w:p w14:paraId="6B2CC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污染物</w:t>
            </w:r>
          </w:p>
        </w:tc>
        <w:tc>
          <w:tcPr>
            <w:tcW w:w="2930" w:type="pct"/>
            <w:gridSpan w:val="4"/>
            <w:vAlign w:val="center"/>
          </w:tcPr>
          <w:p w14:paraId="69DB90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浓度限值</w:t>
            </w:r>
          </w:p>
        </w:tc>
        <w:tc>
          <w:tcPr>
            <w:tcW w:w="1352" w:type="pct"/>
            <w:vMerge w:val="restart"/>
            <w:vAlign w:val="center"/>
          </w:tcPr>
          <w:p w14:paraId="49D43E7F">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执行标准</w:t>
            </w:r>
          </w:p>
        </w:tc>
      </w:tr>
      <w:tr w14:paraId="0CE2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717" w:type="pct"/>
            <w:vMerge w:val="continue"/>
            <w:vAlign w:val="center"/>
          </w:tcPr>
          <w:p w14:paraId="7AF826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p>
        </w:tc>
        <w:tc>
          <w:tcPr>
            <w:tcW w:w="778" w:type="pct"/>
            <w:vAlign w:val="center"/>
          </w:tcPr>
          <w:p w14:paraId="7F45E1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1小时平均</w:t>
            </w:r>
          </w:p>
        </w:tc>
        <w:tc>
          <w:tcPr>
            <w:tcW w:w="743" w:type="pct"/>
            <w:vAlign w:val="center"/>
          </w:tcPr>
          <w:p w14:paraId="6F6375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8小时平均</w:t>
            </w:r>
          </w:p>
        </w:tc>
        <w:tc>
          <w:tcPr>
            <w:tcW w:w="588" w:type="pct"/>
            <w:vAlign w:val="center"/>
          </w:tcPr>
          <w:p w14:paraId="69255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日平均</w:t>
            </w:r>
          </w:p>
        </w:tc>
        <w:tc>
          <w:tcPr>
            <w:tcW w:w="821" w:type="pct"/>
            <w:vAlign w:val="center"/>
          </w:tcPr>
          <w:p w14:paraId="35B74B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年平均</w:t>
            </w:r>
          </w:p>
        </w:tc>
        <w:tc>
          <w:tcPr>
            <w:tcW w:w="1352" w:type="pct"/>
            <w:vMerge w:val="continue"/>
            <w:vAlign w:val="center"/>
          </w:tcPr>
          <w:p w14:paraId="622575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p>
        </w:tc>
      </w:tr>
      <w:tr w14:paraId="145D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pct"/>
            <w:vAlign w:val="center"/>
          </w:tcPr>
          <w:p w14:paraId="7B65F2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PM</w:t>
            </w:r>
            <w:r>
              <w:rPr>
                <w:rFonts w:hint="default" w:ascii="Times New Roman" w:hAnsi="Times New Roman" w:eastAsia="宋体" w:cs="Times New Roman"/>
                <w:b w:val="0"/>
                <w:bCs w:val="0"/>
                <w:color w:val="auto"/>
                <w:kern w:val="0"/>
                <w:sz w:val="21"/>
                <w:szCs w:val="21"/>
                <w:highlight w:val="none"/>
                <w:vertAlign w:val="subscript"/>
              </w:rPr>
              <w:t>10</w:t>
            </w:r>
          </w:p>
        </w:tc>
        <w:tc>
          <w:tcPr>
            <w:tcW w:w="778" w:type="pct"/>
            <w:vAlign w:val="center"/>
          </w:tcPr>
          <w:p w14:paraId="3E4D2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w:t>
            </w:r>
          </w:p>
        </w:tc>
        <w:tc>
          <w:tcPr>
            <w:tcW w:w="743" w:type="pct"/>
            <w:vAlign w:val="center"/>
          </w:tcPr>
          <w:p w14:paraId="0D9B31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w:t>
            </w:r>
          </w:p>
        </w:tc>
        <w:tc>
          <w:tcPr>
            <w:tcW w:w="588" w:type="pct"/>
            <w:vAlign w:val="center"/>
          </w:tcPr>
          <w:p w14:paraId="6C522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120</w:t>
            </w:r>
          </w:p>
        </w:tc>
        <w:tc>
          <w:tcPr>
            <w:tcW w:w="821" w:type="pct"/>
            <w:vAlign w:val="center"/>
          </w:tcPr>
          <w:p w14:paraId="562A45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60</w:t>
            </w:r>
          </w:p>
        </w:tc>
        <w:tc>
          <w:tcPr>
            <w:tcW w:w="1352" w:type="pct"/>
            <w:vMerge w:val="restart"/>
            <w:shd w:val="clear" w:color="auto" w:fill="auto"/>
            <w:vAlign w:val="center"/>
          </w:tcPr>
          <w:p w14:paraId="55DEB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cs="Times New Roman"/>
                <w:b w:val="0"/>
                <w:bCs w:val="0"/>
                <w:color w:val="auto"/>
                <w:kern w:val="0"/>
                <w:sz w:val="21"/>
                <w:szCs w:val="21"/>
                <w:highlight w:val="none"/>
                <w:lang w:val="en-US" w:eastAsia="zh-CN"/>
              </w:rPr>
              <w:t>《环境空气质量标准》（GB3095-20</w:t>
            </w:r>
            <w:r>
              <w:rPr>
                <w:rFonts w:hint="eastAsia" w:cs="Times New Roman"/>
                <w:b w:val="0"/>
                <w:bCs w:val="0"/>
                <w:color w:val="auto"/>
                <w:kern w:val="0"/>
                <w:sz w:val="21"/>
                <w:szCs w:val="21"/>
                <w:highlight w:val="none"/>
                <w:lang w:val="en-US" w:eastAsia="zh-CN"/>
              </w:rPr>
              <w:t>26</w:t>
            </w:r>
            <w:r>
              <w:rPr>
                <w:rFonts w:hint="default" w:cs="Times New Roman"/>
                <w:b w:val="0"/>
                <w:bCs w:val="0"/>
                <w:color w:val="auto"/>
                <w:kern w:val="0"/>
                <w:sz w:val="21"/>
                <w:szCs w:val="21"/>
                <w:highlight w:val="none"/>
                <w:lang w:val="en-US" w:eastAsia="zh-CN"/>
              </w:rPr>
              <w:t>）二级标准</w:t>
            </w:r>
          </w:p>
        </w:tc>
      </w:tr>
      <w:tr w14:paraId="31FA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17" w:type="pct"/>
            <w:vAlign w:val="center"/>
          </w:tcPr>
          <w:p w14:paraId="59B538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rPr>
              <w:t>TSP</w:t>
            </w:r>
          </w:p>
        </w:tc>
        <w:tc>
          <w:tcPr>
            <w:tcW w:w="778" w:type="pct"/>
            <w:vAlign w:val="center"/>
          </w:tcPr>
          <w:p w14:paraId="5CE0A3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baseline"/>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w:t>
            </w:r>
          </w:p>
        </w:tc>
        <w:tc>
          <w:tcPr>
            <w:tcW w:w="743" w:type="pct"/>
            <w:vAlign w:val="center"/>
          </w:tcPr>
          <w:p w14:paraId="6B07B1D0">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w:t>
            </w:r>
          </w:p>
        </w:tc>
        <w:tc>
          <w:tcPr>
            <w:tcW w:w="588" w:type="pct"/>
            <w:vAlign w:val="center"/>
          </w:tcPr>
          <w:p w14:paraId="404208C2">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rPr>
              <w:t>300</w:t>
            </w:r>
          </w:p>
        </w:tc>
        <w:tc>
          <w:tcPr>
            <w:tcW w:w="821" w:type="pct"/>
            <w:vAlign w:val="center"/>
          </w:tcPr>
          <w:p w14:paraId="1872EF61">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rPr>
              <w:t>200</w:t>
            </w:r>
          </w:p>
        </w:tc>
        <w:tc>
          <w:tcPr>
            <w:tcW w:w="1352" w:type="pct"/>
            <w:vMerge w:val="continue"/>
            <w:vAlign w:val="center"/>
          </w:tcPr>
          <w:p w14:paraId="74A2B893">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rPr>
                <w:rFonts w:hint="default" w:ascii="Times New Roman" w:hAnsi="Times New Roman" w:eastAsia="宋体" w:cs="Times New Roman"/>
                <w:b w:val="0"/>
                <w:bCs w:val="0"/>
                <w:color w:val="auto"/>
                <w:kern w:val="0"/>
                <w:sz w:val="21"/>
                <w:szCs w:val="21"/>
                <w:highlight w:val="none"/>
              </w:rPr>
            </w:pPr>
          </w:p>
        </w:tc>
      </w:tr>
      <w:tr w14:paraId="7CBB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pct"/>
            <w:vAlign w:val="center"/>
          </w:tcPr>
          <w:p w14:paraId="651E0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氟化物</w:t>
            </w:r>
          </w:p>
        </w:tc>
        <w:tc>
          <w:tcPr>
            <w:tcW w:w="778" w:type="pct"/>
            <w:vAlign w:val="center"/>
          </w:tcPr>
          <w:p w14:paraId="024637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rPr>
            </w:pPr>
            <w:r>
              <w:rPr>
                <w:rFonts w:hint="eastAsia" w:cs="Times New Roman"/>
                <w:b w:val="0"/>
                <w:bCs w:val="0"/>
                <w:color w:val="auto"/>
                <w:kern w:val="0"/>
                <w:sz w:val="21"/>
                <w:szCs w:val="21"/>
                <w:highlight w:val="none"/>
                <w:lang w:val="en-US" w:eastAsia="zh-CN"/>
              </w:rPr>
              <w:t>20</w:t>
            </w:r>
          </w:p>
        </w:tc>
        <w:tc>
          <w:tcPr>
            <w:tcW w:w="743" w:type="pct"/>
            <w:vAlign w:val="center"/>
          </w:tcPr>
          <w:p w14:paraId="49882CE5">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w:t>
            </w:r>
          </w:p>
        </w:tc>
        <w:tc>
          <w:tcPr>
            <w:tcW w:w="588" w:type="pct"/>
            <w:vAlign w:val="center"/>
          </w:tcPr>
          <w:p w14:paraId="72BD60A2">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7</w:t>
            </w:r>
          </w:p>
        </w:tc>
        <w:tc>
          <w:tcPr>
            <w:tcW w:w="821" w:type="pct"/>
            <w:vAlign w:val="center"/>
          </w:tcPr>
          <w:p w14:paraId="3C4C4BE0">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rPr>
              <w:t>－</w:t>
            </w:r>
          </w:p>
        </w:tc>
        <w:tc>
          <w:tcPr>
            <w:tcW w:w="1352" w:type="pct"/>
            <w:vMerge w:val="continue"/>
            <w:vAlign w:val="center"/>
          </w:tcPr>
          <w:p w14:paraId="5096370A">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rPr>
                <w:rFonts w:hint="default" w:ascii="Times New Roman" w:hAnsi="Times New Roman" w:eastAsia="宋体" w:cs="Times New Roman"/>
                <w:b w:val="0"/>
                <w:bCs w:val="0"/>
                <w:color w:val="auto"/>
                <w:kern w:val="0"/>
                <w:sz w:val="21"/>
                <w:szCs w:val="21"/>
                <w:highlight w:val="none"/>
              </w:rPr>
            </w:pPr>
          </w:p>
        </w:tc>
      </w:tr>
      <w:tr w14:paraId="06A2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pct"/>
            <w:vAlign w:val="center"/>
          </w:tcPr>
          <w:p w14:paraId="3F40FD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rPr>
                <w:rFonts w:hint="default"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硫酸雾</w:t>
            </w:r>
          </w:p>
        </w:tc>
        <w:tc>
          <w:tcPr>
            <w:tcW w:w="778" w:type="pct"/>
            <w:vAlign w:val="center"/>
          </w:tcPr>
          <w:p w14:paraId="465716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baseline"/>
              <w:rPr>
                <w:rFonts w:hint="default"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300</w:t>
            </w:r>
          </w:p>
        </w:tc>
        <w:tc>
          <w:tcPr>
            <w:tcW w:w="743" w:type="pct"/>
            <w:vAlign w:val="center"/>
          </w:tcPr>
          <w:p w14:paraId="4A2B54DB">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w:t>
            </w:r>
          </w:p>
        </w:tc>
        <w:tc>
          <w:tcPr>
            <w:tcW w:w="588" w:type="pct"/>
            <w:vAlign w:val="center"/>
          </w:tcPr>
          <w:p w14:paraId="6C4AB475">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rPr>
                <w:rFonts w:hint="default"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100</w:t>
            </w:r>
          </w:p>
        </w:tc>
        <w:tc>
          <w:tcPr>
            <w:tcW w:w="821" w:type="pct"/>
            <w:vAlign w:val="center"/>
          </w:tcPr>
          <w:p w14:paraId="37BDF303">
            <w:pPr>
              <w:keepNext w:val="0"/>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w:t>
            </w:r>
          </w:p>
        </w:tc>
        <w:tc>
          <w:tcPr>
            <w:tcW w:w="1352" w:type="pct"/>
            <w:vAlign w:val="center"/>
          </w:tcPr>
          <w:p w14:paraId="09FA62A5">
            <w:pPr>
              <w:pStyle w:val="17"/>
              <w:bidi w:val="0"/>
              <w:rPr>
                <w:rFonts w:hint="default" w:ascii="Times New Roman" w:hAnsi="Times New Roman" w:eastAsia="宋体" w:cs="Times New Roman"/>
                <w:b w:val="0"/>
                <w:bCs w:val="0"/>
                <w:color w:val="auto"/>
                <w:kern w:val="0"/>
                <w:szCs w:val="21"/>
                <w:highlight w:val="none"/>
              </w:rPr>
            </w:pPr>
            <w:r>
              <w:rPr>
                <w:rFonts w:hint="default"/>
                <w:b w:val="0"/>
                <w:bCs w:val="0"/>
                <w:color w:val="auto"/>
                <w:highlight w:val="none"/>
                <w:lang w:eastAsia="zh-CN"/>
              </w:rPr>
              <w:t>《环境影响评价技术导则</w:t>
            </w:r>
            <w:r>
              <w:rPr>
                <w:rFonts w:hint="eastAsia"/>
                <w:b w:val="0"/>
                <w:bCs w:val="0"/>
                <w:color w:val="auto"/>
                <w:highlight w:val="none"/>
                <w:lang w:val="en-US" w:eastAsia="zh-CN"/>
              </w:rPr>
              <w:t xml:space="preserve"> </w:t>
            </w:r>
            <w:r>
              <w:rPr>
                <w:rFonts w:hint="default"/>
                <w:b w:val="0"/>
                <w:bCs w:val="0"/>
                <w:color w:val="auto"/>
                <w:highlight w:val="none"/>
                <w:lang w:eastAsia="zh-CN"/>
              </w:rPr>
              <w:t>大气环境》（HJ2.2-2018）</w:t>
            </w:r>
          </w:p>
        </w:tc>
      </w:tr>
    </w:tbl>
    <w:p w14:paraId="73F79E03">
      <w:pPr>
        <w:bidi w:val="0"/>
        <w:rPr>
          <w:rFonts w:hint="eastAsia"/>
          <w:color w:val="auto"/>
          <w:highlight w:val="none"/>
          <w:lang w:val="en-US" w:eastAsia="zh-CN"/>
        </w:rPr>
      </w:pPr>
      <w:r>
        <w:rPr>
          <w:rFonts w:hint="eastAsia"/>
          <w:color w:val="auto"/>
          <w:highlight w:val="none"/>
          <w:lang w:val="en-US" w:eastAsia="zh-CN"/>
        </w:rPr>
        <w:t>（4）估算模型参数</w:t>
      </w:r>
    </w:p>
    <w:p w14:paraId="0D85F486">
      <w:pPr>
        <w:bidi w:val="0"/>
        <w:rPr>
          <w:color w:val="auto"/>
          <w:highlight w:val="none"/>
        </w:rPr>
      </w:pPr>
      <w:r>
        <w:rPr>
          <w:rFonts w:hint="eastAsia"/>
          <w:color w:val="auto"/>
          <w:highlight w:val="none"/>
          <w:lang w:val="en-US" w:eastAsia="zh-CN"/>
        </w:rPr>
        <w:t>本次预测</w:t>
      </w:r>
      <w:r>
        <w:rPr>
          <w:rFonts w:hint="default"/>
          <w:color w:val="auto"/>
          <w:highlight w:val="none"/>
          <w:lang w:val="en-US" w:eastAsia="zh-CN"/>
        </w:rPr>
        <w:t>根据《环境影响评价技术导则</w:t>
      </w:r>
      <w:r>
        <w:rPr>
          <w:rFonts w:hint="eastAsia"/>
          <w:color w:val="auto"/>
          <w:highlight w:val="none"/>
          <w:lang w:val="en-US" w:eastAsia="zh-CN"/>
        </w:rPr>
        <w:t xml:space="preserve"> </w:t>
      </w:r>
      <w:r>
        <w:rPr>
          <w:rFonts w:hint="default"/>
          <w:color w:val="auto"/>
          <w:highlight w:val="none"/>
          <w:lang w:val="en-US" w:eastAsia="zh-CN"/>
        </w:rPr>
        <w:t>大气环境》（HJ2.2-2018）中推荐的AERSCREEN估算模式进行估算判断，估算模型参数选取见表5.2-</w:t>
      </w:r>
      <w:r>
        <w:rPr>
          <w:rFonts w:hint="eastAsia"/>
          <w:color w:val="auto"/>
          <w:highlight w:val="none"/>
          <w:lang w:val="en-US" w:eastAsia="zh-CN"/>
        </w:rPr>
        <w:t>2。</w:t>
      </w:r>
    </w:p>
    <w:p w14:paraId="4A604B3D">
      <w:pPr>
        <w:pStyle w:val="19"/>
        <w:bidi w:val="0"/>
        <w:rPr>
          <w:rFonts w:hint="default"/>
          <w:color w:val="auto"/>
          <w:highlight w:val="none"/>
          <w:lang w:val="en-US" w:eastAsia="zh-CN"/>
        </w:rPr>
      </w:pPr>
      <w:r>
        <w:rPr>
          <w:rFonts w:hint="default"/>
          <w:color w:val="auto"/>
          <w:highlight w:val="none"/>
          <w:lang w:val="en-US" w:eastAsia="zh-CN"/>
        </w:rPr>
        <w:t>表5.2-</w:t>
      </w:r>
      <w:r>
        <w:rPr>
          <w:rFonts w:hint="eastAsia"/>
          <w:color w:val="auto"/>
          <w:highlight w:val="none"/>
          <w:lang w:val="en-US" w:eastAsia="zh-CN"/>
        </w:rPr>
        <w:t xml:space="preserve">2 </w:t>
      </w:r>
      <w:r>
        <w:rPr>
          <w:rFonts w:hint="default"/>
          <w:color w:val="auto"/>
          <w:highlight w:val="none"/>
          <w:lang w:val="en-US" w:eastAsia="zh-CN"/>
        </w:rPr>
        <w:t xml:space="preserve">  估算模式计算参数选择</w:t>
      </w:r>
    </w:p>
    <w:tbl>
      <w:tblPr>
        <w:tblStyle w:val="13"/>
        <w:tblW w:w="85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32"/>
        <w:gridCol w:w="3629"/>
        <w:gridCol w:w="2966"/>
      </w:tblGrid>
      <w:tr w14:paraId="70A7C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gridSpan w:val="2"/>
            <w:vAlign w:val="center"/>
          </w:tcPr>
          <w:p w14:paraId="3426192E">
            <w:pPr>
              <w:pStyle w:val="17"/>
              <w:bidi w:val="0"/>
              <w:rPr>
                <w:rFonts w:hint="default"/>
                <w:color w:val="auto"/>
                <w:highlight w:val="none"/>
                <w:lang w:val="en-US" w:eastAsia="zh-CN"/>
              </w:rPr>
            </w:pPr>
            <w:r>
              <w:rPr>
                <w:rFonts w:hint="default"/>
                <w:color w:val="auto"/>
                <w:highlight w:val="none"/>
                <w:lang w:val="en-US" w:eastAsia="zh-CN"/>
              </w:rPr>
              <w:t>参数</w:t>
            </w:r>
          </w:p>
        </w:tc>
        <w:tc>
          <w:tcPr>
            <w:tcW w:w="0" w:type="dxa"/>
            <w:vAlign w:val="center"/>
          </w:tcPr>
          <w:p w14:paraId="6FD77FD4">
            <w:pPr>
              <w:pStyle w:val="17"/>
              <w:bidi w:val="0"/>
              <w:rPr>
                <w:rFonts w:hint="default"/>
                <w:color w:val="auto"/>
                <w:highlight w:val="none"/>
                <w:lang w:val="en-US" w:eastAsia="zh-CN"/>
              </w:rPr>
            </w:pPr>
            <w:r>
              <w:rPr>
                <w:rFonts w:hint="default"/>
                <w:color w:val="auto"/>
                <w:highlight w:val="none"/>
                <w:lang w:val="en-US" w:eastAsia="zh-CN"/>
              </w:rPr>
              <w:t>取值</w:t>
            </w:r>
          </w:p>
        </w:tc>
      </w:tr>
      <w:tr w14:paraId="03AF5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restart"/>
            <w:vAlign w:val="center"/>
          </w:tcPr>
          <w:p w14:paraId="6291F188">
            <w:pPr>
              <w:pStyle w:val="17"/>
              <w:bidi w:val="0"/>
              <w:rPr>
                <w:rFonts w:hint="default"/>
                <w:color w:val="auto"/>
                <w:highlight w:val="none"/>
                <w:lang w:val="en-US" w:eastAsia="zh-CN"/>
              </w:rPr>
            </w:pPr>
            <w:r>
              <w:rPr>
                <w:rFonts w:hint="default"/>
                <w:color w:val="auto"/>
                <w:highlight w:val="none"/>
                <w:lang w:val="en-US" w:eastAsia="zh-CN"/>
              </w:rPr>
              <w:t>城市/农村选项</w:t>
            </w:r>
          </w:p>
        </w:tc>
        <w:tc>
          <w:tcPr>
            <w:tcW w:w="0" w:type="dxa"/>
            <w:vAlign w:val="center"/>
          </w:tcPr>
          <w:p w14:paraId="2304E1FA">
            <w:pPr>
              <w:pStyle w:val="17"/>
              <w:bidi w:val="0"/>
              <w:rPr>
                <w:rFonts w:hint="default"/>
                <w:color w:val="auto"/>
                <w:highlight w:val="none"/>
                <w:lang w:val="en-US" w:eastAsia="zh-CN"/>
              </w:rPr>
            </w:pPr>
            <w:r>
              <w:rPr>
                <w:rFonts w:hint="default"/>
                <w:color w:val="auto"/>
                <w:highlight w:val="none"/>
                <w:lang w:val="en-US" w:eastAsia="zh-CN"/>
              </w:rPr>
              <w:t>城市/农村</w:t>
            </w:r>
          </w:p>
        </w:tc>
        <w:tc>
          <w:tcPr>
            <w:tcW w:w="0" w:type="dxa"/>
            <w:vAlign w:val="center"/>
          </w:tcPr>
          <w:p w14:paraId="3B47D6C1">
            <w:pPr>
              <w:pStyle w:val="17"/>
              <w:bidi w:val="0"/>
              <w:rPr>
                <w:rFonts w:hint="default"/>
                <w:color w:val="auto"/>
                <w:highlight w:val="none"/>
                <w:lang w:val="en-US" w:eastAsia="zh-CN"/>
              </w:rPr>
            </w:pPr>
            <w:r>
              <w:rPr>
                <w:rFonts w:hint="default"/>
                <w:color w:val="auto"/>
                <w:highlight w:val="none"/>
                <w:lang w:val="en-US" w:eastAsia="zh-CN"/>
              </w:rPr>
              <w:t>农村</w:t>
            </w:r>
          </w:p>
        </w:tc>
      </w:tr>
      <w:tr w14:paraId="66ED8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continue"/>
            <w:vAlign w:val="center"/>
          </w:tcPr>
          <w:p w14:paraId="728A9DD9">
            <w:pPr>
              <w:pStyle w:val="17"/>
              <w:bidi w:val="0"/>
              <w:rPr>
                <w:rFonts w:hint="default"/>
                <w:color w:val="auto"/>
                <w:highlight w:val="none"/>
                <w:lang w:val="en-US" w:eastAsia="zh-CN"/>
              </w:rPr>
            </w:pPr>
          </w:p>
        </w:tc>
        <w:tc>
          <w:tcPr>
            <w:tcW w:w="0" w:type="dxa"/>
            <w:vAlign w:val="center"/>
          </w:tcPr>
          <w:p w14:paraId="088BDA50">
            <w:pPr>
              <w:pStyle w:val="17"/>
              <w:bidi w:val="0"/>
              <w:rPr>
                <w:rFonts w:hint="default"/>
                <w:color w:val="auto"/>
                <w:highlight w:val="none"/>
                <w:lang w:val="en-US" w:eastAsia="zh-CN"/>
              </w:rPr>
            </w:pPr>
            <w:r>
              <w:rPr>
                <w:rFonts w:hint="default"/>
                <w:color w:val="auto"/>
                <w:highlight w:val="none"/>
                <w:lang w:val="en-US" w:eastAsia="zh-CN"/>
              </w:rPr>
              <w:t>人口数（城市人口数）</w:t>
            </w:r>
          </w:p>
        </w:tc>
        <w:tc>
          <w:tcPr>
            <w:tcW w:w="0" w:type="dxa"/>
            <w:vAlign w:val="center"/>
          </w:tcPr>
          <w:p w14:paraId="627EFE23">
            <w:pPr>
              <w:pStyle w:val="17"/>
              <w:bidi w:val="0"/>
              <w:rPr>
                <w:rFonts w:hint="default"/>
                <w:color w:val="auto"/>
                <w:highlight w:val="none"/>
                <w:lang w:val="en-US" w:eastAsia="zh-CN"/>
              </w:rPr>
            </w:pPr>
            <w:r>
              <w:rPr>
                <w:rFonts w:hint="default"/>
                <w:color w:val="auto"/>
                <w:highlight w:val="none"/>
                <w:lang w:val="en-US" w:eastAsia="zh-CN"/>
              </w:rPr>
              <w:t>/</w:t>
            </w:r>
          </w:p>
        </w:tc>
      </w:tr>
      <w:tr w14:paraId="20663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gridSpan w:val="2"/>
            <w:vAlign w:val="center"/>
          </w:tcPr>
          <w:p w14:paraId="468FC45A">
            <w:pPr>
              <w:pStyle w:val="17"/>
              <w:bidi w:val="0"/>
              <w:rPr>
                <w:rFonts w:hint="default"/>
                <w:color w:val="auto"/>
                <w:highlight w:val="none"/>
                <w:lang w:val="en-US" w:eastAsia="zh-CN"/>
              </w:rPr>
            </w:pPr>
            <w:r>
              <w:rPr>
                <w:rFonts w:hint="default"/>
                <w:color w:val="auto"/>
                <w:highlight w:val="none"/>
                <w:lang w:val="en-US" w:eastAsia="zh-CN"/>
              </w:rPr>
              <w:t>最高环境温度</w:t>
            </w:r>
          </w:p>
        </w:tc>
        <w:tc>
          <w:tcPr>
            <w:tcW w:w="0" w:type="dxa"/>
            <w:vAlign w:val="center"/>
          </w:tcPr>
          <w:p w14:paraId="1DE0D43E">
            <w:pPr>
              <w:pStyle w:val="17"/>
              <w:bidi w:val="0"/>
              <w:rPr>
                <w:rFonts w:hint="default"/>
                <w:color w:val="auto"/>
                <w:highlight w:val="none"/>
                <w:lang w:val="en-US" w:eastAsia="zh-CN"/>
              </w:rPr>
            </w:pPr>
            <w:r>
              <w:rPr>
                <w:rFonts w:hint="eastAsia"/>
                <w:color w:val="auto"/>
                <w:highlight w:val="none"/>
                <w:lang w:val="en-US" w:eastAsia="zh-CN"/>
              </w:rPr>
              <w:t>28.7</w:t>
            </w:r>
          </w:p>
        </w:tc>
      </w:tr>
      <w:tr w14:paraId="344B7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gridSpan w:val="2"/>
            <w:vAlign w:val="center"/>
          </w:tcPr>
          <w:p w14:paraId="72EB1D40">
            <w:pPr>
              <w:pStyle w:val="17"/>
              <w:bidi w:val="0"/>
              <w:rPr>
                <w:rFonts w:hint="default"/>
                <w:color w:val="auto"/>
                <w:highlight w:val="none"/>
                <w:lang w:val="en-US" w:eastAsia="zh-CN"/>
              </w:rPr>
            </w:pPr>
            <w:r>
              <w:rPr>
                <w:rFonts w:hint="default"/>
                <w:color w:val="auto"/>
                <w:highlight w:val="none"/>
                <w:lang w:val="en-US" w:eastAsia="zh-CN"/>
              </w:rPr>
              <w:t>最低环境温度</w:t>
            </w:r>
          </w:p>
        </w:tc>
        <w:tc>
          <w:tcPr>
            <w:tcW w:w="0" w:type="dxa"/>
            <w:vAlign w:val="center"/>
          </w:tcPr>
          <w:p w14:paraId="24547802">
            <w:pPr>
              <w:pStyle w:val="17"/>
              <w:bidi w:val="0"/>
              <w:rPr>
                <w:rFonts w:hint="default"/>
                <w:color w:val="auto"/>
                <w:highlight w:val="none"/>
                <w:lang w:val="en-US" w:eastAsia="zh-CN"/>
              </w:rPr>
            </w:pPr>
            <w:r>
              <w:rPr>
                <w:rFonts w:hint="default"/>
                <w:color w:val="auto"/>
                <w:highlight w:val="none"/>
                <w:lang w:val="en-US" w:eastAsia="zh-CN"/>
              </w:rPr>
              <w:t>-</w:t>
            </w:r>
            <w:r>
              <w:rPr>
                <w:rFonts w:hint="eastAsia"/>
                <w:color w:val="auto"/>
                <w:highlight w:val="none"/>
                <w:lang w:val="en-US" w:eastAsia="zh-CN"/>
              </w:rPr>
              <w:t>29.5</w:t>
            </w:r>
          </w:p>
        </w:tc>
      </w:tr>
      <w:tr w14:paraId="59E8E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gridSpan w:val="2"/>
            <w:vAlign w:val="center"/>
          </w:tcPr>
          <w:p w14:paraId="7019AAFE">
            <w:pPr>
              <w:pStyle w:val="17"/>
              <w:bidi w:val="0"/>
              <w:rPr>
                <w:rFonts w:hint="default"/>
                <w:color w:val="auto"/>
                <w:highlight w:val="none"/>
                <w:lang w:val="en-US" w:eastAsia="zh-CN"/>
              </w:rPr>
            </w:pPr>
            <w:r>
              <w:rPr>
                <w:rFonts w:hint="default"/>
                <w:color w:val="auto"/>
                <w:highlight w:val="none"/>
                <w:lang w:val="en-US" w:eastAsia="zh-CN"/>
              </w:rPr>
              <w:t>土地利用类型</w:t>
            </w:r>
          </w:p>
        </w:tc>
        <w:tc>
          <w:tcPr>
            <w:tcW w:w="0" w:type="dxa"/>
            <w:vAlign w:val="center"/>
          </w:tcPr>
          <w:p w14:paraId="72FDA59A">
            <w:pPr>
              <w:pStyle w:val="17"/>
              <w:bidi w:val="0"/>
              <w:rPr>
                <w:rFonts w:hint="default"/>
                <w:color w:val="auto"/>
                <w:highlight w:val="none"/>
                <w:lang w:val="en-US" w:eastAsia="zh-CN"/>
              </w:rPr>
            </w:pPr>
            <w:r>
              <w:rPr>
                <w:rFonts w:hint="eastAsia"/>
                <w:color w:val="auto"/>
                <w:spacing w:val="0"/>
                <w:w w:val="100"/>
                <w:kern w:val="0"/>
                <w:position w:val="0"/>
                <w:highlight w:val="none"/>
                <w:lang w:val="en-US" w:eastAsia="zh-CN"/>
              </w:rPr>
              <w:t>沙漠化荒地</w:t>
            </w:r>
          </w:p>
        </w:tc>
      </w:tr>
      <w:tr w14:paraId="113FB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gridSpan w:val="2"/>
            <w:vAlign w:val="center"/>
          </w:tcPr>
          <w:p w14:paraId="7286D667">
            <w:pPr>
              <w:pStyle w:val="17"/>
              <w:bidi w:val="0"/>
              <w:rPr>
                <w:rFonts w:hint="default"/>
                <w:color w:val="auto"/>
                <w:highlight w:val="none"/>
                <w:lang w:val="en-US" w:eastAsia="zh-CN"/>
              </w:rPr>
            </w:pPr>
            <w:r>
              <w:rPr>
                <w:rFonts w:hint="default"/>
                <w:color w:val="auto"/>
                <w:highlight w:val="none"/>
                <w:lang w:val="en-US" w:eastAsia="zh-CN"/>
              </w:rPr>
              <w:t>区域湿度条件</w:t>
            </w:r>
          </w:p>
        </w:tc>
        <w:tc>
          <w:tcPr>
            <w:tcW w:w="0" w:type="dxa"/>
            <w:vAlign w:val="center"/>
          </w:tcPr>
          <w:p w14:paraId="7B79CEA1">
            <w:pPr>
              <w:pStyle w:val="17"/>
              <w:bidi w:val="0"/>
              <w:rPr>
                <w:rFonts w:hint="default"/>
                <w:color w:val="auto"/>
                <w:highlight w:val="none"/>
                <w:lang w:val="en-US" w:eastAsia="zh-CN"/>
              </w:rPr>
            </w:pPr>
            <w:r>
              <w:rPr>
                <w:rFonts w:hint="default"/>
                <w:color w:val="auto"/>
                <w:highlight w:val="none"/>
                <w:lang w:val="en-US" w:eastAsia="zh-CN"/>
              </w:rPr>
              <w:t>干燥</w:t>
            </w:r>
          </w:p>
        </w:tc>
      </w:tr>
      <w:tr w14:paraId="395845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restart"/>
            <w:vAlign w:val="center"/>
          </w:tcPr>
          <w:p w14:paraId="76F237BF">
            <w:pPr>
              <w:pStyle w:val="17"/>
              <w:bidi w:val="0"/>
              <w:rPr>
                <w:rFonts w:hint="default"/>
                <w:color w:val="auto"/>
                <w:highlight w:val="none"/>
                <w:lang w:val="en-US" w:eastAsia="zh-CN"/>
              </w:rPr>
            </w:pPr>
            <w:r>
              <w:rPr>
                <w:rFonts w:hint="default"/>
                <w:color w:val="auto"/>
                <w:highlight w:val="none"/>
                <w:lang w:val="en-US" w:eastAsia="zh-CN"/>
              </w:rPr>
              <w:t>是否考虑地形</w:t>
            </w:r>
          </w:p>
        </w:tc>
        <w:tc>
          <w:tcPr>
            <w:tcW w:w="0" w:type="dxa"/>
            <w:vAlign w:val="center"/>
          </w:tcPr>
          <w:p w14:paraId="7C2C03A4">
            <w:pPr>
              <w:pStyle w:val="17"/>
              <w:bidi w:val="0"/>
              <w:rPr>
                <w:rFonts w:hint="default"/>
                <w:color w:val="auto"/>
                <w:highlight w:val="none"/>
                <w:lang w:val="en-US" w:eastAsia="zh-CN"/>
              </w:rPr>
            </w:pPr>
            <w:r>
              <w:rPr>
                <w:rFonts w:hint="default"/>
                <w:color w:val="auto"/>
                <w:highlight w:val="none"/>
                <w:lang w:val="en-US" w:eastAsia="zh-CN"/>
              </w:rPr>
              <w:t>考虑地形</w:t>
            </w:r>
          </w:p>
        </w:tc>
        <w:tc>
          <w:tcPr>
            <w:tcW w:w="0" w:type="dxa"/>
            <w:vAlign w:val="center"/>
          </w:tcPr>
          <w:p w14:paraId="3E615E2D">
            <w:pPr>
              <w:pStyle w:val="17"/>
              <w:bidi w:val="0"/>
              <w:rPr>
                <w:rFonts w:hint="default"/>
                <w:color w:val="auto"/>
                <w:highlight w:val="none"/>
                <w:lang w:val="en-US" w:eastAsia="zh-CN"/>
              </w:rPr>
            </w:pPr>
            <w:r>
              <w:rPr>
                <w:rFonts w:hint="default"/>
                <w:color w:val="auto"/>
                <w:highlight w:val="none"/>
                <w:lang w:val="en-US" w:eastAsia="zh-CN"/>
              </w:rPr>
              <w:t>是</w:t>
            </w:r>
          </w:p>
        </w:tc>
      </w:tr>
      <w:tr w14:paraId="3462B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continue"/>
            <w:vAlign w:val="center"/>
          </w:tcPr>
          <w:p w14:paraId="5AB48BBE">
            <w:pPr>
              <w:pStyle w:val="17"/>
              <w:bidi w:val="0"/>
              <w:rPr>
                <w:rFonts w:hint="default"/>
                <w:color w:val="auto"/>
                <w:highlight w:val="none"/>
                <w:lang w:val="en-US" w:eastAsia="zh-CN"/>
              </w:rPr>
            </w:pPr>
          </w:p>
        </w:tc>
        <w:tc>
          <w:tcPr>
            <w:tcW w:w="0" w:type="dxa"/>
            <w:vAlign w:val="center"/>
          </w:tcPr>
          <w:p w14:paraId="2814EB04">
            <w:pPr>
              <w:pStyle w:val="17"/>
              <w:bidi w:val="0"/>
              <w:rPr>
                <w:rFonts w:hint="default"/>
                <w:color w:val="auto"/>
                <w:highlight w:val="none"/>
                <w:lang w:val="en-US" w:eastAsia="zh-CN"/>
              </w:rPr>
            </w:pPr>
            <w:r>
              <w:rPr>
                <w:rFonts w:hint="default"/>
                <w:color w:val="auto"/>
                <w:highlight w:val="none"/>
                <w:lang w:val="en-US" w:eastAsia="zh-CN"/>
              </w:rPr>
              <w:t>地形数据分辨率（m）</w:t>
            </w:r>
          </w:p>
        </w:tc>
        <w:tc>
          <w:tcPr>
            <w:tcW w:w="0" w:type="dxa"/>
            <w:vAlign w:val="center"/>
          </w:tcPr>
          <w:p w14:paraId="3D78C88E">
            <w:pPr>
              <w:pStyle w:val="17"/>
              <w:bidi w:val="0"/>
              <w:rPr>
                <w:rFonts w:hint="default"/>
                <w:color w:val="auto"/>
                <w:highlight w:val="none"/>
                <w:lang w:val="en-US" w:eastAsia="zh-CN"/>
              </w:rPr>
            </w:pPr>
            <w:r>
              <w:rPr>
                <w:rFonts w:hint="default"/>
                <w:color w:val="auto"/>
                <w:highlight w:val="none"/>
                <w:lang w:val="en-US" w:eastAsia="zh-CN"/>
              </w:rPr>
              <w:t>90</w:t>
            </w:r>
          </w:p>
        </w:tc>
      </w:tr>
      <w:tr w14:paraId="1F5C4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restart"/>
            <w:vAlign w:val="center"/>
          </w:tcPr>
          <w:p w14:paraId="768F2BB7">
            <w:pPr>
              <w:pStyle w:val="17"/>
              <w:bidi w:val="0"/>
              <w:rPr>
                <w:rFonts w:hint="default"/>
                <w:color w:val="auto"/>
                <w:highlight w:val="none"/>
                <w:lang w:val="en-US" w:eastAsia="zh-CN"/>
              </w:rPr>
            </w:pPr>
            <w:r>
              <w:rPr>
                <w:rFonts w:hint="default"/>
                <w:color w:val="auto"/>
                <w:highlight w:val="none"/>
                <w:lang w:val="en-US" w:eastAsia="zh-CN"/>
              </w:rPr>
              <w:t>是否考虑岸线熏烟</w:t>
            </w:r>
          </w:p>
        </w:tc>
        <w:tc>
          <w:tcPr>
            <w:tcW w:w="0" w:type="dxa"/>
            <w:vAlign w:val="center"/>
          </w:tcPr>
          <w:p w14:paraId="1F5A9DD2">
            <w:pPr>
              <w:pStyle w:val="17"/>
              <w:bidi w:val="0"/>
              <w:rPr>
                <w:rFonts w:hint="default"/>
                <w:color w:val="auto"/>
                <w:highlight w:val="none"/>
                <w:lang w:val="en-US" w:eastAsia="zh-CN"/>
              </w:rPr>
            </w:pPr>
            <w:r>
              <w:rPr>
                <w:rFonts w:hint="default"/>
                <w:color w:val="auto"/>
                <w:highlight w:val="none"/>
                <w:lang w:val="en-US" w:eastAsia="zh-CN"/>
              </w:rPr>
              <w:t>考虑岸线熏烟</w:t>
            </w:r>
          </w:p>
        </w:tc>
        <w:tc>
          <w:tcPr>
            <w:tcW w:w="0" w:type="dxa"/>
            <w:vAlign w:val="center"/>
          </w:tcPr>
          <w:p w14:paraId="24854C91">
            <w:pPr>
              <w:pStyle w:val="17"/>
              <w:bidi w:val="0"/>
              <w:rPr>
                <w:rFonts w:hint="default"/>
                <w:color w:val="auto"/>
                <w:highlight w:val="none"/>
                <w:lang w:val="en-US" w:eastAsia="zh-CN"/>
              </w:rPr>
            </w:pPr>
            <w:r>
              <w:rPr>
                <w:rFonts w:hint="default"/>
                <w:color w:val="auto"/>
                <w:highlight w:val="none"/>
                <w:lang w:val="en-US" w:eastAsia="zh-CN"/>
              </w:rPr>
              <w:t>否</w:t>
            </w:r>
          </w:p>
        </w:tc>
      </w:tr>
      <w:tr w14:paraId="7985D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continue"/>
            <w:vAlign w:val="center"/>
          </w:tcPr>
          <w:p w14:paraId="5EA856D6">
            <w:pPr>
              <w:pStyle w:val="17"/>
              <w:bidi w:val="0"/>
              <w:rPr>
                <w:rFonts w:hint="default"/>
                <w:color w:val="auto"/>
                <w:highlight w:val="none"/>
                <w:lang w:val="en-US" w:eastAsia="zh-CN"/>
              </w:rPr>
            </w:pPr>
          </w:p>
        </w:tc>
        <w:tc>
          <w:tcPr>
            <w:tcW w:w="0" w:type="dxa"/>
            <w:vAlign w:val="center"/>
          </w:tcPr>
          <w:p w14:paraId="11CDEEC1">
            <w:pPr>
              <w:pStyle w:val="17"/>
              <w:bidi w:val="0"/>
              <w:rPr>
                <w:rFonts w:hint="default"/>
                <w:color w:val="auto"/>
                <w:highlight w:val="none"/>
                <w:lang w:val="en-US" w:eastAsia="zh-CN"/>
              </w:rPr>
            </w:pPr>
            <w:r>
              <w:rPr>
                <w:rFonts w:hint="default"/>
                <w:color w:val="auto"/>
                <w:highlight w:val="none"/>
                <w:lang w:val="en-US" w:eastAsia="zh-CN"/>
              </w:rPr>
              <w:t>岸线距离/m</w:t>
            </w:r>
          </w:p>
        </w:tc>
        <w:tc>
          <w:tcPr>
            <w:tcW w:w="0" w:type="dxa"/>
            <w:vAlign w:val="center"/>
          </w:tcPr>
          <w:p w14:paraId="61099C2C">
            <w:pPr>
              <w:pStyle w:val="17"/>
              <w:bidi w:val="0"/>
              <w:rPr>
                <w:rFonts w:hint="default"/>
                <w:color w:val="auto"/>
                <w:highlight w:val="none"/>
                <w:lang w:val="en-US" w:eastAsia="zh-CN"/>
              </w:rPr>
            </w:pPr>
            <w:r>
              <w:rPr>
                <w:rFonts w:hint="default"/>
                <w:color w:val="auto"/>
                <w:highlight w:val="none"/>
                <w:lang w:val="en-US" w:eastAsia="zh-CN"/>
              </w:rPr>
              <w:t>/</w:t>
            </w:r>
          </w:p>
        </w:tc>
      </w:tr>
      <w:tr w14:paraId="63FB0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continue"/>
            <w:vAlign w:val="center"/>
          </w:tcPr>
          <w:p w14:paraId="6ACBF556">
            <w:pPr>
              <w:pStyle w:val="17"/>
              <w:bidi w:val="0"/>
              <w:rPr>
                <w:rFonts w:hint="default"/>
                <w:color w:val="auto"/>
                <w:highlight w:val="none"/>
                <w:lang w:val="en-US" w:eastAsia="zh-CN"/>
              </w:rPr>
            </w:pPr>
          </w:p>
        </w:tc>
        <w:tc>
          <w:tcPr>
            <w:tcW w:w="0" w:type="dxa"/>
            <w:vAlign w:val="center"/>
          </w:tcPr>
          <w:p w14:paraId="0B1F75BC">
            <w:pPr>
              <w:pStyle w:val="17"/>
              <w:bidi w:val="0"/>
              <w:rPr>
                <w:rFonts w:hint="default"/>
                <w:color w:val="auto"/>
                <w:highlight w:val="none"/>
                <w:lang w:val="en-US" w:eastAsia="zh-CN"/>
              </w:rPr>
            </w:pPr>
            <w:r>
              <w:rPr>
                <w:rFonts w:hint="default"/>
                <w:color w:val="auto"/>
                <w:highlight w:val="none"/>
                <w:lang w:val="en-US" w:eastAsia="zh-CN"/>
              </w:rPr>
              <w:t>岸线方向/°</w:t>
            </w:r>
          </w:p>
        </w:tc>
        <w:tc>
          <w:tcPr>
            <w:tcW w:w="0" w:type="dxa"/>
            <w:vAlign w:val="center"/>
          </w:tcPr>
          <w:p w14:paraId="6974B52C">
            <w:pPr>
              <w:pStyle w:val="17"/>
              <w:bidi w:val="0"/>
              <w:rPr>
                <w:rFonts w:hint="default"/>
                <w:color w:val="auto"/>
                <w:highlight w:val="none"/>
                <w:lang w:val="en-US" w:eastAsia="zh-CN"/>
              </w:rPr>
            </w:pPr>
            <w:r>
              <w:rPr>
                <w:rFonts w:hint="default"/>
                <w:color w:val="auto"/>
                <w:highlight w:val="none"/>
                <w:lang w:val="en-US" w:eastAsia="zh-CN"/>
              </w:rPr>
              <w:t>/</w:t>
            </w:r>
          </w:p>
        </w:tc>
      </w:tr>
    </w:tbl>
    <w:p w14:paraId="6C7F085A">
      <w:pPr>
        <w:keepNext w:val="0"/>
        <w:keepLines w:val="0"/>
        <w:pageBreakBefore w:val="0"/>
        <w:widowControl w:val="0"/>
        <w:kinsoku/>
        <w:wordWrap/>
        <w:overflowPunct/>
        <w:topLinePunct w:val="0"/>
        <w:autoSpaceDE/>
        <w:autoSpaceDN/>
        <w:bidi w:val="0"/>
        <w:adjustRightInd/>
        <w:snapToGrid/>
        <w:spacing w:before="0" w:after="0" w:line="480" w:lineRule="exact"/>
        <w:ind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5</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污染源参数</w:t>
      </w:r>
    </w:p>
    <w:p w14:paraId="77BE5992">
      <w:pPr>
        <w:bidi w:val="0"/>
        <w:rPr>
          <w:color w:val="auto"/>
          <w:highlight w:val="none"/>
        </w:rPr>
      </w:pPr>
      <w:r>
        <w:rPr>
          <w:rFonts w:hint="default"/>
          <w:color w:val="auto"/>
          <w:highlight w:val="none"/>
          <w:lang w:val="en-US" w:eastAsia="zh-CN"/>
        </w:rPr>
        <w:t>本次大气环境影响评价等级为二级</w:t>
      </w:r>
      <w:r>
        <w:rPr>
          <w:rFonts w:hint="eastAsia"/>
          <w:color w:val="auto"/>
          <w:highlight w:val="none"/>
          <w:lang w:val="en-US" w:eastAsia="zh-CN"/>
        </w:rPr>
        <w:t>，</w:t>
      </w:r>
      <w:r>
        <w:rPr>
          <w:rFonts w:hint="default"/>
          <w:color w:val="auto"/>
          <w:highlight w:val="none"/>
          <w:lang w:val="en-US" w:eastAsia="zh-CN"/>
        </w:rPr>
        <w:t>根据废气污染源章节中废气污染源的核算</w:t>
      </w:r>
      <w:r>
        <w:rPr>
          <w:rFonts w:hint="eastAsia"/>
          <w:color w:val="auto"/>
          <w:highlight w:val="none"/>
          <w:lang w:val="en-US" w:eastAsia="zh-CN"/>
        </w:rPr>
        <w:t>，</w:t>
      </w:r>
      <w:r>
        <w:rPr>
          <w:rFonts w:hint="default"/>
          <w:color w:val="auto"/>
          <w:highlight w:val="none"/>
          <w:lang w:val="en-US" w:eastAsia="zh-CN"/>
        </w:rPr>
        <w:t>正常工况</w:t>
      </w:r>
      <w:r>
        <w:rPr>
          <w:rFonts w:hint="eastAsia"/>
          <w:color w:val="auto"/>
          <w:highlight w:val="none"/>
          <w:lang w:val="en-US" w:eastAsia="zh-CN"/>
        </w:rPr>
        <w:t>污染物</w:t>
      </w:r>
      <w:r>
        <w:rPr>
          <w:rFonts w:hint="default"/>
          <w:color w:val="auto"/>
          <w:highlight w:val="none"/>
          <w:lang w:val="en-US" w:eastAsia="zh-CN"/>
        </w:rPr>
        <w:t>排放参数表见表5.2-</w:t>
      </w:r>
      <w:r>
        <w:rPr>
          <w:rFonts w:hint="eastAsia"/>
          <w:color w:val="auto"/>
          <w:highlight w:val="none"/>
          <w:lang w:val="en-US" w:eastAsia="zh-CN"/>
        </w:rPr>
        <w:t>3</w:t>
      </w:r>
      <w:r>
        <w:rPr>
          <w:rFonts w:hint="default"/>
          <w:color w:val="auto"/>
          <w:highlight w:val="none"/>
          <w:lang w:val="en-US" w:eastAsia="zh-CN"/>
        </w:rPr>
        <w:t>。</w:t>
      </w:r>
    </w:p>
    <w:p w14:paraId="1FCF739E">
      <w:pPr>
        <w:ind w:firstLine="480"/>
        <w:rPr>
          <w:color w:val="auto"/>
          <w:kern w:val="0"/>
          <w:highlight w:val="none"/>
        </w:rPr>
      </w:pPr>
    </w:p>
    <w:p w14:paraId="58F88B11">
      <w:pPr>
        <w:ind w:firstLine="480"/>
        <w:rPr>
          <w:color w:val="auto"/>
          <w:kern w:val="0"/>
          <w:highlight w:val="none"/>
        </w:rPr>
      </w:pPr>
    </w:p>
    <w:p w14:paraId="36FD520D">
      <w:pPr>
        <w:ind w:firstLine="480"/>
        <w:rPr>
          <w:color w:val="auto"/>
          <w:kern w:val="0"/>
          <w:highlight w:val="none"/>
        </w:rPr>
        <w:sectPr>
          <w:headerReference r:id="rId13" w:type="default"/>
          <w:headerReference r:id="rId14" w:type="even"/>
          <w:footerReference r:id="rId15"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10509FE">
      <w:pPr>
        <w:ind w:firstLine="0" w:firstLineChars="0"/>
        <w:jc w:val="center"/>
        <w:rPr>
          <w:b/>
          <w:color w:val="auto"/>
          <w:highlight w:val="none"/>
          <w:lang w:bidi="ar"/>
        </w:rPr>
      </w:pPr>
      <w:r>
        <w:rPr>
          <w:b/>
          <w:color w:val="auto"/>
          <w:highlight w:val="none"/>
          <w:lang w:bidi="ar"/>
        </w:rPr>
        <w:t>表5.2-</w:t>
      </w:r>
      <w:r>
        <w:rPr>
          <w:rFonts w:hint="eastAsia"/>
          <w:b/>
          <w:color w:val="auto"/>
          <w:highlight w:val="none"/>
          <w:lang w:val="en-US" w:eastAsia="zh-CN" w:bidi="ar"/>
        </w:rPr>
        <w:t>3</w:t>
      </w:r>
      <w:r>
        <w:rPr>
          <w:b/>
          <w:color w:val="auto"/>
          <w:highlight w:val="none"/>
          <w:lang w:bidi="ar"/>
        </w:rPr>
        <w:t xml:space="preserve">    本项目排放源正常工况排放参数表</w:t>
      </w:r>
    </w:p>
    <w:tbl>
      <w:tblPr>
        <w:tblStyle w:val="1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070"/>
        <w:gridCol w:w="694"/>
        <w:gridCol w:w="904"/>
        <w:gridCol w:w="952"/>
        <w:gridCol w:w="666"/>
        <w:gridCol w:w="1176"/>
        <w:gridCol w:w="1405"/>
        <w:gridCol w:w="1008"/>
        <w:gridCol w:w="759"/>
        <w:gridCol w:w="272"/>
        <w:gridCol w:w="683"/>
        <w:gridCol w:w="858"/>
        <w:gridCol w:w="312"/>
        <w:gridCol w:w="1564"/>
        <w:gridCol w:w="1246"/>
      </w:tblGrid>
      <w:tr w14:paraId="20BE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16"/>
            <w:tcBorders>
              <w:tl2br w:val="nil"/>
              <w:tr2bl w:val="nil"/>
            </w:tcBorders>
            <w:vAlign w:val="center"/>
          </w:tcPr>
          <w:p w14:paraId="06F4673C">
            <w:pPr>
              <w:pStyle w:val="17"/>
              <w:bidi w:val="0"/>
              <w:rPr>
                <w:b/>
                <w:bCs/>
                <w:color w:val="auto"/>
                <w:highlight w:val="none"/>
              </w:rPr>
            </w:pPr>
            <w:r>
              <w:rPr>
                <w:b/>
                <w:bCs/>
                <w:color w:val="auto"/>
                <w:highlight w:val="none"/>
              </w:rPr>
              <w:t>点源</w:t>
            </w:r>
          </w:p>
        </w:tc>
      </w:tr>
      <w:tr w14:paraId="4F48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0" w:type="pct"/>
            <w:vMerge w:val="restart"/>
            <w:tcBorders>
              <w:tl2br w:val="nil"/>
              <w:tr2bl w:val="nil"/>
            </w:tcBorders>
            <w:vAlign w:val="center"/>
          </w:tcPr>
          <w:p w14:paraId="04C7D9A6">
            <w:pPr>
              <w:pStyle w:val="17"/>
              <w:bidi w:val="0"/>
              <w:rPr>
                <w:b/>
                <w:bCs/>
                <w:color w:val="auto"/>
                <w:highlight w:val="none"/>
              </w:rPr>
            </w:pPr>
            <w:r>
              <w:rPr>
                <w:b/>
                <w:bCs/>
                <w:color w:val="auto"/>
                <w:highlight w:val="none"/>
              </w:rPr>
              <w:t>编号</w:t>
            </w:r>
          </w:p>
        </w:tc>
        <w:tc>
          <w:tcPr>
            <w:tcW w:w="378" w:type="pct"/>
            <w:vMerge w:val="restart"/>
            <w:tcBorders>
              <w:tl2br w:val="nil"/>
              <w:tr2bl w:val="nil"/>
            </w:tcBorders>
            <w:vAlign w:val="center"/>
          </w:tcPr>
          <w:p w14:paraId="7922364F">
            <w:pPr>
              <w:pStyle w:val="17"/>
              <w:bidi w:val="0"/>
              <w:rPr>
                <w:b/>
                <w:bCs/>
                <w:color w:val="auto"/>
                <w:highlight w:val="none"/>
              </w:rPr>
            </w:pPr>
            <w:r>
              <w:rPr>
                <w:b/>
                <w:bCs/>
                <w:color w:val="auto"/>
                <w:highlight w:val="none"/>
              </w:rPr>
              <w:t>名称</w:t>
            </w:r>
          </w:p>
        </w:tc>
        <w:tc>
          <w:tcPr>
            <w:tcW w:w="564" w:type="pct"/>
            <w:gridSpan w:val="2"/>
            <w:tcBorders>
              <w:tl2br w:val="nil"/>
              <w:tr2bl w:val="nil"/>
            </w:tcBorders>
            <w:vAlign w:val="center"/>
          </w:tcPr>
          <w:p w14:paraId="4516AC09">
            <w:pPr>
              <w:pStyle w:val="17"/>
              <w:bidi w:val="0"/>
              <w:rPr>
                <w:b/>
                <w:bCs/>
                <w:color w:val="auto"/>
                <w:highlight w:val="none"/>
              </w:rPr>
            </w:pPr>
            <w:r>
              <w:rPr>
                <w:b/>
                <w:bCs/>
                <w:color w:val="auto"/>
                <w:highlight w:val="none"/>
              </w:rPr>
              <w:t>排气筒底部中心坐标</w:t>
            </w:r>
          </w:p>
        </w:tc>
        <w:tc>
          <w:tcPr>
            <w:tcW w:w="336" w:type="pct"/>
            <w:vMerge w:val="restart"/>
            <w:tcBorders>
              <w:tl2br w:val="nil"/>
              <w:tr2bl w:val="nil"/>
            </w:tcBorders>
            <w:vAlign w:val="center"/>
          </w:tcPr>
          <w:p w14:paraId="02B2C51A">
            <w:pPr>
              <w:pStyle w:val="17"/>
              <w:bidi w:val="0"/>
              <w:rPr>
                <w:b/>
                <w:bCs/>
                <w:color w:val="auto"/>
                <w:highlight w:val="none"/>
              </w:rPr>
            </w:pPr>
            <w:r>
              <w:rPr>
                <w:b/>
                <w:bCs/>
                <w:color w:val="auto"/>
                <w:highlight w:val="none"/>
              </w:rPr>
              <w:t>排气筒底部</w:t>
            </w:r>
            <w:r>
              <w:rPr>
                <w:rFonts w:hint="eastAsia"/>
                <w:b/>
                <w:bCs/>
                <w:color w:val="auto"/>
                <w:highlight w:val="none"/>
                <w:lang w:eastAsia="zh-CN"/>
              </w:rPr>
              <w:t>海拔</w:t>
            </w:r>
            <w:r>
              <w:rPr>
                <w:b/>
                <w:bCs/>
                <w:color w:val="auto"/>
                <w:highlight w:val="none"/>
              </w:rPr>
              <w:t>/m</w:t>
            </w:r>
          </w:p>
        </w:tc>
        <w:tc>
          <w:tcPr>
            <w:tcW w:w="235" w:type="pct"/>
            <w:vMerge w:val="restart"/>
            <w:tcBorders>
              <w:tl2br w:val="nil"/>
              <w:tr2bl w:val="nil"/>
            </w:tcBorders>
            <w:vAlign w:val="center"/>
          </w:tcPr>
          <w:p w14:paraId="3FC294BE">
            <w:pPr>
              <w:pStyle w:val="17"/>
              <w:bidi w:val="0"/>
              <w:rPr>
                <w:b/>
                <w:bCs/>
                <w:color w:val="auto"/>
                <w:highlight w:val="none"/>
              </w:rPr>
            </w:pPr>
            <w:r>
              <w:rPr>
                <w:b/>
                <w:bCs/>
                <w:color w:val="auto"/>
                <w:highlight w:val="none"/>
              </w:rPr>
              <w:t>排气筒高度/m</w:t>
            </w:r>
          </w:p>
        </w:tc>
        <w:tc>
          <w:tcPr>
            <w:tcW w:w="415" w:type="pct"/>
            <w:vMerge w:val="restart"/>
            <w:tcBorders>
              <w:tl2br w:val="nil"/>
              <w:tr2bl w:val="nil"/>
            </w:tcBorders>
            <w:vAlign w:val="center"/>
          </w:tcPr>
          <w:p w14:paraId="5FAC247C">
            <w:pPr>
              <w:pStyle w:val="17"/>
              <w:bidi w:val="0"/>
              <w:rPr>
                <w:b/>
                <w:bCs/>
                <w:color w:val="auto"/>
                <w:highlight w:val="none"/>
              </w:rPr>
            </w:pPr>
            <w:r>
              <w:rPr>
                <w:b/>
                <w:bCs/>
                <w:color w:val="auto"/>
                <w:highlight w:val="none"/>
              </w:rPr>
              <w:t>排气筒出口内径/m</w:t>
            </w:r>
          </w:p>
        </w:tc>
        <w:tc>
          <w:tcPr>
            <w:tcW w:w="496" w:type="pct"/>
            <w:vMerge w:val="restart"/>
            <w:tcBorders>
              <w:tl2br w:val="nil"/>
              <w:tr2bl w:val="nil"/>
            </w:tcBorders>
            <w:vAlign w:val="center"/>
          </w:tcPr>
          <w:p w14:paraId="79E1F2C6">
            <w:pPr>
              <w:pStyle w:val="17"/>
              <w:bidi w:val="0"/>
              <w:rPr>
                <w:b/>
                <w:bCs/>
                <w:color w:val="auto"/>
                <w:highlight w:val="none"/>
              </w:rPr>
            </w:pPr>
            <w:r>
              <w:rPr>
                <w:b/>
                <w:bCs/>
                <w:color w:val="auto"/>
                <w:highlight w:val="none"/>
              </w:rPr>
              <w:t>烟气</w:t>
            </w:r>
            <w:r>
              <w:rPr>
                <w:rFonts w:hint="eastAsia"/>
                <w:b/>
                <w:bCs/>
                <w:color w:val="auto"/>
                <w:highlight w:val="none"/>
              </w:rPr>
              <w:t>流量</w:t>
            </w:r>
            <w:r>
              <w:rPr>
                <w:b/>
                <w:bCs/>
                <w:color w:val="auto"/>
                <w:highlight w:val="none"/>
              </w:rPr>
              <w:t>/（m</w:t>
            </w:r>
            <w:r>
              <w:rPr>
                <w:rFonts w:hint="eastAsia"/>
                <w:b/>
                <w:bCs/>
                <w:color w:val="auto"/>
                <w:highlight w:val="none"/>
                <w:vertAlign w:val="superscript"/>
              </w:rPr>
              <w:t>3</w:t>
            </w:r>
            <w:r>
              <w:rPr>
                <w:b/>
                <w:bCs/>
                <w:color w:val="auto"/>
                <w:highlight w:val="none"/>
              </w:rPr>
              <w:t>/</w:t>
            </w:r>
            <w:r>
              <w:rPr>
                <w:rFonts w:hint="eastAsia"/>
                <w:b/>
                <w:bCs/>
                <w:color w:val="auto"/>
                <w:highlight w:val="none"/>
              </w:rPr>
              <w:t>h</w:t>
            </w:r>
            <w:r>
              <w:rPr>
                <w:b/>
                <w:bCs/>
                <w:color w:val="auto"/>
                <w:highlight w:val="none"/>
              </w:rPr>
              <w:t>）</w:t>
            </w:r>
          </w:p>
        </w:tc>
        <w:tc>
          <w:tcPr>
            <w:tcW w:w="356" w:type="pct"/>
            <w:vMerge w:val="restart"/>
            <w:tcBorders>
              <w:tl2br w:val="nil"/>
              <w:tr2bl w:val="nil"/>
            </w:tcBorders>
            <w:vAlign w:val="center"/>
          </w:tcPr>
          <w:p w14:paraId="14A79D56">
            <w:pPr>
              <w:pStyle w:val="17"/>
              <w:bidi w:val="0"/>
              <w:rPr>
                <w:b/>
                <w:bCs/>
                <w:color w:val="auto"/>
                <w:highlight w:val="none"/>
              </w:rPr>
            </w:pPr>
            <w:r>
              <w:rPr>
                <w:b/>
                <w:bCs/>
                <w:color w:val="auto"/>
                <w:highlight w:val="none"/>
              </w:rPr>
              <w:t>烟气温度/℃</w:t>
            </w:r>
          </w:p>
        </w:tc>
        <w:tc>
          <w:tcPr>
            <w:tcW w:w="268" w:type="pct"/>
            <w:vMerge w:val="restart"/>
            <w:tcBorders>
              <w:tl2br w:val="nil"/>
              <w:tr2bl w:val="nil"/>
            </w:tcBorders>
            <w:vAlign w:val="center"/>
          </w:tcPr>
          <w:p w14:paraId="42984299">
            <w:pPr>
              <w:pStyle w:val="17"/>
              <w:bidi w:val="0"/>
              <w:rPr>
                <w:b/>
                <w:bCs/>
                <w:color w:val="auto"/>
                <w:highlight w:val="none"/>
              </w:rPr>
            </w:pPr>
            <w:r>
              <w:rPr>
                <w:b/>
                <w:bCs/>
                <w:color w:val="auto"/>
                <w:highlight w:val="none"/>
              </w:rPr>
              <w:t>年排放小时数/h</w:t>
            </w:r>
          </w:p>
        </w:tc>
        <w:tc>
          <w:tcPr>
            <w:tcW w:w="337" w:type="pct"/>
            <w:gridSpan w:val="2"/>
            <w:vMerge w:val="restart"/>
            <w:tcBorders>
              <w:tl2br w:val="nil"/>
              <w:tr2bl w:val="nil"/>
            </w:tcBorders>
            <w:vAlign w:val="center"/>
          </w:tcPr>
          <w:p w14:paraId="7D931D22">
            <w:pPr>
              <w:pStyle w:val="17"/>
              <w:bidi w:val="0"/>
              <w:rPr>
                <w:b/>
                <w:bCs/>
                <w:color w:val="auto"/>
                <w:highlight w:val="none"/>
              </w:rPr>
            </w:pPr>
            <w:r>
              <w:rPr>
                <w:b/>
                <w:bCs/>
                <w:color w:val="auto"/>
                <w:highlight w:val="none"/>
              </w:rPr>
              <w:t>排放工况</w:t>
            </w:r>
          </w:p>
        </w:tc>
        <w:tc>
          <w:tcPr>
            <w:tcW w:w="1401" w:type="pct"/>
            <w:gridSpan w:val="4"/>
            <w:tcBorders>
              <w:tl2br w:val="nil"/>
              <w:tr2bl w:val="nil"/>
            </w:tcBorders>
            <w:vAlign w:val="center"/>
          </w:tcPr>
          <w:p w14:paraId="489975BF">
            <w:pPr>
              <w:pStyle w:val="17"/>
              <w:bidi w:val="0"/>
              <w:rPr>
                <w:b/>
                <w:bCs/>
                <w:color w:val="auto"/>
                <w:highlight w:val="none"/>
              </w:rPr>
            </w:pPr>
            <w:r>
              <w:rPr>
                <w:b/>
                <w:bCs/>
                <w:color w:val="auto"/>
                <w:highlight w:val="none"/>
              </w:rPr>
              <w:t>污染物排放速率/</w:t>
            </w:r>
          </w:p>
          <w:p w14:paraId="5A33FFF8">
            <w:pPr>
              <w:pStyle w:val="17"/>
              <w:bidi w:val="0"/>
              <w:rPr>
                <w:b/>
                <w:bCs/>
                <w:color w:val="auto"/>
                <w:highlight w:val="none"/>
              </w:rPr>
            </w:pPr>
            <w:r>
              <w:rPr>
                <w:b/>
                <w:bCs/>
                <w:color w:val="auto"/>
                <w:highlight w:val="none"/>
              </w:rPr>
              <w:t>（kg/h）</w:t>
            </w:r>
          </w:p>
        </w:tc>
      </w:tr>
      <w:tr w14:paraId="6804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0" w:type="pct"/>
            <w:vMerge w:val="continue"/>
            <w:tcBorders>
              <w:tl2br w:val="nil"/>
              <w:tr2bl w:val="nil"/>
            </w:tcBorders>
            <w:vAlign w:val="center"/>
          </w:tcPr>
          <w:p w14:paraId="55B6A20D">
            <w:pPr>
              <w:pStyle w:val="17"/>
              <w:bidi w:val="0"/>
              <w:rPr>
                <w:b/>
                <w:bCs/>
                <w:color w:val="auto"/>
                <w:highlight w:val="none"/>
              </w:rPr>
            </w:pPr>
          </w:p>
        </w:tc>
        <w:tc>
          <w:tcPr>
            <w:tcW w:w="378" w:type="pct"/>
            <w:vMerge w:val="continue"/>
            <w:tcBorders>
              <w:tl2br w:val="nil"/>
              <w:tr2bl w:val="nil"/>
            </w:tcBorders>
            <w:vAlign w:val="center"/>
          </w:tcPr>
          <w:p w14:paraId="489747E3">
            <w:pPr>
              <w:pStyle w:val="17"/>
              <w:bidi w:val="0"/>
              <w:rPr>
                <w:b/>
                <w:bCs/>
                <w:color w:val="auto"/>
                <w:highlight w:val="none"/>
              </w:rPr>
            </w:pPr>
          </w:p>
        </w:tc>
        <w:tc>
          <w:tcPr>
            <w:tcW w:w="245" w:type="pct"/>
            <w:tcBorders>
              <w:tl2br w:val="nil"/>
              <w:tr2bl w:val="nil"/>
            </w:tcBorders>
            <w:vAlign w:val="center"/>
          </w:tcPr>
          <w:p w14:paraId="06D5AE43">
            <w:pPr>
              <w:pStyle w:val="17"/>
              <w:bidi w:val="0"/>
              <w:rPr>
                <w:b/>
                <w:bCs/>
                <w:color w:val="auto"/>
                <w:highlight w:val="none"/>
              </w:rPr>
            </w:pPr>
            <w:r>
              <w:rPr>
                <w:b/>
                <w:bCs/>
                <w:color w:val="auto"/>
                <w:highlight w:val="none"/>
              </w:rPr>
              <w:t>X</w:t>
            </w:r>
          </w:p>
        </w:tc>
        <w:tc>
          <w:tcPr>
            <w:tcW w:w="319" w:type="pct"/>
            <w:tcBorders>
              <w:tl2br w:val="nil"/>
              <w:tr2bl w:val="nil"/>
            </w:tcBorders>
            <w:vAlign w:val="center"/>
          </w:tcPr>
          <w:p w14:paraId="4DA0992A">
            <w:pPr>
              <w:pStyle w:val="17"/>
              <w:bidi w:val="0"/>
              <w:rPr>
                <w:b/>
                <w:bCs/>
                <w:color w:val="auto"/>
                <w:highlight w:val="none"/>
              </w:rPr>
            </w:pPr>
            <w:r>
              <w:rPr>
                <w:b/>
                <w:bCs/>
                <w:color w:val="auto"/>
                <w:highlight w:val="none"/>
              </w:rPr>
              <w:t>Y</w:t>
            </w:r>
          </w:p>
        </w:tc>
        <w:tc>
          <w:tcPr>
            <w:tcW w:w="336" w:type="pct"/>
            <w:vMerge w:val="continue"/>
            <w:tcBorders>
              <w:tl2br w:val="nil"/>
              <w:tr2bl w:val="nil"/>
            </w:tcBorders>
            <w:vAlign w:val="center"/>
          </w:tcPr>
          <w:p w14:paraId="30818580">
            <w:pPr>
              <w:pStyle w:val="17"/>
              <w:bidi w:val="0"/>
              <w:rPr>
                <w:b/>
                <w:bCs/>
                <w:color w:val="auto"/>
                <w:highlight w:val="none"/>
              </w:rPr>
            </w:pPr>
          </w:p>
        </w:tc>
        <w:tc>
          <w:tcPr>
            <w:tcW w:w="235" w:type="pct"/>
            <w:vMerge w:val="continue"/>
            <w:tcBorders>
              <w:tl2br w:val="nil"/>
              <w:tr2bl w:val="nil"/>
            </w:tcBorders>
            <w:vAlign w:val="center"/>
          </w:tcPr>
          <w:p w14:paraId="139AF82B">
            <w:pPr>
              <w:pStyle w:val="17"/>
              <w:bidi w:val="0"/>
              <w:rPr>
                <w:b/>
                <w:bCs/>
                <w:color w:val="auto"/>
                <w:highlight w:val="none"/>
              </w:rPr>
            </w:pPr>
          </w:p>
        </w:tc>
        <w:tc>
          <w:tcPr>
            <w:tcW w:w="415" w:type="pct"/>
            <w:vMerge w:val="continue"/>
            <w:tcBorders>
              <w:tl2br w:val="nil"/>
              <w:tr2bl w:val="nil"/>
            </w:tcBorders>
            <w:vAlign w:val="center"/>
          </w:tcPr>
          <w:p w14:paraId="176F95E5">
            <w:pPr>
              <w:pStyle w:val="17"/>
              <w:bidi w:val="0"/>
              <w:rPr>
                <w:b/>
                <w:bCs/>
                <w:color w:val="auto"/>
                <w:highlight w:val="none"/>
              </w:rPr>
            </w:pPr>
          </w:p>
        </w:tc>
        <w:tc>
          <w:tcPr>
            <w:tcW w:w="496" w:type="pct"/>
            <w:vMerge w:val="continue"/>
            <w:tcBorders>
              <w:tl2br w:val="nil"/>
              <w:tr2bl w:val="nil"/>
            </w:tcBorders>
            <w:vAlign w:val="center"/>
          </w:tcPr>
          <w:p w14:paraId="2F248857">
            <w:pPr>
              <w:pStyle w:val="17"/>
              <w:bidi w:val="0"/>
              <w:rPr>
                <w:b/>
                <w:bCs/>
                <w:color w:val="auto"/>
                <w:highlight w:val="none"/>
              </w:rPr>
            </w:pPr>
          </w:p>
        </w:tc>
        <w:tc>
          <w:tcPr>
            <w:tcW w:w="356" w:type="pct"/>
            <w:vMerge w:val="continue"/>
            <w:tcBorders>
              <w:tl2br w:val="nil"/>
              <w:tr2bl w:val="nil"/>
            </w:tcBorders>
            <w:vAlign w:val="center"/>
          </w:tcPr>
          <w:p w14:paraId="4E2F56CF">
            <w:pPr>
              <w:pStyle w:val="17"/>
              <w:bidi w:val="0"/>
              <w:rPr>
                <w:b/>
                <w:bCs/>
                <w:color w:val="auto"/>
                <w:highlight w:val="none"/>
              </w:rPr>
            </w:pPr>
          </w:p>
        </w:tc>
        <w:tc>
          <w:tcPr>
            <w:tcW w:w="268" w:type="pct"/>
            <w:vMerge w:val="continue"/>
            <w:tcBorders>
              <w:tl2br w:val="nil"/>
              <w:tr2bl w:val="nil"/>
            </w:tcBorders>
            <w:vAlign w:val="center"/>
          </w:tcPr>
          <w:p w14:paraId="31AF6B3E">
            <w:pPr>
              <w:pStyle w:val="17"/>
              <w:bidi w:val="0"/>
              <w:rPr>
                <w:b/>
                <w:bCs/>
                <w:color w:val="auto"/>
                <w:highlight w:val="none"/>
              </w:rPr>
            </w:pPr>
          </w:p>
        </w:tc>
        <w:tc>
          <w:tcPr>
            <w:tcW w:w="337" w:type="pct"/>
            <w:gridSpan w:val="2"/>
            <w:vMerge w:val="continue"/>
            <w:tcBorders>
              <w:tl2br w:val="nil"/>
              <w:tr2bl w:val="nil"/>
            </w:tcBorders>
            <w:vAlign w:val="center"/>
          </w:tcPr>
          <w:p w14:paraId="1E95DAE4">
            <w:pPr>
              <w:pStyle w:val="17"/>
              <w:bidi w:val="0"/>
              <w:rPr>
                <w:b/>
                <w:bCs/>
                <w:color w:val="auto"/>
                <w:highlight w:val="none"/>
              </w:rPr>
            </w:pPr>
          </w:p>
        </w:tc>
        <w:tc>
          <w:tcPr>
            <w:tcW w:w="413" w:type="pct"/>
            <w:gridSpan w:val="2"/>
            <w:tcBorders>
              <w:tl2br w:val="nil"/>
              <w:tr2bl w:val="nil"/>
            </w:tcBorders>
            <w:vAlign w:val="center"/>
          </w:tcPr>
          <w:p w14:paraId="112D4200">
            <w:pPr>
              <w:pStyle w:val="17"/>
              <w:bidi w:val="0"/>
              <w:rPr>
                <w:rFonts w:hint="eastAsia"/>
                <w:b/>
                <w:bCs/>
                <w:color w:val="auto"/>
                <w:highlight w:val="none"/>
                <w:lang w:eastAsia="zh-CN"/>
              </w:rPr>
            </w:pPr>
            <w:r>
              <w:rPr>
                <w:b/>
                <w:bCs/>
                <w:color w:val="auto"/>
                <w:highlight w:val="none"/>
              </w:rPr>
              <w:t>PM10</w:t>
            </w:r>
          </w:p>
        </w:tc>
        <w:tc>
          <w:tcPr>
            <w:tcW w:w="548" w:type="pct"/>
            <w:tcBorders>
              <w:tl2br w:val="nil"/>
              <w:tr2bl w:val="nil"/>
            </w:tcBorders>
            <w:vAlign w:val="center"/>
          </w:tcPr>
          <w:p w14:paraId="0F72173F">
            <w:pPr>
              <w:pStyle w:val="17"/>
              <w:bidi w:val="0"/>
              <w:rPr>
                <w:b/>
                <w:bCs/>
                <w:color w:val="auto"/>
                <w:highlight w:val="none"/>
              </w:rPr>
            </w:pPr>
            <w:r>
              <w:rPr>
                <w:rFonts w:hint="eastAsia"/>
                <w:b/>
                <w:bCs/>
                <w:color w:val="auto"/>
                <w:highlight w:val="none"/>
                <w:lang w:eastAsia="zh-CN"/>
              </w:rPr>
              <w:t>氟化物</w:t>
            </w:r>
          </w:p>
        </w:tc>
        <w:tc>
          <w:tcPr>
            <w:tcW w:w="439" w:type="pct"/>
            <w:tcBorders>
              <w:tl2br w:val="nil"/>
              <w:tr2bl w:val="nil"/>
            </w:tcBorders>
            <w:vAlign w:val="center"/>
          </w:tcPr>
          <w:p w14:paraId="0AE9E7CD">
            <w:pPr>
              <w:pStyle w:val="17"/>
              <w:bidi w:val="0"/>
              <w:rPr>
                <w:rFonts w:hint="default"/>
                <w:b/>
                <w:bCs/>
                <w:color w:val="auto"/>
                <w:highlight w:val="none"/>
                <w:lang w:val="en-US" w:eastAsia="zh-CN"/>
              </w:rPr>
            </w:pPr>
            <w:r>
              <w:rPr>
                <w:rFonts w:hint="eastAsia"/>
                <w:b/>
                <w:bCs/>
                <w:color w:val="auto"/>
                <w:highlight w:val="none"/>
                <w:lang w:val="en-US" w:eastAsia="zh-CN"/>
              </w:rPr>
              <w:t>硫酸雾</w:t>
            </w:r>
          </w:p>
        </w:tc>
      </w:tr>
      <w:tr w14:paraId="0EB6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0" w:type="pct"/>
            <w:tcBorders>
              <w:tl2br w:val="nil"/>
              <w:tr2bl w:val="nil"/>
            </w:tcBorders>
            <w:vAlign w:val="center"/>
          </w:tcPr>
          <w:p w14:paraId="7CD33E7D">
            <w:pPr>
              <w:pStyle w:val="17"/>
              <w:bidi w:val="0"/>
              <w:rPr>
                <w:color w:val="auto"/>
                <w:highlight w:val="none"/>
              </w:rPr>
            </w:pPr>
            <w:r>
              <w:rPr>
                <w:color w:val="auto"/>
                <w:highlight w:val="none"/>
              </w:rPr>
              <w:t>P1</w:t>
            </w:r>
          </w:p>
        </w:tc>
        <w:tc>
          <w:tcPr>
            <w:tcW w:w="378" w:type="pct"/>
            <w:tcBorders>
              <w:tl2br w:val="nil"/>
              <w:tr2bl w:val="nil"/>
            </w:tcBorders>
            <w:vAlign w:val="center"/>
          </w:tcPr>
          <w:p w14:paraId="12EABB9F">
            <w:pPr>
              <w:pStyle w:val="17"/>
              <w:bidi w:val="0"/>
              <w:rPr>
                <w:color w:val="auto"/>
                <w:highlight w:val="none"/>
                <w:lang w:val="zh-CN"/>
              </w:rPr>
            </w:pPr>
            <w:r>
              <w:rPr>
                <w:rFonts w:hint="eastAsia"/>
                <w:color w:val="auto"/>
                <w:highlight w:val="none"/>
                <w:lang w:val="en-US" w:eastAsia="zh-CN"/>
              </w:rPr>
              <w:t>粗矿仓</w:t>
            </w:r>
            <w:r>
              <w:rPr>
                <w:rFonts w:hint="eastAsia"/>
                <w:color w:val="auto"/>
                <w:highlight w:val="none"/>
              </w:rPr>
              <w:t>排气筒</w:t>
            </w:r>
          </w:p>
        </w:tc>
        <w:tc>
          <w:tcPr>
            <w:tcW w:w="245" w:type="pct"/>
            <w:tcBorders>
              <w:tl2br w:val="nil"/>
              <w:tr2bl w:val="nil"/>
            </w:tcBorders>
            <w:shd w:val="clear" w:color="auto" w:fill="auto"/>
            <w:vAlign w:val="center"/>
          </w:tcPr>
          <w:p w14:paraId="028221A8">
            <w:pPr>
              <w:pStyle w:val="17"/>
              <w:bidi w:val="0"/>
              <w:rPr>
                <w:rFonts w:hint="default"/>
                <w:color w:val="auto"/>
                <w:highlight w:val="none"/>
                <w:lang w:val="en-US" w:eastAsia="zh-CN"/>
              </w:rPr>
            </w:pPr>
            <w:r>
              <w:rPr>
                <w:rFonts w:hint="eastAsia"/>
                <w:color w:val="auto"/>
                <w:highlight w:val="none"/>
                <w:lang w:val="en-US" w:eastAsia="zh-CN"/>
              </w:rPr>
              <w:t>3261</w:t>
            </w:r>
          </w:p>
        </w:tc>
        <w:tc>
          <w:tcPr>
            <w:tcW w:w="319" w:type="pct"/>
            <w:tcBorders>
              <w:tl2br w:val="nil"/>
              <w:tr2bl w:val="nil"/>
            </w:tcBorders>
            <w:shd w:val="clear" w:color="auto" w:fill="auto"/>
            <w:vAlign w:val="center"/>
          </w:tcPr>
          <w:p w14:paraId="2193B121">
            <w:pPr>
              <w:pStyle w:val="17"/>
              <w:bidi w:val="0"/>
              <w:rPr>
                <w:rFonts w:hint="default"/>
                <w:color w:val="auto"/>
                <w:highlight w:val="none"/>
                <w:lang w:val="en-US" w:eastAsia="zh-CN"/>
              </w:rPr>
            </w:pPr>
            <w:r>
              <w:rPr>
                <w:rFonts w:hint="eastAsia"/>
                <w:color w:val="auto"/>
                <w:highlight w:val="none"/>
                <w:lang w:val="en-US" w:eastAsia="zh-CN"/>
              </w:rPr>
              <w:t>-800</w:t>
            </w:r>
          </w:p>
        </w:tc>
        <w:tc>
          <w:tcPr>
            <w:tcW w:w="336" w:type="pct"/>
            <w:tcBorders>
              <w:tl2br w:val="nil"/>
              <w:tr2bl w:val="nil"/>
            </w:tcBorders>
            <w:shd w:val="clear" w:color="auto" w:fill="auto"/>
            <w:vAlign w:val="center"/>
          </w:tcPr>
          <w:p w14:paraId="15F8DB2C">
            <w:pPr>
              <w:pStyle w:val="17"/>
              <w:bidi w:val="0"/>
              <w:rPr>
                <w:rFonts w:hint="default"/>
                <w:color w:val="auto"/>
                <w:highlight w:val="none"/>
                <w:lang w:val="en-US" w:eastAsia="zh-CN"/>
              </w:rPr>
            </w:pPr>
            <w:r>
              <w:rPr>
                <w:rFonts w:hint="eastAsia"/>
                <w:color w:val="auto"/>
                <w:highlight w:val="none"/>
                <w:lang w:val="en-US" w:eastAsia="zh-CN"/>
              </w:rPr>
              <w:t>3035</w:t>
            </w:r>
          </w:p>
        </w:tc>
        <w:tc>
          <w:tcPr>
            <w:tcW w:w="235" w:type="pct"/>
            <w:tcBorders>
              <w:tl2br w:val="nil"/>
              <w:tr2bl w:val="nil"/>
            </w:tcBorders>
            <w:vAlign w:val="center"/>
          </w:tcPr>
          <w:p w14:paraId="0B3990FD">
            <w:pPr>
              <w:pStyle w:val="17"/>
              <w:bidi w:val="0"/>
              <w:rPr>
                <w:color w:val="auto"/>
                <w:highlight w:val="none"/>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58A35BB6">
            <w:pPr>
              <w:pStyle w:val="17"/>
              <w:bidi w:val="0"/>
              <w:rPr>
                <w:rFonts w:hint="default"/>
                <w:color w:val="auto"/>
                <w:highlight w:val="none"/>
                <w:lang w:val="en-US" w:eastAsia="zh-CN"/>
              </w:rPr>
            </w:pPr>
            <w:r>
              <w:rPr>
                <w:rFonts w:hint="eastAsia"/>
                <w:color w:val="auto"/>
                <w:highlight w:val="none"/>
                <w:lang w:val="en-US" w:eastAsia="zh-CN"/>
              </w:rPr>
              <w:t>0.35</w:t>
            </w:r>
          </w:p>
        </w:tc>
        <w:tc>
          <w:tcPr>
            <w:tcW w:w="496" w:type="pct"/>
            <w:tcBorders>
              <w:tl2br w:val="nil"/>
              <w:tr2bl w:val="nil"/>
            </w:tcBorders>
            <w:vAlign w:val="center"/>
          </w:tcPr>
          <w:p w14:paraId="6263212C">
            <w:pPr>
              <w:pStyle w:val="17"/>
              <w:bidi w:val="0"/>
              <w:rPr>
                <w:rFonts w:hint="default"/>
                <w:color w:val="auto"/>
                <w:highlight w:val="none"/>
                <w:lang w:val="en-US" w:eastAsia="zh-CN"/>
              </w:rPr>
            </w:pPr>
            <w:r>
              <w:rPr>
                <w:rFonts w:hint="eastAsia"/>
                <w:color w:val="auto"/>
                <w:highlight w:val="none"/>
                <w:lang w:val="en-US" w:eastAsia="zh-CN"/>
              </w:rPr>
              <w:t>6000</w:t>
            </w:r>
          </w:p>
        </w:tc>
        <w:tc>
          <w:tcPr>
            <w:tcW w:w="356" w:type="pct"/>
            <w:tcBorders>
              <w:tl2br w:val="nil"/>
              <w:tr2bl w:val="nil"/>
            </w:tcBorders>
            <w:vAlign w:val="center"/>
          </w:tcPr>
          <w:p w14:paraId="7F248A29">
            <w:pPr>
              <w:pStyle w:val="17"/>
              <w:bidi w:val="0"/>
              <w:rPr>
                <w:color w:val="auto"/>
                <w:highlight w:val="none"/>
              </w:rPr>
            </w:pPr>
            <w:r>
              <w:rPr>
                <w:rFonts w:hint="eastAsia"/>
                <w:color w:val="auto"/>
                <w:highlight w:val="none"/>
              </w:rPr>
              <w:t>20</w:t>
            </w:r>
          </w:p>
        </w:tc>
        <w:tc>
          <w:tcPr>
            <w:tcW w:w="268" w:type="pct"/>
            <w:tcBorders>
              <w:tl2br w:val="nil"/>
              <w:tr2bl w:val="nil"/>
            </w:tcBorders>
            <w:vAlign w:val="center"/>
          </w:tcPr>
          <w:p w14:paraId="71DA99E9">
            <w:pPr>
              <w:pStyle w:val="17"/>
              <w:bidi w:val="0"/>
              <w:rPr>
                <w:rFonts w:hint="default"/>
                <w:color w:val="auto"/>
                <w:highlight w:val="none"/>
                <w:lang w:val="en-US" w:eastAsia="zh-CN"/>
              </w:rPr>
            </w:pPr>
            <w:r>
              <w:rPr>
                <w:rFonts w:hint="eastAsia"/>
                <w:color w:val="auto"/>
                <w:highlight w:val="none"/>
                <w:lang w:val="en-US" w:eastAsia="zh-CN"/>
              </w:rPr>
              <w:t>4500</w:t>
            </w:r>
          </w:p>
        </w:tc>
        <w:tc>
          <w:tcPr>
            <w:tcW w:w="337" w:type="pct"/>
            <w:gridSpan w:val="2"/>
            <w:tcBorders>
              <w:tl2br w:val="nil"/>
              <w:tr2bl w:val="nil"/>
            </w:tcBorders>
            <w:vAlign w:val="center"/>
          </w:tcPr>
          <w:p w14:paraId="6FFFA332">
            <w:pPr>
              <w:pStyle w:val="17"/>
              <w:bidi w:val="0"/>
              <w:rPr>
                <w:color w:val="auto"/>
                <w:highlight w:val="none"/>
                <w:lang w:val="zh-CN"/>
              </w:rPr>
            </w:pPr>
            <w:r>
              <w:rPr>
                <w:color w:val="auto"/>
                <w:highlight w:val="none"/>
              </w:rPr>
              <w:t>正常</w:t>
            </w:r>
          </w:p>
        </w:tc>
        <w:tc>
          <w:tcPr>
            <w:tcW w:w="413" w:type="pct"/>
            <w:gridSpan w:val="2"/>
            <w:tcBorders>
              <w:tl2br w:val="nil"/>
              <w:tr2bl w:val="nil"/>
            </w:tcBorders>
            <w:vAlign w:val="center"/>
          </w:tcPr>
          <w:p w14:paraId="4A0AFCA7">
            <w:pPr>
              <w:pStyle w:val="17"/>
              <w:bidi w:val="0"/>
              <w:ind w:firstLine="0" w:firstLineChars="0"/>
              <w:rPr>
                <w:rFonts w:hint="default"/>
                <w:color w:val="auto"/>
                <w:highlight w:val="none"/>
                <w:lang w:val="en-US" w:eastAsia="zh-CN"/>
              </w:rPr>
            </w:pPr>
            <w:r>
              <w:rPr>
                <w:rFonts w:hint="eastAsia"/>
                <w:color w:val="auto"/>
                <w:highlight w:val="none"/>
                <w:lang w:val="en-US" w:eastAsia="zh-CN"/>
              </w:rPr>
              <w:t>0.0075</w:t>
            </w:r>
          </w:p>
        </w:tc>
        <w:tc>
          <w:tcPr>
            <w:tcW w:w="548" w:type="pct"/>
            <w:tcBorders>
              <w:tl2br w:val="nil"/>
              <w:tr2bl w:val="nil"/>
            </w:tcBorders>
            <w:vAlign w:val="center"/>
          </w:tcPr>
          <w:p w14:paraId="52F2BBF2">
            <w:pPr>
              <w:pStyle w:val="17"/>
              <w:bidi w:val="0"/>
              <w:ind w:firstLine="0" w:firstLineChars="0"/>
              <w:rPr>
                <w:rFonts w:hint="default"/>
                <w:color w:val="auto"/>
                <w:highlight w:val="none"/>
                <w:lang w:val="en-US" w:eastAsia="zh-CN"/>
              </w:rPr>
            </w:pPr>
            <w:r>
              <w:rPr>
                <w:rFonts w:hint="eastAsia"/>
                <w:color w:val="auto"/>
                <w:highlight w:val="none"/>
                <w:lang w:val="en-US" w:eastAsia="zh-CN"/>
              </w:rPr>
              <w:t>0.0012</w:t>
            </w:r>
          </w:p>
        </w:tc>
        <w:tc>
          <w:tcPr>
            <w:tcW w:w="439" w:type="pct"/>
            <w:tcBorders>
              <w:tl2br w:val="nil"/>
              <w:tr2bl w:val="nil"/>
            </w:tcBorders>
            <w:vAlign w:val="center"/>
          </w:tcPr>
          <w:p w14:paraId="1479D163">
            <w:pPr>
              <w:pStyle w:val="17"/>
              <w:bidi w:val="0"/>
              <w:rPr>
                <w:rFonts w:hint="default"/>
                <w:color w:val="auto"/>
                <w:highlight w:val="none"/>
                <w:lang w:val="en-US" w:eastAsia="zh-CN"/>
              </w:rPr>
            </w:pPr>
            <w:r>
              <w:rPr>
                <w:rFonts w:hint="eastAsia"/>
                <w:color w:val="auto"/>
                <w:highlight w:val="none"/>
                <w:lang w:val="en-US" w:eastAsia="zh-CN"/>
              </w:rPr>
              <w:t>/</w:t>
            </w:r>
          </w:p>
        </w:tc>
      </w:tr>
      <w:tr w14:paraId="12EB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0" w:type="pct"/>
            <w:tcBorders>
              <w:tl2br w:val="nil"/>
              <w:tr2bl w:val="nil"/>
            </w:tcBorders>
            <w:vAlign w:val="center"/>
          </w:tcPr>
          <w:p w14:paraId="3958F131">
            <w:pPr>
              <w:pStyle w:val="17"/>
              <w:bidi w:val="0"/>
              <w:rPr>
                <w:color w:val="auto"/>
                <w:highlight w:val="none"/>
                <w:lang w:val="zh-CN"/>
              </w:rPr>
            </w:pPr>
            <w:r>
              <w:rPr>
                <w:color w:val="auto"/>
                <w:highlight w:val="none"/>
              </w:rPr>
              <w:t>P2</w:t>
            </w:r>
          </w:p>
        </w:tc>
        <w:tc>
          <w:tcPr>
            <w:tcW w:w="378" w:type="pct"/>
            <w:tcBorders>
              <w:tl2br w:val="nil"/>
              <w:tr2bl w:val="nil"/>
            </w:tcBorders>
            <w:vAlign w:val="center"/>
          </w:tcPr>
          <w:p w14:paraId="20E7B127">
            <w:pPr>
              <w:pStyle w:val="17"/>
              <w:bidi w:val="0"/>
              <w:rPr>
                <w:color w:val="auto"/>
                <w:highlight w:val="none"/>
                <w:lang w:val="zh-CN"/>
              </w:rPr>
            </w:pPr>
            <w:r>
              <w:rPr>
                <w:rFonts w:hint="default"/>
                <w:color w:val="auto"/>
                <w:highlight w:val="none"/>
                <w:lang w:eastAsia="zh-CN"/>
              </w:rPr>
              <w:t>中</w:t>
            </w:r>
            <w:r>
              <w:rPr>
                <w:rFonts w:hint="eastAsia"/>
                <w:color w:val="auto"/>
                <w:highlight w:val="none"/>
                <w:lang w:val="en-US" w:eastAsia="zh-CN"/>
              </w:rPr>
              <w:t>细</w:t>
            </w:r>
            <w:r>
              <w:rPr>
                <w:rFonts w:hint="default"/>
                <w:color w:val="auto"/>
                <w:highlight w:val="none"/>
                <w:lang w:eastAsia="zh-CN"/>
              </w:rPr>
              <w:t>碎</w:t>
            </w:r>
            <w:r>
              <w:rPr>
                <w:rFonts w:hint="eastAsia"/>
                <w:color w:val="auto"/>
                <w:highlight w:val="none"/>
                <w:lang w:val="en-US" w:eastAsia="zh-CN"/>
              </w:rPr>
              <w:t>厂房</w:t>
            </w:r>
            <w:r>
              <w:rPr>
                <w:rFonts w:hint="eastAsia"/>
                <w:color w:val="auto"/>
                <w:highlight w:val="none"/>
              </w:rPr>
              <w:t>排气筒</w:t>
            </w:r>
          </w:p>
        </w:tc>
        <w:tc>
          <w:tcPr>
            <w:tcW w:w="245" w:type="pct"/>
            <w:tcBorders>
              <w:tl2br w:val="nil"/>
              <w:tr2bl w:val="nil"/>
            </w:tcBorders>
            <w:shd w:val="clear" w:color="auto" w:fill="auto"/>
            <w:vAlign w:val="center"/>
          </w:tcPr>
          <w:p w14:paraId="40657FB1">
            <w:pPr>
              <w:pStyle w:val="17"/>
              <w:bidi w:val="0"/>
              <w:rPr>
                <w:rFonts w:hint="default"/>
                <w:color w:val="auto"/>
                <w:highlight w:val="none"/>
                <w:lang w:val="en-US" w:eastAsia="zh-CN"/>
              </w:rPr>
            </w:pPr>
            <w:r>
              <w:rPr>
                <w:rFonts w:hint="eastAsia"/>
                <w:color w:val="auto"/>
                <w:highlight w:val="none"/>
                <w:lang w:val="en-US" w:eastAsia="zh-CN"/>
              </w:rPr>
              <w:t>3109</w:t>
            </w:r>
          </w:p>
        </w:tc>
        <w:tc>
          <w:tcPr>
            <w:tcW w:w="319" w:type="pct"/>
            <w:tcBorders>
              <w:tl2br w:val="nil"/>
              <w:tr2bl w:val="nil"/>
            </w:tcBorders>
            <w:shd w:val="clear" w:color="auto" w:fill="auto"/>
            <w:vAlign w:val="center"/>
          </w:tcPr>
          <w:p w14:paraId="47E245FA">
            <w:pPr>
              <w:pStyle w:val="17"/>
              <w:bidi w:val="0"/>
              <w:rPr>
                <w:rFonts w:hint="default"/>
                <w:color w:val="auto"/>
                <w:highlight w:val="none"/>
                <w:lang w:val="en-US" w:eastAsia="zh-CN"/>
              </w:rPr>
            </w:pPr>
            <w:r>
              <w:rPr>
                <w:rFonts w:hint="eastAsia"/>
                <w:color w:val="auto"/>
                <w:highlight w:val="none"/>
                <w:lang w:val="en-US" w:eastAsia="zh-CN"/>
              </w:rPr>
              <w:t>-899</w:t>
            </w:r>
          </w:p>
        </w:tc>
        <w:tc>
          <w:tcPr>
            <w:tcW w:w="336" w:type="pct"/>
            <w:tcBorders>
              <w:tl2br w:val="nil"/>
              <w:tr2bl w:val="nil"/>
            </w:tcBorders>
            <w:shd w:val="clear" w:color="auto" w:fill="auto"/>
            <w:vAlign w:val="center"/>
          </w:tcPr>
          <w:p w14:paraId="16C1FE15">
            <w:pPr>
              <w:pStyle w:val="17"/>
              <w:bidi w:val="0"/>
              <w:rPr>
                <w:rFonts w:hint="default"/>
                <w:color w:val="auto"/>
                <w:highlight w:val="none"/>
                <w:lang w:val="en-US" w:eastAsia="zh-CN"/>
              </w:rPr>
            </w:pPr>
            <w:r>
              <w:rPr>
                <w:rFonts w:hint="eastAsia"/>
                <w:color w:val="auto"/>
                <w:highlight w:val="none"/>
                <w:lang w:val="en-US" w:eastAsia="zh-CN"/>
              </w:rPr>
              <w:t>3030</w:t>
            </w:r>
          </w:p>
        </w:tc>
        <w:tc>
          <w:tcPr>
            <w:tcW w:w="235" w:type="pct"/>
            <w:tcBorders>
              <w:tl2br w:val="nil"/>
              <w:tr2bl w:val="nil"/>
            </w:tcBorders>
            <w:vAlign w:val="center"/>
          </w:tcPr>
          <w:p w14:paraId="6F083A88">
            <w:pPr>
              <w:pStyle w:val="17"/>
              <w:bidi w:val="0"/>
              <w:rPr>
                <w:rFonts w:hint="default"/>
                <w:color w:val="auto"/>
                <w:highlight w:val="none"/>
                <w:lang w:val="en-US"/>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2D2168CE">
            <w:pPr>
              <w:pStyle w:val="17"/>
              <w:bidi w:val="0"/>
              <w:rPr>
                <w:color w:val="auto"/>
                <w:highlight w:val="none"/>
              </w:rPr>
            </w:pPr>
            <w:r>
              <w:rPr>
                <w:rFonts w:hint="eastAsia"/>
                <w:color w:val="auto"/>
                <w:highlight w:val="none"/>
                <w:lang w:val="en-US" w:eastAsia="zh-CN"/>
              </w:rPr>
              <w:t>0.8</w:t>
            </w:r>
          </w:p>
        </w:tc>
        <w:tc>
          <w:tcPr>
            <w:tcW w:w="496" w:type="pct"/>
            <w:tcBorders>
              <w:tl2br w:val="nil"/>
              <w:tr2bl w:val="nil"/>
            </w:tcBorders>
            <w:vAlign w:val="center"/>
          </w:tcPr>
          <w:p w14:paraId="3FF06A30">
            <w:pPr>
              <w:pStyle w:val="17"/>
              <w:bidi w:val="0"/>
              <w:rPr>
                <w:rFonts w:hint="default"/>
                <w:color w:val="auto"/>
                <w:highlight w:val="none"/>
                <w:lang w:val="en-US" w:eastAsia="zh-CN"/>
              </w:rPr>
            </w:pPr>
            <w:r>
              <w:rPr>
                <w:rFonts w:hint="eastAsia"/>
                <w:color w:val="auto"/>
                <w:highlight w:val="none"/>
                <w:lang w:val="en-US" w:eastAsia="zh-CN"/>
              </w:rPr>
              <w:t>45000</w:t>
            </w:r>
          </w:p>
        </w:tc>
        <w:tc>
          <w:tcPr>
            <w:tcW w:w="356" w:type="pct"/>
            <w:tcBorders>
              <w:tl2br w:val="nil"/>
              <w:tr2bl w:val="nil"/>
            </w:tcBorders>
            <w:vAlign w:val="center"/>
          </w:tcPr>
          <w:p w14:paraId="0EA4D53D">
            <w:pPr>
              <w:pStyle w:val="17"/>
              <w:bidi w:val="0"/>
              <w:rPr>
                <w:color w:val="auto"/>
                <w:highlight w:val="none"/>
              </w:rPr>
            </w:pPr>
            <w:r>
              <w:rPr>
                <w:rFonts w:hint="eastAsia"/>
                <w:color w:val="auto"/>
                <w:highlight w:val="none"/>
              </w:rPr>
              <w:t>20</w:t>
            </w:r>
          </w:p>
        </w:tc>
        <w:tc>
          <w:tcPr>
            <w:tcW w:w="268" w:type="pct"/>
            <w:tcBorders>
              <w:tl2br w:val="nil"/>
              <w:tr2bl w:val="nil"/>
            </w:tcBorders>
            <w:vAlign w:val="center"/>
          </w:tcPr>
          <w:p w14:paraId="7A829ABD">
            <w:pPr>
              <w:pStyle w:val="17"/>
              <w:bidi w:val="0"/>
              <w:rPr>
                <w:color w:val="auto"/>
                <w:highlight w:val="none"/>
              </w:rPr>
            </w:pPr>
            <w:r>
              <w:rPr>
                <w:rFonts w:hint="eastAsia"/>
                <w:color w:val="auto"/>
                <w:highlight w:val="none"/>
                <w:lang w:val="en-US" w:eastAsia="zh-CN"/>
              </w:rPr>
              <w:t>4500</w:t>
            </w:r>
          </w:p>
        </w:tc>
        <w:tc>
          <w:tcPr>
            <w:tcW w:w="337" w:type="pct"/>
            <w:gridSpan w:val="2"/>
            <w:tcBorders>
              <w:tl2br w:val="nil"/>
              <w:tr2bl w:val="nil"/>
            </w:tcBorders>
            <w:vAlign w:val="center"/>
          </w:tcPr>
          <w:p w14:paraId="1A867301">
            <w:pPr>
              <w:pStyle w:val="17"/>
              <w:bidi w:val="0"/>
              <w:rPr>
                <w:color w:val="auto"/>
                <w:highlight w:val="none"/>
              </w:rPr>
            </w:pPr>
            <w:r>
              <w:rPr>
                <w:color w:val="auto"/>
                <w:highlight w:val="none"/>
              </w:rPr>
              <w:t>正常</w:t>
            </w:r>
          </w:p>
        </w:tc>
        <w:tc>
          <w:tcPr>
            <w:tcW w:w="413" w:type="pct"/>
            <w:gridSpan w:val="2"/>
            <w:tcBorders>
              <w:tl2br w:val="nil"/>
              <w:tr2bl w:val="nil"/>
            </w:tcBorders>
            <w:vAlign w:val="center"/>
          </w:tcPr>
          <w:p w14:paraId="7FC14DCC">
            <w:pPr>
              <w:pStyle w:val="17"/>
              <w:bidi w:val="0"/>
              <w:ind w:firstLine="0" w:firstLineChars="0"/>
              <w:rPr>
                <w:rFonts w:hint="default"/>
                <w:color w:val="auto"/>
                <w:highlight w:val="none"/>
                <w:lang w:val="en-US" w:eastAsia="zh-CN"/>
              </w:rPr>
            </w:pPr>
            <w:r>
              <w:rPr>
                <w:rFonts w:hint="eastAsia"/>
                <w:color w:val="auto"/>
                <w:highlight w:val="none"/>
                <w:lang w:val="en-US" w:eastAsia="zh-CN"/>
              </w:rPr>
              <w:t>0.075</w:t>
            </w:r>
          </w:p>
        </w:tc>
        <w:tc>
          <w:tcPr>
            <w:tcW w:w="548" w:type="pct"/>
            <w:tcBorders>
              <w:tl2br w:val="nil"/>
              <w:tr2bl w:val="nil"/>
            </w:tcBorders>
            <w:vAlign w:val="center"/>
          </w:tcPr>
          <w:p w14:paraId="5558CAD0">
            <w:pPr>
              <w:pStyle w:val="17"/>
              <w:bidi w:val="0"/>
              <w:ind w:firstLine="0" w:firstLineChars="0"/>
              <w:rPr>
                <w:rFonts w:hint="default"/>
                <w:color w:val="auto"/>
                <w:highlight w:val="none"/>
                <w:lang w:val="en-US" w:eastAsia="zh-CN"/>
              </w:rPr>
            </w:pPr>
            <w:r>
              <w:rPr>
                <w:rFonts w:hint="eastAsia"/>
                <w:color w:val="auto"/>
                <w:highlight w:val="none"/>
                <w:lang w:val="en-US" w:eastAsia="zh-CN"/>
              </w:rPr>
              <w:t>0.0118</w:t>
            </w:r>
          </w:p>
        </w:tc>
        <w:tc>
          <w:tcPr>
            <w:tcW w:w="439" w:type="pct"/>
            <w:tcBorders>
              <w:tl2br w:val="nil"/>
              <w:tr2bl w:val="nil"/>
            </w:tcBorders>
            <w:vAlign w:val="center"/>
          </w:tcPr>
          <w:p w14:paraId="118F4FFB">
            <w:pPr>
              <w:pStyle w:val="17"/>
              <w:bidi w:val="0"/>
              <w:rPr>
                <w:rFonts w:hint="default"/>
                <w:color w:val="auto"/>
                <w:highlight w:val="none"/>
                <w:lang w:val="en-US" w:eastAsia="zh-CN"/>
              </w:rPr>
            </w:pPr>
            <w:r>
              <w:rPr>
                <w:rFonts w:hint="eastAsia"/>
                <w:color w:val="auto"/>
                <w:highlight w:val="none"/>
                <w:lang w:val="en-US" w:eastAsia="zh-CN"/>
              </w:rPr>
              <w:t>/</w:t>
            </w:r>
          </w:p>
        </w:tc>
      </w:tr>
      <w:tr w14:paraId="09D9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0" w:type="pct"/>
            <w:tcBorders>
              <w:tl2br w:val="nil"/>
              <w:tr2bl w:val="nil"/>
            </w:tcBorders>
            <w:vAlign w:val="center"/>
          </w:tcPr>
          <w:p w14:paraId="69EAF9E3">
            <w:pPr>
              <w:pStyle w:val="17"/>
              <w:bidi w:val="0"/>
              <w:rPr>
                <w:color w:val="auto"/>
                <w:highlight w:val="none"/>
              </w:rPr>
            </w:pPr>
            <w:r>
              <w:rPr>
                <w:color w:val="auto"/>
                <w:highlight w:val="none"/>
              </w:rPr>
              <w:t>P3</w:t>
            </w:r>
          </w:p>
        </w:tc>
        <w:tc>
          <w:tcPr>
            <w:tcW w:w="378" w:type="pct"/>
            <w:tcBorders>
              <w:tl2br w:val="nil"/>
              <w:tr2bl w:val="nil"/>
            </w:tcBorders>
            <w:vAlign w:val="center"/>
          </w:tcPr>
          <w:p w14:paraId="00204F3A">
            <w:pPr>
              <w:pStyle w:val="17"/>
              <w:bidi w:val="0"/>
              <w:rPr>
                <w:color w:val="auto"/>
                <w:highlight w:val="none"/>
              </w:rPr>
            </w:pPr>
            <w:r>
              <w:rPr>
                <w:rFonts w:hint="default"/>
                <w:color w:val="auto"/>
                <w:highlight w:val="none"/>
                <w:lang w:eastAsia="zh-CN"/>
              </w:rPr>
              <w:t>筛分</w:t>
            </w:r>
            <w:r>
              <w:rPr>
                <w:rFonts w:hint="eastAsia"/>
                <w:color w:val="auto"/>
                <w:highlight w:val="none"/>
                <w:lang w:val="en-US" w:eastAsia="zh-CN"/>
              </w:rPr>
              <w:t>厂房</w:t>
            </w:r>
            <w:r>
              <w:rPr>
                <w:rFonts w:hint="eastAsia"/>
                <w:color w:val="auto"/>
                <w:highlight w:val="none"/>
              </w:rPr>
              <w:t>排气筒</w:t>
            </w:r>
          </w:p>
        </w:tc>
        <w:tc>
          <w:tcPr>
            <w:tcW w:w="245" w:type="pct"/>
            <w:tcBorders>
              <w:tl2br w:val="nil"/>
              <w:tr2bl w:val="nil"/>
            </w:tcBorders>
            <w:shd w:val="clear" w:color="auto" w:fill="auto"/>
            <w:vAlign w:val="center"/>
          </w:tcPr>
          <w:p w14:paraId="4C36D6D5">
            <w:pPr>
              <w:pStyle w:val="17"/>
              <w:bidi w:val="0"/>
              <w:rPr>
                <w:rFonts w:hint="default"/>
                <w:color w:val="auto"/>
                <w:highlight w:val="none"/>
                <w:lang w:val="en-US" w:eastAsia="zh-CN"/>
              </w:rPr>
            </w:pPr>
            <w:r>
              <w:rPr>
                <w:rFonts w:hint="eastAsia"/>
                <w:color w:val="auto"/>
                <w:highlight w:val="none"/>
                <w:lang w:val="en-US" w:eastAsia="zh-CN"/>
              </w:rPr>
              <w:t>2966</w:t>
            </w:r>
          </w:p>
        </w:tc>
        <w:tc>
          <w:tcPr>
            <w:tcW w:w="319" w:type="pct"/>
            <w:tcBorders>
              <w:tl2br w:val="nil"/>
              <w:tr2bl w:val="nil"/>
            </w:tcBorders>
            <w:shd w:val="clear" w:color="auto" w:fill="auto"/>
            <w:vAlign w:val="center"/>
          </w:tcPr>
          <w:p w14:paraId="2F1A3AD4">
            <w:pPr>
              <w:pStyle w:val="17"/>
              <w:bidi w:val="0"/>
              <w:rPr>
                <w:rFonts w:hint="default"/>
                <w:color w:val="auto"/>
                <w:highlight w:val="none"/>
                <w:lang w:val="en-US" w:eastAsia="zh-CN"/>
              </w:rPr>
            </w:pPr>
            <w:r>
              <w:rPr>
                <w:rFonts w:hint="eastAsia"/>
                <w:color w:val="auto"/>
                <w:highlight w:val="none"/>
                <w:lang w:val="en-US" w:eastAsia="zh-CN"/>
              </w:rPr>
              <w:t>-961</w:t>
            </w:r>
          </w:p>
        </w:tc>
        <w:tc>
          <w:tcPr>
            <w:tcW w:w="336" w:type="pct"/>
            <w:tcBorders>
              <w:tl2br w:val="nil"/>
              <w:tr2bl w:val="nil"/>
            </w:tcBorders>
            <w:shd w:val="clear" w:color="auto" w:fill="auto"/>
            <w:vAlign w:val="center"/>
          </w:tcPr>
          <w:p w14:paraId="60A68A2B">
            <w:pPr>
              <w:pStyle w:val="17"/>
              <w:bidi w:val="0"/>
              <w:rPr>
                <w:rFonts w:hint="default"/>
                <w:color w:val="auto"/>
                <w:highlight w:val="none"/>
                <w:lang w:val="en-US" w:eastAsia="zh-CN"/>
              </w:rPr>
            </w:pPr>
            <w:r>
              <w:rPr>
                <w:rFonts w:hint="eastAsia"/>
                <w:color w:val="auto"/>
                <w:highlight w:val="none"/>
                <w:lang w:val="en-US" w:eastAsia="zh-CN"/>
              </w:rPr>
              <w:t>3010</w:t>
            </w:r>
          </w:p>
        </w:tc>
        <w:tc>
          <w:tcPr>
            <w:tcW w:w="235" w:type="pct"/>
            <w:tcBorders>
              <w:tl2br w:val="nil"/>
              <w:tr2bl w:val="nil"/>
            </w:tcBorders>
            <w:vAlign w:val="center"/>
          </w:tcPr>
          <w:p w14:paraId="796551FC">
            <w:pPr>
              <w:pStyle w:val="17"/>
              <w:bidi w:val="0"/>
              <w:rPr>
                <w:rFonts w:hint="default"/>
                <w:color w:val="auto"/>
                <w:highlight w:val="none"/>
                <w:lang w:val="en-US"/>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1D51E11A">
            <w:pPr>
              <w:pStyle w:val="17"/>
              <w:bidi w:val="0"/>
              <w:rPr>
                <w:rFonts w:hint="default"/>
                <w:color w:val="auto"/>
                <w:highlight w:val="none"/>
                <w:lang w:val="en-US"/>
              </w:rPr>
            </w:pPr>
            <w:r>
              <w:rPr>
                <w:rFonts w:hint="eastAsia"/>
                <w:color w:val="auto"/>
                <w:highlight w:val="none"/>
                <w:lang w:val="en-US" w:eastAsia="zh-CN"/>
              </w:rPr>
              <w:t>1.1</w:t>
            </w:r>
          </w:p>
        </w:tc>
        <w:tc>
          <w:tcPr>
            <w:tcW w:w="496" w:type="pct"/>
            <w:tcBorders>
              <w:tl2br w:val="nil"/>
              <w:tr2bl w:val="nil"/>
            </w:tcBorders>
            <w:vAlign w:val="center"/>
          </w:tcPr>
          <w:p w14:paraId="5ED2BC5F">
            <w:pPr>
              <w:pStyle w:val="17"/>
              <w:bidi w:val="0"/>
              <w:rPr>
                <w:rFonts w:hint="default"/>
                <w:color w:val="auto"/>
                <w:highlight w:val="none"/>
                <w:lang w:val="en-US" w:eastAsia="zh-CN"/>
              </w:rPr>
            </w:pPr>
            <w:r>
              <w:rPr>
                <w:rFonts w:hint="eastAsia"/>
                <w:color w:val="auto"/>
                <w:highlight w:val="none"/>
                <w:lang w:val="en-US" w:eastAsia="zh-CN"/>
              </w:rPr>
              <w:t>70000</w:t>
            </w:r>
          </w:p>
        </w:tc>
        <w:tc>
          <w:tcPr>
            <w:tcW w:w="356" w:type="pct"/>
            <w:tcBorders>
              <w:tl2br w:val="nil"/>
              <w:tr2bl w:val="nil"/>
            </w:tcBorders>
            <w:vAlign w:val="center"/>
          </w:tcPr>
          <w:p w14:paraId="449E30EA">
            <w:pPr>
              <w:pStyle w:val="17"/>
              <w:bidi w:val="0"/>
              <w:rPr>
                <w:rFonts w:hint="default"/>
                <w:color w:val="auto"/>
                <w:highlight w:val="none"/>
                <w:lang w:val="en-US" w:eastAsia="zh-CN"/>
              </w:rPr>
            </w:pPr>
            <w:r>
              <w:rPr>
                <w:rFonts w:hint="eastAsia"/>
                <w:color w:val="auto"/>
                <w:highlight w:val="none"/>
                <w:lang w:val="en-US" w:eastAsia="zh-CN"/>
              </w:rPr>
              <w:t>20</w:t>
            </w:r>
          </w:p>
        </w:tc>
        <w:tc>
          <w:tcPr>
            <w:tcW w:w="268" w:type="pct"/>
            <w:tcBorders>
              <w:tl2br w:val="nil"/>
              <w:tr2bl w:val="nil"/>
            </w:tcBorders>
            <w:vAlign w:val="center"/>
          </w:tcPr>
          <w:p w14:paraId="2AFAE6FA">
            <w:pPr>
              <w:pStyle w:val="17"/>
              <w:bidi w:val="0"/>
              <w:rPr>
                <w:color w:val="auto"/>
                <w:highlight w:val="none"/>
              </w:rPr>
            </w:pPr>
            <w:r>
              <w:rPr>
                <w:rFonts w:hint="eastAsia"/>
                <w:color w:val="auto"/>
                <w:highlight w:val="none"/>
                <w:lang w:val="en-US" w:eastAsia="zh-CN"/>
              </w:rPr>
              <w:t>4500</w:t>
            </w:r>
          </w:p>
        </w:tc>
        <w:tc>
          <w:tcPr>
            <w:tcW w:w="337" w:type="pct"/>
            <w:gridSpan w:val="2"/>
            <w:tcBorders>
              <w:tl2br w:val="nil"/>
              <w:tr2bl w:val="nil"/>
            </w:tcBorders>
            <w:vAlign w:val="center"/>
          </w:tcPr>
          <w:p w14:paraId="7E61135C">
            <w:pPr>
              <w:pStyle w:val="17"/>
              <w:bidi w:val="0"/>
              <w:rPr>
                <w:color w:val="auto"/>
                <w:highlight w:val="none"/>
              </w:rPr>
            </w:pPr>
            <w:r>
              <w:rPr>
                <w:color w:val="auto"/>
                <w:highlight w:val="none"/>
              </w:rPr>
              <w:t>正常</w:t>
            </w:r>
          </w:p>
        </w:tc>
        <w:tc>
          <w:tcPr>
            <w:tcW w:w="413" w:type="pct"/>
            <w:gridSpan w:val="2"/>
            <w:tcBorders>
              <w:tl2br w:val="nil"/>
              <w:tr2bl w:val="nil"/>
            </w:tcBorders>
            <w:vAlign w:val="center"/>
          </w:tcPr>
          <w:p w14:paraId="28EF6C0B">
            <w:pPr>
              <w:pStyle w:val="17"/>
              <w:bidi w:val="0"/>
              <w:ind w:firstLine="0" w:firstLineChars="0"/>
              <w:rPr>
                <w:rFonts w:hint="default"/>
                <w:color w:val="auto"/>
                <w:highlight w:val="none"/>
                <w:lang w:val="en-US" w:eastAsia="zh-CN"/>
              </w:rPr>
            </w:pPr>
            <w:r>
              <w:rPr>
                <w:rFonts w:hint="eastAsia"/>
                <w:color w:val="auto"/>
                <w:highlight w:val="none"/>
                <w:lang w:val="en-US" w:eastAsia="zh-CN"/>
              </w:rPr>
              <w:t>0.075</w:t>
            </w:r>
          </w:p>
        </w:tc>
        <w:tc>
          <w:tcPr>
            <w:tcW w:w="548" w:type="pct"/>
            <w:tcBorders>
              <w:tl2br w:val="nil"/>
              <w:tr2bl w:val="nil"/>
            </w:tcBorders>
            <w:vAlign w:val="center"/>
          </w:tcPr>
          <w:p w14:paraId="4B877669">
            <w:pPr>
              <w:pStyle w:val="17"/>
              <w:bidi w:val="0"/>
              <w:ind w:firstLine="0" w:firstLineChars="0"/>
              <w:rPr>
                <w:rFonts w:hint="default"/>
                <w:color w:val="auto"/>
                <w:highlight w:val="none"/>
                <w:lang w:val="en-US" w:eastAsia="zh-CN"/>
              </w:rPr>
            </w:pPr>
            <w:r>
              <w:rPr>
                <w:rFonts w:hint="eastAsia"/>
                <w:color w:val="auto"/>
                <w:highlight w:val="none"/>
                <w:lang w:val="en-US" w:eastAsia="zh-CN"/>
              </w:rPr>
              <w:t>0.0118</w:t>
            </w:r>
          </w:p>
        </w:tc>
        <w:tc>
          <w:tcPr>
            <w:tcW w:w="439" w:type="pct"/>
            <w:tcBorders>
              <w:tl2br w:val="nil"/>
              <w:tr2bl w:val="nil"/>
            </w:tcBorders>
            <w:vAlign w:val="center"/>
          </w:tcPr>
          <w:p w14:paraId="4FC822D1">
            <w:pPr>
              <w:pStyle w:val="17"/>
              <w:bidi w:val="0"/>
              <w:rPr>
                <w:rFonts w:hint="default"/>
                <w:color w:val="auto"/>
                <w:highlight w:val="none"/>
                <w:lang w:val="en-US" w:eastAsia="zh-CN"/>
              </w:rPr>
            </w:pPr>
            <w:r>
              <w:rPr>
                <w:rFonts w:hint="eastAsia"/>
                <w:color w:val="auto"/>
                <w:highlight w:val="none"/>
                <w:lang w:val="en-US" w:eastAsia="zh-CN"/>
              </w:rPr>
              <w:t>/</w:t>
            </w:r>
          </w:p>
        </w:tc>
      </w:tr>
      <w:tr w14:paraId="5B83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0" w:type="pct"/>
            <w:tcBorders>
              <w:tl2br w:val="nil"/>
              <w:tr2bl w:val="nil"/>
            </w:tcBorders>
            <w:vAlign w:val="center"/>
          </w:tcPr>
          <w:p w14:paraId="1E143FC9">
            <w:pPr>
              <w:pStyle w:val="17"/>
              <w:bidi w:val="0"/>
              <w:rPr>
                <w:rFonts w:hint="default"/>
                <w:color w:val="auto"/>
                <w:highlight w:val="none"/>
                <w:lang w:val="en-US" w:eastAsia="zh-CN"/>
              </w:rPr>
            </w:pPr>
            <w:r>
              <w:rPr>
                <w:rFonts w:hint="eastAsia"/>
                <w:color w:val="auto"/>
                <w:highlight w:val="none"/>
                <w:lang w:val="en-US" w:eastAsia="zh-CN"/>
              </w:rPr>
              <w:t>P4</w:t>
            </w:r>
          </w:p>
        </w:tc>
        <w:tc>
          <w:tcPr>
            <w:tcW w:w="378" w:type="pct"/>
            <w:tcBorders>
              <w:tl2br w:val="nil"/>
              <w:tr2bl w:val="nil"/>
            </w:tcBorders>
            <w:vAlign w:val="center"/>
          </w:tcPr>
          <w:p w14:paraId="6DC5443E">
            <w:pPr>
              <w:pStyle w:val="17"/>
              <w:bidi w:val="0"/>
              <w:rPr>
                <w:color w:val="auto"/>
                <w:highlight w:val="none"/>
              </w:rPr>
            </w:pPr>
            <w:r>
              <w:rPr>
                <w:rFonts w:hint="eastAsia"/>
                <w:color w:val="auto"/>
                <w:highlight w:val="none"/>
                <w:lang w:val="en-US" w:eastAsia="zh-CN"/>
              </w:rPr>
              <w:t>粉料仓</w:t>
            </w:r>
            <w:r>
              <w:rPr>
                <w:rFonts w:hint="eastAsia"/>
                <w:color w:val="auto"/>
                <w:highlight w:val="none"/>
              </w:rPr>
              <w:t>车间排气筒</w:t>
            </w:r>
          </w:p>
        </w:tc>
        <w:tc>
          <w:tcPr>
            <w:tcW w:w="245" w:type="pct"/>
            <w:tcBorders>
              <w:tl2br w:val="nil"/>
              <w:tr2bl w:val="nil"/>
            </w:tcBorders>
            <w:vAlign w:val="center"/>
          </w:tcPr>
          <w:p w14:paraId="453DBF86">
            <w:pPr>
              <w:pStyle w:val="17"/>
              <w:bidi w:val="0"/>
              <w:rPr>
                <w:rFonts w:hint="default"/>
                <w:color w:val="auto"/>
                <w:highlight w:val="none"/>
                <w:lang w:val="en-US" w:eastAsia="zh-CN"/>
              </w:rPr>
            </w:pPr>
            <w:r>
              <w:rPr>
                <w:rFonts w:hint="eastAsia"/>
                <w:color w:val="auto"/>
                <w:highlight w:val="none"/>
                <w:lang w:val="en-US" w:eastAsia="zh-CN"/>
              </w:rPr>
              <w:t>2778</w:t>
            </w:r>
          </w:p>
        </w:tc>
        <w:tc>
          <w:tcPr>
            <w:tcW w:w="319" w:type="pct"/>
            <w:tcBorders>
              <w:tl2br w:val="nil"/>
              <w:tr2bl w:val="nil"/>
            </w:tcBorders>
            <w:vAlign w:val="center"/>
          </w:tcPr>
          <w:p w14:paraId="54571ABB">
            <w:pPr>
              <w:pStyle w:val="17"/>
              <w:bidi w:val="0"/>
              <w:rPr>
                <w:rFonts w:hint="default"/>
                <w:color w:val="auto"/>
                <w:highlight w:val="none"/>
                <w:lang w:val="en-US" w:eastAsia="zh-CN"/>
              </w:rPr>
            </w:pPr>
            <w:r>
              <w:rPr>
                <w:rFonts w:hint="eastAsia"/>
                <w:color w:val="auto"/>
                <w:highlight w:val="none"/>
                <w:lang w:val="en-US" w:eastAsia="zh-CN"/>
              </w:rPr>
              <w:t>-1203</w:t>
            </w:r>
          </w:p>
        </w:tc>
        <w:tc>
          <w:tcPr>
            <w:tcW w:w="336" w:type="pct"/>
            <w:tcBorders>
              <w:tl2br w:val="nil"/>
              <w:tr2bl w:val="nil"/>
            </w:tcBorders>
            <w:vAlign w:val="center"/>
          </w:tcPr>
          <w:p w14:paraId="7FBD5F9E">
            <w:pPr>
              <w:pStyle w:val="17"/>
              <w:bidi w:val="0"/>
              <w:rPr>
                <w:rFonts w:hint="default"/>
                <w:color w:val="auto"/>
                <w:highlight w:val="none"/>
                <w:lang w:val="en-US" w:eastAsia="zh-CN"/>
              </w:rPr>
            </w:pPr>
            <w:r>
              <w:rPr>
                <w:rFonts w:hint="eastAsia"/>
                <w:color w:val="auto"/>
                <w:highlight w:val="none"/>
                <w:lang w:val="en-US" w:eastAsia="zh-CN"/>
              </w:rPr>
              <w:t>3038</w:t>
            </w:r>
          </w:p>
        </w:tc>
        <w:tc>
          <w:tcPr>
            <w:tcW w:w="235" w:type="pct"/>
            <w:tcBorders>
              <w:tl2br w:val="nil"/>
              <w:tr2bl w:val="nil"/>
            </w:tcBorders>
            <w:vAlign w:val="center"/>
          </w:tcPr>
          <w:p w14:paraId="612D1DBD">
            <w:pPr>
              <w:pStyle w:val="17"/>
              <w:bidi w:val="0"/>
              <w:rPr>
                <w:rFonts w:hint="default"/>
                <w:color w:val="auto"/>
                <w:highlight w:val="none"/>
                <w:lang w:val="en-US"/>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43B97AAD">
            <w:pPr>
              <w:pStyle w:val="17"/>
              <w:bidi w:val="0"/>
              <w:rPr>
                <w:rFonts w:hint="default"/>
                <w:color w:val="auto"/>
                <w:highlight w:val="none"/>
                <w:lang w:val="en-US"/>
              </w:rPr>
            </w:pPr>
            <w:r>
              <w:rPr>
                <w:rFonts w:hint="eastAsia"/>
                <w:color w:val="auto"/>
                <w:highlight w:val="none"/>
                <w:lang w:val="en-US" w:eastAsia="zh-CN"/>
              </w:rPr>
              <w:t>0.35</w:t>
            </w:r>
          </w:p>
        </w:tc>
        <w:tc>
          <w:tcPr>
            <w:tcW w:w="496" w:type="pct"/>
            <w:tcBorders>
              <w:tl2br w:val="nil"/>
              <w:tr2bl w:val="nil"/>
            </w:tcBorders>
            <w:vAlign w:val="center"/>
          </w:tcPr>
          <w:p w14:paraId="1777FFC8">
            <w:pPr>
              <w:pStyle w:val="17"/>
              <w:bidi w:val="0"/>
              <w:rPr>
                <w:rFonts w:hint="default"/>
                <w:color w:val="auto"/>
                <w:highlight w:val="none"/>
                <w:lang w:val="en-US" w:eastAsia="zh-CN"/>
              </w:rPr>
            </w:pPr>
            <w:r>
              <w:rPr>
                <w:rFonts w:hint="eastAsia"/>
                <w:color w:val="auto"/>
                <w:highlight w:val="none"/>
                <w:lang w:val="en-US" w:eastAsia="zh-CN"/>
              </w:rPr>
              <w:t>6000</w:t>
            </w:r>
          </w:p>
        </w:tc>
        <w:tc>
          <w:tcPr>
            <w:tcW w:w="356" w:type="pct"/>
            <w:tcBorders>
              <w:tl2br w:val="nil"/>
              <w:tr2bl w:val="nil"/>
            </w:tcBorders>
            <w:vAlign w:val="center"/>
          </w:tcPr>
          <w:p w14:paraId="4B72F967">
            <w:pPr>
              <w:pStyle w:val="17"/>
              <w:bidi w:val="0"/>
              <w:rPr>
                <w:rFonts w:hint="default"/>
                <w:color w:val="auto"/>
                <w:highlight w:val="none"/>
                <w:lang w:val="en-US" w:eastAsia="zh-CN"/>
              </w:rPr>
            </w:pPr>
            <w:r>
              <w:rPr>
                <w:rFonts w:hint="eastAsia"/>
                <w:color w:val="auto"/>
                <w:highlight w:val="none"/>
                <w:lang w:val="en-US" w:eastAsia="zh-CN"/>
              </w:rPr>
              <w:t>20</w:t>
            </w:r>
          </w:p>
        </w:tc>
        <w:tc>
          <w:tcPr>
            <w:tcW w:w="268" w:type="pct"/>
            <w:tcBorders>
              <w:tl2br w:val="nil"/>
              <w:tr2bl w:val="nil"/>
            </w:tcBorders>
            <w:vAlign w:val="center"/>
          </w:tcPr>
          <w:p w14:paraId="314ED234">
            <w:pPr>
              <w:pStyle w:val="17"/>
              <w:bidi w:val="0"/>
              <w:rPr>
                <w:rFonts w:hint="eastAsia"/>
                <w:color w:val="auto"/>
                <w:highlight w:val="none"/>
              </w:rPr>
            </w:pPr>
            <w:r>
              <w:rPr>
                <w:rFonts w:hint="eastAsia"/>
                <w:color w:val="auto"/>
                <w:highlight w:val="none"/>
                <w:lang w:val="en-US" w:eastAsia="zh-CN"/>
              </w:rPr>
              <w:t>7200</w:t>
            </w:r>
          </w:p>
        </w:tc>
        <w:tc>
          <w:tcPr>
            <w:tcW w:w="337" w:type="pct"/>
            <w:gridSpan w:val="2"/>
            <w:tcBorders>
              <w:tl2br w:val="nil"/>
              <w:tr2bl w:val="nil"/>
            </w:tcBorders>
            <w:vAlign w:val="center"/>
          </w:tcPr>
          <w:p w14:paraId="4C37DBB0">
            <w:pPr>
              <w:pStyle w:val="17"/>
              <w:bidi w:val="0"/>
              <w:rPr>
                <w:color w:val="auto"/>
                <w:highlight w:val="none"/>
              </w:rPr>
            </w:pPr>
            <w:r>
              <w:rPr>
                <w:color w:val="auto"/>
                <w:highlight w:val="none"/>
              </w:rPr>
              <w:t>正常</w:t>
            </w:r>
          </w:p>
        </w:tc>
        <w:tc>
          <w:tcPr>
            <w:tcW w:w="413" w:type="pct"/>
            <w:gridSpan w:val="2"/>
            <w:tcBorders>
              <w:tl2br w:val="nil"/>
              <w:tr2bl w:val="nil"/>
            </w:tcBorders>
            <w:vAlign w:val="center"/>
          </w:tcPr>
          <w:p w14:paraId="3DABF17E">
            <w:pPr>
              <w:pStyle w:val="17"/>
              <w:bidi w:val="0"/>
              <w:rPr>
                <w:rFonts w:hint="default"/>
                <w:color w:val="auto"/>
                <w:highlight w:val="none"/>
                <w:lang w:val="en-US" w:eastAsia="zh-CN"/>
              </w:rPr>
            </w:pPr>
            <w:r>
              <w:rPr>
                <w:rFonts w:hint="eastAsia"/>
                <w:color w:val="auto"/>
                <w:highlight w:val="none"/>
                <w:lang w:val="en-US" w:eastAsia="zh-CN"/>
              </w:rPr>
              <w:t>0.0075</w:t>
            </w:r>
          </w:p>
        </w:tc>
        <w:tc>
          <w:tcPr>
            <w:tcW w:w="548" w:type="pct"/>
            <w:tcBorders>
              <w:tl2br w:val="nil"/>
              <w:tr2bl w:val="nil"/>
            </w:tcBorders>
            <w:vAlign w:val="center"/>
          </w:tcPr>
          <w:p w14:paraId="1116F99C">
            <w:pPr>
              <w:pStyle w:val="17"/>
              <w:bidi w:val="0"/>
              <w:rPr>
                <w:rFonts w:hint="default"/>
                <w:color w:val="auto"/>
                <w:highlight w:val="none"/>
                <w:lang w:val="en-US" w:eastAsia="zh-CN"/>
              </w:rPr>
            </w:pPr>
            <w:r>
              <w:rPr>
                <w:rFonts w:hint="eastAsia"/>
                <w:color w:val="auto"/>
                <w:highlight w:val="none"/>
                <w:lang w:val="en-US" w:eastAsia="zh-CN"/>
              </w:rPr>
              <w:t>0.0012</w:t>
            </w:r>
          </w:p>
        </w:tc>
        <w:tc>
          <w:tcPr>
            <w:tcW w:w="439" w:type="pct"/>
            <w:tcBorders>
              <w:tl2br w:val="nil"/>
              <w:tr2bl w:val="nil"/>
            </w:tcBorders>
            <w:vAlign w:val="center"/>
          </w:tcPr>
          <w:p w14:paraId="02A7D142">
            <w:pPr>
              <w:pStyle w:val="17"/>
              <w:bidi w:val="0"/>
              <w:rPr>
                <w:rFonts w:hint="default"/>
                <w:color w:val="auto"/>
                <w:highlight w:val="none"/>
                <w:lang w:val="en-US" w:eastAsia="zh-CN"/>
              </w:rPr>
            </w:pPr>
            <w:r>
              <w:rPr>
                <w:rFonts w:hint="eastAsia"/>
                <w:color w:val="auto"/>
                <w:highlight w:val="none"/>
                <w:lang w:val="en-US" w:eastAsia="zh-CN"/>
              </w:rPr>
              <w:t>/</w:t>
            </w:r>
          </w:p>
        </w:tc>
      </w:tr>
      <w:tr w14:paraId="2993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 w:type="pct"/>
            <w:tcBorders>
              <w:tl2br w:val="nil"/>
              <w:tr2bl w:val="nil"/>
            </w:tcBorders>
            <w:vAlign w:val="center"/>
          </w:tcPr>
          <w:p w14:paraId="58AC0B06">
            <w:pPr>
              <w:pStyle w:val="17"/>
              <w:bidi w:val="0"/>
              <w:rPr>
                <w:rFonts w:hint="default"/>
                <w:color w:val="auto"/>
                <w:highlight w:val="none"/>
                <w:lang w:val="en-US" w:eastAsia="zh-CN"/>
              </w:rPr>
            </w:pPr>
            <w:r>
              <w:rPr>
                <w:rFonts w:hint="eastAsia"/>
                <w:color w:val="auto"/>
                <w:highlight w:val="none"/>
                <w:lang w:val="en-US" w:eastAsia="zh-CN"/>
              </w:rPr>
              <w:t>P5</w:t>
            </w:r>
          </w:p>
        </w:tc>
        <w:tc>
          <w:tcPr>
            <w:tcW w:w="378" w:type="pct"/>
            <w:tcBorders>
              <w:tl2br w:val="nil"/>
              <w:tr2bl w:val="nil"/>
            </w:tcBorders>
            <w:vAlign w:val="center"/>
          </w:tcPr>
          <w:p w14:paraId="5E3DBC78">
            <w:pPr>
              <w:pStyle w:val="17"/>
              <w:bidi w:val="0"/>
              <w:rPr>
                <w:color w:val="auto"/>
                <w:highlight w:val="none"/>
              </w:rPr>
            </w:pPr>
            <w:r>
              <w:rPr>
                <w:rFonts w:hint="eastAsia"/>
                <w:color w:val="auto"/>
                <w:highlight w:val="none"/>
                <w:lang w:val="en-US" w:eastAsia="zh-CN"/>
              </w:rPr>
              <w:t>硫酸稀释车间</w:t>
            </w:r>
            <w:r>
              <w:rPr>
                <w:rFonts w:hint="eastAsia"/>
                <w:color w:val="auto"/>
                <w:highlight w:val="none"/>
              </w:rPr>
              <w:t>排气筒</w:t>
            </w:r>
          </w:p>
        </w:tc>
        <w:tc>
          <w:tcPr>
            <w:tcW w:w="245" w:type="pct"/>
            <w:tcBorders>
              <w:tl2br w:val="nil"/>
              <w:tr2bl w:val="nil"/>
            </w:tcBorders>
            <w:vAlign w:val="center"/>
          </w:tcPr>
          <w:p w14:paraId="2044027B">
            <w:pPr>
              <w:pStyle w:val="17"/>
              <w:bidi w:val="0"/>
              <w:rPr>
                <w:rFonts w:hint="default"/>
                <w:color w:val="auto"/>
                <w:highlight w:val="none"/>
                <w:lang w:val="en-US" w:eastAsia="zh-CN"/>
              </w:rPr>
            </w:pPr>
            <w:r>
              <w:rPr>
                <w:rFonts w:hint="eastAsia"/>
                <w:color w:val="auto"/>
                <w:highlight w:val="none"/>
                <w:lang w:val="en-US" w:eastAsia="zh-CN"/>
              </w:rPr>
              <w:t>2483</w:t>
            </w:r>
          </w:p>
        </w:tc>
        <w:tc>
          <w:tcPr>
            <w:tcW w:w="319" w:type="pct"/>
            <w:tcBorders>
              <w:tl2br w:val="nil"/>
              <w:tr2bl w:val="nil"/>
            </w:tcBorders>
            <w:vAlign w:val="center"/>
          </w:tcPr>
          <w:p w14:paraId="6F5DDB79">
            <w:pPr>
              <w:pStyle w:val="17"/>
              <w:bidi w:val="0"/>
              <w:rPr>
                <w:rFonts w:hint="default"/>
                <w:color w:val="auto"/>
                <w:highlight w:val="none"/>
                <w:lang w:val="en-US" w:eastAsia="zh-CN"/>
              </w:rPr>
            </w:pPr>
            <w:r>
              <w:rPr>
                <w:rFonts w:hint="eastAsia"/>
                <w:color w:val="auto"/>
                <w:highlight w:val="none"/>
                <w:lang w:val="en-US" w:eastAsia="zh-CN"/>
              </w:rPr>
              <w:t>-1203</w:t>
            </w:r>
          </w:p>
        </w:tc>
        <w:tc>
          <w:tcPr>
            <w:tcW w:w="336" w:type="pct"/>
            <w:tcBorders>
              <w:tl2br w:val="nil"/>
              <w:tr2bl w:val="nil"/>
            </w:tcBorders>
            <w:vAlign w:val="center"/>
          </w:tcPr>
          <w:p w14:paraId="594DCB9C">
            <w:pPr>
              <w:pStyle w:val="17"/>
              <w:bidi w:val="0"/>
              <w:rPr>
                <w:rFonts w:hint="default"/>
                <w:color w:val="auto"/>
                <w:highlight w:val="none"/>
                <w:lang w:val="en-US" w:eastAsia="zh-CN"/>
              </w:rPr>
            </w:pPr>
            <w:r>
              <w:rPr>
                <w:rFonts w:hint="eastAsia"/>
                <w:color w:val="auto"/>
                <w:highlight w:val="none"/>
                <w:lang w:val="en-US" w:eastAsia="zh-CN"/>
              </w:rPr>
              <w:t>3008</w:t>
            </w:r>
          </w:p>
        </w:tc>
        <w:tc>
          <w:tcPr>
            <w:tcW w:w="235" w:type="pct"/>
            <w:tcBorders>
              <w:tl2br w:val="nil"/>
              <w:tr2bl w:val="nil"/>
            </w:tcBorders>
            <w:vAlign w:val="center"/>
          </w:tcPr>
          <w:p w14:paraId="0B41F27E">
            <w:pPr>
              <w:pStyle w:val="17"/>
              <w:bidi w:val="0"/>
              <w:rPr>
                <w:rFonts w:hint="default"/>
                <w:color w:val="auto"/>
                <w:highlight w:val="none"/>
                <w:lang w:val="en-US"/>
              </w:rPr>
            </w:pPr>
            <w:r>
              <w:rPr>
                <w:rFonts w:hint="eastAsia"/>
                <w:color w:val="auto"/>
                <w:highlight w:val="none"/>
                <w:lang w:val="en-US" w:eastAsia="zh-CN"/>
              </w:rPr>
              <w:t>1</w:t>
            </w:r>
            <w:r>
              <w:rPr>
                <w:rFonts w:hint="eastAsia"/>
                <w:color w:val="auto"/>
                <w:highlight w:val="none"/>
              </w:rPr>
              <w:t>5</w:t>
            </w:r>
          </w:p>
        </w:tc>
        <w:tc>
          <w:tcPr>
            <w:tcW w:w="415" w:type="pct"/>
            <w:tcBorders>
              <w:tl2br w:val="nil"/>
              <w:tr2bl w:val="nil"/>
            </w:tcBorders>
            <w:vAlign w:val="center"/>
          </w:tcPr>
          <w:p w14:paraId="3400ABBB">
            <w:pPr>
              <w:pStyle w:val="17"/>
              <w:bidi w:val="0"/>
              <w:rPr>
                <w:rFonts w:hint="default"/>
                <w:color w:val="auto"/>
                <w:highlight w:val="none"/>
                <w:lang w:val="en-US"/>
              </w:rPr>
            </w:pPr>
            <w:r>
              <w:rPr>
                <w:rFonts w:hint="eastAsia"/>
                <w:color w:val="auto"/>
                <w:highlight w:val="none"/>
                <w:lang w:val="en-US" w:eastAsia="zh-CN"/>
              </w:rPr>
              <w:t>0.3</w:t>
            </w:r>
          </w:p>
        </w:tc>
        <w:tc>
          <w:tcPr>
            <w:tcW w:w="496" w:type="pct"/>
            <w:tcBorders>
              <w:tl2br w:val="nil"/>
              <w:tr2bl w:val="nil"/>
            </w:tcBorders>
            <w:vAlign w:val="center"/>
          </w:tcPr>
          <w:p w14:paraId="14476E0A">
            <w:pPr>
              <w:pStyle w:val="17"/>
              <w:bidi w:val="0"/>
              <w:rPr>
                <w:rFonts w:hint="default"/>
                <w:color w:val="auto"/>
                <w:highlight w:val="none"/>
                <w:lang w:val="en-US" w:eastAsia="zh-CN"/>
              </w:rPr>
            </w:pPr>
            <w:r>
              <w:rPr>
                <w:rFonts w:hint="eastAsia"/>
                <w:color w:val="auto"/>
                <w:highlight w:val="none"/>
                <w:lang w:val="en-US" w:eastAsia="zh-CN"/>
              </w:rPr>
              <w:t>1000</w:t>
            </w:r>
          </w:p>
        </w:tc>
        <w:tc>
          <w:tcPr>
            <w:tcW w:w="356" w:type="pct"/>
            <w:tcBorders>
              <w:tl2br w:val="nil"/>
              <w:tr2bl w:val="nil"/>
            </w:tcBorders>
            <w:vAlign w:val="center"/>
          </w:tcPr>
          <w:p w14:paraId="18585839">
            <w:pPr>
              <w:pStyle w:val="17"/>
              <w:bidi w:val="0"/>
              <w:rPr>
                <w:rFonts w:hint="default"/>
                <w:color w:val="auto"/>
                <w:highlight w:val="none"/>
                <w:lang w:val="en-US" w:eastAsia="zh-CN"/>
              </w:rPr>
            </w:pPr>
            <w:r>
              <w:rPr>
                <w:rFonts w:hint="eastAsia"/>
                <w:color w:val="auto"/>
                <w:highlight w:val="none"/>
                <w:lang w:val="en-US" w:eastAsia="zh-CN"/>
              </w:rPr>
              <w:t>20</w:t>
            </w:r>
          </w:p>
        </w:tc>
        <w:tc>
          <w:tcPr>
            <w:tcW w:w="268" w:type="pct"/>
            <w:tcBorders>
              <w:tl2br w:val="nil"/>
              <w:tr2bl w:val="nil"/>
            </w:tcBorders>
            <w:vAlign w:val="center"/>
          </w:tcPr>
          <w:p w14:paraId="7792D3E9">
            <w:pPr>
              <w:pStyle w:val="17"/>
              <w:bidi w:val="0"/>
              <w:rPr>
                <w:rFonts w:hint="eastAsia"/>
                <w:color w:val="auto"/>
                <w:highlight w:val="none"/>
              </w:rPr>
            </w:pPr>
            <w:r>
              <w:rPr>
                <w:rFonts w:hint="eastAsia"/>
                <w:color w:val="auto"/>
                <w:highlight w:val="none"/>
                <w:lang w:val="en-US" w:eastAsia="zh-CN"/>
              </w:rPr>
              <w:t>7200</w:t>
            </w:r>
          </w:p>
        </w:tc>
        <w:tc>
          <w:tcPr>
            <w:tcW w:w="337" w:type="pct"/>
            <w:gridSpan w:val="2"/>
            <w:tcBorders>
              <w:tl2br w:val="nil"/>
              <w:tr2bl w:val="nil"/>
            </w:tcBorders>
            <w:vAlign w:val="center"/>
          </w:tcPr>
          <w:p w14:paraId="0F2D8195">
            <w:pPr>
              <w:pStyle w:val="17"/>
              <w:bidi w:val="0"/>
              <w:rPr>
                <w:color w:val="auto"/>
                <w:highlight w:val="none"/>
              </w:rPr>
            </w:pPr>
            <w:r>
              <w:rPr>
                <w:color w:val="auto"/>
                <w:highlight w:val="none"/>
              </w:rPr>
              <w:t>正常</w:t>
            </w:r>
          </w:p>
        </w:tc>
        <w:tc>
          <w:tcPr>
            <w:tcW w:w="413" w:type="pct"/>
            <w:gridSpan w:val="2"/>
            <w:tcBorders>
              <w:tl2br w:val="nil"/>
              <w:tr2bl w:val="nil"/>
            </w:tcBorders>
            <w:vAlign w:val="center"/>
          </w:tcPr>
          <w:p w14:paraId="0CB44285">
            <w:pPr>
              <w:pStyle w:val="17"/>
              <w:bidi w:val="0"/>
              <w:rPr>
                <w:rFonts w:hint="default"/>
                <w:color w:val="auto"/>
                <w:highlight w:val="none"/>
                <w:lang w:val="en-US" w:eastAsia="zh-CN"/>
              </w:rPr>
            </w:pPr>
            <w:r>
              <w:rPr>
                <w:rFonts w:hint="eastAsia"/>
                <w:color w:val="auto"/>
                <w:highlight w:val="none"/>
                <w:lang w:val="en-US" w:eastAsia="zh-CN"/>
              </w:rPr>
              <w:t>/</w:t>
            </w:r>
          </w:p>
        </w:tc>
        <w:tc>
          <w:tcPr>
            <w:tcW w:w="548" w:type="pct"/>
            <w:tcBorders>
              <w:tl2br w:val="nil"/>
              <w:tr2bl w:val="nil"/>
            </w:tcBorders>
            <w:vAlign w:val="center"/>
          </w:tcPr>
          <w:p w14:paraId="567A83E5">
            <w:pPr>
              <w:pStyle w:val="17"/>
              <w:bidi w:val="0"/>
              <w:rPr>
                <w:rFonts w:hint="default"/>
                <w:color w:val="auto"/>
                <w:highlight w:val="none"/>
                <w:lang w:val="en-US" w:eastAsia="zh-CN"/>
              </w:rPr>
            </w:pPr>
            <w:r>
              <w:rPr>
                <w:rFonts w:hint="eastAsia"/>
                <w:color w:val="auto"/>
                <w:highlight w:val="none"/>
                <w:lang w:val="en-US" w:eastAsia="zh-CN"/>
              </w:rPr>
              <w:t>/</w:t>
            </w:r>
          </w:p>
        </w:tc>
        <w:tc>
          <w:tcPr>
            <w:tcW w:w="439" w:type="pct"/>
            <w:tcBorders>
              <w:tl2br w:val="nil"/>
              <w:tr2bl w:val="nil"/>
            </w:tcBorders>
            <w:vAlign w:val="center"/>
          </w:tcPr>
          <w:p w14:paraId="1699FC71">
            <w:pPr>
              <w:pStyle w:val="17"/>
              <w:bidi w:val="0"/>
              <w:rPr>
                <w:rFonts w:hint="default"/>
                <w:color w:val="auto"/>
                <w:highlight w:val="none"/>
                <w:lang w:val="en-US" w:eastAsia="zh-CN"/>
              </w:rPr>
            </w:pPr>
            <w:r>
              <w:rPr>
                <w:rFonts w:hint="eastAsia"/>
                <w:color w:val="auto"/>
                <w:highlight w:val="none"/>
                <w:lang w:val="en-US" w:eastAsia="zh-CN"/>
              </w:rPr>
              <w:t>0.0178</w:t>
            </w:r>
          </w:p>
        </w:tc>
      </w:tr>
      <w:tr w14:paraId="3173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60" w:type="pct"/>
            <w:gridSpan w:val="15"/>
            <w:tcBorders>
              <w:tl2br w:val="nil"/>
              <w:tr2bl w:val="nil"/>
            </w:tcBorders>
            <w:vAlign w:val="center"/>
          </w:tcPr>
          <w:p w14:paraId="0DC2AD18">
            <w:pPr>
              <w:pStyle w:val="17"/>
              <w:bidi w:val="0"/>
              <w:rPr>
                <w:color w:val="auto"/>
                <w:highlight w:val="none"/>
              </w:rPr>
            </w:pPr>
            <w:r>
              <w:rPr>
                <w:color w:val="auto"/>
                <w:highlight w:val="none"/>
              </w:rPr>
              <w:t>面源</w:t>
            </w:r>
          </w:p>
        </w:tc>
        <w:tc>
          <w:tcPr>
            <w:tcW w:w="439" w:type="pct"/>
            <w:tcBorders>
              <w:tl2br w:val="nil"/>
              <w:tr2bl w:val="nil"/>
            </w:tcBorders>
            <w:vAlign w:val="center"/>
          </w:tcPr>
          <w:p w14:paraId="23624C6B">
            <w:pPr>
              <w:pStyle w:val="17"/>
              <w:bidi w:val="0"/>
              <w:rPr>
                <w:color w:val="auto"/>
                <w:highlight w:val="none"/>
              </w:rPr>
            </w:pPr>
          </w:p>
        </w:tc>
      </w:tr>
      <w:tr w14:paraId="4674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0" w:type="pct"/>
            <w:vMerge w:val="restart"/>
            <w:tcBorders>
              <w:tl2br w:val="nil"/>
              <w:tr2bl w:val="nil"/>
            </w:tcBorders>
            <w:vAlign w:val="center"/>
          </w:tcPr>
          <w:p w14:paraId="145F3E8E">
            <w:pPr>
              <w:pStyle w:val="17"/>
              <w:bidi w:val="0"/>
              <w:rPr>
                <w:b/>
                <w:bCs/>
                <w:color w:val="auto"/>
                <w:highlight w:val="none"/>
              </w:rPr>
            </w:pPr>
            <w:r>
              <w:rPr>
                <w:b/>
                <w:bCs/>
                <w:color w:val="auto"/>
                <w:highlight w:val="none"/>
              </w:rPr>
              <w:t>编号</w:t>
            </w:r>
          </w:p>
        </w:tc>
        <w:tc>
          <w:tcPr>
            <w:tcW w:w="378" w:type="pct"/>
            <w:vMerge w:val="restart"/>
            <w:tcBorders>
              <w:tl2br w:val="nil"/>
              <w:tr2bl w:val="nil"/>
            </w:tcBorders>
            <w:vAlign w:val="center"/>
          </w:tcPr>
          <w:p w14:paraId="750193D0">
            <w:pPr>
              <w:pStyle w:val="17"/>
              <w:bidi w:val="0"/>
              <w:rPr>
                <w:b/>
                <w:bCs/>
                <w:color w:val="auto"/>
                <w:highlight w:val="none"/>
              </w:rPr>
            </w:pPr>
            <w:r>
              <w:rPr>
                <w:b/>
                <w:bCs/>
                <w:color w:val="auto"/>
                <w:highlight w:val="none"/>
              </w:rPr>
              <w:t>名称</w:t>
            </w:r>
          </w:p>
        </w:tc>
        <w:tc>
          <w:tcPr>
            <w:tcW w:w="564" w:type="pct"/>
            <w:gridSpan w:val="2"/>
            <w:tcBorders>
              <w:tl2br w:val="nil"/>
              <w:tr2bl w:val="nil"/>
            </w:tcBorders>
            <w:vAlign w:val="center"/>
          </w:tcPr>
          <w:p w14:paraId="51164135">
            <w:pPr>
              <w:pStyle w:val="17"/>
              <w:bidi w:val="0"/>
              <w:rPr>
                <w:b/>
                <w:bCs/>
                <w:color w:val="auto"/>
                <w:highlight w:val="none"/>
              </w:rPr>
            </w:pPr>
            <w:r>
              <w:rPr>
                <w:b/>
                <w:bCs/>
                <w:color w:val="auto"/>
                <w:highlight w:val="none"/>
              </w:rPr>
              <w:t>中心坐标</w:t>
            </w:r>
          </w:p>
        </w:tc>
        <w:tc>
          <w:tcPr>
            <w:tcW w:w="336" w:type="pct"/>
            <w:vMerge w:val="restart"/>
            <w:tcBorders>
              <w:tl2br w:val="nil"/>
              <w:tr2bl w:val="nil"/>
            </w:tcBorders>
            <w:vAlign w:val="center"/>
          </w:tcPr>
          <w:p w14:paraId="6F40CF5A">
            <w:pPr>
              <w:pStyle w:val="17"/>
              <w:bidi w:val="0"/>
              <w:rPr>
                <w:b/>
                <w:bCs/>
                <w:color w:val="auto"/>
                <w:highlight w:val="none"/>
                <w:lang w:val="zh-CN"/>
              </w:rPr>
            </w:pPr>
            <w:r>
              <w:rPr>
                <w:b/>
                <w:bCs/>
                <w:color w:val="auto"/>
                <w:highlight w:val="none"/>
              </w:rPr>
              <w:t>面源</w:t>
            </w:r>
            <w:r>
              <w:rPr>
                <w:rFonts w:hint="eastAsia"/>
                <w:b/>
                <w:bCs/>
                <w:color w:val="auto"/>
                <w:highlight w:val="none"/>
                <w:lang w:eastAsia="zh-CN"/>
              </w:rPr>
              <w:t>海拔</w:t>
            </w:r>
            <w:r>
              <w:rPr>
                <w:b/>
                <w:bCs/>
                <w:color w:val="auto"/>
                <w:highlight w:val="none"/>
              </w:rPr>
              <w:t>/m</w:t>
            </w:r>
          </w:p>
        </w:tc>
        <w:tc>
          <w:tcPr>
            <w:tcW w:w="235" w:type="pct"/>
            <w:vMerge w:val="restart"/>
            <w:tcBorders>
              <w:tl2br w:val="nil"/>
              <w:tr2bl w:val="nil"/>
            </w:tcBorders>
            <w:vAlign w:val="center"/>
          </w:tcPr>
          <w:p w14:paraId="0A75180A">
            <w:pPr>
              <w:pStyle w:val="17"/>
              <w:bidi w:val="0"/>
              <w:rPr>
                <w:b/>
                <w:bCs/>
                <w:color w:val="auto"/>
                <w:highlight w:val="none"/>
              </w:rPr>
            </w:pPr>
            <w:r>
              <w:rPr>
                <w:b/>
                <w:bCs/>
                <w:color w:val="auto"/>
                <w:highlight w:val="none"/>
              </w:rPr>
              <w:t>面源长度/m</w:t>
            </w:r>
          </w:p>
        </w:tc>
        <w:tc>
          <w:tcPr>
            <w:tcW w:w="415" w:type="pct"/>
            <w:vMerge w:val="restart"/>
            <w:tcBorders>
              <w:tl2br w:val="nil"/>
              <w:tr2bl w:val="nil"/>
            </w:tcBorders>
            <w:vAlign w:val="center"/>
          </w:tcPr>
          <w:p w14:paraId="02D23CF9">
            <w:pPr>
              <w:pStyle w:val="17"/>
              <w:bidi w:val="0"/>
              <w:rPr>
                <w:b/>
                <w:bCs/>
                <w:color w:val="auto"/>
                <w:highlight w:val="none"/>
              </w:rPr>
            </w:pPr>
            <w:r>
              <w:rPr>
                <w:b/>
                <w:bCs/>
                <w:color w:val="auto"/>
                <w:highlight w:val="none"/>
              </w:rPr>
              <w:t>面源宽度/m</w:t>
            </w:r>
          </w:p>
        </w:tc>
        <w:tc>
          <w:tcPr>
            <w:tcW w:w="496" w:type="pct"/>
            <w:vMerge w:val="restart"/>
            <w:tcBorders>
              <w:tl2br w:val="nil"/>
              <w:tr2bl w:val="nil"/>
            </w:tcBorders>
            <w:vAlign w:val="center"/>
          </w:tcPr>
          <w:p w14:paraId="6EF31268">
            <w:pPr>
              <w:pStyle w:val="17"/>
              <w:bidi w:val="0"/>
              <w:rPr>
                <w:b/>
                <w:bCs/>
                <w:color w:val="auto"/>
                <w:highlight w:val="none"/>
              </w:rPr>
            </w:pPr>
            <w:r>
              <w:rPr>
                <w:b/>
                <w:bCs/>
                <w:color w:val="auto"/>
                <w:highlight w:val="none"/>
              </w:rPr>
              <w:t>与正北向夹角/°</w:t>
            </w:r>
          </w:p>
        </w:tc>
        <w:tc>
          <w:tcPr>
            <w:tcW w:w="356" w:type="pct"/>
            <w:vMerge w:val="restart"/>
            <w:tcBorders>
              <w:tl2br w:val="nil"/>
              <w:tr2bl w:val="nil"/>
            </w:tcBorders>
            <w:vAlign w:val="center"/>
          </w:tcPr>
          <w:p w14:paraId="0FDBD157">
            <w:pPr>
              <w:pStyle w:val="17"/>
              <w:bidi w:val="0"/>
              <w:rPr>
                <w:b/>
                <w:bCs/>
                <w:color w:val="auto"/>
                <w:highlight w:val="none"/>
              </w:rPr>
            </w:pPr>
            <w:r>
              <w:rPr>
                <w:b/>
                <w:bCs/>
                <w:color w:val="auto"/>
                <w:highlight w:val="none"/>
              </w:rPr>
              <w:t>面源有效排放高度/m</w:t>
            </w:r>
          </w:p>
        </w:tc>
        <w:tc>
          <w:tcPr>
            <w:tcW w:w="364" w:type="pct"/>
            <w:gridSpan w:val="2"/>
            <w:vMerge w:val="restart"/>
            <w:tcBorders>
              <w:tl2br w:val="nil"/>
              <w:tr2bl w:val="nil"/>
            </w:tcBorders>
            <w:vAlign w:val="center"/>
          </w:tcPr>
          <w:p w14:paraId="458A5617">
            <w:pPr>
              <w:pStyle w:val="17"/>
              <w:bidi w:val="0"/>
              <w:rPr>
                <w:b/>
                <w:bCs/>
                <w:color w:val="auto"/>
                <w:highlight w:val="none"/>
                <w:lang w:val="zh-CN"/>
              </w:rPr>
            </w:pPr>
            <w:r>
              <w:rPr>
                <w:b/>
                <w:bCs/>
                <w:color w:val="auto"/>
                <w:highlight w:val="none"/>
              </w:rPr>
              <w:t>年排放小时数/h</w:t>
            </w:r>
          </w:p>
        </w:tc>
        <w:tc>
          <w:tcPr>
            <w:tcW w:w="544" w:type="pct"/>
            <w:gridSpan w:val="2"/>
            <w:vMerge w:val="restart"/>
            <w:tcBorders>
              <w:tl2br w:val="nil"/>
              <w:tr2bl w:val="nil"/>
            </w:tcBorders>
            <w:vAlign w:val="center"/>
          </w:tcPr>
          <w:p w14:paraId="4C47A1A3">
            <w:pPr>
              <w:pStyle w:val="17"/>
              <w:bidi w:val="0"/>
              <w:rPr>
                <w:b/>
                <w:bCs/>
                <w:color w:val="auto"/>
                <w:highlight w:val="none"/>
                <w:lang w:val="zh-CN"/>
              </w:rPr>
            </w:pPr>
            <w:r>
              <w:rPr>
                <w:b/>
                <w:bCs/>
                <w:color w:val="auto"/>
                <w:highlight w:val="none"/>
              </w:rPr>
              <w:t>排放工况</w:t>
            </w:r>
          </w:p>
        </w:tc>
        <w:tc>
          <w:tcPr>
            <w:tcW w:w="1098" w:type="pct"/>
            <w:gridSpan w:val="3"/>
            <w:tcBorders>
              <w:tl2br w:val="nil"/>
              <w:tr2bl w:val="nil"/>
            </w:tcBorders>
            <w:vAlign w:val="center"/>
          </w:tcPr>
          <w:p w14:paraId="3CA4A19D">
            <w:pPr>
              <w:pStyle w:val="17"/>
              <w:bidi w:val="0"/>
              <w:rPr>
                <w:b/>
                <w:bCs/>
                <w:color w:val="auto"/>
                <w:highlight w:val="none"/>
              </w:rPr>
            </w:pPr>
            <w:r>
              <w:rPr>
                <w:b/>
                <w:bCs/>
                <w:color w:val="auto"/>
                <w:highlight w:val="none"/>
              </w:rPr>
              <w:t>污染物排放速率/（kg/h）</w:t>
            </w:r>
          </w:p>
        </w:tc>
      </w:tr>
      <w:tr w14:paraId="7E47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0" w:type="pct"/>
            <w:vMerge w:val="continue"/>
            <w:tcBorders>
              <w:tl2br w:val="nil"/>
              <w:tr2bl w:val="nil"/>
            </w:tcBorders>
            <w:vAlign w:val="center"/>
          </w:tcPr>
          <w:p w14:paraId="5177DF27">
            <w:pPr>
              <w:pStyle w:val="17"/>
              <w:bidi w:val="0"/>
              <w:rPr>
                <w:b/>
                <w:bCs/>
                <w:color w:val="auto"/>
                <w:highlight w:val="none"/>
              </w:rPr>
            </w:pPr>
          </w:p>
        </w:tc>
        <w:tc>
          <w:tcPr>
            <w:tcW w:w="378" w:type="pct"/>
            <w:vMerge w:val="continue"/>
            <w:tcBorders>
              <w:tl2br w:val="nil"/>
              <w:tr2bl w:val="nil"/>
            </w:tcBorders>
            <w:vAlign w:val="center"/>
          </w:tcPr>
          <w:p w14:paraId="2F6C0176">
            <w:pPr>
              <w:pStyle w:val="17"/>
              <w:bidi w:val="0"/>
              <w:rPr>
                <w:b/>
                <w:bCs/>
                <w:color w:val="auto"/>
                <w:highlight w:val="none"/>
              </w:rPr>
            </w:pPr>
          </w:p>
        </w:tc>
        <w:tc>
          <w:tcPr>
            <w:tcW w:w="245" w:type="pct"/>
            <w:tcBorders>
              <w:tl2br w:val="nil"/>
              <w:tr2bl w:val="nil"/>
            </w:tcBorders>
            <w:vAlign w:val="center"/>
          </w:tcPr>
          <w:p w14:paraId="7593BB90">
            <w:pPr>
              <w:pStyle w:val="17"/>
              <w:bidi w:val="0"/>
              <w:rPr>
                <w:rFonts w:hint="eastAsia"/>
                <w:b/>
                <w:bCs/>
                <w:color w:val="auto"/>
                <w:highlight w:val="none"/>
                <w:lang w:val="en-US" w:eastAsia="zh-CN"/>
              </w:rPr>
            </w:pPr>
            <w:r>
              <w:rPr>
                <w:rFonts w:hint="eastAsia"/>
                <w:b/>
                <w:bCs/>
                <w:color w:val="auto"/>
                <w:highlight w:val="none"/>
                <w:lang w:val="en-US" w:eastAsia="zh-CN"/>
              </w:rPr>
              <w:t>X</w:t>
            </w:r>
          </w:p>
        </w:tc>
        <w:tc>
          <w:tcPr>
            <w:tcW w:w="319" w:type="pct"/>
            <w:tcBorders>
              <w:tl2br w:val="nil"/>
              <w:tr2bl w:val="nil"/>
            </w:tcBorders>
            <w:vAlign w:val="center"/>
          </w:tcPr>
          <w:p w14:paraId="1407FE23">
            <w:pPr>
              <w:pStyle w:val="17"/>
              <w:bidi w:val="0"/>
              <w:rPr>
                <w:rFonts w:hint="eastAsia"/>
                <w:b/>
                <w:bCs/>
                <w:color w:val="auto"/>
                <w:highlight w:val="none"/>
                <w:lang w:val="en-US" w:eastAsia="zh-CN"/>
              </w:rPr>
            </w:pPr>
            <w:r>
              <w:rPr>
                <w:rFonts w:hint="eastAsia"/>
                <w:b/>
                <w:bCs/>
                <w:color w:val="auto"/>
                <w:highlight w:val="none"/>
                <w:lang w:val="en-US" w:eastAsia="zh-CN"/>
              </w:rPr>
              <w:t>Y</w:t>
            </w:r>
          </w:p>
        </w:tc>
        <w:tc>
          <w:tcPr>
            <w:tcW w:w="336" w:type="pct"/>
            <w:vMerge w:val="continue"/>
            <w:tcBorders>
              <w:tl2br w:val="nil"/>
              <w:tr2bl w:val="nil"/>
            </w:tcBorders>
            <w:vAlign w:val="center"/>
          </w:tcPr>
          <w:p w14:paraId="7B8C572F">
            <w:pPr>
              <w:pStyle w:val="17"/>
              <w:bidi w:val="0"/>
              <w:rPr>
                <w:b/>
                <w:bCs/>
                <w:color w:val="auto"/>
                <w:highlight w:val="none"/>
              </w:rPr>
            </w:pPr>
          </w:p>
        </w:tc>
        <w:tc>
          <w:tcPr>
            <w:tcW w:w="235" w:type="pct"/>
            <w:vMerge w:val="continue"/>
            <w:tcBorders>
              <w:tl2br w:val="nil"/>
              <w:tr2bl w:val="nil"/>
            </w:tcBorders>
            <w:vAlign w:val="center"/>
          </w:tcPr>
          <w:p w14:paraId="49B8A737">
            <w:pPr>
              <w:pStyle w:val="17"/>
              <w:bidi w:val="0"/>
              <w:rPr>
                <w:b/>
                <w:bCs/>
                <w:color w:val="auto"/>
                <w:highlight w:val="none"/>
              </w:rPr>
            </w:pPr>
          </w:p>
        </w:tc>
        <w:tc>
          <w:tcPr>
            <w:tcW w:w="415" w:type="pct"/>
            <w:vMerge w:val="continue"/>
            <w:tcBorders>
              <w:tl2br w:val="nil"/>
              <w:tr2bl w:val="nil"/>
            </w:tcBorders>
            <w:vAlign w:val="center"/>
          </w:tcPr>
          <w:p w14:paraId="599CF623">
            <w:pPr>
              <w:pStyle w:val="17"/>
              <w:bidi w:val="0"/>
              <w:rPr>
                <w:b/>
                <w:bCs/>
                <w:color w:val="auto"/>
                <w:highlight w:val="none"/>
              </w:rPr>
            </w:pPr>
          </w:p>
        </w:tc>
        <w:tc>
          <w:tcPr>
            <w:tcW w:w="496" w:type="pct"/>
            <w:vMerge w:val="continue"/>
            <w:tcBorders>
              <w:tl2br w:val="nil"/>
              <w:tr2bl w:val="nil"/>
            </w:tcBorders>
            <w:vAlign w:val="center"/>
          </w:tcPr>
          <w:p w14:paraId="2A9B335C">
            <w:pPr>
              <w:pStyle w:val="17"/>
              <w:bidi w:val="0"/>
              <w:rPr>
                <w:b/>
                <w:bCs/>
                <w:color w:val="auto"/>
                <w:highlight w:val="none"/>
              </w:rPr>
            </w:pPr>
          </w:p>
        </w:tc>
        <w:tc>
          <w:tcPr>
            <w:tcW w:w="356" w:type="pct"/>
            <w:vMerge w:val="continue"/>
            <w:tcBorders>
              <w:tl2br w:val="nil"/>
              <w:tr2bl w:val="nil"/>
            </w:tcBorders>
            <w:vAlign w:val="center"/>
          </w:tcPr>
          <w:p w14:paraId="25E368BF">
            <w:pPr>
              <w:pStyle w:val="17"/>
              <w:bidi w:val="0"/>
              <w:rPr>
                <w:b/>
                <w:bCs/>
                <w:color w:val="auto"/>
                <w:highlight w:val="none"/>
              </w:rPr>
            </w:pPr>
          </w:p>
        </w:tc>
        <w:tc>
          <w:tcPr>
            <w:tcW w:w="364" w:type="pct"/>
            <w:gridSpan w:val="2"/>
            <w:vMerge w:val="continue"/>
            <w:tcBorders>
              <w:tl2br w:val="nil"/>
              <w:tr2bl w:val="nil"/>
            </w:tcBorders>
            <w:vAlign w:val="center"/>
          </w:tcPr>
          <w:p w14:paraId="43F070ED">
            <w:pPr>
              <w:pStyle w:val="17"/>
              <w:bidi w:val="0"/>
              <w:rPr>
                <w:b/>
                <w:bCs/>
                <w:color w:val="auto"/>
                <w:highlight w:val="none"/>
              </w:rPr>
            </w:pPr>
          </w:p>
        </w:tc>
        <w:tc>
          <w:tcPr>
            <w:tcW w:w="544" w:type="pct"/>
            <w:gridSpan w:val="2"/>
            <w:vMerge w:val="continue"/>
            <w:tcBorders>
              <w:tl2br w:val="nil"/>
              <w:tr2bl w:val="nil"/>
            </w:tcBorders>
            <w:vAlign w:val="center"/>
          </w:tcPr>
          <w:p w14:paraId="6E33ECA1">
            <w:pPr>
              <w:pStyle w:val="17"/>
              <w:bidi w:val="0"/>
              <w:rPr>
                <w:b/>
                <w:bCs/>
                <w:color w:val="auto"/>
                <w:highlight w:val="none"/>
              </w:rPr>
            </w:pPr>
          </w:p>
        </w:tc>
        <w:tc>
          <w:tcPr>
            <w:tcW w:w="1098" w:type="pct"/>
            <w:gridSpan w:val="3"/>
            <w:tcBorders>
              <w:tl2br w:val="nil"/>
              <w:tr2bl w:val="nil"/>
            </w:tcBorders>
            <w:vAlign w:val="center"/>
          </w:tcPr>
          <w:p w14:paraId="1FA19CC3">
            <w:pPr>
              <w:pStyle w:val="17"/>
              <w:bidi w:val="0"/>
              <w:rPr>
                <w:rFonts w:hint="eastAsia"/>
                <w:b/>
                <w:bCs/>
                <w:color w:val="auto"/>
                <w:highlight w:val="none"/>
                <w:lang w:val="en-US" w:eastAsia="zh-CN"/>
              </w:rPr>
            </w:pPr>
            <w:r>
              <w:rPr>
                <w:b/>
                <w:bCs/>
                <w:color w:val="auto"/>
                <w:highlight w:val="none"/>
              </w:rPr>
              <w:t>TSP</w:t>
            </w:r>
          </w:p>
        </w:tc>
      </w:tr>
      <w:tr w14:paraId="7645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10" w:type="pct"/>
            <w:tcBorders>
              <w:tl2br w:val="nil"/>
              <w:tr2bl w:val="nil"/>
            </w:tcBorders>
            <w:vAlign w:val="center"/>
          </w:tcPr>
          <w:p w14:paraId="234B6133">
            <w:pPr>
              <w:pStyle w:val="17"/>
              <w:bidi w:val="0"/>
              <w:rPr>
                <w:rFonts w:hint="eastAsia" w:eastAsia="宋体"/>
                <w:color w:val="auto"/>
                <w:highlight w:val="none"/>
                <w:lang w:eastAsia="zh-CN"/>
              </w:rPr>
            </w:pPr>
            <w:r>
              <w:rPr>
                <w:rFonts w:hint="eastAsia"/>
                <w:color w:val="auto"/>
                <w:highlight w:val="none"/>
                <w:lang w:eastAsia="zh-CN"/>
              </w:rPr>
              <w:t>/</w:t>
            </w:r>
          </w:p>
        </w:tc>
        <w:tc>
          <w:tcPr>
            <w:tcW w:w="378" w:type="pct"/>
            <w:tcBorders>
              <w:tl2br w:val="nil"/>
              <w:tr2bl w:val="nil"/>
            </w:tcBorders>
            <w:vAlign w:val="center"/>
          </w:tcPr>
          <w:p w14:paraId="5F47534C">
            <w:pPr>
              <w:pStyle w:val="17"/>
              <w:bidi w:val="0"/>
              <w:rPr>
                <w:color w:val="auto"/>
                <w:highlight w:val="none"/>
                <w:lang w:val="zh-CN"/>
              </w:rPr>
            </w:pPr>
            <w:r>
              <w:rPr>
                <w:color w:val="auto"/>
                <w:highlight w:val="none"/>
              </w:rPr>
              <w:t>尾矿库</w:t>
            </w:r>
          </w:p>
        </w:tc>
        <w:tc>
          <w:tcPr>
            <w:tcW w:w="245" w:type="pct"/>
            <w:tcBorders>
              <w:tl2br w:val="nil"/>
              <w:tr2bl w:val="nil"/>
            </w:tcBorders>
            <w:vAlign w:val="center"/>
          </w:tcPr>
          <w:p w14:paraId="2CAB96FB">
            <w:pPr>
              <w:pStyle w:val="17"/>
              <w:bidi w:val="0"/>
              <w:rPr>
                <w:rFonts w:hint="default"/>
                <w:color w:val="auto"/>
                <w:highlight w:val="none"/>
                <w:lang w:val="en-US" w:eastAsia="zh-CN"/>
              </w:rPr>
            </w:pPr>
            <w:r>
              <w:rPr>
                <w:rFonts w:hint="eastAsia"/>
                <w:color w:val="auto"/>
                <w:highlight w:val="none"/>
                <w:lang w:val="en-US" w:eastAsia="zh-CN"/>
              </w:rPr>
              <w:t>6090</w:t>
            </w:r>
          </w:p>
        </w:tc>
        <w:tc>
          <w:tcPr>
            <w:tcW w:w="319" w:type="pct"/>
            <w:tcBorders>
              <w:tl2br w:val="nil"/>
              <w:tr2bl w:val="nil"/>
            </w:tcBorders>
            <w:vAlign w:val="center"/>
          </w:tcPr>
          <w:p w14:paraId="5C912B66">
            <w:pPr>
              <w:pStyle w:val="17"/>
              <w:bidi w:val="0"/>
              <w:rPr>
                <w:rFonts w:hint="default"/>
                <w:color w:val="auto"/>
                <w:highlight w:val="none"/>
                <w:lang w:val="en-US" w:eastAsia="zh-CN"/>
              </w:rPr>
            </w:pPr>
            <w:r>
              <w:rPr>
                <w:rFonts w:hint="eastAsia"/>
                <w:color w:val="auto"/>
                <w:highlight w:val="none"/>
                <w:lang w:val="en-US" w:eastAsia="zh-CN"/>
              </w:rPr>
              <w:t>-2384</w:t>
            </w:r>
          </w:p>
        </w:tc>
        <w:tc>
          <w:tcPr>
            <w:tcW w:w="336" w:type="pct"/>
            <w:tcBorders>
              <w:tl2br w:val="nil"/>
              <w:tr2bl w:val="nil"/>
            </w:tcBorders>
            <w:vAlign w:val="center"/>
          </w:tcPr>
          <w:p w14:paraId="41E84357">
            <w:pPr>
              <w:pStyle w:val="17"/>
              <w:bidi w:val="0"/>
              <w:rPr>
                <w:rFonts w:hint="default"/>
                <w:color w:val="auto"/>
                <w:highlight w:val="none"/>
                <w:lang w:val="en-US" w:eastAsia="zh-CN"/>
              </w:rPr>
            </w:pPr>
            <w:r>
              <w:rPr>
                <w:rFonts w:hint="eastAsia"/>
                <w:color w:val="auto"/>
                <w:highlight w:val="none"/>
                <w:lang w:val="en-US" w:eastAsia="zh-CN"/>
              </w:rPr>
              <w:t>3105</w:t>
            </w:r>
          </w:p>
        </w:tc>
        <w:tc>
          <w:tcPr>
            <w:tcW w:w="235" w:type="pct"/>
            <w:tcBorders>
              <w:tl2br w:val="nil"/>
              <w:tr2bl w:val="nil"/>
            </w:tcBorders>
            <w:vAlign w:val="center"/>
          </w:tcPr>
          <w:p w14:paraId="5ABBA918">
            <w:pPr>
              <w:pStyle w:val="17"/>
              <w:bidi w:val="0"/>
              <w:rPr>
                <w:rFonts w:hint="default"/>
                <w:color w:val="auto"/>
                <w:highlight w:val="none"/>
                <w:lang w:val="en-US" w:eastAsia="zh-CN"/>
              </w:rPr>
            </w:pPr>
            <w:r>
              <w:rPr>
                <w:rFonts w:hint="eastAsia"/>
                <w:color w:val="auto"/>
                <w:highlight w:val="none"/>
                <w:lang w:val="en-US" w:eastAsia="zh-CN"/>
              </w:rPr>
              <w:t>1330</w:t>
            </w:r>
          </w:p>
        </w:tc>
        <w:tc>
          <w:tcPr>
            <w:tcW w:w="415" w:type="pct"/>
            <w:tcBorders>
              <w:tl2br w:val="nil"/>
              <w:tr2bl w:val="nil"/>
            </w:tcBorders>
            <w:vAlign w:val="center"/>
          </w:tcPr>
          <w:p w14:paraId="03F04271">
            <w:pPr>
              <w:pStyle w:val="17"/>
              <w:bidi w:val="0"/>
              <w:rPr>
                <w:rFonts w:hint="default"/>
                <w:color w:val="auto"/>
                <w:highlight w:val="none"/>
                <w:lang w:val="en-US" w:eastAsia="zh-CN"/>
              </w:rPr>
            </w:pPr>
            <w:r>
              <w:rPr>
                <w:rFonts w:hint="eastAsia"/>
                <w:color w:val="auto"/>
                <w:highlight w:val="none"/>
                <w:lang w:val="en-US" w:eastAsia="zh-CN"/>
              </w:rPr>
              <w:t>900</w:t>
            </w:r>
          </w:p>
        </w:tc>
        <w:tc>
          <w:tcPr>
            <w:tcW w:w="496" w:type="pct"/>
            <w:tcBorders>
              <w:tl2br w:val="nil"/>
              <w:tr2bl w:val="nil"/>
            </w:tcBorders>
            <w:vAlign w:val="center"/>
          </w:tcPr>
          <w:p w14:paraId="7370F7BA">
            <w:pPr>
              <w:pStyle w:val="17"/>
              <w:bidi w:val="0"/>
              <w:rPr>
                <w:rFonts w:hint="default"/>
                <w:color w:val="auto"/>
                <w:highlight w:val="none"/>
                <w:lang w:val="en-US" w:eastAsia="zh-CN"/>
              </w:rPr>
            </w:pPr>
            <w:r>
              <w:rPr>
                <w:rFonts w:hint="eastAsia"/>
                <w:color w:val="auto"/>
                <w:highlight w:val="none"/>
                <w:lang w:val="en-US" w:eastAsia="zh-CN"/>
              </w:rPr>
              <w:t>45</w:t>
            </w:r>
          </w:p>
        </w:tc>
        <w:tc>
          <w:tcPr>
            <w:tcW w:w="356" w:type="pct"/>
            <w:tcBorders>
              <w:tl2br w:val="nil"/>
              <w:tr2bl w:val="nil"/>
            </w:tcBorders>
            <w:vAlign w:val="center"/>
          </w:tcPr>
          <w:p w14:paraId="0A9C675D">
            <w:pPr>
              <w:pStyle w:val="17"/>
              <w:bidi w:val="0"/>
              <w:rPr>
                <w:rFonts w:hint="default"/>
                <w:color w:val="auto"/>
                <w:highlight w:val="none"/>
                <w:lang w:val="en-US" w:eastAsia="zh-CN"/>
              </w:rPr>
            </w:pPr>
            <w:r>
              <w:rPr>
                <w:rFonts w:hint="eastAsia"/>
                <w:color w:val="auto"/>
                <w:highlight w:val="none"/>
                <w:lang w:val="en-US" w:eastAsia="zh-CN"/>
              </w:rPr>
              <w:t>73</w:t>
            </w:r>
          </w:p>
        </w:tc>
        <w:tc>
          <w:tcPr>
            <w:tcW w:w="364" w:type="pct"/>
            <w:gridSpan w:val="2"/>
            <w:tcBorders>
              <w:tl2br w:val="nil"/>
              <w:tr2bl w:val="nil"/>
            </w:tcBorders>
            <w:vAlign w:val="center"/>
          </w:tcPr>
          <w:p w14:paraId="69D5C3B9">
            <w:pPr>
              <w:pStyle w:val="17"/>
              <w:bidi w:val="0"/>
              <w:rPr>
                <w:color w:val="auto"/>
                <w:highlight w:val="none"/>
              </w:rPr>
            </w:pPr>
            <w:r>
              <w:rPr>
                <w:color w:val="auto"/>
                <w:highlight w:val="none"/>
              </w:rPr>
              <w:t>8760</w:t>
            </w:r>
          </w:p>
        </w:tc>
        <w:tc>
          <w:tcPr>
            <w:tcW w:w="544" w:type="pct"/>
            <w:gridSpan w:val="2"/>
            <w:tcBorders>
              <w:tl2br w:val="nil"/>
              <w:tr2bl w:val="nil"/>
            </w:tcBorders>
            <w:vAlign w:val="center"/>
          </w:tcPr>
          <w:p w14:paraId="17D40D0A">
            <w:pPr>
              <w:pStyle w:val="17"/>
              <w:bidi w:val="0"/>
              <w:rPr>
                <w:color w:val="auto"/>
                <w:highlight w:val="none"/>
              </w:rPr>
            </w:pPr>
            <w:r>
              <w:rPr>
                <w:color w:val="auto"/>
                <w:highlight w:val="none"/>
              </w:rPr>
              <w:t>正常</w:t>
            </w:r>
          </w:p>
        </w:tc>
        <w:tc>
          <w:tcPr>
            <w:tcW w:w="1098" w:type="pct"/>
            <w:gridSpan w:val="3"/>
            <w:tcBorders>
              <w:tl2br w:val="nil"/>
              <w:tr2bl w:val="nil"/>
            </w:tcBorders>
            <w:vAlign w:val="center"/>
          </w:tcPr>
          <w:p w14:paraId="1CFAC521">
            <w:pPr>
              <w:pStyle w:val="17"/>
              <w:bidi w:val="0"/>
              <w:rPr>
                <w:rFonts w:hint="default"/>
                <w:color w:val="auto"/>
                <w:highlight w:val="none"/>
                <w:lang w:val="en-US" w:eastAsia="zh-CN"/>
              </w:rPr>
            </w:pPr>
            <w:r>
              <w:rPr>
                <w:rFonts w:hint="eastAsia"/>
                <w:color w:val="auto"/>
                <w:highlight w:val="none"/>
                <w:lang w:val="en-US" w:eastAsia="zh-CN"/>
              </w:rPr>
              <w:t>0.0581</w:t>
            </w:r>
          </w:p>
        </w:tc>
      </w:tr>
      <w:tr w14:paraId="678B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0" w:type="pct"/>
            <w:tcBorders>
              <w:tl2br w:val="nil"/>
              <w:tr2bl w:val="nil"/>
            </w:tcBorders>
            <w:vAlign w:val="center"/>
          </w:tcPr>
          <w:p w14:paraId="3DB119FE">
            <w:pPr>
              <w:pStyle w:val="17"/>
              <w:bidi w:val="0"/>
              <w:rPr>
                <w:rFonts w:hint="default"/>
                <w:color w:val="auto"/>
                <w:highlight w:val="none"/>
                <w:lang w:val="en-US" w:eastAsia="zh-CN"/>
              </w:rPr>
            </w:pPr>
            <w:r>
              <w:rPr>
                <w:rFonts w:hint="eastAsia"/>
                <w:color w:val="auto"/>
                <w:highlight w:val="none"/>
                <w:lang w:val="en-US" w:eastAsia="zh-CN"/>
              </w:rPr>
              <w:t>/</w:t>
            </w:r>
          </w:p>
        </w:tc>
        <w:tc>
          <w:tcPr>
            <w:tcW w:w="378" w:type="pct"/>
            <w:tcBorders>
              <w:tl2br w:val="nil"/>
              <w:tr2bl w:val="nil"/>
            </w:tcBorders>
            <w:vAlign w:val="center"/>
          </w:tcPr>
          <w:p w14:paraId="7B745DB9">
            <w:pPr>
              <w:pStyle w:val="17"/>
              <w:bidi w:val="0"/>
              <w:rPr>
                <w:rFonts w:hint="default"/>
                <w:color w:val="auto"/>
                <w:highlight w:val="none"/>
                <w:lang w:val="en-US" w:eastAsia="zh-CN"/>
              </w:rPr>
            </w:pPr>
            <w:r>
              <w:rPr>
                <w:rFonts w:hint="eastAsia"/>
                <w:color w:val="auto"/>
                <w:highlight w:val="none"/>
                <w:lang w:val="en-US" w:eastAsia="zh-CN"/>
              </w:rPr>
              <w:t>废石堆场</w:t>
            </w:r>
          </w:p>
        </w:tc>
        <w:tc>
          <w:tcPr>
            <w:tcW w:w="245" w:type="pct"/>
            <w:tcBorders>
              <w:tl2br w:val="nil"/>
              <w:tr2bl w:val="nil"/>
            </w:tcBorders>
            <w:vAlign w:val="center"/>
          </w:tcPr>
          <w:p w14:paraId="279BF2BF">
            <w:pPr>
              <w:pStyle w:val="17"/>
              <w:bidi w:val="0"/>
              <w:rPr>
                <w:rFonts w:hint="eastAsia"/>
                <w:color w:val="auto"/>
                <w:highlight w:val="none"/>
                <w:lang w:val="en-US" w:eastAsia="zh-CN"/>
              </w:rPr>
            </w:pPr>
            <w:r>
              <w:rPr>
                <w:rFonts w:hint="eastAsia"/>
                <w:color w:val="auto"/>
                <w:highlight w:val="none"/>
                <w:lang w:val="en-US" w:eastAsia="zh-CN"/>
              </w:rPr>
              <w:t>3405</w:t>
            </w:r>
          </w:p>
        </w:tc>
        <w:tc>
          <w:tcPr>
            <w:tcW w:w="319" w:type="pct"/>
            <w:tcBorders>
              <w:tl2br w:val="nil"/>
              <w:tr2bl w:val="nil"/>
            </w:tcBorders>
            <w:vAlign w:val="center"/>
          </w:tcPr>
          <w:p w14:paraId="3824DAAA">
            <w:pPr>
              <w:pStyle w:val="17"/>
              <w:bidi w:val="0"/>
              <w:rPr>
                <w:rFonts w:hint="eastAsia"/>
                <w:color w:val="auto"/>
                <w:highlight w:val="none"/>
                <w:lang w:val="en-US" w:eastAsia="zh-CN"/>
              </w:rPr>
            </w:pPr>
            <w:r>
              <w:rPr>
                <w:rFonts w:hint="eastAsia"/>
                <w:color w:val="auto"/>
                <w:highlight w:val="none"/>
                <w:lang w:val="en-US" w:eastAsia="zh-CN"/>
              </w:rPr>
              <w:t>-1113</w:t>
            </w:r>
          </w:p>
        </w:tc>
        <w:tc>
          <w:tcPr>
            <w:tcW w:w="336" w:type="pct"/>
            <w:tcBorders>
              <w:tl2br w:val="nil"/>
              <w:tr2bl w:val="nil"/>
            </w:tcBorders>
            <w:vAlign w:val="center"/>
          </w:tcPr>
          <w:p w14:paraId="37F3D939">
            <w:pPr>
              <w:pStyle w:val="17"/>
              <w:bidi w:val="0"/>
              <w:rPr>
                <w:rFonts w:hint="eastAsia"/>
                <w:color w:val="auto"/>
                <w:highlight w:val="none"/>
                <w:lang w:val="en-US" w:eastAsia="zh-CN"/>
              </w:rPr>
            </w:pPr>
            <w:r>
              <w:rPr>
                <w:rFonts w:hint="eastAsia"/>
                <w:color w:val="auto"/>
                <w:highlight w:val="none"/>
                <w:lang w:val="en-US" w:eastAsia="zh-CN"/>
              </w:rPr>
              <w:t>3082</w:t>
            </w:r>
          </w:p>
        </w:tc>
        <w:tc>
          <w:tcPr>
            <w:tcW w:w="235" w:type="pct"/>
            <w:tcBorders>
              <w:tl2br w:val="nil"/>
              <w:tr2bl w:val="nil"/>
            </w:tcBorders>
            <w:vAlign w:val="center"/>
          </w:tcPr>
          <w:p w14:paraId="3C9F09A5">
            <w:pPr>
              <w:pStyle w:val="17"/>
              <w:bidi w:val="0"/>
              <w:rPr>
                <w:rFonts w:hint="default"/>
                <w:color w:val="auto"/>
                <w:highlight w:val="none"/>
                <w:lang w:val="en-US" w:eastAsia="zh-CN"/>
              </w:rPr>
            </w:pPr>
            <w:r>
              <w:rPr>
                <w:rFonts w:hint="eastAsia"/>
                <w:color w:val="auto"/>
                <w:highlight w:val="none"/>
                <w:lang w:val="en-US" w:eastAsia="zh-CN"/>
              </w:rPr>
              <w:t>900</w:t>
            </w:r>
          </w:p>
        </w:tc>
        <w:tc>
          <w:tcPr>
            <w:tcW w:w="415" w:type="pct"/>
            <w:tcBorders>
              <w:tl2br w:val="nil"/>
              <w:tr2bl w:val="nil"/>
            </w:tcBorders>
            <w:vAlign w:val="center"/>
          </w:tcPr>
          <w:p w14:paraId="52CABF66">
            <w:pPr>
              <w:pStyle w:val="17"/>
              <w:bidi w:val="0"/>
              <w:rPr>
                <w:rFonts w:hint="default"/>
                <w:color w:val="auto"/>
                <w:highlight w:val="none"/>
                <w:lang w:val="en-US" w:eastAsia="zh-CN"/>
              </w:rPr>
            </w:pPr>
            <w:r>
              <w:rPr>
                <w:rFonts w:hint="eastAsia"/>
                <w:color w:val="auto"/>
                <w:highlight w:val="none"/>
                <w:lang w:val="en-US" w:eastAsia="zh-CN"/>
              </w:rPr>
              <w:t>300</w:t>
            </w:r>
          </w:p>
        </w:tc>
        <w:tc>
          <w:tcPr>
            <w:tcW w:w="496" w:type="pct"/>
            <w:tcBorders>
              <w:tl2br w:val="nil"/>
              <w:tr2bl w:val="nil"/>
            </w:tcBorders>
            <w:vAlign w:val="center"/>
          </w:tcPr>
          <w:p w14:paraId="64201678">
            <w:pPr>
              <w:pStyle w:val="17"/>
              <w:bidi w:val="0"/>
              <w:rPr>
                <w:rFonts w:hint="default"/>
                <w:color w:val="auto"/>
                <w:highlight w:val="none"/>
                <w:lang w:val="en-US" w:eastAsia="zh-CN"/>
              </w:rPr>
            </w:pPr>
            <w:r>
              <w:rPr>
                <w:rFonts w:hint="eastAsia"/>
                <w:color w:val="auto"/>
                <w:highlight w:val="none"/>
                <w:lang w:val="en-US" w:eastAsia="zh-CN"/>
              </w:rPr>
              <w:t>-30</w:t>
            </w:r>
          </w:p>
        </w:tc>
        <w:tc>
          <w:tcPr>
            <w:tcW w:w="356" w:type="pct"/>
            <w:tcBorders>
              <w:tl2br w:val="nil"/>
              <w:tr2bl w:val="nil"/>
            </w:tcBorders>
            <w:vAlign w:val="center"/>
          </w:tcPr>
          <w:p w14:paraId="2C1D3E81">
            <w:pPr>
              <w:pStyle w:val="17"/>
              <w:bidi w:val="0"/>
              <w:rPr>
                <w:rFonts w:hint="default"/>
                <w:color w:val="auto"/>
                <w:highlight w:val="none"/>
                <w:lang w:val="en-US" w:eastAsia="zh-CN"/>
              </w:rPr>
            </w:pPr>
            <w:r>
              <w:rPr>
                <w:rFonts w:hint="eastAsia"/>
                <w:color w:val="auto"/>
                <w:highlight w:val="none"/>
                <w:lang w:val="en-US" w:eastAsia="zh-CN"/>
              </w:rPr>
              <w:t>86</w:t>
            </w:r>
          </w:p>
        </w:tc>
        <w:tc>
          <w:tcPr>
            <w:tcW w:w="364" w:type="pct"/>
            <w:gridSpan w:val="2"/>
            <w:tcBorders>
              <w:tl2br w:val="nil"/>
              <w:tr2bl w:val="nil"/>
            </w:tcBorders>
            <w:vAlign w:val="center"/>
          </w:tcPr>
          <w:p w14:paraId="0A440324">
            <w:pPr>
              <w:pStyle w:val="17"/>
              <w:bidi w:val="0"/>
              <w:rPr>
                <w:color w:val="auto"/>
                <w:highlight w:val="none"/>
              </w:rPr>
            </w:pPr>
            <w:r>
              <w:rPr>
                <w:color w:val="auto"/>
                <w:highlight w:val="none"/>
              </w:rPr>
              <w:t>8760</w:t>
            </w:r>
          </w:p>
        </w:tc>
        <w:tc>
          <w:tcPr>
            <w:tcW w:w="544" w:type="pct"/>
            <w:gridSpan w:val="2"/>
            <w:tcBorders>
              <w:tl2br w:val="nil"/>
              <w:tr2bl w:val="nil"/>
            </w:tcBorders>
            <w:vAlign w:val="center"/>
          </w:tcPr>
          <w:p w14:paraId="24B1F01B">
            <w:pPr>
              <w:pStyle w:val="17"/>
              <w:bidi w:val="0"/>
              <w:rPr>
                <w:color w:val="auto"/>
                <w:highlight w:val="none"/>
              </w:rPr>
            </w:pPr>
            <w:r>
              <w:rPr>
                <w:color w:val="auto"/>
                <w:highlight w:val="none"/>
              </w:rPr>
              <w:t>正常</w:t>
            </w:r>
          </w:p>
        </w:tc>
        <w:tc>
          <w:tcPr>
            <w:tcW w:w="1098" w:type="pct"/>
            <w:gridSpan w:val="3"/>
            <w:tcBorders>
              <w:tl2br w:val="nil"/>
              <w:tr2bl w:val="nil"/>
            </w:tcBorders>
            <w:vAlign w:val="center"/>
          </w:tcPr>
          <w:p w14:paraId="7E09B6C2">
            <w:pPr>
              <w:pStyle w:val="17"/>
              <w:bidi w:val="0"/>
              <w:rPr>
                <w:rFonts w:hint="default"/>
                <w:color w:val="auto"/>
                <w:highlight w:val="none"/>
                <w:lang w:val="en-US"/>
              </w:rPr>
            </w:pPr>
            <w:r>
              <w:rPr>
                <w:rFonts w:hint="eastAsia"/>
                <w:color w:val="auto"/>
                <w:highlight w:val="none"/>
                <w:lang w:val="en-US" w:eastAsia="zh-CN"/>
              </w:rPr>
              <w:t>1.46</w:t>
            </w:r>
          </w:p>
        </w:tc>
      </w:tr>
    </w:tbl>
    <w:p w14:paraId="27964FF7">
      <w:pPr>
        <w:ind w:firstLine="480"/>
        <w:rPr>
          <w:color w:val="auto"/>
          <w:kern w:val="0"/>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26" w:charSpace="0"/>
        </w:sectPr>
      </w:pPr>
    </w:p>
    <w:p w14:paraId="427AF400">
      <w:pPr>
        <w:spacing w:line="480" w:lineRule="exact"/>
        <w:ind w:firstLine="480"/>
        <w:rPr>
          <w:rFonts w:hint="default"/>
          <w:color w:val="auto"/>
          <w:kern w:val="0"/>
          <w:highlight w:val="none"/>
          <w:lang w:val="en-US" w:eastAsia="zh-CN"/>
        </w:rPr>
      </w:pPr>
      <w:r>
        <w:rPr>
          <w:rFonts w:hint="eastAsia"/>
          <w:color w:val="auto"/>
          <w:kern w:val="0"/>
          <w:highlight w:val="none"/>
          <w:lang w:val="en-US" w:eastAsia="zh-CN"/>
        </w:rPr>
        <w:t>（6）</w:t>
      </w:r>
      <w:r>
        <w:rPr>
          <w:rFonts w:hint="default"/>
          <w:color w:val="auto"/>
          <w:kern w:val="0"/>
          <w:highlight w:val="none"/>
          <w:lang w:val="en-US" w:eastAsia="zh-CN"/>
        </w:rPr>
        <w:t>大气环境影响预测结果</w:t>
      </w:r>
    </w:p>
    <w:p w14:paraId="59AF6D64">
      <w:pPr>
        <w:spacing w:line="480" w:lineRule="exact"/>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bidi="ar"/>
        </w:rPr>
        <w:t>由AERSCREEN估算模式计算所得污染物最大地面浓度占标率及对应距离见表</w:t>
      </w:r>
      <w:r>
        <w:rPr>
          <w:rFonts w:hint="default" w:ascii="Times New Roman" w:hAnsi="Times New Roman" w:eastAsia="宋体" w:cs="Times New Roman"/>
          <w:color w:val="auto"/>
          <w:sz w:val="24"/>
          <w:szCs w:val="24"/>
          <w:highlight w:val="none"/>
          <w:lang w:val="en-US" w:eastAsia="zh-CN" w:bidi="ar"/>
        </w:rPr>
        <w:t>5.2-</w:t>
      </w:r>
      <w:r>
        <w:rPr>
          <w:rFonts w:hint="eastAsia" w:cs="Times New Roman"/>
          <w:color w:val="auto"/>
          <w:sz w:val="24"/>
          <w:szCs w:val="24"/>
          <w:highlight w:val="none"/>
          <w:lang w:val="en-US" w:eastAsia="zh-CN" w:bidi="ar"/>
        </w:rPr>
        <w:t>4</w:t>
      </w:r>
      <w:r>
        <w:rPr>
          <w:rFonts w:hint="default" w:ascii="Times New Roman" w:hAnsi="Times New Roman" w:eastAsia="宋体" w:cs="Times New Roman"/>
          <w:color w:val="auto"/>
          <w:sz w:val="24"/>
          <w:szCs w:val="24"/>
          <w:highlight w:val="none"/>
          <w:lang w:bidi="ar"/>
        </w:rPr>
        <w:t>。</w:t>
      </w:r>
    </w:p>
    <w:p w14:paraId="3CA05652">
      <w:pPr>
        <w:keepNext w:val="0"/>
        <w:keepLines w:val="0"/>
        <w:pageBreakBefore w:val="0"/>
        <w:widowControl w:val="0"/>
        <w:kinsoku/>
        <w:wordWrap/>
        <w:overflowPunct/>
        <w:topLinePunct w:val="0"/>
        <w:autoSpaceDE/>
        <w:autoSpaceDN/>
        <w:bidi w:val="0"/>
        <w:adjustRightInd/>
        <w:snapToGrid/>
        <w:spacing w:before="0" w:after="0" w:line="360" w:lineRule="exact"/>
        <w:ind w:firstLine="0"/>
        <w:jc w:val="center"/>
        <w:textAlignment w:val="auto"/>
        <w:rPr>
          <w:rFonts w:hint="default" w:ascii="Times New Roman" w:hAnsi="Times New Roman" w:eastAsia="宋体" w:cs="Times New Roman"/>
          <w:b/>
          <w:color w:val="auto"/>
          <w:kern w:val="0"/>
          <w:sz w:val="24"/>
          <w:szCs w:val="20"/>
          <w:highlight w:val="none"/>
          <w:lang w:bidi="ar"/>
        </w:rPr>
      </w:pPr>
      <w:r>
        <w:rPr>
          <w:rFonts w:hint="default" w:ascii="Times New Roman" w:hAnsi="Times New Roman" w:eastAsia="宋体" w:cs="Times New Roman"/>
          <w:b/>
          <w:color w:val="auto"/>
          <w:kern w:val="0"/>
          <w:sz w:val="24"/>
          <w:szCs w:val="20"/>
          <w:highlight w:val="none"/>
          <w:lang w:bidi="ar"/>
        </w:rPr>
        <w:t>表</w:t>
      </w:r>
      <w:r>
        <w:rPr>
          <w:rFonts w:hint="default" w:ascii="Times New Roman" w:hAnsi="Times New Roman" w:eastAsia="宋体" w:cs="Times New Roman"/>
          <w:b/>
          <w:color w:val="auto"/>
          <w:kern w:val="0"/>
          <w:sz w:val="24"/>
          <w:szCs w:val="20"/>
          <w:highlight w:val="none"/>
          <w:lang w:val="en-US" w:eastAsia="zh-CN" w:bidi="ar"/>
        </w:rPr>
        <w:t>5.2-</w:t>
      </w:r>
      <w:r>
        <w:rPr>
          <w:rFonts w:hint="eastAsia" w:cs="Times New Roman"/>
          <w:b/>
          <w:color w:val="auto"/>
          <w:kern w:val="0"/>
          <w:sz w:val="24"/>
          <w:szCs w:val="20"/>
          <w:highlight w:val="none"/>
          <w:lang w:val="en-US" w:eastAsia="zh-CN" w:bidi="ar"/>
        </w:rPr>
        <w:t>4</w:t>
      </w:r>
      <w:r>
        <w:rPr>
          <w:rFonts w:hint="default" w:ascii="Times New Roman" w:hAnsi="Times New Roman" w:eastAsia="宋体" w:cs="Times New Roman"/>
          <w:b/>
          <w:color w:val="auto"/>
          <w:kern w:val="0"/>
          <w:sz w:val="24"/>
          <w:szCs w:val="20"/>
          <w:highlight w:val="none"/>
          <w:lang w:bidi="ar"/>
        </w:rPr>
        <w:t xml:space="preserve">    各污染物Pi计算结果</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062"/>
        <w:gridCol w:w="1238"/>
        <w:gridCol w:w="1399"/>
        <w:gridCol w:w="1391"/>
        <w:gridCol w:w="1104"/>
        <w:gridCol w:w="813"/>
      </w:tblGrid>
      <w:tr w14:paraId="0387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86" w:type="pct"/>
            <w:vAlign w:val="center"/>
          </w:tcPr>
          <w:p w14:paraId="63899B1E">
            <w:pPr>
              <w:pStyle w:val="17"/>
              <w:bidi w:val="0"/>
              <w:rPr>
                <w:rFonts w:hint="default"/>
                <w:color w:val="auto"/>
                <w:highlight w:val="none"/>
              </w:rPr>
            </w:pPr>
            <w:r>
              <w:rPr>
                <w:rFonts w:hint="default"/>
                <w:color w:val="auto"/>
                <w:highlight w:val="none"/>
              </w:rPr>
              <w:t>污染源</w:t>
            </w:r>
          </w:p>
        </w:tc>
        <w:tc>
          <w:tcPr>
            <w:tcW w:w="623" w:type="pct"/>
            <w:vAlign w:val="center"/>
          </w:tcPr>
          <w:p w14:paraId="510C2B9B">
            <w:pPr>
              <w:pStyle w:val="17"/>
              <w:bidi w:val="0"/>
              <w:rPr>
                <w:rFonts w:hint="default"/>
                <w:color w:val="auto"/>
                <w:highlight w:val="none"/>
              </w:rPr>
            </w:pPr>
            <w:r>
              <w:rPr>
                <w:rFonts w:hint="default"/>
                <w:color w:val="auto"/>
                <w:highlight w:val="none"/>
              </w:rPr>
              <w:t>污染物</w:t>
            </w:r>
          </w:p>
        </w:tc>
        <w:tc>
          <w:tcPr>
            <w:tcW w:w="726" w:type="pct"/>
            <w:vAlign w:val="center"/>
          </w:tcPr>
          <w:p w14:paraId="0C7AE6B4">
            <w:pPr>
              <w:pStyle w:val="17"/>
              <w:bidi w:val="0"/>
              <w:rPr>
                <w:rFonts w:hint="default"/>
                <w:color w:val="auto"/>
                <w:highlight w:val="none"/>
              </w:rPr>
            </w:pPr>
            <w:r>
              <w:rPr>
                <w:rFonts w:hint="default"/>
                <w:color w:val="auto"/>
                <w:highlight w:val="none"/>
                <w:lang w:val="en-US" w:eastAsia="zh-CN"/>
              </w:rPr>
              <w:t>评价标准（μg/m³）</w:t>
            </w:r>
          </w:p>
        </w:tc>
        <w:tc>
          <w:tcPr>
            <w:tcW w:w="821" w:type="pct"/>
            <w:vAlign w:val="center"/>
          </w:tcPr>
          <w:p w14:paraId="68202454">
            <w:pPr>
              <w:pStyle w:val="17"/>
              <w:bidi w:val="0"/>
              <w:rPr>
                <w:rFonts w:hint="default"/>
                <w:color w:val="auto"/>
                <w:highlight w:val="none"/>
              </w:rPr>
            </w:pPr>
            <w:r>
              <w:rPr>
                <w:rFonts w:hint="default"/>
                <w:color w:val="auto"/>
                <w:highlight w:val="none"/>
              </w:rPr>
              <w:t>最大落地浓度（mg/m</w:t>
            </w:r>
            <w:r>
              <w:rPr>
                <w:rFonts w:hint="default"/>
                <w:color w:val="auto"/>
                <w:highlight w:val="none"/>
                <w:vertAlign w:val="superscript"/>
              </w:rPr>
              <w:t>3</w:t>
            </w:r>
            <w:r>
              <w:rPr>
                <w:rFonts w:hint="default"/>
                <w:color w:val="auto"/>
                <w:highlight w:val="none"/>
              </w:rPr>
              <w:t>）</w:t>
            </w:r>
          </w:p>
        </w:tc>
        <w:tc>
          <w:tcPr>
            <w:tcW w:w="816" w:type="pct"/>
            <w:vAlign w:val="center"/>
          </w:tcPr>
          <w:p w14:paraId="764A154C">
            <w:pPr>
              <w:pStyle w:val="17"/>
              <w:bidi w:val="0"/>
              <w:rPr>
                <w:rFonts w:hint="default"/>
                <w:color w:val="auto"/>
                <w:highlight w:val="none"/>
                <w:lang w:eastAsia="zh-CN"/>
              </w:rPr>
            </w:pPr>
            <w:r>
              <w:rPr>
                <w:rFonts w:hint="default"/>
                <w:color w:val="auto"/>
                <w:highlight w:val="none"/>
                <w:lang w:val="en-US" w:eastAsia="zh-CN"/>
              </w:rPr>
              <w:t>最大浓度落地距离</w:t>
            </w:r>
            <w:r>
              <w:rPr>
                <w:rFonts w:hint="eastAsia"/>
                <w:color w:val="auto"/>
                <w:highlight w:val="none"/>
                <w:lang w:val="en-US" w:eastAsia="zh-CN"/>
              </w:rPr>
              <w:t>（</w:t>
            </w:r>
            <w:r>
              <w:rPr>
                <w:rFonts w:hint="default"/>
                <w:color w:val="auto"/>
                <w:highlight w:val="none"/>
                <w:lang w:val="en-US" w:eastAsia="zh-CN"/>
              </w:rPr>
              <w:t>m</w:t>
            </w:r>
            <w:r>
              <w:rPr>
                <w:rFonts w:hint="eastAsia"/>
                <w:color w:val="auto"/>
                <w:highlight w:val="none"/>
                <w:lang w:val="en-US" w:eastAsia="zh-CN"/>
              </w:rPr>
              <w:t>）</w:t>
            </w:r>
          </w:p>
        </w:tc>
        <w:tc>
          <w:tcPr>
            <w:tcW w:w="648" w:type="pct"/>
            <w:vAlign w:val="center"/>
          </w:tcPr>
          <w:p w14:paraId="72B0D0AB">
            <w:pPr>
              <w:pStyle w:val="17"/>
              <w:bidi w:val="0"/>
              <w:rPr>
                <w:rFonts w:hint="eastAsia"/>
                <w:color w:val="auto"/>
                <w:highlight w:val="none"/>
                <w:lang w:eastAsia="zh-CN"/>
              </w:rPr>
            </w:pPr>
            <w:r>
              <w:rPr>
                <w:rFonts w:hint="default"/>
                <w:color w:val="auto"/>
                <w:highlight w:val="none"/>
              </w:rPr>
              <w:t>占标率</w:t>
            </w:r>
            <w:r>
              <w:rPr>
                <w:rFonts w:hint="eastAsia"/>
                <w:color w:val="auto"/>
                <w:highlight w:val="none"/>
                <w:lang w:eastAsia="zh-CN"/>
              </w:rPr>
              <w:t>（</w:t>
            </w:r>
            <w:r>
              <w:rPr>
                <w:rFonts w:hint="default"/>
                <w:color w:val="auto"/>
                <w:highlight w:val="none"/>
              </w:rPr>
              <w:t>%</w:t>
            </w:r>
            <w:r>
              <w:rPr>
                <w:rFonts w:hint="eastAsia"/>
                <w:color w:val="auto"/>
                <w:highlight w:val="none"/>
                <w:lang w:eastAsia="zh-CN"/>
              </w:rPr>
              <w:t>）</w:t>
            </w:r>
          </w:p>
        </w:tc>
        <w:tc>
          <w:tcPr>
            <w:tcW w:w="477" w:type="pct"/>
            <w:vAlign w:val="center"/>
          </w:tcPr>
          <w:p w14:paraId="1E6C6800">
            <w:pPr>
              <w:pStyle w:val="17"/>
              <w:bidi w:val="0"/>
              <w:rPr>
                <w:rFonts w:hint="default"/>
                <w:color w:val="auto"/>
                <w:highlight w:val="none"/>
                <w:lang w:val="en-US" w:eastAsia="zh-CN"/>
              </w:rPr>
            </w:pPr>
            <w:r>
              <w:rPr>
                <w:rFonts w:hint="default"/>
                <w:color w:val="auto"/>
                <w:highlight w:val="none"/>
                <w:lang w:val="en-US" w:eastAsia="zh-CN"/>
              </w:rPr>
              <w:t>D10%</w:t>
            </w:r>
          </w:p>
          <w:p w14:paraId="05A2146B">
            <w:pPr>
              <w:pStyle w:val="17"/>
              <w:bidi w:val="0"/>
              <w:rPr>
                <w:rFonts w:hint="default"/>
                <w:color w:val="auto"/>
                <w:highlight w:val="none"/>
                <w:lang w:val="en-US" w:eastAsia="zh-CN"/>
              </w:rPr>
            </w:pPr>
            <w:r>
              <w:rPr>
                <w:rFonts w:hint="default"/>
                <w:color w:val="auto"/>
                <w:highlight w:val="none"/>
                <w:lang w:val="en-US" w:eastAsia="zh-CN"/>
              </w:rPr>
              <w:t>（m）</w:t>
            </w:r>
          </w:p>
        </w:tc>
      </w:tr>
      <w:tr w14:paraId="7450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restart"/>
            <w:vAlign w:val="center"/>
          </w:tcPr>
          <w:p w14:paraId="49765EEC">
            <w:pPr>
              <w:pStyle w:val="17"/>
              <w:bidi w:val="0"/>
              <w:rPr>
                <w:rFonts w:hint="default" w:eastAsia="宋体"/>
                <w:color w:val="auto"/>
                <w:highlight w:val="none"/>
                <w:lang w:val="en-US" w:eastAsia="zh-CN"/>
              </w:rPr>
            </w:pPr>
            <w:r>
              <w:rPr>
                <w:rFonts w:hint="default"/>
                <w:color w:val="auto"/>
                <w:highlight w:val="none"/>
                <w:lang w:eastAsia="zh-CN"/>
              </w:rPr>
              <w:t>粗</w:t>
            </w:r>
            <w:r>
              <w:rPr>
                <w:rFonts w:hint="eastAsia"/>
                <w:color w:val="auto"/>
                <w:highlight w:val="none"/>
                <w:lang w:eastAsia="zh-CN"/>
              </w:rPr>
              <w:t>碎</w:t>
            </w:r>
            <w:r>
              <w:rPr>
                <w:rFonts w:hint="eastAsia"/>
                <w:color w:val="auto"/>
                <w:highlight w:val="none"/>
                <w:lang w:val="en-US" w:eastAsia="zh-CN"/>
              </w:rPr>
              <w:t>仓</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DA001）</w:t>
            </w:r>
          </w:p>
        </w:tc>
        <w:tc>
          <w:tcPr>
            <w:tcW w:w="623" w:type="pct"/>
            <w:vAlign w:val="center"/>
          </w:tcPr>
          <w:p w14:paraId="0F05A35F">
            <w:pPr>
              <w:pStyle w:val="17"/>
              <w:bidi w:val="0"/>
              <w:rPr>
                <w:rFonts w:hint="default"/>
                <w:color w:val="auto"/>
                <w:highlight w:val="none"/>
                <w:lang w:val="en-US" w:eastAsia="zh-CN"/>
              </w:rPr>
            </w:pPr>
            <w:r>
              <w:rPr>
                <w:rFonts w:hint="eastAsia"/>
                <w:color w:val="auto"/>
                <w:highlight w:val="none"/>
                <w:lang w:val="en-US" w:eastAsia="zh-CN"/>
              </w:rPr>
              <w:t>PM</w:t>
            </w:r>
            <w:r>
              <w:rPr>
                <w:rFonts w:hint="eastAsia"/>
                <w:color w:val="auto"/>
                <w:highlight w:val="none"/>
                <w:vertAlign w:val="subscript"/>
                <w:lang w:val="en-US" w:eastAsia="zh-CN"/>
              </w:rPr>
              <w:t>10</w:t>
            </w:r>
          </w:p>
        </w:tc>
        <w:tc>
          <w:tcPr>
            <w:tcW w:w="726" w:type="pct"/>
            <w:vAlign w:val="center"/>
          </w:tcPr>
          <w:p w14:paraId="5EA483E6">
            <w:pPr>
              <w:pStyle w:val="17"/>
              <w:bidi w:val="0"/>
              <w:rPr>
                <w:rFonts w:hint="default"/>
                <w:color w:val="auto"/>
                <w:highlight w:val="none"/>
                <w:lang w:val="en-US" w:eastAsia="zh-CN"/>
              </w:rPr>
            </w:pPr>
            <w:r>
              <w:rPr>
                <w:rFonts w:hint="eastAsia"/>
                <w:color w:val="auto"/>
                <w:highlight w:val="none"/>
                <w:lang w:val="en-US" w:eastAsia="zh-CN"/>
              </w:rPr>
              <w:t>360</w:t>
            </w:r>
          </w:p>
        </w:tc>
        <w:tc>
          <w:tcPr>
            <w:tcW w:w="1399" w:type="dxa"/>
            <w:vAlign w:val="center"/>
          </w:tcPr>
          <w:p w14:paraId="7FE6941C">
            <w:pPr>
              <w:pStyle w:val="17"/>
              <w:bidi w:val="0"/>
              <w:rPr>
                <w:rFonts w:hint="default"/>
                <w:color w:val="auto"/>
                <w:highlight w:val="none"/>
                <w:lang w:val="en-US" w:eastAsia="zh-CN"/>
              </w:rPr>
            </w:pPr>
            <w:r>
              <w:rPr>
                <w:rFonts w:hint="eastAsia"/>
                <w:color w:val="auto"/>
                <w:highlight w:val="none"/>
                <w:lang w:val="en-US" w:eastAsia="zh-CN"/>
              </w:rPr>
              <w:t>0.936</w:t>
            </w:r>
          </w:p>
        </w:tc>
        <w:tc>
          <w:tcPr>
            <w:tcW w:w="816" w:type="pct"/>
            <w:vAlign w:val="center"/>
          </w:tcPr>
          <w:p w14:paraId="640B4747">
            <w:pPr>
              <w:pStyle w:val="17"/>
              <w:bidi w:val="0"/>
              <w:rPr>
                <w:rFonts w:hint="default"/>
                <w:color w:val="auto"/>
                <w:highlight w:val="none"/>
                <w:lang w:val="en-US" w:eastAsia="zh-CN"/>
              </w:rPr>
            </w:pPr>
            <w:r>
              <w:rPr>
                <w:rFonts w:hint="eastAsia"/>
                <w:color w:val="auto"/>
                <w:highlight w:val="none"/>
                <w:lang w:val="en-US" w:eastAsia="zh-CN"/>
              </w:rPr>
              <w:t>125</w:t>
            </w:r>
          </w:p>
        </w:tc>
        <w:tc>
          <w:tcPr>
            <w:tcW w:w="648" w:type="pct"/>
            <w:vAlign w:val="center"/>
          </w:tcPr>
          <w:p w14:paraId="20EDE072">
            <w:pPr>
              <w:pStyle w:val="17"/>
              <w:bidi w:val="0"/>
              <w:rPr>
                <w:rFonts w:hint="default"/>
                <w:color w:val="auto"/>
                <w:highlight w:val="none"/>
                <w:lang w:val="en-US" w:eastAsia="zh-CN"/>
              </w:rPr>
            </w:pPr>
            <w:r>
              <w:rPr>
                <w:rFonts w:hint="eastAsia"/>
                <w:color w:val="auto"/>
                <w:highlight w:val="none"/>
                <w:lang w:val="en-US" w:eastAsia="zh-CN"/>
              </w:rPr>
              <w:t>0.26</w:t>
            </w:r>
          </w:p>
        </w:tc>
        <w:tc>
          <w:tcPr>
            <w:tcW w:w="477" w:type="pct"/>
            <w:vAlign w:val="center"/>
          </w:tcPr>
          <w:p w14:paraId="3CEF61F3">
            <w:pPr>
              <w:pStyle w:val="17"/>
              <w:bidi w:val="0"/>
              <w:rPr>
                <w:rFonts w:hint="default"/>
                <w:color w:val="auto"/>
                <w:highlight w:val="none"/>
                <w:lang w:val="en-US" w:eastAsia="zh-CN"/>
              </w:rPr>
            </w:pPr>
            <w:r>
              <w:rPr>
                <w:rFonts w:hint="eastAsia"/>
                <w:color w:val="auto"/>
                <w:highlight w:val="none"/>
                <w:lang w:val="en-US" w:eastAsia="zh-CN"/>
              </w:rPr>
              <w:t>--</w:t>
            </w:r>
          </w:p>
        </w:tc>
      </w:tr>
      <w:tr w14:paraId="19D0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continue"/>
            <w:vAlign w:val="center"/>
          </w:tcPr>
          <w:p w14:paraId="0F67D9F3">
            <w:pPr>
              <w:pStyle w:val="17"/>
              <w:bidi w:val="0"/>
              <w:rPr>
                <w:rFonts w:hint="default"/>
                <w:color w:val="auto"/>
                <w:highlight w:val="none"/>
                <w:lang w:eastAsia="zh-CN"/>
              </w:rPr>
            </w:pPr>
          </w:p>
        </w:tc>
        <w:tc>
          <w:tcPr>
            <w:tcW w:w="623" w:type="pct"/>
            <w:vAlign w:val="center"/>
          </w:tcPr>
          <w:p w14:paraId="0B8C59CD">
            <w:pPr>
              <w:pStyle w:val="17"/>
              <w:bidi w:val="0"/>
              <w:rPr>
                <w:rFonts w:hint="eastAsia"/>
                <w:color w:val="auto"/>
                <w:highlight w:val="none"/>
                <w:lang w:val="en-US" w:eastAsia="zh-CN"/>
              </w:rPr>
            </w:pPr>
            <w:r>
              <w:rPr>
                <w:rFonts w:hint="eastAsia"/>
                <w:color w:val="auto"/>
                <w:highlight w:val="none"/>
                <w:lang w:val="en-US" w:eastAsia="zh-CN"/>
              </w:rPr>
              <w:t>氟化物</w:t>
            </w:r>
          </w:p>
        </w:tc>
        <w:tc>
          <w:tcPr>
            <w:tcW w:w="726" w:type="pct"/>
            <w:vAlign w:val="center"/>
          </w:tcPr>
          <w:p w14:paraId="6E6154BA">
            <w:pPr>
              <w:pStyle w:val="17"/>
              <w:bidi w:val="0"/>
              <w:rPr>
                <w:rFonts w:hint="default"/>
                <w:color w:val="auto"/>
                <w:highlight w:val="none"/>
                <w:lang w:val="en-US" w:eastAsia="zh-CN"/>
              </w:rPr>
            </w:pPr>
            <w:r>
              <w:rPr>
                <w:rFonts w:hint="eastAsia"/>
                <w:color w:val="auto"/>
                <w:highlight w:val="none"/>
                <w:lang w:val="en-US" w:eastAsia="zh-CN"/>
              </w:rPr>
              <w:t>20</w:t>
            </w:r>
          </w:p>
        </w:tc>
        <w:tc>
          <w:tcPr>
            <w:tcW w:w="1399" w:type="dxa"/>
            <w:vAlign w:val="center"/>
          </w:tcPr>
          <w:p w14:paraId="74ADBFD7">
            <w:pPr>
              <w:pStyle w:val="17"/>
              <w:bidi w:val="0"/>
              <w:rPr>
                <w:rFonts w:hint="default"/>
                <w:color w:val="auto"/>
                <w:highlight w:val="none"/>
                <w:lang w:val="en-US" w:eastAsia="zh-CN"/>
              </w:rPr>
            </w:pPr>
            <w:r>
              <w:rPr>
                <w:rFonts w:hint="eastAsia"/>
                <w:color w:val="auto"/>
                <w:highlight w:val="none"/>
                <w:lang w:val="en-US" w:eastAsia="zh-CN"/>
              </w:rPr>
              <w:t>0.152</w:t>
            </w:r>
          </w:p>
        </w:tc>
        <w:tc>
          <w:tcPr>
            <w:tcW w:w="816" w:type="pct"/>
            <w:vAlign w:val="center"/>
          </w:tcPr>
          <w:p w14:paraId="70910F4A">
            <w:pPr>
              <w:pStyle w:val="17"/>
              <w:bidi w:val="0"/>
              <w:rPr>
                <w:rFonts w:hint="default"/>
                <w:color w:val="auto"/>
                <w:highlight w:val="none"/>
                <w:lang w:val="en-US" w:eastAsia="zh-CN"/>
              </w:rPr>
            </w:pPr>
            <w:r>
              <w:rPr>
                <w:rFonts w:hint="eastAsia"/>
                <w:color w:val="auto"/>
                <w:highlight w:val="none"/>
                <w:lang w:val="en-US" w:eastAsia="zh-CN"/>
              </w:rPr>
              <w:t>125</w:t>
            </w:r>
          </w:p>
        </w:tc>
        <w:tc>
          <w:tcPr>
            <w:tcW w:w="648" w:type="pct"/>
            <w:vAlign w:val="center"/>
          </w:tcPr>
          <w:p w14:paraId="48D4841B">
            <w:pPr>
              <w:pStyle w:val="17"/>
              <w:bidi w:val="0"/>
              <w:rPr>
                <w:rFonts w:hint="default"/>
                <w:color w:val="auto"/>
                <w:highlight w:val="none"/>
                <w:lang w:val="en-US" w:eastAsia="zh-CN"/>
              </w:rPr>
            </w:pPr>
            <w:r>
              <w:rPr>
                <w:rFonts w:hint="eastAsia"/>
                <w:color w:val="auto"/>
                <w:highlight w:val="none"/>
                <w:lang w:val="en-US" w:eastAsia="zh-CN"/>
              </w:rPr>
              <w:t>0.76</w:t>
            </w:r>
          </w:p>
        </w:tc>
        <w:tc>
          <w:tcPr>
            <w:tcW w:w="477" w:type="pct"/>
            <w:vAlign w:val="center"/>
          </w:tcPr>
          <w:p w14:paraId="2DADC263">
            <w:pPr>
              <w:pStyle w:val="17"/>
              <w:bidi w:val="0"/>
              <w:rPr>
                <w:rFonts w:hint="eastAsia"/>
                <w:color w:val="auto"/>
                <w:highlight w:val="none"/>
                <w:lang w:val="en-US" w:eastAsia="zh-CN"/>
              </w:rPr>
            </w:pPr>
            <w:r>
              <w:rPr>
                <w:rFonts w:hint="eastAsia"/>
                <w:color w:val="auto"/>
                <w:highlight w:val="none"/>
                <w:lang w:val="en-US" w:eastAsia="zh-CN"/>
              </w:rPr>
              <w:t>--</w:t>
            </w:r>
          </w:p>
        </w:tc>
      </w:tr>
      <w:tr w14:paraId="3EC2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restart"/>
            <w:vAlign w:val="center"/>
          </w:tcPr>
          <w:p w14:paraId="6F069B47">
            <w:pPr>
              <w:pStyle w:val="17"/>
              <w:bidi w:val="0"/>
              <w:rPr>
                <w:rFonts w:hint="default" w:eastAsia="宋体"/>
                <w:color w:val="auto"/>
                <w:highlight w:val="none"/>
                <w:lang w:val="en-US" w:eastAsia="zh-CN"/>
              </w:rPr>
            </w:pPr>
            <w:r>
              <w:rPr>
                <w:rFonts w:hint="eastAsia"/>
                <w:color w:val="auto"/>
                <w:highlight w:val="none"/>
                <w:lang w:val="en-US" w:eastAsia="zh-CN"/>
              </w:rPr>
              <w:t>中细碎厂房</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DA002）</w:t>
            </w:r>
          </w:p>
        </w:tc>
        <w:tc>
          <w:tcPr>
            <w:tcW w:w="623" w:type="pct"/>
            <w:vAlign w:val="center"/>
          </w:tcPr>
          <w:p w14:paraId="2147E1C4">
            <w:pPr>
              <w:pStyle w:val="17"/>
              <w:bidi w:val="0"/>
              <w:rPr>
                <w:rFonts w:hint="default"/>
                <w:color w:val="auto"/>
                <w:highlight w:val="none"/>
                <w:lang w:val="en-US" w:eastAsia="zh-CN"/>
              </w:rPr>
            </w:pPr>
            <w:r>
              <w:rPr>
                <w:rFonts w:hint="eastAsia"/>
                <w:color w:val="auto"/>
                <w:highlight w:val="none"/>
                <w:lang w:val="en-US" w:eastAsia="zh-CN"/>
              </w:rPr>
              <w:t>PM</w:t>
            </w:r>
            <w:r>
              <w:rPr>
                <w:rFonts w:hint="eastAsia"/>
                <w:color w:val="auto"/>
                <w:highlight w:val="none"/>
                <w:vertAlign w:val="subscript"/>
                <w:lang w:val="en-US" w:eastAsia="zh-CN"/>
              </w:rPr>
              <w:t>10</w:t>
            </w:r>
          </w:p>
        </w:tc>
        <w:tc>
          <w:tcPr>
            <w:tcW w:w="726" w:type="pct"/>
            <w:vAlign w:val="center"/>
          </w:tcPr>
          <w:p w14:paraId="2A945B71">
            <w:pPr>
              <w:pStyle w:val="17"/>
              <w:bidi w:val="0"/>
              <w:rPr>
                <w:rFonts w:hint="eastAsia"/>
                <w:color w:val="auto"/>
                <w:highlight w:val="none"/>
                <w:lang w:val="en-US" w:eastAsia="zh-CN"/>
              </w:rPr>
            </w:pPr>
            <w:r>
              <w:rPr>
                <w:rFonts w:hint="eastAsia"/>
                <w:color w:val="auto"/>
                <w:highlight w:val="none"/>
                <w:lang w:val="en-US" w:eastAsia="zh-CN"/>
              </w:rPr>
              <w:t>360</w:t>
            </w:r>
          </w:p>
        </w:tc>
        <w:tc>
          <w:tcPr>
            <w:tcW w:w="1399" w:type="dxa"/>
            <w:vAlign w:val="center"/>
          </w:tcPr>
          <w:p w14:paraId="696D0315">
            <w:pPr>
              <w:pStyle w:val="17"/>
              <w:bidi w:val="0"/>
              <w:rPr>
                <w:rFonts w:hint="default"/>
                <w:color w:val="auto"/>
                <w:highlight w:val="none"/>
                <w:lang w:val="en-US" w:eastAsia="zh-CN"/>
              </w:rPr>
            </w:pPr>
            <w:r>
              <w:rPr>
                <w:rFonts w:hint="eastAsia"/>
                <w:color w:val="auto"/>
                <w:highlight w:val="none"/>
                <w:lang w:val="en-US" w:eastAsia="zh-CN"/>
              </w:rPr>
              <w:t>9.504</w:t>
            </w:r>
          </w:p>
        </w:tc>
        <w:tc>
          <w:tcPr>
            <w:tcW w:w="816" w:type="pct"/>
            <w:vAlign w:val="center"/>
          </w:tcPr>
          <w:p w14:paraId="617648D0">
            <w:pPr>
              <w:pStyle w:val="17"/>
              <w:bidi w:val="0"/>
              <w:rPr>
                <w:rFonts w:hint="default"/>
                <w:color w:val="auto"/>
                <w:highlight w:val="none"/>
                <w:lang w:val="en-US" w:eastAsia="zh-CN"/>
              </w:rPr>
            </w:pPr>
            <w:r>
              <w:rPr>
                <w:rFonts w:hint="eastAsia"/>
                <w:color w:val="auto"/>
                <w:highlight w:val="none"/>
                <w:lang w:val="en-US" w:eastAsia="zh-CN"/>
              </w:rPr>
              <w:t>133</w:t>
            </w:r>
          </w:p>
        </w:tc>
        <w:tc>
          <w:tcPr>
            <w:tcW w:w="648" w:type="pct"/>
            <w:vAlign w:val="center"/>
          </w:tcPr>
          <w:p w14:paraId="27A36123">
            <w:pPr>
              <w:pStyle w:val="17"/>
              <w:bidi w:val="0"/>
              <w:rPr>
                <w:rFonts w:hint="default"/>
                <w:color w:val="auto"/>
                <w:highlight w:val="none"/>
                <w:lang w:val="en-US" w:eastAsia="zh-CN"/>
              </w:rPr>
            </w:pPr>
            <w:r>
              <w:rPr>
                <w:rFonts w:hint="eastAsia"/>
                <w:color w:val="auto"/>
                <w:highlight w:val="none"/>
                <w:lang w:val="en-US" w:eastAsia="zh-CN"/>
              </w:rPr>
              <w:t>2.64</w:t>
            </w:r>
          </w:p>
        </w:tc>
        <w:tc>
          <w:tcPr>
            <w:tcW w:w="477" w:type="pct"/>
            <w:vAlign w:val="center"/>
          </w:tcPr>
          <w:p w14:paraId="5BA12949">
            <w:pPr>
              <w:pStyle w:val="17"/>
              <w:bidi w:val="0"/>
              <w:rPr>
                <w:rFonts w:hint="default"/>
                <w:color w:val="auto"/>
                <w:highlight w:val="none"/>
                <w:lang w:val="en-US" w:eastAsia="zh-CN"/>
              </w:rPr>
            </w:pPr>
            <w:r>
              <w:rPr>
                <w:rFonts w:hint="eastAsia"/>
                <w:color w:val="auto"/>
                <w:highlight w:val="none"/>
                <w:lang w:val="en-US" w:eastAsia="zh-CN"/>
              </w:rPr>
              <w:t>--</w:t>
            </w:r>
          </w:p>
        </w:tc>
      </w:tr>
      <w:tr w14:paraId="3B00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continue"/>
            <w:vAlign w:val="center"/>
          </w:tcPr>
          <w:p w14:paraId="69F19BE7">
            <w:pPr>
              <w:pStyle w:val="17"/>
              <w:bidi w:val="0"/>
              <w:rPr>
                <w:rFonts w:hint="default"/>
                <w:color w:val="auto"/>
                <w:highlight w:val="none"/>
                <w:lang w:eastAsia="zh-CN"/>
              </w:rPr>
            </w:pPr>
          </w:p>
        </w:tc>
        <w:tc>
          <w:tcPr>
            <w:tcW w:w="623" w:type="pct"/>
            <w:vAlign w:val="center"/>
          </w:tcPr>
          <w:p w14:paraId="66B8141C">
            <w:pPr>
              <w:pStyle w:val="17"/>
              <w:bidi w:val="0"/>
              <w:rPr>
                <w:rFonts w:hint="eastAsia"/>
                <w:color w:val="auto"/>
                <w:highlight w:val="none"/>
                <w:lang w:val="en-US" w:eastAsia="zh-CN"/>
              </w:rPr>
            </w:pPr>
            <w:r>
              <w:rPr>
                <w:rFonts w:hint="eastAsia"/>
                <w:color w:val="auto"/>
                <w:highlight w:val="none"/>
                <w:lang w:val="en-US" w:eastAsia="zh-CN"/>
              </w:rPr>
              <w:t>氟化物</w:t>
            </w:r>
          </w:p>
        </w:tc>
        <w:tc>
          <w:tcPr>
            <w:tcW w:w="726" w:type="pct"/>
            <w:vAlign w:val="center"/>
          </w:tcPr>
          <w:p w14:paraId="0A506BDF">
            <w:pPr>
              <w:pStyle w:val="17"/>
              <w:bidi w:val="0"/>
              <w:rPr>
                <w:rFonts w:hint="eastAsia"/>
                <w:color w:val="auto"/>
                <w:highlight w:val="none"/>
                <w:lang w:val="en-US" w:eastAsia="zh-CN"/>
              </w:rPr>
            </w:pPr>
            <w:r>
              <w:rPr>
                <w:rFonts w:hint="eastAsia"/>
                <w:color w:val="auto"/>
                <w:highlight w:val="none"/>
                <w:lang w:val="en-US" w:eastAsia="zh-CN"/>
              </w:rPr>
              <w:t>20</w:t>
            </w:r>
          </w:p>
        </w:tc>
        <w:tc>
          <w:tcPr>
            <w:tcW w:w="1399" w:type="dxa"/>
            <w:vAlign w:val="center"/>
          </w:tcPr>
          <w:p w14:paraId="1A207973">
            <w:pPr>
              <w:pStyle w:val="17"/>
              <w:bidi w:val="0"/>
              <w:rPr>
                <w:rFonts w:hint="default"/>
                <w:color w:val="auto"/>
                <w:highlight w:val="none"/>
                <w:lang w:val="en-US" w:eastAsia="zh-CN"/>
              </w:rPr>
            </w:pPr>
            <w:r>
              <w:rPr>
                <w:rFonts w:hint="eastAsia"/>
                <w:color w:val="auto"/>
                <w:highlight w:val="none"/>
                <w:lang w:val="en-US" w:eastAsia="zh-CN"/>
              </w:rPr>
              <w:t>1.494</w:t>
            </w:r>
          </w:p>
        </w:tc>
        <w:tc>
          <w:tcPr>
            <w:tcW w:w="816" w:type="pct"/>
            <w:vAlign w:val="center"/>
          </w:tcPr>
          <w:p w14:paraId="4C62E2E1">
            <w:pPr>
              <w:pStyle w:val="17"/>
              <w:bidi w:val="0"/>
              <w:rPr>
                <w:rFonts w:hint="default"/>
                <w:color w:val="auto"/>
                <w:highlight w:val="none"/>
                <w:lang w:val="en-US" w:eastAsia="zh-CN"/>
              </w:rPr>
            </w:pPr>
            <w:r>
              <w:rPr>
                <w:rFonts w:hint="eastAsia"/>
                <w:color w:val="auto"/>
                <w:highlight w:val="none"/>
                <w:lang w:val="en-US" w:eastAsia="zh-CN"/>
              </w:rPr>
              <w:t>133</w:t>
            </w:r>
          </w:p>
        </w:tc>
        <w:tc>
          <w:tcPr>
            <w:tcW w:w="648" w:type="pct"/>
            <w:vAlign w:val="center"/>
          </w:tcPr>
          <w:p w14:paraId="60166275">
            <w:pPr>
              <w:pStyle w:val="17"/>
              <w:bidi w:val="0"/>
              <w:rPr>
                <w:rFonts w:hint="default"/>
                <w:color w:val="auto"/>
                <w:highlight w:val="none"/>
                <w:lang w:val="en-US" w:eastAsia="zh-CN"/>
              </w:rPr>
            </w:pPr>
            <w:r>
              <w:rPr>
                <w:rFonts w:hint="eastAsia"/>
                <w:color w:val="auto"/>
                <w:highlight w:val="none"/>
                <w:lang w:val="en-US" w:eastAsia="zh-CN"/>
              </w:rPr>
              <w:t>7.47</w:t>
            </w:r>
          </w:p>
        </w:tc>
        <w:tc>
          <w:tcPr>
            <w:tcW w:w="477" w:type="pct"/>
            <w:vAlign w:val="center"/>
          </w:tcPr>
          <w:p w14:paraId="4FD2DA4A">
            <w:pPr>
              <w:pStyle w:val="17"/>
              <w:bidi w:val="0"/>
              <w:rPr>
                <w:rFonts w:hint="eastAsia"/>
                <w:color w:val="auto"/>
                <w:highlight w:val="none"/>
                <w:lang w:val="en-US" w:eastAsia="zh-CN"/>
              </w:rPr>
            </w:pPr>
            <w:r>
              <w:rPr>
                <w:rFonts w:hint="eastAsia"/>
                <w:color w:val="auto"/>
                <w:highlight w:val="none"/>
                <w:lang w:val="en-US" w:eastAsia="zh-CN"/>
              </w:rPr>
              <w:t>--</w:t>
            </w:r>
          </w:p>
        </w:tc>
      </w:tr>
      <w:tr w14:paraId="3A72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restart"/>
            <w:vAlign w:val="center"/>
          </w:tcPr>
          <w:p w14:paraId="7C61C955">
            <w:pPr>
              <w:pStyle w:val="17"/>
              <w:bidi w:val="0"/>
              <w:rPr>
                <w:rFonts w:hint="default"/>
                <w:color w:val="auto"/>
                <w:highlight w:val="none"/>
                <w:lang w:eastAsia="zh-CN"/>
              </w:rPr>
            </w:pPr>
            <w:r>
              <w:rPr>
                <w:rFonts w:hint="default"/>
                <w:color w:val="auto"/>
                <w:highlight w:val="none"/>
                <w:lang w:eastAsia="zh-CN"/>
              </w:rPr>
              <w:t>筛分</w:t>
            </w:r>
            <w:r>
              <w:rPr>
                <w:rFonts w:hint="eastAsia"/>
                <w:color w:val="auto"/>
                <w:highlight w:val="none"/>
                <w:lang w:eastAsia="zh-CN"/>
              </w:rPr>
              <w:t>车间</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DA003）</w:t>
            </w:r>
          </w:p>
        </w:tc>
        <w:tc>
          <w:tcPr>
            <w:tcW w:w="623" w:type="pct"/>
            <w:vAlign w:val="center"/>
          </w:tcPr>
          <w:p w14:paraId="5DEC09E1">
            <w:pPr>
              <w:pStyle w:val="17"/>
              <w:bidi w:val="0"/>
              <w:rPr>
                <w:rFonts w:hint="eastAsia"/>
                <w:color w:val="auto"/>
                <w:highlight w:val="none"/>
                <w:lang w:val="en-US" w:eastAsia="zh-CN"/>
              </w:rPr>
            </w:pPr>
            <w:r>
              <w:rPr>
                <w:rFonts w:hint="eastAsia"/>
                <w:color w:val="auto"/>
                <w:highlight w:val="none"/>
                <w:lang w:val="en-US" w:eastAsia="zh-CN"/>
              </w:rPr>
              <w:t>PM</w:t>
            </w:r>
            <w:r>
              <w:rPr>
                <w:rFonts w:hint="eastAsia"/>
                <w:color w:val="auto"/>
                <w:highlight w:val="none"/>
                <w:vertAlign w:val="subscript"/>
                <w:lang w:val="en-US" w:eastAsia="zh-CN"/>
              </w:rPr>
              <w:t>10</w:t>
            </w:r>
          </w:p>
        </w:tc>
        <w:tc>
          <w:tcPr>
            <w:tcW w:w="726" w:type="pct"/>
            <w:vAlign w:val="center"/>
          </w:tcPr>
          <w:p w14:paraId="26E989B5">
            <w:pPr>
              <w:pStyle w:val="17"/>
              <w:bidi w:val="0"/>
              <w:rPr>
                <w:rFonts w:hint="eastAsia"/>
                <w:color w:val="auto"/>
                <w:highlight w:val="none"/>
                <w:lang w:val="en-US" w:eastAsia="zh-CN"/>
              </w:rPr>
            </w:pPr>
            <w:r>
              <w:rPr>
                <w:rFonts w:hint="eastAsia"/>
                <w:color w:val="auto"/>
                <w:highlight w:val="none"/>
                <w:lang w:val="en-US" w:eastAsia="zh-CN"/>
              </w:rPr>
              <w:t>360</w:t>
            </w:r>
          </w:p>
        </w:tc>
        <w:tc>
          <w:tcPr>
            <w:tcW w:w="1399" w:type="dxa"/>
            <w:vAlign w:val="center"/>
          </w:tcPr>
          <w:p w14:paraId="6EEF5645">
            <w:pPr>
              <w:pStyle w:val="17"/>
              <w:bidi w:val="0"/>
              <w:rPr>
                <w:rFonts w:hint="default"/>
                <w:color w:val="auto"/>
                <w:highlight w:val="none"/>
                <w:lang w:val="en-US" w:eastAsia="zh-CN"/>
              </w:rPr>
            </w:pPr>
            <w:r>
              <w:rPr>
                <w:rFonts w:hint="eastAsia"/>
                <w:color w:val="auto"/>
                <w:highlight w:val="none"/>
                <w:lang w:val="en-US" w:eastAsia="zh-CN"/>
              </w:rPr>
              <w:t>9.504</w:t>
            </w:r>
          </w:p>
        </w:tc>
        <w:tc>
          <w:tcPr>
            <w:tcW w:w="816" w:type="pct"/>
            <w:vAlign w:val="center"/>
          </w:tcPr>
          <w:p w14:paraId="0B0A5F54">
            <w:pPr>
              <w:pStyle w:val="17"/>
              <w:bidi w:val="0"/>
              <w:rPr>
                <w:rFonts w:hint="default"/>
                <w:color w:val="auto"/>
                <w:highlight w:val="none"/>
                <w:lang w:val="en-US" w:eastAsia="zh-CN"/>
              </w:rPr>
            </w:pPr>
            <w:r>
              <w:rPr>
                <w:rFonts w:hint="eastAsia"/>
                <w:color w:val="auto"/>
                <w:highlight w:val="none"/>
                <w:lang w:val="en-US" w:eastAsia="zh-CN"/>
              </w:rPr>
              <w:t>133</w:t>
            </w:r>
          </w:p>
        </w:tc>
        <w:tc>
          <w:tcPr>
            <w:tcW w:w="648" w:type="pct"/>
            <w:vAlign w:val="center"/>
          </w:tcPr>
          <w:p w14:paraId="0892268B">
            <w:pPr>
              <w:pStyle w:val="17"/>
              <w:bidi w:val="0"/>
              <w:rPr>
                <w:rFonts w:hint="default"/>
                <w:color w:val="auto"/>
                <w:highlight w:val="none"/>
                <w:lang w:val="en-US" w:eastAsia="zh-CN"/>
              </w:rPr>
            </w:pPr>
            <w:r>
              <w:rPr>
                <w:rFonts w:hint="eastAsia"/>
                <w:color w:val="auto"/>
                <w:highlight w:val="none"/>
                <w:lang w:val="en-US" w:eastAsia="zh-CN"/>
              </w:rPr>
              <w:t>2.64</w:t>
            </w:r>
          </w:p>
        </w:tc>
        <w:tc>
          <w:tcPr>
            <w:tcW w:w="477" w:type="pct"/>
            <w:vAlign w:val="center"/>
          </w:tcPr>
          <w:p w14:paraId="66AD7EC5">
            <w:pPr>
              <w:pStyle w:val="17"/>
              <w:bidi w:val="0"/>
              <w:rPr>
                <w:rFonts w:hint="default"/>
                <w:color w:val="auto"/>
                <w:highlight w:val="none"/>
                <w:lang w:val="en-US" w:eastAsia="zh-CN"/>
              </w:rPr>
            </w:pPr>
            <w:r>
              <w:rPr>
                <w:rFonts w:hint="eastAsia"/>
                <w:color w:val="auto"/>
                <w:highlight w:val="none"/>
                <w:lang w:val="en-US" w:eastAsia="zh-CN"/>
              </w:rPr>
              <w:t>--</w:t>
            </w:r>
          </w:p>
        </w:tc>
      </w:tr>
      <w:tr w14:paraId="19DC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continue"/>
            <w:vAlign w:val="center"/>
          </w:tcPr>
          <w:p w14:paraId="7E44104D">
            <w:pPr>
              <w:pStyle w:val="17"/>
              <w:bidi w:val="0"/>
              <w:rPr>
                <w:rFonts w:hint="default"/>
                <w:color w:val="auto"/>
                <w:highlight w:val="none"/>
                <w:lang w:eastAsia="zh-CN"/>
              </w:rPr>
            </w:pPr>
          </w:p>
        </w:tc>
        <w:tc>
          <w:tcPr>
            <w:tcW w:w="623" w:type="pct"/>
            <w:vAlign w:val="center"/>
          </w:tcPr>
          <w:p w14:paraId="447B3128">
            <w:pPr>
              <w:pStyle w:val="17"/>
              <w:bidi w:val="0"/>
              <w:rPr>
                <w:rFonts w:hint="eastAsia"/>
                <w:color w:val="auto"/>
                <w:highlight w:val="none"/>
                <w:lang w:val="en-US" w:eastAsia="zh-CN"/>
              </w:rPr>
            </w:pPr>
            <w:r>
              <w:rPr>
                <w:rFonts w:hint="eastAsia"/>
                <w:color w:val="auto"/>
                <w:highlight w:val="none"/>
                <w:lang w:val="en-US" w:eastAsia="zh-CN"/>
              </w:rPr>
              <w:t>氟化物</w:t>
            </w:r>
          </w:p>
        </w:tc>
        <w:tc>
          <w:tcPr>
            <w:tcW w:w="726" w:type="pct"/>
            <w:vAlign w:val="center"/>
          </w:tcPr>
          <w:p w14:paraId="0A440798">
            <w:pPr>
              <w:pStyle w:val="17"/>
              <w:bidi w:val="0"/>
              <w:rPr>
                <w:rFonts w:hint="eastAsia"/>
                <w:color w:val="auto"/>
                <w:highlight w:val="none"/>
                <w:lang w:val="en-US" w:eastAsia="zh-CN"/>
              </w:rPr>
            </w:pPr>
            <w:r>
              <w:rPr>
                <w:rFonts w:hint="eastAsia"/>
                <w:color w:val="auto"/>
                <w:highlight w:val="none"/>
                <w:lang w:val="en-US" w:eastAsia="zh-CN"/>
              </w:rPr>
              <w:t>20</w:t>
            </w:r>
          </w:p>
        </w:tc>
        <w:tc>
          <w:tcPr>
            <w:tcW w:w="1399" w:type="dxa"/>
            <w:vAlign w:val="center"/>
          </w:tcPr>
          <w:p w14:paraId="40012DD4">
            <w:pPr>
              <w:pStyle w:val="17"/>
              <w:bidi w:val="0"/>
              <w:rPr>
                <w:rFonts w:hint="default"/>
                <w:color w:val="auto"/>
                <w:highlight w:val="none"/>
                <w:lang w:val="en-US" w:eastAsia="zh-CN"/>
              </w:rPr>
            </w:pPr>
            <w:r>
              <w:rPr>
                <w:rFonts w:hint="eastAsia"/>
                <w:color w:val="auto"/>
                <w:highlight w:val="none"/>
                <w:lang w:val="en-US" w:eastAsia="zh-CN"/>
              </w:rPr>
              <w:t>1.494</w:t>
            </w:r>
          </w:p>
        </w:tc>
        <w:tc>
          <w:tcPr>
            <w:tcW w:w="816" w:type="pct"/>
            <w:vAlign w:val="center"/>
          </w:tcPr>
          <w:p w14:paraId="50743024">
            <w:pPr>
              <w:pStyle w:val="17"/>
              <w:bidi w:val="0"/>
              <w:rPr>
                <w:rFonts w:hint="default"/>
                <w:color w:val="auto"/>
                <w:highlight w:val="none"/>
                <w:lang w:val="en-US" w:eastAsia="zh-CN"/>
              </w:rPr>
            </w:pPr>
            <w:r>
              <w:rPr>
                <w:rFonts w:hint="eastAsia"/>
                <w:color w:val="auto"/>
                <w:highlight w:val="none"/>
                <w:lang w:val="en-US" w:eastAsia="zh-CN"/>
              </w:rPr>
              <w:t>133</w:t>
            </w:r>
          </w:p>
        </w:tc>
        <w:tc>
          <w:tcPr>
            <w:tcW w:w="648" w:type="pct"/>
            <w:vAlign w:val="center"/>
          </w:tcPr>
          <w:p w14:paraId="4B33D5E0">
            <w:pPr>
              <w:pStyle w:val="17"/>
              <w:bidi w:val="0"/>
              <w:rPr>
                <w:rFonts w:hint="default"/>
                <w:color w:val="auto"/>
                <w:highlight w:val="none"/>
                <w:lang w:val="en-US" w:eastAsia="zh-CN"/>
              </w:rPr>
            </w:pPr>
            <w:r>
              <w:rPr>
                <w:rFonts w:hint="eastAsia"/>
                <w:color w:val="auto"/>
                <w:highlight w:val="none"/>
                <w:lang w:val="en-US" w:eastAsia="zh-CN"/>
              </w:rPr>
              <w:t>7.47</w:t>
            </w:r>
          </w:p>
        </w:tc>
        <w:tc>
          <w:tcPr>
            <w:tcW w:w="477" w:type="pct"/>
            <w:vAlign w:val="center"/>
          </w:tcPr>
          <w:p w14:paraId="7F3547EC">
            <w:pPr>
              <w:pStyle w:val="17"/>
              <w:bidi w:val="0"/>
              <w:rPr>
                <w:rFonts w:hint="eastAsia"/>
                <w:color w:val="auto"/>
                <w:highlight w:val="none"/>
                <w:lang w:val="en-US" w:eastAsia="zh-CN"/>
              </w:rPr>
            </w:pPr>
            <w:r>
              <w:rPr>
                <w:rFonts w:hint="eastAsia"/>
                <w:color w:val="auto"/>
                <w:highlight w:val="none"/>
                <w:lang w:val="en-US" w:eastAsia="zh-CN"/>
              </w:rPr>
              <w:t>--</w:t>
            </w:r>
          </w:p>
        </w:tc>
      </w:tr>
      <w:tr w14:paraId="6ED4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restart"/>
            <w:vAlign w:val="center"/>
          </w:tcPr>
          <w:p w14:paraId="5A3A1F99">
            <w:pPr>
              <w:pStyle w:val="17"/>
              <w:bidi w:val="0"/>
              <w:rPr>
                <w:rFonts w:hint="default"/>
                <w:color w:val="auto"/>
                <w:highlight w:val="none"/>
                <w:lang w:eastAsia="zh-CN"/>
              </w:rPr>
            </w:pPr>
            <w:r>
              <w:rPr>
                <w:rFonts w:hint="eastAsia"/>
                <w:color w:val="auto"/>
                <w:highlight w:val="none"/>
                <w:lang w:val="en-US" w:eastAsia="zh-CN"/>
              </w:rPr>
              <w:t>粉矿仓</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DA004）</w:t>
            </w:r>
          </w:p>
        </w:tc>
        <w:tc>
          <w:tcPr>
            <w:tcW w:w="623" w:type="pct"/>
            <w:vAlign w:val="center"/>
          </w:tcPr>
          <w:p w14:paraId="205599CC">
            <w:pPr>
              <w:pStyle w:val="17"/>
              <w:bidi w:val="0"/>
              <w:rPr>
                <w:rFonts w:hint="eastAsia"/>
                <w:color w:val="auto"/>
                <w:highlight w:val="none"/>
                <w:lang w:val="en-US" w:eastAsia="zh-CN"/>
              </w:rPr>
            </w:pPr>
            <w:r>
              <w:rPr>
                <w:rFonts w:hint="eastAsia"/>
                <w:color w:val="auto"/>
                <w:highlight w:val="none"/>
                <w:lang w:val="en-US" w:eastAsia="zh-CN"/>
              </w:rPr>
              <w:t>PM</w:t>
            </w:r>
            <w:r>
              <w:rPr>
                <w:rFonts w:hint="eastAsia"/>
                <w:color w:val="auto"/>
                <w:highlight w:val="none"/>
                <w:vertAlign w:val="subscript"/>
                <w:lang w:val="en-US" w:eastAsia="zh-CN"/>
              </w:rPr>
              <w:t>10</w:t>
            </w:r>
          </w:p>
        </w:tc>
        <w:tc>
          <w:tcPr>
            <w:tcW w:w="726" w:type="pct"/>
            <w:vAlign w:val="center"/>
          </w:tcPr>
          <w:p w14:paraId="545BC2DE">
            <w:pPr>
              <w:pStyle w:val="17"/>
              <w:bidi w:val="0"/>
              <w:rPr>
                <w:rFonts w:hint="eastAsia"/>
                <w:color w:val="auto"/>
                <w:highlight w:val="none"/>
                <w:lang w:val="en-US" w:eastAsia="zh-CN"/>
              </w:rPr>
            </w:pPr>
            <w:r>
              <w:rPr>
                <w:rFonts w:hint="eastAsia"/>
                <w:color w:val="auto"/>
                <w:highlight w:val="none"/>
                <w:lang w:val="en-US" w:eastAsia="zh-CN"/>
              </w:rPr>
              <w:t>360</w:t>
            </w:r>
          </w:p>
        </w:tc>
        <w:tc>
          <w:tcPr>
            <w:tcW w:w="1399" w:type="dxa"/>
            <w:vAlign w:val="center"/>
          </w:tcPr>
          <w:p w14:paraId="5D744402">
            <w:pPr>
              <w:pStyle w:val="17"/>
              <w:bidi w:val="0"/>
              <w:rPr>
                <w:rFonts w:hint="default"/>
                <w:color w:val="auto"/>
                <w:highlight w:val="none"/>
                <w:lang w:val="en-US" w:eastAsia="zh-CN"/>
              </w:rPr>
            </w:pPr>
            <w:r>
              <w:rPr>
                <w:rFonts w:hint="eastAsia"/>
                <w:color w:val="auto"/>
                <w:highlight w:val="none"/>
                <w:lang w:val="en-US" w:eastAsia="zh-CN"/>
              </w:rPr>
              <w:t>0.936</w:t>
            </w:r>
          </w:p>
        </w:tc>
        <w:tc>
          <w:tcPr>
            <w:tcW w:w="1391" w:type="dxa"/>
            <w:vAlign w:val="center"/>
          </w:tcPr>
          <w:p w14:paraId="29CCD35D">
            <w:pPr>
              <w:pStyle w:val="17"/>
              <w:bidi w:val="0"/>
              <w:ind w:firstLine="0" w:firstLineChars="0"/>
              <w:rPr>
                <w:rFonts w:hint="default"/>
                <w:color w:val="auto"/>
                <w:highlight w:val="none"/>
                <w:lang w:val="en-US" w:eastAsia="zh-CN"/>
              </w:rPr>
            </w:pPr>
            <w:r>
              <w:rPr>
                <w:rFonts w:hint="eastAsia"/>
                <w:color w:val="auto"/>
                <w:highlight w:val="none"/>
                <w:lang w:val="en-US" w:eastAsia="zh-CN"/>
              </w:rPr>
              <w:t>125</w:t>
            </w:r>
          </w:p>
        </w:tc>
        <w:tc>
          <w:tcPr>
            <w:tcW w:w="648" w:type="pct"/>
            <w:vAlign w:val="center"/>
          </w:tcPr>
          <w:p w14:paraId="32C89B7A">
            <w:pPr>
              <w:pStyle w:val="17"/>
              <w:bidi w:val="0"/>
              <w:rPr>
                <w:rFonts w:hint="default"/>
                <w:color w:val="auto"/>
                <w:highlight w:val="none"/>
                <w:lang w:val="en-US" w:eastAsia="zh-CN"/>
              </w:rPr>
            </w:pPr>
            <w:r>
              <w:rPr>
                <w:rFonts w:hint="eastAsia"/>
                <w:color w:val="auto"/>
                <w:highlight w:val="none"/>
                <w:lang w:val="en-US" w:eastAsia="zh-CN"/>
              </w:rPr>
              <w:t>0.26</w:t>
            </w:r>
          </w:p>
        </w:tc>
        <w:tc>
          <w:tcPr>
            <w:tcW w:w="477" w:type="pct"/>
            <w:vAlign w:val="center"/>
          </w:tcPr>
          <w:p w14:paraId="4112D908">
            <w:pPr>
              <w:pStyle w:val="17"/>
              <w:bidi w:val="0"/>
              <w:rPr>
                <w:rFonts w:hint="default"/>
                <w:color w:val="auto"/>
                <w:highlight w:val="none"/>
                <w:lang w:val="en-US" w:eastAsia="zh-CN"/>
              </w:rPr>
            </w:pPr>
            <w:r>
              <w:rPr>
                <w:rFonts w:hint="eastAsia"/>
                <w:color w:val="auto"/>
                <w:highlight w:val="none"/>
                <w:lang w:val="en-US" w:eastAsia="zh-CN"/>
              </w:rPr>
              <w:t>--</w:t>
            </w:r>
          </w:p>
        </w:tc>
      </w:tr>
      <w:tr w14:paraId="62AA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Merge w:val="continue"/>
            <w:vAlign w:val="center"/>
          </w:tcPr>
          <w:p w14:paraId="32A3B0C4">
            <w:pPr>
              <w:pStyle w:val="17"/>
              <w:bidi w:val="0"/>
              <w:rPr>
                <w:rFonts w:hint="eastAsia"/>
                <w:color w:val="auto"/>
                <w:highlight w:val="none"/>
              </w:rPr>
            </w:pPr>
          </w:p>
        </w:tc>
        <w:tc>
          <w:tcPr>
            <w:tcW w:w="623" w:type="pct"/>
            <w:vAlign w:val="center"/>
          </w:tcPr>
          <w:p w14:paraId="5281E64D">
            <w:pPr>
              <w:pStyle w:val="17"/>
              <w:bidi w:val="0"/>
              <w:rPr>
                <w:rFonts w:hint="eastAsia"/>
                <w:color w:val="auto"/>
                <w:highlight w:val="none"/>
                <w:lang w:val="en-US" w:eastAsia="zh-CN"/>
              </w:rPr>
            </w:pPr>
            <w:r>
              <w:rPr>
                <w:rFonts w:hint="eastAsia"/>
                <w:color w:val="auto"/>
                <w:highlight w:val="none"/>
                <w:lang w:val="en-US" w:eastAsia="zh-CN"/>
              </w:rPr>
              <w:t>氟化物</w:t>
            </w:r>
          </w:p>
        </w:tc>
        <w:tc>
          <w:tcPr>
            <w:tcW w:w="726" w:type="pct"/>
            <w:vAlign w:val="center"/>
          </w:tcPr>
          <w:p w14:paraId="136CFD69">
            <w:pPr>
              <w:pStyle w:val="17"/>
              <w:bidi w:val="0"/>
              <w:rPr>
                <w:rFonts w:hint="eastAsia"/>
                <w:color w:val="auto"/>
                <w:highlight w:val="none"/>
                <w:lang w:val="en-US" w:eastAsia="zh-CN"/>
              </w:rPr>
            </w:pPr>
            <w:r>
              <w:rPr>
                <w:rFonts w:hint="eastAsia"/>
                <w:color w:val="auto"/>
                <w:highlight w:val="none"/>
                <w:lang w:val="en-US" w:eastAsia="zh-CN"/>
              </w:rPr>
              <w:t>20</w:t>
            </w:r>
          </w:p>
        </w:tc>
        <w:tc>
          <w:tcPr>
            <w:tcW w:w="1399" w:type="dxa"/>
            <w:vAlign w:val="center"/>
          </w:tcPr>
          <w:p w14:paraId="57ECF12F">
            <w:pPr>
              <w:pStyle w:val="17"/>
              <w:bidi w:val="0"/>
              <w:rPr>
                <w:rFonts w:hint="default"/>
                <w:color w:val="auto"/>
                <w:highlight w:val="none"/>
                <w:lang w:val="en-US" w:eastAsia="zh-CN"/>
              </w:rPr>
            </w:pPr>
            <w:r>
              <w:rPr>
                <w:rFonts w:hint="eastAsia"/>
                <w:color w:val="auto"/>
                <w:highlight w:val="none"/>
                <w:lang w:val="en-US" w:eastAsia="zh-CN"/>
              </w:rPr>
              <w:t>0.152</w:t>
            </w:r>
          </w:p>
        </w:tc>
        <w:tc>
          <w:tcPr>
            <w:tcW w:w="1391" w:type="dxa"/>
            <w:vAlign w:val="center"/>
          </w:tcPr>
          <w:p w14:paraId="297CA855">
            <w:pPr>
              <w:pStyle w:val="17"/>
              <w:bidi w:val="0"/>
              <w:ind w:firstLine="0" w:firstLineChars="0"/>
              <w:rPr>
                <w:rFonts w:hint="default"/>
                <w:color w:val="auto"/>
                <w:highlight w:val="none"/>
                <w:lang w:val="en-US" w:eastAsia="zh-CN"/>
              </w:rPr>
            </w:pPr>
            <w:r>
              <w:rPr>
                <w:rFonts w:hint="eastAsia"/>
                <w:color w:val="auto"/>
                <w:highlight w:val="none"/>
                <w:lang w:val="en-US" w:eastAsia="zh-CN"/>
              </w:rPr>
              <w:t>125</w:t>
            </w:r>
          </w:p>
        </w:tc>
        <w:tc>
          <w:tcPr>
            <w:tcW w:w="648" w:type="pct"/>
            <w:vAlign w:val="center"/>
          </w:tcPr>
          <w:p w14:paraId="401814D4">
            <w:pPr>
              <w:pStyle w:val="17"/>
              <w:bidi w:val="0"/>
              <w:rPr>
                <w:rFonts w:hint="default"/>
                <w:color w:val="auto"/>
                <w:highlight w:val="none"/>
                <w:lang w:val="en-US" w:eastAsia="zh-CN"/>
              </w:rPr>
            </w:pPr>
            <w:r>
              <w:rPr>
                <w:rFonts w:hint="eastAsia"/>
                <w:color w:val="auto"/>
                <w:highlight w:val="none"/>
                <w:lang w:val="en-US" w:eastAsia="zh-CN"/>
              </w:rPr>
              <w:t>0.76</w:t>
            </w:r>
          </w:p>
        </w:tc>
        <w:tc>
          <w:tcPr>
            <w:tcW w:w="477" w:type="pct"/>
            <w:vAlign w:val="center"/>
          </w:tcPr>
          <w:p w14:paraId="7ACE66A8">
            <w:pPr>
              <w:pStyle w:val="17"/>
              <w:bidi w:val="0"/>
              <w:rPr>
                <w:rFonts w:hint="eastAsia"/>
                <w:color w:val="auto"/>
                <w:highlight w:val="none"/>
                <w:lang w:val="en-US" w:eastAsia="zh-CN"/>
              </w:rPr>
            </w:pPr>
            <w:r>
              <w:rPr>
                <w:rFonts w:hint="eastAsia"/>
                <w:color w:val="auto"/>
                <w:highlight w:val="none"/>
                <w:lang w:val="en-US" w:eastAsia="zh-CN"/>
              </w:rPr>
              <w:t>--</w:t>
            </w:r>
          </w:p>
        </w:tc>
      </w:tr>
      <w:tr w14:paraId="2222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Align w:val="center"/>
          </w:tcPr>
          <w:p w14:paraId="45AC354D">
            <w:pPr>
              <w:pStyle w:val="17"/>
              <w:bidi w:val="0"/>
              <w:rPr>
                <w:rFonts w:hint="eastAsia"/>
                <w:color w:val="auto"/>
                <w:highlight w:val="none"/>
                <w:lang w:val="en-US" w:eastAsia="zh-CN"/>
              </w:rPr>
            </w:pPr>
            <w:r>
              <w:rPr>
                <w:rFonts w:hint="eastAsia"/>
                <w:color w:val="auto"/>
                <w:highlight w:val="none"/>
                <w:lang w:val="en-US" w:eastAsia="zh-CN"/>
              </w:rPr>
              <w:t>硫酸稀释车间</w:t>
            </w:r>
            <w:r>
              <w:rPr>
                <w:rFonts w:hint="eastAsia"/>
                <w:color w:val="auto"/>
                <w:highlight w:val="none"/>
              </w:rPr>
              <w:t>排气筒</w:t>
            </w:r>
            <w:r>
              <w:rPr>
                <w:rFonts w:hint="eastAsia"/>
                <w:color w:val="auto"/>
                <w:highlight w:val="none"/>
                <w:lang w:eastAsia="zh-CN"/>
              </w:rPr>
              <w:t>（</w:t>
            </w:r>
            <w:r>
              <w:rPr>
                <w:rFonts w:hint="eastAsia"/>
                <w:color w:val="auto"/>
                <w:highlight w:val="none"/>
                <w:lang w:val="en-US" w:eastAsia="zh-CN"/>
              </w:rPr>
              <w:t>DA005）</w:t>
            </w:r>
          </w:p>
        </w:tc>
        <w:tc>
          <w:tcPr>
            <w:tcW w:w="623" w:type="pct"/>
            <w:vAlign w:val="center"/>
          </w:tcPr>
          <w:p w14:paraId="5899B517">
            <w:pPr>
              <w:pStyle w:val="17"/>
              <w:bidi w:val="0"/>
              <w:rPr>
                <w:rFonts w:hint="default"/>
                <w:color w:val="auto"/>
                <w:highlight w:val="none"/>
                <w:lang w:val="en-US" w:eastAsia="zh-CN"/>
              </w:rPr>
            </w:pPr>
            <w:r>
              <w:rPr>
                <w:rFonts w:hint="eastAsia"/>
                <w:color w:val="auto"/>
                <w:highlight w:val="none"/>
                <w:lang w:val="en-US" w:eastAsia="zh-CN"/>
              </w:rPr>
              <w:t>硫酸雾</w:t>
            </w:r>
          </w:p>
        </w:tc>
        <w:tc>
          <w:tcPr>
            <w:tcW w:w="726" w:type="pct"/>
            <w:vAlign w:val="center"/>
          </w:tcPr>
          <w:p w14:paraId="7AA231BB">
            <w:pPr>
              <w:pStyle w:val="17"/>
              <w:bidi w:val="0"/>
              <w:rPr>
                <w:rFonts w:hint="default"/>
                <w:color w:val="auto"/>
                <w:highlight w:val="none"/>
                <w:lang w:val="en-US" w:eastAsia="zh-CN"/>
              </w:rPr>
            </w:pPr>
            <w:r>
              <w:rPr>
                <w:rFonts w:hint="eastAsia"/>
                <w:color w:val="auto"/>
                <w:highlight w:val="none"/>
                <w:lang w:val="en-US" w:eastAsia="zh-CN"/>
              </w:rPr>
              <w:t>300</w:t>
            </w:r>
          </w:p>
        </w:tc>
        <w:tc>
          <w:tcPr>
            <w:tcW w:w="1399" w:type="dxa"/>
            <w:vAlign w:val="center"/>
          </w:tcPr>
          <w:p w14:paraId="7284A981">
            <w:pPr>
              <w:pStyle w:val="17"/>
              <w:bidi w:val="0"/>
              <w:rPr>
                <w:rFonts w:hint="default"/>
                <w:color w:val="auto"/>
                <w:highlight w:val="none"/>
                <w:lang w:val="en-US" w:eastAsia="zh-CN"/>
              </w:rPr>
            </w:pPr>
            <w:r>
              <w:rPr>
                <w:rFonts w:hint="eastAsia"/>
                <w:color w:val="auto"/>
                <w:highlight w:val="none"/>
                <w:lang w:val="en-US" w:eastAsia="zh-CN"/>
              </w:rPr>
              <w:t>2.67</w:t>
            </w:r>
          </w:p>
        </w:tc>
        <w:tc>
          <w:tcPr>
            <w:tcW w:w="816" w:type="pct"/>
            <w:vAlign w:val="center"/>
          </w:tcPr>
          <w:p w14:paraId="69A70F54">
            <w:pPr>
              <w:pStyle w:val="17"/>
              <w:bidi w:val="0"/>
              <w:rPr>
                <w:rFonts w:hint="default"/>
                <w:color w:val="auto"/>
                <w:highlight w:val="none"/>
                <w:lang w:val="en-US" w:eastAsia="zh-CN"/>
              </w:rPr>
            </w:pPr>
            <w:r>
              <w:rPr>
                <w:rFonts w:hint="eastAsia"/>
                <w:color w:val="auto"/>
                <w:highlight w:val="none"/>
                <w:lang w:val="en-US" w:eastAsia="zh-CN"/>
              </w:rPr>
              <w:t>41</w:t>
            </w:r>
          </w:p>
        </w:tc>
        <w:tc>
          <w:tcPr>
            <w:tcW w:w="648" w:type="pct"/>
            <w:vAlign w:val="center"/>
          </w:tcPr>
          <w:p w14:paraId="2A0F5DF4">
            <w:pPr>
              <w:pStyle w:val="17"/>
              <w:bidi w:val="0"/>
              <w:rPr>
                <w:rFonts w:hint="default"/>
                <w:color w:val="auto"/>
                <w:highlight w:val="none"/>
                <w:lang w:val="en-US" w:eastAsia="zh-CN"/>
              </w:rPr>
            </w:pPr>
            <w:r>
              <w:rPr>
                <w:rFonts w:hint="eastAsia"/>
                <w:color w:val="auto"/>
                <w:highlight w:val="none"/>
                <w:lang w:val="en-US" w:eastAsia="zh-CN"/>
              </w:rPr>
              <w:t>0.89</w:t>
            </w:r>
          </w:p>
        </w:tc>
        <w:tc>
          <w:tcPr>
            <w:tcW w:w="477" w:type="pct"/>
            <w:vAlign w:val="center"/>
          </w:tcPr>
          <w:p w14:paraId="744D80D3">
            <w:pPr>
              <w:pStyle w:val="17"/>
              <w:bidi w:val="0"/>
              <w:rPr>
                <w:rFonts w:hint="default"/>
                <w:color w:val="auto"/>
                <w:highlight w:val="none"/>
                <w:lang w:val="en-US" w:eastAsia="zh-CN"/>
              </w:rPr>
            </w:pPr>
            <w:r>
              <w:rPr>
                <w:rFonts w:hint="eastAsia"/>
                <w:color w:val="auto"/>
                <w:highlight w:val="none"/>
                <w:lang w:val="en-US" w:eastAsia="zh-CN"/>
              </w:rPr>
              <w:t>--</w:t>
            </w:r>
          </w:p>
        </w:tc>
      </w:tr>
      <w:tr w14:paraId="0709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shd w:val="clear" w:color="auto" w:fill="auto"/>
            <w:vAlign w:val="center"/>
          </w:tcPr>
          <w:p w14:paraId="211E89D7">
            <w:pPr>
              <w:pStyle w:val="17"/>
              <w:bidi w:val="0"/>
              <w:rPr>
                <w:rFonts w:hint="eastAsia"/>
                <w:color w:val="auto"/>
                <w:highlight w:val="none"/>
                <w:lang w:val="en-US" w:eastAsia="zh-CN"/>
              </w:rPr>
            </w:pPr>
            <w:r>
              <w:rPr>
                <w:color w:val="auto"/>
                <w:highlight w:val="none"/>
              </w:rPr>
              <w:t>尾矿库</w:t>
            </w:r>
          </w:p>
        </w:tc>
        <w:tc>
          <w:tcPr>
            <w:tcW w:w="623" w:type="pct"/>
            <w:shd w:val="clear" w:color="auto" w:fill="auto"/>
            <w:vAlign w:val="center"/>
          </w:tcPr>
          <w:p w14:paraId="3B145122">
            <w:pPr>
              <w:pStyle w:val="17"/>
              <w:bidi w:val="0"/>
              <w:rPr>
                <w:rFonts w:hint="eastAsia"/>
                <w:color w:val="auto"/>
                <w:highlight w:val="none"/>
                <w:lang w:val="en-US" w:eastAsia="zh-CN"/>
              </w:rPr>
            </w:pPr>
            <w:r>
              <w:rPr>
                <w:rFonts w:hint="eastAsia"/>
                <w:color w:val="auto"/>
                <w:highlight w:val="none"/>
                <w:lang w:val="en-US" w:eastAsia="zh-CN"/>
              </w:rPr>
              <w:t>TSP</w:t>
            </w:r>
          </w:p>
        </w:tc>
        <w:tc>
          <w:tcPr>
            <w:tcW w:w="726" w:type="pct"/>
            <w:shd w:val="clear" w:color="auto" w:fill="auto"/>
            <w:vAlign w:val="center"/>
          </w:tcPr>
          <w:p w14:paraId="1BF64DC8">
            <w:pPr>
              <w:pStyle w:val="17"/>
              <w:bidi w:val="0"/>
              <w:rPr>
                <w:rFonts w:hint="default"/>
                <w:color w:val="auto"/>
                <w:highlight w:val="none"/>
                <w:lang w:val="en-US" w:eastAsia="zh-CN"/>
              </w:rPr>
            </w:pPr>
            <w:r>
              <w:rPr>
                <w:rFonts w:hint="eastAsia"/>
                <w:color w:val="auto"/>
                <w:highlight w:val="none"/>
                <w:lang w:val="en-US" w:eastAsia="zh-CN"/>
              </w:rPr>
              <w:t>900</w:t>
            </w:r>
          </w:p>
        </w:tc>
        <w:tc>
          <w:tcPr>
            <w:tcW w:w="1399" w:type="dxa"/>
            <w:shd w:val="clear" w:color="auto" w:fill="auto"/>
            <w:vAlign w:val="center"/>
          </w:tcPr>
          <w:p w14:paraId="394BEC1D">
            <w:pPr>
              <w:pStyle w:val="17"/>
              <w:bidi w:val="0"/>
              <w:rPr>
                <w:rFonts w:hint="eastAsia"/>
                <w:color w:val="auto"/>
                <w:highlight w:val="none"/>
                <w:lang w:val="en-US" w:eastAsia="zh-CN"/>
              </w:rPr>
            </w:pPr>
            <w:r>
              <w:rPr>
                <w:rFonts w:hint="eastAsia"/>
                <w:color w:val="auto"/>
                <w:highlight w:val="none"/>
                <w:lang w:val="en-US" w:eastAsia="zh-CN"/>
              </w:rPr>
              <w:t>0.36</w:t>
            </w:r>
          </w:p>
        </w:tc>
        <w:tc>
          <w:tcPr>
            <w:tcW w:w="816" w:type="pct"/>
            <w:shd w:val="clear" w:color="auto" w:fill="auto"/>
            <w:vAlign w:val="center"/>
          </w:tcPr>
          <w:p w14:paraId="57966747">
            <w:pPr>
              <w:pStyle w:val="17"/>
              <w:bidi w:val="0"/>
              <w:rPr>
                <w:rFonts w:hint="default"/>
                <w:color w:val="auto"/>
                <w:highlight w:val="none"/>
                <w:lang w:val="en-US" w:eastAsia="zh-CN"/>
              </w:rPr>
            </w:pPr>
            <w:r>
              <w:rPr>
                <w:rFonts w:hint="eastAsia"/>
                <w:color w:val="auto"/>
                <w:highlight w:val="none"/>
                <w:lang w:val="en-US" w:eastAsia="zh-CN"/>
              </w:rPr>
              <w:t>600</w:t>
            </w:r>
          </w:p>
        </w:tc>
        <w:tc>
          <w:tcPr>
            <w:tcW w:w="648" w:type="pct"/>
            <w:shd w:val="clear" w:color="auto" w:fill="auto"/>
            <w:vAlign w:val="center"/>
          </w:tcPr>
          <w:p w14:paraId="0315F118">
            <w:pPr>
              <w:pStyle w:val="17"/>
              <w:bidi w:val="0"/>
              <w:rPr>
                <w:rFonts w:hint="default"/>
                <w:color w:val="auto"/>
                <w:highlight w:val="none"/>
                <w:lang w:val="en-US" w:eastAsia="zh-CN"/>
              </w:rPr>
            </w:pPr>
            <w:r>
              <w:rPr>
                <w:rFonts w:hint="eastAsia"/>
                <w:color w:val="auto"/>
                <w:highlight w:val="none"/>
                <w:lang w:val="en-US" w:eastAsia="zh-CN"/>
              </w:rPr>
              <w:t>0.04</w:t>
            </w:r>
          </w:p>
        </w:tc>
        <w:tc>
          <w:tcPr>
            <w:tcW w:w="477" w:type="pct"/>
            <w:shd w:val="clear" w:color="auto" w:fill="auto"/>
            <w:vAlign w:val="center"/>
          </w:tcPr>
          <w:p w14:paraId="5500E650">
            <w:pPr>
              <w:pStyle w:val="17"/>
              <w:bidi w:val="0"/>
              <w:rPr>
                <w:rFonts w:hint="eastAsia"/>
                <w:color w:val="auto"/>
                <w:highlight w:val="none"/>
                <w:lang w:val="en-US" w:eastAsia="zh-CN"/>
              </w:rPr>
            </w:pPr>
            <w:r>
              <w:rPr>
                <w:rFonts w:hint="eastAsia"/>
                <w:color w:val="auto"/>
                <w:highlight w:val="none"/>
                <w:lang w:val="en-US" w:eastAsia="zh-CN"/>
              </w:rPr>
              <w:t>--</w:t>
            </w:r>
          </w:p>
        </w:tc>
      </w:tr>
      <w:tr w14:paraId="6595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pct"/>
            <w:vAlign w:val="center"/>
          </w:tcPr>
          <w:p w14:paraId="6C8FF87C">
            <w:pPr>
              <w:pStyle w:val="17"/>
              <w:bidi w:val="0"/>
              <w:rPr>
                <w:rFonts w:hint="default"/>
                <w:color w:val="auto"/>
                <w:highlight w:val="none"/>
                <w:lang w:val="en-US" w:eastAsia="zh-CN"/>
              </w:rPr>
            </w:pPr>
            <w:r>
              <w:rPr>
                <w:rFonts w:hint="eastAsia"/>
                <w:color w:val="auto"/>
                <w:highlight w:val="none"/>
                <w:lang w:val="en-US" w:eastAsia="zh-CN"/>
              </w:rPr>
              <w:t>废石堆场</w:t>
            </w:r>
          </w:p>
        </w:tc>
        <w:tc>
          <w:tcPr>
            <w:tcW w:w="623" w:type="pct"/>
            <w:vAlign w:val="center"/>
          </w:tcPr>
          <w:p w14:paraId="39DD2C66">
            <w:pPr>
              <w:pStyle w:val="17"/>
              <w:bidi w:val="0"/>
              <w:rPr>
                <w:rFonts w:hint="eastAsia"/>
                <w:color w:val="auto"/>
                <w:highlight w:val="none"/>
                <w:lang w:val="en-US" w:eastAsia="zh-CN"/>
              </w:rPr>
            </w:pPr>
            <w:r>
              <w:rPr>
                <w:rFonts w:hint="eastAsia"/>
                <w:color w:val="auto"/>
                <w:highlight w:val="none"/>
                <w:lang w:val="en-US" w:eastAsia="zh-CN"/>
              </w:rPr>
              <w:t>TSP</w:t>
            </w:r>
          </w:p>
        </w:tc>
        <w:tc>
          <w:tcPr>
            <w:tcW w:w="726" w:type="pct"/>
            <w:vAlign w:val="center"/>
          </w:tcPr>
          <w:p w14:paraId="34DC6EA5">
            <w:pPr>
              <w:pStyle w:val="17"/>
              <w:bidi w:val="0"/>
              <w:rPr>
                <w:rFonts w:hint="default"/>
                <w:color w:val="auto"/>
                <w:highlight w:val="none"/>
                <w:lang w:val="en-US" w:eastAsia="zh-CN"/>
              </w:rPr>
            </w:pPr>
            <w:r>
              <w:rPr>
                <w:rFonts w:hint="eastAsia"/>
                <w:color w:val="auto"/>
                <w:highlight w:val="none"/>
                <w:lang w:val="en-US" w:eastAsia="zh-CN"/>
              </w:rPr>
              <w:t>900</w:t>
            </w:r>
          </w:p>
        </w:tc>
        <w:tc>
          <w:tcPr>
            <w:tcW w:w="1399" w:type="dxa"/>
            <w:vAlign w:val="center"/>
          </w:tcPr>
          <w:p w14:paraId="12F9E044">
            <w:pPr>
              <w:pStyle w:val="17"/>
              <w:bidi w:val="0"/>
              <w:rPr>
                <w:rFonts w:hint="eastAsia"/>
                <w:color w:val="auto"/>
                <w:highlight w:val="none"/>
                <w:lang w:val="en-US" w:eastAsia="zh-CN"/>
              </w:rPr>
            </w:pPr>
            <w:r>
              <w:rPr>
                <w:rFonts w:hint="eastAsia"/>
                <w:color w:val="auto"/>
                <w:highlight w:val="none"/>
                <w:lang w:val="en-US" w:eastAsia="zh-CN"/>
              </w:rPr>
              <w:t>18.09</w:t>
            </w:r>
          </w:p>
        </w:tc>
        <w:tc>
          <w:tcPr>
            <w:tcW w:w="816" w:type="pct"/>
            <w:vAlign w:val="center"/>
          </w:tcPr>
          <w:p w14:paraId="030FBB33">
            <w:pPr>
              <w:pStyle w:val="17"/>
              <w:bidi w:val="0"/>
              <w:rPr>
                <w:rFonts w:hint="default"/>
                <w:color w:val="auto"/>
                <w:highlight w:val="none"/>
                <w:lang w:val="en-US" w:eastAsia="zh-CN"/>
              </w:rPr>
            </w:pPr>
            <w:r>
              <w:rPr>
                <w:rFonts w:hint="eastAsia"/>
                <w:color w:val="auto"/>
                <w:highlight w:val="none"/>
                <w:lang w:val="en-US" w:eastAsia="zh-CN"/>
              </w:rPr>
              <w:t>500</w:t>
            </w:r>
          </w:p>
        </w:tc>
        <w:tc>
          <w:tcPr>
            <w:tcW w:w="648" w:type="pct"/>
            <w:vAlign w:val="center"/>
          </w:tcPr>
          <w:p w14:paraId="57BE40FF">
            <w:pPr>
              <w:pStyle w:val="17"/>
              <w:bidi w:val="0"/>
              <w:rPr>
                <w:rFonts w:hint="default"/>
                <w:color w:val="auto"/>
                <w:highlight w:val="none"/>
                <w:lang w:val="en-US" w:eastAsia="zh-CN"/>
              </w:rPr>
            </w:pPr>
            <w:r>
              <w:rPr>
                <w:rFonts w:hint="eastAsia"/>
                <w:color w:val="auto"/>
                <w:highlight w:val="none"/>
                <w:lang w:val="en-US" w:eastAsia="zh-CN"/>
              </w:rPr>
              <w:t>2.01</w:t>
            </w:r>
          </w:p>
        </w:tc>
        <w:tc>
          <w:tcPr>
            <w:tcW w:w="477" w:type="pct"/>
            <w:vAlign w:val="center"/>
          </w:tcPr>
          <w:p w14:paraId="0D81DC14">
            <w:pPr>
              <w:pStyle w:val="17"/>
              <w:bidi w:val="0"/>
              <w:rPr>
                <w:rFonts w:hint="eastAsia"/>
                <w:color w:val="auto"/>
                <w:highlight w:val="none"/>
                <w:lang w:val="en-US" w:eastAsia="zh-CN"/>
              </w:rPr>
            </w:pPr>
          </w:p>
        </w:tc>
      </w:tr>
    </w:tbl>
    <w:p w14:paraId="1F4C0C2D">
      <w:pPr>
        <w:ind w:firstLine="480"/>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sz w:val="24"/>
          <w:szCs w:val="24"/>
          <w:highlight w:val="none"/>
        </w:rPr>
        <w:t>根据预测结果可知</w:t>
      </w:r>
      <w:r>
        <w:rPr>
          <w:rFonts w:hint="eastAsia" w:cs="Times New Roman"/>
          <w:color w:val="auto"/>
          <w:kern w:val="0"/>
          <w:sz w:val="24"/>
          <w:szCs w:val="24"/>
          <w:highlight w:val="none"/>
          <w:lang w:eastAsia="zh-CN"/>
        </w:rPr>
        <w:t>，</w:t>
      </w:r>
      <w:r>
        <w:rPr>
          <w:rFonts w:hint="eastAsia" w:hAnsi="Times New Roman" w:cs="Times New Roman"/>
          <w:color w:val="auto"/>
          <w:kern w:val="0"/>
          <w:sz w:val="24"/>
          <w:szCs w:val="24"/>
          <w:highlight w:val="none"/>
          <w:lang w:eastAsia="zh-CN"/>
        </w:rPr>
        <w:t>本项目有组织和无</w:t>
      </w:r>
      <w:r>
        <w:rPr>
          <w:rFonts w:hint="default" w:ascii="Times New Roman" w:hAnsi="Times New Roman" w:eastAsia="宋体" w:cs="Times New Roman"/>
          <w:color w:val="auto"/>
          <w:kern w:val="0"/>
          <w:sz w:val="24"/>
          <w:szCs w:val="24"/>
          <w:highlight w:val="none"/>
        </w:rPr>
        <w:t>组织污染源</w:t>
      </w:r>
      <w:r>
        <w:rPr>
          <w:rFonts w:hint="eastAsia" w:cs="Times New Roman"/>
          <w:color w:val="auto"/>
          <w:kern w:val="0"/>
          <w:sz w:val="24"/>
          <w:szCs w:val="24"/>
          <w:highlight w:val="none"/>
          <w:lang w:eastAsia="zh-CN"/>
        </w:rPr>
        <w:t>在</w:t>
      </w:r>
      <w:r>
        <w:rPr>
          <w:rFonts w:hint="eastAsia" w:ascii="Times New Roman" w:hAnsi="Times New Roman" w:eastAsia="宋体" w:cs="Times New Roman"/>
          <w:color w:val="auto"/>
          <w:kern w:val="0"/>
          <w:sz w:val="24"/>
          <w:szCs w:val="24"/>
          <w:highlight w:val="none"/>
          <w:lang w:eastAsia="zh-CN"/>
        </w:rPr>
        <w:t>正常工况下</w:t>
      </w:r>
      <w:r>
        <w:rPr>
          <w:rFonts w:hint="default" w:ascii="Times New Roman" w:hAnsi="Times New Roman" w:eastAsia="宋体" w:cs="Times New Roman"/>
          <w:color w:val="auto"/>
          <w:kern w:val="0"/>
          <w:sz w:val="24"/>
          <w:szCs w:val="24"/>
          <w:highlight w:val="none"/>
        </w:rPr>
        <w:t>污染物最大地面浓度占标率小于10%</w:t>
      </w:r>
      <w:r>
        <w:rPr>
          <w:rFonts w:hint="default" w:ascii="Times New Roman" w:hAnsi="Times New Roman" w:eastAsia="宋体" w:cs="Times New Roman"/>
          <w:color w:val="auto"/>
          <w:kern w:val="0"/>
          <w:sz w:val="24"/>
          <w:szCs w:val="24"/>
          <w:highlight w:val="none"/>
          <w:lang w:eastAsia="zh-CN"/>
        </w:rPr>
        <w:t>，</w:t>
      </w:r>
      <w:r>
        <w:rPr>
          <w:color w:val="auto"/>
          <w:sz w:val="24"/>
          <w:highlight w:val="none"/>
        </w:rPr>
        <w:t>满足《环境空气质量标准》（GB3095-20</w:t>
      </w:r>
      <w:r>
        <w:rPr>
          <w:rFonts w:hint="eastAsia"/>
          <w:color w:val="auto"/>
          <w:sz w:val="24"/>
          <w:highlight w:val="none"/>
          <w:lang w:val="en-US" w:eastAsia="zh-CN"/>
        </w:rPr>
        <w:t>26</w:t>
      </w:r>
      <w:r>
        <w:rPr>
          <w:color w:val="auto"/>
          <w:sz w:val="24"/>
          <w:highlight w:val="none"/>
        </w:rPr>
        <w:t>）二类区标准要求</w:t>
      </w:r>
      <w:r>
        <w:rPr>
          <w:rFonts w:hint="eastAsia"/>
          <w:color w:val="auto"/>
          <w:sz w:val="24"/>
          <w:highlight w:val="none"/>
          <w:lang w:eastAsia="zh-CN"/>
        </w:rPr>
        <w:t>，</w:t>
      </w:r>
      <w:r>
        <w:rPr>
          <w:rFonts w:hint="default" w:ascii="Times New Roman" w:hAnsi="Times New Roman" w:eastAsia="宋体" w:cs="Times New Roman"/>
          <w:color w:val="auto"/>
          <w:kern w:val="0"/>
          <w:sz w:val="24"/>
          <w:szCs w:val="24"/>
          <w:highlight w:val="none"/>
        </w:rPr>
        <w:t>对周围环境影响较小。</w:t>
      </w:r>
    </w:p>
    <w:p w14:paraId="1BD2F431">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7</w:t>
      </w:r>
      <w:r>
        <w:rPr>
          <w:rFonts w:hint="eastAsia"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非正常工况大气环境影响分析</w:t>
      </w:r>
    </w:p>
    <w:p w14:paraId="373D5388">
      <w:pPr>
        <w:bidi w:val="0"/>
        <w:rPr>
          <w:rFonts w:hint="default"/>
          <w:color w:val="auto"/>
          <w:highlight w:val="none"/>
          <w:lang w:val="en-US" w:eastAsia="zh-CN"/>
        </w:rPr>
      </w:pPr>
      <w:r>
        <w:rPr>
          <w:rFonts w:hint="default"/>
          <w:color w:val="auto"/>
          <w:highlight w:val="none"/>
          <w:lang w:val="en-US" w:eastAsia="zh-CN"/>
        </w:rPr>
        <w:t>结合《环境影响评价技术导则</w:t>
      </w:r>
      <w:r>
        <w:rPr>
          <w:rFonts w:hint="eastAsia"/>
          <w:color w:val="auto"/>
          <w:highlight w:val="none"/>
          <w:lang w:val="en-US" w:eastAsia="zh-CN"/>
        </w:rPr>
        <w:t xml:space="preserve"> </w:t>
      </w:r>
      <w:r>
        <w:rPr>
          <w:rFonts w:hint="default"/>
          <w:color w:val="auto"/>
          <w:highlight w:val="none"/>
          <w:lang w:val="en-US" w:eastAsia="zh-CN"/>
        </w:rPr>
        <w:t>大气环境》（HJ2.2-2018）要求，非正常排放指非正常工况下的污染物排放，如设备检修、污染物排放控制措施达不到应有效率、工艺设备运转异常等情况下的排放。以上情况属污染物控制措施失效导致污染最为严重，故选取</w:t>
      </w:r>
      <w:r>
        <w:rPr>
          <w:rFonts w:hint="eastAsia"/>
          <w:color w:val="auto"/>
          <w:highlight w:val="none"/>
          <w:lang w:val="en-US" w:eastAsia="zh-CN"/>
        </w:rPr>
        <w:t>布袋除尘器</w:t>
      </w:r>
      <w:r>
        <w:rPr>
          <w:rFonts w:hint="eastAsia"/>
          <w:color w:val="auto"/>
          <w:sz w:val="24"/>
          <w:highlight w:val="none"/>
          <w:lang w:val="en-US" w:eastAsia="zh-CN"/>
        </w:rPr>
        <w:t>布袋破损及硫酸吸收塔故障</w:t>
      </w:r>
      <w:r>
        <w:rPr>
          <w:rFonts w:hint="default"/>
          <w:color w:val="auto"/>
          <w:highlight w:val="none"/>
          <w:lang w:val="en-US" w:eastAsia="zh-CN"/>
        </w:rPr>
        <w:t>的情形作为非正常排放。</w:t>
      </w:r>
      <w:r>
        <w:rPr>
          <w:rFonts w:hint="eastAsia"/>
          <w:color w:val="auto"/>
          <w:highlight w:val="none"/>
          <w:lang w:val="en-US" w:eastAsia="zh-CN"/>
        </w:rPr>
        <w:t>本项目非正常工况排放情况见表</w:t>
      </w:r>
      <w:r>
        <w:rPr>
          <w:rFonts w:hint="default"/>
          <w:color w:val="auto"/>
          <w:highlight w:val="none"/>
          <w:lang w:val="en-US" w:eastAsia="zh-CN"/>
        </w:rPr>
        <w:t>5.2-</w:t>
      </w:r>
      <w:r>
        <w:rPr>
          <w:rFonts w:hint="eastAsia"/>
          <w:color w:val="auto"/>
          <w:highlight w:val="none"/>
          <w:lang w:val="en-US" w:eastAsia="zh-CN"/>
        </w:rPr>
        <w:t>5</w:t>
      </w:r>
      <w:r>
        <w:rPr>
          <w:rFonts w:hint="default"/>
          <w:color w:val="auto"/>
          <w:highlight w:val="none"/>
          <w:lang w:val="en-US" w:eastAsia="zh-CN"/>
        </w:rPr>
        <w:t>。</w:t>
      </w:r>
    </w:p>
    <w:p w14:paraId="51419939">
      <w:pPr>
        <w:pStyle w:val="19"/>
        <w:bidi w:val="0"/>
        <w:rPr>
          <w:rFonts w:hint="eastAsia"/>
          <w:color w:val="auto"/>
          <w:highlight w:val="none"/>
          <w:lang w:val="en-US" w:eastAsia="zh-CN"/>
        </w:rPr>
      </w:pPr>
      <w:r>
        <w:rPr>
          <w:rFonts w:hint="default"/>
          <w:color w:val="auto"/>
          <w:highlight w:val="none"/>
          <w:lang w:val="en-US" w:eastAsia="zh-CN"/>
        </w:rPr>
        <w:t>表5.2-</w:t>
      </w:r>
      <w:r>
        <w:rPr>
          <w:rFonts w:hint="eastAsia"/>
          <w:color w:val="auto"/>
          <w:highlight w:val="none"/>
          <w:lang w:val="en-US" w:eastAsia="zh-CN"/>
        </w:rPr>
        <w:t>5   污染源非正常排放量核算表</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381"/>
        <w:gridCol w:w="1166"/>
        <w:gridCol w:w="850"/>
        <w:gridCol w:w="1169"/>
        <w:gridCol w:w="1073"/>
        <w:gridCol w:w="1008"/>
        <w:gridCol w:w="689"/>
        <w:gridCol w:w="668"/>
      </w:tblGrid>
      <w:tr w14:paraId="3482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Align w:val="center"/>
          </w:tcPr>
          <w:p w14:paraId="74F9ACEA">
            <w:pPr>
              <w:pStyle w:val="17"/>
              <w:bidi w:val="0"/>
              <w:rPr>
                <w:rFonts w:hint="default"/>
                <w:color w:val="auto"/>
                <w:highlight w:val="none"/>
                <w:lang w:val="en-US" w:eastAsia="zh-CN"/>
              </w:rPr>
            </w:pPr>
            <w:r>
              <w:rPr>
                <w:rFonts w:hint="eastAsia"/>
                <w:color w:val="auto"/>
                <w:highlight w:val="none"/>
                <w:lang w:val="en-US" w:eastAsia="zh-CN"/>
              </w:rPr>
              <w:t>序号</w:t>
            </w:r>
          </w:p>
        </w:tc>
        <w:tc>
          <w:tcPr>
            <w:tcW w:w="810" w:type="pct"/>
            <w:vAlign w:val="center"/>
          </w:tcPr>
          <w:p w14:paraId="22329204">
            <w:pPr>
              <w:pStyle w:val="17"/>
              <w:bidi w:val="0"/>
              <w:rPr>
                <w:rFonts w:hint="default"/>
                <w:color w:val="auto"/>
                <w:highlight w:val="none"/>
                <w:lang w:val="en-US" w:eastAsia="zh-CN"/>
              </w:rPr>
            </w:pPr>
            <w:r>
              <w:rPr>
                <w:rFonts w:hint="eastAsia"/>
                <w:color w:val="auto"/>
                <w:highlight w:val="none"/>
                <w:lang w:val="en-US" w:eastAsia="zh-CN"/>
              </w:rPr>
              <w:t>污染源</w:t>
            </w:r>
          </w:p>
        </w:tc>
        <w:tc>
          <w:tcPr>
            <w:tcW w:w="684" w:type="pct"/>
            <w:vAlign w:val="center"/>
          </w:tcPr>
          <w:p w14:paraId="552DD968">
            <w:pPr>
              <w:pStyle w:val="17"/>
              <w:bidi w:val="0"/>
              <w:rPr>
                <w:rFonts w:hint="default"/>
                <w:color w:val="auto"/>
                <w:highlight w:val="none"/>
                <w:lang w:val="en-US" w:eastAsia="zh-CN"/>
              </w:rPr>
            </w:pPr>
            <w:r>
              <w:rPr>
                <w:rFonts w:hint="default"/>
                <w:color w:val="auto"/>
                <w:highlight w:val="none"/>
              </w:rPr>
              <w:t>非正常排放原因</w:t>
            </w:r>
          </w:p>
        </w:tc>
        <w:tc>
          <w:tcPr>
            <w:tcW w:w="498" w:type="pct"/>
            <w:shd w:val="clear" w:color="auto" w:fill="auto"/>
            <w:vAlign w:val="center"/>
          </w:tcPr>
          <w:p w14:paraId="30927AC7">
            <w:pPr>
              <w:pStyle w:val="17"/>
              <w:bidi w:val="0"/>
              <w:rPr>
                <w:rFonts w:hint="default"/>
                <w:color w:val="auto"/>
                <w:highlight w:val="none"/>
                <w:lang w:val="en-US" w:eastAsia="zh-CN"/>
              </w:rPr>
            </w:pPr>
            <w:r>
              <w:rPr>
                <w:rFonts w:hint="default"/>
                <w:color w:val="auto"/>
                <w:highlight w:val="none"/>
              </w:rPr>
              <w:t>污染物</w:t>
            </w:r>
          </w:p>
        </w:tc>
        <w:tc>
          <w:tcPr>
            <w:tcW w:w="686" w:type="pct"/>
            <w:shd w:val="clear" w:color="auto" w:fill="auto"/>
            <w:vAlign w:val="center"/>
          </w:tcPr>
          <w:p w14:paraId="179EC614">
            <w:pPr>
              <w:pStyle w:val="17"/>
              <w:bidi w:val="0"/>
              <w:rPr>
                <w:rFonts w:hint="eastAsia" w:eastAsia="宋体"/>
                <w:color w:val="auto"/>
                <w:highlight w:val="none"/>
                <w:lang w:val="en-US" w:eastAsia="zh-CN"/>
              </w:rPr>
            </w:pPr>
            <w:r>
              <w:rPr>
                <w:rFonts w:hint="default"/>
                <w:color w:val="auto"/>
                <w:highlight w:val="none"/>
              </w:rPr>
              <w:t>非正常排放浓度/</w:t>
            </w:r>
            <w:r>
              <w:rPr>
                <w:rFonts w:hint="eastAsia"/>
                <w:color w:val="auto"/>
                <w:highlight w:val="none"/>
                <w:lang w:eastAsia="zh-CN"/>
              </w:rPr>
              <w:t>（</w:t>
            </w:r>
            <w:r>
              <w:rPr>
                <w:rFonts w:hint="default"/>
                <w:color w:val="auto"/>
                <w:highlight w:val="none"/>
              </w:rPr>
              <w:t>mg/m</w:t>
            </w:r>
            <w:r>
              <w:rPr>
                <w:rFonts w:hint="default"/>
                <w:color w:val="auto"/>
                <w:highlight w:val="none"/>
                <w:vertAlign w:val="superscript"/>
              </w:rPr>
              <w:t>3</w:t>
            </w:r>
            <w:r>
              <w:rPr>
                <w:rFonts w:hint="eastAsia"/>
                <w:color w:val="auto"/>
                <w:highlight w:val="none"/>
                <w:lang w:eastAsia="zh-CN"/>
              </w:rPr>
              <w:t>）</w:t>
            </w:r>
          </w:p>
        </w:tc>
        <w:tc>
          <w:tcPr>
            <w:tcW w:w="629" w:type="pct"/>
            <w:shd w:val="clear" w:color="auto" w:fill="auto"/>
            <w:vAlign w:val="center"/>
          </w:tcPr>
          <w:p w14:paraId="5C284539">
            <w:pPr>
              <w:pStyle w:val="17"/>
              <w:bidi w:val="0"/>
              <w:rPr>
                <w:rFonts w:hint="eastAsia" w:eastAsia="宋体"/>
                <w:color w:val="auto"/>
                <w:highlight w:val="none"/>
                <w:lang w:val="en-US" w:eastAsia="zh-CN"/>
              </w:rPr>
            </w:pPr>
            <w:r>
              <w:rPr>
                <w:rFonts w:hint="default"/>
                <w:color w:val="auto"/>
                <w:highlight w:val="none"/>
              </w:rPr>
              <w:t>非正常排放速率/</w:t>
            </w:r>
            <w:r>
              <w:rPr>
                <w:rFonts w:hint="eastAsia"/>
                <w:color w:val="auto"/>
                <w:highlight w:val="none"/>
                <w:lang w:eastAsia="zh-CN"/>
              </w:rPr>
              <w:t>（</w:t>
            </w:r>
            <w:r>
              <w:rPr>
                <w:rFonts w:hint="default"/>
                <w:color w:val="auto"/>
                <w:highlight w:val="none"/>
              </w:rPr>
              <w:t>kg/h</w:t>
            </w:r>
            <w:r>
              <w:rPr>
                <w:rFonts w:hint="eastAsia"/>
                <w:color w:val="auto"/>
                <w:highlight w:val="none"/>
                <w:lang w:eastAsia="zh-CN"/>
              </w:rPr>
              <w:t>）</w:t>
            </w:r>
          </w:p>
        </w:tc>
        <w:tc>
          <w:tcPr>
            <w:tcW w:w="591" w:type="pct"/>
            <w:shd w:val="clear" w:color="auto" w:fill="auto"/>
            <w:vAlign w:val="center"/>
          </w:tcPr>
          <w:p w14:paraId="2D46C694">
            <w:pPr>
              <w:pStyle w:val="17"/>
              <w:bidi w:val="0"/>
              <w:rPr>
                <w:rFonts w:hint="default"/>
                <w:color w:val="auto"/>
                <w:highlight w:val="none"/>
                <w:lang w:val="en-US" w:eastAsia="zh-CN"/>
              </w:rPr>
            </w:pPr>
            <w:r>
              <w:rPr>
                <w:rFonts w:hint="default"/>
                <w:color w:val="auto"/>
                <w:highlight w:val="none"/>
              </w:rPr>
              <w:t>单次持续时间/h</w:t>
            </w:r>
          </w:p>
        </w:tc>
        <w:tc>
          <w:tcPr>
            <w:tcW w:w="404" w:type="pct"/>
            <w:vAlign w:val="center"/>
          </w:tcPr>
          <w:p w14:paraId="2E0DCBA1">
            <w:pPr>
              <w:pStyle w:val="17"/>
              <w:bidi w:val="0"/>
              <w:rPr>
                <w:rFonts w:hint="default"/>
                <w:color w:val="auto"/>
                <w:highlight w:val="none"/>
                <w:lang w:val="en-US" w:eastAsia="zh-CN"/>
              </w:rPr>
            </w:pPr>
            <w:r>
              <w:rPr>
                <w:rFonts w:hint="default"/>
                <w:color w:val="auto"/>
                <w:highlight w:val="none"/>
              </w:rPr>
              <w:t>年发生频次/次</w:t>
            </w:r>
          </w:p>
        </w:tc>
        <w:tc>
          <w:tcPr>
            <w:tcW w:w="392" w:type="pct"/>
            <w:vAlign w:val="center"/>
          </w:tcPr>
          <w:p w14:paraId="713C0C53">
            <w:pPr>
              <w:pStyle w:val="17"/>
              <w:bidi w:val="0"/>
              <w:rPr>
                <w:rFonts w:hint="default"/>
                <w:color w:val="auto"/>
                <w:highlight w:val="none"/>
                <w:lang w:val="en-US" w:eastAsia="zh-CN"/>
              </w:rPr>
            </w:pPr>
            <w:r>
              <w:rPr>
                <w:rFonts w:hint="default"/>
                <w:color w:val="auto"/>
                <w:highlight w:val="none"/>
              </w:rPr>
              <w:t>应对措施</w:t>
            </w:r>
          </w:p>
        </w:tc>
      </w:tr>
      <w:tr w14:paraId="6C12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Merge w:val="restart"/>
            <w:vAlign w:val="center"/>
          </w:tcPr>
          <w:p w14:paraId="47B3818B">
            <w:pPr>
              <w:pStyle w:val="17"/>
              <w:bidi w:val="0"/>
              <w:rPr>
                <w:rFonts w:hint="default"/>
                <w:color w:val="auto"/>
                <w:highlight w:val="none"/>
                <w:lang w:val="en-US" w:eastAsia="zh-CN"/>
              </w:rPr>
            </w:pPr>
            <w:r>
              <w:rPr>
                <w:rFonts w:hint="eastAsia"/>
                <w:color w:val="auto"/>
                <w:highlight w:val="none"/>
                <w:lang w:val="en-US" w:eastAsia="zh-CN"/>
              </w:rPr>
              <w:t>1</w:t>
            </w:r>
          </w:p>
        </w:tc>
        <w:tc>
          <w:tcPr>
            <w:tcW w:w="810" w:type="pct"/>
            <w:vMerge w:val="restart"/>
            <w:shd w:val="clear" w:color="auto" w:fill="auto"/>
            <w:vAlign w:val="center"/>
          </w:tcPr>
          <w:p w14:paraId="63983E51">
            <w:pPr>
              <w:pStyle w:val="17"/>
              <w:bidi w:val="0"/>
              <w:ind w:firstLine="0" w:firstLineChars="0"/>
              <w:rPr>
                <w:rFonts w:hint="eastAsia"/>
                <w:color w:val="auto"/>
                <w:highlight w:val="none"/>
                <w:lang w:val="en-US" w:eastAsia="zh-CN"/>
              </w:rPr>
            </w:pPr>
            <w:r>
              <w:rPr>
                <w:rFonts w:hint="default"/>
                <w:color w:val="auto"/>
                <w:highlight w:val="none"/>
                <w:lang w:eastAsia="zh-CN"/>
              </w:rPr>
              <w:t>粗</w:t>
            </w:r>
            <w:r>
              <w:rPr>
                <w:rFonts w:hint="eastAsia"/>
                <w:color w:val="auto"/>
                <w:highlight w:val="none"/>
                <w:lang w:eastAsia="zh-CN"/>
              </w:rPr>
              <w:t>碎</w:t>
            </w:r>
            <w:r>
              <w:rPr>
                <w:rFonts w:hint="eastAsia"/>
                <w:color w:val="auto"/>
                <w:highlight w:val="none"/>
                <w:lang w:val="en-US" w:eastAsia="zh-CN"/>
              </w:rPr>
              <w:t>仓</w:t>
            </w:r>
            <w:r>
              <w:rPr>
                <w:rFonts w:hint="eastAsia"/>
                <w:color w:val="auto"/>
                <w:highlight w:val="none"/>
              </w:rPr>
              <w:t>排气筒</w:t>
            </w:r>
          </w:p>
        </w:tc>
        <w:tc>
          <w:tcPr>
            <w:tcW w:w="684" w:type="pct"/>
            <w:vMerge w:val="restart"/>
            <w:vAlign w:val="center"/>
          </w:tcPr>
          <w:p w14:paraId="77E66D17">
            <w:pPr>
              <w:pStyle w:val="17"/>
              <w:bidi w:val="0"/>
              <w:rPr>
                <w:rFonts w:hint="default"/>
                <w:color w:val="auto"/>
                <w:highlight w:val="none"/>
                <w:lang w:val="en-US" w:eastAsia="zh-CN"/>
              </w:rPr>
            </w:pPr>
            <w:r>
              <w:rPr>
                <w:rFonts w:hint="eastAsia"/>
                <w:color w:val="auto"/>
                <w:highlight w:val="none"/>
                <w:lang w:val="en-US" w:eastAsia="zh-CN"/>
              </w:rPr>
              <w:t>布袋除尘器布袋破损</w:t>
            </w:r>
            <w:r>
              <w:rPr>
                <w:rFonts w:hint="eastAsia"/>
                <w:color w:val="auto"/>
                <w:highlight w:val="none"/>
              </w:rPr>
              <w:t>，此时粉尘未经处理</w:t>
            </w:r>
            <w:r>
              <w:rPr>
                <w:rFonts w:hint="eastAsia"/>
                <w:color w:val="auto"/>
                <w:highlight w:val="none"/>
                <w:lang w:val="en-US" w:eastAsia="zh-CN"/>
              </w:rPr>
              <w:t>直接排放</w:t>
            </w:r>
          </w:p>
        </w:tc>
        <w:tc>
          <w:tcPr>
            <w:tcW w:w="498" w:type="pct"/>
            <w:shd w:val="clear" w:color="auto" w:fill="auto"/>
            <w:vAlign w:val="center"/>
          </w:tcPr>
          <w:p w14:paraId="0956381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粉尘</w:t>
            </w:r>
          </w:p>
        </w:tc>
        <w:tc>
          <w:tcPr>
            <w:tcW w:w="686" w:type="pct"/>
            <w:shd w:val="clear" w:color="auto" w:fill="auto"/>
            <w:vAlign w:val="center"/>
          </w:tcPr>
          <w:p w14:paraId="5E1A640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1250</w:t>
            </w:r>
          </w:p>
        </w:tc>
        <w:tc>
          <w:tcPr>
            <w:tcW w:w="629" w:type="pct"/>
            <w:shd w:val="clear" w:color="auto" w:fill="auto"/>
            <w:vAlign w:val="center"/>
          </w:tcPr>
          <w:p w14:paraId="36029CC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7.5</w:t>
            </w:r>
          </w:p>
        </w:tc>
        <w:tc>
          <w:tcPr>
            <w:tcW w:w="591" w:type="pct"/>
            <w:vMerge w:val="restart"/>
            <w:shd w:val="clear" w:color="auto" w:fill="auto"/>
            <w:vAlign w:val="center"/>
          </w:tcPr>
          <w:p w14:paraId="6399225E">
            <w:pPr>
              <w:pStyle w:val="17"/>
              <w:bidi w:val="0"/>
              <w:rPr>
                <w:rFonts w:hint="default"/>
                <w:color w:val="auto"/>
                <w:highlight w:val="none"/>
              </w:rPr>
            </w:pPr>
            <w:r>
              <w:rPr>
                <w:rFonts w:hint="eastAsia"/>
                <w:color w:val="auto"/>
                <w:highlight w:val="none"/>
                <w:lang w:val="en-US" w:eastAsia="zh-CN"/>
              </w:rPr>
              <w:t>1</w:t>
            </w:r>
          </w:p>
        </w:tc>
        <w:tc>
          <w:tcPr>
            <w:tcW w:w="404" w:type="pct"/>
            <w:vMerge w:val="restart"/>
            <w:vAlign w:val="center"/>
          </w:tcPr>
          <w:p w14:paraId="39275780">
            <w:pPr>
              <w:pStyle w:val="17"/>
              <w:bidi w:val="0"/>
              <w:rPr>
                <w:rFonts w:hint="default"/>
                <w:color w:val="auto"/>
                <w:highlight w:val="none"/>
              </w:rPr>
            </w:pPr>
            <w:r>
              <w:rPr>
                <w:rFonts w:hint="eastAsia"/>
                <w:color w:val="auto"/>
                <w:highlight w:val="none"/>
                <w:lang w:val="en-US" w:eastAsia="zh-CN"/>
              </w:rPr>
              <w:t>1</w:t>
            </w:r>
          </w:p>
        </w:tc>
        <w:tc>
          <w:tcPr>
            <w:tcW w:w="392" w:type="pct"/>
            <w:vMerge w:val="restart"/>
            <w:vAlign w:val="center"/>
          </w:tcPr>
          <w:p w14:paraId="0F04D7BA">
            <w:pPr>
              <w:pStyle w:val="17"/>
              <w:bidi w:val="0"/>
              <w:rPr>
                <w:rFonts w:hint="default"/>
                <w:color w:val="auto"/>
                <w:highlight w:val="none"/>
              </w:rPr>
            </w:pPr>
            <w:r>
              <w:rPr>
                <w:rFonts w:hint="default"/>
                <w:color w:val="auto"/>
                <w:highlight w:val="none"/>
                <w:lang w:val="en-US" w:eastAsia="zh-CN"/>
              </w:rPr>
              <w:t>一旦发现废气处理设施故障，及时停工检修</w:t>
            </w:r>
          </w:p>
        </w:tc>
      </w:tr>
      <w:tr w14:paraId="55C4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Merge w:val="continue"/>
            <w:vAlign w:val="center"/>
          </w:tcPr>
          <w:p w14:paraId="0E8470C9">
            <w:pPr>
              <w:bidi w:val="0"/>
              <w:jc w:val="center"/>
              <w:rPr>
                <w:rFonts w:hint="eastAsia"/>
                <w:color w:val="auto"/>
                <w:highlight w:val="none"/>
                <w:lang w:val="en-US" w:eastAsia="zh-CN"/>
              </w:rPr>
            </w:pPr>
          </w:p>
        </w:tc>
        <w:tc>
          <w:tcPr>
            <w:tcW w:w="810" w:type="pct"/>
            <w:vMerge w:val="continue"/>
            <w:shd w:val="clear" w:color="auto" w:fill="auto"/>
            <w:vAlign w:val="center"/>
          </w:tcPr>
          <w:p w14:paraId="666C49F3">
            <w:pPr>
              <w:pStyle w:val="17"/>
              <w:bidi w:val="0"/>
              <w:ind w:firstLine="0" w:firstLineChars="0"/>
              <w:rPr>
                <w:rFonts w:hint="default"/>
                <w:color w:val="auto"/>
                <w:highlight w:val="none"/>
                <w:lang w:eastAsia="zh-CN"/>
              </w:rPr>
            </w:pPr>
          </w:p>
        </w:tc>
        <w:tc>
          <w:tcPr>
            <w:tcW w:w="684" w:type="pct"/>
            <w:vMerge w:val="continue"/>
            <w:vAlign w:val="center"/>
          </w:tcPr>
          <w:p w14:paraId="643F2457">
            <w:pPr>
              <w:bidi w:val="0"/>
              <w:jc w:val="center"/>
              <w:rPr>
                <w:rFonts w:hint="eastAsia"/>
                <w:color w:val="auto"/>
                <w:highlight w:val="none"/>
                <w:lang w:val="en-US" w:eastAsia="zh-CN"/>
              </w:rPr>
            </w:pPr>
          </w:p>
        </w:tc>
        <w:tc>
          <w:tcPr>
            <w:tcW w:w="498" w:type="pct"/>
            <w:shd w:val="clear" w:color="auto" w:fill="auto"/>
            <w:vAlign w:val="center"/>
          </w:tcPr>
          <w:p w14:paraId="5685A8B5">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氟化物</w:t>
            </w:r>
          </w:p>
        </w:tc>
        <w:tc>
          <w:tcPr>
            <w:tcW w:w="686" w:type="pct"/>
            <w:shd w:val="clear" w:color="auto" w:fill="auto"/>
            <w:vAlign w:val="center"/>
          </w:tcPr>
          <w:p w14:paraId="79923E2D">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197.25</w:t>
            </w:r>
          </w:p>
        </w:tc>
        <w:tc>
          <w:tcPr>
            <w:tcW w:w="629" w:type="pct"/>
            <w:shd w:val="clear" w:color="auto" w:fill="auto"/>
            <w:vAlign w:val="center"/>
          </w:tcPr>
          <w:p w14:paraId="25F91171">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1.1835</w:t>
            </w:r>
          </w:p>
        </w:tc>
        <w:tc>
          <w:tcPr>
            <w:tcW w:w="591" w:type="pct"/>
            <w:vMerge w:val="continue"/>
            <w:shd w:val="clear" w:color="auto" w:fill="auto"/>
            <w:vAlign w:val="center"/>
          </w:tcPr>
          <w:p w14:paraId="48FD5DAA">
            <w:pPr>
              <w:bidi w:val="0"/>
              <w:jc w:val="center"/>
              <w:rPr>
                <w:rFonts w:hint="eastAsia"/>
                <w:color w:val="auto"/>
                <w:highlight w:val="none"/>
                <w:lang w:val="en-US" w:eastAsia="zh-CN"/>
              </w:rPr>
            </w:pPr>
          </w:p>
        </w:tc>
        <w:tc>
          <w:tcPr>
            <w:tcW w:w="404" w:type="pct"/>
            <w:vMerge w:val="continue"/>
            <w:vAlign w:val="center"/>
          </w:tcPr>
          <w:p w14:paraId="0D7D2100">
            <w:pPr>
              <w:bidi w:val="0"/>
              <w:jc w:val="center"/>
              <w:rPr>
                <w:rFonts w:hint="eastAsia"/>
                <w:color w:val="auto"/>
                <w:highlight w:val="none"/>
                <w:lang w:val="en-US" w:eastAsia="zh-CN"/>
              </w:rPr>
            </w:pPr>
          </w:p>
        </w:tc>
        <w:tc>
          <w:tcPr>
            <w:tcW w:w="392" w:type="pct"/>
            <w:vMerge w:val="continue"/>
            <w:vAlign w:val="center"/>
          </w:tcPr>
          <w:p w14:paraId="15CED8D0">
            <w:pPr>
              <w:bidi w:val="0"/>
              <w:jc w:val="center"/>
              <w:rPr>
                <w:rFonts w:hint="eastAsia"/>
                <w:color w:val="auto"/>
                <w:highlight w:val="none"/>
                <w:lang w:val="en-US" w:eastAsia="zh-CN"/>
              </w:rPr>
            </w:pPr>
          </w:p>
        </w:tc>
      </w:tr>
      <w:tr w14:paraId="3DF3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Merge w:val="restart"/>
            <w:vAlign w:val="center"/>
          </w:tcPr>
          <w:p w14:paraId="7F7B3B02">
            <w:pPr>
              <w:pStyle w:val="17"/>
              <w:bidi w:val="0"/>
              <w:rPr>
                <w:rFonts w:hint="default"/>
                <w:color w:val="auto"/>
                <w:highlight w:val="none"/>
                <w:lang w:val="en-US" w:eastAsia="zh-CN"/>
              </w:rPr>
            </w:pPr>
            <w:r>
              <w:rPr>
                <w:rFonts w:hint="eastAsia"/>
                <w:color w:val="auto"/>
                <w:highlight w:val="none"/>
                <w:lang w:val="en-US" w:eastAsia="zh-CN"/>
              </w:rPr>
              <w:t>2</w:t>
            </w:r>
          </w:p>
        </w:tc>
        <w:tc>
          <w:tcPr>
            <w:tcW w:w="810" w:type="pct"/>
            <w:vMerge w:val="restart"/>
            <w:shd w:val="clear" w:color="auto" w:fill="auto"/>
            <w:vAlign w:val="center"/>
          </w:tcPr>
          <w:p w14:paraId="71621D48">
            <w:pPr>
              <w:pStyle w:val="17"/>
              <w:bidi w:val="0"/>
              <w:ind w:firstLine="0" w:firstLineChars="0"/>
              <w:rPr>
                <w:rFonts w:hint="eastAsia"/>
                <w:color w:val="auto"/>
                <w:highlight w:val="none"/>
                <w:lang w:val="en-US" w:eastAsia="zh-CN"/>
              </w:rPr>
            </w:pPr>
            <w:r>
              <w:rPr>
                <w:rFonts w:hint="eastAsia"/>
                <w:color w:val="auto"/>
                <w:highlight w:val="none"/>
                <w:lang w:val="en-US" w:eastAsia="zh-CN"/>
              </w:rPr>
              <w:t>中细碎厂房</w:t>
            </w:r>
            <w:r>
              <w:rPr>
                <w:rFonts w:hint="eastAsia"/>
                <w:color w:val="auto"/>
                <w:highlight w:val="none"/>
              </w:rPr>
              <w:t>排气筒</w:t>
            </w:r>
          </w:p>
        </w:tc>
        <w:tc>
          <w:tcPr>
            <w:tcW w:w="684" w:type="pct"/>
            <w:vMerge w:val="continue"/>
            <w:vAlign w:val="center"/>
          </w:tcPr>
          <w:p w14:paraId="42F05280">
            <w:pPr>
              <w:bidi w:val="0"/>
              <w:jc w:val="center"/>
              <w:rPr>
                <w:rFonts w:hint="default"/>
                <w:color w:val="auto"/>
                <w:highlight w:val="none"/>
              </w:rPr>
            </w:pPr>
          </w:p>
        </w:tc>
        <w:tc>
          <w:tcPr>
            <w:tcW w:w="498" w:type="pct"/>
            <w:shd w:val="clear" w:color="auto" w:fill="auto"/>
            <w:vAlign w:val="center"/>
          </w:tcPr>
          <w:p w14:paraId="2B78D8C5">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粉尘</w:t>
            </w:r>
          </w:p>
        </w:tc>
        <w:tc>
          <w:tcPr>
            <w:tcW w:w="686" w:type="pct"/>
            <w:shd w:val="clear" w:color="auto" w:fill="auto"/>
            <w:vAlign w:val="center"/>
          </w:tcPr>
          <w:p w14:paraId="6BD42F3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1666.6667</w:t>
            </w:r>
          </w:p>
        </w:tc>
        <w:tc>
          <w:tcPr>
            <w:tcW w:w="629" w:type="pct"/>
            <w:shd w:val="clear" w:color="auto" w:fill="auto"/>
            <w:vAlign w:val="center"/>
          </w:tcPr>
          <w:p w14:paraId="306B742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75</w:t>
            </w:r>
          </w:p>
        </w:tc>
        <w:tc>
          <w:tcPr>
            <w:tcW w:w="591" w:type="pct"/>
            <w:vMerge w:val="continue"/>
            <w:shd w:val="clear" w:color="auto" w:fill="auto"/>
            <w:vAlign w:val="center"/>
          </w:tcPr>
          <w:p w14:paraId="529D95CD">
            <w:pPr>
              <w:bidi w:val="0"/>
              <w:jc w:val="center"/>
              <w:rPr>
                <w:rFonts w:hint="default"/>
                <w:color w:val="auto"/>
                <w:highlight w:val="none"/>
              </w:rPr>
            </w:pPr>
          </w:p>
        </w:tc>
        <w:tc>
          <w:tcPr>
            <w:tcW w:w="404" w:type="pct"/>
            <w:vMerge w:val="restart"/>
            <w:vAlign w:val="center"/>
          </w:tcPr>
          <w:p w14:paraId="0896427A">
            <w:pPr>
              <w:pStyle w:val="17"/>
              <w:bidi w:val="0"/>
              <w:rPr>
                <w:rFonts w:hint="default"/>
                <w:color w:val="auto"/>
                <w:highlight w:val="none"/>
              </w:rPr>
            </w:pPr>
            <w:r>
              <w:rPr>
                <w:rFonts w:hint="eastAsia"/>
                <w:color w:val="auto"/>
                <w:highlight w:val="none"/>
                <w:lang w:val="en-US" w:eastAsia="zh-CN"/>
              </w:rPr>
              <w:t>1</w:t>
            </w:r>
          </w:p>
        </w:tc>
        <w:tc>
          <w:tcPr>
            <w:tcW w:w="392" w:type="pct"/>
            <w:vMerge w:val="continue"/>
            <w:vAlign w:val="center"/>
          </w:tcPr>
          <w:p w14:paraId="0E11228D">
            <w:pPr>
              <w:bidi w:val="0"/>
              <w:jc w:val="center"/>
              <w:rPr>
                <w:rFonts w:hint="default"/>
                <w:color w:val="auto"/>
                <w:highlight w:val="none"/>
              </w:rPr>
            </w:pPr>
          </w:p>
        </w:tc>
      </w:tr>
      <w:tr w14:paraId="436E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Merge w:val="continue"/>
            <w:vAlign w:val="center"/>
          </w:tcPr>
          <w:p w14:paraId="128F76BB">
            <w:pPr>
              <w:bidi w:val="0"/>
              <w:jc w:val="center"/>
              <w:rPr>
                <w:rFonts w:hint="eastAsia"/>
                <w:color w:val="auto"/>
                <w:highlight w:val="none"/>
                <w:lang w:val="en-US" w:eastAsia="zh-CN"/>
              </w:rPr>
            </w:pPr>
          </w:p>
        </w:tc>
        <w:tc>
          <w:tcPr>
            <w:tcW w:w="810" w:type="pct"/>
            <w:vMerge w:val="continue"/>
            <w:shd w:val="clear" w:color="auto" w:fill="auto"/>
            <w:vAlign w:val="center"/>
          </w:tcPr>
          <w:p w14:paraId="628A99BD">
            <w:pPr>
              <w:pStyle w:val="17"/>
              <w:bidi w:val="0"/>
              <w:ind w:firstLine="0" w:firstLineChars="0"/>
              <w:rPr>
                <w:rFonts w:hint="eastAsia"/>
                <w:color w:val="auto"/>
                <w:highlight w:val="none"/>
                <w:lang w:val="en-US" w:eastAsia="zh-CN"/>
              </w:rPr>
            </w:pPr>
          </w:p>
        </w:tc>
        <w:tc>
          <w:tcPr>
            <w:tcW w:w="684" w:type="pct"/>
            <w:vMerge w:val="continue"/>
            <w:vAlign w:val="center"/>
          </w:tcPr>
          <w:p w14:paraId="6B828469">
            <w:pPr>
              <w:bidi w:val="0"/>
              <w:jc w:val="center"/>
              <w:rPr>
                <w:rFonts w:hint="eastAsia"/>
                <w:color w:val="auto"/>
                <w:highlight w:val="none"/>
                <w:lang w:val="en-US" w:eastAsia="zh-CN"/>
              </w:rPr>
            </w:pPr>
          </w:p>
        </w:tc>
        <w:tc>
          <w:tcPr>
            <w:tcW w:w="498" w:type="pct"/>
            <w:shd w:val="clear" w:color="auto" w:fill="auto"/>
            <w:vAlign w:val="center"/>
          </w:tcPr>
          <w:p w14:paraId="008B1A88">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氟化物</w:t>
            </w:r>
          </w:p>
        </w:tc>
        <w:tc>
          <w:tcPr>
            <w:tcW w:w="686" w:type="pct"/>
            <w:shd w:val="clear" w:color="auto" w:fill="auto"/>
            <w:vAlign w:val="center"/>
          </w:tcPr>
          <w:p w14:paraId="54AE1F0F">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263</w:t>
            </w:r>
          </w:p>
        </w:tc>
        <w:tc>
          <w:tcPr>
            <w:tcW w:w="629" w:type="pct"/>
            <w:shd w:val="clear" w:color="auto" w:fill="auto"/>
            <w:vAlign w:val="center"/>
          </w:tcPr>
          <w:p w14:paraId="224DCBA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11.8350</w:t>
            </w:r>
          </w:p>
        </w:tc>
        <w:tc>
          <w:tcPr>
            <w:tcW w:w="591" w:type="pct"/>
            <w:vMerge w:val="continue"/>
            <w:shd w:val="clear" w:color="auto" w:fill="auto"/>
            <w:vAlign w:val="center"/>
          </w:tcPr>
          <w:p w14:paraId="64F11BDB">
            <w:pPr>
              <w:bidi w:val="0"/>
              <w:jc w:val="center"/>
              <w:rPr>
                <w:rFonts w:hint="eastAsia"/>
                <w:color w:val="auto"/>
                <w:highlight w:val="none"/>
                <w:lang w:val="en-US" w:eastAsia="zh-CN"/>
              </w:rPr>
            </w:pPr>
          </w:p>
        </w:tc>
        <w:tc>
          <w:tcPr>
            <w:tcW w:w="404" w:type="pct"/>
            <w:vMerge w:val="continue"/>
            <w:vAlign w:val="center"/>
          </w:tcPr>
          <w:p w14:paraId="2AE9D5B3">
            <w:pPr>
              <w:bidi w:val="0"/>
              <w:jc w:val="center"/>
              <w:rPr>
                <w:rFonts w:hint="eastAsia"/>
                <w:color w:val="auto"/>
                <w:highlight w:val="none"/>
                <w:lang w:val="en-US" w:eastAsia="zh-CN"/>
              </w:rPr>
            </w:pPr>
          </w:p>
        </w:tc>
        <w:tc>
          <w:tcPr>
            <w:tcW w:w="392" w:type="pct"/>
            <w:vMerge w:val="continue"/>
            <w:vAlign w:val="center"/>
          </w:tcPr>
          <w:p w14:paraId="43BAA40D">
            <w:pPr>
              <w:bidi w:val="0"/>
              <w:jc w:val="center"/>
              <w:rPr>
                <w:rFonts w:hint="eastAsia"/>
                <w:color w:val="auto"/>
                <w:highlight w:val="none"/>
                <w:lang w:val="en-US" w:eastAsia="zh-CN"/>
              </w:rPr>
            </w:pPr>
          </w:p>
        </w:tc>
      </w:tr>
      <w:tr w14:paraId="51C7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Merge w:val="restart"/>
            <w:vAlign w:val="center"/>
          </w:tcPr>
          <w:p w14:paraId="0CAE7767">
            <w:pPr>
              <w:pStyle w:val="17"/>
              <w:bidi w:val="0"/>
              <w:rPr>
                <w:rFonts w:hint="default"/>
                <w:color w:val="auto"/>
                <w:highlight w:val="none"/>
                <w:lang w:val="en-US" w:eastAsia="zh-CN"/>
              </w:rPr>
            </w:pPr>
            <w:r>
              <w:rPr>
                <w:rFonts w:hint="eastAsia"/>
                <w:color w:val="auto"/>
                <w:highlight w:val="none"/>
                <w:lang w:val="en-US" w:eastAsia="zh-CN"/>
              </w:rPr>
              <w:t>3</w:t>
            </w:r>
          </w:p>
        </w:tc>
        <w:tc>
          <w:tcPr>
            <w:tcW w:w="810" w:type="pct"/>
            <w:vMerge w:val="restart"/>
            <w:shd w:val="clear" w:color="auto" w:fill="auto"/>
            <w:vAlign w:val="center"/>
          </w:tcPr>
          <w:p w14:paraId="3702F18E">
            <w:pPr>
              <w:pStyle w:val="17"/>
              <w:bidi w:val="0"/>
              <w:ind w:firstLine="0" w:firstLineChars="0"/>
              <w:rPr>
                <w:rFonts w:hint="eastAsia"/>
                <w:color w:val="auto"/>
                <w:highlight w:val="none"/>
                <w:lang w:val="en-US" w:eastAsia="zh-CN"/>
              </w:rPr>
            </w:pPr>
            <w:r>
              <w:rPr>
                <w:rFonts w:hint="default"/>
                <w:color w:val="auto"/>
                <w:highlight w:val="none"/>
                <w:lang w:eastAsia="zh-CN"/>
              </w:rPr>
              <w:t>筛分</w:t>
            </w:r>
            <w:r>
              <w:rPr>
                <w:rFonts w:hint="eastAsia"/>
                <w:color w:val="auto"/>
                <w:highlight w:val="none"/>
                <w:lang w:val="en-US" w:eastAsia="zh-CN"/>
              </w:rPr>
              <w:t>厂房</w:t>
            </w:r>
            <w:r>
              <w:rPr>
                <w:rFonts w:hint="eastAsia"/>
                <w:color w:val="auto"/>
                <w:highlight w:val="none"/>
              </w:rPr>
              <w:t>排气筒</w:t>
            </w:r>
          </w:p>
        </w:tc>
        <w:tc>
          <w:tcPr>
            <w:tcW w:w="684" w:type="pct"/>
            <w:vMerge w:val="continue"/>
            <w:vAlign w:val="center"/>
          </w:tcPr>
          <w:p w14:paraId="59304BB6">
            <w:pPr>
              <w:bidi w:val="0"/>
              <w:jc w:val="center"/>
              <w:rPr>
                <w:rFonts w:hint="default"/>
                <w:color w:val="auto"/>
                <w:highlight w:val="none"/>
              </w:rPr>
            </w:pPr>
          </w:p>
        </w:tc>
        <w:tc>
          <w:tcPr>
            <w:tcW w:w="498" w:type="pct"/>
            <w:shd w:val="clear" w:color="auto" w:fill="auto"/>
            <w:vAlign w:val="center"/>
          </w:tcPr>
          <w:p w14:paraId="7B9E9BE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粉尘</w:t>
            </w:r>
          </w:p>
        </w:tc>
        <w:tc>
          <w:tcPr>
            <w:tcW w:w="686" w:type="pct"/>
            <w:shd w:val="clear" w:color="auto" w:fill="auto"/>
            <w:vAlign w:val="center"/>
          </w:tcPr>
          <w:p w14:paraId="0257A8D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1071.4286</w:t>
            </w:r>
          </w:p>
        </w:tc>
        <w:tc>
          <w:tcPr>
            <w:tcW w:w="629" w:type="pct"/>
            <w:shd w:val="clear" w:color="auto" w:fill="auto"/>
            <w:vAlign w:val="center"/>
          </w:tcPr>
          <w:p w14:paraId="621AE31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75</w:t>
            </w:r>
          </w:p>
        </w:tc>
        <w:tc>
          <w:tcPr>
            <w:tcW w:w="591" w:type="pct"/>
            <w:vMerge w:val="continue"/>
            <w:shd w:val="clear" w:color="auto" w:fill="auto"/>
            <w:vAlign w:val="center"/>
          </w:tcPr>
          <w:p w14:paraId="706FC8DC">
            <w:pPr>
              <w:bidi w:val="0"/>
              <w:jc w:val="center"/>
              <w:rPr>
                <w:rFonts w:hint="default"/>
                <w:color w:val="auto"/>
                <w:highlight w:val="none"/>
              </w:rPr>
            </w:pPr>
          </w:p>
        </w:tc>
        <w:tc>
          <w:tcPr>
            <w:tcW w:w="404" w:type="pct"/>
            <w:vMerge w:val="restart"/>
            <w:vAlign w:val="center"/>
          </w:tcPr>
          <w:p w14:paraId="129C5C04">
            <w:pPr>
              <w:pStyle w:val="17"/>
              <w:bidi w:val="0"/>
              <w:rPr>
                <w:rFonts w:hint="default"/>
                <w:color w:val="auto"/>
                <w:highlight w:val="none"/>
              </w:rPr>
            </w:pPr>
            <w:r>
              <w:rPr>
                <w:rFonts w:hint="eastAsia"/>
                <w:color w:val="auto"/>
                <w:highlight w:val="none"/>
                <w:lang w:val="en-US" w:eastAsia="zh-CN"/>
              </w:rPr>
              <w:t>1</w:t>
            </w:r>
          </w:p>
        </w:tc>
        <w:tc>
          <w:tcPr>
            <w:tcW w:w="392" w:type="pct"/>
            <w:vMerge w:val="continue"/>
            <w:vAlign w:val="center"/>
          </w:tcPr>
          <w:p w14:paraId="6A906BD1">
            <w:pPr>
              <w:bidi w:val="0"/>
              <w:jc w:val="center"/>
              <w:rPr>
                <w:rFonts w:hint="default"/>
                <w:color w:val="auto"/>
                <w:highlight w:val="none"/>
              </w:rPr>
            </w:pPr>
          </w:p>
        </w:tc>
      </w:tr>
      <w:tr w14:paraId="58A3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Merge w:val="continue"/>
            <w:vAlign w:val="center"/>
          </w:tcPr>
          <w:p w14:paraId="0E763CAB">
            <w:pPr>
              <w:bidi w:val="0"/>
              <w:jc w:val="center"/>
              <w:rPr>
                <w:rFonts w:hint="eastAsia"/>
                <w:color w:val="auto"/>
                <w:highlight w:val="none"/>
                <w:lang w:val="en-US" w:eastAsia="zh-CN"/>
              </w:rPr>
            </w:pPr>
          </w:p>
        </w:tc>
        <w:tc>
          <w:tcPr>
            <w:tcW w:w="810" w:type="pct"/>
            <w:vMerge w:val="continue"/>
            <w:shd w:val="clear" w:color="auto" w:fill="auto"/>
            <w:vAlign w:val="center"/>
          </w:tcPr>
          <w:p w14:paraId="682565FE">
            <w:pPr>
              <w:pStyle w:val="17"/>
              <w:bidi w:val="0"/>
              <w:ind w:firstLine="0" w:firstLineChars="0"/>
              <w:rPr>
                <w:rFonts w:hint="default"/>
                <w:color w:val="auto"/>
                <w:highlight w:val="none"/>
                <w:lang w:eastAsia="zh-CN"/>
              </w:rPr>
            </w:pPr>
          </w:p>
        </w:tc>
        <w:tc>
          <w:tcPr>
            <w:tcW w:w="684" w:type="pct"/>
            <w:vMerge w:val="continue"/>
            <w:vAlign w:val="center"/>
          </w:tcPr>
          <w:p w14:paraId="75C5FC93">
            <w:pPr>
              <w:bidi w:val="0"/>
              <w:jc w:val="center"/>
              <w:rPr>
                <w:rFonts w:hint="eastAsia"/>
                <w:color w:val="auto"/>
                <w:highlight w:val="none"/>
                <w:lang w:val="en-US" w:eastAsia="zh-CN"/>
              </w:rPr>
            </w:pPr>
          </w:p>
        </w:tc>
        <w:tc>
          <w:tcPr>
            <w:tcW w:w="498" w:type="pct"/>
            <w:shd w:val="clear" w:color="auto" w:fill="auto"/>
            <w:vAlign w:val="center"/>
          </w:tcPr>
          <w:p w14:paraId="34B712F2">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氟化物</w:t>
            </w:r>
          </w:p>
        </w:tc>
        <w:tc>
          <w:tcPr>
            <w:tcW w:w="686" w:type="pct"/>
            <w:shd w:val="clear" w:color="auto" w:fill="auto"/>
            <w:vAlign w:val="center"/>
          </w:tcPr>
          <w:p w14:paraId="0982DCE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169.0714</w:t>
            </w:r>
          </w:p>
        </w:tc>
        <w:tc>
          <w:tcPr>
            <w:tcW w:w="629" w:type="pct"/>
            <w:shd w:val="clear" w:color="auto" w:fill="auto"/>
            <w:vAlign w:val="center"/>
          </w:tcPr>
          <w:p w14:paraId="3956F0F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11.8350</w:t>
            </w:r>
          </w:p>
        </w:tc>
        <w:tc>
          <w:tcPr>
            <w:tcW w:w="591" w:type="pct"/>
            <w:vMerge w:val="continue"/>
            <w:shd w:val="clear" w:color="auto" w:fill="auto"/>
            <w:vAlign w:val="center"/>
          </w:tcPr>
          <w:p w14:paraId="2812ACEF">
            <w:pPr>
              <w:bidi w:val="0"/>
              <w:jc w:val="center"/>
              <w:rPr>
                <w:rFonts w:hint="eastAsia"/>
                <w:color w:val="auto"/>
                <w:highlight w:val="none"/>
                <w:lang w:val="en-US" w:eastAsia="zh-CN"/>
              </w:rPr>
            </w:pPr>
          </w:p>
        </w:tc>
        <w:tc>
          <w:tcPr>
            <w:tcW w:w="404" w:type="pct"/>
            <w:vMerge w:val="continue"/>
            <w:vAlign w:val="center"/>
          </w:tcPr>
          <w:p w14:paraId="72C5DE1B">
            <w:pPr>
              <w:bidi w:val="0"/>
              <w:jc w:val="center"/>
              <w:rPr>
                <w:rFonts w:hint="eastAsia"/>
                <w:color w:val="auto"/>
                <w:highlight w:val="none"/>
                <w:lang w:val="en-US" w:eastAsia="zh-CN"/>
              </w:rPr>
            </w:pPr>
          </w:p>
        </w:tc>
        <w:tc>
          <w:tcPr>
            <w:tcW w:w="392" w:type="pct"/>
            <w:vMerge w:val="continue"/>
            <w:vAlign w:val="center"/>
          </w:tcPr>
          <w:p w14:paraId="77507E69">
            <w:pPr>
              <w:bidi w:val="0"/>
              <w:jc w:val="center"/>
              <w:rPr>
                <w:rFonts w:hint="eastAsia"/>
                <w:color w:val="auto"/>
                <w:highlight w:val="none"/>
                <w:lang w:val="en-US" w:eastAsia="zh-CN"/>
              </w:rPr>
            </w:pPr>
          </w:p>
        </w:tc>
      </w:tr>
      <w:tr w14:paraId="18FB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Merge w:val="restart"/>
            <w:vAlign w:val="center"/>
          </w:tcPr>
          <w:p w14:paraId="1197FEEB">
            <w:pPr>
              <w:pStyle w:val="17"/>
              <w:bidi w:val="0"/>
              <w:rPr>
                <w:rFonts w:hint="default"/>
                <w:color w:val="auto"/>
                <w:highlight w:val="none"/>
                <w:lang w:val="en-US" w:eastAsia="zh-CN"/>
              </w:rPr>
            </w:pPr>
            <w:r>
              <w:rPr>
                <w:rFonts w:hint="eastAsia"/>
                <w:color w:val="auto"/>
                <w:highlight w:val="none"/>
                <w:lang w:val="en-US" w:eastAsia="zh-CN"/>
              </w:rPr>
              <w:t>4</w:t>
            </w:r>
          </w:p>
        </w:tc>
        <w:tc>
          <w:tcPr>
            <w:tcW w:w="810" w:type="pct"/>
            <w:vMerge w:val="restart"/>
            <w:shd w:val="clear" w:color="auto" w:fill="auto"/>
            <w:vAlign w:val="center"/>
          </w:tcPr>
          <w:p w14:paraId="2532A0A5">
            <w:pPr>
              <w:pStyle w:val="17"/>
              <w:bidi w:val="0"/>
              <w:ind w:firstLine="0" w:firstLineChars="0"/>
              <w:rPr>
                <w:rFonts w:hint="eastAsia"/>
                <w:color w:val="auto"/>
                <w:highlight w:val="none"/>
              </w:rPr>
            </w:pPr>
            <w:r>
              <w:rPr>
                <w:rFonts w:hint="eastAsia"/>
                <w:color w:val="auto"/>
                <w:highlight w:val="none"/>
                <w:lang w:val="en-US" w:eastAsia="zh-CN"/>
              </w:rPr>
              <w:t>粉矿仓</w:t>
            </w:r>
            <w:r>
              <w:rPr>
                <w:rFonts w:hint="eastAsia"/>
                <w:color w:val="auto"/>
                <w:highlight w:val="none"/>
              </w:rPr>
              <w:t>排气筒</w:t>
            </w:r>
          </w:p>
        </w:tc>
        <w:tc>
          <w:tcPr>
            <w:tcW w:w="684" w:type="pct"/>
            <w:vMerge w:val="continue"/>
            <w:vAlign w:val="center"/>
          </w:tcPr>
          <w:p w14:paraId="2EE38EA0">
            <w:pPr>
              <w:bidi w:val="0"/>
              <w:jc w:val="center"/>
              <w:rPr>
                <w:rFonts w:hint="eastAsia"/>
                <w:color w:val="auto"/>
                <w:highlight w:val="none"/>
                <w:lang w:val="en-US" w:eastAsia="zh-CN"/>
              </w:rPr>
            </w:pPr>
          </w:p>
        </w:tc>
        <w:tc>
          <w:tcPr>
            <w:tcW w:w="498" w:type="pct"/>
            <w:shd w:val="clear" w:color="auto" w:fill="auto"/>
            <w:vAlign w:val="center"/>
          </w:tcPr>
          <w:p w14:paraId="7D01350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粉尘</w:t>
            </w:r>
          </w:p>
        </w:tc>
        <w:tc>
          <w:tcPr>
            <w:tcW w:w="686" w:type="pct"/>
            <w:shd w:val="clear" w:color="auto" w:fill="auto"/>
            <w:vAlign w:val="center"/>
          </w:tcPr>
          <w:p w14:paraId="072A297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1250</w:t>
            </w:r>
          </w:p>
        </w:tc>
        <w:tc>
          <w:tcPr>
            <w:tcW w:w="629" w:type="pct"/>
            <w:shd w:val="clear" w:color="auto" w:fill="auto"/>
            <w:vAlign w:val="center"/>
          </w:tcPr>
          <w:p w14:paraId="4F990A7E">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7.5</w:t>
            </w:r>
          </w:p>
        </w:tc>
        <w:tc>
          <w:tcPr>
            <w:tcW w:w="591" w:type="pct"/>
            <w:vMerge w:val="continue"/>
            <w:shd w:val="clear" w:color="auto" w:fill="auto"/>
            <w:vAlign w:val="center"/>
          </w:tcPr>
          <w:p w14:paraId="25143AEE">
            <w:pPr>
              <w:bidi w:val="0"/>
              <w:jc w:val="center"/>
              <w:rPr>
                <w:rFonts w:hint="eastAsia"/>
                <w:color w:val="auto"/>
                <w:highlight w:val="none"/>
                <w:lang w:val="en-US" w:eastAsia="zh-CN"/>
              </w:rPr>
            </w:pPr>
          </w:p>
        </w:tc>
        <w:tc>
          <w:tcPr>
            <w:tcW w:w="404" w:type="pct"/>
            <w:vMerge w:val="restart"/>
            <w:vAlign w:val="center"/>
          </w:tcPr>
          <w:p w14:paraId="26751C7B">
            <w:pPr>
              <w:pStyle w:val="17"/>
              <w:bidi w:val="0"/>
              <w:rPr>
                <w:rFonts w:hint="default"/>
                <w:color w:val="auto"/>
                <w:highlight w:val="none"/>
                <w:lang w:val="en-US" w:eastAsia="zh-CN"/>
              </w:rPr>
            </w:pPr>
            <w:r>
              <w:rPr>
                <w:rFonts w:hint="eastAsia"/>
                <w:color w:val="auto"/>
                <w:highlight w:val="none"/>
                <w:lang w:val="en-US" w:eastAsia="zh-CN"/>
              </w:rPr>
              <w:t>1</w:t>
            </w:r>
          </w:p>
        </w:tc>
        <w:tc>
          <w:tcPr>
            <w:tcW w:w="392" w:type="pct"/>
            <w:vMerge w:val="continue"/>
            <w:vAlign w:val="center"/>
          </w:tcPr>
          <w:p w14:paraId="013C10C2">
            <w:pPr>
              <w:bidi w:val="0"/>
              <w:jc w:val="center"/>
              <w:rPr>
                <w:rFonts w:hint="eastAsia"/>
                <w:color w:val="auto"/>
                <w:highlight w:val="none"/>
                <w:lang w:val="en-US" w:eastAsia="zh-CN"/>
              </w:rPr>
            </w:pPr>
          </w:p>
        </w:tc>
      </w:tr>
      <w:tr w14:paraId="4D0F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Merge w:val="continue"/>
            <w:vAlign w:val="center"/>
          </w:tcPr>
          <w:p w14:paraId="576970F5">
            <w:pPr>
              <w:bidi w:val="0"/>
              <w:jc w:val="center"/>
              <w:rPr>
                <w:rFonts w:hint="eastAsia"/>
                <w:color w:val="auto"/>
                <w:highlight w:val="none"/>
                <w:lang w:val="en-US" w:eastAsia="zh-CN"/>
              </w:rPr>
            </w:pPr>
          </w:p>
        </w:tc>
        <w:tc>
          <w:tcPr>
            <w:tcW w:w="810" w:type="pct"/>
            <w:vMerge w:val="continue"/>
            <w:shd w:val="clear" w:color="auto" w:fill="auto"/>
            <w:vAlign w:val="center"/>
          </w:tcPr>
          <w:p w14:paraId="06EA9A9F">
            <w:pPr>
              <w:pStyle w:val="17"/>
              <w:bidi w:val="0"/>
              <w:ind w:firstLine="0" w:firstLineChars="0"/>
              <w:rPr>
                <w:rFonts w:hint="eastAsia"/>
                <w:color w:val="auto"/>
                <w:highlight w:val="none"/>
                <w:lang w:val="en-US" w:eastAsia="zh-CN"/>
              </w:rPr>
            </w:pPr>
          </w:p>
        </w:tc>
        <w:tc>
          <w:tcPr>
            <w:tcW w:w="684" w:type="pct"/>
            <w:vMerge w:val="continue"/>
            <w:vAlign w:val="center"/>
          </w:tcPr>
          <w:p w14:paraId="0C9D186B">
            <w:pPr>
              <w:bidi w:val="0"/>
              <w:jc w:val="center"/>
              <w:rPr>
                <w:rFonts w:hint="eastAsia"/>
                <w:color w:val="auto"/>
                <w:highlight w:val="none"/>
                <w:lang w:val="en-US" w:eastAsia="zh-CN"/>
              </w:rPr>
            </w:pPr>
          </w:p>
        </w:tc>
        <w:tc>
          <w:tcPr>
            <w:tcW w:w="498" w:type="pct"/>
            <w:shd w:val="clear" w:color="auto" w:fill="auto"/>
            <w:vAlign w:val="center"/>
          </w:tcPr>
          <w:p w14:paraId="5C0DE04D">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氟化物</w:t>
            </w:r>
          </w:p>
        </w:tc>
        <w:tc>
          <w:tcPr>
            <w:tcW w:w="686" w:type="pct"/>
            <w:shd w:val="clear" w:color="auto" w:fill="auto"/>
            <w:vAlign w:val="center"/>
          </w:tcPr>
          <w:p w14:paraId="51420234">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197.25</w:t>
            </w:r>
          </w:p>
        </w:tc>
        <w:tc>
          <w:tcPr>
            <w:tcW w:w="629" w:type="pct"/>
            <w:shd w:val="clear" w:color="auto" w:fill="auto"/>
            <w:vAlign w:val="center"/>
          </w:tcPr>
          <w:p w14:paraId="66654A7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1.1835</w:t>
            </w:r>
          </w:p>
        </w:tc>
        <w:tc>
          <w:tcPr>
            <w:tcW w:w="591" w:type="pct"/>
            <w:vMerge w:val="continue"/>
            <w:shd w:val="clear" w:color="auto" w:fill="auto"/>
            <w:vAlign w:val="center"/>
          </w:tcPr>
          <w:p w14:paraId="5F618E2D">
            <w:pPr>
              <w:bidi w:val="0"/>
              <w:jc w:val="center"/>
              <w:rPr>
                <w:rFonts w:hint="eastAsia"/>
                <w:color w:val="auto"/>
                <w:highlight w:val="none"/>
                <w:lang w:val="en-US" w:eastAsia="zh-CN"/>
              </w:rPr>
            </w:pPr>
          </w:p>
        </w:tc>
        <w:tc>
          <w:tcPr>
            <w:tcW w:w="404" w:type="pct"/>
            <w:vMerge w:val="continue"/>
            <w:vAlign w:val="center"/>
          </w:tcPr>
          <w:p w14:paraId="23D5EBA0">
            <w:pPr>
              <w:bidi w:val="0"/>
              <w:jc w:val="center"/>
              <w:rPr>
                <w:rFonts w:hint="eastAsia"/>
                <w:color w:val="auto"/>
                <w:highlight w:val="none"/>
                <w:lang w:val="en-US" w:eastAsia="zh-CN"/>
              </w:rPr>
            </w:pPr>
          </w:p>
        </w:tc>
        <w:tc>
          <w:tcPr>
            <w:tcW w:w="392" w:type="pct"/>
            <w:vMerge w:val="continue"/>
            <w:vAlign w:val="center"/>
          </w:tcPr>
          <w:p w14:paraId="5C3977F7">
            <w:pPr>
              <w:bidi w:val="0"/>
              <w:jc w:val="center"/>
              <w:rPr>
                <w:rFonts w:hint="eastAsia"/>
                <w:color w:val="auto"/>
                <w:highlight w:val="none"/>
                <w:lang w:val="en-US" w:eastAsia="zh-CN"/>
              </w:rPr>
            </w:pPr>
          </w:p>
        </w:tc>
      </w:tr>
      <w:tr w14:paraId="7B85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 w:type="pct"/>
            <w:vAlign w:val="center"/>
          </w:tcPr>
          <w:p w14:paraId="1C25057F">
            <w:pPr>
              <w:pStyle w:val="17"/>
              <w:bidi w:val="0"/>
              <w:rPr>
                <w:rFonts w:hint="default"/>
                <w:color w:val="auto"/>
                <w:highlight w:val="none"/>
                <w:lang w:val="en-US" w:eastAsia="zh-CN"/>
              </w:rPr>
            </w:pPr>
            <w:r>
              <w:rPr>
                <w:rFonts w:hint="eastAsia"/>
                <w:color w:val="auto"/>
                <w:highlight w:val="none"/>
                <w:lang w:val="en-US" w:eastAsia="zh-CN"/>
              </w:rPr>
              <w:t>5</w:t>
            </w:r>
          </w:p>
        </w:tc>
        <w:tc>
          <w:tcPr>
            <w:tcW w:w="810" w:type="pct"/>
            <w:shd w:val="clear" w:color="auto" w:fill="auto"/>
            <w:vAlign w:val="center"/>
          </w:tcPr>
          <w:p w14:paraId="21496C9F">
            <w:pPr>
              <w:pStyle w:val="17"/>
              <w:bidi w:val="0"/>
              <w:ind w:firstLine="0" w:firstLineChars="0"/>
              <w:rPr>
                <w:rFonts w:hint="eastAsia"/>
                <w:color w:val="auto"/>
                <w:highlight w:val="none"/>
              </w:rPr>
            </w:pPr>
            <w:r>
              <w:rPr>
                <w:rFonts w:hint="eastAsia"/>
                <w:color w:val="auto"/>
                <w:highlight w:val="none"/>
                <w:lang w:val="en-US" w:eastAsia="zh-CN"/>
              </w:rPr>
              <w:t>硫酸稀释车间排气筒</w:t>
            </w:r>
          </w:p>
        </w:tc>
        <w:tc>
          <w:tcPr>
            <w:tcW w:w="684" w:type="pct"/>
            <w:vAlign w:val="center"/>
          </w:tcPr>
          <w:p w14:paraId="66CCA629">
            <w:pPr>
              <w:pStyle w:val="17"/>
              <w:bidi w:val="0"/>
              <w:rPr>
                <w:rFonts w:hint="eastAsia"/>
                <w:color w:val="auto"/>
                <w:highlight w:val="none"/>
                <w:lang w:val="en-US" w:eastAsia="zh-CN"/>
              </w:rPr>
            </w:pPr>
            <w:r>
              <w:rPr>
                <w:rFonts w:hint="eastAsia"/>
                <w:color w:val="auto"/>
                <w:highlight w:val="none"/>
                <w:lang w:val="en-US" w:eastAsia="zh-CN"/>
              </w:rPr>
              <w:t>硫酸吸收塔故障，吸收效率降低50%</w:t>
            </w:r>
          </w:p>
        </w:tc>
        <w:tc>
          <w:tcPr>
            <w:tcW w:w="498" w:type="pct"/>
            <w:shd w:val="clear" w:color="auto" w:fill="auto"/>
            <w:vAlign w:val="center"/>
          </w:tcPr>
          <w:p w14:paraId="4BFABFD2">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硫酸雾</w:t>
            </w:r>
          </w:p>
        </w:tc>
        <w:tc>
          <w:tcPr>
            <w:tcW w:w="686" w:type="pct"/>
            <w:shd w:val="clear" w:color="auto" w:fill="auto"/>
            <w:vAlign w:val="center"/>
          </w:tcPr>
          <w:p w14:paraId="390F74B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98.0833</w:t>
            </w:r>
          </w:p>
        </w:tc>
        <w:tc>
          <w:tcPr>
            <w:tcW w:w="629" w:type="pct"/>
            <w:shd w:val="clear" w:color="auto" w:fill="auto"/>
            <w:vAlign w:val="center"/>
          </w:tcPr>
          <w:p w14:paraId="136946D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0.7062</w:t>
            </w:r>
          </w:p>
        </w:tc>
        <w:tc>
          <w:tcPr>
            <w:tcW w:w="591" w:type="pct"/>
            <w:vMerge w:val="continue"/>
            <w:shd w:val="clear" w:color="auto" w:fill="auto"/>
            <w:vAlign w:val="center"/>
          </w:tcPr>
          <w:p w14:paraId="00D90293">
            <w:pPr>
              <w:bidi w:val="0"/>
              <w:jc w:val="center"/>
              <w:rPr>
                <w:rFonts w:hint="eastAsia"/>
                <w:color w:val="auto"/>
                <w:highlight w:val="none"/>
                <w:lang w:val="en-US" w:eastAsia="zh-CN"/>
              </w:rPr>
            </w:pPr>
          </w:p>
        </w:tc>
        <w:tc>
          <w:tcPr>
            <w:tcW w:w="404" w:type="pct"/>
            <w:vAlign w:val="center"/>
          </w:tcPr>
          <w:p w14:paraId="28240116">
            <w:pPr>
              <w:pStyle w:val="17"/>
              <w:bidi w:val="0"/>
              <w:rPr>
                <w:rFonts w:hint="default"/>
                <w:color w:val="auto"/>
                <w:highlight w:val="none"/>
                <w:lang w:val="en-US" w:eastAsia="zh-CN"/>
              </w:rPr>
            </w:pPr>
            <w:r>
              <w:rPr>
                <w:rFonts w:hint="eastAsia"/>
                <w:color w:val="auto"/>
                <w:highlight w:val="none"/>
                <w:lang w:val="en-US" w:eastAsia="zh-CN"/>
              </w:rPr>
              <w:t>1</w:t>
            </w:r>
          </w:p>
        </w:tc>
        <w:tc>
          <w:tcPr>
            <w:tcW w:w="392" w:type="pct"/>
            <w:vMerge w:val="continue"/>
            <w:vAlign w:val="center"/>
          </w:tcPr>
          <w:p w14:paraId="1E565FC7">
            <w:pPr>
              <w:bidi w:val="0"/>
              <w:jc w:val="center"/>
              <w:rPr>
                <w:rFonts w:hint="eastAsia"/>
                <w:color w:val="auto"/>
                <w:highlight w:val="none"/>
                <w:lang w:val="en-US" w:eastAsia="zh-CN"/>
              </w:rPr>
            </w:pPr>
          </w:p>
        </w:tc>
      </w:tr>
    </w:tbl>
    <w:p w14:paraId="766994C0">
      <w:pPr>
        <w:bidi w:val="0"/>
        <w:rPr>
          <w:rFonts w:hint="default"/>
          <w:color w:val="auto"/>
          <w:highlight w:val="none"/>
          <w:lang w:val="en-US" w:eastAsia="zh-CN"/>
        </w:rPr>
      </w:pPr>
      <w:r>
        <w:rPr>
          <w:rFonts w:hint="default"/>
          <w:color w:val="auto"/>
          <w:highlight w:val="none"/>
          <w:lang w:val="en-US" w:eastAsia="zh-CN"/>
        </w:rPr>
        <w:t>为防止生产废气非正常排放，应采取以下防范措施：</w:t>
      </w:r>
    </w:p>
    <w:p w14:paraId="2C61643B">
      <w:pPr>
        <w:bidi w:val="0"/>
        <w:rPr>
          <w:rFonts w:hint="default"/>
          <w:color w:val="auto"/>
          <w:highlight w:val="none"/>
          <w:lang w:val="en-US" w:eastAsia="zh-CN"/>
        </w:rPr>
      </w:pPr>
      <w:r>
        <w:rPr>
          <w:rFonts w:hint="default"/>
          <w:color w:val="auto"/>
          <w:highlight w:val="none"/>
          <w:lang w:val="en-US" w:eastAsia="zh-CN"/>
        </w:rPr>
        <w:t>①安排环保专员，加强巡检，一旦发现废气处理设施故障，及时停工检修，减少非正常工况持续时间；待废气处理设施正常运转后，方可正常生产。</w:t>
      </w:r>
    </w:p>
    <w:p w14:paraId="7CDEA1AB">
      <w:pPr>
        <w:bidi w:val="0"/>
        <w:rPr>
          <w:rFonts w:hint="default"/>
          <w:color w:val="auto"/>
          <w:highlight w:val="none"/>
          <w:lang w:val="en-US" w:eastAsia="zh-CN"/>
        </w:rPr>
      </w:pPr>
      <w:r>
        <w:rPr>
          <w:rFonts w:hint="default"/>
          <w:color w:val="auto"/>
          <w:highlight w:val="none"/>
          <w:lang w:val="en-US" w:eastAsia="zh-CN"/>
        </w:rPr>
        <w:t>②注意废气处理设施的维护保养，及时发现处理设备的隐患，保持设备净化能力，确保废气稳定达标排放。</w:t>
      </w:r>
    </w:p>
    <w:p w14:paraId="544AE308">
      <w:pPr>
        <w:bidi w:val="0"/>
        <w:rPr>
          <w:rFonts w:hint="default"/>
          <w:color w:val="auto"/>
          <w:highlight w:val="none"/>
          <w:lang w:val="en-US" w:eastAsia="zh-CN"/>
        </w:rPr>
      </w:pPr>
      <w:r>
        <w:rPr>
          <w:rFonts w:hint="default"/>
          <w:color w:val="auto"/>
          <w:highlight w:val="none"/>
          <w:lang w:val="en-US" w:eastAsia="zh-CN"/>
        </w:rPr>
        <w:t>③废气净化装置应先于生产工序启动，并同步运行，滞后关闭。</w:t>
      </w:r>
    </w:p>
    <w:p w14:paraId="4FFAE259">
      <w:pPr>
        <w:bidi w:val="0"/>
        <w:rPr>
          <w:rFonts w:hint="default"/>
          <w:color w:val="auto"/>
          <w:highlight w:val="none"/>
          <w:lang w:val="en-US" w:eastAsia="zh-CN"/>
        </w:rPr>
      </w:pPr>
      <w:r>
        <w:rPr>
          <w:rFonts w:hint="default"/>
          <w:color w:val="auto"/>
          <w:highlight w:val="none"/>
          <w:lang w:val="en-US" w:eastAsia="zh-CN"/>
        </w:rPr>
        <w:t>④建立健全的环保管理机构，对环保管理人员和技术人员进行岗位培训，委托具有专业资质的环境检测单位对排放废气污染物进行定期检测。</w:t>
      </w:r>
    </w:p>
    <w:p w14:paraId="21F22DFA">
      <w:pPr>
        <w:bidi w:val="0"/>
        <w:rPr>
          <w:rFonts w:hint="default"/>
          <w:color w:val="auto"/>
          <w:highlight w:val="none"/>
          <w:lang w:val="en-US" w:eastAsia="zh-CN"/>
        </w:rPr>
      </w:pPr>
      <w:r>
        <w:rPr>
          <w:rFonts w:hint="default"/>
          <w:color w:val="auto"/>
          <w:highlight w:val="none"/>
          <w:lang w:val="en-US" w:eastAsia="zh-CN"/>
        </w:rPr>
        <w:t>综上，经采取上述措施后，本项目的建设对周围环境影响较小。</w:t>
      </w:r>
    </w:p>
    <w:p w14:paraId="4AF3AB12">
      <w:pPr>
        <w:pStyle w:val="7"/>
        <w:bidi w:val="0"/>
        <w:rPr>
          <w:rFonts w:hint="default" w:ascii="Times New Roman" w:hAnsi="Times New Roman" w:eastAsia="宋体" w:cs="Times New Roman"/>
          <w:color w:val="auto"/>
          <w:kern w:val="0"/>
          <w:sz w:val="24"/>
          <w:szCs w:val="24"/>
          <w:highlight w:val="none"/>
          <w:lang w:val="en-US" w:eastAsia="zh-CN"/>
        </w:rPr>
      </w:pPr>
      <w:r>
        <w:rPr>
          <w:rFonts w:hint="eastAsia"/>
          <w:color w:val="auto"/>
          <w:highlight w:val="none"/>
          <w:lang w:val="en-US" w:eastAsia="zh-CN"/>
        </w:rPr>
        <w:t>5.2.1.2</w:t>
      </w:r>
      <w:r>
        <w:rPr>
          <w:rFonts w:hint="default" w:ascii="Times New Roman" w:hAnsi="Times New Roman" w:eastAsia="宋体" w:cs="Times New Roman"/>
          <w:color w:val="auto"/>
          <w:kern w:val="0"/>
          <w:sz w:val="24"/>
          <w:szCs w:val="24"/>
          <w:highlight w:val="none"/>
          <w:lang w:val="en-US" w:eastAsia="zh-CN"/>
        </w:rPr>
        <w:t>大气环境防护距离</w:t>
      </w:r>
    </w:p>
    <w:p w14:paraId="7F130816">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根据《环境影响评价技术导则 大气环境》（HJ2.2-2018）要求，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w:t>
      </w:r>
    </w:p>
    <w:p w14:paraId="2192255A">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default" w:ascii="Times New Roman" w:hAnsi="Times New Roman" w:eastAsia="宋体" w:cs="Times New Roman"/>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本项目经</w:t>
      </w:r>
      <w:r>
        <w:rPr>
          <w:rFonts w:hint="default" w:ascii="Times New Roman" w:hAnsi="Times New Roman" w:eastAsia="宋体" w:cs="Times New Roman"/>
          <w:color w:val="auto"/>
          <w:kern w:val="0"/>
          <w:sz w:val="24"/>
          <w:szCs w:val="24"/>
          <w:highlight w:val="none"/>
          <w:lang w:val="en-US" w:eastAsia="zh-CN"/>
        </w:rPr>
        <w:t>估算各污染物没有超出环境质量标准浓度限值，因此本次环评不设置大气防护距离。</w:t>
      </w:r>
    </w:p>
    <w:p w14:paraId="13E2D61E">
      <w:pPr>
        <w:pStyle w:val="7"/>
        <w:bidi w:val="0"/>
        <w:rPr>
          <w:color w:val="auto"/>
          <w:highlight w:val="none"/>
        </w:rPr>
      </w:pPr>
      <w:r>
        <w:rPr>
          <w:color w:val="auto"/>
          <w:highlight w:val="none"/>
        </w:rPr>
        <w:t>5.2.</w:t>
      </w:r>
      <w:r>
        <w:rPr>
          <w:rFonts w:hint="eastAsia"/>
          <w:color w:val="auto"/>
          <w:highlight w:val="none"/>
        </w:rPr>
        <w:t>1.</w:t>
      </w:r>
      <w:r>
        <w:rPr>
          <w:rFonts w:hint="eastAsia"/>
          <w:color w:val="auto"/>
          <w:highlight w:val="none"/>
          <w:lang w:val="en-US" w:eastAsia="zh-CN"/>
        </w:rPr>
        <w:t>3</w:t>
      </w:r>
      <w:r>
        <w:rPr>
          <w:color w:val="auto"/>
          <w:highlight w:val="none"/>
        </w:rPr>
        <w:t>大气环境影响分析结论</w:t>
      </w:r>
    </w:p>
    <w:p w14:paraId="2F697654">
      <w:pPr>
        <w:bidi w:val="0"/>
        <w:rPr>
          <w:rFonts w:hint="default"/>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default"/>
          <w:color w:val="auto"/>
          <w:highlight w:val="none"/>
        </w:rPr>
        <w:t>区域环境现状</w:t>
      </w:r>
    </w:p>
    <w:p w14:paraId="7A8BB304">
      <w:pPr>
        <w:bidi w:val="0"/>
        <w:rPr>
          <w:rFonts w:hint="default"/>
          <w:color w:val="auto"/>
          <w:highlight w:val="none"/>
        </w:rPr>
      </w:pPr>
      <w:r>
        <w:rPr>
          <w:rFonts w:hint="default"/>
          <w:color w:val="auto"/>
          <w:highlight w:val="none"/>
        </w:rPr>
        <w:t>本项目位于不达标区域，不达标因子主要为PM</w:t>
      </w:r>
      <w:r>
        <w:rPr>
          <w:rFonts w:hint="default"/>
          <w:color w:val="auto"/>
          <w:highlight w:val="none"/>
          <w:vertAlign w:val="subscript"/>
        </w:rPr>
        <w:t>10</w:t>
      </w:r>
      <w:r>
        <w:rPr>
          <w:rFonts w:hint="default"/>
          <w:color w:val="auto"/>
          <w:highlight w:val="none"/>
        </w:rPr>
        <w:t>、PM</w:t>
      </w:r>
      <w:r>
        <w:rPr>
          <w:rFonts w:hint="default"/>
          <w:color w:val="auto"/>
          <w:highlight w:val="none"/>
          <w:vertAlign w:val="subscript"/>
        </w:rPr>
        <w:t>2.5</w:t>
      </w:r>
      <w:r>
        <w:rPr>
          <w:rFonts w:hint="default"/>
          <w:color w:val="auto"/>
          <w:highlight w:val="none"/>
        </w:rPr>
        <w:t>，按功能区为二类功能区，根据工程分析和影响分析，本项目污染源排放</w:t>
      </w:r>
      <w:r>
        <w:rPr>
          <w:rFonts w:hint="eastAsia"/>
          <w:color w:val="auto"/>
          <w:highlight w:val="none"/>
          <w:lang w:val="en-US" w:eastAsia="zh-CN"/>
        </w:rPr>
        <w:t>分为有组织排放和</w:t>
      </w:r>
      <w:r>
        <w:rPr>
          <w:rFonts w:hint="default"/>
          <w:color w:val="auto"/>
          <w:highlight w:val="none"/>
        </w:rPr>
        <w:t>无组织排放。根据</w:t>
      </w:r>
      <w:r>
        <w:rPr>
          <w:rFonts w:hint="default"/>
          <w:color w:val="auto"/>
          <w:highlight w:val="none"/>
          <w:lang w:eastAsia="zh-CN"/>
        </w:rPr>
        <w:t>估算模式</w:t>
      </w:r>
      <w:r>
        <w:rPr>
          <w:rFonts w:hint="default"/>
          <w:color w:val="auto"/>
          <w:highlight w:val="none"/>
        </w:rPr>
        <w:t>预测结果，本项目各污染源正常排放下，各污染物最大地面浓度占标</w:t>
      </w:r>
      <w:r>
        <w:rPr>
          <w:rFonts w:hint="eastAsia"/>
          <w:color w:val="auto"/>
          <w:highlight w:val="none"/>
          <w:lang w:eastAsia="zh-CN"/>
        </w:rPr>
        <w:t>率</w:t>
      </w:r>
      <w:r>
        <w:rPr>
          <w:rFonts w:hint="default"/>
          <w:color w:val="auto"/>
          <w:highlight w:val="none"/>
        </w:rPr>
        <w:t>均小于10%，排放的污染物对评价区贡献值较小，本项目的环境影响可以接受。</w:t>
      </w:r>
    </w:p>
    <w:p w14:paraId="1CA1017E">
      <w:pPr>
        <w:bidi w:val="0"/>
        <w:rPr>
          <w:rFonts w:hint="default"/>
          <w:color w:val="auto"/>
          <w:highlight w:val="none"/>
        </w:rPr>
      </w:pPr>
      <w:r>
        <w:rPr>
          <w:rFonts w:hint="eastAsia"/>
          <w:color w:val="auto"/>
          <w:highlight w:val="none"/>
          <w:lang w:val="en-US" w:eastAsia="zh-CN"/>
        </w:rPr>
        <w:t>（2）</w:t>
      </w:r>
      <w:r>
        <w:rPr>
          <w:rFonts w:hint="default"/>
          <w:color w:val="auto"/>
          <w:highlight w:val="none"/>
        </w:rPr>
        <w:t>污染物排放量核算结果</w:t>
      </w:r>
    </w:p>
    <w:p w14:paraId="16C5B406">
      <w:pPr>
        <w:bidi w:val="0"/>
        <w:rPr>
          <w:rFonts w:hint="default"/>
          <w:color w:val="auto"/>
          <w:highlight w:val="none"/>
          <w:lang w:eastAsia="zh-CN"/>
        </w:rPr>
      </w:pPr>
      <w:r>
        <w:rPr>
          <w:rFonts w:hint="default"/>
          <w:color w:val="auto"/>
          <w:highlight w:val="none"/>
          <w:lang w:eastAsia="zh-CN"/>
        </w:rPr>
        <w:t>项目建成运营后，大气环境影响较小，不会改变区域大气环境现状，环境影响可接受。</w:t>
      </w:r>
    </w:p>
    <w:p w14:paraId="708F3FF3">
      <w:pPr>
        <w:bidi w:val="0"/>
        <w:rPr>
          <w:color w:val="auto"/>
          <w:highlight w:val="none"/>
        </w:rPr>
      </w:pPr>
      <w:r>
        <w:rPr>
          <w:rFonts w:hint="default"/>
          <w:color w:val="auto"/>
          <w:highlight w:val="none"/>
        </w:rPr>
        <w:t>根据《环境影响评价技术导则</w:t>
      </w:r>
      <w:r>
        <w:rPr>
          <w:rFonts w:hint="eastAsia"/>
          <w:color w:val="auto"/>
          <w:highlight w:val="none"/>
          <w:lang w:val="en-US" w:eastAsia="zh-CN"/>
        </w:rPr>
        <w:t xml:space="preserve"> </w:t>
      </w:r>
      <w:r>
        <w:rPr>
          <w:rFonts w:hint="default"/>
          <w:color w:val="auto"/>
          <w:highlight w:val="none"/>
        </w:rPr>
        <w:t>大气环境》（HJ 2.2-2018）中附录A估算模式，本项目大气评价等级设为二级。故本评价不进行进一步的预测与评价，只需</w:t>
      </w:r>
      <w:r>
        <w:rPr>
          <w:rFonts w:hint="default"/>
          <w:color w:val="auto"/>
          <w:highlight w:val="none"/>
          <w:lang w:eastAsia="zh-CN"/>
        </w:rPr>
        <w:t>给出污染物排放量核算结果</w:t>
      </w:r>
      <w:r>
        <w:rPr>
          <w:rFonts w:hint="default"/>
          <w:color w:val="auto"/>
          <w:highlight w:val="none"/>
        </w:rPr>
        <w:t>。</w:t>
      </w:r>
    </w:p>
    <w:p w14:paraId="72A8BD97">
      <w:pPr>
        <w:bidi w:val="0"/>
        <w:rPr>
          <w:rFonts w:hint="default"/>
          <w:color w:val="auto"/>
          <w:highlight w:val="none"/>
          <w:lang w:val="en-US" w:eastAsia="zh-CN"/>
        </w:rPr>
      </w:pPr>
      <w:r>
        <w:rPr>
          <w:rFonts w:hint="default"/>
          <w:color w:val="auto"/>
          <w:highlight w:val="none"/>
          <w:lang w:val="en-US" w:eastAsia="zh-CN"/>
        </w:rPr>
        <w:t>项目正常工况废气排放核算见表5.2-</w:t>
      </w:r>
      <w:r>
        <w:rPr>
          <w:rFonts w:hint="eastAsia"/>
          <w:color w:val="auto"/>
          <w:highlight w:val="none"/>
          <w:lang w:val="en-US" w:eastAsia="zh-CN"/>
        </w:rPr>
        <w:t>6~8</w:t>
      </w:r>
      <w:r>
        <w:rPr>
          <w:rFonts w:hint="default"/>
          <w:color w:val="auto"/>
          <w:highlight w:val="none"/>
          <w:lang w:val="en-US" w:eastAsia="zh-CN"/>
        </w:rPr>
        <w:t>。</w:t>
      </w:r>
    </w:p>
    <w:p w14:paraId="68C6340A">
      <w:pPr>
        <w:pStyle w:val="19"/>
        <w:bidi w:val="0"/>
        <w:rPr>
          <w:rFonts w:hint="default"/>
          <w:color w:val="auto"/>
          <w:highlight w:val="none"/>
          <w:lang w:val="en-US" w:eastAsia="zh-CN"/>
        </w:rPr>
      </w:pPr>
      <w:r>
        <w:rPr>
          <w:rFonts w:hint="default"/>
          <w:color w:val="auto"/>
          <w:highlight w:val="none"/>
          <w:lang w:val="en-US" w:eastAsia="zh-CN"/>
        </w:rPr>
        <w:t>表5.2-</w:t>
      </w:r>
      <w:r>
        <w:rPr>
          <w:rFonts w:hint="eastAsia"/>
          <w:color w:val="auto"/>
          <w:highlight w:val="none"/>
          <w:lang w:val="en-US" w:eastAsia="zh-CN"/>
        </w:rPr>
        <w:t>6</w:t>
      </w:r>
      <w:r>
        <w:rPr>
          <w:rFonts w:hint="default"/>
          <w:color w:val="auto"/>
          <w:highlight w:val="none"/>
          <w:lang w:val="en-US" w:eastAsia="zh-CN"/>
        </w:rPr>
        <w:t xml:space="preserve"> 本项目正常工况有组织废气排放核算表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342"/>
        <w:gridCol w:w="1873"/>
        <w:gridCol w:w="1681"/>
        <w:gridCol w:w="1602"/>
        <w:gridCol w:w="1439"/>
      </w:tblGrid>
      <w:tr w14:paraId="5FF9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tcBorders>
              <w:tl2br w:val="nil"/>
              <w:tr2bl w:val="nil"/>
            </w:tcBorders>
            <w:noWrap w:val="0"/>
            <w:vAlign w:val="center"/>
          </w:tcPr>
          <w:p w14:paraId="538C89FE">
            <w:pPr>
              <w:pStyle w:val="17"/>
              <w:bidi w:val="0"/>
              <w:rPr>
                <w:rFonts w:hint="default"/>
                <w:color w:val="auto"/>
                <w:highlight w:val="none"/>
                <w:lang w:val="en-US" w:eastAsia="zh-CN"/>
              </w:rPr>
            </w:pPr>
            <w:r>
              <w:rPr>
                <w:rFonts w:hint="default"/>
                <w:color w:val="auto"/>
                <w:highlight w:val="none"/>
                <w:lang w:val="en-US" w:eastAsia="zh-CN"/>
              </w:rPr>
              <w:t>序号</w:t>
            </w:r>
          </w:p>
        </w:tc>
        <w:tc>
          <w:tcPr>
            <w:tcW w:w="1342" w:type="dxa"/>
            <w:tcBorders>
              <w:tl2br w:val="nil"/>
              <w:tr2bl w:val="nil"/>
            </w:tcBorders>
            <w:noWrap w:val="0"/>
            <w:vAlign w:val="center"/>
          </w:tcPr>
          <w:p w14:paraId="7966AB0E">
            <w:pPr>
              <w:pStyle w:val="17"/>
              <w:bidi w:val="0"/>
              <w:rPr>
                <w:rFonts w:hint="default"/>
                <w:color w:val="auto"/>
                <w:highlight w:val="none"/>
                <w:lang w:val="en-US" w:eastAsia="zh-CN"/>
              </w:rPr>
            </w:pPr>
            <w:r>
              <w:rPr>
                <w:rFonts w:hint="default"/>
                <w:color w:val="auto"/>
                <w:highlight w:val="none"/>
                <w:lang w:val="en-US" w:eastAsia="zh-CN"/>
              </w:rPr>
              <w:t>排放口编号</w:t>
            </w:r>
          </w:p>
        </w:tc>
        <w:tc>
          <w:tcPr>
            <w:tcW w:w="1873" w:type="dxa"/>
            <w:tcBorders>
              <w:tl2br w:val="nil"/>
              <w:tr2bl w:val="nil"/>
            </w:tcBorders>
            <w:noWrap w:val="0"/>
            <w:vAlign w:val="center"/>
          </w:tcPr>
          <w:p w14:paraId="669E2BB7">
            <w:pPr>
              <w:pStyle w:val="17"/>
              <w:bidi w:val="0"/>
              <w:rPr>
                <w:rFonts w:hint="default"/>
                <w:color w:val="auto"/>
                <w:highlight w:val="none"/>
                <w:lang w:val="en-US" w:eastAsia="zh-CN"/>
              </w:rPr>
            </w:pPr>
            <w:r>
              <w:rPr>
                <w:rFonts w:hint="default"/>
                <w:color w:val="auto"/>
                <w:highlight w:val="none"/>
                <w:lang w:val="en-US" w:eastAsia="zh-CN"/>
              </w:rPr>
              <w:t>污染物</w:t>
            </w:r>
          </w:p>
        </w:tc>
        <w:tc>
          <w:tcPr>
            <w:tcW w:w="1681" w:type="dxa"/>
            <w:tcBorders>
              <w:tl2br w:val="nil"/>
              <w:tr2bl w:val="nil"/>
            </w:tcBorders>
            <w:noWrap w:val="0"/>
            <w:vAlign w:val="center"/>
          </w:tcPr>
          <w:p w14:paraId="23F7EE79">
            <w:pPr>
              <w:pStyle w:val="17"/>
              <w:bidi w:val="0"/>
              <w:rPr>
                <w:rFonts w:hint="default"/>
                <w:color w:val="auto"/>
                <w:highlight w:val="none"/>
                <w:lang w:val="en-US" w:eastAsia="zh-CN"/>
              </w:rPr>
            </w:pPr>
            <w:r>
              <w:rPr>
                <w:rFonts w:hint="default"/>
                <w:color w:val="auto"/>
                <w:highlight w:val="none"/>
                <w:lang w:val="en-US" w:eastAsia="zh-CN"/>
              </w:rPr>
              <w:t>核算排放浓度/（mg/m</w:t>
            </w:r>
            <w:r>
              <w:rPr>
                <w:rFonts w:hint="default"/>
                <w:color w:val="auto"/>
                <w:highlight w:val="none"/>
                <w:vertAlign w:val="superscript"/>
                <w:lang w:val="en-US" w:eastAsia="zh-CN"/>
              </w:rPr>
              <w:t>3</w:t>
            </w:r>
            <w:r>
              <w:rPr>
                <w:rFonts w:hint="default"/>
                <w:color w:val="auto"/>
                <w:highlight w:val="none"/>
                <w:lang w:val="en-US" w:eastAsia="zh-CN"/>
              </w:rPr>
              <w:t>）</w:t>
            </w:r>
          </w:p>
        </w:tc>
        <w:tc>
          <w:tcPr>
            <w:tcW w:w="1602" w:type="dxa"/>
            <w:tcBorders>
              <w:tl2br w:val="nil"/>
              <w:tr2bl w:val="nil"/>
            </w:tcBorders>
            <w:noWrap w:val="0"/>
            <w:vAlign w:val="center"/>
          </w:tcPr>
          <w:p w14:paraId="27949DA5">
            <w:pPr>
              <w:pStyle w:val="17"/>
              <w:bidi w:val="0"/>
              <w:rPr>
                <w:rFonts w:hint="default"/>
                <w:color w:val="auto"/>
                <w:highlight w:val="none"/>
                <w:lang w:val="en-US" w:eastAsia="zh-CN"/>
              </w:rPr>
            </w:pPr>
            <w:r>
              <w:rPr>
                <w:rFonts w:hint="default"/>
                <w:color w:val="auto"/>
                <w:highlight w:val="none"/>
                <w:lang w:val="en-US" w:eastAsia="zh-CN"/>
              </w:rPr>
              <w:t>核算排放速率/（kg/h）</w:t>
            </w:r>
          </w:p>
        </w:tc>
        <w:tc>
          <w:tcPr>
            <w:tcW w:w="1439" w:type="dxa"/>
            <w:tcBorders>
              <w:tl2br w:val="nil"/>
              <w:tr2bl w:val="nil"/>
            </w:tcBorders>
            <w:noWrap w:val="0"/>
            <w:vAlign w:val="center"/>
          </w:tcPr>
          <w:p w14:paraId="71A333BD">
            <w:pPr>
              <w:pStyle w:val="17"/>
              <w:bidi w:val="0"/>
              <w:rPr>
                <w:rFonts w:hint="default"/>
                <w:color w:val="auto"/>
                <w:highlight w:val="none"/>
                <w:lang w:val="en-US" w:eastAsia="zh-CN"/>
              </w:rPr>
            </w:pPr>
            <w:r>
              <w:rPr>
                <w:rFonts w:hint="default"/>
                <w:color w:val="auto"/>
                <w:highlight w:val="none"/>
                <w:lang w:val="en-US" w:eastAsia="zh-CN"/>
              </w:rPr>
              <w:t>核算年排放量/（t/a）</w:t>
            </w:r>
          </w:p>
        </w:tc>
      </w:tr>
      <w:tr w14:paraId="4752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22" w:type="dxa"/>
            <w:gridSpan w:val="6"/>
            <w:tcBorders>
              <w:tl2br w:val="nil"/>
              <w:tr2bl w:val="nil"/>
            </w:tcBorders>
            <w:noWrap w:val="0"/>
            <w:vAlign w:val="center"/>
          </w:tcPr>
          <w:p w14:paraId="54F69244">
            <w:pPr>
              <w:pStyle w:val="17"/>
              <w:bidi w:val="0"/>
              <w:rPr>
                <w:rFonts w:hint="default"/>
                <w:color w:val="auto"/>
                <w:highlight w:val="none"/>
                <w:lang w:val="en-US" w:eastAsia="zh-CN"/>
              </w:rPr>
            </w:pPr>
            <w:r>
              <w:rPr>
                <w:rFonts w:hint="eastAsia"/>
                <w:color w:val="auto"/>
                <w:highlight w:val="none"/>
                <w:lang w:val="en-US" w:eastAsia="zh-CN"/>
              </w:rPr>
              <w:t>一般</w:t>
            </w:r>
            <w:r>
              <w:rPr>
                <w:rFonts w:hint="default"/>
                <w:color w:val="auto"/>
                <w:highlight w:val="none"/>
                <w:lang w:val="en-US" w:eastAsia="zh-CN"/>
              </w:rPr>
              <w:t>排放口</w:t>
            </w:r>
          </w:p>
        </w:tc>
      </w:tr>
      <w:tr w14:paraId="248D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Merge w:val="restart"/>
            <w:tcBorders>
              <w:tl2br w:val="nil"/>
              <w:tr2bl w:val="nil"/>
            </w:tcBorders>
            <w:noWrap w:val="0"/>
            <w:vAlign w:val="center"/>
          </w:tcPr>
          <w:p w14:paraId="60512C8B">
            <w:pPr>
              <w:pStyle w:val="17"/>
              <w:bidi w:val="0"/>
              <w:rPr>
                <w:rFonts w:hint="default"/>
                <w:color w:val="auto"/>
                <w:highlight w:val="none"/>
                <w:lang w:val="en-US" w:eastAsia="zh-CN"/>
              </w:rPr>
            </w:pPr>
            <w:r>
              <w:rPr>
                <w:rFonts w:hint="default"/>
                <w:color w:val="auto"/>
                <w:highlight w:val="none"/>
                <w:lang w:val="en-US" w:eastAsia="zh-CN"/>
              </w:rPr>
              <w:t>1</w:t>
            </w:r>
          </w:p>
        </w:tc>
        <w:tc>
          <w:tcPr>
            <w:tcW w:w="1342" w:type="dxa"/>
            <w:vMerge w:val="restart"/>
            <w:tcBorders>
              <w:tl2br w:val="nil"/>
              <w:tr2bl w:val="nil"/>
            </w:tcBorders>
            <w:noWrap w:val="0"/>
            <w:vAlign w:val="center"/>
          </w:tcPr>
          <w:p w14:paraId="6EF3EA25">
            <w:pPr>
              <w:pStyle w:val="17"/>
              <w:bidi w:val="0"/>
              <w:rPr>
                <w:rFonts w:hint="default"/>
                <w:color w:val="auto"/>
                <w:highlight w:val="none"/>
                <w:lang w:val="en-US" w:eastAsia="zh-CN"/>
              </w:rPr>
            </w:pPr>
            <w:r>
              <w:rPr>
                <w:rFonts w:hint="eastAsia"/>
                <w:color w:val="auto"/>
                <w:highlight w:val="none"/>
                <w:lang w:val="en-US" w:eastAsia="zh-CN"/>
              </w:rPr>
              <w:t>DA001</w:t>
            </w:r>
          </w:p>
        </w:tc>
        <w:tc>
          <w:tcPr>
            <w:tcW w:w="1873" w:type="dxa"/>
            <w:tcBorders>
              <w:tl2br w:val="nil"/>
              <w:tr2bl w:val="nil"/>
            </w:tcBorders>
            <w:shd w:val="clear" w:color="auto" w:fill="auto"/>
            <w:noWrap w:val="0"/>
            <w:vAlign w:val="center"/>
          </w:tcPr>
          <w:p w14:paraId="35C978B1">
            <w:pPr>
              <w:pStyle w:val="17"/>
              <w:bidi w:val="0"/>
              <w:rPr>
                <w:rFonts w:hint="default"/>
                <w:color w:val="auto"/>
                <w:highlight w:val="none"/>
                <w:lang w:val="en-US" w:eastAsia="zh-CN"/>
              </w:rPr>
            </w:pPr>
            <w:r>
              <w:rPr>
                <w:rFonts w:hint="eastAsia"/>
                <w:color w:val="auto"/>
                <w:highlight w:val="none"/>
                <w:lang w:val="en-US" w:eastAsia="zh-CN"/>
              </w:rPr>
              <w:t>颗粒物</w:t>
            </w:r>
          </w:p>
        </w:tc>
        <w:tc>
          <w:tcPr>
            <w:tcW w:w="1681" w:type="dxa"/>
            <w:tcBorders>
              <w:tl2br w:val="nil"/>
              <w:tr2bl w:val="nil"/>
            </w:tcBorders>
            <w:shd w:val="clear" w:color="auto" w:fill="auto"/>
            <w:noWrap w:val="0"/>
            <w:vAlign w:val="center"/>
          </w:tcPr>
          <w:p w14:paraId="2B8ABE84">
            <w:pPr>
              <w:pStyle w:val="17"/>
              <w:bidi w:val="0"/>
              <w:rPr>
                <w:rFonts w:hint="default"/>
                <w:color w:val="auto"/>
                <w:highlight w:val="none"/>
                <w:lang w:val="en-US" w:eastAsia="zh-CN"/>
              </w:rPr>
            </w:pPr>
            <w:r>
              <w:rPr>
                <w:rFonts w:hint="eastAsia"/>
                <w:color w:val="auto"/>
                <w:highlight w:val="none"/>
                <w:lang w:val="en-US" w:eastAsia="zh-CN"/>
              </w:rPr>
              <w:t>1.25</w:t>
            </w:r>
          </w:p>
        </w:tc>
        <w:tc>
          <w:tcPr>
            <w:tcW w:w="1602" w:type="dxa"/>
            <w:tcBorders>
              <w:tl2br w:val="nil"/>
              <w:tr2bl w:val="nil"/>
            </w:tcBorders>
            <w:shd w:val="clear" w:color="auto" w:fill="auto"/>
            <w:noWrap w:val="0"/>
            <w:vAlign w:val="center"/>
          </w:tcPr>
          <w:p w14:paraId="009C147A">
            <w:pPr>
              <w:pStyle w:val="17"/>
              <w:bidi w:val="0"/>
              <w:rPr>
                <w:rFonts w:hint="default"/>
                <w:color w:val="auto"/>
                <w:highlight w:val="none"/>
                <w:lang w:val="en-US" w:eastAsia="zh-CN"/>
              </w:rPr>
            </w:pPr>
            <w:r>
              <w:rPr>
                <w:rFonts w:hint="eastAsia"/>
                <w:color w:val="auto"/>
                <w:highlight w:val="none"/>
                <w:lang w:val="en-US" w:eastAsia="zh-CN"/>
              </w:rPr>
              <w:t>0.0075</w:t>
            </w:r>
          </w:p>
        </w:tc>
        <w:tc>
          <w:tcPr>
            <w:tcW w:w="1439" w:type="dxa"/>
            <w:tcBorders>
              <w:tl2br w:val="nil"/>
              <w:tr2bl w:val="nil"/>
            </w:tcBorders>
            <w:shd w:val="clear" w:color="auto" w:fill="auto"/>
            <w:noWrap w:val="0"/>
            <w:vAlign w:val="center"/>
          </w:tcPr>
          <w:p w14:paraId="527BC337">
            <w:pPr>
              <w:pStyle w:val="17"/>
              <w:bidi w:val="0"/>
              <w:rPr>
                <w:rFonts w:hint="default"/>
                <w:color w:val="auto"/>
                <w:highlight w:val="none"/>
                <w:lang w:val="en-US" w:eastAsia="zh-CN"/>
              </w:rPr>
            </w:pPr>
            <w:r>
              <w:rPr>
                <w:rFonts w:hint="eastAsia"/>
                <w:color w:val="auto"/>
                <w:highlight w:val="none"/>
                <w:lang w:val="en-US" w:eastAsia="zh-CN"/>
              </w:rPr>
              <w:t>0.054</w:t>
            </w:r>
          </w:p>
        </w:tc>
      </w:tr>
      <w:tr w14:paraId="19BD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Merge w:val="continue"/>
            <w:tcBorders>
              <w:tl2br w:val="nil"/>
              <w:tr2bl w:val="nil"/>
            </w:tcBorders>
            <w:noWrap w:val="0"/>
            <w:vAlign w:val="center"/>
          </w:tcPr>
          <w:p w14:paraId="04FB53AA">
            <w:pPr>
              <w:pStyle w:val="17"/>
              <w:bidi w:val="0"/>
              <w:rPr>
                <w:rFonts w:hint="default"/>
                <w:color w:val="auto"/>
                <w:highlight w:val="none"/>
                <w:lang w:val="en-US" w:eastAsia="zh-CN"/>
              </w:rPr>
            </w:pPr>
          </w:p>
        </w:tc>
        <w:tc>
          <w:tcPr>
            <w:tcW w:w="1342" w:type="dxa"/>
            <w:vMerge w:val="continue"/>
            <w:tcBorders>
              <w:tl2br w:val="nil"/>
              <w:tr2bl w:val="nil"/>
            </w:tcBorders>
            <w:noWrap w:val="0"/>
            <w:vAlign w:val="center"/>
          </w:tcPr>
          <w:p w14:paraId="77A4EFD2">
            <w:pPr>
              <w:pStyle w:val="17"/>
              <w:bidi w:val="0"/>
              <w:rPr>
                <w:rFonts w:hint="default"/>
                <w:color w:val="auto"/>
                <w:highlight w:val="none"/>
                <w:lang w:val="en-US" w:eastAsia="zh-CN"/>
              </w:rPr>
            </w:pPr>
          </w:p>
        </w:tc>
        <w:tc>
          <w:tcPr>
            <w:tcW w:w="1873" w:type="dxa"/>
            <w:tcBorders>
              <w:tl2br w:val="nil"/>
              <w:tr2bl w:val="nil"/>
            </w:tcBorders>
            <w:shd w:val="clear" w:color="auto" w:fill="auto"/>
            <w:noWrap w:val="0"/>
            <w:vAlign w:val="center"/>
          </w:tcPr>
          <w:p w14:paraId="125905AB">
            <w:pPr>
              <w:pStyle w:val="17"/>
              <w:bidi w:val="0"/>
              <w:rPr>
                <w:rFonts w:hint="default"/>
                <w:color w:val="auto"/>
                <w:highlight w:val="none"/>
                <w:lang w:val="en-US" w:eastAsia="zh-CN"/>
              </w:rPr>
            </w:pPr>
            <w:r>
              <w:rPr>
                <w:rFonts w:hint="eastAsia"/>
                <w:color w:val="auto"/>
                <w:highlight w:val="none"/>
                <w:lang w:val="en-US" w:eastAsia="zh-CN"/>
              </w:rPr>
              <w:t>氟化物</w:t>
            </w:r>
          </w:p>
        </w:tc>
        <w:tc>
          <w:tcPr>
            <w:tcW w:w="1681" w:type="dxa"/>
            <w:tcBorders>
              <w:tl2br w:val="nil"/>
              <w:tr2bl w:val="nil"/>
            </w:tcBorders>
            <w:shd w:val="clear" w:color="auto" w:fill="auto"/>
            <w:noWrap w:val="0"/>
            <w:vAlign w:val="center"/>
          </w:tcPr>
          <w:p w14:paraId="19272C4C">
            <w:pPr>
              <w:pStyle w:val="17"/>
              <w:bidi w:val="0"/>
              <w:rPr>
                <w:rFonts w:hint="default"/>
                <w:color w:val="auto"/>
                <w:highlight w:val="none"/>
                <w:lang w:val="en-US" w:eastAsia="zh-CN"/>
              </w:rPr>
            </w:pPr>
            <w:r>
              <w:rPr>
                <w:rFonts w:hint="eastAsia"/>
                <w:color w:val="auto"/>
                <w:highlight w:val="none"/>
                <w:lang w:val="en-US" w:eastAsia="zh-CN"/>
              </w:rPr>
              <w:t>0.1972</w:t>
            </w:r>
          </w:p>
        </w:tc>
        <w:tc>
          <w:tcPr>
            <w:tcW w:w="1602" w:type="dxa"/>
            <w:tcBorders>
              <w:tl2br w:val="nil"/>
              <w:tr2bl w:val="nil"/>
            </w:tcBorders>
            <w:shd w:val="clear" w:color="auto" w:fill="auto"/>
            <w:noWrap w:val="0"/>
            <w:vAlign w:val="center"/>
          </w:tcPr>
          <w:p w14:paraId="2511EA5E">
            <w:pPr>
              <w:pStyle w:val="17"/>
              <w:bidi w:val="0"/>
              <w:rPr>
                <w:rFonts w:hint="default"/>
                <w:color w:val="auto"/>
                <w:highlight w:val="none"/>
                <w:lang w:val="en-US" w:eastAsia="zh-CN"/>
              </w:rPr>
            </w:pPr>
            <w:r>
              <w:rPr>
                <w:rFonts w:hint="eastAsia"/>
                <w:color w:val="auto"/>
                <w:highlight w:val="none"/>
                <w:lang w:val="en-US" w:eastAsia="zh-CN"/>
              </w:rPr>
              <w:t>0.0012</w:t>
            </w:r>
          </w:p>
        </w:tc>
        <w:tc>
          <w:tcPr>
            <w:tcW w:w="1439" w:type="dxa"/>
            <w:tcBorders>
              <w:tl2br w:val="nil"/>
              <w:tr2bl w:val="nil"/>
            </w:tcBorders>
            <w:shd w:val="clear" w:color="auto" w:fill="auto"/>
            <w:noWrap w:val="0"/>
            <w:vAlign w:val="center"/>
          </w:tcPr>
          <w:p w14:paraId="74E083DA">
            <w:pPr>
              <w:pStyle w:val="17"/>
              <w:bidi w:val="0"/>
              <w:rPr>
                <w:rFonts w:hint="default"/>
                <w:color w:val="auto"/>
                <w:highlight w:val="none"/>
                <w:lang w:val="en-US" w:eastAsia="zh-CN"/>
              </w:rPr>
            </w:pPr>
            <w:r>
              <w:rPr>
                <w:rFonts w:hint="eastAsia"/>
                <w:color w:val="auto"/>
                <w:highlight w:val="none"/>
                <w:lang w:val="en-US" w:eastAsia="zh-CN"/>
              </w:rPr>
              <w:t>0.0085</w:t>
            </w:r>
          </w:p>
        </w:tc>
      </w:tr>
      <w:tr w14:paraId="7EBD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Merge w:val="restart"/>
            <w:vAlign w:val="center"/>
          </w:tcPr>
          <w:p w14:paraId="3BFD4F63">
            <w:pPr>
              <w:pStyle w:val="17"/>
              <w:bidi w:val="0"/>
              <w:rPr>
                <w:rFonts w:hint="default"/>
                <w:color w:val="auto"/>
                <w:highlight w:val="none"/>
                <w:lang w:val="en-US" w:eastAsia="zh-CN"/>
              </w:rPr>
            </w:pPr>
            <w:r>
              <w:rPr>
                <w:rFonts w:hint="eastAsia"/>
                <w:color w:val="auto"/>
                <w:highlight w:val="none"/>
                <w:lang w:val="en-US" w:eastAsia="zh-CN"/>
              </w:rPr>
              <w:t>2</w:t>
            </w:r>
          </w:p>
        </w:tc>
        <w:tc>
          <w:tcPr>
            <w:tcW w:w="1342" w:type="dxa"/>
            <w:vMerge w:val="restart"/>
            <w:vAlign w:val="center"/>
          </w:tcPr>
          <w:p w14:paraId="46E34504">
            <w:pPr>
              <w:pStyle w:val="17"/>
              <w:bidi w:val="0"/>
              <w:rPr>
                <w:rFonts w:hint="default"/>
                <w:color w:val="auto"/>
                <w:highlight w:val="none"/>
                <w:lang w:val="en-US" w:eastAsia="zh-CN"/>
              </w:rPr>
            </w:pPr>
            <w:r>
              <w:rPr>
                <w:rFonts w:hint="eastAsia"/>
                <w:color w:val="auto"/>
                <w:highlight w:val="none"/>
                <w:lang w:val="en-US" w:eastAsia="zh-CN"/>
              </w:rPr>
              <w:t>DA002</w:t>
            </w:r>
          </w:p>
        </w:tc>
        <w:tc>
          <w:tcPr>
            <w:tcW w:w="1873" w:type="dxa"/>
            <w:shd w:val="clear" w:color="auto" w:fill="auto"/>
            <w:vAlign w:val="center"/>
          </w:tcPr>
          <w:p w14:paraId="064699D8">
            <w:pPr>
              <w:pStyle w:val="17"/>
              <w:bidi w:val="0"/>
              <w:ind w:firstLine="0" w:firstLineChars="0"/>
              <w:rPr>
                <w:rFonts w:hint="eastAsia"/>
                <w:color w:val="auto"/>
                <w:highlight w:val="none"/>
                <w:lang w:val="en-US" w:eastAsia="zh-CN"/>
              </w:rPr>
            </w:pPr>
            <w:r>
              <w:rPr>
                <w:rFonts w:hint="eastAsia"/>
                <w:color w:val="auto"/>
                <w:highlight w:val="none"/>
                <w:lang w:val="en-US" w:eastAsia="zh-CN"/>
              </w:rPr>
              <w:t>颗粒物</w:t>
            </w:r>
          </w:p>
        </w:tc>
        <w:tc>
          <w:tcPr>
            <w:tcW w:w="1681" w:type="dxa"/>
            <w:shd w:val="clear" w:color="auto" w:fill="auto"/>
            <w:vAlign w:val="center"/>
          </w:tcPr>
          <w:p w14:paraId="00DE3F5B">
            <w:pPr>
              <w:pStyle w:val="17"/>
              <w:bidi w:val="0"/>
              <w:rPr>
                <w:rFonts w:hint="default"/>
                <w:color w:val="auto"/>
                <w:highlight w:val="none"/>
                <w:lang w:val="en-US" w:eastAsia="zh-CN"/>
              </w:rPr>
            </w:pPr>
            <w:r>
              <w:rPr>
                <w:rFonts w:hint="eastAsia"/>
                <w:color w:val="auto"/>
                <w:highlight w:val="none"/>
                <w:lang w:val="en-US" w:eastAsia="zh-CN"/>
              </w:rPr>
              <w:t>1.6667</w:t>
            </w:r>
          </w:p>
        </w:tc>
        <w:tc>
          <w:tcPr>
            <w:tcW w:w="1602" w:type="dxa"/>
            <w:shd w:val="clear" w:color="auto" w:fill="auto"/>
            <w:vAlign w:val="center"/>
          </w:tcPr>
          <w:p w14:paraId="08F1F3E9">
            <w:pPr>
              <w:pStyle w:val="17"/>
              <w:bidi w:val="0"/>
              <w:rPr>
                <w:rFonts w:hint="default"/>
                <w:color w:val="auto"/>
                <w:highlight w:val="none"/>
                <w:lang w:val="en-US" w:eastAsia="zh-CN"/>
              </w:rPr>
            </w:pPr>
            <w:r>
              <w:rPr>
                <w:rFonts w:hint="eastAsia"/>
                <w:color w:val="auto"/>
                <w:highlight w:val="none"/>
                <w:lang w:val="en-US" w:eastAsia="zh-CN"/>
              </w:rPr>
              <w:t>0.075</w:t>
            </w:r>
          </w:p>
        </w:tc>
        <w:tc>
          <w:tcPr>
            <w:tcW w:w="1439" w:type="dxa"/>
            <w:shd w:val="clear" w:color="auto" w:fill="auto"/>
            <w:vAlign w:val="center"/>
          </w:tcPr>
          <w:p w14:paraId="682114A7">
            <w:pPr>
              <w:pStyle w:val="17"/>
              <w:bidi w:val="0"/>
              <w:rPr>
                <w:rFonts w:hint="default"/>
                <w:color w:val="auto"/>
                <w:highlight w:val="none"/>
                <w:lang w:val="en-US" w:eastAsia="zh-CN"/>
              </w:rPr>
            </w:pPr>
            <w:r>
              <w:rPr>
                <w:rFonts w:hint="eastAsia"/>
                <w:color w:val="auto"/>
                <w:highlight w:val="none"/>
                <w:lang w:val="en-US" w:eastAsia="zh-CN"/>
              </w:rPr>
              <w:t>0.54</w:t>
            </w:r>
          </w:p>
        </w:tc>
      </w:tr>
      <w:tr w14:paraId="6A6F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Merge w:val="continue"/>
            <w:vAlign w:val="center"/>
          </w:tcPr>
          <w:p w14:paraId="34373344">
            <w:pPr>
              <w:pStyle w:val="17"/>
              <w:bidi w:val="0"/>
              <w:rPr>
                <w:rFonts w:hint="eastAsia"/>
                <w:color w:val="auto"/>
                <w:highlight w:val="none"/>
                <w:lang w:val="en-US" w:eastAsia="zh-CN"/>
              </w:rPr>
            </w:pPr>
          </w:p>
        </w:tc>
        <w:tc>
          <w:tcPr>
            <w:tcW w:w="1342" w:type="dxa"/>
            <w:vMerge w:val="continue"/>
            <w:vAlign w:val="center"/>
          </w:tcPr>
          <w:p w14:paraId="5666502A">
            <w:pPr>
              <w:pStyle w:val="17"/>
              <w:bidi w:val="0"/>
              <w:rPr>
                <w:rFonts w:hint="eastAsia"/>
                <w:color w:val="auto"/>
                <w:highlight w:val="none"/>
                <w:lang w:val="en-US" w:eastAsia="zh-CN"/>
              </w:rPr>
            </w:pPr>
          </w:p>
        </w:tc>
        <w:tc>
          <w:tcPr>
            <w:tcW w:w="1873" w:type="dxa"/>
            <w:shd w:val="clear" w:color="auto" w:fill="auto"/>
            <w:vAlign w:val="center"/>
          </w:tcPr>
          <w:p w14:paraId="6D3AB72E">
            <w:pPr>
              <w:pStyle w:val="17"/>
              <w:bidi w:val="0"/>
              <w:ind w:firstLine="0" w:firstLineChars="0"/>
              <w:rPr>
                <w:rFonts w:hint="eastAsia"/>
                <w:color w:val="auto"/>
                <w:highlight w:val="none"/>
                <w:lang w:val="en-US" w:eastAsia="zh-CN"/>
              </w:rPr>
            </w:pPr>
            <w:r>
              <w:rPr>
                <w:rFonts w:hint="eastAsia"/>
                <w:color w:val="auto"/>
                <w:highlight w:val="none"/>
                <w:lang w:val="en-US" w:eastAsia="zh-CN"/>
              </w:rPr>
              <w:t>氟化物</w:t>
            </w:r>
          </w:p>
        </w:tc>
        <w:tc>
          <w:tcPr>
            <w:tcW w:w="1681" w:type="dxa"/>
            <w:shd w:val="clear" w:color="auto" w:fill="auto"/>
            <w:vAlign w:val="center"/>
          </w:tcPr>
          <w:p w14:paraId="2E0223C1">
            <w:pPr>
              <w:pStyle w:val="17"/>
              <w:bidi w:val="0"/>
              <w:rPr>
                <w:rFonts w:hint="default"/>
                <w:color w:val="auto"/>
                <w:highlight w:val="none"/>
                <w:lang w:val="en-US" w:eastAsia="zh-CN"/>
              </w:rPr>
            </w:pPr>
            <w:r>
              <w:rPr>
                <w:rFonts w:hint="eastAsia"/>
                <w:color w:val="auto"/>
                <w:highlight w:val="none"/>
                <w:lang w:val="en-US" w:eastAsia="zh-CN"/>
              </w:rPr>
              <w:t>0.263</w:t>
            </w:r>
          </w:p>
        </w:tc>
        <w:tc>
          <w:tcPr>
            <w:tcW w:w="1602" w:type="dxa"/>
            <w:shd w:val="clear" w:color="auto" w:fill="auto"/>
            <w:vAlign w:val="center"/>
          </w:tcPr>
          <w:p w14:paraId="59526DC8">
            <w:pPr>
              <w:pStyle w:val="17"/>
              <w:bidi w:val="0"/>
              <w:rPr>
                <w:rFonts w:hint="default"/>
                <w:color w:val="auto"/>
                <w:highlight w:val="none"/>
                <w:lang w:val="en-US" w:eastAsia="zh-CN"/>
              </w:rPr>
            </w:pPr>
            <w:r>
              <w:rPr>
                <w:rFonts w:hint="eastAsia"/>
                <w:color w:val="auto"/>
                <w:highlight w:val="none"/>
                <w:lang w:val="en-US" w:eastAsia="zh-CN"/>
              </w:rPr>
              <w:t>0.0118</w:t>
            </w:r>
          </w:p>
        </w:tc>
        <w:tc>
          <w:tcPr>
            <w:tcW w:w="1439" w:type="dxa"/>
            <w:shd w:val="clear" w:color="auto" w:fill="auto"/>
            <w:vAlign w:val="center"/>
          </w:tcPr>
          <w:p w14:paraId="555DCD7F">
            <w:pPr>
              <w:pStyle w:val="17"/>
              <w:bidi w:val="0"/>
              <w:rPr>
                <w:rFonts w:hint="default"/>
                <w:color w:val="auto"/>
                <w:highlight w:val="none"/>
                <w:lang w:val="en-US" w:eastAsia="zh-CN"/>
              </w:rPr>
            </w:pPr>
            <w:r>
              <w:rPr>
                <w:rFonts w:hint="eastAsia"/>
                <w:color w:val="auto"/>
                <w:highlight w:val="none"/>
                <w:lang w:val="en-US" w:eastAsia="zh-CN"/>
              </w:rPr>
              <w:t>0.0852</w:t>
            </w:r>
          </w:p>
        </w:tc>
      </w:tr>
      <w:tr w14:paraId="4998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Merge w:val="restart"/>
            <w:vAlign w:val="center"/>
          </w:tcPr>
          <w:p w14:paraId="47EFBA2A">
            <w:pPr>
              <w:pStyle w:val="17"/>
              <w:bidi w:val="0"/>
              <w:rPr>
                <w:rFonts w:hint="default"/>
                <w:color w:val="auto"/>
                <w:highlight w:val="none"/>
                <w:lang w:val="en-US" w:eastAsia="zh-CN"/>
              </w:rPr>
            </w:pPr>
            <w:r>
              <w:rPr>
                <w:rFonts w:hint="eastAsia"/>
                <w:color w:val="auto"/>
                <w:highlight w:val="none"/>
                <w:lang w:val="en-US" w:eastAsia="zh-CN"/>
              </w:rPr>
              <w:t>3</w:t>
            </w:r>
          </w:p>
        </w:tc>
        <w:tc>
          <w:tcPr>
            <w:tcW w:w="1342" w:type="dxa"/>
            <w:vMerge w:val="restart"/>
            <w:vAlign w:val="center"/>
          </w:tcPr>
          <w:p w14:paraId="5A78EA74">
            <w:pPr>
              <w:pStyle w:val="17"/>
              <w:bidi w:val="0"/>
              <w:rPr>
                <w:rFonts w:hint="default"/>
                <w:color w:val="auto"/>
                <w:highlight w:val="none"/>
                <w:lang w:val="en-US" w:eastAsia="zh-CN"/>
              </w:rPr>
            </w:pPr>
            <w:r>
              <w:rPr>
                <w:rFonts w:hint="eastAsia"/>
                <w:color w:val="auto"/>
                <w:highlight w:val="none"/>
                <w:lang w:val="en-US" w:eastAsia="zh-CN"/>
              </w:rPr>
              <w:t>DA003</w:t>
            </w:r>
          </w:p>
        </w:tc>
        <w:tc>
          <w:tcPr>
            <w:tcW w:w="1873" w:type="dxa"/>
            <w:shd w:val="clear" w:color="auto" w:fill="auto"/>
            <w:vAlign w:val="center"/>
          </w:tcPr>
          <w:p w14:paraId="327B04D6">
            <w:pPr>
              <w:pStyle w:val="17"/>
              <w:bidi w:val="0"/>
              <w:ind w:firstLine="0" w:firstLineChars="0"/>
              <w:rPr>
                <w:rFonts w:hint="eastAsia"/>
                <w:color w:val="auto"/>
                <w:highlight w:val="none"/>
                <w:lang w:val="en-US" w:eastAsia="zh-CN"/>
              </w:rPr>
            </w:pPr>
            <w:r>
              <w:rPr>
                <w:rFonts w:hint="eastAsia"/>
                <w:color w:val="auto"/>
                <w:highlight w:val="none"/>
                <w:lang w:val="en-US" w:eastAsia="zh-CN"/>
              </w:rPr>
              <w:t>颗粒物</w:t>
            </w:r>
          </w:p>
        </w:tc>
        <w:tc>
          <w:tcPr>
            <w:tcW w:w="1681" w:type="dxa"/>
            <w:shd w:val="clear" w:color="auto" w:fill="auto"/>
            <w:vAlign w:val="center"/>
          </w:tcPr>
          <w:p w14:paraId="5BE8D65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1.0714</w:t>
            </w:r>
          </w:p>
        </w:tc>
        <w:tc>
          <w:tcPr>
            <w:tcW w:w="1602" w:type="dxa"/>
            <w:shd w:val="clear" w:color="auto" w:fill="auto"/>
            <w:vAlign w:val="center"/>
          </w:tcPr>
          <w:p w14:paraId="73CAA977">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0.075</w:t>
            </w:r>
          </w:p>
        </w:tc>
        <w:tc>
          <w:tcPr>
            <w:tcW w:w="1439" w:type="dxa"/>
            <w:shd w:val="clear" w:color="auto" w:fill="auto"/>
            <w:vAlign w:val="center"/>
          </w:tcPr>
          <w:p w14:paraId="258C48AF">
            <w:pPr>
              <w:pStyle w:val="17"/>
              <w:bidi w:val="0"/>
              <w:ind w:firstLine="0" w:firstLineChars="0"/>
              <w:rPr>
                <w:rFonts w:hint="default"/>
                <w:color w:val="auto"/>
                <w:highlight w:val="none"/>
                <w:lang w:val="en-US" w:eastAsia="zh-CN"/>
              </w:rPr>
            </w:pPr>
            <w:r>
              <w:rPr>
                <w:rFonts w:hint="eastAsia"/>
                <w:color w:val="auto"/>
                <w:highlight w:val="none"/>
                <w:lang w:val="en-US" w:eastAsia="zh-CN"/>
              </w:rPr>
              <w:t>0.54</w:t>
            </w:r>
          </w:p>
        </w:tc>
      </w:tr>
      <w:tr w14:paraId="3653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Merge w:val="continue"/>
            <w:vAlign w:val="center"/>
          </w:tcPr>
          <w:p w14:paraId="3731D96A">
            <w:pPr>
              <w:pStyle w:val="17"/>
              <w:bidi w:val="0"/>
              <w:rPr>
                <w:rFonts w:hint="eastAsia"/>
                <w:color w:val="auto"/>
                <w:highlight w:val="none"/>
                <w:lang w:val="en-US" w:eastAsia="zh-CN"/>
              </w:rPr>
            </w:pPr>
          </w:p>
        </w:tc>
        <w:tc>
          <w:tcPr>
            <w:tcW w:w="1342" w:type="dxa"/>
            <w:vMerge w:val="continue"/>
            <w:vAlign w:val="center"/>
          </w:tcPr>
          <w:p w14:paraId="441A990B">
            <w:pPr>
              <w:pStyle w:val="17"/>
              <w:bidi w:val="0"/>
              <w:rPr>
                <w:rFonts w:hint="eastAsia"/>
                <w:color w:val="auto"/>
                <w:highlight w:val="none"/>
                <w:lang w:val="en-US" w:eastAsia="zh-CN"/>
              </w:rPr>
            </w:pPr>
          </w:p>
        </w:tc>
        <w:tc>
          <w:tcPr>
            <w:tcW w:w="1873" w:type="dxa"/>
            <w:shd w:val="clear" w:color="auto" w:fill="auto"/>
            <w:vAlign w:val="center"/>
          </w:tcPr>
          <w:p w14:paraId="6CFFD659">
            <w:pPr>
              <w:pStyle w:val="17"/>
              <w:bidi w:val="0"/>
              <w:ind w:firstLine="0" w:firstLineChars="0"/>
              <w:rPr>
                <w:rFonts w:hint="eastAsia"/>
                <w:color w:val="auto"/>
                <w:highlight w:val="none"/>
                <w:lang w:val="en-US" w:eastAsia="zh-CN"/>
              </w:rPr>
            </w:pPr>
            <w:r>
              <w:rPr>
                <w:rFonts w:hint="eastAsia"/>
                <w:color w:val="auto"/>
                <w:highlight w:val="none"/>
                <w:lang w:val="en-US" w:eastAsia="zh-CN"/>
              </w:rPr>
              <w:t>氟化物</w:t>
            </w:r>
          </w:p>
        </w:tc>
        <w:tc>
          <w:tcPr>
            <w:tcW w:w="1681" w:type="dxa"/>
            <w:shd w:val="clear" w:color="auto" w:fill="auto"/>
            <w:vAlign w:val="center"/>
          </w:tcPr>
          <w:p w14:paraId="4EDCB87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0.1691</w:t>
            </w:r>
          </w:p>
        </w:tc>
        <w:tc>
          <w:tcPr>
            <w:tcW w:w="1602" w:type="dxa"/>
            <w:shd w:val="clear" w:color="auto" w:fill="auto"/>
            <w:vAlign w:val="center"/>
          </w:tcPr>
          <w:p w14:paraId="0204A7E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0.0118</w:t>
            </w:r>
          </w:p>
        </w:tc>
        <w:tc>
          <w:tcPr>
            <w:tcW w:w="1439" w:type="dxa"/>
            <w:shd w:val="clear" w:color="auto" w:fill="auto"/>
            <w:vAlign w:val="center"/>
          </w:tcPr>
          <w:p w14:paraId="730A596C">
            <w:pPr>
              <w:pStyle w:val="17"/>
              <w:bidi w:val="0"/>
              <w:ind w:firstLine="0" w:firstLineChars="0"/>
              <w:rPr>
                <w:rFonts w:hint="default"/>
                <w:color w:val="auto"/>
                <w:highlight w:val="none"/>
                <w:lang w:val="en-US" w:eastAsia="zh-CN"/>
              </w:rPr>
            </w:pPr>
            <w:r>
              <w:rPr>
                <w:rFonts w:hint="eastAsia"/>
                <w:color w:val="auto"/>
                <w:highlight w:val="none"/>
                <w:lang w:val="en-US" w:eastAsia="zh-CN"/>
              </w:rPr>
              <w:t>0.0852</w:t>
            </w:r>
          </w:p>
        </w:tc>
      </w:tr>
      <w:tr w14:paraId="58FB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Merge w:val="restart"/>
            <w:vAlign w:val="center"/>
          </w:tcPr>
          <w:p w14:paraId="38270D58">
            <w:pPr>
              <w:pStyle w:val="17"/>
              <w:bidi w:val="0"/>
              <w:rPr>
                <w:rFonts w:hint="default"/>
                <w:color w:val="auto"/>
                <w:highlight w:val="none"/>
                <w:lang w:val="en-US" w:eastAsia="zh-CN"/>
              </w:rPr>
            </w:pPr>
            <w:r>
              <w:rPr>
                <w:rFonts w:hint="eastAsia"/>
                <w:color w:val="auto"/>
                <w:highlight w:val="none"/>
                <w:lang w:val="en-US" w:eastAsia="zh-CN"/>
              </w:rPr>
              <w:t>4</w:t>
            </w:r>
          </w:p>
        </w:tc>
        <w:tc>
          <w:tcPr>
            <w:tcW w:w="1342" w:type="dxa"/>
            <w:vMerge w:val="restart"/>
            <w:vAlign w:val="center"/>
          </w:tcPr>
          <w:p w14:paraId="0996B05A">
            <w:pPr>
              <w:pStyle w:val="17"/>
              <w:bidi w:val="0"/>
              <w:rPr>
                <w:rFonts w:hint="default"/>
                <w:color w:val="auto"/>
                <w:highlight w:val="none"/>
                <w:lang w:val="en-US" w:eastAsia="zh-CN"/>
              </w:rPr>
            </w:pPr>
            <w:r>
              <w:rPr>
                <w:rFonts w:hint="eastAsia"/>
                <w:color w:val="auto"/>
                <w:highlight w:val="none"/>
                <w:lang w:val="en-US" w:eastAsia="zh-CN"/>
              </w:rPr>
              <w:t>DA004</w:t>
            </w:r>
          </w:p>
        </w:tc>
        <w:tc>
          <w:tcPr>
            <w:tcW w:w="1873" w:type="dxa"/>
            <w:shd w:val="clear" w:color="auto" w:fill="auto"/>
            <w:vAlign w:val="center"/>
          </w:tcPr>
          <w:p w14:paraId="63DD40CC">
            <w:pPr>
              <w:pStyle w:val="17"/>
              <w:bidi w:val="0"/>
              <w:ind w:firstLine="0" w:firstLineChars="0"/>
              <w:rPr>
                <w:rFonts w:hint="default"/>
                <w:color w:val="auto"/>
                <w:highlight w:val="none"/>
                <w:lang w:val="en-US" w:eastAsia="zh-CN"/>
              </w:rPr>
            </w:pPr>
            <w:r>
              <w:rPr>
                <w:rFonts w:hint="eastAsia"/>
                <w:color w:val="auto"/>
                <w:highlight w:val="none"/>
                <w:lang w:val="en-US" w:eastAsia="zh-CN"/>
              </w:rPr>
              <w:t>颗粒物</w:t>
            </w:r>
          </w:p>
        </w:tc>
        <w:tc>
          <w:tcPr>
            <w:tcW w:w="1681" w:type="dxa"/>
            <w:shd w:val="clear" w:color="auto" w:fill="auto"/>
            <w:vAlign w:val="center"/>
          </w:tcPr>
          <w:p w14:paraId="097D3C6E">
            <w:pPr>
              <w:pStyle w:val="17"/>
              <w:bidi w:val="0"/>
              <w:ind w:firstLine="0" w:firstLineChars="0"/>
              <w:rPr>
                <w:rFonts w:hint="default"/>
                <w:color w:val="auto"/>
                <w:highlight w:val="none"/>
                <w:lang w:val="en-US" w:eastAsia="zh-CN"/>
              </w:rPr>
            </w:pPr>
            <w:r>
              <w:rPr>
                <w:rFonts w:hint="eastAsia"/>
                <w:color w:val="auto"/>
                <w:highlight w:val="none"/>
                <w:lang w:val="en-US" w:eastAsia="zh-CN"/>
              </w:rPr>
              <w:t>1.25</w:t>
            </w:r>
          </w:p>
        </w:tc>
        <w:tc>
          <w:tcPr>
            <w:tcW w:w="1602" w:type="dxa"/>
            <w:shd w:val="clear" w:color="auto" w:fill="auto"/>
            <w:vAlign w:val="center"/>
          </w:tcPr>
          <w:p w14:paraId="3742ABE7">
            <w:pPr>
              <w:pStyle w:val="17"/>
              <w:bidi w:val="0"/>
              <w:ind w:firstLine="0" w:firstLineChars="0"/>
              <w:rPr>
                <w:rFonts w:hint="default"/>
                <w:color w:val="auto"/>
                <w:highlight w:val="none"/>
                <w:lang w:val="en-US" w:eastAsia="zh-CN"/>
              </w:rPr>
            </w:pPr>
            <w:r>
              <w:rPr>
                <w:rFonts w:hint="eastAsia"/>
                <w:color w:val="auto"/>
                <w:highlight w:val="none"/>
                <w:lang w:val="en-US" w:eastAsia="zh-CN"/>
              </w:rPr>
              <w:t>0.0075</w:t>
            </w:r>
          </w:p>
        </w:tc>
        <w:tc>
          <w:tcPr>
            <w:tcW w:w="1439" w:type="dxa"/>
            <w:shd w:val="clear" w:color="auto" w:fill="auto"/>
            <w:vAlign w:val="center"/>
          </w:tcPr>
          <w:p w14:paraId="6DF70A40">
            <w:pPr>
              <w:pStyle w:val="17"/>
              <w:bidi w:val="0"/>
              <w:ind w:firstLine="0" w:firstLineChars="0"/>
              <w:rPr>
                <w:rFonts w:hint="default"/>
                <w:color w:val="auto"/>
                <w:highlight w:val="none"/>
                <w:lang w:val="en-US" w:eastAsia="zh-CN"/>
              </w:rPr>
            </w:pPr>
            <w:r>
              <w:rPr>
                <w:rFonts w:hint="eastAsia"/>
                <w:color w:val="auto"/>
                <w:highlight w:val="none"/>
                <w:lang w:val="en-US" w:eastAsia="zh-CN"/>
              </w:rPr>
              <w:t>0.054</w:t>
            </w:r>
          </w:p>
        </w:tc>
      </w:tr>
      <w:tr w14:paraId="3367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Merge w:val="continue"/>
            <w:vAlign w:val="center"/>
          </w:tcPr>
          <w:p w14:paraId="19B5EE67">
            <w:pPr>
              <w:pStyle w:val="17"/>
              <w:bidi w:val="0"/>
              <w:rPr>
                <w:rFonts w:hint="eastAsia"/>
                <w:color w:val="auto"/>
                <w:highlight w:val="none"/>
                <w:lang w:val="en-US" w:eastAsia="zh-CN"/>
              </w:rPr>
            </w:pPr>
          </w:p>
        </w:tc>
        <w:tc>
          <w:tcPr>
            <w:tcW w:w="1342" w:type="dxa"/>
            <w:vMerge w:val="continue"/>
            <w:vAlign w:val="center"/>
          </w:tcPr>
          <w:p w14:paraId="5542B8E9">
            <w:pPr>
              <w:pStyle w:val="17"/>
              <w:bidi w:val="0"/>
              <w:rPr>
                <w:rFonts w:hint="eastAsia"/>
                <w:color w:val="auto"/>
                <w:highlight w:val="none"/>
                <w:lang w:val="en-US" w:eastAsia="zh-CN"/>
              </w:rPr>
            </w:pPr>
          </w:p>
        </w:tc>
        <w:tc>
          <w:tcPr>
            <w:tcW w:w="1873" w:type="dxa"/>
            <w:shd w:val="clear" w:color="auto" w:fill="auto"/>
            <w:vAlign w:val="center"/>
          </w:tcPr>
          <w:p w14:paraId="0F5BF8C8">
            <w:pPr>
              <w:pStyle w:val="17"/>
              <w:bidi w:val="0"/>
              <w:ind w:firstLine="0" w:firstLineChars="0"/>
              <w:rPr>
                <w:rFonts w:hint="default"/>
                <w:color w:val="auto"/>
                <w:highlight w:val="none"/>
                <w:lang w:val="en-US" w:eastAsia="zh-CN"/>
              </w:rPr>
            </w:pPr>
            <w:r>
              <w:rPr>
                <w:rFonts w:hint="eastAsia"/>
                <w:color w:val="auto"/>
                <w:highlight w:val="none"/>
                <w:lang w:val="en-US" w:eastAsia="zh-CN"/>
              </w:rPr>
              <w:t>氟化物</w:t>
            </w:r>
          </w:p>
        </w:tc>
        <w:tc>
          <w:tcPr>
            <w:tcW w:w="1681" w:type="dxa"/>
            <w:shd w:val="clear" w:color="auto" w:fill="auto"/>
            <w:vAlign w:val="center"/>
          </w:tcPr>
          <w:p w14:paraId="7A0ABF12">
            <w:pPr>
              <w:pStyle w:val="17"/>
              <w:bidi w:val="0"/>
              <w:ind w:firstLine="0" w:firstLineChars="0"/>
              <w:rPr>
                <w:rFonts w:hint="default"/>
                <w:color w:val="auto"/>
                <w:highlight w:val="none"/>
                <w:lang w:val="en-US" w:eastAsia="zh-CN"/>
              </w:rPr>
            </w:pPr>
            <w:r>
              <w:rPr>
                <w:rFonts w:hint="eastAsia"/>
                <w:color w:val="auto"/>
                <w:highlight w:val="none"/>
                <w:lang w:val="en-US" w:eastAsia="zh-CN"/>
              </w:rPr>
              <w:t>0.1972</w:t>
            </w:r>
          </w:p>
        </w:tc>
        <w:tc>
          <w:tcPr>
            <w:tcW w:w="1602" w:type="dxa"/>
            <w:shd w:val="clear" w:color="auto" w:fill="auto"/>
            <w:vAlign w:val="center"/>
          </w:tcPr>
          <w:p w14:paraId="6A3D7DB0">
            <w:pPr>
              <w:pStyle w:val="17"/>
              <w:bidi w:val="0"/>
              <w:ind w:firstLine="0" w:firstLineChars="0"/>
              <w:rPr>
                <w:rFonts w:hint="default"/>
                <w:color w:val="auto"/>
                <w:highlight w:val="none"/>
                <w:lang w:val="en-US" w:eastAsia="zh-CN"/>
              </w:rPr>
            </w:pPr>
            <w:r>
              <w:rPr>
                <w:rFonts w:hint="eastAsia"/>
                <w:color w:val="auto"/>
                <w:highlight w:val="none"/>
                <w:lang w:val="en-US" w:eastAsia="zh-CN"/>
              </w:rPr>
              <w:t>0.0012</w:t>
            </w:r>
          </w:p>
        </w:tc>
        <w:tc>
          <w:tcPr>
            <w:tcW w:w="1439" w:type="dxa"/>
            <w:shd w:val="clear" w:color="auto" w:fill="auto"/>
            <w:vAlign w:val="center"/>
          </w:tcPr>
          <w:p w14:paraId="589F66B2">
            <w:pPr>
              <w:pStyle w:val="17"/>
              <w:bidi w:val="0"/>
              <w:ind w:firstLine="0" w:firstLineChars="0"/>
              <w:rPr>
                <w:rFonts w:hint="default"/>
                <w:color w:val="auto"/>
                <w:highlight w:val="none"/>
                <w:lang w:val="en-US" w:eastAsia="zh-CN"/>
              </w:rPr>
            </w:pPr>
            <w:r>
              <w:rPr>
                <w:rFonts w:hint="eastAsia"/>
                <w:color w:val="auto"/>
                <w:highlight w:val="none"/>
                <w:lang w:val="en-US" w:eastAsia="zh-CN"/>
              </w:rPr>
              <w:t>0.0085</w:t>
            </w:r>
          </w:p>
        </w:tc>
      </w:tr>
      <w:tr w14:paraId="353B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dxa"/>
            <w:vAlign w:val="center"/>
          </w:tcPr>
          <w:p w14:paraId="0A3D22E0">
            <w:pPr>
              <w:pStyle w:val="17"/>
              <w:bidi w:val="0"/>
              <w:rPr>
                <w:rFonts w:hint="default"/>
                <w:color w:val="auto"/>
                <w:highlight w:val="none"/>
                <w:lang w:val="en-US" w:eastAsia="zh-CN"/>
              </w:rPr>
            </w:pPr>
            <w:r>
              <w:rPr>
                <w:rFonts w:hint="eastAsia"/>
                <w:color w:val="auto"/>
                <w:highlight w:val="none"/>
                <w:lang w:val="en-US" w:eastAsia="zh-CN"/>
              </w:rPr>
              <w:t>5</w:t>
            </w:r>
          </w:p>
        </w:tc>
        <w:tc>
          <w:tcPr>
            <w:tcW w:w="1342" w:type="dxa"/>
            <w:vAlign w:val="center"/>
          </w:tcPr>
          <w:p w14:paraId="25F8E363">
            <w:pPr>
              <w:pStyle w:val="17"/>
              <w:bidi w:val="0"/>
              <w:rPr>
                <w:rFonts w:hint="default"/>
                <w:color w:val="auto"/>
                <w:highlight w:val="none"/>
                <w:lang w:val="en-US" w:eastAsia="zh-CN"/>
              </w:rPr>
            </w:pPr>
            <w:r>
              <w:rPr>
                <w:rFonts w:hint="eastAsia"/>
                <w:color w:val="auto"/>
                <w:highlight w:val="none"/>
                <w:lang w:val="en-US" w:eastAsia="zh-CN"/>
              </w:rPr>
              <w:t>DA005</w:t>
            </w:r>
          </w:p>
        </w:tc>
        <w:tc>
          <w:tcPr>
            <w:tcW w:w="1873" w:type="dxa"/>
            <w:shd w:val="clear" w:color="auto" w:fill="auto"/>
            <w:vAlign w:val="center"/>
          </w:tcPr>
          <w:p w14:paraId="2BB7D886">
            <w:pPr>
              <w:pStyle w:val="17"/>
              <w:bidi w:val="0"/>
              <w:ind w:firstLine="0" w:firstLineChars="0"/>
              <w:rPr>
                <w:rFonts w:hint="default"/>
                <w:color w:val="auto"/>
                <w:highlight w:val="none"/>
                <w:lang w:val="en-US" w:eastAsia="zh-CN"/>
              </w:rPr>
            </w:pPr>
            <w:r>
              <w:rPr>
                <w:rFonts w:hint="eastAsia"/>
                <w:color w:val="auto"/>
                <w:highlight w:val="none"/>
                <w:lang w:val="en-US" w:eastAsia="zh-CN"/>
              </w:rPr>
              <w:t>硫酸雾</w:t>
            </w:r>
          </w:p>
        </w:tc>
        <w:tc>
          <w:tcPr>
            <w:tcW w:w="1681" w:type="dxa"/>
            <w:shd w:val="clear" w:color="auto" w:fill="auto"/>
            <w:vAlign w:val="center"/>
          </w:tcPr>
          <w:p w14:paraId="39D49ADC">
            <w:pPr>
              <w:pStyle w:val="17"/>
              <w:bidi w:val="0"/>
              <w:rPr>
                <w:rFonts w:hint="default"/>
                <w:color w:val="auto"/>
                <w:highlight w:val="none"/>
                <w:lang w:val="en-US" w:eastAsia="zh-CN"/>
              </w:rPr>
            </w:pPr>
            <w:r>
              <w:rPr>
                <w:rFonts w:hint="eastAsia"/>
                <w:color w:val="auto"/>
                <w:highlight w:val="none"/>
                <w:lang w:val="en-US" w:eastAsia="zh-CN"/>
              </w:rPr>
              <w:t>17.8333</w:t>
            </w:r>
          </w:p>
        </w:tc>
        <w:tc>
          <w:tcPr>
            <w:tcW w:w="1602" w:type="dxa"/>
            <w:shd w:val="clear" w:color="auto" w:fill="auto"/>
            <w:vAlign w:val="center"/>
          </w:tcPr>
          <w:p w14:paraId="21A5C5D2">
            <w:pPr>
              <w:pStyle w:val="17"/>
              <w:bidi w:val="0"/>
              <w:rPr>
                <w:rFonts w:hint="default"/>
                <w:color w:val="auto"/>
                <w:highlight w:val="none"/>
                <w:lang w:val="en-US" w:eastAsia="zh-CN"/>
              </w:rPr>
            </w:pPr>
            <w:r>
              <w:rPr>
                <w:rFonts w:hint="eastAsia"/>
                <w:color w:val="auto"/>
                <w:highlight w:val="none"/>
                <w:lang w:val="en-US" w:eastAsia="zh-CN"/>
              </w:rPr>
              <w:t>0.0178</w:t>
            </w:r>
          </w:p>
        </w:tc>
        <w:tc>
          <w:tcPr>
            <w:tcW w:w="1439" w:type="dxa"/>
            <w:shd w:val="clear" w:color="auto" w:fill="auto"/>
            <w:vAlign w:val="center"/>
          </w:tcPr>
          <w:p w14:paraId="4F258E64">
            <w:pPr>
              <w:pStyle w:val="17"/>
              <w:bidi w:val="0"/>
              <w:rPr>
                <w:rFonts w:hint="default"/>
                <w:color w:val="auto"/>
                <w:highlight w:val="none"/>
                <w:lang w:val="en-US" w:eastAsia="zh-CN"/>
              </w:rPr>
            </w:pPr>
            <w:r>
              <w:rPr>
                <w:rFonts w:hint="eastAsia"/>
                <w:color w:val="auto"/>
                <w:highlight w:val="none"/>
                <w:lang w:val="en-US" w:eastAsia="zh-CN"/>
              </w:rPr>
              <w:t>0.1284</w:t>
            </w:r>
          </w:p>
        </w:tc>
      </w:tr>
      <w:tr w14:paraId="7B72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27" w:type="dxa"/>
            <w:gridSpan w:val="2"/>
            <w:vMerge w:val="restart"/>
            <w:vAlign w:val="center"/>
          </w:tcPr>
          <w:p w14:paraId="4DD222B6">
            <w:pPr>
              <w:pStyle w:val="17"/>
              <w:bidi w:val="0"/>
              <w:rPr>
                <w:rFonts w:hint="default"/>
                <w:color w:val="auto"/>
                <w:highlight w:val="none"/>
                <w:lang w:val="en-US" w:eastAsia="zh-CN"/>
              </w:rPr>
            </w:pPr>
            <w:r>
              <w:rPr>
                <w:rFonts w:hint="eastAsia"/>
                <w:color w:val="auto"/>
                <w:highlight w:val="none"/>
                <w:lang w:val="en-US" w:eastAsia="zh-CN"/>
              </w:rPr>
              <w:t>有组织排放总计</w:t>
            </w:r>
          </w:p>
        </w:tc>
        <w:tc>
          <w:tcPr>
            <w:tcW w:w="5156" w:type="dxa"/>
            <w:gridSpan w:val="3"/>
            <w:shd w:val="clear" w:color="auto" w:fill="auto"/>
            <w:vAlign w:val="center"/>
          </w:tcPr>
          <w:p w14:paraId="2685CBD4">
            <w:pPr>
              <w:pStyle w:val="17"/>
              <w:bidi w:val="0"/>
              <w:rPr>
                <w:rFonts w:hint="default"/>
                <w:color w:val="auto"/>
                <w:highlight w:val="none"/>
                <w:lang w:val="en-US" w:eastAsia="zh-CN"/>
              </w:rPr>
            </w:pPr>
            <w:r>
              <w:rPr>
                <w:rFonts w:hint="eastAsia"/>
                <w:color w:val="auto"/>
                <w:highlight w:val="none"/>
                <w:lang w:val="en-US" w:eastAsia="zh-CN"/>
              </w:rPr>
              <w:t>颗粒物</w:t>
            </w:r>
          </w:p>
        </w:tc>
        <w:tc>
          <w:tcPr>
            <w:tcW w:w="1439" w:type="dxa"/>
            <w:shd w:val="clear" w:color="auto" w:fill="auto"/>
            <w:vAlign w:val="center"/>
          </w:tcPr>
          <w:p w14:paraId="37A9B367">
            <w:pPr>
              <w:pStyle w:val="17"/>
              <w:bidi w:val="0"/>
              <w:rPr>
                <w:rFonts w:hint="default"/>
                <w:color w:val="auto"/>
                <w:highlight w:val="none"/>
                <w:lang w:val="en-US" w:eastAsia="zh-CN"/>
              </w:rPr>
            </w:pPr>
            <w:r>
              <w:rPr>
                <w:rFonts w:hint="eastAsia"/>
                <w:color w:val="auto"/>
                <w:highlight w:val="none"/>
                <w:lang w:val="en-US" w:eastAsia="zh-CN"/>
              </w:rPr>
              <w:t>1.188</w:t>
            </w:r>
          </w:p>
        </w:tc>
      </w:tr>
      <w:tr w14:paraId="02ED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27" w:type="dxa"/>
            <w:gridSpan w:val="2"/>
            <w:vMerge w:val="continue"/>
            <w:vAlign w:val="center"/>
          </w:tcPr>
          <w:p w14:paraId="546F4B64">
            <w:pPr>
              <w:pStyle w:val="17"/>
              <w:bidi w:val="0"/>
              <w:rPr>
                <w:rFonts w:hint="default"/>
                <w:color w:val="auto"/>
                <w:highlight w:val="none"/>
                <w:lang w:val="en-US" w:eastAsia="zh-CN"/>
              </w:rPr>
            </w:pPr>
          </w:p>
        </w:tc>
        <w:tc>
          <w:tcPr>
            <w:tcW w:w="5156" w:type="dxa"/>
            <w:gridSpan w:val="3"/>
            <w:shd w:val="clear" w:color="auto" w:fill="auto"/>
            <w:vAlign w:val="center"/>
          </w:tcPr>
          <w:p w14:paraId="40F2B171">
            <w:pPr>
              <w:pStyle w:val="17"/>
              <w:bidi w:val="0"/>
              <w:rPr>
                <w:rFonts w:hint="default"/>
                <w:color w:val="auto"/>
                <w:highlight w:val="none"/>
                <w:lang w:val="en-US" w:eastAsia="zh-CN"/>
              </w:rPr>
            </w:pPr>
            <w:r>
              <w:rPr>
                <w:rFonts w:hint="eastAsia"/>
                <w:color w:val="auto"/>
                <w:highlight w:val="none"/>
                <w:lang w:val="en-US" w:eastAsia="zh-CN"/>
              </w:rPr>
              <w:t>氟化物</w:t>
            </w:r>
          </w:p>
        </w:tc>
        <w:tc>
          <w:tcPr>
            <w:tcW w:w="1439" w:type="dxa"/>
            <w:shd w:val="clear" w:color="auto" w:fill="auto"/>
            <w:vAlign w:val="center"/>
          </w:tcPr>
          <w:p w14:paraId="288A7687">
            <w:pPr>
              <w:pStyle w:val="17"/>
              <w:bidi w:val="0"/>
              <w:rPr>
                <w:rFonts w:hint="default"/>
                <w:color w:val="auto"/>
                <w:highlight w:val="none"/>
                <w:lang w:val="en-US" w:eastAsia="zh-CN"/>
              </w:rPr>
            </w:pPr>
            <w:r>
              <w:rPr>
                <w:rFonts w:hint="eastAsia"/>
                <w:color w:val="auto"/>
                <w:highlight w:val="none"/>
                <w:lang w:val="en-US" w:eastAsia="zh-CN"/>
              </w:rPr>
              <w:t>0.1874</w:t>
            </w:r>
          </w:p>
        </w:tc>
      </w:tr>
      <w:tr w14:paraId="7214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27" w:type="dxa"/>
            <w:gridSpan w:val="2"/>
            <w:vMerge w:val="continue"/>
            <w:vAlign w:val="center"/>
          </w:tcPr>
          <w:p w14:paraId="326ACCB1">
            <w:pPr>
              <w:pStyle w:val="17"/>
              <w:bidi w:val="0"/>
              <w:rPr>
                <w:rFonts w:hint="default"/>
                <w:color w:val="auto"/>
                <w:highlight w:val="none"/>
                <w:lang w:val="en-US" w:eastAsia="zh-CN"/>
              </w:rPr>
            </w:pPr>
          </w:p>
        </w:tc>
        <w:tc>
          <w:tcPr>
            <w:tcW w:w="5156" w:type="dxa"/>
            <w:gridSpan w:val="3"/>
            <w:shd w:val="clear" w:color="auto" w:fill="auto"/>
            <w:vAlign w:val="center"/>
          </w:tcPr>
          <w:p w14:paraId="12C8C90E">
            <w:pPr>
              <w:pStyle w:val="17"/>
              <w:bidi w:val="0"/>
              <w:rPr>
                <w:rFonts w:hint="default"/>
                <w:color w:val="auto"/>
                <w:highlight w:val="none"/>
                <w:lang w:val="en-US" w:eastAsia="zh-CN"/>
              </w:rPr>
            </w:pPr>
            <w:r>
              <w:rPr>
                <w:rFonts w:hint="eastAsia"/>
                <w:color w:val="auto"/>
                <w:highlight w:val="none"/>
                <w:lang w:val="en-US" w:eastAsia="zh-CN"/>
              </w:rPr>
              <w:t>硫酸雾</w:t>
            </w:r>
          </w:p>
        </w:tc>
        <w:tc>
          <w:tcPr>
            <w:tcW w:w="1439" w:type="dxa"/>
            <w:shd w:val="clear" w:color="auto" w:fill="auto"/>
            <w:vAlign w:val="center"/>
          </w:tcPr>
          <w:p w14:paraId="62272B0E">
            <w:pPr>
              <w:pStyle w:val="17"/>
              <w:bidi w:val="0"/>
              <w:rPr>
                <w:rFonts w:hint="default"/>
                <w:color w:val="auto"/>
                <w:highlight w:val="none"/>
                <w:lang w:val="en-US" w:eastAsia="zh-CN"/>
              </w:rPr>
            </w:pPr>
            <w:r>
              <w:rPr>
                <w:rFonts w:hint="eastAsia"/>
                <w:color w:val="auto"/>
                <w:highlight w:val="none"/>
                <w:lang w:val="en-US" w:eastAsia="zh-CN"/>
              </w:rPr>
              <w:t>0.1284</w:t>
            </w:r>
          </w:p>
        </w:tc>
      </w:tr>
    </w:tbl>
    <w:p w14:paraId="014A9DFD">
      <w:pPr>
        <w:pStyle w:val="19"/>
        <w:bidi w:val="0"/>
        <w:rPr>
          <w:rFonts w:hint="default"/>
          <w:color w:val="auto"/>
          <w:highlight w:val="none"/>
          <w:lang w:val="en-US" w:eastAsia="zh-CN"/>
        </w:rPr>
      </w:pPr>
      <w:r>
        <w:rPr>
          <w:rFonts w:hint="default"/>
          <w:color w:val="auto"/>
          <w:highlight w:val="none"/>
          <w:lang w:val="en-US" w:eastAsia="zh-CN"/>
        </w:rPr>
        <w:t>表5.2-</w:t>
      </w:r>
      <w:r>
        <w:rPr>
          <w:rFonts w:hint="eastAsia"/>
          <w:color w:val="auto"/>
          <w:highlight w:val="none"/>
          <w:lang w:val="en-US" w:eastAsia="zh-CN"/>
        </w:rPr>
        <w:t>7</w:t>
      </w:r>
      <w:r>
        <w:rPr>
          <w:rFonts w:hint="default"/>
          <w:color w:val="auto"/>
          <w:highlight w:val="none"/>
          <w:lang w:val="en-US" w:eastAsia="zh-CN"/>
        </w:rPr>
        <w:t xml:space="preserve">  </w:t>
      </w:r>
      <w:r>
        <w:rPr>
          <w:rFonts w:hint="eastAsia"/>
          <w:color w:val="auto"/>
          <w:highlight w:val="none"/>
          <w:lang w:val="en-US" w:eastAsia="zh-CN"/>
        </w:rPr>
        <w:t xml:space="preserve"> 大气污染物无组织排放量核算表</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632"/>
        <w:gridCol w:w="1177"/>
        <w:gridCol w:w="1105"/>
        <w:gridCol w:w="1340"/>
        <w:gridCol w:w="1943"/>
        <w:gridCol w:w="1003"/>
        <w:gridCol w:w="891"/>
      </w:tblGrid>
      <w:tr w14:paraId="285A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tcBorders>
              <w:tl2br w:val="nil"/>
              <w:tr2bl w:val="nil"/>
            </w:tcBorders>
            <w:noWrap w:val="0"/>
            <w:vAlign w:val="center"/>
          </w:tcPr>
          <w:p w14:paraId="66CAA13C">
            <w:pPr>
              <w:pStyle w:val="17"/>
              <w:bidi w:val="0"/>
              <w:rPr>
                <w:rFonts w:hint="default"/>
                <w:color w:val="auto"/>
                <w:highlight w:val="none"/>
                <w:lang w:val="en-US" w:eastAsia="zh-CN"/>
              </w:rPr>
            </w:pPr>
            <w:r>
              <w:rPr>
                <w:rFonts w:hint="default"/>
                <w:color w:val="auto"/>
                <w:highlight w:val="none"/>
                <w:lang w:val="en-US" w:eastAsia="zh-CN"/>
              </w:rPr>
              <w:t>序号</w:t>
            </w:r>
          </w:p>
        </w:tc>
        <w:tc>
          <w:tcPr>
            <w:tcW w:w="374" w:type="pct"/>
            <w:vMerge w:val="restart"/>
            <w:tcBorders>
              <w:tl2br w:val="nil"/>
              <w:tr2bl w:val="nil"/>
            </w:tcBorders>
            <w:noWrap w:val="0"/>
            <w:vAlign w:val="center"/>
          </w:tcPr>
          <w:p w14:paraId="4486C732">
            <w:pPr>
              <w:pStyle w:val="17"/>
              <w:bidi w:val="0"/>
              <w:rPr>
                <w:rFonts w:hint="default"/>
                <w:color w:val="auto"/>
                <w:highlight w:val="none"/>
                <w:lang w:val="en-US" w:eastAsia="zh-CN"/>
              </w:rPr>
            </w:pPr>
            <w:r>
              <w:rPr>
                <w:rFonts w:hint="default"/>
                <w:color w:val="auto"/>
                <w:highlight w:val="none"/>
                <w:lang w:val="en-US" w:eastAsia="zh-CN"/>
              </w:rPr>
              <w:t>排放口编号</w:t>
            </w:r>
          </w:p>
        </w:tc>
        <w:tc>
          <w:tcPr>
            <w:tcW w:w="693" w:type="pct"/>
            <w:vMerge w:val="restart"/>
            <w:tcBorders>
              <w:tl2br w:val="nil"/>
              <w:tr2bl w:val="nil"/>
            </w:tcBorders>
            <w:noWrap w:val="0"/>
            <w:vAlign w:val="center"/>
          </w:tcPr>
          <w:p w14:paraId="265C286D">
            <w:pPr>
              <w:pStyle w:val="17"/>
              <w:bidi w:val="0"/>
              <w:rPr>
                <w:rFonts w:hint="default"/>
                <w:color w:val="auto"/>
                <w:highlight w:val="none"/>
                <w:lang w:val="en-US" w:eastAsia="zh-CN"/>
              </w:rPr>
            </w:pPr>
            <w:r>
              <w:rPr>
                <w:rFonts w:hint="eastAsia"/>
                <w:color w:val="auto"/>
                <w:highlight w:val="none"/>
                <w:lang w:val="en-US" w:eastAsia="zh-CN"/>
              </w:rPr>
              <w:t>产污环节</w:t>
            </w:r>
          </w:p>
        </w:tc>
        <w:tc>
          <w:tcPr>
            <w:tcW w:w="651" w:type="pct"/>
            <w:vMerge w:val="restart"/>
            <w:tcBorders>
              <w:tl2br w:val="nil"/>
              <w:tr2bl w:val="nil"/>
            </w:tcBorders>
            <w:noWrap w:val="0"/>
            <w:vAlign w:val="center"/>
          </w:tcPr>
          <w:p w14:paraId="491F4367">
            <w:pPr>
              <w:pStyle w:val="17"/>
              <w:bidi w:val="0"/>
              <w:rPr>
                <w:rFonts w:hint="default"/>
                <w:color w:val="auto"/>
                <w:highlight w:val="none"/>
                <w:lang w:val="en-US" w:eastAsia="zh-CN"/>
              </w:rPr>
            </w:pPr>
            <w:r>
              <w:rPr>
                <w:rFonts w:hint="default"/>
                <w:color w:val="auto"/>
                <w:highlight w:val="none"/>
                <w:lang w:val="en-US" w:eastAsia="zh-CN"/>
              </w:rPr>
              <w:t>污染物</w:t>
            </w:r>
          </w:p>
        </w:tc>
        <w:tc>
          <w:tcPr>
            <w:tcW w:w="789" w:type="pct"/>
            <w:vMerge w:val="restart"/>
            <w:tcBorders>
              <w:tl2br w:val="nil"/>
              <w:tr2bl w:val="nil"/>
            </w:tcBorders>
            <w:noWrap w:val="0"/>
            <w:vAlign w:val="center"/>
          </w:tcPr>
          <w:p w14:paraId="716C89AC">
            <w:pPr>
              <w:pStyle w:val="17"/>
              <w:bidi w:val="0"/>
              <w:rPr>
                <w:rFonts w:hint="default"/>
                <w:color w:val="auto"/>
                <w:highlight w:val="none"/>
                <w:lang w:val="en-US" w:eastAsia="zh-CN"/>
              </w:rPr>
            </w:pPr>
            <w:r>
              <w:rPr>
                <w:rFonts w:hint="eastAsia"/>
                <w:color w:val="auto"/>
                <w:highlight w:val="none"/>
                <w:lang w:val="en-US" w:eastAsia="zh-CN"/>
              </w:rPr>
              <w:t>主要污染防治措施</w:t>
            </w:r>
          </w:p>
        </w:tc>
        <w:tc>
          <w:tcPr>
            <w:tcW w:w="1730" w:type="pct"/>
            <w:gridSpan w:val="2"/>
            <w:tcBorders>
              <w:tl2br w:val="nil"/>
              <w:tr2bl w:val="nil"/>
            </w:tcBorders>
            <w:noWrap w:val="0"/>
            <w:vAlign w:val="center"/>
          </w:tcPr>
          <w:p w14:paraId="646EBB34">
            <w:pPr>
              <w:pStyle w:val="17"/>
              <w:bidi w:val="0"/>
              <w:rPr>
                <w:rFonts w:hint="default"/>
                <w:color w:val="auto"/>
                <w:highlight w:val="none"/>
                <w:lang w:val="en-US" w:eastAsia="zh-CN"/>
              </w:rPr>
            </w:pPr>
            <w:r>
              <w:rPr>
                <w:rFonts w:hint="eastAsia"/>
                <w:color w:val="auto"/>
                <w:highlight w:val="none"/>
                <w:lang w:val="en-US" w:eastAsia="zh-CN"/>
              </w:rPr>
              <w:t>排放标准</w:t>
            </w:r>
          </w:p>
        </w:tc>
        <w:tc>
          <w:tcPr>
            <w:tcW w:w="511" w:type="pct"/>
            <w:vMerge w:val="restart"/>
            <w:tcBorders>
              <w:tl2br w:val="nil"/>
              <w:tr2bl w:val="nil"/>
            </w:tcBorders>
            <w:noWrap w:val="0"/>
            <w:vAlign w:val="center"/>
          </w:tcPr>
          <w:p w14:paraId="266078CF">
            <w:pPr>
              <w:pStyle w:val="17"/>
              <w:bidi w:val="0"/>
              <w:rPr>
                <w:rFonts w:hint="default"/>
                <w:color w:val="auto"/>
                <w:highlight w:val="none"/>
                <w:lang w:val="en-US" w:eastAsia="zh-CN"/>
              </w:rPr>
            </w:pPr>
            <w:r>
              <w:rPr>
                <w:rFonts w:hint="default"/>
                <w:color w:val="auto"/>
                <w:highlight w:val="none"/>
                <w:lang w:val="en-US" w:eastAsia="zh-CN"/>
              </w:rPr>
              <w:t>年排放量/（t/a）</w:t>
            </w:r>
          </w:p>
        </w:tc>
      </w:tr>
      <w:tr w14:paraId="71D7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tcBorders>
              <w:tl2br w:val="nil"/>
              <w:tr2bl w:val="nil"/>
            </w:tcBorders>
            <w:noWrap w:val="0"/>
            <w:vAlign w:val="center"/>
          </w:tcPr>
          <w:p w14:paraId="42AE8B93">
            <w:pPr>
              <w:pStyle w:val="17"/>
              <w:bidi w:val="0"/>
              <w:rPr>
                <w:color w:val="auto"/>
                <w:highlight w:val="none"/>
              </w:rPr>
            </w:pPr>
          </w:p>
        </w:tc>
        <w:tc>
          <w:tcPr>
            <w:tcW w:w="374" w:type="pct"/>
            <w:vMerge w:val="continue"/>
            <w:tcBorders>
              <w:tl2br w:val="nil"/>
              <w:tr2bl w:val="nil"/>
            </w:tcBorders>
            <w:noWrap w:val="0"/>
            <w:vAlign w:val="center"/>
          </w:tcPr>
          <w:p w14:paraId="5FB9600E">
            <w:pPr>
              <w:pStyle w:val="17"/>
              <w:bidi w:val="0"/>
              <w:rPr>
                <w:color w:val="auto"/>
                <w:highlight w:val="none"/>
              </w:rPr>
            </w:pPr>
          </w:p>
        </w:tc>
        <w:tc>
          <w:tcPr>
            <w:tcW w:w="693" w:type="pct"/>
            <w:vMerge w:val="continue"/>
            <w:tcBorders>
              <w:tl2br w:val="nil"/>
              <w:tr2bl w:val="nil"/>
            </w:tcBorders>
            <w:noWrap w:val="0"/>
            <w:vAlign w:val="center"/>
          </w:tcPr>
          <w:p w14:paraId="0B816069">
            <w:pPr>
              <w:pStyle w:val="17"/>
              <w:bidi w:val="0"/>
              <w:rPr>
                <w:color w:val="auto"/>
                <w:highlight w:val="none"/>
              </w:rPr>
            </w:pPr>
          </w:p>
        </w:tc>
        <w:tc>
          <w:tcPr>
            <w:tcW w:w="651" w:type="pct"/>
            <w:vMerge w:val="continue"/>
            <w:tcBorders>
              <w:tl2br w:val="nil"/>
              <w:tr2bl w:val="nil"/>
            </w:tcBorders>
            <w:noWrap w:val="0"/>
            <w:vAlign w:val="center"/>
          </w:tcPr>
          <w:p w14:paraId="5494544B">
            <w:pPr>
              <w:pStyle w:val="17"/>
              <w:bidi w:val="0"/>
              <w:rPr>
                <w:color w:val="auto"/>
                <w:highlight w:val="none"/>
              </w:rPr>
            </w:pPr>
          </w:p>
        </w:tc>
        <w:tc>
          <w:tcPr>
            <w:tcW w:w="789" w:type="pct"/>
            <w:vMerge w:val="continue"/>
            <w:tcBorders>
              <w:tl2br w:val="nil"/>
              <w:tr2bl w:val="nil"/>
            </w:tcBorders>
            <w:noWrap w:val="0"/>
            <w:vAlign w:val="center"/>
          </w:tcPr>
          <w:p w14:paraId="2D62F0B9">
            <w:pPr>
              <w:pStyle w:val="17"/>
              <w:bidi w:val="0"/>
              <w:rPr>
                <w:color w:val="auto"/>
                <w:highlight w:val="none"/>
              </w:rPr>
            </w:pPr>
          </w:p>
        </w:tc>
        <w:tc>
          <w:tcPr>
            <w:tcW w:w="1140" w:type="pct"/>
            <w:tcBorders>
              <w:tl2br w:val="nil"/>
              <w:tr2bl w:val="nil"/>
            </w:tcBorders>
            <w:noWrap w:val="0"/>
            <w:vAlign w:val="center"/>
          </w:tcPr>
          <w:p w14:paraId="685A9F82">
            <w:pPr>
              <w:pStyle w:val="17"/>
              <w:bidi w:val="0"/>
              <w:rPr>
                <w:rFonts w:hint="default"/>
                <w:color w:val="auto"/>
                <w:highlight w:val="none"/>
                <w:lang w:val="en-US" w:eastAsia="zh-CN"/>
              </w:rPr>
            </w:pPr>
            <w:r>
              <w:rPr>
                <w:rFonts w:hint="eastAsia"/>
                <w:color w:val="auto"/>
                <w:highlight w:val="none"/>
                <w:lang w:val="en-US" w:eastAsia="zh-CN"/>
              </w:rPr>
              <w:t>标准名称</w:t>
            </w:r>
          </w:p>
        </w:tc>
        <w:tc>
          <w:tcPr>
            <w:tcW w:w="589" w:type="pct"/>
            <w:tcBorders>
              <w:tl2br w:val="nil"/>
              <w:tr2bl w:val="nil"/>
            </w:tcBorders>
            <w:noWrap w:val="0"/>
            <w:vAlign w:val="center"/>
          </w:tcPr>
          <w:p w14:paraId="1A7D00E8">
            <w:pPr>
              <w:pStyle w:val="17"/>
              <w:bidi w:val="0"/>
              <w:rPr>
                <w:rFonts w:hint="default"/>
                <w:color w:val="auto"/>
                <w:highlight w:val="none"/>
                <w:lang w:val="en-US" w:eastAsia="zh-CN"/>
              </w:rPr>
            </w:pPr>
            <w:r>
              <w:rPr>
                <w:rFonts w:hint="eastAsia"/>
                <w:color w:val="auto"/>
                <w:highlight w:val="none"/>
                <w:lang w:val="en-US" w:eastAsia="zh-CN"/>
              </w:rPr>
              <w:t>浓度限值</w:t>
            </w:r>
          </w:p>
        </w:tc>
        <w:tc>
          <w:tcPr>
            <w:tcW w:w="511" w:type="pct"/>
            <w:vMerge w:val="continue"/>
            <w:tcBorders>
              <w:tl2br w:val="nil"/>
              <w:tr2bl w:val="nil"/>
            </w:tcBorders>
            <w:noWrap w:val="0"/>
            <w:vAlign w:val="center"/>
          </w:tcPr>
          <w:p w14:paraId="7BFF2CA0">
            <w:pPr>
              <w:pStyle w:val="17"/>
              <w:bidi w:val="0"/>
              <w:rPr>
                <w:rFonts w:hint="eastAsia"/>
                <w:color w:val="auto"/>
                <w:highlight w:val="none"/>
                <w:lang w:val="en-US" w:eastAsia="zh-CN"/>
              </w:rPr>
            </w:pPr>
          </w:p>
        </w:tc>
      </w:tr>
      <w:tr w14:paraId="0F6A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tcBorders>
              <w:tl2br w:val="nil"/>
              <w:tr2bl w:val="nil"/>
            </w:tcBorders>
            <w:noWrap w:val="0"/>
            <w:vAlign w:val="center"/>
          </w:tcPr>
          <w:p w14:paraId="764B7457">
            <w:pPr>
              <w:pStyle w:val="17"/>
              <w:bidi w:val="0"/>
              <w:rPr>
                <w:rFonts w:hint="default"/>
                <w:color w:val="auto"/>
                <w:highlight w:val="none"/>
                <w:lang w:val="en-US" w:eastAsia="zh-CN"/>
              </w:rPr>
            </w:pPr>
            <w:r>
              <w:rPr>
                <w:rFonts w:hint="default"/>
                <w:color w:val="auto"/>
                <w:highlight w:val="none"/>
                <w:lang w:val="en-US" w:eastAsia="zh-CN"/>
              </w:rPr>
              <w:t>1</w:t>
            </w:r>
          </w:p>
        </w:tc>
        <w:tc>
          <w:tcPr>
            <w:tcW w:w="374" w:type="pct"/>
            <w:vMerge w:val="restart"/>
            <w:tcBorders>
              <w:tl2br w:val="nil"/>
              <w:tr2bl w:val="nil"/>
            </w:tcBorders>
            <w:noWrap w:val="0"/>
            <w:vAlign w:val="center"/>
          </w:tcPr>
          <w:p w14:paraId="4AE2E794">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vMerge w:val="restart"/>
            <w:tcBorders>
              <w:tl2br w:val="nil"/>
              <w:tr2bl w:val="nil"/>
            </w:tcBorders>
            <w:shd w:val="clear" w:color="auto" w:fill="auto"/>
            <w:noWrap w:val="0"/>
            <w:vAlign w:val="center"/>
          </w:tcPr>
          <w:p w14:paraId="6B7DAC32">
            <w:pPr>
              <w:pStyle w:val="17"/>
              <w:bidi w:val="0"/>
              <w:rPr>
                <w:rFonts w:hint="default"/>
                <w:color w:val="auto"/>
                <w:highlight w:val="none"/>
                <w:lang w:val="en-US" w:eastAsia="zh-CN"/>
              </w:rPr>
            </w:pPr>
            <w:r>
              <w:rPr>
                <w:rFonts w:hint="eastAsia"/>
                <w:color w:val="auto"/>
                <w:highlight w:val="none"/>
                <w:lang w:val="en-US" w:eastAsia="zh-CN"/>
              </w:rPr>
              <w:t>矿山爆破</w:t>
            </w:r>
          </w:p>
        </w:tc>
        <w:tc>
          <w:tcPr>
            <w:tcW w:w="651" w:type="pct"/>
            <w:tcBorders>
              <w:tl2br w:val="nil"/>
              <w:tr2bl w:val="nil"/>
            </w:tcBorders>
            <w:shd w:val="clear" w:color="auto" w:fill="auto"/>
            <w:noWrap w:val="0"/>
            <w:vAlign w:val="center"/>
          </w:tcPr>
          <w:p w14:paraId="59B36B8E">
            <w:pPr>
              <w:pStyle w:val="17"/>
              <w:bidi w:val="0"/>
              <w:rPr>
                <w:rFonts w:hint="default"/>
                <w:color w:val="auto"/>
                <w:highlight w:val="none"/>
                <w:lang w:val="en-US" w:eastAsia="zh-CN"/>
              </w:rPr>
            </w:pPr>
            <w:r>
              <w:rPr>
                <w:rFonts w:hint="eastAsia"/>
                <w:color w:val="auto"/>
                <w:highlight w:val="none"/>
              </w:rPr>
              <w:t>CO</w:t>
            </w:r>
          </w:p>
        </w:tc>
        <w:tc>
          <w:tcPr>
            <w:tcW w:w="789" w:type="pct"/>
            <w:vMerge w:val="restart"/>
            <w:tcBorders>
              <w:tl2br w:val="nil"/>
              <w:tr2bl w:val="nil"/>
            </w:tcBorders>
            <w:shd w:val="clear" w:color="auto" w:fill="auto"/>
            <w:noWrap w:val="0"/>
            <w:vAlign w:val="center"/>
          </w:tcPr>
          <w:p w14:paraId="0372FD64">
            <w:pPr>
              <w:pStyle w:val="17"/>
              <w:bidi w:val="0"/>
              <w:rPr>
                <w:rFonts w:hint="default"/>
                <w:color w:val="auto"/>
                <w:highlight w:val="none"/>
                <w:lang w:val="en-US" w:eastAsia="zh-CN"/>
              </w:rPr>
            </w:pPr>
            <w:r>
              <w:rPr>
                <w:rFonts w:hint="eastAsia"/>
                <w:color w:val="auto"/>
                <w:highlight w:val="none"/>
                <w:lang w:val="en-US" w:eastAsia="zh-CN"/>
              </w:rPr>
              <w:t>矿井通风</w:t>
            </w:r>
          </w:p>
        </w:tc>
        <w:tc>
          <w:tcPr>
            <w:tcW w:w="1140" w:type="pct"/>
            <w:tcBorders>
              <w:tl2br w:val="nil"/>
              <w:tr2bl w:val="nil"/>
            </w:tcBorders>
            <w:shd w:val="clear" w:color="auto" w:fill="auto"/>
            <w:noWrap w:val="0"/>
            <w:vAlign w:val="center"/>
          </w:tcPr>
          <w:p w14:paraId="00FF78B5">
            <w:pPr>
              <w:pStyle w:val="17"/>
              <w:bidi w:val="0"/>
              <w:rPr>
                <w:rFonts w:hint="default"/>
                <w:color w:val="auto"/>
                <w:highlight w:val="none"/>
                <w:lang w:val="en-US" w:eastAsia="zh-CN"/>
              </w:rPr>
            </w:pPr>
            <w:r>
              <w:rPr>
                <w:rFonts w:hint="eastAsia"/>
                <w:color w:val="auto"/>
                <w:highlight w:val="none"/>
                <w:lang w:val="en-US" w:eastAsia="zh-CN"/>
              </w:rPr>
              <w:t>/</w:t>
            </w:r>
          </w:p>
        </w:tc>
        <w:tc>
          <w:tcPr>
            <w:tcW w:w="589" w:type="pct"/>
            <w:tcBorders>
              <w:tl2br w:val="nil"/>
              <w:tr2bl w:val="nil"/>
            </w:tcBorders>
            <w:shd w:val="clear" w:color="auto" w:fill="auto"/>
            <w:noWrap w:val="0"/>
            <w:vAlign w:val="center"/>
          </w:tcPr>
          <w:p w14:paraId="52CA0791">
            <w:pPr>
              <w:pStyle w:val="17"/>
              <w:bidi w:val="0"/>
              <w:rPr>
                <w:rFonts w:hint="default"/>
                <w:color w:val="auto"/>
                <w:highlight w:val="none"/>
                <w:lang w:val="en-US" w:eastAsia="zh-CN"/>
              </w:rPr>
            </w:pPr>
            <w:r>
              <w:rPr>
                <w:rFonts w:hint="eastAsia"/>
                <w:color w:val="auto"/>
                <w:highlight w:val="none"/>
                <w:lang w:val="en-US" w:eastAsia="zh-CN"/>
              </w:rPr>
              <w:t>/</w:t>
            </w:r>
          </w:p>
        </w:tc>
        <w:tc>
          <w:tcPr>
            <w:tcW w:w="511" w:type="pct"/>
            <w:tcBorders>
              <w:tl2br w:val="nil"/>
              <w:tr2bl w:val="nil"/>
            </w:tcBorders>
            <w:shd w:val="clear" w:color="auto" w:fill="auto"/>
            <w:noWrap w:val="0"/>
            <w:vAlign w:val="center"/>
          </w:tcPr>
          <w:p w14:paraId="561AC3A8">
            <w:pPr>
              <w:pStyle w:val="17"/>
              <w:bidi w:val="0"/>
              <w:rPr>
                <w:rFonts w:hint="default"/>
                <w:color w:val="auto"/>
                <w:highlight w:val="none"/>
                <w:lang w:val="en-US" w:eastAsia="zh-CN"/>
              </w:rPr>
            </w:pPr>
            <w:r>
              <w:rPr>
                <w:rFonts w:hint="eastAsia"/>
                <w:color w:val="auto"/>
                <w:highlight w:val="none"/>
                <w:lang w:val="en-US" w:eastAsia="zh-CN"/>
              </w:rPr>
              <w:t>1.89</w:t>
            </w:r>
          </w:p>
        </w:tc>
      </w:tr>
      <w:tr w14:paraId="7676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tcBorders>
              <w:tl2br w:val="nil"/>
              <w:tr2bl w:val="nil"/>
            </w:tcBorders>
            <w:noWrap w:val="0"/>
            <w:vAlign w:val="center"/>
          </w:tcPr>
          <w:p w14:paraId="4CEA900C">
            <w:pPr>
              <w:pStyle w:val="17"/>
              <w:bidi w:val="0"/>
              <w:rPr>
                <w:rFonts w:hint="default"/>
                <w:color w:val="auto"/>
                <w:highlight w:val="none"/>
                <w:lang w:val="en-US" w:eastAsia="zh-CN"/>
              </w:rPr>
            </w:pPr>
          </w:p>
        </w:tc>
        <w:tc>
          <w:tcPr>
            <w:tcW w:w="374" w:type="pct"/>
            <w:vMerge w:val="continue"/>
            <w:tcBorders>
              <w:tl2br w:val="nil"/>
              <w:tr2bl w:val="nil"/>
            </w:tcBorders>
            <w:noWrap w:val="0"/>
            <w:vAlign w:val="center"/>
          </w:tcPr>
          <w:p w14:paraId="37A0E669">
            <w:pPr>
              <w:pStyle w:val="17"/>
              <w:bidi w:val="0"/>
              <w:rPr>
                <w:rFonts w:hint="default"/>
                <w:color w:val="auto"/>
                <w:highlight w:val="none"/>
                <w:lang w:val="en-US" w:eastAsia="zh-CN"/>
              </w:rPr>
            </w:pPr>
          </w:p>
        </w:tc>
        <w:tc>
          <w:tcPr>
            <w:tcW w:w="693" w:type="pct"/>
            <w:vMerge w:val="continue"/>
            <w:tcBorders>
              <w:tl2br w:val="nil"/>
              <w:tr2bl w:val="nil"/>
            </w:tcBorders>
            <w:shd w:val="clear" w:color="auto" w:fill="auto"/>
            <w:noWrap w:val="0"/>
            <w:vAlign w:val="center"/>
          </w:tcPr>
          <w:p w14:paraId="2B1E2E75">
            <w:pPr>
              <w:pStyle w:val="17"/>
              <w:bidi w:val="0"/>
              <w:rPr>
                <w:rFonts w:hint="default"/>
                <w:color w:val="auto"/>
                <w:highlight w:val="none"/>
                <w:lang w:val="en-US" w:eastAsia="zh-CN"/>
              </w:rPr>
            </w:pPr>
          </w:p>
        </w:tc>
        <w:tc>
          <w:tcPr>
            <w:tcW w:w="651" w:type="pct"/>
            <w:tcBorders>
              <w:tl2br w:val="nil"/>
              <w:tr2bl w:val="nil"/>
            </w:tcBorders>
            <w:shd w:val="clear" w:color="auto" w:fill="auto"/>
            <w:noWrap w:val="0"/>
            <w:vAlign w:val="center"/>
          </w:tcPr>
          <w:p w14:paraId="164DBB59">
            <w:pPr>
              <w:pStyle w:val="17"/>
              <w:bidi w:val="0"/>
              <w:rPr>
                <w:rFonts w:hint="default"/>
                <w:color w:val="auto"/>
                <w:highlight w:val="none"/>
                <w:lang w:val="en-US" w:eastAsia="zh-CN"/>
              </w:rPr>
            </w:pPr>
            <w:r>
              <w:rPr>
                <w:rFonts w:hint="eastAsia"/>
                <w:color w:val="auto"/>
                <w:highlight w:val="none"/>
              </w:rPr>
              <w:t>NOx</w:t>
            </w:r>
          </w:p>
        </w:tc>
        <w:tc>
          <w:tcPr>
            <w:tcW w:w="789" w:type="pct"/>
            <w:vMerge w:val="continue"/>
            <w:tcBorders>
              <w:tl2br w:val="nil"/>
              <w:tr2bl w:val="nil"/>
            </w:tcBorders>
            <w:shd w:val="clear" w:color="auto" w:fill="auto"/>
            <w:noWrap w:val="0"/>
            <w:vAlign w:val="center"/>
          </w:tcPr>
          <w:p w14:paraId="622835AD">
            <w:pPr>
              <w:pStyle w:val="17"/>
              <w:bidi w:val="0"/>
              <w:rPr>
                <w:rFonts w:hint="default"/>
                <w:color w:val="auto"/>
                <w:highlight w:val="none"/>
                <w:lang w:val="en-US" w:eastAsia="zh-CN"/>
              </w:rPr>
            </w:pPr>
          </w:p>
        </w:tc>
        <w:tc>
          <w:tcPr>
            <w:tcW w:w="1140" w:type="pct"/>
            <w:tcBorders>
              <w:tl2br w:val="nil"/>
              <w:tr2bl w:val="nil"/>
            </w:tcBorders>
            <w:shd w:val="clear" w:color="auto" w:fill="auto"/>
            <w:noWrap w:val="0"/>
            <w:vAlign w:val="center"/>
          </w:tcPr>
          <w:p w14:paraId="397E430E">
            <w:pPr>
              <w:pStyle w:val="17"/>
              <w:bidi w:val="0"/>
              <w:rPr>
                <w:rFonts w:hint="default"/>
                <w:color w:val="auto"/>
                <w:highlight w:val="none"/>
                <w:lang w:val="en-US" w:eastAsia="zh-CN"/>
              </w:rPr>
            </w:pPr>
            <w:r>
              <w:rPr>
                <w:rFonts w:hint="eastAsia"/>
                <w:color w:val="auto"/>
                <w:highlight w:val="none"/>
                <w:lang w:val="en-US" w:eastAsia="zh-CN"/>
              </w:rPr>
              <w:t>/</w:t>
            </w:r>
          </w:p>
        </w:tc>
        <w:tc>
          <w:tcPr>
            <w:tcW w:w="589" w:type="pct"/>
            <w:tcBorders>
              <w:tl2br w:val="nil"/>
              <w:tr2bl w:val="nil"/>
            </w:tcBorders>
            <w:shd w:val="clear" w:color="auto" w:fill="auto"/>
            <w:noWrap w:val="0"/>
            <w:vAlign w:val="center"/>
          </w:tcPr>
          <w:p w14:paraId="515C5206">
            <w:pPr>
              <w:pStyle w:val="17"/>
              <w:bidi w:val="0"/>
              <w:rPr>
                <w:rFonts w:hint="default"/>
                <w:color w:val="auto"/>
                <w:highlight w:val="none"/>
                <w:lang w:val="en-US" w:eastAsia="zh-CN"/>
              </w:rPr>
            </w:pPr>
            <w:r>
              <w:rPr>
                <w:rFonts w:hint="eastAsia"/>
                <w:color w:val="auto"/>
                <w:highlight w:val="none"/>
                <w:lang w:val="en-US" w:eastAsia="zh-CN"/>
              </w:rPr>
              <w:t>/</w:t>
            </w:r>
          </w:p>
        </w:tc>
        <w:tc>
          <w:tcPr>
            <w:tcW w:w="511" w:type="pct"/>
            <w:tcBorders>
              <w:tl2br w:val="nil"/>
              <w:tr2bl w:val="nil"/>
            </w:tcBorders>
            <w:shd w:val="clear" w:color="auto" w:fill="auto"/>
            <w:noWrap w:val="0"/>
            <w:vAlign w:val="center"/>
          </w:tcPr>
          <w:p w14:paraId="5A3B0798">
            <w:pPr>
              <w:pStyle w:val="17"/>
              <w:bidi w:val="0"/>
              <w:rPr>
                <w:rFonts w:hint="default"/>
                <w:color w:val="auto"/>
                <w:highlight w:val="none"/>
                <w:lang w:val="en-US" w:eastAsia="zh-CN"/>
              </w:rPr>
            </w:pPr>
            <w:r>
              <w:rPr>
                <w:rFonts w:hint="eastAsia"/>
                <w:color w:val="auto"/>
                <w:highlight w:val="none"/>
                <w:lang w:val="en-US" w:eastAsia="zh-CN"/>
              </w:rPr>
              <w:t>4.38</w:t>
            </w:r>
          </w:p>
        </w:tc>
      </w:tr>
      <w:tr w14:paraId="4F8D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vAlign w:val="center"/>
          </w:tcPr>
          <w:p w14:paraId="1DF9FB11">
            <w:pPr>
              <w:pStyle w:val="17"/>
              <w:bidi w:val="0"/>
              <w:rPr>
                <w:rFonts w:hint="default"/>
                <w:color w:val="auto"/>
                <w:highlight w:val="none"/>
                <w:lang w:val="en-US" w:eastAsia="zh-CN"/>
              </w:rPr>
            </w:pPr>
            <w:r>
              <w:rPr>
                <w:rFonts w:hint="eastAsia"/>
                <w:color w:val="auto"/>
                <w:highlight w:val="none"/>
                <w:lang w:val="en-US" w:eastAsia="zh-CN"/>
              </w:rPr>
              <w:t>2</w:t>
            </w:r>
          </w:p>
        </w:tc>
        <w:tc>
          <w:tcPr>
            <w:tcW w:w="374" w:type="pct"/>
            <w:vMerge w:val="restart"/>
            <w:vAlign w:val="center"/>
          </w:tcPr>
          <w:p w14:paraId="18AE0E6F">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vMerge w:val="restart"/>
            <w:shd w:val="clear" w:color="auto" w:fill="auto"/>
            <w:vAlign w:val="center"/>
          </w:tcPr>
          <w:p w14:paraId="0367B263">
            <w:pPr>
              <w:pStyle w:val="17"/>
              <w:bidi w:val="0"/>
              <w:rPr>
                <w:rFonts w:hint="eastAsia"/>
                <w:color w:val="auto"/>
                <w:highlight w:val="none"/>
                <w:lang w:val="en-US" w:eastAsia="zh-CN"/>
              </w:rPr>
            </w:pPr>
            <w:r>
              <w:rPr>
                <w:rFonts w:hint="default"/>
                <w:color w:val="auto"/>
                <w:highlight w:val="none"/>
                <w:lang w:val="en-US" w:eastAsia="zh-CN"/>
              </w:rPr>
              <w:t>凿岩、掘进</w:t>
            </w:r>
          </w:p>
        </w:tc>
        <w:tc>
          <w:tcPr>
            <w:tcW w:w="651" w:type="pct"/>
            <w:shd w:val="clear" w:color="auto" w:fill="auto"/>
            <w:vAlign w:val="center"/>
          </w:tcPr>
          <w:p w14:paraId="098DAD7F">
            <w:pPr>
              <w:pStyle w:val="17"/>
              <w:bidi w:val="0"/>
              <w:rPr>
                <w:rFonts w:hint="eastAsia"/>
                <w:color w:val="auto"/>
                <w:highlight w:val="none"/>
                <w:lang w:val="en-US" w:eastAsia="zh-CN"/>
              </w:rPr>
            </w:pPr>
            <w:r>
              <w:rPr>
                <w:rFonts w:hint="eastAsia"/>
                <w:color w:val="auto"/>
                <w:highlight w:val="none"/>
              </w:rPr>
              <w:t>颗粒物</w:t>
            </w:r>
          </w:p>
        </w:tc>
        <w:tc>
          <w:tcPr>
            <w:tcW w:w="789" w:type="pct"/>
            <w:vMerge w:val="restart"/>
            <w:shd w:val="clear" w:color="auto" w:fill="auto"/>
            <w:vAlign w:val="center"/>
          </w:tcPr>
          <w:p w14:paraId="0EEC71C3">
            <w:pPr>
              <w:pStyle w:val="17"/>
              <w:bidi w:val="0"/>
              <w:rPr>
                <w:rFonts w:hint="eastAsia"/>
                <w:color w:val="auto"/>
                <w:highlight w:val="none"/>
                <w:lang w:val="en-US" w:eastAsia="zh-CN"/>
              </w:rPr>
            </w:pPr>
            <w:r>
              <w:rPr>
                <w:rFonts w:hint="eastAsia"/>
                <w:color w:val="auto"/>
                <w:highlight w:val="none"/>
                <w:lang w:val="en-US" w:eastAsia="zh-CN"/>
              </w:rPr>
              <w:t>矿井通风</w:t>
            </w:r>
          </w:p>
        </w:tc>
        <w:tc>
          <w:tcPr>
            <w:tcW w:w="1140" w:type="pct"/>
            <w:vMerge w:val="restart"/>
            <w:shd w:val="clear" w:color="auto" w:fill="auto"/>
            <w:vAlign w:val="center"/>
          </w:tcPr>
          <w:p w14:paraId="7BD17AA4">
            <w:pPr>
              <w:pStyle w:val="17"/>
              <w:bidi w:val="0"/>
              <w:rPr>
                <w:rFonts w:hint="eastAsia"/>
                <w:color w:val="auto"/>
                <w:highlight w:val="none"/>
                <w:lang w:val="en-US" w:eastAsia="zh-CN"/>
              </w:rPr>
            </w:pPr>
            <w:r>
              <w:rPr>
                <w:rFonts w:hint="eastAsia"/>
                <w:color w:val="auto"/>
                <w:highlight w:val="none"/>
                <w:lang w:val="en-US" w:eastAsia="zh-CN"/>
              </w:rPr>
              <w:t>《大气污染物综合排放标准》（GB16297-1996）</w:t>
            </w:r>
          </w:p>
        </w:tc>
        <w:tc>
          <w:tcPr>
            <w:tcW w:w="589" w:type="pct"/>
            <w:shd w:val="clear" w:color="auto" w:fill="auto"/>
            <w:vAlign w:val="center"/>
          </w:tcPr>
          <w:p w14:paraId="7DC8F1ED">
            <w:pPr>
              <w:pStyle w:val="17"/>
              <w:bidi w:val="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35084F51">
            <w:pPr>
              <w:pStyle w:val="17"/>
              <w:bidi w:val="0"/>
              <w:rPr>
                <w:rFonts w:hint="default"/>
                <w:color w:val="auto"/>
                <w:highlight w:val="none"/>
                <w:lang w:val="en-US" w:eastAsia="zh-CN"/>
              </w:rPr>
            </w:pPr>
            <w:r>
              <w:rPr>
                <w:rFonts w:hint="eastAsia"/>
                <w:color w:val="auto"/>
                <w:highlight w:val="none"/>
                <w:lang w:val="en-US" w:eastAsia="zh-CN"/>
              </w:rPr>
              <w:t>6.7392</w:t>
            </w:r>
          </w:p>
        </w:tc>
      </w:tr>
      <w:tr w14:paraId="5B34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vAlign w:val="center"/>
          </w:tcPr>
          <w:p w14:paraId="39063599">
            <w:pPr>
              <w:pStyle w:val="17"/>
              <w:bidi w:val="0"/>
              <w:rPr>
                <w:rFonts w:hint="eastAsia"/>
                <w:color w:val="auto"/>
                <w:highlight w:val="none"/>
                <w:lang w:val="en-US" w:eastAsia="zh-CN"/>
              </w:rPr>
            </w:pPr>
          </w:p>
        </w:tc>
        <w:tc>
          <w:tcPr>
            <w:tcW w:w="374" w:type="pct"/>
            <w:vMerge w:val="continue"/>
            <w:vAlign w:val="center"/>
          </w:tcPr>
          <w:p w14:paraId="532347E6">
            <w:pPr>
              <w:pStyle w:val="17"/>
              <w:bidi w:val="0"/>
              <w:rPr>
                <w:rFonts w:hint="eastAsia"/>
                <w:color w:val="auto"/>
                <w:highlight w:val="none"/>
                <w:lang w:val="en-US" w:eastAsia="zh-CN"/>
              </w:rPr>
            </w:pPr>
          </w:p>
        </w:tc>
        <w:tc>
          <w:tcPr>
            <w:tcW w:w="693" w:type="pct"/>
            <w:vMerge w:val="continue"/>
            <w:shd w:val="clear" w:color="auto" w:fill="auto"/>
            <w:vAlign w:val="center"/>
          </w:tcPr>
          <w:p w14:paraId="574EEC61">
            <w:pPr>
              <w:pStyle w:val="17"/>
              <w:bidi w:val="0"/>
              <w:rPr>
                <w:rFonts w:hint="eastAsia"/>
                <w:color w:val="auto"/>
                <w:highlight w:val="none"/>
                <w:lang w:val="en-US" w:eastAsia="zh-CN"/>
              </w:rPr>
            </w:pPr>
          </w:p>
        </w:tc>
        <w:tc>
          <w:tcPr>
            <w:tcW w:w="651" w:type="pct"/>
            <w:shd w:val="clear" w:color="auto" w:fill="auto"/>
            <w:vAlign w:val="center"/>
          </w:tcPr>
          <w:p w14:paraId="4DF8E7E1">
            <w:pPr>
              <w:pStyle w:val="17"/>
              <w:bidi w:val="0"/>
              <w:rPr>
                <w:rFonts w:hint="eastAsia"/>
                <w:color w:val="auto"/>
                <w:highlight w:val="none"/>
                <w:lang w:val="en-US" w:eastAsia="zh-CN"/>
              </w:rPr>
            </w:pPr>
            <w:r>
              <w:rPr>
                <w:rFonts w:hint="eastAsia"/>
                <w:color w:val="auto"/>
                <w:highlight w:val="none"/>
                <w:lang w:eastAsia="zh-CN"/>
              </w:rPr>
              <w:t>氟化物</w:t>
            </w:r>
          </w:p>
        </w:tc>
        <w:tc>
          <w:tcPr>
            <w:tcW w:w="789" w:type="pct"/>
            <w:vMerge w:val="continue"/>
            <w:shd w:val="clear" w:color="auto" w:fill="auto"/>
            <w:vAlign w:val="center"/>
          </w:tcPr>
          <w:p w14:paraId="7B273962">
            <w:pPr>
              <w:pStyle w:val="17"/>
              <w:bidi w:val="0"/>
              <w:rPr>
                <w:rFonts w:hint="eastAsia"/>
                <w:color w:val="auto"/>
                <w:highlight w:val="none"/>
                <w:lang w:val="en-US" w:eastAsia="zh-CN"/>
              </w:rPr>
            </w:pPr>
          </w:p>
        </w:tc>
        <w:tc>
          <w:tcPr>
            <w:tcW w:w="1140" w:type="pct"/>
            <w:vMerge w:val="continue"/>
            <w:shd w:val="clear" w:color="auto" w:fill="auto"/>
            <w:vAlign w:val="center"/>
          </w:tcPr>
          <w:p w14:paraId="21C70CFD">
            <w:pPr>
              <w:pStyle w:val="17"/>
              <w:bidi w:val="0"/>
              <w:rPr>
                <w:rFonts w:hint="eastAsia"/>
                <w:color w:val="auto"/>
                <w:highlight w:val="none"/>
                <w:lang w:val="en-US" w:eastAsia="zh-CN"/>
              </w:rPr>
            </w:pPr>
          </w:p>
        </w:tc>
        <w:tc>
          <w:tcPr>
            <w:tcW w:w="589" w:type="pct"/>
            <w:shd w:val="clear" w:color="auto" w:fill="auto"/>
            <w:vAlign w:val="center"/>
          </w:tcPr>
          <w:p w14:paraId="701A59B4">
            <w:pPr>
              <w:pStyle w:val="17"/>
              <w:bidi w:val="0"/>
              <w:rPr>
                <w:rFonts w:hint="default"/>
                <w:color w:val="auto"/>
                <w:highlight w:val="none"/>
                <w:lang w:val="en-US" w:eastAsia="zh-CN"/>
              </w:rPr>
            </w:pPr>
            <w:r>
              <w:rPr>
                <w:rFonts w:hint="eastAsia"/>
                <w:color w:val="auto"/>
                <w:highlight w:val="none"/>
                <w:lang w:val="en-US" w:eastAsia="zh-CN"/>
              </w:rPr>
              <w:t>20</w:t>
            </w:r>
          </w:p>
        </w:tc>
        <w:tc>
          <w:tcPr>
            <w:tcW w:w="511" w:type="pct"/>
            <w:shd w:val="clear" w:color="auto" w:fill="auto"/>
            <w:vAlign w:val="center"/>
          </w:tcPr>
          <w:p w14:paraId="22FF1E7E">
            <w:pPr>
              <w:pStyle w:val="17"/>
              <w:bidi w:val="0"/>
              <w:rPr>
                <w:rFonts w:hint="default"/>
                <w:color w:val="auto"/>
                <w:highlight w:val="none"/>
                <w:lang w:val="en-US" w:eastAsia="zh-CN"/>
              </w:rPr>
            </w:pPr>
            <w:r>
              <w:rPr>
                <w:rFonts w:hint="eastAsia"/>
                <w:color w:val="auto"/>
                <w:highlight w:val="none"/>
                <w:lang w:val="en-US" w:eastAsia="zh-CN"/>
              </w:rPr>
              <w:t>1.0634</w:t>
            </w:r>
          </w:p>
        </w:tc>
      </w:tr>
      <w:tr w14:paraId="0A94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Align w:val="center"/>
          </w:tcPr>
          <w:p w14:paraId="243475DB">
            <w:pPr>
              <w:pStyle w:val="17"/>
              <w:bidi w:val="0"/>
              <w:rPr>
                <w:rFonts w:hint="default"/>
                <w:color w:val="auto"/>
                <w:highlight w:val="none"/>
                <w:lang w:val="en-US" w:eastAsia="zh-CN"/>
              </w:rPr>
            </w:pPr>
            <w:r>
              <w:rPr>
                <w:rFonts w:hint="eastAsia"/>
                <w:color w:val="auto"/>
                <w:highlight w:val="none"/>
                <w:lang w:val="en-US" w:eastAsia="zh-CN"/>
              </w:rPr>
              <w:t>3</w:t>
            </w:r>
          </w:p>
        </w:tc>
        <w:tc>
          <w:tcPr>
            <w:tcW w:w="374" w:type="pct"/>
            <w:vAlign w:val="center"/>
          </w:tcPr>
          <w:p w14:paraId="749B97BE">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shd w:val="clear" w:color="auto" w:fill="auto"/>
            <w:vAlign w:val="center"/>
          </w:tcPr>
          <w:p w14:paraId="637B7EF7">
            <w:pPr>
              <w:pStyle w:val="17"/>
              <w:bidi w:val="0"/>
              <w:rPr>
                <w:rFonts w:hint="eastAsia"/>
                <w:color w:val="auto"/>
                <w:highlight w:val="none"/>
                <w:lang w:val="en-US" w:eastAsia="zh-CN"/>
              </w:rPr>
            </w:pPr>
            <w:r>
              <w:rPr>
                <w:rFonts w:hint="eastAsia"/>
                <w:color w:val="auto"/>
                <w:highlight w:val="none"/>
                <w:lang w:val="en-US" w:eastAsia="zh-CN"/>
              </w:rPr>
              <w:t>废石运输</w:t>
            </w:r>
          </w:p>
        </w:tc>
        <w:tc>
          <w:tcPr>
            <w:tcW w:w="651" w:type="pct"/>
            <w:shd w:val="clear" w:color="auto" w:fill="auto"/>
            <w:vAlign w:val="center"/>
          </w:tcPr>
          <w:p w14:paraId="0EB93E0D">
            <w:pPr>
              <w:pStyle w:val="17"/>
              <w:bidi w:val="0"/>
              <w:rPr>
                <w:rFonts w:hint="eastAsia"/>
                <w:color w:val="auto"/>
                <w:highlight w:val="none"/>
                <w:lang w:val="en-US" w:eastAsia="zh-CN"/>
              </w:rPr>
            </w:pPr>
            <w:r>
              <w:rPr>
                <w:rFonts w:hint="eastAsia"/>
                <w:color w:val="auto"/>
                <w:highlight w:val="none"/>
              </w:rPr>
              <w:t>颗粒物</w:t>
            </w:r>
          </w:p>
        </w:tc>
        <w:tc>
          <w:tcPr>
            <w:tcW w:w="789" w:type="pct"/>
            <w:shd w:val="clear" w:color="auto" w:fill="auto"/>
            <w:vAlign w:val="center"/>
          </w:tcPr>
          <w:p w14:paraId="01FAC4E1">
            <w:pPr>
              <w:pStyle w:val="17"/>
              <w:bidi w:val="0"/>
              <w:rPr>
                <w:rFonts w:hint="default"/>
                <w:color w:val="auto"/>
                <w:highlight w:val="none"/>
                <w:lang w:val="en-US" w:eastAsia="zh-CN"/>
              </w:rPr>
            </w:pPr>
            <w:r>
              <w:rPr>
                <w:rFonts w:hint="default"/>
                <w:color w:val="auto"/>
                <w:highlight w:val="none"/>
                <w:lang w:val="en-US" w:eastAsia="zh-CN"/>
              </w:rPr>
              <w:t>道路洒水降尘、道路路面铺碎石</w:t>
            </w:r>
          </w:p>
        </w:tc>
        <w:tc>
          <w:tcPr>
            <w:tcW w:w="1140" w:type="pct"/>
            <w:vMerge w:val="continue"/>
            <w:shd w:val="clear" w:color="auto" w:fill="auto"/>
            <w:vAlign w:val="center"/>
          </w:tcPr>
          <w:p w14:paraId="6B24C0F5">
            <w:pPr>
              <w:pStyle w:val="17"/>
              <w:bidi w:val="0"/>
              <w:rPr>
                <w:rFonts w:hint="eastAsia"/>
                <w:color w:val="auto"/>
                <w:highlight w:val="none"/>
                <w:lang w:val="en-US" w:eastAsia="zh-CN"/>
              </w:rPr>
            </w:pPr>
          </w:p>
        </w:tc>
        <w:tc>
          <w:tcPr>
            <w:tcW w:w="589" w:type="pct"/>
            <w:shd w:val="clear" w:color="auto" w:fill="auto"/>
            <w:vAlign w:val="center"/>
          </w:tcPr>
          <w:p w14:paraId="43430A40">
            <w:pPr>
              <w:pStyle w:val="17"/>
              <w:bidi w:val="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26C277B9">
            <w:pPr>
              <w:pStyle w:val="17"/>
              <w:bidi w:val="0"/>
              <w:rPr>
                <w:rFonts w:hint="default"/>
                <w:color w:val="auto"/>
                <w:highlight w:val="none"/>
                <w:lang w:val="en-US" w:eastAsia="zh-CN"/>
              </w:rPr>
            </w:pPr>
            <w:r>
              <w:rPr>
                <w:rFonts w:hint="eastAsia"/>
                <w:color w:val="auto"/>
                <w:highlight w:val="none"/>
                <w:lang w:val="en-US" w:eastAsia="zh-CN"/>
              </w:rPr>
              <w:t>0.6948</w:t>
            </w:r>
          </w:p>
        </w:tc>
      </w:tr>
      <w:tr w14:paraId="3737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Align w:val="center"/>
          </w:tcPr>
          <w:p w14:paraId="6051797A">
            <w:pPr>
              <w:pStyle w:val="17"/>
              <w:bidi w:val="0"/>
              <w:rPr>
                <w:rFonts w:hint="default"/>
                <w:color w:val="auto"/>
                <w:highlight w:val="none"/>
                <w:lang w:val="en-US" w:eastAsia="zh-CN"/>
              </w:rPr>
            </w:pPr>
            <w:r>
              <w:rPr>
                <w:rFonts w:hint="eastAsia"/>
                <w:color w:val="auto"/>
                <w:highlight w:val="none"/>
                <w:lang w:val="en-US" w:eastAsia="zh-CN"/>
              </w:rPr>
              <w:t>4</w:t>
            </w:r>
          </w:p>
        </w:tc>
        <w:tc>
          <w:tcPr>
            <w:tcW w:w="374" w:type="pct"/>
            <w:vAlign w:val="center"/>
          </w:tcPr>
          <w:p w14:paraId="27FA949A">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shd w:val="clear" w:color="auto" w:fill="auto"/>
            <w:vAlign w:val="center"/>
          </w:tcPr>
          <w:p w14:paraId="19507475">
            <w:pPr>
              <w:pStyle w:val="17"/>
              <w:bidi w:val="0"/>
              <w:rPr>
                <w:rFonts w:hint="default"/>
                <w:color w:val="auto"/>
                <w:highlight w:val="none"/>
                <w:lang w:val="en-US" w:eastAsia="zh-CN"/>
              </w:rPr>
            </w:pPr>
            <w:r>
              <w:rPr>
                <w:rFonts w:hint="eastAsia"/>
                <w:color w:val="auto"/>
                <w:highlight w:val="none"/>
                <w:lang w:val="en-US" w:eastAsia="zh-CN"/>
              </w:rPr>
              <w:t>废石堆场</w:t>
            </w:r>
          </w:p>
        </w:tc>
        <w:tc>
          <w:tcPr>
            <w:tcW w:w="651" w:type="pct"/>
            <w:shd w:val="clear" w:color="auto" w:fill="auto"/>
            <w:vAlign w:val="center"/>
          </w:tcPr>
          <w:p w14:paraId="0FDEF952">
            <w:pPr>
              <w:pStyle w:val="17"/>
              <w:bidi w:val="0"/>
              <w:rPr>
                <w:rFonts w:hint="default"/>
                <w:color w:val="auto"/>
                <w:highlight w:val="none"/>
                <w:lang w:val="en-US" w:eastAsia="zh-CN"/>
              </w:rPr>
            </w:pPr>
            <w:r>
              <w:rPr>
                <w:rFonts w:hint="eastAsia"/>
                <w:color w:val="auto"/>
                <w:highlight w:val="none"/>
              </w:rPr>
              <w:t>颗粒物</w:t>
            </w:r>
          </w:p>
        </w:tc>
        <w:tc>
          <w:tcPr>
            <w:tcW w:w="789" w:type="pct"/>
            <w:shd w:val="clear" w:color="auto" w:fill="auto"/>
            <w:vAlign w:val="center"/>
          </w:tcPr>
          <w:p w14:paraId="01722DDD">
            <w:pPr>
              <w:pStyle w:val="17"/>
              <w:bidi w:val="0"/>
              <w:rPr>
                <w:rFonts w:hint="default"/>
                <w:color w:val="auto"/>
                <w:highlight w:val="none"/>
                <w:lang w:val="en-US" w:eastAsia="zh-CN"/>
              </w:rPr>
            </w:pPr>
            <w:r>
              <w:rPr>
                <w:rFonts w:hint="eastAsia"/>
                <w:color w:val="auto"/>
                <w:highlight w:val="none"/>
                <w:lang w:val="en-US" w:eastAsia="zh-CN"/>
              </w:rPr>
              <w:t>洒水抑尘</w:t>
            </w:r>
          </w:p>
        </w:tc>
        <w:tc>
          <w:tcPr>
            <w:tcW w:w="1140" w:type="pct"/>
            <w:vMerge w:val="continue"/>
            <w:shd w:val="clear" w:color="auto" w:fill="auto"/>
            <w:vAlign w:val="center"/>
          </w:tcPr>
          <w:p w14:paraId="135C1500">
            <w:pPr>
              <w:pStyle w:val="17"/>
              <w:bidi w:val="0"/>
              <w:rPr>
                <w:rFonts w:hint="default"/>
                <w:color w:val="auto"/>
                <w:highlight w:val="none"/>
                <w:lang w:val="en-US" w:eastAsia="zh-CN"/>
              </w:rPr>
            </w:pPr>
          </w:p>
        </w:tc>
        <w:tc>
          <w:tcPr>
            <w:tcW w:w="589" w:type="pct"/>
            <w:shd w:val="clear" w:color="auto" w:fill="auto"/>
            <w:vAlign w:val="center"/>
          </w:tcPr>
          <w:p w14:paraId="1C64A75A">
            <w:pPr>
              <w:pStyle w:val="17"/>
              <w:bidi w:val="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73F79A23">
            <w:pPr>
              <w:pStyle w:val="17"/>
              <w:bidi w:val="0"/>
              <w:rPr>
                <w:rFonts w:hint="default"/>
                <w:color w:val="auto"/>
                <w:highlight w:val="none"/>
                <w:lang w:val="en-US" w:eastAsia="zh-CN"/>
              </w:rPr>
            </w:pPr>
            <w:r>
              <w:rPr>
                <w:rFonts w:hint="eastAsia"/>
                <w:color w:val="auto"/>
                <w:highlight w:val="none"/>
                <w:lang w:val="en-US" w:eastAsia="zh-CN"/>
              </w:rPr>
              <w:t>12.77</w:t>
            </w:r>
          </w:p>
        </w:tc>
      </w:tr>
      <w:tr w14:paraId="25D4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Align w:val="center"/>
          </w:tcPr>
          <w:p w14:paraId="7571CD79">
            <w:pPr>
              <w:pStyle w:val="17"/>
              <w:bidi w:val="0"/>
              <w:rPr>
                <w:rFonts w:hint="default"/>
                <w:color w:val="auto"/>
                <w:highlight w:val="none"/>
                <w:lang w:val="en-US" w:eastAsia="zh-CN"/>
              </w:rPr>
            </w:pPr>
            <w:r>
              <w:rPr>
                <w:rFonts w:hint="eastAsia"/>
                <w:color w:val="auto"/>
                <w:highlight w:val="none"/>
                <w:lang w:val="en-US" w:eastAsia="zh-CN"/>
              </w:rPr>
              <w:t>5</w:t>
            </w:r>
          </w:p>
        </w:tc>
        <w:tc>
          <w:tcPr>
            <w:tcW w:w="374" w:type="pct"/>
            <w:vAlign w:val="center"/>
          </w:tcPr>
          <w:p w14:paraId="7D6BB977">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shd w:val="clear" w:color="auto" w:fill="auto"/>
            <w:vAlign w:val="center"/>
          </w:tcPr>
          <w:p w14:paraId="7498A039">
            <w:pPr>
              <w:pStyle w:val="17"/>
              <w:bidi w:val="0"/>
              <w:rPr>
                <w:rFonts w:hint="default"/>
                <w:color w:val="auto"/>
                <w:highlight w:val="none"/>
                <w:lang w:val="en-US" w:eastAsia="zh-CN"/>
              </w:rPr>
            </w:pPr>
            <w:r>
              <w:rPr>
                <w:rFonts w:hint="eastAsia"/>
                <w:color w:val="auto"/>
                <w:highlight w:val="none"/>
                <w:lang w:val="en-US" w:eastAsia="zh-CN"/>
              </w:rPr>
              <w:t>填充站水泥筒仓</w:t>
            </w:r>
          </w:p>
        </w:tc>
        <w:tc>
          <w:tcPr>
            <w:tcW w:w="651" w:type="pct"/>
            <w:shd w:val="clear" w:color="auto" w:fill="auto"/>
            <w:vAlign w:val="center"/>
          </w:tcPr>
          <w:p w14:paraId="5371FADC">
            <w:pPr>
              <w:pStyle w:val="17"/>
              <w:bidi w:val="0"/>
              <w:rPr>
                <w:rFonts w:hint="default"/>
                <w:color w:val="auto"/>
                <w:highlight w:val="none"/>
                <w:lang w:val="en-US" w:eastAsia="zh-CN"/>
              </w:rPr>
            </w:pPr>
            <w:r>
              <w:rPr>
                <w:rFonts w:hint="eastAsia"/>
                <w:color w:val="auto"/>
                <w:highlight w:val="none"/>
                <w:lang w:val="en-US" w:eastAsia="zh-CN"/>
              </w:rPr>
              <w:t>颗粒物</w:t>
            </w:r>
          </w:p>
        </w:tc>
        <w:tc>
          <w:tcPr>
            <w:tcW w:w="789" w:type="pct"/>
            <w:shd w:val="clear" w:color="auto" w:fill="auto"/>
            <w:vAlign w:val="center"/>
          </w:tcPr>
          <w:p w14:paraId="6D3FA24E">
            <w:pPr>
              <w:pStyle w:val="17"/>
              <w:bidi w:val="0"/>
              <w:rPr>
                <w:rFonts w:hint="default"/>
                <w:color w:val="auto"/>
                <w:highlight w:val="none"/>
                <w:lang w:val="en-US" w:eastAsia="zh-CN"/>
              </w:rPr>
            </w:pPr>
            <w:r>
              <w:rPr>
                <w:rFonts w:hint="eastAsia"/>
                <w:color w:val="auto"/>
                <w:highlight w:val="none"/>
              </w:rPr>
              <w:t>仓顶</w:t>
            </w:r>
            <w:r>
              <w:rPr>
                <w:rFonts w:hint="eastAsia"/>
                <w:color w:val="auto"/>
                <w:highlight w:val="none"/>
                <w:lang w:val="en-US" w:eastAsia="zh-CN"/>
              </w:rPr>
              <w:t>脉冲布袋</w:t>
            </w:r>
            <w:r>
              <w:rPr>
                <w:rFonts w:hint="eastAsia"/>
                <w:color w:val="auto"/>
                <w:highlight w:val="none"/>
              </w:rPr>
              <w:t>除尘器</w:t>
            </w:r>
          </w:p>
        </w:tc>
        <w:tc>
          <w:tcPr>
            <w:tcW w:w="1140" w:type="pct"/>
            <w:vMerge w:val="continue"/>
            <w:shd w:val="clear" w:color="auto" w:fill="auto"/>
            <w:vAlign w:val="center"/>
          </w:tcPr>
          <w:p w14:paraId="7521AC8A">
            <w:pPr>
              <w:pStyle w:val="17"/>
              <w:bidi w:val="0"/>
              <w:rPr>
                <w:rFonts w:hint="default"/>
                <w:color w:val="auto"/>
                <w:highlight w:val="none"/>
                <w:lang w:val="en-US" w:eastAsia="zh-CN"/>
              </w:rPr>
            </w:pPr>
          </w:p>
        </w:tc>
        <w:tc>
          <w:tcPr>
            <w:tcW w:w="589" w:type="pct"/>
            <w:shd w:val="clear" w:color="auto" w:fill="auto"/>
            <w:vAlign w:val="center"/>
          </w:tcPr>
          <w:p w14:paraId="45474AAB">
            <w:pPr>
              <w:pStyle w:val="17"/>
              <w:bidi w:val="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4185F08B">
            <w:pPr>
              <w:pStyle w:val="17"/>
              <w:bidi w:val="0"/>
              <w:rPr>
                <w:rFonts w:hint="default"/>
                <w:color w:val="auto"/>
                <w:highlight w:val="none"/>
                <w:lang w:val="en-US" w:eastAsia="zh-CN"/>
              </w:rPr>
            </w:pPr>
            <w:r>
              <w:rPr>
                <w:rFonts w:hint="eastAsia"/>
                <w:color w:val="auto"/>
                <w:highlight w:val="none"/>
                <w:lang w:val="en-US" w:eastAsia="zh-CN"/>
              </w:rPr>
              <w:t>0.0810</w:t>
            </w:r>
          </w:p>
        </w:tc>
      </w:tr>
      <w:tr w14:paraId="6209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vAlign w:val="center"/>
          </w:tcPr>
          <w:p w14:paraId="26EE8C98">
            <w:pPr>
              <w:pStyle w:val="17"/>
              <w:bidi w:val="0"/>
              <w:rPr>
                <w:rFonts w:hint="default"/>
                <w:color w:val="auto"/>
                <w:highlight w:val="none"/>
                <w:lang w:val="en-US" w:eastAsia="zh-CN"/>
              </w:rPr>
            </w:pPr>
            <w:r>
              <w:rPr>
                <w:rFonts w:hint="eastAsia"/>
                <w:color w:val="auto"/>
                <w:highlight w:val="none"/>
                <w:lang w:val="en-US" w:eastAsia="zh-CN"/>
              </w:rPr>
              <w:t>6</w:t>
            </w:r>
          </w:p>
        </w:tc>
        <w:tc>
          <w:tcPr>
            <w:tcW w:w="374" w:type="pct"/>
            <w:vMerge w:val="restart"/>
            <w:vAlign w:val="center"/>
          </w:tcPr>
          <w:p w14:paraId="7486CFC0">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vMerge w:val="restart"/>
            <w:shd w:val="clear" w:color="auto" w:fill="auto"/>
            <w:vAlign w:val="center"/>
          </w:tcPr>
          <w:p w14:paraId="546235AA">
            <w:pPr>
              <w:pStyle w:val="17"/>
              <w:bidi w:val="0"/>
              <w:rPr>
                <w:rFonts w:hint="default"/>
                <w:color w:val="auto"/>
                <w:highlight w:val="none"/>
                <w:lang w:val="en-US" w:eastAsia="zh-CN"/>
              </w:rPr>
            </w:pPr>
            <w:r>
              <w:rPr>
                <w:rFonts w:hint="eastAsia"/>
                <w:color w:val="auto"/>
                <w:highlight w:val="none"/>
                <w:lang w:val="en-US" w:eastAsia="zh-CN"/>
              </w:rPr>
              <w:t>柴油燃烧</w:t>
            </w:r>
          </w:p>
        </w:tc>
        <w:tc>
          <w:tcPr>
            <w:tcW w:w="651" w:type="pct"/>
            <w:shd w:val="clear" w:color="auto" w:fill="auto"/>
            <w:vAlign w:val="center"/>
          </w:tcPr>
          <w:p w14:paraId="503B49D7">
            <w:pPr>
              <w:pStyle w:val="17"/>
              <w:bidi w:val="0"/>
              <w:ind w:firstLine="0" w:firstLineChars="0"/>
              <w:jc w:val="center"/>
              <w:rPr>
                <w:rFonts w:hint="default"/>
                <w:color w:val="auto"/>
                <w:highlight w:val="none"/>
                <w:lang w:val="en-US" w:eastAsia="zh-CN"/>
              </w:rPr>
            </w:pPr>
            <w:r>
              <w:rPr>
                <w:rFonts w:hint="default"/>
                <w:color w:val="auto"/>
                <w:highlight w:val="none"/>
                <w:lang w:val="en-US" w:eastAsia="zh-CN"/>
              </w:rPr>
              <w:t>NOx</w:t>
            </w:r>
          </w:p>
        </w:tc>
        <w:tc>
          <w:tcPr>
            <w:tcW w:w="789" w:type="pct"/>
            <w:vMerge w:val="restart"/>
            <w:shd w:val="clear" w:color="auto" w:fill="auto"/>
            <w:vAlign w:val="center"/>
          </w:tcPr>
          <w:p w14:paraId="519E9666">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自然扩散</w:t>
            </w:r>
          </w:p>
        </w:tc>
        <w:tc>
          <w:tcPr>
            <w:tcW w:w="1140" w:type="pct"/>
            <w:shd w:val="clear" w:color="auto" w:fill="auto"/>
            <w:vAlign w:val="center"/>
          </w:tcPr>
          <w:p w14:paraId="6161EDFF">
            <w:pPr>
              <w:pStyle w:val="17"/>
              <w:bidi w:val="0"/>
              <w:rPr>
                <w:rFonts w:hint="default"/>
                <w:color w:val="auto"/>
                <w:highlight w:val="none"/>
                <w:lang w:val="en-US" w:eastAsia="zh-CN"/>
              </w:rPr>
            </w:pPr>
            <w:r>
              <w:rPr>
                <w:rFonts w:hint="eastAsia"/>
                <w:color w:val="auto"/>
                <w:highlight w:val="none"/>
                <w:lang w:val="en-US" w:eastAsia="zh-CN"/>
              </w:rPr>
              <w:t>/</w:t>
            </w:r>
          </w:p>
        </w:tc>
        <w:tc>
          <w:tcPr>
            <w:tcW w:w="589" w:type="pct"/>
            <w:shd w:val="clear" w:color="auto" w:fill="auto"/>
            <w:vAlign w:val="center"/>
          </w:tcPr>
          <w:p w14:paraId="74C28A36">
            <w:pPr>
              <w:pStyle w:val="17"/>
              <w:bidi w:val="0"/>
              <w:rPr>
                <w:rFonts w:hint="default"/>
                <w:color w:val="auto"/>
                <w:highlight w:val="none"/>
                <w:lang w:val="en-US" w:eastAsia="zh-CN"/>
              </w:rPr>
            </w:pPr>
            <w:r>
              <w:rPr>
                <w:rFonts w:hint="eastAsia"/>
                <w:color w:val="auto"/>
                <w:highlight w:val="none"/>
                <w:lang w:val="en-US" w:eastAsia="zh-CN"/>
              </w:rPr>
              <w:t>/</w:t>
            </w:r>
          </w:p>
        </w:tc>
        <w:tc>
          <w:tcPr>
            <w:tcW w:w="511" w:type="pct"/>
            <w:shd w:val="clear" w:color="auto" w:fill="auto"/>
            <w:vAlign w:val="center"/>
          </w:tcPr>
          <w:p w14:paraId="308081B6">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2.0122</w:t>
            </w:r>
          </w:p>
        </w:tc>
      </w:tr>
      <w:tr w14:paraId="0A7A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vAlign w:val="center"/>
          </w:tcPr>
          <w:p w14:paraId="0679DAD7">
            <w:pPr>
              <w:pStyle w:val="17"/>
              <w:bidi w:val="0"/>
              <w:rPr>
                <w:rFonts w:hint="eastAsia"/>
                <w:color w:val="auto"/>
                <w:highlight w:val="none"/>
                <w:lang w:val="en-US" w:eastAsia="zh-CN"/>
              </w:rPr>
            </w:pPr>
          </w:p>
        </w:tc>
        <w:tc>
          <w:tcPr>
            <w:tcW w:w="374" w:type="pct"/>
            <w:vMerge w:val="continue"/>
            <w:vAlign w:val="center"/>
          </w:tcPr>
          <w:p w14:paraId="0338BBA7">
            <w:pPr>
              <w:pStyle w:val="17"/>
              <w:bidi w:val="0"/>
              <w:rPr>
                <w:rFonts w:hint="eastAsia"/>
                <w:color w:val="auto"/>
                <w:highlight w:val="none"/>
                <w:lang w:val="en-US" w:eastAsia="zh-CN"/>
              </w:rPr>
            </w:pPr>
          </w:p>
        </w:tc>
        <w:tc>
          <w:tcPr>
            <w:tcW w:w="693" w:type="pct"/>
            <w:vMerge w:val="continue"/>
            <w:shd w:val="clear" w:color="auto" w:fill="auto"/>
            <w:vAlign w:val="center"/>
          </w:tcPr>
          <w:p w14:paraId="54691C05">
            <w:pPr>
              <w:pStyle w:val="17"/>
              <w:bidi w:val="0"/>
              <w:rPr>
                <w:rFonts w:hint="eastAsia"/>
                <w:color w:val="auto"/>
                <w:highlight w:val="none"/>
                <w:lang w:val="en-US" w:eastAsia="zh-CN"/>
              </w:rPr>
            </w:pPr>
          </w:p>
        </w:tc>
        <w:tc>
          <w:tcPr>
            <w:tcW w:w="651" w:type="pct"/>
            <w:shd w:val="clear" w:color="auto" w:fill="auto"/>
            <w:vAlign w:val="center"/>
          </w:tcPr>
          <w:p w14:paraId="460307AB">
            <w:pPr>
              <w:pStyle w:val="17"/>
              <w:bidi w:val="0"/>
              <w:ind w:firstLine="0" w:firstLineChars="0"/>
              <w:jc w:val="center"/>
              <w:rPr>
                <w:rFonts w:hint="default"/>
                <w:color w:val="auto"/>
                <w:highlight w:val="none"/>
                <w:lang w:val="en-US" w:eastAsia="zh-CN"/>
              </w:rPr>
            </w:pPr>
            <w:r>
              <w:rPr>
                <w:rFonts w:hint="eastAsia"/>
                <w:color w:val="auto"/>
                <w:highlight w:val="none"/>
                <w:lang w:val="en-US" w:eastAsia="zh-CN"/>
              </w:rPr>
              <w:t>烟尘</w:t>
            </w:r>
          </w:p>
        </w:tc>
        <w:tc>
          <w:tcPr>
            <w:tcW w:w="789" w:type="pct"/>
            <w:vMerge w:val="continue"/>
            <w:shd w:val="clear" w:color="auto" w:fill="auto"/>
            <w:vAlign w:val="center"/>
          </w:tcPr>
          <w:p w14:paraId="23109676">
            <w:pPr>
              <w:pStyle w:val="17"/>
              <w:bidi w:val="0"/>
              <w:ind w:firstLine="0" w:firstLineChars="0"/>
              <w:jc w:val="center"/>
              <w:rPr>
                <w:rFonts w:hint="default"/>
                <w:color w:val="auto"/>
                <w:highlight w:val="none"/>
                <w:lang w:val="en-US" w:eastAsia="zh-CN"/>
              </w:rPr>
            </w:pPr>
          </w:p>
        </w:tc>
        <w:tc>
          <w:tcPr>
            <w:tcW w:w="1140" w:type="pct"/>
            <w:shd w:val="clear" w:color="auto" w:fill="auto"/>
            <w:vAlign w:val="center"/>
          </w:tcPr>
          <w:p w14:paraId="757C111C">
            <w:pPr>
              <w:pStyle w:val="17"/>
              <w:bidi w:val="0"/>
              <w:rPr>
                <w:rFonts w:hint="default"/>
                <w:color w:val="auto"/>
                <w:highlight w:val="none"/>
                <w:lang w:val="en-US" w:eastAsia="zh-CN"/>
              </w:rPr>
            </w:pPr>
            <w:r>
              <w:rPr>
                <w:rFonts w:hint="eastAsia"/>
                <w:color w:val="auto"/>
                <w:highlight w:val="none"/>
                <w:lang w:val="en-US" w:eastAsia="zh-CN"/>
              </w:rPr>
              <w:t>/</w:t>
            </w:r>
          </w:p>
        </w:tc>
        <w:tc>
          <w:tcPr>
            <w:tcW w:w="589" w:type="pct"/>
            <w:shd w:val="clear" w:color="auto" w:fill="auto"/>
            <w:vAlign w:val="center"/>
          </w:tcPr>
          <w:p w14:paraId="297DF06C">
            <w:pPr>
              <w:pStyle w:val="17"/>
              <w:bidi w:val="0"/>
              <w:rPr>
                <w:rFonts w:hint="default"/>
                <w:color w:val="auto"/>
                <w:highlight w:val="none"/>
                <w:lang w:val="en-US" w:eastAsia="zh-CN"/>
              </w:rPr>
            </w:pPr>
            <w:r>
              <w:rPr>
                <w:rFonts w:hint="eastAsia"/>
                <w:color w:val="auto"/>
                <w:highlight w:val="none"/>
                <w:lang w:val="en-US" w:eastAsia="zh-CN"/>
              </w:rPr>
              <w:t>/</w:t>
            </w:r>
          </w:p>
        </w:tc>
        <w:tc>
          <w:tcPr>
            <w:tcW w:w="511" w:type="pct"/>
            <w:shd w:val="clear" w:color="auto" w:fill="auto"/>
            <w:vAlign w:val="center"/>
          </w:tcPr>
          <w:p w14:paraId="6C4534E3">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0.5612</w:t>
            </w:r>
          </w:p>
        </w:tc>
      </w:tr>
      <w:tr w14:paraId="20E6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vAlign w:val="center"/>
          </w:tcPr>
          <w:p w14:paraId="7116DE04">
            <w:pPr>
              <w:pStyle w:val="17"/>
              <w:bidi w:val="0"/>
              <w:rPr>
                <w:rFonts w:hint="eastAsia"/>
                <w:color w:val="auto"/>
                <w:highlight w:val="none"/>
                <w:lang w:val="en-US" w:eastAsia="zh-CN"/>
              </w:rPr>
            </w:pPr>
          </w:p>
        </w:tc>
        <w:tc>
          <w:tcPr>
            <w:tcW w:w="374" w:type="pct"/>
            <w:vMerge w:val="continue"/>
            <w:vAlign w:val="center"/>
          </w:tcPr>
          <w:p w14:paraId="651EA536">
            <w:pPr>
              <w:pStyle w:val="17"/>
              <w:bidi w:val="0"/>
              <w:rPr>
                <w:rFonts w:hint="eastAsia"/>
                <w:color w:val="auto"/>
                <w:highlight w:val="none"/>
                <w:lang w:val="en-US" w:eastAsia="zh-CN"/>
              </w:rPr>
            </w:pPr>
          </w:p>
        </w:tc>
        <w:tc>
          <w:tcPr>
            <w:tcW w:w="693" w:type="pct"/>
            <w:vMerge w:val="continue"/>
            <w:shd w:val="clear" w:color="auto" w:fill="auto"/>
            <w:vAlign w:val="center"/>
          </w:tcPr>
          <w:p w14:paraId="053C02AC">
            <w:pPr>
              <w:pStyle w:val="17"/>
              <w:bidi w:val="0"/>
              <w:rPr>
                <w:rFonts w:hint="eastAsia"/>
                <w:color w:val="auto"/>
                <w:highlight w:val="none"/>
                <w:lang w:val="en-US" w:eastAsia="zh-CN"/>
              </w:rPr>
            </w:pPr>
          </w:p>
        </w:tc>
        <w:tc>
          <w:tcPr>
            <w:tcW w:w="651" w:type="pct"/>
            <w:shd w:val="clear" w:color="auto" w:fill="auto"/>
            <w:vAlign w:val="center"/>
          </w:tcPr>
          <w:p w14:paraId="211C3D16">
            <w:pPr>
              <w:pStyle w:val="17"/>
              <w:bidi w:val="0"/>
              <w:ind w:firstLine="0" w:firstLineChars="0"/>
              <w:jc w:val="center"/>
              <w:rPr>
                <w:rFonts w:hint="default"/>
                <w:color w:val="auto"/>
                <w:highlight w:val="none"/>
                <w:lang w:val="en-US" w:eastAsia="zh-CN"/>
              </w:rPr>
            </w:pPr>
            <w:r>
              <w:rPr>
                <w:rFonts w:hint="default"/>
                <w:color w:val="auto"/>
                <w:highlight w:val="none"/>
                <w:lang w:val="en-US" w:eastAsia="zh-CN"/>
              </w:rPr>
              <w:t>SO</w:t>
            </w:r>
            <w:r>
              <w:rPr>
                <w:rFonts w:hint="default"/>
                <w:color w:val="auto"/>
                <w:highlight w:val="none"/>
                <w:vertAlign w:val="subscript"/>
                <w:lang w:val="en-US" w:eastAsia="zh-CN"/>
              </w:rPr>
              <w:t>2</w:t>
            </w:r>
          </w:p>
        </w:tc>
        <w:tc>
          <w:tcPr>
            <w:tcW w:w="789" w:type="pct"/>
            <w:vMerge w:val="continue"/>
            <w:shd w:val="clear" w:color="auto" w:fill="auto"/>
            <w:vAlign w:val="center"/>
          </w:tcPr>
          <w:p w14:paraId="239D9A49">
            <w:pPr>
              <w:pStyle w:val="17"/>
              <w:bidi w:val="0"/>
              <w:ind w:firstLine="0" w:firstLineChars="0"/>
              <w:jc w:val="center"/>
              <w:rPr>
                <w:rFonts w:hint="default"/>
                <w:color w:val="auto"/>
                <w:highlight w:val="none"/>
                <w:lang w:val="en-US" w:eastAsia="zh-CN"/>
              </w:rPr>
            </w:pPr>
          </w:p>
        </w:tc>
        <w:tc>
          <w:tcPr>
            <w:tcW w:w="1140" w:type="pct"/>
            <w:shd w:val="clear" w:color="auto" w:fill="auto"/>
            <w:vAlign w:val="center"/>
          </w:tcPr>
          <w:p w14:paraId="2CA6CA22">
            <w:pPr>
              <w:pStyle w:val="17"/>
              <w:bidi w:val="0"/>
              <w:rPr>
                <w:rFonts w:hint="default"/>
                <w:color w:val="auto"/>
                <w:highlight w:val="none"/>
                <w:lang w:val="en-US" w:eastAsia="zh-CN"/>
              </w:rPr>
            </w:pPr>
            <w:r>
              <w:rPr>
                <w:rFonts w:hint="eastAsia"/>
                <w:color w:val="auto"/>
                <w:highlight w:val="none"/>
                <w:lang w:val="en-US" w:eastAsia="zh-CN"/>
              </w:rPr>
              <w:t>/</w:t>
            </w:r>
          </w:p>
        </w:tc>
        <w:tc>
          <w:tcPr>
            <w:tcW w:w="589" w:type="pct"/>
            <w:shd w:val="clear" w:color="auto" w:fill="auto"/>
            <w:vAlign w:val="center"/>
          </w:tcPr>
          <w:p w14:paraId="7051C24E">
            <w:pPr>
              <w:pStyle w:val="17"/>
              <w:bidi w:val="0"/>
              <w:rPr>
                <w:rFonts w:hint="default"/>
                <w:color w:val="auto"/>
                <w:highlight w:val="none"/>
                <w:lang w:val="en-US" w:eastAsia="zh-CN"/>
              </w:rPr>
            </w:pPr>
            <w:r>
              <w:rPr>
                <w:rFonts w:hint="eastAsia"/>
                <w:color w:val="auto"/>
                <w:highlight w:val="none"/>
                <w:lang w:val="en-US" w:eastAsia="zh-CN"/>
              </w:rPr>
              <w:t>/</w:t>
            </w:r>
          </w:p>
        </w:tc>
        <w:tc>
          <w:tcPr>
            <w:tcW w:w="511" w:type="pct"/>
            <w:shd w:val="clear" w:color="auto" w:fill="auto"/>
            <w:vAlign w:val="center"/>
          </w:tcPr>
          <w:p w14:paraId="29BEDC65">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3.144</w:t>
            </w:r>
          </w:p>
        </w:tc>
      </w:tr>
      <w:tr w14:paraId="2CB4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Align w:val="center"/>
          </w:tcPr>
          <w:p w14:paraId="6D3EF1AF">
            <w:pPr>
              <w:pStyle w:val="17"/>
              <w:bidi w:val="0"/>
              <w:rPr>
                <w:rFonts w:hint="default"/>
                <w:color w:val="auto"/>
                <w:highlight w:val="none"/>
                <w:lang w:val="en-US" w:eastAsia="zh-CN"/>
              </w:rPr>
            </w:pPr>
            <w:r>
              <w:rPr>
                <w:rFonts w:hint="eastAsia"/>
                <w:color w:val="auto"/>
                <w:highlight w:val="none"/>
                <w:lang w:val="en-US" w:eastAsia="zh-CN"/>
              </w:rPr>
              <w:t>7</w:t>
            </w:r>
          </w:p>
        </w:tc>
        <w:tc>
          <w:tcPr>
            <w:tcW w:w="374" w:type="pct"/>
            <w:vAlign w:val="center"/>
          </w:tcPr>
          <w:p w14:paraId="46341DEF">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shd w:val="clear" w:color="auto" w:fill="auto"/>
            <w:vAlign w:val="center"/>
          </w:tcPr>
          <w:p w14:paraId="20FA3BCF">
            <w:pPr>
              <w:pStyle w:val="17"/>
              <w:bidi w:val="0"/>
              <w:rPr>
                <w:rFonts w:hint="default"/>
                <w:color w:val="auto"/>
                <w:highlight w:val="none"/>
                <w:lang w:val="en-US" w:eastAsia="zh-CN"/>
              </w:rPr>
            </w:pPr>
            <w:r>
              <w:rPr>
                <w:rFonts w:hint="eastAsia"/>
                <w:color w:val="auto"/>
                <w:highlight w:val="none"/>
                <w:lang w:val="en-US" w:eastAsia="zh-CN"/>
              </w:rPr>
              <w:t>柴油储罐损失</w:t>
            </w:r>
          </w:p>
        </w:tc>
        <w:tc>
          <w:tcPr>
            <w:tcW w:w="651" w:type="pct"/>
            <w:shd w:val="clear" w:color="auto" w:fill="auto"/>
            <w:vAlign w:val="center"/>
          </w:tcPr>
          <w:p w14:paraId="0CC802E0">
            <w:pPr>
              <w:pStyle w:val="17"/>
              <w:bidi w:val="0"/>
              <w:rPr>
                <w:rFonts w:hint="default"/>
                <w:color w:val="auto"/>
                <w:highlight w:val="none"/>
                <w:lang w:val="en-US" w:eastAsia="zh-CN"/>
              </w:rPr>
            </w:pPr>
            <w:r>
              <w:rPr>
                <w:rFonts w:hint="eastAsia"/>
                <w:color w:val="auto"/>
                <w:highlight w:val="none"/>
                <w:lang w:val="en-US" w:eastAsia="zh-CN"/>
              </w:rPr>
              <w:t>非甲烷总烃</w:t>
            </w:r>
          </w:p>
        </w:tc>
        <w:tc>
          <w:tcPr>
            <w:tcW w:w="789" w:type="pct"/>
            <w:shd w:val="clear" w:color="auto" w:fill="auto"/>
            <w:vAlign w:val="center"/>
          </w:tcPr>
          <w:p w14:paraId="4C62E3E6">
            <w:pPr>
              <w:pStyle w:val="17"/>
              <w:bidi w:val="0"/>
              <w:rPr>
                <w:rFonts w:hint="default"/>
                <w:color w:val="auto"/>
                <w:highlight w:val="none"/>
                <w:lang w:val="en-US" w:eastAsia="zh-CN"/>
              </w:rPr>
            </w:pPr>
            <w:r>
              <w:rPr>
                <w:rFonts w:hint="eastAsia"/>
                <w:color w:val="auto"/>
                <w:highlight w:val="none"/>
                <w:lang w:val="en-US" w:eastAsia="zh-CN"/>
              </w:rPr>
              <w:t>/</w:t>
            </w:r>
          </w:p>
        </w:tc>
        <w:tc>
          <w:tcPr>
            <w:tcW w:w="1140" w:type="pct"/>
            <w:shd w:val="clear" w:color="auto" w:fill="auto"/>
            <w:vAlign w:val="center"/>
          </w:tcPr>
          <w:p w14:paraId="6DF7A413">
            <w:pPr>
              <w:pStyle w:val="17"/>
              <w:bidi w:val="0"/>
              <w:rPr>
                <w:rFonts w:hint="default"/>
                <w:color w:val="auto"/>
                <w:highlight w:val="none"/>
                <w:lang w:val="en-US" w:eastAsia="zh-CN"/>
              </w:rPr>
            </w:pPr>
            <w:r>
              <w:rPr>
                <w:rFonts w:hint="eastAsia"/>
                <w:color w:val="auto"/>
                <w:highlight w:val="none"/>
                <w:lang w:val="en-US" w:eastAsia="zh-CN"/>
              </w:rPr>
              <w:t>/</w:t>
            </w:r>
          </w:p>
        </w:tc>
        <w:tc>
          <w:tcPr>
            <w:tcW w:w="589" w:type="pct"/>
            <w:shd w:val="clear" w:color="auto" w:fill="auto"/>
            <w:vAlign w:val="center"/>
          </w:tcPr>
          <w:p w14:paraId="7F916C00">
            <w:pPr>
              <w:pStyle w:val="17"/>
              <w:bidi w:val="0"/>
              <w:rPr>
                <w:rFonts w:hint="default"/>
                <w:color w:val="auto"/>
                <w:highlight w:val="none"/>
                <w:lang w:val="en-US" w:eastAsia="zh-CN"/>
              </w:rPr>
            </w:pPr>
            <w:r>
              <w:rPr>
                <w:rFonts w:hint="eastAsia"/>
                <w:color w:val="auto"/>
                <w:highlight w:val="none"/>
                <w:lang w:val="en-US" w:eastAsia="zh-CN"/>
              </w:rPr>
              <w:t>/</w:t>
            </w:r>
          </w:p>
        </w:tc>
        <w:tc>
          <w:tcPr>
            <w:tcW w:w="511" w:type="pct"/>
            <w:shd w:val="clear" w:color="auto" w:fill="auto"/>
            <w:vAlign w:val="center"/>
          </w:tcPr>
          <w:p w14:paraId="3B14E9B2">
            <w:pPr>
              <w:pStyle w:val="17"/>
              <w:bidi w:val="0"/>
              <w:rPr>
                <w:rFonts w:hint="default"/>
                <w:color w:val="auto"/>
                <w:highlight w:val="none"/>
                <w:lang w:val="en-US" w:eastAsia="zh-CN"/>
              </w:rPr>
            </w:pPr>
            <w:r>
              <w:rPr>
                <w:rFonts w:hint="eastAsia"/>
                <w:color w:val="auto"/>
                <w:highlight w:val="none"/>
                <w:lang w:val="en-US" w:eastAsia="zh-CN"/>
              </w:rPr>
              <w:t>0.627</w:t>
            </w:r>
          </w:p>
        </w:tc>
      </w:tr>
      <w:tr w14:paraId="7A2B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vAlign w:val="center"/>
          </w:tcPr>
          <w:p w14:paraId="7098B683">
            <w:pPr>
              <w:pStyle w:val="17"/>
              <w:bidi w:val="0"/>
              <w:rPr>
                <w:rFonts w:hint="default"/>
                <w:color w:val="auto"/>
                <w:highlight w:val="none"/>
                <w:lang w:val="en-US" w:eastAsia="zh-CN"/>
              </w:rPr>
            </w:pPr>
            <w:r>
              <w:rPr>
                <w:rFonts w:hint="eastAsia"/>
                <w:color w:val="auto"/>
                <w:highlight w:val="none"/>
                <w:lang w:val="en-US" w:eastAsia="zh-CN"/>
              </w:rPr>
              <w:t>8</w:t>
            </w:r>
          </w:p>
        </w:tc>
        <w:tc>
          <w:tcPr>
            <w:tcW w:w="374" w:type="pct"/>
            <w:vMerge w:val="restart"/>
            <w:vAlign w:val="center"/>
          </w:tcPr>
          <w:p w14:paraId="53CBC870">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vMerge w:val="restart"/>
            <w:shd w:val="clear" w:color="auto" w:fill="auto"/>
            <w:vAlign w:val="center"/>
          </w:tcPr>
          <w:p w14:paraId="44B1980C">
            <w:pPr>
              <w:pStyle w:val="17"/>
              <w:bidi w:val="0"/>
              <w:rPr>
                <w:rFonts w:hint="default"/>
                <w:color w:val="auto"/>
                <w:highlight w:val="none"/>
                <w:lang w:val="en-US" w:eastAsia="zh-CN"/>
              </w:rPr>
            </w:pPr>
            <w:r>
              <w:rPr>
                <w:rFonts w:hint="eastAsia"/>
                <w:color w:val="auto"/>
                <w:highlight w:val="none"/>
                <w:lang w:val="en-US" w:eastAsia="zh-CN"/>
              </w:rPr>
              <w:t>粗矿仓</w:t>
            </w:r>
          </w:p>
        </w:tc>
        <w:tc>
          <w:tcPr>
            <w:tcW w:w="651" w:type="pct"/>
            <w:shd w:val="clear" w:color="auto" w:fill="auto"/>
            <w:vAlign w:val="center"/>
          </w:tcPr>
          <w:p w14:paraId="72727B42">
            <w:pPr>
              <w:pStyle w:val="17"/>
              <w:bidi w:val="0"/>
              <w:rPr>
                <w:rFonts w:hint="default"/>
                <w:color w:val="auto"/>
                <w:highlight w:val="none"/>
                <w:lang w:val="en-US" w:eastAsia="zh-CN"/>
              </w:rPr>
            </w:pPr>
            <w:r>
              <w:rPr>
                <w:rFonts w:hint="eastAsia"/>
                <w:color w:val="auto"/>
                <w:highlight w:val="none"/>
              </w:rPr>
              <w:t>颗粒物</w:t>
            </w:r>
          </w:p>
        </w:tc>
        <w:tc>
          <w:tcPr>
            <w:tcW w:w="789" w:type="pct"/>
            <w:vMerge w:val="restart"/>
            <w:shd w:val="clear" w:color="auto" w:fill="auto"/>
            <w:vAlign w:val="center"/>
          </w:tcPr>
          <w:p w14:paraId="1D735AC1">
            <w:pPr>
              <w:pStyle w:val="17"/>
              <w:bidi w:val="0"/>
              <w:rPr>
                <w:rFonts w:hint="default"/>
                <w:color w:val="auto"/>
                <w:highlight w:val="none"/>
                <w:lang w:val="en-US" w:eastAsia="zh-CN"/>
              </w:rPr>
            </w:pPr>
            <w:r>
              <w:rPr>
                <w:rFonts w:hint="eastAsia"/>
                <w:color w:val="auto"/>
                <w:highlight w:val="none"/>
                <w:lang w:val="en-US" w:eastAsia="zh-CN"/>
              </w:rPr>
              <w:t>密闭厂房</w:t>
            </w:r>
          </w:p>
        </w:tc>
        <w:tc>
          <w:tcPr>
            <w:tcW w:w="1140" w:type="pct"/>
            <w:vMerge w:val="restart"/>
            <w:shd w:val="clear" w:color="auto" w:fill="auto"/>
            <w:vAlign w:val="center"/>
          </w:tcPr>
          <w:p w14:paraId="28F6FF41">
            <w:pPr>
              <w:pStyle w:val="17"/>
              <w:bidi w:val="0"/>
              <w:rPr>
                <w:rFonts w:hint="default"/>
                <w:color w:val="auto"/>
                <w:highlight w:val="none"/>
                <w:lang w:val="en-US" w:eastAsia="zh-CN"/>
              </w:rPr>
            </w:pPr>
            <w:r>
              <w:rPr>
                <w:rFonts w:hint="eastAsia"/>
                <w:color w:val="auto"/>
                <w:highlight w:val="none"/>
                <w:lang w:val="en-US" w:eastAsia="zh-CN"/>
              </w:rPr>
              <w:t>《大气污染物综合排放标准》（GB16297-1996）</w:t>
            </w:r>
          </w:p>
        </w:tc>
        <w:tc>
          <w:tcPr>
            <w:tcW w:w="589" w:type="pct"/>
            <w:shd w:val="clear" w:color="auto" w:fill="auto"/>
            <w:vAlign w:val="center"/>
          </w:tcPr>
          <w:p w14:paraId="0F99370B">
            <w:pPr>
              <w:pStyle w:val="17"/>
              <w:bidi w:val="0"/>
              <w:ind w:firstLine="0" w:firstLineChars="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7599C1C1">
            <w:pPr>
              <w:pStyle w:val="17"/>
              <w:bidi w:val="0"/>
              <w:rPr>
                <w:rFonts w:hint="default"/>
                <w:color w:val="auto"/>
                <w:highlight w:val="none"/>
                <w:lang w:val="en-US" w:eastAsia="zh-CN"/>
              </w:rPr>
            </w:pPr>
            <w:r>
              <w:rPr>
                <w:rFonts w:hint="eastAsia"/>
                <w:color w:val="auto"/>
                <w:highlight w:val="none"/>
                <w:lang w:val="en-US" w:eastAsia="zh-CN"/>
              </w:rPr>
              <w:t>0.06</w:t>
            </w:r>
          </w:p>
        </w:tc>
      </w:tr>
      <w:tr w14:paraId="7922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vAlign w:val="center"/>
          </w:tcPr>
          <w:p w14:paraId="6D556BFC">
            <w:pPr>
              <w:pStyle w:val="17"/>
              <w:bidi w:val="0"/>
              <w:rPr>
                <w:rFonts w:hint="eastAsia"/>
                <w:color w:val="auto"/>
                <w:highlight w:val="none"/>
                <w:lang w:val="en-US" w:eastAsia="zh-CN"/>
              </w:rPr>
            </w:pPr>
          </w:p>
        </w:tc>
        <w:tc>
          <w:tcPr>
            <w:tcW w:w="374" w:type="pct"/>
            <w:vMerge w:val="continue"/>
            <w:vAlign w:val="center"/>
          </w:tcPr>
          <w:p w14:paraId="5C4C6C59">
            <w:pPr>
              <w:pStyle w:val="17"/>
              <w:bidi w:val="0"/>
              <w:rPr>
                <w:rFonts w:hint="eastAsia"/>
                <w:color w:val="auto"/>
                <w:highlight w:val="none"/>
                <w:lang w:val="en-US" w:eastAsia="zh-CN"/>
              </w:rPr>
            </w:pPr>
          </w:p>
        </w:tc>
        <w:tc>
          <w:tcPr>
            <w:tcW w:w="693" w:type="pct"/>
            <w:vMerge w:val="continue"/>
            <w:shd w:val="clear" w:color="auto" w:fill="auto"/>
            <w:vAlign w:val="center"/>
          </w:tcPr>
          <w:p w14:paraId="61984DFD">
            <w:pPr>
              <w:pStyle w:val="17"/>
              <w:bidi w:val="0"/>
              <w:rPr>
                <w:rFonts w:hint="eastAsia"/>
                <w:color w:val="auto"/>
                <w:highlight w:val="none"/>
                <w:lang w:val="en-US" w:eastAsia="zh-CN"/>
              </w:rPr>
            </w:pPr>
          </w:p>
        </w:tc>
        <w:tc>
          <w:tcPr>
            <w:tcW w:w="651" w:type="pct"/>
            <w:shd w:val="clear" w:color="auto" w:fill="auto"/>
            <w:vAlign w:val="center"/>
          </w:tcPr>
          <w:p w14:paraId="22DE40FF">
            <w:pPr>
              <w:pStyle w:val="17"/>
              <w:bidi w:val="0"/>
              <w:rPr>
                <w:rFonts w:hint="default"/>
                <w:color w:val="auto"/>
                <w:highlight w:val="none"/>
                <w:lang w:val="en-US" w:eastAsia="zh-CN"/>
              </w:rPr>
            </w:pPr>
            <w:r>
              <w:rPr>
                <w:rFonts w:hint="eastAsia"/>
                <w:color w:val="auto"/>
                <w:highlight w:val="none"/>
                <w:lang w:eastAsia="zh-CN"/>
              </w:rPr>
              <w:t>氟化物</w:t>
            </w:r>
          </w:p>
        </w:tc>
        <w:tc>
          <w:tcPr>
            <w:tcW w:w="789" w:type="pct"/>
            <w:vMerge w:val="continue"/>
            <w:shd w:val="clear" w:color="auto" w:fill="auto"/>
            <w:vAlign w:val="center"/>
          </w:tcPr>
          <w:p w14:paraId="73ECD9AB">
            <w:pPr>
              <w:pStyle w:val="17"/>
              <w:bidi w:val="0"/>
              <w:rPr>
                <w:rFonts w:hint="default"/>
                <w:color w:val="auto"/>
                <w:highlight w:val="none"/>
                <w:lang w:val="en-US" w:eastAsia="zh-CN"/>
              </w:rPr>
            </w:pPr>
          </w:p>
        </w:tc>
        <w:tc>
          <w:tcPr>
            <w:tcW w:w="1140" w:type="pct"/>
            <w:vMerge w:val="continue"/>
            <w:shd w:val="clear" w:color="auto" w:fill="auto"/>
            <w:vAlign w:val="center"/>
          </w:tcPr>
          <w:p w14:paraId="095289BA">
            <w:pPr>
              <w:pStyle w:val="17"/>
              <w:bidi w:val="0"/>
              <w:rPr>
                <w:rFonts w:hint="default"/>
                <w:color w:val="auto"/>
                <w:highlight w:val="none"/>
                <w:lang w:val="en-US" w:eastAsia="zh-CN"/>
              </w:rPr>
            </w:pPr>
          </w:p>
        </w:tc>
        <w:tc>
          <w:tcPr>
            <w:tcW w:w="589" w:type="pct"/>
            <w:shd w:val="clear" w:color="auto" w:fill="auto"/>
            <w:vAlign w:val="center"/>
          </w:tcPr>
          <w:p w14:paraId="1CFA587B">
            <w:pPr>
              <w:pStyle w:val="17"/>
              <w:bidi w:val="0"/>
              <w:ind w:firstLine="0" w:firstLineChars="0"/>
              <w:rPr>
                <w:rFonts w:hint="default"/>
                <w:color w:val="auto"/>
                <w:highlight w:val="none"/>
                <w:lang w:val="en-US" w:eastAsia="zh-CN"/>
              </w:rPr>
            </w:pPr>
            <w:r>
              <w:rPr>
                <w:rFonts w:hint="eastAsia"/>
                <w:color w:val="auto"/>
                <w:highlight w:val="none"/>
                <w:lang w:val="en-US" w:eastAsia="zh-CN"/>
              </w:rPr>
              <w:t>20</w:t>
            </w:r>
          </w:p>
        </w:tc>
        <w:tc>
          <w:tcPr>
            <w:tcW w:w="511" w:type="pct"/>
            <w:shd w:val="clear" w:color="auto" w:fill="auto"/>
            <w:vAlign w:val="center"/>
          </w:tcPr>
          <w:p w14:paraId="2C921C1D">
            <w:pPr>
              <w:pStyle w:val="17"/>
              <w:bidi w:val="0"/>
              <w:rPr>
                <w:rFonts w:hint="default"/>
                <w:color w:val="auto"/>
                <w:highlight w:val="none"/>
                <w:lang w:val="en-US" w:eastAsia="zh-CN"/>
              </w:rPr>
            </w:pPr>
            <w:r>
              <w:rPr>
                <w:rFonts w:hint="eastAsia"/>
                <w:color w:val="auto"/>
                <w:highlight w:val="none"/>
                <w:lang w:val="en-US" w:eastAsia="zh-CN"/>
              </w:rPr>
              <w:t>0.0095</w:t>
            </w:r>
          </w:p>
        </w:tc>
      </w:tr>
      <w:tr w14:paraId="001A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vAlign w:val="center"/>
          </w:tcPr>
          <w:p w14:paraId="139A491B">
            <w:pPr>
              <w:pStyle w:val="17"/>
              <w:bidi w:val="0"/>
              <w:rPr>
                <w:rFonts w:hint="default"/>
                <w:color w:val="auto"/>
                <w:highlight w:val="none"/>
                <w:lang w:val="en-US" w:eastAsia="zh-CN"/>
              </w:rPr>
            </w:pPr>
            <w:r>
              <w:rPr>
                <w:rFonts w:hint="eastAsia"/>
                <w:color w:val="auto"/>
                <w:highlight w:val="none"/>
                <w:lang w:val="en-US" w:eastAsia="zh-CN"/>
              </w:rPr>
              <w:t>9</w:t>
            </w:r>
          </w:p>
        </w:tc>
        <w:tc>
          <w:tcPr>
            <w:tcW w:w="374" w:type="pct"/>
            <w:vMerge w:val="restart"/>
            <w:vAlign w:val="center"/>
          </w:tcPr>
          <w:p w14:paraId="1C4C1E14">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vMerge w:val="restart"/>
            <w:shd w:val="clear" w:color="auto" w:fill="auto"/>
            <w:vAlign w:val="center"/>
          </w:tcPr>
          <w:p w14:paraId="6698FDF3">
            <w:pPr>
              <w:pStyle w:val="17"/>
              <w:bidi w:val="0"/>
              <w:rPr>
                <w:rFonts w:hint="default"/>
                <w:color w:val="auto"/>
                <w:highlight w:val="none"/>
                <w:lang w:val="en-US" w:eastAsia="zh-CN"/>
              </w:rPr>
            </w:pPr>
            <w:r>
              <w:rPr>
                <w:rFonts w:hint="eastAsia"/>
                <w:color w:val="auto"/>
                <w:highlight w:val="none"/>
                <w:lang w:val="en-US" w:eastAsia="zh-CN"/>
              </w:rPr>
              <w:t>中细碎车间</w:t>
            </w:r>
          </w:p>
        </w:tc>
        <w:tc>
          <w:tcPr>
            <w:tcW w:w="651" w:type="pct"/>
            <w:shd w:val="clear" w:color="auto" w:fill="auto"/>
            <w:vAlign w:val="center"/>
          </w:tcPr>
          <w:p w14:paraId="042DB401">
            <w:pPr>
              <w:pStyle w:val="17"/>
              <w:bidi w:val="0"/>
              <w:rPr>
                <w:rFonts w:hint="default"/>
                <w:color w:val="auto"/>
                <w:highlight w:val="none"/>
                <w:lang w:val="en-US" w:eastAsia="zh-CN"/>
              </w:rPr>
            </w:pPr>
            <w:r>
              <w:rPr>
                <w:rFonts w:hint="eastAsia"/>
                <w:color w:val="auto"/>
                <w:highlight w:val="none"/>
              </w:rPr>
              <w:t>颗粒物</w:t>
            </w:r>
          </w:p>
        </w:tc>
        <w:tc>
          <w:tcPr>
            <w:tcW w:w="789" w:type="pct"/>
            <w:vMerge w:val="restart"/>
            <w:shd w:val="clear" w:color="auto" w:fill="auto"/>
            <w:vAlign w:val="center"/>
          </w:tcPr>
          <w:p w14:paraId="43FEA667">
            <w:pPr>
              <w:pStyle w:val="17"/>
              <w:bidi w:val="0"/>
              <w:rPr>
                <w:rFonts w:hint="default"/>
                <w:color w:val="auto"/>
                <w:highlight w:val="none"/>
                <w:lang w:val="en-US" w:eastAsia="zh-CN"/>
              </w:rPr>
            </w:pPr>
            <w:r>
              <w:rPr>
                <w:rFonts w:hint="eastAsia"/>
                <w:color w:val="auto"/>
                <w:highlight w:val="none"/>
                <w:lang w:val="en-US" w:eastAsia="zh-CN"/>
              </w:rPr>
              <w:t>密闭厂房</w:t>
            </w:r>
          </w:p>
        </w:tc>
        <w:tc>
          <w:tcPr>
            <w:tcW w:w="1140" w:type="pct"/>
            <w:vMerge w:val="continue"/>
            <w:shd w:val="clear" w:color="auto" w:fill="auto"/>
            <w:vAlign w:val="center"/>
          </w:tcPr>
          <w:p w14:paraId="5164D30B">
            <w:pPr>
              <w:pStyle w:val="17"/>
              <w:bidi w:val="0"/>
              <w:rPr>
                <w:rFonts w:hint="default"/>
                <w:color w:val="auto"/>
                <w:highlight w:val="none"/>
                <w:lang w:val="en-US" w:eastAsia="zh-CN"/>
              </w:rPr>
            </w:pPr>
          </w:p>
        </w:tc>
        <w:tc>
          <w:tcPr>
            <w:tcW w:w="589" w:type="pct"/>
            <w:shd w:val="clear" w:color="auto" w:fill="auto"/>
            <w:vAlign w:val="center"/>
          </w:tcPr>
          <w:p w14:paraId="73247F6C">
            <w:pPr>
              <w:pStyle w:val="17"/>
              <w:bidi w:val="0"/>
              <w:ind w:firstLine="0" w:firstLineChars="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793D0169">
            <w:pPr>
              <w:pStyle w:val="17"/>
              <w:bidi w:val="0"/>
              <w:rPr>
                <w:rFonts w:hint="default"/>
                <w:color w:val="auto"/>
                <w:highlight w:val="none"/>
                <w:lang w:val="en-US" w:eastAsia="zh-CN"/>
              </w:rPr>
            </w:pPr>
            <w:r>
              <w:rPr>
                <w:rFonts w:hint="eastAsia"/>
                <w:color w:val="auto"/>
                <w:highlight w:val="none"/>
                <w:lang w:val="en-US" w:eastAsia="zh-CN"/>
              </w:rPr>
              <w:t>0.6</w:t>
            </w:r>
          </w:p>
        </w:tc>
      </w:tr>
      <w:tr w14:paraId="771E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vAlign w:val="center"/>
          </w:tcPr>
          <w:p w14:paraId="54FD7EC0">
            <w:pPr>
              <w:pStyle w:val="17"/>
              <w:bidi w:val="0"/>
              <w:rPr>
                <w:rFonts w:hint="eastAsia"/>
                <w:color w:val="auto"/>
                <w:highlight w:val="none"/>
                <w:lang w:val="en-US" w:eastAsia="zh-CN"/>
              </w:rPr>
            </w:pPr>
          </w:p>
        </w:tc>
        <w:tc>
          <w:tcPr>
            <w:tcW w:w="374" w:type="pct"/>
            <w:vMerge w:val="continue"/>
            <w:vAlign w:val="center"/>
          </w:tcPr>
          <w:p w14:paraId="6DFA45DA">
            <w:pPr>
              <w:pStyle w:val="17"/>
              <w:bidi w:val="0"/>
              <w:rPr>
                <w:rFonts w:hint="eastAsia"/>
                <w:color w:val="auto"/>
                <w:highlight w:val="none"/>
                <w:lang w:val="en-US" w:eastAsia="zh-CN"/>
              </w:rPr>
            </w:pPr>
          </w:p>
        </w:tc>
        <w:tc>
          <w:tcPr>
            <w:tcW w:w="693" w:type="pct"/>
            <w:vMerge w:val="continue"/>
            <w:shd w:val="clear" w:color="auto" w:fill="auto"/>
            <w:vAlign w:val="center"/>
          </w:tcPr>
          <w:p w14:paraId="64BC567B">
            <w:pPr>
              <w:pStyle w:val="17"/>
              <w:bidi w:val="0"/>
              <w:rPr>
                <w:rFonts w:hint="eastAsia"/>
                <w:color w:val="auto"/>
                <w:highlight w:val="none"/>
                <w:lang w:val="en-US" w:eastAsia="zh-CN"/>
              </w:rPr>
            </w:pPr>
          </w:p>
        </w:tc>
        <w:tc>
          <w:tcPr>
            <w:tcW w:w="651" w:type="pct"/>
            <w:shd w:val="clear" w:color="auto" w:fill="auto"/>
            <w:vAlign w:val="center"/>
          </w:tcPr>
          <w:p w14:paraId="21AA8D4A">
            <w:pPr>
              <w:pStyle w:val="17"/>
              <w:bidi w:val="0"/>
              <w:rPr>
                <w:rFonts w:hint="default"/>
                <w:color w:val="auto"/>
                <w:highlight w:val="none"/>
                <w:lang w:val="en-US" w:eastAsia="zh-CN"/>
              </w:rPr>
            </w:pPr>
            <w:r>
              <w:rPr>
                <w:rFonts w:hint="eastAsia"/>
                <w:color w:val="auto"/>
                <w:highlight w:val="none"/>
                <w:lang w:eastAsia="zh-CN"/>
              </w:rPr>
              <w:t>氟化物</w:t>
            </w:r>
          </w:p>
        </w:tc>
        <w:tc>
          <w:tcPr>
            <w:tcW w:w="789" w:type="pct"/>
            <w:vMerge w:val="continue"/>
            <w:shd w:val="clear" w:color="auto" w:fill="auto"/>
            <w:vAlign w:val="center"/>
          </w:tcPr>
          <w:p w14:paraId="1CD0C040">
            <w:pPr>
              <w:pStyle w:val="17"/>
              <w:bidi w:val="0"/>
              <w:rPr>
                <w:rFonts w:hint="default"/>
                <w:color w:val="auto"/>
                <w:highlight w:val="none"/>
                <w:lang w:val="en-US" w:eastAsia="zh-CN"/>
              </w:rPr>
            </w:pPr>
          </w:p>
        </w:tc>
        <w:tc>
          <w:tcPr>
            <w:tcW w:w="1140" w:type="pct"/>
            <w:vMerge w:val="continue"/>
            <w:shd w:val="clear" w:color="auto" w:fill="auto"/>
            <w:vAlign w:val="center"/>
          </w:tcPr>
          <w:p w14:paraId="68B1D412">
            <w:pPr>
              <w:pStyle w:val="17"/>
              <w:bidi w:val="0"/>
              <w:rPr>
                <w:rFonts w:hint="default"/>
                <w:color w:val="auto"/>
                <w:highlight w:val="none"/>
                <w:lang w:val="en-US" w:eastAsia="zh-CN"/>
              </w:rPr>
            </w:pPr>
          </w:p>
        </w:tc>
        <w:tc>
          <w:tcPr>
            <w:tcW w:w="589" w:type="pct"/>
            <w:shd w:val="clear" w:color="auto" w:fill="auto"/>
            <w:vAlign w:val="center"/>
          </w:tcPr>
          <w:p w14:paraId="0B940002">
            <w:pPr>
              <w:pStyle w:val="17"/>
              <w:bidi w:val="0"/>
              <w:ind w:firstLine="0" w:firstLineChars="0"/>
              <w:rPr>
                <w:rFonts w:hint="default"/>
                <w:color w:val="auto"/>
                <w:highlight w:val="none"/>
                <w:lang w:val="en-US" w:eastAsia="zh-CN"/>
              </w:rPr>
            </w:pPr>
            <w:r>
              <w:rPr>
                <w:rFonts w:hint="eastAsia"/>
                <w:color w:val="auto"/>
                <w:highlight w:val="none"/>
                <w:lang w:val="en-US" w:eastAsia="zh-CN"/>
              </w:rPr>
              <w:t>20</w:t>
            </w:r>
          </w:p>
        </w:tc>
        <w:tc>
          <w:tcPr>
            <w:tcW w:w="511" w:type="pct"/>
            <w:shd w:val="clear" w:color="auto" w:fill="auto"/>
            <w:vAlign w:val="center"/>
          </w:tcPr>
          <w:p w14:paraId="3B9FD80D">
            <w:pPr>
              <w:pStyle w:val="17"/>
              <w:bidi w:val="0"/>
              <w:rPr>
                <w:rFonts w:hint="default"/>
                <w:color w:val="auto"/>
                <w:highlight w:val="none"/>
                <w:lang w:val="en-US" w:eastAsia="zh-CN"/>
              </w:rPr>
            </w:pPr>
            <w:r>
              <w:rPr>
                <w:rFonts w:hint="eastAsia"/>
                <w:color w:val="auto"/>
                <w:highlight w:val="none"/>
                <w:lang w:val="en-US" w:eastAsia="zh-CN"/>
              </w:rPr>
              <w:t>0.0947</w:t>
            </w:r>
          </w:p>
        </w:tc>
      </w:tr>
      <w:tr w14:paraId="3946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vAlign w:val="center"/>
          </w:tcPr>
          <w:p w14:paraId="78151285">
            <w:pPr>
              <w:pStyle w:val="17"/>
              <w:bidi w:val="0"/>
              <w:rPr>
                <w:rFonts w:hint="default"/>
                <w:color w:val="auto"/>
                <w:highlight w:val="none"/>
                <w:lang w:val="en-US" w:eastAsia="zh-CN"/>
              </w:rPr>
            </w:pPr>
            <w:r>
              <w:rPr>
                <w:rFonts w:hint="eastAsia"/>
                <w:color w:val="auto"/>
                <w:highlight w:val="none"/>
                <w:lang w:val="en-US" w:eastAsia="zh-CN"/>
              </w:rPr>
              <w:t>10</w:t>
            </w:r>
          </w:p>
        </w:tc>
        <w:tc>
          <w:tcPr>
            <w:tcW w:w="374" w:type="pct"/>
            <w:vMerge w:val="restart"/>
            <w:vAlign w:val="center"/>
          </w:tcPr>
          <w:p w14:paraId="3B8469F2">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vMerge w:val="restart"/>
            <w:shd w:val="clear" w:color="auto" w:fill="auto"/>
            <w:vAlign w:val="center"/>
          </w:tcPr>
          <w:p w14:paraId="0A3C9BEE">
            <w:pPr>
              <w:pStyle w:val="17"/>
              <w:bidi w:val="0"/>
              <w:rPr>
                <w:rFonts w:hint="default"/>
                <w:color w:val="auto"/>
                <w:highlight w:val="none"/>
                <w:lang w:val="en-US" w:eastAsia="zh-CN"/>
              </w:rPr>
            </w:pPr>
            <w:r>
              <w:rPr>
                <w:rFonts w:hint="eastAsia"/>
                <w:color w:val="auto"/>
                <w:highlight w:val="none"/>
                <w:lang w:val="en-US" w:eastAsia="zh-CN"/>
              </w:rPr>
              <w:t>筛分车间</w:t>
            </w:r>
          </w:p>
        </w:tc>
        <w:tc>
          <w:tcPr>
            <w:tcW w:w="651" w:type="pct"/>
            <w:shd w:val="clear" w:color="auto" w:fill="auto"/>
            <w:vAlign w:val="center"/>
          </w:tcPr>
          <w:p w14:paraId="577A6055">
            <w:pPr>
              <w:pStyle w:val="17"/>
              <w:bidi w:val="0"/>
              <w:rPr>
                <w:rFonts w:hint="default"/>
                <w:color w:val="auto"/>
                <w:highlight w:val="none"/>
                <w:lang w:val="en-US" w:eastAsia="zh-CN"/>
              </w:rPr>
            </w:pPr>
            <w:r>
              <w:rPr>
                <w:rFonts w:hint="eastAsia"/>
                <w:color w:val="auto"/>
                <w:highlight w:val="none"/>
              </w:rPr>
              <w:t>颗粒物</w:t>
            </w:r>
          </w:p>
        </w:tc>
        <w:tc>
          <w:tcPr>
            <w:tcW w:w="789" w:type="pct"/>
            <w:vMerge w:val="restart"/>
            <w:shd w:val="clear" w:color="auto" w:fill="auto"/>
            <w:vAlign w:val="center"/>
          </w:tcPr>
          <w:p w14:paraId="39EBFD3C">
            <w:pPr>
              <w:pStyle w:val="17"/>
              <w:bidi w:val="0"/>
              <w:rPr>
                <w:rFonts w:hint="default"/>
                <w:color w:val="auto"/>
                <w:highlight w:val="none"/>
                <w:lang w:val="en-US" w:eastAsia="zh-CN"/>
              </w:rPr>
            </w:pPr>
            <w:r>
              <w:rPr>
                <w:rFonts w:hint="eastAsia"/>
                <w:color w:val="auto"/>
                <w:highlight w:val="none"/>
                <w:lang w:val="en-US" w:eastAsia="zh-CN"/>
              </w:rPr>
              <w:t>密闭厂房</w:t>
            </w:r>
          </w:p>
        </w:tc>
        <w:tc>
          <w:tcPr>
            <w:tcW w:w="1140" w:type="pct"/>
            <w:vMerge w:val="continue"/>
            <w:shd w:val="clear" w:color="auto" w:fill="auto"/>
            <w:vAlign w:val="center"/>
          </w:tcPr>
          <w:p w14:paraId="2C625BFE">
            <w:pPr>
              <w:pStyle w:val="17"/>
              <w:bidi w:val="0"/>
              <w:rPr>
                <w:rFonts w:hint="default"/>
                <w:color w:val="auto"/>
                <w:highlight w:val="none"/>
                <w:lang w:val="en-US" w:eastAsia="zh-CN"/>
              </w:rPr>
            </w:pPr>
          </w:p>
        </w:tc>
        <w:tc>
          <w:tcPr>
            <w:tcW w:w="589" w:type="pct"/>
            <w:shd w:val="clear" w:color="auto" w:fill="auto"/>
            <w:vAlign w:val="center"/>
          </w:tcPr>
          <w:p w14:paraId="37385BAD">
            <w:pPr>
              <w:pStyle w:val="17"/>
              <w:bidi w:val="0"/>
              <w:ind w:firstLine="0" w:firstLineChars="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1C54C65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0.6</w:t>
            </w:r>
          </w:p>
        </w:tc>
      </w:tr>
      <w:tr w14:paraId="1E82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vAlign w:val="center"/>
          </w:tcPr>
          <w:p w14:paraId="3B50E0DD">
            <w:pPr>
              <w:pStyle w:val="17"/>
              <w:bidi w:val="0"/>
              <w:rPr>
                <w:rFonts w:hint="eastAsia"/>
                <w:color w:val="auto"/>
                <w:highlight w:val="none"/>
                <w:lang w:val="en-US" w:eastAsia="zh-CN"/>
              </w:rPr>
            </w:pPr>
          </w:p>
        </w:tc>
        <w:tc>
          <w:tcPr>
            <w:tcW w:w="374" w:type="pct"/>
            <w:vMerge w:val="continue"/>
            <w:vAlign w:val="center"/>
          </w:tcPr>
          <w:p w14:paraId="4B9AD5FE">
            <w:pPr>
              <w:pStyle w:val="17"/>
              <w:bidi w:val="0"/>
              <w:rPr>
                <w:rFonts w:hint="eastAsia"/>
                <w:color w:val="auto"/>
                <w:highlight w:val="none"/>
                <w:lang w:val="en-US" w:eastAsia="zh-CN"/>
              </w:rPr>
            </w:pPr>
          </w:p>
        </w:tc>
        <w:tc>
          <w:tcPr>
            <w:tcW w:w="693" w:type="pct"/>
            <w:vMerge w:val="continue"/>
            <w:shd w:val="clear" w:color="auto" w:fill="auto"/>
            <w:vAlign w:val="center"/>
          </w:tcPr>
          <w:p w14:paraId="2CA03D8D">
            <w:pPr>
              <w:pStyle w:val="17"/>
              <w:bidi w:val="0"/>
              <w:rPr>
                <w:rFonts w:hint="eastAsia"/>
                <w:color w:val="auto"/>
                <w:highlight w:val="none"/>
                <w:lang w:val="en-US" w:eastAsia="zh-CN"/>
              </w:rPr>
            </w:pPr>
          </w:p>
        </w:tc>
        <w:tc>
          <w:tcPr>
            <w:tcW w:w="651" w:type="pct"/>
            <w:shd w:val="clear" w:color="auto" w:fill="auto"/>
            <w:vAlign w:val="center"/>
          </w:tcPr>
          <w:p w14:paraId="37CDB25C">
            <w:pPr>
              <w:pStyle w:val="17"/>
              <w:bidi w:val="0"/>
              <w:rPr>
                <w:rFonts w:hint="default"/>
                <w:color w:val="auto"/>
                <w:highlight w:val="none"/>
                <w:lang w:val="en-US" w:eastAsia="zh-CN"/>
              </w:rPr>
            </w:pPr>
            <w:r>
              <w:rPr>
                <w:rFonts w:hint="eastAsia"/>
                <w:color w:val="auto"/>
                <w:highlight w:val="none"/>
                <w:lang w:eastAsia="zh-CN"/>
              </w:rPr>
              <w:t>氟化物</w:t>
            </w:r>
          </w:p>
        </w:tc>
        <w:tc>
          <w:tcPr>
            <w:tcW w:w="789" w:type="pct"/>
            <w:vMerge w:val="continue"/>
            <w:shd w:val="clear" w:color="auto" w:fill="auto"/>
            <w:vAlign w:val="center"/>
          </w:tcPr>
          <w:p w14:paraId="41992561">
            <w:pPr>
              <w:pStyle w:val="17"/>
              <w:bidi w:val="0"/>
              <w:rPr>
                <w:rFonts w:hint="default"/>
                <w:color w:val="auto"/>
                <w:highlight w:val="none"/>
                <w:lang w:val="en-US" w:eastAsia="zh-CN"/>
              </w:rPr>
            </w:pPr>
          </w:p>
        </w:tc>
        <w:tc>
          <w:tcPr>
            <w:tcW w:w="1140" w:type="pct"/>
            <w:vMerge w:val="continue"/>
            <w:shd w:val="clear" w:color="auto" w:fill="auto"/>
            <w:vAlign w:val="center"/>
          </w:tcPr>
          <w:p w14:paraId="2352D9A1">
            <w:pPr>
              <w:pStyle w:val="17"/>
              <w:bidi w:val="0"/>
              <w:rPr>
                <w:rFonts w:hint="default"/>
                <w:color w:val="auto"/>
                <w:highlight w:val="none"/>
                <w:lang w:val="en-US" w:eastAsia="zh-CN"/>
              </w:rPr>
            </w:pPr>
          </w:p>
        </w:tc>
        <w:tc>
          <w:tcPr>
            <w:tcW w:w="589" w:type="pct"/>
            <w:shd w:val="clear" w:color="auto" w:fill="auto"/>
            <w:vAlign w:val="center"/>
          </w:tcPr>
          <w:p w14:paraId="7FB0AF55">
            <w:pPr>
              <w:pStyle w:val="17"/>
              <w:bidi w:val="0"/>
              <w:ind w:firstLine="0" w:firstLineChars="0"/>
              <w:rPr>
                <w:rFonts w:hint="default"/>
                <w:color w:val="auto"/>
                <w:highlight w:val="none"/>
                <w:lang w:val="en-US" w:eastAsia="zh-CN"/>
              </w:rPr>
            </w:pPr>
            <w:r>
              <w:rPr>
                <w:rFonts w:hint="eastAsia"/>
                <w:color w:val="auto"/>
                <w:highlight w:val="none"/>
                <w:lang w:val="en-US" w:eastAsia="zh-CN"/>
              </w:rPr>
              <w:t>20</w:t>
            </w:r>
          </w:p>
        </w:tc>
        <w:tc>
          <w:tcPr>
            <w:tcW w:w="511" w:type="pct"/>
            <w:shd w:val="clear" w:color="auto" w:fill="auto"/>
            <w:vAlign w:val="center"/>
          </w:tcPr>
          <w:p w14:paraId="4B2B0B4C">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0.0947</w:t>
            </w:r>
          </w:p>
        </w:tc>
      </w:tr>
      <w:tr w14:paraId="5E98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vAlign w:val="center"/>
          </w:tcPr>
          <w:p w14:paraId="7B8C19DA">
            <w:pPr>
              <w:pStyle w:val="17"/>
              <w:bidi w:val="0"/>
              <w:rPr>
                <w:rFonts w:hint="default"/>
                <w:color w:val="auto"/>
                <w:highlight w:val="none"/>
                <w:lang w:val="en-US" w:eastAsia="zh-CN"/>
              </w:rPr>
            </w:pPr>
            <w:r>
              <w:rPr>
                <w:rFonts w:hint="eastAsia"/>
                <w:color w:val="auto"/>
                <w:highlight w:val="none"/>
                <w:lang w:val="en-US" w:eastAsia="zh-CN"/>
              </w:rPr>
              <w:t>11</w:t>
            </w:r>
          </w:p>
        </w:tc>
        <w:tc>
          <w:tcPr>
            <w:tcW w:w="374" w:type="pct"/>
            <w:vMerge w:val="restart"/>
            <w:vAlign w:val="center"/>
          </w:tcPr>
          <w:p w14:paraId="45A6339A">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vMerge w:val="restart"/>
            <w:shd w:val="clear" w:color="auto" w:fill="auto"/>
            <w:vAlign w:val="center"/>
          </w:tcPr>
          <w:p w14:paraId="03C7A6F3">
            <w:pPr>
              <w:pStyle w:val="17"/>
              <w:bidi w:val="0"/>
              <w:rPr>
                <w:rFonts w:hint="eastAsia"/>
                <w:color w:val="auto"/>
                <w:highlight w:val="none"/>
                <w:lang w:val="en-US" w:eastAsia="zh-CN"/>
              </w:rPr>
            </w:pPr>
            <w:r>
              <w:rPr>
                <w:rFonts w:hint="eastAsia"/>
                <w:color w:val="auto"/>
                <w:highlight w:val="none"/>
                <w:lang w:val="en-US" w:eastAsia="zh-CN"/>
              </w:rPr>
              <w:t>粉矿仓</w:t>
            </w:r>
          </w:p>
        </w:tc>
        <w:tc>
          <w:tcPr>
            <w:tcW w:w="651" w:type="pct"/>
            <w:shd w:val="clear" w:color="auto" w:fill="auto"/>
            <w:vAlign w:val="center"/>
          </w:tcPr>
          <w:p w14:paraId="50D63FAC">
            <w:pPr>
              <w:pStyle w:val="17"/>
              <w:bidi w:val="0"/>
              <w:rPr>
                <w:rFonts w:hint="default"/>
                <w:color w:val="auto"/>
                <w:highlight w:val="none"/>
                <w:lang w:val="en-US" w:eastAsia="zh-CN"/>
              </w:rPr>
            </w:pPr>
            <w:r>
              <w:rPr>
                <w:rFonts w:hint="eastAsia"/>
                <w:color w:val="auto"/>
                <w:highlight w:val="none"/>
              </w:rPr>
              <w:t>颗粒物</w:t>
            </w:r>
          </w:p>
        </w:tc>
        <w:tc>
          <w:tcPr>
            <w:tcW w:w="789" w:type="pct"/>
            <w:vMerge w:val="restart"/>
            <w:shd w:val="clear" w:color="auto" w:fill="auto"/>
            <w:vAlign w:val="center"/>
          </w:tcPr>
          <w:p w14:paraId="1C0E2CA9">
            <w:pPr>
              <w:pStyle w:val="17"/>
              <w:bidi w:val="0"/>
              <w:rPr>
                <w:rFonts w:hint="default"/>
                <w:b/>
                <w:bCs/>
                <w:color w:val="auto"/>
                <w:highlight w:val="none"/>
                <w:lang w:val="en-US" w:eastAsia="zh-CN"/>
              </w:rPr>
            </w:pPr>
            <w:r>
              <w:rPr>
                <w:rFonts w:hint="eastAsia"/>
                <w:color w:val="auto"/>
                <w:highlight w:val="none"/>
                <w:lang w:val="en-US" w:eastAsia="zh-CN"/>
              </w:rPr>
              <w:t>密闭厂房</w:t>
            </w:r>
          </w:p>
        </w:tc>
        <w:tc>
          <w:tcPr>
            <w:tcW w:w="1140" w:type="pct"/>
            <w:vMerge w:val="continue"/>
            <w:shd w:val="clear" w:color="auto" w:fill="auto"/>
            <w:vAlign w:val="center"/>
          </w:tcPr>
          <w:p w14:paraId="1F4593FA">
            <w:pPr>
              <w:pStyle w:val="17"/>
              <w:bidi w:val="0"/>
              <w:rPr>
                <w:rFonts w:hint="default"/>
                <w:color w:val="auto"/>
                <w:highlight w:val="none"/>
                <w:lang w:val="en-US" w:eastAsia="zh-CN"/>
              </w:rPr>
            </w:pPr>
          </w:p>
        </w:tc>
        <w:tc>
          <w:tcPr>
            <w:tcW w:w="589" w:type="pct"/>
            <w:shd w:val="clear" w:color="auto" w:fill="auto"/>
            <w:vAlign w:val="center"/>
          </w:tcPr>
          <w:p w14:paraId="5F30FCB4">
            <w:pPr>
              <w:pStyle w:val="17"/>
              <w:bidi w:val="0"/>
              <w:ind w:firstLine="0" w:firstLineChars="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15C52B1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0.06</w:t>
            </w:r>
          </w:p>
        </w:tc>
      </w:tr>
      <w:tr w14:paraId="4E21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vAlign w:val="center"/>
          </w:tcPr>
          <w:p w14:paraId="6E016D25">
            <w:pPr>
              <w:pStyle w:val="17"/>
              <w:bidi w:val="0"/>
              <w:rPr>
                <w:rFonts w:hint="eastAsia"/>
                <w:color w:val="auto"/>
                <w:highlight w:val="none"/>
                <w:lang w:val="en-US" w:eastAsia="zh-CN"/>
              </w:rPr>
            </w:pPr>
          </w:p>
        </w:tc>
        <w:tc>
          <w:tcPr>
            <w:tcW w:w="374" w:type="pct"/>
            <w:vMerge w:val="continue"/>
            <w:vAlign w:val="center"/>
          </w:tcPr>
          <w:p w14:paraId="4142B5F1">
            <w:pPr>
              <w:pStyle w:val="17"/>
              <w:bidi w:val="0"/>
              <w:rPr>
                <w:rFonts w:hint="eastAsia"/>
                <w:color w:val="auto"/>
                <w:highlight w:val="none"/>
                <w:lang w:val="en-US" w:eastAsia="zh-CN"/>
              </w:rPr>
            </w:pPr>
          </w:p>
        </w:tc>
        <w:tc>
          <w:tcPr>
            <w:tcW w:w="693" w:type="pct"/>
            <w:vMerge w:val="continue"/>
            <w:shd w:val="clear" w:color="auto" w:fill="auto"/>
            <w:vAlign w:val="center"/>
          </w:tcPr>
          <w:p w14:paraId="2377DFBC">
            <w:pPr>
              <w:pStyle w:val="17"/>
              <w:bidi w:val="0"/>
              <w:rPr>
                <w:rFonts w:hint="eastAsia"/>
                <w:color w:val="auto"/>
                <w:highlight w:val="none"/>
                <w:lang w:val="en-US" w:eastAsia="zh-CN"/>
              </w:rPr>
            </w:pPr>
          </w:p>
        </w:tc>
        <w:tc>
          <w:tcPr>
            <w:tcW w:w="651" w:type="pct"/>
            <w:shd w:val="clear" w:color="auto" w:fill="auto"/>
            <w:vAlign w:val="center"/>
          </w:tcPr>
          <w:p w14:paraId="6232B17A">
            <w:pPr>
              <w:pStyle w:val="17"/>
              <w:bidi w:val="0"/>
              <w:rPr>
                <w:rFonts w:hint="default"/>
                <w:color w:val="auto"/>
                <w:highlight w:val="none"/>
                <w:lang w:val="en-US" w:eastAsia="zh-CN"/>
              </w:rPr>
            </w:pPr>
            <w:r>
              <w:rPr>
                <w:rFonts w:hint="eastAsia"/>
                <w:color w:val="auto"/>
                <w:highlight w:val="none"/>
                <w:lang w:eastAsia="zh-CN"/>
              </w:rPr>
              <w:t>氟化物</w:t>
            </w:r>
          </w:p>
        </w:tc>
        <w:tc>
          <w:tcPr>
            <w:tcW w:w="789" w:type="pct"/>
            <w:vMerge w:val="continue"/>
            <w:shd w:val="clear" w:color="auto" w:fill="auto"/>
            <w:vAlign w:val="center"/>
          </w:tcPr>
          <w:p w14:paraId="238DC8BA">
            <w:pPr>
              <w:pStyle w:val="17"/>
              <w:bidi w:val="0"/>
              <w:rPr>
                <w:rFonts w:hint="default"/>
                <w:color w:val="auto"/>
                <w:highlight w:val="none"/>
                <w:lang w:val="en-US" w:eastAsia="zh-CN"/>
              </w:rPr>
            </w:pPr>
          </w:p>
        </w:tc>
        <w:tc>
          <w:tcPr>
            <w:tcW w:w="1140" w:type="pct"/>
            <w:vMerge w:val="continue"/>
            <w:shd w:val="clear" w:color="auto" w:fill="auto"/>
            <w:vAlign w:val="center"/>
          </w:tcPr>
          <w:p w14:paraId="4A06D9BC">
            <w:pPr>
              <w:pStyle w:val="17"/>
              <w:bidi w:val="0"/>
              <w:rPr>
                <w:rFonts w:hint="default"/>
                <w:color w:val="auto"/>
                <w:highlight w:val="none"/>
                <w:lang w:val="en-US" w:eastAsia="zh-CN"/>
              </w:rPr>
            </w:pPr>
          </w:p>
        </w:tc>
        <w:tc>
          <w:tcPr>
            <w:tcW w:w="589" w:type="pct"/>
            <w:shd w:val="clear" w:color="auto" w:fill="auto"/>
            <w:vAlign w:val="center"/>
          </w:tcPr>
          <w:p w14:paraId="3EDD5FF5">
            <w:pPr>
              <w:pStyle w:val="17"/>
              <w:bidi w:val="0"/>
              <w:ind w:firstLine="0" w:firstLineChars="0"/>
              <w:rPr>
                <w:rFonts w:hint="default"/>
                <w:color w:val="auto"/>
                <w:highlight w:val="none"/>
                <w:lang w:val="en-US" w:eastAsia="zh-CN"/>
              </w:rPr>
            </w:pPr>
            <w:r>
              <w:rPr>
                <w:rFonts w:hint="eastAsia"/>
                <w:color w:val="auto"/>
                <w:highlight w:val="none"/>
                <w:lang w:val="en-US" w:eastAsia="zh-CN"/>
              </w:rPr>
              <w:t>20</w:t>
            </w:r>
          </w:p>
        </w:tc>
        <w:tc>
          <w:tcPr>
            <w:tcW w:w="511" w:type="pct"/>
            <w:shd w:val="clear" w:color="auto" w:fill="auto"/>
            <w:vAlign w:val="center"/>
          </w:tcPr>
          <w:p w14:paraId="48AD6ED0">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0.0095</w:t>
            </w:r>
          </w:p>
        </w:tc>
      </w:tr>
      <w:tr w14:paraId="74CA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Align w:val="center"/>
          </w:tcPr>
          <w:p w14:paraId="4AC821E7">
            <w:pPr>
              <w:pStyle w:val="17"/>
              <w:bidi w:val="0"/>
              <w:rPr>
                <w:rFonts w:hint="default"/>
                <w:color w:val="auto"/>
                <w:highlight w:val="none"/>
                <w:lang w:val="en-US" w:eastAsia="zh-CN"/>
              </w:rPr>
            </w:pPr>
            <w:r>
              <w:rPr>
                <w:rFonts w:hint="eastAsia"/>
                <w:color w:val="auto"/>
                <w:highlight w:val="none"/>
                <w:lang w:val="en-US" w:eastAsia="zh-CN"/>
              </w:rPr>
              <w:t>12</w:t>
            </w:r>
          </w:p>
        </w:tc>
        <w:tc>
          <w:tcPr>
            <w:tcW w:w="374" w:type="pct"/>
            <w:vAlign w:val="center"/>
          </w:tcPr>
          <w:p w14:paraId="792BF743">
            <w:pPr>
              <w:pStyle w:val="17"/>
              <w:bidi w:val="0"/>
              <w:rPr>
                <w:rFonts w:hint="default"/>
                <w:color w:val="auto"/>
                <w:highlight w:val="none"/>
                <w:lang w:val="en-US" w:eastAsia="zh-CN"/>
              </w:rPr>
            </w:pPr>
            <w:r>
              <w:rPr>
                <w:rFonts w:hint="eastAsia"/>
                <w:color w:val="auto"/>
                <w:highlight w:val="none"/>
                <w:lang w:val="en-US" w:eastAsia="zh-CN"/>
              </w:rPr>
              <w:t>/</w:t>
            </w:r>
          </w:p>
        </w:tc>
        <w:tc>
          <w:tcPr>
            <w:tcW w:w="693" w:type="pct"/>
            <w:shd w:val="clear" w:color="auto" w:fill="auto"/>
            <w:vAlign w:val="center"/>
          </w:tcPr>
          <w:p w14:paraId="6E89FA5A">
            <w:pPr>
              <w:pStyle w:val="17"/>
              <w:bidi w:val="0"/>
              <w:rPr>
                <w:rFonts w:hint="default"/>
                <w:color w:val="auto"/>
                <w:highlight w:val="none"/>
                <w:lang w:val="en-US" w:eastAsia="zh-CN"/>
              </w:rPr>
            </w:pPr>
            <w:r>
              <w:rPr>
                <w:rFonts w:hint="eastAsia"/>
                <w:color w:val="auto"/>
                <w:highlight w:val="none"/>
                <w:lang w:val="en-US" w:eastAsia="zh-CN"/>
              </w:rPr>
              <w:t>尾矿库</w:t>
            </w:r>
          </w:p>
        </w:tc>
        <w:tc>
          <w:tcPr>
            <w:tcW w:w="651" w:type="pct"/>
            <w:shd w:val="clear" w:color="auto" w:fill="auto"/>
            <w:vAlign w:val="center"/>
          </w:tcPr>
          <w:p w14:paraId="24D12B10">
            <w:pPr>
              <w:pStyle w:val="17"/>
              <w:bidi w:val="0"/>
              <w:rPr>
                <w:rFonts w:hint="default"/>
                <w:color w:val="auto"/>
                <w:highlight w:val="none"/>
                <w:lang w:val="en-US" w:eastAsia="zh-CN"/>
              </w:rPr>
            </w:pPr>
            <w:r>
              <w:rPr>
                <w:rFonts w:hint="eastAsia"/>
                <w:color w:val="auto"/>
                <w:highlight w:val="none"/>
                <w:lang w:val="en-US" w:eastAsia="zh-CN"/>
              </w:rPr>
              <w:t>颗粒物</w:t>
            </w:r>
          </w:p>
        </w:tc>
        <w:tc>
          <w:tcPr>
            <w:tcW w:w="789" w:type="pct"/>
            <w:shd w:val="clear" w:color="auto" w:fill="auto"/>
            <w:vAlign w:val="center"/>
          </w:tcPr>
          <w:p w14:paraId="7D8BE615">
            <w:pPr>
              <w:pStyle w:val="17"/>
              <w:bidi w:val="0"/>
              <w:rPr>
                <w:rFonts w:hint="default"/>
                <w:color w:val="auto"/>
                <w:highlight w:val="none"/>
                <w:lang w:val="en-US" w:eastAsia="zh-CN"/>
              </w:rPr>
            </w:pPr>
            <w:r>
              <w:rPr>
                <w:rFonts w:hint="eastAsia"/>
                <w:color w:val="auto"/>
                <w:highlight w:val="none"/>
                <w:lang w:val="en-US" w:eastAsia="zh-CN"/>
              </w:rPr>
              <w:t>湿排</w:t>
            </w:r>
          </w:p>
        </w:tc>
        <w:tc>
          <w:tcPr>
            <w:tcW w:w="1140" w:type="pct"/>
            <w:vMerge w:val="continue"/>
            <w:shd w:val="clear" w:color="auto" w:fill="auto"/>
            <w:vAlign w:val="center"/>
          </w:tcPr>
          <w:p w14:paraId="63942F43">
            <w:pPr>
              <w:pStyle w:val="17"/>
              <w:bidi w:val="0"/>
              <w:rPr>
                <w:rFonts w:hint="default"/>
                <w:color w:val="auto"/>
                <w:highlight w:val="none"/>
                <w:lang w:val="en-US" w:eastAsia="zh-CN"/>
              </w:rPr>
            </w:pPr>
          </w:p>
        </w:tc>
        <w:tc>
          <w:tcPr>
            <w:tcW w:w="589" w:type="pct"/>
            <w:shd w:val="clear" w:color="auto" w:fill="auto"/>
            <w:vAlign w:val="center"/>
          </w:tcPr>
          <w:p w14:paraId="5F0DFBE8">
            <w:pPr>
              <w:pStyle w:val="17"/>
              <w:bidi w:val="0"/>
              <w:ind w:firstLine="0" w:firstLineChars="0"/>
              <w:rPr>
                <w:rFonts w:hint="default"/>
                <w:color w:val="auto"/>
                <w:highlight w:val="none"/>
                <w:lang w:val="en-US" w:eastAsia="zh-CN"/>
              </w:rPr>
            </w:pPr>
            <w:r>
              <w:rPr>
                <w:rFonts w:hint="eastAsia"/>
                <w:color w:val="auto"/>
                <w:highlight w:val="none"/>
                <w:lang w:val="en-US" w:eastAsia="zh-CN"/>
              </w:rPr>
              <w:t>1.0</w:t>
            </w:r>
          </w:p>
        </w:tc>
        <w:tc>
          <w:tcPr>
            <w:tcW w:w="511" w:type="pct"/>
            <w:shd w:val="clear" w:color="auto" w:fill="auto"/>
            <w:vAlign w:val="center"/>
          </w:tcPr>
          <w:p w14:paraId="20683C82">
            <w:pPr>
              <w:pStyle w:val="17"/>
              <w:bidi w:val="0"/>
              <w:ind w:firstLine="0" w:firstLineChars="0"/>
              <w:rPr>
                <w:rFonts w:hint="default"/>
                <w:color w:val="auto"/>
                <w:highlight w:val="none"/>
                <w:lang w:val="en-US" w:eastAsia="zh-CN"/>
              </w:rPr>
            </w:pPr>
            <w:r>
              <w:rPr>
                <w:rFonts w:hint="eastAsia"/>
                <w:color w:val="auto"/>
                <w:highlight w:val="none"/>
                <w:lang w:val="en-US" w:eastAsia="zh-CN"/>
              </w:rPr>
              <w:t>0.5091</w:t>
            </w:r>
          </w:p>
        </w:tc>
      </w:tr>
      <w:tr w14:paraId="1F13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gridSpan w:val="2"/>
            <w:vMerge w:val="restart"/>
            <w:vAlign w:val="center"/>
          </w:tcPr>
          <w:p w14:paraId="328BF117">
            <w:pPr>
              <w:pStyle w:val="17"/>
              <w:bidi w:val="0"/>
              <w:rPr>
                <w:rFonts w:hint="default"/>
                <w:color w:val="auto"/>
                <w:highlight w:val="none"/>
                <w:lang w:val="en-US" w:eastAsia="zh-CN"/>
              </w:rPr>
            </w:pPr>
            <w:r>
              <w:rPr>
                <w:rFonts w:hint="eastAsia"/>
                <w:color w:val="auto"/>
                <w:highlight w:val="none"/>
                <w:lang w:val="en-US" w:eastAsia="zh-CN"/>
              </w:rPr>
              <w:t>无组织排放总计</w:t>
            </w:r>
          </w:p>
        </w:tc>
        <w:tc>
          <w:tcPr>
            <w:tcW w:w="3864" w:type="pct"/>
            <w:gridSpan w:val="5"/>
            <w:shd w:val="clear" w:color="auto" w:fill="auto"/>
            <w:vAlign w:val="center"/>
          </w:tcPr>
          <w:p w14:paraId="5B36CE89">
            <w:pPr>
              <w:pStyle w:val="17"/>
              <w:bidi w:val="0"/>
              <w:rPr>
                <w:rFonts w:hint="default"/>
                <w:color w:val="auto"/>
                <w:highlight w:val="none"/>
                <w:lang w:val="en-US" w:eastAsia="zh-CN"/>
              </w:rPr>
            </w:pPr>
            <w:r>
              <w:rPr>
                <w:rFonts w:hint="eastAsia"/>
                <w:color w:val="auto"/>
                <w:highlight w:val="none"/>
              </w:rPr>
              <w:t>颗粒物</w:t>
            </w:r>
          </w:p>
        </w:tc>
        <w:tc>
          <w:tcPr>
            <w:tcW w:w="511" w:type="pct"/>
            <w:shd w:val="clear" w:color="auto" w:fill="auto"/>
            <w:vAlign w:val="center"/>
          </w:tcPr>
          <w:p w14:paraId="0FE83CFB">
            <w:pPr>
              <w:pStyle w:val="17"/>
              <w:bidi w:val="0"/>
              <w:rPr>
                <w:rFonts w:hint="default"/>
                <w:color w:val="auto"/>
                <w:highlight w:val="none"/>
                <w:lang w:val="en-US" w:eastAsia="zh-CN"/>
              </w:rPr>
            </w:pPr>
            <w:r>
              <w:rPr>
                <w:rFonts w:hint="eastAsia"/>
                <w:color w:val="auto"/>
                <w:highlight w:val="none"/>
                <w:lang w:val="en-US" w:eastAsia="zh-CN"/>
              </w:rPr>
              <w:t>22.1141</w:t>
            </w:r>
          </w:p>
        </w:tc>
      </w:tr>
      <w:tr w14:paraId="7C17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gridSpan w:val="2"/>
            <w:vMerge w:val="continue"/>
            <w:vAlign w:val="center"/>
          </w:tcPr>
          <w:p w14:paraId="7E6A58F7">
            <w:pPr>
              <w:pStyle w:val="17"/>
              <w:bidi w:val="0"/>
              <w:rPr>
                <w:rFonts w:hint="default"/>
                <w:color w:val="auto"/>
                <w:highlight w:val="none"/>
                <w:lang w:val="en-US" w:eastAsia="zh-CN"/>
              </w:rPr>
            </w:pPr>
          </w:p>
        </w:tc>
        <w:tc>
          <w:tcPr>
            <w:tcW w:w="3864" w:type="pct"/>
            <w:gridSpan w:val="5"/>
            <w:shd w:val="clear" w:color="auto" w:fill="auto"/>
            <w:vAlign w:val="center"/>
          </w:tcPr>
          <w:p w14:paraId="723996F8">
            <w:pPr>
              <w:pStyle w:val="17"/>
              <w:bidi w:val="0"/>
              <w:rPr>
                <w:rFonts w:hint="default"/>
                <w:color w:val="auto"/>
                <w:highlight w:val="none"/>
                <w:lang w:val="en-US" w:eastAsia="zh-CN"/>
              </w:rPr>
            </w:pPr>
            <w:r>
              <w:rPr>
                <w:rFonts w:hint="eastAsia"/>
                <w:color w:val="auto"/>
                <w:highlight w:val="none"/>
                <w:lang w:eastAsia="zh-CN"/>
              </w:rPr>
              <w:t>氟化物</w:t>
            </w:r>
          </w:p>
        </w:tc>
        <w:tc>
          <w:tcPr>
            <w:tcW w:w="511" w:type="pct"/>
            <w:shd w:val="clear" w:color="auto" w:fill="auto"/>
            <w:vAlign w:val="center"/>
          </w:tcPr>
          <w:p w14:paraId="2B01E9B7">
            <w:pPr>
              <w:pStyle w:val="17"/>
              <w:bidi w:val="0"/>
              <w:rPr>
                <w:rFonts w:hint="default"/>
                <w:color w:val="auto"/>
                <w:highlight w:val="none"/>
                <w:lang w:val="en-US" w:eastAsia="zh-CN"/>
              </w:rPr>
            </w:pPr>
            <w:r>
              <w:rPr>
                <w:rFonts w:hint="eastAsia"/>
                <w:color w:val="auto"/>
                <w:highlight w:val="none"/>
                <w:lang w:val="en-US" w:eastAsia="zh-CN"/>
              </w:rPr>
              <w:t>1.2718</w:t>
            </w:r>
          </w:p>
        </w:tc>
      </w:tr>
      <w:tr w14:paraId="0FFE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gridSpan w:val="2"/>
            <w:vMerge w:val="continue"/>
            <w:vAlign w:val="center"/>
          </w:tcPr>
          <w:p w14:paraId="6918E00F">
            <w:pPr>
              <w:pStyle w:val="17"/>
              <w:bidi w:val="0"/>
              <w:rPr>
                <w:rFonts w:hint="default"/>
                <w:color w:val="auto"/>
                <w:highlight w:val="none"/>
                <w:lang w:val="en-US" w:eastAsia="zh-CN"/>
              </w:rPr>
            </w:pPr>
          </w:p>
        </w:tc>
        <w:tc>
          <w:tcPr>
            <w:tcW w:w="3864" w:type="pct"/>
            <w:gridSpan w:val="5"/>
            <w:shd w:val="clear" w:color="auto" w:fill="auto"/>
            <w:vAlign w:val="center"/>
          </w:tcPr>
          <w:p w14:paraId="54E5ED1E">
            <w:pPr>
              <w:pStyle w:val="17"/>
              <w:bidi w:val="0"/>
              <w:rPr>
                <w:rFonts w:hint="default"/>
                <w:color w:val="auto"/>
                <w:highlight w:val="none"/>
                <w:lang w:val="en-US" w:eastAsia="zh-CN"/>
              </w:rPr>
            </w:pPr>
            <w:r>
              <w:rPr>
                <w:rFonts w:hint="eastAsia"/>
                <w:color w:val="auto"/>
                <w:highlight w:val="none"/>
                <w:lang w:val="en-US" w:eastAsia="zh-CN"/>
              </w:rPr>
              <w:t>烟尘</w:t>
            </w:r>
          </w:p>
        </w:tc>
        <w:tc>
          <w:tcPr>
            <w:tcW w:w="511" w:type="pct"/>
            <w:shd w:val="clear" w:color="auto" w:fill="auto"/>
            <w:vAlign w:val="center"/>
          </w:tcPr>
          <w:p w14:paraId="4853CE27">
            <w:pPr>
              <w:pStyle w:val="17"/>
              <w:bidi w:val="0"/>
              <w:rPr>
                <w:rFonts w:hint="default"/>
                <w:color w:val="auto"/>
                <w:highlight w:val="none"/>
                <w:lang w:val="en-US" w:eastAsia="zh-CN"/>
              </w:rPr>
            </w:pPr>
            <w:r>
              <w:rPr>
                <w:rFonts w:hint="eastAsia"/>
                <w:color w:val="auto"/>
                <w:highlight w:val="none"/>
                <w:lang w:val="en-US" w:eastAsia="zh-CN"/>
              </w:rPr>
              <w:t>0.5612</w:t>
            </w:r>
          </w:p>
        </w:tc>
      </w:tr>
      <w:tr w14:paraId="0315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gridSpan w:val="2"/>
            <w:vMerge w:val="continue"/>
            <w:vAlign w:val="center"/>
          </w:tcPr>
          <w:p w14:paraId="63F788E2">
            <w:pPr>
              <w:pStyle w:val="17"/>
              <w:bidi w:val="0"/>
              <w:rPr>
                <w:rFonts w:hint="default"/>
                <w:color w:val="auto"/>
                <w:highlight w:val="none"/>
                <w:lang w:val="en-US" w:eastAsia="zh-CN"/>
              </w:rPr>
            </w:pPr>
          </w:p>
        </w:tc>
        <w:tc>
          <w:tcPr>
            <w:tcW w:w="3864" w:type="pct"/>
            <w:gridSpan w:val="5"/>
            <w:shd w:val="clear" w:color="auto" w:fill="auto"/>
            <w:vAlign w:val="center"/>
          </w:tcPr>
          <w:p w14:paraId="2CECD8FF">
            <w:pPr>
              <w:pStyle w:val="17"/>
              <w:bidi w:val="0"/>
              <w:rPr>
                <w:rFonts w:hint="default"/>
                <w:color w:val="auto"/>
                <w:highlight w:val="none"/>
                <w:lang w:val="en-US" w:eastAsia="zh-CN"/>
              </w:rPr>
            </w:pPr>
            <w:r>
              <w:rPr>
                <w:color w:val="auto"/>
                <w:highlight w:val="none"/>
              </w:rPr>
              <w:t>NO</w:t>
            </w:r>
            <w:r>
              <w:rPr>
                <w:rFonts w:hint="eastAsia"/>
                <w:color w:val="auto"/>
                <w:highlight w:val="none"/>
                <w:lang w:val="en-US" w:eastAsia="zh-CN"/>
              </w:rPr>
              <w:t>x</w:t>
            </w:r>
          </w:p>
        </w:tc>
        <w:tc>
          <w:tcPr>
            <w:tcW w:w="511" w:type="pct"/>
            <w:shd w:val="clear" w:color="auto" w:fill="auto"/>
            <w:vAlign w:val="center"/>
          </w:tcPr>
          <w:p w14:paraId="49C69FB0">
            <w:pPr>
              <w:pStyle w:val="17"/>
              <w:bidi w:val="0"/>
              <w:rPr>
                <w:rFonts w:hint="default"/>
                <w:color w:val="auto"/>
                <w:highlight w:val="none"/>
                <w:lang w:val="en-US" w:eastAsia="zh-CN"/>
              </w:rPr>
            </w:pPr>
            <w:r>
              <w:rPr>
                <w:rFonts w:hint="eastAsia"/>
                <w:color w:val="auto"/>
                <w:highlight w:val="none"/>
                <w:lang w:val="en-US" w:eastAsia="zh-CN"/>
              </w:rPr>
              <w:t>6.3922</w:t>
            </w:r>
          </w:p>
        </w:tc>
      </w:tr>
      <w:tr w14:paraId="23E9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gridSpan w:val="2"/>
            <w:vMerge w:val="continue"/>
            <w:vAlign w:val="center"/>
          </w:tcPr>
          <w:p w14:paraId="09721FB0">
            <w:pPr>
              <w:pStyle w:val="17"/>
              <w:bidi w:val="0"/>
              <w:rPr>
                <w:rFonts w:hint="default"/>
                <w:color w:val="auto"/>
                <w:highlight w:val="none"/>
                <w:lang w:val="en-US" w:eastAsia="zh-CN"/>
              </w:rPr>
            </w:pPr>
          </w:p>
        </w:tc>
        <w:tc>
          <w:tcPr>
            <w:tcW w:w="3864" w:type="pct"/>
            <w:gridSpan w:val="5"/>
            <w:shd w:val="clear" w:color="auto" w:fill="auto"/>
            <w:vAlign w:val="center"/>
          </w:tcPr>
          <w:p w14:paraId="3C5F06E0">
            <w:pPr>
              <w:pStyle w:val="17"/>
              <w:bidi w:val="0"/>
              <w:rPr>
                <w:rFonts w:hint="default"/>
                <w:color w:val="auto"/>
                <w:highlight w:val="none"/>
                <w:lang w:val="en-US" w:eastAsia="zh-CN"/>
              </w:rPr>
            </w:pPr>
            <w:r>
              <w:rPr>
                <w:color w:val="auto"/>
                <w:highlight w:val="none"/>
                <w:lang w:val="en-US" w:eastAsia="zh-CN"/>
              </w:rPr>
              <w:t>SO</w:t>
            </w:r>
            <w:r>
              <w:rPr>
                <w:color w:val="auto"/>
                <w:highlight w:val="none"/>
                <w:vertAlign w:val="subscript"/>
                <w:lang w:val="en-US" w:eastAsia="zh-CN"/>
              </w:rPr>
              <w:t>2</w:t>
            </w:r>
          </w:p>
        </w:tc>
        <w:tc>
          <w:tcPr>
            <w:tcW w:w="511" w:type="pct"/>
            <w:shd w:val="clear" w:color="auto" w:fill="auto"/>
            <w:vAlign w:val="center"/>
          </w:tcPr>
          <w:p w14:paraId="26B74734">
            <w:pPr>
              <w:pStyle w:val="17"/>
              <w:bidi w:val="0"/>
              <w:rPr>
                <w:rFonts w:hint="default"/>
                <w:color w:val="auto"/>
                <w:highlight w:val="none"/>
                <w:lang w:val="en-US" w:eastAsia="zh-CN"/>
              </w:rPr>
            </w:pPr>
            <w:r>
              <w:rPr>
                <w:rFonts w:hint="eastAsia"/>
                <w:color w:val="auto"/>
                <w:highlight w:val="none"/>
                <w:lang w:val="en-US" w:eastAsia="zh-CN"/>
              </w:rPr>
              <w:t>3.144</w:t>
            </w:r>
          </w:p>
        </w:tc>
      </w:tr>
      <w:tr w14:paraId="50BF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gridSpan w:val="2"/>
            <w:vMerge w:val="continue"/>
            <w:vAlign w:val="center"/>
          </w:tcPr>
          <w:p w14:paraId="53EDB8EE">
            <w:pPr>
              <w:pStyle w:val="17"/>
              <w:bidi w:val="0"/>
              <w:rPr>
                <w:rFonts w:hint="default"/>
                <w:color w:val="auto"/>
                <w:highlight w:val="none"/>
                <w:lang w:val="en-US" w:eastAsia="zh-CN"/>
              </w:rPr>
            </w:pPr>
          </w:p>
        </w:tc>
        <w:tc>
          <w:tcPr>
            <w:tcW w:w="3864" w:type="pct"/>
            <w:gridSpan w:val="5"/>
            <w:shd w:val="clear" w:color="auto" w:fill="auto"/>
            <w:vAlign w:val="center"/>
          </w:tcPr>
          <w:p w14:paraId="740F01A3">
            <w:pPr>
              <w:pStyle w:val="17"/>
              <w:bidi w:val="0"/>
              <w:rPr>
                <w:rFonts w:hint="default"/>
                <w:color w:val="auto"/>
                <w:highlight w:val="none"/>
                <w:lang w:val="en-US" w:eastAsia="zh-CN"/>
              </w:rPr>
            </w:pPr>
            <w:r>
              <w:rPr>
                <w:rFonts w:hint="eastAsia"/>
                <w:color w:val="auto"/>
                <w:highlight w:val="none"/>
                <w:lang w:val="en-US" w:eastAsia="zh-CN"/>
              </w:rPr>
              <w:t>CO</w:t>
            </w:r>
          </w:p>
        </w:tc>
        <w:tc>
          <w:tcPr>
            <w:tcW w:w="511" w:type="pct"/>
            <w:shd w:val="clear" w:color="auto" w:fill="auto"/>
            <w:vAlign w:val="center"/>
          </w:tcPr>
          <w:p w14:paraId="05E9661E">
            <w:pPr>
              <w:pStyle w:val="17"/>
              <w:bidi w:val="0"/>
              <w:rPr>
                <w:rFonts w:hint="default"/>
                <w:color w:val="auto"/>
                <w:highlight w:val="none"/>
                <w:lang w:val="en-US" w:eastAsia="zh-CN"/>
              </w:rPr>
            </w:pPr>
            <w:r>
              <w:rPr>
                <w:rFonts w:hint="eastAsia"/>
                <w:color w:val="auto"/>
                <w:highlight w:val="none"/>
                <w:lang w:val="en-US" w:eastAsia="zh-CN"/>
              </w:rPr>
              <w:t>1.89</w:t>
            </w:r>
          </w:p>
        </w:tc>
      </w:tr>
      <w:tr w14:paraId="4992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4" w:type="pct"/>
            <w:gridSpan w:val="2"/>
            <w:vMerge w:val="continue"/>
            <w:vAlign w:val="center"/>
          </w:tcPr>
          <w:p w14:paraId="1FEBA451">
            <w:pPr>
              <w:pStyle w:val="17"/>
              <w:bidi w:val="0"/>
              <w:rPr>
                <w:rFonts w:hint="default"/>
                <w:color w:val="auto"/>
                <w:highlight w:val="none"/>
                <w:lang w:val="en-US" w:eastAsia="zh-CN"/>
              </w:rPr>
            </w:pPr>
          </w:p>
        </w:tc>
        <w:tc>
          <w:tcPr>
            <w:tcW w:w="3864" w:type="pct"/>
            <w:gridSpan w:val="5"/>
            <w:shd w:val="clear" w:color="auto" w:fill="auto"/>
            <w:vAlign w:val="center"/>
          </w:tcPr>
          <w:p w14:paraId="3611C1A4">
            <w:pPr>
              <w:pStyle w:val="17"/>
              <w:bidi w:val="0"/>
              <w:rPr>
                <w:rFonts w:hint="default"/>
                <w:color w:val="auto"/>
                <w:highlight w:val="none"/>
                <w:lang w:val="en-US" w:eastAsia="zh-CN"/>
              </w:rPr>
            </w:pPr>
            <w:r>
              <w:rPr>
                <w:rFonts w:hint="eastAsia"/>
                <w:color w:val="auto"/>
                <w:highlight w:val="none"/>
                <w:lang w:val="en-US" w:eastAsia="zh-CN"/>
              </w:rPr>
              <w:t>非甲烷总烃</w:t>
            </w:r>
          </w:p>
        </w:tc>
        <w:tc>
          <w:tcPr>
            <w:tcW w:w="511" w:type="pct"/>
            <w:shd w:val="clear" w:color="auto" w:fill="auto"/>
            <w:vAlign w:val="center"/>
          </w:tcPr>
          <w:p w14:paraId="63DCAE62">
            <w:pPr>
              <w:pStyle w:val="17"/>
              <w:bidi w:val="0"/>
              <w:rPr>
                <w:rFonts w:hint="default"/>
                <w:color w:val="auto"/>
                <w:highlight w:val="none"/>
                <w:lang w:val="en-US" w:eastAsia="zh-CN"/>
              </w:rPr>
            </w:pPr>
            <w:r>
              <w:rPr>
                <w:rFonts w:hint="eastAsia"/>
                <w:color w:val="auto"/>
                <w:highlight w:val="none"/>
                <w:lang w:val="en-US" w:eastAsia="zh-CN"/>
              </w:rPr>
              <w:t>0.627</w:t>
            </w:r>
          </w:p>
        </w:tc>
      </w:tr>
    </w:tbl>
    <w:p w14:paraId="53C7311F">
      <w:pPr>
        <w:pStyle w:val="19"/>
        <w:bidi w:val="0"/>
        <w:rPr>
          <w:rFonts w:hint="default"/>
          <w:color w:val="auto"/>
          <w:highlight w:val="none"/>
          <w:lang w:val="en-US" w:eastAsia="zh-CN"/>
        </w:rPr>
      </w:pPr>
      <w:r>
        <w:rPr>
          <w:rFonts w:hint="eastAsia"/>
          <w:color w:val="auto"/>
          <w:highlight w:val="none"/>
          <w:lang w:val="en-US" w:eastAsia="zh-CN"/>
        </w:rPr>
        <w:t xml:space="preserve">表5.2-8   </w:t>
      </w:r>
      <w:r>
        <w:rPr>
          <w:rFonts w:hint="default"/>
          <w:color w:val="auto"/>
          <w:highlight w:val="none"/>
          <w:lang w:val="en-US" w:eastAsia="zh-CN"/>
        </w:rPr>
        <w:t>大气污染物年排放量核算表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4264"/>
        <w:gridCol w:w="3073"/>
      </w:tblGrid>
      <w:tr w14:paraId="2C76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noWrap w:val="0"/>
            <w:vAlign w:val="center"/>
          </w:tcPr>
          <w:p w14:paraId="48C1A2CE">
            <w:pPr>
              <w:pStyle w:val="17"/>
              <w:bidi w:val="0"/>
              <w:rPr>
                <w:rFonts w:hint="default"/>
                <w:color w:val="auto"/>
                <w:highlight w:val="none"/>
                <w:lang w:val="en-US" w:eastAsia="zh-CN"/>
              </w:rPr>
            </w:pPr>
            <w:r>
              <w:rPr>
                <w:rFonts w:hint="default"/>
                <w:color w:val="auto"/>
                <w:highlight w:val="none"/>
                <w:lang w:val="en-US" w:eastAsia="zh-CN"/>
              </w:rPr>
              <w:t>序号</w:t>
            </w:r>
          </w:p>
        </w:tc>
        <w:tc>
          <w:tcPr>
            <w:tcW w:w="2501" w:type="pct"/>
            <w:tcBorders>
              <w:tl2br w:val="nil"/>
              <w:tr2bl w:val="nil"/>
            </w:tcBorders>
            <w:noWrap w:val="0"/>
            <w:vAlign w:val="center"/>
          </w:tcPr>
          <w:p w14:paraId="0EBA062D">
            <w:pPr>
              <w:pStyle w:val="17"/>
              <w:bidi w:val="0"/>
              <w:rPr>
                <w:rFonts w:hint="default"/>
                <w:color w:val="auto"/>
                <w:highlight w:val="none"/>
                <w:lang w:val="en-US" w:eastAsia="zh-CN"/>
              </w:rPr>
            </w:pPr>
            <w:r>
              <w:rPr>
                <w:rFonts w:hint="default"/>
                <w:color w:val="auto"/>
                <w:highlight w:val="none"/>
                <w:lang w:val="en-US" w:eastAsia="zh-CN"/>
              </w:rPr>
              <w:t>污染物</w:t>
            </w:r>
          </w:p>
        </w:tc>
        <w:tc>
          <w:tcPr>
            <w:tcW w:w="1802" w:type="pct"/>
            <w:tcBorders>
              <w:tl2br w:val="nil"/>
              <w:tr2bl w:val="nil"/>
            </w:tcBorders>
            <w:noWrap w:val="0"/>
            <w:vAlign w:val="center"/>
          </w:tcPr>
          <w:p w14:paraId="3D2E5727">
            <w:pPr>
              <w:pStyle w:val="17"/>
              <w:bidi w:val="0"/>
              <w:rPr>
                <w:rFonts w:hint="default"/>
                <w:color w:val="auto"/>
                <w:highlight w:val="none"/>
                <w:lang w:val="en-US" w:eastAsia="zh-CN"/>
              </w:rPr>
            </w:pPr>
            <w:r>
              <w:rPr>
                <w:rFonts w:hint="default"/>
                <w:color w:val="auto"/>
                <w:highlight w:val="none"/>
                <w:lang w:val="en-US" w:eastAsia="zh-CN"/>
              </w:rPr>
              <w:t>年排放量/（t/a）</w:t>
            </w:r>
          </w:p>
        </w:tc>
      </w:tr>
      <w:tr w14:paraId="47E1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noWrap w:val="0"/>
            <w:vAlign w:val="center"/>
          </w:tcPr>
          <w:p w14:paraId="68EA6636">
            <w:pPr>
              <w:pStyle w:val="17"/>
              <w:bidi w:val="0"/>
              <w:rPr>
                <w:rFonts w:hint="default"/>
                <w:color w:val="auto"/>
                <w:highlight w:val="none"/>
                <w:lang w:val="en-US" w:eastAsia="zh-CN"/>
              </w:rPr>
            </w:pPr>
            <w:r>
              <w:rPr>
                <w:rFonts w:hint="default"/>
                <w:color w:val="auto"/>
                <w:highlight w:val="none"/>
                <w:lang w:val="en-US" w:eastAsia="zh-CN"/>
              </w:rPr>
              <w:t>1</w:t>
            </w:r>
          </w:p>
        </w:tc>
        <w:tc>
          <w:tcPr>
            <w:tcW w:w="2501" w:type="pct"/>
            <w:tcBorders>
              <w:tl2br w:val="nil"/>
              <w:tr2bl w:val="nil"/>
            </w:tcBorders>
            <w:shd w:val="clear" w:color="auto" w:fill="auto"/>
            <w:noWrap w:val="0"/>
            <w:vAlign w:val="center"/>
          </w:tcPr>
          <w:p w14:paraId="678FD12A">
            <w:pPr>
              <w:pStyle w:val="17"/>
              <w:bidi w:val="0"/>
              <w:ind w:firstLine="0" w:firstLineChars="0"/>
              <w:rPr>
                <w:rFonts w:hint="default"/>
                <w:color w:val="auto"/>
                <w:highlight w:val="none"/>
                <w:lang w:val="en-US" w:eastAsia="zh-CN"/>
              </w:rPr>
            </w:pPr>
            <w:r>
              <w:rPr>
                <w:rFonts w:hint="eastAsia"/>
                <w:color w:val="auto"/>
                <w:highlight w:val="none"/>
              </w:rPr>
              <w:t>颗粒物</w:t>
            </w:r>
          </w:p>
        </w:tc>
        <w:tc>
          <w:tcPr>
            <w:tcW w:w="1802" w:type="pct"/>
            <w:tcBorders>
              <w:tl2br w:val="nil"/>
              <w:tr2bl w:val="nil"/>
            </w:tcBorders>
            <w:shd w:val="clear" w:color="auto" w:fill="auto"/>
            <w:noWrap w:val="0"/>
            <w:vAlign w:val="center"/>
          </w:tcPr>
          <w:p w14:paraId="4DBD0D60">
            <w:pPr>
              <w:pStyle w:val="17"/>
              <w:bidi w:val="0"/>
              <w:rPr>
                <w:rFonts w:hint="default"/>
                <w:color w:val="auto"/>
                <w:highlight w:val="none"/>
                <w:lang w:val="en-US" w:eastAsia="zh-CN"/>
              </w:rPr>
            </w:pPr>
            <w:r>
              <w:rPr>
                <w:rFonts w:hint="eastAsia"/>
                <w:color w:val="auto"/>
                <w:highlight w:val="none"/>
                <w:lang w:val="en-US" w:eastAsia="zh-CN"/>
              </w:rPr>
              <w:t>22.793</w:t>
            </w:r>
          </w:p>
        </w:tc>
      </w:tr>
      <w:tr w14:paraId="2ECF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noWrap w:val="0"/>
            <w:vAlign w:val="center"/>
          </w:tcPr>
          <w:p w14:paraId="776DB30E">
            <w:pPr>
              <w:pStyle w:val="17"/>
              <w:bidi w:val="0"/>
              <w:rPr>
                <w:rFonts w:hint="default"/>
                <w:color w:val="auto"/>
                <w:highlight w:val="none"/>
                <w:lang w:val="en-US" w:eastAsia="zh-CN"/>
              </w:rPr>
            </w:pPr>
            <w:r>
              <w:rPr>
                <w:rFonts w:hint="default"/>
                <w:color w:val="auto"/>
                <w:highlight w:val="none"/>
                <w:lang w:val="en-US" w:eastAsia="zh-CN"/>
              </w:rPr>
              <w:t>2</w:t>
            </w:r>
          </w:p>
        </w:tc>
        <w:tc>
          <w:tcPr>
            <w:tcW w:w="2501" w:type="pct"/>
            <w:tcBorders>
              <w:tl2br w:val="nil"/>
              <w:tr2bl w:val="nil"/>
            </w:tcBorders>
            <w:shd w:val="clear" w:color="auto" w:fill="auto"/>
            <w:noWrap w:val="0"/>
            <w:vAlign w:val="center"/>
          </w:tcPr>
          <w:p w14:paraId="55A78BCF">
            <w:pPr>
              <w:pStyle w:val="17"/>
              <w:bidi w:val="0"/>
              <w:ind w:firstLine="0" w:firstLineChars="0"/>
              <w:rPr>
                <w:rFonts w:hint="default"/>
                <w:color w:val="auto"/>
                <w:highlight w:val="none"/>
                <w:lang w:val="en-US" w:eastAsia="zh-CN"/>
              </w:rPr>
            </w:pPr>
            <w:r>
              <w:rPr>
                <w:rFonts w:hint="eastAsia"/>
                <w:color w:val="auto"/>
                <w:highlight w:val="none"/>
                <w:lang w:eastAsia="zh-CN"/>
              </w:rPr>
              <w:t>氟化物</w:t>
            </w:r>
          </w:p>
        </w:tc>
        <w:tc>
          <w:tcPr>
            <w:tcW w:w="1802" w:type="pct"/>
            <w:tcBorders>
              <w:tl2br w:val="nil"/>
              <w:tr2bl w:val="nil"/>
            </w:tcBorders>
            <w:shd w:val="clear" w:color="auto" w:fill="auto"/>
            <w:noWrap w:val="0"/>
            <w:vAlign w:val="center"/>
          </w:tcPr>
          <w:p w14:paraId="1302275C">
            <w:pPr>
              <w:pStyle w:val="17"/>
              <w:bidi w:val="0"/>
              <w:rPr>
                <w:rFonts w:hint="default"/>
                <w:color w:val="auto"/>
                <w:highlight w:val="none"/>
                <w:lang w:val="en-US" w:eastAsia="zh-CN"/>
              </w:rPr>
            </w:pPr>
            <w:r>
              <w:rPr>
                <w:rFonts w:hint="eastAsia"/>
                <w:color w:val="auto"/>
                <w:highlight w:val="none"/>
                <w:lang w:val="en-US" w:eastAsia="zh-CN"/>
              </w:rPr>
              <w:t>1.4592</w:t>
            </w:r>
          </w:p>
        </w:tc>
      </w:tr>
      <w:tr w14:paraId="2F17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shd w:val="clear" w:color="auto" w:fill="auto"/>
            <w:noWrap w:val="0"/>
            <w:vAlign w:val="center"/>
          </w:tcPr>
          <w:p w14:paraId="5D6CD07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3</w:t>
            </w:r>
          </w:p>
        </w:tc>
        <w:tc>
          <w:tcPr>
            <w:tcW w:w="2501" w:type="pct"/>
            <w:tcBorders>
              <w:tl2br w:val="nil"/>
              <w:tr2bl w:val="nil"/>
            </w:tcBorders>
            <w:shd w:val="clear" w:color="auto" w:fill="auto"/>
            <w:noWrap w:val="0"/>
            <w:vAlign w:val="center"/>
          </w:tcPr>
          <w:p w14:paraId="77966513">
            <w:pPr>
              <w:pStyle w:val="17"/>
              <w:bidi w:val="0"/>
              <w:ind w:firstLine="0" w:firstLineChars="0"/>
              <w:rPr>
                <w:rFonts w:hint="default"/>
                <w:color w:val="auto"/>
                <w:highlight w:val="none"/>
                <w:lang w:val="en-US" w:eastAsia="zh-CN"/>
              </w:rPr>
            </w:pPr>
            <w:r>
              <w:rPr>
                <w:rFonts w:hint="eastAsia"/>
                <w:color w:val="auto"/>
                <w:highlight w:val="none"/>
                <w:lang w:val="en-US" w:eastAsia="zh-CN"/>
              </w:rPr>
              <w:t>硫酸雾</w:t>
            </w:r>
          </w:p>
        </w:tc>
        <w:tc>
          <w:tcPr>
            <w:tcW w:w="1802" w:type="pct"/>
            <w:tcBorders>
              <w:tl2br w:val="nil"/>
              <w:tr2bl w:val="nil"/>
            </w:tcBorders>
            <w:shd w:val="clear" w:color="auto" w:fill="auto"/>
            <w:noWrap w:val="0"/>
            <w:vAlign w:val="center"/>
          </w:tcPr>
          <w:p w14:paraId="445A584A">
            <w:pPr>
              <w:pStyle w:val="17"/>
              <w:bidi w:val="0"/>
              <w:rPr>
                <w:rFonts w:hint="default"/>
                <w:color w:val="auto"/>
                <w:highlight w:val="none"/>
                <w:lang w:val="en-US" w:eastAsia="zh-CN"/>
              </w:rPr>
            </w:pPr>
            <w:r>
              <w:rPr>
                <w:rFonts w:hint="eastAsia"/>
                <w:color w:val="auto"/>
                <w:highlight w:val="none"/>
                <w:lang w:val="en-US" w:eastAsia="zh-CN"/>
              </w:rPr>
              <w:t>0.1284</w:t>
            </w:r>
          </w:p>
        </w:tc>
      </w:tr>
      <w:tr w14:paraId="4DD7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shd w:val="clear" w:color="auto" w:fill="auto"/>
            <w:noWrap w:val="0"/>
            <w:vAlign w:val="center"/>
          </w:tcPr>
          <w:p w14:paraId="51BE187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4</w:t>
            </w:r>
          </w:p>
        </w:tc>
        <w:tc>
          <w:tcPr>
            <w:tcW w:w="2501" w:type="pct"/>
            <w:tcBorders>
              <w:tl2br w:val="nil"/>
              <w:tr2bl w:val="nil"/>
            </w:tcBorders>
            <w:shd w:val="clear" w:color="auto" w:fill="auto"/>
            <w:noWrap w:val="0"/>
            <w:vAlign w:val="center"/>
          </w:tcPr>
          <w:p w14:paraId="63C01BC0">
            <w:pPr>
              <w:pStyle w:val="17"/>
              <w:bidi w:val="0"/>
              <w:ind w:firstLine="0" w:firstLineChars="0"/>
              <w:rPr>
                <w:rFonts w:hint="default"/>
                <w:color w:val="auto"/>
                <w:highlight w:val="none"/>
                <w:lang w:val="en-US" w:eastAsia="zh-CN"/>
              </w:rPr>
            </w:pPr>
            <w:r>
              <w:rPr>
                <w:rFonts w:hint="eastAsia"/>
                <w:color w:val="auto"/>
                <w:highlight w:val="none"/>
                <w:lang w:val="en-US" w:eastAsia="zh-CN"/>
              </w:rPr>
              <w:t>烟尘</w:t>
            </w:r>
          </w:p>
        </w:tc>
        <w:tc>
          <w:tcPr>
            <w:tcW w:w="1802" w:type="pct"/>
            <w:tcBorders>
              <w:tl2br w:val="nil"/>
              <w:tr2bl w:val="nil"/>
            </w:tcBorders>
            <w:shd w:val="clear" w:color="auto" w:fill="auto"/>
            <w:noWrap w:val="0"/>
            <w:vAlign w:val="center"/>
          </w:tcPr>
          <w:p w14:paraId="02D65314">
            <w:pPr>
              <w:pStyle w:val="17"/>
              <w:bidi w:val="0"/>
              <w:rPr>
                <w:rFonts w:hint="default"/>
                <w:color w:val="auto"/>
                <w:highlight w:val="none"/>
                <w:lang w:val="en-US" w:eastAsia="zh-CN"/>
              </w:rPr>
            </w:pPr>
            <w:r>
              <w:rPr>
                <w:rFonts w:hint="eastAsia"/>
                <w:color w:val="auto"/>
                <w:highlight w:val="none"/>
                <w:lang w:val="en-US" w:eastAsia="zh-CN"/>
              </w:rPr>
              <w:t>0.5612</w:t>
            </w:r>
          </w:p>
        </w:tc>
      </w:tr>
      <w:tr w14:paraId="19C0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shd w:val="clear" w:color="auto" w:fill="auto"/>
            <w:noWrap w:val="0"/>
            <w:vAlign w:val="center"/>
          </w:tcPr>
          <w:p w14:paraId="769B7401">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5</w:t>
            </w:r>
          </w:p>
        </w:tc>
        <w:tc>
          <w:tcPr>
            <w:tcW w:w="2501" w:type="pct"/>
            <w:tcBorders>
              <w:tl2br w:val="nil"/>
              <w:tr2bl w:val="nil"/>
            </w:tcBorders>
            <w:shd w:val="clear" w:color="auto" w:fill="auto"/>
            <w:noWrap w:val="0"/>
            <w:vAlign w:val="center"/>
          </w:tcPr>
          <w:p w14:paraId="36644C9F">
            <w:pPr>
              <w:pStyle w:val="17"/>
              <w:bidi w:val="0"/>
              <w:ind w:firstLine="0" w:firstLineChars="0"/>
              <w:rPr>
                <w:rFonts w:hint="default"/>
                <w:color w:val="auto"/>
                <w:highlight w:val="none"/>
                <w:lang w:val="en-US" w:eastAsia="zh-CN"/>
              </w:rPr>
            </w:pPr>
            <w:r>
              <w:rPr>
                <w:color w:val="auto"/>
                <w:highlight w:val="none"/>
              </w:rPr>
              <w:t>NO</w:t>
            </w:r>
            <w:r>
              <w:rPr>
                <w:rFonts w:hint="eastAsia"/>
                <w:color w:val="auto"/>
                <w:highlight w:val="none"/>
                <w:lang w:val="en-US" w:eastAsia="zh-CN"/>
              </w:rPr>
              <w:t>x</w:t>
            </w:r>
          </w:p>
        </w:tc>
        <w:tc>
          <w:tcPr>
            <w:tcW w:w="1802" w:type="pct"/>
            <w:tcBorders>
              <w:tl2br w:val="nil"/>
              <w:tr2bl w:val="nil"/>
            </w:tcBorders>
            <w:shd w:val="clear" w:color="auto" w:fill="auto"/>
            <w:noWrap w:val="0"/>
            <w:vAlign w:val="center"/>
          </w:tcPr>
          <w:p w14:paraId="0287448A">
            <w:pPr>
              <w:pStyle w:val="17"/>
              <w:bidi w:val="0"/>
              <w:rPr>
                <w:rFonts w:hint="default"/>
                <w:color w:val="auto"/>
                <w:highlight w:val="none"/>
                <w:lang w:val="en-US" w:eastAsia="zh-CN"/>
              </w:rPr>
            </w:pPr>
            <w:r>
              <w:rPr>
                <w:rFonts w:hint="eastAsia"/>
                <w:color w:val="auto"/>
                <w:highlight w:val="none"/>
                <w:lang w:val="en-US" w:eastAsia="zh-CN"/>
              </w:rPr>
              <w:t>6.3922</w:t>
            </w:r>
          </w:p>
        </w:tc>
      </w:tr>
      <w:tr w14:paraId="42B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shd w:val="clear" w:color="auto" w:fill="auto"/>
            <w:noWrap w:val="0"/>
            <w:vAlign w:val="center"/>
          </w:tcPr>
          <w:p w14:paraId="02B5542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6</w:t>
            </w:r>
          </w:p>
        </w:tc>
        <w:tc>
          <w:tcPr>
            <w:tcW w:w="2501" w:type="pct"/>
            <w:tcBorders>
              <w:tl2br w:val="nil"/>
              <w:tr2bl w:val="nil"/>
            </w:tcBorders>
            <w:shd w:val="clear" w:color="auto" w:fill="auto"/>
            <w:noWrap w:val="0"/>
            <w:vAlign w:val="center"/>
          </w:tcPr>
          <w:p w14:paraId="094108DD">
            <w:pPr>
              <w:pStyle w:val="17"/>
              <w:bidi w:val="0"/>
              <w:ind w:firstLine="0" w:firstLineChars="0"/>
              <w:rPr>
                <w:rFonts w:hint="default"/>
                <w:color w:val="auto"/>
                <w:highlight w:val="none"/>
                <w:lang w:val="en-US" w:eastAsia="zh-CN"/>
              </w:rPr>
            </w:pPr>
            <w:r>
              <w:rPr>
                <w:color w:val="auto"/>
                <w:highlight w:val="none"/>
                <w:lang w:val="en-US" w:eastAsia="zh-CN"/>
              </w:rPr>
              <w:t>SO</w:t>
            </w:r>
            <w:r>
              <w:rPr>
                <w:color w:val="auto"/>
                <w:highlight w:val="none"/>
                <w:vertAlign w:val="subscript"/>
                <w:lang w:val="en-US" w:eastAsia="zh-CN"/>
              </w:rPr>
              <w:t>2</w:t>
            </w:r>
          </w:p>
        </w:tc>
        <w:tc>
          <w:tcPr>
            <w:tcW w:w="1802" w:type="pct"/>
            <w:tcBorders>
              <w:tl2br w:val="nil"/>
              <w:tr2bl w:val="nil"/>
            </w:tcBorders>
            <w:shd w:val="clear" w:color="auto" w:fill="auto"/>
            <w:noWrap w:val="0"/>
            <w:vAlign w:val="center"/>
          </w:tcPr>
          <w:p w14:paraId="344F3177">
            <w:pPr>
              <w:pStyle w:val="17"/>
              <w:bidi w:val="0"/>
              <w:rPr>
                <w:rFonts w:hint="default"/>
                <w:color w:val="auto"/>
                <w:highlight w:val="none"/>
                <w:lang w:val="en-US" w:eastAsia="zh-CN"/>
              </w:rPr>
            </w:pPr>
            <w:r>
              <w:rPr>
                <w:rFonts w:hint="eastAsia"/>
                <w:color w:val="auto"/>
                <w:highlight w:val="none"/>
                <w:lang w:val="en-US" w:eastAsia="zh-CN"/>
              </w:rPr>
              <w:t>3.144</w:t>
            </w:r>
          </w:p>
        </w:tc>
      </w:tr>
      <w:tr w14:paraId="1B24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shd w:val="clear" w:color="auto" w:fill="auto"/>
            <w:noWrap w:val="0"/>
            <w:vAlign w:val="center"/>
          </w:tcPr>
          <w:p w14:paraId="4B6BCB95">
            <w:pPr>
              <w:pStyle w:val="17"/>
              <w:bidi w:val="0"/>
              <w:ind w:firstLine="0" w:firstLineChars="0"/>
              <w:rPr>
                <w:rFonts w:hint="eastAsia"/>
                <w:color w:val="auto"/>
                <w:highlight w:val="none"/>
                <w:lang w:val="en-US" w:eastAsia="zh-CN"/>
              </w:rPr>
            </w:pPr>
            <w:r>
              <w:rPr>
                <w:rFonts w:hint="eastAsia"/>
                <w:color w:val="auto"/>
                <w:highlight w:val="none"/>
                <w:lang w:val="en-US" w:eastAsia="zh-CN"/>
              </w:rPr>
              <w:t>7</w:t>
            </w:r>
          </w:p>
        </w:tc>
        <w:tc>
          <w:tcPr>
            <w:tcW w:w="2501" w:type="pct"/>
            <w:tcBorders>
              <w:tl2br w:val="nil"/>
              <w:tr2bl w:val="nil"/>
            </w:tcBorders>
            <w:shd w:val="clear" w:color="auto" w:fill="auto"/>
            <w:noWrap w:val="0"/>
            <w:vAlign w:val="center"/>
          </w:tcPr>
          <w:p w14:paraId="45DB704A">
            <w:pPr>
              <w:pStyle w:val="17"/>
              <w:bidi w:val="0"/>
              <w:ind w:firstLine="0" w:firstLineChars="0"/>
              <w:rPr>
                <w:rFonts w:hint="default"/>
                <w:color w:val="auto"/>
                <w:highlight w:val="none"/>
                <w:lang w:val="en-US" w:eastAsia="zh-CN"/>
              </w:rPr>
            </w:pPr>
            <w:r>
              <w:rPr>
                <w:rFonts w:hint="eastAsia"/>
                <w:color w:val="auto"/>
                <w:highlight w:val="none"/>
                <w:lang w:val="en-US" w:eastAsia="zh-CN"/>
              </w:rPr>
              <w:t>CO</w:t>
            </w:r>
          </w:p>
        </w:tc>
        <w:tc>
          <w:tcPr>
            <w:tcW w:w="1802" w:type="pct"/>
            <w:tcBorders>
              <w:tl2br w:val="nil"/>
              <w:tr2bl w:val="nil"/>
            </w:tcBorders>
            <w:shd w:val="clear" w:color="auto" w:fill="auto"/>
            <w:noWrap w:val="0"/>
            <w:vAlign w:val="center"/>
          </w:tcPr>
          <w:p w14:paraId="7AAC7820">
            <w:pPr>
              <w:pStyle w:val="17"/>
              <w:bidi w:val="0"/>
              <w:rPr>
                <w:rFonts w:hint="default"/>
                <w:color w:val="auto"/>
                <w:highlight w:val="none"/>
                <w:lang w:val="en-US" w:eastAsia="zh-CN"/>
              </w:rPr>
            </w:pPr>
            <w:r>
              <w:rPr>
                <w:rFonts w:hint="eastAsia"/>
                <w:color w:val="auto"/>
                <w:highlight w:val="none"/>
                <w:lang w:val="en-US" w:eastAsia="zh-CN"/>
              </w:rPr>
              <w:t>1.89</w:t>
            </w:r>
          </w:p>
        </w:tc>
      </w:tr>
      <w:tr w14:paraId="7ED4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5" w:type="pct"/>
            <w:tcBorders>
              <w:tl2br w:val="nil"/>
              <w:tr2bl w:val="nil"/>
            </w:tcBorders>
            <w:noWrap w:val="0"/>
            <w:vAlign w:val="center"/>
          </w:tcPr>
          <w:p w14:paraId="6CC3E544">
            <w:pPr>
              <w:pStyle w:val="17"/>
              <w:bidi w:val="0"/>
              <w:rPr>
                <w:rFonts w:hint="default"/>
                <w:color w:val="auto"/>
                <w:highlight w:val="none"/>
                <w:lang w:val="en-US" w:eastAsia="zh-CN"/>
              </w:rPr>
            </w:pPr>
            <w:r>
              <w:rPr>
                <w:rFonts w:hint="eastAsia"/>
                <w:color w:val="auto"/>
                <w:highlight w:val="none"/>
                <w:lang w:val="en-US" w:eastAsia="zh-CN"/>
              </w:rPr>
              <w:t>8</w:t>
            </w:r>
          </w:p>
        </w:tc>
        <w:tc>
          <w:tcPr>
            <w:tcW w:w="2501" w:type="pct"/>
            <w:tcBorders>
              <w:tl2br w:val="nil"/>
              <w:tr2bl w:val="nil"/>
            </w:tcBorders>
            <w:shd w:val="clear" w:color="auto" w:fill="auto"/>
            <w:noWrap w:val="0"/>
            <w:vAlign w:val="center"/>
          </w:tcPr>
          <w:p w14:paraId="74B2AE5B">
            <w:pPr>
              <w:pStyle w:val="17"/>
              <w:bidi w:val="0"/>
              <w:ind w:firstLine="0" w:firstLineChars="0"/>
              <w:rPr>
                <w:rFonts w:hint="default"/>
                <w:color w:val="auto"/>
                <w:highlight w:val="none"/>
                <w:lang w:val="en-US" w:eastAsia="zh-CN"/>
              </w:rPr>
            </w:pPr>
            <w:r>
              <w:rPr>
                <w:rFonts w:hint="eastAsia"/>
                <w:color w:val="auto"/>
                <w:highlight w:val="none"/>
                <w:lang w:val="en-US" w:eastAsia="zh-CN"/>
              </w:rPr>
              <w:t>非甲烷总烃</w:t>
            </w:r>
          </w:p>
        </w:tc>
        <w:tc>
          <w:tcPr>
            <w:tcW w:w="1802" w:type="pct"/>
            <w:tcBorders>
              <w:tl2br w:val="nil"/>
              <w:tr2bl w:val="nil"/>
            </w:tcBorders>
            <w:shd w:val="clear" w:color="auto" w:fill="auto"/>
            <w:noWrap w:val="0"/>
            <w:vAlign w:val="center"/>
          </w:tcPr>
          <w:p w14:paraId="32EDA6BE">
            <w:pPr>
              <w:pStyle w:val="17"/>
              <w:bidi w:val="0"/>
              <w:rPr>
                <w:rFonts w:hint="default"/>
                <w:color w:val="auto"/>
                <w:highlight w:val="none"/>
                <w:lang w:val="en-US" w:eastAsia="zh-CN"/>
              </w:rPr>
            </w:pPr>
            <w:r>
              <w:rPr>
                <w:rFonts w:hint="eastAsia"/>
                <w:color w:val="auto"/>
                <w:highlight w:val="none"/>
                <w:lang w:val="en-US" w:eastAsia="zh-CN"/>
              </w:rPr>
              <w:t>0.627</w:t>
            </w:r>
          </w:p>
        </w:tc>
      </w:tr>
    </w:tbl>
    <w:p w14:paraId="1D5EB721">
      <w:pPr>
        <w:pStyle w:val="7"/>
        <w:bidi w:val="0"/>
        <w:rPr>
          <w:color w:val="auto"/>
          <w:highlight w:val="none"/>
        </w:rPr>
      </w:pPr>
      <w:r>
        <w:rPr>
          <w:color w:val="auto"/>
          <w:highlight w:val="none"/>
        </w:rPr>
        <w:t>5.2.</w:t>
      </w:r>
      <w:r>
        <w:rPr>
          <w:rFonts w:hint="eastAsia"/>
          <w:color w:val="auto"/>
          <w:highlight w:val="none"/>
        </w:rPr>
        <w:t>1.</w:t>
      </w:r>
      <w:r>
        <w:rPr>
          <w:rFonts w:hint="eastAsia"/>
          <w:color w:val="auto"/>
          <w:highlight w:val="none"/>
          <w:lang w:val="en-US" w:eastAsia="zh-CN"/>
        </w:rPr>
        <w:t>4大气环境影响评价自查表</w:t>
      </w:r>
    </w:p>
    <w:p w14:paraId="339F2DAB">
      <w:pPr>
        <w:overflowPunct w:val="0"/>
        <w:topLinePunct/>
        <w:ind w:firstLine="480"/>
        <w:rPr>
          <w:rFonts w:hint="eastAsia" w:ascii="Times New Roman" w:hAnsi="Times New Roman" w:eastAsia="宋体" w:cs="Times New Roman"/>
          <w:color w:val="auto"/>
          <w:sz w:val="24"/>
          <w:highlight w:val="none"/>
          <w:shd w:val="clear" w:color="auto" w:fill="FFFFFF"/>
        </w:rPr>
      </w:pPr>
      <w:r>
        <w:rPr>
          <w:rFonts w:hint="eastAsia" w:ascii="Times New Roman" w:hAnsi="Times New Roman" w:eastAsia="宋体" w:cs="Times New Roman"/>
          <w:color w:val="auto"/>
          <w:sz w:val="24"/>
          <w:highlight w:val="none"/>
          <w:shd w:val="clear" w:color="auto" w:fill="FFFFFF"/>
          <w:lang w:val="en-US" w:eastAsia="zh-CN"/>
        </w:rPr>
        <w:t>本项目大气环境影响评价自查表见表5.2-</w:t>
      </w:r>
      <w:r>
        <w:rPr>
          <w:rFonts w:hint="eastAsia" w:cs="Times New Roman"/>
          <w:color w:val="auto"/>
          <w:sz w:val="24"/>
          <w:highlight w:val="none"/>
          <w:shd w:val="clear" w:color="auto" w:fill="FFFFFF"/>
          <w:lang w:val="en-US" w:eastAsia="zh-CN"/>
        </w:rPr>
        <w:t>9</w:t>
      </w:r>
      <w:r>
        <w:rPr>
          <w:rFonts w:hint="eastAsia" w:ascii="Times New Roman" w:hAnsi="Times New Roman" w:eastAsia="宋体" w:cs="Times New Roman"/>
          <w:color w:val="auto"/>
          <w:sz w:val="24"/>
          <w:highlight w:val="none"/>
          <w:shd w:val="clear" w:color="auto" w:fill="FFFFFF"/>
          <w:lang w:val="en-US" w:eastAsia="zh-CN"/>
        </w:rPr>
        <w:t>。</w:t>
      </w:r>
    </w:p>
    <w:p w14:paraId="1B9334D5">
      <w:pPr>
        <w:widowControl/>
        <w:autoSpaceDE w:val="0"/>
        <w:autoSpaceDN w:val="0"/>
        <w:adjustRightInd w:val="0"/>
        <w:spacing w:after="0"/>
        <w:ind w:left="0" w:leftChars="0" w:firstLine="0" w:firstLineChars="0"/>
        <w:jc w:val="center"/>
        <w:textAlignment w:val="baseline"/>
        <w:rPr>
          <w:b/>
          <w:bCs/>
          <w:color w:val="auto"/>
          <w:sz w:val="24"/>
          <w:highlight w:val="none"/>
          <w:shd w:val="clear" w:color="auto" w:fill="FFFFFF"/>
        </w:rPr>
      </w:pPr>
      <w:r>
        <w:rPr>
          <w:b/>
          <w:bCs/>
          <w:color w:val="auto"/>
          <w:sz w:val="24"/>
          <w:highlight w:val="none"/>
          <w:shd w:val="clear" w:color="auto" w:fill="FFFFFF"/>
        </w:rPr>
        <w:t>表5.2-</w:t>
      </w:r>
      <w:r>
        <w:rPr>
          <w:rFonts w:hint="eastAsia"/>
          <w:b/>
          <w:bCs/>
          <w:color w:val="auto"/>
          <w:sz w:val="24"/>
          <w:highlight w:val="none"/>
          <w:shd w:val="clear" w:color="auto" w:fill="FFFFFF"/>
          <w:lang w:val="en-US" w:eastAsia="zh-CN"/>
        </w:rPr>
        <w:t>9</w:t>
      </w:r>
      <w:r>
        <w:rPr>
          <w:b/>
          <w:bCs/>
          <w:color w:val="auto"/>
          <w:sz w:val="24"/>
          <w:highlight w:val="none"/>
          <w:shd w:val="clear" w:color="auto" w:fill="FFFFFF"/>
        </w:rPr>
        <w:t xml:space="preserve">    大气环境影响评价自查表</w:t>
      </w:r>
    </w:p>
    <w:tbl>
      <w:tblPr>
        <w:tblStyle w:val="13"/>
        <w:tblW w:w="8334"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535"/>
        <w:gridCol w:w="1421"/>
        <w:gridCol w:w="921"/>
        <w:gridCol w:w="662"/>
        <w:gridCol w:w="136"/>
        <w:gridCol w:w="253"/>
        <w:gridCol w:w="215"/>
        <w:gridCol w:w="278"/>
        <w:gridCol w:w="372"/>
        <w:gridCol w:w="675"/>
        <w:gridCol w:w="111"/>
        <w:gridCol w:w="426"/>
        <w:gridCol w:w="135"/>
        <w:gridCol w:w="525"/>
        <w:gridCol w:w="419"/>
        <w:gridCol w:w="901"/>
        <w:gridCol w:w="349"/>
      </w:tblGrid>
      <w:tr w14:paraId="0E9EC34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956" w:type="dxa"/>
            <w:gridSpan w:val="2"/>
            <w:shd w:val="clear" w:color="auto" w:fill="auto"/>
            <w:vAlign w:val="center"/>
          </w:tcPr>
          <w:p w14:paraId="44341FDA">
            <w:pPr>
              <w:pStyle w:val="17"/>
              <w:bidi w:val="0"/>
              <w:rPr>
                <w:color w:val="auto"/>
                <w:highlight w:val="none"/>
              </w:rPr>
            </w:pPr>
            <w:r>
              <w:rPr>
                <w:color w:val="auto"/>
                <w:highlight w:val="none"/>
              </w:rPr>
              <w:t>工作内容</w:t>
            </w:r>
          </w:p>
        </w:tc>
        <w:tc>
          <w:tcPr>
            <w:tcW w:w="6378" w:type="dxa"/>
            <w:gridSpan w:val="15"/>
            <w:shd w:val="clear" w:color="auto" w:fill="auto"/>
            <w:vAlign w:val="center"/>
          </w:tcPr>
          <w:p w14:paraId="381AD752">
            <w:pPr>
              <w:pStyle w:val="17"/>
              <w:bidi w:val="0"/>
              <w:rPr>
                <w:color w:val="auto"/>
                <w:highlight w:val="none"/>
              </w:rPr>
            </w:pPr>
            <w:r>
              <w:rPr>
                <w:color w:val="auto"/>
                <w:highlight w:val="none"/>
              </w:rPr>
              <w:t>自查项目</w:t>
            </w:r>
          </w:p>
        </w:tc>
      </w:tr>
      <w:tr w14:paraId="3CB1A2F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restart"/>
            <w:shd w:val="clear" w:color="auto" w:fill="auto"/>
            <w:vAlign w:val="center"/>
          </w:tcPr>
          <w:p w14:paraId="0A432526">
            <w:pPr>
              <w:pStyle w:val="17"/>
              <w:bidi w:val="0"/>
              <w:rPr>
                <w:color w:val="auto"/>
                <w:highlight w:val="none"/>
              </w:rPr>
            </w:pPr>
            <w:r>
              <w:rPr>
                <w:color w:val="auto"/>
                <w:highlight w:val="none"/>
              </w:rPr>
              <w:t>评价等级与范围</w:t>
            </w:r>
          </w:p>
        </w:tc>
        <w:tc>
          <w:tcPr>
            <w:tcW w:w="1421" w:type="dxa"/>
            <w:shd w:val="clear" w:color="auto" w:fill="auto"/>
            <w:vAlign w:val="center"/>
          </w:tcPr>
          <w:p w14:paraId="68414793">
            <w:pPr>
              <w:pStyle w:val="17"/>
              <w:bidi w:val="0"/>
              <w:rPr>
                <w:color w:val="auto"/>
                <w:highlight w:val="none"/>
              </w:rPr>
            </w:pPr>
            <w:r>
              <w:rPr>
                <w:color w:val="auto"/>
                <w:highlight w:val="none"/>
              </w:rPr>
              <w:t>评价等级</w:t>
            </w:r>
          </w:p>
        </w:tc>
        <w:tc>
          <w:tcPr>
            <w:tcW w:w="2465" w:type="dxa"/>
            <w:gridSpan w:val="6"/>
            <w:shd w:val="clear" w:color="auto" w:fill="auto"/>
            <w:vAlign w:val="center"/>
          </w:tcPr>
          <w:p w14:paraId="68E5C350">
            <w:pPr>
              <w:pStyle w:val="17"/>
              <w:bidi w:val="0"/>
              <w:rPr>
                <w:rFonts w:hint="eastAsia" w:eastAsia="宋体"/>
                <w:color w:val="auto"/>
                <w:highlight w:val="none"/>
                <w:lang w:eastAsia="zh-CN"/>
              </w:rPr>
            </w:pPr>
            <w:r>
              <w:rPr>
                <w:color w:val="auto"/>
                <w:highlight w:val="none"/>
              </w:rPr>
              <w:t>一级</w:t>
            </w:r>
            <w:r>
              <w:rPr>
                <w:rFonts w:hint="eastAsia"/>
                <w:color w:val="auto"/>
                <w:highlight w:val="none"/>
                <w:lang w:eastAsia="zh-CN"/>
              </w:rPr>
              <w:t>□</w:t>
            </w:r>
          </w:p>
        </w:tc>
        <w:tc>
          <w:tcPr>
            <w:tcW w:w="2244" w:type="dxa"/>
            <w:gridSpan w:val="6"/>
            <w:shd w:val="clear" w:color="auto" w:fill="auto"/>
            <w:vAlign w:val="center"/>
          </w:tcPr>
          <w:p w14:paraId="0ADFDEBE">
            <w:pPr>
              <w:pStyle w:val="17"/>
              <w:bidi w:val="0"/>
              <w:rPr>
                <w:rFonts w:hint="eastAsia" w:eastAsia="宋体"/>
                <w:color w:val="auto"/>
                <w:highlight w:val="none"/>
                <w:lang w:eastAsia="zh-CN"/>
              </w:rPr>
            </w:pPr>
            <w:r>
              <w:rPr>
                <w:color w:val="auto"/>
                <w:highlight w:val="none"/>
              </w:rPr>
              <w:t>二级</w:t>
            </w:r>
            <w:r>
              <w:rPr>
                <w:rFonts w:hint="eastAsia"/>
                <w:color w:val="auto"/>
                <w:highlight w:val="none"/>
                <w:lang w:eastAsia="zh-CN"/>
              </w:rPr>
              <w:t>☑</w:t>
            </w:r>
          </w:p>
        </w:tc>
        <w:tc>
          <w:tcPr>
            <w:tcW w:w="1669" w:type="dxa"/>
            <w:gridSpan w:val="3"/>
            <w:shd w:val="clear" w:color="auto" w:fill="auto"/>
            <w:vAlign w:val="center"/>
          </w:tcPr>
          <w:p w14:paraId="31056A94">
            <w:pPr>
              <w:pStyle w:val="17"/>
              <w:bidi w:val="0"/>
              <w:rPr>
                <w:rFonts w:hint="eastAsia" w:eastAsia="宋体"/>
                <w:color w:val="auto"/>
                <w:highlight w:val="none"/>
                <w:lang w:eastAsia="zh-CN"/>
              </w:rPr>
            </w:pPr>
            <w:r>
              <w:rPr>
                <w:color w:val="auto"/>
                <w:highlight w:val="none"/>
              </w:rPr>
              <w:t>三级</w:t>
            </w:r>
            <w:r>
              <w:rPr>
                <w:rFonts w:hint="eastAsia"/>
                <w:color w:val="auto"/>
                <w:highlight w:val="none"/>
                <w:lang w:eastAsia="zh-CN"/>
              </w:rPr>
              <w:t>□</w:t>
            </w:r>
          </w:p>
        </w:tc>
      </w:tr>
      <w:tr w14:paraId="3637C10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2F001559">
            <w:pPr>
              <w:pStyle w:val="17"/>
              <w:bidi w:val="0"/>
              <w:rPr>
                <w:color w:val="auto"/>
                <w:highlight w:val="none"/>
              </w:rPr>
            </w:pPr>
          </w:p>
        </w:tc>
        <w:tc>
          <w:tcPr>
            <w:tcW w:w="1421" w:type="dxa"/>
            <w:shd w:val="clear" w:color="auto" w:fill="auto"/>
            <w:vAlign w:val="center"/>
          </w:tcPr>
          <w:p w14:paraId="19C67222">
            <w:pPr>
              <w:pStyle w:val="17"/>
              <w:bidi w:val="0"/>
              <w:rPr>
                <w:color w:val="auto"/>
                <w:highlight w:val="none"/>
              </w:rPr>
            </w:pPr>
            <w:r>
              <w:rPr>
                <w:color w:val="auto"/>
                <w:highlight w:val="none"/>
              </w:rPr>
              <w:t>评价范围</w:t>
            </w:r>
          </w:p>
        </w:tc>
        <w:tc>
          <w:tcPr>
            <w:tcW w:w="2465" w:type="dxa"/>
            <w:gridSpan w:val="6"/>
            <w:shd w:val="clear" w:color="auto" w:fill="auto"/>
            <w:vAlign w:val="center"/>
          </w:tcPr>
          <w:p w14:paraId="572620B3">
            <w:pPr>
              <w:pStyle w:val="17"/>
              <w:bidi w:val="0"/>
              <w:rPr>
                <w:rFonts w:hint="eastAsia" w:eastAsia="宋体"/>
                <w:color w:val="auto"/>
                <w:highlight w:val="none"/>
                <w:lang w:eastAsia="zh-CN"/>
              </w:rPr>
            </w:pPr>
            <w:r>
              <w:rPr>
                <w:color w:val="auto"/>
                <w:highlight w:val="none"/>
              </w:rPr>
              <w:t>边长=50km</w:t>
            </w:r>
            <w:r>
              <w:rPr>
                <w:rFonts w:hint="eastAsia"/>
                <w:color w:val="auto"/>
                <w:highlight w:val="none"/>
                <w:lang w:eastAsia="zh-CN"/>
              </w:rPr>
              <w:t>□</w:t>
            </w:r>
          </w:p>
        </w:tc>
        <w:tc>
          <w:tcPr>
            <w:tcW w:w="2244" w:type="dxa"/>
            <w:gridSpan w:val="6"/>
            <w:shd w:val="clear" w:color="auto" w:fill="auto"/>
            <w:vAlign w:val="center"/>
          </w:tcPr>
          <w:p w14:paraId="5B883FD7">
            <w:pPr>
              <w:pStyle w:val="17"/>
              <w:bidi w:val="0"/>
              <w:rPr>
                <w:rFonts w:hint="eastAsia" w:eastAsia="宋体"/>
                <w:color w:val="auto"/>
                <w:highlight w:val="none"/>
                <w:lang w:eastAsia="zh-CN"/>
              </w:rPr>
            </w:pPr>
            <w:r>
              <w:rPr>
                <w:color w:val="auto"/>
                <w:highlight w:val="none"/>
              </w:rPr>
              <w:t>边长=5～50km</w:t>
            </w:r>
            <w:r>
              <w:rPr>
                <w:rFonts w:hint="eastAsia"/>
                <w:color w:val="auto"/>
                <w:highlight w:val="none"/>
                <w:lang w:eastAsia="zh-CN"/>
              </w:rPr>
              <w:t>□</w:t>
            </w:r>
          </w:p>
        </w:tc>
        <w:tc>
          <w:tcPr>
            <w:tcW w:w="1669" w:type="dxa"/>
            <w:gridSpan w:val="3"/>
            <w:shd w:val="clear" w:color="auto" w:fill="auto"/>
            <w:vAlign w:val="center"/>
          </w:tcPr>
          <w:p w14:paraId="699C27B8">
            <w:pPr>
              <w:pStyle w:val="17"/>
              <w:bidi w:val="0"/>
              <w:rPr>
                <w:rFonts w:hint="eastAsia" w:eastAsia="宋体"/>
                <w:color w:val="auto"/>
                <w:highlight w:val="none"/>
                <w:lang w:eastAsia="zh-CN"/>
              </w:rPr>
            </w:pPr>
            <w:r>
              <w:rPr>
                <w:color w:val="auto"/>
                <w:highlight w:val="none"/>
              </w:rPr>
              <w:t>边长=5km</w:t>
            </w:r>
            <w:r>
              <w:rPr>
                <w:rFonts w:hint="eastAsia"/>
                <w:color w:val="auto"/>
                <w:highlight w:val="none"/>
                <w:lang w:eastAsia="zh-CN"/>
              </w:rPr>
              <w:t>☑</w:t>
            </w:r>
          </w:p>
        </w:tc>
      </w:tr>
      <w:tr w14:paraId="3C7BD43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restart"/>
            <w:shd w:val="clear" w:color="auto" w:fill="auto"/>
            <w:vAlign w:val="center"/>
          </w:tcPr>
          <w:p w14:paraId="17D84B86">
            <w:pPr>
              <w:pStyle w:val="17"/>
              <w:bidi w:val="0"/>
              <w:rPr>
                <w:color w:val="auto"/>
                <w:highlight w:val="none"/>
              </w:rPr>
            </w:pPr>
            <w:r>
              <w:rPr>
                <w:color w:val="auto"/>
                <w:highlight w:val="none"/>
              </w:rPr>
              <w:t>评价因子</w:t>
            </w:r>
          </w:p>
        </w:tc>
        <w:tc>
          <w:tcPr>
            <w:tcW w:w="1421" w:type="dxa"/>
            <w:shd w:val="clear" w:color="auto" w:fill="auto"/>
            <w:vAlign w:val="center"/>
          </w:tcPr>
          <w:p w14:paraId="4B28178E">
            <w:pPr>
              <w:pStyle w:val="17"/>
              <w:bidi w:val="0"/>
              <w:rPr>
                <w:color w:val="auto"/>
                <w:highlight w:val="none"/>
              </w:rPr>
            </w:pPr>
            <w:r>
              <w:rPr>
                <w:color w:val="auto"/>
                <w:highlight w:val="none"/>
              </w:rPr>
              <w:t>SO</w:t>
            </w:r>
            <w:r>
              <w:rPr>
                <w:color w:val="auto"/>
                <w:highlight w:val="none"/>
                <w:vertAlign w:val="subscript"/>
              </w:rPr>
              <w:t>2</w:t>
            </w:r>
            <w:r>
              <w:rPr>
                <w:color w:val="auto"/>
                <w:highlight w:val="none"/>
              </w:rPr>
              <w:t>+NOx排放量</w:t>
            </w:r>
          </w:p>
        </w:tc>
        <w:tc>
          <w:tcPr>
            <w:tcW w:w="1719" w:type="dxa"/>
            <w:gridSpan w:val="3"/>
            <w:shd w:val="clear" w:color="auto" w:fill="auto"/>
            <w:vAlign w:val="center"/>
          </w:tcPr>
          <w:p w14:paraId="0C04B020">
            <w:pPr>
              <w:pStyle w:val="17"/>
              <w:bidi w:val="0"/>
              <w:rPr>
                <w:rFonts w:hint="eastAsia" w:eastAsia="宋体"/>
                <w:color w:val="auto"/>
                <w:highlight w:val="none"/>
                <w:lang w:eastAsia="zh-CN"/>
              </w:rPr>
            </w:pPr>
            <w:r>
              <w:rPr>
                <w:color w:val="auto"/>
                <w:highlight w:val="none"/>
              </w:rPr>
              <w:t>≥2000t/a</w:t>
            </w:r>
            <w:r>
              <w:rPr>
                <w:rFonts w:hint="eastAsia"/>
                <w:color w:val="auto"/>
                <w:highlight w:val="none"/>
                <w:lang w:eastAsia="zh-CN"/>
              </w:rPr>
              <w:t>□</w:t>
            </w:r>
          </w:p>
        </w:tc>
        <w:tc>
          <w:tcPr>
            <w:tcW w:w="1793" w:type="dxa"/>
            <w:gridSpan w:val="5"/>
            <w:shd w:val="clear" w:color="auto" w:fill="auto"/>
            <w:vAlign w:val="center"/>
          </w:tcPr>
          <w:p w14:paraId="1D7120F5">
            <w:pPr>
              <w:pStyle w:val="17"/>
              <w:bidi w:val="0"/>
              <w:rPr>
                <w:rFonts w:hint="eastAsia" w:eastAsia="宋体"/>
                <w:color w:val="auto"/>
                <w:highlight w:val="none"/>
                <w:lang w:eastAsia="zh-CN"/>
              </w:rPr>
            </w:pPr>
            <w:r>
              <w:rPr>
                <w:color w:val="auto"/>
                <w:highlight w:val="none"/>
              </w:rPr>
              <w:t>500</w:t>
            </w:r>
            <w:r>
              <w:rPr>
                <w:rFonts w:hint="eastAsia"/>
                <w:color w:val="auto"/>
                <w:highlight w:val="none"/>
                <w:lang w:eastAsia="zh-CN"/>
              </w:rPr>
              <w:t>~</w:t>
            </w:r>
            <w:r>
              <w:rPr>
                <w:color w:val="auto"/>
                <w:highlight w:val="none"/>
              </w:rPr>
              <w:t>2000t/a</w:t>
            </w:r>
            <w:r>
              <w:rPr>
                <w:rFonts w:hint="eastAsia"/>
                <w:color w:val="auto"/>
                <w:highlight w:val="none"/>
                <w:lang w:eastAsia="zh-CN"/>
              </w:rPr>
              <w:t>□</w:t>
            </w:r>
          </w:p>
        </w:tc>
        <w:tc>
          <w:tcPr>
            <w:tcW w:w="2866" w:type="dxa"/>
            <w:gridSpan w:val="7"/>
            <w:shd w:val="clear" w:color="auto" w:fill="auto"/>
            <w:vAlign w:val="center"/>
          </w:tcPr>
          <w:p w14:paraId="62300107">
            <w:pPr>
              <w:pStyle w:val="17"/>
              <w:bidi w:val="0"/>
              <w:rPr>
                <w:color w:val="auto"/>
                <w:highlight w:val="none"/>
              </w:rPr>
            </w:pPr>
            <w:r>
              <w:rPr>
                <w:color w:val="auto"/>
                <w:highlight w:val="none"/>
              </w:rPr>
              <w:t>&lt;500t/a</w:t>
            </w:r>
            <w:r>
              <w:rPr>
                <w:rFonts w:hint="eastAsia"/>
                <w:color w:val="auto"/>
                <w:highlight w:val="none"/>
                <w:lang w:eastAsia="zh-CN"/>
              </w:rPr>
              <w:t>☑</w:t>
            </w:r>
          </w:p>
        </w:tc>
      </w:tr>
      <w:tr w14:paraId="18124C2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6F9F5C38">
            <w:pPr>
              <w:pStyle w:val="17"/>
              <w:bidi w:val="0"/>
              <w:rPr>
                <w:color w:val="auto"/>
                <w:highlight w:val="none"/>
              </w:rPr>
            </w:pPr>
          </w:p>
        </w:tc>
        <w:tc>
          <w:tcPr>
            <w:tcW w:w="1421" w:type="dxa"/>
            <w:shd w:val="clear" w:color="auto" w:fill="auto"/>
            <w:vAlign w:val="center"/>
          </w:tcPr>
          <w:p w14:paraId="5D5CCEA5">
            <w:pPr>
              <w:pStyle w:val="17"/>
              <w:bidi w:val="0"/>
              <w:rPr>
                <w:color w:val="auto"/>
                <w:highlight w:val="none"/>
              </w:rPr>
            </w:pPr>
            <w:r>
              <w:rPr>
                <w:color w:val="auto"/>
                <w:highlight w:val="none"/>
              </w:rPr>
              <w:t>评价因子</w:t>
            </w:r>
          </w:p>
        </w:tc>
        <w:tc>
          <w:tcPr>
            <w:tcW w:w="3512" w:type="dxa"/>
            <w:gridSpan w:val="8"/>
            <w:shd w:val="clear" w:color="auto" w:fill="auto"/>
            <w:vAlign w:val="center"/>
          </w:tcPr>
          <w:p w14:paraId="460347F6">
            <w:pPr>
              <w:pStyle w:val="17"/>
              <w:bidi w:val="0"/>
              <w:rPr>
                <w:color w:val="auto"/>
                <w:highlight w:val="none"/>
              </w:rPr>
            </w:pPr>
            <w:r>
              <w:rPr>
                <w:color w:val="auto"/>
                <w:highlight w:val="none"/>
              </w:rPr>
              <w:t>基本污染物</w:t>
            </w:r>
            <w:r>
              <w:rPr>
                <w:rFonts w:hint="eastAsia"/>
                <w:color w:val="auto"/>
                <w:highlight w:val="none"/>
                <w:lang w:eastAsia="zh-CN"/>
              </w:rPr>
              <w:t>（</w:t>
            </w:r>
            <w:r>
              <w:rPr>
                <w:color w:val="auto"/>
                <w:highlight w:val="none"/>
              </w:rPr>
              <w:t>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、PM</w:t>
            </w:r>
            <w:r>
              <w:rPr>
                <w:color w:val="auto"/>
                <w:highlight w:val="none"/>
                <w:vertAlign w:val="subscript"/>
              </w:rPr>
              <w:t>10</w:t>
            </w:r>
            <w:r>
              <w:rPr>
                <w:color w:val="auto"/>
                <w:highlight w:val="none"/>
              </w:rPr>
              <w:t>、PM</w:t>
            </w:r>
            <w:r>
              <w:rPr>
                <w:color w:val="auto"/>
                <w:highlight w:val="none"/>
                <w:vertAlign w:val="subscript"/>
              </w:rPr>
              <w:t>2.5</w:t>
            </w:r>
            <w:r>
              <w:rPr>
                <w:color w:val="auto"/>
                <w:highlight w:val="none"/>
              </w:rPr>
              <w:t>、CO、O</w:t>
            </w:r>
            <w:r>
              <w:rPr>
                <w:color w:val="auto"/>
                <w:highlight w:val="none"/>
                <w:vertAlign w:val="subscript"/>
              </w:rPr>
              <w:t>3</w:t>
            </w:r>
            <w:r>
              <w:rPr>
                <w:color w:val="auto"/>
                <w:highlight w:val="none"/>
              </w:rPr>
              <w:t>）</w:t>
            </w:r>
          </w:p>
          <w:p w14:paraId="018F5E54">
            <w:pPr>
              <w:pStyle w:val="17"/>
              <w:bidi w:val="0"/>
              <w:rPr>
                <w:color w:val="auto"/>
                <w:highlight w:val="none"/>
              </w:rPr>
            </w:pPr>
            <w:r>
              <w:rPr>
                <w:color w:val="auto"/>
                <w:highlight w:val="none"/>
              </w:rPr>
              <w:t>其他污染物</w:t>
            </w:r>
            <w:r>
              <w:rPr>
                <w:rFonts w:hint="eastAsia"/>
                <w:color w:val="auto"/>
                <w:highlight w:val="none"/>
                <w:lang w:eastAsia="zh-CN"/>
              </w:rPr>
              <w:t>（</w:t>
            </w:r>
            <w:r>
              <w:rPr>
                <w:color w:val="auto"/>
                <w:highlight w:val="none"/>
              </w:rPr>
              <w:t>TSP、PM</w:t>
            </w:r>
            <w:r>
              <w:rPr>
                <w:color w:val="auto"/>
                <w:highlight w:val="none"/>
                <w:vertAlign w:val="subscript"/>
              </w:rPr>
              <w:t>10</w:t>
            </w:r>
            <w:r>
              <w:rPr>
                <w:rFonts w:hint="eastAsia"/>
                <w:color w:val="auto"/>
                <w:highlight w:val="none"/>
                <w:lang w:eastAsia="zh-CN"/>
              </w:rPr>
              <w:t>、氟化物、</w:t>
            </w:r>
            <w:r>
              <w:rPr>
                <w:rFonts w:hint="eastAsia"/>
                <w:color w:val="auto"/>
                <w:highlight w:val="none"/>
                <w:lang w:val="en-US" w:eastAsia="zh-CN"/>
              </w:rPr>
              <w:t>硫酸雾</w:t>
            </w:r>
            <w:r>
              <w:rPr>
                <w:color w:val="auto"/>
                <w:highlight w:val="none"/>
              </w:rPr>
              <w:t>）</w:t>
            </w:r>
          </w:p>
        </w:tc>
        <w:tc>
          <w:tcPr>
            <w:tcW w:w="2866" w:type="dxa"/>
            <w:gridSpan w:val="7"/>
            <w:shd w:val="clear" w:color="auto" w:fill="auto"/>
            <w:vAlign w:val="center"/>
          </w:tcPr>
          <w:p w14:paraId="767B8AD9">
            <w:pPr>
              <w:pStyle w:val="17"/>
              <w:bidi w:val="0"/>
              <w:rPr>
                <w:rFonts w:hint="eastAsia" w:eastAsia="宋体"/>
                <w:color w:val="auto"/>
                <w:highlight w:val="none"/>
                <w:lang w:eastAsia="zh-CN"/>
              </w:rPr>
            </w:pPr>
            <w:r>
              <w:rPr>
                <w:color w:val="auto"/>
                <w:highlight w:val="none"/>
              </w:rPr>
              <w:t>包括二次PM</w:t>
            </w:r>
            <w:r>
              <w:rPr>
                <w:color w:val="auto"/>
                <w:highlight w:val="none"/>
                <w:vertAlign w:val="subscript"/>
              </w:rPr>
              <w:t>2.5</w:t>
            </w:r>
            <w:r>
              <w:rPr>
                <w:rFonts w:hint="eastAsia"/>
                <w:color w:val="auto"/>
                <w:highlight w:val="none"/>
                <w:lang w:eastAsia="zh-CN"/>
              </w:rPr>
              <w:t>□</w:t>
            </w:r>
          </w:p>
          <w:p w14:paraId="68C38FC1">
            <w:pPr>
              <w:pStyle w:val="17"/>
              <w:bidi w:val="0"/>
              <w:rPr>
                <w:color w:val="auto"/>
                <w:highlight w:val="none"/>
              </w:rPr>
            </w:pPr>
            <w:r>
              <w:rPr>
                <w:color w:val="auto"/>
                <w:highlight w:val="none"/>
              </w:rPr>
              <w:t>不包括二次PM</w:t>
            </w:r>
            <w:r>
              <w:rPr>
                <w:color w:val="auto"/>
                <w:highlight w:val="none"/>
                <w:vertAlign w:val="subscript"/>
              </w:rPr>
              <w:t>2.5</w:t>
            </w:r>
            <w:r>
              <w:rPr>
                <w:rFonts w:hint="eastAsia"/>
                <w:color w:val="auto"/>
                <w:highlight w:val="none"/>
                <w:lang w:eastAsia="zh-CN"/>
              </w:rPr>
              <w:t>☑</w:t>
            </w:r>
          </w:p>
        </w:tc>
      </w:tr>
      <w:tr w14:paraId="290B756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shd w:val="clear" w:color="auto" w:fill="auto"/>
            <w:vAlign w:val="center"/>
          </w:tcPr>
          <w:p w14:paraId="0DC392D3">
            <w:pPr>
              <w:pStyle w:val="17"/>
              <w:bidi w:val="0"/>
              <w:rPr>
                <w:color w:val="auto"/>
                <w:highlight w:val="none"/>
              </w:rPr>
            </w:pPr>
            <w:r>
              <w:rPr>
                <w:color w:val="auto"/>
                <w:highlight w:val="none"/>
              </w:rPr>
              <w:t>评价标准</w:t>
            </w:r>
          </w:p>
        </w:tc>
        <w:tc>
          <w:tcPr>
            <w:tcW w:w="1421" w:type="dxa"/>
            <w:shd w:val="clear" w:color="auto" w:fill="auto"/>
            <w:vAlign w:val="center"/>
          </w:tcPr>
          <w:p w14:paraId="3E47C77D">
            <w:pPr>
              <w:pStyle w:val="17"/>
              <w:bidi w:val="0"/>
              <w:rPr>
                <w:color w:val="auto"/>
                <w:highlight w:val="none"/>
              </w:rPr>
            </w:pPr>
            <w:r>
              <w:rPr>
                <w:color w:val="auto"/>
                <w:highlight w:val="none"/>
              </w:rPr>
              <w:t>评价标准</w:t>
            </w:r>
          </w:p>
        </w:tc>
        <w:tc>
          <w:tcPr>
            <w:tcW w:w="2187" w:type="dxa"/>
            <w:gridSpan w:val="5"/>
            <w:shd w:val="clear" w:color="auto" w:fill="auto"/>
            <w:vAlign w:val="center"/>
          </w:tcPr>
          <w:p w14:paraId="50FB99BC">
            <w:pPr>
              <w:pStyle w:val="17"/>
              <w:bidi w:val="0"/>
              <w:rPr>
                <w:color w:val="auto"/>
                <w:highlight w:val="none"/>
              </w:rPr>
            </w:pPr>
            <w:r>
              <w:rPr>
                <w:color w:val="auto"/>
                <w:highlight w:val="none"/>
              </w:rPr>
              <w:t>国家标准</w:t>
            </w:r>
            <w:r>
              <w:rPr>
                <w:rFonts w:hint="eastAsia"/>
                <w:color w:val="auto"/>
                <w:highlight w:val="none"/>
                <w:lang w:eastAsia="zh-CN"/>
              </w:rPr>
              <w:t>☑</w:t>
            </w:r>
          </w:p>
        </w:tc>
        <w:tc>
          <w:tcPr>
            <w:tcW w:w="1325" w:type="dxa"/>
            <w:gridSpan w:val="3"/>
            <w:shd w:val="clear" w:color="auto" w:fill="auto"/>
            <w:vAlign w:val="center"/>
          </w:tcPr>
          <w:p w14:paraId="2F61B193">
            <w:pPr>
              <w:pStyle w:val="17"/>
              <w:bidi w:val="0"/>
              <w:rPr>
                <w:rFonts w:hint="eastAsia" w:eastAsia="宋体"/>
                <w:color w:val="auto"/>
                <w:highlight w:val="none"/>
                <w:lang w:eastAsia="zh-CN"/>
              </w:rPr>
            </w:pPr>
            <w:r>
              <w:rPr>
                <w:color w:val="auto"/>
                <w:highlight w:val="none"/>
              </w:rPr>
              <w:t>地方标准</w:t>
            </w:r>
            <w:r>
              <w:rPr>
                <w:rFonts w:hint="eastAsia"/>
                <w:color w:val="auto"/>
                <w:highlight w:val="none"/>
                <w:lang w:eastAsia="zh-CN"/>
              </w:rPr>
              <w:t>□</w:t>
            </w:r>
          </w:p>
        </w:tc>
        <w:tc>
          <w:tcPr>
            <w:tcW w:w="1197" w:type="dxa"/>
            <w:gridSpan w:val="4"/>
            <w:shd w:val="clear" w:color="auto" w:fill="auto"/>
            <w:vAlign w:val="center"/>
          </w:tcPr>
          <w:p w14:paraId="34B27D41">
            <w:pPr>
              <w:pStyle w:val="17"/>
              <w:bidi w:val="0"/>
              <w:rPr>
                <w:rFonts w:hint="eastAsia" w:eastAsia="宋体"/>
                <w:color w:val="auto"/>
                <w:highlight w:val="none"/>
                <w:lang w:eastAsia="zh-CN"/>
              </w:rPr>
            </w:pPr>
            <w:r>
              <w:rPr>
                <w:color w:val="auto"/>
                <w:highlight w:val="none"/>
              </w:rPr>
              <w:t>附录D</w:t>
            </w:r>
            <w:r>
              <w:rPr>
                <w:rFonts w:hint="eastAsia"/>
                <w:color w:val="auto"/>
                <w:highlight w:val="none"/>
                <w:lang w:eastAsia="zh-CN"/>
              </w:rPr>
              <w:t>☑</w:t>
            </w:r>
          </w:p>
        </w:tc>
        <w:tc>
          <w:tcPr>
            <w:tcW w:w="1669" w:type="dxa"/>
            <w:gridSpan w:val="3"/>
            <w:shd w:val="clear" w:color="auto" w:fill="auto"/>
            <w:vAlign w:val="center"/>
          </w:tcPr>
          <w:p w14:paraId="0B9361C1">
            <w:pPr>
              <w:pStyle w:val="17"/>
              <w:bidi w:val="0"/>
              <w:rPr>
                <w:rFonts w:hint="eastAsia" w:eastAsia="宋体"/>
                <w:color w:val="auto"/>
                <w:highlight w:val="none"/>
                <w:lang w:eastAsia="zh-CN"/>
              </w:rPr>
            </w:pPr>
            <w:r>
              <w:rPr>
                <w:color w:val="auto"/>
                <w:highlight w:val="none"/>
              </w:rPr>
              <w:t>其他标准</w:t>
            </w:r>
            <w:r>
              <w:rPr>
                <w:rFonts w:hint="eastAsia"/>
                <w:color w:val="auto"/>
                <w:highlight w:val="none"/>
                <w:lang w:eastAsia="zh-CN"/>
              </w:rPr>
              <w:t>□</w:t>
            </w:r>
          </w:p>
        </w:tc>
      </w:tr>
      <w:tr w14:paraId="542D547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restart"/>
            <w:shd w:val="clear" w:color="auto" w:fill="auto"/>
            <w:vAlign w:val="center"/>
          </w:tcPr>
          <w:p w14:paraId="1191A656">
            <w:pPr>
              <w:pStyle w:val="17"/>
              <w:bidi w:val="0"/>
              <w:rPr>
                <w:color w:val="auto"/>
                <w:highlight w:val="none"/>
              </w:rPr>
            </w:pPr>
            <w:r>
              <w:rPr>
                <w:color w:val="auto"/>
                <w:highlight w:val="none"/>
              </w:rPr>
              <w:t>现状评价</w:t>
            </w:r>
          </w:p>
        </w:tc>
        <w:tc>
          <w:tcPr>
            <w:tcW w:w="1421" w:type="dxa"/>
            <w:shd w:val="clear" w:color="auto" w:fill="auto"/>
            <w:vAlign w:val="center"/>
          </w:tcPr>
          <w:p w14:paraId="356B3078">
            <w:pPr>
              <w:pStyle w:val="17"/>
              <w:bidi w:val="0"/>
              <w:rPr>
                <w:color w:val="auto"/>
                <w:highlight w:val="none"/>
              </w:rPr>
            </w:pPr>
            <w:r>
              <w:rPr>
                <w:color w:val="auto"/>
                <w:highlight w:val="none"/>
              </w:rPr>
              <w:t>评价功能区</w:t>
            </w:r>
          </w:p>
        </w:tc>
        <w:tc>
          <w:tcPr>
            <w:tcW w:w="2465" w:type="dxa"/>
            <w:gridSpan w:val="6"/>
            <w:shd w:val="clear" w:color="auto" w:fill="auto"/>
            <w:vAlign w:val="center"/>
          </w:tcPr>
          <w:p w14:paraId="7C2D4513">
            <w:pPr>
              <w:pStyle w:val="17"/>
              <w:bidi w:val="0"/>
              <w:rPr>
                <w:rFonts w:hint="eastAsia" w:eastAsia="宋体"/>
                <w:color w:val="auto"/>
                <w:highlight w:val="none"/>
                <w:lang w:eastAsia="zh-CN"/>
              </w:rPr>
            </w:pPr>
            <w:r>
              <w:rPr>
                <w:color w:val="auto"/>
                <w:highlight w:val="none"/>
              </w:rPr>
              <w:t>一类区</w:t>
            </w:r>
            <w:r>
              <w:rPr>
                <w:rFonts w:hint="eastAsia"/>
                <w:color w:val="auto"/>
                <w:highlight w:val="none"/>
                <w:lang w:eastAsia="zh-CN"/>
              </w:rPr>
              <w:t>□</w:t>
            </w:r>
          </w:p>
        </w:tc>
        <w:tc>
          <w:tcPr>
            <w:tcW w:w="2244" w:type="dxa"/>
            <w:gridSpan w:val="6"/>
            <w:shd w:val="clear" w:color="auto" w:fill="auto"/>
            <w:vAlign w:val="center"/>
          </w:tcPr>
          <w:p w14:paraId="315540D1">
            <w:pPr>
              <w:pStyle w:val="17"/>
              <w:bidi w:val="0"/>
              <w:rPr>
                <w:color w:val="auto"/>
                <w:highlight w:val="none"/>
              </w:rPr>
            </w:pPr>
            <w:r>
              <w:rPr>
                <w:color w:val="auto"/>
                <w:highlight w:val="none"/>
              </w:rPr>
              <w:t>二类区</w:t>
            </w:r>
            <w:r>
              <w:rPr>
                <w:rFonts w:hint="eastAsia"/>
                <w:color w:val="auto"/>
                <w:highlight w:val="none"/>
                <w:lang w:eastAsia="zh-CN"/>
              </w:rPr>
              <w:t>☑</w:t>
            </w:r>
          </w:p>
        </w:tc>
        <w:tc>
          <w:tcPr>
            <w:tcW w:w="1669" w:type="dxa"/>
            <w:gridSpan w:val="3"/>
            <w:shd w:val="clear" w:color="auto" w:fill="auto"/>
            <w:vAlign w:val="center"/>
          </w:tcPr>
          <w:p w14:paraId="5FD81174">
            <w:pPr>
              <w:pStyle w:val="17"/>
              <w:bidi w:val="0"/>
              <w:rPr>
                <w:color w:val="auto"/>
                <w:highlight w:val="none"/>
              </w:rPr>
            </w:pPr>
            <w:r>
              <w:rPr>
                <w:color w:val="auto"/>
                <w:highlight w:val="none"/>
              </w:rPr>
              <w:t>一类区和二类区</w:t>
            </w:r>
          </w:p>
          <w:p w14:paraId="5827D863">
            <w:pPr>
              <w:pStyle w:val="17"/>
              <w:bidi w:val="0"/>
              <w:rPr>
                <w:rFonts w:hint="eastAsia" w:eastAsia="宋体"/>
                <w:color w:val="auto"/>
                <w:highlight w:val="none"/>
                <w:lang w:eastAsia="zh-CN"/>
              </w:rPr>
            </w:pPr>
            <w:r>
              <w:rPr>
                <w:rFonts w:hint="eastAsia"/>
                <w:color w:val="auto"/>
                <w:highlight w:val="none"/>
                <w:lang w:eastAsia="zh-CN"/>
              </w:rPr>
              <w:t>□</w:t>
            </w:r>
          </w:p>
        </w:tc>
      </w:tr>
      <w:tr w14:paraId="01A194A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422005D5">
            <w:pPr>
              <w:pStyle w:val="17"/>
              <w:bidi w:val="0"/>
              <w:rPr>
                <w:color w:val="auto"/>
                <w:highlight w:val="none"/>
              </w:rPr>
            </w:pPr>
          </w:p>
        </w:tc>
        <w:tc>
          <w:tcPr>
            <w:tcW w:w="1421" w:type="dxa"/>
            <w:shd w:val="clear" w:color="auto" w:fill="auto"/>
            <w:vAlign w:val="center"/>
          </w:tcPr>
          <w:p w14:paraId="5A7D739A">
            <w:pPr>
              <w:pStyle w:val="17"/>
              <w:bidi w:val="0"/>
              <w:rPr>
                <w:color w:val="auto"/>
                <w:highlight w:val="none"/>
              </w:rPr>
            </w:pPr>
            <w:r>
              <w:rPr>
                <w:color w:val="auto"/>
                <w:highlight w:val="none"/>
              </w:rPr>
              <w:t>评价基准年</w:t>
            </w:r>
          </w:p>
        </w:tc>
        <w:tc>
          <w:tcPr>
            <w:tcW w:w="6378" w:type="dxa"/>
            <w:gridSpan w:val="15"/>
            <w:shd w:val="clear" w:color="auto" w:fill="auto"/>
            <w:vAlign w:val="center"/>
          </w:tcPr>
          <w:p w14:paraId="380A4749">
            <w:pPr>
              <w:pStyle w:val="17"/>
              <w:bidi w:val="0"/>
              <w:rPr>
                <w:color w:val="auto"/>
                <w:highlight w:val="none"/>
              </w:rPr>
            </w:pPr>
            <w:r>
              <w:rPr>
                <w:rFonts w:hint="eastAsia"/>
                <w:color w:val="auto"/>
                <w:highlight w:val="none"/>
                <w:lang w:eastAsia="zh-CN"/>
              </w:rPr>
              <w:t>（</w:t>
            </w:r>
            <w:r>
              <w:rPr>
                <w:color w:val="auto"/>
                <w:highlight w:val="none"/>
              </w:rPr>
              <w:t>202</w:t>
            </w:r>
            <w:r>
              <w:rPr>
                <w:rFonts w:hint="eastAsia"/>
                <w:color w:val="auto"/>
                <w:highlight w:val="none"/>
                <w:lang w:val="en-US" w:eastAsia="zh-CN"/>
              </w:rPr>
              <w:t>4</w:t>
            </w:r>
            <w:r>
              <w:rPr>
                <w:color w:val="auto"/>
                <w:highlight w:val="none"/>
              </w:rPr>
              <w:t>）年</w:t>
            </w:r>
          </w:p>
        </w:tc>
      </w:tr>
      <w:tr w14:paraId="792DC9E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3673DEBA">
            <w:pPr>
              <w:pStyle w:val="17"/>
              <w:bidi w:val="0"/>
              <w:rPr>
                <w:color w:val="auto"/>
                <w:highlight w:val="none"/>
              </w:rPr>
            </w:pPr>
          </w:p>
        </w:tc>
        <w:tc>
          <w:tcPr>
            <w:tcW w:w="1421" w:type="dxa"/>
            <w:shd w:val="clear" w:color="auto" w:fill="auto"/>
            <w:vAlign w:val="center"/>
          </w:tcPr>
          <w:p w14:paraId="51890C60">
            <w:pPr>
              <w:pStyle w:val="17"/>
              <w:bidi w:val="0"/>
              <w:rPr>
                <w:color w:val="auto"/>
                <w:highlight w:val="none"/>
              </w:rPr>
            </w:pPr>
            <w:r>
              <w:rPr>
                <w:color w:val="auto"/>
                <w:highlight w:val="none"/>
              </w:rPr>
              <w:t>环境空气质</w:t>
            </w:r>
          </w:p>
          <w:p w14:paraId="602DC5BD">
            <w:pPr>
              <w:pStyle w:val="17"/>
              <w:bidi w:val="0"/>
              <w:rPr>
                <w:color w:val="auto"/>
                <w:highlight w:val="none"/>
              </w:rPr>
            </w:pPr>
            <w:r>
              <w:rPr>
                <w:color w:val="auto"/>
                <w:highlight w:val="none"/>
              </w:rPr>
              <w:t>量现状调查数据来源</w:t>
            </w:r>
          </w:p>
        </w:tc>
        <w:tc>
          <w:tcPr>
            <w:tcW w:w="2465" w:type="dxa"/>
            <w:gridSpan w:val="6"/>
            <w:shd w:val="clear" w:color="auto" w:fill="auto"/>
            <w:vAlign w:val="center"/>
          </w:tcPr>
          <w:p w14:paraId="3706A28E">
            <w:pPr>
              <w:pStyle w:val="17"/>
              <w:bidi w:val="0"/>
              <w:rPr>
                <w:rFonts w:hint="eastAsia" w:eastAsia="宋体"/>
                <w:color w:val="auto"/>
                <w:highlight w:val="none"/>
                <w:lang w:eastAsia="zh-CN"/>
              </w:rPr>
            </w:pPr>
            <w:r>
              <w:rPr>
                <w:color w:val="auto"/>
                <w:highlight w:val="none"/>
              </w:rPr>
              <w:t>长期例行监测数据</w:t>
            </w:r>
            <w:r>
              <w:rPr>
                <w:rFonts w:hint="eastAsia"/>
                <w:color w:val="auto"/>
                <w:highlight w:val="none"/>
                <w:lang w:eastAsia="zh-CN"/>
              </w:rPr>
              <w:t>□</w:t>
            </w:r>
          </w:p>
        </w:tc>
        <w:tc>
          <w:tcPr>
            <w:tcW w:w="2244" w:type="dxa"/>
            <w:gridSpan w:val="6"/>
            <w:shd w:val="clear" w:color="auto" w:fill="auto"/>
            <w:vAlign w:val="center"/>
          </w:tcPr>
          <w:p w14:paraId="40564C55">
            <w:pPr>
              <w:pStyle w:val="17"/>
              <w:bidi w:val="0"/>
              <w:rPr>
                <w:color w:val="auto"/>
                <w:highlight w:val="none"/>
              </w:rPr>
            </w:pPr>
            <w:r>
              <w:rPr>
                <w:color w:val="auto"/>
                <w:highlight w:val="none"/>
              </w:rPr>
              <w:t>主管部门发布的数据</w:t>
            </w:r>
            <w:r>
              <w:rPr>
                <w:rFonts w:hint="eastAsia"/>
                <w:color w:val="auto"/>
                <w:highlight w:val="none"/>
                <w:lang w:eastAsia="zh-CN"/>
              </w:rPr>
              <w:t>☑</w:t>
            </w:r>
          </w:p>
        </w:tc>
        <w:tc>
          <w:tcPr>
            <w:tcW w:w="1669" w:type="dxa"/>
            <w:gridSpan w:val="3"/>
            <w:shd w:val="clear" w:color="auto" w:fill="auto"/>
            <w:vAlign w:val="center"/>
          </w:tcPr>
          <w:p w14:paraId="3EFBE350">
            <w:pPr>
              <w:pStyle w:val="17"/>
              <w:bidi w:val="0"/>
              <w:rPr>
                <w:rFonts w:hint="eastAsia" w:eastAsia="宋体"/>
                <w:color w:val="auto"/>
                <w:highlight w:val="none"/>
                <w:lang w:eastAsia="zh-CN"/>
              </w:rPr>
            </w:pPr>
            <w:r>
              <w:rPr>
                <w:color w:val="auto"/>
                <w:highlight w:val="none"/>
              </w:rPr>
              <w:t>现状补充检测</w:t>
            </w:r>
            <w:r>
              <w:rPr>
                <w:rFonts w:hint="eastAsia"/>
                <w:color w:val="auto"/>
                <w:highlight w:val="none"/>
                <w:lang w:eastAsia="zh-CN"/>
              </w:rPr>
              <w:t>☑</w:t>
            </w:r>
          </w:p>
        </w:tc>
      </w:tr>
      <w:tr w14:paraId="5D886E8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557C8AB0">
            <w:pPr>
              <w:pStyle w:val="17"/>
              <w:bidi w:val="0"/>
              <w:rPr>
                <w:color w:val="auto"/>
                <w:highlight w:val="none"/>
              </w:rPr>
            </w:pPr>
          </w:p>
        </w:tc>
        <w:tc>
          <w:tcPr>
            <w:tcW w:w="1421" w:type="dxa"/>
            <w:shd w:val="clear" w:color="auto" w:fill="auto"/>
            <w:vAlign w:val="center"/>
          </w:tcPr>
          <w:p w14:paraId="14D5578F">
            <w:pPr>
              <w:pStyle w:val="17"/>
              <w:bidi w:val="0"/>
              <w:rPr>
                <w:color w:val="auto"/>
                <w:highlight w:val="none"/>
              </w:rPr>
            </w:pPr>
            <w:r>
              <w:rPr>
                <w:color w:val="auto"/>
                <w:highlight w:val="none"/>
              </w:rPr>
              <w:t>现状评价</w:t>
            </w:r>
          </w:p>
        </w:tc>
        <w:tc>
          <w:tcPr>
            <w:tcW w:w="3623" w:type="dxa"/>
            <w:gridSpan w:val="9"/>
            <w:shd w:val="clear" w:color="auto" w:fill="auto"/>
            <w:vAlign w:val="center"/>
          </w:tcPr>
          <w:p w14:paraId="4748924E">
            <w:pPr>
              <w:pStyle w:val="17"/>
              <w:bidi w:val="0"/>
              <w:rPr>
                <w:rFonts w:hint="eastAsia" w:eastAsia="宋体"/>
                <w:color w:val="auto"/>
                <w:highlight w:val="none"/>
                <w:lang w:eastAsia="zh-CN"/>
              </w:rPr>
            </w:pPr>
            <w:r>
              <w:rPr>
                <w:color w:val="auto"/>
                <w:highlight w:val="none"/>
              </w:rPr>
              <w:t>达标区</w:t>
            </w:r>
            <w:r>
              <w:rPr>
                <w:rFonts w:hint="eastAsia"/>
                <w:color w:val="auto"/>
                <w:highlight w:val="none"/>
                <w:lang w:eastAsia="zh-CN"/>
              </w:rPr>
              <w:t>□</w:t>
            </w:r>
          </w:p>
        </w:tc>
        <w:tc>
          <w:tcPr>
            <w:tcW w:w="2755" w:type="dxa"/>
            <w:gridSpan w:val="6"/>
            <w:shd w:val="clear" w:color="auto" w:fill="auto"/>
            <w:vAlign w:val="center"/>
          </w:tcPr>
          <w:p w14:paraId="154F2C40">
            <w:pPr>
              <w:pStyle w:val="17"/>
              <w:bidi w:val="0"/>
              <w:rPr>
                <w:rFonts w:hint="eastAsia" w:eastAsia="宋体"/>
                <w:color w:val="auto"/>
                <w:highlight w:val="none"/>
                <w:lang w:eastAsia="zh-CN"/>
              </w:rPr>
            </w:pPr>
            <w:r>
              <w:rPr>
                <w:color w:val="auto"/>
                <w:highlight w:val="none"/>
              </w:rPr>
              <w:t>不达标区</w:t>
            </w:r>
            <w:r>
              <w:rPr>
                <w:rFonts w:hint="eastAsia"/>
                <w:color w:val="auto"/>
                <w:highlight w:val="none"/>
                <w:lang w:eastAsia="zh-CN"/>
              </w:rPr>
              <w:t>☑</w:t>
            </w:r>
          </w:p>
        </w:tc>
      </w:tr>
      <w:tr w14:paraId="40759F3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shd w:val="clear" w:color="auto" w:fill="auto"/>
            <w:vAlign w:val="center"/>
          </w:tcPr>
          <w:p w14:paraId="7A06066C">
            <w:pPr>
              <w:pStyle w:val="17"/>
              <w:bidi w:val="0"/>
              <w:rPr>
                <w:color w:val="auto"/>
                <w:highlight w:val="none"/>
              </w:rPr>
            </w:pPr>
            <w:r>
              <w:rPr>
                <w:color w:val="auto"/>
                <w:highlight w:val="none"/>
              </w:rPr>
              <w:t>污染源调查</w:t>
            </w:r>
          </w:p>
        </w:tc>
        <w:tc>
          <w:tcPr>
            <w:tcW w:w="1421" w:type="dxa"/>
            <w:shd w:val="clear" w:color="auto" w:fill="auto"/>
            <w:vAlign w:val="center"/>
          </w:tcPr>
          <w:p w14:paraId="7BC2A426">
            <w:pPr>
              <w:pStyle w:val="17"/>
              <w:bidi w:val="0"/>
              <w:rPr>
                <w:color w:val="auto"/>
                <w:highlight w:val="none"/>
              </w:rPr>
            </w:pPr>
            <w:r>
              <w:rPr>
                <w:color w:val="auto"/>
                <w:highlight w:val="none"/>
              </w:rPr>
              <w:t>调查内容</w:t>
            </w:r>
          </w:p>
        </w:tc>
        <w:tc>
          <w:tcPr>
            <w:tcW w:w="2187" w:type="dxa"/>
            <w:gridSpan w:val="5"/>
            <w:shd w:val="clear" w:color="auto" w:fill="auto"/>
            <w:vAlign w:val="center"/>
          </w:tcPr>
          <w:p w14:paraId="2EB8AB9A">
            <w:pPr>
              <w:pStyle w:val="17"/>
              <w:bidi w:val="0"/>
              <w:rPr>
                <w:color w:val="auto"/>
                <w:highlight w:val="none"/>
              </w:rPr>
            </w:pPr>
            <w:r>
              <w:rPr>
                <w:color w:val="auto"/>
                <w:highlight w:val="none"/>
              </w:rPr>
              <w:t>本项目正常排放源</w:t>
            </w:r>
            <w:r>
              <w:rPr>
                <w:rFonts w:hint="eastAsia"/>
                <w:color w:val="auto"/>
                <w:highlight w:val="none"/>
                <w:lang w:eastAsia="zh-CN"/>
              </w:rPr>
              <w:t>☑</w:t>
            </w:r>
          </w:p>
          <w:p w14:paraId="14E9A007">
            <w:pPr>
              <w:pStyle w:val="17"/>
              <w:bidi w:val="0"/>
              <w:rPr>
                <w:color w:val="auto"/>
                <w:highlight w:val="none"/>
              </w:rPr>
            </w:pPr>
            <w:r>
              <w:rPr>
                <w:color w:val="auto"/>
                <w:highlight w:val="none"/>
              </w:rPr>
              <w:t>本项目非正常排放源</w:t>
            </w:r>
            <w:r>
              <w:rPr>
                <w:rFonts w:hint="eastAsia"/>
                <w:color w:val="auto"/>
                <w:highlight w:val="none"/>
                <w:lang w:eastAsia="zh-CN"/>
              </w:rPr>
              <w:t>☑</w:t>
            </w:r>
          </w:p>
          <w:p w14:paraId="765DD4D7">
            <w:pPr>
              <w:pStyle w:val="17"/>
              <w:bidi w:val="0"/>
              <w:rPr>
                <w:rFonts w:hint="eastAsia" w:eastAsia="宋体"/>
                <w:color w:val="auto"/>
                <w:highlight w:val="none"/>
                <w:lang w:eastAsia="zh-CN"/>
              </w:rPr>
            </w:pPr>
            <w:r>
              <w:rPr>
                <w:color w:val="auto"/>
                <w:highlight w:val="none"/>
              </w:rPr>
              <w:t>现有污染源</w:t>
            </w:r>
            <w:r>
              <w:rPr>
                <w:rFonts w:hint="eastAsia"/>
                <w:color w:val="auto"/>
                <w:highlight w:val="none"/>
                <w:lang w:eastAsia="zh-CN"/>
              </w:rPr>
              <w:t>□</w:t>
            </w:r>
          </w:p>
        </w:tc>
        <w:tc>
          <w:tcPr>
            <w:tcW w:w="1436" w:type="dxa"/>
            <w:gridSpan w:val="4"/>
            <w:shd w:val="clear" w:color="auto" w:fill="auto"/>
            <w:vAlign w:val="center"/>
          </w:tcPr>
          <w:p w14:paraId="200C4C3A">
            <w:pPr>
              <w:pStyle w:val="17"/>
              <w:bidi w:val="0"/>
              <w:rPr>
                <w:rFonts w:hint="eastAsia" w:eastAsia="宋体"/>
                <w:color w:val="auto"/>
                <w:highlight w:val="none"/>
                <w:lang w:eastAsia="zh-CN"/>
              </w:rPr>
            </w:pPr>
            <w:r>
              <w:rPr>
                <w:color w:val="auto"/>
                <w:highlight w:val="none"/>
              </w:rPr>
              <w:t>拟替代的污染源</w:t>
            </w:r>
            <w:r>
              <w:rPr>
                <w:rFonts w:hint="eastAsia"/>
                <w:color w:val="auto"/>
                <w:highlight w:val="none"/>
                <w:lang w:eastAsia="zh-CN"/>
              </w:rPr>
              <w:t>□</w:t>
            </w:r>
          </w:p>
        </w:tc>
        <w:tc>
          <w:tcPr>
            <w:tcW w:w="1505" w:type="dxa"/>
            <w:gridSpan w:val="4"/>
            <w:shd w:val="clear" w:color="auto" w:fill="auto"/>
            <w:vAlign w:val="center"/>
          </w:tcPr>
          <w:p w14:paraId="4ACB4632">
            <w:pPr>
              <w:pStyle w:val="17"/>
              <w:bidi w:val="0"/>
              <w:rPr>
                <w:rFonts w:hint="eastAsia" w:eastAsia="宋体"/>
                <w:color w:val="auto"/>
                <w:highlight w:val="none"/>
                <w:lang w:eastAsia="zh-CN"/>
              </w:rPr>
            </w:pPr>
            <w:r>
              <w:rPr>
                <w:color w:val="auto"/>
                <w:highlight w:val="none"/>
              </w:rPr>
              <w:t>其他在建、拟建项目污染源</w:t>
            </w:r>
            <w:r>
              <w:rPr>
                <w:rFonts w:hint="eastAsia"/>
                <w:color w:val="auto"/>
                <w:highlight w:val="none"/>
                <w:lang w:eastAsia="zh-CN"/>
              </w:rPr>
              <w:t>□</w:t>
            </w:r>
          </w:p>
        </w:tc>
        <w:tc>
          <w:tcPr>
            <w:tcW w:w="1250" w:type="dxa"/>
            <w:gridSpan w:val="2"/>
            <w:shd w:val="clear" w:color="auto" w:fill="auto"/>
            <w:vAlign w:val="center"/>
          </w:tcPr>
          <w:p w14:paraId="5474C7A2">
            <w:pPr>
              <w:pStyle w:val="17"/>
              <w:bidi w:val="0"/>
              <w:rPr>
                <w:rFonts w:hint="eastAsia" w:eastAsia="宋体"/>
                <w:color w:val="auto"/>
                <w:highlight w:val="none"/>
                <w:lang w:eastAsia="zh-CN"/>
              </w:rPr>
            </w:pPr>
            <w:r>
              <w:rPr>
                <w:color w:val="auto"/>
                <w:highlight w:val="none"/>
              </w:rPr>
              <w:t>区域污染源</w:t>
            </w:r>
            <w:r>
              <w:rPr>
                <w:rFonts w:hint="eastAsia"/>
                <w:color w:val="auto"/>
                <w:highlight w:val="none"/>
                <w:lang w:eastAsia="zh-CN"/>
              </w:rPr>
              <w:t>□</w:t>
            </w:r>
          </w:p>
        </w:tc>
      </w:tr>
      <w:tr w14:paraId="40390E7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restart"/>
            <w:shd w:val="clear" w:color="auto" w:fill="auto"/>
            <w:vAlign w:val="center"/>
          </w:tcPr>
          <w:p w14:paraId="1F231222">
            <w:pPr>
              <w:pStyle w:val="17"/>
              <w:bidi w:val="0"/>
              <w:rPr>
                <w:color w:val="auto"/>
                <w:highlight w:val="none"/>
              </w:rPr>
            </w:pPr>
            <w:r>
              <w:rPr>
                <w:color w:val="auto"/>
                <w:highlight w:val="none"/>
              </w:rPr>
              <w:t>大气环境影响预测与评价</w:t>
            </w:r>
          </w:p>
        </w:tc>
        <w:tc>
          <w:tcPr>
            <w:tcW w:w="1421" w:type="dxa"/>
            <w:shd w:val="clear" w:color="auto" w:fill="auto"/>
            <w:vAlign w:val="center"/>
          </w:tcPr>
          <w:p w14:paraId="2C6144AE">
            <w:pPr>
              <w:pStyle w:val="17"/>
              <w:bidi w:val="0"/>
              <w:rPr>
                <w:color w:val="auto"/>
                <w:highlight w:val="none"/>
              </w:rPr>
            </w:pPr>
            <w:r>
              <w:rPr>
                <w:color w:val="auto"/>
                <w:highlight w:val="none"/>
              </w:rPr>
              <w:t>预测模型</w:t>
            </w:r>
          </w:p>
        </w:tc>
        <w:tc>
          <w:tcPr>
            <w:tcW w:w="921" w:type="dxa"/>
            <w:shd w:val="clear" w:color="auto" w:fill="auto"/>
            <w:vAlign w:val="center"/>
          </w:tcPr>
          <w:p w14:paraId="796B1B36">
            <w:pPr>
              <w:pStyle w:val="17"/>
              <w:bidi w:val="0"/>
              <w:rPr>
                <w:color w:val="auto"/>
                <w:highlight w:val="none"/>
              </w:rPr>
            </w:pPr>
            <w:r>
              <w:rPr>
                <w:color w:val="auto"/>
                <w:highlight w:val="none"/>
              </w:rPr>
              <w:t>AERMOD</w:t>
            </w:r>
          </w:p>
          <w:p w14:paraId="60B9F172">
            <w:pPr>
              <w:pStyle w:val="17"/>
              <w:bidi w:val="0"/>
              <w:rPr>
                <w:rFonts w:hint="eastAsia" w:eastAsia="宋体"/>
                <w:color w:val="auto"/>
                <w:highlight w:val="none"/>
                <w:lang w:eastAsia="zh-CN"/>
              </w:rPr>
            </w:pPr>
            <w:r>
              <w:rPr>
                <w:rFonts w:hint="eastAsia"/>
                <w:color w:val="auto"/>
                <w:highlight w:val="none"/>
                <w:lang w:eastAsia="zh-CN"/>
              </w:rPr>
              <w:t>□</w:t>
            </w:r>
          </w:p>
        </w:tc>
        <w:tc>
          <w:tcPr>
            <w:tcW w:w="662" w:type="dxa"/>
            <w:shd w:val="clear" w:color="auto" w:fill="auto"/>
            <w:vAlign w:val="center"/>
          </w:tcPr>
          <w:p w14:paraId="1951EDFA">
            <w:pPr>
              <w:pStyle w:val="17"/>
              <w:bidi w:val="0"/>
              <w:rPr>
                <w:color w:val="auto"/>
                <w:highlight w:val="none"/>
              </w:rPr>
            </w:pPr>
            <w:r>
              <w:rPr>
                <w:color w:val="auto"/>
                <w:highlight w:val="none"/>
              </w:rPr>
              <w:t>ADMS</w:t>
            </w:r>
          </w:p>
          <w:p w14:paraId="1761F996">
            <w:pPr>
              <w:pStyle w:val="17"/>
              <w:bidi w:val="0"/>
              <w:rPr>
                <w:rFonts w:hint="eastAsia" w:eastAsia="宋体"/>
                <w:color w:val="auto"/>
                <w:highlight w:val="none"/>
                <w:lang w:eastAsia="zh-CN"/>
              </w:rPr>
            </w:pPr>
            <w:r>
              <w:rPr>
                <w:rFonts w:hint="eastAsia"/>
                <w:color w:val="auto"/>
                <w:highlight w:val="none"/>
                <w:lang w:eastAsia="zh-CN"/>
              </w:rPr>
              <w:t>□</w:t>
            </w:r>
          </w:p>
        </w:tc>
        <w:tc>
          <w:tcPr>
            <w:tcW w:w="1254" w:type="dxa"/>
            <w:gridSpan w:val="5"/>
            <w:shd w:val="clear" w:color="auto" w:fill="auto"/>
            <w:vAlign w:val="center"/>
          </w:tcPr>
          <w:p w14:paraId="1892DC09">
            <w:pPr>
              <w:pStyle w:val="17"/>
              <w:bidi w:val="0"/>
              <w:rPr>
                <w:color w:val="auto"/>
                <w:highlight w:val="none"/>
              </w:rPr>
            </w:pPr>
            <w:r>
              <w:rPr>
                <w:color w:val="auto"/>
                <w:highlight w:val="none"/>
              </w:rPr>
              <w:t>AUSTAL2000</w:t>
            </w:r>
          </w:p>
          <w:p w14:paraId="2A5A2981">
            <w:pPr>
              <w:pStyle w:val="17"/>
              <w:bidi w:val="0"/>
              <w:rPr>
                <w:rFonts w:hint="eastAsia" w:eastAsia="宋体"/>
                <w:color w:val="auto"/>
                <w:highlight w:val="none"/>
                <w:lang w:eastAsia="zh-CN"/>
              </w:rPr>
            </w:pPr>
            <w:r>
              <w:rPr>
                <w:rFonts w:hint="eastAsia"/>
                <w:color w:val="auto"/>
                <w:highlight w:val="none"/>
                <w:lang w:eastAsia="zh-CN"/>
              </w:rPr>
              <w:t>□</w:t>
            </w:r>
          </w:p>
        </w:tc>
        <w:tc>
          <w:tcPr>
            <w:tcW w:w="1212" w:type="dxa"/>
            <w:gridSpan w:val="3"/>
            <w:shd w:val="clear" w:color="auto" w:fill="auto"/>
            <w:vAlign w:val="center"/>
          </w:tcPr>
          <w:p w14:paraId="3D545524">
            <w:pPr>
              <w:pStyle w:val="17"/>
              <w:bidi w:val="0"/>
              <w:rPr>
                <w:color w:val="auto"/>
                <w:highlight w:val="none"/>
              </w:rPr>
            </w:pPr>
            <w:r>
              <w:rPr>
                <w:color w:val="auto"/>
                <w:highlight w:val="none"/>
              </w:rPr>
              <w:t>EDMS/AEDT</w:t>
            </w:r>
          </w:p>
          <w:p w14:paraId="1F7040DC">
            <w:pPr>
              <w:pStyle w:val="17"/>
              <w:bidi w:val="0"/>
              <w:rPr>
                <w:rFonts w:hint="eastAsia" w:eastAsia="宋体"/>
                <w:color w:val="auto"/>
                <w:highlight w:val="none"/>
                <w:lang w:eastAsia="zh-CN"/>
              </w:rPr>
            </w:pPr>
            <w:r>
              <w:rPr>
                <w:rFonts w:hint="eastAsia"/>
                <w:color w:val="auto"/>
                <w:highlight w:val="none"/>
                <w:lang w:eastAsia="zh-CN"/>
              </w:rPr>
              <w:t>□</w:t>
            </w:r>
          </w:p>
        </w:tc>
        <w:tc>
          <w:tcPr>
            <w:tcW w:w="1079" w:type="dxa"/>
            <w:gridSpan w:val="3"/>
            <w:shd w:val="clear" w:color="auto" w:fill="auto"/>
            <w:vAlign w:val="center"/>
          </w:tcPr>
          <w:p w14:paraId="503965F2">
            <w:pPr>
              <w:pStyle w:val="17"/>
              <w:bidi w:val="0"/>
              <w:rPr>
                <w:rFonts w:hint="eastAsia" w:eastAsia="宋体"/>
                <w:color w:val="auto"/>
                <w:highlight w:val="none"/>
                <w:lang w:eastAsia="zh-CN"/>
              </w:rPr>
            </w:pPr>
            <w:r>
              <w:rPr>
                <w:color w:val="auto"/>
                <w:highlight w:val="none"/>
              </w:rPr>
              <w:t>CALPUFF</w:t>
            </w:r>
            <w:r>
              <w:rPr>
                <w:rFonts w:hint="eastAsia"/>
                <w:color w:val="auto"/>
                <w:highlight w:val="none"/>
                <w:lang w:eastAsia="zh-CN"/>
              </w:rPr>
              <w:t>□</w:t>
            </w:r>
          </w:p>
        </w:tc>
        <w:tc>
          <w:tcPr>
            <w:tcW w:w="901" w:type="dxa"/>
            <w:shd w:val="clear" w:color="auto" w:fill="auto"/>
            <w:vAlign w:val="center"/>
          </w:tcPr>
          <w:p w14:paraId="73DF3F26">
            <w:pPr>
              <w:pStyle w:val="17"/>
              <w:bidi w:val="0"/>
              <w:rPr>
                <w:rFonts w:hint="eastAsia" w:eastAsia="宋体"/>
                <w:color w:val="auto"/>
                <w:highlight w:val="none"/>
                <w:lang w:eastAsia="zh-CN"/>
              </w:rPr>
            </w:pPr>
            <w:r>
              <w:rPr>
                <w:color w:val="auto"/>
                <w:highlight w:val="none"/>
              </w:rPr>
              <w:t>网格模型</w:t>
            </w:r>
            <w:r>
              <w:rPr>
                <w:rFonts w:hint="eastAsia"/>
                <w:color w:val="auto"/>
                <w:highlight w:val="none"/>
                <w:lang w:eastAsia="zh-CN"/>
              </w:rPr>
              <w:t>□</w:t>
            </w:r>
          </w:p>
        </w:tc>
        <w:tc>
          <w:tcPr>
            <w:tcW w:w="349" w:type="dxa"/>
            <w:shd w:val="clear" w:color="auto" w:fill="auto"/>
            <w:vAlign w:val="center"/>
          </w:tcPr>
          <w:p w14:paraId="5449E444">
            <w:pPr>
              <w:pStyle w:val="17"/>
              <w:bidi w:val="0"/>
              <w:rPr>
                <w:color w:val="auto"/>
                <w:highlight w:val="none"/>
              </w:rPr>
            </w:pPr>
            <w:r>
              <w:rPr>
                <w:color w:val="auto"/>
                <w:highlight w:val="none"/>
              </w:rPr>
              <w:t>其</w:t>
            </w:r>
          </w:p>
          <w:p w14:paraId="63434013">
            <w:pPr>
              <w:pStyle w:val="17"/>
              <w:bidi w:val="0"/>
              <w:rPr>
                <w:color w:val="auto"/>
                <w:highlight w:val="none"/>
              </w:rPr>
            </w:pPr>
            <w:r>
              <w:rPr>
                <w:color w:val="auto"/>
                <w:highlight w:val="none"/>
              </w:rPr>
              <w:t>他</w:t>
            </w:r>
          </w:p>
          <w:p w14:paraId="3889D0F5">
            <w:pPr>
              <w:pStyle w:val="17"/>
              <w:bidi w:val="0"/>
              <w:rPr>
                <w:rFonts w:hint="eastAsia" w:eastAsia="宋体"/>
                <w:color w:val="auto"/>
                <w:highlight w:val="none"/>
                <w:lang w:eastAsia="zh-CN"/>
              </w:rPr>
            </w:pPr>
            <w:r>
              <w:rPr>
                <w:rFonts w:hint="eastAsia"/>
                <w:color w:val="auto"/>
                <w:highlight w:val="none"/>
                <w:lang w:eastAsia="zh-CN"/>
              </w:rPr>
              <w:t>□</w:t>
            </w:r>
          </w:p>
        </w:tc>
      </w:tr>
      <w:tr w14:paraId="1B46416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4CCA3C01">
            <w:pPr>
              <w:pStyle w:val="17"/>
              <w:bidi w:val="0"/>
              <w:rPr>
                <w:color w:val="auto"/>
                <w:highlight w:val="none"/>
              </w:rPr>
            </w:pPr>
          </w:p>
        </w:tc>
        <w:tc>
          <w:tcPr>
            <w:tcW w:w="1421" w:type="dxa"/>
            <w:shd w:val="clear" w:color="auto" w:fill="auto"/>
            <w:vAlign w:val="center"/>
          </w:tcPr>
          <w:p w14:paraId="3942F5A2">
            <w:pPr>
              <w:pStyle w:val="17"/>
              <w:bidi w:val="0"/>
              <w:rPr>
                <w:color w:val="auto"/>
                <w:highlight w:val="none"/>
              </w:rPr>
            </w:pPr>
            <w:r>
              <w:rPr>
                <w:color w:val="auto"/>
                <w:highlight w:val="none"/>
              </w:rPr>
              <w:t>预测范围</w:t>
            </w:r>
          </w:p>
        </w:tc>
        <w:tc>
          <w:tcPr>
            <w:tcW w:w="2465" w:type="dxa"/>
            <w:gridSpan w:val="6"/>
            <w:shd w:val="clear" w:color="auto" w:fill="auto"/>
            <w:vAlign w:val="center"/>
          </w:tcPr>
          <w:p w14:paraId="516F6DC3">
            <w:pPr>
              <w:pStyle w:val="17"/>
              <w:bidi w:val="0"/>
              <w:rPr>
                <w:rFonts w:hint="eastAsia" w:eastAsia="宋体"/>
                <w:color w:val="auto"/>
                <w:highlight w:val="none"/>
                <w:lang w:eastAsia="zh-CN"/>
              </w:rPr>
            </w:pPr>
            <w:r>
              <w:rPr>
                <w:color w:val="auto"/>
                <w:highlight w:val="none"/>
              </w:rPr>
              <w:t>边长≥50km</w:t>
            </w:r>
            <w:r>
              <w:rPr>
                <w:rFonts w:hint="eastAsia"/>
                <w:color w:val="auto"/>
                <w:highlight w:val="none"/>
                <w:lang w:eastAsia="zh-CN"/>
              </w:rPr>
              <w:t>□</w:t>
            </w:r>
          </w:p>
        </w:tc>
        <w:tc>
          <w:tcPr>
            <w:tcW w:w="2244" w:type="dxa"/>
            <w:gridSpan w:val="6"/>
            <w:shd w:val="clear" w:color="auto" w:fill="auto"/>
            <w:vAlign w:val="center"/>
          </w:tcPr>
          <w:p w14:paraId="6371CF25">
            <w:pPr>
              <w:pStyle w:val="17"/>
              <w:bidi w:val="0"/>
              <w:rPr>
                <w:rFonts w:hint="eastAsia" w:eastAsia="宋体"/>
                <w:color w:val="auto"/>
                <w:highlight w:val="none"/>
                <w:lang w:eastAsia="zh-CN"/>
              </w:rPr>
            </w:pPr>
            <w:r>
              <w:rPr>
                <w:color w:val="auto"/>
                <w:highlight w:val="none"/>
              </w:rPr>
              <w:t>边长5～50km</w:t>
            </w:r>
            <w:r>
              <w:rPr>
                <w:rFonts w:hint="eastAsia"/>
                <w:color w:val="auto"/>
                <w:highlight w:val="none"/>
                <w:lang w:eastAsia="zh-CN"/>
              </w:rPr>
              <w:t>□</w:t>
            </w:r>
          </w:p>
        </w:tc>
        <w:tc>
          <w:tcPr>
            <w:tcW w:w="1669" w:type="dxa"/>
            <w:gridSpan w:val="3"/>
            <w:shd w:val="clear" w:color="auto" w:fill="auto"/>
            <w:vAlign w:val="center"/>
          </w:tcPr>
          <w:p w14:paraId="5DA1B001">
            <w:pPr>
              <w:pStyle w:val="17"/>
              <w:bidi w:val="0"/>
              <w:rPr>
                <w:rFonts w:hint="eastAsia" w:eastAsia="宋体"/>
                <w:color w:val="auto"/>
                <w:highlight w:val="none"/>
                <w:lang w:eastAsia="zh-CN"/>
              </w:rPr>
            </w:pPr>
            <w:r>
              <w:rPr>
                <w:color w:val="auto"/>
                <w:highlight w:val="none"/>
              </w:rPr>
              <w:t>边长=5km</w:t>
            </w:r>
            <w:r>
              <w:rPr>
                <w:rFonts w:hint="eastAsia"/>
                <w:color w:val="auto"/>
                <w:highlight w:val="none"/>
                <w:lang w:eastAsia="zh-CN"/>
              </w:rPr>
              <w:t>□</w:t>
            </w:r>
          </w:p>
        </w:tc>
      </w:tr>
      <w:tr w14:paraId="546541B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3D2E79B1">
            <w:pPr>
              <w:pStyle w:val="17"/>
              <w:bidi w:val="0"/>
              <w:rPr>
                <w:color w:val="auto"/>
                <w:highlight w:val="none"/>
              </w:rPr>
            </w:pPr>
          </w:p>
        </w:tc>
        <w:tc>
          <w:tcPr>
            <w:tcW w:w="1421" w:type="dxa"/>
            <w:vMerge w:val="restart"/>
            <w:shd w:val="clear" w:color="auto" w:fill="auto"/>
            <w:vAlign w:val="center"/>
          </w:tcPr>
          <w:p w14:paraId="2A802C80">
            <w:pPr>
              <w:pStyle w:val="17"/>
              <w:bidi w:val="0"/>
              <w:rPr>
                <w:color w:val="auto"/>
                <w:highlight w:val="none"/>
              </w:rPr>
            </w:pPr>
            <w:r>
              <w:rPr>
                <w:color w:val="auto"/>
                <w:highlight w:val="none"/>
              </w:rPr>
              <w:t>预测因子</w:t>
            </w:r>
          </w:p>
        </w:tc>
        <w:tc>
          <w:tcPr>
            <w:tcW w:w="3512" w:type="dxa"/>
            <w:gridSpan w:val="8"/>
            <w:vMerge w:val="restart"/>
            <w:shd w:val="clear" w:color="auto" w:fill="auto"/>
            <w:vAlign w:val="center"/>
          </w:tcPr>
          <w:p w14:paraId="0075EF4D">
            <w:pPr>
              <w:pStyle w:val="17"/>
              <w:bidi w:val="0"/>
              <w:rPr>
                <w:color w:val="auto"/>
                <w:highlight w:val="none"/>
              </w:rPr>
            </w:pPr>
            <w:r>
              <w:rPr>
                <w:color w:val="auto"/>
                <w:highlight w:val="none"/>
              </w:rPr>
              <w:t>预测因子</w:t>
            </w:r>
            <w:r>
              <w:rPr>
                <w:rFonts w:hint="eastAsia"/>
                <w:color w:val="auto"/>
                <w:highlight w:val="none"/>
                <w:lang w:eastAsia="zh-CN"/>
              </w:rPr>
              <w:t>（</w:t>
            </w:r>
            <w:r>
              <w:rPr>
                <w:color w:val="auto"/>
                <w:highlight w:val="none"/>
              </w:rPr>
              <w:t>）</w:t>
            </w:r>
          </w:p>
        </w:tc>
        <w:tc>
          <w:tcPr>
            <w:tcW w:w="2866" w:type="dxa"/>
            <w:gridSpan w:val="7"/>
            <w:shd w:val="clear" w:color="auto" w:fill="auto"/>
            <w:vAlign w:val="center"/>
          </w:tcPr>
          <w:p w14:paraId="5A2C22F4">
            <w:pPr>
              <w:pStyle w:val="17"/>
              <w:bidi w:val="0"/>
              <w:rPr>
                <w:rFonts w:hint="eastAsia" w:eastAsia="宋体"/>
                <w:color w:val="auto"/>
                <w:highlight w:val="none"/>
                <w:lang w:eastAsia="zh-CN"/>
              </w:rPr>
            </w:pPr>
            <w:r>
              <w:rPr>
                <w:color w:val="auto"/>
                <w:highlight w:val="none"/>
              </w:rPr>
              <w:t>包括二次PM</w:t>
            </w:r>
            <w:r>
              <w:rPr>
                <w:color w:val="auto"/>
                <w:highlight w:val="none"/>
                <w:vertAlign w:val="subscript"/>
              </w:rPr>
              <w:t>2.5</w:t>
            </w:r>
            <w:r>
              <w:rPr>
                <w:rFonts w:hint="eastAsia"/>
                <w:color w:val="auto"/>
                <w:highlight w:val="none"/>
                <w:lang w:eastAsia="zh-CN"/>
              </w:rPr>
              <w:t>□</w:t>
            </w:r>
          </w:p>
        </w:tc>
      </w:tr>
      <w:tr w14:paraId="6C0BEEB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4F5EB230">
            <w:pPr>
              <w:pStyle w:val="17"/>
              <w:bidi w:val="0"/>
              <w:rPr>
                <w:color w:val="auto"/>
                <w:highlight w:val="none"/>
              </w:rPr>
            </w:pPr>
          </w:p>
        </w:tc>
        <w:tc>
          <w:tcPr>
            <w:tcW w:w="1421" w:type="dxa"/>
            <w:vMerge w:val="continue"/>
            <w:shd w:val="clear" w:color="auto" w:fill="auto"/>
            <w:vAlign w:val="center"/>
          </w:tcPr>
          <w:p w14:paraId="1F3FC4A9">
            <w:pPr>
              <w:pStyle w:val="17"/>
              <w:bidi w:val="0"/>
              <w:rPr>
                <w:color w:val="auto"/>
                <w:highlight w:val="none"/>
              </w:rPr>
            </w:pPr>
          </w:p>
        </w:tc>
        <w:tc>
          <w:tcPr>
            <w:tcW w:w="3512" w:type="dxa"/>
            <w:gridSpan w:val="8"/>
            <w:vMerge w:val="continue"/>
            <w:shd w:val="clear" w:color="auto" w:fill="auto"/>
            <w:vAlign w:val="center"/>
          </w:tcPr>
          <w:p w14:paraId="774A8EED">
            <w:pPr>
              <w:pStyle w:val="17"/>
              <w:bidi w:val="0"/>
              <w:rPr>
                <w:color w:val="auto"/>
                <w:highlight w:val="none"/>
              </w:rPr>
            </w:pPr>
          </w:p>
        </w:tc>
        <w:tc>
          <w:tcPr>
            <w:tcW w:w="2866" w:type="dxa"/>
            <w:gridSpan w:val="7"/>
            <w:shd w:val="clear" w:color="auto" w:fill="auto"/>
            <w:vAlign w:val="center"/>
          </w:tcPr>
          <w:p w14:paraId="3A46286F">
            <w:pPr>
              <w:pStyle w:val="17"/>
              <w:bidi w:val="0"/>
              <w:rPr>
                <w:rFonts w:hint="eastAsia" w:eastAsia="宋体"/>
                <w:color w:val="auto"/>
                <w:highlight w:val="none"/>
                <w:lang w:eastAsia="zh-CN"/>
              </w:rPr>
            </w:pPr>
            <w:r>
              <w:rPr>
                <w:color w:val="auto"/>
                <w:highlight w:val="none"/>
              </w:rPr>
              <w:t>不包括二次PM</w:t>
            </w:r>
            <w:r>
              <w:rPr>
                <w:color w:val="auto"/>
                <w:highlight w:val="none"/>
                <w:vertAlign w:val="subscript"/>
              </w:rPr>
              <w:t>2.5</w:t>
            </w:r>
            <w:r>
              <w:rPr>
                <w:rFonts w:hint="eastAsia"/>
                <w:color w:val="auto"/>
                <w:highlight w:val="none"/>
                <w:lang w:eastAsia="zh-CN"/>
              </w:rPr>
              <w:t>□</w:t>
            </w:r>
          </w:p>
        </w:tc>
      </w:tr>
      <w:tr w14:paraId="5D94F9D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65C1F6A6">
            <w:pPr>
              <w:pStyle w:val="17"/>
              <w:bidi w:val="0"/>
              <w:rPr>
                <w:color w:val="auto"/>
                <w:highlight w:val="none"/>
              </w:rPr>
            </w:pPr>
          </w:p>
        </w:tc>
        <w:tc>
          <w:tcPr>
            <w:tcW w:w="1421" w:type="dxa"/>
            <w:shd w:val="clear" w:color="auto" w:fill="auto"/>
            <w:vAlign w:val="center"/>
          </w:tcPr>
          <w:p w14:paraId="072A7280">
            <w:pPr>
              <w:pStyle w:val="17"/>
              <w:bidi w:val="0"/>
              <w:rPr>
                <w:color w:val="auto"/>
                <w:highlight w:val="none"/>
              </w:rPr>
            </w:pPr>
            <w:r>
              <w:rPr>
                <w:color w:val="auto"/>
                <w:highlight w:val="none"/>
              </w:rPr>
              <w:t>正常排放短</w:t>
            </w:r>
          </w:p>
          <w:p w14:paraId="6DFB8119">
            <w:pPr>
              <w:pStyle w:val="17"/>
              <w:bidi w:val="0"/>
              <w:rPr>
                <w:color w:val="auto"/>
                <w:highlight w:val="none"/>
              </w:rPr>
            </w:pPr>
            <w:r>
              <w:rPr>
                <w:color w:val="auto"/>
                <w:highlight w:val="none"/>
              </w:rPr>
              <w:t>期浓度贡献值</w:t>
            </w:r>
          </w:p>
        </w:tc>
        <w:tc>
          <w:tcPr>
            <w:tcW w:w="3512" w:type="dxa"/>
            <w:gridSpan w:val="8"/>
            <w:shd w:val="clear" w:color="auto" w:fill="auto"/>
            <w:vAlign w:val="center"/>
          </w:tcPr>
          <w:p w14:paraId="545E6E83">
            <w:pPr>
              <w:pStyle w:val="17"/>
              <w:bidi w:val="0"/>
              <w:rPr>
                <w:rFonts w:hint="eastAsia" w:eastAsia="宋体"/>
                <w:color w:val="auto"/>
                <w:highlight w:val="none"/>
                <w:lang w:eastAsia="zh-CN"/>
              </w:rPr>
            </w:pPr>
            <w:r>
              <w:rPr>
                <w:color w:val="auto"/>
                <w:highlight w:val="none"/>
              </w:rPr>
              <w:t>C本项目最大占标率≤100%</w:t>
            </w:r>
            <w:r>
              <w:rPr>
                <w:rFonts w:hint="eastAsia"/>
                <w:color w:val="auto"/>
                <w:highlight w:val="none"/>
                <w:lang w:eastAsia="zh-CN"/>
              </w:rPr>
              <w:t>□</w:t>
            </w:r>
          </w:p>
        </w:tc>
        <w:tc>
          <w:tcPr>
            <w:tcW w:w="2866" w:type="dxa"/>
            <w:gridSpan w:val="7"/>
            <w:shd w:val="clear" w:color="auto" w:fill="auto"/>
            <w:vAlign w:val="center"/>
          </w:tcPr>
          <w:p w14:paraId="6961CDC9">
            <w:pPr>
              <w:pStyle w:val="17"/>
              <w:bidi w:val="0"/>
              <w:rPr>
                <w:rFonts w:hint="eastAsia" w:eastAsia="宋体"/>
                <w:color w:val="auto"/>
                <w:highlight w:val="none"/>
                <w:lang w:eastAsia="zh-CN"/>
              </w:rPr>
            </w:pPr>
            <w:r>
              <w:rPr>
                <w:color w:val="auto"/>
                <w:highlight w:val="none"/>
              </w:rPr>
              <w:t>C本项目最大占标率&gt;100%</w:t>
            </w:r>
            <w:r>
              <w:rPr>
                <w:rFonts w:hint="eastAsia"/>
                <w:color w:val="auto"/>
                <w:highlight w:val="none"/>
                <w:lang w:eastAsia="zh-CN"/>
              </w:rPr>
              <w:t>□</w:t>
            </w:r>
          </w:p>
        </w:tc>
      </w:tr>
      <w:tr w14:paraId="2180DC1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5846A842">
            <w:pPr>
              <w:pStyle w:val="17"/>
              <w:bidi w:val="0"/>
              <w:rPr>
                <w:color w:val="auto"/>
                <w:highlight w:val="none"/>
              </w:rPr>
            </w:pPr>
          </w:p>
        </w:tc>
        <w:tc>
          <w:tcPr>
            <w:tcW w:w="1421" w:type="dxa"/>
            <w:vMerge w:val="restart"/>
            <w:shd w:val="clear" w:color="auto" w:fill="auto"/>
            <w:vAlign w:val="center"/>
          </w:tcPr>
          <w:p w14:paraId="07D4F0AC">
            <w:pPr>
              <w:pStyle w:val="17"/>
              <w:bidi w:val="0"/>
              <w:rPr>
                <w:color w:val="auto"/>
                <w:highlight w:val="none"/>
              </w:rPr>
            </w:pPr>
            <w:r>
              <w:rPr>
                <w:color w:val="auto"/>
                <w:highlight w:val="none"/>
              </w:rPr>
              <w:t>正常排放年均浓度贡献值</w:t>
            </w:r>
          </w:p>
        </w:tc>
        <w:tc>
          <w:tcPr>
            <w:tcW w:w="1719" w:type="dxa"/>
            <w:gridSpan w:val="3"/>
            <w:shd w:val="clear" w:color="auto" w:fill="auto"/>
            <w:vAlign w:val="center"/>
          </w:tcPr>
          <w:p w14:paraId="1FA39828">
            <w:pPr>
              <w:pStyle w:val="17"/>
              <w:bidi w:val="0"/>
              <w:rPr>
                <w:color w:val="auto"/>
                <w:highlight w:val="none"/>
              </w:rPr>
            </w:pPr>
            <w:r>
              <w:rPr>
                <w:color w:val="auto"/>
                <w:highlight w:val="none"/>
              </w:rPr>
              <w:t>一类区</w:t>
            </w:r>
          </w:p>
        </w:tc>
        <w:tc>
          <w:tcPr>
            <w:tcW w:w="1793" w:type="dxa"/>
            <w:gridSpan w:val="5"/>
            <w:shd w:val="clear" w:color="auto" w:fill="auto"/>
            <w:vAlign w:val="center"/>
          </w:tcPr>
          <w:p w14:paraId="09E49D59">
            <w:pPr>
              <w:pStyle w:val="17"/>
              <w:bidi w:val="0"/>
              <w:rPr>
                <w:color w:val="auto"/>
                <w:highlight w:val="none"/>
              </w:rPr>
            </w:pPr>
            <w:r>
              <w:rPr>
                <w:color w:val="auto"/>
                <w:highlight w:val="none"/>
              </w:rPr>
              <w:t>C本项目最大占标</w:t>
            </w:r>
          </w:p>
          <w:p w14:paraId="17C53412">
            <w:pPr>
              <w:pStyle w:val="17"/>
              <w:bidi w:val="0"/>
              <w:rPr>
                <w:rFonts w:hint="eastAsia" w:eastAsia="宋体"/>
                <w:color w:val="auto"/>
                <w:highlight w:val="none"/>
                <w:lang w:eastAsia="zh-CN"/>
              </w:rPr>
            </w:pPr>
            <w:r>
              <w:rPr>
                <w:color w:val="auto"/>
                <w:highlight w:val="none"/>
              </w:rPr>
              <w:t>率≤10%</w:t>
            </w:r>
            <w:r>
              <w:rPr>
                <w:rFonts w:hint="eastAsia"/>
                <w:color w:val="auto"/>
                <w:highlight w:val="none"/>
                <w:lang w:eastAsia="zh-CN"/>
              </w:rPr>
              <w:t>□</w:t>
            </w:r>
          </w:p>
        </w:tc>
        <w:tc>
          <w:tcPr>
            <w:tcW w:w="2866" w:type="dxa"/>
            <w:gridSpan w:val="7"/>
            <w:shd w:val="clear" w:color="auto" w:fill="auto"/>
            <w:vAlign w:val="center"/>
          </w:tcPr>
          <w:p w14:paraId="3C33AA05">
            <w:pPr>
              <w:pStyle w:val="17"/>
              <w:bidi w:val="0"/>
              <w:rPr>
                <w:rFonts w:hint="eastAsia" w:eastAsia="宋体"/>
                <w:color w:val="auto"/>
                <w:highlight w:val="none"/>
                <w:lang w:eastAsia="zh-CN"/>
              </w:rPr>
            </w:pPr>
            <w:r>
              <w:rPr>
                <w:color w:val="auto"/>
                <w:highlight w:val="none"/>
              </w:rPr>
              <w:t>C本项目最大占标率&gt;10%</w:t>
            </w:r>
            <w:r>
              <w:rPr>
                <w:rFonts w:hint="eastAsia"/>
                <w:color w:val="auto"/>
                <w:highlight w:val="none"/>
                <w:lang w:eastAsia="zh-CN"/>
              </w:rPr>
              <w:t>□</w:t>
            </w:r>
          </w:p>
        </w:tc>
      </w:tr>
      <w:tr w14:paraId="259511D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55BC4FF2">
            <w:pPr>
              <w:pStyle w:val="17"/>
              <w:bidi w:val="0"/>
              <w:rPr>
                <w:color w:val="auto"/>
                <w:highlight w:val="none"/>
              </w:rPr>
            </w:pPr>
          </w:p>
        </w:tc>
        <w:tc>
          <w:tcPr>
            <w:tcW w:w="1421" w:type="dxa"/>
            <w:vMerge w:val="continue"/>
            <w:shd w:val="clear" w:color="auto" w:fill="auto"/>
            <w:vAlign w:val="center"/>
          </w:tcPr>
          <w:p w14:paraId="78FA1D30">
            <w:pPr>
              <w:pStyle w:val="17"/>
              <w:bidi w:val="0"/>
              <w:rPr>
                <w:color w:val="auto"/>
                <w:highlight w:val="none"/>
              </w:rPr>
            </w:pPr>
          </w:p>
        </w:tc>
        <w:tc>
          <w:tcPr>
            <w:tcW w:w="1719" w:type="dxa"/>
            <w:gridSpan w:val="3"/>
            <w:shd w:val="clear" w:color="auto" w:fill="auto"/>
            <w:vAlign w:val="center"/>
          </w:tcPr>
          <w:p w14:paraId="7B8F9B30">
            <w:pPr>
              <w:pStyle w:val="17"/>
              <w:bidi w:val="0"/>
              <w:rPr>
                <w:color w:val="auto"/>
                <w:highlight w:val="none"/>
              </w:rPr>
            </w:pPr>
            <w:r>
              <w:rPr>
                <w:color w:val="auto"/>
                <w:highlight w:val="none"/>
              </w:rPr>
              <w:t>二类区</w:t>
            </w:r>
          </w:p>
        </w:tc>
        <w:tc>
          <w:tcPr>
            <w:tcW w:w="1793" w:type="dxa"/>
            <w:gridSpan w:val="5"/>
            <w:shd w:val="clear" w:color="auto" w:fill="auto"/>
            <w:vAlign w:val="center"/>
          </w:tcPr>
          <w:p w14:paraId="0E3394FC">
            <w:pPr>
              <w:pStyle w:val="17"/>
              <w:bidi w:val="0"/>
              <w:rPr>
                <w:color w:val="auto"/>
                <w:highlight w:val="none"/>
              </w:rPr>
            </w:pPr>
            <w:r>
              <w:rPr>
                <w:color w:val="auto"/>
                <w:highlight w:val="none"/>
              </w:rPr>
              <w:t>C本项目最大占标</w:t>
            </w:r>
          </w:p>
          <w:p w14:paraId="578C193E">
            <w:pPr>
              <w:pStyle w:val="17"/>
              <w:bidi w:val="0"/>
              <w:rPr>
                <w:rFonts w:hint="eastAsia" w:eastAsia="宋体"/>
                <w:color w:val="auto"/>
                <w:highlight w:val="none"/>
                <w:lang w:eastAsia="zh-CN"/>
              </w:rPr>
            </w:pPr>
            <w:r>
              <w:rPr>
                <w:color w:val="auto"/>
                <w:highlight w:val="none"/>
              </w:rPr>
              <w:t>率≤30%</w:t>
            </w:r>
            <w:r>
              <w:rPr>
                <w:rFonts w:hint="eastAsia"/>
                <w:color w:val="auto"/>
                <w:highlight w:val="none"/>
                <w:lang w:eastAsia="zh-CN"/>
              </w:rPr>
              <w:t>□</w:t>
            </w:r>
          </w:p>
        </w:tc>
        <w:tc>
          <w:tcPr>
            <w:tcW w:w="2866" w:type="dxa"/>
            <w:gridSpan w:val="7"/>
            <w:shd w:val="clear" w:color="auto" w:fill="auto"/>
            <w:vAlign w:val="center"/>
          </w:tcPr>
          <w:p w14:paraId="2BD8A973">
            <w:pPr>
              <w:pStyle w:val="17"/>
              <w:bidi w:val="0"/>
              <w:rPr>
                <w:rFonts w:hint="eastAsia" w:eastAsia="宋体"/>
                <w:color w:val="auto"/>
                <w:highlight w:val="none"/>
                <w:lang w:eastAsia="zh-CN"/>
              </w:rPr>
            </w:pPr>
            <w:r>
              <w:rPr>
                <w:color w:val="auto"/>
                <w:highlight w:val="none"/>
              </w:rPr>
              <w:t>C本项目最大占标率&gt;30%</w:t>
            </w:r>
            <w:r>
              <w:rPr>
                <w:rFonts w:hint="eastAsia"/>
                <w:color w:val="auto"/>
                <w:highlight w:val="none"/>
                <w:lang w:eastAsia="zh-CN"/>
              </w:rPr>
              <w:t>□</w:t>
            </w:r>
          </w:p>
        </w:tc>
      </w:tr>
      <w:tr w14:paraId="39C4F04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440E6D41">
            <w:pPr>
              <w:pStyle w:val="17"/>
              <w:bidi w:val="0"/>
              <w:rPr>
                <w:color w:val="auto"/>
                <w:highlight w:val="none"/>
              </w:rPr>
            </w:pPr>
          </w:p>
        </w:tc>
        <w:tc>
          <w:tcPr>
            <w:tcW w:w="1421" w:type="dxa"/>
            <w:shd w:val="clear" w:color="auto" w:fill="auto"/>
            <w:vAlign w:val="center"/>
          </w:tcPr>
          <w:p w14:paraId="1928C80F">
            <w:pPr>
              <w:pStyle w:val="17"/>
              <w:bidi w:val="0"/>
              <w:rPr>
                <w:color w:val="auto"/>
                <w:highlight w:val="none"/>
              </w:rPr>
            </w:pPr>
            <w:r>
              <w:rPr>
                <w:color w:val="auto"/>
                <w:highlight w:val="none"/>
              </w:rPr>
              <w:t>非正常1h</w:t>
            </w:r>
          </w:p>
          <w:p w14:paraId="0464C93A">
            <w:pPr>
              <w:pStyle w:val="17"/>
              <w:bidi w:val="0"/>
              <w:rPr>
                <w:color w:val="auto"/>
                <w:highlight w:val="none"/>
              </w:rPr>
            </w:pPr>
            <w:r>
              <w:rPr>
                <w:color w:val="auto"/>
                <w:highlight w:val="none"/>
              </w:rPr>
              <w:t>浓度贡献值</w:t>
            </w:r>
          </w:p>
        </w:tc>
        <w:tc>
          <w:tcPr>
            <w:tcW w:w="1719" w:type="dxa"/>
            <w:gridSpan w:val="3"/>
            <w:shd w:val="clear" w:color="auto" w:fill="auto"/>
            <w:vAlign w:val="center"/>
          </w:tcPr>
          <w:p w14:paraId="6D0E64E1">
            <w:pPr>
              <w:pStyle w:val="17"/>
              <w:bidi w:val="0"/>
              <w:rPr>
                <w:color w:val="auto"/>
                <w:highlight w:val="none"/>
              </w:rPr>
            </w:pPr>
            <w:r>
              <w:rPr>
                <w:color w:val="auto"/>
                <w:highlight w:val="none"/>
              </w:rPr>
              <w:t>非正常持续时长</w:t>
            </w:r>
          </w:p>
          <w:p w14:paraId="443EA4FE">
            <w:pPr>
              <w:pStyle w:val="17"/>
              <w:bidi w:val="0"/>
              <w:rPr>
                <w:color w:val="auto"/>
                <w:highlight w:val="none"/>
              </w:rPr>
            </w:pPr>
            <w:r>
              <w:rPr>
                <w:rFonts w:hint="eastAsia"/>
                <w:color w:val="auto"/>
                <w:highlight w:val="none"/>
                <w:lang w:eastAsia="zh-CN"/>
              </w:rPr>
              <w:t>（</w:t>
            </w:r>
            <w:r>
              <w:rPr>
                <w:color w:val="auto"/>
                <w:highlight w:val="none"/>
              </w:rPr>
              <w:t>）h</w:t>
            </w:r>
          </w:p>
        </w:tc>
        <w:tc>
          <w:tcPr>
            <w:tcW w:w="2990" w:type="dxa"/>
            <w:gridSpan w:val="9"/>
            <w:shd w:val="clear" w:color="auto" w:fill="auto"/>
            <w:vAlign w:val="center"/>
          </w:tcPr>
          <w:p w14:paraId="2C0E58DA">
            <w:pPr>
              <w:pStyle w:val="17"/>
              <w:bidi w:val="0"/>
              <w:rPr>
                <w:rFonts w:hint="eastAsia" w:eastAsia="宋体"/>
                <w:color w:val="auto"/>
                <w:highlight w:val="none"/>
                <w:lang w:eastAsia="zh-CN"/>
              </w:rPr>
            </w:pPr>
            <w:r>
              <w:rPr>
                <w:color w:val="auto"/>
                <w:highlight w:val="none"/>
              </w:rPr>
              <w:t>C非正常占标率≤100%</w:t>
            </w:r>
            <w:r>
              <w:rPr>
                <w:rFonts w:hint="eastAsia"/>
                <w:color w:val="auto"/>
                <w:highlight w:val="none"/>
                <w:lang w:eastAsia="zh-CN"/>
              </w:rPr>
              <w:t>□</w:t>
            </w:r>
          </w:p>
        </w:tc>
        <w:tc>
          <w:tcPr>
            <w:tcW w:w="1669" w:type="dxa"/>
            <w:gridSpan w:val="3"/>
            <w:shd w:val="clear" w:color="auto" w:fill="auto"/>
            <w:vAlign w:val="center"/>
          </w:tcPr>
          <w:p w14:paraId="450C9474">
            <w:pPr>
              <w:pStyle w:val="17"/>
              <w:bidi w:val="0"/>
              <w:rPr>
                <w:rFonts w:hint="eastAsia" w:eastAsia="宋体"/>
                <w:color w:val="auto"/>
                <w:highlight w:val="none"/>
                <w:lang w:eastAsia="zh-CN"/>
              </w:rPr>
            </w:pPr>
            <w:r>
              <w:rPr>
                <w:color w:val="auto"/>
                <w:highlight w:val="none"/>
              </w:rPr>
              <w:t>C非正常占标率&gt;100%</w:t>
            </w:r>
            <w:r>
              <w:rPr>
                <w:rFonts w:hint="eastAsia"/>
                <w:color w:val="auto"/>
                <w:highlight w:val="none"/>
                <w:lang w:eastAsia="zh-CN"/>
              </w:rPr>
              <w:t>□</w:t>
            </w:r>
          </w:p>
        </w:tc>
      </w:tr>
      <w:tr w14:paraId="394EFA3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6A27F1EF">
            <w:pPr>
              <w:pStyle w:val="17"/>
              <w:bidi w:val="0"/>
              <w:rPr>
                <w:color w:val="auto"/>
                <w:highlight w:val="none"/>
              </w:rPr>
            </w:pPr>
          </w:p>
        </w:tc>
        <w:tc>
          <w:tcPr>
            <w:tcW w:w="1421" w:type="dxa"/>
            <w:shd w:val="clear" w:color="auto" w:fill="auto"/>
            <w:vAlign w:val="center"/>
          </w:tcPr>
          <w:p w14:paraId="1B7974F7">
            <w:pPr>
              <w:pStyle w:val="17"/>
              <w:bidi w:val="0"/>
              <w:rPr>
                <w:color w:val="auto"/>
                <w:highlight w:val="none"/>
              </w:rPr>
            </w:pPr>
            <w:r>
              <w:rPr>
                <w:color w:val="auto"/>
                <w:highlight w:val="none"/>
              </w:rPr>
              <w:t>保证率日平均浓度和年平均浓度叠加值</w:t>
            </w:r>
          </w:p>
        </w:tc>
        <w:tc>
          <w:tcPr>
            <w:tcW w:w="3512" w:type="dxa"/>
            <w:gridSpan w:val="8"/>
            <w:shd w:val="clear" w:color="auto" w:fill="auto"/>
            <w:vAlign w:val="center"/>
          </w:tcPr>
          <w:p w14:paraId="5D65A97C">
            <w:pPr>
              <w:pStyle w:val="17"/>
              <w:bidi w:val="0"/>
              <w:rPr>
                <w:rFonts w:hint="eastAsia" w:eastAsia="宋体"/>
                <w:color w:val="auto"/>
                <w:highlight w:val="none"/>
                <w:lang w:eastAsia="zh-CN"/>
              </w:rPr>
            </w:pPr>
            <w:r>
              <w:rPr>
                <w:color w:val="auto"/>
                <w:highlight w:val="none"/>
              </w:rPr>
              <w:t>C叠加达标</w:t>
            </w:r>
            <w:r>
              <w:rPr>
                <w:rFonts w:hint="eastAsia"/>
                <w:color w:val="auto"/>
                <w:highlight w:val="none"/>
                <w:lang w:eastAsia="zh-CN"/>
              </w:rPr>
              <w:t>□</w:t>
            </w:r>
          </w:p>
        </w:tc>
        <w:tc>
          <w:tcPr>
            <w:tcW w:w="2866" w:type="dxa"/>
            <w:gridSpan w:val="7"/>
            <w:shd w:val="clear" w:color="auto" w:fill="auto"/>
            <w:vAlign w:val="center"/>
          </w:tcPr>
          <w:p w14:paraId="25B98294">
            <w:pPr>
              <w:pStyle w:val="17"/>
              <w:bidi w:val="0"/>
              <w:rPr>
                <w:rFonts w:hint="eastAsia" w:eastAsia="宋体"/>
                <w:color w:val="auto"/>
                <w:highlight w:val="none"/>
                <w:lang w:eastAsia="zh-CN"/>
              </w:rPr>
            </w:pPr>
            <w:r>
              <w:rPr>
                <w:color w:val="auto"/>
                <w:highlight w:val="none"/>
              </w:rPr>
              <w:t>C叠加不达标</w:t>
            </w:r>
            <w:r>
              <w:rPr>
                <w:rFonts w:hint="eastAsia"/>
                <w:color w:val="auto"/>
                <w:highlight w:val="none"/>
                <w:lang w:eastAsia="zh-CN"/>
              </w:rPr>
              <w:t>□</w:t>
            </w:r>
          </w:p>
        </w:tc>
      </w:tr>
      <w:tr w14:paraId="39C9C4C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449A4155">
            <w:pPr>
              <w:pStyle w:val="17"/>
              <w:bidi w:val="0"/>
              <w:rPr>
                <w:color w:val="auto"/>
                <w:highlight w:val="none"/>
              </w:rPr>
            </w:pPr>
          </w:p>
        </w:tc>
        <w:tc>
          <w:tcPr>
            <w:tcW w:w="1421" w:type="dxa"/>
            <w:shd w:val="clear" w:color="auto" w:fill="auto"/>
            <w:vAlign w:val="center"/>
          </w:tcPr>
          <w:p w14:paraId="38E4A18B">
            <w:pPr>
              <w:pStyle w:val="17"/>
              <w:bidi w:val="0"/>
              <w:rPr>
                <w:color w:val="auto"/>
                <w:highlight w:val="none"/>
              </w:rPr>
            </w:pPr>
            <w:r>
              <w:rPr>
                <w:color w:val="auto"/>
                <w:highlight w:val="none"/>
              </w:rPr>
              <w:t>区域环境质量的整体变化情况</w:t>
            </w:r>
          </w:p>
        </w:tc>
        <w:tc>
          <w:tcPr>
            <w:tcW w:w="3512" w:type="dxa"/>
            <w:gridSpan w:val="8"/>
            <w:shd w:val="clear" w:color="auto" w:fill="auto"/>
            <w:vAlign w:val="center"/>
          </w:tcPr>
          <w:p w14:paraId="2F1089CB">
            <w:pPr>
              <w:pStyle w:val="17"/>
              <w:bidi w:val="0"/>
              <w:rPr>
                <w:rFonts w:hint="eastAsia" w:eastAsia="宋体"/>
                <w:color w:val="auto"/>
                <w:highlight w:val="none"/>
                <w:lang w:eastAsia="zh-CN"/>
              </w:rPr>
            </w:pPr>
            <w:r>
              <w:rPr>
                <w:color w:val="auto"/>
                <w:highlight w:val="none"/>
              </w:rPr>
              <w:t>k≤-20%</w:t>
            </w:r>
            <w:r>
              <w:rPr>
                <w:rFonts w:hint="eastAsia"/>
                <w:color w:val="auto"/>
                <w:highlight w:val="none"/>
                <w:lang w:eastAsia="zh-CN"/>
              </w:rPr>
              <w:t>□</w:t>
            </w:r>
          </w:p>
        </w:tc>
        <w:tc>
          <w:tcPr>
            <w:tcW w:w="2866" w:type="dxa"/>
            <w:gridSpan w:val="7"/>
            <w:shd w:val="clear" w:color="auto" w:fill="auto"/>
            <w:vAlign w:val="center"/>
          </w:tcPr>
          <w:p w14:paraId="52EA492C">
            <w:pPr>
              <w:pStyle w:val="17"/>
              <w:bidi w:val="0"/>
              <w:rPr>
                <w:color w:val="auto"/>
                <w:highlight w:val="none"/>
              </w:rPr>
            </w:pPr>
            <w:r>
              <w:rPr>
                <w:color w:val="auto"/>
                <w:highlight w:val="none"/>
              </w:rPr>
              <w:t>k&gt;-20%□</w:t>
            </w:r>
          </w:p>
        </w:tc>
      </w:tr>
      <w:tr w14:paraId="7424F86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restart"/>
            <w:shd w:val="clear" w:color="auto" w:fill="auto"/>
            <w:vAlign w:val="center"/>
          </w:tcPr>
          <w:p w14:paraId="7C9FC4DA">
            <w:pPr>
              <w:pStyle w:val="17"/>
              <w:bidi w:val="0"/>
              <w:rPr>
                <w:color w:val="auto"/>
                <w:highlight w:val="none"/>
              </w:rPr>
            </w:pPr>
            <w:r>
              <w:rPr>
                <w:color w:val="auto"/>
                <w:highlight w:val="none"/>
              </w:rPr>
              <w:t>环境监测计划</w:t>
            </w:r>
          </w:p>
        </w:tc>
        <w:tc>
          <w:tcPr>
            <w:tcW w:w="1421" w:type="dxa"/>
            <w:shd w:val="clear" w:color="auto" w:fill="auto"/>
            <w:vAlign w:val="center"/>
          </w:tcPr>
          <w:p w14:paraId="6C0FFB43">
            <w:pPr>
              <w:pStyle w:val="17"/>
              <w:bidi w:val="0"/>
              <w:rPr>
                <w:color w:val="auto"/>
                <w:highlight w:val="none"/>
              </w:rPr>
            </w:pPr>
            <w:r>
              <w:rPr>
                <w:color w:val="auto"/>
                <w:highlight w:val="none"/>
              </w:rPr>
              <w:t>污染源监测</w:t>
            </w:r>
          </w:p>
        </w:tc>
        <w:tc>
          <w:tcPr>
            <w:tcW w:w="2465" w:type="dxa"/>
            <w:gridSpan w:val="6"/>
            <w:shd w:val="clear" w:color="auto" w:fill="auto"/>
            <w:vAlign w:val="center"/>
          </w:tcPr>
          <w:p w14:paraId="6BFB32C0">
            <w:pPr>
              <w:pStyle w:val="17"/>
              <w:bidi w:val="0"/>
              <w:rPr>
                <w:color w:val="auto"/>
                <w:highlight w:val="none"/>
              </w:rPr>
            </w:pPr>
            <w:r>
              <w:rPr>
                <w:color w:val="auto"/>
                <w:highlight w:val="none"/>
              </w:rPr>
              <w:t>监测因子：</w:t>
            </w:r>
            <w:r>
              <w:rPr>
                <w:rFonts w:hint="eastAsia"/>
                <w:color w:val="auto"/>
                <w:highlight w:val="none"/>
                <w:lang w:eastAsia="zh-CN"/>
              </w:rPr>
              <w:t>（</w:t>
            </w:r>
            <w:r>
              <w:rPr>
                <w:color w:val="auto"/>
                <w:highlight w:val="none"/>
              </w:rPr>
              <w:t>TSP、</w:t>
            </w:r>
            <w:r>
              <w:rPr>
                <w:rFonts w:hint="eastAsia"/>
                <w:color w:val="auto"/>
                <w:highlight w:val="none"/>
                <w:lang w:eastAsia="zh-CN"/>
              </w:rPr>
              <w:t>氟化物、</w:t>
            </w:r>
            <w:r>
              <w:rPr>
                <w:rFonts w:hint="eastAsia"/>
                <w:color w:val="auto"/>
                <w:highlight w:val="none"/>
                <w:lang w:val="en-US" w:eastAsia="zh-CN"/>
              </w:rPr>
              <w:t>硫酸雾</w:t>
            </w:r>
            <w:r>
              <w:rPr>
                <w:color w:val="auto"/>
                <w:highlight w:val="none"/>
              </w:rPr>
              <w:t>）</w:t>
            </w:r>
          </w:p>
        </w:tc>
        <w:tc>
          <w:tcPr>
            <w:tcW w:w="2244" w:type="dxa"/>
            <w:gridSpan w:val="6"/>
            <w:shd w:val="clear" w:color="auto" w:fill="auto"/>
            <w:vAlign w:val="center"/>
          </w:tcPr>
          <w:p w14:paraId="00327178">
            <w:pPr>
              <w:pStyle w:val="17"/>
              <w:bidi w:val="0"/>
              <w:rPr>
                <w:color w:val="auto"/>
                <w:highlight w:val="none"/>
              </w:rPr>
            </w:pPr>
            <w:r>
              <w:rPr>
                <w:color w:val="auto"/>
                <w:highlight w:val="none"/>
              </w:rPr>
              <w:t>有组织废气监测</w:t>
            </w:r>
            <w:r>
              <w:rPr>
                <w:rFonts w:hint="eastAsia"/>
                <w:color w:val="auto"/>
                <w:highlight w:val="none"/>
                <w:lang w:eastAsia="zh-CN"/>
              </w:rPr>
              <w:t>☑</w:t>
            </w:r>
          </w:p>
          <w:p w14:paraId="3A0BECB0">
            <w:pPr>
              <w:pStyle w:val="17"/>
              <w:bidi w:val="0"/>
              <w:rPr>
                <w:color w:val="auto"/>
                <w:highlight w:val="none"/>
              </w:rPr>
            </w:pPr>
            <w:r>
              <w:rPr>
                <w:color w:val="auto"/>
                <w:highlight w:val="none"/>
              </w:rPr>
              <w:t>无组织废气监测</w:t>
            </w:r>
            <w:r>
              <w:rPr>
                <w:rFonts w:hint="eastAsia"/>
                <w:color w:val="auto"/>
                <w:highlight w:val="none"/>
                <w:lang w:eastAsia="zh-CN"/>
              </w:rPr>
              <w:t>☑</w:t>
            </w:r>
          </w:p>
        </w:tc>
        <w:tc>
          <w:tcPr>
            <w:tcW w:w="1669" w:type="dxa"/>
            <w:gridSpan w:val="3"/>
            <w:shd w:val="clear" w:color="auto" w:fill="auto"/>
            <w:vAlign w:val="center"/>
          </w:tcPr>
          <w:p w14:paraId="1CE4D2A5">
            <w:pPr>
              <w:pStyle w:val="17"/>
              <w:bidi w:val="0"/>
              <w:rPr>
                <w:color w:val="auto"/>
                <w:highlight w:val="none"/>
              </w:rPr>
            </w:pPr>
            <w:r>
              <w:rPr>
                <w:color w:val="auto"/>
                <w:highlight w:val="none"/>
              </w:rPr>
              <w:t>无监测</w:t>
            </w:r>
            <w:r>
              <w:rPr>
                <w:rFonts w:hint="eastAsia"/>
                <w:color w:val="auto"/>
                <w:highlight w:val="none"/>
                <w:lang w:eastAsia="zh-CN"/>
              </w:rPr>
              <w:t>□</w:t>
            </w:r>
          </w:p>
        </w:tc>
      </w:tr>
      <w:tr w14:paraId="32FC3EF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2C1417C5">
            <w:pPr>
              <w:pStyle w:val="17"/>
              <w:bidi w:val="0"/>
              <w:rPr>
                <w:color w:val="auto"/>
                <w:highlight w:val="none"/>
              </w:rPr>
            </w:pPr>
          </w:p>
        </w:tc>
        <w:tc>
          <w:tcPr>
            <w:tcW w:w="1421" w:type="dxa"/>
            <w:shd w:val="clear" w:color="auto" w:fill="auto"/>
            <w:vAlign w:val="center"/>
          </w:tcPr>
          <w:p w14:paraId="15451D5F">
            <w:pPr>
              <w:pStyle w:val="17"/>
              <w:bidi w:val="0"/>
              <w:rPr>
                <w:color w:val="auto"/>
                <w:highlight w:val="none"/>
              </w:rPr>
            </w:pPr>
            <w:r>
              <w:rPr>
                <w:color w:val="auto"/>
                <w:highlight w:val="none"/>
              </w:rPr>
              <w:t>环境质量监测</w:t>
            </w:r>
          </w:p>
        </w:tc>
        <w:tc>
          <w:tcPr>
            <w:tcW w:w="2465" w:type="dxa"/>
            <w:gridSpan w:val="6"/>
            <w:shd w:val="clear" w:color="auto" w:fill="auto"/>
            <w:vAlign w:val="center"/>
          </w:tcPr>
          <w:p w14:paraId="2675053F">
            <w:pPr>
              <w:pStyle w:val="17"/>
              <w:bidi w:val="0"/>
              <w:rPr>
                <w:color w:val="auto"/>
                <w:highlight w:val="none"/>
              </w:rPr>
            </w:pPr>
            <w:r>
              <w:rPr>
                <w:color w:val="auto"/>
                <w:highlight w:val="none"/>
              </w:rPr>
              <w:t>监测因子：</w:t>
            </w:r>
            <w:r>
              <w:rPr>
                <w:rFonts w:hint="eastAsia"/>
                <w:color w:val="auto"/>
                <w:highlight w:val="none"/>
                <w:lang w:eastAsia="zh-CN"/>
              </w:rPr>
              <w:t>（</w:t>
            </w:r>
            <w:r>
              <w:rPr>
                <w:color w:val="auto"/>
                <w:highlight w:val="none"/>
              </w:rPr>
              <w:t>）</w:t>
            </w:r>
          </w:p>
        </w:tc>
        <w:tc>
          <w:tcPr>
            <w:tcW w:w="2244" w:type="dxa"/>
            <w:gridSpan w:val="6"/>
            <w:shd w:val="clear" w:color="auto" w:fill="auto"/>
            <w:vAlign w:val="center"/>
          </w:tcPr>
          <w:p w14:paraId="4F3A6182">
            <w:pPr>
              <w:pStyle w:val="17"/>
              <w:bidi w:val="0"/>
              <w:rPr>
                <w:color w:val="auto"/>
                <w:highlight w:val="none"/>
              </w:rPr>
            </w:pPr>
            <w:r>
              <w:rPr>
                <w:color w:val="auto"/>
                <w:highlight w:val="none"/>
              </w:rPr>
              <w:t>监测点位数</w:t>
            </w:r>
            <w:r>
              <w:rPr>
                <w:rFonts w:hint="eastAsia"/>
                <w:color w:val="auto"/>
                <w:highlight w:val="none"/>
                <w:lang w:eastAsia="zh-CN"/>
              </w:rPr>
              <w:t>（</w:t>
            </w:r>
            <w:r>
              <w:rPr>
                <w:color w:val="auto"/>
                <w:highlight w:val="none"/>
              </w:rPr>
              <w:t>）</w:t>
            </w:r>
          </w:p>
        </w:tc>
        <w:tc>
          <w:tcPr>
            <w:tcW w:w="1669" w:type="dxa"/>
            <w:gridSpan w:val="3"/>
            <w:shd w:val="clear" w:color="auto" w:fill="auto"/>
            <w:vAlign w:val="center"/>
          </w:tcPr>
          <w:p w14:paraId="2512263A">
            <w:pPr>
              <w:pStyle w:val="17"/>
              <w:bidi w:val="0"/>
              <w:rPr>
                <w:color w:val="auto"/>
                <w:highlight w:val="none"/>
              </w:rPr>
            </w:pPr>
            <w:r>
              <w:rPr>
                <w:color w:val="auto"/>
                <w:highlight w:val="none"/>
              </w:rPr>
              <w:t>无监测</w:t>
            </w:r>
            <w:r>
              <w:rPr>
                <w:rFonts w:hint="eastAsia"/>
                <w:color w:val="auto"/>
                <w:highlight w:val="none"/>
                <w:lang w:eastAsia="zh-CN"/>
              </w:rPr>
              <w:t>□</w:t>
            </w:r>
          </w:p>
        </w:tc>
      </w:tr>
      <w:tr w14:paraId="496229A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restart"/>
            <w:shd w:val="clear" w:color="auto" w:fill="auto"/>
            <w:vAlign w:val="center"/>
          </w:tcPr>
          <w:p w14:paraId="5B923126">
            <w:pPr>
              <w:pStyle w:val="17"/>
              <w:bidi w:val="0"/>
              <w:rPr>
                <w:color w:val="auto"/>
                <w:highlight w:val="none"/>
              </w:rPr>
            </w:pPr>
            <w:r>
              <w:rPr>
                <w:color w:val="auto"/>
                <w:highlight w:val="none"/>
              </w:rPr>
              <w:t>评价结论</w:t>
            </w:r>
          </w:p>
        </w:tc>
        <w:tc>
          <w:tcPr>
            <w:tcW w:w="1421" w:type="dxa"/>
            <w:shd w:val="clear" w:color="auto" w:fill="auto"/>
            <w:vAlign w:val="center"/>
          </w:tcPr>
          <w:p w14:paraId="09C131CE">
            <w:pPr>
              <w:pStyle w:val="17"/>
              <w:bidi w:val="0"/>
              <w:rPr>
                <w:color w:val="auto"/>
                <w:highlight w:val="none"/>
              </w:rPr>
            </w:pPr>
            <w:r>
              <w:rPr>
                <w:color w:val="auto"/>
                <w:highlight w:val="none"/>
              </w:rPr>
              <w:t>环境影响</w:t>
            </w:r>
          </w:p>
        </w:tc>
        <w:tc>
          <w:tcPr>
            <w:tcW w:w="6378" w:type="dxa"/>
            <w:gridSpan w:val="15"/>
            <w:shd w:val="clear" w:color="auto" w:fill="auto"/>
            <w:vAlign w:val="center"/>
          </w:tcPr>
          <w:p w14:paraId="2C51B32E">
            <w:pPr>
              <w:pStyle w:val="17"/>
              <w:bidi w:val="0"/>
              <w:rPr>
                <w:color w:val="auto"/>
                <w:highlight w:val="none"/>
              </w:rPr>
            </w:pPr>
            <w:r>
              <w:rPr>
                <w:color w:val="auto"/>
                <w:highlight w:val="none"/>
              </w:rPr>
              <w:t>可以接受</w:t>
            </w:r>
            <w:r>
              <w:rPr>
                <w:rFonts w:hint="eastAsia"/>
                <w:color w:val="auto"/>
                <w:highlight w:val="none"/>
                <w:lang w:eastAsia="zh-CN"/>
              </w:rPr>
              <w:t>☑</w:t>
            </w:r>
            <w:r>
              <w:rPr>
                <w:rFonts w:hint="eastAsia"/>
                <w:color w:val="auto"/>
                <w:highlight w:val="none"/>
                <w:lang w:val="en-US" w:eastAsia="zh-CN"/>
              </w:rPr>
              <w:t xml:space="preserve">    </w:t>
            </w:r>
            <w:r>
              <w:rPr>
                <w:color w:val="auto"/>
                <w:highlight w:val="none"/>
              </w:rPr>
              <w:t>不可以接受</w:t>
            </w:r>
            <w:r>
              <w:rPr>
                <w:rFonts w:hint="eastAsia"/>
                <w:color w:val="auto"/>
                <w:highlight w:val="none"/>
                <w:lang w:eastAsia="zh-CN"/>
              </w:rPr>
              <w:t>□</w:t>
            </w:r>
          </w:p>
        </w:tc>
      </w:tr>
      <w:tr w14:paraId="73B3266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5638AA55">
            <w:pPr>
              <w:pStyle w:val="17"/>
              <w:bidi w:val="0"/>
              <w:rPr>
                <w:color w:val="auto"/>
                <w:highlight w:val="none"/>
              </w:rPr>
            </w:pPr>
          </w:p>
        </w:tc>
        <w:tc>
          <w:tcPr>
            <w:tcW w:w="1421" w:type="dxa"/>
            <w:shd w:val="clear" w:color="auto" w:fill="auto"/>
            <w:vAlign w:val="center"/>
          </w:tcPr>
          <w:p w14:paraId="1AE6124B">
            <w:pPr>
              <w:pStyle w:val="17"/>
              <w:bidi w:val="0"/>
              <w:rPr>
                <w:color w:val="auto"/>
                <w:highlight w:val="none"/>
              </w:rPr>
            </w:pPr>
            <w:r>
              <w:rPr>
                <w:color w:val="auto"/>
                <w:highlight w:val="none"/>
              </w:rPr>
              <w:t>大气环境防</w:t>
            </w:r>
          </w:p>
          <w:p w14:paraId="4C884B23">
            <w:pPr>
              <w:pStyle w:val="17"/>
              <w:bidi w:val="0"/>
              <w:rPr>
                <w:color w:val="auto"/>
                <w:highlight w:val="none"/>
              </w:rPr>
            </w:pPr>
            <w:r>
              <w:rPr>
                <w:color w:val="auto"/>
                <w:highlight w:val="none"/>
              </w:rPr>
              <w:t>护距离</w:t>
            </w:r>
          </w:p>
        </w:tc>
        <w:tc>
          <w:tcPr>
            <w:tcW w:w="6378" w:type="dxa"/>
            <w:gridSpan w:val="15"/>
            <w:shd w:val="clear" w:color="auto" w:fill="auto"/>
            <w:vAlign w:val="center"/>
          </w:tcPr>
          <w:p w14:paraId="40157C3F">
            <w:pPr>
              <w:pStyle w:val="17"/>
              <w:bidi w:val="0"/>
              <w:rPr>
                <w:color w:val="auto"/>
                <w:highlight w:val="none"/>
              </w:rPr>
            </w:pPr>
            <w:r>
              <w:rPr>
                <w:rFonts w:hint="default"/>
                <w:color w:val="auto"/>
                <w:highlight w:val="none"/>
              </w:rPr>
              <w:t>本项目无需设置大气环境防护距离</w:t>
            </w:r>
          </w:p>
        </w:tc>
      </w:tr>
      <w:tr w14:paraId="79938B5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535" w:type="dxa"/>
            <w:vMerge w:val="continue"/>
            <w:shd w:val="clear" w:color="auto" w:fill="auto"/>
            <w:vAlign w:val="center"/>
          </w:tcPr>
          <w:p w14:paraId="0B80007D">
            <w:pPr>
              <w:pStyle w:val="17"/>
              <w:bidi w:val="0"/>
              <w:rPr>
                <w:color w:val="auto"/>
                <w:highlight w:val="none"/>
              </w:rPr>
            </w:pPr>
          </w:p>
        </w:tc>
        <w:tc>
          <w:tcPr>
            <w:tcW w:w="1421" w:type="dxa"/>
            <w:shd w:val="clear" w:color="auto" w:fill="auto"/>
            <w:vAlign w:val="center"/>
          </w:tcPr>
          <w:p w14:paraId="492EEF31">
            <w:pPr>
              <w:pStyle w:val="17"/>
              <w:bidi w:val="0"/>
              <w:rPr>
                <w:color w:val="auto"/>
                <w:highlight w:val="none"/>
              </w:rPr>
            </w:pPr>
            <w:r>
              <w:rPr>
                <w:color w:val="auto"/>
                <w:highlight w:val="none"/>
              </w:rPr>
              <w:t>污染源年排</w:t>
            </w:r>
          </w:p>
          <w:p w14:paraId="63C9190C">
            <w:pPr>
              <w:pStyle w:val="17"/>
              <w:bidi w:val="0"/>
              <w:rPr>
                <w:color w:val="auto"/>
                <w:highlight w:val="none"/>
              </w:rPr>
            </w:pPr>
            <w:r>
              <w:rPr>
                <w:color w:val="auto"/>
                <w:highlight w:val="none"/>
              </w:rPr>
              <w:t>放量</w:t>
            </w:r>
          </w:p>
        </w:tc>
        <w:tc>
          <w:tcPr>
            <w:tcW w:w="1972" w:type="dxa"/>
            <w:gridSpan w:val="4"/>
            <w:shd w:val="clear" w:color="auto" w:fill="auto"/>
            <w:vAlign w:val="center"/>
          </w:tcPr>
          <w:p w14:paraId="3FFD366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颗粒物</w:t>
            </w:r>
            <w:r>
              <w:rPr>
                <w:rFonts w:hint="eastAsia"/>
                <w:color w:val="auto"/>
                <w:highlight w:val="none"/>
                <w:lang w:eastAsia="zh-CN"/>
              </w:rPr>
              <w:t>：（</w:t>
            </w:r>
            <w:r>
              <w:rPr>
                <w:rFonts w:hint="eastAsia"/>
                <w:color w:val="auto"/>
                <w:highlight w:val="none"/>
                <w:lang w:val="en-US" w:eastAsia="zh-CN"/>
              </w:rPr>
              <w:t>2.0613</w:t>
            </w:r>
            <w:r>
              <w:rPr>
                <w:color w:val="auto"/>
                <w:highlight w:val="none"/>
              </w:rPr>
              <w:t>）t/a</w:t>
            </w:r>
          </w:p>
        </w:tc>
        <w:tc>
          <w:tcPr>
            <w:tcW w:w="2212" w:type="dxa"/>
            <w:gridSpan w:val="7"/>
            <w:shd w:val="clear" w:color="auto" w:fill="auto"/>
            <w:vAlign w:val="center"/>
          </w:tcPr>
          <w:p w14:paraId="7D352F4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氟化物</w:t>
            </w:r>
            <w:r>
              <w:rPr>
                <w:rFonts w:hint="eastAsia"/>
                <w:color w:val="auto"/>
                <w:highlight w:val="none"/>
                <w:lang w:eastAsia="zh-CN"/>
              </w:rPr>
              <w:t>：（</w:t>
            </w:r>
            <w:r>
              <w:rPr>
                <w:rFonts w:hint="eastAsia"/>
                <w:color w:val="auto"/>
                <w:highlight w:val="none"/>
                <w:lang w:val="en-US" w:eastAsia="zh-CN"/>
              </w:rPr>
              <w:t>0.1405</w:t>
            </w:r>
            <w:r>
              <w:rPr>
                <w:color w:val="auto"/>
                <w:highlight w:val="none"/>
              </w:rPr>
              <w:t>）t/a</w:t>
            </w:r>
          </w:p>
        </w:tc>
        <w:tc>
          <w:tcPr>
            <w:tcW w:w="2194" w:type="dxa"/>
            <w:gridSpan w:val="4"/>
            <w:shd w:val="clear" w:color="auto" w:fill="auto"/>
            <w:vAlign w:val="center"/>
          </w:tcPr>
          <w:p w14:paraId="26EE605A">
            <w:pPr>
              <w:pStyle w:val="17"/>
              <w:bidi w:val="0"/>
              <w:rPr>
                <w:rFonts w:hint="eastAsia" w:eastAsia="宋体"/>
                <w:color w:val="auto"/>
                <w:highlight w:val="none"/>
                <w:lang w:val="en-US" w:eastAsia="zh-CN"/>
              </w:rPr>
            </w:pPr>
            <w:r>
              <w:rPr>
                <w:rFonts w:hint="eastAsia"/>
                <w:color w:val="auto"/>
                <w:highlight w:val="none"/>
                <w:lang w:val="en-US" w:eastAsia="zh-CN"/>
              </w:rPr>
              <w:t>硫酸雾</w:t>
            </w:r>
            <w:r>
              <w:rPr>
                <w:rFonts w:hint="eastAsia"/>
                <w:color w:val="auto"/>
                <w:highlight w:val="none"/>
                <w:lang w:eastAsia="zh-CN"/>
              </w:rPr>
              <w:t>：（</w:t>
            </w:r>
            <w:r>
              <w:rPr>
                <w:rFonts w:hint="eastAsia"/>
                <w:color w:val="auto"/>
                <w:highlight w:val="none"/>
                <w:lang w:val="en-US" w:eastAsia="zh-CN"/>
              </w:rPr>
              <w:t>0.0642</w:t>
            </w:r>
            <w:r>
              <w:rPr>
                <w:color w:val="auto"/>
                <w:highlight w:val="none"/>
              </w:rPr>
              <w:t>）t/a</w:t>
            </w:r>
          </w:p>
        </w:tc>
      </w:tr>
      <w:tr w14:paraId="7A0305C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cantSplit/>
          <w:jc w:val="center"/>
        </w:trPr>
        <w:tc>
          <w:tcPr>
            <w:tcW w:w="8334" w:type="dxa"/>
            <w:gridSpan w:val="17"/>
            <w:shd w:val="clear" w:color="auto" w:fill="auto"/>
            <w:vAlign w:val="center"/>
          </w:tcPr>
          <w:p w14:paraId="1090307A">
            <w:pPr>
              <w:pStyle w:val="17"/>
              <w:bidi w:val="0"/>
              <w:rPr>
                <w:color w:val="auto"/>
                <w:highlight w:val="none"/>
              </w:rPr>
            </w:pPr>
            <w:r>
              <w:rPr>
                <w:color w:val="auto"/>
                <w:highlight w:val="none"/>
              </w:rPr>
              <w:t>注：“”为勾选项，填“√”；“</w:t>
            </w:r>
            <w:r>
              <w:rPr>
                <w:rFonts w:hint="eastAsia"/>
                <w:color w:val="auto"/>
                <w:highlight w:val="none"/>
                <w:lang w:eastAsia="zh-CN"/>
              </w:rPr>
              <w:t>（</w:t>
            </w:r>
            <w:r>
              <w:rPr>
                <w:color w:val="auto"/>
                <w:highlight w:val="none"/>
              </w:rPr>
              <w:t>）”为内容填写项</w:t>
            </w:r>
          </w:p>
        </w:tc>
      </w:tr>
    </w:tbl>
    <w:p w14:paraId="6C823CA3">
      <w:pPr>
        <w:pStyle w:val="6"/>
        <w:rPr>
          <w:color w:val="auto"/>
          <w:highlight w:val="none"/>
        </w:rPr>
      </w:pPr>
      <w:bookmarkStart w:id="656" w:name="_Toc23305"/>
      <w:bookmarkStart w:id="657" w:name="_Toc3260"/>
      <w:bookmarkStart w:id="658" w:name="_Toc29792"/>
      <w:r>
        <w:rPr>
          <w:rFonts w:hint="eastAsia"/>
          <w:color w:val="auto"/>
          <w:highlight w:val="none"/>
        </w:rPr>
        <w:t>5</w:t>
      </w:r>
      <w:r>
        <w:rPr>
          <w:color w:val="auto"/>
          <w:highlight w:val="none"/>
        </w:rPr>
        <w:t>.</w:t>
      </w:r>
      <w:r>
        <w:rPr>
          <w:rFonts w:hint="eastAsia"/>
          <w:color w:val="auto"/>
          <w:highlight w:val="none"/>
        </w:rPr>
        <w:t>2.2运营期地表水环境影响分析与评价</w:t>
      </w:r>
      <w:bookmarkEnd w:id="656"/>
      <w:bookmarkEnd w:id="657"/>
      <w:bookmarkEnd w:id="658"/>
    </w:p>
    <w:p w14:paraId="7A29A562">
      <w:pPr>
        <w:pStyle w:val="7"/>
        <w:ind w:firstLine="482" w:firstLineChars="200"/>
        <w:rPr>
          <w:color w:val="auto"/>
          <w:highlight w:val="none"/>
        </w:rPr>
      </w:pPr>
      <w:bookmarkStart w:id="659" w:name="_Toc11550"/>
      <w:r>
        <w:rPr>
          <w:color w:val="auto"/>
          <w:highlight w:val="none"/>
        </w:rPr>
        <w:t>5.2.2.1工程</w:t>
      </w:r>
      <w:r>
        <w:rPr>
          <w:rFonts w:hint="eastAsia"/>
          <w:color w:val="auto"/>
          <w:highlight w:val="none"/>
        </w:rPr>
        <w:t>取水</w:t>
      </w:r>
      <w:r>
        <w:rPr>
          <w:color w:val="auto"/>
          <w:highlight w:val="none"/>
        </w:rPr>
        <w:t>对地表水体的影响</w:t>
      </w:r>
      <w:bookmarkEnd w:id="659"/>
    </w:p>
    <w:p w14:paraId="52F39C79">
      <w:pPr>
        <w:ind w:firstLine="480"/>
        <w:rPr>
          <w:color w:val="auto"/>
          <w:spacing w:val="0"/>
          <w:kern w:val="0"/>
          <w:sz w:val="24"/>
          <w:highlight w:val="none"/>
        </w:rPr>
      </w:pPr>
      <w:r>
        <w:rPr>
          <w:color w:val="auto"/>
          <w:spacing w:val="0"/>
          <w:kern w:val="0"/>
          <w:sz w:val="24"/>
          <w:highlight w:val="none"/>
        </w:rPr>
        <w:t>新建选矿厂给水工程主要</w:t>
      </w:r>
      <w:r>
        <w:rPr>
          <w:rFonts w:hint="eastAsia"/>
          <w:color w:val="auto"/>
          <w:spacing w:val="0"/>
          <w:kern w:val="0"/>
          <w:sz w:val="24"/>
          <w:highlight w:val="none"/>
          <w:lang w:eastAsia="zh-CN"/>
        </w:rPr>
        <w:t>建设</w:t>
      </w:r>
      <w:r>
        <w:rPr>
          <w:rFonts w:hint="eastAsia" w:cs="Times New Roman"/>
          <w:color w:val="auto"/>
          <w:spacing w:val="0"/>
          <w:kern w:val="0"/>
          <w:sz w:val="24"/>
          <w:highlight w:val="none"/>
          <w:lang w:val="en-US" w:eastAsia="zh-CN"/>
        </w:rPr>
        <w:t>2</w:t>
      </w:r>
      <w:r>
        <w:rPr>
          <w:rFonts w:hint="default" w:ascii="Times New Roman" w:hAnsi="Times New Roman" w:cs="Times New Roman"/>
          <w:color w:val="auto"/>
          <w:spacing w:val="0"/>
          <w:kern w:val="0"/>
          <w:sz w:val="24"/>
          <w:highlight w:val="none"/>
          <w:lang w:val="zh-CN"/>
        </w:rPr>
        <w:t>000m</w:t>
      </w:r>
      <w:r>
        <w:rPr>
          <w:rFonts w:hint="default" w:ascii="Times New Roman" w:hAnsi="Times New Roman" w:cs="Times New Roman"/>
          <w:color w:val="auto"/>
          <w:spacing w:val="0"/>
          <w:kern w:val="0"/>
          <w:sz w:val="24"/>
          <w:highlight w:val="none"/>
          <w:vertAlign w:val="superscript"/>
          <w:lang w:val="zh-CN"/>
        </w:rPr>
        <w:t>3</w:t>
      </w:r>
      <w:r>
        <w:rPr>
          <w:rFonts w:hint="default" w:ascii="Times New Roman" w:hAnsi="Times New Roman" w:cs="Times New Roman"/>
          <w:color w:val="auto"/>
          <w:spacing w:val="0"/>
          <w:kern w:val="0"/>
          <w:sz w:val="24"/>
          <w:highlight w:val="none"/>
          <w:lang w:val="zh-CN"/>
        </w:rPr>
        <w:t>高位生产消防合用水池</w:t>
      </w:r>
      <w:r>
        <w:rPr>
          <w:rFonts w:hint="eastAsia" w:ascii="Times New Roman" w:hAnsi="Times New Roman" w:cs="Times New Roman"/>
          <w:color w:val="auto"/>
          <w:spacing w:val="0"/>
          <w:kern w:val="0"/>
          <w:sz w:val="24"/>
          <w:highlight w:val="none"/>
          <w:lang w:val="zh-CN"/>
        </w:rPr>
        <w:t>，</w:t>
      </w:r>
      <w:r>
        <w:rPr>
          <w:rFonts w:hint="default" w:ascii="Times New Roman" w:hAnsi="Times New Roman" w:cs="Times New Roman"/>
          <w:color w:val="auto"/>
          <w:spacing w:val="0"/>
          <w:kern w:val="0"/>
          <w:sz w:val="24"/>
          <w:highlight w:val="none"/>
          <w:lang w:val="zh-CN"/>
        </w:rPr>
        <w:t>水池</w:t>
      </w:r>
      <w:r>
        <w:rPr>
          <w:rFonts w:hint="eastAsia" w:ascii="Times New Roman" w:hAnsi="Times New Roman" w:cs="Times New Roman"/>
          <w:color w:val="auto"/>
          <w:spacing w:val="0"/>
          <w:kern w:val="0"/>
          <w:sz w:val="24"/>
          <w:highlight w:val="none"/>
          <w:lang w:val="zh-CN"/>
        </w:rPr>
        <w:t>连接</w:t>
      </w:r>
      <w:r>
        <w:rPr>
          <w:rFonts w:hint="eastAsia"/>
          <w:color w:val="auto"/>
          <w:spacing w:val="0"/>
          <w:kern w:val="0"/>
          <w:sz w:val="24"/>
          <w:highlight w:val="none"/>
          <w:lang w:eastAsia="zh-CN"/>
        </w:rPr>
        <w:t>采矿工程的</w:t>
      </w:r>
      <w:r>
        <w:rPr>
          <w:rFonts w:hint="default" w:ascii="Times New Roman" w:hAnsi="Times New Roman" w:cs="Times New Roman"/>
          <w:color w:val="auto"/>
          <w:spacing w:val="0"/>
          <w:kern w:val="0"/>
          <w:sz w:val="24"/>
          <w:highlight w:val="none"/>
          <w:lang w:val="zh-CN"/>
        </w:rPr>
        <w:t>取水泵房和吸水池，出水自流进入选矿厂区</w:t>
      </w:r>
      <w:r>
        <w:rPr>
          <w:rFonts w:hint="eastAsia" w:ascii="Times New Roman" w:hAnsi="Times New Roman" w:cs="Times New Roman"/>
          <w:color w:val="auto"/>
          <w:spacing w:val="0"/>
          <w:kern w:val="0"/>
          <w:sz w:val="24"/>
          <w:highlight w:val="none"/>
          <w:lang w:val="zh-CN"/>
        </w:rPr>
        <w:t>。</w:t>
      </w:r>
      <w:r>
        <w:rPr>
          <w:rFonts w:hint="eastAsia" w:cs="Times New Roman"/>
          <w:color w:val="auto"/>
          <w:spacing w:val="0"/>
          <w:kern w:val="0"/>
          <w:sz w:val="24"/>
          <w:highlight w:val="none"/>
          <w:lang w:val="en-US" w:eastAsia="zh-CN"/>
        </w:rPr>
        <w:t>优先利用</w:t>
      </w:r>
      <w:r>
        <w:rPr>
          <w:color w:val="auto"/>
          <w:spacing w:val="0"/>
          <w:kern w:val="0"/>
          <w:sz w:val="24"/>
          <w:highlight w:val="none"/>
        </w:rPr>
        <w:t>采矿工程矿井涌水为生产水源</w:t>
      </w:r>
      <w:r>
        <w:rPr>
          <w:rFonts w:hint="eastAsia"/>
          <w:color w:val="auto"/>
          <w:spacing w:val="0"/>
          <w:kern w:val="0"/>
          <w:sz w:val="24"/>
          <w:highlight w:val="none"/>
          <w:lang w:eastAsia="zh-CN"/>
        </w:rPr>
        <w:t>，</w:t>
      </w:r>
      <w:r>
        <w:rPr>
          <w:rFonts w:hint="eastAsia"/>
          <w:color w:val="auto"/>
          <w:spacing w:val="0"/>
          <w:kern w:val="0"/>
          <w:sz w:val="24"/>
          <w:highlight w:val="none"/>
          <w:lang w:val="en-US" w:eastAsia="zh-CN"/>
        </w:rPr>
        <w:t>生产用水不足部分采用</w:t>
      </w:r>
      <w:r>
        <w:rPr>
          <w:rFonts w:hint="eastAsia"/>
          <w:color w:val="auto"/>
          <w:spacing w:val="0"/>
          <w:kern w:val="0"/>
          <w:sz w:val="24"/>
          <w:highlight w:val="none"/>
          <w:lang w:eastAsia="zh-CN"/>
        </w:rPr>
        <w:t>阿克苏</w:t>
      </w:r>
      <w:r>
        <w:rPr>
          <w:color w:val="auto"/>
          <w:spacing w:val="0"/>
          <w:kern w:val="0"/>
          <w:sz w:val="24"/>
          <w:highlight w:val="none"/>
        </w:rPr>
        <w:t>河地表水</w:t>
      </w:r>
      <w:r>
        <w:rPr>
          <w:rFonts w:hint="eastAsia"/>
          <w:color w:val="auto"/>
          <w:spacing w:val="0"/>
          <w:kern w:val="0"/>
          <w:sz w:val="24"/>
          <w:highlight w:val="none"/>
          <w:lang w:val="en-US" w:eastAsia="zh-CN"/>
        </w:rPr>
        <w:t>补充</w:t>
      </w:r>
      <w:r>
        <w:rPr>
          <w:color w:val="auto"/>
          <w:spacing w:val="0"/>
          <w:kern w:val="0"/>
          <w:sz w:val="24"/>
          <w:highlight w:val="none"/>
        </w:rPr>
        <w:t>，</w:t>
      </w:r>
      <w:r>
        <w:rPr>
          <w:rFonts w:hint="eastAsia"/>
          <w:color w:val="auto"/>
          <w:spacing w:val="0"/>
          <w:kern w:val="0"/>
          <w:sz w:val="24"/>
          <w:highlight w:val="none"/>
          <w:vertAlign w:val="baseline"/>
          <w:lang w:val="en-US" w:eastAsia="zh-CN"/>
        </w:rPr>
        <w:t>生活用水水源全部取用</w:t>
      </w:r>
      <w:r>
        <w:rPr>
          <w:rFonts w:hint="eastAsia"/>
          <w:color w:val="auto"/>
          <w:spacing w:val="0"/>
          <w:kern w:val="0"/>
          <w:sz w:val="24"/>
          <w:highlight w:val="none"/>
          <w:lang w:eastAsia="zh-CN"/>
        </w:rPr>
        <w:t>阿克苏</w:t>
      </w:r>
      <w:r>
        <w:rPr>
          <w:color w:val="auto"/>
          <w:spacing w:val="0"/>
          <w:kern w:val="0"/>
          <w:sz w:val="24"/>
          <w:highlight w:val="none"/>
        </w:rPr>
        <w:t>河地表水。</w:t>
      </w:r>
    </w:p>
    <w:p w14:paraId="7B498F4D">
      <w:pPr>
        <w:overflowPunct w:val="0"/>
        <w:topLinePunct/>
        <w:ind w:firstLine="480"/>
        <w:rPr>
          <w:color w:val="auto"/>
          <w:spacing w:val="0"/>
          <w:kern w:val="0"/>
          <w:sz w:val="24"/>
          <w:highlight w:val="none"/>
        </w:rPr>
      </w:pPr>
      <w:bookmarkStart w:id="660" w:name="_Toc30684"/>
      <w:r>
        <w:rPr>
          <w:color w:val="auto"/>
          <w:spacing w:val="0"/>
          <w:kern w:val="0"/>
          <w:sz w:val="24"/>
          <w:highlight w:val="none"/>
        </w:rPr>
        <w:t>项目</w:t>
      </w:r>
      <w:r>
        <w:rPr>
          <w:rFonts w:hint="eastAsia"/>
          <w:color w:val="auto"/>
          <w:spacing w:val="0"/>
          <w:kern w:val="0"/>
          <w:sz w:val="24"/>
          <w:highlight w:val="none"/>
        </w:rPr>
        <w:t>建成后，全厂</w:t>
      </w:r>
      <w:r>
        <w:rPr>
          <w:color w:val="auto"/>
          <w:spacing w:val="0"/>
          <w:kern w:val="0"/>
          <w:sz w:val="24"/>
          <w:highlight w:val="none"/>
        </w:rPr>
        <w:t>新鲜水</w:t>
      </w:r>
      <w:r>
        <w:rPr>
          <w:rFonts w:hint="eastAsia"/>
          <w:color w:val="auto"/>
          <w:spacing w:val="0"/>
          <w:kern w:val="0"/>
          <w:sz w:val="24"/>
          <w:highlight w:val="none"/>
          <w:lang w:val="en-US" w:eastAsia="zh-CN"/>
        </w:rPr>
        <w:t>最大</w:t>
      </w:r>
      <w:r>
        <w:rPr>
          <w:color w:val="auto"/>
          <w:spacing w:val="0"/>
          <w:kern w:val="0"/>
          <w:sz w:val="24"/>
          <w:highlight w:val="none"/>
        </w:rPr>
        <w:t>用水量为</w:t>
      </w:r>
      <w:r>
        <w:rPr>
          <w:rFonts w:hint="eastAsia"/>
          <w:color w:val="auto"/>
          <w:spacing w:val="0"/>
          <w:kern w:val="0"/>
          <w:sz w:val="24"/>
          <w:highlight w:val="none"/>
          <w:lang w:val="en-US" w:eastAsia="zh-CN"/>
        </w:rPr>
        <w:t>126.0249</w:t>
      </w:r>
      <w:r>
        <w:rPr>
          <w:rFonts w:hint="eastAsia"/>
          <w:color w:val="auto"/>
          <w:spacing w:val="0"/>
          <w:kern w:val="0"/>
          <w:sz w:val="24"/>
          <w:highlight w:val="none"/>
        </w:rPr>
        <w:t>万</w:t>
      </w:r>
      <w:r>
        <w:rPr>
          <w:color w:val="auto"/>
          <w:spacing w:val="0"/>
          <w:kern w:val="0"/>
          <w:sz w:val="24"/>
          <w:highlight w:val="none"/>
        </w:rPr>
        <w:t>m</w:t>
      </w:r>
      <w:r>
        <w:rPr>
          <w:color w:val="auto"/>
          <w:spacing w:val="0"/>
          <w:kern w:val="0"/>
          <w:sz w:val="24"/>
          <w:highlight w:val="none"/>
          <w:vertAlign w:val="superscript"/>
        </w:rPr>
        <w:t>3</w:t>
      </w:r>
      <w:r>
        <w:rPr>
          <w:color w:val="auto"/>
          <w:spacing w:val="0"/>
          <w:kern w:val="0"/>
          <w:sz w:val="24"/>
          <w:highlight w:val="none"/>
        </w:rPr>
        <w:t>/a</w:t>
      </w:r>
      <w:r>
        <w:rPr>
          <w:rFonts w:hint="eastAsia"/>
          <w:color w:val="auto"/>
          <w:spacing w:val="0"/>
          <w:kern w:val="0"/>
          <w:sz w:val="24"/>
          <w:highlight w:val="none"/>
          <w:lang w:eastAsia="zh-CN"/>
        </w:rPr>
        <w:t>，</w:t>
      </w:r>
      <w:r>
        <w:rPr>
          <w:rFonts w:hint="eastAsia"/>
          <w:color w:val="auto"/>
          <w:spacing w:val="0"/>
          <w:kern w:val="0"/>
          <w:sz w:val="24"/>
          <w:highlight w:val="none"/>
          <w:lang w:val="en-US" w:eastAsia="zh-CN"/>
        </w:rPr>
        <w:t>优先利用矿井涌水作为选矿厂水源。</w:t>
      </w:r>
      <w:r>
        <w:rPr>
          <w:rFonts w:hint="eastAsia"/>
          <w:color w:val="auto"/>
          <w:spacing w:val="0"/>
          <w:kern w:val="0"/>
          <w:sz w:val="24"/>
          <w:highlight w:val="none"/>
          <w:lang w:eastAsia="zh-CN"/>
        </w:rPr>
        <w:t>阿克苏</w:t>
      </w:r>
      <w:r>
        <w:rPr>
          <w:color w:val="auto"/>
          <w:spacing w:val="0"/>
          <w:kern w:val="0"/>
          <w:sz w:val="24"/>
          <w:highlight w:val="none"/>
        </w:rPr>
        <w:t>河出山口年径流量为</w:t>
      </w:r>
      <w:r>
        <w:rPr>
          <w:rFonts w:hint="eastAsia"/>
          <w:color w:val="auto"/>
          <w:spacing w:val="0"/>
          <w:kern w:val="0"/>
          <w:sz w:val="24"/>
          <w:highlight w:val="none"/>
          <w:lang w:val="en-US" w:eastAsia="zh-CN"/>
        </w:rPr>
        <w:t>1.23</w:t>
      </w:r>
      <w:r>
        <w:rPr>
          <w:color w:val="auto"/>
          <w:spacing w:val="0"/>
          <w:kern w:val="0"/>
          <w:sz w:val="24"/>
          <w:highlight w:val="none"/>
        </w:rPr>
        <w:t>×10</w:t>
      </w:r>
      <w:r>
        <w:rPr>
          <w:color w:val="auto"/>
          <w:spacing w:val="0"/>
          <w:kern w:val="0"/>
          <w:sz w:val="24"/>
          <w:highlight w:val="none"/>
          <w:vertAlign w:val="superscript"/>
        </w:rPr>
        <w:t>8</w:t>
      </w:r>
      <w:r>
        <w:rPr>
          <w:color w:val="auto"/>
          <w:spacing w:val="0"/>
          <w:kern w:val="0"/>
          <w:sz w:val="24"/>
          <w:highlight w:val="none"/>
        </w:rPr>
        <w:t>m</w:t>
      </w:r>
      <w:r>
        <w:rPr>
          <w:color w:val="auto"/>
          <w:spacing w:val="0"/>
          <w:kern w:val="0"/>
          <w:sz w:val="24"/>
          <w:highlight w:val="none"/>
          <w:vertAlign w:val="superscript"/>
        </w:rPr>
        <w:t>3</w:t>
      </w:r>
      <w:r>
        <w:rPr>
          <w:color w:val="auto"/>
          <w:spacing w:val="0"/>
          <w:kern w:val="0"/>
          <w:sz w:val="24"/>
          <w:highlight w:val="none"/>
        </w:rPr>
        <w:t>，新鲜用水量</w:t>
      </w:r>
      <w:r>
        <w:rPr>
          <w:rFonts w:hint="eastAsia"/>
          <w:color w:val="auto"/>
          <w:spacing w:val="0"/>
          <w:kern w:val="0"/>
          <w:sz w:val="24"/>
          <w:highlight w:val="none"/>
          <w:lang w:val="en-US" w:eastAsia="zh-CN"/>
        </w:rPr>
        <w:t>占</w:t>
      </w:r>
      <w:r>
        <w:rPr>
          <w:color w:val="auto"/>
          <w:spacing w:val="0"/>
          <w:kern w:val="0"/>
          <w:sz w:val="24"/>
          <w:highlight w:val="none"/>
        </w:rPr>
        <w:t>地表径流量的</w:t>
      </w:r>
      <w:r>
        <w:rPr>
          <w:rFonts w:hint="eastAsia"/>
          <w:color w:val="auto"/>
          <w:spacing w:val="0"/>
          <w:kern w:val="0"/>
          <w:sz w:val="24"/>
          <w:highlight w:val="none"/>
          <w:lang w:val="en-US" w:eastAsia="zh-CN"/>
        </w:rPr>
        <w:t>1.02</w:t>
      </w:r>
      <w:r>
        <w:rPr>
          <w:color w:val="auto"/>
          <w:spacing w:val="0"/>
          <w:kern w:val="0"/>
          <w:sz w:val="24"/>
          <w:highlight w:val="none"/>
        </w:rPr>
        <w:t>%，</w:t>
      </w:r>
      <w:r>
        <w:rPr>
          <w:rFonts w:hint="eastAsia"/>
          <w:color w:val="auto"/>
          <w:spacing w:val="0"/>
          <w:kern w:val="0"/>
          <w:sz w:val="24"/>
          <w:highlight w:val="none"/>
          <w:lang w:eastAsia="zh-CN"/>
        </w:rPr>
        <w:t>阿克苏</w:t>
      </w:r>
      <w:r>
        <w:rPr>
          <w:color w:val="auto"/>
          <w:spacing w:val="0"/>
          <w:kern w:val="0"/>
          <w:sz w:val="24"/>
          <w:highlight w:val="none"/>
        </w:rPr>
        <w:t>河</w:t>
      </w:r>
      <w:r>
        <w:rPr>
          <w:rFonts w:hint="eastAsia"/>
          <w:color w:val="auto"/>
          <w:spacing w:val="0"/>
          <w:kern w:val="0"/>
          <w:sz w:val="24"/>
          <w:highlight w:val="none"/>
        </w:rPr>
        <w:t>按最小生态流量（10%）计，为</w:t>
      </w:r>
      <w:r>
        <w:rPr>
          <w:rFonts w:hint="eastAsia"/>
          <w:color w:val="auto"/>
          <w:spacing w:val="0"/>
          <w:kern w:val="0"/>
          <w:sz w:val="24"/>
          <w:highlight w:val="none"/>
          <w:lang w:val="en-US" w:eastAsia="zh-CN"/>
        </w:rPr>
        <w:t>1230</w:t>
      </w:r>
      <w:r>
        <w:rPr>
          <w:rFonts w:hint="eastAsia"/>
          <w:color w:val="auto"/>
          <w:spacing w:val="0"/>
          <w:kern w:val="0"/>
          <w:sz w:val="24"/>
          <w:highlight w:val="none"/>
        </w:rPr>
        <w:t>万m</w:t>
      </w:r>
      <w:r>
        <w:rPr>
          <w:rFonts w:hint="eastAsia"/>
          <w:color w:val="auto"/>
          <w:spacing w:val="0"/>
          <w:kern w:val="0"/>
          <w:sz w:val="24"/>
          <w:highlight w:val="none"/>
          <w:vertAlign w:val="superscript"/>
        </w:rPr>
        <w:t>3</w:t>
      </w:r>
      <w:r>
        <w:rPr>
          <w:rFonts w:hint="eastAsia"/>
          <w:color w:val="auto"/>
          <w:spacing w:val="0"/>
          <w:kern w:val="0"/>
          <w:sz w:val="24"/>
          <w:highlight w:val="none"/>
        </w:rPr>
        <w:t>/a，剩余流量为</w:t>
      </w:r>
      <w:r>
        <w:rPr>
          <w:rFonts w:hint="eastAsia"/>
          <w:color w:val="auto"/>
          <w:spacing w:val="0"/>
          <w:kern w:val="0"/>
          <w:sz w:val="24"/>
          <w:highlight w:val="none"/>
          <w:lang w:val="en-US" w:eastAsia="zh-CN"/>
        </w:rPr>
        <w:t>11070</w:t>
      </w:r>
      <w:r>
        <w:rPr>
          <w:rFonts w:hint="eastAsia"/>
          <w:color w:val="auto"/>
          <w:spacing w:val="0"/>
          <w:kern w:val="0"/>
          <w:sz w:val="24"/>
          <w:highlight w:val="none"/>
          <w:lang w:eastAsia="zh-CN"/>
        </w:rPr>
        <w:t>万</w:t>
      </w:r>
      <w:r>
        <w:rPr>
          <w:rFonts w:hint="eastAsia"/>
          <w:color w:val="auto"/>
          <w:spacing w:val="0"/>
          <w:kern w:val="0"/>
          <w:sz w:val="24"/>
          <w:highlight w:val="none"/>
        </w:rPr>
        <w:t>m</w:t>
      </w:r>
      <w:r>
        <w:rPr>
          <w:rFonts w:hint="eastAsia"/>
          <w:color w:val="auto"/>
          <w:spacing w:val="0"/>
          <w:kern w:val="0"/>
          <w:sz w:val="24"/>
          <w:highlight w:val="none"/>
          <w:vertAlign w:val="superscript"/>
        </w:rPr>
        <w:t>3</w:t>
      </w:r>
      <w:r>
        <w:rPr>
          <w:rFonts w:hint="eastAsia"/>
          <w:color w:val="auto"/>
          <w:spacing w:val="0"/>
          <w:kern w:val="0"/>
          <w:sz w:val="24"/>
          <w:highlight w:val="none"/>
        </w:rPr>
        <w:t>，本项目全厂</w:t>
      </w:r>
      <w:r>
        <w:rPr>
          <w:rFonts w:hint="eastAsia"/>
          <w:color w:val="auto"/>
          <w:spacing w:val="0"/>
          <w:kern w:val="0"/>
          <w:sz w:val="24"/>
          <w:highlight w:val="none"/>
          <w:lang w:val="en-US" w:eastAsia="zh-CN"/>
        </w:rPr>
        <w:t>最大</w:t>
      </w:r>
      <w:r>
        <w:rPr>
          <w:rFonts w:hint="eastAsia"/>
          <w:color w:val="auto"/>
          <w:spacing w:val="0"/>
          <w:kern w:val="0"/>
          <w:sz w:val="24"/>
          <w:highlight w:val="none"/>
        </w:rPr>
        <w:t>新鲜水取水量为</w:t>
      </w:r>
      <w:r>
        <w:rPr>
          <w:rFonts w:hint="eastAsia"/>
          <w:color w:val="auto"/>
          <w:spacing w:val="0"/>
          <w:kern w:val="0"/>
          <w:sz w:val="24"/>
          <w:highlight w:val="none"/>
          <w:lang w:val="en-US" w:eastAsia="zh-CN"/>
        </w:rPr>
        <w:t>126.0249</w:t>
      </w:r>
      <w:r>
        <w:rPr>
          <w:rFonts w:hint="eastAsia"/>
          <w:color w:val="auto"/>
          <w:spacing w:val="0"/>
          <w:kern w:val="0"/>
          <w:sz w:val="24"/>
          <w:highlight w:val="none"/>
        </w:rPr>
        <w:t>万</w:t>
      </w:r>
      <w:r>
        <w:rPr>
          <w:color w:val="auto"/>
          <w:spacing w:val="0"/>
          <w:kern w:val="0"/>
          <w:sz w:val="24"/>
          <w:highlight w:val="none"/>
        </w:rPr>
        <w:t>m</w:t>
      </w:r>
      <w:r>
        <w:rPr>
          <w:color w:val="auto"/>
          <w:spacing w:val="0"/>
          <w:kern w:val="0"/>
          <w:sz w:val="24"/>
          <w:highlight w:val="none"/>
          <w:vertAlign w:val="superscript"/>
        </w:rPr>
        <w:t>3</w:t>
      </w:r>
      <w:r>
        <w:rPr>
          <w:color w:val="auto"/>
          <w:spacing w:val="0"/>
          <w:kern w:val="0"/>
          <w:sz w:val="24"/>
          <w:highlight w:val="none"/>
        </w:rPr>
        <w:t>/a</w:t>
      </w:r>
      <w:r>
        <w:rPr>
          <w:rFonts w:hint="eastAsia"/>
          <w:color w:val="auto"/>
          <w:spacing w:val="0"/>
          <w:kern w:val="0"/>
          <w:sz w:val="24"/>
          <w:highlight w:val="none"/>
        </w:rPr>
        <w:t>，远远小于可以满足下游生态基流的剩余流量，</w:t>
      </w:r>
      <w:r>
        <w:rPr>
          <w:color w:val="auto"/>
          <w:spacing w:val="0"/>
          <w:kern w:val="0"/>
          <w:sz w:val="24"/>
          <w:highlight w:val="none"/>
        </w:rPr>
        <w:t>本项目取水量比例</w:t>
      </w:r>
      <w:r>
        <w:rPr>
          <w:rFonts w:hint="eastAsia"/>
          <w:color w:val="auto"/>
          <w:spacing w:val="0"/>
          <w:kern w:val="0"/>
          <w:sz w:val="24"/>
          <w:highlight w:val="none"/>
        </w:rPr>
        <w:t>较小，</w:t>
      </w:r>
      <w:r>
        <w:rPr>
          <w:rFonts w:hint="eastAsia"/>
          <w:color w:val="auto"/>
          <w:spacing w:val="0"/>
          <w:kern w:val="0"/>
          <w:sz w:val="24"/>
          <w:highlight w:val="none"/>
          <w:lang w:val="en-US" w:eastAsia="zh-CN"/>
        </w:rPr>
        <w:t>且随着矿山的建设，对阿克苏地表水需求逐渐减小，</w:t>
      </w:r>
      <w:r>
        <w:rPr>
          <w:rFonts w:hint="eastAsia"/>
          <w:color w:val="auto"/>
          <w:spacing w:val="0"/>
          <w:kern w:val="0"/>
          <w:sz w:val="24"/>
          <w:highlight w:val="none"/>
        </w:rPr>
        <w:t>不会对下游生活用水及生态基流产生明显影响</w:t>
      </w:r>
      <w:r>
        <w:rPr>
          <w:color w:val="auto"/>
          <w:spacing w:val="0"/>
          <w:kern w:val="0"/>
          <w:sz w:val="24"/>
          <w:highlight w:val="none"/>
        </w:rPr>
        <w:t>。</w:t>
      </w:r>
    </w:p>
    <w:p w14:paraId="5098CD5A">
      <w:pPr>
        <w:pStyle w:val="7"/>
        <w:ind w:firstLine="482" w:firstLineChars="200"/>
        <w:rPr>
          <w:color w:val="auto"/>
          <w:highlight w:val="none"/>
        </w:rPr>
      </w:pPr>
      <w:r>
        <w:rPr>
          <w:color w:val="auto"/>
          <w:highlight w:val="none"/>
        </w:rPr>
        <w:t>5.2.2.2工程排水对地表水体的影响</w:t>
      </w:r>
      <w:bookmarkEnd w:id="660"/>
    </w:p>
    <w:p w14:paraId="2BE5D97C">
      <w:pPr>
        <w:overflowPunct w:val="0"/>
        <w:topLinePunct/>
        <w:ind w:firstLine="480"/>
        <w:rPr>
          <w:color w:val="auto"/>
          <w:highlight w:val="none"/>
        </w:rPr>
      </w:pPr>
      <w:r>
        <w:rPr>
          <w:rFonts w:hint="eastAsia"/>
          <w:color w:val="auto"/>
          <w:highlight w:val="none"/>
        </w:rPr>
        <w:t>本项目</w:t>
      </w:r>
      <w:r>
        <w:rPr>
          <w:rFonts w:hint="eastAsia"/>
          <w:color w:val="auto"/>
          <w:highlight w:val="none"/>
          <w:lang w:eastAsia="zh-CN"/>
        </w:rPr>
        <w:t>选矿厂西</w:t>
      </w:r>
      <w:r>
        <w:rPr>
          <w:rFonts w:hint="eastAsia"/>
          <w:color w:val="auto"/>
          <w:highlight w:val="none"/>
        </w:rPr>
        <w:t>侧距</w:t>
      </w:r>
      <w:r>
        <w:rPr>
          <w:rFonts w:hint="eastAsia"/>
          <w:color w:val="auto"/>
          <w:highlight w:val="none"/>
          <w:lang w:eastAsia="zh-CN"/>
        </w:rPr>
        <w:t>阿克苏</w:t>
      </w:r>
      <w:r>
        <w:rPr>
          <w:rFonts w:hint="eastAsia"/>
          <w:color w:val="auto"/>
          <w:highlight w:val="none"/>
        </w:rPr>
        <w:t>河</w:t>
      </w:r>
      <w:r>
        <w:rPr>
          <w:rFonts w:hint="eastAsia"/>
          <w:color w:val="auto"/>
          <w:highlight w:val="none"/>
          <w:lang w:val="en-US" w:eastAsia="zh-CN"/>
        </w:rPr>
        <w:t>1</w:t>
      </w:r>
      <w:r>
        <w:rPr>
          <w:rFonts w:hint="eastAsia"/>
          <w:color w:val="auto"/>
          <w:highlight w:val="none"/>
        </w:rPr>
        <w:t>km，</w:t>
      </w:r>
      <w:r>
        <w:rPr>
          <w:rFonts w:hint="eastAsia"/>
          <w:color w:val="auto"/>
          <w:highlight w:val="none"/>
          <w:lang w:eastAsia="zh-CN"/>
        </w:rPr>
        <w:t>尾矿库</w:t>
      </w:r>
      <w:r>
        <w:rPr>
          <w:rFonts w:hint="eastAsia"/>
          <w:color w:val="auto"/>
          <w:highlight w:val="none"/>
        </w:rPr>
        <w:t>西侧距</w:t>
      </w:r>
      <w:r>
        <w:rPr>
          <w:rFonts w:hint="eastAsia"/>
          <w:color w:val="auto"/>
          <w:highlight w:val="none"/>
          <w:lang w:eastAsia="zh-CN"/>
        </w:rPr>
        <w:t>阿克苏</w:t>
      </w:r>
      <w:r>
        <w:rPr>
          <w:rFonts w:hint="eastAsia"/>
          <w:color w:val="auto"/>
          <w:highlight w:val="none"/>
        </w:rPr>
        <w:t>河</w:t>
      </w:r>
      <w:r>
        <w:rPr>
          <w:rFonts w:hint="eastAsia"/>
          <w:color w:val="auto"/>
          <w:highlight w:val="none"/>
          <w:lang w:val="en-US" w:eastAsia="zh-CN"/>
        </w:rPr>
        <w:t>1.1</w:t>
      </w:r>
      <w:r>
        <w:rPr>
          <w:rFonts w:hint="eastAsia"/>
          <w:color w:val="auto"/>
          <w:highlight w:val="none"/>
        </w:rPr>
        <w:t>km。</w:t>
      </w:r>
    </w:p>
    <w:p w14:paraId="6978A0AD">
      <w:pPr>
        <w:overflowPunct w:val="0"/>
        <w:topLinePunct/>
        <w:ind w:firstLine="480"/>
        <w:rPr>
          <w:color w:val="auto"/>
          <w:highlight w:val="none"/>
          <w:lang w:val="en-GB"/>
        </w:rPr>
      </w:pPr>
      <w:r>
        <w:rPr>
          <w:rFonts w:hint="eastAsia"/>
          <w:color w:val="auto"/>
          <w:highlight w:val="none"/>
        </w:rPr>
        <w:t>1、</w:t>
      </w:r>
      <w:r>
        <w:rPr>
          <w:color w:val="auto"/>
          <w:highlight w:val="none"/>
          <w:lang w:val="en-GB"/>
        </w:rPr>
        <w:t>正常工况下影响分析</w:t>
      </w:r>
    </w:p>
    <w:p w14:paraId="1EE65DDD">
      <w:pPr>
        <w:topLinePunct/>
        <w:ind w:firstLine="480"/>
        <w:rPr>
          <w:color w:val="auto"/>
          <w:highlight w:val="none"/>
        </w:rPr>
      </w:pPr>
      <w:r>
        <w:rPr>
          <w:color w:val="auto"/>
          <w:highlight w:val="none"/>
        </w:rPr>
        <w:t>（1）生产废水对地表水的影响</w:t>
      </w:r>
    </w:p>
    <w:p w14:paraId="6C69F639">
      <w:pPr>
        <w:topLinePunct/>
        <w:spacing w:line="480" w:lineRule="exact"/>
        <w:ind w:firstLine="480"/>
        <w:rPr>
          <w:rFonts w:cs="Times New Roman"/>
          <w:color w:val="auto"/>
          <w:kern w:val="0"/>
          <w:szCs w:val="24"/>
          <w:highlight w:val="none"/>
        </w:rPr>
      </w:pPr>
      <w:r>
        <w:rPr>
          <w:rFonts w:hint="eastAsia"/>
          <w:color w:val="auto"/>
          <w:highlight w:val="none"/>
        </w:rPr>
        <w:t>本项目运营期选矿废水产生于选矿过程中，</w:t>
      </w:r>
      <w:r>
        <w:rPr>
          <w:rFonts w:hint="eastAsia"/>
          <w:color w:val="auto"/>
          <w:kern w:val="0"/>
          <w:highlight w:val="none"/>
        </w:rPr>
        <w:t>主要污染因子为</w:t>
      </w:r>
      <w:r>
        <w:rPr>
          <w:color w:val="auto"/>
          <w:kern w:val="0"/>
          <w:highlight w:val="none"/>
        </w:rPr>
        <w:t>pH</w:t>
      </w:r>
      <w:r>
        <w:rPr>
          <w:rFonts w:hint="eastAsia"/>
          <w:color w:val="auto"/>
          <w:kern w:val="0"/>
          <w:highlight w:val="none"/>
        </w:rPr>
        <w:t>、</w:t>
      </w:r>
      <w:r>
        <w:rPr>
          <w:color w:val="auto"/>
          <w:kern w:val="0"/>
          <w:highlight w:val="none"/>
        </w:rPr>
        <w:t>COD</w:t>
      </w:r>
      <w:r>
        <w:rPr>
          <w:rFonts w:hint="eastAsia"/>
          <w:color w:val="auto"/>
          <w:kern w:val="0"/>
          <w:highlight w:val="none"/>
        </w:rPr>
        <w:t>、</w:t>
      </w:r>
      <w:r>
        <w:rPr>
          <w:color w:val="auto"/>
          <w:kern w:val="0"/>
          <w:highlight w:val="none"/>
        </w:rPr>
        <w:t>SS</w:t>
      </w:r>
      <w:r>
        <w:rPr>
          <w:rFonts w:hint="eastAsia"/>
          <w:color w:val="auto"/>
          <w:kern w:val="0"/>
          <w:highlight w:val="none"/>
        </w:rPr>
        <w:t>及</w:t>
      </w:r>
      <w:r>
        <w:rPr>
          <w:rFonts w:hint="eastAsia"/>
          <w:color w:val="auto"/>
          <w:kern w:val="0"/>
          <w:highlight w:val="none"/>
          <w:lang w:eastAsia="zh-CN"/>
        </w:rPr>
        <w:t>氟化物</w:t>
      </w:r>
      <w:r>
        <w:rPr>
          <w:rFonts w:hint="eastAsia"/>
          <w:color w:val="auto"/>
          <w:kern w:val="0"/>
          <w:highlight w:val="none"/>
        </w:rPr>
        <w:t>等</w:t>
      </w:r>
      <w:r>
        <w:rPr>
          <w:rFonts w:hint="eastAsia"/>
          <w:color w:val="auto"/>
          <w:highlight w:val="none"/>
        </w:rPr>
        <w:t>。选矿废水部分被</w:t>
      </w:r>
      <w:r>
        <w:rPr>
          <w:rFonts w:hint="eastAsia"/>
          <w:color w:val="auto"/>
          <w:highlight w:val="none"/>
          <w:lang w:eastAsia="zh-CN"/>
        </w:rPr>
        <w:t>萤石</w:t>
      </w:r>
      <w:r>
        <w:rPr>
          <w:rFonts w:hint="eastAsia"/>
          <w:color w:val="auto"/>
          <w:highlight w:val="none"/>
        </w:rPr>
        <w:t>精粉带走，</w:t>
      </w:r>
      <w:r>
        <w:rPr>
          <w:rFonts w:hint="eastAsia"/>
          <w:color w:val="auto"/>
          <w:highlight w:val="none"/>
          <w:lang w:eastAsia="zh-CN"/>
        </w:rPr>
        <w:t>精矿压滤</w:t>
      </w:r>
      <w:r>
        <w:rPr>
          <w:rFonts w:hint="eastAsia"/>
          <w:color w:val="auto"/>
          <w:highlight w:val="none"/>
        </w:rPr>
        <w:t>水、尾矿浓缩溢流水</w:t>
      </w:r>
      <w:r>
        <w:rPr>
          <w:rFonts w:hint="eastAsia"/>
          <w:color w:val="auto"/>
          <w:highlight w:val="none"/>
          <w:lang w:eastAsia="zh-CN"/>
        </w:rPr>
        <w:t>、</w:t>
      </w:r>
      <w:r>
        <w:rPr>
          <w:rFonts w:hint="eastAsia"/>
          <w:color w:val="auto"/>
          <w:highlight w:val="none"/>
          <w:lang w:val="en-US" w:eastAsia="zh-CN"/>
        </w:rPr>
        <w:t>尾矿库回水等通过回水泵站送至选矿厂容积4000m</w:t>
      </w:r>
      <w:r>
        <w:rPr>
          <w:rFonts w:hint="eastAsia"/>
          <w:color w:val="auto"/>
          <w:highlight w:val="none"/>
          <w:vertAlign w:val="superscript"/>
          <w:lang w:val="en-US" w:eastAsia="zh-CN"/>
        </w:rPr>
        <w:t>3</w:t>
      </w:r>
      <w:r>
        <w:rPr>
          <w:rFonts w:hint="eastAsia"/>
          <w:color w:val="auto"/>
          <w:highlight w:val="none"/>
          <w:lang w:val="en-US" w:eastAsia="zh-CN"/>
        </w:rPr>
        <w:t>的回水高位水池，回用至选厂工艺系统</w:t>
      </w:r>
      <w:r>
        <w:rPr>
          <w:rFonts w:hint="eastAsia"/>
          <w:color w:val="auto"/>
          <w:highlight w:val="none"/>
        </w:rPr>
        <w:t>循环使用，实现生产废水“闭路循环”，不外排。</w:t>
      </w:r>
    </w:p>
    <w:p w14:paraId="4711A59D">
      <w:pPr>
        <w:topLinePunct/>
        <w:spacing w:line="480" w:lineRule="exact"/>
        <w:ind w:firstLine="480"/>
        <w:rPr>
          <w:rFonts w:cs="Times New Roman"/>
          <w:color w:val="auto"/>
          <w:kern w:val="0"/>
          <w:szCs w:val="24"/>
          <w:highlight w:val="none"/>
        </w:rPr>
      </w:pPr>
      <w:r>
        <w:rPr>
          <w:rFonts w:hint="eastAsia" w:cs="Times New Roman"/>
          <w:color w:val="auto"/>
          <w:kern w:val="0"/>
          <w:szCs w:val="24"/>
          <w:highlight w:val="none"/>
        </w:rPr>
        <w:t>（2）生活污水对地表水的影响</w:t>
      </w:r>
    </w:p>
    <w:p w14:paraId="43313307">
      <w:pPr>
        <w:topLinePunct/>
        <w:ind w:firstLine="480"/>
        <w:rPr>
          <w:color w:val="auto"/>
          <w:highlight w:val="none"/>
        </w:rPr>
      </w:pPr>
      <w:r>
        <w:rPr>
          <w:color w:val="auto"/>
          <w:highlight w:val="none"/>
        </w:rPr>
        <w:t>生活污水主要为洗浴、食堂、卫生间以及洗衣等产生的，属于一般性生活污水，主要污染物为SS、BOD</w:t>
      </w:r>
      <w:r>
        <w:rPr>
          <w:color w:val="auto"/>
          <w:highlight w:val="none"/>
          <w:vertAlign w:val="subscript"/>
        </w:rPr>
        <w:t>5</w:t>
      </w:r>
      <w:r>
        <w:rPr>
          <w:color w:val="auto"/>
          <w:highlight w:val="none"/>
        </w:rPr>
        <w:t>、COD、氨氮及动植物油等，生活污水产生量为</w:t>
      </w:r>
      <w:r>
        <w:rPr>
          <w:rFonts w:hint="eastAsia"/>
          <w:color w:val="auto"/>
          <w:highlight w:val="none"/>
          <w:lang w:val="en-US" w:eastAsia="zh-CN"/>
        </w:rPr>
        <w:t>22.264</w:t>
      </w:r>
      <w:r>
        <w:rPr>
          <w:color w:val="auto"/>
          <w:highlight w:val="none"/>
        </w:rPr>
        <w:t>m</w:t>
      </w:r>
      <w:r>
        <w:rPr>
          <w:color w:val="auto"/>
          <w:highlight w:val="none"/>
          <w:vertAlign w:val="superscript"/>
        </w:rPr>
        <w:t>3</w:t>
      </w:r>
      <w:r>
        <w:rPr>
          <w:color w:val="auto"/>
          <w:highlight w:val="none"/>
        </w:rPr>
        <w:t>/d（</w:t>
      </w:r>
      <w:r>
        <w:rPr>
          <w:rFonts w:hint="eastAsia"/>
          <w:color w:val="auto"/>
          <w:highlight w:val="none"/>
          <w:lang w:val="en-US" w:eastAsia="zh-CN"/>
        </w:rPr>
        <w:t>6679.2</w:t>
      </w:r>
      <w:r>
        <w:rPr>
          <w:color w:val="auto"/>
          <w:highlight w:val="none"/>
        </w:rPr>
        <w:t>m</w:t>
      </w:r>
      <w:r>
        <w:rPr>
          <w:color w:val="auto"/>
          <w:highlight w:val="none"/>
          <w:vertAlign w:val="superscript"/>
        </w:rPr>
        <w:t>3</w:t>
      </w:r>
      <w:r>
        <w:rPr>
          <w:color w:val="auto"/>
          <w:highlight w:val="none"/>
        </w:rPr>
        <w:t>/a）。</w:t>
      </w:r>
      <w:r>
        <w:rPr>
          <w:rFonts w:hint="eastAsia"/>
          <w:color w:val="auto"/>
          <w:highlight w:val="none"/>
        </w:rPr>
        <w:t>生活污水污染物浓度及产生量为</w:t>
      </w:r>
      <w:r>
        <w:rPr>
          <w:color w:val="auto"/>
          <w:highlight w:val="none"/>
        </w:rPr>
        <w:t>SS</w:t>
      </w:r>
      <w:r>
        <w:rPr>
          <w:rFonts w:hint="eastAsia"/>
          <w:color w:val="auto"/>
          <w:highlight w:val="none"/>
        </w:rPr>
        <w:t>：</w:t>
      </w:r>
      <w:r>
        <w:rPr>
          <w:color w:val="auto"/>
          <w:highlight w:val="none"/>
        </w:rPr>
        <w:t>220mg/L</w:t>
      </w:r>
      <w:r>
        <w:rPr>
          <w:rFonts w:hint="eastAsia"/>
          <w:color w:val="auto"/>
          <w:highlight w:val="none"/>
        </w:rPr>
        <w:t>（</w:t>
      </w:r>
      <w:r>
        <w:rPr>
          <w:rFonts w:hint="eastAsia"/>
          <w:color w:val="auto"/>
          <w:highlight w:val="none"/>
          <w:lang w:val="en-US" w:eastAsia="zh-CN"/>
        </w:rPr>
        <w:t>1.4694</w:t>
      </w:r>
      <w:r>
        <w:rPr>
          <w:color w:val="auto"/>
          <w:highlight w:val="none"/>
        </w:rPr>
        <w:t>t/a</w:t>
      </w:r>
      <w:r>
        <w:rPr>
          <w:rFonts w:hint="eastAsia"/>
          <w:color w:val="auto"/>
          <w:highlight w:val="none"/>
        </w:rPr>
        <w:t>）、</w:t>
      </w:r>
      <w:r>
        <w:rPr>
          <w:color w:val="auto"/>
          <w:highlight w:val="none"/>
        </w:rPr>
        <w:t>COD</w:t>
      </w:r>
      <w:r>
        <w:rPr>
          <w:rFonts w:hint="eastAsia"/>
          <w:color w:val="auto"/>
          <w:highlight w:val="none"/>
        </w:rPr>
        <w:t>：</w:t>
      </w:r>
      <w:r>
        <w:rPr>
          <w:color w:val="auto"/>
          <w:highlight w:val="none"/>
        </w:rPr>
        <w:t>300mg/L</w:t>
      </w:r>
      <w:r>
        <w:rPr>
          <w:rFonts w:hint="eastAsia"/>
          <w:color w:val="auto"/>
          <w:highlight w:val="none"/>
        </w:rPr>
        <w:t>（</w:t>
      </w:r>
      <w:r>
        <w:rPr>
          <w:rFonts w:hint="eastAsia"/>
          <w:color w:val="auto"/>
          <w:highlight w:val="none"/>
          <w:lang w:val="en-US" w:eastAsia="zh-CN"/>
        </w:rPr>
        <w:t>2.0038</w:t>
      </w:r>
      <w:r>
        <w:rPr>
          <w:color w:val="auto"/>
          <w:highlight w:val="none"/>
        </w:rPr>
        <w:t>t/a</w:t>
      </w:r>
      <w:r>
        <w:rPr>
          <w:rFonts w:hint="eastAsia"/>
          <w:color w:val="auto"/>
          <w:highlight w:val="none"/>
        </w:rPr>
        <w:t>）、</w:t>
      </w:r>
      <w:r>
        <w:rPr>
          <w:color w:val="auto"/>
          <w:highlight w:val="none"/>
        </w:rPr>
        <w:t>BOD</w:t>
      </w:r>
      <w:r>
        <w:rPr>
          <w:color w:val="auto"/>
          <w:highlight w:val="none"/>
          <w:vertAlign w:val="subscript"/>
        </w:rPr>
        <w:t>5</w:t>
      </w:r>
      <w:r>
        <w:rPr>
          <w:rFonts w:hint="eastAsia"/>
          <w:color w:val="auto"/>
          <w:highlight w:val="none"/>
        </w:rPr>
        <w:t>：</w:t>
      </w:r>
      <w:r>
        <w:rPr>
          <w:color w:val="auto"/>
          <w:highlight w:val="none"/>
        </w:rPr>
        <w:t>200mg/L</w:t>
      </w:r>
      <w:r>
        <w:rPr>
          <w:rFonts w:hint="eastAsia"/>
          <w:color w:val="auto"/>
          <w:highlight w:val="none"/>
        </w:rPr>
        <w:t>（</w:t>
      </w:r>
      <w:r>
        <w:rPr>
          <w:rFonts w:hint="eastAsia"/>
          <w:color w:val="auto"/>
          <w:highlight w:val="none"/>
          <w:lang w:val="en-US" w:eastAsia="zh-CN"/>
        </w:rPr>
        <w:t>1.3358</w:t>
      </w:r>
      <w:r>
        <w:rPr>
          <w:color w:val="auto"/>
          <w:highlight w:val="none"/>
        </w:rPr>
        <w:t>t/a</w:t>
      </w:r>
      <w:r>
        <w:rPr>
          <w:rFonts w:hint="eastAsia"/>
          <w:color w:val="auto"/>
          <w:highlight w:val="none"/>
        </w:rPr>
        <w:t>）、氨氮：</w:t>
      </w:r>
      <w:r>
        <w:rPr>
          <w:color w:val="auto"/>
          <w:highlight w:val="none"/>
        </w:rPr>
        <w:t>30mg/L</w:t>
      </w:r>
      <w:r>
        <w:rPr>
          <w:rFonts w:hint="eastAsia"/>
          <w:color w:val="auto"/>
          <w:highlight w:val="none"/>
        </w:rPr>
        <w:t>（</w:t>
      </w:r>
      <w:r>
        <w:rPr>
          <w:color w:val="auto"/>
          <w:highlight w:val="none"/>
        </w:rPr>
        <w:t>0.</w:t>
      </w:r>
      <w:r>
        <w:rPr>
          <w:rFonts w:hint="eastAsia"/>
          <w:color w:val="auto"/>
          <w:highlight w:val="none"/>
          <w:lang w:val="en-US" w:eastAsia="zh-CN"/>
        </w:rPr>
        <w:t>2004</w:t>
      </w:r>
      <w:r>
        <w:rPr>
          <w:color w:val="auto"/>
          <w:highlight w:val="none"/>
        </w:rPr>
        <w:t>t/a</w:t>
      </w:r>
      <w:r>
        <w:rPr>
          <w:rFonts w:hint="eastAsia"/>
          <w:color w:val="auto"/>
          <w:highlight w:val="none"/>
        </w:rPr>
        <w:t>）、动植物油</w:t>
      </w:r>
      <w:r>
        <w:rPr>
          <w:color w:val="auto"/>
          <w:highlight w:val="none"/>
        </w:rPr>
        <w:t>100mg/L</w:t>
      </w:r>
      <w:r>
        <w:rPr>
          <w:rFonts w:hint="eastAsia"/>
          <w:color w:val="auto"/>
          <w:highlight w:val="none"/>
        </w:rPr>
        <w:t>（</w:t>
      </w:r>
      <w:r>
        <w:rPr>
          <w:color w:val="auto"/>
          <w:highlight w:val="none"/>
        </w:rPr>
        <w:t>0.</w:t>
      </w:r>
      <w:r>
        <w:rPr>
          <w:rFonts w:hint="eastAsia"/>
          <w:color w:val="auto"/>
          <w:highlight w:val="none"/>
          <w:lang w:val="en-US" w:eastAsia="zh-CN"/>
        </w:rPr>
        <w:t>6679</w:t>
      </w:r>
      <w:r>
        <w:rPr>
          <w:color w:val="auto"/>
          <w:highlight w:val="none"/>
        </w:rPr>
        <w:t>t/a</w:t>
      </w:r>
      <w:r>
        <w:rPr>
          <w:rFonts w:hint="eastAsia"/>
          <w:color w:val="auto"/>
          <w:highlight w:val="none"/>
        </w:rPr>
        <w:t>）</w:t>
      </w:r>
      <w:r>
        <w:rPr>
          <w:color w:val="auto"/>
          <w:highlight w:val="none"/>
        </w:rPr>
        <w:t>。</w:t>
      </w:r>
    </w:p>
    <w:p w14:paraId="2C49CC43">
      <w:pPr>
        <w:overflowPunct w:val="0"/>
        <w:topLinePunct/>
        <w:ind w:firstLine="480"/>
        <w:rPr>
          <w:color w:val="auto"/>
          <w:highlight w:val="none"/>
        </w:rPr>
      </w:pPr>
      <w:r>
        <w:rPr>
          <w:rFonts w:cs="Times New Roman"/>
          <w:color w:val="auto"/>
          <w:szCs w:val="24"/>
          <w:highlight w:val="none"/>
        </w:rPr>
        <w:t>本项目生活污水排入</w:t>
      </w:r>
      <w:r>
        <w:rPr>
          <w:rFonts w:hint="eastAsia" w:cs="Times New Roman"/>
          <w:color w:val="auto"/>
          <w:szCs w:val="24"/>
          <w:highlight w:val="none"/>
          <w:lang w:eastAsia="zh-CN"/>
        </w:rPr>
        <w:t>采矿生活区</w:t>
      </w:r>
      <w:r>
        <w:rPr>
          <w:rFonts w:hint="eastAsia"/>
          <w:b w:val="0"/>
          <w:bCs/>
          <w:color w:val="auto"/>
          <w:highlight w:val="none"/>
          <w:lang w:val="en-US" w:eastAsia="zh-CN"/>
        </w:rPr>
        <w:t>地埋式污水</w:t>
      </w:r>
      <w:r>
        <w:rPr>
          <w:rFonts w:hint="default"/>
          <w:b w:val="0"/>
          <w:bCs/>
          <w:color w:val="auto"/>
          <w:highlight w:val="none"/>
          <w:lang w:val="en-US" w:eastAsia="zh-CN"/>
        </w:rPr>
        <w:t>处理设施</w:t>
      </w:r>
      <w:r>
        <w:rPr>
          <w:rFonts w:cs="Times New Roman"/>
          <w:color w:val="auto"/>
          <w:szCs w:val="24"/>
          <w:highlight w:val="none"/>
        </w:rPr>
        <w:t>处理。鉴于当地蒸发量较大，为节约用水，项目餐饮废水经隔油池预处理后与盥洗废水等一同排入</w:t>
      </w:r>
      <w:r>
        <w:rPr>
          <w:rFonts w:hint="eastAsia" w:ascii="Times New Roman" w:hAnsi="Times New Roman" w:eastAsia="宋体" w:cs="Times New Roman"/>
          <w:snapToGrid/>
          <w:color w:val="auto"/>
          <w:kern w:val="2"/>
          <w:sz w:val="24"/>
          <w:szCs w:val="24"/>
          <w:highlight w:val="none"/>
          <w:lang w:val="en-US" w:eastAsia="zh-CN" w:bidi="ar-SA"/>
        </w:rPr>
        <w:t>地埋式污水处理设施</w:t>
      </w:r>
      <w:r>
        <w:rPr>
          <w:rFonts w:cs="Times New Roman"/>
          <w:color w:val="auto"/>
          <w:szCs w:val="24"/>
          <w:highlight w:val="none"/>
        </w:rPr>
        <w:t>处理</w:t>
      </w:r>
      <w:r>
        <w:rPr>
          <w:rFonts w:hint="default" w:ascii="Times New Roman" w:hAnsi="Times New Roman" w:eastAsia="宋体" w:cs="Times New Roman"/>
          <w:b w:val="0"/>
          <w:bCs/>
          <w:color w:val="auto"/>
          <w:sz w:val="24"/>
          <w:szCs w:val="24"/>
          <w:highlight w:val="none"/>
          <w:shd w:val="clear" w:color="auto" w:fill="auto"/>
          <w:lang w:val="en-US" w:eastAsia="zh-CN"/>
        </w:rPr>
        <w:t>《农村生活污水处理排放标准》（DB65 4275-2019）表</w:t>
      </w:r>
      <w:r>
        <w:rPr>
          <w:rFonts w:hint="eastAsia" w:cs="Times New Roman"/>
          <w:b w:val="0"/>
          <w:bCs/>
          <w:color w:val="auto"/>
          <w:sz w:val="24"/>
          <w:szCs w:val="24"/>
          <w:highlight w:val="none"/>
          <w:shd w:val="clear" w:color="auto" w:fill="auto"/>
          <w:lang w:val="en-US" w:eastAsia="zh-CN"/>
        </w:rPr>
        <w:t>2</w:t>
      </w:r>
      <w:r>
        <w:rPr>
          <w:rFonts w:hint="default" w:ascii="Times New Roman" w:hAnsi="Times New Roman" w:eastAsia="宋体" w:cs="Times New Roman"/>
          <w:b w:val="0"/>
          <w:bCs/>
          <w:color w:val="auto"/>
          <w:sz w:val="24"/>
          <w:szCs w:val="24"/>
          <w:highlight w:val="none"/>
          <w:shd w:val="clear" w:color="auto" w:fill="auto"/>
          <w:lang w:val="en-US" w:eastAsia="zh-CN"/>
        </w:rPr>
        <w:t>中</w:t>
      </w:r>
      <w:r>
        <w:rPr>
          <w:rFonts w:hint="eastAsia" w:cs="Times New Roman"/>
          <w:b w:val="0"/>
          <w:bCs/>
          <w:color w:val="auto"/>
          <w:sz w:val="24"/>
          <w:szCs w:val="24"/>
          <w:highlight w:val="none"/>
          <w:shd w:val="clear" w:color="auto" w:fill="auto"/>
          <w:lang w:val="en-US" w:eastAsia="zh-CN"/>
        </w:rPr>
        <w:t>A</w:t>
      </w:r>
      <w:r>
        <w:rPr>
          <w:rFonts w:hint="default" w:ascii="Times New Roman" w:hAnsi="Times New Roman" w:eastAsia="宋体" w:cs="Times New Roman"/>
          <w:b w:val="0"/>
          <w:bCs/>
          <w:color w:val="auto"/>
          <w:sz w:val="24"/>
          <w:szCs w:val="24"/>
          <w:highlight w:val="none"/>
          <w:shd w:val="clear" w:color="auto" w:fill="auto"/>
          <w:lang w:val="en-US" w:eastAsia="zh-CN"/>
        </w:rPr>
        <w:t>级标准限值</w:t>
      </w:r>
      <w:r>
        <w:rPr>
          <w:rFonts w:hint="eastAsia" w:cs="Times New Roman"/>
          <w:b w:val="0"/>
          <w:bCs/>
          <w:color w:val="auto"/>
          <w:sz w:val="24"/>
          <w:szCs w:val="24"/>
          <w:highlight w:val="none"/>
          <w:shd w:val="clear" w:color="auto" w:fill="auto"/>
          <w:lang w:val="en-US" w:eastAsia="zh-CN"/>
        </w:rPr>
        <w:t>后，</w:t>
      </w:r>
      <w:r>
        <w:rPr>
          <w:rFonts w:hint="eastAsia"/>
          <w:b w:val="0"/>
          <w:bCs/>
          <w:color w:val="auto"/>
          <w:highlight w:val="none"/>
          <w:lang w:val="en-US" w:eastAsia="zh-CN"/>
        </w:rPr>
        <w:t>用于项目区绿化，不外排</w:t>
      </w:r>
      <w:r>
        <w:rPr>
          <w:color w:val="auto"/>
          <w:highlight w:val="none"/>
        </w:rPr>
        <w:t>。</w:t>
      </w:r>
    </w:p>
    <w:p w14:paraId="0E9642A0">
      <w:pPr>
        <w:overflowPunct w:val="0"/>
        <w:topLinePunct/>
        <w:ind w:firstLine="480"/>
        <w:rPr>
          <w:color w:val="auto"/>
          <w:highlight w:val="none"/>
        </w:rPr>
      </w:pPr>
      <w:r>
        <w:rPr>
          <w:rFonts w:hint="eastAsia"/>
          <w:color w:val="auto"/>
          <w:highlight w:val="none"/>
        </w:rPr>
        <w:t>（3）锅炉房废水</w:t>
      </w:r>
    </w:p>
    <w:p w14:paraId="3C2F7D9A">
      <w:pPr>
        <w:overflowPunct w:val="0"/>
        <w:topLinePunct/>
        <w:ind w:firstLine="480"/>
        <w:rPr>
          <w:color w:val="auto"/>
          <w:highlight w:val="none"/>
        </w:rPr>
      </w:pPr>
      <w:r>
        <w:rPr>
          <w:rFonts w:hint="eastAsia"/>
          <w:color w:val="auto"/>
          <w:highlight w:val="none"/>
        </w:rPr>
        <w:t>锅炉房废水包括锅炉排污水、软水废水，废水量约</w:t>
      </w:r>
      <w:r>
        <w:rPr>
          <w:rFonts w:hint="eastAsia"/>
          <w:color w:val="auto"/>
          <w:highlight w:val="none"/>
          <w:lang w:val="en-US" w:eastAsia="zh-CN"/>
        </w:rPr>
        <w:t>81.6</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rPr>
        <w:t>（</w:t>
      </w:r>
      <w:r>
        <w:rPr>
          <w:rFonts w:hint="eastAsia"/>
          <w:color w:val="auto"/>
          <w:highlight w:val="none"/>
          <w:lang w:val="en-US" w:eastAsia="zh-CN"/>
        </w:rPr>
        <w:t>2.448</w:t>
      </w:r>
      <w:r>
        <w:rPr>
          <w:rFonts w:hint="eastAsia"/>
          <w:color w:val="auto"/>
          <w:highlight w:val="none"/>
        </w:rPr>
        <w:t>万m</w:t>
      </w:r>
      <w:r>
        <w:rPr>
          <w:color w:val="auto"/>
          <w:highlight w:val="none"/>
          <w:vertAlign w:val="superscript"/>
        </w:rPr>
        <w:t>3</w:t>
      </w:r>
      <w:r>
        <w:rPr>
          <w:color w:val="auto"/>
          <w:highlight w:val="none"/>
        </w:rPr>
        <w:t>/</w:t>
      </w:r>
      <w:r>
        <w:rPr>
          <w:rFonts w:hint="eastAsia"/>
          <w:color w:val="auto"/>
          <w:highlight w:val="none"/>
        </w:rPr>
        <w:t>a）。锅炉排污水主要污染物为SS；软化废水为浓盐水，主要污染物为pH、COD、溶解性总固体（全盐量），全盐量浓度较高</w:t>
      </w:r>
      <w:r>
        <w:rPr>
          <w:rFonts w:hint="eastAsia"/>
          <w:color w:val="auto"/>
          <w:highlight w:val="none"/>
          <w:lang w:eastAsia="zh-CN"/>
        </w:rPr>
        <w:t>，</w:t>
      </w:r>
      <w:r>
        <w:rPr>
          <w:rFonts w:hint="eastAsia"/>
          <w:color w:val="auto"/>
          <w:highlight w:val="none"/>
          <w:lang w:val="en-US" w:eastAsia="zh-CN"/>
        </w:rPr>
        <w:t>回</w:t>
      </w:r>
      <w:r>
        <w:rPr>
          <w:rFonts w:hint="eastAsia"/>
          <w:color w:val="auto"/>
          <w:highlight w:val="none"/>
        </w:rPr>
        <w:t>用于</w:t>
      </w:r>
      <w:r>
        <w:rPr>
          <w:rFonts w:hint="eastAsia"/>
          <w:color w:val="auto"/>
          <w:highlight w:val="none"/>
          <w:lang w:val="en-US" w:eastAsia="zh-CN"/>
        </w:rPr>
        <w:t>选矿</w:t>
      </w:r>
      <w:r>
        <w:rPr>
          <w:rFonts w:hint="eastAsia"/>
          <w:color w:val="auto"/>
          <w:highlight w:val="none"/>
        </w:rPr>
        <w:t>。</w:t>
      </w:r>
    </w:p>
    <w:p w14:paraId="540B1DF0">
      <w:pPr>
        <w:overflowPunct w:val="0"/>
        <w:topLinePunct/>
        <w:ind w:firstLine="480"/>
        <w:rPr>
          <w:color w:val="auto"/>
          <w:highlight w:val="none"/>
        </w:rPr>
      </w:pPr>
      <w:r>
        <w:rPr>
          <w:rFonts w:hint="eastAsia"/>
          <w:color w:val="auto"/>
          <w:highlight w:val="none"/>
        </w:rPr>
        <w:t>（4）化验废水</w:t>
      </w:r>
    </w:p>
    <w:p w14:paraId="03A03339">
      <w:pPr>
        <w:keepNext w:val="0"/>
        <w:keepLines w:val="0"/>
        <w:pageBreakBefore w:val="0"/>
        <w:widowControl w:val="0"/>
        <w:kinsoku/>
        <w:wordWrap/>
        <w:overflowPunct/>
        <w:topLinePunct w:val="0"/>
        <w:autoSpaceDE/>
        <w:autoSpaceDN/>
        <w:bidi w:val="0"/>
        <w:adjustRightInd/>
        <w:snapToGrid/>
        <w:spacing w:line="520" w:lineRule="exact"/>
        <w:ind w:right="0" w:firstLine="480" w:firstLineChars="200"/>
        <w:textAlignment w:val="auto"/>
        <w:rPr>
          <w:color w:val="auto"/>
          <w:sz w:val="24"/>
          <w:highlight w:val="none"/>
          <w:shd w:val="clear"/>
        </w:rPr>
      </w:pPr>
      <w:r>
        <w:rPr>
          <w:rFonts w:hint="eastAsia"/>
          <w:color w:val="auto"/>
          <w:sz w:val="24"/>
          <w:highlight w:val="none"/>
          <w:lang w:eastAsia="zh-CN"/>
        </w:rPr>
        <w:t>化验</w:t>
      </w:r>
      <w:r>
        <w:rPr>
          <w:rFonts w:hint="eastAsia"/>
          <w:color w:val="auto"/>
          <w:sz w:val="24"/>
          <w:highlight w:val="none"/>
        </w:rPr>
        <w:t>废水主要为</w:t>
      </w:r>
      <w:r>
        <w:rPr>
          <w:rFonts w:hint="eastAsia"/>
          <w:color w:val="auto"/>
          <w:sz w:val="24"/>
          <w:highlight w:val="none"/>
          <w:lang w:eastAsia="zh-CN"/>
        </w:rPr>
        <w:t>化验</w:t>
      </w:r>
      <w:r>
        <w:rPr>
          <w:rFonts w:hint="eastAsia"/>
          <w:color w:val="auto"/>
          <w:sz w:val="24"/>
          <w:highlight w:val="none"/>
        </w:rPr>
        <w:t>前后器皿冲洗废水，根据建设单位提供资料，</w:t>
      </w:r>
      <w:r>
        <w:rPr>
          <w:rFonts w:hint="eastAsia"/>
          <w:color w:val="auto"/>
          <w:sz w:val="24"/>
          <w:highlight w:val="none"/>
          <w:lang w:eastAsia="zh-CN"/>
        </w:rPr>
        <w:t>化验</w:t>
      </w:r>
      <w:r>
        <w:rPr>
          <w:rFonts w:hint="eastAsia"/>
          <w:color w:val="auto"/>
          <w:sz w:val="24"/>
          <w:highlight w:val="none"/>
        </w:rPr>
        <w:t>第一次清洗产生的废水约</w:t>
      </w:r>
      <w:r>
        <w:rPr>
          <w:rFonts w:hint="eastAsia"/>
          <w:color w:val="auto"/>
          <w:sz w:val="24"/>
          <w:highlight w:val="none"/>
          <w:lang w:val="en-US" w:eastAsia="zh-CN"/>
        </w:rPr>
        <w:t>3</w:t>
      </w:r>
      <w:r>
        <w:rPr>
          <w:rFonts w:hint="eastAsia"/>
          <w:color w:val="auto"/>
          <w:sz w:val="24"/>
          <w:highlight w:val="none"/>
          <w:shd w:val="clear"/>
        </w:rPr>
        <w:t>t/a，作为危废处理，</w:t>
      </w:r>
      <w:r>
        <w:rPr>
          <w:color w:val="auto"/>
          <w:sz w:val="24"/>
          <w:highlight w:val="none"/>
          <w:shd w:val="clear"/>
        </w:rPr>
        <w:t>应暂存于</w:t>
      </w:r>
      <w:r>
        <w:rPr>
          <w:rFonts w:hint="eastAsia"/>
          <w:color w:val="auto"/>
          <w:sz w:val="24"/>
          <w:highlight w:val="none"/>
          <w:shd w:val="clear"/>
          <w:lang w:val="en-US" w:eastAsia="zh-CN"/>
        </w:rPr>
        <w:t>危废贮存库</w:t>
      </w:r>
      <w:r>
        <w:rPr>
          <w:color w:val="auto"/>
          <w:sz w:val="24"/>
          <w:highlight w:val="none"/>
          <w:shd w:val="clear"/>
        </w:rPr>
        <w:t>内，定期送有资质单位处置。</w:t>
      </w:r>
    </w:p>
    <w:p w14:paraId="15F4E4E0">
      <w:pPr>
        <w:overflowPunct w:val="0"/>
        <w:topLinePunct/>
        <w:ind w:firstLine="480"/>
        <w:rPr>
          <w:rFonts w:hint="eastAsia"/>
          <w:color w:val="auto"/>
          <w:highlight w:val="none"/>
        </w:rPr>
      </w:pPr>
      <w:r>
        <w:rPr>
          <w:rFonts w:hint="eastAsia"/>
          <w:color w:val="auto"/>
          <w:sz w:val="24"/>
          <w:highlight w:val="none"/>
          <w:lang w:eastAsia="zh-CN"/>
        </w:rPr>
        <w:t>化验</w:t>
      </w:r>
      <w:r>
        <w:rPr>
          <w:color w:val="auto"/>
          <w:sz w:val="24"/>
          <w:highlight w:val="none"/>
        </w:rPr>
        <w:t>清洗废水</w:t>
      </w:r>
      <w:r>
        <w:rPr>
          <w:rFonts w:hint="eastAsia"/>
          <w:color w:val="auto"/>
          <w:sz w:val="24"/>
          <w:highlight w:val="none"/>
        </w:rPr>
        <w:t>指</w:t>
      </w:r>
      <w:r>
        <w:rPr>
          <w:rFonts w:hint="eastAsia"/>
          <w:color w:val="auto"/>
          <w:sz w:val="24"/>
          <w:highlight w:val="none"/>
          <w:lang w:eastAsia="zh-CN"/>
        </w:rPr>
        <w:t>第一次清洗后</w:t>
      </w:r>
      <w:r>
        <w:rPr>
          <w:rFonts w:hint="eastAsia"/>
          <w:color w:val="auto"/>
          <w:sz w:val="24"/>
          <w:highlight w:val="none"/>
        </w:rPr>
        <w:t>的洗涤废水，</w:t>
      </w:r>
      <w:r>
        <w:rPr>
          <w:color w:val="auto"/>
          <w:sz w:val="24"/>
          <w:highlight w:val="none"/>
        </w:rPr>
        <w:t>含酸、碱、有毒有害等物质含量较少，</w:t>
      </w:r>
      <w:r>
        <w:rPr>
          <w:rFonts w:hint="eastAsia"/>
          <w:color w:val="auto"/>
          <w:highlight w:val="none"/>
        </w:rPr>
        <w:t>废水量约</w:t>
      </w:r>
      <w:r>
        <w:rPr>
          <w:rFonts w:hint="eastAsia"/>
          <w:color w:val="auto"/>
          <w:highlight w:val="none"/>
          <w:lang w:val="en-US" w:eastAsia="zh-CN"/>
        </w:rPr>
        <w:t>1.59</w:t>
      </w:r>
      <w:r>
        <w:rPr>
          <w:rFonts w:hint="eastAsia"/>
          <w:color w:val="auto"/>
          <w:highlight w:val="none"/>
        </w:rPr>
        <w:t>m</w:t>
      </w:r>
      <w:r>
        <w:rPr>
          <w:color w:val="auto"/>
          <w:highlight w:val="none"/>
          <w:vertAlign w:val="superscript"/>
        </w:rPr>
        <w:t>3</w:t>
      </w:r>
      <w:r>
        <w:rPr>
          <w:color w:val="auto"/>
          <w:highlight w:val="none"/>
        </w:rPr>
        <w:t>/d</w:t>
      </w:r>
      <w:r>
        <w:rPr>
          <w:rFonts w:hint="eastAsia"/>
          <w:color w:val="auto"/>
          <w:highlight w:val="none"/>
        </w:rPr>
        <w:t>（</w:t>
      </w:r>
      <w:r>
        <w:rPr>
          <w:rFonts w:hint="eastAsia"/>
          <w:color w:val="auto"/>
          <w:highlight w:val="none"/>
          <w:lang w:val="en-US" w:eastAsia="zh-CN"/>
        </w:rPr>
        <w:t>477</w:t>
      </w:r>
      <w:r>
        <w:rPr>
          <w:rFonts w:hint="eastAsia"/>
          <w:color w:val="auto"/>
          <w:highlight w:val="none"/>
        </w:rPr>
        <w:t>m</w:t>
      </w:r>
      <w:r>
        <w:rPr>
          <w:color w:val="auto"/>
          <w:highlight w:val="none"/>
          <w:vertAlign w:val="superscript"/>
        </w:rPr>
        <w:t>3</w:t>
      </w:r>
      <w:r>
        <w:rPr>
          <w:color w:val="auto"/>
          <w:highlight w:val="none"/>
        </w:rPr>
        <w:t>/a</w:t>
      </w:r>
      <w:r>
        <w:rPr>
          <w:rFonts w:hint="eastAsia"/>
          <w:color w:val="auto"/>
          <w:highlight w:val="none"/>
        </w:rPr>
        <w:t>），</w:t>
      </w:r>
      <w:r>
        <w:rPr>
          <w:color w:val="auto"/>
          <w:highlight w:val="none"/>
        </w:rPr>
        <w:t>通过管路输入选矿生产工序循环使用，做到零排放</w:t>
      </w:r>
      <w:r>
        <w:rPr>
          <w:rFonts w:hint="eastAsia"/>
          <w:color w:val="auto"/>
          <w:highlight w:val="none"/>
        </w:rPr>
        <w:t>。</w:t>
      </w:r>
    </w:p>
    <w:p w14:paraId="6C43731E">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5）碱液吸收塔废水</w:t>
      </w:r>
    </w:p>
    <w:p w14:paraId="14720FC0">
      <w:pPr>
        <w:bidi w:val="0"/>
        <w:rPr>
          <w:rFonts w:hint="default"/>
          <w:color w:val="auto"/>
          <w:highlight w:val="none"/>
          <w:lang w:val="en-US" w:eastAsia="zh-CN"/>
        </w:rPr>
      </w:pPr>
      <w:r>
        <w:rPr>
          <w:rFonts w:hint="eastAsia"/>
          <w:color w:val="auto"/>
          <w:highlight w:val="none"/>
          <w:lang w:val="en-US" w:eastAsia="zh-CN"/>
        </w:rPr>
        <w:t>吸收塔依托</w:t>
      </w:r>
      <w:r>
        <w:rPr>
          <w:color w:val="auto"/>
          <w:highlight w:val="none"/>
        </w:rPr>
        <w:t>循环水池内碱液反复循环喷淋，运行过程存在需要持续补新鲜水+补碱；</w:t>
      </w:r>
      <w:r>
        <w:rPr>
          <w:rFonts w:hint="eastAsia"/>
          <w:color w:val="auto"/>
          <w:highlight w:val="none"/>
          <w:lang w:eastAsia="zh-CN"/>
        </w:rPr>
        <w:t>随着</w:t>
      </w:r>
      <w:r>
        <w:rPr>
          <w:color w:val="auto"/>
          <w:highlight w:val="none"/>
        </w:rPr>
        <w:t>硫酸雾不断中和，循环液内硫酸钠盐度持续升高，盐度达到控制上限后，</w:t>
      </w:r>
      <w:r>
        <w:rPr>
          <w:rFonts w:hint="eastAsia"/>
          <w:color w:val="auto"/>
          <w:highlight w:val="none"/>
          <w:lang w:val="en-US" w:eastAsia="zh-CN"/>
        </w:rPr>
        <w:t>定期</w:t>
      </w:r>
      <w:r>
        <w:rPr>
          <w:color w:val="auto"/>
          <w:highlight w:val="none"/>
        </w:rPr>
        <w:t>排出少量定排浓废液，通过管路输入选矿生产工序循环使用</w:t>
      </w:r>
      <w:r>
        <w:rPr>
          <w:rFonts w:hint="eastAsia"/>
          <w:color w:val="auto"/>
          <w:highlight w:val="none"/>
          <w:lang w:eastAsia="zh-CN"/>
        </w:rPr>
        <w:t>。</w:t>
      </w:r>
    </w:p>
    <w:p w14:paraId="60F41922">
      <w:pPr>
        <w:topLinePunct/>
        <w:spacing w:line="480" w:lineRule="exact"/>
        <w:ind w:firstLine="480"/>
        <w:rPr>
          <w:rFonts w:ascii="宋体" w:hAnsi="宋体"/>
          <w:color w:val="auto"/>
          <w:spacing w:val="-1"/>
          <w:szCs w:val="24"/>
          <w:highlight w:val="none"/>
        </w:rPr>
      </w:pPr>
      <w:r>
        <w:rPr>
          <w:rFonts w:hint="eastAsia"/>
          <w:color w:val="auto"/>
          <w:highlight w:val="none"/>
        </w:rPr>
        <w:t>综上，本项目正常工况下的选矿废水、锅炉房废水、化验废水</w:t>
      </w:r>
      <w:r>
        <w:rPr>
          <w:rFonts w:hint="eastAsia"/>
          <w:color w:val="auto"/>
          <w:highlight w:val="none"/>
          <w:lang w:eastAsia="zh-CN"/>
        </w:rPr>
        <w:t>、</w:t>
      </w:r>
      <w:r>
        <w:rPr>
          <w:rFonts w:hint="eastAsia"/>
          <w:color w:val="auto"/>
          <w:highlight w:val="none"/>
          <w:lang w:val="en-US" w:eastAsia="zh-CN"/>
        </w:rPr>
        <w:t>碱液吸收塔废水</w:t>
      </w:r>
      <w:r>
        <w:rPr>
          <w:rFonts w:hint="eastAsia"/>
          <w:color w:val="auto"/>
          <w:highlight w:val="none"/>
        </w:rPr>
        <w:t>以及生活污水均得到合理处理，对周围地表水环境影响较小。</w:t>
      </w:r>
    </w:p>
    <w:p w14:paraId="23BB1A1A">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）突发事故应对措施</w:t>
      </w:r>
    </w:p>
    <w:p w14:paraId="4B8850E2">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事故状态下，露天矿及井工矿的开采可能会对地表水体产生一定程度的污染，这种污染具有突发性、瞬时性等特点。因此，为避免矿区开采突发事故污染地表水水质，评价建议在生产中必须加强监控和管理，制定各类风险事故情况下的应急预案，以确保地表水水质不受污染。</w:t>
      </w:r>
    </w:p>
    <w:p w14:paraId="63AD8C0C">
      <w:pPr>
        <w:pStyle w:val="7"/>
        <w:bidi w:val="0"/>
        <w:rPr>
          <w:rFonts w:hint="default"/>
          <w:color w:val="auto"/>
          <w:highlight w:val="none"/>
          <w:lang w:val="en-US" w:eastAsia="zh-CN"/>
        </w:rPr>
      </w:pPr>
      <w:r>
        <w:rPr>
          <w:rFonts w:hint="eastAsia"/>
          <w:color w:val="auto"/>
          <w:highlight w:val="none"/>
          <w:lang w:val="en-US" w:eastAsia="zh-CN"/>
        </w:rPr>
        <w:t>5.2.2.3</w:t>
      </w:r>
      <w:r>
        <w:rPr>
          <w:rFonts w:hint="default"/>
          <w:color w:val="auto"/>
          <w:highlight w:val="none"/>
          <w:lang w:val="en-US" w:eastAsia="zh-CN"/>
        </w:rPr>
        <w:t>项目建设对</w:t>
      </w:r>
      <w:r>
        <w:rPr>
          <w:rFonts w:hint="eastAsia"/>
          <w:color w:val="auto"/>
          <w:highlight w:val="none"/>
          <w:lang w:val="en-US" w:eastAsia="zh-CN"/>
        </w:rPr>
        <w:t>阿克苏河</w:t>
      </w:r>
      <w:r>
        <w:rPr>
          <w:rFonts w:hint="default"/>
          <w:color w:val="auto"/>
          <w:highlight w:val="none"/>
          <w:lang w:val="en-US" w:eastAsia="zh-CN"/>
        </w:rPr>
        <w:t>的影响分析</w:t>
      </w:r>
    </w:p>
    <w:p w14:paraId="39644213">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snapToGrid/>
          <w:color w:val="auto"/>
          <w:kern w:val="2"/>
          <w:sz w:val="24"/>
          <w:szCs w:val="24"/>
          <w:highlight w:val="none"/>
          <w:lang w:val="en-US" w:eastAsia="zh-CN" w:bidi="ar-SA"/>
        </w:rPr>
      </w:pPr>
      <w:r>
        <w:rPr>
          <w:rFonts w:hint="default" w:ascii="Times New Roman" w:hAnsi="Times New Roman" w:eastAsia="宋体" w:cs="Times New Roman"/>
          <w:b w:val="0"/>
          <w:bCs/>
          <w:snapToGrid/>
          <w:color w:val="auto"/>
          <w:kern w:val="0"/>
          <w:sz w:val="24"/>
          <w:szCs w:val="24"/>
          <w:highlight w:val="none"/>
          <w:lang w:val="en-US" w:eastAsia="zh-CN" w:bidi="ar-SA"/>
        </w:rPr>
        <w:t>本项目矿区位于若羌河上游-阿克苏河流域内，矿区范围内阿克苏河走向长约740m，流向为由南向北，最高高程2927.5m，最低点高程为2886.59m；</w:t>
      </w:r>
      <w:r>
        <w:rPr>
          <w:rFonts w:hint="default" w:ascii="Times New Roman" w:hAnsi="Times New Roman" w:cs="Times New Roman"/>
          <w:color w:val="auto"/>
          <w:sz w:val="24"/>
          <w:szCs w:val="24"/>
          <w:highlight w:val="none"/>
          <w:lang w:val="en-US" w:eastAsia="zh-CN"/>
        </w:rPr>
        <w:t>阿克苏河流经西段47至63勘查线之间</w:t>
      </w:r>
      <w:r>
        <w:rPr>
          <w:rFonts w:hint="default" w:ascii="Times New Roman" w:hAnsi="Times New Roman" w:cs="Times New Roman"/>
          <w:color w:val="auto"/>
          <w:sz w:val="24"/>
          <w:highlight w:val="none"/>
        </w:rPr>
        <w:t>Ⅵ</w:t>
      </w:r>
      <w:r>
        <w:rPr>
          <w:rFonts w:hint="default" w:ascii="Times New Roman" w:hAnsi="Times New Roman" w:cs="Times New Roman"/>
          <w:color w:val="auto"/>
          <w:sz w:val="24"/>
          <w:highlight w:val="none"/>
          <w:lang w:eastAsia="zh-CN"/>
        </w:rPr>
        <w:t>号</w:t>
      </w:r>
      <w:r>
        <w:rPr>
          <w:rFonts w:hint="default" w:ascii="Times New Roman" w:hAnsi="Times New Roman" w:cs="Times New Roman"/>
          <w:color w:val="auto"/>
          <w:sz w:val="24"/>
          <w:szCs w:val="24"/>
          <w:highlight w:val="none"/>
          <w:lang w:val="en-US" w:eastAsia="zh-CN"/>
        </w:rPr>
        <w:t>矿体</w:t>
      </w:r>
      <w:r>
        <w:rPr>
          <w:rFonts w:hint="default" w:ascii="Times New Roman" w:hAnsi="Times New Roman" w:eastAsia="宋体" w:cs="Times New Roman"/>
          <w:snapToGrid/>
          <w:color w:val="auto"/>
          <w:kern w:val="2"/>
          <w:sz w:val="24"/>
          <w:szCs w:val="24"/>
          <w:highlight w:val="none"/>
          <w:lang w:val="en-US" w:eastAsia="zh-CN" w:bidi="ar-SA"/>
        </w:rPr>
        <w:t>，为保护河床需留设保安矿柱，加之47勘探线以西矿体较少且控制程度较低（主要为推断资源量），因此47线附近保安矿柱界线以西矿体不进行开采。</w:t>
      </w:r>
    </w:p>
    <w:p w14:paraId="4D58284E">
      <w:pPr>
        <w:keepNext w:val="0"/>
        <w:keepLines w:val="0"/>
        <w:widowControl/>
        <w:suppressLineNumbers w:val="0"/>
        <w:jc w:val="left"/>
        <w:rPr>
          <w:rFonts w:hint="default" w:ascii="Times New Roman" w:hAnsi="Times New Roman" w:cs="Times New Roman"/>
          <w:color w:val="auto"/>
          <w:lang w:val="en-US" w:eastAsia="zh-CN"/>
        </w:rPr>
      </w:pPr>
      <w:r>
        <w:rPr>
          <w:rFonts w:hint="default" w:ascii="Times New Roman" w:hAnsi="Times New Roman" w:eastAsia="宋体" w:cs="Times New Roman"/>
          <w:color w:val="auto"/>
          <w:kern w:val="0"/>
          <w:sz w:val="24"/>
          <w:szCs w:val="24"/>
          <w:lang w:val="en-US" w:eastAsia="zh-CN" w:bidi="ar"/>
        </w:rPr>
        <w:t>本项目前期环评审批严格遵循生态环境</w:t>
      </w:r>
      <w:r>
        <w:rPr>
          <w:rFonts w:hint="eastAsia" w:cs="Times New Roman"/>
          <w:color w:val="auto"/>
          <w:kern w:val="0"/>
          <w:sz w:val="24"/>
          <w:szCs w:val="24"/>
          <w:lang w:val="en-US" w:eastAsia="zh-CN" w:bidi="ar"/>
        </w:rPr>
        <w:t>分区</w:t>
      </w:r>
      <w:r>
        <w:rPr>
          <w:rFonts w:hint="default" w:ascii="Times New Roman" w:hAnsi="Times New Roman" w:eastAsia="宋体" w:cs="Times New Roman"/>
          <w:color w:val="auto"/>
          <w:kern w:val="0"/>
          <w:sz w:val="24"/>
          <w:szCs w:val="24"/>
          <w:lang w:val="en-US" w:eastAsia="zh-CN" w:bidi="ar"/>
        </w:rPr>
        <w:t>管控要求，</w:t>
      </w:r>
      <w:r>
        <w:rPr>
          <w:rFonts w:hint="default" w:ascii="Times New Roman" w:hAnsi="Times New Roman" w:cs="Times New Roman"/>
          <w:color w:val="auto"/>
          <w:lang w:val="en-US" w:eastAsia="zh-CN"/>
        </w:rPr>
        <w:t>根据《新疆维吾尔自治区重点行业环境准入条件（修订）》中非金属矿采选行业选址与空间布局的要求：“伊犁河、额尔齐斯河等重要河流源头区、水环境功能区划为Ⅰ、Ⅱ类和具有饮用功能的Ⅲ类水体岸边1000米以内，</w:t>
      </w:r>
      <w:r>
        <w:rPr>
          <w:rFonts w:hint="eastAsia" w:cs="Times New Roman"/>
          <w:color w:val="auto"/>
          <w:lang w:val="en-US" w:eastAsia="zh-CN"/>
        </w:rPr>
        <w:t>其他</w:t>
      </w:r>
      <w:r>
        <w:rPr>
          <w:rFonts w:hint="default" w:ascii="Times New Roman" w:hAnsi="Times New Roman" w:cs="Times New Roman"/>
          <w:color w:val="auto"/>
          <w:lang w:val="en-US" w:eastAsia="zh-CN"/>
        </w:rPr>
        <w:t>Ⅲ类水体岸边200米以内，禁止新建或改扩建非金属矿选矿工程，存在山体等阻隔地形或建设人工地下水阻隔设施的，可根据实际情况，在确保不会对水体产生污染影响的前提下适当放宽距离要求”，提出了</w:t>
      </w:r>
      <w:r>
        <w:rPr>
          <w:rFonts w:hint="default" w:ascii="Times New Roman" w:hAnsi="Times New Roman" w:cs="Times New Roman"/>
          <w:color w:val="auto"/>
        </w:rPr>
        <w:t>在河道与矿体间</w:t>
      </w:r>
      <w:r>
        <w:rPr>
          <w:rFonts w:hint="default" w:ascii="Times New Roman" w:hAnsi="Times New Roman" w:cs="Times New Roman"/>
          <w:color w:val="auto"/>
          <w:lang w:val="en-US" w:eastAsia="zh-CN"/>
        </w:rPr>
        <w:t>进行</w:t>
      </w:r>
      <w:r>
        <w:rPr>
          <w:rFonts w:hint="default" w:ascii="Times New Roman" w:hAnsi="Times New Roman" w:cs="Times New Roman"/>
          <w:color w:val="auto"/>
        </w:rPr>
        <w:t>帷幕注浆</w:t>
      </w:r>
      <w:r>
        <w:rPr>
          <w:rFonts w:hint="default" w:ascii="Times New Roman" w:hAnsi="Times New Roman" w:cs="Times New Roman"/>
          <w:color w:val="auto"/>
          <w:lang w:val="en-US" w:eastAsia="zh-CN"/>
        </w:rPr>
        <w:t>的措施。</w:t>
      </w:r>
    </w:p>
    <w:p w14:paraId="716577B0">
      <w:pPr>
        <w:bidi w:val="0"/>
        <w:rPr>
          <w:rFonts w:hint="eastAsia"/>
          <w:color w:val="auto"/>
          <w:lang w:val="en-US" w:eastAsia="zh-CN"/>
        </w:rPr>
      </w:pPr>
      <w:r>
        <w:rPr>
          <w:rFonts w:hint="default" w:ascii="Times New Roman" w:hAnsi="Times New Roman" w:cs="Times New Roman"/>
          <w:color w:val="auto"/>
          <w:lang w:val="en-US" w:eastAsia="zh-CN"/>
        </w:rPr>
        <w:t>现行《新疆维吾尔自治区重点行业环境准入条件（2024年版）》中非金属矿采选行业选址与空间布局调整了相关要求：“河道范围及其附近的非金属矿采</w:t>
      </w:r>
      <w:r>
        <w:rPr>
          <w:rFonts w:hint="eastAsia"/>
          <w:color w:val="auto"/>
          <w:lang w:val="en-US" w:eastAsia="zh-CN"/>
        </w:rPr>
        <w:t>选项目应符合国家和自治区河道管理条例要求，具体根据矿产资源开发利用结论和环境影响评价结论管控。”现行准入条件取消了传统固定距离管控。</w:t>
      </w:r>
    </w:p>
    <w:p w14:paraId="30882157">
      <w:pPr>
        <w:bidi w:val="0"/>
        <w:rPr>
          <w:color w:val="auto"/>
        </w:rPr>
      </w:pPr>
      <w:r>
        <w:rPr>
          <w:rFonts w:hint="default"/>
          <w:color w:val="auto"/>
          <w:lang w:val="en-US" w:eastAsia="zh-CN"/>
        </w:rPr>
        <w:t>本项目二期开采标高是在河流标高之下，</w:t>
      </w:r>
      <w:r>
        <w:rPr>
          <w:rFonts w:hint="default"/>
          <w:color w:val="auto"/>
        </w:rPr>
        <w:t>为防止地表河水沿采动裂隙涌入井下、保护地表水体功能，设计在开采上限与河底之间留设了保安矿柱，</w:t>
      </w:r>
      <w:r>
        <w:rPr>
          <w:rFonts w:hint="default"/>
          <w:color w:val="auto"/>
          <w:lang w:val="en-US" w:eastAsia="zh-CN"/>
        </w:rPr>
        <w:t>详见附图3.1-4 井下开采设计图，</w:t>
      </w:r>
      <w:r>
        <w:rPr>
          <w:rFonts w:hint="default"/>
          <w:color w:val="auto"/>
        </w:rPr>
        <w:t>保安矿柱厚度依据河水与开采标高的水头差、顶板岩性、开采厚度及导水裂缝带发育高度等参数综合确定，</w:t>
      </w:r>
      <w:r>
        <w:rPr>
          <w:rFonts w:hint="eastAsia"/>
          <w:color w:val="auto"/>
          <w:lang w:val="en-US" w:eastAsia="zh-CN"/>
        </w:rPr>
        <w:t>通过</w:t>
      </w:r>
      <w:r>
        <w:rPr>
          <w:rFonts w:ascii="宋体" w:hAnsi="宋体" w:eastAsia="宋体" w:cs="宋体"/>
          <w:color w:val="auto"/>
          <w:kern w:val="0"/>
          <w:sz w:val="24"/>
          <w:szCs w:val="24"/>
          <w:lang w:val="en-US" w:eastAsia="zh-CN" w:bidi="ar"/>
        </w:rPr>
        <w:t>在裂缝带发育上限与河底隔水层之间保留足够厚度的完整、连续、稳定的原生隔水矿柱，彻底隔绝地表河水与井下采空区的水力连通通道，从岩层结构层面杜绝采动裂隙贯通河床、引发河水渗漏的问题。</w:t>
      </w:r>
    </w:p>
    <w:p w14:paraId="015096C1">
      <w:pPr>
        <w:bidi w:val="0"/>
        <w:rPr>
          <w:rFonts w:hint="default"/>
          <w:color w:val="auto"/>
        </w:rPr>
      </w:pPr>
      <w:r>
        <w:rPr>
          <w:rFonts w:hint="default"/>
          <w:color w:val="auto"/>
        </w:rPr>
        <w:t>本项目通过留设符合规范要求的保安矿柱，可有效阻隔地表河水与井下采空区之间的水力联系，控制采动裂缝不波及河床，保护河床隔水层完整性。在保安矿柱按设计严格留设、不越界开采的前提下，井下开采不会导致地表河水大量渗漏、不会改变河流水文情势、不会对地表水体水质及功能造成不利影响。</w:t>
      </w:r>
    </w:p>
    <w:p w14:paraId="10F42C30">
      <w:pPr>
        <w:pStyle w:val="7"/>
        <w:bidi w:val="0"/>
        <w:rPr>
          <w:color w:val="auto"/>
          <w:highlight w:val="none"/>
        </w:rPr>
      </w:pPr>
      <w:r>
        <w:rPr>
          <w:rFonts w:hint="eastAsia"/>
          <w:color w:val="auto"/>
          <w:highlight w:val="none"/>
          <w:lang w:val="en-US" w:eastAsia="zh-CN"/>
        </w:rPr>
        <w:t>5.2.2.4</w:t>
      </w:r>
      <w:r>
        <w:rPr>
          <w:rFonts w:hint="eastAsia"/>
          <w:color w:val="auto"/>
          <w:highlight w:val="none"/>
        </w:rPr>
        <w:t>地表水环境影响评价自查表</w:t>
      </w:r>
    </w:p>
    <w:p w14:paraId="725121AC">
      <w:pPr>
        <w:overflowPunct w:val="0"/>
        <w:topLinePunct/>
        <w:ind w:firstLine="480"/>
        <w:rPr>
          <w:bCs/>
          <w:color w:val="auto"/>
          <w:highlight w:val="none"/>
        </w:rPr>
      </w:pPr>
      <w:r>
        <w:rPr>
          <w:rFonts w:hint="eastAsia"/>
          <w:bCs/>
          <w:color w:val="auto"/>
          <w:highlight w:val="none"/>
        </w:rPr>
        <w:t>地表水环境影响评价自查表见下表。</w:t>
      </w:r>
    </w:p>
    <w:p w14:paraId="4BB9B1C1">
      <w:pPr>
        <w:ind w:firstLine="0" w:firstLineChars="0"/>
        <w:jc w:val="center"/>
        <w:rPr>
          <w:b/>
          <w:bCs/>
          <w:color w:val="auto"/>
          <w:highlight w:val="none"/>
        </w:rPr>
      </w:pPr>
      <w:r>
        <w:rPr>
          <w:b/>
          <w:bCs/>
          <w:color w:val="auto"/>
          <w:highlight w:val="none"/>
        </w:rPr>
        <w:t>表5.2-</w:t>
      </w:r>
      <w:r>
        <w:rPr>
          <w:rFonts w:hint="eastAsia"/>
          <w:b/>
          <w:bCs/>
          <w:color w:val="auto"/>
          <w:highlight w:val="none"/>
          <w:lang w:val="en-US" w:eastAsia="zh-CN"/>
        </w:rPr>
        <w:t>10</w:t>
      </w:r>
      <w:r>
        <w:rPr>
          <w:b/>
          <w:bCs/>
          <w:color w:val="auto"/>
          <w:highlight w:val="none"/>
        </w:rPr>
        <w:t xml:space="preserve">   地表水环境影响</w:t>
      </w:r>
      <w:r>
        <w:rPr>
          <w:rFonts w:hint="eastAsia"/>
          <w:b/>
          <w:bCs/>
          <w:color w:val="auto"/>
          <w:highlight w:val="none"/>
        </w:rPr>
        <w:t>评价自查表</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106"/>
        <w:gridCol w:w="1915"/>
        <w:gridCol w:w="312"/>
        <w:gridCol w:w="53"/>
        <w:gridCol w:w="468"/>
        <w:gridCol w:w="417"/>
        <w:gridCol w:w="398"/>
        <w:gridCol w:w="225"/>
        <w:gridCol w:w="626"/>
        <w:gridCol w:w="182"/>
        <w:gridCol w:w="234"/>
        <w:gridCol w:w="773"/>
        <w:gridCol w:w="1310"/>
      </w:tblGrid>
      <w:tr w14:paraId="1BC8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1609" w:type="dxa"/>
            <w:gridSpan w:val="2"/>
            <w:vAlign w:val="center"/>
          </w:tcPr>
          <w:p w14:paraId="225B44DF">
            <w:pPr>
              <w:pStyle w:val="17"/>
              <w:bidi w:val="0"/>
              <w:rPr>
                <w:color w:val="auto"/>
                <w:highlight w:val="none"/>
              </w:rPr>
            </w:pPr>
            <w:r>
              <w:rPr>
                <w:color w:val="auto"/>
                <w:highlight w:val="none"/>
              </w:rPr>
              <w:t>工作内容</w:t>
            </w:r>
          </w:p>
        </w:tc>
        <w:tc>
          <w:tcPr>
            <w:tcW w:w="6913" w:type="dxa"/>
            <w:gridSpan w:val="12"/>
            <w:vAlign w:val="center"/>
          </w:tcPr>
          <w:p w14:paraId="64604C38">
            <w:pPr>
              <w:pStyle w:val="17"/>
              <w:bidi w:val="0"/>
              <w:rPr>
                <w:color w:val="auto"/>
                <w:highlight w:val="none"/>
              </w:rPr>
            </w:pPr>
            <w:r>
              <w:rPr>
                <w:color w:val="auto"/>
                <w:highlight w:val="none"/>
              </w:rPr>
              <w:t>自查项目</w:t>
            </w:r>
          </w:p>
        </w:tc>
      </w:tr>
      <w:tr w14:paraId="4A9F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restart"/>
            <w:vAlign w:val="center"/>
          </w:tcPr>
          <w:p w14:paraId="1B6200B5">
            <w:pPr>
              <w:pStyle w:val="17"/>
              <w:bidi w:val="0"/>
              <w:rPr>
                <w:color w:val="auto"/>
                <w:highlight w:val="none"/>
              </w:rPr>
            </w:pPr>
            <w:r>
              <w:rPr>
                <w:rFonts w:hint="eastAsia"/>
                <w:color w:val="auto"/>
                <w:highlight w:val="none"/>
              </w:rPr>
              <w:t>影</w:t>
            </w:r>
          </w:p>
          <w:p w14:paraId="380B866C">
            <w:pPr>
              <w:pStyle w:val="17"/>
              <w:bidi w:val="0"/>
              <w:rPr>
                <w:color w:val="auto"/>
                <w:highlight w:val="none"/>
              </w:rPr>
            </w:pPr>
            <w:r>
              <w:rPr>
                <w:rFonts w:hint="eastAsia"/>
                <w:color w:val="auto"/>
                <w:highlight w:val="none"/>
              </w:rPr>
              <w:t>响</w:t>
            </w:r>
          </w:p>
          <w:p w14:paraId="06048D59">
            <w:pPr>
              <w:pStyle w:val="17"/>
              <w:bidi w:val="0"/>
              <w:rPr>
                <w:color w:val="auto"/>
                <w:highlight w:val="none"/>
              </w:rPr>
            </w:pPr>
            <w:r>
              <w:rPr>
                <w:rFonts w:hint="eastAsia"/>
                <w:color w:val="auto"/>
                <w:highlight w:val="none"/>
              </w:rPr>
              <w:t>识</w:t>
            </w:r>
          </w:p>
          <w:p w14:paraId="736FC050">
            <w:pPr>
              <w:pStyle w:val="17"/>
              <w:bidi w:val="0"/>
              <w:rPr>
                <w:color w:val="auto"/>
                <w:highlight w:val="none"/>
              </w:rPr>
            </w:pPr>
            <w:r>
              <w:rPr>
                <w:rFonts w:hint="eastAsia"/>
                <w:color w:val="auto"/>
                <w:highlight w:val="none"/>
              </w:rPr>
              <w:t>别</w:t>
            </w:r>
          </w:p>
        </w:tc>
        <w:tc>
          <w:tcPr>
            <w:tcW w:w="1106" w:type="dxa"/>
            <w:vAlign w:val="center"/>
          </w:tcPr>
          <w:p w14:paraId="05CDDEFC">
            <w:pPr>
              <w:pStyle w:val="17"/>
              <w:bidi w:val="0"/>
              <w:rPr>
                <w:color w:val="auto"/>
                <w:highlight w:val="none"/>
              </w:rPr>
            </w:pPr>
            <w:r>
              <w:rPr>
                <w:rFonts w:hint="eastAsia"/>
                <w:color w:val="auto"/>
                <w:highlight w:val="none"/>
              </w:rPr>
              <w:t>影响类型</w:t>
            </w:r>
          </w:p>
        </w:tc>
        <w:tc>
          <w:tcPr>
            <w:tcW w:w="6913" w:type="dxa"/>
            <w:gridSpan w:val="12"/>
            <w:vAlign w:val="center"/>
          </w:tcPr>
          <w:p w14:paraId="58C48FEE">
            <w:pPr>
              <w:pStyle w:val="17"/>
              <w:bidi w:val="0"/>
              <w:rPr>
                <w:rFonts w:hint="eastAsia" w:eastAsia="宋体"/>
                <w:color w:val="auto"/>
                <w:highlight w:val="none"/>
                <w:lang w:eastAsia="zh-CN"/>
              </w:rPr>
            </w:pPr>
            <w:r>
              <w:rPr>
                <w:rFonts w:hint="eastAsia"/>
                <w:color w:val="auto"/>
                <w:highlight w:val="none"/>
              </w:rPr>
              <w:t>水污染影响型</w:t>
            </w:r>
            <w:r>
              <w:rPr>
                <w:rFonts w:hint="eastAsia"/>
                <w:color w:val="auto"/>
                <w:highlight w:val="none"/>
                <w:lang w:eastAsia="zh-CN"/>
              </w:rPr>
              <w:t>☑</w:t>
            </w:r>
            <w:r>
              <w:rPr>
                <w:rFonts w:hint="eastAsia"/>
                <w:color w:val="auto"/>
                <w:highlight w:val="none"/>
              </w:rPr>
              <w:t>；水文要素影响型</w:t>
            </w:r>
            <w:r>
              <w:rPr>
                <w:rFonts w:hint="eastAsia"/>
                <w:color w:val="auto"/>
                <w:highlight w:val="none"/>
                <w:lang w:eastAsia="zh-CN"/>
              </w:rPr>
              <w:t>□</w:t>
            </w:r>
          </w:p>
        </w:tc>
      </w:tr>
      <w:tr w14:paraId="5395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0D3E175E">
            <w:pPr>
              <w:pStyle w:val="17"/>
              <w:bidi w:val="0"/>
              <w:rPr>
                <w:color w:val="auto"/>
                <w:highlight w:val="none"/>
              </w:rPr>
            </w:pPr>
          </w:p>
        </w:tc>
        <w:tc>
          <w:tcPr>
            <w:tcW w:w="1106" w:type="dxa"/>
            <w:vAlign w:val="center"/>
          </w:tcPr>
          <w:p w14:paraId="31418894">
            <w:pPr>
              <w:pStyle w:val="17"/>
              <w:bidi w:val="0"/>
              <w:rPr>
                <w:color w:val="auto"/>
                <w:highlight w:val="none"/>
              </w:rPr>
            </w:pPr>
            <w:r>
              <w:rPr>
                <w:rFonts w:hint="eastAsia"/>
                <w:color w:val="auto"/>
                <w:highlight w:val="none"/>
              </w:rPr>
              <w:t>水环境保护目标</w:t>
            </w:r>
          </w:p>
        </w:tc>
        <w:tc>
          <w:tcPr>
            <w:tcW w:w="6913" w:type="dxa"/>
            <w:gridSpan w:val="12"/>
            <w:vAlign w:val="center"/>
          </w:tcPr>
          <w:p w14:paraId="4BA9D391">
            <w:pPr>
              <w:pStyle w:val="17"/>
              <w:bidi w:val="0"/>
              <w:rPr>
                <w:rFonts w:hint="eastAsia" w:eastAsia="宋体"/>
                <w:color w:val="auto"/>
                <w:highlight w:val="none"/>
                <w:lang w:eastAsia="zh-CN"/>
              </w:rPr>
            </w:pPr>
            <w:r>
              <w:rPr>
                <w:rFonts w:hint="eastAsia"/>
                <w:color w:val="auto"/>
                <w:highlight w:val="none"/>
              </w:rPr>
              <w:t>饮用水水源保护区□；饮用水取水</w:t>
            </w:r>
            <w:r>
              <w:rPr>
                <w:rFonts w:hint="eastAsia"/>
                <w:color w:val="auto"/>
                <w:highlight w:val="none"/>
                <w:lang w:eastAsia="zh-CN"/>
              </w:rPr>
              <w:t>□</w:t>
            </w:r>
            <w:r>
              <w:rPr>
                <w:rFonts w:hint="eastAsia"/>
                <w:color w:val="auto"/>
                <w:highlight w:val="none"/>
              </w:rPr>
              <w:t>；涉水的自然保护区□；重要湿地□；重点保护与珍稀水生生物的栖息地□；重要水生生物的自然产卵场及索饵场、越冬场和洄游通道、天然渔场等渔业水体□；涉水的风景名胜区□；其他</w:t>
            </w:r>
            <w:r>
              <w:rPr>
                <w:rFonts w:hint="eastAsia"/>
                <w:color w:val="auto"/>
                <w:highlight w:val="none"/>
                <w:lang w:eastAsia="zh-CN"/>
              </w:rPr>
              <w:t>（阿克苏河）☑</w:t>
            </w:r>
          </w:p>
        </w:tc>
      </w:tr>
      <w:tr w14:paraId="214D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5862C103">
            <w:pPr>
              <w:pStyle w:val="17"/>
              <w:bidi w:val="0"/>
              <w:rPr>
                <w:color w:val="auto"/>
                <w:highlight w:val="none"/>
              </w:rPr>
            </w:pPr>
          </w:p>
        </w:tc>
        <w:tc>
          <w:tcPr>
            <w:tcW w:w="1106" w:type="dxa"/>
            <w:vMerge w:val="restart"/>
            <w:vAlign w:val="center"/>
          </w:tcPr>
          <w:p w14:paraId="45311509">
            <w:pPr>
              <w:pStyle w:val="17"/>
              <w:bidi w:val="0"/>
              <w:rPr>
                <w:color w:val="auto"/>
                <w:highlight w:val="none"/>
              </w:rPr>
            </w:pPr>
            <w:r>
              <w:rPr>
                <w:rFonts w:hint="eastAsia"/>
                <w:color w:val="auto"/>
                <w:highlight w:val="none"/>
              </w:rPr>
              <w:t>影响途径</w:t>
            </w:r>
          </w:p>
        </w:tc>
        <w:tc>
          <w:tcPr>
            <w:tcW w:w="3563" w:type="dxa"/>
            <w:gridSpan w:val="6"/>
            <w:vAlign w:val="center"/>
          </w:tcPr>
          <w:p w14:paraId="58A90399">
            <w:pPr>
              <w:pStyle w:val="17"/>
              <w:bidi w:val="0"/>
              <w:rPr>
                <w:color w:val="auto"/>
                <w:highlight w:val="none"/>
              </w:rPr>
            </w:pPr>
            <w:r>
              <w:rPr>
                <w:color w:val="auto"/>
                <w:highlight w:val="none"/>
              </w:rPr>
              <w:t>水污染影响型</w:t>
            </w:r>
          </w:p>
        </w:tc>
        <w:tc>
          <w:tcPr>
            <w:tcW w:w="3350" w:type="dxa"/>
            <w:gridSpan w:val="6"/>
            <w:vAlign w:val="center"/>
          </w:tcPr>
          <w:p w14:paraId="220961C7">
            <w:pPr>
              <w:pStyle w:val="17"/>
              <w:bidi w:val="0"/>
              <w:rPr>
                <w:color w:val="auto"/>
                <w:highlight w:val="none"/>
              </w:rPr>
            </w:pPr>
            <w:r>
              <w:rPr>
                <w:rFonts w:hint="eastAsia"/>
                <w:color w:val="auto"/>
                <w:highlight w:val="none"/>
              </w:rPr>
              <w:t>水文要素影响型</w:t>
            </w:r>
          </w:p>
        </w:tc>
      </w:tr>
      <w:tr w14:paraId="7584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06EF42D4">
            <w:pPr>
              <w:pStyle w:val="17"/>
              <w:bidi w:val="0"/>
              <w:rPr>
                <w:color w:val="auto"/>
                <w:highlight w:val="none"/>
              </w:rPr>
            </w:pPr>
          </w:p>
        </w:tc>
        <w:tc>
          <w:tcPr>
            <w:tcW w:w="1106" w:type="dxa"/>
            <w:vMerge w:val="continue"/>
            <w:vAlign w:val="center"/>
          </w:tcPr>
          <w:p w14:paraId="25ECF58E">
            <w:pPr>
              <w:pStyle w:val="17"/>
              <w:bidi w:val="0"/>
              <w:rPr>
                <w:color w:val="auto"/>
                <w:highlight w:val="none"/>
              </w:rPr>
            </w:pPr>
          </w:p>
        </w:tc>
        <w:tc>
          <w:tcPr>
            <w:tcW w:w="3563" w:type="dxa"/>
            <w:gridSpan w:val="6"/>
            <w:vAlign w:val="center"/>
          </w:tcPr>
          <w:p w14:paraId="3FB6BF06">
            <w:pPr>
              <w:pStyle w:val="17"/>
              <w:bidi w:val="0"/>
              <w:rPr>
                <w:rFonts w:hint="eastAsia" w:eastAsia="宋体"/>
                <w:color w:val="auto"/>
                <w:highlight w:val="none"/>
                <w:lang w:eastAsia="zh-CN"/>
              </w:rPr>
            </w:pPr>
            <w:r>
              <w:rPr>
                <w:rFonts w:hint="eastAsia"/>
                <w:color w:val="auto"/>
                <w:highlight w:val="none"/>
              </w:rPr>
              <w:t>直接排放□；间接排放</w:t>
            </w:r>
            <w:r>
              <w:rPr>
                <w:rFonts w:hint="eastAsia"/>
                <w:color w:val="auto"/>
                <w:highlight w:val="none"/>
                <w:lang w:eastAsia="zh-CN"/>
              </w:rPr>
              <w:t>□</w:t>
            </w:r>
            <w:r>
              <w:rPr>
                <w:rFonts w:hint="eastAsia"/>
                <w:color w:val="auto"/>
                <w:highlight w:val="none"/>
              </w:rPr>
              <w:t>；其他</w:t>
            </w:r>
            <w:r>
              <w:rPr>
                <w:rFonts w:hint="eastAsia"/>
                <w:color w:val="auto"/>
                <w:highlight w:val="none"/>
                <w:lang w:eastAsia="zh-CN"/>
              </w:rPr>
              <w:t>☑</w:t>
            </w:r>
          </w:p>
        </w:tc>
        <w:tc>
          <w:tcPr>
            <w:tcW w:w="3350" w:type="dxa"/>
            <w:gridSpan w:val="6"/>
            <w:vAlign w:val="center"/>
          </w:tcPr>
          <w:p w14:paraId="424AB222">
            <w:pPr>
              <w:pStyle w:val="17"/>
              <w:bidi w:val="0"/>
              <w:rPr>
                <w:color w:val="auto"/>
                <w:highlight w:val="none"/>
              </w:rPr>
            </w:pPr>
            <w:r>
              <w:rPr>
                <w:rFonts w:hint="eastAsia"/>
                <w:color w:val="auto"/>
                <w:highlight w:val="none"/>
              </w:rPr>
              <w:t>水温□；径流□；水域面积□</w:t>
            </w:r>
          </w:p>
        </w:tc>
      </w:tr>
      <w:tr w14:paraId="60C6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2A006E64">
            <w:pPr>
              <w:pStyle w:val="17"/>
              <w:bidi w:val="0"/>
              <w:rPr>
                <w:color w:val="auto"/>
                <w:highlight w:val="none"/>
              </w:rPr>
            </w:pPr>
          </w:p>
        </w:tc>
        <w:tc>
          <w:tcPr>
            <w:tcW w:w="1106" w:type="dxa"/>
            <w:vAlign w:val="center"/>
          </w:tcPr>
          <w:p w14:paraId="45A7B9BB">
            <w:pPr>
              <w:pStyle w:val="17"/>
              <w:bidi w:val="0"/>
              <w:rPr>
                <w:color w:val="auto"/>
                <w:highlight w:val="none"/>
              </w:rPr>
            </w:pPr>
            <w:r>
              <w:rPr>
                <w:rFonts w:hint="eastAsia"/>
                <w:color w:val="auto"/>
                <w:highlight w:val="none"/>
              </w:rPr>
              <w:t>影响因子</w:t>
            </w:r>
          </w:p>
        </w:tc>
        <w:tc>
          <w:tcPr>
            <w:tcW w:w="3563" w:type="dxa"/>
            <w:gridSpan w:val="6"/>
            <w:vAlign w:val="center"/>
          </w:tcPr>
          <w:p w14:paraId="29DEC7BB">
            <w:pPr>
              <w:pStyle w:val="17"/>
              <w:bidi w:val="0"/>
              <w:rPr>
                <w:color w:val="auto"/>
                <w:highlight w:val="none"/>
              </w:rPr>
            </w:pPr>
            <w:r>
              <w:rPr>
                <w:rFonts w:hint="eastAsia"/>
                <w:color w:val="auto"/>
                <w:highlight w:val="none"/>
              </w:rPr>
              <w:t>持久性污染物□</w:t>
            </w:r>
            <w:r>
              <w:rPr>
                <w:rFonts w:hint="eastAsia"/>
                <w:color w:val="auto"/>
                <w:highlight w:val="none"/>
                <w:lang w:eastAsia="zh-CN"/>
              </w:rPr>
              <w:t>；有</w:t>
            </w:r>
            <w:r>
              <w:rPr>
                <w:rFonts w:hint="eastAsia"/>
                <w:color w:val="auto"/>
                <w:highlight w:val="none"/>
              </w:rPr>
              <w:t>毒有害污染物□；非持久性污染物</w:t>
            </w:r>
            <w:r>
              <w:rPr>
                <w:rFonts w:hint="eastAsia"/>
                <w:color w:val="auto"/>
                <w:highlight w:val="none"/>
                <w:lang w:eastAsia="zh-CN"/>
              </w:rPr>
              <w:t>□</w:t>
            </w:r>
            <w:r>
              <w:rPr>
                <w:rFonts w:hint="eastAsia"/>
                <w:color w:val="auto"/>
                <w:highlight w:val="none"/>
              </w:rPr>
              <w:t>；pH值</w:t>
            </w:r>
            <w:r>
              <w:rPr>
                <w:rFonts w:hint="eastAsia"/>
                <w:color w:val="auto"/>
                <w:highlight w:val="none"/>
                <w:lang w:eastAsia="zh-CN"/>
              </w:rPr>
              <w:t>□</w:t>
            </w:r>
            <w:r>
              <w:rPr>
                <w:rFonts w:hint="eastAsia"/>
                <w:color w:val="auto"/>
                <w:highlight w:val="none"/>
              </w:rPr>
              <w:t>；</w:t>
            </w:r>
          </w:p>
          <w:p w14:paraId="070F69F2">
            <w:pPr>
              <w:pStyle w:val="17"/>
              <w:bidi w:val="0"/>
              <w:rPr>
                <w:rFonts w:hint="eastAsia" w:eastAsia="宋体"/>
                <w:color w:val="auto"/>
                <w:highlight w:val="none"/>
                <w:lang w:eastAsia="zh-CN"/>
              </w:rPr>
            </w:pPr>
            <w:r>
              <w:rPr>
                <w:rFonts w:hint="eastAsia"/>
                <w:color w:val="auto"/>
                <w:highlight w:val="none"/>
              </w:rPr>
              <w:t>热污染□；富营养化□；其他</w:t>
            </w:r>
            <w:r>
              <w:rPr>
                <w:rFonts w:hint="eastAsia"/>
                <w:color w:val="auto"/>
                <w:highlight w:val="none"/>
                <w:lang w:eastAsia="zh-CN"/>
              </w:rPr>
              <w:t>☑</w:t>
            </w:r>
          </w:p>
        </w:tc>
        <w:tc>
          <w:tcPr>
            <w:tcW w:w="3350" w:type="dxa"/>
            <w:gridSpan w:val="6"/>
            <w:vAlign w:val="center"/>
          </w:tcPr>
          <w:p w14:paraId="5DE148B7">
            <w:pPr>
              <w:pStyle w:val="17"/>
              <w:bidi w:val="0"/>
              <w:rPr>
                <w:color w:val="auto"/>
                <w:highlight w:val="none"/>
              </w:rPr>
            </w:pPr>
            <w:r>
              <w:rPr>
                <w:rFonts w:hint="eastAsia"/>
                <w:color w:val="auto"/>
                <w:highlight w:val="none"/>
              </w:rPr>
              <w:t>水温</w:t>
            </w:r>
            <w:r>
              <w:rPr>
                <w:rFonts w:hint="eastAsia"/>
                <w:color w:val="auto"/>
                <w:highlight w:val="none"/>
                <w:lang w:eastAsia="zh-CN"/>
              </w:rPr>
              <w:t>□</w:t>
            </w:r>
            <w:r>
              <w:rPr>
                <w:rFonts w:hint="eastAsia"/>
                <w:color w:val="auto"/>
                <w:highlight w:val="none"/>
              </w:rPr>
              <w:t>；水位（水深）□；流速□；流量□；其他□</w:t>
            </w:r>
          </w:p>
        </w:tc>
      </w:tr>
      <w:tr w14:paraId="73B1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09" w:type="dxa"/>
            <w:gridSpan w:val="2"/>
            <w:vMerge w:val="restart"/>
            <w:vAlign w:val="center"/>
          </w:tcPr>
          <w:p w14:paraId="4D0AAB81">
            <w:pPr>
              <w:pStyle w:val="17"/>
              <w:bidi w:val="0"/>
              <w:rPr>
                <w:color w:val="auto"/>
                <w:highlight w:val="none"/>
              </w:rPr>
            </w:pPr>
            <w:r>
              <w:rPr>
                <w:color w:val="auto"/>
                <w:highlight w:val="none"/>
              </w:rPr>
              <w:t>评价等级</w:t>
            </w:r>
          </w:p>
        </w:tc>
        <w:tc>
          <w:tcPr>
            <w:tcW w:w="3563" w:type="dxa"/>
            <w:gridSpan w:val="6"/>
            <w:vAlign w:val="center"/>
          </w:tcPr>
          <w:p w14:paraId="3A1A0936">
            <w:pPr>
              <w:pStyle w:val="17"/>
              <w:bidi w:val="0"/>
              <w:rPr>
                <w:color w:val="auto"/>
                <w:highlight w:val="none"/>
              </w:rPr>
            </w:pPr>
            <w:r>
              <w:rPr>
                <w:color w:val="auto"/>
                <w:highlight w:val="none"/>
              </w:rPr>
              <w:t>水污染影响型</w:t>
            </w:r>
          </w:p>
        </w:tc>
        <w:tc>
          <w:tcPr>
            <w:tcW w:w="3350" w:type="dxa"/>
            <w:gridSpan w:val="6"/>
            <w:vAlign w:val="center"/>
          </w:tcPr>
          <w:p w14:paraId="7B806C38">
            <w:pPr>
              <w:pStyle w:val="17"/>
              <w:bidi w:val="0"/>
              <w:rPr>
                <w:color w:val="auto"/>
                <w:highlight w:val="none"/>
              </w:rPr>
            </w:pPr>
            <w:r>
              <w:rPr>
                <w:rFonts w:hint="eastAsia"/>
                <w:color w:val="auto"/>
                <w:highlight w:val="none"/>
              </w:rPr>
              <w:t>水文要素影响型</w:t>
            </w:r>
          </w:p>
        </w:tc>
      </w:tr>
      <w:tr w14:paraId="39A3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09" w:type="dxa"/>
            <w:gridSpan w:val="2"/>
            <w:vMerge w:val="continue"/>
            <w:vAlign w:val="center"/>
          </w:tcPr>
          <w:p w14:paraId="3B12AC51">
            <w:pPr>
              <w:pStyle w:val="17"/>
              <w:bidi w:val="0"/>
              <w:rPr>
                <w:color w:val="auto"/>
                <w:highlight w:val="none"/>
              </w:rPr>
            </w:pPr>
          </w:p>
        </w:tc>
        <w:tc>
          <w:tcPr>
            <w:tcW w:w="3563" w:type="dxa"/>
            <w:gridSpan w:val="6"/>
            <w:vAlign w:val="center"/>
          </w:tcPr>
          <w:p w14:paraId="31A674F0">
            <w:pPr>
              <w:pStyle w:val="17"/>
              <w:bidi w:val="0"/>
              <w:rPr>
                <w:color w:val="auto"/>
                <w:highlight w:val="none"/>
              </w:rPr>
            </w:pPr>
            <w:r>
              <w:rPr>
                <w:rFonts w:hint="eastAsia"/>
                <w:color w:val="auto"/>
                <w:highlight w:val="none"/>
              </w:rPr>
              <w:t>一级□；二级□；三级A□；</w:t>
            </w:r>
          </w:p>
          <w:p w14:paraId="7FE5F7FD">
            <w:pPr>
              <w:pStyle w:val="17"/>
              <w:bidi w:val="0"/>
              <w:rPr>
                <w:rFonts w:hint="eastAsia" w:eastAsia="宋体"/>
                <w:color w:val="auto"/>
                <w:highlight w:val="none"/>
                <w:lang w:eastAsia="zh-CN"/>
              </w:rPr>
            </w:pPr>
            <w:r>
              <w:rPr>
                <w:rFonts w:hint="eastAsia"/>
                <w:color w:val="auto"/>
                <w:highlight w:val="none"/>
              </w:rPr>
              <w:t>三级B</w:t>
            </w:r>
            <w:r>
              <w:rPr>
                <w:rFonts w:hint="eastAsia"/>
                <w:color w:val="auto"/>
                <w:highlight w:val="none"/>
                <w:lang w:eastAsia="zh-CN"/>
              </w:rPr>
              <w:t>☑</w:t>
            </w:r>
          </w:p>
        </w:tc>
        <w:tc>
          <w:tcPr>
            <w:tcW w:w="3350" w:type="dxa"/>
            <w:gridSpan w:val="6"/>
            <w:vAlign w:val="center"/>
          </w:tcPr>
          <w:p w14:paraId="17308416">
            <w:pPr>
              <w:pStyle w:val="17"/>
              <w:bidi w:val="0"/>
              <w:rPr>
                <w:color w:val="auto"/>
                <w:highlight w:val="none"/>
              </w:rPr>
            </w:pPr>
            <w:r>
              <w:rPr>
                <w:rFonts w:hint="eastAsia"/>
                <w:color w:val="auto"/>
                <w:highlight w:val="none"/>
              </w:rPr>
              <w:t>一级□；二级□；三级□</w:t>
            </w:r>
          </w:p>
        </w:tc>
      </w:tr>
      <w:tr w14:paraId="0AE0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restart"/>
            <w:vAlign w:val="center"/>
          </w:tcPr>
          <w:p w14:paraId="2E02DB10">
            <w:pPr>
              <w:pStyle w:val="17"/>
              <w:bidi w:val="0"/>
              <w:rPr>
                <w:color w:val="auto"/>
                <w:highlight w:val="none"/>
              </w:rPr>
            </w:pPr>
            <w:r>
              <w:rPr>
                <w:rFonts w:hint="eastAsia"/>
                <w:color w:val="auto"/>
                <w:highlight w:val="none"/>
              </w:rPr>
              <w:t>现</w:t>
            </w:r>
          </w:p>
          <w:p w14:paraId="636D9622">
            <w:pPr>
              <w:pStyle w:val="17"/>
              <w:bidi w:val="0"/>
              <w:rPr>
                <w:color w:val="auto"/>
                <w:highlight w:val="none"/>
              </w:rPr>
            </w:pPr>
            <w:r>
              <w:rPr>
                <w:rFonts w:hint="eastAsia"/>
                <w:color w:val="auto"/>
                <w:highlight w:val="none"/>
              </w:rPr>
              <w:t>状</w:t>
            </w:r>
          </w:p>
          <w:p w14:paraId="51E49F26">
            <w:pPr>
              <w:pStyle w:val="17"/>
              <w:bidi w:val="0"/>
              <w:rPr>
                <w:color w:val="auto"/>
                <w:highlight w:val="none"/>
              </w:rPr>
            </w:pPr>
            <w:r>
              <w:rPr>
                <w:rFonts w:hint="eastAsia"/>
                <w:color w:val="auto"/>
                <w:highlight w:val="none"/>
              </w:rPr>
              <w:t>调</w:t>
            </w:r>
          </w:p>
          <w:p w14:paraId="353E5F6A">
            <w:pPr>
              <w:pStyle w:val="17"/>
              <w:bidi w:val="0"/>
              <w:rPr>
                <w:color w:val="auto"/>
                <w:highlight w:val="none"/>
              </w:rPr>
            </w:pPr>
            <w:r>
              <w:rPr>
                <w:rFonts w:hint="eastAsia"/>
                <w:color w:val="auto"/>
                <w:highlight w:val="none"/>
              </w:rPr>
              <w:t>查</w:t>
            </w:r>
          </w:p>
        </w:tc>
        <w:tc>
          <w:tcPr>
            <w:tcW w:w="1106" w:type="dxa"/>
            <w:vMerge w:val="restart"/>
            <w:vAlign w:val="center"/>
          </w:tcPr>
          <w:p w14:paraId="0C5E1F3B">
            <w:pPr>
              <w:pStyle w:val="17"/>
              <w:bidi w:val="0"/>
              <w:rPr>
                <w:color w:val="auto"/>
                <w:highlight w:val="none"/>
              </w:rPr>
            </w:pPr>
            <w:r>
              <w:rPr>
                <w:rFonts w:hint="eastAsia"/>
                <w:color w:val="auto"/>
                <w:highlight w:val="none"/>
              </w:rPr>
              <w:t>区域污染源</w:t>
            </w:r>
          </w:p>
        </w:tc>
        <w:tc>
          <w:tcPr>
            <w:tcW w:w="3563" w:type="dxa"/>
            <w:gridSpan w:val="6"/>
            <w:vAlign w:val="center"/>
          </w:tcPr>
          <w:p w14:paraId="2BB6400D">
            <w:pPr>
              <w:pStyle w:val="17"/>
              <w:bidi w:val="0"/>
              <w:rPr>
                <w:color w:val="auto"/>
                <w:highlight w:val="none"/>
              </w:rPr>
            </w:pPr>
            <w:r>
              <w:rPr>
                <w:rFonts w:hint="eastAsia"/>
                <w:color w:val="auto"/>
                <w:highlight w:val="none"/>
              </w:rPr>
              <w:t>调查项目</w:t>
            </w:r>
          </w:p>
        </w:tc>
        <w:tc>
          <w:tcPr>
            <w:tcW w:w="3350" w:type="dxa"/>
            <w:gridSpan w:val="6"/>
            <w:vAlign w:val="center"/>
          </w:tcPr>
          <w:p w14:paraId="59C1CBEF">
            <w:pPr>
              <w:pStyle w:val="17"/>
              <w:bidi w:val="0"/>
              <w:rPr>
                <w:color w:val="auto"/>
                <w:highlight w:val="none"/>
              </w:rPr>
            </w:pPr>
            <w:r>
              <w:rPr>
                <w:rFonts w:hint="eastAsia"/>
                <w:color w:val="auto"/>
                <w:highlight w:val="none"/>
              </w:rPr>
              <w:t>数据来源</w:t>
            </w:r>
          </w:p>
        </w:tc>
      </w:tr>
      <w:tr w14:paraId="7FF9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7FD56945">
            <w:pPr>
              <w:pStyle w:val="17"/>
              <w:bidi w:val="0"/>
              <w:rPr>
                <w:color w:val="auto"/>
                <w:highlight w:val="none"/>
              </w:rPr>
            </w:pPr>
          </w:p>
        </w:tc>
        <w:tc>
          <w:tcPr>
            <w:tcW w:w="1106" w:type="dxa"/>
            <w:vMerge w:val="continue"/>
            <w:vAlign w:val="center"/>
          </w:tcPr>
          <w:p w14:paraId="0182D62B">
            <w:pPr>
              <w:pStyle w:val="17"/>
              <w:bidi w:val="0"/>
              <w:rPr>
                <w:color w:val="auto"/>
                <w:highlight w:val="none"/>
              </w:rPr>
            </w:pPr>
          </w:p>
        </w:tc>
        <w:tc>
          <w:tcPr>
            <w:tcW w:w="2227" w:type="dxa"/>
            <w:gridSpan w:val="2"/>
            <w:vAlign w:val="center"/>
          </w:tcPr>
          <w:p w14:paraId="2E4852C1">
            <w:pPr>
              <w:pStyle w:val="17"/>
              <w:bidi w:val="0"/>
              <w:rPr>
                <w:color w:val="auto"/>
                <w:highlight w:val="none"/>
              </w:rPr>
            </w:pPr>
            <w:r>
              <w:rPr>
                <w:rFonts w:hint="eastAsia"/>
                <w:color w:val="auto"/>
                <w:highlight w:val="none"/>
              </w:rPr>
              <w:t>已建</w:t>
            </w:r>
            <w:r>
              <w:rPr>
                <w:rFonts w:hint="eastAsia"/>
                <w:color w:val="auto"/>
                <w:highlight w:val="none"/>
                <w:lang w:eastAsia="zh-CN"/>
              </w:rPr>
              <w:t>☑</w:t>
            </w:r>
            <w:r>
              <w:rPr>
                <w:rFonts w:hint="eastAsia"/>
                <w:color w:val="auto"/>
                <w:highlight w:val="none"/>
              </w:rPr>
              <w:t>；在建□；拟建</w:t>
            </w:r>
            <w:r>
              <w:rPr>
                <w:rFonts w:hint="eastAsia"/>
                <w:color w:val="auto"/>
                <w:highlight w:val="none"/>
                <w:lang w:eastAsia="zh-CN"/>
              </w:rPr>
              <w:t>□</w:t>
            </w:r>
            <w:r>
              <w:rPr>
                <w:rFonts w:hint="eastAsia"/>
                <w:color w:val="auto"/>
                <w:highlight w:val="none"/>
              </w:rPr>
              <w:t>；其他□</w:t>
            </w:r>
          </w:p>
        </w:tc>
        <w:tc>
          <w:tcPr>
            <w:tcW w:w="1336" w:type="dxa"/>
            <w:gridSpan w:val="4"/>
            <w:vAlign w:val="center"/>
          </w:tcPr>
          <w:p w14:paraId="6C57485C">
            <w:pPr>
              <w:pStyle w:val="17"/>
              <w:bidi w:val="0"/>
              <w:rPr>
                <w:color w:val="auto"/>
                <w:highlight w:val="none"/>
              </w:rPr>
            </w:pPr>
            <w:r>
              <w:rPr>
                <w:rFonts w:hint="eastAsia"/>
                <w:color w:val="auto"/>
                <w:highlight w:val="none"/>
              </w:rPr>
              <w:t>拟替代的污染源□</w:t>
            </w:r>
          </w:p>
        </w:tc>
        <w:tc>
          <w:tcPr>
            <w:tcW w:w="3350" w:type="dxa"/>
            <w:gridSpan w:val="6"/>
            <w:vAlign w:val="center"/>
          </w:tcPr>
          <w:p w14:paraId="70836510">
            <w:pPr>
              <w:pStyle w:val="17"/>
              <w:bidi w:val="0"/>
              <w:rPr>
                <w:color w:val="auto"/>
                <w:highlight w:val="none"/>
              </w:rPr>
            </w:pPr>
            <w:r>
              <w:rPr>
                <w:rFonts w:hint="eastAsia"/>
                <w:color w:val="auto"/>
                <w:highlight w:val="none"/>
              </w:rPr>
              <w:t>排污许可证□；环评□；环保验收□；既有实测□；现场监测□；入河排放口数据□；其他□</w:t>
            </w:r>
          </w:p>
        </w:tc>
      </w:tr>
      <w:tr w14:paraId="2FC2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0B26B51A">
            <w:pPr>
              <w:pStyle w:val="17"/>
              <w:bidi w:val="0"/>
              <w:rPr>
                <w:color w:val="auto"/>
                <w:highlight w:val="none"/>
              </w:rPr>
            </w:pPr>
          </w:p>
        </w:tc>
        <w:tc>
          <w:tcPr>
            <w:tcW w:w="1106" w:type="dxa"/>
            <w:vMerge w:val="restart"/>
            <w:vAlign w:val="center"/>
          </w:tcPr>
          <w:p w14:paraId="28D91E97">
            <w:pPr>
              <w:pStyle w:val="17"/>
              <w:bidi w:val="0"/>
              <w:rPr>
                <w:color w:val="auto"/>
                <w:highlight w:val="none"/>
              </w:rPr>
            </w:pPr>
            <w:r>
              <w:rPr>
                <w:rFonts w:hint="eastAsia"/>
                <w:color w:val="auto"/>
                <w:highlight w:val="none"/>
              </w:rPr>
              <w:t>受影响水体水环境质量</w:t>
            </w:r>
          </w:p>
        </w:tc>
        <w:tc>
          <w:tcPr>
            <w:tcW w:w="3563" w:type="dxa"/>
            <w:gridSpan w:val="6"/>
            <w:vAlign w:val="center"/>
          </w:tcPr>
          <w:p w14:paraId="38C262C3">
            <w:pPr>
              <w:pStyle w:val="17"/>
              <w:bidi w:val="0"/>
              <w:rPr>
                <w:color w:val="auto"/>
                <w:highlight w:val="none"/>
              </w:rPr>
            </w:pPr>
            <w:r>
              <w:rPr>
                <w:rFonts w:hint="eastAsia"/>
                <w:color w:val="auto"/>
                <w:highlight w:val="none"/>
              </w:rPr>
              <w:t>调查时期</w:t>
            </w:r>
          </w:p>
        </w:tc>
        <w:tc>
          <w:tcPr>
            <w:tcW w:w="3350" w:type="dxa"/>
            <w:gridSpan w:val="6"/>
            <w:vAlign w:val="center"/>
          </w:tcPr>
          <w:p w14:paraId="17BBB9D5">
            <w:pPr>
              <w:pStyle w:val="17"/>
              <w:bidi w:val="0"/>
              <w:rPr>
                <w:color w:val="auto"/>
                <w:highlight w:val="none"/>
              </w:rPr>
            </w:pPr>
            <w:r>
              <w:rPr>
                <w:rFonts w:hint="eastAsia"/>
                <w:color w:val="auto"/>
                <w:highlight w:val="none"/>
              </w:rPr>
              <w:t>数据来源</w:t>
            </w:r>
          </w:p>
        </w:tc>
      </w:tr>
      <w:tr w14:paraId="2A2C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7118EFF4">
            <w:pPr>
              <w:pStyle w:val="17"/>
              <w:bidi w:val="0"/>
              <w:rPr>
                <w:color w:val="auto"/>
                <w:highlight w:val="none"/>
              </w:rPr>
            </w:pPr>
          </w:p>
        </w:tc>
        <w:tc>
          <w:tcPr>
            <w:tcW w:w="1106" w:type="dxa"/>
            <w:vMerge w:val="continue"/>
            <w:vAlign w:val="center"/>
          </w:tcPr>
          <w:p w14:paraId="7D3FA7DA">
            <w:pPr>
              <w:pStyle w:val="17"/>
              <w:bidi w:val="0"/>
              <w:rPr>
                <w:color w:val="auto"/>
                <w:highlight w:val="none"/>
              </w:rPr>
            </w:pPr>
          </w:p>
        </w:tc>
        <w:tc>
          <w:tcPr>
            <w:tcW w:w="3563" w:type="dxa"/>
            <w:gridSpan w:val="6"/>
            <w:vAlign w:val="center"/>
          </w:tcPr>
          <w:p w14:paraId="1F07EF38">
            <w:pPr>
              <w:pStyle w:val="17"/>
              <w:bidi w:val="0"/>
              <w:rPr>
                <w:color w:val="auto"/>
                <w:highlight w:val="none"/>
              </w:rPr>
            </w:pPr>
            <w:r>
              <w:rPr>
                <w:rFonts w:hint="eastAsia"/>
                <w:color w:val="auto"/>
                <w:highlight w:val="none"/>
              </w:rPr>
              <w:t>丰水期</w:t>
            </w:r>
            <w:r>
              <w:rPr>
                <w:rFonts w:hint="eastAsia"/>
                <w:color w:val="auto"/>
                <w:highlight w:val="none"/>
                <w:lang w:eastAsia="zh-CN"/>
              </w:rPr>
              <w:t>□</w:t>
            </w:r>
            <w:r>
              <w:rPr>
                <w:rFonts w:hint="eastAsia"/>
                <w:color w:val="auto"/>
                <w:highlight w:val="none"/>
              </w:rPr>
              <w:t>；平水期</w:t>
            </w:r>
            <w:r>
              <w:rPr>
                <w:rFonts w:hint="eastAsia"/>
                <w:color w:val="auto"/>
                <w:highlight w:val="none"/>
                <w:lang w:eastAsia="zh-CN"/>
              </w:rPr>
              <w:t>☑</w:t>
            </w:r>
            <w:r>
              <w:rPr>
                <w:rFonts w:hint="eastAsia"/>
                <w:color w:val="auto"/>
                <w:highlight w:val="none"/>
              </w:rPr>
              <w:t>；枯水期</w:t>
            </w:r>
            <w:r>
              <w:rPr>
                <w:color w:val="auto"/>
                <w:highlight w:val="none"/>
              </w:rPr>
              <w:t>□</w:t>
            </w:r>
            <w:r>
              <w:rPr>
                <w:rFonts w:hint="eastAsia"/>
                <w:color w:val="auto"/>
                <w:highlight w:val="none"/>
              </w:rPr>
              <w:t>；冰封期□</w:t>
            </w:r>
          </w:p>
          <w:p w14:paraId="3F920D98">
            <w:pPr>
              <w:pStyle w:val="17"/>
              <w:bidi w:val="0"/>
              <w:rPr>
                <w:color w:val="auto"/>
                <w:highlight w:val="none"/>
              </w:rPr>
            </w:pPr>
            <w:r>
              <w:rPr>
                <w:rFonts w:hint="eastAsia"/>
                <w:color w:val="auto"/>
                <w:highlight w:val="none"/>
              </w:rPr>
              <w:t>春季</w:t>
            </w:r>
            <w:r>
              <w:rPr>
                <w:rFonts w:hint="eastAsia"/>
                <w:color w:val="auto"/>
                <w:highlight w:val="none"/>
                <w:lang w:eastAsia="zh-CN"/>
              </w:rPr>
              <w:t>☑</w:t>
            </w:r>
            <w:r>
              <w:rPr>
                <w:rFonts w:hint="eastAsia"/>
                <w:color w:val="auto"/>
                <w:highlight w:val="none"/>
              </w:rPr>
              <w:t>；夏季</w:t>
            </w:r>
            <w:r>
              <w:rPr>
                <w:rFonts w:hint="eastAsia"/>
                <w:color w:val="auto"/>
                <w:highlight w:val="none"/>
                <w:lang w:eastAsia="zh-CN"/>
              </w:rPr>
              <w:t>□</w:t>
            </w:r>
            <w:r>
              <w:rPr>
                <w:rFonts w:hint="eastAsia"/>
                <w:color w:val="auto"/>
                <w:highlight w:val="none"/>
              </w:rPr>
              <w:t>；秋季□；冬季□</w:t>
            </w:r>
          </w:p>
        </w:tc>
        <w:tc>
          <w:tcPr>
            <w:tcW w:w="3350" w:type="dxa"/>
            <w:gridSpan w:val="6"/>
            <w:vAlign w:val="center"/>
          </w:tcPr>
          <w:p w14:paraId="2E04BDAA">
            <w:pPr>
              <w:pStyle w:val="17"/>
              <w:bidi w:val="0"/>
              <w:rPr>
                <w:rFonts w:hint="eastAsia" w:eastAsia="宋体"/>
                <w:color w:val="auto"/>
                <w:highlight w:val="none"/>
                <w:lang w:eastAsia="zh-CN"/>
              </w:rPr>
            </w:pPr>
            <w:r>
              <w:rPr>
                <w:rFonts w:hint="eastAsia"/>
                <w:color w:val="auto"/>
                <w:highlight w:val="none"/>
              </w:rPr>
              <w:t>生态环境保护主管部门□；补充监测</w:t>
            </w:r>
            <w:r>
              <w:rPr>
                <w:rFonts w:hint="eastAsia"/>
                <w:color w:val="auto"/>
                <w:highlight w:val="none"/>
                <w:lang w:eastAsia="zh-CN"/>
              </w:rPr>
              <w:t>□</w:t>
            </w:r>
            <w:r>
              <w:rPr>
                <w:rFonts w:hint="eastAsia"/>
                <w:color w:val="auto"/>
                <w:highlight w:val="none"/>
              </w:rPr>
              <w:t>；其他</w:t>
            </w:r>
            <w:r>
              <w:rPr>
                <w:rFonts w:hint="eastAsia"/>
                <w:color w:val="auto"/>
                <w:highlight w:val="none"/>
                <w:lang w:eastAsia="zh-CN"/>
              </w:rPr>
              <w:t>☑</w:t>
            </w:r>
          </w:p>
        </w:tc>
      </w:tr>
      <w:tr w14:paraId="15AC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5F72297B">
            <w:pPr>
              <w:pStyle w:val="17"/>
              <w:bidi w:val="0"/>
              <w:rPr>
                <w:color w:val="auto"/>
                <w:highlight w:val="none"/>
              </w:rPr>
            </w:pPr>
          </w:p>
        </w:tc>
        <w:tc>
          <w:tcPr>
            <w:tcW w:w="1106" w:type="dxa"/>
            <w:vAlign w:val="center"/>
          </w:tcPr>
          <w:p w14:paraId="14E2C3F5">
            <w:pPr>
              <w:pStyle w:val="17"/>
              <w:bidi w:val="0"/>
              <w:rPr>
                <w:color w:val="auto"/>
                <w:highlight w:val="none"/>
              </w:rPr>
            </w:pPr>
            <w:r>
              <w:rPr>
                <w:rFonts w:hint="eastAsia"/>
                <w:color w:val="auto"/>
                <w:highlight w:val="none"/>
              </w:rPr>
              <w:t>区域水资源开发利用状况</w:t>
            </w:r>
          </w:p>
        </w:tc>
        <w:tc>
          <w:tcPr>
            <w:tcW w:w="6913" w:type="dxa"/>
            <w:gridSpan w:val="12"/>
            <w:vAlign w:val="center"/>
          </w:tcPr>
          <w:p w14:paraId="1DF97025">
            <w:pPr>
              <w:pStyle w:val="17"/>
              <w:bidi w:val="0"/>
              <w:rPr>
                <w:color w:val="auto"/>
                <w:highlight w:val="none"/>
              </w:rPr>
            </w:pPr>
            <w:r>
              <w:rPr>
                <w:rFonts w:hint="eastAsia"/>
                <w:color w:val="auto"/>
                <w:highlight w:val="none"/>
              </w:rPr>
              <w:t>未开发□；开发量40%以下□；开发量40%以上□</w:t>
            </w:r>
          </w:p>
        </w:tc>
      </w:tr>
      <w:tr w14:paraId="7940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5DB6B7F2">
            <w:pPr>
              <w:pStyle w:val="17"/>
              <w:bidi w:val="0"/>
              <w:rPr>
                <w:color w:val="auto"/>
                <w:highlight w:val="none"/>
              </w:rPr>
            </w:pPr>
          </w:p>
        </w:tc>
        <w:tc>
          <w:tcPr>
            <w:tcW w:w="1106" w:type="dxa"/>
            <w:vMerge w:val="restart"/>
            <w:vAlign w:val="center"/>
          </w:tcPr>
          <w:p w14:paraId="4A6982C3">
            <w:pPr>
              <w:pStyle w:val="17"/>
              <w:bidi w:val="0"/>
              <w:rPr>
                <w:color w:val="auto"/>
                <w:highlight w:val="none"/>
              </w:rPr>
            </w:pPr>
            <w:r>
              <w:rPr>
                <w:rFonts w:hint="eastAsia"/>
                <w:color w:val="auto"/>
                <w:highlight w:val="none"/>
              </w:rPr>
              <w:t>水文情势调查</w:t>
            </w:r>
          </w:p>
        </w:tc>
        <w:tc>
          <w:tcPr>
            <w:tcW w:w="3788" w:type="dxa"/>
            <w:gridSpan w:val="7"/>
            <w:vAlign w:val="center"/>
          </w:tcPr>
          <w:p w14:paraId="77841A3E">
            <w:pPr>
              <w:pStyle w:val="17"/>
              <w:bidi w:val="0"/>
              <w:rPr>
                <w:color w:val="auto"/>
                <w:highlight w:val="none"/>
              </w:rPr>
            </w:pPr>
            <w:r>
              <w:rPr>
                <w:rFonts w:hint="eastAsia"/>
                <w:color w:val="auto"/>
                <w:highlight w:val="none"/>
              </w:rPr>
              <w:t>调查时期</w:t>
            </w:r>
          </w:p>
        </w:tc>
        <w:tc>
          <w:tcPr>
            <w:tcW w:w="3125" w:type="dxa"/>
            <w:gridSpan w:val="5"/>
            <w:vAlign w:val="center"/>
          </w:tcPr>
          <w:p w14:paraId="75FB73E6">
            <w:pPr>
              <w:pStyle w:val="17"/>
              <w:bidi w:val="0"/>
              <w:rPr>
                <w:color w:val="auto"/>
                <w:highlight w:val="none"/>
              </w:rPr>
            </w:pPr>
            <w:r>
              <w:rPr>
                <w:rFonts w:hint="eastAsia"/>
                <w:color w:val="auto"/>
                <w:highlight w:val="none"/>
              </w:rPr>
              <w:t>数据来源</w:t>
            </w:r>
          </w:p>
        </w:tc>
      </w:tr>
      <w:tr w14:paraId="73BA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4F7A9B78">
            <w:pPr>
              <w:pStyle w:val="17"/>
              <w:bidi w:val="0"/>
              <w:rPr>
                <w:color w:val="auto"/>
                <w:highlight w:val="none"/>
              </w:rPr>
            </w:pPr>
          </w:p>
        </w:tc>
        <w:tc>
          <w:tcPr>
            <w:tcW w:w="1106" w:type="dxa"/>
            <w:vMerge w:val="continue"/>
            <w:vAlign w:val="center"/>
          </w:tcPr>
          <w:p w14:paraId="2581B35D">
            <w:pPr>
              <w:pStyle w:val="17"/>
              <w:bidi w:val="0"/>
              <w:rPr>
                <w:color w:val="auto"/>
                <w:highlight w:val="none"/>
              </w:rPr>
            </w:pPr>
          </w:p>
        </w:tc>
        <w:tc>
          <w:tcPr>
            <w:tcW w:w="3788" w:type="dxa"/>
            <w:gridSpan w:val="7"/>
            <w:vAlign w:val="center"/>
          </w:tcPr>
          <w:p w14:paraId="02C729AE">
            <w:pPr>
              <w:pStyle w:val="17"/>
              <w:bidi w:val="0"/>
              <w:rPr>
                <w:color w:val="auto"/>
                <w:highlight w:val="none"/>
              </w:rPr>
            </w:pPr>
            <w:r>
              <w:rPr>
                <w:rFonts w:hint="eastAsia"/>
                <w:color w:val="auto"/>
                <w:highlight w:val="none"/>
              </w:rPr>
              <w:t>丰水期</w:t>
            </w:r>
            <w:r>
              <w:rPr>
                <w:rFonts w:hint="eastAsia"/>
                <w:color w:val="auto"/>
                <w:highlight w:val="none"/>
                <w:lang w:eastAsia="zh-CN"/>
              </w:rPr>
              <w:t>□</w:t>
            </w:r>
            <w:r>
              <w:rPr>
                <w:rFonts w:hint="eastAsia"/>
                <w:color w:val="auto"/>
                <w:highlight w:val="none"/>
              </w:rPr>
              <w:t>；平水期□；枯水期□；冰封期</w:t>
            </w:r>
          </w:p>
          <w:p w14:paraId="7547B9A0">
            <w:pPr>
              <w:pStyle w:val="17"/>
              <w:bidi w:val="0"/>
              <w:rPr>
                <w:color w:val="auto"/>
                <w:highlight w:val="none"/>
              </w:rPr>
            </w:pPr>
            <w:r>
              <w:rPr>
                <w:rFonts w:hint="eastAsia"/>
                <w:color w:val="auto"/>
                <w:highlight w:val="none"/>
              </w:rPr>
              <w:t>春季□；夏季</w:t>
            </w:r>
            <w:r>
              <w:rPr>
                <w:rFonts w:hint="eastAsia"/>
                <w:color w:val="auto"/>
                <w:highlight w:val="none"/>
                <w:lang w:eastAsia="zh-CN"/>
              </w:rPr>
              <w:t>□</w:t>
            </w:r>
            <w:r>
              <w:rPr>
                <w:rFonts w:hint="eastAsia"/>
                <w:color w:val="auto"/>
                <w:highlight w:val="none"/>
              </w:rPr>
              <w:t>；秋季□；冬季□</w:t>
            </w:r>
          </w:p>
        </w:tc>
        <w:tc>
          <w:tcPr>
            <w:tcW w:w="3125" w:type="dxa"/>
            <w:gridSpan w:val="5"/>
            <w:vAlign w:val="center"/>
          </w:tcPr>
          <w:p w14:paraId="19664B39">
            <w:pPr>
              <w:pStyle w:val="17"/>
              <w:bidi w:val="0"/>
              <w:rPr>
                <w:color w:val="auto"/>
                <w:highlight w:val="none"/>
              </w:rPr>
            </w:pPr>
            <w:r>
              <w:rPr>
                <w:rFonts w:hint="eastAsia"/>
                <w:color w:val="auto"/>
                <w:highlight w:val="none"/>
              </w:rPr>
              <w:t>水行政主管部门□；补充监测□；其他□</w:t>
            </w:r>
          </w:p>
        </w:tc>
      </w:tr>
      <w:tr w14:paraId="75F1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4F1E0429">
            <w:pPr>
              <w:pStyle w:val="17"/>
              <w:bidi w:val="0"/>
              <w:rPr>
                <w:color w:val="auto"/>
                <w:highlight w:val="none"/>
              </w:rPr>
            </w:pPr>
          </w:p>
        </w:tc>
        <w:tc>
          <w:tcPr>
            <w:tcW w:w="1106" w:type="dxa"/>
            <w:vMerge w:val="restart"/>
            <w:vAlign w:val="center"/>
          </w:tcPr>
          <w:p w14:paraId="25013E6E">
            <w:pPr>
              <w:pStyle w:val="17"/>
              <w:bidi w:val="0"/>
              <w:rPr>
                <w:color w:val="auto"/>
                <w:highlight w:val="none"/>
              </w:rPr>
            </w:pPr>
            <w:r>
              <w:rPr>
                <w:rFonts w:hint="eastAsia"/>
                <w:color w:val="auto"/>
                <w:highlight w:val="none"/>
              </w:rPr>
              <w:t>补充监测</w:t>
            </w:r>
          </w:p>
        </w:tc>
        <w:tc>
          <w:tcPr>
            <w:tcW w:w="2748" w:type="dxa"/>
            <w:gridSpan w:val="4"/>
            <w:vAlign w:val="center"/>
          </w:tcPr>
          <w:p w14:paraId="26C37146">
            <w:pPr>
              <w:pStyle w:val="17"/>
              <w:bidi w:val="0"/>
              <w:rPr>
                <w:color w:val="auto"/>
                <w:highlight w:val="none"/>
              </w:rPr>
            </w:pPr>
            <w:r>
              <w:rPr>
                <w:rFonts w:hint="eastAsia"/>
                <w:color w:val="auto"/>
                <w:highlight w:val="none"/>
              </w:rPr>
              <w:t>监测时期</w:t>
            </w:r>
          </w:p>
        </w:tc>
        <w:tc>
          <w:tcPr>
            <w:tcW w:w="2082" w:type="dxa"/>
            <w:gridSpan w:val="6"/>
            <w:vAlign w:val="center"/>
          </w:tcPr>
          <w:p w14:paraId="4774BEB7">
            <w:pPr>
              <w:pStyle w:val="17"/>
              <w:bidi w:val="0"/>
              <w:rPr>
                <w:color w:val="auto"/>
                <w:highlight w:val="none"/>
              </w:rPr>
            </w:pPr>
            <w:r>
              <w:rPr>
                <w:rFonts w:hint="eastAsia"/>
                <w:color w:val="auto"/>
                <w:highlight w:val="none"/>
              </w:rPr>
              <w:t>监测因子</w:t>
            </w:r>
          </w:p>
        </w:tc>
        <w:tc>
          <w:tcPr>
            <w:tcW w:w="2083" w:type="dxa"/>
            <w:gridSpan w:val="2"/>
            <w:vAlign w:val="center"/>
          </w:tcPr>
          <w:p w14:paraId="3E62EF86">
            <w:pPr>
              <w:pStyle w:val="17"/>
              <w:bidi w:val="0"/>
              <w:rPr>
                <w:color w:val="auto"/>
                <w:highlight w:val="none"/>
              </w:rPr>
            </w:pPr>
            <w:r>
              <w:rPr>
                <w:rFonts w:hint="eastAsia"/>
                <w:color w:val="auto"/>
                <w:highlight w:val="none"/>
              </w:rPr>
              <w:t>监测断面或点位</w:t>
            </w:r>
          </w:p>
        </w:tc>
      </w:tr>
      <w:tr w14:paraId="4FFD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59025AC1">
            <w:pPr>
              <w:pStyle w:val="17"/>
              <w:bidi w:val="0"/>
              <w:rPr>
                <w:color w:val="auto"/>
                <w:highlight w:val="none"/>
              </w:rPr>
            </w:pPr>
          </w:p>
        </w:tc>
        <w:tc>
          <w:tcPr>
            <w:tcW w:w="1106" w:type="dxa"/>
            <w:vMerge w:val="continue"/>
            <w:vAlign w:val="center"/>
          </w:tcPr>
          <w:p w14:paraId="528BADF2">
            <w:pPr>
              <w:pStyle w:val="17"/>
              <w:bidi w:val="0"/>
              <w:rPr>
                <w:color w:val="auto"/>
                <w:highlight w:val="none"/>
              </w:rPr>
            </w:pPr>
          </w:p>
        </w:tc>
        <w:tc>
          <w:tcPr>
            <w:tcW w:w="2748" w:type="dxa"/>
            <w:gridSpan w:val="4"/>
            <w:vAlign w:val="center"/>
          </w:tcPr>
          <w:p w14:paraId="7EE4068B">
            <w:pPr>
              <w:pStyle w:val="17"/>
              <w:bidi w:val="0"/>
              <w:rPr>
                <w:color w:val="auto"/>
                <w:highlight w:val="none"/>
              </w:rPr>
            </w:pPr>
            <w:r>
              <w:rPr>
                <w:rFonts w:hint="eastAsia"/>
                <w:color w:val="auto"/>
                <w:highlight w:val="none"/>
              </w:rPr>
              <w:t>丰水期</w:t>
            </w:r>
            <w:r>
              <w:rPr>
                <w:rFonts w:hint="eastAsia"/>
                <w:color w:val="auto"/>
                <w:highlight w:val="none"/>
                <w:lang w:eastAsia="zh-CN"/>
              </w:rPr>
              <w:t>□</w:t>
            </w:r>
            <w:r>
              <w:rPr>
                <w:rFonts w:hint="eastAsia"/>
                <w:color w:val="auto"/>
                <w:highlight w:val="none"/>
              </w:rPr>
              <w:t>；平水期□；枯水期</w:t>
            </w:r>
            <w:r>
              <w:rPr>
                <w:rFonts w:hint="eastAsia"/>
                <w:color w:val="auto"/>
                <w:highlight w:val="none"/>
                <w:lang w:eastAsia="zh-CN"/>
              </w:rPr>
              <w:t>□</w:t>
            </w:r>
            <w:r>
              <w:rPr>
                <w:rFonts w:hint="eastAsia"/>
                <w:color w:val="auto"/>
                <w:highlight w:val="none"/>
              </w:rPr>
              <w:t>；冰封期□</w:t>
            </w:r>
          </w:p>
          <w:p w14:paraId="0B4B884E">
            <w:pPr>
              <w:pStyle w:val="17"/>
              <w:bidi w:val="0"/>
              <w:rPr>
                <w:color w:val="auto"/>
                <w:highlight w:val="none"/>
              </w:rPr>
            </w:pPr>
            <w:r>
              <w:rPr>
                <w:rFonts w:hint="eastAsia"/>
                <w:color w:val="auto"/>
                <w:highlight w:val="none"/>
              </w:rPr>
              <w:t>春季□；夏季</w:t>
            </w:r>
            <w:r>
              <w:rPr>
                <w:rFonts w:hint="eastAsia"/>
                <w:color w:val="auto"/>
                <w:highlight w:val="none"/>
                <w:lang w:eastAsia="zh-CN"/>
              </w:rPr>
              <w:t>□</w:t>
            </w:r>
            <w:r>
              <w:rPr>
                <w:rFonts w:hint="eastAsia"/>
                <w:color w:val="auto"/>
                <w:highlight w:val="none"/>
              </w:rPr>
              <w:t>；</w:t>
            </w:r>
          </w:p>
          <w:p w14:paraId="5C066D6F">
            <w:pPr>
              <w:pStyle w:val="17"/>
              <w:bidi w:val="0"/>
              <w:rPr>
                <w:color w:val="auto"/>
                <w:highlight w:val="none"/>
              </w:rPr>
            </w:pPr>
            <w:r>
              <w:rPr>
                <w:rFonts w:hint="eastAsia"/>
                <w:color w:val="auto"/>
                <w:highlight w:val="none"/>
              </w:rPr>
              <w:t>秋季□；冬季□</w:t>
            </w:r>
          </w:p>
        </w:tc>
        <w:tc>
          <w:tcPr>
            <w:tcW w:w="2082" w:type="dxa"/>
            <w:gridSpan w:val="6"/>
            <w:vAlign w:val="center"/>
          </w:tcPr>
          <w:p w14:paraId="2AE23748">
            <w:pPr>
              <w:pStyle w:val="17"/>
              <w:bidi w:val="0"/>
              <w:rPr>
                <w:color w:val="auto"/>
                <w:highlight w:val="none"/>
              </w:rPr>
            </w:pPr>
            <w:r>
              <w:rPr>
                <w:rFonts w:hint="eastAsia"/>
                <w:color w:val="auto"/>
                <w:highlight w:val="none"/>
              </w:rPr>
              <w:t>（</w:t>
            </w:r>
            <w:r>
              <w:rPr>
                <w:rFonts w:hint="eastAsia"/>
                <w:color w:val="auto"/>
                <w:highlight w:val="none"/>
                <w:lang w:val="en-US" w:eastAsia="zh-CN"/>
              </w:rPr>
              <w:t>pH值、溶解氧、五日生化需氧量、粪大肠菌群、悬浮物、化学需氧量、总磷、总氮、氨氮、阴离子表面活性剂、砷、六价铬、铅、镉、汞、氟化物、挥发酚、硫化物、氰化物、石油类、氯化物、高锰酸盐指数、铜、锌、锰</w:t>
            </w:r>
            <w:r>
              <w:rPr>
                <w:rFonts w:hint="eastAsia"/>
                <w:color w:val="auto"/>
                <w:highlight w:val="none"/>
              </w:rPr>
              <w:t>）</w:t>
            </w:r>
          </w:p>
        </w:tc>
        <w:tc>
          <w:tcPr>
            <w:tcW w:w="2083" w:type="dxa"/>
            <w:gridSpan w:val="2"/>
            <w:vAlign w:val="center"/>
          </w:tcPr>
          <w:p w14:paraId="3D883F13">
            <w:pPr>
              <w:pStyle w:val="17"/>
              <w:bidi w:val="0"/>
              <w:rPr>
                <w:color w:val="auto"/>
                <w:highlight w:val="none"/>
              </w:rPr>
            </w:pPr>
            <w:r>
              <w:rPr>
                <w:rFonts w:hint="eastAsia"/>
                <w:color w:val="auto"/>
                <w:highlight w:val="none"/>
              </w:rPr>
              <w:t>监测断面或点位个数（</w:t>
            </w:r>
            <w:r>
              <w:rPr>
                <w:rFonts w:hint="eastAsia"/>
                <w:color w:val="auto"/>
                <w:highlight w:val="none"/>
                <w:lang w:val="en-US" w:eastAsia="zh-CN"/>
              </w:rPr>
              <w:t>3</w:t>
            </w:r>
            <w:r>
              <w:rPr>
                <w:rFonts w:hint="eastAsia"/>
                <w:color w:val="auto"/>
                <w:highlight w:val="none"/>
              </w:rPr>
              <w:t>）个</w:t>
            </w:r>
          </w:p>
        </w:tc>
      </w:tr>
      <w:tr w14:paraId="1554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restart"/>
            <w:vAlign w:val="center"/>
          </w:tcPr>
          <w:p w14:paraId="25AF45F4">
            <w:pPr>
              <w:pStyle w:val="17"/>
              <w:bidi w:val="0"/>
              <w:rPr>
                <w:color w:val="auto"/>
                <w:highlight w:val="none"/>
              </w:rPr>
            </w:pPr>
            <w:r>
              <w:rPr>
                <w:rFonts w:hint="eastAsia"/>
                <w:color w:val="auto"/>
                <w:highlight w:val="none"/>
              </w:rPr>
              <w:t>现</w:t>
            </w:r>
          </w:p>
          <w:p w14:paraId="51628B87">
            <w:pPr>
              <w:pStyle w:val="17"/>
              <w:bidi w:val="0"/>
              <w:rPr>
                <w:color w:val="auto"/>
                <w:highlight w:val="none"/>
              </w:rPr>
            </w:pPr>
            <w:r>
              <w:rPr>
                <w:rFonts w:hint="eastAsia"/>
                <w:color w:val="auto"/>
                <w:highlight w:val="none"/>
              </w:rPr>
              <w:t>状</w:t>
            </w:r>
          </w:p>
          <w:p w14:paraId="70FD6DB5">
            <w:pPr>
              <w:pStyle w:val="17"/>
              <w:bidi w:val="0"/>
              <w:rPr>
                <w:color w:val="auto"/>
                <w:highlight w:val="none"/>
              </w:rPr>
            </w:pPr>
            <w:r>
              <w:rPr>
                <w:rFonts w:hint="eastAsia"/>
                <w:color w:val="auto"/>
                <w:highlight w:val="none"/>
              </w:rPr>
              <w:t>评</w:t>
            </w:r>
          </w:p>
          <w:p w14:paraId="01B5D0E9">
            <w:pPr>
              <w:pStyle w:val="17"/>
              <w:bidi w:val="0"/>
              <w:rPr>
                <w:color w:val="auto"/>
                <w:highlight w:val="none"/>
              </w:rPr>
            </w:pPr>
            <w:r>
              <w:rPr>
                <w:rFonts w:hint="eastAsia"/>
                <w:color w:val="auto"/>
                <w:highlight w:val="none"/>
              </w:rPr>
              <w:t>价</w:t>
            </w:r>
          </w:p>
        </w:tc>
        <w:tc>
          <w:tcPr>
            <w:tcW w:w="1106" w:type="dxa"/>
            <w:vAlign w:val="center"/>
          </w:tcPr>
          <w:p w14:paraId="072561CC">
            <w:pPr>
              <w:pStyle w:val="17"/>
              <w:bidi w:val="0"/>
              <w:rPr>
                <w:color w:val="auto"/>
                <w:highlight w:val="none"/>
              </w:rPr>
            </w:pPr>
            <w:r>
              <w:rPr>
                <w:rFonts w:hint="eastAsia"/>
                <w:color w:val="auto"/>
                <w:highlight w:val="none"/>
              </w:rPr>
              <w:t>评价范围</w:t>
            </w:r>
          </w:p>
        </w:tc>
        <w:tc>
          <w:tcPr>
            <w:tcW w:w="6913" w:type="dxa"/>
            <w:gridSpan w:val="12"/>
            <w:vAlign w:val="center"/>
          </w:tcPr>
          <w:p w14:paraId="6C9E274B">
            <w:pPr>
              <w:pStyle w:val="17"/>
              <w:bidi w:val="0"/>
              <w:rPr>
                <w:color w:val="auto"/>
                <w:highlight w:val="none"/>
              </w:rPr>
            </w:pPr>
            <w:r>
              <w:rPr>
                <w:rFonts w:hint="eastAsia"/>
                <w:color w:val="auto"/>
                <w:highlight w:val="none"/>
              </w:rPr>
              <w:t>河流：长度（</w:t>
            </w:r>
            <w:r>
              <w:rPr>
                <w:color w:val="auto"/>
                <w:highlight w:val="none"/>
              </w:rPr>
              <w:t xml:space="preserve"> </w:t>
            </w:r>
            <w:r>
              <w:rPr>
                <w:rFonts w:hint="eastAsia"/>
                <w:color w:val="auto"/>
                <w:highlight w:val="none"/>
              </w:rPr>
              <w:t>）km；湖库、河口及近岸海域：面积（）km</w:t>
            </w:r>
            <w:r>
              <w:rPr>
                <w:rFonts w:hint="eastAsia"/>
                <w:color w:val="auto"/>
                <w:highlight w:val="none"/>
                <w:vertAlign w:val="superscript"/>
              </w:rPr>
              <w:t>2</w:t>
            </w:r>
          </w:p>
        </w:tc>
      </w:tr>
      <w:tr w14:paraId="2B77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4FF13AE1">
            <w:pPr>
              <w:pStyle w:val="17"/>
              <w:bidi w:val="0"/>
              <w:rPr>
                <w:color w:val="auto"/>
                <w:highlight w:val="none"/>
              </w:rPr>
            </w:pPr>
          </w:p>
        </w:tc>
        <w:tc>
          <w:tcPr>
            <w:tcW w:w="1106" w:type="dxa"/>
            <w:vAlign w:val="center"/>
          </w:tcPr>
          <w:p w14:paraId="415DE3AD">
            <w:pPr>
              <w:pStyle w:val="17"/>
              <w:bidi w:val="0"/>
              <w:rPr>
                <w:color w:val="auto"/>
                <w:highlight w:val="none"/>
              </w:rPr>
            </w:pPr>
            <w:r>
              <w:rPr>
                <w:rFonts w:hint="eastAsia"/>
                <w:color w:val="auto"/>
                <w:highlight w:val="none"/>
              </w:rPr>
              <w:t>评价因子</w:t>
            </w:r>
          </w:p>
        </w:tc>
        <w:tc>
          <w:tcPr>
            <w:tcW w:w="6913" w:type="dxa"/>
            <w:gridSpan w:val="12"/>
            <w:vAlign w:val="center"/>
          </w:tcPr>
          <w:p w14:paraId="2FF6EAFD">
            <w:pPr>
              <w:pStyle w:val="17"/>
              <w:bidi w:val="0"/>
              <w:rPr>
                <w:color w:val="auto"/>
                <w:highlight w:val="none"/>
              </w:rPr>
            </w:pPr>
            <w:r>
              <w:rPr>
                <w:rFonts w:hint="eastAsia"/>
                <w:color w:val="auto"/>
                <w:highlight w:val="none"/>
              </w:rPr>
              <w:t>（</w:t>
            </w:r>
            <w:r>
              <w:rPr>
                <w:rFonts w:hint="eastAsia"/>
                <w:color w:val="auto"/>
                <w:highlight w:val="none"/>
                <w:lang w:val="en-US" w:eastAsia="zh-CN"/>
              </w:rPr>
              <w:t>pH值、溶解氧、五日生化需氧量、粪大肠菌群、悬浮物、化学需氧量、总磷、总氮、氨氮、阴离子表面活性剂、砷、六价铬、铅、镉、汞、氟化物、挥发酚、硫化物、氰化物、石油类、氯化物、高锰酸盐指数、铜、锌、锰</w:t>
            </w:r>
            <w:r>
              <w:rPr>
                <w:rFonts w:hint="eastAsia"/>
                <w:color w:val="auto"/>
                <w:highlight w:val="none"/>
              </w:rPr>
              <w:t>）</w:t>
            </w:r>
          </w:p>
        </w:tc>
      </w:tr>
      <w:tr w14:paraId="727B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04D646D0">
            <w:pPr>
              <w:pStyle w:val="17"/>
              <w:bidi w:val="0"/>
              <w:rPr>
                <w:color w:val="auto"/>
                <w:highlight w:val="none"/>
              </w:rPr>
            </w:pPr>
          </w:p>
        </w:tc>
        <w:tc>
          <w:tcPr>
            <w:tcW w:w="1106" w:type="dxa"/>
            <w:vAlign w:val="center"/>
          </w:tcPr>
          <w:p w14:paraId="353821C9">
            <w:pPr>
              <w:pStyle w:val="17"/>
              <w:bidi w:val="0"/>
              <w:rPr>
                <w:color w:val="auto"/>
                <w:highlight w:val="none"/>
              </w:rPr>
            </w:pPr>
            <w:r>
              <w:rPr>
                <w:rFonts w:hint="eastAsia"/>
                <w:color w:val="auto"/>
                <w:highlight w:val="none"/>
              </w:rPr>
              <w:t>评价标准</w:t>
            </w:r>
          </w:p>
        </w:tc>
        <w:tc>
          <w:tcPr>
            <w:tcW w:w="6913" w:type="dxa"/>
            <w:gridSpan w:val="12"/>
            <w:vAlign w:val="center"/>
          </w:tcPr>
          <w:p w14:paraId="502AB2ED">
            <w:pPr>
              <w:pStyle w:val="17"/>
              <w:bidi w:val="0"/>
              <w:rPr>
                <w:color w:val="auto"/>
                <w:highlight w:val="none"/>
              </w:rPr>
            </w:pPr>
            <w:r>
              <w:rPr>
                <w:rFonts w:hint="eastAsia"/>
                <w:color w:val="auto"/>
                <w:highlight w:val="none"/>
              </w:rPr>
              <w:t>河流、湖库、河口：</w:t>
            </w:r>
            <w:r>
              <w:rPr>
                <w:rFonts w:hint="eastAsia"/>
                <w:color w:val="auto"/>
                <w:highlight w:val="none"/>
                <w:lang w:eastAsia="zh-CN"/>
              </w:rPr>
              <w:t>I</w:t>
            </w:r>
            <w:r>
              <w:rPr>
                <w:rFonts w:hint="eastAsia"/>
                <w:color w:val="auto"/>
                <w:highlight w:val="none"/>
              </w:rPr>
              <w:t>类</w:t>
            </w:r>
            <w:r>
              <w:rPr>
                <w:rFonts w:hint="eastAsia"/>
                <w:color w:val="auto"/>
                <w:highlight w:val="none"/>
                <w:lang w:eastAsia="zh-CN"/>
              </w:rPr>
              <w:t>☑</w:t>
            </w:r>
            <w:r>
              <w:rPr>
                <w:rFonts w:hint="eastAsia"/>
                <w:color w:val="auto"/>
                <w:highlight w:val="none"/>
              </w:rPr>
              <w:t>；Ⅱ类□；</w:t>
            </w:r>
            <w:r>
              <w:rPr>
                <w:rFonts w:hint="eastAsia"/>
                <w:color w:val="auto"/>
                <w:highlight w:val="none"/>
                <w:lang w:eastAsia="zh-CN"/>
              </w:rPr>
              <w:t>Ⅲ</w:t>
            </w:r>
            <w:r>
              <w:rPr>
                <w:rFonts w:hint="eastAsia"/>
                <w:color w:val="auto"/>
                <w:highlight w:val="none"/>
              </w:rPr>
              <w:t>类□；Ⅳ类□；Ⅴ类□</w:t>
            </w:r>
          </w:p>
          <w:p w14:paraId="599B296E">
            <w:pPr>
              <w:pStyle w:val="17"/>
              <w:bidi w:val="0"/>
              <w:rPr>
                <w:color w:val="auto"/>
                <w:highlight w:val="none"/>
              </w:rPr>
            </w:pPr>
            <w:r>
              <w:rPr>
                <w:rFonts w:hint="eastAsia"/>
                <w:color w:val="auto"/>
                <w:highlight w:val="none"/>
              </w:rPr>
              <w:t>近岸海域：第一类□；第二类□；第三类□；第四类□</w:t>
            </w:r>
          </w:p>
          <w:p w14:paraId="40ABC012">
            <w:pPr>
              <w:pStyle w:val="17"/>
              <w:bidi w:val="0"/>
              <w:rPr>
                <w:color w:val="auto"/>
                <w:highlight w:val="none"/>
              </w:rPr>
            </w:pPr>
            <w:r>
              <w:rPr>
                <w:rFonts w:hint="eastAsia"/>
                <w:color w:val="auto"/>
                <w:highlight w:val="none"/>
              </w:rPr>
              <w:t>规划年评价标准</w:t>
            </w:r>
            <w:r>
              <w:rPr>
                <w:rFonts w:hint="eastAsia"/>
                <w:color w:val="auto"/>
                <w:highlight w:val="none"/>
                <w:lang w:eastAsia="zh-CN"/>
              </w:rPr>
              <w:t>（</w:t>
            </w:r>
            <w:r>
              <w:rPr>
                <w:rFonts w:hint="eastAsia"/>
                <w:color w:val="auto"/>
                <w:highlight w:val="none"/>
              </w:rPr>
              <w:t>）</w:t>
            </w:r>
          </w:p>
        </w:tc>
      </w:tr>
      <w:tr w14:paraId="2661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06BCC531">
            <w:pPr>
              <w:pStyle w:val="17"/>
              <w:bidi w:val="0"/>
              <w:rPr>
                <w:color w:val="auto"/>
                <w:highlight w:val="none"/>
              </w:rPr>
            </w:pPr>
          </w:p>
        </w:tc>
        <w:tc>
          <w:tcPr>
            <w:tcW w:w="1106" w:type="dxa"/>
            <w:vAlign w:val="center"/>
          </w:tcPr>
          <w:p w14:paraId="3A577B3A">
            <w:pPr>
              <w:pStyle w:val="17"/>
              <w:bidi w:val="0"/>
              <w:rPr>
                <w:color w:val="auto"/>
                <w:highlight w:val="none"/>
              </w:rPr>
            </w:pPr>
            <w:r>
              <w:rPr>
                <w:rFonts w:hint="eastAsia"/>
                <w:color w:val="auto"/>
                <w:highlight w:val="none"/>
              </w:rPr>
              <w:t>评价时期</w:t>
            </w:r>
          </w:p>
        </w:tc>
        <w:tc>
          <w:tcPr>
            <w:tcW w:w="6913" w:type="dxa"/>
            <w:gridSpan w:val="12"/>
            <w:vAlign w:val="center"/>
          </w:tcPr>
          <w:p w14:paraId="05D0B936">
            <w:pPr>
              <w:pStyle w:val="17"/>
              <w:bidi w:val="0"/>
              <w:rPr>
                <w:color w:val="auto"/>
                <w:highlight w:val="none"/>
              </w:rPr>
            </w:pPr>
            <w:r>
              <w:rPr>
                <w:rFonts w:hint="eastAsia"/>
                <w:color w:val="auto"/>
                <w:highlight w:val="none"/>
              </w:rPr>
              <w:t>丰水期</w:t>
            </w:r>
            <w:r>
              <w:rPr>
                <w:rFonts w:hint="eastAsia"/>
                <w:color w:val="auto"/>
                <w:highlight w:val="none"/>
                <w:lang w:eastAsia="zh-CN"/>
              </w:rPr>
              <w:t>□</w:t>
            </w:r>
            <w:r>
              <w:rPr>
                <w:rFonts w:hint="eastAsia"/>
                <w:color w:val="auto"/>
                <w:highlight w:val="none"/>
              </w:rPr>
              <w:t>；平水期□；枯水期□；冰封期□</w:t>
            </w:r>
          </w:p>
          <w:p w14:paraId="5973E235">
            <w:pPr>
              <w:pStyle w:val="17"/>
              <w:bidi w:val="0"/>
              <w:rPr>
                <w:color w:val="auto"/>
                <w:highlight w:val="none"/>
              </w:rPr>
            </w:pPr>
            <w:r>
              <w:rPr>
                <w:rFonts w:hint="eastAsia"/>
                <w:color w:val="auto"/>
                <w:highlight w:val="none"/>
              </w:rPr>
              <w:t>春季</w:t>
            </w:r>
            <w:r>
              <w:rPr>
                <w:rFonts w:hint="eastAsia"/>
                <w:color w:val="auto"/>
                <w:highlight w:val="none"/>
                <w:lang w:eastAsia="zh-CN"/>
              </w:rPr>
              <w:t>☑</w:t>
            </w:r>
            <w:r>
              <w:rPr>
                <w:rFonts w:hint="eastAsia"/>
                <w:color w:val="auto"/>
                <w:highlight w:val="none"/>
              </w:rPr>
              <w:t>；夏季</w:t>
            </w:r>
            <w:r>
              <w:rPr>
                <w:rFonts w:hint="eastAsia"/>
                <w:color w:val="auto"/>
                <w:highlight w:val="none"/>
                <w:lang w:eastAsia="zh-CN"/>
              </w:rPr>
              <w:t>□</w:t>
            </w:r>
            <w:r>
              <w:rPr>
                <w:rFonts w:hint="eastAsia"/>
                <w:color w:val="auto"/>
                <w:highlight w:val="none"/>
              </w:rPr>
              <w:t>；秋季□；冬季□</w:t>
            </w:r>
          </w:p>
        </w:tc>
      </w:tr>
      <w:tr w14:paraId="15BC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76934DB6">
            <w:pPr>
              <w:pStyle w:val="17"/>
              <w:bidi w:val="0"/>
              <w:rPr>
                <w:color w:val="auto"/>
                <w:highlight w:val="none"/>
              </w:rPr>
            </w:pPr>
          </w:p>
        </w:tc>
        <w:tc>
          <w:tcPr>
            <w:tcW w:w="1106" w:type="dxa"/>
            <w:vAlign w:val="center"/>
          </w:tcPr>
          <w:p w14:paraId="7E9612B0">
            <w:pPr>
              <w:pStyle w:val="17"/>
              <w:bidi w:val="0"/>
              <w:rPr>
                <w:color w:val="auto"/>
                <w:highlight w:val="none"/>
              </w:rPr>
            </w:pPr>
            <w:r>
              <w:rPr>
                <w:rFonts w:hint="eastAsia"/>
                <w:color w:val="auto"/>
                <w:highlight w:val="none"/>
              </w:rPr>
              <w:t>评价结论</w:t>
            </w:r>
          </w:p>
        </w:tc>
        <w:tc>
          <w:tcPr>
            <w:tcW w:w="5603" w:type="dxa"/>
            <w:gridSpan w:val="11"/>
            <w:vAlign w:val="center"/>
          </w:tcPr>
          <w:p w14:paraId="044A6A91">
            <w:pPr>
              <w:pStyle w:val="17"/>
              <w:bidi w:val="0"/>
              <w:rPr>
                <w:color w:val="auto"/>
                <w:highlight w:val="none"/>
              </w:rPr>
            </w:pPr>
            <w:r>
              <w:rPr>
                <w:rFonts w:hint="eastAsia"/>
                <w:color w:val="auto"/>
                <w:highlight w:val="none"/>
              </w:rPr>
              <w:t>水环境功能区或水功能区、近岸海域环境功能区水质达标状况</w:t>
            </w:r>
            <w:r>
              <w:rPr>
                <w:rFonts w:hint="eastAsia"/>
                <w:color w:val="auto"/>
                <w:highlight w:val="none"/>
                <w:lang w:eastAsia="zh-CN"/>
              </w:rPr>
              <w:t>□</w:t>
            </w:r>
            <w:r>
              <w:rPr>
                <w:rFonts w:hint="eastAsia"/>
                <w:color w:val="auto"/>
                <w:highlight w:val="none"/>
              </w:rPr>
              <w:t>：达标</w:t>
            </w:r>
            <w:r>
              <w:rPr>
                <w:rFonts w:hint="eastAsia"/>
                <w:color w:val="auto"/>
                <w:highlight w:val="none"/>
                <w:lang w:eastAsia="zh-CN"/>
              </w:rPr>
              <w:t>□</w:t>
            </w:r>
            <w:r>
              <w:rPr>
                <w:rFonts w:hint="eastAsia"/>
                <w:color w:val="auto"/>
                <w:highlight w:val="none"/>
              </w:rPr>
              <w:t>；不达标□</w:t>
            </w:r>
          </w:p>
          <w:p w14:paraId="28B8BA49">
            <w:pPr>
              <w:pStyle w:val="17"/>
              <w:bidi w:val="0"/>
              <w:rPr>
                <w:color w:val="auto"/>
                <w:highlight w:val="none"/>
              </w:rPr>
            </w:pPr>
            <w:r>
              <w:rPr>
                <w:rFonts w:hint="eastAsia"/>
                <w:color w:val="auto"/>
                <w:highlight w:val="none"/>
              </w:rPr>
              <w:t>水环境控制单元或断面水质达标状况□：达标□；不达标□</w:t>
            </w:r>
          </w:p>
          <w:p w14:paraId="3C93BC5B">
            <w:pPr>
              <w:pStyle w:val="17"/>
              <w:bidi w:val="0"/>
              <w:rPr>
                <w:color w:val="auto"/>
                <w:highlight w:val="none"/>
              </w:rPr>
            </w:pPr>
            <w:r>
              <w:rPr>
                <w:rFonts w:hint="eastAsia"/>
                <w:color w:val="auto"/>
                <w:highlight w:val="none"/>
              </w:rPr>
              <w:t>水环境保护目标质量状况□：达标□；不达标□</w:t>
            </w:r>
          </w:p>
          <w:p w14:paraId="7FB9011E">
            <w:pPr>
              <w:pStyle w:val="17"/>
              <w:bidi w:val="0"/>
              <w:rPr>
                <w:color w:val="auto"/>
                <w:highlight w:val="none"/>
              </w:rPr>
            </w:pPr>
            <w:r>
              <w:rPr>
                <w:rFonts w:hint="eastAsia"/>
                <w:color w:val="auto"/>
                <w:highlight w:val="none"/>
              </w:rPr>
              <w:t>对照断面、控制断面等代表性断面的水质状况□：达标□；不达标□</w:t>
            </w:r>
          </w:p>
          <w:p w14:paraId="6AADCAB4">
            <w:pPr>
              <w:pStyle w:val="17"/>
              <w:bidi w:val="0"/>
              <w:rPr>
                <w:color w:val="auto"/>
                <w:highlight w:val="none"/>
              </w:rPr>
            </w:pPr>
            <w:r>
              <w:rPr>
                <w:rFonts w:hint="eastAsia"/>
                <w:color w:val="auto"/>
                <w:highlight w:val="none"/>
              </w:rPr>
              <w:t>底泥污染评价□</w:t>
            </w:r>
          </w:p>
          <w:p w14:paraId="1A1D8DA2">
            <w:pPr>
              <w:pStyle w:val="17"/>
              <w:bidi w:val="0"/>
              <w:rPr>
                <w:color w:val="auto"/>
                <w:highlight w:val="none"/>
              </w:rPr>
            </w:pPr>
            <w:r>
              <w:rPr>
                <w:rFonts w:hint="eastAsia"/>
                <w:color w:val="auto"/>
                <w:highlight w:val="none"/>
              </w:rPr>
              <w:t>水资源与开发利用程度及其水文情势评价□</w:t>
            </w:r>
          </w:p>
          <w:p w14:paraId="76A6C44E">
            <w:pPr>
              <w:pStyle w:val="17"/>
              <w:bidi w:val="0"/>
              <w:rPr>
                <w:color w:val="auto"/>
                <w:highlight w:val="none"/>
              </w:rPr>
            </w:pPr>
            <w:r>
              <w:rPr>
                <w:rFonts w:hint="eastAsia"/>
                <w:color w:val="auto"/>
                <w:highlight w:val="none"/>
              </w:rPr>
              <w:t>水环境质量回顾评价□</w:t>
            </w:r>
          </w:p>
          <w:p w14:paraId="483990EC">
            <w:pPr>
              <w:pStyle w:val="17"/>
              <w:bidi w:val="0"/>
              <w:rPr>
                <w:color w:val="auto"/>
                <w:highlight w:val="none"/>
              </w:rPr>
            </w:pPr>
            <w:r>
              <w:rPr>
                <w:rFonts w:hint="eastAsia"/>
                <w:color w:val="auto"/>
                <w:highlight w:val="none"/>
              </w:rPr>
              <w:t>流域（区域）水资源（包括水能资源）与开发利用总体状况、生态流量管理要求与现状满足程度、建设项目占用水域空间的水流状况与河湖演变状况□</w:t>
            </w:r>
          </w:p>
        </w:tc>
        <w:tc>
          <w:tcPr>
            <w:tcW w:w="1310" w:type="dxa"/>
            <w:vAlign w:val="center"/>
          </w:tcPr>
          <w:p w14:paraId="6A60BA24">
            <w:pPr>
              <w:pStyle w:val="17"/>
              <w:bidi w:val="0"/>
              <w:rPr>
                <w:rFonts w:hint="eastAsia" w:eastAsia="宋体"/>
                <w:color w:val="auto"/>
                <w:highlight w:val="none"/>
                <w:lang w:eastAsia="zh-CN"/>
              </w:rPr>
            </w:pPr>
            <w:r>
              <w:rPr>
                <w:rFonts w:hint="eastAsia"/>
                <w:color w:val="auto"/>
                <w:highlight w:val="none"/>
              </w:rPr>
              <w:t>达标区</w:t>
            </w:r>
            <w:r>
              <w:rPr>
                <w:rFonts w:hint="eastAsia"/>
                <w:color w:val="auto"/>
                <w:highlight w:val="none"/>
                <w:lang w:eastAsia="zh-CN"/>
              </w:rPr>
              <w:t>□</w:t>
            </w:r>
          </w:p>
          <w:p w14:paraId="4BF26893">
            <w:pPr>
              <w:pStyle w:val="17"/>
              <w:bidi w:val="0"/>
              <w:rPr>
                <w:color w:val="auto"/>
                <w:highlight w:val="none"/>
              </w:rPr>
            </w:pPr>
            <w:r>
              <w:rPr>
                <w:rFonts w:hint="eastAsia"/>
                <w:color w:val="auto"/>
                <w:highlight w:val="none"/>
              </w:rPr>
              <w:t>不达标区□</w:t>
            </w:r>
          </w:p>
        </w:tc>
      </w:tr>
      <w:tr w14:paraId="27D9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restart"/>
            <w:vAlign w:val="center"/>
          </w:tcPr>
          <w:p w14:paraId="4C56240A">
            <w:pPr>
              <w:pStyle w:val="17"/>
              <w:bidi w:val="0"/>
              <w:rPr>
                <w:color w:val="auto"/>
                <w:highlight w:val="none"/>
              </w:rPr>
            </w:pPr>
            <w:r>
              <w:rPr>
                <w:rFonts w:hint="eastAsia"/>
                <w:color w:val="auto"/>
                <w:highlight w:val="none"/>
              </w:rPr>
              <w:t>影</w:t>
            </w:r>
          </w:p>
          <w:p w14:paraId="2200CF0E">
            <w:pPr>
              <w:pStyle w:val="17"/>
              <w:bidi w:val="0"/>
              <w:rPr>
                <w:color w:val="auto"/>
                <w:highlight w:val="none"/>
              </w:rPr>
            </w:pPr>
            <w:r>
              <w:rPr>
                <w:rFonts w:hint="eastAsia"/>
                <w:color w:val="auto"/>
                <w:highlight w:val="none"/>
              </w:rPr>
              <w:t>响</w:t>
            </w:r>
          </w:p>
          <w:p w14:paraId="57F9D618">
            <w:pPr>
              <w:pStyle w:val="17"/>
              <w:bidi w:val="0"/>
              <w:rPr>
                <w:color w:val="auto"/>
                <w:highlight w:val="none"/>
              </w:rPr>
            </w:pPr>
            <w:r>
              <w:rPr>
                <w:rFonts w:hint="eastAsia"/>
                <w:color w:val="auto"/>
                <w:highlight w:val="none"/>
              </w:rPr>
              <w:t>预</w:t>
            </w:r>
          </w:p>
          <w:p w14:paraId="1F318115">
            <w:pPr>
              <w:pStyle w:val="17"/>
              <w:bidi w:val="0"/>
              <w:rPr>
                <w:color w:val="auto"/>
                <w:highlight w:val="none"/>
              </w:rPr>
            </w:pPr>
            <w:r>
              <w:rPr>
                <w:rFonts w:hint="eastAsia"/>
                <w:color w:val="auto"/>
                <w:highlight w:val="none"/>
              </w:rPr>
              <w:t>测</w:t>
            </w:r>
          </w:p>
        </w:tc>
        <w:tc>
          <w:tcPr>
            <w:tcW w:w="1106" w:type="dxa"/>
            <w:vAlign w:val="center"/>
          </w:tcPr>
          <w:p w14:paraId="09BA0DCF">
            <w:pPr>
              <w:pStyle w:val="17"/>
              <w:bidi w:val="0"/>
              <w:rPr>
                <w:color w:val="auto"/>
                <w:highlight w:val="none"/>
              </w:rPr>
            </w:pPr>
            <w:r>
              <w:rPr>
                <w:rFonts w:hint="eastAsia"/>
                <w:color w:val="auto"/>
                <w:highlight w:val="none"/>
              </w:rPr>
              <w:t>预测范围</w:t>
            </w:r>
          </w:p>
        </w:tc>
        <w:tc>
          <w:tcPr>
            <w:tcW w:w="6913" w:type="dxa"/>
            <w:gridSpan w:val="12"/>
            <w:vAlign w:val="center"/>
          </w:tcPr>
          <w:p w14:paraId="7ED287A1">
            <w:pPr>
              <w:pStyle w:val="17"/>
              <w:bidi w:val="0"/>
              <w:rPr>
                <w:color w:val="auto"/>
                <w:highlight w:val="none"/>
              </w:rPr>
            </w:pPr>
            <w:r>
              <w:rPr>
                <w:rFonts w:hint="eastAsia"/>
                <w:color w:val="auto"/>
                <w:highlight w:val="none"/>
              </w:rPr>
              <w:t>河流：长度（</w:t>
            </w:r>
            <w:r>
              <w:rPr>
                <w:color w:val="auto"/>
                <w:highlight w:val="none"/>
              </w:rPr>
              <w:t xml:space="preserve"> </w:t>
            </w:r>
            <w:r>
              <w:rPr>
                <w:rFonts w:hint="eastAsia"/>
                <w:color w:val="auto"/>
                <w:highlight w:val="none"/>
              </w:rPr>
              <w:t>）km；湖库、河口及近岸海域：面积</w:t>
            </w:r>
            <w:r>
              <w:rPr>
                <w:rFonts w:hint="eastAsia"/>
                <w:color w:val="auto"/>
                <w:highlight w:val="none"/>
                <w:lang w:eastAsia="zh-CN"/>
              </w:rPr>
              <w:t>（</w:t>
            </w:r>
            <w:r>
              <w:rPr>
                <w:rFonts w:hint="eastAsia"/>
                <w:color w:val="auto"/>
                <w:highlight w:val="none"/>
              </w:rPr>
              <w:t>）km</w:t>
            </w:r>
            <w:r>
              <w:rPr>
                <w:rFonts w:hint="eastAsia"/>
                <w:color w:val="auto"/>
                <w:highlight w:val="none"/>
                <w:vertAlign w:val="superscript"/>
              </w:rPr>
              <w:t>2</w:t>
            </w:r>
          </w:p>
        </w:tc>
      </w:tr>
      <w:tr w14:paraId="150E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2C7E06AB">
            <w:pPr>
              <w:pStyle w:val="17"/>
              <w:bidi w:val="0"/>
              <w:rPr>
                <w:color w:val="auto"/>
                <w:highlight w:val="none"/>
              </w:rPr>
            </w:pPr>
          </w:p>
        </w:tc>
        <w:tc>
          <w:tcPr>
            <w:tcW w:w="1106" w:type="dxa"/>
            <w:vAlign w:val="center"/>
          </w:tcPr>
          <w:p w14:paraId="30CB2CD1">
            <w:pPr>
              <w:pStyle w:val="17"/>
              <w:bidi w:val="0"/>
              <w:rPr>
                <w:color w:val="auto"/>
                <w:highlight w:val="none"/>
              </w:rPr>
            </w:pPr>
            <w:r>
              <w:rPr>
                <w:rFonts w:hint="eastAsia"/>
                <w:color w:val="auto"/>
                <w:highlight w:val="none"/>
              </w:rPr>
              <w:t>预测因子</w:t>
            </w:r>
          </w:p>
        </w:tc>
        <w:tc>
          <w:tcPr>
            <w:tcW w:w="6913" w:type="dxa"/>
            <w:gridSpan w:val="12"/>
            <w:vAlign w:val="center"/>
          </w:tcPr>
          <w:p w14:paraId="5E3F2A8E">
            <w:pPr>
              <w:pStyle w:val="17"/>
              <w:bidi w:val="0"/>
              <w:rPr>
                <w:color w:val="auto"/>
                <w:highlight w:val="none"/>
              </w:rPr>
            </w:pPr>
            <w:r>
              <w:rPr>
                <w:rFonts w:hint="eastAsia"/>
                <w:color w:val="auto"/>
                <w:highlight w:val="none"/>
              </w:rPr>
              <w:t>（ ）</w:t>
            </w:r>
          </w:p>
        </w:tc>
      </w:tr>
      <w:tr w14:paraId="1EA0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4A14FF60">
            <w:pPr>
              <w:pStyle w:val="17"/>
              <w:bidi w:val="0"/>
              <w:rPr>
                <w:color w:val="auto"/>
                <w:highlight w:val="none"/>
              </w:rPr>
            </w:pPr>
          </w:p>
        </w:tc>
        <w:tc>
          <w:tcPr>
            <w:tcW w:w="1106" w:type="dxa"/>
            <w:vAlign w:val="center"/>
          </w:tcPr>
          <w:p w14:paraId="2B281A3F">
            <w:pPr>
              <w:pStyle w:val="17"/>
              <w:bidi w:val="0"/>
              <w:rPr>
                <w:color w:val="auto"/>
                <w:highlight w:val="none"/>
              </w:rPr>
            </w:pPr>
            <w:r>
              <w:rPr>
                <w:rFonts w:hint="eastAsia"/>
                <w:color w:val="auto"/>
                <w:highlight w:val="none"/>
              </w:rPr>
              <w:t>预测时期</w:t>
            </w:r>
          </w:p>
        </w:tc>
        <w:tc>
          <w:tcPr>
            <w:tcW w:w="6913" w:type="dxa"/>
            <w:gridSpan w:val="12"/>
            <w:vAlign w:val="center"/>
          </w:tcPr>
          <w:p w14:paraId="67CC8522">
            <w:pPr>
              <w:pStyle w:val="17"/>
              <w:bidi w:val="0"/>
              <w:rPr>
                <w:color w:val="auto"/>
                <w:highlight w:val="none"/>
              </w:rPr>
            </w:pPr>
            <w:r>
              <w:rPr>
                <w:rFonts w:hint="eastAsia"/>
                <w:color w:val="auto"/>
                <w:highlight w:val="none"/>
              </w:rPr>
              <w:t>丰水期□；平水期□；枯水期□；冰封期□</w:t>
            </w:r>
          </w:p>
          <w:p w14:paraId="5803AB2F">
            <w:pPr>
              <w:pStyle w:val="17"/>
              <w:bidi w:val="0"/>
              <w:rPr>
                <w:color w:val="auto"/>
                <w:highlight w:val="none"/>
              </w:rPr>
            </w:pPr>
            <w:r>
              <w:rPr>
                <w:rFonts w:hint="eastAsia"/>
                <w:color w:val="auto"/>
                <w:highlight w:val="none"/>
              </w:rPr>
              <w:t>春季□；夏季□；秋季□；冬季□</w:t>
            </w:r>
          </w:p>
          <w:p w14:paraId="68906635">
            <w:pPr>
              <w:pStyle w:val="17"/>
              <w:bidi w:val="0"/>
              <w:rPr>
                <w:color w:val="auto"/>
                <w:highlight w:val="none"/>
              </w:rPr>
            </w:pPr>
            <w:r>
              <w:rPr>
                <w:rFonts w:hint="eastAsia"/>
                <w:color w:val="auto"/>
                <w:highlight w:val="none"/>
              </w:rPr>
              <w:t>设计水文条件□</w:t>
            </w:r>
          </w:p>
        </w:tc>
      </w:tr>
      <w:tr w14:paraId="61AC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34EAE070">
            <w:pPr>
              <w:pStyle w:val="17"/>
              <w:bidi w:val="0"/>
              <w:rPr>
                <w:color w:val="auto"/>
                <w:highlight w:val="none"/>
              </w:rPr>
            </w:pPr>
          </w:p>
        </w:tc>
        <w:tc>
          <w:tcPr>
            <w:tcW w:w="1106" w:type="dxa"/>
            <w:vAlign w:val="center"/>
          </w:tcPr>
          <w:p w14:paraId="40231263">
            <w:pPr>
              <w:pStyle w:val="17"/>
              <w:bidi w:val="0"/>
              <w:rPr>
                <w:color w:val="auto"/>
                <w:highlight w:val="none"/>
              </w:rPr>
            </w:pPr>
            <w:r>
              <w:rPr>
                <w:rFonts w:hint="eastAsia"/>
                <w:color w:val="auto"/>
                <w:highlight w:val="none"/>
              </w:rPr>
              <w:t>预测情景</w:t>
            </w:r>
          </w:p>
        </w:tc>
        <w:tc>
          <w:tcPr>
            <w:tcW w:w="6913" w:type="dxa"/>
            <w:gridSpan w:val="12"/>
            <w:vAlign w:val="center"/>
          </w:tcPr>
          <w:p w14:paraId="5E8529E1">
            <w:pPr>
              <w:pStyle w:val="17"/>
              <w:bidi w:val="0"/>
              <w:rPr>
                <w:color w:val="auto"/>
                <w:highlight w:val="none"/>
              </w:rPr>
            </w:pPr>
            <w:r>
              <w:rPr>
                <w:rFonts w:hint="eastAsia"/>
                <w:color w:val="auto"/>
                <w:highlight w:val="none"/>
              </w:rPr>
              <w:t>建设期□；生产运行期□；服务期满后□</w:t>
            </w:r>
          </w:p>
          <w:p w14:paraId="353F0D83">
            <w:pPr>
              <w:pStyle w:val="17"/>
              <w:bidi w:val="0"/>
              <w:rPr>
                <w:color w:val="auto"/>
                <w:highlight w:val="none"/>
              </w:rPr>
            </w:pPr>
            <w:r>
              <w:rPr>
                <w:rFonts w:hint="eastAsia"/>
                <w:color w:val="auto"/>
                <w:highlight w:val="none"/>
              </w:rPr>
              <w:t>正常工况□；非正常工况□</w:t>
            </w:r>
          </w:p>
          <w:p w14:paraId="0F77CD80">
            <w:pPr>
              <w:pStyle w:val="17"/>
              <w:bidi w:val="0"/>
              <w:rPr>
                <w:color w:val="auto"/>
                <w:highlight w:val="none"/>
              </w:rPr>
            </w:pPr>
            <w:r>
              <w:rPr>
                <w:rFonts w:hint="eastAsia"/>
                <w:color w:val="auto"/>
                <w:highlight w:val="none"/>
              </w:rPr>
              <w:t>污染控制和减缓措施方案□</w:t>
            </w:r>
          </w:p>
          <w:p w14:paraId="41555F64">
            <w:pPr>
              <w:pStyle w:val="17"/>
              <w:bidi w:val="0"/>
              <w:rPr>
                <w:color w:val="auto"/>
                <w:highlight w:val="none"/>
              </w:rPr>
            </w:pPr>
            <w:r>
              <w:rPr>
                <w:rFonts w:hint="eastAsia"/>
                <w:color w:val="auto"/>
                <w:highlight w:val="none"/>
              </w:rPr>
              <w:t>区（流）域环境质量改善目标要求情景□</w:t>
            </w:r>
          </w:p>
        </w:tc>
      </w:tr>
      <w:tr w14:paraId="521D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0BF7419F">
            <w:pPr>
              <w:pStyle w:val="17"/>
              <w:bidi w:val="0"/>
              <w:rPr>
                <w:color w:val="auto"/>
                <w:highlight w:val="none"/>
              </w:rPr>
            </w:pPr>
          </w:p>
        </w:tc>
        <w:tc>
          <w:tcPr>
            <w:tcW w:w="1106" w:type="dxa"/>
            <w:vAlign w:val="center"/>
          </w:tcPr>
          <w:p w14:paraId="16E71A88">
            <w:pPr>
              <w:pStyle w:val="17"/>
              <w:bidi w:val="0"/>
              <w:rPr>
                <w:color w:val="auto"/>
                <w:highlight w:val="none"/>
              </w:rPr>
            </w:pPr>
            <w:r>
              <w:rPr>
                <w:rFonts w:hint="eastAsia"/>
                <w:color w:val="auto"/>
                <w:highlight w:val="none"/>
              </w:rPr>
              <w:t>预测方法</w:t>
            </w:r>
          </w:p>
        </w:tc>
        <w:tc>
          <w:tcPr>
            <w:tcW w:w="6913" w:type="dxa"/>
            <w:gridSpan w:val="12"/>
            <w:vAlign w:val="center"/>
          </w:tcPr>
          <w:p w14:paraId="3A96D602">
            <w:pPr>
              <w:pStyle w:val="17"/>
              <w:bidi w:val="0"/>
              <w:rPr>
                <w:color w:val="auto"/>
                <w:highlight w:val="none"/>
              </w:rPr>
            </w:pPr>
            <w:r>
              <w:rPr>
                <w:rFonts w:hint="eastAsia"/>
                <w:color w:val="auto"/>
                <w:highlight w:val="none"/>
              </w:rPr>
              <w:t>数值解□：解析解□；其他□</w:t>
            </w:r>
          </w:p>
          <w:p w14:paraId="7A45F04D">
            <w:pPr>
              <w:pStyle w:val="17"/>
              <w:bidi w:val="0"/>
              <w:rPr>
                <w:color w:val="auto"/>
                <w:highlight w:val="none"/>
              </w:rPr>
            </w:pPr>
            <w:r>
              <w:rPr>
                <w:rFonts w:hint="eastAsia"/>
                <w:color w:val="auto"/>
                <w:highlight w:val="none"/>
              </w:rPr>
              <w:t>导则推荐模式□：其他□</w:t>
            </w:r>
          </w:p>
        </w:tc>
      </w:tr>
      <w:tr w14:paraId="62D3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restart"/>
            <w:vAlign w:val="center"/>
          </w:tcPr>
          <w:p w14:paraId="2C7EED35">
            <w:pPr>
              <w:pStyle w:val="17"/>
              <w:bidi w:val="0"/>
              <w:rPr>
                <w:color w:val="auto"/>
                <w:highlight w:val="none"/>
              </w:rPr>
            </w:pPr>
            <w:r>
              <w:rPr>
                <w:rFonts w:hint="eastAsia"/>
                <w:color w:val="auto"/>
                <w:highlight w:val="none"/>
              </w:rPr>
              <w:t>影</w:t>
            </w:r>
          </w:p>
          <w:p w14:paraId="50532145">
            <w:pPr>
              <w:pStyle w:val="17"/>
              <w:bidi w:val="0"/>
              <w:rPr>
                <w:color w:val="auto"/>
                <w:highlight w:val="none"/>
              </w:rPr>
            </w:pPr>
            <w:r>
              <w:rPr>
                <w:rFonts w:hint="eastAsia"/>
                <w:color w:val="auto"/>
                <w:highlight w:val="none"/>
              </w:rPr>
              <w:t>响</w:t>
            </w:r>
          </w:p>
          <w:p w14:paraId="44668D48">
            <w:pPr>
              <w:pStyle w:val="17"/>
              <w:bidi w:val="0"/>
              <w:rPr>
                <w:color w:val="auto"/>
                <w:highlight w:val="none"/>
              </w:rPr>
            </w:pPr>
            <w:r>
              <w:rPr>
                <w:rFonts w:hint="eastAsia"/>
                <w:color w:val="auto"/>
                <w:highlight w:val="none"/>
              </w:rPr>
              <w:t>评</w:t>
            </w:r>
          </w:p>
          <w:p w14:paraId="0BB10E39">
            <w:pPr>
              <w:pStyle w:val="17"/>
              <w:bidi w:val="0"/>
              <w:rPr>
                <w:color w:val="auto"/>
                <w:highlight w:val="none"/>
              </w:rPr>
            </w:pPr>
            <w:r>
              <w:rPr>
                <w:rFonts w:hint="eastAsia"/>
                <w:color w:val="auto"/>
                <w:highlight w:val="none"/>
              </w:rPr>
              <w:t>价</w:t>
            </w:r>
          </w:p>
        </w:tc>
        <w:tc>
          <w:tcPr>
            <w:tcW w:w="1106" w:type="dxa"/>
            <w:vAlign w:val="center"/>
          </w:tcPr>
          <w:p w14:paraId="72DDC7E2">
            <w:pPr>
              <w:pStyle w:val="17"/>
              <w:bidi w:val="0"/>
              <w:rPr>
                <w:color w:val="auto"/>
                <w:highlight w:val="none"/>
              </w:rPr>
            </w:pPr>
            <w:r>
              <w:rPr>
                <w:rFonts w:hint="eastAsia"/>
                <w:color w:val="auto"/>
                <w:highlight w:val="none"/>
              </w:rPr>
              <w:t>水污染控制和水环境影响减缓措施有效性评价</w:t>
            </w:r>
          </w:p>
        </w:tc>
        <w:tc>
          <w:tcPr>
            <w:tcW w:w="6913" w:type="dxa"/>
            <w:gridSpan w:val="12"/>
            <w:vAlign w:val="center"/>
          </w:tcPr>
          <w:p w14:paraId="062B6030">
            <w:pPr>
              <w:pStyle w:val="17"/>
              <w:bidi w:val="0"/>
              <w:rPr>
                <w:color w:val="auto"/>
                <w:highlight w:val="none"/>
              </w:rPr>
            </w:pPr>
            <w:r>
              <w:rPr>
                <w:rFonts w:hint="eastAsia"/>
                <w:color w:val="auto"/>
                <w:highlight w:val="none"/>
              </w:rPr>
              <w:t>区（流）域水环境质量改善目标</w:t>
            </w:r>
            <w:r>
              <w:rPr>
                <w:rFonts w:hint="eastAsia"/>
                <w:color w:val="auto"/>
                <w:highlight w:val="none"/>
                <w:lang w:eastAsia="zh-CN"/>
              </w:rPr>
              <w:t>□</w:t>
            </w:r>
            <w:r>
              <w:rPr>
                <w:rFonts w:hint="eastAsia"/>
                <w:color w:val="auto"/>
                <w:highlight w:val="none"/>
              </w:rPr>
              <w:t>；替代削减源□</w:t>
            </w:r>
          </w:p>
        </w:tc>
      </w:tr>
      <w:tr w14:paraId="2017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6884FDBD">
            <w:pPr>
              <w:pStyle w:val="17"/>
              <w:bidi w:val="0"/>
              <w:rPr>
                <w:color w:val="auto"/>
                <w:highlight w:val="none"/>
              </w:rPr>
            </w:pPr>
          </w:p>
        </w:tc>
        <w:tc>
          <w:tcPr>
            <w:tcW w:w="1106" w:type="dxa"/>
            <w:vAlign w:val="center"/>
          </w:tcPr>
          <w:p w14:paraId="223F6AAA">
            <w:pPr>
              <w:pStyle w:val="17"/>
              <w:bidi w:val="0"/>
              <w:rPr>
                <w:color w:val="auto"/>
                <w:highlight w:val="none"/>
              </w:rPr>
            </w:pPr>
            <w:r>
              <w:rPr>
                <w:rFonts w:hint="eastAsia"/>
                <w:color w:val="auto"/>
                <w:highlight w:val="none"/>
              </w:rPr>
              <w:t>水环境影响评价</w:t>
            </w:r>
          </w:p>
        </w:tc>
        <w:tc>
          <w:tcPr>
            <w:tcW w:w="6913" w:type="dxa"/>
            <w:gridSpan w:val="12"/>
            <w:vAlign w:val="center"/>
          </w:tcPr>
          <w:p w14:paraId="649745BE">
            <w:pPr>
              <w:pStyle w:val="17"/>
              <w:bidi w:val="0"/>
              <w:rPr>
                <w:color w:val="auto"/>
                <w:highlight w:val="none"/>
              </w:rPr>
            </w:pPr>
            <w:r>
              <w:rPr>
                <w:rFonts w:hint="eastAsia"/>
                <w:color w:val="auto"/>
                <w:highlight w:val="none"/>
              </w:rPr>
              <w:t>排放口混合区外满足水环境管理要求□</w:t>
            </w:r>
          </w:p>
          <w:p w14:paraId="629DE609">
            <w:pPr>
              <w:pStyle w:val="17"/>
              <w:bidi w:val="0"/>
              <w:rPr>
                <w:color w:val="auto"/>
                <w:highlight w:val="none"/>
              </w:rPr>
            </w:pPr>
            <w:r>
              <w:rPr>
                <w:rFonts w:hint="eastAsia"/>
                <w:color w:val="auto"/>
                <w:highlight w:val="none"/>
              </w:rPr>
              <w:t>水环境功能区或水功能区、近岸海域环境功能区水质达标□</w:t>
            </w:r>
          </w:p>
          <w:p w14:paraId="61D4C70B">
            <w:pPr>
              <w:pStyle w:val="17"/>
              <w:bidi w:val="0"/>
              <w:rPr>
                <w:color w:val="auto"/>
                <w:highlight w:val="none"/>
              </w:rPr>
            </w:pPr>
            <w:r>
              <w:rPr>
                <w:rFonts w:hint="eastAsia"/>
                <w:color w:val="auto"/>
                <w:highlight w:val="none"/>
              </w:rPr>
              <w:t>满足水环境保护目标水域水环境质量要求□</w:t>
            </w:r>
          </w:p>
          <w:p w14:paraId="5F73A25F">
            <w:pPr>
              <w:pStyle w:val="17"/>
              <w:bidi w:val="0"/>
              <w:rPr>
                <w:color w:val="auto"/>
                <w:highlight w:val="none"/>
              </w:rPr>
            </w:pPr>
            <w:r>
              <w:rPr>
                <w:rFonts w:hint="eastAsia"/>
                <w:color w:val="auto"/>
                <w:highlight w:val="none"/>
              </w:rPr>
              <w:t>水环境控制单元或断面水质达标□</w:t>
            </w:r>
          </w:p>
          <w:p w14:paraId="5197CBB0">
            <w:pPr>
              <w:pStyle w:val="17"/>
              <w:bidi w:val="0"/>
              <w:rPr>
                <w:color w:val="auto"/>
                <w:highlight w:val="none"/>
              </w:rPr>
            </w:pPr>
            <w:r>
              <w:rPr>
                <w:rFonts w:hint="eastAsia"/>
                <w:color w:val="auto"/>
                <w:highlight w:val="none"/>
              </w:rPr>
              <w:t>满足重点水污染物排放总量控制指标要求，重点行业建设项目，主要污染物排放满足等量或减量替代要求□</w:t>
            </w:r>
          </w:p>
          <w:p w14:paraId="3FF7BA6E">
            <w:pPr>
              <w:pStyle w:val="17"/>
              <w:bidi w:val="0"/>
              <w:rPr>
                <w:color w:val="auto"/>
                <w:highlight w:val="none"/>
              </w:rPr>
            </w:pPr>
            <w:r>
              <w:rPr>
                <w:rFonts w:hint="eastAsia"/>
                <w:color w:val="auto"/>
                <w:highlight w:val="none"/>
              </w:rPr>
              <w:t>满足区（流）域水环境质量改善目标要求□</w:t>
            </w:r>
          </w:p>
          <w:p w14:paraId="553C135E">
            <w:pPr>
              <w:pStyle w:val="17"/>
              <w:bidi w:val="0"/>
              <w:rPr>
                <w:color w:val="auto"/>
                <w:highlight w:val="none"/>
              </w:rPr>
            </w:pPr>
            <w:r>
              <w:rPr>
                <w:rFonts w:hint="eastAsia"/>
                <w:color w:val="auto"/>
                <w:highlight w:val="none"/>
              </w:rPr>
              <w:t>水文要素影响型建设项目同时应包括水文情势变化评价、主要水文特征值影响评价、生态流量符合性评价□</w:t>
            </w:r>
          </w:p>
          <w:p w14:paraId="1AAA4EDC">
            <w:pPr>
              <w:pStyle w:val="17"/>
              <w:bidi w:val="0"/>
              <w:rPr>
                <w:color w:val="auto"/>
                <w:highlight w:val="none"/>
              </w:rPr>
            </w:pPr>
            <w:r>
              <w:rPr>
                <w:rFonts w:hint="eastAsia"/>
                <w:color w:val="auto"/>
                <w:highlight w:val="none"/>
              </w:rPr>
              <w:t>对于新设或调整入河（湖库、近岸海域）排放口的建设项目，应包括排放口设置的环境合理性评价□</w:t>
            </w:r>
          </w:p>
          <w:p w14:paraId="6EDC9805">
            <w:pPr>
              <w:pStyle w:val="17"/>
              <w:bidi w:val="0"/>
              <w:rPr>
                <w:rFonts w:hint="eastAsia" w:eastAsia="宋体"/>
                <w:color w:val="auto"/>
                <w:highlight w:val="none"/>
                <w:lang w:eastAsia="zh-CN"/>
              </w:rPr>
            </w:pPr>
            <w:r>
              <w:rPr>
                <w:rFonts w:hint="eastAsia"/>
                <w:color w:val="auto"/>
                <w:highlight w:val="none"/>
              </w:rPr>
              <w:t>满足生态保护红线、水环境质量底线、资源利用上线和环境准入清单管理要求</w:t>
            </w:r>
            <w:r>
              <w:rPr>
                <w:rFonts w:hint="eastAsia"/>
                <w:color w:val="auto"/>
                <w:highlight w:val="none"/>
                <w:lang w:eastAsia="zh-CN"/>
              </w:rPr>
              <w:t>□</w:t>
            </w:r>
          </w:p>
        </w:tc>
      </w:tr>
      <w:tr w14:paraId="21C6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3DE4AFE7">
            <w:pPr>
              <w:pStyle w:val="17"/>
              <w:bidi w:val="0"/>
              <w:rPr>
                <w:color w:val="auto"/>
                <w:highlight w:val="none"/>
              </w:rPr>
            </w:pPr>
          </w:p>
        </w:tc>
        <w:tc>
          <w:tcPr>
            <w:tcW w:w="1106" w:type="dxa"/>
            <w:vMerge w:val="restart"/>
            <w:vAlign w:val="center"/>
          </w:tcPr>
          <w:p w14:paraId="788308D1">
            <w:pPr>
              <w:pStyle w:val="17"/>
              <w:bidi w:val="0"/>
              <w:rPr>
                <w:color w:val="auto"/>
                <w:highlight w:val="none"/>
              </w:rPr>
            </w:pPr>
            <w:r>
              <w:rPr>
                <w:rFonts w:hint="eastAsia"/>
                <w:color w:val="auto"/>
                <w:highlight w:val="none"/>
              </w:rPr>
              <w:t>污染源排放量核算</w:t>
            </w:r>
          </w:p>
        </w:tc>
        <w:tc>
          <w:tcPr>
            <w:tcW w:w="2748" w:type="dxa"/>
            <w:gridSpan w:val="4"/>
            <w:vAlign w:val="center"/>
          </w:tcPr>
          <w:p w14:paraId="1F9BEAC4">
            <w:pPr>
              <w:pStyle w:val="17"/>
              <w:bidi w:val="0"/>
              <w:rPr>
                <w:color w:val="auto"/>
                <w:highlight w:val="none"/>
              </w:rPr>
            </w:pPr>
            <w:r>
              <w:rPr>
                <w:rFonts w:hint="eastAsia"/>
                <w:color w:val="auto"/>
                <w:highlight w:val="none"/>
              </w:rPr>
              <w:t>污染物名称</w:t>
            </w:r>
          </w:p>
        </w:tc>
        <w:tc>
          <w:tcPr>
            <w:tcW w:w="2082" w:type="dxa"/>
            <w:gridSpan w:val="6"/>
            <w:vAlign w:val="center"/>
          </w:tcPr>
          <w:p w14:paraId="19228088">
            <w:pPr>
              <w:pStyle w:val="17"/>
              <w:bidi w:val="0"/>
              <w:rPr>
                <w:color w:val="auto"/>
                <w:highlight w:val="none"/>
              </w:rPr>
            </w:pPr>
            <w:r>
              <w:rPr>
                <w:rFonts w:hint="eastAsia"/>
                <w:color w:val="auto"/>
                <w:highlight w:val="none"/>
              </w:rPr>
              <w:t>排放量/（t/a）</w:t>
            </w:r>
          </w:p>
        </w:tc>
        <w:tc>
          <w:tcPr>
            <w:tcW w:w="2083" w:type="dxa"/>
            <w:gridSpan w:val="2"/>
            <w:vAlign w:val="center"/>
          </w:tcPr>
          <w:p w14:paraId="6F872BA5">
            <w:pPr>
              <w:pStyle w:val="17"/>
              <w:bidi w:val="0"/>
              <w:rPr>
                <w:color w:val="auto"/>
                <w:highlight w:val="none"/>
              </w:rPr>
            </w:pPr>
            <w:r>
              <w:rPr>
                <w:rFonts w:hint="eastAsia"/>
                <w:color w:val="auto"/>
                <w:highlight w:val="none"/>
              </w:rPr>
              <w:t>排放浓度/（mg/L）</w:t>
            </w:r>
          </w:p>
        </w:tc>
      </w:tr>
      <w:tr w14:paraId="786D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6F5A7FFC">
            <w:pPr>
              <w:pStyle w:val="17"/>
              <w:bidi w:val="0"/>
              <w:rPr>
                <w:color w:val="auto"/>
                <w:highlight w:val="none"/>
              </w:rPr>
            </w:pPr>
          </w:p>
        </w:tc>
        <w:tc>
          <w:tcPr>
            <w:tcW w:w="1106" w:type="dxa"/>
            <w:vMerge w:val="continue"/>
            <w:vAlign w:val="center"/>
          </w:tcPr>
          <w:p w14:paraId="4B6FA7C9">
            <w:pPr>
              <w:pStyle w:val="17"/>
              <w:bidi w:val="0"/>
              <w:rPr>
                <w:color w:val="auto"/>
                <w:highlight w:val="none"/>
              </w:rPr>
            </w:pPr>
          </w:p>
        </w:tc>
        <w:tc>
          <w:tcPr>
            <w:tcW w:w="2748" w:type="dxa"/>
            <w:gridSpan w:val="4"/>
            <w:vAlign w:val="center"/>
          </w:tcPr>
          <w:p w14:paraId="6EF20FC5">
            <w:pPr>
              <w:pStyle w:val="17"/>
              <w:bidi w:val="0"/>
              <w:rPr>
                <w:color w:val="auto"/>
                <w:highlight w:val="none"/>
              </w:rPr>
            </w:pPr>
            <w:r>
              <w:rPr>
                <w:rFonts w:hint="eastAsia"/>
                <w:color w:val="auto"/>
                <w:highlight w:val="none"/>
                <w:lang w:eastAsia="zh-CN"/>
              </w:rPr>
              <w:t>（</w:t>
            </w:r>
            <w:r>
              <w:rPr>
                <w:rFonts w:hint="eastAsia"/>
                <w:color w:val="auto"/>
                <w:highlight w:val="none"/>
              </w:rPr>
              <w:t>）</w:t>
            </w:r>
          </w:p>
        </w:tc>
        <w:tc>
          <w:tcPr>
            <w:tcW w:w="2082" w:type="dxa"/>
            <w:gridSpan w:val="6"/>
            <w:vAlign w:val="center"/>
          </w:tcPr>
          <w:p w14:paraId="60E32A64">
            <w:pPr>
              <w:pStyle w:val="17"/>
              <w:bidi w:val="0"/>
              <w:rPr>
                <w:color w:val="auto"/>
                <w:highlight w:val="none"/>
              </w:rPr>
            </w:pPr>
            <w:r>
              <w:rPr>
                <w:rFonts w:hint="eastAsia"/>
                <w:color w:val="auto"/>
                <w:highlight w:val="none"/>
                <w:lang w:eastAsia="zh-CN"/>
              </w:rPr>
              <w:t>（</w:t>
            </w:r>
            <w:r>
              <w:rPr>
                <w:rFonts w:hint="eastAsia"/>
                <w:color w:val="auto"/>
                <w:highlight w:val="none"/>
              </w:rPr>
              <w:t>）</w:t>
            </w:r>
          </w:p>
        </w:tc>
        <w:tc>
          <w:tcPr>
            <w:tcW w:w="2083" w:type="dxa"/>
            <w:gridSpan w:val="2"/>
            <w:vAlign w:val="center"/>
          </w:tcPr>
          <w:p w14:paraId="6904BC54">
            <w:pPr>
              <w:pStyle w:val="17"/>
              <w:bidi w:val="0"/>
              <w:rPr>
                <w:color w:val="auto"/>
                <w:highlight w:val="none"/>
              </w:rPr>
            </w:pPr>
            <w:r>
              <w:rPr>
                <w:rFonts w:hint="eastAsia"/>
                <w:color w:val="auto"/>
                <w:highlight w:val="none"/>
                <w:lang w:eastAsia="zh-CN"/>
              </w:rPr>
              <w:t>（</w:t>
            </w:r>
            <w:r>
              <w:rPr>
                <w:rFonts w:hint="eastAsia"/>
                <w:color w:val="auto"/>
                <w:highlight w:val="none"/>
              </w:rPr>
              <w:t>）</w:t>
            </w:r>
          </w:p>
        </w:tc>
      </w:tr>
      <w:tr w14:paraId="41B5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7D70C745">
            <w:pPr>
              <w:pStyle w:val="17"/>
              <w:bidi w:val="0"/>
              <w:rPr>
                <w:color w:val="auto"/>
                <w:highlight w:val="none"/>
              </w:rPr>
            </w:pPr>
          </w:p>
        </w:tc>
        <w:tc>
          <w:tcPr>
            <w:tcW w:w="1106" w:type="dxa"/>
            <w:vMerge w:val="restart"/>
            <w:vAlign w:val="center"/>
          </w:tcPr>
          <w:p w14:paraId="1665C4FD">
            <w:pPr>
              <w:pStyle w:val="17"/>
              <w:bidi w:val="0"/>
              <w:rPr>
                <w:color w:val="auto"/>
                <w:highlight w:val="none"/>
              </w:rPr>
            </w:pPr>
            <w:r>
              <w:rPr>
                <w:rFonts w:hint="eastAsia"/>
                <w:color w:val="auto"/>
                <w:highlight w:val="none"/>
              </w:rPr>
              <w:t>替代源排放情况</w:t>
            </w:r>
          </w:p>
        </w:tc>
        <w:tc>
          <w:tcPr>
            <w:tcW w:w="1915" w:type="dxa"/>
            <w:vAlign w:val="center"/>
          </w:tcPr>
          <w:p w14:paraId="4BBC9A29">
            <w:pPr>
              <w:pStyle w:val="17"/>
              <w:bidi w:val="0"/>
              <w:rPr>
                <w:color w:val="auto"/>
                <w:highlight w:val="none"/>
              </w:rPr>
            </w:pPr>
            <w:r>
              <w:rPr>
                <w:rFonts w:hint="eastAsia"/>
                <w:color w:val="auto"/>
                <w:highlight w:val="none"/>
              </w:rPr>
              <w:t>污染源名称</w:t>
            </w:r>
          </w:p>
        </w:tc>
        <w:tc>
          <w:tcPr>
            <w:tcW w:w="1250" w:type="dxa"/>
            <w:gridSpan w:val="4"/>
            <w:vAlign w:val="center"/>
          </w:tcPr>
          <w:p w14:paraId="2FD6FF62">
            <w:pPr>
              <w:pStyle w:val="17"/>
              <w:bidi w:val="0"/>
              <w:rPr>
                <w:color w:val="auto"/>
                <w:highlight w:val="none"/>
              </w:rPr>
            </w:pPr>
            <w:r>
              <w:rPr>
                <w:rFonts w:hint="eastAsia"/>
                <w:color w:val="auto"/>
                <w:highlight w:val="none"/>
              </w:rPr>
              <w:t>排污许可证编号</w:t>
            </w:r>
          </w:p>
        </w:tc>
        <w:tc>
          <w:tcPr>
            <w:tcW w:w="1249" w:type="dxa"/>
            <w:gridSpan w:val="3"/>
            <w:vAlign w:val="center"/>
          </w:tcPr>
          <w:p w14:paraId="4BDFEF69">
            <w:pPr>
              <w:pStyle w:val="17"/>
              <w:bidi w:val="0"/>
              <w:rPr>
                <w:color w:val="auto"/>
                <w:highlight w:val="none"/>
              </w:rPr>
            </w:pPr>
            <w:r>
              <w:rPr>
                <w:rFonts w:hint="eastAsia"/>
                <w:color w:val="auto"/>
                <w:highlight w:val="none"/>
              </w:rPr>
              <w:t>污染物名称</w:t>
            </w:r>
          </w:p>
        </w:tc>
        <w:tc>
          <w:tcPr>
            <w:tcW w:w="1189" w:type="dxa"/>
            <w:gridSpan w:val="3"/>
            <w:vAlign w:val="center"/>
          </w:tcPr>
          <w:p w14:paraId="5B33C83E">
            <w:pPr>
              <w:pStyle w:val="17"/>
              <w:bidi w:val="0"/>
              <w:rPr>
                <w:color w:val="auto"/>
                <w:highlight w:val="none"/>
              </w:rPr>
            </w:pPr>
            <w:r>
              <w:rPr>
                <w:rFonts w:hint="eastAsia"/>
                <w:color w:val="auto"/>
                <w:highlight w:val="none"/>
              </w:rPr>
              <w:t>排放量/（t/a）</w:t>
            </w:r>
          </w:p>
        </w:tc>
        <w:tc>
          <w:tcPr>
            <w:tcW w:w="1310" w:type="dxa"/>
            <w:vAlign w:val="center"/>
          </w:tcPr>
          <w:p w14:paraId="38DC50AE">
            <w:pPr>
              <w:pStyle w:val="17"/>
              <w:bidi w:val="0"/>
              <w:rPr>
                <w:color w:val="auto"/>
                <w:highlight w:val="none"/>
              </w:rPr>
            </w:pPr>
            <w:r>
              <w:rPr>
                <w:rFonts w:hint="eastAsia"/>
                <w:color w:val="auto"/>
                <w:highlight w:val="none"/>
              </w:rPr>
              <w:t>排放浓度/（mg/L）</w:t>
            </w:r>
          </w:p>
        </w:tc>
      </w:tr>
      <w:tr w14:paraId="316E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41298201">
            <w:pPr>
              <w:pStyle w:val="17"/>
              <w:bidi w:val="0"/>
              <w:rPr>
                <w:color w:val="auto"/>
                <w:highlight w:val="none"/>
              </w:rPr>
            </w:pPr>
          </w:p>
        </w:tc>
        <w:tc>
          <w:tcPr>
            <w:tcW w:w="1106" w:type="dxa"/>
            <w:vMerge w:val="continue"/>
            <w:vAlign w:val="center"/>
          </w:tcPr>
          <w:p w14:paraId="33C49B1E">
            <w:pPr>
              <w:pStyle w:val="17"/>
              <w:bidi w:val="0"/>
              <w:rPr>
                <w:color w:val="auto"/>
                <w:highlight w:val="none"/>
              </w:rPr>
            </w:pPr>
          </w:p>
        </w:tc>
        <w:tc>
          <w:tcPr>
            <w:tcW w:w="1915" w:type="dxa"/>
          </w:tcPr>
          <w:p w14:paraId="13AEF438">
            <w:pPr>
              <w:pStyle w:val="17"/>
              <w:bidi w:val="0"/>
              <w:rPr>
                <w:color w:val="auto"/>
                <w:highlight w:val="none"/>
              </w:rPr>
            </w:pPr>
            <w:r>
              <w:rPr>
                <w:rFonts w:hint="eastAsia"/>
                <w:color w:val="auto"/>
                <w:highlight w:val="none"/>
                <w:lang w:eastAsia="zh-CN"/>
              </w:rPr>
              <w:t>（</w:t>
            </w:r>
            <w:r>
              <w:rPr>
                <w:rFonts w:hint="eastAsia"/>
                <w:color w:val="auto"/>
                <w:highlight w:val="none"/>
              </w:rPr>
              <w:t>）</w:t>
            </w:r>
          </w:p>
        </w:tc>
        <w:tc>
          <w:tcPr>
            <w:tcW w:w="1250" w:type="dxa"/>
            <w:gridSpan w:val="4"/>
          </w:tcPr>
          <w:p w14:paraId="4A6302E3">
            <w:pPr>
              <w:pStyle w:val="17"/>
              <w:bidi w:val="0"/>
              <w:rPr>
                <w:color w:val="auto"/>
                <w:highlight w:val="none"/>
              </w:rPr>
            </w:pPr>
            <w:r>
              <w:rPr>
                <w:rFonts w:hint="eastAsia"/>
                <w:color w:val="auto"/>
                <w:highlight w:val="none"/>
                <w:lang w:eastAsia="zh-CN"/>
              </w:rPr>
              <w:t>（</w:t>
            </w:r>
            <w:r>
              <w:rPr>
                <w:rFonts w:hint="eastAsia"/>
                <w:color w:val="auto"/>
                <w:highlight w:val="none"/>
              </w:rPr>
              <w:t>）</w:t>
            </w:r>
          </w:p>
        </w:tc>
        <w:tc>
          <w:tcPr>
            <w:tcW w:w="1249" w:type="dxa"/>
            <w:gridSpan w:val="3"/>
          </w:tcPr>
          <w:p w14:paraId="674F1430">
            <w:pPr>
              <w:pStyle w:val="17"/>
              <w:bidi w:val="0"/>
              <w:rPr>
                <w:color w:val="auto"/>
                <w:highlight w:val="none"/>
              </w:rPr>
            </w:pPr>
            <w:r>
              <w:rPr>
                <w:rFonts w:hint="eastAsia"/>
                <w:color w:val="auto"/>
                <w:highlight w:val="none"/>
                <w:lang w:eastAsia="zh-CN"/>
              </w:rPr>
              <w:t>（</w:t>
            </w:r>
            <w:r>
              <w:rPr>
                <w:rFonts w:hint="eastAsia"/>
                <w:color w:val="auto"/>
                <w:highlight w:val="none"/>
              </w:rPr>
              <w:t>）</w:t>
            </w:r>
          </w:p>
        </w:tc>
        <w:tc>
          <w:tcPr>
            <w:tcW w:w="1189" w:type="dxa"/>
            <w:gridSpan w:val="3"/>
          </w:tcPr>
          <w:p w14:paraId="46850E63">
            <w:pPr>
              <w:pStyle w:val="17"/>
              <w:bidi w:val="0"/>
              <w:rPr>
                <w:color w:val="auto"/>
                <w:highlight w:val="none"/>
              </w:rPr>
            </w:pPr>
            <w:r>
              <w:rPr>
                <w:rFonts w:hint="eastAsia"/>
                <w:color w:val="auto"/>
                <w:highlight w:val="none"/>
                <w:lang w:eastAsia="zh-CN"/>
              </w:rPr>
              <w:t>（</w:t>
            </w:r>
            <w:r>
              <w:rPr>
                <w:rFonts w:hint="eastAsia"/>
                <w:color w:val="auto"/>
                <w:highlight w:val="none"/>
              </w:rPr>
              <w:t>）</w:t>
            </w:r>
          </w:p>
        </w:tc>
        <w:tc>
          <w:tcPr>
            <w:tcW w:w="1310" w:type="dxa"/>
          </w:tcPr>
          <w:p w14:paraId="254C7B88">
            <w:pPr>
              <w:pStyle w:val="17"/>
              <w:bidi w:val="0"/>
              <w:rPr>
                <w:color w:val="auto"/>
                <w:highlight w:val="none"/>
              </w:rPr>
            </w:pPr>
            <w:r>
              <w:rPr>
                <w:rFonts w:hint="eastAsia"/>
                <w:color w:val="auto"/>
                <w:highlight w:val="none"/>
                <w:lang w:eastAsia="zh-CN"/>
              </w:rPr>
              <w:t>（</w:t>
            </w:r>
            <w:r>
              <w:rPr>
                <w:rFonts w:hint="eastAsia"/>
                <w:color w:val="auto"/>
                <w:highlight w:val="none"/>
              </w:rPr>
              <w:t>）</w:t>
            </w:r>
          </w:p>
        </w:tc>
      </w:tr>
      <w:tr w14:paraId="0B61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403DD1F8">
            <w:pPr>
              <w:pStyle w:val="17"/>
              <w:bidi w:val="0"/>
              <w:rPr>
                <w:color w:val="auto"/>
                <w:highlight w:val="none"/>
              </w:rPr>
            </w:pPr>
          </w:p>
        </w:tc>
        <w:tc>
          <w:tcPr>
            <w:tcW w:w="1106" w:type="dxa"/>
            <w:vAlign w:val="center"/>
          </w:tcPr>
          <w:p w14:paraId="64E71A16">
            <w:pPr>
              <w:pStyle w:val="17"/>
              <w:bidi w:val="0"/>
              <w:rPr>
                <w:color w:val="auto"/>
                <w:highlight w:val="none"/>
              </w:rPr>
            </w:pPr>
            <w:r>
              <w:rPr>
                <w:rFonts w:hint="eastAsia"/>
                <w:color w:val="auto"/>
                <w:highlight w:val="none"/>
              </w:rPr>
              <w:t>生态流量确定</w:t>
            </w:r>
          </w:p>
        </w:tc>
        <w:tc>
          <w:tcPr>
            <w:tcW w:w="6913" w:type="dxa"/>
            <w:gridSpan w:val="12"/>
            <w:vAlign w:val="center"/>
          </w:tcPr>
          <w:p w14:paraId="0F0BF74C">
            <w:pPr>
              <w:pStyle w:val="17"/>
              <w:bidi w:val="0"/>
              <w:rPr>
                <w:color w:val="auto"/>
                <w:highlight w:val="none"/>
              </w:rPr>
            </w:pPr>
            <w:r>
              <w:rPr>
                <w:rFonts w:hint="eastAsia"/>
                <w:color w:val="auto"/>
                <w:highlight w:val="none"/>
              </w:rPr>
              <w:t>生态流量：一般水期（ ）m</w:t>
            </w:r>
            <w:r>
              <w:rPr>
                <w:rFonts w:hint="eastAsia"/>
                <w:color w:val="auto"/>
                <w:highlight w:val="none"/>
                <w:vertAlign w:val="superscript"/>
              </w:rPr>
              <w:t>3</w:t>
            </w:r>
            <w:r>
              <w:rPr>
                <w:rFonts w:hint="eastAsia"/>
                <w:color w:val="auto"/>
                <w:highlight w:val="none"/>
              </w:rPr>
              <w:t>/s；鱼类繁殖期（ ）m</w:t>
            </w:r>
            <w:r>
              <w:rPr>
                <w:rFonts w:hint="eastAsia"/>
                <w:color w:val="auto"/>
                <w:highlight w:val="none"/>
                <w:vertAlign w:val="superscript"/>
              </w:rPr>
              <w:t>3</w:t>
            </w:r>
            <w:r>
              <w:rPr>
                <w:rFonts w:hint="eastAsia"/>
                <w:color w:val="auto"/>
                <w:highlight w:val="none"/>
              </w:rPr>
              <w:t>/s；其他（ ）m</w:t>
            </w:r>
            <w:r>
              <w:rPr>
                <w:rFonts w:hint="eastAsia"/>
                <w:color w:val="auto"/>
                <w:highlight w:val="none"/>
                <w:vertAlign w:val="superscript"/>
              </w:rPr>
              <w:t>3</w:t>
            </w:r>
            <w:r>
              <w:rPr>
                <w:rFonts w:hint="eastAsia"/>
                <w:color w:val="auto"/>
                <w:highlight w:val="none"/>
              </w:rPr>
              <w:t>/s生态水位：一般水期（ ）m；鱼类繁殖期（ ）m；其他（ ）m</w:t>
            </w:r>
          </w:p>
        </w:tc>
      </w:tr>
      <w:tr w14:paraId="0F37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restart"/>
            <w:vAlign w:val="center"/>
          </w:tcPr>
          <w:p w14:paraId="389B8F54">
            <w:pPr>
              <w:pStyle w:val="17"/>
              <w:bidi w:val="0"/>
              <w:rPr>
                <w:color w:val="auto"/>
                <w:highlight w:val="none"/>
              </w:rPr>
            </w:pPr>
            <w:r>
              <w:rPr>
                <w:rFonts w:hint="eastAsia"/>
                <w:color w:val="auto"/>
                <w:highlight w:val="none"/>
              </w:rPr>
              <w:t>防</w:t>
            </w:r>
          </w:p>
          <w:p w14:paraId="3E1D6707">
            <w:pPr>
              <w:pStyle w:val="17"/>
              <w:bidi w:val="0"/>
              <w:rPr>
                <w:color w:val="auto"/>
                <w:highlight w:val="none"/>
              </w:rPr>
            </w:pPr>
            <w:r>
              <w:rPr>
                <w:rFonts w:hint="eastAsia"/>
                <w:color w:val="auto"/>
                <w:highlight w:val="none"/>
              </w:rPr>
              <w:t>治</w:t>
            </w:r>
          </w:p>
          <w:p w14:paraId="59FB7D37">
            <w:pPr>
              <w:pStyle w:val="17"/>
              <w:bidi w:val="0"/>
              <w:rPr>
                <w:color w:val="auto"/>
                <w:highlight w:val="none"/>
              </w:rPr>
            </w:pPr>
            <w:r>
              <w:rPr>
                <w:rFonts w:hint="eastAsia"/>
                <w:color w:val="auto"/>
                <w:highlight w:val="none"/>
              </w:rPr>
              <w:t>措</w:t>
            </w:r>
          </w:p>
          <w:p w14:paraId="1F678190">
            <w:pPr>
              <w:pStyle w:val="17"/>
              <w:bidi w:val="0"/>
              <w:rPr>
                <w:color w:val="auto"/>
                <w:highlight w:val="none"/>
              </w:rPr>
            </w:pPr>
            <w:r>
              <w:rPr>
                <w:rFonts w:hint="eastAsia"/>
                <w:color w:val="auto"/>
                <w:highlight w:val="none"/>
              </w:rPr>
              <w:t>施</w:t>
            </w:r>
          </w:p>
        </w:tc>
        <w:tc>
          <w:tcPr>
            <w:tcW w:w="1106" w:type="dxa"/>
            <w:vAlign w:val="center"/>
          </w:tcPr>
          <w:p w14:paraId="71AEC54A">
            <w:pPr>
              <w:pStyle w:val="17"/>
              <w:bidi w:val="0"/>
              <w:rPr>
                <w:color w:val="auto"/>
                <w:highlight w:val="none"/>
              </w:rPr>
            </w:pPr>
            <w:r>
              <w:rPr>
                <w:rFonts w:hint="eastAsia"/>
                <w:color w:val="auto"/>
                <w:highlight w:val="none"/>
              </w:rPr>
              <w:t>环保措施</w:t>
            </w:r>
          </w:p>
        </w:tc>
        <w:tc>
          <w:tcPr>
            <w:tcW w:w="6913" w:type="dxa"/>
            <w:gridSpan w:val="12"/>
            <w:vAlign w:val="center"/>
          </w:tcPr>
          <w:p w14:paraId="7FF72F3C">
            <w:pPr>
              <w:pStyle w:val="17"/>
              <w:bidi w:val="0"/>
              <w:rPr>
                <w:color w:val="auto"/>
                <w:highlight w:val="none"/>
              </w:rPr>
            </w:pPr>
            <w:r>
              <w:rPr>
                <w:rFonts w:hint="eastAsia"/>
                <w:color w:val="auto"/>
                <w:highlight w:val="none"/>
              </w:rPr>
              <w:t>污水处理设施</w:t>
            </w:r>
            <w:r>
              <w:rPr>
                <w:rFonts w:hint="eastAsia"/>
                <w:color w:val="auto"/>
                <w:highlight w:val="none"/>
                <w:lang w:eastAsia="zh-CN"/>
              </w:rPr>
              <w:t>☑</w:t>
            </w:r>
            <w:r>
              <w:rPr>
                <w:rFonts w:hint="eastAsia"/>
                <w:color w:val="auto"/>
                <w:highlight w:val="none"/>
              </w:rPr>
              <w:t>；水文减缓设施□；生态流量保障设施□；区域削减□；依托其他工程措施□；其他□</w:t>
            </w:r>
          </w:p>
        </w:tc>
      </w:tr>
      <w:tr w14:paraId="719F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3DDA2AC9">
            <w:pPr>
              <w:pStyle w:val="17"/>
              <w:bidi w:val="0"/>
              <w:rPr>
                <w:color w:val="auto"/>
                <w:highlight w:val="none"/>
              </w:rPr>
            </w:pPr>
          </w:p>
        </w:tc>
        <w:tc>
          <w:tcPr>
            <w:tcW w:w="1106" w:type="dxa"/>
            <w:vMerge w:val="restart"/>
            <w:vAlign w:val="center"/>
          </w:tcPr>
          <w:p w14:paraId="4B8DA58D">
            <w:pPr>
              <w:pStyle w:val="17"/>
              <w:bidi w:val="0"/>
              <w:rPr>
                <w:color w:val="auto"/>
                <w:highlight w:val="none"/>
              </w:rPr>
            </w:pPr>
            <w:r>
              <w:rPr>
                <w:rFonts w:hint="eastAsia"/>
                <w:color w:val="auto"/>
                <w:highlight w:val="none"/>
              </w:rPr>
              <w:t>监测计划</w:t>
            </w:r>
          </w:p>
        </w:tc>
        <w:tc>
          <w:tcPr>
            <w:tcW w:w="2280" w:type="dxa"/>
            <w:gridSpan w:val="3"/>
            <w:vAlign w:val="center"/>
          </w:tcPr>
          <w:p w14:paraId="2CEC2485">
            <w:pPr>
              <w:pStyle w:val="17"/>
              <w:bidi w:val="0"/>
              <w:rPr>
                <w:color w:val="auto"/>
                <w:highlight w:val="none"/>
              </w:rPr>
            </w:pPr>
          </w:p>
        </w:tc>
        <w:tc>
          <w:tcPr>
            <w:tcW w:w="2316" w:type="dxa"/>
            <w:gridSpan w:val="6"/>
            <w:vAlign w:val="center"/>
          </w:tcPr>
          <w:p w14:paraId="74F1F7AA">
            <w:pPr>
              <w:pStyle w:val="17"/>
              <w:bidi w:val="0"/>
              <w:rPr>
                <w:color w:val="auto"/>
                <w:highlight w:val="none"/>
              </w:rPr>
            </w:pPr>
            <w:r>
              <w:rPr>
                <w:rFonts w:hint="eastAsia"/>
                <w:color w:val="auto"/>
                <w:highlight w:val="none"/>
              </w:rPr>
              <w:t>环境质量</w:t>
            </w:r>
          </w:p>
        </w:tc>
        <w:tc>
          <w:tcPr>
            <w:tcW w:w="2317" w:type="dxa"/>
            <w:gridSpan w:val="3"/>
            <w:vAlign w:val="center"/>
          </w:tcPr>
          <w:p w14:paraId="0B4239A9">
            <w:pPr>
              <w:pStyle w:val="17"/>
              <w:bidi w:val="0"/>
              <w:rPr>
                <w:color w:val="auto"/>
                <w:highlight w:val="none"/>
              </w:rPr>
            </w:pPr>
            <w:r>
              <w:rPr>
                <w:rFonts w:hint="eastAsia"/>
                <w:color w:val="auto"/>
                <w:highlight w:val="none"/>
              </w:rPr>
              <w:t>污染源</w:t>
            </w:r>
          </w:p>
        </w:tc>
      </w:tr>
      <w:tr w14:paraId="197F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2E7C09FF">
            <w:pPr>
              <w:pStyle w:val="17"/>
              <w:bidi w:val="0"/>
              <w:rPr>
                <w:color w:val="auto"/>
                <w:highlight w:val="none"/>
              </w:rPr>
            </w:pPr>
          </w:p>
        </w:tc>
        <w:tc>
          <w:tcPr>
            <w:tcW w:w="1106" w:type="dxa"/>
            <w:vMerge w:val="continue"/>
            <w:vAlign w:val="center"/>
          </w:tcPr>
          <w:p w14:paraId="7C0DDA62">
            <w:pPr>
              <w:pStyle w:val="17"/>
              <w:bidi w:val="0"/>
              <w:rPr>
                <w:color w:val="auto"/>
                <w:highlight w:val="none"/>
              </w:rPr>
            </w:pPr>
          </w:p>
        </w:tc>
        <w:tc>
          <w:tcPr>
            <w:tcW w:w="2280" w:type="dxa"/>
            <w:gridSpan w:val="3"/>
            <w:vAlign w:val="center"/>
          </w:tcPr>
          <w:p w14:paraId="2F8E76A5">
            <w:pPr>
              <w:pStyle w:val="17"/>
              <w:bidi w:val="0"/>
              <w:rPr>
                <w:color w:val="auto"/>
                <w:highlight w:val="none"/>
              </w:rPr>
            </w:pPr>
            <w:r>
              <w:rPr>
                <w:rFonts w:hint="eastAsia"/>
                <w:color w:val="auto"/>
                <w:highlight w:val="none"/>
              </w:rPr>
              <w:t>监测方式</w:t>
            </w:r>
          </w:p>
        </w:tc>
        <w:tc>
          <w:tcPr>
            <w:tcW w:w="2316" w:type="dxa"/>
            <w:gridSpan w:val="6"/>
            <w:vAlign w:val="center"/>
          </w:tcPr>
          <w:p w14:paraId="1588A582">
            <w:pPr>
              <w:pStyle w:val="17"/>
              <w:bidi w:val="0"/>
              <w:rPr>
                <w:color w:val="auto"/>
                <w:highlight w:val="none"/>
              </w:rPr>
            </w:pPr>
            <w:r>
              <w:rPr>
                <w:rFonts w:hint="eastAsia"/>
                <w:color w:val="auto"/>
                <w:highlight w:val="none"/>
              </w:rPr>
              <w:t>手动□；自动□；</w:t>
            </w:r>
          </w:p>
          <w:p w14:paraId="51995418">
            <w:pPr>
              <w:pStyle w:val="17"/>
              <w:bidi w:val="0"/>
              <w:rPr>
                <w:rFonts w:hint="eastAsia" w:eastAsia="宋体"/>
                <w:color w:val="auto"/>
                <w:highlight w:val="none"/>
                <w:lang w:eastAsia="zh-CN"/>
              </w:rPr>
            </w:pPr>
            <w:r>
              <w:rPr>
                <w:rFonts w:hint="eastAsia"/>
                <w:color w:val="auto"/>
                <w:highlight w:val="none"/>
              </w:rPr>
              <w:t>无监测□</w:t>
            </w:r>
          </w:p>
        </w:tc>
        <w:tc>
          <w:tcPr>
            <w:tcW w:w="2317" w:type="dxa"/>
            <w:gridSpan w:val="3"/>
            <w:vAlign w:val="center"/>
          </w:tcPr>
          <w:p w14:paraId="57B8BC08">
            <w:pPr>
              <w:pStyle w:val="17"/>
              <w:bidi w:val="0"/>
              <w:rPr>
                <w:color w:val="auto"/>
                <w:highlight w:val="none"/>
              </w:rPr>
            </w:pPr>
            <w:r>
              <w:rPr>
                <w:rFonts w:hint="eastAsia"/>
                <w:color w:val="auto"/>
                <w:highlight w:val="none"/>
              </w:rPr>
              <w:t>手动</w:t>
            </w:r>
            <w:r>
              <w:rPr>
                <w:color w:val="auto"/>
                <w:highlight w:val="none"/>
              </w:rPr>
              <w:t>☑</w:t>
            </w:r>
            <w:r>
              <w:rPr>
                <w:rFonts w:hint="eastAsia"/>
                <w:color w:val="auto"/>
                <w:highlight w:val="none"/>
              </w:rPr>
              <w:t>；自动□；</w:t>
            </w:r>
          </w:p>
          <w:p w14:paraId="6C5FFDA3">
            <w:pPr>
              <w:pStyle w:val="17"/>
              <w:bidi w:val="0"/>
              <w:rPr>
                <w:color w:val="auto"/>
                <w:highlight w:val="none"/>
              </w:rPr>
            </w:pPr>
            <w:r>
              <w:rPr>
                <w:rFonts w:hint="eastAsia"/>
                <w:color w:val="auto"/>
                <w:highlight w:val="none"/>
              </w:rPr>
              <w:t>无监测□</w:t>
            </w:r>
          </w:p>
        </w:tc>
      </w:tr>
      <w:tr w14:paraId="6B7F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538F3A90">
            <w:pPr>
              <w:pStyle w:val="17"/>
              <w:bidi w:val="0"/>
              <w:rPr>
                <w:color w:val="auto"/>
                <w:highlight w:val="none"/>
              </w:rPr>
            </w:pPr>
          </w:p>
        </w:tc>
        <w:tc>
          <w:tcPr>
            <w:tcW w:w="1106" w:type="dxa"/>
            <w:vMerge w:val="continue"/>
            <w:vAlign w:val="center"/>
          </w:tcPr>
          <w:p w14:paraId="63D2DCC8">
            <w:pPr>
              <w:pStyle w:val="17"/>
              <w:bidi w:val="0"/>
              <w:rPr>
                <w:color w:val="auto"/>
                <w:highlight w:val="none"/>
              </w:rPr>
            </w:pPr>
          </w:p>
        </w:tc>
        <w:tc>
          <w:tcPr>
            <w:tcW w:w="2280" w:type="dxa"/>
            <w:gridSpan w:val="3"/>
            <w:vAlign w:val="center"/>
          </w:tcPr>
          <w:p w14:paraId="3363F107">
            <w:pPr>
              <w:pStyle w:val="17"/>
              <w:bidi w:val="0"/>
              <w:rPr>
                <w:color w:val="auto"/>
                <w:highlight w:val="none"/>
              </w:rPr>
            </w:pPr>
            <w:r>
              <w:rPr>
                <w:rFonts w:hint="eastAsia"/>
                <w:color w:val="auto"/>
                <w:highlight w:val="none"/>
              </w:rPr>
              <w:t>监测点位</w:t>
            </w:r>
          </w:p>
        </w:tc>
        <w:tc>
          <w:tcPr>
            <w:tcW w:w="2316" w:type="dxa"/>
            <w:gridSpan w:val="6"/>
            <w:vAlign w:val="center"/>
          </w:tcPr>
          <w:p w14:paraId="3C98A932">
            <w:pPr>
              <w:pStyle w:val="17"/>
              <w:bidi w:val="0"/>
              <w:rPr>
                <w:color w:val="auto"/>
                <w:highlight w:val="none"/>
              </w:rPr>
            </w:pPr>
            <w:r>
              <w:rPr>
                <w:rFonts w:hint="eastAsia"/>
                <w:color w:val="auto"/>
                <w:highlight w:val="none"/>
                <w:lang w:eastAsia="zh-CN"/>
              </w:rPr>
              <w:t>（</w:t>
            </w:r>
            <w:r>
              <w:rPr>
                <w:rFonts w:hint="eastAsia"/>
                <w:color w:val="auto"/>
                <w:highlight w:val="none"/>
              </w:rPr>
              <w:t>）</w:t>
            </w:r>
          </w:p>
        </w:tc>
        <w:tc>
          <w:tcPr>
            <w:tcW w:w="2317" w:type="dxa"/>
            <w:gridSpan w:val="3"/>
            <w:vAlign w:val="center"/>
          </w:tcPr>
          <w:p w14:paraId="20EFED58">
            <w:pPr>
              <w:pStyle w:val="17"/>
              <w:bidi w:val="0"/>
              <w:rPr>
                <w:color w:val="auto"/>
                <w:highlight w:val="none"/>
              </w:rPr>
            </w:pPr>
            <w:r>
              <w:rPr>
                <w:rFonts w:hint="eastAsia"/>
                <w:color w:val="auto"/>
                <w:highlight w:val="none"/>
                <w:lang w:eastAsia="zh-CN"/>
              </w:rPr>
              <w:t>（</w:t>
            </w:r>
            <w:r>
              <w:rPr>
                <w:rFonts w:hint="eastAsia"/>
                <w:color w:val="auto"/>
                <w:highlight w:val="none"/>
              </w:rPr>
              <w:t>）</w:t>
            </w:r>
          </w:p>
        </w:tc>
      </w:tr>
      <w:tr w14:paraId="7E57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1E8A44A2">
            <w:pPr>
              <w:pStyle w:val="17"/>
              <w:bidi w:val="0"/>
              <w:rPr>
                <w:color w:val="auto"/>
                <w:highlight w:val="none"/>
              </w:rPr>
            </w:pPr>
          </w:p>
        </w:tc>
        <w:tc>
          <w:tcPr>
            <w:tcW w:w="1106" w:type="dxa"/>
            <w:vMerge w:val="continue"/>
            <w:vAlign w:val="center"/>
          </w:tcPr>
          <w:p w14:paraId="0F3B5049">
            <w:pPr>
              <w:pStyle w:val="17"/>
              <w:bidi w:val="0"/>
              <w:rPr>
                <w:color w:val="auto"/>
                <w:highlight w:val="none"/>
              </w:rPr>
            </w:pPr>
          </w:p>
        </w:tc>
        <w:tc>
          <w:tcPr>
            <w:tcW w:w="2280" w:type="dxa"/>
            <w:gridSpan w:val="3"/>
            <w:vAlign w:val="center"/>
          </w:tcPr>
          <w:p w14:paraId="35A08E2A">
            <w:pPr>
              <w:pStyle w:val="17"/>
              <w:bidi w:val="0"/>
              <w:rPr>
                <w:color w:val="auto"/>
                <w:highlight w:val="none"/>
              </w:rPr>
            </w:pPr>
            <w:r>
              <w:rPr>
                <w:rFonts w:hint="eastAsia"/>
                <w:color w:val="auto"/>
                <w:highlight w:val="none"/>
              </w:rPr>
              <w:t>监测因子</w:t>
            </w:r>
          </w:p>
        </w:tc>
        <w:tc>
          <w:tcPr>
            <w:tcW w:w="2316" w:type="dxa"/>
            <w:gridSpan w:val="6"/>
            <w:vAlign w:val="center"/>
          </w:tcPr>
          <w:p w14:paraId="17732EBF">
            <w:pPr>
              <w:pStyle w:val="17"/>
              <w:bidi w:val="0"/>
              <w:rPr>
                <w:color w:val="auto"/>
                <w:highlight w:val="none"/>
              </w:rPr>
            </w:pPr>
            <w:r>
              <w:rPr>
                <w:rFonts w:hint="eastAsia"/>
                <w:color w:val="auto"/>
                <w:highlight w:val="none"/>
                <w:lang w:eastAsia="zh-CN"/>
              </w:rPr>
              <w:t>（</w:t>
            </w:r>
            <w:r>
              <w:rPr>
                <w:rFonts w:hint="eastAsia"/>
                <w:color w:val="auto"/>
                <w:highlight w:val="none"/>
              </w:rPr>
              <w:t>）</w:t>
            </w:r>
          </w:p>
        </w:tc>
        <w:tc>
          <w:tcPr>
            <w:tcW w:w="2317" w:type="dxa"/>
            <w:gridSpan w:val="3"/>
            <w:vAlign w:val="center"/>
          </w:tcPr>
          <w:p w14:paraId="341DF990">
            <w:pPr>
              <w:pStyle w:val="17"/>
              <w:bidi w:val="0"/>
              <w:rPr>
                <w:color w:val="auto"/>
                <w:highlight w:val="none"/>
              </w:rPr>
            </w:pPr>
            <w:r>
              <w:rPr>
                <w:rFonts w:hint="eastAsia"/>
                <w:color w:val="auto"/>
                <w:highlight w:val="none"/>
                <w:lang w:eastAsia="zh-CN"/>
              </w:rPr>
              <w:t>（</w:t>
            </w:r>
            <w:r>
              <w:rPr>
                <w:rFonts w:hint="eastAsia"/>
                <w:color w:val="auto"/>
                <w:highlight w:val="none"/>
              </w:rPr>
              <w:t>）</w:t>
            </w:r>
          </w:p>
        </w:tc>
      </w:tr>
      <w:tr w14:paraId="0F03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3" w:type="dxa"/>
            <w:vMerge w:val="continue"/>
            <w:vAlign w:val="center"/>
          </w:tcPr>
          <w:p w14:paraId="76D42237">
            <w:pPr>
              <w:pStyle w:val="17"/>
              <w:bidi w:val="0"/>
              <w:rPr>
                <w:color w:val="auto"/>
                <w:highlight w:val="none"/>
              </w:rPr>
            </w:pPr>
          </w:p>
        </w:tc>
        <w:tc>
          <w:tcPr>
            <w:tcW w:w="1106" w:type="dxa"/>
            <w:vAlign w:val="center"/>
          </w:tcPr>
          <w:p w14:paraId="36052EC5">
            <w:pPr>
              <w:pStyle w:val="17"/>
              <w:bidi w:val="0"/>
              <w:rPr>
                <w:color w:val="auto"/>
                <w:highlight w:val="none"/>
              </w:rPr>
            </w:pPr>
            <w:r>
              <w:rPr>
                <w:rFonts w:hint="eastAsia"/>
                <w:color w:val="auto"/>
                <w:highlight w:val="none"/>
              </w:rPr>
              <w:t>污染物排放清单</w:t>
            </w:r>
          </w:p>
        </w:tc>
        <w:tc>
          <w:tcPr>
            <w:tcW w:w="6913" w:type="dxa"/>
            <w:gridSpan w:val="12"/>
            <w:vAlign w:val="center"/>
          </w:tcPr>
          <w:p w14:paraId="07A9239B">
            <w:pPr>
              <w:pStyle w:val="17"/>
              <w:bidi w:val="0"/>
              <w:rPr>
                <w:rFonts w:hint="eastAsia" w:eastAsia="宋体"/>
                <w:color w:val="auto"/>
                <w:highlight w:val="none"/>
                <w:lang w:eastAsia="zh-CN"/>
              </w:rPr>
            </w:pPr>
            <w:r>
              <w:rPr>
                <w:rFonts w:hint="eastAsia"/>
                <w:color w:val="auto"/>
                <w:highlight w:val="none"/>
              </w:rPr>
              <w:t>□</w:t>
            </w:r>
          </w:p>
        </w:tc>
      </w:tr>
      <w:tr w14:paraId="7FC1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09" w:type="dxa"/>
            <w:gridSpan w:val="2"/>
            <w:vAlign w:val="center"/>
          </w:tcPr>
          <w:p w14:paraId="7E4D9FDE">
            <w:pPr>
              <w:pStyle w:val="17"/>
              <w:bidi w:val="0"/>
              <w:rPr>
                <w:color w:val="auto"/>
                <w:highlight w:val="none"/>
              </w:rPr>
            </w:pPr>
            <w:r>
              <w:rPr>
                <w:rFonts w:hint="eastAsia"/>
                <w:color w:val="auto"/>
                <w:highlight w:val="none"/>
              </w:rPr>
              <w:t>评价结论</w:t>
            </w:r>
          </w:p>
        </w:tc>
        <w:tc>
          <w:tcPr>
            <w:tcW w:w="6913" w:type="dxa"/>
            <w:gridSpan w:val="12"/>
            <w:vAlign w:val="center"/>
          </w:tcPr>
          <w:p w14:paraId="7BB88D06">
            <w:pPr>
              <w:pStyle w:val="17"/>
              <w:bidi w:val="0"/>
              <w:rPr>
                <w:color w:val="auto"/>
                <w:highlight w:val="none"/>
              </w:rPr>
            </w:pPr>
            <w:r>
              <w:rPr>
                <w:rFonts w:hint="eastAsia"/>
                <w:color w:val="auto"/>
                <w:highlight w:val="none"/>
              </w:rPr>
              <w:t>可以接受</w:t>
            </w:r>
            <w:r>
              <w:rPr>
                <w:rFonts w:hint="eastAsia"/>
                <w:color w:val="auto"/>
                <w:highlight w:val="none"/>
                <w:lang w:eastAsia="zh-CN"/>
              </w:rPr>
              <w:t>☑</w:t>
            </w:r>
            <w:r>
              <w:rPr>
                <w:rFonts w:hint="eastAsia"/>
                <w:color w:val="auto"/>
                <w:highlight w:val="none"/>
              </w:rPr>
              <w:t>；不可以接受□</w:t>
            </w:r>
          </w:p>
        </w:tc>
      </w:tr>
      <w:tr w14:paraId="0A0B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522" w:type="dxa"/>
            <w:gridSpan w:val="14"/>
            <w:vAlign w:val="center"/>
          </w:tcPr>
          <w:p w14:paraId="22F6BE13">
            <w:pPr>
              <w:pStyle w:val="17"/>
              <w:bidi w:val="0"/>
              <w:rPr>
                <w:color w:val="auto"/>
                <w:highlight w:val="none"/>
              </w:rPr>
            </w:pPr>
            <w:r>
              <w:rPr>
                <w:rFonts w:hint="eastAsia"/>
                <w:color w:val="auto"/>
                <w:highlight w:val="none"/>
              </w:rPr>
              <w:t>注：“□”为勾选项，可√；“（ ）”为内容填写项；“备注”为其他补充内容。</w:t>
            </w:r>
          </w:p>
        </w:tc>
      </w:tr>
    </w:tbl>
    <w:p w14:paraId="47E172B6">
      <w:pPr>
        <w:pStyle w:val="6"/>
        <w:rPr>
          <w:color w:val="auto"/>
          <w:highlight w:val="none"/>
        </w:rPr>
      </w:pPr>
      <w:bookmarkStart w:id="661" w:name="_Toc14191"/>
      <w:bookmarkStart w:id="662" w:name="_Toc19875"/>
      <w:bookmarkStart w:id="663" w:name="_Toc26294"/>
      <w:r>
        <w:rPr>
          <w:rFonts w:hint="eastAsia"/>
          <w:color w:val="auto"/>
          <w:highlight w:val="none"/>
        </w:rPr>
        <w:t>5</w:t>
      </w:r>
      <w:r>
        <w:rPr>
          <w:color w:val="auto"/>
          <w:highlight w:val="none"/>
        </w:rPr>
        <w:t>.</w:t>
      </w:r>
      <w:r>
        <w:rPr>
          <w:rFonts w:hint="eastAsia"/>
          <w:color w:val="auto"/>
          <w:highlight w:val="none"/>
        </w:rPr>
        <w:t>2.3运营期地下水环境影响分析与评价</w:t>
      </w:r>
      <w:bookmarkEnd w:id="661"/>
      <w:bookmarkEnd w:id="662"/>
      <w:bookmarkEnd w:id="663"/>
    </w:p>
    <w:p w14:paraId="2AC5B6EB">
      <w:pPr>
        <w:pStyle w:val="7"/>
        <w:rPr>
          <w:color w:val="auto"/>
          <w:highlight w:val="none"/>
          <w:lang w:val="zh-CN"/>
        </w:rPr>
      </w:pPr>
      <w:r>
        <w:rPr>
          <w:color w:val="auto"/>
          <w:highlight w:val="none"/>
        </w:rPr>
        <w:t>5.2.3.1</w:t>
      </w:r>
      <w:r>
        <w:rPr>
          <w:color w:val="auto"/>
          <w:highlight w:val="none"/>
          <w:lang w:val="zh-CN"/>
        </w:rPr>
        <w:t>区域</w:t>
      </w:r>
      <w:r>
        <w:rPr>
          <w:rFonts w:hint="eastAsia"/>
          <w:color w:val="auto"/>
          <w:highlight w:val="none"/>
          <w:lang w:val="zh-CN"/>
        </w:rPr>
        <w:t>水文</w:t>
      </w:r>
      <w:r>
        <w:rPr>
          <w:color w:val="auto"/>
          <w:highlight w:val="none"/>
          <w:lang w:val="zh-CN"/>
        </w:rPr>
        <w:t>地质</w:t>
      </w:r>
      <w:r>
        <w:rPr>
          <w:rFonts w:hint="eastAsia"/>
          <w:color w:val="auto"/>
          <w:highlight w:val="none"/>
          <w:lang w:val="zh-CN"/>
        </w:rPr>
        <w:t>条件</w:t>
      </w:r>
    </w:p>
    <w:p w14:paraId="68CD3DD4">
      <w:pPr>
        <w:bidi w:val="0"/>
        <w:rPr>
          <w:rFonts w:hint="default"/>
          <w:color w:val="auto"/>
          <w:highlight w:val="none"/>
          <w:lang w:val="en-US" w:eastAsia="zh-CN"/>
        </w:rPr>
      </w:pPr>
      <w:r>
        <w:rPr>
          <w:rFonts w:hint="default"/>
          <w:color w:val="auto"/>
          <w:highlight w:val="none"/>
          <w:lang w:val="en-US" w:eastAsia="zh-CN"/>
        </w:rPr>
        <w:t>矿区位于阿尔金山中段北麓中山区水文地质单元，总体地势</w:t>
      </w:r>
      <w:r>
        <w:rPr>
          <w:rFonts w:hint="eastAsia"/>
          <w:color w:val="auto"/>
          <w:highlight w:val="none"/>
          <w:lang w:val="en-US" w:eastAsia="zh-CN"/>
        </w:rPr>
        <w:t>西南低、东北高</w:t>
      </w:r>
      <w:r>
        <w:rPr>
          <w:rFonts w:hint="default"/>
          <w:color w:val="auto"/>
          <w:highlight w:val="none"/>
          <w:lang w:val="en-US" w:eastAsia="zh-CN"/>
        </w:rPr>
        <w:t>，海拔高程2700</w:t>
      </w:r>
      <w:r>
        <w:rPr>
          <w:rFonts w:hint="eastAsia"/>
          <w:color w:val="auto"/>
          <w:highlight w:val="none"/>
          <w:lang w:val="en-US" w:eastAsia="zh-CN"/>
        </w:rPr>
        <w:t>～</w:t>
      </w:r>
      <w:r>
        <w:rPr>
          <w:rFonts w:hint="default"/>
          <w:color w:val="auto"/>
          <w:highlight w:val="none"/>
          <w:lang w:val="en-US" w:eastAsia="zh-CN"/>
        </w:rPr>
        <w:t>3300m，相对高差600m。在水文地质分区划为地下水的径流区，由新太古界-古元古界变质岩和新太古-古元古代变质古侵入体混合岩、中奥陶世二长花岗岩组成，若羌河上游支流-阿克苏河为常年流动的地表水体，沟谷发育。最低侵蚀基准面位处矿区西北边界上的阿克苏河床处，海拔高程2886.59m，是地表水流和地下水的汇水中心。</w:t>
      </w:r>
      <w:r>
        <w:rPr>
          <w:rFonts w:hint="eastAsia"/>
          <w:color w:val="auto"/>
          <w:highlight w:val="none"/>
          <w:lang w:val="en-US" w:eastAsia="zh-CN"/>
        </w:rPr>
        <w:t>矿区水文地质图详见4.1-1。</w:t>
      </w:r>
    </w:p>
    <w:p w14:paraId="2A69C2EB">
      <w:pPr>
        <w:bidi w:val="0"/>
        <w:rPr>
          <w:rFonts w:hint="default"/>
          <w:color w:val="auto"/>
          <w:highlight w:val="none"/>
          <w:lang w:val="en-US" w:eastAsia="zh-CN"/>
        </w:rPr>
      </w:pPr>
      <w:r>
        <w:rPr>
          <w:rFonts w:hint="default"/>
          <w:color w:val="auto"/>
          <w:highlight w:val="none"/>
          <w:lang w:val="en-US" w:eastAsia="zh-CN"/>
        </w:rPr>
        <w:t>（1）矿区所处区域水文地质单元位置</w:t>
      </w:r>
    </w:p>
    <w:p w14:paraId="715C71B8">
      <w:pPr>
        <w:bidi w:val="0"/>
        <w:rPr>
          <w:color w:val="auto"/>
          <w:highlight w:val="none"/>
        </w:rPr>
      </w:pPr>
      <w:r>
        <w:rPr>
          <w:rFonts w:hint="eastAsia"/>
          <w:color w:val="auto"/>
          <w:highlight w:val="none"/>
          <w:lang w:val="en-US" w:eastAsia="zh-CN"/>
        </w:rPr>
        <w:t>卡尔恰尔萤石矿矿区属阿中微地块地层小区，矿区内主要出露地层为新太古-古元古界阿尔金岩群a岩组（Ar3-Pt1Aa）变质岩、新太古-古元古代变质古侵入岩（Ar3-Pt1Ygni）、奥陶-泥盆纪侵入岩（O-DηγP）和第四系地层，地下水含水层系统和流动系统与区域特征基本一致。地貌属阿尔金山山脉中段北麓中高山区地貌，地势上表现为东高西低、南高北低，处在阿尔金山中段北麓中山区水文地质单元阿克苏河河谷上游，位于分水岭北侧。阿克苏河从矿区西南角穿过，自南向北径流，南部矿区边界流入河床海拔高程2900m，北部矿区边界流出，河床海拔高程 2886.59m，矿山总体开采顺序从浅部向深部开采，采矿范围标高+2450-地表（最高标高+3202.87m），分为一期和二期开采，一期开采浅部2900米以上矿体（已进行一期开采标高范围内的水文地质勘查），从下向上开采，一期最低开采标高几乎平行于最低侵蚀基准面，二期开采深部2900米以下的矿体，位于最低侵蚀基准面之下。总体上矿区处于水文地质单元的径流区，同时矿区地下水接受阿克苏河补给，补给程度中等。</w:t>
      </w:r>
    </w:p>
    <w:p w14:paraId="788B762E">
      <w:pPr>
        <w:bidi w:val="0"/>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2）地下水类型</w:t>
      </w:r>
    </w:p>
    <w:p w14:paraId="53167F5F">
      <w:pPr>
        <w:bidi w:val="0"/>
        <w:rPr>
          <w:rFonts w:hint="eastAsia"/>
          <w:color w:val="auto"/>
          <w:highlight w:val="none"/>
          <w:lang w:val="en-US" w:eastAsia="zh-CN"/>
        </w:rPr>
      </w:pPr>
      <w:r>
        <w:rPr>
          <w:rFonts w:hint="eastAsia"/>
          <w:color w:val="auto"/>
          <w:highlight w:val="none"/>
          <w:lang w:val="en-US" w:eastAsia="zh-CN"/>
        </w:rPr>
        <w:t>矿区西南角阿克苏河河谷两侧、南北2条季节性水流支沟被第四系覆盖，第四系厚度河谷中部向南北两侧逐渐变薄，南北2条季节性水流支沟向两侧坡脚、由西向东逐渐变薄，河水由南向北径流，沿径流方向第四系厚度变化不大，沟谷由东向西延伸，延伸方向第四系厚度由浅到厚。山体表层为第四系风成黄土及风化基岩，下伏新太古-古元古界阿尔金岩群a岩组（Ar3-Pt1Aa）变质岩、新太古-古元古代变质古侵入岩（Ar3-Pt1Ygni）、奥陶-泥盆纪侵入岩（O-DηγP）。矿区内地形起伏变化较大，区内地形地貌、第四系厚度、地层岩性等控制着地下水的补、径、排和赋存，主要分布第四系松散岩类孔隙水、块状岩类基岩裂隙水及断层水，随着其所处的地貌条件、岩性结构及补给条件的不同，其富水性、水质等均有相应的差异。</w:t>
      </w:r>
    </w:p>
    <w:p w14:paraId="7B2E1B9B">
      <w:pPr>
        <w:bidi w:val="0"/>
        <w:rPr>
          <w:rFonts w:hint="eastAsia"/>
          <w:color w:val="auto"/>
          <w:highlight w:val="none"/>
          <w:lang w:val="en-US" w:eastAsia="zh-CN"/>
        </w:rPr>
      </w:pPr>
      <w:r>
        <w:rPr>
          <w:rFonts w:hint="eastAsia"/>
          <w:color w:val="auto"/>
          <w:highlight w:val="none"/>
          <w:lang w:val="en-US" w:eastAsia="zh-CN"/>
        </w:rPr>
        <w:t>根据地下水的贮水类型及埋藏条件，将地下水划分为第四系松散岩类孔隙水、块状岩类基岩裂隙水、断层水。分述如下：</w:t>
      </w:r>
    </w:p>
    <w:p w14:paraId="02AB5DA0">
      <w:pPr>
        <w:bidi w:val="0"/>
        <w:rPr>
          <w:rFonts w:hint="eastAsia"/>
          <w:color w:val="auto"/>
          <w:highlight w:val="none"/>
          <w:lang w:val="en-US" w:eastAsia="zh-CN"/>
        </w:rPr>
      </w:pPr>
      <w:r>
        <w:rPr>
          <w:rFonts w:hint="eastAsia"/>
          <w:color w:val="auto"/>
          <w:highlight w:val="none"/>
          <w:lang w:val="en-US" w:eastAsia="zh-CN"/>
        </w:rPr>
        <w:t>①第四系松散岩类孔隙水</w:t>
      </w:r>
    </w:p>
    <w:p w14:paraId="2CE2902E">
      <w:pPr>
        <w:bidi w:val="0"/>
        <w:rPr>
          <w:rFonts w:hint="eastAsia"/>
          <w:color w:val="auto"/>
          <w:highlight w:val="none"/>
          <w:lang w:val="en-US" w:eastAsia="zh-CN"/>
        </w:rPr>
      </w:pPr>
      <w:r>
        <w:rPr>
          <w:rFonts w:hint="eastAsia"/>
          <w:color w:val="auto"/>
          <w:highlight w:val="none"/>
          <w:lang w:val="en-US" w:eastAsia="zh-CN"/>
        </w:rPr>
        <w:t>矿区内第四系地层厚度约0-76.4m，主要分布于阿克苏河床、河漫滩、南北沟谷及低洼地带，含水岩组主要为砂砾石、卵石、砾岩、角砾土，含水层厚薄不均，本次施工的水文地质勘探取芯孔，在0-76.4m勘探深度内，河谷东侧上部0.00-33.5m为细砂及卵石，下部33.5-76.4m为西域组固结半固结砾岩，含水层结构松散，孔隙较发育，含水层岩性主要为砂砾石、卵石和西域组固结半固结砾岩，属于强富水性含水层。</w:t>
      </w:r>
    </w:p>
    <w:p w14:paraId="1828A6D2">
      <w:pPr>
        <w:bidi w:val="0"/>
        <w:rPr>
          <w:rFonts w:hint="eastAsia"/>
          <w:color w:val="auto"/>
          <w:highlight w:val="none"/>
          <w:lang w:val="en-US" w:eastAsia="zh-CN"/>
        </w:rPr>
      </w:pPr>
      <w:r>
        <w:rPr>
          <w:rFonts w:hint="eastAsia"/>
          <w:color w:val="auto"/>
          <w:highlight w:val="none"/>
          <w:lang w:val="en-US" w:eastAsia="zh-CN"/>
        </w:rPr>
        <w:t>②块状岩类基岩裂隙水</w:t>
      </w:r>
    </w:p>
    <w:p w14:paraId="2EAA4795">
      <w:pPr>
        <w:bidi w:val="0"/>
        <w:rPr>
          <w:rFonts w:hint="eastAsia"/>
          <w:color w:val="auto"/>
          <w:highlight w:val="none"/>
          <w:lang w:val="en-US" w:eastAsia="zh-CN"/>
        </w:rPr>
      </w:pPr>
      <w:r>
        <w:rPr>
          <w:rFonts w:hint="eastAsia"/>
          <w:color w:val="auto"/>
          <w:highlight w:val="none"/>
          <w:lang w:val="en-US" w:eastAsia="zh-CN"/>
        </w:rPr>
        <w:t>新太古界-古元古界阿尔金岩群a岩组变质岩和新太古-古元古代混合岩、中奥陶世二长花岗岩裂隙潜水含水岩组分布于整个矿区，据钻孔揭露岩性主要为黑云斜长片麻岩、黑云二长片麻岩、花岗质二长片麻状混合岩、中细粒二长花岗岩、似斑状二长花岗岩。水位埋深17.4～185.5m远在风化裂隙带之下，属于构造裂隙水，裂隙之间沟通不好，属弱富水含水层。</w:t>
      </w:r>
    </w:p>
    <w:p w14:paraId="301A3374">
      <w:pPr>
        <w:bidi w:val="0"/>
        <w:rPr>
          <w:rFonts w:hint="eastAsia"/>
          <w:color w:val="auto"/>
          <w:highlight w:val="none"/>
          <w:lang w:val="en-US" w:eastAsia="zh-CN"/>
        </w:rPr>
      </w:pPr>
      <w:r>
        <w:rPr>
          <w:rFonts w:hint="eastAsia"/>
          <w:color w:val="auto"/>
          <w:highlight w:val="none"/>
          <w:lang w:val="en-US" w:eastAsia="zh-CN"/>
        </w:rPr>
        <w:t>③断层水矿区断层水</w:t>
      </w:r>
    </w:p>
    <w:p w14:paraId="1F746BDC">
      <w:pPr>
        <w:bidi w:val="0"/>
        <w:rPr>
          <w:color w:val="auto"/>
          <w:highlight w:val="none"/>
        </w:rPr>
      </w:pPr>
      <w:r>
        <w:rPr>
          <w:rFonts w:hint="eastAsia"/>
          <w:color w:val="auto"/>
          <w:highlight w:val="none"/>
          <w:lang w:val="en-US" w:eastAsia="zh-CN"/>
        </w:rPr>
        <w:t>主要赋存在F1、F2断层。F1断层属韧性剪切断裂，分布在矿区南侧，属于斜断裂（韧性剪切带），断裂延伸长度5600m，两端延出矿区，往西在矿区外交汇于F2断裂。构造带宽度16～53m，近东西向-北东向展布，大部分地段覆盖第四系洪冲积物，覆盖区长度4600m，西段和东段部分出露地表。断裂近东西向延伸，倾向7～358°，倾角76～83°，东段为北东东向，倾向326～334°，倾角76～78°。构造三角面发育，岩石挤压变形特征明显。构造表现形式为韧性剪切变形糜棱岩带，断裂通过处岩石多具糜棱结构，挤压扭曲形变强烈，构造片理发育强，在断层东段出露地表地段，断裂裂隙中为钙质胶结充填。F2断层属复合型断裂：分布在矿区北侧，属卡尔恰尔-阔实区域性断裂带派生的复合型断裂，活动时间长，经历了逆冲挤压、左行走滑、右行走滑、脆性变形的构造演化过程，断裂规模大，延伸长度6800m以上，呈北东东向延出矿区，破碎带宽度50～70m，走向N62～76°E，倾向146～178°，陡倾，倾角68～77°。西段在矿区外与F1交汇。构造性质为压扭性逆冲斜断裂，南盘（上盘）上升，北盘（下盘）下降，表现出逆冲韧脆性构造变形特点。沿断裂发育压性结构面，脉体及岩石有揉曲褶皱现象。F1断层靠近东侧矿区基本无水，靠近阿克苏河的钻孔为中等富水。F2断层靠近东侧矿区钻孔为弱富水性，靠近阿克苏河中等富水。断层靠近阿克苏河地段富水性强于断层东侧矿区地段。</w:t>
      </w:r>
    </w:p>
    <w:p w14:paraId="1D715BEB">
      <w:pPr>
        <w:bidi w:val="0"/>
        <w:rPr>
          <w:color w:val="auto"/>
          <w:highlight w:val="none"/>
        </w:rPr>
      </w:pPr>
      <w:r>
        <w:rPr>
          <w:rFonts w:hint="eastAsia"/>
          <w:color w:val="auto"/>
          <w:highlight w:val="none"/>
          <w:lang w:eastAsia="zh-CN"/>
        </w:rPr>
        <w:t>（</w:t>
      </w:r>
      <w:r>
        <w:rPr>
          <w:rFonts w:hint="eastAsia"/>
          <w:color w:val="auto"/>
          <w:highlight w:val="none"/>
          <w:lang w:val="en-US" w:eastAsia="zh-CN"/>
        </w:rPr>
        <w:t>3）矿区地下水补、径、排条件</w:t>
      </w:r>
    </w:p>
    <w:p w14:paraId="2CD5A26D">
      <w:pPr>
        <w:bidi w:val="0"/>
        <w:rPr>
          <w:rFonts w:hint="eastAsia"/>
          <w:color w:val="auto"/>
          <w:highlight w:val="none"/>
          <w:lang w:val="en-US" w:eastAsia="zh-CN"/>
        </w:rPr>
      </w:pPr>
      <w:r>
        <w:rPr>
          <w:rFonts w:hint="eastAsia"/>
          <w:color w:val="auto"/>
          <w:highlight w:val="none"/>
          <w:lang w:val="en-US" w:eastAsia="zh-CN"/>
        </w:rPr>
        <w:t>①第四系松散岩类孔隙潜水补、径、排条件</w:t>
      </w:r>
    </w:p>
    <w:p w14:paraId="70B60F32">
      <w:pPr>
        <w:bidi w:val="0"/>
        <w:rPr>
          <w:rFonts w:hint="eastAsia"/>
          <w:color w:val="auto"/>
          <w:highlight w:val="none"/>
          <w:lang w:val="en-US" w:eastAsia="zh-CN"/>
        </w:rPr>
      </w:pPr>
      <w:r>
        <w:rPr>
          <w:rFonts w:hint="eastAsia"/>
          <w:color w:val="auto"/>
          <w:highlight w:val="none"/>
          <w:lang w:val="en-US" w:eastAsia="zh-CN"/>
        </w:rPr>
        <w:t>阿克苏河为常年流动的地表水流，夏季大气降水及冰雪融水形成季节性地表水流，河水和季节性水流补给地下水，地下水与地表水之间存在水力联系。矿区阿克苏河谷第四系潜水，主要接受阿克苏河水入渗补给。河谷潜水一部分由东南向西北、由高到低径流，在矿区西北边界排泄流出矿区；一部分则通过地表蒸发的方式排泄。</w:t>
      </w:r>
    </w:p>
    <w:p w14:paraId="612EE72E">
      <w:pPr>
        <w:bidi w:val="0"/>
        <w:rPr>
          <w:rFonts w:hint="eastAsia"/>
          <w:color w:val="auto"/>
          <w:highlight w:val="none"/>
          <w:lang w:val="en-US" w:eastAsia="zh-CN"/>
        </w:rPr>
      </w:pPr>
      <w:r>
        <w:rPr>
          <w:rFonts w:hint="eastAsia"/>
          <w:color w:val="auto"/>
          <w:highlight w:val="none"/>
          <w:lang w:val="en-US" w:eastAsia="zh-CN"/>
        </w:rPr>
        <w:t>②块状岩类基岩裂隙水补、径、排条件</w:t>
      </w:r>
    </w:p>
    <w:p w14:paraId="44785F28">
      <w:pPr>
        <w:bidi w:val="0"/>
        <w:rPr>
          <w:rFonts w:hint="eastAsia"/>
          <w:color w:val="auto"/>
          <w:highlight w:val="none"/>
          <w:lang w:val="en-US" w:eastAsia="zh-CN"/>
        </w:rPr>
      </w:pPr>
      <w:r>
        <w:rPr>
          <w:rFonts w:hint="eastAsia"/>
          <w:color w:val="auto"/>
          <w:highlight w:val="none"/>
          <w:lang w:val="en-US" w:eastAsia="zh-CN"/>
        </w:rPr>
        <w:t>基岩裂隙水接受流域范围内及其周边大气降水、冰雪融水入渗补给；分布在阿克苏河谷的第四系潜水含水层与基岩裂隙含水层之间无隔水层，第四系含水层直接与阿尔金岩群变质岩和岩浆岩接触，沿裂隙补给地下水，发生水力联系；矿区基岩裂隙水还接受上游地下水径流补给、侧向补给。基岩裂隙水主要受地形控制整体上由东向西、由南向北径流，最终流出矿区。未来矿山开采地下水疏干是区内地下水排泄的主要方式。</w:t>
      </w:r>
    </w:p>
    <w:p w14:paraId="56DEC856">
      <w:pPr>
        <w:bidi w:val="0"/>
        <w:rPr>
          <w:rFonts w:hint="eastAsia"/>
          <w:color w:val="auto"/>
          <w:highlight w:val="none"/>
          <w:lang w:val="en-US" w:eastAsia="zh-CN"/>
        </w:rPr>
      </w:pPr>
      <w:r>
        <w:rPr>
          <w:rFonts w:hint="eastAsia"/>
          <w:color w:val="auto"/>
          <w:highlight w:val="none"/>
          <w:lang w:val="en-US" w:eastAsia="zh-CN"/>
        </w:rPr>
        <w:t>③断层水补、径、排条件</w:t>
      </w:r>
    </w:p>
    <w:p w14:paraId="54B8C887">
      <w:pPr>
        <w:bidi w:val="0"/>
        <w:rPr>
          <w:rFonts w:hint="eastAsia"/>
          <w:color w:val="auto"/>
          <w:highlight w:val="none"/>
          <w:lang w:val="en-US" w:eastAsia="zh-CN"/>
        </w:rPr>
      </w:pPr>
      <w:r>
        <w:rPr>
          <w:rFonts w:hint="eastAsia"/>
          <w:color w:val="auto"/>
          <w:highlight w:val="none"/>
          <w:lang w:val="en-US" w:eastAsia="zh-CN"/>
        </w:rPr>
        <w:t>1、F2断层补给-径流-排泄分析</w:t>
      </w:r>
    </w:p>
    <w:p w14:paraId="6B717C3F">
      <w:pPr>
        <w:bidi w:val="0"/>
        <w:rPr>
          <w:rFonts w:hint="eastAsia"/>
          <w:color w:val="auto"/>
          <w:highlight w:val="none"/>
          <w:lang w:val="en-US" w:eastAsia="zh-CN"/>
        </w:rPr>
      </w:pPr>
      <w:r>
        <w:rPr>
          <w:rFonts w:hint="eastAsia"/>
          <w:color w:val="auto"/>
          <w:highlight w:val="none"/>
          <w:lang w:val="en-US" w:eastAsia="zh-CN"/>
        </w:rPr>
        <w:t>F2断层自身渗透性极差～较差（中、东部K=0.0001～0.0099m/d；西部河谷SWK3：K=0.0170m/d），难以直接接受大气降水或地表水的有效补给。F2断层主要接受侧向来自深部矿床水的微弱越流补给。F2断层水径流极缓慢，极低的涌水量和渗透系数表明，F2断层带内部的地下水径流近乎，仅存在微弱定向流动，从西向东，溶解性总固体和同位素值略有降低，指示存在一个极其缓慢的、自西向东的微弱径流，可能是深部水在压力驱动下的缓慢迁移。F2断层水排泄方式：微弱泄入相邻含水层：东端可能以越流形式微弱排泄至相邻的、水位更低的第四系含水层。</w:t>
      </w:r>
    </w:p>
    <w:p w14:paraId="50D0D717">
      <w:pPr>
        <w:bidi w:val="0"/>
        <w:rPr>
          <w:rFonts w:hint="eastAsia"/>
          <w:color w:val="auto"/>
          <w:highlight w:val="none"/>
          <w:lang w:val="en-US" w:eastAsia="zh-CN"/>
        </w:rPr>
      </w:pPr>
      <w:r>
        <w:rPr>
          <w:rFonts w:hint="eastAsia"/>
          <w:color w:val="auto"/>
          <w:highlight w:val="none"/>
          <w:lang w:val="en-US" w:eastAsia="zh-CN"/>
        </w:rPr>
        <w:t>2、F1断层补给-径流-排泄分析</w:t>
      </w:r>
    </w:p>
    <w:p w14:paraId="5A331E22">
      <w:pPr>
        <w:bidi w:val="0"/>
        <w:rPr>
          <w:color w:val="auto"/>
          <w:highlight w:val="none"/>
        </w:rPr>
      </w:pPr>
      <w:r>
        <w:rPr>
          <w:rFonts w:hint="eastAsia"/>
          <w:color w:val="auto"/>
          <w:highlight w:val="none"/>
          <w:lang w:val="en-US" w:eastAsia="zh-CN"/>
        </w:rPr>
        <w:t>F1断层补给来源多样且充沛，在山区出露段接受降水入渗，在阿克苏河等地表水在流经断层时发生强烈渗漏补给，这是其最重要的补给来源之一。F1 断层与第四系含水层连通性好，接受其侧向补给。F1断层东段溶解性总固体高，表明也接受深部高矿化水的补给。F1断层径流空间分异极大：西段为强径流带：高涌水量、较高渗透系数、低溶解性总固体，表明地下水径流畅通，流速快。东段为弱径流带：涌水量小，溶解性总固体高，表明向东径流受阻，流速缓慢，趋于滞留。主导径流方向总体表现为自西向东的径流，但在东段能量迅速衰减。F1 断层水排泄方式集中且量大：一旦巷道揭露其强径流段，将产生大规模、稳定的涌水（&gt;1100m³/d）。F1断层水还向下游河谷排泄：未受采矿扰动时，断层水会继续向东径流，最终排泄至下游河谷。F1断层是一个强排泄通道，尤其是通过人工揭露，其排泄量远大于天然状态。</w:t>
      </w:r>
    </w:p>
    <w:p w14:paraId="4A629636">
      <w:pPr>
        <w:bidi w:val="0"/>
        <w:rPr>
          <w:color w:val="auto"/>
          <w:highlight w:val="none"/>
        </w:rPr>
      </w:pPr>
      <w:r>
        <w:rPr>
          <w:rFonts w:hint="eastAsia"/>
          <w:color w:val="auto"/>
          <w:highlight w:val="none"/>
          <w:lang w:eastAsia="zh-CN"/>
        </w:rPr>
        <w:t>（</w:t>
      </w:r>
      <w:r>
        <w:rPr>
          <w:rFonts w:hint="eastAsia"/>
          <w:color w:val="auto"/>
          <w:highlight w:val="none"/>
          <w:lang w:val="en-US" w:eastAsia="zh-CN"/>
        </w:rPr>
        <w:t>4）断层水与主要矿体的水力联系</w:t>
      </w:r>
    </w:p>
    <w:p w14:paraId="0CA13165">
      <w:pPr>
        <w:bidi w:val="0"/>
        <w:rPr>
          <w:color w:val="auto"/>
          <w:highlight w:val="none"/>
        </w:rPr>
      </w:pPr>
      <w:r>
        <w:rPr>
          <w:rFonts w:hint="eastAsia"/>
          <w:color w:val="auto"/>
          <w:highlight w:val="none"/>
          <w:lang w:val="en-US" w:eastAsia="zh-CN"/>
        </w:rPr>
        <w:t>根据地质勘察资料，F1断层为韧性剪切断裂，断裂为压性断裂，断层东侧富水性差，钻孔多为干孔或有极少量的地下水，为弱富水性含水层，靠近阿克苏河地段中等富水含水层。</w:t>
      </w:r>
    </w:p>
    <w:p w14:paraId="2CCC4CCA">
      <w:pPr>
        <w:bidi w:val="0"/>
        <w:rPr>
          <w:color w:val="auto"/>
          <w:highlight w:val="none"/>
        </w:rPr>
      </w:pPr>
      <w:r>
        <w:rPr>
          <w:rFonts w:hint="eastAsia"/>
          <w:color w:val="auto"/>
          <w:highlight w:val="none"/>
          <w:lang w:val="en-US" w:eastAsia="zh-CN"/>
        </w:rPr>
        <w:t>F2断层为复合型断裂，F2断层在东侧地段弱富水或为相对隔水。F2断层东侧为弱富水性含水层，在靠近阿克苏河的地段为中等富水含水层。阿克苏河与第四系地下水存在一定的相互水力联系，阿克苏河与基岩裂隙水无直接水力联系，第四系地下水与基岩裂隙水水力联系相对较弱。F1断层靠近阿克苏河一侧接受河水入渗补给，东侧水力联系微弱；F2断层与河水无直接联系。</w:t>
      </w:r>
    </w:p>
    <w:p w14:paraId="53592398">
      <w:pPr>
        <w:bidi w:val="0"/>
        <w:rPr>
          <w:rFonts w:hint="default"/>
          <w:color w:val="auto"/>
          <w:highlight w:val="none"/>
          <w:lang w:val="en-US" w:eastAsia="zh-CN"/>
        </w:rPr>
      </w:pPr>
      <w:r>
        <w:rPr>
          <w:rFonts w:hint="eastAsia"/>
          <w:color w:val="auto"/>
          <w:highlight w:val="none"/>
          <w:lang w:val="en-US" w:eastAsia="zh-CN"/>
        </w:rPr>
        <w:t>本区矿床距离断层带有一定距离，矿区断层与主要矿体之间为有厚层相对隔水的围岩，断层水与矿体的水力联系较弱。</w:t>
      </w:r>
    </w:p>
    <w:p w14:paraId="37A1E576">
      <w:pPr>
        <w:pStyle w:val="7"/>
        <w:bidi w:val="0"/>
        <w:rPr>
          <w:color w:val="auto"/>
          <w:highlight w:val="none"/>
          <w:lang w:val="zh-CN"/>
        </w:rPr>
      </w:pPr>
      <w:r>
        <w:rPr>
          <w:color w:val="auto"/>
          <w:highlight w:val="none"/>
        </w:rPr>
        <w:t>5.2.3.</w:t>
      </w:r>
      <w:r>
        <w:rPr>
          <w:rFonts w:hint="eastAsia"/>
          <w:color w:val="auto"/>
          <w:highlight w:val="none"/>
          <w:lang w:val="en-US" w:eastAsia="zh-CN"/>
        </w:rPr>
        <w:t>2</w:t>
      </w:r>
      <w:r>
        <w:rPr>
          <w:color w:val="auto"/>
          <w:highlight w:val="none"/>
        </w:rPr>
        <w:t>地下水环境影响预测与评价</w:t>
      </w:r>
    </w:p>
    <w:p w14:paraId="18FDFDDC">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本工程属于《环境影响评价技术导则 地下水环境》（HJ610-2016）附录A地下水环境影响评价行业分类表中的“J非金属采选及制品制造”中“57石棉及其他非金属采选”类，确定本工程所属的尾矿库地下水环境影响评价项目类别为Ⅲ类，地下水环境影响评价级别为三级。地下水三级评价采用解析解或类比法进行污染预测。本次采取解析解进行预测。</w:t>
      </w:r>
    </w:p>
    <w:p w14:paraId="76C1D0DE">
      <w:pPr>
        <w:bidi w:val="0"/>
        <w:rPr>
          <w:rFonts w:hint="default"/>
          <w:color w:val="auto"/>
          <w:highlight w:val="none"/>
          <w:lang w:val="en-US" w:eastAsia="zh-CN"/>
        </w:rPr>
      </w:pPr>
      <w:r>
        <w:rPr>
          <w:rFonts w:hint="default"/>
          <w:color w:val="auto"/>
          <w:highlight w:val="none"/>
          <w:lang w:val="en-US" w:eastAsia="zh-CN"/>
        </w:rPr>
        <w:t>本次模拟预测，根据污染风险分析的情景设计，在选定优先控制污染物的基础上，分别对地下水污染物在不同时段的运移距离、超标范围进行模拟预测，污染情景的源强数据通过工程分析类比调查予以确定。</w:t>
      </w:r>
    </w:p>
    <w:p w14:paraId="384BABBC">
      <w:pPr>
        <w:bidi w:val="0"/>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default"/>
          <w:color w:val="auto"/>
          <w:highlight w:val="none"/>
          <w:lang w:val="en-US" w:eastAsia="zh-CN"/>
        </w:rPr>
        <w:t>预测情景及预测因子</w:t>
      </w:r>
    </w:p>
    <w:p w14:paraId="4A333855">
      <w:pPr>
        <w:bidi w:val="0"/>
        <w:rPr>
          <w:rFonts w:hint="default"/>
          <w:color w:val="auto"/>
          <w:highlight w:val="none"/>
          <w:lang w:val="en-US" w:eastAsia="zh-CN"/>
        </w:rPr>
      </w:pPr>
      <w:r>
        <w:rPr>
          <w:rFonts w:hint="default"/>
          <w:color w:val="auto"/>
          <w:highlight w:val="none"/>
          <w:lang w:val="en-US" w:eastAsia="zh-CN"/>
        </w:rPr>
        <w:t>①影响途径</w:t>
      </w:r>
    </w:p>
    <w:p w14:paraId="5D8D97F9">
      <w:pPr>
        <w:bidi w:val="0"/>
        <w:rPr>
          <w:rFonts w:hint="eastAsia"/>
          <w:color w:val="auto"/>
          <w:highlight w:val="none"/>
          <w:lang w:val="en-US" w:eastAsia="zh-CN"/>
        </w:rPr>
      </w:pPr>
      <w:r>
        <w:rPr>
          <w:rFonts w:hint="eastAsia"/>
          <w:color w:val="auto"/>
          <w:highlight w:val="none"/>
          <w:lang w:val="en-US" w:eastAsia="zh-CN"/>
        </w:rPr>
        <w:t>本项目选矿工序产生的尾矿砂输送至尾矿浓缩车间，经浓缩处理至质量浓度 35% 后，输送至露天尾矿暂存库堆存；库内澄清水通过浮船泵站回抽至选厂生产系统循环回用。尾矿库储存含尾矿废水，一旦发生尾矿废水泄漏，废水会进入周边土壤、地表水体及地下水环境，进而造成土壤污染与水环境损害。</w:t>
      </w:r>
    </w:p>
    <w:p w14:paraId="49154BFD">
      <w:pPr>
        <w:bidi w:val="0"/>
        <w:rPr>
          <w:rFonts w:hint="eastAsia"/>
          <w:color w:val="auto"/>
          <w:highlight w:val="none"/>
          <w:lang w:val="en-US" w:eastAsia="zh-CN"/>
        </w:rPr>
      </w:pPr>
      <w:r>
        <w:rPr>
          <w:rFonts w:hint="eastAsia"/>
          <w:color w:val="auto"/>
          <w:highlight w:val="none"/>
          <w:lang w:val="en-US" w:eastAsia="zh-CN"/>
        </w:rPr>
        <w:t>本项目尾矿库占地面积大，库区防渗层若出现小范围破损，隐蔽性较强，日常巡检过程中不易及时识别发现，破损位置尾矿库内废水将持续向下入渗，对区域地下水环境造成影响。结合项目特点及环境风险识别结果，本次地下水环境影响评价重点</w:t>
      </w:r>
      <w:r>
        <w:rPr>
          <w:rFonts w:ascii="宋体" w:hAnsi="宋体" w:eastAsia="宋体" w:cs="宋体"/>
          <w:color w:val="auto"/>
          <w:sz w:val="24"/>
          <w:szCs w:val="24"/>
          <w:highlight w:val="none"/>
        </w:rPr>
        <w:t>预测</w:t>
      </w:r>
      <w:r>
        <w:rPr>
          <w:rFonts w:hint="eastAsia" w:ascii="宋体" w:hAnsi="宋体" w:cs="宋体"/>
          <w:color w:val="auto"/>
          <w:sz w:val="24"/>
          <w:szCs w:val="24"/>
          <w:highlight w:val="none"/>
          <w:lang w:val="en-US" w:eastAsia="zh-CN"/>
        </w:rPr>
        <w:t>库区防渗层破损，尾矿库内废水下渗</w:t>
      </w:r>
      <w:r>
        <w:rPr>
          <w:rFonts w:ascii="宋体" w:hAnsi="宋体" w:eastAsia="宋体" w:cs="宋体"/>
          <w:color w:val="auto"/>
          <w:sz w:val="24"/>
          <w:szCs w:val="24"/>
          <w:highlight w:val="none"/>
        </w:rPr>
        <w:t>对地下水产生的影响。</w:t>
      </w:r>
    </w:p>
    <w:p w14:paraId="2EDD723E">
      <w:pPr>
        <w:bidi w:val="0"/>
        <w:rPr>
          <w:rFonts w:hint="default"/>
          <w:color w:val="auto"/>
          <w:highlight w:val="none"/>
          <w:lang w:val="en-US" w:eastAsia="zh-CN"/>
        </w:rPr>
      </w:pPr>
      <w:r>
        <w:rPr>
          <w:rFonts w:hint="default"/>
          <w:color w:val="auto"/>
          <w:highlight w:val="none"/>
          <w:lang w:val="en-US" w:eastAsia="zh-CN"/>
        </w:rPr>
        <w:t>②污染因子及浓度确定</w:t>
      </w:r>
    </w:p>
    <w:p w14:paraId="611BED20">
      <w:pPr>
        <w:keepNext w:val="0"/>
        <w:keepLines w:val="0"/>
        <w:pageBreakBefore w:val="0"/>
        <w:widowControl w:val="0"/>
        <w:kinsoku/>
        <w:wordWrap/>
        <w:overflowPunct/>
        <w:topLinePunct w:val="0"/>
        <w:bidi w:val="0"/>
        <w:snapToGrid/>
        <w:spacing w:line="480" w:lineRule="exact"/>
        <w:ind w:left="0" w:leftChars="0" w:right="0" w:rightChars="0" w:firstLine="480" w:firstLineChars="200"/>
        <w:jc w:val="both"/>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本次环评污染物源强采取最不利情况，即浓度较大</w:t>
      </w:r>
      <w:r>
        <w:rPr>
          <w:rFonts w:hint="default" w:ascii="Times New Roman" w:hAnsi="Times New Roman" w:eastAsia="宋体" w:cs="Times New Roman"/>
          <w:color w:val="auto"/>
          <w:sz w:val="24"/>
          <w:highlight w:val="none"/>
          <w:lang w:val="en-US" w:eastAsia="zh-CN"/>
        </w:rPr>
        <w:t>且危害较大</w:t>
      </w:r>
      <w:r>
        <w:rPr>
          <w:rFonts w:hint="eastAsia"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污染因子的浓度作为预测浓度</w:t>
      </w:r>
      <w:r>
        <w:rPr>
          <w:rFonts w:hint="eastAsia" w:ascii="Times New Roman" w:hAnsi="Times New Roman" w:cs="Times New Roman"/>
          <w:color w:val="auto"/>
          <w:sz w:val="24"/>
          <w:highlight w:val="none"/>
          <w:lang w:eastAsia="zh-CN"/>
        </w:rPr>
        <w:t>，根据固废浸出毒性监测报告确定</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本项目</w:t>
      </w:r>
      <w:r>
        <w:rPr>
          <w:rFonts w:hint="eastAsia" w:cs="Times New Roman"/>
          <w:color w:val="auto"/>
          <w:sz w:val="24"/>
          <w:highlight w:val="none"/>
          <w:lang w:val="en-US" w:eastAsia="zh-CN"/>
        </w:rPr>
        <w:t>尾矿</w:t>
      </w:r>
      <w:r>
        <w:rPr>
          <w:rFonts w:hint="eastAsia" w:ascii="Times New Roman" w:hAnsi="Times New Roman" w:eastAsia="宋体" w:cs="Times New Roman"/>
          <w:color w:val="auto"/>
          <w:sz w:val="24"/>
          <w:highlight w:val="none"/>
          <w:lang w:val="en-US" w:eastAsia="zh-CN"/>
        </w:rPr>
        <w:t>浸出液</w:t>
      </w:r>
      <w:r>
        <w:rPr>
          <w:rFonts w:hint="default" w:ascii="Times New Roman" w:hAnsi="Times New Roman" w:eastAsia="宋体" w:cs="Times New Roman"/>
          <w:color w:val="auto"/>
          <w:sz w:val="24"/>
          <w:highlight w:val="none"/>
          <w:lang w:val="en-US" w:eastAsia="zh-CN"/>
        </w:rPr>
        <w:t>中含有</w:t>
      </w:r>
      <w:r>
        <w:rPr>
          <w:rFonts w:hint="eastAsia" w:cs="Times New Roman"/>
          <w:color w:val="auto"/>
          <w:sz w:val="24"/>
          <w:highlight w:val="none"/>
          <w:lang w:val="en-US" w:eastAsia="zh-CN"/>
        </w:rPr>
        <w:t>镉、</w:t>
      </w:r>
      <w:r>
        <w:rPr>
          <w:rFonts w:hint="eastAsia" w:ascii="Times New Roman" w:hAnsi="Times New Roman" w:eastAsia="宋体" w:cs="Times New Roman"/>
          <w:color w:val="auto"/>
          <w:sz w:val="24"/>
          <w:highlight w:val="none"/>
          <w:lang w:val="en-US" w:eastAsia="zh-CN"/>
        </w:rPr>
        <w:t>氟化物</w:t>
      </w:r>
      <w:r>
        <w:rPr>
          <w:rFonts w:hint="default" w:ascii="Times New Roman" w:hAnsi="Times New Roman" w:eastAsia="宋体" w:cs="Times New Roman"/>
          <w:color w:val="auto"/>
          <w:sz w:val="24"/>
          <w:highlight w:val="none"/>
          <w:lang w:val="en-US" w:eastAsia="zh-CN"/>
        </w:rPr>
        <w:t>等污染物，根据地下水评价导则“按照重金属、持久性有机物和其他类别进行分类，对每一类别中的各项因子采用标准指数法进行排序，分别选取指数最大的因子作为预测因子”，本次评价因子判定如下表所示</w:t>
      </w:r>
      <w:r>
        <w:rPr>
          <w:rFonts w:hint="eastAsia" w:ascii="Times New Roman" w:hAnsi="Times New Roman" w:cs="Times New Roman"/>
          <w:color w:val="auto"/>
          <w:sz w:val="24"/>
          <w:highlight w:val="none"/>
          <w:lang w:val="en-US" w:eastAsia="zh-CN"/>
        </w:rPr>
        <w:t>。</w:t>
      </w:r>
    </w:p>
    <w:p w14:paraId="100ED263">
      <w:pPr>
        <w:pStyle w:val="19"/>
        <w:bidi w:val="0"/>
        <w:rPr>
          <w:rFonts w:hint="eastAsia"/>
          <w:color w:val="auto"/>
          <w:highlight w:val="none"/>
        </w:rPr>
      </w:pPr>
      <w:r>
        <w:rPr>
          <w:rFonts w:hint="eastAsia"/>
          <w:color w:val="auto"/>
          <w:highlight w:val="none"/>
        </w:rPr>
        <w:t>表</w:t>
      </w:r>
      <w:r>
        <w:rPr>
          <w:rFonts w:hint="eastAsia"/>
          <w:color w:val="auto"/>
          <w:highlight w:val="none"/>
          <w:lang w:val="en-US" w:eastAsia="zh-CN"/>
        </w:rPr>
        <w:t>5.2-11</w:t>
      </w:r>
      <w:r>
        <w:rPr>
          <w:rFonts w:hint="eastAsia"/>
          <w:color w:val="auto"/>
          <w:highlight w:val="none"/>
        </w:rPr>
        <w:t xml:space="preserve">    </w:t>
      </w:r>
      <w:r>
        <w:rPr>
          <w:rFonts w:hint="eastAsia"/>
          <w:color w:val="auto"/>
          <w:highlight w:val="none"/>
          <w:lang w:val="en-US" w:eastAsia="zh-CN"/>
        </w:rPr>
        <w:t>地下水评价因子判定一览表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1415"/>
        <w:gridCol w:w="1418"/>
        <w:gridCol w:w="1418"/>
        <w:gridCol w:w="1418"/>
        <w:gridCol w:w="1435"/>
      </w:tblGrid>
      <w:tr w14:paraId="5BB9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pct"/>
            <w:shd w:val="clear" w:color="auto" w:fill="auto"/>
            <w:noWrap w:val="0"/>
            <w:vAlign w:val="center"/>
          </w:tcPr>
          <w:p w14:paraId="1164BE5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类别</w:t>
            </w:r>
          </w:p>
        </w:tc>
        <w:tc>
          <w:tcPr>
            <w:tcW w:w="830" w:type="pct"/>
            <w:shd w:val="clear" w:color="auto" w:fill="auto"/>
            <w:noWrap w:val="0"/>
            <w:vAlign w:val="center"/>
          </w:tcPr>
          <w:p w14:paraId="3BB7D35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污染物</w:t>
            </w:r>
          </w:p>
        </w:tc>
        <w:tc>
          <w:tcPr>
            <w:tcW w:w="832" w:type="pct"/>
            <w:shd w:val="clear" w:color="auto" w:fill="auto"/>
            <w:noWrap w:val="0"/>
            <w:vAlign w:val="center"/>
          </w:tcPr>
          <w:p w14:paraId="1FBCF8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排放浓度</w:t>
            </w:r>
          </w:p>
          <w:p w14:paraId="4C26354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w:t>
            </w:r>
            <w:r>
              <w:rPr>
                <w:rFonts w:hint="eastAsia" w:ascii="Times New Roman" w:hAnsi="Times New Roman" w:cs="Times New Roman"/>
                <w:b/>
                <w:bCs/>
                <w:color w:val="auto"/>
                <w:kern w:val="0"/>
                <w:sz w:val="21"/>
                <w:szCs w:val="21"/>
                <w:highlight w:val="none"/>
                <w:lang w:val="en-US" w:eastAsia="zh-CN"/>
              </w:rPr>
              <w:t>mg/L</w:t>
            </w:r>
            <w:r>
              <w:rPr>
                <w:rFonts w:hint="eastAsia" w:ascii="Times New Roman" w:hAnsi="Times New Roman" w:cs="Times New Roman"/>
                <w:b/>
                <w:bCs/>
                <w:color w:val="auto"/>
                <w:kern w:val="0"/>
                <w:sz w:val="21"/>
                <w:szCs w:val="21"/>
                <w:highlight w:val="none"/>
                <w:lang w:eastAsia="zh-CN"/>
              </w:rPr>
              <w:t>）</w:t>
            </w:r>
          </w:p>
        </w:tc>
        <w:tc>
          <w:tcPr>
            <w:tcW w:w="832" w:type="pct"/>
            <w:shd w:val="clear" w:color="auto" w:fill="auto"/>
            <w:noWrap w:val="0"/>
            <w:vAlign w:val="center"/>
          </w:tcPr>
          <w:p w14:paraId="785658F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标准值</w:t>
            </w:r>
          </w:p>
          <w:p w14:paraId="4D8907D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color w:val="auto"/>
                <w:highlight w:val="none"/>
                <w:lang w:eastAsia="zh-CN"/>
              </w:rPr>
            </w:pPr>
            <w:r>
              <w:rPr>
                <w:rFonts w:hint="eastAsia" w:ascii="Times New Roman" w:hAnsi="Times New Roman" w:cs="Times New Roman"/>
                <w:b/>
                <w:bCs/>
                <w:color w:val="auto"/>
                <w:kern w:val="0"/>
                <w:sz w:val="21"/>
                <w:szCs w:val="21"/>
                <w:highlight w:val="none"/>
                <w:lang w:eastAsia="zh-CN"/>
              </w:rPr>
              <w:t>（</w:t>
            </w:r>
            <w:r>
              <w:rPr>
                <w:rFonts w:hint="eastAsia" w:ascii="Times New Roman" w:hAnsi="Times New Roman" w:cs="Times New Roman"/>
                <w:b/>
                <w:bCs/>
                <w:color w:val="auto"/>
                <w:kern w:val="0"/>
                <w:sz w:val="21"/>
                <w:szCs w:val="21"/>
                <w:highlight w:val="none"/>
                <w:lang w:val="en-US" w:eastAsia="zh-CN"/>
              </w:rPr>
              <w:t>mg/L</w:t>
            </w:r>
            <w:r>
              <w:rPr>
                <w:rFonts w:hint="eastAsia" w:ascii="Times New Roman" w:hAnsi="Times New Roman" w:cs="Times New Roman"/>
                <w:b/>
                <w:bCs/>
                <w:color w:val="auto"/>
                <w:kern w:val="0"/>
                <w:sz w:val="21"/>
                <w:szCs w:val="21"/>
                <w:highlight w:val="none"/>
                <w:lang w:eastAsia="zh-CN"/>
              </w:rPr>
              <w:t>）</w:t>
            </w:r>
          </w:p>
        </w:tc>
        <w:tc>
          <w:tcPr>
            <w:tcW w:w="832" w:type="pct"/>
            <w:shd w:val="clear" w:color="auto" w:fill="auto"/>
            <w:noWrap w:val="0"/>
            <w:vAlign w:val="center"/>
          </w:tcPr>
          <w:p w14:paraId="2C0E411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标准指数</w:t>
            </w:r>
          </w:p>
        </w:tc>
        <w:tc>
          <w:tcPr>
            <w:tcW w:w="842" w:type="pct"/>
            <w:shd w:val="clear" w:color="auto" w:fill="auto"/>
            <w:noWrap w:val="0"/>
            <w:vAlign w:val="center"/>
          </w:tcPr>
          <w:p w14:paraId="1EB86CC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排序</w:t>
            </w:r>
          </w:p>
        </w:tc>
      </w:tr>
      <w:tr w14:paraId="5249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pct"/>
            <w:vMerge w:val="restart"/>
            <w:shd w:val="clear" w:color="auto" w:fill="auto"/>
            <w:noWrap/>
            <w:vAlign w:val="center"/>
          </w:tcPr>
          <w:p w14:paraId="6CC52B8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cs="Times New Roman"/>
                <w:color w:val="auto"/>
                <w:kern w:val="0"/>
                <w:sz w:val="21"/>
                <w:szCs w:val="21"/>
                <w:highlight w:val="none"/>
                <w:lang w:eastAsia="zh-CN"/>
              </w:rPr>
              <w:t>重金属</w:t>
            </w:r>
          </w:p>
        </w:tc>
        <w:tc>
          <w:tcPr>
            <w:tcW w:w="830" w:type="pct"/>
            <w:shd w:val="clear" w:color="auto" w:fill="auto"/>
            <w:noWrap/>
            <w:vAlign w:val="center"/>
          </w:tcPr>
          <w:p w14:paraId="43B68EF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cs="Times New Roman"/>
                <w:color w:val="auto"/>
                <w:kern w:val="0"/>
                <w:sz w:val="21"/>
                <w:szCs w:val="21"/>
                <w:highlight w:val="none"/>
                <w:lang w:eastAsia="zh-CN"/>
              </w:rPr>
              <w:t>六价铬</w:t>
            </w:r>
          </w:p>
        </w:tc>
        <w:tc>
          <w:tcPr>
            <w:tcW w:w="832" w:type="pct"/>
            <w:shd w:val="clear" w:color="auto" w:fill="auto"/>
            <w:noWrap/>
            <w:vAlign w:val="center"/>
          </w:tcPr>
          <w:p w14:paraId="205165E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0.014</w:t>
            </w:r>
          </w:p>
        </w:tc>
        <w:tc>
          <w:tcPr>
            <w:tcW w:w="832" w:type="pct"/>
            <w:shd w:val="clear" w:color="auto" w:fill="auto"/>
            <w:noWrap/>
            <w:vAlign w:val="center"/>
          </w:tcPr>
          <w:p w14:paraId="5BAC1B1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0.05</w:t>
            </w:r>
          </w:p>
        </w:tc>
        <w:tc>
          <w:tcPr>
            <w:tcW w:w="832" w:type="pct"/>
            <w:shd w:val="clear" w:color="auto" w:fill="auto"/>
            <w:noWrap/>
            <w:vAlign w:val="center"/>
          </w:tcPr>
          <w:p w14:paraId="3F07748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0.28</w:t>
            </w:r>
          </w:p>
        </w:tc>
        <w:tc>
          <w:tcPr>
            <w:tcW w:w="842" w:type="pct"/>
            <w:shd w:val="clear" w:color="auto" w:fill="auto"/>
            <w:noWrap/>
            <w:vAlign w:val="center"/>
          </w:tcPr>
          <w:p w14:paraId="214D12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w:t>
            </w:r>
          </w:p>
        </w:tc>
      </w:tr>
      <w:tr w14:paraId="4EB5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pct"/>
            <w:vMerge w:val="continue"/>
            <w:shd w:val="clear" w:color="auto" w:fill="auto"/>
            <w:noWrap/>
            <w:vAlign w:val="center"/>
          </w:tcPr>
          <w:p w14:paraId="6BA0ECA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p>
        </w:tc>
        <w:tc>
          <w:tcPr>
            <w:tcW w:w="830" w:type="pct"/>
            <w:shd w:val="clear" w:color="auto" w:fill="auto"/>
            <w:noWrap/>
            <w:vAlign w:val="center"/>
          </w:tcPr>
          <w:p w14:paraId="08FA5D5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snapToGrid w:val="0"/>
                <w:color w:val="auto"/>
                <w:kern w:val="0"/>
                <w:sz w:val="21"/>
                <w:highlight w:val="none"/>
                <w:lang w:bidi="ar"/>
              </w:rPr>
              <w:t>镉</w:t>
            </w:r>
          </w:p>
        </w:tc>
        <w:tc>
          <w:tcPr>
            <w:tcW w:w="832" w:type="pct"/>
            <w:shd w:val="clear" w:color="auto" w:fill="auto"/>
            <w:noWrap/>
            <w:vAlign w:val="center"/>
          </w:tcPr>
          <w:p w14:paraId="33D941F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0.0119</w:t>
            </w:r>
          </w:p>
        </w:tc>
        <w:tc>
          <w:tcPr>
            <w:tcW w:w="832" w:type="pct"/>
            <w:shd w:val="clear" w:color="auto" w:fill="auto"/>
            <w:noWrap/>
            <w:vAlign w:val="center"/>
          </w:tcPr>
          <w:p w14:paraId="41ADD56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0.005</w:t>
            </w:r>
          </w:p>
        </w:tc>
        <w:tc>
          <w:tcPr>
            <w:tcW w:w="832" w:type="pct"/>
            <w:shd w:val="clear" w:color="auto" w:fill="auto"/>
            <w:noWrap/>
            <w:vAlign w:val="center"/>
          </w:tcPr>
          <w:p w14:paraId="68914E7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2.38</w:t>
            </w:r>
          </w:p>
        </w:tc>
        <w:tc>
          <w:tcPr>
            <w:tcW w:w="842" w:type="pct"/>
            <w:shd w:val="clear" w:color="auto" w:fill="auto"/>
            <w:noWrap/>
            <w:vAlign w:val="center"/>
          </w:tcPr>
          <w:p w14:paraId="0D10B63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p>
        </w:tc>
      </w:tr>
      <w:tr w14:paraId="6EB4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pct"/>
            <w:vMerge w:val="continue"/>
            <w:shd w:val="clear" w:color="auto" w:fill="auto"/>
            <w:noWrap/>
            <w:vAlign w:val="center"/>
          </w:tcPr>
          <w:p w14:paraId="510C87B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p>
        </w:tc>
        <w:tc>
          <w:tcPr>
            <w:tcW w:w="830" w:type="pct"/>
            <w:shd w:val="clear" w:color="auto" w:fill="auto"/>
            <w:noWrap/>
            <w:vAlign w:val="center"/>
          </w:tcPr>
          <w:p w14:paraId="248396B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cs="Times New Roman"/>
                <w:color w:val="auto"/>
                <w:kern w:val="0"/>
                <w:sz w:val="21"/>
                <w:szCs w:val="21"/>
                <w:highlight w:val="none"/>
                <w:lang w:eastAsia="zh-CN"/>
              </w:rPr>
              <w:t>铅</w:t>
            </w:r>
          </w:p>
        </w:tc>
        <w:tc>
          <w:tcPr>
            <w:tcW w:w="832" w:type="pct"/>
            <w:shd w:val="clear" w:color="auto" w:fill="auto"/>
            <w:noWrap/>
            <w:vAlign w:val="center"/>
          </w:tcPr>
          <w:p w14:paraId="44556E6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0.022</w:t>
            </w:r>
          </w:p>
        </w:tc>
        <w:tc>
          <w:tcPr>
            <w:tcW w:w="832" w:type="pct"/>
            <w:shd w:val="clear" w:color="auto" w:fill="auto"/>
            <w:noWrap/>
            <w:vAlign w:val="center"/>
          </w:tcPr>
          <w:p w14:paraId="0084D1F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0.01</w:t>
            </w:r>
          </w:p>
        </w:tc>
        <w:tc>
          <w:tcPr>
            <w:tcW w:w="832" w:type="pct"/>
            <w:shd w:val="clear" w:color="auto" w:fill="auto"/>
            <w:noWrap/>
            <w:vAlign w:val="center"/>
          </w:tcPr>
          <w:p w14:paraId="04A0192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2.2</w:t>
            </w:r>
          </w:p>
        </w:tc>
        <w:tc>
          <w:tcPr>
            <w:tcW w:w="842" w:type="pct"/>
            <w:shd w:val="clear" w:color="auto" w:fill="auto"/>
            <w:noWrap/>
            <w:vAlign w:val="center"/>
          </w:tcPr>
          <w:p w14:paraId="580E1D9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w:t>
            </w:r>
          </w:p>
        </w:tc>
      </w:tr>
      <w:tr w14:paraId="58D7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pct"/>
            <w:vMerge w:val="continue"/>
            <w:shd w:val="clear" w:color="auto" w:fill="auto"/>
            <w:noWrap/>
            <w:vAlign w:val="center"/>
          </w:tcPr>
          <w:p w14:paraId="2E51C52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p>
        </w:tc>
        <w:tc>
          <w:tcPr>
            <w:tcW w:w="830" w:type="pct"/>
            <w:shd w:val="clear" w:color="auto" w:fill="auto"/>
            <w:noWrap/>
            <w:vAlign w:val="center"/>
          </w:tcPr>
          <w:p w14:paraId="770C35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r>
              <w:rPr>
                <w:rFonts w:hint="eastAsia" w:cs="Times New Roman"/>
                <w:color w:val="auto"/>
                <w:kern w:val="0"/>
                <w:sz w:val="21"/>
                <w:szCs w:val="21"/>
                <w:highlight w:val="none"/>
                <w:lang w:eastAsia="zh-CN"/>
              </w:rPr>
              <w:t>铜</w:t>
            </w:r>
          </w:p>
        </w:tc>
        <w:tc>
          <w:tcPr>
            <w:tcW w:w="832" w:type="pct"/>
            <w:shd w:val="clear" w:color="auto" w:fill="auto"/>
            <w:noWrap/>
            <w:vAlign w:val="center"/>
          </w:tcPr>
          <w:p w14:paraId="5BCB349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0.08</w:t>
            </w:r>
          </w:p>
        </w:tc>
        <w:tc>
          <w:tcPr>
            <w:tcW w:w="832" w:type="pct"/>
            <w:shd w:val="clear" w:color="auto" w:fill="auto"/>
            <w:noWrap/>
            <w:vAlign w:val="center"/>
          </w:tcPr>
          <w:p w14:paraId="6BC5170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1.00</w:t>
            </w:r>
          </w:p>
        </w:tc>
        <w:tc>
          <w:tcPr>
            <w:tcW w:w="832" w:type="pct"/>
            <w:shd w:val="clear" w:color="auto" w:fill="auto"/>
            <w:noWrap/>
            <w:vAlign w:val="center"/>
          </w:tcPr>
          <w:p w14:paraId="5C0DA28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0.08</w:t>
            </w:r>
          </w:p>
        </w:tc>
        <w:tc>
          <w:tcPr>
            <w:tcW w:w="842" w:type="pct"/>
            <w:shd w:val="clear" w:color="auto" w:fill="auto"/>
            <w:noWrap/>
            <w:vAlign w:val="center"/>
          </w:tcPr>
          <w:p w14:paraId="1EF3B05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w:t>
            </w:r>
          </w:p>
        </w:tc>
      </w:tr>
      <w:tr w14:paraId="4AFE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pct"/>
            <w:vMerge w:val="continue"/>
            <w:shd w:val="clear" w:color="auto" w:fill="auto"/>
            <w:noWrap/>
            <w:vAlign w:val="center"/>
          </w:tcPr>
          <w:p w14:paraId="1E069FC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p>
        </w:tc>
        <w:tc>
          <w:tcPr>
            <w:tcW w:w="830" w:type="pct"/>
            <w:shd w:val="clear" w:color="auto" w:fill="auto"/>
            <w:noWrap/>
            <w:vAlign w:val="center"/>
          </w:tcPr>
          <w:p w14:paraId="6AEE304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r>
              <w:rPr>
                <w:rFonts w:hint="eastAsia" w:cs="Times New Roman"/>
                <w:color w:val="auto"/>
                <w:kern w:val="0"/>
                <w:sz w:val="21"/>
                <w:szCs w:val="21"/>
                <w:highlight w:val="none"/>
                <w:lang w:eastAsia="zh-CN"/>
              </w:rPr>
              <w:t>锌</w:t>
            </w:r>
          </w:p>
        </w:tc>
        <w:tc>
          <w:tcPr>
            <w:tcW w:w="832" w:type="pct"/>
            <w:shd w:val="clear" w:color="auto" w:fill="auto"/>
            <w:noWrap/>
            <w:vAlign w:val="center"/>
          </w:tcPr>
          <w:p w14:paraId="6E9AB20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0.49</w:t>
            </w:r>
          </w:p>
        </w:tc>
        <w:tc>
          <w:tcPr>
            <w:tcW w:w="832" w:type="pct"/>
            <w:shd w:val="clear" w:color="auto" w:fill="auto"/>
            <w:noWrap/>
            <w:vAlign w:val="center"/>
          </w:tcPr>
          <w:p w14:paraId="6087D09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1.00</w:t>
            </w:r>
          </w:p>
        </w:tc>
        <w:tc>
          <w:tcPr>
            <w:tcW w:w="832" w:type="pct"/>
            <w:shd w:val="clear" w:color="auto" w:fill="auto"/>
            <w:noWrap/>
            <w:vAlign w:val="center"/>
          </w:tcPr>
          <w:p w14:paraId="4A4D555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0.49</w:t>
            </w:r>
          </w:p>
        </w:tc>
        <w:tc>
          <w:tcPr>
            <w:tcW w:w="842" w:type="pct"/>
            <w:shd w:val="clear" w:color="auto" w:fill="auto"/>
            <w:noWrap/>
            <w:vAlign w:val="center"/>
          </w:tcPr>
          <w:p w14:paraId="5DF42A1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w:t>
            </w:r>
          </w:p>
        </w:tc>
      </w:tr>
      <w:tr w14:paraId="0F93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pct"/>
            <w:vMerge w:val="continue"/>
            <w:shd w:val="clear" w:color="auto" w:fill="auto"/>
            <w:noWrap/>
            <w:vAlign w:val="center"/>
          </w:tcPr>
          <w:p w14:paraId="7F4400B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p>
        </w:tc>
        <w:tc>
          <w:tcPr>
            <w:tcW w:w="830" w:type="pct"/>
            <w:shd w:val="clear" w:color="auto" w:fill="auto"/>
            <w:noWrap/>
            <w:vAlign w:val="center"/>
          </w:tcPr>
          <w:p w14:paraId="0C17BE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cs="Times New Roman"/>
                <w:color w:val="auto"/>
                <w:kern w:val="0"/>
                <w:sz w:val="21"/>
                <w:szCs w:val="21"/>
                <w:highlight w:val="none"/>
                <w:lang w:eastAsia="zh-CN"/>
              </w:rPr>
            </w:pPr>
            <w:r>
              <w:rPr>
                <w:rFonts w:hint="eastAsia" w:cs="Times New Roman"/>
                <w:color w:val="auto"/>
                <w:kern w:val="0"/>
                <w:sz w:val="21"/>
                <w:szCs w:val="21"/>
                <w:highlight w:val="none"/>
                <w:lang w:eastAsia="zh-CN"/>
              </w:rPr>
              <w:t>钡</w:t>
            </w:r>
          </w:p>
        </w:tc>
        <w:tc>
          <w:tcPr>
            <w:tcW w:w="832" w:type="pct"/>
            <w:shd w:val="clear" w:color="auto" w:fill="auto"/>
            <w:noWrap/>
            <w:vAlign w:val="center"/>
          </w:tcPr>
          <w:p w14:paraId="1A6E8A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0.19</w:t>
            </w:r>
          </w:p>
        </w:tc>
        <w:tc>
          <w:tcPr>
            <w:tcW w:w="832" w:type="pct"/>
            <w:shd w:val="clear" w:color="auto" w:fill="auto"/>
            <w:noWrap/>
            <w:vAlign w:val="center"/>
          </w:tcPr>
          <w:p w14:paraId="2505ECD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0.70</w:t>
            </w:r>
          </w:p>
        </w:tc>
        <w:tc>
          <w:tcPr>
            <w:tcW w:w="832" w:type="pct"/>
            <w:shd w:val="clear" w:color="auto" w:fill="auto"/>
            <w:noWrap/>
            <w:vAlign w:val="center"/>
          </w:tcPr>
          <w:p w14:paraId="363891F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0.11</w:t>
            </w:r>
          </w:p>
        </w:tc>
        <w:tc>
          <w:tcPr>
            <w:tcW w:w="842" w:type="pct"/>
            <w:shd w:val="clear" w:color="auto" w:fill="auto"/>
            <w:noWrap/>
            <w:vAlign w:val="center"/>
          </w:tcPr>
          <w:p w14:paraId="3C03F35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w:t>
            </w:r>
          </w:p>
        </w:tc>
      </w:tr>
      <w:tr w14:paraId="65EA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pct"/>
            <w:shd w:val="clear" w:color="auto" w:fill="auto"/>
            <w:noWrap/>
            <w:vAlign w:val="center"/>
          </w:tcPr>
          <w:p w14:paraId="596CA8B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r>
              <w:rPr>
                <w:rFonts w:hint="eastAsia" w:ascii="Times New Roman" w:hAnsi="Times New Roman" w:cs="Times New Roman"/>
                <w:color w:val="auto"/>
                <w:kern w:val="0"/>
                <w:sz w:val="21"/>
                <w:szCs w:val="21"/>
                <w:highlight w:val="none"/>
                <w:lang w:eastAsia="zh-CN"/>
              </w:rPr>
              <w:t>其他</w:t>
            </w:r>
          </w:p>
        </w:tc>
        <w:tc>
          <w:tcPr>
            <w:tcW w:w="830" w:type="pct"/>
            <w:shd w:val="clear" w:color="auto" w:fill="auto"/>
            <w:noWrap/>
            <w:vAlign w:val="center"/>
          </w:tcPr>
          <w:p w14:paraId="23BD62E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cs="Times New Roman"/>
                <w:color w:val="auto"/>
                <w:kern w:val="0"/>
                <w:sz w:val="21"/>
                <w:szCs w:val="21"/>
                <w:highlight w:val="none"/>
                <w:lang w:eastAsia="zh-CN"/>
              </w:rPr>
              <w:t>氟化物</w:t>
            </w:r>
          </w:p>
        </w:tc>
        <w:tc>
          <w:tcPr>
            <w:tcW w:w="832" w:type="pct"/>
            <w:shd w:val="clear" w:color="auto" w:fill="auto"/>
            <w:noWrap/>
            <w:vAlign w:val="center"/>
          </w:tcPr>
          <w:p w14:paraId="030359F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0.14</w:t>
            </w:r>
          </w:p>
        </w:tc>
        <w:tc>
          <w:tcPr>
            <w:tcW w:w="832" w:type="pct"/>
            <w:shd w:val="clear" w:color="auto" w:fill="auto"/>
            <w:noWrap/>
            <w:vAlign w:val="center"/>
          </w:tcPr>
          <w:p w14:paraId="686C3CA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1.0</w:t>
            </w:r>
          </w:p>
        </w:tc>
        <w:tc>
          <w:tcPr>
            <w:tcW w:w="832" w:type="pct"/>
            <w:shd w:val="clear" w:color="auto" w:fill="auto"/>
            <w:noWrap/>
            <w:vAlign w:val="center"/>
          </w:tcPr>
          <w:p w14:paraId="0D083C0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0.14</w:t>
            </w:r>
          </w:p>
        </w:tc>
        <w:tc>
          <w:tcPr>
            <w:tcW w:w="842" w:type="pct"/>
            <w:shd w:val="clear" w:color="auto" w:fill="auto"/>
            <w:noWrap/>
            <w:vAlign w:val="center"/>
          </w:tcPr>
          <w:p w14:paraId="0E2A83C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p>
        </w:tc>
      </w:tr>
    </w:tbl>
    <w:p w14:paraId="17CE35A3">
      <w:pPr>
        <w:widowControl w:val="0"/>
        <w:overflowPunct w:val="0"/>
        <w:topLinePunct/>
        <w:spacing w:after="0"/>
        <w:ind w:firstLine="480"/>
        <w:jc w:val="both"/>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由上表判定，本次预测将</w:t>
      </w:r>
      <w:r>
        <w:rPr>
          <w:rFonts w:hint="eastAsia" w:ascii="Times New Roman" w:hAnsi="Times New Roman" w:cs="Times New Roman"/>
          <w:color w:val="auto"/>
          <w:sz w:val="24"/>
          <w:highlight w:val="none"/>
          <w:lang w:val="en-US" w:eastAsia="zh-CN"/>
        </w:rPr>
        <w:t>镉、氟化物</w:t>
      </w:r>
      <w:r>
        <w:rPr>
          <w:rFonts w:hint="default" w:ascii="Times New Roman" w:hAnsi="Times New Roman" w:eastAsia="宋体" w:cs="Times New Roman"/>
          <w:color w:val="auto"/>
          <w:sz w:val="24"/>
          <w:highlight w:val="none"/>
          <w:lang w:val="en-US" w:eastAsia="zh-CN"/>
        </w:rPr>
        <w:t>确定为预测因子。本次预测因子</w:t>
      </w:r>
      <w:r>
        <w:rPr>
          <w:rFonts w:hint="eastAsia" w:ascii="Times New Roman" w:hAnsi="Times New Roman" w:cs="Times New Roman"/>
          <w:color w:val="auto"/>
          <w:sz w:val="24"/>
          <w:highlight w:val="none"/>
          <w:lang w:val="en-US" w:eastAsia="zh-CN"/>
        </w:rPr>
        <w:t>镉、氟化物</w:t>
      </w:r>
      <w:r>
        <w:rPr>
          <w:rFonts w:hint="default" w:ascii="Times New Roman" w:hAnsi="Times New Roman" w:eastAsia="宋体" w:cs="Times New Roman"/>
          <w:color w:val="auto"/>
          <w:sz w:val="24"/>
          <w:highlight w:val="none"/>
          <w:lang w:val="en-US" w:eastAsia="zh-CN"/>
        </w:rPr>
        <w:t>执行《地下水质量标准》Ⅲ类水体限值。</w:t>
      </w:r>
    </w:p>
    <w:p w14:paraId="140A5A45">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pacing w:val="0"/>
          <w:sz w:val="24"/>
          <w:highlight w:val="none"/>
          <w:lang w:val="en-US" w:eastAsia="zh-CN"/>
        </w:rPr>
      </w:pPr>
      <w:r>
        <w:rPr>
          <w:rFonts w:hint="eastAsia" w:ascii="Times New Roman" w:hAnsi="Times New Roman" w:cs="Times New Roman"/>
          <w:color w:val="auto"/>
          <w:spacing w:val="0"/>
          <w:sz w:val="24"/>
          <w:highlight w:val="none"/>
          <w:lang w:val="en-US" w:eastAsia="zh-CN"/>
        </w:rPr>
        <w:t>（</w:t>
      </w:r>
      <w:r>
        <w:rPr>
          <w:rFonts w:hint="eastAsia" w:cs="Times New Roman"/>
          <w:color w:val="auto"/>
          <w:spacing w:val="0"/>
          <w:sz w:val="24"/>
          <w:highlight w:val="none"/>
          <w:lang w:val="en-US" w:eastAsia="zh-CN"/>
        </w:rPr>
        <w:t>2</w:t>
      </w:r>
      <w:r>
        <w:rPr>
          <w:rFonts w:hint="eastAsia" w:ascii="Times New Roman" w:hAnsi="Times New Roman" w:cs="Times New Roman"/>
          <w:color w:val="auto"/>
          <w:spacing w:val="0"/>
          <w:sz w:val="24"/>
          <w:highlight w:val="none"/>
          <w:lang w:val="en-US" w:eastAsia="zh-CN"/>
        </w:rPr>
        <w:t>）预测源强</w:t>
      </w:r>
    </w:p>
    <w:p w14:paraId="37CA2238">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pacing w:val="0"/>
          <w:sz w:val="24"/>
          <w:highlight w:val="none"/>
          <w:lang w:val="en-US" w:eastAsia="zh-CN"/>
        </w:rPr>
      </w:pPr>
      <w:r>
        <w:rPr>
          <w:rFonts w:hint="eastAsia" w:cs="Times New Roman"/>
          <w:color w:val="auto"/>
          <w:kern w:val="2"/>
          <w:sz w:val="24"/>
          <w:szCs w:val="24"/>
          <w:highlight w:val="none"/>
          <w:lang w:val="en-US" w:eastAsia="zh-CN" w:bidi="ar-SA"/>
        </w:rPr>
        <w:t>根据尾矿浸出毒性检测结果，</w:t>
      </w:r>
      <w:r>
        <w:rPr>
          <w:rFonts w:hint="default" w:ascii="Times New Roman" w:hAnsi="Times New Roman" w:eastAsia="宋体" w:cs="Times New Roman"/>
          <w:color w:val="auto"/>
          <w:spacing w:val="0"/>
          <w:sz w:val="24"/>
          <w:highlight w:val="none"/>
          <w:lang w:val="en-US" w:eastAsia="zh-CN"/>
        </w:rPr>
        <w:t>非正常状况具体见表5.</w:t>
      </w:r>
      <w:r>
        <w:rPr>
          <w:rFonts w:hint="eastAsia" w:ascii="Times New Roman" w:hAnsi="Times New Roman" w:cs="Times New Roman"/>
          <w:color w:val="auto"/>
          <w:spacing w:val="0"/>
          <w:sz w:val="24"/>
          <w:highlight w:val="none"/>
          <w:lang w:val="en-US" w:eastAsia="zh-CN"/>
        </w:rPr>
        <w:t>2</w:t>
      </w:r>
      <w:r>
        <w:rPr>
          <w:rFonts w:hint="default" w:ascii="Times New Roman" w:hAnsi="Times New Roman" w:eastAsia="宋体" w:cs="Times New Roman"/>
          <w:color w:val="auto"/>
          <w:spacing w:val="0"/>
          <w:sz w:val="24"/>
          <w:highlight w:val="none"/>
          <w:lang w:val="en-US" w:eastAsia="zh-CN"/>
        </w:rPr>
        <w:t>-</w:t>
      </w:r>
      <w:r>
        <w:rPr>
          <w:rFonts w:hint="eastAsia" w:cs="Times New Roman"/>
          <w:color w:val="auto"/>
          <w:spacing w:val="0"/>
          <w:sz w:val="24"/>
          <w:highlight w:val="none"/>
          <w:lang w:val="en-US" w:eastAsia="zh-CN"/>
        </w:rPr>
        <w:t>12</w:t>
      </w:r>
      <w:r>
        <w:rPr>
          <w:rFonts w:hint="default" w:ascii="Times New Roman" w:hAnsi="Times New Roman" w:eastAsia="宋体" w:cs="Times New Roman"/>
          <w:color w:val="auto"/>
          <w:spacing w:val="0"/>
          <w:sz w:val="24"/>
          <w:highlight w:val="none"/>
          <w:lang w:val="en-US" w:eastAsia="zh-CN"/>
        </w:rPr>
        <w:t>。</w:t>
      </w:r>
    </w:p>
    <w:p w14:paraId="1B4489E0">
      <w:pPr>
        <w:spacing w:before="72" w:beforeLines="30" w:line="400" w:lineRule="exact"/>
        <w:ind w:firstLine="482" w:firstLineChars="200"/>
        <w:jc w:val="center"/>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rPr>
        <w:t>表</w:t>
      </w:r>
      <w:r>
        <w:rPr>
          <w:rFonts w:hint="eastAsia" w:ascii="Times New Roman" w:hAnsi="Times New Roman" w:cs="Times New Roman"/>
          <w:b/>
          <w:bCs/>
          <w:color w:val="auto"/>
          <w:sz w:val="24"/>
          <w:szCs w:val="24"/>
          <w:highlight w:val="none"/>
          <w:lang w:val="en-US" w:eastAsia="zh-CN"/>
        </w:rPr>
        <w:t>5.2-</w:t>
      </w:r>
      <w:r>
        <w:rPr>
          <w:rFonts w:hint="eastAsia" w:cs="Times New Roman"/>
          <w:b/>
          <w:bCs/>
          <w:color w:val="auto"/>
          <w:sz w:val="24"/>
          <w:szCs w:val="24"/>
          <w:highlight w:val="none"/>
          <w:lang w:val="en-US" w:eastAsia="zh-CN"/>
        </w:rPr>
        <w:t>12</w:t>
      </w:r>
      <w:r>
        <w:rPr>
          <w:rFonts w:hint="eastAsia" w:ascii="Times New Roman" w:hAnsi="Times New Roman" w:eastAsia="宋体" w:cs="Times New Roman"/>
          <w:b/>
          <w:bCs/>
          <w:color w:val="auto"/>
          <w:sz w:val="24"/>
          <w:szCs w:val="24"/>
          <w:highlight w:val="none"/>
        </w:rPr>
        <w:t xml:space="preserve">    </w:t>
      </w:r>
      <w:r>
        <w:rPr>
          <w:rFonts w:hint="eastAsia" w:ascii="Times New Roman" w:hAnsi="Times New Roman" w:eastAsia="宋体" w:cs="Times New Roman"/>
          <w:b/>
          <w:bCs/>
          <w:color w:val="auto"/>
          <w:sz w:val="24"/>
          <w:szCs w:val="24"/>
          <w:highlight w:val="none"/>
          <w:lang w:val="en-US" w:eastAsia="zh-CN"/>
        </w:rPr>
        <w:t>非正常工况下地下水污染物排放一览表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2716"/>
        <w:gridCol w:w="2151"/>
        <w:gridCol w:w="2479"/>
      </w:tblGrid>
      <w:tr w14:paraId="6C51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pct"/>
            <w:shd w:val="clear" w:color="auto" w:fill="auto"/>
            <w:noWrap w:val="0"/>
            <w:vAlign w:val="center"/>
          </w:tcPr>
          <w:p w14:paraId="5FBC77D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序号</w:t>
            </w:r>
          </w:p>
        </w:tc>
        <w:tc>
          <w:tcPr>
            <w:tcW w:w="1593" w:type="pct"/>
            <w:shd w:val="clear" w:color="auto" w:fill="auto"/>
            <w:noWrap w:val="0"/>
            <w:vAlign w:val="center"/>
          </w:tcPr>
          <w:p w14:paraId="64F5AD1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事故排放源</w:t>
            </w:r>
          </w:p>
        </w:tc>
        <w:tc>
          <w:tcPr>
            <w:tcW w:w="1262" w:type="pct"/>
            <w:shd w:val="clear" w:color="auto" w:fill="auto"/>
            <w:noWrap w:val="0"/>
            <w:vAlign w:val="center"/>
          </w:tcPr>
          <w:p w14:paraId="5FBC749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b/>
                <w:bCs/>
                <w:color w:val="auto"/>
                <w:kern w:val="0"/>
                <w:sz w:val="21"/>
                <w:szCs w:val="21"/>
                <w:highlight w:val="none"/>
                <w:lang w:eastAsia="zh-CN"/>
              </w:rPr>
            </w:pPr>
            <w:r>
              <w:rPr>
                <w:rFonts w:hint="eastAsia" w:ascii="Times New Roman" w:hAnsi="Times New Roman" w:cs="Times New Roman"/>
                <w:b/>
                <w:bCs/>
                <w:color w:val="auto"/>
                <w:kern w:val="0"/>
                <w:sz w:val="21"/>
                <w:szCs w:val="21"/>
                <w:highlight w:val="none"/>
                <w:lang w:eastAsia="zh-CN"/>
              </w:rPr>
              <w:t>污染物</w:t>
            </w:r>
          </w:p>
        </w:tc>
        <w:tc>
          <w:tcPr>
            <w:tcW w:w="1454" w:type="pct"/>
            <w:shd w:val="clear" w:color="auto" w:fill="auto"/>
            <w:noWrap w:val="0"/>
            <w:vAlign w:val="center"/>
          </w:tcPr>
          <w:p w14:paraId="0EEC56E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color w:val="auto"/>
                <w:highlight w:val="none"/>
                <w:lang w:eastAsia="zh-CN"/>
              </w:rPr>
            </w:pPr>
            <w:r>
              <w:rPr>
                <w:rFonts w:hint="eastAsia" w:ascii="Times New Roman" w:hAnsi="Times New Roman" w:cs="Times New Roman"/>
                <w:b/>
                <w:bCs/>
                <w:color w:val="auto"/>
                <w:kern w:val="0"/>
                <w:sz w:val="21"/>
                <w:szCs w:val="21"/>
                <w:highlight w:val="none"/>
                <w:lang w:eastAsia="zh-CN"/>
              </w:rPr>
              <w:t>排放浓度（</w:t>
            </w:r>
            <w:r>
              <w:rPr>
                <w:rFonts w:hint="eastAsia" w:ascii="Times New Roman" w:hAnsi="Times New Roman" w:cs="Times New Roman"/>
                <w:b/>
                <w:bCs/>
                <w:color w:val="auto"/>
                <w:kern w:val="0"/>
                <w:sz w:val="21"/>
                <w:szCs w:val="21"/>
                <w:highlight w:val="none"/>
                <w:lang w:val="en-US" w:eastAsia="zh-CN"/>
              </w:rPr>
              <w:t>mg/L</w:t>
            </w:r>
            <w:r>
              <w:rPr>
                <w:rFonts w:hint="eastAsia" w:ascii="Times New Roman" w:hAnsi="Times New Roman" w:cs="Times New Roman"/>
                <w:b/>
                <w:bCs/>
                <w:color w:val="auto"/>
                <w:kern w:val="0"/>
                <w:sz w:val="21"/>
                <w:szCs w:val="21"/>
                <w:highlight w:val="none"/>
                <w:lang w:eastAsia="zh-CN"/>
              </w:rPr>
              <w:t>）</w:t>
            </w:r>
          </w:p>
        </w:tc>
      </w:tr>
      <w:tr w14:paraId="13AF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88" w:type="pct"/>
            <w:vMerge w:val="restart"/>
            <w:shd w:val="clear" w:color="auto" w:fill="auto"/>
            <w:noWrap/>
            <w:vAlign w:val="center"/>
          </w:tcPr>
          <w:p w14:paraId="035EAB2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cs="Times New Roman"/>
                <w:color w:val="auto"/>
                <w:kern w:val="0"/>
                <w:sz w:val="21"/>
                <w:szCs w:val="21"/>
                <w:highlight w:val="none"/>
                <w:lang w:val="en-US" w:eastAsia="zh-CN"/>
              </w:rPr>
              <w:t>1</w:t>
            </w:r>
          </w:p>
        </w:tc>
        <w:tc>
          <w:tcPr>
            <w:tcW w:w="1593" w:type="pct"/>
            <w:vMerge w:val="restart"/>
            <w:shd w:val="clear" w:color="auto" w:fill="auto"/>
            <w:noWrap/>
            <w:vAlign w:val="center"/>
          </w:tcPr>
          <w:p w14:paraId="2FC4D8F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cs="Times New Roman"/>
                <w:color w:val="auto"/>
                <w:kern w:val="0"/>
                <w:sz w:val="21"/>
                <w:szCs w:val="21"/>
                <w:highlight w:val="none"/>
                <w:lang w:val="en-US" w:eastAsia="zh-CN"/>
              </w:rPr>
              <w:t>尾矿库废水</w:t>
            </w:r>
          </w:p>
        </w:tc>
        <w:tc>
          <w:tcPr>
            <w:tcW w:w="1262" w:type="pct"/>
            <w:shd w:val="clear" w:color="auto" w:fill="auto"/>
            <w:noWrap/>
            <w:vAlign w:val="center"/>
          </w:tcPr>
          <w:p w14:paraId="7765B57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eastAsia="zh-CN"/>
              </w:rPr>
              <w:t>氟化物</w:t>
            </w:r>
          </w:p>
        </w:tc>
        <w:tc>
          <w:tcPr>
            <w:tcW w:w="1454" w:type="pct"/>
            <w:shd w:val="clear" w:color="auto" w:fill="auto"/>
            <w:noWrap/>
            <w:vAlign w:val="center"/>
          </w:tcPr>
          <w:p w14:paraId="1010E9B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0.</w:t>
            </w:r>
            <w:r>
              <w:rPr>
                <w:rFonts w:hint="eastAsia" w:cs="Times New Roman"/>
                <w:color w:val="auto"/>
                <w:kern w:val="0"/>
                <w:sz w:val="21"/>
                <w:szCs w:val="21"/>
                <w:highlight w:val="none"/>
                <w:lang w:val="en-US" w:eastAsia="zh-CN"/>
              </w:rPr>
              <w:t>14</w:t>
            </w:r>
          </w:p>
        </w:tc>
      </w:tr>
      <w:tr w14:paraId="1FF9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8" w:type="pct"/>
            <w:vMerge w:val="continue"/>
            <w:shd w:val="clear" w:color="auto" w:fill="auto"/>
            <w:noWrap/>
            <w:vAlign w:val="center"/>
          </w:tcPr>
          <w:p w14:paraId="47B6D99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cs="Times New Roman"/>
                <w:color w:val="auto"/>
                <w:kern w:val="0"/>
                <w:sz w:val="21"/>
                <w:szCs w:val="21"/>
                <w:highlight w:val="none"/>
                <w:lang w:eastAsia="zh-CN"/>
              </w:rPr>
            </w:pPr>
          </w:p>
        </w:tc>
        <w:tc>
          <w:tcPr>
            <w:tcW w:w="1593" w:type="pct"/>
            <w:vMerge w:val="continue"/>
            <w:shd w:val="clear" w:color="auto" w:fill="auto"/>
            <w:noWrap/>
            <w:vAlign w:val="center"/>
          </w:tcPr>
          <w:p w14:paraId="2AC5C58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kern w:val="0"/>
                <w:sz w:val="21"/>
                <w:szCs w:val="21"/>
                <w:highlight w:val="none"/>
                <w:lang w:eastAsia="zh-CN"/>
              </w:rPr>
            </w:pPr>
          </w:p>
        </w:tc>
        <w:tc>
          <w:tcPr>
            <w:tcW w:w="1262" w:type="pct"/>
            <w:shd w:val="clear" w:color="auto" w:fill="auto"/>
            <w:noWrap/>
            <w:vAlign w:val="center"/>
          </w:tcPr>
          <w:p w14:paraId="47658BC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镉</w:t>
            </w:r>
          </w:p>
        </w:tc>
        <w:tc>
          <w:tcPr>
            <w:tcW w:w="1454" w:type="pct"/>
            <w:shd w:val="clear" w:color="auto" w:fill="auto"/>
            <w:noWrap/>
            <w:vAlign w:val="center"/>
          </w:tcPr>
          <w:p w14:paraId="3C654B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0.0119</w:t>
            </w:r>
          </w:p>
        </w:tc>
      </w:tr>
    </w:tbl>
    <w:p w14:paraId="79146B55">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pacing w:val="0"/>
          <w:sz w:val="24"/>
          <w:highlight w:val="none"/>
          <w:lang w:val="en-US" w:eastAsia="zh-CN"/>
        </w:rPr>
      </w:pPr>
      <w:r>
        <w:rPr>
          <w:rFonts w:hint="default" w:ascii="Times New Roman" w:hAnsi="Times New Roman" w:eastAsia="宋体" w:cs="Times New Roman"/>
          <w:color w:val="auto"/>
          <w:spacing w:val="0"/>
          <w:sz w:val="24"/>
          <w:highlight w:val="none"/>
          <w:lang w:val="en-US" w:eastAsia="zh-CN"/>
        </w:rPr>
        <w:t>（</w:t>
      </w:r>
      <w:r>
        <w:rPr>
          <w:rFonts w:hint="eastAsia" w:cs="Times New Roman"/>
          <w:color w:val="auto"/>
          <w:spacing w:val="0"/>
          <w:sz w:val="24"/>
          <w:highlight w:val="none"/>
          <w:lang w:val="en-US" w:eastAsia="zh-CN"/>
        </w:rPr>
        <w:t>3</w:t>
      </w:r>
      <w:r>
        <w:rPr>
          <w:rFonts w:hint="default" w:ascii="Times New Roman" w:hAnsi="Times New Roman" w:eastAsia="宋体" w:cs="Times New Roman"/>
          <w:color w:val="auto"/>
          <w:spacing w:val="0"/>
          <w:sz w:val="24"/>
          <w:highlight w:val="none"/>
          <w:lang w:val="en-US" w:eastAsia="zh-CN"/>
        </w:rPr>
        <w:t>）预测模型</w:t>
      </w:r>
    </w:p>
    <w:p w14:paraId="199696C2">
      <w:pPr>
        <w:keepNext w:val="0"/>
        <w:keepLines w:val="0"/>
        <w:pageBreakBefore w:val="0"/>
        <w:widowControl w:val="0"/>
        <w:kinsoku/>
        <w:wordWrap/>
        <w:overflowPunct/>
        <w:topLinePunct w:val="0"/>
        <w:bidi w:val="0"/>
        <w:snapToGrid/>
        <w:spacing w:line="480" w:lineRule="exact"/>
        <w:ind w:left="0" w:leftChars="0" w:right="0" w:rightChars="0"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采用解析模型预测污染物在含水层中的扩散时，一般应满足以下条件：</w:t>
      </w:r>
    </w:p>
    <w:p w14:paraId="231E8AAE">
      <w:pPr>
        <w:keepNext w:val="0"/>
        <w:keepLines w:val="0"/>
        <w:pageBreakBefore w:val="0"/>
        <w:widowControl w:val="0"/>
        <w:kinsoku/>
        <w:wordWrap/>
        <w:overflowPunct/>
        <w:topLinePunct w:val="0"/>
        <w:bidi w:val="0"/>
        <w:snapToGrid/>
        <w:spacing w:line="480" w:lineRule="exact"/>
        <w:ind w:left="0" w:leftChars="0" w:right="0" w:rightChars="0"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①污染物的排放对地下水流场没有明显的影响；</w:t>
      </w:r>
    </w:p>
    <w:p w14:paraId="5EB00C7B">
      <w:pPr>
        <w:keepNext w:val="0"/>
        <w:keepLines w:val="0"/>
        <w:pageBreakBefore w:val="0"/>
        <w:widowControl w:val="0"/>
        <w:kinsoku/>
        <w:wordWrap/>
        <w:overflowPunct/>
        <w:topLinePunct w:val="0"/>
        <w:bidi w:val="0"/>
        <w:snapToGrid/>
        <w:spacing w:line="480" w:lineRule="exact"/>
        <w:ind w:left="0" w:leftChars="0" w:right="0" w:rightChars="0"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②预测区内含水层的基本参数（如渗透系数、有效孔隙度等）不变或变化很小。</w:t>
      </w:r>
    </w:p>
    <w:p w14:paraId="08E96CBA">
      <w:pPr>
        <w:keepNext w:val="0"/>
        <w:keepLines w:val="0"/>
        <w:pageBreakBefore w:val="0"/>
        <w:widowControl w:val="0"/>
        <w:kinsoku/>
        <w:wordWrap/>
        <w:overflowPunct/>
        <w:topLinePunct w:val="0"/>
        <w:bidi w:val="0"/>
        <w:snapToGrid/>
        <w:spacing w:line="480" w:lineRule="exact"/>
        <w:ind w:left="0" w:leftChars="0" w:right="0" w:rightChars="0"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通过对本期工程污染物排放特征及水文地质概况分析可知，本次污染预测可满足以上条件。</w:t>
      </w:r>
    </w:p>
    <w:p w14:paraId="289315AF">
      <w:pPr>
        <w:keepNext w:val="0"/>
        <w:keepLines w:val="0"/>
        <w:pageBreakBefore w:val="0"/>
        <w:widowControl w:val="0"/>
        <w:kinsoku/>
        <w:wordWrap/>
        <w:overflowPunct/>
        <w:topLinePunct w:val="0"/>
        <w:bidi w:val="0"/>
        <w:snapToGrid/>
        <w:spacing w:line="480" w:lineRule="exact"/>
        <w:ind w:left="0" w:leftChars="0" w:right="0" w:rightChars="0"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为了揭示污染物进入地下水体后，地下水质的时空变化规律，将污染场地地下水污染物的溶质迁移问题概化为污染物连续注入的一端定浓度的一维水动力弥散问题。预测按最不利的情况设计情景，污染物泄漏直接进入地下水，并在含水层中沿水力梯度方向径流，污染质浓度在未渗入地下水前不发生变化，不考虑污水在包气带中下渗过程的降解与吸附作用，不考虑含水层中对污染物的吸附、挥发、生物化学反应。设计情景为极端情况，用于表征污水排放对地下水环境的最大影响程度和影响范围。</w:t>
      </w:r>
    </w:p>
    <w:p w14:paraId="4B756BC4">
      <w:pPr>
        <w:bidi w:val="0"/>
        <w:rPr>
          <w:rFonts w:hint="default"/>
          <w:color w:val="auto"/>
          <w:highlight w:val="none"/>
        </w:rPr>
      </w:pPr>
      <w:r>
        <w:rPr>
          <w:rFonts w:hint="default"/>
          <w:color w:val="auto"/>
          <w:highlight w:val="none"/>
          <w:lang w:val="en-US" w:eastAsia="zh-CN"/>
        </w:rPr>
        <w:t>本次地下水环境影响预测评价采用一维地下水污染物运移数学模型的解析解进行预测，解析解选取《环境影响评价技术导则 地下水环境》（HJ 610-2016）中地下水溶质运移解析法推荐模型。</w:t>
      </w:r>
    </w:p>
    <w:p w14:paraId="0A261B55">
      <w:pPr>
        <w:bidi w:val="0"/>
        <w:rPr>
          <w:rFonts w:hint="default"/>
          <w:color w:val="auto"/>
          <w:highlight w:val="none"/>
          <w:lang w:val="en-US" w:eastAsia="zh-CN"/>
        </w:rPr>
      </w:pPr>
      <w:r>
        <w:rPr>
          <w:rFonts w:hint="eastAsia"/>
          <w:color w:val="auto"/>
          <w:highlight w:val="none"/>
          <w:lang w:val="en-US" w:eastAsia="zh-CN"/>
        </w:rPr>
        <w:t>（4）</w:t>
      </w:r>
      <w:r>
        <w:rPr>
          <w:rFonts w:hint="default"/>
          <w:color w:val="auto"/>
          <w:highlight w:val="none"/>
          <w:lang w:val="en-US" w:eastAsia="zh-CN"/>
        </w:rPr>
        <w:t>预测参数的设定</w:t>
      </w:r>
    </w:p>
    <w:p w14:paraId="7B822514">
      <w:pPr>
        <w:bidi w:val="0"/>
        <w:rPr>
          <w:rFonts w:hint="default"/>
          <w:color w:val="auto"/>
          <w:highlight w:val="none"/>
        </w:rPr>
      </w:pPr>
      <w:r>
        <w:rPr>
          <w:rFonts w:hint="default"/>
          <w:color w:val="auto"/>
          <w:highlight w:val="none"/>
          <w:lang w:val="en-US" w:eastAsia="zh-CN"/>
        </w:rPr>
        <w:t>本项目采用地下水溶质运移解析法中的一维稳定流动</w:t>
      </w:r>
      <w:r>
        <w:rPr>
          <w:rFonts w:hint="eastAsia"/>
          <w:color w:val="auto"/>
          <w:highlight w:val="none"/>
          <w:lang w:val="en-US" w:eastAsia="zh-CN"/>
        </w:rPr>
        <w:t>一维水动力弥散模型</w:t>
      </w:r>
      <w:r>
        <w:rPr>
          <w:rFonts w:hint="default"/>
          <w:color w:val="auto"/>
          <w:highlight w:val="none"/>
          <w:lang w:val="en-US" w:eastAsia="zh-CN"/>
        </w:rPr>
        <w:t>进行预测，预测模型如下：</w:t>
      </w:r>
    </w:p>
    <w:p w14:paraId="4F0605F9">
      <w:pPr>
        <w:bidi w:val="0"/>
        <w:spacing w:line="240" w:lineRule="auto"/>
        <w:ind w:left="0" w:leftChars="0" w:firstLine="0" w:firstLineChars="0"/>
        <w:jc w:val="center"/>
        <w:rPr>
          <w:color w:val="auto"/>
          <w:highlight w:val="none"/>
        </w:rPr>
      </w:pPr>
      <w:r>
        <w:rPr>
          <w:color w:val="auto"/>
          <w:highlight w:val="none"/>
        </w:rPr>
        <w:drawing>
          <wp:inline distT="0" distB="0" distL="114300" distR="114300">
            <wp:extent cx="4445635" cy="737870"/>
            <wp:effectExtent l="0" t="0" r="12065" b="5080"/>
            <wp:docPr id="20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3"/>
                    <pic:cNvPicPr>
                      <a:picLocks noChangeAspect="1"/>
                    </pic:cNvPicPr>
                  </pic:nvPicPr>
                  <pic:blipFill>
                    <a:blip r:embed="rId38"/>
                    <a:srcRect l="10450" t="21856"/>
                    <a:stretch>
                      <a:fillRect/>
                    </a:stretch>
                  </pic:blipFill>
                  <pic:spPr>
                    <a:xfrm>
                      <a:off x="0" y="0"/>
                      <a:ext cx="4445635" cy="737870"/>
                    </a:xfrm>
                    <a:prstGeom prst="rect">
                      <a:avLst/>
                    </a:prstGeom>
                    <a:noFill/>
                    <a:ln w="9525">
                      <a:noFill/>
                    </a:ln>
                  </pic:spPr>
                </pic:pic>
              </a:graphicData>
            </a:graphic>
          </wp:inline>
        </w:drawing>
      </w:r>
    </w:p>
    <w:p w14:paraId="03BC9F25">
      <w:pPr>
        <w:bidi w:val="0"/>
        <w:rPr>
          <w:rFonts w:hint="default"/>
          <w:color w:val="auto"/>
          <w:highlight w:val="none"/>
          <w:lang w:val="en-US" w:eastAsia="zh-CN"/>
        </w:rPr>
      </w:pPr>
      <w:r>
        <w:rPr>
          <w:rFonts w:hint="default"/>
          <w:color w:val="auto"/>
          <w:highlight w:val="none"/>
          <w:lang w:val="en-US" w:eastAsia="zh-CN"/>
        </w:rPr>
        <w:t>式中</w:t>
      </w:r>
      <w:r>
        <w:rPr>
          <w:rFonts w:hint="eastAsia"/>
          <w:color w:val="auto"/>
          <w:highlight w:val="none"/>
          <w:lang w:val="en-US" w:eastAsia="zh-CN"/>
        </w:rPr>
        <w:t>：</w:t>
      </w:r>
      <w:r>
        <w:rPr>
          <w:rFonts w:hint="default"/>
          <w:color w:val="auto"/>
          <w:highlight w:val="none"/>
          <w:lang w:val="en-US" w:eastAsia="zh-CN"/>
        </w:rPr>
        <w:t>x</w:t>
      </w:r>
      <w:r>
        <w:rPr>
          <w:rFonts w:hint="eastAsia"/>
          <w:color w:val="auto"/>
          <w:highlight w:val="none"/>
          <w:lang w:val="en-US" w:eastAsia="zh-CN"/>
        </w:rPr>
        <w:t>—</w:t>
      </w:r>
      <w:r>
        <w:rPr>
          <w:rFonts w:hint="default"/>
          <w:color w:val="auto"/>
          <w:highlight w:val="none"/>
          <w:lang w:val="en-US" w:eastAsia="zh-CN"/>
        </w:rPr>
        <w:t>距注入点的距离，m</w:t>
      </w:r>
      <w:r>
        <w:rPr>
          <w:rFonts w:hint="eastAsia"/>
          <w:color w:val="auto"/>
          <w:highlight w:val="none"/>
          <w:lang w:val="en-US" w:eastAsia="zh-CN"/>
        </w:rPr>
        <w:t>；</w:t>
      </w:r>
    </w:p>
    <w:p w14:paraId="66154374">
      <w:pPr>
        <w:bidi w:val="0"/>
        <w:rPr>
          <w:rFonts w:hint="default"/>
          <w:color w:val="auto"/>
          <w:highlight w:val="none"/>
          <w:lang w:val="en-US" w:eastAsia="zh-CN"/>
        </w:rPr>
      </w:pPr>
      <w:r>
        <w:rPr>
          <w:rFonts w:hint="eastAsia"/>
          <w:color w:val="auto"/>
          <w:highlight w:val="none"/>
          <w:lang w:val="en-US" w:eastAsia="zh-CN"/>
        </w:rPr>
        <w:t>t—</w:t>
      </w:r>
      <w:r>
        <w:rPr>
          <w:rFonts w:hint="default"/>
          <w:color w:val="auto"/>
          <w:highlight w:val="none"/>
          <w:lang w:val="en-US" w:eastAsia="zh-CN"/>
        </w:rPr>
        <w:t>时间，d</w:t>
      </w:r>
      <w:r>
        <w:rPr>
          <w:rFonts w:hint="eastAsia"/>
          <w:color w:val="auto"/>
          <w:highlight w:val="none"/>
          <w:lang w:val="en-US" w:eastAsia="zh-CN"/>
        </w:rPr>
        <w:t>；</w:t>
      </w:r>
    </w:p>
    <w:p w14:paraId="2F17C22F">
      <w:pPr>
        <w:bidi w:val="0"/>
        <w:rPr>
          <w:rFonts w:hint="default"/>
          <w:color w:val="auto"/>
          <w:highlight w:val="none"/>
          <w:lang w:val="en-US" w:eastAsia="zh-CN"/>
        </w:rPr>
      </w:pPr>
      <w:r>
        <w:rPr>
          <w:rFonts w:hint="default"/>
          <w:color w:val="auto"/>
          <w:highlight w:val="none"/>
          <w:lang w:val="en-US" w:eastAsia="zh-CN"/>
        </w:rPr>
        <w:t>C</w:t>
      </w:r>
      <w:r>
        <w:rPr>
          <w:rFonts w:hint="eastAsia"/>
          <w:color w:val="auto"/>
          <w:highlight w:val="none"/>
          <w:lang w:val="en-US" w:eastAsia="zh-CN"/>
        </w:rPr>
        <w:t>（</w:t>
      </w:r>
      <w:r>
        <w:rPr>
          <w:rFonts w:hint="default"/>
          <w:color w:val="auto"/>
          <w:highlight w:val="none"/>
          <w:lang w:val="en-US" w:eastAsia="zh-CN"/>
        </w:rPr>
        <w:t>x，</w:t>
      </w:r>
      <w:r>
        <w:rPr>
          <w:rFonts w:hint="eastAsia"/>
          <w:color w:val="auto"/>
          <w:highlight w:val="none"/>
          <w:lang w:val="en-US" w:eastAsia="zh-CN"/>
        </w:rPr>
        <w:t>t）—</w:t>
      </w:r>
      <w:r>
        <w:rPr>
          <w:rFonts w:hint="default"/>
          <w:color w:val="auto"/>
          <w:highlight w:val="none"/>
          <w:lang w:val="en-US" w:eastAsia="zh-CN"/>
        </w:rPr>
        <w:t>t时刻x处的示踪剂浓度，g/L</w:t>
      </w:r>
      <w:r>
        <w:rPr>
          <w:rFonts w:hint="eastAsia"/>
          <w:color w:val="auto"/>
          <w:highlight w:val="none"/>
          <w:lang w:val="en-US" w:eastAsia="zh-CN"/>
        </w:rPr>
        <w:t>；</w:t>
      </w:r>
    </w:p>
    <w:p w14:paraId="760C4C6F">
      <w:pPr>
        <w:bidi w:val="0"/>
        <w:rPr>
          <w:rFonts w:hint="default"/>
          <w:color w:val="auto"/>
          <w:highlight w:val="none"/>
          <w:lang w:val="en-US" w:eastAsia="zh-CN"/>
        </w:rPr>
      </w:pPr>
      <w:r>
        <w:rPr>
          <w:rFonts w:hint="default"/>
          <w:color w:val="auto"/>
          <w:highlight w:val="none"/>
          <w:lang w:val="en-US" w:eastAsia="zh-CN"/>
        </w:rPr>
        <w:t>C</w:t>
      </w:r>
      <w:r>
        <w:rPr>
          <w:rFonts w:hint="eastAsia"/>
          <w:color w:val="auto"/>
          <w:highlight w:val="none"/>
          <w:vertAlign w:val="subscript"/>
          <w:lang w:val="en-US" w:eastAsia="zh-CN"/>
        </w:rPr>
        <w:t>0</w:t>
      </w:r>
      <w:r>
        <w:rPr>
          <w:rFonts w:hint="eastAsia"/>
          <w:color w:val="auto"/>
          <w:highlight w:val="none"/>
          <w:lang w:val="en-US" w:eastAsia="zh-CN"/>
        </w:rPr>
        <w:t>—</w:t>
      </w:r>
      <w:r>
        <w:rPr>
          <w:rFonts w:hint="default"/>
          <w:color w:val="auto"/>
          <w:highlight w:val="none"/>
          <w:lang w:val="en-US" w:eastAsia="zh-CN"/>
        </w:rPr>
        <w:t>注入的示踪剂浓度，mg/L</w:t>
      </w:r>
      <w:r>
        <w:rPr>
          <w:rFonts w:hint="eastAsia"/>
          <w:color w:val="auto"/>
          <w:highlight w:val="none"/>
          <w:lang w:val="en-US" w:eastAsia="zh-CN"/>
        </w:rPr>
        <w:t>；</w:t>
      </w:r>
    </w:p>
    <w:p w14:paraId="2BFB6DDE">
      <w:pPr>
        <w:bidi w:val="0"/>
        <w:rPr>
          <w:rFonts w:hint="default"/>
          <w:color w:val="auto"/>
          <w:highlight w:val="none"/>
          <w:lang w:val="en-US" w:eastAsia="zh-CN"/>
        </w:rPr>
      </w:pPr>
      <w:r>
        <w:rPr>
          <w:rFonts w:hint="default"/>
          <w:color w:val="auto"/>
          <w:highlight w:val="none"/>
          <w:lang w:val="en-US" w:eastAsia="zh-CN"/>
        </w:rPr>
        <w:t>u</w:t>
      </w:r>
      <w:r>
        <w:rPr>
          <w:rFonts w:hint="eastAsia"/>
          <w:color w:val="auto"/>
          <w:highlight w:val="none"/>
          <w:lang w:val="en-US" w:eastAsia="zh-CN"/>
        </w:rPr>
        <w:t>—</w:t>
      </w:r>
      <w:r>
        <w:rPr>
          <w:rFonts w:hint="default"/>
          <w:color w:val="auto"/>
          <w:highlight w:val="none"/>
          <w:lang w:val="en-US" w:eastAsia="zh-CN"/>
        </w:rPr>
        <w:t>水流速度，m/d</w:t>
      </w:r>
      <w:r>
        <w:rPr>
          <w:rFonts w:hint="eastAsia"/>
          <w:color w:val="auto"/>
          <w:highlight w:val="none"/>
          <w:lang w:val="en-US" w:eastAsia="zh-CN"/>
        </w:rPr>
        <w:t>；</w:t>
      </w:r>
    </w:p>
    <w:p w14:paraId="564A1EEF">
      <w:pPr>
        <w:bidi w:val="0"/>
        <w:rPr>
          <w:rFonts w:hint="default"/>
          <w:color w:val="auto"/>
          <w:highlight w:val="none"/>
          <w:lang w:val="en-US" w:eastAsia="zh-CN"/>
        </w:rPr>
      </w:pPr>
      <w:r>
        <w:rPr>
          <w:rFonts w:hint="default"/>
          <w:color w:val="auto"/>
          <w:highlight w:val="none"/>
          <w:lang w:val="en-US" w:eastAsia="zh-CN"/>
        </w:rPr>
        <w:t>n</w:t>
      </w:r>
      <w:r>
        <w:rPr>
          <w:rFonts w:hint="eastAsia"/>
          <w:color w:val="auto"/>
          <w:highlight w:val="none"/>
          <w:lang w:val="en-US" w:eastAsia="zh-CN"/>
        </w:rPr>
        <w:t>—</w:t>
      </w:r>
      <w:r>
        <w:rPr>
          <w:rFonts w:hint="default"/>
          <w:color w:val="auto"/>
          <w:highlight w:val="none"/>
          <w:lang w:val="en-US" w:eastAsia="zh-CN"/>
        </w:rPr>
        <w:t>有效孔隙度，无量纲</w:t>
      </w:r>
      <w:r>
        <w:rPr>
          <w:rFonts w:hint="eastAsia"/>
          <w:color w:val="auto"/>
          <w:highlight w:val="none"/>
          <w:lang w:val="en-US" w:eastAsia="zh-CN"/>
        </w:rPr>
        <w:t>；</w:t>
      </w:r>
    </w:p>
    <w:p w14:paraId="1A02AA45">
      <w:pPr>
        <w:bidi w:val="0"/>
        <w:rPr>
          <w:rFonts w:hint="default"/>
          <w:color w:val="auto"/>
          <w:highlight w:val="none"/>
          <w:lang w:val="en-US" w:eastAsia="zh-CN"/>
        </w:rPr>
      </w:pPr>
      <w:r>
        <w:rPr>
          <w:rFonts w:hint="default"/>
          <w:color w:val="auto"/>
          <w:highlight w:val="none"/>
          <w:lang w:val="en-US" w:eastAsia="zh-CN"/>
        </w:rPr>
        <w:t>D</w:t>
      </w:r>
      <w:r>
        <w:rPr>
          <w:rFonts w:hint="eastAsia"/>
          <w:color w:val="auto"/>
          <w:highlight w:val="none"/>
          <w:vertAlign w:val="subscript"/>
          <w:lang w:val="en-US" w:eastAsia="zh-CN"/>
        </w:rPr>
        <w:t>L</w:t>
      </w:r>
      <w:r>
        <w:rPr>
          <w:rFonts w:hint="eastAsia"/>
          <w:color w:val="auto"/>
          <w:highlight w:val="none"/>
          <w:lang w:val="en-US" w:eastAsia="zh-CN"/>
        </w:rPr>
        <w:t>—</w:t>
      </w:r>
      <w:r>
        <w:rPr>
          <w:rFonts w:hint="default"/>
          <w:color w:val="auto"/>
          <w:highlight w:val="none"/>
          <w:lang w:val="en-US" w:eastAsia="zh-CN"/>
        </w:rPr>
        <w:t>纵向弥散系数，m</w:t>
      </w:r>
      <w:r>
        <w:rPr>
          <w:rFonts w:hint="default"/>
          <w:color w:val="auto"/>
          <w:highlight w:val="none"/>
          <w:vertAlign w:val="superscript"/>
          <w:lang w:val="en-US" w:eastAsia="zh-CN"/>
        </w:rPr>
        <w:t>2</w:t>
      </w:r>
      <w:r>
        <w:rPr>
          <w:rFonts w:hint="default"/>
          <w:color w:val="auto"/>
          <w:highlight w:val="none"/>
          <w:lang w:val="en-US" w:eastAsia="zh-CN"/>
        </w:rPr>
        <w:t>/d</w:t>
      </w:r>
      <w:r>
        <w:rPr>
          <w:rFonts w:hint="eastAsia"/>
          <w:color w:val="auto"/>
          <w:highlight w:val="none"/>
          <w:lang w:val="en-US" w:eastAsia="zh-CN"/>
        </w:rPr>
        <w:t>；</w:t>
      </w:r>
    </w:p>
    <w:p w14:paraId="396BBBCA">
      <w:pPr>
        <w:bidi w:val="0"/>
        <w:rPr>
          <w:rFonts w:hint="default"/>
          <w:color w:val="auto"/>
          <w:highlight w:val="none"/>
          <w:lang w:val="en-US" w:eastAsia="zh-CN"/>
        </w:rPr>
      </w:pPr>
      <w:r>
        <w:rPr>
          <w:rFonts w:hint="default"/>
          <w:color w:val="auto"/>
          <w:highlight w:val="none"/>
          <w:lang w:val="en-US" w:eastAsia="zh-CN"/>
        </w:rPr>
        <w:t>erfc</w:t>
      </w:r>
      <w:r>
        <w:rPr>
          <w:rFonts w:hint="eastAsia"/>
          <w:color w:val="auto"/>
          <w:highlight w:val="none"/>
          <w:lang w:val="en-US" w:eastAsia="zh-CN"/>
        </w:rPr>
        <w:t>（ ）—</w:t>
      </w:r>
      <w:r>
        <w:rPr>
          <w:rFonts w:hint="default"/>
          <w:color w:val="auto"/>
          <w:highlight w:val="none"/>
          <w:lang w:val="en-US" w:eastAsia="zh-CN"/>
        </w:rPr>
        <w:t>余误差函数</w:t>
      </w:r>
      <w:r>
        <w:rPr>
          <w:rFonts w:hint="eastAsia"/>
          <w:color w:val="auto"/>
          <w:highlight w:val="none"/>
          <w:lang w:val="en-US" w:eastAsia="zh-CN"/>
        </w:rPr>
        <w:t>（</w:t>
      </w:r>
      <w:r>
        <w:rPr>
          <w:rFonts w:hint="default"/>
          <w:color w:val="auto"/>
          <w:highlight w:val="none"/>
          <w:lang w:val="en-US" w:eastAsia="zh-CN"/>
        </w:rPr>
        <w:t>可查《水文地质手册》获得</w:t>
      </w:r>
      <w:r>
        <w:rPr>
          <w:rFonts w:hint="eastAsia"/>
          <w:color w:val="auto"/>
          <w:highlight w:val="none"/>
          <w:lang w:val="en-US" w:eastAsia="zh-CN"/>
        </w:rPr>
        <w:t>）</w:t>
      </w:r>
      <w:r>
        <w:rPr>
          <w:rFonts w:hint="default"/>
          <w:color w:val="auto"/>
          <w:highlight w:val="none"/>
          <w:lang w:val="en-US" w:eastAsia="zh-CN"/>
        </w:rPr>
        <w:t>。</w:t>
      </w:r>
    </w:p>
    <w:p w14:paraId="59EE4208">
      <w:pPr>
        <w:bidi w:val="0"/>
        <w:rPr>
          <w:rFonts w:hint="default"/>
          <w:color w:val="auto"/>
          <w:highlight w:val="none"/>
          <w:lang w:val="en-US" w:eastAsia="zh-CN"/>
        </w:rPr>
      </w:pPr>
      <w:r>
        <w:rPr>
          <w:rFonts w:hint="default"/>
          <w:color w:val="auto"/>
          <w:highlight w:val="none"/>
          <w:lang w:val="en-US" w:eastAsia="zh-CN"/>
        </w:rPr>
        <w:t>利用所选取的污染物迁移模型，能否达到对污染物迁移过程的合理预测，关键就在于模型参数的选取和确定是否正确合理。</w:t>
      </w:r>
    </w:p>
    <w:p w14:paraId="3B8573AD">
      <w:pPr>
        <w:bidi w:val="0"/>
        <w:rPr>
          <w:rFonts w:hint="eastAsia"/>
          <w:color w:val="auto"/>
          <w:highlight w:val="none"/>
          <w:lang w:val="en-US" w:eastAsia="zh-CN"/>
        </w:rPr>
      </w:pPr>
      <w:r>
        <w:rPr>
          <w:rFonts w:hint="default"/>
          <w:color w:val="auto"/>
          <w:highlight w:val="none"/>
          <w:lang w:val="en-US" w:eastAsia="zh-CN"/>
        </w:rPr>
        <w:t>由上述模型可知，模型需要的参数有</w:t>
      </w:r>
      <w:r>
        <w:rPr>
          <w:rFonts w:hint="eastAsia"/>
          <w:color w:val="auto"/>
          <w:highlight w:val="none"/>
          <w:lang w:val="en-US" w:eastAsia="zh-CN"/>
        </w:rPr>
        <w:t>：</w:t>
      </w:r>
      <w:r>
        <w:rPr>
          <w:rFonts w:hint="default"/>
          <w:color w:val="auto"/>
          <w:highlight w:val="none"/>
          <w:lang w:val="en-US" w:eastAsia="zh-CN"/>
        </w:rPr>
        <w:t>注入的示踪剂浓度</w:t>
      </w:r>
      <w:r>
        <w:rPr>
          <w:rFonts w:hint="eastAsia"/>
          <w:color w:val="auto"/>
          <w:highlight w:val="none"/>
          <w:lang w:val="en-US" w:eastAsia="zh-CN"/>
        </w:rPr>
        <w:t>C</w:t>
      </w:r>
      <w:r>
        <w:rPr>
          <w:rFonts w:hint="eastAsia"/>
          <w:color w:val="auto"/>
          <w:highlight w:val="none"/>
          <w:vertAlign w:val="subscript"/>
          <w:lang w:val="en-US" w:eastAsia="zh-CN"/>
        </w:rPr>
        <w:t>0</w:t>
      </w:r>
      <w:r>
        <w:rPr>
          <w:rFonts w:hint="eastAsia"/>
          <w:color w:val="auto"/>
          <w:highlight w:val="none"/>
          <w:lang w:val="en-US" w:eastAsia="zh-CN"/>
        </w:rPr>
        <w:t>；</w:t>
      </w:r>
      <w:r>
        <w:rPr>
          <w:rFonts w:hint="default"/>
          <w:color w:val="auto"/>
          <w:highlight w:val="none"/>
          <w:lang w:val="en-US" w:eastAsia="zh-CN"/>
        </w:rPr>
        <w:t>有效孔隙度n</w:t>
      </w:r>
      <w:r>
        <w:rPr>
          <w:rFonts w:hint="eastAsia"/>
          <w:color w:val="auto"/>
          <w:highlight w:val="none"/>
          <w:lang w:val="en-US" w:eastAsia="zh-CN"/>
        </w:rPr>
        <w:t>；</w:t>
      </w:r>
      <w:r>
        <w:rPr>
          <w:rFonts w:hint="default"/>
          <w:color w:val="auto"/>
          <w:highlight w:val="none"/>
          <w:lang w:val="en-US" w:eastAsia="zh-CN"/>
        </w:rPr>
        <w:t>水流的实际平均速度u</w:t>
      </w:r>
      <w:r>
        <w:rPr>
          <w:rFonts w:hint="eastAsia"/>
          <w:color w:val="auto"/>
          <w:highlight w:val="none"/>
          <w:lang w:val="en-US" w:eastAsia="zh-CN"/>
        </w:rPr>
        <w:t>；</w:t>
      </w:r>
      <w:r>
        <w:rPr>
          <w:rFonts w:hint="default"/>
          <w:color w:val="auto"/>
          <w:highlight w:val="none"/>
          <w:lang w:val="en-US" w:eastAsia="zh-CN"/>
        </w:rPr>
        <w:t>污染物在含水层中的纵向弥散系数D</w:t>
      </w:r>
      <w:r>
        <w:rPr>
          <w:rFonts w:hint="default"/>
          <w:color w:val="auto"/>
          <w:highlight w:val="none"/>
          <w:vertAlign w:val="subscript"/>
          <w:lang w:val="en-US" w:eastAsia="zh-CN"/>
        </w:rPr>
        <w:t>L</w:t>
      </w:r>
      <w:r>
        <w:rPr>
          <w:rFonts w:hint="eastAsia"/>
          <w:color w:val="auto"/>
          <w:highlight w:val="none"/>
          <w:lang w:val="en-US" w:eastAsia="zh-CN"/>
        </w:rPr>
        <w:t>；</w:t>
      </w:r>
      <w:r>
        <w:rPr>
          <w:rFonts w:hint="default"/>
          <w:color w:val="auto"/>
          <w:highlight w:val="none"/>
          <w:lang w:val="en-US" w:eastAsia="zh-CN"/>
        </w:rPr>
        <w:t>这些参数主要由勘察成果资料来确定</w:t>
      </w:r>
      <w:r>
        <w:rPr>
          <w:rFonts w:hint="eastAsia"/>
          <w:color w:val="auto"/>
          <w:highlight w:val="none"/>
          <w:lang w:val="en-US" w:eastAsia="zh-CN"/>
        </w:rPr>
        <w:t>：</w:t>
      </w:r>
    </w:p>
    <w:p w14:paraId="4C54C94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rPr>
          <w:rFonts w:hint="default" w:ascii="Times New Roman" w:hAnsi="Times New Roman" w:eastAsia="宋体" w:cs="Times New Roman"/>
          <w:color w:val="auto"/>
          <w:sz w:val="24"/>
          <w:szCs w:val="24"/>
          <w:highlight w:val="none"/>
        </w:rPr>
      </w:pPr>
      <w:r>
        <w:rPr>
          <w:rFonts w:hint="eastAsia"/>
          <w:color w:val="auto"/>
          <w:highlight w:val="none"/>
          <w:lang w:val="en-US" w:eastAsia="zh-CN"/>
        </w:rPr>
        <w:t>含水层的平均有效孔隙度n：</w:t>
      </w:r>
      <w:r>
        <w:rPr>
          <w:rFonts w:hint="default" w:ascii="Times New Roman" w:hAnsi="Times New Roman" w:eastAsia="宋体" w:cs="Times New Roman"/>
          <w:color w:val="auto"/>
          <w:sz w:val="24"/>
          <w:szCs w:val="24"/>
          <w:highlight w:val="none"/>
        </w:rPr>
        <w:t>含水层密实程度为中密，根据《水文地质手册》，可取孔隙度为0.</w:t>
      </w:r>
      <w:r>
        <w:rPr>
          <w:rFonts w:hint="eastAsia" w:ascii="Times New Roman" w:hAnsi="Times New Roman" w:cs="Times New Roman"/>
          <w:color w:val="auto"/>
          <w:sz w:val="24"/>
          <w:szCs w:val="24"/>
          <w:highlight w:val="none"/>
          <w:lang w:val="en-US" w:eastAsia="zh-CN"/>
        </w:rPr>
        <w:t>35</w:t>
      </w:r>
      <w:r>
        <w:rPr>
          <w:rFonts w:hint="default" w:ascii="Times New Roman" w:hAnsi="Times New Roman" w:eastAsia="宋体" w:cs="Times New Roman"/>
          <w:color w:val="auto"/>
          <w:sz w:val="24"/>
          <w:szCs w:val="24"/>
          <w:highlight w:val="none"/>
        </w:rPr>
        <w:t>，而根据以往</w:t>
      </w:r>
      <w:r>
        <w:rPr>
          <w:rFonts w:hint="eastAsia" w:ascii="Times New Roman" w:hAnsi="Times New Roman" w:eastAsia="宋体" w:cs="Times New Roman"/>
          <w:color w:val="auto"/>
          <w:sz w:val="24"/>
          <w:szCs w:val="24"/>
          <w:highlight w:val="none"/>
          <w:lang w:eastAsia="zh-CN"/>
        </w:rPr>
        <w:t>生产</w:t>
      </w:r>
      <w:r>
        <w:rPr>
          <w:rFonts w:hint="default" w:ascii="Times New Roman" w:hAnsi="Times New Roman" w:eastAsia="宋体" w:cs="Times New Roman"/>
          <w:color w:val="auto"/>
          <w:sz w:val="24"/>
          <w:szCs w:val="24"/>
          <w:highlight w:val="none"/>
        </w:rPr>
        <w:t>经验，有效孔隙度一般比孔隙度小10%</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20%，因此本次取有效孔隙度n=0.</w:t>
      </w:r>
      <w:r>
        <w:rPr>
          <w:rFonts w:hint="eastAsia" w:ascii="Times New Roman" w:hAnsi="Times New Roman" w:cs="Times New Roman"/>
          <w:color w:val="auto"/>
          <w:sz w:val="24"/>
          <w:szCs w:val="24"/>
          <w:highlight w:val="none"/>
          <w:lang w:val="en-US" w:eastAsia="zh-CN"/>
        </w:rPr>
        <w:t>3</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×0.8=0.</w:t>
      </w:r>
      <w:r>
        <w:rPr>
          <w:rFonts w:hint="eastAsia" w:ascii="Times New Roman" w:hAnsi="Times New Roman" w:cs="Times New Roman"/>
          <w:color w:val="auto"/>
          <w:sz w:val="24"/>
          <w:szCs w:val="24"/>
          <w:highlight w:val="none"/>
          <w:lang w:val="en-US" w:eastAsia="zh-CN"/>
        </w:rPr>
        <w:t>28</w:t>
      </w:r>
      <w:r>
        <w:rPr>
          <w:rFonts w:hint="default" w:ascii="Times New Roman" w:hAnsi="Times New Roman" w:eastAsia="宋体" w:cs="Times New Roman"/>
          <w:color w:val="auto"/>
          <w:sz w:val="24"/>
          <w:szCs w:val="24"/>
          <w:highlight w:val="none"/>
        </w:rPr>
        <w:t>。</w:t>
      </w:r>
    </w:p>
    <w:p w14:paraId="04A90126">
      <w:pPr>
        <w:bidi w:val="0"/>
        <w:rPr>
          <w:rFonts w:hint="eastAsia"/>
          <w:color w:val="auto"/>
          <w:highlight w:val="none"/>
          <w:lang w:val="en-US" w:eastAsia="zh-CN"/>
        </w:rPr>
      </w:pPr>
      <w:r>
        <w:rPr>
          <w:rFonts w:hint="eastAsia"/>
          <w:color w:val="auto"/>
          <w:highlight w:val="none"/>
          <w:lang w:val="en-US" w:eastAsia="zh-CN"/>
        </w:rPr>
        <w:t>水流实际平均流速u：项目水文地质岩性，项目渗透系数为1.5m/d。水力坡度I=0.016，因此地下水的渗透流速：</w:t>
      </w:r>
    </w:p>
    <w:p w14:paraId="41A6075B">
      <w:pPr>
        <w:bidi w:val="0"/>
        <w:rPr>
          <w:rFonts w:hint="eastAsia"/>
          <w:color w:val="auto"/>
          <w:highlight w:val="none"/>
          <w:lang w:val="en-US" w:eastAsia="zh-CN"/>
        </w:rPr>
      </w:pPr>
      <w:r>
        <w:rPr>
          <w:rFonts w:hint="eastAsia"/>
          <w:color w:val="auto"/>
          <w:highlight w:val="none"/>
          <w:lang w:val="en-US" w:eastAsia="zh-CN"/>
        </w:rPr>
        <w:t>V=KI=1.5×0.016=0.024m/d</w:t>
      </w:r>
    </w:p>
    <w:p w14:paraId="79FD0D22">
      <w:pPr>
        <w:bidi w:val="0"/>
        <w:rPr>
          <w:rFonts w:hint="default"/>
          <w:color w:val="auto"/>
          <w:highlight w:val="none"/>
          <w:lang w:val="en-US" w:eastAsia="zh-CN"/>
        </w:rPr>
      </w:pPr>
      <w:r>
        <w:rPr>
          <w:rFonts w:hint="eastAsia"/>
          <w:color w:val="auto"/>
          <w:highlight w:val="none"/>
          <w:lang w:val="en-US" w:eastAsia="zh-CN"/>
        </w:rPr>
        <w:t>平均实际流速u=V/n=0.09m/d</w:t>
      </w:r>
    </w:p>
    <w:p w14:paraId="16EC1DC5">
      <w:pPr>
        <w:bidi w:val="0"/>
        <w:rPr>
          <w:rFonts w:hint="eastAsia"/>
          <w:color w:val="auto"/>
          <w:highlight w:val="none"/>
          <w:lang w:val="en-US" w:eastAsia="zh-CN"/>
        </w:rPr>
      </w:pPr>
      <w:r>
        <w:rPr>
          <w:rFonts w:hint="eastAsia"/>
          <w:color w:val="auto"/>
          <w:highlight w:val="none"/>
          <w:lang w:val="en-US" w:eastAsia="zh-CN"/>
        </w:rPr>
        <w:t>纵向x方向的弥散系数DL：</w:t>
      </w:r>
    </w:p>
    <w:p w14:paraId="4D97AE3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rPr>
          <w:rFonts w:hint="default" w:ascii="Times New Roman" w:hAnsi="Times New Roman" w:eastAsia="宋体" w:cs="Times New Roman"/>
          <w:color w:val="auto"/>
          <w:sz w:val="24"/>
          <w:szCs w:val="24"/>
          <w:highlight w:val="none"/>
        </w:rPr>
      </w:pPr>
      <w:r>
        <w:rPr>
          <w:rFonts w:hint="eastAsia"/>
          <w:color w:val="auto"/>
          <w:highlight w:val="none"/>
          <w:lang w:val="en-US" w:eastAsia="zh-CN"/>
        </w:rPr>
        <w:t>参考Gelhar等人关于纵向弥散度与观测尺度关系的理论，通常弥散度随着溶质运移距离的增加而加大，这种现象称之为水动力弥散尺度效应。其具体表现为：野外弥散试验所求出的弥散度远远大于在实验室所测出的值；即使是同一含水层，溶质运</w:t>
      </w:r>
      <w:r>
        <w:rPr>
          <w:rFonts w:hint="default" w:ascii="Times New Roman" w:hAnsi="Times New Roman" w:cs="Times New Roman"/>
          <w:color w:val="auto"/>
          <w:highlight w:val="none"/>
          <w:lang w:val="en-US" w:eastAsia="zh-CN"/>
        </w:rPr>
        <w:t>移距离越大，所计算出的弥散度也越大。将世界范围内所收集到的百余个水质模型中所使用的纵向弥散度αL绘在双对数坐标纸上，从图上可以看出纵向弥散度αL从整体上随着尺度的增加而增大（图</w:t>
      </w:r>
      <w:r>
        <w:rPr>
          <w:rFonts w:hint="eastAsia" w:cs="Times New Roman"/>
          <w:color w:val="auto"/>
          <w:highlight w:val="none"/>
          <w:lang w:val="en-US" w:eastAsia="zh-CN"/>
        </w:rPr>
        <w:t>5.2-2</w:t>
      </w:r>
      <w:r>
        <w:rPr>
          <w:rFonts w:hint="default" w:ascii="Times New Roman" w:hAnsi="Times New Roman" w:cs="Times New Roman"/>
          <w:color w:val="auto"/>
          <w:highlight w:val="none"/>
          <w:lang w:val="en-US" w:eastAsia="zh-CN"/>
        </w:rPr>
        <w:t>）。基准尺度Ls是指研究区大小的度量，一般用溶质运移到观测孔的最大距离表示，或用计算区的近似最大内径长度代替。故本次参考以往研究成果，考虑距污染源下游约500m的研究区范围，因此，本次模</w:t>
      </w:r>
      <w:r>
        <w:rPr>
          <w:rFonts w:hint="eastAsia"/>
          <w:color w:val="auto"/>
          <w:highlight w:val="none"/>
          <w:lang w:val="en-US" w:eastAsia="zh-CN"/>
        </w:rPr>
        <w:t>拟取弥散度参数值取5m。</w:t>
      </w:r>
      <w:r>
        <w:rPr>
          <w:rFonts w:hint="default" w:ascii="Times New Roman" w:hAnsi="Times New Roman" w:eastAsia="宋体" w:cs="Times New Roman"/>
          <w:color w:val="auto"/>
          <w:sz w:val="24"/>
          <w:szCs w:val="24"/>
          <w:highlight w:val="none"/>
        </w:rPr>
        <w:t>利用所选取的污染物迁移模型，能否达到对污染物迁移过程的合理预测，关键就在于模型参数的选取和确定是否正确合理。</w:t>
      </w:r>
    </w:p>
    <w:p w14:paraId="6AA1A860">
      <w:pPr>
        <w:keepNext w:val="0"/>
        <w:keepLines w:val="0"/>
        <w:pageBreakBefore w:val="0"/>
        <w:widowControl w:val="0"/>
        <w:kinsoku/>
        <w:wordWrap/>
        <w:overflowPunct/>
        <w:topLinePunct w:val="0"/>
        <w:bidi w:val="0"/>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lang w:val="en-US" w:eastAsia="zh-CN"/>
        </w:rPr>
      </w:pPr>
      <w:r>
        <w:rPr>
          <w:color w:val="auto"/>
          <w:highlight w:val="none"/>
        </w:rPr>
        <w:drawing>
          <wp:inline distT="0" distB="0" distL="114300" distR="114300">
            <wp:extent cx="2798445" cy="2179320"/>
            <wp:effectExtent l="0" t="0" r="1905" b="11430"/>
            <wp:docPr id="19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3"/>
                    <pic:cNvPicPr>
                      <a:picLocks noChangeAspect="1"/>
                    </pic:cNvPicPr>
                  </pic:nvPicPr>
                  <pic:blipFill>
                    <a:blip r:embed="rId39"/>
                    <a:stretch>
                      <a:fillRect/>
                    </a:stretch>
                  </pic:blipFill>
                  <pic:spPr>
                    <a:xfrm>
                      <a:off x="0" y="0"/>
                      <a:ext cx="2798445" cy="2179320"/>
                    </a:xfrm>
                    <a:prstGeom prst="rect">
                      <a:avLst/>
                    </a:prstGeom>
                    <a:noFill/>
                    <a:ln>
                      <a:noFill/>
                    </a:ln>
                  </pic:spPr>
                </pic:pic>
              </a:graphicData>
            </a:graphic>
          </wp:inline>
        </w:drawing>
      </w:r>
    </w:p>
    <w:p w14:paraId="688A795B">
      <w:pPr>
        <w:keepNext w:val="0"/>
        <w:keepLines w:val="0"/>
        <w:pageBreakBefore w:val="0"/>
        <w:widowControl w:val="0"/>
        <w:kinsoku/>
        <w:wordWrap/>
        <w:overflowPunct/>
        <w:topLinePunct w:val="0"/>
        <w:bidi w:val="0"/>
        <w:snapToGrid/>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图5.2-</w:t>
      </w:r>
      <w:r>
        <w:rPr>
          <w:rFonts w:hint="eastAsia"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 xml:space="preserve">    lg</w:t>
      </w:r>
      <w:r>
        <w:rPr>
          <w:rFonts w:hint="default" w:ascii="Times New Roman" w:hAnsi="Times New Roman" w:eastAsia="宋体" w:cs="Times New Roman"/>
          <w:color w:val="auto"/>
          <w:sz w:val="24"/>
          <w:szCs w:val="24"/>
          <w:highlight w:val="none"/>
          <w:lang w:val="en-US" w:eastAsia="zh-CN"/>
        </w:rPr>
        <w:t>α</w:t>
      </w:r>
      <w:r>
        <w:rPr>
          <w:rFonts w:hint="default" w:ascii="Times New Roman" w:hAnsi="Times New Roman" w:eastAsia="宋体" w:cs="Times New Roman"/>
          <w:color w:val="auto"/>
          <w:sz w:val="24"/>
          <w:szCs w:val="24"/>
          <w:highlight w:val="none"/>
          <w:vertAlign w:val="subscript"/>
          <w:lang w:val="en-US" w:eastAsia="zh-CN"/>
        </w:rPr>
        <w:t>L---</w:t>
      </w:r>
      <w:r>
        <w:rPr>
          <w:rFonts w:hint="default" w:ascii="Times New Roman" w:hAnsi="Times New Roman" w:eastAsia="宋体" w:cs="Times New Roman"/>
          <w:b/>
          <w:bCs/>
          <w:color w:val="auto"/>
          <w:sz w:val="24"/>
          <w:szCs w:val="24"/>
          <w:highlight w:val="none"/>
          <w:lang w:val="en-US" w:eastAsia="zh-CN"/>
        </w:rPr>
        <w:t>lg</w:t>
      </w:r>
      <w:r>
        <w:rPr>
          <w:rFonts w:hint="default" w:ascii="Times New Roman" w:hAnsi="Times New Roman" w:eastAsia="宋体" w:cs="Times New Roman"/>
          <w:color w:val="auto"/>
          <w:sz w:val="24"/>
          <w:szCs w:val="24"/>
          <w:highlight w:val="none"/>
          <w:lang w:val="en-US" w:eastAsia="zh-CN"/>
        </w:rPr>
        <w:t>α</w:t>
      </w:r>
      <w:r>
        <w:rPr>
          <w:rFonts w:hint="default" w:ascii="Times New Roman" w:hAnsi="Times New Roman" w:eastAsia="宋体" w:cs="Times New Roman"/>
          <w:color w:val="auto"/>
          <w:sz w:val="24"/>
          <w:szCs w:val="24"/>
          <w:highlight w:val="none"/>
          <w:vertAlign w:val="subscript"/>
          <w:lang w:val="en-US" w:eastAsia="zh-CN"/>
        </w:rPr>
        <w:t>s</w:t>
      </w:r>
      <w:r>
        <w:rPr>
          <w:rFonts w:hint="default" w:ascii="Times New Roman" w:hAnsi="Times New Roman" w:eastAsia="宋体" w:cs="Times New Roman"/>
          <w:b/>
          <w:bCs/>
          <w:color w:val="auto"/>
          <w:sz w:val="24"/>
          <w:szCs w:val="24"/>
          <w:highlight w:val="none"/>
          <w:lang w:val="en-US" w:eastAsia="zh-CN"/>
        </w:rPr>
        <w:t>关系图</w:t>
      </w:r>
    </w:p>
    <w:p w14:paraId="00735338">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480" w:firstLineChars="200"/>
        <w:jc w:val="both"/>
        <w:textAlignment w:val="auto"/>
        <w:outlineLvl w:val="9"/>
        <w:rPr>
          <w:rFonts w:hint="eastAsia" w:ascii="Times New Roman" w:hAnsi="Times New Roman"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模型计算中纵向弥散度选用</w:t>
      </w:r>
      <w:r>
        <w:rPr>
          <w:rFonts w:hint="eastAsia"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m。由此计算项目区含水层中的纵向弥散系数D</w:t>
      </w:r>
      <w:r>
        <w:rPr>
          <w:rFonts w:hint="default" w:ascii="Times New Roman" w:hAnsi="Times New Roman" w:eastAsia="宋体" w:cs="Times New Roman"/>
          <w:color w:val="auto"/>
          <w:sz w:val="24"/>
          <w:highlight w:val="none"/>
          <w:vertAlign w:val="subscript"/>
          <w:lang w:val="en-US" w:eastAsia="zh-CN"/>
        </w:rPr>
        <w:t>L</w:t>
      </w:r>
      <w:r>
        <w:rPr>
          <w:rFonts w:hint="default" w:ascii="Times New Roman" w:hAnsi="Times New Roman" w:eastAsia="宋体" w:cs="Times New Roman"/>
          <w:color w:val="auto"/>
          <w:sz w:val="24"/>
          <w:highlight w:val="none"/>
          <w:lang w:val="en-US" w:eastAsia="zh-CN"/>
        </w:rPr>
        <w:t>=</w:t>
      </w:r>
      <w:r>
        <w:rPr>
          <w:rFonts w:hint="default" w:ascii="Arial" w:hAnsi="Arial" w:eastAsia="宋体" w:cs="Arial"/>
          <w:color w:val="auto"/>
          <w:sz w:val="24"/>
          <w:highlight w:val="none"/>
          <w:lang w:val="en-US" w:eastAsia="zh-CN"/>
        </w:rPr>
        <w:t>α</w:t>
      </w:r>
      <w:r>
        <w:rPr>
          <w:rFonts w:hint="default" w:ascii="Times New Roman" w:hAnsi="Times New Roman" w:eastAsia="宋体" w:cs="Times New Roman"/>
          <w:color w:val="auto"/>
          <w:sz w:val="24"/>
          <w:highlight w:val="none"/>
          <w:vertAlign w:val="subscript"/>
          <w:lang w:val="en-US" w:eastAsia="zh-CN"/>
        </w:rPr>
        <w:t>L</w:t>
      </w:r>
      <w:r>
        <w:rPr>
          <w:rFonts w:hint="default" w:ascii="Arial" w:hAnsi="Arial" w:eastAsia="宋体" w:cs="Arial"/>
          <w:color w:val="auto"/>
          <w:sz w:val="24"/>
          <w:highlight w:val="none"/>
          <w:vertAlign w:val="subscript"/>
          <w:lang w:val="en-US" w:eastAsia="zh-CN"/>
        </w:rPr>
        <w:t>×</w:t>
      </w:r>
      <w:r>
        <w:rPr>
          <w:rFonts w:hint="default" w:ascii="Times New Roman" w:hAnsi="Times New Roman" w:eastAsia="宋体" w:cs="Times New Roman"/>
          <w:color w:val="auto"/>
          <w:sz w:val="24"/>
          <w:highlight w:val="none"/>
          <w:lang w:val="en-US" w:eastAsia="zh-CN"/>
        </w:rPr>
        <w:t>u =</w:t>
      </w:r>
      <w:r>
        <w:rPr>
          <w:rFonts w:hint="eastAsia" w:cs="Times New Roman"/>
          <w:color w:val="auto"/>
          <w:sz w:val="24"/>
          <w:highlight w:val="none"/>
          <w:lang w:val="en-US" w:eastAsia="zh-CN"/>
        </w:rPr>
        <w:t>1.5</w:t>
      </w:r>
      <w:r>
        <w:rPr>
          <w:rFonts w:hint="default" w:ascii="Times New Roman" w:hAnsi="Times New Roman" w:eastAsia="宋体"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0.</w:t>
      </w:r>
      <w:r>
        <w:rPr>
          <w:rFonts w:hint="eastAsia" w:cs="Times New Roman"/>
          <w:color w:val="auto"/>
          <w:sz w:val="24"/>
          <w:highlight w:val="none"/>
          <w:lang w:val="en-US" w:eastAsia="zh-CN"/>
        </w:rPr>
        <w:t>09</w:t>
      </w:r>
      <w:r>
        <w:rPr>
          <w:rFonts w:hint="default" w:ascii="Times New Roman" w:hAnsi="Times New Roman" w:eastAsia="宋体" w:cs="Times New Roman"/>
          <w:color w:val="auto"/>
          <w:sz w:val="24"/>
          <w:highlight w:val="none"/>
          <w:lang w:val="en-US" w:eastAsia="zh-CN"/>
        </w:rPr>
        <w:t>m/d=</w:t>
      </w:r>
      <w:r>
        <w:rPr>
          <w:rFonts w:hint="eastAsia" w:cs="Times New Roman"/>
          <w:color w:val="auto"/>
          <w:sz w:val="24"/>
          <w:highlight w:val="none"/>
          <w:lang w:val="en-US" w:eastAsia="zh-CN"/>
        </w:rPr>
        <w:t>0.135</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/d</w:t>
      </w:r>
      <w:r>
        <w:rPr>
          <w:rFonts w:hint="eastAsia" w:ascii="Times New Roman" w:hAnsi="Times New Roman" w:eastAsia="宋体"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w:t>
      </w:r>
    </w:p>
    <w:p w14:paraId="6859E32D">
      <w:pPr>
        <w:keepNext w:val="0"/>
        <w:keepLines w:val="0"/>
        <w:pageBreakBefore w:val="0"/>
        <w:widowControl w:val="0"/>
        <w:kinsoku/>
        <w:wordWrap/>
        <w:overflowPunct/>
        <w:topLinePunct w:val="0"/>
        <w:bidi w:val="0"/>
        <w:snapToGrid/>
        <w:spacing w:line="480" w:lineRule="exact"/>
        <w:jc w:val="center"/>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表5.2-</w:t>
      </w:r>
      <w:r>
        <w:rPr>
          <w:rFonts w:hint="eastAsia" w:cs="Times New Roman"/>
          <w:b/>
          <w:bCs/>
          <w:color w:val="auto"/>
          <w:sz w:val="24"/>
          <w:highlight w:val="none"/>
          <w:lang w:val="en-US" w:eastAsia="zh-CN"/>
        </w:rPr>
        <w:t>13</w:t>
      </w:r>
      <w:r>
        <w:rPr>
          <w:rFonts w:hint="default" w:ascii="Times New Roman" w:hAnsi="Times New Roman" w:cs="Times New Roman"/>
          <w:b/>
          <w:bCs/>
          <w:color w:val="auto"/>
          <w:sz w:val="24"/>
          <w:highlight w:val="none"/>
          <w:lang w:val="en-US" w:eastAsia="zh-CN"/>
        </w:rPr>
        <w:t xml:space="preserve">    地下水预测参数一览表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6"/>
        <w:gridCol w:w="2026"/>
        <w:gridCol w:w="2473"/>
        <w:gridCol w:w="2304"/>
      </w:tblGrid>
      <w:tr w14:paraId="24E7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7" w:type="pct"/>
            <w:tcBorders>
              <w:tl2br w:val="nil"/>
              <w:tr2bl w:val="nil"/>
            </w:tcBorders>
            <w:noWrap w:val="0"/>
            <w:vAlign w:val="center"/>
          </w:tcPr>
          <w:p w14:paraId="785F6877">
            <w:pPr>
              <w:pStyle w:val="17"/>
              <w:bidi w:val="0"/>
              <w:rPr>
                <w:rFonts w:hint="default"/>
                <w:color w:val="auto"/>
                <w:highlight w:val="none"/>
                <w:lang w:val="en-US" w:eastAsia="zh-CN"/>
              </w:rPr>
            </w:pPr>
            <w:r>
              <w:rPr>
                <w:rFonts w:hint="default"/>
                <w:color w:val="auto"/>
                <w:highlight w:val="none"/>
                <w:lang w:val="en-US" w:eastAsia="zh-CN"/>
              </w:rPr>
              <w:t>预测因子</w:t>
            </w:r>
          </w:p>
        </w:tc>
        <w:tc>
          <w:tcPr>
            <w:tcW w:w="1189" w:type="pct"/>
            <w:tcBorders>
              <w:tl2br w:val="nil"/>
              <w:tr2bl w:val="nil"/>
            </w:tcBorders>
            <w:noWrap w:val="0"/>
            <w:vAlign w:val="center"/>
          </w:tcPr>
          <w:p w14:paraId="09B1757E">
            <w:pPr>
              <w:pStyle w:val="17"/>
              <w:bidi w:val="0"/>
              <w:rPr>
                <w:rFonts w:hint="default"/>
                <w:color w:val="auto"/>
                <w:highlight w:val="none"/>
                <w:lang w:val="en-US" w:eastAsia="zh-CN"/>
              </w:rPr>
            </w:pPr>
            <w:r>
              <w:rPr>
                <w:rFonts w:hint="default"/>
                <w:color w:val="auto"/>
                <w:highlight w:val="none"/>
                <w:lang w:val="en-US" w:eastAsia="zh-CN"/>
              </w:rPr>
              <w:t>C</w:t>
            </w:r>
            <w:r>
              <w:rPr>
                <w:rFonts w:hint="default"/>
                <w:color w:val="auto"/>
                <w:highlight w:val="none"/>
                <w:vertAlign w:val="subscript"/>
                <w:lang w:val="en-US" w:eastAsia="zh-CN"/>
              </w:rPr>
              <w:t>0</w:t>
            </w:r>
            <w:r>
              <w:rPr>
                <w:rFonts w:hint="default"/>
                <w:color w:val="auto"/>
                <w:highlight w:val="none"/>
                <w:lang w:val="en-US" w:eastAsia="zh-CN"/>
              </w:rPr>
              <w:t>（mg/L）</w:t>
            </w:r>
          </w:p>
        </w:tc>
        <w:tc>
          <w:tcPr>
            <w:tcW w:w="1451" w:type="pct"/>
            <w:tcBorders>
              <w:tl2br w:val="nil"/>
              <w:tr2bl w:val="nil"/>
            </w:tcBorders>
            <w:noWrap w:val="0"/>
            <w:vAlign w:val="center"/>
          </w:tcPr>
          <w:p w14:paraId="03A68C65">
            <w:pPr>
              <w:pStyle w:val="17"/>
              <w:bidi w:val="0"/>
              <w:rPr>
                <w:rFonts w:hint="default"/>
                <w:color w:val="auto"/>
                <w:highlight w:val="none"/>
                <w:lang w:val="en-US" w:eastAsia="zh-CN"/>
              </w:rPr>
            </w:pPr>
            <w:r>
              <w:rPr>
                <w:rFonts w:hint="default"/>
                <w:color w:val="auto"/>
                <w:highlight w:val="none"/>
                <w:lang w:val="en-US" w:eastAsia="zh-CN"/>
              </w:rPr>
              <w:t>u（m/d）</w:t>
            </w:r>
          </w:p>
        </w:tc>
        <w:tc>
          <w:tcPr>
            <w:tcW w:w="1352" w:type="pct"/>
            <w:tcBorders>
              <w:tl2br w:val="nil"/>
              <w:tr2bl w:val="nil"/>
            </w:tcBorders>
            <w:noWrap w:val="0"/>
            <w:vAlign w:val="center"/>
          </w:tcPr>
          <w:p w14:paraId="36F99CDC">
            <w:pPr>
              <w:pStyle w:val="17"/>
              <w:bidi w:val="0"/>
              <w:rPr>
                <w:rFonts w:hint="default"/>
                <w:color w:val="auto"/>
                <w:highlight w:val="none"/>
                <w:lang w:val="en-US" w:eastAsia="zh-CN"/>
              </w:rPr>
            </w:pPr>
            <w:r>
              <w:rPr>
                <w:rFonts w:hint="default"/>
                <w:color w:val="auto"/>
                <w:highlight w:val="none"/>
                <w:lang w:val="en-US" w:eastAsia="zh-CN"/>
              </w:rPr>
              <w:t>D</w:t>
            </w:r>
            <w:r>
              <w:rPr>
                <w:rFonts w:hint="default"/>
                <w:color w:val="auto"/>
                <w:highlight w:val="none"/>
                <w:vertAlign w:val="subscript"/>
                <w:lang w:val="en-US" w:eastAsia="zh-CN"/>
              </w:rPr>
              <w:t>L</w:t>
            </w:r>
            <w:r>
              <w:rPr>
                <w:rFonts w:hint="default"/>
                <w:color w:val="auto"/>
                <w:highlight w:val="none"/>
                <w:lang w:val="en-US" w:eastAsia="zh-CN"/>
              </w:rPr>
              <w:t>（m</w:t>
            </w:r>
            <w:r>
              <w:rPr>
                <w:rFonts w:hint="default"/>
                <w:color w:val="auto"/>
                <w:highlight w:val="none"/>
                <w:vertAlign w:val="superscript"/>
                <w:lang w:val="en-US" w:eastAsia="zh-CN"/>
              </w:rPr>
              <w:t>2</w:t>
            </w:r>
            <w:r>
              <w:rPr>
                <w:rFonts w:hint="default"/>
                <w:color w:val="auto"/>
                <w:highlight w:val="none"/>
                <w:lang w:val="en-US" w:eastAsia="zh-CN"/>
              </w:rPr>
              <w:t>/d）</w:t>
            </w:r>
          </w:p>
        </w:tc>
      </w:tr>
      <w:tr w14:paraId="6D7E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007" w:type="pct"/>
            <w:tcBorders>
              <w:tl2br w:val="nil"/>
              <w:tr2bl w:val="nil"/>
            </w:tcBorders>
            <w:noWrap w:val="0"/>
            <w:vAlign w:val="center"/>
          </w:tcPr>
          <w:p w14:paraId="55BEFCF2">
            <w:pPr>
              <w:pStyle w:val="17"/>
              <w:bidi w:val="0"/>
              <w:rPr>
                <w:rFonts w:hint="default"/>
                <w:color w:val="auto"/>
                <w:highlight w:val="none"/>
                <w:lang w:val="en-US" w:eastAsia="zh-CN"/>
              </w:rPr>
            </w:pPr>
            <w:r>
              <w:rPr>
                <w:rFonts w:hint="eastAsia"/>
                <w:color w:val="auto"/>
                <w:highlight w:val="none"/>
                <w:lang w:val="en-US" w:eastAsia="zh-CN"/>
              </w:rPr>
              <w:t>氟化物</w:t>
            </w:r>
          </w:p>
        </w:tc>
        <w:tc>
          <w:tcPr>
            <w:tcW w:w="1189" w:type="pct"/>
            <w:tcBorders>
              <w:tl2br w:val="nil"/>
              <w:tr2bl w:val="nil"/>
            </w:tcBorders>
            <w:noWrap w:val="0"/>
            <w:vAlign w:val="center"/>
          </w:tcPr>
          <w:p w14:paraId="0FCD598B">
            <w:pPr>
              <w:pStyle w:val="17"/>
              <w:bidi w:val="0"/>
              <w:rPr>
                <w:rFonts w:hint="default"/>
                <w:color w:val="auto"/>
                <w:highlight w:val="none"/>
                <w:lang w:val="en-US" w:eastAsia="zh-CN"/>
              </w:rPr>
            </w:pPr>
            <w:r>
              <w:rPr>
                <w:rFonts w:hint="eastAsia"/>
                <w:color w:val="auto"/>
                <w:highlight w:val="none"/>
                <w:lang w:val="en-US" w:eastAsia="zh-CN"/>
              </w:rPr>
              <w:t>0.14</w:t>
            </w:r>
          </w:p>
        </w:tc>
        <w:tc>
          <w:tcPr>
            <w:tcW w:w="1451" w:type="pct"/>
            <w:tcBorders>
              <w:tl2br w:val="nil"/>
              <w:tr2bl w:val="nil"/>
            </w:tcBorders>
            <w:noWrap w:val="0"/>
            <w:vAlign w:val="center"/>
          </w:tcPr>
          <w:p w14:paraId="78C54621">
            <w:pPr>
              <w:pStyle w:val="17"/>
              <w:bidi w:val="0"/>
              <w:rPr>
                <w:rFonts w:hint="default"/>
                <w:color w:val="auto"/>
                <w:highlight w:val="none"/>
                <w:lang w:val="en-US" w:eastAsia="zh-CN"/>
              </w:rPr>
            </w:pPr>
            <w:r>
              <w:rPr>
                <w:rFonts w:hint="eastAsia"/>
                <w:color w:val="auto"/>
                <w:highlight w:val="none"/>
                <w:lang w:val="en-US" w:eastAsia="zh-CN"/>
              </w:rPr>
              <w:t>0.09</w:t>
            </w:r>
          </w:p>
        </w:tc>
        <w:tc>
          <w:tcPr>
            <w:tcW w:w="1352" w:type="pct"/>
            <w:tcBorders>
              <w:tl2br w:val="nil"/>
              <w:tr2bl w:val="nil"/>
            </w:tcBorders>
            <w:noWrap w:val="0"/>
            <w:vAlign w:val="center"/>
          </w:tcPr>
          <w:p w14:paraId="21DAB903">
            <w:pPr>
              <w:pStyle w:val="17"/>
              <w:bidi w:val="0"/>
              <w:rPr>
                <w:rFonts w:hint="default"/>
                <w:color w:val="auto"/>
                <w:highlight w:val="none"/>
                <w:lang w:val="en-US" w:eastAsia="zh-CN"/>
              </w:rPr>
            </w:pPr>
            <w:r>
              <w:rPr>
                <w:rFonts w:hint="eastAsia"/>
                <w:color w:val="auto"/>
                <w:highlight w:val="none"/>
                <w:lang w:val="en-US" w:eastAsia="zh-CN"/>
              </w:rPr>
              <w:t>0.135</w:t>
            </w:r>
          </w:p>
        </w:tc>
      </w:tr>
      <w:tr w14:paraId="0283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7" w:type="pct"/>
            <w:tcBorders>
              <w:tl2br w:val="nil"/>
              <w:tr2bl w:val="nil"/>
            </w:tcBorders>
            <w:noWrap w:val="0"/>
            <w:vAlign w:val="center"/>
          </w:tcPr>
          <w:p w14:paraId="24A38B81">
            <w:pPr>
              <w:pStyle w:val="17"/>
              <w:bidi w:val="0"/>
              <w:rPr>
                <w:rFonts w:hint="default"/>
                <w:color w:val="auto"/>
                <w:highlight w:val="none"/>
                <w:lang w:val="en-US" w:eastAsia="zh-CN"/>
              </w:rPr>
            </w:pPr>
            <w:r>
              <w:rPr>
                <w:rFonts w:hint="eastAsia"/>
                <w:color w:val="auto"/>
                <w:highlight w:val="none"/>
                <w:lang w:val="en-US" w:eastAsia="zh-CN"/>
              </w:rPr>
              <w:t>镉</w:t>
            </w:r>
          </w:p>
        </w:tc>
        <w:tc>
          <w:tcPr>
            <w:tcW w:w="1189" w:type="pct"/>
            <w:tcBorders>
              <w:tl2br w:val="nil"/>
              <w:tr2bl w:val="nil"/>
            </w:tcBorders>
            <w:noWrap w:val="0"/>
            <w:vAlign w:val="center"/>
          </w:tcPr>
          <w:p w14:paraId="61C98FB3">
            <w:pPr>
              <w:pStyle w:val="17"/>
              <w:bidi w:val="0"/>
              <w:rPr>
                <w:rFonts w:hint="default"/>
                <w:color w:val="auto"/>
                <w:highlight w:val="none"/>
                <w:lang w:val="en-US" w:eastAsia="zh-CN"/>
              </w:rPr>
            </w:pPr>
            <w:r>
              <w:rPr>
                <w:rFonts w:hint="default"/>
                <w:color w:val="auto"/>
                <w:highlight w:val="none"/>
                <w:lang w:val="en-US" w:eastAsia="zh-CN"/>
              </w:rPr>
              <w:t>0.0119</w:t>
            </w:r>
          </w:p>
        </w:tc>
        <w:tc>
          <w:tcPr>
            <w:tcW w:w="1451" w:type="pct"/>
            <w:tcBorders>
              <w:tl2br w:val="nil"/>
              <w:tr2bl w:val="nil"/>
            </w:tcBorders>
            <w:noWrap w:val="0"/>
            <w:vAlign w:val="center"/>
          </w:tcPr>
          <w:p w14:paraId="5E4287CB">
            <w:pPr>
              <w:pStyle w:val="17"/>
              <w:bidi w:val="0"/>
              <w:rPr>
                <w:rFonts w:hint="default"/>
                <w:color w:val="auto"/>
                <w:highlight w:val="none"/>
                <w:lang w:val="en-US" w:eastAsia="zh-CN"/>
              </w:rPr>
            </w:pPr>
            <w:r>
              <w:rPr>
                <w:rFonts w:hint="eastAsia"/>
                <w:color w:val="auto"/>
                <w:highlight w:val="none"/>
                <w:lang w:val="en-US" w:eastAsia="zh-CN"/>
              </w:rPr>
              <w:t>0.09</w:t>
            </w:r>
          </w:p>
        </w:tc>
        <w:tc>
          <w:tcPr>
            <w:tcW w:w="1352" w:type="pct"/>
            <w:tcBorders>
              <w:tl2br w:val="nil"/>
              <w:tr2bl w:val="nil"/>
            </w:tcBorders>
            <w:noWrap w:val="0"/>
            <w:vAlign w:val="center"/>
          </w:tcPr>
          <w:p w14:paraId="7F481BF4">
            <w:pPr>
              <w:pStyle w:val="17"/>
              <w:bidi w:val="0"/>
              <w:rPr>
                <w:rFonts w:hint="default"/>
                <w:color w:val="auto"/>
                <w:highlight w:val="none"/>
                <w:lang w:val="en-US" w:eastAsia="zh-CN"/>
              </w:rPr>
            </w:pPr>
            <w:r>
              <w:rPr>
                <w:rFonts w:hint="eastAsia"/>
                <w:color w:val="auto"/>
                <w:highlight w:val="none"/>
                <w:lang w:val="en-US" w:eastAsia="zh-CN"/>
              </w:rPr>
              <w:t>0.135</w:t>
            </w:r>
          </w:p>
        </w:tc>
      </w:tr>
    </w:tbl>
    <w:p w14:paraId="585403F3">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right="0" w:rightChars="0" w:firstLine="480" w:firstLineChars="200"/>
        <w:jc w:val="both"/>
        <w:textAlignment w:val="auto"/>
        <w:outlineLvl w:val="9"/>
        <w:rPr>
          <w:rFonts w:hint="default" w:ascii="Times New Roman" w:hAnsi="Times New Roman" w:eastAsia="宋体"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5</w:t>
      </w:r>
      <w:r>
        <w:rPr>
          <w:rFonts w:hint="eastAsia"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预测结果</w:t>
      </w:r>
    </w:p>
    <w:p w14:paraId="2FF0983C">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eastAsia="zh-CN"/>
        </w:rPr>
        <w:t>预测</w:t>
      </w:r>
      <w:r>
        <w:rPr>
          <w:rFonts w:hint="default" w:ascii="Times New Roman" w:hAnsi="Times New Roman" w:cs="Times New Roman"/>
          <w:color w:val="auto"/>
          <w:sz w:val="24"/>
          <w:highlight w:val="none"/>
        </w:rPr>
        <w:t>分别选取100天、1000天和3000天的污染物运移情况，</w:t>
      </w:r>
      <w:r>
        <w:rPr>
          <w:rFonts w:hint="eastAsia" w:cs="Times New Roman"/>
          <w:color w:val="auto"/>
          <w:sz w:val="24"/>
          <w:highlight w:val="none"/>
          <w:lang w:val="en-US" w:eastAsia="zh-CN"/>
        </w:rPr>
        <w:t>分析氟化物、镉浓度随时间变化的规律，计算</w:t>
      </w:r>
      <w:r>
        <w:rPr>
          <w:rFonts w:hint="default" w:ascii="Times New Roman" w:hAnsi="Times New Roman" w:cs="Times New Roman"/>
          <w:color w:val="auto"/>
          <w:sz w:val="24"/>
          <w:highlight w:val="none"/>
        </w:rPr>
        <w:t>结果见表</w:t>
      </w:r>
      <w:r>
        <w:rPr>
          <w:rFonts w:hint="default" w:ascii="Times New Roman" w:hAnsi="Times New Roman" w:cs="Times New Roman"/>
          <w:color w:val="auto"/>
          <w:sz w:val="24"/>
          <w:highlight w:val="none"/>
          <w:lang w:val="en-US" w:eastAsia="zh-CN"/>
        </w:rPr>
        <w:t>5.2-</w:t>
      </w:r>
      <w:r>
        <w:rPr>
          <w:rFonts w:hint="eastAsia" w:cs="Times New Roman"/>
          <w:color w:val="auto"/>
          <w:sz w:val="24"/>
          <w:highlight w:val="none"/>
          <w:lang w:val="en-US" w:eastAsia="zh-CN"/>
        </w:rPr>
        <w:t>14</w:t>
      </w:r>
      <w:r>
        <w:rPr>
          <w:rFonts w:hint="default" w:ascii="Times New Roman" w:hAnsi="Times New Roman" w:cs="Times New Roman"/>
          <w:color w:val="auto"/>
          <w:sz w:val="24"/>
          <w:highlight w:val="none"/>
        </w:rPr>
        <w:t>。</w:t>
      </w:r>
    </w:p>
    <w:p w14:paraId="4DBCE026">
      <w:pPr>
        <w:keepNext w:val="0"/>
        <w:keepLines w:val="0"/>
        <w:pageBreakBefore w:val="0"/>
        <w:widowControl w:val="0"/>
        <w:kinsoku/>
        <w:wordWrap/>
        <w:overflowPunct/>
        <w:topLinePunct w:val="0"/>
        <w:bidi w:val="0"/>
        <w:snapToGrid/>
        <w:spacing w:line="480" w:lineRule="exact"/>
        <w:jc w:val="center"/>
        <w:textAlignment w:val="auto"/>
        <w:rPr>
          <w:rFonts w:hint="default" w:ascii="Times New Roman" w:hAnsi="Times New Roman" w:cs="Times New Roman"/>
          <w:b/>
          <w:bCs/>
          <w:color w:val="auto"/>
          <w:sz w:val="24"/>
          <w:highlight w:val="none"/>
          <w:vertAlign w:val="baseline"/>
          <w:lang w:val="en-US" w:eastAsia="zh-CN"/>
        </w:rPr>
      </w:pPr>
      <w:r>
        <w:rPr>
          <w:rFonts w:hint="default" w:ascii="Times New Roman" w:hAnsi="Times New Roman" w:cs="Times New Roman"/>
          <w:b/>
          <w:bCs/>
          <w:color w:val="auto"/>
          <w:sz w:val="24"/>
          <w:highlight w:val="none"/>
          <w:lang w:val="en-US" w:eastAsia="zh-CN"/>
        </w:rPr>
        <w:t>表5.2-</w:t>
      </w:r>
      <w:r>
        <w:rPr>
          <w:rFonts w:hint="eastAsia" w:cs="Times New Roman"/>
          <w:b/>
          <w:bCs/>
          <w:color w:val="auto"/>
          <w:sz w:val="24"/>
          <w:highlight w:val="none"/>
          <w:lang w:val="en-US" w:eastAsia="zh-CN"/>
        </w:rPr>
        <w:t>14</w:t>
      </w:r>
      <w:r>
        <w:rPr>
          <w:rFonts w:hint="default" w:ascii="Times New Roman" w:hAnsi="Times New Roman" w:cs="Times New Roman"/>
          <w:b/>
          <w:bCs/>
          <w:color w:val="auto"/>
          <w:sz w:val="24"/>
          <w:highlight w:val="none"/>
          <w:lang w:val="en-US" w:eastAsia="zh-CN"/>
        </w:rPr>
        <w:t xml:space="preserve">    </w:t>
      </w:r>
      <w:r>
        <w:rPr>
          <w:rFonts w:hint="eastAsia" w:cs="Times New Roman"/>
          <w:b/>
          <w:bCs/>
          <w:color w:val="auto"/>
          <w:sz w:val="24"/>
          <w:highlight w:val="none"/>
          <w:lang w:val="en-US" w:eastAsia="zh-CN"/>
        </w:rPr>
        <w:t>污染物模拟</w:t>
      </w:r>
      <w:r>
        <w:rPr>
          <w:rFonts w:hint="default" w:ascii="Times New Roman" w:hAnsi="Times New Roman" w:cs="Times New Roman"/>
          <w:b/>
          <w:bCs/>
          <w:color w:val="auto"/>
          <w:sz w:val="24"/>
          <w:highlight w:val="none"/>
          <w:lang w:val="en-US" w:eastAsia="zh-CN"/>
        </w:rPr>
        <w:t>预测结果</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4"/>
        <w:gridCol w:w="1704"/>
        <w:gridCol w:w="1704"/>
      </w:tblGrid>
      <w:tr w14:paraId="3584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vAlign w:val="center"/>
          </w:tcPr>
          <w:p w14:paraId="177C23A6">
            <w:pPr>
              <w:pStyle w:val="17"/>
              <w:bidi w:val="0"/>
              <w:jc w:val="center"/>
              <w:rPr>
                <w:rFonts w:hint="default"/>
                <w:color w:val="auto"/>
                <w:highlight w:val="none"/>
                <w:lang w:val="en-US" w:eastAsia="zh-CN"/>
              </w:rPr>
            </w:pPr>
            <w:r>
              <w:rPr>
                <w:rFonts w:hint="eastAsia"/>
                <w:color w:val="auto"/>
                <w:highlight w:val="none"/>
                <w:lang w:val="en-US" w:eastAsia="zh-CN"/>
              </w:rPr>
              <w:t>预测因子</w:t>
            </w:r>
          </w:p>
        </w:tc>
        <w:tc>
          <w:tcPr>
            <w:tcW w:w="1703" w:type="dxa"/>
            <w:vAlign w:val="center"/>
          </w:tcPr>
          <w:p w14:paraId="2617446F">
            <w:pPr>
              <w:pStyle w:val="17"/>
              <w:bidi w:val="0"/>
              <w:jc w:val="center"/>
              <w:rPr>
                <w:rFonts w:hint="default"/>
                <w:color w:val="auto"/>
                <w:highlight w:val="none"/>
                <w:lang w:val="en-US" w:eastAsia="zh-CN"/>
              </w:rPr>
            </w:pPr>
            <w:r>
              <w:rPr>
                <w:rFonts w:hint="eastAsia"/>
                <w:color w:val="auto"/>
                <w:highlight w:val="none"/>
                <w:lang w:val="en-US" w:eastAsia="zh-CN"/>
              </w:rPr>
              <w:t>预测时间（d）</w:t>
            </w:r>
          </w:p>
        </w:tc>
        <w:tc>
          <w:tcPr>
            <w:tcW w:w="1704" w:type="dxa"/>
            <w:vAlign w:val="center"/>
          </w:tcPr>
          <w:p w14:paraId="37E6F0A8">
            <w:pPr>
              <w:pStyle w:val="17"/>
              <w:bidi w:val="0"/>
              <w:jc w:val="center"/>
              <w:rPr>
                <w:rFonts w:hint="default"/>
                <w:color w:val="auto"/>
                <w:highlight w:val="none"/>
                <w:lang w:val="en-US" w:eastAsia="zh-CN"/>
              </w:rPr>
            </w:pPr>
            <w:r>
              <w:rPr>
                <w:rFonts w:hint="eastAsia"/>
                <w:color w:val="auto"/>
                <w:highlight w:val="none"/>
                <w:lang w:val="en-US" w:eastAsia="zh-CN"/>
              </w:rPr>
              <w:t>预测超标距离（m）</w:t>
            </w:r>
          </w:p>
        </w:tc>
        <w:tc>
          <w:tcPr>
            <w:tcW w:w="1704" w:type="dxa"/>
            <w:vAlign w:val="center"/>
          </w:tcPr>
          <w:p w14:paraId="28F88C99">
            <w:pPr>
              <w:pStyle w:val="17"/>
              <w:bidi w:val="0"/>
              <w:jc w:val="center"/>
              <w:rPr>
                <w:rFonts w:hint="default"/>
                <w:color w:val="auto"/>
                <w:highlight w:val="none"/>
                <w:lang w:val="en-US" w:eastAsia="zh-CN"/>
              </w:rPr>
            </w:pPr>
            <w:r>
              <w:rPr>
                <w:rFonts w:hint="eastAsia"/>
                <w:color w:val="auto"/>
                <w:highlight w:val="none"/>
                <w:lang w:val="en-US" w:eastAsia="zh-CN"/>
              </w:rPr>
              <w:t>影响距离（m）</w:t>
            </w:r>
          </w:p>
        </w:tc>
        <w:tc>
          <w:tcPr>
            <w:tcW w:w="1704" w:type="dxa"/>
            <w:vAlign w:val="center"/>
          </w:tcPr>
          <w:p w14:paraId="1FC03773">
            <w:pPr>
              <w:pStyle w:val="17"/>
              <w:bidi w:val="0"/>
              <w:jc w:val="center"/>
              <w:rPr>
                <w:rFonts w:hint="default"/>
                <w:color w:val="auto"/>
                <w:highlight w:val="none"/>
                <w:lang w:val="en-US" w:eastAsia="zh-CN"/>
              </w:rPr>
            </w:pPr>
            <w:r>
              <w:rPr>
                <w:rFonts w:hint="eastAsia"/>
                <w:color w:val="auto"/>
                <w:highlight w:val="none"/>
                <w:lang w:val="en-US" w:eastAsia="zh-CN"/>
              </w:rPr>
              <w:t>最大浓度（mg/L）</w:t>
            </w:r>
          </w:p>
        </w:tc>
      </w:tr>
      <w:tr w14:paraId="5760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703" w:type="dxa"/>
            <w:vMerge w:val="restart"/>
            <w:vAlign w:val="center"/>
          </w:tcPr>
          <w:p w14:paraId="454B0548">
            <w:pPr>
              <w:pStyle w:val="17"/>
              <w:bidi w:val="0"/>
              <w:jc w:val="center"/>
              <w:rPr>
                <w:rFonts w:hint="default"/>
                <w:color w:val="auto"/>
                <w:highlight w:val="none"/>
                <w:lang w:val="en-US" w:eastAsia="zh-CN"/>
              </w:rPr>
            </w:pPr>
            <w:r>
              <w:rPr>
                <w:rFonts w:hint="eastAsia"/>
                <w:color w:val="auto"/>
                <w:highlight w:val="none"/>
                <w:lang w:val="en-US" w:eastAsia="zh-CN"/>
              </w:rPr>
              <w:t>氟化物</w:t>
            </w:r>
          </w:p>
        </w:tc>
        <w:tc>
          <w:tcPr>
            <w:tcW w:w="1703" w:type="dxa"/>
            <w:vAlign w:val="center"/>
          </w:tcPr>
          <w:p w14:paraId="500582FC">
            <w:pPr>
              <w:pStyle w:val="17"/>
              <w:bidi w:val="0"/>
              <w:jc w:val="center"/>
              <w:rPr>
                <w:rFonts w:hint="default"/>
                <w:color w:val="auto"/>
                <w:highlight w:val="none"/>
                <w:lang w:val="en-US" w:eastAsia="zh-CN"/>
              </w:rPr>
            </w:pPr>
            <w:r>
              <w:rPr>
                <w:rFonts w:hint="eastAsia"/>
                <w:color w:val="auto"/>
                <w:highlight w:val="none"/>
                <w:lang w:val="en-US" w:eastAsia="zh-CN"/>
              </w:rPr>
              <w:t>100</w:t>
            </w:r>
          </w:p>
        </w:tc>
        <w:tc>
          <w:tcPr>
            <w:tcW w:w="1704" w:type="dxa"/>
            <w:vAlign w:val="center"/>
          </w:tcPr>
          <w:p w14:paraId="22857602">
            <w:pPr>
              <w:pStyle w:val="17"/>
              <w:bidi w:val="0"/>
              <w:jc w:val="center"/>
              <w:rPr>
                <w:rFonts w:hint="default"/>
                <w:color w:val="auto"/>
                <w:highlight w:val="none"/>
                <w:lang w:val="en-US" w:eastAsia="zh-CN"/>
              </w:rPr>
            </w:pPr>
            <w:r>
              <w:rPr>
                <w:rFonts w:hint="eastAsia"/>
                <w:color w:val="auto"/>
                <w:highlight w:val="none"/>
                <w:lang w:val="en-US" w:eastAsia="zh-CN"/>
              </w:rPr>
              <w:t>/</w:t>
            </w:r>
          </w:p>
        </w:tc>
        <w:tc>
          <w:tcPr>
            <w:tcW w:w="1704" w:type="dxa"/>
            <w:vAlign w:val="center"/>
          </w:tcPr>
          <w:p w14:paraId="512B86BE">
            <w:pPr>
              <w:pStyle w:val="17"/>
              <w:bidi w:val="0"/>
              <w:jc w:val="center"/>
              <w:rPr>
                <w:rFonts w:hint="default"/>
                <w:color w:val="auto"/>
                <w:highlight w:val="none"/>
                <w:lang w:val="en-US" w:eastAsia="zh-CN"/>
              </w:rPr>
            </w:pPr>
            <w:r>
              <w:rPr>
                <w:rFonts w:hint="eastAsia"/>
                <w:color w:val="auto"/>
                <w:highlight w:val="none"/>
                <w:lang w:val="en-US" w:eastAsia="zh-CN"/>
              </w:rPr>
              <w:t>18</w:t>
            </w:r>
          </w:p>
        </w:tc>
        <w:tc>
          <w:tcPr>
            <w:tcW w:w="1704" w:type="dxa"/>
            <w:vAlign w:val="center"/>
          </w:tcPr>
          <w:p w14:paraId="4D1223B2">
            <w:pPr>
              <w:pStyle w:val="17"/>
              <w:bidi w:val="0"/>
              <w:jc w:val="center"/>
              <w:rPr>
                <w:rFonts w:hint="default"/>
                <w:color w:val="auto"/>
                <w:highlight w:val="none"/>
                <w:lang w:val="en-US" w:eastAsia="zh-CN"/>
              </w:rPr>
            </w:pPr>
            <w:r>
              <w:rPr>
                <w:rFonts w:hint="eastAsia"/>
                <w:color w:val="auto"/>
                <w:highlight w:val="none"/>
                <w:lang w:val="en-US" w:eastAsia="zh-CN"/>
              </w:rPr>
              <w:t>0.14</w:t>
            </w:r>
          </w:p>
        </w:tc>
      </w:tr>
      <w:tr w14:paraId="2C65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703" w:type="dxa"/>
            <w:vMerge w:val="continue"/>
            <w:vAlign w:val="center"/>
          </w:tcPr>
          <w:p w14:paraId="0A6089ED">
            <w:pPr>
              <w:pStyle w:val="17"/>
              <w:bidi w:val="0"/>
              <w:jc w:val="center"/>
              <w:rPr>
                <w:rFonts w:hint="default"/>
                <w:color w:val="auto"/>
                <w:highlight w:val="none"/>
                <w:lang w:val="en-US" w:eastAsia="zh-CN"/>
              </w:rPr>
            </w:pPr>
          </w:p>
        </w:tc>
        <w:tc>
          <w:tcPr>
            <w:tcW w:w="1703" w:type="dxa"/>
            <w:vAlign w:val="center"/>
          </w:tcPr>
          <w:p w14:paraId="6DE17379">
            <w:pPr>
              <w:pStyle w:val="17"/>
              <w:bidi w:val="0"/>
              <w:jc w:val="center"/>
              <w:rPr>
                <w:rFonts w:hint="default"/>
                <w:color w:val="auto"/>
                <w:highlight w:val="none"/>
                <w:lang w:val="en-US" w:eastAsia="zh-CN"/>
              </w:rPr>
            </w:pPr>
            <w:r>
              <w:rPr>
                <w:rFonts w:hint="eastAsia"/>
                <w:color w:val="auto"/>
                <w:highlight w:val="none"/>
                <w:lang w:val="en-US" w:eastAsia="zh-CN"/>
              </w:rPr>
              <w:t>500</w:t>
            </w:r>
          </w:p>
        </w:tc>
        <w:tc>
          <w:tcPr>
            <w:tcW w:w="1704" w:type="dxa"/>
            <w:vAlign w:val="center"/>
          </w:tcPr>
          <w:p w14:paraId="05DC6E76">
            <w:pPr>
              <w:pStyle w:val="17"/>
              <w:bidi w:val="0"/>
              <w:jc w:val="center"/>
              <w:rPr>
                <w:rFonts w:hint="default"/>
                <w:color w:val="auto"/>
                <w:highlight w:val="none"/>
                <w:lang w:val="en-US" w:eastAsia="zh-CN"/>
              </w:rPr>
            </w:pPr>
            <w:r>
              <w:rPr>
                <w:rFonts w:hint="eastAsia"/>
                <w:color w:val="auto"/>
                <w:highlight w:val="none"/>
                <w:lang w:val="en-US" w:eastAsia="zh-CN"/>
              </w:rPr>
              <w:t>/</w:t>
            </w:r>
          </w:p>
        </w:tc>
        <w:tc>
          <w:tcPr>
            <w:tcW w:w="1704" w:type="dxa"/>
            <w:vAlign w:val="center"/>
          </w:tcPr>
          <w:p w14:paraId="3B309CAA">
            <w:pPr>
              <w:pStyle w:val="17"/>
              <w:bidi w:val="0"/>
              <w:jc w:val="center"/>
              <w:rPr>
                <w:rFonts w:hint="default"/>
                <w:color w:val="auto"/>
                <w:highlight w:val="none"/>
                <w:lang w:val="en-US" w:eastAsia="zh-CN"/>
              </w:rPr>
            </w:pPr>
            <w:r>
              <w:rPr>
                <w:rFonts w:hint="eastAsia"/>
                <w:color w:val="auto"/>
                <w:highlight w:val="none"/>
                <w:lang w:val="en-US" w:eastAsia="zh-CN"/>
              </w:rPr>
              <w:t>64</w:t>
            </w:r>
          </w:p>
        </w:tc>
        <w:tc>
          <w:tcPr>
            <w:tcW w:w="1704" w:type="dxa"/>
            <w:vAlign w:val="center"/>
          </w:tcPr>
          <w:p w14:paraId="6A1BCDA3">
            <w:pPr>
              <w:pStyle w:val="17"/>
              <w:bidi w:val="0"/>
              <w:jc w:val="center"/>
              <w:rPr>
                <w:rFonts w:hint="default"/>
                <w:color w:val="auto"/>
                <w:highlight w:val="none"/>
                <w:lang w:val="en-US" w:eastAsia="zh-CN"/>
              </w:rPr>
            </w:pPr>
            <w:r>
              <w:rPr>
                <w:rFonts w:hint="eastAsia"/>
                <w:color w:val="auto"/>
                <w:highlight w:val="none"/>
                <w:lang w:val="en-US" w:eastAsia="zh-CN"/>
              </w:rPr>
              <w:t>0.14</w:t>
            </w:r>
          </w:p>
        </w:tc>
      </w:tr>
      <w:tr w14:paraId="1565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703" w:type="dxa"/>
            <w:vMerge w:val="continue"/>
            <w:vAlign w:val="center"/>
          </w:tcPr>
          <w:p w14:paraId="3DA55184">
            <w:pPr>
              <w:pStyle w:val="17"/>
              <w:bidi w:val="0"/>
              <w:jc w:val="center"/>
              <w:rPr>
                <w:rFonts w:hint="default"/>
                <w:color w:val="auto"/>
                <w:highlight w:val="none"/>
                <w:lang w:val="en-US" w:eastAsia="zh-CN"/>
              </w:rPr>
            </w:pPr>
          </w:p>
        </w:tc>
        <w:tc>
          <w:tcPr>
            <w:tcW w:w="1703" w:type="dxa"/>
            <w:vAlign w:val="center"/>
          </w:tcPr>
          <w:p w14:paraId="0304F7CD">
            <w:pPr>
              <w:pStyle w:val="17"/>
              <w:bidi w:val="0"/>
              <w:jc w:val="center"/>
              <w:rPr>
                <w:rFonts w:hint="default"/>
                <w:color w:val="auto"/>
                <w:highlight w:val="none"/>
                <w:lang w:val="en-US" w:eastAsia="zh-CN"/>
              </w:rPr>
            </w:pPr>
            <w:r>
              <w:rPr>
                <w:rFonts w:hint="eastAsia"/>
                <w:color w:val="auto"/>
                <w:highlight w:val="none"/>
                <w:lang w:val="en-US" w:eastAsia="zh-CN"/>
              </w:rPr>
              <w:t>1000</w:t>
            </w:r>
          </w:p>
        </w:tc>
        <w:tc>
          <w:tcPr>
            <w:tcW w:w="1704" w:type="dxa"/>
            <w:vAlign w:val="center"/>
          </w:tcPr>
          <w:p w14:paraId="6F0C1F4C">
            <w:pPr>
              <w:pStyle w:val="17"/>
              <w:bidi w:val="0"/>
              <w:jc w:val="center"/>
              <w:rPr>
                <w:rFonts w:hint="default"/>
                <w:color w:val="auto"/>
                <w:highlight w:val="none"/>
                <w:lang w:val="en-US" w:eastAsia="zh-CN"/>
              </w:rPr>
            </w:pPr>
            <w:r>
              <w:rPr>
                <w:rFonts w:hint="eastAsia"/>
                <w:color w:val="auto"/>
                <w:highlight w:val="none"/>
                <w:lang w:val="en-US" w:eastAsia="zh-CN"/>
              </w:rPr>
              <w:t>/</w:t>
            </w:r>
          </w:p>
        </w:tc>
        <w:tc>
          <w:tcPr>
            <w:tcW w:w="1704" w:type="dxa"/>
            <w:vAlign w:val="center"/>
          </w:tcPr>
          <w:p w14:paraId="48145060">
            <w:pPr>
              <w:pStyle w:val="17"/>
              <w:bidi w:val="0"/>
              <w:jc w:val="center"/>
              <w:rPr>
                <w:rFonts w:hint="default"/>
                <w:color w:val="auto"/>
                <w:highlight w:val="none"/>
                <w:lang w:val="en-US" w:eastAsia="zh-CN"/>
              </w:rPr>
            </w:pPr>
            <w:r>
              <w:rPr>
                <w:rFonts w:hint="eastAsia"/>
                <w:color w:val="auto"/>
                <w:highlight w:val="none"/>
                <w:lang w:val="en-US" w:eastAsia="zh-CN"/>
              </w:rPr>
              <w:t>118</w:t>
            </w:r>
          </w:p>
        </w:tc>
        <w:tc>
          <w:tcPr>
            <w:tcW w:w="1704" w:type="dxa"/>
            <w:vAlign w:val="center"/>
          </w:tcPr>
          <w:p w14:paraId="33F71ACE">
            <w:pPr>
              <w:pStyle w:val="17"/>
              <w:bidi w:val="0"/>
              <w:jc w:val="center"/>
              <w:rPr>
                <w:rFonts w:hint="default"/>
                <w:color w:val="auto"/>
                <w:highlight w:val="none"/>
                <w:lang w:val="en-US" w:eastAsia="zh-CN"/>
              </w:rPr>
            </w:pPr>
            <w:r>
              <w:rPr>
                <w:rFonts w:hint="eastAsia"/>
                <w:color w:val="auto"/>
                <w:highlight w:val="none"/>
                <w:lang w:val="en-US" w:eastAsia="zh-CN"/>
              </w:rPr>
              <w:t>0.14</w:t>
            </w:r>
          </w:p>
        </w:tc>
      </w:tr>
      <w:tr w14:paraId="2E75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703" w:type="dxa"/>
            <w:vMerge w:val="restart"/>
            <w:vAlign w:val="center"/>
          </w:tcPr>
          <w:p w14:paraId="33FE4774">
            <w:pPr>
              <w:pStyle w:val="17"/>
              <w:bidi w:val="0"/>
              <w:jc w:val="center"/>
              <w:rPr>
                <w:rFonts w:hint="default"/>
                <w:color w:val="auto"/>
                <w:highlight w:val="none"/>
                <w:lang w:val="en-US" w:eastAsia="zh-CN"/>
              </w:rPr>
            </w:pPr>
            <w:r>
              <w:rPr>
                <w:rFonts w:hint="eastAsia"/>
                <w:color w:val="auto"/>
                <w:highlight w:val="none"/>
                <w:lang w:val="en-US" w:eastAsia="zh-CN"/>
              </w:rPr>
              <w:t>镉</w:t>
            </w:r>
          </w:p>
        </w:tc>
        <w:tc>
          <w:tcPr>
            <w:tcW w:w="1703" w:type="dxa"/>
            <w:vAlign w:val="center"/>
          </w:tcPr>
          <w:p w14:paraId="6EA0AD58">
            <w:pPr>
              <w:pStyle w:val="17"/>
              <w:bidi w:val="0"/>
              <w:jc w:val="center"/>
              <w:rPr>
                <w:rFonts w:hint="default"/>
                <w:color w:val="auto"/>
                <w:highlight w:val="none"/>
                <w:lang w:val="en-US" w:eastAsia="zh-CN"/>
              </w:rPr>
            </w:pPr>
            <w:r>
              <w:rPr>
                <w:rFonts w:hint="eastAsia"/>
                <w:color w:val="auto"/>
                <w:highlight w:val="none"/>
                <w:lang w:val="en-US" w:eastAsia="zh-CN"/>
              </w:rPr>
              <w:t>100</w:t>
            </w:r>
          </w:p>
        </w:tc>
        <w:tc>
          <w:tcPr>
            <w:tcW w:w="1704" w:type="dxa"/>
            <w:vAlign w:val="center"/>
          </w:tcPr>
          <w:p w14:paraId="120A9C90">
            <w:pPr>
              <w:pStyle w:val="17"/>
              <w:bidi w:val="0"/>
              <w:jc w:val="center"/>
              <w:rPr>
                <w:rFonts w:hint="default"/>
                <w:color w:val="auto"/>
                <w:highlight w:val="none"/>
                <w:lang w:val="en-US" w:eastAsia="zh-CN"/>
              </w:rPr>
            </w:pPr>
            <w:r>
              <w:rPr>
                <w:rFonts w:hint="eastAsia"/>
                <w:color w:val="auto"/>
                <w:highlight w:val="none"/>
                <w:lang w:val="en-US" w:eastAsia="zh-CN"/>
              </w:rPr>
              <w:t>13</w:t>
            </w:r>
          </w:p>
        </w:tc>
        <w:tc>
          <w:tcPr>
            <w:tcW w:w="1704" w:type="dxa"/>
            <w:vAlign w:val="center"/>
          </w:tcPr>
          <w:p w14:paraId="550F35D8">
            <w:pPr>
              <w:pStyle w:val="17"/>
              <w:bidi w:val="0"/>
              <w:jc w:val="center"/>
              <w:rPr>
                <w:rFonts w:hint="default"/>
                <w:color w:val="auto"/>
                <w:highlight w:val="none"/>
                <w:lang w:val="en-US" w:eastAsia="zh-CN"/>
              </w:rPr>
            </w:pPr>
            <w:r>
              <w:rPr>
                <w:rFonts w:hint="eastAsia"/>
                <w:color w:val="auto"/>
                <w:highlight w:val="none"/>
                <w:lang w:val="en-US" w:eastAsia="zh-CN"/>
              </w:rPr>
              <w:t>24</w:t>
            </w:r>
          </w:p>
        </w:tc>
        <w:tc>
          <w:tcPr>
            <w:tcW w:w="1704" w:type="dxa"/>
            <w:vAlign w:val="center"/>
          </w:tcPr>
          <w:p w14:paraId="21CD33DB">
            <w:pPr>
              <w:pStyle w:val="17"/>
              <w:bidi w:val="0"/>
              <w:jc w:val="center"/>
              <w:rPr>
                <w:rFonts w:hint="default"/>
                <w:color w:val="auto"/>
                <w:highlight w:val="none"/>
                <w:lang w:val="en-US" w:eastAsia="zh-CN"/>
              </w:rPr>
            </w:pPr>
            <w:r>
              <w:rPr>
                <w:rFonts w:hint="eastAsia"/>
                <w:color w:val="auto"/>
                <w:highlight w:val="none"/>
                <w:lang w:val="en-US" w:eastAsia="zh-CN"/>
              </w:rPr>
              <w:t>0.019</w:t>
            </w:r>
          </w:p>
        </w:tc>
      </w:tr>
      <w:tr w14:paraId="1BFD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703" w:type="dxa"/>
            <w:vMerge w:val="continue"/>
            <w:vAlign w:val="center"/>
          </w:tcPr>
          <w:p w14:paraId="52F99714">
            <w:pPr>
              <w:pStyle w:val="17"/>
              <w:bidi w:val="0"/>
              <w:jc w:val="center"/>
              <w:rPr>
                <w:rFonts w:hint="default"/>
                <w:color w:val="auto"/>
                <w:highlight w:val="none"/>
                <w:lang w:val="en-US" w:eastAsia="zh-CN"/>
              </w:rPr>
            </w:pPr>
          </w:p>
        </w:tc>
        <w:tc>
          <w:tcPr>
            <w:tcW w:w="1703" w:type="dxa"/>
            <w:vAlign w:val="center"/>
          </w:tcPr>
          <w:p w14:paraId="4CD7B22E">
            <w:pPr>
              <w:pStyle w:val="17"/>
              <w:bidi w:val="0"/>
              <w:jc w:val="center"/>
              <w:rPr>
                <w:rFonts w:hint="default"/>
                <w:color w:val="auto"/>
                <w:highlight w:val="none"/>
                <w:lang w:val="en-US" w:eastAsia="zh-CN"/>
              </w:rPr>
            </w:pPr>
            <w:r>
              <w:rPr>
                <w:rFonts w:hint="eastAsia"/>
                <w:color w:val="auto"/>
                <w:highlight w:val="none"/>
                <w:lang w:val="en-US" w:eastAsia="zh-CN"/>
              </w:rPr>
              <w:t>500</w:t>
            </w:r>
          </w:p>
        </w:tc>
        <w:tc>
          <w:tcPr>
            <w:tcW w:w="1704" w:type="dxa"/>
            <w:vAlign w:val="center"/>
          </w:tcPr>
          <w:p w14:paraId="153FA566">
            <w:pPr>
              <w:pStyle w:val="17"/>
              <w:bidi w:val="0"/>
              <w:jc w:val="center"/>
              <w:rPr>
                <w:rFonts w:hint="default"/>
                <w:color w:val="auto"/>
                <w:highlight w:val="none"/>
                <w:lang w:val="en-US" w:eastAsia="zh-CN"/>
              </w:rPr>
            </w:pPr>
            <w:r>
              <w:rPr>
                <w:rFonts w:hint="eastAsia"/>
                <w:color w:val="auto"/>
                <w:highlight w:val="none"/>
                <w:lang w:val="en-US" w:eastAsia="zh-CN"/>
              </w:rPr>
              <w:t>52</w:t>
            </w:r>
          </w:p>
        </w:tc>
        <w:tc>
          <w:tcPr>
            <w:tcW w:w="1704" w:type="dxa"/>
            <w:vAlign w:val="center"/>
          </w:tcPr>
          <w:p w14:paraId="0F4C96D5">
            <w:pPr>
              <w:pStyle w:val="17"/>
              <w:bidi w:val="0"/>
              <w:jc w:val="center"/>
              <w:rPr>
                <w:rFonts w:hint="default"/>
                <w:color w:val="auto"/>
                <w:highlight w:val="none"/>
                <w:lang w:val="en-US" w:eastAsia="zh-CN"/>
              </w:rPr>
            </w:pPr>
            <w:r>
              <w:rPr>
                <w:rFonts w:hint="eastAsia"/>
                <w:color w:val="auto"/>
                <w:highlight w:val="none"/>
                <w:lang w:val="en-US" w:eastAsia="zh-CN"/>
              </w:rPr>
              <w:t>77</w:t>
            </w:r>
          </w:p>
        </w:tc>
        <w:tc>
          <w:tcPr>
            <w:tcW w:w="1704" w:type="dxa"/>
            <w:vAlign w:val="center"/>
          </w:tcPr>
          <w:p w14:paraId="5A45FCA5">
            <w:pPr>
              <w:pStyle w:val="17"/>
              <w:bidi w:val="0"/>
              <w:jc w:val="center"/>
              <w:rPr>
                <w:rFonts w:hint="default"/>
                <w:color w:val="auto"/>
                <w:highlight w:val="none"/>
                <w:lang w:val="en-US" w:eastAsia="zh-CN"/>
              </w:rPr>
            </w:pPr>
            <w:r>
              <w:rPr>
                <w:rFonts w:hint="eastAsia"/>
                <w:color w:val="auto"/>
                <w:highlight w:val="none"/>
                <w:lang w:val="en-US" w:eastAsia="zh-CN"/>
              </w:rPr>
              <w:t>0.019</w:t>
            </w:r>
          </w:p>
        </w:tc>
      </w:tr>
      <w:tr w14:paraId="1F29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03" w:type="dxa"/>
            <w:vMerge w:val="continue"/>
            <w:vAlign w:val="center"/>
          </w:tcPr>
          <w:p w14:paraId="7CD179BD">
            <w:pPr>
              <w:pStyle w:val="17"/>
              <w:bidi w:val="0"/>
              <w:jc w:val="center"/>
              <w:rPr>
                <w:rFonts w:hint="default"/>
                <w:color w:val="auto"/>
                <w:highlight w:val="none"/>
                <w:lang w:val="en-US" w:eastAsia="zh-CN"/>
              </w:rPr>
            </w:pPr>
          </w:p>
        </w:tc>
        <w:tc>
          <w:tcPr>
            <w:tcW w:w="1703" w:type="dxa"/>
            <w:vAlign w:val="center"/>
          </w:tcPr>
          <w:p w14:paraId="2C17BF7E">
            <w:pPr>
              <w:pStyle w:val="17"/>
              <w:bidi w:val="0"/>
              <w:jc w:val="center"/>
              <w:rPr>
                <w:rFonts w:hint="default"/>
                <w:color w:val="auto"/>
                <w:highlight w:val="none"/>
                <w:lang w:val="en-US" w:eastAsia="zh-CN"/>
              </w:rPr>
            </w:pPr>
            <w:r>
              <w:rPr>
                <w:rFonts w:hint="eastAsia"/>
                <w:color w:val="auto"/>
                <w:highlight w:val="none"/>
                <w:lang w:val="en-US" w:eastAsia="zh-CN"/>
              </w:rPr>
              <w:t>1000</w:t>
            </w:r>
          </w:p>
        </w:tc>
        <w:tc>
          <w:tcPr>
            <w:tcW w:w="1704" w:type="dxa"/>
            <w:shd w:val="clear" w:color="auto" w:fill="auto"/>
            <w:vAlign w:val="center"/>
          </w:tcPr>
          <w:p w14:paraId="2F6FDFE7">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100</w:t>
            </w:r>
          </w:p>
        </w:tc>
        <w:tc>
          <w:tcPr>
            <w:tcW w:w="1704" w:type="dxa"/>
            <w:shd w:val="clear" w:color="auto" w:fill="auto"/>
            <w:vAlign w:val="center"/>
          </w:tcPr>
          <w:p w14:paraId="367AB3F4">
            <w:pPr>
              <w:pStyle w:val="17"/>
              <w:bidi w:val="0"/>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135</w:t>
            </w:r>
          </w:p>
        </w:tc>
        <w:tc>
          <w:tcPr>
            <w:tcW w:w="1704" w:type="dxa"/>
            <w:vAlign w:val="center"/>
          </w:tcPr>
          <w:p w14:paraId="0F2B475C">
            <w:pPr>
              <w:pStyle w:val="17"/>
              <w:bidi w:val="0"/>
              <w:jc w:val="center"/>
              <w:rPr>
                <w:rFonts w:hint="default"/>
                <w:color w:val="auto"/>
                <w:highlight w:val="none"/>
                <w:lang w:val="en-US" w:eastAsia="zh-CN"/>
              </w:rPr>
            </w:pPr>
            <w:r>
              <w:rPr>
                <w:rFonts w:hint="eastAsia"/>
                <w:color w:val="auto"/>
                <w:highlight w:val="none"/>
                <w:lang w:val="en-US" w:eastAsia="zh-CN"/>
              </w:rPr>
              <w:t>0.019</w:t>
            </w:r>
          </w:p>
        </w:tc>
      </w:tr>
    </w:tbl>
    <w:p w14:paraId="591C0F3D">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从预测结果可以看出，</w:t>
      </w:r>
      <w:r>
        <w:rPr>
          <w:rFonts w:hint="default" w:ascii="Times New Roman" w:hAnsi="Times New Roman" w:cs="Times New Roman"/>
          <w:color w:val="auto"/>
          <w:highlight w:val="none"/>
          <w:lang w:val="en-US" w:eastAsia="zh-CN"/>
        </w:rPr>
        <w:t>随着时间推移，尾矿库泄漏废水中污染物的最大运移距离在逐渐扩大，模拟期内，氟化物的浓度</w:t>
      </w:r>
      <w:r>
        <w:rPr>
          <w:rFonts w:hint="default" w:ascii="Times New Roman" w:hAnsi="Times New Roman" w:cs="Times New Roman"/>
          <w:color w:val="auto"/>
          <w:highlight w:val="none"/>
        </w:rPr>
        <w:t>满足《地下水质量标准》（GB/T14848-2017）中的</w:t>
      </w:r>
      <w:r>
        <w:rPr>
          <w:rFonts w:hint="default" w:ascii="Times New Roman" w:hAnsi="Times New Roman" w:cs="Times New Roman"/>
          <w:color w:val="auto"/>
          <w:highlight w:val="none"/>
          <w:lang w:eastAsia="zh-CN"/>
        </w:rPr>
        <w:t>Ⅲ</w:t>
      </w:r>
      <w:r>
        <w:rPr>
          <w:rFonts w:hint="default" w:ascii="Times New Roman" w:hAnsi="Times New Roman" w:cs="Times New Roman"/>
          <w:color w:val="auto"/>
          <w:highlight w:val="none"/>
        </w:rPr>
        <w:t>类标准</w:t>
      </w:r>
      <w:r>
        <w:rPr>
          <w:rFonts w:hint="default" w:ascii="Times New Roman" w:hAnsi="Times New Roman" w:cs="Times New Roman"/>
          <w:color w:val="auto"/>
          <w:highlight w:val="none"/>
          <w:lang w:val="en-US" w:eastAsia="zh-CN"/>
        </w:rPr>
        <w:t>要求</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仅</w:t>
      </w:r>
      <w:r>
        <w:rPr>
          <w:rFonts w:hint="default" w:ascii="Times New Roman" w:hAnsi="Times New Roman" w:cs="Times New Roman"/>
          <w:color w:val="auto"/>
          <w:highlight w:val="none"/>
          <w:lang w:val="en-US" w:eastAsia="zh-CN"/>
        </w:rPr>
        <w:t>会</w:t>
      </w:r>
      <w:r>
        <w:rPr>
          <w:rFonts w:hint="default" w:ascii="Times New Roman" w:hAnsi="Times New Roman" w:cs="Times New Roman"/>
          <w:color w:val="auto"/>
          <w:highlight w:val="none"/>
        </w:rPr>
        <w:t>造成周边地下水环境中</w:t>
      </w:r>
      <w:r>
        <w:rPr>
          <w:rFonts w:hint="default" w:ascii="Times New Roman" w:hAnsi="Times New Roman" w:cs="Times New Roman"/>
          <w:color w:val="auto"/>
          <w:highlight w:val="none"/>
          <w:lang w:val="en-US" w:eastAsia="zh-CN"/>
        </w:rPr>
        <w:t>氟化物</w:t>
      </w:r>
      <w:r>
        <w:rPr>
          <w:rFonts w:hint="default" w:ascii="Times New Roman" w:hAnsi="Times New Roman" w:cs="Times New Roman"/>
          <w:color w:val="auto"/>
          <w:highlight w:val="none"/>
        </w:rPr>
        <w:t>的浓度</w:t>
      </w:r>
      <w:r>
        <w:rPr>
          <w:rFonts w:hint="default" w:ascii="Times New Roman" w:hAnsi="Times New Roman" w:cs="Times New Roman"/>
          <w:color w:val="auto"/>
          <w:highlight w:val="none"/>
          <w:lang w:val="en-US" w:eastAsia="zh-CN"/>
        </w:rPr>
        <w:t>小幅</w:t>
      </w:r>
      <w:r>
        <w:rPr>
          <w:rFonts w:hint="default" w:ascii="Times New Roman" w:hAnsi="Times New Roman" w:cs="Times New Roman"/>
          <w:color w:val="auto"/>
          <w:highlight w:val="none"/>
        </w:rPr>
        <w:t>升高，不会造成周边地下水环境污染，对项目周边地下水环境影响较小</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kern w:val="0"/>
          <w:sz w:val="24"/>
          <w:szCs w:val="24"/>
          <w:highlight w:val="none"/>
          <w:lang w:val="en-US" w:eastAsia="zh-CN" w:bidi="ar"/>
        </w:rPr>
        <w:t>无长期污染风险。</w:t>
      </w:r>
    </w:p>
    <w:p w14:paraId="393E01CB">
      <w:pPr>
        <w:keepNext w:val="0"/>
        <w:keepLines w:val="0"/>
        <w:widowControl/>
        <w:suppressLineNumbers w:val="0"/>
        <w:jc w:val="lef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lang w:eastAsia="zh-CN"/>
        </w:rPr>
        <w:t>镉</w:t>
      </w:r>
      <w:r>
        <w:rPr>
          <w:rFonts w:hint="default" w:ascii="Times New Roman" w:hAnsi="Times New Roman" w:cs="Times New Roman"/>
          <w:color w:val="auto"/>
          <w:sz w:val="24"/>
          <w:highlight w:val="none"/>
          <w:lang w:val="en-US" w:eastAsia="zh-CN"/>
        </w:rPr>
        <w:t>污染物存在超标风险。泄漏至第100天时，下游13m范围内镉浓度</w:t>
      </w:r>
      <w:r>
        <w:rPr>
          <w:rFonts w:hint="default" w:ascii="Times New Roman" w:hAnsi="Times New Roman" w:eastAsia="宋体" w:cs="Times New Roman"/>
          <w:color w:val="auto"/>
          <w:sz w:val="24"/>
          <w:szCs w:val="24"/>
          <w:highlight w:val="none"/>
        </w:rPr>
        <w:t>超出《地下水质量标准》（GB/T 14848-2017）Ⅲ类标准限值</w:t>
      </w:r>
      <w:r>
        <w:rPr>
          <w:rFonts w:hint="default" w:ascii="Times New Roman" w:hAnsi="Times New Roman" w:cs="Times New Roman"/>
          <w:color w:val="auto"/>
          <w:sz w:val="24"/>
          <w:highlight w:val="none"/>
          <w:lang w:val="en-US" w:eastAsia="zh-CN"/>
        </w:rPr>
        <w:t>；泄漏至第500天时，</w:t>
      </w:r>
      <w:r>
        <w:rPr>
          <w:rFonts w:hint="default" w:ascii="Times New Roman" w:hAnsi="Times New Roman" w:eastAsia="宋体" w:cs="Times New Roman"/>
          <w:color w:val="auto"/>
          <w:kern w:val="0"/>
          <w:sz w:val="24"/>
          <w:szCs w:val="24"/>
          <w:highlight w:val="none"/>
          <w:lang w:val="en-US" w:eastAsia="zh-CN" w:bidi="ar"/>
        </w:rPr>
        <w:t>镉污染超标范围扩散至下游77m区域</w:t>
      </w:r>
      <w:r>
        <w:rPr>
          <w:rFonts w:hint="default" w:ascii="Times New Roman" w:hAnsi="Times New Roman" w:cs="Times New Roman"/>
          <w:color w:val="auto"/>
          <w:sz w:val="24"/>
          <w:highlight w:val="none"/>
          <w:lang w:val="en-US" w:eastAsia="zh-CN"/>
        </w:rPr>
        <w:t>；泄漏至第1000天时，</w:t>
      </w:r>
      <w:r>
        <w:rPr>
          <w:rFonts w:hint="default" w:ascii="Times New Roman" w:hAnsi="Times New Roman" w:eastAsia="宋体" w:cs="Times New Roman"/>
          <w:color w:val="auto"/>
          <w:kern w:val="0"/>
          <w:sz w:val="24"/>
          <w:szCs w:val="24"/>
          <w:highlight w:val="none"/>
          <w:lang w:val="en-US" w:eastAsia="zh-CN" w:bidi="ar"/>
        </w:rPr>
        <w:t>超标运移范围进一步扩大至下游135m区域</w:t>
      </w:r>
      <w:r>
        <w:rPr>
          <w:rFonts w:hint="default" w:ascii="Times New Roman" w:hAnsi="Times New Roman" w:eastAsia="宋体" w:cs="Times New Roman"/>
          <w:color w:val="auto"/>
          <w:sz w:val="24"/>
          <w:szCs w:val="24"/>
          <w:highlight w:val="none"/>
        </w:rPr>
        <w:t>。</w:t>
      </w:r>
    </w:p>
    <w:p w14:paraId="636DA323">
      <w:pPr>
        <w:bidi w:val="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 w:val="24"/>
          <w:szCs w:val="24"/>
          <w:highlight w:val="none"/>
        </w:rPr>
        <w:t>为防控</w:t>
      </w:r>
      <w:r>
        <w:rPr>
          <w:rFonts w:hint="default" w:ascii="Times New Roman" w:hAnsi="Times New Roman" w:cs="Times New Roman"/>
          <w:color w:val="auto"/>
          <w:sz w:val="24"/>
          <w:szCs w:val="24"/>
          <w:highlight w:val="none"/>
          <w:lang w:val="en-US" w:eastAsia="zh-CN"/>
        </w:rPr>
        <w:t>尾矿</w:t>
      </w:r>
      <w:r>
        <w:rPr>
          <w:rFonts w:hint="default" w:ascii="Times New Roman" w:hAnsi="Times New Roman" w:eastAsia="宋体" w:cs="Times New Roman"/>
          <w:color w:val="auto"/>
          <w:sz w:val="24"/>
          <w:szCs w:val="24"/>
          <w:highlight w:val="none"/>
        </w:rPr>
        <w:t>废水下渗及扩散，</w:t>
      </w:r>
      <w:r>
        <w:rPr>
          <w:rFonts w:hint="default" w:ascii="Times New Roman" w:hAnsi="Times New Roman" w:eastAsia="宋体" w:cs="Times New Roman"/>
          <w:color w:val="auto"/>
          <w:sz w:val="24"/>
          <w:szCs w:val="24"/>
          <w:highlight w:val="none"/>
          <w:lang w:val="en-US" w:eastAsia="zh-CN"/>
        </w:rPr>
        <w:t>本</w:t>
      </w:r>
      <w:r>
        <w:rPr>
          <w:rFonts w:hint="default" w:ascii="Times New Roman" w:hAnsi="Times New Roman" w:cs="Times New Roman"/>
          <w:color w:val="auto"/>
          <w:highlight w:val="none"/>
          <w:lang w:val="en-US" w:eastAsia="zh-CN"/>
        </w:rPr>
        <w:t>项目尾矿库采取全库区防渗。库区全域铺设人工防渗系统，尾矿库库内采用土工材料HDPE土工膜防渗，防渗层结构由下到上依次为：整平基础、4500g/m</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膨润土防水毯、1.5mm厚单糙面HDPE土工膜、400g/m</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土工布。坝基采用HDPE土工膜防渗，与库区及两侧坝肩防渗层连接为一个整体，坝基防渗层由下至上分别为5000g/m</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改性膨润土防水毯、1.5mm厚双糙面HDPE土工膜及6mm厚三肋土工复合排水网。</w:t>
      </w:r>
    </w:p>
    <w:p w14:paraId="67DD2749">
      <w:pPr>
        <w:keepNext w:val="0"/>
        <w:keepLines w:val="0"/>
        <w:widowControl/>
        <w:suppressLineNumbers w:val="0"/>
        <w:jc w:val="left"/>
        <w:rPr>
          <w:color w:val="auto"/>
          <w:highlight w:val="none"/>
        </w:rPr>
      </w:pPr>
      <w:r>
        <w:rPr>
          <w:rFonts w:hint="default" w:ascii="Times New Roman" w:hAnsi="Times New Roman" w:cs="Times New Roman"/>
          <w:color w:val="auto"/>
          <w:highlight w:val="none"/>
          <w:lang w:val="en-US" w:eastAsia="zh-CN"/>
        </w:rPr>
        <w:t>同时库内配套建设回水系统，</w:t>
      </w:r>
      <w:r>
        <w:rPr>
          <w:rFonts w:hint="default" w:ascii="Times New Roman" w:hAnsi="Times New Roman" w:eastAsia="宋体" w:cs="Times New Roman"/>
          <w:color w:val="auto"/>
          <w:sz w:val="24"/>
          <w:szCs w:val="24"/>
          <w:highlight w:val="none"/>
        </w:rPr>
        <w:t>库区汇水</w:t>
      </w:r>
      <w:r>
        <w:rPr>
          <w:rFonts w:hint="default" w:ascii="Times New Roman" w:hAnsi="Times New Roman" w:cs="Times New Roman"/>
          <w:color w:val="auto"/>
          <w:highlight w:val="none"/>
          <w:lang w:val="en-US" w:eastAsia="zh-CN"/>
        </w:rPr>
        <w:t>通过取水设施及回水管线输送至选厂高位回水池（4000m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），全部回用于选矿生产，不外排。</w:t>
      </w:r>
      <w:r>
        <w:rPr>
          <w:rFonts w:hint="eastAsia" w:cs="Times New Roman"/>
          <w:color w:val="auto"/>
          <w:highlight w:val="none"/>
          <w:lang w:val="en-US" w:eastAsia="zh-CN"/>
        </w:rPr>
        <w:t>运营期</w:t>
      </w:r>
      <w:r>
        <w:rPr>
          <w:rFonts w:hint="default" w:ascii="Times New Roman" w:hAnsi="Times New Roman" w:cs="Times New Roman"/>
          <w:color w:val="auto"/>
          <w:highlight w:val="none"/>
          <w:lang w:val="en-US" w:eastAsia="zh-CN"/>
        </w:rPr>
        <w:t>采取</w:t>
      </w:r>
      <w:r>
        <w:rPr>
          <w:rFonts w:ascii="宋体" w:hAnsi="宋体" w:eastAsia="宋体" w:cs="宋体"/>
          <w:color w:val="auto"/>
          <w:kern w:val="0"/>
          <w:sz w:val="24"/>
          <w:szCs w:val="24"/>
          <w:highlight w:val="none"/>
          <w:lang w:val="en-US" w:eastAsia="zh-CN" w:bidi="ar"/>
        </w:rPr>
        <w:t>制定尾矿库防渗专项巡检制度，明确巡检频次、重点区域及排查标准，对坝基、坝肩、防渗搭接缝、库区低洼区等薄弱点位开展定点、常态化细致排查，重点核查防渗膜破损、开裂、老化、脱层等细微隐患，全程留存巡检记录，杜绝粗放式巡检漏查问题。</w:t>
      </w:r>
    </w:p>
    <w:p w14:paraId="2F89F69A">
      <w:pPr>
        <w:bidi w:val="0"/>
        <w:rPr>
          <w:color w:val="auto"/>
          <w:highlight w:val="none"/>
        </w:rPr>
      </w:pPr>
      <w:r>
        <w:rPr>
          <w:rFonts w:hint="default" w:ascii="Times New Roman" w:hAnsi="Times New Roman" w:cs="Times New Roman"/>
          <w:color w:val="auto"/>
          <w:highlight w:val="none"/>
          <w:lang w:val="en-US" w:eastAsia="zh-CN"/>
        </w:rPr>
        <w:t>以上措施后，</w:t>
      </w:r>
      <w:r>
        <w:rPr>
          <w:rFonts w:hint="default" w:ascii="Times New Roman" w:hAnsi="Times New Roman" w:eastAsia="宋体" w:cs="Times New Roman"/>
          <w:color w:val="auto"/>
          <w:sz w:val="24"/>
          <w:szCs w:val="24"/>
          <w:highlight w:val="none"/>
        </w:rPr>
        <w:t>可有效阻断</w:t>
      </w:r>
      <w:r>
        <w:rPr>
          <w:rFonts w:hint="eastAsia" w:cs="Times New Roman"/>
          <w:color w:val="auto"/>
          <w:sz w:val="24"/>
          <w:szCs w:val="24"/>
          <w:highlight w:val="none"/>
          <w:lang w:val="en-US" w:eastAsia="zh-CN"/>
        </w:rPr>
        <w:t>尾矿</w:t>
      </w:r>
      <w:r>
        <w:rPr>
          <w:rFonts w:hint="default" w:ascii="Times New Roman" w:hAnsi="Times New Roman" w:eastAsia="宋体" w:cs="Times New Roman"/>
          <w:color w:val="auto"/>
          <w:sz w:val="24"/>
          <w:szCs w:val="24"/>
          <w:highlight w:val="none"/>
        </w:rPr>
        <w:t>废水下渗、迁移路径，</w:t>
      </w:r>
      <w:r>
        <w:rPr>
          <w:rFonts w:hint="eastAsia" w:cs="Times New Roman"/>
          <w:color w:val="auto"/>
          <w:sz w:val="24"/>
          <w:szCs w:val="24"/>
          <w:highlight w:val="none"/>
          <w:lang w:eastAsia="zh-CN"/>
        </w:rPr>
        <w:t>杜绝</w:t>
      </w:r>
      <w:r>
        <w:rPr>
          <w:rFonts w:hint="eastAsia" w:cs="Times New Roman"/>
          <w:color w:val="auto"/>
          <w:sz w:val="24"/>
          <w:szCs w:val="24"/>
          <w:highlight w:val="none"/>
          <w:lang w:val="en-US" w:eastAsia="zh-CN"/>
        </w:rPr>
        <w:t>库内</w:t>
      </w:r>
      <w:r>
        <w:rPr>
          <w:rFonts w:hint="default" w:ascii="Times New Roman" w:hAnsi="Times New Roman" w:eastAsia="宋体" w:cs="Times New Roman"/>
          <w:color w:val="auto"/>
          <w:sz w:val="24"/>
          <w:szCs w:val="24"/>
          <w:highlight w:val="none"/>
        </w:rPr>
        <w:t>废水外排及地下水污染问题，</w:t>
      </w:r>
      <w:r>
        <w:rPr>
          <w:rFonts w:hint="default" w:ascii="Times New Roman" w:hAnsi="Times New Roman" w:cs="Times New Roman"/>
          <w:color w:val="auto"/>
          <w:highlight w:val="none"/>
          <w:lang w:val="en-US" w:eastAsia="zh-CN"/>
        </w:rPr>
        <w:t>不会对周边地下水造成影响。</w:t>
      </w:r>
    </w:p>
    <w:p w14:paraId="4CCD2801">
      <w:pPr>
        <w:pStyle w:val="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5.2.3.3开采活动对地下水影响</w:t>
      </w:r>
    </w:p>
    <w:p w14:paraId="68DF32A3">
      <w:pPr>
        <w:bidi w:val="0"/>
        <w:rPr>
          <w:rFonts w:hint="default"/>
          <w:color w:val="auto"/>
          <w:highlight w:val="none"/>
          <w:lang w:val="en-US" w:eastAsia="zh-CN"/>
        </w:rPr>
      </w:pPr>
      <w:r>
        <w:rPr>
          <w:rFonts w:hint="default"/>
          <w:color w:val="auto"/>
          <w:highlight w:val="none"/>
          <w:lang w:val="en-US" w:eastAsia="zh-CN"/>
        </w:rPr>
        <w:t>（1）地下水水位</w:t>
      </w:r>
      <w:r>
        <w:rPr>
          <w:rFonts w:hint="eastAsia"/>
          <w:color w:val="auto"/>
          <w:highlight w:val="none"/>
          <w:lang w:val="en-US" w:eastAsia="zh-CN"/>
        </w:rPr>
        <w:t>影响</w:t>
      </w:r>
    </w:p>
    <w:p w14:paraId="7145E60C">
      <w:pPr>
        <w:bidi w:val="0"/>
        <w:rPr>
          <w:rFonts w:hint="default"/>
          <w:color w:val="auto"/>
          <w:highlight w:val="none"/>
          <w:lang w:val="en-US" w:eastAsia="zh-CN"/>
        </w:rPr>
      </w:pPr>
      <w:r>
        <w:rPr>
          <w:rFonts w:hint="default"/>
          <w:color w:val="auto"/>
          <w:highlight w:val="none"/>
          <w:lang w:val="en-US" w:eastAsia="zh-CN"/>
        </w:rPr>
        <w:t>根据矿山</w:t>
      </w:r>
      <w:r>
        <w:rPr>
          <w:rFonts w:hint="eastAsia"/>
          <w:color w:val="auto"/>
          <w:highlight w:val="none"/>
          <w:lang w:val="en-US" w:eastAsia="zh-CN"/>
        </w:rPr>
        <w:t>可研报告</w:t>
      </w:r>
      <w:r>
        <w:rPr>
          <w:rFonts w:hint="default"/>
          <w:color w:val="auto"/>
          <w:highlight w:val="none"/>
          <w:lang w:val="en-US" w:eastAsia="zh-CN"/>
        </w:rPr>
        <w:t>，</w:t>
      </w:r>
      <w:r>
        <w:rPr>
          <w:rFonts w:hint="eastAsia"/>
          <w:color w:val="auto"/>
          <w:highlight w:val="none"/>
          <w:lang w:val="en-US" w:eastAsia="zh-CN"/>
        </w:rPr>
        <w:t>首采期2900m中段正常涌水量550m</w:t>
      </w:r>
      <w:r>
        <w:rPr>
          <w:rFonts w:hint="eastAsia"/>
          <w:color w:val="auto"/>
          <w:highlight w:val="none"/>
          <w:vertAlign w:val="superscript"/>
          <w:lang w:val="en-US" w:eastAsia="zh-CN"/>
        </w:rPr>
        <w:t>3</w:t>
      </w:r>
      <w:r>
        <w:rPr>
          <w:rFonts w:hint="eastAsia"/>
          <w:color w:val="auto"/>
          <w:highlight w:val="none"/>
          <w:lang w:val="en-US" w:eastAsia="zh-CN"/>
        </w:rPr>
        <w:t>/d，最大涌水量1000m</w:t>
      </w:r>
      <w:r>
        <w:rPr>
          <w:rFonts w:hint="eastAsia"/>
          <w:color w:val="auto"/>
          <w:highlight w:val="none"/>
          <w:vertAlign w:val="superscript"/>
          <w:lang w:val="en-US" w:eastAsia="zh-CN"/>
        </w:rPr>
        <w:t>3</w:t>
      </w:r>
      <w:r>
        <w:rPr>
          <w:rFonts w:hint="eastAsia"/>
          <w:color w:val="auto"/>
          <w:highlight w:val="none"/>
          <w:lang w:val="en-US" w:eastAsia="zh-CN"/>
        </w:rPr>
        <w:t>/d；中期2550m中段正常涌水量4400m</w:t>
      </w:r>
      <w:r>
        <w:rPr>
          <w:rFonts w:hint="eastAsia"/>
          <w:color w:val="auto"/>
          <w:highlight w:val="none"/>
          <w:vertAlign w:val="superscript"/>
          <w:lang w:val="en-US" w:eastAsia="zh-CN"/>
        </w:rPr>
        <w:t>3</w:t>
      </w:r>
      <w:r>
        <w:rPr>
          <w:rFonts w:hint="eastAsia"/>
          <w:color w:val="auto"/>
          <w:highlight w:val="none"/>
          <w:lang w:val="en-US" w:eastAsia="zh-CN"/>
        </w:rPr>
        <w:t>/d，最大涌水量7900m</w:t>
      </w:r>
      <w:r>
        <w:rPr>
          <w:rFonts w:hint="eastAsia"/>
          <w:color w:val="auto"/>
          <w:highlight w:val="none"/>
          <w:vertAlign w:val="superscript"/>
          <w:lang w:val="en-US" w:eastAsia="zh-CN"/>
        </w:rPr>
        <w:t>3</w:t>
      </w:r>
      <w:r>
        <w:rPr>
          <w:rFonts w:hint="eastAsia"/>
          <w:color w:val="auto"/>
          <w:highlight w:val="none"/>
          <w:lang w:val="en-US" w:eastAsia="zh-CN"/>
        </w:rPr>
        <w:t>/d；后期2450m中段正常涌水量4900m</w:t>
      </w:r>
      <w:r>
        <w:rPr>
          <w:rFonts w:hint="eastAsia"/>
          <w:color w:val="auto"/>
          <w:highlight w:val="none"/>
          <w:vertAlign w:val="superscript"/>
          <w:lang w:val="en-US" w:eastAsia="zh-CN"/>
        </w:rPr>
        <w:t>3</w:t>
      </w:r>
      <w:r>
        <w:rPr>
          <w:rFonts w:hint="eastAsia"/>
          <w:color w:val="auto"/>
          <w:highlight w:val="none"/>
          <w:lang w:val="en-US" w:eastAsia="zh-CN"/>
        </w:rPr>
        <w:t>/d，最大涌水量8800m</w:t>
      </w:r>
      <w:r>
        <w:rPr>
          <w:rFonts w:hint="eastAsia"/>
          <w:color w:val="auto"/>
          <w:highlight w:val="none"/>
          <w:vertAlign w:val="superscript"/>
          <w:lang w:val="en-US" w:eastAsia="zh-CN"/>
        </w:rPr>
        <w:t>3</w:t>
      </w:r>
      <w:r>
        <w:rPr>
          <w:rFonts w:hint="eastAsia"/>
          <w:color w:val="auto"/>
          <w:highlight w:val="none"/>
          <w:lang w:val="en-US" w:eastAsia="zh-CN"/>
        </w:rPr>
        <w:t>/d。矿井涌水通过排水管送至坑内水净化站处理后，泵送至选矿厂生产消防高位水池作为生产水使用。</w:t>
      </w:r>
      <w:r>
        <w:rPr>
          <w:rFonts w:hint="default"/>
          <w:color w:val="auto"/>
          <w:highlight w:val="none"/>
          <w:lang w:val="en-US" w:eastAsia="zh-CN"/>
        </w:rPr>
        <w:t>涌水对地下水的影响主要反映在以下</w:t>
      </w:r>
      <w:r>
        <w:rPr>
          <w:rFonts w:hint="eastAsia"/>
          <w:color w:val="auto"/>
          <w:highlight w:val="none"/>
          <w:lang w:val="en-US" w:eastAsia="zh-CN"/>
        </w:rPr>
        <w:t>几个</w:t>
      </w:r>
      <w:r>
        <w:rPr>
          <w:rFonts w:hint="default"/>
          <w:color w:val="auto"/>
          <w:highlight w:val="none"/>
          <w:lang w:val="en-US" w:eastAsia="zh-CN"/>
        </w:rPr>
        <w:t>方面：</w:t>
      </w:r>
    </w:p>
    <w:p w14:paraId="3D6FB6DA">
      <w:pPr>
        <w:bidi w:val="0"/>
        <w:rPr>
          <w:rFonts w:hint="default"/>
          <w:color w:val="auto"/>
          <w:highlight w:val="none"/>
          <w:lang w:val="en-US" w:eastAsia="zh-CN"/>
        </w:rPr>
      </w:pPr>
      <w:r>
        <w:rPr>
          <w:rFonts w:hint="default"/>
          <w:color w:val="auto"/>
          <w:highlight w:val="none"/>
          <w:lang w:val="en-US" w:eastAsia="zh-CN"/>
        </w:rPr>
        <w:t>矿井（坑）疏干后对被截流的地下含水层要产生一个降落漏斗，其影响半径范围内若有天然露头泉就会干枯。若有人工取水井就会吊泵而取不上水。</w:t>
      </w:r>
    </w:p>
    <w:p w14:paraId="1DE21557">
      <w:pPr>
        <w:bidi w:val="0"/>
        <w:rPr>
          <w:rFonts w:hint="default"/>
          <w:color w:val="auto"/>
          <w:highlight w:val="none"/>
          <w:lang w:val="en-US" w:eastAsia="zh-CN"/>
        </w:rPr>
      </w:pPr>
      <w:r>
        <w:rPr>
          <w:rFonts w:hint="default"/>
          <w:color w:val="auto"/>
          <w:highlight w:val="none"/>
          <w:lang w:val="en-US" w:eastAsia="zh-CN"/>
        </w:rPr>
        <w:t>本矿开采最低标高为</w:t>
      </w:r>
      <w:r>
        <w:rPr>
          <w:rFonts w:hint="eastAsia"/>
          <w:color w:val="auto"/>
          <w:highlight w:val="none"/>
          <w:lang w:val="en-US" w:eastAsia="zh-CN"/>
        </w:rPr>
        <w:t>2354</w:t>
      </w:r>
      <w:r>
        <w:rPr>
          <w:rFonts w:hint="default"/>
          <w:color w:val="auto"/>
          <w:highlight w:val="none"/>
          <w:lang w:val="en-US" w:eastAsia="zh-CN"/>
        </w:rPr>
        <w:t>m，</w:t>
      </w:r>
      <w:r>
        <w:rPr>
          <w:rFonts w:hint="eastAsia"/>
          <w:color w:val="auto"/>
          <w:highlight w:val="none"/>
          <w:lang w:val="en-US" w:eastAsia="zh-CN"/>
        </w:rPr>
        <w:t>阿克苏河流经矿区，地下水平均水位标高2951.14m，高于开采最低标高，高差为597.14m，由于河水的补给是逐渐由大气</w:t>
      </w:r>
      <w:r>
        <w:rPr>
          <w:rFonts w:hint="default"/>
          <w:color w:val="auto"/>
          <w:highlight w:val="none"/>
          <w:lang w:val="en-US" w:eastAsia="zh-CN"/>
        </w:rPr>
        <w:t>降水、</w:t>
      </w:r>
      <w:r>
        <w:rPr>
          <w:rFonts w:hint="eastAsia"/>
          <w:color w:val="auto"/>
          <w:highlight w:val="none"/>
          <w:lang w:val="en-US" w:eastAsia="zh-CN"/>
        </w:rPr>
        <w:t>春季</w:t>
      </w:r>
      <w:r>
        <w:rPr>
          <w:rFonts w:hint="default"/>
          <w:color w:val="auto"/>
          <w:highlight w:val="none"/>
          <w:lang w:val="en-US" w:eastAsia="zh-CN"/>
        </w:rPr>
        <w:t>冰雪融水</w:t>
      </w:r>
      <w:r>
        <w:rPr>
          <w:rFonts w:hint="eastAsia"/>
          <w:color w:val="auto"/>
          <w:highlight w:val="none"/>
          <w:lang w:val="en-US" w:eastAsia="zh-CN"/>
        </w:rPr>
        <w:t>汇聚而成，上游河流源头海拔较高，地形坡度较大，冬季冻结期较长，对矿区的补给不利</w:t>
      </w:r>
      <w:r>
        <w:rPr>
          <w:rFonts w:hint="default"/>
          <w:color w:val="auto"/>
          <w:highlight w:val="none"/>
          <w:lang w:val="en-US" w:eastAsia="zh-CN"/>
        </w:rPr>
        <w:t>。</w:t>
      </w:r>
    </w:p>
    <w:p w14:paraId="67425002">
      <w:pPr>
        <w:bidi w:val="0"/>
        <w:rPr>
          <w:rFonts w:hint="default"/>
          <w:color w:val="auto"/>
          <w:highlight w:val="none"/>
          <w:lang w:val="en-US" w:eastAsia="zh-CN"/>
        </w:rPr>
      </w:pPr>
      <w:r>
        <w:rPr>
          <w:rFonts w:hint="default"/>
          <w:color w:val="auto"/>
          <w:highlight w:val="none"/>
          <w:lang w:val="en-US" w:eastAsia="zh-CN"/>
        </w:rPr>
        <w:t>矿山开采过程中形成一个降落漏斗，成为基岩裂隙水的一个排泄点，从矿井（坑）中排出。由于本矿下游无泉眼，不存在泉眼水位下降问题，因此矿井涌水对地下水的影响很小。</w:t>
      </w:r>
    </w:p>
    <w:p w14:paraId="29B1383D">
      <w:pPr>
        <w:keepNext w:val="0"/>
        <w:keepLines w:val="0"/>
        <w:widowControl/>
        <w:suppressLineNumbers w:val="0"/>
        <w:jc w:val="left"/>
        <w:rPr>
          <w:color w:val="auto"/>
          <w:highlight w:val="none"/>
        </w:rPr>
      </w:pPr>
      <w:r>
        <w:rPr>
          <w:rFonts w:hint="default" w:ascii="Times New Roman" w:hAnsi="Times New Roman" w:eastAsia="宋体" w:cs="Times New Roman"/>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）采矿工程对地下水水质的影响分析</w:t>
      </w:r>
    </w:p>
    <w:p w14:paraId="254B5DB3">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矿体地下开采过程中产生的废水主要为矿坑涌水及降尘废水，</w:t>
      </w:r>
      <w:r>
        <w:rPr>
          <w:rFonts w:hint="eastAsia"/>
          <w:color w:val="auto"/>
          <w:highlight w:val="none"/>
          <w:lang w:val="en-US" w:eastAsia="zh-CN"/>
        </w:rPr>
        <w:t>通过排水管送至坑内水净化站处理后，泵送至选矿厂生产消防高位水池作为生产水使用，</w:t>
      </w:r>
      <w:r>
        <w:rPr>
          <w:rFonts w:hint="eastAsia" w:ascii="宋体" w:hAnsi="宋体" w:eastAsia="宋体" w:cs="宋体"/>
          <w:color w:val="auto"/>
          <w:kern w:val="0"/>
          <w:sz w:val="24"/>
          <w:szCs w:val="24"/>
          <w:highlight w:val="none"/>
          <w:lang w:val="en-US" w:eastAsia="zh-CN" w:bidi="ar"/>
        </w:rPr>
        <w:t>不外排，不会对含水层水质造成影响。</w:t>
      </w:r>
    </w:p>
    <w:p w14:paraId="7715D260">
      <w:pPr>
        <w:pStyle w:val="6"/>
        <w:rPr>
          <w:color w:val="auto"/>
          <w:highlight w:val="none"/>
        </w:rPr>
      </w:pPr>
      <w:bookmarkStart w:id="664" w:name="_Toc26249"/>
      <w:bookmarkStart w:id="665" w:name="_Toc20422"/>
      <w:bookmarkStart w:id="666" w:name="_Toc22124"/>
      <w:r>
        <w:rPr>
          <w:rFonts w:hint="eastAsia"/>
          <w:color w:val="auto"/>
          <w:highlight w:val="none"/>
        </w:rPr>
        <w:t>5</w:t>
      </w:r>
      <w:r>
        <w:rPr>
          <w:color w:val="auto"/>
          <w:highlight w:val="none"/>
        </w:rPr>
        <w:t>.</w:t>
      </w:r>
      <w:r>
        <w:rPr>
          <w:rFonts w:hint="eastAsia"/>
          <w:color w:val="auto"/>
          <w:highlight w:val="none"/>
        </w:rPr>
        <w:t>2.4运营期声环境影响分析与评价</w:t>
      </w:r>
      <w:bookmarkEnd w:id="664"/>
      <w:bookmarkEnd w:id="665"/>
      <w:bookmarkEnd w:id="666"/>
    </w:p>
    <w:p w14:paraId="4A9D3F7C">
      <w:pPr>
        <w:pStyle w:val="7"/>
        <w:bidi w:val="0"/>
        <w:rPr>
          <w:rFonts w:hint="default"/>
          <w:color w:val="auto"/>
          <w:highlight w:val="none"/>
          <w:lang w:val="en-US" w:eastAsia="zh-CN"/>
        </w:rPr>
      </w:pPr>
      <w:r>
        <w:rPr>
          <w:color w:val="auto"/>
          <w:highlight w:val="none"/>
        </w:rPr>
        <w:t>5.2.</w:t>
      </w:r>
      <w:r>
        <w:rPr>
          <w:rFonts w:hint="eastAsia"/>
          <w:color w:val="auto"/>
          <w:highlight w:val="none"/>
        </w:rPr>
        <w:t>4.1</w:t>
      </w:r>
      <w:r>
        <w:rPr>
          <w:rFonts w:hint="default"/>
          <w:color w:val="auto"/>
          <w:highlight w:val="none"/>
          <w:lang w:val="en-US" w:eastAsia="zh-CN"/>
        </w:rPr>
        <w:t>正常工况下声环境影响预测</w:t>
      </w:r>
    </w:p>
    <w:p w14:paraId="402B3ECD">
      <w:pPr>
        <w:overflowPunct w:val="0"/>
        <w:topLinePunct/>
        <w:adjustRightInd w:val="0"/>
        <w:ind w:firstLine="480"/>
        <w:rPr>
          <w:rFonts w:hint="eastAsia"/>
          <w:color w:val="auto"/>
          <w:highlight w:val="none"/>
          <w:lang w:eastAsia="zh-CN"/>
        </w:rPr>
      </w:pPr>
      <w:r>
        <w:rPr>
          <w:rFonts w:hint="eastAsia"/>
          <w:color w:val="auto"/>
          <w:highlight w:val="none"/>
        </w:rPr>
        <w:t>项目噪声污染源主要是选矿过程中各设备工作时产生的机械噪声及</w:t>
      </w:r>
      <w:r>
        <w:rPr>
          <w:rFonts w:hint="eastAsia"/>
          <w:color w:val="auto"/>
          <w:highlight w:val="none"/>
          <w:lang w:val="en-US" w:eastAsia="zh-CN"/>
        </w:rPr>
        <w:t>车辆</w:t>
      </w:r>
      <w:r>
        <w:rPr>
          <w:rFonts w:hint="eastAsia"/>
          <w:color w:val="auto"/>
          <w:highlight w:val="none"/>
        </w:rPr>
        <w:t>运输过</w:t>
      </w:r>
      <w:r>
        <w:rPr>
          <w:rFonts w:hint="eastAsia"/>
          <w:color w:val="auto"/>
          <w:highlight w:val="none"/>
          <w:lang w:eastAsia="zh-CN"/>
        </w:rPr>
        <w:t>程中</w:t>
      </w:r>
      <w:r>
        <w:rPr>
          <w:rFonts w:hint="eastAsia"/>
          <w:color w:val="auto"/>
          <w:highlight w:val="none"/>
        </w:rPr>
        <w:t>产生的运输噪声</w:t>
      </w:r>
      <w:r>
        <w:rPr>
          <w:rFonts w:hint="eastAsia"/>
          <w:color w:val="auto"/>
          <w:highlight w:val="none"/>
          <w:lang w:eastAsia="zh-CN"/>
        </w:rPr>
        <w:t>。</w:t>
      </w:r>
    </w:p>
    <w:p w14:paraId="0B9B01EE">
      <w:pPr>
        <w:bidi w:val="0"/>
        <w:rPr>
          <w:rFonts w:hint="default"/>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预测方法</w:t>
      </w:r>
    </w:p>
    <w:p w14:paraId="2C5F4823">
      <w:pPr>
        <w:bidi w:val="0"/>
        <w:rPr>
          <w:rFonts w:hint="default"/>
          <w:color w:val="auto"/>
          <w:highlight w:val="none"/>
          <w:lang w:val="en-US" w:eastAsia="zh-CN"/>
        </w:rPr>
      </w:pPr>
      <w:r>
        <w:rPr>
          <w:rFonts w:hint="default"/>
          <w:color w:val="auto"/>
          <w:highlight w:val="none"/>
          <w:lang w:val="en-US" w:eastAsia="zh-CN"/>
        </w:rPr>
        <w:t>预测模式采用《环境影响评价技术</w:t>
      </w:r>
      <w:r>
        <w:rPr>
          <w:rFonts w:hint="eastAsia"/>
          <w:color w:val="auto"/>
          <w:highlight w:val="none"/>
          <w:lang w:val="en-US" w:eastAsia="zh-CN"/>
        </w:rPr>
        <w:t xml:space="preserve"> </w:t>
      </w:r>
      <w:r>
        <w:rPr>
          <w:rFonts w:hint="default"/>
          <w:color w:val="auto"/>
          <w:highlight w:val="none"/>
          <w:lang w:val="en-US" w:eastAsia="zh-CN"/>
        </w:rPr>
        <w:t>导则声环境》（HJ2.4-2021）中推荐的工业噪声预测和声压级叠加模式，预测噪声源对厂界噪声的贡献值。</w:t>
      </w:r>
    </w:p>
    <w:p w14:paraId="7888FD1E">
      <w:pPr>
        <w:bidi w:val="0"/>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评价标准</w:t>
      </w:r>
    </w:p>
    <w:p w14:paraId="5DB88E0A">
      <w:pPr>
        <w:bidi w:val="0"/>
        <w:rPr>
          <w:rFonts w:hint="default"/>
          <w:color w:val="auto"/>
          <w:highlight w:val="none"/>
          <w:lang w:val="en-US" w:eastAsia="zh-CN"/>
        </w:rPr>
      </w:pPr>
      <w:r>
        <w:rPr>
          <w:rFonts w:hint="default"/>
          <w:color w:val="auto"/>
          <w:highlight w:val="none"/>
          <w:lang w:val="en-US" w:eastAsia="zh-CN"/>
        </w:rPr>
        <w:t>厂界噪声采用《工业企业厂界环境噪声排放标准》（GB12348-2008）的2类标准。</w:t>
      </w:r>
    </w:p>
    <w:p w14:paraId="21355774">
      <w:pPr>
        <w:bidi w:val="0"/>
        <w:rPr>
          <w:color w:val="auto"/>
          <w:highlight w:val="none"/>
        </w:rPr>
      </w:pPr>
      <w:r>
        <w:rPr>
          <w:rFonts w:hint="eastAsia"/>
          <w:color w:val="auto"/>
          <w:highlight w:val="none"/>
          <w:lang w:val="en-US" w:eastAsia="zh-CN"/>
        </w:rPr>
        <w:t>（1</w:t>
      </w:r>
      <w:r>
        <w:rPr>
          <w:rFonts w:hint="eastAsia"/>
          <w:color w:val="auto"/>
          <w:highlight w:val="none"/>
          <w:lang w:eastAsia="zh-CN"/>
        </w:rPr>
        <w:t>）</w:t>
      </w:r>
      <w:r>
        <w:rPr>
          <w:color w:val="auto"/>
          <w:highlight w:val="none"/>
        </w:rPr>
        <w:t>基准预测点噪声级叠加公式：</w:t>
      </w:r>
    </w:p>
    <w:p w14:paraId="55ED966D">
      <w:pPr>
        <w:spacing w:line="240" w:lineRule="auto"/>
        <w:ind w:firstLine="48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Lpe =10</w:t>
      </w:r>
      <w:r>
        <w:rPr>
          <w:rFonts w:hint="default" w:ascii="Times New Roman" w:hAnsi="Times New Roman" w:cs="Times New Roman" w:eastAsiaTheme="minorEastAsia"/>
          <w:color w:val="auto"/>
          <w:highlight w:val="none"/>
          <w:lang w:val="en-GB"/>
        </w:rPr>
        <w:t>×</w:t>
      </w:r>
      <w:r>
        <w:rPr>
          <w:rFonts w:hint="default" w:ascii="Times New Roman" w:hAnsi="Times New Roman" w:cs="Times New Roman" w:eastAsiaTheme="minorEastAsia"/>
          <w:color w:val="auto"/>
          <w:highlight w:val="none"/>
        </w:rPr>
        <w:t>lg[</w:t>
      </w:r>
      <w:r>
        <w:rPr>
          <w:rFonts w:hint="default" w:ascii="Times New Roman" w:hAnsi="Times New Roman" w:cs="Times New Roman" w:eastAsiaTheme="minorEastAsia"/>
          <w:color w:val="auto"/>
          <w:highlight w:val="none"/>
        </w:rPr>
        <w:drawing>
          <wp:inline distT="0" distB="0" distL="114300" distR="114300">
            <wp:extent cx="276225" cy="466725"/>
            <wp:effectExtent l="0" t="0" r="0" b="8890"/>
            <wp:docPr id="13" name="图片 13" descr="174460698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44606983603"/>
                    <pic:cNvPicPr>
                      <a:picLocks noChangeAspect="1"/>
                    </pic:cNvPicPr>
                  </pic:nvPicPr>
                  <pic:blipFill>
                    <a:blip r:embed="rId40"/>
                    <a:stretch>
                      <a:fillRect/>
                    </a:stretch>
                  </pic:blipFill>
                  <pic:spPr>
                    <a:xfrm>
                      <a:off x="0" y="0"/>
                      <a:ext cx="276225" cy="466725"/>
                    </a:xfrm>
                    <a:prstGeom prst="rect">
                      <a:avLst/>
                    </a:prstGeom>
                  </pic:spPr>
                </pic:pic>
              </a:graphicData>
            </a:graphic>
          </wp:inline>
        </w:drawing>
      </w:r>
      <w:r>
        <w:rPr>
          <w:rFonts w:hint="default" w:ascii="Times New Roman" w:hAnsi="Times New Roman" w:cs="Times New Roman" w:eastAsiaTheme="minorEastAsia"/>
          <w:color w:val="auto"/>
          <w:highlight w:val="none"/>
        </w:rPr>
        <w:drawing>
          <wp:inline distT="0" distB="0" distL="114300" distR="114300">
            <wp:extent cx="371475" cy="276225"/>
            <wp:effectExtent l="0" t="0" r="0" b="8890"/>
            <wp:docPr id="14" name="图片 14" descr="174460703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44607034655"/>
                    <pic:cNvPicPr>
                      <a:picLocks noChangeAspect="1"/>
                    </pic:cNvPicPr>
                  </pic:nvPicPr>
                  <pic:blipFill>
                    <a:blip r:embed="rId41"/>
                    <a:stretch>
                      <a:fillRect/>
                    </a:stretch>
                  </pic:blipFill>
                  <pic:spPr>
                    <a:xfrm>
                      <a:off x="0" y="0"/>
                      <a:ext cx="371475" cy="276225"/>
                    </a:xfrm>
                    <a:prstGeom prst="rect">
                      <a:avLst/>
                    </a:prstGeom>
                  </pic:spPr>
                </pic:pic>
              </a:graphicData>
            </a:graphic>
          </wp:inline>
        </w:drawing>
      </w:r>
      <w:r>
        <w:rPr>
          <w:rFonts w:hint="default" w:ascii="Times New Roman" w:hAnsi="Times New Roman" w:cs="Times New Roman" w:eastAsiaTheme="minorEastAsia"/>
          <w:color w:val="auto"/>
          <w:highlight w:val="none"/>
        </w:rPr>
        <w:t>]</w:t>
      </w:r>
    </w:p>
    <w:p w14:paraId="45FFEE28">
      <w:pPr>
        <w:bidi w:val="0"/>
        <w:rPr>
          <w:rFonts w:hint="eastAsia"/>
          <w:color w:val="auto"/>
          <w:highlight w:val="none"/>
          <w:lang w:val="en-US" w:eastAsia="zh-CN"/>
        </w:rPr>
      </w:pPr>
      <w:r>
        <w:rPr>
          <w:rFonts w:hint="eastAsia"/>
          <w:color w:val="auto"/>
          <w:highlight w:val="none"/>
          <w:lang w:val="en-US" w:eastAsia="zh-CN"/>
        </w:rPr>
        <w:t>式中：Lpe—叠加后总声级，dB（A）；</w:t>
      </w:r>
    </w:p>
    <w:p w14:paraId="5331D2E3">
      <w:pPr>
        <w:bidi w:val="0"/>
        <w:rPr>
          <w:rFonts w:hint="eastAsia"/>
          <w:color w:val="auto"/>
          <w:highlight w:val="none"/>
          <w:lang w:val="en-US" w:eastAsia="zh-CN"/>
        </w:rPr>
      </w:pPr>
      <w:r>
        <w:rPr>
          <w:rFonts w:hint="eastAsia"/>
          <w:color w:val="auto"/>
          <w:highlight w:val="none"/>
          <w:lang w:val="en-US" w:eastAsia="zh-CN"/>
        </w:rPr>
        <w:t>Lpi—i声源至基准预测点的声级，dB（A）；</w:t>
      </w:r>
    </w:p>
    <w:p w14:paraId="539821A9">
      <w:pPr>
        <w:bidi w:val="0"/>
        <w:rPr>
          <w:rFonts w:hint="eastAsia"/>
          <w:color w:val="auto"/>
          <w:highlight w:val="none"/>
          <w:lang w:val="en-US" w:eastAsia="zh-CN"/>
        </w:rPr>
      </w:pPr>
      <w:r>
        <w:rPr>
          <w:rFonts w:hint="eastAsia"/>
          <w:color w:val="auto"/>
          <w:highlight w:val="none"/>
          <w:lang w:val="en-US" w:eastAsia="zh-CN"/>
        </w:rPr>
        <w:t>n—噪声源数目。</w:t>
      </w:r>
    </w:p>
    <w:p w14:paraId="66F5E0E9">
      <w:pPr>
        <w:bidi w:val="0"/>
        <w:rPr>
          <w:rFonts w:hint="eastAsia"/>
          <w:color w:val="auto"/>
          <w:highlight w:val="none"/>
          <w:lang w:val="en-US" w:eastAsia="zh-CN"/>
        </w:rPr>
      </w:pPr>
      <w:r>
        <w:rPr>
          <w:rFonts w:hint="eastAsia"/>
          <w:color w:val="auto"/>
          <w:highlight w:val="none"/>
          <w:lang w:val="en-US" w:eastAsia="zh-CN"/>
        </w:rPr>
        <w:t>用上述公式计算出各噪声源点至基准预测点的总声压级，然后以基准预测点的噪声强度为工程噪声源强。</w:t>
      </w:r>
    </w:p>
    <w:p w14:paraId="0A303C65">
      <w:pPr>
        <w:bidi w:val="0"/>
        <w:rPr>
          <w:rFonts w:hint="eastAsia"/>
          <w:color w:val="auto"/>
          <w:highlight w:val="none"/>
          <w:lang w:val="en-US" w:eastAsia="zh-CN"/>
        </w:rPr>
      </w:pPr>
      <w:r>
        <w:rPr>
          <w:rFonts w:hint="eastAsia"/>
          <w:color w:val="auto"/>
          <w:highlight w:val="none"/>
          <w:lang w:val="en-US" w:eastAsia="zh-CN"/>
        </w:rPr>
        <w:t>（2）噪声源至某一预测点的计算公式</w:t>
      </w:r>
    </w:p>
    <w:p w14:paraId="6994D84E">
      <w:pPr>
        <w:spacing w:line="480" w:lineRule="auto"/>
        <w:jc w:val="center"/>
        <w:rPr>
          <w:rFonts w:hint="eastAsia" w:ascii="Times New Roman" w:hAnsi="Times New Roman" w:eastAsia="华文中宋"/>
          <w:b/>
          <w:bCs/>
          <w:color w:val="auto"/>
          <w:kern w:val="44"/>
          <w:szCs w:val="24"/>
          <w:highlight w:val="none"/>
          <w:lang w:eastAsia="zh-CN"/>
        </w:rPr>
      </w:pPr>
      <w:r>
        <w:rPr>
          <w:rFonts w:hint="eastAsia" w:ascii="Times New Roman" w:hAnsi="Times New Roman" w:eastAsia="华文中宋"/>
          <w:b/>
          <w:bCs/>
          <w:color w:val="auto"/>
          <w:kern w:val="44"/>
          <w:szCs w:val="24"/>
          <w:highlight w:val="none"/>
          <w:lang w:eastAsia="zh-CN"/>
        </w:rPr>
        <w:drawing>
          <wp:inline distT="0" distB="0" distL="114300" distR="114300">
            <wp:extent cx="1552575" cy="466725"/>
            <wp:effectExtent l="0" t="0" r="9525" b="8255"/>
            <wp:docPr id="15" name="图片 15" descr="174460707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44607077754"/>
                    <pic:cNvPicPr>
                      <a:picLocks noChangeAspect="1"/>
                    </pic:cNvPicPr>
                  </pic:nvPicPr>
                  <pic:blipFill>
                    <a:blip r:embed="rId42"/>
                    <a:stretch>
                      <a:fillRect/>
                    </a:stretch>
                  </pic:blipFill>
                  <pic:spPr>
                    <a:xfrm>
                      <a:off x="0" y="0"/>
                      <a:ext cx="1552575" cy="466725"/>
                    </a:xfrm>
                    <a:prstGeom prst="rect">
                      <a:avLst/>
                    </a:prstGeom>
                  </pic:spPr>
                </pic:pic>
              </a:graphicData>
            </a:graphic>
          </wp:inline>
        </w:drawing>
      </w:r>
    </w:p>
    <w:p w14:paraId="686C2DD5">
      <w:pPr>
        <w:bidi w:val="0"/>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式中：Lpr</w:t>
      </w:r>
      <w:r>
        <w:rPr>
          <w:rFonts w:hint="default" w:ascii="Times New Roman" w:hAnsi="Times New Roman" w:eastAsia="宋体" w:cs="Times New Roman"/>
          <w:b w:val="0"/>
          <w:bCs w:val="0"/>
          <w:color w:val="auto"/>
          <w:highlight w:val="none"/>
          <w:vertAlign w:val="subscript"/>
        </w:rPr>
        <w:t>2</w:t>
      </w:r>
      <w:r>
        <w:rPr>
          <w:rFonts w:hint="default" w:ascii="Times New Roman" w:hAnsi="Times New Roman" w:eastAsia="宋体" w:cs="Times New Roman"/>
          <w:b w:val="0"/>
          <w:bCs w:val="0"/>
          <w:color w:val="auto"/>
          <w:highlight w:val="none"/>
        </w:rPr>
        <w:t>—受声点r</w:t>
      </w:r>
      <w:r>
        <w:rPr>
          <w:rFonts w:hint="default" w:ascii="Times New Roman" w:hAnsi="Times New Roman" w:eastAsia="宋体" w:cs="Times New Roman"/>
          <w:b w:val="0"/>
          <w:bCs w:val="0"/>
          <w:color w:val="auto"/>
          <w:highlight w:val="none"/>
          <w:vertAlign w:val="subscript"/>
        </w:rPr>
        <w:t>2</w:t>
      </w:r>
      <w:r>
        <w:rPr>
          <w:rFonts w:hint="default" w:ascii="Times New Roman" w:hAnsi="Times New Roman" w:eastAsia="宋体" w:cs="Times New Roman"/>
          <w:b w:val="0"/>
          <w:bCs w:val="0"/>
          <w:color w:val="auto"/>
          <w:highlight w:val="none"/>
        </w:rPr>
        <w:t>m处的声压级，dB（A）；</w:t>
      </w:r>
    </w:p>
    <w:p w14:paraId="6FFD539A">
      <w:pPr>
        <w:bidi w:val="0"/>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Lpr</w:t>
      </w:r>
      <w:r>
        <w:rPr>
          <w:rFonts w:hint="default" w:ascii="Times New Roman" w:hAnsi="Times New Roman" w:eastAsia="宋体" w:cs="Times New Roman"/>
          <w:b w:val="0"/>
          <w:bCs w:val="0"/>
          <w:color w:val="auto"/>
          <w:highlight w:val="none"/>
          <w:vertAlign w:val="subscript"/>
        </w:rPr>
        <w:t>1</w:t>
      </w:r>
      <w:r>
        <w:rPr>
          <w:rFonts w:hint="default" w:ascii="Times New Roman" w:hAnsi="Times New Roman" w:eastAsia="宋体" w:cs="Times New Roman"/>
          <w:b w:val="0"/>
          <w:bCs w:val="0"/>
          <w:color w:val="auto"/>
          <w:highlight w:val="none"/>
        </w:rPr>
        <w:t>—声源的声压级，dB（A）。</w:t>
      </w:r>
    </w:p>
    <w:p w14:paraId="7E3421A8">
      <w:pPr>
        <w:bidi w:val="0"/>
        <w:rPr>
          <w:rFonts w:hint="default" w:ascii="Times New Roman" w:hAnsi="Times New Roman" w:eastAsia="宋体" w:cs="Times New Roman"/>
          <w:b w:val="0"/>
          <w:bCs w:val="0"/>
          <w:color w:val="auto"/>
          <w:highlight w:val="none"/>
          <w:lang w:val="en-US" w:eastAsia="zh-CN"/>
        </w:rPr>
      </w:pPr>
      <w:r>
        <w:rPr>
          <w:rFonts w:hint="eastAsia" w:cs="Times New Roman"/>
          <w:b w:val="0"/>
          <w:bCs w:val="0"/>
          <w:color w:val="auto"/>
          <w:highlight w:val="none"/>
          <w:lang w:val="en-US" w:eastAsia="zh-CN"/>
        </w:rPr>
        <w:t>3、</w:t>
      </w:r>
      <w:r>
        <w:rPr>
          <w:rFonts w:hint="default" w:ascii="Times New Roman" w:hAnsi="Times New Roman" w:eastAsia="宋体" w:cs="Times New Roman"/>
          <w:b w:val="0"/>
          <w:bCs w:val="0"/>
          <w:color w:val="auto"/>
          <w:highlight w:val="none"/>
          <w:lang w:val="en-US" w:eastAsia="zh-CN"/>
        </w:rPr>
        <w:t>噪声源强分析</w:t>
      </w:r>
    </w:p>
    <w:p w14:paraId="5F2C49BF">
      <w:pPr>
        <w:bidi w:val="0"/>
        <w:rPr>
          <w:rFonts w:hint="default" w:ascii="Times New Roman" w:hAnsi="Times New Roman" w:eastAsia="华文中宋" w:cs="Times New Roman"/>
          <w:color w:val="auto"/>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667" w:name="_Toc2534"/>
      <w:bookmarkStart w:id="668" w:name="_Toc14287"/>
      <w:bookmarkStart w:id="669" w:name="_Toc28538"/>
      <w:r>
        <w:rPr>
          <w:color w:val="auto"/>
          <w:highlight w:val="none"/>
        </w:rPr>
        <w:t>由于本矿为</w:t>
      </w:r>
      <w:r>
        <w:rPr>
          <w:rFonts w:hint="eastAsia"/>
          <w:color w:val="auto"/>
          <w:highlight w:val="none"/>
          <w:lang w:val="en-US" w:eastAsia="zh-CN"/>
        </w:rPr>
        <w:t>地下开采</w:t>
      </w:r>
      <w:r>
        <w:rPr>
          <w:color w:val="auto"/>
          <w:highlight w:val="none"/>
        </w:rPr>
        <w:t>，</w:t>
      </w:r>
      <w:r>
        <w:rPr>
          <w:rFonts w:hint="eastAsia"/>
          <w:color w:val="auto"/>
          <w:highlight w:val="none"/>
          <w:lang w:val="en-US" w:eastAsia="zh-CN"/>
        </w:rPr>
        <w:t>开采</w:t>
      </w:r>
      <w:r>
        <w:rPr>
          <w:color w:val="auto"/>
          <w:highlight w:val="none"/>
        </w:rPr>
        <w:t>高噪声设备大多在井下，到达地面以上噪声值基本降低到55dB</w:t>
      </w:r>
      <w:r>
        <w:rPr>
          <w:rFonts w:hint="eastAsia"/>
          <w:color w:val="auto"/>
          <w:highlight w:val="none"/>
          <w:lang w:eastAsia="zh-CN"/>
        </w:rPr>
        <w:t>（</w:t>
      </w:r>
      <w:r>
        <w:rPr>
          <w:color w:val="auto"/>
          <w:highlight w:val="none"/>
        </w:rPr>
        <w:t>A</w:t>
      </w:r>
      <w:r>
        <w:rPr>
          <w:rFonts w:hint="eastAsia"/>
          <w:color w:val="auto"/>
          <w:highlight w:val="none"/>
          <w:lang w:eastAsia="zh-CN"/>
        </w:rPr>
        <w:t>）</w:t>
      </w:r>
      <w:r>
        <w:rPr>
          <w:color w:val="auto"/>
          <w:highlight w:val="none"/>
        </w:rPr>
        <w:t>以下</w:t>
      </w:r>
      <w:r>
        <w:rPr>
          <w:rFonts w:hint="eastAsia"/>
          <w:color w:val="auto"/>
          <w:highlight w:val="none"/>
          <w:lang w:eastAsia="zh-CN"/>
        </w:rPr>
        <w:t>，</w:t>
      </w:r>
      <w:r>
        <w:rPr>
          <w:rFonts w:hint="eastAsia"/>
          <w:color w:val="auto"/>
          <w:highlight w:val="none"/>
          <w:lang w:val="en-US" w:eastAsia="zh-CN"/>
        </w:rPr>
        <w:t>因此本次评价仅对地面设备进行预测</w:t>
      </w:r>
      <w:r>
        <w:rPr>
          <w:rFonts w:hint="default" w:ascii="Times New Roman" w:hAnsi="Times New Roman" w:eastAsia="宋体" w:cs="Times New Roman"/>
          <w:b w:val="0"/>
          <w:bCs w:val="0"/>
          <w:color w:val="auto"/>
          <w:highlight w:val="none"/>
          <w:lang w:val="en-US" w:eastAsia="zh-CN"/>
        </w:rPr>
        <w:t>。本项目</w:t>
      </w:r>
      <w:r>
        <w:rPr>
          <w:rFonts w:hint="eastAsia" w:cs="Times New Roman"/>
          <w:b w:val="0"/>
          <w:bCs w:val="0"/>
          <w:color w:val="auto"/>
          <w:highlight w:val="none"/>
          <w:lang w:val="en-US" w:eastAsia="zh-CN"/>
        </w:rPr>
        <w:t>地面</w:t>
      </w:r>
      <w:r>
        <w:rPr>
          <w:rFonts w:hint="default" w:ascii="Times New Roman" w:hAnsi="Times New Roman" w:eastAsia="宋体" w:cs="Times New Roman"/>
          <w:b w:val="0"/>
          <w:bCs w:val="0"/>
          <w:color w:val="auto"/>
          <w:highlight w:val="none"/>
          <w:lang w:val="en-US" w:eastAsia="zh-CN"/>
        </w:rPr>
        <w:t>主要噪声源强见下表。</w:t>
      </w:r>
      <w:bookmarkEnd w:id="667"/>
      <w:bookmarkEnd w:id="668"/>
      <w:bookmarkEnd w:id="669"/>
    </w:p>
    <w:p w14:paraId="58D30FEE">
      <w:pPr>
        <w:keepNext w:val="0"/>
        <w:keepLines w:val="0"/>
        <w:pageBreakBefore w:val="0"/>
        <w:widowControl w:val="0"/>
        <w:kinsoku/>
        <w:wordWrap/>
        <w:overflowPunct/>
        <w:topLinePunct w:val="0"/>
        <w:autoSpaceDE/>
        <w:autoSpaceDN/>
        <w:bidi w:val="0"/>
        <w:adjustRightInd w:val="0"/>
        <w:snapToGrid w:val="0"/>
        <w:spacing w:before="0" w:after="0" w:line="520" w:lineRule="exact"/>
        <w:ind w:right="0" w:firstLine="0" w:firstLineChars="0"/>
        <w:jc w:val="center"/>
        <w:textAlignment w:val="auto"/>
        <w:rPr>
          <w:rFonts w:hint="default" w:ascii="Times New Roman" w:hAnsi="Times New Roman" w:cs="Times New Roman" w:eastAsiaTheme="minorEastAsia"/>
          <w:b/>
          <w:bCs/>
          <w:color w:val="auto"/>
          <w:sz w:val="24"/>
          <w:szCs w:val="24"/>
          <w:highlight w:val="none"/>
          <w:lang w:eastAsia="zh-CN"/>
        </w:rPr>
      </w:pPr>
      <w:r>
        <w:rPr>
          <w:rFonts w:hint="default" w:ascii="Times New Roman" w:hAnsi="Times New Roman" w:cs="Times New Roman" w:eastAsiaTheme="minorEastAsia"/>
          <w:b/>
          <w:bCs/>
          <w:color w:val="auto"/>
          <w:highlight w:val="none"/>
          <w:lang w:val="en-US" w:eastAsia="zh-CN"/>
        </w:rPr>
        <w:t>表</w:t>
      </w:r>
      <w:r>
        <w:rPr>
          <w:rFonts w:hint="eastAsia" w:cs="Times New Roman" w:eastAsiaTheme="minorEastAsia"/>
          <w:b/>
          <w:bCs/>
          <w:color w:val="auto"/>
          <w:highlight w:val="none"/>
          <w:lang w:val="en-US" w:eastAsia="zh-CN"/>
        </w:rPr>
        <w:t>5.2</w:t>
      </w:r>
      <w:r>
        <w:rPr>
          <w:rFonts w:hint="default" w:ascii="Times New Roman" w:hAnsi="Times New Roman" w:cs="Times New Roman" w:eastAsiaTheme="minorEastAsia"/>
          <w:b/>
          <w:bCs/>
          <w:color w:val="auto"/>
          <w:highlight w:val="none"/>
          <w:lang w:val="en-US" w:eastAsia="zh-CN"/>
        </w:rPr>
        <w:t>-</w:t>
      </w:r>
      <w:r>
        <w:rPr>
          <w:rFonts w:hint="eastAsia" w:cs="Times New Roman" w:eastAsiaTheme="minorEastAsia"/>
          <w:b/>
          <w:bCs/>
          <w:color w:val="auto"/>
          <w:highlight w:val="none"/>
          <w:lang w:val="en-US" w:eastAsia="zh-CN"/>
        </w:rPr>
        <w:t>16</w:t>
      </w:r>
      <w:r>
        <w:rPr>
          <w:rFonts w:hint="default" w:ascii="Times New Roman" w:hAnsi="Times New Roman" w:cs="Times New Roman" w:eastAsiaTheme="minorEastAsia"/>
          <w:b/>
          <w:bCs/>
          <w:color w:val="auto"/>
          <w:highlight w:val="none"/>
          <w:lang w:val="en-US" w:eastAsia="zh-CN"/>
        </w:rPr>
        <w:t xml:space="preserve">   </w:t>
      </w:r>
      <w:r>
        <w:rPr>
          <w:rFonts w:hint="default" w:ascii="Times New Roman" w:hAnsi="Times New Roman" w:cs="Times New Roman" w:eastAsiaTheme="minorEastAsia"/>
          <w:b/>
          <w:bCs/>
          <w:color w:val="auto"/>
          <w:highlight w:val="none"/>
          <w:lang w:eastAsia="zh-CN"/>
        </w:rPr>
        <w:t>工业企业噪声源强调查清单（</w:t>
      </w:r>
      <w:r>
        <w:rPr>
          <w:rFonts w:cs="Times New Roman" w:asciiTheme="minorEastAsia" w:hAnsiTheme="minorEastAsia" w:eastAsiaTheme="minorEastAsia"/>
          <w:b/>
          <w:bCs/>
          <w:color w:val="auto"/>
          <w:highlight w:val="none"/>
          <w:lang w:eastAsia="zh-CN"/>
        </w:rPr>
        <w:t>室外声源）</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774"/>
        <w:gridCol w:w="1273"/>
        <w:gridCol w:w="1681"/>
        <w:gridCol w:w="1774"/>
        <w:gridCol w:w="1378"/>
        <w:gridCol w:w="1746"/>
        <w:gridCol w:w="1743"/>
        <w:gridCol w:w="1525"/>
      </w:tblGrid>
      <w:tr w14:paraId="2A99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448" w:type="pct"/>
            <w:vMerge w:val="restart"/>
            <w:shd w:val="clear" w:color="auto" w:fill="auto"/>
            <w:vAlign w:val="center"/>
          </w:tcPr>
          <w:p w14:paraId="6FC6DA41">
            <w:pPr>
              <w:pStyle w:val="17"/>
              <w:bidi w:val="0"/>
              <w:rPr>
                <w:color w:val="auto"/>
                <w:highlight w:val="none"/>
              </w:rPr>
            </w:pPr>
            <w:r>
              <w:rPr>
                <w:color w:val="auto"/>
                <w:highlight w:val="none"/>
              </w:rPr>
              <w:t>序号</w:t>
            </w:r>
          </w:p>
        </w:tc>
        <w:tc>
          <w:tcPr>
            <w:tcW w:w="626" w:type="pct"/>
            <w:vMerge w:val="restart"/>
            <w:shd w:val="clear" w:color="auto" w:fill="auto"/>
            <w:vAlign w:val="center"/>
          </w:tcPr>
          <w:p w14:paraId="438A2810">
            <w:pPr>
              <w:pStyle w:val="17"/>
              <w:bidi w:val="0"/>
              <w:rPr>
                <w:color w:val="auto"/>
                <w:highlight w:val="none"/>
              </w:rPr>
            </w:pPr>
            <w:r>
              <w:rPr>
                <w:color w:val="auto"/>
                <w:highlight w:val="none"/>
              </w:rPr>
              <w:t>声源名称</w:t>
            </w:r>
          </w:p>
        </w:tc>
        <w:tc>
          <w:tcPr>
            <w:tcW w:w="449" w:type="pct"/>
            <w:vMerge w:val="restart"/>
            <w:shd w:val="clear" w:color="auto" w:fill="auto"/>
            <w:vAlign w:val="center"/>
          </w:tcPr>
          <w:p w14:paraId="3044F320">
            <w:pPr>
              <w:pStyle w:val="17"/>
              <w:bidi w:val="0"/>
              <w:rPr>
                <w:color w:val="auto"/>
                <w:highlight w:val="none"/>
              </w:rPr>
            </w:pPr>
            <w:r>
              <w:rPr>
                <w:color w:val="auto"/>
                <w:highlight w:val="none"/>
              </w:rPr>
              <w:t>型号</w:t>
            </w:r>
          </w:p>
        </w:tc>
        <w:tc>
          <w:tcPr>
            <w:tcW w:w="1705" w:type="pct"/>
            <w:gridSpan w:val="3"/>
            <w:shd w:val="clear" w:color="auto" w:fill="auto"/>
            <w:vAlign w:val="center"/>
          </w:tcPr>
          <w:p w14:paraId="4BC05A0B">
            <w:pPr>
              <w:pStyle w:val="17"/>
              <w:bidi w:val="0"/>
              <w:rPr>
                <w:color w:val="auto"/>
                <w:highlight w:val="none"/>
              </w:rPr>
            </w:pPr>
            <w:r>
              <w:rPr>
                <w:color w:val="auto"/>
                <w:highlight w:val="none"/>
              </w:rPr>
              <w:t>空间相对位置/m</w:t>
            </w:r>
          </w:p>
        </w:tc>
        <w:tc>
          <w:tcPr>
            <w:tcW w:w="616" w:type="pct"/>
            <w:vMerge w:val="restart"/>
            <w:shd w:val="clear" w:color="auto" w:fill="auto"/>
            <w:vAlign w:val="center"/>
          </w:tcPr>
          <w:p w14:paraId="266006E0">
            <w:pPr>
              <w:pStyle w:val="17"/>
              <w:bidi w:val="0"/>
              <w:rPr>
                <w:rFonts w:hint="eastAsia" w:eastAsia="宋体"/>
                <w:color w:val="auto"/>
                <w:highlight w:val="none"/>
                <w:lang w:eastAsia="zh-CN"/>
              </w:rPr>
            </w:pPr>
            <w:r>
              <w:rPr>
                <w:color w:val="auto"/>
                <w:highlight w:val="none"/>
              </w:rPr>
              <w:t>声功率级/dB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615" w:type="pct"/>
            <w:vMerge w:val="restart"/>
            <w:shd w:val="clear" w:color="auto" w:fill="auto"/>
            <w:vAlign w:val="center"/>
          </w:tcPr>
          <w:p w14:paraId="65FA6F6B">
            <w:pPr>
              <w:pStyle w:val="17"/>
              <w:bidi w:val="0"/>
              <w:rPr>
                <w:color w:val="auto"/>
                <w:highlight w:val="none"/>
              </w:rPr>
            </w:pPr>
            <w:r>
              <w:rPr>
                <w:color w:val="auto"/>
                <w:highlight w:val="none"/>
              </w:rPr>
              <w:t>声源控制措施</w:t>
            </w:r>
          </w:p>
        </w:tc>
        <w:tc>
          <w:tcPr>
            <w:tcW w:w="538" w:type="pct"/>
            <w:vMerge w:val="restart"/>
            <w:shd w:val="clear" w:color="auto" w:fill="auto"/>
            <w:vAlign w:val="center"/>
          </w:tcPr>
          <w:p w14:paraId="4F8DD08C">
            <w:pPr>
              <w:pStyle w:val="17"/>
              <w:bidi w:val="0"/>
              <w:rPr>
                <w:color w:val="auto"/>
                <w:highlight w:val="none"/>
              </w:rPr>
            </w:pPr>
            <w:r>
              <w:rPr>
                <w:color w:val="auto"/>
                <w:highlight w:val="none"/>
              </w:rPr>
              <w:t>运行时段</w:t>
            </w:r>
          </w:p>
        </w:tc>
      </w:tr>
      <w:tr w14:paraId="1FAE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48" w:type="pct"/>
            <w:vMerge w:val="continue"/>
            <w:shd w:val="clear" w:color="auto" w:fill="auto"/>
            <w:vAlign w:val="center"/>
          </w:tcPr>
          <w:p w14:paraId="23610FED">
            <w:pPr>
              <w:pStyle w:val="17"/>
              <w:bidi w:val="0"/>
              <w:rPr>
                <w:color w:val="auto"/>
                <w:highlight w:val="none"/>
              </w:rPr>
            </w:pPr>
          </w:p>
        </w:tc>
        <w:tc>
          <w:tcPr>
            <w:tcW w:w="626" w:type="pct"/>
            <w:vMerge w:val="continue"/>
            <w:shd w:val="clear" w:color="auto" w:fill="auto"/>
            <w:vAlign w:val="center"/>
          </w:tcPr>
          <w:p w14:paraId="560D6BE0">
            <w:pPr>
              <w:pStyle w:val="17"/>
              <w:bidi w:val="0"/>
              <w:rPr>
                <w:color w:val="auto"/>
                <w:highlight w:val="none"/>
              </w:rPr>
            </w:pPr>
          </w:p>
        </w:tc>
        <w:tc>
          <w:tcPr>
            <w:tcW w:w="449" w:type="pct"/>
            <w:vMerge w:val="continue"/>
            <w:shd w:val="clear" w:color="auto" w:fill="auto"/>
            <w:vAlign w:val="center"/>
          </w:tcPr>
          <w:p w14:paraId="51788093">
            <w:pPr>
              <w:pStyle w:val="17"/>
              <w:bidi w:val="0"/>
              <w:rPr>
                <w:color w:val="auto"/>
                <w:highlight w:val="none"/>
              </w:rPr>
            </w:pPr>
          </w:p>
        </w:tc>
        <w:tc>
          <w:tcPr>
            <w:tcW w:w="593" w:type="pct"/>
            <w:shd w:val="clear" w:color="auto" w:fill="auto"/>
            <w:vAlign w:val="center"/>
          </w:tcPr>
          <w:p w14:paraId="1FD3AAAB">
            <w:pPr>
              <w:pStyle w:val="17"/>
              <w:bidi w:val="0"/>
              <w:rPr>
                <w:color w:val="auto"/>
                <w:highlight w:val="none"/>
              </w:rPr>
            </w:pPr>
            <w:r>
              <w:rPr>
                <w:color w:val="auto"/>
                <w:highlight w:val="none"/>
              </w:rPr>
              <w:t>X</w:t>
            </w:r>
          </w:p>
        </w:tc>
        <w:tc>
          <w:tcPr>
            <w:tcW w:w="626" w:type="pct"/>
            <w:shd w:val="clear" w:color="auto" w:fill="auto"/>
            <w:vAlign w:val="center"/>
          </w:tcPr>
          <w:p w14:paraId="1E3C7C68">
            <w:pPr>
              <w:pStyle w:val="17"/>
              <w:bidi w:val="0"/>
              <w:rPr>
                <w:color w:val="auto"/>
                <w:highlight w:val="none"/>
              </w:rPr>
            </w:pPr>
            <w:r>
              <w:rPr>
                <w:color w:val="auto"/>
                <w:highlight w:val="none"/>
              </w:rPr>
              <w:t>Y</w:t>
            </w:r>
          </w:p>
        </w:tc>
        <w:tc>
          <w:tcPr>
            <w:tcW w:w="485" w:type="pct"/>
            <w:shd w:val="clear" w:color="auto" w:fill="auto"/>
            <w:vAlign w:val="center"/>
          </w:tcPr>
          <w:p w14:paraId="722916AC">
            <w:pPr>
              <w:pStyle w:val="17"/>
              <w:bidi w:val="0"/>
              <w:rPr>
                <w:color w:val="auto"/>
                <w:highlight w:val="none"/>
              </w:rPr>
            </w:pPr>
            <w:r>
              <w:rPr>
                <w:color w:val="auto"/>
                <w:highlight w:val="none"/>
              </w:rPr>
              <w:t>Z</w:t>
            </w:r>
          </w:p>
        </w:tc>
        <w:tc>
          <w:tcPr>
            <w:tcW w:w="616" w:type="pct"/>
            <w:vMerge w:val="continue"/>
            <w:shd w:val="clear" w:color="auto" w:fill="auto"/>
            <w:vAlign w:val="center"/>
          </w:tcPr>
          <w:p w14:paraId="672899D5">
            <w:pPr>
              <w:pStyle w:val="17"/>
              <w:bidi w:val="0"/>
              <w:rPr>
                <w:color w:val="auto"/>
                <w:highlight w:val="none"/>
              </w:rPr>
            </w:pPr>
          </w:p>
        </w:tc>
        <w:tc>
          <w:tcPr>
            <w:tcW w:w="615" w:type="pct"/>
            <w:vMerge w:val="continue"/>
            <w:shd w:val="clear" w:color="auto" w:fill="auto"/>
            <w:vAlign w:val="center"/>
          </w:tcPr>
          <w:p w14:paraId="3D18D402">
            <w:pPr>
              <w:pStyle w:val="17"/>
              <w:bidi w:val="0"/>
              <w:rPr>
                <w:color w:val="auto"/>
                <w:highlight w:val="none"/>
              </w:rPr>
            </w:pPr>
          </w:p>
        </w:tc>
        <w:tc>
          <w:tcPr>
            <w:tcW w:w="538" w:type="pct"/>
            <w:vMerge w:val="continue"/>
            <w:shd w:val="clear" w:color="auto" w:fill="auto"/>
            <w:vAlign w:val="center"/>
          </w:tcPr>
          <w:p w14:paraId="73C076B9">
            <w:pPr>
              <w:pStyle w:val="17"/>
              <w:bidi w:val="0"/>
              <w:rPr>
                <w:color w:val="auto"/>
                <w:highlight w:val="none"/>
              </w:rPr>
            </w:pPr>
          </w:p>
        </w:tc>
      </w:tr>
      <w:tr w14:paraId="731F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8" w:type="pct"/>
            <w:shd w:val="clear" w:color="auto" w:fill="auto"/>
            <w:vAlign w:val="center"/>
          </w:tcPr>
          <w:p w14:paraId="3D057B1B">
            <w:pPr>
              <w:pStyle w:val="17"/>
              <w:bidi w:val="0"/>
              <w:rPr>
                <w:color w:val="auto"/>
                <w:highlight w:val="none"/>
              </w:rPr>
            </w:pPr>
            <w:r>
              <w:rPr>
                <w:color w:val="auto"/>
                <w:highlight w:val="none"/>
              </w:rPr>
              <w:t>1</w:t>
            </w:r>
          </w:p>
        </w:tc>
        <w:tc>
          <w:tcPr>
            <w:tcW w:w="626" w:type="pct"/>
            <w:shd w:val="clear" w:color="auto" w:fill="auto"/>
            <w:vAlign w:val="center"/>
          </w:tcPr>
          <w:p w14:paraId="14A2F334">
            <w:pPr>
              <w:pStyle w:val="17"/>
              <w:bidi w:val="0"/>
              <w:rPr>
                <w:color w:val="auto"/>
                <w:highlight w:val="none"/>
              </w:rPr>
            </w:pPr>
            <w:r>
              <w:rPr>
                <w:color w:val="auto"/>
                <w:highlight w:val="none"/>
              </w:rPr>
              <w:t>CV.1带式输送机</w:t>
            </w:r>
          </w:p>
        </w:tc>
        <w:tc>
          <w:tcPr>
            <w:tcW w:w="1273" w:type="dxa"/>
            <w:shd w:val="clear" w:color="auto" w:fill="auto"/>
            <w:vAlign w:val="center"/>
          </w:tcPr>
          <w:p w14:paraId="30046366">
            <w:pPr>
              <w:pStyle w:val="17"/>
              <w:bidi w:val="0"/>
              <w:rPr>
                <w:color w:val="auto"/>
                <w:highlight w:val="none"/>
              </w:rPr>
            </w:pPr>
            <w:r>
              <w:rPr>
                <w:rFonts w:hint="eastAsia"/>
                <w:color w:val="auto"/>
                <w:highlight w:val="none"/>
                <w:lang w:val="en-US" w:eastAsia="zh-CN"/>
              </w:rPr>
              <w:t>B=1200，L=331.36m</w:t>
            </w:r>
          </w:p>
        </w:tc>
        <w:tc>
          <w:tcPr>
            <w:tcW w:w="593" w:type="pct"/>
            <w:shd w:val="clear" w:color="auto" w:fill="auto"/>
            <w:vAlign w:val="center"/>
          </w:tcPr>
          <w:p w14:paraId="0F24DFC7">
            <w:pPr>
              <w:pStyle w:val="17"/>
              <w:bidi w:val="0"/>
              <w:rPr>
                <w:color w:val="auto"/>
                <w:highlight w:val="none"/>
              </w:rPr>
            </w:pPr>
            <w:r>
              <w:rPr>
                <w:color w:val="auto"/>
                <w:highlight w:val="none"/>
              </w:rPr>
              <w:t>499.9</w:t>
            </w:r>
          </w:p>
        </w:tc>
        <w:tc>
          <w:tcPr>
            <w:tcW w:w="626" w:type="pct"/>
            <w:shd w:val="clear" w:color="auto" w:fill="auto"/>
            <w:vAlign w:val="center"/>
          </w:tcPr>
          <w:p w14:paraId="59D00679">
            <w:pPr>
              <w:pStyle w:val="17"/>
              <w:bidi w:val="0"/>
              <w:rPr>
                <w:color w:val="auto"/>
                <w:highlight w:val="none"/>
              </w:rPr>
            </w:pPr>
            <w:r>
              <w:rPr>
                <w:color w:val="auto"/>
                <w:highlight w:val="none"/>
              </w:rPr>
              <w:t>-572.7</w:t>
            </w:r>
          </w:p>
        </w:tc>
        <w:tc>
          <w:tcPr>
            <w:tcW w:w="485" w:type="pct"/>
            <w:shd w:val="clear" w:color="auto" w:fill="auto"/>
            <w:vAlign w:val="center"/>
          </w:tcPr>
          <w:p w14:paraId="10A0CC64">
            <w:pPr>
              <w:pStyle w:val="17"/>
              <w:bidi w:val="0"/>
              <w:rPr>
                <w:color w:val="auto"/>
                <w:highlight w:val="none"/>
              </w:rPr>
            </w:pPr>
            <w:r>
              <w:rPr>
                <w:color w:val="auto"/>
                <w:highlight w:val="none"/>
              </w:rPr>
              <w:t>1.2</w:t>
            </w:r>
          </w:p>
        </w:tc>
        <w:tc>
          <w:tcPr>
            <w:tcW w:w="616" w:type="pct"/>
            <w:shd w:val="clear" w:color="auto" w:fill="auto"/>
            <w:vAlign w:val="center"/>
          </w:tcPr>
          <w:p w14:paraId="556EBF48">
            <w:pPr>
              <w:pStyle w:val="17"/>
              <w:bidi w:val="0"/>
              <w:rPr>
                <w:color w:val="auto"/>
                <w:highlight w:val="none"/>
              </w:rPr>
            </w:pPr>
            <w:r>
              <w:rPr>
                <w:color w:val="auto"/>
                <w:highlight w:val="none"/>
              </w:rPr>
              <w:t>65</w:t>
            </w:r>
          </w:p>
        </w:tc>
        <w:tc>
          <w:tcPr>
            <w:tcW w:w="615" w:type="pct"/>
            <w:vMerge w:val="restart"/>
            <w:shd w:val="clear" w:color="auto" w:fill="auto"/>
            <w:vAlign w:val="center"/>
          </w:tcPr>
          <w:p w14:paraId="27F3A642">
            <w:pPr>
              <w:pStyle w:val="17"/>
              <w:bidi w:val="0"/>
              <w:rPr>
                <w:rFonts w:hint="default" w:eastAsia="宋体"/>
                <w:color w:val="auto"/>
                <w:highlight w:val="none"/>
                <w:lang w:val="en-US" w:eastAsia="zh-CN"/>
              </w:rPr>
            </w:pPr>
            <w:r>
              <w:rPr>
                <w:rFonts w:hint="eastAsia"/>
                <w:color w:val="auto"/>
                <w:highlight w:val="none"/>
                <w:lang w:val="en-US" w:eastAsia="zh-CN"/>
              </w:rPr>
              <w:t>定期检修、维护</w:t>
            </w:r>
          </w:p>
        </w:tc>
        <w:tc>
          <w:tcPr>
            <w:tcW w:w="538" w:type="pct"/>
            <w:shd w:val="clear" w:color="auto" w:fill="auto"/>
            <w:vAlign w:val="center"/>
          </w:tcPr>
          <w:p w14:paraId="77DFD291">
            <w:pPr>
              <w:pStyle w:val="17"/>
              <w:bidi w:val="0"/>
              <w:rPr>
                <w:color w:val="auto"/>
                <w:highlight w:val="none"/>
              </w:rPr>
            </w:pPr>
            <w:r>
              <w:rPr>
                <w:color w:val="auto"/>
                <w:highlight w:val="none"/>
              </w:rPr>
              <w:t>24.0</w:t>
            </w:r>
          </w:p>
        </w:tc>
      </w:tr>
      <w:tr w14:paraId="6943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8" w:type="pct"/>
            <w:shd w:val="clear" w:color="auto" w:fill="auto"/>
            <w:vAlign w:val="center"/>
          </w:tcPr>
          <w:p w14:paraId="30119B05">
            <w:pPr>
              <w:pStyle w:val="17"/>
              <w:bidi w:val="0"/>
              <w:rPr>
                <w:color w:val="auto"/>
                <w:highlight w:val="none"/>
              </w:rPr>
            </w:pPr>
            <w:r>
              <w:rPr>
                <w:color w:val="auto"/>
                <w:highlight w:val="none"/>
              </w:rPr>
              <w:t>2</w:t>
            </w:r>
          </w:p>
        </w:tc>
        <w:tc>
          <w:tcPr>
            <w:tcW w:w="626" w:type="pct"/>
            <w:shd w:val="clear" w:color="auto" w:fill="auto"/>
            <w:vAlign w:val="center"/>
          </w:tcPr>
          <w:p w14:paraId="671FEC41">
            <w:pPr>
              <w:pStyle w:val="17"/>
              <w:bidi w:val="0"/>
              <w:rPr>
                <w:color w:val="auto"/>
                <w:highlight w:val="none"/>
              </w:rPr>
            </w:pPr>
            <w:r>
              <w:rPr>
                <w:color w:val="auto"/>
                <w:highlight w:val="none"/>
              </w:rPr>
              <w:t>CV.2带式输送机</w:t>
            </w:r>
          </w:p>
        </w:tc>
        <w:tc>
          <w:tcPr>
            <w:tcW w:w="1273" w:type="dxa"/>
            <w:shd w:val="clear" w:color="auto" w:fill="auto"/>
            <w:vAlign w:val="center"/>
          </w:tcPr>
          <w:p w14:paraId="1B50EFD9">
            <w:pPr>
              <w:pStyle w:val="17"/>
              <w:bidi w:val="0"/>
              <w:rPr>
                <w:color w:val="auto"/>
                <w:highlight w:val="none"/>
              </w:rPr>
            </w:pPr>
            <w:r>
              <w:rPr>
                <w:rFonts w:hint="eastAsia"/>
                <w:color w:val="auto"/>
                <w:highlight w:val="none"/>
                <w:lang w:val="en-US" w:eastAsia="zh-CN"/>
              </w:rPr>
              <w:t>B=1200，L=176.4m</w:t>
            </w:r>
          </w:p>
        </w:tc>
        <w:tc>
          <w:tcPr>
            <w:tcW w:w="593" w:type="pct"/>
            <w:shd w:val="clear" w:color="auto" w:fill="auto"/>
            <w:vAlign w:val="center"/>
          </w:tcPr>
          <w:p w14:paraId="4A19DDB1">
            <w:pPr>
              <w:pStyle w:val="17"/>
              <w:bidi w:val="0"/>
              <w:rPr>
                <w:color w:val="auto"/>
                <w:highlight w:val="none"/>
              </w:rPr>
            </w:pPr>
            <w:r>
              <w:rPr>
                <w:color w:val="auto"/>
                <w:highlight w:val="none"/>
              </w:rPr>
              <w:t>355.5</w:t>
            </w:r>
          </w:p>
        </w:tc>
        <w:tc>
          <w:tcPr>
            <w:tcW w:w="626" w:type="pct"/>
            <w:shd w:val="clear" w:color="auto" w:fill="auto"/>
            <w:vAlign w:val="center"/>
          </w:tcPr>
          <w:p w14:paraId="573F6793">
            <w:pPr>
              <w:pStyle w:val="17"/>
              <w:bidi w:val="0"/>
              <w:rPr>
                <w:color w:val="auto"/>
                <w:highlight w:val="none"/>
              </w:rPr>
            </w:pPr>
            <w:r>
              <w:rPr>
                <w:color w:val="auto"/>
                <w:highlight w:val="none"/>
              </w:rPr>
              <w:t>-647</w:t>
            </w:r>
          </w:p>
        </w:tc>
        <w:tc>
          <w:tcPr>
            <w:tcW w:w="485" w:type="pct"/>
            <w:shd w:val="clear" w:color="auto" w:fill="auto"/>
            <w:vAlign w:val="center"/>
          </w:tcPr>
          <w:p w14:paraId="7120A29F">
            <w:pPr>
              <w:pStyle w:val="17"/>
              <w:bidi w:val="0"/>
              <w:rPr>
                <w:color w:val="auto"/>
                <w:highlight w:val="none"/>
              </w:rPr>
            </w:pPr>
            <w:r>
              <w:rPr>
                <w:color w:val="auto"/>
                <w:highlight w:val="none"/>
              </w:rPr>
              <w:t>1.2</w:t>
            </w:r>
          </w:p>
        </w:tc>
        <w:tc>
          <w:tcPr>
            <w:tcW w:w="616" w:type="pct"/>
            <w:shd w:val="clear" w:color="auto" w:fill="auto"/>
            <w:vAlign w:val="center"/>
          </w:tcPr>
          <w:p w14:paraId="5D32E9BE">
            <w:pPr>
              <w:pStyle w:val="17"/>
              <w:bidi w:val="0"/>
              <w:rPr>
                <w:color w:val="auto"/>
                <w:highlight w:val="none"/>
              </w:rPr>
            </w:pPr>
            <w:r>
              <w:rPr>
                <w:color w:val="auto"/>
                <w:highlight w:val="none"/>
              </w:rPr>
              <w:t>65</w:t>
            </w:r>
          </w:p>
        </w:tc>
        <w:tc>
          <w:tcPr>
            <w:tcW w:w="615" w:type="pct"/>
            <w:vMerge w:val="continue"/>
            <w:shd w:val="clear" w:color="auto" w:fill="auto"/>
            <w:vAlign w:val="center"/>
          </w:tcPr>
          <w:p w14:paraId="5552770D">
            <w:pPr>
              <w:pStyle w:val="17"/>
              <w:bidi w:val="0"/>
              <w:rPr>
                <w:color w:val="auto"/>
                <w:highlight w:val="none"/>
              </w:rPr>
            </w:pPr>
          </w:p>
        </w:tc>
        <w:tc>
          <w:tcPr>
            <w:tcW w:w="538" w:type="pct"/>
            <w:shd w:val="clear" w:color="auto" w:fill="auto"/>
            <w:vAlign w:val="center"/>
          </w:tcPr>
          <w:p w14:paraId="2C0F26FB">
            <w:pPr>
              <w:pStyle w:val="17"/>
              <w:bidi w:val="0"/>
              <w:rPr>
                <w:color w:val="auto"/>
                <w:highlight w:val="none"/>
              </w:rPr>
            </w:pPr>
            <w:r>
              <w:rPr>
                <w:color w:val="auto"/>
                <w:highlight w:val="none"/>
              </w:rPr>
              <w:t>24.0</w:t>
            </w:r>
          </w:p>
        </w:tc>
      </w:tr>
      <w:tr w14:paraId="3A0C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8" w:type="pct"/>
            <w:shd w:val="clear" w:color="auto" w:fill="auto"/>
            <w:vAlign w:val="center"/>
          </w:tcPr>
          <w:p w14:paraId="54680AB3">
            <w:pPr>
              <w:pStyle w:val="17"/>
              <w:bidi w:val="0"/>
              <w:rPr>
                <w:color w:val="auto"/>
                <w:highlight w:val="none"/>
              </w:rPr>
            </w:pPr>
            <w:r>
              <w:rPr>
                <w:color w:val="auto"/>
                <w:highlight w:val="none"/>
              </w:rPr>
              <w:t>3</w:t>
            </w:r>
          </w:p>
        </w:tc>
        <w:tc>
          <w:tcPr>
            <w:tcW w:w="626" w:type="pct"/>
            <w:shd w:val="clear" w:color="auto" w:fill="auto"/>
            <w:vAlign w:val="center"/>
          </w:tcPr>
          <w:p w14:paraId="76C71A9A">
            <w:pPr>
              <w:pStyle w:val="17"/>
              <w:bidi w:val="0"/>
              <w:rPr>
                <w:color w:val="auto"/>
                <w:highlight w:val="none"/>
              </w:rPr>
            </w:pPr>
            <w:r>
              <w:rPr>
                <w:color w:val="auto"/>
                <w:highlight w:val="none"/>
              </w:rPr>
              <w:t>CV.3带式输送机</w:t>
            </w:r>
          </w:p>
        </w:tc>
        <w:tc>
          <w:tcPr>
            <w:tcW w:w="1273" w:type="dxa"/>
            <w:shd w:val="clear" w:color="auto" w:fill="auto"/>
            <w:vAlign w:val="center"/>
          </w:tcPr>
          <w:p w14:paraId="74CC6FBF">
            <w:pPr>
              <w:pStyle w:val="17"/>
              <w:bidi w:val="0"/>
              <w:rPr>
                <w:color w:val="auto"/>
                <w:highlight w:val="none"/>
              </w:rPr>
            </w:pPr>
            <w:r>
              <w:rPr>
                <w:rFonts w:hint="eastAsia"/>
                <w:color w:val="auto"/>
                <w:highlight w:val="none"/>
                <w:lang w:val="en-US" w:eastAsia="zh-CN"/>
              </w:rPr>
              <w:t>B=1200，L=168m</w:t>
            </w:r>
          </w:p>
        </w:tc>
        <w:tc>
          <w:tcPr>
            <w:tcW w:w="593" w:type="pct"/>
            <w:shd w:val="clear" w:color="auto" w:fill="auto"/>
            <w:vAlign w:val="center"/>
          </w:tcPr>
          <w:p w14:paraId="2C216783">
            <w:pPr>
              <w:pStyle w:val="17"/>
              <w:bidi w:val="0"/>
              <w:rPr>
                <w:color w:val="auto"/>
                <w:highlight w:val="none"/>
              </w:rPr>
            </w:pPr>
            <w:r>
              <w:rPr>
                <w:color w:val="auto"/>
                <w:highlight w:val="none"/>
              </w:rPr>
              <w:t>233.9</w:t>
            </w:r>
          </w:p>
        </w:tc>
        <w:tc>
          <w:tcPr>
            <w:tcW w:w="626" w:type="pct"/>
            <w:shd w:val="clear" w:color="auto" w:fill="auto"/>
            <w:vAlign w:val="center"/>
          </w:tcPr>
          <w:p w14:paraId="6507294D">
            <w:pPr>
              <w:pStyle w:val="17"/>
              <w:bidi w:val="0"/>
              <w:rPr>
                <w:color w:val="auto"/>
                <w:highlight w:val="none"/>
              </w:rPr>
            </w:pPr>
            <w:r>
              <w:rPr>
                <w:color w:val="auto"/>
                <w:highlight w:val="none"/>
              </w:rPr>
              <w:t>-701.2</w:t>
            </w:r>
          </w:p>
        </w:tc>
        <w:tc>
          <w:tcPr>
            <w:tcW w:w="485" w:type="pct"/>
            <w:shd w:val="clear" w:color="auto" w:fill="auto"/>
            <w:vAlign w:val="center"/>
          </w:tcPr>
          <w:p w14:paraId="54F2D491">
            <w:pPr>
              <w:pStyle w:val="17"/>
              <w:bidi w:val="0"/>
              <w:rPr>
                <w:color w:val="auto"/>
                <w:highlight w:val="none"/>
              </w:rPr>
            </w:pPr>
            <w:r>
              <w:rPr>
                <w:color w:val="auto"/>
                <w:highlight w:val="none"/>
              </w:rPr>
              <w:t>1.2</w:t>
            </w:r>
          </w:p>
        </w:tc>
        <w:tc>
          <w:tcPr>
            <w:tcW w:w="616" w:type="pct"/>
            <w:shd w:val="clear" w:color="auto" w:fill="auto"/>
            <w:vAlign w:val="center"/>
          </w:tcPr>
          <w:p w14:paraId="4369D2B5">
            <w:pPr>
              <w:pStyle w:val="17"/>
              <w:bidi w:val="0"/>
              <w:rPr>
                <w:color w:val="auto"/>
                <w:highlight w:val="none"/>
              </w:rPr>
            </w:pPr>
            <w:r>
              <w:rPr>
                <w:color w:val="auto"/>
                <w:highlight w:val="none"/>
              </w:rPr>
              <w:t>65</w:t>
            </w:r>
          </w:p>
        </w:tc>
        <w:tc>
          <w:tcPr>
            <w:tcW w:w="615" w:type="pct"/>
            <w:vMerge w:val="continue"/>
            <w:shd w:val="clear" w:color="auto" w:fill="auto"/>
            <w:vAlign w:val="center"/>
          </w:tcPr>
          <w:p w14:paraId="67E1F22E">
            <w:pPr>
              <w:pStyle w:val="17"/>
              <w:bidi w:val="0"/>
              <w:rPr>
                <w:color w:val="auto"/>
                <w:highlight w:val="none"/>
              </w:rPr>
            </w:pPr>
          </w:p>
        </w:tc>
        <w:tc>
          <w:tcPr>
            <w:tcW w:w="538" w:type="pct"/>
            <w:shd w:val="clear" w:color="auto" w:fill="auto"/>
            <w:vAlign w:val="center"/>
          </w:tcPr>
          <w:p w14:paraId="271E3254">
            <w:pPr>
              <w:pStyle w:val="17"/>
              <w:bidi w:val="0"/>
              <w:rPr>
                <w:color w:val="auto"/>
                <w:highlight w:val="none"/>
              </w:rPr>
            </w:pPr>
            <w:r>
              <w:rPr>
                <w:color w:val="auto"/>
                <w:highlight w:val="none"/>
              </w:rPr>
              <w:t>24.0</w:t>
            </w:r>
          </w:p>
        </w:tc>
      </w:tr>
      <w:tr w14:paraId="581D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8" w:type="pct"/>
            <w:shd w:val="clear" w:color="auto" w:fill="auto"/>
            <w:vAlign w:val="center"/>
          </w:tcPr>
          <w:p w14:paraId="0474E551">
            <w:pPr>
              <w:pStyle w:val="17"/>
              <w:bidi w:val="0"/>
              <w:rPr>
                <w:color w:val="auto"/>
                <w:highlight w:val="none"/>
              </w:rPr>
            </w:pPr>
            <w:r>
              <w:rPr>
                <w:color w:val="auto"/>
                <w:highlight w:val="none"/>
              </w:rPr>
              <w:t>4</w:t>
            </w:r>
          </w:p>
        </w:tc>
        <w:tc>
          <w:tcPr>
            <w:tcW w:w="626" w:type="pct"/>
            <w:shd w:val="clear" w:color="auto" w:fill="auto"/>
            <w:vAlign w:val="center"/>
          </w:tcPr>
          <w:p w14:paraId="65B4CEDA">
            <w:pPr>
              <w:pStyle w:val="17"/>
              <w:bidi w:val="0"/>
              <w:rPr>
                <w:color w:val="auto"/>
                <w:highlight w:val="none"/>
              </w:rPr>
            </w:pPr>
            <w:r>
              <w:rPr>
                <w:color w:val="auto"/>
                <w:highlight w:val="none"/>
              </w:rPr>
              <w:t>CV.4带式输送机</w:t>
            </w:r>
          </w:p>
        </w:tc>
        <w:tc>
          <w:tcPr>
            <w:tcW w:w="1273" w:type="dxa"/>
            <w:shd w:val="clear" w:color="auto" w:fill="auto"/>
            <w:vAlign w:val="center"/>
          </w:tcPr>
          <w:p w14:paraId="0B441321">
            <w:pPr>
              <w:pStyle w:val="17"/>
              <w:bidi w:val="0"/>
              <w:rPr>
                <w:color w:val="auto"/>
                <w:highlight w:val="none"/>
              </w:rPr>
            </w:pPr>
            <w:r>
              <w:rPr>
                <w:rFonts w:hint="eastAsia"/>
                <w:color w:val="auto"/>
                <w:highlight w:val="none"/>
                <w:lang w:val="en-US" w:eastAsia="zh-CN"/>
              </w:rPr>
              <w:t>B=1200，L=21.9m</w:t>
            </w:r>
          </w:p>
        </w:tc>
        <w:tc>
          <w:tcPr>
            <w:tcW w:w="593" w:type="pct"/>
            <w:shd w:val="clear" w:color="auto" w:fill="auto"/>
            <w:vAlign w:val="center"/>
          </w:tcPr>
          <w:p w14:paraId="6CBCD1B9">
            <w:pPr>
              <w:pStyle w:val="17"/>
              <w:bidi w:val="0"/>
              <w:rPr>
                <w:color w:val="auto"/>
                <w:highlight w:val="none"/>
              </w:rPr>
            </w:pPr>
            <w:r>
              <w:rPr>
                <w:color w:val="auto"/>
                <w:highlight w:val="none"/>
              </w:rPr>
              <w:t>213.4</w:t>
            </w:r>
          </w:p>
        </w:tc>
        <w:tc>
          <w:tcPr>
            <w:tcW w:w="626" w:type="pct"/>
            <w:shd w:val="clear" w:color="auto" w:fill="auto"/>
            <w:vAlign w:val="center"/>
          </w:tcPr>
          <w:p w14:paraId="4247BA69">
            <w:pPr>
              <w:pStyle w:val="17"/>
              <w:bidi w:val="0"/>
              <w:rPr>
                <w:color w:val="auto"/>
                <w:highlight w:val="none"/>
              </w:rPr>
            </w:pPr>
            <w:r>
              <w:rPr>
                <w:color w:val="auto"/>
                <w:highlight w:val="none"/>
              </w:rPr>
              <w:t>-712.4</w:t>
            </w:r>
          </w:p>
        </w:tc>
        <w:tc>
          <w:tcPr>
            <w:tcW w:w="485" w:type="pct"/>
            <w:shd w:val="clear" w:color="auto" w:fill="auto"/>
            <w:vAlign w:val="center"/>
          </w:tcPr>
          <w:p w14:paraId="7DEE8BEF">
            <w:pPr>
              <w:pStyle w:val="17"/>
              <w:bidi w:val="0"/>
              <w:rPr>
                <w:color w:val="auto"/>
                <w:highlight w:val="none"/>
              </w:rPr>
            </w:pPr>
            <w:r>
              <w:rPr>
                <w:color w:val="auto"/>
                <w:highlight w:val="none"/>
              </w:rPr>
              <w:t>1.2</w:t>
            </w:r>
          </w:p>
        </w:tc>
        <w:tc>
          <w:tcPr>
            <w:tcW w:w="616" w:type="pct"/>
            <w:shd w:val="clear" w:color="auto" w:fill="auto"/>
            <w:vAlign w:val="center"/>
          </w:tcPr>
          <w:p w14:paraId="5224C2AF">
            <w:pPr>
              <w:pStyle w:val="17"/>
              <w:bidi w:val="0"/>
              <w:rPr>
                <w:color w:val="auto"/>
                <w:highlight w:val="none"/>
              </w:rPr>
            </w:pPr>
            <w:r>
              <w:rPr>
                <w:color w:val="auto"/>
                <w:highlight w:val="none"/>
              </w:rPr>
              <w:t>65</w:t>
            </w:r>
          </w:p>
        </w:tc>
        <w:tc>
          <w:tcPr>
            <w:tcW w:w="615" w:type="pct"/>
            <w:vMerge w:val="continue"/>
            <w:shd w:val="clear" w:color="auto" w:fill="auto"/>
            <w:vAlign w:val="center"/>
          </w:tcPr>
          <w:p w14:paraId="037EDC10">
            <w:pPr>
              <w:pStyle w:val="17"/>
              <w:bidi w:val="0"/>
              <w:rPr>
                <w:color w:val="auto"/>
                <w:highlight w:val="none"/>
              </w:rPr>
            </w:pPr>
          </w:p>
        </w:tc>
        <w:tc>
          <w:tcPr>
            <w:tcW w:w="538" w:type="pct"/>
            <w:shd w:val="clear" w:color="auto" w:fill="auto"/>
            <w:vAlign w:val="center"/>
          </w:tcPr>
          <w:p w14:paraId="0F1223F4">
            <w:pPr>
              <w:pStyle w:val="17"/>
              <w:bidi w:val="0"/>
              <w:rPr>
                <w:color w:val="auto"/>
                <w:highlight w:val="none"/>
              </w:rPr>
            </w:pPr>
            <w:r>
              <w:rPr>
                <w:color w:val="auto"/>
                <w:highlight w:val="none"/>
              </w:rPr>
              <w:t>24.0</w:t>
            </w:r>
          </w:p>
        </w:tc>
      </w:tr>
      <w:tr w14:paraId="769F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8" w:type="pct"/>
            <w:shd w:val="clear" w:color="auto" w:fill="auto"/>
            <w:vAlign w:val="center"/>
          </w:tcPr>
          <w:p w14:paraId="059656E9">
            <w:pPr>
              <w:pStyle w:val="17"/>
              <w:bidi w:val="0"/>
              <w:rPr>
                <w:color w:val="auto"/>
                <w:highlight w:val="none"/>
              </w:rPr>
            </w:pPr>
            <w:r>
              <w:rPr>
                <w:color w:val="auto"/>
                <w:highlight w:val="none"/>
              </w:rPr>
              <w:t>5</w:t>
            </w:r>
          </w:p>
        </w:tc>
        <w:tc>
          <w:tcPr>
            <w:tcW w:w="626" w:type="pct"/>
            <w:shd w:val="clear" w:color="auto" w:fill="auto"/>
            <w:vAlign w:val="center"/>
          </w:tcPr>
          <w:p w14:paraId="1C9160D4">
            <w:pPr>
              <w:pStyle w:val="17"/>
              <w:bidi w:val="0"/>
              <w:rPr>
                <w:color w:val="auto"/>
                <w:highlight w:val="none"/>
              </w:rPr>
            </w:pPr>
            <w:r>
              <w:rPr>
                <w:color w:val="auto"/>
                <w:highlight w:val="none"/>
              </w:rPr>
              <w:t>CV.5带式输送机</w:t>
            </w:r>
          </w:p>
        </w:tc>
        <w:tc>
          <w:tcPr>
            <w:tcW w:w="1273" w:type="dxa"/>
            <w:shd w:val="clear" w:color="auto" w:fill="auto"/>
            <w:vAlign w:val="center"/>
          </w:tcPr>
          <w:p w14:paraId="0ED7E19A">
            <w:pPr>
              <w:pStyle w:val="17"/>
              <w:bidi w:val="0"/>
              <w:rPr>
                <w:color w:val="auto"/>
                <w:highlight w:val="none"/>
              </w:rPr>
            </w:pPr>
            <w:r>
              <w:rPr>
                <w:rFonts w:hint="eastAsia"/>
                <w:color w:val="auto"/>
                <w:highlight w:val="none"/>
                <w:lang w:val="en-US" w:eastAsia="zh-CN"/>
              </w:rPr>
              <w:t>B=1200，L=146.33m</w:t>
            </w:r>
          </w:p>
        </w:tc>
        <w:tc>
          <w:tcPr>
            <w:tcW w:w="593" w:type="pct"/>
            <w:shd w:val="clear" w:color="auto" w:fill="auto"/>
            <w:vAlign w:val="center"/>
          </w:tcPr>
          <w:p w14:paraId="52AF6F67">
            <w:pPr>
              <w:pStyle w:val="17"/>
              <w:bidi w:val="0"/>
              <w:rPr>
                <w:color w:val="auto"/>
                <w:highlight w:val="none"/>
              </w:rPr>
            </w:pPr>
            <w:r>
              <w:rPr>
                <w:color w:val="auto"/>
                <w:highlight w:val="none"/>
              </w:rPr>
              <w:t>132.1</w:t>
            </w:r>
          </w:p>
        </w:tc>
        <w:tc>
          <w:tcPr>
            <w:tcW w:w="626" w:type="pct"/>
            <w:shd w:val="clear" w:color="auto" w:fill="auto"/>
            <w:vAlign w:val="center"/>
          </w:tcPr>
          <w:p w14:paraId="56DFEAF2">
            <w:pPr>
              <w:pStyle w:val="17"/>
              <w:bidi w:val="0"/>
              <w:rPr>
                <w:color w:val="auto"/>
                <w:highlight w:val="none"/>
              </w:rPr>
            </w:pPr>
            <w:r>
              <w:rPr>
                <w:color w:val="auto"/>
                <w:highlight w:val="none"/>
              </w:rPr>
              <w:t>-758.2</w:t>
            </w:r>
          </w:p>
        </w:tc>
        <w:tc>
          <w:tcPr>
            <w:tcW w:w="485" w:type="pct"/>
            <w:shd w:val="clear" w:color="auto" w:fill="auto"/>
            <w:vAlign w:val="center"/>
          </w:tcPr>
          <w:p w14:paraId="6816521C">
            <w:pPr>
              <w:pStyle w:val="17"/>
              <w:bidi w:val="0"/>
              <w:rPr>
                <w:color w:val="auto"/>
                <w:highlight w:val="none"/>
              </w:rPr>
            </w:pPr>
            <w:r>
              <w:rPr>
                <w:color w:val="auto"/>
                <w:highlight w:val="none"/>
              </w:rPr>
              <w:t>1.2</w:t>
            </w:r>
          </w:p>
        </w:tc>
        <w:tc>
          <w:tcPr>
            <w:tcW w:w="616" w:type="pct"/>
            <w:shd w:val="clear" w:color="auto" w:fill="auto"/>
            <w:vAlign w:val="center"/>
          </w:tcPr>
          <w:p w14:paraId="240B3CF4">
            <w:pPr>
              <w:pStyle w:val="17"/>
              <w:bidi w:val="0"/>
              <w:rPr>
                <w:color w:val="auto"/>
                <w:highlight w:val="none"/>
              </w:rPr>
            </w:pPr>
            <w:r>
              <w:rPr>
                <w:color w:val="auto"/>
                <w:highlight w:val="none"/>
              </w:rPr>
              <w:t>65</w:t>
            </w:r>
          </w:p>
        </w:tc>
        <w:tc>
          <w:tcPr>
            <w:tcW w:w="615" w:type="pct"/>
            <w:vMerge w:val="continue"/>
            <w:shd w:val="clear" w:color="auto" w:fill="auto"/>
            <w:vAlign w:val="center"/>
          </w:tcPr>
          <w:p w14:paraId="34FF9969">
            <w:pPr>
              <w:pStyle w:val="17"/>
              <w:bidi w:val="0"/>
              <w:rPr>
                <w:color w:val="auto"/>
                <w:highlight w:val="none"/>
              </w:rPr>
            </w:pPr>
          </w:p>
        </w:tc>
        <w:tc>
          <w:tcPr>
            <w:tcW w:w="538" w:type="pct"/>
            <w:shd w:val="clear" w:color="auto" w:fill="auto"/>
            <w:vAlign w:val="center"/>
          </w:tcPr>
          <w:p w14:paraId="6431D86A">
            <w:pPr>
              <w:pStyle w:val="17"/>
              <w:bidi w:val="0"/>
              <w:rPr>
                <w:color w:val="auto"/>
                <w:highlight w:val="none"/>
              </w:rPr>
            </w:pPr>
            <w:r>
              <w:rPr>
                <w:color w:val="auto"/>
                <w:highlight w:val="none"/>
              </w:rPr>
              <w:t>24.0</w:t>
            </w:r>
          </w:p>
        </w:tc>
      </w:tr>
      <w:tr w14:paraId="3E3A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448" w:type="pct"/>
            <w:shd w:val="clear" w:color="auto" w:fill="auto"/>
            <w:vAlign w:val="center"/>
          </w:tcPr>
          <w:p w14:paraId="378BE7B7">
            <w:pPr>
              <w:pStyle w:val="17"/>
              <w:bidi w:val="0"/>
              <w:rPr>
                <w:color w:val="auto"/>
                <w:highlight w:val="none"/>
              </w:rPr>
            </w:pPr>
            <w:r>
              <w:rPr>
                <w:color w:val="auto"/>
                <w:highlight w:val="none"/>
              </w:rPr>
              <w:t>6</w:t>
            </w:r>
          </w:p>
        </w:tc>
        <w:tc>
          <w:tcPr>
            <w:tcW w:w="626" w:type="pct"/>
            <w:shd w:val="clear" w:color="auto" w:fill="auto"/>
            <w:vAlign w:val="center"/>
          </w:tcPr>
          <w:p w14:paraId="5A802F30">
            <w:pPr>
              <w:pStyle w:val="17"/>
              <w:bidi w:val="0"/>
              <w:rPr>
                <w:color w:val="auto"/>
                <w:highlight w:val="none"/>
              </w:rPr>
            </w:pPr>
            <w:r>
              <w:rPr>
                <w:color w:val="auto"/>
                <w:highlight w:val="none"/>
              </w:rPr>
              <w:t>CV.6带式输送机</w:t>
            </w:r>
          </w:p>
        </w:tc>
        <w:tc>
          <w:tcPr>
            <w:tcW w:w="1273" w:type="dxa"/>
            <w:shd w:val="clear" w:color="auto" w:fill="auto"/>
            <w:vAlign w:val="center"/>
          </w:tcPr>
          <w:p w14:paraId="403765C2">
            <w:pPr>
              <w:pStyle w:val="17"/>
              <w:bidi w:val="0"/>
              <w:rPr>
                <w:color w:val="auto"/>
                <w:highlight w:val="none"/>
              </w:rPr>
            </w:pPr>
            <w:r>
              <w:rPr>
                <w:rFonts w:hint="eastAsia"/>
                <w:color w:val="auto"/>
                <w:highlight w:val="none"/>
                <w:lang w:val="en-US" w:eastAsia="zh-CN"/>
              </w:rPr>
              <w:t>B=1000，L=154.5</w:t>
            </w:r>
          </w:p>
        </w:tc>
        <w:tc>
          <w:tcPr>
            <w:tcW w:w="593" w:type="pct"/>
            <w:shd w:val="clear" w:color="auto" w:fill="auto"/>
            <w:vAlign w:val="center"/>
          </w:tcPr>
          <w:p w14:paraId="56E6ADA6">
            <w:pPr>
              <w:pStyle w:val="17"/>
              <w:bidi w:val="0"/>
              <w:rPr>
                <w:color w:val="auto"/>
                <w:highlight w:val="none"/>
              </w:rPr>
            </w:pPr>
            <w:r>
              <w:rPr>
                <w:color w:val="auto"/>
                <w:highlight w:val="none"/>
              </w:rPr>
              <w:t>119.9</w:t>
            </w:r>
          </w:p>
        </w:tc>
        <w:tc>
          <w:tcPr>
            <w:tcW w:w="626" w:type="pct"/>
            <w:shd w:val="clear" w:color="auto" w:fill="auto"/>
            <w:vAlign w:val="center"/>
          </w:tcPr>
          <w:p w14:paraId="6F8E39A0">
            <w:pPr>
              <w:pStyle w:val="17"/>
              <w:bidi w:val="0"/>
              <w:rPr>
                <w:color w:val="auto"/>
                <w:highlight w:val="none"/>
              </w:rPr>
            </w:pPr>
            <w:r>
              <w:rPr>
                <w:color w:val="auto"/>
                <w:highlight w:val="none"/>
              </w:rPr>
              <w:t>-977</w:t>
            </w:r>
          </w:p>
        </w:tc>
        <w:tc>
          <w:tcPr>
            <w:tcW w:w="485" w:type="pct"/>
            <w:shd w:val="clear" w:color="auto" w:fill="auto"/>
            <w:vAlign w:val="center"/>
          </w:tcPr>
          <w:p w14:paraId="27CF92A9">
            <w:pPr>
              <w:pStyle w:val="17"/>
              <w:bidi w:val="0"/>
              <w:rPr>
                <w:color w:val="auto"/>
                <w:highlight w:val="none"/>
              </w:rPr>
            </w:pPr>
            <w:r>
              <w:rPr>
                <w:color w:val="auto"/>
                <w:highlight w:val="none"/>
              </w:rPr>
              <w:t>1.2</w:t>
            </w:r>
          </w:p>
        </w:tc>
        <w:tc>
          <w:tcPr>
            <w:tcW w:w="616" w:type="pct"/>
            <w:shd w:val="clear" w:color="auto" w:fill="auto"/>
            <w:vAlign w:val="center"/>
          </w:tcPr>
          <w:p w14:paraId="1F4CCDDF">
            <w:pPr>
              <w:pStyle w:val="17"/>
              <w:bidi w:val="0"/>
              <w:rPr>
                <w:color w:val="auto"/>
                <w:highlight w:val="none"/>
              </w:rPr>
            </w:pPr>
            <w:r>
              <w:rPr>
                <w:color w:val="auto"/>
                <w:highlight w:val="none"/>
              </w:rPr>
              <w:t>65</w:t>
            </w:r>
          </w:p>
        </w:tc>
        <w:tc>
          <w:tcPr>
            <w:tcW w:w="615" w:type="pct"/>
            <w:vMerge w:val="continue"/>
            <w:shd w:val="clear" w:color="auto" w:fill="auto"/>
            <w:vAlign w:val="center"/>
          </w:tcPr>
          <w:p w14:paraId="11D59013">
            <w:pPr>
              <w:pStyle w:val="17"/>
              <w:bidi w:val="0"/>
              <w:rPr>
                <w:color w:val="auto"/>
                <w:highlight w:val="none"/>
              </w:rPr>
            </w:pPr>
          </w:p>
        </w:tc>
        <w:tc>
          <w:tcPr>
            <w:tcW w:w="538" w:type="pct"/>
            <w:shd w:val="clear" w:color="auto" w:fill="auto"/>
            <w:vAlign w:val="center"/>
          </w:tcPr>
          <w:p w14:paraId="565B1820">
            <w:pPr>
              <w:pStyle w:val="17"/>
              <w:bidi w:val="0"/>
              <w:rPr>
                <w:color w:val="auto"/>
                <w:highlight w:val="none"/>
              </w:rPr>
            </w:pPr>
            <w:r>
              <w:rPr>
                <w:color w:val="auto"/>
                <w:highlight w:val="none"/>
              </w:rPr>
              <w:t>24.0</w:t>
            </w:r>
          </w:p>
        </w:tc>
      </w:tr>
    </w:tbl>
    <w:p w14:paraId="2B6A23D3">
      <w:pPr>
        <w:keepNext w:val="0"/>
        <w:keepLines w:val="0"/>
        <w:pageBreakBefore w:val="0"/>
        <w:widowControl w:val="0"/>
        <w:kinsoku/>
        <w:wordWrap/>
        <w:overflowPunct/>
        <w:topLinePunct w:val="0"/>
        <w:autoSpaceDE/>
        <w:autoSpaceDN/>
        <w:bidi w:val="0"/>
        <w:adjustRightInd w:val="0"/>
        <w:snapToGrid w:val="0"/>
        <w:spacing w:before="0" w:after="0" w:line="520" w:lineRule="exact"/>
        <w:ind w:right="0" w:firstLine="0" w:firstLineChars="0"/>
        <w:jc w:val="center"/>
        <w:textAlignment w:val="auto"/>
        <w:rPr>
          <w:rFonts w:hint="default" w:ascii="Times New Roman" w:hAnsi="Times New Roman" w:cs="Times New Roman" w:eastAsiaTheme="minorEastAsia"/>
          <w:b/>
          <w:bCs/>
          <w:color w:val="auto"/>
          <w:sz w:val="24"/>
          <w:szCs w:val="24"/>
          <w:highlight w:val="none"/>
          <w:lang w:eastAsia="zh-CN"/>
        </w:rPr>
      </w:pPr>
      <w:r>
        <w:rPr>
          <w:rFonts w:hint="default" w:ascii="Times New Roman" w:hAnsi="Times New Roman" w:cs="Times New Roman" w:eastAsiaTheme="minorEastAsia"/>
          <w:b/>
          <w:bCs/>
          <w:color w:val="auto"/>
          <w:sz w:val="24"/>
          <w:szCs w:val="24"/>
          <w:highlight w:val="none"/>
          <w:lang w:eastAsia="zh-CN"/>
        </w:rPr>
        <w:t>表</w:t>
      </w:r>
      <w:r>
        <w:rPr>
          <w:rFonts w:hint="eastAsia" w:cs="Times New Roman" w:eastAsiaTheme="minorEastAsia"/>
          <w:b/>
          <w:bCs/>
          <w:color w:val="auto"/>
          <w:sz w:val="24"/>
          <w:szCs w:val="24"/>
          <w:highlight w:val="none"/>
          <w:lang w:val="en-US" w:eastAsia="zh-CN"/>
        </w:rPr>
        <w:t>5.2</w:t>
      </w:r>
      <w:r>
        <w:rPr>
          <w:rFonts w:hint="eastAsia" w:ascii="Times New Roman" w:hAnsi="Times New Roman" w:cs="Times New Roman" w:eastAsiaTheme="minorEastAsia"/>
          <w:b/>
          <w:bCs/>
          <w:color w:val="auto"/>
          <w:sz w:val="24"/>
          <w:szCs w:val="24"/>
          <w:highlight w:val="none"/>
          <w:lang w:val="en-US" w:eastAsia="zh-CN"/>
        </w:rPr>
        <w:t>-</w:t>
      </w:r>
      <w:r>
        <w:rPr>
          <w:rFonts w:hint="eastAsia" w:cs="Times New Roman" w:eastAsiaTheme="minorEastAsia"/>
          <w:b/>
          <w:bCs/>
          <w:color w:val="auto"/>
          <w:sz w:val="24"/>
          <w:szCs w:val="24"/>
          <w:highlight w:val="none"/>
          <w:lang w:val="en-US" w:eastAsia="zh-CN"/>
        </w:rPr>
        <w:t xml:space="preserve">17 </w:t>
      </w:r>
      <w:r>
        <w:rPr>
          <w:rFonts w:hint="eastAsia" w:ascii="Times New Roman" w:hAnsi="Times New Roman" w:cs="Times New Roman" w:eastAsiaTheme="minorEastAsia"/>
          <w:b/>
          <w:bCs/>
          <w:color w:val="auto"/>
          <w:sz w:val="24"/>
          <w:szCs w:val="24"/>
          <w:highlight w:val="none"/>
          <w:lang w:val="en-US" w:eastAsia="zh-CN"/>
        </w:rPr>
        <w:t xml:space="preserve">  </w:t>
      </w:r>
      <w:r>
        <w:rPr>
          <w:rFonts w:hint="default" w:ascii="Times New Roman" w:hAnsi="Times New Roman" w:cs="Times New Roman" w:eastAsiaTheme="minorEastAsia"/>
          <w:b/>
          <w:bCs/>
          <w:color w:val="auto"/>
          <w:sz w:val="24"/>
          <w:szCs w:val="24"/>
          <w:highlight w:val="none"/>
          <w:lang w:eastAsia="zh-CN"/>
        </w:rPr>
        <w:t>工业企业噪声源强调查清单（室内声源）</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47"/>
        <w:gridCol w:w="664"/>
        <w:gridCol w:w="1367"/>
        <w:gridCol w:w="974"/>
        <w:gridCol w:w="1024"/>
        <w:gridCol w:w="687"/>
        <w:gridCol w:w="738"/>
        <w:gridCol w:w="668"/>
        <w:gridCol w:w="625"/>
        <w:gridCol w:w="537"/>
        <w:gridCol w:w="501"/>
        <w:gridCol w:w="451"/>
        <w:gridCol w:w="476"/>
        <w:gridCol w:w="476"/>
        <w:gridCol w:w="525"/>
        <w:gridCol w:w="462"/>
        <w:gridCol w:w="787"/>
        <w:gridCol w:w="938"/>
        <w:gridCol w:w="999"/>
        <w:gridCol w:w="816"/>
      </w:tblGrid>
      <w:tr w14:paraId="119F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2" w:hRule="exact"/>
          <w:jc w:val="center"/>
        </w:trPr>
        <w:tc>
          <w:tcPr>
            <w:tcW w:w="158" w:type="pct"/>
            <w:vMerge w:val="restart"/>
            <w:shd w:val="clear" w:color="auto" w:fill="auto"/>
            <w:vAlign w:val="center"/>
          </w:tcPr>
          <w:p w14:paraId="279442FB">
            <w:pPr>
              <w:pStyle w:val="17"/>
              <w:bidi w:val="0"/>
              <w:rPr>
                <w:color w:val="auto"/>
                <w:highlight w:val="none"/>
              </w:rPr>
            </w:pPr>
            <w:r>
              <w:rPr>
                <w:color w:val="auto"/>
                <w:highlight w:val="none"/>
              </w:rPr>
              <w:t>序号</w:t>
            </w:r>
          </w:p>
        </w:tc>
        <w:tc>
          <w:tcPr>
            <w:tcW w:w="234" w:type="pct"/>
            <w:vMerge w:val="restart"/>
            <w:shd w:val="clear" w:color="auto" w:fill="auto"/>
            <w:vAlign w:val="center"/>
          </w:tcPr>
          <w:p w14:paraId="5166D1F1">
            <w:pPr>
              <w:pStyle w:val="17"/>
              <w:bidi w:val="0"/>
              <w:rPr>
                <w:color w:val="auto"/>
                <w:highlight w:val="none"/>
              </w:rPr>
            </w:pPr>
            <w:r>
              <w:rPr>
                <w:color w:val="auto"/>
                <w:highlight w:val="none"/>
              </w:rPr>
              <w:t>建筑物名称</w:t>
            </w:r>
          </w:p>
        </w:tc>
        <w:tc>
          <w:tcPr>
            <w:tcW w:w="482" w:type="pct"/>
            <w:vMerge w:val="restart"/>
            <w:shd w:val="clear" w:color="auto" w:fill="auto"/>
            <w:vAlign w:val="center"/>
          </w:tcPr>
          <w:p w14:paraId="352569F3">
            <w:pPr>
              <w:pStyle w:val="17"/>
              <w:bidi w:val="0"/>
              <w:rPr>
                <w:color w:val="auto"/>
                <w:highlight w:val="none"/>
              </w:rPr>
            </w:pPr>
            <w:r>
              <w:rPr>
                <w:color w:val="auto"/>
                <w:highlight w:val="none"/>
              </w:rPr>
              <w:t>声源名称</w:t>
            </w:r>
          </w:p>
        </w:tc>
        <w:tc>
          <w:tcPr>
            <w:tcW w:w="344" w:type="pct"/>
            <w:shd w:val="clear" w:color="auto" w:fill="auto"/>
            <w:vAlign w:val="center"/>
          </w:tcPr>
          <w:p w14:paraId="45C69CEE">
            <w:pPr>
              <w:pStyle w:val="17"/>
              <w:bidi w:val="0"/>
              <w:rPr>
                <w:color w:val="auto"/>
                <w:highlight w:val="none"/>
                <w:lang w:eastAsia="zh-CN"/>
              </w:rPr>
            </w:pPr>
            <w:r>
              <w:rPr>
                <w:color w:val="auto"/>
                <w:highlight w:val="none"/>
                <w:lang w:eastAsia="zh-CN"/>
              </w:rPr>
              <w:t>声源源强</w:t>
            </w:r>
          </w:p>
        </w:tc>
        <w:tc>
          <w:tcPr>
            <w:tcW w:w="361" w:type="pct"/>
            <w:vMerge w:val="restart"/>
            <w:shd w:val="clear" w:color="auto" w:fill="auto"/>
            <w:vAlign w:val="center"/>
          </w:tcPr>
          <w:p w14:paraId="3C943E7D">
            <w:pPr>
              <w:pStyle w:val="17"/>
              <w:bidi w:val="0"/>
              <w:rPr>
                <w:color w:val="auto"/>
                <w:highlight w:val="none"/>
              </w:rPr>
            </w:pPr>
            <w:r>
              <w:rPr>
                <w:color w:val="auto"/>
                <w:highlight w:val="none"/>
              </w:rPr>
              <w:t>声源控制措施</w:t>
            </w:r>
          </w:p>
        </w:tc>
        <w:tc>
          <w:tcPr>
            <w:tcW w:w="738" w:type="pct"/>
            <w:gridSpan w:val="3"/>
            <w:shd w:val="clear" w:color="auto" w:fill="auto"/>
            <w:vAlign w:val="center"/>
          </w:tcPr>
          <w:p w14:paraId="23898971">
            <w:pPr>
              <w:pStyle w:val="17"/>
              <w:bidi w:val="0"/>
              <w:rPr>
                <w:color w:val="auto"/>
                <w:highlight w:val="none"/>
              </w:rPr>
            </w:pPr>
            <w:r>
              <w:rPr>
                <w:color w:val="auto"/>
                <w:highlight w:val="none"/>
              </w:rPr>
              <w:t>空间相对位置/m</w:t>
            </w:r>
          </w:p>
        </w:tc>
        <w:tc>
          <w:tcPr>
            <w:tcW w:w="745" w:type="pct"/>
            <w:gridSpan w:val="4"/>
            <w:shd w:val="clear" w:color="auto" w:fill="auto"/>
            <w:vAlign w:val="center"/>
          </w:tcPr>
          <w:p w14:paraId="738B1AD6">
            <w:pPr>
              <w:pStyle w:val="17"/>
              <w:bidi w:val="0"/>
              <w:rPr>
                <w:color w:val="auto"/>
                <w:highlight w:val="none"/>
              </w:rPr>
            </w:pPr>
            <w:r>
              <w:rPr>
                <w:color w:val="auto"/>
                <w:highlight w:val="none"/>
              </w:rPr>
              <w:t>距室内边界距离/m</w:t>
            </w:r>
          </w:p>
        </w:tc>
        <w:tc>
          <w:tcPr>
            <w:tcW w:w="684" w:type="pct"/>
            <w:gridSpan w:val="4"/>
            <w:shd w:val="clear" w:color="auto" w:fill="auto"/>
            <w:vAlign w:val="center"/>
          </w:tcPr>
          <w:p w14:paraId="415C81E6">
            <w:pPr>
              <w:pStyle w:val="17"/>
              <w:bidi w:val="0"/>
              <w:rPr>
                <w:rFonts w:hint="eastAsia" w:eastAsia="宋体"/>
                <w:color w:val="auto"/>
                <w:highlight w:val="none"/>
                <w:lang w:eastAsia="zh-CN"/>
              </w:rPr>
            </w:pPr>
            <w:r>
              <w:rPr>
                <w:color w:val="auto"/>
                <w:highlight w:val="none"/>
              </w:rPr>
              <w:t>室内边界声级/dB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277" w:type="pct"/>
            <w:vMerge w:val="restart"/>
            <w:shd w:val="clear" w:color="auto" w:fill="auto"/>
            <w:vAlign w:val="center"/>
          </w:tcPr>
          <w:p w14:paraId="1BFC707F">
            <w:pPr>
              <w:pStyle w:val="17"/>
              <w:bidi w:val="0"/>
              <w:rPr>
                <w:color w:val="auto"/>
                <w:highlight w:val="none"/>
              </w:rPr>
            </w:pPr>
            <w:r>
              <w:rPr>
                <w:color w:val="auto"/>
                <w:highlight w:val="none"/>
              </w:rPr>
              <w:t>运行时段</w:t>
            </w:r>
          </w:p>
        </w:tc>
        <w:tc>
          <w:tcPr>
            <w:tcW w:w="331" w:type="pct"/>
            <w:vMerge w:val="restart"/>
            <w:shd w:val="clear" w:color="auto" w:fill="auto"/>
            <w:vAlign w:val="center"/>
          </w:tcPr>
          <w:p w14:paraId="03F43E96">
            <w:pPr>
              <w:pStyle w:val="17"/>
              <w:bidi w:val="0"/>
              <w:rPr>
                <w:rFonts w:hint="eastAsia" w:eastAsia="宋体"/>
                <w:color w:val="auto"/>
                <w:highlight w:val="none"/>
                <w:lang w:eastAsia="zh-CN"/>
              </w:rPr>
            </w:pPr>
            <w:r>
              <w:rPr>
                <w:color w:val="auto"/>
                <w:highlight w:val="none"/>
              </w:rPr>
              <w:t>建筑物插入损失/dB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353" w:type="pct"/>
            <w:vMerge w:val="restart"/>
            <w:shd w:val="clear" w:color="auto" w:fill="auto"/>
            <w:vAlign w:val="center"/>
          </w:tcPr>
          <w:p w14:paraId="59EDA7B0">
            <w:pPr>
              <w:pStyle w:val="17"/>
              <w:bidi w:val="0"/>
              <w:rPr>
                <w:rFonts w:hint="eastAsia" w:eastAsia="宋体"/>
                <w:color w:val="auto"/>
                <w:highlight w:val="none"/>
                <w:lang w:eastAsia="zh-CN"/>
              </w:rPr>
            </w:pPr>
            <w:r>
              <w:rPr>
                <w:color w:val="auto"/>
                <w:highlight w:val="none"/>
              </w:rPr>
              <w:t>建筑物外噪声声压级/dB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288" w:type="pct"/>
            <w:vMerge w:val="restart"/>
            <w:shd w:val="clear" w:color="auto" w:fill="auto"/>
            <w:vAlign w:val="center"/>
          </w:tcPr>
          <w:p w14:paraId="17D623D7">
            <w:pPr>
              <w:pStyle w:val="17"/>
              <w:bidi w:val="0"/>
              <w:rPr>
                <w:rFonts w:hint="default" w:ascii="Times New Roman" w:hAnsi="Times New Roman" w:cs="Times New Roman" w:eastAsiaTheme="minorEastAsia"/>
                <w:color w:val="auto"/>
                <w:sz w:val="21"/>
                <w:szCs w:val="21"/>
                <w:highlight w:val="none"/>
                <w:lang w:val="en-US" w:eastAsia="zh-CN"/>
              </w:rPr>
            </w:pPr>
            <w:r>
              <w:rPr>
                <w:rFonts w:ascii="Times New Roman" w:hAnsi="Times New Roman" w:cs="Times New Roman" w:eastAsiaTheme="minorEastAsia"/>
                <w:color w:val="auto"/>
                <w:sz w:val="21"/>
                <w:szCs w:val="21"/>
                <w:highlight w:val="none"/>
              </w:rPr>
              <w:t>建筑物外距离</w:t>
            </w:r>
            <w:r>
              <w:rPr>
                <w:rFonts w:hint="eastAsia" w:ascii="Times New Roman" w:hAnsi="Times New Roman" w:cs="Times New Roman" w:eastAsiaTheme="minorEastAsia"/>
                <w:color w:val="auto"/>
                <w:sz w:val="21"/>
                <w:szCs w:val="21"/>
                <w:highlight w:val="none"/>
                <w:lang w:eastAsia="zh-CN"/>
              </w:rPr>
              <w:t>（</w:t>
            </w:r>
            <w:r>
              <w:rPr>
                <w:rFonts w:hint="eastAsia" w:ascii="Times New Roman" w:hAnsi="Times New Roman" w:cs="Times New Roman" w:eastAsiaTheme="minorEastAsia"/>
                <w:color w:val="auto"/>
                <w:sz w:val="21"/>
                <w:szCs w:val="21"/>
                <w:highlight w:val="none"/>
                <w:lang w:val="en-US" w:eastAsia="zh-CN"/>
              </w:rPr>
              <w:t>m）</w:t>
            </w:r>
          </w:p>
        </w:tc>
      </w:tr>
      <w:tr w14:paraId="0A7B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vMerge w:val="continue"/>
            <w:shd w:val="clear" w:color="auto" w:fill="auto"/>
            <w:tcMar>
              <w:top w:w="0" w:type="dxa"/>
              <w:left w:w="0" w:type="dxa"/>
              <w:bottom w:w="0" w:type="dxa"/>
              <w:right w:w="0" w:type="dxa"/>
            </w:tcMar>
            <w:vAlign w:val="center"/>
          </w:tcPr>
          <w:p w14:paraId="67BCD1E4">
            <w:pPr>
              <w:pStyle w:val="17"/>
              <w:bidi w:val="0"/>
              <w:rPr>
                <w:rFonts w:hint="default"/>
                <w:color w:val="auto"/>
                <w:highlight w:val="none"/>
                <w:lang w:val="en-US" w:eastAsia="zh-CN"/>
              </w:rPr>
            </w:pPr>
          </w:p>
        </w:tc>
        <w:tc>
          <w:tcPr>
            <w:tcW w:w="234" w:type="pct"/>
            <w:vMerge w:val="continue"/>
            <w:shd w:val="clear" w:color="auto" w:fill="auto"/>
            <w:tcMar>
              <w:top w:w="0" w:type="dxa"/>
              <w:left w:w="0" w:type="dxa"/>
              <w:bottom w:w="0" w:type="dxa"/>
              <w:right w:w="0" w:type="dxa"/>
            </w:tcMar>
            <w:vAlign w:val="center"/>
          </w:tcPr>
          <w:p w14:paraId="46069D96">
            <w:pPr>
              <w:pStyle w:val="17"/>
              <w:bidi w:val="0"/>
              <w:rPr>
                <w:color w:val="auto"/>
                <w:highlight w:val="none"/>
              </w:rPr>
            </w:pPr>
          </w:p>
        </w:tc>
        <w:tc>
          <w:tcPr>
            <w:tcW w:w="482" w:type="pct"/>
            <w:vMerge w:val="continue"/>
            <w:shd w:val="clear" w:color="auto" w:fill="auto"/>
            <w:tcMar>
              <w:top w:w="0" w:type="dxa"/>
              <w:left w:w="0" w:type="dxa"/>
              <w:bottom w:w="0" w:type="dxa"/>
              <w:right w:w="0" w:type="dxa"/>
            </w:tcMar>
            <w:vAlign w:val="center"/>
          </w:tcPr>
          <w:p w14:paraId="23E6D932">
            <w:pPr>
              <w:pStyle w:val="17"/>
              <w:bidi w:val="0"/>
              <w:rPr>
                <w:color w:val="auto"/>
                <w:highlight w:val="none"/>
              </w:rPr>
            </w:pPr>
          </w:p>
        </w:tc>
        <w:tc>
          <w:tcPr>
            <w:tcW w:w="344" w:type="pct"/>
            <w:shd w:val="clear" w:color="auto" w:fill="auto"/>
            <w:tcMar>
              <w:top w:w="0" w:type="dxa"/>
              <w:left w:w="0" w:type="dxa"/>
              <w:bottom w:w="0" w:type="dxa"/>
              <w:right w:w="0" w:type="dxa"/>
            </w:tcMar>
            <w:vAlign w:val="center"/>
          </w:tcPr>
          <w:p w14:paraId="498BF66E">
            <w:pPr>
              <w:pStyle w:val="17"/>
              <w:bidi w:val="0"/>
              <w:rPr>
                <w:rFonts w:hint="eastAsia" w:eastAsia="宋体"/>
                <w:color w:val="auto"/>
                <w:highlight w:val="none"/>
                <w:lang w:eastAsia="zh-CN"/>
              </w:rPr>
            </w:pPr>
            <w:r>
              <w:rPr>
                <w:color w:val="auto"/>
                <w:highlight w:val="none"/>
              </w:rPr>
              <w:t>声功率级/dB</w:t>
            </w:r>
            <w:r>
              <w:rPr>
                <w:rFonts w:hint="eastAsia"/>
                <w:color w:val="auto"/>
                <w:highlight w:val="none"/>
                <w:lang w:eastAsia="zh-CN"/>
              </w:rPr>
              <w:t>（</w:t>
            </w:r>
            <w:r>
              <w:rPr>
                <w:color w:val="auto"/>
                <w:highlight w:val="none"/>
              </w:rPr>
              <w:t>A</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4EE07FEF">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7730AF57">
            <w:pPr>
              <w:pStyle w:val="17"/>
              <w:bidi w:val="0"/>
              <w:rPr>
                <w:color w:val="auto"/>
                <w:highlight w:val="none"/>
              </w:rPr>
            </w:pPr>
            <w:r>
              <w:rPr>
                <w:color w:val="auto"/>
                <w:highlight w:val="none"/>
              </w:rPr>
              <w:t>X</w:t>
            </w:r>
          </w:p>
        </w:tc>
        <w:tc>
          <w:tcPr>
            <w:tcW w:w="260" w:type="pct"/>
            <w:shd w:val="clear" w:color="auto" w:fill="auto"/>
            <w:tcMar>
              <w:top w:w="0" w:type="dxa"/>
              <w:left w:w="0" w:type="dxa"/>
              <w:bottom w:w="0" w:type="dxa"/>
              <w:right w:w="0" w:type="dxa"/>
            </w:tcMar>
            <w:vAlign w:val="center"/>
          </w:tcPr>
          <w:p w14:paraId="503B7212">
            <w:pPr>
              <w:pStyle w:val="17"/>
              <w:bidi w:val="0"/>
              <w:rPr>
                <w:color w:val="auto"/>
                <w:highlight w:val="none"/>
              </w:rPr>
            </w:pPr>
            <w:r>
              <w:rPr>
                <w:color w:val="auto"/>
                <w:highlight w:val="none"/>
              </w:rPr>
              <w:t>Y</w:t>
            </w:r>
          </w:p>
        </w:tc>
        <w:tc>
          <w:tcPr>
            <w:tcW w:w="235" w:type="pct"/>
            <w:shd w:val="clear" w:color="auto" w:fill="auto"/>
            <w:tcMar>
              <w:top w:w="0" w:type="dxa"/>
              <w:left w:w="0" w:type="dxa"/>
              <w:bottom w:w="0" w:type="dxa"/>
              <w:right w:w="0" w:type="dxa"/>
            </w:tcMar>
            <w:vAlign w:val="center"/>
          </w:tcPr>
          <w:p w14:paraId="32801FED">
            <w:pPr>
              <w:pStyle w:val="17"/>
              <w:bidi w:val="0"/>
              <w:rPr>
                <w:color w:val="auto"/>
                <w:highlight w:val="none"/>
              </w:rPr>
            </w:pPr>
            <w:r>
              <w:rPr>
                <w:color w:val="auto"/>
                <w:highlight w:val="none"/>
              </w:rPr>
              <w:t>Z</w:t>
            </w:r>
          </w:p>
        </w:tc>
        <w:tc>
          <w:tcPr>
            <w:tcW w:w="220" w:type="pct"/>
            <w:shd w:val="clear" w:color="auto" w:fill="auto"/>
            <w:tcMar>
              <w:top w:w="0" w:type="dxa"/>
              <w:left w:w="0" w:type="dxa"/>
              <w:bottom w:w="0" w:type="dxa"/>
              <w:right w:w="0" w:type="dxa"/>
            </w:tcMar>
            <w:vAlign w:val="center"/>
          </w:tcPr>
          <w:p w14:paraId="30F7C6D4">
            <w:pPr>
              <w:pStyle w:val="17"/>
              <w:bidi w:val="0"/>
              <w:rPr>
                <w:color w:val="auto"/>
                <w:highlight w:val="none"/>
              </w:rPr>
            </w:pPr>
            <w:r>
              <w:rPr>
                <w:rFonts w:hint="eastAsia"/>
                <w:color w:val="auto"/>
                <w:highlight w:val="none"/>
                <w:lang w:val="en-US" w:eastAsia="zh-CN"/>
              </w:rPr>
              <w:t>东</w:t>
            </w:r>
          </w:p>
        </w:tc>
        <w:tc>
          <w:tcPr>
            <w:tcW w:w="189" w:type="pct"/>
            <w:shd w:val="clear" w:color="auto" w:fill="auto"/>
            <w:tcMar>
              <w:top w:w="0" w:type="dxa"/>
              <w:left w:w="0" w:type="dxa"/>
              <w:bottom w:w="0" w:type="dxa"/>
              <w:right w:w="0" w:type="dxa"/>
            </w:tcMar>
            <w:vAlign w:val="center"/>
          </w:tcPr>
          <w:p w14:paraId="2FDB904B">
            <w:pPr>
              <w:pStyle w:val="17"/>
              <w:bidi w:val="0"/>
              <w:rPr>
                <w:color w:val="auto"/>
                <w:highlight w:val="none"/>
              </w:rPr>
            </w:pPr>
            <w:r>
              <w:rPr>
                <w:rFonts w:hint="eastAsia"/>
                <w:color w:val="auto"/>
                <w:highlight w:val="none"/>
                <w:lang w:val="en-US" w:eastAsia="zh-CN"/>
              </w:rPr>
              <w:t>南</w:t>
            </w:r>
          </w:p>
        </w:tc>
        <w:tc>
          <w:tcPr>
            <w:tcW w:w="176" w:type="pct"/>
            <w:shd w:val="clear" w:color="auto" w:fill="auto"/>
            <w:tcMar>
              <w:top w:w="0" w:type="dxa"/>
              <w:left w:w="0" w:type="dxa"/>
              <w:bottom w:w="0" w:type="dxa"/>
              <w:right w:w="0" w:type="dxa"/>
            </w:tcMar>
            <w:vAlign w:val="center"/>
          </w:tcPr>
          <w:p w14:paraId="1066832C">
            <w:pPr>
              <w:pStyle w:val="17"/>
              <w:bidi w:val="0"/>
              <w:rPr>
                <w:color w:val="auto"/>
                <w:highlight w:val="none"/>
              </w:rPr>
            </w:pPr>
            <w:r>
              <w:rPr>
                <w:rFonts w:hint="eastAsia"/>
                <w:color w:val="auto"/>
                <w:highlight w:val="none"/>
                <w:lang w:val="en-US" w:eastAsia="zh-CN"/>
              </w:rPr>
              <w:t>西</w:t>
            </w:r>
          </w:p>
        </w:tc>
        <w:tc>
          <w:tcPr>
            <w:tcW w:w="158" w:type="pct"/>
            <w:shd w:val="clear" w:color="auto" w:fill="auto"/>
            <w:tcMar>
              <w:top w:w="0" w:type="dxa"/>
              <w:left w:w="0" w:type="dxa"/>
              <w:bottom w:w="0" w:type="dxa"/>
              <w:right w:w="0" w:type="dxa"/>
            </w:tcMar>
            <w:vAlign w:val="center"/>
          </w:tcPr>
          <w:p w14:paraId="60A41E07">
            <w:pPr>
              <w:pStyle w:val="17"/>
              <w:bidi w:val="0"/>
              <w:rPr>
                <w:color w:val="auto"/>
                <w:highlight w:val="none"/>
              </w:rPr>
            </w:pPr>
            <w:r>
              <w:rPr>
                <w:rFonts w:hint="eastAsia"/>
                <w:color w:val="auto"/>
                <w:highlight w:val="none"/>
                <w:lang w:val="en-US" w:eastAsia="zh-CN"/>
              </w:rPr>
              <w:t>北</w:t>
            </w:r>
          </w:p>
        </w:tc>
        <w:tc>
          <w:tcPr>
            <w:tcW w:w="167" w:type="pct"/>
            <w:shd w:val="clear" w:color="auto" w:fill="auto"/>
            <w:tcMar>
              <w:top w:w="0" w:type="dxa"/>
              <w:left w:w="0" w:type="dxa"/>
              <w:bottom w:w="0" w:type="dxa"/>
              <w:right w:w="0" w:type="dxa"/>
            </w:tcMar>
            <w:vAlign w:val="center"/>
          </w:tcPr>
          <w:p w14:paraId="00581746">
            <w:pPr>
              <w:pStyle w:val="17"/>
              <w:bidi w:val="0"/>
              <w:rPr>
                <w:color w:val="auto"/>
                <w:highlight w:val="none"/>
              </w:rPr>
            </w:pPr>
            <w:r>
              <w:rPr>
                <w:rFonts w:hint="eastAsia"/>
                <w:color w:val="auto"/>
                <w:highlight w:val="none"/>
                <w:lang w:val="en-US" w:eastAsia="zh-CN"/>
              </w:rPr>
              <w:t>东</w:t>
            </w:r>
          </w:p>
        </w:tc>
        <w:tc>
          <w:tcPr>
            <w:tcW w:w="167" w:type="pct"/>
            <w:shd w:val="clear" w:color="auto" w:fill="auto"/>
            <w:tcMar>
              <w:top w:w="0" w:type="dxa"/>
              <w:left w:w="0" w:type="dxa"/>
              <w:bottom w:w="0" w:type="dxa"/>
              <w:right w:w="0" w:type="dxa"/>
            </w:tcMar>
            <w:vAlign w:val="center"/>
          </w:tcPr>
          <w:p w14:paraId="14056A6D">
            <w:pPr>
              <w:pStyle w:val="17"/>
              <w:bidi w:val="0"/>
              <w:rPr>
                <w:color w:val="auto"/>
                <w:highlight w:val="none"/>
              </w:rPr>
            </w:pPr>
            <w:r>
              <w:rPr>
                <w:rFonts w:hint="eastAsia"/>
                <w:color w:val="auto"/>
                <w:highlight w:val="none"/>
                <w:lang w:val="en-US" w:eastAsia="zh-CN"/>
              </w:rPr>
              <w:t>南</w:t>
            </w:r>
          </w:p>
        </w:tc>
        <w:tc>
          <w:tcPr>
            <w:tcW w:w="185" w:type="pct"/>
            <w:shd w:val="clear" w:color="auto" w:fill="auto"/>
            <w:tcMar>
              <w:top w:w="0" w:type="dxa"/>
              <w:left w:w="0" w:type="dxa"/>
              <w:bottom w:w="0" w:type="dxa"/>
              <w:right w:w="0" w:type="dxa"/>
            </w:tcMar>
            <w:vAlign w:val="center"/>
          </w:tcPr>
          <w:p w14:paraId="7E14F583">
            <w:pPr>
              <w:pStyle w:val="17"/>
              <w:bidi w:val="0"/>
              <w:rPr>
                <w:color w:val="auto"/>
                <w:highlight w:val="none"/>
              </w:rPr>
            </w:pPr>
            <w:r>
              <w:rPr>
                <w:rFonts w:hint="eastAsia"/>
                <w:color w:val="auto"/>
                <w:highlight w:val="none"/>
                <w:lang w:val="en-US" w:eastAsia="zh-CN"/>
              </w:rPr>
              <w:t>西</w:t>
            </w:r>
          </w:p>
        </w:tc>
        <w:tc>
          <w:tcPr>
            <w:tcW w:w="163" w:type="pct"/>
            <w:shd w:val="clear" w:color="auto" w:fill="auto"/>
            <w:tcMar>
              <w:top w:w="0" w:type="dxa"/>
              <w:left w:w="0" w:type="dxa"/>
              <w:bottom w:w="0" w:type="dxa"/>
              <w:right w:w="0" w:type="dxa"/>
            </w:tcMar>
            <w:vAlign w:val="center"/>
          </w:tcPr>
          <w:p w14:paraId="0EF2BD8A">
            <w:pPr>
              <w:pStyle w:val="17"/>
              <w:bidi w:val="0"/>
              <w:rPr>
                <w:color w:val="auto"/>
                <w:highlight w:val="none"/>
              </w:rPr>
            </w:pPr>
            <w:r>
              <w:rPr>
                <w:rFonts w:hint="eastAsia"/>
                <w:color w:val="auto"/>
                <w:highlight w:val="none"/>
                <w:lang w:val="en-US" w:eastAsia="zh-CN"/>
              </w:rPr>
              <w:t>北</w:t>
            </w:r>
          </w:p>
        </w:tc>
        <w:tc>
          <w:tcPr>
            <w:tcW w:w="277" w:type="pct"/>
            <w:vMerge w:val="continue"/>
            <w:shd w:val="clear" w:color="auto" w:fill="auto"/>
            <w:tcMar>
              <w:top w:w="0" w:type="dxa"/>
              <w:left w:w="0" w:type="dxa"/>
              <w:bottom w:w="0" w:type="dxa"/>
              <w:right w:w="0" w:type="dxa"/>
            </w:tcMar>
            <w:vAlign w:val="center"/>
          </w:tcPr>
          <w:p w14:paraId="2CF2581F">
            <w:pPr>
              <w:pStyle w:val="17"/>
              <w:bidi w:val="0"/>
              <w:rPr>
                <w:color w:val="auto"/>
                <w:highlight w:val="none"/>
              </w:rPr>
            </w:pPr>
          </w:p>
        </w:tc>
        <w:tc>
          <w:tcPr>
            <w:tcW w:w="331" w:type="pct"/>
            <w:vMerge w:val="continue"/>
            <w:shd w:val="clear" w:color="auto" w:fill="auto"/>
            <w:tcMar>
              <w:top w:w="0" w:type="dxa"/>
              <w:left w:w="0" w:type="dxa"/>
              <w:bottom w:w="0" w:type="dxa"/>
              <w:right w:w="0" w:type="dxa"/>
            </w:tcMar>
            <w:vAlign w:val="center"/>
          </w:tcPr>
          <w:p w14:paraId="62694CDF">
            <w:pPr>
              <w:pStyle w:val="17"/>
              <w:bidi w:val="0"/>
              <w:rPr>
                <w:color w:val="auto"/>
                <w:highlight w:val="none"/>
              </w:rPr>
            </w:pPr>
          </w:p>
        </w:tc>
        <w:tc>
          <w:tcPr>
            <w:tcW w:w="353" w:type="pct"/>
            <w:vMerge w:val="continue"/>
            <w:shd w:val="clear" w:color="auto" w:fill="auto"/>
            <w:tcMar>
              <w:top w:w="0" w:type="dxa"/>
              <w:left w:w="0" w:type="dxa"/>
              <w:bottom w:w="0" w:type="dxa"/>
              <w:right w:w="0" w:type="dxa"/>
            </w:tcMar>
            <w:vAlign w:val="center"/>
          </w:tcPr>
          <w:p w14:paraId="3F71E919">
            <w:pPr>
              <w:pStyle w:val="17"/>
              <w:bidi w:val="0"/>
              <w:rPr>
                <w:color w:val="auto"/>
                <w:highlight w:val="none"/>
              </w:rPr>
            </w:pPr>
          </w:p>
        </w:tc>
        <w:tc>
          <w:tcPr>
            <w:tcW w:w="288" w:type="pct"/>
            <w:vMerge w:val="continue"/>
            <w:shd w:val="clear" w:color="auto" w:fill="auto"/>
            <w:tcMar>
              <w:top w:w="0" w:type="dxa"/>
              <w:left w:w="0" w:type="dxa"/>
              <w:bottom w:w="0" w:type="dxa"/>
              <w:right w:w="0" w:type="dxa"/>
            </w:tcMar>
            <w:vAlign w:val="center"/>
          </w:tcPr>
          <w:p w14:paraId="5F02618F">
            <w:pPr>
              <w:pStyle w:val="17"/>
              <w:bidi w:val="0"/>
              <w:rPr>
                <w:color w:val="auto"/>
                <w:highlight w:val="none"/>
              </w:rPr>
            </w:pPr>
          </w:p>
        </w:tc>
      </w:tr>
      <w:tr w14:paraId="668F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D8D3990">
            <w:pPr>
              <w:pStyle w:val="17"/>
              <w:bidi w:val="0"/>
              <w:rPr>
                <w:color w:val="auto"/>
                <w:highlight w:val="none"/>
              </w:rPr>
            </w:pPr>
            <w:r>
              <w:rPr>
                <w:color w:val="auto"/>
                <w:highlight w:val="none"/>
              </w:rPr>
              <w:t>1</w:t>
            </w:r>
          </w:p>
        </w:tc>
        <w:tc>
          <w:tcPr>
            <w:tcW w:w="234" w:type="pct"/>
            <w:shd w:val="clear" w:color="auto" w:fill="auto"/>
            <w:tcMar>
              <w:top w:w="0" w:type="dxa"/>
              <w:left w:w="0" w:type="dxa"/>
              <w:bottom w:w="0" w:type="dxa"/>
              <w:right w:w="0" w:type="dxa"/>
            </w:tcMar>
            <w:vAlign w:val="center"/>
          </w:tcPr>
          <w:p w14:paraId="4FB8442F">
            <w:pPr>
              <w:pStyle w:val="17"/>
              <w:bidi w:val="0"/>
              <w:rPr>
                <w:color w:val="auto"/>
                <w:highlight w:val="none"/>
              </w:rPr>
            </w:pPr>
            <w:r>
              <w:rPr>
                <w:color w:val="auto"/>
                <w:highlight w:val="none"/>
              </w:rPr>
              <w:t>粗矿仓</w:t>
            </w:r>
          </w:p>
        </w:tc>
        <w:tc>
          <w:tcPr>
            <w:tcW w:w="482" w:type="pct"/>
            <w:shd w:val="clear" w:color="auto" w:fill="auto"/>
            <w:tcMar>
              <w:top w:w="0" w:type="dxa"/>
              <w:left w:w="0" w:type="dxa"/>
              <w:bottom w:w="0" w:type="dxa"/>
              <w:right w:w="0" w:type="dxa"/>
            </w:tcMar>
            <w:vAlign w:val="center"/>
          </w:tcPr>
          <w:p w14:paraId="1B7C756E">
            <w:pPr>
              <w:pStyle w:val="17"/>
              <w:bidi w:val="0"/>
              <w:rPr>
                <w:color w:val="auto"/>
                <w:highlight w:val="none"/>
              </w:rPr>
            </w:pPr>
            <w:r>
              <w:rPr>
                <w:color w:val="auto"/>
                <w:highlight w:val="none"/>
              </w:rPr>
              <w:t>重型皮带给料机,4台（按点声源组预测）</w:t>
            </w:r>
          </w:p>
        </w:tc>
        <w:tc>
          <w:tcPr>
            <w:tcW w:w="344" w:type="pct"/>
            <w:shd w:val="clear" w:color="auto" w:fill="auto"/>
            <w:tcMar>
              <w:top w:w="0" w:type="dxa"/>
              <w:left w:w="0" w:type="dxa"/>
              <w:bottom w:w="0" w:type="dxa"/>
              <w:right w:w="0" w:type="dxa"/>
            </w:tcMar>
            <w:vAlign w:val="center"/>
          </w:tcPr>
          <w:p w14:paraId="14C71074">
            <w:pPr>
              <w:pStyle w:val="17"/>
              <w:bidi w:val="0"/>
              <w:rPr>
                <w:rFonts w:hint="eastAsia" w:eastAsia="宋体"/>
                <w:color w:val="auto"/>
                <w:highlight w:val="none"/>
                <w:lang w:eastAsia="zh-CN"/>
              </w:rPr>
            </w:pPr>
            <w:r>
              <w:rPr>
                <w:color w:val="auto"/>
                <w:highlight w:val="none"/>
              </w:rPr>
              <w:t>70（等效后：76.0</w:t>
            </w:r>
            <w:r>
              <w:rPr>
                <w:rFonts w:hint="eastAsia"/>
                <w:color w:val="auto"/>
                <w:highlight w:val="none"/>
                <w:lang w:eastAsia="zh-CN"/>
              </w:rPr>
              <w:t>）</w:t>
            </w:r>
          </w:p>
        </w:tc>
        <w:tc>
          <w:tcPr>
            <w:tcW w:w="361" w:type="pct"/>
            <w:vMerge w:val="restart"/>
            <w:shd w:val="clear" w:color="auto" w:fill="auto"/>
            <w:tcMar>
              <w:top w:w="0" w:type="dxa"/>
              <w:left w:w="0" w:type="dxa"/>
              <w:bottom w:w="0" w:type="dxa"/>
              <w:right w:w="0" w:type="dxa"/>
            </w:tcMar>
            <w:vAlign w:val="center"/>
          </w:tcPr>
          <w:p w14:paraId="5A7FFBEB">
            <w:pPr>
              <w:pStyle w:val="17"/>
              <w:bidi w:val="0"/>
              <w:rPr>
                <w:color w:val="auto"/>
                <w:highlight w:val="none"/>
              </w:rPr>
            </w:pPr>
            <w:r>
              <w:rPr>
                <w:rFonts w:hint="default" w:ascii="Times New Roman" w:hAnsi="Times New Roman" w:cs="Times New Roman"/>
                <w:color w:val="auto"/>
                <w:sz w:val="21"/>
                <w:szCs w:val="21"/>
                <w:highlight w:val="none"/>
                <w:lang w:val="en-US" w:eastAsia="zh-CN"/>
              </w:rPr>
              <w:t>基础减振、厂房隔声、合理布局</w:t>
            </w:r>
          </w:p>
        </w:tc>
        <w:tc>
          <w:tcPr>
            <w:tcW w:w="242" w:type="pct"/>
            <w:shd w:val="clear" w:color="auto" w:fill="auto"/>
            <w:tcMar>
              <w:top w:w="0" w:type="dxa"/>
              <w:left w:w="0" w:type="dxa"/>
              <w:bottom w:w="0" w:type="dxa"/>
              <w:right w:w="0" w:type="dxa"/>
            </w:tcMar>
            <w:vAlign w:val="center"/>
          </w:tcPr>
          <w:p w14:paraId="3CFA4199">
            <w:pPr>
              <w:pStyle w:val="17"/>
              <w:bidi w:val="0"/>
              <w:rPr>
                <w:color w:val="auto"/>
                <w:highlight w:val="none"/>
              </w:rPr>
            </w:pPr>
            <w:r>
              <w:rPr>
                <w:color w:val="auto"/>
                <w:highlight w:val="none"/>
              </w:rPr>
              <w:t>541.5</w:t>
            </w:r>
          </w:p>
        </w:tc>
        <w:tc>
          <w:tcPr>
            <w:tcW w:w="260" w:type="pct"/>
            <w:shd w:val="clear" w:color="auto" w:fill="auto"/>
            <w:tcMar>
              <w:top w:w="0" w:type="dxa"/>
              <w:left w:w="0" w:type="dxa"/>
              <w:bottom w:w="0" w:type="dxa"/>
              <w:right w:w="0" w:type="dxa"/>
            </w:tcMar>
            <w:vAlign w:val="center"/>
          </w:tcPr>
          <w:p w14:paraId="712A1E58">
            <w:pPr>
              <w:pStyle w:val="17"/>
              <w:bidi w:val="0"/>
              <w:rPr>
                <w:color w:val="auto"/>
                <w:highlight w:val="none"/>
              </w:rPr>
            </w:pPr>
            <w:r>
              <w:rPr>
                <w:color w:val="auto"/>
                <w:highlight w:val="none"/>
              </w:rPr>
              <w:t>-554</w:t>
            </w:r>
          </w:p>
        </w:tc>
        <w:tc>
          <w:tcPr>
            <w:tcW w:w="235" w:type="pct"/>
            <w:shd w:val="clear" w:color="auto" w:fill="auto"/>
            <w:tcMar>
              <w:top w:w="0" w:type="dxa"/>
              <w:left w:w="0" w:type="dxa"/>
              <w:bottom w:w="0" w:type="dxa"/>
              <w:right w:w="0" w:type="dxa"/>
            </w:tcMar>
            <w:vAlign w:val="center"/>
          </w:tcPr>
          <w:p w14:paraId="39CB6D3B">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076BB728">
            <w:pPr>
              <w:pStyle w:val="17"/>
              <w:bidi w:val="0"/>
              <w:rPr>
                <w:color w:val="auto"/>
                <w:highlight w:val="none"/>
              </w:rPr>
            </w:pPr>
            <w:r>
              <w:rPr>
                <w:color w:val="auto"/>
                <w:highlight w:val="none"/>
              </w:rPr>
              <w:t>22.0</w:t>
            </w:r>
          </w:p>
        </w:tc>
        <w:tc>
          <w:tcPr>
            <w:tcW w:w="189" w:type="pct"/>
            <w:shd w:val="clear" w:color="auto" w:fill="auto"/>
            <w:tcMar>
              <w:top w:w="0" w:type="dxa"/>
              <w:left w:w="0" w:type="dxa"/>
              <w:bottom w:w="0" w:type="dxa"/>
              <w:right w:w="0" w:type="dxa"/>
            </w:tcMar>
            <w:vAlign w:val="center"/>
          </w:tcPr>
          <w:p w14:paraId="51454D1E">
            <w:pPr>
              <w:pStyle w:val="17"/>
              <w:bidi w:val="0"/>
              <w:rPr>
                <w:color w:val="auto"/>
                <w:highlight w:val="none"/>
              </w:rPr>
            </w:pPr>
            <w:r>
              <w:rPr>
                <w:color w:val="auto"/>
                <w:highlight w:val="none"/>
              </w:rPr>
              <w:t>25.2</w:t>
            </w:r>
          </w:p>
        </w:tc>
        <w:tc>
          <w:tcPr>
            <w:tcW w:w="176" w:type="pct"/>
            <w:shd w:val="clear" w:color="auto" w:fill="auto"/>
            <w:tcMar>
              <w:top w:w="0" w:type="dxa"/>
              <w:left w:w="0" w:type="dxa"/>
              <w:bottom w:w="0" w:type="dxa"/>
              <w:right w:w="0" w:type="dxa"/>
            </w:tcMar>
            <w:vAlign w:val="center"/>
          </w:tcPr>
          <w:p w14:paraId="735B552B">
            <w:pPr>
              <w:pStyle w:val="17"/>
              <w:bidi w:val="0"/>
              <w:rPr>
                <w:color w:val="auto"/>
                <w:highlight w:val="none"/>
              </w:rPr>
            </w:pPr>
            <w:r>
              <w:rPr>
                <w:color w:val="auto"/>
                <w:highlight w:val="none"/>
              </w:rPr>
              <w:t>37.8</w:t>
            </w:r>
          </w:p>
        </w:tc>
        <w:tc>
          <w:tcPr>
            <w:tcW w:w="158" w:type="pct"/>
            <w:shd w:val="clear" w:color="auto" w:fill="auto"/>
            <w:tcMar>
              <w:top w:w="0" w:type="dxa"/>
              <w:left w:w="0" w:type="dxa"/>
              <w:bottom w:w="0" w:type="dxa"/>
              <w:right w:w="0" w:type="dxa"/>
            </w:tcMar>
            <w:vAlign w:val="center"/>
          </w:tcPr>
          <w:p w14:paraId="389D0543">
            <w:pPr>
              <w:pStyle w:val="17"/>
              <w:bidi w:val="0"/>
              <w:rPr>
                <w:color w:val="auto"/>
                <w:highlight w:val="none"/>
              </w:rPr>
            </w:pPr>
            <w:r>
              <w:rPr>
                <w:color w:val="auto"/>
                <w:highlight w:val="none"/>
              </w:rPr>
              <w:t>19.7</w:t>
            </w:r>
          </w:p>
        </w:tc>
        <w:tc>
          <w:tcPr>
            <w:tcW w:w="167" w:type="pct"/>
            <w:shd w:val="clear" w:color="auto" w:fill="auto"/>
            <w:tcMar>
              <w:top w:w="0" w:type="dxa"/>
              <w:left w:w="0" w:type="dxa"/>
              <w:bottom w:w="0" w:type="dxa"/>
              <w:right w:w="0" w:type="dxa"/>
            </w:tcMar>
            <w:vAlign w:val="center"/>
          </w:tcPr>
          <w:p w14:paraId="6CFC2C03">
            <w:pPr>
              <w:pStyle w:val="17"/>
              <w:bidi w:val="0"/>
              <w:rPr>
                <w:color w:val="auto"/>
                <w:highlight w:val="none"/>
              </w:rPr>
            </w:pPr>
            <w:r>
              <w:rPr>
                <w:color w:val="auto"/>
                <w:highlight w:val="none"/>
              </w:rPr>
              <w:t>60.0</w:t>
            </w:r>
          </w:p>
        </w:tc>
        <w:tc>
          <w:tcPr>
            <w:tcW w:w="167" w:type="pct"/>
            <w:shd w:val="clear" w:color="auto" w:fill="auto"/>
            <w:tcMar>
              <w:top w:w="0" w:type="dxa"/>
              <w:left w:w="0" w:type="dxa"/>
              <w:bottom w:w="0" w:type="dxa"/>
              <w:right w:w="0" w:type="dxa"/>
            </w:tcMar>
            <w:vAlign w:val="center"/>
          </w:tcPr>
          <w:p w14:paraId="48ACA7C8">
            <w:pPr>
              <w:pStyle w:val="17"/>
              <w:bidi w:val="0"/>
              <w:rPr>
                <w:color w:val="auto"/>
                <w:highlight w:val="none"/>
              </w:rPr>
            </w:pPr>
            <w:r>
              <w:rPr>
                <w:color w:val="auto"/>
                <w:highlight w:val="none"/>
              </w:rPr>
              <w:t>60.0</w:t>
            </w:r>
          </w:p>
        </w:tc>
        <w:tc>
          <w:tcPr>
            <w:tcW w:w="185" w:type="pct"/>
            <w:shd w:val="clear" w:color="auto" w:fill="auto"/>
            <w:tcMar>
              <w:top w:w="0" w:type="dxa"/>
              <w:left w:w="0" w:type="dxa"/>
              <w:bottom w:w="0" w:type="dxa"/>
              <w:right w:w="0" w:type="dxa"/>
            </w:tcMar>
            <w:vAlign w:val="center"/>
          </w:tcPr>
          <w:p w14:paraId="2988E049">
            <w:pPr>
              <w:pStyle w:val="17"/>
              <w:bidi w:val="0"/>
              <w:rPr>
                <w:color w:val="auto"/>
                <w:highlight w:val="none"/>
              </w:rPr>
            </w:pPr>
            <w:r>
              <w:rPr>
                <w:color w:val="auto"/>
                <w:highlight w:val="none"/>
              </w:rPr>
              <w:t>60.0</w:t>
            </w:r>
          </w:p>
        </w:tc>
        <w:tc>
          <w:tcPr>
            <w:tcW w:w="163" w:type="pct"/>
            <w:shd w:val="clear" w:color="auto" w:fill="auto"/>
            <w:tcMar>
              <w:top w:w="0" w:type="dxa"/>
              <w:left w:w="0" w:type="dxa"/>
              <w:bottom w:w="0" w:type="dxa"/>
              <w:right w:w="0" w:type="dxa"/>
            </w:tcMar>
            <w:vAlign w:val="center"/>
          </w:tcPr>
          <w:p w14:paraId="7861ADAE">
            <w:pPr>
              <w:pStyle w:val="17"/>
              <w:bidi w:val="0"/>
              <w:rPr>
                <w:color w:val="auto"/>
                <w:highlight w:val="none"/>
              </w:rPr>
            </w:pPr>
            <w:r>
              <w:rPr>
                <w:color w:val="auto"/>
                <w:highlight w:val="none"/>
              </w:rPr>
              <w:t>60.0</w:t>
            </w:r>
          </w:p>
        </w:tc>
        <w:tc>
          <w:tcPr>
            <w:tcW w:w="277" w:type="pct"/>
            <w:shd w:val="clear" w:color="auto" w:fill="auto"/>
            <w:tcMar>
              <w:top w:w="0" w:type="dxa"/>
              <w:left w:w="0" w:type="dxa"/>
              <w:bottom w:w="0" w:type="dxa"/>
              <w:right w:w="0" w:type="dxa"/>
            </w:tcMar>
            <w:vAlign w:val="center"/>
          </w:tcPr>
          <w:p w14:paraId="1942A493">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7DF3DDF3">
            <w:pPr>
              <w:pStyle w:val="17"/>
              <w:bidi w:val="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14EA18B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50.0</w:t>
            </w:r>
          </w:p>
        </w:tc>
        <w:tc>
          <w:tcPr>
            <w:tcW w:w="288" w:type="pct"/>
            <w:shd w:val="clear" w:color="auto" w:fill="auto"/>
            <w:tcMar>
              <w:top w:w="0" w:type="dxa"/>
              <w:left w:w="0" w:type="dxa"/>
              <w:bottom w:w="0" w:type="dxa"/>
              <w:right w:w="0" w:type="dxa"/>
            </w:tcMar>
            <w:vAlign w:val="center"/>
          </w:tcPr>
          <w:p w14:paraId="40C1F03E">
            <w:pPr>
              <w:pStyle w:val="17"/>
              <w:bidi w:val="0"/>
              <w:ind w:firstLine="0" w:firstLineChars="0"/>
              <w:rPr>
                <w:rFonts w:hint="eastAsia" w:eastAsia="宋体"/>
                <w:color w:val="auto"/>
                <w:highlight w:val="none"/>
                <w:lang w:val="en-US" w:eastAsia="zh-CN"/>
              </w:rPr>
            </w:pPr>
            <w:r>
              <w:rPr>
                <w:rFonts w:hint="eastAsia"/>
                <w:color w:val="auto"/>
                <w:highlight w:val="none"/>
                <w:lang w:val="en-US" w:eastAsia="zh-CN"/>
              </w:rPr>
              <w:t>1</w:t>
            </w:r>
          </w:p>
        </w:tc>
      </w:tr>
      <w:tr w14:paraId="6CFA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539DD50">
            <w:pPr>
              <w:pStyle w:val="17"/>
              <w:bidi w:val="0"/>
              <w:rPr>
                <w:color w:val="auto"/>
                <w:highlight w:val="none"/>
              </w:rPr>
            </w:pPr>
            <w:r>
              <w:rPr>
                <w:color w:val="auto"/>
                <w:highlight w:val="none"/>
              </w:rPr>
              <w:t>2</w:t>
            </w:r>
          </w:p>
        </w:tc>
        <w:tc>
          <w:tcPr>
            <w:tcW w:w="234" w:type="pct"/>
            <w:shd w:val="clear" w:color="auto" w:fill="auto"/>
            <w:tcMar>
              <w:top w:w="0" w:type="dxa"/>
              <w:left w:w="0" w:type="dxa"/>
              <w:bottom w:w="0" w:type="dxa"/>
              <w:right w:w="0" w:type="dxa"/>
            </w:tcMar>
            <w:vAlign w:val="center"/>
          </w:tcPr>
          <w:p w14:paraId="263EBB10">
            <w:pPr>
              <w:pStyle w:val="17"/>
              <w:bidi w:val="0"/>
              <w:rPr>
                <w:color w:val="auto"/>
                <w:highlight w:val="none"/>
              </w:rPr>
            </w:pPr>
            <w:r>
              <w:rPr>
                <w:color w:val="auto"/>
                <w:highlight w:val="none"/>
              </w:rPr>
              <w:t>粗矿仓</w:t>
            </w:r>
          </w:p>
        </w:tc>
        <w:tc>
          <w:tcPr>
            <w:tcW w:w="482" w:type="pct"/>
            <w:shd w:val="clear" w:color="auto" w:fill="auto"/>
            <w:tcMar>
              <w:top w:w="0" w:type="dxa"/>
              <w:left w:w="0" w:type="dxa"/>
              <w:bottom w:w="0" w:type="dxa"/>
              <w:right w:w="0" w:type="dxa"/>
            </w:tcMar>
            <w:vAlign w:val="center"/>
          </w:tcPr>
          <w:p w14:paraId="7184E335">
            <w:pPr>
              <w:pStyle w:val="17"/>
              <w:bidi w:val="0"/>
              <w:rPr>
                <w:color w:val="auto"/>
                <w:highlight w:val="none"/>
              </w:rPr>
            </w:pPr>
            <w:r>
              <w:rPr>
                <w:color w:val="auto"/>
                <w:highlight w:val="none"/>
              </w:rPr>
              <w:t>振动给料机</w:t>
            </w:r>
          </w:p>
        </w:tc>
        <w:tc>
          <w:tcPr>
            <w:tcW w:w="344" w:type="pct"/>
            <w:shd w:val="clear" w:color="auto" w:fill="auto"/>
            <w:tcMar>
              <w:top w:w="0" w:type="dxa"/>
              <w:left w:w="0" w:type="dxa"/>
              <w:bottom w:w="0" w:type="dxa"/>
              <w:right w:w="0" w:type="dxa"/>
            </w:tcMar>
            <w:vAlign w:val="center"/>
          </w:tcPr>
          <w:p w14:paraId="10B915C4">
            <w:pPr>
              <w:pStyle w:val="17"/>
              <w:bidi w:val="0"/>
              <w:rPr>
                <w:color w:val="auto"/>
                <w:highlight w:val="none"/>
              </w:rPr>
            </w:pPr>
            <w:r>
              <w:rPr>
                <w:color w:val="auto"/>
                <w:highlight w:val="none"/>
              </w:rPr>
              <w:t>75</w:t>
            </w:r>
          </w:p>
        </w:tc>
        <w:tc>
          <w:tcPr>
            <w:tcW w:w="361" w:type="pct"/>
            <w:vMerge w:val="continue"/>
            <w:shd w:val="clear" w:color="auto" w:fill="auto"/>
            <w:tcMar>
              <w:top w:w="0" w:type="dxa"/>
              <w:left w:w="0" w:type="dxa"/>
              <w:bottom w:w="0" w:type="dxa"/>
              <w:right w:w="0" w:type="dxa"/>
            </w:tcMar>
            <w:vAlign w:val="center"/>
          </w:tcPr>
          <w:p w14:paraId="60EC3986">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05DC9629">
            <w:pPr>
              <w:pStyle w:val="17"/>
              <w:bidi w:val="0"/>
              <w:rPr>
                <w:color w:val="auto"/>
                <w:highlight w:val="none"/>
              </w:rPr>
            </w:pPr>
            <w:r>
              <w:rPr>
                <w:color w:val="auto"/>
                <w:highlight w:val="none"/>
              </w:rPr>
              <w:t>525.6</w:t>
            </w:r>
          </w:p>
        </w:tc>
        <w:tc>
          <w:tcPr>
            <w:tcW w:w="260" w:type="pct"/>
            <w:shd w:val="clear" w:color="auto" w:fill="auto"/>
            <w:tcMar>
              <w:top w:w="0" w:type="dxa"/>
              <w:left w:w="0" w:type="dxa"/>
              <w:bottom w:w="0" w:type="dxa"/>
              <w:right w:w="0" w:type="dxa"/>
            </w:tcMar>
            <w:vAlign w:val="center"/>
          </w:tcPr>
          <w:p w14:paraId="5548EF43">
            <w:pPr>
              <w:pStyle w:val="17"/>
              <w:bidi w:val="0"/>
              <w:rPr>
                <w:color w:val="auto"/>
                <w:highlight w:val="none"/>
              </w:rPr>
            </w:pPr>
            <w:r>
              <w:rPr>
                <w:color w:val="auto"/>
                <w:highlight w:val="none"/>
              </w:rPr>
              <w:t>-554</w:t>
            </w:r>
          </w:p>
        </w:tc>
        <w:tc>
          <w:tcPr>
            <w:tcW w:w="235" w:type="pct"/>
            <w:shd w:val="clear" w:color="auto" w:fill="auto"/>
            <w:tcMar>
              <w:top w:w="0" w:type="dxa"/>
              <w:left w:w="0" w:type="dxa"/>
              <w:bottom w:w="0" w:type="dxa"/>
              <w:right w:w="0" w:type="dxa"/>
            </w:tcMar>
            <w:vAlign w:val="center"/>
          </w:tcPr>
          <w:p w14:paraId="40295F87">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74FA9E19">
            <w:pPr>
              <w:pStyle w:val="17"/>
              <w:bidi w:val="0"/>
              <w:rPr>
                <w:color w:val="auto"/>
                <w:highlight w:val="none"/>
              </w:rPr>
            </w:pPr>
            <w:r>
              <w:rPr>
                <w:color w:val="auto"/>
                <w:highlight w:val="none"/>
              </w:rPr>
              <w:t>37.9</w:t>
            </w:r>
          </w:p>
        </w:tc>
        <w:tc>
          <w:tcPr>
            <w:tcW w:w="189" w:type="pct"/>
            <w:shd w:val="clear" w:color="auto" w:fill="auto"/>
            <w:tcMar>
              <w:top w:w="0" w:type="dxa"/>
              <w:left w:w="0" w:type="dxa"/>
              <w:bottom w:w="0" w:type="dxa"/>
              <w:right w:w="0" w:type="dxa"/>
            </w:tcMar>
            <w:vAlign w:val="center"/>
          </w:tcPr>
          <w:p w14:paraId="6B365783">
            <w:pPr>
              <w:pStyle w:val="17"/>
              <w:bidi w:val="0"/>
              <w:rPr>
                <w:color w:val="auto"/>
                <w:highlight w:val="none"/>
              </w:rPr>
            </w:pPr>
            <w:r>
              <w:rPr>
                <w:color w:val="auto"/>
                <w:highlight w:val="none"/>
              </w:rPr>
              <w:t>25.2</w:t>
            </w:r>
          </w:p>
        </w:tc>
        <w:tc>
          <w:tcPr>
            <w:tcW w:w="176" w:type="pct"/>
            <w:shd w:val="clear" w:color="auto" w:fill="auto"/>
            <w:tcMar>
              <w:top w:w="0" w:type="dxa"/>
              <w:left w:w="0" w:type="dxa"/>
              <w:bottom w:w="0" w:type="dxa"/>
              <w:right w:w="0" w:type="dxa"/>
            </w:tcMar>
            <w:vAlign w:val="center"/>
          </w:tcPr>
          <w:p w14:paraId="38207D00">
            <w:pPr>
              <w:pStyle w:val="17"/>
              <w:bidi w:val="0"/>
              <w:rPr>
                <w:color w:val="auto"/>
                <w:highlight w:val="none"/>
              </w:rPr>
            </w:pPr>
            <w:r>
              <w:rPr>
                <w:color w:val="auto"/>
                <w:highlight w:val="none"/>
              </w:rPr>
              <w:t>21.9</w:t>
            </w:r>
          </w:p>
        </w:tc>
        <w:tc>
          <w:tcPr>
            <w:tcW w:w="158" w:type="pct"/>
            <w:shd w:val="clear" w:color="auto" w:fill="auto"/>
            <w:tcMar>
              <w:top w:w="0" w:type="dxa"/>
              <w:left w:w="0" w:type="dxa"/>
              <w:bottom w:w="0" w:type="dxa"/>
              <w:right w:w="0" w:type="dxa"/>
            </w:tcMar>
            <w:vAlign w:val="center"/>
          </w:tcPr>
          <w:p w14:paraId="3BD23C63">
            <w:pPr>
              <w:pStyle w:val="17"/>
              <w:bidi w:val="0"/>
              <w:rPr>
                <w:color w:val="auto"/>
                <w:highlight w:val="none"/>
              </w:rPr>
            </w:pPr>
            <w:r>
              <w:rPr>
                <w:color w:val="auto"/>
                <w:highlight w:val="none"/>
              </w:rPr>
              <w:t>19.7</w:t>
            </w:r>
          </w:p>
        </w:tc>
        <w:tc>
          <w:tcPr>
            <w:tcW w:w="167" w:type="pct"/>
            <w:shd w:val="clear" w:color="auto" w:fill="auto"/>
            <w:tcMar>
              <w:top w:w="0" w:type="dxa"/>
              <w:left w:w="0" w:type="dxa"/>
              <w:bottom w:w="0" w:type="dxa"/>
              <w:right w:w="0" w:type="dxa"/>
            </w:tcMar>
            <w:vAlign w:val="center"/>
          </w:tcPr>
          <w:p w14:paraId="2BB6002C">
            <w:pPr>
              <w:pStyle w:val="17"/>
              <w:bidi w:val="0"/>
              <w:rPr>
                <w:color w:val="auto"/>
                <w:highlight w:val="none"/>
              </w:rPr>
            </w:pPr>
            <w:r>
              <w:rPr>
                <w:color w:val="auto"/>
                <w:highlight w:val="none"/>
              </w:rPr>
              <w:t>59.0</w:t>
            </w:r>
          </w:p>
        </w:tc>
        <w:tc>
          <w:tcPr>
            <w:tcW w:w="167" w:type="pct"/>
            <w:shd w:val="clear" w:color="auto" w:fill="auto"/>
            <w:tcMar>
              <w:top w:w="0" w:type="dxa"/>
              <w:left w:w="0" w:type="dxa"/>
              <w:bottom w:w="0" w:type="dxa"/>
              <w:right w:w="0" w:type="dxa"/>
            </w:tcMar>
            <w:vAlign w:val="center"/>
          </w:tcPr>
          <w:p w14:paraId="2814CAF7">
            <w:pPr>
              <w:pStyle w:val="17"/>
              <w:bidi w:val="0"/>
              <w:rPr>
                <w:color w:val="auto"/>
                <w:highlight w:val="none"/>
              </w:rPr>
            </w:pPr>
            <w:r>
              <w:rPr>
                <w:color w:val="auto"/>
                <w:highlight w:val="none"/>
              </w:rPr>
              <w:t>59.0</w:t>
            </w:r>
          </w:p>
        </w:tc>
        <w:tc>
          <w:tcPr>
            <w:tcW w:w="185" w:type="pct"/>
            <w:shd w:val="clear" w:color="auto" w:fill="auto"/>
            <w:tcMar>
              <w:top w:w="0" w:type="dxa"/>
              <w:left w:w="0" w:type="dxa"/>
              <w:bottom w:w="0" w:type="dxa"/>
              <w:right w:w="0" w:type="dxa"/>
            </w:tcMar>
            <w:vAlign w:val="center"/>
          </w:tcPr>
          <w:p w14:paraId="5B75BD93">
            <w:pPr>
              <w:pStyle w:val="17"/>
              <w:bidi w:val="0"/>
              <w:rPr>
                <w:color w:val="auto"/>
                <w:highlight w:val="none"/>
              </w:rPr>
            </w:pPr>
            <w:r>
              <w:rPr>
                <w:color w:val="auto"/>
                <w:highlight w:val="none"/>
              </w:rPr>
              <w:t>59.0</w:t>
            </w:r>
          </w:p>
        </w:tc>
        <w:tc>
          <w:tcPr>
            <w:tcW w:w="163" w:type="pct"/>
            <w:shd w:val="clear" w:color="auto" w:fill="auto"/>
            <w:tcMar>
              <w:top w:w="0" w:type="dxa"/>
              <w:left w:w="0" w:type="dxa"/>
              <w:bottom w:w="0" w:type="dxa"/>
              <w:right w:w="0" w:type="dxa"/>
            </w:tcMar>
            <w:vAlign w:val="center"/>
          </w:tcPr>
          <w:p w14:paraId="726B590F">
            <w:pPr>
              <w:pStyle w:val="17"/>
              <w:bidi w:val="0"/>
              <w:rPr>
                <w:color w:val="auto"/>
                <w:highlight w:val="none"/>
              </w:rPr>
            </w:pPr>
            <w:r>
              <w:rPr>
                <w:color w:val="auto"/>
                <w:highlight w:val="none"/>
              </w:rPr>
              <w:t>59.0</w:t>
            </w:r>
          </w:p>
        </w:tc>
        <w:tc>
          <w:tcPr>
            <w:tcW w:w="277" w:type="pct"/>
            <w:shd w:val="clear" w:color="auto" w:fill="auto"/>
            <w:tcMar>
              <w:top w:w="0" w:type="dxa"/>
              <w:left w:w="0" w:type="dxa"/>
              <w:bottom w:w="0" w:type="dxa"/>
              <w:right w:w="0" w:type="dxa"/>
            </w:tcMar>
            <w:vAlign w:val="center"/>
          </w:tcPr>
          <w:p w14:paraId="440041CC">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247FC6EF">
            <w:pPr>
              <w:pStyle w:val="17"/>
              <w:bidi w:val="0"/>
              <w:rPr>
                <w:rFonts w:hint="default" w:eastAsia="宋体"/>
                <w:color w:val="auto"/>
                <w:highlight w:val="none"/>
                <w:lang w:val="en-US" w:eastAsia="zh-CN"/>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51212BB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49.0</w:t>
            </w:r>
          </w:p>
        </w:tc>
        <w:tc>
          <w:tcPr>
            <w:tcW w:w="288" w:type="pct"/>
            <w:shd w:val="clear" w:color="auto" w:fill="auto"/>
            <w:tcMar>
              <w:top w:w="0" w:type="dxa"/>
              <w:left w:w="0" w:type="dxa"/>
              <w:bottom w:w="0" w:type="dxa"/>
              <w:right w:w="0" w:type="dxa"/>
            </w:tcMar>
            <w:vAlign w:val="center"/>
          </w:tcPr>
          <w:p w14:paraId="5D444DF0">
            <w:pPr>
              <w:pStyle w:val="17"/>
              <w:bidi w:val="0"/>
              <w:ind w:firstLine="0" w:firstLineChars="0"/>
              <w:rPr>
                <w:rFonts w:hint="eastAsia" w:eastAsia="宋体"/>
                <w:color w:val="auto"/>
                <w:highlight w:val="none"/>
                <w:lang w:val="en-US" w:eastAsia="zh-CN"/>
              </w:rPr>
            </w:pPr>
            <w:r>
              <w:rPr>
                <w:rFonts w:hint="eastAsia"/>
                <w:color w:val="auto"/>
                <w:highlight w:val="none"/>
                <w:lang w:val="en-US" w:eastAsia="zh-CN"/>
              </w:rPr>
              <w:t>1</w:t>
            </w:r>
          </w:p>
        </w:tc>
      </w:tr>
      <w:tr w14:paraId="464C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F9075FB">
            <w:pPr>
              <w:pStyle w:val="17"/>
              <w:bidi w:val="0"/>
              <w:rPr>
                <w:color w:val="auto"/>
                <w:highlight w:val="none"/>
              </w:rPr>
            </w:pPr>
            <w:r>
              <w:rPr>
                <w:color w:val="auto"/>
                <w:highlight w:val="none"/>
              </w:rPr>
              <w:t>3</w:t>
            </w:r>
          </w:p>
        </w:tc>
        <w:tc>
          <w:tcPr>
            <w:tcW w:w="234" w:type="pct"/>
            <w:shd w:val="clear" w:color="auto" w:fill="auto"/>
            <w:tcMar>
              <w:top w:w="0" w:type="dxa"/>
              <w:left w:w="0" w:type="dxa"/>
              <w:bottom w:w="0" w:type="dxa"/>
              <w:right w:w="0" w:type="dxa"/>
            </w:tcMar>
            <w:vAlign w:val="center"/>
          </w:tcPr>
          <w:p w14:paraId="6D7245CB">
            <w:pPr>
              <w:pStyle w:val="17"/>
              <w:bidi w:val="0"/>
              <w:rPr>
                <w:color w:val="auto"/>
                <w:highlight w:val="none"/>
              </w:rPr>
            </w:pPr>
            <w:r>
              <w:rPr>
                <w:color w:val="auto"/>
                <w:highlight w:val="none"/>
              </w:rPr>
              <w:t>粗矿仓</w:t>
            </w:r>
          </w:p>
        </w:tc>
        <w:tc>
          <w:tcPr>
            <w:tcW w:w="482" w:type="pct"/>
            <w:shd w:val="clear" w:color="auto" w:fill="auto"/>
            <w:tcMar>
              <w:top w:w="0" w:type="dxa"/>
              <w:left w:w="0" w:type="dxa"/>
              <w:bottom w:w="0" w:type="dxa"/>
              <w:right w:w="0" w:type="dxa"/>
            </w:tcMar>
            <w:vAlign w:val="center"/>
          </w:tcPr>
          <w:p w14:paraId="5FC4D201">
            <w:pPr>
              <w:pStyle w:val="17"/>
              <w:bidi w:val="0"/>
              <w:rPr>
                <w:color w:val="auto"/>
                <w:highlight w:val="none"/>
              </w:rPr>
            </w:pPr>
            <w:r>
              <w:rPr>
                <w:color w:val="auto"/>
                <w:highlight w:val="none"/>
              </w:rPr>
              <w:t>电动单梁悬挂起重机</w:t>
            </w:r>
          </w:p>
        </w:tc>
        <w:tc>
          <w:tcPr>
            <w:tcW w:w="344" w:type="pct"/>
            <w:shd w:val="clear" w:color="auto" w:fill="auto"/>
            <w:tcMar>
              <w:top w:w="0" w:type="dxa"/>
              <w:left w:w="0" w:type="dxa"/>
              <w:bottom w:w="0" w:type="dxa"/>
              <w:right w:w="0" w:type="dxa"/>
            </w:tcMar>
            <w:vAlign w:val="center"/>
          </w:tcPr>
          <w:p w14:paraId="5F370869">
            <w:pPr>
              <w:pStyle w:val="17"/>
              <w:bidi w:val="0"/>
              <w:rPr>
                <w:color w:val="auto"/>
                <w:highlight w:val="none"/>
              </w:rPr>
            </w:pPr>
            <w:r>
              <w:rPr>
                <w:color w:val="auto"/>
                <w:highlight w:val="none"/>
              </w:rPr>
              <w:t>65</w:t>
            </w:r>
          </w:p>
        </w:tc>
        <w:tc>
          <w:tcPr>
            <w:tcW w:w="361" w:type="pct"/>
            <w:vMerge w:val="continue"/>
            <w:shd w:val="clear" w:color="auto" w:fill="auto"/>
            <w:tcMar>
              <w:top w:w="0" w:type="dxa"/>
              <w:left w:w="0" w:type="dxa"/>
              <w:bottom w:w="0" w:type="dxa"/>
              <w:right w:w="0" w:type="dxa"/>
            </w:tcMar>
            <w:vAlign w:val="center"/>
          </w:tcPr>
          <w:p w14:paraId="7DA114CB">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0F2F035C">
            <w:pPr>
              <w:pStyle w:val="17"/>
              <w:bidi w:val="0"/>
              <w:rPr>
                <w:color w:val="auto"/>
                <w:highlight w:val="none"/>
              </w:rPr>
            </w:pPr>
            <w:r>
              <w:rPr>
                <w:color w:val="auto"/>
                <w:highlight w:val="none"/>
              </w:rPr>
              <w:t>533.1</w:t>
            </w:r>
          </w:p>
        </w:tc>
        <w:tc>
          <w:tcPr>
            <w:tcW w:w="260" w:type="pct"/>
            <w:shd w:val="clear" w:color="auto" w:fill="auto"/>
            <w:tcMar>
              <w:top w:w="0" w:type="dxa"/>
              <w:left w:w="0" w:type="dxa"/>
              <w:bottom w:w="0" w:type="dxa"/>
              <w:right w:w="0" w:type="dxa"/>
            </w:tcMar>
            <w:vAlign w:val="center"/>
          </w:tcPr>
          <w:p w14:paraId="6A4FE58C">
            <w:pPr>
              <w:pStyle w:val="17"/>
              <w:bidi w:val="0"/>
              <w:rPr>
                <w:color w:val="auto"/>
                <w:highlight w:val="none"/>
              </w:rPr>
            </w:pPr>
            <w:r>
              <w:rPr>
                <w:color w:val="auto"/>
                <w:highlight w:val="none"/>
              </w:rPr>
              <w:t>-567.1</w:t>
            </w:r>
          </w:p>
        </w:tc>
        <w:tc>
          <w:tcPr>
            <w:tcW w:w="235" w:type="pct"/>
            <w:shd w:val="clear" w:color="auto" w:fill="auto"/>
            <w:tcMar>
              <w:top w:w="0" w:type="dxa"/>
              <w:left w:w="0" w:type="dxa"/>
              <w:bottom w:w="0" w:type="dxa"/>
              <w:right w:w="0" w:type="dxa"/>
            </w:tcMar>
            <w:vAlign w:val="center"/>
          </w:tcPr>
          <w:p w14:paraId="7E8DE034">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23887ABB">
            <w:pPr>
              <w:pStyle w:val="17"/>
              <w:bidi w:val="0"/>
              <w:rPr>
                <w:color w:val="auto"/>
                <w:highlight w:val="none"/>
              </w:rPr>
            </w:pPr>
            <w:r>
              <w:rPr>
                <w:color w:val="auto"/>
                <w:highlight w:val="none"/>
              </w:rPr>
              <w:t>30.4</w:t>
            </w:r>
          </w:p>
        </w:tc>
        <w:tc>
          <w:tcPr>
            <w:tcW w:w="189" w:type="pct"/>
            <w:shd w:val="clear" w:color="auto" w:fill="auto"/>
            <w:tcMar>
              <w:top w:w="0" w:type="dxa"/>
              <w:left w:w="0" w:type="dxa"/>
              <w:bottom w:w="0" w:type="dxa"/>
              <w:right w:w="0" w:type="dxa"/>
            </w:tcMar>
            <w:vAlign w:val="center"/>
          </w:tcPr>
          <w:p w14:paraId="6AAC340A">
            <w:pPr>
              <w:pStyle w:val="17"/>
              <w:bidi w:val="0"/>
              <w:rPr>
                <w:color w:val="auto"/>
                <w:highlight w:val="none"/>
              </w:rPr>
            </w:pPr>
            <w:r>
              <w:rPr>
                <w:color w:val="auto"/>
                <w:highlight w:val="none"/>
              </w:rPr>
              <w:t>12.1</w:t>
            </w:r>
          </w:p>
        </w:tc>
        <w:tc>
          <w:tcPr>
            <w:tcW w:w="176" w:type="pct"/>
            <w:shd w:val="clear" w:color="auto" w:fill="auto"/>
            <w:tcMar>
              <w:top w:w="0" w:type="dxa"/>
              <w:left w:w="0" w:type="dxa"/>
              <w:bottom w:w="0" w:type="dxa"/>
              <w:right w:w="0" w:type="dxa"/>
            </w:tcMar>
            <w:vAlign w:val="center"/>
          </w:tcPr>
          <w:p w14:paraId="0FA4DD09">
            <w:pPr>
              <w:pStyle w:val="17"/>
              <w:bidi w:val="0"/>
              <w:rPr>
                <w:color w:val="auto"/>
                <w:highlight w:val="none"/>
              </w:rPr>
            </w:pPr>
            <w:r>
              <w:rPr>
                <w:color w:val="auto"/>
                <w:highlight w:val="none"/>
              </w:rPr>
              <w:t>29.4</w:t>
            </w:r>
          </w:p>
        </w:tc>
        <w:tc>
          <w:tcPr>
            <w:tcW w:w="158" w:type="pct"/>
            <w:shd w:val="clear" w:color="auto" w:fill="auto"/>
            <w:tcMar>
              <w:top w:w="0" w:type="dxa"/>
              <w:left w:w="0" w:type="dxa"/>
              <w:bottom w:w="0" w:type="dxa"/>
              <w:right w:w="0" w:type="dxa"/>
            </w:tcMar>
            <w:vAlign w:val="center"/>
          </w:tcPr>
          <w:p w14:paraId="6A4A4FE7">
            <w:pPr>
              <w:pStyle w:val="17"/>
              <w:bidi w:val="0"/>
              <w:rPr>
                <w:color w:val="auto"/>
                <w:highlight w:val="none"/>
              </w:rPr>
            </w:pPr>
            <w:r>
              <w:rPr>
                <w:color w:val="auto"/>
                <w:highlight w:val="none"/>
              </w:rPr>
              <w:t>32.8</w:t>
            </w:r>
          </w:p>
        </w:tc>
        <w:tc>
          <w:tcPr>
            <w:tcW w:w="167" w:type="pct"/>
            <w:shd w:val="clear" w:color="auto" w:fill="auto"/>
            <w:tcMar>
              <w:top w:w="0" w:type="dxa"/>
              <w:left w:w="0" w:type="dxa"/>
              <w:bottom w:w="0" w:type="dxa"/>
              <w:right w:w="0" w:type="dxa"/>
            </w:tcMar>
            <w:vAlign w:val="center"/>
          </w:tcPr>
          <w:p w14:paraId="277CB798">
            <w:pPr>
              <w:pStyle w:val="17"/>
              <w:bidi w:val="0"/>
              <w:rPr>
                <w:color w:val="auto"/>
                <w:highlight w:val="none"/>
              </w:rPr>
            </w:pPr>
            <w:r>
              <w:rPr>
                <w:color w:val="auto"/>
                <w:highlight w:val="none"/>
              </w:rPr>
              <w:t>49.0</w:t>
            </w:r>
          </w:p>
        </w:tc>
        <w:tc>
          <w:tcPr>
            <w:tcW w:w="167" w:type="pct"/>
            <w:shd w:val="clear" w:color="auto" w:fill="auto"/>
            <w:tcMar>
              <w:top w:w="0" w:type="dxa"/>
              <w:left w:w="0" w:type="dxa"/>
              <w:bottom w:w="0" w:type="dxa"/>
              <w:right w:w="0" w:type="dxa"/>
            </w:tcMar>
            <w:vAlign w:val="center"/>
          </w:tcPr>
          <w:p w14:paraId="1F1C36F7">
            <w:pPr>
              <w:pStyle w:val="17"/>
              <w:bidi w:val="0"/>
              <w:rPr>
                <w:color w:val="auto"/>
                <w:highlight w:val="none"/>
              </w:rPr>
            </w:pPr>
            <w:r>
              <w:rPr>
                <w:color w:val="auto"/>
                <w:highlight w:val="none"/>
              </w:rPr>
              <w:t>49.1</w:t>
            </w:r>
          </w:p>
        </w:tc>
        <w:tc>
          <w:tcPr>
            <w:tcW w:w="185" w:type="pct"/>
            <w:shd w:val="clear" w:color="auto" w:fill="auto"/>
            <w:tcMar>
              <w:top w:w="0" w:type="dxa"/>
              <w:left w:w="0" w:type="dxa"/>
              <w:bottom w:w="0" w:type="dxa"/>
              <w:right w:w="0" w:type="dxa"/>
            </w:tcMar>
            <w:vAlign w:val="center"/>
          </w:tcPr>
          <w:p w14:paraId="14DF0855">
            <w:pPr>
              <w:pStyle w:val="17"/>
              <w:bidi w:val="0"/>
              <w:rPr>
                <w:color w:val="auto"/>
                <w:highlight w:val="none"/>
              </w:rPr>
            </w:pPr>
            <w:r>
              <w:rPr>
                <w:color w:val="auto"/>
                <w:highlight w:val="none"/>
              </w:rPr>
              <w:t>49.0</w:t>
            </w:r>
          </w:p>
        </w:tc>
        <w:tc>
          <w:tcPr>
            <w:tcW w:w="163" w:type="pct"/>
            <w:shd w:val="clear" w:color="auto" w:fill="auto"/>
            <w:tcMar>
              <w:top w:w="0" w:type="dxa"/>
              <w:left w:w="0" w:type="dxa"/>
              <w:bottom w:w="0" w:type="dxa"/>
              <w:right w:w="0" w:type="dxa"/>
            </w:tcMar>
            <w:vAlign w:val="center"/>
          </w:tcPr>
          <w:p w14:paraId="20BB3794">
            <w:pPr>
              <w:pStyle w:val="17"/>
              <w:bidi w:val="0"/>
              <w:rPr>
                <w:color w:val="auto"/>
                <w:highlight w:val="none"/>
              </w:rPr>
            </w:pPr>
            <w:r>
              <w:rPr>
                <w:color w:val="auto"/>
                <w:highlight w:val="none"/>
              </w:rPr>
              <w:t>49.0</w:t>
            </w:r>
          </w:p>
        </w:tc>
        <w:tc>
          <w:tcPr>
            <w:tcW w:w="277" w:type="pct"/>
            <w:shd w:val="clear" w:color="auto" w:fill="auto"/>
            <w:tcMar>
              <w:top w:w="0" w:type="dxa"/>
              <w:left w:w="0" w:type="dxa"/>
              <w:bottom w:w="0" w:type="dxa"/>
              <w:right w:w="0" w:type="dxa"/>
            </w:tcMar>
            <w:vAlign w:val="center"/>
          </w:tcPr>
          <w:p w14:paraId="5DE57F9E">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60D84037">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0376341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39.0</w:t>
            </w:r>
          </w:p>
        </w:tc>
        <w:tc>
          <w:tcPr>
            <w:tcW w:w="288" w:type="pct"/>
            <w:shd w:val="clear" w:color="auto" w:fill="auto"/>
            <w:tcMar>
              <w:top w:w="0" w:type="dxa"/>
              <w:left w:w="0" w:type="dxa"/>
              <w:bottom w:w="0" w:type="dxa"/>
              <w:right w:w="0" w:type="dxa"/>
            </w:tcMar>
            <w:vAlign w:val="center"/>
          </w:tcPr>
          <w:p w14:paraId="7810CB04">
            <w:pPr>
              <w:pStyle w:val="17"/>
              <w:bidi w:val="0"/>
              <w:ind w:firstLine="0" w:firstLineChars="0"/>
              <w:rPr>
                <w:color w:val="auto"/>
                <w:highlight w:val="none"/>
              </w:rPr>
            </w:pPr>
            <w:r>
              <w:rPr>
                <w:rFonts w:hint="eastAsia"/>
                <w:color w:val="auto"/>
                <w:highlight w:val="none"/>
                <w:lang w:val="en-US" w:eastAsia="zh-CN"/>
              </w:rPr>
              <w:t>1</w:t>
            </w:r>
          </w:p>
        </w:tc>
      </w:tr>
      <w:tr w14:paraId="6CC7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1AEFBA4F">
            <w:pPr>
              <w:pStyle w:val="17"/>
              <w:bidi w:val="0"/>
              <w:rPr>
                <w:color w:val="auto"/>
                <w:highlight w:val="none"/>
              </w:rPr>
            </w:pPr>
            <w:r>
              <w:rPr>
                <w:color w:val="auto"/>
                <w:highlight w:val="none"/>
              </w:rPr>
              <w:t>4</w:t>
            </w:r>
          </w:p>
        </w:tc>
        <w:tc>
          <w:tcPr>
            <w:tcW w:w="234" w:type="pct"/>
            <w:shd w:val="clear" w:color="auto" w:fill="auto"/>
            <w:tcMar>
              <w:top w:w="0" w:type="dxa"/>
              <w:left w:w="0" w:type="dxa"/>
              <w:bottom w:w="0" w:type="dxa"/>
              <w:right w:w="0" w:type="dxa"/>
            </w:tcMar>
            <w:vAlign w:val="center"/>
          </w:tcPr>
          <w:p w14:paraId="4341145A">
            <w:pPr>
              <w:pStyle w:val="17"/>
              <w:bidi w:val="0"/>
              <w:rPr>
                <w:color w:val="auto"/>
                <w:highlight w:val="none"/>
              </w:rPr>
            </w:pPr>
            <w:r>
              <w:rPr>
                <w:color w:val="auto"/>
                <w:highlight w:val="none"/>
              </w:rPr>
              <w:t>粗矿仓</w:t>
            </w:r>
          </w:p>
        </w:tc>
        <w:tc>
          <w:tcPr>
            <w:tcW w:w="482" w:type="pct"/>
            <w:shd w:val="clear" w:color="auto" w:fill="auto"/>
            <w:tcMar>
              <w:top w:w="0" w:type="dxa"/>
              <w:left w:w="0" w:type="dxa"/>
              <w:bottom w:w="0" w:type="dxa"/>
              <w:right w:w="0" w:type="dxa"/>
            </w:tcMar>
            <w:vAlign w:val="center"/>
          </w:tcPr>
          <w:p w14:paraId="09FEA804">
            <w:pPr>
              <w:pStyle w:val="17"/>
              <w:bidi w:val="0"/>
              <w:rPr>
                <w:color w:val="auto"/>
                <w:highlight w:val="none"/>
              </w:rPr>
            </w:pPr>
            <w:r>
              <w:rPr>
                <w:color w:val="auto"/>
                <w:highlight w:val="none"/>
              </w:rPr>
              <w:t>环裢手拉葫芦,4台（按点声源组预测）</w:t>
            </w:r>
          </w:p>
        </w:tc>
        <w:tc>
          <w:tcPr>
            <w:tcW w:w="344" w:type="pct"/>
            <w:shd w:val="clear" w:color="auto" w:fill="auto"/>
            <w:tcMar>
              <w:top w:w="0" w:type="dxa"/>
              <w:left w:w="0" w:type="dxa"/>
              <w:bottom w:w="0" w:type="dxa"/>
              <w:right w:w="0" w:type="dxa"/>
            </w:tcMar>
            <w:vAlign w:val="center"/>
          </w:tcPr>
          <w:p w14:paraId="6301668C">
            <w:pPr>
              <w:pStyle w:val="17"/>
              <w:bidi w:val="0"/>
              <w:rPr>
                <w:rFonts w:hint="eastAsia" w:eastAsia="宋体"/>
                <w:color w:val="auto"/>
                <w:highlight w:val="none"/>
                <w:lang w:eastAsia="zh-CN"/>
              </w:rPr>
            </w:pPr>
            <w:r>
              <w:rPr>
                <w:color w:val="auto"/>
                <w:highlight w:val="none"/>
              </w:rPr>
              <w:t>65（等效后：71.0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39B2C128">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5846A042">
            <w:pPr>
              <w:pStyle w:val="17"/>
              <w:bidi w:val="0"/>
              <w:rPr>
                <w:color w:val="auto"/>
                <w:highlight w:val="none"/>
              </w:rPr>
            </w:pPr>
            <w:r>
              <w:rPr>
                <w:color w:val="auto"/>
                <w:highlight w:val="none"/>
              </w:rPr>
              <w:t>547.1</w:t>
            </w:r>
          </w:p>
        </w:tc>
        <w:tc>
          <w:tcPr>
            <w:tcW w:w="260" w:type="pct"/>
            <w:shd w:val="clear" w:color="auto" w:fill="auto"/>
            <w:tcMar>
              <w:top w:w="0" w:type="dxa"/>
              <w:left w:w="0" w:type="dxa"/>
              <w:bottom w:w="0" w:type="dxa"/>
              <w:right w:w="0" w:type="dxa"/>
            </w:tcMar>
            <w:vAlign w:val="center"/>
          </w:tcPr>
          <w:p w14:paraId="7D468FC2">
            <w:pPr>
              <w:pStyle w:val="17"/>
              <w:bidi w:val="0"/>
              <w:rPr>
                <w:color w:val="auto"/>
                <w:highlight w:val="none"/>
              </w:rPr>
            </w:pPr>
            <w:r>
              <w:rPr>
                <w:color w:val="auto"/>
                <w:highlight w:val="none"/>
              </w:rPr>
              <w:t>-564.3</w:t>
            </w:r>
          </w:p>
        </w:tc>
        <w:tc>
          <w:tcPr>
            <w:tcW w:w="235" w:type="pct"/>
            <w:shd w:val="clear" w:color="auto" w:fill="auto"/>
            <w:tcMar>
              <w:top w:w="0" w:type="dxa"/>
              <w:left w:w="0" w:type="dxa"/>
              <w:bottom w:w="0" w:type="dxa"/>
              <w:right w:w="0" w:type="dxa"/>
            </w:tcMar>
            <w:vAlign w:val="center"/>
          </w:tcPr>
          <w:p w14:paraId="18A5323E">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4F816220">
            <w:pPr>
              <w:pStyle w:val="17"/>
              <w:bidi w:val="0"/>
              <w:rPr>
                <w:color w:val="auto"/>
                <w:highlight w:val="none"/>
              </w:rPr>
            </w:pPr>
            <w:r>
              <w:rPr>
                <w:color w:val="auto"/>
                <w:highlight w:val="none"/>
              </w:rPr>
              <w:t>16.4</w:t>
            </w:r>
          </w:p>
        </w:tc>
        <w:tc>
          <w:tcPr>
            <w:tcW w:w="189" w:type="pct"/>
            <w:shd w:val="clear" w:color="auto" w:fill="auto"/>
            <w:tcMar>
              <w:top w:w="0" w:type="dxa"/>
              <w:left w:w="0" w:type="dxa"/>
              <w:bottom w:w="0" w:type="dxa"/>
              <w:right w:w="0" w:type="dxa"/>
            </w:tcMar>
            <w:vAlign w:val="center"/>
          </w:tcPr>
          <w:p w14:paraId="657E900D">
            <w:pPr>
              <w:pStyle w:val="17"/>
              <w:bidi w:val="0"/>
              <w:rPr>
                <w:color w:val="auto"/>
                <w:highlight w:val="none"/>
              </w:rPr>
            </w:pPr>
            <w:r>
              <w:rPr>
                <w:color w:val="auto"/>
                <w:highlight w:val="none"/>
              </w:rPr>
              <w:t>14.9</w:t>
            </w:r>
          </w:p>
        </w:tc>
        <w:tc>
          <w:tcPr>
            <w:tcW w:w="176" w:type="pct"/>
            <w:shd w:val="clear" w:color="auto" w:fill="auto"/>
            <w:tcMar>
              <w:top w:w="0" w:type="dxa"/>
              <w:left w:w="0" w:type="dxa"/>
              <w:bottom w:w="0" w:type="dxa"/>
              <w:right w:w="0" w:type="dxa"/>
            </w:tcMar>
            <w:vAlign w:val="center"/>
          </w:tcPr>
          <w:p w14:paraId="3243A323">
            <w:pPr>
              <w:pStyle w:val="17"/>
              <w:bidi w:val="0"/>
              <w:rPr>
                <w:color w:val="auto"/>
                <w:highlight w:val="none"/>
              </w:rPr>
            </w:pPr>
            <w:r>
              <w:rPr>
                <w:color w:val="auto"/>
                <w:highlight w:val="none"/>
              </w:rPr>
              <w:t>43.4</w:t>
            </w:r>
          </w:p>
        </w:tc>
        <w:tc>
          <w:tcPr>
            <w:tcW w:w="158" w:type="pct"/>
            <w:shd w:val="clear" w:color="auto" w:fill="auto"/>
            <w:tcMar>
              <w:top w:w="0" w:type="dxa"/>
              <w:left w:w="0" w:type="dxa"/>
              <w:bottom w:w="0" w:type="dxa"/>
              <w:right w:w="0" w:type="dxa"/>
            </w:tcMar>
            <w:vAlign w:val="center"/>
          </w:tcPr>
          <w:p w14:paraId="26CE91BC">
            <w:pPr>
              <w:pStyle w:val="17"/>
              <w:bidi w:val="0"/>
              <w:rPr>
                <w:color w:val="auto"/>
                <w:highlight w:val="none"/>
              </w:rPr>
            </w:pPr>
            <w:r>
              <w:rPr>
                <w:color w:val="auto"/>
                <w:highlight w:val="none"/>
              </w:rPr>
              <w:t>30.0</w:t>
            </w:r>
          </w:p>
        </w:tc>
        <w:tc>
          <w:tcPr>
            <w:tcW w:w="167" w:type="pct"/>
            <w:shd w:val="clear" w:color="auto" w:fill="auto"/>
            <w:tcMar>
              <w:top w:w="0" w:type="dxa"/>
              <w:left w:w="0" w:type="dxa"/>
              <w:bottom w:w="0" w:type="dxa"/>
              <w:right w:w="0" w:type="dxa"/>
            </w:tcMar>
            <w:vAlign w:val="center"/>
          </w:tcPr>
          <w:p w14:paraId="28BEC9E9">
            <w:pPr>
              <w:pStyle w:val="17"/>
              <w:bidi w:val="0"/>
              <w:rPr>
                <w:color w:val="auto"/>
                <w:highlight w:val="none"/>
              </w:rPr>
            </w:pPr>
            <w:r>
              <w:rPr>
                <w:color w:val="auto"/>
                <w:highlight w:val="none"/>
              </w:rPr>
              <w:t>55.0</w:t>
            </w:r>
          </w:p>
        </w:tc>
        <w:tc>
          <w:tcPr>
            <w:tcW w:w="167" w:type="pct"/>
            <w:shd w:val="clear" w:color="auto" w:fill="auto"/>
            <w:tcMar>
              <w:top w:w="0" w:type="dxa"/>
              <w:left w:w="0" w:type="dxa"/>
              <w:bottom w:w="0" w:type="dxa"/>
              <w:right w:w="0" w:type="dxa"/>
            </w:tcMar>
            <w:vAlign w:val="center"/>
          </w:tcPr>
          <w:p w14:paraId="4E1C0D08">
            <w:pPr>
              <w:pStyle w:val="17"/>
              <w:bidi w:val="0"/>
              <w:rPr>
                <w:color w:val="auto"/>
                <w:highlight w:val="none"/>
              </w:rPr>
            </w:pPr>
            <w:r>
              <w:rPr>
                <w:color w:val="auto"/>
                <w:highlight w:val="none"/>
              </w:rPr>
              <w:t>55.0</w:t>
            </w:r>
          </w:p>
        </w:tc>
        <w:tc>
          <w:tcPr>
            <w:tcW w:w="185" w:type="pct"/>
            <w:shd w:val="clear" w:color="auto" w:fill="auto"/>
            <w:tcMar>
              <w:top w:w="0" w:type="dxa"/>
              <w:left w:w="0" w:type="dxa"/>
              <w:bottom w:w="0" w:type="dxa"/>
              <w:right w:w="0" w:type="dxa"/>
            </w:tcMar>
            <w:vAlign w:val="center"/>
          </w:tcPr>
          <w:p w14:paraId="6A12CE7D">
            <w:pPr>
              <w:pStyle w:val="17"/>
              <w:bidi w:val="0"/>
              <w:rPr>
                <w:color w:val="auto"/>
                <w:highlight w:val="none"/>
              </w:rPr>
            </w:pPr>
            <w:r>
              <w:rPr>
                <w:color w:val="auto"/>
                <w:highlight w:val="none"/>
              </w:rPr>
              <w:t>55.0</w:t>
            </w:r>
          </w:p>
        </w:tc>
        <w:tc>
          <w:tcPr>
            <w:tcW w:w="163" w:type="pct"/>
            <w:shd w:val="clear" w:color="auto" w:fill="auto"/>
            <w:tcMar>
              <w:top w:w="0" w:type="dxa"/>
              <w:left w:w="0" w:type="dxa"/>
              <w:bottom w:w="0" w:type="dxa"/>
              <w:right w:w="0" w:type="dxa"/>
            </w:tcMar>
            <w:vAlign w:val="center"/>
          </w:tcPr>
          <w:p w14:paraId="608AD888">
            <w:pPr>
              <w:pStyle w:val="17"/>
              <w:bidi w:val="0"/>
              <w:rPr>
                <w:color w:val="auto"/>
                <w:highlight w:val="none"/>
              </w:rPr>
            </w:pPr>
            <w:r>
              <w:rPr>
                <w:color w:val="auto"/>
                <w:highlight w:val="none"/>
              </w:rPr>
              <w:t>55.0</w:t>
            </w:r>
          </w:p>
        </w:tc>
        <w:tc>
          <w:tcPr>
            <w:tcW w:w="277" w:type="pct"/>
            <w:shd w:val="clear" w:color="auto" w:fill="auto"/>
            <w:tcMar>
              <w:top w:w="0" w:type="dxa"/>
              <w:left w:w="0" w:type="dxa"/>
              <w:bottom w:w="0" w:type="dxa"/>
              <w:right w:w="0" w:type="dxa"/>
            </w:tcMar>
            <w:vAlign w:val="center"/>
          </w:tcPr>
          <w:p w14:paraId="72686765">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4F6F8DB4">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1E8E714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45.0</w:t>
            </w:r>
          </w:p>
        </w:tc>
        <w:tc>
          <w:tcPr>
            <w:tcW w:w="288" w:type="pct"/>
            <w:shd w:val="clear" w:color="auto" w:fill="auto"/>
            <w:tcMar>
              <w:top w:w="0" w:type="dxa"/>
              <w:left w:w="0" w:type="dxa"/>
              <w:bottom w:w="0" w:type="dxa"/>
              <w:right w:w="0" w:type="dxa"/>
            </w:tcMar>
            <w:vAlign w:val="center"/>
          </w:tcPr>
          <w:p w14:paraId="39D62FDD">
            <w:pPr>
              <w:pStyle w:val="17"/>
              <w:bidi w:val="0"/>
              <w:ind w:firstLine="0" w:firstLineChars="0"/>
              <w:rPr>
                <w:color w:val="auto"/>
                <w:highlight w:val="none"/>
              </w:rPr>
            </w:pPr>
            <w:r>
              <w:rPr>
                <w:rFonts w:hint="eastAsia"/>
                <w:color w:val="auto"/>
                <w:highlight w:val="none"/>
                <w:lang w:val="en-US" w:eastAsia="zh-CN"/>
              </w:rPr>
              <w:t>1</w:t>
            </w:r>
          </w:p>
        </w:tc>
      </w:tr>
      <w:tr w14:paraId="49A5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A076BBC">
            <w:pPr>
              <w:pStyle w:val="17"/>
              <w:bidi w:val="0"/>
              <w:rPr>
                <w:color w:val="auto"/>
                <w:highlight w:val="none"/>
              </w:rPr>
            </w:pPr>
            <w:r>
              <w:rPr>
                <w:color w:val="auto"/>
                <w:highlight w:val="none"/>
              </w:rPr>
              <w:t>5</w:t>
            </w:r>
          </w:p>
        </w:tc>
        <w:tc>
          <w:tcPr>
            <w:tcW w:w="234" w:type="pct"/>
            <w:shd w:val="clear" w:color="auto" w:fill="auto"/>
            <w:tcMar>
              <w:top w:w="0" w:type="dxa"/>
              <w:left w:w="0" w:type="dxa"/>
              <w:bottom w:w="0" w:type="dxa"/>
              <w:right w:w="0" w:type="dxa"/>
            </w:tcMar>
            <w:vAlign w:val="center"/>
          </w:tcPr>
          <w:p w14:paraId="7CB1EFA6">
            <w:pPr>
              <w:pStyle w:val="17"/>
              <w:bidi w:val="0"/>
              <w:rPr>
                <w:color w:val="auto"/>
                <w:highlight w:val="none"/>
              </w:rPr>
            </w:pPr>
            <w:r>
              <w:rPr>
                <w:color w:val="auto"/>
                <w:highlight w:val="none"/>
              </w:rPr>
              <w:t>粗矿仓</w:t>
            </w:r>
          </w:p>
        </w:tc>
        <w:tc>
          <w:tcPr>
            <w:tcW w:w="482" w:type="pct"/>
            <w:shd w:val="clear" w:color="auto" w:fill="auto"/>
            <w:tcMar>
              <w:top w:w="0" w:type="dxa"/>
              <w:left w:w="0" w:type="dxa"/>
              <w:bottom w:w="0" w:type="dxa"/>
              <w:right w:w="0" w:type="dxa"/>
            </w:tcMar>
            <w:vAlign w:val="center"/>
          </w:tcPr>
          <w:p w14:paraId="4D7E5E8B">
            <w:pPr>
              <w:pStyle w:val="17"/>
              <w:bidi w:val="0"/>
              <w:rPr>
                <w:color w:val="auto"/>
                <w:highlight w:val="none"/>
              </w:rPr>
            </w:pPr>
            <w:r>
              <w:rPr>
                <w:color w:val="auto"/>
                <w:highlight w:val="none"/>
              </w:rPr>
              <w:t>液下泵,4台（按点声源组预测）</w:t>
            </w:r>
          </w:p>
        </w:tc>
        <w:tc>
          <w:tcPr>
            <w:tcW w:w="344" w:type="pct"/>
            <w:shd w:val="clear" w:color="auto" w:fill="auto"/>
            <w:tcMar>
              <w:top w:w="0" w:type="dxa"/>
              <w:left w:w="0" w:type="dxa"/>
              <w:bottom w:w="0" w:type="dxa"/>
              <w:right w:w="0" w:type="dxa"/>
            </w:tcMar>
            <w:vAlign w:val="center"/>
          </w:tcPr>
          <w:p w14:paraId="22D91C2C">
            <w:pPr>
              <w:pStyle w:val="17"/>
              <w:bidi w:val="0"/>
              <w:rPr>
                <w:rFonts w:hint="eastAsia" w:eastAsia="宋体"/>
                <w:color w:val="auto"/>
                <w:highlight w:val="none"/>
                <w:lang w:eastAsia="zh-CN"/>
              </w:rPr>
            </w:pPr>
            <w:r>
              <w:rPr>
                <w:color w:val="auto"/>
                <w:highlight w:val="none"/>
              </w:rPr>
              <w:t>75（等效后：81.0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1C9A60F0">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4F772AB5">
            <w:pPr>
              <w:pStyle w:val="17"/>
              <w:bidi w:val="0"/>
              <w:rPr>
                <w:color w:val="auto"/>
                <w:highlight w:val="none"/>
              </w:rPr>
            </w:pPr>
            <w:r>
              <w:rPr>
                <w:color w:val="auto"/>
                <w:highlight w:val="none"/>
              </w:rPr>
              <w:t>520</w:t>
            </w:r>
          </w:p>
        </w:tc>
        <w:tc>
          <w:tcPr>
            <w:tcW w:w="260" w:type="pct"/>
            <w:shd w:val="clear" w:color="auto" w:fill="auto"/>
            <w:tcMar>
              <w:top w:w="0" w:type="dxa"/>
              <w:left w:w="0" w:type="dxa"/>
              <w:bottom w:w="0" w:type="dxa"/>
              <w:right w:w="0" w:type="dxa"/>
            </w:tcMar>
            <w:vAlign w:val="center"/>
          </w:tcPr>
          <w:p w14:paraId="2F578E0E">
            <w:pPr>
              <w:pStyle w:val="17"/>
              <w:bidi w:val="0"/>
              <w:rPr>
                <w:color w:val="auto"/>
                <w:highlight w:val="none"/>
              </w:rPr>
            </w:pPr>
            <w:r>
              <w:rPr>
                <w:color w:val="auto"/>
                <w:highlight w:val="none"/>
              </w:rPr>
              <w:t>-557.7</w:t>
            </w:r>
          </w:p>
        </w:tc>
        <w:tc>
          <w:tcPr>
            <w:tcW w:w="235" w:type="pct"/>
            <w:shd w:val="clear" w:color="auto" w:fill="auto"/>
            <w:tcMar>
              <w:top w:w="0" w:type="dxa"/>
              <w:left w:w="0" w:type="dxa"/>
              <w:bottom w:w="0" w:type="dxa"/>
              <w:right w:w="0" w:type="dxa"/>
            </w:tcMar>
            <w:vAlign w:val="center"/>
          </w:tcPr>
          <w:p w14:paraId="61A62D6A">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7EAA7763">
            <w:pPr>
              <w:pStyle w:val="17"/>
              <w:bidi w:val="0"/>
              <w:rPr>
                <w:color w:val="auto"/>
                <w:highlight w:val="none"/>
              </w:rPr>
            </w:pPr>
            <w:r>
              <w:rPr>
                <w:color w:val="auto"/>
                <w:highlight w:val="none"/>
              </w:rPr>
              <w:t>43.5</w:t>
            </w:r>
          </w:p>
        </w:tc>
        <w:tc>
          <w:tcPr>
            <w:tcW w:w="189" w:type="pct"/>
            <w:shd w:val="clear" w:color="auto" w:fill="auto"/>
            <w:tcMar>
              <w:top w:w="0" w:type="dxa"/>
              <w:left w:w="0" w:type="dxa"/>
              <w:bottom w:w="0" w:type="dxa"/>
              <w:right w:w="0" w:type="dxa"/>
            </w:tcMar>
            <w:vAlign w:val="center"/>
          </w:tcPr>
          <w:p w14:paraId="45A80D08">
            <w:pPr>
              <w:pStyle w:val="17"/>
              <w:bidi w:val="0"/>
              <w:rPr>
                <w:color w:val="auto"/>
                <w:highlight w:val="none"/>
              </w:rPr>
            </w:pPr>
            <w:r>
              <w:rPr>
                <w:color w:val="auto"/>
                <w:highlight w:val="none"/>
              </w:rPr>
              <w:t>21.5</w:t>
            </w:r>
          </w:p>
        </w:tc>
        <w:tc>
          <w:tcPr>
            <w:tcW w:w="176" w:type="pct"/>
            <w:shd w:val="clear" w:color="auto" w:fill="auto"/>
            <w:tcMar>
              <w:top w:w="0" w:type="dxa"/>
              <w:left w:w="0" w:type="dxa"/>
              <w:bottom w:w="0" w:type="dxa"/>
              <w:right w:w="0" w:type="dxa"/>
            </w:tcMar>
            <w:vAlign w:val="center"/>
          </w:tcPr>
          <w:p w14:paraId="177DE0AE">
            <w:pPr>
              <w:pStyle w:val="17"/>
              <w:bidi w:val="0"/>
              <w:rPr>
                <w:color w:val="auto"/>
                <w:highlight w:val="none"/>
              </w:rPr>
            </w:pPr>
            <w:r>
              <w:rPr>
                <w:color w:val="auto"/>
                <w:highlight w:val="none"/>
              </w:rPr>
              <w:t>16.3</w:t>
            </w:r>
          </w:p>
        </w:tc>
        <w:tc>
          <w:tcPr>
            <w:tcW w:w="158" w:type="pct"/>
            <w:shd w:val="clear" w:color="auto" w:fill="auto"/>
            <w:tcMar>
              <w:top w:w="0" w:type="dxa"/>
              <w:left w:w="0" w:type="dxa"/>
              <w:bottom w:w="0" w:type="dxa"/>
              <w:right w:w="0" w:type="dxa"/>
            </w:tcMar>
            <w:vAlign w:val="center"/>
          </w:tcPr>
          <w:p w14:paraId="368DCF5F">
            <w:pPr>
              <w:pStyle w:val="17"/>
              <w:bidi w:val="0"/>
              <w:rPr>
                <w:color w:val="auto"/>
                <w:highlight w:val="none"/>
              </w:rPr>
            </w:pPr>
            <w:r>
              <w:rPr>
                <w:color w:val="auto"/>
                <w:highlight w:val="none"/>
              </w:rPr>
              <w:t>23.4</w:t>
            </w:r>
          </w:p>
        </w:tc>
        <w:tc>
          <w:tcPr>
            <w:tcW w:w="167" w:type="pct"/>
            <w:shd w:val="clear" w:color="auto" w:fill="auto"/>
            <w:tcMar>
              <w:top w:w="0" w:type="dxa"/>
              <w:left w:w="0" w:type="dxa"/>
              <w:bottom w:w="0" w:type="dxa"/>
              <w:right w:w="0" w:type="dxa"/>
            </w:tcMar>
            <w:vAlign w:val="center"/>
          </w:tcPr>
          <w:p w14:paraId="562D8984">
            <w:pPr>
              <w:pStyle w:val="17"/>
              <w:bidi w:val="0"/>
              <w:rPr>
                <w:color w:val="auto"/>
                <w:highlight w:val="none"/>
              </w:rPr>
            </w:pPr>
            <w:r>
              <w:rPr>
                <w:color w:val="auto"/>
                <w:highlight w:val="none"/>
              </w:rPr>
              <w:t>65.0</w:t>
            </w:r>
          </w:p>
        </w:tc>
        <w:tc>
          <w:tcPr>
            <w:tcW w:w="167" w:type="pct"/>
            <w:shd w:val="clear" w:color="auto" w:fill="auto"/>
            <w:tcMar>
              <w:top w:w="0" w:type="dxa"/>
              <w:left w:w="0" w:type="dxa"/>
              <w:bottom w:w="0" w:type="dxa"/>
              <w:right w:w="0" w:type="dxa"/>
            </w:tcMar>
            <w:vAlign w:val="center"/>
          </w:tcPr>
          <w:p w14:paraId="3D151FA0">
            <w:pPr>
              <w:pStyle w:val="17"/>
              <w:bidi w:val="0"/>
              <w:rPr>
                <w:color w:val="auto"/>
                <w:highlight w:val="none"/>
              </w:rPr>
            </w:pPr>
            <w:r>
              <w:rPr>
                <w:color w:val="auto"/>
                <w:highlight w:val="none"/>
              </w:rPr>
              <w:t>65.0</w:t>
            </w:r>
          </w:p>
        </w:tc>
        <w:tc>
          <w:tcPr>
            <w:tcW w:w="185" w:type="pct"/>
            <w:shd w:val="clear" w:color="auto" w:fill="auto"/>
            <w:tcMar>
              <w:top w:w="0" w:type="dxa"/>
              <w:left w:w="0" w:type="dxa"/>
              <w:bottom w:w="0" w:type="dxa"/>
              <w:right w:w="0" w:type="dxa"/>
            </w:tcMar>
            <w:vAlign w:val="center"/>
          </w:tcPr>
          <w:p w14:paraId="3BE846BC">
            <w:pPr>
              <w:pStyle w:val="17"/>
              <w:bidi w:val="0"/>
              <w:rPr>
                <w:color w:val="auto"/>
                <w:highlight w:val="none"/>
              </w:rPr>
            </w:pPr>
            <w:r>
              <w:rPr>
                <w:color w:val="auto"/>
                <w:highlight w:val="none"/>
              </w:rPr>
              <w:t>65.0</w:t>
            </w:r>
          </w:p>
        </w:tc>
        <w:tc>
          <w:tcPr>
            <w:tcW w:w="163" w:type="pct"/>
            <w:shd w:val="clear" w:color="auto" w:fill="auto"/>
            <w:tcMar>
              <w:top w:w="0" w:type="dxa"/>
              <w:left w:w="0" w:type="dxa"/>
              <w:bottom w:w="0" w:type="dxa"/>
              <w:right w:w="0" w:type="dxa"/>
            </w:tcMar>
            <w:vAlign w:val="center"/>
          </w:tcPr>
          <w:p w14:paraId="3E598D06">
            <w:pPr>
              <w:pStyle w:val="17"/>
              <w:bidi w:val="0"/>
              <w:rPr>
                <w:color w:val="auto"/>
                <w:highlight w:val="none"/>
              </w:rPr>
            </w:pPr>
            <w:r>
              <w:rPr>
                <w:color w:val="auto"/>
                <w:highlight w:val="none"/>
              </w:rPr>
              <w:t>65.0</w:t>
            </w:r>
          </w:p>
        </w:tc>
        <w:tc>
          <w:tcPr>
            <w:tcW w:w="277" w:type="pct"/>
            <w:shd w:val="clear" w:color="auto" w:fill="auto"/>
            <w:tcMar>
              <w:top w:w="0" w:type="dxa"/>
              <w:left w:w="0" w:type="dxa"/>
              <w:bottom w:w="0" w:type="dxa"/>
              <w:right w:w="0" w:type="dxa"/>
            </w:tcMar>
            <w:vAlign w:val="center"/>
          </w:tcPr>
          <w:p w14:paraId="28CE7BDC">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6915A145">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3A3E7C1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55.0</w:t>
            </w:r>
          </w:p>
        </w:tc>
        <w:tc>
          <w:tcPr>
            <w:tcW w:w="288" w:type="pct"/>
            <w:shd w:val="clear" w:color="auto" w:fill="auto"/>
            <w:tcMar>
              <w:top w:w="0" w:type="dxa"/>
              <w:left w:w="0" w:type="dxa"/>
              <w:bottom w:w="0" w:type="dxa"/>
              <w:right w:w="0" w:type="dxa"/>
            </w:tcMar>
            <w:vAlign w:val="center"/>
          </w:tcPr>
          <w:p w14:paraId="7C2A81BD">
            <w:pPr>
              <w:pStyle w:val="17"/>
              <w:bidi w:val="0"/>
              <w:ind w:firstLine="0" w:firstLineChars="0"/>
              <w:rPr>
                <w:color w:val="auto"/>
                <w:highlight w:val="none"/>
              </w:rPr>
            </w:pPr>
            <w:r>
              <w:rPr>
                <w:rFonts w:hint="eastAsia"/>
                <w:color w:val="auto"/>
                <w:highlight w:val="none"/>
                <w:lang w:val="en-US" w:eastAsia="zh-CN"/>
              </w:rPr>
              <w:t>1</w:t>
            </w:r>
          </w:p>
        </w:tc>
      </w:tr>
      <w:tr w14:paraId="28A3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F445435">
            <w:pPr>
              <w:pStyle w:val="17"/>
              <w:bidi w:val="0"/>
              <w:rPr>
                <w:color w:val="auto"/>
                <w:highlight w:val="none"/>
              </w:rPr>
            </w:pPr>
            <w:r>
              <w:rPr>
                <w:color w:val="auto"/>
                <w:highlight w:val="none"/>
              </w:rPr>
              <w:t>6</w:t>
            </w:r>
          </w:p>
        </w:tc>
        <w:tc>
          <w:tcPr>
            <w:tcW w:w="234" w:type="pct"/>
            <w:shd w:val="clear" w:color="auto" w:fill="auto"/>
            <w:tcMar>
              <w:top w:w="0" w:type="dxa"/>
              <w:left w:w="0" w:type="dxa"/>
              <w:bottom w:w="0" w:type="dxa"/>
              <w:right w:w="0" w:type="dxa"/>
            </w:tcMar>
            <w:vAlign w:val="center"/>
          </w:tcPr>
          <w:p w14:paraId="1FE54102">
            <w:pPr>
              <w:pStyle w:val="17"/>
              <w:bidi w:val="0"/>
              <w:rPr>
                <w:color w:val="auto"/>
                <w:highlight w:val="none"/>
              </w:rPr>
            </w:pPr>
            <w:r>
              <w:rPr>
                <w:color w:val="auto"/>
                <w:highlight w:val="none"/>
              </w:rPr>
              <w:t>中细碎厂房</w:t>
            </w:r>
          </w:p>
        </w:tc>
        <w:tc>
          <w:tcPr>
            <w:tcW w:w="482" w:type="pct"/>
            <w:shd w:val="clear" w:color="auto" w:fill="auto"/>
            <w:tcMar>
              <w:top w:w="0" w:type="dxa"/>
              <w:left w:w="0" w:type="dxa"/>
              <w:bottom w:w="0" w:type="dxa"/>
              <w:right w:w="0" w:type="dxa"/>
            </w:tcMar>
            <w:vAlign w:val="center"/>
          </w:tcPr>
          <w:p w14:paraId="6187A14B">
            <w:pPr>
              <w:pStyle w:val="17"/>
              <w:bidi w:val="0"/>
              <w:rPr>
                <w:color w:val="auto"/>
                <w:highlight w:val="none"/>
              </w:rPr>
            </w:pPr>
            <w:r>
              <w:rPr>
                <w:color w:val="auto"/>
                <w:highlight w:val="none"/>
              </w:rPr>
              <w:t>中碎标准圆锥破碎机</w:t>
            </w:r>
          </w:p>
        </w:tc>
        <w:tc>
          <w:tcPr>
            <w:tcW w:w="344" w:type="pct"/>
            <w:shd w:val="clear" w:color="auto" w:fill="auto"/>
            <w:tcMar>
              <w:top w:w="0" w:type="dxa"/>
              <w:left w:w="0" w:type="dxa"/>
              <w:bottom w:w="0" w:type="dxa"/>
              <w:right w:w="0" w:type="dxa"/>
            </w:tcMar>
            <w:vAlign w:val="center"/>
          </w:tcPr>
          <w:p w14:paraId="7EEE8495">
            <w:pPr>
              <w:pStyle w:val="17"/>
              <w:bidi w:val="0"/>
              <w:rPr>
                <w:color w:val="auto"/>
                <w:highlight w:val="none"/>
              </w:rPr>
            </w:pPr>
            <w:r>
              <w:rPr>
                <w:color w:val="auto"/>
                <w:highlight w:val="none"/>
              </w:rPr>
              <w:t>80</w:t>
            </w:r>
          </w:p>
        </w:tc>
        <w:tc>
          <w:tcPr>
            <w:tcW w:w="361" w:type="pct"/>
            <w:vMerge w:val="continue"/>
            <w:shd w:val="clear" w:color="auto" w:fill="auto"/>
            <w:tcMar>
              <w:top w:w="0" w:type="dxa"/>
              <w:left w:w="0" w:type="dxa"/>
              <w:bottom w:w="0" w:type="dxa"/>
              <w:right w:w="0" w:type="dxa"/>
            </w:tcMar>
            <w:vAlign w:val="center"/>
          </w:tcPr>
          <w:p w14:paraId="7458AAAF">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117A0A66">
            <w:pPr>
              <w:pStyle w:val="17"/>
              <w:bidi w:val="0"/>
              <w:rPr>
                <w:color w:val="auto"/>
                <w:highlight w:val="none"/>
              </w:rPr>
            </w:pPr>
            <w:r>
              <w:rPr>
                <w:color w:val="auto"/>
                <w:highlight w:val="none"/>
              </w:rPr>
              <w:t>316.2</w:t>
            </w:r>
          </w:p>
        </w:tc>
        <w:tc>
          <w:tcPr>
            <w:tcW w:w="260" w:type="pct"/>
            <w:shd w:val="clear" w:color="auto" w:fill="auto"/>
            <w:tcMar>
              <w:top w:w="0" w:type="dxa"/>
              <w:left w:w="0" w:type="dxa"/>
              <w:bottom w:w="0" w:type="dxa"/>
              <w:right w:w="0" w:type="dxa"/>
            </w:tcMar>
            <w:vAlign w:val="center"/>
          </w:tcPr>
          <w:p w14:paraId="3A27F21E">
            <w:pPr>
              <w:pStyle w:val="17"/>
              <w:bidi w:val="0"/>
              <w:rPr>
                <w:color w:val="auto"/>
                <w:highlight w:val="none"/>
              </w:rPr>
            </w:pPr>
            <w:r>
              <w:rPr>
                <w:color w:val="auto"/>
                <w:highlight w:val="none"/>
              </w:rPr>
              <w:t>-656.8</w:t>
            </w:r>
          </w:p>
        </w:tc>
        <w:tc>
          <w:tcPr>
            <w:tcW w:w="235" w:type="pct"/>
            <w:shd w:val="clear" w:color="auto" w:fill="auto"/>
            <w:tcMar>
              <w:top w:w="0" w:type="dxa"/>
              <w:left w:w="0" w:type="dxa"/>
              <w:bottom w:w="0" w:type="dxa"/>
              <w:right w:w="0" w:type="dxa"/>
            </w:tcMar>
            <w:vAlign w:val="center"/>
          </w:tcPr>
          <w:p w14:paraId="3FD4B30E">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1C922409">
            <w:pPr>
              <w:pStyle w:val="17"/>
              <w:bidi w:val="0"/>
              <w:rPr>
                <w:color w:val="auto"/>
                <w:highlight w:val="none"/>
              </w:rPr>
            </w:pPr>
            <w:r>
              <w:rPr>
                <w:color w:val="auto"/>
                <w:highlight w:val="none"/>
              </w:rPr>
              <w:t>24.4</w:t>
            </w:r>
          </w:p>
        </w:tc>
        <w:tc>
          <w:tcPr>
            <w:tcW w:w="189" w:type="pct"/>
            <w:shd w:val="clear" w:color="auto" w:fill="auto"/>
            <w:tcMar>
              <w:top w:w="0" w:type="dxa"/>
              <w:left w:w="0" w:type="dxa"/>
              <w:bottom w:w="0" w:type="dxa"/>
              <w:right w:w="0" w:type="dxa"/>
            </w:tcMar>
            <w:vAlign w:val="center"/>
          </w:tcPr>
          <w:p w14:paraId="60ABA0DE">
            <w:pPr>
              <w:pStyle w:val="17"/>
              <w:bidi w:val="0"/>
              <w:rPr>
                <w:color w:val="auto"/>
                <w:highlight w:val="none"/>
              </w:rPr>
            </w:pPr>
            <w:r>
              <w:rPr>
                <w:color w:val="auto"/>
                <w:highlight w:val="none"/>
              </w:rPr>
              <w:t>32.4</w:t>
            </w:r>
          </w:p>
        </w:tc>
        <w:tc>
          <w:tcPr>
            <w:tcW w:w="176" w:type="pct"/>
            <w:shd w:val="clear" w:color="auto" w:fill="auto"/>
            <w:tcMar>
              <w:top w:w="0" w:type="dxa"/>
              <w:left w:w="0" w:type="dxa"/>
              <w:bottom w:w="0" w:type="dxa"/>
              <w:right w:w="0" w:type="dxa"/>
            </w:tcMar>
            <w:vAlign w:val="center"/>
          </w:tcPr>
          <w:p w14:paraId="7AE8B375">
            <w:pPr>
              <w:pStyle w:val="17"/>
              <w:bidi w:val="0"/>
              <w:rPr>
                <w:color w:val="auto"/>
                <w:highlight w:val="none"/>
              </w:rPr>
            </w:pPr>
            <w:r>
              <w:rPr>
                <w:color w:val="auto"/>
                <w:highlight w:val="none"/>
              </w:rPr>
              <w:t>87.8</w:t>
            </w:r>
          </w:p>
        </w:tc>
        <w:tc>
          <w:tcPr>
            <w:tcW w:w="158" w:type="pct"/>
            <w:shd w:val="clear" w:color="auto" w:fill="auto"/>
            <w:tcMar>
              <w:top w:w="0" w:type="dxa"/>
              <w:left w:w="0" w:type="dxa"/>
              <w:bottom w:w="0" w:type="dxa"/>
              <w:right w:w="0" w:type="dxa"/>
            </w:tcMar>
            <w:vAlign w:val="center"/>
          </w:tcPr>
          <w:p w14:paraId="124BFC4F">
            <w:pPr>
              <w:pStyle w:val="17"/>
              <w:bidi w:val="0"/>
              <w:rPr>
                <w:color w:val="auto"/>
                <w:highlight w:val="none"/>
              </w:rPr>
            </w:pPr>
            <w:r>
              <w:rPr>
                <w:color w:val="auto"/>
                <w:highlight w:val="none"/>
              </w:rPr>
              <w:t>19.9</w:t>
            </w:r>
          </w:p>
        </w:tc>
        <w:tc>
          <w:tcPr>
            <w:tcW w:w="167" w:type="pct"/>
            <w:shd w:val="clear" w:color="auto" w:fill="auto"/>
            <w:tcMar>
              <w:top w:w="0" w:type="dxa"/>
              <w:left w:w="0" w:type="dxa"/>
              <w:bottom w:w="0" w:type="dxa"/>
              <w:right w:w="0" w:type="dxa"/>
            </w:tcMar>
            <w:vAlign w:val="center"/>
          </w:tcPr>
          <w:p w14:paraId="42DE656C">
            <w:pPr>
              <w:pStyle w:val="17"/>
              <w:bidi w:val="0"/>
              <w:rPr>
                <w:color w:val="auto"/>
                <w:highlight w:val="none"/>
              </w:rPr>
            </w:pPr>
            <w:r>
              <w:rPr>
                <w:color w:val="auto"/>
                <w:highlight w:val="none"/>
              </w:rPr>
              <w:t>62.0</w:t>
            </w:r>
          </w:p>
        </w:tc>
        <w:tc>
          <w:tcPr>
            <w:tcW w:w="167" w:type="pct"/>
            <w:shd w:val="clear" w:color="auto" w:fill="auto"/>
            <w:tcMar>
              <w:top w:w="0" w:type="dxa"/>
              <w:left w:w="0" w:type="dxa"/>
              <w:bottom w:w="0" w:type="dxa"/>
              <w:right w:w="0" w:type="dxa"/>
            </w:tcMar>
            <w:vAlign w:val="center"/>
          </w:tcPr>
          <w:p w14:paraId="619910F4">
            <w:pPr>
              <w:pStyle w:val="17"/>
              <w:bidi w:val="0"/>
              <w:rPr>
                <w:color w:val="auto"/>
                <w:highlight w:val="none"/>
              </w:rPr>
            </w:pPr>
            <w:r>
              <w:rPr>
                <w:color w:val="auto"/>
                <w:highlight w:val="none"/>
              </w:rPr>
              <w:t>62.0</w:t>
            </w:r>
          </w:p>
        </w:tc>
        <w:tc>
          <w:tcPr>
            <w:tcW w:w="185" w:type="pct"/>
            <w:shd w:val="clear" w:color="auto" w:fill="auto"/>
            <w:tcMar>
              <w:top w:w="0" w:type="dxa"/>
              <w:left w:w="0" w:type="dxa"/>
              <w:bottom w:w="0" w:type="dxa"/>
              <w:right w:w="0" w:type="dxa"/>
            </w:tcMar>
            <w:vAlign w:val="center"/>
          </w:tcPr>
          <w:p w14:paraId="263D0062">
            <w:pPr>
              <w:pStyle w:val="17"/>
              <w:bidi w:val="0"/>
              <w:rPr>
                <w:color w:val="auto"/>
                <w:highlight w:val="none"/>
              </w:rPr>
            </w:pPr>
            <w:r>
              <w:rPr>
                <w:color w:val="auto"/>
                <w:highlight w:val="none"/>
              </w:rPr>
              <w:t>62.0</w:t>
            </w:r>
          </w:p>
        </w:tc>
        <w:tc>
          <w:tcPr>
            <w:tcW w:w="163" w:type="pct"/>
            <w:shd w:val="clear" w:color="auto" w:fill="auto"/>
            <w:tcMar>
              <w:top w:w="0" w:type="dxa"/>
              <w:left w:w="0" w:type="dxa"/>
              <w:bottom w:w="0" w:type="dxa"/>
              <w:right w:w="0" w:type="dxa"/>
            </w:tcMar>
            <w:vAlign w:val="center"/>
          </w:tcPr>
          <w:p w14:paraId="0A0FCF01">
            <w:pPr>
              <w:pStyle w:val="17"/>
              <w:bidi w:val="0"/>
              <w:rPr>
                <w:color w:val="auto"/>
                <w:highlight w:val="none"/>
              </w:rPr>
            </w:pPr>
            <w:r>
              <w:rPr>
                <w:color w:val="auto"/>
                <w:highlight w:val="none"/>
              </w:rPr>
              <w:t>62.1</w:t>
            </w:r>
          </w:p>
        </w:tc>
        <w:tc>
          <w:tcPr>
            <w:tcW w:w="277" w:type="pct"/>
            <w:shd w:val="clear" w:color="auto" w:fill="auto"/>
            <w:tcMar>
              <w:top w:w="0" w:type="dxa"/>
              <w:left w:w="0" w:type="dxa"/>
              <w:bottom w:w="0" w:type="dxa"/>
              <w:right w:w="0" w:type="dxa"/>
            </w:tcMar>
            <w:vAlign w:val="center"/>
          </w:tcPr>
          <w:p w14:paraId="353440D1">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74EA81EA">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79BC343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52.0</w:t>
            </w:r>
          </w:p>
        </w:tc>
        <w:tc>
          <w:tcPr>
            <w:tcW w:w="288" w:type="pct"/>
            <w:shd w:val="clear" w:color="auto" w:fill="auto"/>
            <w:tcMar>
              <w:top w:w="0" w:type="dxa"/>
              <w:left w:w="0" w:type="dxa"/>
              <w:bottom w:w="0" w:type="dxa"/>
              <w:right w:w="0" w:type="dxa"/>
            </w:tcMar>
            <w:vAlign w:val="center"/>
          </w:tcPr>
          <w:p w14:paraId="21CE6BD9">
            <w:pPr>
              <w:pStyle w:val="17"/>
              <w:bidi w:val="0"/>
              <w:ind w:firstLine="0" w:firstLineChars="0"/>
              <w:rPr>
                <w:color w:val="auto"/>
                <w:highlight w:val="none"/>
              </w:rPr>
            </w:pPr>
            <w:r>
              <w:rPr>
                <w:rFonts w:hint="eastAsia"/>
                <w:color w:val="auto"/>
                <w:highlight w:val="none"/>
                <w:lang w:val="en-US" w:eastAsia="zh-CN"/>
              </w:rPr>
              <w:t>1</w:t>
            </w:r>
          </w:p>
        </w:tc>
      </w:tr>
      <w:tr w14:paraId="795E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E4FC300">
            <w:pPr>
              <w:pStyle w:val="17"/>
              <w:bidi w:val="0"/>
              <w:rPr>
                <w:color w:val="auto"/>
                <w:highlight w:val="none"/>
              </w:rPr>
            </w:pPr>
            <w:r>
              <w:rPr>
                <w:color w:val="auto"/>
                <w:highlight w:val="none"/>
              </w:rPr>
              <w:t>7</w:t>
            </w:r>
          </w:p>
        </w:tc>
        <w:tc>
          <w:tcPr>
            <w:tcW w:w="234" w:type="pct"/>
            <w:shd w:val="clear" w:color="auto" w:fill="auto"/>
            <w:tcMar>
              <w:top w:w="0" w:type="dxa"/>
              <w:left w:w="0" w:type="dxa"/>
              <w:bottom w:w="0" w:type="dxa"/>
              <w:right w:w="0" w:type="dxa"/>
            </w:tcMar>
            <w:vAlign w:val="center"/>
          </w:tcPr>
          <w:p w14:paraId="6EA1A366">
            <w:pPr>
              <w:pStyle w:val="17"/>
              <w:bidi w:val="0"/>
              <w:rPr>
                <w:color w:val="auto"/>
                <w:highlight w:val="none"/>
              </w:rPr>
            </w:pPr>
            <w:r>
              <w:rPr>
                <w:color w:val="auto"/>
                <w:highlight w:val="none"/>
              </w:rPr>
              <w:t>中细碎厂房</w:t>
            </w:r>
          </w:p>
        </w:tc>
        <w:tc>
          <w:tcPr>
            <w:tcW w:w="482" w:type="pct"/>
            <w:shd w:val="clear" w:color="auto" w:fill="auto"/>
            <w:tcMar>
              <w:top w:w="0" w:type="dxa"/>
              <w:left w:w="0" w:type="dxa"/>
              <w:bottom w:w="0" w:type="dxa"/>
              <w:right w:w="0" w:type="dxa"/>
            </w:tcMar>
            <w:vAlign w:val="center"/>
          </w:tcPr>
          <w:p w14:paraId="10F6B630">
            <w:pPr>
              <w:pStyle w:val="17"/>
              <w:bidi w:val="0"/>
              <w:rPr>
                <w:color w:val="auto"/>
                <w:highlight w:val="none"/>
              </w:rPr>
            </w:pPr>
            <w:r>
              <w:rPr>
                <w:color w:val="auto"/>
                <w:highlight w:val="none"/>
              </w:rPr>
              <w:t>细碎短头圆锥破碎机</w:t>
            </w:r>
          </w:p>
        </w:tc>
        <w:tc>
          <w:tcPr>
            <w:tcW w:w="344" w:type="pct"/>
            <w:shd w:val="clear" w:color="auto" w:fill="auto"/>
            <w:tcMar>
              <w:top w:w="0" w:type="dxa"/>
              <w:left w:w="0" w:type="dxa"/>
              <w:bottom w:w="0" w:type="dxa"/>
              <w:right w:w="0" w:type="dxa"/>
            </w:tcMar>
            <w:vAlign w:val="center"/>
          </w:tcPr>
          <w:p w14:paraId="163597B1">
            <w:pPr>
              <w:pStyle w:val="17"/>
              <w:bidi w:val="0"/>
              <w:rPr>
                <w:color w:val="auto"/>
                <w:highlight w:val="none"/>
              </w:rPr>
            </w:pPr>
            <w:r>
              <w:rPr>
                <w:color w:val="auto"/>
                <w:highlight w:val="none"/>
              </w:rPr>
              <w:t>80</w:t>
            </w:r>
          </w:p>
        </w:tc>
        <w:tc>
          <w:tcPr>
            <w:tcW w:w="361" w:type="pct"/>
            <w:vMerge w:val="continue"/>
            <w:shd w:val="clear" w:color="auto" w:fill="auto"/>
            <w:tcMar>
              <w:top w:w="0" w:type="dxa"/>
              <w:left w:w="0" w:type="dxa"/>
              <w:bottom w:w="0" w:type="dxa"/>
              <w:right w:w="0" w:type="dxa"/>
            </w:tcMar>
            <w:vAlign w:val="center"/>
          </w:tcPr>
          <w:p w14:paraId="46B5ECBE">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510CEE4">
            <w:pPr>
              <w:pStyle w:val="17"/>
              <w:bidi w:val="0"/>
              <w:rPr>
                <w:color w:val="auto"/>
                <w:highlight w:val="none"/>
              </w:rPr>
            </w:pPr>
            <w:r>
              <w:rPr>
                <w:color w:val="auto"/>
                <w:highlight w:val="none"/>
              </w:rPr>
              <w:t>297.5</w:t>
            </w:r>
          </w:p>
        </w:tc>
        <w:tc>
          <w:tcPr>
            <w:tcW w:w="260" w:type="pct"/>
            <w:shd w:val="clear" w:color="auto" w:fill="auto"/>
            <w:tcMar>
              <w:top w:w="0" w:type="dxa"/>
              <w:left w:w="0" w:type="dxa"/>
              <w:bottom w:w="0" w:type="dxa"/>
              <w:right w:w="0" w:type="dxa"/>
            </w:tcMar>
            <w:vAlign w:val="center"/>
          </w:tcPr>
          <w:p w14:paraId="16DB9CED">
            <w:pPr>
              <w:pStyle w:val="17"/>
              <w:bidi w:val="0"/>
              <w:rPr>
                <w:color w:val="auto"/>
                <w:highlight w:val="none"/>
              </w:rPr>
            </w:pPr>
            <w:r>
              <w:rPr>
                <w:color w:val="auto"/>
                <w:highlight w:val="none"/>
              </w:rPr>
              <w:t>-664.3</w:t>
            </w:r>
          </w:p>
        </w:tc>
        <w:tc>
          <w:tcPr>
            <w:tcW w:w="235" w:type="pct"/>
            <w:shd w:val="clear" w:color="auto" w:fill="auto"/>
            <w:tcMar>
              <w:top w:w="0" w:type="dxa"/>
              <w:left w:w="0" w:type="dxa"/>
              <w:bottom w:w="0" w:type="dxa"/>
              <w:right w:w="0" w:type="dxa"/>
            </w:tcMar>
            <w:vAlign w:val="center"/>
          </w:tcPr>
          <w:p w14:paraId="65BABAD7">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3D3D97F4">
            <w:pPr>
              <w:pStyle w:val="17"/>
              <w:bidi w:val="0"/>
              <w:rPr>
                <w:color w:val="auto"/>
                <w:highlight w:val="none"/>
              </w:rPr>
            </w:pPr>
            <w:r>
              <w:rPr>
                <w:color w:val="auto"/>
                <w:highlight w:val="none"/>
              </w:rPr>
              <w:t>44.5</w:t>
            </w:r>
          </w:p>
        </w:tc>
        <w:tc>
          <w:tcPr>
            <w:tcW w:w="189" w:type="pct"/>
            <w:shd w:val="clear" w:color="auto" w:fill="auto"/>
            <w:tcMar>
              <w:top w:w="0" w:type="dxa"/>
              <w:left w:w="0" w:type="dxa"/>
              <w:bottom w:w="0" w:type="dxa"/>
              <w:right w:w="0" w:type="dxa"/>
            </w:tcMar>
            <w:vAlign w:val="center"/>
          </w:tcPr>
          <w:p w14:paraId="6C915424">
            <w:pPr>
              <w:pStyle w:val="17"/>
              <w:bidi w:val="0"/>
              <w:rPr>
                <w:color w:val="auto"/>
                <w:highlight w:val="none"/>
              </w:rPr>
            </w:pPr>
            <w:r>
              <w:rPr>
                <w:color w:val="auto"/>
                <w:highlight w:val="none"/>
              </w:rPr>
              <w:t>33.9</w:t>
            </w:r>
          </w:p>
        </w:tc>
        <w:tc>
          <w:tcPr>
            <w:tcW w:w="176" w:type="pct"/>
            <w:shd w:val="clear" w:color="auto" w:fill="auto"/>
            <w:tcMar>
              <w:top w:w="0" w:type="dxa"/>
              <w:left w:w="0" w:type="dxa"/>
              <w:bottom w:w="0" w:type="dxa"/>
              <w:right w:w="0" w:type="dxa"/>
            </w:tcMar>
            <w:vAlign w:val="center"/>
          </w:tcPr>
          <w:p w14:paraId="130E945B">
            <w:pPr>
              <w:pStyle w:val="17"/>
              <w:bidi w:val="0"/>
              <w:rPr>
                <w:color w:val="auto"/>
                <w:highlight w:val="none"/>
              </w:rPr>
            </w:pPr>
            <w:r>
              <w:rPr>
                <w:color w:val="auto"/>
                <w:highlight w:val="none"/>
              </w:rPr>
              <w:t>67.7</w:t>
            </w:r>
          </w:p>
        </w:tc>
        <w:tc>
          <w:tcPr>
            <w:tcW w:w="158" w:type="pct"/>
            <w:shd w:val="clear" w:color="auto" w:fill="auto"/>
            <w:tcMar>
              <w:top w:w="0" w:type="dxa"/>
              <w:left w:w="0" w:type="dxa"/>
              <w:bottom w:w="0" w:type="dxa"/>
              <w:right w:w="0" w:type="dxa"/>
            </w:tcMar>
            <w:vAlign w:val="center"/>
          </w:tcPr>
          <w:p w14:paraId="71698CF6">
            <w:pPr>
              <w:pStyle w:val="17"/>
              <w:bidi w:val="0"/>
              <w:rPr>
                <w:color w:val="auto"/>
                <w:highlight w:val="none"/>
              </w:rPr>
            </w:pPr>
            <w:r>
              <w:rPr>
                <w:color w:val="auto"/>
                <w:highlight w:val="none"/>
              </w:rPr>
              <w:t>18.4</w:t>
            </w:r>
          </w:p>
        </w:tc>
        <w:tc>
          <w:tcPr>
            <w:tcW w:w="167" w:type="pct"/>
            <w:shd w:val="clear" w:color="auto" w:fill="auto"/>
            <w:tcMar>
              <w:top w:w="0" w:type="dxa"/>
              <w:left w:w="0" w:type="dxa"/>
              <w:bottom w:w="0" w:type="dxa"/>
              <w:right w:w="0" w:type="dxa"/>
            </w:tcMar>
            <w:vAlign w:val="center"/>
          </w:tcPr>
          <w:p w14:paraId="3ECE37FA">
            <w:pPr>
              <w:pStyle w:val="17"/>
              <w:bidi w:val="0"/>
              <w:rPr>
                <w:color w:val="auto"/>
                <w:highlight w:val="none"/>
              </w:rPr>
            </w:pPr>
            <w:r>
              <w:rPr>
                <w:color w:val="auto"/>
                <w:highlight w:val="none"/>
              </w:rPr>
              <w:t>62.0</w:t>
            </w:r>
          </w:p>
        </w:tc>
        <w:tc>
          <w:tcPr>
            <w:tcW w:w="167" w:type="pct"/>
            <w:shd w:val="clear" w:color="auto" w:fill="auto"/>
            <w:tcMar>
              <w:top w:w="0" w:type="dxa"/>
              <w:left w:w="0" w:type="dxa"/>
              <w:bottom w:w="0" w:type="dxa"/>
              <w:right w:w="0" w:type="dxa"/>
            </w:tcMar>
            <w:vAlign w:val="center"/>
          </w:tcPr>
          <w:p w14:paraId="6DE39DF3">
            <w:pPr>
              <w:pStyle w:val="17"/>
              <w:bidi w:val="0"/>
              <w:rPr>
                <w:color w:val="auto"/>
                <w:highlight w:val="none"/>
              </w:rPr>
            </w:pPr>
            <w:r>
              <w:rPr>
                <w:color w:val="auto"/>
                <w:highlight w:val="none"/>
              </w:rPr>
              <w:t>62.0</w:t>
            </w:r>
          </w:p>
        </w:tc>
        <w:tc>
          <w:tcPr>
            <w:tcW w:w="185" w:type="pct"/>
            <w:shd w:val="clear" w:color="auto" w:fill="auto"/>
            <w:tcMar>
              <w:top w:w="0" w:type="dxa"/>
              <w:left w:w="0" w:type="dxa"/>
              <w:bottom w:w="0" w:type="dxa"/>
              <w:right w:w="0" w:type="dxa"/>
            </w:tcMar>
            <w:vAlign w:val="center"/>
          </w:tcPr>
          <w:p w14:paraId="31675061">
            <w:pPr>
              <w:pStyle w:val="17"/>
              <w:bidi w:val="0"/>
              <w:rPr>
                <w:color w:val="auto"/>
                <w:highlight w:val="none"/>
              </w:rPr>
            </w:pPr>
            <w:r>
              <w:rPr>
                <w:color w:val="auto"/>
                <w:highlight w:val="none"/>
              </w:rPr>
              <w:t>62.0</w:t>
            </w:r>
          </w:p>
        </w:tc>
        <w:tc>
          <w:tcPr>
            <w:tcW w:w="163" w:type="pct"/>
            <w:shd w:val="clear" w:color="auto" w:fill="auto"/>
            <w:tcMar>
              <w:top w:w="0" w:type="dxa"/>
              <w:left w:w="0" w:type="dxa"/>
              <w:bottom w:w="0" w:type="dxa"/>
              <w:right w:w="0" w:type="dxa"/>
            </w:tcMar>
            <w:vAlign w:val="center"/>
          </w:tcPr>
          <w:p w14:paraId="04F9670D">
            <w:pPr>
              <w:pStyle w:val="17"/>
              <w:bidi w:val="0"/>
              <w:rPr>
                <w:color w:val="auto"/>
                <w:highlight w:val="none"/>
              </w:rPr>
            </w:pPr>
            <w:r>
              <w:rPr>
                <w:color w:val="auto"/>
                <w:highlight w:val="none"/>
              </w:rPr>
              <w:t>62.1</w:t>
            </w:r>
          </w:p>
        </w:tc>
        <w:tc>
          <w:tcPr>
            <w:tcW w:w="277" w:type="pct"/>
            <w:shd w:val="clear" w:color="auto" w:fill="auto"/>
            <w:tcMar>
              <w:top w:w="0" w:type="dxa"/>
              <w:left w:w="0" w:type="dxa"/>
              <w:bottom w:w="0" w:type="dxa"/>
              <w:right w:w="0" w:type="dxa"/>
            </w:tcMar>
            <w:vAlign w:val="center"/>
          </w:tcPr>
          <w:p w14:paraId="6E732732">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0B107217">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6DBB904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52.0</w:t>
            </w:r>
          </w:p>
        </w:tc>
        <w:tc>
          <w:tcPr>
            <w:tcW w:w="288" w:type="pct"/>
            <w:shd w:val="clear" w:color="auto" w:fill="auto"/>
            <w:tcMar>
              <w:top w:w="0" w:type="dxa"/>
              <w:left w:w="0" w:type="dxa"/>
              <w:bottom w:w="0" w:type="dxa"/>
              <w:right w:w="0" w:type="dxa"/>
            </w:tcMar>
            <w:vAlign w:val="center"/>
          </w:tcPr>
          <w:p w14:paraId="0182D7AA">
            <w:pPr>
              <w:pStyle w:val="17"/>
              <w:bidi w:val="0"/>
              <w:ind w:firstLine="0" w:firstLineChars="0"/>
              <w:rPr>
                <w:color w:val="auto"/>
                <w:highlight w:val="none"/>
              </w:rPr>
            </w:pPr>
            <w:r>
              <w:rPr>
                <w:rFonts w:hint="eastAsia"/>
                <w:color w:val="auto"/>
                <w:highlight w:val="none"/>
                <w:lang w:val="en-US" w:eastAsia="zh-CN"/>
              </w:rPr>
              <w:t>1</w:t>
            </w:r>
          </w:p>
        </w:tc>
      </w:tr>
      <w:tr w14:paraId="641F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1AFA0745">
            <w:pPr>
              <w:pStyle w:val="17"/>
              <w:bidi w:val="0"/>
              <w:rPr>
                <w:color w:val="auto"/>
                <w:highlight w:val="none"/>
              </w:rPr>
            </w:pPr>
            <w:r>
              <w:rPr>
                <w:color w:val="auto"/>
                <w:highlight w:val="none"/>
              </w:rPr>
              <w:t>8</w:t>
            </w:r>
          </w:p>
        </w:tc>
        <w:tc>
          <w:tcPr>
            <w:tcW w:w="234" w:type="pct"/>
            <w:shd w:val="clear" w:color="auto" w:fill="auto"/>
            <w:tcMar>
              <w:top w:w="0" w:type="dxa"/>
              <w:left w:w="0" w:type="dxa"/>
              <w:bottom w:w="0" w:type="dxa"/>
              <w:right w:w="0" w:type="dxa"/>
            </w:tcMar>
            <w:vAlign w:val="center"/>
          </w:tcPr>
          <w:p w14:paraId="2870248E">
            <w:pPr>
              <w:pStyle w:val="17"/>
              <w:bidi w:val="0"/>
              <w:rPr>
                <w:color w:val="auto"/>
                <w:highlight w:val="none"/>
              </w:rPr>
            </w:pPr>
            <w:r>
              <w:rPr>
                <w:color w:val="auto"/>
                <w:highlight w:val="none"/>
              </w:rPr>
              <w:t>中细碎厂房</w:t>
            </w:r>
          </w:p>
        </w:tc>
        <w:tc>
          <w:tcPr>
            <w:tcW w:w="482" w:type="pct"/>
            <w:shd w:val="clear" w:color="auto" w:fill="auto"/>
            <w:tcMar>
              <w:top w:w="0" w:type="dxa"/>
              <w:left w:w="0" w:type="dxa"/>
              <w:bottom w:w="0" w:type="dxa"/>
              <w:right w:w="0" w:type="dxa"/>
            </w:tcMar>
            <w:vAlign w:val="center"/>
          </w:tcPr>
          <w:p w14:paraId="3966B84E">
            <w:pPr>
              <w:pStyle w:val="17"/>
              <w:bidi w:val="0"/>
              <w:rPr>
                <w:color w:val="auto"/>
                <w:highlight w:val="none"/>
              </w:rPr>
            </w:pPr>
            <w:r>
              <w:rPr>
                <w:color w:val="auto"/>
                <w:highlight w:val="none"/>
              </w:rPr>
              <w:t>移动式皮带给矿机,2台（按点声源组预测）</w:t>
            </w:r>
          </w:p>
        </w:tc>
        <w:tc>
          <w:tcPr>
            <w:tcW w:w="344" w:type="pct"/>
            <w:shd w:val="clear" w:color="auto" w:fill="auto"/>
            <w:tcMar>
              <w:top w:w="0" w:type="dxa"/>
              <w:left w:w="0" w:type="dxa"/>
              <w:bottom w:w="0" w:type="dxa"/>
              <w:right w:w="0" w:type="dxa"/>
            </w:tcMar>
            <w:vAlign w:val="center"/>
          </w:tcPr>
          <w:p w14:paraId="6E44699C">
            <w:pPr>
              <w:pStyle w:val="17"/>
              <w:bidi w:val="0"/>
              <w:rPr>
                <w:rFonts w:hint="eastAsia" w:eastAsia="宋体"/>
                <w:color w:val="auto"/>
                <w:highlight w:val="none"/>
                <w:lang w:eastAsia="zh-CN"/>
              </w:rPr>
            </w:pPr>
            <w:r>
              <w:rPr>
                <w:color w:val="auto"/>
                <w:highlight w:val="none"/>
              </w:rPr>
              <w:t>70（等效后：73.0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54CC5867">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1718B664">
            <w:pPr>
              <w:pStyle w:val="17"/>
              <w:bidi w:val="0"/>
              <w:rPr>
                <w:color w:val="auto"/>
                <w:highlight w:val="none"/>
              </w:rPr>
            </w:pPr>
            <w:r>
              <w:rPr>
                <w:color w:val="auto"/>
                <w:highlight w:val="none"/>
              </w:rPr>
              <w:t>271.3</w:t>
            </w:r>
          </w:p>
        </w:tc>
        <w:tc>
          <w:tcPr>
            <w:tcW w:w="260" w:type="pct"/>
            <w:shd w:val="clear" w:color="auto" w:fill="auto"/>
            <w:tcMar>
              <w:top w:w="0" w:type="dxa"/>
              <w:left w:w="0" w:type="dxa"/>
              <w:bottom w:w="0" w:type="dxa"/>
              <w:right w:w="0" w:type="dxa"/>
            </w:tcMar>
            <w:vAlign w:val="center"/>
          </w:tcPr>
          <w:p w14:paraId="4FBE38AA">
            <w:pPr>
              <w:pStyle w:val="17"/>
              <w:bidi w:val="0"/>
              <w:rPr>
                <w:color w:val="auto"/>
                <w:highlight w:val="none"/>
              </w:rPr>
            </w:pPr>
            <w:r>
              <w:rPr>
                <w:color w:val="auto"/>
                <w:highlight w:val="none"/>
              </w:rPr>
              <w:t>-681.1</w:t>
            </w:r>
          </w:p>
        </w:tc>
        <w:tc>
          <w:tcPr>
            <w:tcW w:w="235" w:type="pct"/>
            <w:shd w:val="clear" w:color="auto" w:fill="auto"/>
            <w:tcMar>
              <w:top w:w="0" w:type="dxa"/>
              <w:left w:w="0" w:type="dxa"/>
              <w:bottom w:w="0" w:type="dxa"/>
              <w:right w:w="0" w:type="dxa"/>
            </w:tcMar>
            <w:vAlign w:val="center"/>
          </w:tcPr>
          <w:p w14:paraId="2194A600">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28B94F6E">
            <w:pPr>
              <w:pStyle w:val="17"/>
              <w:bidi w:val="0"/>
              <w:rPr>
                <w:color w:val="auto"/>
                <w:highlight w:val="none"/>
              </w:rPr>
            </w:pPr>
            <w:r>
              <w:rPr>
                <w:color w:val="auto"/>
                <w:highlight w:val="none"/>
              </w:rPr>
              <w:t>75.4</w:t>
            </w:r>
          </w:p>
        </w:tc>
        <w:tc>
          <w:tcPr>
            <w:tcW w:w="189" w:type="pct"/>
            <w:shd w:val="clear" w:color="auto" w:fill="auto"/>
            <w:tcMar>
              <w:top w:w="0" w:type="dxa"/>
              <w:left w:w="0" w:type="dxa"/>
              <w:bottom w:w="0" w:type="dxa"/>
              <w:right w:w="0" w:type="dxa"/>
            </w:tcMar>
            <w:vAlign w:val="center"/>
          </w:tcPr>
          <w:p w14:paraId="0D8528E3">
            <w:pPr>
              <w:pStyle w:val="17"/>
              <w:bidi w:val="0"/>
              <w:rPr>
                <w:color w:val="auto"/>
                <w:highlight w:val="none"/>
              </w:rPr>
            </w:pPr>
            <w:r>
              <w:rPr>
                <w:color w:val="auto"/>
                <w:highlight w:val="none"/>
              </w:rPr>
              <w:t>30.4</w:t>
            </w:r>
          </w:p>
        </w:tc>
        <w:tc>
          <w:tcPr>
            <w:tcW w:w="176" w:type="pct"/>
            <w:shd w:val="clear" w:color="auto" w:fill="auto"/>
            <w:tcMar>
              <w:top w:w="0" w:type="dxa"/>
              <w:left w:w="0" w:type="dxa"/>
              <w:bottom w:w="0" w:type="dxa"/>
              <w:right w:w="0" w:type="dxa"/>
            </w:tcMar>
            <w:vAlign w:val="center"/>
          </w:tcPr>
          <w:p w14:paraId="2FC2A8A4">
            <w:pPr>
              <w:pStyle w:val="17"/>
              <w:bidi w:val="0"/>
              <w:rPr>
                <w:color w:val="auto"/>
                <w:highlight w:val="none"/>
              </w:rPr>
            </w:pPr>
            <w:r>
              <w:rPr>
                <w:color w:val="auto"/>
                <w:highlight w:val="none"/>
              </w:rPr>
              <w:t>36.8</w:t>
            </w:r>
          </w:p>
        </w:tc>
        <w:tc>
          <w:tcPr>
            <w:tcW w:w="158" w:type="pct"/>
            <w:shd w:val="clear" w:color="auto" w:fill="auto"/>
            <w:tcMar>
              <w:top w:w="0" w:type="dxa"/>
              <w:left w:w="0" w:type="dxa"/>
              <w:bottom w:w="0" w:type="dxa"/>
              <w:right w:w="0" w:type="dxa"/>
            </w:tcMar>
            <w:vAlign w:val="center"/>
          </w:tcPr>
          <w:p w14:paraId="5E743DA8">
            <w:pPr>
              <w:pStyle w:val="17"/>
              <w:bidi w:val="0"/>
              <w:rPr>
                <w:color w:val="auto"/>
                <w:highlight w:val="none"/>
              </w:rPr>
            </w:pPr>
            <w:r>
              <w:rPr>
                <w:color w:val="auto"/>
                <w:highlight w:val="none"/>
              </w:rPr>
              <w:t>21.9</w:t>
            </w:r>
          </w:p>
        </w:tc>
        <w:tc>
          <w:tcPr>
            <w:tcW w:w="167" w:type="pct"/>
            <w:shd w:val="clear" w:color="auto" w:fill="auto"/>
            <w:tcMar>
              <w:top w:w="0" w:type="dxa"/>
              <w:left w:w="0" w:type="dxa"/>
              <w:bottom w:w="0" w:type="dxa"/>
              <w:right w:w="0" w:type="dxa"/>
            </w:tcMar>
            <w:vAlign w:val="center"/>
          </w:tcPr>
          <w:p w14:paraId="27E355FF">
            <w:pPr>
              <w:pStyle w:val="17"/>
              <w:bidi w:val="0"/>
              <w:rPr>
                <w:color w:val="auto"/>
                <w:highlight w:val="none"/>
              </w:rPr>
            </w:pPr>
            <w:r>
              <w:rPr>
                <w:color w:val="auto"/>
                <w:highlight w:val="none"/>
              </w:rPr>
              <w:t>55.0</w:t>
            </w:r>
          </w:p>
        </w:tc>
        <w:tc>
          <w:tcPr>
            <w:tcW w:w="167" w:type="pct"/>
            <w:shd w:val="clear" w:color="auto" w:fill="auto"/>
            <w:tcMar>
              <w:top w:w="0" w:type="dxa"/>
              <w:left w:w="0" w:type="dxa"/>
              <w:bottom w:w="0" w:type="dxa"/>
              <w:right w:w="0" w:type="dxa"/>
            </w:tcMar>
            <w:vAlign w:val="center"/>
          </w:tcPr>
          <w:p w14:paraId="1EA537D4">
            <w:pPr>
              <w:pStyle w:val="17"/>
              <w:bidi w:val="0"/>
              <w:rPr>
                <w:color w:val="auto"/>
                <w:highlight w:val="none"/>
              </w:rPr>
            </w:pPr>
            <w:r>
              <w:rPr>
                <w:color w:val="auto"/>
                <w:highlight w:val="none"/>
              </w:rPr>
              <w:t>55.0</w:t>
            </w:r>
          </w:p>
        </w:tc>
        <w:tc>
          <w:tcPr>
            <w:tcW w:w="185" w:type="pct"/>
            <w:shd w:val="clear" w:color="auto" w:fill="auto"/>
            <w:tcMar>
              <w:top w:w="0" w:type="dxa"/>
              <w:left w:w="0" w:type="dxa"/>
              <w:bottom w:w="0" w:type="dxa"/>
              <w:right w:w="0" w:type="dxa"/>
            </w:tcMar>
            <w:vAlign w:val="center"/>
          </w:tcPr>
          <w:p w14:paraId="71619E6D">
            <w:pPr>
              <w:pStyle w:val="17"/>
              <w:bidi w:val="0"/>
              <w:rPr>
                <w:color w:val="auto"/>
                <w:highlight w:val="none"/>
              </w:rPr>
            </w:pPr>
            <w:r>
              <w:rPr>
                <w:color w:val="auto"/>
                <w:highlight w:val="none"/>
              </w:rPr>
              <w:t>55.0</w:t>
            </w:r>
          </w:p>
        </w:tc>
        <w:tc>
          <w:tcPr>
            <w:tcW w:w="163" w:type="pct"/>
            <w:shd w:val="clear" w:color="auto" w:fill="auto"/>
            <w:tcMar>
              <w:top w:w="0" w:type="dxa"/>
              <w:left w:w="0" w:type="dxa"/>
              <w:bottom w:w="0" w:type="dxa"/>
              <w:right w:w="0" w:type="dxa"/>
            </w:tcMar>
            <w:vAlign w:val="center"/>
          </w:tcPr>
          <w:p w14:paraId="15FE5136">
            <w:pPr>
              <w:pStyle w:val="17"/>
              <w:bidi w:val="0"/>
              <w:rPr>
                <w:color w:val="auto"/>
                <w:highlight w:val="none"/>
              </w:rPr>
            </w:pPr>
            <w:r>
              <w:rPr>
                <w:color w:val="auto"/>
                <w:highlight w:val="none"/>
              </w:rPr>
              <w:t>55.0</w:t>
            </w:r>
          </w:p>
        </w:tc>
        <w:tc>
          <w:tcPr>
            <w:tcW w:w="277" w:type="pct"/>
            <w:shd w:val="clear" w:color="auto" w:fill="auto"/>
            <w:tcMar>
              <w:top w:w="0" w:type="dxa"/>
              <w:left w:w="0" w:type="dxa"/>
              <w:bottom w:w="0" w:type="dxa"/>
              <w:right w:w="0" w:type="dxa"/>
            </w:tcMar>
            <w:vAlign w:val="center"/>
          </w:tcPr>
          <w:p w14:paraId="39286844">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549DE16D">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380B32E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45.0</w:t>
            </w:r>
          </w:p>
        </w:tc>
        <w:tc>
          <w:tcPr>
            <w:tcW w:w="288" w:type="pct"/>
            <w:shd w:val="clear" w:color="auto" w:fill="auto"/>
            <w:tcMar>
              <w:top w:w="0" w:type="dxa"/>
              <w:left w:w="0" w:type="dxa"/>
              <w:bottom w:w="0" w:type="dxa"/>
              <w:right w:w="0" w:type="dxa"/>
            </w:tcMar>
            <w:vAlign w:val="center"/>
          </w:tcPr>
          <w:p w14:paraId="7BF34D43">
            <w:pPr>
              <w:pStyle w:val="17"/>
              <w:bidi w:val="0"/>
              <w:ind w:firstLine="0" w:firstLineChars="0"/>
              <w:rPr>
                <w:color w:val="auto"/>
                <w:highlight w:val="none"/>
              </w:rPr>
            </w:pPr>
            <w:r>
              <w:rPr>
                <w:rFonts w:hint="eastAsia"/>
                <w:color w:val="auto"/>
                <w:highlight w:val="none"/>
                <w:lang w:val="en-US" w:eastAsia="zh-CN"/>
              </w:rPr>
              <w:t>1</w:t>
            </w:r>
          </w:p>
        </w:tc>
      </w:tr>
      <w:tr w14:paraId="586F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E9B3DFB">
            <w:pPr>
              <w:pStyle w:val="17"/>
              <w:bidi w:val="0"/>
              <w:rPr>
                <w:color w:val="auto"/>
                <w:highlight w:val="none"/>
              </w:rPr>
            </w:pPr>
            <w:r>
              <w:rPr>
                <w:color w:val="auto"/>
                <w:highlight w:val="none"/>
              </w:rPr>
              <w:t>9</w:t>
            </w:r>
          </w:p>
        </w:tc>
        <w:tc>
          <w:tcPr>
            <w:tcW w:w="234" w:type="pct"/>
            <w:shd w:val="clear" w:color="auto" w:fill="auto"/>
            <w:tcMar>
              <w:top w:w="0" w:type="dxa"/>
              <w:left w:w="0" w:type="dxa"/>
              <w:bottom w:w="0" w:type="dxa"/>
              <w:right w:w="0" w:type="dxa"/>
            </w:tcMar>
            <w:vAlign w:val="center"/>
          </w:tcPr>
          <w:p w14:paraId="136321C4">
            <w:pPr>
              <w:pStyle w:val="17"/>
              <w:bidi w:val="0"/>
              <w:rPr>
                <w:color w:val="auto"/>
                <w:highlight w:val="none"/>
              </w:rPr>
            </w:pPr>
            <w:r>
              <w:rPr>
                <w:color w:val="auto"/>
                <w:highlight w:val="none"/>
              </w:rPr>
              <w:t>中细碎厂房</w:t>
            </w:r>
          </w:p>
        </w:tc>
        <w:tc>
          <w:tcPr>
            <w:tcW w:w="482" w:type="pct"/>
            <w:shd w:val="clear" w:color="auto" w:fill="auto"/>
            <w:tcMar>
              <w:top w:w="0" w:type="dxa"/>
              <w:left w:w="0" w:type="dxa"/>
              <w:bottom w:w="0" w:type="dxa"/>
              <w:right w:w="0" w:type="dxa"/>
            </w:tcMar>
            <w:vAlign w:val="center"/>
          </w:tcPr>
          <w:p w14:paraId="4BC4153B">
            <w:pPr>
              <w:pStyle w:val="17"/>
              <w:bidi w:val="0"/>
              <w:rPr>
                <w:color w:val="auto"/>
                <w:highlight w:val="none"/>
              </w:rPr>
            </w:pPr>
            <w:r>
              <w:rPr>
                <w:color w:val="auto"/>
                <w:highlight w:val="none"/>
              </w:rPr>
              <w:t>电动双梁吊钩桥式起重机</w:t>
            </w:r>
          </w:p>
        </w:tc>
        <w:tc>
          <w:tcPr>
            <w:tcW w:w="344" w:type="pct"/>
            <w:shd w:val="clear" w:color="auto" w:fill="auto"/>
            <w:tcMar>
              <w:top w:w="0" w:type="dxa"/>
              <w:left w:w="0" w:type="dxa"/>
              <w:bottom w:w="0" w:type="dxa"/>
              <w:right w:w="0" w:type="dxa"/>
            </w:tcMar>
            <w:vAlign w:val="center"/>
          </w:tcPr>
          <w:p w14:paraId="5974BC0A">
            <w:pPr>
              <w:pStyle w:val="17"/>
              <w:bidi w:val="0"/>
              <w:rPr>
                <w:color w:val="auto"/>
                <w:highlight w:val="none"/>
              </w:rPr>
            </w:pPr>
            <w:r>
              <w:rPr>
                <w:color w:val="auto"/>
                <w:highlight w:val="none"/>
              </w:rPr>
              <w:t>65</w:t>
            </w:r>
          </w:p>
        </w:tc>
        <w:tc>
          <w:tcPr>
            <w:tcW w:w="361" w:type="pct"/>
            <w:vMerge w:val="continue"/>
            <w:shd w:val="clear" w:color="auto" w:fill="auto"/>
            <w:tcMar>
              <w:top w:w="0" w:type="dxa"/>
              <w:left w:w="0" w:type="dxa"/>
              <w:bottom w:w="0" w:type="dxa"/>
              <w:right w:w="0" w:type="dxa"/>
            </w:tcMar>
            <w:vAlign w:val="center"/>
          </w:tcPr>
          <w:p w14:paraId="585367C9">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7232DE00">
            <w:pPr>
              <w:pStyle w:val="17"/>
              <w:bidi w:val="0"/>
              <w:rPr>
                <w:color w:val="auto"/>
                <w:highlight w:val="none"/>
              </w:rPr>
            </w:pPr>
            <w:r>
              <w:rPr>
                <w:color w:val="auto"/>
                <w:highlight w:val="none"/>
              </w:rPr>
              <w:t>260.1</w:t>
            </w:r>
          </w:p>
        </w:tc>
        <w:tc>
          <w:tcPr>
            <w:tcW w:w="260" w:type="pct"/>
            <w:shd w:val="clear" w:color="auto" w:fill="auto"/>
            <w:tcMar>
              <w:top w:w="0" w:type="dxa"/>
              <w:left w:w="0" w:type="dxa"/>
              <w:bottom w:w="0" w:type="dxa"/>
              <w:right w:w="0" w:type="dxa"/>
            </w:tcMar>
            <w:vAlign w:val="center"/>
          </w:tcPr>
          <w:p w14:paraId="42391E3A">
            <w:pPr>
              <w:pStyle w:val="17"/>
              <w:bidi w:val="0"/>
              <w:rPr>
                <w:color w:val="auto"/>
                <w:highlight w:val="none"/>
              </w:rPr>
            </w:pPr>
            <w:r>
              <w:rPr>
                <w:color w:val="auto"/>
                <w:highlight w:val="none"/>
              </w:rPr>
              <w:t>-696.1</w:t>
            </w:r>
          </w:p>
        </w:tc>
        <w:tc>
          <w:tcPr>
            <w:tcW w:w="235" w:type="pct"/>
            <w:shd w:val="clear" w:color="auto" w:fill="auto"/>
            <w:tcMar>
              <w:top w:w="0" w:type="dxa"/>
              <w:left w:w="0" w:type="dxa"/>
              <w:bottom w:w="0" w:type="dxa"/>
              <w:right w:w="0" w:type="dxa"/>
            </w:tcMar>
            <w:vAlign w:val="center"/>
          </w:tcPr>
          <w:p w14:paraId="54F1ED54">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240DDC88">
            <w:pPr>
              <w:pStyle w:val="17"/>
              <w:bidi w:val="0"/>
              <w:rPr>
                <w:color w:val="auto"/>
                <w:highlight w:val="none"/>
              </w:rPr>
            </w:pPr>
            <w:r>
              <w:rPr>
                <w:color w:val="auto"/>
                <w:highlight w:val="none"/>
              </w:rPr>
              <w:t>92.0</w:t>
            </w:r>
          </w:p>
        </w:tc>
        <w:tc>
          <w:tcPr>
            <w:tcW w:w="189" w:type="pct"/>
            <w:shd w:val="clear" w:color="auto" w:fill="auto"/>
            <w:tcMar>
              <w:top w:w="0" w:type="dxa"/>
              <w:left w:w="0" w:type="dxa"/>
              <w:bottom w:w="0" w:type="dxa"/>
              <w:right w:w="0" w:type="dxa"/>
            </w:tcMar>
            <w:vAlign w:val="center"/>
          </w:tcPr>
          <w:p w14:paraId="796EBCE6">
            <w:pPr>
              <w:pStyle w:val="17"/>
              <w:bidi w:val="0"/>
              <w:rPr>
                <w:color w:val="auto"/>
                <w:highlight w:val="none"/>
              </w:rPr>
            </w:pPr>
            <w:r>
              <w:rPr>
                <w:color w:val="auto"/>
                <w:highlight w:val="none"/>
              </w:rPr>
              <w:t>21.9</w:t>
            </w:r>
          </w:p>
        </w:tc>
        <w:tc>
          <w:tcPr>
            <w:tcW w:w="176" w:type="pct"/>
            <w:shd w:val="clear" w:color="auto" w:fill="auto"/>
            <w:tcMar>
              <w:top w:w="0" w:type="dxa"/>
              <w:left w:w="0" w:type="dxa"/>
              <w:bottom w:w="0" w:type="dxa"/>
              <w:right w:w="0" w:type="dxa"/>
            </w:tcMar>
            <w:vAlign w:val="center"/>
          </w:tcPr>
          <w:p w14:paraId="0D2DB46D">
            <w:pPr>
              <w:pStyle w:val="17"/>
              <w:bidi w:val="0"/>
              <w:rPr>
                <w:color w:val="auto"/>
                <w:highlight w:val="none"/>
              </w:rPr>
            </w:pPr>
            <w:r>
              <w:rPr>
                <w:color w:val="auto"/>
                <w:highlight w:val="none"/>
              </w:rPr>
              <w:t>20.1</w:t>
            </w:r>
          </w:p>
        </w:tc>
        <w:tc>
          <w:tcPr>
            <w:tcW w:w="158" w:type="pct"/>
            <w:shd w:val="clear" w:color="auto" w:fill="auto"/>
            <w:tcMar>
              <w:top w:w="0" w:type="dxa"/>
              <w:left w:w="0" w:type="dxa"/>
              <w:bottom w:w="0" w:type="dxa"/>
              <w:right w:w="0" w:type="dxa"/>
            </w:tcMar>
            <w:vAlign w:val="center"/>
          </w:tcPr>
          <w:p w14:paraId="042D1272">
            <w:pPr>
              <w:pStyle w:val="17"/>
              <w:bidi w:val="0"/>
              <w:rPr>
                <w:color w:val="auto"/>
                <w:highlight w:val="none"/>
              </w:rPr>
            </w:pPr>
            <w:r>
              <w:rPr>
                <w:color w:val="auto"/>
                <w:highlight w:val="none"/>
              </w:rPr>
              <w:t>30.4</w:t>
            </w:r>
          </w:p>
        </w:tc>
        <w:tc>
          <w:tcPr>
            <w:tcW w:w="167" w:type="pct"/>
            <w:shd w:val="clear" w:color="auto" w:fill="auto"/>
            <w:tcMar>
              <w:top w:w="0" w:type="dxa"/>
              <w:left w:w="0" w:type="dxa"/>
              <w:bottom w:w="0" w:type="dxa"/>
              <w:right w:w="0" w:type="dxa"/>
            </w:tcMar>
            <w:vAlign w:val="center"/>
          </w:tcPr>
          <w:p w14:paraId="47A18B3E">
            <w:pPr>
              <w:pStyle w:val="17"/>
              <w:bidi w:val="0"/>
              <w:rPr>
                <w:color w:val="auto"/>
                <w:highlight w:val="none"/>
              </w:rPr>
            </w:pPr>
            <w:r>
              <w:rPr>
                <w:color w:val="auto"/>
                <w:highlight w:val="none"/>
              </w:rPr>
              <w:t>47.0</w:t>
            </w:r>
          </w:p>
        </w:tc>
        <w:tc>
          <w:tcPr>
            <w:tcW w:w="167" w:type="pct"/>
            <w:shd w:val="clear" w:color="auto" w:fill="auto"/>
            <w:tcMar>
              <w:top w:w="0" w:type="dxa"/>
              <w:left w:w="0" w:type="dxa"/>
              <w:bottom w:w="0" w:type="dxa"/>
              <w:right w:w="0" w:type="dxa"/>
            </w:tcMar>
            <w:vAlign w:val="center"/>
          </w:tcPr>
          <w:p w14:paraId="0FF76770">
            <w:pPr>
              <w:pStyle w:val="17"/>
              <w:bidi w:val="0"/>
              <w:rPr>
                <w:color w:val="auto"/>
                <w:highlight w:val="none"/>
              </w:rPr>
            </w:pPr>
            <w:r>
              <w:rPr>
                <w:color w:val="auto"/>
                <w:highlight w:val="none"/>
              </w:rPr>
              <w:t>47.0</w:t>
            </w:r>
          </w:p>
        </w:tc>
        <w:tc>
          <w:tcPr>
            <w:tcW w:w="185" w:type="pct"/>
            <w:shd w:val="clear" w:color="auto" w:fill="auto"/>
            <w:tcMar>
              <w:top w:w="0" w:type="dxa"/>
              <w:left w:w="0" w:type="dxa"/>
              <w:bottom w:w="0" w:type="dxa"/>
              <w:right w:w="0" w:type="dxa"/>
            </w:tcMar>
            <w:vAlign w:val="center"/>
          </w:tcPr>
          <w:p w14:paraId="57FDD8E6">
            <w:pPr>
              <w:pStyle w:val="17"/>
              <w:bidi w:val="0"/>
              <w:rPr>
                <w:color w:val="auto"/>
                <w:highlight w:val="none"/>
              </w:rPr>
            </w:pPr>
            <w:r>
              <w:rPr>
                <w:color w:val="auto"/>
                <w:highlight w:val="none"/>
              </w:rPr>
              <w:t>47.1</w:t>
            </w:r>
          </w:p>
        </w:tc>
        <w:tc>
          <w:tcPr>
            <w:tcW w:w="163" w:type="pct"/>
            <w:shd w:val="clear" w:color="auto" w:fill="auto"/>
            <w:tcMar>
              <w:top w:w="0" w:type="dxa"/>
              <w:left w:w="0" w:type="dxa"/>
              <w:bottom w:w="0" w:type="dxa"/>
              <w:right w:w="0" w:type="dxa"/>
            </w:tcMar>
            <w:vAlign w:val="center"/>
          </w:tcPr>
          <w:p w14:paraId="7B7FA3E7">
            <w:pPr>
              <w:pStyle w:val="17"/>
              <w:bidi w:val="0"/>
              <w:rPr>
                <w:color w:val="auto"/>
                <w:highlight w:val="none"/>
              </w:rPr>
            </w:pPr>
            <w:r>
              <w:rPr>
                <w:color w:val="auto"/>
                <w:highlight w:val="none"/>
              </w:rPr>
              <w:t>47.0</w:t>
            </w:r>
          </w:p>
        </w:tc>
        <w:tc>
          <w:tcPr>
            <w:tcW w:w="277" w:type="pct"/>
            <w:shd w:val="clear" w:color="auto" w:fill="auto"/>
            <w:tcMar>
              <w:top w:w="0" w:type="dxa"/>
              <w:left w:w="0" w:type="dxa"/>
              <w:bottom w:w="0" w:type="dxa"/>
              <w:right w:w="0" w:type="dxa"/>
            </w:tcMar>
            <w:vAlign w:val="center"/>
          </w:tcPr>
          <w:p w14:paraId="67429F46">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150F4A5D">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6904E15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37.0</w:t>
            </w:r>
          </w:p>
        </w:tc>
        <w:tc>
          <w:tcPr>
            <w:tcW w:w="288" w:type="pct"/>
            <w:shd w:val="clear" w:color="auto" w:fill="auto"/>
            <w:tcMar>
              <w:top w:w="0" w:type="dxa"/>
              <w:left w:w="0" w:type="dxa"/>
              <w:bottom w:w="0" w:type="dxa"/>
              <w:right w:w="0" w:type="dxa"/>
            </w:tcMar>
            <w:vAlign w:val="center"/>
          </w:tcPr>
          <w:p w14:paraId="38D9F994">
            <w:pPr>
              <w:pStyle w:val="17"/>
              <w:bidi w:val="0"/>
              <w:ind w:firstLine="0" w:firstLineChars="0"/>
              <w:rPr>
                <w:color w:val="auto"/>
                <w:highlight w:val="none"/>
              </w:rPr>
            </w:pPr>
            <w:r>
              <w:rPr>
                <w:rFonts w:hint="eastAsia"/>
                <w:color w:val="auto"/>
                <w:highlight w:val="none"/>
                <w:lang w:val="en-US" w:eastAsia="zh-CN"/>
              </w:rPr>
              <w:t>1</w:t>
            </w:r>
          </w:p>
        </w:tc>
      </w:tr>
      <w:tr w14:paraId="0AF1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1B256175">
            <w:pPr>
              <w:pStyle w:val="17"/>
              <w:bidi w:val="0"/>
              <w:rPr>
                <w:color w:val="auto"/>
                <w:highlight w:val="none"/>
              </w:rPr>
            </w:pPr>
            <w:r>
              <w:rPr>
                <w:color w:val="auto"/>
                <w:highlight w:val="none"/>
              </w:rPr>
              <w:t>10</w:t>
            </w:r>
          </w:p>
        </w:tc>
        <w:tc>
          <w:tcPr>
            <w:tcW w:w="234" w:type="pct"/>
            <w:shd w:val="clear" w:color="auto" w:fill="auto"/>
            <w:tcMar>
              <w:top w:w="0" w:type="dxa"/>
              <w:left w:w="0" w:type="dxa"/>
              <w:bottom w:w="0" w:type="dxa"/>
              <w:right w:w="0" w:type="dxa"/>
            </w:tcMar>
            <w:vAlign w:val="center"/>
          </w:tcPr>
          <w:p w14:paraId="5F4F7B1A">
            <w:pPr>
              <w:pStyle w:val="17"/>
              <w:bidi w:val="0"/>
              <w:rPr>
                <w:color w:val="auto"/>
                <w:highlight w:val="none"/>
              </w:rPr>
            </w:pPr>
            <w:r>
              <w:rPr>
                <w:color w:val="auto"/>
                <w:highlight w:val="none"/>
              </w:rPr>
              <w:t>中细碎厂房</w:t>
            </w:r>
          </w:p>
        </w:tc>
        <w:tc>
          <w:tcPr>
            <w:tcW w:w="482" w:type="pct"/>
            <w:shd w:val="clear" w:color="auto" w:fill="auto"/>
            <w:tcMar>
              <w:top w:w="0" w:type="dxa"/>
              <w:left w:w="0" w:type="dxa"/>
              <w:bottom w:w="0" w:type="dxa"/>
              <w:right w:w="0" w:type="dxa"/>
            </w:tcMar>
            <w:vAlign w:val="center"/>
          </w:tcPr>
          <w:p w14:paraId="558FE44D">
            <w:pPr>
              <w:pStyle w:val="17"/>
              <w:bidi w:val="0"/>
              <w:rPr>
                <w:color w:val="auto"/>
                <w:highlight w:val="none"/>
              </w:rPr>
            </w:pPr>
            <w:r>
              <w:rPr>
                <w:color w:val="auto"/>
                <w:highlight w:val="none"/>
              </w:rPr>
              <w:t>液下泵,2台（按点声源组预测）</w:t>
            </w:r>
          </w:p>
        </w:tc>
        <w:tc>
          <w:tcPr>
            <w:tcW w:w="344" w:type="pct"/>
            <w:shd w:val="clear" w:color="auto" w:fill="auto"/>
            <w:tcMar>
              <w:top w:w="0" w:type="dxa"/>
              <w:left w:w="0" w:type="dxa"/>
              <w:bottom w:w="0" w:type="dxa"/>
              <w:right w:w="0" w:type="dxa"/>
            </w:tcMar>
            <w:vAlign w:val="center"/>
          </w:tcPr>
          <w:p w14:paraId="312E9503">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4358D5F6">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19AEF486">
            <w:pPr>
              <w:pStyle w:val="17"/>
              <w:bidi w:val="0"/>
              <w:rPr>
                <w:color w:val="auto"/>
                <w:highlight w:val="none"/>
              </w:rPr>
            </w:pPr>
            <w:r>
              <w:rPr>
                <w:color w:val="auto"/>
                <w:highlight w:val="none"/>
              </w:rPr>
              <w:t>295.6</w:t>
            </w:r>
          </w:p>
        </w:tc>
        <w:tc>
          <w:tcPr>
            <w:tcW w:w="260" w:type="pct"/>
            <w:shd w:val="clear" w:color="auto" w:fill="auto"/>
            <w:tcMar>
              <w:top w:w="0" w:type="dxa"/>
              <w:left w:w="0" w:type="dxa"/>
              <w:bottom w:w="0" w:type="dxa"/>
              <w:right w:w="0" w:type="dxa"/>
            </w:tcMar>
            <w:vAlign w:val="center"/>
          </w:tcPr>
          <w:p w14:paraId="5C888219">
            <w:pPr>
              <w:pStyle w:val="17"/>
              <w:bidi w:val="0"/>
              <w:rPr>
                <w:color w:val="auto"/>
                <w:highlight w:val="none"/>
              </w:rPr>
            </w:pPr>
            <w:r>
              <w:rPr>
                <w:color w:val="auto"/>
                <w:highlight w:val="none"/>
              </w:rPr>
              <w:t>-684.9</w:t>
            </w:r>
          </w:p>
        </w:tc>
        <w:tc>
          <w:tcPr>
            <w:tcW w:w="235" w:type="pct"/>
            <w:shd w:val="clear" w:color="auto" w:fill="auto"/>
            <w:tcMar>
              <w:top w:w="0" w:type="dxa"/>
              <w:left w:w="0" w:type="dxa"/>
              <w:bottom w:w="0" w:type="dxa"/>
              <w:right w:w="0" w:type="dxa"/>
            </w:tcMar>
            <w:vAlign w:val="center"/>
          </w:tcPr>
          <w:p w14:paraId="4842F911">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73EE4D81">
            <w:pPr>
              <w:pStyle w:val="17"/>
              <w:bidi w:val="0"/>
              <w:rPr>
                <w:color w:val="auto"/>
                <w:highlight w:val="none"/>
              </w:rPr>
            </w:pPr>
            <w:r>
              <w:rPr>
                <w:color w:val="auto"/>
                <w:highlight w:val="none"/>
              </w:rPr>
              <w:t>55.3</w:t>
            </w:r>
          </w:p>
        </w:tc>
        <w:tc>
          <w:tcPr>
            <w:tcW w:w="189" w:type="pct"/>
            <w:shd w:val="clear" w:color="auto" w:fill="auto"/>
            <w:tcMar>
              <w:top w:w="0" w:type="dxa"/>
              <w:left w:w="0" w:type="dxa"/>
              <w:bottom w:w="0" w:type="dxa"/>
              <w:right w:w="0" w:type="dxa"/>
            </w:tcMar>
            <w:vAlign w:val="center"/>
          </w:tcPr>
          <w:p w14:paraId="0473C418">
            <w:pPr>
              <w:pStyle w:val="17"/>
              <w:bidi w:val="0"/>
              <w:rPr>
                <w:color w:val="auto"/>
                <w:highlight w:val="none"/>
              </w:rPr>
            </w:pPr>
            <w:r>
              <w:rPr>
                <w:color w:val="auto"/>
                <w:highlight w:val="none"/>
              </w:rPr>
              <w:t>16.3</w:t>
            </w:r>
          </w:p>
        </w:tc>
        <w:tc>
          <w:tcPr>
            <w:tcW w:w="176" w:type="pct"/>
            <w:shd w:val="clear" w:color="auto" w:fill="auto"/>
            <w:tcMar>
              <w:top w:w="0" w:type="dxa"/>
              <w:left w:w="0" w:type="dxa"/>
              <w:bottom w:w="0" w:type="dxa"/>
              <w:right w:w="0" w:type="dxa"/>
            </w:tcMar>
            <w:vAlign w:val="center"/>
          </w:tcPr>
          <w:p w14:paraId="462A1AFC">
            <w:pPr>
              <w:pStyle w:val="17"/>
              <w:bidi w:val="0"/>
              <w:rPr>
                <w:color w:val="auto"/>
                <w:highlight w:val="none"/>
              </w:rPr>
            </w:pPr>
            <w:r>
              <w:rPr>
                <w:color w:val="auto"/>
                <w:highlight w:val="none"/>
              </w:rPr>
              <w:t>56.9</w:t>
            </w:r>
          </w:p>
        </w:tc>
        <w:tc>
          <w:tcPr>
            <w:tcW w:w="158" w:type="pct"/>
            <w:shd w:val="clear" w:color="auto" w:fill="auto"/>
            <w:tcMar>
              <w:top w:w="0" w:type="dxa"/>
              <w:left w:w="0" w:type="dxa"/>
              <w:bottom w:w="0" w:type="dxa"/>
              <w:right w:w="0" w:type="dxa"/>
            </w:tcMar>
            <w:vAlign w:val="center"/>
          </w:tcPr>
          <w:p w14:paraId="35E6E9F7">
            <w:pPr>
              <w:pStyle w:val="17"/>
              <w:bidi w:val="0"/>
              <w:rPr>
                <w:color w:val="auto"/>
                <w:highlight w:val="none"/>
              </w:rPr>
            </w:pPr>
            <w:r>
              <w:rPr>
                <w:color w:val="auto"/>
                <w:highlight w:val="none"/>
              </w:rPr>
              <w:t>36.0</w:t>
            </w:r>
          </w:p>
        </w:tc>
        <w:tc>
          <w:tcPr>
            <w:tcW w:w="167" w:type="pct"/>
            <w:shd w:val="clear" w:color="auto" w:fill="auto"/>
            <w:tcMar>
              <w:top w:w="0" w:type="dxa"/>
              <w:left w:w="0" w:type="dxa"/>
              <w:bottom w:w="0" w:type="dxa"/>
              <w:right w:w="0" w:type="dxa"/>
            </w:tcMar>
            <w:vAlign w:val="center"/>
          </w:tcPr>
          <w:p w14:paraId="5AA80BE6">
            <w:pPr>
              <w:pStyle w:val="17"/>
              <w:bidi w:val="0"/>
              <w:rPr>
                <w:color w:val="auto"/>
                <w:highlight w:val="none"/>
              </w:rPr>
            </w:pPr>
            <w:r>
              <w:rPr>
                <w:color w:val="auto"/>
                <w:highlight w:val="none"/>
              </w:rPr>
              <w:t>60.0</w:t>
            </w:r>
          </w:p>
        </w:tc>
        <w:tc>
          <w:tcPr>
            <w:tcW w:w="167" w:type="pct"/>
            <w:shd w:val="clear" w:color="auto" w:fill="auto"/>
            <w:tcMar>
              <w:top w:w="0" w:type="dxa"/>
              <w:left w:w="0" w:type="dxa"/>
              <w:bottom w:w="0" w:type="dxa"/>
              <w:right w:w="0" w:type="dxa"/>
            </w:tcMar>
            <w:vAlign w:val="center"/>
          </w:tcPr>
          <w:p w14:paraId="5F82B8FA">
            <w:pPr>
              <w:pStyle w:val="17"/>
              <w:bidi w:val="0"/>
              <w:rPr>
                <w:color w:val="auto"/>
                <w:highlight w:val="none"/>
              </w:rPr>
            </w:pPr>
            <w:r>
              <w:rPr>
                <w:color w:val="auto"/>
                <w:highlight w:val="none"/>
              </w:rPr>
              <w:t>60.1</w:t>
            </w:r>
          </w:p>
        </w:tc>
        <w:tc>
          <w:tcPr>
            <w:tcW w:w="185" w:type="pct"/>
            <w:shd w:val="clear" w:color="auto" w:fill="auto"/>
            <w:tcMar>
              <w:top w:w="0" w:type="dxa"/>
              <w:left w:w="0" w:type="dxa"/>
              <w:bottom w:w="0" w:type="dxa"/>
              <w:right w:w="0" w:type="dxa"/>
            </w:tcMar>
            <w:vAlign w:val="center"/>
          </w:tcPr>
          <w:p w14:paraId="4AF35831">
            <w:pPr>
              <w:pStyle w:val="17"/>
              <w:bidi w:val="0"/>
              <w:rPr>
                <w:color w:val="auto"/>
                <w:highlight w:val="none"/>
              </w:rPr>
            </w:pPr>
            <w:r>
              <w:rPr>
                <w:color w:val="auto"/>
                <w:highlight w:val="none"/>
              </w:rPr>
              <w:t>60.0</w:t>
            </w:r>
          </w:p>
        </w:tc>
        <w:tc>
          <w:tcPr>
            <w:tcW w:w="163" w:type="pct"/>
            <w:shd w:val="clear" w:color="auto" w:fill="auto"/>
            <w:tcMar>
              <w:top w:w="0" w:type="dxa"/>
              <w:left w:w="0" w:type="dxa"/>
              <w:bottom w:w="0" w:type="dxa"/>
              <w:right w:w="0" w:type="dxa"/>
            </w:tcMar>
            <w:vAlign w:val="center"/>
          </w:tcPr>
          <w:p w14:paraId="56956EC6">
            <w:pPr>
              <w:pStyle w:val="17"/>
              <w:bidi w:val="0"/>
              <w:rPr>
                <w:color w:val="auto"/>
                <w:highlight w:val="none"/>
              </w:rPr>
            </w:pPr>
            <w:r>
              <w:rPr>
                <w:color w:val="auto"/>
                <w:highlight w:val="none"/>
              </w:rPr>
              <w:t>60.0</w:t>
            </w:r>
          </w:p>
        </w:tc>
        <w:tc>
          <w:tcPr>
            <w:tcW w:w="277" w:type="pct"/>
            <w:shd w:val="clear" w:color="auto" w:fill="auto"/>
            <w:tcMar>
              <w:top w:w="0" w:type="dxa"/>
              <w:left w:w="0" w:type="dxa"/>
              <w:bottom w:w="0" w:type="dxa"/>
              <w:right w:w="0" w:type="dxa"/>
            </w:tcMar>
            <w:vAlign w:val="center"/>
          </w:tcPr>
          <w:p w14:paraId="5C0969F5">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1CBEB833">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1A8A81A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50.0</w:t>
            </w:r>
          </w:p>
        </w:tc>
        <w:tc>
          <w:tcPr>
            <w:tcW w:w="288" w:type="pct"/>
            <w:shd w:val="clear" w:color="auto" w:fill="auto"/>
            <w:tcMar>
              <w:top w:w="0" w:type="dxa"/>
              <w:left w:w="0" w:type="dxa"/>
              <w:bottom w:w="0" w:type="dxa"/>
              <w:right w:w="0" w:type="dxa"/>
            </w:tcMar>
            <w:vAlign w:val="center"/>
          </w:tcPr>
          <w:p w14:paraId="286F3FB5">
            <w:pPr>
              <w:pStyle w:val="17"/>
              <w:bidi w:val="0"/>
              <w:ind w:firstLine="0" w:firstLineChars="0"/>
              <w:rPr>
                <w:color w:val="auto"/>
                <w:highlight w:val="none"/>
              </w:rPr>
            </w:pPr>
            <w:r>
              <w:rPr>
                <w:rFonts w:hint="eastAsia"/>
                <w:color w:val="auto"/>
                <w:highlight w:val="none"/>
                <w:lang w:val="en-US" w:eastAsia="zh-CN"/>
              </w:rPr>
              <w:t>1</w:t>
            </w:r>
          </w:p>
        </w:tc>
      </w:tr>
      <w:tr w14:paraId="61B3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9EC5B2C">
            <w:pPr>
              <w:pStyle w:val="17"/>
              <w:bidi w:val="0"/>
              <w:rPr>
                <w:color w:val="auto"/>
                <w:highlight w:val="none"/>
              </w:rPr>
            </w:pPr>
            <w:r>
              <w:rPr>
                <w:color w:val="auto"/>
                <w:highlight w:val="none"/>
              </w:rPr>
              <w:t>11</w:t>
            </w:r>
          </w:p>
        </w:tc>
        <w:tc>
          <w:tcPr>
            <w:tcW w:w="234" w:type="pct"/>
            <w:shd w:val="clear" w:color="auto" w:fill="auto"/>
            <w:tcMar>
              <w:top w:w="0" w:type="dxa"/>
              <w:left w:w="0" w:type="dxa"/>
              <w:bottom w:w="0" w:type="dxa"/>
              <w:right w:w="0" w:type="dxa"/>
            </w:tcMar>
            <w:vAlign w:val="center"/>
          </w:tcPr>
          <w:p w14:paraId="2B48274F">
            <w:pPr>
              <w:pStyle w:val="17"/>
              <w:bidi w:val="0"/>
              <w:rPr>
                <w:color w:val="auto"/>
                <w:highlight w:val="none"/>
              </w:rPr>
            </w:pPr>
            <w:r>
              <w:rPr>
                <w:color w:val="auto"/>
                <w:highlight w:val="none"/>
              </w:rPr>
              <w:t>筛分厂房</w:t>
            </w:r>
          </w:p>
        </w:tc>
        <w:tc>
          <w:tcPr>
            <w:tcW w:w="482" w:type="pct"/>
            <w:shd w:val="clear" w:color="auto" w:fill="auto"/>
            <w:tcMar>
              <w:top w:w="0" w:type="dxa"/>
              <w:left w:w="0" w:type="dxa"/>
              <w:bottom w:w="0" w:type="dxa"/>
              <w:right w:w="0" w:type="dxa"/>
            </w:tcMar>
            <w:vAlign w:val="center"/>
          </w:tcPr>
          <w:p w14:paraId="055A071E">
            <w:pPr>
              <w:pStyle w:val="17"/>
              <w:bidi w:val="0"/>
              <w:rPr>
                <w:color w:val="auto"/>
                <w:highlight w:val="none"/>
              </w:rPr>
            </w:pPr>
            <w:r>
              <w:rPr>
                <w:color w:val="auto"/>
                <w:highlight w:val="none"/>
              </w:rPr>
              <w:t>双层重型振动筛,2台（按点声源组预测）</w:t>
            </w:r>
          </w:p>
        </w:tc>
        <w:tc>
          <w:tcPr>
            <w:tcW w:w="344" w:type="pct"/>
            <w:shd w:val="clear" w:color="auto" w:fill="auto"/>
            <w:tcMar>
              <w:top w:w="0" w:type="dxa"/>
              <w:left w:w="0" w:type="dxa"/>
              <w:bottom w:w="0" w:type="dxa"/>
              <w:right w:w="0" w:type="dxa"/>
            </w:tcMar>
            <w:vAlign w:val="center"/>
          </w:tcPr>
          <w:p w14:paraId="7CD5947A">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41285316">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A7927B3">
            <w:pPr>
              <w:pStyle w:val="17"/>
              <w:bidi w:val="0"/>
              <w:rPr>
                <w:color w:val="auto"/>
                <w:highlight w:val="none"/>
              </w:rPr>
            </w:pPr>
            <w:r>
              <w:rPr>
                <w:color w:val="auto"/>
                <w:highlight w:val="none"/>
              </w:rPr>
              <w:t>191.9</w:t>
            </w:r>
          </w:p>
        </w:tc>
        <w:tc>
          <w:tcPr>
            <w:tcW w:w="260" w:type="pct"/>
            <w:shd w:val="clear" w:color="auto" w:fill="auto"/>
            <w:tcMar>
              <w:top w:w="0" w:type="dxa"/>
              <w:left w:w="0" w:type="dxa"/>
              <w:bottom w:w="0" w:type="dxa"/>
              <w:right w:w="0" w:type="dxa"/>
            </w:tcMar>
            <w:vAlign w:val="center"/>
          </w:tcPr>
          <w:p w14:paraId="47BF8306">
            <w:pPr>
              <w:pStyle w:val="17"/>
              <w:bidi w:val="0"/>
              <w:rPr>
                <w:color w:val="auto"/>
                <w:highlight w:val="none"/>
              </w:rPr>
            </w:pPr>
            <w:r>
              <w:rPr>
                <w:color w:val="auto"/>
                <w:highlight w:val="none"/>
              </w:rPr>
              <w:t>-726.9</w:t>
            </w:r>
          </w:p>
        </w:tc>
        <w:tc>
          <w:tcPr>
            <w:tcW w:w="235" w:type="pct"/>
            <w:shd w:val="clear" w:color="auto" w:fill="auto"/>
            <w:tcMar>
              <w:top w:w="0" w:type="dxa"/>
              <w:left w:w="0" w:type="dxa"/>
              <w:bottom w:w="0" w:type="dxa"/>
              <w:right w:w="0" w:type="dxa"/>
            </w:tcMar>
            <w:vAlign w:val="center"/>
          </w:tcPr>
          <w:p w14:paraId="5133B10D">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2DC20009">
            <w:pPr>
              <w:pStyle w:val="17"/>
              <w:bidi w:val="0"/>
              <w:rPr>
                <w:color w:val="auto"/>
                <w:highlight w:val="none"/>
              </w:rPr>
            </w:pPr>
            <w:r>
              <w:rPr>
                <w:color w:val="auto"/>
                <w:highlight w:val="none"/>
              </w:rPr>
              <w:t>19.8</w:t>
            </w:r>
          </w:p>
        </w:tc>
        <w:tc>
          <w:tcPr>
            <w:tcW w:w="189" w:type="pct"/>
            <w:shd w:val="clear" w:color="auto" w:fill="auto"/>
            <w:tcMar>
              <w:top w:w="0" w:type="dxa"/>
              <w:left w:w="0" w:type="dxa"/>
              <w:bottom w:w="0" w:type="dxa"/>
              <w:right w:w="0" w:type="dxa"/>
            </w:tcMar>
            <w:vAlign w:val="center"/>
          </w:tcPr>
          <w:p w14:paraId="0F1C69A3">
            <w:pPr>
              <w:pStyle w:val="17"/>
              <w:bidi w:val="0"/>
              <w:rPr>
                <w:color w:val="auto"/>
                <w:highlight w:val="none"/>
              </w:rPr>
            </w:pPr>
            <w:r>
              <w:rPr>
                <w:color w:val="auto"/>
                <w:highlight w:val="none"/>
              </w:rPr>
              <w:t>23.2</w:t>
            </w:r>
          </w:p>
        </w:tc>
        <w:tc>
          <w:tcPr>
            <w:tcW w:w="176" w:type="pct"/>
            <w:shd w:val="clear" w:color="auto" w:fill="auto"/>
            <w:tcMar>
              <w:top w:w="0" w:type="dxa"/>
              <w:left w:w="0" w:type="dxa"/>
              <w:bottom w:w="0" w:type="dxa"/>
              <w:right w:w="0" w:type="dxa"/>
            </w:tcMar>
            <w:vAlign w:val="center"/>
          </w:tcPr>
          <w:p w14:paraId="67644DF5">
            <w:pPr>
              <w:pStyle w:val="17"/>
              <w:bidi w:val="0"/>
              <w:rPr>
                <w:color w:val="auto"/>
                <w:highlight w:val="none"/>
              </w:rPr>
            </w:pPr>
            <w:r>
              <w:rPr>
                <w:color w:val="auto"/>
                <w:highlight w:val="none"/>
              </w:rPr>
              <w:t>55.9</w:t>
            </w:r>
          </w:p>
        </w:tc>
        <w:tc>
          <w:tcPr>
            <w:tcW w:w="158" w:type="pct"/>
            <w:shd w:val="clear" w:color="auto" w:fill="auto"/>
            <w:tcMar>
              <w:top w:w="0" w:type="dxa"/>
              <w:left w:w="0" w:type="dxa"/>
              <w:bottom w:w="0" w:type="dxa"/>
              <w:right w:w="0" w:type="dxa"/>
            </w:tcMar>
            <w:vAlign w:val="center"/>
          </w:tcPr>
          <w:p w14:paraId="48476D74">
            <w:pPr>
              <w:pStyle w:val="17"/>
              <w:bidi w:val="0"/>
              <w:rPr>
                <w:color w:val="auto"/>
                <w:highlight w:val="none"/>
              </w:rPr>
            </w:pPr>
            <w:r>
              <w:rPr>
                <w:color w:val="auto"/>
                <w:highlight w:val="none"/>
              </w:rPr>
              <w:t>17.9</w:t>
            </w:r>
          </w:p>
        </w:tc>
        <w:tc>
          <w:tcPr>
            <w:tcW w:w="167" w:type="pct"/>
            <w:shd w:val="clear" w:color="auto" w:fill="auto"/>
            <w:tcMar>
              <w:top w:w="0" w:type="dxa"/>
              <w:left w:w="0" w:type="dxa"/>
              <w:bottom w:w="0" w:type="dxa"/>
              <w:right w:w="0" w:type="dxa"/>
            </w:tcMar>
            <w:vAlign w:val="center"/>
          </w:tcPr>
          <w:p w14:paraId="104388C3">
            <w:pPr>
              <w:pStyle w:val="17"/>
              <w:bidi w:val="0"/>
              <w:rPr>
                <w:color w:val="auto"/>
                <w:highlight w:val="none"/>
              </w:rPr>
            </w:pPr>
            <w:r>
              <w:rPr>
                <w:color w:val="auto"/>
                <w:highlight w:val="none"/>
              </w:rPr>
              <w:t>61.5</w:t>
            </w:r>
          </w:p>
        </w:tc>
        <w:tc>
          <w:tcPr>
            <w:tcW w:w="167" w:type="pct"/>
            <w:shd w:val="clear" w:color="auto" w:fill="auto"/>
            <w:tcMar>
              <w:top w:w="0" w:type="dxa"/>
              <w:left w:w="0" w:type="dxa"/>
              <w:bottom w:w="0" w:type="dxa"/>
              <w:right w:w="0" w:type="dxa"/>
            </w:tcMar>
            <w:vAlign w:val="center"/>
          </w:tcPr>
          <w:p w14:paraId="20CB8A90">
            <w:pPr>
              <w:pStyle w:val="17"/>
              <w:bidi w:val="0"/>
              <w:rPr>
                <w:color w:val="auto"/>
                <w:highlight w:val="none"/>
              </w:rPr>
            </w:pPr>
            <w:r>
              <w:rPr>
                <w:color w:val="auto"/>
                <w:highlight w:val="none"/>
              </w:rPr>
              <w:t>61.5</w:t>
            </w:r>
          </w:p>
        </w:tc>
        <w:tc>
          <w:tcPr>
            <w:tcW w:w="185" w:type="pct"/>
            <w:shd w:val="clear" w:color="auto" w:fill="auto"/>
            <w:tcMar>
              <w:top w:w="0" w:type="dxa"/>
              <w:left w:w="0" w:type="dxa"/>
              <w:bottom w:w="0" w:type="dxa"/>
              <w:right w:w="0" w:type="dxa"/>
            </w:tcMar>
            <w:vAlign w:val="center"/>
          </w:tcPr>
          <w:p w14:paraId="7A5AC1DC">
            <w:pPr>
              <w:pStyle w:val="17"/>
              <w:bidi w:val="0"/>
              <w:rPr>
                <w:color w:val="auto"/>
                <w:highlight w:val="none"/>
              </w:rPr>
            </w:pPr>
            <w:r>
              <w:rPr>
                <w:color w:val="auto"/>
                <w:highlight w:val="none"/>
              </w:rPr>
              <w:t>61.5</w:t>
            </w:r>
          </w:p>
        </w:tc>
        <w:tc>
          <w:tcPr>
            <w:tcW w:w="163" w:type="pct"/>
            <w:shd w:val="clear" w:color="auto" w:fill="auto"/>
            <w:tcMar>
              <w:top w:w="0" w:type="dxa"/>
              <w:left w:w="0" w:type="dxa"/>
              <w:bottom w:w="0" w:type="dxa"/>
              <w:right w:w="0" w:type="dxa"/>
            </w:tcMar>
            <w:vAlign w:val="center"/>
          </w:tcPr>
          <w:p w14:paraId="3185AE43">
            <w:pPr>
              <w:pStyle w:val="17"/>
              <w:bidi w:val="0"/>
              <w:rPr>
                <w:color w:val="auto"/>
                <w:highlight w:val="none"/>
              </w:rPr>
            </w:pPr>
            <w:r>
              <w:rPr>
                <w:color w:val="auto"/>
                <w:highlight w:val="none"/>
              </w:rPr>
              <w:t>61.5</w:t>
            </w:r>
          </w:p>
        </w:tc>
        <w:tc>
          <w:tcPr>
            <w:tcW w:w="277" w:type="pct"/>
            <w:shd w:val="clear" w:color="auto" w:fill="auto"/>
            <w:tcMar>
              <w:top w:w="0" w:type="dxa"/>
              <w:left w:w="0" w:type="dxa"/>
              <w:bottom w:w="0" w:type="dxa"/>
              <w:right w:w="0" w:type="dxa"/>
            </w:tcMar>
            <w:vAlign w:val="center"/>
          </w:tcPr>
          <w:p w14:paraId="278BEF15">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11CD471E">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7C50488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51.5</w:t>
            </w:r>
          </w:p>
        </w:tc>
        <w:tc>
          <w:tcPr>
            <w:tcW w:w="288" w:type="pct"/>
            <w:shd w:val="clear" w:color="auto" w:fill="auto"/>
            <w:tcMar>
              <w:top w:w="0" w:type="dxa"/>
              <w:left w:w="0" w:type="dxa"/>
              <w:bottom w:w="0" w:type="dxa"/>
              <w:right w:w="0" w:type="dxa"/>
            </w:tcMar>
            <w:vAlign w:val="center"/>
          </w:tcPr>
          <w:p w14:paraId="756A8A0C">
            <w:pPr>
              <w:pStyle w:val="17"/>
              <w:bidi w:val="0"/>
              <w:ind w:firstLine="0" w:firstLineChars="0"/>
              <w:rPr>
                <w:color w:val="auto"/>
                <w:highlight w:val="none"/>
              </w:rPr>
            </w:pPr>
            <w:r>
              <w:rPr>
                <w:rFonts w:hint="eastAsia"/>
                <w:color w:val="auto"/>
                <w:highlight w:val="none"/>
                <w:lang w:val="en-US" w:eastAsia="zh-CN"/>
              </w:rPr>
              <w:t>1</w:t>
            </w:r>
          </w:p>
        </w:tc>
      </w:tr>
      <w:tr w14:paraId="37F0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20B6E62">
            <w:pPr>
              <w:pStyle w:val="17"/>
              <w:bidi w:val="0"/>
              <w:rPr>
                <w:color w:val="auto"/>
                <w:highlight w:val="none"/>
              </w:rPr>
            </w:pPr>
            <w:r>
              <w:rPr>
                <w:color w:val="auto"/>
                <w:highlight w:val="none"/>
              </w:rPr>
              <w:t>12</w:t>
            </w:r>
          </w:p>
        </w:tc>
        <w:tc>
          <w:tcPr>
            <w:tcW w:w="234" w:type="pct"/>
            <w:shd w:val="clear" w:color="auto" w:fill="auto"/>
            <w:tcMar>
              <w:top w:w="0" w:type="dxa"/>
              <w:left w:w="0" w:type="dxa"/>
              <w:bottom w:w="0" w:type="dxa"/>
              <w:right w:w="0" w:type="dxa"/>
            </w:tcMar>
            <w:vAlign w:val="center"/>
          </w:tcPr>
          <w:p w14:paraId="3C72AEEF">
            <w:pPr>
              <w:pStyle w:val="17"/>
              <w:bidi w:val="0"/>
              <w:rPr>
                <w:color w:val="auto"/>
                <w:highlight w:val="none"/>
              </w:rPr>
            </w:pPr>
            <w:r>
              <w:rPr>
                <w:color w:val="auto"/>
                <w:highlight w:val="none"/>
              </w:rPr>
              <w:t>筛分厂房</w:t>
            </w:r>
          </w:p>
        </w:tc>
        <w:tc>
          <w:tcPr>
            <w:tcW w:w="482" w:type="pct"/>
            <w:shd w:val="clear" w:color="auto" w:fill="auto"/>
            <w:tcMar>
              <w:top w:w="0" w:type="dxa"/>
              <w:left w:w="0" w:type="dxa"/>
              <w:bottom w:w="0" w:type="dxa"/>
              <w:right w:w="0" w:type="dxa"/>
            </w:tcMar>
            <w:vAlign w:val="center"/>
          </w:tcPr>
          <w:p w14:paraId="71507D4C">
            <w:pPr>
              <w:pStyle w:val="17"/>
              <w:bidi w:val="0"/>
              <w:rPr>
                <w:color w:val="auto"/>
                <w:highlight w:val="none"/>
              </w:rPr>
            </w:pPr>
            <w:r>
              <w:rPr>
                <w:color w:val="auto"/>
                <w:highlight w:val="none"/>
              </w:rPr>
              <w:t>移动式皮带给矿机,2台（按点声源组预测）</w:t>
            </w:r>
          </w:p>
        </w:tc>
        <w:tc>
          <w:tcPr>
            <w:tcW w:w="344" w:type="pct"/>
            <w:shd w:val="clear" w:color="auto" w:fill="auto"/>
            <w:tcMar>
              <w:top w:w="0" w:type="dxa"/>
              <w:left w:w="0" w:type="dxa"/>
              <w:bottom w:w="0" w:type="dxa"/>
              <w:right w:w="0" w:type="dxa"/>
            </w:tcMar>
            <w:vAlign w:val="center"/>
          </w:tcPr>
          <w:p w14:paraId="425E2B9B">
            <w:pPr>
              <w:pStyle w:val="17"/>
              <w:bidi w:val="0"/>
              <w:rPr>
                <w:rFonts w:hint="eastAsia" w:eastAsia="宋体"/>
                <w:color w:val="auto"/>
                <w:highlight w:val="none"/>
                <w:lang w:eastAsia="zh-CN"/>
              </w:rPr>
            </w:pPr>
            <w:r>
              <w:rPr>
                <w:color w:val="auto"/>
                <w:highlight w:val="none"/>
              </w:rPr>
              <w:t>70（等效后：73.0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7C88CB53">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0D8B635D">
            <w:pPr>
              <w:pStyle w:val="17"/>
              <w:bidi w:val="0"/>
              <w:rPr>
                <w:color w:val="auto"/>
                <w:highlight w:val="none"/>
              </w:rPr>
            </w:pPr>
            <w:r>
              <w:rPr>
                <w:color w:val="auto"/>
                <w:highlight w:val="none"/>
              </w:rPr>
              <w:t>177.9</w:t>
            </w:r>
          </w:p>
        </w:tc>
        <w:tc>
          <w:tcPr>
            <w:tcW w:w="260" w:type="pct"/>
            <w:shd w:val="clear" w:color="auto" w:fill="auto"/>
            <w:tcMar>
              <w:top w:w="0" w:type="dxa"/>
              <w:left w:w="0" w:type="dxa"/>
              <w:bottom w:w="0" w:type="dxa"/>
              <w:right w:w="0" w:type="dxa"/>
            </w:tcMar>
            <w:vAlign w:val="center"/>
          </w:tcPr>
          <w:p w14:paraId="0647A16B">
            <w:pPr>
              <w:pStyle w:val="17"/>
              <w:bidi w:val="0"/>
              <w:rPr>
                <w:color w:val="auto"/>
                <w:highlight w:val="none"/>
              </w:rPr>
            </w:pPr>
            <w:r>
              <w:rPr>
                <w:color w:val="auto"/>
                <w:highlight w:val="none"/>
              </w:rPr>
              <w:t>-733.5</w:t>
            </w:r>
          </w:p>
        </w:tc>
        <w:tc>
          <w:tcPr>
            <w:tcW w:w="235" w:type="pct"/>
            <w:shd w:val="clear" w:color="auto" w:fill="auto"/>
            <w:tcMar>
              <w:top w:w="0" w:type="dxa"/>
              <w:left w:w="0" w:type="dxa"/>
              <w:bottom w:w="0" w:type="dxa"/>
              <w:right w:w="0" w:type="dxa"/>
            </w:tcMar>
            <w:vAlign w:val="center"/>
          </w:tcPr>
          <w:p w14:paraId="54060DEA">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2AE1946F">
            <w:pPr>
              <w:pStyle w:val="17"/>
              <w:bidi w:val="0"/>
              <w:rPr>
                <w:color w:val="auto"/>
                <w:highlight w:val="none"/>
              </w:rPr>
            </w:pPr>
            <w:r>
              <w:rPr>
                <w:color w:val="auto"/>
                <w:highlight w:val="none"/>
              </w:rPr>
              <w:t>35.3</w:t>
            </w:r>
          </w:p>
        </w:tc>
        <w:tc>
          <w:tcPr>
            <w:tcW w:w="189" w:type="pct"/>
            <w:shd w:val="clear" w:color="auto" w:fill="auto"/>
            <w:tcMar>
              <w:top w:w="0" w:type="dxa"/>
              <w:left w:w="0" w:type="dxa"/>
              <w:bottom w:w="0" w:type="dxa"/>
              <w:right w:w="0" w:type="dxa"/>
            </w:tcMar>
            <w:vAlign w:val="center"/>
          </w:tcPr>
          <w:p w14:paraId="7298BB58">
            <w:pPr>
              <w:pStyle w:val="17"/>
              <w:bidi w:val="0"/>
              <w:rPr>
                <w:color w:val="auto"/>
                <w:highlight w:val="none"/>
              </w:rPr>
            </w:pPr>
            <w:r>
              <w:rPr>
                <w:color w:val="auto"/>
                <w:highlight w:val="none"/>
              </w:rPr>
              <w:t>23.4</w:t>
            </w:r>
          </w:p>
        </w:tc>
        <w:tc>
          <w:tcPr>
            <w:tcW w:w="176" w:type="pct"/>
            <w:shd w:val="clear" w:color="auto" w:fill="auto"/>
            <w:tcMar>
              <w:top w:w="0" w:type="dxa"/>
              <w:left w:w="0" w:type="dxa"/>
              <w:bottom w:w="0" w:type="dxa"/>
              <w:right w:w="0" w:type="dxa"/>
            </w:tcMar>
            <w:vAlign w:val="center"/>
          </w:tcPr>
          <w:p w14:paraId="0252F86D">
            <w:pPr>
              <w:pStyle w:val="17"/>
              <w:bidi w:val="0"/>
              <w:rPr>
                <w:color w:val="auto"/>
                <w:highlight w:val="none"/>
              </w:rPr>
            </w:pPr>
            <w:r>
              <w:rPr>
                <w:color w:val="auto"/>
                <w:highlight w:val="none"/>
              </w:rPr>
              <w:t>40.5</w:t>
            </w:r>
          </w:p>
        </w:tc>
        <w:tc>
          <w:tcPr>
            <w:tcW w:w="158" w:type="pct"/>
            <w:shd w:val="clear" w:color="auto" w:fill="auto"/>
            <w:tcMar>
              <w:top w:w="0" w:type="dxa"/>
              <w:left w:w="0" w:type="dxa"/>
              <w:bottom w:w="0" w:type="dxa"/>
              <w:right w:w="0" w:type="dxa"/>
            </w:tcMar>
            <w:vAlign w:val="center"/>
          </w:tcPr>
          <w:p w14:paraId="04A97763">
            <w:pPr>
              <w:pStyle w:val="17"/>
              <w:bidi w:val="0"/>
              <w:rPr>
                <w:color w:val="auto"/>
                <w:highlight w:val="none"/>
              </w:rPr>
            </w:pPr>
            <w:r>
              <w:rPr>
                <w:color w:val="auto"/>
                <w:highlight w:val="none"/>
              </w:rPr>
              <w:t>17.7</w:t>
            </w:r>
          </w:p>
        </w:tc>
        <w:tc>
          <w:tcPr>
            <w:tcW w:w="167" w:type="pct"/>
            <w:shd w:val="clear" w:color="auto" w:fill="auto"/>
            <w:tcMar>
              <w:top w:w="0" w:type="dxa"/>
              <w:left w:w="0" w:type="dxa"/>
              <w:bottom w:w="0" w:type="dxa"/>
              <w:right w:w="0" w:type="dxa"/>
            </w:tcMar>
            <w:vAlign w:val="center"/>
          </w:tcPr>
          <w:p w14:paraId="2C7F79C1">
            <w:pPr>
              <w:pStyle w:val="17"/>
              <w:bidi w:val="0"/>
              <w:rPr>
                <w:color w:val="auto"/>
                <w:highlight w:val="none"/>
              </w:rPr>
            </w:pPr>
            <w:r>
              <w:rPr>
                <w:color w:val="auto"/>
                <w:highlight w:val="none"/>
              </w:rPr>
              <w:t>56.5</w:t>
            </w:r>
          </w:p>
        </w:tc>
        <w:tc>
          <w:tcPr>
            <w:tcW w:w="167" w:type="pct"/>
            <w:shd w:val="clear" w:color="auto" w:fill="auto"/>
            <w:tcMar>
              <w:top w:w="0" w:type="dxa"/>
              <w:left w:w="0" w:type="dxa"/>
              <w:bottom w:w="0" w:type="dxa"/>
              <w:right w:w="0" w:type="dxa"/>
            </w:tcMar>
            <w:vAlign w:val="center"/>
          </w:tcPr>
          <w:p w14:paraId="152015B5">
            <w:pPr>
              <w:pStyle w:val="17"/>
              <w:bidi w:val="0"/>
              <w:rPr>
                <w:color w:val="auto"/>
                <w:highlight w:val="none"/>
              </w:rPr>
            </w:pPr>
            <w:r>
              <w:rPr>
                <w:color w:val="auto"/>
                <w:highlight w:val="none"/>
              </w:rPr>
              <w:t>56.5</w:t>
            </w:r>
          </w:p>
        </w:tc>
        <w:tc>
          <w:tcPr>
            <w:tcW w:w="185" w:type="pct"/>
            <w:shd w:val="clear" w:color="auto" w:fill="auto"/>
            <w:tcMar>
              <w:top w:w="0" w:type="dxa"/>
              <w:left w:w="0" w:type="dxa"/>
              <w:bottom w:w="0" w:type="dxa"/>
              <w:right w:w="0" w:type="dxa"/>
            </w:tcMar>
            <w:vAlign w:val="center"/>
          </w:tcPr>
          <w:p w14:paraId="1908627F">
            <w:pPr>
              <w:pStyle w:val="17"/>
              <w:bidi w:val="0"/>
              <w:rPr>
                <w:color w:val="auto"/>
                <w:highlight w:val="none"/>
              </w:rPr>
            </w:pPr>
            <w:r>
              <w:rPr>
                <w:color w:val="auto"/>
                <w:highlight w:val="none"/>
              </w:rPr>
              <w:t>56.5</w:t>
            </w:r>
          </w:p>
        </w:tc>
        <w:tc>
          <w:tcPr>
            <w:tcW w:w="163" w:type="pct"/>
            <w:shd w:val="clear" w:color="auto" w:fill="auto"/>
            <w:tcMar>
              <w:top w:w="0" w:type="dxa"/>
              <w:left w:w="0" w:type="dxa"/>
              <w:bottom w:w="0" w:type="dxa"/>
              <w:right w:w="0" w:type="dxa"/>
            </w:tcMar>
            <w:vAlign w:val="center"/>
          </w:tcPr>
          <w:p w14:paraId="5677B05D">
            <w:pPr>
              <w:pStyle w:val="17"/>
              <w:bidi w:val="0"/>
              <w:rPr>
                <w:color w:val="auto"/>
                <w:highlight w:val="none"/>
              </w:rPr>
            </w:pPr>
            <w:r>
              <w:rPr>
                <w:color w:val="auto"/>
                <w:highlight w:val="none"/>
              </w:rPr>
              <w:t>56.5</w:t>
            </w:r>
          </w:p>
        </w:tc>
        <w:tc>
          <w:tcPr>
            <w:tcW w:w="277" w:type="pct"/>
            <w:shd w:val="clear" w:color="auto" w:fill="auto"/>
            <w:tcMar>
              <w:top w:w="0" w:type="dxa"/>
              <w:left w:w="0" w:type="dxa"/>
              <w:bottom w:w="0" w:type="dxa"/>
              <w:right w:w="0" w:type="dxa"/>
            </w:tcMar>
            <w:vAlign w:val="center"/>
          </w:tcPr>
          <w:p w14:paraId="19E41BF8">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69C4A610">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37BDD7B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46.5</w:t>
            </w:r>
          </w:p>
        </w:tc>
        <w:tc>
          <w:tcPr>
            <w:tcW w:w="288" w:type="pct"/>
            <w:shd w:val="clear" w:color="auto" w:fill="auto"/>
            <w:tcMar>
              <w:top w:w="0" w:type="dxa"/>
              <w:left w:w="0" w:type="dxa"/>
              <w:bottom w:w="0" w:type="dxa"/>
              <w:right w:w="0" w:type="dxa"/>
            </w:tcMar>
            <w:vAlign w:val="center"/>
          </w:tcPr>
          <w:p w14:paraId="5AF304EB">
            <w:pPr>
              <w:pStyle w:val="17"/>
              <w:bidi w:val="0"/>
              <w:ind w:firstLine="0" w:firstLineChars="0"/>
              <w:rPr>
                <w:color w:val="auto"/>
                <w:highlight w:val="none"/>
              </w:rPr>
            </w:pPr>
            <w:r>
              <w:rPr>
                <w:rFonts w:hint="eastAsia"/>
                <w:color w:val="auto"/>
                <w:highlight w:val="none"/>
                <w:lang w:val="en-US" w:eastAsia="zh-CN"/>
              </w:rPr>
              <w:t>1</w:t>
            </w:r>
          </w:p>
        </w:tc>
      </w:tr>
      <w:tr w14:paraId="0701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BEFD5CB">
            <w:pPr>
              <w:pStyle w:val="17"/>
              <w:bidi w:val="0"/>
              <w:rPr>
                <w:color w:val="auto"/>
                <w:highlight w:val="none"/>
              </w:rPr>
            </w:pPr>
            <w:r>
              <w:rPr>
                <w:color w:val="auto"/>
                <w:highlight w:val="none"/>
              </w:rPr>
              <w:t>13</w:t>
            </w:r>
          </w:p>
        </w:tc>
        <w:tc>
          <w:tcPr>
            <w:tcW w:w="234" w:type="pct"/>
            <w:shd w:val="clear" w:color="auto" w:fill="auto"/>
            <w:tcMar>
              <w:top w:w="0" w:type="dxa"/>
              <w:left w:w="0" w:type="dxa"/>
              <w:bottom w:w="0" w:type="dxa"/>
              <w:right w:w="0" w:type="dxa"/>
            </w:tcMar>
            <w:vAlign w:val="center"/>
          </w:tcPr>
          <w:p w14:paraId="5F084B58">
            <w:pPr>
              <w:pStyle w:val="17"/>
              <w:bidi w:val="0"/>
              <w:rPr>
                <w:color w:val="auto"/>
                <w:highlight w:val="none"/>
              </w:rPr>
            </w:pPr>
            <w:r>
              <w:rPr>
                <w:color w:val="auto"/>
                <w:highlight w:val="none"/>
              </w:rPr>
              <w:t>筛分厂房</w:t>
            </w:r>
          </w:p>
        </w:tc>
        <w:tc>
          <w:tcPr>
            <w:tcW w:w="482" w:type="pct"/>
            <w:shd w:val="clear" w:color="auto" w:fill="auto"/>
            <w:tcMar>
              <w:top w:w="0" w:type="dxa"/>
              <w:left w:w="0" w:type="dxa"/>
              <w:bottom w:w="0" w:type="dxa"/>
              <w:right w:w="0" w:type="dxa"/>
            </w:tcMar>
            <w:vAlign w:val="center"/>
          </w:tcPr>
          <w:p w14:paraId="1EC8E570">
            <w:pPr>
              <w:pStyle w:val="17"/>
              <w:bidi w:val="0"/>
              <w:rPr>
                <w:color w:val="auto"/>
                <w:highlight w:val="none"/>
              </w:rPr>
            </w:pPr>
            <w:r>
              <w:rPr>
                <w:color w:val="auto"/>
                <w:highlight w:val="none"/>
              </w:rPr>
              <w:t>液下泵</w:t>
            </w:r>
          </w:p>
        </w:tc>
        <w:tc>
          <w:tcPr>
            <w:tcW w:w="344" w:type="pct"/>
            <w:shd w:val="clear" w:color="auto" w:fill="auto"/>
            <w:tcMar>
              <w:top w:w="0" w:type="dxa"/>
              <w:left w:w="0" w:type="dxa"/>
              <w:bottom w:w="0" w:type="dxa"/>
              <w:right w:w="0" w:type="dxa"/>
            </w:tcMar>
            <w:vAlign w:val="center"/>
          </w:tcPr>
          <w:p w14:paraId="36DBC5C9">
            <w:pPr>
              <w:pStyle w:val="17"/>
              <w:bidi w:val="0"/>
              <w:rPr>
                <w:color w:val="auto"/>
                <w:highlight w:val="none"/>
              </w:rPr>
            </w:pPr>
            <w:r>
              <w:rPr>
                <w:color w:val="auto"/>
                <w:highlight w:val="none"/>
              </w:rPr>
              <w:t>75</w:t>
            </w:r>
          </w:p>
        </w:tc>
        <w:tc>
          <w:tcPr>
            <w:tcW w:w="361" w:type="pct"/>
            <w:vMerge w:val="continue"/>
            <w:shd w:val="clear" w:color="auto" w:fill="auto"/>
            <w:tcMar>
              <w:top w:w="0" w:type="dxa"/>
              <w:left w:w="0" w:type="dxa"/>
              <w:bottom w:w="0" w:type="dxa"/>
              <w:right w:w="0" w:type="dxa"/>
            </w:tcMar>
            <w:vAlign w:val="center"/>
          </w:tcPr>
          <w:p w14:paraId="0AC1191D">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16D34EC9">
            <w:pPr>
              <w:pStyle w:val="17"/>
              <w:bidi w:val="0"/>
              <w:rPr>
                <w:color w:val="auto"/>
                <w:highlight w:val="none"/>
              </w:rPr>
            </w:pPr>
            <w:r>
              <w:rPr>
                <w:color w:val="auto"/>
                <w:highlight w:val="none"/>
              </w:rPr>
              <w:t>157.3</w:t>
            </w:r>
          </w:p>
        </w:tc>
        <w:tc>
          <w:tcPr>
            <w:tcW w:w="260" w:type="pct"/>
            <w:shd w:val="clear" w:color="auto" w:fill="auto"/>
            <w:tcMar>
              <w:top w:w="0" w:type="dxa"/>
              <w:left w:w="0" w:type="dxa"/>
              <w:bottom w:w="0" w:type="dxa"/>
              <w:right w:w="0" w:type="dxa"/>
            </w:tcMar>
            <w:vAlign w:val="center"/>
          </w:tcPr>
          <w:p w14:paraId="0083C54D">
            <w:pPr>
              <w:pStyle w:val="17"/>
              <w:bidi w:val="0"/>
              <w:rPr>
                <w:color w:val="auto"/>
                <w:highlight w:val="none"/>
              </w:rPr>
            </w:pPr>
            <w:r>
              <w:rPr>
                <w:color w:val="auto"/>
                <w:highlight w:val="none"/>
              </w:rPr>
              <w:t>-746.5</w:t>
            </w:r>
          </w:p>
        </w:tc>
        <w:tc>
          <w:tcPr>
            <w:tcW w:w="235" w:type="pct"/>
            <w:shd w:val="clear" w:color="auto" w:fill="auto"/>
            <w:tcMar>
              <w:top w:w="0" w:type="dxa"/>
              <w:left w:w="0" w:type="dxa"/>
              <w:bottom w:w="0" w:type="dxa"/>
              <w:right w:w="0" w:type="dxa"/>
            </w:tcMar>
            <w:vAlign w:val="center"/>
          </w:tcPr>
          <w:p w14:paraId="4AC680E1">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61F0A68B">
            <w:pPr>
              <w:pStyle w:val="17"/>
              <w:bidi w:val="0"/>
              <w:rPr>
                <w:color w:val="auto"/>
                <w:highlight w:val="none"/>
              </w:rPr>
            </w:pPr>
            <w:r>
              <w:rPr>
                <w:color w:val="auto"/>
                <w:highlight w:val="none"/>
              </w:rPr>
              <w:t>59.5</w:t>
            </w:r>
          </w:p>
        </w:tc>
        <w:tc>
          <w:tcPr>
            <w:tcW w:w="189" w:type="pct"/>
            <w:shd w:val="clear" w:color="auto" w:fill="auto"/>
            <w:tcMar>
              <w:top w:w="0" w:type="dxa"/>
              <w:left w:w="0" w:type="dxa"/>
              <w:bottom w:w="0" w:type="dxa"/>
              <w:right w:w="0" w:type="dxa"/>
            </w:tcMar>
            <w:vAlign w:val="center"/>
          </w:tcPr>
          <w:p w14:paraId="6DAE21E6">
            <w:pPr>
              <w:pStyle w:val="17"/>
              <w:bidi w:val="0"/>
              <w:rPr>
                <w:color w:val="auto"/>
                <w:highlight w:val="none"/>
              </w:rPr>
            </w:pPr>
            <w:r>
              <w:rPr>
                <w:color w:val="auto"/>
                <w:highlight w:val="none"/>
              </w:rPr>
              <w:t>20.8</w:t>
            </w:r>
          </w:p>
        </w:tc>
        <w:tc>
          <w:tcPr>
            <w:tcW w:w="176" w:type="pct"/>
            <w:shd w:val="clear" w:color="auto" w:fill="auto"/>
            <w:tcMar>
              <w:top w:w="0" w:type="dxa"/>
              <w:left w:w="0" w:type="dxa"/>
              <w:bottom w:w="0" w:type="dxa"/>
              <w:right w:w="0" w:type="dxa"/>
            </w:tcMar>
            <w:vAlign w:val="center"/>
          </w:tcPr>
          <w:p w14:paraId="25DBCF12">
            <w:pPr>
              <w:pStyle w:val="17"/>
              <w:bidi w:val="0"/>
              <w:rPr>
                <w:color w:val="auto"/>
                <w:highlight w:val="none"/>
              </w:rPr>
            </w:pPr>
            <w:r>
              <w:rPr>
                <w:color w:val="auto"/>
                <w:highlight w:val="none"/>
              </w:rPr>
              <w:t>16.2</w:t>
            </w:r>
          </w:p>
        </w:tc>
        <w:tc>
          <w:tcPr>
            <w:tcW w:w="158" w:type="pct"/>
            <w:shd w:val="clear" w:color="auto" w:fill="auto"/>
            <w:tcMar>
              <w:top w:w="0" w:type="dxa"/>
              <w:left w:w="0" w:type="dxa"/>
              <w:bottom w:w="0" w:type="dxa"/>
              <w:right w:w="0" w:type="dxa"/>
            </w:tcMar>
            <w:vAlign w:val="center"/>
          </w:tcPr>
          <w:p w14:paraId="1EB9CFC6">
            <w:pPr>
              <w:pStyle w:val="17"/>
              <w:bidi w:val="0"/>
              <w:rPr>
                <w:color w:val="auto"/>
                <w:highlight w:val="none"/>
              </w:rPr>
            </w:pPr>
            <w:r>
              <w:rPr>
                <w:color w:val="auto"/>
                <w:highlight w:val="none"/>
              </w:rPr>
              <w:t>20.3</w:t>
            </w:r>
          </w:p>
        </w:tc>
        <w:tc>
          <w:tcPr>
            <w:tcW w:w="167" w:type="pct"/>
            <w:shd w:val="clear" w:color="auto" w:fill="auto"/>
            <w:tcMar>
              <w:top w:w="0" w:type="dxa"/>
              <w:left w:w="0" w:type="dxa"/>
              <w:bottom w:w="0" w:type="dxa"/>
              <w:right w:w="0" w:type="dxa"/>
            </w:tcMar>
            <w:vAlign w:val="center"/>
          </w:tcPr>
          <w:p w14:paraId="7303848A">
            <w:pPr>
              <w:pStyle w:val="17"/>
              <w:bidi w:val="0"/>
              <w:rPr>
                <w:color w:val="auto"/>
                <w:highlight w:val="none"/>
              </w:rPr>
            </w:pPr>
            <w:r>
              <w:rPr>
                <w:color w:val="auto"/>
                <w:highlight w:val="none"/>
              </w:rPr>
              <w:t>58.5</w:t>
            </w:r>
          </w:p>
        </w:tc>
        <w:tc>
          <w:tcPr>
            <w:tcW w:w="167" w:type="pct"/>
            <w:shd w:val="clear" w:color="auto" w:fill="auto"/>
            <w:tcMar>
              <w:top w:w="0" w:type="dxa"/>
              <w:left w:w="0" w:type="dxa"/>
              <w:bottom w:w="0" w:type="dxa"/>
              <w:right w:w="0" w:type="dxa"/>
            </w:tcMar>
            <w:vAlign w:val="center"/>
          </w:tcPr>
          <w:p w14:paraId="5286143F">
            <w:pPr>
              <w:pStyle w:val="17"/>
              <w:bidi w:val="0"/>
              <w:rPr>
                <w:color w:val="auto"/>
                <w:highlight w:val="none"/>
              </w:rPr>
            </w:pPr>
            <w:r>
              <w:rPr>
                <w:color w:val="auto"/>
                <w:highlight w:val="none"/>
              </w:rPr>
              <w:t>58.5</w:t>
            </w:r>
          </w:p>
        </w:tc>
        <w:tc>
          <w:tcPr>
            <w:tcW w:w="185" w:type="pct"/>
            <w:shd w:val="clear" w:color="auto" w:fill="auto"/>
            <w:tcMar>
              <w:top w:w="0" w:type="dxa"/>
              <w:left w:w="0" w:type="dxa"/>
              <w:bottom w:w="0" w:type="dxa"/>
              <w:right w:w="0" w:type="dxa"/>
            </w:tcMar>
            <w:vAlign w:val="center"/>
          </w:tcPr>
          <w:p w14:paraId="4F5781FA">
            <w:pPr>
              <w:pStyle w:val="17"/>
              <w:bidi w:val="0"/>
              <w:rPr>
                <w:color w:val="auto"/>
                <w:highlight w:val="none"/>
              </w:rPr>
            </w:pPr>
            <w:r>
              <w:rPr>
                <w:color w:val="auto"/>
                <w:highlight w:val="none"/>
              </w:rPr>
              <w:t>58.5</w:t>
            </w:r>
          </w:p>
        </w:tc>
        <w:tc>
          <w:tcPr>
            <w:tcW w:w="163" w:type="pct"/>
            <w:shd w:val="clear" w:color="auto" w:fill="auto"/>
            <w:tcMar>
              <w:top w:w="0" w:type="dxa"/>
              <w:left w:w="0" w:type="dxa"/>
              <w:bottom w:w="0" w:type="dxa"/>
              <w:right w:w="0" w:type="dxa"/>
            </w:tcMar>
            <w:vAlign w:val="center"/>
          </w:tcPr>
          <w:p w14:paraId="08345D22">
            <w:pPr>
              <w:pStyle w:val="17"/>
              <w:bidi w:val="0"/>
              <w:rPr>
                <w:color w:val="auto"/>
                <w:highlight w:val="none"/>
              </w:rPr>
            </w:pPr>
            <w:r>
              <w:rPr>
                <w:color w:val="auto"/>
                <w:highlight w:val="none"/>
              </w:rPr>
              <w:t>58.5</w:t>
            </w:r>
          </w:p>
        </w:tc>
        <w:tc>
          <w:tcPr>
            <w:tcW w:w="277" w:type="pct"/>
            <w:shd w:val="clear" w:color="auto" w:fill="auto"/>
            <w:tcMar>
              <w:top w:w="0" w:type="dxa"/>
              <w:left w:w="0" w:type="dxa"/>
              <w:bottom w:w="0" w:type="dxa"/>
              <w:right w:w="0" w:type="dxa"/>
            </w:tcMar>
            <w:vAlign w:val="center"/>
          </w:tcPr>
          <w:p w14:paraId="47140766">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781DBDBC">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5472A94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48.5</w:t>
            </w:r>
          </w:p>
        </w:tc>
        <w:tc>
          <w:tcPr>
            <w:tcW w:w="288" w:type="pct"/>
            <w:shd w:val="clear" w:color="auto" w:fill="auto"/>
            <w:tcMar>
              <w:top w:w="0" w:type="dxa"/>
              <w:left w:w="0" w:type="dxa"/>
              <w:bottom w:w="0" w:type="dxa"/>
              <w:right w:w="0" w:type="dxa"/>
            </w:tcMar>
            <w:vAlign w:val="center"/>
          </w:tcPr>
          <w:p w14:paraId="0834C852">
            <w:pPr>
              <w:pStyle w:val="17"/>
              <w:bidi w:val="0"/>
              <w:ind w:firstLine="0" w:firstLineChars="0"/>
              <w:rPr>
                <w:color w:val="auto"/>
                <w:highlight w:val="none"/>
              </w:rPr>
            </w:pPr>
            <w:r>
              <w:rPr>
                <w:rFonts w:hint="eastAsia"/>
                <w:color w:val="auto"/>
                <w:highlight w:val="none"/>
                <w:lang w:val="en-US" w:eastAsia="zh-CN"/>
              </w:rPr>
              <w:t>1</w:t>
            </w:r>
          </w:p>
        </w:tc>
      </w:tr>
      <w:tr w14:paraId="6E99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B617A6D">
            <w:pPr>
              <w:pStyle w:val="17"/>
              <w:bidi w:val="0"/>
              <w:rPr>
                <w:color w:val="auto"/>
                <w:highlight w:val="none"/>
              </w:rPr>
            </w:pPr>
            <w:r>
              <w:rPr>
                <w:color w:val="auto"/>
                <w:highlight w:val="none"/>
              </w:rPr>
              <w:t>14</w:t>
            </w:r>
          </w:p>
        </w:tc>
        <w:tc>
          <w:tcPr>
            <w:tcW w:w="234" w:type="pct"/>
            <w:shd w:val="clear" w:color="auto" w:fill="auto"/>
            <w:tcMar>
              <w:top w:w="0" w:type="dxa"/>
              <w:left w:w="0" w:type="dxa"/>
              <w:bottom w:w="0" w:type="dxa"/>
              <w:right w:w="0" w:type="dxa"/>
            </w:tcMar>
            <w:vAlign w:val="center"/>
          </w:tcPr>
          <w:p w14:paraId="77C3FC01">
            <w:pPr>
              <w:pStyle w:val="17"/>
              <w:bidi w:val="0"/>
              <w:rPr>
                <w:color w:val="auto"/>
                <w:highlight w:val="none"/>
              </w:rPr>
            </w:pPr>
            <w:r>
              <w:rPr>
                <w:color w:val="auto"/>
                <w:highlight w:val="none"/>
              </w:rPr>
              <w:t>粉矿仓</w:t>
            </w:r>
          </w:p>
        </w:tc>
        <w:tc>
          <w:tcPr>
            <w:tcW w:w="482" w:type="pct"/>
            <w:shd w:val="clear" w:color="auto" w:fill="auto"/>
            <w:tcMar>
              <w:top w:w="0" w:type="dxa"/>
              <w:left w:w="0" w:type="dxa"/>
              <w:bottom w:w="0" w:type="dxa"/>
              <w:right w:w="0" w:type="dxa"/>
            </w:tcMar>
            <w:vAlign w:val="center"/>
          </w:tcPr>
          <w:p w14:paraId="6EF91B4F">
            <w:pPr>
              <w:pStyle w:val="17"/>
              <w:bidi w:val="0"/>
              <w:rPr>
                <w:color w:val="auto"/>
                <w:highlight w:val="none"/>
              </w:rPr>
            </w:pPr>
            <w:r>
              <w:rPr>
                <w:color w:val="auto"/>
                <w:highlight w:val="none"/>
              </w:rPr>
              <w:t>重型皮带给料机,4台（按点声源组预测）</w:t>
            </w:r>
          </w:p>
        </w:tc>
        <w:tc>
          <w:tcPr>
            <w:tcW w:w="344" w:type="pct"/>
            <w:shd w:val="clear" w:color="auto" w:fill="auto"/>
            <w:tcMar>
              <w:top w:w="0" w:type="dxa"/>
              <w:left w:w="0" w:type="dxa"/>
              <w:bottom w:w="0" w:type="dxa"/>
              <w:right w:w="0" w:type="dxa"/>
            </w:tcMar>
            <w:vAlign w:val="center"/>
          </w:tcPr>
          <w:p w14:paraId="252F93D6">
            <w:pPr>
              <w:pStyle w:val="17"/>
              <w:bidi w:val="0"/>
              <w:rPr>
                <w:rFonts w:hint="eastAsia" w:eastAsia="宋体"/>
                <w:color w:val="auto"/>
                <w:highlight w:val="none"/>
                <w:lang w:eastAsia="zh-CN"/>
              </w:rPr>
            </w:pPr>
            <w:r>
              <w:rPr>
                <w:color w:val="auto"/>
                <w:highlight w:val="none"/>
              </w:rPr>
              <w:t>70（等效后：76.0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4F65E48D">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0A4348E2">
            <w:pPr>
              <w:pStyle w:val="17"/>
              <w:bidi w:val="0"/>
              <w:rPr>
                <w:color w:val="auto"/>
                <w:highlight w:val="none"/>
              </w:rPr>
            </w:pPr>
            <w:r>
              <w:rPr>
                <w:color w:val="auto"/>
                <w:highlight w:val="none"/>
              </w:rPr>
              <w:t>99.3</w:t>
            </w:r>
          </w:p>
        </w:tc>
        <w:tc>
          <w:tcPr>
            <w:tcW w:w="260" w:type="pct"/>
            <w:shd w:val="clear" w:color="auto" w:fill="auto"/>
            <w:tcMar>
              <w:top w:w="0" w:type="dxa"/>
              <w:left w:w="0" w:type="dxa"/>
              <w:bottom w:w="0" w:type="dxa"/>
              <w:right w:w="0" w:type="dxa"/>
            </w:tcMar>
            <w:vAlign w:val="center"/>
          </w:tcPr>
          <w:p w14:paraId="6A0BA521">
            <w:pPr>
              <w:pStyle w:val="17"/>
              <w:bidi w:val="0"/>
              <w:rPr>
                <w:color w:val="auto"/>
                <w:highlight w:val="none"/>
              </w:rPr>
            </w:pPr>
            <w:r>
              <w:rPr>
                <w:color w:val="auto"/>
                <w:highlight w:val="none"/>
              </w:rPr>
              <w:t>-982.1</w:t>
            </w:r>
          </w:p>
        </w:tc>
        <w:tc>
          <w:tcPr>
            <w:tcW w:w="235" w:type="pct"/>
            <w:shd w:val="clear" w:color="auto" w:fill="auto"/>
            <w:tcMar>
              <w:top w:w="0" w:type="dxa"/>
              <w:left w:w="0" w:type="dxa"/>
              <w:bottom w:w="0" w:type="dxa"/>
              <w:right w:w="0" w:type="dxa"/>
            </w:tcMar>
            <w:vAlign w:val="center"/>
          </w:tcPr>
          <w:p w14:paraId="5726275B">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78B38DE1">
            <w:pPr>
              <w:pStyle w:val="17"/>
              <w:bidi w:val="0"/>
              <w:rPr>
                <w:color w:val="auto"/>
                <w:highlight w:val="none"/>
              </w:rPr>
            </w:pPr>
            <w:r>
              <w:rPr>
                <w:color w:val="auto"/>
                <w:highlight w:val="none"/>
              </w:rPr>
              <w:t>9.4</w:t>
            </w:r>
          </w:p>
        </w:tc>
        <w:tc>
          <w:tcPr>
            <w:tcW w:w="189" w:type="pct"/>
            <w:shd w:val="clear" w:color="auto" w:fill="auto"/>
            <w:tcMar>
              <w:top w:w="0" w:type="dxa"/>
              <w:left w:w="0" w:type="dxa"/>
              <w:bottom w:w="0" w:type="dxa"/>
              <w:right w:w="0" w:type="dxa"/>
            </w:tcMar>
            <w:vAlign w:val="center"/>
          </w:tcPr>
          <w:p w14:paraId="52BBF9B9">
            <w:pPr>
              <w:pStyle w:val="17"/>
              <w:bidi w:val="0"/>
              <w:rPr>
                <w:color w:val="auto"/>
                <w:highlight w:val="none"/>
              </w:rPr>
            </w:pPr>
            <w:r>
              <w:rPr>
                <w:color w:val="auto"/>
                <w:highlight w:val="none"/>
              </w:rPr>
              <w:t>13.1</w:t>
            </w:r>
          </w:p>
        </w:tc>
        <w:tc>
          <w:tcPr>
            <w:tcW w:w="176" w:type="pct"/>
            <w:shd w:val="clear" w:color="auto" w:fill="auto"/>
            <w:tcMar>
              <w:top w:w="0" w:type="dxa"/>
              <w:left w:w="0" w:type="dxa"/>
              <w:bottom w:w="0" w:type="dxa"/>
              <w:right w:w="0" w:type="dxa"/>
            </w:tcMar>
            <w:vAlign w:val="center"/>
          </w:tcPr>
          <w:p w14:paraId="04BF82F2">
            <w:pPr>
              <w:pStyle w:val="17"/>
              <w:bidi w:val="0"/>
              <w:rPr>
                <w:color w:val="auto"/>
                <w:highlight w:val="none"/>
              </w:rPr>
            </w:pPr>
            <w:r>
              <w:rPr>
                <w:color w:val="auto"/>
                <w:highlight w:val="none"/>
              </w:rPr>
              <w:t>20.5</w:t>
            </w:r>
          </w:p>
        </w:tc>
        <w:tc>
          <w:tcPr>
            <w:tcW w:w="158" w:type="pct"/>
            <w:shd w:val="clear" w:color="auto" w:fill="auto"/>
            <w:tcMar>
              <w:top w:w="0" w:type="dxa"/>
              <w:left w:w="0" w:type="dxa"/>
              <w:bottom w:w="0" w:type="dxa"/>
              <w:right w:w="0" w:type="dxa"/>
            </w:tcMar>
            <w:vAlign w:val="center"/>
          </w:tcPr>
          <w:p w14:paraId="6710B655">
            <w:pPr>
              <w:pStyle w:val="17"/>
              <w:bidi w:val="0"/>
              <w:rPr>
                <w:color w:val="auto"/>
                <w:highlight w:val="none"/>
              </w:rPr>
            </w:pPr>
            <w:r>
              <w:rPr>
                <w:color w:val="auto"/>
                <w:highlight w:val="none"/>
              </w:rPr>
              <w:t>16.8</w:t>
            </w:r>
          </w:p>
        </w:tc>
        <w:tc>
          <w:tcPr>
            <w:tcW w:w="167" w:type="pct"/>
            <w:shd w:val="clear" w:color="auto" w:fill="auto"/>
            <w:tcMar>
              <w:top w:w="0" w:type="dxa"/>
              <w:left w:w="0" w:type="dxa"/>
              <w:bottom w:w="0" w:type="dxa"/>
              <w:right w:w="0" w:type="dxa"/>
            </w:tcMar>
            <w:vAlign w:val="center"/>
          </w:tcPr>
          <w:p w14:paraId="01BB0B07">
            <w:pPr>
              <w:pStyle w:val="17"/>
              <w:bidi w:val="0"/>
              <w:rPr>
                <w:color w:val="auto"/>
                <w:highlight w:val="none"/>
              </w:rPr>
            </w:pPr>
            <w:r>
              <w:rPr>
                <w:color w:val="auto"/>
                <w:highlight w:val="none"/>
              </w:rPr>
              <w:t>62.5</w:t>
            </w:r>
          </w:p>
        </w:tc>
        <w:tc>
          <w:tcPr>
            <w:tcW w:w="167" w:type="pct"/>
            <w:shd w:val="clear" w:color="auto" w:fill="auto"/>
            <w:tcMar>
              <w:top w:w="0" w:type="dxa"/>
              <w:left w:w="0" w:type="dxa"/>
              <w:bottom w:w="0" w:type="dxa"/>
              <w:right w:w="0" w:type="dxa"/>
            </w:tcMar>
            <w:vAlign w:val="center"/>
          </w:tcPr>
          <w:p w14:paraId="53CE093E">
            <w:pPr>
              <w:pStyle w:val="17"/>
              <w:bidi w:val="0"/>
              <w:rPr>
                <w:color w:val="auto"/>
                <w:highlight w:val="none"/>
              </w:rPr>
            </w:pPr>
            <w:r>
              <w:rPr>
                <w:color w:val="auto"/>
                <w:highlight w:val="none"/>
              </w:rPr>
              <w:t>62.4</w:t>
            </w:r>
          </w:p>
        </w:tc>
        <w:tc>
          <w:tcPr>
            <w:tcW w:w="185" w:type="pct"/>
            <w:shd w:val="clear" w:color="auto" w:fill="auto"/>
            <w:tcMar>
              <w:top w:w="0" w:type="dxa"/>
              <w:left w:w="0" w:type="dxa"/>
              <w:bottom w:w="0" w:type="dxa"/>
              <w:right w:w="0" w:type="dxa"/>
            </w:tcMar>
            <w:vAlign w:val="center"/>
          </w:tcPr>
          <w:p w14:paraId="2F9950EE">
            <w:pPr>
              <w:pStyle w:val="17"/>
              <w:bidi w:val="0"/>
              <w:rPr>
                <w:color w:val="auto"/>
                <w:highlight w:val="none"/>
              </w:rPr>
            </w:pPr>
            <w:r>
              <w:rPr>
                <w:color w:val="auto"/>
                <w:highlight w:val="none"/>
              </w:rPr>
              <w:t>62.4</w:t>
            </w:r>
          </w:p>
        </w:tc>
        <w:tc>
          <w:tcPr>
            <w:tcW w:w="163" w:type="pct"/>
            <w:shd w:val="clear" w:color="auto" w:fill="auto"/>
            <w:tcMar>
              <w:top w:w="0" w:type="dxa"/>
              <w:left w:w="0" w:type="dxa"/>
              <w:bottom w:w="0" w:type="dxa"/>
              <w:right w:w="0" w:type="dxa"/>
            </w:tcMar>
            <w:vAlign w:val="center"/>
          </w:tcPr>
          <w:p w14:paraId="472C1E67">
            <w:pPr>
              <w:pStyle w:val="17"/>
              <w:bidi w:val="0"/>
              <w:rPr>
                <w:color w:val="auto"/>
                <w:highlight w:val="none"/>
              </w:rPr>
            </w:pPr>
            <w:r>
              <w:rPr>
                <w:color w:val="auto"/>
                <w:highlight w:val="none"/>
              </w:rPr>
              <w:t>62.4</w:t>
            </w:r>
          </w:p>
        </w:tc>
        <w:tc>
          <w:tcPr>
            <w:tcW w:w="277" w:type="pct"/>
            <w:shd w:val="clear" w:color="auto" w:fill="auto"/>
            <w:tcMar>
              <w:top w:w="0" w:type="dxa"/>
              <w:left w:w="0" w:type="dxa"/>
              <w:bottom w:w="0" w:type="dxa"/>
              <w:right w:w="0" w:type="dxa"/>
            </w:tcMar>
            <w:vAlign w:val="center"/>
          </w:tcPr>
          <w:p w14:paraId="382AB61D">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3E43617E">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43C002B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52.5</w:t>
            </w:r>
          </w:p>
        </w:tc>
        <w:tc>
          <w:tcPr>
            <w:tcW w:w="288" w:type="pct"/>
            <w:shd w:val="clear" w:color="auto" w:fill="auto"/>
            <w:tcMar>
              <w:top w:w="0" w:type="dxa"/>
              <w:left w:w="0" w:type="dxa"/>
              <w:bottom w:w="0" w:type="dxa"/>
              <w:right w:w="0" w:type="dxa"/>
            </w:tcMar>
            <w:vAlign w:val="center"/>
          </w:tcPr>
          <w:p w14:paraId="1D1350EC">
            <w:pPr>
              <w:pStyle w:val="17"/>
              <w:bidi w:val="0"/>
              <w:ind w:firstLine="0" w:firstLineChars="0"/>
              <w:rPr>
                <w:color w:val="auto"/>
                <w:highlight w:val="none"/>
              </w:rPr>
            </w:pPr>
            <w:r>
              <w:rPr>
                <w:rFonts w:hint="eastAsia"/>
                <w:color w:val="auto"/>
                <w:highlight w:val="none"/>
                <w:lang w:val="en-US" w:eastAsia="zh-CN"/>
              </w:rPr>
              <w:t>1</w:t>
            </w:r>
          </w:p>
        </w:tc>
      </w:tr>
      <w:tr w14:paraId="63D0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C5D948C">
            <w:pPr>
              <w:pStyle w:val="17"/>
              <w:bidi w:val="0"/>
              <w:rPr>
                <w:color w:val="auto"/>
                <w:highlight w:val="none"/>
              </w:rPr>
            </w:pPr>
            <w:r>
              <w:rPr>
                <w:color w:val="auto"/>
                <w:highlight w:val="none"/>
              </w:rPr>
              <w:t>15</w:t>
            </w:r>
          </w:p>
        </w:tc>
        <w:tc>
          <w:tcPr>
            <w:tcW w:w="234" w:type="pct"/>
            <w:shd w:val="clear" w:color="auto" w:fill="auto"/>
            <w:tcMar>
              <w:top w:w="0" w:type="dxa"/>
              <w:left w:w="0" w:type="dxa"/>
              <w:bottom w:w="0" w:type="dxa"/>
              <w:right w:w="0" w:type="dxa"/>
            </w:tcMar>
            <w:vAlign w:val="center"/>
          </w:tcPr>
          <w:p w14:paraId="6C103DFD">
            <w:pPr>
              <w:pStyle w:val="17"/>
              <w:bidi w:val="0"/>
              <w:rPr>
                <w:color w:val="auto"/>
                <w:highlight w:val="none"/>
              </w:rPr>
            </w:pPr>
            <w:r>
              <w:rPr>
                <w:color w:val="auto"/>
                <w:highlight w:val="none"/>
              </w:rPr>
              <w:t>粉矿仓</w:t>
            </w:r>
          </w:p>
        </w:tc>
        <w:tc>
          <w:tcPr>
            <w:tcW w:w="482" w:type="pct"/>
            <w:shd w:val="clear" w:color="auto" w:fill="auto"/>
            <w:tcMar>
              <w:top w:w="0" w:type="dxa"/>
              <w:left w:w="0" w:type="dxa"/>
              <w:bottom w:w="0" w:type="dxa"/>
              <w:right w:w="0" w:type="dxa"/>
            </w:tcMar>
            <w:vAlign w:val="center"/>
          </w:tcPr>
          <w:p w14:paraId="6F876E24">
            <w:pPr>
              <w:pStyle w:val="17"/>
              <w:bidi w:val="0"/>
              <w:rPr>
                <w:color w:val="auto"/>
                <w:highlight w:val="none"/>
              </w:rPr>
            </w:pPr>
            <w:r>
              <w:rPr>
                <w:color w:val="auto"/>
                <w:highlight w:val="none"/>
              </w:rPr>
              <w:t>振动给料机</w:t>
            </w:r>
          </w:p>
        </w:tc>
        <w:tc>
          <w:tcPr>
            <w:tcW w:w="344" w:type="pct"/>
            <w:shd w:val="clear" w:color="auto" w:fill="auto"/>
            <w:tcMar>
              <w:top w:w="0" w:type="dxa"/>
              <w:left w:w="0" w:type="dxa"/>
              <w:bottom w:w="0" w:type="dxa"/>
              <w:right w:w="0" w:type="dxa"/>
            </w:tcMar>
            <w:vAlign w:val="center"/>
          </w:tcPr>
          <w:p w14:paraId="4E8D3C69">
            <w:pPr>
              <w:pStyle w:val="17"/>
              <w:bidi w:val="0"/>
              <w:rPr>
                <w:color w:val="auto"/>
                <w:highlight w:val="none"/>
              </w:rPr>
            </w:pPr>
            <w:r>
              <w:rPr>
                <w:color w:val="auto"/>
                <w:highlight w:val="none"/>
              </w:rPr>
              <w:t>75</w:t>
            </w:r>
          </w:p>
        </w:tc>
        <w:tc>
          <w:tcPr>
            <w:tcW w:w="361" w:type="pct"/>
            <w:vMerge w:val="continue"/>
            <w:shd w:val="clear" w:color="auto" w:fill="auto"/>
            <w:tcMar>
              <w:top w:w="0" w:type="dxa"/>
              <w:left w:w="0" w:type="dxa"/>
              <w:bottom w:w="0" w:type="dxa"/>
              <w:right w:w="0" w:type="dxa"/>
            </w:tcMar>
            <w:vAlign w:val="center"/>
          </w:tcPr>
          <w:p w14:paraId="13BC0EFB">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6FAF709">
            <w:pPr>
              <w:pStyle w:val="17"/>
              <w:bidi w:val="0"/>
              <w:rPr>
                <w:color w:val="auto"/>
                <w:highlight w:val="none"/>
              </w:rPr>
            </w:pPr>
            <w:r>
              <w:rPr>
                <w:color w:val="auto"/>
                <w:highlight w:val="none"/>
              </w:rPr>
              <w:t>86.2</w:t>
            </w:r>
          </w:p>
        </w:tc>
        <w:tc>
          <w:tcPr>
            <w:tcW w:w="260" w:type="pct"/>
            <w:shd w:val="clear" w:color="auto" w:fill="auto"/>
            <w:tcMar>
              <w:top w:w="0" w:type="dxa"/>
              <w:left w:w="0" w:type="dxa"/>
              <w:bottom w:w="0" w:type="dxa"/>
              <w:right w:w="0" w:type="dxa"/>
            </w:tcMar>
            <w:vAlign w:val="center"/>
          </w:tcPr>
          <w:p w14:paraId="5646E683">
            <w:pPr>
              <w:pStyle w:val="17"/>
              <w:bidi w:val="0"/>
              <w:rPr>
                <w:color w:val="auto"/>
                <w:highlight w:val="none"/>
              </w:rPr>
            </w:pPr>
            <w:r>
              <w:rPr>
                <w:color w:val="auto"/>
                <w:highlight w:val="none"/>
              </w:rPr>
              <w:t>-978.4</w:t>
            </w:r>
          </w:p>
        </w:tc>
        <w:tc>
          <w:tcPr>
            <w:tcW w:w="235" w:type="pct"/>
            <w:shd w:val="clear" w:color="auto" w:fill="auto"/>
            <w:tcMar>
              <w:top w:w="0" w:type="dxa"/>
              <w:left w:w="0" w:type="dxa"/>
              <w:bottom w:w="0" w:type="dxa"/>
              <w:right w:w="0" w:type="dxa"/>
            </w:tcMar>
            <w:vAlign w:val="center"/>
          </w:tcPr>
          <w:p w14:paraId="5220F88C">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04CC498F">
            <w:pPr>
              <w:pStyle w:val="17"/>
              <w:bidi w:val="0"/>
              <w:rPr>
                <w:color w:val="auto"/>
                <w:highlight w:val="none"/>
              </w:rPr>
            </w:pPr>
            <w:r>
              <w:rPr>
                <w:color w:val="auto"/>
                <w:highlight w:val="none"/>
              </w:rPr>
              <w:t>22.5</w:t>
            </w:r>
          </w:p>
        </w:tc>
        <w:tc>
          <w:tcPr>
            <w:tcW w:w="189" w:type="pct"/>
            <w:shd w:val="clear" w:color="auto" w:fill="auto"/>
            <w:tcMar>
              <w:top w:w="0" w:type="dxa"/>
              <w:left w:w="0" w:type="dxa"/>
              <w:bottom w:w="0" w:type="dxa"/>
              <w:right w:w="0" w:type="dxa"/>
            </w:tcMar>
            <w:vAlign w:val="center"/>
          </w:tcPr>
          <w:p w14:paraId="4043B60C">
            <w:pPr>
              <w:pStyle w:val="17"/>
              <w:bidi w:val="0"/>
              <w:rPr>
                <w:color w:val="auto"/>
                <w:highlight w:val="none"/>
              </w:rPr>
            </w:pPr>
            <w:r>
              <w:rPr>
                <w:color w:val="auto"/>
                <w:highlight w:val="none"/>
              </w:rPr>
              <w:t>16.8</w:t>
            </w:r>
          </w:p>
        </w:tc>
        <w:tc>
          <w:tcPr>
            <w:tcW w:w="176" w:type="pct"/>
            <w:shd w:val="clear" w:color="auto" w:fill="auto"/>
            <w:tcMar>
              <w:top w:w="0" w:type="dxa"/>
              <w:left w:w="0" w:type="dxa"/>
              <w:bottom w:w="0" w:type="dxa"/>
              <w:right w:w="0" w:type="dxa"/>
            </w:tcMar>
            <w:vAlign w:val="center"/>
          </w:tcPr>
          <w:p w14:paraId="2868585E">
            <w:pPr>
              <w:pStyle w:val="17"/>
              <w:bidi w:val="0"/>
              <w:rPr>
                <w:color w:val="auto"/>
                <w:highlight w:val="none"/>
              </w:rPr>
            </w:pPr>
            <w:r>
              <w:rPr>
                <w:color w:val="auto"/>
                <w:highlight w:val="none"/>
              </w:rPr>
              <w:t>7.4</w:t>
            </w:r>
          </w:p>
        </w:tc>
        <w:tc>
          <w:tcPr>
            <w:tcW w:w="158" w:type="pct"/>
            <w:shd w:val="clear" w:color="auto" w:fill="auto"/>
            <w:tcMar>
              <w:top w:w="0" w:type="dxa"/>
              <w:left w:w="0" w:type="dxa"/>
              <w:bottom w:w="0" w:type="dxa"/>
              <w:right w:w="0" w:type="dxa"/>
            </w:tcMar>
            <w:vAlign w:val="center"/>
          </w:tcPr>
          <w:p w14:paraId="182FE8E4">
            <w:pPr>
              <w:pStyle w:val="17"/>
              <w:bidi w:val="0"/>
              <w:rPr>
                <w:color w:val="auto"/>
                <w:highlight w:val="none"/>
              </w:rPr>
            </w:pPr>
            <w:r>
              <w:rPr>
                <w:color w:val="auto"/>
                <w:highlight w:val="none"/>
              </w:rPr>
              <w:t>13.1</w:t>
            </w:r>
          </w:p>
        </w:tc>
        <w:tc>
          <w:tcPr>
            <w:tcW w:w="167" w:type="pct"/>
            <w:shd w:val="clear" w:color="auto" w:fill="auto"/>
            <w:tcMar>
              <w:top w:w="0" w:type="dxa"/>
              <w:left w:w="0" w:type="dxa"/>
              <w:bottom w:w="0" w:type="dxa"/>
              <w:right w:w="0" w:type="dxa"/>
            </w:tcMar>
            <w:vAlign w:val="center"/>
          </w:tcPr>
          <w:p w14:paraId="3225A220">
            <w:pPr>
              <w:pStyle w:val="17"/>
              <w:bidi w:val="0"/>
              <w:rPr>
                <w:color w:val="auto"/>
                <w:highlight w:val="none"/>
              </w:rPr>
            </w:pPr>
            <w:r>
              <w:rPr>
                <w:color w:val="auto"/>
                <w:highlight w:val="none"/>
              </w:rPr>
              <w:t>61.4</w:t>
            </w:r>
          </w:p>
        </w:tc>
        <w:tc>
          <w:tcPr>
            <w:tcW w:w="167" w:type="pct"/>
            <w:shd w:val="clear" w:color="auto" w:fill="auto"/>
            <w:tcMar>
              <w:top w:w="0" w:type="dxa"/>
              <w:left w:w="0" w:type="dxa"/>
              <w:bottom w:w="0" w:type="dxa"/>
              <w:right w:w="0" w:type="dxa"/>
            </w:tcMar>
            <w:vAlign w:val="center"/>
          </w:tcPr>
          <w:p w14:paraId="3F9F3E3D">
            <w:pPr>
              <w:pStyle w:val="17"/>
              <w:bidi w:val="0"/>
              <w:rPr>
                <w:color w:val="auto"/>
                <w:highlight w:val="none"/>
              </w:rPr>
            </w:pPr>
            <w:r>
              <w:rPr>
                <w:color w:val="auto"/>
                <w:highlight w:val="none"/>
              </w:rPr>
              <w:t>61.4</w:t>
            </w:r>
          </w:p>
        </w:tc>
        <w:tc>
          <w:tcPr>
            <w:tcW w:w="185" w:type="pct"/>
            <w:shd w:val="clear" w:color="auto" w:fill="auto"/>
            <w:tcMar>
              <w:top w:w="0" w:type="dxa"/>
              <w:left w:w="0" w:type="dxa"/>
              <w:bottom w:w="0" w:type="dxa"/>
              <w:right w:w="0" w:type="dxa"/>
            </w:tcMar>
            <w:vAlign w:val="center"/>
          </w:tcPr>
          <w:p w14:paraId="0FFBB4BA">
            <w:pPr>
              <w:pStyle w:val="17"/>
              <w:bidi w:val="0"/>
              <w:rPr>
                <w:color w:val="auto"/>
                <w:highlight w:val="none"/>
              </w:rPr>
            </w:pPr>
            <w:r>
              <w:rPr>
                <w:color w:val="auto"/>
                <w:highlight w:val="none"/>
              </w:rPr>
              <w:t>61.5</w:t>
            </w:r>
          </w:p>
        </w:tc>
        <w:tc>
          <w:tcPr>
            <w:tcW w:w="163" w:type="pct"/>
            <w:shd w:val="clear" w:color="auto" w:fill="auto"/>
            <w:tcMar>
              <w:top w:w="0" w:type="dxa"/>
              <w:left w:w="0" w:type="dxa"/>
              <w:bottom w:w="0" w:type="dxa"/>
              <w:right w:w="0" w:type="dxa"/>
            </w:tcMar>
            <w:vAlign w:val="center"/>
          </w:tcPr>
          <w:p w14:paraId="2679C180">
            <w:pPr>
              <w:pStyle w:val="17"/>
              <w:bidi w:val="0"/>
              <w:rPr>
                <w:color w:val="auto"/>
                <w:highlight w:val="none"/>
              </w:rPr>
            </w:pPr>
            <w:r>
              <w:rPr>
                <w:color w:val="auto"/>
                <w:highlight w:val="none"/>
              </w:rPr>
              <w:t>61.4</w:t>
            </w:r>
          </w:p>
        </w:tc>
        <w:tc>
          <w:tcPr>
            <w:tcW w:w="277" w:type="pct"/>
            <w:shd w:val="clear" w:color="auto" w:fill="auto"/>
            <w:tcMar>
              <w:top w:w="0" w:type="dxa"/>
              <w:left w:w="0" w:type="dxa"/>
              <w:bottom w:w="0" w:type="dxa"/>
              <w:right w:w="0" w:type="dxa"/>
            </w:tcMar>
            <w:vAlign w:val="center"/>
          </w:tcPr>
          <w:p w14:paraId="4B9A9E3B">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7C283F49">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2C8245C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51.4</w:t>
            </w:r>
          </w:p>
        </w:tc>
        <w:tc>
          <w:tcPr>
            <w:tcW w:w="288" w:type="pct"/>
            <w:shd w:val="clear" w:color="auto" w:fill="auto"/>
            <w:tcMar>
              <w:top w:w="0" w:type="dxa"/>
              <w:left w:w="0" w:type="dxa"/>
              <w:bottom w:w="0" w:type="dxa"/>
              <w:right w:w="0" w:type="dxa"/>
            </w:tcMar>
            <w:vAlign w:val="center"/>
          </w:tcPr>
          <w:p w14:paraId="14CEE89D">
            <w:pPr>
              <w:pStyle w:val="17"/>
              <w:bidi w:val="0"/>
              <w:ind w:firstLine="0" w:firstLineChars="0"/>
              <w:rPr>
                <w:color w:val="auto"/>
                <w:highlight w:val="none"/>
              </w:rPr>
            </w:pPr>
            <w:r>
              <w:rPr>
                <w:rFonts w:hint="eastAsia"/>
                <w:color w:val="auto"/>
                <w:highlight w:val="none"/>
                <w:lang w:val="en-US" w:eastAsia="zh-CN"/>
              </w:rPr>
              <w:t>1</w:t>
            </w:r>
          </w:p>
        </w:tc>
      </w:tr>
      <w:tr w14:paraId="50C7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4205BC9A">
            <w:pPr>
              <w:pStyle w:val="17"/>
              <w:bidi w:val="0"/>
              <w:rPr>
                <w:color w:val="auto"/>
                <w:highlight w:val="none"/>
              </w:rPr>
            </w:pPr>
            <w:r>
              <w:rPr>
                <w:color w:val="auto"/>
                <w:highlight w:val="none"/>
              </w:rPr>
              <w:t>16</w:t>
            </w:r>
          </w:p>
        </w:tc>
        <w:tc>
          <w:tcPr>
            <w:tcW w:w="234" w:type="pct"/>
            <w:shd w:val="clear" w:color="auto" w:fill="auto"/>
            <w:tcMar>
              <w:top w:w="0" w:type="dxa"/>
              <w:left w:w="0" w:type="dxa"/>
              <w:bottom w:w="0" w:type="dxa"/>
              <w:right w:w="0" w:type="dxa"/>
            </w:tcMar>
            <w:vAlign w:val="center"/>
          </w:tcPr>
          <w:p w14:paraId="4DAD77C6">
            <w:pPr>
              <w:pStyle w:val="17"/>
              <w:bidi w:val="0"/>
              <w:rPr>
                <w:color w:val="auto"/>
                <w:highlight w:val="none"/>
              </w:rPr>
            </w:pPr>
            <w:r>
              <w:rPr>
                <w:color w:val="auto"/>
                <w:highlight w:val="none"/>
              </w:rPr>
              <w:t>粉矿仓</w:t>
            </w:r>
          </w:p>
        </w:tc>
        <w:tc>
          <w:tcPr>
            <w:tcW w:w="482" w:type="pct"/>
            <w:shd w:val="clear" w:color="auto" w:fill="auto"/>
            <w:tcMar>
              <w:top w:w="0" w:type="dxa"/>
              <w:left w:w="0" w:type="dxa"/>
              <w:bottom w:w="0" w:type="dxa"/>
              <w:right w:w="0" w:type="dxa"/>
            </w:tcMar>
            <w:vAlign w:val="center"/>
          </w:tcPr>
          <w:p w14:paraId="78C52D62">
            <w:pPr>
              <w:pStyle w:val="17"/>
              <w:bidi w:val="0"/>
              <w:rPr>
                <w:color w:val="auto"/>
                <w:highlight w:val="none"/>
              </w:rPr>
            </w:pPr>
            <w:r>
              <w:rPr>
                <w:color w:val="auto"/>
                <w:highlight w:val="none"/>
              </w:rPr>
              <w:t>电动单梁悬挂起重机</w:t>
            </w:r>
          </w:p>
        </w:tc>
        <w:tc>
          <w:tcPr>
            <w:tcW w:w="344" w:type="pct"/>
            <w:shd w:val="clear" w:color="auto" w:fill="auto"/>
            <w:tcMar>
              <w:top w:w="0" w:type="dxa"/>
              <w:left w:w="0" w:type="dxa"/>
              <w:bottom w:w="0" w:type="dxa"/>
              <w:right w:w="0" w:type="dxa"/>
            </w:tcMar>
            <w:vAlign w:val="center"/>
          </w:tcPr>
          <w:p w14:paraId="3B1EE1F0">
            <w:pPr>
              <w:pStyle w:val="17"/>
              <w:bidi w:val="0"/>
              <w:rPr>
                <w:color w:val="auto"/>
                <w:highlight w:val="none"/>
              </w:rPr>
            </w:pPr>
            <w:r>
              <w:rPr>
                <w:color w:val="auto"/>
                <w:highlight w:val="none"/>
              </w:rPr>
              <w:t>65</w:t>
            </w:r>
          </w:p>
        </w:tc>
        <w:tc>
          <w:tcPr>
            <w:tcW w:w="361" w:type="pct"/>
            <w:vMerge w:val="continue"/>
            <w:shd w:val="clear" w:color="auto" w:fill="auto"/>
            <w:tcMar>
              <w:top w:w="0" w:type="dxa"/>
              <w:left w:w="0" w:type="dxa"/>
              <w:bottom w:w="0" w:type="dxa"/>
              <w:right w:w="0" w:type="dxa"/>
            </w:tcMar>
            <w:vAlign w:val="center"/>
          </w:tcPr>
          <w:p w14:paraId="77DD1849">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4672A79F">
            <w:pPr>
              <w:pStyle w:val="17"/>
              <w:bidi w:val="0"/>
              <w:rPr>
                <w:color w:val="auto"/>
                <w:highlight w:val="none"/>
              </w:rPr>
            </w:pPr>
            <w:r>
              <w:rPr>
                <w:color w:val="auto"/>
                <w:highlight w:val="none"/>
              </w:rPr>
              <w:t>95.6</w:t>
            </w:r>
          </w:p>
        </w:tc>
        <w:tc>
          <w:tcPr>
            <w:tcW w:w="260" w:type="pct"/>
            <w:shd w:val="clear" w:color="auto" w:fill="auto"/>
            <w:tcMar>
              <w:top w:w="0" w:type="dxa"/>
              <w:left w:w="0" w:type="dxa"/>
              <w:bottom w:w="0" w:type="dxa"/>
              <w:right w:w="0" w:type="dxa"/>
            </w:tcMar>
            <w:vAlign w:val="center"/>
          </w:tcPr>
          <w:p w14:paraId="58414FBC">
            <w:pPr>
              <w:pStyle w:val="17"/>
              <w:bidi w:val="0"/>
              <w:rPr>
                <w:color w:val="auto"/>
                <w:highlight w:val="none"/>
              </w:rPr>
            </w:pPr>
            <w:r>
              <w:rPr>
                <w:color w:val="auto"/>
                <w:highlight w:val="none"/>
              </w:rPr>
              <w:t>-974.6</w:t>
            </w:r>
          </w:p>
        </w:tc>
        <w:tc>
          <w:tcPr>
            <w:tcW w:w="235" w:type="pct"/>
            <w:shd w:val="clear" w:color="auto" w:fill="auto"/>
            <w:tcMar>
              <w:top w:w="0" w:type="dxa"/>
              <w:left w:w="0" w:type="dxa"/>
              <w:bottom w:w="0" w:type="dxa"/>
              <w:right w:w="0" w:type="dxa"/>
            </w:tcMar>
            <w:vAlign w:val="center"/>
          </w:tcPr>
          <w:p w14:paraId="2EC99396">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5B4F0AB8">
            <w:pPr>
              <w:pStyle w:val="17"/>
              <w:bidi w:val="0"/>
              <w:rPr>
                <w:color w:val="auto"/>
                <w:highlight w:val="none"/>
              </w:rPr>
            </w:pPr>
            <w:r>
              <w:rPr>
                <w:color w:val="auto"/>
                <w:highlight w:val="none"/>
              </w:rPr>
              <w:t>13.1</w:t>
            </w:r>
          </w:p>
        </w:tc>
        <w:tc>
          <w:tcPr>
            <w:tcW w:w="189" w:type="pct"/>
            <w:shd w:val="clear" w:color="auto" w:fill="auto"/>
            <w:tcMar>
              <w:top w:w="0" w:type="dxa"/>
              <w:left w:w="0" w:type="dxa"/>
              <w:bottom w:w="0" w:type="dxa"/>
              <w:right w:w="0" w:type="dxa"/>
            </w:tcMar>
            <w:vAlign w:val="center"/>
          </w:tcPr>
          <w:p w14:paraId="0DF5C6EC">
            <w:pPr>
              <w:pStyle w:val="17"/>
              <w:bidi w:val="0"/>
              <w:rPr>
                <w:color w:val="auto"/>
                <w:highlight w:val="none"/>
              </w:rPr>
            </w:pPr>
            <w:r>
              <w:rPr>
                <w:color w:val="auto"/>
                <w:highlight w:val="none"/>
              </w:rPr>
              <w:t>20.6</w:t>
            </w:r>
          </w:p>
        </w:tc>
        <w:tc>
          <w:tcPr>
            <w:tcW w:w="176" w:type="pct"/>
            <w:shd w:val="clear" w:color="auto" w:fill="auto"/>
            <w:tcMar>
              <w:top w:w="0" w:type="dxa"/>
              <w:left w:w="0" w:type="dxa"/>
              <w:bottom w:w="0" w:type="dxa"/>
              <w:right w:w="0" w:type="dxa"/>
            </w:tcMar>
            <w:vAlign w:val="center"/>
          </w:tcPr>
          <w:p w14:paraId="02491700">
            <w:pPr>
              <w:pStyle w:val="17"/>
              <w:bidi w:val="0"/>
              <w:rPr>
                <w:color w:val="auto"/>
                <w:highlight w:val="none"/>
              </w:rPr>
            </w:pPr>
            <w:r>
              <w:rPr>
                <w:color w:val="auto"/>
                <w:highlight w:val="none"/>
              </w:rPr>
              <w:t>16.8</w:t>
            </w:r>
          </w:p>
        </w:tc>
        <w:tc>
          <w:tcPr>
            <w:tcW w:w="158" w:type="pct"/>
            <w:shd w:val="clear" w:color="auto" w:fill="auto"/>
            <w:tcMar>
              <w:top w:w="0" w:type="dxa"/>
              <w:left w:w="0" w:type="dxa"/>
              <w:bottom w:w="0" w:type="dxa"/>
              <w:right w:w="0" w:type="dxa"/>
            </w:tcMar>
            <w:vAlign w:val="center"/>
          </w:tcPr>
          <w:p w14:paraId="3BA5D9E3">
            <w:pPr>
              <w:pStyle w:val="17"/>
              <w:bidi w:val="0"/>
              <w:rPr>
                <w:color w:val="auto"/>
                <w:highlight w:val="none"/>
              </w:rPr>
            </w:pPr>
            <w:r>
              <w:rPr>
                <w:color w:val="auto"/>
                <w:highlight w:val="none"/>
              </w:rPr>
              <w:t>9.3</w:t>
            </w:r>
          </w:p>
        </w:tc>
        <w:tc>
          <w:tcPr>
            <w:tcW w:w="167" w:type="pct"/>
            <w:shd w:val="clear" w:color="auto" w:fill="auto"/>
            <w:tcMar>
              <w:top w:w="0" w:type="dxa"/>
              <w:left w:w="0" w:type="dxa"/>
              <w:bottom w:w="0" w:type="dxa"/>
              <w:right w:w="0" w:type="dxa"/>
            </w:tcMar>
            <w:vAlign w:val="center"/>
          </w:tcPr>
          <w:p w14:paraId="2F5AAAD8">
            <w:pPr>
              <w:pStyle w:val="17"/>
              <w:bidi w:val="0"/>
              <w:rPr>
                <w:color w:val="auto"/>
                <w:highlight w:val="none"/>
              </w:rPr>
            </w:pPr>
            <w:r>
              <w:rPr>
                <w:color w:val="auto"/>
                <w:highlight w:val="none"/>
              </w:rPr>
              <w:t>51.4</w:t>
            </w:r>
          </w:p>
        </w:tc>
        <w:tc>
          <w:tcPr>
            <w:tcW w:w="167" w:type="pct"/>
            <w:shd w:val="clear" w:color="auto" w:fill="auto"/>
            <w:tcMar>
              <w:top w:w="0" w:type="dxa"/>
              <w:left w:w="0" w:type="dxa"/>
              <w:bottom w:w="0" w:type="dxa"/>
              <w:right w:w="0" w:type="dxa"/>
            </w:tcMar>
            <w:vAlign w:val="center"/>
          </w:tcPr>
          <w:p w14:paraId="370450E1">
            <w:pPr>
              <w:pStyle w:val="17"/>
              <w:bidi w:val="0"/>
              <w:rPr>
                <w:color w:val="auto"/>
                <w:highlight w:val="none"/>
              </w:rPr>
            </w:pPr>
            <w:r>
              <w:rPr>
                <w:color w:val="auto"/>
                <w:highlight w:val="none"/>
              </w:rPr>
              <w:t>51.4</w:t>
            </w:r>
          </w:p>
        </w:tc>
        <w:tc>
          <w:tcPr>
            <w:tcW w:w="185" w:type="pct"/>
            <w:shd w:val="clear" w:color="auto" w:fill="auto"/>
            <w:tcMar>
              <w:top w:w="0" w:type="dxa"/>
              <w:left w:w="0" w:type="dxa"/>
              <w:bottom w:w="0" w:type="dxa"/>
              <w:right w:w="0" w:type="dxa"/>
            </w:tcMar>
            <w:vAlign w:val="center"/>
          </w:tcPr>
          <w:p w14:paraId="6517CAE6">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51.5</w:t>
            </w:r>
          </w:p>
        </w:tc>
        <w:tc>
          <w:tcPr>
            <w:tcW w:w="163" w:type="pct"/>
            <w:shd w:val="clear" w:color="auto" w:fill="auto"/>
            <w:tcMar>
              <w:top w:w="0" w:type="dxa"/>
              <w:left w:w="0" w:type="dxa"/>
              <w:bottom w:w="0" w:type="dxa"/>
              <w:right w:w="0" w:type="dxa"/>
            </w:tcMar>
            <w:vAlign w:val="center"/>
          </w:tcPr>
          <w:p w14:paraId="1D9A5435">
            <w:pPr>
              <w:pStyle w:val="17"/>
              <w:bidi w:val="0"/>
              <w:rPr>
                <w:color w:val="auto"/>
                <w:highlight w:val="none"/>
              </w:rPr>
            </w:pPr>
            <w:r>
              <w:rPr>
                <w:color w:val="auto"/>
                <w:highlight w:val="none"/>
              </w:rPr>
              <w:t>51.5</w:t>
            </w:r>
          </w:p>
        </w:tc>
        <w:tc>
          <w:tcPr>
            <w:tcW w:w="277" w:type="pct"/>
            <w:shd w:val="clear" w:color="auto" w:fill="auto"/>
            <w:tcMar>
              <w:top w:w="0" w:type="dxa"/>
              <w:left w:w="0" w:type="dxa"/>
              <w:bottom w:w="0" w:type="dxa"/>
              <w:right w:w="0" w:type="dxa"/>
            </w:tcMar>
            <w:vAlign w:val="center"/>
          </w:tcPr>
          <w:p w14:paraId="39C91470">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0651D043">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56F9DE2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41.4</w:t>
            </w:r>
          </w:p>
        </w:tc>
        <w:tc>
          <w:tcPr>
            <w:tcW w:w="288" w:type="pct"/>
            <w:shd w:val="clear" w:color="auto" w:fill="auto"/>
            <w:tcMar>
              <w:top w:w="0" w:type="dxa"/>
              <w:left w:w="0" w:type="dxa"/>
              <w:bottom w:w="0" w:type="dxa"/>
              <w:right w:w="0" w:type="dxa"/>
            </w:tcMar>
            <w:vAlign w:val="center"/>
          </w:tcPr>
          <w:p w14:paraId="45878D28">
            <w:pPr>
              <w:pStyle w:val="17"/>
              <w:bidi w:val="0"/>
              <w:ind w:firstLine="0" w:firstLineChars="0"/>
              <w:rPr>
                <w:color w:val="auto"/>
                <w:highlight w:val="none"/>
              </w:rPr>
            </w:pPr>
            <w:r>
              <w:rPr>
                <w:rFonts w:hint="eastAsia"/>
                <w:color w:val="auto"/>
                <w:highlight w:val="none"/>
                <w:lang w:val="en-US" w:eastAsia="zh-CN"/>
              </w:rPr>
              <w:t>1</w:t>
            </w:r>
          </w:p>
        </w:tc>
      </w:tr>
      <w:tr w14:paraId="5DFD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5B0AF18">
            <w:pPr>
              <w:pStyle w:val="17"/>
              <w:bidi w:val="0"/>
              <w:rPr>
                <w:color w:val="auto"/>
                <w:highlight w:val="none"/>
              </w:rPr>
            </w:pPr>
            <w:r>
              <w:rPr>
                <w:color w:val="auto"/>
                <w:highlight w:val="none"/>
              </w:rPr>
              <w:t>17</w:t>
            </w:r>
          </w:p>
        </w:tc>
        <w:tc>
          <w:tcPr>
            <w:tcW w:w="234" w:type="pct"/>
            <w:shd w:val="clear" w:color="auto" w:fill="auto"/>
            <w:tcMar>
              <w:top w:w="0" w:type="dxa"/>
              <w:left w:w="0" w:type="dxa"/>
              <w:bottom w:w="0" w:type="dxa"/>
              <w:right w:w="0" w:type="dxa"/>
            </w:tcMar>
            <w:vAlign w:val="center"/>
          </w:tcPr>
          <w:p w14:paraId="575217E8">
            <w:pPr>
              <w:pStyle w:val="17"/>
              <w:bidi w:val="0"/>
              <w:rPr>
                <w:color w:val="auto"/>
                <w:highlight w:val="none"/>
              </w:rPr>
            </w:pPr>
            <w:r>
              <w:rPr>
                <w:color w:val="auto"/>
                <w:highlight w:val="none"/>
              </w:rPr>
              <w:t>粉矿仓</w:t>
            </w:r>
          </w:p>
        </w:tc>
        <w:tc>
          <w:tcPr>
            <w:tcW w:w="482" w:type="pct"/>
            <w:shd w:val="clear" w:color="auto" w:fill="auto"/>
            <w:tcMar>
              <w:top w:w="0" w:type="dxa"/>
              <w:left w:w="0" w:type="dxa"/>
              <w:bottom w:w="0" w:type="dxa"/>
              <w:right w:w="0" w:type="dxa"/>
            </w:tcMar>
            <w:vAlign w:val="center"/>
          </w:tcPr>
          <w:p w14:paraId="17C408C1">
            <w:pPr>
              <w:pStyle w:val="17"/>
              <w:bidi w:val="0"/>
              <w:rPr>
                <w:color w:val="auto"/>
                <w:highlight w:val="none"/>
              </w:rPr>
            </w:pPr>
            <w:r>
              <w:rPr>
                <w:color w:val="auto"/>
                <w:highlight w:val="none"/>
              </w:rPr>
              <w:t>液下泵,4台（按点声源组预测）</w:t>
            </w:r>
          </w:p>
        </w:tc>
        <w:tc>
          <w:tcPr>
            <w:tcW w:w="344" w:type="pct"/>
            <w:shd w:val="clear" w:color="auto" w:fill="auto"/>
            <w:tcMar>
              <w:top w:w="0" w:type="dxa"/>
              <w:left w:w="0" w:type="dxa"/>
              <w:bottom w:w="0" w:type="dxa"/>
              <w:right w:w="0" w:type="dxa"/>
            </w:tcMar>
            <w:vAlign w:val="center"/>
          </w:tcPr>
          <w:p w14:paraId="410A207C">
            <w:pPr>
              <w:pStyle w:val="17"/>
              <w:bidi w:val="0"/>
              <w:rPr>
                <w:rFonts w:hint="eastAsia" w:eastAsia="宋体"/>
                <w:color w:val="auto"/>
                <w:highlight w:val="none"/>
                <w:lang w:eastAsia="zh-CN"/>
              </w:rPr>
            </w:pPr>
            <w:r>
              <w:rPr>
                <w:color w:val="auto"/>
                <w:highlight w:val="none"/>
              </w:rPr>
              <w:t>75（等效后：81.0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5BC4B170">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35E56A39">
            <w:pPr>
              <w:pStyle w:val="17"/>
              <w:bidi w:val="0"/>
              <w:rPr>
                <w:color w:val="auto"/>
                <w:highlight w:val="none"/>
              </w:rPr>
            </w:pPr>
            <w:r>
              <w:rPr>
                <w:color w:val="auto"/>
                <w:highlight w:val="none"/>
              </w:rPr>
              <w:t>88.1</w:t>
            </w:r>
          </w:p>
        </w:tc>
        <w:tc>
          <w:tcPr>
            <w:tcW w:w="260" w:type="pct"/>
            <w:shd w:val="clear" w:color="auto" w:fill="auto"/>
            <w:tcMar>
              <w:top w:w="0" w:type="dxa"/>
              <w:left w:w="0" w:type="dxa"/>
              <w:bottom w:w="0" w:type="dxa"/>
              <w:right w:w="0" w:type="dxa"/>
            </w:tcMar>
            <w:vAlign w:val="center"/>
          </w:tcPr>
          <w:p w14:paraId="1C22880C">
            <w:pPr>
              <w:pStyle w:val="17"/>
              <w:bidi w:val="0"/>
              <w:rPr>
                <w:color w:val="auto"/>
                <w:highlight w:val="none"/>
              </w:rPr>
            </w:pPr>
            <w:r>
              <w:rPr>
                <w:color w:val="auto"/>
                <w:highlight w:val="none"/>
              </w:rPr>
              <w:t>-985.9</w:t>
            </w:r>
          </w:p>
        </w:tc>
        <w:tc>
          <w:tcPr>
            <w:tcW w:w="235" w:type="pct"/>
            <w:shd w:val="clear" w:color="auto" w:fill="auto"/>
            <w:tcMar>
              <w:top w:w="0" w:type="dxa"/>
              <w:left w:w="0" w:type="dxa"/>
              <w:bottom w:w="0" w:type="dxa"/>
              <w:right w:w="0" w:type="dxa"/>
            </w:tcMar>
            <w:vAlign w:val="center"/>
          </w:tcPr>
          <w:p w14:paraId="42456E87">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3A306581">
            <w:pPr>
              <w:pStyle w:val="17"/>
              <w:bidi w:val="0"/>
              <w:rPr>
                <w:color w:val="auto"/>
                <w:highlight w:val="none"/>
              </w:rPr>
            </w:pPr>
            <w:r>
              <w:rPr>
                <w:color w:val="auto"/>
                <w:highlight w:val="none"/>
              </w:rPr>
              <w:t>20.6</w:t>
            </w:r>
          </w:p>
        </w:tc>
        <w:tc>
          <w:tcPr>
            <w:tcW w:w="189" w:type="pct"/>
            <w:shd w:val="clear" w:color="auto" w:fill="auto"/>
            <w:tcMar>
              <w:top w:w="0" w:type="dxa"/>
              <w:left w:w="0" w:type="dxa"/>
              <w:bottom w:w="0" w:type="dxa"/>
              <w:right w:w="0" w:type="dxa"/>
            </w:tcMar>
            <w:vAlign w:val="center"/>
          </w:tcPr>
          <w:p w14:paraId="2DB69ACB">
            <w:pPr>
              <w:pStyle w:val="17"/>
              <w:bidi w:val="0"/>
              <w:rPr>
                <w:color w:val="auto"/>
                <w:highlight w:val="none"/>
              </w:rPr>
            </w:pPr>
            <w:r>
              <w:rPr>
                <w:color w:val="auto"/>
                <w:highlight w:val="none"/>
              </w:rPr>
              <w:t>9.3</w:t>
            </w:r>
          </w:p>
        </w:tc>
        <w:tc>
          <w:tcPr>
            <w:tcW w:w="176" w:type="pct"/>
            <w:shd w:val="clear" w:color="auto" w:fill="auto"/>
            <w:tcMar>
              <w:top w:w="0" w:type="dxa"/>
              <w:left w:w="0" w:type="dxa"/>
              <w:bottom w:w="0" w:type="dxa"/>
              <w:right w:w="0" w:type="dxa"/>
            </w:tcMar>
            <w:vAlign w:val="center"/>
          </w:tcPr>
          <w:p w14:paraId="1FCD0282">
            <w:pPr>
              <w:pStyle w:val="17"/>
              <w:bidi w:val="0"/>
              <w:rPr>
                <w:color w:val="auto"/>
                <w:highlight w:val="none"/>
              </w:rPr>
            </w:pPr>
            <w:r>
              <w:rPr>
                <w:color w:val="auto"/>
                <w:highlight w:val="none"/>
              </w:rPr>
              <w:t>9.3</w:t>
            </w:r>
          </w:p>
        </w:tc>
        <w:tc>
          <w:tcPr>
            <w:tcW w:w="158" w:type="pct"/>
            <w:shd w:val="clear" w:color="auto" w:fill="auto"/>
            <w:tcMar>
              <w:top w:w="0" w:type="dxa"/>
              <w:left w:w="0" w:type="dxa"/>
              <w:bottom w:w="0" w:type="dxa"/>
              <w:right w:w="0" w:type="dxa"/>
            </w:tcMar>
            <w:vAlign w:val="center"/>
          </w:tcPr>
          <w:p w14:paraId="0C0D992F">
            <w:pPr>
              <w:pStyle w:val="17"/>
              <w:bidi w:val="0"/>
              <w:rPr>
                <w:color w:val="auto"/>
                <w:highlight w:val="none"/>
              </w:rPr>
            </w:pPr>
            <w:r>
              <w:rPr>
                <w:color w:val="auto"/>
                <w:highlight w:val="none"/>
              </w:rPr>
              <w:t>20.6</w:t>
            </w:r>
          </w:p>
        </w:tc>
        <w:tc>
          <w:tcPr>
            <w:tcW w:w="167" w:type="pct"/>
            <w:shd w:val="clear" w:color="auto" w:fill="auto"/>
            <w:tcMar>
              <w:top w:w="0" w:type="dxa"/>
              <w:left w:w="0" w:type="dxa"/>
              <w:bottom w:w="0" w:type="dxa"/>
              <w:right w:w="0" w:type="dxa"/>
            </w:tcMar>
            <w:vAlign w:val="center"/>
          </w:tcPr>
          <w:p w14:paraId="77D7C3C6">
            <w:pPr>
              <w:pStyle w:val="17"/>
              <w:bidi w:val="0"/>
              <w:rPr>
                <w:color w:val="auto"/>
                <w:highlight w:val="none"/>
              </w:rPr>
            </w:pPr>
            <w:r>
              <w:rPr>
                <w:color w:val="auto"/>
                <w:highlight w:val="none"/>
              </w:rPr>
              <w:t>67.4</w:t>
            </w:r>
          </w:p>
        </w:tc>
        <w:tc>
          <w:tcPr>
            <w:tcW w:w="167" w:type="pct"/>
            <w:shd w:val="clear" w:color="auto" w:fill="auto"/>
            <w:tcMar>
              <w:top w:w="0" w:type="dxa"/>
              <w:left w:w="0" w:type="dxa"/>
              <w:bottom w:w="0" w:type="dxa"/>
              <w:right w:w="0" w:type="dxa"/>
            </w:tcMar>
            <w:vAlign w:val="center"/>
          </w:tcPr>
          <w:p w14:paraId="5B520B96">
            <w:pPr>
              <w:pStyle w:val="17"/>
              <w:bidi w:val="0"/>
              <w:rPr>
                <w:color w:val="auto"/>
                <w:highlight w:val="none"/>
              </w:rPr>
            </w:pPr>
            <w:r>
              <w:rPr>
                <w:color w:val="auto"/>
                <w:highlight w:val="none"/>
              </w:rPr>
              <w:t>67.5</w:t>
            </w:r>
          </w:p>
        </w:tc>
        <w:tc>
          <w:tcPr>
            <w:tcW w:w="185" w:type="pct"/>
            <w:shd w:val="clear" w:color="auto" w:fill="auto"/>
            <w:tcMar>
              <w:top w:w="0" w:type="dxa"/>
              <w:left w:w="0" w:type="dxa"/>
              <w:bottom w:w="0" w:type="dxa"/>
              <w:right w:w="0" w:type="dxa"/>
            </w:tcMar>
            <w:vAlign w:val="center"/>
          </w:tcPr>
          <w:p w14:paraId="3AA3AFC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67.4</w:t>
            </w:r>
          </w:p>
        </w:tc>
        <w:tc>
          <w:tcPr>
            <w:tcW w:w="163" w:type="pct"/>
            <w:shd w:val="clear" w:color="auto" w:fill="auto"/>
            <w:tcMar>
              <w:top w:w="0" w:type="dxa"/>
              <w:left w:w="0" w:type="dxa"/>
              <w:bottom w:w="0" w:type="dxa"/>
              <w:right w:w="0" w:type="dxa"/>
            </w:tcMar>
            <w:vAlign w:val="center"/>
          </w:tcPr>
          <w:p w14:paraId="3A381A7B">
            <w:pPr>
              <w:pStyle w:val="17"/>
              <w:bidi w:val="0"/>
              <w:rPr>
                <w:color w:val="auto"/>
                <w:highlight w:val="none"/>
              </w:rPr>
            </w:pPr>
            <w:r>
              <w:rPr>
                <w:color w:val="auto"/>
                <w:highlight w:val="none"/>
              </w:rPr>
              <w:t>67.4</w:t>
            </w:r>
          </w:p>
        </w:tc>
        <w:tc>
          <w:tcPr>
            <w:tcW w:w="277" w:type="pct"/>
            <w:shd w:val="clear" w:color="auto" w:fill="auto"/>
            <w:tcMar>
              <w:top w:w="0" w:type="dxa"/>
              <w:left w:w="0" w:type="dxa"/>
              <w:bottom w:w="0" w:type="dxa"/>
              <w:right w:w="0" w:type="dxa"/>
            </w:tcMar>
            <w:vAlign w:val="center"/>
          </w:tcPr>
          <w:p w14:paraId="6DF39FE5">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40930976">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5E12255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57.4</w:t>
            </w:r>
          </w:p>
        </w:tc>
        <w:tc>
          <w:tcPr>
            <w:tcW w:w="288" w:type="pct"/>
            <w:shd w:val="clear" w:color="auto" w:fill="auto"/>
            <w:tcMar>
              <w:top w:w="0" w:type="dxa"/>
              <w:left w:w="0" w:type="dxa"/>
              <w:bottom w:w="0" w:type="dxa"/>
              <w:right w:w="0" w:type="dxa"/>
            </w:tcMar>
            <w:vAlign w:val="center"/>
          </w:tcPr>
          <w:p w14:paraId="4C1BE06F">
            <w:pPr>
              <w:pStyle w:val="17"/>
              <w:bidi w:val="0"/>
              <w:ind w:firstLine="0" w:firstLineChars="0"/>
              <w:rPr>
                <w:color w:val="auto"/>
                <w:highlight w:val="none"/>
              </w:rPr>
            </w:pPr>
            <w:r>
              <w:rPr>
                <w:rFonts w:hint="eastAsia"/>
                <w:color w:val="auto"/>
                <w:highlight w:val="none"/>
                <w:lang w:val="en-US" w:eastAsia="zh-CN"/>
              </w:rPr>
              <w:t>1</w:t>
            </w:r>
          </w:p>
        </w:tc>
      </w:tr>
      <w:tr w14:paraId="1F2B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64177B6">
            <w:pPr>
              <w:pStyle w:val="17"/>
              <w:bidi w:val="0"/>
              <w:rPr>
                <w:color w:val="auto"/>
                <w:highlight w:val="none"/>
              </w:rPr>
            </w:pPr>
            <w:r>
              <w:rPr>
                <w:color w:val="auto"/>
                <w:highlight w:val="none"/>
              </w:rPr>
              <w:t>18</w:t>
            </w:r>
          </w:p>
        </w:tc>
        <w:tc>
          <w:tcPr>
            <w:tcW w:w="234" w:type="pct"/>
            <w:shd w:val="clear" w:color="auto" w:fill="auto"/>
            <w:tcMar>
              <w:top w:w="0" w:type="dxa"/>
              <w:left w:w="0" w:type="dxa"/>
              <w:bottom w:w="0" w:type="dxa"/>
              <w:right w:w="0" w:type="dxa"/>
            </w:tcMar>
            <w:vAlign w:val="center"/>
          </w:tcPr>
          <w:p w14:paraId="2177C309">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2154584D">
            <w:pPr>
              <w:pStyle w:val="17"/>
              <w:bidi w:val="0"/>
              <w:rPr>
                <w:color w:val="auto"/>
                <w:highlight w:val="none"/>
              </w:rPr>
            </w:pPr>
            <w:r>
              <w:rPr>
                <w:color w:val="auto"/>
                <w:highlight w:val="none"/>
              </w:rPr>
              <w:t>双层直线振动筛,2台（按点声源组预测）</w:t>
            </w:r>
          </w:p>
        </w:tc>
        <w:tc>
          <w:tcPr>
            <w:tcW w:w="344" w:type="pct"/>
            <w:shd w:val="clear" w:color="auto" w:fill="auto"/>
            <w:tcMar>
              <w:top w:w="0" w:type="dxa"/>
              <w:left w:w="0" w:type="dxa"/>
              <w:bottom w:w="0" w:type="dxa"/>
              <w:right w:w="0" w:type="dxa"/>
            </w:tcMar>
            <w:vAlign w:val="center"/>
          </w:tcPr>
          <w:p w14:paraId="2DE9E44D">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2DA24E6A">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1B0B538B">
            <w:pPr>
              <w:pStyle w:val="17"/>
              <w:bidi w:val="0"/>
              <w:rPr>
                <w:color w:val="auto"/>
                <w:highlight w:val="none"/>
              </w:rPr>
            </w:pPr>
            <w:r>
              <w:rPr>
                <w:color w:val="auto"/>
                <w:highlight w:val="none"/>
              </w:rPr>
              <w:t>20.8</w:t>
            </w:r>
          </w:p>
        </w:tc>
        <w:tc>
          <w:tcPr>
            <w:tcW w:w="260" w:type="pct"/>
            <w:shd w:val="clear" w:color="auto" w:fill="auto"/>
            <w:tcMar>
              <w:top w:w="0" w:type="dxa"/>
              <w:left w:w="0" w:type="dxa"/>
              <w:bottom w:w="0" w:type="dxa"/>
              <w:right w:w="0" w:type="dxa"/>
            </w:tcMar>
            <w:vAlign w:val="center"/>
          </w:tcPr>
          <w:p w14:paraId="68EEF5B8">
            <w:pPr>
              <w:pStyle w:val="17"/>
              <w:bidi w:val="0"/>
              <w:rPr>
                <w:color w:val="auto"/>
                <w:highlight w:val="none"/>
              </w:rPr>
            </w:pPr>
            <w:r>
              <w:rPr>
                <w:color w:val="auto"/>
                <w:highlight w:val="none"/>
              </w:rPr>
              <w:t>-967.2</w:t>
            </w:r>
          </w:p>
        </w:tc>
        <w:tc>
          <w:tcPr>
            <w:tcW w:w="235" w:type="pct"/>
            <w:shd w:val="clear" w:color="auto" w:fill="auto"/>
            <w:tcMar>
              <w:top w:w="0" w:type="dxa"/>
              <w:left w:w="0" w:type="dxa"/>
              <w:bottom w:w="0" w:type="dxa"/>
              <w:right w:w="0" w:type="dxa"/>
            </w:tcMar>
            <w:vAlign w:val="center"/>
          </w:tcPr>
          <w:p w14:paraId="731FFE15">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74A229A6">
            <w:pPr>
              <w:pStyle w:val="17"/>
              <w:bidi w:val="0"/>
              <w:rPr>
                <w:color w:val="auto"/>
                <w:highlight w:val="none"/>
              </w:rPr>
            </w:pPr>
            <w:r>
              <w:rPr>
                <w:color w:val="auto"/>
                <w:highlight w:val="none"/>
              </w:rPr>
              <w:t>20.6</w:t>
            </w:r>
          </w:p>
        </w:tc>
        <w:tc>
          <w:tcPr>
            <w:tcW w:w="189" w:type="pct"/>
            <w:shd w:val="clear" w:color="auto" w:fill="auto"/>
            <w:tcMar>
              <w:top w:w="0" w:type="dxa"/>
              <w:left w:w="0" w:type="dxa"/>
              <w:bottom w:w="0" w:type="dxa"/>
              <w:right w:w="0" w:type="dxa"/>
            </w:tcMar>
            <w:vAlign w:val="center"/>
          </w:tcPr>
          <w:p w14:paraId="01B59A89">
            <w:pPr>
              <w:pStyle w:val="17"/>
              <w:bidi w:val="0"/>
              <w:rPr>
                <w:color w:val="auto"/>
                <w:highlight w:val="none"/>
              </w:rPr>
            </w:pPr>
            <w:r>
              <w:rPr>
                <w:color w:val="auto"/>
                <w:highlight w:val="none"/>
              </w:rPr>
              <w:t>14.9</w:t>
            </w:r>
          </w:p>
        </w:tc>
        <w:tc>
          <w:tcPr>
            <w:tcW w:w="176" w:type="pct"/>
            <w:shd w:val="clear" w:color="auto" w:fill="auto"/>
            <w:tcMar>
              <w:top w:w="0" w:type="dxa"/>
              <w:left w:w="0" w:type="dxa"/>
              <w:bottom w:w="0" w:type="dxa"/>
              <w:right w:w="0" w:type="dxa"/>
            </w:tcMar>
            <w:vAlign w:val="center"/>
          </w:tcPr>
          <w:p w14:paraId="5E03021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14.9</w:t>
            </w:r>
          </w:p>
        </w:tc>
        <w:tc>
          <w:tcPr>
            <w:tcW w:w="158" w:type="pct"/>
            <w:shd w:val="clear" w:color="auto" w:fill="auto"/>
            <w:tcMar>
              <w:top w:w="0" w:type="dxa"/>
              <w:left w:w="0" w:type="dxa"/>
              <w:bottom w:w="0" w:type="dxa"/>
              <w:right w:w="0" w:type="dxa"/>
            </w:tcMar>
            <w:vAlign w:val="center"/>
          </w:tcPr>
          <w:p w14:paraId="222DA4F3">
            <w:pPr>
              <w:pStyle w:val="17"/>
              <w:bidi w:val="0"/>
              <w:rPr>
                <w:color w:val="auto"/>
                <w:highlight w:val="none"/>
              </w:rPr>
            </w:pPr>
            <w:r>
              <w:rPr>
                <w:color w:val="auto"/>
                <w:highlight w:val="none"/>
              </w:rPr>
              <w:t>82.3</w:t>
            </w:r>
          </w:p>
        </w:tc>
        <w:tc>
          <w:tcPr>
            <w:tcW w:w="167" w:type="pct"/>
            <w:shd w:val="clear" w:color="auto" w:fill="auto"/>
            <w:tcMar>
              <w:top w:w="0" w:type="dxa"/>
              <w:left w:w="0" w:type="dxa"/>
              <w:bottom w:w="0" w:type="dxa"/>
              <w:right w:w="0" w:type="dxa"/>
            </w:tcMar>
            <w:vAlign w:val="center"/>
          </w:tcPr>
          <w:p w14:paraId="2379780B">
            <w:pPr>
              <w:pStyle w:val="17"/>
              <w:bidi w:val="0"/>
              <w:rPr>
                <w:color w:val="auto"/>
                <w:highlight w:val="none"/>
              </w:rPr>
            </w:pPr>
            <w:r>
              <w:rPr>
                <w:color w:val="auto"/>
                <w:highlight w:val="none"/>
              </w:rPr>
              <w:t>59.5</w:t>
            </w:r>
          </w:p>
        </w:tc>
        <w:tc>
          <w:tcPr>
            <w:tcW w:w="167" w:type="pct"/>
            <w:shd w:val="clear" w:color="auto" w:fill="auto"/>
            <w:tcMar>
              <w:top w:w="0" w:type="dxa"/>
              <w:left w:w="0" w:type="dxa"/>
              <w:bottom w:w="0" w:type="dxa"/>
              <w:right w:w="0" w:type="dxa"/>
            </w:tcMar>
            <w:vAlign w:val="center"/>
          </w:tcPr>
          <w:p w14:paraId="394C9BAF">
            <w:pPr>
              <w:pStyle w:val="17"/>
              <w:bidi w:val="0"/>
              <w:rPr>
                <w:color w:val="auto"/>
                <w:highlight w:val="none"/>
              </w:rPr>
            </w:pPr>
            <w:r>
              <w:rPr>
                <w:color w:val="auto"/>
                <w:highlight w:val="none"/>
              </w:rPr>
              <w:t>59.5</w:t>
            </w:r>
          </w:p>
        </w:tc>
        <w:tc>
          <w:tcPr>
            <w:tcW w:w="185" w:type="pct"/>
            <w:shd w:val="clear" w:color="auto" w:fill="auto"/>
            <w:tcMar>
              <w:top w:w="0" w:type="dxa"/>
              <w:left w:w="0" w:type="dxa"/>
              <w:bottom w:w="0" w:type="dxa"/>
              <w:right w:w="0" w:type="dxa"/>
            </w:tcMar>
            <w:vAlign w:val="center"/>
          </w:tcPr>
          <w:p w14:paraId="4254BD3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59.4</w:t>
            </w:r>
          </w:p>
        </w:tc>
        <w:tc>
          <w:tcPr>
            <w:tcW w:w="163" w:type="pct"/>
            <w:shd w:val="clear" w:color="auto" w:fill="auto"/>
            <w:tcMar>
              <w:top w:w="0" w:type="dxa"/>
              <w:left w:w="0" w:type="dxa"/>
              <w:bottom w:w="0" w:type="dxa"/>
              <w:right w:w="0" w:type="dxa"/>
            </w:tcMar>
            <w:vAlign w:val="center"/>
          </w:tcPr>
          <w:p w14:paraId="3E98976F">
            <w:pPr>
              <w:pStyle w:val="17"/>
              <w:bidi w:val="0"/>
              <w:rPr>
                <w:color w:val="auto"/>
                <w:highlight w:val="none"/>
              </w:rPr>
            </w:pPr>
            <w:r>
              <w:rPr>
                <w:color w:val="auto"/>
                <w:highlight w:val="none"/>
              </w:rPr>
              <w:t>59.4</w:t>
            </w:r>
          </w:p>
        </w:tc>
        <w:tc>
          <w:tcPr>
            <w:tcW w:w="277" w:type="pct"/>
            <w:shd w:val="clear" w:color="auto" w:fill="auto"/>
            <w:tcMar>
              <w:top w:w="0" w:type="dxa"/>
              <w:left w:w="0" w:type="dxa"/>
              <w:bottom w:w="0" w:type="dxa"/>
              <w:right w:w="0" w:type="dxa"/>
            </w:tcMar>
            <w:vAlign w:val="center"/>
          </w:tcPr>
          <w:p w14:paraId="25161CC7">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0143AA48">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118E341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49.5</w:t>
            </w:r>
          </w:p>
        </w:tc>
        <w:tc>
          <w:tcPr>
            <w:tcW w:w="288" w:type="pct"/>
            <w:shd w:val="clear" w:color="auto" w:fill="auto"/>
            <w:tcMar>
              <w:top w:w="0" w:type="dxa"/>
              <w:left w:w="0" w:type="dxa"/>
              <w:bottom w:w="0" w:type="dxa"/>
              <w:right w:w="0" w:type="dxa"/>
            </w:tcMar>
            <w:vAlign w:val="center"/>
          </w:tcPr>
          <w:p w14:paraId="504E9E7B">
            <w:pPr>
              <w:pStyle w:val="17"/>
              <w:bidi w:val="0"/>
              <w:ind w:firstLine="0" w:firstLineChars="0"/>
              <w:rPr>
                <w:color w:val="auto"/>
                <w:highlight w:val="none"/>
              </w:rPr>
            </w:pPr>
            <w:r>
              <w:rPr>
                <w:rFonts w:hint="eastAsia"/>
                <w:color w:val="auto"/>
                <w:highlight w:val="none"/>
                <w:lang w:val="en-US" w:eastAsia="zh-CN"/>
              </w:rPr>
              <w:t>1</w:t>
            </w:r>
          </w:p>
        </w:tc>
      </w:tr>
      <w:tr w14:paraId="78E4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6BC84C86">
            <w:pPr>
              <w:pStyle w:val="17"/>
              <w:bidi w:val="0"/>
              <w:rPr>
                <w:color w:val="auto"/>
                <w:highlight w:val="none"/>
              </w:rPr>
            </w:pPr>
            <w:r>
              <w:rPr>
                <w:color w:val="auto"/>
                <w:highlight w:val="none"/>
              </w:rPr>
              <w:t>19</w:t>
            </w:r>
          </w:p>
        </w:tc>
        <w:tc>
          <w:tcPr>
            <w:tcW w:w="234" w:type="pct"/>
            <w:shd w:val="clear" w:color="auto" w:fill="auto"/>
            <w:tcMar>
              <w:top w:w="0" w:type="dxa"/>
              <w:left w:w="0" w:type="dxa"/>
              <w:bottom w:w="0" w:type="dxa"/>
              <w:right w:w="0" w:type="dxa"/>
            </w:tcMar>
            <w:vAlign w:val="center"/>
          </w:tcPr>
          <w:p w14:paraId="24CD3589">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0308BAAB">
            <w:pPr>
              <w:pStyle w:val="17"/>
              <w:bidi w:val="0"/>
              <w:rPr>
                <w:color w:val="auto"/>
                <w:highlight w:val="none"/>
              </w:rPr>
            </w:pPr>
            <w:r>
              <w:rPr>
                <w:color w:val="auto"/>
                <w:highlight w:val="none"/>
              </w:rPr>
              <w:t>CV.8带式输送机</w:t>
            </w:r>
          </w:p>
        </w:tc>
        <w:tc>
          <w:tcPr>
            <w:tcW w:w="344" w:type="pct"/>
            <w:shd w:val="clear" w:color="auto" w:fill="auto"/>
            <w:tcMar>
              <w:top w:w="0" w:type="dxa"/>
              <w:left w:w="0" w:type="dxa"/>
              <w:bottom w:w="0" w:type="dxa"/>
              <w:right w:w="0" w:type="dxa"/>
            </w:tcMar>
            <w:vAlign w:val="center"/>
          </w:tcPr>
          <w:p w14:paraId="7C67CADD">
            <w:pPr>
              <w:pStyle w:val="17"/>
              <w:bidi w:val="0"/>
              <w:rPr>
                <w:color w:val="auto"/>
                <w:highlight w:val="none"/>
              </w:rPr>
            </w:pPr>
            <w:r>
              <w:rPr>
                <w:color w:val="auto"/>
                <w:highlight w:val="none"/>
              </w:rPr>
              <w:t>65</w:t>
            </w:r>
          </w:p>
        </w:tc>
        <w:tc>
          <w:tcPr>
            <w:tcW w:w="361" w:type="pct"/>
            <w:vMerge w:val="continue"/>
            <w:shd w:val="clear" w:color="auto" w:fill="auto"/>
            <w:tcMar>
              <w:top w:w="0" w:type="dxa"/>
              <w:left w:w="0" w:type="dxa"/>
              <w:bottom w:w="0" w:type="dxa"/>
              <w:right w:w="0" w:type="dxa"/>
            </w:tcMar>
            <w:vAlign w:val="center"/>
          </w:tcPr>
          <w:p w14:paraId="580E58AB">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0C129B2">
            <w:pPr>
              <w:pStyle w:val="17"/>
              <w:bidi w:val="0"/>
              <w:rPr>
                <w:color w:val="auto"/>
                <w:highlight w:val="none"/>
              </w:rPr>
            </w:pPr>
            <w:r>
              <w:rPr>
                <w:color w:val="auto"/>
                <w:highlight w:val="none"/>
              </w:rPr>
              <w:t>20.8</w:t>
            </w:r>
          </w:p>
        </w:tc>
        <w:tc>
          <w:tcPr>
            <w:tcW w:w="260" w:type="pct"/>
            <w:shd w:val="clear" w:color="auto" w:fill="auto"/>
            <w:tcMar>
              <w:top w:w="0" w:type="dxa"/>
              <w:left w:w="0" w:type="dxa"/>
              <w:bottom w:w="0" w:type="dxa"/>
              <w:right w:w="0" w:type="dxa"/>
            </w:tcMar>
            <w:vAlign w:val="center"/>
          </w:tcPr>
          <w:p w14:paraId="0597707A">
            <w:pPr>
              <w:pStyle w:val="17"/>
              <w:bidi w:val="0"/>
              <w:rPr>
                <w:color w:val="auto"/>
                <w:highlight w:val="none"/>
              </w:rPr>
            </w:pPr>
            <w:r>
              <w:rPr>
                <w:color w:val="auto"/>
                <w:highlight w:val="none"/>
              </w:rPr>
              <w:t>-948.5</w:t>
            </w:r>
          </w:p>
        </w:tc>
        <w:tc>
          <w:tcPr>
            <w:tcW w:w="235" w:type="pct"/>
            <w:shd w:val="clear" w:color="auto" w:fill="auto"/>
            <w:tcMar>
              <w:top w:w="0" w:type="dxa"/>
              <w:left w:w="0" w:type="dxa"/>
              <w:bottom w:w="0" w:type="dxa"/>
              <w:right w:w="0" w:type="dxa"/>
            </w:tcMar>
            <w:vAlign w:val="center"/>
          </w:tcPr>
          <w:p w14:paraId="5265E235">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69599B87">
            <w:pPr>
              <w:pStyle w:val="17"/>
              <w:bidi w:val="0"/>
              <w:rPr>
                <w:color w:val="auto"/>
                <w:highlight w:val="none"/>
              </w:rPr>
            </w:pPr>
            <w:r>
              <w:rPr>
                <w:color w:val="auto"/>
                <w:highlight w:val="none"/>
              </w:rPr>
              <w:t>20.6</w:t>
            </w:r>
          </w:p>
        </w:tc>
        <w:tc>
          <w:tcPr>
            <w:tcW w:w="189" w:type="pct"/>
            <w:shd w:val="clear" w:color="auto" w:fill="auto"/>
            <w:tcMar>
              <w:top w:w="0" w:type="dxa"/>
              <w:left w:w="0" w:type="dxa"/>
              <w:bottom w:w="0" w:type="dxa"/>
              <w:right w:w="0" w:type="dxa"/>
            </w:tcMar>
            <w:vAlign w:val="center"/>
          </w:tcPr>
          <w:p w14:paraId="07CA05B7">
            <w:pPr>
              <w:pStyle w:val="17"/>
              <w:bidi w:val="0"/>
              <w:rPr>
                <w:color w:val="auto"/>
                <w:highlight w:val="none"/>
              </w:rPr>
            </w:pPr>
            <w:r>
              <w:rPr>
                <w:color w:val="auto"/>
                <w:highlight w:val="none"/>
              </w:rPr>
              <w:t>33.6</w:t>
            </w:r>
          </w:p>
        </w:tc>
        <w:tc>
          <w:tcPr>
            <w:tcW w:w="176" w:type="pct"/>
            <w:shd w:val="clear" w:color="auto" w:fill="auto"/>
            <w:tcMar>
              <w:top w:w="0" w:type="dxa"/>
              <w:left w:w="0" w:type="dxa"/>
              <w:bottom w:w="0" w:type="dxa"/>
              <w:right w:w="0" w:type="dxa"/>
            </w:tcMar>
            <w:vAlign w:val="center"/>
          </w:tcPr>
          <w:p w14:paraId="1E28FDE7">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33.6</w:t>
            </w:r>
          </w:p>
        </w:tc>
        <w:tc>
          <w:tcPr>
            <w:tcW w:w="158" w:type="pct"/>
            <w:shd w:val="clear" w:color="auto" w:fill="auto"/>
            <w:tcMar>
              <w:top w:w="0" w:type="dxa"/>
              <w:left w:w="0" w:type="dxa"/>
              <w:bottom w:w="0" w:type="dxa"/>
              <w:right w:w="0" w:type="dxa"/>
            </w:tcMar>
            <w:vAlign w:val="center"/>
          </w:tcPr>
          <w:p w14:paraId="1AC0DA4D">
            <w:pPr>
              <w:pStyle w:val="17"/>
              <w:bidi w:val="0"/>
              <w:rPr>
                <w:color w:val="auto"/>
                <w:highlight w:val="none"/>
              </w:rPr>
            </w:pPr>
            <w:r>
              <w:rPr>
                <w:color w:val="auto"/>
                <w:highlight w:val="none"/>
              </w:rPr>
              <w:t>63.6</w:t>
            </w:r>
          </w:p>
        </w:tc>
        <w:tc>
          <w:tcPr>
            <w:tcW w:w="167" w:type="pct"/>
            <w:shd w:val="clear" w:color="auto" w:fill="auto"/>
            <w:tcMar>
              <w:top w:w="0" w:type="dxa"/>
              <w:left w:w="0" w:type="dxa"/>
              <w:bottom w:w="0" w:type="dxa"/>
              <w:right w:w="0" w:type="dxa"/>
            </w:tcMar>
            <w:vAlign w:val="center"/>
          </w:tcPr>
          <w:p w14:paraId="68B2ABB0">
            <w:pPr>
              <w:pStyle w:val="17"/>
              <w:bidi w:val="0"/>
              <w:rPr>
                <w:color w:val="auto"/>
                <w:highlight w:val="none"/>
              </w:rPr>
            </w:pPr>
            <w:r>
              <w:rPr>
                <w:color w:val="auto"/>
                <w:highlight w:val="none"/>
              </w:rPr>
              <w:t>46.5</w:t>
            </w:r>
          </w:p>
        </w:tc>
        <w:tc>
          <w:tcPr>
            <w:tcW w:w="167" w:type="pct"/>
            <w:shd w:val="clear" w:color="auto" w:fill="auto"/>
            <w:tcMar>
              <w:top w:w="0" w:type="dxa"/>
              <w:left w:w="0" w:type="dxa"/>
              <w:bottom w:w="0" w:type="dxa"/>
              <w:right w:w="0" w:type="dxa"/>
            </w:tcMar>
            <w:vAlign w:val="center"/>
          </w:tcPr>
          <w:p w14:paraId="37F56813">
            <w:pPr>
              <w:pStyle w:val="17"/>
              <w:bidi w:val="0"/>
              <w:rPr>
                <w:color w:val="auto"/>
                <w:highlight w:val="none"/>
              </w:rPr>
            </w:pPr>
            <w:r>
              <w:rPr>
                <w:color w:val="auto"/>
                <w:highlight w:val="none"/>
              </w:rPr>
              <w:t>46.4</w:t>
            </w:r>
          </w:p>
        </w:tc>
        <w:tc>
          <w:tcPr>
            <w:tcW w:w="185" w:type="pct"/>
            <w:shd w:val="clear" w:color="auto" w:fill="auto"/>
            <w:tcMar>
              <w:top w:w="0" w:type="dxa"/>
              <w:left w:w="0" w:type="dxa"/>
              <w:bottom w:w="0" w:type="dxa"/>
              <w:right w:w="0" w:type="dxa"/>
            </w:tcMar>
            <w:vAlign w:val="center"/>
          </w:tcPr>
          <w:p w14:paraId="0447BB5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46.4</w:t>
            </w:r>
          </w:p>
        </w:tc>
        <w:tc>
          <w:tcPr>
            <w:tcW w:w="163" w:type="pct"/>
            <w:shd w:val="clear" w:color="auto" w:fill="auto"/>
            <w:tcMar>
              <w:top w:w="0" w:type="dxa"/>
              <w:left w:w="0" w:type="dxa"/>
              <w:bottom w:w="0" w:type="dxa"/>
              <w:right w:w="0" w:type="dxa"/>
            </w:tcMar>
            <w:vAlign w:val="center"/>
          </w:tcPr>
          <w:p w14:paraId="1A45FCDD">
            <w:pPr>
              <w:pStyle w:val="17"/>
              <w:bidi w:val="0"/>
              <w:rPr>
                <w:color w:val="auto"/>
                <w:highlight w:val="none"/>
              </w:rPr>
            </w:pPr>
            <w:r>
              <w:rPr>
                <w:color w:val="auto"/>
                <w:highlight w:val="none"/>
              </w:rPr>
              <w:t>46.4</w:t>
            </w:r>
          </w:p>
        </w:tc>
        <w:tc>
          <w:tcPr>
            <w:tcW w:w="277" w:type="pct"/>
            <w:shd w:val="clear" w:color="auto" w:fill="auto"/>
            <w:tcMar>
              <w:top w:w="0" w:type="dxa"/>
              <w:left w:w="0" w:type="dxa"/>
              <w:bottom w:w="0" w:type="dxa"/>
              <w:right w:w="0" w:type="dxa"/>
            </w:tcMar>
            <w:vAlign w:val="center"/>
          </w:tcPr>
          <w:p w14:paraId="397B0917">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3066D851">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2BC18DA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36.5</w:t>
            </w:r>
          </w:p>
        </w:tc>
        <w:tc>
          <w:tcPr>
            <w:tcW w:w="288" w:type="pct"/>
            <w:shd w:val="clear" w:color="auto" w:fill="auto"/>
            <w:tcMar>
              <w:top w:w="0" w:type="dxa"/>
              <w:left w:w="0" w:type="dxa"/>
              <w:bottom w:w="0" w:type="dxa"/>
              <w:right w:w="0" w:type="dxa"/>
            </w:tcMar>
            <w:vAlign w:val="center"/>
          </w:tcPr>
          <w:p w14:paraId="36E8CED0">
            <w:pPr>
              <w:pStyle w:val="17"/>
              <w:bidi w:val="0"/>
              <w:ind w:firstLine="0" w:firstLineChars="0"/>
              <w:rPr>
                <w:color w:val="auto"/>
                <w:highlight w:val="none"/>
              </w:rPr>
            </w:pPr>
            <w:r>
              <w:rPr>
                <w:rFonts w:hint="eastAsia"/>
                <w:color w:val="auto"/>
                <w:highlight w:val="none"/>
                <w:lang w:val="en-US" w:eastAsia="zh-CN"/>
              </w:rPr>
              <w:t>1</w:t>
            </w:r>
          </w:p>
        </w:tc>
      </w:tr>
      <w:tr w14:paraId="0E7C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0C17AFA">
            <w:pPr>
              <w:pStyle w:val="17"/>
              <w:bidi w:val="0"/>
              <w:rPr>
                <w:color w:val="auto"/>
                <w:highlight w:val="none"/>
              </w:rPr>
            </w:pPr>
            <w:r>
              <w:rPr>
                <w:color w:val="auto"/>
                <w:highlight w:val="none"/>
              </w:rPr>
              <w:t>20</w:t>
            </w:r>
          </w:p>
        </w:tc>
        <w:tc>
          <w:tcPr>
            <w:tcW w:w="234" w:type="pct"/>
            <w:shd w:val="clear" w:color="auto" w:fill="auto"/>
            <w:tcMar>
              <w:top w:w="0" w:type="dxa"/>
              <w:left w:w="0" w:type="dxa"/>
              <w:bottom w:w="0" w:type="dxa"/>
              <w:right w:w="0" w:type="dxa"/>
            </w:tcMar>
            <w:vAlign w:val="center"/>
          </w:tcPr>
          <w:p w14:paraId="4D43324F">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56DAC2B1">
            <w:pPr>
              <w:pStyle w:val="17"/>
              <w:bidi w:val="0"/>
              <w:rPr>
                <w:color w:val="auto"/>
                <w:highlight w:val="none"/>
              </w:rPr>
            </w:pPr>
            <w:r>
              <w:rPr>
                <w:color w:val="auto"/>
                <w:highlight w:val="none"/>
              </w:rPr>
              <w:t>球磨机</w:t>
            </w:r>
          </w:p>
        </w:tc>
        <w:tc>
          <w:tcPr>
            <w:tcW w:w="344" w:type="pct"/>
            <w:shd w:val="clear" w:color="auto" w:fill="auto"/>
            <w:tcMar>
              <w:top w:w="0" w:type="dxa"/>
              <w:left w:w="0" w:type="dxa"/>
              <w:bottom w:w="0" w:type="dxa"/>
              <w:right w:w="0" w:type="dxa"/>
            </w:tcMar>
            <w:vAlign w:val="center"/>
          </w:tcPr>
          <w:p w14:paraId="681CE388">
            <w:pPr>
              <w:pStyle w:val="17"/>
              <w:bidi w:val="0"/>
              <w:rPr>
                <w:color w:val="auto"/>
                <w:highlight w:val="none"/>
              </w:rPr>
            </w:pPr>
            <w:r>
              <w:rPr>
                <w:color w:val="auto"/>
                <w:highlight w:val="none"/>
              </w:rPr>
              <w:t>80</w:t>
            </w:r>
          </w:p>
        </w:tc>
        <w:tc>
          <w:tcPr>
            <w:tcW w:w="361" w:type="pct"/>
            <w:vMerge w:val="continue"/>
            <w:shd w:val="clear" w:color="auto" w:fill="auto"/>
            <w:tcMar>
              <w:top w:w="0" w:type="dxa"/>
              <w:left w:w="0" w:type="dxa"/>
              <w:bottom w:w="0" w:type="dxa"/>
              <w:right w:w="0" w:type="dxa"/>
            </w:tcMar>
            <w:vAlign w:val="center"/>
          </w:tcPr>
          <w:p w14:paraId="6A363C6B">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3D99CF21">
            <w:pPr>
              <w:pStyle w:val="17"/>
              <w:bidi w:val="0"/>
              <w:rPr>
                <w:color w:val="auto"/>
                <w:highlight w:val="none"/>
              </w:rPr>
            </w:pPr>
            <w:r>
              <w:rPr>
                <w:color w:val="auto"/>
                <w:highlight w:val="none"/>
              </w:rPr>
              <w:t>-1.6</w:t>
            </w:r>
          </w:p>
        </w:tc>
        <w:tc>
          <w:tcPr>
            <w:tcW w:w="260" w:type="pct"/>
            <w:shd w:val="clear" w:color="auto" w:fill="auto"/>
            <w:tcMar>
              <w:top w:w="0" w:type="dxa"/>
              <w:left w:w="0" w:type="dxa"/>
              <w:bottom w:w="0" w:type="dxa"/>
              <w:right w:w="0" w:type="dxa"/>
            </w:tcMar>
            <w:vAlign w:val="center"/>
          </w:tcPr>
          <w:p w14:paraId="190E653A">
            <w:pPr>
              <w:pStyle w:val="17"/>
              <w:bidi w:val="0"/>
              <w:rPr>
                <w:color w:val="auto"/>
                <w:highlight w:val="none"/>
              </w:rPr>
            </w:pPr>
            <w:r>
              <w:rPr>
                <w:color w:val="auto"/>
                <w:highlight w:val="none"/>
              </w:rPr>
              <w:t>-967.2</w:t>
            </w:r>
          </w:p>
        </w:tc>
        <w:tc>
          <w:tcPr>
            <w:tcW w:w="235" w:type="pct"/>
            <w:shd w:val="clear" w:color="auto" w:fill="auto"/>
            <w:tcMar>
              <w:top w:w="0" w:type="dxa"/>
              <w:left w:w="0" w:type="dxa"/>
              <w:bottom w:w="0" w:type="dxa"/>
              <w:right w:w="0" w:type="dxa"/>
            </w:tcMar>
            <w:vAlign w:val="center"/>
          </w:tcPr>
          <w:p w14:paraId="71056D8C">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16B25223">
            <w:pPr>
              <w:pStyle w:val="17"/>
              <w:bidi w:val="0"/>
              <w:rPr>
                <w:color w:val="auto"/>
                <w:highlight w:val="none"/>
              </w:rPr>
            </w:pPr>
            <w:r>
              <w:rPr>
                <w:color w:val="auto"/>
                <w:highlight w:val="none"/>
              </w:rPr>
              <w:t>43.0</w:t>
            </w:r>
          </w:p>
        </w:tc>
        <w:tc>
          <w:tcPr>
            <w:tcW w:w="189" w:type="pct"/>
            <w:shd w:val="clear" w:color="auto" w:fill="auto"/>
            <w:tcMar>
              <w:top w:w="0" w:type="dxa"/>
              <w:left w:w="0" w:type="dxa"/>
              <w:bottom w:w="0" w:type="dxa"/>
              <w:right w:w="0" w:type="dxa"/>
            </w:tcMar>
            <w:vAlign w:val="center"/>
          </w:tcPr>
          <w:p w14:paraId="5E50C658">
            <w:pPr>
              <w:pStyle w:val="17"/>
              <w:bidi w:val="0"/>
              <w:rPr>
                <w:color w:val="auto"/>
                <w:highlight w:val="none"/>
              </w:rPr>
            </w:pPr>
            <w:r>
              <w:rPr>
                <w:color w:val="auto"/>
                <w:highlight w:val="none"/>
              </w:rPr>
              <w:t>14.9</w:t>
            </w:r>
          </w:p>
        </w:tc>
        <w:tc>
          <w:tcPr>
            <w:tcW w:w="176" w:type="pct"/>
            <w:shd w:val="clear" w:color="auto" w:fill="auto"/>
            <w:tcMar>
              <w:top w:w="0" w:type="dxa"/>
              <w:left w:w="0" w:type="dxa"/>
              <w:bottom w:w="0" w:type="dxa"/>
              <w:right w:w="0" w:type="dxa"/>
            </w:tcMar>
            <w:vAlign w:val="center"/>
          </w:tcPr>
          <w:p w14:paraId="4B85113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14.9</w:t>
            </w:r>
          </w:p>
        </w:tc>
        <w:tc>
          <w:tcPr>
            <w:tcW w:w="158" w:type="pct"/>
            <w:shd w:val="clear" w:color="auto" w:fill="auto"/>
            <w:tcMar>
              <w:top w:w="0" w:type="dxa"/>
              <w:left w:w="0" w:type="dxa"/>
              <w:bottom w:w="0" w:type="dxa"/>
              <w:right w:w="0" w:type="dxa"/>
            </w:tcMar>
            <w:vAlign w:val="center"/>
          </w:tcPr>
          <w:p w14:paraId="10A68FD1">
            <w:pPr>
              <w:pStyle w:val="17"/>
              <w:bidi w:val="0"/>
              <w:rPr>
                <w:color w:val="auto"/>
                <w:highlight w:val="none"/>
              </w:rPr>
            </w:pPr>
            <w:r>
              <w:rPr>
                <w:color w:val="auto"/>
                <w:highlight w:val="none"/>
              </w:rPr>
              <w:t>82.3</w:t>
            </w:r>
          </w:p>
        </w:tc>
        <w:tc>
          <w:tcPr>
            <w:tcW w:w="167" w:type="pct"/>
            <w:shd w:val="clear" w:color="auto" w:fill="auto"/>
            <w:tcMar>
              <w:top w:w="0" w:type="dxa"/>
              <w:left w:w="0" w:type="dxa"/>
              <w:bottom w:w="0" w:type="dxa"/>
              <w:right w:w="0" w:type="dxa"/>
            </w:tcMar>
            <w:vAlign w:val="center"/>
          </w:tcPr>
          <w:p w14:paraId="55E3BE93">
            <w:pPr>
              <w:pStyle w:val="17"/>
              <w:bidi w:val="0"/>
              <w:rPr>
                <w:color w:val="auto"/>
                <w:highlight w:val="none"/>
              </w:rPr>
            </w:pPr>
            <w:r>
              <w:rPr>
                <w:color w:val="auto"/>
                <w:highlight w:val="none"/>
              </w:rPr>
              <w:t>61.4</w:t>
            </w:r>
          </w:p>
        </w:tc>
        <w:tc>
          <w:tcPr>
            <w:tcW w:w="167" w:type="pct"/>
            <w:shd w:val="clear" w:color="auto" w:fill="auto"/>
            <w:tcMar>
              <w:top w:w="0" w:type="dxa"/>
              <w:left w:w="0" w:type="dxa"/>
              <w:bottom w:w="0" w:type="dxa"/>
              <w:right w:w="0" w:type="dxa"/>
            </w:tcMar>
            <w:vAlign w:val="center"/>
          </w:tcPr>
          <w:p w14:paraId="1D42A444">
            <w:pPr>
              <w:pStyle w:val="17"/>
              <w:bidi w:val="0"/>
              <w:rPr>
                <w:color w:val="auto"/>
                <w:highlight w:val="none"/>
              </w:rPr>
            </w:pPr>
            <w:r>
              <w:rPr>
                <w:color w:val="auto"/>
                <w:highlight w:val="none"/>
              </w:rPr>
              <w:t>61.5</w:t>
            </w:r>
          </w:p>
        </w:tc>
        <w:tc>
          <w:tcPr>
            <w:tcW w:w="185" w:type="pct"/>
            <w:shd w:val="clear" w:color="auto" w:fill="auto"/>
            <w:tcMar>
              <w:top w:w="0" w:type="dxa"/>
              <w:left w:w="0" w:type="dxa"/>
              <w:bottom w:w="0" w:type="dxa"/>
              <w:right w:w="0" w:type="dxa"/>
            </w:tcMar>
            <w:vAlign w:val="center"/>
          </w:tcPr>
          <w:p w14:paraId="66A8E15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61.4</w:t>
            </w:r>
          </w:p>
        </w:tc>
        <w:tc>
          <w:tcPr>
            <w:tcW w:w="163" w:type="pct"/>
            <w:shd w:val="clear" w:color="auto" w:fill="auto"/>
            <w:tcMar>
              <w:top w:w="0" w:type="dxa"/>
              <w:left w:w="0" w:type="dxa"/>
              <w:bottom w:w="0" w:type="dxa"/>
              <w:right w:w="0" w:type="dxa"/>
            </w:tcMar>
            <w:vAlign w:val="center"/>
          </w:tcPr>
          <w:p w14:paraId="1246FF92">
            <w:pPr>
              <w:pStyle w:val="17"/>
              <w:bidi w:val="0"/>
              <w:rPr>
                <w:color w:val="auto"/>
                <w:highlight w:val="none"/>
              </w:rPr>
            </w:pPr>
            <w:r>
              <w:rPr>
                <w:color w:val="auto"/>
                <w:highlight w:val="none"/>
              </w:rPr>
              <w:t>61.4</w:t>
            </w:r>
          </w:p>
        </w:tc>
        <w:tc>
          <w:tcPr>
            <w:tcW w:w="277" w:type="pct"/>
            <w:shd w:val="clear" w:color="auto" w:fill="auto"/>
            <w:tcMar>
              <w:top w:w="0" w:type="dxa"/>
              <w:left w:w="0" w:type="dxa"/>
              <w:bottom w:w="0" w:type="dxa"/>
              <w:right w:w="0" w:type="dxa"/>
            </w:tcMar>
            <w:vAlign w:val="center"/>
          </w:tcPr>
          <w:p w14:paraId="5A01EB22">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7BEAC487">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6B56B9B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51.4</w:t>
            </w:r>
          </w:p>
        </w:tc>
        <w:tc>
          <w:tcPr>
            <w:tcW w:w="288" w:type="pct"/>
            <w:shd w:val="clear" w:color="auto" w:fill="auto"/>
            <w:tcMar>
              <w:top w:w="0" w:type="dxa"/>
              <w:left w:w="0" w:type="dxa"/>
              <w:bottom w:w="0" w:type="dxa"/>
              <w:right w:w="0" w:type="dxa"/>
            </w:tcMar>
            <w:vAlign w:val="center"/>
          </w:tcPr>
          <w:p w14:paraId="2ACE314D">
            <w:pPr>
              <w:pStyle w:val="17"/>
              <w:bidi w:val="0"/>
              <w:ind w:firstLine="0" w:firstLineChars="0"/>
              <w:rPr>
                <w:color w:val="auto"/>
                <w:highlight w:val="none"/>
              </w:rPr>
            </w:pPr>
            <w:r>
              <w:rPr>
                <w:rFonts w:hint="eastAsia"/>
                <w:color w:val="auto"/>
                <w:highlight w:val="none"/>
                <w:lang w:val="en-US" w:eastAsia="zh-CN"/>
              </w:rPr>
              <w:t>1</w:t>
            </w:r>
          </w:p>
        </w:tc>
      </w:tr>
      <w:tr w14:paraId="44A4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D064E01">
            <w:pPr>
              <w:pStyle w:val="17"/>
              <w:bidi w:val="0"/>
              <w:rPr>
                <w:color w:val="auto"/>
                <w:highlight w:val="none"/>
              </w:rPr>
            </w:pPr>
            <w:r>
              <w:rPr>
                <w:color w:val="auto"/>
                <w:highlight w:val="none"/>
              </w:rPr>
              <w:t>21</w:t>
            </w:r>
          </w:p>
        </w:tc>
        <w:tc>
          <w:tcPr>
            <w:tcW w:w="234" w:type="pct"/>
            <w:shd w:val="clear" w:color="auto" w:fill="auto"/>
            <w:tcMar>
              <w:top w:w="0" w:type="dxa"/>
              <w:left w:w="0" w:type="dxa"/>
              <w:bottom w:w="0" w:type="dxa"/>
              <w:right w:w="0" w:type="dxa"/>
            </w:tcMar>
            <w:vAlign w:val="center"/>
          </w:tcPr>
          <w:p w14:paraId="6D00DC83">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457D3032">
            <w:pPr>
              <w:pStyle w:val="17"/>
              <w:bidi w:val="0"/>
              <w:rPr>
                <w:color w:val="auto"/>
                <w:highlight w:val="none"/>
              </w:rPr>
            </w:pPr>
            <w:r>
              <w:rPr>
                <w:color w:val="auto"/>
                <w:highlight w:val="none"/>
              </w:rPr>
              <w:t>水力旋流器,7台（按点声源组预测）</w:t>
            </w:r>
          </w:p>
        </w:tc>
        <w:tc>
          <w:tcPr>
            <w:tcW w:w="344" w:type="pct"/>
            <w:shd w:val="clear" w:color="auto" w:fill="auto"/>
            <w:tcMar>
              <w:top w:w="0" w:type="dxa"/>
              <w:left w:w="0" w:type="dxa"/>
              <w:bottom w:w="0" w:type="dxa"/>
              <w:right w:w="0" w:type="dxa"/>
            </w:tcMar>
            <w:vAlign w:val="center"/>
          </w:tcPr>
          <w:p w14:paraId="1DAEFF16">
            <w:pPr>
              <w:pStyle w:val="17"/>
              <w:bidi w:val="0"/>
              <w:rPr>
                <w:rFonts w:hint="eastAsia" w:eastAsia="宋体"/>
                <w:color w:val="auto"/>
                <w:highlight w:val="none"/>
                <w:lang w:eastAsia="zh-CN"/>
              </w:rPr>
            </w:pPr>
            <w:r>
              <w:rPr>
                <w:color w:val="auto"/>
                <w:highlight w:val="none"/>
              </w:rPr>
              <w:t>70（等效后：78.5</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343F8C16">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EFCAA01">
            <w:pPr>
              <w:pStyle w:val="17"/>
              <w:bidi w:val="0"/>
              <w:rPr>
                <w:color w:val="auto"/>
                <w:highlight w:val="none"/>
              </w:rPr>
            </w:pPr>
            <w:r>
              <w:rPr>
                <w:color w:val="auto"/>
                <w:highlight w:val="none"/>
              </w:rPr>
              <w:t>-6.3</w:t>
            </w:r>
          </w:p>
        </w:tc>
        <w:tc>
          <w:tcPr>
            <w:tcW w:w="260" w:type="pct"/>
            <w:shd w:val="clear" w:color="auto" w:fill="auto"/>
            <w:tcMar>
              <w:top w:w="0" w:type="dxa"/>
              <w:left w:w="0" w:type="dxa"/>
              <w:bottom w:w="0" w:type="dxa"/>
              <w:right w:w="0" w:type="dxa"/>
            </w:tcMar>
            <w:vAlign w:val="center"/>
          </w:tcPr>
          <w:p w14:paraId="6FE6B610">
            <w:pPr>
              <w:pStyle w:val="17"/>
              <w:bidi w:val="0"/>
              <w:rPr>
                <w:color w:val="auto"/>
                <w:highlight w:val="none"/>
              </w:rPr>
            </w:pPr>
            <w:r>
              <w:rPr>
                <w:color w:val="auto"/>
                <w:highlight w:val="none"/>
              </w:rPr>
              <w:t>-929.8</w:t>
            </w:r>
          </w:p>
        </w:tc>
        <w:tc>
          <w:tcPr>
            <w:tcW w:w="235" w:type="pct"/>
            <w:shd w:val="clear" w:color="auto" w:fill="auto"/>
            <w:tcMar>
              <w:top w:w="0" w:type="dxa"/>
              <w:left w:w="0" w:type="dxa"/>
              <w:bottom w:w="0" w:type="dxa"/>
              <w:right w:w="0" w:type="dxa"/>
            </w:tcMar>
            <w:vAlign w:val="center"/>
          </w:tcPr>
          <w:p w14:paraId="19A780B1">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6D85ABDD">
            <w:pPr>
              <w:pStyle w:val="17"/>
              <w:bidi w:val="0"/>
              <w:rPr>
                <w:color w:val="auto"/>
                <w:highlight w:val="none"/>
              </w:rPr>
            </w:pPr>
            <w:r>
              <w:rPr>
                <w:color w:val="auto"/>
                <w:highlight w:val="none"/>
              </w:rPr>
              <w:t>47.7</w:t>
            </w:r>
          </w:p>
        </w:tc>
        <w:tc>
          <w:tcPr>
            <w:tcW w:w="189" w:type="pct"/>
            <w:shd w:val="clear" w:color="auto" w:fill="auto"/>
            <w:tcMar>
              <w:top w:w="0" w:type="dxa"/>
              <w:left w:w="0" w:type="dxa"/>
              <w:bottom w:w="0" w:type="dxa"/>
              <w:right w:w="0" w:type="dxa"/>
            </w:tcMar>
            <w:vAlign w:val="center"/>
          </w:tcPr>
          <w:p w14:paraId="50B29483">
            <w:pPr>
              <w:pStyle w:val="17"/>
              <w:bidi w:val="0"/>
              <w:rPr>
                <w:color w:val="auto"/>
                <w:highlight w:val="none"/>
              </w:rPr>
            </w:pPr>
            <w:r>
              <w:rPr>
                <w:color w:val="auto"/>
                <w:highlight w:val="none"/>
              </w:rPr>
              <w:t>43.9</w:t>
            </w:r>
          </w:p>
        </w:tc>
        <w:tc>
          <w:tcPr>
            <w:tcW w:w="176" w:type="pct"/>
            <w:shd w:val="clear" w:color="auto" w:fill="auto"/>
            <w:tcMar>
              <w:top w:w="0" w:type="dxa"/>
              <w:left w:w="0" w:type="dxa"/>
              <w:bottom w:w="0" w:type="dxa"/>
              <w:right w:w="0" w:type="dxa"/>
            </w:tcMar>
            <w:vAlign w:val="center"/>
          </w:tcPr>
          <w:p w14:paraId="5255520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43.9</w:t>
            </w:r>
          </w:p>
        </w:tc>
        <w:tc>
          <w:tcPr>
            <w:tcW w:w="158" w:type="pct"/>
            <w:shd w:val="clear" w:color="auto" w:fill="auto"/>
            <w:tcMar>
              <w:top w:w="0" w:type="dxa"/>
              <w:left w:w="0" w:type="dxa"/>
              <w:bottom w:w="0" w:type="dxa"/>
              <w:right w:w="0" w:type="dxa"/>
            </w:tcMar>
            <w:vAlign w:val="center"/>
          </w:tcPr>
          <w:p w14:paraId="15D57D19">
            <w:pPr>
              <w:pStyle w:val="17"/>
              <w:bidi w:val="0"/>
              <w:rPr>
                <w:color w:val="auto"/>
                <w:highlight w:val="none"/>
              </w:rPr>
            </w:pPr>
            <w:r>
              <w:rPr>
                <w:color w:val="auto"/>
                <w:highlight w:val="none"/>
              </w:rPr>
              <w:t>44.9</w:t>
            </w:r>
          </w:p>
        </w:tc>
        <w:tc>
          <w:tcPr>
            <w:tcW w:w="167" w:type="pct"/>
            <w:shd w:val="clear" w:color="auto" w:fill="auto"/>
            <w:tcMar>
              <w:top w:w="0" w:type="dxa"/>
              <w:left w:w="0" w:type="dxa"/>
              <w:bottom w:w="0" w:type="dxa"/>
              <w:right w:w="0" w:type="dxa"/>
            </w:tcMar>
            <w:vAlign w:val="center"/>
          </w:tcPr>
          <w:p w14:paraId="55F36D77">
            <w:pPr>
              <w:pStyle w:val="17"/>
              <w:bidi w:val="0"/>
              <w:rPr>
                <w:color w:val="auto"/>
                <w:highlight w:val="none"/>
              </w:rPr>
            </w:pPr>
            <w:r>
              <w:rPr>
                <w:color w:val="auto"/>
                <w:highlight w:val="none"/>
              </w:rPr>
              <w:t>59.9</w:t>
            </w:r>
          </w:p>
        </w:tc>
        <w:tc>
          <w:tcPr>
            <w:tcW w:w="167" w:type="pct"/>
            <w:shd w:val="clear" w:color="auto" w:fill="auto"/>
            <w:tcMar>
              <w:top w:w="0" w:type="dxa"/>
              <w:left w:w="0" w:type="dxa"/>
              <w:bottom w:w="0" w:type="dxa"/>
              <w:right w:w="0" w:type="dxa"/>
            </w:tcMar>
            <w:vAlign w:val="center"/>
          </w:tcPr>
          <w:p w14:paraId="20A1F735">
            <w:pPr>
              <w:pStyle w:val="17"/>
              <w:bidi w:val="0"/>
              <w:rPr>
                <w:color w:val="auto"/>
                <w:highlight w:val="none"/>
              </w:rPr>
            </w:pPr>
            <w:r>
              <w:rPr>
                <w:color w:val="auto"/>
                <w:highlight w:val="none"/>
              </w:rPr>
              <w:t>59.9</w:t>
            </w:r>
          </w:p>
        </w:tc>
        <w:tc>
          <w:tcPr>
            <w:tcW w:w="185" w:type="pct"/>
            <w:shd w:val="clear" w:color="auto" w:fill="auto"/>
            <w:tcMar>
              <w:top w:w="0" w:type="dxa"/>
              <w:left w:w="0" w:type="dxa"/>
              <w:bottom w:w="0" w:type="dxa"/>
              <w:right w:w="0" w:type="dxa"/>
            </w:tcMar>
            <w:vAlign w:val="center"/>
          </w:tcPr>
          <w:p w14:paraId="09DFDC5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59.9</w:t>
            </w:r>
          </w:p>
        </w:tc>
        <w:tc>
          <w:tcPr>
            <w:tcW w:w="163" w:type="pct"/>
            <w:shd w:val="clear" w:color="auto" w:fill="auto"/>
            <w:tcMar>
              <w:top w:w="0" w:type="dxa"/>
              <w:left w:w="0" w:type="dxa"/>
              <w:bottom w:w="0" w:type="dxa"/>
              <w:right w:w="0" w:type="dxa"/>
            </w:tcMar>
            <w:vAlign w:val="center"/>
          </w:tcPr>
          <w:p w14:paraId="25E2A682">
            <w:pPr>
              <w:pStyle w:val="17"/>
              <w:bidi w:val="0"/>
              <w:rPr>
                <w:color w:val="auto"/>
                <w:highlight w:val="none"/>
              </w:rPr>
            </w:pPr>
            <w:r>
              <w:rPr>
                <w:color w:val="auto"/>
                <w:highlight w:val="none"/>
              </w:rPr>
              <w:t>59.9</w:t>
            </w:r>
          </w:p>
        </w:tc>
        <w:tc>
          <w:tcPr>
            <w:tcW w:w="277" w:type="pct"/>
            <w:shd w:val="clear" w:color="auto" w:fill="auto"/>
            <w:tcMar>
              <w:top w:w="0" w:type="dxa"/>
              <w:left w:w="0" w:type="dxa"/>
              <w:bottom w:w="0" w:type="dxa"/>
              <w:right w:w="0" w:type="dxa"/>
            </w:tcMar>
            <w:vAlign w:val="center"/>
          </w:tcPr>
          <w:p w14:paraId="5A418B11">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67EC0EB9">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1983B96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49.9</w:t>
            </w:r>
          </w:p>
        </w:tc>
        <w:tc>
          <w:tcPr>
            <w:tcW w:w="288" w:type="pct"/>
            <w:shd w:val="clear" w:color="auto" w:fill="auto"/>
            <w:tcMar>
              <w:top w:w="0" w:type="dxa"/>
              <w:left w:w="0" w:type="dxa"/>
              <w:bottom w:w="0" w:type="dxa"/>
              <w:right w:w="0" w:type="dxa"/>
            </w:tcMar>
            <w:vAlign w:val="center"/>
          </w:tcPr>
          <w:p w14:paraId="50010169">
            <w:pPr>
              <w:pStyle w:val="17"/>
              <w:bidi w:val="0"/>
              <w:ind w:firstLine="0" w:firstLineChars="0"/>
              <w:rPr>
                <w:color w:val="auto"/>
                <w:highlight w:val="none"/>
              </w:rPr>
            </w:pPr>
            <w:r>
              <w:rPr>
                <w:rFonts w:hint="eastAsia"/>
                <w:color w:val="auto"/>
                <w:highlight w:val="none"/>
                <w:lang w:val="en-US" w:eastAsia="zh-CN"/>
              </w:rPr>
              <w:t>1</w:t>
            </w:r>
          </w:p>
        </w:tc>
      </w:tr>
      <w:tr w14:paraId="19DA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32B7FC5">
            <w:pPr>
              <w:pStyle w:val="17"/>
              <w:bidi w:val="0"/>
              <w:rPr>
                <w:color w:val="auto"/>
                <w:highlight w:val="none"/>
              </w:rPr>
            </w:pPr>
            <w:r>
              <w:rPr>
                <w:color w:val="auto"/>
                <w:highlight w:val="none"/>
              </w:rPr>
              <w:t>22</w:t>
            </w:r>
          </w:p>
        </w:tc>
        <w:tc>
          <w:tcPr>
            <w:tcW w:w="234" w:type="pct"/>
            <w:shd w:val="clear" w:color="auto" w:fill="auto"/>
            <w:tcMar>
              <w:top w:w="0" w:type="dxa"/>
              <w:left w:w="0" w:type="dxa"/>
              <w:bottom w:w="0" w:type="dxa"/>
              <w:right w:w="0" w:type="dxa"/>
            </w:tcMar>
            <w:vAlign w:val="center"/>
          </w:tcPr>
          <w:p w14:paraId="7B9DD43B">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18D5A5FE">
            <w:pPr>
              <w:pStyle w:val="17"/>
              <w:bidi w:val="0"/>
              <w:rPr>
                <w:color w:val="auto"/>
                <w:highlight w:val="none"/>
              </w:rPr>
            </w:pPr>
            <w:r>
              <w:rPr>
                <w:color w:val="auto"/>
                <w:highlight w:val="none"/>
              </w:rPr>
              <w:t>渣浆泵,32台（按点声源组预测）</w:t>
            </w:r>
          </w:p>
        </w:tc>
        <w:tc>
          <w:tcPr>
            <w:tcW w:w="344" w:type="pct"/>
            <w:shd w:val="clear" w:color="auto" w:fill="auto"/>
            <w:tcMar>
              <w:top w:w="0" w:type="dxa"/>
              <w:left w:w="0" w:type="dxa"/>
              <w:bottom w:w="0" w:type="dxa"/>
              <w:right w:w="0" w:type="dxa"/>
            </w:tcMar>
            <w:vAlign w:val="center"/>
          </w:tcPr>
          <w:p w14:paraId="24F34AB0">
            <w:pPr>
              <w:pStyle w:val="17"/>
              <w:bidi w:val="0"/>
              <w:rPr>
                <w:rFonts w:hint="eastAsia" w:eastAsia="宋体"/>
                <w:color w:val="auto"/>
                <w:highlight w:val="none"/>
                <w:lang w:eastAsia="zh-CN"/>
              </w:rPr>
            </w:pPr>
            <w:r>
              <w:rPr>
                <w:color w:val="auto"/>
                <w:highlight w:val="none"/>
              </w:rPr>
              <w:t>80（等效后：95.1</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2CFED7D1">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80E2C29">
            <w:pPr>
              <w:pStyle w:val="17"/>
              <w:bidi w:val="0"/>
              <w:rPr>
                <w:color w:val="auto"/>
                <w:highlight w:val="none"/>
              </w:rPr>
            </w:pPr>
            <w:r>
              <w:rPr>
                <w:color w:val="auto"/>
                <w:highlight w:val="none"/>
              </w:rPr>
              <w:t>-1.6</w:t>
            </w:r>
          </w:p>
        </w:tc>
        <w:tc>
          <w:tcPr>
            <w:tcW w:w="260" w:type="pct"/>
            <w:shd w:val="clear" w:color="auto" w:fill="auto"/>
            <w:tcMar>
              <w:top w:w="0" w:type="dxa"/>
              <w:left w:w="0" w:type="dxa"/>
              <w:bottom w:w="0" w:type="dxa"/>
              <w:right w:w="0" w:type="dxa"/>
            </w:tcMar>
            <w:vAlign w:val="center"/>
          </w:tcPr>
          <w:p w14:paraId="293160CF">
            <w:pPr>
              <w:pStyle w:val="17"/>
              <w:bidi w:val="0"/>
              <w:rPr>
                <w:color w:val="auto"/>
                <w:highlight w:val="none"/>
              </w:rPr>
            </w:pPr>
            <w:r>
              <w:rPr>
                <w:color w:val="auto"/>
                <w:highlight w:val="none"/>
              </w:rPr>
              <w:t>-912.9</w:t>
            </w:r>
          </w:p>
        </w:tc>
        <w:tc>
          <w:tcPr>
            <w:tcW w:w="235" w:type="pct"/>
            <w:shd w:val="clear" w:color="auto" w:fill="auto"/>
            <w:tcMar>
              <w:top w:w="0" w:type="dxa"/>
              <w:left w:w="0" w:type="dxa"/>
              <w:bottom w:w="0" w:type="dxa"/>
              <w:right w:w="0" w:type="dxa"/>
            </w:tcMar>
            <w:vAlign w:val="center"/>
          </w:tcPr>
          <w:p w14:paraId="0A62A4E4">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03F8CFF8">
            <w:pPr>
              <w:pStyle w:val="17"/>
              <w:bidi w:val="0"/>
              <w:rPr>
                <w:color w:val="auto"/>
                <w:highlight w:val="none"/>
              </w:rPr>
            </w:pPr>
            <w:r>
              <w:rPr>
                <w:color w:val="auto"/>
                <w:highlight w:val="none"/>
              </w:rPr>
              <w:t>43.0</w:t>
            </w:r>
          </w:p>
        </w:tc>
        <w:tc>
          <w:tcPr>
            <w:tcW w:w="189" w:type="pct"/>
            <w:shd w:val="clear" w:color="auto" w:fill="auto"/>
            <w:tcMar>
              <w:top w:w="0" w:type="dxa"/>
              <w:left w:w="0" w:type="dxa"/>
              <w:bottom w:w="0" w:type="dxa"/>
              <w:right w:w="0" w:type="dxa"/>
            </w:tcMar>
            <w:vAlign w:val="center"/>
          </w:tcPr>
          <w:p w14:paraId="18FC74C6">
            <w:pPr>
              <w:pStyle w:val="17"/>
              <w:bidi w:val="0"/>
              <w:rPr>
                <w:color w:val="auto"/>
                <w:highlight w:val="none"/>
              </w:rPr>
            </w:pPr>
            <w:r>
              <w:rPr>
                <w:color w:val="auto"/>
                <w:highlight w:val="none"/>
              </w:rPr>
              <w:t>48.6</w:t>
            </w:r>
          </w:p>
        </w:tc>
        <w:tc>
          <w:tcPr>
            <w:tcW w:w="176" w:type="pct"/>
            <w:shd w:val="clear" w:color="auto" w:fill="auto"/>
            <w:tcMar>
              <w:top w:w="0" w:type="dxa"/>
              <w:left w:w="0" w:type="dxa"/>
              <w:bottom w:w="0" w:type="dxa"/>
              <w:right w:w="0" w:type="dxa"/>
            </w:tcMar>
            <w:vAlign w:val="center"/>
          </w:tcPr>
          <w:p w14:paraId="57160DC4">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48.6</w:t>
            </w:r>
          </w:p>
        </w:tc>
        <w:tc>
          <w:tcPr>
            <w:tcW w:w="158" w:type="pct"/>
            <w:shd w:val="clear" w:color="auto" w:fill="auto"/>
            <w:tcMar>
              <w:top w:w="0" w:type="dxa"/>
              <w:left w:w="0" w:type="dxa"/>
              <w:bottom w:w="0" w:type="dxa"/>
              <w:right w:w="0" w:type="dxa"/>
            </w:tcMar>
            <w:vAlign w:val="center"/>
          </w:tcPr>
          <w:p w14:paraId="2BC5811A">
            <w:pPr>
              <w:pStyle w:val="17"/>
              <w:bidi w:val="0"/>
              <w:rPr>
                <w:color w:val="auto"/>
                <w:highlight w:val="none"/>
              </w:rPr>
            </w:pPr>
            <w:r>
              <w:rPr>
                <w:color w:val="auto"/>
                <w:highlight w:val="none"/>
              </w:rPr>
              <w:t>28.0</w:t>
            </w:r>
          </w:p>
        </w:tc>
        <w:tc>
          <w:tcPr>
            <w:tcW w:w="167" w:type="pct"/>
            <w:shd w:val="clear" w:color="auto" w:fill="auto"/>
            <w:tcMar>
              <w:top w:w="0" w:type="dxa"/>
              <w:left w:w="0" w:type="dxa"/>
              <w:bottom w:w="0" w:type="dxa"/>
              <w:right w:w="0" w:type="dxa"/>
            </w:tcMar>
            <w:vAlign w:val="center"/>
          </w:tcPr>
          <w:p w14:paraId="152DD3FC">
            <w:pPr>
              <w:pStyle w:val="17"/>
              <w:bidi w:val="0"/>
              <w:rPr>
                <w:color w:val="auto"/>
                <w:highlight w:val="none"/>
              </w:rPr>
            </w:pPr>
            <w:r>
              <w:rPr>
                <w:color w:val="auto"/>
                <w:highlight w:val="none"/>
              </w:rPr>
              <w:t>76.5</w:t>
            </w:r>
          </w:p>
        </w:tc>
        <w:tc>
          <w:tcPr>
            <w:tcW w:w="167" w:type="pct"/>
            <w:shd w:val="clear" w:color="auto" w:fill="auto"/>
            <w:tcMar>
              <w:top w:w="0" w:type="dxa"/>
              <w:left w:w="0" w:type="dxa"/>
              <w:bottom w:w="0" w:type="dxa"/>
              <w:right w:w="0" w:type="dxa"/>
            </w:tcMar>
            <w:vAlign w:val="center"/>
          </w:tcPr>
          <w:p w14:paraId="60FE478E">
            <w:pPr>
              <w:pStyle w:val="17"/>
              <w:bidi w:val="0"/>
              <w:rPr>
                <w:color w:val="auto"/>
                <w:highlight w:val="none"/>
              </w:rPr>
            </w:pPr>
            <w:r>
              <w:rPr>
                <w:color w:val="auto"/>
                <w:highlight w:val="none"/>
              </w:rPr>
              <w:t>76.5</w:t>
            </w:r>
          </w:p>
        </w:tc>
        <w:tc>
          <w:tcPr>
            <w:tcW w:w="185" w:type="pct"/>
            <w:shd w:val="clear" w:color="auto" w:fill="auto"/>
            <w:tcMar>
              <w:top w:w="0" w:type="dxa"/>
              <w:left w:w="0" w:type="dxa"/>
              <w:bottom w:w="0" w:type="dxa"/>
              <w:right w:w="0" w:type="dxa"/>
            </w:tcMar>
            <w:vAlign w:val="center"/>
          </w:tcPr>
          <w:p w14:paraId="17FCCAE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76.5</w:t>
            </w:r>
          </w:p>
        </w:tc>
        <w:tc>
          <w:tcPr>
            <w:tcW w:w="163" w:type="pct"/>
            <w:shd w:val="clear" w:color="auto" w:fill="auto"/>
            <w:tcMar>
              <w:top w:w="0" w:type="dxa"/>
              <w:left w:w="0" w:type="dxa"/>
              <w:bottom w:w="0" w:type="dxa"/>
              <w:right w:w="0" w:type="dxa"/>
            </w:tcMar>
            <w:vAlign w:val="center"/>
          </w:tcPr>
          <w:p w14:paraId="4671CE4E">
            <w:pPr>
              <w:pStyle w:val="17"/>
              <w:bidi w:val="0"/>
              <w:rPr>
                <w:color w:val="auto"/>
                <w:highlight w:val="none"/>
              </w:rPr>
            </w:pPr>
            <w:r>
              <w:rPr>
                <w:color w:val="auto"/>
                <w:highlight w:val="none"/>
              </w:rPr>
              <w:t>76.5</w:t>
            </w:r>
          </w:p>
        </w:tc>
        <w:tc>
          <w:tcPr>
            <w:tcW w:w="277" w:type="pct"/>
            <w:shd w:val="clear" w:color="auto" w:fill="auto"/>
            <w:tcMar>
              <w:top w:w="0" w:type="dxa"/>
              <w:left w:w="0" w:type="dxa"/>
              <w:bottom w:w="0" w:type="dxa"/>
              <w:right w:w="0" w:type="dxa"/>
            </w:tcMar>
            <w:vAlign w:val="center"/>
          </w:tcPr>
          <w:p w14:paraId="36F2F632">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00373C2F">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218DA75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66.5</w:t>
            </w:r>
          </w:p>
        </w:tc>
        <w:tc>
          <w:tcPr>
            <w:tcW w:w="288" w:type="pct"/>
            <w:shd w:val="clear" w:color="auto" w:fill="auto"/>
            <w:tcMar>
              <w:top w:w="0" w:type="dxa"/>
              <w:left w:w="0" w:type="dxa"/>
              <w:bottom w:w="0" w:type="dxa"/>
              <w:right w:w="0" w:type="dxa"/>
            </w:tcMar>
            <w:vAlign w:val="center"/>
          </w:tcPr>
          <w:p w14:paraId="5BB44166">
            <w:pPr>
              <w:pStyle w:val="17"/>
              <w:bidi w:val="0"/>
              <w:ind w:firstLine="0" w:firstLineChars="0"/>
              <w:rPr>
                <w:color w:val="auto"/>
                <w:highlight w:val="none"/>
              </w:rPr>
            </w:pPr>
            <w:r>
              <w:rPr>
                <w:rFonts w:hint="eastAsia"/>
                <w:color w:val="auto"/>
                <w:highlight w:val="none"/>
                <w:lang w:val="en-US" w:eastAsia="zh-CN"/>
              </w:rPr>
              <w:t>1</w:t>
            </w:r>
          </w:p>
        </w:tc>
      </w:tr>
      <w:tr w14:paraId="759F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4306E713">
            <w:pPr>
              <w:pStyle w:val="17"/>
              <w:bidi w:val="0"/>
              <w:rPr>
                <w:color w:val="auto"/>
                <w:highlight w:val="none"/>
              </w:rPr>
            </w:pPr>
            <w:r>
              <w:rPr>
                <w:color w:val="auto"/>
                <w:highlight w:val="none"/>
              </w:rPr>
              <w:t>23</w:t>
            </w:r>
          </w:p>
        </w:tc>
        <w:tc>
          <w:tcPr>
            <w:tcW w:w="234" w:type="pct"/>
            <w:shd w:val="clear" w:color="auto" w:fill="auto"/>
            <w:tcMar>
              <w:top w:w="0" w:type="dxa"/>
              <w:left w:w="0" w:type="dxa"/>
              <w:bottom w:w="0" w:type="dxa"/>
              <w:right w:w="0" w:type="dxa"/>
            </w:tcMar>
            <w:vAlign w:val="center"/>
          </w:tcPr>
          <w:p w14:paraId="3B8BA6C3">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29428311">
            <w:pPr>
              <w:pStyle w:val="17"/>
              <w:bidi w:val="0"/>
              <w:rPr>
                <w:color w:val="auto"/>
                <w:highlight w:val="none"/>
              </w:rPr>
            </w:pPr>
            <w:r>
              <w:rPr>
                <w:color w:val="auto"/>
                <w:highlight w:val="none"/>
              </w:rPr>
              <w:t>电动双梁吊钩桥式起重机</w:t>
            </w:r>
          </w:p>
        </w:tc>
        <w:tc>
          <w:tcPr>
            <w:tcW w:w="344" w:type="pct"/>
            <w:shd w:val="clear" w:color="auto" w:fill="auto"/>
            <w:tcMar>
              <w:top w:w="0" w:type="dxa"/>
              <w:left w:w="0" w:type="dxa"/>
              <w:bottom w:w="0" w:type="dxa"/>
              <w:right w:w="0" w:type="dxa"/>
            </w:tcMar>
            <w:vAlign w:val="center"/>
          </w:tcPr>
          <w:p w14:paraId="4AB4A405">
            <w:pPr>
              <w:pStyle w:val="17"/>
              <w:bidi w:val="0"/>
              <w:rPr>
                <w:color w:val="auto"/>
                <w:highlight w:val="none"/>
              </w:rPr>
            </w:pPr>
            <w:r>
              <w:rPr>
                <w:color w:val="auto"/>
                <w:highlight w:val="none"/>
              </w:rPr>
              <w:t>65</w:t>
            </w:r>
          </w:p>
        </w:tc>
        <w:tc>
          <w:tcPr>
            <w:tcW w:w="361" w:type="pct"/>
            <w:vMerge w:val="continue"/>
            <w:shd w:val="clear" w:color="auto" w:fill="auto"/>
            <w:tcMar>
              <w:top w:w="0" w:type="dxa"/>
              <w:left w:w="0" w:type="dxa"/>
              <w:bottom w:w="0" w:type="dxa"/>
              <w:right w:w="0" w:type="dxa"/>
            </w:tcMar>
            <w:vAlign w:val="center"/>
          </w:tcPr>
          <w:p w14:paraId="1DC510CA">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7BC753A4">
            <w:pPr>
              <w:pStyle w:val="17"/>
              <w:bidi w:val="0"/>
              <w:rPr>
                <w:color w:val="auto"/>
                <w:highlight w:val="none"/>
              </w:rPr>
            </w:pPr>
            <w:r>
              <w:rPr>
                <w:color w:val="auto"/>
                <w:highlight w:val="none"/>
              </w:rPr>
              <w:t>-40.9</w:t>
            </w:r>
          </w:p>
        </w:tc>
        <w:tc>
          <w:tcPr>
            <w:tcW w:w="260" w:type="pct"/>
            <w:shd w:val="clear" w:color="auto" w:fill="auto"/>
            <w:tcMar>
              <w:top w:w="0" w:type="dxa"/>
              <w:left w:w="0" w:type="dxa"/>
              <w:bottom w:w="0" w:type="dxa"/>
              <w:right w:w="0" w:type="dxa"/>
            </w:tcMar>
            <w:vAlign w:val="center"/>
          </w:tcPr>
          <w:p w14:paraId="43E4AE3B">
            <w:pPr>
              <w:pStyle w:val="17"/>
              <w:bidi w:val="0"/>
              <w:rPr>
                <w:color w:val="auto"/>
                <w:highlight w:val="none"/>
              </w:rPr>
            </w:pPr>
            <w:r>
              <w:rPr>
                <w:color w:val="auto"/>
                <w:highlight w:val="none"/>
              </w:rPr>
              <w:t>-905.5</w:t>
            </w:r>
          </w:p>
        </w:tc>
        <w:tc>
          <w:tcPr>
            <w:tcW w:w="235" w:type="pct"/>
            <w:shd w:val="clear" w:color="auto" w:fill="auto"/>
            <w:tcMar>
              <w:top w:w="0" w:type="dxa"/>
              <w:left w:w="0" w:type="dxa"/>
              <w:bottom w:w="0" w:type="dxa"/>
              <w:right w:w="0" w:type="dxa"/>
            </w:tcMar>
            <w:vAlign w:val="center"/>
          </w:tcPr>
          <w:p w14:paraId="6936D133">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5F2EA994">
            <w:pPr>
              <w:pStyle w:val="17"/>
              <w:bidi w:val="0"/>
              <w:rPr>
                <w:color w:val="auto"/>
                <w:highlight w:val="none"/>
              </w:rPr>
            </w:pPr>
            <w:r>
              <w:rPr>
                <w:color w:val="auto"/>
                <w:highlight w:val="none"/>
              </w:rPr>
              <w:t>82.3</w:t>
            </w:r>
          </w:p>
        </w:tc>
        <w:tc>
          <w:tcPr>
            <w:tcW w:w="189" w:type="pct"/>
            <w:shd w:val="clear" w:color="auto" w:fill="auto"/>
            <w:tcMar>
              <w:top w:w="0" w:type="dxa"/>
              <w:left w:w="0" w:type="dxa"/>
              <w:bottom w:w="0" w:type="dxa"/>
              <w:right w:w="0" w:type="dxa"/>
            </w:tcMar>
            <w:vAlign w:val="center"/>
          </w:tcPr>
          <w:p w14:paraId="0F8EF4D6">
            <w:pPr>
              <w:pStyle w:val="17"/>
              <w:bidi w:val="0"/>
              <w:rPr>
                <w:color w:val="auto"/>
                <w:highlight w:val="none"/>
              </w:rPr>
            </w:pPr>
            <w:r>
              <w:rPr>
                <w:color w:val="auto"/>
                <w:highlight w:val="none"/>
              </w:rPr>
              <w:t>9.3</w:t>
            </w:r>
          </w:p>
        </w:tc>
        <w:tc>
          <w:tcPr>
            <w:tcW w:w="176" w:type="pct"/>
            <w:shd w:val="clear" w:color="auto" w:fill="auto"/>
            <w:tcMar>
              <w:top w:w="0" w:type="dxa"/>
              <w:left w:w="0" w:type="dxa"/>
              <w:bottom w:w="0" w:type="dxa"/>
              <w:right w:w="0" w:type="dxa"/>
            </w:tcMar>
            <w:vAlign w:val="center"/>
          </w:tcPr>
          <w:p w14:paraId="4AF10E1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9.3</w:t>
            </w:r>
          </w:p>
        </w:tc>
        <w:tc>
          <w:tcPr>
            <w:tcW w:w="158" w:type="pct"/>
            <w:shd w:val="clear" w:color="auto" w:fill="auto"/>
            <w:tcMar>
              <w:top w:w="0" w:type="dxa"/>
              <w:left w:w="0" w:type="dxa"/>
              <w:bottom w:w="0" w:type="dxa"/>
              <w:right w:w="0" w:type="dxa"/>
            </w:tcMar>
            <w:vAlign w:val="center"/>
          </w:tcPr>
          <w:p w14:paraId="08E86192">
            <w:pPr>
              <w:pStyle w:val="17"/>
              <w:bidi w:val="0"/>
              <w:rPr>
                <w:color w:val="auto"/>
                <w:highlight w:val="none"/>
              </w:rPr>
            </w:pPr>
            <w:r>
              <w:rPr>
                <w:color w:val="auto"/>
                <w:highlight w:val="none"/>
              </w:rPr>
              <w:t>20.6</w:t>
            </w:r>
          </w:p>
        </w:tc>
        <w:tc>
          <w:tcPr>
            <w:tcW w:w="167" w:type="pct"/>
            <w:shd w:val="clear" w:color="auto" w:fill="auto"/>
            <w:tcMar>
              <w:top w:w="0" w:type="dxa"/>
              <w:left w:w="0" w:type="dxa"/>
              <w:bottom w:w="0" w:type="dxa"/>
              <w:right w:w="0" w:type="dxa"/>
            </w:tcMar>
            <w:vAlign w:val="center"/>
          </w:tcPr>
          <w:p w14:paraId="2C67BB77">
            <w:pPr>
              <w:pStyle w:val="17"/>
              <w:bidi w:val="0"/>
              <w:rPr>
                <w:color w:val="auto"/>
                <w:highlight w:val="none"/>
              </w:rPr>
            </w:pPr>
            <w:r>
              <w:rPr>
                <w:color w:val="auto"/>
                <w:highlight w:val="none"/>
              </w:rPr>
              <w:t>46.4</w:t>
            </w:r>
          </w:p>
        </w:tc>
        <w:tc>
          <w:tcPr>
            <w:tcW w:w="167" w:type="pct"/>
            <w:shd w:val="clear" w:color="auto" w:fill="auto"/>
            <w:tcMar>
              <w:top w:w="0" w:type="dxa"/>
              <w:left w:w="0" w:type="dxa"/>
              <w:bottom w:w="0" w:type="dxa"/>
              <w:right w:w="0" w:type="dxa"/>
            </w:tcMar>
            <w:vAlign w:val="center"/>
          </w:tcPr>
          <w:p w14:paraId="2517607E">
            <w:pPr>
              <w:pStyle w:val="17"/>
              <w:bidi w:val="0"/>
              <w:rPr>
                <w:color w:val="auto"/>
                <w:highlight w:val="none"/>
              </w:rPr>
            </w:pPr>
            <w:r>
              <w:rPr>
                <w:color w:val="auto"/>
                <w:highlight w:val="none"/>
              </w:rPr>
              <w:t>46.7</w:t>
            </w:r>
          </w:p>
        </w:tc>
        <w:tc>
          <w:tcPr>
            <w:tcW w:w="185" w:type="pct"/>
            <w:shd w:val="clear" w:color="auto" w:fill="auto"/>
            <w:tcMar>
              <w:top w:w="0" w:type="dxa"/>
              <w:left w:w="0" w:type="dxa"/>
              <w:bottom w:w="0" w:type="dxa"/>
              <w:right w:w="0" w:type="dxa"/>
            </w:tcMar>
            <w:vAlign w:val="center"/>
          </w:tcPr>
          <w:p w14:paraId="3ADC3D46">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46.5</w:t>
            </w:r>
          </w:p>
        </w:tc>
        <w:tc>
          <w:tcPr>
            <w:tcW w:w="163" w:type="pct"/>
            <w:shd w:val="clear" w:color="auto" w:fill="auto"/>
            <w:tcMar>
              <w:top w:w="0" w:type="dxa"/>
              <w:left w:w="0" w:type="dxa"/>
              <w:bottom w:w="0" w:type="dxa"/>
              <w:right w:w="0" w:type="dxa"/>
            </w:tcMar>
            <w:vAlign w:val="center"/>
          </w:tcPr>
          <w:p w14:paraId="0A800691">
            <w:pPr>
              <w:pStyle w:val="17"/>
              <w:bidi w:val="0"/>
              <w:rPr>
                <w:color w:val="auto"/>
                <w:highlight w:val="none"/>
              </w:rPr>
            </w:pPr>
            <w:r>
              <w:rPr>
                <w:color w:val="auto"/>
                <w:highlight w:val="none"/>
              </w:rPr>
              <w:t>46.5</w:t>
            </w:r>
          </w:p>
        </w:tc>
        <w:tc>
          <w:tcPr>
            <w:tcW w:w="277" w:type="pct"/>
            <w:shd w:val="clear" w:color="auto" w:fill="auto"/>
            <w:tcMar>
              <w:top w:w="0" w:type="dxa"/>
              <w:left w:w="0" w:type="dxa"/>
              <w:bottom w:w="0" w:type="dxa"/>
              <w:right w:w="0" w:type="dxa"/>
            </w:tcMar>
            <w:vAlign w:val="center"/>
          </w:tcPr>
          <w:p w14:paraId="315913BE">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21D68D69">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577A5E3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36.4</w:t>
            </w:r>
          </w:p>
        </w:tc>
        <w:tc>
          <w:tcPr>
            <w:tcW w:w="288" w:type="pct"/>
            <w:shd w:val="clear" w:color="auto" w:fill="auto"/>
            <w:tcMar>
              <w:top w:w="0" w:type="dxa"/>
              <w:left w:w="0" w:type="dxa"/>
              <w:bottom w:w="0" w:type="dxa"/>
              <w:right w:w="0" w:type="dxa"/>
            </w:tcMar>
            <w:vAlign w:val="center"/>
          </w:tcPr>
          <w:p w14:paraId="60C1BF89">
            <w:pPr>
              <w:pStyle w:val="17"/>
              <w:bidi w:val="0"/>
              <w:ind w:firstLine="0" w:firstLineChars="0"/>
              <w:rPr>
                <w:color w:val="auto"/>
                <w:highlight w:val="none"/>
              </w:rPr>
            </w:pPr>
            <w:r>
              <w:rPr>
                <w:rFonts w:hint="eastAsia"/>
                <w:color w:val="auto"/>
                <w:highlight w:val="none"/>
                <w:lang w:val="en-US" w:eastAsia="zh-CN"/>
              </w:rPr>
              <w:t>1</w:t>
            </w:r>
          </w:p>
        </w:tc>
      </w:tr>
      <w:tr w14:paraId="47E8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3D5202C">
            <w:pPr>
              <w:pStyle w:val="17"/>
              <w:bidi w:val="0"/>
              <w:rPr>
                <w:color w:val="auto"/>
                <w:highlight w:val="none"/>
              </w:rPr>
            </w:pPr>
            <w:r>
              <w:rPr>
                <w:color w:val="auto"/>
                <w:highlight w:val="none"/>
              </w:rPr>
              <w:t>24</w:t>
            </w:r>
          </w:p>
        </w:tc>
        <w:tc>
          <w:tcPr>
            <w:tcW w:w="234" w:type="pct"/>
            <w:shd w:val="clear" w:color="auto" w:fill="auto"/>
            <w:tcMar>
              <w:top w:w="0" w:type="dxa"/>
              <w:left w:w="0" w:type="dxa"/>
              <w:bottom w:w="0" w:type="dxa"/>
              <w:right w:w="0" w:type="dxa"/>
            </w:tcMar>
            <w:vAlign w:val="center"/>
          </w:tcPr>
          <w:p w14:paraId="6C974782">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731B2561">
            <w:pPr>
              <w:pStyle w:val="17"/>
              <w:bidi w:val="0"/>
              <w:rPr>
                <w:color w:val="auto"/>
                <w:highlight w:val="none"/>
              </w:rPr>
            </w:pPr>
            <w:r>
              <w:rPr>
                <w:color w:val="auto"/>
                <w:highlight w:val="none"/>
              </w:rPr>
              <w:t>矿浆搅拌槽,4台（按点声源组预测）</w:t>
            </w:r>
          </w:p>
        </w:tc>
        <w:tc>
          <w:tcPr>
            <w:tcW w:w="344" w:type="pct"/>
            <w:shd w:val="clear" w:color="auto" w:fill="auto"/>
            <w:tcMar>
              <w:top w:w="0" w:type="dxa"/>
              <w:left w:w="0" w:type="dxa"/>
              <w:bottom w:w="0" w:type="dxa"/>
              <w:right w:w="0" w:type="dxa"/>
            </w:tcMar>
            <w:vAlign w:val="center"/>
          </w:tcPr>
          <w:p w14:paraId="691B1741">
            <w:pPr>
              <w:pStyle w:val="17"/>
              <w:bidi w:val="0"/>
              <w:rPr>
                <w:rFonts w:hint="eastAsia" w:eastAsia="宋体"/>
                <w:color w:val="auto"/>
                <w:highlight w:val="none"/>
                <w:lang w:eastAsia="zh-CN"/>
              </w:rPr>
            </w:pPr>
            <w:r>
              <w:rPr>
                <w:color w:val="auto"/>
                <w:highlight w:val="none"/>
              </w:rPr>
              <w:t>70（等效后：76.0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6510C601">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7FE0BF7F">
            <w:pPr>
              <w:pStyle w:val="17"/>
              <w:bidi w:val="0"/>
              <w:rPr>
                <w:color w:val="auto"/>
                <w:highlight w:val="none"/>
              </w:rPr>
            </w:pPr>
            <w:r>
              <w:rPr>
                <w:color w:val="auto"/>
                <w:highlight w:val="none"/>
              </w:rPr>
              <w:t>26.4</w:t>
            </w:r>
          </w:p>
        </w:tc>
        <w:tc>
          <w:tcPr>
            <w:tcW w:w="260" w:type="pct"/>
            <w:shd w:val="clear" w:color="auto" w:fill="auto"/>
            <w:tcMar>
              <w:top w:w="0" w:type="dxa"/>
              <w:left w:w="0" w:type="dxa"/>
              <w:bottom w:w="0" w:type="dxa"/>
              <w:right w:w="0" w:type="dxa"/>
            </w:tcMar>
            <w:vAlign w:val="center"/>
          </w:tcPr>
          <w:p w14:paraId="694F67F5">
            <w:pPr>
              <w:pStyle w:val="17"/>
              <w:bidi w:val="0"/>
              <w:rPr>
                <w:color w:val="auto"/>
                <w:highlight w:val="none"/>
              </w:rPr>
            </w:pPr>
            <w:r>
              <w:rPr>
                <w:color w:val="auto"/>
                <w:highlight w:val="none"/>
              </w:rPr>
              <w:t>-910.1</w:t>
            </w:r>
          </w:p>
        </w:tc>
        <w:tc>
          <w:tcPr>
            <w:tcW w:w="235" w:type="pct"/>
            <w:shd w:val="clear" w:color="auto" w:fill="auto"/>
            <w:tcMar>
              <w:top w:w="0" w:type="dxa"/>
              <w:left w:w="0" w:type="dxa"/>
              <w:bottom w:w="0" w:type="dxa"/>
              <w:right w:w="0" w:type="dxa"/>
            </w:tcMar>
            <w:vAlign w:val="center"/>
          </w:tcPr>
          <w:p w14:paraId="1626EDDD">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7256E5EC">
            <w:pPr>
              <w:pStyle w:val="17"/>
              <w:bidi w:val="0"/>
              <w:rPr>
                <w:color w:val="auto"/>
                <w:highlight w:val="none"/>
              </w:rPr>
            </w:pPr>
            <w:r>
              <w:rPr>
                <w:color w:val="auto"/>
                <w:highlight w:val="none"/>
              </w:rPr>
              <w:t>15.0</w:t>
            </w:r>
          </w:p>
        </w:tc>
        <w:tc>
          <w:tcPr>
            <w:tcW w:w="189" w:type="pct"/>
            <w:shd w:val="clear" w:color="auto" w:fill="auto"/>
            <w:tcMar>
              <w:top w:w="0" w:type="dxa"/>
              <w:left w:w="0" w:type="dxa"/>
              <w:bottom w:w="0" w:type="dxa"/>
              <w:right w:w="0" w:type="dxa"/>
            </w:tcMar>
            <w:vAlign w:val="center"/>
          </w:tcPr>
          <w:p w14:paraId="56F84700">
            <w:pPr>
              <w:pStyle w:val="17"/>
              <w:bidi w:val="0"/>
              <w:rPr>
                <w:color w:val="auto"/>
                <w:highlight w:val="none"/>
              </w:rPr>
            </w:pPr>
            <w:r>
              <w:rPr>
                <w:color w:val="auto"/>
                <w:highlight w:val="none"/>
              </w:rPr>
              <w:t>72.0</w:t>
            </w:r>
          </w:p>
        </w:tc>
        <w:tc>
          <w:tcPr>
            <w:tcW w:w="176" w:type="pct"/>
            <w:shd w:val="clear" w:color="auto" w:fill="auto"/>
            <w:tcMar>
              <w:top w:w="0" w:type="dxa"/>
              <w:left w:w="0" w:type="dxa"/>
              <w:bottom w:w="0" w:type="dxa"/>
              <w:right w:w="0" w:type="dxa"/>
            </w:tcMar>
            <w:vAlign w:val="center"/>
          </w:tcPr>
          <w:p w14:paraId="75882D1B">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72.0</w:t>
            </w:r>
          </w:p>
        </w:tc>
        <w:tc>
          <w:tcPr>
            <w:tcW w:w="158" w:type="pct"/>
            <w:shd w:val="clear" w:color="auto" w:fill="auto"/>
            <w:tcMar>
              <w:top w:w="0" w:type="dxa"/>
              <w:left w:w="0" w:type="dxa"/>
              <w:bottom w:w="0" w:type="dxa"/>
              <w:right w:w="0" w:type="dxa"/>
            </w:tcMar>
            <w:vAlign w:val="center"/>
          </w:tcPr>
          <w:p w14:paraId="4C23548E">
            <w:pPr>
              <w:pStyle w:val="17"/>
              <w:bidi w:val="0"/>
              <w:rPr>
                <w:color w:val="auto"/>
                <w:highlight w:val="none"/>
              </w:rPr>
            </w:pPr>
            <w:r>
              <w:rPr>
                <w:color w:val="auto"/>
                <w:highlight w:val="none"/>
              </w:rPr>
              <w:t>25.2</w:t>
            </w:r>
          </w:p>
        </w:tc>
        <w:tc>
          <w:tcPr>
            <w:tcW w:w="167" w:type="pct"/>
            <w:shd w:val="clear" w:color="auto" w:fill="auto"/>
            <w:tcMar>
              <w:top w:w="0" w:type="dxa"/>
              <w:left w:w="0" w:type="dxa"/>
              <w:bottom w:w="0" w:type="dxa"/>
              <w:right w:w="0" w:type="dxa"/>
            </w:tcMar>
            <w:vAlign w:val="center"/>
          </w:tcPr>
          <w:p w14:paraId="540BF2CD">
            <w:pPr>
              <w:pStyle w:val="17"/>
              <w:bidi w:val="0"/>
              <w:rPr>
                <w:color w:val="auto"/>
                <w:highlight w:val="none"/>
              </w:rPr>
            </w:pPr>
            <w:r>
              <w:rPr>
                <w:color w:val="auto"/>
                <w:highlight w:val="none"/>
              </w:rPr>
              <w:t>57.5</w:t>
            </w:r>
          </w:p>
        </w:tc>
        <w:tc>
          <w:tcPr>
            <w:tcW w:w="167" w:type="pct"/>
            <w:shd w:val="clear" w:color="auto" w:fill="auto"/>
            <w:tcMar>
              <w:top w:w="0" w:type="dxa"/>
              <w:left w:w="0" w:type="dxa"/>
              <w:bottom w:w="0" w:type="dxa"/>
              <w:right w:w="0" w:type="dxa"/>
            </w:tcMar>
            <w:vAlign w:val="center"/>
          </w:tcPr>
          <w:p w14:paraId="10F368FE">
            <w:pPr>
              <w:pStyle w:val="17"/>
              <w:bidi w:val="0"/>
              <w:rPr>
                <w:color w:val="auto"/>
                <w:highlight w:val="none"/>
              </w:rPr>
            </w:pPr>
            <w:r>
              <w:rPr>
                <w:color w:val="auto"/>
                <w:highlight w:val="none"/>
              </w:rPr>
              <w:t>57.4</w:t>
            </w:r>
          </w:p>
        </w:tc>
        <w:tc>
          <w:tcPr>
            <w:tcW w:w="185" w:type="pct"/>
            <w:shd w:val="clear" w:color="auto" w:fill="auto"/>
            <w:tcMar>
              <w:top w:w="0" w:type="dxa"/>
              <w:left w:w="0" w:type="dxa"/>
              <w:bottom w:w="0" w:type="dxa"/>
              <w:right w:w="0" w:type="dxa"/>
            </w:tcMar>
            <w:vAlign w:val="center"/>
          </w:tcPr>
          <w:p w14:paraId="76111C47">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57.4</w:t>
            </w:r>
          </w:p>
        </w:tc>
        <w:tc>
          <w:tcPr>
            <w:tcW w:w="163" w:type="pct"/>
            <w:shd w:val="clear" w:color="auto" w:fill="auto"/>
            <w:tcMar>
              <w:top w:w="0" w:type="dxa"/>
              <w:left w:w="0" w:type="dxa"/>
              <w:bottom w:w="0" w:type="dxa"/>
              <w:right w:w="0" w:type="dxa"/>
            </w:tcMar>
            <w:vAlign w:val="center"/>
          </w:tcPr>
          <w:p w14:paraId="05B35ECF">
            <w:pPr>
              <w:pStyle w:val="17"/>
              <w:bidi w:val="0"/>
              <w:rPr>
                <w:color w:val="auto"/>
                <w:highlight w:val="none"/>
              </w:rPr>
            </w:pPr>
            <w:r>
              <w:rPr>
                <w:color w:val="auto"/>
                <w:highlight w:val="none"/>
              </w:rPr>
              <w:t>57.4</w:t>
            </w:r>
          </w:p>
        </w:tc>
        <w:tc>
          <w:tcPr>
            <w:tcW w:w="277" w:type="pct"/>
            <w:shd w:val="clear" w:color="auto" w:fill="auto"/>
            <w:tcMar>
              <w:top w:w="0" w:type="dxa"/>
              <w:left w:w="0" w:type="dxa"/>
              <w:bottom w:w="0" w:type="dxa"/>
              <w:right w:w="0" w:type="dxa"/>
            </w:tcMar>
            <w:vAlign w:val="center"/>
          </w:tcPr>
          <w:p w14:paraId="5E361809">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25D60719">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1947238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47.5</w:t>
            </w:r>
          </w:p>
        </w:tc>
        <w:tc>
          <w:tcPr>
            <w:tcW w:w="288" w:type="pct"/>
            <w:shd w:val="clear" w:color="auto" w:fill="auto"/>
            <w:tcMar>
              <w:top w:w="0" w:type="dxa"/>
              <w:left w:w="0" w:type="dxa"/>
              <w:bottom w:w="0" w:type="dxa"/>
              <w:right w:w="0" w:type="dxa"/>
            </w:tcMar>
            <w:vAlign w:val="center"/>
          </w:tcPr>
          <w:p w14:paraId="083D2C84">
            <w:pPr>
              <w:pStyle w:val="17"/>
              <w:bidi w:val="0"/>
              <w:ind w:firstLine="0" w:firstLineChars="0"/>
              <w:rPr>
                <w:color w:val="auto"/>
                <w:highlight w:val="none"/>
              </w:rPr>
            </w:pPr>
            <w:r>
              <w:rPr>
                <w:rFonts w:hint="eastAsia"/>
                <w:color w:val="auto"/>
                <w:highlight w:val="none"/>
                <w:lang w:val="en-US" w:eastAsia="zh-CN"/>
              </w:rPr>
              <w:t>1</w:t>
            </w:r>
          </w:p>
        </w:tc>
      </w:tr>
      <w:tr w14:paraId="4C92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46433F7">
            <w:pPr>
              <w:pStyle w:val="17"/>
              <w:bidi w:val="0"/>
              <w:rPr>
                <w:color w:val="auto"/>
                <w:highlight w:val="none"/>
              </w:rPr>
            </w:pPr>
            <w:r>
              <w:rPr>
                <w:color w:val="auto"/>
                <w:highlight w:val="none"/>
              </w:rPr>
              <w:t>25</w:t>
            </w:r>
          </w:p>
        </w:tc>
        <w:tc>
          <w:tcPr>
            <w:tcW w:w="234" w:type="pct"/>
            <w:shd w:val="clear" w:color="auto" w:fill="auto"/>
            <w:tcMar>
              <w:top w:w="0" w:type="dxa"/>
              <w:left w:w="0" w:type="dxa"/>
              <w:bottom w:w="0" w:type="dxa"/>
              <w:right w:w="0" w:type="dxa"/>
            </w:tcMar>
            <w:vAlign w:val="center"/>
          </w:tcPr>
          <w:p w14:paraId="52DD4F66">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04BE7B51">
            <w:pPr>
              <w:pStyle w:val="17"/>
              <w:bidi w:val="0"/>
              <w:rPr>
                <w:color w:val="auto"/>
                <w:highlight w:val="none"/>
              </w:rPr>
            </w:pPr>
            <w:r>
              <w:rPr>
                <w:color w:val="auto"/>
                <w:highlight w:val="none"/>
              </w:rPr>
              <w:t>矿浆搅拌槽</w:t>
            </w:r>
          </w:p>
        </w:tc>
        <w:tc>
          <w:tcPr>
            <w:tcW w:w="344" w:type="pct"/>
            <w:shd w:val="clear" w:color="auto" w:fill="auto"/>
            <w:tcMar>
              <w:top w:w="0" w:type="dxa"/>
              <w:left w:w="0" w:type="dxa"/>
              <w:bottom w:w="0" w:type="dxa"/>
              <w:right w:w="0" w:type="dxa"/>
            </w:tcMar>
            <w:vAlign w:val="center"/>
          </w:tcPr>
          <w:p w14:paraId="0D604D04">
            <w:pPr>
              <w:pStyle w:val="17"/>
              <w:bidi w:val="0"/>
              <w:rPr>
                <w:color w:val="auto"/>
                <w:highlight w:val="none"/>
              </w:rPr>
            </w:pPr>
            <w:r>
              <w:rPr>
                <w:color w:val="auto"/>
                <w:highlight w:val="none"/>
              </w:rPr>
              <w:t>70</w:t>
            </w:r>
          </w:p>
        </w:tc>
        <w:tc>
          <w:tcPr>
            <w:tcW w:w="361" w:type="pct"/>
            <w:vMerge w:val="continue"/>
            <w:shd w:val="clear" w:color="auto" w:fill="auto"/>
            <w:tcMar>
              <w:top w:w="0" w:type="dxa"/>
              <w:left w:w="0" w:type="dxa"/>
              <w:bottom w:w="0" w:type="dxa"/>
              <w:right w:w="0" w:type="dxa"/>
            </w:tcMar>
            <w:vAlign w:val="center"/>
          </w:tcPr>
          <w:p w14:paraId="42B0B2A5">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7E58000B">
            <w:pPr>
              <w:pStyle w:val="17"/>
              <w:bidi w:val="0"/>
              <w:rPr>
                <w:color w:val="auto"/>
                <w:highlight w:val="none"/>
              </w:rPr>
            </w:pPr>
            <w:r>
              <w:rPr>
                <w:color w:val="auto"/>
                <w:highlight w:val="none"/>
              </w:rPr>
              <w:t>30.2</w:t>
            </w:r>
          </w:p>
        </w:tc>
        <w:tc>
          <w:tcPr>
            <w:tcW w:w="260" w:type="pct"/>
            <w:shd w:val="clear" w:color="auto" w:fill="auto"/>
            <w:tcMar>
              <w:top w:w="0" w:type="dxa"/>
              <w:left w:w="0" w:type="dxa"/>
              <w:bottom w:w="0" w:type="dxa"/>
              <w:right w:w="0" w:type="dxa"/>
            </w:tcMar>
            <w:vAlign w:val="center"/>
          </w:tcPr>
          <w:p w14:paraId="12A6F8BA">
            <w:pPr>
              <w:pStyle w:val="17"/>
              <w:bidi w:val="0"/>
              <w:rPr>
                <w:color w:val="auto"/>
                <w:highlight w:val="none"/>
              </w:rPr>
            </w:pPr>
            <w:r>
              <w:rPr>
                <w:color w:val="auto"/>
                <w:highlight w:val="none"/>
              </w:rPr>
              <w:t>-920.4</w:t>
            </w:r>
          </w:p>
        </w:tc>
        <w:tc>
          <w:tcPr>
            <w:tcW w:w="235" w:type="pct"/>
            <w:shd w:val="clear" w:color="auto" w:fill="auto"/>
            <w:tcMar>
              <w:top w:w="0" w:type="dxa"/>
              <w:left w:w="0" w:type="dxa"/>
              <w:bottom w:w="0" w:type="dxa"/>
              <w:right w:w="0" w:type="dxa"/>
            </w:tcMar>
            <w:vAlign w:val="center"/>
          </w:tcPr>
          <w:p w14:paraId="53401B3C">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6C7ABFDF">
            <w:pPr>
              <w:pStyle w:val="17"/>
              <w:bidi w:val="0"/>
              <w:rPr>
                <w:color w:val="auto"/>
                <w:highlight w:val="none"/>
              </w:rPr>
            </w:pPr>
            <w:r>
              <w:rPr>
                <w:color w:val="auto"/>
                <w:highlight w:val="none"/>
              </w:rPr>
              <w:t>11.2</w:t>
            </w:r>
          </w:p>
        </w:tc>
        <w:tc>
          <w:tcPr>
            <w:tcW w:w="189" w:type="pct"/>
            <w:shd w:val="clear" w:color="auto" w:fill="auto"/>
            <w:tcMar>
              <w:top w:w="0" w:type="dxa"/>
              <w:left w:w="0" w:type="dxa"/>
              <w:bottom w:w="0" w:type="dxa"/>
              <w:right w:w="0" w:type="dxa"/>
            </w:tcMar>
            <w:vAlign w:val="center"/>
          </w:tcPr>
          <w:p w14:paraId="2E708C87">
            <w:pPr>
              <w:pStyle w:val="17"/>
              <w:bidi w:val="0"/>
              <w:rPr>
                <w:color w:val="auto"/>
                <w:highlight w:val="none"/>
              </w:rPr>
            </w:pPr>
            <w:r>
              <w:rPr>
                <w:color w:val="auto"/>
                <w:highlight w:val="none"/>
              </w:rPr>
              <w:t>61.7</w:t>
            </w:r>
          </w:p>
        </w:tc>
        <w:tc>
          <w:tcPr>
            <w:tcW w:w="176" w:type="pct"/>
            <w:shd w:val="clear" w:color="auto" w:fill="auto"/>
            <w:tcMar>
              <w:top w:w="0" w:type="dxa"/>
              <w:left w:w="0" w:type="dxa"/>
              <w:bottom w:w="0" w:type="dxa"/>
              <w:right w:w="0" w:type="dxa"/>
            </w:tcMar>
            <w:vAlign w:val="center"/>
          </w:tcPr>
          <w:p w14:paraId="61B34BC8">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61.7</w:t>
            </w:r>
          </w:p>
        </w:tc>
        <w:tc>
          <w:tcPr>
            <w:tcW w:w="158" w:type="pct"/>
            <w:shd w:val="clear" w:color="auto" w:fill="auto"/>
            <w:tcMar>
              <w:top w:w="0" w:type="dxa"/>
              <w:left w:w="0" w:type="dxa"/>
              <w:bottom w:w="0" w:type="dxa"/>
              <w:right w:w="0" w:type="dxa"/>
            </w:tcMar>
            <w:vAlign w:val="center"/>
          </w:tcPr>
          <w:p w14:paraId="3E1420F7">
            <w:pPr>
              <w:pStyle w:val="17"/>
              <w:bidi w:val="0"/>
              <w:rPr>
                <w:color w:val="auto"/>
                <w:highlight w:val="none"/>
              </w:rPr>
            </w:pPr>
            <w:r>
              <w:rPr>
                <w:color w:val="auto"/>
                <w:highlight w:val="none"/>
              </w:rPr>
              <w:t>35.5</w:t>
            </w:r>
          </w:p>
        </w:tc>
        <w:tc>
          <w:tcPr>
            <w:tcW w:w="167" w:type="pct"/>
            <w:shd w:val="clear" w:color="auto" w:fill="auto"/>
            <w:tcMar>
              <w:top w:w="0" w:type="dxa"/>
              <w:left w:w="0" w:type="dxa"/>
              <w:bottom w:w="0" w:type="dxa"/>
              <w:right w:w="0" w:type="dxa"/>
            </w:tcMar>
            <w:vAlign w:val="center"/>
          </w:tcPr>
          <w:p w14:paraId="02479F6A">
            <w:pPr>
              <w:pStyle w:val="17"/>
              <w:bidi w:val="0"/>
              <w:rPr>
                <w:color w:val="auto"/>
                <w:highlight w:val="none"/>
              </w:rPr>
            </w:pPr>
            <w:r>
              <w:rPr>
                <w:color w:val="auto"/>
                <w:highlight w:val="none"/>
              </w:rPr>
              <w:t>51.6</w:t>
            </w:r>
          </w:p>
        </w:tc>
        <w:tc>
          <w:tcPr>
            <w:tcW w:w="167" w:type="pct"/>
            <w:shd w:val="clear" w:color="auto" w:fill="auto"/>
            <w:tcMar>
              <w:top w:w="0" w:type="dxa"/>
              <w:left w:w="0" w:type="dxa"/>
              <w:bottom w:w="0" w:type="dxa"/>
              <w:right w:w="0" w:type="dxa"/>
            </w:tcMar>
            <w:vAlign w:val="center"/>
          </w:tcPr>
          <w:p w14:paraId="2E5BEDDF">
            <w:pPr>
              <w:pStyle w:val="17"/>
              <w:bidi w:val="0"/>
              <w:rPr>
                <w:color w:val="auto"/>
                <w:highlight w:val="none"/>
              </w:rPr>
            </w:pPr>
            <w:r>
              <w:rPr>
                <w:color w:val="auto"/>
                <w:highlight w:val="none"/>
              </w:rPr>
              <w:t>51.4</w:t>
            </w:r>
          </w:p>
        </w:tc>
        <w:tc>
          <w:tcPr>
            <w:tcW w:w="185" w:type="pct"/>
            <w:shd w:val="clear" w:color="auto" w:fill="auto"/>
            <w:tcMar>
              <w:top w:w="0" w:type="dxa"/>
              <w:left w:w="0" w:type="dxa"/>
              <w:bottom w:w="0" w:type="dxa"/>
              <w:right w:w="0" w:type="dxa"/>
            </w:tcMar>
            <w:vAlign w:val="center"/>
          </w:tcPr>
          <w:p w14:paraId="7B0E579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51.4</w:t>
            </w:r>
          </w:p>
        </w:tc>
        <w:tc>
          <w:tcPr>
            <w:tcW w:w="163" w:type="pct"/>
            <w:shd w:val="clear" w:color="auto" w:fill="auto"/>
            <w:tcMar>
              <w:top w:w="0" w:type="dxa"/>
              <w:left w:w="0" w:type="dxa"/>
              <w:bottom w:w="0" w:type="dxa"/>
              <w:right w:w="0" w:type="dxa"/>
            </w:tcMar>
            <w:vAlign w:val="center"/>
          </w:tcPr>
          <w:p w14:paraId="6C1D5F59">
            <w:pPr>
              <w:pStyle w:val="17"/>
              <w:bidi w:val="0"/>
              <w:rPr>
                <w:color w:val="auto"/>
                <w:highlight w:val="none"/>
              </w:rPr>
            </w:pPr>
            <w:r>
              <w:rPr>
                <w:color w:val="auto"/>
                <w:highlight w:val="none"/>
              </w:rPr>
              <w:t>51.4</w:t>
            </w:r>
          </w:p>
        </w:tc>
        <w:tc>
          <w:tcPr>
            <w:tcW w:w="277" w:type="pct"/>
            <w:shd w:val="clear" w:color="auto" w:fill="auto"/>
            <w:tcMar>
              <w:top w:w="0" w:type="dxa"/>
              <w:left w:w="0" w:type="dxa"/>
              <w:bottom w:w="0" w:type="dxa"/>
              <w:right w:w="0" w:type="dxa"/>
            </w:tcMar>
            <w:vAlign w:val="center"/>
          </w:tcPr>
          <w:p w14:paraId="745576C1">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77CCEA7E">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7D28D6C6">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41.6</w:t>
            </w:r>
          </w:p>
        </w:tc>
        <w:tc>
          <w:tcPr>
            <w:tcW w:w="288" w:type="pct"/>
            <w:shd w:val="clear" w:color="auto" w:fill="auto"/>
            <w:tcMar>
              <w:top w:w="0" w:type="dxa"/>
              <w:left w:w="0" w:type="dxa"/>
              <w:bottom w:w="0" w:type="dxa"/>
              <w:right w:w="0" w:type="dxa"/>
            </w:tcMar>
            <w:vAlign w:val="center"/>
          </w:tcPr>
          <w:p w14:paraId="5FD320CC">
            <w:pPr>
              <w:pStyle w:val="17"/>
              <w:bidi w:val="0"/>
              <w:ind w:firstLine="0" w:firstLineChars="0"/>
              <w:rPr>
                <w:color w:val="auto"/>
                <w:highlight w:val="none"/>
              </w:rPr>
            </w:pPr>
            <w:r>
              <w:rPr>
                <w:rFonts w:hint="eastAsia"/>
                <w:color w:val="auto"/>
                <w:highlight w:val="none"/>
                <w:lang w:val="en-US" w:eastAsia="zh-CN"/>
              </w:rPr>
              <w:t>1</w:t>
            </w:r>
          </w:p>
        </w:tc>
      </w:tr>
      <w:tr w14:paraId="57F8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4261963">
            <w:pPr>
              <w:pStyle w:val="17"/>
              <w:bidi w:val="0"/>
              <w:rPr>
                <w:color w:val="auto"/>
                <w:highlight w:val="none"/>
              </w:rPr>
            </w:pPr>
            <w:r>
              <w:rPr>
                <w:color w:val="auto"/>
                <w:highlight w:val="none"/>
              </w:rPr>
              <w:t>26</w:t>
            </w:r>
          </w:p>
        </w:tc>
        <w:tc>
          <w:tcPr>
            <w:tcW w:w="234" w:type="pct"/>
            <w:shd w:val="clear" w:color="auto" w:fill="auto"/>
            <w:tcMar>
              <w:top w:w="0" w:type="dxa"/>
              <w:left w:w="0" w:type="dxa"/>
              <w:bottom w:w="0" w:type="dxa"/>
              <w:right w:w="0" w:type="dxa"/>
            </w:tcMar>
            <w:vAlign w:val="center"/>
          </w:tcPr>
          <w:p w14:paraId="1E6ABAFB">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0CF9CDF5">
            <w:pPr>
              <w:pStyle w:val="17"/>
              <w:bidi w:val="0"/>
              <w:rPr>
                <w:color w:val="auto"/>
                <w:highlight w:val="none"/>
              </w:rPr>
            </w:pPr>
            <w:r>
              <w:rPr>
                <w:color w:val="auto"/>
                <w:highlight w:val="none"/>
              </w:rPr>
              <w:t>浮选机,40台（按点声源组预测）</w:t>
            </w:r>
          </w:p>
        </w:tc>
        <w:tc>
          <w:tcPr>
            <w:tcW w:w="344" w:type="pct"/>
            <w:shd w:val="clear" w:color="auto" w:fill="auto"/>
            <w:tcMar>
              <w:top w:w="0" w:type="dxa"/>
              <w:left w:w="0" w:type="dxa"/>
              <w:bottom w:w="0" w:type="dxa"/>
              <w:right w:w="0" w:type="dxa"/>
            </w:tcMar>
            <w:vAlign w:val="center"/>
          </w:tcPr>
          <w:p w14:paraId="33D5FA41">
            <w:pPr>
              <w:pStyle w:val="17"/>
              <w:bidi w:val="0"/>
              <w:rPr>
                <w:rFonts w:hint="eastAsia" w:eastAsia="宋体"/>
                <w:color w:val="auto"/>
                <w:highlight w:val="none"/>
                <w:lang w:eastAsia="zh-CN"/>
              </w:rPr>
            </w:pPr>
            <w:r>
              <w:rPr>
                <w:color w:val="auto"/>
                <w:highlight w:val="none"/>
              </w:rPr>
              <w:t>65（等效后：81.0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1F3B74FF">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1CD2EECD">
            <w:pPr>
              <w:pStyle w:val="17"/>
              <w:bidi w:val="0"/>
              <w:rPr>
                <w:color w:val="auto"/>
                <w:highlight w:val="none"/>
              </w:rPr>
            </w:pPr>
            <w:r>
              <w:rPr>
                <w:color w:val="auto"/>
                <w:highlight w:val="none"/>
              </w:rPr>
              <w:t>-2.6</w:t>
            </w:r>
          </w:p>
        </w:tc>
        <w:tc>
          <w:tcPr>
            <w:tcW w:w="260" w:type="pct"/>
            <w:shd w:val="clear" w:color="auto" w:fill="auto"/>
            <w:tcMar>
              <w:top w:w="0" w:type="dxa"/>
              <w:left w:w="0" w:type="dxa"/>
              <w:bottom w:w="0" w:type="dxa"/>
              <w:right w:w="0" w:type="dxa"/>
            </w:tcMar>
            <w:vAlign w:val="center"/>
          </w:tcPr>
          <w:p w14:paraId="418DBF61">
            <w:pPr>
              <w:pStyle w:val="17"/>
              <w:bidi w:val="0"/>
              <w:rPr>
                <w:color w:val="auto"/>
                <w:highlight w:val="none"/>
              </w:rPr>
            </w:pPr>
            <w:r>
              <w:rPr>
                <w:color w:val="auto"/>
                <w:highlight w:val="none"/>
              </w:rPr>
              <w:t>-912</w:t>
            </w:r>
          </w:p>
        </w:tc>
        <w:tc>
          <w:tcPr>
            <w:tcW w:w="235" w:type="pct"/>
            <w:shd w:val="clear" w:color="auto" w:fill="auto"/>
            <w:tcMar>
              <w:top w:w="0" w:type="dxa"/>
              <w:left w:w="0" w:type="dxa"/>
              <w:bottom w:w="0" w:type="dxa"/>
              <w:right w:w="0" w:type="dxa"/>
            </w:tcMar>
            <w:vAlign w:val="center"/>
          </w:tcPr>
          <w:p w14:paraId="7FDBBE1D">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1C02D612">
            <w:pPr>
              <w:pStyle w:val="17"/>
              <w:bidi w:val="0"/>
              <w:rPr>
                <w:color w:val="auto"/>
                <w:highlight w:val="none"/>
              </w:rPr>
            </w:pPr>
            <w:r>
              <w:rPr>
                <w:color w:val="auto"/>
                <w:highlight w:val="none"/>
              </w:rPr>
              <w:t>44.0</w:t>
            </w:r>
          </w:p>
        </w:tc>
        <w:tc>
          <w:tcPr>
            <w:tcW w:w="189" w:type="pct"/>
            <w:shd w:val="clear" w:color="auto" w:fill="auto"/>
            <w:tcMar>
              <w:top w:w="0" w:type="dxa"/>
              <w:left w:w="0" w:type="dxa"/>
              <w:bottom w:w="0" w:type="dxa"/>
              <w:right w:w="0" w:type="dxa"/>
            </w:tcMar>
            <w:vAlign w:val="center"/>
          </w:tcPr>
          <w:p w14:paraId="794F9E5D">
            <w:pPr>
              <w:pStyle w:val="17"/>
              <w:bidi w:val="0"/>
              <w:rPr>
                <w:color w:val="auto"/>
                <w:highlight w:val="none"/>
              </w:rPr>
            </w:pPr>
            <w:r>
              <w:rPr>
                <w:color w:val="auto"/>
                <w:highlight w:val="none"/>
              </w:rPr>
              <w:t>47.6</w:t>
            </w:r>
          </w:p>
        </w:tc>
        <w:tc>
          <w:tcPr>
            <w:tcW w:w="176" w:type="pct"/>
            <w:shd w:val="clear" w:color="auto" w:fill="auto"/>
            <w:tcMar>
              <w:top w:w="0" w:type="dxa"/>
              <w:left w:w="0" w:type="dxa"/>
              <w:bottom w:w="0" w:type="dxa"/>
              <w:right w:w="0" w:type="dxa"/>
            </w:tcMar>
            <w:vAlign w:val="center"/>
          </w:tcPr>
          <w:p w14:paraId="74DB7A8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47.6</w:t>
            </w:r>
          </w:p>
        </w:tc>
        <w:tc>
          <w:tcPr>
            <w:tcW w:w="158" w:type="pct"/>
            <w:shd w:val="clear" w:color="auto" w:fill="auto"/>
            <w:tcMar>
              <w:top w:w="0" w:type="dxa"/>
              <w:left w:w="0" w:type="dxa"/>
              <w:bottom w:w="0" w:type="dxa"/>
              <w:right w:w="0" w:type="dxa"/>
            </w:tcMar>
            <w:vAlign w:val="center"/>
          </w:tcPr>
          <w:p w14:paraId="0AAF3AD8">
            <w:pPr>
              <w:pStyle w:val="17"/>
              <w:bidi w:val="0"/>
              <w:rPr>
                <w:color w:val="auto"/>
                <w:highlight w:val="none"/>
              </w:rPr>
            </w:pPr>
            <w:r>
              <w:rPr>
                <w:color w:val="auto"/>
                <w:highlight w:val="none"/>
              </w:rPr>
              <w:t>27.1</w:t>
            </w:r>
          </w:p>
        </w:tc>
        <w:tc>
          <w:tcPr>
            <w:tcW w:w="167" w:type="pct"/>
            <w:shd w:val="clear" w:color="auto" w:fill="auto"/>
            <w:tcMar>
              <w:top w:w="0" w:type="dxa"/>
              <w:left w:w="0" w:type="dxa"/>
              <w:bottom w:w="0" w:type="dxa"/>
              <w:right w:w="0" w:type="dxa"/>
            </w:tcMar>
            <w:vAlign w:val="center"/>
          </w:tcPr>
          <w:p w14:paraId="173867CE">
            <w:pPr>
              <w:pStyle w:val="17"/>
              <w:bidi w:val="0"/>
              <w:rPr>
                <w:color w:val="auto"/>
                <w:highlight w:val="none"/>
              </w:rPr>
            </w:pPr>
            <w:r>
              <w:rPr>
                <w:color w:val="auto"/>
                <w:highlight w:val="none"/>
              </w:rPr>
              <w:t>62.4</w:t>
            </w:r>
          </w:p>
        </w:tc>
        <w:tc>
          <w:tcPr>
            <w:tcW w:w="167" w:type="pct"/>
            <w:shd w:val="clear" w:color="auto" w:fill="auto"/>
            <w:tcMar>
              <w:top w:w="0" w:type="dxa"/>
              <w:left w:w="0" w:type="dxa"/>
              <w:bottom w:w="0" w:type="dxa"/>
              <w:right w:w="0" w:type="dxa"/>
            </w:tcMar>
            <w:vAlign w:val="center"/>
          </w:tcPr>
          <w:p w14:paraId="7F27329F">
            <w:pPr>
              <w:pStyle w:val="17"/>
              <w:bidi w:val="0"/>
              <w:rPr>
                <w:color w:val="auto"/>
                <w:highlight w:val="none"/>
              </w:rPr>
            </w:pPr>
            <w:r>
              <w:rPr>
                <w:color w:val="auto"/>
                <w:highlight w:val="none"/>
              </w:rPr>
              <w:t>62.4</w:t>
            </w:r>
          </w:p>
        </w:tc>
        <w:tc>
          <w:tcPr>
            <w:tcW w:w="185" w:type="pct"/>
            <w:shd w:val="clear" w:color="auto" w:fill="auto"/>
            <w:tcMar>
              <w:top w:w="0" w:type="dxa"/>
              <w:left w:w="0" w:type="dxa"/>
              <w:bottom w:w="0" w:type="dxa"/>
              <w:right w:w="0" w:type="dxa"/>
            </w:tcMar>
            <w:vAlign w:val="center"/>
          </w:tcPr>
          <w:p w14:paraId="51112E26">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62.4</w:t>
            </w:r>
          </w:p>
        </w:tc>
        <w:tc>
          <w:tcPr>
            <w:tcW w:w="163" w:type="pct"/>
            <w:shd w:val="clear" w:color="auto" w:fill="auto"/>
            <w:tcMar>
              <w:top w:w="0" w:type="dxa"/>
              <w:left w:w="0" w:type="dxa"/>
              <w:bottom w:w="0" w:type="dxa"/>
              <w:right w:w="0" w:type="dxa"/>
            </w:tcMar>
            <w:vAlign w:val="center"/>
          </w:tcPr>
          <w:p w14:paraId="12D4D954">
            <w:pPr>
              <w:pStyle w:val="17"/>
              <w:bidi w:val="0"/>
              <w:rPr>
                <w:color w:val="auto"/>
                <w:highlight w:val="none"/>
              </w:rPr>
            </w:pPr>
            <w:r>
              <w:rPr>
                <w:color w:val="auto"/>
                <w:highlight w:val="none"/>
              </w:rPr>
              <w:t>62.4</w:t>
            </w:r>
          </w:p>
        </w:tc>
        <w:tc>
          <w:tcPr>
            <w:tcW w:w="277" w:type="pct"/>
            <w:shd w:val="clear" w:color="auto" w:fill="auto"/>
            <w:tcMar>
              <w:top w:w="0" w:type="dxa"/>
              <w:left w:w="0" w:type="dxa"/>
              <w:bottom w:w="0" w:type="dxa"/>
              <w:right w:w="0" w:type="dxa"/>
            </w:tcMar>
            <w:vAlign w:val="center"/>
          </w:tcPr>
          <w:p w14:paraId="360FCA1E">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1BD4C331">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422A832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52.4</w:t>
            </w:r>
          </w:p>
        </w:tc>
        <w:tc>
          <w:tcPr>
            <w:tcW w:w="288" w:type="pct"/>
            <w:shd w:val="clear" w:color="auto" w:fill="auto"/>
            <w:tcMar>
              <w:top w:w="0" w:type="dxa"/>
              <w:left w:w="0" w:type="dxa"/>
              <w:bottom w:w="0" w:type="dxa"/>
              <w:right w:w="0" w:type="dxa"/>
            </w:tcMar>
            <w:vAlign w:val="center"/>
          </w:tcPr>
          <w:p w14:paraId="17D67BC8">
            <w:pPr>
              <w:pStyle w:val="17"/>
              <w:bidi w:val="0"/>
              <w:ind w:firstLine="0" w:firstLineChars="0"/>
              <w:rPr>
                <w:color w:val="auto"/>
                <w:highlight w:val="none"/>
              </w:rPr>
            </w:pPr>
            <w:r>
              <w:rPr>
                <w:rFonts w:hint="eastAsia"/>
                <w:color w:val="auto"/>
                <w:highlight w:val="none"/>
                <w:lang w:val="en-US" w:eastAsia="zh-CN"/>
              </w:rPr>
              <w:t>1</w:t>
            </w:r>
          </w:p>
        </w:tc>
      </w:tr>
      <w:tr w14:paraId="612B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D11BEFE">
            <w:pPr>
              <w:pStyle w:val="17"/>
              <w:bidi w:val="0"/>
              <w:rPr>
                <w:color w:val="auto"/>
                <w:highlight w:val="none"/>
              </w:rPr>
            </w:pPr>
            <w:r>
              <w:rPr>
                <w:color w:val="auto"/>
                <w:highlight w:val="none"/>
              </w:rPr>
              <w:t>27</w:t>
            </w:r>
          </w:p>
        </w:tc>
        <w:tc>
          <w:tcPr>
            <w:tcW w:w="234" w:type="pct"/>
            <w:shd w:val="clear" w:color="auto" w:fill="auto"/>
            <w:tcMar>
              <w:top w:w="0" w:type="dxa"/>
              <w:left w:w="0" w:type="dxa"/>
              <w:bottom w:w="0" w:type="dxa"/>
              <w:right w:w="0" w:type="dxa"/>
            </w:tcMar>
            <w:vAlign w:val="center"/>
          </w:tcPr>
          <w:p w14:paraId="1655B49A">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3EF9DB64">
            <w:pPr>
              <w:pStyle w:val="17"/>
              <w:bidi w:val="0"/>
              <w:rPr>
                <w:color w:val="auto"/>
                <w:highlight w:val="none"/>
              </w:rPr>
            </w:pPr>
            <w:r>
              <w:rPr>
                <w:color w:val="auto"/>
                <w:highlight w:val="none"/>
              </w:rPr>
              <w:t>液下泵,25台（按点声源组预测）</w:t>
            </w:r>
          </w:p>
        </w:tc>
        <w:tc>
          <w:tcPr>
            <w:tcW w:w="344" w:type="pct"/>
            <w:shd w:val="clear" w:color="auto" w:fill="auto"/>
            <w:tcMar>
              <w:top w:w="0" w:type="dxa"/>
              <w:left w:w="0" w:type="dxa"/>
              <w:bottom w:w="0" w:type="dxa"/>
              <w:right w:w="0" w:type="dxa"/>
            </w:tcMar>
            <w:vAlign w:val="center"/>
          </w:tcPr>
          <w:p w14:paraId="3F3D896D">
            <w:pPr>
              <w:pStyle w:val="17"/>
              <w:bidi w:val="0"/>
              <w:rPr>
                <w:rFonts w:hint="eastAsia" w:eastAsia="宋体"/>
                <w:color w:val="auto"/>
                <w:highlight w:val="none"/>
                <w:lang w:eastAsia="zh-CN"/>
              </w:rPr>
            </w:pPr>
            <w:r>
              <w:rPr>
                <w:color w:val="auto"/>
                <w:highlight w:val="none"/>
              </w:rPr>
              <w:t>75（等效后：89.0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7D1198D7">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40266DE4">
            <w:pPr>
              <w:pStyle w:val="17"/>
              <w:bidi w:val="0"/>
              <w:rPr>
                <w:color w:val="auto"/>
                <w:highlight w:val="none"/>
              </w:rPr>
            </w:pPr>
            <w:r>
              <w:rPr>
                <w:color w:val="auto"/>
                <w:highlight w:val="none"/>
              </w:rPr>
              <w:t>-10</w:t>
            </w:r>
          </w:p>
        </w:tc>
        <w:tc>
          <w:tcPr>
            <w:tcW w:w="260" w:type="pct"/>
            <w:shd w:val="clear" w:color="auto" w:fill="auto"/>
            <w:tcMar>
              <w:top w:w="0" w:type="dxa"/>
              <w:left w:w="0" w:type="dxa"/>
              <w:bottom w:w="0" w:type="dxa"/>
              <w:right w:w="0" w:type="dxa"/>
            </w:tcMar>
            <w:vAlign w:val="center"/>
          </w:tcPr>
          <w:p w14:paraId="50153FD5">
            <w:pPr>
              <w:pStyle w:val="17"/>
              <w:bidi w:val="0"/>
              <w:rPr>
                <w:color w:val="auto"/>
                <w:highlight w:val="none"/>
              </w:rPr>
            </w:pPr>
            <w:r>
              <w:rPr>
                <w:color w:val="auto"/>
                <w:highlight w:val="none"/>
              </w:rPr>
              <w:t>-933.5</w:t>
            </w:r>
          </w:p>
        </w:tc>
        <w:tc>
          <w:tcPr>
            <w:tcW w:w="235" w:type="pct"/>
            <w:shd w:val="clear" w:color="auto" w:fill="auto"/>
            <w:tcMar>
              <w:top w:w="0" w:type="dxa"/>
              <w:left w:w="0" w:type="dxa"/>
              <w:bottom w:w="0" w:type="dxa"/>
              <w:right w:w="0" w:type="dxa"/>
            </w:tcMar>
            <w:vAlign w:val="center"/>
          </w:tcPr>
          <w:p w14:paraId="44693AEA">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7DBA31BF">
            <w:pPr>
              <w:pStyle w:val="17"/>
              <w:bidi w:val="0"/>
              <w:rPr>
                <w:color w:val="auto"/>
                <w:highlight w:val="none"/>
              </w:rPr>
            </w:pPr>
            <w:r>
              <w:rPr>
                <w:color w:val="auto"/>
                <w:highlight w:val="none"/>
              </w:rPr>
              <w:t>51.4</w:t>
            </w:r>
          </w:p>
        </w:tc>
        <w:tc>
          <w:tcPr>
            <w:tcW w:w="189" w:type="pct"/>
            <w:shd w:val="clear" w:color="auto" w:fill="auto"/>
            <w:tcMar>
              <w:top w:w="0" w:type="dxa"/>
              <w:left w:w="0" w:type="dxa"/>
              <w:bottom w:w="0" w:type="dxa"/>
              <w:right w:w="0" w:type="dxa"/>
            </w:tcMar>
            <w:vAlign w:val="center"/>
          </w:tcPr>
          <w:p w14:paraId="412EB6D6">
            <w:pPr>
              <w:pStyle w:val="17"/>
              <w:bidi w:val="0"/>
              <w:rPr>
                <w:color w:val="auto"/>
                <w:highlight w:val="none"/>
              </w:rPr>
            </w:pPr>
            <w:r>
              <w:rPr>
                <w:color w:val="auto"/>
                <w:highlight w:val="none"/>
              </w:rPr>
              <w:t>40.2</w:t>
            </w:r>
          </w:p>
        </w:tc>
        <w:tc>
          <w:tcPr>
            <w:tcW w:w="176" w:type="pct"/>
            <w:shd w:val="clear" w:color="auto" w:fill="auto"/>
            <w:tcMar>
              <w:top w:w="0" w:type="dxa"/>
              <w:left w:w="0" w:type="dxa"/>
              <w:bottom w:w="0" w:type="dxa"/>
              <w:right w:w="0" w:type="dxa"/>
            </w:tcMar>
            <w:vAlign w:val="center"/>
          </w:tcPr>
          <w:p w14:paraId="0E86001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40.2</w:t>
            </w:r>
          </w:p>
        </w:tc>
        <w:tc>
          <w:tcPr>
            <w:tcW w:w="158" w:type="pct"/>
            <w:shd w:val="clear" w:color="auto" w:fill="auto"/>
            <w:tcMar>
              <w:top w:w="0" w:type="dxa"/>
              <w:left w:w="0" w:type="dxa"/>
              <w:bottom w:w="0" w:type="dxa"/>
              <w:right w:w="0" w:type="dxa"/>
            </w:tcMar>
            <w:vAlign w:val="center"/>
          </w:tcPr>
          <w:p w14:paraId="63AA2B9C">
            <w:pPr>
              <w:pStyle w:val="17"/>
              <w:bidi w:val="0"/>
              <w:rPr>
                <w:color w:val="auto"/>
                <w:highlight w:val="none"/>
              </w:rPr>
            </w:pPr>
            <w:r>
              <w:rPr>
                <w:color w:val="auto"/>
                <w:highlight w:val="none"/>
              </w:rPr>
              <w:t>48.6</w:t>
            </w:r>
          </w:p>
        </w:tc>
        <w:tc>
          <w:tcPr>
            <w:tcW w:w="167" w:type="pct"/>
            <w:shd w:val="clear" w:color="auto" w:fill="auto"/>
            <w:tcMar>
              <w:top w:w="0" w:type="dxa"/>
              <w:left w:w="0" w:type="dxa"/>
              <w:bottom w:w="0" w:type="dxa"/>
              <w:right w:w="0" w:type="dxa"/>
            </w:tcMar>
            <w:vAlign w:val="center"/>
          </w:tcPr>
          <w:p w14:paraId="116BD141">
            <w:pPr>
              <w:pStyle w:val="17"/>
              <w:bidi w:val="0"/>
              <w:rPr>
                <w:color w:val="auto"/>
                <w:highlight w:val="none"/>
              </w:rPr>
            </w:pPr>
            <w:r>
              <w:rPr>
                <w:color w:val="auto"/>
                <w:highlight w:val="none"/>
              </w:rPr>
              <w:t>70.4</w:t>
            </w:r>
          </w:p>
        </w:tc>
        <w:tc>
          <w:tcPr>
            <w:tcW w:w="167" w:type="pct"/>
            <w:shd w:val="clear" w:color="auto" w:fill="auto"/>
            <w:tcMar>
              <w:top w:w="0" w:type="dxa"/>
              <w:left w:w="0" w:type="dxa"/>
              <w:bottom w:w="0" w:type="dxa"/>
              <w:right w:w="0" w:type="dxa"/>
            </w:tcMar>
            <w:vAlign w:val="center"/>
          </w:tcPr>
          <w:p w14:paraId="44BD39A1">
            <w:pPr>
              <w:pStyle w:val="17"/>
              <w:bidi w:val="0"/>
              <w:rPr>
                <w:color w:val="auto"/>
                <w:highlight w:val="none"/>
              </w:rPr>
            </w:pPr>
            <w:r>
              <w:rPr>
                <w:color w:val="auto"/>
                <w:highlight w:val="none"/>
              </w:rPr>
              <w:t>70.4</w:t>
            </w:r>
          </w:p>
        </w:tc>
        <w:tc>
          <w:tcPr>
            <w:tcW w:w="185" w:type="pct"/>
            <w:shd w:val="clear" w:color="auto" w:fill="auto"/>
            <w:tcMar>
              <w:top w:w="0" w:type="dxa"/>
              <w:left w:w="0" w:type="dxa"/>
              <w:bottom w:w="0" w:type="dxa"/>
              <w:right w:w="0" w:type="dxa"/>
            </w:tcMar>
            <w:vAlign w:val="center"/>
          </w:tcPr>
          <w:p w14:paraId="36AC98C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70.4</w:t>
            </w:r>
          </w:p>
        </w:tc>
        <w:tc>
          <w:tcPr>
            <w:tcW w:w="163" w:type="pct"/>
            <w:shd w:val="clear" w:color="auto" w:fill="auto"/>
            <w:tcMar>
              <w:top w:w="0" w:type="dxa"/>
              <w:left w:w="0" w:type="dxa"/>
              <w:bottom w:w="0" w:type="dxa"/>
              <w:right w:w="0" w:type="dxa"/>
            </w:tcMar>
            <w:vAlign w:val="center"/>
          </w:tcPr>
          <w:p w14:paraId="6F3FBD6F">
            <w:pPr>
              <w:pStyle w:val="17"/>
              <w:bidi w:val="0"/>
              <w:rPr>
                <w:color w:val="auto"/>
                <w:highlight w:val="none"/>
              </w:rPr>
            </w:pPr>
            <w:r>
              <w:rPr>
                <w:color w:val="auto"/>
                <w:highlight w:val="none"/>
              </w:rPr>
              <w:t>70.4</w:t>
            </w:r>
          </w:p>
        </w:tc>
        <w:tc>
          <w:tcPr>
            <w:tcW w:w="277" w:type="pct"/>
            <w:shd w:val="clear" w:color="auto" w:fill="auto"/>
            <w:tcMar>
              <w:top w:w="0" w:type="dxa"/>
              <w:left w:w="0" w:type="dxa"/>
              <w:bottom w:w="0" w:type="dxa"/>
              <w:right w:w="0" w:type="dxa"/>
            </w:tcMar>
            <w:vAlign w:val="center"/>
          </w:tcPr>
          <w:p w14:paraId="75A60884">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0FC8E3B8">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68D3F9CC">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60.4</w:t>
            </w:r>
          </w:p>
        </w:tc>
        <w:tc>
          <w:tcPr>
            <w:tcW w:w="288" w:type="pct"/>
            <w:shd w:val="clear" w:color="auto" w:fill="auto"/>
            <w:tcMar>
              <w:top w:w="0" w:type="dxa"/>
              <w:left w:w="0" w:type="dxa"/>
              <w:bottom w:w="0" w:type="dxa"/>
              <w:right w:w="0" w:type="dxa"/>
            </w:tcMar>
            <w:vAlign w:val="center"/>
          </w:tcPr>
          <w:p w14:paraId="44DC09F2">
            <w:pPr>
              <w:pStyle w:val="17"/>
              <w:bidi w:val="0"/>
              <w:ind w:firstLine="0" w:firstLineChars="0"/>
              <w:rPr>
                <w:color w:val="auto"/>
                <w:highlight w:val="none"/>
              </w:rPr>
            </w:pPr>
            <w:r>
              <w:rPr>
                <w:rFonts w:hint="eastAsia"/>
                <w:color w:val="auto"/>
                <w:highlight w:val="none"/>
                <w:lang w:val="en-US" w:eastAsia="zh-CN"/>
              </w:rPr>
              <w:t>1</w:t>
            </w:r>
          </w:p>
        </w:tc>
      </w:tr>
      <w:tr w14:paraId="5F47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7930CCF">
            <w:pPr>
              <w:pStyle w:val="17"/>
              <w:bidi w:val="0"/>
              <w:rPr>
                <w:color w:val="auto"/>
                <w:highlight w:val="none"/>
              </w:rPr>
            </w:pPr>
            <w:r>
              <w:rPr>
                <w:color w:val="auto"/>
                <w:highlight w:val="none"/>
              </w:rPr>
              <w:t>28</w:t>
            </w:r>
          </w:p>
        </w:tc>
        <w:tc>
          <w:tcPr>
            <w:tcW w:w="234" w:type="pct"/>
            <w:shd w:val="clear" w:color="auto" w:fill="auto"/>
            <w:tcMar>
              <w:top w:w="0" w:type="dxa"/>
              <w:left w:w="0" w:type="dxa"/>
              <w:bottom w:w="0" w:type="dxa"/>
              <w:right w:w="0" w:type="dxa"/>
            </w:tcMar>
            <w:vAlign w:val="center"/>
          </w:tcPr>
          <w:p w14:paraId="4BBF4F67">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59E2B651">
            <w:pPr>
              <w:pStyle w:val="17"/>
              <w:bidi w:val="0"/>
              <w:rPr>
                <w:color w:val="auto"/>
                <w:highlight w:val="none"/>
              </w:rPr>
            </w:pPr>
            <w:r>
              <w:rPr>
                <w:color w:val="auto"/>
                <w:highlight w:val="none"/>
              </w:rPr>
              <w:t>浓缩机,2台（按点声源组预测）</w:t>
            </w:r>
          </w:p>
        </w:tc>
        <w:tc>
          <w:tcPr>
            <w:tcW w:w="344" w:type="pct"/>
            <w:shd w:val="clear" w:color="auto" w:fill="auto"/>
            <w:tcMar>
              <w:top w:w="0" w:type="dxa"/>
              <w:left w:w="0" w:type="dxa"/>
              <w:bottom w:w="0" w:type="dxa"/>
              <w:right w:w="0" w:type="dxa"/>
            </w:tcMar>
            <w:vAlign w:val="center"/>
          </w:tcPr>
          <w:p w14:paraId="6D912259">
            <w:pPr>
              <w:pStyle w:val="17"/>
              <w:bidi w:val="0"/>
              <w:rPr>
                <w:rFonts w:hint="eastAsia" w:eastAsia="宋体"/>
                <w:color w:val="auto"/>
                <w:highlight w:val="none"/>
                <w:lang w:eastAsia="zh-CN"/>
              </w:rPr>
            </w:pPr>
            <w:r>
              <w:rPr>
                <w:color w:val="auto"/>
                <w:highlight w:val="none"/>
              </w:rPr>
              <w:t>65（等效后：68.0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7194332E">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7830DA9">
            <w:pPr>
              <w:pStyle w:val="17"/>
              <w:bidi w:val="0"/>
              <w:rPr>
                <w:color w:val="auto"/>
                <w:highlight w:val="none"/>
              </w:rPr>
            </w:pPr>
            <w:r>
              <w:rPr>
                <w:color w:val="auto"/>
                <w:highlight w:val="none"/>
              </w:rPr>
              <w:t>29.2</w:t>
            </w:r>
          </w:p>
        </w:tc>
        <w:tc>
          <w:tcPr>
            <w:tcW w:w="260" w:type="pct"/>
            <w:shd w:val="clear" w:color="auto" w:fill="auto"/>
            <w:tcMar>
              <w:top w:w="0" w:type="dxa"/>
              <w:left w:w="0" w:type="dxa"/>
              <w:bottom w:w="0" w:type="dxa"/>
              <w:right w:w="0" w:type="dxa"/>
            </w:tcMar>
            <w:vAlign w:val="center"/>
          </w:tcPr>
          <w:p w14:paraId="384F6807">
            <w:pPr>
              <w:pStyle w:val="17"/>
              <w:bidi w:val="0"/>
              <w:rPr>
                <w:color w:val="auto"/>
                <w:highlight w:val="none"/>
              </w:rPr>
            </w:pPr>
            <w:r>
              <w:rPr>
                <w:color w:val="auto"/>
                <w:highlight w:val="none"/>
              </w:rPr>
              <w:t>-897.1</w:t>
            </w:r>
          </w:p>
        </w:tc>
        <w:tc>
          <w:tcPr>
            <w:tcW w:w="235" w:type="pct"/>
            <w:shd w:val="clear" w:color="auto" w:fill="auto"/>
            <w:tcMar>
              <w:top w:w="0" w:type="dxa"/>
              <w:left w:w="0" w:type="dxa"/>
              <w:bottom w:w="0" w:type="dxa"/>
              <w:right w:w="0" w:type="dxa"/>
            </w:tcMar>
            <w:vAlign w:val="center"/>
          </w:tcPr>
          <w:p w14:paraId="1D9B77CE">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32C7D255">
            <w:pPr>
              <w:pStyle w:val="17"/>
              <w:bidi w:val="0"/>
              <w:rPr>
                <w:color w:val="auto"/>
                <w:highlight w:val="none"/>
              </w:rPr>
            </w:pPr>
            <w:r>
              <w:rPr>
                <w:color w:val="auto"/>
                <w:highlight w:val="none"/>
              </w:rPr>
              <w:t>12.2</w:t>
            </w:r>
          </w:p>
        </w:tc>
        <w:tc>
          <w:tcPr>
            <w:tcW w:w="189" w:type="pct"/>
            <w:shd w:val="clear" w:color="auto" w:fill="auto"/>
            <w:tcMar>
              <w:top w:w="0" w:type="dxa"/>
              <w:left w:w="0" w:type="dxa"/>
              <w:bottom w:w="0" w:type="dxa"/>
              <w:right w:w="0" w:type="dxa"/>
            </w:tcMar>
            <w:vAlign w:val="center"/>
          </w:tcPr>
          <w:p w14:paraId="1429A172">
            <w:pPr>
              <w:pStyle w:val="17"/>
              <w:bidi w:val="0"/>
              <w:rPr>
                <w:color w:val="auto"/>
                <w:highlight w:val="none"/>
              </w:rPr>
            </w:pPr>
            <w:r>
              <w:rPr>
                <w:color w:val="auto"/>
                <w:highlight w:val="none"/>
              </w:rPr>
              <w:t>79.4</w:t>
            </w:r>
          </w:p>
        </w:tc>
        <w:tc>
          <w:tcPr>
            <w:tcW w:w="176" w:type="pct"/>
            <w:shd w:val="clear" w:color="auto" w:fill="auto"/>
            <w:tcMar>
              <w:top w:w="0" w:type="dxa"/>
              <w:left w:w="0" w:type="dxa"/>
              <w:bottom w:w="0" w:type="dxa"/>
              <w:right w:w="0" w:type="dxa"/>
            </w:tcMar>
            <w:vAlign w:val="center"/>
          </w:tcPr>
          <w:p w14:paraId="2F0F0683">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79.4</w:t>
            </w:r>
          </w:p>
        </w:tc>
        <w:tc>
          <w:tcPr>
            <w:tcW w:w="158" w:type="pct"/>
            <w:shd w:val="clear" w:color="auto" w:fill="auto"/>
            <w:tcMar>
              <w:top w:w="0" w:type="dxa"/>
              <w:left w:w="0" w:type="dxa"/>
              <w:bottom w:w="0" w:type="dxa"/>
              <w:right w:w="0" w:type="dxa"/>
            </w:tcMar>
            <w:vAlign w:val="center"/>
          </w:tcPr>
          <w:p w14:paraId="49F92B87">
            <w:pPr>
              <w:pStyle w:val="17"/>
              <w:bidi w:val="0"/>
              <w:rPr>
                <w:color w:val="auto"/>
                <w:highlight w:val="none"/>
              </w:rPr>
            </w:pPr>
            <w:r>
              <w:rPr>
                <w:color w:val="auto"/>
                <w:highlight w:val="none"/>
              </w:rPr>
              <w:t>12.2</w:t>
            </w:r>
          </w:p>
        </w:tc>
        <w:tc>
          <w:tcPr>
            <w:tcW w:w="167" w:type="pct"/>
            <w:shd w:val="clear" w:color="auto" w:fill="auto"/>
            <w:tcMar>
              <w:top w:w="0" w:type="dxa"/>
              <w:left w:w="0" w:type="dxa"/>
              <w:bottom w:w="0" w:type="dxa"/>
              <w:right w:w="0" w:type="dxa"/>
            </w:tcMar>
            <w:vAlign w:val="center"/>
          </w:tcPr>
          <w:p w14:paraId="60412426">
            <w:pPr>
              <w:pStyle w:val="17"/>
              <w:bidi w:val="0"/>
              <w:rPr>
                <w:color w:val="auto"/>
                <w:highlight w:val="none"/>
              </w:rPr>
            </w:pPr>
            <w:r>
              <w:rPr>
                <w:color w:val="auto"/>
                <w:highlight w:val="none"/>
              </w:rPr>
              <w:t>49.6</w:t>
            </w:r>
          </w:p>
        </w:tc>
        <w:tc>
          <w:tcPr>
            <w:tcW w:w="167" w:type="pct"/>
            <w:shd w:val="clear" w:color="auto" w:fill="auto"/>
            <w:tcMar>
              <w:top w:w="0" w:type="dxa"/>
              <w:left w:w="0" w:type="dxa"/>
              <w:bottom w:w="0" w:type="dxa"/>
              <w:right w:w="0" w:type="dxa"/>
            </w:tcMar>
            <w:vAlign w:val="center"/>
          </w:tcPr>
          <w:p w14:paraId="61D0E2C7">
            <w:pPr>
              <w:pStyle w:val="17"/>
              <w:bidi w:val="0"/>
              <w:rPr>
                <w:color w:val="auto"/>
                <w:highlight w:val="none"/>
              </w:rPr>
            </w:pPr>
            <w:r>
              <w:rPr>
                <w:color w:val="auto"/>
                <w:highlight w:val="none"/>
              </w:rPr>
              <w:t>49.4</w:t>
            </w:r>
          </w:p>
        </w:tc>
        <w:tc>
          <w:tcPr>
            <w:tcW w:w="185" w:type="pct"/>
            <w:shd w:val="clear" w:color="auto" w:fill="auto"/>
            <w:tcMar>
              <w:top w:w="0" w:type="dxa"/>
              <w:left w:w="0" w:type="dxa"/>
              <w:bottom w:w="0" w:type="dxa"/>
              <w:right w:w="0" w:type="dxa"/>
            </w:tcMar>
            <w:vAlign w:val="center"/>
          </w:tcPr>
          <w:p w14:paraId="6AE81FA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49.6</w:t>
            </w:r>
          </w:p>
        </w:tc>
        <w:tc>
          <w:tcPr>
            <w:tcW w:w="163" w:type="pct"/>
            <w:shd w:val="clear" w:color="auto" w:fill="auto"/>
            <w:tcMar>
              <w:top w:w="0" w:type="dxa"/>
              <w:left w:w="0" w:type="dxa"/>
              <w:bottom w:w="0" w:type="dxa"/>
              <w:right w:w="0" w:type="dxa"/>
            </w:tcMar>
            <w:vAlign w:val="center"/>
          </w:tcPr>
          <w:p w14:paraId="71B046A2">
            <w:pPr>
              <w:pStyle w:val="17"/>
              <w:bidi w:val="0"/>
              <w:rPr>
                <w:color w:val="auto"/>
                <w:highlight w:val="none"/>
              </w:rPr>
            </w:pPr>
            <w:r>
              <w:rPr>
                <w:color w:val="auto"/>
                <w:highlight w:val="none"/>
              </w:rPr>
              <w:t>49.6</w:t>
            </w:r>
          </w:p>
        </w:tc>
        <w:tc>
          <w:tcPr>
            <w:tcW w:w="277" w:type="pct"/>
            <w:shd w:val="clear" w:color="auto" w:fill="auto"/>
            <w:tcMar>
              <w:top w:w="0" w:type="dxa"/>
              <w:left w:w="0" w:type="dxa"/>
              <w:bottom w:w="0" w:type="dxa"/>
              <w:right w:w="0" w:type="dxa"/>
            </w:tcMar>
            <w:vAlign w:val="center"/>
          </w:tcPr>
          <w:p w14:paraId="4BD744C3">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36322035">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0F4233E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39.6</w:t>
            </w:r>
          </w:p>
        </w:tc>
        <w:tc>
          <w:tcPr>
            <w:tcW w:w="288" w:type="pct"/>
            <w:shd w:val="clear" w:color="auto" w:fill="auto"/>
            <w:tcMar>
              <w:top w:w="0" w:type="dxa"/>
              <w:left w:w="0" w:type="dxa"/>
              <w:bottom w:w="0" w:type="dxa"/>
              <w:right w:w="0" w:type="dxa"/>
            </w:tcMar>
            <w:vAlign w:val="center"/>
          </w:tcPr>
          <w:p w14:paraId="60D2BDE2">
            <w:pPr>
              <w:pStyle w:val="17"/>
              <w:bidi w:val="0"/>
              <w:ind w:firstLine="0" w:firstLineChars="0"/>
              <w:rPr>
                <w:color w:val="auto"/>
                <w:highlight w:val="none"/>
              </w:rPr>
            </w:pPr>
            <w:r>
              <w:rPr>
                <w:rFonts w:hint="eastAsia"/>
                <w:color w:val="auto"/>
                <w:highlight w:val="none"/>
                <w:lang w:val="en-US" w:eastAsia="zh-CN"/>
              </w:rPr>
              <w:t>1</w:t>
            </w:r>
          </w:p>
        </w:tc>
      </w:tr>
      <w:tr w14:paraId="457B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A697AD2">
            <w:pPr>
              <w:pStyle w:val="17"/>
              <w:bidi w:val="0"/>
              <w:rPr>
                <w:color w:val="auto"/>
                <w:highlight w:val="none"/>
              </w:rPr>
            </w:pPr>
            <w:r>
              <w:rPr>
                <w:color w:val="auto"/>
                <w:highlight w:val="none"/>
              </w:rPr>
              <w:t>29</w:t>
            </w:r>
          </w:p>
        </w:tc>
        <w:tc>
          <w:tcPr>
            <w:tcW w:w="234" w:type="pct"/>
            <w:shd w:val="clear" w:color="auto" w:fill="auto"/>
            <w:tcMar>
              <w:top w:w="0" w:type="dxa"/>
              <w:left w:w="0" w:type="dxa"/>
              <w:bottom w:w="0" w:type="dxa"/>
              <w:right w:w="0" w:type="dxa"/>
            </w:tcMar>
            <w:vAlign w:val="center"/>
          </w:tcPr>
          <w:p w14:paraId="28AC5E09">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77C899D3">
            <w:pPr>
              <w:pStyle w:val="17"/>
              <w:bidi w:val="0"/>
              <w:rPr>
                <w:color w:val="auto"/>
                <w:highlight w:val="none"/>
              </w:rPr>
            </w:pPr>
            <w:r>
              <w:rPr>
                <w:color w:val="auto"/>
                <w:highlight w:val="none"/>
              </w:rPr>
              <w:t>高浓度矿浆搅拌槽</w:t>
            </w:r>
          </w:p>
        </w:tc>
        <w:tc>
          <w:tcPr>
            <w:tcW w:w="344" w:type="pct"/>
            <w:shd w:val="clear" w:color="auto" w:fill="auto"/>
            <w:tcMar>
              <w:top w:w="0" w:type="dxa"/>
              <w:left w:w="0" w:type="dxa"/>
              <w:bottom w:w="0" w:type="dxa"/>
              <w:right w:w="0" w:type="dxa"/>
            </w:tcMar>
            <w:vAlign w:val="center"/>
          </w:tcPr>
          <w:p w14:paraId="50CA16E3">
            <w:pPr>
              <w:pStyle w:val="17"/>
              <w:bidi w:val="0"/>
              <w:rPr>
                <w:color w:val="auto"/>
                <w:highlight w:val="none"/>
              </w:rPr>
            </w:pPr>
            <w:r>
              <w:rPr>
                <w:color w:val="auto"/>
                <w:highlight w:val="none"/>
              </w:rPr>
              <w:t>70</w:t>
            </w:r>
          </w:p>
        </w:tc>
        <w:tc>
          <w:tcPr>
            <w:tcW w:w="361" w:type="pct"/>
            <w:vMerge w:val="continue"/>
            <w:shd w:val="clear" w:color="auto" w:fill="auto"/>
            <w:tcMar>
              <w:top w:w="0" w:type="dxa"/>
              <w:left w:w="0" w:type="dxa"/>
              <w:bottom w:w="0" w:type="dxa"/>
              <w:right w:w="0" w:type="dxa"/>
            </w:tcMar>
            <w:vAlign w:val="center"/>
          </w:tcPr>
          <w:p w14:paraId="32BED09F">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014FBF8A">
            <w:pPr>
              <w:pStyle w:val="17"/>
              <w:bidi w:val="0"/>
              <w:rPr>
                <w:color w:val="auto"/>
                <w:highlight w:val="none"/>
              </w:rPr>
            </w:pPr>
            <w:r>
              <w:rPr>
                <w:color w:val="auto"/>
                <w:highlight w:val="none"/>
              </w:rPr>
              <w:t>28.3</w:t>
            </w:r>
          </w:p>
        </w:tc>
        <w:tc>
          <w:tcPr>
            <w:tcW w:w="260" w:type="pct"/>
            <w:shd w:val="clear" w:color="auto" w:fill="auto"/>
            <w:tcMar>
              <w:top w:w="0" w:type="dxa"/>
              <w:left w:w="0" w:type="dxa"/>
              <w:bottom w:w="0" w:type="dxa"/>
              <w:right w:w="0" w:type="dxa"/>
            </w:tcMar>
            <w:vAlign w:val="center"/>
          </w:tcPr>
          <w:p w14:paraId="7B6F4137">
            <w:pPr>
              <w:pStyle w:val="17"/>
              <w:bidi w:val="0"/>
              <w:rPr>
                <w:color w:val="auto"/>
                <w:highlight w:val="none"/>
              </w:rPr>
            </w:pPr>
            <w:r>
              <w:rPr>
                <w:color w:val="auto"/>
                <w:highlight w:val="none"/>
              </w:rPr>
              <w:t>-931.6</w:t>
            </w:r>
          </w:p>
        </w:tc>
        <w:tc>
          <w:tcPr>
            <w:tcW w:w="235" w:type="pct"/>
            <w:shd w:val="clear" w:color="auto" w:fill="auto"/>
            <w:tcMar>
              <w:top w:w="0" w:type="dxa"/>
              <w:left w:w="0" w:type="dxa"/>
              <w:bottom w:w="0" w:type="dxa"/>
              <w:right w:w="0" w:type="dxa"/>
            </w:tcMar>
            <w:vAlign w:val="center"/>
          </w:tcPr>
          <w:p w14:paraId="538C5B1B">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4878A1DE">
            <w:pPr>
              <w:pStyle w:val="17"/>
              <w:bidi w:val="0"/>
              <w:rPr>
                <w:color w:val="auto"/>
                <w:highlight w:val="none"/>
              </w:rPr>
            </w:pPr>
            <w:r>
              <w:rPr>
                <w:color w:val="auto"/>
                <w:highlight w:val="none"/>
              </w:rPr>
              <w:t>13.1</w:t>
            </w:r>
          </w:p>
        </w:tc>
        <w:tc>
          <w:tcPr>
            <w:tcW w:w="189" w:type="pct"/>
            <w:shd w:val="clear" w:color="auto" w:fill="auto"/>
            <w:tcMar>
              <w:top w:w="0" w:type="dxa"/>
              <w:left w:w="0" w:type="dxa"/>
              <w:bottom w:w="0" w:type="dxa"/>
              <w:right w:w="0" w:type="dxa"/>
            </w:tcMar>
            <w:vAlign w:val="center"/>
          </w:tcPr>
          <w:p w14:paraId="7B1BB8EC">
            <w:pPr>
              <w:pStyle w:val="17"/>
              <w:bidi w:val="0"/>
              <w:rPr>
                <w:color w:val="auto"/>
                <w:highlight w:val="none"/>
              </w:rPr>
            </w:pPr>
            <w:r>
              <w:rPr>
                <w:color w:val="auto"/>
                <w:highlight w:val="none"/>
              </w:rPr>
              <w:t>50.5</w:t>
            </w:r>
          </w:p>
        </w:tc>
        <w:tc>
          <w:tcPr>
            <w:tcW w:w="176" w:type="pct"/>
            <w:shd w:val="clear" w:color="auto" w:fill="auto"/>
            <w:tcMar>
              <w:top w:w="0" w:type="dxa"/>
              <w:left w:w="0" w:type="dxa"/>
              <w:bottom w:w="0" w:type="dxa"/>
              <w:right w:w="0" w:type="dxa"/>
            </w:tcMar>
            <w:vAlign w:val="center"/>
          </w:tcPr>
          <w:p w14:paraId="285EB8FB">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50.5</w:t>
            </w:r>
          </w:p>
        </w:tc>
        <w:tc>
          <w:tcPr>
            <w:tcW w:w="158" w:type="pct"/>
            <w:shd w:val="clear" w:color="auto" w:fill="auto"/>
            <w:tcMar>
              <w:top w:w="0" w:type="dxa"/>
              <w:left w:w="0" w:type="dxa"/>
              <w:bottom w:w="0" w:type="dxa"/>
              <w:right w:w="0" w:type="dxa"/>
            </w:tcMar>
            <w:vAlign w:val="center"/>
          </w:tcPr>
          <w:p w14:paraId="33662851">
            <w:pPr>
              <w:pStyle w:val="17"/>
              <w:bidi w:val="0"/>
              <w:rPr>
                <w:color w:val="auto"/>
                <w:highlight w:val="none"/>
              </w:rPr>
            </w:pPr>
            <w:r>
              <w:rPr>
                <w:color w:val="auto"/>
                <w:highlight w:val="none"/>
              </w:rPr>
              <w:t>46.7</w:t>
            </w:r>
          </w:p>
        </w:tc>
        <w:tc>
          <w:tcPr>
            <w:tcW w:w="167" w:type="pct"/>
            <w:shd w:val="clear" w:color="auto" w:fill="auto"/>
            <w:tcMar>
              <w:top w:w="0" w:type="dxa"/>
              <w:left w:w="0" w:type="dxa"/>
              <w:bottom w:w="0" w:type="dxa"/>
              <w:right w:w="0" w:type="dxa"/>
            </w:tcMar>
            <w:vAlign w:val="center"/>
          </w:tcPr>
          <w:p w14:paraId="421FBDAD">
            <w:pPr>
              <w:pStyle w:val="17"/>
              <w:bidi w:val="0"/>
              <w:rPr>
                <w:color w:val="auto"/>
                <w:highlight w:val="none"/>
              </w:rPr>
            </w:pPr>
            <w:r>
              <w:rPr>
                <w:color w:val="auto"/>
                <w:highlight w:val="none"/>
              </w:rPr>
              <w:t>51.6</w:t>
            </w:r>
          </w:p>
        </w:tc>
        <w:tc>
          <w:tcPr>
            <w:tcW w:w="167" w:type="pct"/>
            <w:shd w:val="clear" w:color="auto" w:fill="auto"/>
            <w:tcMar>
              <w:top w:w="0" w:type="dxa"/>
              <w:left w:w="0" w:type="dxa"/>
              <w:bottom w:w="0" w:type="dxa"/>
              <w:right w:w="0" w:type="dxa"/>
            </w:tcMar>
            <w:vAlign w:val="center"/>
          </w:tcPr>
          <w:p w14:paraId="2DCF36B4">
            <w:pPr>
              <w:pStyle w:val="17"/>
              <w:bidi w:val="0"/>
              <w:rPr>
                <w:color w:val="auto"/>
                <w:highlight w:val="none"/>
              </w:rPr>
            </w:pPr>
            <w:r>
              <w:rPr>
                <w:color w:val="auto"/>
                <w:highlight w:val="none"/>
              </w:rPr>
              <w:t>51.4</w:t>
            </w:r>
          </w:p>
        </w:tc>
        <w:tc>
          <w:tcPr>
            <w:tcW w:w="185" w:type="pct"/>
            <w:shd w:val="clear" w:color="auto" w:fill="auto"/>
            <w:tcMar>
              <w:top w:w="0" w:type="dxa"/>
              <w:left w:w="0" w:type="dxa"/>
              <w:bottom w:w="0" w:type="dxa"/>
              <w:right w:w="0" w:type="dxa"/>
            </w:tcMar>
            <w:vAlign w:val="center"/>
          </w:tcPr>
          <w:p w14:paraId="24BDFF9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51.4</w:t>
            </w:r>
          </w:p>
        </w:tc>
        <w:tc>
          <w:tcPr>
            <w:tcW w:w="163" w:type="pct"/>
            <w:shd w:val="clear" w:color="auto" w:fill="auto"/>
            <w:tcMar>
              <w:top w:w="0" w:type="dxa"/>
              <w:left w:w="0" w:type="dxa"/>
              <w:bottom w:w="0" w:type="dxa"/>
              <w:right w:w="0" w:type="dxa"/>
            </w:tcMar>
            <w:vAlign w:val="center"/>
          </w:tcPr>
          <w:p w14:paraId="65EA184B">
            <w:pPr>
              <w:pStyle w:val="17"/>
              <w:bidi w:val="0"/>
              <w:rPr>
                <w:color w:val="auto"/>
                <w:highlight w:val="none"/>
              </w:rPr>
            </w:pPr>
            <w:r>
              <w:rPr>
                <w:color w:val="auto"/>
                <w:highlight w:val="none"/>
              </w:rPr>
              <w:t>51.4</w:t>
            </w:r>
          </w:p>
        </w:tc>
        <w:tc>
          <w:tcPr>
            <w:tcW w:w="277" w:type="pct"/>
            <w:shd w:val="clear" w:color="auto" w:fill="auto"/>
            <w:tcMar>
              <w:top w:w="0" w:type="dxa"/>
              <w:left w:w="0" w:type="dxa"/>
              <w:bottom w:w="0" w:type="dxa"/>
              <w:right w:w="0" w:type="dxa"/>
            </w:tcMar>
            <w:vAlign w:val="center"/>
          </w:tcPr>
          <w:p w14:paraId="38DADD84">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68B5C7E9">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2B0AE77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41.6</w:t>
            </w:r>
          </w:p>
        </w:tc>
        <w:tc>
          <w:tcPr>
            <w:tcW w:w="288" w:type="pct"/>
            <w:shd w:val="clear" w:color="auto" w:fill="auto"/>
            <w:tcMar>
              <w:top w:w="0" w:type="dxa"/>
              <w:left w:w="0" w:type="dxa"/>
              <w:bottom w:w="0" w:type="dxa"/>
              <w:right w:w="0" w:type="dxa"/>
            </w:tcMar>
            <w:vAlign w:val="center"/>
          </w:tcPr>
          <w:p w14:paraId="7AEB7F91">
            <w:pPr>
              <w:pStyle w:val="17"/>
              <w:bidi w:val="0"/>
              <w:ind w:firstLine="0" w:firstLineChars="0"/>
              <w:rPr>
                <w:color w:val="auto"/>
                <w:highlight w:val="none"/>
              </w:rPr>
            </w:pPr>
            <w:r>
              <w:rPr>
                <w:rFonts w:hint="eastAsia"/>
                <w:color w:val="auto"/>
                <w:highlight w:val="none"/>
                <w:lang w:val="en-US" w:eastAsia="zh-CN"/>
              </w:rPr>
              <w:t>1</w:t>
            </w:r>
          </w:p>
        </w:tc>
      </w:tr>
      <w:tr w14:paraId="5843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2C444B3">
            <w:pPr>
              <w:pStyle w:val="17"/>
              <w:bidi w:val="0"/>
              <w:rPr>
                <w:color w:val="auto"/>
                <w:highlight w:val="none"/>
              </w:rPr>
            </w:pPr>
            <w:r>
              <w:rPr>
                <w:color w:val="auto"/>
                <w:highlight w:val="none"/>
              </w:rPr>
              <w:t>30</w:t>
            </w:r>
          </w:p>
        </w:tc>
        <w:tc>
          <w:tcPr>
            <w:tcW w:w="234" w:type="pct"/>
            <w:shd w:val="clear" w:color="auto" w:fill="auto"/>
            <w:tcMar>
              <w:top w:w="0" w:type="dxa"/>
              <w:left w:w="0" w:type="dxa"/>
              <w:bottom w:w="0" w:type="dxa"/>
              <w:right w:w="0" w:type="dxa"/>
            </w:tcMar>
            <w:vAlign w:val="center"/>
          </w:tcPr>
          <w:p w14:paraId="41F87BD1">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636363B3">
            <w:pPr>
              <w:pStyle w:val="17"/>
              <w:bidi w:val="0"/>
              <w:rPr>
                <w:color w:val="auto"/>
                <w:highlight w:val="none"/>
              </w:rPr>
            </w:pPr>
            <w:r>
              <w:rPr>
                <w:color w:val="auto"/>
                <w:highlight w:val="none"/>
              </w:rPr>
              <w:t>盘式过滤机,4台（按点声源组预测）</w:t>
            </w:r>
          </w:p>
        </w:tc>
        <w:tc>
          <w:tcPr>
            <w:tcW w:w="344" w:type="pct"/>
            <w:shd w:val="clear" w:color="auto" w:fill="auto"/>
            <w:tcMar>
              <w:top w:w="0" w:type="dxa"/>
              <w:left w:w="0" w:type="dxa"/>
              <w:bottom w:w="0" w:type="dxa"/>
              <w:right w:w="0" w:type="dxa"/>
            </w:tcMar>
            <w:vAlign w:val="center"/>
          </w:tcPr>
          <w:p w14:paraId="0FB9F779">
            <w:pPr>
              <w:pStyle w:val="17"/>
              <w:bidi w:val="0"/>
              <w:rPr>
                <w:rFonts w:hint="eastAsia" w:eastAsia="宋体"/>
                <w:color w:val="auto"/>
                <w:highlight w:val="none"/>
                <w:lang w:eastAsia="zh-CN"/>
              </w:rPr>
            </w:pPr>
            <w:r>
              <w:rPr>
                <w:color w:val="auto"/>
                <w:highlight w:val="none"/>
              </w:rPr>
              <w:t>65（等效后：71.0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4972D763">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ECF4869">
            <w:pPr>
              <w:pStyle w:val="17"/>
              <w:bidi w:val="0"/>
              <w:rPr>
                <w:color w:val="auto"/>
                <w:highlight w:val="none"/>
              </w:rPr>
            </w:pPr>
            <w:r>
              <w:rPr>
                <w:color w:val="auto"/>
                <w:highlight w:val="none"/>
              </w:rPr>
              <w:t>-17.5</w:t>
            </w:r>
          </w:p>
        </w:tc>
        <w:tc>
          <w:tcPr>
            <w:tcW w:w="260" w:type="pct"/>
            <w:shd w:val="clear" w:color="auto" w:fill="auto"/>
            <w:tcMar>
              <w:top w:w="0" w:type="dxa"/>
              <w:left w:w="0" w:type="dxa"/>
              <w:bottom w:w="0" w:type="dxa"/>
              <w:right w:w="0" w:type="dxa"/>
            </w:tcMar>
            <w:vAlign w:val="center"/>
          </w:tcPr>
          <w:p w14:paraId="26B58EE1">
            <w:pPr>
              <w:pStyle w:val="17"/>
              <w:bidi w:val="0"/>
              <w:rPr>
                <w:color w:val="auto"/>
                <w:highlight w:val="none"/>
              </w:rPr>
            </w:pPr>
            <w:r>
              <w:rPr>
                <w:color w:val="auto"/>
                <w:highlight w:val="none"/>
              </w:rPr>
              <w:t>-892.4</w:t>
            </w:r>
          </w:p>
        </w:tc>
        <w:tc>
          <w:tcPr>
            <w:tcW w:w="235" w:type="pct"/>
            <w:shd w:val="clear" w:color="auto" w:fill="auto"/>
            <w:tcMar>
              <w:top w:w="0" w:type="dxa"/>
              <w:left w:w="0" w:type="dxa"/>
              <w:bottom w:w="0" w:type="dxa"/>
              <w:right w:w="0" w:type="dxa"/>
            </w:tcMar>
            <w:vAlign w:val="center"/>
          </w:tcPr>
          <w:p w14:paraId="15341D50">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7D273932">
            <w:pPr>
              <w:pStyle w:val="17"/>
              <w:bidi w:val="0"/>
              <w:rPr>
                <w:color w:val="auto"/>
                <w:highlight w:val="none"/>
              </w:rPr>
            </w:pPr>
            <w:r>
              <w:rPr>
                <w:color w:val="auto"/>
                <w:highlight w:val="none"/>
              </w:rPr>
              <w:t>58.9</w:t>
            </w:r>
          </w:p>
        </w:tc>
        <w:tc>
          <w:tcPr>
            <w:tcW w:w="189" w:type="pct"/>
            <w:shd w:val="clear" w:color="auto" w:fill="auto"/>
            <w:tcMar>
              <w:top w:w="0" w:type="dxa"/>
              <w:left w:w="0" w:type="dxa"/>
              <w:bottom w:w="0" w:type="dxa"/>
              <w:right w:w="0" w:type="dxa"/>
            </w:tcMar>
            <w:vAlign w:val="center"/>
          </w:tcPr>
          <w:p w14:paraId="3935BBE8">
            <w:pPr>
              <w:pStyle w:val="17"/>
              <w:bidi w:val="0"/>
              <w:rPr>
                <w:color w:val="auto"/>
                <w:highlight w:val="none"/>
              </w:rPr>
            </w:pPr>
            <w:r>
              <w:rPr>
                <w:color w:val="auto"/>
                <w:highlight w:val="none"/>
              </w:rPr>
              <w:t>32.7</w:t>
            </w:r>
          </w:p>
        </w:tc>
        <w:tc>
          <w:tcPr>
            <w:tcW w:w="176" w:type="pct"/>
            <w:shd w:val="clear" w:color="auto" w:fill="auto"/>
            <w:tcMar>
              <w:top w:w="0" w:type="dxa"/>
              <w:left w:w="0" w:type="dxa"/>
              <w:bottom w:w="0" w:type="dxa"/>
              <w:right w:w="0" w:type="dxa"/>
            </w:tcMar>
            <w:vAlign w:val="center"/>
          </w:tcPr>
          <w:p w14:paraId="24ECFCF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32.7</w:t>
            </w:r>
          </w:p>
        </w:tc>
        <w:tc>
          <w:tcPr>
            <w:tcW w:w="158" w:type="pct"/>
            <w:shd w:val="clear" w:color="auto" w:fill="auto"/>
            <w:tcMar>
              <w:top w:w="0" w:type="dxa"/>
              <w:left w:w="0" w:type="dxa"/>
              <w:bottom w:w="0" w:type="dxa"/>
              <w:right w:w="0" w:type="dxa"/>
            </w:tcMar>
            <w:vAlign w:val="center"/>
          </w:tcPr>
          <w:p w14:paraId="44BA5347">
            <w:pPr>
              <w:pStyle w:val="17"/>
              <w:bidi w:val="0"/>
              <w:rPr>
                <w:color w:val="auto"/>
                <w:highlight w:val="none"/>
              </w:rPr>
            </w:pPr>
            <w:r>
              <w:rPr>
                <w:color w:val="auto"/>
                <w:highlight w:val="none"/>
              </w:rPr>
              <w:t>7.5</w:t>
            </w:r>
          </w:p>
        </w:tc>
        <w:tc>
          <w:tcPr>
            <w:tcW w:w="167" w:type="pct"/>
            <w:shd w:val="clear" w:color="auto" w:fill="auto"/>
            <w:tcMar>
              <w:top w:w="0" w:type="dxa"/>
              <w:left w:w="0" w:type="dxa"/>
              <w:bottom w:w="0" w:type="dxa"/>
              <w:right w:w="0" w:type="dxa"/>
            </w:tcMar>
            <w:vAlign w:val="center"/>
          </w:tcPr>
          <w:p w14:paraId="5DADFACB">
            <w:pPr>
              <w:pStyle w:val="17"/>
              <w:bidi w:val="0"/>
              <w:rPr>
                <w:color w:val="auto"/>
                <w:highlight w:val="none"/>
              </w:rPr>
            </w:pPr>
            <w:r>
              <w:rPr>
                <w:color w:val="auto"/>
                <w:highlight w:val="none"/>
              </w:rPr>
              <w:t>52.4</w:t>
            </w:r>
          </w:p>
        </w:tc>
        <w:tc>
          <w:tcPr>
            <w:tcW w:w="167" w:type="pct"/>
            <w:shd w:val="clear" w:color="auto" w:fill="auto"/>
            <w:tcMar>
              <w:top w:w="0" w:type="dxa"/>
              <w:left w:w="0" w:type="dxa"/>
              <w:bottom w:w="0" w:type="dxa"/>
              <w:right w:w="0" w:type="dxa"/>
            </w:tcMar>
            <w:vAlign w:val="center"/>
          </w:tcPr>
          <w:p w14:paraId="04939F7E">
            <w:pPr>
              <w:pStyle w:val="17"/>
              <w:bidi w:val="0"/>
              <w:rPr>
                <w:color w:val="auto"/>
                <w:highlight w:val="none"/>
              </w:rPr>
            </w:pPr>
            <w:r>
              <w:rPr>
                <w:color w:val="auto"/>
                <w:highlight w:val="none"/>
              </w:rPr>
              <w:t>52.4</w:t>
            </w:r>
          </w:p>
        </w:tc>
        <w:tc>
          <w:tcPr>
            <w:tcW w:w="185" w:type="pct"/>
            <w:shd w:val="clear" w:color="auto" w:fill="auto"/>
            <w:tcMar>
              <w:top w:w="0" w:type="dxa"/>
              <w:left w:w="0" w:type="dxa"/>
              <w:bottom w:w="0" w:type="dxa"/>
              <w:right w:w="0" w:type="dxa"/>
            </w:tcMar>
            <w:vAlign w:val="center"/>
          </w:tcPr>
          <w:p w14:paraId="1B8F8277">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52.8</w:t>
            </w:r>
          </w:p>
        </w:tc>
        <w:tc>
          <w:tcPr>
            <w:tcW w:w="163" w:type="pct"/>
            <w:shd w:val="clear" w:color="auto" w:fill="auto"/>
            <w:tcMar>
              <w:top w:w="0" w:type="dxa"/>
              <w:left w:w="0" w:type="dxa"/>
              <w:bottom w:w="0" w:type="dxa"/>
              <w:right w:w="0" w:type="dxa"/>
            </w:tcMar>
            <w:vAlign w:val="center"/>
          </w:tcPr>
          <w:p w14:paraId="5FE71230">
            <w:pPr>
              <w:pStyle w:val="17"/>
              <w:bidi w:val="0"/>
              <w:rPr>
                <w:color w:val="auto"/>
                <w:highlight w:val="none"/>
              </w:rPr>
            </w:pPr>
            <w:r>
              <w:rPr>
                <w:color w:val="auto"/>
                <w:highlight w:val="none"/>
              </w:rPr>
              <w:t>52.8</w:t>
            </w:r>
          </w:p>
        </w:tc>
        <w:tc>
          <w:tcPr>
            <w:tcW w:w="277" w:type="pct"/>
            <w:shd w:val="clear" w:color="auto" w:fill="auto"/>
            <w:tcMar>
              <w:top w:w="0" w:type="dxa"/>
              <w:left w:w="0" w:type="dxa"/>
              <w:bottom w:w="0" w:type="dxa"/>
              <w:right w:w="0" w:type="dxa"/>
            </w:tcMar>
            <w:vAlign w:val="center"/>
          </w:tcPr>
          <w:p w14:paraId="0A632125">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57C6CCFC">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5B81C78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42.4</w:t>
            </w:r>
          </w:p>
        </w:tc>
        <w:tc>
          <w:tcPr>
            <w:tcW w:w="288" w:type="pct"/>
            <w:shd w:val="clear" w:color="auto" w:fill="auto"/>
            <w:tcMar>
              <w:top w:w="0" w:type="dxa"/>
              <w:left w:w="0" w:type="dxa"/>
              <w:bottom w:w="0" w:type="dxa"/>
              <w:right w:w="0" w:type="dxa"/>
            </w:tcMar>
            <w:vAlign w:val="center"/>
          </w:tcPr>
          <w:p w14:paraId="2BE23FF9">
            <w:pPr>
              <w:pStyle w:val="17"/>
              <w:bidi w:val="0"/>
              <w:ind w:firstLine="0" w:firstLineChars="0"/>
              <w:rPr>
                <w:color w:val="auto"/>
                <w:highlight w:val="none"/>
              </w:rPr>
            </w:pPr>
            <w:r>
              <w:rPr>
                <w:rFonts w:hint="eastAsia"/>
                <w:color w:val="auto"/>
                <w:highlight w:val="none"/>
                <w:lang w:val="en-US" w:eastAsia="zh-CN"/>
              </w:rPr>
              <w:t>1</w:t>
            </w:r>
          </w:p>
        </w:tc>
      </w:tr>
      <w:tr w14:paraId="6AA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3D5155C">
            <w:pPr>
              <w:pStyle w:val="17"/>
              <w:bidi w:val="0"/>
              <w:rPr>
                <w:color w:val="auto"/>
                <w:highlight w:val="none"/>
              </w:rPr>
            </w:pPr>
            <w:r>
              <w:rPr>
                <w:color w:val="auto"/>
                <w:highlight w:val="none"/>
              </w:rPr>
              <w:t>31</w:t>
            </w:r>
          </w:p>
        </w:tc>
        <w:tc>
          <w:tcPr>
            <w:tcW w:w="234" w:type="pct"/>
            <w:shd w:val="clear" w:color="auto" w:fill="auto"/>
            <w:tcMar>
              <w:top w:w="0" w:type="dxa"/>
              <w:left w:w="0" w:type="dxa"/>
              <w:bottom w:w="0" w:type="dxa"/>
              <w:right w:w="0" w:type="dxa"/>
            </w:tcMar>
            <w:vAlign w:val="center"/>
          </w:tcPr>
          <w:p w14:paraId="394D88DA">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6EDA9B55">
            <w:pPr>
              <w:pStyle w:val="17"/>
              <w:bidi w:val="0"/>
              <w:rPr>
                <w:color w:val="auto"/>
                <w:highlight w:val="none"/>
              </w:rPr>
            </w:pPr>
            <w:r>
              <w:rPr>
                <w:color w:val="auto"/>
                <w:highlight w:val="none"/>
              </w:rPr>
              <w:t>鼓风机,2台（按点声源组预测）</w:t>
            </w:r>
          </w:p>
        </w:tc>
        <w:tc>
          <w:tcPr>
            <w:tcW w:w="344" w:type="pct"/>
            <w:shd w:val="clear" w:color="auto" w:fill="auto"/>
            <w:tcMar>
              <w:top w:w="0" w:type="dxa"/>
              <w:left w:w="0" w:type="dxa"/>
              <w:bottom w:w="0" w:type="dxa"/>
              <w:right w:w="0" w:type="dxa"/>
            </w:tcMar>
            <w:vAlign w:val="center"/>
          </w:tcPr>
          <w:p w14:paraId="742CD190">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255FFB47">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81B7DB6">
            <w:pPr>
              <w:pStyle w:val="17"/>
              <w:bidi w:val="0"/>
              <w:rPr>
                <w:color w:val="auto"/>
                <w:highlight w:val="none"/>
              </w:rPr>
            </w:pPr>
            <w:r>
              <w:rPr>
                <w:color w:val="auto"/>
                <w:highlight w:val="none"/>
              </w:rPr>
              <w:t>-37.2</w:t>
            </w:r>
          </w:p>
        </w:tc>
        <w:tc>
          <w:tcPr>
            <w:tcW w:w="260" w:type="pct"/>
            <w:shd w:val="clear" w:color="auto" w:fill="auto"/>
            <w:tcMar>
              <w:top w:w="0" w:type="dxa"/>
              <w:left w:w="0" w:type="dxa"/>
              <w:bottom w:w="0" w:type="dxa"/>
              <w:right w:w="0" w:type="dxa"/>
            </w:tcMar>
            <w:vAlign w:val="center"/>
          </w:tcPr>
          <w:p w14:paraId="6A9E0939">
            <w:pPr>
              <w:pStyle w:val="17"/>
              <w:bidi w:val="0"/>
              <w:rPr>
                <w:color w:val="auto"/>
                <w:highlight w:val="none"/>
              </w:rPr>
            </w:pPr>
            <w:r>
              <w:rPr>
                <w:color w:val="auto"/>
                <w:highlight w:val="none"/>
              </w:rPr>
              <w:t>-930.7</w:t>
            </w:r>
          </w:p>
        </w:tc>
        <w:tc>
          <w:tcPr>
            <w:tcW w:w="235" w:type="pct"/>
            <w:shd w:val="clear" w:color="auto" w:fill="auto"/>
            <w:tcMar>
              <w:top w:w="0" w:type="dxa"/>
              <w:left w:w="0" w:type="dxa"/>
              <w:bottom w:w="0" w:type="dxa"/>
              <w:right w:w="0" w:type="dxa"/>
            </w:tcMar>
            <w:vAlign w:val="center"/>
          </w:tcPr>
          <w:p w14:paraId="09D60259">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584C4E05">
            <w:pPr>
              <w:pStyle w:val="17"/>
              <w:bidi w:val="0"/>
              <w:rPr>
                <w:color w:val="auto"/>
                <w:highlight w:val="none"/>
              </w:rPr>
            </w:pPr>
            <w:r>
              <w:rPr>
                <w:color w:val="auto"/>
                <w:highlight w:val="none"/>
              </w:rPr>
              <w:t>78.6</w:t>
            </w:r>
          </w:p>
        </w:tc>
        <w:tc>
          <w:tcPr>
            <w:tcW w:w="189" w:type="pct"/>
            <w:shd w:val="clear" w:color="auto" w:fill="auto"/>
            <w:tcMar>
              <w:top w:w="0" w:type="dxa"/>
              <w:left w:w="0" w:type="dxa"/>
              <w:bottom w:w="0" w:type="dxa"/>
              <w:right w:w="0" w:type="dxa"/>
            </w:tcMar>
            <w:vAlign w:val="center"/>
          </w:tcPr>
          <w:p w14:paraId="2E10A63D">
            <w:pPr>
              <w:pStyle w:val="17"/>
              <w:bidi w:val="0"/>
              <w:rPr>
                <w:color w:val="auto"/>
                <w:highlight w:val="none"/>
              </w:rPr>
            </w:pPr>
            <w:r>
              <w:rPr>
                <w:color w:val="auto"/>
                <w:highlight w:val="none"/>
              </w:rPr>
              <w:t>13.0</w:t>
            </w:r>
          </w:p>
        </w:tc>
        <w:tc>
          <w:tcPr>
            <w:tcW w:w="176" w:type="pct"/>
            <w:shd w:val="clear" w:color="auto" w:fill="auto"/>
            <w:tcMar>
              <w:top w:w="0" w:type="dxa"/>
              <w:left w:w="0" w:type="dxa"/>
              <w:bottom w:w="0" w:type="dxa"/>
              <w:right w:w="0" w:type="dxa"/>
            </w:tcMar>
            <w:vAlign w:val="center"/>
          </w:tcPr>
          <w:p w14:paraId="116B4B10">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13.0</w:t>
            </w:r>
          </w:p>
        </w:tc>
        <w:tc>
          <w:tcPr>
            <w:tcW w:w="158" w:type="pct"/>
            <w:shd w:val="clear" w:color="auto" w:fill="auto"/>
            <w:tcMar>
              <w:top w:w="0" w:type="dxa"/>
              <w:left w:w="0" w:type="dxa"/>
              <w:bottom w:w="0" w:type="dxa"/>
              <w:right w:w="0" w:type="dxa"/>
            </w:tcMar>
            <w:vAlign w:val="center"/>
          </w:tcPr>
          <w:p w14:paraId="05ABAB95">
            <w:pPr>
              <w:pStyle w:val="17"/>
              <w:bidi w:val="0"/>
              <w:rPr>
                <w:color w:val="auto"/>
                <w:highlight w:val="none"/>
              </w:rPr>
            </w:pPr>
            <w:r>
              <w:rPr>
                <w:color w:val="auto"/>
                <w:highlight w:val="none"/>
              </w:rPr>
              <w:t>45.8</w:t>
            </w:r>
          </w:p>
        </w:tc>
        <w:tc>
          <w:tcPr>
            <w:tcW w:w="167" w:type="pct"/>
            <w:shd w:val="clear" w:color="auto" w:fill="auto"/>
            <w:tcMar>
              <w:top w:w="0" w:type="dxa"/>
              <w:left w:w="0" w:type="dxa"/>
              <w:bottom w:w="0" w:type="dxa"/>
              <w:right w:w="0" w:type="dxa"/>
            </w:tcMar>
            <w:vAlign w:val="center"/>
          </w:tcPr>
          <w:p w14:paraId="69F2672F">
            <w:pPr>
              <w:pStyle w:val="17"/>
              <w:bidi w:val="0"/>
              <w:rPr>
                <w:color w:val="auto"/>
                <w:highlight w:val="none"/>
              </w:rPr>
            </w:pPr>
            <w:r>
              <w:rPr>
                <w:color w:val="auto"/>
                <w:highlight w:val="none"/>
              </w:rPr>
              <w:t>59.4</w:t>
            </w:r>
          </w:p>
        </w:tc>
        <w:tc>
          <w:tcPr>
            <w:tcW w:w="167" w:type="pct"/>
            <w:shd w:val="clear" w:color="auto" w:fill="auto"/>
            <w:tcMar>
              <w:top w:w="0" w:type="dxa"/>
              <w:left w:w="0" w:type="dxa"/>
              <w:bottom w:w="0" w:type="dxa"/>
              <w:right w:w="0" w:type="dxa"/>
            </w:tcMar>
            <w:vAlign w:val="center"/>
          </w:tcPr>
          <w:p w14:paraId="7A3AD078">
            <w:pPr>
              <w:pStyle w:val="17"/>
              <w:bidi w:val="0"/>
              <w:rPr>
                <w:color w:val="auto"/>
                <w:highlight w:val="none"/>
              </w:rPr>
            </w:pPr>
            <w:r>
              <w:rPr>
                <w:color w:val="auto"/>
                <w:highlight w:val="none"/>
              </w:rPr>
              <w:t>59.6</w:t>
            </w:r>
          </w:p>
        </w:tc>
        <w:tc>
          <w:tcPr>
            <w:tcW w:w="185" w:type="pct"/>
            <w:shd w:val="clear" w:color="auto" w:fill="auto"/>
            <w:tcMar>
              <w:top w:w="0" w:type="dxa"/>
              <w:left w:w="0" w:type="dxa"/>
              <w:bottom w:w="0" w:type="dxa"/>
              <w:right w:w="0" w:type="dxa"/>
            </w:tcMar>
            <w:vAlign w:val="center"/>
          </w:tcPr>
          <w:p w14:paraId="3D98D80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59.4</w:t>
            </w:r>
          </w:p>
        </w:tc>
        <w:tc>
          <w:tcPr>
            <w:tcW w:w="163" w:type="pct"/>
            <w:shd w:val="clear" w:color="auto" w:fill="auto"/>
            <w:tcMar>
              <w:top w:w="0" w:type="dxa"/>
              <w:left w:w="0" w:type="dxa"/>
              <w:bottom w:w="0" w:type="dxa"/>
              <w:right w:w="0" w:type="dxa"/>
            </w:tcMar>
            <w:vAlign w:val="center"/>
          </w:tcPr>
          <w:p w14:paraId="66963B67">
            <w:pPr>
              <w:pStyle w:val="17"/>
              <w:bidi w:val="0"/>
              <w:rPr>
                <w:color w:val="auto"/>
                <w:highlight w:val="none"/>
              </w:rPr>
            </w:pPr>
            <w:r>
              <w:rPr>
                <w:color w:val="auto"/>
                <w:highlight w:val="none"/>
              </w:rPr>
              <w:t>59.4</w:t>
            </w:r>
          </w:p>
        </w:tc>
        <w:tc>
          <w:tcPr>
            <w:tcW w:w="277" w:type="pct"/>
            <w:shd w:val="clear" w:color="auto" w:fill="auto"/>
            <w:tcMar>
              <w:top w:w="0" w:type="dxa"/>
              <w:left w:w="0" w:type="dxa"/>
              <w:bottom w:w="0" w:type="dxa"/>
              <w:right w:w="0" w:type="dxa"/>
            </w:tcMar>
            <w:vAlign w:val="center"/>
          </w:tcPr>
          <w:p w14:paraId="21CBF440">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4DE8138A">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3806172B">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49.4</w:t>
            </w:r>
          </w:p>
        </w:tc>
        <w:tc>
          <w:tcPr>
            <w:tcW w:w="288" w:type="pct"/>
            <w:shd w:val="clear" w:color="auto" w:fill="auto"/>
            <w:tcMar>
              <w:top w:w="0" w:type="dxa"/>
              <w:left w:w="0" w:type="dxa"/>
              <w:bottom w:w="0" w:type="dxa"/>
              <w:right w:w="0" w:type="dxa"/>
            </w:tcMar>
            <w:vAlign w:val="center"/>
          </w:tcPr>
          <w:p w14:paraId="67926100">
            <w:pPr>
              <w:pStyle w:val="17"/>
              <w:bidi w:val="0"/>
              <w:ind w:firstLine="0" w:firstLineChars="0"/>
              <w:rPr>
                <w:color w:val="auto"/>
                <w:highlight w:val="none"/>
              </w:rPr>
            </w:pPr>
            <w:r>
              <w:rPr>
                <w:rFonts w:hint="eastAsia"/>
                <w:color w:val="auto"/>
                <w:highlight w:val="none"/>
                <w:lang w:val="en-US" w:eastAsia="zh-CN"/>
              </w:rPr>
              <w:t>1</w:t>
            </w:r>
          </w:p>
        </w:tc>
      </w:tr>
      <w:tr w14:paraId="1FC9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1CA7F6D">
            <w:pPr>
              <w:pStyle w:val="17"/>
              <w:bidi w:val="0"/>
              <w:rPr>
                <w:color w:val="auto"/>
                <w:highlight w:val="none"/>
              </w:rPr>
            </w:pPr>
            <w:r>
              <w:rPr>
                <w:color w:val="auto"/>
                <w:highlight w:val="none"/>
              </w:rPr>
              <w:t>32</w:t>
            </w:r>
          </w:p>
        </w:tc>
        <w:tc>
          <w:tcPr>
            <w:tcW w:w="234" w:type="pct"/>
            <w:shd w:val="clear" w:color="auto" w:fill="auto"/>
            <w:tcMar>
              <w:top w:w="0" w:type="dxa"/>
              <w:left w:w="0" w:type="dxa"/>
              <w:bottom w:w="0" w:type="dxa"/>
              <w:right w:w="0" w:type="dxa"/>
            </w:tcMar>
            <w:vAlign w:val="center"/>
          </w:tcPr>
          <w:p w14:paraId="0636A109">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2B7EFA09">
            <w:pPr>
              <w:pStyle w:val="17"/>
              <w:bidi w:val="0"/>
              <w:rPr>
                <w:color w:val="auto"/>
                <w:highlight w:val="none"/>
              </w:rPr>
            </w:pPr>
            <w:r>
              <w:rPr>
                <w:color w:val="auto"/>
                <w:highlight w:val="none"/>
              </w:rPr>
              <w:t>空压机,2台（按点声源组预测）</w:t>
            </w:r>
          </w:p>
        </w:tc>
        <w:tc>
          <w:tcPr>
            <w:tcW w:w="344" w:type="pct"/>
            <w:shd w:val="clear" w:color="auto" w:fill="auto"/>
            <w:tcMar>
              <w:top w:w="0" w:type="dxa"/>
              <w:left w:w="0" w:type="dxa"/>
              <w:bottom w:w="0" w:type="dxa"/>
              <w:right w:w="0" w:type="dxa"/>
            </w:tcMar>
            <w:vAlign w:val="center"/>
          </w:tcPr>
          <w:p w14:paraId="5BE94481">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5EDEA138">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1363746A">
            <w:pPr>
              <w:pStyle w:val="17"/>
              <w:bidi w:val="0"/>
              <w:rPr>
                <w:color w:val="auto"/>
                <w:highlight w:val="none"/>
              </w:rPr>
            </w:pPr>
            <w:r>
              <w:rPr>
                <w:color w:val="auto"/>
                <w:highlight w:val="none"/>
              </w:rPr>
              <w:t>11.5</w:t>
            </w:r>
          </w:p>
        </w:tc>
        <w:tc>
          <w:tcPr>
            <w:tcW w:w="260" w:type="pct"/>
            <w:shd w:val="clear" w:color="auto" w:fill="auto"/>
            <w:tcMar>
              <w:top w:w="0" w:type="dxa"/>
              <w:left w:w="0" w:type="dxa"/>
              <w:bottom w:w="0" w:type="dxa"/>
              <w:right w:w="0" w:type="dxa"/>
            </w:tcMar>
            <w:vAlign w:val="center"/>
          </w:tcPr>
          <w:p w14:paraId="7ADCC4DB">
            <w:pPr>
              <w:pStyle w:val="17"/>
              <w:bidi w:val="0"/>
              <w:rPr>
                <w:color w:val="auto"/>
                <w:highlight w:val="none"/>
              </w:rPr>
            </w:pPr>
            <w:r>
              <w:rPr>
                <w:color w:val="auto"/>
                <w:highlight w:val="none"/>
              </w:rPr>
              <w:t>-890.5</w:t>
            </w:r>
          </w:p>
        </w:tc>
        <w:tc>
          <w:tcPr>
            <w:tcW w:w="235" w:type="pct"/>
            <w:shd w:val="clear" w:color="auto" w:fill="auto"/>
            <w:tcMar>
              <w:top w:w="0" w:type="dxa"/>
              <w:left w:w="0" w:type="dxa"/>
              <w:bottom w:w="0" w:type="dxa"/>
              <w:right w:w="0" w:type="dxa"/>
            </w:tcMar>
            <w:vAlign w:val="center"/>
          </w:tcPr>
          <w:p w14:paraId="5EE63F3B">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25B7BB5B">
            <w:pPr>
              <w:pStyle w:val="17"/>
              <w:bidi w:val="0"/>
              <w:rPr>
                <w:color w:val="auto"/>
                <w:highlight w:val="none"/>
              </w:rPr>
            </w:pPr>
            <w:r>
              <w:rPr>
                <w:color w:val="auto"/>
                <w:highlight w:val="none"/>
              </w:rPr>
              <w:t>29.9</w:t>
            </w:r>
          </w:p>
        </w:tc>
        <w:tc>
          <w:tcPr>
            <w:tcW w:w="189" w:type="pct"/>
            <w:shd w:val="clear" w:color="auto" w:fill="auto"/>
            <w:tcMar>
              <w:top w:w="0" w:type="dxa"/>
              <w:left w:w="0" w:type="dxa"/>
              <w:bottom w:w="0" w:type="dxa"/>
              <w:right w:w="0" w:type="dxa"/>
            </w:tcMar>
            <w:vAlign w:val="center"/>
          </w:tcPr>
          <w:p w14:paraId="12338294">
            <w:pPr>
              <w:pStyle w:val="17"/>
              <w:bidi w:val="0"/>
              <w:rPr>
                <w:color w:val="auto"/>
                <w:highlight w:val="none"/>
              </w:rPr>
            </w:pPr>
            <w:r>
              <w:rPr>
                <w:color w:val="auto"/>
                <w:highlight w:val="none"/>
              </w:rPr>
              <w:t>61.7</w:t>
            </w:r>
          </w:p>
        </w:tc>
        <w:tc>
          <w:tcPr>
            <w:tcW w:w="176" w:type="pct"/>
            <w:shd w:val="clear" w:color="auto" w:fill="auto"/>
            <w:tcMar>
              <w:top w:w="0" w:type="dxa"/>
              <w:left w:w="0" w:type="dxa"/>
              <w:bottom w:w="0" w:type="dxa"/>
              <w:right w:w="0" w:type="dxa"/>
            </w:tcMar>
            <w:vAlign w:val="center"/>
          </w:tcPr>
          <w:p w14:paraId="67D361C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61.7</w:t>
            </w:r>
          </w:p>
        </w:tc>
        <w:tc>
          <w:tcPr>
            <w:tcW w:w="158" w:type="pct"/>
            <w:shd w:val="clear" w:color="auto" w:fill="auto"/>
            <w:tcMar>
              <w:top w:w="0" w:type="dxa"/>
              <w:left w:w="0" w:type="dxa"/>
              <w:bottom w:w="0" w:type="dxa"/>
              <w:right w:w="0" w:type="dxa"/>
            </w:tcMar>
            <w:vAlign w:val="center"/>
          </w:tcPr>
          <w:p w14:paraId="073C60EF">
            <w:pPr>
              <w:pStyle w:val="17"/>
              <w:bidi w:val="0"/>
              <w:rPr>
                <w:color w:val="auto"/>
                <w:highlight w:val="none"/>
              </w:rPr>
            </w:pPr>
            <w:r>
              <w:rPr>
                <w:color w:val="auto"/>
                <w:highlight w:val="none"/>
              </w:rPr>
              <w:t>5.6</w:t>
            </w:r>
          </w:p>
        </w:tc>
        <w:tc>
          <w:tcPr>
            <w:tcW w:w="167" w:type="pct"/>
            <w:shd w:val="clear" w:color="auto" w:fill="auto"/>
            <w:tcMar>
              <w:top w:w="0" w:type="dxa"/>
              <w:left w:w="0" w:type="dxa"/>
              <w:bottom w:w="0" w:type="dxa"/>
              <w:right w:w="0" w:type="dxa"/>
            </w:tcMar>
            <w:vAlign w:val="center"/>
          </w:tcPr>
          <w:p w14:paraId="159D50D0">
            <w:pPr>
              <w:pStyle w:val="17"/>
              <w:bidi w:val="0"/>
              <w:rPr>
                <w:color w:val="auto"/>
                <w:highlight w:val="none"/>
              </w:rPr>
            </w:pPr>
            <w:r>
              <w:rPr>
                <w:color w:val="auto"/>
                <w:highlight w:val="none"/>
              </w:rPr>
              <w:t>59.4</w:t>
            </w:r>
          </w:p>
        </w:tc>
        <w:tc>
          <w:tcPr>
            <w:tcW w:w="167" w:type="pct"/>
            <w:shd w:val="clear" w:color="auto" w:fill="auto"/>
            <w:tcMar>
              <w:top w:w="0" w:type="dxa"/>
              <w:left w:w="0" w:type="dxa"/>
              <w:bottom w:w="0" w:type="dxa"/>
              <w:right w:w="0" w:type="dxa"/>
            </w:tcMar>
            <w:vAlign w:val="center"/>
          </w:tcPr>
          <w:p w14:paraId="4E5E94F5">
            <w:pPr>
              <w:pStyle w:val="17"/>
              <w:bidi w:val="0"/>
              <w:rPr>
                <w:color w:val="auto"/>
                <w:highlight w:val="none"/>
              </w:rPr>
            </w:pPr>
            <w:r>
              <w:rPr>
                <w:color w:val="auto"/>
                <w:highlight w:val="none"/>
              </w:rPr>
              <w:t>59.4</w:t>
            </w:r>
          </w:p>
        </w:tc>
        <w:tc>
          <w:tcPr>
            <w:tcW w:w="185" w:type="pct"/>
            <w:shd w:val="clear" w:color="auto" w:fill="auto"/>
            <w:tcMar>
              <w:top w:w="0" w:type="dxa"/>
              <w:left w:w="0" w:type="dxa"/>
              <w:bottom w:w="0" w:type="dxa"/>
              <w:right w:w="0" w:type="dxa"/>
            </w:tcMar>
            <w:vAlign w:val="center"/>
          </w:tcPr>
          <w:p w14:paraId="3707B50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60.1</w:t>
            </w:r>
          </w:p>
        </w:tc>
        <w:tc>
          <w:tcPr>
            <w:tcW w:w="163" w:type="pct"/>
            <w:shd w:val="clear" w:color="auto" w:fill="auto"/>
            <w:tcMar>
              <w:top w:w="0" w:type="dxa"/>
              <w:left w:w="0" w:type="dxa"/>
              <w:bottom w:w="0" w:type="dxa"/>
              <w:right w:w="0" w:type="dxa"/>
            </w:tcMar>
            <w:vAlign w:val="center"/>
          </w:tcPr>
          <w:p w14:paraId="48D86FA6">
            <w:pPr>
              <w:pStyle w:val="17"/>
              <w:bidi w:val="0"/>
              <w:rPr>
                <w:color w:val="auto"/>
                <w:highlight w:val="none"/>
              </w:rPr>
            </w:pPr>
            <w:r>
              <w:rPr>
                <w:color w:val="auto"/>
                <w:highlight w:val="none"/>
              </w:rPr>
              <w:t>60.1</w:t>
            </w:r>
          </w:p>
        </w:tc>
        <w:tc>
          <w:tcPr>
            <w:tcW w:w="277" w:type="pct"/>
            <w:shd w:val="clear" w:color="auto" w:fill="auto"/>
            <w:tcMar>
              <w:top w:w="0" w:type="dxa"/>
              <w:left w:w="0" w:type="dxa"/>
              <w:bottom w:w="0" w:type="dxa"/>
              <w:right w:w="0" w:type="dxa"/>
            </w:tcMar>
            <w:vAlign w:val="center"/>
          </w:tcPr>
          <w:p w14:paraId="0E5BE83F">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50535A54">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00FFFE4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49.4</w:t>
            </w:r>
          </w:p>
        </w:tc>
        <w:tc>
          <w:tcPr>
            <w:tcW w:w="288" w:type="pct"/>
            <w:shd w:val="clear" w:color="auto" w:fill="auto"/>
            <w:tcMar>
              <w:top w:w="0" w:type="dxa"/>
              <w:left w:w="0" w:type="dxa"/>
              <w:bottom w:w="0" w:type="dxa"/>
              <w:right w:w="0" w:type="dxa"/>
            </w:tcMar>
            <w:vAlign w:val="center"/>
          </w:tcPr>
          <w:p w14:paraId="4DBE82A0">
            <w:pPr>
              <w:pStyle w:val="17"/>
              <w:bidi w:val="0"/>
              <w:ind w:firstLine="0" w:firstLineChars="0"/>
              <w:rPr>
                <w:color w:val="auto"/>
                <w:highlight w:val="none"/>
              </w:rPr>
            </w:pPr>
            <w:r>
              <w:rPr>
                <w:rFonts w:hint="eastAsia"/>
                <w:color w:val="auto"/>
                <w:highlight w:val="none"/>
                <w:lang w:val="en-US" w:eastAsia="zh-CN"/>
              </w:rPr>
              <w:t>1</w:t>
            </w:r>
          </w:p>
        </w:tc>
      </w:tr>
      <w:tr w14:paraId="3311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F9C6214">
            <w:pPr>
              <w:pStyle w:val="17"/>
              <w:bidi w:val="0"/>
              <w:rPr>
                <w:color w:val="auto"/>
                <w:highlight w:val="none"/>
              </w:rPr>
            </w:pPr>
            <w:r>
              <w:rPr>
                <w:color w:val="auto"/>
                <w:highlight w:val="none"/>
              </w:rPr>
              <w:t>33</w:t>
            </w:r>
          </w:p>
        </w:tc>
        <w:tc>
          <w:tcPr>
            <w:tcW w:w="234" w:type="pct"/>
            <w:shd w:val="clear" w:color="auto" w:fill="auto"/>
            <w:tcMar>
              <w:top w:w="0" w:type="dxa"/>
              <w:left w:w="0" w:type="dxa"/>
              <w:bottom w:w="0" w:type="dxa"/>
              <w:right w:w="0" w:type="dxa"/>
            </w:tcMar>
            <w:vAlign w:val="center"/>
          </w:tcPr>
          <w:p w14:paraId="02485ED0">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1E865AE3">
            <w:pPr>
              <w:pStyle w:val="17"/>
              <w:bidi w:val="0"/>
              <w:rPr>
                <w:color w:val="auto"/>
                <w:highlight w:val="none"/>
              </w:rPr>
            </w:pPr>
            <w:r>
              <w:rPr>
                <w:color w:val="auto"/>
                <w:highlight w:val="none"/>
              </w:rPr>
              <w:t>药剂搅拌槽,16台（按点声源组预测）</w:t>
            </w:r>
          </w:p>
        </w:tc>
        <w:tc>
          <w:tcPr>
            <w:tcW w:w="344" w:type="pct"/>
            <w:shd w:val="clear" w:color="auto" w:fill="auto"/>
            <w:tcMar>
              <w:top w:w="0" w:type="dxa"/>
              <w:left w:w="0" w:type="dxa"/>
              <w:bottom w:w="0" w:type="dxa"/>
              <w:right w:w="0" w:type="dxa"/>
            </w:tcMar>
            <w:vAlign w:val="center"/>
          </w:tcPr>
          <w:p w14:paraId="03C396B5">
            <w:pPr>
              <w:pStyle w:val="17"/>
              <w:bidi w:val="0"/>
              <w:rPr>
                <w:rFonts w:hint="eastAsia" w:eastAsia="宋体"/>
                <w:color w:val="auto"/>
                <w:highlight w:val="none"/>
                <w:lang w:eastAsia="zh-CN"/>
              </w:rPr>
            </w:pPr>
            <w:r>
              <w:rPr>
                <w:color w:val="auto"/>
                <w:highlight w:val="none"/>
              </w:rPr>
              <w:t>60（等效后：72.0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24FE170A">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3B68B1E7">
            <w:pPr>
              <w:pStyle w:val="17"/>
              <w:bidi w:val="0"/>
              <w:rPr>
                <w:color w:val="auto"/>
                <w:highlight w:val="none"/>
              </w:rPr>
            </w:pPr>
            <w:r>
              <w:rPr>
                <w:color w:val="auto"/>
                <w:highlight w:val="none"/>
              </w:rPr>
              <w:t>-28.7</w:t>
            </w:r>
          </w:p>
        </w:tc>
        <w:tc>
          <w:tcPr>
            <w:tcW w:w="260" w:type="pct"/>
            <w:shd w:val="clear" w:color="auto" w:fill="auto"/>
            <w:tcMar>
              <w:top w:w="0" w:type="dxa"/>
              <w:left w:w="0" w:type="dxa"/>
              <w:bottom w:w="0" w:type="dxa"/>
              <w:right w:w="0" w:type="dxa"/>
            </w:tcMar>
            <w:vAlign w:val="center"/>
          </w:tcPr>
          <w:p w14:paraId="7825A152">
            <w:pPr>
              <w:pStyle w:val="17"/>
              <w:bidi w:val="0"/>
              <w:rPr>
                <w:color w:val="auto"/>
                <w:highlight w:val="none"/>
              </w:rPr>
            </w:pPr>
            <w:r>
              <w:rPr>
                <w:color w:val="auto"/>
                <w:highlight w:val="none"/>
              </w:rPr>
              <w:t>-950.3</w:t>
            </w:r>
          </w:p>
        </w:tc>
        <w:tc>
          <w:tcPr>
            <w:tcW w:w="235" w:type="pct"/>
            <w:shd w:val="clear" w:color="auto" w:fill="auto"/>
            <w:tcMar>
              <w:top w:w="0" w:type="dxa"/>
              <w:left w:w="0" w:type="dxa"/>
              <w:bottom w:w="0" w:type="dxa"/>
              <w:right w:w="0" w:type="dxa"/>
            </w:tcMar>
            <w:vAlign w:val="center"/>
          </w:tcPr>
          <w:p w14:paraId="1ACB1BF4">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1B6766B6">
            <w:pPr>
              <w:pStyle w:val="17"/>
              <w:bidi w:val="0"/>
              <w:rPr>
                <w:color w:val="auto"/>
                <w:highlight w:val="none"/>
              </w:rPr>
            </w:pPr>
            <w:r>
              <w:rPr>
                <w:color w:val="auto"/>
                <w:highlight w:val="none"/>
              </w:rPr>
              <w:t>70.1</w:t>
            </w:r>
          </w:p>
        </w:tc>
        <w:tc>
          <w:tcPr>
            <w:tcW w:w="189" w:type="pct"/>
            <w:shd w:val="clear" w:color="auto" w:fill="auto"/>
            <w:tcMar>
              <w:top w:w="0" w:type="dxa"/>
              <w:left w:w="0" w:type="dxa"/>
              <w:bottom w:w="0" w:type="dxa"/>
              <w:right w:w="0" w:type="dxa"/>
            </w:tcMar>
            <w:vAlign w:val="center"/>
          </w:tcPr>
          <w:p w14:paraId="220B6E26">
            <w:pPr>
              <w:pStyle w:val="17"/>
              <w:bidi w:val="0"/>
              <w:rPr>
                <w:color w:val="auto"/>
                <w:highlight w:val="none"/>
              </w:rPr>
            </w:pPr>
            <w:r>
              <w:rPr>
                <w:color w:val="auto"/>
                <w:highlight w:val="none"/>
              </w:rPr>
              <w:t>21.5</w:t>
            </w:r>
          </w:p>
        </w:tc>
        <w:tc>
          <w:tcPr>
            <w:tcW w:w="176" w:type="pct"/>
            <w:shd w:val="clear" w:color="auto" w:fill="auto"/>
            <w:tcMar>
              <w:top w:w="0" w:type="dxa"/>
              <w:left w:w="0" w:type="dxa"/>
              <w:bottom w:w="0" w:type="dxa"/>
              <w:right w:w="0" w:type="dxa"/>
            </w:tcMar>
            <w:vAlign w:val="center"/>
          </w:tcPr>
          <w:p w14:paraId="4A69A84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21.5</w:t>
            </w:r>
          </w:p>
        </w:tc>
        <w:tc>
          <w:tcPr>
            <w:tcW w:w="158" w:type="pct"/>
            <w:shd w:val="clear" w:color="auto" w:fill="auto"/>
            <w:tcMar>
              <w:top w:w="0" w:type="dxa"/>
              <w:left w:w="0" w:type="dxa"/>
              <w:bottom w:w="0" w:type="dxa"/>
              <w:right w:w="0" w:type="dxa"/>
            </w:tcMar>
            <w:vAlign w:val="center"/>
          </w:tcPr>
          <w:p w14:paraId="2EDF4E8D">
            <w:pPr>
              <w:pStyle w:val="17"/>
              <w:bidi w:val="0"/>
              <w:rPr>
                <w:color w:val="auto"/>
                <w:highlight w:val="none"/>
              </w:rPr>
            </w:pPr>
            <w:r>
              <w:rPr>
                <w:color w:val="auto"/>
                <w:highlight w:val="none"/>
              </w:rPr>
              <w:t>65.4</w:t>
            </w:r>
          </w:p>
        </w:tc>
        <w:tc>
          <w:tcPr>
            <w:tcW w:w="167" w:type="pct"/>
            <w:shd w:val="clear" w:color="auto" w:fill="auto"/>
            <w:tcMar>
              <w:top w:w="0" w:type="dxa"/>
              <w:left w:w="0" w:type="dxa"/>
              <w:bottom w:w="0" w:type="dxa"/>
              <w:right w:w="0" w:type="dxa"/>
            </w:tcMar>
            <w:vAlign w:val="center"/>
          </w:tcPr>
          <w:p w14:paraId="74776E75">
            <w:pPr>
              <w:pStyle w:val="17"/>
              <w:bidi w:val="0"/>
              <w:rPr>
                <w:color w:val="auto"/>
                <w:highlight w:val="none"/>
              </w:rPr>
            </w:pPr>
            <w:r>
              <w:rPr>
                <w:color w:val="auto"/>
                <w:highlight w:val="none"/>
              </w:rPr>
              <w:t>53.4</w:t>
            </w:r>
          </w:p>
        </w:tc>
        <w:tc>
          <w:tcPr>
            <w:tcW w:w="167" w:type="pct"/>
            <w:shd w:val="clear" w:color="auto" w:fill="auto"/>
            <w:tcMar>
              <w:top w:w="0" w:type="dxa"/>
              <w:left w:w="0" w:type="dxa"/>
              <w:bottom w:w="0" w:type="dxa"/>
              <w:right w:w="0" w:type="dxa"/>
            </w:tcMar>
            <w:vAlign w:val="center"/>
          </w:tcPr>
          <w:p w14:paraId="6701D1D1">
            <w:pPr>
              <w:pStyle w:val="17"/>
              <w:bidi w:val="0"/>
              <w:rPr>
                <w:color w:val="auto"/>
                <w:highlight w:val="none"/>
              </w:rPr>
            </w:pPr>
            <w:r>
              <w:rPr>
                <w:color w:val="auto"/>
                <w:highlight w:val="none"/>
              </w:rPr>
              <w:t>53.5</w:t>
            </w:r>
          </w:p>
        </w:tc>
        <w:tc>
          <w:tcPr>
            <w:tcW w:w="185" w:type="pct"/>
            <w:shd w:val="clear" w:color="auto" w:fill="auto"/>
            <w:tcMar>
              <w:top w:w="0" w:type="dxa"/>
              <w:left w:w="0" w:type="dxa"/>
              <w:bottom w:w="0" w:type="dxa"/>
              <w:right w:w="0" w:type="dxa"/>
            </w:tcMar>
            <w:vAlign w:val="center"/>
          </w:tcPr>
          <w:p w14:paraId="3CAFD27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53.4</w:t>
            </w:r>
          </w:p>
        </w:tc>
        <w:tc>
          <w:tcPr>
            <w:tcW w:w="163" w:type="pct"/>
            <w:shd w:val="clear" w:color="auto" w:fill="auto"/>
            <w:tcMar>
              <w:top w:w="0" w:type="dxa"/>
              <w:left w:w="0" w:type="dxa"/>
              <w:bottom w:w="0" w:type="dxa"/>
              <w:right w:w="0" w:type="dxa"/>
            </w:tcMar>
            <w:vAlign w:val="center"/>
          </w:tcPr>
          <w:p w14:paraId="44E33579">
            <w:pPr>
              <w:pStyle w:val="17"/>
              <w:bidi w:val="0"/>
              <w:rPr>
                <w:color w:val="auto"/>
                <w:highlight w:val="none"/>
              </w:rPr>
            </w:pPr>
            <w:r>
              <w:rPr>
                <w:color w:val="auto"/>
                <w:highlight w:val="none"/>
              </w:rPr>
              <w:t>53.4</w:t>
            </w:r>
          </w:p>
        </w:tc>
        <w:tc>
          <w:tcPr>
            <w:tcW w:w="277" w:type="pct"/>
            <w:shd w:val="clear" w:color="auto" w:fill="auto"/>
            <w:tcMar>
              <w:top w:w="0" w:type="dxa"/>
              <w:left w:w="0" w:type="dxa"/>
              <w:bottom w:w="0" w:type="dxa"/>
              <w:right w:w="0" w:type="dxa"/>
            </w:tcMar>
            <w:vAlign w:val="center"/>
          </w:tcPr>
          <w:p w14:paraId="3CDC2CEB">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7D195D05">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5838DEE1">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43.4</w:t>
            </w:r>
          </w:p>
        </w:tc>
        <w:tc>
          <w:tcPr>
            <w:tcW w:w="288" w:type="pct"/>
            <w:shd w:val="clear" w:color="auto" w:fill="auto"/>
            <w:tcMar>
              <w:top w:w="0" w:type="dxa"/>
              <w:left w:w="0" w:type="dxa"/>
              <w:bottom w:w="0" w:type="dxa"/>
              <w:right w:w="0" w:type="dxa"/>
            </w:tcMar>
            <w:vAlign w:val="center"/>
          </w:tcPr>
          <w:p w14:paraId="4A91ECA7">
            <w:pPr>
              <w:pStyle w:val="17"/>
              <w:bidi w:val="0"/>
              <w:ind w:firstLine="0" w:firstLineChars="0"/>
              <w:rPr>
                <w:color w:val="auto"/>
                <w:highlight w:val="none"/>
              </w:rPr>
            </w:pPr>
            <w:r>
              <w:rPr>
                <w:rFonts w:hint="eastAsia"/>
                <w:color w:val="auto"/>
                <w:highlight w:val="none"/>
                <w:lang w:val="en-US" w:eastAsia="zh-CN"/>
              </w:rPr>
              <w:t>1</w:t>
            </w:r>
          </w:p>
        </w:tc>
      </w:tr>
      <w:tr w14:paraId="688A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C8AB43A">
            <w:pPr>
              <w:pStyle w:val="17"/>
              <w:bidi w:val="0"/>
              <w:rPr>
                <w:color w:val="auto"/>
                <w:highlight w:val="none"/>
              </w:rPr>
            </w:pPr>
            <w:r>
              <w:rPr>
                <w:color w:val="auto"/>
                <w:highlight w:val="none"/>
              </w:rPr>
              <w:t>34</w:t>
            </w:r>
          </w:p>
        </w:tc>
        <w:tc>
          <w:tcPr>
            <w:tcW w:w="234" w:type="pct"/>
            <w:shd w:val="clear" w:color="auto" w:fill="auto"/>
            <w:tcMar>
              <w:top w:w="0" w:type="dxa"/>
              <w:left w:w="0" w:type="dxa"/>
              <w:bottom w:w="0" w:type="dxa"/>
              <w:right w:w="0" w:type="dxa"/>
            </w:tcMar>
            <w:vAlign w:val="center"/>
          </w:tcPr>
          <w:p w14:paraId="6DA7E9AF">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5553F5C5">
            <w:pPr>
              <w:pStyle w:val="17"/>
              <w:bidi w:val="0"/>
              <w:rPr>
                <w:color w:val="auto"/>
                <w:highlight w:val="none"/>
              </w:rPr>
            </w:pPr>
            <w:r>
              <w:rPr>
                <w:color w:val="auto"/>
                <w:highlight w:val="none"/>
              </w:rPr>
              <w:t>磁力泵,12台（按点声源组预测）</w:t>
            </w:r>
          </w:p>
        </w:tc>
        <w:tc>
          <w:tcPr>
            <w:tcW w:w="344" w:type="pct"/>
            <w:shd w:val="clear" w:color="auto" w:fill="auto"/>
            <w:tcMar>
              <w:top w:w="0" w:type="dxa"/>
              <w:left w:w="0" w:type="dxa"/>
              <w:bottom w:w="0" w:type="dxa"/>
              <w:right w:w="0" w:type="dxa"/>
            </w:tcMar>
            <w:vAlign w:val="center"/>
          </w:tcPr>
          <w:p w14:paraId="00667FA6">
            <w:pPr>
              <w:pStyle w:val="17"/>
              <w:bidi w:val="0"/>
              <w:rPr>
                <w:rFonts w:hint="eastAsia" w:eastAsia="宋体"/>
                <w:color w:val="auto"/>
                <w:highlight w:val="none"/>
                <w:lang w:eastAsia="zh-CN"/>
              </w:rPr>
            </w:pPr>
            <w:r>
              <w:rPr>
                <w:color w:val="auto"/>
                <w:highlight w:val="none"/>
              </w:rPr>
              <w:t>75（等效后：85.8</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2479CB6A">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61CA0FB5">
            <w:pPr>
              <w:pStyle w:val="17"/>
              <w:bidi w:val="0"/>
              <w:rPr>
                <w:color w:val="auto"/>
                <w:highlight w:val="none"/>
              </w:rPr>
            </w:pPr>
            <w:r>
              <w:rPr>
                <w:color w:val="auto"/>
                <w:highlight w:val="none"/>
              </w:rPr>
              <w:t>13.3</w:t>
            </w:r>
          </w:p>
        </w:tc>
        <w:tc>
          <w:tcPr>
            <w:tcW w:w="260" w:type="pct"/>
            <w:shd w:val="clear" w:color="auto" w:fill="auto"/>
            <w:tcMar>
              <w:top w:w="0" w:type="dxa"/>
              <w:left w:w="0" w:type="dxa"/>
              <w:bottom w:w="0" w:type="dxa"/>
              <w:right w:w="0" w:type="dxa"/>
            </w:tcMar>
            <w:vAlign w:val="center"/>
          </w:tcPr>
          <w:p w14:paraId="60465281">
            <w:pPr>
              <w:pStyle w:val="17"/>
              <w:bidi w:val="0"/>
              <w:rPr>
                <w:color w:val="auto"/>
                <w:highlight w:val="none"/>
              </w:rPr>
            </w:pPr>
            <w:r>
              <w:rPr>
                <w:color w:val="auto"/>
                <w:highlight w:val="none"/>
              </w:rPr>
              <w:t>-927.9</w:t>
            </w:r>
          </w:p>
        </w:tc>
        <w:tc>
          <w:tcPr>
            <w:tcW w:w="235" w:type="pct"/>
            <w:shd w:val="clear" w:color="auto" w:fill="auto"/>
            <w:tcMar>
              <w:top w:w="0" w:type="dxa"/>
              <w:left w:w="0" w:type="dxa"/>
              <w:bottom w:w="0" w:type="dxa"/>
              <w:right w:w="0" w:type="dxa"/>
            </w:tcMar>
            <w:vAlign w:val="center"/>
          </w:tcPr>
          <w:p w14:paraId="25C7F401">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4D3F4914">
            <w:pPr>
              <w:pStyle w:val="17"/>
              <w:bidi w:val="0"/>
              <w:rPr>
                <w:color w:val="auto"/>
                <w:highlight w:val="none"/>
              </w:rPr>
            </w:pPr>
            <w:r>
              <w:rPr>
                <w:color w:val="auto"/>
                <w:highlight w:val="none"/>
              </w:rPr>
              <w:t>28.1</w:t>
            </w:r>
          </w:p>
        </w:tc>
        <w:tc>
          <w:tcPr>
            <w:tcW w:w="189" w:type="pct"/>
            <w:shd w:val="clear" w:color="auto" w:fill="auto"/>
            <w:tcMar>
              <w:top w:w="0" w:type="dxa"/>
              <w:left w:w="0" w:type="dxa"/>
              <w:bottom w:w="0" w:type="dxa"/>
              <w:right w:w="0" w:type="dxa"/>
            </w:tcMar>
            <w:vAlign w:val="center"/>
          </w:tcPr>
          <w:p w14:paraId="1339156B">
            <w:pPr>
              <w:pStyle w:val="17"/>
              <w:bidi w:val="0"/>
              <w:rPr>
                <w:color w:val="auto"/>
                <w:highlight w:val="none"/>
              </w:rPr>
            </w:pPr>
            <w:r>
              <w:rPr>
                <w:color w:val="auto"/>
                <w:highlight w:val="none"/>
              </w:rPr>
              <w:t>54.2</w:t>
            </w:r>
          </w:p>
        </w:tc>
        <w:tc>
          <w:tcPr>
            <w:tcW w:w="176" w:type="pct"/>
            <w:shd w:val="clear" w:color="auto" w:fill="auto"/>
            <w:tcMar>
              <w:top w:w="0" w:type="dxa"/>
              <w:left w:w="0" w:type="dxa"/>
              <w:bottom w:w="0" w:type="dxa"/>
              <w:right w:w="0" w:type="dxa"/>
            </w:tcMar>
            <w:vAlign w:val="center"/>
          </w:tcPr>
          <w:p w14:paraId="0DFE522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54.2</w:t>
            </w:r>
          </w:p>
        </w:tc>
        <w:tc>
          <w:tcPr>
            <w:tcW w:w="158" w:type="pct"/>
            <w:shd w:val="clear" w:color="auto" w:fill="auto"/>
            <w:tcMar>
              <w:top w:w="0" w:type="dxa"/>
              <w:left w:w="0" w:type="dxa"/>
              <w:bottom w:w="0" w:type="dxa"/>
              <w:right w:w="0" w:type="dxa"/>
            </w:tcMar>
            <w:vAlign w:val="center"/>
          </w:tcPr>
          <w:p w14:paraId="7AD37B8A">
            <w:pPr>
              <w:pStyle w:val="17"/>
              <w:bidi w:val="0"/>
              <w:rPr>
                <w:color w:val="auto"/>
                <w:highlight w:val="none"/>
              </w:rPr>
            </w:pPr>
            <w:r>
              <w:rPr>
                <w:color w:val="auto"/>
                <w:highlight w:val="none"/>
              </w:rPr>
              <w:t>43.0</w:t>
            </w:r>
          </w:p>
        </w:tc>
        <w:tc>
          <w:tcPr>
            <w:tcW w:w="167" w:type="pct"/>
            <w:shd w:val="clear" w:color="auto" w:fill="auto"/>
            <w:tcMar>
              <w:top w:w="0" w:type="dxa"/>
              <w:left w:w="0" w:type="dxa"/>
              <w:bottom w:w="0" w:type="dxa"/>
              <w:right w:w="0" w:type="dxa"/>
            </w:tcMar>
            <w:vAlign w:val="center"/>
          </w:tcPr>
          <w:p w14:paraId="0FAB1FE0">
            <w:pPr>
              <w:pStyle w:val="17"/>
              <w:bidi w:val="0"/>
              <w:rPr>
                <w:color w:val="auto"/>
                <w:highlight w:val="none"/>
              </w:rPr>
            </w:pPr>
            <w:r>
              <w:rPr>
                <w:color w:val="auto"/>
                <w:highlight w:val="none"/>
              </w:rPr>
              <w:t>67.2</w:t>
            </w:r>
          </w:p>
        </w:tc>
        <w:tc>
          <w:tcPr>
            <w:tcW w:w="167" w:type="pct"/>
            <w:shd w:val="clear" w:color="auto" w:fill="auto"/>
            <w:tcMar>
              <w:top w:w="0" w:type="dxa"/>
              <w:left w:w="0" w:type="dxa"/>
              <w:bottom w:w="0" w:type="dxa"/>
              <w:right w:w="0" w:type="dxa"/>
            </w:tcMar>
            <w:vAlign w:val="center"/>
          </w:tcPr>
          <w:p w14:paraId="01861A2A">
            <w:pPr>
              <w:pStyle w:val="17"/>
              <w:bidi w:val="0"/>
              <w:rPr>
                <w:color w:val="auto"/>
                <w:highlight w:val="none"/>
              </w:rPr>
            </w:pPr>
            <w:r>
              <w:rPr>
                <w:color w:val="auto"/>
                <w:highlight w:val="none"/>
              </w:rPr>
              <w:t>67.2</w:t>
            </w:r>
          </w:p>
        </w:tc>
        <w:tc>
          <w:tcPr>
            <w:tcW w:w="185" w:type="pct"/>
            <w:shd w:val="clear" w:color="auto" w:fill="auto"/>
            <w:tcMar>
              <w:top w:w="0" w:type="dxa"/>
              <w:left w:w="0" w:type="dxa"/>
              <w:bottom w:w="0" w:type="dxa"/>
              <w:right w:w="0" w:type="dxa"/>
            </w:tcMar>
            <w:vAlign w:val="center"/>
          </w:tcPr>
          <w:p w14:paraId="40FF3D5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67.2</w:t>
            </w:r>
          </w:p>
        </w:tc>
        <w:tc>
          <w:tcPr>
            <w:tcW w:w="163" w:type="pct"/>
            <w:shd w:val="clear" w:color="auto" w:fill="auto"/>
            <w:tcMar>
              <w:top w:w="0" w:type="dxa"/>
              <w:left w:w="0" w:type="dxa"/>
              <w:bottom w:w="0" w:type="dxa"/>
              <w:right w:w="0" w:type="dxa"/>
            </w:tcMar>
            <w:vAlign w:val="center"/>
          </w:tcPr>
          <w:p w14:paraId="47096544">
            <w:pPr>
              <w:pStyle w:val="17"/>
              <w:bidi w:val="0"/>
              <w:rPr>
                <w:color w:val="auto"/>
                <w:highlight w:val="none"/>
              </w:rPr>
            </w:pPr>
            <w:r>
              <w:rPr>
                <w:color w:val="auto"/>
                <w:highlight w:val="none"/>
              </w:rPr>
              <w:t>67.2</w:t>
            </w:r>
          </w:p>
        </w:tc>
        <w:tc>
          <w:tcPr>
            <w:tcW w:w="277" w:type="pct"/>
            <w:shd w:val="clear" w:color="auto" w:fill="auto"/>
            <w:tcMar>
              <w:top w:w="0" w:type="dxa"/>
              <w:left w:w="0" w:type="dxa"/>
              <w:bottom w:w="0" w:type="dxa"/>
              <w:right w:w="0" w:type="dxa"/>
            </w:tcMar>
            <w:vAlign w:val="center"/>
          </w:tcPr>
          <w:p w14:paraId="6E387320">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35C5A206">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5B1EC85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57.2</w:t>
            </w:r>
          </w:p>
        </w:tc>
        <w:tc>
          <w:tcPr>
            <w:tcW w:w="288" w:type="pct"/>
            <w:shd w:val="clear" w:color="auto" w:fill="auto"/>
            <w:tcMar>
              <w:top w:w="0" w:type="dxa"/>
              <w:left w:w="0" w:type="dxa"/>
              <w:bottom w:w="0" w:type="dxa"/>
              <w:right w:w="0" w:type="dxa"/>
            </w:tcMar>
            <w:vAlign w:val="center"/>
          </w:tcPr>
          <w:p w14:paraId="12D98941">
            <w:pPr>
              <w:pStyle w:val="17"/>
              <w:bidi w:val="0"/>
              <w:ind w:firstLine="0" w:firstLineChars="0"/>
              <w:rPr>
                <w:color w:val="auto"/>
                <w:highlight w:val="none"/>
              </w:rPr>
            </w:pPr>
            <w:r>
              <w:rPr>
                <w:rFonts w:hint="eastAsia"/>
                <w:color w:val="auto"/>
                <w:highlight w:val="none"/>
                <w:lang w:val="en-US" w:eastAsia="zh-CN"/>
              </w:rPr>
              <w:t>1</w:t>
            </w:r>
          </w:p>
        </w:tc>
      </w:tr>
      <w:tr w14:paraId="0146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1EB16E94">
            <w:pPr>
              <w:pStyle w:val="17"/>
              <w:bidi w:val="0"/>
              <w:rPr>
                <w:color w:val="auto"/>
                <w:highlight w:val="none"/>
              </w:rPr>
            </w:pPr>
            <w:r>
              <w:rPr>
                <w:color w:val="auto"/>
                <w:highlight w:val="none"/>
              </w:rPr>
              <w:t>35</w:t>
            </w:r>
          </w:p>
        </w:tc>
        <w:tc>
          <w:tcPr>
            <w:tcW w:w="234" w:type="pct"/>
            <w:shd w:val="clear" w:color="auto" w:fill="auto"/>
            <w:tcMar>
              <w:top w:w="0" w:type="dxa"/>
              <w:left w:w="0" w:type="dxa"/>
              <w:bottom w:w="0" w:type="dxa"/>
              <w:right w:w="0" w:type="dxa"/>
            </w:tcMar>
            <w:vAlign w:val="center"/>
          </w:tcPr>
          <w:p w14:paraId="289F30B8">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3A676701">
            <w:pPr>
              <w:pStyle w:val="17"/>
              <w:bidi w:val="0"/>
              <w:rPr>
                <w:color w:val="auto"/>
                <w:highlight w:val="none"/>
              </w:rPr>
            </w:pPr>
            <w:r>
              <w:rPr>
                <w:color w:val="auto"/>
                <w:highlight w:val="none"/>
              </w:rPr>
              <w:t>氟塑料合金离心泵,8台（按点声源组预测）</w:t>
            </w:r>
          </w:p>
        </w:tc>
        <w:tc>
          <w:tcPr>
            <w:tcW w:w="344" w:type="pct"/>
            <w:shd w:val="clear" w:color="auto" w:fill="auto"/>
            <w:tcMar>
              <w:top w:w="0" w:type="dxa"/>
              <w:left w:w="0" w:type="dxa"/>
              <w:bottom w:w="0" w:type="dxa"/>
              <w:right w:w="0" w:type="dxa"/>
            </w:tcMar>
            <w:vAlign w:val="center"/>
          </w:tcPr>
          <w:p w14:paraId="0CDE35CC">
            <w:pPr>
              <w:pStyle w:val="17"/>
              <w:bidi w:val="0"/>
              <w:rPr>
                <w:rFonts w:hint="eastAsia" w:eastAsia="宋体"/>
                <w:color w:val="auto"/>
                <w:highlight w:val="none"/>
                <w:lang w:eastAsia="zh-CN"/>
              </w:rPr>
            </w:pPr>
            <w:r>
              <w:rPr>
                <w:color w:val="auto"/>
                <w:highlight w:val="none"/>
              </w:rPr>
              <w:t>75（等效后：84.0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1AE92322">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11136B42">
            <w:pPr>
              <w:pStyle w:val="17"/>
              <w:bidi w:val="0"/>
              <w:rPr>
                <w:color w:val="auto"/>
                <w:highlight w:val="none"/>
              </w:rPr>
            </w:pPr>
            <w:r>
              <w:rPr>
                <w:color w:val="auto"/>
                <w:highlight w:val="none"/>
              </w:rPr>
              <w:t>-20.3</w:t>
            </w:r>
          </w:p>
        </w:tc>
        <w:tc>
          <w:tcPr>
            <w:tcW w:w="260" w:type="pct"/>
            <w:shd w:val="clear" w:color="auto" w:fill="auto"/>
            <w:tcMar>
              <w:top w:w="0" w:type="dxa"/>
              <w:left w:w="0" w:type="dxa"/>
              <w:bottom w:w="0" w:type="dxa"/>
              <w:right w:w="0" w:type="dxa"/>
            </w:tcMar>
            <w:vAlign w:val="center"/>
          </w:tcPr>
          <w:p w14:paraId="11D3BE14">
            <w:pPr>
              <w:pStyle w:val="17"/>
              <w:bidi w:val="0"/>
              <w:rPr>
                <w:color w:val="auto"/>
                <w:highlight w:val="none"/>
              </w:rPr>
            </w:pPr>
            <w:r>
              <w:rPr>
                <w:color w:val="auto"/>
                <w:highlight w:val="none"/>
              </w:rPr>
              <w:t>-905.5</w:t>
            </w:r>
          </w:p>
        </w:tc>
        <w:tc>
          <w:tcPr>
            <w:tcW w:w="235" w:type="pct"/>
            <w:shd w:val="clear" w:color="auto" w:fill="auto"/>
            <w:tcMar>
              <w:top w:w="0" w:type="dxa"/>
              <w:left w:w="0" w:type="dxa"/>
              <w:bottom w:w="0" w:type="dxa"/>
              <w:right w:w="0" w:type="dxa"/>
            </w:tcMar>
            <w:vAlign w:val="center"/>
          </w:tcPr>
          <w:p w14:paraId="1AEFAD03">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0B29B0A0">
            <w:pPr>
              <w:pStyle w:val="17"/>
              <w:bidi w:val="0"/>
              <w:rPr>
                <w:color w:val="auto"/>
                <w:highlight w:val="none"/>
              </w:rPr>
            </w:pPr>
            <w:r>
              <w:rPr>
                <w:color w:val="auto"/>
                <w:highlight w:val="none"/>
              </w:rPr>
              <w:t>61.7</w:t>
            </w:r>
          </w:p>
        </w:tc>
        <w:tc>
          <w:tcPr>
            <w:tcW w:w="189" w:type="pct"/>
            <w:shd w:val="clear" w:color="auto" w:fill="auto"/>
            <w:tcMar>
              <w:top w:w="0" w:type="dxa"/>
              <w:left w:w="0" w:type="dxa"/>
              <w:bottom w:w="0" w:type="dxa"/>
              <w:right w:w="0" w:type="dxa"/>
            </w:tcMar>
            <w:vAlign w:val="center"/>
          </w:tcPr>
          <w:p w14:paraId="689A0C77">
            <w:pPr>
              <w:pStyle w:val="17"/>
              <w:bidi w:val="0"/>
              <w:rPr>
                <w:color w:val="auto"/>
                <w:highlight w:val="none"/>
              </w:rPr>
            </w:pPr>
            <w:r>
              <w:rPr>
                <w:color w:val="auto"/>
                <w:highlight w:val="none"/>
              </w:rPr>
              <w:t>29.9</w:t>
            </w:r>
          </w:p>
        </w:tc>
        <w:tc>
          <w:tcPr>
            <w:tcW w:w="176" w:type="pct"/>
            <w:shd w:val="clear" w:color="auto" w:fill="auto"/>
            <w:tcMar>
              <w:top w:w="0" w:type="dxa"/>
              <w:left w:w="0" w:type="dxa"/>
              <w:bottom w:w="0" w:type="dxa"/>
              <w:right w:w="0" w:type="dxa"/>
            </w:tcMar>
            <w:vAlign w:val="center"/>
          </w:tcPr>
          <w:p w14:paraId="76D5F5AF">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29.9</w:t>
            </w:r>
          </w:p>
        </w:tc>
        <w:tc>
          <w:tcPr>
            <w:tcW w:w="158" w:type="pct"/>
            <w:shd w:val="clear" w:color="auto" w:fill="auto"/>
            <w:tcMar>
              <w:top w:w="0" w:type="dxa"/>
              <w:left w:w="0" w:type="dxa"/>
              <w:bottom w:w="0" w:type="dxa"/>
              <w:right w:w="0" w:type="dxa"/>
            </w:tcMar>
            <w:vAlign w:val="center"/>
          </w:tcPr>
          <w:p w14:paraId="22B94B54">
            <w:pPr>
              <w:pStyle w:val="17"/>
              <w:bidi w:val="0"/>
              <w:rPr>
                <w:color w:val="auto"/>
                <w:highlight w:val="none"/>
              </w:rPr>
            </w:pPr>
            <w:r>
              <w:rPr>
                <w:color w:val="auto"/>
                <w:highlight w:val="none"/>
              </w:rPr>
              <w:t>20.6</w:t>
            </w:r>
          </w:p>
        </w:tc>
        <w:tc>
          <w:tcPr>
            <w:tcW w:w="167" w:type="pct"/>
            <w:shd w:val="clear" w:color="auto" w:fill="auto"/>
            <w:tcMar>
              <w:top w:w="0" w:type="dxa"/>
              <w:left w:w="0" w:type="dxa"/>
              <w:bottom w:w="0" w:type="dxa"/>
              <w:right w:w="0" w:type="dxa"/>
            </w:tcMar>
            <w:vAlign w:val="center"/>
          </w:tcPr>
          <w:p w14:paraId="7C01D5C9">
            <w:pPr>
              <w:pStyle w:val="17"/>
              <w:bidi w:val="0"/>
              <w:rPr>
                <w:color w:val="auto"/>
                <w:highlight w:val="none"/>
              </w:rPr>
            </w:pPr>
            <w:r>
              <w:rPr>
                <w:color w:val="auto"/>
                <w:highlight w:val="none"/>
              </w:rPr>
              <w:t>65.4</w:t>
            </w:r>
          </w:p>
        </w:tc>
        <w:tc>
          <w:tcPr>
            <w:tcW w:w="167" w:type="pct"/>
            <w:shd w:val="clear" w:color="auto" w:fill="auto"/>
            <w:tcMar>
              <w:top w:w="0" w:type="dxa"/>
              <w:left w:w="0" w:type="dxa"/>
              <w:bottom w:w="0" w:type="dxa"/>
              <w:right w:w="0" w:type="dxa"/>
            </w:tcMar>
            <w:vAlign w:val="center"/>
          </w:tcPr>
          <w:p w14:paraId="219EED8B">
            <w:pPr>
              <w:pStyle w:val="17"/>
              <w:bidi w:val="0"/>
              <w:rPr>
                <w:color w:val="auto"/>
                <w:highlight w:val="none"/>
              </w:rPr>
            </w:pPr>
            <w:r>
              <w:rPr>
                <w:color w:val="auto"/>
                <w:highlight w:val="none"/>
              </w:rPr>
              <w:t>65.4</w:t>
            </w:r>
          </w:p>
        </w:tc>
        <w:tc>
          <w:tcPr>
            <w:tcW w:w="185" w:type="pct"/>
            <w:shd w:val="clear" w:color="auto" w:fill="auto"/>
            <w:tcMar>
              <w:top w:w="0" w:type="dxa"/>
              <w:left w:w="0" w:type="dxa"/>
              <w:bottom w:w="0" w:type="dxa"/>
              <w:right w:w="0" w:type="dxa"/>
            </w:tcMar>
            <w:vAlign w:val="center"/>
          </w:tcPr>
          <w:p w14:paraId="5F4DB95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65.5</w:t>
            </w:r>
          </w:p>
        </w:tc>
        <w:tc>
          <w:tcPr>
            <w:tcW w:w="163" w:type="pct"/>
            <w:shd w:val="clear" w:color="auto" w:fill="auto"/>
            <w:tcMar>
              <w:top w:w="0" w:type="dxa"/>
              <w:left w:w="0" w:type="dxa"/>
              <w:bottom w:w="0" w:type="dxa"/>
              <w:right w:w="0" w:type="dxa"/>
            </w:tcMar>
            <w:vAlign w:val="center"/>
          </w:tcPr>
          <w:p w14:paraId="5F6254F4">
            <w:pPr>
              <w:pStyle w:val="17"/>
              <w:bidi w:val="0"/>
              <w:rPr>
                <w:color w:val="auto"/>
                <w:highlight w:val="none"/>
              </w:rPr>
            </w:pPr>
            <w:r>
              <w:rPr>
                <w:color w:val="auto"/>
                <w:highlight w:val="none"/>
              </w:rPr>
              <w:t>65.5</w:t>
            </w:r>
          </w:p>
        </w:tc>
        <w:tc>
          <w:tcPr>
            <w:tcW w:w="277" w:type="pct"/>
            <w:shd w:val="clear" w:color="auto" w:fill="auto"/>
            <w:tcMar>
              <w:top w:w="0" w:type="dxa"/>
              <w:left w:w="0" w:type="dxa"/>
              <w:bottom w:w="0" w:type="dxa"/>
              <w:right w:w="0" w:type="dxa"/>
            </w:tcMar>
            <w:vAlign w:val="center"/>
          </w:tcPr>
          <w:p w14:paraId="26833A4C">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45467639">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2015BF7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55.4</w:t>
            </w:r>
          </w:p>
        </w:tc>
        <w:tc>
          <w:tcPr>
            <w:tcW w:w="288" w:type="pct"/>
            <w:shd w:val="clear" w:color="auto" w:fill="auto"/>
            <w:tcMar>
              <w:top w:w="0" w:type="dxa"/>
              <w:left w:w="0" w:type="dxa"/>
              <w:bottom w:w="0" w:type="dxa"/>
              <w:right w:w="0" w:type="dxa"/>
            </w:tcMar>
            <w:vAlign w:val="center"/>
          </w:tcPr>
          <w:p w14:paraId="50EDC723">
            <w:pPr>
              <w:pStyle w:val="17"/>
              <w:bidi w:val="0"/>
              <w:ind w:firstLine="0" w:firstLineChars="0"/>
              <w:rPr>
                <w:color w:val="auto"/>
                <w:highlight w:val="none"/>
              </w:rPr>
            </w:pPr>
            <w:r>
              <w:rPr>
                <w:rFonts w:hint="eastAsia"/>
                <w:color w:val="auto"/>
                <w:highlight w:val="none"/>
                <w:lang w:val="en-US" w:eastAsia="zh-CN"/>
              </w:rPr>
              <w:t>1</w:t>
            </w:r>
          </w:p>
        </w:tc>
      </w:tr>
      <w:tr w14:paraId="70C6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7E0E26C0">
            <w:pPr>
              <w:pStyle w:val="17"/>
              <w:bidi w:val="0"/>
              <w:rPr>
                <w:color w:val="auto"/>
                <w:highlight w:val="none"/>
              </w:rPr>
            </w:pPr>
            <w:r>
              <w:rPr>
                <w:color w:val="auto"/>
                <w:highlight w:val="none"/>
              </w:rPr>
              <w:t>36</w:t>
            </w:r>
          </w:p>
        </w:tc>
        <w:tc>
          <w:tcPr>
            <w:tcW w:w="234" w:type="pct"/>
            <w:shd w:val="clear" w:color="auto" w:fill="auto"/>
            <w:tcMar>
              <w:top w:w="0" w:type="dxa"/>
              <w:left w:w="0" w:type="dxa"/>
              <w:bottom w:w="0" w:type="dxa"/>
              <w:right w:w="0" w:type="dxa"/>
            </w:tcMar>
            <w:vAlign w:val="center"/>
          </w:tcPr>
          <w:p w14:paraId="48B61571">
            <w:pPr>
              <w:pStyle w:val="17"/>
              <w:bidi w:val="0"/>
              <w:rPr>
                <w:color w:val="auto"/>
                <w:highlight w:val="none"/>
              </w:rPr>
            </w:pPr>
            <w:r>
              <w:rPr>
                <w:color w:val="auto"/>
                <w:highlight w:val="none"/>
              </w:rPr>
              <w:t>主厂房</w:t>
            </w:r>
          </w:p>
        </w:tc>
        <w:tc>
          <w:tcPr>
            <w:tcW w:w="482" w:type="pct"/>
            <w:shd w:val="clear" w:color="auto" w:fill="auto"/>
            <w:tcMar>
              <w:top w:w="0" w:type="dxa"/>
              <w:left w:w="0" w:type="dxa"/>
              <w:bottom w:w="0" w:type="dxa"/>
              <w:right w:w="0" w:type="dxa"/>
            </w:tcMar>
            <w:vAlign w:val="center"/>
          </w:tcPr>
          <w:p w14:paraId="1A0C98E0">
            <w:pPr>
              <w:pStyle w:val="17"/>
              <w:bidi w:val="0"/>
              <w:rPr>
                <w:color w:val="auto"/>
                <w:highlight w:val="none"/>
              </w:rPr>
            </w:pPr>
            <w:r>
              <w:rPr>
                <w:color w:val="auto"/>
                <w:highlight w:val="none"/>
              </w:rPr>
              <w:t>CV.7带式输送机</w:t>
            </w:r>
          </w:p>
        </w:tc>
        <w:tc>
          <w:tcPr>
            <w:tcW w:w="344" w:type="pct"/>
            <w:shd w:val="clear" w:color="auto" w:fill="auto"/>
            <w:tcMar>
              <w:top w:w="0" w:type="dxa"/>
              <w:left w:w="0" w:type="dxa"/>
              <w:bottom w:w="0" w:type="dxa"/>
              <w:right w:w="0" w:type="dxa"/>
            </w:tcMar>
            <w:vAlign w:val="center"/>
          </w:tcPr>
          <w:p w14:paraId="52F14E3A">
            <w:pPr>
              <w:pStyle w:val="17"/>
              <w:bidi w:val="0"/>
              <w:rPr>
                <w:color w:val="auto"/>
                <w:highlight w:val="none"/>
              </w:rPr>
            </w:pPr>
            <w:r>
              <w:rPr>
                <w:color w:val="auto"/>
                <w:highlight w:val="none"/>
              </w:rPr>
              <w:t>65</w:t>
            </w:r>
          </w:p>
        </w:tc>
        <w:tc>
          <w:tcPr>
            <w:tcW w:w="361" w:type="pct"/>
            <w:vMerge w:val="continue"/>
            <w:shd w:val="clear" w:color="auto" w:fill="auto"/>
            <w:tcMar>
              <w:top w:w="0" w:type="dxa"/>
              <w:left w:w="0" w:type="dxa"/>
              <w:bottom w:w="0" w:type="dxa"/>
              <w:right w:w="0" w:type="dxa"/>
            </w:tcMar>
            <w:vAlign w:val="center"/>
          </w:tcPr>
          <w:p w14:paraId="5C6CB247">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5CA1BD34">
            <w:pPr>
              <w:pStyle w:val="17"/>
              <w:bidi w:val="0"/>
              <w:rPr>
                <w:color w:val="auto"/>
                <w:highlight w:val="none"/>
              </w:rPr>
            </w:pPr>
            <w:r>
              <w:rPr>
                <w:color w:val="auto"/>
                <w:highlight w:val="none"/>
              </w:rPr>
              <w:t>0.2</w:t>
            </w:r>
          </w:p>
        </w:tc>
        <w:tc>
          <w:tcPr>
            <w:tcW w:w="260" w:type="pct"/>
            <w:shd w:val="clear" w:color="auto" w:fill="auto"/>
            <w:tcMar>
              <w:top w:w="0" w:type="dxa"/>
              <w:left w:w="0" w:type="dxa"/>
              <w:bottom w:w="0" w:type="dxa"/>
              <w:right w:w="0" w:type="dxa"/>
            </w:tcMar>
            <w:vAlign w:val="center"/>
          </w:tcPr>
          <w:p w14:paraId="7AD0089B">
            <w:pPr>
              <w:pStyle w:val="17"/>
              <w:bidi w:val="0"/>
              <w:rPr>
                <w:color w:val="auto"/>
                <w:highlight w:val="none"/>
              </w:rPr>
            </w:pPr>
            <w:r>
              <w:rPr>
                <w:color w:val="auto"/>
                <w:highlight w:val="none"/>
              </w:rPr>
              <w:t>-890.5</w:t>
            </w:r>
          </w:p>
        </w:tc>
        <w:tc>
          <w:tcPr>
            <w:tcW w:w="235" w:type="pct"/>
            <w:shd w:val="clear" w:color="auto" w:fill="auto"/>
            <w:tcMar>
              <w:top w:w="0" w:type="dxa"/>
              <w:left w:w="0" w:type="dxa"/>
              <w:bottom w:w="0" w:type="dxa"/>
              <w:right w:w="0" w:type="dxa"/>
            </w:tcMar>
            <w:vAlign w:val="center"/>
          </w:tcPr>
          <w:p w14:paraId="7548FA55">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1B69861C">
            <w:pPr>
              <w:pStyle w:val="17"/>
              <w:bidi w:val="0"/>
              <w:rPr>
                <w:color w:val="auto"/>
                <w:highlight w:val="none"/>
              </w:rPr>
            </w:pPr>
            <w:r>
              <w:rPr>
                <w:color w:val="auto"/>
                <w:highlight w:val="none"/>
              </w:rPr>
              <w:t>41.2</w:t>
            </w:r>
          </w:p>
        </w:tc>
        <w:tc>
          <w:tcPr>
            <w:tcW w:w="189" w:type="pct"/>
            <w:shd w:val="clear" w:color="auto" w:fill="auto"/>
            <w:tcMar>
              <w:top w:w="0" w:type="dxa"/>
              <w:left w:w="0" w:type="dxa"/>
              <w:bottom w:w="0" w:type="dxa"/>
              <w:right w:w="0" w:type="dxa"/>
            </w:tcMar>
            <w:vAlign w:val="center"/>
          </w:tcPr>
          <w:p w14:paraId="0C37D7BC">
            <w:pPr>
              <w:pStyle w:val="17"/>
              <w:bidi w:val="0"/>
              <w:rPr>
                <w:color w:val="auto"/>
                <w:highlight w:val="none"/>
              </w:rPr>
            </w:pPr>
            <w:r>
              <w:rPr>
                <w:color w:val="auto"/>
                <w:highlight w:val="none"/>
              </w:rPr>
              <w:t>50.4</w:t>
            </w:r>
          </w:p>
        </w:tc>
        <w:tc>
          <w:tcPr>
            <w:tcW w:w="176" w:type="pct"/>
            <w:shd w:val="clear" w:color="auto" w:fill="auto"/>
            <w:tcMar>
              <w:top w:w="0" w:type="dxa"/>
              <w:left w:w="0" w:type="dxa"/>
              <w:bottom w:w="0" w:type="dxa"/>
              <w:right w:w="0" w:type="dxa"/>
            </w:tcMar>
            <w:vAlign w:val="center"/>
          </w:tcPr>
          <w:p w14:paraId="3B91385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50.4</w:t>
            </w:r>
          </w:p>
        </w:tc>
        <w:tc>
          <w:tcPr>
            <w:tcW w:w="158" w:type="pct"/>
            <w:shd w:val="clear" w:color="auto" w:fill="auto"/>
            <w:tcMar>
              <w:top w:w="0" w:type="dxa"/>
              <w:left w:w="0" w:type="dxa"/>
              <w:bottom w:w="0" w:type="dxa"/>
              <w:right w:w="0" w:type="dxa"/>
            </w:tcMar>
            <w:vAlign w:val="center"/>
          </w:tcPr>
          <w:p w14:paraId="1C95623D">
            <w:pPr>
              <w:pStyle w:val="17"/>
              <w:bidi w:val="0"/>
              <w:rPr>
                <w:color w:val="auto"/>
                <w:highlight w:val="none"/>
              </w:rPr>
            </w:pPr>
            <w:r>
              <w:rPr>
                <w:color w:val="auto"/>
                <w:highlight w:val="none"/>
              </w:rPr>
              <w:t>5.6</w:t>
            </w:r>
          </w:p>
        </w:tc>
        <w:tc>
          <w:tcPr>
            <w:tcW w:w="167" w:type="pct"/>
            <w:shd w:val="clear" w:color="auto" w:fill="auto"/>
            <w:tcMar>
              <w:top w:w="0" w:type="dxa"/>
              <w:left w:w="0" w:type="dxa"/>
              <w:bottom w:w="0" w:type="dxa"/>
              <w:right w:w="0" w:type="dxa"/>
            </w:tcMar>
            <w:vAlign w:val="center"/>
          </w:tcPr>
          <w:p w14:paraId="39E3C82A">
            <w:pPr>
              <w:pStyle w:val="17"/>
              <w:bidi w:val="0"/>
              <w:rPr>
                <w:color w:val="auto"/>
                <w:highlight w:val="none"/>
              </w:rPr>
            </w:pPr>
            <w:r>
              <w:rPr>
                <w:color w:val="auto"/>
                <w:highlight w:val="none"/>
              </w:rPr>
              <w:t>46.4</w:t>
            </w:r>
          </w:p>
        </w:tc>
        <w:tc>
          <w:tcPr>
            <w:tcW w:w="167" w:type="pct"/>
            <w:shd w:val="clear" w:color="auto" w:fill="auto"/>
            <w:tcMar>
              <w:top w:w="0" w:type="dxa"/>
              <w:left w:w="0" w:type="dxa"/>
              <w:bottom w:w="0" w:type="dxa"/>
              <w:right w:w="0" w:type="dxa"/>
            </w:tcMar>
            <w:vAlign w:val="center"/>
          </w:tcPr>
          <w:p w14:paraId="22AD30F8">
            <w:pPr>
              <w:pStyle w:val="17"/>
              <w:bidi w:val="0"/>
              <w:rPr>
                <w:color w:val="auto"/>
                <w:highlight w:val="none"/>
              </w:rPr>
            </w:pPr>
            <w:r>
              <w:rPr>
                <w:color w:val="auto"/>
                <w:highlight w:val="none"/>
              </w:rPr>
              <w:t>46.4</w:t>
            </w:r>
          </w:p>
        </w:tc>
        <w:tc>
          <w:tcPr>
            <w:tcW w:w="185" w:type="pct"/>
            <w:shd w:val="clear" w:color="auto" w:fill="auto"/>
            <w:tcMar>
              <w:top w:w="0" w:type="dxa"/>
              <w:left w:w="0" w:type="dxa"/>
              <w:bottom w:w="0" w:type="dxa"/>
              <w:right w:w="0" w:type="dxa"/>
            </w:tcMar>
            <w:vAlign w:val="center"/>
          </w:tcPr>
          <w:p w14:paraId="5AEC386D">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47.1</w:t>
            </w:r>
          </w:p>
        </w:tc>
        <w:tc>
          <w:tcPr>
            <w:tcW w:w="163" w:type="pct"/>
            <w:shd w:val="clear" w:color="auto" w:fill="auto"/>
            <w:tcMar>
              <w:top w:w="0" w:type="dxa"/>
              <w:left w:w="0" w:type="dxa"/>
              <w:bottom w:w="0" w:type="dxa"/>
              <w:right w:w="0" w:type="dxa"/>
            </w:tcMar>
            <w:vAlign w:val="center"/>
          </w:tcPr>
          <w:p w14:paraId="619B13D0">
            <w:pPr>
              <w:pStyle w:val="17"/>
              <w:bidi w:val="0"/>
              <w:rPr>
                <w:color w:val="auto"/>
                <w:highlight w:val="none"/>
              </w:rPr>
            </w:pPr>
            <w:r>
              <w:rPr>
                <w:color w:val="auto"/>
                <w:highlight w:val="none"/>
              </w:rPr>
              <w:t>47.1</w:t>
            </w:r>
          </w:p>
        </w:tc>
        <w:tc>
          <w:tcPr>
            <w:tcW w:w="277" w:type="pct"/>
            <w:shd w:val="clear" w:color="auto" w:fill="auto"/>
            <w:tcMar>
              <w:top w:w="0" w:type="dxa"/>
              <w:left w:w="0" w:type="dxa"/>
              <w:bottom w:w="0" w:type="dxa"/>
              <w:right w:w="0" w:type="dxa"/>
            </w:tcMar>
            <w:vAlign w:val="center"/>
          </w:tcPr>
          <w:p w14:paraId="09FA0AF9">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1C6ABFB4">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2141F1C9">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36.4</w:t>
            </w:r>
          </w:p>
        </w:tc>
        <w:tc>
          <w:tcPr>
            <w:tcW w:w="288" w:type="pct"/>
            <w:shd w:val="clear" w:color="auto" w:fill="auto"/>
            <w:tcMar>
              <w:top w:w="0" w:type="dxa"/>
              <w:left w:w="0" w:type="dxa"/>
              <w:bottom w:w="0" w:type="dxa"/>
              <w:right w:w="0" w:type="dxa"/>
            </w:tcMar>
            <w:vAlign w:val="center"/>
          </w:tcPr>
          <w:p w14:paraId="015A77A8">
            <w:pPr>
              <w:pStyle w:val="17"/>
              <w:bidi w:val="0"/>
              <w:ind w:firstLine="0" w:firstLineChars="0"/>
              <w:rPr>
                <w:color w:val="auto"/>
                <w:highlight w:val="none"/>
              </w:rPr>
            </w:pPr>
            <w:r>
              <w:rPr>
                <w:rFonts w:hint="eastAsia"/>
                <w:color w:val="auto"/>
                <w:highlight w:val="none"/>
                <w:lang w:val="en-US" w:eastAsia="zh-CN"/>
              </w:rPr>
              <w:t>1</w:t>
            </w:r>
          </w:p>
        </w:tc>
      </w:tr>
      <w:tr w14:paraId="5A12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47B1C2C">
            <w:pPr>
              <w:pStyle w:val="17"/>
              <w:bidi w:val="0"/>
              <w:rPr>
                <w:color w:val="auto"/>
                <w:highlight w:val="none"/>
              </w:rPr>
            </w:pPr>
            <w:r>
              <w:rPr>
                <w:color w:val="auto"/>
                <w:highlight w:val="none"/>
              </w:rPr>
              <w:t>37</w:t>
            </w:r>
          </w:p>
        </w:tc>
        <w:tc>
          <w:tcPr>
            <w:tcW w:w="234" w:type="pct"/>
            <w:shd w:val="clear" w:color="auto" w:fill="auto"/>
            <w:tcMar>
              <w:top w:w="0" w:type="dxa"/>
              <w:left w:w="0" w:type="dxa"/>
              <w:bottom w:w="0" w:type="dxa"/>
              <w:right w:w="0" w:type="dxa"/>
            </w:tcMar>
            <w:vAlign w:val="center"/>
          </w:tcPr>
          <w:p w14:paraId="3972C3DF">
            <w:pPr>
              <w:pStyle w:val="17"/>
              <w:bidi w:val="0"/>
              <w:rPr>
                <w:color w:val="auto"/>
                <w:highlight w:val="none"/>
              </w:rPr>
            </w:pPr>
            <w:r>
              <w:rPr>
                <w:color w:val="auto"/>
                <w:highlight w:val="none"/>
              </w:rPr>
              <w:t>硫酸稀释车间</w:t>
            </w:r>
          </w:p>
        </w:tc>
        <w:tc>
          <w:tcPr>
            <w:tcW w:w="482" w:type="pct"/>
            <w:shd w:val="clear" w:color="auto" w:fill="auto"/>
            <w:tcMar>
              <w:top w:w="0" w:type="dxa"/>
              <w:left w:w="0" w:type="dxa"/>
              <w:bottom w:w="0" w:type="dxa"/>
              <w:right w:w="0" w:type="dxa"/>
            </w:tcMar>
            <w:vAlign w:val="center"/>
          </w:tcPr>
          <w:p w14:paraId="7713829A">
            <w:pPr>
              <w:pStyle w:val="17"/>
              <w:bidi w:val="0"/>
              <w:rPr>
                <w:color w:val="auto"/>
                <w:highlight w:val="none"/>
              </w:rPr>
            </w:pPr>
            <w:r>
              <w:rPr>
                <w:color w:val="auto"/>
                <w:highlight w:val="none"/>
              </w:rPr>
              <w:t>氟塑料合金离心泵,8台（按点声源组预测）</w:t>
            </w:r>
          </w:p>
        </w:tc>
        <w:tc>
          <w:tcPr>
            <w:tcW w:w="344" w:type="pct"/>
            <w:shd w:val="clear" w:color="auto" w:fill="auto"/>
            <w:tcMar>
              <w:top w:w="0" w:type="dxa"/>
              <w:left w:w="0" w:type="dxa"/>
              <w:bottom w:w="0" w:type="dxa"/>
              <w:right w:w="0" w:type="dxa"/>
            </w:tcMar>
            <w:vAlign w:val="center"/>
          </w:tcPr>
          <w:p w14:paraId="71311EE3">
            <w:pPr>
              <w:pStyle w:val="17"/>
              <w:bidi w:val="0"/>
              <w:rPr>
                <w:rFonts w:hint="eastAsia" w:eastAsia="宋体"/>
                <w:color w:val="auto"/>
                <w:highlight w:val="none"/>
                <w:lang w:eastAsia="zh-CN"/>
              </w:rPr>
            </w:pPr>
            <w:r>
              <w:rPr>
                <w:color w:val="auto"/>
                <w:highlight w:val="none"/>
              </w:rPr>
              <w:t>75（等效后：84.0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3BDDC174">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0630B7B0">
            <w:pPr>
              <w:pStyle w:val="17"/>
              <w:bidi w:val="0"/>
              <w:rPr>
                <w:color w:val="auto"/>
                <w:highlight w:val="none"/>
              </w:rPr>
            </w:pPr>
            <w:r>
              <w:rPr>
                <w:color w:val="auto"/>
                <w:highlight w:val="none"/>
              </w:rPr>
              <w:t>-266.2</w:t>
            </w:r>
          </w:p>
        </w:tc>
        <w:tc>
          <w:tcPr>
            <w:tcW w:w="260" w:type="pct"/>
            <w:shd w:val="clear" w:color="auto" w:fill="auto"/>
            <w:tcMar>
              <w:top w:w="0" w:type="dxa"/>
              <w:left w:w="0" w:type="dxa"/>
              <w:bottom w:w="0" w:type="dxa"/>
              <w:right w:w="0" w:type="dxa"/>
            </w:tcMar>
            <w:vAlign w:val="center"/>
          </w:tcPr>
          <w:p w14:paraId="062167DE">
            <w:pPr>
              <w:pStyle w:val="17"/>
              <w:bidi w:val="0"/>
              <w:rPr>
                <w:color w:val="auto"/>
                <w:highlight w:val="none"/>
              </w:rPr>
            </w:pPr>
            <w:r>
              <w:rPr>
                <w:color w:val="auto"/>
                <w:highlight w:val="none"/>
              </w:rPr>
              <w:t>-978.4</w:t>
            </w:r>
          </w:p>
        </w:tc>
        <w:tc>
          <w:tcPr>
            <w:tcW w:w="235" w:type="pct"/>
            <w:shd w:val="clear" w:color="auto" w:fill="auto"/>
            <w:tcMar>
              <w:top w:w="0" w:type="dxa"/>
              <w:left w:w="0" w:type="dxa"/>
              <w:bottom w:w="0" w:type="dxa"/>
              <w:right w:w="0" w:type="dxa"/>
            </w:tcMar>
            <w:vAlign w:val="center"/>
          </w:tcPr>
          <w:p w14:paraId="259B449B">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0E2EE5A5">
            <w:pPr>
              <w:pStyle w:val="17"/>
              <w:bidi w:val="0"/>
              <w:rPr>
                <w:color w:val="auto"/>
                <w:highlight w:val="none"/>
              </w:rPr>
            </w:pPr>
            <w:r>
              <w:rPr>
                <w:color w:val="auto"/>
                <w:highlight w:val="none"/>
              </w:rPr>
              <w:t>10.3</w:t>
            </w:r>
          </w:p>
        </w:tc>
        <w:tc>
          <w:tcPr>
            <w:tcW w:w="189" w:type="pct"/>
            <w:shd w:val="clear" w:color="auto" w:fill="auto"/>
            <w:tcMar>
              <w:top w:w="0" w:type="dxa"/>
              <w:left w:w="0" w:type="dxa"/>
              <w:bottom w:w="0" w:type="dxa"/>
              <w:right w:w="0" w:type="dxa"/>
            </w:tcMar>
            <w:vAlign w:val="center"/>
          </w:tcPr>
          <w:p w14:paraId="0E0B9B8D">
            <w:pPr>
              <w:pStyle w:val="17"/>
              <w:bidi w:val="0"/>
              <w:rPr>
                <w:color w:val="auto"/>
                <w:highlight w:val="none"/>
              </w:rPr>
            </w:pPr>
            <w:r>
              <w:rPr>
                <w:color w:val="auto"/>
                <w:highlight w:val="none"/>
              </w:rPr>
              <w:t>14.9</w:t>
            </w:r>
          </w:p>
        </w:tc>
        <w:tc>
          <w:tcPr>
            <w:tcW w:w="176" w:type="pct"/>
            <w:shd w:val="clear" w:color="auto" w:fill="auto"/>
            <w:tcMar>
              <w:top w:w="0" w:type="dxa"/>
              <w:left w:w="0" w:type="dxa"/>
              <w:bottom w:w="0" w:type="dxa"/>
              <w:right w:w="0" w:type="dxa"/>
            </w:tcMar>
            <w:vAlign w:val="center"/>
          </w:tcPr>
          <w:p w14:paraId="103F68AA">
            <w:pPr>
              <w:pStyle w:val="17"/>
              <w:bidi w:val="0"/>
              <w:rPr>
                <w:color w:val="auto"/>
                <w:highlight w:val="none"/>
              </w:rPr>
            </w:pPr>
            <w:r>
              <w:rPr>
                <w:color w:val="auto"/>
                <w:highlight w:val="none"/>
              </w:rPr>
              <w:t>19.6</w:t>
            </w:r>
          </w:p>
        </w:tc>
        <w:tc>
          <w:tcPr>
            <w:tcW w:w="158" w:type="pct"/>
            <w:shd w:val="clear" w:color="auto" w:fill="auto"/>
            <w:tcMar>
              <w:top w:w="0" w:type="dxa"/>
              <w:left w:w="0" w:type="dxa"/>
              <w:bottom w:w="0" w:type="dxa"/>
              <w:right w:w="0" w:type="dxa"/>
            </w:tcMar>
            <w:vAlign w:val="center"/>
          </w:tcPr>
          <w:p w14:paraId="67BA4D88">
            <w:pPr>
              <w:pStyle w:val="17"/>
              <w:bidi w:val="0"/>
              <w:rPr>
                <w:color w:val="auto"/>
                <w:highlight w:val="none"/>
              </w:rPr>
            </w:pPr>
            <w:r>
              <w:rPr>
                <w:color w:val="auto"/>
                <w:highlight w:val="none"/>
              </w:rPr>
              <w:t>13.1</w:t>
            </w:r>
          </w:p>
        </w:tc>
        <w:tc>
          <w:tcPr>
            <w:tcW w:w="167" w:type="pct"/>
            <w:shd w:val="clear" w:color="auto" w:fill="auto"/>
            <w:tcMar>
              <w:top w:w="0" w:type="dxa"/>
              <w:left w:w="0" w:type="dxa"/>
              <w:bottom w:w="0" w:type="dxa"/>
              <w:right w:w="0" w:type="dxa"/>
            </w:tcMar>
            <w:vAlign w:val="center"/>
          </w:tcPr>
          <w:p w14:paraId="3A9B241C">
            <w:pPr>
              <w:pStyle w:val="17"/>
              <w:bidi w:val="0"/>
              <w:rPr>
                <w:color w:val="auto"/>
                <w:highlight w:val="none"/>
              </w:rPr>
            </w:pPr>
            <w:r>
              <w:rPr>
                <w:color w:val="auto"/>
                <w:highlight w:val="none"/>
              </w:rPr>
              <w:t>70.6</w:t>
            </w:r>
          </w:p>
        </w:tc>
        <w:tc>
          <w:tcPr>
            <w:tcW w:w="167" w:type="pct"/>
            <w:shd w:val="clear" w:color="auto" w:fill="auto"/>
            <w:tcMar>
              <w:top w:w="0" w:type="dxa"/>
              <w:left w:w="0" w:type="dxa"/>
              <w:bottom w:w="0" w:type="dxa"/>
              <w:right w:w="0" w:type="dxa"/>
            </w:tcMar>
            <w:vAlign w:val="center"/>
          </w:tcPr>
          <w:p w14:paraId="7D2E4BCD">
            <w:pPr>
              <w:pStyle w:val="17"/>
              <w:bidi w:val="0"/>
              <w:rPr>
                <w:color w:val="auto"/>
                <w:highlight w:val="none"/>
              </w:rPr>
            </w:pPr>
            <w:r>
              <w:rPr>
                <w:color w:val="auto"/>
                <w:highlight w:val="none"/>
              </w:rPr>
              <w:t>70.6</w:t>
            </w:r>
          </w:p>
        </w:tc>
        <w:tc>
          <w:tcPr>
            <w:tcW w:w="185" w:type="pct"/>
            <w:shd w:val="clear" w:color="auto" w:fill="auto"/>
            <w:tcMar>
              <w:top w:w="0" w:type="dxa"/>
              <w:left w:w="0" w:type="dxa"/>
              <w:bottom w:w="0" w:type="dxa"/>
              <w:right w:w="0" w:type="dxa"/>
            </w:tcMar>
            <w:vAlign w:val="center"/>
          </w:tcPr>
          <w:p w14:paraId="4DEFE43C">
            <w:pPr>
              <w:pStyle w:val="17"/>
              <w:bidi w:val="0"/>
              <w:rPr>
                <w:color w:val="auto"/>
                <w:highlight w:val="none"/>
              </w:rPr>
            </w:pPr>
            <w:r>
              <w:rPr>
                <w:color w:val="auto"/>
                <w:highlight w:val="none"/>
              </w:rPr>
              <w:t>70.6</w:t>
            </w:r>
          </w:p>
        </w:tc>
        <w:tc>
          <w:tcPr>
            <w:tcW w:w="163" w:type="pct"/>
            <w:shd w:val="clear" w:color="auto" w:fill="auto"/>
            <w:tcMar>
              <w:top w:w="0" w:type="dxa"/>
              <w:left w:w="0" w:type="dxa"/>
              <w:bottom w:w="0" w:type="dxa"/>
              <w:right w:w="0" w:type="dxa"/>
            </w:tcMar>
            <w:vAlign w:val="center"/>
          </w:tcPr>
          <w:p w14:paraId="4F198C17">
            <w:pPr>
              <w:pStyle w:val="17"/>
              <w:bidi w:val="0"/>
              <w:rPr>
                <w:color w:val="auto"/>
                <w:highlight w:val="none"/>
              </w:rPr>
            </w:pPr>
            <w:r>
              <w:rPr>
                <w:color w:val="auto"/>
                <w:highlight w:val="none"/>
              </w:rPr>
              <w:t>70.6</w:t>
            </w:r>
          </w:p>
        </w:tc>
        <w:tc>
          <w:tcPr>
            <w:tcW w:w="277" w:type="pct"/>
            <w:shd w:val="clear" w:color="auto" w:fill="auto"/>
            <w:tcMar>
              <w:top w:w="0" w:type="dxa"/>
              <w:left w:w="0" w:type="dxa"/>
              <w:bottom w:w="0" w:type="dxa"/>
              <w:right w:w="0" w:type="dxa"/>
            </w:tcMar>
            <w:vAlign w:val="center"/>
          </w:tcPr>
          <w:p w14:paraId="6DC51A88">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0178DEF5">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61D7AD9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60.6</w:t>
            </w:r>
          </w:p>
        </w:tc>
        <w:tc>
          <w:tcPr>
            <w:tcW w:w="288" w:type="pct"/>
            <w:shd w:val="clear" w:color="auto" w:fill="auto"/>
            <w:tcMar>
              <w:top w:w="0" w:type="dxa"/>
              <w:left w:w="0" w:type="dxa"/>
              <w:bottom w:w="0" w:type="dxa"/>
              <w:right w:w="0" w:type="dxa"/>
            </w:tcMar>
            <w:vAlign w:val="center"/>
          </w:tcPr>
          <w:p w14:paraId="42805972">
            <w:pPr>
              <w:pStyle w:val="17"/>
              <w:bidi w:val="0"/>
              <w:ind w:firstLine="0" w:firstLineChars="0"/>
              <w:rPr>
                <w:color w:val="auto"/>
                <w:highlight w:val="none"/>
              </w:rPr>
            </w:pPr>
            <w:r>
              <w:rPr>
                <w:rFonts w:hint="eastAsia"/>
                <w:color w:val="auto"/>
                <w:highlight w:val="none"/>
                <w:lang w:val="en-US" w:eastAsia="zh-CN"/>
              </w:rPr>
              <w:t>1</w:t>
            </w:r>
          </w:p>
        </w:tc>
      </w:tr>
      <w:tr w14:paraId="4265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5F9593BD">
            <w:pPr>
              <w:pStyle w:val="17"/>
              <w:bidi w:val="0"/>
              <w:rPr>
                <w:color w:val="auto"/>
                <w:highlight w:val="none"/>
              </w:rPr>
            </w:pPr>
            <w:r>
              <w:rPr>
                <w:color w:val="auto"/>
                <w:highlight w:val="none"/>
              </w:rPr>
              <w:t>38</w:t>
            </w:r>
          </w:p>
        </w:tc>
        <w:tc>
          <w:tcPr>
            <w:tcW w:w="234" w:type="pct"/>
            <w:shd w:val="clear" w:color="auto" w:fill="auto"/>
            <w:tcMar>
              <w:top w:w="0" w:type="dxa"/>
              <w:left w:w="0" w:type="dxa"/>
              <w:bottom w:w="0" w:type="dxa"/>
              <w:right w:w="0" w:type="dxa"/>
            </w:tcMar>
            <w:vAlign w:val="center"/>
          </w:tcPr>
          <w:p w14:paraId="659B46F1">
            <w:pPr>
              <w:pStyle w:val="17"/>
              <w:bidi w:val="0"/>
              <w:rPr>
                <w:color w:val="auto"/>
                <w:highlight w:val="none"/>
              </w:rPr>
            </w:pPr>
            <w:r>
              <w:rPr>
                <w:color w:val="auto"/>
                <w:highlight w:val="none"/>
              </w:rPr>
              <w:t>硫酸稀释车间</w:t>
            </w:r>
          </w:p>
        </w:tc>
        <w:tc>
          <w:tcPr>
            <w:tcW w:w="482" w:type="pct"/>
            <w:shd w:val="clear" w:color="auto" w:fill="auto"/>
            <w:tcMar>
              <w:top w:w="0" w:type="dxa"/>
              <w:left w:w="0" w:type="dxa"/>
              <w:bottom w:w="0" w:type="dxa"/>
              <w:right w:w="0" w:type="dxa"/>
            </w:tcMar>
            <w:vAlign w:val="center"/>
          </w:tcPr>
          <w:p w14:paraId="09AD912A">
            <w:pPr>
              <w:pStyle w:val="17"/>
              <w:bidi w:val="0"/>
              <w:rPr>
                <w:color w:val="auto"/>
                <w:highlight w:val="none"/>
              </w:rPr>
            </w:pPr>
            <w:r>
              <w:rPr>
                <w:color w:val="auto"/>
                <w:highlight w:val="none"/>
              </w:rPr>
              <w:t>浓硫酸稀释槽,3台（按点声源组预测）</w:t>
            </w:r>
          </w:p>
        </w:tc>
        <w:tc>
          <w:tcPr>
            <w:tcW w:w="344" w:type="pct"/>
            <w:shd w:val="clear" w:color="auto" w:fill="auto"/>
            <w:tcMar>
              <w:top w:w="0" w:type="dxa"/>
              <w:left w:w="0" w:type="dxa"/>
              <w:bottom w:w="0" w:type="dxa"/>
              <w:right w:w="0" w:type="dxa"/>
            </w:tcMar>
            <w:vAlign w:val="center"/>
          </w:tcPr>
          <w:p w14:paraId="6A7681F0">
            <w:pPr>
              <w:pStyle w:val="17"/>
              <w:bidi w:val="0"/>
              <w:rPr>
                <w:rFonts w:hint="eastAsia" w:eastAsia="宋体"/>
                <w:color w:val="auto"/>
                <w:highlight w:val="none"/>
                <w:lang w:eastAsia="zh-CN"/>
              </w:rPr>
            </w:pPr>
            <w:r>
              <w:rPr>
                <w:color w:val="auto"/>
                <w:highlight w:val="none"/>
              </w:rPr>
              <w:t>65（等效后：69.8</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1F7FF8D8">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74565DEF">
            <w:pPr>
              <w:pStyle w:val="17"/>
              <w:bidi w:val="0"/>
              <w:rPr>
                <w:color w:val="auto"/>
                <w:highlight w:val="none"/>
              </w:rPr>
            </w:pPr>
            <w:r>
              <w:rPr>
                <w:color w:val="auto"/>
                <w:highlight w:val="none"/>
              </w:rPr>
              <w:t>-276.5</w:t>
            </w:r>
          </w:p>
        </w:tc>
        <w:tc>
          <w:tcPr>
            <w:tcW w:w="260" w:type="pct"/>
            <w:shd w:val="clear" w:color="auto" w:fill="auto"/>
            <w:tcMar>
              <w:top w:w="0" w:type="dxa"/>
              <w:left w:w="0" w:type="dxa"/>
              <w:bottom w:w="0" w:type="dxa"/>
              <w:right w:w="0" w:type="dxa"/>
            </w:tcMar>
            <w:vAlign w:val="center"/>
          </w:tcPr>
          <w:p w14:paraId="34127A14">
            <w:pPr>
              <w:pStyle w:val="17"/>
              <w:bidi w:val="0"/>
              <w:rPr>
                <w:color w:val="auto"/>
                <w:highlight w:val="none"/>
              </w:rPr>
            </w:pPr>
            <w:r>
              <w:rPr>
                <w:color w:val="auto"/>
                <w:highlight w:val="none"/>
              </w:rPr>
              <w:t>-975.6</w:t>
            </w:r>
          </w:p>
        </w:tc>
        <w:tc>
          <w:tcPr>
            <w:tcW w:w="235" w:type="pct"/>
            <w:shd w:val="clear" w:color="auto" w:fill="auto"/>
            <w:tcMar>
              <w:top w:w="0" w:type="dxa"/>
              <w:left w:w="0" w:type="dxa"/>
              <w:bottom w:w="0" w:type="dxa"/>
              <w:right w:w="0" w:type="dxa"/>
            </w:tcMar>
            <w:vAlign w:val="center"/>
          </w:tcPr>
          <w:p w14:paraId="637AE4DB">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47CE538F">
            <w:pPr>
              <w:pStyle w:val="17"/>
              <w:bidi w:val="0"/>
              <w:rPr>
                <w:color w:val="auto"/>
                <w:highlight w:val="none"/>
              </w:rPr>
            </w:pPr>
            <w:r>
              <w:rPr>
                <w:color w:val="auto"/>
                <w:highlight w:val="none"/>
              </w:rPr>
              <w:t>20.6</w:t>
            </w:r>
          </w:p>
        </w:tc>
        <w:tc>
          <w:tcPr>
            <w:tcW w:w="189" w:type="pct"/>
            <w:shd w:val="clear" w:color="auto" w:fill="auto"/>
            <w:tcMar>
              <w:top w:w="0" w:type="dxa"/>
              <w:left w:w="0" w:type="dxa"/>
              <w:bottom w:w="0" w:type="dxa"/>
              <w:right w:w="0" w:type="dxa"/>
            </w:tcMar>
            <w:vAlign w:val="center"/>
          </w:tcPr>
          <w:p w14:paraId="4CD98623">
            <w:pPr>
              <w:pStyle w:val="17"/>
              <w:bidi w:val="0"/>
              <w:rPr>
                <w:color w:val="auto"/>
                <w:highlight w:val="none"/>
              </w:rPr>
            </w:pPr>
            <w:r>
              <w:rPr>
                <w:color w:val="auto"/>
                <w:highlight w:val="none"/>
              </w:rPr>
              <w:t>17.7</w:t>
            </w:r>
          </w:p>
        </w:tc>
        <w:tc>
          <w:tcPr>
            <w:tcW w:w="176" w:type="pct"/>
            <w:shd w:val="clear" w:color="auto" w:fill="auto"/>
            <w:tcMar>
              <w:top w:w="0" w:type="dxa"/>
              <w:left w:w="0" w:type="dxa"/>
              <w:bottom w:w="0" w:type="dxa"/>
              <w:right w:w="0" w:type="dxa"/>
            </w:tcMar>
            <w:vAlign w:val="center"/>
          </w:tcPr>
          <w:p w14:paraId="7E02B6FC">
            <w:pPr>
              <w:pStyle w:val="17"/>
              <w:bidi w:val="0"/>
              <w:rPr>
                <w:color w:val="auto"/>
                <w:highlight w:val="none"/>
              </w:rPr>
            </w:pPr>
            <w:r>
              <w:rPr>
                <w:color w:val="auto"/>
                <w:highlight w:val="none"/>
              </w:rPr>
              <w:t>9.3</w:t>
            </w:r>
          </w:p>
        </w:tc>
        <w:tc>
          <w:tcPr>
            <w:tcW w:w="158" w:type="pct"/>
            <w:shd w:val="clear" w:color="auto" w:fill="auto"/>
            <w:tcMar>
              <w:top w:w="0" w:type="dxa"/>
              <w:left w:w="0" w:type="dxa"/>
              <w:bottom w:w="0" w:type="dxa"/>
              <w:right w:w="0" w:type="dxa"/>
            </w:tcMar>
            <w:vAlign w:val="center"/>
          </w:tcPr>
          <w:p w14:paraId="742B5B90">
            <w:pPr>
              <w:pStyle w:val="17"/>
              <w:bidi w:val="0"/>
              <w:rPr>
                <w:color w:val="auto"/>
                <w:highlight w:val="none"/>
              </w:rPr>
            </w:pPr>
            <w:r>
              <w:rPr>
                <w:color w:val="auto"/>
                <w:highlight w:val="none"/>
              </w:rPr>
              <w:t>10.3</w:t>
            </w:r>
          </w:p>
        </w:tc>
        <w:tc>
          <w:tcPr>
            <w:tcW w:w="167" w:type="pct"/>
            <w:shd w:val="clear" w:color="auto" w:fill="auto"/>
            <w:tcMar>
              <w:top w:w="0" w:type="dxa"/>
              <w:left w:w="0" w:type="dxa"/>
              <w:bottom w:w="0" w:type="dxa"/>
              <w:right w:w="0" w:type="dxa"/>
            </w:tcMar>
            <w:vAlign w:val="center"/>
          </w:tcPr>
          <w:p w14:paraId="327E0BF5">
            <w:pPr>
              <w:pStyle w:val="17"/>
              <w:bidi w:val="0"/>
              <w:rPr>
                <w:color w:val="auto"/>
                <w:highlight w:val="none"/>
              </w:rPr>
            </w:pPr>
            <w:r>
              <w:rPr>
                <w:color w:val="auto"/>
                <w:highlight w:val="none"/>
              </w:rPr>
              <w:t>56.4</w:t>
            </w:r>
          </w:p>
        </w:tc>
        <w:tc>
          <w:tcPr>
            <w:tcW w:w="167" w:type="pct"/>
            <w:shd w:val="clear" w:color="auto" w:fill="auto"/>
            <w:tcMar>
              <w:top w:w="0" w:type="dxa"/>
              <w:left w:w="0" w:type="dxa"/>
              <w:bottom w:w="0" w:type="dxa"/>
              <w:right w:w="0" w:type="dxa"/>
            </w:tcMar>
            <w:vAlign w:val="center"/>
          </w:tcPr>
          <w:p w14:paraId="35D394A2">
            <w:pPr>
              <w:pStyle w:val="17"/>
              <w:bidi w:val="0"/>
              <w:rPr>
                <w:color w:val="auto"/>
                <w:highlight w:val="none"/>
              </w:rPr>
            </w:pPr>
            <w:r>
              <w:rPr>
                <w:color w:val="auto"/>
                <w:highlight w:val="none"/>
              </w:rPr>
              <w:t>56.4</w:t>
            </w:r>
          </w:p>
        </w:tc>
        <w:tc>
          <w:tcPr>
            <w:tcW w:w="185" w:type="pct"/>
            <w:shd w:val="clear" w:color="auto" w:fill="auto"/>
            <w:tcMar>
              <w:top w:w="0" w:type="dxa"/>
              <w:left w:w="0" w:type="dxa"/>
              <w:bottom w:w="0" w:type="dxa"/>
              <w:right w:w="0" w:type="dxa"/>
            </w:tcMar>
            <w:vAlign w:val="center"/>
          </w:tcPr>
          <w:p w14:paraId="19D12790">
            <w:pPr>
              <w:pStyle w:val="17"/>
              <w:bidi w:val="0"/>
              <w:rPr>
                <w:color w:val="auto"/>
                <w:highlight w:val="none"/>
              </w:rPr>
            </w:pPr>
            <w:r>
              <w:rPr>
                <w:color w:val="auto"/>
                <w:highlight w:val="none"/>
              </w:rPr>
              <w:t>56.4</w:t>
            </w:r>
          </w:p>
        </w:tc>
        <w:tc>
          <w:tcPr>
            <w:tcW w:w="163" w:type="pct"/>
            <w:shd w:val="clear" w:color="auto" w:fill="auto"/>
            <w:tcMar>
              <w:top w:w="0" w:type="dxa"/>
              <w:left w:w="0" w:type="dxa"/>
              <w:bottom w:w="0" w:type="dxa"/>
              <w:right w:w="0" w:type="dxa"/>
            </w:tcMar>
            <w:vAlign w:val="center"/>
          </w:tcPr>
          <w:p w14:paraId="3441A914">
            <w:pPr>
              <w:pStyle w:val="17"/>
              <w:bidi w:val="0"/>
              <w:rPr>
                <w:color w:val="auto"/>
                <w:highlight w:val="none"/>
              </w:rPr>
            </w:pPr>
            <w:r>
              <w:rPr>
                <w:color w:val="auto"/>
                <w:highlight w:val="none"/>
              </w:rPr>
              <w:t>56.4</w:t>
            </w:r>
          </w:p>
        </w:tc>
        <w:tc>
          <w:tcPr>
            <w:tcW w:w="277" w:type="pct"/>
            <w:shd w:val="clear" w:color="auto" w:fill="auto"/>
            <w:tcMar>
              <w:top w:w="0" w:type="dxa"/>
              <w:left w:w="0" w:type="dxa"/>
              <w:bottom w:w="0" w:type="dxa"/>
              <w:right w:w="0" w:type="dxa"/>
            </w:tcMar>
            <w:vAlign w:val="center"/>
          </w:tcPr>
          <w:p w14:paraId="76A03372">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1E80F49C">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396DCFD7">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46.4</w:t>
            </w:r>
          </w:p>
        </w:tc>
        <w:tc>
          <w:tcPr>
            <w:tcW w:w="288" w:type="pct"/>
            <w:shd w:val="clear" w:color="auto" w:fill="auto"/>
            <w:tcMar>
              <w:top w:w="0" w:type="dxa"/>
              <w:left w:w="0" w:type="dxa"/>
              <w:bottom w:w="0" w:type="dxa"/>
              <w:right w:w="0" w:type="dxa"/>
            </w:tcMar>
            <w:vAlign w:val="center"/>
          </w:tcPr>
          <w:p w14:paraId="681AB21A">
            <w:pPr>
              <w:pStyle w:val="17"/>
              <w:bidi w:val="0"/>
              <w:ind w:firstLine="0" w:firstLineChars="0"/>
              <w:rPr>
                <w:color w:val="auto"/>
                <w:highlight w:val="none"/>
              </w:rPr>
            </w:pPr>
            <w:r>
              <w:rPr>
                <w:rFonts w:hint="eastAsia"/>
                <w:color w:val="auto"/>
                <w:highlight w:val="none"/>
                <w:lang w:val="en-US" w:eastAsia="zh-CN"/>
              </w:rPr>
              <w:t>1</w:t>
            </w:r>
          </w:p>
        </w:tc>
      </w:tr>
      <w:tr w14:paraId="1B26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12C896B">
            <w:pPr>
              <w:pStyle w:val="17"/>
              <w:bidi w:val="0"/>
              <w:rPr>
                <w:color w:val="auto"/>
                <w:highlight w:val="none"/>
              </w:rPr>
            </w:pPr>
            <w:r>
              <w:rPr>
                <w:color w:val="auto"/>
                <w:highlight w:val="none"/>
              </w:rPr>
              <w:t>39</w:t>
            </w:r>
          </w:p>
        </w:tc>
        <w:tc>
          <w:tcPr>
            <w:tcW w:w="234" w:type="pct"/>
            <w:shd w:val="clear" w:color="auto" w:fill="auto"/>
            <w:tcMar>
              <w:top w:w="0" w:type="dxa"/>
              <w:left w:w="0" w:type="dxa"/>
              <w:bottom w:w="0" w:type="dxa"/>
              <w:right w:w="0" w:type="dxa"/>
            </w:tcMar>
            <w:vAlign w:val="center"/>
          </w:tcPr>
          <w:p w14:paraId="5A3F3007">
            <w:pPr>
              <w:pStyle w:val="17"/>
              <w:bidi w:val="0"/>
              <w:rPr>
                <w:color w:val="auto"/>
                <w:highlight w:val="none"/>
              </w:rPr>
            </w:pPr>
            <w:r>
              <w:rPr>
                <w:color w:val="auto"/>
                <w:highlight w:val="none"/>
              </w:rPr>
              <w:t>硫酸稀释车间</w:t>
            </w:r>
          </w:p>
        </w:tc>
        <w:tc>
          <w:tcPr>
            <w:tcW w:w="482" w:type="pct"/>
            <w:shd w:val="clear" w:color="auto" w:fill="auto"/>
            <w:tcMar>
              <w:top w:w="0" w:type="dxa"/>
              <w:left w:w="0" w:type="dxa"/>
              <w:bottom w:w="0" w:type="dxa"/>
              <w:right w:w="0" w:type="dxa"/>
            </w:tcMar>
            <w:vAlign w:val="center"/>
          </w:tcPr>
          <w:p w14:paraId="6FE2C601">
            <w:pPr>
              <w:pStyle w:val="17"/>
              <w:bidi w:val="0"/>
              <w:rPr>
                <w:color w:val="auto"/>
                <w:highlight w:val="none"/>
              </w:rPr>
            </w:pPr>
            <w:r>
              <w:rPr>
                <w:color w:val="auto"/>
                <w:highlight w:val="none"/>
              </w:rPr>
              <w:t>液下泵,2台（按点声源组预测）</w:t>
            </w:r>
          </w:p>
        </w:tc>
        <w:tc>
          <w:tcPr>
            <w:tcW w:w="344" w:type="pct"/>
            <w:shd w:val="clear" w:color="auto" w:fill="auto"/>
            <w:tcMar>
              <w:top w:w="0" w:type="dxa"/>
              <w:left w:w="0" w:type="dxa"/>
              <w:bottom w:w="0" w:type="dxa"/>
              <w:right w:w="0" w:type="dxa"/>
            </w:tcMar>
            <w:vAlign w:val="center"/>
          </w:tcPr>
          <w:p w14:paraId="4EA4304E">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3F9FBA9E">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24237E0E">
            <w:pPr>
              <w:pStyle w:val="17"/>
              <w:bidi w:val="0"/>
              <w:rPr>
                <w:color w:val="auto"/>
                <w:highlight w:val="none"/>
              </w:rPr>
            </w:pPr>
            <w:r>
              <w:rPr>
                <w:color w:val="auto"/>
                <w:highlight w:val="none"/>
              </w:rPr>
              <w:t>-273.2</w:t>
            </w:r>
          </w:p>
        </w:tc>
        <w:tc>
          <w:tcPr>
            <w:tcW w:w="260" w:type="pct"/>
            <w:shd w:val="clear" w:color="auto" w:fill="auto"/>
            <w:tcMar>
              <w:top w:w="0" w:type="dxa"/>
              <w:left w:w="0" w:type="dxa"/>
              <w:bottom w:w="0" w:type="dxa"/>
              <w:right w:w="0" w:type="dxa"/>
            </w:tcMar>
            <w:vAlign w:val="center"/>
          </w:tcPr>
          <w:p w14:paraId="5905EE7E">
            <w:pPr>
              <w:pStyle w:val="17"/>
              <w:bidi w:val="0"/>
              <w:rPr>
                <w:color w:val="auto"/>
                <w:highlight w:val="none"/>
              </w:rPr>
            </w:pPr>
            <w:r>
              <w:rPr>
                <w:color w:val="auto"/>
                <w:highlight w:val="none"/>
              </w:rPr>
              <w:t>-985.9</w:t>
            </w:r>
          </w:p>
        </w:tc>
        <w:tc>
          <w:tcPr>
            <w:tcW w:w="235" w:type="pct"/>
            <w:shd w:val="clear" w:color="auto" w:fill="auto"/>
            <w:tcMar>
              <w:top w:w="0" w:type="dxa"/>
              <w:left w:w="0" w:type="dxa"/>
              <w:bottom w:w="0" w:type="dxa"/>
              <w:right w:w="0" w:type="dxa"/>
            </w:tcMar>
            <w:vAlign w:val="center"/>
          </w:tcPr>
          <w:p w14:paraId="342A0470">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21C1C66F">
            <w:pPr>
              <w:pStyle w:val="17"/>
              <w:bidi w:val="0"/>
              <w:rPr>
                <w:color w:val="auto"/>
                <w:highlight w:val="none"/>
              </w:rPr>
            </w:pPr>
            <w:r>
              <w:rPr>
                <w:color w:val="auto"/>
                <w:highlight w:val="none"/>
              </w:rPr>
              <w:t>17.3</w:t>
            </w:r>
          </w:p>
        </w:tc>
        <w:tc>
          <w:tcPr>
            <w:tcW w:w="189" w:type="pct"/>
            <w:shd w:val="clear" w:color="auto" w:fill="auto"/>
            <w:tcMar>
              <w:top w:w="0" w:type="dxa"/>
              <w:left w:w="0" w:type="dxa"/>
              <w:bottom w:w="0" w:type="dxa"/>
              <w:right w:w="0" w:type="dxa"/>
            </w:tcMar>
            <w:vAlign w:val="center"/>
          </w:tcPr>
          <w:p w14:paraId="25601DDE">
            <w:pPr>
              <w:pStyle w:val="17"/>
              <w:bidi w:val="0"/>
              <w:rPr>
                <w:color w:val="auto"/>
                <w:highlight w:val="none"/>
              </w:rPr>
            </w:pPr>
            <w:r>
              <w:rPr>
                <w:color w:val="auto"/>
                <w:highlight w:val="none"/>
              </w:rPr>
              <w:t>7.4</w:t>
            </w:r>
          </w:p>
        </w:tc>
        <w:tc>
          <w:tcPr>
            <w:tcW w:w="176" w:type="pct"/>
            <w:shd w:val="clear" w:color="auto" w:fill="auto"/>
            <w:tcMar>
              <w:top w:w="0" w:type="dxa"/>
              <w:left w:w="0" w:type="dxa"/>
              <w:bottom w:w="0" w:type="dxa"/>
              <w:right w:w="0" w:type="dxa"/>
            </w:tcMar>
            <w:vAlign w:val="center"/>
          </w:tcPr>
          <w:p w14:paraId="655D5E35">
            <w:pPr>
              <w:pStyle w:val="17"/>
              <w:bidi w:val="0"/>
              <w:rPr>
                <w:color w:val="auto"/>
                <w:highlight w:val="none"/>
              </w:rPr>
            </w:pPr>
            <w:r>
              <w:rPr>
                <w:color w:val="auto"/>
                <w:highlight w:val="none"/>
              </w:rPr>
              <w:t>12.6</w:t>
            </w:r>
          </w:p>
        </w:tc>
        <w:tc>
          <w:tcPr>
            <w:tcW w:w="158" w:type="pct"/>
            <w:shd w:val="clear" w:color="auto" w:fill="auto"/>
            <w:tcMar>
              <w:top w:w="0" w:type="dxa"/>
              <w:left w:w="0" w:type="dxa"/>
              <w:bottom w:w="0" w:type="dxa"/>
              <w:right w:w="0" w:type="dxa"/>
            </w:tcMar>
            <w:vAlign w:val="center"/>
          </w:tcPr>
          <w:p w14:paraId="48AF95B1">
            <w:pPr>
              <w:pStyle w:val="17"/>
              <w:bidi w:val="0"/>
              <w:rPr>
                <w:color w:val="auto"/>
                <w:highlight w:val="none"/>
              </w:rPr>
            </w:pPr>
            <w:r>
              <w:rPr>
                <w:color w:val="auto"/>
                <w:highlight w:val="none"/>
              </w:rPr>
              <w:t>20.6</w:t>
            </w:r>
          </w:p>
        </w:tc>
        <w:tc>
          <w:tcPr>
            <w:tcW w:w="167" w:type="pct"/>
            <w:shd w:val="clear" w:color="auto" w:fill="auto"/>
            <w:tcMar>
              <w:top w:w="0" w:type="dxa"/>
              <w:left w:w="0" w:type="dxa"/>
              <w:bottom w:w="0" w:type="dxa"/>
              <w:right w:w="0" w:type="dxa"/>
            </w:tcMar>
            <w:vAlign w:val="center"/>
          </w:tcPr>
          <w:p w14:paraId="217605EC">
            <w:pPr>
              <w:pStyle w:val="17"/>
              <w:bidi w:val="0"/>
              <w:rPr>
                <w:color w:val="auto"/>
                <w:highlight w:val="none"/>
              </w:rPr>
            </w:pPr>
            <w:r>
              <w:rPr>
                <w:color w:val="auto"/>
                <w:highlight w:val="none"/>
              </w:rPr>
              <w:t>64.6</w:t>
            </w:r>
          </w:p>
        </w:tc>
        <w:tc>
          <w:tcPr>
            <w:tcW w:w="167" w:type="pct"/>
            <w:shd w:val="clear" w:color="auto" w:fill="auto"/>
            <w:tcMar>
              <w:top w:w="0" w:type="dxa"/>
              <w:left w:w="0" w:type="dxa"/>
              <w:bottom w:w="0" w:type="dxa"/>
              <w:right w:w="0" w:type="dxa"/>
            </w:tcMar>
            <w:vAlign w:val="center"/>
          </w:tcPr>
          <w:p w14:paraId="3D98A326">
            <w:pPr>
              <w:pStyle w:val="17"/>
              <w:bidi w:val="0"/>
              <w:rPr>
                <w:color w:val="auto"/>
                <w:highlight w:val="none"/>
              </w:rPr>
            </w:pPr>
            <w:r>
              <w:rPr>
                <w:color w:val="auto"/>
                <w:highlight w:val="none"/>
              </w:rPr>
              <w:t>64.7</w:t>
            </w:r>
          </w:p>
        </w:tc>
        <w:tc>
          <w:tcPr>
            <w:tcW w:w="185" w:type="pct"/>
            <w:shd w:val="clear" w:color="auto" w:fill="auto"/>
            <w:tcMar>
              <w:top w:w="0" w:type="dxa"/>
              <w:left w:w="0" w:type="dxa"/>
              <w:bottom w:w="0" w:type="dxa"/>
              <w:right w:w="0" w:type="dxa"/>
            </w:tcMar>
            <w:vAlign w:val="center"/>
          </w:tcPr>
          <w:p w14:paraId="485EF841">
            <w:pPr>
              <w:pStyle w:val="17"/>
              <w:bidi w:val="0"/>
              <w:rPr>
                <w:color w:val="auto"/>
                <w:highlight w:val="none"/>
              </w:rPr>
            </w:pPr>
            <w:r>
              <w:rPr>
                <w:color w:val="auto"/>
                <w:highlight w:val="none"/>
              </w:rPr>
              <w:t>64.6</w:t>
            </w:r>
          </w:p>
        </w:tc>
        <w:tc>
          <w:tcPr>
            <w:tcW w:w="163" w:type="pct"/>
            <w:shd w:val="clear" w:color="auto" w:fill="auto"/>
            <w:tcMar>
              <w:top w:w="0" w:type="dxa"/>
              <w:left w:w="0" w:type="dxa"/>
              <w:bottom w:w="0" w:type="dxa"/>
              <w:right w:w="0" w:type="dxa"/>
            </w:tcMar>
            <w:vAlign w:val="center"/>
          </w:tcPr>
          <w:p w14:paraId="31C271BF">
            <w:pPr>
              <w:pStyle w:val="17"/>
              <w:bidi w:val="0"/>
              <w:rPr>
                <w:color w:val="auto"/>
                <w:highlight w:val="none"/>
              </w:rPr>
            </w:pPr>
            <w:r>
              <w:rPr>
                <w:color w:val="auto"/>
                <w:highlight w:val="none"/>
              </w:rPr>
              <w:t>64.6</w:t>
            </w:r>
          </w:p>
        </w:tc>
        <w:tc>
          <w:tcPr>
            <w:tcW w:w="277" w:type="pct"/>
            <w:shd w:val="clear" w:color="auto" w:fill="auto"/>
            <w:tcMar>
              <w:top w:w="0" w:type="dxa"/>
              <w:left w:w="0" w:type="dxa"/>
              <w:bottom w:w="0" w:type="dxa"/>
              <w:right w:w="0" w:type="dxa"/>
            </w:tcMar>
            <w:vAlign w:val="center"/>
          </w:tcPr>
          <w:p w14:paraId="7165BA4D">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39736886">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06209C52">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54.6</w:t>
            </w:r>
          </w:p>
        </w:tc>
        <w:tc>
          <w:tcPr>
            <w:tcW w:w="288" w:type="pct"/>
            <w:shd w:val="clear" w:color="auto" w:fill="auto"/>
            <w:tcMar>
              <w:top w:w="0" w:type="dxa"/>
              <w:left w:w="0" w:type="dxa"/>
              <w:bottom w:w="0" w:type="dxa"/>
              <w:right w:w="0" w:type="dxa"/>
            </w:tcMar>
            <w:vAlign w:val="center"/>
          </w:tcPr>
          <w:p w14:paraId="18161B8B">
            <w:pPr>
              <w:pStyle w:val="17"/>
              <w:bidi w:val="0"/>
              <w:ind w:firstLine="0" w:firstLineChars="0"/>
              <w:rPr>
                <w:color w:val="auto"/>
                <w:highlight w:val="none"/>
              </w:rPr>
            </w:pPr>
            <w:r>
              <w:rPr>
                <w:rFonts w:hint="eastAsia"/>
                <w:color w:val="auto"/>
                <w:highlight w:val="none"/>
                <w:lang w:val="en-US" w:eastAsia="zh-CN"/>
              </w:rPr>
              <w:t>1</w:t>
            </w:r>
          </w:p>
        </w:tc>
      </w:tr>
      <w:tr w14:paraId="5C3E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2F440E74">
            <w:pPr>
              <w:pStyle w:val="17"/>
              <w:bidi w:val="0"/>
              <w:rPr>
                <w:color w:val="auto"/>
                <w:highlight w:val="none"/>
              </w:rPr>
            </w:pPr>
            <w:r>
              <w:rPr>
                <w:color w:val="auto"/>
                <w:highlight w:val="none"/>
              </w:rPr>
              <w:t>40</w:t>
            </w:r>
          </w:p>
        </w:tc>
        <w:tc>
          <w:tcPr>
            <w:tcW w:w="234" w:type="pct"/>
            <w:shd w:val="clear" w:color="auto" w:fill="auto"/>
            <w:tcMar>
              <w:top w:w="0" w:type="dxa"/>
              <w:left w:w="0" w:type="dxa"/>
              <w:bottom w:w="0" w:type="dxa"/>
              <w:right w:w="0" w:type="dxa"/>
            </w:tcMar>
            <w:vAlign w:val="center"/>
          </w:tcPr>
          <w:p w14:paraId="75E964CE">
            <w:pPr>
              <w:pStyle w:val="17"/>
              <w:bidi w:val="0"/>
              <w:rPr>
                <w:color w:val="auto"/>
                <w:highlight w:val="none"/>
              </w:rPr>
            </w:pPr>
            <w:r>
              <w:rPr>
                <w:color w:val="auto"/>
                <w:highlight w:val="none"/>
              </w:rPr>
              <w:t>尾矿浓缩及输送泵站</w:t>
            </w:r>
          </w:p>
        </w:tc>
        <w:tc>
          <w:tcPr>
            <w:tcW w:w="482" w:type="pct"/>
            <w:shd w:val="clear" w:color="auto" w:fill="auto"/>
            <w:tcMar>
              <w:top w:w="0" w:type="dxa"/>
              <w:left w:w="0" w:type="dxa"/>
              <w:bottom w:w="0" w:type="dxa"/>
              <w:right w:w="0" w:type="dxa"/>
            </w:tcMar>
            <w:vAlign w:val="center"/>
          </w:tcPr>
          <w:p w14:paraId="38EEA043">
            <w:pPr>
              <w:pStyle w:val="17"/>
              <w:bidi w:val="0"/>
              <w:rPr>
                <w:color w:val="auto"/>
                <w:highlight w:val="none"/>
              </w:rPr>
            </w:pPr>
            <w:r>
              <w:rPr>
                <w:color w:val="auto"/>
                <w:highlight w:val="none"/>
              </w:rPr>
              <w:t>高效浓密机</w:t>
            </w:r>
          </w:p>
        </w:tc>
        <w:tc>
          <w:tcPr>
            <w:tcW w:w="344" w:type="pct"/>
            <w:shd w:val="clear" w:color="auto" w:fill="auto"/>
            <w:tcMar>
              <w:top w:w="0" w:type="dxa"/>
              <w:left w:w="0" w:type="dxa"/>
              <w:bottom w:w="0" w:type="dxa"/>
              <w:right w:w="0" w:type="dxa"/>
            </w:tcMar>
            <w:vAlign w:val="center"/>
          </w:tcPr>
          <w:p w14:paraId="7F963D5F">
            <w:pPr>
              <w:pStyle w:val="17"/>
              <w:bidi w:val="0"/>
              <w:rPr>
                <w:color w:val="auto"/>
                <w:highlight w:val="none"/>
              </w:rPr>
            </w:pPr>
            <w:r>
              <w:rPr>
                <w:color w:val="auto"/>
                <w:highlight w:val="none"/>
              </w:rPr>
              <w:t>75</w:t>
            </w:r>
          </w:p>
        </w:tc>
        <w:tc>
          <w:tcPr>
            <w:tcW w:w="361" w:type="pct"/>
            <w:vMerge w:val="continue"/>
            <w:shd w:val="clear" w:color="auto" w:fill="auto"/>
            <w:tcMar>
              <w:top w:w="0" w:type="dxa"/>
              <w:left w:w="0" w:type="dxa"/>
              <w:bottom w:w="0" w:type="dxa"/>
              <w:right w:w="0" w:type="dxa"/>
            </w:tcMar>
            <w:vAlign w:val="center"/>
          </w:tcPr>
          <w:p w14:paraId="1FB55770">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369C4683">
            <w:pPr>
              <w:pStyle w:val="17"/>
              <w:bidi w:val="0"/>
              <w:rPr>
                <w:color w:val="auto"/>
                <w:highlight w:val="none"/>
              </w:rPr>
            </w:pPr>
            <w:r>
              <w:rPr>
                <w:color w:val="auto"/>
                <w:highlight w:val="none"/>
              </w:rPr>
              <w:t>83</w:t>
            </w:r>
          </w:p>
        </w:tc>
        <w:tc>
          <w:tcPr>
            <w:tcW w:w="260" w:type="pct"/>
            <w:shd w:val="clear" w:color="auto" w:fill="auto"/>
            <w:tcMar>
              <w:top w:w="0" w:type="dxa"/>
              <w:left w:w="0" w:type="dxa"/>
              <w:bottom w:w="0" w:type="dxa"/>
              <w:right w:w="0" w:type="dxa"/>
            </w:tcMar>
            <w:vAlign w:val="center"/>
          </w:tcPr>
          <w:p w14:paraId="4A9299F0">
            <w:pPr>
              <w:pStyle w:val="17"/>
              <w:bidi w:val="0"/>
              <w:rPr>
                <w:color w:val="auto"/>
                <w:highlight w:val="none"/>
              </w:rPr>
            </w:pPr>
            <w:r>
              <w:rPr>
                <w:color w:val="auto"/>
                <w:highlight w:val="none"/>
              </w:rPr>
              <w:t>-896.6</w:t>
            </w:r>
          </w:p>
        </w:tc>
        <w:tc>
          <w:tcPr>
            <w:tcW w:w="235" w:type="pct"/>
            <w:shd w:val="clear" w:color="auto" w:fill="auto"/>
            <w:tcMar>
              <w:top w:w="0" w:type="dxa"/>
              <w:left w:w="0" w:type="dxa"/>
              <w:bottom w:w="0" w:type="dxa"/>
              <w:right w:w="0" w:type="dxa"/>
            </w:tcMar>
            <w:vAlign w:val="center"/>
          </w:tcPr>
          <w:p w14:paraId="397BD419">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0C262FBE">
            <w:pPr>
              <w:pStyle w:val="17"/>
              <w:bidi w:val="0"/>
              <w:rPr>
                <w:color w:val="auto"/>
                <w:highlight w:val="none"/>
              </w:rPr>
            </w:pPr>
            <w:r>
              <w:rPr>
                <w:color w:val="auto"/>
                <w:highlight w:val="none"/>
              </w:rPr>
              <w:t>21.9</w:t>
            </w:r>
          </w:p>
        </w:tc>
        <w:tc>
          <w:tcPr>
            <w:tcW w:w="189" w:type="pct"/>
            <w:shd w:val="clear" w:color="auto" w:fill="auto"/>
            <w:tcMar>
              <w:top w:w="0" w:type="dxa"/>
              <w:left w:w="0" w:type="dxa"/>
              <w:bottom w:w="0" w:type="dxa"/>
              <w:right w:w="0" w:type="dxa"/>
            </w:tcMar>
            <w:vAlign w:val="center"/>
          </w:tcPr>
          <w:p w14:paraId="3CC81889">
            <w:pPr>
              <w:pStyle w:val="17"/>
              <w:bidi w:val="0"/>
              <w:rPr>
                <w:color w:val="auto"/>
                <w:highlight w:val="none"/>
              </w:rPr>
            </w:pPr>
            <w:r>
              <w:rPr>
                <w:color w:val="auto"/>
                <w:highlight w:val="none"/>
              </w:rPr>
              <w:t>35.0</w:t>
            </w:r>
          </w:p>
        </w:tc>
        <w:tc>
          <w:tcPr>
            <w:tcW w:w="176" w:type="pct"/>
            <w:shd w:val="clear" w:color="auto" w:fill="auto"/>
            <w:tcMar>
              <w:top w:w="0" w:type="dxa"/>
              <w:left w:w="0" w:type="dxa"/>
              <w:bottom w:w="0" w:type="dxa"/>
              <w:right w:w="0" w:type="dxa"/>
            </w:tcMar>
            <w:vAlign w:val="center"/>
          </w:tcPr>
          <w:p w14:paraId="2BBB0417">
            <w:pPr>
              <w:pStyle w:val="17"/>
              <w:bidi w:val="0"/>
              <w:rPr>
                <w:color w:val="auto"/>
                <w:highlight w:val="none"/>
              </w:rPr>
            </w:pPr>
            <w:r>
              <w:rPr>
                <w:color w:val="auto"/>
                <w:highlight w:val="none"/>
              </w:rPr>
              <w:t>19.2</w:t>
            </w:r>
          </w:p>
        </w:tc>
        <w:tc>
          <w:tcPr>
            <w:tcW w:w="158" w:type="pct"/>
            <w:shd w:val="clear" w:color="auto" w:fill="auto"/>
            <w:tcMar>
              <w:top w:w="0" w:type="dxa"/>
              <w:left w:w="0" w:type="dxa"/>
              <w:bottom w:w="0" w:type="dxa"/>
              <w:right w:w="0" w:type="dxa"/>
            </w:tcMar>
            <w:vAlign w:val="center"/>
          </w:tcPr>
          <w:p w14:paraId="330BB97E">
            <w:pPr>
              <w:pStyle w:val="17"/>
              <w:bidi w:val="0"/>
              <w:rPr>
                <w:color w:val="auto"/>
                <w:highlight w:val="none"/>
              </w:rPr>
            </w:pPr>
            <w:r>
              <w:rPr>
                <w:color w:val="auto"/>
                <w:highlight w:val="none"/>
              </w:rPr>
              <w:t>17.3</w:t>
            </w:r>
          </w:p>
        </w:tc>
        <w:tc>
          <w:tcPr>
            <w:tcW w:w="167" w:type="pct"/>
            <w:shd w:val="clear" w:color="auto" w:fill="auto"/>
            <w:tcMar>
              <w:top w:w="0" w:type="dxa"/>
              <w:left w:w="0" w:type="dxa"/>
              <w:bottom w:w="0" w:type="dxa"/>
              <w:right w:w="0" w:type="dxa"/>
            </w:tcMar>
            <w:vAlign w:val="center"/>
          </w:tcPr>
          <w:p w14:paraId="52DAAA1F">
            <w:pPr>
              <w:pStyle w:val="17"/>
              <w:bidi w:val="0"/>
              <w:rPr>
                <w:color w:val="auto"/>
                <w:highlight w:val="none"/>
              </w:rPr>
            </w:pPr>
            <w:r>
              <w:rPr>
                <w:color w:val="auto"/>
                <w:highlight w:val="none"/>
              </w:rPr>
              <w:t>59.5</w:t>
            </w:r>
          </w:p>
        </w:tc>
        <w:tc>
          <w:tcPr>
            <w:tcW w:w="167" w:type="pct"/>
            <w:shd w:val="clear" w:color="auto" w:fill="auto"/>
            <w:tcMar>
              <w:top w:w="0" w:type="dxa"/>
              <w:left w:w="0" w:type="dxa"/>
              <w:bottom w:w="0" w:type="dxa"/>
              <w:right w:w="0" w:type="dxa"/>
            </w:tcMar>
            <w:vAlign w:val="center"/>
          </w:tcPr>
          <w:p w14:paraId="7DBD3597">
            <w:pPr>
              <w:pStyle w:val="17"/>
              <w:bidi w:val="0"/>
              <w:rPr>
                <w:color w:val="auto"/>
                <w:highlight w:val="none"/>
              </w:rPr>
            </w:pPr>
            <w:r>
              <w:rPr>
                <w:color w:val="auto"/>
                <w:highlight w:val="none"/>
              </w:rPr>
              <w:t>59.5</w:t>
            </w:r>
          </w:p>
        </w:tc>
        <w:tc>
          <w:tcPr>
            <w:tcW w:w="185" w:type="pct"/>
            <w:shd w:val="clear" w:color="auto" w:fill="auto"/>
            <w:tcMar>
              <w:top w:w="0" w:type="dxa"/>
              <w:left w:w="0" w:type="dxa"/>
              <w:bottom w:w="0" w:type="dxa"/>
              <w:right w:w="0" w:type="dxa"/>
            </w:tcMar>
            <w:vAlign w:val="center"/>
          </w:tcPr>
          <w:p w14:paraId="0E947FAA">
            <w:pPr>
              <w:pStyle w:val="17"/>
              <w:bidi w:val="0"/>
              <w:rPr>
                <w:color w:val="auto"/>
                <w:highlight w:val="none"/>
              </w:rPr>
            </w:pPr>
            <w:r>
              <w:rPr>
                <w:color w:val="auto"/>
                <w:highlight w:val="none"/>
              </w:rPr>
              <w:t>59.5</w:t>
            </w:r>
          </w:p>
        </w:tc>
        <w:tc>
          <w:tcPr>
            <w:tcW w:w="163" w:type="pct"/>
            <w:shd w:val="clear" w:color="auto" w:fill="auto"/>
            <w:tcMar>
              <w:top w:w="0" w:type="dxa"/>
              <w:left w:w="0" w:type="dxa"/>
              <w:bottom w:w="0" w:type="dxa"/>
              <w:right w:w="0" w:type="dxa"/>
            </w:tcMar>
            <w:vAlign w:val="center"/>
          </w:tcPr>
          <w:p w14:paraId="04A7C3BF">
            <w:pPr>
              <w:pStyle w:val="17"/>
              <w:bidi w:val="0"/>
              <w:rPr>
                <w:color w:val="auto"/>
                <w:highlight w:val="none"/>
              </w:rPr>
            </w:pPr>
            <w:r>
              <w:rPr>
                <w:color w:val="auto"/>
                <w:highlight w:val="none"/>
              </w:rPr>
              <w:t>59.5</w:t>
            </w:r>
          </w:p>
        </w:tc>
        <w:tc>
          <w:tcPr>
            <w:tcW w:w="277" w:type="pct"/>
            <w:shd w:val="clear" w:color="auto" w:fill="auto"/>
            <w:tcMar>
              <w:top w:w="0" w:type="dxa"/>
              <w:left w:w="0" w:type="dxa"/>
              <w:bottom w:w="0" w:type="dxa"/>
              <w:right w:w="0" w:type="dxa"/>
            </w:tcMar>
            <w:vAlign w:val="center"/>
          </w:tcPr>
          <w:p w14:paraId="4844EE67">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4683B564">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5292EECE">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49.5</w:t>
            </w:r>
          </w:p>
        </w:tc>
        <w:tc>
          <w:tcPr>
            <w:tcW w:w="288" w:type="pct"/>
            <w:shd w:val="clear" w:color="auto" w:fill="auto"/>
            <w:tcMar>
              <w:top w:w="0" w:type="dxa"/>
              <w:left w:w="0" w:type="dxa"/>
              <w:bottom w:w="0" w:type="dxa"/>
              <w:right w:w="0" w:type="dxa"/>
            </w:tcMar>
            <w:vAlign w:val="center"/>
          </w:tcPr>
          <w:p w14:paraId="2A2F1E40">
            <w:pPr>
              <w:pStyle w:val="17"/>
              <w:bidi w:val="0"/>
              <w:ind w:firstLine="0" w:firstLineChars="0"/>
              <w:rPr>
                <w:color w:val="auto"/>
                <w:highlight w:val="none"/>
              </w:rPr>
            </w:pPr>
            <w:r>
              <w:rPr>
                <w:rFonts w:hint="eastAsia"/>
                <w:color w:val="auto"/>
                <w:highlight w:val="none"/>
                <w:lang w:val="en-US" w:eastAsia="zh-CN"/>
              </w:rPr>
              <w:t>1</w:t>
            </w:r>
          </w:p>
        </w:tc>
      </w:tr>
      <w:tr w14:paraId="2B52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3112AD05">
            <w:pPr>
              <w:pStyle w:val="17"/>
              <w:bidi w:val="0"/>
              <w:rPr>
                <w:color w:val="auto"/>
                <w:highlight w:val="none"/>
              </w:rPr>
            </w:pPr>
            <w:r>
              <w:rPr>
                <w:color w:val="auto"/>
                <w:highlight w:val="none"/>
              </w:rPr>
              <w:t>41</w:t>
            </w:r>
          </w:p>
        </w:tc>
        <w:tc>
          <w:tcPr>
            <w:tcW w:w="234" w:type="pct"/>
            <w:shd w:val="clear" w:color="auto" w:fill="auto"/>
            <w:tcMar>
              <w:top w:w="0" w:type="dxa"/>
              <w:left w:w="0" w:type="dxa"/>
              <w:bottom w:w="0" w:type="dxa"/>
              <w:right w:w="0" w:type="dxa"/>
            </w:tcMar>
            <w:vAlign w:val="center"/>
          </w:tcPr>
          <w:p w14:paraId="262AD6D3">
            <w:pPr>
              <w:pStyle w:val="17"/>
              <w:bidi w:val="0"/>
              <w:rPr>
                <w:color w:val="auto"/>
                <w:highlight w:val="none"/>
              </w:rPr>
            </w:pPr>
            <w:r>
              <w:rPr>
                <w:color w:val="auto"/>
                <w:highlight w:val="none"/>
              </w:rPr>
              <w:t>尾矿浓缩及输送泵站</w:t>
            </w:r>
          </w:p>
        </w:tc>
        <w:tc>
          <w:tcPr>
            <w:tcW w:w="482" w:type="pct"/>
            <w:shd w:val="clear" w:color="auto" w:fill="auto"/>
            <w:tcMar>
              <w:top w:w="0" w:type="dxa"/>
              <w:left w:w="0" w:type="dxa"/>
              <w:bottom w:w="0" w:type="dxa"/>
              <w:right w:w="0" w:type="dxa"/>
            </w:tcMar>
            <w:vAlign w:val="center"/>
          </w:tcPr>
          <w:p w14:paraId="233B6900">
            <w:pPr>
              <w:pStyle w:val="17"/>
              <w:bidi w:val="0"/>
              <w:rPr>
                <w:color w:val="auto"/>
                <w:highlight w:val="none"/>
              </w:rPr>
            </w:pPr>
            <w:r>
              <w:rPr>
                <w:color w:val="auto"/>
                <w:highlight w:val="none"/>
              </w:rPr>
              <w:t>渣浆泵,4台（按点声源组预测）</w:t>
            </w:r>
          </w:p>
        </w:tc>
        <w:tc>
          <w:tcPr>
            <w:tcW w:w="344" w:type="pct"/>
            <w:shd w:val="clear" w:color="auto" w:fill="auto"/>
            <w:tcMar>
              <w:top w:w="0" w:type="dxa"/>
              <w:left w:w="0" w:type="dxa"/>
              <w:bottom w:w="0" w:type="dxa"/>
              <w:right w:w="0" w:type="dxa"/>
            </w:tcMar>
            <w:vAlign w:val="center"/>
          </w:tcPr>
          <w:p w14:paraId="262B5DAE">
            <w:pPr>
              <w:pStyle w:val="17"/>
              <w:bidi w:val="0"/>
              <w:rPr>
                <w:rFonts w:hint="eastAsia" w:eastAsia="宋体"/>
                <w:color w:val="auto"/>
                <w:highlight w:val="none"/>
                <w:lang w:eastAsia="zh-CN"/>
              </w:rPr>
            </w:pPr>
            <w:r>
              <w:rPr>
                <w:color w:val="auto"/>
                <w:highlight w:val="none"/>
              </w:rPr>
              <w:t>75（等效后：81.0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3C0D8400">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591BC128">
            <w:pPr>
              <w:pStyle w:val="17"/>
              <w:bidi w:val="0"/>
              <w:rPr>
                <w:color w:val="auto"/>
                <w:highlight w:val="none"/>
              </w:rPr>
            </w:pPr>
            <w:r>
              <w:rPr>
                <w:color w:val="auto"/>
                <w:highlight w:val="none"/>
              </w:rPr>
              <w:t>79.2</w:t>
            </w:r>
          </w:p>
        </w:tc>
        <w:tc>
          <w:tcPr>
            <w:tcW w:w="260" w:type="pct"/>
            <w:shd w:val="clear" w:color="auto" w:fill="auto"/>
            <w:tcMar>
              <w:top w:w="0" w:type="dxa"/>
              <w:left w:w="0" w:type="dxa"/>
              <w:bottom w:w="0" w:type="dxa"/>
              <w:right w:w="0" w:type="dxa"/>
            </w:tcMar>
            <w:vAlign w:val="center"/>
          </w:tcPr>
          <w:p w14:paraId="636F65CF">
            <w:pPr>
              <w:pStyle w:val="17"/>
              <w:bidi w:val="0"/>
              <w:rPr>
                <w:color w:val="auto"/>
                <w:highlight w:val="none"/>
              </w:rPr>
            </w:pPr>
            <w:r>
              <w:rPr>
                <w:color w:val="auto"/>
                <w:highlight w:val="none"/>
              </w:rPr>
              <w:t>-905.5</w:t>
            </w:r>
          </w:p>
        </w:tc>
        <w:tc>
          <w:tcPr>
            <w:tcW w:w="235" w:type="pct"/>
            <w:shd w:val="clear" w:color="auto" w:fill="auto"/>
            <w:tcMar>
              <w:top w:w="0" w:type="dxa"/>
              <w:left w:w="0" w:type="dxa"/>
              <w:bottom w:w="0" w:type="dxa"/>
              <w:right w:w="0" w:type="dxa"/>
            </w:tcMar>
            <w:vAlign w:val="center"/>
          </w:tcPr>
          <w:p w14:paraId="14135E28">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6F70811A">
            <w:pPr>
              <w:pStyle w:val="17"/>
              <w:bidi w:val="0"/>
              <w:rPr>
                <w:color w:val="auto"/>
                <w:highlight w:val="none"/>
              </w:rPr>
            </w:pPr>
            <w:r>
              <w:rPr>
                <w:color w:val="auto"/>
                <w:highlight w:val="none"/>
              </w:rPr>
              <w:t>25.7</w:t>
            </w:r>
          </w:p>
        </w:tc>
        <w:tc>
          <w:tcPr>
            <w:tcW w:w="189" w:type="pct"/>
            <w:shd w:val="clear" w:color="auto" w:fill="auto"/>
            <w:tcMar>
              <w:top w:w="0" w:type="dxa"/>
              <w:left w:w="0" w:type="dxa"/>
              <w:bottom w:w="0" w:type="dxa"/>
              <w:right w:w="0" w:type="dxa"/>
            </w:tcMar>
            <w:vAlign w:val="center"/>
          </w:tcPr>
          <w:p w14:paraId="32341F84">
            <w:pPr>
              <w:pStyle w:val="17"/>
              <w:bidi w:val="0"/>
              <w:rPr>
                <w:color w:val="auto"/>
                <w:highlight w:val="none"/>
              </w:rPr>
            </w:pPr>
            <w:r>
              <w:rPr>
                <w:color w:val="auto"/>
                <w:highlight w:val="none"/>
              </w:rPr>
              <w:t>26.1</w:t>
            </w:r>
          </w:p>
        </w:tc>
        <w:tc>
          <w:tcPr>
            <w:tcW w:w="176" w:type="pct"/>
            <w:shd w:val="clear" w:color="auto" w:fill="auto"/>
            <w:tcMar>
              <w:top w:w="0" w:type="dxa"/>
              <w:left w:w="0" w:type="dxa"/>
              <w:bottom w:w="0" w:type="dxa"/>
              <w:right w:w="0" w:type="dxa"/>
            </w:tcMar>
            <w:vAlign w:val="center"/>
          </w:tcPr>
          <w:p w14:paraId="25F80543">
            <w:pPr>
              <w:pStyle w:val="17"/>
              <w:bidi w:val="0"/>
              <w:rPr>
                <w:color w:val="auto"/>
                <w:highlight w:val="none"/>
              </w:rPr>
            </w:pPr>
            <w:r>
              <w:rPr>
                <w:color w:val="auto"/>
                <w:highlight w:val="none"/>
              </w:rPr>
              <w:t>15.4</w:t>
            </w:r>
          </w:p>
        </w:tc>
        <w:tc>
          <w:tcPr>
            <w:tcW w:w="158" w:type="pct"/>
            <w:shd w:val="clear" w:color="auto" w:fill="auto"/>
            <w:tcMar>
              <w:top w:w="0" w:type="dxa"/>
              <w:left w:w="0" w:type="dxa"/>
              <w:bottom w:w="0" w:type="dxa"/>
              <w:right w:w="0" w:type="dxa"/>
            </w:tcMar>
            <w:vAlign w:val="center"/>
          </w:tcPr>
          <w:p w14:paraId="525F6FC1">
            <w:pPr>
              <w:pStyle w:val="17"/>
              <w:bidi w:val="0"/>
              <w:rPr>
                <w:color w:val="auto"/>
                <w:highlight w:val="none"/>
              </w:rPr>
            </w:pPr>
            <w:r>
              <w:rPr>
                <w:color w:val="auto"/>
                <w:highlight w:val="none"/>
              </w:rPr>
              <w:t>26.2</w:t>
            </w:r>
          </w:p>
        </w:tc>
        <w:tc>
          <w:tcPr>
            <w:tcW w:w="167" w:type="pct"/>
            <w:shd w:val="clear" w:color="auto" w:fill="auto"/>
            <w:tcMar>
              <w:top w:w="0" w:type="dxa"/>
              <w:left w:w="0" w:type="dxa"/>
              <w:bottom w:w="0" w:type="dxa"/>
              <w:right w:w="0" w:type="dxa"/>
            </w:tcMar>
            <w:vAlign w:val="center"/>
          </w:tcPr>
          <w:p w14:paraId="504FFA00">
            <w:pPr>
              <w:pStyle w:val="17"/>
              <w:bidi w:val="0"/>
              <w:rPr>
                <w:color w:val="auto"/>
                <w:highlight w:val="none"/>
              </w:rPr>
            </w:pPr>
            <w:r>
              <w:rPr>
                <w:color w:val="auto"/>
                <w:highlight w:val="none"/>
              </w:rPr>
              <w:t>65.5</w:t>
            </w:r>
          </w:p>
        </w:tc>
        <w:tc>
          <w:tcPr>
            <w:tcW w:w="167" w:type="pct"/>
            <w:shd w:val="clear" w:color="auto" w:fill="auto"/>
            <w:tcMar>
              <w:top w:w="0" w:type="dxa"/>
              <w:left w:w="0" w:type="dxa"/>
              <w:bottom w:w="0" w:type="dxa"/>
              <w:right w:w="0" w:type="dxa"/>
            </w:tcMar>
            <w:vAlign w:val="center"/>
          </w:tcPr>
          <w:p w14:paraId="47C551D6">
            <w:pPr>
              <w:pStyle w:val="17"/>
              <w:bidi w:val="0"/>
              <w:rPr>
                <w:color w:val="auto"/>
                <w:highlight w:val="none"/>
              </w:rPr>
            </w:pPr>
            <w:r>
              <w:rPr>
                <w:color w:val="auto"/>
                <w:highlight w:val="none"/>
              </w:rPr>
              <w:t>65.5</w:t>
            </w:r>
          </w:p>
        </w:tc>
        <w:tc>
          <w:tcPr>
            <w:tcW w:w="185" w:type="pct"/>
            <w:shd w:val="clear" w:color="auto" w:fill="auto"/>
            <w:tcMar>
              <w:top w:w="0" w:type="dxa"/>
              <w:left w:w="0" w:type="dxa"/>
              <w:bottom w:w="0" w:type="dxa"/>
              <w:right w:w="0" w:type="dxa"/>
            </w:tcMar>
            <w:vAlign w:val="center"/>
          </w:tcPr>
          <w:p w14:paraId="45FCED3B">
            <w:pPr>
              <w:pStyle w:val="17"/>
              <w:bidi w:val="0"/>
              <w:rPr>
                <w:color w:val="auto"/>
                <w:highlight w:val="none"/>
              </w:rPr>
            </w:pPr>
            <w:r>
              <w:rPr>
                <w:color w:val="auto"/>
                <w:highlight w:val="none"/>
              </w:rPr>
              <w:t>65.5</w:t>
            </w:r>
          </w:p>
        </w:tc>
        <w:tc>
          <w:tcPr>
            <w:tcW w:w="163" w:type="pct"/>
            <w:shd w:val="clear" w:color="auto" w:fill="auto"/>
            <w:tcMar>
              <w:top w:w="0" w:type="dxa"/>
              <w:left w:w="0" w:type="dxa"/>
              <w:bottom w:w="0" w:type="dxa"/>
              <w:right w:w="0" w:type="dxa"/>
            </w:tcMar>
            <w:vAlign w:val="center"/>
          </w:tcPr>
          <w:p w14:paraId="1042E7A4">
            <w:pPr>
              <w:pStyle w:val="17"/>
              <w:bidi w:val="0"/>
              <w:rPr>
                <w:color w:val="auto"/>
                <w:highlight w:val="none"/>
              </w:rPr>
            </w:pPr>
            <w:r>
              <w:rPr>
                <w:color w:val="auto"/>
                <w:highlight w:val="none"/>
              </w:rPr>
              <w:t>65.5</w:t>
            </w:r>
          </w:p>
        </w:tc>
        <w:tc>
          <w:tcPr>
            <w:tcW w:w="277" w:type="pct"/>
            <w:shd w:val="clear" w:color="auto" w:fill="auto"/>
            <w:tcMar>
              <w:top w:w="0" w:type="dxa"/>
              <w:left w:w="0" w:type="dxa"/>
              <w:bottom w:w="0" w:type="dxa"/>
              <w:right w:w="0" w:type="dxa"/>
            </w:tcMar>
            <w:vAlign w:val="center"/>
          </w:tcPr>
          <w:p w14:paraId="7312375E">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374BFE2F">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0ACD702A">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55.5</w:t>
            </w:r>
          </w:p>
        </w:tc>
        <w:tc>
          <w:tcPr>
            <w:tcW w:w="288" w:type="pct"/>
            <w:shd w:val="clear" w:color="auto" w:fill="auto"/>
            <w:tcMar>
              <w:top w:w="0" w:type="dxa"/>
              <w:left w:w="0" w:type="dxa"/>
              <w:bottom w:w="0" w:type="dxa"/>
              <w:right w:w="0" w:type="dxa"/>
            </w:tcMar>
            <w:vAlign w:val="center"/>
          </w:tcPr>
          <w:p w14:paraId="4246C197">
            <w:pPr>
              <w:pStyle w:val="17"/>
              <w:bidi w:val="0"/>
              <w:ind w:firstLine="0" w:firstLineChars="0"/>
              <w:rPr>
                <w:color w:val="auto"/>
                <w:highlight w:val="none"/>
              </w:rPr>
            </w:pPr>
            <w:r>
              <w:rPr>
                <w:rFonts w:hint="eastAsia"/>
                <w:color w:val="auto"/>
                <w:highlight w:val="none"/>
                <w:lang w:val="en-US" w:eastAsia="zh-CN"/>
              </w:rPr>
              <w:t>1</w:t>
            </w:r>
          </w:p>
        </w:tc>
      </w:tr>
      <w:tr w14:paraId="7562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17E59B79">
            <w:pPr>
              <w:pStyle w:val="17"/>
              <w:bidi w:val="0"/>
              <w:rPr>
                <w:color w:val="auto"/>
                <w:highlight w:val="none"/>
              </w:rPr>
            </w:pPr>
            <w:r>
              <w:rPr>
                <w:color w:val="auto"/>
                <w:highlight w:val="none"/>
              </w:rPr>
              <w:t>42</w:t>
            </w:r>
          </w:p>
        </w:tc>
        <w:tc>
          <w:tcPr>
            <w:tcW w:w="234" w:type="pct"/>
            <w:shd w:val="clear" w:color="auto" w:fill="auto"/>
            <w:tcMar>
              <w:top w:w="0" w:type="dxa"/>
              <w:left w:w="0" w:type="dxa"/>
              <w:bottom w:w="0" w:type="dxa"/>
              <w:right w:w="0" w:type="dxa"/>
            </w:tcMar>
            <w:vAlign w:val="center"/>
          </w:tcPr>
          <w:p w14:paraId="7B232791">
            <w:pPr>
              <w:pStyle w:val="17"/>
              <w:bidi w:val="0"/>
              <w:rPr>
                <w:color w:val="auto"/>
                <w:highlight w:val="none"/>
              </w:rPr>
            </w:pPr>
            <w:r>
              <w:rPr>
                <w:color w:val="auto"/>
                <w:highlight w:val="none"/>
              </w:rPr>
              <w:t>尾矿浓缩及输送泵站</w:t>
            </w:r>
          </w:p>
        </w:tc>
        <w:tc>
          <w:tcPr>
            <w:tcW w:w="482" w:type="pct"/>
            <w:shd w:val="clear" w:color="auto" w:fill="auto"/>
            <w:tcMar>
              <w:top w:w="0" w:type="dxa"/>
              <w:left w:w="0" w:type="dxa"/>
              <w:bottom w:w="0" w:type="dxa"/>
              <w:right w:w="0" w:type="dxa"/>
            </w:tcMar>
            <w:vAlign w:val="center"/>
          </w:tcPr>
          <w:p w14:paraId="331177FA">
            <w:pPr>
              <w:pStyle w:val="17"/>
              <w:bidi w:val="0"/>
              <w:rPr>
                <w:color w:val="auto"/>
                <w:highlight w:val="none"/>
              </w:rPr>
            </w:pPr>
            <w:r>
              <w:rPr>
                <w:color w:val="auto"/>
                <w:highlight w:val="none"/>
              </w:rPr>
              <w:t>水封水泵,2台（按点声源组预测）</w:t>
            </w:r>
          </w:p>
        </w:tc>
        <w:tc>
          <w:tcPr>
            <w:tcW w:w="344" w:type="pct"/>
            <w:shd w:val="clear" w:color="auto" w:fill="auto"/>
            <w:tcMar>
              <w:top w:w="0" w:type="dxa"/>
              <w:left w:w="0" w:type="dxa"/>
              <w:bottom w:w="0" w:type="dxa"/>
              <w:right w:w="0" w:type="dxa"/>
            </w:tcMar>
            <w:vAlign w:val="center"/>
          </w:tcPr>
          <w:p w14:paraId="2CEB231E">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4FF6E42D">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079B9215">
            <w:pPr>
              <w:pStyle w:val="17"/>
              <w:bidi w:val="0"/>
              <w:rPr>
                <w:color w:val="auto"/>
                <w:highlight w:val="none"/>
              </w:rPr>
            </w:pPr>
            <w:r>
              <w:rPr>
                <w:color w:val="auto"/>
                <w:highlight w:val="none"/>
              </w:rPr>
              <w:t>94.2</w:t>
            </w:r>
          </w:p>
        </w:tc>
        <w:tc>
          <w:tcPr>
            <w:tcW w:w="260" w:type="pct"/>
            <w:shd w:val="clear" w:color="auto" w:fill="auto"/>
            <w:tcMar>
              <w:top w:w="0" w:type="dxa"/>
              <w:left w:w="0" w:type="dxa"/>
              <w:bottom w:w="0" w:type="dxa"/>
              <w:right w:w="0" w:type="dxa"/>
            </w:tcMar>
            <w:vAlign w:val="center"/>
          </w:tcPr>
          <w:p w14:paraId="0E8EB3FC">
            <w:pPr>
              <w:pStyle w:val="17"/>
              <w:bidi w:val="0"/>
              <w:rPr>
                <w:color w:val="auto"/>
                <w:highlight w:val="none"/>
              </w:rPr>
            </w:pPr>
            <w:r>
              <w:rPr>
                <w:color w:val="auto"/>
                <w:highlight w:val="none"/>
              </w:rPr>
              <w:t>-905.9</w:t>
            </w:r>
          </w:p>
        </w:tc>
        <w:tc>
          <w:tcPr>
            <w:tcW w:w="235" w:type="pct"/>
            <w:shd w:val="clear" w:color="auto" w:fill="auto"/>
            <w:tcMar>
              <w:top w:w="0" w:type="dxa"/>
              <w:left w:w="0" w:type="dxa"/>
              <w:bottom w:w="0" w:type="dxa"/>
              <w:right w:w="0" w:type="dxa"/>
            </w:tcMar>
            <w:vAlign w:val="center"/>
          </w:tcPr>
          <w:p w14:paraId="5536D8CE">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19787BA6">
            <w:pPr>
              <w:pStyle w:val="17"/>
              <w:bidi w:val="0"/>
              <w:rPr>
                <w:color w:val="auto"/>
                <w:highlight w:val="none"/>
              </w:rPr>
            </w:pPr>
            <w:r>
              <w:rPr>
                <w:color w:val="auto"/>
                <w:highlight w:val="none"/>
              </w:rPr>
              <w:t>10.7</w:t>
            </w:r>
          </w:p>
        </w:tc>
        <w:tc>
          <w:tcPr>
            <w:tcW w:w="189" w:type="pct"/>
            <w:shd w:val="clear" w:color="auto" w:fill="auto"/>
            <w:tcMar>
              <w:top w:w="0" w:type="dxa"/>
              <w:left w:w="0" w:type="dxa"/>
              <w:bottom w:w="0" w:type="dxa"/>
              <w:right w:w="0" w:type="dxa"/>
            </w:tcMar>
            <w:vAlign w:val="center"/>
          </w:tcPr>
          <w:p w14:paraId="4669A285">
            <w:pPr>
              <w:pStyle w:val="17"/>
              <w:bidi w:val="0"/>
              <w:rPr>
                <w:color w:val="auto"/>
                <w:highlight w:val="none"/>
              </w:rPr>
            </w:pPr>
            <w:r>
              <w:rPr>
                <w:color w:val="auto"/>
                <w:highlight w:val="none"/>
              </w:rPr>
              <w:t>25.7</w:t>
            </w:r>
          </w:p>
        </w:tc>
        <w:tc>
          <w:tcPr>
            <w:tcW w:w="176" w:type="pct"/>
            <w:shd w:val="clear" w:color="auto" w:fill="auto"/>
            <w:tcMar>
              <w:top w:w="0" w:type="dxa"/>
              <w:left w:w="0" w:type="dxa"/>
              <w:bottom w:w="0" w:type="dxa"/>
              <w:right w:w="0" w:type="dxa"/>
            </w:tcMar>
            <w:vAlign w:val="center"/>
          </w:tcPr>
          <w:p w14:paraId="312AE5E5">
            <w:pPr>
              <w:pStyle w:val="17"/>
              <w:bidi w:val="0"/>
              <w:rPr>
                <w:color w:val="auto"/>
                <w:highlight w:val="none"/>
              </w:rPr>
            </w:pPr>
            <w:r>
              <w:rPr>
                <w:color w:val="auto"/>
                <w:highlight w:val="none"/>
              </w:rPr>
              <w:t>30.4</w:t>
            </w:r>
          </w:p>
        </w:tc>
        <w:tc>
          <w:tcPr>
            <w:tcW w:w="158" w:type="pct"/>
            <w:shd w:val="clear" w:color="auto" w:fill="auto"/>
            <w:tcMar>
              <w:top w:w="0" w:type="dxa"/>
              <w:left w:w="0" w:type="dxa"/>
              <w:bottom w:w="0" w:type="dxa"/>
              <w:right w:w="0" w:type="dxa"/>
            </w:tcMar>
            <w:vAlign w:val="center"/>
          </w:tcPr>
          <w:p w14:paraId="7BBDED43">
            <w:pPr>
              <w:pStyle w:val="17"/>
              <w:bidi w:val="0"/>
              <w:rPr>
                <w:color w:val="auto"/>
                <w:highlight w:val="none"/>
              </w:rPr>
            </w:pPr>
            <w:r>
              <w:rPr>
                <w:color w:val="auto"/>
                <w:highlight w:val="none"/>
              </w:rPr>
              <w:t>26.6</w:t>
            </w:r>
          </w:p>
        </w:tc>
        <w:tc>
          <w:tcPr>
            <w:tcW w:w="167" w:type="pct"/>
            <w:shd w:val="clear" w:color="auto" w:fill="auto"/>
            <w:tcMar>
              <w:top w:w="0" w:type="dxa"/>
              <w:left w:w="0" w:type="dxa"/>
              <w:bottom w:w="0" w:type="dxa"/>
              <w:right w:w="0" w:type="dxa"/>
            </w:tcMar>
            <w:vAlign w:val="center"/>
          </w:tcPr>
          <w:p w14:paraId="4B306764">
            <w:pPr>
              <w:pStyle w:val="17"/>
              <w:bidi w:val="0"/>
              <w:rPr>
                <w:color w:val="auto"/>
                <w:highlight w:val="none"/>
              </w:rPr>
            </w:pPr>
            <w:r>
              <w:rPr>
                <w:color w:val="auto"/>
                <w:highlight w:val="none"/>
              </w:rPr>
              <w:t>62.6</w:t>
            </w:r>
          </w:p>
        </w:tc>
        <w:tc>
          <w:tcPr>
            <w:tcW w:w="167" w:type="pct"/>
            <w:shd w:val="clear" w:color="auto" w:fill="auto"/>
            <w:tcMar>
              <w:top w:w="0" w:type="dxa"/>
              <w:left w:w="0" w:type="dxa"/>
              <w:bottom w:w="0" w:type="dxa"/>
              <w:right w:w="0" w:type="dxa"/>
            </w:tcMar>
            <w:vAlign w:val="center"/>
          </w:tcPr>
          <w:p w14:paraId="546BDFCA">
            <w:pPr>
              <w:pStyle w:val="17"/>
              <w:bidi w:val="0"/>
              <w:rPr>
                <w:color w:val="auto"/>
                <w:highlight w:val="none"/>
              </w:rPr>
            </w:pPr>
            <w:r>
              <w:rPr>
                <w:color w:val="auto"/>
                <w:highlight w:val="none"/>
              </w:rPr>
              <w:t>62.5</w:t>
            </w:r>
          </w:p>
        </w:tc>
        <w:tc>
          <w:tcPr>
            <w:tcW w:w="185" w:type="pct"/>
            <w:shd w:val="clear" w:color="auto" w:fill="auto"/>
            <w:tcMar>
              <w:top w:w="0" w:type="dxa"/>
              <w:left w:w="0" w:type="dxa"/>
              <w:bottom w:w="0" w:type="dxa"/>
              <w:right w:w="0" w:type="dxa"/>
            </w:tcMar>
            <w:vAlign w:val="center"/>
          </w:tcPr>
          <w:p w14:paraId="4BCFB6EC">
            <w:pPr>
              <w:pStyle w:val="17"/>
              <w:bidi w:val="0"/>
              <w:rPr>
                <w:color w:val="auto"/>
                <w:highlight w:val="none"/>
              </w:rPr>
            </w:pPr>
            <w:r>
              <w:rPr>
                <w:color w:val="auto"/>
                <w:highlight w:val="none"/>
              </w:rPr>
              <w:t>62.5</w:t>
            </w:r>
          </w:p>
        </w:tc>
        <w:tc>
          <w:tcPr>
            <w:tcW w:w="163" w:type="pct"/>
            <w:shd w:val="clear" w:color="auto" w:fill="auto"/>
            <w:tcMar>
              <w:top w:w="0" w:type="dxa"/>
              <w:left w:w="0" w:type="dxa"/>
              <w:bottom w:w="0" w:type="dxa"/>
              <w:right w:w="0" w:type="dxa"/>
            </w:tcMar>
            <w:vAlign w:val="center"/>
          </w:tcPr>
          <w:p w14:paraId="67934EC4">
            <w:pPr>
              <w:pStyle w:val="17"/>
              <w:bidi w:val="0"/>
              <w:rPr>
                <w:color w:val="auto"/>
                <w:highlight w:val="none"/>
              </w:rPr>
            </w:pPr>
            <w:r>
              <w:rPr>
                <w:color w:val="auto"/>
                <w:highlight w:val="none"/>
              </w:rPr>
              <w:t>62.5</w:t>
            </w:r>
          </w:p>
        </w:tc>
        <w:tc>
          <w:tcPr>
            <w:tcW w:w="277" w:type="pct"/>
            <w:shd w:val="clear" w:color="auto" w:fill="auto"/>
            <w:tcMar>
              <w:top w:w="0" w:type="dxa"/>
              <w:left w:w="0" w:type="dxa"/>
              <w:bottom w:w="0" w:type="dxa"/>
              <w:right w:w="0" w:type="dxa"/>
            </w:tcMar>
            <w:vAlign w:val="center"/>
          </w:tcPr>
          <w:p w14:paraId="7D9DAEB8">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106A5C75">
            <w:pPr>
              <w:pStyle w:val="17"/>
              <w:bidi w:val="0"/>
              <w:ind w:firstLine="0" w:firstLineChars="0"/>
              <w:rPr>
                <w:color w:val="auto"/>
                <w:highlight w:val="none"/>
              </w:rPr>
            </w:pPr>
            <w:r>
              <w:rPr>
                <w:rFonts w:hint="eastAsia"/>
                <w:color w:val="auto"/>
                <w:highlight w:val="none"/>
                <w:lang w:val="en-US" w:eastAsia="zh-CN"/>
              </w:rPr>
              <w:t>10.0</w:t>
            </w:r>
          </w:p>
        </w:tc>
        <w:tc>
          <w:tcPr>
            <w:tcW w:w="353" w:type="pct"/>
            <w:shd w:val="clear" w:color="auto" w:fill="auto"/>
            <w:tcMar>
              <w:top w:w="0" w:type="dxa"/>
              <w:left w:w="0" w:type="dxa"/>
              <w:bottom w:w="0" w:type="dxa"/>
              <w:right w:w="0" w:type="dxa"/>
            </w:tcMar>
            <w:vAlign w:val="center"/>
          </w:tcPr>
          <w:p w14:paraId="25A79B0B">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52.6</w:t>
            </w:r>
          </w:p>
        </w:tc>
        <w:tc>
          <w:tcPr>
            <w:tcW w:w="288" w:type="pct"/>
            <w:shd w:val="clear" w:color="auto" w:fill="auto"/>
            <w:tcMar>
              <w:top w:w="0" w:type="dxa"/>
              <w:left w:w="0" w:type="dxa"/>
              <w:bottom w:w="0" w:type="dxa"/>
              <w:right w:w="0" w:type="dxa"/>
            </w:tcMar>
            <w:vAlign w:val="center"/>
          </w:tcPr>
          <w:p w14:paraId="10FF065D">
            <w:pPr>
              <w:pStyle w:val="17"/>
              <w:bidi w:val="0"/>
              <w:ind w:firstLine="0" w:firstLineChars="0"/>
              <w:rPr>
                <w:color w:val="auto"/>
                <w:highlight w:val="none"/>
              </w:rPr>
            </w:pPr>
            <w:r>
              <w:rPr>
                <w:rFonts w:hint="eastAsia"/>
                <w:color w:val="auto"/>
                <w:highlight w:val="none"/>
                <w:lang w:val="en-US" w:eastAsia="zh-CN"/>
              </w:rPr>
              <w:t>1</w:t>
            </w:r>
          </w:p>
        </w:tc>
      </w:tr>
      <w:tr w14:paraId="68F3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58" w:type="pct"/>
            <w:shd w:val="clear" w:color="auto" w:fill="auto"/>
            <w:tcMar>
              <w:top w:w="0" w:type="dxa"/>
              <w:left w:w="0" w:type="dxa"/>
              <w:bottom w:w="0" w:type="dxa"/>
              <w:right w:w="0" w:type="dxa"/>
            </w:tcMar>
            <w:vAlign w:val="center"/>
          </w:tcPr>
          <w:p w14:paraId="0D875508">
            <w:pPr>
              <w:pStyle w:val="17"/>
              <w:bidi w:val="0"/>
              <w:rPr>
                <w:color w:val="auto"/>
                <w:highlight w:val="none"/>
              </w:rPr>
            </w:pPr>
            <w:r>
              <w:rPr>
                <w:color w:val="auto"/>
                <w:highlight w:val="none"/>
              </w:rPr>
              <w:t>43</w:t>
            </w:r>
          </w:p>
        </w:tc>
        <w:tc>
          <w:tcPr>
            <w:tcW w:w="234" w:type="pct"/>
            <w:shd w:val="clear" w:color="auto" w:fill="auto"/>
            <w:tcMar>
              <w:top w:w="0" w:type="dxa"/>
              <w:left w:w="0" w:type="dxa"/>
              <w:bottom w:w="0" w:type="dxa"/>
              <w:right w:w="0" w:type="dxa"/>
            </w:tcMar>
            <w:vAlign w:val="center"/>
          </w:tcPr>
          <w:p w14:paraId="02BC8EDB">
            <w:pPr>
              <w:pStyle w:val="17"/>
              <w:bidi w:val="0"/>
              <w:rPr>
                <w:color w:val="auto"/>
                <w:highlight w:val="none"/>
              </w:rPr>
            </w:pPr>
            <w:r>
              <w:rPr>
                <w:color w:val="auto"/>
                <w:highlight w:val="none"/>
              </w:rPr>
              <w:t>尾矿浓缩及输送泵站</w:t>
            </w:r>
          </w:p>
        </w:tc>
        <w:tc>
          <w:tcPr>
            <w:tcW w:w="482" w:type="pct"/>
            <w:shd w:val="clear" w:color="auto" w:fill="auto"/>
            <w:tcMar>
              <w:top w:w="0" w:type="dxa"/>
              <w:left w:w="0" w:type="dxa"/>
              <w:bottom w:w="0" w:type="dxa"/>
              <w:right w:w="0" w:type="dxa"/>
            </w:tcMar>
            <w:vAlign w:val="center"/>
          </w:tcPr>
          <w:p w14:paraId="2EBC8672">
            <w:pPr>
              <w:pStyle w:val="17"/>
              <w:bidi w:val="0"/>
              <w:rPr>
                <w:color w:val="auto"/>
                <w:highlight w:val="none"/>
              </w:rPr>
            </w:pPr>
            <w:r>
              <w:rPr>
                <w:color w:val="auto"/>
                <w:highlight w:val="none"/>
              </w:rPr>
              <w:t>液下泵,2台（按点声源组预测）</w:t>
            </w:r>
          </w:p>
        </w:tc>
        <w:tc>
          <w:tcPr>
            <w:tcW w:w="344" w:type="pct"/>
            <w:shd w:val="clear" w:color="auto" w:fill="auto"/>
            <w:tcMar>
              <w:top w:w="0" w:type="dxa"/>
              <w:left w:w="0" w:type="dxa"/>
              <w:bottom w:w="0" w:type="dxa"/>
              <w:right w:w="0" w:type="dxa"/>
            </w:tcMar>
            <w:vAlign w:val="center"/>
          </w:tcPr>
          <w:p w14:paraId="319ACF06">
            <w:pPr>
              <w:pStyle w:val="17"/>
              <w:bidi w:val="0"/>
              <w:rPr>
                <w:rFonts w:hint="eastAsia" w:eastAsia="宋体"/>
                <w:color w:val="auto"/>
                <w:highlight w:val="none"/>
                <w:lang w:eastAsia="zh-CN"/>
              </w:rPr>
            </w:pPr>
            <w:r>
              <w:rPr>
                <w:color w:val="auto"/>
                <w:highlight w:val="none"/>
              </w:rPr>
              <w:t>75（等效后：78.0</w:t>
            </w:r>
            <w:r>
              <w:rPr>
                <w:rFonts w:hint="eastAsia"/>
                <w:color w:val="auto"/>
                <w:highlight w:val="none"/>
                <w:lang w:eastAsia="zh-CN"/>
              </w:rPr>
              <w:t>）</w:t>
            </w:r>
          </w:p>
        </w:tc>
        <w:tc>
          <w:tcPr>
            <w:tcW w:w="361" w:type="pct"/>
            <w:vMerge w:val="continue"/>
            <w:shd w:val="clear" w:color="auto" w:fill="auto"/>
            <w:tcMar>
              <w:top w:w="0" w:type="dxa"/>
              <w:left w:w="0" w:type="dxa"/>
              <w:bottom w:w="0" w:type="dxa"/>
              <w:right w:w="0" w:type="dxa"/>
            </w:tcMar>
            <w:vAlign w:val="center"/>
          </w:tcPr>
          <w:p w14:paraId="5DC54A23">
            <w:pPr>
              <w:pStyle w:val="17"/>
              <w:bidi w:val="0"/>
              <w:rPr>
                <w:color w:val="auto"/>
                <w:highlight w:val="none"/>
              </w:rPr>
            </w:pPr>
          </w:p>
        </w:tc>
        <w:tc>
          <w:tcPr>
            <w:tcW w:w="242" w:type="pct"/>
            <w:shd w:val="clear" w:color="auto" w:fill="auto"/>
            <w:tcMar>
              <w:top w:w="0" w:type="dxa"/>
              <w:left w:w="0" w:type="dxa"/>
              <w:bottom w:w="0" w:type="dxa"/>
              <w:right w:w="0" w:type="dxa"/>
            </w:tcMar>
            <w:vAlign w:val="center"/>
          </w:tcPr>
          <w:p w14:paraId="37B1F069">
            <w:pPr>
              <w:pStyle w:val="17"/>
              <w:bidi w:val="0"/>
              <w:rPr>
                <w:color w:val="auto"/>
                <w:highlight w:val="none"/>
              </w:rPr>
            </w:pPr>
            <w:r>
              <w:rPr>
                <w:color w:val="auto"/>
                <w:highlight w:val="none"/>
              </w:rPr>
              <w:t>-262.9</w:t>
            </w:r>
          </w:p>
        </w:tc>
        <w:tc>
          <w:tcPr>
            <w:tcW w:w="260" w:type="pct"/>
            <w:shd w:val="clear" w:color="auto" w:fill="auto"/>
            <w:tcMar>
              <w:top w:w="0" w:type="dxa"/>
              <w:left w:w="0" w:type="dxa"/>
              <w:bottom w:w="0" w:type="dxa"/>
              <w:right w:w="0" w:type="dxa"/>
            </w:tcMar>
            <w:vAlign w:val="center"/>
          </w:tcPr>
          <w:p w14:paraId="7AFADC08">
            <w:pPr>
              <w:pStyle w:val="17"/>
              <w:bidi w:val="0"/>
              <w:rPr>
                <w:color w:val="auto"/>
                <w:highlight w:val="none"/>
              </w:rPr>
            </w:pPr>
            <w:r>
              <w:rPr>
                <w:color w:val="auto"/>
                <w:highlight w:val="none"/>
              </w:rPr>
              <w:t>-984.9</w:t>
            </w:r>
          </w:p>
        </w:tc>
        <w:tc>
          <w:tcPr>
            <w:tcW w:w="235" w:type="pct"/>
            <w:shd w:val="clear" w:color="auto" w:fill="auto"/>
            <w:tcMar>
              <w:top w:w="0" w:type="dxa"/>
              <w:left w:w="0" w:type="dxa"/>
              <w:bottom w:w="0" w:type="dxa"/>
              <w:right w:w="0" w:type="dxa"/>
            </w:tcMar>
            <w:vAlign w:val="center"/>
          </w:tcPr>
          <w:p w14:paraId="72ECFAB8">
            <w:pPr>
              <w:pStyle w:val="17"/>
              <w:bidi w:val="0"/>
              <w:rPr>
                <w:color w:val="auto"/>
                <w:highlight w:val="none"/>
              </w:rPr>
            </w:pPr>
            <w:r>
              <w:rPr>
                <w:color w:val="auto"/>
                <w:highlight w:val="none"/>
              </w:rPr>
              <w:t>1.2</w:t>
            </w:r>
          </w:p>
        </w:tc>
        <w:tc>
          <w:tcPr>
            <w:tcW w:w="220" w:type="pct"/>
            <w:shd w:val="clear" w:color="auto" w:fill="auto"/>
            <w:tcMar>
              <w:top w:w="0" w:type="dxa"/>
              <w:left w:w="0" w:type="dxa"/>
              <w:bottom w:w="0" w:type="dxa"/>
              <w:right w:w="0" w:type="dxa"/>
            </w:tcMar>
            <w:vAlign w:val="center"/>
          </w:tcPr>
          <w:p w14:paraId="1D75E885">
            <w:pPr>
              <w:pStyle w:val="17"/>
              <w:bidi w:val="0"/>
              <w:rPr>
                <w:color w:val="auto"/>
                <w:highlight w:val="none"/>
              </w:rPr>
            </w:pPr>
            <w:r>
              <w:rPr>
                <w:color w:val="auto"/>
                <w:highlight w:val="none"/>
              </w:rPr>
              <w:t>367.8</w:t>
            </w:r>
          </w:p>
        </w:tc>
        <w:tc>
          <w:tcPr>
            <w:tcW w:w="189" w:type="pct"/>
            <w:shd w:val="clear" w:color="auto" w:fill="auto"/>
            <w:tcMar>
              <w:top w:w="0" w:type="dxa"/>
              <w:left w:w="0" w:type="dxa"/>
              <w:bottom w:w="0" w:type="dxa"/>
              <w:right w:w="0" w:type="dxa"/>
            </w:tcMar>
            <w:vAlign w:val="center"/>
          </w:tcPr>
          <w:p w14:paraId="23E8BFC6">
            <w:pPr>
              <w:pStyle w:val="17"/>
              <w:bidi w:val="0"/>
              <w:rPr>
                <w:color w:val="auto"/>
                <w:highlight w:val="none"/>
              </w:rPr>
            </w:pPr>
            <w:r>
              <w:rPr>
                <w:color w:val="auto"/>
                <w:highlight w:val="none"/>
              </w:rPr>
              <w:t>53.3</w:t>
            </w:r>
          </w:p>
        </w:tc>
        <w:tc>
          <w:tcPr>
            <w:tcW w:w="176" w:type="pct"/>
            <w:shd w:val="clear" w:color="auto" w:fill="auto"/>
            <w:tcMar>
              <w:top w:w="0" w:type="dxa"/>
              <w:left w:w="0" w:type="dxa"/>
              <w:bottom w:w="0" w:type="dxa"/>
              <w:right w:w="0" w:type="dxa"/>
            </w:tcMar>
            <w:vAlign w:val="center"/>
          </w:tcPr>
          <w:p w14:paraId="10436FA5">
            <w:pPr>
              <w:pStyle w:val="17"/>
              <w:bidi w:val="0"/>
              <w:rPr>
                <w:color w:val="auto"/>
                <w:highlight w:val="none"/>
              </w:rPr>
            </w:pPr>
            <w:r>
              <w:rPr>
                <w:color w:val="auto"/>
                <w:highlight w:val="none"/>
              </w:rPr>
              <w:t>326.7</w:t>
            </w:r>
          </w:p>
        </w:tc>
        <w:tc>
          <w:tcPr>
            <w:tcW w:w="158" w:type="pct"/>
            <w:shd w:val="clear" w:color="auto" w:fill="auto"/>
            <w:tcMar>
              <w:top w:w="0" w:type="dxa"/>
              <w:left w:w="0" w:type="dxa"/>
              <w:bottom w:w="0" w:type="dxa"/>
              <w:right w:w="0" w:type="dxa"/>
            </w:tcMar>
            <w:vAlign w:val="center"/>
          </w:tcPr>
          <w:p w14:paraId="5EA646DC">
            <w:pPr>
              <w:pStyle w:val="17"/>
              <w:bidi w:val="0"/>
              <w:rPr>
                <w:color w:val="auto"/>
                <w:highlight w:val="none"/>
              </w:rPr>
            </w:pPr>
            <w:r>
              <w:rPr>
                <w:color w:val="auto"/>
                <w:highlight w:val="none"/>
              </w:rPr>
              <w:t>105.6</w:t>
            </w:r>
          </w:p>
        </w:tc>
        <w:tc>
          <w:tcPr>
            <w:tcW w:w="167" w:type="pct"/>
            <w:shd w:val="clear" w:color="auto" w:fill="auto"/>
            <w:tcMar>
              <w:top w:w="0" w:type="dxa"/>
              <w:left w:w="0" w:type="dxa"/>
              <w:bottom w:w="0" w:type="dxa"/>
              <w:right w:w="0" w:type="dxa"/>
            </w:tcMar>
            <w:vAlign w:val="center"/>
          </w:tcPr>
          <w:p w14:paraId="104FB820">
            <w:pPr>
              <w:pStyle w:val="17"/>
              <w:bidi w:val="0"/>
              <w:rPr>
                <w:color w:val="auto"/>
                <w:highlight w:val="none"/>
              </w:rPr>
            </w:pPr>
            <w:r>
              <w:rPr>
                <w:color w:val="auto"/>
                <w:highlight w:val="none"/>
              </w:rPr>
              <w:t>62.5</w:t>
            </w:r>
          </w:p>
        </w:tc>
        <w:tc>
          <w:tcPr>
            <w:tcW w:w="167" w:type="pct"/>
            <w:shd w:val="clear" w:color="auto" w:fill="auto"/>
            <w:tcMar>
              <w:top w:w="0" w:type="dxa"/>
              <w:left w:w="0" w:type="dxa"/>
              <w:bottom w:w="0" w:type="dxa"/>
              <w:right w:w="0" w:type="dxa"/>
            </w:tcMar>
            <w:vAlign w:val="center"/>
          </w:tcPr>
          <w:p w14:paraId="12F92A21">
            <w:pPr>
              <w:pStyle w:val="17"/>
              <w:bidi w:val="0"/>
              <w:rPr>
                <w:color w:val="auto"/>
                <w:highlight w:val="none"/>
              </w:rPr>
            </w:pPr>
            <w:r>
              <w:rPr>
                <w:color w:val="auto"/>
                <w:highlight w:val="none"/>
              </w:rPr>
              <w:t>62.5</w:t>
            </w:r>
          </w:p>
        </w:tc>
        <w:tc>
          <w:tcPr>
            <w:tcW w:w="185" w:type="pct"/>
            <w:shd w:val="clear" w:color="auto" w:fill="auto"/>
            <w:tcMar>
              <w:top w:w="0" w:type="dxa"/>
              <w:left w:w="0" w:type="dxa"/>
              <w:bottom w:w="0" w:type="dxa"/>
              <w:right w:w="0" w:type="dxa"/>
            </w:tcMar>
            <w:vAlign w:val="center"/>
          </w:tcPr>
          <w:p w14:paraId="3B93FE3F">
            <w:pPr>
              <w:pStyle w:val="17"/>
              <w:bidi w:val="0"/>
              <w:rPr>
                <w:color w:val="auto"/>
                <w:highlight w:val="none"/>
              </w:rPr>
            </w:pPr>
            <w:r>
              <w:rPr>
                <w:color w:val="auto"/>
                <w:highlight w:val="none"/>
              </w:rPr>
              <w:t>62.5</w:t>
            </w:r>
          </w:p>
        </w:tc>
        <w:tc>
          <w:tcPr>
            <w:tcW w:w="163" w:type="pct"/>
            <w:shd w:val="clear" w:color="auto" w:fill="auto"/>
            <w:tcMar>
              <w:top w:w="0" w:type="dxa"/>
              <w:left w:w="0" w:type="dxa"/>
              <w:bottom w:w="0" w:type="dxa"/>
              <w:right w:w="0" w:type="dxa"/>
            </w:tcMar>
            <w:vAlign w:val="center"/>
          </w:tcPr>
          <w:p w14:paraId="5792433D">
            <w:pPr>
              <w:pStyle w:val="17"/>
              <w:bidi w:val="0"/>
              <w:rPr>
                <w:color w:val="auto"/>
                <w:highlight w:val="none"/>
              </w:rPr>
            </w:pPr>
            <w:r>
              <w:rPr>
                <w:color w:val="auto"/>
                <w:highlight w:val="none"/>
              </w:rPr>
              <w:t>62.5</w:t>
            </w:r>
          </w:p>
        </w:tc>
        <w:tc>
          <w:tcPr>
            <w:tcW w:w="277" w:type="pct"/>
            <w:shd w:val="clear" w:color="auto" w:fill="auto"/>
            <w:tcMar>
              <w:top w:w="0" w:type="dxa"/>
              <w:left w:w="0" w:type="dxa"/>
              <w:bottom w:w="0" w:type="dxa"/>
              <w:right w:w="0" w:type="dxa"/>
            </w:tcMar>
            <w:vAlign w:val="center"/>
          </w:tcPr>
          <w:p w14:paraId="50B1401F">
            <w:pPr>
              <w:pStyle w:val="17"/>
              <w:bidi w:val="0"/>
              <w:rPr>
                <w:color w:val="auto"/>
                <w:highlight w:val="none"/>
              </w:rPr>
            </w:pPr>
            <w:r>
              <w:rPr>
                <w:color w:val="auto"/>
                <w:highlight w:val="none"/>
              </w:rPr>
              <w:t>24.0</w:t>
            </w:r>
          </w:p>
        </w:tc>
        <w:tc>
          <w:tcPr>
            <w:tcW w:w="331" w:type="pct"/>
            <w:shd w:val="clear" w:color="auto" w:fill="auto"/>
            <w:tcMar>
              <w:top w:w="0" w:type="dxa"/>
              <w:left w:w="0" w:type="dxa"/>
              <w:bottom w:w="0" w:type="dxa"/>
              <w:right w:w="0" w:type="dxa"/>
            </w:tcMar>
            <w:vAlign w:val="center"/>
          </w:tcPr>
          <w:p w14:paraId="5FEE71E8">
            <w:pPr>
              <w:pStyle w:val="17"/>
              <w:bidi w:val="0"/>
              <w:ind w:firstLine="0" w:firstLineChars="0"/>
              <w:rPr>
                <w:color w:val="auto"/>
                <w:highlight w:val="none"/>
              </w:rPr>
            </w:pPr>
            <w:r>
              <w:rPr>
                <w:color w:val="auto"/>
                <w:highlight w:val="none"/>
              </w:rPr>
              <w:t>10.0</w:t>
            </w:r>
          </w:p>
        </w:tc>
        <w:tc>
          <w:tcPr>
            <w:tcW w:w="353" w:type="pct"/>
            <w:shd w:val="clear" w:color="auto" w:fill="auto"/>
            <w:tcMar>
              <w:top w:w="0" w:type="dxa"/>
              <w:left w:w="0" w:type="dxa"/>
              <w:bottom w:w="0" w:type="dxa"/>
              <w:right w:w="0" w:type="dxa"/>
            </w:tcMar>
            <w:vAlign w:val="center"/>
          </w:tcPr>
          <w:p w14:paraId="09DAA8B5">
            <w:pPr>
              <w:pStyle w:val="17"/>
              <w:bidi w:val="0"/>
              <w:ind w:firstLine="0" w:firstLineChars="0"/>
              <w:rPr>
                <w:rFonts w:ascii="Times New Roman" w:hAnsi="Times New Roman" w:eastAsia="宋体" w:cs="Times New Roman"/>
                <w:color w:val="auto"/>
                <w:kern w:val="2"/>
                <w:sz w:val="21"/>
                <w:szCs w:val="21"/>
                <w:highlight w:val="none"/>
                <w:lang w:val="en-US" w:eastAsia="zh-CN" w:bidi="ar-SA"/>
              </w:rPr>
            </w:pPr>
            <w:r>
              <w:rPr>
                <w:color w:val="auto"/>
                <w:highlight w:val="none"/>
              </w:rPr>
              <w:t>52.5</w:t>
            </w:r>
          </w:p>
        </w:tc>
        <w:tc>
          <w:tcPr>
            <w:tcW w:w="288" w:type="pct"/>
            <w:shd w:val="clear" w:color="auto" w:fill="auto"/>
            <w:tcMar>
              <w:top w:w="0" w:type="dxa"/>
              <w:left w:w="0" w:type="dxa"/>
              <w:bottom w:w="0" w:type="dxa"/>
              <w:right w:w="0" w:type="dxa"/>
            </w:tcMar>
            <w:vAlign w:val="center"/>
          </w:tcPr>
          <w:p w14:paraId="788EE092">
            <w:pPr>
              <w:pStyle w:val="17"/>
              <w:bidi w:val="0"/>
              <w:ind w:firstLine="0" w:firstLineChars="0"/>
              <w:rPr>
                <w:color w:val="auto"/>
                <w:highlight w:val="none"/>
              </w:rPr>
            </w:pPr>
            <w:r>
              <w:rPr>
                <w:rFonts w:hint="eastAsia"/>
                <w:color w:val="auto"/>
                <w:highlight w:val="none"/>
                <w:lang w:val="en-US" w:eastAsia="zh-CN"/>
              </w:rPr>
              <w:t>1</w:t>
            </w:r>
          </w:p>
        </w:tc>
      </w:tr>
    </w:tbl>
    <w:p w14:paraId="4F1571F4">
      <w:pPr>
        <w:snapToGrid w:val="0"/>
        <w:jc w:val="left"/>
        <w:rPr>
          <w:rFonts w:hint="default" w:ascii="Times New Roman" w:hAnsi="Times New Roman" w:eastAsia="华文中宋" w:cs="Times New Roman"/>
          <w:color w:val="auto"/>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color w:val="auto"/>
          <w:sz w:val="21"/>
          <w:szCs w:val="21"/>
          <w:highlight w:val="none"/>
          <w:lang w:val="en-US" w:eastAsia="zh-CN"/>
        </w:rPr>
        <w:t>注：</w:t>
      </w:r>
      <w:r>
        <w:rPr>
          <w:rFonts w:hint="default"/>
          <w:color w:val="auto"/>
          <w:sz w:val="21"/>
          <w:szCs w:val="21"/>
          <w:highlight w:val="none"/>
          <w:lang w:val="en-US" w:eastAsia="zh-CN"/>
        </w:rPr>
        <w:t>表中坐标以厂界中心（）为坐标原点，正东向为X轴正方向，正北向为Y轴正方向</w:t>
      </w:r>
    </w:p>
    <w:p w14:paraId="69F52D8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eastAsia="宋体" w:cs="Times New Roman"/>
          <w:bCs/>
          <w:color w:val="auto"/>
          <w:sz w:val="24"/>
          <w:highlight w:val="none"/>
        </w:rPr>
      </w:pPr>
      <w:r>
        <w:rPr>
          <w:rFonts w:hint="eastAsia"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、预测结果分析</w:t>
      </w:r>
    </w:p>
    <w:p w14:paraId="21BE35CF">
      <w:pPr>
        <w:keepNext w:val="0"/>
        <w:keepLines w:val="0"/>
        <w:pageBreakBefore w:val="0"/>
        <w:widowControl w:val="0"/>
        <w:kinsoku/>
        <w:wordWrap/>
        <w:overflowPunct/>
        <w:topLinePunct w:val="0"/>
        <w:autoSpaceDE/>
        <w:autoSpaceDN/>
        <w:bidi w:val="0"/>
        <w:snapToGrid w:val="0"/>
        <w:spacing w:line="520" w:lineRule="exact"/>
        <w:ind w:firstLine="480" w:firstLineChars="200"/>
        <w:textAlignment w:val="auto"/>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通过预测模型计算，项目厂界噪声预测结果与达标分析见表</w:t>
      </w:r>
      <w:r>
        <w:rPr>
          <w:rFonts w:hint="eastAsia" w:cs="Times New Roman"/>
          <w:color w:val="auto"/>
          <w:sz w:val="24"/>
          <w:szCs w:val="24"/>
          <w:highlight w:val="none"/>
          <w:lang w:val="en-US" w:eastAsia="zh-CN"/>
        </w:rPr>
        <w:t>5.2-18</w:t>
      </w:r>
      <w:r>
        <w:rPr>
          <w:rFonts w:ascii="Times New Roman" w:hAnsi="Times New Roman" w:eastAsia="宋体" w:cs="Times New Roman"/>
          <w:color w:val="auto"/>
          <w:sz w:val="24"/>
          <w:szCs w:val="24"/>
          <w:highlight w:val="none"/>
          <w:lang w:eastAsia="zh-CN"/>
        </w:rPr>
        <w:t>。</w:t>
      </w:r>
    </w:p>
    <w:p w14:paraId="3CBC608B">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ascii="Times New Roman" w:hAnsi="Times New Roman" w:cs="Times New Roman"/>
          <w:b/>
          <w:color w:val="auto"/>
          <w:highlight w:val="none"/>
          <w:lang w:eastAsia="zh-CN"/>
        </w:rPr>
      </w:pPr>
      <w:r>
        <w:rPr>
          <w:rFonts w:ascii="宋体" w:hAnsi="宋体" w:eastAsia="宋体" w:cs="Times New Roman"/>
          <w:b/>
          <w:color w:val="auto"/>
          <w:sz w:val="24"/>
          <w:szCs w:val="24"/>
          <w:highlight w:val="none"/>
          <w:lang w:eastAsia="zh-CN"/>
        </w:rPr>
        <w:t>表</w:t>
      </w:r>
      <w:r>
        <w:rPr>
          <w:rFonts w:hint="eastAsia" w:cs="Times New Roman"/>
          <w:color w:val="auto"/>
          <w:sz w:val="24"/>
          <w:szCs w:val="24"/>
          <w:highlight w:val="none"/>
          <w:lang w:val="en-US" w:eastAsia="zh-CN"/>
        </w:rPr>
        <w:t>5.2-18</w:t>
      </w:r>
      <w:r>
        <w:rPr>
          <w:rFonts w:ascii="Times New Roman" w:hAnsi="Times New Roman" w:eastAsia="宋体" w:cs="Times New Roman"/>
          <w:b/>
          <w:color w:val="auto"/>
          <w:sz w:val="24"/>
          <w:szCs w:val="24"/>
          <w:highlight w:val="none"/>
          <w:lang w:eastAsia="zh-CN"/>
        </w:rPr>
        <w:t xml:space="preserve"> </w:t>
      </w:r>
      <w:r>
        <w:rPr>
          <w:rFonts w:hint="eastAsia" w:cs="Times New Roman"/>
          <w:b/>
          <w:color w:val="auto"/>
          <w:sz w:val="24"/>
          <w:szCs w:val="24"/>
          <w:highlight w:val="none"/>
          <w:lang w:val="en-US" w:eastAsia="zh-CN"/>
        </w:rPr>
        <w:t xml:space="preserve"> </w:t>
      </w:r>
      <w:r>
        <w:rPr>
          <w:rFonts w:ascii="宋体" w:hAnsi="宋体" w:eastAsia="宋体" w:cs="Times New Roman"/>
          <w:b/>
          <w:color w:val="auto"/>
          <w:sz w:val="24"/>
          <w:szCs w:val="24"/>
          <w:highlight w:val="none"/>
          <w:lang w:eastAsia="zh-CN"/>
        </w:rPr>
        <w:t xml:space="preserve"> 厂界噪声预测结果与达标分析表</w:t>
      </w:r>
      <w:bookmarkStart w:id="670" w:name="PT_7"/>
    </w:p>
    <w:bookmarkEnd w:id="670"/>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864"/>
        <w:gridCol w:w="864"/>
        <w:gridCol w:w="747"/>
        <w:gridCol w:w="892"/>
        <w:gridCol w:w="1303"/>
        <w:gridCol w:w="1304"/>
        <w:gridCol w:w="1054"/>
      </w:tblGrid>
      <w:tr w14:paraId="4394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exact"/>
          <w:jc w:val="center"/>
        </w:trPr>
        <w:tc>
          <w:tcPr>
            <w:tcW w:w="980" w:type="dxa"/>
            <w:vMerge w:val="restart"/>
            <w:noWrap w:val="0"/>
            <w:vAlign w:val="center"/>
          </w:tcPr>
          <w:p w14:paraId="14549B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预测方位</w:t>
            </w:r>
          </w:p>
        </w:tc>
        <w:tc>
          <w:tcPr>
            <w:tcW w:w="2325" w:type="dxa"/>
            <w:gridSpan w:val="3"/>
            <w:noWrap w:val="0"/>
            <w:vAlign w:val="center"/>
          </w:tcPr>
          <w:p w14:paraId="3BC371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lang w:val="en-US" w:eastAsia="zh-CN"/>
              </w:rPr>
              <w:t>最大值点</w:t>
            </w:r>
            <w:r>
              <w:rPr>
                <w:rFonts w:hint="default" w:ascii="Times New Roman" w:hAnsi="Times New Roman" w:eastAsia="宋体" w:cs="Times New Roman"/>
                <w:b w:val="0"/>
                <w:bCs/>
                <w:color w:val="auto"/>
                <w:sz w:val="21"/>
                <w:szCs w:val="21"/>
                <w:highlight w:val="none"/>
              </w:rPr>
              <w:t>空间相对位置/m</w:t>
            </w:r>
          </w:p>
        </w:tc>
        <w:tc>
          <w:tcPr>
            <w:tcW w:w="892" w:type="dxa"/>
            <w:vMerge w:val="restart"/>
            <w:noWrap w:val="0"/>
            <w:vAlign w:val="center"/>
          </w:tcPr>
          <w:p w14:paraId="4263C6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时段</w:t>
            </w:r>
          </w:p>
        </w:tc>
        <w:tc>
          <w:tcPr>
            <w:tcW w:w="1303" w:type="dxa"/>
            <w:vMerge w:val="restart"/>
            <w:noWrap w:val="0"/>
            <w:vAlign w:val="center"/>
          </w:tcPr>
          <w:p w14:paraId="63A71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rPr>
              <w:t>贡献值dB</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A</w:t>
            </w:r>
            <w:r>
              <w:rPr>
                <w:rFonts w:hint="default" w:ascii="Times New Roman" w:hAnsi="Times New Roman" w:eastAsia="宋体" w:cs="Times New Roman"/>
                <w:b w:val="0"/>
                <w:bCs/>
                <w:color w:val="auto"/>
                <w:sz w:val="21"/>
                <w:szCs w:val="21"/>
                <w:highlight w:val="none"/>
                <w:lang w:eastAsia="zh-CN"/>
              </w:rPr>
              <w:t>）</w:t>
            </w:r>
          </w:p>
        </w:tc>
        <w:tc>
          <w:tcPr>
            <w:tcW w:w="1304" w:type="dxa"/>
            <w:vMerge w:val="restart"/>
            <w:noWrap w:val="0"/>
            <w:vAlign w:val="center"/>
          </w:tcPr>
          <w:p w14:paraId="2C94E4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rPr>
              <w:t>标准限值dB</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A</w:t>
            </w:r>
            <w:r>
              <w:rPr>
                <w:rFonts w:hint="default" w:ascii="Times New Roman" w:hAnsi="Times New Roman" w:eastAsia="宋体" w:cs="Times New Roman"/>
                <w:b w:val="0"/>
                <w:bCs/>
                <w:color w:val="auto"/>
                <w:sz w:val="21"/>
                <w:szCs w:val="21"/>
                <w:highlight w:val="none"/>
                <w:lang w:eastAsia="zh-CN"/>
              </w:rPr>
              <w:t>）</w:t>
            </w:r>
          </w:p>
        </w:tc>
        <w:tc>
          <w:tcPr>
            <w:tcW w:w="1054" w:type="dxa"/>
            <w:vMerge w:val="restart"/>
            <w:noWrap w:val="0"/>
            <w:vAlign w:val="center"/>
          </w:tcPr>
          <w:p w14:paraId="4E7F7C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达标情况</w:t>
            </w:r>
          </w:p>
        </w:tc>
      </w:tr>
      <w:tr w14:paraId="47F9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80" w:type="dxa"/>
            <w:vMerge w:val="continue"/>
            <w:noWrap w:val="0"/>
            <w:vAlign w:val="center"/>
          </w:tcPr>
          <w:p w14:paraId="200981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p>
        </w:tc>
        <w:tc>
          <w:tcPr>
            <w:tcW w:w="791" w:type="dxa"/>
            <w:noWrap w:val="0"/>
            <w:vAlign w:val="center"/>
          </w:tcPr>
          <w:p w14:paraId="707852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X</w:t>
            </w:r>
          </w:p>
        </w:tc>
        <w:tc>
          <w:tcPr>
            <w:tcW w:w="787" w:type="dxa"/>
            <w:noWrap w:val="0"/>
            <w:vAlign w:val="center"/>
          </w:tcPr>
          <w:p w14:paraId="05F476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Y</w:t>
            </w:r>
          </w:p>
        </w:tc>
        <w:tc>
          <w:tcPr>
            <w:tcW w:w="747" w:type="dxa"/>
            <w:noWrap w:val="0"/>
            <w:vAlign w:val="center"/>
          </w:tcPr>
          <w:p w14:paraId="1AC157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Z</w:t>
            </w:r>
          </w:p>
        </w:tc>
        <w:tc>
          <w:tcPr>
            <w:tcW w:w="892" w:type="dxa"/>
            <w:vMerge w:val="continue"/>
            <w:noWrap w:val="0"/>
            <w:vAlign w:val="center"/>
          </w:tcPr>
          <w:p w14:paraId="18250E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p>
        </w:tc>
        <w:tc>
          <w:tcPr>
            <w:tcW w:w="1303" w:type="dxa"/>
            <w:vMerge w:val="continue"/>
            <w:noWrap w:val="0"/>
            <w:vAlign w:val="center"/>
          </w:tcPr>
          <w:p w14:paraId="320EAF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p>
        </w:tc>
        <w:tc>
          <w:tcPr>
            <w:tcW w:w="1304" w:type="dxa"/>
            <w:vMerge w:val="continue"/>
            <w:noWrap w:val="0"/>
            <w:vAlign w:val="center"/>
          </w:tcPr>
          <w:p w14:paraId="30A79C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p>
        </w:tc>
        <w:tc>
          <w:tcPr>
            <w:tcW w:w="1054" w:type="dxa"/>
            <w:vMerge w:val="continue"/>
            <w:noWrap w:val="0"/>
            <w:vAlign w:val="center"/>
          </w:tcPr>
          <w:p w14:paraId="0E9EE0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5B3E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80" w:type="dxa"/>
            <w:shd w:val="clear" w:color="auto" w:fill="auto"/>
            <w:noWrap w:val="0"/>
            <w:vAlign w:val="center"/>
          </w:tcPr>
          <w:p w14:paraId="15E857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东侧</w:t>
            </w:r>
          </w:p>
        </w:tc>
        <w:tc>
          <w:tcPr>
            <w:tcW w:w="791" w:type="dxa"/>
            <w:shd w:val="clear" w:color="auto" w:fill="auto"/>
            <w:noWrap w:val="0"/>
            <w:vAlign w:val="center"/>
          </w:tcPr>
          <w:p w14:paraId="4BCE6AA9">
            <w:pPr>
              <w:pStyle w:val="17"/>
              <w:bidi w:val="0"/>
              <w:rPr>
                <w:rFonts w:hint="default"/>
                <w:color w:val="auto"/>
                <w:highlight w:val="none"/>
                <w:lang w:val="en-US" w:eastAsia="zh-CN"/>
              </w:rPr>
            </w:pPr>
            <w:r>
              <w:rPr>
                <w:color w:val="auto"/>
                <w:highlight w:val="none"/>
              </w:rPr>
              <w:t>856.5</w:t>
            </w:r>
          </w:p>
        </w:tc>
        <w:tc>
          <w:tcPr>
            <w:tcW w:w="787" w:type="dxa"/>
            <w:shd w:val="clear" w:color="auto" w:fill="auto"/>
            <w:noWrap w:val="0"/>
            <w:vAlign w:val="center"/>
          </w:tcPr>
          <w:p w14:paraId="2AD62AF9">
            <w:pPr>
              <w:pStyle w:val="17"/>
              <w:bidi w:val="0"/>
              <w:rPr>
                <w:rFonts w:hint="default"/>
                <w:color w:val="auto"/>
                <w:highlight w:val="none"/>
                <w:lang w:val="en-US" w:eastAsia="zh-CN"/>
              </w:rPr>
            </w:pPr>
            <w:r>
              <w:rPr>
                <w:color w:val="auto"/>
                <w:highlight w:val="none"/>
              </w:rPr>
              <w:t>-975.3</w:t>
            </w:r>
          </w:p>
        </w:tc>
        <w:tc>
          <w:tcPr>
            <w:tcW w:w="747" w:type="dxa"/>
            <w:shd w:val="clear" w:color="auto" w:fill="auto"/>
            <w:noWrap w:val="0"/>
            <w:vAlign w:val="center"/>
          </w:tcPr>
          <w:p w14:paraId="7C40B1D8">
            <w:pPr>
              <w:pStyle w:val="17"/>
              <w:bidi w:val="0"/>
              <w:rPr>
                <w:rFonts w:hint="default"/>
                <w:color w:val="auto"/>
                <w:highlight w:val="none"/>
                <w:lang w:val="en-US" w:eastAsia="zh-CN"/>
              </w:rPr>
            </w:pPr>
            <w:r>
              <w:rPr>
                <w:color w:val="auto"/>
                <w:highlight w:val="none"/>
              </w:rPr>
              <w:t>1.2</w:t>
            </w:r>
          </w:p>
        </w:tc>
        <w:tc>
          <w:tcPr>
            <w:tcW w:w="892" w:type="dxa"/>
            <w:shd w:val="clear" w:color="auto" w:fill="auto"/>
            <w:noWrap w:val="0"/>
            <w:vAlign w:val="center"/>
          </w:tcPr>
          <w:p w14:paraId="635D022D">
            <w:pPr>
              <w:pStyle w:val="17"/>
              <w:bidi w:val="0"/>
              <w:rPr>
                <w:rFonts w:hint="default"/>
                <w:color w:val="auto"/>
                <w:highlight w:val="none"/>
              </w:rPr>
            </w:pPr>
            <w:r>
              <w:rPr>
                <w:color w:val="auto"/>
                <w:highlight w:val="none"/>
              </w:rPr>
              <w:t>昼间</w:t>
            </w:r>
          </w:p>
        </w:tc>
        <w:tc>
          <w:tcPr>
            <w:tcW w:w="1303" w:type="dxa"/>
            <w:shd w:val="clear" w:color="auto" w:fill="auto"/>
            <w:noWrap w:val="0"/>
            <w:vAlign w:val="center"/>
          </w:tcPr>
          <w:p w14:paraId="04950366">
            <w:pPr>
              <w:pStyle w:val="17"/>
              <w:bidi w:val="0"/>
              <w:rPr>
                <w:rFonts w:hint="default"/>
                <w:color w:val="auto"/>
                <w:highlight w:val="none"/>
                <w:lang w:val="en-US" w:eastAsia="zh-CN"/>
              </w:rPr>
            </w:pPr>
            <w:r>
              <w:rPr>
                <w:color w:val="auto"/>
                <w:highlight w:val="none"/>
              </w:rPr>
              <w:t>8</w:t>
            </w:r>
          </w:p>
        </w:tc>
        <w:tc>
          <w:tcPr>
            <w:tcW w:w="1304" w:type="dxa"/>
            <w:shd w:val="clear" w:color="auto" w:fill="auto"/>
            <w:noWrap w:val="0"/>
            <w:vAlign w:val="center"/>
          </w:tcPr>
          <w:p w14:paraId="18268DA1">
            <w:pPr>
              <w:pStyle w:val="17"/>
              <w:bidi w:val="0"/>
              <w:rPr>
                <w:rFonts w:hint="default"/>
                <w:color w:val="auto"/>
                <w:highlight w:val="none"/>
              </w:rPr>
            </w:pPr>
            <w:r>
              <w:rPr>
                <w:color w:val="auto"/>
                <w:highlight w:val="none"/>
              </w:rPr>
              <w:t>60</w:t>
            </w:r>
          </w:p>
        </w:tc>
        <w:tc>
          <w:tcPr>
            <w:tcW w:w="1054" w:type="dxa"/>
            <w:shd w:val="clear" w:color="auto" w:fill="auto"/>
            <w:noWrap w:val="0"/>
            <w:vAlign w:val="center"/>
          </w:tcPr>
          <w:p w14:paraId="09B3A7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达标</w:t>
            </w:r>
          </w:p>
        </w:tc>
      </w:tr>
      <w:tr w14:paraId="027B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80" w:type="dxa"/>
            <w:shd w:val="clear" w:color="auto" w:fill="auto"/>
            <w:noWrap w:val="0"/>
            <w:vAlign w:val="center"/>
          </w:tcPr>
          <w:p w14:paraId="22E6C5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Arial" w:cs="Times New Roman"/>
                <w:b w:val="0"/>
                <w:bCs/>
                <w:color w:val="auto"/>
                <w:sz w:val="21"/>
                <w:szCs w:val="21"/>
                <w:highlight w:val="none"/>
              </w:rPr>
              <w:t>东侧</w:t>
            </w:r>
          </w:p>
        </w:tc>
        <w:tc>
          <w:tcPr>
            <w:tcW w:w="791" w:type="dxa"/>
            <w:shd w:val="clear" w:color="auto" w:fill="auto"/>
            <w:noWrap w:val="0"/>
            <w:vAlign w:val="center"/>
          </w:tcPr>
          <w:p w14:paraId="07598139">
            <w:pPr>
              <w:pStyle w:val="17"/>
              <w:bidi w:val="0"/>
              <w:rPr>
                <w:rFonts w:hint="default"/>
                <w:color w:val="auto"/>
                <w:highlight w:val="none"/>
                <w:lang w:val="en-US" w:eastAsia="zh-CN"/>
              </w:rPr>
            </w:pPr>
            <w:r>
              <w:rPr>
                <w:color w:val="auto"/>
                <w:highlight w:val="none"/>
              </w:rPr>
              <w:t>856.5</w:t>
            </w:r>
          </w:p>
        </w:tc>
        <w:tc>
          <w:tcPr>
            <w:tcW w:w="787" w:type="dxa"/>
            <w:shd w:val="clear" w:color="auto" w:fill="auto"/>
            <w:noWrap w:val="0"/>
            <w:vAlign w:val="center"/>
          </w:tcPr>
          <w:p w14:paraId="628C1542">
            <w:pPr>
              <w:pStyle w:val="17"/>
              <w:bidi w:val="0"/>
              <w:rPr>
                <w:rFonts w:hint="default"/>
                <w:color w:val="auto"/>
                <w:highlight w:val="none"/>
                <w:lang w:val="en-US" w:eastAsia="zh-CN"/>
              </w:rPr>
            </w:pPr>
            <w:r>
              <w:rPr>
                <w:color w:val="auto"/>
                <w:highlight w:val="none"/>
              </w:rPr>
              <w:t>-975.3</w:t>
            </w:r>
          </w:p>
        </w:tc>
        <w:tc>
          <w:tcPr>
            <w:tcW w:w="747" w:type="dxa"/>
            <w:shd w:val="clear" w:color="auto" w:fill="auto"/>
            <w:noWrap w:val="0"/>
            <w:vAlign w:val="center"/>
          </w:tcPr>
          <w:p w14:paraId="55F2A15E">
            <w:pPr>
              <w:pStyle w:val="17"/>
              <w:bidi w:val="0"/>
              <w:rPr>
                <w:rFonts w:hint="default"/>
                <w:color w:val="auto"/>
                <w:highlight w:val="none"/>
                <w:lang w:val="en-US" w:eastAsia="zh-CN"/>
              </w:rPr>
            </w:pPr>
            <w:r>
              <w:rPr>
                <w:color w:val="auto"/>
                <w:highlight w:val="none"/>
              </w:rPr>
              <w:t>1.2</w:t>
            </w:r>
          </w:p>
        </w:tc>
        <w:tc>
          <w:tcPr>
            <w:tcW w:w="892" w:type="dxa"/>
            <w:shd w:val="clear" w:color="auto" w:fill="auto"/>
            <w:noWrap w:val="0"/>
            <w:vAlign w:val="center"/>
          </w:tcPr>
          <w:p w14:paraId="010FB9D0">
            <w:pPr>
              <w:pStyle w:val="17"/>
              <w:bidi w:val="0"/>
              <w:rPr>
                <w:rFonts w:hint="eastAsia"/>
                <w:color w:val="auto"/>
                <w:highlight w:val="none"/>
                <w:lang w:val="en-US" w:eastAsia="zh-CN"/>
              </w:rPr>
            </w:pPr>
            <w:r>
              <w:rPr>
                <w:color w:val="auto"/>
                <w:highlight w:val="none"/>
              </w:rPr>
              <w:t>夜间</w:t>
            </w:r>
          </w:p>
        </w:tc>
        <w:tc>
          <w:tcPr>
            <w:tcW w:w="1303" w:type="dxa"/>
            <w:shd w:val="clear" w:color="auto" w:fill="auto"/>
            <w:noWrap w:val="0"/>
            <w:vAlign w:val="center"/>
          </w:tcPr>
          <w:p w14:paraId="29BC1F25">
            <w:pPr>
              <w:pStyle w:val="17"/>
              <w:bidi w:val="0"/>
              <w:rPr>
                <w:rFonts w:hint="default"/>
                <w:color w:val="auto"/>
                <w:highlight w:val="none"/>
                <w:lang w:val="en-US" w:eastAsia="zh-CN"/>
              </w:rPr>
            </w:pPr>
            <w:r>
              <w:rPr>
                <w:color w:val="auto"/>
                <w:highlight w:val="none"/>
              </w:rPr>
              <w:t>8</w:t>
            </w:r>
          </w:p>
        </w:tc>
        <w:tc>
          <w:tcPr>
            <w:tcW w:w="1304" w:type="dxa"/>
            <w:shd w:val="clear" w:color="auto" w:fill="auto"/>
            <w:noWrap w:val="0"/>
            <w:vAlign w:val="center"/>
          </w:tcPr>
          <w:p w14:paraId="114BEBC4">
            <w:pPr>
              <w:pStyle w:val="17"/>
              <w:bidi w:val="0"/>
              <w:rPr>
                <w:rFonts w:hint="default"/>
                <w:color w:val="auto"/>
                <w:highlight w:val="none"/>
              </w:rPr>
            </w:pPr>
            <w:r>
              <w:rPr>
                <w:color w:val="auto"/>
                <w:highlight w:val="none"/>
              </w:rPr>
              <w:t>50</w:t>
            </w:r>
          </w:p>
        </w:tc>
        <w:tc>
          <w:tcPr>
            <w:tcW w:w="1054" w:type="dxa"/>
            <w:shd w:val="clear" w:color="auto" w:fill="auto"/>
            <w:noWrap w:val="0"/>
            <w:vAlign w:val="center"/>
          </w:tcPr>
          <w:p w14:paraId="6E778C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Arial"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达标</w:t>
            </w:r>
          </w:p>
        </w:tc>
      </w:tr>
      <w:tr w14:paraId="27D2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80" w:type="dxa"/>
            <w:shd w:val="clear" w:color="auto" w:fill="auto"/>
            <w:noWrap w:val="0"/>
            <w:vAlign w:val="center"/>
          </w:tcPr>
          <w:p w14:paraId="3559F9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南侧</w:t>
            </w:r>
          </w:p>
        </w:tc>
        <w:tc>
          <w:tcPr>
            <w:tcW w:w="791" w:type="dxa"/>
            <w:shd w:val="clear" w:color="auto" w:fill="auto"/>
            <w:noWrap w:val="0"/>
            <w:vAlign w:val="center"/>
          </w:tcPr>
          <w:p w14:paraId="21E418DA">
            <w:pPr>
              <w:pStyle w:val="17"/>
              <w:bidi w:val="0"/>
              <w:rPr>
                <w:rFonts w:hint="default"/>
                <w:color w:val="auto"/>
                <w:highlight w:val="none"/>
                <w:lang w:val="en-US" w:eastAsia="zh-CN"/>
              </w:rPr>
            </w:pPr>
            <w:r>
              <w:rPr>
                <w:color w:val="auto"/>
                <w:highlight w:val="none"/>
              </w:rPr>
              <w:t>86.3</w:t>
            </w:r>
          </w:p>
        </w:tc>
        <w:tc>
          <w:tcPr>
            <w:tcW w:w="787" w:type="dxa"/>
            <w:shd w:val="clear" w:color="auto" w:fill="auto"/>
            <w:noWrap w:val="0"/>
            <w:vAlign w:val="center"/>
          </w:tcPr>
          <w:p w14:paraId="13947FB1">
            <w:pPr>
              <w:pStyle w:val="17"/>
              <w:bidi w:val="0"/>
              <w:rPr>
                <w:rFonts w:hint="default"/>
                <w:color w:val="auto"/>
                <w:highlight w:val="none"/>
                <w:lang w:val="en-US" w:eastAsia="zh-CN"/>
              </w:rPr>
            </w:pPr>
            <w:r>
              <w:rPr>
                <w:color w:val="auto"/>
                <w:highlight w:val="none"/>
              </w:rPr>
              <w:t>-1013.7</w:t>
            </w:r>
          </w:p>
        </w:tc>
        <w:tc>
          <w:tcPr>
            <w:tcW w:w="747" w:type="dxa"/>
            <w:shd w:val="clear" w:color="auto" w:fill="auto"/>
            <w:noWrap w:val="0"/>
            <w:vAlign w:val="center"/>
          </w:tcPr>
          <w:p w14:paraId="4F17F6EC">
            <w:pPr>
              <w:pStyle w:val="17"/>
              <w:bidi w:val="0"/>
              <w:rPr>
                <w:rFonts w:hint="default"/>
                <w:color w:val="auto"/>
                <w:highlight w:val="none"/>
                <w:lang w:val="en-US" w:eastAsia="zh-CN"/>
              </w:rPr>
            </w:pPr>
            <w:r>
              <w:rPr>
                <w:color w:val="auto"/>
                <w:highlight w:val="none"/>
              </w:rPr>
              <w:t>1.2</w:t>
            </w:r>
          </w:p>
        </w:tc>
        <w:tc>
          <w:tcPr>
            <w:tcW w:w="892" w:type="dxa"/>
            <w:shd w:val="clear" w:color="auto" w:fill="auto"/>
            <w:noWrap w:val="0"/>
            <w:vAlign w:val="center"/>
          </w:tcPr>
          <w:p w14:paraId="22D0686D">
            <w:pPr>
              <w:pStyle w:val="17"/>
              <w:bidi w:val="0"/>
              <w:rPr>
                <w:rFonts w:hint="default"/>
                <w:color w:val="auto"/>
                <w:highlight w:val="none"/>
                <w:lang w:val="en-US" w:eastAsia="zh-CN"/>
              </w:rPr>
            </w:pPr>
            <w:r>
              <w:rPr>
                <w:color w:val="auto"/>
                <w:highlight w:val="none"/>
              </w:rPr>
              <w:t>昼间</w:t>
            </w:r>
          </w:p>
        </w:tc>
        <w:tc>
          <w:tcPr>
            <w:tcW w:w="1303" w:type="dxa"/>
            <w:shd w:val="clear" w:color="auto" w:fill="auto"/>
            <w:noWrap w:val="0"/>
            <w:vAlign w:val="center"/>
          </w:tcPr>
          <w:p w14:paraId="6777E17E">
            <w:pPr>
              <w:pStyle w:val="17"/>
              <w:bidi w:val="0"/>
              <w:rPr>
                <w:rFonts w:hint="default"/>
                <w:color w:val="auto"/>
                <w:highlight w:val="none"/>
                <w:lang w:val="en-US" w:eastAsia="zh-CN"/>
              </w:rPr>
            </w:pPr>
            <w:r>
              <w:rPr>
                <w:color w:val="auto"/>
                <w:highlight w:val="none"/>
              </w:rPr>
              <w:t>48.5</w:t>
            </w:r>
          </w:p>
        </w:tc>
        <w:tc>
          <w:tcPr>
            <w:tcW w:w="1304" w:type="dxa"/>
            <w:shd w:val="clear" w:color="auto" w:fill="auto"/>
            <w:noWrap w:val="0"/>
            <w:vAlign w:val="center"/>
          </w:tcPr>
          <w:p w14:paraId="560E0B9D">
            <w:pPr>
              <w:pStyle w:val="17"/>
              <w:bidi w:val="0"/>
              <w:rPr>
                <w:rFonts w:hint="default"/>
                <w:color w:val="auto"/>
                <w:highlight w:val="none"/>
              </w:rPr>
            </w:pPr>
            <w:r>
              <w:rPr>
                <w:color w:val="auto"/>
                <w:highlight w:val="none"/>
              </w:rPr>
              <w:t>60</w:t>
            </w:r>
          </w:p>
        </w:tc>
        <w:tc>
          <w:tcPr>
            <w:tcW w:w="1054" w:type="dxa"/>
            <w:shd w:val="clear" w:color="auto" w:fill="auto"/>
            <w:noWrap w:val="0"/>
            <w:vAlign w:val="center"/>
          </w:tcPr>
          <w:p w14:paraId="62D2B4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达标</w:t>
            </w:r>
          </w:p>
        </w:tc>
      </w:tr>
      <w:tr w14:paraId="5500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80" w:type="dxa"/>
            <w:shd w:val="clear" w:color="auto" w:fill="auto"/>
            <w:noWrap w:val="0"/>
            <w:vAlign w:val="center"/>
          </w:tcPr>
          <w:p w14:paraId="74BF52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Arial" w:cs="Times New Roman"/>
                <w:b w:val="0"/>
                <w:bCs/>
                <w:color w:val="auto"/>
                <w:sz w:val="21"/>
                <w:szCs w:val="21"/>
                <w:highlight w:val="none"/>
              </w:rPr>
              <w:t>南侧</w:t>
            </w:r>
          </w:p>
        </w:tc>
        <w:tc>
          <w:tcPr>
            <w:tcW w:w="791" w:type="dxa"/>
            <w:shd w:val="clear" w:color="auto" w:fill="auto"/>
            <w:noWrap w:val="0"/>
            <w:vAlign w:val="center"/>
          </w:tcPr>
          <w:p w14:paraId="1B7454BD">
            <w:pPr>
              <w:pStyle w:val="17"/>
              <w:bidi w:val="0"/>
              <w:rPr>
                <w:rFonts w:hint="default"/>
                <w:color w:val="auto"/>
                <w:highlight w:val="none"/>
                <w:lang w:val="en-US" w:eastAsia="zh-CN"/>
              </w:rPr>
            </w:pPr>
            <w:r>
              <w:rPr>
                <w:color w:val="auto"/>
                <w:highlight w:val="none"/>
              </w:rPr>
              <w:t>86.3</w:t>
            </w:r>
          </w:p>
        </w:tc>
        <w:tc>
          <w:tcPr>
            <w:tcW w:w="787" w:type="dxa"/>
            <w:shd w:val="clear" w:color="auto" w:fill="auto"/>
            <w:noWrap w:val="0"/>
            <w:vAlign w:val="center"/>
          </w:tcPr>
          <w:p w14:paraId="1A22858C">
            <w:pPr>
              <w:pStyle w:val="17"/>
              <w:bidi w:val="0"/>
              <w:rPr>
                <w:rFonts w:hint="default"/>
                <w:color w:val="auto"/>
                <w:highlight w:val="none"/>
                <w:lang w:val="en-US" w:eastAsia="zh-CN"/>
              </w:rPr>
            </w:pPr>
            <w:r>
              <w:rPr>
                <w:color w:val="auto"/>
                <w:highlight w:val="none"/>
              </w:rPr>
              <w:t>-1013.7</w:t>
            </w:r>
          </w:p>
        </w:tc>
        <w:tc>
          <w:tcPr>
            <w:tcW w:w="747" w:type="dxa"/>
            <w:shd w:val="clear" w:color="auto" w:fill="auto"/>
            <w:noWrap w:val="0"/>
            <w:vAlign w:val="center"/>
          </w:tcPr>
          <w:p w14:paraId="4B86B5D7">
            <w:pPr>
              <w:pStyle w:val="17"/>
              <w:bidi w:val="0"/>
              <w:rPr>
                <w:rFonts w:hint="default"/>
                <w:color w:val="auto"/>
                <w:highlight w:val="none"/>
                <w:lang w:val="en-US" w:eastAsia="zh-CN"/>
              </w:rPr>
            </w:pPr>
            <w:r>
              <w:rPr>
                <w:color w:val="auto"/>
                <w:highlight w:val="none"/>
              </w:rPr>
              <w:t>1.2</w:t>
            </w:r>
          </w:p>
        </w:tc>
        <w:tc>
          <w:tcPr>
            <w:tcW w:w="892" w:type="dxa"/>
            <w:shd w:val="clear" w:color="auto" w:fill="auto"/>
            <w:noWrap w:val="0"/>
            <w:vAlign w:val="center"/>
          </w:tcPr>
          <w:p w14:paraId="7B52AB9B">
            <w:pPr>
              <w:pStyle w:val="17"/>
              <w:bidi w:val="0"/>
              <w:rPr>
                <w:rFonts w:hint="default"/>
                <w:color w:val="auto"/>
                <w:highlight w:val="none"/>
                <w:lang w:val="en-US" w:eastAsia="zh-CN"/>
              </w:rPr>
            </w:pPr>
            <w:r>
              <w:rPr>
                <w:color w:val="auto"/>
                <w:highlight w:val="none"/>
              </w:rPr>
              <w:t>夜间</w:t>
            </w:r>
          </w:p>
        </w:tc>
        <w:tc>
          <w:tcPr>
            <w:tcW w:w="1303" w:type="dxa"/>
            <w:shd w:val="clear" w:color="auto" w:fill="auto"/>
            <w:noWrap w:val="0"/>
            <w:vAlign w:val="center"/>
          </w:tcPr>
          <w:p w14:paraId="02A3519A">
            <w:pPr>
              <w:pStyle w:val="17"/>
              <w:bidi w:val="0"/>
              <w:rPr>
                <w:rFonts w:hint="default"/>
                <w:color w:val="auto"/>
                <w:highlight w:val="none"/>
                <w:lang w:val="en-US" w:eastAsia="zh-CN"/>
              </w:rPr>
            </w:pPr>
            <w:r>
              <w:rPr>
                <w:color w:val="auto"/>
                <w:highlight w:val="none"/>
              </w:rPr>
              <w:t>48.5</w:t>
            </w:r>
          </w:p>
        </w:tc>
        <w:tc>
          <w:tcPr>
            <w:tcW w:w="1304" w:type="dxa"/>
            <w:shd w:val="clear" w:color="auto" w:fill="auto"/>
            <w:noWrap w:val="0"/>
            <w:vAlign w:val="center"/>
          </w:tcPr>
          <w:p w14:paraId="3B5C9685">
            <w:pPr>
              <w:pStyle w:val="17"/>
              <w:bidi w:val="0"/>
              <w:rPr>
                <w:rFonts w:hint="default"/>
                <w:color w:val="auto"/>
                <w:highlight w:val="none"/>
              </w:rPr>
            </w:pPr>
            <w:r>
              <w:rPr>
                <w:color w:val="auto"/>
                <w:highlight w:val="none"/>
              </w:rPr>
              <w:t>50</w:t>
            </w:r>
          </w:p>
        </w:tc>
        <w:tc>
          <w:tcPr>
            <w:tcW w:w="1054" w:type="dxa"/>
            <w:shd w:val="clear" w:color="auto" w:fill="auto"/>
            <w:noWrap w:val="0"/>
            <w:vAlign w:val="center"/>
          </w:tcPr>
          <w:p w14:paraId="6BA1A6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Arial"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达标</w:t>
            </w:r>
          </w:p>
        </w:tc>
      </w:tr>
      <w:tr w14:paraId="04C2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80" w:type="dxa"/>
            <w:shd w:val="clear" w:color="auto" w:fill="auto"/>
            <w:noWrap w:val="0"/>
            <w:vAlign w:val="center"/>
          </w:tcPr>
          <w:p w14:paraId="79902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西侧</w:t>
            </w:r>
          </w:p>
        </w:tc>
        <w:tc>
          <w:tcPr>
            <w:tcW w:w="791" w:type="dxa"/>
            <w:shd w:val="clear" w:color="auto" w:fill="auto"/>
            <w:noWrap w:val="0"/>
            <w:vAlign w:val="center"/>
          </w:tcPr>
          <w:p w14:paraId="4B143309">
            <w:pPr>
              <w:pStyle w:val="17"/>
              <w:bidi w:val="0"/>
              <w:rPr>
                <w:rFonts w:hint="default"/>
                <w:color w:val="auto"/>
                <w:highlight w:val="none"/>
                <w:lang w:val="en-US" w:eastAsia="zh-CN"/>
              </w:rPr>
            </w:pPr>
            <w:r>
              <w:rPr>
                <w:color w:val="auto"/>
                <w:highlight w:val="none"/>
              </w:rPr>
              <w:t>-989.1</w:t>
            </w:r>
          </w:p>
        </w:tc>
        <w:tc>
          <w:tcPr>
            <w:tcW w:w="787" w:type="dxa"/>
            <w:shd w:val="clear" w:color="auto" w:fill="auto"/>
            <w:noWrap w:val="0"/>
            <w:vAlign w:val="center"/>
          </w:tcPr>
          <w:p w14:paraId="432DF052">
            <w:pPr>
              <w:pStyle w:val="17"/>
              <w:bidi w:val="0"/>
              <w:rPr>
                <w:rFonts w:hint="default"/>
                <w:color w:val="auto"/>
                <w:highlight w:val="none"/>
                <w:lang w:val="en-US" w:eastAsia="zh-CN"/>
              </w:rPr>
            </w:pPr>
            <w:r>
              <w:rPr>
                <w:color w:val="auto"/>
                <w:highlight w:val="none"/>
              </w:rPr>
              <w:t>-916.4</w:t>
            </w:r>
          </w:p>
        </w:tc>
        <w:tc>
          <w:tcPr>
            <w:tcW w:w="747" w:type="dxa"/>
            <w:shd w:val="clear" w:color="auto" w:fill="auto"/>
            <w:noWrap w:val="0"/>
            <w:vAlign w:val="center"/>
          </w:tcPr>
          <w:p w14:paraId="08551B41">
            <w:pPr>
              <w:pStyle w:val="17"/>
              <w:bidi w:val="0"/>
              <w:rPr>
                <w:rFonts w:hint="default"/>
                <w:color w:val="auto"/>
                <w:highlight w:val="none"/>
                <w:lang w:val="en-US" w:eastAsia="zh-CN"/>
              </w:rPr>
            </w:pPr>
            <w:r>
              <w:rPr>
                <w:color w:val="auto"/>
                <w:highlight w:val="none"/>
              </w:rPr>
              <w:t>1.2</w:t>
            </w:r>
          </w:p>
        </w:tc>
        <w:tc>
          <w:tcPr>
            <w:tcW w:w="892" w:type="dxa"/>
            <w:shd w:val="clear" w:color="auto" w:fill="auto"/>
            <w:noWrap w:val="0"/>
            <w:vAlign w:val="center"/>
          </w:tcPr>
          <w:p w14:paraId="0CA56821">
            <w:pPr>
              <w:pStyle w:val="17"/>
              <w:bidi w:val="0"/>
              <w:rPr>
                <w:rFonts w:hint="default"/>
                <w:color w:val="auto"/>
                <w:highlight w:val="none"/>
                <w:lang w:val="en-US" w:eastAsia="zh-CN"/>
              </w:rPr>
            </w:pPr>
            <w:r>
              <w:rPr>
                <w:color w:val="auto"/>
                <w:highlight w:val="none"/>
              </w:rPr>
              <w:t>昼间</w:t>
            </w:r>
          </w:p>
        </w:tc>
        <w:tc>
          <w:tcPr>
            <w:tcW w:w="1303" w:type="dxa"/>
            <w:shd w:val="clear" w:color="auto" w:fill="auto"/>
            <w:noWrap w:val="0"/>
            <w:vAlign w:val="center"/>
          </w:tcPr>
          <w:p w14:paraId="589E6D00">
            <w:pPr>
              <w:pStyle w:val="17"/>
              <w:bidi w:val="0"/>
              <w:rPr>
                <w:rFonts w:hint="default"/>
                <w:color w:val="auto"/>
                <w:highlight w:val="none"/>
                <w:lang w:val="en-US" w:eastAsia="zh-CN"/>
              </w:rPr>
            </w:pPr>
            <w:r>
              <w:rPr>
                <w:color w:val="auto"/>
                <w:highlight w:val="none"/>
              </w:rPr>
              <w:t>7.8</w:t>
            </w:r>
          </w:p>
        </w:tc>
        <w:tc>
          <w:tcPr>
            <w:tcW w:w="1304" w:type="dxa"/>
            <w:shd w:val="clear" w:color="auto" w:fill="auto"/>
            <w:noWrap w:val="0"/>
            <w:vAlign w:val="center"/>
          </w:tcPr>
          <w:p w14:paraId="3159A9A5">
            <w:pPr>
              <w:pStyle w:val="17"/>
              <w:bidi w:val="0"/>
              <w:rPr>
                <w:rFonts w:hint="default"/>
                <w:color w:val="auto"/>
                <w:highlight w:val="none"/>
              </w:rPr>
            </w:pPr>
            <w:r>
              <w:rPr>
                <w:color w:val="auto"/>
                <w:highlight w:val="none"/>
              </w:rPr>
              <w:t>60</w:t>
            </w:r>
          </w:p>
        </w:tc>
        <w:tc>
          <w:tcPr>
            <w:tcW w:w="1054" w:type="dxa"/>
            <w:shd w:val="clear" w:color="auto" w:fill="auto"/>
            <w:noWrap w:val="0"/>
            <w:vAlign w:val="center"/>
          </w:tcPr>
          <w:p w14:paraId="792FF8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达标</w:t>
            </w:r>
          </w:p>
        </w:tc>
      </w:tr>
      <w:tr w14:paraId="6E9C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80" w:type="dxa"/>
            <w:shd w:val="clear" w:color="auto" w:fill="auto"/>
            <w:noWrap w:val="0"/>
            <w:vAlign w:val="center"/>
          </w:tcPr>
          <w:p w14:paraId="0E80D6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Arial" w:cs="Times New Roman"/>
                <w:b w:val="0"/>
                <w:bCs/>
                <w:color w:val="auto"/>
                <w:sz w:val="21"/>
                <w:szCs w:val="21"/>
                <w:highlight w:val="none"/>
              </w:rPr>
              <w:t>西侧</w:t>
            </w:r>
          </w:p>
        </w:tc>
        <w:tc>
          <w:tcPr>
            <w:tcW w:w="791" w:type="dxa"/>
            <w:shd w:val="clear" w:color="auto" w:fill="auto"/>
            <w:noWrap w:val="0"/>
            <w:vAlign w:val="center"/>
          </w:tcPr>
          <w:p w14:paraId="2E5846B4">
            <w:pPr>
              <w:pStyle w:val="17"/>
              <w:bidi w:val="0"/>
              <w:rPr>
                <w:rFonts w:hint="default"/>
                <w:color w:val="auto"/>
                <w:highlight w:val="none"/>
                <w:lang w:val="en-US" w:eastAsia="zh-CN"/>
              </w:rPr>
            </w:pPr>
            <w:r>
              <w:rPr>
                <w:color w:val="auto"/>
                <w:highlight w:val="none"/>
              </w:rPr>
              <w:t>-989.1</w:t>
            </w:r>
          </w:p>
        </w:tc>
        <w:tc>
          <w:tcPr>
            <w:tcW w:w="787" w:type="dxa"/>
            <w:shd w:val="clear" w:color="auto" w:fill="auto"/>
            <w:noWrap w:val="0"/>
            <w:vAlign w:val="center"/>
          </w:tcPr>
          <w:p w14:paraId="51930E84">
            <w:pPr>
              <w:pStyle w:val="17"/>
              <w:bidi w:val="0"/>
              <w:rPr>
                <w:rFonts w:hint="default"/>
                <w:color w:val="auto"/>
                <w:highlight w:val="none"/>
                <w:lang w:val="en-US" w:eastAsia="zh-CN"/>
              </w:rPr>
            </w:pPr>
            <w:r>
              <w:rPr>
                <w:color w:val="auto"/>
                <w:highlight w:val="none"/>
              </w:rPr>
              <w:t>-916.4</w:t>
            </w:r>
          </w:p>
        </w:tc>
        <w:tc>
          <w:tcPr>
            <w:tcW w:w="747" w:type="dxa"/>
            <w:shd w:val="clear" w:color="auto" w:fill="auto"/>
            <w:noWrap w:val="0"/>
            <w:vAlign w:val="center"/>
          </w:tcPr>
          <w:p w14:paraId="39C8678F">
            <w:pPr>
              <w:pStyle w:val="17"/>
              <w:bidi w:val="0"/>
              <w:rPr>
                <w:rFonts w:hint="default"/>
                <w:color w:val="auto"/>
                <w:highlight w:val="none"/>
                <w:lang w:val="en-US" w:eastAsia="zh-CN"/>
              </w:rPr>
            </w:pPr>
            <w:r>
              <w:rPr>
                <w:color w:val="auto"/>
                <w:highlight w:val="none"/>
              </w:rPr>
              <w:t>1.2</w:t>
            </w:r>
          </w:p>
        </w:tc>
        <w:tc>
          <w:tcPr>
            <w:tcW w:w="892" w:type="dxa"/>
            <w:shd w:val="clear" w:color="auto" w:fill="auto"/>
            <w:noWrap w:val="0"/>
            <w:vAlign w:val="center"/>
          </w:tcPr>
          <w:p w14:paraId="5533F648">
            <w:pPr>
              <w:pStyle w:val="17"/>
              <w:bidi w:val="0"/>
              <w:rPr>
                <w:rFonts w:hint="default"/>
                <w:color w:val="auto"/>
                <w:highlight w:val="none"/>
                <w:lang w:val="en-US" w:eastAsia="zh-CN"/>
              </w:rPr>
            </w:pPr>
            <w:r>
              <w:rPr>
                <w:color w:val="auto"/>
                <w:highlight w:val="none"/>
              </w:rPr>
              <w:t>夜间</w:t>
            </w:r>
          </w:p>
        </w:tc>
        <w:tc>
          <w:tcPr>
            <w:tcW w:w="1303" w:type="dxa"/>
            <w:shd w:val="clear" w:color="auto" w:fill="auto"/>
            <w:noWrap w:val="0"/>
            <w:vAlign w:val="center"/>
          </w:tcPr>
          <w:p w14:paraId="5DEF711C">
            <w:pPr>
              <w:pStyle w:val="17"/>
              <w:bidi w:val="0"/>
              <w:rPr>
                <w:rFonts w:hint="default"/>
                <w:color w:val="auto"/>
                <w:highlight w:val="none"/>
                <w:lang w:val="en-US" w:eastAsia="zh-CN"/>
              </w:rPr>
            </w:pPr>
            <w:r>
              <w:rPr>
                <w:color w:val="auto"/>
                <w:highlight w:val="none"/>
              </w:rPr>
              <w:t>7.8</w:t>
            </w:r>
          </w:p>
        </w:tc>
        <w:tc>
          <w:tcPr>
            <w:tcW w:w="1304" w:type="dxa"/>
            <w:shd w:val="clear" w:color="auto" w:fill="auto"/>
            <w:noWrap w:val="0"/>
            <w:vAlign w:val="center"/>
          </w:tcPr>
          <w:p w14:paraId="7733AAFD">
            <w:pPr>
              <w:pStyle w:val="17"/>
              <w:bidi w:val="0"/>
              <w:rPr>
                <w:rFonts w:hint="default"/>
                <w:color w:val="auto"/>
                <w:highlight w:val="none"/>
              </w:rPr>
            </w:pPr>
            <w:r>
              <w:rPr>
                <w:color w:val="auto"/>
                <w:highlight w:val="none"/>
              </w:rPr>
              <w:t>50</w:t>
            </w:r>
          </w:p>
        </w:tc>
        <w:tc>
          <w:tcPr>
            <w:tcW w:w="1054" w:type="dxa"/>
            <w:shd w:val="clear" w:color="auto" w:fill="auto"/>
            <w:noWrap w:val="0"/>
            <w:vAlign w:val="center"/>
          </w:tcPr>
          <w:p w14:paraId="482C7E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Arial"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达标</w:t>
            </w:r>
          </w:p>
        </w:tc>
      </w:tr>
      <w:tr w14:paraId="6765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80" w:type="dxa"/>
            <w:shd w:val="clear" w:color="auto" w:fill="auto"/>
            <w:noWrap w:val="0"/>
            <w:vAlign w:val="center"/>
          </w:tcPr>
          <w:p w14:paraId="59692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北侧</w:t>
            </w:r>
          </w:p>
        </w:tc>
        <w:tc>
          <w:tcPr>
            <w:tcW w:w="791" w:type="dxa"/>
            <w:shd w:val="clear" w:color="auto" w:fill="auto"/>
            <w:noWrap w:val="0"/>
            <w:vAlign w:val="center"/>
          </w:tcPr>
          <w:p w14:paraId="686ED143">
            <w:pPr>
              <w:pStyle w:val="17"/>
              <w:bidi w:val="0"/>
              <w:rPr>
                <w:rFonts w:hint="default"/>
                <w:color w:val="auto"/>
                <w:highlight w:val="none"/>
                <w:lang w:val="en-US" w:eastAsia="zh-CN"/>
              </w:rPr>
            </w:pPr>
            <w:r>
              <w:rPr>
                <w:color w:val="auto"/>
                <w:highlight w:val="none"/>
              </w:rPr>
              <w:t>-1571.3</w:t>
            </w:r>
          </w:p>
        </w:tc>
        <w:tc>
          <w:tcPr>
            <w:tcW w:w="787" w:type="dxa"/>
            <w:shd w:val="clear" w:color="auto" w:fill="auto"/>
            <w:noWrap w:val="0"/>
            <w:vAlign w:val="center"/>
          </w:tcPr>
          <w:p w14:paraId="3326B3BF">
            <w:pPr>
              <w:pStyle w:val="17"/>
              <w:bidi w:val="0"/>
              <w:rPr>
                <w:rFonts w:hint="default"/>
                <w:color w:val="auto"/>
                <w:highlight w:val="none"/>
                <w:lang w:val="en-US" w:eastAsia="zh-CN"/>
              </w:rPr>
            </w:pPr>
            <w:r>
              <w:rPr>
                <w:color w:val="auto"/>
                <w:highlight w:val="none"/>
              </w:rPr>
              <w:t>1007.1</w:t>
            </w:r>
          </w:p>
        </w:tc>
        <w:tc>
          <w:tcPr>
            <w:tcW w:w="747" w:type="dxa"/>
            <w:shd w:val="clear" w:color="auto" w:fill="auto"/>
            <w:noWrap w:val="0"/>
            <w:vAlign w:val="center"/>
          </w:tcPr>
          <w:p w14:paraId="2A225A89">
            <w:pPr>
              <w:pStyle w:val="17"/>
              <w:bidi w:val="0"/>
              <w:rPr>
                <w:rFonts w:hint="default"/>
                <w:color w:val="auto"/>
                <w:highlight w:val="none"/>
                <w:lang w:val="en-US" w:eastAsia="zh-CN"/>
              </w:rPr>
            </w:pPr>
            <w:r>
              <w:rPr>
                <w:color w:val="auto"/>
                <w:highlight w:val="none"/>
              </w:rPr>
              <w:t>1.2</w:t>
            </w:r>
          </w:p>
        </w:tc>
        <w:tc>
          <w:tcPr>
            <w:tcW w:w="892" w:type="dxa"/>
            <w:shd w:val="clear" w:color="auto" w:fill="auto"/>
            <w:noWrap w:val="0"/>
            <w:vAlign w:val="center"/>
          </w:tcPr>
          <w:p w14:paraId="75F9A011">
            <w:pPr>
              <w:pStyle w:val="17"/>
              <w:bidi w:val="0"/>
              <w:rPr>
                <w:rFonts w:hint="default"/>
                <w:color w:val="auto"/>
                <w:highlight w:val="none"/>
                <w:lang w:val="en-US" w:eastAsia="zh-CN"/>
              </w:rPr>
            </w:pPr>
            <w:r>
              <w:rPr>
                <w:color w:val="auto"/>
                <w:highlight w:val="none"/>
              </w:rPr>
              <w:t>昼间</w:t>
            </w:r>
          </w:p>
        </w:tc>
        <w:tc>
          <w:tcPr>
            <w:tcW w:w="1303" w:type="dxa"/>
            <w:shd w:val="clear" w:color="auto" w:fill="auto"/>
            <w:noWrap w:val="0"/>
            <w:vAlign w:val="center"/>
          </w:tcPr>
          <w:p w14:paraId="28A82B24">
            <w:pPr>
              <w:pStyle w:val="17"/>
              <w:bidi w:val="0"/>
              <w:rPr>
                <w:rFonts w:hint="default"/>
                <w:color w:val="auto"/>
                <w:highlight w:val="none"/>
                <w:lang w:val="en-US" w:eastAsia="zh-CN"/>
              </w:rPr>
            </w:pPr>
            <w:r>
              <w:rPr>
                <w:color w:val="auto"/>
                <w:highlight w:val="none"/>
              </w:rPr>
              <w:t>7.8</w:t>
            </w:r>
          </w:p>
        </w:tc>
        <w:tc>
          <w:tcPr>
            <w:tcW w:w="1304" w:type="dxa"/>
            <w:shd w:val="clear" w:color="auto" w:fill="auto"/>
            <w:noWrap w:val="0"/>
            <w:vAlign w:val="center"/>
          </w:tcPr>
          <w:p w14:paraId="017A021B">
            <w:pPr>
              <w:pStyle w:val="17"/>
              <w:bidi w:val="0"/>
              <w:rPr>
                <w:rFonts w:hint="default"/>
                <w:color w:val="auto"/>
                <w:highlight w:val="none"/>
              </w:rPr>
            </w:pPr>
            <w:r>
              <w:rPr>
                <w:color w:val="auto"/>
                <w:highlight w:val="none"/>
              </w:rPr>
              <w:t>60</w:t>
            </w:r>
          </w:p>
        </w:tc>
        <w:tc>
          <w:tcPr>
            <w:tcW w:w="1054" w:type="dxa"/>
            <w:shd w:val="clear" w:color="auto" w:fill="auto"/>
            <w:noWrap w:val="0"/>
            <w:vAlign w:val="center"/>
          </w:tcPr>
          <w:p w14:paraId="3EC429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达标</w:t>
            </w:r>
          </w:p>
        </w:tc>
      </w:tr>
      <w:tr w14:paraId="2771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980" w:type="dxa"/>
            <w:shd w:val="clear" w:color="auto" w:fill="auto"/>
            <w:noWrap w:val="0"/>
            <w:vAlign w:val="center"/>
          </w:tcPr>
          <w:p w14:paraId="610847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Arial" w:cs="Times New Roman"/>
                <w:b w:val="0"/>
                <w:bCs/>
                <w:color w:val="auto"/>
                <w:sz w:val="21"/>
                <w:szCs w:val="21"/>
                <w:highlight w:val="none"/>
              </w:rPr>
              <w:t>北侧</w:t>
            </w:r>
          </w:p>
        </w:tc>
        <w:tc>
          <w:tcPr>
            <w:tcW w:w="791" w:type="dxa"/>
            <w:shd w:val="clear" w:color="auto" w:fill="auto"/>
            <w:noWrap w:val="0"/>
            <w:vAlign w:val="center"/>
          </w:tcPr>
          <w:p w14:paraId="0925D7B3">
            <w:pPr>
              <w:pStyle w:val="17"/>
              <w:bidi w:val="0"/>
              <w:rPr>
                <w:rFonts w:hint="default"/>
                <w:color w:val="auto"/>
                <w:highlight w:val="none"/>
                <w:lang w:val="en-US" w:eastAsia="zh-CN"/>
              </w:rPr>
            </w:pPr>
            <w:r>
              <w:rPr>
                <w:color w:val="auto"/>
                <w:highlight w:val="none"/>
              </w:rPr>
              <w:t>-1571.3</w:t>
            </w:r>
          </w:p>
        </w:tc>
        <w:tc>
          <w:tcPr>
            <w:tcW w:w="787" w:type="dxa"/>
            <w:shd w:val="clear" w:color="auto" w:fill="auto"/>
            <w:noWrap w:val="0"/>
            <w:vAlign w:val="center"/>
          </w:tcPr>
          <w:p w14:paraId="6541F8CB">
            <w:pPr>
              <w:pStyle w:val="17"/>
              <w:bidi w:val="0"/>
              <w:rPr>
                <w:rFonts w:hint="default"/>
                <w:color w:val="auto"/>
                <w:highlight w:val="none"/>
                <w:lang w:val="en-US" w:eastAsia="zh-CN"/>
              </w:rPr>
            </w:pPr>
            <w:r>
              <w:rPr>
                <w:color w:val="auto"/>
                <w:highlight w:val="none"/>
              </w:rPr>
              <w:t>1007.1</w:t>
            </w:r>
          </w:p>
        </w:tc>
        <w:tc>
          <w:tcPr>
            <w:tcW w:w="747" w:type="dxa"/>
            <w:shd w:val="clear" w:color="auto" w:fill="auto"/>
            <w:noWrap w:val="0"/>
            <w:vAlign w:val="center"/>
          </w:tcPr>
          <w:p w14:paraId="3186DFEB">
            <w:pPr>
              <w:pStyle w:val="17"/>
              <w:bidi w:val="0"/>
              <w:rPr>
                <w:rFonts w:hint="default"/>
                <w:color w:val="auto"/>
                <w:highlight w:val="none"/>
                <w:lang w:val="en-US" w:eastAsia="zh-CN"/>
              </w:rPr>
            </w:pPr>
            <w:r>
              <w:rPr>
                <w:color w:val="auto"/>
                <w:highlight w:val="none"/>
              </w:rPr>
              <w:t>1.2</w:t>
            </w:r>
          </w:p>
        </w:tc>
        <w:tc>
          <w:tcPr>
            <w:tcW w:w="892" w:type="dxa"/>
            <w:shd w:val="clear" w:color="auto" w:fill="auto"/>
            <w:noWrap w:val="0"/>
            <w:vAlign w:val="center"/>
          </w:tcPr>
          <w:p w14:paraId="391CFFEF">
            <w:pPr>
              <w:pStyle w:val="17"/>
              <w:bidi w:val="0"/>
              <w:rPr>
                <w:rFonts w:hint="default"/>
                <w:color w:val="auto"/>
                <w:highlight w:val="none"/>
                <w:lang w:val="en-US" w:eastAsia="zh-CN"/>
              </w:rPr>
            </w:pPr>
            <w:r>
              <w:rPr>
                <w:color w:val="auto"/>
                <w:highlight w:val="none"/>
              </w:rPr>
              <w:t>夜间</w:t>
            </w:r>
          </w:p>
        </w:tc>
        <w:tc>
          <w:tcPr>
            <w:tcW w:w="1303" w:type="dxa"/>
            <w:shd w:val="clear" w:color="auto" w:fill="auto"/>
            <w:noWrap w:val="0"/>
            <w:vAlign w:val="center"/>
          </w:tcPr>
          <w:p w14:paraId="478B1486">
            <w:pPr>
              <w:pStyle w:val="17"/>
              <w:bidi w:val="0"/>
              <w:rPr>
                <w:rFonts w:hint="default"/>
                <w:color w:val="auto"/>
                <w:highlight w:val="none"/>
                <w:lang w:val="en-US" w:eastAsia="zh-CN"/>
              </w:rPr>
            </w:pPr>
            <w:r>
              <w:rPr>
                <w:color w:val="auto"/>
                <w:highlight w:val="none"/>
              </w:rPr>
              <w:t>7.8</w:t>
            </w:r>
          </w:p>
        </w:tc>
        <w:tc>
          <w:tcPr>
            <w:tcW w:w="1304" w:type="dxa"/>
            <w:shd w:val="clear" w:color="auto" w:fill="auto"/>
            <w:noWrap w:val="0"/>
            <w:vAlign w:val="center"/>
          </w:tcPr>
          <w:p w14:paraId="41C0DFCA">
            <w:pPr>
              <w:pStyle w:val="17"/>
              <w:bidi w:val="0"/>
              <w:rPr>
                <w:rFonts w:hint="default"/>
                <w:color w:val="auto"/>
                <w:highlight w:val="none"/>
                <w:lang w:val="en-US" w:eastAsia="zh-CN"/>
              </w:rPr>
            </w:pPr>
            <w:r>
              <w:rPr>
                <w:color w:val="auto"/>
                <w:highlight w:val="none"/>
              </w:rPr>
              <w:t>50</w:t>
            </w:r>
          </w:p>
        </w:tc>
        <w:tc>
          <w:tcPr>
            <w:tcW w:w="1054" w:type="dxa"/>
            <w:shd w:val="clear" w:color="auto" w:fill="auto"/>
            <w:noWrap w:val="0"/>
            <w:vAlign w:val="center"/>
          </w:tcPr>
          <w:p w14:paraId="0CCD61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Arial" w:cs="Times New Roman"/>
                <w:b w:val="0"/>
                <w:bCs/>
                <w:color w:val="auto"/>
                <w:sz w:val="21"/>
                <w:szCs w:val="21"/>
                <w:highlight w:val="none"/>
              </w:rPr>
            </w:pPr>
            <w:r>
              <w:rPr>
                <w:rFonts w:hint="default" w:ascii="Times New Roman" w:hAnsi="Times New Roman" w:eastAsia="Arial" w:cs="Times New Roman"/>
                <w:b w:val="0"/>
                <w:bCs/>
                <w:color w:val="auto"/>
                <w:sz w:val="21"/>
                <w:szCs w:val="21"/>
                <w:highlight w:val="none"/>
              </w:rPr>
              <w:t>达标</w:t>
            </w:r>
          </w:p>
        </w:tc>
      </w:tr>
    </w:tbl>
    <w:p w14:paraId="0FB7D51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cs="Times New Roman"/>
          <w:color w:val="auto"/>
          <w:highlight w:val="none"/>
        </w:rPr>
      </w:pPr>
      <w:r>
        <w:rPr>
          <w:rFonts w:hint="eastAsia" w:ascii="Times New Roman" w:hAnsi="Times New Roman" w:eastAsia="宋体" w:cs="Times New Roman"/>
          <w:b w:val="0"/>
          <w:bCs/>
          <w:color w:val="auto"/>
          <w:sz w:val="21"/>
          <w:szCs w:val="21"/>
          <w:highlight w:val="none"/>
          <w:lang w:val="en-US" w:eastAsia="zh-CN"/>
        </w:rPr>
        <w:t>注：</w:t>
      </w:r>
      <w:r>
        <w:rPr>
          <w:rFonts w:hint="default" w:ascii="Times New Roman" w:hAnsi="Times New Roman" w:eastAsia="宋体" w:cs="Times New Roman"/>
          <w:b w:val="0"/>
          <w:bCs/>
          <w:color w:val="auto"/>
          <w:sz w:val="21"/>
          <w:szCs w:val="21"/>
          <w:highlight w:val="none"/>
          <w:lang w:val="en-US" w:eastAsia="zh-CN"/>
        </w:rPr>
        <w:t>表中坐标以厂界中心为坐标原点，正东向为X轴正方向，正北向为Y轴正方向</w:t>
      </w:r>
      <w:r>
        <w:rPr>
          <w:rFonts w:hint="eastAsia" w:ascii="Times New Roman" w:hAnsi="Times New Roman" w:eastAsia="宋体" w:cs="Times New Roman"/>
          <w:b w:val="0"/>
          <w:bCs/>
          <w:color w:val="auto"/>
          <w:sz w:val="21"/>
          <w:szCs w:val="21"/>
          <w:highlight w:val="none"/>
          <w:lang w:val="en-US" w:eastAsia="zh-CN"/>
        </w:rPr>
        <w:t>。</w:t>
      </w:r>
    </w:p>
    <w:p w14:paraId="7FE37967">
      <w:pPr>
        <w:bidi w:val="0"/>
        <w:rPr>
          <w:rFonts w:hint="default"/>
          <w:color w:val="auto"/>
          <w:highlight w:val="none"/>
          <w:lang w:val="en-US" w:eastAsia="zh-CN"/>
        </w:rPr>
      </w:pPr>
      <w:r>
        <w:rPr>
          <w:rFonts w:hint="default"/>
          <w:color w:val="auto"/>
          <w:highlight w:val="none"/>
          <w:lang w:val="en-US" w:eastAsia="zh-CN"/>
        </w:rPr>
        <w:t>由表5.2-</w:t>
      </w:r>
      <w:r>
        <w:rPr>
          <w:rFonts w:hint="eastAsia"/>
          <w:color w:val="auto"/>
          <w:highlight w:val="none"/>
          <w:lang w:val="en-US" w:eastAsia="zh-CN"/>
        </w:rPr>
        <w:t>18</w:t>
      </w:r>
      <w:r>
        <w:rPr>
          <w:rFonts w:hint="default"/>
          <w:color w:val="auto"/>
          <w:highlight w:val="none"/>
          <w:lang w:val="en-US" w:eastAsia="zh-CN"/>
        </w:rPr>
        <w:t>预测结果可知，该项目在生产运行过程中，昼、夜间厂界贡献值符合《工业企业厂界环境噪声排放标准》（GB12348－2008）2类标准要求，项目的建设对区域声环境影响不大。</w:t>
      </w:r>
    </w:p>
    <w:p w14:paraId="6EEB5FC6">
      <w:pPr>
        <w:bidi w:val="0"/>
        <w:rPr>
          <w:rFonts w:hint="default"/>
          <w:color w:val="auto"/>
          <w:highlight w:val="none"/>
          <w:lang w:val="en-US" w:eastAsia="zh-CN"/>
        </w:rPr>
      </w:pPr>
      <w:r>
        <w:rPr>
          <w:rFonts w:hint="default"/>
          <w:color w:val="auto"/>
          <w:highlight w:val="none"/>
          <w:lang w:val="en-US" w:eastAsia="zh-CN"/>
        </w:rPr>
        <w:t>另外本项目采矿场周边和废石堆放场10km范围内没有村庄，因此本项目矿区噪声对周围声环境影响很小，不会造成不良影响。</w:t>
      </w:r>
    </w:p>
    <w:p w14:paraId="07AD6618">
      <w:pPr>
        <w:pStyle w:val="7"/>
        <w:bidi w:val="0"/>
        <w:rPr>
          <w:rFonts w:hint="default"/>
          <w:color w:val="auto"/>
          <w:highlight w:val="none"/>
          <w:lang w:val="en-US" w:eastAsia="zh-CN"/>
        </w:rPr>
      </w:pPr>
      <w:r>
        <w:rPr>
          <w:rFonts w:hint="eastAsia"/>
          <w:color w:val="auto"/>
          <w:highlight w:val="none"/>
          <w:lang w:val="en-US" w:eastAsia="zh-CN"/>
        </w:rPr>
        <w:t>5.2.4.2</w:t>
      </w:r>
      <w:r>
        <w:rPr>
          <w:rFonts w:hint="default"/>
          <w:color w:val="auto"/>
          <w:highlight w:val="none"/>
          <w:lang w:val="en-US" w:eastAsia="zh-CN"/>
        </w:rPr>
        <w:t>突发噪声环境影响评价</w:t>
      </w:r>
    </w:p>
    <w:p w14:paraId="00369BB6">
      <w:pPr>
        <w:keepNext w:val="0"/>
        <w:keepLines w:val="0"/>
        <w:pageBreakBefore w:val="0"/>
        <w:widowControl/>
        <w:kinsoku/>
        <w:wordWrap/>
        <w:overflowPunct/>
        <w:topLinePunct w:val="0"/>
        <w:autoSpaceDE/>
        <w:autoSpaceDN/>
        <w:bidi w:val="0"/>
        <w:adjustRightInd/>
        <w:snapToGrid/>
        <w:spacing w:after="0" w:line="480" w:lineRule="exact"/>
        <w:ind w:firstLine="480" w:firstLineChars="200"/>
        <w:jc w:val="both"/>
        <w:textAlignment w:val="auto"/>
        <w:outlineLvl w:val="9"/>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矿山开采过程中，炸药在岩石中爆炸时，会产生强大的冲击波，在一定范围内产生地震现象，这就是爆破地震效应。爆破振动一旦传播到爆破区之外，不仅会造成浪费，还会对附近建筑物产生破坏作用，同时对周边人员产生不良的心理影响。</w:t>
      </w:r>
    </w:p>
    <w:p w14:paraId="510A4C53">
      <w:pPr>
        <w:bidi w:val="0"/>
        <w:rPr>
          <w:rFonts w:hint="default"/>
          <w:color w:val="auto"/>
          <w:highlight w:val="none"/>
          <w:lang w:val="en-US" w:eastAsia="zh-CN"/>
        </w:rPr>
      </w:pPr>
      <w:r>
        <w:rPr>
          <w:rFonts w:hint="default"/>
          <w:color w:val="auto"/>
          <w:highlight w:val="none"/>
          <w:lang w:val="en-US" w:eastAsia="zh-CN"/>
        </w:rPr>
        <w:t>根据《声环境质量标准》GB3096-2008中的要求，夜间突发噪声，最大值</w:t>
      </w:r>
      <w:r>
        <w:rPr>
          <w:rFonts w:hint="eastAsia"/>
          <w:color w:val="auto"/>
          <w:highlight w:val="none"/>
          <w:lang w:val="en-US" w:eastAsia="zh-CN"/>
        </w:rPr>
        <w:t>不</w:t>
      </w:r>
      <w:r>
        <w:rPr>
          <w:rFonts w:hint="default"/>
          <w:color w:val="auto"/>
          <w:highlight w:val="none"/>
          <w:lang w:val="en-US" w:eastAsia="zh-CN"/>
        </w:rPr>
        <w:t>超过标准限值15dB（A），则区域突发噪声最大不得超过70dB（A）。</w:t>
      </w:r>
      <w:r>
        <w:rPr>
          <w:rFonts w:hint="eastAsia"/>
          <w:color w:val="auto"/>
          <w:highlight w:val="none"/>
          <w:lang w:val="en-US" w:eastAsia="zh-CN"/>
        </w:rPr>
        <w:t>有关</w:t>
      </w:r>
      <w:r>
        <w:rPr>
          <w:rFonts w:hint="default"/>
          <w:color w:val="auto"/>
          <w:highlight w:val="none"/>
          <w:lang w:val="en-US" w:eastAsia="zh-CN"/>
        </w:rPr>
        <w:t>测试表明，距爆破现场500m处噪声值可达75dB（A），距爆破现场1000m处噪声值可减至50dB（A）。由于爆破时间安排在职工非休息时间，故对外环境影响不大。</w:t>
      </w:r>
    </w:p>
    <w:p w14:paraId="789F00B6">
      <w:pPr>
        <w:keepNext w:val="0"/>
        <w:keepLines w:val="0"/>
        <w:pageBreakBefore w:val="0"/>
        <w:widowControl/>
        <w:kinsoku/>
        <w:wordWrap/>
        <w:overflowPunct/>
        <w:topLinePunct w:val="0"/>
        <w:autoSpaceDE/>
        <w:autoSpaceDN/>
        <w:bidi w:val="0"/>
        <w:adjustRightInd/>
        <w:snapToGrid/>
        <w:spacing w:after="0" w:line="480" w:lineRule="exact"/>
        <w:ind w:firstLine="480" w:firstLineChars="200"/>
        <w:jc w:val="both"/>
        <w:textAlignment w:val="auto"/>
        <w:outlineLvl w:val="9"/>
        <w:rPr>
          <w:rFonts w:hint="default" w:ascii="Times New Roman" w:hAnsi="Times New Roman" w:eastAsia="宋体" w:cs="Times New Roman"/>
          <w:color w:val="auto"/>
          <w:kern w:val="2"/>
          <w:sz w:val="24"/>
          <w:szCs w:val="24"/>
          <w:highlight w:val="none"/>
          <w:lang w:val="zh-CN" w:eastAsia="zh-CN" w:bidi="ar"/>
        </w:rPr>
      </w:pPr>
      <w:r>
        <w:rPr>
          <w:rFonts w:hint="default" w:ascii="Times New Roman" w:hAnsi="Times New Roman" w:eastAsia="宋体" w:cs="Times New Roman"/>
          <w:color w:val="auto"/>
          <w:kern w:val="2"/>
          <w:sz w:val="24"/>
          <w:szCs w:val="24"/>
          <w:highlight w:val="none"/>
          <w:lang w:val="zh-CN" w:eastAsia="zh-CN" w:bidi="ar"/>
        </w:rPr>
        <w:t>（1）爆破振动安全标准</w:t>
      </w:r>
    </w:p>
    <w:p w14:paraId="74A94DFC">
      <w:pPr>
        <w:keepNext w:val="0"/>
        <w:keepLines w:val="0"/>
        <w:pageBreakBefore w:val="0"/>
        <w:widowControl/>
        <w:kinsoku/>
        <w:wordWrap/>
        <w:overflowPunct/>
        <w:topLinePunct w:val="0"/>
        <w:autoSpaceDE/>
        <w:autoSpaceDN/>
        <w:bidi w:val="0"/>
        <w:adjustRightInd/>
        <w:snapToGrid/>
        <w:spacing w:after="0" w:line="480" w:lineRule="exact"/>
        <w:ind w:firstLine="480" w:firstLineChars="200"/>
        <w:jc w:val="both"/>
        <w:textAlignment w:val="auto"/>
        <w:outlineLvl w:val="9"/>
        <w:rPr>
          <w:rFonts w:hint="default" w:ascii="Times New Roman" w:hAnsi="Times New Roman" w:eastAsia="宋体" w:cs="Times New Roman"/>
          <w:color w:val="auto"/>
          <w:kern w:val="2"/>
          <w:sz w:val="24"/>
          <w:szCs w:val="24"/>
          <w:highlight w:val="none"/>
          <w:lang w:val="zh-CN" w:eastAsia="zh-CN" w:bidi="ar"/>
        </w:rPr>
      </w:pPr>
      <w:r>
        <w:rPr>
          <w:rFonts w:hint="default" w:ascii="Times New Roman" w:hAnsi="Times New Roman" w:eastAsia="宋体" w:cs="Times New Roman"/>
          <w:color w:val="auto"/>
          <w:kern w:val="2"/>
          <w:sz w:val="24"/>
          <w:szCs w:val="24"/>
          <w:highlight w:val="none"/>
          <w:lang w:val="zh-CN" w:eastAsia="zh-CN" w:bidi="ar"/>
        </w:rPr>
        <w:t>目前，判断爆破地震强度对建筑物的影响，大都采用介质质点振动速度作为判据。我国的《爆破安全规程》中规定了各式建筑物、构筑物的安全振速判据，见表5.2-</w:t>
      </w:r>
      <w:r>
        <w:rPr>
          <w:rFonts w:hint="eastAsia" w:cs="Times New Roman"/>
          <w:color w:val="auto"/>
          <w:kern w:val="2"/>
          <w:sz w:val="24"/>
          <w:szCs w:val="24"/>
          <w:highlight w:val="none"/>
          <w:lang w:val="en-US" w:eastAsia="zh-CN" w:bidi="ar"/>
        </w:rPr>
        <w:t>19</w:t>
      </w:r>
      <w:r>
        <w:rPr>
          <w:rFonts w:hint="default" w:ascii="Times New Roman" w:hAnsi="Times New Roman" w:eastAsia="宋体" w:cs="Times New Roman"/>
          <w:color w:val="auto"/>
          <w:kern w:val="2"/>
          <w:sz w:val="24"/>
          <w:szCs w:val="24"/>
          <w:highlight w:val="none"/>
          <w:lang w:val="zh-CN" w:eastAsia="zh-CN" w:bidi="ar"/>
        </w:rPr>
        <w:t>。爆破地震烈度与最大振速的关系见表5.2-</w:t>
      </w:r>
      <w:r>
        <w:rPr>
          <w:rFonts w:hint="eastAsia" w:cs="Times New Roman"/>
          <w:color w:val="auto"/>
          <w:kern w:val="2"/>
          <w:sz w:val="24"/>
          <w:szCs w:val="24"/>
          <w:highlight w:val="none"/>
          <w:lang w:val="en-US" w:eastAsia="zh-CN" w:bidi="ar"/>
        </w:rPr>
        <w:t>20</w:t>
      </w:r>
      <w:r>
        <w:rPr>
          <w:rFonts w:hint="default" w:ascii="Times New Roman" w:hAnsi="Times New Roman" w:eastAsia="宋体" w:cs="Times New Roman"/>
          <w:color w:val="auto"/>
          <w:kern w:val="2"/>
          <w:sz w:val="24"/>
          <w:szCs w:val="24"/>
          <w:highlight w:val="none"/>
          <w:lang w:val="zh-CN" w:eastAsia="zh-CN" w:bidi="ar"/>
        </w:rPr>
        <w:t>。</w:t>
      </w:r>
    </w:p>
    <w:p w14:paraId="2053D87D">
      <w:pPr>
        <w:keepNext w:val="0"/>
        <w:keepLines w:val="0"/>
        <w:widowControl w:val="0"/>
        <w:suppressLineNumbers w:val="0"/>
        <w:tabs>
          <w:tab w:val="left" w:pos="6840"/>
        </w:tabs>
        <w:spacing w:before="0" w:beforeAutospacing="0" w:after="0" w:afterAutospacing="0" w:line="480" w:lineRule="exact"/>
        <w:ind w:left="0" w:right="0" w:firstLine="482" w:firstLineChars="200"/>
        <w:jc w:val="center"/>
        <w:rPr>
          <w:rFonts w:hint="eastAsia" w:ascii="Times New Roman" w:hAnsi="Times New Roman" w:eastAsia="宋体" w:cs="Times New Roman"/>
          <w:b/>
          <w:color w:val="auto"/>
          <w:kern w:val="0"/>
          <w:sz w:val="24"/>
          <w:szCs w:val="21"/>
          <w:highlight w:val="none"/>
          <w:lang w:val="zh-CN" w:eastAsia="zh-CN" w:bidi="ar"/>
        </w:rPr>
      </w:pPr>
      <w:r>
        <w:rPr>
          <w:rFonts w:hint="eastAsia" w:ascii="Times New Roman" w:hAnsi="Times New Roman" w:eastAsia="宋体" w:cs="Times New Roman"/>
          <w:b/>
          <w:color w:val="auto"/>
          <w:kern w:val="0"/>
          <w:sz w:val="24"/>
          <w:szCs w:val="21"/>
          <w:highlight w:val="none"/>
          <w:lang w:val="zh-CN" w:eastAsia="zh-CN" w:bidi="ar"/>
        </w:rPr>
        <w:t>表5.2-</w:t>
      </w:r>
      <w:r>
        <w:rPr>
          <w:rFonts w:hint="eastAsia" w:cs="Times New Roman"/>
          <w:b/>
          <w:color w:val="auto"/>
          <w:kern w:val="0"/>
          <w:sz w:val="24"/>
          <w:szCs w:val="21"/>
          <w:highlight w:val="none"/>
          <w:lang w:val="en-US" w:eastAsia="zh-CN" w:bidi="ar"/>
        </w:rPr>
        <w:t>19</w:t>
      </w:r>
      <w:r>
        <w:rPr>
          <w:rFonts w:hint="eastAsia" w:ascii="Times New Roman" w:hAnsi="Times New Roman" w:eastAsia="宋体" w:cs="Times New Roman"/>
          <w:b/>
          <w:color w:val="auto"/>
          <w:kern w:val="0"/>
          <w:sz w:val="24"/>
          <w:szCs w:val="21"/>
          <w:highlight w:val="none"/>
          <w:lang w:val="zh-CN" w:eastAsia="zh-CN" w:bidi="ar"/>
        </w:rPr>
        <w:t xml:space="preserve">    建（构）筑物地面质点的安全振动速度（cm/s）</w:t>
      </w:r>
    </w:p>
    <w:tbl>
      <w:tblPr>
        <w:tblStyle w:val="13"/>
        <w:tblW w:w="8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0"/>
        <w:gridCol w:w="2485"/>
      </w:tblGrid>
      <w:tr w14:paraId="641A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0" w:type="dxa"/>
            <w:tcBorders>
              <w:tl2br w:val="nil"/>
              <w:tr2bl w:val="nil"/>
            </w:tcBorders>
            <w:vAlign w:val="center"/>
          </w:tcPr>
          <w:p w14:paraId="26E31863">
            <w:pPr>
              <w:widowControl w:val="0"/>
              <w:spacing w:after="100" w:afterAutospacing="1" w:line="360" w:lineRule="exact"/>
              <w:ind w:left="0" w:leftChars="0" w:firstLine="0" w:firstLineChars="0"/>
              <w:jc w:val="center"/>
              <w:rPr>
                <w:rFonts w:ascii="Times New Roman" w:hAnsi="Times New Roman" w:eastAsia="宋体" w:cs="Times New Roman"/>
                <w:color w:val="auto"/>
                <w:kern w:val="0"/>
                <w:sz w:val="21"/>
                <w:szCs w:val="24"/>
                <w:highlight w:val="none"/>
                <w:lang w:val="zh-CN" w:eastAsia="zh-CN" w:bidi="ar-SA"/>
              </w:rPr>
            </w:pPr>
            <w:r>
              <w:rPr>
                <w:rFonts w:ascii="Times New Roman" w:hAnsi="Times New Roman" w:eastAsia="宋体" w:cs="Times New Roman"/>
                <w:color w:val="auto"/>
                <w:kern w:val="0"/>
                <w:sz w:val="21"/>
                <w:szCs w:val="24"/>
                <w:highlight w:val="none"/>
                <w:lang w:val="zh-CN" w:eastAsia="zh-CN" w:bidi="ar-SA"/>
              </w:rPr>
              <w:t>建（构）筑物类型</w:t>
            </w:r>
          </w:p>
        </w:tc>
        <w:tc>
          <w:tcPr>
            <w:tcW w:w="2485" w:type="dxa"/>
            <w:tcBorders>
              <w:tl2br w:val="nil"/>
              <w:tr2bl w:val="nil"/>
            </w:tcBorders>
            <w:vAlign w:val="center"/>
          </w:tcPr>
          <w:p w14:paraId="4A808CEE">
            <w:pPr>
              <w:widowControl w:val="0"/>
              <w:spacing w:after="100" w:afterAutospacing="1" w:line="360" w:lineRule="exact"/>
              <w:ind w:left="0" w:leftChars="0" w:firstLine="0" w:firstLineChars="0"/>
              <w:jc w:val="center"/>
              <w:rPr>
                <w:rFonts w:ascii="Times New Roman" w:hAnsi="Times New Roman" w:eastAsia="宋体" w:cs="Times New Roman"/>
                <w:color w:val="auto"/>
                <w:kern w:val="0"/>
                <w:sz w:val="21"/>
                <w:szCs w:val="24"/>
                <w:highlight w:val="none"/>
                <w:lang w:val="zh-CN" w:eastAsia="zh-CN" w:bidi="ar-SA"/>
              </w:rPr>
            </w:pPr>
            <w:r>
              <w:rPr>
                <w:rFonts w:ascii="Times New Roman" w:hAnsi="Times New Roman" w:eastAsia="宋体" w:cs="Times New Roman"/>
                <w:color w:val="auto"/>
                <w:kern w:val="0"/>
                <w:sz w:val="21"/>
                <w:szCs w:val="24"/>
                <w:highlight w:val="none"/>
                <w:lang w:val="zh-CN" w:eastAsia="zh-CN" w:bidi="ar-SA"/>
              </w:rPr>
              <w:t>安全振动速度</w:t>
            </w:r>
          </w:p>
        </w:tc>
      </w:tr>
      <w:tr w14:paraId="5988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0" w:type="dxa"/>
            <w:tcBorders>
              <w:tl2br w:val="nil"/>
              <w:tr2bl w:val="nil"/>
            </w:tcBorders>
            <w:vAlign w:val="center"/>
          </w:tcPr>
          <w:p w14:paraId="567FFCEB">
            <w:pPr>
              <w:widowControl w:val="0"/>
              <w:spacing w:after="100" w:afterAutospacing="1" w:line="360" w:lineRule="exact"/>
              <w:ind w:left="0" w:leftChars="0" w:firstLine="0" w:firstLineChars="0"/>
              <w:jc w:val="center"/>
              <w:rPr>
                <w:rFonts w:ascii="Times New Roman" w:hAnsi="Times New Roman" w:eastAsia="宋体" w:cs="Times New Roman"/>
                <w:color w:val="auto"/>
                <w:kern w:val="0"/>
                <w:sz w:val="21"/>
                <w:szCs w:val="24"/>
                <w:highlight w:val="none"/>
                <w:lang w:val="zh-CN" w:eastAsia="zh-CN" w:bidi="ar-SA"/>
              </w:rPr>
            </w:pPr>
            <w:r>
              <w:rPr>
                <w:rFonts w:ascii="Times New Roman" w:hAnsi="Times New Roman" w:eastAsia="宋体" w:cs="Times New Roman"/>
                <w:color w:val="auto"/>
                <w:kern w:val="0"/>
                <w:sz w:val="21"/>
                <w:szCs w:val="24"/>
                <w:highlight w:val="none"/>
                <w:lang w:val="zh-CN" w:eastAsia="zh-CN" w:bidi="ar-SA"/>
              </w:rPr>
              <w:t>土窑洞、土坯房、毛石房屋</w:t>
            </w:r>
          </w:p>
        </w:tc>
        <w:tc>
          <w:tcPr>
            <w:tcW w:w="2485" w:type="dxa"/>
            <w:tcBorders>
              <w:tl2br w:val="nil"/>
              <w:tr2bl w:val="nil"/>
            </w:tcBorders>
            <w:vAlign w:val="center"/>
          </w:tcPr>
          <w:p w14:paraId="3FBB4B34">
            <w:pPr>
              <w:widowControl w:val="0"/>
              <w:spacing w:after="100" w:afterAutospacing="1" w:line="360" w:lineRule="exact"/>
              <w:ind w:left="0" w:leftChars="0" w:firstLine="0" w:firstLineChars="0"/>
              <w:jc w:val="center"/>
              <w:rPr>
                <w:rFonts w:ascii="Times New Roman" w:hAnsi="Times New Roman" w:eastAsia="宋体" w:cs="Times New Roman"/>
                <w:color w:val="auto"/>
                <w:kern w:val="0"/>
                <w:sz w:val="21"/>
                <w:szCs w:val="24"/>
                <w:highlight w:val="none"/>
                <w:lang w:val="zh-CN" w:eastAsia="zh-CN" w:bidi="ar-SA"/>
              </w:rPr>
            </w:pPr>
            <w:r>
              <w:rPr>
                <w:rFonts w:ascii="Times New Roman" w:hAnsi="Times New Roman" w:eastAsia="宋体" w:cs="Times New Roman"/>
                <w:color w:val="auto"/>
                <w:kern w:val="0"/>
                <w:sz w:val="21"/>
                <w:szCs w:val="24"/>
                <w:highlight w:val="none"/>
                <w:lang w:val="zh-CN" w:eastAsia="zh-CN" w:bidi="ar-SA"/>
              </w:rPr>
              <w:t>1.0</w:t>
            </w:r>
          </w:p>
        </w:tc>
      </w:tr>
      <w:tr w14:paraId="6CBF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0" w:type="dxa"/>
            <w:tcBorders>
              <w:tl2br w:val="nil"/>
              <w:tr2bl w:val="nil"/>
            </w:tcBorders>
            <w:vAlign w:val="center"/>
          </w:tcPr>
          <w:p w14:paraId="75B2C2AF">
            <w:pPr>
              <w:widowControl w:val="0"/>
              <w:spacing w:after="100" w:afterAutospacing="1" w:line="360" w:lineRule="exact"/>
              <w:ind w:left="0" w:leftChars="0" w:firstLine="0" w:firstLineChars="0"/>
              <w:jc w:val="center"/>
              <w:rPr>
                <w:rFonts w:ascii="Times New Roman" w:hAnsi="Times New Roman" w:eastAsia="宋体" w:cs="Times New Roman"/>
                <w:color w:val="auto"/>
                <w:kern w:val="0"/>
                <w:sz w:val="21"/>
                <w:szCs w:val="24"/>
                <w:highlight w:val="none"/>
                <w:lang w:val="zh-CN" w:eastAsia="zh-CN" w:bidi="ar-SA"/>
              </w:rPr>
            </w:pPr>
            <w:r>
              <w:rPr>
                <w:rFonts w:ascii="Times New Roman" w:hAnsi="Times New Roman" w:eastAsia="宋体" w:cs="Times New Roman"/>
                <w:color w:val="auto"/>
                <w:kern w:val="0"/>
                <w:sz w:val="21"/>
                <w:szCs w:val="24"/>
                <w:highlight w:val="none"/>
                <w:lang w:val="zh-CN" w:eastAsia="zh-CN" w:bidi="ar-SA"/>
              </w:rPr>
              <w:t>一般砖房、非抗震的大型砌块建筑物</w:t>
            </w:r>
          </w:p>
        </w:tc>
        <w:tc>
          <w:tcPr>
            <w:tcW w:w="2485" w:type="dxa"/>
            <w:tcBorders>
              <w:tl2br w:val="nil"/>
              <w:tr2bl w:val="nil"/>
            </w:tcBorders>
            <w:vAlign w:val="center"/>
          </w:tcPr>
          <w:p w14:paraId="40421EC5">
            <w:pPr>
              <w:widowControl w:val="0"/>
              <w:spacing w:after="100" w:afterAutospacing="1" w:line="360" w:lineRule="exact"/>
              <w:ind w:left="0" w:leftChars="0" w:firstLine="0" w:firstLineChars="0"/>
              <w:jc w:val="center"/>
              <w:rPr>
                <w:rFonts w:ascii="Times New Roman" w:hAnsi="Times New Roman" w:eastAsia="宋体" w:cs="Times New Roman"/>
                <w:color w:val="auto"/>
                <w:kern w:val="0"/>
                <w:sz w:val="21"/>
                <w:szCs w:val="24"/>
                <w:highlight w:val="none"/>
                <w:lang w:val="zh-CN" w:eastAsia="zh-CN" w:bidi="ar-SA"/>
              </w:rPr>
            </w:pPr>
            <w:r>
              <w:rPr>
                <w:rFonts w:ascii="Times New Roman" w:hAnsi="Times New Roman" w:eastAsia="宋体" w:cs="Times New Roman"/>
                <w:color w:val="auto"/>
                <w:kern w:val="0"/>
                <w:sz w:val="21"/>
                <w:szCs w:val="24"/>
                <w:highlight w:val="none"/>
                <w:lang w:val="zh-CN" w:eastAsia="zh-CN" w:bidi="ar-SA"/>
              </w:rPr>
              <w:t>2〜3</w:t>
            </w:r>
          </w:p>
        </w:tc>
      </w:tr>
      <w:tr w14:paraId="225A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0" w:type="dxa"/>
            <w:tcBorders>
              <w:tl2br w:val="nil"/>
              <w:tr2bl w:val="nil"/>
            </w:tcBorders>
            <w:vAlign w:val="center"/>
          </w:tcPr>
          <w:p w14:paraId="619FEAAA">
            <w:pPr>
              <w:widowControl w:val="0"/>
              <w:spacing w:after="100" w:afterAutospacing="1" w:line="360" w:lineRule="exact"/>
              <w:ind w:left="0" w:leftChars="0" w:firstLine="0" w:firstLineChars="0"/>
              <w:jc w:val="center"/>
              <w:rPr>
                <w:rFonts w:ascii="Times New Roman" w:hAnsi="Times New Roman" w:eastAsia="宋体" w:cs="Times New Roman"/>
                <w:color w:val="auto"/>
                <w:kern w:val="0"/>
                <w:sz w:val="21"/>
                <w:szCs w:val="24"/>
                <w:highlight w:val="none"/>
                <w:lang w:val="zh-CN" w:eastAsia="zh-CN" w:bidi="ar-SA"/>
              </w:rPr>
            </w:pPr>
            <w:r>
              <w:rPr>
                <w:rFonts w:ascii="Times New Roman" w:hAnsi="Times New Roman" w:eastAsia="宋体" w:cs="Times New Roman"/>
                <w:color w:val="auto"/>
                <w:kern w:val="0"/>
                <w:sz w:val="21"/>
                <w:szCs w:val="24"/>
                <w:highlight w:val="none"/>
                <w:lang w:val="zh-CN" w:eastAsia="zh-CN" w:bidi="ar-SA"/>
              </w:rPr>
              <w:t>钢筋混凝土框架房屋</w:t>
            </w:r>
          </w:p>
        </w:tc>
        <w:tc>
          <w:tcPr>
            <w:tcW w:w="2485" w:type="dxa"/>
            <w:tcBorders>
              <w:tl2br w:val="nil"/>
              <w:tr2bl w:val="nil"/>
            </w:tcBorders>
            <w:vAlign w:val="center"/>
          </w:tcPr>
          <w:p w14:paraId="5C06538B">
            <w:pPr>
              <w:widowControl w:val="0"/>
              <w:spacing w:after="100" w:afterAutospacing="1" w:line="360" w:lineRule="exact"/>
              <w:ind w:left="0" w:leftChars="0" w:firstLine="0" w:firstLineChars="0"/>
              <w:jc w:val="center"/>
              <w:rPr>
                <w:rFonts w:ascii="Times New Roman" w:hAnsi="Times New Roman" w:eastAsia="宋体" w:cs="Times New Roman"/>
                <w:color w:val="auto"/>
                <w:kern w:val="0"/>
                <w:sz w:val="21"/>
                <w:szCs w:val="24"/>
                <w:highlight w:val="none"/>
                <w:lang w:val="zh-CN" w:eastAsia="zh-CN" w:bidi="ar-SA"/>
              </w:rPr>
            </w:pPr>
            <w:r>
              <w:rPr>
                <w:rFonts w:ascii="Times New Roman" w:hAnsi="Times New Roman" w:eastAsia="宋体" w:cs="Times New Roman"/>
                <w:color w:val="auto"/>
                <w:kern w:val="0"/>
                <w:sz w:val="21"/>
                <w:szCs w:val="24"/>
                <w:highlight w:val="none"/>
                <w:lang w:val="zh-CN" w:eastAsia="zh-CN" w:bidi="ar-SA"/>
              </w:rPr>
              <w:t>5</w:t>
            </w:r>
          </w:p>
        </w:tc>
      </w:tr>
    </w:tbl>
    <w:p w14:paraId="37EA3367">
      <w:pPr>
        <w:keepNext w:val="0"/>
        <w:keepLines w:val="0"/>
        <w:widowControl w:val="0"/>
        <w:suppressLineNumbers w:val="0"/>
        <w:tabs>
          <w:tab w:val="left" w:pos="6840"/>
        </w:tabs>
        <w:spacing w:before="0" w:beforeAutospacing="0" w:after="0" w:afterAutospacing="0" w:line="480" w:lineRule="exact"/>
        <w:ind w:left="0" w:right="0" w:firstLine="482" w:firstLineChars="200"/>
        <w:jc w:val="center"/>
        <w:rPr>
          <w:rFonts w:hint="eastAsia" w:ascii="Times New Roman" w:hAnsi="Times New Roman" w:eastAsia="宋体" w:cs="Times New Roman"/>
          <w:b/>
          <w:color w:val="auto"/>
          <w:kern w:val="0"/>
          <w:sz w:val="24"/>
          <w:szCs w:val="21"/>
          <w:highlight w:val="none"/>
          <w:lang w:val="zh-CN" w:eastAsia="zh-CN" w:bidi="ar"/>
        </w:rPr>
      </w:pPr>
      <w:r>
        <w:rPr>
          <w:rFonts w:hint="eastAsia" w:ascii="Times New Roman" w:hAnsi="Times New Roman" w:eastAsia="宋体" w:cs="Times New Roman"/>
          <w:b/>
          <w:color w:val="auto"/>
          <w:kern w:val="0"/>
          <w:sz w:val="24"/>
          <w:szCs w:val="21"/>
          <w:highlight w:val="none"/>
          <w:lang w:val="zh-CN" w:eastAsia="zh-CN" w:bidi="ar"/>
        </w:rPr>
        <w:t>表5.2-</w:t>
      </w:r>
      <w:r>
        <w:rPr>
          <w:rFonts w:hint="eastAsia" w:cs="Times New Roman"/>
          <w:b/>
          <w:color w:val="auto"/>
          <w:kern w:val="0"/>
          <w:sz w:val="24"/>
          <w:szCs w:val="21"/>
          <w:highlight w:val="none"/>
          <w:lang w:val="en-US" w:eastAsia="zh-CN" w:bidi="ar"/>
        </w:rPr>
        <w:t>20</w:t>
      </w:r>
      <w:r>
        <w:rPr>
          <w:rFonts w:hint="eastAsia" w:ascii="Times New Roman" w:hAnsi="Times New Roman" w:eastAsia="宋体" w:cs="Times New Roman"/>
          <w:b/>
          <w:color w:val="auto"/>
          <w:kern w:val="0"/>
          <w:sz w:val="24"/>
          <w:szCs w:val="21"/>
          <w:highlight w:val="none"/>
          <w:lang w:val="zh-CN" w:eastAsia="zh-CN" w:bidi="ar"/>
        </w:rPr>
        <w:t xml:space="preserve">    爆破振动烈度</w:t>
      </w:r>
    </w:p>
    <w:tbl>
      <w:tblPr>
        <w:tblStyle w:val="13"/>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13"/>
        <w:gridCol w:w="3073"/>
        <w:gridCol w:w="4043"/>
      </w:tblGrid>
      <w:tr w14:paraId="07AF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213" w:type="dxa"/>
            <w:tcBorders>
              <w:tl2br w:val="nil"/>
              <w:tr2bl w:val="nil"/>
            </w:tcBorders>
            <w:vAlign w:val="center"/>
          </w:tcPr>
          <w:p w14:paraId="1A64913C">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烈度</w:t>
            </w:r>
          </w:p>
        </w:tc>
        <w:tc>
          <w:tcPr>
            <w:tcW w:w="3073" w:type="dxa"/>
            <w:tcBorders>
              <w:tl2br w:val="nil"/>
              <w:tr2bl w:val="nil"/>
            </w:tcBorders>
            <w:vAlign w:val="center"/>
          </w:tcPr>
          <w:p w14:paraId="79F6D019">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爆破地震最大震速</w:t>
            </w:r>
            <w:r>
              <w:rPr>
                <w:rFonts w:hint="default" w:ascii="Times New Roman" w:hAnsi="Times New Roman" w:eastAsia="宋体"/>
                <w:snapToGrid/>
                <w:color w:val="auto"/>
                <w:spacing w:val="0"/>
                <w:highlight w:val="none"/>
                <w:lang w:eastAsia="en-US"/>
              </w:rPr>
              <w:t>（</w:t>
            </w:r>
            <w:r>
              <w:rPr>
                <w:rFonts w:hint="default" w:ascii="Times New Roman" w:hAnsi="Times New Roman" w:eastAsia="宋体"/>
                <w:snapToGrid/>
                <w:color w:val="auto"/>
                <w:spacing w:val="0"/>
                <w:highlight w:val="none"/>
              </w:rPr>
              <w:t>cm/s）</w:t>
            </w:r>
          </w:p>
        </w:tc>
        <w:tc>
          <w:tcPr>
            <w:tcW w:w="4043" w:type="dxa"/>
            <w:tcBorders>
              <w:tl2br w:val="nil"/>
              <w:tr2bl w:val="nil"/>
            </w:tcBorders>
            <w:vAlign w:val="center"/>
          </w:tcPr>
          <w:p w14:paraId="4C6A6FCD">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振动标志</w:t>
            </w:r>
          </w:p>
        </w:tc>
      </w:tr>
      <w:tr w14:paraId="7CFB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213" w:type="dxa"/>
            <w:tcBorders>
              <w:tl2br w:val="nil"/>
              <w:tr2bl w:val="nil"/>
            </w:tcBorders>
            <w:vAlign w:val="center"/>
          </w:tcPr>
          <w:p w14:paraId="7DA6F5B1">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lang w:val="zh-CN"/>
              </w:rPr>
              <w:t>I</w:t>
            </w:r>
          </w:p>
        </w:tc>
        <w:tc>
          <w:tcPr>
            <w:tcW w:w="3073" w:type="dxa"/>
            <w:tcBorders>
              <w:tl2br w:val="nil"/>
              <w:tr2bl w:val="nil"/>
            </w:tcBorders>
            <w:vAlign w:val="center"/>
          </w:tcPr>
          <w:p w14:paraId="2D5B3C3C">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&lt;0.2</w:t>
            </w:r>
          </w:p>
        </w:tc>
        <w:tc>
          <w:tcPr>
            <w:tcW w:w="4043" w:type="dxa"/>
            <w:tcBorders>
              <w:tl2br w:val="nil"/>
              <w:tr2bl w:val="nil"/>
            </w:tcBorders>
            <w:vAlign w:val="center"/>
          </w:tcPr>
          <w:p w14:paraId="404F0AD3">
            <w:pPr>
              <w:keepNext w:val="0"/>
              <w:keepLines w:val="0"/>
              <w:pageBreakBefore w:val="0"/>
              <w:widowControl w:val="0"/>
              <w:shd w:val="clear" w:color="auto" w:fill="auto"/>
              <w:kinsoku/>
              <w:wordWrap/>
              <w:overflowPunct/>
              <w:topLinePunct w:val="0"/>
              <w:autoSpaceDE/>
              <w:autoSpaceDN/>
              <w:bidi w:val="0"/>
              <w:adjustRightInd/>
              <w:snapToGrid/>
              <w:spacing w:after="100" w:afterAutospacing="1" w:line="360" w:lineRule="exact"/>
              <w:ind w:firstLine="0" w:firstLineChars="0"/>
              <w:jc w:val="center"/>
              <w:textAlignment w:val="auto"/>
              <w:outlineLvl w:val="9"/>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只有仪器才能记录到</w:t>
            </w:r>
          </w:p>
        </w:tc>
      </w:tr>
      <w:tr w14:paraId="444F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213" w:type="dxa"/>
            <w:tcBorders>
              <w:tl2br w:val="nil"/>
              <w:tr2bl w:val="nil"/>
            </w:tcBorders>
            <w:vAlign w:val="center"/>
          </w:tcPr>
          <w:p w14:paraId="32EA0060">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lang w:val="zh-CN"/>
              </w:rPr>
              <w:t>II</w:t>
            </w:r>
          </w:p>
        </w:tc>
        <w:tc>
          <w:tcPr>
            <w:tcW w:w="3073" w:type="dxa"/>
            <w:tcBorders>
              <w:tl2br w:val="nil"/>
              <w:tr2bl w:val="nil"/>
            </w:tcBorders>
            <w:vAlign w:val="center"/>
          </w:tcPr>
          <w:p w14:paraId="1D0D7661">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0.2</w:t>
            </w:r>
            <w:r>
              <w:rPr>
                <w:rFonts w:hint="eastAsia" w:ascii="Times New Roman" w:hAnsi="Times New Roman" w:eastAsia="宋体"/>
                <w:snapToGrid/>
                <w:color w:val="auto"/>
                <w:spacing w:val="0"/>
                <w:highlight w:val="none"/>
                <w:lang w:val="en-US" w:eastAsia="zh-CN"/>
              </w:rPr>
              <w:t>~</w:t>
            </w:r>
            <w:r>
              <w:rPr>
                <w:rFonts w:hint="default" w:ascii="Times New Roman" w:hAnsi="Times New Roman" w:eastAsia="宋体"/>
                <w:snapToGrid/>
                <w:color w:val="auto"/>
                <w:spacing w:val="0"/>
                <w:highlight w:val="none"/>
              </w:rPr>
              <w:t>0.4</w:t>
            </w:r>
          </w:p>
        </w:tc>
        <w:tc>
          <w:tcPr>
            <w:tcW w:w="4043" w:type="dxa"/>
            <w:tcBorders>
              <w:tl2br w:val="nil"/>
              <w:tr2bl w:val="nil"/>
            </w:tcBorders>
            <w:vAlign w:val="center"/>
          </w:tcPr>
          <w:p w14:paraId="1BFA5164">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个别人静止情况下能感觉到</w:t>
            </w:r>
          </w:p>
        </w:tc>
      </w:tr>
      <w:tr w14:paraId="589E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213" w:type="dxa"/>
            <w:tcBorders>
              <w:tl2br w:val="nil"/>
              <w:tr2bl w:val="nil"/>
            </w:tcBorders>
            <w:vAlign w:val="center"/>
          </w:tcPr>
          <w:p w14:paraId="1C788B16">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lang w:val="zh-CN"/>
              </w:rPr>
              <w:t>III</w:t>
            </w:r>
          </w:p>
        </w:tc>
        <w:tc>
          <w:tcPr>
            <w:tcW w:w="3073" w:type="dxa"/>
            <w:tcBorders>
              <w:tl2br w:val="nil"/>
              <w:tr2bl w:val="nil"/>
            </w:tcBorders>
            <w:vAlign w:val="center"/>
          </w:tcPr>
          <w:p w14:paraId="2B8B011B">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0.4</w:t>
            </w:r>
            <w:r>
              <w:rPr>
                <w:rFonts w:hint="eastAsia" w:ascii="Times New Roman" w:hAnsi="Times New Roman" w:eastAsia="宋体"/>
                <w:snapToGrid/>
                <w:color w:val="auto"/>
                <w:spacing w:val="0"/>
                <w:highlight w:val="none"/>
                <w:lang w:val="en-US" w:eastAsia="zh-CN"/>
              </w:rPr>
              <w:t>~</w:t>
            </w:r>
            <w:r>
              <w:rPr>
                <w:rFonts w:hint="default" w:ascii="Times New Roman" w:hAnsi="Times New Roman" w:eastAsia="宋体"/>
                <w:snapToGrid/>
                <w:color w:val="auto"/>
                <w:spacing w:val="0"/>
                <w:highlight w:val="none"/>
              </w:rPr>
              <w:t>0.8</w:t>
            </w:r>
          </w:p>
        </w:tc>
        <w:tc>
          <w:tcPr>
            <w:tcW w:w="4043" w:type="dxa"/>
            <w:tcBorders>
              <w:tl2br w:val="nil"/>
              <w:tr2bl w:val="nil"/>
            </w:tcBorders>
            <w:vAlign w:val="center"/>
          </w:tcPr>
          <w:p w14:paraId="79E3679B">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某些人或知道爆破的人能感觉到</w:t>
            </w:r>
          </w:p>
        </w:tc>
      </w:tr>
      <w:tr w14:paraId="240B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213" w:type="dxa"/>
            <w:tcBorders>
              <w:tl2br w:val="nil"/>
              <w:tr2bl w:val="nil"/>
            </w:tcBorders>
            <w:vAlign w:val="center"/>
          </w:tcPr>
          <w:p w14:paraId="427C12FB">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lang w:val="zh-CN"/>
              </w:rPr>
              <w:t>IV</w:t>
            </w:r>
          </w:p>
        </w:tc>
        <w:tc>
          <w:tcPr>
            <w:tcW w:w="3073" w:type="dxa"/>
            <w:tcBorders>
              <w:tl2br w:val="nil"/>
              <w:tr2bl w:val="nil"/>
            </w:tcBorders>
            <w:vAlign w:val="center"/>
          </w:tcPr>
          <w:p w14:paraId="1513BA4F">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0.8</w:t>
            </w:r>
            <w:r>
              <w:rPr>
                <w:rFonts w:hint="eastAsia" w:ascii="Times New Roman" w:hAnsi="Times New Roman" w:eastAsia="宋体"/>
                <w:snapToGrid/>
                <w:color w:val="auto"/>
                <w:spacing w:val="0"/>
                <w:highlight w:val="none"/>
                <w:lang w:val="en-US" w:eastAsia="zh-CN"/>
              </w:rPr>
              <w:t>~</w:t>
            </w:r>
            <w:r>
              <w:rPr>
                <w:rFonts w:hint="default" w:ascii="Times New Roman" w:hAnsi="Times New Roman" w:eastAsia="宋体"/>
                <w:snapToGrid/>
                <w:color w:val="auto"/>
                <w:spacing w:val="0"/>
                <w:highlight w:val="none"/>
              </w:rPr>
              <w:t>1.5</w:t>
            </w:r>
          </w:p>
        </w:tc>
        <w:tc>
          <w:tcPr>
            <w:tcW w:w="4043" w:type="dxa"/>
            <w:tcBorders>
              <w:tl2br w:val="nil"/>
              <w:tr2bl w:val="nil"/>
            </w:tcBorders>
            <w:vAlign w:val="center"/>
          </w:tcPr>
          <w:p w14:paraId="580968B3">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多数人感到振动，玻璃作响</w:t>
            </w:r>
          </w:p>
        </w:tc>
      </w:tr>
      <w:tr w14:paraId="42A4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213" w:type="dxa"/>
            <w:tcBorders>
              <w:tl2br w:val="nil"/>
              <w:tr2bl w:val="nil"/>
            </w:tcBorders>
            <w:vAlign w:val="center"/>
          </w:tcPr>
          <w:p w14:paraId="1F7C6916">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lang w:val="zh-CN"/>
              </w:rPr>
              <w:t>V</w:t>
            </w:r>
          </w:p>
        </w:tc>
        <w:tc>
          <w:tcPr>
            <w:tcW w:w="3073" w:type="dxa"/>
            <w:tcBorders>
              <w:tl2br w:val="nil"/>
              <w:tr2bl w:val="nil"/>
            </w:tcBorders>
            <w:vAlign w:val="center"/>
          </w:tcPr>
          <w:p w14:paraId="0A5641E7">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1.5</w:t>
            </w:r>
            <w:r>
              <w:rPr>
                <w:rFonts w:hint="eastAsia" w:ascii="Times New Roman" w:hAnsi="Times New Roman" w:eastAsia="宋体"/>
                <w:snapToGrid/>
                <w:color w:val="auto"/>
                <w:spacing w:val="0"/>
                <w:highlight w:val="none"/>
                <w:lang w:val="en-US" w:eastAsia="zh-CN"/>
              </w:rPr>
              <w:t>~</w:t>
            </w:r>
            <w:r>
              <w:rPr>
                <w:rFonts w:hint="default" w:ascii="Times New Roman" w:hAnsi="Times New Roman" w:eastAsia="宋体"/>
                <w:snapToGrid/>
                <w:color w:val="auto"/>
                <w:spacing w:val="0"/>
                <w:highlight w:val="none"/>
              </w:rPr>
              <w:t>3.0</w:t>
            </w:r>
          </w:p>
        </w:tc>
        <w:tc>
          <w:tcPr>
            <w:tcW w:w="4043" w:type="dxa"/>
            <w:tcBorders>
              <w:tl2br w:val="nil"/>
              <w:tr2bl w:val="nil"/>
            </w:tcBorders>
            <w:vAlign w:val="center"/>
          </w:tcPr>
          <w:p w14:paraId="08EF6225">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陈旧的建筑物损坏，抹灰撒落</w:t>
            </w:r>
          </w:p>
        </w:tc>
      </w:tr>
      <w:tr w14:paraId="25BD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213" w:type="dxa"/>
            <w:tcBorders>
              <w:tl2br w:val="nil"/>
              <w:tr2bl w:val="nil"/>
            </w:tcBorders>
            <w:vAlign w:val="center"/>
          </w:tcPr>
          <w:p w14:paraId="12875268">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fldChar w:fldCharType="begin"/>
            </w:r>
            <w:r>
              <w:rPr>
                <w:rFonts w:hint="default" w:ascii="Times New Roman" w:hAnsi="Times New Roman" w:eastAsia="宋体"/>
                <w:snapToGrid/>
                <w:color w:val="auto"/>
                <w:spacing w:val="0"/>
                <w:highlight w:val="none"/>
              </w:rPr>
              <w:instrText xml:space="preserve"> = 6 \* ROMAN </w:instrText>
            </w:r>
            <w:r>
              <w:rPr>
                <w:rFonts w:hint="default" w:ascii="Times New Roman" w:hAnsi="Times New Roman" w:eastAsia="宋体"/>
                <w:snapToGrid/>
                <w:color w:val="auto"/>
                <w:spacing w:val="0"/>
                <w:highlight w:val="none"/>
              </w:rPr>
              <w:fldChar w:fldCharType="separate"/>
            </w:r>
            <w:r>
              <w:rPr>
                <w:rFonts w:hint="default" w:ascii="Times New Roman" w:hAnsi="Times New Roman" w:eastAsia="宋体"/>
                <w:snapToGrid/>
                <w:color w:val="auto"/>
                <w:spacing w:val="0"/>
                <w:highlight w:val="none"/>
              </w:rPr>
              <w:t>VI</w:t>
            </w:r>
            <w:r>
              <w:rPr>
                <w:rFonts w:hint="default" w:ascii="Times New Roman" w:hAnsi="Times New Roman" w:eastAsia="宋体"/>
                <w:snapToGrid/>
                <w:color w:val="auto"/>
                <w:spacing w:val="0"/>
                <w:highlight w:val="none"/>
              </w:rPr>
              <w:fldChar w:fldCharType="end"/>
            </w:r>
          </w:p>
        </w:tc>
        <w:tc>
          <w:tcPr>
            <w:tcW w:w="3073" w:type="dxa"/>
            <w:tcBorders>
              <w:tl2br w:val="nil"/>
              <w:tr2bl w:val="nil"/>
            </w:tcBorders>
            <w:vAlign w:val="center"/>
          </w:tcPr>
          <w:p w14:paraId="588B0650">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3.0</w:t>
            </w:r>
            <w:r>
              <w:rPr>
                <w:rFonts w:hint="eastAsia" w:ascii="Times New Roman" w:hAnsi="Times New Roman" w:eastAsia="宋体"/>
                <w:snapToGrid/>
                <w:color w:val="auto"/>
                <w:spacing w:val="0"/>
                <w:highlight w:val="none"/>
                <w:lang w:val="en-US" w:eastAsia="zh-CN"/>
              </w:rPr>
              <w:t>~</w:t>
            </w:r>
            <w:r>
              <w:rPr>
                <w:rFonts w:hint="default" w:ascii="Times New Roman" w:hAnsi="Times New Roman" w:eastAsia="宋体"/>
                <w:snapToGrid/>
                <w:color w:val="auto"/>
                <w:spacing w:val="0"/>
                <w:highlight w:val="none"/>
              </w:rPr>
              <w:t>6.0</w:t>
            </w:r>
          </w:p>
        </w:tc>
        <w:tc>
          <w:tcPr>
            <w:tcW w:w="4043" w:type="dxa"/>
            <w:tcBorders>
              <w:tl2br w:val="nil"/>
              <w:tr2bl w:val="nil"/>
            </w:tcBorders>
            <w:vAlign w:val="center"/>
          </w:tcPr>
          <w:p w14:paraId="266C0015">
            <w:pPr>
              <w:shd w:val="clear" w:color="auto" w:fill="auto"/>
              <w:kinsoku/>
              <w:autoSpaceDE/>
              <w:autoSpaceDN/>
              <w:adjustRightInd/>
              <w:snapToGrid/>
              <w:spacing w:after="100" w:afterAutospacing="1" w:line="360" w:lineRule="exact"/>
              <w:ind w:firstLine="0" w:firstLineChars="0"/>
              <w:jc w:val="center"/>
              <w:textAlignment w:val="auto"/>
              <w:rPr>
                <w:rFonts w:hint="default" w:ascii="Times New Roman" w:hAnsi="Times New Roman" w:eastAsia="宋体"/>
                <w:snapToGrid/>
                <w:color w:val="auto"/>
                <w:spacing w:val="0"/>
                <w:highlight w:val="none"/>
              </w:rPr>
            </w:pPr>
            <w:r>
              <w:rPr>
                <w:rFonts w:hint="default" w:ascii="Times New Roman" w:hAnsi="Times New Roman" w:eastAsia="宋体"/>
                <w:snapToGrid/>
                <w:color w:val="auto"/>
                <w:spacing w:val="0"/>
                <w:highlight w:val="none"/>
              </w:rPr>
              <w:t>抹灰中有细裂缝，建筑物出现变形</w:t>
            </w:r>
          </w:p>
        </w:tc>
      </w:tr>
    </w:tbl>
    <w:p w14:paraId="32147F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根据表5.2-</w:t>
      </w:r>
      <w:r>
        <w:rPr>
          <w:rFonts w:hint="eastAsia" w:cs="Times New Roman"/>
          <w:snapToGrid/>
          <w:color w:val="auto"/>
          <w:kern w:val="0"/>
          <w:sz w:val="24"/>
          <w:highlight w:val="none"/>
          <w:lang w:val="en-US" w:eastAsia="zh-CN" w:bidi="ar-SA"/>
        </w:rPr>
        <w:t>19</w:t>
      </w:r>
      <w:r>
        <w:rPr>
          <w:rFonts w:ascii="Times New Roman" w:hAnsi="Times New Roman" w:eastAsia="宋体" w:cs="Times New Roman"/>
          <w:snapToGrid/>
          <w:color w:val="auto"/>
          <w:kern w:val="0"/>
          <w:sz w:val="24"/>
          <w:highlight w:val="none"/>
          <w:lang w:val="zh-CN" w:eastAsia="zh-CN" w:bidi="ar-SA"/>
        </w:rPr>
        <w:t>和表5.2-</w:t>
      </w:r>
      <w:r>
        <w:rPr>
          <w:rFonts w:hint="eastAsia" w:cs="Times New Roman"/>
          <w:snapToGrid/>
          <w:color w:val="auto"/>
          <w:kern w:val="0"/>
          <w:sz w:val="24"/>
          <w:highlight w:val="none"/>
          <w:lang w:val="en-US" w:eastAsia="zh-CN" w:bidi="ar-SA"/>
        </w:rPr>
        <w:t>20</w:t>
      </w:r>
      <w:r>
        <w:rPr>
          <w:rFonts w:ascii="Times New Roman" w:hAnsi="Times New Roman" w:eastAsia="宋体" w:cs="Times New Roman"/>
          <w:snapToGrid/>
          <w:color w:val="auto"/>
          <w:kern w:val="0"/>
          <w:sz w:val="24"/>
          <w:highlight w:val="none"/>
          <w:lang w:val="zh-CN" w:eastAsia="zh-CN" w:bidi="ar-SA"/>
        </w:rPr>
        <w:t>中的资料，本次环评对矿山邻近建（构）筑物的安全振速按以下原则计算：</w:t>
      </w:r>
    </w:p>
    <w:p w14:paraId="44FE03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钢筋混凝土框架房屋Υ≤5cm/s；</w:t>
      </w:r>
    </w:p>
    <w:p w14:paraId="607662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一般砖房、民房≤2.5cm/s。</w:t>
      </w:r>
    </w:p>
    <w:p w14:paraId="5EDBEA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（2）爆破安全距离与爆破振动速度</w:t>
      </w:r>
    </w:p>
    <w:p w14:paraId="68E582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矿山爆破过程对环境的影响除了粉尘、瞬间噪声和有害气体之外，关键是地面震动、爆破飞石和爆破冲击波对环境的影响。</w:t>
      </w:r>
    </w:p>
    <w:p w14:paraId="694320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根据《爆破安全规程》，爆破地震安全距离可按下式计算：</w:t>
      </w:r>
    </w:p>
    <w:p w14:paraId="4D18A28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R=（K/γ）1/α•Qm</w:t>
      </w:r>
    </w:p>
    <w:p w14:paraId="645890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式中：</w:t>
      </w:r>
    </w:p>
    <w:p w14:paraId="347A79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R—爆破地震安全距离，m；</w:t>
      </w:r>
    </w:p>
    <w:p w14:paraId="44E5D3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Q—炸药量，kg，齐发爆破取总炸药量，微差爆破或秒差爆破取最大一段炸药量；</w:t>
      </w:r>
      <w:r>
        <w:rPr>
          <w:rFonts w:hint="eastAsia" w:ascii="Times New Roman" w:hAnsi="Times New Roman" w:eastAsia="宋体" w:cs="Times New Roman"/>
          <w:snapToGrid/>
          <w:color w:val="auto"/>
          <w:kern w:val="0"/>
          <w:sz w:val="24"/>
          <w:highlight w:val="none"/>
          <w:lang w:val="en-US" w:eastAsia="zh-CN" w:bidi="ar-SA"/>
        </w:rPr>
        <w:t>本项目</w:t>
      </w:r>
      <w:r>
        <w:rPr>
          <w:rFonts w:ascii="Times New Roman" w:hAnsi="Times New Roman" w:eastAsia="宋体" w:cs="Times New Roman"/>
          <w:snapToGrid/>
          <w:color w:val="auto"/>
          <w:kern w:val="0"/>
          <w:sz w:val="24"/>
          <w:highlight w:val="none"/>
          <w:lang w:val="zh-CN" w:eastAsia="zh-CN" w:bidi="ar-SA"/>
        </w:rPr>
        <w:t>采矿一次使用炸药量Q取40kg；</w:t>
      </w:r>
    </w:p>
    <w:p w14:paraId="587E77D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γ—地震安全速度，cm/s；该工程</w:t>
      </w:r>
      <w:r>
        <w:rPr>
          <w:rFonts w:hint="eastAsia" w:ascii="Times New Roman" w:hAnsi="Times New Roman" w:eastAsia="宋体" w:cs="Times New Roman"/>
          <w:snapToGrid/>
          <w:color w:val="auto"/>
          <w:kern w:val="0"/>
          <w:sz w:val="24"/>
          <w:highlight w:val="none"/>
          <w:lang w:val="en-US" w:eastAsia="zh-CN" w:bidi="ar-SA"/>
        </w:rPr>
        <w:t>生活区</w:t>
      </w:r>
      <w:r>
        <w:rPr>
          <w:rFonts w:ascii="Times New Roman" w:hAnsi="Times New Roman" w:eastAsia="宋体" w:cs="Times New Roman"/>
          <w:snapToGrid/>
          <w:color w:val="auto"/>
          <w:kern w:val="0"/>
          <w:sz w:val="24"/>
          <w:highlight w:val="none"/>
          <w:lang w:val="zh-CN" w:eastAsia="zh-CN" w:bidi="ar-SA"/>
        </w:rPr>
        <w:t>构筑物主要为普通房屋，为一般砖房，取2.5cm/s；</w:t>
      </w:r>
    </w:p>
    <w:p w14:paraId="5AC786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m—药量指数；通常取0.5；</w:t>
      </w:r>
    </w:p>
    <w:p w14:paraId="2F3639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K，α—与爆破点地形、地质等条件有关的系数和衰减系数。</w:t>
      </w:r>
    </w:p>
    <w:p w14:paraId="2E2B98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爆区不同岩性的K、α值见表5.2-</w:t>
      </w:r>
      <w:r>
        <w:rPr>
          <w:rFonts w:hint="eastAsia" w:cs="Times New Roman"/>
          <w:snapToGrid/>
          <w:color w:val="auto"/>
          <w:kern w:val="0"/>
          <w:sz w:val="24"/>
          <w:highlight w:val="none"/>
          <w:lang w:val="en-US" w:eastAsia="zh-CN" w:bidi="ar-SA"/>
        </w:rPr>
        <w:t>21</w:t>
      </w:r>
      <w:r>
        <w:rPr>
          <w:rFonts w:ascii="Times New Roman" w:hAnsi="Times New Roman" w:eastAsia="宋体" w:cs="Times New Roman"/>
          <w:snapToGrid/>
          <w:color w:val="auto"/>
          <w:kern w:val="0"/>
          <w:sz w:val="24"/>
          <w:highlight w:val="none"/>
          <w:lang w:val="zh-CN" w:eastAsia="zh-CN" w:bidi="ar-SA"/>
        </w:rPr>
        <w:t>。</w:t>
      </w:r>
    </w:p>
    <w:p w14:paraId="1DD85498">
      <w:pPr>
        <w:keepNext w:val="0"/>
        <w:keepLines w:val="0"/>
        <w:widowControl w:val="0"/>
        <w:suppressLineNumbers w:val="0"/>
        <w:tabs>
          <w:tab w:val="left" w:pos="6840"/>
        </w:tabs>
        <w:spacing w:before="0" w:beforeAutospacing="0" w:after="0" w:afterAutospacing="0" w:line="480" w:lineRule="exact"/>
        <w:ind w:left="0" w:right="0" w:firstLine="482" w:firstLineChars="200"/>
        <w:jc w:val="center"/>
        <w:rPr>
          <w:rFonts w:hint="eastAsia" w:ascii="Times New Roman" w:hAnsi="Times New Roman" w:eastAsia="宋体" w:cs="Times New Roman"/>
          <w:b/>
          <w:color w:val="auto"/>
          <w:kern w:val="0"/>
          <w:sz w:val="24"/>
          <w:szCs w:val="21"/>
          <w:highlight w:val="none"/>
          <w:lang w:val="zh-CN" w:eastAsia="zh-CN" w:bidi="ar"/>
        </w:rPr>
      </w:pPr>
      <w:r>
        <w:rPr>
          <w:rFonts w:hint="eastAsia" w:ascii="Times New Roman" w:hAnsi="Times New Roman" w:eastAsia="宋体" w:cs="Times New Roman"/>
          <w:b/>
          <w:color w:val="auto"/>
          <w:kern w:val="0"/>
          <w:sz w:val="24"/>
          <w:szCs w:val="21"/>
          <w:highlight w:val="none"/>
          <w:lang w:val="zh-CN" w:eastAsia="zh-CN" w:bidi="ar"/>
        </w:rPr>
        <w:t>表5.2-</w:t>
      </w:r>
      <w:r>
        <w:rPr>
          <w:rFonts w:hint="eastAsia" w:cs="Times New Roman"/>
          <w:b/>
          <w:color w:val="auto"/>
          <w:kern w:val="0"/>
          <w:sz w:val="24"/>
          <w:szCs w:val="21"/>
          <w:highlight w:val="none"/>
          <w:lang w:val="en-US" w:eastAsia="zh-CN" w:bidi="ar"/>
        </w:rPr>
        <w:t>21</w:t>
      </w:r>
      <w:r>
        <w:rPr>
          <w:rFonts w:hint="eastAsia" w:ascii="Times New Roman" w:hAnsi="Times New Roman" w:eastAsia="宋体" w:cs="Times New Roman"/>
          <w:b/>
          <w:color w:val="auto"/>
          <w:kern w:val="0"/>
          <w:sz w:val="24"/>
          <w:szCs w:val="21"/>
          <w:highlight w:val="none"/>
          <w:lang w:val="zh-CN" w:eastAsia="zh-CN" w:bidi="ar"/>
        </w:rPr>
        <w:t xml:space="preserve">    爆区不同岩性的K、α值</w:t>
      </w:r>
    </w:p>
    <w:tbl>
      <w:tblPr>
        <w:tblStyle w:val="13"/>
        <w:tblW w:w="851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37"/>
        <w:gridCol w:w="2839"/>
        <w:gridCol w:w="2837"/>
      </w:tblGrid>
      <w:tr w14:paraId="20CB85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837" w:type="dxa"/>
            <w:tcBorders>
              <w:tl2br w:val="nil"/>
              <w:tr2bl w:val="nil"/>
            </w:tcBorders>
            <w:vAlign w:val="center"/>
          </w:tcPr>
          <w:p w14:paraId="35E62B33">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岩性</w:t>
            </w:r>
          </w:p>
        </w:tc>
        <w:tc>
          <w:tcPr>
            <w:tcW w:w="2839" w:type="dxa"/>
            <w:tcBorders>
              <w:tl2br w:val="nil"/>
              <w:tr2bl w:val="nil"/>
            </w:tcBorders>
            <w:vAlign w:val="center"/>
          </w:tcPr>
          <w:p w14:paraId="1A1FF8EF">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K</w:t>
            </w:r>
          </w:p>
        </w:tc>
        <w:tc>
          <w:tcPr>
            <w:tcW w:w="2837" w:type="dxa"/>
            <w:tcBorders>
              <w:tl2br w:val="nil"/>
              <w:tr2bl w:val="nil"/>
            </w:tcBorders>
            <w:vAlign w:val="center"/>
          </w:tcPr>
          <w:p w14:paraId="428B3E09">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α</w:t>
            </w:r>
          </w:p>
        </w:tc>
      </w:tr>
      <w:tr w14:paraId="037C33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837" w:type="dxa"/>
            <w:tcBorders>
              <w:tl2br w:val="nil"/>
              <w:tr2bl w:val="nil"/>
            </w:tcBorders>
            <w:vAlign w:val="center"/>
          </w:tcPr>
          <w:p w14:paraId="1BB19B89">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坚硬岩石</w:t>
            </w:r>
          </w:p>
        </w:tc>
        <w:tc>
          <w:tcPr>
            <w:tcW w:w="2839" w:type="dxa"/>
            <w:tcBorders>
              <w:tl2br w:val="nil"/>
              <w:tr2bl w:val="nil"/>
            </w:tcBorders>
            <w:vAlign w:val="center"/>
          </w:tcPr>
          <w:p w14:paraId="289C4B71">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50-150</w:t>
            </w:r>
          </w:p>
        </w:tc>
        <w:tc>
          <w:tcPr>
            <w:tcW w:w="2837" w:type="dxa"/>
            <w:tcBorders>
              <w:tl2br w:val="nil"/>
              <w:tr2bl w:val="nil"/>
            </w:tcBorders>
            <w:vAlign w:val="center"/>
          </w:tcPr>
          <w:p w14:paraId="36C792D9">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1.3-1.5</w:t>
            </w:r>
          </w:p>
        </w:tc>
      </w:tr>
      <w:tr w14:paraId="4EA5AD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837" w:type="dxa"/>
            <w:tcBorders>
              <w:tl2br w:val="nil"/>
              <w:tr2bl w:val="nil"/>
            </w:tcBorders>
            <w:vAlign w:val="center"/>
          </w:tcPr>
          <w:p w14:paraId="32CA1F06">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中硬岩石</w:t>
            </w:r>
          </w:p>
        </w:tc>
        <w:tc>
          <w:tcPr>
            <w:tcW w:w="2839" w:type="dxa"/>
            <w:tcBorders>
              <w:tl2br w:val="nil"/>
              <w:tr2bl w:val="nil"/>
            </w:tcBorders>
            <w:vAlign w:val="center"/>
          </w:tcPr>
          <w:p w14:paraId="3EFFD796">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150-250</w:t>
            </w:r>
          </w:p>
        </w:tc>
        <w:tc>
          <w:tcPr>
            <w:tcW w:w="2837" w:type="dxa"/>
            <w:tcBorders>
              <w:tl2br w:val="nil"/>
              <w:tr2bl w:val="nil"/>
            </w:tcBorders>
            <w:vAlign w:val="center"/>
          </w:tcPr>
          <w:p w14:paraId="1723A55A">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1.5-1.8</w:t>
            </w:r>
          </w:p>
        </w:tc>
      </w:tr>
      <w:tr w14:paraId="58D371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2837" w:type="dxa"/>
            <w:tcBorders>
              <w:tl2br w:val="nil"/>
              <w:tr2bl w:val="nil"/>
            </w:tcBorders>
            <w:vAlign w:val="center"/>
          </w:tcPr>
          <w:p w14:paraId="5AABDC46">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软岩石</w:t>
            </w:r>
          </w:p>
        </w:tc>
        <w:tc>
          <w:tcPr>
            <w:tcW w:w="2839" w:type="dxa"/>
            <w:tcBorders>
              <w:tl2br w:val="nil"/>
              <w:tr2bl w:val="nil"/>
            </w:tcBorders>
            <w:vAlign w:val="center"/>
          </w:tcPr>
          <w:p w14:paraId="12E271A3">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250-350</w:t>
            </w:r>
          </w:p>
        </w:tc>
        <w:tc>
          <w:tcPr>
            <w:tcW w:w="2837" w:type="dxa"/>
            <w:tcBorders>
              <w:tl2br w:val="nil"/>
              <w:tr2bl w:val="nil"/>
            </w:tcBorders>
            <w:vAlign w:val="center"/>
          </w:tcPr>
          <w:p w14:paraId="1C6B77B2">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SA"/>
              </w:rPr>
            </w:pPr>
            <w:r>
              <w:rPr>
                <w:rFonts w:ascii="Times New Roman" w:hAnsi="Times New Roman" w:eastAsia="宋体" w:cs="Times New Roman"/>
                <w:snapToGrid/>
                <w:color w:val="auto"/>
                <w:kern w:val="0"/>
                <w:sz w:val="21"/>
                <w:highlight w:val="none"/>
                <w:lang w:val="en-US" w:eastAsia="zh-CN" w:bidi="ar"/>
              </w:rPr>
              <w:t>1.8-2.0</w:t>
            </w:r>
          </w:p>
        </w:tc>
      </w:tr>
    </w:tbl>
    <w:p w14:paraId="00D9A86E">
      <w:pPr>
        <w:widowControl w:val="0"/>
        <w:kinsoku/>
        <w:autoSpaceDE/>
        <w:autoSpaceDN/>
        <w:adjustRightInd/>
        <w:snapToGrid/>
        <w:spacing w:line="480" w:lineRule="exact"/>
        <w:ind w:firstLine="480" w:firstLineChars="200"/>
        <w:textAlignment w:val="auto"/>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本矿山属中硬岩石地质条件，取K＝250、α＝1.8；对于中硬岩石地质条件，在一次炸药使用量为40kg时，计算得爆破地震安全距离R为45m。即距离爆点45m范围内的设施将不同程度地受到爆破振动影响，其振动水平将高于标准限额2.5cm/s。根据上式可预测对于该矿不同距离处的爆破振动水平，见表5.2-</w:t>
      </w:r>
      <w:r>
        <w:rPr>
          <w:rFonts w:hint="eastAsia" w:cs="Times New Roman"/>
          <w:snapToGrid/>
          <w:color w:val="auto"/>
          <w:kern w:val="0"/>
          <w:sz w:val="24"/>
          <w:highlight w:val="none"/>
          <w:lang w:val="en-US" w:eastAsia="zh-CN" w:bidi="ar-SA"/>
        </w:rPr>
        <w:t>22</w:t>
      </w:r>
      <w:r>
        <w:rPr>
          <w:rFonts w:ascii="Times New Roman" w:hAnsi="Times New Roman" w:eastAsia="宋体" w:cs="Times New Roman"/>
          <w:snapToGrid/>
          <w:color w:val="auto"/>
          <w:kern w:val="0"/>
          <w:sz w:val="24"/>
          <w:highlight w:val="none"/>
          <w:lang w:val="zh-CN" w:eastAsia="zh-CN" w:bidi="ar-SA"/>
        </w:rPr>
        <w:t>。</w:t>
      </w:r>
    </w:p>
    <w:p w14:paraId="0A4F932A">
      <w:pPr>
        <w:keepNext w:val="0"/>
        <w:keepLines w:val="0"/>
        <w:widowControl w:val="0"/>
        <w:suppressLineNumbers w:val="0"/>
        <w:tabs>
          <w:tab w:val="left" w:pos="6840"/>
        </w:tabs>
        <w:spacing w:before="0" w:beforeAutospacing="0" w:after="0" w:afterAutospacing="0" w:line="480" w:lineRule="exact"/>
        <w:ind w:left="0" w:right="0" w:firstLine="482" w:firstLineChars="200"/>
        <w:jc w:val="center"/>
        <w:rPr>
          <w:rFonts w:hint="eastAsia" w:ascii="Times New Roman" w:hAnsi="Times New Roman" w:eastAsia="宋体" w:cs="Times New Roman"/>
          <w:b/>
          <w:color w:val="auto"/>
          <w:kern w:val="0"/>
          <w:sz w:val="24"/>
          <w:szCs w:val="21"/>
          <w:highlight w:val="none"/>
          <w:lang w:val="zh-CN" w:eastAsia="zh-CN" w:bidi="ar"/>
        </w:rPr>
      </w:pPr>
      <w:r>
        <w:rPr>
          <w:rFonts w:hint="eastAsia" w:ascii="Times New Roman" w:hAnsi="Times New Roman" w:eastAsia="宋体" w:cs="Times New Roman"/>
          <w:b/>
          <w:color w:val="auto"/>
          <w:kern w:val="0"/>
          <w:sz w:val="24"/>
          <w:szCs w:val="21"/>
          <w:highlight w:val="none"/>
          <w:lang w:val="zh-CN" w:eastAsia="zh-CN" w:bidi="ar"/>
        </w:rPr>
        <w:t>表5.2-</w:t>
      </w:r>
      <w:r>
        <w:rPr>
          <w:rFonts w:hint="eastAsia" w:cs="Times New Roman"/>
          <w:b/>
          <w:color w:val="auto"/>
          <w:kern w:val="0"/>
          <w:sz w:val="24"/>
          <w:szCs w:val="21"/>
          <w:highlight w:val="none"/>
          <w:lang w:val="en-US" w:eastAsia="zh-CN" w:bidi="ar"/>
        </w:rPr>
        <w:t>22</w:t>
      </w:r>
      <w:r>
        <w:rPr>
          <w:rFonts w:hint="eastAsia" w:ascii="Times New Roman" w:hAnsi="Times New Roman" w:eastAsia="宋体" w:cs="Times New Roman"/>
          <w:b/>
          <w:color w:val="auto"/>
          <w:kern w:val="0"/>
          <w:sz w:val="24"/>
          <w:szCs w:val="21"/>
          <w:highlight w:val="none"/>
          <w:lang w:val="zh-CN" w:eastAsia="zh-CN" w:bidi="ar"/>
        </w:rPr>
        <w:t xml:space="preserve">    不同距离处构筑物爆破振动速度预测</w:t>
      </w:r>
    </w:p>
    <w:tbl>
      <w:tblPr>
        <w:tblStyle w:val="13"/>
        <w:tblW w:w="8513"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33"/>
        <w:gridCol w:w="697"/>
        <w:gridCol w:w="698"/>
        <w:gridCol w:w="698"/>
        <w:gridCol w:w="698"/>
        <w:gridCol w:w="698"/>
        <w:gridCol w:w="698"/>
        <w:gridCol w:w="698"/>
        <w:gridCol w:w="698"/>
        <w:gridCol w:w="699"/>
        <w:gridCol w:w="698"/>
      </w:tblGrid>
      <w:tr w14:paraId="31DC1A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533" w:type="dxa"/>
            <w:tcBorders>
              <w:bottom w:val="single" w:color="auto" w:sz="6" w:space="0"/>
              <w:right w:val="single" w:color="auto" w:sz="6" w:space="0"/>
            </w:tcBorders>
            <w:vAlign w:val="center"/>
          </w:tcPr>
          <w:p w14:paraId="1126BAE5">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预测点距离m</w:t>
            </w:r>
          </w:p>
        </w:tc>
        <w:tc>
          <w:tcPr>
            <w:tcW w:w="697" w:type="dxa"/>
            <w:tcBorders>
              <w:left w:val="single" w:color="auto" w:sz="6" w:space="0"/>
              <w:bottom w:val="single" w:color="auto" w:sz="6" w:space="0"/>
              <w:right w:val="single" w:color="auto" w:sz="6" w:space="0"/>
            </w:tcBorders>
            <w:vAlign w:val="center"/>
          </w:tcPr>
          <w:p w14:paraId="46F689DF">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10</w:t>
            </w:r>
          </w:p>
        </w:tc>
        <w:tc>
          <w:tcPr>
            <w:tcW w:w="698" w:type="dxa"/>
            <w:tcBorders>
              <w:left w:val="single" w:color="auto" w:sz="6" w:space="0"/>
              <w:bottom w:val="single" w:color="auto" w:sz="6" w:space="0"/>
              <w:right w:val="single" w:color="auto" w:sz="6" w:space="0"/>
            </w:tcBorders>
            <w:vAlign w:val="center"/>
          </w:tcPr>
          <w:p w14:paraId="67788C85">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20</w:t>
            </w:r>
          </w:p>
        </w:tc>
        <w:tc>
          <w:tcPr>
            <w:tcW w:w="698" w:type="dxa"/>
            <w:tcBorders>
              <w:left w:val="single" w:color="auto" w:sz="6" w:space="0"/>
              <w:bottom w:val="single" w:color="auto" w:sz="6" w:space="0"/>
              <w:right w:val="single" w:color="auto" w:sz="6" w:space="0"/>
            </w:tcBorders>
            <w:vAlign w:val="center"/>
          </w:tcPr>
          <w:p w14:paraId="30CAE2AD">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30</w:t>
            </w:r>
          </w:p>
        </w:tc>
        <w:tc>
          <w:tcPr>
            <w:tcW w:w="698" w:type="dxa"/>
            <w:tcBorders>
              <w:left w:val="single" w:color="auto" w:sz="6" w:space="0"/>
              <w:bottom w:val="single" w:color="auto" w:sz="6" w:space="0"/>
              <w:right w:val="single" w:color="auto" w:sz="6" w:space="0"/>
            </w:tcBorders>
            <w:vAlign w:val="center"/>
          </w:tcPr>
          <w:p w14:paraId="51ACA39C">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40</w:t>
            </w:r>
          </w:p>
        </w:tc>
        <w:tc>
          <w:tcPr>
            <w:tcW w:w="698" w:type="dxa"/>
            <w:tcBorders>
              <w:left w:val="single" w:color="auto" w:sz="6" w:space="0"/>
              <w:bottom w:val="single" w:color="auto" w:sz="6" w:space="0"/>
              <w:right w:val="single" w:color="auto" w:sz="6" w:space="0"/>
            </w:tcBorders>
            <w:vAlign w:val="center"/>
          </w:tcPr>
          <w:p w14:paraId="55914170">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45</w:t>
            </w:r>
          </w:p>
        </w:tc>
        <w:tc>
          <w:tcPr>
            <w:tcW w:w="698" w:type="dxa"/>
            <w:tcBorders>
              <w:left w:val="single" w:color="auto" w:sz="6" w:space="0"/>
              <w:bottom w:val="single" w:color="auto" w:sz="6" w:space="0"/>
              <w:right w:val="single" w:color="auto" w:sz="6" w:space="0"/>
            </w:tcBorders>
            <w:vAlign w:val="center"/>
          </w:tcPr>
          <w:p w14:paraId="6CBBE285">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50</w:t>
            </w:r>
          </w:p>
        </w:tc>
        <w:tc>
          <w:tcPr>
            <w:tcW w:w="698" w:type="dxa"/>
            <w:tcBorders>
              <w:left w:val="single" w:color="auto" w:sz="6" w:space="0"/>
              <w:bottom w:val="single" w:color="auto" w:sz="6" w:space="0"/>
              <w:right w:val="single" w:color="auto" w:sz="6" w:space="0"/>
            </w:tcBorders>
            <w:vAlign w:val="center"/>
          </w:tcPr>
          <w:p w14:paraId="459A1071">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100</w:t>
            </w:r>
          </w:p>
        </w:tc>
        <w:tc>
          <w:tcPr>
            <w:tcW w:w="698" w:type="dxa"/>
            <w:tcBorders>
              <w:left w:val="single" w:color="auto" w:sz="6" w:space="0"/>
              <w:bottom w:val="single" w:color="auto" w:sz="6" w:space="0"/>
              <w:right w:val="single" w:color="auto" w:sz="6" w:space="0"/>
            </w:tcBorders>
            <w:vAlign w:val="center"/>
          </w:tcPr>
          <w:p w14:paraId="7DA37BF3">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200</w:t>
            </w:r>
          </w:p>
        </w:tc>
        <w:tc>
          <w:tcPr>
            <w:tcW w:w="699" w:type="dxa"/>
            <w:tcBorders>
              <w:left w:val="single" w:color="auto" w:sz="6" w:space="0"/>
              <w:bottom w:val="single" w:color="auto" w:sz="6" w:space="0"/>
              <w:right w:val="single" w:color="auto" w:sz="6" w:space="0"/>
            </w:tcBorders>
            <w:vAlign w:val="center"/>
          </w:tcPr>
          <w:p w14:paraId="2D429415">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250</w:t>
            </w:r>
          </w:p>
        </w:tc>
        <w:tc>
          <w:tcPr>
            <w:tcW w:w="698" w:type="dxa"/>
            <w:tcBorders>
              <w:left w:val="single" w:color="auto" w:sz="6" w:space="0"/>
              <w:bottom w:val="single" w:color="auto" w:sz="6" w:space="0"/>
            </w:tcBorders>
            <w:vAlign w:val="center"/>
          </w:tcPr>
          <w:p w14:paraId="3AC1B97C">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300</w:t>
            </w:r>
          </w:p>
        </w:tc>
      </w:tr>
      <w:tr w14:paraId="693D38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533" w:type="dxa"/>
            <w:tcBorders>
              <w:top w:val="single" w:color="auto" w:sz="6" w:space="0"/>
              <w:right w:val="single" w:color="auto" w:sz="6" w:space="0"/>
            </w:tcBorders>
            <w:vAlign w:val="center"/>
          </w:tcPr>
          <w:p w14:paraId="6D42A2EF">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振动速度cm/s</w:t>
            </w:r>
          </w:p>
        </w:tc>
        <w:tc>
          <w:tcPr>
            <w:tcW w:w="697" w:type="dxa"/>
            <w:tcBorders>
              <w:top w:val="single" w:color="auto" w:sz="6" w:space="0"/>
              <w:left w:val="single" w:color="auto" w:sz="6" w:space="0"/>
              <w:right w:val="single" w:color="auto" w:sz="6" w:space="0"/>
            </w:tcBorders>
            <w:vAlign w:val="center"/>
          </w:tcPr>
          <w:p w14:paraId="2F514FBF">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36.24</w:t>
            </w:r>
          </w:p>
        </w:tc>
        <w:tc>
          <w:tcPr>
            <w:tcW w:w="698" w:type="dxa"/>
            <w:tcBorders>
              <w:top w:val="single" w:color="auto" w:sz="6" w:space="0"/>
              <w:left w:val="single" w:color="auto" w:sz="6" w:space="0"/>
              <w:right w:val="single" w:color="auto" w:sz="6" w:space="0"/>
            </w:tcBorders>
            <w:vAlign w:val="center"/>
          </w:tcPr>
          <w:p w14:paraId="1D8F47FF">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10.41</w:t>
            </w:r>
          </w:p>
        </w:tc>
        <w:tc>
          <w:tcPr>
            <w:tcW w:w="698" w:type="dxa"/>
            <w:tcBorders>
              <w:top w:val="single" w:color="auto" w:sz="6" w:space="0"/>
              <w:left w:val="single" w:color="auto" w:sz="6" w:space="0"/>
              <w:right w:val="single" w:color="auto" w:sz="6" w:space="0"/>
            </w:tcBorders>
            <w:vAlign w:val="center"/>
          </w:tcPr>
          <w:p w14:paraId="7EF7DFD1">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5.02</w:t>
            </w:r>
          </w:p>
        </w:tc>
        <w:tc>
          <w:tcPr>
            <w:tcW w:w="698" w:type="dxa"/>
            <w:tcBorders>
              <w:top w:val="single" w:color="auto" w:sz="6" w:space="0"/>
              <w:left w:val="single" w:color="auto" w:sz="6" w:space="0"/>
              <w:right w:val="single" w:color="auto" w:sz="6" w:space="0"/>
            </w:tcBorders>
            <w:vAlign w:val="center"/>
          </w:tcPr>
          <w:p w14:paraId="49984946">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2.99</w:t>
            </w:r>
          </w:p>
        </w:tc>
        <w:tc>
          <w:tcPr>
            <w:tcW w:w="698" w:type="dxa"/>
            <w:tcBorders>
              <w:top w:val="single" w:color="auto" w:sz="6" w:space="0"/>
              <w:left w:val="single" w:color="auto" w:sz="6" w:space="0"/>
              <w:right w:val="single" w:color="auto" w:sz="6" w:space="0"/>
            </w:tcBorders>
            <w:vAlign w:val="center"/>
          </w:tcPr>
          <w:p w14:paraId="1268C85B">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2.42</w:t>
            </w:r>
          </w:p>
        </w:tc>
        <w:tc>
          <w:tcPr>
            <w:tcW w:w="698" w:type="dxa"/>
            <w:tcBorders>
              <w:top w:val="single" w:color="auto" w:sz="6" w:space="0"/>
              <w:left w:val="single" w:color="auto" w:sz="6" w:space="0"/>
              <w:right w:val="single" w:color="auto" w:sz="6" w:space="0"/>
            </w:tcBorders>
            <w:vAlign w:val="center"/>
          </w:tcPr>
          <w:p w14:paraId="1FBEABDE">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2.00</w:t>
            </w:r>
          </w:p>
        </w:tc>
        <w:tc>
          <w:tcPr>
            <w:tcW w:w="698" w:type="dxa"/>
            <w:tcBorders>
              <w:top w:val="single" w:color="auto" w:sz="6" w:space="0"/>
              <w:left w:val="single" w:color="auto" w:sz="6" w:space="0"/>
              <w:right w:val="single" w:color="auto" w:sz="6" w:space="0"/>
            </w:tcBorders>
            <w:vAlign w:val="center"/>
          </w:tcPr>
          <w:p w14:paraId="6B7A0CA9">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0.57</w:t>
            </w:r>
          </w:p>
        </w:tc>
        <w:tc>
          <w:tcPr>
            <w:tcW w:w="698" w:type="dxa"/>
            <w:tcBorders>
              <w:top w:val="single" w:color="auto" w:sz="6" w:space="0"/>
              <w:left w:val="single" w:color="auto" w:sz="6" w:space="0"/>
              <w:right w:val="single" w:color="auto" w:sz="6" w:space="0"/>
            </w:tcBorders>
            <w:vAlign w:val="center"/>
          </w:tcPr>
          <w:p w14:paraId="33552BEA">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0.14</w:t>
            </w:r>
          </w:p>
        </w:tc>
        <w:tc>
          <w:tcPr>
            <w:tcW w:w="699" w:type="dxa"/>
            <w:tcBorders>
              <w:top w:val="single" w:color="auto" w:sz="6" w:space="0"/>
              <w:left w:val="single" w:color="auto" w:sz="6" w:space="0"/>
              <w:right w:val="single" w:color="auto" w:sz="6" w:space="0"/>
            </w:tcBorders>
            <w:vAlign w:val="center"/>
          </w:tcPr>
          <w:p w14:paraId="5E8DFFE8">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0.11</w:t>
            </w:r>
          </w:p>
        </w:tc>
        <w:tc>
          <w:tcPr>
            <w:tcW w:w="698" w:type="dxa"/>
            <w:tcBorders>
              <w:top w:val="single" w:color="auto" w:sz="6" w:space="0"/>
              <w:left w:val="single" w:color="auto" w:sz="6" w:space="0"/>
            </w:tcBorders>
            <w:vAlign w:val="center"/>
          </w:tcPr>
          <w:p w14:paraId="5F17C526">
            <w:pPr>
              <w:widowControl w:val="0"/>
              <w:kinsoku/>
              <w:autoSpaceDE/>
              <w:autoSpaceDN/>
              <w:adjustRightInd/>
              <w:snapToGrid/>
              <w:spacing w:after="100" w:afterAutospacing="1" w:line="360" w:lineRule="exact"/>
              <w:ind w:firstLine="0" w:firstLineChars="0"/>
              <w:jc w:val="center"/>
              <w:textAlignment w:val="auto"/>
              <w:rPr>
                <w:rFonts w:ascii="Times New Roman" w:hAnsi="Times New Roman" w:eastAsia="宋体" w:cs="Times New Roman"/>
                <w:snapToGrid/>
                <w:color w:val="auto"/>
                <w:kern w:val="0"/>
                <w:sz w:val="21"/>
                <w:highlight w:val="none"/>
                <w:lang w:val="en-US" w:eastAsia="zh-CN" w:bidi="ar"/>
              </w:rPr>
            </w:pPr>
            <w:r>
              <w:rPr>
                <w:rFonts w:ascii="Times New Roman" w:hAnsi="Times New Roman" w:eastAsia="宋体" w:cs="Times New Roman"/>
                <w:snapToGrid/>
                <w:color w:val="auto"/>
                <w:kern w:val="0"/>
                <w:sz w:val="21"/>
                <w:highlight w:val="none"/>
                <w:lang w:val="en-US" w:eastAsia="zh-CN" w:bidi="ar"/>
              </w:rPr>
              <w:t>0.08</w:t>
            </w:r>
          </w:p>
        </w:tc>
      </w:tr>
    </w:tbl>
    <w:p w14:paraId="48D27A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ascii="Times New Roman" w:hAnsi="Times New Roman" w:eastAsia="宋体" w:cs="Times New Roman"/>
          <w:snapToGrid/>
          <w:color w:val="auto"/>
          <w:kern w:val="0"/>
          <w:sz w:val="24"/>
          <w:highlight w:val="none"/>
          <w:lang w:val="zh-CN" w:eastAsia="zh-CN" w:bidi="ar-SA"/>
        </w:rPr>
      </w:pPr>
      <w:r>
        <w:rPr>
          <w:rFonts w:ascii="Times New Roman" w:hAnsi="Times New Roman" w:eastAsia="宋体" w:cs="Times New Roman"/>
          <w:snapToGrid/>
          <w:color w:val="auto"/>
          <w:kern w:val="0"/>
          <w:sz w:val="24"/>
          <w:highlight w:val="none"/>
          <w:lang w:val="zh-CN" w:eastAsia="zh-CN" w:bidi="ar-SA"/>
        </w:rPr>
        <w:t>（3）爆破振动影响评价</w:t>
      </w:r>
    </w:p>
    <w:p w14:paraId="3C63BD08">
      <w:pPr>
        <w:bidi w:val="0"/>
        <w:rPr>
          <w:rFonts w:hint="default"/>
          <w:color w:val="auto"/>
          <w:highlight w:val="none"/>
          <w:lang w:val="en-US" w:eastAsia="zh-CN"/>
        </w:rPr>
      </w:pPr>
      <w:r>
        <w:rPr>
          <w:color w:val="auto"/>
          <w:highlight w:val="none"/>
          <w:lang w:val="zh-CN" w:eastAsia="zh-CN"/>
        </w:rPr>
        <w:t>由表5.2-</w:t>
      </w:r>
      <w:r>
        <w:rPr>
          <w:rFonts w:hint="eastAsia"/>
          <w:color w:val="auto"/>
          <w:highlight w:val="none"/>
          <w:lang w:val="en-US" w:eastAsia="zh-CN"/>
        </w:rPr>
        <w:t>13</w:t>
      </w:r>
      <w:r>
        <w:rPr>
          <w:color w:val="auto"/>
          <w:highlight w:val="none"/>
          <w:lang w:val="zh-CN" w:eastAsia="zh-CN"/>
        </w:rPr>
        <w:t>预测结果可知，在生产过程中爆破情况下，在距爆源45m以外的设施及建筑物，其质点振动速度小于安全允许标准。</w:t>
      </w:r>
      <w:r>
        <w:rPr>
          <w:rFonts w:hint="default"/>
          <w:color w:val="auto"/>
          <w:highlight w:val="none"/>
          <w:lang w:val="en-US" w:eastAsia="zh-CN"/>
        </w:rPr>
        <w:t>爆破声为瞬间突发噪声，且伴随发生振动，影响范围较大。但该矿山采用中深孔微差爆破法，膨化硝铵炸药威力有限，仅起到开裂松动作用，从源头上减小了爆破振动对周边环境的影响。此外，爆破声持续时间短，爆破结束后即消失。</w:t>
      </w:r>
      <w:r>
        <w:rPr>
          <w:color w:val="auto"/>
          <w:highlight w:val="none"/>
          <w:lang w:val="zh-CN" w:eastAsia="zh-CN"/>
        </w:rPr>
        <w:t>对办公生活区内建筑物影响较小。</w:t>
      </w:r>
    </w:p>
    <w:p w14:paraId="7BBB10B6">
      <w:pPr>
        <w:pStyle w:val="7"/>
        <w:bidi w:val="0"/>
        <w:rPr>
          <w:rFonts w:hint="eastAsia"/>
          <w:color w:val="auto"/>
          <w:highlight w:val="none"/>
          <w:lang w:val="en-US" w:eastAsia="zh-CN"/>
        </w:rPr>
      </w:pPr>
      <w:r>
        <w:rPr>
          <w:rFonts w:hint="eastAsia"/>
          <w:color w:val="auto"/>
          <w:highlight w:val="none"/>
          <w:lang w:val="en-US" w:eastAsia="zh-CN"/>
        </w:rPr>
        <w:t>5.2.4.3交通噪声环境影响评价</w:t>
      </w:r>
    </w:p>
    <w:p w14:paraId="7B5E058B">
      <w:pPr>
        <w:bidi w:val="0"/>
        <w:rPr>
          <w:rFonts w:hint="default"/>
          <w:color w:val="auto"/>
          <w:highlight w:val="none"/>
          <w:lang w:val="en-US" w:eastAsia="zh-CN"/>
        </w:rPr>
      </w:pPr>
      <w:r>
        <w:rPr>
          <w:rFonts w:hint="default"/>
          <w:color w:val="auto"/>
          <w:highlight w:val="none"/>
          <w:lang w:val="en-US" w:eastAsia="zh-CN"/>
        </w:rPr>
        <w:t>本项目营运期进出矿区的运输车辆增加，运输车辆进出时行驶速度较慢，一般为20～30km/h左右，主要为大型车辆，大型车在距离行驶中心线处的噪声值约为77～78dB（A）。运输路线位于山区内，沿途无声环境敏感点，故本项目交通噪声对周围声环境影响较小。</w:t>
      </w:r>
    </w:p>
    <w:p w14:paraId="379CE554">
      <w:pPr>
        <w:pStyle w:val="7"/>
        <w:ind w:firstLine="482" w:firstLineChars="200"/>
        <w:rPr>
          <w:color w:val="auto"/>
          <w:highlight w:val="none"/>
        </w:rPr>
      </w:pPr>
      <w:r>
        <w:rPr>
          <w:color w:val="auto"/>
          <w:highlight w:val="none"/>
        </w:rPr>
        <w:t>5.2.</w:t>
      </w:r>
      <w:r>
        <w:rPr>
          <w:rFonts w:hint="eastAsia"/>
          <w:color w:val="auto"/>
          <w:highlight w:val="none"/>
        </w:rPr>
        <w:t>4.</w:t>
      </w:r>
      <w:r>
        <w:rPr>
          <w:rFonts w:hint="eastAsia"/>
          <w:color w:val="auto"/>
          <w:highlight w:val="none"/>
          <w:lang w:val="en-US" w:eastAsia="zh-CN"/>
        </w:rPr>
        <w:t>3</w:t>
      </w:r>
      <w:r>
        <w:rPr>
          <w:color w:val="auto"/>
          <w:kern w:val="0"/>
          <w:highlight w:val="none"/>
          <w:lang w:val="zh-CN"/>
        </w:rPr>
        <w:t>预测结果分析</w:t>
      </w:r>
    </w:p>
    <w:p w14:paraId="116D390E">
      <w:pPr>
        <w:bidi w:val="0"/>
        <w:rPr>
          <w:rFonts w:hint="default"/>
          <w:color w:val="auto"/>
          <w:highlight w:val="none"/>
          <w:lang w:val="en-US" w:eastAsia="zh-CN"/>
        </w:rPr>
      </w:pPr>
      <w:r>
        <w:rPr>
          <w:rFonts w:hint="default"/>
          <w:color w:val="auto"/>
          <w:highlight w:val="none"/>
          <w:lang w:val="en-US" w:eastAsia="zh-CN"/>
        </w:rPr>
        <w:t>由预测结果可知，项目运营后，厂界噪声满足《工业企业厂界环境噪声排放标准》（GB12348-2008）中2类排放标准要求。矿场附近10km范围内无居民区等声环境敏感点，经采取减震等措施后，运营期矿区噪声对周围声环境影响较小。</w:t>
      </w:r>
    </w:p>
    <w:p w14:paraId="15AA3336">
      <w:pPr>
        <w:pStyle w:val="7"/>
        <w:ind w:firstLine="482" w:firstLineChars="200"/>
        <w:rPr>
          <w:rFonts w:hint="eastAsia"/>
          <w:color w:val="auto"/>
          <w:highlight w:val="none"/>
          <w:lang w:val="en-US" w:eastAsia="zh-CN"/>
        </w:rPr>
      </w:pPr>
      <w:r>
        <w:rPr>
          <w:rFonts w:hint="eastAsia"/>
          <w:color w:val="auto"/>
          <w:highlight w:val="none"/>
          <w:lang w:val="en-US" w:eastAsia="zh-CN"/>
        </w:rPr>
        <w:t>5.2.4.4声环境影响评价自查表</w:t>
      </w:r>
    </w:p>
    <w:p w14:paraId="613706BD">
      <w:pPr>
        <w:overflowPunct w:val="0"/>
        <w:topLinePunct/>
        <w:adjustRightInd w:val="0"/>
        <w:ind w:firstLine="480"/>
        <w:rPr>
          <w:rFonts w:hint="eastAsia"/>
          <w:color w:val="auto"/>
          <w:highlight w:val="none"/>
        </w:rPr>
      </w:pPr>
      <w:r>
        <w:rPr>
          <w:rFonts w:hint="default" w:ascii="Times New Roman" w:hAnsi="Times New Roman" w:eastAsia="宋体" w:cs="Times New Roman"/>
          <w:color w:val="auto"/>
          <w:sz w:val="24"/>
          <w:highlight w:val="none"/>
          <w:lang w:val="en-US" w:eastAsia="zh-CN"/>
        </w:rPr>
        <w:t>本项目</w:t>
      </w:r>
      <w:r>
        <w:rPr>
          <w:rFonts w:hint="eastAsia" w:ascii="Times New Roman" w:hAnsi="Times New Roman" w:eastAsia="宋体" w:cs="Times New Roman"/>
          <w:color w:val="auto"/>
          <w:sz w:val="24"/>
          <w:highlight w:val="none"/>
          <w:lang w:val="en-US" w:eastAsia="zh-CN"/>
        </w:rPr>
        <w:t>声</w:t>
      </w:r>
      <w:r>
        <w:rPr>
          <w:rFonts w:hint="default" w:ascii="Times New Roman" w:hAnsi="Times New Roman" w:eastAsia="宋体" w:cs="Times New Roman"/>
          <w:color w:val="auto"/>
          <w:sz w:val="24"/>
          <w:highlight w:val="none"/>
          <w:lang w:val="en-US" w:eastAsia="zh-CN"/>
        </w:rPr>
        <w:t>环境影响评价自查表见表5.2-</w:t>
      </w:r>
      <w:r>
        <w:rPr>
          <w:rFonts w:hint="eastAsia" w:cs="Times New Roman"/>
          <w:color w:val="auto"/>
          <w:sz w:val="24"/>
          <w:highlight w:val="none"/>
          <w:lang w:val="en-US" w:eastAsia="zh-CN"/>
        </w:rPr>
        <w:t>23</w:t>
      </w:r>
      <w:r>
        <w:rPr>
          <w:rFonts w:hint="default" w:ascii="Times New Roman" w:hAnsi="Times New Roman" w:eastAsia="宋体" w:cs="Times New Roman"/>
          <w:color w:val="auto"/>
          <w:sz w:val="24"/>
          <w:highlight w:val="none"/>
          <w:lang w:val="en-US" w:eastAsia="zh-CN"/>
        </w:rPr>
        <w:t>。</w:t>
      </w:r>
    </w:p>
    <w:p w14:paraId="3EA5DDF7">
      <w:pPr>
        <w:keepNext w:val="0"/>
        <w:keepLines w:val="0"/>
        <w:pageBreakBefore w:val="0"/>
        <w:widowControl w:val="0"/>
        <w:kinsoku/>
        <w:wordWrap/>
        <w:overflowPunct/>
        <w:topLinePunct w:val="0"/>
        <w:autoSpaceDE/>
        <w:autoSpaceDN/>
        <w:bidi w:val="0"/>
        <w:adjustRightInd/>
        <w:snapToGrid/>
        <w:spacing w:before="0" w:after="0" w:line="360" w:lineRule="exact"/>
        <w:ind w:firstLine="0"/>
        <w:jc w:val="center"/>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表5.2-</w:t>
      </w:r>
      <w:r>
        <w:rPr>
          <w:rFonts w:hint="eastAsia" w:cs="Times New Roman"/>
          <w:b/>
          <w:color w:val="auto"/>
          <w:sz w:val="24"/>
          <w:szCs w:val="24"/>
          <w:highlight w:val="none"/>
          <w:lang w:val="en-US" w:eastAsia="zh-CN"/>
        </w:rPr>
        <w:t>23</w:t>
      </w:r>
      <w:r>
        <w:rPr>
          <w:rFonts w:hint="default" w:ascii="Times New Roman" w:hAnsi="Times New Roman" w:eastAsia="宋体" w:cs="Times New Roman"/>
          <w:b/>
          <w:color w:val="auto"/>
          <w:sz w:val="24"/>
          <w:szCs w:val="24"/>
          <w:highlight w:val="none"/>
        </w:rPr>
        <w:t xml:space="preserve">    </w:t>
      </w:r>
      <w:r>
        <w:rPr>
          <w:rFonts w:hint="eastAsia" w:ascii="Times New Roman" w:hAnsi="Times New Roman" w:eastAsia="宋体" w:cs="Times New Roman"/>
          <w:b/>
          <w:color w:val="auto"/>
          <w:sz w:val="24"/>
          <w:szCs w:val="24"/>
          <w:highlight w:val="none"/>
          <w:lang w:eastAsia="zh-CN"/>
        </w:rPr>
        <w:t>声</w:t>
      </w:r>
      <w:r>
        <w:rPr>
          <w:rFonts w:hint="default" w:ascii="Times New Roman" w:hAnsi="Times New Roman" w:eastAsia="宋体" w:cs="Times New Roman"/>
          <w:b/>
          <w:color w:val="auto"/>
          <w:sz w:val="24"/>
          <w:szCs w:val="24"/>
          <w:highlight w:val="none"/>
        </w:rPr>
        <w:t>环境影响评价自查表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 w:type="dxa"/>
          <w:bottom w:w="0" w:type="dxa"/>
          <w:right w:w="10" w:type="dxa"/>
        </w:tblCellMar>
      </w:tblPr>
      <w:tblGrid>
        <w:gridCol w:w="939"/>
        <w:gridCol w:w="1303"/>
        <w:gridCol w:w="1004"/>
        <w:gridCol w:w="506"/>
        <w:gridCol w:w="290"/>
        <w:gridCol w:w="196"/>
        <w:gridCol w:w="1002"/>
        <w:gridCol w:w="796"/>
        <w:gridCol w:w="241"/>
        <w:gridCol w:w="503"/>
        <w:gridCol w:w="456"/>
        <w:gridCol w:w="1087"/>
      </w:tblGrid>
      <w:tr w14:paraId="7945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1347" w:type="pct"/>
            <w:gridSpan w:val="2"/>
            <w:tcBorders>
              <w:tl2br w:val="nil"/>
              <w:tr2bl w:val="nil"/>
            </w:tcBorders>
            <w:shd w:val="clear" w:color="auto" w:fill="auto"/>
            <w:vAlign w:val="center"/>
          </w:tcPr>
          <w:p w14:paraId="60BC5168">
            <w:pPr>
              <w:pStyle w:val="17"/>
              <w:bidi w:val="0"/>
              <w:jc w:val="center"/>
              <w:rPr>
                <w:rFonts w:hint="default"/>
                <w:color w:val="auto"/>
                <w:highlight w:val="none"/>
              </w:rPr>
            </w:pPr>
            <w:r>
              <w:rPr>
                <w:rFonts w:hint="default"/>
                <w:color w:val="auto"/>
                <w:highlight w:val="none"/>
              </w:rPr>
              <w:t>工作内容</w:t>
            </w:r>
          </w:p>
        </w:tc>
        <w:tc>
          <w:tcPr>
            <w:tcW w:w="3652" w:type="pct"/>
            <w:gridSpan w:val="10"/>
            <w:tcBorders>
              <w:tl2br w:val="nil"/>
              <w:tr2bl w:val="nil"/>
            </w:tcBorders>
            <w:shd w:val="clear" w:color="auto" w:fill="auto"/>
            <w:vAlign w:val="center"/>
          </w:tcPr>
          <w:p w14:paraId="50A6FB2A">
            <w:pPr>
              <w:pStyle w:val="17"/>
              <w:bidi w:val="0"/>
              <w:jc w:val="center"/>
              <w:rPr>
                <w:rFonts w:hint="default"/>
                <w:color w:val="auto"/>
                <w:highlight w:val="none"/>
              </w:rPr>
            </w:pPr>
            <w:r>
              <w:rPr>
                <w:rFonts w:hint="default"/>
                <w:color w:val="auto"/>
                <w:highlight w:val="none"/>
              </w:rPr>
              <w:t>自查项目</w:t>
            </w:r>
          </w:p>
        </w:tc>
      </w:tr>
      <w:tr w14:paraId="6ACF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564" w:type="pct"/>
            <w:vMerge w:val="restart"/>
            <w:tcBorders>
              <w:tl2br w:val="nil"/>
              <w:tr2bl w:val="nil"/>
            </w:tcBorders>
            <w:shd w:val="clear" w:color="auto" w:fill="auto"/>
            <w:vAlign w:val="center"/>
          </w:tcPr>
          <w:p w14:paraId="0E75D541">
            <w:pPr>
              <w:pStyle w:val="17"/>
              <w:bidi w:val="0"/>
              <w:jc w:val="center"/>
              <w:rPr>
                <w:rFonts w:hint="default"/>
                <w:color w:val="auto"/>
                <w:highlight w:val="none"/>
              </w:rPr>
            </w:pPr>
            <w:r>
              <w:rPr>
                <w:rFonts w:hint="default"/>
                <w:color w:val="auto"/>
                <w:highlight w:val="none"/>
              </w:rPr>
              <w:t>评价等级与范围</w:t>
            </w:r>
          </w:p>
        </w:tc>
        <w:tc>
          <w:tcPr>
            <w:tcW w:w="782" w:type="pct"/>
            <w:tcBorders>
              <w:tl2br w:val="nil"/>
              <w:tr2bl w:val="nil"/>
            </w:tcBorders>
            <w:shd w:val="clear" w:color="auto" w:fill="auto"/>
            <w:vAlign w:val="center"/>
          </w:tcPr>
          <w:p w14:paraId="26160E52">
            <w:pPr>
              <w:pStyle w:val="17"/>
              <w:bidi w:val="0"/>
              <w:jc w:val="center"/>
              <w:rPr>
                <w:rFonts w:hint="default"/>
                <w:color w:val="auto"/>
                <w:highlight w:val="none"/>
              </w:rPr>
            </w:pPr>
            <w:r>
              <w:rPr>
                <w:rFonts w:hint="default"/>
                <w:color w:val="auto"/>
                <w:highlight w:val="none"/>
              </w:rPr>
              <w:t>评价等级</w:t>
            </w:r>
          </w:p>
        </w:tc>
        <w:tc>
          <w:tcPr>
            <w:tcW w:w="1081" w:type="pct"/>
            <w:gridSpan w:val="3"/>
            <w:tcBorders>
              <w:tl2br w:val="nil"/>
              <w:tr2bl w:val="nil"/>
            </w:tcBorders>
            <w:shd w:val="clear" w:color="auto" w:fill="auto"/>
            <w:vAlign w:val="center"/>
          </w:tcPr>
          <w:p w14:paraId="0FF326FA">
            <w:pPr>
              <w:pStyle w:val="17"/>
              <w:bidi w:val="0"/>
              <w:jc w:val="center"/>
              <w:rPr>
                <w:rFonts w:hint="default"/>
                <w:color w:val="auto"/>
                <w:highlight w:val="none"/>
              </w:rPr>
            </w:pPr>
            <w:r>
              <w:rPr>
                <w:rFonts w:hint="default"/>
                <w:color w:val="auto"/>
                <w:highlight w:val="none"/>
                <w:lang w:val="zh-CN" w:eastAsia="zh-CN"/>
              </w:rPr>
              <w:t>一级</w:t>
            </w:r>
            <w:r>
              <w:rPr>
                <w:rFonts w:hint="eastAsia"/>
                <w:color w:val="auto"/>
                <w:highlight w:val="none"/>
                <w:lang w:eastAsia="zh-CN"/>
              </w:rPr>
              <w:t>□</w:t>
            </w:r>
          </w:p>
        </w:tc>
        <w:tc>
          <w:tcPr>
            <w:tcW w:w="1342" w:type="pct"/>
            <w:gridSpan w:val="4"/>
            <w:tcBorders>
              <w:tl2br w:val="nil"/>
              <w:tr2bl w:val="nil"/>
            </w:tcBorders>
            <w:shd w:val="clear" w:color="auto" w:fill="auto"/>
            <w:vAlign w:val="center"/>
          </w:tcPr>
          <w:p w14:paraId="47A1294C">
            <w:pPr>
              <w:pStyle w:val="17"/>
              <w:bidi w:val="0"/>
              <w:jc w:val="center"/>
              <w:rPr>
                <w:rFonts w:hint="default"/>
                <w:color w:val="auto"/>
                <w:highlight w:val="none"/>
              </w:rPr>
            </w:pPr>
            <w:r>
              <w:rPr>
                <w:rFonts w:hint="default"/>
                <w:color w:val="auto"/>
                <w:highlight w:val="none"/>
                <w:lang w:val="zh-CN" w:eastAsia="zh-CN"/>
              </w:rPr>
              <w:t>二级</w:t>
            </w:r>
            <w:r>
              <w:rPr>
                <w:rFonts w:hint="default"/>
                <w:color w:val="auto"/>
                <w:highlight w:val="none"/>
                <w:lang w:eastAsia="zh-CN"/>
              </w:rPr>
              <w:t>☑</w:t>
            </w:r>
          </w:p>
        </w:tc>
        <w:tc>
          <w:tcPr>
            <w:tcW w:w="1227" w:type="pct"/>
            <w:gridSpan w:val="3"/>
            <w:tcBorders>
              <w:tl2br w:val="nil"/>
              <w:tr2bl w:val="nil"/>
            </w:tcBorders>
            <w:shd w:val="clear" w:color="auto" w:fill="auto"/>
            <w:vAlign w:val="center"/>
          </w:tcPr>
          <w:p w14:paraId="2D7D27D8">
            <w:pPr>
              <w:pStyle w:val="17"/>
              <w:bidi w:val="0"/>
              <w:jc w:val="center"/>
              <w:rPr>
                <w:rFonts w:hint="default"/>
                <w:color w:val="auto"/>
                <w:highlight w:val="none"/>
              </w:rPr>
            </w:pPr>
            <w:r>
              <w:rPr>
                <w:rFonts w:hint="default"/>
                <w:color w:val="auto"/>
                <w:highlight w:val="none"/>
              </w:rPr>
              <w:t>三级</w:t>
            </w:r>
            <w:r>
              <w:rPr>
                <w:rFonts w:hint="eastAsia"/>
                <w:color w:val="auto"/>
                <w:highlight w:val="none"/>
                <w:lang w:eastAsia="zh-CN"/>
              </w:rPr>
              <w:t>□</w:t>
            </w:r>
          </w:p>
        </w:tc>
      </w:tr>
      <w:tr w14:paraId="0ADF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7626C46E">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30547282">
            <w:pPr>
              <w:pStyle w:val="17"/>
              <w:bidi w:val="0"/>
              <w:jc w:val="center"/>
              <w:rPr>
                <w:rFonts w:hint="default"/>
                <w:color w:val="auto"/>
                <w:highlight w:val="none"/>
              </w:rPr>
            </w:pPr>
            <w:r>
              <w:rPr>
                <w:rFonts w:hint="default"/>
                <w:color w:val="auto"/>
                <w:highlight w:val="none"/>
              </w:rPr>
              <w:t>评价范围</w:t>
            </w:r>
          </w:p>
        </w:tc>
        <w:tc>
          <w:tcPr>
            <w:tcW w:w="603" w:type="pct"/>
            <w:tcBorders>
              <w:tl2br w:val="nil"/>
              <w:tr2bl w:val="nil"/>
            </w:tcBorders>
            <w:shd w:val="clear" w:color="auto" w:fill="auto"/>
            <w:vAlign w:val="center"/>
          </w:tcPr>
          <w:p w14:paraId="30CE7558">
            <w:pPr>
              <w:pStyle w:val="17"/>
              <w:bidi w:val="0"/>
              <w:jc w:val="center"/>
              <w:rPr>
                <w:rFonts w:hint="default"/>
                <w:color w:val="auto"/>
                <w:highlight w:val="none"/>
              </w:rPr>
            </w:pPr>
            <w:r>
              <w:rPr>
                <w:rFonts w:hint="default"/>
                <w:color w:val="auto"/>
                <w:highlight w:val="none"/>
              </w:rPr>
              <w:t>200</w:t>
            </w:r>
            <w:r>
              <w:rPr>
                <w:rFonts w:hint="default"/>
                <w:color w:val="auto"/>
                <w:highlight w:val="none"/>
                <w:lang w:val="en-US" w:eastAsia="en-US"/>
              </w:rPr>
              <w:t>m</w:t>
            </w:r>
            <w:r>
              <w:rPr>
                <w:rFonts w:hint="default"/>
                <w:color w:val="auto"/>
                <w:highlight w:val="none"/>
                <w:lang w:eastAsia="zh-CN"/>
              </w:rPr>
              <w:t>☑</w:t>
            </w:r>
          </w:p>
        </w:tc>
        <w:tc>
          <w:tcPr>
            <w:tcW w:w="1821" w:type="pct"/>
            <w:gridSpan w:val="6"/>
            <w:tcBorders>
              <w:tl2br w:val="nil"/>
              <w:tr2bl w:val="nil"/>
            </w:tcBorders>
            <w:shd w:val="clear" w:color="auto" w:fill="auto"/>
            <w:vAlign w:val="center"/>
          </w:tcPr>
          <w:p w14:paraId="21D91807">
            <w:pPr>
              <w:pStyle w:val="17"/>
              <w:bidi w:val="0"/>
              <w:jc w:val="center"/>
              <w:rPr>
                <w:rFonts w:hint="default"/>
                <w:color w:val="auto"/>
                <w:highlight w:val="none"/>
              </w:rPr>
            </w:pPr>
            <w:r>
              <w:rPr>
                <w:rFonts w:hint="default"/>
                <w:color w:val="auto"/>
                <w:highlight w:val="none"/>
              </w:rPr>
              <w:t>大于</w:t>
            </w:r>
            <w:r>
              <w:rPr>
                <w:rFonts w:hint="default"/>
                <w:color w:val="auto"/>
                <w:highlight w:val="none"/>
                <w:lang w:val="en-US" w:eastAsia="en-US"/>
              </w:rPr>
              <w:t>200m</w:t>
            </w:r>
            <w:r>
              <w:rPr>
                <w:rFonts w:hint="eastAsia"/>
                <w:color w:val="auto"/>
                <w:highlight w:val="none"/>
                <w:lang w:eastAsia="zh-CN"/>
              </w:rPr>
              <w:t>□</w:t>
            </w:r>
          </w:p>
        </w:tc>
        <w:tc>
          <w:tcPr>
            <w:tcW w:w="1227" w:type="pct"/>
            <w:gridSpan w:val="3"/>
            <w:tcBorders>
              <w:tl2br w:val="nil"/>
              <w:tr2bl w:val="nil"/>
            </w:tcBorders>
            <w:shd w:val="clear" w:color="auto" w:fill="auto"/>
            <w:vAlign w:val="center"/>
          </w:tcPr>
          <w:p w14:paraId="0BE07CD1">
            <w:pPr>
              <w:pStyle w:val="17"/>
              <w:bidi w:val="0"/>
              <w:jc w:val="center"/>
              <w:rPr>
                <w:rFonts w:hint="default"/>
                <w:color w:val="auto"/>
                <w:highlight w:val="none"/>
              </w:rPr>
            </w:pPr>
            <w:r>
              <w:rPr>
                <w:rFonts w:hint="default"/>
                <w:color w:val="auto"/>
                <w:highlight w:val="none"/>
              </w:rPr>
              <w:t>小于</w:t>
            </w:r>
            <w:r>
              <w:rPr>
                <w:rFonts w:hint="default"/>
                <w:color w:val="auto"/>
                <w:highlight w:val="none"/>
                <w:lang w:val="en-US" w:eastAsia="en-US"/>
              </w:rPr>
              <w:t>200m</w:t>
            </w:r>
            <w:r>
              <w:rPr>
                <w:rFonts w:hint="eastAsia"/>
                <w:color w:val="auto"/>
                <w:highlight w:val="none"/>
                <w:lang w:eastAsia="zh-CN"/>
              </w:rPr>
              <w:t>□</w:t>
            </w:r>
          </w:p>
        </w:tc>
      </w:tr>
      <w:tr w14:paraId="28F6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tcBorders>
              <w:tl2br w:val="nil"/>
              <w:tr2bl w:val="nil"/>
            </w:tcBorders>
            <w:shd w:val="clear" w:color="auto" w:fill="auto"/>
            <w:vAlign w:val="center"/>
          </w:tcPr>
          <w:p w14:paraId="3BEB0C76">
            <w:pPr>
              <w:pStyle w:val="17"/>
              <w:bidi w:val="0"/>
              <w:jc w:val="center"/>
              <w:rPr>
                <w:rFonts w:hint="default"/>
                <w:color w:val="auto"/>
                <w:highlight w:val="none"/>
              </w:rPr>
            </w:pPr>
            <w:r>
              <w:rPr>
                <w:rFonts w:hint="default"/>
                <w:color w:val="auto"/>
                <w:highlight w:val="none"/>
              </w:rPr>
              <w:t>评价因子</w:t>
            </w:r>
          </w:p>
        </w:tc>
        <w:tc>
          <w:tcPr>
            <w:tcW w:w="782" w:type="pct"/>
            <w:tcBorders>
              <w:tl2br w:val="nil"/>
              <w:tr2bl w:val="nil"/>
            </w:tcBorders>
            <w:shd w:val="clear" w:color="auto" w:fill="auto"/>
            <w:vAlign w:val="center"/>
          </w:tcPr>
          <w:p w14:paraId="6E2D78DC">
            <w:pPr>
              <w:pStyle w:val="17"/>
              <w:bidi w:val="0"/>
              <w:jc w:val="center"/>
              <w:rPr>
                <w:rFonts w:hint="default"/>
                <w:color w:val="auto"/>
                <w:highlight w:val="none"/>
              </w:rPr>
            </w:pPr>
            <w:r>
              <w:rPr>
                <w:rFonts w:hint="default"/>
                <w:color w:val="auto"/>
                <w:highlight w:val="none"/>
              </w:rPr>
              <w:t>评价因子</w:t>
            </w:r>
          </w:p>
        </w:tc>
        <w:tc>
          <w:tcPr>
            <w:tcW w:w="3652" w:type="pct"/>
            <w:gridSpan w:val="10"/>
            <w:tcBorders>
              <w:tl2br w:val="nil"/>
              <w:tr2bl w:val="nil"/>
            </w:tcBorders>
            <w:shd w:val="clear" w:color="auto" w:fill="auto"/>
            <w:vAlign w:val="center"/>
          </w:tcPr>
          <w:p w14:paraId="6C1DC7D5">
            <w:pPr>
              <w:pStyle w:val="17"/>
              <w:bidi w:val="0"/>
              <w:jc w:val="center"/>
              <w:rPr>
                <w:rFonts w:hint="default"/>
                <w:color w:val="auto"/>
                <w:highlight w:val="none"/>
              </w:rPr>
            </w:pPr>
            <w:r>
              <w:rPr>
                <w:rFonts w:hint="default"/>
                <w:color w:val="auto"/>
                <w:highlight w:val="none"/>
              </w:rPr>
              <w:t>等效连续</w:t>
            </w:r>
            <w:r>
              <w:rPr>
                <w:rFonts w:hint="default"/>
                <w:color w:val="auto"/>
                <w:highlight w:val="none"/>
                <w:lang w:val="en-US" w:eastAsia="en-US"/>
              </w:rPr>
              <w:t>A</w:t>
            </w:r>
            <w:r>
              <w:rPr>
                <w:rFonts w:hint="default"/>
                <w:color w:val="auto"/>
                <w:highlight w:val="none"/>
              </w:rPr>
              <w:t>声级</w:t>
            </w:r>
            <w:r>
              <w:rPr>
                <w:rFonts w:hint="default"/>
                <w:color w:val="auto"/>
                <w:highlight w:val="none"/>
                <w:lang w:eastAsia="zh-CN"/>
              </w:rPr>
              <w:t>☑</w:t>
            </w:r>
            <w:r>
              <w:rPr>
                <w:rFonts w:hint="eastAsia"/>
                <w:color w:val="auto"/>
                <w:highlight w:val="none"/>
                <w:lang w:val="en-US" w:eastAsia="zh-CN"/>
              </w:rPr>
              <w:t xml:space="preserve"> </w:t>
            </w:r>
            <w:r>
              <w:rPr>
                <w:rFonts w:hint="default"/>
                <w:color w:val="auto"/>
                <w:highlight w:val="none"/>
              </w:rPr>
              <w:t>最大</w:t>
            </w:r>
            <w:r>
              <w:rPr>
                <w:rFonts w:hint="default"/>
                <w:color w:val="auto"/>
                <w:highlight w:val="none"/>
                <w:lang w:val="en-US" w:eastAsia="en-US"/>
              </w:rPr>
              <w:t>A</w:t>
            </w:r>
            <w:r>
              <w:rPr>
                <w:rFonts w:hint="default"/>
                <w:color w:val="auto"/>
                <w:highlight w:val="none"/>
                <w:lang w:val="zh-CN" w:eastAsia="zh-CN"/>
              </w:rPr>
              <w:t>声级</w:t>
            </w:r>
            <w:r>
              <w:rPr>
                <w:rFonts w:hint="eastAsia"/>
                <w:color w:val="auto"/>
                <w:highlight w:val="none"/>
                <w:lang w:eastAsia="zh-CN"/>
              </w:rPr>
              <w:t>□</w:t>
            </w:r>
            <w:r>
              <w:rPr>
                <w:rFonts w:hint="default"/>
                <w:color w:val="auto"/>
                <w:highlight w:val="none"/>
                <w:lang w:val="zh-CN" w:eastAsia="zh-CN"/>
              </w:rPr>
              <w:tab/>
            </w:r>
            <w:r>
              <w:rPr>
                <w:rFonts w:hint="default"/>
                <w:color w:val="auto"/>
                <w:highlight w:val="none"/>
              </w:rPr>
              <w:t>计权等效连续感觉噪</w:t>
            </w:r>
            <w:r>
              <w:rPr>
                <w:rFonts w:hint="default"/>
                <w:color w:val="auto"/>
                <w:highlight w:val="none"/>
                <w:lang w:val="zh-CN" w:eastAsia="zh-CN"/>
              </w:rPr>
              <w:t>声级</w:t>
            </w:r>
            <w:r>
              <w:rPr>
                <w:rFonts w:hint="eastAsia"/>
                <w:color w:val="auto"/>
                <w:highlight w:val="none"/>
                <w:lang w:eastAsia="zh-CN"/>
              </w:rPr>
              <w:t>□</w:t>
            </w:r>
          </w:p>
        </w:tc>
      </w:tr>
      <w:tr w14:paraId="3F8B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tcBorders>
              <w:tl2br w:val="nil"/>
              <w:tr2bl w:val="nil"/>
            </w:tcBorders>
            <w:shd w:val="clear" w:color="auto" w:fill="auto"/>
            <w:vAlign w:val="center"/>
          </w:tcPr>
          <w:p w14:paraId="38D86B32">
            <w:pPr>
              <w:pStyle w:val="17"/>
              <w:bidi w:val="0"/>
              <w:jc w:val="center"/>
              <w:rPr>
                <w:rFonts w:hint="default"/>
                <w:color w:val="auto"/>
                <w:highlight w:val="none"/>
              </w:rPr>
            </w:pPr>
            <w:r>
              <w:rPr>
                <w:rFonts w:hint="default"/>
                <w:color w:val="auto"/>
                <w:highlight w:val="none"/>
              </w:rPr>
              <w:t>评价标准</w:t>
            </w:r>
          </w:p>
        </w:tc>
        <w:tc>
          <w:tcPr>
            <w:tcW w:w="782" w:type="pct"/>
            <w:tcBorders>
              <w:tl2br w:val="nil"/>
              <w:tr2bl w:val="nil"/>
            </w:tcBorders>
            <w:shd w:val="clear" w:color="auto" w:fill="auto"/>
            <w:vAlign w:val="center"/>
          </w:tcPr>
          <w:p w14:paraId="4969C95E">
            <w:pPr>
              <w:pStyle w:val="17"/>
              <w:bidi w:val="0"/>
              <w:jc w:val="center"/>
              <w:rPr>
                <w:rFonts w:hint="default"/>
                <w:color w:val="auto"/>
                <w:highlight w:val="none"/>
              </w:rPr>
            </w:pPr>
            <w:r>
              <w:rPr>
                <w:rFonts w:hint="default"/>
                <w:color w:val="auto"/>
                <w:highlight w:val="none"/>
              </w:rPr>
              <w:t>评价标准</w:t>
            </w:r>
          </w:p>
        </w:tc>
        <w:tc>
          <w:tcPr>
            <w:tcW w:w="907" w:type="pct"/>
            <w:gridSpan w:val="2"/>
            <w:tcBorders>
              <w:tl2br w:val="nil"/>
              <w:tr2bl w:val="nil"/>
            </w:tcBorders>
            <w:shd w:val="clear" w:color="auto" w:fill="auto"/>
            <w:vAlign w:val="center"/>
          </w:tcPr>
          <w:p w14:paraId="1CD9C15A">
            <w:pPr>
              <w:pStyle w:val="17"/>
              <w:bidi w:val="0"/>
              <w:jc w:val="center"/>
              <w:rPr>
                <w:rFonts w:hint="default"/>
                <w:color w:val="auto"/>
                <w:highlight w:val="none"/>
              </w:rPr>
            </w:pPr>
            <w:r>
              <w:rPr>
                <w:rFonts w:hint="default"/>
                <w:color w:val="auto"/>
                <w:highlight w:val="none"/>
              </w:rPr>
              <w:t>国家标准</w:t>
            </w:r>
            <w:r>
              <w:rPr>
                <w:rFonts w:hint="default"/>
                <w:color w:val="auto"/>
                <w:highlight w:val="none"/>
                <w:lang w:eastAsia="zh-CN"/>
              </w:rPr>
              <w:t>☑</w:t>
            </w:r>
          </w:p>
        </w:tc>
        <w:tc>
          <w:tcPr>
            <w:tcW w:w="1517" w:type="pct"/>
            <w:gridSpan w:val="5"/>
            <w:tcBorders>
              <w:tl2br w:val="nil"/>
              <w:tr2bl w:val="nil"/>
            </w:tcBorders>
            <w:shd w:val="clear" w:color="auto" w:fill="auto"/>
            <w:vAlign w:val="center"/>
          </w:tcPr>
          <w:p w14:paraId="71F949E1">
            <w:pPr>
              <w:pStyle w:val="17"/>
              <w:bidi w:val="0"/>
              <w:jc w:val="center"/>
              <w:rPr>
                <w:rFonts w:hint="default"/>
                <w:color w:val="auto"/>
                <w:highlight w:val="none"/>
              </w:rPr>
            </w:pPr>
            <w:r>
              <w:rPr>
                <w:rFonts w:hint="default"/>
                <w:color w:val="auto"/>
                <w:highlight w:val="none"/>
              </w:rPr>
              <w:t>地方</w:t>
            </w:r>
            <w:r>
              <w:rPr>
                <w:rFonts w:hint="default"/>
                <w:color w:val="auto"/>
                <w:highlight w:val="none"/>
                <w:lang w:val="zh-CN" w:eastAsia="zh-CN"/>
              </w:rPr>
              <w:t>标准</w:t>
            </w:r>
            <w:r>
              <w:rPr>
                <w:rFonts w:hint="eastAsia"/>
                <w:color w:val="auto"/>
                <w:highlight w:val="none"/>
                <w:lang w:eastAsia="zh-CN"/>
              </w:rPr>
              <w:t>□</w:t>
            </w:r>
          </w:p>
        </w:tc>
        <w:tc>
          <w:tcPr>
            <w:tcW w:w="1227" w:type="pct"/>
            <w:gridSpan w:val="3"/>
            <w:tcBorders>
              <w:tl2br w:val="nil"/>
              <w:tr2bl w:val="nil"/>
            </w:tcBorders>
            <w:shd w:val="clear" w:color="auto" w:fill="auto"/>
            <w:vAlign w:val="center"/>
          </w:tcPr>
          <w:p w14:paraId="1644C704">
            <w:pPr>
              <w:pStyle w:val="17"/>
              <w:bidi w:val="0"/>
              <w:jc w:val="center"/>
              <w:rPr>
                <w:rFonts w:hint="default"/>
                <w:color w:val="auto"/>
                <w:highlight w:val="none"/>
              </w:rPr>
            </w:pPr>
            <w:r>
              <w:rPr>
                <w:rFonts w:hint="default"/>
                <w:color w:val="auto"/>
                <w:highlight w:val="none"/>
              </w:rPr>
              <w:t>国外</w:t>
            </w:r>
            <w:r>
              <w:rPr>
                <w:rFonts w:hint="default"/>
                <w:color w:val="auto"/>
                <w:highlight w:val="none"/>
                <w:lang w:val="zh-CN" w:eastAsia="zh-CN"/>
              </w:rPr>
              <w:t>标准</w:t>
            </w:r>
            <w:r>
              <w:rPr>
                <w:rFonts w:hint="eastAsia"/>
                <w:color w:val="auto"/>
                <w:highlight w:val="none"/>
                <w:lang w:eastAsia="zh-CN"/>
              </w:rPr>
              <w:t>□</w:t>
            </w:r>
          </w:p>
        </w:tc>
      </w:tr>
      <w:tr w14:paraId="597A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vMerge w:val="restart"/>
            <w:tcBorders>
              <w:tl2br w:val="nil"/>
              <w:tr2bl w:val="nil"/>
            </w:tcBorders>
            <w:shd w:val="clear" w:color="auto" w:fill="auto"/>
            <w:vAlign w:val="center"/>
          </w:tcPr>
          <w:p w14:paraId="1A46E1D4">
            <w:pPr>
              <w:pStyle w:val="17"/>
              <w:bidi w:val="0"/>
              <w:jc w:val="center"/>
              <w:rPr>
                <w:rFonts w:hint="default"/>
                <w:color w:val="auto"/>
                <w:highlight w:val="none"/>
              </w:rPr>
            </w:pPr>
            <w:r>
              <w:rPr>
                <w:rFonts w:hint="default"/>
                <w:color w:val="auto"/>
                <w:highlight w:val="none"/>
              </w:rPr>
              <w:t>现状评价</w:t>
            </w:r>
          </w:p>
        </w:tc>
        <w:tc>
          <w:tcPr>
            <w:tcW w:w="782" w:type="pct"/>
            <w:tcBorders>
              <w:tl2br w:val="nil"/>
              <w:tr2bl w:val="nil"/>
            </w:tcBorders>
            <w:shd w:val="clear" w:color="auto" w:fill="auto"/>
            <w:vAlign w:val="center"/>
          </w:tcPr>
          <w:p w14:paraId="61649DB7">
            <w:pPr>
              <w:pStyle w:val="17"/>
              <w:bidi w:val="0"/>
              <w:jc w:val="center"/>
              <w:rPr>
                <w:rFonts w:hint="default"/>
                <w:color w:val="auto"/>
                <w:highlight w:val="none"/>
              </w:rPr>
            </w:pPr>
            <w:r>
              <w:rPr>
                <w:rFonts w:hint="default"/>
                <w:color w:val="auto"/>
                <w:highlight w:val="none"/>
              </w:rPr>
              <w:t>环境功能区</w:t>
            </w:r>
          </w:p>
        </w:tc>
        <w:tc>
          <w:tcPr>
            <w:tcW w:w="603" w:type="pct"/>
            <w:tcBorders>
              <w:tl2br w:val="nil"/>
              <w:tr2bl w:val="nil"/>
            </w:tcBorders>
            <w:shd w:val="clear" w:color="auto" w:fill="auto"/>
            <w:vAlign w:val="center"/>
          </w:tcPr>
          <w:p w14:paraId="4A876FC9">
            <w:pPr>
              <w:pStyle w:val="17"/>
              <w:bidi w:val="0"/>
              <w:jc w:val="center"/>
              <w:rPr>
                <w:rFonts w:hint="default"/>
                <w:color w:val="auto"/>
                <w:highlight w:val="none"/>
              </w:rPr>
            </w:pPr>
            <w:r>
              <w:rPr>
                <w:rFonts w:hint="default"/>
                <w:color w:val="auto"/>
                <w:highlight w:val="none"/>
              </w:rPr>
              <w:t>0</w:t>
            </w:r>
            <w:r>
              <w:rPr>
                <w:rFonts w:hint="default"/>
                <w:color w:val="auto"/>
                <w:highlight w:val="none"/>
                <w:lang w:val="zh-CN" w:eastAsia="zh-CN"/>
              </w:rPr>
              <w:t>类区口</w:t>
            </w:r>
          </w:p>
        </w:tc>
        <w:tc>
          <w:tcPr>
            <w:tcW w:w="596" w:type="pct"/>
            <w:gridSpan w:val="3"/>
            <w:tcBorders>
              <w:tl2br w:val="nil"/>
              <w:tr2bl w:val="nil"/>
            </w:tcBorders>
            <w:shd w:val="clear" w:color="auto" w:fill="auto"/>
            <w:vAlign w:val="center"/>
          </w:tcPr>
          <w:p w14:paraId="644C1B52">
            <w:pPr>
              <w:pStyle w:val="17"/>
              <w:bidi w:val="0"/>
              <w:jc w:val="center"/>
              <w:rPr>
                <w:rFonts w:hint="default"/>
                <w:color w:val="auto"/>
                <w:highlight w:val="none"/>
              </w:rPr>
            </w:pPr>
            <w:r>
              <w:rPr>
                <w:rFonts w:hint="default"/>
                <w:color w:val="auto"/>
                <w:highlight w:val="none"/>
              </w:rPr>
              <w:t>1</w:t>
            </w:r>
            <w:r>
              <w:rPr>
                <w:rFonts w:hint="default"/>
                <w:color w:val="auto"/>
                <w:highlight w:val="none"/>
                <w:lang w:val="zh-CN" w:eastAsia="zh-CN"/>
              </w:rPr>
              <w:t>类区</w:t>
            </w:r>
            <w:r>
              <w:rPr>
                <w:rFonts w:hint="eastAsia"/>
                <w:color w:val="auto"/>
                <w:highlight w:val="none"/>
                <w:lang w:eastAsia="zh-CN"/>
              </w:rPr>
              <w:t>□</w:t>
            </w:r>
          </w:p>
        </w:tc>
        <w:tc>
          <w:tcPr>
            <w:tcW w:w="601" w:type="pct"/>
            <w:tcBorders>
              <w:tl2br w:val="nil"/>
              <w:tr2bl w:val="nil"/>
            </w:tcBorders>
            <w:shd w:val="clear" w:color="auto" w:fill="auto"/>
            <w:vAlign w:val="center"/>
          </w:tcPr>
          <w:p w14:paraId="0BA72EBA">
            <w:pPr>
              <w:pStyle w:val="17"/>
              <w:bidi w:val="0"/>
              <w:jc w:val="center"/>
              <w:rPr>
                <w:rFonts w:hint="default"/>
                <w:color w:val="auto"/>
                <w:highlight w:val="none"/>
              </w:rPr>
            </w:pPr>
            <w:r>
              <w:rPr>
                <w:rFonts w:hint="default"/>
                <w:color w:val="auto"/>
                <w:highlight w:val="none"/>
              </w:rPr>
              <w:t>2</w:t>
            </w:r>
            <w:r>
              <w:rPr>
                <w:rFonts w:hint="default"/>
                <w:color w:val="auto"/>
                <w:highlight w:val="none"/>
                <w:lang w:val="zh-CN" w:eastAsia="zh-CN"/>
              </w:rPr>
              <w:t>类区</w:t>
            </w:r>
            <w:r>
              <w:rPr>
                <w:rFonts w:hint="eastAsia"/>
                <w:color w:val="auto"/>
                <w:highlight w:val="none"/>
                <w:lang w:eastAsia="zh-CN"/>
              </w:rPr>
              <w:t>☑</w:t>
            </w:r>
          </w:p>
        </w:tc>
        <w:tc>
          <w:tcPr>
            <w:tcW w:w="622" w:type="pct"/>
            <w:gridSpan w:val="2"/>
            <w:tcBorders>
              <w:tl2br w:val="nil"/>
              <w:tr2bl w:val="nil"/>
            </w:tcBorders>
            <w:shd w:val="clear" w:color="auto" w:fill="auto"/>
            <w:vAlign w:val="center"/>
          </w:tcPr>
          <w:p w14:paraId="4FC4C548">
            <w:pPr>
              <w:pStyle w:val="17"/>
              <w:bidi w:val="0"/>
              <w:jc w:val="center"/>
              <w:rPr>
                <w:rFonts w:hint="default"/>
                <w:color w:val="auto"/>
                <w:highlight w:val="none"/>
              </w:rPr>
            </w:pPr>
            <w:r>
              <w:rPr>
                <w:rFonts w:hint="default"/>
                <w:color w:val="auto"/>
                <w:highlight w:val="none"/>
              </w:rPr>
              <w:t>3类区</w:t>
            </w:r>
            <w:r>
              <w:rPr>
                <w:rFonts w:hint="eastAsia"/>
                <w:color w:val="auto"/>
                <w:highlight w:val="none"/>
                <w:lang w:eastAsia="zh-CN"/>
              </w:rPr>
              <w:t>□</w:t>
            </w:r>
          </w:p>
        </w:tc>
        <w:tc>
          <w:tcPr>
            <w:tcW w:w="576" w:type="pct"/>
            <w:gridSpan w:val="2"/>
            <w:tcBorders>
              <w:tl2br w:val="nil"/>
              <w:tr2bl w:val="nil"/>
            </w:tcBorders>
            <w:shd w:val="clear" w:color="auto" w:fill="auto"/>
            <w:vAlign w:val="center"/>
          </w:tcPr>
          <w:p w14:paraId="0E80D092">
            <w:pPr>
              <w:pStyle w:val="17"/>
              <w:bidi w:val="0"/>
              <w:jc w:val="center"/>
              <w:rPr>
                <w:rFonts w:hint="default"/>
                <w:color w:val="auto"/>
                <w:highlight w:val="none"/>
              </w:rPr>
            </w:pPr>
            <w:r>
              <w:rPr>
                <w:rFonts w:hint="default"/>
                <w:color w:val="auto"/>
                <w:highlight w:val="none"/>
                <w:lang w:val="en-US" w:eastAsia="en-US"/>
              </w:rPr>
              <w:t>4a</w:t>
            </w:r>
            <w:r>
              <w:rPr>
                <w:rFonts w:hint="default"/>
                <w:color w:val="auto"/>
                <w:highlight w:val="none"/>
                <w:lang w:val="zh-CN" w:eastAsia="zh-CN"/>
              </w:rPr>
              <w:t>类区</w:t>
            </w:r>
            <w:r>
              <w:rPr>
                <w:rFonts w:hint="eastAsia"/>
                <w:color w:val="auto"/>
                <w:highlight w:val="none"/>
                <w:lang w:eastAsia="zh-CN"/>
              </w:rPr>
              <w:t>□</w:t>
            </w:r>
          </w:p>
        </w:tc>
        <w:tc>
          <w:tcPr>
            <w:tcW w:w="651" w:type="pct"/>
            <w:tcBorders>
              <w:tl2br w:val="nil"/>
              <w:tr2bl w:val="nil"/>
            </w:tcBorders>
            <w:shd w:val="clear" w:color="auto" w:fill="auto"/>
            <w:vAlign w:val="center"/>
          </w:tcPr>
          <w:p w14:paraId="7C0FA796">
            <w:pPr>
              <w:pStyle w:val="17"/>
              <w:bidi w:val="0"/>
              <w:jc w:val="center"/>
              <w:rPr>
                <w:rFonts w:hint="default"/>
                <w:color w:val="auto"/>
                <w:highlight w:val="none"/>
              </w:rPr>
            </w:pPr>
            <w:r>
              <w:rPr>
                <w:rFonts w:hint="default"/>
                <w:color w:val="auto"/>
                <w:highlight w:val="none"/>
                <w:lang w:val="en-US" w:eastAsia="en-US"/>
              </w:rPr>
              <w:t>4b</w:t>
            </w:r>
            <w:r>
              <w:rPr>
                <w:rFonts w:hint="default"/>
                <w:color w:val="auto"/>
                <w:highlight w:val="none"/>
                <w:lang w:val="zh-CN" w:eastAsia="zh-CN"/>
              </w:rPr>
              <w:t>类区</w:t>
            </w:r>
            <w:r>
              <w:rPr>
                <w:rFonts w:hint="eastAsia"/>
                <w:color w:val="auto"/>
                <w:highlight w:val="none"/>
                <w:lang w:eastAsia="zh-CN"/>
              </w:rPr>
              <w:t>□</w:t>
            </w:r>
          </w:p>
        </w:tc>
      </w:tr>
      <w:tr w14:paraId="325B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29BC1AD8">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4DA51D4C">
            <w:pPr>
              <w:pStyle w:val="17"/>
              <w:bidi w:val="0"/>
              <w:jc w:val="center"/>
              <w:rPr>
                <w:rFonts w:hint="default"/>
                <w:color w:val="auto"/>
                <w:highlight w:val="none"/>
              </w:rPr>
            </w:pPr>
            <w:r>
              <w:rPr>
                <w:rFonts w:hint="default"/>
                <w:color w:val="auto"/>
                <w:highlight w:val="none"/>
              </w:rPr>
              <w:t>评价年度</w:t>
            </w:r>
          </w:p>
        </w:tc>
        <w:tc>
          <w:tcPr>
            <w:tcW w:w="907" w:type="pct"/>
            <w:gridSpan w:val="2"/>
            <w:tcBorders>
              <w:tl2br w:val="nil"/>
              <w:tr2bl w:val="nil"/>
            </w:tcBorders>
            <w:shd w:val="clear" w:color="auto" w:fill="auto"/>
            <w:vAlign w:val="center"/>
          </w:tcPr>
          <w:p w14:paraId="030C27EC">
            <w:pPr>
              <w:pStyle w:val="17"/>
              <w:bidi w:val="0"/>
              <w:jc w:val="center"/>
              <w:rPr>
                <w:rFonts w:hint="default"/>
                <w:color w:val="auto"/>
                <w:highlight w:val="none"/>
              </w:rPr>
            </w:pPr>
            <w:r>
              <w:rPr>
                <w:rFonts w:hint="default"/>
                <w:color w:val="auto"/>
                <w:highlight w:val="none"/>
              </w:rPr>
              <w:t>初期</w:t>
            </w:r>
            <w:r>
              <w:rPr>
                <w:rFonts w:hint="eastAsia" w:eastAsia="华文中宋" w:cs="Times New Roman"/>
                <w:color w:val="auto"/>
                <w:szCs w:val="21"/>
                <w:highlight w:val="none"/>
                <w:lang w:eastAsia="zh-CN"/>
              </w:rPr>
              <w:t>☑</w:t>
            </w:r>
          </w:p>
        </w:tc>
        <w:tc>
          <w:tcPr>
            <w:tcW w:w="894" w:type="pct"/>
            <w:gridSpan w:val="3"/>
            <w:tcBorders>
              <w:tl2br w:val="nil"/>
              <w:tr2bl w:val="nil"/>
            </w:tcBorders>
            <w:shd w:val="clear" w:color="auto" w:fill="auto"/>
            <w:vAlign w:val="center"/>
          </w:tcPr>
          <w:p w14:paraId="6309A340">
            <w:pPr>
              <w:pStyle w:val="17"/>
              <w:bidi w:val="0"/>
              <w:jc w:val="center"/>
              <w:rPr>
                <w:rFonts w:hint="default"/>
                <w:color w:val="auto"/>
                <w:highlight w:val="none"/>
              </w:rPr>
            </w:pPr>
            <w:r>
              <w:rPr>
                <w:rFonts w:hint="default"/>
                <w:color w:val="auto"/>
                <w:highlight w:val="none"/>
                <w:lang w:val="zh-CN" w:eastAsia="zh-CN"/>
              </w:rPr>
              <w:t>近期</w:t>
            </w:r>
            <w:r>
              <w:rPr>
                <w:rFonts w:hint="eastAsia"/>
                <w:color w:val="auto"/>
                <w:highlight w:val="none"/>
                <w:lang w:eastAsia="zh-CN"/>
              </w:rPr>
              <w:t>□</w:t>
            </w:r>
          </w:p>
        </w:tc>
        <w:tc>
          <w:tcPr>
            <w:tcW w:w="925" w:type="pct"/>
            <w:gridSpan w:val="3"/>
            <w:tcBorders>
              <w:tl2br w:val="nil"/>
              <w:tr2bl w:val="nil"/>
            </w:tcBorders>
            <w:shd w:val="clear" w:color="auto" w:fill="auto"/>
            <w:vAlign w:val="center"/>
          </w:tcPr>
          <w:p w14:paraId="7C62E583">
            <w:pPr>
              <w:pStyle w:val="17"/>
              <w:bidi w:val="0"/>
              <w:jc w:val="center"/>
              <w:rPr>
                <w:rFonts w:hint="default"/>
                <w:color w:val="auto"/>
                <w:highlight w:val="none"/>
              </w:rPr>
            </w:pPr>
            <w:r>
              <w:rPr>
                <w:rFonts w:hint="default"/>
                <w:color w:val="auto"/>
                <w:highlight w:val="none"/>
                <w:lang w:val="zh-CN" w:eastAsia="zh-CN"/>
              </w:rPr>
              <w:t>中期</w:t>
            </w:r>
            <w:r>
              <w:rPr>
                <w:rFonts w:hint="eastAsia"/>
                <w:color w:val="auto"/>
                <w:highlight w:val="none"/>
                <w:lang w:eastAsia="zh-CN"/>
              </w:rPr>
              <w:t>□</w:t>
            </w:r>
          </w:p>
        </w:tc>
        <w:tc>
          <w:tcPr>
            <w:tcW w:w="925" w:type="pct"/>
            <w:gridSpan w:val="2"/>
            <w:tcBorders>
              <w:tl2br w:val="nil"/>
              <w:tr2bl w:val="nil"/>
            </w:tcBorders>
            <w:shd w:val="clear" w:color="auto" w:fill="auto"/>
            <w:vAlign w:val="center"/>
          </w:tcPr>
          <w:p w14:paraId="657C1F9F">
            <w:pPr>
              <w:pStyle w:val="17"/>
              <w:bidi w:val="0"/>
              <w:jc w:val="center"/>
              <w:rPr>
                <w:rFonts w:hint="default"/>
                <w:color w:val="auto"/>
                <w:highlight w:val="none"/>
                <w:lang w:val="zh-CN" w:eastAsia="zh-CN"/>
              </w:rPr>
            </w:pPr>
            <w:r>
              <w:rPr>
                <w:rFonts w:hint="default"/>
                <w:color w:val="auto"/>
                <w:highlight w:val="none"/>
                <w:lang w:val="zh-CN" w:eastAsia="zh-CN"/>
              </w:rPr>
              <w:t>远期</w:t>
            </w:r>
            <w:r>
              <w:rPr>
                <w:rFonts w:hint="eastAsia"/>
                <w:color w:val="auto"/>
                <w:highlight w:val="none"/>
                <w:lang w:eastAsia="zh-CN"/>
              </w:rPr>
              <w:t>□</w:t>
            </w:r>
          </w:p>
        </w:tc>
      </w:tr>
      <w:tr w14:paraId="01B9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48C4E81B">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34A72439">
            <w:pPr>
              <w:pStyle w:val="17"/>
              <w:bidi w:val="0"/>
              <w:jc w:val="center"/>
              <w:rPr>
                <w:rFonts w:hint="default"/>
                <w:color w:val="auto"/>
                <w:highlight w:val="none"/>
              </w:rPr>
            </w:pPr>
            <w:r>
              <w:rPr>
                <w:rFonts w:hint="default"/>
                <w:color w:val="auto"/>
                <w:highlight w:val="none"/>
              </w:rPr>
              <w:t>现状调查方法</w:t>
            </w:r>
          </w:p>
        </w:tc>
        <w:tc>
          <w:tcPr>
            <w:tcW w:w="3652" w:type="pct"/>
            <w:gridSpan w:val="10"/>
            <w:tcBorders>
              <w:tl2br w:val="nil"/>
              <w:tr2bl w:val="nil"/>
            </w:tcBorders>
            <w:shd w:val="clear" w:color="auto" w:fill="auto"/>
            <w:vAlign w:val="center"/>
          </w:tcPr>
          <w:p w14:paraId="4AAD069C">
            <w:pPr>
              <w:pStyle w:val="17"/>
              <w:bidi w:val="0"/>
              <w:jc w:val="center"/>
              <w:rPr>
                <w:rFonts w:hint="default"/>
                <w:color w:val="auto"/>
                <w:highlight w:val="none"/>
              </w:rPr>
            </w:pPr>
            <w:r>
              <w:rPr>
                <w:rFonts w:hint="default"/>
                <w:color w:val="auto"/>
                <w:highlight w:val="none"/>
              </w:rPr>
              <w:t>现场实</w:t>
            </w:r>
            <w:r>
              <w:rPr>
                <w:rFonts w:hint="default"/>
                <w:color w:val="auto"/>
                <w:highlight w:val="none"/>
                <w:lang w:val="zh-CN" w:eastAsia="zh-CN"/>
              </w:rPr>
              <w:t>测法</w:t>
            </w:r>
            <w:r>
              <w:rPr>
                <w:rFonts w:hint="default"/>
                <w:color w:val="auto"/>
                <w:highlight w:val="none"/>
                <w:lang w:eastAsia="zh-CN"/>
              </w:rPr>
              <w:t>☑</w:t>
            </w:r>
            <w:r>
              <w:rPr>
                <w:rFonts w:hint="default"/>
                <w:color w:val="auto"/>
                <w:highlight w:val="none"/>
                <w:lang w:val="zh-CN" w:eastAsia="zh-CN"/>
              </w:rPr>
              <w:tab/>
            </w:r>
            <w:r>
              <w:rPr>
                <w:rFonts w:hint="default"/>
                <w:color w:val="auto"/>
                <w:highlight w:val="none"/>
              </w:rPr>
              <w:t>现场实测加模型计算法</w:t>
            </w:r>
            <w:r>
              <w:rPr>
                <w:rFonts w:hint="eastAsia"/>
                <w:color w:val="auto"/>
                <w:highlight w:val="none"/>
                <w:lang w:eastAsia="zh-CN"/>
              </w:rPr>
              <w:t>□</w:t>
            </w:r>
            <w:r>
              <w:rPr>
                <w:rFonts w:hint="default"/>
                <w:color w:val="auto"/>
                <w:highlight w:val="none"/>
              </w:rPr>
              <w:tab/>
            </w:r>
            <w:r>
              <w:rPr>
                <w:rFonts w:hint="default"/>
                <w:color w:val="auto"/>
                <w:highlight w:val="none"/>
              </w:rPr>
              <w:t>收集</w:t>
            </w:r>
            <w:r>
              <w:rPr>
                <w:rFonts w:hint="default"/>
                <w:color w:val="auto"/>
                <w:highlight w:val="none"/>
                <w:lang w:val="zh-CN" w:eastAsia="zh-CN"/>
              </w:rPr>
              <w:t>资料</w:t>
            </w:r>
            <w:r>
              <w:rPr>
                <w:rFonts w:hint="eastAsia"/>
                <w:color w:val="auto"/>
                <w:highlight w:val="none"/>
                <w:lang w:eastAsia="zh-CN"/>
              </w:rPr>
              <w:t>□</w:t>
            </w:r>
          </w:p>
        </w:tc>
      </w:tr>
      <w:tr w14:paraId="649A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3029E108">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3AF2E028">
            <w:pPr>
              <w:pStyle w:val="17"/>
              <w:bidi w:val="0"/>
              <w:jc w:val="center"/>
              <w:rPr>
                <w:rFonts w:hint="default"/>
                <w:color w:val="auto"/>
                <w:highlight w:val="none"/>
              </w:rPr>
            </w:pPr>
            <w:r>
              <w:rPr>
                <w:rFonts w:hint="default"/>
                <w:color w:val="auto"/>
                <w:highlight w:val="none"/>
              </w:rPr>
              <w:t>现状评价</w:t>
            </w:r>
          </w:p>
        </w:tc>
        <w:tc>
          <w:tcPr>
            <w:tcW w:w="1081" w:type="pct"/>
            <w:gridSpan w:val="3"/>
            <w:tcBorders>
              <w:tl2br w:val="nil"/>
              <w:tr2bl w:val="nil"/>
            </w:tcBorders>
            <w:shd w:val="clear" w:color="auto" w:fill="auto"/>
            <w:vAlign w:val="center"/>
          </w:tcPr>
          <w:p w14:paraId="06B6B1FC">
            <w:pPr>
              <w:pStyle w:val="17"/>
              <w:bidi w:val="0"/>
              <w:jc w:val="center"/>
              <w:rPr>
                <w:rFonts w:hint="default"/>
                <w:color w:val="auto"/>
                <w:highlight w:val="none"/>
              </w:rPr>
            </w:pPr>
            <w:r>
              <w:rPr>
                <w:rFonts w:hint="default"/>
                <w:color w:val="auto"/>
                <w:highlight w:val="none"/>
              </w:rPr>
              <w:t>达标百分比</w:t>
            </w:r>
          </w:p>
        </w:tc>
        <w:tc>
          <w:tcPr>
            <w:tcW w:w="2570" w:type="pct"/>
            <w:gridSpan w:val="7"/>
            <w:tcBorders>
              <w:tl2br w:val="nil"/>
              <w:tr2bl w:val="nil"/>
            </w:tcBorders>
            <w:shd w:val="clear" w:color="auto" w:fill="auto"/>
            <w:vAlign w:val="center"/>
          </w:tcPr>
          <w:p w14:paraId="0D0B9529">
            <w:pPr>
              <w:pStyle w:val="17"/>
              <w:bidi w:val="0"/>
              <w:jc w:val="center"/>
              <w:rPr>
                <w:rFonts w:hint="default"/>
                <w:color w:val="auto"/>
                <w:highlight w:val="none"/>
              </w:rPr>
            </w:pPr>
            <w:r>
              <w:rPr>
                <w:rFonts w:hint="default"/>
                <w:color w:val="auto"/>
                <w:highlight w:val="none"/>
                <w:lang w:val="zh-CN" w:eastAsia="zh-CN"/>
              </w:rPr>
              <w:t>100%</w:t>
            </w:r>
          </w:p>
        </w:tc>
      </w:tr>
      <w:tr w14:paraId="276A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9" w:hRule="atLeast"/>
          <w:jc w:val="center"/>
        </w:trPr>
        <w:tc>
          <w:tcPr>
            <w:tcW w:w="564" w:type="pct"/>
            <w:tcBorders>
              <w:tl2br w:val="nil"/>
              <w:tr2bl w:val="nil"/>
            </w:tcBorders>
            <w:shd w:val="clear" w:color="auto" w:fill="auto"/>
            <w:vAlign w:val="center"/>
          </w:tcPr>
          <w:p w14:paraId="7E0D79D3">
            <w:pPr>
              <w:pStyle w:val="17"/>
              <w:bidi w:val="0"/>
              <w:jc w:val="center"/>
              <w:rPr>
                <w:rFonts w:hint="default"/>
                <w:color w:val="auto"/>
                <w:highlight w:val="none"/>
              </w:rPr>
            </w:pPr>
            <w:r>
              <w:rPr>
                <w:rFonts w:hint="default"/>
                <w:color w:val="auto"/>
                <w:highlight w:val="none"/>
              </w:rPr>
              <w:t>噪声源调查</w:t>
            </w:r>
          </w:p>
        </w:tc>
        <w:tc>
          <w:tcPr>
            <w:tcW w:w="782" w:type="pct"/>
            <w:tcBorders>
              <w:tl2br w:val="nil"/>
              <w:tr2bl w:val="nil"/>
            </w:tcBorders>
            <w:shd w:val="clear" w:color="auto" w:fill="auto"/>
            <w:vAlign w:val="center"/>
          </w:tcPr>
          <w:p w14:paraId="333AB7D6">
            <w:pPr>
              <w:pStyle w:val="17"/>
              <w:bidi w:val="0"/>
              <w:jc w:val="center"/>
              <w:rPr>
                <w:rFonts w:hint="default"/>
                <w:color w:val="auto"/>
                <w:highlight w:val="none"/>
              </w:rPr>
            </w:pPr>
            <w:r>
              <w:rPr>
                <w:rFonts w:hint="default"/>
                <w:color w:val="auto"/>
                <w:highlight w:val="none"/>
              </w:rPr>
              <w:t>噪声源调查方法</w:t>
            </w:r>
          </w:p>
        </w:tc>
        <w:tc>
          <w:tcPr>
            <w:tcW w:w="907" w:type="pct"/>
            <w:gridSpan w:val="2"/>
            <w:tcBorders>
              <w:tl2br w:val="nil"/>
              <w:tr2bl w:val="nil"/>
            </w:tcBorders>
            <w:shd w:val="clear" w:color="auto" w:fill="auto"/>
            <w:vAlign w:val="center"/>
          </w:tcPr>
          <w:p w14:paraId="1738AFAA">
            <w:pPr>
              <w:pStyle w:val="17"/>
              <w:bidi w:val="0"/>
              <w:jc w:val="center"/>
              <w:rPr>
                <w:rFonts w:hint="default"/>
                <w:color w:val="auto"/>
                <w:highlight w:val="none"/>
              </w:rPr>
            </w:pPr>
            <w:r>
              <w:rPr>
                <w:rFonts w:hint="default"/>
                <w:color w:val="auto"/>
                <w:highlight w:val="none"/>
              </w:rPr>
              <w:t>现场实测</w:t>
            </w:r>
            <w:r>
              <w:rPr>
                <w:rFonts w:hint="default"/>
                <w:color w:val="auto"/>
                <w:highlight w:val="none"/>
                <w:lang w:val="zh-CN" w:eastAsia="zh-CN"/>
              </w:rPr>
              <w:t>口</w:t>
            </w:r>
          </w:p>
        </w:tc>
        <w:tc>
          <w:tcPr>
            <w:tcW w:w="1372" w:type="pct"/>
            <w:gridSpan w:val="4"/>
            <w:tcBorders>
              <w:tl2br w:val="nil"/>
              <w:tr2bl w:val="nil"/>
            </w:tcBorders>
            <w:shd w:val="clear" w:color="auto" w:fill="auto"/>
            <w:vAlign w:val="center"/>
          </w:tcPr>
          <w:p w14:paraId="0DFFBD1B">
            <w:pPr>
              <w:pStyle w:val="17"/>
              <w:bidi w:val="0"/>
              <w:jc w:val="center"/>
              <w:rPr>
                <w:rFonts w:hint="default"/>
                <w:color w:val="auto"/>
                <w:highlight w:val="none"/>
              </w:rPr>
            </w:pPr>
            <w:r>
              <w:rPr>
                <w:rFonts w:hint="default"/>
                <w:color w:val="auto"/>
                <w:highlight w:val="none"/>
              </w:rPr>
              <w:t>已有</w:t>
            </w:r>
            <w:r>
              <w:rPr>
                <w:rFonts w:hint="default"/>
                <w:color w:val="auto"/>
                <w:highlight w:val="none"/>
                <w:lang w:val="zh-CN" w:eastAsia="zh-CN"/>
              </w:rPr>
              <w:t>资料</w:t>
            </w:r>
            <w:r>
              <w:rPr>
                <w:rFonts w:hint="default"/>
                <w:color w:val="auto"/>
                <w:highlight w:val="none"/>
                <w:lang w:eastAsia="zh-CN"/>
              </w:rPr>
              <w:t>☑</w:t>
            </w:r>
          </w:p>
        </w:tc>
        <w:tc>
          <w:tcPr>
            <w:tcW w:w="1372" w:type="pct"/>
            <w:gridSpan w:val="4"/>
            <w:tcBorders>
              <w:tl2br w:val="nil"/>
              <w:tr2bl w:val="nil"/>
            </w:tcBorders>
            <w:shd w:val="clear" w:color="auto" w:fill="auto"/>
            <w:vAlign w:val="center"/>
          </w:tcPr>
          <w:p w14:paraId="4A05D051">
            <w:pPr>
              <w:pStyle w:val="17"/>
              <w:bidi w:val="0"/>
              <w:jc w:val="center"/>
              <w:rPr>
                <w:rFonts w:hint="default"/>
                <w:color w:val="auto"/>
                <w:highlight w:val="none"/>
              </w:rPr>
            </w:pPr>
            <w:r>
              <w:rPr>
                <w:rFonts w:hint="default"/>
                <w:color w:val="auto"/>
                <w:highlight w:val="none"/>
              </w:rPr>
              <w:t>研究</w:t>
            </w:r>
            <w:r>
              <w:rPr>
                <w:rFonts w:hint="default"/>
                <w:color w:val="auto"/>
                <w:highlight w:val="none"/>
                <w:lang w:val="zh-CN" w:eastAsia="zh-CN"/>
              </w:rPr>
              <w:t>成果口</w:t>
            </w:r>
          </w:p>
        </w:tc>
      </w:tr>
      <w:tr w14:paraId="6EFB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vMerge w:val="restart"/>
            <w:tcBorders>
              <w:tl2br w:val="nil"/>
              <w:tr2bl w:val="nil"/>
            </w:tcBorders>
            <w:shd w:val="clear" w:color="auto" w:fill="auto"/>
            <w:vAlign w:val="center"/>
          </w:tcPr>
          <w:p w14:paraId="273F9366">
            <w:pPr>
              <w:pStyle w:val="17"/>
              <w:bidi w:val="0"/>
              <w:jc w:val="center"/>
              <w:rPr>
                <w:rFonts w:hint="default"/>
                <w:color w:val="auto"/>
                <w:highlight w:val="none"/>
              </w:rPr>
            </w:pPr>
            <w:r>
              <w:rPr>
                <w:rFonts w:hint="default"/>
                <w:color w:val="auto"/>
                <w:highlight w:val="none"/>
              </w:rPr>
              <w:t>声环境影响预测与评价</w:t>
            </w:r>
          </w:p>
        </w:tc>
        <w:tc>
          <w:tcPr>
            <w:tcW w:w="782" w:type="pct"/>
            <w:tcBorders>
              <w:tl2br w:val="nil"/>
              <w:tr2bl w:val="nil"/>
            </w:tcBorders>
            <w:shd w:val="clear" w:color="auto" w:fill="auto"/>
            <w:vAlign w:val="center"/>
          </w:tcPr>
          <w:p w14:paraId="04E2DB03">
            <w:pPr>
              <w:pStyle w:val="17"/>
              <w:bidi w:val="0"/>
              <w:jc w:val="center"/>
              <w:rPr>
                <w:rFonts w:hint="default"/>
                <w:color w:val="auto"/>
                <w:highlight w:val="none"/>
              </w:rPr>
            </w:pPr>
            <w:r>
              <w:rPr>
                <w:rFonts w:hint="default"/>
                <w:color w:val="auto"/>
                <w:highlight w:val="none"/>
              </w:rPr>
              <w:t>预测模型</w:t>
            </w:r>
          </w:p>
        </w:tc>
        <w:tc>
          <w:tcPr>
            <w:tcW w:w="907" w:type="pct"/>
            <w:gridSpan w:val="2"/>
            <w:tcBorders>
              <w:tl2br w:val="nil"/>
              <w:tr2bl w:val="nil"/>
            </w:tcBorders>
            <w:shd w:val="clear" w:color="auto" w:fill="auto"/>
            <w:vAlign w:val="center"/>
          </w:tcPr>
          <w:p w14:paraId="65F5CDE5">
            <w:pPr>
              <w:pStyle w:val="17"/>
              <w:bidi w:val="0"/>
              <w:jc w:val="center"/>
              <w:rPr>
                <w:rFonts w:hint="default"/>
                <w:color w:val="auto"/>
                <w:highlight w:val="none"/>
              </w:rPr>
            </w:pPr>
            <w:r>
              <w:rPr>
                <w:rFonts w:hint="default"/>
                <w:color w:val="auto"/>
                <w:highlight w:val="none"/>
              </w:rPr>
              <w:t>导则推荐</w:t>
            </w:r>
            <w:r>
              <w:rPr>
                <w:rFonts w:hint="default"/>
                <w:color w:val="auto"/>
                <w:highlight w:val="none"/>
                <w:lang w:val="zh-CN" w:eastAsia="zh-CN"/>
              </w:rPr>
              <w:t>模型</w:t>
            </w:r>
            <w:r>
              <w:rPr>
                <w:rFonts w:hint="default"/>
                <w:color w:val="auto"/>
                <w:highlight w:val="none"/>
                <w:lang w:eastAsia="zh-CN"/>
              </w:rPr>
              <w:t>☑</w:t>
            </w:r>
          </w:p>
        </w:tc>
        <w:tc>
          <w:tcPr>
            <w:tcW w:w="2745" w:type="pct"/>
            <w:gridSpan w:val="8"/>
            <w:tcBorders>
              <w:tl2br w:val="nil"/>
              <w:tr2bl w:val="nil"/>
            </w:tcBorders>
            <w:shd w:val="clear" w:color="auto" w:fill="auto"/>
            <w:vAlign w:val="center"/>
          </w:tcPr>
          <w:p w14:paraId="1A8B2989">
            <w:pPr>
              <w:pStyle w:val="17"/>
              <w:bidi w:val="0"/>
              <w:jc w:val="center"/>
              <w:rPr>
                <w:rFonts w:hint="default"/>
                <w:color w:val="auto"/>
                <w:highlight w:val="none"/>
              </w:rPr>
            </w:pPr>
            <w:r>
              <w:rPr>
                <w:rFonts w:hint="default"/>
                <w:color w:val="auto"/>
                <w:highlight w:val="none"/>
              </w:rPr>
              <w:t>其他</w:t>
            </w:r>
            <w:r>
              <w:rPr>
                <w:rFonts w:hint="eastAsia"/>
                <w:color w:val="auto"/>
                <w:highlight w:val="none"/>
                <w:lang w:eastAsia="zh-CN"/>
              </w:rPr>
              <w:t>□</w:t>
            </w:r>
          </w:p>
        </w:tc>
      </w:tr>
      <w:tr w14:paraId="21FF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6650A0BA">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671C2C07">
            <w:pPr>
              <w:pStyle w:val="17"/>
              <w:bidi w:val="0"/>
              <w:jc w:val="center"/>
              <w:rPr>
                <w:rFonts w:hint="default"/>
                <w:color w:val="auto"/>
                <w:highlight w:val="none"/>
              </w:rPr>
            </w:pPr>
            <w:r>
              <w:rPr>
                <w:rFonts w:hint="default"/>
                <w:color w:val="auto"/>
                <w:highlight w:val="none"/>
              </w:rPr>
              <w:t>预测范围</w:t>
            </w:r>
          </w:p>
        </w:tc>
        <w:tc>
          <w:tcPr>
            <w:tcW w:w="3652" w:type="pct"/>
            <w:gridSpan w:val="10"/>
            <w:tcBorders>
              <w:tl2br w:val="nil"/>
              <w:tr2bl w:val="nil"/>
            </w:tcBorders>
            <w:shd w:val="clear" w:color="auto" w:fill="auto"/>
            <w:vAlign w:val="center"/>
          </w:tcPr>
          <w:p w14:paraId="2C75EA27">
            <w:pPr>
              <w:pStyle w:val="17"/>
              <w:bidi w:val="0"/>
              <w:jc w:val="center"/>
              <w:rPr>
                <w:rFonts w:hint="default"/>
                <w:color w:val="auto"/>
                <w:highlight w:val="none"/>
              </w:rPr>
            </w:pPr>
            <w:r>
              <w:rPr>
                <w:rFonts w:hint="default"/>
                <w:color w:val="auto"/>
                <w:highlight w:val="none"/>
              </w:rPr>
              <w:t>200</w:t>
            </w:r>
            <w:r>
              <w:rPr>
                <w:rFonts w:hint="default"/>
                <w:color w:val="auto"/>
                <w:highlight w:val="none"/>
                <w:lang w:val="en-US" w:eastAsia="en-US"/>
              </w:rPr>
              <w:t>m</w:t>
            </w:r>
            <w:r>
              <w:rPr>
                <w:rFonts w:hint="default"/>
                <w:color w:val="auto"/>
                <w:highlight w:val="none"/>
                <w:lang w:eastAsia="zh-CN"/>
              </w:rPr>
              <w:t>☑</w:t>
            </w:r>
            <w:r>
              <w:rPr>
                <w:rFonts w:hint="default"/>
                <w:color w:val="auto"/>
                <w:highlight w:val="none"/>
                <w:lang w:val="en-US" w:eastAsia="en-US"/>
              </w:rPr>
              <w:tab/>
            </w:r>
            <w:r>
              <w:rPr>
                <w:rFonts w:hint="default"/>
                <w:color w:val="auto"/>
                <w:highlight w:val="none"/>
              </w:rPr>
              <w:t>大于</w:t>
            </w:r>
            <w:r>
              <w:rPr>
                <w:rFonts w:hint="default"/>
                <w:color w:val="auto"/>
                <w:highlight w:val="none"/>
                <w:lang w:val="en-US" w:eastAsia="en-US"/>
              </w:rPr>
              <w:t>200m</w:t>
            </w:r>
            <w:r>
              <w:rPr>
                <w:rFonts w:hint="default"/>
                <w:color w:val="auto"/>
                <w:highlight w:val="none"/>
                <w:lang w:val="zh-CN" w:eastAsia="zh-CN"/>
              </w:rPr>
              <w:t>口</w:t>
            </w:r>
            <w:r>
              <w:rPr>
                <w:rFonts w:hint="default"/>
                <w:color w:val="auto"/>
                <w:highlight w:val="none"/>
                <w:lang w:val="en-US" w:eastAsia="en-US"/>
              </w:rPr>
              <w:tab/>
            </w:r>
            <w:r>
              <w:rPr>
                <w:rFonts w:hint="default"/>
                <w:color w:val="auto"/>
                <w:highlight w:val="none"/>
              </w:rPr>
              <w:t>小于200</w:t>
            </w:r>
            <w:r>
              <w:rPr>
                <w:rFonts w:hint="default"/>
                <w:color w:val="auto"/>
                <w:highlight w:val="none"/>
                <w:lang w:val="en-US" w:eastAsia="en-US"/>
              </w:rPr>
              <w:t>m</w:t>
            </w:r>
            <w:r>
              <w:rPr>
                <w:rFonts w:hint="default"/>
                <w:color w:val="auto"/>
                <w:highlight w:val="none"/>
                <w:lang w:val="zh-CN" w:eastAsia="zh-CN"/>
              </w:rPr>
              <w:t>口</w:t>
            </w:r>
          </w:p>
        </w:tc>
      </w:tr>
      <w:tr w14:paraId="0458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7B307109">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40BBED74">
            <w:pPr>
              <w:pStyle w:val="17"/>
              <w:bidi w:val="0"/>
              <w:jc w:val="center"/>
              <w:rPr>
                <w:rFonts w:hint="default"/>
                <w:color w:val="auto"/>
                <w:highlight w:val="none"/>
              </w:rPr>
            </w:pPr>
            <w:r>
              <w:rPr>
                <w:rFonts w:hint="default"/>
                <w:color w:val="auto"/>
                <w:highlight w:val="none"/>
              </w:rPr>
              <w:t>预测因子</w:t>
            </w:r>
          </w:p>
        </w:tc>
        <w:tc>
          <w:tcPr>
            <w:tcW w:w="3652" w:type="pct"/>
            <w:gridSpan w:val="10"/>
            <w:tcBorders>
              <w:tl2br w:val="nil"/>
              <w:tr2bl w:val="nil"/>
            </w:tcBorders>
            <w:shd w:val="clear" w:color="auto" w:fill="auto"/>
            <w:vAlign w:val="center"/>
          </w:tcPr>
          <w:p w14:paraId="2271194C">
            <w:pPr>
              <w:pStyle w:val="17"/>
              <w:bidi w:val="0"/>
              <w:jc w:val="center"/>
              <w:rPr>
                <w:rFonts w:hint="default"/>
                <w:color w:val="auto"/>
                <w:highlight w:val="none"/>
              </w:rPr>
            </w:pPr>
            <w:r>
              <w:rPr>
                <w:rFonts w:hint="default"/>
                <w:color w:val="auto"/>
                <w:highlight w:val="none"/>
              </w:rPr>
              <w:t>等效连续</w:t>
            </w:r>
            <w:r>
              <w:rPr>
                <w:rFonts w:hint="default"/>
                <w:color w:val="auto"/>
                <w:highlight w:val="none"/>
                <w:lang w:val="en-US" w:eastAsia="en-US"/>
              </w:rPr>
              <w:t>A</w:t>
            </w:r>
            <w:r>
              <w:rPr>
                <w:rFonts w:hint="default"/>
                <w:color w:val="auto"/>
                <w:highlight w:val="none"/>
              </w:rPr>
              <w:t>声级</w:t>
            </w:r>
            <w:r>
              <w:rPr>
                <w:rFonts w:hint="eastAsia"/>
                <w:color w:val="auto"/>
                <w:highlight w:val="none"/>
                <w:lang w:eastAsia="zh-CN"/>
              </w:rPr>
              <w:t>☑</w:t>
            </w:r>
            <w:r>
              <w:rPr>
                <w:rFonts w:hint="eastAsia"/>
                <w:color w:val="auto"/>
                <w:highlight w:val="none"/>
                <w:lang w:val="en-US" w:eastAsia="zh-CN"/>
              </w:rPr>
              <w:t xml:space="preserve"> </w:t>
            </w:r>
            <w:r>
              <w:rPr>
                <w:rFonts w:hint="default"/>
                <w:color w:val="auto"/>
                <w:highlight w:val="none"/>
              </w:rPr>
              <w:t>最大</w:t>
            </w:r>
            <w:r>
              <w:rPr>
                <w:rFonts w:hint="default"/>
                <w:color w:val="auto"/>
                <w:highlight w:val="none"/>
                <w:lang w:val="en-US" w:eastAsia="en-US"/>
              </w:rPr>
              <w:t>A</w:t>
            </w:r>
            <w:r>
              <w:rPr>
                <w:rFonts w:hint="default"/>
                <w:color w:val="auto"/>
                <w:highlight w:val="none"/>
                <w:lang w:val="zh-CN" w:eastAsia="zh-CN"/>
              </w:rPr>
              <w:t>声级</w:t>
            </w:r>
            <w:r>
              <w:rPr>
                <w:rFonts w:hint="eastAsia"/>
                <w:color w:val="auto"/>
                <w:highlight w:val="none"/>
                <w:lang w:eastAsia="zh-CN"/>
              </w:rPr>
              <w:t>□</w:t>
            </w:r>
            <w:r>
              <w:rPr>
                <w:rFonts w:hint="eastAsia"/>
                <w:color w:val="auto"/>
                <w:highlight w:val="none"/>
                <w:lang w:val="en-US" w:eastAsia="zh-CN"/>
              </w:rPr>
              <w:t xml:space="preserve"> </w:t>
            </w:r>
            <w:r>
              <w:rPr>
                <w:rFonts w:hint="default"/>
                <w:color w:val="auto"/>
                <w:highlight w:val="none"/>
              </w:rPr>
              <w:t>计权等效连续感觉噪</w:t>
            </w:r>
            <w:r>
              <w:rPr>
                <w:rFonts w:hint="default"/>
                <w:color w:val="auto"/>
                <w:highlight w:val="none"/>
                <w:lang w:val="zh-CN" w:eastAsia="zh-CN"/>
              </w:rPr>
              <w:t>声级</w:t>
            </w:r>
            <w:r>
              <w:rPr>
                <w:rFonts w:hint="eastAsia"/>
                <w:color w:val="auto"/>
                <w:highlight w:val="none"/>
                <w:lang w:eastAsia="zh-CN"/>
              </w:rPr>
              <w:t>□</w:t>
            </w:r>
          </w:p>
        </w:tc>
      </w:tr>
      <w:tr w14:paraId="78CE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704FE1D5">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2353A4EB">
            <w:pPr>
              <w:pStyle w:val="17"/>
              <w:bidi w:val="0"/>
              <w:jc w:val="center"/>
              <w:rPr>
                <w:rFonts w:hint="default"/>
                <w:color w:val="auto"/>
                <w:highlight w:val="none"/>
              </w:rPr>
            </w:pPr>
            <w:r>
              <w:rPr>
                <w:rFonts w:hint="default"/>
                <w:color w:val="auto"/>
                <w:highlight w:val="none"/>
              </w:rPr>
              <w:t>厂界噪声贡献值</w:t>
            </w:r>
          </w:p>
        </w:tc>
        <w:tc>
          <w:tcPr>
            <w:tcW w:w="1081" w:type="pct"/>
            <w:gridSpan w:val="3"/>
            <w:tcBorders>
              <w:tl2br w:val="nil"/>
              <w:tr2bl w:val="nil"/>
            </w:tcBorders>
            <w:shd w:val="clear" w:color="auto" w:fill="auto"/>
            <w:vAlign w:val="center"/>
          </w:tcPr>
          <w:p w14:paraId="2FA533C1">
            <w:pPr>
              <w:pStyle w:val="17"/>
              <w:bidi w:val="0"/>
              <w:jc w:val="center"/>
              <w:rPr>
                <w:rFonts w:hint="default"/>
                <w:color w:val="auto"/>
                <w:highlight w:val="none"/>
              </w:rPr>
            </w:pPr>
            <w:r>
              <w:rPr>
                <w:rFonts w:hint="default"/>
                <w:color w:val="auto"/>
                <w:highlight w:val="none"/>
                <w:lang w:val="zh-CN" w:eastAsia="zh-CN"/>
              </w:rPr>
              <w:t>达标</w:t>
            </w:r>
            <w:r>
              <w:rPr>
                <w:rFonts w:hint="default"/>
                <w:color w:val="auto"/>
                <w:highlight w:val="none"/>
                <w:lang w:eastAsia="zh-CN"/>
              </w:rPr>
              <w:t>☑</w:t>
            </w:r>
          </w:p>
        </w:tc>
        <w:tc>
          <w:tcPr>
            <w:tcW w:w="2570" w:type="pct"/>
            <w:gridSpan w:val="7"/>
            <w:tcBorders>
              <w:tl2br w:val="nil"/>
              <w:tr2bl w:val="nil"/>
            </w:tcBorders>
            <w:shd w:val="clear" w:color="auto" w:fill="auto"/>
            <w:vAlign w:val="center"/>
          </w:tcPr>
          <w:p w14:paraId="1F0EF1CC">
            <w:pPr>
              <w:pStyle w:val="17"/>
              <w:bidi w:val="0"/>
              <w:jc w:val="center"/>
              <w:rPr>
                <w:rFonts w:hint="default"/>
                <w:color w:val="auto"/>
                <w:highlight w:val="none"/>
              </w:rPr>
            </w:pPr>
            <w:r>
              <w:rPr>
                <w:rFonts w:hint="default"/>
                <w:color w:val="auto"/>
                <w:highlight w:val="none"/>
              </w:rPr>
              <w:t>不达标</w:t>
            </w:r>
            <w:r>
              <w:rPr>
                <w:rFonts w:hint="default"/>
                <w:color w:val="auto"/>
                <w:highlight w:val="none"/>
                <w:lang w:val="en-US" w:eastAsia="en-US"/>
              </w:rPr>
              <w:t>口</w:t>
            </w:r>
          </w:p>
        </w:tc>
      </w:tr>
      <w:tr w14:paraId="75F2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15F3FE82">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3ECA702B">
            <w:pPr>
              <w:pStyle w:val="17"/>
              <w:bidi w:val="0"/>
              <w:jc w:val="center"/>
              <w:rPr>
                <w:rFonts w:hint="default"/>
                <w:color w:val="auto"/>
                <w:highlight w:val="none"/>
              </w:rPr>
            </w:pPr>
            <w:r>
              <w:rPr>
                <w:rFonts w:hint="default"/>
                <w:color w:val="auto"/>
                <w:highlight w:val="none"/>
              </w:rPr>
              <w:t>声环境保护目标处噪声值</w:t>
            </w:r>
          </w:p>
        </w:tc>
        <w:tc>
          <w:tcPr>
            <w:tcW w:w="1081" w:type="pct"/>
            <w:gridSpan w:val="3"/>
            <w:tcBorders>
              <w:tl2br w:val="nil"/>
              <w:tr2bl w:val="nil"/>
            </w:tcBorders>
            <w:shd w:val="clear" w:color="auto" w:fill="auto"/>
            <w:vAlign w:val="center"/>
          </w:tcPr>
          <w:p w14:paraId="149C9455">
            <w:pPr>
              <w:pStyle w:val="17"/>
              <w:bidi w:val="0"/>
              <w:jc w:val="center"/>
              <w:rPr>
                <w:rFonts w:hint="default"/>
                <w:color w:val="auto"/>
                <w:highlight w:val="none"/>
              </w:rPr>
            </w:pPr>
            <w:r>
              <w:rPr>
                <w:rFonts w:hint="default"/>
                <w:color w:val="auto"/>
                <w:highlight w:val="none"/>
                <w:lang w:val="zh-CN" w:eastAsia="zh-CN"/>
              </w:rPr>
              <w:t>达标</w:t>
            </w:r>
            <w:r>
              <w:rPr>
                <w:rFonts w:hint="eastAsia"/>
                <w:color w:val="auto"/>
                <w:highlight w:val="none"/>
                <w:lang w:eastAsia="zh-CN"/>
              </w:rPr>
              <w:t>□</w:t>
            </w:r>
          </w:p>
        </w:tc>
        <w:tc>
          <w:tcPr>
            <w:tcW w:w="2570" w:type="pct"/>
            <w:gridSpan w:val="7"/>
            <w:tcBorders>
              <w:tl2br w:val="nil"/>
              <w:tr2bl w:val="nil"/>
            </w:tcBorders>
            <w:shd w:val="clear" w:color="auto" w:fill="auto"/>
            <w:vAlign w:val="center"/>
          </w:tcPr>
          <w:p w14:paraId="5263FAE1">
            <w:pPr>
              <w:pStyle w:val="17"/>
              <w:bidi w:val="0"/>
              <w:jc w:val="center"/>
              <w:rPr>
                <w:rFonts w:hint="default"/>
                <w:color w:val="auto"/>
                <w:highlight w:val="none"/>
              </w:rPr>
            </w:pPr>
            <w:r>
              <w:rPr>
                <w:rFonts w:hint="default"/>
                <w:color w:val="auto"/>
                <w:highlight w:val="none"/>
              </w:rPr>
              <w:t>不达标</w:t>
            </w:r>
            <w:r>
              <w:rPr>
                <w:rFonts w:hint="eastAsia"/>
                <w:color w:val="auto"/>
                <w:highlight w:val="none"/>
                <w:lang w:eastAsia="zh-CN"/>
              </w:rPr>
              <w:t>□</w:t>
            </w:r>
          </w:p>
        </w:tc>
      </w:tr>
      <w:tr w14:paraId="6298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564" w:type="pct"/>
            <w:vMerge w:val="restart"/>
            <w:tcBorders>
              <w:tl2br w:val="nil"/>
              <w:tr2bl w:val="nil"/>
            </w:tcBorders>
            <w:shd w:val="clear" w:color="auto" w:fill="auto"/>
            <w:vAlign w:val="center"/>
          </w:tcPr>
          <w:p w14:paraId="6F138235">
            <w:pPr>
              <w:pStyle w:val="17"/>
              <w:bidi w:val="0"/>
              <w:jc w:val="center"/>
              <w:rPr>
                <w:rFonts w:hint="default"/>
                <w:color w:val="auto"/>
                <w:highlight w:val="none"/>
              </w:rPr>
            </w:pPr>
            <w:r>
              <w:rPr>
                <w:rFonts w:hint="default"/>
                <w:color w:val="auto"/>
                <w:highlight w:val="none"/>
              </w:rPr>
              <w:t>环境监测计划</w:t>
            </w:r>
          </w:p>
        </w:tc>
        <w:tc>
          <w:tcPr>
            <w:tcW w:w="782" w:type="pct"/>
            <w:tcBorders>
              <w:tl2br w:val="nil"/>
              <w:tr2bl w:val="nil"/>
            </w:tcBorders>
            <w:shd w:val="clear" w:color="auto" w:fill="auto"/>
            <w:vAlign w:val="center"/>
          </w:tcPr>
          <w:p w14:paraId="77F3B816">
            <w:pPr>
              <w:pStyle w:val="17"/>
              <w:bidi w:val="0"/>
              <w:jc w:val="center"/>
              <w:rPr>
                <w:rFonts w:hint="default"/>
                <w:color w:val="auto"/>
                <w:highlight w:val="none"/>
              </w:rPr>
            </w:pPr>
            <w:r>
              <w:rPr>
                <w:rFonts w:hint="default"/>
                <w:color w:val="auto"/>
                <w:highlight w:val="none"/>
              </w:rPr>
              <w:t>排放监测</w:t>
            </w:r>
          </w:p>
        </w:tc>
        <w:tc>
          <w:tcPr>
            <w:tcW w:w="3652" w:type="pct"/>
            <w:gridSpan w:val="10"/>
            <w:tcBorders>
              <w:tl2br w:val="nil"/>
              <w:tr2bl w:val="nil"/>
            </w:tcBorders>
            <w:shd w:val="clear" w:color="auto" w:fill="auto"/>
            <w:vAlign w:val="center"/>
          </w:tcPr>
          <w:p w14:paraId="7EB65D82">
            <w:pPr>
              <w:pStyle w:val="17"/>
              <w:bidi w:val="0"/>
              <w:jc w:val="center"/>
              <w:rPr>
                <w:rFonts w:hint="default"/>
                <w:color w:val="auto"/>
                <w:highlight w:val="none"/>
              </w:rPr>
            </w:pPr>
            <w:r>
              <w:rPr>
                <w:rFonts w:hint="default"/>
                <w:color w:val="auto"/>
                <w:highlight w:val="none"/>
              </w:rPr>
              <w:t>厂界</w:t>
            </w:r>
            <w:r>
              <w:rPr>
                <w:rFonts w:hint="default"/>
                <w:color w:val="auto"/>
                <w:highlight w:val="none"/>
                <w:lang w:val="zh-CN" w:eastAsia="zh-CN"/>
              </w:rPr>
              <w:t>监测</w:t>
            </w:r>
            <w:r>
              <w:rPr>
                <w:rFonts w:hint="default"/>
                <w:color w:val="auto"/>
                <w:highlight w:val="none"/>
                <w:lang w:eastAsia="zh-CN"/>
              </w:rPr>
              <w:t>☑</w:t>
            </w:r>
            <w:r>
              <w:rPr>
                <w:rFonts w:hint="eastAsia"/>
                <w:color w:val="auto"/>
                <w:highlight w:val="none"/>
                <w:lang w:val="en-US" w:eastAsia="zh-CN"/>
              </w:rPr>
              <w:t xml:space="preserve"> </w:t>
            </w:r>
            <w:r>
              <w:rPr>
                <w:rFonts w:hint="default"/>
                <w:color w:val="auto"/>
                <w:highlight w:val="none"/>
              </w:rPr>
              <w:t>固定位置</w:t>
            </w:r>
            <w:r>
              <w:rPr>
                <w:rFonts w:hint="default"/>
                <w:color w:val="auto"/>
                <w:highlight w:val="none"/>
                <w:lang w:val="zh-CN" w:eastAsia="zh-CN"/>
              </w:rPr>
              <w:t>监测</w:t>
            </w:r>
            <w:r>
              <w:rPr>
                <w:rFonts w:hint="eastAsia"/>
                <w:color w:val="auto"/>
                <w:highlight w:val="none"/>
                <w:lang w:val="zh-CN" w:eastAsia="zh-CN"/>
              </w:rPr>
              <w:t>□</w:t>
            </w:r>
            <w:r>
              <w:rPr>
                <w:rFonts w:hint="eastAsia"/>
                <w:color w:val="auto"/>
                <w:highlight w:val="none"/>
                <w:lang w:val="en-US" w:eastAsia="zh-CN"/>
              </w:rPr>
              <w:t xml:space="preserve"> </w:t>
            </w:r>
            <w:r>
              <w:rPr>
                <w:rFonts w:hint="default"/>
                <w:color w:val="auto"/>
                <w:highlight w:val="none"/>
              </w:rPr>
              <w:t>自动</w:t>
            </w:r>
            <w:r>
              <w:rPr>
                <w:rFonts w:hint="default"/>
                <w:color w:val="auto"/>
                <w:highlight w:val="none"/>
                <w:lang w:val="zh-CN" w:eastAsia="zh-CN"/>
              </w:rPr>
              <w:t>监测</w:t>
            </w:r>
            <w:r>
              <w:rPr>
                <w:rFonts w:hint="eastAsia"/>
                <w:color w:val="auto"/>
                <w:highlight w:val="none"/>
                <w:lang w:val="zh-CN" w:eastAsia="zh-CN"/>
              </w:rPr>
              <w:t>□</w:t>
            </w:r>
            <w:r>
              <w:rPr>
                <w:rFonts w:hint="eastAsia"/>
                <w:color w:val="auto"/>
                <w:highlight w:val="none"/>
                <w:lang w:val="en-US" w:eastAsia="zh-CN"/>
              </w:rPr>
              <w:t xml:space="preserve"> </w:t>
            </w:r>
            <w:r>
              <w:rPr>
                <w:rFonts w:hint="default"/>
                <w:color w:val="auto"/>
                <w:highlight w:val="none"/>
              </w:rPr>
              <w:t>手动</w:t>
            </w:r>
            <w:r>
              <w:rPr>
                <w:rFonts w:hint="default"/>
                <w:color w:val="auto"/>
                <w:highlight w:val="none"/>
                <w:lang w:val="zh-CN" w:eastAsia="zh-CN"/>
              </w:rPr>
              <w:t>监测</w:t>
            </w:r>
            <w:r>
              <w:rPr>
                <w:rFonts w:hint="default"/>
                <w:color w:val="auto"/>
                <w:highlight w:val="none"/>
                <w:lang w:eastAsia="zh-CN"/>
              </w:rPr>
              <w:t>☑</w:t>
            </w:r>
            <w:r>
              <w:rPr>
                <w:rFonts w:hint="eastAsia"/>
                <w:color w:val="auto"/>
                <w:highlight w:val="none"/>
                <w:lang w:val="en-US" w:eastAsia="zh-CN"/>
              </w:rPr>
              <w:t xml:space="preserve"> </w:t>
            </w:r>
            <w:r>
              <w:rPr>
                <w:rFonts w:hint="default"/>
                <w:color w:val="auto"/>
                <w:highlight w:val="none"/>
              </w:rPr>
              <w:t>无监测</w:t>
            </w:r>
            <w:r>
              <w:rPr>
                <w:rFonts w:hint="eastAsia"/>
                <w:color w:val="auto"/>
                <w:highlight w:val="none"/>
                <w:lang w:eastAsia="zh-CN"/>
              </w:rPr>
              <w:t>□</w:t>
            </w:r>
          </w:p>
        </w:tc>
      </w:tr>
      <w:tr w14:paraId="699C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564" w:type="pct"/>
            <w:vMerge w:val="continue"/>
            <w:tcBorders>
              <w:tl2br w:val="nil"/>
              <w:tr2bl w:val="nil"/>
            </w:tcBorders>
            <w:shd w:val="clear" w:color="auto" w:fill="auto"/>
            <w:vAlign w:val="center"/>
          </w:tcPr>
          <w:p w14:paraId="32AE9204">
            <w:pPr>
              <w:pStyle w:val="17"/>
              <w:bidi w:val="0"/>
              <w:jc w:val="center"/>
              <w:rPr>
                <w:rFonts w:hint="default"/>
                <w:color w:val="auto"/>
                <w:highlight w:val="none"/>
              </w:rPr>
            </w:pPr>
          </w:p>
        </w:tc>
        <w:tc>
          <w:tcPr>
            <w:tcW w:w="782" w:type="pct"/>
            <w:tcBorders>
              <w:tl2br w:val="nil"/>
              <w:tr2bl w:val="nil"/>
            </w:tcBorders>
            <w:shd w:val="clear" w:color="auto" w:fill="auto"/>
            <w:vAlign w:val="center"/>
          </w:tcPr>
          <w:p w14:paraId="7F00846A">
            <w:pPr>
              <w:pStyle w:val="17"/>
              <w:bidi w:val="0"/>
              <w:jc w:val="center"/>
              <w:rPr>
                <w:rFonts w:hint="default"/>
                <w:color w:val="auto"/>
                <w:highlight w:val="none"/>
              </w:rPr>
            </w:pPr>
            <w:r>
              <w:rPr>
                <w:rFonts w:hint="default"/>
                <w:color w:val="auto"/>
                <w:highlight w:val="none"/>
              </w:rPr>
              <w:t>声环境保护目标处噪声监测</w:t>
            </w:r>
          </w:p>
        </w:tc>
        <w:tc>
          <w:tcPr>
            <w:tcW w:w="1801" w:type="pct"/>
            <w:gridSpan w:val="5"/>
            <w:tcBorders>
              <w:tl2br w:val="nil"/>
              <w:tr2bl w:val="nil"/>
            </w:tcBorders>
            <w:shd w:val="clear" w:color="auto" w:fill="auto"/>
            <w:vAlign w:val="center"/>
          </w:tcPr>
          <w:p w14:paraId="0CB1361F">
            <w:pPr>
              <w:pStyle w:val="17"/>
              <w:bidi w:val="0"/>
              <w:jc w:val="center"/>
              <w:rPr>
                <w:rFonts w:hint="default"/>
                <w:color w:val="auto"/>
                <w:highlight w:val="none"/>
              </w:rPr>
            </w:pPr>
            <w:r>
              <w:rPr>
                <w:rFonts w:hint="default"/>
                <w:color w:val="auto"/>
                <w:highlight w:val="none"/>
              </w:rPr>
              <w:t>监测因子：（）</w:t>
            </w:r>
          </w:p>
        </w:tc>
        <w:tc>
          <w:tcPr>
            <w:tcW w:w="1199" w:type="pct"/>
            <w:gridSpan w:val="4"/>
            <w:tcBorders>
              <w:tl2br w:val="nil"/>
              <w:tr2bl w:val="nil"/>
            </w:tcBorders>
            <w:shd w:val="clear" w:color="auto" w:fill="auto"/>
            <w:vAlign w:val="center"/>
          </w:tcPr>
          <w:p w14:paraId="7CD1A5B4">
            <w:pPr>
              <w:pStyle w:val="17"/>
              <w:bidi w:val="0"/>
              <w:jc w:val="center"/>
              <w:rPr>
                <w:rFonts w:hint="default"/>
                <w:color w:val="auto"/>
                <w:highlight w:val="none"/>
              </w:rPr>
            </w:pPr>
            <w:r>
              <w:rPr>
                <w:rFonts w:hint="default"/>
                <w:color w:val="auto"/>
                <w:highlight w:val="none"/>
              </w:rPr>
              <w:t>监测点位数</w:t>
            </w:r>
            <w:r>
              <w:rPr>
                <w:rFonts w:hint="eastAsia"/>
                <w:color w:val="auto"/>
                <w:highlight w:val="none"/>
                <w:lang w:eastAsia="zh-CN"/>
              </w:rPr>
              <w:t>（</w:t>
            </w:r>
            <w:r>
              <w:rPr>
                <w:rFonts w:hint="default"/>
                <w:color w:val="auto"/>
                <w:highlight w:val="none"/>
              </w:rPr>
              <w:t>）</w:t>
            </w:r>
          </w:p>
        </w:tc>
        <w:tc>
          <w:tcPr>
            <w:tcW w:w="651" w:type="pct"/>
            <w:tcBorders>
              <w:tl2br w:val="nil"/>
              <w:tr2bl w:val="nil"/>
            </w:tcBorders>
            <w:shd w:val="clear" w:color="auto" w:fill="auto"/>
            <w:vAlign w:val="center"/>
          </w:tcPr>
          <w:p w14:paraId="41EB05C6">
            <w:pPr>
              <w:pStyle w:val="17"/>
              <w:bidi w:val="0"/>
              <w:jc w:val="center"/>
              <w:rPr>
                <w:rFonts w:hint="default"/>
                <w:color w:val="auto"/>
                <w:highlight w:val="none"/>
              </w:rPr>
            </w:pPr>
            <w:r>
              <w:rPr>
                <w:rFonts w:hint="default"/>
                <w:color w:val="auto"/>
                <w:highlight w:val="none"/>
              </w:rPr>
              <w:t>无监测</w:t>
            </w:r>
            <w:r>
              <w:rPr>
                <w:rFonts w:hint="eastAsia"/>
                <w:color w:val="auto"/>
                <w:highlight w:val="none"/>
                <w:lang w:eastAsia="zh-CN"/>
              </w:rPr>
              <w:t>☑</w:t>
            </w:r>
          </w:p>
        </w:tc>
      </w:tr>
      <w:tr w14:paraId="0A44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564" w:type="pct"/>
            <w:tcBorders>
              <w:tl2br w:val="nil"/>
              <w:tr2bl w:val="nil"/>
            </w:tcBorders>
            <w:shd w:val="clear" w:color="auto" w:fill="auto"/>
            <w:vAlign w:val="center"/>
          </w:tcPr>
          <w:p w14:paraId="5111EA4B">
            <w:pPr>
              <w:pStyle w:val="17"/>
              <w:bidi w:val="0"/>
              <w:jc w:val="center"/>
              <w:rPr>
                <w:rFonts w:hint="default"/>
                <w:color w:val="auto"/>
                <w:highlight w:val="none"/>
              </w:rPr>
            </w:pPr>
            <w:r>
              <w:rPr>
                <w:rFonts w:hint="default"/>
                <w:color w:val="auto"/>
                <w:highlight w:val="none"/>
              </w:rPr>
              <w:t>评价结论</w:t>
            </w:r>
          </w:p>
        </w:tc>
        <w:tc>
          <w:tcPr>
            <w:tcW w:w="782" w:type="pct"/>
            <w:tcBorders>
              <w:tl2br w:val="nil"/>
              <w:tr2bl w:val="nil"/>
            </w:tcBorders>
            <w:shd w:val="clear" w:color="auto" w:fill="auto"/>
            <w:vAlign w:val="center"/>
          </w:tcPr>
          <w:p w14:paraId="3771670B">
            <w:pPr>
              <w:pStyle w:val="17"/>
              <w:bidi w:val="0"/>
              <w:jc w:val="center"/>
              <w:rPr>
                <w:rFonts w:hint="default"/>
                <w:color w:val="auto"/>
                <w:highlight w:val="none"/>
              </w:rPr>
            </w:pPr>
            <w:r>
              <w:rPr>
                <w:rFonts w:hint="default"/>
                <w:color w:val="auto"/>
                <w:highlight w:val="none"/>
              </w:rPr>
              <w:t>环境影响</w:t>
            </w:r>
          </w:p>
        </w:tc>
        <w:tc>
          <w:tcPr>
            <w:tcW w:w="3652" w:type="pct"/>
            <w:gridSpan w:val="10"/>
            <w:tcBorders>
              <w:tl2br w:val="nil"/>
              <w:tr2bl w:val="nil"/>
            </w:tcBorders>
            <w:shd w:val="clear" w:color="auto" w:fill="auto"/>
            <w:vAlign w:val="center"/>
          </w:tcPr>
          <w:p w14:paraId="475ADAD3">
            <w:pPr>
              <w:pStyle w:val="17"/>
              <w:bidi w:val="0"/>
              <w:jc w:val="center"/>
              <w:rPr>
                <w:rFonts w:hint="default"/>
                <w:color w:val="auto"/>
                <w:highlight w:val="none"/>
              </w:rPr>
            </w:pPr>
            <w:r>
              <w:rPr>
                <w:rFonts w:hint="default"/>
                <w:color w:val="auto"/>
                <w:highlight w:val="none"/>
              </w:rPr>
              <w:t>可行</w:t>
            </w:r>
            <w:r>
              <w:rPr>
                <w:rFonts w:hint="default"/>
                <w:color w:val="auto"/>
                <w:highlight w:val="none"/>
                <w:lang w:eastAsia="zh-CN"/>
              </w:rPr>
              <w:t>☑</w:t>
            </w:r>
            <w:r>
              <w:rPr>
                <w:rFonts w:hint="default"/>
                <w:color w:val="auto"/>
                <w:highlight w:val="none"/>
              </w:rPr>
              <w:tab/>
            </w:r>
            <w:r>
              <w:rPr>
                <w:rFonts w:hint="default"/>
                <w:color w:val="auto"/>
                <w:highlight w:val="none"/>
              </w:rPr>
              <w:t>不可行</w:t>
            </w:r>
            <w:r>
              <w:rPr>
                <w:rFonts w:hint="eastAsia"/>
                <w:color w:val="auto"/>
                <w:highlight w:val="none"/>
                <w:lang w:eastAsia="zh-CN"/>
              </w:rPr>
              <w:t>□</w:t>
            </w:r>
          </w:p>
        </w:tc>
      </w:tr>
      <w:tr w14:paraId="57AF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40" w:hRule="atLeast"/>
          <w:jc w:val="center"/>
        </w:trPr>
        <w:tc>
          <w:tcPr>
            <w:tcW w:w="5000" w:type="pct"/>
            <w:gridSpan w:val="12"/>
            <w:tcBorders>
              <w:tl2br w:val="nil"/>
              <w:tr2bl w:val="nil"/>
            </w:tcBorders>
            <w:shd w:val="clear" w:color="auto" w:fill="auto"/>
            <w:vAlign w:val="center"/>
          </w:tcPr>
          <w:p w14:paraId="3E0A3B6C">
            <w:pPr>
              <w:pStyle w:val="17"/>
              <w:bidi w:val="0"/>
              <w:jc w:val="center"/>
              <w:rPr>
                <w:rFonts w:hint="default"/>
                <w:color w:val="auto"/>
                <w:highlight w:val="none"/>
              </w:rPr>
            </w:pPr>
            <w:r>
              <w:rPr>
                <w:rFonts w:hint="default"/>
                <w:color w:val="auto"/>
                <w:highlight w:val="none"/>
              </w:rPr>
              <w:t>注“</w:t>
            </w:r>
            <w:r>
              <w:rPr>
                <w:rFonts w:hint="eastAsia" w:ascii="Times New Roman" w:hAnsi="Times New Roman" w:eastAsia="华文中宋" w:cs="Times New Roman"/>
                <w:color w:val="auto"/>
                <w:szCs w:val="21"/>
                <w:highlight w:val="none"/>
                <w:lang w:eastAsia="zh-CN"/>
              </w:rPr>
              <w:t>□</w:t>
            </w:r>
            <w:r>
              <w:rPr>
                <w:rFonts w:hint="default"/>
                <w:color w:val="auto"/>
                <w:highlight w:val="none"/>
              </w:rPr>
              <w:t>”为勾选项，“（）”为内容填写项。</w:t>
            </w:r>
          </w:p>
        </w:tc>
      </w:tr>
    </w:tbl>
    <w:p w14:paraId="2A4498D6">
      <w:pPr>
        <w:pStyle w:val="6"/>
        <w:rPr>
          <w:color w:val="auto"/>
          <w:highlight w:val="none"/>
        </w:rPr>
      </w:pPr>
      <w:bookmarkStart w:id="671" w:name="_Toc7806"/>
      <w:bookmarkStart w:id="672" w:name="_Toc25091"/>
      <w:bookmarkStart w:id="673" w:name="_Toc10714"/>
      <w:r>
        <w:rPr>
          <w:rFonts w:hint="eastAsia"/>
          <w:color w:val="auto"/>
          <w:highlight w:val="none"/>
        </w:rPr>
        <w:t>5</w:t>
      </w:r>
      <w:r>
        <w:rPr>
          <w:color w:val="auto"/>
          <w:highlight w:val="none"/>
        </w:rPr>
        <w:t>.</w:t>
      </w:r>
      <w:r>
        <w:rPr>
          <w:rFonts w:hint="eastAsia"/>
          <w:color w:val="auto"/>
          <w:highlight w:val="none"/>
        </w:rPr>
        <w:t>2.5运营期固体废物环境影响分析</w:t>
      </w:r>
      <w:bookmarkEnd w:id="671"/>
      <w:bookmarkEnd w:id="672"/>
      <w:bookmarkEnd w:id="673"/>
    </w:p>
    <w:p w14:paraId="064FEBF8">
      <w:pPr>
        <w:overflowPunct w:val="0"/>
        <w:topLinePunct/>
        <w:ind w:firstLine="480"/>
        <w:rPr>
          <w:color w:val="auto"/>
          <w:kern w:val="0"/>
          <w:highlight w:val="none"/>
        </w:rPr>
      </w:pPr>
      <w:r>
        <w:rPr>
          <w:rFonts w:hint="eastAsia"/>
          <w:color w:val="auto"/>
          <w:kern w:val="0"/>
          <w:highlight w:val="none"/>
        </w:rPr>
        <w:t>本项目运营期固体废物主要来源于选矿工序产生的尾矿砂、生活垃圾</w:t>
      </w:r>
      <w:r>
        <w:rPr>
          <w:rFonts w:hint="eastAsia"/>
          <w:color w:val="auto"/>
          <w:kern w:val="0"/>
          <w:highlight w:val="none"/>
          <w:lang w:eastAsia="zh-CN"/>
        </w:rPr>
        <w:t>、</w:t>
      </w:r>
      <w:r>
        <w:rPr>
          <w:rFonts w:hint="eastAsia"/>
          <w:color w:val="auto"/>
          <w:kern w:val="0"/>
          <w:highlight w:val="none"/>
        </w:rPr>
        <w:t>废机油</w:t>
      </w:r>
      <w:r>
        <w:rPr>
          <w:rFonts w:hint="eastAsia"/>
          <w:color w:val="auto"/>
          <w:kern w:val="0"/>
          <w:highlight w:val="none"/>
          <w:lang w:val="en-US" w:eastAsia="zh-CN"/>
        </w:rPr>
        <w:t>及</w:t>
      </w:r>
      <w:r>
        <w:rPr>
          <w:rFonts w:hint="eastAsia"/>
          <w:color w:val="auto"/>
          <w:kern w:val="0"/>
          <w:highlight w:val="none"/>
        </w:rPr>
        <w:t>废油桶</w:t>
      </w:r>
      <w:r>
        <w:rPr>
          <w:rFonts w:hint="eastAsia"/>
          <w:color w:val="auto"/>
          <w:kern w:val="0"/>
          <w:highlight w:val="none"/>
          <w:lang w:eastAsia="zh-CN"/>
        </w:rPr>
        <w:t>、原辅料废</w:t>
      </w:r>
      <w:r>
        <w:rPr>
          <w:rFonts w:hint="eastAsia"/>
          <w:color w:val="auto"/>
          <w:kern w:val="0"/>
          <w:highlight w:val="none"/>
        </w:rPr>
        <w:t>包装物</w:t>
      </w:r>
      <w:r>
        <w:rPr>
          <w:rFonts w:hint="eastAsia"/>
          <w:color w:val="auto"/>
          <w:kern w:val="0"/>
          <w:highlight w:val="none"/>
          <w:lang w:eastAsia="zh-CN"/>
        </w:rPr>
        <w:t>、</w:t>
      </w:r>
      <w:r>
        <w:rPr>
          <w:rFonts w:hint="eastAsia"/>
          <w:color w:val="auto"/>
          <w:kern w:val="0"/>
          <w:highlight w:val="none"/>
        </w:rPr>
        <w:t>除尘灰（除尘器收集的粉尘）、废离子交换树脂、循环水池底泥、废布袋、化验废液等。</w:t>
      </w:r>
    </w:p>
    <w:p w14:paraId="3885FFDE">
      <w:pPr>
        <w:overflowPunct w:val="0"/>
        <w:topLinePunct/>
        <w:ind w:firstLine="480"/>
        <w:rPr>
          <w:color w:val="auto"/>
          <w:kern w:val="0"/>
          <w:highlight w:val="none"/>
        </w:rPr>
      </w:pPr>
      <w:r>
        <w:rPr>
          <w:rFonts w:hint="eastAsia"/>
          <w:color w:val="auto"/>
          <w:kern w:val="0"/>
          <w:highlight w:val="none"/>
        </w:rPr>
        <w:t>（</w:t>
      </w:r>
      <w:r>
        <w:rPr>
          <w:color w:val="auto"/>
          <w:kern w:val="0"/>
          <w:highlight w:val="none"/>
        </w:rPr>
        <w:t>1</w:t>
      </w:r>
      <w:r>
        <w:rPr>
          <w:rFonts w:hint="eastAsia"/>
          <w:color w:val="auto"/>
          <w:kern w:val="0"/>
          <w:highlight w:val="none"/>
        </w:rPr>
        <w:t>）尾矿砂</w:t>
      </w:r>
    </w:p>
    <w:p w14:paraId="518328F2">
      <w:pPr>
        <w:overflowPunct w:val="0"/>
        <w:topLinePunct/>
        <w:ind w:firstLine="480"/>
        <w:rPr>
          <w:color w:val="auto"/>
          <w:kern w:val="0"/>
          <w:highlight w:val="none"/>
        </w:rPr>
      </w:pPr>
      <w:r>
        <w:rPr>
          <w:rFonts w:hint="eastAsia"/>
          <w:color w:val="auto"/>
          <w:kern w:val="0"/>
          <w:highlight w:val="none"/>
        </w:rPr>
        <w:t>本项目尾矿主要为选别过程中产生的尾矿砂。</w:t>
      </w:r>
    </w:p>
    <w:p w14:paraId="4CBC7B14">
      <w:pPr>
        <w:overflowPunct w:val="0"/>
        <w:topLinePunct/>
        <w:ind w:firstLine="480"/>
        <w:rPr>
          <w:color w:val="auto"/>
          <w:kern w:val="0"/>
          <w:highlight w:val="none"/>
        </w:rPr>
      </w:pPr>
      <w:r>
        <w:rPr>
          <w:rFonts w:hint="eastAsia"/>
          <w:color w:val="auto"/>
          <w:kern w:val="0"/>
          <w:highlight w:val="none"/>
        </w:rPr>
        <w:t>为了解尾矿砂的性质，建设单位于2</w:t>
      </w:r>
      <w:r>
        <w:rPr>
          <w:color w:val="auto"/>
          <w:kern w:val="0"/>
          <w:highlight w:val="none"/>
        </w:rPr>
        <w:t>02</w:t>
      </w:r>
      <w:r>
        <w:rPr>
          <w:rFonts w:hint="eastAsia"/>
          <w:color w:val="auto"/>
          <w:kern w:val="0"/>
          <w:highlight w:val="none"/>
          <w:lang w:val="en-US" w:eastAsia="zh-CN"/>
        </w:rPr>
        <w:t>3</w:t>
      </w:r>
      <w:r>
        <w:rPr>
          <w:rFonts w:hint="eastAsia"/>
          <w:color w:val="auto"/>
          <w:kern w:val="0"/>
          <w:highlight w:val="none"/>
        </w:rPr>
        <w:t>年</w:t>
      </w:r>
      <w:r>
        <w:rPr>
          <w:rFonts w:hint="eastAsia"/>
          <w:color w:val="auto"/>
          <w:kern w:val="0"/>
          <w:highlight w:val="none"/>
          <w:lang w:val="en-US" w:eastAsia="zh-CN"/>
        </w:rPr>
        <w:t>1</w:t>
      </w:r>
      <w:r>
        <w:rPr>
          <w:rFonts w:hint="eastAsia"/>
          <w:color w:val="auto"/>
          <w:kern w:val="0"/>
          <w:highlight w:val="none"/>
        </w:rPr>
        <w:t>月委托</w:t>
      </w:r>
      <w:r>
        <w:rPr>
          <w:rFonts w:hint="eastAsia"/>
          <w:color w:val="auto"/>
          <w:kern w:val="0"/>
          <w:highlight w:val="none"/>
          <w:lang w:val="en-US" w:eastAsia="zh-CN"/>
        </w:rPr>
        <w:t>新疆环疆绿源环保科技有限公司</w:t>
      </w:r>
      <w:r>
        <w:rPr>
          <w:rFonts w:hint="eastAsia"/>
          <w:color w:val="auto"/>
          <w:kern w:val="0"/>
          <w:highlight w:val="none"/>
        </w:rPr>
        <w:t>按本项目最终确定的选矿工艺进行选矿试验，并进行</w:t>
      </w:r>
      <w:r>
        <w:rPr>
          <w:rFonts w:hint="eastAsia"/>
          <w:color w:val="auto"/>
          <w:kern w:val="0"/>
          <w:highlight w:val="none"/>
          <w:lang w:eastAsia="zh-CN"/>
        </w:rPr>
        <w:t>了</w:t>
      </w:r>
      <w:r>
        <w:rPr>
          <w:rFonts w:hint="eastAsia"/>
          <w:color w:val="auto"/>
          <w:kern w:val="0"/>
          <w:highlight w:val="none"/>
        </w:rPr>
        <w:t>浸出毒性鉴别分析（浸出毒性检测报告见附件）。根据该分析结果，对照《危险废物鉴别标准 浸出毒性鉴别》</w:t>
      </w:r>
      <w:r>
        <w:rPr>
          <w:rFonts w:hint="eastAsia"/>
          <w:color w:val="auto"/>
          <w:kern w:val="0"/>
          <w:highlight w:val="none"/>
          <w:lang w:eastAsia="zh-CN"/>
        </w:rPr>
        <w:t>（</w:t>
      </w:r>
      <w:r>
        <w:rPr>
          <w:rFonts w:hint="eastAsia"/>
          <w:color w:val="auto"/>
          <w:kern w:val="0"/>
          <w:highlight w:val="none"/>
        </w:rPr>
        <w:t>GB5085.3-2007）及《固体废物浸出毒性测定方法》</w:t>
      </w:r>
      <w:r>
        <w:rPr>
          <w:rFonts w:hint="eastAsia"/>
          <w:color w:val="auto"/>
          <w:kern w:val="0"/>
          <w:highlight w:val="none"/>
          <w:lang w:eastAsia="zh-CN"/>
        </w:rPr>
        <w:t>（</w:t>
      </w:r>
      <w:r>
        <w:rPr>
          <w:rFonts w:hint="eastAsia"/>
          <w:color w:val="auto"/>
          <w:kern w:val="0"/>
          <w:highlight w:val="none"/>
        </w:rPr>
        <w:t>GB5086.1-1997）中的鉴别标准进行分析判断尾矿砂的性质，对照《污水综合排放标准》（GB8978-1996）中最高允许排放浓度来确定固体废物类别，具体分析详见表5.2-</w:t>
      </w:r>
      <w:r>
        <w:rPr>
          <w:color w:val="auto"/>
          <w:kern w:val="0"/>
          <w:highlight w:val="none"/>
        </w:rPr>
        <w:t>2</w:t>
      </w:r>
      <w:r>
        <w:rPr>
          <w:rFonts w:hint="eastAsia"/>
          <w:color w:val="auto"/>
          <w:kern w:val="0"/>
          <w:highlight w:val="none"/>
          <w:lang w:val="en-US" w:eastAsia="zh-CN"/>
        </w:rPr>
        <w:t>4</w:t>
      </w:r>
      <w:r>
        <w:rPr>
          <w:rFonts w:hint="eastAsia"/>
          <w:color w:val="auto"/>
          <w:kern w:val="0"/>
          <w:highlight w:val="none"/>
        </w:rPr>
        <w:t>。</w:t>
      </w:r>
    </w:p>
    <w:p w14:paraId="53E68AF0">
      <w:pPr>
        <w:pStyle w:val="19"/>
        <w:bidi w:val="0"/>
        <w:rPr>
          <w:color w:val="auto"/>
          <w:highlight w:val="none"/>
          <w:lang w:val="zh-CN"/>
        </w:rPr>
      </w:pPr>
      <w:r>
        <w:rPr>
          <w:rFonts w:hint="eastAsia"/>
          <w:color w:val="auto"/>
          <w:highlight w:val="none"/>
          <w:lang w:val="zh-CN"/>
        </w:rPr>
        <w:t>表5.2-</w:t>
      </w:r>
      <w:r>
        <w:rPr>
          <w:color w:val="auto"/>
          <w:highlight w:val="none"/>
          <w:lang w:val="zh-CN"/>
        </w:rPr>
        <w:t>2</w:t>
      </w:r>
      <w:r>
        <w:rPr>
          <w:rFonts w:hint="eastAsia"/>
          <w:color w:val="auto"/>
          <w:highlight w:val="none"/>
          <w:lang w:val="en-US" w:eastAsia="zh-CN"/>
        </w:rPr>
        <w:t>4</w:t>
      </w:r>
      <w:r>
        <w:rPr>
          <w:color w:val="auto"/>
          <w:highlight w:val="none"/>
          <w:lang w:val="zh-CN"/>
        </w:rPr>
        <w:t xml:space="preserve">    </w:t>
      </w:r>
      <w:r>
        <w:rPr>
          <w:rFonts w:hint="eastAsia"/>
          <w:color w:val="auto"/>
          <w:highlight w:val="none"/>
          <w:lang w:val="zh-CN"/>
        </w:rPr>
        <w:t>尾矿砂浸出试验结果</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61"/>
        <w:gridCol w:w="1000"/>
        <w:gridCol w:w="888"/>
        <w:gridCol w:w="1112"/>
        <w:gridCol w:w="2928"/>
        <w:gridCol w:w="2133"/>
      </w:tblGrid>
      <w:tr w14:paraId="3AB9BC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461" w:type="dxa"/>
            <w:vAlign w:val="center"/>
          </w:tcPr>
          <w:p w14:paraId="41B9CF0C">
            <w:pPr>
              <w:pStyle w:val="17"/>
              <w:bidi w:val="0"/>
              <w:rPr>
                <w:rFonts w:hint="eastAsia"/>
                <w:color w:val="auto"/>
                <w:highlight w:val="none"/>
              </w:rPr>
            </w:pPr>
            <w:r>
              <w:rPr>
                <w:rFonts w:hint="eastAsia"/>
                <w:color w:val="auto"/>
                <w:highlight w:val="none"/>
              </w:rPr>
              <w:t>序</w:t>
            </w:r>
          </w:p>
          <w:p w14:paraId="6809C1FB">
            <w:pPr>
              <w:pStyle w:val="17"/>
              <w:bidi w:val="0"/>
              <w:rPr>
                <w:color w:val="auto"/>
                <w:highlight w:val="none"/>
              </w:rPr>
            </w:pPr>
            <w:r>
              <w:rPr>
                <w:rFonts w:hint="eastAsia"/>
                <w:color w:val="auto"/>
                <w:highlight w:val="none"/>
              </w:rPr>
              <w:t>号</w:t>
            </w:r>
          </w:p>
        </w:tc>
        <w:tc>
          <w:tcPr>
            <w:tcW w:w="1000" w:type="dxa"/>
            <w:vAlign w:val="center"/>
          </w:tcPr>
          <w:p w14:paraId="58814561">
            <w:pPr>
              <w:pStyle w:val="17"/>
              <w:bidi w:val="0"/>
              <w:rPr>
                <w:color w:val="auto"/>
                <w:highlight w:val="none"/>
              </w:rPr>
            </w:pPr>
            <w:r>
              <w:rPr>
                <w:rFonts w:hint="eastAsia"/>
                <w:color w:val="auto"/>
                <w:highlight w:val="none"/>
              </w:rPr>
              <w:t>监测项目</w:t>
            </w:r>
          </w:p>
        </w:tc>
        <w:tc>
          <w:tcPr>
            <w:tcW w:w="888" w:type="dxa"/>
            <w:vAlign w:val="center"/>
          </w:tcPr>
          <w:p w14:paraId="113FD5D0">
            <w:pPr>
              <w:pStyle w:val="17"/>
              <w:bidi w:val="0"/>
              <w:rPr>
                <w:color w:val="auto"/>
                <w:highlight w:val="none"/>
              </w:rPr>
            </w:pPr>
            <w:r>
              <w:rPr>
                <w:rFonts w:hint="eastAsia"/>
                <w:color w:val="auto"/>
                <w:highlight w:val="none"/>
              </w:rPr>
              <w:t>单位</w:t>
            </w:r>
          </w:p>
        </w:tc>
        <w:tc>
          <w:tcPr>
            <w:tcW w:w="1112" w:type="dxa"/>
            <w:vAlign w:val="center"/>
          </w:tcPr>
          <w:p w14:paraId="5F8DD332">
            <w:pPr>
              <w:pStyle w:val="17"/>
              <w:bidi w:val="0"/>
              <w:rPr>
                <w:color w:val="auto"/>
                <w:highlight w:val="none"/>
              </w:rPr>
            </w:pPr>
            <w:r>
              <w:rPr>
                <w:rFonts w:hint="eastAsia"/>
                <w:color w:val="auto"/>
                <w:highlight w:val="none"/>
              </w:rPr>
              <w:t>监测值</w:t>
            </w:r>
          </w:p>
        </w:tc>
        <w:tc>
          <w:tcPr>
            <w:tcW w:w="2928" w:type="dxa"/>
            <w:vAlign w:val="center"/>
          </w:tcPr>
          <w:p w14:paraId="4576D9B7">
            <w:pPr>
              <w:pStyle w:val="17"/>
              <w:bidi w:val="0"/>
              <w:rPr>
                <w:color w:val="auto"/>
                <w:highlight w:val="none"/>
              </w:rPr>
            </w:pPr>
            <w:r>
              <w:rPr>
                <w:rFonts w:hint="eastAsia"/>
                <w:color w:val="auto"/>
                <w:highlight w:val="none"/>
              </w:rPr>
              <w:t>《危险废物鉴别标准-浸出毒性鉴别》（</w:t>
            </w:r>
            <w:r>
              <w:rPr>
                <w:color w:val="auto"/>
                <w:highlight w:val="none"/>
              </w:rPr>
              <w:t>GB5085.3-2007</w:t>
            </w:r>
            <w:r>
              <w:rPr>
                <w:rFonts w:hint="eastAsia"/>
                <w:color w:val="auto"/>
                <w:highlight w:val="none"/>
              </w:rPr>
              <w:t>）</w:t>
            </w:r>
          </w:p>
        </w:tc>
        <w:tc>
          <w:tcPr>
            <w:tcW w:w="2133" w:type="dxa"/>
            <w:vAlign w:val="center"/>
          </w:tcPr>
          <w:p w14:paraId="23EF7299">
            <w:pPr>
              <w:pStyle w:val="17"/>
              <w:bidi w:val="0"/>
              <w:rPr>
                <w:color w:val="auto"/>
                <w:highlight w:val="none"/>
              </w:rPr>
            </w:pPr>
            <w:r>
              <w:rPr>
                <w:rFonts w:hint="eastAsia"/>
                <w:color w:val="auto"/>
                <w:highlight w:val="none"/>
              </w:rPr>
              <w:t>《污水综合排放标准》（</w:t>
            </w:r>
            <w:r>
              <w:rPr>
                <w:color w:val="auto"/>
                <w:highlight w:val="none"/>
              </w:rPr>
              <w:t>GB8978-1996</w:t>
            </w:r>
            <w:r>
              <w:rPr>
                <w:rFonts w:hint="eastAsia"/>
                <w:color w:val="auto"/>
                <w:highlight w:val="none"/>
              </w:rPr>
              <w:t>）</w:t>
            </w:r>
          </w:p>
        </w:tc>
      </w:tr>
      <w:tr w14:paraId="1CB912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2E17D68D">
            <w:pPr>
              <w:pStyle w:val="17"/>
              <w:bidi w:val="0"/>
              <w:rPr>
                <w:color w:val="auto"/>
                <w:highlight w:val="none"/>
              </w:rPr>
            </w:pPr>
            <w:r>
              <w:rPr>
                <w:color w:val="auto"/>
                <w:highlight w:val="none"/>
              </w:rPr>
              <w:t>1</w:t>
            </w:r>
          </w:p>
        </w:tc>
        <w:tc>
          <w:tcPr>
            <w:tcW w:w="1000" w:type="dxa"/>
            <w:vAlign w:val="center"/>
          </w:tcPr>
          <w:p w14:paraId="555086D7">
            <w:pPr>
              <w:pStyle w:val="17"/>
              <w:bidi w:val="0"/>
              <w:rPr>
                <w:color w:val="auto"/>
                <w:highlight w:val="none"/>
              </w:rPr>
            </w:pPr>
            <w:r>
              <w:rPr>
                <w:color w:val="auto"/>
                <w:highlight w:val="none"/>
              </w:rPr>
              <w:t>pH</w:t>
            </w:r>
          </w:p>
        </w:tc>
        <w:tc>
          <w:tcPr>
            <w:tcW w:w="888" w:type="dxa"/>
            <w:vAlign w:val="center"/>
          </w:tcPr>
          <w:p w14:paraId="0EDCF7C6">
            <w:pPr>
              <w:pStyle w:val="17"/>
              <w:bidi w:val="0"/>
              <w:rPr>
                <w:color w:val="auto"/>
                <w:highlight w:val="none"/>
              </w:rPr>
            </w:pPr>
            <w:r>
              <w:rPr>
                <w:rFonts w:hint="eastAsia"/>
                <w:color w:val="auto"/>
                <w:highlight w:val="none"/>
              </w:rPr>
              <w:t>无量纲</w:t>
            </w:r>
          </w:p>
        </w:tc>
        <w:tc>
          <w:tcPr>
            <w:tcW w:w="1112" w:type="dxa"/>
            <w:vAlign w:val="center"/>
          </w:tcPr>
          <w:p w14:paraId="0893B910">
            <w:pPr>
              <w:pStyle w:val="17"/>
              <w:bidi w:val="0"/>
              <w:rPr>
                <w:rFonts w:hint="default"/>
                <w:color w:val="auto"/>
                <w:highlight w:val="none"/>
                <w:lang w:val="en-US" w:eastAsia="zh-CN"/>
              </w:rPr>
            </w:pPr>
            <w:r>
              <w:rPr>
                <w:rFonts w:hint="eastAsia"/>
                <w:color w:val="auto"/>
                <w:highlight w:val="none"/>
                <w:lang w:val="en-US" w:eastAsia="zh-CN"/>
              </w:rPr>
              <w:t>8.61</w:t>
            </w:r>
          </w:p>
        </w:tc>
        <w:tc>
          <w:tcPr>
            <w:tcW w:w="2928" w:type="dxa"/>
            <w:vAlign w:val="center"/>
          </w:tcPr>
          <w:p w14:paraId="01CC63F4">
            <w:pPr>
              <w:pStyle w:val="17"/>
              <w:bidi w:val="0"/>
              <w:rPr>
                <w:color w:val="auto"/>
                <w:highlight w:val="none"/>
              </w:rPr>
            </w:pPr>
            <w:r>
              <w:rPr>
                <w:color w:val="auto"/>
                <w:highlight w:val="none"/>
              </w:rPr>
              <w:t>≥12.5</w:t>
            </w:r>
            <w:r>
              <w:rPr>
                <w:rFonts w:hint="eastAsia"/>
                <w:color w:val="auto"/>
                <w:highlight w:val="none"/>
              </w:rPr>
              <w:t>、</w:t>
            </w:r>
            <w:r>
              <w:rPr>
                <w:color w:val="auto"/>
                <w:highlight w:val="none"/>
              </w:rPr>
              <w:t>≤2.0</w:t>
            </w:r>
          </w:p>
        </w:tc>
        <w:tc>
          <w:tcPr>
            <w:tcW w:w="2133" w:type="dxa"/>
            <w:vAlign w:val="center"/>
          </w:tcPr>
          <w:p w14:paraId="203A7E46">
            <w:pPr>
              <w:pStyle w:val="17"/>
              <w:bidi w:val="0"/>
              <w:rPr>
                <w:color w:val="auto"/>
                <w:highlight w:val="none"/>
              </w:rPr>
            </w:pPr>
            <w:r>
              <w:rPr>
                <w:color w:val="auto"/>
                <w:highlight w:val="none"/>
              </w:rPr>
              <w:t>6~9</w:t>
            </w:r>
          </w:p>
        </w:tc>
      </w:tr>
      <w:tr w14:paraId="16ED37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61" w:type="dxa"/>
            <w:vAlign w:val="center"/>
          </w:tcPr>
          <w:p w14:paraId="6D9D0765">
            <w:pPr>
              <w:pStyle w:val="17"/>
              <w:bidi w:val="0"/>
              <w:rPr>
                <w:color w:val="auto"/>
                <w:highlight w:val="none"/>
              </w:rPr>
            </w:pPr>
            <w:r>
              <w:rPr>
                <w:color w:val="auto"/>
                <w:highlight w:val="none"/>
              </w:rPr>
              <w:t>2</w:t>
            </w:r>
          </w:p>
        </w:tc>
        <w:tc>
          <w:tcPr>
            <w:tcW w:w="1000" w:type="dxa"/>
            <w:vAlign w:val="center"/>
          </w:tcPr>
          <w:p w14:paraId="61D0DFF6">
            <w:pPr>
              <w:pStyle w:val="17"/>
              <w:bidi w:val="0"/>
              <w:rPr>
                <w:color w:val="auto"/>
                <w:highlight w:val="none"/>
              </w:rPr>
            </w:pPr>
            <w:r>
              <w:rPr>
                <w:rFonts w:hint="eastAsia"/>
                <w:color w:val="auto"/>
                <w:highlight w:val="none"/>
                <w:lang w:eastAsia="zh-CN"/>
              </w:rPr>
              <w:t>氟</w:t>
            </w:r>
            <w:r>
              <w:rPr>
                <w:rFonts w:hint="eastAsia"/>
                <w:color w:val="auto"/>
                <w:highlight w:val="none"/>
              </w:rPr>
              <w:t>化物</w:t>
            </w:r>
          </w:p>
        </w:tc>
        <w:tc>
          <w:tcPr>
            <w:tcW w:w="888" w:type="dxa"/>
            <w:vAlign w:val="center"/>
          </w:tcPr>
          <w:p w14:paraId="37E083AE">
            <w:pPr>
              <w:pStyle w:val="17"/>
              <w:bidi w:val="0"/>
              <w:rPr>
                <w:color w:val="auto"/>
                <w:highlight w:val="none"/>
              </w:rPr>
            </w:pPr>
            <w:r>
              <w:rPr>
                <w:color w:val="auto"/>
                <w:highlight w:val="none"/>
              </w:rPr>
              <w:t>mg/L</w:t>
            </w:r>
          </w:p>
        </w:tc>
        <w:tc>
          <w:tcPr>
            <w:tcW w:w="1112" w:type="dxa"/>
            <w:vAlign w:val="center"/>
          </w:tcPr>
          <w:p w14:paraId="43BC1974">
            <w:pPr>
              <w:pStyle w:val="17"/>
              <w:bidi w:val="0"/>
              <w:rPr>
                <w:rFonts w:hint="default"/>
                <w:color w:val="auto"/>
                <w:highlight w:val="none"/>
                <w:lang w:val="en-US" w:eastAsia="zh-CN"/>
              </w:rPr>
            </w:pPr>
            <w:r>
              <w:rPr>
                <w:rFonts w:hint="eastAsia"/>
                <w:color w:val="auto"/>
                <w:highlight w:val="none"/>
                <w:lang w:val="en-US" w:eastAsia="zh-CN"/>
              </w:rPr>
              <w:t>0.14</w:t>
            </w:r>
          </w:p>
        </w:tc>
        <w:tc>
          <w:tcPr>
            <w:tcW w:w="2928" w:type="dxa"/>
            <w:vAlign w:val="center"/>
          </w:tcPr>
          <w:p w14:paraId="3E9A4838">
            <w:pPr>
              <w:pStyle w:val="17"/>
              <w:bidi w:val="0"/>
              <w:rPr>
                <w:rFonts w:hint="default"/>
                <w:color w:val="auto"/>
                <w:highlight w:val="none"/>
                <w:lang w:val="en-US" w:eastAsia="zh-CN"/>
              </w:rPr>
            </w:pPr>
            <w:r>
              <w:rPr>
                <w:rFonts w:hint="eastAsia"/>
                <w:color w:val="auto"/>
                <w:highlight w:val="none"/>
                <w:lang w:val="en-US" w:eastAsia="zh-CN"/>
              </w:rPr>
              <w:t>100</w:t>
            </w:r>
          </w:p>
        </w:tc>
        <w:tc>
          <w:tcPr>
            <w:tcW w:w="2133" w:type="dxa"/>
            <w:vAlign w:val="center"/>
          </w:tcPr>
          <w:p w14:paraId="72F21D3D">
            <w:pPr>
              <w:pStyle w:val="17"/>
              <w:bidi w:val="0"/>
              <w:rPr>
                <w:rFonts w:hint="default"/>
                <w:color w:val="auto"/>
                <w:highlight w:val="none"/>
                <w:lang w:val="en-US" w:eastAsia="zh-CN"/>
              </w:rPr>
            </w:pPr>
            <w:r>
              <w:rPr>
                <w:rFonts w:hint="eastAsia"/>
                <w:color w:val="auto"/>
                <w:highlight w:val="none"/>
                <w:lang w:val="en-US" w:eastAsia="zh-CN"/>
              </w:rPr>
              <w:t>10</w:t>
            </w:r>
          </w:p>
        </w:tc>
      </w:tr>
      <w:tr w14:paraId="108478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269E2F6F">
            <w:pPr>
              <w:pStyle w:val="17"/>
              <w:bidi w:val="0"/>
              <w:rPr>
                <w:color w:val="auto"/>
                <w:highlight w:val="none"/>
              </w:rPr>
            </w:pPr>
            <w:r>
              <w:rPr>
                <w:color w:val="auto"/>
                <w:highlight w:val="none"/>
              </w:rPr>
              <w:t>3</w:t>
            </w:r>
          </w:p>
        </w:tc>
        <w:tc>
          <w:tcPr>
            <w:tcW w:w="1000" w:type="dxa"/>
            <w:vAlign w:val="center"/>
          </w:tcPr>
          <w:p w14:paraId="05A49A3E">
            <w:pPr>
              <w:pStyle w:val="17"/>
              <w:bidi w:val="0"/>
              <w:rPr>
                <w:color w:val="auto"/>
                <w:highlight w:val="none"/>
              </w:rPr>
            </w:pPr>
            <w:r>
              <w:rPr>
                <w:rFonts w:hint="eastAsia"/>
                <w:color w:val="auto"/>
                <w:highlight w:val="none"/>
              </w:rPr>
              <w:t>六价铬</w:t>
            </w:r>
          </w:p>
        </w:tc>
        <w:tc>
          <w:tcPr>
            <w:tcW w:w="888" w:type="dxa"/>
            <w:vAlign w:val="center"/>
          </w:tcPr>
          <w:p w14:paraId="0E4D940C">
            <w:pPr>
              <w:pStyle w:val="17"/>
              <w:bidi w:val="0"/>
              <w:rPr>
                <w:color w:val="auto"/>
                <w:highlight w:val="none"/>
              </w:rPr>
            </w:pPr>
            <w:r>
              <w:rPr>
                <w:color w:val="auto"/>
                <w:highlight w:val="none"/>
              </w:rPr>
              <w:t>mg/L</w:t>
            </w:r>
          </w:p>
        </w:tc>
        <w:tc>
          <w:tcPr>
            <w:tcW w:w="1112" w:type="dxa"/>
            <w:vAlign w:val="center"/>
          </w:tcPr>
          <w:p w14:paraId="4887754E">
            <w:pPr>
              <w:pStyle w:val="17"/>
              <w:bidi w:val="0"/>
              <w:rPr>
                <w:rFonts w:hint="default"/>
                <w:color w:val="auto"/>
                <w:highlight w:val="none"/>
                <w:lang w:val="en-US" w:eastAsia="zh-CN"/>
              </w:rPr>
            </w:pPr>
            <w:r>
              <w:rPr>
                <w:rFonts w:hint="eastAsia"/>
                <w:color w:val="auto"/>
                <w:highlight w:val="none"/>
                <w:lang w:val="en-US" w:eastAsia="zh-CN"/>
              </w:rPr>
              <w:t>0.014</w:t>
            </w:r>
          </w:p>
        </w:tc>
        <w:tc>
          <w:tcPr>
            <w:tcW w:w="2928" w:type="dxa"/>
            <w:vAlign w:val="center"/>
          </w:tcPr>
          <w:p w14:paraId="017C6F5E">
            <w:pPr>
              <w:pStyle w:val="17"/>
              <w:bidi w:val="0"/>
              <w:rPr>
                <w:color w:val="auto"/>
                <w:highlight w:val="none"/>
              </w:rPr>
            </w:pPr>
            <w:r>
              <w:rPr>
                <w:rFonts w:hint="eastAsia"/>
                <w:color w:val="auto"/>
                <w:highlight w:val="none"/>
              </w:rPr>
              <w:t>5</w:t>
            </w:r>
          </w:p>
        </w:tc>
        <w:tc>
          <w:tcPr>
            <w:tcW w:w="2133" w:type="dxa"/>
            <w:vAlign w:val="center"/>
          </w:tcPr>
          <w:p w14:paraId="6DCE51EA">
            <w:pPr>
              <w:pStyle w:val="17"/>
              <w:bidi w:val="0"/>
              <w:rPr>
                <w:color w:val="auto"/>
                <w:highlight w:val="none"/>
              </w:rPr>
            </w:pPr>
            <w:r>
              <w:rPr>
                <w:rFonts w:hint="eastAsia"/>
                <w:color w:val="auto"/>
                <w:highlight w:val="none"/>
              </w:rPr>
              <w:t>0.5</w:t>
            </w:r>
          </w:p>
        </w:tc>
      </w:tr>
      <w:tr w14:paraId="303D21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5666A008">
            <w:pPr>
              <w:pStyle w:val="17"/>
              <w:bidi w:val="0"/>
              <w:rPr>
                <w:color w:val="auto"/>
                <w:highlight w:val="none"/>
              </w:rPr>
            </w:pPr>
            <w:r>
              <w:rPr>
                <w:color w:val="auto"/>
                <w:highlight w:val="none"/>
              </w:rPr>
              <w:t>4</w:t>
            </w:r>
          </w:p>
        </w:tc>
        <w:tc>
          <w:tcPr>
            <w:tcW w:w="1000" w:type="dxa"/>
            <w:vAlign w:val="center"/>
          </w:tcPr>
          <w:p w14:paraId="3FACE9B2">
            <w:pPr>
              <w:pStyle w:val="17"/>
              <w:bidi w:val="0"/>
              <w:rPr>
                <w:color w:val="auto"/>
                <w:highlight w:val="none"/>
              </w:rPr>
            </w:pPr>
            <w:r>
              <w:rPr>
                <w:rFonts w:hint="eastAsia"/>
                <w:color w:val="auto"/>
                <w:highlight w:val="none"/>
              </w:rPr>
              <w:t>钡</w:t>
            </w:r>
          </w:p>
        </w:tc>
        <w:tc>
          <w:tcPr>
            <w:tcW w:w="888" w:type="dxa"/>
            <w:vAlign w:val="center"/>
          </w:tcPr>
          <w:p w14:paraId="1D454325">
            <w:pPr>
              <w:pStyle w:val="17"/>
              <w:bidi w:val="0"/>
              <w:rPr>
                <w:color w:val="auto"/>
                <w:highlight w:val="none"/>
              </w:rPr>
            </w:pPr>
            <w:r>
              <w:rPr>
                <w:rFonts w:hint="eastAsia"/>
                <w:color w:val="auto"/>
                <w:highlight w:val="none"/>
                <w:lang w:val="en-US" w:eastAsia="zh-CN"/>
              </w:rPr>
              <w:t>m</w:t>
            </w:r>
            <w:r>
              <w:rPr>
                <w:color w:val="auto"/>
                <w:highlight w:val="none"/>
              </w:rPr>
              <w:t>g/L</w:t>
            </w:r>
          </w:p>
        </w:tc>
        <w:tc>
          <w:tcPr>
            <w:tcW w:w="1112" w:type="dxa"/>
            <w:vAlign w:val="center"/>
          </w:tcPr>
          <w:p w14:paraId="1AAE3332">
            <w:pPr>
              <w:pStyle w:val="17"/>
              <w:bidi w:val="0"/>
              <w:rPr>
                <w:rFonts w:hint="default"/>
                <w:color w:val="auto"/>
                <w:highlight w:val="none"/>
                <w:lang w:val="en-US" w:eastAsia="zh-CN"/>
              </w:rPr>
            </w:pPr>
            <w:r>
              <w:rPr>
                <w:rFonts w:hint="eastAsia"/>
                <w:color w:val="auto"/>
                <w:highlight w:val="none"/>
                <w:lang w:val="en-US" w:eastAsia="zh-CN"/>
              </w:rPr>
              <w:t>0.19</w:t>
            </w:r>
          </w:p>
        </w:tc>
        <w:tc>
          <w:tcPr>
            <w:tcW w:w="2928" w:type="dxa"/>
            <w:vAlign w:val="center"/>
          </w:tcPr>
          <w:p w14:paraId="18DA7086">
            <w:pPr>
              <w:pStyle w:val="17"/>
              <w:bidi w:val="0"/>
              <w:rPr>
                <w:color w:val="auto"/>
                <w:highlight w:val="none"/>
              </w:rPr>
            </w:pPr>
            <w:r>
              <w:rPr>
                <w:rFonts w:hint="eastAsia"/>
                <w:color w:val="auto"/>
                <w:highlight w:val="none"/>
              </w:rPr>
              <w:t>100</w:t>
            </w:r>
          </w:p>
        </w:tc>
        <w:tc>
          <w:tcPr>
            <w:tcW w:w="2133" w:type="dxa"/>
            <w:vAlign w:val="center"/>
          </w:tcPr>
          <w:p w14:paraId="68AC5478">
            <w:pPr>
              <w:pStyle w:val="17"/>
              <w:bidi w:val="0"/>
              <w:rPr>
                <w:color w:val="auto"/>
                <w:highlight w:val="none"/>
              </w:rPr>
            </w:pPr>
            <w:r>
              <w:rPr>
                <w:rFonts w:hint="eastAsia"/>
                <w:color w:val="auto"/>
                <w:highlight w:val="none"/>
              </w:rPr>
              <w:t>/</w:t>
            </w:r>
          </w:p>
        </w:tc>
      </w:tr>
      <w:tr w14:paraId="240725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227631E3">
            <w:pPr>
              <w:pStyle w:val="17"/>
              <w:bidi w:val="0"/>
              <w:rPr>
                <w:color w:val="auto"/>
                <w:highlight w:val="none"/>
              </w:rPr>
            </w:pPr>
            <w:r>
              <w:rPr>
                <w:color w:val="auto"/>
                <w:highlight w:val="none"/>
              </w:rPr>
              <w:t>5</w:t>
            </w:r>
          </w:p>
        </w:tc>
        <w:tc>
          <w:tcPr>
            <w:tcW w:w="1000" w:type="dxa"/>
            <w:vAlign w:val="center"/>
          </w:tcPr>
          <w:p w14:paraId="6240DD2D">
            <w:pPr>
              <w:pStyle w:val="17"/>
              <w:bidi w:val="0"/>
              <w:rPr>
                <w:color w:val="auto"/>
                <w:highlight w:val="none"/>
              </w:rPr>
            </w:pPr>
            <w:r>
              <w:rPr>
                <w:rFonts w:hint="eastAsia"/>
                <w:color w:val="auto"/>
                <w:highlight w:val="none"/>
              </w:rPr>
              <w:t>镉</w:t>
            </w:r>
          </w:p>
        </w:tc>
        <w:tc>
          <w:tcPr>
            <w:tcW w:w="888" w:type="dxa"/>
            <w:vAlign w:val="center"/>
          </w:tcPr>
          <w:p w14:paraId="20FE6DFE">
            <w:pPr>
              <w:pStyle w:val="17"/>
              <w:bidi w:val="0"/>
              <w:rPr>
                <w:color w:val="auto"/>
                <w:highlight w:val="none"/>
              </w:rPr>
            </w:pPr>
            <w:r>
              <w:rPr>
                <w:color w:val="auto"/>
                <w:highlight w:val="none"/>
              </w:rPr>
              <w:t>mg/L</w:t>
            </w:r>
          </w:p>
        </w:tc>
        <w:tc>
          <w:tcPr>
            <w:tcW w:w="1112" w:type="dxa"/>
            <w:vAlign w:val="center"/>
          </w:tcPr>
          <w:p w14:paraId="6B69BB44">
            <w:pPr>
              <w:pStyle w:val="17"/>
              <w:bidi w:val="0"/>
              <w:rPr>
                <w:rFonts w:hint="default"/>
                <w:color w:val="auto"/>
                <w:highlight w:val="none"/>
                <w:lang w:val="en-US" w:eastAsia="zh-CN"/>
              </w:rPr>
            </w:pPr>
            <w:r>
              <w:rPr>
                <w:rFonts w:hint="eastAsia"/>
                <w:color w:val="auto"/>
                <w:highlight w:val="none"/>
                <w:lang w:val="en-US" w:eastAsia="zh-CN"/>
              </w:rPr>
              <w:t>0.0119</w:t>
            </w:r>
          </w:p>
        </w:tc>
        <w:tc>
          <w:tcPr>
            <w:tcW w:w="2928" w:type="dxa"/>
            <w:vAlign w:val="center"/>
          </w:tcPr>
          <w:p w14:paraId="28AB4608">
            <w:pPr>
              <w:pStyle w:val="17"/>
              <w:bidi w:val="0"/>
              <w:rPr>
                <w:color w:val="auto"/>
                <w:highlight w:val="none"/>
              </w:rPr>
            </w:pPr>
            <w:r>
              <w:rPr>
                <w:rFonts w:hint="eastAsia"/>
                <w:color w:val="auto"/>
                <w:highlight w:val="none"/>
              </w:rPr>
              <w:t>1</w:t>
            </w:r>
          </w:p>
        </w:tc>
        <w:tc>
          <w:tcPr>
            <w:tcW w:w="2133" w:type="dxa"/>
            <w:vAlign w:val="center"/>
          </w:tcPr>
          <w:p w14:paraId="1BF5B71A">
            <w:pPr>
              <w:pStyle w:val="17"/>
              <w:bidi w:val="0"/>
              <w:rPr>
                <w:color w:val="auto"/>
                <w:highlight w:val="none"/>
              </w:rPr>
            </w:pPr>
            <w:r>
              <w:rPr>
                <w:rFonts w:hint="eastAsia"/>
                <w:color w:val="auto"/>
                <w:highlight w:val="none"/>
              </w:rPr>
              <w:t>0.1</w:t>
            </w:r>
          </w:p>
        </w:tc>
      </w:tr>
      <w:tr w14:paraId="0BCC30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7CFEB14C">
            <w:pPr>
              <w:pStyle w:val="17"/>
              <w:bidi w:val="0"/>
              <w:rPr>
                <w:color w:val="auto"/>
                <w:highlight w:val="none"/>
              </w:rPr>
            </w:pPr>
            <w:r>
              <w:rPr>
                <w:color w:val="auto"/>
                <w:highlight w:val="none"/>
              </w:rPr>
              <w:t>6</w:t>
            </w:r>
          </w:p>
        </w:tc>
        <w:tc>
          <w:tcPr>
            <w:tcW w:w="1000" w:type="dxa"/>
            <w:vAlign w:val="center"/>
          </w:tcPr>
          <w:p w14:paraId="19DABACF">
            <w:pPr>
              <w:pStyle w:val="17"/>
              <w:bidi w:val="0"/>
              <w:rPr>
                <w:color w:val="auto"/>
                <w:highlight w:val="none"/>
              </w:rPr>
            </w:pPr>
            <w:r>
              <w:rPr>
                <w:rFonts w:hint="eastAsia"/>
                <w:color w:val="auto"/>
                <w:highlight w:val="none"/>
              </w:rPr>
              <w:t>铬</w:t>
            </w:r>
          </w:p>
        </w:tc>
        <w:tc>
          <w:tcPr>
            <w:tcW w:w="888" w:type="dxa"/>
            <w:vAlign w:val="center"/>
          </w:tcPr>
          <w:p w14:paraId="53C65987">
            <w:pPr>
              <w:pStyle w:val="17"/>
              <w:bidi w:val="0"/>
              <w:rPr>
                <w:color w:val="auto"/>
                <w:highlight w:val="none"/>
              </w:rPr>
            </w:pPr>
            <w:r>
              <w:rPr>
                <w:color w:val="auto"/>
                <w:highlight w:val="none"/>
              </w:rPr>
              <w:t>mg/L</w:t>
            </w:r>
          </w:p>
        </w:tc>
        <w:tc>
          <w:tcPr>
            <w:tcW w:w="1112" w:type="dxa"/>
            <w:vAlign w:val="center"/>
          </w:tcPr>
          <w:p w14:paraId="3DCE4B1A">
            <w:pPr>
              <w:pStyle w:val="17"/>
              <w:bidi w:val="0"/>
              <w:rPr>
                <w:rFonts w:hint="default"/>
                <w:color w:val="auto"/>
                <w:highlight w:val="none"/>
                <w:lang w:val="en-US" w:eastAsia="zh-CN"/>
              </w:rPr>
            </w:pPr>
            <w:r>
              <w:rPr>
                <w:rFonts w:hint="eastAsia"/>
                <w:color w:val="auto"/>
                <w:highlight w:val="none"/>
                <w:lang w:val="en-US" w:eastAsia="zh-CN"/>
              </w:rPr>
              <w:t>0.05</w:t>
            </w:r>
          </w:p>
        </w:tc>
        <w:tc>
          <w:tcPr>
            <w:tcW w:w="2928" w:type="dxa"/>
            <w:vAlign w:val="center"/>
          </w:tcPr>
          <w:p w14:paraId="254E8C18">
            <w:pPr>
              <w:pStyle w:val="17"/>
              <w:bidi w:val="0"/>
              <w:rPr>
                <w:color w:val="auto"/>
                <w:highlight w:val="none"/>
              </w:rPr>
            </w:pPr>
            <w:r>
              <w:rPr>
                <w:rFonts w:hint="eastAsia"/>
                <w:color w:val="auto"/>
                <w:highlight w:val="none"/>
              </w:rPr>
              <w:t>15</w:t>
            </w:r>
          </w:p>
        </w:tc>
        <w:tc>
          <w:tcPr>
            <w:tcW w:w="2133" w:type="dxa"/>
            <w:vAlign w:val="center"/>
          </w:tcPr>
          <w:p w14:paraId="58CA10A3">
            <w:pPr>
              <w:pStyle w:val="17"/>
              <w:bidi w:val="0"/>
              <w:rPr>
                <w:color w:val="auto"/>
                <w:highlight w:val="none"/>
              </w:rPr>
            </w:pPr>
            <w:r>
              <w:rPr>
                <w:rFonts w:hint="eastAsia"/>
                <w:color w:val="auto"/>
                <w:highlight w:val="none"/>
              </w:rPr>
              <w:t>1.5</w:t>
            </w:r>
          </w:p>
        </w:tc>
      </w:tr>
      <w:tr w14:paraId="6A1C64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2E84FA49">
            <w:pPr>
              <w:pStyle w:val="17"/>
              <w:bidi w:val="0"/>
              <w:rPr>
                <w:color w:val="auto"/>
                <w:highlight w:val="none"/>
              </w:rPr>
            </w:pPr>
            <w:r>
              <w:rPr>
                <w:color w:val="auto"/>
                <w:highlight w:val="none"/>
              </w:rPr>
              <w:t>7</w:t>
            </w:r>
          </w:p>
        </w:tc>
        <w:tc>
          <w:tcPr>
            <w:tcW w:w="1000" w:type="dxa"/>
            <w:vAlign w:val="center"/>
          </w:tcPr>
          <w:p w14:paraId="172A6286">
            <w:pPr>
              <w:pStyle w:val="17"/>
              <w:bidi w:val="0"/>
              <w:rPr>
                <w:color w:val="auto"/>
                <w:highlight w:val="none"/>
              </w:rPr>
            </w:pPr>
            <w:r>
              <w:rPr>
                <w:rFonts w:hint="eastAsia"/>
                <w:color w:val="auto"/>
                <w:highlight w:val="none"/>
              </w:rPr>
              <w:t>镍</w:t>
            </w:r>
          </w:p>
        </w:tc>
        <w:tc>
          <w:tcPr>
            <w:tcW w:w="888" w:type="dxa"/>
            <w:vAlign w:val="center"/>
          </w:tcPr>
          <w:p w14:paraId="5BE6B5CD">
            <w:pPr>
              <w:pStyle w:val="17"/>
              <w:bidi w:val="0"/>
              <w:rPr>
                <w:color w:val="auto"/>
                <w:highlight w:val="none"/>
              </w:rPr>
            </w:pPr>
            <w:r>
              <w:rPr>
                <w:color w:val="auto"/>
                <w:highlight w:val="none"/>
              </w:rPr>
              <w:t>mg/L</w:t>
            </w:r>
          </w:p>
        </w:tc>
        <w:tc>
          <w:tcPr>
            <w:tcW w:w="1112" w:type="dxa"/>
            <w:vAlign w:val="center"/>
          </w:tcPr>
          <w:p w14:paraId="7CD6CA91">
            <w:pPr>
              <w:pStyle w:val="17"/>
              <w:bidi w:val="0"/>
              <w:rPr>
                <w:rFonts w:hint="default"/>
                <w:color w:val="auto"/>
                <w:highlight w:val="none"/>
                <w:lang w:val="en-US" w:eastAsia="zh-CN"/>
              </w:rPr>
            </w:pPr>
            <w:r>
              <w:rPr>
                <w:rFonts w:hint="eastAsia"/>
                <w:color w:val="auto"/>
                <w:highlight w:val="none"/>
                <w:lang w:val="en-US" w:eastAsia="zh-CN"/>
              </w:rPr>
              <w:t>0.00002L</w:t>
            </w:r>
          </w:p>
        </w:tc>
        <w:tc>
          <w:tcPr>
            <w:tcW w:w="2928" w:type="dxa"/>
            <w:vAlign w:val="center"/>
          </w:tcPr>
          <w:p w14:paraId="26175BA6">
            <w:pPr>
              <w:pStyle w:val="17"/>
              <w:bidi w:val="0"/>
              <w:rPr>
                <w:color w:val="auto"/>
                <w:highlight w:val="none"/>
              </w:rPr>
            </w:pPr>
            <w:r>
              <w:rPr>
                <w:rFonts w:hint="eastAsia"/>
                <w:color w:val="auto"/>
                <w:highlight w:val="none"/>
              </w:rPr>
              <w:t>5</w:t>
            </w:r>
          </w:p>
        </w:tc>
        <w:tc>
          <w:tcPr>
            <w:tcW w:w="2133" w:type="dxa"/>
            <w:vAlign w:val="center"/>
          </w:tcPr>
          <w:p w14:paraId="6CBD74E9">
            <w:pPr>
              <w:pStyle w:val="17"/>
              <w:bidi w:val="0"/>
              <w:rPr>
                <w:rFonts w:hint="default"/>
                <w:color w:val="auto"/>
                <w:highlight w:val="none"/>
                <w:lang w:val="en-US" w:eastAsia="zh-CN"/>
              </w:rPr>
            </w:pPr>
            <w:r>
              <w:rPr>
                <w:rFonts w:hint="eastAsia"/>
                <w:color w:val="auto"/>
                <w:highlight w:val="none"/>
              </w:rPr>
              <w:t>1</w:t>
            </w:r>
            <w:r>
              <w:rPr>
                <w:rFonts w:hint="eastAsia"/>
                <w:color w:val="auto"/>
                <w:highlight w:val="none"/>
                <w:lang w:val="en-US" w:eastAsia="zh-CN"/>
              </w:rPr>
              <w:t>.0</w:t>
            </w:r>
          </w:p>
        </w:tc>
      </w:tr>
      <w:tr w14:paraId="72A485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56D2D05A">
            <w:pPr>
              <w:pStyle w:val="17"/>
              <w:bidi w:val="0"/>
              <w:rPr>
                <w:color w:val="auto"/>
                <w:highlight w:val="none"/>
              </w:rPr>
            </w:pPr>
            <w:r>
              <w:rPr>
                <w:color w:val="auto"/>
                <w:highlight w:val="none"/>
              </w:rPr>
              <w:t>8</w:t>
            </w:r>
          </w:p>
        </w:tc>
        <w:tc>
          <w:tcPr>
            <w:tcW w:w="1000" w:type="dxa"/>
            <w:vAlign w:val="center"/>
          </w:tcPr>
          <w:p w14:paraId="7C1A38E5">
            <w:pPr>
              <w:pStyle w:val="17"/>
              <w:bidi w:val="0"/>
              <w:rPr>
                <w:color w:val="auto"/>
                <w:highlight w:val="none"/>
              </w:rPr>
            </w:pPr>
            <w:r>
              <w:rPr>
                <w:rFonts w:hint="eastAsia"/>
                <w:color w:val="auto"/>
                <w:highlight w:val="none"/>
              </w:rPr>
              <w:t>铍</w:t>
            </w:r>
          </w:p>
        </w:tc>
        <w:tc>
          <w:tcPr>
            <w:tcW w:w="888" w:type="dxa"/>
            <w:vAlign w:val="center"/>
          </w:tcPr>
          <w:p w14:paraId="04D40068">
            <w:pPr>
              <w:pStyle w:val="17"/>
              <w:bidi w:val="0"/>
              <w:rPr>
                <w:color w:val="auto"/>
                <w:highlight w:val="none"/>
              </w:rPr>
            </w:pPr>
            <w:r>
              <w:rPr>
                <w:color w:val="auto"/>
                <w:highlight w:val="none"/>
              </w:rPr>
              <w:t>mg/L</w:t>
            </w:r>
          </w:p>
        </w:tc>
        <w:tc>
          <w:tcPr>
            <w:tcW w:w="1112" w:type="dxa"/>
            <w:vAlign w:val="center"/>
          </w:tcPr>
          <w:p w14:paraId="388967D4">
            <w:pPr>
              <w:pStyle w:val="17"/>
              <w:bidi w:val="0"/>
              <w:rPr>
                <w:rFonts w:hint="default"/>
                <w:color w:val="auto"/>
                <w:highlight w:val="none"/>
                <w:lang w:val="en-US" w:eastAsia="zh-CN"/>
              </w:rPr>
            </w:pPr>
            <w:r>
              <w:rPr>
                <w:rFonts w:hint="eastAsia"/>
                <w:color w:val="auto"/>
                <w:highlight w:val="none"/>
                <w:lang w:val="en-US" w:eastAsia="zh-CN"/>
              </w:rPr>
              <w:t>0.004L</w:t>
            </w:r>
          </w:p>
        </w:tc>
        <w:tc>
          <w:tcPr>
            <w:tcW w:w="2928" w:type="dxa"/>
            <w:vAlign w:val="center"/>
          </w:tcPr>
          <w:p w14:paraId="6B707380">
            <w:pPr>
              <w:pStyle w:val="17"/>
              <w:bidi w:val="0"/>
              <w:rPr>
                <w:color w:val="auto"/>
                <w:highlight w:val="none"/>
              </w:rPr>
            </w:pPr>
            <w:r>
              <w:rPr>
                <w:rFonts w:hint="eastAsia"/>
                <w:color w:val="auto"/>
                <w:highlight w:val="none"/>
              </w:rPr>
              <w:t>0.02</w:t>
            </w:r>
          </w:p>
        </w:tc>
        <w:tc>
          <w:tcPr>
            <w:tcW w:w="2133" w:type="dxa"/>
            <w:vAlign w:val="center"/>
          </w:tcPr>
          <w:p w14:paraId="60383F90">
            <w:pPr>
              <w:pStyle w:val="17"/>
              <w:bidi w:val="0"/>
              <w:rPr>
                <w:color w:val="auto"/>
                <w:highlight w:val="none"/>
              </w:rPr>
            </w:pPr>
            <w:r>
              <w:rPr>
                <w:rFonts w:hint="eastAsia"/>
                <w:color w:val="auto"/>
                <w:highlight w:val="none"/>
              </w:rPr>
              <w:t>0.005</w:t>
            </w:r>
          </w:p>
        </w:tc>
      </w:tr>
      <w:tr w14:paraId="13C452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3EE1DC39">
            <w:pPr>
              <w:pStyle w:val="17"/>
              <w:bidi w:val="0"/>
              <w:rPr>
                <w:color w:val="auto"/>
                <w:highlight w:val="none"/>
              </w:rPr>
            </w:pPr>
            <w:r>
              <w:rPr>
                <w:color w:val="auto"/>
                <w:highlight w:val="none"/>
              </w:rPr>
              <w:t>9</w:t>
            </w:r>
          </w:p>
        </w:tc>
        <w:tc>
          <w:tcPr>
            <w:tcW w:w="1000" w:type="dxa"/>
            <w:vAlign w:val="center"/>
          </w:tcPr>
          <w:p w14:paraId="0305C7D5">
            <w:pPr>
              <w:pStyle w:val="17"/>
              <w:bidi w:val="0"/>
              <w:rPr>
                <w:color w:val="auto"/>
                <w:highlight w:val="none"/>
              </w:rPr>
            </w:pPr>
            <w:r>
              <w:rPr>
                <w:rFonts w:hint="eastAsia"/>
                <w:color w:val="auto"/>
                <w:highlight w:val="none"/>
              </w:rPr>
              <w:t>铅</w:t>
            </w:r>
          </w:p>
        </w:tc>
        <w:tc>
          <w:tcPr>
            <w:tcW w:w="888" w:type="dxa"/>
            <w:vAlign w:val="center"/>
          </w:tcPr>
          <w:p w14:paraId="655ABC86">
            <w:pPr>
              <w:pStyle w:val="17"/>
              <w:bidi w:val="0"/>
              <w:rPr>
                <w:color w:val="auto"/>
                <w:highlight w:val="none"/>
              </w:rPr>
            </w:pPr>
            <w:r>
              <w:rPr>
                <w:color w:val="auto"/>
                <w:highlight w:val="none"/>
              </w:rPr>
              <w:t>mg/L</w:t>
            </w:r>
          </w:p>
        </w:tc>
        <w:tc>
          <w:tcPr>
            <w:tcW w:w="1112" w:type="dxa"/>
            <w:vAlign w:val="center"/>
          </w:tcPr>
          <w:p w14:paraId="4F5B46DD">
            <w:pPr>
              <w:pStyle w:val="17"/>
              <w:bidi w:val="0"/>
              <w:rPr>
                <w:rFonts w:hint="default"/>
                <w:color w:val="auto"/>
                <w:highlight w:val="none"/>
                <w:lang w:val="en-US" w:eastAsia="zh-CN"/>
              </w:rPr>
            </w:pPr>
            <w:r>
              <w:rPr>
                <w:rFonts w:hint="eastAsia"/>
                <w:color w:val="auto"/>
                <w:highlight w:val="none"/>
                <w:lang w:val="en-US" w:eastAsia="zh-CN"/>
              </w:rPr>
              <w:t>0.022</w:t>
            </w:r>
          </w:p>
        </w:tc>
        <w:tc>
          <w:tcPr>
            <w:tcW w:w="2928" w:type="dxa"/>
            <w:vAlign w:val="center"/>
          </w:tcPr>
          <w:p w14:paraId="073C225F">
            <w:pPr>
              <w:pStyle w:val="17"/>
              <w:bidi w:val="0"/>
              <w:rPr>
                <w:color w:val="auto"/>
                <w:highlight w:val="none"/>
              </w:rPr>
            </w:pPr>
            <w:r>
              <w:rPr>
                <w:rFonts w:hint="eastAsia"/>
                <w:color w:val="auto"/>
                <w:highlight w:val="none"/>
              </w:rPr>
              <w:t>5</w:t>
            </w:r>
          </w:p>
        </w:tc>
        <w:tc>
          <w:tcPr>
            <w:tcW w:w="2133" w:type="dxa"/>
            <w:vAlign w:val="center"/>
          </w:tcPr>
          <w:p w14:paraId="2C92E591">
            <w:pPr>
              <w:pStyle w:val="17"/>
              <w:bidi w:val="0"/>
              <w:rPr>
                <w:rFonts w:hint="eastAsia"/>
                <w:color w:val="auto"/>
                <w:highlight w:val="none"/>
                <w:lang w:val="en-US" w:eastAsia="zh-CN"/>
              </w:rPr>
            </w:pPr>
            <w:r>
              <w:rPr>
                <w:rFonts w:hint="eastAsia"/>
                <w:color w:val="auto"/>
                <w:highlight w:val="none"/>
              </w:rPr>
              <w:t>1</w:t>
            </w:r>
            <w:r>
              <w:rPr>
                <w:rFonts w:hint="eastAsia"/>
                <w:color w:val="auto"/>
                <w:highlight w:val="none"/>
                <w:lang w:val="en-US" w:eastAsia="zh-CN"/>
              </w:rPr>
              <w:t>.0</w:t>
            </w:r>
          </w:p>
        </w:tc>
      </w:tr>
      <w:tr w14:paraId="65689A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14185F46">
            <w:pPr>
              <w:pStyle w:val="17"/>
              <w:bidi w:val="0"/>
              <w:rPr>
                <w:color w:val="auto"/>
                <w:highlight w:val="none"/>
              </w:rPr>
            </w:pPr>
            <w:r>
              <w:rPr>
                <w:color w:val="auto"/>
                <w:highlight w:val="none"/>
              </w:rPr>
              <w:t>10</w:t>
            </w:r>
          </w:p>
        </w:tc>
        <w:tc>
          <w:tcPr>
            <w:tcW w:w="1000" w:type="dxa"/>
            <w:vAlign w:val="center"/>
          </w:tcPr>
          <w:p w14:paraId="7AB0402C">
            <w:pPr>
              <w:pStyle w:val="17"/>
              <w:bidi w:val="0"/>
              <w:rPr>
                <w:color w:val="auto"/>
                <w:highlight w:val="none"/>
              </w:rPr>
            </w:pPr>
            <w:r>
              <w:rPr>
                <w:rFonts w:hint="eastAsia"/>
                <w:color w:val="auto"/>
                <w:highlight w:val="none"/>
              </w:rPr>
              <w:t>砷</w:t>
            </w:r>
          </w:p>
        </w:tc>
        <w:tc>
          <w:tcPr>
            <w:tcW w:w="888" w:type="dxa"/>
            <w:vAlign w:val="center"/>
          </w:tcPr>
          <w:p w14:paraId="7E310C10">
            <w:pPr>
              <w:pStyle w:val="17"/>
              <w:bidi w:val="0"/>
              <w:rPr>
                <w:color w:val="auto"/>
                <w:highlight w:val="none"/>
              </w:rPr>
            </w:pPr>
            <w:r>
              <w:rPr>
                <w:rFonts w:hint="eastAsia"/>
                <w:color w:val="auto"/>
                <w:highlight w:val="none"/>
                <w:lang w:val="en-US" w:eastAsia="zh-CN"/>
              </w:rPr>
              <w:t>m</w:t>
            </w:r>
            <w:r>
              <w:rPr>
                <w:color w:val="auto"/>
                <w:highlight w:val="none"/>
              </w:rPr>
              <w:t>g/L</w:t>
            </w:r>
          </w:p>
        </w:tc>
        <w:tc>
          <w:tcPr>
            <w:tcW w:w="1112" w:type="dxa"/>
            <w:vAlign w:val="center"/>
          </w:tcPr>
          <w:p w14:paraId="2E2CE766">
            <w:pPr>
              <w:pStyle w:val="17"/>
              <w:bidi w:val="0"/>
              <w:rPr>
                <w:rFonts w:hint="default"/>
                <w:color w:val="auto"/>
                <w:highlight w:val="none"/>
                <w:lang w:val="en-US" w:eastAsia="zh-CN"/>
              </w:rPr>
            </w:pPr>
            <w:r>
              <w:rPr>
                <w:rFonts w:hint="eastAsia"/>
                <w:color w:val="auto"/>
                <w:highlight w:val="none"/>
                <w:lang w:val="en-US" w:eastAsia="zh-CN"/>
              </w:rPr>
              <w:t>0.0001L</w:t>
            </w:r>
          </w:p>
        </w:tc>
        <w:tc>
          <w:tcPr>
            <w:tcW w:w="2928" w:type="dxa"/>
            <w:vAlign w:val="center"/>
          </w:tcPr>
          <w:p w14:paraId="1C307C8E">
            <w:pPr>
              <w:pStyle w:val="17"/>
              <w:bidi w:val="0"/>
              <w:rPr>
                <w:rFonts w:hint="eastAsia"/>
                <w:color w:val="auto"/>
                <w:highlight w:val="none"/>
                <w:lang w:eastAsia="zh-CN"/>
              </w:rPr>
            </w:pPr>
            <w:r>
              <w:rPr>
                <w:rFonts w:hint="eastAsia"/>
                <w:color w:val="auto"/>
                <w:highlight w:val="none"/>
                <w:lang w:val="en-US" w:eastAsia="zh-CN"/>
              </w:rPr>
              <w:t>5</w:t>
            </w:r>
          </w:p>
        </w:tc>
        <w:tc>
          <w:tcPr>
            <w:tcW w:w="2133" w:type="dxa"/>
            <w:vAlign w:val="center"/>
          </w:tcPr>
          <w:p w14:paraId="248B8772">
            <w:pPr>
              <w:pStyle w:val="17"/>
              <w:bidi w:val="0"/>
              <w:rPr>
                <w:rFonts w:hint="default"/>
                <w:color w:val="auto"/>
                <w:highlight w:val="none"/>
                <w:lang w:val="en-US" w:eastAsia="zh-CN"/>
              </w:rPr>
            </w:pPr>
            <w:r>
              <w:rPr>
                <w:rFonts w:hint="eastAsia"/>
                <w:color w:val="auto"/>
                <w:highlight w:val="none"/>
                <w:lang w:val="en-US" w:eastAsia="zh-CN"/>
              </w:rPr>
              <w:t>0.5</w:t>
            </w:r>
          </w:p>
        </w:tc>
      </w:tr>
      <w:tr w14:paraId="08879B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1252F9CB">
            <w:pPr>
              <w:pStyle w:val="17"/>
              <w:bidi w:val="0"/>
              <w:rPr>
                <w:color w:val="auto"/>
                <w:highlight w:val="none"/>
              </w:rPr>
            </w:pPr>
            <w:r>
              <w:rPr>
                <w:color w:val="auto"/>
                <w:highlight w:val="none"/>
              </w:rPr>
              <w:t>11</w:t>
            </w:r>
          </w:p>
        </w:tc>
        <w:tc>
          <w:tcPr>
            <w:tcW w:w="1000" w:type="dxa"/>
            <w:vAlign w:val="center"/>
          </w:tcPr>
          <w:p w14:paraId="7BD18A20">
            <w:pPr>
              <w:pStyle w:val="17"/>
              <w:bidi w:val="0"/>
              <w:rPr>
                <w:color w:val="auto"/>
                <w:highlight w:val="none"/>
              </w:rPr>
            </w:pPr>
            <w:r>
              <w:rPr>
                <w:rFonts w:hint="eastAsia"/>
                <w:color w:val="auto"/>
                <w:highlight w:val="none"/>
              </w:rPr>
              <w:t>铜</w:t>
            </w:r>
          </w:p>
        </w:tc>
        <w:tc>
          <w:tcPr>
            <w:tcW w:w="888" w:type="dxa"/>
            <w:vAlign w:val="center"/>
          </w:tcPr>
          <w:p w14:paraId="1F14C20E">
            <w:pPr>
              <w:pStyle w:val="17"/>
              <w:bidi w:val="0"/>
              <w:rPr>
                <w:color w:val="auto"/>
                <w:highlight w:val="none"/>
              </w:rPr>
            </w:pPr>
            <w:r>
              <w:rPr>
                <w:color w:val="auto"/>
                <w:highlight w:val="none"/>
              </w:rPr>
              <w:t>mg/L</w:t>
            </w:r>
          </w:p>
        </w:tc>
        <w:tc>
          <w:tcPr>
            <w:tcW w:w="1112" w:type="dxa"/>
            <w:vAlign w:val="center"/>
          </w:tcPr>
          <w:p w14:paraId="48BF81C5">
            <w:pPr>
              <w:pStyle w:val="17"/>
              <w:bidi w:val="0"/>
              <w:rPr>
                <w:rFonts w:hint="default"/>
                <w:color w:val="auto"/>
                <w:highlight w:val="none"/>
                <w:lang w:val="en-US" w:eastAsia="zh-CN"/>
              </w:rPr>
            </w:pPr>
            <w:r>
              <w:rPr>
                <w:rFonts w:hint="eastAsia"/>
                <w:color w:val="auto"/>
                <w:highlight w:val="none"/>
                <w:lang w:val="en-US" w:eastAsia="zh-CN"/>
              </w:rPr>
              <w:t>0.08</w:t>
            </w:r>
          </w:p>
        </w:tc>
        <w:tc>
          <w:tcPr>
            <w:tcW w:w="2928" w:type="dxa"/>
            <w:vAlign w:val="center"/>
          </w:tcPr>
          <w:p w14:paraId="4ACAC7D8">
            <w:pPr>
              <w:pStyle w:val="17"/>
              <w:bidi w:val="0"/>
              <w:rPr>
                <w:color w:val="auto"/>
                <w:highlight w:val="none"/>
              </w:rPr>
            </w:pPr>
            <w:r>
              <w:rPr>
                <w:rFonts w:hint="eastAsia"/>
                <w:color w:val="auto"/>
                <w:highlight w:val="none"/>
              </w:rPr>
              <w:t>100</w:t>
            </w:r>
          </w:p>
        </w:tc>
        <w:tc>
          <w:tcPr>
            <w:tcW w:w="2133" w:type="dxa"/>
            <w:vAlign w:val="center"/>
          </w:tcPr>
          <w:p w14:paraId="49573CC5">
            <w:pPr>
              <w:pStyle w:val="17"/>
              <w:bidi w:val="0"/>
              <w:rPr>
                <w:color w:val="auto"/>
                <w:highlight w:val="none"/>
              </w:rPr>
            </w:pPr>
            <w:r>
              <w:rPr>
                <w:rFonts w:hint="eastAsia"/>
                <w:color w:val="auto"/>
                <w:highlight w:val="none"/>
              </w:rPr>
              <w:t>0.5</w:t>
            </w:r>
          </w:p>
        </w:tc>
      </w:tr>
      <w:tr w14:paraId="0B45E5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4E75869A">
            <w:pPr>
              <w:pStyle w:val="17"/>
              <w:bidi w:val="0"/>
              <w:rPr>
                <w:color w:val="auto"/>
                <w:highlight w:val="none"/>
              </w:rPr>
            </w:pPr>
            <w:r>
              <w:rPr>
                <w:color w:val="auto"/>
                <w:highlight w:val="none"/>
              </w:rPr>
              <w:t>12</w:t>
            </w:r>
          </w:p>
        </w:tc>
        <w:tc>
          <w:tcPr>
            <w:tcW w:w="1000" w:type="dxa"/>
            <w:vAlign w:val="center"/>
          </w:tcPr>
          <w:p w14:paraId="515E8B92">
            <w:pPr>
              <w:pStyle w:val="17"/>
              <w:bidi w:val="0"/>
              <w:rPr>
                <w:color w:val="auto"/>
                <w:highlight w:val="none"/>
              </w:rPr>
            </w:pPr>
            <w:r>
              <w:rPr>
                <w:rFonts w:hint="eastAsia"/>
                <w:color w:val="auto"/>
                <w:highlight w:val="none"/>
              </w:rPr>
              <w:t>锌</w:t>
            </w:r>
          </w:p>
        </w:tc>
        <w:tc>
          <w:tcPr>
            <w:tcW w:w="888" w:type="dxa"/>
            <w:vAlign w:val="center"/>
          </w:tcPr>
          <w:p w14:paraId="5CCD5FE1">
            <w:pPr>
              <w:pStyle w:val="17"/>
              <w:bidi w:val="0"/>
              <w:rPr>
                <w:color w:val="auto"/>
                <w:highlight w:val="none"/>
              </w:rPr>
            </w:pPr>
            <w:r>
              <w:rPr>
                <w:rFonts w:hint="eastAsia"/>
                <w:color w:val="auto"/>
                <w:highlight w:val="none"/>
                <w:lang w:val="en-US" w:eastAsia="zh-CN"/>
              </w:rPr>
              <w:t>m</w:t>
            </w:r>
            <w:r>
              <w:rPr>
                <w:color w:val="auto"/>
                <w:highlight w:val="none"/>
              </w:rPr>
              <w:t>g/L</w:t>
            </w:r>
          </w:p>
        </w:tc>
        <w:tc>
          <w:tcPr>
            <w:tcW w:w="1112" w:type="dxa"/>
            <w:vAlign w:val="center"/>
          </w:tcPr>
          <w:p w14:paraId="1A9EFF18">
            <w:pPr>
              <w:pStyle w:val="17"/>
              <w:bidi w:val="0"/>
              <w:rPr>
                <w:rFonts w:hint="default"/>
                <w:color w:val="auto"/>
                <w:highlight w:val="none"/>
                <w:lang w:val="en-US" w:eastAsia="zh-CN"/>
              </w:rPr>
            </w:pPr>
            <w:r>
              <w:rPr>
                <w:rFonts w:hint="eastAsia"/>
                <w:color w:val="auto"/>
                <w:highlight w:val="none"/>
                <w:lang w:val="en-US" w:eastAsia="zh-CN"/>
              </w:rPr>
              <w:t>0.49</w:t>
            </w:r>
          </w:p>
        </w:tc>
        <w:tc>
          <w:tcPr>
            <w:tcW w:w="2928" w:type="dxa"/>
            <w:vAlign w:val="center"/>
          </w:tcPr>
          <w:p w14:paraId="06F5291E">
            <w:pPr>
              <w:pStyle w:val="17"/>
              <w:bidi w:val="0"/>
              <w:rPr>
                <w:color w:val="auto"/>
                <w:highlight w:val="none"/>
              </w:rPr>
            </w:pPr>
            <w:r>
              <w:rPr>
                <w:rFonts w:hint="eastAsia"/>
                <w:color w:val="auto"/>
                <w:highlight w:val="none"/>
              </w:rPr>
              <w:t>100</w:t>
            </w:r>
          </w:p>
        </w:tc>
        <w:tc>
          <w:tcPr>
            <w:tcW w:w="2133" w:type="dxa"/>
            <w:vAlign w:val="center"/>
          </w:tcPr>
          <w:p w14:paraId="0349C90D">
            <w:pPr>
              <w:pStyle w:val="17"/>
              <w:bidi w:val="0"/>
              <w:rPr>
                <w:rFonts w:hint="default"/>
                <w:color w:val="auto"/>
                <w:highlight w:val="none"/>
                <w:lang w:val="en-US" w:eastAsia="zh-CN"/>
              </w:rPr>
            </w:pPr>
            <w:r>
              <w:rPr>
                <w:rFonts w:hint="eastAsia"/>
                <w:color w:val="auto"/>
                <w:highlight w:val="none"/>
              </w:rPr>
              <w:t>2</w:t>
            </w:r>
            <w:r>
              <w:rPr>
                <w:rFonts w:hint="eastAsia"/>
                <w:color w:val="auto"/>
                <w:highlight w:val="none"/>
                <w:lang w:val="en-US" w:eastAsia="zh-CN"/>
              </w:rPr>
              <w:t>.0</w:t>
            </w:r>
          </w:p>
        </w:tc>
      </w:tr>
      <w:tr w14:paraId="4D651C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518C7F5D">
            <w:pPr>
              <w:pStyle w:val="17"/>
              <w:bidi w:val="0"/>
              <w:rPr>
                <w:color w:val="auto"/>
                <w:highlight w:val="none"/>
              </w:rPr>
            </w:pPr>
            <w:r>
              <w:rPr>
                <w:rFonts w:hint="eastAsia"/>
                <w:color w:val="auto"/>
                <w:highlight w:val="none"/>
              </w:rPr>
              <w:t>13</w:t>
            </w:r>
          </w:p>
        </w:tc>
        <w:tc>
          <w:tcPr>
            <w:tcW w:w="1000" w:type="dxa"/>
            <w:vAlign w:val="center"/>
          </w:tcPr>
          <w:p w14:paraId="7DC1AC20">
            <w:pPr>
              <w:pStyle w:val="17"/>
              <w:bidi w:val="0"/>
              <w:rPr>
                <w:color w:val="auto"/>
                <w:highlight w:val="none"/>
              </w:rPr>
            </w:pPr>
            <w:r>
              <w:rPr>
                <w:rFonts w:hint="eastAsia"/>
                <w:color w:val="auto"/>
                <w:highlight w:val="none"/>
              </w:rPr>
              <w:t>银</w:t>
            </w:r>
          </w:p>
        </w:tc>
        <w:tc>
          <w:tcPr>
            <w:tcW w:w="888" w:type="dxa"/>
            <w:vAlign w:val="center"/>
          </w:tcPr>
          <w:p w14:paraId="648DD620">
            <w:pPr>
              <w:pStyle w:val="17"/>
              <w:bidi w:val="0"/>
              <w:rPr>
                <w:color w:val="auto"/>
                <w:highlight w:val="none"/>
              </w:rPr>
            </w:pPr>
            <w:r>
              <w:rPr>
                <w:color w:val="auto"/>
                <w:highlight w:val="none"/>
              </w:rPr>
              <w:t>mg/L</w:t>
            </w:r>
          </w:p>
        </w:tc>
        <w:tc>
          <w:tcPr>
            <w:tcW w:w="1112" w:type="dxa"/>
            <w:vAlign w:val="center"/>
          </w:tcPr>
          <w:p w14:paraId="3F59BB37">
            <w:pPr>
              <w:pStyle w:val="17"/>
              <w:bidi w:val="0"/>
              <w:rPr>
                <w:rFonts w:hint="default"/>
                <w:color w:val="auto"/>
                <w:highlight w:val="none"/>
                <w:lang w:val="en-US" w:eastAsia="zh-CN"/>
              </w:rPr>
            </w:pPr>
            <w:r>
              <w:rPr>
                <w:rFonts w:hint="eastAsia"/>
                <w:color w:val="auto"/>
                <w:highlight w:val="none"/>
                <w:lang w:val="en-US" w:eastAsia="zh-CN"/>
              </w:rPr>
              <w:t>0.01L</w:t>
            </w:r>
          </w:p>
        </w:tc>
        <w:tc>
          <w:tcPr>
            <w:tcW w:w="2928" w:type="dxa"/>
            <w:vAlign w:val="center"/>
          </w:tcPr>
          <w:p w14:paraId="1F5FBC17">
            <w:pPr>
              <w:pStyle w:val="17"/>
              <w:bidi w:val="0"/>
              <w:rPr>
                <w:color w:val="auto"/>
                <w:highlight w:val="none"/>
              </w:rPr>
            </w:pPr>
            <w:r>
              <w:rPr>
                <w:rFonts w:hint="eastAsia"/>
                <w:color w:val="auto"/>
                <w:highlight w:val="none"/>
              </w:rPr>
              <w:t>5</w:t>
            </w:r>
          </w:p>
        </w:tc>
        <w:tc>
          <w:tcPr>
            <w:tcW w:w="2133" w:type="dxa"/>
            <w:vAlign w:val="center"/>
          </w:tcPr>
          <w:p w14:paraId="7761BDBE">
            <w:pPr>
              <w:pStyle w:val="17"/>
              <w:bidi w:val="0"/>
              <w:rPr>
                <w:color w:val="auto"/>
                <w:highlight w:val="none"/>
              </w:rPr>
            </w:pPr>
            <w:r>
              <w:rPr>
                <w:rFonts w:hint="eastAsia"/>
                <w:color w:val="auto"/>
                <w:highlight w:val="none"/>
              </w:rPr>
              <w:t>0.5</w:t>
            </w:r>
          </w:p>
        </w:tc>
      </w:tr>
      <w:tr w14:paraId="684812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3ADB719B">
            <w:pPr>
              <w:pStyle w:val="17"/>
              <w:bidi w:val="0"/>
              <w:rPr>
                <w:color w:val="auto"/>
                <w:highlight w:val="none"/>
              </w:rPr>
            </w:pPr>
            <w:r>
              <w:rPr>
                <w:rFonts w:hint="eastAsia"/>
                <w:color w:val="auto"/>
                <w:highlight w:val="none"/>
              </w:rPr>
              <w:t>14</w:t>
            </w:r>
          </w:p>
        </w:tc>
        <w:tc>
          <w:tcPr>
            <w:tcW w:w="1000" w:type="dxa"/>
            <w:vAlign w:val="center"/>
          </w:tcPr>
          <w:p w14:paraId="5F0C3443">
            <w:pPr>
              <w:pStyle w:val="17"/>
              <w:bidi w:val="0"/>
              <w:rPr>
                <w:color w:val="auto"/>
                <w:highlight w:val="none"/>
              </w:rPr>
            </w:pPr>
            <w:r>
              <w:rPr>
                <w:rFonts w:hint="eastAsia"/>
                <w:color w:val="auto"/>
                <w:highlight w:val="none"/>
              </w:rPr>
              <w:t>汞</w:t>
            </w:r>
          </w:p>
        </w:tc>
        <w:tc>
          <w:tcPr>
            <w:tcW w:w="888" w:type="dxa"/>
            <w:vAlign w:val="center"/>
          </w:tcPr>
          <w:p w14:paraId="629D4009">
            <w:pPr>
              <w:pStyle w:val="17"/>
              <w:bidi w:val="0"/>
              <w:rPr>
                <w:color w:val="auto"/>
                <w:highlight w:val="none"/>
              </w:rPr>
            </w:pPr>
            <w:r>
              <w:rPr>
                <w:color w:val="auto"/>
                <w:highlight w:val="none"/>
              </w:rPr>
              <w:t>mg/L</w:t>
            </w:r>
          </w:p>
        </w:tc>
        <w:tc>
          <w:tcPr>
            <w:tcW w:w="1112" w:type="dxa"/>
            <w:vAlign w:val="center"/>
          </w:tcPr>
          <w:p w14:paraId="67650DC7">
            <w:pPr>
              <w:pStyle w:val="17"/>
              <w:bidi w:val="0"/>
              <w:rPr>
                <w:rFonts w:hint="default"/>
                <w:color w:val="auto"/>
                <w:highlight w:val="none"/>
                <w:lang w:val="en-US" w:eastAsia="zh-CN"/>
              </w:rPr>
            </w:pPr>
            <w:r>
              <w:rPr>
                <w:rFonts w:hint="eastAsia"/>
                <w:color w:val="auto"/>
                <w:highlight w:val="none"/>
                <w:lang w:val="en-US" w:eastAsia="zh-CN"/>
              </w:rPr>
              <w:t>0.00002L</w:t>
            </w:r>
          </w:p>
        </w:tc>
        <w:tc>
          <w:tcPr>
            <w:tcW w:w="2928" w:type="dxa"/>
            <w:vAlign w:val="center"/>
          </w:tcPr>
          <w:p w14:paraId="2FB3A3C8">
            <w:pPr>
              <w:pStyle w:val="17"/>
              <w:bidi w:val="0"/>
              <w:rPr>
                <w:color w:val="auto"/>
                <w:highlight w:val="none"/>
              </w:rPr>
            </w:pPr>
            <w:r>
              <w:rPr>
                <w:rFonts w:hint="eastAsia"/>
                <w:color w:val="auto"/>
                <w:highlight w:val="none"/>
              </w:rPr>
              <w:t>0.1</w:t>
            </w:r>
          </w:p>
        </w:tc>
        <w:tc>
          <w:tcPr>
            <w:tcW w:w="2133" w:type="dxa"/>
            <w:vAlign w:val="center"/>
          </w:tcPr>
          <w:p w14:paraId="36DB42D4">
            <w:pPr>
              <w:pStyle w:val="17"/>
              <w:bidi w:val="0"/>
              <w:rPr>
                <w:color w:val="auto"/>
                <w:highlight w:val="none"/>
              </w:rPr>
            </w:pPr>
            <w:r>
              <w:rPr>
                <w:rFonts w:hint="eastAsia"/>
                <w:color w:val="auto"/>
                <w:highlight w:val="none"/>
              </w:rPr>
              <w:t>0.05</w:t>
            </w:r>
          </w:p>
        </w:tc>
      </w:tr>
      <w:tr w14:paraId="4928EE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1" w:type="dxa"/>
            <w:vAlign w:val="center"/>
          </w:tcPr>
          <w:p w14:paraId="5B3DEF9E">
            <w:pPr>
              <w:pStyle w:val="17"/>
              <w:bidi w:val="0"/>
              <w:rPr>
                <w:color w:val="auto"/>
                <w:highlight w:val="none"/>
              </w:rPr>
            </w:pPr>
            <w:r>
              <w:rPr>
                <w:rFonts w:hint="eastAsia"/>
                <w:color w:val="auto"/>
                <w:highlight w:val="none"/>
              </w:rPr>
              <w:t>15</w:t>
            </w:r>
          </w:p>
        </w:tc>
        <w:tc>
          <w:tcPr>
            <w:tcW w:w="1000" w:type="dxa"/>
            <w:vAlign w:val="center"/>
          </w:tcPr>
          <w:p w14:paraId="03C21D4C">
            <w:pPr>
              <w:pStyle w:val="17"/>
              <w:bidi w:val="0"/>
              <w:rPr>
                <w:color w:val="auto"/>
                <w:highlight w:val="none"/>
              </w:rPr>
            </w:pPr>
            <w:r>
              <w:rPr>
                <w:rFonts w:hint="eastAsia"/>
                <w:color w:val="auto"/>
                <w:highlight w:val="none"/>
              </w:rPr>
              <w:t>硒</w:t>
            </w:r>
          </w:p>
        </w:tc>
        <w:tc>
          <w:tcPr>
            <w:tcW w:w="888" w:type="dxa"/>
            <w:vAlign w:val="center"/>
          </w:tcPr>
          <w:p w14:paraId="1C6ACE3A">
            <w:pPr>
              <w:pStyle w:val="17"/>
              <w:bidi w:val="0"/>
              <w:rPr>
                <w:color w:val="auto"/>
                <w:highlight w:val="none"/>
              </w:rPr>
            </w:pPr>
            <w:r>
              <w:rPr>
                <w:color w:val="auto"/>
                <w:highlight w:val="none"/>
              </w:rPr>
              <w:t>mg/L</w:t>
            </w:r>
          </w:p>
        </w:tc>
        <w:tc>
          <w:tcPr>
            <w:tcW w:w="1112" w:type="dxa"/>
            <w:vAlign w:val="center"/>
          </w:tcPr>
          <w:p w14:paraId="0F8DE0B9">
            <w:pPr>
              <w:pStyle w:val="17"/>
              <w:bidi w:val="0"/>
              <w:rPr>
                <w:rFonts w:hint="default"/>
                <w:color w:val="auto"/>
                <w:highlight w:val="none"/>
                <w:lang w:val="en-US" w:eastAsia="zh-CN"/>
              </w:rPr>
            </w:pPr>
            <w:r>
              <w:rPr>
                <w:rFonts w:hint="eastAsia"/>
                <w:color w:val="auto"/>
                <w:highlight w:val="none"/>
                <w:lang w:val="en-US" w:eastAsia="zh-CN"/>
              </w:rPr>
              <w:t>0.0001L</w:t>
            </w:r>
          </w:p>
        </w:tc>
        <w:tc>
          <w:tcPr>
            <w:tcW w:w="2928" w:type="dxa"/>
            <w:vAlign w:val="center"/>
          </w:tcPr>
          <w:p w14:paraId="11E9153E">
            <w:pPr>
              <w:pStyle w:val="17"/>
              <w:bidi w:val="0"/>
              <w:rPr>
                <w:color w:val="auto"/>
                <w:highlight w:val="none"/>
              </w:rPr>
            </w:pPr>
            <w:r>
              <w:rPr>
                <w:color w:val="auto"/>
                <w:highlight w:val="none"/>
              </w:rPr>
              <w:t>1</w:t>
            </w:r>
          </w:p>
        </w:tc>
        <w:tc>
          <w:tcPr>
            <w:tcW w:w="2133" w:type="dxa"/>
            <w:vAlign w:val="center"/>
          </w:tcPr>
          <w:p w14:paraId="2D7F78FD">
            <w:pPr>
              <w:pStyle w:val="17"/>
              <w:bidi w:val="0"/>
              <w:rPr>
                <w:rFonts w:hint="default"/>
                <w:color w:val="auto"/>
                <w:highlight w:val="none"/>
                <w:lang w:val="en-US" w:eastAsia="zh-CN"/>
              </w:rPr>
            </w:pPr>
            <w:r>
              <w:rPr>
                <w:rFonts w:hint="eastAsia"/>
                <w:color w:val="auto"/>
                <w:highlight w:val="none"/>
                <w:lang w:val="en-US" w:eastAsia="zh-CN"/>
              </w:rPr>
              <w:t>0.1</w:t>
            </w:r>
          </w:p>
        </w:tc>
      </w:tr>
    </w:tbl>
    <w:p w14:paraId="6C0C57C8">
      <w:pPr>
        <w:overflowPunct w:val="0"/>
        <w:topLinePunct/>
        <w:ind w:firstLine="480"/>
        <w:rPr>
          <w:color w:val="auto"/>
          <w:kern w:val="0"/>
          <w:highlight w:val="none"/>
        </w:rPr>
      </w:pPr>
      <w:r>
        <w:rPr>
          <w:rFonts w:hint="eastAsia"/>
          <w:color w:val="auto"/>
          <w:kern w:val="0"/>
          <w:highlight w:val="none"/>
        </w:rPr>
        <w:t>通过对本项目选矿试验尾矿砂样品分析结果可知，该尾矿砂样品不属于有浸出毒性特征的危险废物，属于《一般工业固体废物贮存和填埋污染控制标准》（GB18599-2020）中规定的</w:t>
      </w:r>
      <w:r>
        <w:rPr>
          <w:rFonts w:hint="eastAsia"/>
          <w:color w:val="auto"/>
          <w:kern w:val="0"/>
          <w:highlight w:val="none"/>
          <w:lang w:eastAsia="zh-CN"/>
        </w:rPr>
        <w:t>I</w:t>
      </w:r>
      <w:r>
        <w:rPr>
          <w:rFonts w:hint="eastAsia"/>
          <w:color w:val="auto"/>
          <w:kern w:val="0"/>
          <w:highlight w:val="none"/>
        </w:rPr>
        <w:t>类一般工业固体废物。</w:t>
      </w:r>
    </w:p>
    <w:p w14:paraId="432E218A">
      <w:pPr>
        <w:overflowPunct w:val="0"/>
        <w:topLinePunct/>
        <w:spacing w:line="480" w:lineRule="exact"/>
        <w:ind w:firstLine="480"/>
        <w:rPr>
          <w:color w:val="auto"/>
          <w:kern w:val="0"/>
          <w:highlight w:val="none"/>
        </w:rPr>
      </w:pPr>
      <w:r>
        <w:rPr>
          <w:rFonts w:hint="eastAsia"/>
          <w:color w:val="auto"/>
          <w:kern w:val="0"/>
          <w:highlight w:val="none"/>
        </w:rPr>
        <w:t>本项目尾矿砂产生量为</w:t>
      </w:r>
      <w:r>
        <w:rPr>
          <w:rFonts w:hint="eastAsia"/>
          <w:color w:val="auto"/>
          <w:kern w:val="0"/>
          <w:highlight w:val="none"/>
          <w:lang w:val="en-US" w:eastAsia="zh-CN"/>
        </w:rPr>
        <w:t>89.36</w:t>
      </w:r>
      <w:r>
        <w:rPr>
          <w:rFonts w:hint="eastAsia"/>
          <w:color w:val="auto"/>
          <w:kern w:val="0"/>
          <w:highlight w:val="none"/>
        </w:rPr>
        <w:t>万</w:t>
      </w:r>
      <w:r>
        <w:rPr>
          <w:color w:val="auto"/>
          <w:kern w:val="0"/>
          <w:highlight w:val="none"/>
        </w:rPr>
        <w:t>t/a</w:t>
      </w:r>
      <w:r>
        <w:rPr>
          <w:rFonts w:hint="eastAsia"/>
          <w:color w:val="auto"/>
          <w:kern w:val="0"/>
          <w:highlight w:val="none"/>
        </w:rPr>
        <w:t>。按照《</w:t>
      </w:r>
      <w:r>
        <w:rPr>
          <w:rFonts w:hint="default"/>
          <w:color w:val="auto"/>
          <w:highlight w:val="none"/>
        </w:rPr>
        <w:t>新疆维吾尔自治区重点行业生态环境准入条件</w:t>
      </w:r>
      <w:r>
        <w:rPr>
          <w:rFonts w:hint="eastAsia"/>
          <w:color w:val="auto"/>
          <w:highlight w:val="none"/>
          <w:lang w:eastAsia="zh-CN"/>
        </w:rPr>
        <w:t>（</w:t>
      </w:r>
      <w:r>
        <w:rPr>
          <w:rFonts w:hint="eastAsia"/>
          <w:color w:val="auto"/>
          <w:highlight w:val="none"/>
          <w:lang w:val="en-US" w:eastAsia="zh-CN"/>
        </w:rPr>
        <w:t>2024年）</w:t>
      </w:r>
      <w:r>
        <w:rPr>
          <w:rFonts w:hint="eastAsia"/>
          <w:color w:val="auto"/>
          <w:kern w:val="0"/>
          <w:highlight w:val="none"/>
        </w:rPr>
        <w:t>》的准入要求，尾矿砂的综合利用率达到2</w:t>
      </w:r>
      <w:r>
        <w:rPr>
          <w:color w:val="auto"/>
          <w:kern w:val="0"/>
          <w:highlight w:val="none"/>
        </w:rPr>
        <w:t>0%</w:t>
      </w:r>
      <w:r>
        <w:rPr>
          <w:rFonts w:hint="eastAsia"/>
          <w:color w:val="auto"/>
          <w:kern w:val="0"/>
          <w:highlight w:val="none"/>
        </w:rPr>
        <w:t>以上。本次评价要求，企业将尾矿综合利用，其中约45</w:t>
      </w:r>
      <w:r>
        <w:rPr>
          <w:rFonts w:hint="eastAsia"/>
          <w:color w:val="auto"/>
          <w:kern w:val="0"/>
          <w:highlight w:val="none"/>
          <w:lang w:val="en-US" w:eastAsia="zh-CN"/>
        </w:rPr>
        <w:t>.36</w:t>
      </w:r>
      <w:r>
        <w:rPr>
          <w:rFonts w:hint="eastAsia"/>
          <w:color w:val="auto"/>
          <w:kern w:val="0"/>
          <w:highlight w:val="none"/>
        </w:rPr>
        <w:t>万t/a用于</w:t>
      </w:r>
      <w:r>
        <w:rPr>
          <w:rFonts w:hint="eastAsia"/>
          <w:color w:val="auto"/>
          <w:kern w:val="0"/>
          <w:highlight w:val="none"/>
          <w:lang w:eastAsia="zh-CN"/>
        </w:rPr>
        <w:t>采矿场地下充填</w:t>
      </w:r>
      <w:r>
        <w:rPr>
          <w:rFonts w:hint="eastAsia"/>
          <w:color w:val="auto"/>
          <w:kern w:val="0"/>
          <w:highlight w:val="none"/>
        </w:rPr>
        <w:t>，</w:t>
      </w:r>
      <w:r>
        <w:rPr>
          <w:rFonts w:hint="eastAsia"/>
          <w:color w:val="auto"/>
          <w:kern w:val="0"/>
          <w:highlight w:val="none"/>
          <w:lang w:eastAsia="zh-CN"/>
        </w:rPr>
        <w:t>约</w:t>
      </w:r>
      <w:r>
        <w:rPr>
          <w:rFonts w:hint="eastAsia"/>
          <w:color w:val="auto"/>
          <w:kern w:val="0"/>
          <w:highlight w:val="none"/>
          <w:lang w:val="en-US" w:eastAsia="zh-CN"/>
        </w:rPr>
        <w:t>10.7</w:t>
      </w:r>
      <w:r>
        <w:rPr>
          <w:rFonts w:hint="eastAsia"/>
          <w:color w:val="auto"/>
          <w:kern w:val="0"/>
          <w:highlight w:val="none"/>
        </w:rPr>
        <w:t>万t/a</w:t>
      </w:r>
      <w:r>
        <w:rPr>
          <w:rFonts w:hint="eastAsia"/>
          <w:color w:val="auto"/>
          <w:kern w:val="0"/>
          <w:highlight w:val="none"/>
          <w:lang w:eastAsia="zh-CN"/>
        </w:rPr>
        <w:t>用于堆积筑坝</w:t>
      </w:r>
      <w:r>
        <w:rPr>
          <w:rFonts w:hint="eastAsia"/>
          <w:color w:val="auto"/>
          <w:kern w:val="0"/>
          <w:highlight w:val="none"/>
        </w:rPr>
        <w:t>，尾矿砂综合利用率可达到</w:t>
      </w:r>
      <w:r>
        <w:rPr>
          <w:rFonts w:hint="eastAsia"/>
          <w:color w:val="auto"/>
          <w:kern w:val="0"/>
          <w:highlight w:val="none"/>
          <w:lang w:val="en-US" w:eastAsia="zh-CN"/>
        </w:rPr>
        <w:t>6</w:t>
      </w:r>
      <w:r>
        <w:rPr>
          <w:rFonts w:hint="eastAsia"/>
          <w:color w:val="auto"/>
          <w:kern w:val="0"/>
          <w:highlight w:val="none"/>
        </w:rPr>
        <w:t>0%，其余堆存至尾矿库内。</w:t>
      </w:r>
    </w:p>
    <w:p w14:paraId="79BE22A9">
      <w:pPr>
        <w:overflowPunct w:val="0"/>
        <w:topLinePunct/>
        <w:spacing w:line="480" w:lineRule="exact"/>
        <w:ind w:firstLine="480"/>
        <w:rPr>
          <w:color w:val="auto"/>
          <w:kern w:val="0"/>
          <w:highlight w:val="none"/>
        </w:rPr>
      </w:pPr>
      <w:r>
        <w:rPr>
          <w:rFonts w:hint="eastAsia"/>
          <w:color w:val="auto"/>
          <w:kern w:val="0"/>
          <w:highlight w:val="none"/>
        </w:rPr>
        <w:t>本项目尾矿库属于三等库，</w:t>
      </w:r>
      <w:r>
        <w:rPr>
          <w:rFonts w:hint="eastAsia"/>
          <w:color w:val="auto"/>
          <w:highlight w:val="none"/>
        </w:rPr>
        <w:t>总库容</w:t>
      </w:r>
      <w:r>
        <w:rPr>
          <w:rFonts w:hint="eastAsia"/>
          <w:color w:val="auto"/>
          <w:highlight w:val="none"/>
          <w:lang w:val="en-US" w:eastAsia="zh-CN"/>
        </w:rPr>
        <w:t>2062.4</w:t>
      </w:r>
      <w:r>
        <w:rPr>
          <w:rFonts w:hint="eastAsia"/>
          <w:color w:val="auto"/>
          <w:highlight w:val="none"/>
        </w:rPr>
        <w:t>万m</w:t>
      </w:r>
      <w:r>
        <w:rPr>
          <w:rFonts w:hint="eastAsia"/>
          <w:color w:val="auto"/>
          <w:highlight w:val="none"/>
          <w:vertAlign w:val="superscript"/>
        </w:rPr>
        <w:t>3</w:t>
      </w:r>
      <w:r>
        <w:rPr>
          <w:rFonts w:hint="eastAsia"/>
          <w:color w:val="auto"/>
          <w:highlight w:val="none"/>
        </w:rPr>
        <w:t>，</w:t>
      </w:r>
      <w:r>
        <w:rPr>
          <w:rFonts w:hint="eastAsia" w:cs="Times New Roman"/>
          <w:color w:val="auto"/>
          <w:szCs w:val="21"/>
          <w:highlight w:val="none"/>
          <w:lang w:bidi="ar"/>
        </w:rPr>
        <w:t>采用湿式排放，均匀分散排矿。尾矿库设计单位应按照</w:t>
      </w:r>
      <w:r>
        <w:rPr>
          <w:rFonts w:hint="default" w:ascii="Times New Roman" w:hAnsi="Times New Roman" w:cs="Times New Roman"/>
          <w:color w:val="auto"/>
          <w:szCs w:val="21"/>
          <w:highlight w:val="none"/>
          <w:lang w:bidi="ar"/>
        </w:rPr>
        <w:t>第</w:t>
      </w:r>
      <w:r>
        <w:rPr>
          <w:rFonts w:hint="default" w:ascii="Times New Roman" w:hAnsi="Times New Roman" w:cs="Times New Roman"/>
          <w:color w:val="auto"/>
          <w:kern w:val="0"/>
          <w:highlight w:val="none"/>
          <w:lang w:eastAsia="zh-CN"/>
        </w:rPr>
        <w:t>I</w:t>
      </w:r>
      <w:r>
        <w:rPr>
          <w:rFonts w:hint="default" w:ascii="Times New Roman" w:hAnsi="Times New Roman" w:cs="Times New Roman"/>
          <w:color w:val="auto"/>
          <w:kern w:val="0"/>
          <w:highlight w:val="none"/>
        </w:rPr>
        <w:t>类</w:t>
      </w:r>
      <w:r>
        <w:rPr>
          <w:rFonts w:hint="default" w:ascii="Times New Roman" w:hAnsi="Times New Roman" w:cs="Times New Roman"/>
          <w:color w:val="auto"/>
          <w:kern w:val="0"/>
          <w:highlight w:val="none"/>
          <w:lang w:bidi="ar"/>
        </w:rPr>
        <w:t>一般工业固体废物处置场设计，对尾矿砂贮存、处置按照第</w:t>
      </w:r>
      <w:r>
        <w:rPr>
          <w:rFonts w:hint="default" w:ascii="Times New Roman" w:hAnsi="Times New Roman" w:cs="Times New Roman"/>
          <w:color w:val="auto"/>
          <w:kern w:val="0"/>
          <w:highlight w:val="none"/>
          <w:lang w:eastAsia="zh-CN"/>
        </w:rPr>
        <w:t>I</w:t>
      </w:r>
      <w:r>
        <w:rPr>
          <w:rFonts w:hint="default" w:ascii="Times New Roman" w:hAnsi="Times New Roman" w:cs="Times New Roman"/>
          <w:color w:val="auto"/>
          <w:kern w:val="0"/>
          <w:highlight w:val="none"/>
          <w:lang w:bidi="ar"/>
        </w:rPr>
        <w:t>类一般工业固体</w:t>
      </w:r>
      <w:r>
        <w:rPr>
          <w:rFonts w:hint="eastAsia" w:cs="Times New Roman"/>
          <w:color w:val="auto"/>
          <w:kern w:val="0"/>
          <w:highlight w:val="none"/>
          <w:lang w:bidi="ar"/>
        </w:rPr>
        <w:t>废物的要求进行。</w:t>
      </w:r>
    </w:p>
    <w:p w14:paraId="34D374FC">
      <w:pPr>
        <w:overflowPunct w:val="0"/>
        <w:topLinePunct/>
        <w:ind w:firstLine="480"/>
        <w:rPr>
          <w:rFonts w:hint="eastAsia"/>
          <w:color w:val="auto"/>
          <w:kern w:val="0"/>
          <w:highlight w:val="none"/>
          <w:lang w:bidi="ar"/>
        </w:rPr>
      </w:pPr>
      <w:r>
        <w:rPr>
          <w:rFonts w:hint="eastAsia"/>
          <w:color w:val="auto"/>
          <w:kern w:val="0"/>
          <w:highlight w:val="none"/>
          <w:lang w:bidi="ar"/>
        </w:rPr>
        <w:t>本项目尾矿处置措施符合《一般工业固体废物贮存和填埋污染控制标准》（</w:t>
      </w:r>
      <w:r>
        <w:rPr>
          <w:color w:val="auto"/>
          <w:kern w:val="0"/>
          <w:highlight w:val="none"/>
          <w:lang w:bidi="ar"/>
        </w:rPr>
        <w:t>GB18599-2020</w:t>
      </w:r>
      <w:r>
        <w:rPr>
          <w:rFonts w:hint="eastAsia"/>
          <w:color w:val="auto"/>
          <w:kern w:val="0"/>
          <w:highlight w:val="none"/>
          <w:lang w:bidi="ar"/>
        </w:rPr>
        <w:t>）的要求。</w:t>
      </w:r>
    </w:p>
    <w:p w14:paraId="3C8854BB">
      <w:pPr>
        <w:overflowPunct w:val="0"/>
        <w:topLinePunct/>
        <w:ind w:firstLine="480"/>
        <w:rPr>
          <w:rFonts w:hint="eastAsia"/>
          <w:color w:val="auto"/>
          <w:kern w:val="0"/>
          <w:highlight w:val="none"/>
          <w:lang w:val="en-US" w:eastAsia="zh-CN" w:bidi="ar"/>
        </w:rPr>
      </w:pPr>
      <w:r>
        <w:rPr>
          <w:rFonts w:hint="eastAsia"/>
          <w:color w:val="auto"/>
          <w:kern w:val="0"/>
          <w:highlight w:val="none"/>
          <w:lang w:eastAsia="zh-CN" w:bidi="ar"/>
        </w:rPr>
        <w:t>（</w:t>
      </w:r>
      <w:r>
        <w:rPr>
          <w:rFonts w:hint="eastAsia"/>
          <w:color w:val="auto"/>
          <w:kern w:val="0"/>
          <w:highlight w:val="none"/>
          <w:lang w:val="en-US" w:eastAsia="zh-CN" w:bidi="ar"/>
        </w:rPr>
        <w:t>2）废土石</w:t>
      </w:r>
    </w:p>
    <w:p w14:paraId="32CD4188">
      <w:pPr>
        <w:bidi w:val="0"/>
        <w:rPr>
          <w:rFonts w:hint="eastAsia"/>
          <w:color w:val="auto"/>
          <w:highlight w:val="none"/>
          <w:lang w:eastAsia="zh-CN"/>
        </w:rPr>
      </w:pPr>
      <w:r>
        <w:rPr>
          <w:color w:val="auto"/>
          <w:highlight w:val="none"/>
        </w:rPr>
        <w:t>项目矿区采矿过程中将产生废石，根据开发利用方案，本项目</w:t>
      </w:r>
      <w:r>
        <w:rPr>
          <w:rFonts w:hint="eastAsia"/>
          <w:color w:val="auto"/>
          <w:highlight w:val="none"/>
        </w:rPr>
        <w:t>设计生产能力120万吨/年，废石产生量</w:t>
      </w:r>
      <w:r>
        <w:rPr>
          <w:rFonts w:hint="eastAsia"/>
          <w:color w:val="auto"/>
          <w:highlight w:val="none"/>
          <w:lang w:val="en-US" w:eastAsia="zh-CN"/>
        </w:rPr>
        <w:t>37.5</w:t>
      </w:r>
      <w:r>
        <w:rPr>
          <w:rFonts w:hint="eastAsia"/>
          <w:color w:val="auto"/>
          <w:highlight w:val="none"/>
        </w:rPr>
        <w:t>万吨/年，</w:t>
      </w:r>
      <w:r>
        <w:rPr>
          <w:color w:val="auto"/>
          <w:highlight w:val="none"/>
        </w:rPr>
        <w:t>废石</w:t>
      </w:r>
      <w:r>
        <w:rPr>
          <w:rFonts w:hint="eastAsia"/>
          <w:color w:val="auto"/>
          <w:highlight w:val="none"/>
          <w:lang w:val="en-US" w:eastAsia="zh-CN"/>
        </w:rPr>
        <w:t>产生后运送至废石堆场妥善堆存，用于尾矿库筑坝或者铺路以及用于矿区复垦</w:t>
      </w:r>
      <w:r>
        <w:rPr>
          <w:rFonts w:hint="eastAsia"/>
          <w:color w:val="auto"/>
          <w:highlight w:val="none"/>
          <w:lang w:eastAsia="zh-CN"/>
        </w:rPr>
        <w:t>。</w:t>
      </w:r>
    </w:p>
    <w:p w14:paraId="5D88A24A">
      <w:pPr>
        <w:overflowPunct w:val="0"/>
        <w:topLinePunct/>
        <w:spacing w:line="480" w:lineRule="exact"/>
        <w:ind w:firstLine="480"/>
        <w:rPr>
          <w:rFonts w:cs="Times New Roman"/>
          <w:bCs/>
          <w:color w:val="auto"/>
          <w:szCs w:val="24"/>
          <w:highlight w:val="none"/>
        </w:rPr>
      </w:pPr>
      <w:r>
        <w:rPr>
          <w:rFonts w:hint="eastAsia" w:cs="Times New Roman"/>
          <w:bCs/>
          <w:color w:val="auto"/>
          <w:szCs w:val="24"/>
          <w:highlight w:val="none"/>
        </w:rPr>
        <w:t>（</w:t>
      </w:r>
      <w:r>
        <w:rPr>
          <w:rFonts w:hint="eastAsia" w:cs="Times New Roman"/>
          <w:bCs/>
          <w:color w:val="auto"/>
          <w:szCs w:val="24"/>
          <w:highlight w:val="none"/>
          <w:lang w:val="en-US" w:eastAsia="zh-CN"/>
        </w:rPr>
        <w:t>3</w:t>
      </w:r>
      <w:r>
        <w:rPr>
          <w:rFonts w:hint="eastAsia" w:cs="Times New Roman"/>
          <w:bCs/>
          <w:color w:val="auto"/>
          <w:szCs w:val="24"/>
          <w:highlight w:val="none"/>
        </w:rPr>
        <w:t>）</w:t>
      </w:r>
      <w:r>
        <w:rPr>
          <w:rFonts w:hint="eastAsia"/>
          <w:color w:val="auto"/>
          <w:kern w:val="0"/>
          <w:highlight w:val="none"/>
        </w:rPr>
        <w:t>生活垃圾</w:t>
      </w:r>
    </w:p>
    <w:p w14:paraId="45BADA8F">
      <w:pPr>
        <w:overflowPunct w:val="0"/>
        <w:topLinePunct/>
        <w:spacing w:line="480" w:lineRule="exact"/>
        <w:ind w:firstLine="480"/>
        <w:rPr>
          <w:rFonts w:cs="Times New Roman"/>
          <w:bCs/>
          <w:color w:val="auto"/>
          <w:szCs w:val="24"/>
          <w:highlight w:val="none"/>
        </w:rPr>
      </w:pPr>
      <w:r>
        <w:rPr>
          <w:rFonts w:hint="eastAsia"/>
          <w:color w:val="auto"/>
          <w:highlight w:val="none"/>
        </w:rPr>
        <w:t>本项目</w:t>
      </w:r>
      <w:r>
        <w:rPr>
          <w:rFonts w:hint="eastAsia"/>
          <w:color w:val="auto"/>
          <w:kern w:val="0"/>
          <w:highlight w:val="none"/>
        </w:rPr>
        <w:t>生活垃圾产生量为</w:t>
      </w:r>
      <w:r>
        <w:rPr>
          <w:rFonts w:hint="eastAsia"/>
          <w:color w:val="auto"/>
          <w:kern w:val="0"/>
          <w:highlight w:val="none"/>
          <w:lang w:val="en-US" w:eastAsia="zh-CN"/>
        </w:rPr>
        <w:t>75.9</w:t>
      </w:r>
      <w:r>
        <w:rPr>
          <w:color w:val="auto"/>
          <w:kern w:val="0"/>
          <w:highlight w:val="none"/>
        </w:rPr>
        <w:t>t/a</w:t>
      </w:r>
      <w:r>
        <w:rPr>
          <w:rFonts w:hint="eastAsia"/>
          <w:color w:val="auto"/>
          <w:kern w:val="0"/>
          <w:highlight w:val="none"/>
        </w:rPr>
        <w:t>，生活垃圾集中收集后，</w:t>
      </w:r>
      <w:r>
        <w:rPr>
          <w:rFonts w:hint="eastAsia"/>
          <w:color w:val="auto"/>
          <w:kern w:val="0"/>
          <w:highlight w:val="none"/>
          <w:lang w:val="en-US" w:eastAsia="zh-CN"/>
        </w:rPr>
        <w:t>交</w:t>
      </w:r>
      <w:r>
        <w:rPr>
          <w:rFonts w:hint="eastAsia"/>
          <w:color w:val="auto"/>
          <w:kern w:val="0"/>
          <w:highlight w:val="none"/>
        </w:rPr>
        <w:t>由</w:t>
      </w:r>
      <w:r>
        <w:rPr>
          <w:rFonts w:hint="eastAsia"/>
          <w:color w:val="auto"/>
          <w:kern w:val="0"/>
          <w:highlight w:val="none"/>
          <w:lang w:eastAsia="zh-CN"/>
        </w:rPr>
        <w:t>若羌</w:t>
      </w:r>
      <w:r>
        <w:rPr>
          <w:rFonts w:hint="eastAsia"/>
          <w:color w:val="auto"/>
          <w:kern w:val="0"/>
          <w:highlight w:val="none"/>
        </w:rPr>
        <w:t>县</w:t>
      </w:r>
      <w:r>
        <w:rPr>
          <w:rFonts w:hint="eastAsia"/>
          <w:color w:val="auto"/>
          <w:kern w:val="0"/>
          <w:highlight w:val="none"/>
          <w:lang w:val="en-US" w:eastAsia="zh-CN"/>
        </w:rPr>
        <w:t>生活垃圾填埋场处置</w:t>
      </w:r>
      <w:r>
        <w:rPr>
          <w:rFonts w:hint="eastAsia"/>
          <w:color w:val="auto"/>
          <w:kern w:val="0"/>
          <w:highlight w:val="none"/>
        </w:rPr>
        <w:t>。</w:t>
      </w:r>
    </w:p>
    <w:p w14:paraId="28D0ED50">
      <w:pPr>
        <w:overflowPunct w:val="0"/>
        <w:topLinePunct/>
        <w:spacing w:line="480" w:lineRule="exact"/>
        <w:ind w:firstLine="480"/>
        <w:rPr>
          <w:rFonts w:cs="Times New Roman"/>
          <w:bCs/>
          <w:color w:val="auto"/>
          <w:szCs w:val="24"/>
          <w:highlight w:val="none"/>
        </w:rPr>
      </w:pPr>
      <w:r>
        <w:rPr>
          <w:rFonts w:hint="eastAsia" w:cs="Times New Roman"/>
          <w:bCs/>
          <w:color w:val="auto"/>
          <w:szCs w:val="24"/>
          <w:highlight w:val="none"/>
        </w:rPr>
        <w:t>（</w:t>
      </w:r>
      <w:r>
        <w:rPr>
          <w:rFonts w:hint="eastAsia" w:cs="Times New Roman"/>
          <w:bCs/>
          <w:color w:val="auto"/>
          <w:szCs w:val="24"/>
          <w:highlight w:val="none"/>
          <w:lang w:val="en-US" w:eastAsia="zh-CN"/>
        </w:rPr>
        <w:t>4</w:t>
      </w:r>
      <w:r>
        <w:rPr>
          <w:rFonts w:hint="eastAsia" w:cs="Times New Roman"/>
          <w:bCs/>
          <w:color w:val="auto"/>
          <w:szCs w:val="24"/>
          <w:highlight w:val="none"/>
        </w:rPr>
        <w:t>）</w:t>
      </w:r>
      <w:r>
        <w:rPr>
          <w:rFonts w:hint="eastAsia"/>
          <w:color w:val="auto"/>
          <w:kern w:val="0"/>
          <w:highlight w:val="none"/>
        </w:rPr>
        <w:t>废机油及废油桶</w:t>
      </w:r>
    </w:p>
    <w:p w14:paraId="268D68CF">
      <w:pPr>
        <w:overflowPunct w:val="0"/>
        <w:topLinePunct/>
        <w:ind w:firstLine="480"/>
        <w:rPr>
          <w:rFonts w:hint="eastAsia" w:ascii="Times New Roman" w:hAnsi="Times New Roman" w:cs="Times New Roman"/>
          <w:color w:val="auto"/>
          <w:highlight w:val="none"/>
        </w:rPr>
      </w:pPr>
      <w:r>
        <w:rPr>
          <w:rFonts w:hint="eastAsia"/>
          <w:color w:val="auto"/>
          <w:kern w:val="0"/>
          <w:highlight w:val="none"/>
        </w:rPr>
        <w:t>项目运营过程中会产生少量废机油（</w:t>
      </w:r>
      <w:r>
        <w:rPr>
          <w:color w:val="auto"/>
          <w:kern w:val="0"/>
          <w:highlight w:val="none"/>
        </w:rPr>
        <w:t>HW08</w:t>
      </w:r>
      <w:r>
        <w:rPr>
          <w:rFonts w:hint="eastAsia"/>
          <w:color w:val="auto"/>
          <w:kern w:val="0"/>
          <w:highlight w:val="none"/>
          <w:lang w:val="en-US" w:eastAsia="zh-CN"/>
        </w:rPr>
        <w:t xml:space="preserve"> </w:t>
      </w:r>
      <w:r>
        <w:rPr>
          <w:color w:val="auto"/>
          <w:kern w:val="0"/>
          <w:highlight w:val="none"/>
        </w:rPr>
        <w:t>900-2</w:t>
      </w:r>
      <w:r>
        <w:rPr>
          <w:rFonts w:hint="eastAsia"/>
          <w:color w:val="auto"/>
          <w:kern w:val="0"/>
          <w:highlight w:val="none"/>
        </w:rPr>
        <w:t>1</w:t>
      </w:r>
      <w:r>
        <w:rPr>
          <w:color w:val="auto"/>
          <w:kern w:val="0"/>
          <w:highlight w:val="none"/>
        </w:rPr>
        <w:t>7-08</w:t>
      </w:r>
      <w:r>
        <w:rPr>
          <w:rFonts w:hint="eastAsia"/>
          <w:color w:val="auto"/>
          <w:kern w:val="0"/>
          <w:highlight w:val="none"/>
        </w:rPr>
        <w:t>）及废油桶</w:t>
      </w:r>
      <w:r>
        <w:rPr>
          <w:rFonts w:hint="eastAsia"/>
          <w:color w:val="auto"/>
          <w:kern w:val="0"/>
          <w:highlight w:val="none"/>
          <w:lang w:eastAsia="zh-CN"/>
        </w:rPr>
        <w:t>（</w:t>
      </w:r>
      <w:r>
        <w:rPr>
          <w:color w:val="auto"/>
          <w:kern w:val="0"/>
          <w:highlight w:val="none"/>
        </w:rPr>
        <w:t>HW08</w:t>
      </w:r>
      <w:r>
        <w:rPr>
          <w:rFonts w:hint="eastAsia"/>
          <w:color w:val="auto"/>
          <w:kern w:val="0"/>
          <w:highlight w:val="none"/>
          <w:lang w:val="en-US" w:eastAsia="zh-CN"/>
        </w:rPr>
        <w:t xml:space="preserve"> </w:t>
      </w:r>
      <w:r>
        <w:rPr>
          <w:color w:val="auto"/>
          <w:highlight w:val="none"/>
        </w:rPr>
        <w:t>900-2</w:t>
      </w:r>
      <w:r>
        <w:rPr>
          <w:rFonts w:hint="eastAsia"/>
          <w:color w:val="auto"/>
          <w:highlight w:val="none"/>
          <w:lang w:val="en-US" w:eastAsia="zh-CN"/>
        </w:rPr>
        <w:t>49</w:t>
      </w:r>
      <w:r>
        <w:rPr>
          <w:color w:val="auto"/>
          <w:highlight w:val="none"/>
        </w:rPr>
        <w:t>-08</w:t>
      </w:r>
      <w:r>
        <w:rPr>
          <w:rFonts w:hint="eastAsia"/>
          <w:color w:val="auto"/>
          <w:highlight w:val="none"/>
          <w:lang w:eastAsia="zh-CN"/>
        </w:rPr>
        <w:t>）</w:t>
      </w:r>
      <w:r>
        <w:rPr>
          <w:rFonts w:hint="eastAsia"/>
          <w:color w:val="auto"/>
          <w:kern w:val="0"/>
          <w:highlight w:val="none"/>
        </w:rPr>
        <w:t>，</w:t>
      </w:r>
      <w:r>
        <w:rPr>
          <w:rFonts w:hint="eastAsia"/>
          <w:color w:val="auto"/>
          <w:kern w:val="0"/>
          <w:highlight w:val="none"/>
          <w:lang w:val="en-US" w:eastAsia="zh-CN"/>
        </w:rPr>
        <w:t>均</w:t>
      </w:r>
      <w:r>
        <w:rPr>
          <w:rFonts w:hint="eastAsia"/>
          <w:color w:val="auto"/>
          <w:kern w:val="0"/>
          <w:highlight w:val="none"/>
        </w:rPr>
        <w:t>属于危险废物，主要来源于工程机械和大型设备润滑、维护、检修。</w:t>
      </w:r>
      <w:r>
        <w:rPr>
          <w:color w:val="auto"/>
          <w:highlight w:val="none"/>
        </w:rPr>
        <w:t>废油桶产生量</w:t>
      </w:r>
      <w:r>
        <w:rPr>
          <w:rFonts w:hint="eastAsia"/>
          <w:color w:val="auto"/>
          <w:highlight w:val="none"/>
          <w:lang w:val="en-US" w:eastAsia="zh-CN"/>
        </w:rPr>
        <w:t>约</w:t>
      </w:r>
      <w:r>
        <w:rPr>
          <w:color w:val="auto"/>
          <w:highlight w:val="none"/>
        </w:rPr>
        <w:t>为</w:t>
      </w:r>
      <w:r>
        <w:rPr>
          <w:rFonts w:hint="eastAsia"/>
          <w:color w:val="auto"/>
          <w:highlight w:val="none"/>
          <w:lang w:val="en-US" w:eastAsia="zh-CN"/>
        </w:rPr>
        <w:t>120个</w:t>
      </w:r>
      <w:r>
        <w:rPr>
          <w:color w:val="auto"/>
          <w:highlight w:val="none"/>
        </w:rPr>
        <w:t>/年</w:t>
      </w:r>
      <w:r>
        <w:rPr>
          <w:rFonts w:hint="eastAsia"/>
          <w:color w:val="auto"/>
          <w:highlight w:val="none"/>
        </w:rPr>
        <w:t>（约</w:t>
      </w:r>
      <w:r>
        <w:rPr>
          <w:rFonts w:hint="eastAsia"/>
          <w:color w:val="auto"/>
          <w:highlight w:val="none"/>
          <w:lang w:val="en-US" w:eastAsia="zh-CN"/>
        </w:rPr>
        <w:t>2.4</w:t>
      </w:r>
      <w:r>
        <w:rPr>
          <w:rFonts w:hint="eastAsia"/>
          <w:color w:val="auto"/>
          <w:highlight w:val="none"/>
        </w:rPr>
        <w:t>t/a）</w:t>
      </w:r>
      <w:r>
        <w:rPr>
          <w:color w:val="auto"/>
          <w:highlight w:val="none"/>
        </w:rPr>
        <w:t>，</w:t>
      </w:r>
      <w:r>
        <w:rPr>
          <w:rFonts w:hint="eastAsia"/>
          <w:color w:val="auto"/>
          <w:kern w:val="0"/>
          <w:highlight w:val="none"/>
        </w:rPr>
        <w:t>废机油产生量约2</w:t>
      </w:r>
      <w:r>
        <w:rPr>
          <w:color w:val="auto"/>
          <w:kern w:val="0"/>
          <w:highlight w:val="none"/>
        </w:rPr>
        <w:t>t/a</w:t>
      </w:r>
      <w:r>
        <w:rPr>
          <w:rFonts w:hint="eastAsia"/>
          <w:color w:val="auto"/>
          <w:kern w:val="0"/>
          <w:highlight w:val="none"/>
        </w:rPr>
        <w:t>。</w:t>
      </w:r>
      <w:r>
        <w:rPr>
          <w:rFonts w:hint="eastAsia" w:ascii="Times New Roman" w:hAnsi="Times New Roman" w:cs="Times New Roman"/>
          <w:color w:val="auto"/>
          <w:highlight w:val="none"/>
        </w:rPr>
        <w:t>暂存于</w:t>
      </w:r>
      <w:r>
        <w:rPr>
          <w:rFonts w:hint="eastAsia" w:cs="Times New Roman"/>
          <w:color w:val="auto"/>
          <w:highlight w:val="none"/>
          <w:lang w:eastAsia="zh-CN"/>
        </w:rPr>
        <w:t>危废贮存库</w:t>
      </w:r>
      <w:r>
        <w:rPr>
          <w:rFonts w:hint="eastAsia" w:ascii="Times New Roman" w:hAnsi="Times New Roman" w:cs="Times New Roman"/>
          <w:color w:val="auto"/>
          <w:highlight w:val="none"/>
        </w:rPr>
        <w:t>，</w:t>
      </w:r>
      <w:r>
        <w:rPr>
          <w:rFonts w:hint="eastAsia" w:cs="Times New Roman"/>
          <w:color w:val="auto"/>
          <w:highlight w:val="none"/>
          <w:lang w:val="en-US" w:eastAsia="zh-CN"/>
        </w:rPr>
        <w:t>定期</w:t>
      </w:r>
      <w:r>
        <w:rPr>
          <w:rFonts w:hint="eastAsia" w:ascii="Times New Roman" w:hAnsi="Times New Roman" w:cs="Times New Roman"/>
          <w:color w:val="auto"/>
          <w:highlight w:val="none"/>
        </w:rPr>
        <w:t>委托有资质单位处置。</w:t>
      </w:r>
    </w:p>
    <w:p w14:paraId="19F86C14">
      <w:pPr>
        <w:overflowPunct w:val="0"/>
        <w:topLinePunct/>
        <w:spacing w:line="480" w:lineRule="exa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5</w:t>
      </w:r>
      <w:r>
        <w:rPr>
          <w:rFonts w:hint="eastAsia"/>
          <w:color w:val="auto"/>
          <w:kern w:val="0"/>
          <w:highlight w:val="none"/>
        </w:rPr>
        <w:t>）</w:t>
      </w:r>
      <w:r>
        <w:rPr>
          <w:rFonts w:hint="eastAsia"/>
          <w:color w:val="auto"/>
          <w:kern w:val="0"/>
          <w:highlight w:val="none"/>
          <w:lang w:eastAsia="zh-CN"/>
        </w:rPr>
        <w:t>原辅料废</w:t>
      </w:r>
      <w:r>
        <w:rPr>
          <w:rFonts w:hint="eastAsia"/>
          <w:color w:val="auto"/>
          <w:kern w:val="0"/>
          <w:highlight w:val="none"/>
        </w:rPr>
        <w:t>包装物</w:t>
      </w:r>
    </w:p>
    <w:p w14:paraId="1CA33CD8">
      <w:pPr>
        <w:overflowPunct w:val="0"/>
        <w:topLinePunct/>
        <w:spacing w:line="480" w:lineRule="exact"/>
        <w:ind w:firstLine="480"/>
        <w:rPr>
          <w:rFonts w:hint="eastAsia"/>
          <w:color w:val="auto"/>
          <w:kern w:val="0"/>
          <w:highlight w:val="none"/>
        </w:rPr>
      </w:pPr>
      <w:r>
        <w:rPr>
          <w:rFonts w:hint="eastAsia"/>
          <w:color w:val="auto"/>
          <w:kern w:val="0"/>
          <w:highlight w:val="none"/>
        </w:rPr>
        <w:t>本项目产生废包装</w:t>
      </w:r>
      <w:r>
        <w:rPr>
          <w:rFonts w:hint="eastAsia"/>
          <w:color w:val="auto"/>
          <w:kern w:val="0"/>
          <w:highlight w:val="none"/>
          <w:lang w:val="en-US" w:eastAsia="zh-CN"/>
        </w:rPr>
        <w:t>材料约</w:t>
      </w:r>
      <w:r>
        <w:rPr>
          <w:rFonts w:hint="eastAsia"/>
          <w:color w:val="auto"/>
          <w:highlight w:val="none"/>
          <w:lang w:val="en-US" w:eastAsia="zh-CN"/>
        </w:rPr>
        <w:t>202.32</w:t>
      </w:r>
      <w:r>
        <w:rPr>
          <w:rFonts w:hint="eastAsia"/>
          <w:color w:val="auto"/>
          <w:kern w:val="0"/>
          <w:highlight w:val="none"/>
        </w:rPr>
        <w:t>t/a</w:t>
      </w:r>
      <w:r>
        <w:rPr>
          <w:rFonts w:hint="eastAsia"/>
          <w:color w:val="auto"/>
          <w:kern w:val="0"/>
          <w:highlight w:val="none"/>
          <w:lang w:eastAsia="zh-CN"/>
        </w:rPr>
        <w:t>，</w:t>
      </w:r>
      <w:r>
        <w:rPr>
          <w:rFonts w:hint="eastAsia"/>
          <w:color w:val="auto"/>
          <w:kern w:val="0"/>
          <w:highlight w:val="none"/>
          <w:lang w:val="en-US" w:eastAsia="zh-CN"/>
        </w:rPr>
        <w:t>属于一般固废，全部交由厂家回收处理</w:t>
      </w:r>
      <w:r>
        <w:rPr>
          <w:rFonts w:hint="eastAsia"/>
          <w:color w:val="auto"/>
          <w:kern w:val="0"/>
          <w:highlight w:val="none"/>
        </w:rPr>
        <w:t>。</w:t>
      </w:r>
    </w:p>
    <w:p w14:paraId="40888BFC">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6</w:t>
      </w:r>
      <w:r>
        <w:rPr>
          <w:rFonts w:hint="eastAsia"/>
          <w:color w:val="auto"/>
          <w:kern w:val="0"/>
          <w:highlight w:val="none"/>
        </w:rPr>
        <w:t>）除尘灰</w:t>
      </w:r>
    </w:p>
    <w:p w14:paraId="48CF95CE">
      <w:pPr>
        <w:overflowPunct w:val="0"/>
        <w:topLinePunct/>
        <w:ind w:firstLine="480"/>
        <w:rPr>
          <w:color w:val="auto"/>
          <w:kern w:val="0"/>
          <w:highlight w:val="none"/>
        </w:rPr>
      </w:pPr>
      <w:r>
        <w:rPr>
          <w:rFonts w:hint="eastAsia"/>
          <w:color w:val="auto"/>
          <w:kern w:val="0"/>
          <w:highlight w:val="none"/>
        </w:rPr>
        <w:t>本项目除尘器收集的粉尘灰产生量为</w:t>
      </w:r>
      <w:r>
        <w:rPr>
          <w:rFonts w:hint="eastAsia" w:cs="Times New Roman"/>
          <w:color w:val="auto"/>
          <w:kern w:val="2"/>
          <w:sz w:val="24"/>
          <w:szCs w:val="24"/>
          <w:highlight w:val="none"/>
          <w:lang w:val="en-US" w:eastAsia="zh-CN" w:bidi="ar-SA"/>
        </w:rPr>
        <w:t>1186.8</w:t>
      </w:r>
      <w:r>
        <w:rPr>
          <w:rFonts w:hint="eastAsia"/>
          <w:color w:val="auto"/>
          <w:kern w:val="0"/>
          <w:highlight w:val="none"/>
        </w:rPr>
        <w:t>t/a</w:t>
      </w:r>
      <w:r>
        <w:rPr>
          <w:rFonts w:hint="eastAsia"/>
          <w:color w:val="auto"/>
          <w:kern w:val="0"/>
          <w:highlight w:val="none"/>
          <w:lang w:eastAsia="zh-CN"/>
        </w:rPr>
        <w:t>，</w:t>
      </w:r>
      <w:r>
        <w:rPr>
          <w:rFonts w:hint="eastAsia"/>
          <w:color w:val="auto"/>
          <w:kern w:val="0"/>
          <w:highlight w:val="none"/>
        </w:rPr>
        <w:t>粉尘灰含较高的</w:t>
      </w:r>
      <w:r>
        <w:rPr>
          <w:rFonts w:hint="eastAsia"/>
          <w:color w:val="auto"/>
          <w:kern w:val="0"/>
          <w:highlight w:val="none"/>
          <w:lang w:eastAsia="zh-CN"/>
        </w:rPr>
        <w:t>萤石</w:t>
      </w:r>
      <w:r>
        <w:rPr>
          <w:rFonts w:hint="eastAsia"/>
          <w:color w:val="auto"/>
          <w:kern w:val="0"/>
          <w:highlight w:val="none"/>
        </w:rPr>
        <w:t>矿物，</w:t>
      </w:r>
      <w:r>
        <w:rPr>
          <w:color w:val="auto"/>
          <w:highlight w:val="none"/>
        </w:rPr>
        <w:t>通过除尘器灰斗</w:t>
      </w:r>
      <w:r>
        <w:rPr>
          <w:rFonts w:hint="eastAsia"/>
          <w:color w:val="auto"/>
          <w:highlight w:val="none"/>
        </w:rPr>
        <w:t>收集后</w:t>
      </w:r>
      <w:r>
        <w:rPr>
          <w:rFonts w:hint="eastAsia"/>
          <w:color w:val="auto"/>
          <w:kern w:val="0"/>
          <w:highlight w:val="none"/>
        </w:rPr>
        <w:t>回用于选矿生</w:t>
      </w:r>
      <w:r>
        <w:rPr>
          <w:rFonts w:hint="eastAsia" w:ascii="Times New Roman" w:hAnsi="Times New Roman" w:eastAsia="宋体" w:cs="Times New Roman"/>
          <w:color w:val="auto"/>
          <w:kern w:val="0"/>
          <w:highlight w:val="none"/>
        </w:rPr>
        <w:t>产，不外排。</w:t>
      </w:r>
    </w:p>
    <w:p w14:paraId="0C2E6CB7">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7</w:t>
      </w:r>
      <w:r>
        <w:rPr>
          <w:rFonts w:hint="eastAsia"/>
          <w:color w:val="auto"/>
          <w:kern w:val="0"/>
          <w:highlight w:val="none"/>
        </w:rPr>
        <w:t>）废离子交换树脂</w:t>
      </w:r>
    </w:p>
    <w:p w14:paraId="5B7D2780">
      <w:pPr>
        <w:overflowPunct w:val="0"/>
        <w:topLinePunct/>
        <w:ind w:firstLine="480"/>
        <w:rPr>
          <w:color w:val="auto"/>
          <w:kern w:val="0"/>
          <w:highlight w:val="none"/>
        </w:rPr>
      </w:pPr>
      <w:r>
        <w:rPr>
          <w:color w:val="auto"/>
          <w:highlight w:val="none"/>
        </w:rPr>
        <w:t>废离子交换树脂年产生量为0.</w:t>
      </w:r>
      <w:r>
        <w:rPr>
          <w:rFonts w:hint="eastAsia"/>
          <w:color w:val="auto"/>
          <w:highlight w:val="none"/>
          <w:lang w:val="en-US" w:eastAsia="zh-CN"/>
        </w:rPr>
        <w:t>2</w:t>
      </w:r>
      <w:r>
        <w:rPr>
          <w:color w:val="auto"/>
          <w:highlight w:val="none"/>
        </w:rPr>
        <w:t>t/</w:t>
      </w:r>
      <w:r>
        <w:rPr>
          <w:rFonts w:hint="eastAsia"/>
          <w:color w:val="auto"/>
          <w:highlight w:val="none"/>
        </w:rPr>
        <w:t>3</w:t>
      </w:r>
      <w:r>
        <w:rPr>
          <w:color w:val="auto"/>
          <w:highlight w:val="none"/>
        </w:rPr>
        <w:t>a，</w:t>
      </w:r>
      <w:r>
        <w:rPr>
          <w:rFonts w:hint="eastAsia"/>
          <w:color w:val="auto"/>
          <w:highlight w:val="none"/>
        </w:rPr>
        <w:t>不属于危险废物，</w:t>
      </w:r>
      <w:r>
        <w:rPr>
          <w:color w:val="auto"/>
          <w:highlight w:val="none"/>
        </w:rPr>
        <w:t>树脂更换由厂家负责，更换的旧树脂由厂家回收处理。</w:t>
      </w:r>
    </w:p>
    <w:p w14:paraId="78C1B746">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8</w:t>
      </w:r>
      <w:r>
        <w:rPr>
          <w:rFonts w:hint="eastAsia"/>
          <w:color w:val="auto"/>
          <w:kern w:val="0"/>
          <w:highlight w:val="none"/>
        </w:rPr>
        <w:t>）</w:t>
      </w:r>
      <w:r>
        <w:rPr>
          <w:rFonts w:hint="eastAsia"/>
          <w:color w:val="auto"/>
          <w:kern w:val="0"/>
          <w:highlight w:val="none"/>
          <w:lang w:val="en-US" w:eastAsia="zh-CN"/>
        </w:rPr>
        <w:t>回水</w:t>
      </w:r>
      <w:r>
        <w:rPr>
          <w:rFonts w:hint="eastAsia"/>
          <w:color w:val="auto"/>
          <w:kern w:val="0"/>
          <w:highlight w:val="none"/>
        </w:rPr>
        <w:t>底泥</w:t>
      </w:r>
    </w:p>
    <w:p w14:paraId="144F153F">
      <w:pPr>
        <w:overflowPunct w:val="0"/>
        <w:topLinePunct/>
        <w:ind w:firstLine="480"/>
        <w:rPr>
          <w:color w:val="auto"/>
          <w:kern w:val="0"/>
          <w:highlight w:val="none"/>
        </w:rPr>
      </w:pPr>
      <w:r>
        <w:rPr>
          <w:rFonts w:hint="eastAsia"/>
          <w:color w:val="auto"/>
          <w:kern w:val="0"/>
          <w:highlight w:val="none"/>
          <w:lang w:val="en-US" w:eastAsia="zh-CN"/>
        </w:rPr>
        <w:t>项目回水池</w:t>
      </w:r>
      <w:r>
        <w:rPr>
          <w:rFonts w:hint="eastAsia"/>
          <w:color w:val="auto"/>
          <w:kern w:val="0"/>
          <w:highlight w:val="none"/>
        </w:rPr>
        <w:t>底泥产生量约</w:t>
      </w:r>
      <w:r>
        <w:rPr>
          <w:rFonts w:hint="eastAsia"/>
          <w:color w:val="auto"/>
          <w:kern w:val="0"/>
          <w:highlight w:val="none"/>
          <w:lang w:val="en-US" w:eastAsia="zh-CN"/>
        </w:rPr>
        <w:t>120</w:t>
      </w:r>
      <w:r>
        <w:rPr>
          <w:rFonts w:hint="eastAsia"/>
          <w:color w:val="auto"/>
          <w:kern w:val="0"/>
          <w:highlight w:val="none"/>
        </w:rPr>
        <w:t>t/a</w:t>
      </w:r>
      <w:r>
        <w:rPr>
          <w:rFonts w:hint="eastAsia"/>
          <w:color w:val="auto"/>
          <w:kern w:val="0"/>
          <w:highlight w:val="none"/>
          <w:lang w:eastAsia="zh-CN"/>
        </w:rPr>
        <w:t>，</w:t>
      </w:r>
      <w:r>
        <w:rPr>
          <w:rFonts w:hint="eastAsia"/>
          <w:color w:val="auto"/>
          <w:kern w:val="0"/>
          <w:highlight w:val="none"/>
        </w:rPr>
        <w:t>循环水池定期清理，返回生产工序回用于选矿。</w:t>
      </w:r>
    </w:p>
    <w:p w14:paraId="59258AC3">
      <w:pPr>
        <w:overflowPunct w:val="0"/>
        <w:topLinePunct/>
        <w:ind w:firstLine="480"/>
        <w:rPr>
          <w:rFonts w:hint="eastAsia"/>
          <w:color w:val="auto"/>
          <w:kern w:val="0"/>
          <w:highlight w:val="none"/>
          <w:lang w:val="en-US" w:eastAsia="zh-CN"/>
        </w:rPr>
      </w:pPr>
      <w:r>
        <w:rPr>
          <w:rFonts w:hint="eastAsia"/>
          <w:color w:val="auto"/>
          <w:kern w:val="0"/>
          <w:highlight w:val="none"/>
          <w:lang w:eastAsia="zh-CN"/>
        </w:rPr>
        <w:t>（</w:t>
      </w:r>
      <w:r>
        <w:rPr>
          <w:rFonts w:hint="eastAsia"/>
          <w:color w:val="auto"/>
          <w:kern w:val="0"/>
          <w:highlight w:val="none"/>
          <w:lang w:val="en-US" w:eastAsia="zh-CN"/>
        </w:rPr>
        <w:t>9）水处理底泥</w:t>
      </w:r>
    </w:p>
    <w:p w14:paraId="55962B8B">
      <w:pPr>
        <w:overflowPunct w:val="0"/>
        <w:topLinePunct/>
        <w:ind w:firstLine="480"/>
        <w:rPr>
          <w:rFonts w:hint="default"/>
          <w:color w:val="auto"/>
          <w:kern w:val="0"/>
          <w:highlight w:val="none"/>
          <w:lang w:val="en-US" w:eastAsia="zh-CN"/>
        </w:rPr>
      </w:pPr>
      <w:r>
        <w:rPr>
          <w:rFonts w:hint="eastAsia"/>
          <w:color w:val="auto"/>
          <w:kern w:val="0"/>
          <w:highlight w:val="none"/>
          <w:lang w:val="en-US" w:eastAsia="zh-CN"/>
        </w:rPr>
        <w:t>项目坑内水、水源地生产水处理产生的底泥，主要成分为泥沙，产生量约为155t/a，</w:t>
      </w:r>
      <w:r>
        <w:rPr>
          <w:rFonts w:hint="eastAsia"/>
          <w:color w:val="auto"/>
          <w:highlight w:val="none"/>
        </w:rPr>
        <w:t>定期拉运至</w:t>
      </w:r>
      <w:r>
        <w:rPr>
          <w:rFonts w:hint="eastAsia"/>
          <w:color w:val="auto"/>
          <w:highlight w:val="none"/>
          <w:lang w:eastAsia="zh-CN"/>
        </w:rPr>
        <w:t>若羌</w:t>
      </w:r>
      <w:r>
        <w:rPr>
          <w:rFonts w:hint="eastAsia"/>
          <w:color w:val="auto"/>
          <w:highlight w:val="none"/>
        </w:rPr>
        <w:t>县一般工业固体废物填埋场进行处置</w:t>
      </w:r>
      <w:r>
        <w:rPr>
          <w:rFonts w:hint="eastAsia"/>
          <w:color w:val="auto"/>
          <w:kern w:val="0"/>
          <w:highlight w:val="none"/>
          <w:lang w:val="en-US" w:eastAsia="zh-CN"/>
        </w:rPr>
        <w:t>。</w:t>
      </w:r>
    </w:p>
    <w:p w14:paraId="61E3C366">
      <w:pPr>
        <w:overflowPunct w:val="0"/>
        <w:topLinePunct/>
        <w:ind w:firstLine="480"/>
        <w:rPr>
          <w:rFonts w:hint="default" w:eastAsia="宋体"/>
          <w:color w:val="auto"/>
          <w:kern w:val="0"/>
          <w:highlight w:val="none"/>
          <w:lang w:val="en-US" w:eastAsia="zh-CN"/>
        </w:rPr>
      </w:pPr>
      <w:r>
        <w:rPr>
          <w:rFonts w:hint="eastAsia"/>
          <w:color w:val="auto"/>
          <w:kern w:val="0"/>
          <w:highlight w:val="none"/>
        </w:rPr>
        <w:t>（</w:t>
      </w:r>
      <w:r>
        <w:rPr>
          <w:rFonts w:hint="eastAsia"/>
          <w:color w:val="auto"/>
          <w:kern w:val="0"/>
          <w:highlight w:val="none"/>
          <w:lang w:val="en-US" w:eastAsia="zh-CN"/>
        </w:rPr>
        <w:t>10</w:t>
      </w:r>
      <w:r>
        <w:rPr>
          <w:rFonts w:hint="eastAsia"/>
          <w:color w:val="auto"/>
          <w:kern w:val="0"/>
          <w:highlight w:val="none"/>
        </w:rPr>
        <w:t>）</w:t>
      </w:r>
      <w:r>
        <w:rPr>
          <w:rFonts w:hint="eastAsia"/>
          <w:color w:val="auto"/>
          <w:kern w:val="0"/>
          <w:highlight w:val="none"/>
          <w:lang w:val="en-US" w:eastAsia="zh-CN"/>
        </w:rPr>
        <w:t>废活性炭</w:t>
      </w:r>
    </w:p>
    <w:p w14:paraId="54011759">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生活用水净化</w:t>
      </w:r>
      <w:r>
        <w:rPr>
          <w:rFonts w:hint="default"/>
          <w:color w:val="auto"/>
          <w:highlight w:val="none"/>
          <w:lang w:val="en-US" w:eastAsia="zh-CN"/>
        </w:rPr>
        <w:t>采用活性炭过滤，</w:t>
      </w:r>
      <w:r>
        <w:rPr>
          <w:rFonts w:hint="eastAsia"/>
          <w:color w:val="auto"/>
          <w:highlight w:val="none"/>
          <w:lang w:val="en-US" w:eastAsia="zh-CN"/>
        </w:rPr>
        <w:t>定期更换</w:t>
      </w:r>
      <w:r>
        <w:rPr>
          <w:rFonts w:hint="default"/>
          <w:color w:val="auto"/>
          <w:highlight w:val="none"/>
          <w:lang w:val="en-US" w:eastAsia="zh-CN"/>
        </w:rPr>
        <w:t>，废活性炭产生量为0.</w:t>
      </w:r>
      <w:r>
        <w:rPr>
          <w:rFonts w:hint="eastAsia"/>
          <w:color w:val="auto"/>
          <w:highlight w:val="none"/>
          <w:lang w:val="en-US" w:eastAsia="zh-CN"/>
        </w:rPr>
        <w:t>2</w:t>
      </w:r>
      <w:r>
        <w:rPr>
          <w:rFonts w:hint="default"/>
          <w:color w:val="auto"/>
          <w:highlight w:val="none"/>
          <w:lang w:val="en-US" w:eastAsia="zh-CN"/>
        </w:rPr>
        <w:t>t/a</w:t>
      </w:r>
      <w:r>
        <w:rPr>
          <w:rFonts w:hint="eastAsia"/>
          <w:color w:val="auto"/>
          <w:highlight w:val="none"/>
          <w:lang w:val="en-US" w:eastAsia="zh-CN"/>
        </w:rPr>
        <w:t>，外售处置利用。</w:t>
      </w:r>
    </w:p>
    <w:p w14:paraId="7BE19542">
      <w:pPr>
        <w:overflowPunct w:val="0"/>
        <w:topLinePunct/>
        <w:ind w:firstLine="480"/>
        <w:rPr>
          <w:rFonts w:hint="eastAsia"/>
          <w:color w:val="auto"/>
          <w:kern w:val="0"/>
          <w:highlight w:val="none"/>
          <w:lang w:val="en-US" w:eastAsia="zh-CN"/>
        </w:rPr>
      </w:pPr>
      <w:r>
        <w:rPr>
          <w:rFonts w:hint="eastAsia"/>
          <w:color w:val="auto"/>
          <w:kern w:val="0"/>
          <w:highlight w:val="none"/>
          <w:lang w:eastAsia="zh-CN"/>
        </w:rPr>
        <w:t>（</w:t>
      </w:r>
      <w:r>
        <w:rPr>
          <w:rFonts w:hint="eastAsia"/>
          <w:color w:val="auto"/>
          <w:kern w:val="0"/>
          <w:highlight w:val="none"/>
          <w:lang w:val="en-US" w:eastAsia="zh-CN"/>
        </w:rPr>
        <w:t>11）废石英砂</w:t>
      </w:r>
    </w:p>
    <w:p w14:paraId="59F64A22">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生活用水净化</w:t>
      </w:r>
      <w:r>
        <w:rPr>
          <w:rFonts w:hint="default"/>
          <w:color w:val="auto"/>
          <w:highlight w:val="none"/>
          <w:lang w:val="en-US" w:eastAsia="zh-CN"/>
        </w:rPr>
        <w:t>采用石英砂过滤，</w:t>
      </w:r>
      <w:r>
        <w:rPr>
          <w:rFonts w:hint="eastAsia"/>
          <w:color w:val="auto"/>
          <w:highlight w:val="none"/>
          <w:lang w:val="en-US" w:eastAsia="zh-CN"/>
        </w:rPr>
        <w:t>定期更换</w:t>
      </w:r>
      <w:r>
        <w:rPr>
          <w:rFonts w:hint="default"/>
          <w:color w:val="auto"/>
          <w:highlight w:val="none"/>
          <w:lang w:val="en-US" w:eastAsia="zh-CN"/>
        </w:rPr>
        <w:t>，废石英砂产生量约为</w:t>
      </w:r>
      <w:r>
        <w:rPr>
          <w:rFonts w:hint="eastAsia"/>
          <w:color w:val="auto"/>
          <w:highlight w:val="none"/>
          <w:lang w:val="en-US" w:eastAsia="zh-CN"/>
        </w:rPr>
        <w:t>0.</w:t>
      </w:r>
      <w:r>
        <w:rPr>
          <w:rFonts w:hint="default"/>
          <w:color w:val="auto"/>
          <w:highlight w:val="none"/>
          <w:lang w:val="en-US" w:eastAsia="zh-CN"/>
        </w:rPr>
        <w:t>5t/a</w:t>
      </w:r>
      <w:r>
        <w:rPr>
          <w:rFonts w:hint="eastAsia"/>
          <w:color w:val="auto"/>
          <w:highlight w:val="none"/>
          <w:lang w:val="en-US" w:eastAsia="zh-CN"/>
        </w:rPr>
        <w:t>，</w:t>
      </w:r>
      <w:r>
        <w:rPr>
          <w:rFonts w:hint="default"/>
          <w:color w:val="auto"/>
          <w:highlight w:val="none"/>
          <w:lang w:val="en-US" w:eastAsia="zh-CN"/>
        </w:rPr>
        <w:t>外售处置利用。</w:t>
      </w:r>
    </w:p>
    <w:p w14:paraId="7184FCE6">
      <w:pPr>
        <w:overflowPunct w:val="0"/>
        <w:topLinePunct/>
        <w:ind w:firstLine="480"/>
        <w:rPr>
          <w:color w:val="auto"/>
          <w:kern w:val="0"/>
          <w:highlight w:val="none"/>
        </w:rPr>
      </w:pPr>
      <w:r>
        <w:rPr>
          <w:rFonts w:hint="eastAsia"/>
          <w:color w:val="auto"/>
          <w:kern w:val="0"/>
          <w:highlight w:val="none"/>
          <w:lang w:val="en-US" w:eastAsia="zh-CN"/>
        </w:rPr>
        <w:t>（12）</w:t>
      </w:r>
      <w:r>
        <w:rPr>
          <w:rFonts w:hint="eastAsia"/>
          <w:color w:val="auto"/>
          <w:kern w:val="0"/>
          <w:highlight w:val="none"/>
        </w:rPr>
        <w:t>废布袋</w:t>
      </w:r>
    </w:p>
    <w:p w14:paraId="79813893">
      <w:pPr>
        <w:overflowPunct w:val="0"/>
        <w:topLinePunct/>
        <w:ind w:firstLine="480"/>
        <w:rPr>
          <w:color w:val="auto"/>
          <w:kern w:val="0"/>
          <w:highlight w:val="none"/>
        </w:rPr>
      </w:pPr>
      <w:r>
        <w:rPr>
          <w:rFonts w:hint="eastAsia"/>
          <w:color w:val="auto"/>
          <w:kern w:val="0"/>
          <w:highlight w:val="none"/>
        </w:rPr>
        <w:t>根据项目需要采取布袋除尘器作为环保处理措施手段，但在运行过程中难免会发生布袋破损，或遇水后糊袋的现象，因此需要更换布袋。本项目废布袋产生量约为0.5t/a，该部分固废属于一般固体废物，集中收集后定期拉运至</w:t>
      </w:r>
      <w:r>
        <w:rPr>
          <w:rFonts w:hint="eastAsia"/>
          <w:color w:val="auto"/>
          <w:kern w:val="0"/>
          <w:highlight w:val="none"/>
          <w:lang w:eastAsia="zh-CN"/>
        </w:rPr>
        <w:t>若羌</w:t>
      </w:r>
      <w:r>
        <w:rPr>
          <w:rFonts w:hint="eastAsia"/>
          <w:color w:val="auto"/>
          <w:kern w:val="0"/>
          <w:highlight w:val="none"/>
        </w:rPr>
        <w:t>县一般工业固体废物填埋场进行处置。</w:t>
      </w:r>
    </w:p>
    <w:p w14:paraId="2CBEEA37">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13</w:t>
      </w:r>
      <w:r>
        <w:rPr>
          <w:rFonts w:hint="eastAsia"/>
          <w:color w:val="auto"/>
          <w:kern w:val="0"/>
          <w:highlight w:val="none"/>
        </w:rPr>
        <w:t>）化验废液</w:t>
      </w:r>
    </w:p>
    <w:p w14:paraId="58062E17">
      <w:pPr>
        <w:spacing w:line="480" w:lineRule="exact"/>
        <w:ind w:firstLine="480" w:firstLineChars="200"/>
        <w:textAlignment w:val="baseline"/>
        <w:rPr>
          <w:color w:val="auto"/>
          <w:sz w:val="24"/>
          <w:highlight w:val="none"/>
        </w:rPr>
      </w:pPr>
      <w:r>
        <w:rPr>
          <w:rFonts w:hint="eastAsia" w:ascii="Times New Roman" w:hAnsi="Times New Roman" w:eastAsia="宋体" w:cs="Times New Roman"/>
          <w:b w:val="0"/>
          <w:bCs w:val="0"/>
          <w:color w:val="auto"/>
          <w:kern w:val="0"/>
          <w:sz w:val="24"/>
          <w:szCs w:val="24"/>
          <w:highlight w:val="none"/>
          <w:lang w:val="en-US" w:eastAsia="zh-CN" w:bidi="ar-SA"/>
        </w:rPr>
        <w:t>本项目危险废物为实验室化验废物，包括</w:t>
      </w:r>
      <w:r>
        <w:rPr>
          <w:rFonts w:hint="eastAsia"/>
          <w:color w:val="auto"/>
          <w:sz w:val="24"/>
          <w:highlight w:val="none"/>
          <w:lang w:eastAsia="zh-CN"/>
        </w:rPr>
        <w:t>项目化验室</w:t>
      </w:r>
      <w:r>
        <w:rPr>
          <w:rFonts w:hint="eastAsia"/>
          <w:color w:val="auto"/>
          <w:sz w:val="24"/>
          <w:highlight w:val="none"/>
        </w:rPr>
        <w:t>第一次清洗废水</w:t>
      </w:r>
      <w:r>
        <w:rPr>
          <w:rFonts w:hint="eastAsia"/>
          <w:color w:val="auto"/>
          <w:sz w:val="24"/>
          <w:highlight w:val="none"/>
          <w:lang w:eastAsia="zh-CN"/>
        </w:rPr>
        <w:t>（</w:t>
      </w:r>
      <w:r>
        <w:rPr>
          <w:rFonts w:hint="eastAsia"/>
          <w:color w:val="auto"/>
          <w:sz w:val="24"/>
          <w:highlight w:val="none"/>
          <w:lang w:val="en-US" w:eastAsia="zh-CN"/>
        </w:rPr>
        <w:t>3t/a）</w:t>
      </w:r>
      <w:r>
        <w:rPr>
          <w:rFonts w:hint="eastAsia"/>
          <w:color w:val="auto"/>
          <w:sz w:val="24"/>
          <w:highlight w:val="none"/>
        </w:rPr>
        <w:t>、</w:t>
      </w:r>
      <w:r>
        <w:rPr>
          <w:rFonts w:hint="eastAsia"/>
          <w:color w:val="auto"/>
          <w:sz w:val="24"/>
          <w:highlight w:val="none"/>
          <w:lang w:eastAsia="zh-CN"/>
        </w:rPr>
        <w:t>化验</w:t>
      </w:r>
      <w:r>
        <w:rPr>
          <w:color w:val="auto"/>
          <w:sz w:val="24"/>
          <w:highlight w:val="none"/>
        </w:rPr>
        <w:t>废液</w:t>
      </w:r>
      <w:r>
        <w:rPr>
          <w:rFonts w:hint="eastAsia"/>
          <w:color w:val="auto"/>
          <w:sz w:val="24"/>
          <w:highlight w:val="none"/>
          <w:lang w:eastAsia="zh-CN"/>
        </w:rPr>
        <w:t>（</w:t>
      </w:r>
      <w:r>
        <w:rPr>
          <w:rFonts w:hint="eastAsia"/>
          <w:color w:val="auto"/>
          <w:sz w:val="24"/>
          <w:highlight w:val="none"/>
          <w:lang w:val="en-US" w:eastAsia="zh-CN"/>
        </w:rPr>
        <w:t>1t/a）</w:t>
      </w:r>
      <w:r>
        <w:rPr>
          <w:color w:val="auto"/>
          <w:sz w:val="24"/>
          <w:highlight w:val="none"/>
        </w:rPr>
        <w:t>，含重金属或有毒有害化学试剂的废试纸、废滤膜、废容器、危险化学品废弃包装物</w:t>
      </w:r>
      <w:r>
        <w:rPr>
          <w:rFonts w:hint="eastAsia"/>
          <w:color w:val="auto"/>
          <w:sz w:val="24"/>
          <w:highlight w:val="none"/>
          <w:lang w:eastAsia="zh-CN"/>
        </w:rPr>
        <w:t>（</w:t>
      </w:r>
      <w:r>
        <w:rPr>
          <w:rFonts w:hint="eastAsia"/>
          <w:color w:val="auto"/>
          <w:sz w:val="24"/>
          <w:highlight w:val="none"/>
          <w:lang w:val="en-US" w:eastAsia="zh-CN"/>
        </w:rPr>
        <w:t>0.1t/a）</w:t>
      </w:r>
      <w:r>
        <w:rPr>
          <w:color w:val="auto"/>
          <w:sz w:val="24"/>
          <w:highlight w:val="none"/>
        </w:rPr>
        <w:t>，废弃化学试剂和废弃药品</w:t>
      </w:r>
      <w:r>
        <w:rPr>
          <w:rFonts w:hint="eastAsia"/>
          <w:color w:val="auto"/>
          <w:sz w:val="24"/>
          <w:highlight w:val="none"/>
          <w:lang w:eastAsia="zh-CN"/>
        </w:rPr>
        <w:t>（</w:t>
      </w:r>
      <w:r>
        <w:rPr>
          <w:rFonts w:hint="eastAsia"/>
          <w:color w:val="auto"/>
          <w:sz w:val="24"/>
          <w:highlight w:val="none"/>
          <w:lang w:val="en-US" w:eastAsia="zh-CN"/>
        </w:rPr>
        <w:t>0.05t/a）</w:t>
      </w:r>
      <w:r>
        <w:rPr>
          <w:color w:val="auto"/>
          <w:sz w:val="24"/>
          <w:highlight w:val="none"/>
        </w:rPr>
        <w:t>等</w:t>
      </w:r>
      <w:r>
        <w:rPr>
          <w:rFonts w:hint="eastAsia"/>
          <w:color w:val="auto"/>
          <w:sz w:val="24"/>
          <w:highlight w:val="none"/>
          <w:lang w:eastAsia="zh-CN"/>
        </w:rPr>
        <w:t>，均属于危险废物，</w:t>
      </w:r>
      <w:r>
        <w:rPr>
          <w:color w:val="auto"/>
          <w:sz w:val="24"/>
          <w:highlight w:val="none"/>
        </w:rPr>
        <w:t>根据《</w:t>
      </w:r>
      <w:r>
        <w:rPr>
          <w:color w:val="auto"/>
          <w:sz w:val="24"/>
          <w:highlight w:val="none"/>
        </w:rPr>
        <w:fldChar w:fldCharType="begin"/>
      </w:r>
      <w:r>
        <w:rPr>
          <w:color w:val="auto"/>
          <w:sz w:val="24"/>
          <w:highlight w:val="none"/>
        </w:rPr>
        <w:instrText xml:space="preserve"> HYPERLINK "http://www.zhb.gov.cn/info/bgw/bl/200806/W020080617312803614193.pdf" \t "_self" </w:instrText>
      </w:r>
      <w:r>
        <w:rPr>
          <w:color w:val="auto"/>
          <w:sz w:val="24"/>
          <w:highlight w:val="none"/>
        </w:rPr>
        <w:fldChar w:fldCharType="separate"/>
      </w:r>
      <w:r>
        <w:rPr>
          <w:color w:val="auto"/>
          <w:sz w:val="24"/>
          <w:highlight w:val="none"/>
        </w:rPr>
        <w:t>国家危险废物名录</w:t>
      </w:r>
      <w:r>
        <w:rPr>
          <w:color w:val="auto"/>
          <w:sz w:val="24"/>
          <w:highlight w:val="none"/>
        </w:rPr>
        <w:fldChar w:fldCharType="end"/>
      </w:r>
      <w:r>
        <w:rPr>
          <w:bCs/>
          <w:color w:val="auto"/>
          <w:sz w:val="24"/>
          <w:highlight w:val="none"/>
        </w:rPr>
        <w:t>（</w:t>
      </w:r>
      <w:r>
        <w:rPr>
          <w:rFonts w:hint="eastAsia"/>
          <w:bCs/>
          <w:color w:val="auto"/>
          <w:sz w:val="24"/>
          <w:highlight w:val="none"/>
          <w:lang w:val="en-US" w:eastAsia="zh-CN"/>
        </w:rPr>
        <w:t>2025</w:t>
      </w:r>
      <w:r>
        <w:rPr>
          <w:bCs/>
          <w:color w:val="auto"/>
          <w:sz w:val="24"/>
          <w:highlight w:val="none"/>
        </w:rPr>
        <w:t>年版）</w:t>
      </w:r>
      <w:r>
        <w:rPr>
          <w:color w:val="auto"/>
          <w:sz w:val="24"/>
          <w:highlight w:val="none"/>
        </w:rPr>
        <w:t>》，</w:t>
      </w:r>
      <w:r>
        <w:rPr>
          <w:rFonts w:hint="eastAsia"/>
          <w:bCs/>
          <w:color w:val="auto"/>
          <w:sz w:val="24"/>
          <w:highlight w:val="none"/>
        </w:rPr>
        <w:t>废物类别为HW</w:t>
      </w:r>
      <w:r>
        <w:rPr>
          <w:rFonts w:hint="eastAsia"/>
          <w:bCs/>
          <w:color w:val="auto"/>
          <w:sz w:val="24"/>
          <w:highlight w:val="none"/>
          <w:lang w:val="en-US" w:eastAsia="zh-CN"/>
        </w:rPr>
        <w:t>49</w:t>
      </w:r>
      <w:r>
        <w:rPr>
          <w:rFonts w:hint="eastAsia"/>
          <w:bCs/>
          <w:color w:val="auto"/>
          <w:sz w:val="24"/>
          <w:highlight w:val="none"/>
          <w:lang w:eastAsia="zh-CN"/>
        </w:rPr>
        <w:t>其他</w:t>
      </w:r>
      <w:r>
        <w:rPr>
          <w:rFonts w:hint="eastAsia"/>
          <w:bCs/>
          <w:color w:val="auto"/>
          <w:sz w:val="24"/>
          <w:highlight w:val="none"/>
        </w:rPr>
        <w:t>废物，废物代码900-</w:t>
      </w:r>
      <w:r>
        <w:rPr>
          <w:rFonts w:hint="eastAsia"/>
          <w:bCs/>
          <w:color w:val="auto"/>
          <w:sz w:val="24"/>
          <w:highlight w:val="none"/>
          <w:lang w:val="en-US" w:eastAsia="zh-CN"/>
        </w:rPr>
        <w:t>047</w:t>
      </w:r>
      <w:r>
        <w:rPr>
          <w:rFonts w:hint="eastAsia"/>
          <w:bCs/>
          <w:color w:val="auto"/>
          <w:sz w:val="24"/>
          <w:highlight w:val="none"/>
        </w:rPr>
        <w:t>-</w:t>
      </w:r>
      <w:r>
        <w:rPr>
          <w:rFonts w:hint="eastAsia"/>
          <w:bCs/>
          <w:color w:val="auto"/>
          <w:sz w:val="24"/>
          <w:highlight w:val="none"/>
          <w:lang w:val="en-US" w:eastAsia="zh-CN"/>
        </w:rPr>
        <w:t>49</w:t>
      </w:r>
      <w:r>
        <w:rPr>
          <w:rFonts w:hint="eastAsia"/>
          <w:bCs/>
          <w:color w:val="auto"/>
          <w:sz w:val="24"/>
          <w:highlight w:val="none"/>
        </w:rPr>
        <w:t>，</w:t>
      </w:r>
      <w:r>
        <w:rPr>
          <w:rFonts w:hint="eastAsia"/>
          <w:bCs/>
          <w:color w:val="auto"/>
          <w:sz w:val="24"/>
          <w:highlight w:val="none"/>
          <w:lang w:eastAsia="zh-CN"/>
        </w:rPr>
        <w:t>化验室第一次清洗废水、化验废液使用耐酸碱，耐腐蚀的容器盛装，</w:t>
      </w:r>
      <w:r>
        <w:rPr>
          <w:rFonts w:hint="eastAsia"/>
          <w:bCs/>
          <w:color w:val="auto"/>
          <w:sz w:val="24"/>
          <w:highlight w:val="none"/>
        </w:rPr>
        <w:t>暂存</w:t>
      </w:r>
      <w:r>
        <w:rPr>
          <w:rFonts w:hint="eastAsia"/>
          <w:bCs/>
          <w:color w:val="auto"/>
          <w:sz w:val="24"/>
          <w:highlight w:val="none"/>
          <w:lang w:eastAsia="zh-CN"/>
        </w:rPr>
        <w:t>在</w:t>
      </w:r>
      <w:r>
        <w:rPr>
          <w:rFonts w:hint="eastAsia"/>
          <w:bCs/>
          <w:color w:val="auto"/>
          <w:sz w:val="24"/>
          <w:highlight w:val="none"/>
        </w:rPr>
        <w:t>危险废物</w:t>
      </w:r>
      <w:r>
        <w:rPr>
          <w:rFonts w:hint="eastAsia"/>
          <w:bCs/>
          <w:color w:val="auto"/>
          <w:sz w:val="24"/>
          <w:highlight w:val="none"/>
          <w:lang w:eastAsia="zh-CN"/>
        </w:rPr>
        <w:t>贮存</w:t>
      </w:r>
      <w:r>
        <w:rPr>
          <w:rFonts w:hint="eastAsia"/>
          <w:bCs/>
          <w:color w:val="auto"/>
          <w:sz w:val="24"/>
          <w:highlight w:val="none"/>
          <w:lang w:val="en-US" w:eastAsia="zh-CN"/>
        </w:rPr>
        <w:t>库</w:t>
      </w:r>
      <w:r>
        <w:rPr>
          <w:rFonts w:hint="eastAsia"/>
          <w:bCs/>
          <w:color w:val="auto"/>
          <w:sz w:val="24"/>
          <w:highlight w:val="none"/>
          <w:lang w:eastAsia="zh-CN"/>
        </w:rPr>
        <w:t>；</w:t>
      </w:r>
      <w:r>
        <w:rPr>
          <w:color w:val="auto"/>
          <w:sz w:val="24"/>
          <w:highlight w:val="none"/>
        </w:rPr>
        <w:t>含重金属或有毒有害化学试剂的废试纸、废滤膜、废容器、危险化学品废弃包装物</w:t>
      </w:r>
      <w:r>
        <w:rPr>
          <w:rFonts w:hint="eastAsia"/>
          <w:color w:val="auto"/>
          <w:sz w:val="24"/>
          <w:highlight w:val="none"/>
          <w:lang w:eastAsia="zh-CN"/>
        </w:rPr>
        <w:t>等使用收集箱盛装，暂存在危废贮存</w:t>
      </w:r>
      <w:r>
        <w:rPr>
          <w:rFonts w:hint="eastAsia"/>
          <w:color w:val="auto"/>
          <w:sz w:val="24"/>
          <w:highlight w:val="none"/>
          <w:lang w:val="en-US" w:eastAsia="zh-CN"/>
        </w:rPr>
        <w:t>库</w:t>
      </w:r>
      <w:r>
        <w:rPr>
          <w:rFonts w:hint="eastAsia"/>
          <w:color w:val="auto"/>
          <w:sz w:val="24"/>
          <w:highlight w:val="none"/>
          <w:lang w:eastAsia="zh-CN"/>
        </w:rPr>
        <w:t>内，定期</w:t>
      </w:r>
      <w:r>
        <w:rPr>
          <w:rFonts w:hint="eastAsia"/>
          <w:bCs/>
          <w:color w:val="auto"/>
          <w:sz w:val="24"/>
          <w:highlight w:val="none"/>
        </w:rPr>
        <w:t>委托有资质的单位处置。</w:t>
      </w:r>
    </w:p>
    <w:p w14:paraId="40C0BADE">
      <w:pPr>
        <w:overflowPunct w:val="0"/>
        <w:topLinePunct/>
        <w:ind w:firstLine="480"/>
        <w:rPr>
          <w:color w:val="auto"/>
          <w:kern w:val="0"/>
          <w:highlight w:val="none"/>
        </w:rPr>
      </w:pPr>
      <w:r>
        <w:rPr>
          <w:rFonts w:hint="eastAsia"/>
          <w:color w:val="auto"/>
          <w:kern w:val="0"/>
          <w:highlight w:val="none"/>
        </w:rPr>
        <w:t>综上，本项目各项固体废物均得到妥善处置，在满足以上要求的前提下，本项目各项固体废物对项目区及周边环境影响较小。</w:t>
      </w:r>
    </w:p>
    <w:p w14:paraId="13AA81B2">
      <w:pPr>
        <w:pStyle w:val="6"/>
        <w:rPr>
          <w:color w:val="auto"/>
          <w:highlight w:val="none"/>
        </w:rPr>
      </w:pPr>
      <w:bookmarkStart w:id="674" w:name="_Toc28226"/>
      <w:bookmarkStart w:id="675" w:name="_Toc23050"/>
      <w:bookmarkStart w:id="676" w:name="_Toc30610"/>
      <w:r>
        <w:rPr>
          <w:rFonts w:hint="eastAsia"/>
          <w:color w:val="auto"/>
          <w:highlight w:val="none"/>
        </w:rPr>
        <w:t>5</w:t>
      </w:r>
      <w:r>
        <w:rPr>
          <w:color w:val="auto"/>
          <w:highlight w:val="none"/>
        </w:rPr>
        <w:t>.</w:t>
      </w:r>
      <w:r>
        <w:rPr>
          <w:rFonts w:hint="eastAsia"/>
          <w:color w:val="auto"/>
          <w:highlight w:val="none"/>
        </w:rPr>
        <w:t>2.6运营期土壤环境影响分析</w:t>
      </w:r>
      <w:bookmarkEnd w:id="674"/>
      <w:bookmarkEnd w:id="675"/>
      <w:bookmarkEnd w:id="676"/>
    </w:p>
    <w:p w14:paraId="5443BD81">
      <w:pPr>
        <w:pStyle w:val="7"/>
        <w:ind w:firstLine="482" w:firstLineChars="200"/>
        <w:rPr>
          <w:color w:val="auto"/>
          <w:highlight w:val="none"/>
        </w:rPr>
      </w:pPr>
      <w:r>
        <w:rPr>
          <w:color w:val="auto"/>
          <w:highlight w:val="none"/>
        </w:rPr>
        <w:t>5.2.6.1</w:t>
      </w:r>
      <w:r>
        <w:rPr>
          <w:rFonts w:hint="eastAsia"/>
          <w:color w:val="auto"/>
          <w:highlight w:val="none"/>
        </w:rPr>
        <w:t>土壤环境的影响识别</w:t>
      </w:r>
    </w:p>
    <w:p w14:paraId="64783F62">
      <w:pPr>
        <w:ind w:firstLine="480"/>
        <w:rPr>
          <w:color w:val="auto"/>
          <w:highlight w:val="none"/>
        </w:rPr>
      </w:pPr>
      <w:r>
        <w:rPr>
          <w:rFonts w:hint="eastAsia"/>
          <w:color w:val="auto"/>
          <w:highlight w:val="none"/>
        </w:rPr>
        <w:t>（1）建设项目所属行业识别</w:t>
      </w:r>
    </w:p>
    <w:p w14:paraId="062BA641">
      <w:pPr>
        <w:ind w:firstLine="480"/>
        <w:rPr>
          <w:color w:val="auto"/>
          <w:highlight w:val="none"/>
        </w:rPr>
      </w:pPr>
      <w:r>
        <w:rPr>
          <w:color w:val="auto"/>
          <w:highlight w:val="none"/>
        </w:rPr>
        <w:t>本项目为</w:t>
      </w:r>
      <w:r>
        <w:rPr>
          <w:rFonts w:hint="eastAsia"/>
          <w:color w:val="auto"/>
          <w:highlight w:val="none"/>
          <w:lang w:val="en-US" w:eastAsia="zh-CN"/>
        </w:rPr>
        <w:t>萤石</w:t>
      </w:r>
      <w:r>
        <w:rPr>
          <w:color w:val="auto"/>
          <w:highlight w:val="none"/>
        </w:rPr>
        <w:t>矿采选，根据</w:t>
      </w:r>
      <w:r>
        <w:rPr>
          <w:color w:val="auto"/>
          <w:highlight w:val="none"/>
          <w:lang w:val="zh-CN"/>
        </w:rPr>
        <w:t xml:space="preserve">《环境影响评价技术导则 </w:t>
      </w:r>
      <w:r>
        <w:rPr>
          <w:color w:val="auto"/>
          <w:highlight w:val="none"/>
        </w:rPr>
        <w:t>土壤环境</w:t>
      </w:r>
      <w:r>
        <w:rPr>
          <w:color w:val="auto"/>
          <w:highlight w:val="none"/>
          <w:lang w:val="zh-CN"/>
        </w:rPr>
        <w:t>（</w:t>
      </w:r>
      <w:r>
        <w:rPr>
          <w:color w:val="auto"/>
          <w:highlight w:val="none"/>
        </w:rPr>
        <w:t>试行</w:t>
      </w:r>
      <w:r>
        <w:rPr>
          <w:color w:val="auto"/>
          <w:highlight w:val="none"/>
          <w:lang w:val="zh-CN"/>
        </w:rPr>
        <w:t>）》（HJ</w:t>
      </w:r>
      <w:r>
        <w:rPr>
          <w:color w:val="auto"/>
          <w:highlight w:val="none"/>
        </w:rPr>
        <w:t>964-2018</w:t>
      </w:r>
      <w:r>
        <w:rPr>
          <w:color w:val="auto"/>
          <w:highlight w:val="none"/>
          <w:lang w:val="zh-CN"/>
        </w:rPr>
        <w:t>）附录A，</w:t>
      </w:r>
      <w:r>
        <w:rPr>
          <w:color w:val="auto"/>
          <w:highlight w:val="none"/>
        </w:rPr>
        <w:t>为</w:t>
      </w:r>
      <w:r>
        <w:rPr>
          <w:rFonts w:hint="default"/>
          <w:color w:val="auto"/>
          <w:highlight w:val="none"/>
          <w:lang w:val="zh-CN" w:eastAsia="zh-CN"/>
        </w:rPr>
        <w:t>Ⅲ</w:t>
      </w:r>
      <w:r>
        <w:rPr>
          <w:color w:val="auto"/>
          <w:highlight w:val="none"/>
        </w:rPr>
        <w:t>类项目。本项目</w:t>
      </w:r>
      <w:r>
        <w:rPr>
          <w:rFonts w:hint="eastAsia"/>
          <w:color w:val="auto"/>
          <w:highlight w:val="none"/>
          <w:lang w:val="en-US" w:eastAsia="zh-CN"/>
        </w:rPr>
        <w:t>选矿厂、尾矿库</w:t>
      </w:r>
      <w:r>
        <w:rPr>
          <w:color w:val="auto"/>
          <w:highlight w:val="none"/>
        </w:rPr>
        <w:t>环境影响类型为污染影响型</w:t>
      </w:r>
      <w:r>
        <w:rPr>
          <w:rFonts w:hint="eastAsia"/>
          <w:color w:val="auto"/>
          <w:highlight w:val="none"/>
          <w:lang w:val="en-US" w:eastAsia="zh-CN"/>
        </w:rPr>
        <w:t>，矿山开采环境影响类型为生态影响型</w:t>
      </w:r>
      <w:r>
        <w:rPr>
          <w:color w:val="auto"/>
          <w:highlight w:val="none"/>
        </w:rPr>
        <w:t>，土壤环境影响评价工作等级</w:t>
      </w:r>
      <w:r>
        <w:rPr>
          <w:rFonts w:hint="eastAsia"/>
          <w:color w:val="auto"/>
          <w:highlight w:val="none"/>
          <w:lang w:val="en-US" w:eastAsia="zh-CN"/>
        </w:rPr>
        <w:t>均</w:t>
      </w:r>
      <w:r>
        <w:rPr>
          <w:color w:val="auto"/>
          <w:highlight w:val="none"/>
        </w:rPr>
        <w:t>为</w:t>
      </w:r>
      <w:r>
        <w:rPr>
          <w:rFonts w:hint="eastAsia"/>
          <w:color w:val="auto"/>
          <w:highlight w:val="none"/>
          <w:lang w:val="en-US" w:eastAsia="zh-CN"/>
        </w:rPr>
        <w:t>三</w:t>
      </w:r>
      <w:r>
        <w:rPr>
          <w:color w:val="auto"/>
          <w:highlight w:val="none"/>
        </w:rPr>
        <w:t>级。</w:t>
      </w:r>
    </w:p>
    <w:p w14:paraId="5144830B">
      <w:pPr>
        <w:numPr>
          <w:ilvl w:val="0"/>
          <w:numId w:val="0"/>
        </w:numPr>
        <w:ind w:firstLine="480" w:firstLineChars="200"/>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土壤环境影响类型、影响途径、影响源与影响因子识别</w:t>
      </w:r>
    </w:p>
    <w:p w14:paraId="53EF4519">
      <w:pPr>
        <w:ind w:firstLine="480"/>
        <w:rPr>
          <w:color w:val="auto"/>
          <w:highlight w:val="none"/>
        </w:rPr>
      </w:pPr>
      <w:r>
        <w:rPr>
          <w:color w:val="auto"/>
          <w:highlight w:val="none"/>
        </w:rPr>
        <w:t>本项目属于新建工程，通过对项目工程分析，本项目土壤环境影响类型为“污染影响型”。根据工程组成，可分为建设期、运营期</w:t>
      </w:r>
      <w:r>
        <w:rPr>
          <w:rFonts w:hint="eastAsia"/>
          <w:color w:val="auto"/>
          <w:highlight w:val="none"/>
          <w:lang w:eastAsia="zh-CN"/>
        </w:rPr>
        <w:t>、</w:t>
      </w:r>
      <w:r>
        <w:rPr>
          <w:rFonts w:hint="eastAsia"/>
          <w:color w:val="auto"/>
          <w:highlight w:val="none"/>
          <w:lang w:val="en-US" w:eastAsia="zh-CN"/>
        </w:rPr>
        <w:t>服务期满后三</w:t>
      </w:r>
      <w:r>
        <w:rPr>
          <w:color w:val="auto"/>
          <w:highlight w:val="none"/>
        </w:rPr>
        <w:t>个阶段对土壤的环境影响。</w:t>
      </w:r>
    </w:p>
    <w:p w14:paraId="756E9A9D">
      <w:pPr>
        <w:ind w:firstLine="480"/>
        <w:rPr>
          <w:color w:val="auto"/>
          <w:highlight w:val="none"/>
        </w:rPr>
      </w:pPr>
      <w:r>
        <w:rPr>
          <w:color w:val="auto"/>
          <w:highlight w:val="none"/>
        </w:rPr>
        <w:t>施工期环境影响识别主要针对施工过程中施工机械在使用过程中，固体废物在临时储存过程中对土壤产生的影响等。</w:t>
      </w:r>
    </w:p>
    <w:p w14:paraId="505B242B">
      <w:pPr>
        <w:ind w:firstLine="480"/>
        <w:rPr>
          <w:color w:val="auto"/>
          <w:highlight w:val="none"/>
        </w:rPr>
      </w:pPr>
      <w:r>
        <w:rPr>
          <w:color w:val="auto"/>
          <w:highlight w:val="none"/>
        </w:rPr>
        <w:t>运营期环境影响识别主要针对排放的大气污染物、废水污染物等，本项目主要包括</w:t>
      </w:r>
      <w:r>
        <w:rPr>
          <w:rFonts w:hint="eastAsia"/>
          <w:color w:val="auto"/>
          <w:highlight w:val="none"/>
        </w:rPr>
        <w:t>新建</w:t>
      </w:r>
      <w:r>
        <w:rPr>
          <w:color w:val="auto"/>
          <w:highlight w:val="none"/>
        </w:rPr>
        <w:t>选矿厂、尾矿库等生产运营过程中对土壤产生的影响。</w:t>
      </w:r>
    </w:p>
    <w:p w14:paraId="65ED3C14">
      <w:pPr>
        <w:ind w:firstLine="480"/>
        <w:rPr>
          <w:color w:val="auto"/>
          <w:highlight w:val="none"/>
        </w:rPr>
      </w:pPr>
      <w:r>
        <w:rPr>
          <w:color w:val="auto"/>
          <w:highlight w:val="none"/>
        </w:rPr>
        <w:t>本项目对土壤的影响类型和途径及影响因子见</w:t>
      </w:r>
      <w:r>
        <w:rPr>
          <w:rFonts w:hint="eastAsia"/>
          <w:color w:val="auto"/>
          <w:highlight w:val="none"/>
          <w:lang w:val="en-US" w:eastAsia="zh-CN"/>
        </w:rPr>
        <w:t>下</w:t>
      </w:r>
      <w:r>
        <w:rPr>
          <w:color w:val="auto"/>
          <w:highlight w:val="none"/>
        </w:rPr>
        <w:t>表。</w:t>
      </w:r>
    </w:p>
    <w:p w14:paraId="5A7808D2">
      <w:pPr>
        <w:tabs>
          <w:tab w:val="left" w:pos="1214"/>
        </w:tabs>
        <w:ind w:firstLine="0" w:firstLineChars="0"/>
        <w:jc w:val="center"/>
        <w:rPr>
          <w:b/>
          <w:color w:val="auto"/>
          <w:highlight w:val="none"/>
        </w:rPr>
      </w:pPr>
      <w:r>
        <w:rPr>
          <w:b/>
          <w:color w:val="auto"/>
          <w:highlight w:val="none"/>
        </w:rPr>
        <w:t>表5.2-2</w:t>
      </w:r>
      <w:r>
        <w:rPr>
          <w:rFonts w:hint="eastAsia"/>
          <w:b/>
          <w:color w:val="auto"/>
          <w:highlight w:val="none"/>
          <w:lang w:val="en-US" w:eastAsia="zh-CN"/>
        </w:rPr>
        <w:t>5</w:t>
      </w:r>
      <w:r>
        <w:rPr>
          <w:b/>
          <w:color w:val="auto"/>
          <w:highlight w:val="none"/>
        </w:rPr>
        <w:t xml:space="preserve">    土壤环境影响类型与影响途径表</w:t>
      </w:r>
    </w:p>
    <w:tbl>
      <w:tblPr>
        <w:tblStyle w:val="13"/>
        <w:tblW w:w="8333"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840"/>
        <w:gridCol w:w="1381"/>
        <w:gridCol w:w="1212"/>
        <w:gridCol w:w="1048"/>
        <w:gridCol w:w="945"/>
        <w:gridCol w:w="610"/>
        <w:gridCol w:w="502"/>
        <w:gridCol w:w="590"/>
        <w:gridCol w:w="650"/>
        <w:gridCol w:w="555"/>
      </w:tblGrid>
      <w:tr w14:paraId="681D54F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0" w:hRule="atLeast"/>
          <w:tblHeader/>
          <w:jc w:val="center"/>
        </w:trPr>
        <w:tc>
          <w:tcPr>
            <w:tcW w:w="2221" w:type="dxa"/>
            <w:gridSpan w:val="2"/>
            <w:vMerge w:val="restart"/>
            <w:tcBorders>
              <w:tl2br w:val="nil"/>
              <w:tr2bl w:val="nil"/>
            </w:tcBorders>
            <w:vAlign w:val="center"/>
          </w:tcPr>
          <w:p w14:paraId="6C0B1DC0">
            <w:pPr>
              <w:spacing w:before="0" w:line="360" w:lineRule="exact"/>
              <w:ind w:firstLine="0" w:firstLineChars="0"/>
              <w:jc w:val="center"/>
              <w:rPr>
                <w:b/>
                <w:bCs/>
                <w:color w:val="auto"/>
                <w:sz w:val="21"/>
                <w:szCs w:val="21"/>
                <w:highlight w:val="none"/>
              </w:rPr>
            </w:pPr>
            <w:r>
              <w:rPr>
                <w:b/>
                <w:bCs/>
                <w:color w:val="auto"/>
                <w:sz w:val="21"/>
                <w:szCs w:val="21"/>
                <w:highlight w:val="none"/>
              </w:rPr>
              <w:t>不同时段</w:t>
            </w:r>
          </w:p>
        </w:tc>
        <w:tc>
          <w:tcPr>
            <w:tcW w:w="3815" w:type="dxa"/>
            <w:gridSpan w:val="4"/>
            <w:tcBorders>
              <w:tl2br w:val="nil"/>
              <w:tr2bl w:val="nil"/>
            </w:tcBorders>
            <w:vAlign w:val="center"/>
          </w:tcPr>
          <w:p w14:paraId="13DB0CAB">
            <w:pPr>
              <w:spacing w:before="0" w:line="360" w:lineRule="exact"/>
              <w:ind w:firstLine="0" w:firstLineChars="0"/>
              <w:jc w:val="center"/>
              <w:rPr>
                <w:b/>
                <w:bCs/>
                <w:color w:val="auto"/>
                <w:sz w:val="21"/>
                <w:szCs w:val="21"/>
                <w:highlight w:val="none"/>
              </w:rPr>
            </w:pPr>
            <w:r>
              <w:rPr>
                <w:b/>
                <w:bCs/>
                <w:color w:val="auto"/>
                <w:sz w:val="21"/>
                <w:szCs w:val="21"/>
                <w:highlight w:val="none"/>
              </w:rPr>
              <w:t>污染影响型</w:t>
            </w:r>
          </w:p>
        </w:tc>
        <w:tc>
          <w:tcPr>
            <w:tcW w:w="2297" w:type="dxa"/>
            <w:gridSpan w:val="4"/>
            <w:tcBorders>
              <w:tl2br w:val="nil"/>
              <w:tr2bl w:val="nil"/>
            </w:tcBorders>
            <w:vAlign w:val="center"/>
          </w:tcPr>
          <w:p w14:paraId="16BC9596">
            <w:pPr>
              <w:spacing w:before="0" w:line="360" w:lineRule="exact"/>
              <w:ind w:firstLine="0" w:firstLineChars="0"/>
              <w:jc w:val="center"/>
              <w:rPr>
                <w:b/>
                <w:bCs/>
                <w:color w:val="auto"/>
                <w:sz w:val="21"/>
                <w:szCs w:val="21"/>
                <w:highlight w:val="none"/>
              </w:rPr>
            </w:pPr>
            <w:r>
              <w:rPr>
                <w:b/>
                <w:bCs/>
                <w:color w:val="auto"/>
                <w:sz w:val="21"/>
                <w:szCs w:val="21"/>
                <w:highlight w:val="none"/>
              </w:rPr>
              <w:t>生态影响型</w:t>
            </w:r>
          </w:p>
        </w:tc>
      </w:tr>
      <w:tr w14:paraId="0EBFF87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85" w:hRule="atLeast"/>
          <w:tblHeader/>
          <w:jc w:val="center"/>
        </w:trPr>
        <w:tc>
          <w:tcPr>
            <w:tcW w:w="2221" w:type="dxa"/>
            <w:gridSpan w:val="2"/>
            <w:vMerge w:val="continue"/>
            <w:tcBorders>
              <w:tl2br w:val="nil"/>
              <w:tr2bl w:val="nil"/>
            </w:tcBorders>
            <w:vAlign w:val="center"/>
          </w:tcPr>
          <w:p w14:paraId="60F5F40E">
            <w:pPr>
              <w:spacing w:before="0" w:line="360" w:lineRule="exact"/>
              <w:ind w:firstLine="0" w:firstLineChars="0"/>
              <w:jc w:val="center"/>
              <w:rPr>
                <w:b/>
                <w:bCs/>
                <w:color w:val="auto"/>
                <w:sz w:val="21"/>
                <w:szCs w:val="21"/>
                <w:highlight w:val="none"/>
              </w:rPr>
            </w:pPr>
          </w:p>
        </w:tc>
        <w:tc>
          <w:tcPr>
            <w:tcW w:w="1212" w:type="dxa"/>
            <w:tcBorders>
              <w:tl2br w:val="nil"/>
              <w:tr2bl w:val="nil"/>
            </w:tcBorders>
            <w:vAlign w:val="center"/>
          </w:tcPr>
          <w:p w14:paraId="1843FA7E">
            <w:pPr>
              <w:spacing w:before="0" w:line="360" w:lineRule="exact"/>
              <w:ind w:firstLine="0" w:firstLineChars="0"/>
              <w:jc w:val="center"/>
              <w:rPr>
                <w:b/>
                <w:bCs/>
                <w:color w:val="auto"/>
                <w:sz w:val="21"/>
                <w:szCs w:val="21"/>
                <w:highlight w:val="none"/>
              </w:rPr>
            </w:pPr>
            <w:r>
              <w:rPr>
                <w:b/>
                <w:bCs/>
                <w:color w:val="auto"/>
                <w:sz w:val="21"/>
                <w:szCs w:val="21"/>
                <w:highlight w:val="none"/>
              </w:rPr>
              <w:t>大气沉降</w:t>
            </w:r>
          </w:p>
        </w:tc>
        <w:tc>
          <w:tcPr>
            <w:tcW w:w="1048" w:type="dxa"/>
            <w:tcBorders>
              <w:tl2br w:val="nil"/>
              <w:tr2bl w:val="nil"/>
            </w:tcBorders>
            <w:vAlign w:val="center"/>
          </w:tcPr>
          <w:p w14:paraId="16A61F72">
            <w:pPr>
              <w:spacing w:before="0" w:line="360" w:lineRule="exact"/>
              <w:ind w:firstLine="0" w:firstLineChars="0"/>
              <w:jc w:val="center"/>
              <w:rPr>
                <w:b/>
                <w:bCs/>
                <w:color w:val="auto"/>
                <w:sz w:val="21"/>
                <w:szCs w:val="21"/>
                <w:highlight w:val="none"/>
              </w:rPr>
            </w:pPr>
            <w:r>
              <w:rPr>
                <w:b/>
                <w:bCs/>
                <w:color w:val="auto"/>
                <w:sz w:val="21"/>
                <w:szCs w:val="21"/>
                <w:highlight w:val="none"/>
              </w:rPr>
              <w:t>地面漫流</w:t>
            </w:r>
          </w:p>
        </w:tc>
        <w:tc>
          <w:tcPr>
            <w:tcW w:w="945" w:type="dxa"/>
            <w:tcBorders>
              <w:tl2br w:val="nil"/>
              <w:tr2bl w:val="nil"/>
            </w:tcBorders>
            <w:vAlign w:val="center"/>
          </w:tcPr>
          <w:p w14:paraId="5946ABB3">
            <w:pPr>
              <w:spacing w:before="0" w:line="360" w:lineRule="exact"/>
              <w:ind w:firstLine="0" w:firstLineChars="0"/>
              <w:jc w:val="center"/>
              <w:rPr>
                <w:b/>
                <w:bCs/>
                <w:color w:val="auto"/>
                <w:sz w:val="21"/>
                <w:szCs w:val="21"/>
                <w:highlight w:val="none"/>
              </w:rPr>
            </w:pPr>
            <w:r>
              <w:rPr>
                <w:b/>
                <w:bCs/>
                <w:color w:val="auto"/>
                <w:sz w:val="21"/>
                <w:szCs w:val="21"/>
                <w:highlight w:val="none"/>
              </w:rPr>
              <w:t>垂直入渗</w:t>
            </w:r>
          </w:p>
        </w:tc>
        <w:tc>
          <w:tcPr>
            <w:tcW w:w="610" w:type="dxa"/>
            <w:tcBorders>
              <w:tl2br w:val="nil"/>
              <w:tr2bl w:val="nil"/>
            </w:tcBorders>
            <w:vAlign w:val="center"/>
          </w:tcPr>
          <w:p w14:paraId="2E1BE2D2">
            <w:pPr>
              <w:spacing w:before="0" w:line="360" w:lineRule="exact"/>
              <w:ind w:firstLine="0" w:firstLineChars="0"/>
              <w:jc w:val="center"/>
              <w:rPr>
                <w:b/>
                <w:bCs/>
                <w:color w:val="auto"/>
                <w:sz w:val="21"/>
                <w:szCs w:val="21"/>
                <w:highlight w:val="none"/>
              </w:rPr>
            </w:pPr>
            <w:r>
              <w:rPr>
                <w:b/>
                <w:bCs/>
                <w:color w:val="auto"/>
                <w:sz w:val="21"/>
                <w:szCs w:val="21"/>
                <w:highlight w:val="none"/>
              </w:rPr>
              <w:t>其他</w:t>
            </w:r>
          </w:p>
        </w:tc>
        <w:tc>
          <w:tcPr>
            <w:tcW w:w="502" w:type="dxa"/>
            <w:tcBorders>
              <w:tl2br w:val="nil"/>
              <w:tr2bl w:val="nil"/>
            </w:tcBorders>
            <w:vAlign w:val="center"/>
          </w:tcPr>
          <w:p w14:paraId="57520FBA">
            <w:pPr>
              <w:spacing w:before="0" w:line="360" w:lineRule="exact"/>
              <w:ind w:firstLine="0" w:firstLineChars="0"/>
              <w:jc w:val="center"/>
              <w:rPr>
                <w:b/>
                <w:bCs/>
                <w:color w:val="auto"/>
                <w:sz w:val="21"/>
                <w:szCs w:val="21"/>
                <w:highlight w:val="none"/>
              </w:rPr>
            </w:pPr>
            <w:r>
              <w:rPr>
                <w:b/>
                <w:bCs/>
                <w:color w:val="auto"/>
                <w:sz w:val="21"/>
                <w:szCs w:val="21"/>
                <w:highlight w:val="none"/>
              </w:rPr>
              <w:t>盐化</w:t>
            </w:r>
          </w:p>
        </w:tc>
        <w:tc>
          <w:tcPr>
            <w:tcW w:w="590" w:type="dxa"/>
            <w:tcBorders>
              <w:tl2br w:val="nil"/>
              <w:tr2bl w:val="nil"/>
            </w:tcBorders>
            <w:vAlign w:val="center"/>
          </w:tcPr>
          <w:p w14:paraId="32D932CD">
            <w:pPr>
              <w:spacing w:before="0" w:line="360" w:lineRule="exact"/>
              <w:ind w:firstLine="0" w:firstLineChars="0"/>
              <w:jc w:val="center"/>
              <w:rPr>
                <w:b/>
                <w:bCs/>
                <w:color w:val="auto"/>
                <w:sz w:val="21"/>
                <w:szCs w:val="21"/>
                <w:highlight w:val="none"/>
              </w:rPr>
            </w:pPr>
            <w:r>
              <w:rPr>
                <w:b/>
                <w:bCs/>
                <w:color w:val="auto"/>
                <w:sz w:val="21"/>
                <w:szCs w:val="21"/>
                <w:highlight w:val="none"/>
              </w:rPr>
              <w:t>碱化</w:t>
            </w:r>
          </w:p>
        </w:tc>
        <w:tc>
          <w:tcPr>
            <w:tcW w:w="650" w:type="dxa"/>
            <w:tcBorders>
              <w:tl2br w:val="nil"/>
              <w:tr2bl w:val="nil"/>
            </w:tcBorders>
            <w:vAlign w:val="center"/>
          </w:tcPr>
          <w:p w14:paraId="3E5CCD89">
            <w:pPr>
              <w:spacing w:before="0" w:line="360" w:lineRule="exact"/>
              <w:ind w:firstLine="0" w:firstLineChars="0"/>
              <w:jc w:val="center"/>
              <w:rPr>
                <w:b/>
                <w:bCs/>
                <w:color w:val="auto"/>
                <w:sz w:val="21"/>
                <w:szCs w:val="21"/>
                <w:highlight w:val="none"/>
              </w:rPr>
            </w:pPr>
            <w:r>
              <w:rPr>
                <w:b/>
                <w:bCs/>
                <w:color w:val="auto"/>
                <w:sz w:val="21"/>
                <w:szCs w:val="21"/>
                <w:highlight w:val="none"/>
              </w:rPr>
              <w:t>酸化</w:t>
            </w:r>
          </w:p>
        </w:tc>
        <w:tc>
          <w:tcPr>
            <w:tcW w:w="555" w:type="dxa"/>
            <w:tcBorders>
              <w:tl2br w:val="nil"/>
              <w:tr2bl w:val="nil"/>
            </w:tcBorders>
            <w:vAlign w:val="center"/>
          </w:tcPr>
          <w:p w14:paraId="47BF04C0">
            <w:pPr>
              <w:spacing w:before="0" w:line="360" w:lineRule="exact"/>
              <w:ind w:firstLine="0" w:firstLineChars="0"/>
              <w:jc w:val="center"/>
              <w:rPr>
                <w:b/>
                <w:bCs/>
                <w:color w:val="auto"/>
                <w:sz w:val="21"/>
                <w:szCs w:val="21"/>
                <w:highlight w:val="none"/>
              </w:rPr>
            </w:pPr>
            <w:r>
              <w:rPr>
                <w:b/>
                <w:bCs/>
                <w:color w:val="auto"/>
                <w:sz w:val="21"/>
                <w:szCs w:val="21"/>
                <w:highlight w:val="none"/>
              </w:rPr>
              <w:t>其他</w:t>
            </w:r>
          </w:p>
        </w:tc>
      </w:tr>
      <w:tr w14:paraId="2851AA1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221" w:type="dxa"/>
            <w:gridSpan w:val="2"/>
            <w:tcBorders>
              <w:tl2br w:val="nil"/>
              <w:tr2bl w:val="nil"/>
            </w:tcBorders>
            <w:vAlign w:val="center"/>
          </w:tcPr>
          <w:p w14:paraId="0986AF2F">
            <w:pPr>
              <w:spacing w:before="0" w:line="360" w:lineRule="exact"/>
              <w:ind w:firstLine="0" w:firstLineChars="0"/>
              <w:jc w:val="center"/>
              <w:rPr>
                <w:color w:val="auto"/>
                <w:sz w:val="21"/>
                <w:szCs w:val="21"/>
                <w:highlight w:val="none"/>
              </w:rPr>
            </w:pPr>
            <w:r>
              <w:rPr>
                <w:color w:val="auto"/>
                <w:sz w:val="21"/>
                <w:szCs w:val="21"/>
                <w:highlight w:val="none"/>
              </w:rPr>
              <w:t>建设期</w:t>
            </w:r>
          </w:p>
        </w:tc>
        <w:tc>
          <w:tcPr>
            <w:tcW w:w="1212" w:type="dxa"/>
            <w:tcBorders>
              <w:tl2br w:val="nil"/>
              <w:tr2bl w:val="nil"/>
            </w:tcBorders>
            <w:vAlign w:val="center"/>
          </w:tcPr>
          <w:p w14:paraId="3118953E">
            <w:pPr>
              <w:spacing w:before="0" w:line="360" w:lineRule="exact"/>
              <w:ind w:firstLine="0" w:firstLineChars="0"/>
              <w:jc w:val="center"/>
              <w:rPr>
                <w:color w:val="auto"/>
                <w:sz w:val="21"/>
                <w:szCs w:val="21"/>
                <w:highlight w:val="none"/>
              </w:rPr>
            </w:pPr>
            <w:r>
              <w:rPr>
                <w:color w:val="auto"/>
                <w:sz w:val="21"/>
                <w:szCs w:val="21"/>
                <w:highlight w:val="none"/>
              </w:rPr>
              <w:t>√</w:t>
            </w:r>
          </w:p>
        </w:tc>
        <w:tc>
          <w:tcPr>
            <w:tcW w:w="1048" w:type="dxa"/>
            <w:tcBorders>
              <w:tl2br w:val="nil"/>
              <w:tr2bl w:val="nil"/>
            </w:tcBorders>
            <w:vAlign w:val="center"/>
          </w:tcPr>
          <w:p w14:paraId="272AC8D0">
            <w:pPr>
              <w:spacing w:before="0" w:line="360" w:lineRule="exact"/>
              <w:ind w:firstLine="0" w:firstLineChars="0"/>
              <w:jc w:val="center"/>
              <w:rPr>
                <w:color w:val="auto"/>
                <w:sz w:val="21"/>
                <w:szCs w:val="21"/>
                <w:highlight w:val="none"/>
              </w:rPr>
            </w:pPr>
          </w:p>
        </w:tc>
        <w:tc>
          <w:tcPr>
            <w:tcW w:w="945" w:type="dxa"/>
            <w:tcBorders>
              <w:tl2br w:val="nil"/>
              <w:tr2bl w:val="nil"/>
            </w:tcBorders>
            <w:vAlign w:val="center"/>
          </w:tcPr>
          <w:p w14:paraId="6AD17CB3">
            <w:pPr>
              <w:spacing w:before="0" w:line="360" w:lineRule="exact"/>
              <w:ind w:firstLine="0" w:firstLineChars="0"/>
              <w:jc w:val="center"/>
              <w:rPr>
                <w:color w:val="auto"/>
                <w:sz w:val="21"/>
                <w:szCs w:val="21"/>
                <w:highlight w:val="none"/>
              </w:rPr>
            </w:pPr>
            <w:r>
              <w:rPr>
                <w:color w:val="auto"/>
                <w:sz w:val="21"/>
                <w:szCs w:val="21"/>
                <w:highlight w:val="none"/>
              </w:rPr>
              <w:t>√</w:t>
            </w:r>
          </w:p>
        </w:tc>
        <w:tc>
          <w:tcPr>
            <w:tcW w:w="610" w:type="dxa"/>
            <w:tcBorders>
              <w:tl2br w:val="nil"/>
              <w:tr2bl w:val="nil"/>
            </w:tcBorders>
            <w:vAlign w:val="center"/>
          </w:tcPr>
          <w:p w14:paraId="43A2AEF0">
            <w:pPr>
              <w:spacing w:before="0" w:line="360" w:lineRule="exact"/>
              <w:ind w:firstLine="0" w:firstLineChars="0"/>
              <w:jc w:val="center"/>
              <w:rPr>
                <w:color w:val="auto"/>
                <w:sz w:val="21"/>
                <w:szCs w:val="21"/>
                <w:highlight w:val="none"/>
              </w:rPr>
            </w:pPr>
          </w:p>
        </w:tc>
        <w:tc>
          <w:tcPr>
            <w:tcW w:w="502" w:type="dxa"/>
            <w:tcBorders>
              <w:tl2br w:val="nil"/>
              <w:tr2bl w:val="nil"/>
            </w:tcBorders>
            <w:vAlign w:val="center"/>
          </w:tcPr>
          <w:p w14:paraId="6A616556">
            <w:pPr>
              <w:spacing w:before="0" w:line="360" w:lineRule="exact"/>
              <w:ind w:firstLine="0" w:firstLineChars="0"/>
              <w:jc w:val="center"/>
              <w:rPr>
                <w:color w:val="auto"/>
                <w:sz w:val="21"/>
                <w:szCs w:val="21"/>
                <w:highlight w:val="none"/>
              </w:rPr>
            </w:pPr>
          </w:p>
        </w:tc>
        <w:tc>
          <w:tcPr>
            <w:tcW w:w="590" w:type="dxa"/>
            <w:tcBorders>
              <w:tl2br w:val="nil"/>
              <w:tr2bl w:val="nil"/>
            </w:tcBorders>
            <w:vAlign w:val="center"/>
          </w:tcPr>
          <w:p w14:paraId="38E0B96A">
            <w:pPr>
              <w:spacing w:before="0" w:line="360" w:lineRule="exact"/>
              <w:ind w:firstLine="0" w:firstLineChars="0"/>
              <w:jc w:val="center"/>
              <w:rPr>
                <w:color w:val="auto"/>
                <w:sz w:val="21"/>
                <w:szCs w:val="21"/>
                <w:highlight w:val="none"/>
              </w:rPr>
            </w:pPr>
          </w:p>
        </w:tc>
        <w:tc>
          <w:tcPr>
            <w:tcW w:w="650" w:type="dxa"/>
            <w:tcBorders>
              <w:tl2br w:val="nil"/>
              <w:tr2bl w:val="nil"/>
            </w:tcBorders>
            <w:vAlign w:val="center"/>
          </w:tcPr>
          <w:p w14:paraId="586F2FD8">
            <w:pPr>
              <w:spacing w:before="0" w:line="360" w:lineRule="exact"/>
              <w:ind w:firstLine="0" w:firstLineChars="0"/>
              <w:jc w:val="center"/>
              <w:rPr>
                <w:color w:val="auto"/>
                <w:sz w:val="21"/>
                <w:szCs w:val="21"/>
                <w:highlight w:val="none"/>
              </w:rPr>
            </w:pPr>
          </w:p>
        </w:tc>
        <w:tc>
          <w:tcPr>
            <w:tcW w:w="555" w:type="dxa"/>
            <w:tcBorders>
              <w:tl2br w:val="nil"/>
              <w:tr2bl w:val="nil"/>
            </w:tcBorders>
            <w:vAlign w:val="center"/>
          </w:tcPr>
          <w:p w14:paraId="6057A5DF">
            <w:pPr>
              <w:spacing w:before="0" w:line="360" w:lineRule="exact"/>
              <w:ind w:firstLine="0" w:firstLineChars="0"/>
              <w:jc w:val="center"/>
              <w:rPr>
                <w:color w:val="auto"/>
                <w:sz w:val="21"/>
                <w:szCs w:val="21"/>
                <w:highlight w:val="none"/>
              </w:rPr>
            </w:pPr>
          </w:p>
        </w:tc>
      </w:tr>
      <w:tr w14:paraId="6CCF9DC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840" w:type="dxa"/>
            <w:vMerge w:val="restart"/>
            <w:tcBorders>
              <w:tl2br w:val="nil"/>
              <w:tr2bl w:val="nil"/>
            </w:tcBorders>
            <w:vAlign w:val="center"/>
          </w:tcPr>
          <w:p w14:paraId="6DEF1C22">
            <w:pPr>
              <w:spacing w:before="0" w:line="360" w:lineRule="exact"/>
              <w:ind w:firstLine="0" w:firstLineChars="0"/>
              <w:jc w:val="center"/>
              <w:rPr>
                <w:color w:val="auto"/>
                <w:sz w:val="21"/>
                <w:szCs w:val="21"/>
                <w:highlight w:val="none"/>
              </w:rPr>
            </w:pPr>
            <w:r>
              <w:rPr>
                <w:color w:val="auto"/>
                <w:sz w:val="21"/>
                <w:szCs w:val="21"/>
                <w:highlight w:val="none"/>
              </w:rPr>
              <w:t>运营期</w:t>
            </w:r>
          </w:p>
        </w:tc>
        <w:tc>
          <w:tcPr>
            <w:tcW w:w="1381" w:type="dxa"/>
            <w:tcBorders>
              <w:tl2br w:val="nil"/>
              <w:tr2bl w:val="nil"/>
            </w:tcBorders>
            <w:vAlign w:val="center"/>
          </w:tcPr>
          <w:p w14:paraId="33D44307">
            <w:pPr>
              <w:spacing w:before="0" w:line="360" w:lineRule="exact"/>
              <w:ind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采</w:t>
            </w:r>
            <w:r>
              <w:rPr>
                <w:rFonts w:hint="eastAsia"/>
                <w:color w:val="auto"/>
                <w:highlight w:val="none"/>
                <w:lang w:val="en-US" w:eastAsia="zh-CN"/>
              </w:rPr>
              <w:t>矿</w:t>
            </w:r>
            <w:r>
              <w:rPr>
                <w:rFonts w:hint="eastAsia"/>
                <w:color w:val="auto"/>
                <w:sz w:val="21"/>
                <w:szCs w:val="21"/>
                <w:highlight w:val="none"/>
                <w:lang w:val="en-US" w:eastAsia="zh-CN"/>
              </w:rPr>
              <w:t>区</w:t>
            </w:r>
          </w:p>
        </w:tc>
        <w:tc>
          <w:tcPr>
            <w:tcW w:w="1212" w:type="dxa"/>
            <w:tcBorders>
              <w:tl2br w:val="nil"/>
              <w:tr2bl w:val="nil"/>
            </w:tcBorders>
            <w:vAlign w:val="center"/>
          </w:tcPr>
          <w:p w14:paraId="650C69A1">
            <w:pPr>
              <w:spacing w:before="0" w:line="360" w:lineRule="exact"/>
              <w:ind w:firstLine="0" w:firstLineChars="0"/>
              <w:jc w:val="center"/>
              <w:rPr>
                <w:color w:val="auto"/>
                <w:sz w:val="21"/>
                <w:szCs w:val="21"/>
                <w:highlight w:val="none"/>
              </w:rPr>
            </w:pPr>
            <w:r>
              <w:rPr>
                <w:color w:val="auto"/>
                <w:sz w:val="21"/>
                <w:szCs w:val="21"/>
                <w:highlight w:val="none"/>
              </w:rPr>
              <w:t>√</w:t>
            </w:r>
          </w:p>
        </w:tc>
        <w:tc>
          <w:tcPr>
            <w:tcW w:w="1048" w:type="dxa"/>
            <w:tcBorders>
              <w:tl2br w:val="nil"/>
              <w:tr2bl w:val="nil"/>
            </w:tcBorders>
            <w:vAlign w:val="center"/>
          </w:tcPr>
          <w:p w14:paraId="297B7FF4">
            <w:pPr>
              <w:spacing w:before="0" w:line="360" w:lineRule="exact"/>
              <w:ind w:firstLine="0" w:firstLineChars="0"/>
              <w:jc w:val="center"/>
              <w:rPr>
                <w:color w:val="auto"/>
                <w:sz w:val="21"/>
                <w:szCs w:val="21"/>
                <w:highlight w:val="none"/>
              </w:rPr>
            </w:pPr>
          </w:p>
        </w:tc>
        <w:tc>
          <w:tcPr>
            <w:tcW w:w="945" w:type="dxa"/>
            <w:tcBorders>
              <w:tl2br w:val="nil"/>
              <w:tr2bl w:val="nil"/>
            </w:tcBorders>
            <w:vAlign w:val="center"/>
          </w:tcPr>
          <w:p w14:paraId="139C1A50">
            <w:pPr>
              <w:spacing w:before="0" w:line="360" w:lineRule="exact"/>
              <w:ind w:firstLine="0" w:firstLineChars="0"/>
              <w:jc w:val="center"/>
              <w:rPr>
                <w:color w:val="auto"/>
                <w:sz w:val="21"/>
                <w:szCs w:val="21"/>
                <w:highlight w:val="none"/>
              </w:rPr>
            </w:pPr>
          </w:p>
        </w:tc>
        <w:tc>
          <w:tcPr>
            <w:tcW w:w="610" w:type="dxa"/>
            <w:tcBorders>
              <w:tl2br w:val="nil"/>
              <w:tr2bl w:val="nil"/>
            </w:tcBorders>
            <w:vAlign w:val="center"/>
          </w:tcPr>
          <w:p w14:paraId="55CE6AEA">
            <w:pPr>
              <w:spacing w:before="0" w:line="360" w:lineRule="exact"/>
              <w:ind w:firstLine="0" w:firstLineChars="0"/>
              <w:jc w:val="center"/>
              <w:rPr>
                <w:color w:val="auto"/>
                <w:sz w:val="21"/>
                <w:szCs w:val="21"/>
                <w:highlight w:val="none"/>
              </w:rPr>
            </w:pPr>
          </w:p>
        </w:tc>
        <w:tc>
          <w:tcPr>
            <w:tcW w:w="502" w:type="dxa"/>
            <w:tcBorders>
              <w:tl2br w:val="nil"/>
              <w:tr2bl w:val="nil"/>
            </w:tcBorders>
            <w:vAlign w:val="center"/>
          </w:tcPr>
          <w:p w14:paraId="1C94344D">
            <w:pPr>
              <w:spacing w:before="0" w:line="360" w:lineRule="exact"/>
              <w:ind w:firstLine="0" w:firstLineChars="0"/>
              <w:jc w:val="center"/>
              <w:rPr>
                <w:color w:val="auto"/>
                <w:sz w:val="21"/>
                <w:szCs w:val="21"/>
                <w:highlight w:val="none"/>
              </w:rPr>
            </w:pPr>
            <w:r>
              <w:rPr>
                <w:color w:val="auto"/>
                <w:sz w:val="21"/>
                <w:szCs w:val="21"/>
                <w:highlight w:val="none"/>
              </w:rPr>
              <w:t>√</w:t>
            </w:r>
          </w:p>
        </w:tc>
        <w:tc>
          <w:tcPr>
            <w:tcW w:w="590" w:type="dxa"/>
            <w:tcBorders>
              <w:tl2br w:val="nil"/>
              <w:tr2bl w:val="nil"/>
            </w:tcBorders>
            <w:vAlign w:val="center"/>
          </w:tcPr>
          <w:p w14:paraId="17F679C1">
            <w:pPr>
              <w:spacing w:before="0" w:line="360" w:lineRule="exact"/>
              <w:ind w:firstLine="0" w:firstLineChars="0"/>
              <w:jc w:val="center"/>
              <w:rPr>
                <w:color w:val="auto"/>
                <w:sz w:val="21"/>
                <w:szCs w:val="21"/>
                <w:highlight w:val="none"/>
              </w:rPr>
            </w:pPr>
          </w:p>
        </w:tc>
        <w:tc>
          <w:tcPr>
            <w:tcW w:w="650" w:type="dxa"/>
            <w:tcBorders>
              <w:tl2br w:val="nil"/>
              <w:tr2bl w:val="nil"/>
            </w:tcBorders>
            <w:vAlign w:val="center"/>
          </w:tcPr>
          <w:p w14:paraId="36C0F55A">
            <w:pPr>
              <w:spacing w:before="0" w:line="360" w:lineRule="exact"/>
              <w:ind w:firstLine="0" w:firstLineChars="0"/>
              <w:jc w:val="center"/>
              <w:rPr>
                <w:color w:val="auto"/>
                <w:sz w:val="21"/>
                <w:szCs w:val="21"/>
                <w:highlight w:val="none"/>
              </w:rPr>
            </w:pPr>
          </w:p>
        </w:tc>
        <w:tc>
          <w:tcPr>
            <w:tcW w:w="555" w:type="dxa"/>
            <w:tcBorders>
              <w:tl2br w:val="nil"/>
              <w:tr2bl w:val="nil"/>
            </w:tcBorders>
            <w:vAlign w:val="center"/>
          </w:tcPr>
          <w:p w14:paraId="2F042C69">
            <w:pPr>
              <w:spacing w:before="0" w:line="360" w:lineRule="exact"/>
              <w:ind w:firstLine="0" w:firstLineChars="0"/>
              <w:jc w:val="center"/>
              <w:rPr>
                <w:color w:val="auto"/>
                <w:sz w:val="21"/>
                <w:szCs w:val="21"/>
                <w:highlight w:val="none"/>
              </w:rPr>
            </w:pPr>
          </w:p>
        </w:tc>
      </w:tr>
      <w:tr w14:paraId="5DD1050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840" w:type="dxa"/>
            <w:vMerge w:val="continue"/>
            <w:tcBorders>
              <w:tl2br w:val="nil"/>
              <w:tr2bl w:val="nil"/>
            </w:tcBorders>
            <w:vAlign w:val="center"/>
          </w:tcPr>
          <w:p w14:paraId="54DCF094">
            <w:pPr>
              <w:spacing w:line="360" w:lineRule="exact"/>
              <w:ind w:firstLine="0" w:firstLineChars="0"/>
              <w:jc w:val="center"/>
              <w:rPr>
                <w:color w:val="auto"/>
                <w:kern w:val="0"/>
                <w:highlight w:val="none"/>
              </w:rPr>
            </w:pPr>
          </w:p>
        </w:tc>
        <w:tc>
          <w:tcPr>
            <w:tcW w:w="1381" w:type="dxa"/>
            <w:tcBorders>
              <w:tl2br w:val="nil"/>
              <w:tr2bl w:val="nil"/>
            </w:tcBorders>
            <w:shd w:val="clear" w:color="auto" w:fill="auto"/>
            <w:vAlign w:val="center"/>
          </w:tcPr>
          <w:p w14:paraId="55BDAD6A">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选矿厂</w:t>
            </w:r>
          </w:p>
        </w:tc>
        <w:tc>
          <w:tcPr>
            <w:tcW w:w="1212" w:type="dxa"/>
            <w:tcBorders>
              <w:tl2br w:val="nil"/>
              <w:tr2bl w:val="nil"/>
            </w:tcBorders>
            <w:shd w:val="clear" w:color="auto" w:fill="auto"/>
            <w:vAlign w:val="center"/>
          </w:tcPr>
          <w:p w14:paraId="69191300">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1048" w:type="dxa"/>
            <w:tcBorders>
              <w:tl2br w:val="nil"/>
              <w:tr2bl w:val="nil"/>
            </w:tcBorders>
            <w:shd w:val="clear" w:color="auto" w:fill="auto"/>
            <w:vAlign w:val="center"/>
          </w:tcPr>
          <w:p w14:paraId="6BE71C50">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945" w:type="dxa"/>
            <w:tcBorders>
              <w:tl2br w:val="nil"/>
              <w:tr2bl w:val="nil"/>
            </w:tcBorders>
            <w:shd w:val="clear" w:color="auto" w:fill="auto"/>
            <w:vAlign w:val="center"/>
          </w:tcPr>
          <w:p w14:paraId="472D5F8C">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610" w:type="dxa"/>
            <w:tcBorders>
              <w:tl2br w:val="nil"/>
              <w:tr2bl w:val="nil"/>
            </w:tcBorders>
            <w:shd w:val="clear" w:color="auto" w:fill="auto"/>
            <w:vAlign w:val="center"/>
          </w:tcPr>
          <w:p w14:paraId="58D1B62B">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502" w:type="dxa"/>
            <w:tcBorders>
              <w:tl2br w:val="nil"/>
              <w:tr2bl w:val="nil"/>
            </w:tcBorders>
            <w:shd w:val="clear" w:color="auto" w:fill="auto"/>
            <w:vAlign w:val="center"/>
          </w:tcPr>
          <w:p w14:paraId="11A48ECF">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590" w:type="dxa"/>
            <w:tcBorders>
              <w:tl2br w:val="nil"/>
              <w:tr2bl w:val="nil"/>
            </w:tcBorders>
            <w:shd w:val="clear" w:color="auto" w:fill="auto"/>
            <w:vAlign w:val="center"/>
          </w:tcPr>
          <w:p w14:paraId="7EA7ACA4">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650" w:type="dxa"/>
            <w:tcBorders>
              <w:tl2br w:val="nil"/>
              <w:tr2bl w:val="nil"/>
            </w:tcBorders>
            <w:shd w:val="clear" w:color="auto" w:fill="auto"/>
            <w:vAlign w:val="center"/>
          </w:tcPr>
          <w:p w14:paraId="78A8D34A">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555" w:type="dxa"/>
            <w:tcBorders>
              <w:tl2br w:val="nil"/>
              <w:tr2bl w:val="nil"/>
            </w:tcBorders>
            <w:shd w:val="clear" w:color="auto" w:fill="auto"/>
            <w:vAlign w:val="center"/>
          </w:tcPr>
          <w:p w14:paraId="29A89FF0">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r>
      <w:tr w14:paraId="7C2C075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840" w:type="dxa"/>
            <w:vMerge w:val="continue"/>
            <w:tcBorders>
              <w:tl2br w:val="nil"/>
              <w:tr2bl w:val="nil"/>
            </w:tcBorders>
            <w:vAlign w:val="center"/>
          </w:tcPr>
          <w:p w14:paraId="6ABD972C">
            <w:pPr>
              <w:spacing w:line="360" w:lineRule="exact"/>
              <w:ind w:firstLine="0" w:firstLineChars="0"/>
              <w:jc w:val="center"/>
              <w:rPr>
                <w:color w:val="auto"/>
                <w:kern w:val="0"/>
                <w:highlight w:val="none"/>
              </w:rPr>
            </w:pPr>
          </w:p>
        </w:tc>
        <w:tc>
          <w:tcPr>
            <w:tcW w:w="1381" w:type="dxa"/>
            <w:tcBorders>
              <w:tl2br w:val="nil"/>
              <w:tr2bl w:val="nil"/>
            </w:tcBorders>
            <w:shd w:val="clear" w:color="auto" w:fill="auto"/>
            <w:vAlign w:val="center"/>
          </w:tcPr>
          <w:p w14:paraId="760D747F">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尾矿库</w:t>
            </w:r>
          </w:p>
        </w:tc>
        <w:tc>
          <w:tcPr>
            <w:tcW w:w="1212" w:type="dxa"/>
            <w:tcBorders>
              <w:tl2br w:val="nil"/>
              <w:tr2bl w:val="nil"/>
            </w:tcBorders>
            <w:shd w:val="clear" w:color="auto" w:fill="auto"/>
            <w:vAlign w:val="center"/>
          </w:tcPr>
          <w:p w14:paraId="1D2EA316">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1048" w:type="dxa"/>
            <w:tcBorders>
              <w:tl2br w:val="nil"/>
              <w:tr2bl w:val="nil"/>
            </w:tcBorders>
            <w:shd w:val="clear" w:color="auto" w:fill="auto"/>
            <w:vAlign w:val="center"/>
          </w:tcPr>
          <w:p w14:paraId="37D2169F">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945" w:type="dxa"/>
            <w:tcBorders>
              <w:tl2br w:val="nil"/>
              <w:tr2bl w:val="nil"/>
            </w:tcBorders>
            <w:shd w:val="clear" w:color="auto" w:fill="auto"/>
            <w:vAlign w:val="center"/>
          </w:tcPr>
          <w:p w14:paraId="1C423D5A">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610" w:type="dxa"/>
            <w:tcBorders>
              <w:tl2br w:val="nil"/>
              <w:tr2bl w:val="nil"/>
            </w:tcBorders>
            <w:shd w:val="clear" w:color="auto" w:fill="auto"/>
            <w:vAlign w:val="center"/>
          </w:tcPr>
          <w:p w14:paraId="751300CC">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502" w:type="dxa"/>
            <w:tcBorders>
              <w:tl2br w:val="nil"/>
              <w:tr2bl w:val="nil"/>
            </w:tcBorders>
            <w:shd w:val="clear" w:color="auto" w:fill="auto"/>
            <w:vAlign w:val="center"/>
          </w:tcPr>
          <w:p w14:paraId="00A75E27">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590" w:type="dxa"/>
            <w:tcBorders>
              <w:tl2br w:val="nil"/>
              <w:tr2bl w:val="nil"/>
            </w:tcBorders>
            <w:shd w:val="clear" w:color="auto" w:fill="auto"/>
            <w:vAlign w:val="center"/>
          </w:tcPr>
          <w:p w14:paraId="7B6472F3">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650" w:type="dxa"/>
            <w:tcBorders>
              <w:tl2br w:val="nil"/>
              <w:tr2bl w:val="nil"/>
            </w:tcBorders>
            <w:shd w:val="clear" w:color="auto" w:fill="auto"/>
            <w:vAlign w:val="center"/>
          </w:tcPr>
          <w:p w14:paraId="307BF856">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c>
          <w:tcPr>
            <w:tcW w:w="555" w:type="dxa"/>
            <w:tcBorders>
              <w:tl2br w:val="nil"/>
              <w:tr2bl w:val="nil"/>
            </w:tcBorders>
            <w:shd w:val="clear" w:color="auto" w:fill="auto"/>
            <w:vAlign w:val="center"/>
          </w:tcPr>
          <w:p w14:paraId="4AE1E17F">
            <w:pPr>
              <w:spacing w:before="0" w:line="360" w:lineRule="exact"/>
              <w:ind w:firstLine="0" w:firstLineChars="0"/>
              <w:jc w:val="center"/>
              <w:rPr>
                <w:rFonts w:ascii="Times New Roman" w:hAnsi="Times New Roman" w:eastAsia="宋体" w:cs="Times New Roman"/>
                <w:color w:val="auto"/>
                <w:kern w:val="2"/>
                <w:sz w:val="21"/>
                <w:szCs w:val="21"/>
                <w:highlight w:val="none"/>
                <w:lang w:val="en-US" w:eastAsia="zh-CN" w:bidi="ar-SA"/>
              </w:rPr>
            </w:pPr>
          </w:p>
        </w:tc>
      </w:tr>
      <w:tr w14:paraId="59A6558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2221" w:type="dxa"/>
            <w:gridSpan w:val="2"/>
            <w:tcBorders>
              <w:tl2br w:val="nil"/>
              <w:tr2bl w:val="nil"/>
            </w:tcBorders>
            <w:vAlign w:val="center"/>
          </w:tcPr>
          <w:p w14:paraId="08F59784">
            <w:pPr>
              <w:spacing w:before="0" w:line="360" w:lineRule="exact"/>
              <w:ind w:firstLine="0" w:firstLineChars="0"/>
              <w:jc w:val="center"/>
              <w:rPr>
                <w:color w:val="auto"/>
                <w:sz w:val="21"/>
                <w:szCs w:val="21"/>
                <w:highlight w:val="none"/>
              </w:rPr>
            </w:pPr>
            <w:r>
              <w:rPr>
                <w:color w:val="auto"/>
                <w:sz w:val="21"/>
                <w:szCs w:val="21"/>
                <w:highlight w:val="none"/>
              </w:rPr>
              <w:t>服务</w:t>
            </w:r>
            <w:r>
              <w:rPr>
                <w:rFonts w:hint="eastAsia"/>
                <w:color w:val="auto"/>
                <w:sz w:val="21"/>
                <w:szCs w:val="21"/>
                <w:highlight w:val="none"/>
                <w:lang w:eastAsia="zh-CN"/>
              </w:rPr>
              <w:t>期</w:t>
            </w:r>
            <w:r>
              <w:rPr>
                <w:color w:val="auto"/>
                <w:sz w:val="21"/>
                <w:szCs w:val="21"/>
                <w:highlight w:val="none"/>
              </w:rPr>
              <w:t>满后</w:t>
            </w:r>
          </w:p>
        </w:tc>
        <w:tc>
          <w:tcPr>
            <w:tcW w:w="1212" w:type="dxa"/>
            <w:tcBorders>
              <w:tl2br w:val="nil"/>
              <w:tr2bl w:val="nil"/>
            </w:tcBorders>
            <w:vAlign w:val="center"/>
          </w:tcPr>
          <w:p w14:paraId="17505AF5">
            <w:pPr>
              <w:spacing w:before="0" w:line="360" w:lineRule="exact"/>
              <w:ind w:firstLine="0" w:firstLineChars="0"/>
              <w:jc w:val="center"/>
              <w:rPr>
                <w:color w:val="auto"/>
                <w:sz w:val="21"/>
                <w:szCs w:val="21"/>
                <w:highlight w:val="none"/>
              </w:rPr>
            </w:pPr>
          </w:p>
        </w:tc>
        <w:tc>
          <w:tcPr>
            <w:tcW w:w="1048" w:type="dxa"/>
            <w:tcBorders>
              <w:tl2br w:val="nil"/>
              <w:tr2bl w:val="nil"/>
            </w:tcBorders>
            <w:vAlign w:val="center"/>
          </w:tcPr>
          <w:p w14:paraId="48FB85EB">
            <w:pPr>
              <w:spacing w:before="0" w:line="360" w:lineRule="exact"/>
              <w:ind w:firstLine="0" w:firstLineChars="0"/>
              <w:jc w:val="center"/>
              <w:rPr>
                <w:color w:val="auto"/>
                <w:sz w:val="21"/>
                <w:szCs w:val="21"/>
                <w:highlight w:val="none"/>
              </w:rPr>
            </w:pPr>
          </w:p>
        </w:tc>
        <w:tc>
          <w:tcPr>
            <w:tcW w:w="945" w:type="dxa"/>
            <w:tcBorders>
              <w:tl2br w:val="nil"/>
              <w:tr2bl w:val="nil"/>
            </w:tcBorders>
            <w:vAlign w:val="center"/>
          </w:tcPr>
          <w:p w14:paraId="2A549BC9">
            <w:pPr>
              <w:spacing w:before="0" w:line="360" w:lineRule="exact"/>
              <w:ind w:firstLine="0" w:firstLineChars="0"/>
              <w:jc w:val="center"/>
              <w:rPr>
                <w:color w:val="auto"/>
                <w:sz w:val="21"/>
                <w:szCs w:val="21"/>
                <w:highlight w:val="none"/>
              </w:rPr>
            </w:pPr>
            <w:r>
              <w:rPr>
                <w:color w:val="auto"/>
                <w:sz w:val="21"/>
                <w:szCs w:val="21"/>
                <w:highlight w:val="none"/>
              </w:rPr>
              <w:t>√</w:t>
            </w:r>
          </w:p>
        </w:tc>
        <w:tc>
          <w:tcPr>
            <w:tcW w:w="610" w:type="dxa"/>
            <w:tcBorders>
              <w:tl2br w:val="nil"/>
              <w:tr2bl w:val="nil"/>
            </w:tcBorders>
            <w:vAlign w:val="center"/>
          </w:tcPr>
          <w:p w14:paraId="67CA6D7E">
            <w:pPr>
              <w:spacing w:before="0" w:line="360" w:lineRule="exact"/>
              <w:ind w:firstLine="0" w:firstLineChars="0"/>
              <w:jc w:val="center"/>
              <w:rPr>
                <w:color w:val="auto"/>
                <w:sz w:val="21"/>
                <w:szCs w:val="21"/>
                <w:highlight w:val="none"/>
              </w:rPr>
            </w:pPr>
          </w:p>
        </w:tc>
        <w:tc>
          <w:tcPr>
            <w:tcW w:w="502" w:type="dxa"/>
            <w:tcBorders>
              <w:tl2br w:val="nil"/>
              <w:tr2bl w:val="nil"/>
            </w:tcBorders>
            <w:vAlign w:val="center"/>
          </w:tcPr>
          <w:p w14:paraId="79400A3A">
            <w:pPr>
              <w:spacing w:before="0" w:line="360" w:lineRule="exact"/>
              <w:ind w:firstLine="0" w:firstLineChars="0"/>
              <w:jc w:val="center"/>
              <w:rPr>
                <w:color w:val="auto"/>
                <w:sz w:val="21"/>
                <w:szCs w:val="21"/>
                <w:highlight w:val="none"/>
              </w:rPr>
            </w:pPr>
          </w:p>
        </w:tc>
        <w:tc>
          <w:tcPr>
            <w:tcW w:w="590" w:type="dxa"/>
            <w:tcBorders>
              <w:tl2br w:val="nil"/>
              <w:tr2bl w:val="nil"/>
            </w:tcBorders>
            <w:vAlign w:val="center"/>
          </w:tcPr>
          <w:p w14:paraId="05CCD5E4">
            <w:pPr>
              <w:spacing w:before="0" w:line="360" w:lineRule="exact"/>
              <w:ind w:firstLine="0" w:firstLineChars="0"/>
              <w:jc w:val="center"/>
              <w:rPr>
                <w:color w:val="auto"/>
                <w:sz w:val="21"/>
                <w:szCs w:val="21"/>
                <w:highlight w:val="none"/>
              </w:rPr>
            </w:pPr>
          </w:p>
        </w:tc>
        <w:tc>
          <w:tcPr>
            <w:tcW w:w="650" w:type="dxa"/>
            <w:tcBorders>
              <w:tl2br w:val="nil"/>
              <w:tr2bl w:val="nil"/>
            </w:tcBorders>
            <w:vAlign w:val="center"/>
          </w:tcPr>
          <w:p w14:paraId="3F7D7BBF">
            <w:pPr>
              <w:spacing w:before="0" w:line="360" w:lineRule="exact"/>
              <w:ind w:firstLine="0" w:firstLineChars="0"/>
              <w:jc w:val="center"/>
              <w:rPr>
                <w:color w:val="auto"/>
                <w:sz w:val="21"/>
                <w:szCs w:val="21"/>
                <w:highlight w:val="none"/>
              </w:rPr>
            </w:pPr>
          </w:p>
        </w:tc>
        <w:tc>
          <w:tcPr>
            <w:tcW w:w="555" w:type="dxa"/>
            <w:tcBorders>
              <w:tl2br w:val="nil"/>
              <w:tr2bl w:val="nil"/>
            </w:tcBorders>
            <w:vAlign w:val="center"/>
          </w:tcPr>
          <w:p w14:paraId="3CFA59C5">
            <w:pPr>
              <w:spacing w:before="0" w:line="360" w:lineRule="exact"/>
              <w:ind w:firstLine="0" w:firstLineChars="0"/>
              <w:jc w:val="center"/>
              <w:rPr>
                <w:color w:val="auto"/>
                <w:sz w:val="21"/>
                <w:szCs w:val="21"/>
                <w:highlight w:val="none"/>
              </w:rPr>
            </w:pPr>
          </w:p>
        </w:tc>
      </w:tr>
      <w:tr w14:paraId="1CFA20A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1" w:hRule="atLeast"/>
          <w:jc w:val="center"/>
        </w:trPr>
        <w:tc>
          <w:tcPr>
            <w:tcW w:w="8333" w:type="dxa"/>
            <w:gridSpan w:val="10"/>
            <w:tcBorders>
              <w:tl2br w:val="nil"/>
              <w:tr2bl w:val="nil"/>
            </w:tcBorders>
            <w:vAlign w:val="center"/>
          </w:tcPr>
          <w:p w14:paraId="3F20D585">
            <w:pPr>
              <w:spacing w:before="0" w:line="360" w:lineRule="exact"/>
              <w:ind w:firstLine="0" w:firstLineChars="0"/>
              <w:jc w:val="center"/>
              <w:rPr>
                <w:color w:val="auto"/>
                <w:sz w:val="21"/>
                <w:szCs w:val="21"/>
                <w:highlight w:val="none"/>
              </w:rPr>
            </w:pPr>
            <w:r>
              <w:rPr>
                <w:color w:val="auto"/>
                <w:sz w:val="21"/>
                <w:szCs w:val="21"/>
                <w:highlight w:val="none"/>
              </w:rPr>
              <w:t>注：在可能产生的土壤环境影响类型处打“√”</w:t>
            </w:r>
          </w:p>
        </w:tc>
      </w:tr>
    </w:tbl>
    <w:p w14:paraId="24F610AA">
      <w:pPr>
        <w:tabs>
          <w:tab w:val="left" w:pos="1214"/>
        </w:tabs>
        <w:ind w:firstLine="0" w:firstLineChars="0"/>
        <w:jc w:val="center"/>
        <w:rPr>
          <w:b/>
          <w:color w:val="auto"/>
          <w:highlight w:val="none"/>
        </w:rPr>
      </w:pPr>
      <w:r>
        <w:rPr>
          <w:b/>
          <w:color w:val="auto"/>
          <w:highlight w:val="none"/>
        </w:rPr>
        <w:t>表5.2-2</w:t>
      </w:r>
      <w:r>
        <w:rPr>
          <w:rFonts w:hint="eastAsia"/>
          <w:b/>
          <w:color w:val="auto"/>
          <w:highlight w:val="none"/>
          <w:lang w:val="en-US" w:eastAsia="zh-CN"/>
        </w:rPr>
        <w:t>6</w:t>
      </w:r>
      <w:r>
        <w:rPr>
          <w:b/>
          <w:color w:val="auto"/>
          <w:highlight w:val="none"/>
        </w:rPr>
        <w:t xml:space="preserve">    污染影响型建设项目土壤影响源及影响因子识别表</w:t>
      </w:r>
    </w:p>
    <w:tbl>
      <w:tblPr>
        <w:tblStyle w:val="13"/>
        <w:tblW w:w="8336"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767"/>
        <w:gridCol w:w="1350"/>
        <w:gridCol w:w="1060"/>
        <w:gridCol w:w="3713"/>
        <w:gridCol w:w="924"/>
        <w:gridCol w:w="522"/>
      </w:tblGrid>
      <w:tr w14:paraId="09E176C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767" w:type="dxa"/>
            <w:tcBorders>
              <w:tl2br w:val="nil"/>
              <w:tr2bl w:val="nil"/>
            </w:tcBorders>
            <w:vAlign w:val="center"/>
          </w:tcPr>
          <w:p w14:paraId="7701D21F">
            <w:pPr>
              <w:pStyle w:val="17"/>
              <w:bidi w:val="0"/>
              <w:rPr>
                <w:color w:val="auto"/>
                <w:highlight w:val="none"/>
              </w:rPr>
            </w:pPr>
            <w:r>
              <w:rPr>
                <w:color w:val="auto"/>
                <w:highlight w:val="none"/>
              </w:rPr>
              <w:t>污染源</w:t>
            </w:r>
          </w:p>
        </w:tc>
        <w:tc>
          <w:tcPr>
            <w:tcW w:w="1350" w:type="dxa"/>
            <w:tcBorders>
              <w:tl2br w:val="nil"/>
              <w:tr2bl w:val="nil"/>
            </w:tcBorders>
            <w:vAlign w:val="center"/>
          </w:tcPr>
          <w:p w14:paraId="45698583">
            <w:pPr>
              <w:pStyle w:val="17"/>
              <w:bidi w:val="0"/>
              <w:rPr>
                <w:color w:val="auto"/>
                <w:highlight w:val="none"/>
              </w:rPr>
            </w:pPr>
            <w:r>
              <w:rPr>
                <w:color w:val="auto"/>
                <w:highlight w:val="none"/>
              </w:rPr>
              <w:t>工艺流程/节点</w:t>
            </w:r>
          </w:p>
        </w:tc>
        <w:tc>
          <w:tcPr>
            <w:tcW w:w="1060" w:type="dxa"/>
            <w:tcBorders>
              <w:tl2br w:val="nil"/>
              <w:tr2bl w:val="nil"/>
            </w:tcBorders>
            <w:vAlign w:val="center"/>
          </w:tcPr>
          <w:p w14:paraId="20D7AB35">
            <w:pPr>
              <w:pStyle w:val="17"/>
              <w:bidi w:val="0"/>
              <w:rPr>
                <w:color w:val="auto"/>
                <w:highlight w:val="none"/>
              </w:rPr>
            </w:pPr>
            <w:r>
              <w:rPr>
                <w:color w:val="auto"/>
                <w:highlight w:val="none"/>
              </w:rPr>
              <w:t>污染途径</w:t>
            </w:r>
          </w:p>
        </w:tc>
        <w:tc>
          <w:tcPr>
            <w:tcW w:w="3713" w:type="dxa"/>
            <w:tcBorders>
              <w:tl2br w:val="nil"/>
              <w:tr2bl w:val="nil"/>
            </w:tcBorders>
            <w:vAlign w:val="center"/>
          </w:tcPr>
          <w:p w14:paraId="4F7D3688">
            <w:pPr>
              <w:pStyle w:val="17"/>
              <w:bidi w:val="0"/>
              <w:rPr>
                <w:color w:val="auto"/>
                <w:highlight w:val="none"/>
              </w:rPr>
            </w:pPr>
            <w:r>
              <w:rPr>
                <w:b w:val="0"/>
                <w:bCs w:val="0"/>
                <w:color w:val="auto"/>
                <w:sz w:val="21"/>
                <w:szCs w:val="21"/>
                <w:highlight w:val="none"/>
              </w:rPr>
              <w:t>全部污染物指标</w:t>
            </w:r>
          </w:p>
        </w:tc>
        <w:tc>
          <w:tcPr>
            <w:tcW w:w="924" w:type="dxa"/>
            <w:tcBorders>
              <w:tl2br w:val="nil"/>
              <w:tr2bl w:val="nil"/>
            </w:tcBorders>
            <w:vAlign w:val="center"/>
          </w:tcPr>
          <w:p w14:paraId="105A3C93">
            <w:pPr>
              <w:pStyle w:val="17"/>
              <w:bidi w:val="0"/>
              <w:rPr>
                <w:color w:val="auto"/>
                <w:highlight w:val="none"/>
              </w:rPr>
            </w:pPr>
            <w:r>
              <w:rPr>
                <w:color w:val="auto"/>
                <w:highlight w:val="none"/>
              </w:rPr>
              <w:t>特征因子</w:t>
            </w:r>
          </w:p>
        </w:tc>
        <w:tc>
          <w:tcPr>
            <w:tcW w:w="522" w:type="dxa"/>
            <w:tcBorders>
              <w:tl2br w:val="nil"/>
              <w:tr2bl w:val="nil"/>
            </w:tcBorders>
            <w:vAlign w:val="center"/>
          </w:tcPr>
          <w:p w14:paraId="746F0DB9">
            <w:pPr>
              <w:pStyle w:val="17"/>
              <w:bidi w:val="0"/>
              <w:rPr>
                <w:color w:val="auto"/>
                <w:highlight w:val="none"/>
              </w:rPr>
            </w:pPr>
            <w:r>
              <w:rPr>
                <w:color w:val="auto"/>
                <w:highlight w:val="none"/>
              </w:rPr>
              <w:t>备注</w:t>
            </w:r>
          </w:p>
        </w:tc>
      </w:tr>
      <w:tr w14:paraId="6CA3C61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67" w:type="dxa"/>
            <w:tcBorders>
              <w:tl2br w:val="nil"/>
              <w:tr2bl w:val="nil"/>
            </w:tcBorders>
            <w:vAlign w:val="center"/>
          </w:tcPr>
          <w:p w14:paraId="59665C69">
            <w:pPr>
              <w:pStyle w:val="17"/>
              <w:bidi w:val="0"/>
              <w:rPr>
                <w:color w:val="auto"/>
                <w:highlight w:val="none"/>
              </w:rPr>
            </w:pPr>
            <w:r>
              <w:rPr>
                <w:color w:val="auto"/>
                <w:highlight w:val="none"/>
              </w:rPr>
              <w:t>选矿厂</w:t>
            </w:r>
          </w:p>
        </w:tc>
        <w:tc>
          <w:tcPr>
            <w:tcW w:w="1350" w:type="dxa"/>
            <w:tcBorders>
              <w:tl2br w:val="nil"/>
              <w:tr2bl w:val="nil"/>
            </w:tcBorders>
            <w:vAlign w:val="center"/>
          </w:tcPr>
          <w:p w14:paraId="587B0EBF">
            <w:pPr>
              <w:pStyle w:val="17"/>
              <w:bidi w:val="0"/>
              <w:rPr>
                <w:color w:val="auto"/>
                <w:highlight w:val="none"/>
              </w:rPr>
            </w:pPr>
            <w:r>
              <w:rPr>
                <w:color w:val="auto"/>
                <w:highlight w:val="none"/>
              </w:rPr>
              <w:t>废水管线泄漏</w:t>
            </w:r>
          </w:p>
        </w:tc>
        <w:tc>
          <w:tcPr>
            <w:tcW w:w="1060" w:type="dxa"/>
            <w:tcBorders>
              <w:tl2br w:val="nil"/>
              <w:tr2bl w:val="nil"/>
            </w:tcBorders>
            <w:vAlign w:val="center"/>
          </w:tcPr>
          <w:p w14:paraId="67449EE8">
            <w:pPr>
              <w:pStyle w:val="17"/>
              <w:bidi w:val="0"/>
              <w:rPr>
                <w:color w:val="auto"/>
                <w:highlight w:val="none"/>
              </w:rPr>
            </w:pPr>
            <w:r>
              <w:rPr>
                <w:color w:val="auto"/>
                <w:highlight w:val="none"/>
              </w:rPr>
              <w:t>垂直入渗</w:t>
            </w:r>
          </w:p>
        </w:tc>
        <w:tc>
          <w:tcPr>
            <w:tcW w:w="3713" w:type="dxa"/>
            <w:tcBorders>
              <w:tl2br w:val="nil"/>
              <w:tr2bl w:val="nil"/>
            </w:tcBorders>
            <w:vAlign w:val="center"/>
          </w:tcPr>
          <w:p w14:paraId="4473B2B5">
            <w:pPr>
              <w:pStyle w:val="17"/>
              <w:bidi w:val="0"/>
              <w:rPr>
                <w:rFonts w:hint="default"/>
                <w:color w:val="auto"/>
                <w:highlight w:val="none"/>
                <w:lang w:val="en-US" w:eastAsia="zh-CN"/>
              </w:rPr>
            </w:pPr>
            <w:r>
              <w:rPr>
                <w:color w:val="auto"/>
                <w:highlight w:val="none"/>
              </w:rPr>
              <w:t>pH、砷、镉、六价铬、铜、铅、汞、镍</w:t>
            </w:r>
            <w:r>
              <w:rPr>
                <w:rFonts w:hint="eastAsia"/>
                <w:color w:val="auto"/>
                <w:highlight w:val="none"/>
                <w:lang w:eastAsia="zh-CN"/>
              </w:rPr>
              <w:t>、</w:t>
            </w:r>
            <w:r>
              <w:rPr>
                <w:rFonts w:hint="eastAsia"/>
                <w:color w:val="auto"/>
                <w:highlight w:val="none"/>
                <w:lang w:val="en-US" w:eastAsia="zh-CN"/>
              </w:rPr>
              <w:t>氟化物</w:t>
            </w:r>
          </w:p>
        </w:tc>
        <w:tc>
          <w:tcPr>
            <w:tcW w:w="924" w:type="dxa"/>
            <w:tcBorders>
              <w:tl2br w:val="nil"/>
              <w:tr2bl w:val="nil"/>
            </w:tcBorders>
            <w:vAlign w:val="center"/>
          </w:tcPr>
          <w:p w14:paraId="1BED6CEE">
            <w:pPr>
              <w:pStyle w:val="17"/>
              <w:bidi w:val="0"/>
              <w:rPr>
                <w:rFonts w:hint="default"/>
                <w:color w:val="auto"/>
                <w:highlight w:val="none"/>
                <w:lang w:val="en-US" w:eastAsia="zh-CN"/>
              </w:rPr>
            </w:pPr>
            <w:r>
              <w:rPr>
                <w:rFonts w:hint="eastAsia"/>
                <w:color w:val="auto"/>
                <w:highlight w:val="none"/>
                <w:lang w:val="en-US" w:eastAsia="zh-CN"/>
              </w:rPr>
              <w:t>镉</w:t>
            </w:r>
          </w:p>
        </w:tc>
        <w:tc>
          <w:tcPr>
            <w:tcW w:w="522" w:type="dxa"/>
            <w:tcBorders>
              <w:tl2br w:val="nil"/>
              <w:tr2bl w:val="nil"/>
            </w:tcBorders>
            <w:vAlign w:val="center"/>
          </w:tcPr>
          <w:p w14:paraId="3EE55E95">
            <w:pPr>
              <w:pStyle w:val="17"/>
              <w:bidi w:val="0"/>
              <w:rPr>
                <w:color w:val="auto"/>
                <w:highlight w:val="none"/>
              </w:rPr>
            </w:pPr>
            <w:r>
              <w:rPr>
                <w:color w:val="auto"/>
                <w:highlight w:val="none"/>
              </w:rPr>
              <w:t>/</w:t>
            </w:r>
          </w:p>
        </w:tc>
      </w:tr>
      <w:tr w14:paraId="528E0E8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67" w:type="dxa"/>
            <w:tcBorders>
              <w:tl2br w:val="nil"/>
              <w:tr2bl w:val="nil"/>
            </w:tcBorders>
            <w:vAlign w:val="center"/>
          </w:tcPr>
          <w:p w14:paraId="50A849B8">
            <w:pPr>
              <w:pStyle w:val="17"/>
              <w:bidi w:val="0"/>
              <w:rPr>
                <w:rFonts w:hint="eastAsia"/>
                <w:color w:val="auto"/>
                <w:highlight w:val="none"/>
                <w:lang w:val="en-US" w:eastAsia="zh-CN"/>
              </w:rPr>
            </w:pPr>
            <w:r>
              <w:rPr>
                <w:rFonts w:hint="eastAsia"/>
                <w:color w:val="auto"/>
                <w:highlight w:val="none"/>
                <w:lang w:val="en-US" w:eastAsia="zh-CN"/>
              </w:rPr>
              <w:t>尾矿库</w:t>
            </w:r>
          </w:p>
        </w:tc>
        <w:tc>
          <w:tcPr>
            <w:tcW w:w="1350" w:type="dxa"/>
            <w:tcBorders>
              <w:tl2br w:val="nil"/>
              <w:tr2bl w:val="nil"/>
            </w:tcBorders>
            <w:vAlign w:val="center"/>
          </w:tcPr>
          <w:p w14:paraId="7985698C">
            <w:pPr>
              <w:pStyle w:val="17"/>
              <w:bidi w:val="0"/>
              <w:rPr>
                <w:color w:val="auto"/>
                <w:highlight w:val="none"/>
              </w:rPr>
            </w:pPr>
            <w:r>
              <w:rPr>
                <w:rFonts w:hint="eastAsia"/>
                <w:color w:val="auto"/>
                <w:highlight w:val="none"/>
              </w:rPr>
              <w:t>尾矿库溃坝</w:t>
            </w:r>
          </w:p>
        </w:tc>
        <w:tc>
          <w:tcPr>
            <w:tcW w:w="1060" w:type="dxa"/>
            <w:tcBorders>
              <w:tl2br w:val="nil"/>
              <w:tr2bl w:val="nil"/>
            </w:tcBorders>
            <w:vAlign w:val="center"/>
          </w:tcPr>
          <w:p w14:paraId="602BDB77">
            <w:pPr>
              <w:pStyle w:val="17"/>
              <w:bidi w:val="0"/>
              <w:rPr>
                <w:color w:val="auto"/>
                <w:highlight w:val="none"/>
              </w:rPr>
            </w:pPr>
            <w:r>
              <w:rPr>
                <w:rFonts w:hint="eastAsia"/>
                <w:color w:val="auto"/>
                <w:highlight w:val="none"/>
              </w:rPr>
              <w:t>地面漫流</w:t>
            </w:r>
          </w:p>
        </w:tc>
        <w:tc>
          <w:tcPr>
            <w:tcW w:w="3713" w:type="dxa"/>
            <w:tcBorders>
              <w:tl2br w:val="nil"/>
              <w:tr2bl w:val="nil"/>
            </w:tcBorders>
            <w:vAlign w:val="center"/>
          </w:tcPr>
          <w:p w14:paraId="028EFA4B">
            <w:pPr>
              <w:pStyle w:val="17"/>
              <w:bidi w:val="0"/>
              <w:rPr>
                <w:color w:val="auto"/>
                <w:highlight w:val="none"/>
              </w:rPr>
            </w:pPr>
            <w:r>
              <w:rPr>
                <w:color w:val="auto"/>
                <w:highlight w:val="none"/>
              </w:rPr>
              <w:t>pH、砷、镉、六价铬、铜、铅、汞、镍</w:t>
            </w:r>
            <w:r>
              <w:rPr>
                <w:rFonts w:hint="eastAsia"/>
                <w:color w:val="auto"/>
                <w:highlight w:val="none"/>
                <w:lang w:eastAsia="zh-CN"/>
              </w:rPr>
              <w:t>、</w:t>
            </w:r>
            <w:r>
              <w:rPr>
                <w:rFonts w:hint="eastAsia"/>
                <w:color w:val="auto"/>
                <w:highlight w:val="none"/>
                <w:lang w:val="en-US" w:eastAsia="zh-CN"/>
              </w:rPr>
              <w:t>氟化物</w:t>
            </w:r>
          </w:p>
        </w:tc>
        <w:tc>
          <w:tcPr>
            <w:tcW w:w="924" w:type="dxa"/>
            <w:tcBorders>
              <w:tl2br w:val="nil"/>
              <w:tr2bl w:val="nil"/>
            </w:tcBorders>
            <w:vAlign w:val="center"/>
          </w:tcPr>
          <w:p w14:paraId="5ADF8862">
            <w:pPr>
              <w:pStyle w:val="17"/>
              <w:bidi w:val="0"/>
              <w:rPr>
                <w:rFonts w:hint="eastAsia"/>
                <w:color w:val="auto"/>
                <w:highlight w:val="none"/>
                <w:lang w:val="en-US" w:eastAsia="zh-CN"/>
              </w:rPr>
            </w:pPr>
            <w:r>
              <w:rPr>
                <w:rFonts w:hint="eastAsia"/>
                <w:color w:val="auto"/>
                <w:highlight w:val="none"/>
                <w:lang w:val="en-US" w:eastAsia="zh-CN"/>
              </w:rPr>
              <w:t>镉</w:t>
            </w:r>
          </w:p>
        </w:tc>
        <w:tc>
          <w:tcPr>
            <w:tcW w:w="522" w:type="dxa"/>
            <w:tcBorders>
              <w:tl2br w:val="nil"/>
              <w:tr2bl w:val="nil"/>
            </w:tcBorders>
            <w:vAlign w:val="center"/>
          </w:tcPr>
          <w:p w14:paraId="6260C060">
            <w:pPr>
              <w:pStyle w:val="17"/>
              <w:bidi w:val="0"/>
              <w:rPr>
                <w:color w:val="auto"/>
                <w:highlight w:val="none"/>
              </w:rPr>
            </w:pPr>
            <w:r>
              <w:rPr>
                <w:color w:val="auto"/>
                <w:highlight w:val="none"/>
              </w:rPr>
              <w:t>/</w:t>
            </w:r>
          </w:p>
        </w:tc>
      </w:tr>
      <w:tr w14:paraId="5817053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67" w:type="dxa"/>
            <w:tcBorders>
              <w:tl2br w:val="nil"/>
              <w:tr2bl w:val="nil"/>
            </w:tcBorders>
            <w:vAlign w:val="center"/>
          </w:tcPr>
          <w:p w14:paraId="2B000EB6">
            <w:pPr>
              <w:pStyle w:val="17"/>
              <w:bidi w:val="0"/>
              <w:rPr>
                <w:color w:val="auto"/>
                <w:highlight w:val="none"/>
              </w:rPr>
            </w:pPr>
            <w:r>
              <w:rPr>
                <w:rFonts w:hint="eastAsia"/>
                <w:color w:val="auto"/>
                <w:highlight w:val="none"/>
                <w:lang w:val="en-US" w:eastAsia="zh-CN"/>
              </w:rPr>
              <w:t>尾矿库</w:t>
            </w:r>
          </w:p>
        </w:tc>
        <w:tc>
          <w:tcPr>
            <w:tcW w:w="1350" w:type="dxa"/>
            <w:tcBorders>
              <w:tl2br w:val="nil"/>
              <w:tr2bl w:val="nil"/>
            </w:tcBorders>
            <w:vAlign w:val="center"/>
          </w:tcPr>
          <w:p w14:paraId="4073956B">
            <w:pPr>
              <w:pStyle w:val="17"/>
              <w:bidi w:val="0"/>
              <w:rPr>
                <w:color w:val="auto"/>
                <w:highlight w:val="none"/>
              </w:rPr>
            </w:pPr>
            <w:r>
              <w:rPr>
                <w:rFonts w:hint="eastAsia"/>
                <w:color w:val="auto"/>
                <w:highlight w:val="none"/>
              </w:rPr>
              <w:t>渗滤液下渗</w:t>
            </w:r>
          </w:p>
        </w:tc>
        <w:tc>
          <w:tcPr>
            <w:tcW w:w="1060" w:type="dxa"/>
            <w:tcBorders>
              <w:tl2br w:val="nil"/>
              <w:tr2bl w:val="nil"/>
            </w:tcBorders>
            <w:vAlign w:val="center"/>
          </w:tcPr>
          <w:p w14:paraId="2C360570">
            <w:pPr>
              <w:pStyle w:val="17"/>
              <w:bidi w:val="0"/>
              <w:rPr>
                <w:color w:val="auto"/>
                <w:highlight w:val="none"/>
              </w:rPr>
            </w:pPr>
            <w:r>
              <w:rPr>
                <w:rFonts w:hint="eastAsia"/>
                <w:color w:val="auto"/>
                <w:highlight w:val="none"/>
              </w:rPr>
              <w:t>垂直入渗</w:t>
            </w:r>
          </w:p>
        </w:tc>
        <w:tc>
          <w:tcPr>
            <w:tcW w:w="3713" w:type="dxa"/>
            <w:tcBorders>
              <w:tl2br w:val="nil"/>
              <w:tr2bl w:val="nil"/>
            </w:tcBorders>
            <w:vAlign w:val="center"/>
          </w:tcPr>
          <w:p w14:paraId="6453382B">
            <w:pPr>
              <w:pStyle w:val="17"/>
              <w:bidi w:val="0"/>
              <w:rPr>
                <w:color w:val="auto"/>
                <w:highlight w:val="none"/>
              </w:rPr>
            </w:pPr>
            <w:r>
              <w:rPr>
                <w:color w:val="auto"/>
                <w:highlight w:val="none"/>
              </w:rPr>
              <w:t>pH、砷、镉、六价铬、铜、铅、汞、镍</w:t>
            </w:r>
            <w:r>
              <w:rPr>
                <w:rFonts w:hint="eastAsia"/>
                <w:color w:val="auto"/>
                <w:highlight w:val="none"/>
                <w:lang w:eastAsia="zh-CN"/>
              </w:rPr>
              <w:t>、</w:t>
            </w:r>
            <w:r>
              <w:rPr>
                <w:rFonts w:hint="eastAsia"/>
                <w:color w:val="auto"/>
                <w:highlight w:val="none"/>
                <w:lang w:val="en-US" w:eastAsia="zh-CN"/>
              </w:rPr>
              <w:t>氟化物</w:t>
            </w:r>
          </w:p>
        </w:tc>
        <w:tc>
          <w:tcPr>
            <w:tcW w:w="924" w:type="dxa"/>
            <w:tcBorders>
              <w:tl2br w:val="nil"/>
              <w:tr2bl w:val="nil"/>
            </w:tcBorders>
            <w:vAlign w:val="center"/>
          </w:tcPr>
          <w:p w14:paraId="43EC205A">
            <w:pPr>
              <w:pStyle w:val="17"/>
              <w:bidi w:val="0"/>
              <w:rPr>
                <w:rFonts w:hint="default"/>
                <w:color w:val="auto"/>
                <w:highlight w:val="none"/>
                <w:lang w:val="en-US" w:eastAsia="zh-CN"/>
              </w:rPr>
            </w:pPr>
            <w:r>
              <w:rPr>
                <w:rFonts w:hint="eastAsia"/>
                <w:color w:val="auto"/>
                <w:highlight w:val="none"/>
                <w:lang w:val="en-US" w:eastAsia="zh-CN"/>
              </w:rPr>
              <w:t>镉</w:t>
            </w:r>
          </w:p>
        </w:tc>
        <w:tc>
          <w:tcPr>
            <w:tcW w:w="522" w:type="dxa"/>
            <w:tcBorders>
              <w:tl2br w:val="nil"/>
              <w:tr2bl w:val="nil"/>
            </w:tcBorders>
            <w:vAlign w:val="center"/>
          </w:tcPr>
          <w:p w14:paraId="27099EF2">
            <w:pPr>
              <w:pStyle w:val="17"/>
              <w:bidi w:val="0"/>
              <w:rPr>
                <w:color w:val="auto"/>
                <w:highlight w:val="none"/>
              </w:rPr>
            </w:pPr>
            <w:r>
              <w:rPr>
                <w:color w:val="auto"/>
                <w:highlight w:val="none"/>
              </w:rPr>
              <w:t>/</w:t>
            </w:r>
          </w:p>
        </w:tc>
      </w:tr>
      <w:tr w14:paraId="5BF775E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67" w:type="dxa"/>
            <w:tcBorders>
              <w:tl2br w:val="nil"/>
              <w:tr2bl w:val="nil"/>
            </w:tcBorders>
            <w:vAlign w:val="center"/>
          </w:tcPr>
          <w:p w14:paraId="765F7665">
            <w:pPr>
              <w:pStyle w:val="17"/>
              <w:bidi w:val="0"/>
              <w:rPr>
                <w:rFonts w:hint="default"/>
                <w:color w:val="auto"/>
                <w:highlight w:val="none"/>
                <w:lang w:val="en-US" w:eastAsia="zh-CN"/>
              </w:rPr>
            </w:pPr>
            <w:r>
              <w:rPr>
                <w:rFonts w:hint="eastAsia"/>
                <w:color w:val="auto"/>
                <w:highlight w:val="none"/>
                <w:lang w:val="en-US" w:eastAsia="zh-CN"/>
              </w:rPr>
              <w:t>废石堆场、尾矿库</w:t>
            </w:r>
          </w:p>
        </w:tc>
        <w:tc>
          <w:tcPr>
            <w:tcW w:w="1350" w:type="dxa"/>
            <w:tcBorders>
              <w:tl2br w:val="nil"/>
              <w:tr2bl w:val="nil"/>
            </w:tcBorders>
            <w:vAlign w:val="center"/>
          </w:tcPr>
          <w:p w14:paraId="2525515F">
            <w:pPr>
              <w:pStyle w:val="17"/>
              <w:bidi w:val="0"/>
              <w:rPr>
                <w:rFonts w:hint="eastAsia" w:eastAsia="宋体"/>
                <w:color w:val="auto"/>
                <w:highlight w:val="none"/>
                <w:lang w:val="en-US" w:eastAsia="zh-CN"/>
              </w:rPr>
            </w:pPr>
            <w:r>
              <w:rPr>
                <w:rFonts w:hint="eastAsia"/>
                <w:color w:val="auto"/>
                <w:highlight w:val="none"/>
                <w:lang w:val="en-US" w:eastAsia="zh-CN"/>
              </w:rPr>
              <w:t>扬尘</w:t>
            </w:r>
          </w:p>
        </w:tc>
        <w:tc>
          <w:tcPr>
            <w:tcW w:w="1060" w:type="dxa"/>
            <w:tcBorders>
              <w:tl2br w:val="nil"/>
              <w:tr2bl w:val="nil"/>
            </w:tcBorders>
            <w:vAlign w:val="center"/>
          </w:tcPr>
          <w:p w14:paraId="089FB89E">
            <w:pPr>
              <w:pStyle w:val="17"/>
              <w:bidi w:val="0"/>
              <w:rPr>
                <w:rFonts w:hint="default" w:eastAsia="宋体"/>
                <w:color w:val="auto"/>
                <w:highlight w:val="none"/>
                <w:lang w:val="en-US" w:eastAsia="zh-CN"/>
              </w:rPr>
            </w:pPr>
            <w:r>
              <w:rPr>
                <w:rFonts w:hint="eastAsia"/>
                <w:color w:val="auto"/>
                <w:highlight w:val="none"/>
                <w:lang w:val="en-US" w:eastAsia="zh-CN"/>
              </w:rPr>
              <w:t>大气沉降</w:t>
            </w:r>
          </w:p>
        </w:tc>
        <w:tc>
          <w:tcPr>
            <w:tcW w:w="3713" w:type="dxa"/>
            <w:tcBorders>
              <w:tl2br w:val="nil"/>
              <w:tr2bl w:val="nil"/>
            </w:tcBorders>
            <w:vAlign w:val="center"/>
          </w:tcPr>
          <w:p w14:paraId="4CF667D6">
            <w:pPr>
              <w:pStyle w:val="17"/>
              <w:bidi w:val="0"/>
              <w:rPr>
                <w:rFonts w:hint="eastAsia" w:eastAsia="宋体"/>
                <w:color w:val="auto"/>
                <w:highlight w:val="none"/>
                <w:lang w:val="en-US" w:eastAsia="zh-CN"/>
              </w:rPr>
            </w:pPr>
            <w:r>
              <w:rPr>
                <w:rFonts w:hint="eastAsia"/>
                <w:color w:val="auto"/>
                <w:highlight w:val="none"/>
                <w:lang w:val="en-US" w:eastAsia="zh-CN"/>
              </w:rPr>
              <w:t>颗粒物</w:t>
            </w:r>
          </w:p>
        </w:tc>
        <w:tc>
          <w:tcPr>
            <w:tcW w:w="924" w:type="dxa"/>
            <w:tcBorders>
              <w:tl2br w:val="nil"/>
              <w:tr2bl w:val="nil"/>
            </w:tcBorders>
            <w:vAlign w:val="center"/>
          </w:tcPr>
          <w:p w14:paraId="76D790FE">
            <w:pPr>
              <w:pStyle w:val="17"/>
              <w:bidi w:val="0"/>
              <w:rPr>
                <w:rFonts w:hint="default"/>
                <w:color w:val="auto"/>
                <w:highlight w:val="none"/>
                <w:lang w:val="en-US" w:eastAsia="zh-CN"/>
              </w:rPr>
            </w:pPr>
            <w:r>
              <w:rPr>
                <w:rFonts w:hint="eastAsia"/>
                <w:color w:val="auto"/>
                <w:highlight w:val="none"/>
                <w:lang w:val="en-US" w:eastAsia="zh-CN"/>
              </w:rPr>
              <w:t>颗粒物</w:t>
            </w:r>
          </w:p>
        </w:tc>
        <w:tc>
          <w:tcPr>
            <w:tcW w:w="522" w:type="dxa"/>
            <w:tcBorders>
              <w:tl2br w:val="nil"/>
              <w:tr2bl w:val="nil"/>
            </w:tcBorders>
            <w:vAlign w:val="center"/>
          </w:tcPr>
          <w:p w14:paraId="2989224A">
            <w:pPr>
              <w:pStyle w:val="17"/>
              <w:bidi w:val="0"/>
              <w:rPr>
                <w:rFonts w:hint="eastAsia" w:eastAsia="宋体"/>
                <w:color w:val="auto"/>
                <w:highlight w:val="none"/>
                <w:lang w:val="en-US" w:eastAsia="zh-CN"/>
              </w:rPr>
            </w:pPr>
            <w:r>
              <w:rPr>
                <w:rFonts w:hint="eastAsia"/>
                <w:color w:val="auto"/>
                <w:highlight w:val="none"/>
                <w:lang w:val="en-US" w:eastAsia="zh-CN"/>
              </w:rPr>
              <w:t>/</w:t>
            </w:r>
          </w:p>
        </w:tc>
      </w:tr>
    </w:tbl>
    <w:p w14:paraId="5EEBA254">
      <w:pPr>
        <w:pStyle w:val="19"/>
        <w:bidi w:val="0"/>
        <w:rPr>
          <w:rFonts w:hint="default"/>
          <w:color w:val="auto"/>
          <w:highlight w:val="none"/>
          <w:lang w:val="en-US" w:eastAsia="zh-CN"/>
        </w:rPr>
      </w:pPr>
      <w:r>
        <w:rPr>
          <w:rFonts w:hint="default"/>
          <w:color w:val="auto"/>
          <w:highlight w:val="none"/>
          <w:lang w:val="en-US" w:eastAsia="zh-CN"/>
        </w:rPr>
        <w:t>表5.2-</w:t>
      </w:r>
      <w:r>
        <w:rPr>
          <w:rFonts w:hint="eastAsia"/>
          <w:color w:val="auto"/>
          <w:highlight w:val="none"/>
          <w:lang w:val="en-US" w:eastAsia="zh-CN"/>
        </w:rPr>
        <w:t xml:space="preserve">27 </w:t>
      </w:r>
      <w:r>
        <w:rPr>
          <w:rFonts w:hint="default"/>
          <w:color w:val="auto"/>
          <w:highlight w:val="none"/>
          <w:lang w:val="en-US" w:eastAsia="zh-CN"/>
        </w:rPr>
        <w:t xml:space="preserve">  生态影响型建设项目土壤环境影响途径识别表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513"/>
        <w:gridCol w:w="1576"/>
        <w:gridCol w:w="1809"/>
        <w:gridCol w:w="2108"/>
      </w:tblGrid>
      <w:tr w14:paraId="6C8F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13" w:type="dxa"/>
            <w:vAlign w:val="center"/>
          </w:tcPr>
          <w:p w14:paraId="1DBFE305">
            <w:pPr>
              <w:pStyle w:val="17"/>
              <w:bidi w:val="0"/>
              <w:jc w:val="center"/>
              <w:rPr>
                <w:rFonts w:hint="default"/>
                <w:color w:val="auto"/>
                <w:highlight w:val="none"/>
                <w:lang w:val="en-US" w:eastAsia="zh-CN"/>
              </w:rPr>
            </w:pPr>
            <w:r>
              <w:rPr>
                <w:rFonts w:hint="eastAsia"/>
                <w:color w:val="auto"/>
                <w:highlight w:val="none"/>
                <w:lang w:val="en-US" w:eastAsia="zh-CN"/>
              </w:rPr>
              <w:t>污染源</w:t>
            </w:r>
          </w:p>
        </w:tc>
        <w:tc>
          <w:tcPr>
            <w:tcW w:w="1513" w:type="dxa"/>
            <w:vAlign w:val="center"/>
          </w:tcPr>
          <w:p w14:paraId="00F06E12">
            <w:pPr>
              <w:pStyle w:val="17"/>
              <w:bidi w:val="0"/>
              <w:jc w:val="center"/>
              <w:rPr>
                <w:rFonts w:hint="default"/>
                <w:color w:val="auto"/>
                <w:highlight w:val="none"/>
                <w:lang w:val="en-US" w:eastAsia="zh-CN"/>
              </w:rPr>
            </w:pPr>
            <w:r>
              <w:rPr>
                <w:rFonts w:hint="default"/>
                <w:color w:val="auto"/>
                <w:highlight w:val="none"/>
                <w:lang w:val="en-US" w:eastAsia="zh-CN"/>
              </w:rPr>
              <w:t>影响结果</w:t>
            </w:r>
          </w:p>
        </w:tc>
        <w:tc>
          <w:tcPr>
            <w:tcW w:w="1576" w:type="dxa"/>
            <w:vAlign w:val="center"/>
          </w:tcPr>
          <w:p w14:paraId="7092D22C">
            <w:pPr>
              <w:pStyle w:val="17"/>
              <w:bidi w:val="0"/>
              <w:jc w:val="center"/>
              <w:rPr>
                <w:rFonts w:hint="default"/>
                <w:color w:val="auto"/>
                <w:highlight w:val="none"/>
                <w:lang w:val="en-US" w:eastAsia="zh-CN"/>
              </w:rPr>
            </w:pPr>
            <w:r>
              <w:rPr>
                <w:rFonts w:hint="default"/>
                <w:color w:val="auto"/>
                <w:highlight w:val="none"/>
                <w:lang w:val="en-US" w:eastAsia="zh-CN"/>
              </w:rPr>
              <w:t>影响途径</w:t>
            </w:r>
          </w:p>
        </w:tc>
        <w:tc>
          <w:tcPr>
            <w:tcW w:w="1809" w:type="dxa"/>
            <w:vAlign w:val="center"/>
          </w:tcPr>
          <w:p w14:paraId="4ED57B0B">
            <w:pPr>
              <w:pStyle w:val="17"/>
              <w:bidi w:val="0"/>
              <w:jc w:val="center"/>
              <w:rPr>
                <w:rFonts w:hint="default"/>
                <w:color w:val="auto"/>
                <w:highlight w:val="none"/>
                <w:lang w:val="en-US" w:eastAsia="zh-CN"/>
              </w:rPr>
            </w:pPr>
            <w:r>
              <w:rPr>
                <w:rFonts w:hint="default"/>
                <w:color w:val="auto"/>
                <w:highlight w:val="none"/>
                <w:lang w:val="en-US" w:eastAsia="zh-CN"/>
              </w:rPr>
              <w:t>具体指标</w:t>
            </w:r>
          </w:p>
        </w:tc>
        <w:tc>
          <w:tcPr>
            <w:tcW w:w="2108" w:type="dxa"/>
            <w:vAlign w:val="center"/>
          </w:tcPr>
          <w:p w14:paraId="2CA51E48">
            <w:pPr>
              <w:pStyle w:val="17"/>
              <w:bidi w:val="0"/>
              <w:jc w:val="center"/>
              <w:rPr>
                <w:rFonts w:hint="default"/>
                <w:color w:val="auto"/>
                <w:highlight w:val="none"/>
                <w:lang w:val="en-US" w:eastAsia="zh-CN"/>
              </w:rPr>
            </w:pPr>
            <w:r>
              <w:rPr>
                <w:rFonts w:hint="default"/>
                <w:color w:val="auto"/>
                <w:highlight w:val="none"/>
                <w:lang w:val="en-US" w:eastAsia="zh-CN"/>
              </w:rPr>
              <w:t>土壤环境敏感目标</w:t>
            </w:r>
          </w:p>
        </w:tc>
      </w:tr>
      <w:tr w14:paraId="2E78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13" w:type="dxa"/>
            <w:vAlign w:val="center"/>
          </w:tcPr>
          <w:p w14:paraId="249A466C">
            <w:pPr>
              <w:pStyle w:val="17"/>
              <w:bidi w:val="0"/>
              <w:jc w:val="center"/>
              <w:rPr>
                <w:rFonts w:hint="default"/>
                <w:color w:val="auto"/>
                <w:highlight w:val="none"/>
                <w:lang w:val="en-US" w:eastAsia="zh-CN"/>
              </w:rPr>
            </w:pPr>
            <w:r>
              <w:rPr>
                <w:rFonts w:hint="eastAsia"/>
                <w:color w:val="auto"/>
                <w:highlight w:val="none"/>
                <w:lang w:val="en-US" w:eastAsia="zh-CN"/>
              </w:rPr>
              <w:t>采矿工程</w:t>
            </w:r>
          </w:p>
        </w:tc>
        <w:tc>
          <w:tcPr>
            <w:tcW w:w="1513" w:type="dxa"/>
            <w:vAlign w:val="center"/>
          </w:tcPr>
          <w:p w14:paraId="098C3740">
            <w:pPr>
              <w:pStyle w:val="17"/>
              <w:bidi w:val="0"/>
              <w:jc w:val="center"/>
              <w:rPr>
                <w:rFonts w:hint="default"/>
                <w:color w:val="auto"/>
                <w:highlight w:val="none"/>
                <w:lang w:val="en-US" w:eastAsia="zh-CN"/>
              </w:rPr>
            </w:pPr>
            <w:r>
              <w:rPr>
                <w:rFonts w:hint="default"/>
                <w:color w:val="auto"/>
                <w:highlight w:val="none"/>
                <w:lang w:val="en-US" w:eastAsia="zh-CN"/>
              </w:rPr>
              <w:t>其他</w:t>
            </w:r>
          </w:p>
        </w:tc>
        <w:tc>
          <w:tcPr>
            <w:tcW w:w="1576" w:type="dxa"/>
            <w:vAlign w:val="center"/>
          </w:tcPr>
          <w:p w14:paraId="59A61669">
            <w:pPr>
              <w:pStyle w:val="17"/>
              <w:bidi w:val="0"/>
              <w:jc w:val="center"/>
              <w:rPr>
                <w:rFonts w:hint="default"/>
                <w:color w:val="auto"/>
                <w:highlight w:val="none"/>
                <w:lang w:val="en-US" w:eastAsia="zh-CN"/>
              </w:rPr>
            </w:pPr>
            <w:r>
              <w:rPr>
                <w:rFonts w:hint="default"/>
                <w:color w:val="auto"/>
                <w:highlight w:val="none"/>
                <w:lang w:val="en-US" w:eastAsia="zh-CN"/>
              </w:rPr>
              <w:t>水位变化</w:t>
            </w:r>
          </w:p>
        </w:tc>
        <w:tc>
          <w:tcPr>
            <w:tcW w:w="1809" w:type="dxa"/>
            <w:vAlign w:val="center"/>
          </w:tcPr>
          <w:p w14:paraId="65A67DCC">
            <w:pPr>
              <w:pStyle w:val="17"/>
              <w:bidi w:val="0"/>
              <w:jc w:val="center"/>
              <w:rPr>
                <w:rFonts w:hint="default"/>
                <w:color w:val="auto"/>
                <w:highlight w:val="none"/>
                <w:lang w:val="en-US" w:eastAsia="zh-CN"/>
              </w:rPr>
            </w:pPr>
            <w:r>
              <w:rPr>
                <w:rFonts w:hint="default"/>
                <w:color w:val="auto"/>
                <w:highlight w:val="none"/>
                <w:lang w:val="en-US" w:eastAsia="zh-CN"/>
              </w:rPr>
              <w:t>土壤盐碱化</w:t>
            </w:r>
          </w:p>
        </w:tc>
        <w:tc>
          <w:tcPr>
            <w:tcW w:w="2108" w:type="dxa"/>
            <w:vAlign w:val="center"/>
          </w:tcPr>
          <w:p w14:paraId="08648447">
            <w:pPr>
              <w:pStyle w:val="17"/>
              <w:bidi w:val="0"/>
              <w:jc w:val="center"/>
              <w:rPr>
                <w:rFonts w:hint="default"/>
                <w:color w:val="auto"/>
                <w:highlight w:val="none"/>
                <w:lang w:val="en-US" w:eastAsia="zh-CN"/>
              </w:rPr>
            </w:pPr>
            <w:r>
              <w:rPr>
                <w:rFonts w:hint="default"/>
                <w:color w:val="auto"/>
                <w:highlight w:val="none"/>
                <w:lang w:val="en-US" w:eastAsia="zh-CN"/>
              </w:rPr>
              <w:t>盐分含量、pH</w:t>
            </w:r>
          </w:p>
        </w:tc>
      </w:tr>
    </w:tbl>
    <w:p w14:paraId="0FCE3F7A">
      <w:pPr>
        <w:pStyle w:val="7"/>
        <w:ind w:firstLine="482"/>
        <w:rPr>
          <w:color w:val="auto"/>
          <w:highlight w:val="none"/>
        </w:rPr>
      </w:pPr>
      <w:r>
        <w:rPr>
          <w:color w:val="auto"/>
          <w:highlight w:val="none"/>
        </w:rPr>
        <w:t>5.2.6.2</w:t>
      </w:r>
      <w:r>
        <w:rPr>
          <w:rFonts w:hint="default"/>
          <w:color w:val="auto"/>
          <w:highlight w:val="none"/>
          <w:lang w:val="en-US" w:eastAsia="zh-CN"/>
        </w:rPr>
        <w:t>污染影响型土壤影响预测与分析</w:t>
      </w:r>
    </w:p>
    <w:p w14:paraId="73F0B4CB">
      <w:pPr>
        <w:bidi w:val="0"/>
        <w:rPr>
          <w:color w:val="auto"/>
          <w:highlight w:val="none"/>
        </w:rPr>
      </w:pPr>
      <w:r>
        <w:rPr>
          <w:rFonts w:hint="default"/>
          <w:color w:val="auto"/>
          <w:highlight w:val="none"/>
          <w:lang w:val="en-US" w:eastAsia="zh-CN"/>
        </w:rPr>
        <w:t>按照《环境影响评价技术导则</w:t>
      </w:r>
      <w:r>
        <w:rPr>
          <w:rFonts w:hint="eastAsia"/>
          <w:color w:val="auto"/>
          <w:highlight w:val="none"/>
          <w:lang w:val="en-US" w:eastAsia="zh-CN"/>
        </w:rPr>
        <w:t xml:space="preserve"> </w:t>
      </w:r>
      <w:r>
        <w:rPr>
          <w:rFonts w:hint="default"/>
          <w:color w:val="auto"/>
          <w:highlight w:val="none"/>
          <w:lang w:val="en-US" w:eastAsia="zh-CN"/>
        </w:rPr>
        <w:t>土壤环境（试行）》（HJ964-2018）的相关要求，根据土壤环境影响评价项目类别、占地规模与敏感程度，确定本项目污染影响型土壤环境评价工作等级为</w:t>
      </w:r>
      <w:r>
        <w:rPr>
          <w:rFonts w:hint="eastAsia"/>
          <w:color w:val="auto"/>
          <w:highlight w:val="none"/>
          <w:lang w:val="en-US" w:eastAsia="zh-CN"/>
        </w:rPr>
        <w:t>三</w:t>
      </w:r>
      <w:r>
        <w:rPr>
          <w:rFonts w:hint="default"/>
          <w:color w:val="auto"/>
          <w:highlight w:val="none"/>
          <w:lang w:val="en-US" w:eastAsia="zh-CN"/>
        </w:rPr>
        <w:t>级。</w:t>
      </w:r>
      <w:r>
        <w:rPr>
          <w:color w:val="auto"/>
          <w:highlight w:val="none"/>
        </w:rPr>
        <w:t>项目的预测评价范围与调查评价范围一致，</w:t>
      </w:r>
      <w:r>
        <w:rPr>
          <w:rFonts w:hint="eastAsia"/>
          <w:color w:val="auto"/>
          <w:highlight w:val="none"/>
          <w:lang w:val="en-US" w:eastAsia="zh-CN"/>
        </w:rPr>
        <w:t>评价时段为项目运营期</w:t>
      </w:r>
      <w:r>
        <w:rPr>
          <w:color w:val="auto"/>
          <w:highlight w:val="none"/>
        </w:rPr>
        <w:t>。</w:t>
      </w:r>
    </w:p>
    <w:p w14:paraId="499C7A7E">
      <w:pPr>
        <w:widowControl w:val="0"/>
        <w:overflowPunct w:val="0"/>
        <w:topLinePunct/>
        <w:spacing w:after="0"/>
        <w:ind w:firstLine="480"/>
        <w:jc w:val="both"/>
        <w:rPr>
          <w:rFonts w:ascii="Times New Roman" w:hAnsi="Times New Roman" w:cs="Times New Roman"/>
          <w:color w:val="auto"/>
          <w:highlight w:val="none"/>
        </w:rPr>
      </w:pPr>
      <w:r>
        <w:rPr>
          <w:rFonts w:ascii="Times New Roman" w:hAnsi="Times New Roman" w:cs="Times New Roman"/>
          <w:color w:val="auto"/>
          <w:highlight w:val="none"/>
        </w:rPr>
        <w:t>本次评价重点考虑尾矿砂中重金属等物质通过入渗的形式渗入周边土壤的土壤污染途径。</w:t>
      </w:r>
    </w:p>
    <w:p w14:paraId="1382777F">
      <w:pPr>
        <w:adjustRightInd w:val="0"/>
        <w:snapToGrid w:val="0"/>
        <w:ind w:firstLine="0" w:firstLineChars="0"/>
        <w:jc w:val="center"/>
        <w:rPr>
          <w:b/>
          <w:snapToGrid w:val="0"/>
          <w:color w:val="auto"/>
          <w:kern w:val="0"/>
          <w:highlight w:val="none"/>
        </w:rPr>
      </w:pPr>
      <w:r>
        <w:rPr>
          <w:b/>
          <w:snapToGrid w:val="0"/>
          <w:color w:val="auto"/>
          <w:kern w:val="0"/>
          <w:highlight w:val="none"/>
        </w:rPr>
        <w:t>表5.2-2</w:t>
      </w:r>
      <w:r>
        <w:rPr>
          <w:rFonts w:hint="eastAsia"/>
          <w:b/>
          <w:snapToGrid w:val="0"/>
          <w:color w:val="auto"/>
          <w:kern w:val="0"/>
          <w:highlight w:val="none"/>
          <w:lang w:val="en-US" w:eastAsia="zh-CN"/>
        </w:rPr>
        <w:t>8</w:t>
      </w:r>
      <w:r>
        <w:rPr>
          <w:b/>
          <w:snapToGrid w:val="0"/>
          <w:color w:val="auto"/>
          <w:kern w:val="0"/>
          <w:highlight w:val="none"/>
        </w:rPr>
        <w:t xml:space="preserve">    土壤污染途径分析表</w:t>
      </w:r>
    </w:p>
    <w:tbl>
      <w:tblPr>
        <w:tblStyle w:val="1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1499"/>
        <w:gridCol w:w="4515"/>
        <w:gridCol w:w="1402"/>
      </w:tblGrid>
      <w:tr w14:paraId="5CE8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03" w:type="dxa"/>
            <w:tcBorders>
              <w:tl2br w:val="nil"/>
              <w:tr2bl w:val="nil"/>
            </w:tcBorders>
            <w:vAlign w:val="center"/>
          </w:tcPr>
          <w:p w14:paraId="55DEE641">
            <w:pPr>
              <w:spacing w:line="360" w:lineRule="exact"/>
              <w:ind w:firstLine="0" w:firstLineChars="0"/>
              <w:jc w:val="center"/>
              <w:rPr>
                <w:b/>
                <w:bCs/>
                <w:color w:val="auto"/>
                <w:spacing w:val="-1"/>
                <w:sz w:val="21"/>
                <w:szCs w:val="21"/>
                <w:highlight w:val="none"/>
              </w:rPr>
            </w:pPr>
            <w:r>
              <w:rPr>
                <w:b/>
                <w:bCs/>
                <w:color w:val="auto"/>
                <w:spacing w:val="-1"/>
                <w:sz w:val="21"/>
                <w:szCs w:val="21"/>
                <w:highlight w:val="none"/>
              </w:rPr>
              <w:t>污染源</w:t>
            </w:r>
          </w:p>
        </w:tc>
        <w:tc>
          <w:tcPr>
            <w:tcW w:w="1499" w:type="dxa"/>
            <w:tcBorders>
              <w:tl2br w:val="nil"/>
              <w:tr2bl w:val="nil"/>
            </w:tcBorders>
            <w:vAlign w:val="center"/>
          </w:tcPr>
          <w:p w14:paraId="0118FE37">
            <w:pPr>
              <w:spacing w:line="360" w:lineRule="exact"/>
              <w:ind w:firstLine="0" w:firstLineChars="0"/>
              <w:jc w:val="center"/>
              <w:rPr>
                <w:b/>
                <w:bCs/>
                <w:color w:val="auto"/>
                <w:spacing w:val="-1"/>
                <w:sz w:val="21"/>
                <w:szCs w:val="21"/>
                <w:highlight w:val="none"/>
              </w:rPr>
            </w:pPr>
            <w:r>
              <w:rPr>
                <w:b/>
                <w:bCs/>
                <w:color w:val="auto"/>
                <w:spacing w:val="-1"/>
                <w:sz w:val="21"/>
                <w:szCs w:val="21"/>
                <w:highlight w:val="none"/>
              </w:rPr>
              <w:t>非正常工况</w:t>
            </w:r>
          </w:p>
        </w:tc>
        <w:tc>
          <w:tcPr>
            <w:tcW w:w="4515" w:type="dxa"/>
            <w:tcBorders>
              <w:tl2br w:val="nil"/>
              <w:tr2bl w:val="nil"/>
            </w:tcBorders>
            <w:vAlign w:val="center"/>
          </w:tcPr>
          <w:p w14:paraId="278885B4">
            <w:pPr>
              <w:spacing w:line="360" w:lineRule="exact"/>
              <w:ind w:firstLine="0" w:firstLineChars="0"/>
              <w:jc w:val="center"/>
              <w:rPr>
                <w:b/>
                <w:bCs/>
                <w:color w:val="auto"/>
                <w:spacing w:val="-1"/>
                <w:sz w:val="21"/>
                <w:szCs w:val="21"/>
                <w:highlight w:val="none"/>
              </w:rPr>
            </w:pPr>
            <w:r>
              <w:rPr>
                <w:b/>
                <w:bCs/>
                <w:color w:val="auto"/>
                <w:spacing w:val="-1"/>
                <w:sz w:val="21"/>
                <w:szCs w:val="21"/>
                <w:highlight w:val="none"/>
              </w:rPr>
              <w:t>潜在污染途径</w:t>
            </w:r>
          </w:p>
        </w:tc>
        <w:tc>
          <w:tcPr>
            <w:tcW w:w="1402" w:type="dxa"/>
            <w:tcBorders>
              <w:tl2br w:val="nil"/>
              <w:tr2bl w:val="nil"/>
            </w:tcBorders>
            <w:vAlign w:val="center"/>
          </w:tcPr>
          <w:p w14:paraId="02B79849">
            <w:pPr>
              <w:spacing w:line="360" w:lineRule="exact"/>
              <w:ind w:firstLine="0" w:firstLineChars="0"/>
              <w:jc w:val="center"/>
              <w:rPr>
                <w:b/>
                <w:bCs/>
                <w:color w:val="auto"/>
                <w:spacing w:val="-1"/>
                <w:sz w:val="21"/>
                <w:szCs w:val="21"/>
                <w:highlight w:val="none"/>
              </w:rPr>
            </w:pPr>
            <w:r>
              <w:rPr>
                <w:b/>
                <w:bCs/>
                <w:color w:val="auto"/>
                <w:spacing w:val="-1"/>
                <w:sz w:val="21"/>
                <w:szCs w:val="21"/>
                <w:highlight w:val="none"/>
              </w:rPr>
              <w:t>主要污染物</w:t>
            </w:r>
          </w:p>
        </w:tc>
      </w:tr>
      <w:tr w14:paraId="47BA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Borders>
              <w:tl2br w:val="nil"/>
              <w:tr2bl w:val="nil"/>
            </w:tcBorders>
            <w:vAlign w:val="center"/>
          </w:tcPr>
          <w:p w14:paraId="755C0D1E">
            <w:pPr>
              <w:spacing w:before="0" w:line="360" w:lineRule="exact"/>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尾矿库</w:t>
            </w:r>
          </w:p>
        </w:tc>
        <w:tc>
          <w:tcPr>
            <w:tcW w:w="1499" w:type="dxa"/>
            <w:tcBorders>
              <w:tl2br w:val="nil"/>
              <w:tr2bl w:val="nil"/>
            </w:tcBorders>
            <w:vAlign w:val="center"/>
          </w:tcPr>
          <w:p w14:paraId="63C78010">
            <w:pPr>
              <w:spacing w:before="0" w:line="360" w:lineRule="exact"/>
              <w:ind w:firstLine="0" w:firstLineChars="0"/>
              <w:jc w:val="center"/>
              <w:rPr>
                <w:color w:val="auto"/>
                <w:sz w:val="21"/>
                <w:szCs w:val="21"/>
                <w:highlight w:val="none"/>
              </w:rPr>
            </w:pPr>
            <w:r>
              <w:rPr>
                <w:rFonts w:hint="eastAsia"/>
                <w:color w:val="auto"/>
                <w:sz w:val="21"/>
                <w:szCs w:val="21"/>
                <w:highlight w:val="none"/>
              </w:rPr>
              <w:t>尾矿库溃坝</w:t>
            </w:r>
          </w:p>
        </w:tc>
        <w:tc>
          <w:tcPr>
            <w:tcW w:w="4515" w:type="dxa"/>
            <w:tcBorders>
              <w:tl2br w:val="nil"/>
              <w:tr2bl w:val="nil"/>
            </w:tcBorders>
            <w:vAlign w:val="center"/>
          </w:tcPr>
          <w:p w14:paraId="605F88AB">
            <w:pPr>
              <w:spacing w:line="360" w:lineRule="exact"/>
              <w:ind w:firstLine="0" w:firstLineChars="0"/>
              <w:jc w:val="center"/>
              <w:rPr>
                <w:color w:val="auto"/>
                <w:spacing w:val="-1"/>
                <w:sz w:val="21"/>
                <w:szCs w:val="21"/>
                <w:highlight w:val="none"/>
              </w:rPr>
            </w:pPr>
            <w:r>
              <w:rPr>
                <w:rFonts w:hint="eastAsia"/>
                <w:color w:val="auto"/>
                <w:spacing w:val="-1"/>
                <w:sz w:val="21"/>
                <w:szCs w:val="21"/>
                <w:highlight w:val="none"/>
              </w:rPr>
              <w:t>尾矿库溃坝，造成污染物经地面径流进入周围土壤环境造成污染</w:t>
            </w:r>
          </w:p>
        </w:tc>
        <w:tc>
          <w:tcPr>
            <w:tcW w:w="1402" w:type="dxa"/>
            <w:tcBorders>
              <w:tl2br w:val="nil"/>
              <w:tr2bl w:val="nil"/>
            </w:tcBorders>
            <w:vAlign w:val="center"/>
          </w:tcPr>
          <w:p w14:paraId="4F805D4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color w:val="auto"/>
                <w:spacing w:val="-1"/>
                <w:sz w:val="21"/>
                <w:szCs w:val="21"/>
                <w:highlight w:val="none"/>
              </w:rPr>
            </w:pPr>
            <w:r>
              <w:rPr>
                <w:rFonts w:hint="eastAsia" w:cs="Times New Roman"/>
                <w:color w:val="auto"/>
                <w:sz w:val="21"/>
                <w:szCs w:val="21"/>
                <w:highlight w:val="none"/>
                <w:lang w:eastAsia="zh-CN"/>
              </w:rPr>
              <w:t>镉</w:t>
            </w:r>
          </w:p>
        </w:tc>
      </w:tr>
      <w:tr w14:paraId="1773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Borders>
              <w:tl2br w:val="nil"/>
              <w:tr2bl w:val="nil"/>
            </w:tcBorders>
            <w:vAlign w:val="center"/>
          </w:tcPr>
          <w:p w14:paraId="7B92247C">
            <w:pPr>
              <w:spacing w:before="0" w:line="360" w:lineRule="exact"/>
              <w:ind w:firstLine="0" w:firstLineChars="0"/>
              <w:jc w:val="center"/>
              <w:rPr>
                <w:color w:val="auto"/>
                <w:spacing w:val="-1"/>
                <w:sz w:val="21"/>
                <w:szCs w:val="21"/>
                <w:highlight w:val="none"/>
              </w:rPr>
            </w:pPr>
            <w:r>
              <w:rPr>
                <w:rFonts w:hint="eastAsia"/>
                <w:color w:val="auto"/>
                <w:sz w:val="21"/>
                <w:szCs w:val="21"/>
                <w:highlight w:val="none"/>
              </w:rPr>
              <w:t>尾矿库</w:t>
            </w:r>
          </w:p>
        </w:tc>
        <w:tc>
          <w:tcPr>
            <w:tcW w:w="1499" w:type="dxa"/>
            <w:tcBorders>
              <w:tl2br w:val="nil"/>
              <w:tr2bl w:val="nil"/>
            </w:tcBorders>
            <w:vAlign w:val="center"/>
          </w:tcPr>
          <w:p w14:paraId="43E5839B">
            <w:pPr>
              <w:spacing w:before="0" w:line="360" w:lineRule="exact"/>
              <w:ind w:firstLine="0" w:firstLineChars="0"/>
              <w:jc w:val="center"/>
              <w:rPr>
                <w:color w:val="auto"/>
                <w:sz w:val="21"/>
                <w:szCs w:val="21"/>
                <w:highlight w:val="none"/>
              </w:rPr>
            </w:pPr>
            <w:r>
              <w:rPr>
                <w:rFonts w:hint="eastAsia"/>
                <w:color w:val="auto"/>
                <w:sz w:val="21"/>
                <w:szCs w:val="21"/>
                <w:highlight w:val="none"/>
              </w:rPr>
              <w:t>防渗膜破裂</w:t>
            </w:r>
          </w:p>
        </w:tc>
        <w:tc>
          <w:tcPr>
            <w:tcW w:w="4515" w:type="dxa"/>
            <w:tcBorders>
              <w:tl2br w:val="nil"/>
              <w:tr2bl w:val="nil"/>
            </w:tcBorders>
            <w:vAlign w:val="center"/>
          </w:tcPr>
          <w:p w14:paraId="38FB9993">
            <w:pPr>
              <w:spacing w:line="360" w:lineRule="exact"/>
              <w:ind w:firstLine="0" w:firstLineChars="0"/>
              <w:jc w:val="center"/>
              <w:rPr>
                <w:color w:val="auto"/>
                <w:spacing w:val="-1"/>
                <w:sz w:val="21"/>
                <w:szCs w:val="21"/>
                <w:highlight w:val="none"/>
              </w:rPr>
            </w:pPr>
            <w:r>
              <w:rPr>
                <w:rFonts w:hint="eastAsia"/>
                <w:color w:val="auto"/>
                <w:spacing w:val="-1"/>
                <w:sz w:val="21"/>
                <w:szCs w:val="21"/>
                <w:highlight w:val="none"/>
              </w:rPr>
              <w:t>尾矿库防渗膜破裂，造成污染物通过裂缝下渗，进入土壤，造成污染</w:t>
            </w:r>
          </w:p>
        </w:tc>
        <w:tc>
          <w:tcPr>
            <w:tcW w:w="1402" w:type="dxa"/>
            <w:tcBorders>
              <w:tl2br w:val="nil"/>
              <w:tr2bl w:val="nil"/>
            </w:tcBorders>
            <w:vAlign w:val="center"/>
          </w:tcPr>
          <w:p w14:paraId="5A4921E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color w:val="auto"/>
                <w:spacing w:val="-1"/>
                <w:sz w:val="21"/>
                <w:szCs w:val="21"/>
                <w:highlight w:val="none"/>
              </w:rPr>
            </w:pPr>
            <w:r>
              <w:rPr>
                <w:rFonts w:hint="eastAsia" w:cs="Times New Roman"/>
                <w:color w:val="auto"/>
                <w:sz w:val="21"/>
                <w:szCs w:val="21"/>
                <w:highlight w:val="none"/>
                <w:lang w:eastAsia="zh-CN"/>
              </w:rPr>
              <w:t>镉</w:t>
            </w:r>
          </w:p>
        </w:tc>
      </w:tr>
    </w:tbl>
    <w:p w14:paraId="64A7D25A">
      <w:pPr>
        <w:bidi w:val="0"/>
        <w:rPr>
          <w:color w:val="auto"/>
          <w:highlight w:val="none"/>
        </w:rPr>
      </w:pPr>
      <w:r>
        <w:rPr>
          <w:rFonts w:hint="eastAsia"/>
          <w:color w:val="auto"/>
          <w:highlight w:val="none"/>
          <w:lang w:val="en-US" w:eastAsia="zh-CN"/>
        </w:rPr>
        <w:t>1、</w:t>
      </w:r>
      <w:r>
        <w:rPr>
          <w:color w:val="auto"/>
          <w:highlight w:val="none"/>
        </w:rPr>
        <w:t>预测评价因子及标准</w:t>
      </w:r>
    </w:p>
    <w:p w14:paraId="21C15665">
      <w:pPr>
        <w:overflowPunct w:val="0"/>
        <w:topLinePunct/>
        <w:spacing w:line="480" w:lineRule="exact"/>
        <w:ind w:firstLine="480"/>
        <w:rPr>
          <w:rFonts w:cs="Times New Roman"/>
          <w:bCs/>
          <w:color w:val="auto"/>
          <w:szCs w:val="24"/>
          <w:highlight w:val="none"/>
        </w:rPr>
      </w:pPr>
      <w:r>
        <w:rPr>
          <w:rFonts w:hint="eastAsia" w:cs="Times New Roman"/>
          <w:color w:val="auto"/>
          <w:szCs w:val="24"/>
          <w:highlight w:val="none"/>
        </w:rPr>
        <w:t>预测因子</w:t>
      </w:r>
      <w:r>
        <w:rPr>
          <w:rFonts w:hint="eastAsia" w:cs="Times New Roman"/>
          <w:color w:val="auto"/>
          <w:szCs w:val="24"/>
          <w:highlight w:val="none"/>
          <w:lang w:eastAsia="zh-CN"/>
        </w:rPr>
        <w:t>：</w:t>
      </w:r>
      <w:r>
        <w:rPr>
          <w:rFonts w:hint="eastAsia" w:cs="Times New Roman"/>
          <w:color w:val="auto"/>
          <w:szCs w:val="24"/>
          <w:highlight w:val="none"/>
        </w:rPr>
        <w:t>根据</w:t>
      </w:r>
      <w:r>
        <w:rPr>
          <w:rFonts w:hint="eastAsia" w:cs="Times New Roman"/>
          <w:color w:val="auto"/>
          <w:szCs w:val="24"/>
          <w:highlight w:val="none"/>
          <w:lang w:val="en-US" w:eastAsia="zh-CN"/>
        </w:rPr>
        <w:t>新疆环疆绿源环保科技有限公司</w:t>
      </w:r>
      <w:r>
        <w:rPr>
          <w:rFonts w:hint="eastAsia" w:cs="Times New Roman"/>
          <w:color w:val="auto"/>
          <w:szCs w:val="24"/>
          <w:highlight w:val="none"/>
        </w:rPr>
        <w:t>出具的</w:t>
      </w:r>
      <w:r>
        <w:rPr>
          <w:rFonts w:hint="eastAsia" w:cs="Times New Roman"/>
          <w:color w:val="auto"/>
          <w:szCs w:val="24"/>
          <w:highlight w:val="none"/>
          <w:lang w:eastAsia="zh-CN"/>
        </w:rPr>
        <w:t>检测报告</w:t>
      </w:r>
      <w:r>
        <w:rPr>
          <w:rFonts w:hint="eastAsia" w:cs="Times New Roman"/>
          <w:color w:val="auto"/>
          <w:szCs w:val="24"/>
          <w:highlight w:val="none"/>
        </w:rPr>
        <w:t>，</w:t>
      </w:r>
      <w:r>
        <w:rPr>
          <w:rFonts w:hint="eastAsia" w:cs="Times New Roman"/>
          <w:color w:val="auto"/>
          <w:szCs w:val="24"/>
          <w:highlight w:val="none"/>
          <w:lang w:val="en-US" w:eastAsia="zh-CN"/>
        </w:rPr>
        <w:t>尾矿中</w:t>
      </w:r>
      <w:r>
        <w:rPr>
          <w:rFonts w:hint="eastAsia" w:cs="Times New Roman"/>
          <w:color w:val="auto"/>
          <w:szCs w:val="24"/>
          <w:highlight w:val="none"/>
        </w:rPr>
        <w:t>标准指数最大的因子为</w:t>
      </w:r>
      <w:r>
        <w:rPr>
          <w:rFonts w:hint="eastAsia" w:cs="Times New Roman"/>
          <w:color w:val="auto"/>
          <w:szCs w:val="24"/>
          <w:highlight w:val="none"/>
          <w:lang w:eastAsia="zh-CN"/>
        </w:rPr>
        <w:t>镉</w:t>
      </w:r>
      <w:r>
        <w:rPr>
          <w:rFonts w:hint="eastAsia" w:cs="Times New Roman"/>
          <w:color w:val="auto"/>
          <w:szCs w:val="24"/>
          <w:highlight w:val="none"/>
        </w:rPr>
        <w:t>，因此非正常工况下，项目潜在污染源对土壤环境的影响最大为</w:t>
      </w:r>
      <w:r>
        <w:rPr>
          <w:rFonts w:hint="eastAsia" w:cs="Times New Roman"/>
          <w:color w:val="auto"/>
          <w:szCs w:val="24"/>
          <w:highlight w:val="none"/>
          <w:lang w:eastAsia="zh-CN"/>
        </w:rPr>
        <w:t>镉</w:t>
      </w:r>
      <w:r>
        <w:rPr>
          <w:rFonts w:hint="eastAsia" w:cs="Times New Roman"/>
          <w:color w:val="auto"/>
          <w:szCs w:val="24"/>
          <w:highlight w:val="none"/>
        </w:rPr>
        <w:t>，因此选取</w:t>
      </w:r>
      <w:r>
        <w:rPr>
          <w:rFonts w:hint="eastAsia" w:cs="Times New Roman"/>
          <w:color w:val="auto"/>
          <w:szCs w:val="24"/>
          <w:highlight w:val="none"/>
          <w:lang w:eastAsia="zh-CN"/>
        </w:rPr>
        <w:t>镉</w:t>
      </w:r>
      <w:r>
        <w:rPr>
          <w:rFonts w:hint="eastAsia" w:cs="Times New Roman"/>
          <w:color w:val="auto"/>
          <w:szCs w:val="24"/>
          <w:highlight w:val="none"/>
        </w:rPr>
        <w:t>作为预测评价因子，预测源强为</w:t>
      </w:r>
      <w:r>
        <w:rPr>
          <w:rFonts w:hint="eastAsia" w:cs="Times New Roman"/>
          <w:color w:val="auto"/>
          <w:szCs w:val="24"/>
          <w:highlight w:val="none"/>
          <w:lang w:val="en-US" w:eastAsia="zh-CN"/>
        </w:rPr>
        <w:t>0.0119m</w:t>
      </w:r>
      <w:r>
        <w:rPr>
          <w:rFonts w:hint="eastAsia" w:cs="Times New Roman"/>
          <w:color w:val="auto"/>
          <w:szCs w:val="24"/>
          <w:highlight w:val="none"/>
        </w:rPr>
        <w:t>g/L。</w:t>
      </w:r>
    </w:p>
    <w:p w14:paraId="42B99BA5">
      <w:pPr>
        <w:overflowPunct w:val="0"/>
        <w:topLinePunct/>
        <w:spacing w:line="480" w:lineRule="exact"/>
        <w:ind w:firstLine="480"/>
        <w:rPr>
          <w:rFonts w:cs="Times New Roman"/>
          <w:bCs/>
          <w:color w:val="auto"/>
          <w:szCs w:val="24"/>
          <w:highlight w:val="none"/>
        </w:rPr>
      </w:pPr>
      <w:r>
        <w:rPr>
          <w:rFonts w:hint="eastAsia" w:cs="Times New Roman"/>
          <w:color w:val="auto"/>
          <w:szCs w:val="24"/>
          <w:highlight w:val="none"/>
        </w:rPr>
        <w:t>评价标准：</w:t>
      </w:r>
      <w:r>
        <w:rPr>
          <w:rFonts w:cs="Times New Roman"/>
          <w:color w:val="auto"/>
          <w:szCs w:val="24"/>
          <w:highlight w:val="none"/>
        </w:rPr>
        <w:t>本项目区域为建设用地中的第二类用地，根据《土壤环境质量 建设用地土壤污染风险管控标准（试行）》（GB36600-2018）中第二类用地的筛选值进行土壤污染风险筛查。</w:t>
      </w:r>
    </w:p>
    <w:p w14:paraId="487D60AF">
      <w:pPr>
        <w:bidi w:val="0"/>
        <w:rPr>
          <w:color w:val="auto"/>
          <w:highlight w:val="none"/>
        </w:rPr>
      </w:pPr>
      <w:r>
        <w:rPr>
          <w:rFonts w:hint="eastAsia"/>
          <w:color w:val="auto"/>
          <w:highlight w:val="none"/>
          <w:lang w:val="en-US" w:eastAsia="zh-CN"/>
        </w:rPr>
        <w:t>2、</w:t>
      </w:r>
      <w:r>
        <w:rPr>
          <w:color w:val="auto"/>
          <w:highlight w:val="none"/>
        </w:rPr>
        <w:t>预测与评价方法</w:t>
      </w:r>
    </w:p>
    <w:p w14:paraId="745AB29D">
      <w:pPr>
        <w:widowControl w:val="0"/>
        <w:overflowPunct w:val="0"/>
        <w:topLinePunct/>
        <w:spacing w:after="0"/>
        <w:ind w:firstLine="480"/>
        <w:rPr>
          <w:rFonts w:ascii="Times New Roman" w:hAnsi="Times New Roman" w:cs="Times New Roman"/>
          <w:color w:val="auto"/>
          <w:highlight w:val="none"/>
        </w:rPr>
      </w:pPr>
      <w:r>
        <w:rPr>
          <w:rFonts w:hint="eastAsia" w:cs="Times New Roman"/>
          <w:bCs/>
          <w:color w:val="auto"/>
          <w:highlight w:val="none"/>
          <w:lang w:eastAsia="zh-CN"/>
        </w:rPr>
        <w:t>（</w:t>
      </w:r>
      <w:r>
        <w:rPr>
          <w:rFonts w:hint="eastAsia" w:cs="Times New Roman"/>
          <w:bCs/>
          <w:color w:val="auto"/>
          <w:highlight w:val="none"/>
          <w:lang w:val="en-US" w:eastAsia="zh-CN"/>
        </w:rPr>
        <w:t>1）</w:t>
      </w:r>
      <w:r>
        <w:rPr>
          <w:rFonts w:ascii="Times New Roman" w:hAnsi="Times New Roman" w:cs="Times New Roman"/>
          <w:color w:val="auto"/>
          <w:highlight w:val="none"/>
        </w:rPr>
        <w:t>方法选取</w:t>
      </w:r>
    </w:p>
    <w:p w14:paraId="0DDF13B5">
      <w:pPr>
        <w:widowControl w:val="0"/>
        <w:overflowPunct w:val="0"/>
        <w:topLinePunct/>
        <w:spacing w:after="0"/>
        <w:ind w:firstLine="480"/>
        <w:jc w:val="both"/>
        <w:rPr>
          <w:rFonts w:ascii="Times New Roman" w:hAnsi="Times New Roman" w:cs="Times New Roman"/>
          <w:color w:val="auto"/>
          <w:highlight w:val="none"/>
        </w:rPr>
      </w:pPr>
      <w:r>
        <w:rPr>
          <w:rFonts w:ascii="Times New Roman" w:hAnsi="Times New Roman" w:cs="Times New Roman"/>
          <w:color w:val="auto"/>
          <w:highlight w:val="none"/>
        </w:rPr>
        <w:t>本项目为土壤污染影响型建设项目，评价工作等级为</w:t>
      </w:r>
      <w:r>
        <w:rPr>
          <w:rFonts w:hint="eastAsia" w:ascii="Times New Roman" w:hAnsi="Times New Roman" w:cs="Times New Roman"/>
          <w:color w:val="auto"/>
          <w:highlight w:val="none"/>
          <w:lang w:val="en-US" w:eastAsia="zh-CN"/>
        </w:rPr>
        <w:t>三</w:t>
      </w:r>
      <w:r>
        <w:rPr>
          <w:rFonts w:ascii="Times New Roman" w:hAnsi="Times New Roman" w:cs="Times New Roman"/>
          <w:color w:val="auto"/>
          <w:highlight w:val="none"/>
        </w:rPr>
        <w:t>级，本次评价选取</w:t>
      </w:r>
      <w:r>
        <w:rPr>
          <w:rFonts w:hint="eastAsia" w:ascii="Times New Roman" w:hAnsi="Times New Roman" w:cs="Times New Roman"/>
          <w:color w:val="auto"/>
          <w:highlight w:val="none"/>
        </w:rPr>
        <w:t>（</w:t>
      </w:r>
      <w:r>
        <w:rPr>
          <w:rFonts w:ascii="Times New Roman" w:hAnsi="Times New Roman" w:cs="Times New Roman"/>
          <w:color w:val="auto"/>
          <w:highlight w:val="none"/>
        </w:rPr>
        <w:t>HJ964-2018</w:t>
      </w:r>
      <w:r>
        <w:rPr>
          <w:rFonts w:hint="eastAsia" w:ascii="Times New Roman" w:hAnsi="Times New Roman" w:cs="Times New Roman"/>
          <w:color w:val="auto"/>
          <w:highlight w:val="none"/>
        </w:rPr>
        <w:t>）</w:t>
      </w:r>
      <w:r>
        <w:rPr>
          <w:rFonts w:ascii="Times New Roman" w:hAnsi="Times New Roman" w:cs="Times New Roman"/>
          <w:color w:val="auto"/>
          <w:highlight w:val="none"/>
        </w:rPr>
        <w:t>附录E推荐土壤环境影响预测方法一，该方法适用于某种物质可概化为以面源形式进入土壤环境的影响预测，包括大气沉降、地面漫流以及盐、酸、碱类等物质进入土壤环境引起的影响，较为符合本项目可能发生的土壤污染途径分析结果。具体方法如下：</w:t>
      </w:r>
    </w:p>
    <w:p w14:paraId="6EFFF555">
      <w:pPr>
        <w:widowControl w:val="0"/>
        <w:overflowPunct w:val="0"/>
        <w:topLinePunct/>
        <w:spacing w:after="0"/>
        <w:ind w:firstLine="480"/>
        <w:rPr>
          <w:rFonts w:ascii="Times New Roman" w:hAnsi="Times New Roman" w:cs="Times New Roman"/>
          <w:color w:val="auto"/>
          <w:highlight w:val="none"/>
        </w:rPr>
      </w:pPr>
      <w:r>
        <w:rPr>
          <w:rFonts w:hint="eastAsia" w:cs="Times New Roman"/>
          <w:color w:val="auto"/>
          <w:highlight w:val="none"/>
          <w:lang w:val="en-US" w:eastAsia="zh-CN"/>
        </w:rPr>
        <w:t>①</w:t>
      </w:r>
      <w:r>
        <w:rPr>
          <w:rFonts w:ascii="Times New Roman" w:hAnsi="Times New Roman" w:cs="Times New Roman"/>
          <w:color w:val="auto"/>
          <w:highlight w:val="none"/>
        </w:rPr>
        <w:t>单位质量土壤中某种物质的增量可用下式计算：</w:t>
      </w:r>
    </w:p>
    <w:p w14:paraId="6FC8D057">
      <w:pPr>
        <w:widowControl w:val="0"/>
        <w:overflowPunct w:val="0"/>
        <w:topLinePunct/>
        <w:spacing w:after="0"/>
        <w:ind w:firstLine="480"/>
        <w:jc w:val="center"/>
        <w:rPr>
          <w:rFonts w:ascii="Times New Roman" w:hAnsi="Times New Roman" w:cs="Times New Roman"/>
          <w:color w:val="auto"/>
          <w:highlight w:val="none"/>
        </w:rPr>
      </w:pPr>
      <w:r>
        <w:rPr>
          <w:rFonts w:ascii="Times New Roman" w:hAnsi="Times New Roman" w:cs="Times New Roman"/>
          <w:color w:val="auto"/>
          <w:position w:val="-12"/>
          <w:highlight w:val="none"/>
        </w:rPr>
        <w:object>
          <v:shape id="_x0000_i1026" o:spt="75" type="#_x0000_t75" style="height:13.7pt;width:157.7pt;" o:ole="t" filled="f" o:preferrelative="t" stroked="f" coordsize="21600,21600">
            <v:path/>
            <v:fill on="f" focussize="0,0"/>
            <v:stroke on="f" joinstyle="miter"/>
            <v:imagedata r:id="rId44" o:title=""/>
            <o:lock v:ext="edit" aspectratio="t"/>
            <w10:wrap type="none"/>
            <w10:anchorlock/>
          </v:shape>
          <o:OLEObject Type="Embed" ProgID="Equation.3" ShapeID="_x0000_i1026" DrawAspect="Content" ObjectID="_1468075728" r:id="rId43">
            <o:LockedField>false</o:LockedField>
          </o:OLEObject>
        </w:object>
      </w:r>
      <w:r>
        <w:rPr>
          <w:rFonts w:ascii="Times New Roman" w:hAnsi="Times New Roman" w:cs="Times New Roman"/>
          <w:color w:val="auto"/>
          <w:highlight w:val="none"/>
        </w:rPr>
        <w:t xml:space="preserve">            （式1）</w:t>
      </w:r>
    </w:p>
    <w:p w14:paraId="3EBF9F4F">
      <w:pPr>
        <w:widowControl w:val="0"/>
        <w:overflowPunct w:val="0"/>
        <w:topLinePunct/>
        <w:spacing w:after="0"/>
        <w:ind w:firstLine="480"/>
        <w:rPr>
          <w:rFonts w:ascii="Times New Roman" w:hAnsi="Times New Roman" w:cs="Times New Roman"/>
          <w:color w:val="auto"/>
          <w:highlight w:val="none"/>
        </w:rPr>
      </w:pPr>
      <w:r>
        <w:rPr>
          <w:rFonts w:ascii="Times New Roman" w:hAnsi="Times New Roman" w:cs="Times New Roman"/>
          <w:color w:val="auto"/>
          <w:highlight w:val="none"/>
        </w:rPr>
        <w:t>式中：</w:t>
      </w:r>
      <w:r>
        <w:rPr>
          <w:rFonts w:ascii="Cambria Math" w:hAnsi="Cambria Math" w:cs="Cambria Math"/>
          <w:color w:val="auto"/>
          <w:highlight w:val="none"/>
        </w:rPr>
        <w:t>△</w:t>
      </w:r>
      <w:r>
        <w:rPr>
          <w:rFonts w:ascii="Times New Roman" w:hAnsi="Times New Roman" w:cs="Times New Roman"/>
          <w:i/>
          <w:iCs/>
          <w:color w:val="auto"/>
          <w:highlight w:val="none"/>
        </w:rPr>
        <w:t>S</w:t>
      </w:r>
      <w:r>
        <w:rPr>
          <w:rFonts w:ascii="Times New Roman" w:hAnsi="Times New Roman" w:cs="Times New Roman"/>
          <w:color w:val="auto"/>
          <w:highlight w:val="none"/>
        </w:rPr>
        <w:t>——单位质量表层土壤中某种物质的增量，g/kg；</w:t>
      </w:r>
    </w:p>
    <w:p w14:paraId="55D5B081">
      <w:pPr>
        <w:widowControl w:val="0"/>
        <w:overflowPunct w:val="0"/>
        <w:topLinePunct/>
        <w:spacing w:after="0"/>
        <w:ind w:firstLine="480"/>
        <w:rPr>
          <w:rFonts w:ascii="Times New Roman" w:hAnsi="Times New Roman" w:cs="Times New Roman"/>
          <w:color w:val="auto"/>
          <w:highlight w:val="none"/>
        </w:rPr>
      </w:pPr>
      <w:r>
        <w:rPr>
          <w:rFonts w:ascii="Times New Roman" w:hAnsi="Times New Roman" w:cs="Times New Roman"/>
          <w:color w:val="auto"/>
          <w:position w:val="-12"/>
          <w:highlight w:val="none"/>
        </w:rPr>
        <w:object>
          <v:shape id="_x0000_i1027" o:spt="75" type="#_x0000_t75" style="height:13.7pt;width:13.7pt;" o:ole="t" filled="f" o:preferrelative="t" stroked="f" coordsize="21600,21600">
            <v:path/>
            <v:fill on="f" focussize="0,0"/>
            <v:stroke on="f" joinstyle="miter"/>
            <v:imagedata r:id="rId46" o:title=""/>
            <o:lock v:ext="edit" aspectratio="t"/>
            <w10:wrap type="none"/>
            <w10:anchorlock/>
          </v:shape>
          <o:OLEObject Type="Embed" ProgID="Equation.3" ShapeID="_x0000_i1027" DrawAspect="Content" ObjectID="_1468075729" r:id="rId45">
            <o:LockedField>false</o:LockedField>
          </o:OLEObject>
        </w:object>
      </w:r>
      <w:r>
        <w:rPr>
          <w:rFonts w:ascii="Times New Roman" w:hAnsi="Times New Roman" w:cs="Times New Roman"/>
          <w:color w:val="auto"/>
          <w:highlight w:val="none"/>
        </w:rPr>
        <w:t>——预测评价范围内单位年份表层土壤中某种物质的输入量，g；</w:t>
      </w:r>
    </w:p>
    <w:p w14:paraId="2AB879F5">
      <w:pPr>
        <w:widowControl w:val="0"/>
        <w:overflowPunct w:val="0"/>
        <w:topLinePunct/>
        <w:spacing w:after="0"/>
        <w:ind w:firstLine="480"/>
        <w:rPr>
          <w:rFonts w:ascii="Times New Roman" w:hAnsi="Times New Roman" w:cs="Times New Roman"/>
          <w:color w:val="auto"/>
          <w:highlight w:val="none"/>
        </w:rPr>
      </w:pPr>
      <w:r>
        <w:rPr>
          <w:rFonts w:ascii="Times New Roman" w:hAnsi="Times New Roman" w:cs="Times New Roman"/>
          <w:color w:val="auto"/>
          <w:position w:val="-12"/>
          <w:highlight w:val="none"/>
        </w:rPr>
        <w:object>
          <v:shape id="_x0000_i1028" o:spt="75" type="#_x0000_t75" style="height:13.7pt;width:13.7pt;" o:ole="t" filled="f" o:preferrelative="t" stroked="f" coordsize="21600,21600">
            <v:path/>
            <v:fill on="f" focussize="0,0"/>
            <v:stroke on="f" joinstyle="miter"/>
            <v:imagedata r:id="rId48" o:title=""/>
            <o:lock v:ext="edit" aspectratio="t"/>
            <w10:wrap type="none"/>
            <w10:anchorlock/>
          </v:shape>
          <o:OLEObject Type="Embed" ProgID="Equation.3" ShapeID="_x0000_i1028" DrawAspect="Content" ObjectID="_1468075730" r:id="rId47">
            <o:LockedField>false</o:LockedField>
          </o:OLEObject>
        </w:object>
      </w:r>
      <w:r>
        <w:rPr>
          <w:rFonts w:ascii="Times New Roman" w:hAnsi="Times New Roman" w:cs="Times New Roman"/>
          <w:color w:val="auto"/>
          <w:highlight w:val="none"/>
        </w:rPr>
        <w:t>——</w:t>
      </w:r>
      <w:r>
        <w:rPr>
          <w:rFonts w:ascii="Times New Roman" w:hAnsi="Times New Roman" w:cs="Times New Roman"/>
          <w:color w:val="auto"/>
          <w:spacing w:val="-11"/>
          <w:highlight w:val="none"/>
        </w:rPr>
        <w:t>预测评价范围内单位年份表层土壤中某种物质经淋溶排出的量，g；</w:t>
      </w:r>
    </w:p>
    <w:p w14:paraId="471DE55E">
      <w:pPr>
        <w:widowControl w:val="0"/>
        <w:overflowPunct w:val="0"/>
        <w:topLinePunct/>
        <w:spacing w:after="0"/>
        <w:ind w:firstLine="480"/>
        <w:rPr>
          <w:rFonts w:ascii="Times New Roman" w:hAnsi="Times New Roman" w:cs="Times New Roman"/>
          <w:color w:val="auto"/>
          <w:spacing w:val="-11"/>
          <w:highlight w:val="none"/>
        </w:rPr>
      </w:pPr>
      <w:r>
        <w:rPr>
          <w:rFonts w:ascii="Times New Roman" w:hAnsi="Times New Roman" w:cs="Times New Roman"/>
          <w:color w:val="auto"/>
          <w:position w:val="-12"/>
          <w:highlight w:val="none"/>
        </w:rPr>
        <w:object>
          <v:shape id="_x0000_i1029" o:spt="75" type="#_x0000_t75" style="height:13.7pt;width:13.7pt;" o:ole="t" filled="f" o:preferrelative="t" stroked="f" coordsize="21600,21600">
            <v:path/>
            <v:fill on="f" focussize="0,0"/>
            <v:stroke on="f" joinstyle="miter"/>
            <v:imagedata r:id="rId50" o:title=""/>
            <o:lock v:ext="edit" aspectratio="t"/>
            <w10:wrap type="none"/>
            <w10:anchorlock/>
          </v:shape>
          <o:OLEObject Type="Embed" ProgID="Equation.3" ShapeID="_x0000_i1029" DrawAspect="Content" ObjectID="_1468075731" r:id="rId49">
            <o:LockedField>false</o:LockedField>
          </o:OLEObject>
        </w:object>
      </w:r>
      <w:r>
        <w:rPr>
          <w:rFonts w:ascii="Times New Roman" w:hAnsi="Times New Roman" w:cs="Times New Roman"/>
          <w:color w:val="auto"/>
          <w:highlight w:val="none"/>
        </w:rPr>
        <w:t>——</w:t>
      </w:r>
      <w:r>
        <w:rPr>
          <w:rFonts w:ascii="Times New Roman" w:hAnsi="Times New Roman" w:cs="Times New Roman"/>
          <w:color w:val="auto"/>
          <w:spacing w:val="-11"/>
          <w:highlight w:val="none"/>
        </w:rPr>
        <w:t>预测评价范围内单位年份表层土壤中某种物质经径流排出的量，g；</w:t>
      </w:r>
    </w:p>
    <w:p w14:paraId="42B21A3B">
      <w:pPr>
        <w:widowControl w:val="0"/>
        <w:overflowPunct w:val="0"/>
        <w:topLinePunct/>
        <w:spacing w:after="0"/>
        <w:ind w:firstLine="480"/>
        <w:rPr>
          <w:rFonts w:ascii="Times New Roman" w:hAnsi="Times New Roman" w:cs="Times New Roman"/>
          <w:color w:val="auto"/>
          <w:highlight w:val="none"/>
        </w:rPr>
      </w:pPr>
      <w:r>
        <w:rPr>
          <w:rFonts w:ascii="Times New Roman" w:hAnsi="Times New Roman" w:cs="Times New Roman"/>
          <w:color w:val="auto"/>
          <w:position w:val="-12"/>
          <w:highlight w:val="none"/>
        </w:rPr>
        <w:object>
          <v:shape id="_x0000_i1030" o:spt="75" type="#_x0000_t75" style="height:13.7pt;width:13.7pt;" o:ole="t" filled="f" o:preferrelative="t" stroked="f" coordsize="21600,21600">
            <v:path/>
            <v:fill on="f" focussize="0,0"/>
            <v:stroke on="f" joinstyle="miter"/>
            <v:imagedata r:id="rId52" o:title=""/>
            <o:lock v:ext="edit" aspectratio="t"/>
            <w10:wrap type="none"/>
            <w10:anchorlock/>
          </v:shape>
          <o:OLEObject Type="Embed" ProgID="Equation.3" ShapeID="_x0000_i1030" DrawAspect="Content" ObjectID="_1468075732" r:id="rId51">
            <o:LockedField>false</o:LockedField>
          </o:OLEObject>
        </w:object>
      </w:r>
      <w:r>
        <w:rPr>
          <w:rFonts w:ascii="Times New Roman" w:hAnsi="Times New Roman" w:cs="Times New Roman"/>
          <w:color w:val="auto"/>
          <w:highlight w:val="none"/>
        </w:rPr>
        <w:t>——表层土壤容重，kg/m</w:t>
      </w:r>
      <w:r>
        <w:rPr>
          <w:rFonts w:ascii="Times New Roman" w:hAnsi="Times New Roman" w:cs="Times New Roman"/>
          <w:color w:val="auto"/>
          <w:highlight w:val="none"/>
          <w:vertAlign w:val="superscript"/>
        </w:rPr>
        <w:t>3</w:t>
      </w:r>
      <w:r>
        <w:rPr>
          <w:rFonts w:ascii="Times New Roman" w:hAnsi="Times New Roman" w:cs="Times New Roman"/>
          <w:color w:val="auto"/>
          <w:highlight w:val="none"/>
        </w:rPr>
        <w:t>；</w:t>
      </w:r>
    </w:p>
    <w:p w14:paraId="1366E196">
      <w:pPr>
        <w:widowControl w:val="0"/>
        <w:overflowPunct w:val="0"/>
        <w:topLinePunct/>
        <w:spacing w:after="0"/>
        <w:ind w:firstLine="480"/>
        <w:rPr>
          <w:rFonts w:ascii="Times New Roman" w:hAnsi="Times New Roman" w:cs="Times New Roman"/>
          <w:color w:val="auto"/>
          <w:highlight w:val="none"/>
        </w:rPr>
      </w:pPr>
      <w:r>
        <w:rPr>
          <w:rFonts w:ascii="Times New Roman" w:hAnsi="Times New Roman" w:cs="Times New Roman"/>
          <w:color w:val="auto"/>
          <w:highlight w:val="none"/>
        </w:rPr>
        <w:t>A——预测评价范围，m</w:t>
      </w:r>
      <w:r>
        <w:rPr>
          <w:rFonts w:ascii="Times New Roman" w:hAnsi="Times New Roman" w:cs="Times New Roman"/>
          <w:color w:val="auto"/>
          <w:highlight w:val="none"/>
          <w:vertAlign w:val="superscript"/>
        </w:rPr>
        <w:t>2</w:t>
      </w:r>
      <w:r>
        <w:rPr>
          <w:rFonts w:ascii="Times New Roman" w:hAnsi="Times New Roman" w:cs="Times New Roman"/>
          <w:color w:val="auto"/>
          <w:highlight w:val="none"/>
        </w:rPr>
        <w:t>；</w:t>
      </w:r>
    </w:p>
    <w:p w14:paraId="4484AF5C">
      <w:pPr>
        <w:widowControl w:val="0"/>
        <w:overflowPunct w:val="0"/>
        <w:topLinePunct/>
        <w:spacing w:after="0"/>
        <w:ind w:firstLine="480"/>
        <w:rPr>
          <w:rFonts w:ascii="Times New Roman" w:hAnsi="Times New Roman" w:cs="Times New Roman"/>
          <w:color w:val="auto"/>
          <w:highlight w:val="none"/>
        </w:rPr>
      </w:pPr>
      <w:r>
        <w:rPr>
          <w:rFonts w:ascii="Times New Roman" w:hAnsi="Times New Roman" w:cs="Times New Roman"/>
          <w:color w:val="auto"/>
          <w:highlight w:val="none"/>
        </w:rPr>
        <w:t>D——表层土壤深度，一般取0.2m，可根据实际情况适当调整；</w:t>
      </w:r>
    </w:p>
    <w:p w14:paraId="6B55B59C">
      <w:pPr>
        <w:widowControl w:val="0"/>
        <w:overflowPunct w:val="0"/>
        <w:topLinePunct/>
        <w:spacing w:after="0"/>
        <w:ind w:firstLine="480"/>
        <w:rPr>
          <w:rFonts w:ascii="Times New Roman" w:hAnsi="Times New Roman" w:cs="Times New Roman"/>
          <w:color w:val="auto"/>
          <w:highlight w:val="none"/>
        </w:rPr>
      </w:pPr>
      <w:r>
        <w:rPr>
          <w:rFonts w:ascii="Times New Roman" w:hAnsi="Times New Roman" w:cs="Times New Roman"/>
          <w:color w:val="auto"/>
          <w:position w:val="-6"/>
          <w:highlight w:val="none"/>
        </w:rPr>
        <w:object>
          <v:shape id="_x0000_i1031" o:spt="75" type="#_x0000_t75" style="height:13.7pt;width:6.85pt;" o:ole="t" filled="f" o:preferrelative="t" stroked="f" coordsize="21600,21600">
            <v:path/>
            <v:fill on="f" focussize="0,0"/>
            <v:stroke on="f" joinstyle="miter"/>
            <v:imagedata r:id="rId54" o:title=""/>
            <o:lock v:ext="edit" aspectratio="t"/>
            <w10:wrap type="none"/>
            <w10:anchorlock/>
          </v:shape>
          <o:OLEObject Type="Embed" ProgID="Equation.3" ShapeID="_x0000_i1031" DrawAspect="Content" ObjectID="_1468075733" r:id="rId53">
            <o:LockedField>false</o:LockedField>
          </o:OLEObject>
        </w:object>
      </w:r>
      <w:r>
        <w:rPr>
          <w:rFonts w:ascii="Times New Roman" w:hAnsi="Times New Roman" w:cs="Times New Roman"/>
          <w:color w:val="auto"/>
          <w:highlight w:val="none"/>
        </w:rPr>
        <w:t>——持续年份，a。</w:t>
      </w:r>
    </w:p>
    <w:p w14:paraId="2EFACC5A">
      <w:pPr>
        <w:widowControl w:val="0"/>
        <w:overflowPunct w:val="0"/>
        <w:topLinePunct/>
        <w:spacing w:after="0"/>
        <w:ind w:firstLine="480"/>
        <w:rPr>
          <w:rFonts w:ascii="Times New Roman" w:hAnsi="Times New Roman" w:cs="Times New Roman"/>
          <w:color w:val="auto"/>
          <w:highlight w:val="none"/>
        </w:rPr>
      </w:pPr>
      <w:r>
        <w:rPr>
          <w:rFonts w:hint="eastAsia" w:cs="Times New Roman"/>
          <w:color w:val="auto"/>
          <w:highlight w:val="none"/>
          <w:lang w:val="en-US" w:eastAsia="zh-CN"/>
        </w:rPr>
        <w:t>②</w:t>
      </w:r>
      <w:r>
        <w:rPr>
          <w:rFonts w:ascii="Times New Roman" w:hAnsi="Times New Roman" w:cs="Times New Roman"/>
          <w:color w:val="auto"/>
          <w:highlight w:val="none"/>
        </w:rPr>
        <w:t>单位质量土壤中某种物质的预测值可根据其增量叠加现状值进行计算：</w:t>
      </w:r>
    </w:p>
    <w:p w14:paraId="4DF1657D">
      <w:pPr>
        <w:widowControl w:val="0"/>
        <w:overflowPunct w:val="0"/>
        <w:topLinePunct/>
        <w:spacing w:after="0"/>
        <w:ind w:firstLine="480"/>
        <w:jc w:val="center"/>
        <w:rPr>
          <w:rFonts w:ascii="Times New Roman" w:hAnsi="Times New Roman" w:cs="Times New Roman"/>
          <w:color w:val="auto"/>
          <w:highlight w:val="none"/>
        </w:rPr>
      </w:pPr>
      <w:r>
        <w:rPr>
          <w:rFonts w:ascii="Times New Roman" w:hAnsi="Times New Roman" w:cs="Times New Roman"/>
          <w:color w:val="auto"/>
          <w:position w:val="-12"/>
          <w:highlight w:val="none"/>
        </w:rPr>
        <w:object>
          <v:shape id="_x0000_i1032" o:spt="75" type="#_x0000_t75" style="height:13.7pt;width:58.3pt;" o:ole="t" filled="f" o:preferrelative="t" stroked="f" coordsize="21600,21600">
            <v:path/>
            <v:fill on="f" focussize="0,0"/>
            <v:stroke on="f" joinstyle="miter"/>
            <v:imagedata r:id="rId56" o:title=""/>
            <o:lock v:ext="edit" aspectratio="t"/>
            <w10:wrap type="none"/>
            <w10:anchorlock/>
          </v:shape>
          <o:OLEObject Type="Embed" ProgID="Equation.3" ShapeID="_x0000_i1032" DrawAspect="Content" ObjectID="_1468075734" r:id="rId55">
            <o:LockedField>false</o:LockedField>
          </o:OLEObject>
        </w:object>
      </w:r>
      <w:r>
        <w:rPr>
          <w:rFonts w:ascii="Times New Roman" w:hAnsi="Times New Roman" w:cs="Times New Roman"/>
          <w:color w:val="auto"/>
          <w:highlight w:val="none"/>
        </w:rPr>
        <w:t xml:space="preserve">                 （式2）</w:t>
      </w:r>
    </w:p>
    <w:p w14:paraId="6D8C6FEC">
      <w:pPr>
        <w:widowControl w:val="0"/>
        <w:overflowPunct w:val="0"/>
        <w:topLinePunct/>
        <w:spacing w:after="0"/>
        <w:ind w:firstLine="480"/>
        <w:rPr>
          <w:rFonts w:ascii="Times New Roman" w:hAnsi="Times New Roman" w:cs="Times New Roman"/>
          <w:color w:val="auto"/>
          <w:highlight w:val="none"/>
        </w:rPr>
      </w:pPr>
      <w:r>
        <w:rPr>
          <w:rFonts w:ascii="Times New Roman" w:hAnsi="Times New Roman" w:cs="Times New Roman"/>
          <w:color w:val="auto"/>
          <w:highlight w:val="none"/>
        </w:rPr>
        <w:t>式中：</w:t>
      </w:r>
      <w:r>
        <w:rPr>
          <w:rFonts w:ascii="Times New Roman" w:hAnsi="Times New Roman" w:cs="Times New Roman"/>
          <w:i/>
          <w:iCs/>
          <w:color w:val="auto"/>
          <w:highlight w:val="none"/>
        </w:rPr>
        <w:t>S</w:t>
      </w:r>
      <w:r>
        <w:rPr>
          <w:rFonts w:ascii="Times New Roman" w:hAnsi="Times New Roman" w:cs="Times New Roman"/>
          <w:i/>
          <w:iCs/>
          <w:color w:val="auto"/>
          <w:highlight w:val="none"/>
          <w:vertAlign w:val="subscript"/>
        </w:rPr>
        <w:t>b</w:t>
      </w:r>
      <w:r>
        <w:rPr>
          <w:rFonts w:ascii="Times New Roman" w:hAnsi="Times New Roman" w:cs="Times New Roman"/>
          <w:color w:val="auto"/>
          <w:highlight w:val="none"/>
        </w:rPr>
        <w:t>——单位质量土壤中某种物质的现状值，g/kg；</w:t>
      </w:r>
    </w:p>
    <w:p w14:paraId="356455BD">
      <w:pPr>
        <w:widowControl w:val="0"/>
        <w:overflowPunct w:val="0"/>
        <w:topLinePunct/>
        <w:spacing w:after="0"/>
        <w:ind w:firstLine="1200" w:firstLineChars="500"/>
        <w:rPr>
          <w:rFonts w:ascii="Times New Roman" w:hAnsi="Times New Roman" w:cs="Times New Roman"/>
          <w:color w:val="auto"/>
          <w:highlight w:val="none"/>
        </w:rPr>
      </w:pPr>
      <w:r>
        <w:rPr>
          <w:rFonts w:ascii="Times New Roman" w:hAnsi="Times New Roman" w:cs="Times New Roman"/>
          <w:i/>
          <w:iCs/>
          <w:color w:val="auto"/>
          <w:highlight w:val="none"/>
        </w:rPr>
        <w:t>S</w:t>
      </w:r>
      <w:r>
        <w:rPr>
          <w:rFonts w:ascii="Times New Roman" w:hAnsi="Times New Roman" w:cs="Times New Roman"/>
          <w:color w:val="auto"/>
          <w:highlight w:val="none"/>
        </w:rPr>
        <w:t>——单位质量土壤中某种物质的预测值，g/kg。</w:t>
      </w:r>
    </w:p>
    <w:p w14:paraId="79B85E87">
      <w:pPr>
        <w:widowControl w:val="0"/>
        <w:overflowPunct w:val="0"/>
        <w:topLinePunct/>
        <w:spacing w:after="0"/>
        <w:ind w:firstLine="480"/>
        <w:rPr>
          <w:rFonts w:ascii="Times New Roman" w:hAnsi="Times New Roman" w:cs="Times New Roman"/>
          <w:color w:val="auto"/>
          <w:highlight w:val="none"/>
        </w:rPr>
      </w:pPr>
      <w:r>
        <w:rPr>
          <w:rFonts w:hint="eastAsia" w:cs="Times New Roman"/>
          <w:bCs/>
          <w:color w:val="auto"/>
          <w:highlight w:val="none"/>
          <w:lang w:eastAsia="zh-CN"/>
        </w:rPr>
        <w:t>（</w:t>
      </w:r>
      <w:r>
        <w:rPr>
          <w:rFonts w:hint="eastAsia" w:cs="Times New Roman"/>
          <w:bCs/>
          <w:color w:val="auto"/>
          <w:highlight w:val="none"/>
          <w:lang w:val="en-US" w:eastAsia="zh-CN"/>
        </w:rPr>
        <w:t>2）</w:t>
      </w:r>
      <w:r>
        <w:rPr>
          <w:rFonts w:ascii="Times New Roman" w:hAnsi="Times New Roman" w:cs="Times New Roman"/>
          <w:color w:val="auto"/>
          <w:highlight w:val="none"/>
        </w:rPr>
        <w:t>参数选取</w:t>
      </w:r>
    </w:p>
    <w:p w14:paraId="7594DF67">
      <w:pPr>
        <w:adjustRightInd w:val="0"/>
        <w:snapToGrid w:val="0"/>
        <w:ind w:firstLine="0" w:firstLineChars="0"/>
        <w:jc w:val="center"/>
        <w:rPr>
          <w:b/>
          <w:snapToGrid w:val="0"/>
          <w:color w:val="auto"/>
          <w:kern w:val="0"/>
          <w:highlight w:val="none"/>
        </w:rPr>
      </w:pPr>
      <w:r>
        <w:rPr>
          <w:b/>
          <w:snapToGrid w:val="0"/>
          <w:color w:val="auto"/>
          <w:kern w:val="0"/>
          <w:highlight w:val="none"/>
        </w:rPr>
        <w:t>表5.2-2</w:t>
      </w:r>
      <w:r>
        <w:rPr>
          <w:rFonts w:hint="eastAsia"/>
          <w:b/>
          <w:snapToGrid w:val="0"/>
          <w:color w:val="auto"/>
          <w:kern w:val="0"/>
          <w:highlight w:val="none"/>
          <w:lang w:val="en-US" w:eastAsia="zh-CN"/>
        </w:rPr>
        <w:t>9</w:t>
      </w:r>
      <w:r>
        <w:rPr>
          <w:b/>
          <w:snapToGrid w:val="0"/>
          <w:color w:val="auto"/>
          <w:kern w:val="0"/>
          <w:highlight w:val="none"/>
        </w:rPr>
        <w:t xml:space="preserve">    土壤环境影响预测参数选择</w:t>
      </w:r>
    </w:p>
    <w:tbl>
      <w:tblPr>
        <w:tblStyle w:val="14"/>
        <w:tblW w:w="829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778"/>
        <w:gridCol w:w="890"/>
        <w:gridCol w:w="1049"/>
        <w:gridCol w:w="4841"/>
      </w:tblGrid>
      <w:tr w14:paraId="262B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l2br w:val="nil"/>
              <w:tr2bl w:val="nil"/>
            </w:tcBorders>
            <w:vAlign w:val="center"/>
          </w:tcPr>
          <w:p w14:paraId="31926B32">
            <w:pPr>
              <w:spacing w:before="0" w:beforeAutospacing="0" w:line="240" w:lineRule="auto"/>
              <w:ind w:firstLine="0" w:firstLineChars="0"/>
              <w:jc w:val="center"/>
              <w:rPr>
                <w:b/>
                <w:bCs/>
                <w:color w:val="auto"/>
                <w:spacing w:val="-1"/>
                <w:sz w:val="21"/>
                <w:szCs w:val="21"/>
                <w:highlight w:val="none"/>
              </w:rPr>
            </w:pPr>
            <w:r>
              <w:rPr>
                <w:b/>
                <w:bCs/>
                <w:color w:val="auto"/>
                <w:spacing w:val="-1"/>
                <w:sz w:val="21"/>
                <w:szCs w:val="21"/>
                <w:highlight w:val="none"/>
              </w:rPr>
              <w:t>序号</w:t>
            </w:r>
          </w:p>
        </w:tc>
        <w:tc>
          <w:tcPr>
            <w:tcW w:w="778" w:type="dxa"/>
            <w:tcBorders>
              <w:tl2br w:val="nil"/>
              <w:tr2bl w:val="nil"/>
            </w:tcBorders>
            <w:vAlign w:val="center"/>
          </w:tcPr>
          <w:p w14:paraId="607F2480">
            <w:pPr>
              <w:spacing w:before="0" w:beforeAutospacing="0" w:line="240" w:lineRule="auto"/>
              <w:ind w:firstLine="0" w:firstLineChars="0"/>
              <w:jc w:val="center"/>
              <w:rPr>
                <w:b/>
                <w:bCs/>
                <w:color w:val="auto"/>
                <w:spacing w:val="-1"/>
                <w:sz w:val="21"/>
                <w:szCs w:val="21"/>
                <w:highlight w:val="none"/>
              </w:rPr>
            </w:pPr>
            <w:r>
              <w:rPr>
                <w:b/>
                <w:bCs/>
                <w:color w:val="auto"/>
                <w:spacing w:val="-1"/>
                <w:sz w:val="21"/>
                <w:szCs w:val="21"/>
                <w:highlight w:val="none"/>
              </w:rPr>
              <w:t>参数</w:t>
            </w:r>
          </w:p>
        </w:tc>
        <w:tc>
          <w:tcPr>
            <w:tcW w:w="890" w:type="dxa"/>
            <w:tcBorders>
              <w:tl2br w:val="nil"/>
              <w:tr2bl w:val="nil"/>
            </w:tcBorders>
            <w:vAlign w:val="center"/>
          </w:tcPr>
          <w:p w14:paraId="0D1BF34D">
            <w:pPr>
              <w:spacing w:before="0" w:beforeAutospacing="0" w:line="240" w:lineRule="auto"/>
              <w:ind w:firstLine="0" w:firstLineChars="0"/>
              <w:jc w:val="center"/>
              <w:rPr>
                <w:b/>
                <w:bCs/>
                <w:color w:val="auto"/>
                <w:spacing w:val="-1"/>
                <w:sz w:val="21"/>
                <w:szCs w:val="21"/>
                <w:highlight w:val="none"/>
              </w:rPr>
            </w:pPr>
            <w:r>
              <w:rPr>
                <w:b/>
                <w:bCs/>
                <w:color w:val="auto"/>
                <w:spacing w:val="-1"/>
                <w:sz w:val="21"/>
                <w:szCs w:val="21"/>
                <w:highlight w:val="none"/>
              </w:rPr>
              <w:t>单位</w:t>
            </w:r>
          </w:p>
        </w:tc>
        <w:tc>
          <w:tcPr>
            <w:tcW w:w="1049" w:type="dxa"/>
            <w:tcBorders>
              <w:tl2br w:val="nil"/>
              <w:tr2bl w:val="nil"/>
            </w:tcBorders>
            <w:vAlign w:val="center"/>
          </w:tcPr>
          <w:p w14:paraId="2AD56EC7">
            <w:pPr>
              <w:spacing w:before="0" w:beforeAutospacing="0" w:line="240" w:lineRule="auto"/>
              <w:ind w:firstLine="0" w:firstLineChars="0"/>
              <w:jc w:val="center"/>
              <w:rPr>
                <w:b/>
                <w:bCs/>
                <w:color w:val="auto"/>
                <w:spacing w:val="-1"/>
                <w:sz w:val="21"/>
                <w:szCs w:val="21"/>
                <w:highlight w:val="none"/>
              </w:rPr>
            </w:pPr>
            <w:r>
              <w:rPr>
                <w:b/>
                <w:bCs/>
                <w:color w:val="auto"/>
                <w:spacing w:val="-1"/>
                <w:sz w:val="21"/>
                <w:szCs w:val="21"/>
                <w:highlight w:val="none"/>
              </w:rPr>
              <w:t>取值</w:t>
            </w:r>
          </w:p>
        </w:tc>
        <w:tc>
          <w:tcPr>
            <w:tcW w:w="4841" w:type="dxa"/>
            <w:tcBorders>
              <w:tl2br w:val="nil"/>
              <w:tr2bl w:val="nil"/>
            </w:tcBorders>
            <w:vAlign w:val="center"/>
          </w:tcPr>
          <w:p w14:paraId="14BB72DD">
            <w:pPr>
              <w:spacing w:before="0" w:beforeAutospacing="0" w:line="240" w:lineRule="auto"/>
              <w:ind w:firstLine="0" w:firstLineChars="0"/>
              <w:jc w:val="center"/>
              <w:rPr>
                <w:b/>
                <w:bCs/>
                <w:color w:val="auto"/>
                <w:spacing w:val="-1"/>
                <w:sz w:val="21"/>
                <w:szCs w:val="21"/>
                <w:highlight w:val="none"/>
              </w:rPr>
            </w:pPr>
            <w:r>
              <w:rPr>
                <w:b/>
                <w:bCs/>
                <w:color w:val="auto"/>
                <w:spacing w:val="-1"/>
                <w:sz w:val="21"/>
                <w:szCs w:val="21"/>
                <w:highlight w:val="none"/>
              </w:rPr>
              <w:t>来源</w:t>
            </w:r>
          </w:p>
        </w:tc>
      </w:tr>
      <w:tr w14:paraId="0031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l2br w:val="nil"/>
              <w:tr2bl w:val="nil"/>
            </w:tcBorders>
            <w:vAlign w:val="center"/>
          </w:tcPr>
          <w:p w14:paraId="1E70253F">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1</w:t>
            </w:r>
          </w:p>
        </w:tc>
        <w:tc>
          <w:tcPr>
            <w:tcW w:w="778" w:type="dxa"/>
            <w:tcBorders>
              <w:tl2br w:val="nil"/>
              <w:tr2bl w:val="nil"/>
            </w:tcBorders>
            <w:vAlign w:val="center"/>
          </w:tcPr>
          <w:p w14:paraId="1F081161">
            <w:pPr>
              <w:spacing w:before="0" w:beforeAutospacing="0" w:line="240" w:lineRule="auto"/>
              <w:ind w:firstLine="0" w:firstLineChars="0"/>
              <w:jc w:val="center"/>
              <w:rPr>
                <w:color w:val="auto"/>
                <w:spacing w:val="-1"/>
                <w:sz w:val="21"/>
                <w:szCs w:val="21"/>
                <w:highlight w:val="none"/>
              </w:rPr>
            </w:pPr>
            <w:r>
              <w:rPr>
                <w:i/>
                <w:iCs/>
                <w:color w:val="auto"/>
                <w:spacing w:val="-1"/>
                <w:sz w:val="21"/>
                <w:szCs w:val="21"/>
                <w:highlight w:val="none"/>
              </w:rPr>
              <w:t>I</w:t>
            </w:r>
            <w:r>
              <w:rPr>
                <w:i/>
                <w:iCs/>
                <w:color w:val="auto"/>
                <w:spacing w:val="-1"/>
                <w:sz w:val="21"/>
                <w:szCs w:val="21"/>
                <w:highlight w:val="none"/>
                <w:vertAlign w:val="subscript"/>
              </w:rPr>
              <w:t>S</w:t>
            </w:r>
          </w:p>
        </w:tc>
        <w:tc>
          <w:tcPr>
            <w:tcW w:w="890" w:type="dxa"/>
            <w:tcBorders>
              <w:tl2br w:val="nil"/>
              <w:tr2bl w:val="nil"/>
            </w:tcBorders>
            <w:vAlign w:val="center"/>
          </w:tcPr>
          <w:p w14:paraId="7D904C8D">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g</w:t>
            </w:r>
          </w:p>
        </w:tc>
        <w:tc>
          <w:tcPr>
            <w:tcW w:w="1049" w:type="dxa"/>
            <w:tcBorders>
              <w:tl2br w:val="nil"/>
              <w:tr2bl w:val="nil"/>
            </w:tcBorders>
            <w:vAlign w:val="center"/>
          </w:tcPr>
          <w:p w14:paraId="63CBDFD9">
            <w:pPr>
              <w:spacing w:before="0" w:beforeAutospacing="0" w:line="240" w:lineRule="auto"/>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591.58</w:t>
            </w:r>
          </w:p>
        </w:tc>
        <w:tc>
          <w:tcPr>
            <w:tcW w:w="4841" w:type="dxa"/>
            <w:tcBorders>
              <w:tl2br w:val="nil"/>
              <w:tr2bl w:val="nil"/>
            </w:tcBorders>
            <w:vAlign w:val="center"/>
          </w:tcPr>
          <w:p w14:paraId="48B8F091">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尾矿中</w:t>
            </w:r>
            <w:r>
              <w:rPr>
                <w:rFonts w:hint="eastAsia"/>
                <w:color w:val="auto"/>
                <w:sz w:val="21"/>
                <w:szCs w:val="21"/>
                <w:highlight w:val="none"/>
                <w:lang w:eastAsia="zh-CN"/>
              </w:rPr>
              <w:t>镉</w:t>
            </w:r>
            <w:r>
              <w:rPr>
                <w:color w:val="auto"/>
                <w:spacing w:val="-1"/>
                <w:sz w:val="21"/>
                <w:szCs w:val="21"/>
                <w:highlight w:val="none"/>
              </w:rPr>
              <w:t>含量</w:t>
            </w:r>
            <w:r>
              <w:rPr>
                <w:rFonts w:hint="eastAsia"/>
                <w:color w:val="auto"/>
                <w:spacing w:val="-1"/>
                <w:sz w:val="21"/>
                <w:szCs w:val="21"/>
                <w:highlight w:val="none"/>
                <w:lang w:eastAsia="zh-CN"/>
              </w:rPr>
              <w:t>：</w:t>
            </w:r>
            <w:r>
              <w:rPr>
                <w:color w:val="auto"/>
                <w:spacing w:val="-1"/>
                <w:sz w:val="21"/>
                <w:szCs w:val="21"/>
                <w:highlight w:val="none"/>
              </w:rPr>
              <w:t>预测范围单位年份渗透量尾矿中</w:t>
            </w:r>
            <w:r>
              <w:rPr>
                <w:rFonts w:hint="eastAsia"/>
                <w:color w:val="auto"/>
                <w:sz w:val="21"/>
                <w:szCs w:val="21"/>
                <w:highlight w:val="none"/>
                <w:lang w:eastAsia="zh-CN"/>
              </w:rPr>
              <w:t>镉</w:t>
            </w:r>
            <w:r>
              <w:rPr>
                <w:color w:val="auto"/>
                <w:spacing w:val="-1"/>
                <w:sz w:val="21"/>
                <w:szCs w:val="21"/>
                <w:highlight w:val="none"/>
              </w:rPr>
              <w:t>含量</w:t>
            </w:r>
            <w:r>
              <w:rPr>
                <w:rFonts w:hint="eastAsia"/>
                <w:color w:val="auto"/>
                <w:spacing w:val="-1"/>
                <w:sz w:val="21"/>
                <w:szCs w:val="21"/>
                <w:highlight w:val="none"/>
                <w:lang w:val="en-US" w:eastAsia="zh-CN"/>
              </w:rPr>
              <w:t>0.0119</w:t>
            </w:r>
            <w:r>
              <w:rPr>
                <w:color w:val="auto"/>
                <w:spacing w:val="-1"/>
                <w:sz w:val="21"/>
                <w:szCs w:val="21"/>
                <w:highlight w:val="none"/>
              </w:rPr>
              <w:t>mg/L，每日渗水量按废水量的5%损耗率计算，全年365d</w:t>
            </w:r>
          </w:p>
        </w:tc>
      </w:tr>
      <w:tr w14:paraId="39BB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l2br w:val="nil"/>
              <w:tr2bl w:val="nil"/>
            </w:tcBorders>
            <w:vAlign w:val="center"/>
          </w:tcPr>
          <w:p w14:paraId="0B8EA1F9">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2</w:t>
            </w:r>
          </w:p>
        </w:tc>
        <w:tc>
          <w:tcPr>
            <w:tcW w:w="778" w:type="dxa"/>
            <w:tcBorders>
              <w:tl2br w:val="nil"/>
              <w:tr2bl w:val="nil"/>
            </w:tcBorders>
            <w:vAlign w:val="center"/>
          </w:tcPr>
          <w:p w14:paraId="73EEE06C">
            <w:pPr>
              <w:spacing w:before="0" w:beforeAutospacing="0" w:line="240" w:lineRule="auto"/>
              <w:ind w:firstLine="0" w:firstLineChars="0"/>
              <w:jc w:val="center"/>
              <w:rPr>
                <w:color w:val="auto"/>
                <w:spacing w:val="-1"/>
                <w:sz w:val="21"/>
                <w:szCs w:val="21"/>
                <w:highlight w:val="none"/>
              </w:rPr>
            </w:pPr>
            <w:r>
              <w:rPr>
                <w:i/>
                <w:iCs/>
                <w:color w:val="auto"/>
                <w:spacing w:val="-1"/>
                <w:sz w:val="21"/>
                <w:szCs w:val="21"/>
                <w:highlight w:val="none"/>
              </w:rPr>
              <w:t>L</w:t>
            </w:r>
            <w:r>
              <w:rPr>
                <w:i/>
                <w:iCs/>
                <w:color w:val="auto"/>
                <w:spacing w:val="-1"/>
                <w:sz w:val="21"/>
                <w:szCs w:val="21"/>
                <w:highlight w:val="none"/>
                <w:vertAlign w:val="subscript"/>
              </w:rPr>
              <w:t>S</w:t>
            </w:r>
          </w:p>
        </w:tc>
        <w:tc>
          <w:tcPr>
            <w:tcW w:w="890" w:type="dxa"/>
            <w:tcBorders>
              <w:tl2br w:val="nil"/>
              <w:tr2bl w:val="nil"/>
            </w:tcBorders>
            <w:vAlign w:val="center"/>
          </w:tcPr>
          <w:p w14:paraId="3A038B1A">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g</w:t>
            </w:r>
          </w:p>
        </w:tc>
        <w:tc>
          <w:tcPr>
            <w:tcW w:w="1049" w:type="dxa"/>
            <w:tcBorders>
              <w:tl2br w:val="nil"/>
              <w:tr2bl w:val="nil"/>
            </w:tcBorders>
            <w:vAlign w:val="center"/>
          </w:tcPr>
          <w:p w14:paraId="6B97A1E9">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0</w:t>
            </w:r>
          </w:p>
        </w:tc>
        <w:tc>
          <w:tcPr>
            <w:tcW w:w="4841" w:type="dxa"/>
            <w:tcBorders>
              <w:tl2br w:val="nil"/>
              <w:tr2bl w:val="nil"/>
            </w:tcBorders>
            <w:vAlign w:val="center"/>
          </w:tcPr>
          <w:p w14:paraId="4EAFAA1A">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按最不利情景，不考虑排出量</w:t>
            </w:r>
          </w:p>
        </w:tc>
      </w:tr>
      <w:tr w14:paraId="6C6C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l2br w:val="nil"/>
              <w:tr2bl w:val="nil"/>
            </w:tcBorders>
            <w:vAlign w:val="center"/>
          </w:tcPr>
          <w:p w14:paraId="7FE0916E">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3</w:t>
            </w:r>
          </w:p>
        </w:tc>
        <w:tc>
          <w:tcPr>
            <w:tcW w:w="778" w:type="dxa"/>
            <w:tcBorders>
              <w:tl2br w:val="nil"/>
              <w:tr2bl w:val="nil"/>
            </w:tcBorders>
            <w:vAlign w:val="center"/>
          </w:tcPr>
          <w:p w14:paraId="22AFF91E">
            <w:pPr>
              <w:spacing w:before="0" w:beforeAutospacing="0" w:line="240" w:lineRule="auto"/>
              <w:ind w:firstLine="0" w:firstLineChars="0"/>
              <w:jc w:val="center"/>
              <w:rPr>
                <w:color w:val="auto"/>
                <w:spacing w:val="-1"/>
                <w:sz w:val="21"/>
                <w:szCs w:val="21"/>
                <w:highlight w:val="none"/>
              </w:rPr>
            </w:pPr>
            <w:r>
              <w:rPr>
                <w:i/>
                <w:iCs/>
                <w:color w:val="auto"/>
                <w:spacing w:val="-1"/>
                <w:sz w:val="21"/>
                <w:szCs w:val="21"/>
                <w:highlight w:val="none"/>
              </w:rPr>
              <w:t>R</w:t>
            </w:r>
            <w:r>
              <w:rPr>
                <w:i/>
                <w:iCs/>
                <w:color w:val="auto"/>
                <w:spacing w:val="-1"/>
                <w:sz w:val="21"/>
                <w:szCs w:val="21"/>
                <w:highlight w:val="none"/>
                <w:vertAlign w:val="subscript"/>
              </w:rPr>
              <w:t>S</w:t>
            </w:r>
          </w:p>
        </w:tc>
        <w:tc>
          <w:tcPr>
            <w:tcW w:w="890" w:type="dxa"/>
            <w:tcBorders>
              <w:tl2br w:val="nil"/>
              <w:tr2bl w:val="nil"/>
            </w:tcBorders>
            <w:vAlign w:val="center"/>
          </w:tcPr>
          <w:p w14:paraId="7C6C9D98">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g</w:t>
            </w:r>
          </w:p>
        </w:tc>
        <w:tc>
          <w:tcPr>
            <w:tcW w:w="1049" w:type="dxa"/>
            <w:tcBorders>
              <w:tl2br w:val="nil"/>
              <w:tr2bl w:val="nil"/>
            </w:tcBorders>
            <w:vAlign w:val="center"/>
          </w:tcPr>
          <w:p w14:paraId="40983A23">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0</w:t>
            </w:r>
          </w:p>
        </w:tc>
        <w:tc>
          <w:tcPr>
            <w:tcW w:w="4841" w:type="dxa"/>
            <w:tcBorders>
              <w:tl2br w:val="nil"/>
              <w:tr2bl w:val="nil"/>
            </w:tcBorders>
            <w:vAlign w:val="center"/>
          </w:tcPr>
          <w:p w14:paraId="4FC97D6F">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按最不利情景，不考虑排出量</w:t>
            </w:r>
          </w:p>
        </w:tc>
      </w:tr>
      <w:tr w14:paraId="3C12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l2br w:val="nil"/>
              <w:tr2bl w:val="nil"/>
            </w:tcBorders>
            <w:vAlign w:val="center"/>
          </w:tcPr>
          <w:p w14:paraId="30760114">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4</w:t>
            </w:r>
          </w:p>
        </w:tc>
        <w:tc>
          <w:tcPr>
            <w:tcW w:w="778" w:type="dxa"/>
            <w:tcBorders>
              <w:tl2br w:val="nil"/>
              <w:tr2bl w:val="nil"/>
            </w:tcBorders>
            <w:vAlign w:val="center"/>
          </w:tcPr>
          <w:p w14:paraId="3467C360">
            <w:pPr>
              <w:spacing w:before="0" w:beforeAutospacing="0" w:line="240" w:lineRule="auto"/>
              <w:ind w:firstLine="0" w:firstLineChars="0"/>
              <w:jc w:val="center"/>
              <w:rPr>
                <w:color w:val="auto"/>
                <w:spacing w:val="-1"/>
                <w:sz w:val="21"/>
                <w:szCs w:val="21"/>
                <w:highlight w:val="none"/>
              </w:rPr>
            </w:pPr>
            <w:r>
              <w:rPr>
                <w:i/>
                <w:iCs/>
                <w:color w:val="auto"/>
                <w:spacing w:val="-1"/>
                <w:sz w:val="21"/>
                <w:szCs w:val="21"/>
                <w:highlight w:val="none"/>
              </w:rPr>
              <w:t>ρ</w:t>
            </w:r>
            <w:r>
              <w:rPr>
                <w:i/>
                <w:iCs/>
                <w:color w:val="auto"/>
                <w:spacing w:val="-1"/>
                <w:sz w:val="21"/>
                <w:szCs w:val="21"/>
                <w:highlight w:val="none"/>
                <w:vertAlign w:val="subscript"/>
              </w:rPr>
              <w:t>b</w:t>
            </w:r>
          </w:p>
        </w:tc>
        <w:tc>
          <w:tcPr>
            <w:tcW w:w="890" w:type="dxa"/>
            <w:tcBorders>
              <w:tl2br w:val="nil"/>
              <w:tr2bl w:val="nil"/>
            </w:tcBorders>
            <w:vAlign w:val="center"/>
          </w:tcPr>
          <w:p w14:paraId="521FE85D">
            <w:pPr>
              <w:spacing w:before="0" w:beforeAutospacing="0" w:line="240" w:lineRule="auto"/>
              <w:ind w:firstLine="0" w:firstLineChars="0"/>
              <w:jc w:val="center"/>
              <w:rPr>
                <w:color w:val="auto"/>
                <w:spacing w:val="-1"/>
                <w:sz w:val="21"/>
                <w:szCs w:val="21"/>
                <w:highlight w:val="none"/>
              </w:rPr>
            </w:pPr>
            <w:r>
              <w:rPr>
                <w:color w:val="auto"/>
                <w:sz w:val="21"/>
                <w:szCs w:val="21"/>
                <w:highlight w:val="none"/>
              </w:rPr>
              <w:t>kg/m</w:t>
            </w:r>
            <w:r>
              <w:rPr>
                <w:color w:val="auto"/>
                <w:sz w:val="21"/>
                <w:szCs w:val="21"/>
                <w:highlight w:val="none"/>
                <w:vertAlign w:val="superscript"/>
              </w:rPr>
              <w:t>3</w:t>
            </w:r>
          </w:p>
        </w:tc>
        <w:tc>
          <w:tcPr>
            <w:tcW w:w="1049" w:type="dxa"/>
            <w:tcBorders>
              <w:tl2br w:val="nil"/>
              <w:tr2bl w:val="nil"/>
            </w:tcBorders>
            <w:vAlign w:val="center"/>
          </w:tcPr>
          <w:p w14:paraId="45C28F62">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1400</w:t>
            </w:r>
          </w:p>
        </w:tc>
        <w:tc>
          <w:tcPr>
            <w:tcW w:w="4841" w:type="dxa"/>
            <w:tcBorders>
              <w:tl2br w:val="nil"/>
              <w:tr2bl w:val="nil"/>
            </w:tcBorders>
            <w:vAlign w:val="center"/>
          </w:tcPr>
          <w:p w14:paraId="2347EEE2">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新疆盐渍化土壤容重在1.3-1.4g/cm</w:t>
            </w:r>
            <w:r>
              <w:rPr>
                <w:color w:val="auto"/>
                <w:spacing w:val="-1"/>
                <w:sz w:val="21"/>
                <w:szCs w:val="21"/>
                <w:highlight w:val="none"/>
                <w:vertAlign w:val="superscript"/>
              </w:rPr>
              <w:t>3</w:t>
            </w:r>
          </w:p>
        </w:tc>
      </w:tr>
      <w:tr w14:paraId="059B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l2br w:val="nil"/>
              <w:tr2bl w:val="nil"/>
            </w:tcBorders>
            <w:vAlign w:val="center"/>
          </w:tcPr>
          <w:p w14:paraId="725FA590">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5</w:t>
            </w:r>
          </w:p>
        </w:tc>
        <w:tc>
          <w:tcPr>
            <w:tcW w:w="778" w:type="dxa"/>
            <w:tcBorders>
              <w:tl2br w:val="nil"/>
              <w:tr2bl w:val="nil"/>
            </w:tcBorders>
            <w:vAlign w:val="center"/>
          </w:tcPr>
          <w:p w14:paraId="0C223210">
            <w:pPr>
              <w:spacing w:before="0" w:beforeAutospacing="0" w:line="240" w:lineRule="auto"/>
              <w:ind w:firstLine="0" w:firstLineChars="0"/>
              <w:jc w:val="center"/>
              <w:rPr>
                <w:i/>
                <w:iCs/>
                <w:color w:val="auto"/>
                <w:spacing w:val="-1"/>
                <w:sz w:val="21"/>
                <w:szCs w:val="21"/>
                <w:highlight w:val="none"/>
              </w:rPr>
            </w:pPr>
            <w:r>
              <w:rPr>
                <w:i/>
                <w:iCs/>
                <w:color w:val="auto"/>
                <w:spacing w:val="-1"/>
                <w:sz w:val="21"/>
                <w:szCs w:val="21"/>
                <w:highlight w:val="none"/>
              </w:rPr>
              <w:t>A</w:t>
            </w:r>
          </w:p>
        </w:tc>
        <w:tc>
          <w:tcPr>
            <w:tcW w:w="890" w:type="dxa"/>
            <w:tcBorders>
              <w:tl2br w:val="nil"/>
              <w:tr2bl w:val="nil"/>
            </w:tcBorders>
            <w:vAlign w:val="center"/>
          </w:tcPr>
          <w:p w14:paraId="54D95100">
            <w:pPr>
              <w:spacing w:before="0" w:beforeAutospacing="0" w:line="240" w:lineRule="auto"/>
              <w:ind w:firstLine="0" w:firstLineChars="0"/>
              <w:jc w:val="center"/>
              <w:rPr>
                <w:color w:val="auto"/>
                <w:spacing w:val="-1"/>
                <w:sz w:val="21"/>
                <w:szCs w:val="21"/>
                <w:highlight w:val="none"/>
              </w:rPr>
            </w:pPr>
            <w:r>
              <w:rPr>
                <w:color w:val="auto"/>
                <w:sz w:val="21"/>
                <w:szCs w:val="21"/>
                <w:highlight w:val="none"/>
              </w:rPr>
              <w:t>m</w:t>
            </w:r>
            <w:r>
              <w:rPr>
                <w:color w:val="auto"/>
                <w:sz w:val="21"/>
                <w:szCs w:val="21"/>
                <w:highlight w:val="none"/>
                <w:vertAlign w:val="superscript"/>
              </w:rPr>
              <w:t>2</w:t>
            </w:r>
          </w:p>
        </w:tc>
        <w:tc>
          <w:tcPr>
            <w:tcW w:w="1049" w:type="dxa"/>
            <w:tcBorders>
              <w:tl2br w:val="nil"/>
              <w:tr2bl w:val="nil"/>
            </w:tcBorders>
            <w:vAlign w:val="center"/>
          </w:tcPr>
          <w:p w14:paraId="2ABB8230">
            <w:pPr>
              <w:spacing w:before="0" w:beforeAutospacing="0" w:line="240" w:lineRule="auto"/>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1534556</w:t>
            </w:r>
          </w:p>
        </w:tc>
        <w:tc>
          <w:tcPr>
            <w:tcW w:w="4841" w:type="dxa"/>
            <w:tcBorders>
              <w:tl2br w:val="nil"/>
              <w:tr2bl w:val="nil"/>
            </w:tcBorders>
            <w:vAlign w:val="center"/>
          </w:tcPr>
          <w:p w14:paraId="656F46D3">
            <w:pPr>
              <w:spacing w:before="0" w:beforeAutospacing="0" w:line="240" w:lineRule="auto"/>
              <w:ind w:firstLine="0" w:firstLineChars="0"/>
              <w:jc w:val="center"/>
              <w:rPr>
                <w:color w:val="auto"/>
                <w:spacing w:val="-1"/>
                <w:sz w:val="21"/>
                <w:szCs w:val="21"/>
                <w:highlight w:val="none"/>
              </w:rPr>
            </w:pPr>
            <w:r>
              <w:rPr>
                <w:rFonts w:hint="eastAsia"/>
                <w:color w:val="auto"/>
                <w:spacing w:val="-1"/>
                <w:sz w:val="21"/>
                <w:szCs w:val="21"/>
                <w:highlight w:val="none"/>
                <w:lang w:eastAsia="zh-CN"/>
              </w:rPr>
              <w:t>尾矿库</w:t>
            </w:r>
            <w:r>
              <w:rPr>
                <w:color w:val="auto"/>
                <w:spacing w:val="-1"/>
                <w:sz w:val="21"/>
                <w:szCs w:val="21"/>
                <w:highlight w:val="none"/>
              </w:rPr>
              <w:t>工程</w:t>
            </w:r>
            <w:r>
              <w:rPr>
                <w:rFonts w:hint="eastAsia"/>
                <w:color w:val="auto"/>
                <w:spacing w:val="-1"/>
                <w:sz w:val="21"/>
                <w:szCs w:val="21"/>
                <w:highlight w:val="none"/>
                <w:lang w:val="en-US" w:eastAsia="zh-CN"/>
              </w:rPr>
              <w:t>土壤评价</w:t>
            </w:r>
            <w:r>
              <w:rPr>
                <w:color w:val="auto"/>
                <w:spacing w:val="-1"/>
                <w:sz w:val="21"/>
                <w:szCs w:val="21"/>
                <w:highlight w:val="none"/>
              </w:rPr>
              <w:t>范围</w:t>
            </w:r>
          </w:p>
        </w:tc>
      </w:tr>
      <w:tr w14:paraId="37A2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l2br w:val="nil"/>
              <w:tr2bl w:val="nil"/>
            </w:tcBorders>
            <w:vAlign w:val="center"/>
          </w:tcPr>
          <w:p w14:paraId="1EA84377">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6</w:t>
            </w:r>
          </w:p>
        </w:tc>
        <w:tc>
          <w:tcPr>
            <w:tcW w:w="778" w:type="dxa"/>
            <w:tcBorders>
              <w:tl2br w:val="nil"/>
              <w:tr2bl w:val="nil"/>
            </w:tcBorders>
            <w:vAlign w:val="center"/>
          </w:tcPr>
          <w:p w14:paraId="74F9B11A">
            <w:pPr>
              <w:spacing w:before="0" w:beforeAutospacing="0" w:line="240" w:lineRule="auto"/>
              <w:ind w:firstLine="0" w:firstLineChars="0"/>
              <w:jc w:val="center"/>
              <w:rPr>
                <w:i/>
                <w:iCs/>
                <w:color w:val="auto"/>
                <w:spacing w:val="-1"/>
                <w:sz w:val="21"/>
                <w:szCs w:val="21"/>
                <w:highlight w:val="none"/>
              </w:rPr>
            </w:pPr>
            <w:r>
              <w:rPr>
                <w:i/>
                <w:iCs/>
                <w:color w:val="auto"/>
                <w:spacing w:val="-1"/>
                <w:sz w:val="21"/>
                <w:szCs w:val="21"/>
                <w:highlight w:val="none"/>
              </w:rPr>
              <w:t>D</w:t>
            </w:r>
          </w:p>
        </w:tc>
        <w:tc>
          <w:tcPr>
            <w:tcW w:w="890" w:type="dxa"/>
            <w:tcBorders>
              <w:tl2br w:val="nil"/>
              <w:tr2bl w:val="nil"/>
            </w:tcBorders>
            <w:vAlign w:val="center"/>
          </w:tcPr>
          <w:p w14:paraId="3FD401DB">
            <w:pPr>
              <w:spacing w:before="0" w:beforeAutospacing="0" w:line="240" w:lineRule="auto"/>
              <w:ind w:firstLine="0" w:firstLineChars="0"/>
              <w:jc w:val="center"/>
              <w:rPr>
                <w:color w:val="auto"/>
                <w:spacing w:val="-1"/>
                <w:sz w:val="21"/>
                <w:szCs w:val="21"/>
                <w:highlight w:val="none"/>
              </w:rPr>
            </w:pPr>
            <w:r>
              <w:rPr>
                <w:color w:val="auto"/>
                <w:sz w:val="21"/>
                <w:szCs w:val="21"/>
                <w:highlight w:val="none"/>
              </w:rPr>
              <w:t>m</w:t>
            </w:r>
          </w:p>
        </w:tc>
        <w:tc>
          <w:tcPr>
            <w:tcW w:w="1049" w:type="dxa"/>
            <w:tcBorders>
              <w:tl2br w:val="nil"/>
              <w:tr2bl w:val="nil"/>
            </w:tcBorders>
            <w:vAlign w:val="center"/>
          </w:tcPr>
          <w:p w14:paraId="1E4EDC8D">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0.2</w:t>
            </w:r>
          </w:p>
        </w:tc>
        <w:tc>
          <w:tcPr>
            <w:tcW w:w="4841" w:type="dxa"/>
            <w:tcBorders>
              <w:tl2br w:val="nil"/>
              <w:tr2bl w:val="nil"/>
            </w:tcBorders>
            <w:vAlign w:val="center"/>
          </w:tcPr>
          <w:p w14:paraId="64B0B8E4">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一般取值</w:t>
            </w:r>
          </w:p>
        </w:tc>
      </w:tr>
      <w:tr w14:paraId="0A30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l2br w:val="nil"/>
              <w:tr2bl w:val="nil"/>
            </w:tcBorders>
            <w:vAlign w:val="center"/>
          </w:tcPr>
          <w:p w14:paraId="5B43B3D6">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7</w:t>
            </w:r>
          </w:p>
        </w:tc>
        <w:tc>
          <w:tcPr>
            <w:tcW w:w="778" w:type="dxa"/>
            <w:tcBorders>
              <w:tl2br w:val="nil"/>
              <w:tr2bl w:val="nil"/>
            </w:tcBorders>
            <w:vAlign w:val="center"/>
          </w:tcPr>
          <w:p w14:paraId="0BC5A76C">
            <w:pPr>
              <w:spacing w:before="0" w:beforeAutospacing="0" w:line="240" w:lineRule="auto"/>
              <w:ind w:firstLine="0" w:firstLineChars="0"/>
              <w:jc w:val="center"/>
              <w:rPr>
                <w:color w:val="auto"/>
                <w:spacing w:val="-1"/>
                <w:sz w:val="21"/>
                <w:szCs w:val="21"/>
                <w:highlight w:val="none"/>
              </w:rPr>
            </w:pPr>
            <w:r>
              <w:rPr>
                <w:i/>
                <w:iCs/>
                <w:color w:val="auto"/>
                <w:spacing w:val="-1"/>
                <w:sz w:val="21"/>
                <w:szCs w:val="21"/>
                <w:highlight w:val="none"/>
              </w:rPr>
              <w:t>S</w:t>
            </w:r>
            <w:r>
              <w:rPr>
                <w:i/>
                <w:iCs/>
                <w:color w:val="auto"/>
                <w:spacing w:val="-1"/>
                <w:sz w:val="21"/>
                <w:szCs w:val="21"/>
                <w:highlight w:val="none"/>
                <w:vertAlign w:val="subscript"/>
              </w:rPr>
              <w:t>b</w:t>
            </w:r>
          </w:p>
        </w:tc>
        <w:tc>
          <w:tcPr>
            <w:tcW w:w="890" w:type="dxa"/>
            <w:tcBorders>
              <w:tl2br w:val="nil"/>
              <w:tr2bl w:val="nil"/>
            </w:tcBorders>
            <w:vAlign w:val="center"/>
          </w:tcPr>
          <w:p w14:paraId="706DF88F">
            <w:pPr>
              <w:spacing w:before="0" w:beforeAutospacing="0" w:line="240" w:lineRule="auto"/>
              <w:ind w:firstLine="0" w:firstLineChars="0"/>
              <w:jc w:val="center"/>
              <w:rPr>
                <w:color w:val="auto"/>
                <w:spacing w:val="-1"/>
                <w:sz w:val="21"/>
                <w:szCs w:val="21"/>
                <w:highlight w:val="none"/>
              </w:rPr>
            </w:pPr>
            <w:r>
              <w:rPr>
                <w:rFonts w:hint="eastAsia"/>
                <w:color w:val="auto"/>
                <w:sz w:val="21"/>
                <w:szCs w:val="21"/>
                <w:highlight w:val="none"/>
                <w:lang w:val="en-US" w:eastAsia="zh-CN"/>
              </w:rPr>
              <w:t>m</w:t>
            </w:r>
            <w:r>
              <w:rPr>
                <w:color w:val="auto"/>
                <w:sz w:val="21"/>
                <w:szCs w:val="21"/>
                <w:highlight w:val="none"/>
              </w:rPr>
              <w:t>g/kg</w:t>
            </w:r>
          </w:p>
        </w:tc>
        <w:tc>
          <w:tcPr>
            <w:tcW w:w="1049" w:type="dxa"/>
            <w:tcBorders>
              <w:tl2br w:val="nil"/>
              <w:tr2bl w:val="nil"/>
            </w:tcBorders>
            <w:vAlign w:val="center"/>
          </w:tcPr>
          <w:p w14:paraId="3C350874">
            <w:pPr>
              <w:spacing w:before="0" w:beforeAutospacing="0" w:line="240" w:lineRule="auto"/>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rPr>
              <w:t>0.</w:t>
            </w:r>
            <w:r>
              <w:rPr>
                <w:rFonts w:hint="eastAsia"/>
                <w:color w:val="auto"/>
                <w:spacing w:val="-1"/>
                <w:sz w:val="21"/>
                <w:szCs w:val="21"/>
                <w:highlight w:val="none"/>
                <w:lang w:val="en-US" w:eastAsia="zh-CN"/>
              </w:rPr>
              <w:t>29</w:t>
            </w:r>
          </w:p>
        </w:tc>
        <w:tc>
          <w:tcPr>
            <w:tcW w:w="4841" w:type="dxa"/>
            <w:tcBorders>
              <w:tl2br w:val="nil"/>
              <w:tr2bl w:val="nil"/>
            </w:tcBorders>
            <w:vAlign w:val="center"/>
          </w:tcPr>
          <w:p w14:paraId="58427E5C">
            <w:pPr>
              <w:spacing w:before="0" w:beforeAutospacing="0" w:line="240" w:lineRule="auto"/>
              <w:ind w:firstLine="0" w:firstLineChars="0"/>
              <w:jc w:val="center"/>
              <w:rPr>
                <w:color w:val="auto"/>
                <w:spacing w:val="-1"/>
                <w:sz w:val="21"/>
                <w:szCs w:val="21"/>
                <w:highlight w:val="none"/>
              </w:rPr>
            </w:pPr>
            <w:r>
              <w:rPr>
                <w:color w:val="auto"/>
                <w:spacing w:val="-1"/>
                <w:sz w:val="21"/>
                <w:szCs w:val="21"/>
                <w:highlight w:val="none"/>
              </w:rPr>
              <w:t>/</w:t>
            </w:r>
          </w:p>
        </w:tc>
      </w:tr>
    </w:tbl>
    <w:p w14:paraId="5C06FBDF">
      <w:pPr>
        <w:widowControl w:val="0"/>
        <w:overflowPunct w:val="0"/>
        <w:topLinePunct/>
        <w:spacing w:after="0"/>
        <w:ind w:firstLine="480"/>
        <w:jc w:val="both"/>
        <w:rPr>
          <w:rFonts w:ascii="Times New Roman" w:hAnsi="Times New Roman" w:cs="Times New Roman"/>
          <w:color w:val="auto"/>
          <w:highlight w:val="none"/>
        </w:rPr>
      </w:pPr>
      <w:r>
        <w:rPr>
          <w:rFonts w:hint="eastAsia" w:cs="Times New Roman"/>
          <w:bCs/>
          <w:color w:val="auto"/>
          <w:highlight w:val="none"/>
          <w:lang w:eastAsia="zh-CN"/>
        </w:rPr>
        <w:t>（</w:t>
      </w:r>
      <w:r>
        <w:rPr>
          <w:rFonts w:hint="eastAsia" w:cs="Times New Roman"/>
          <w:bCs/>
          <w:color w:val="auto"/>
          <w:highlight w:val="none"/>
          <w:lang w:val="en-US" w:eastAsia="zh-CN"/>
        </w:rPr>
        <w:t>3）</w:t>
      </w:r>
      <w:r>
        <w:rPr>
          <w:rFonts w:ascii="Times New Roman" w:hAnsi="Times New Roman" w:cs="Times New Roman"/>
          <w:color w:val="auto"/>
          <w:highlight w:val="none"/>
        </w:rPr>
        <w:t>预测结果</w:t>
      </w:r>
    </w:p>
    <w:p w14:paraId="1F030376">
      <w:pPr>
        <w:widowControl w:val="0"/>
        <w:overflowPunct w:val="0"/>
        <w:topLinePunct/>
        <w:spacing w:after="0"/>
        <w:ind w:firstLine="480"/>
        <w:jc w:val="both"/>
        <w:rPr>
          <w:rFonts w:ascii="Times New Roman" w:hAnsi="Times New Roman" w:cs="Times New Roman"/>
          <w:color w:val="auto"/>
          <w:highlight w:val="none"/>
        </w:rPr>
      </w:pPr>
      <w:r>
        <w:rPr>
          <w:rFonts w:hint="eastAsia" w:ascii="Times New Roman" w:hAnsi="Times New Roman" w:cs="Times New Roman"/>
          <w:color w:val="auto"/>
          <w:highlight w:val="none"/>
        </w:rPr>
        <w:t>尾矿渗滤液</w:t>
      </w:r>
      <w:r>
        <w:rPr>
          <w:rFonts w:ascii="Times New Roman" w:hAnsi="Times New Roman" w:cs="Times New Roman"/>
          <w:color w:val="auto"/>
          <w:highlight w:val="none"/>
        </w:rPr>
        <w:t>中</w:t>
      </w:r>
      <w:r>
        <w:rPr>
          <w:rFonts w:hint="eastAsia" w:ascii="Times New Roman" w:hAnsi="Times New Roman" w:cs="Times New Roman"/>
          <w:color w:val="auto"/>
          <w:highlight w:val="none"/>
          <w:lang w:eastAsia="zh-CN"/>
        </w:rPr>
        <w:t>镉</w:t>
      </w:r>
      <w:r>
        <w:rPr>
          <w:rFonts w:ascii="Times New Roman" w:hAnsi="Times New Roman" w:cs="Times New Roman"/>
          <w:color w:val="auto"/>
          <w:highlight w:val="none"/>
        </w:rPr>
        <w:t>通过入渗途径的土壤影响预测结果，见表5.2-</w:t>
      </w:r>
      <w:r>
        <w:rPr>
          <w:rFonts w:hint="eastAsia" w:cs="Times New Roman"/>
          <w:color w:val="auto"/>
          <w:highlight w:val="none"/>
          <w:lang w:val="en-US" w:eastAsia="zh-CN"/>
        </w:rPr>
        <w:t>30</w:t>
      </w:r>
      <w:r>
        <w:rPr>
          <w:rFonts w:ascii="Times New Roman" w:hAnsi="Times New Roman" w:cs="Times New Roman"/>
          <w:color w:val="auto"/>
          <w:highlight w:val="none"/>
        </w:rPr>
        <w:t>。</w:t>
      </w:r>
    </w:p>
    <w:p w14:paraId="45C32F1E">
      <w:pPr>
        <w:adjustRightInd w:val="0"/>
        <w:snapToGrid w:val="0"/>
        <w:ind w:firstLine="0" w:firstLineChars="0"/>
        <w:jc w:val="center"/>
        <w:rPr>
          <w:b/>
          <w:snapToGrid w:val="0"/>
          <w:color w:val="auto"/>
          <w:kern w:val="0"/>
          <w:highlight w:val="none"/>
        </w:rPr>
      </w:pPr>
      <w:r>
        <w:rPr>
          <w:b/>
          <w:snapToGrid w:val="0"/>
          <w:color w:val="auto"/>
          <w:kern w:val="0"/>
          <w:highlight w:val="none"/>
        </w:rPr>
        <w:t>表5.2-</w:t>
      </w:r>
      <w:r>
        <w:rPr>
          <w:rFonts w:hint="eastAsia"/>
          <w:b/>
          <w:snapToGrid w:val="0"/>
          <w:color w:val="auto"/>
          <w:kern w:val="0"/>
          <w:highlight w:val="none"/>
          <w:lang w:val="en-US" w:eastAsia="zh-CN"/>
        </w:rPr>
        <w:t>30</w:t>
      </w:r>
      <w:r>
        <w:rPr>
          <w:b/>
          <w:snapToGrid w:val="0"/>
          <w:color w:val="auto"/>
          <w:kern w:val="0"/>
          <w:highlight w:val="none"/>
        </w:rPr>
        <w:t xml:space="preserve">    预测结果</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4266"/>
        <w:gridCol w:w="3208"/>
      </w:tblGrid>
      <w:tr w14:paraId="332B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trPr>
        <w:tc>
          <w:tcPr>
            <w:tcW w:w="613" w:type="pct"/>
            <w:tcBorders>
              <w:tl2br w:val="nil"/>
              <w:tr2bl w:val="nil"/>
            </w:tcBorders>
          </w:tcPr>
          <w:p w14:paraId="7690A427">
            <w:pPr>
              <w:spacing w:before="0" w:beforeAutospacing="0" w:line="360" w:lineRule="exact"/>
              <w:ind w:firstLine="0" w:firstLineChars="0"/>
              <w:jc w:val="center"/>
              <w:rPr>
                <w:b/>
                <w:bCs/>
                <w:color w:val="auto"/>
                <w:spacing w:val="-1"/>
                <w:sz w:val="21"/>
                <w:szCs w:val="21"/>
                <w:highlight w:val="none"/>
              </w:rPr>
            </w:pPr>
            <w:r>
              <w:rPr>
                <w:b/>
                <w:bCs/>
                <w:color w:val="auto"/>
                <w:spacing w:val="-1"/>
                <w:sz w:val="21"/>
                <w:szCs w:val="21"/>
                <w:highlight w:val="none"/>
              </w:rPr>
              <w:t>年份</w:t>
            </w:r>
          </w:p>
        </w:tc>
        <w:tc>
          <w:tcPr>
            <w:tcW w:w="2503" w:type="pct"/>
            <w:tcBorders>
              <w:tl2br w:val="nil"/>
              <w:tr2bl w:val="nil"/>
            </w:tcBorders>
          </w:tcPr>
          <w:p w14:paraId="09F6C5A7">
            <w:pPr>
              <w:spacing w:before="0" w:beforeAutospacing="0" w:line="360" w:lineRule="exact"/>
              <w:ind w:firstLine="0" w:firstLineChars="0"/>
              <w:jc w:val="center"/>
              <w:rPr>
                <w:b/>
                <w:bCs/>
                <w:color w:val="auto"/>
                <w:spacing w:val="-1"/>
                <w:sz w:val="21"/>
                <w:szCs w:val="21"/>
                <w:highlight w:val="none"/>
              </w:rPr>
            </w:pPr>
            <w:r>
              <w:rPr>
                <w:b/>
                <w:bCs/>
                <w:color w:val="auto"/>
                <w:spacing w:val="-1"/>
                <w:sz w:val="21"/>
                <w:szCs w:val="21"/>
                <w:highlight w:val="none"/>
              </w:rPr>
              <w:t>单位质量表层土壤中</w:t>
            </w:r>
            <w:r>
              <w:rPr>
                <w:rFonts w:hint="eastAsia"/>
                <w:b/>
                <w:bCs/>
                <w:color w:val="auto"/>
                <w:spacing w:val="-1"/>
                <w:sz w:val="21"/>
                <w:szCs w:val="21"/>
                <w:highlight w:val="none"/>
                <w:lang w:eastAsia="zh-CN"/>
              </w:rPr>
              <w:t>镉</w:t>
            </w:r>
            <w:r>
              <w:rPr>
                <w:b/>
                <w:bCs/>
                <w:color w:val="auto"/>
                <w:spacing w:val="-1"/>
                <w:sz w:val="21"/>
                <w:szCs w:val="21"/>
                <w:highlight w:val="none"/>
              </w:rPr>
              <w:t>的预测值（mg/kg）</w:t>
            </w:r>
          </w:p>
        </w:tc>
        <w:tc>
          <w:tcPr>
            <w:tcW w:w="1882" w:type="pct"/>
            <w:tcBorders>
              <w:tl2br w:val="nil"/>
              <w:tr2bl w:val="nil"/>
            </w:tcBorders>
          </w:tcPr>
          <w:p w14:paraId="09EBEA13">
            <w:pPr>
              <w:spacing w:before="0" w:beforeAutospacing="0" w:line="360" w:lineRule="exact"/>
              <w:ind w:firstLine="0" w:firstLineChars="0"/>
              <w:jc w:val="center"/>
              <w:rPr>
                <w:b/>
                <w:bCs/>
                <w:color w:val="auto"/>
                <w:spacing w:val="-1"/>
                <w:sz w:val="21"/>
                <w:szCs w:val="21"/>
                <w:highlight w:val="none"/>
              </w:rPr>
            </w:pPr>
            <w:r>
              <w:rPr>
                <w:rFonts w:hint="eastAsia"/>
                <w:b/>
                <w:bCs/>
                <w:color w:val="auto"/>
                <w:spacing w:val="-1"/>
                <w:sz w:val="21"/>
                <w:szCs w:val="21"/>
                <w:highlight w:val="none"/>
              </w:rPr>
              <w:t>预测结果（mg/kg）</w:t>
            </w:r>
          </w:p>
        </w:tc>
      </w:tr>
      <w:tr w14:paraId="778D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Borders>
              <w:tl2br w:val="nil"/>
              <w:tr2bl w:val="nil"/>
            </w:tcBorders>
          </w:tcPr>
          <w:p w14:paraId="4417560D">
            <w:pPr>
              <w:spacing w:before="0" w:beforeAutospacing="0" w:line="360" w:lineRule="exact"/>
              <w:ind w:firstLine="0" w:firstLineChars="0"/>
              <w:jc w:val="center"/>
              <w:rPr>
                <w:color w:val="auto"/>
                <w:spacing w:val="-1"/>
                <w:sz w:val="21"/>
                <w:szCs w:val="21"/>
                <w:highlight w:val="none"/>
              </w:rPr>
            </w:pPr>
            <w:r>
              <w:rPr>
                <w:color w:val="auto"/>
                <w:spacing w:val="-1"/>
                <w:sz w:val="21"/>
                <w:szCs w:val="21"/>
                <w:highlight w:val="none"/>
              </w:rPr>
              <w:t>1</w:t>
            </w:r>
          </w:p>
        </w:tc>
        <w:tc>
          <w:tcPr>
            <w:tcW w:w="2503" w:type="pct"/>
            <w:tcBorders>
              <w:tl2br w:val="nil"/>
              <w:tr2bl w:val="nil"/>
            </w:tcBorders>
          </w:tcPr>
          <w:p w14:paraId="67B50368">
            <w:pPr>
              <w:spacing w:before="0" w:beforeAutospacing="0" w:line="360" w:lineRule="exact"/>
              <w:ind w:firstLine="0" w:firstLineChars="0"/>
              <w:jc w:val="center"/>
              <w:rPr>
                <w:color w:val="auto"/>
                <w:spacing w:val="-1"/>
                <w:sz w:val="21"/>
                <w:szCs w:val="21"/>
                <w:highlight w:val="none"/>
              </w:rPr>
            </w:pPr>
            <w:r>
              <w:rPr>
                <w:rFonts w:hint="eastAsia"/>
                <w:color w:val="auto"/>
                <w:spacing w:val="-1"/>
                <w:sz w:val="21"/>
                <w:szCs w:val="21"/>
                <w:highlight w:val="none"/>
              </w:rPr>
              <w:t>0.</w:t>
            </w:r>
            <w:r>
              <w:rPr>
                <w:rFonts w:hint="eastAsia"/>
                <w:color w:val="auto"/>
                <w:spacing w:val="-1"/>
                <w:sz w:val="21"/>
                <w:szCs w:val="21"/>
                <w:highlight w:val="none"/>
                <w:lang w:val="en-US" w:eastAsia="zh-CN"/>
              </w:rPr>
              <w:t>29</w:t>
            </w:r>
            <w:r>
              <w:rPr>
                <w:color w:val="auto"/>
                <w:spacing w:val="-1"/>
                <w:sz w:val="21"/>
                <w:szCs w:val="21"/>
                <w:highlight w:val="none"/>
              </w:rPr>
              <w:t>+</w:t>
            </w:r>
            <w:r>
              <w:rPr>
                <w:rFonts w:ascii="Cambria Math" w:hAnsi="Cambria Math" w:cs="Cambria Math"/>
                <w:color w:val="auto"/>
                <w:spacing w:val="-1"/>
                <w:sz w:val="21"/>
                <w:szCs w:val="21"/>
                <w:highlight w:val="none"/>
              </w:rPr>
              <w:t>△</w:t>
            </w:r>
            <w:r>
              <w:rPr>
                <w:color w:val="auto"/>
                <w:spacing w:val="-1"/>
                <w:sz w:val="21"/>
                <w:szCs w:val="21"/>
                <w:highlight w:val="none"/>
              </w:rPr>
              <w:t>S（</w:t>
            </w:r>
            <w:r>
              <w:rPr>
                <w:rFonts w:ascii="Cambria Math" w:hAnsi="Cambria Math" w:cs="Cambria Math"/>
                <w:color w:val="auto"/>
                <w:spacing w:val="-1"/>
                <w:sz w:val="21"/>
                <w:szCs w:val="21"/>
                <w:highlight w:val="none"/>
              </w:rPr>
              <w:t>△</w:t>
            </w:r>
            <w:r>
              <w:rPr>
                <w:color w:val="auto"/>
                <w:spacing w:val="-1"/>
                <w:sz w:val="21"/>
                <w:szCs w:val="21"/>
                <w:highlight w:val="none"/>
              </w:rPr>
              <w:t>S=</w:t>
            </w:r>
            <w:r>
              <w:rPr>
                <w:rFonts w:hint="eastAsia"/>
                <w:color w:val="auto"/>
                <w:spacing w:val="-1"/>
                <w:sz w:val="21"/>
                <w:szCs w:val="21"/>
                <w:highlight w:val="none"/>
                <w:lang w:val="en-US" w:eastAsia="zh-CN"/>
              </w:rPr>
              <w:t>0.0014mg</w:t>
            </w:r>
            <w:r>
              <w:rPr>
                <w:color w:val="auto"/>
                <w:spacing w:val="-1"/>
                <w:sz w:val="21"/>
                <w:szCs w:val="21"/>
                <w:highlight w:val="none"/>
              </w:rPr>
              <w:t>/kg）</w:t>
            </w:r>
          </w:p>
        </w:tc>
        <w:tc>
          <w:tcPr>
            <w:tcW w:w="1882" w:type="pct"/>
            <w:tcBorders>
              <w:tl2br w:val="nil"/>
              <w:tr2bl w:val="nil"/>
            </w:tcBorders>
          </w:tcPr>
          <w:p w14:paraId="0669510B">
            <w:pPr>
              <w:spacing w:before="0" w:beforeAutospacing="0" w:line="360" w:lineRule="exact"/>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0.2914</w:t>
            </w:r>
          </w:p>
        </w:tc>
      </w:tr>
      <w:tr w14:paraId="2071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3" w:type="pct"/>
            <w:tcBorders>
              <w:tl2br w:val="nil"/>
              <w:tr2bl w:val="nil"/>
            </w:tcBorders>
          </w:tcPr>
          <w:p w14:paraId="00DA4015">
            <w:pPr>
              <w:spacing w:before="0" w:beforeAutospacing="0" w:line="360" w:lineRule="exact"/>
              <w:ind w:firstLine="0" w:firstLineChars="0"/>
              <w:jc w:val="center"/>
              <w:rPr>
                <w:color w:val="auto"/>
                <w:spacing w:val="-1"/>
                <w:sz w:val="21"/>
                <w:szCs w:val="21"/>
                <w:highlight w:val="none"/>
              </w:rPr>
            </w:pPr>
            <w:r>
              <w:rPr>
                <w:color w:val="auto"/>
                <w:spacing w:val="-1"/>
                <w:sz w:val="21"/>
                <w:szCs w:val="21"/>
                <w:highlight w:val="none"/>
              </w:rPr>
              <w:t>5</w:t>
            </w:r>
          </w:p>
        </w:tc>
        <w:tc>
          <w:tcPr>
            <w:tcW w:w="2503" w:type="pct"/>
            <w:tcBorders>
              <w:tl2br w:val="nil"/>
              <w:tr2bl w:val="nil"/>
            </w:tcBorders>
          </w:tcPr>
          <w:p w14:paraId="73DE9F18">
            <w:pPr>
              <w:spacing w:before="0" w:beforeAutospacing="0" w:line="360" w:lineRule="exact"/>
              <w:ind w:firstLine="0" w:firstLineChars="0"/>
              <w:jc w:val="center"/>
              <w:rPr>
                <w:color w:val="auto"/>
                <w:spacing w:val="-1"/>
                <w:sz w:val="21"/>
                <w:szCs w:val="21"/>
                <w:highlight w:val="none"/>
              </w:rPr>
            </w:pPr>
            <w:r>
              <w:rPr>
                <w:rFonts w:hint="eastAsia"/>
                <w:color w:val="auto"/>
                <w:spacing w:val="-1"/>
                <w:sz w:val="21"/>
                <w:szCs w:val="21"/>
                <w:highlight w:val="none"/>
              </w:rPr>
              <w:t>0.</w:t>
            </w:r>
            <w:r>
              <w:rPr>
                <w:rFonts w:hint="eastAsia"/>
                <w:color w:val="auto"/>
                <w:spacing w:val="-1"/>
                <w:sz w:val="21"/>
                <w:szCs w:val="21"/>
                <w:highlight w:val="none"/>
                <w:lang w:val="en-US" w:eastAsia="zh-CN"/>
              </w:rPr>
              <w:t>29</w:t>
            </w:r>
            <w:r>
              <w:rPr>
                <w:color w:val="auto"/>
                <w:spacing w:val="-1"/>
                <w:sz w:val="21"/>
                <w:szCs w:val="21"/>
                <w:highlight w:val="none"/>
              </w:rPr>
              <w:t>+</w:t>
            </w:r>
            <w:r>
              <w:rPr>
                <w:rFonts w:ascii="Cambria Math" w:hAnsi="Cambria Math" w:cs="Cambria Math"/>
                <w:color w:val="auto"/>
                <w:spacing w:val="-1"/>
                <w:sz w:val="21"/>
                <w:szCs w:val="21"/>
                <w:highlight w:val="none"/>
              </w:rPr>
              <w:t>△</w:t>
            </w:r>
            <w:r>
              <w:rPr>
                <w:color w:val="auto"/>
                <w:spacing w:val="-1"/>
                <w:sz w:val="21"/>
                <w:szCs w:val="21"/>
                <w:highlight w:val="none"/>
              </w:rPr>
              <w:t>S（</w:t>
            </w:r>
            <w:r>
              <w:rPr>
                <w:rFonts w:ascii="Cambria Math" w:hAnsi="Cambria Math" w:cs="Cambria Math"/>
                <w:color w:val="auto"/>
                <w:spacing w:val="-1"/>
                <w:sz w:val="21"/>
                <w:szCs w:val="21"/>
                <w:highlight w:val="none"/>
              </w:rPr>
              <w:t>△</w:t>
            </w:r>
            <w:r>
              <w:rPr>
                <w:color w:val="auto"/>
                <w:spacing w:val="-1"/>
                <w:sz w:val="21"/>
                <w:szCs w:val="21"/>
                <w:highlight w:val="none"/>
              </w:rPr>
              <w:t>S=</w:t>
            </w:r>
            <w:r>
              <w:rPr>
                <w:rFonts w:hint="eastAsia"/>
                <w:color w:val="auto"/>
                <w:spacing w:val="-1"/>
                <w:sz w:val="21"/>
                <w:szCs w:val="21"/>
                <w:highlight w:val="none"/>
                <w:lang w:val="en-US" w:eastAsia="zh-CN"/>
              </w:rPr>
              <w:t>0.007mg</w:t>
            </w:r>
            <w:r>
              <w:rPr>
                <w:color w:val="auto"/>
                <w:spacing w:val="-1"/>
                <w:sz w:val="21"/>
                <w:szCs w:val="21"/>
                <w:highlight w:val="none"/>
              </w:rPr>
              <w:t>/kg）</w:t>
            </w:r>
          </w:p>
        </w:tc>
        <w:tc>
          <w:tcPr>
            <w:tcW w:w="1882" w:type="pct"/>
            <w:tcBorders>
              <w:tl2br w:val="nil"/>
              <w:tr2bl w:val="nil"/>
            </w:tcBorders>
          </w:tcPr>
          <w:p w14:paraId="05C3378C">
            <w:pPr>
              <w:spacing w:before="0" w:beforeAutospacing="0" w:line="360" w:lineRule="exact"/>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0.297</w:t>
            </w:r>
          </w:p>
        </w:tc>
      </w:tr>
      <w:tr w14:paraId="4598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Borders>
              <w:tl2br w:val="nil"/>
              <w:tr2bl w:val="nil"/>
            </w:tcBorders>
          </w:tcPr>
          <w:p w14:paraId="7EF419B9">
            <w:pPr>
              <w:spacing w:before="0" w:beforeAutospacing="0" w:line="360" w:lineRule="exact"/>
              <w:ind w:firstLine="0" w:firstLineChars="0"/>
              <w:jc w:val="center"/>
              <w:rPr>
                <w:color w:val="auto"/>
                <w:spacing w:val="-1"/>
                <w:sz w:val="21"/>
                <w:szCs w:val="21"/>
                <w:highlight w:val="none"/>
              </w:rPr>
            </w:pPr>
            <w:r>
              <w:rPr>
                <w:color w:val="auto"/>
                <w:spacing w:val="-1"/>
                <w:sz w:val="21"/>
                <w:szCs w:val="21"/>
                <w:highlight w:val="none"/>
              </w:rPr>
              <w:t>10</w:t>
            </w:r>
          </w:p>
        </w:tc>
        <w:tc>
          <w:tcPr>
            <w:tcW w:w="2503" w:type="pct"/>
            <w:tcBorders>
              <w:tl2br w:val="nil"/>
              <w:tr2bl w:val="nil"/>
            </w:tcBorders>
          </w:tcPr>
          <w:p w14:paraId="15E5645F">
            <w:pPr>
              <w:spacing w:before="0" w:beforeAutospacing="0" w:line="360" w:lineRule="exact"/>
              <w:ind w:firstLine="0" w:firstLineChars="0"/>
              <w:jc w:val="center"/>
              <w:rPr>
                <w:color w:val="auto"/>
                <w:spacing w:val="-1"/>
                <w:sz w:val="21"/>
                <w:szCs w:val="21"/>
                <w:highlight w:val="none"/>
              </w:rPr>
            </w:pPr>
            <w:r>
              <w:rPr>
                <w:rFonts w:hint="eastAsia"/>
                <w:color w:val="auto"/>
                <w:spacing w:val="-1"/>
                <w:sz w:val="21"/>
                <w:szCs w:val="21"/>
                <w:highlight w:val="none"/>
              </w:rPr>
              <w:t>0.</w:t>
            </w:r>
            <w:r>
              <w:rPr>
                <w:rFonts w:hint="eastAsia"/>
                <w:color w:val="auto"/>
                <w:spacing w:val="-1"/>
                <w:sz w:val="21"/>
                <w:szCs w:val="21"/>
                <w:highlight w:val="none"/>
                <w:lang w:val="en-US" w:eastAsia="zh-CN"/>
              </w:rPr>
              <w:t>29</w:t>
            </w:r>
            <w:r>
              <w:rPr>
                <w:color w:val="auto"/>
                <w:spacing w:val="-1"/>
                <w:sz w:val="21"/>
                <w:szCs w:val="21"/>
                <w:highlight w:val="none"/>
              </w:rPr>
              <w:t>+</w:t>
            </w:r>
            <w:r>
              <w:rPr>
                <w:rFonts w:ascii="Cambria Math" w:hAnsi="Cambria Math" w:cs="Cambria Math"/>
                <w:color w:val="auto"/>
                <w:spacing w:val="-1"/>
                <w:sz w:val="21"/>
                <w:szCs w:val="21"/>
                <w:highlight w:val="none"/>
              </w:rPr>
              <w:t>△</w:t>
            </w:r>
            <w:r>
              <w:rPr>
                <w:color w:val="auto"/>
                <w:spacing w:val="-1"/>
                <w:sz w:val="21"/>
                <w:szCs w:val="21"/>
                <w:highlight w:val="none"/>
              </w:rPr>
              <w:t>S（</w:t>
            </w:r>
            <w:r>
              <w:rPr>
                <w:rFonts w:ascii="Cambria Math" w:hAnsi="Cambria Math" w:cs="Cambria Math"/>
                <w:color w:val="auto"/>
                <w:spacing w:val="-1"/>
                <w:sz w:val="21"/>
                <w:szCs w:val="21"/>
                <w:highlight w:val="none"/>
              </w:rPr>
              <w:t>△</w:t>
            </w:r>
            <w:r>
              <w:rPr>
                <w:color w:val="auto"/>
                <w:spacing w:val="-1"/>
                <w:sz w:val="21"/>
                <w:szCs w:val="21"/>
                <w:highlight w:val="none"/>
              </w:rPr>
              <w:t>S=</w:t>
            </w:r>
            <w:r>
              <w:rPr>
                <w:rFonts w:hint="eastAsia"/>
                <w:color w:val="auto"/>
                <w:spacing w:val="-1"/>
                <w:sz w:val="21"/>
                <w:szCs w:val="21"/>
                <w:highlight w:val="none"/>
                <w:lang w:val="en-US" w:eastAsia="zh-CN"/>
              </w:rPr>
              <w:t>0.014mg</w:t>
            </w:r>
            <w:r>
              <w:rPr>
                <w:color w:val="auto"/>
                <w:spacing w:val="-1"/>
                <w:sz w:val="21"/>
                <w:szCs w:val="21"/>
                <w:highlight w:val="none"/>
              </w:rPr>
              <w:t>/kg）</w:t>
            </w:r>
          </w:p>
        </w:tc>
        <w:tc>
          <w:tcPr>
            <w:tcW w:w="1882" w:type="pct"/>
            <w:tcBorders>
              <w:tl2br w:val="nil"/>
              <w:tr2bl w:val="nil"/>
            </w:tcBorders>
          </w:tcPr>
          <w:p w14:paraId="3329E611">
            <w:pPr>
              <w:spacing w:before="0" w:beforeAutospacing="0" w:line="360" w:lineRule="exact"/>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0.304</w:t>
            </w:r>
          </w:p>
        </w:tc>
      </w:tr>
      <w:tr w14:paraId="77A4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Borders>
              <w:tl2br w:val="nil"/>
              <w:tr2bl w:val="nil"/>
            </w:tcBorders>
          </w:tcPr>
          <w:p w14:paraId="5BC9C35A">
            <w:pPr>
              <w:spacing w:before="0" w:beforeAutospacing="0" w:line="360" w:lineRule="exact"/>
              <w:ind w:firstLine="0" w:firstLineChars="0"/>
              <w:jc w:val="center"/>
              <w:rPr>
                <w:color w:val="auto"/>
                <w:spacing w:val="-1"/>
                <w:sz w:val="21"/>
                <w:szCs w:val="21"/>
                <w:highlight w:val="none"/>
              </w:rPr>
            </w:pPr>
            <w:r>
              <w:rPr>
                <w:color w:val="auto"/>
                <w:spacing w:val="-1"/>
                <w:sz w:val="21"/>
                <w:szCs w:val="21"/>
                <w:highlight w:val="none"/>
              </w:rPr>
              <w:t>20</w:t>
            </w:r>
          </w:p>
        </w:tc>
        <w:tc>
          <w:tcPr>
            <w:tcW w:w="2503" w:type="pct"/>
            <w:tcBorders>
              <w:tl2br w:val="nil"/>
              <w:tr2bl w:val="nil"/>
            </w:tcBorders>
          </w:tcPr>
          <w:p w14:paraId="0E3A4193">
            <w:pPr>
              <w:spacing w:before="0" w:beforeAutospacing="0" w:line="360" w:lineRule="exact"/>
              <w:ind w:firstLine="0" w:firstLineChars="0"/>
              <w:jc w:val="center"/>
              <w:rPr>
                <w:color w:val="auto"/>
                <w:spacing w:val="-1"/>
                <w:sz w:val="21"/>
                <w:szCs w:val="21"/>
                <w:highlight w:val="none"/>
              </w:rPr>
            </w:pPr>
            <w:r>
              <w:rPr>
                <w:rFonts w:hint="eastAsia"/>
                <w:color w:val="auto"/>
                <w:spacing w:val="-1"/>
                <w:sz w:val="21"/>
                <w:szCs w:val="21"/>
                <w:highlight w:val="none"/>
              </w:rPr>
              <w:t>0.</w:t>
            </w:r>
            <w:r>
              <w:rPr>
                <w:rFonts w:hint="eastAsia"/>
                <w:color w:val="auto"/>
                <w:spacing w:val="-1"/>
                <w:sz w:val="21"/>
                <w:szCs w:val="21"/>
                <w:highlight w:val="none"/>
                <w:lang w:val="en-US" w:eastAsia="zh-CN"/>
              </w:rPr>
              <w:t>29</w:t>
            </w:r>
            <w:r>
              <w:rPr>
                <w:color w:val="auto"/>
                <w:spacing w:val="-1"/>
                <w:sz w:val="21"/>
                <w:szCs w:val="21"/>
                <w:highlight w:val="none"/>
              </w:rPr>
              <w:t>+</w:t>
            </w:r>
            <w:r>
              <w:rPr>
                <w:rFonts w:ascii="Cambria Math" w:hAnsi="Cambria Math" w:cs="Cambria Math"/>
                <w:color w:val="auto"/>
                <w:spacing w:val="-1"/>
                <w:sz w:val="21"/>
                <w:szCs w:val="21"/>
                <w:highlight w:val="none"/>
              </w:rPr>
              <w:t>△</w:t>
            </w:r>
            <w:r>
              <w:rPr>
                <w:color w:val="auto"/>
                <w:spacing w:val="-1"/>
                <w:sz w:val="21"/>
                <w:szCs w:val="21"/>
                <w:highlight w:val="none"/>
              </w:rPr>
              <w:t>S（</w:t>
            </w:r>
            <w:r>
              <w:rPr>
                <w:rFonts w:ascii="Cambria Math" w:hAnsi="Cambria Math" w:cs="Cambria Math"/>
                <w:color w:val="auto"/>
                <w:spacing w:val="-1"/>
                <w:sz w:val="21"/>
                <w:szCs w:val="21"/>
                <w:highlight w:val="none"/>
              </w:rPr>
              <w:t>△</w:t>
            </w:r>
            <w:r>
              <w:rPr>
                <w:color w:val="auto"/>
                <w:spacing w:val="-1"/>
                <w:sz w:val="21"/>
                <w:szCs w:val="21"/>
                <w:highlight w:val="none"/>
              </w:rPr>
              <w:t>S=</w:t>
            </w:r>
            <w:r>
              <w:rPr>
                <w:rFonts w:hint="eastAsia"/>
                <w:color w:val="auto"/>
                <w:spacing w:val="-1"/>
                <w:sz w:val="21"/>
                <w:szCs w:val="21"/>
                <w:highlight w:val="none"/>
                <w:lang w:val="en-US" w:eastAsia="zh-CN"/>
              </w:rPr>
              <w:t>0.028mg</w:t>
            </w:r>
            <w:r>
              <w:rPr>
                <w:color w:val="auto"/>
                <w:spacing w:val="-1"/>
                <w:sz w:val="21"/>
                <w:szCs w:val="21"/>
                <w:highlight w:val="none"/>
              </w:rPr>
              <w:t>/kg）</w:t>
            </w:r>
          </w:p>
        </w:tc>
        <w:tc>
          <w:tcPr>
            <w:tcW w:w="1882" w:type="pct"/>
            <w:tcBorders>
              <w:tl2br w:val="nil"/>
              <w:tr2bl w:val="nil"/>
            </w:tcBorders>
          </w:tcPr>
          <w:p w14:paraId="2FBCB55A">
            <w:pPr>
              <w:spacing w:before="0" w:beforeAutospacing="0" w:line="360" w:lineRule="exact"/>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0.318</w:t>
            </w:r>
          </w:p>
        </w:tc>
      </w:tr>
      <w:tr w14:paraId="22AD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pct"/>
            <w:tcBorders>
              <w:tl2br w:val="nil"/>
              <w:tr2bl w:val="nil"/>
            </w:tcBorders>
          </w:tcPr>
          <w:p w14:paraId="184D8974">
            <w:pPr>
              <w:spacing w:before="0" w:beforeAutospacing="0" w:line="360" w:lineRule="exact"/>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40</w:t>
            </w:r>
          </w:p>
        </w:tc>
        <w:tc>
          <w:tcPr>
            <w:tcW w:w="4266" w:type="dxa"/>
            <w:tcBorders>
              <w:tl2br w:val="nil"/>
              <w:tr2bl w:val="nil"/>
            </w:tcBorders>
            <w:vAlign w:val="top"/>
          </w:tcPr>
          <w:p w14:paraId="6AF2B6A0">
            <w:pPr>
              <w:spacing w:before="0" w:beforeAutospacing="0" w:line="360" w:lineRule="exact"/>
              <w:ind w:firstLine="0" w:firstLineChars="0"/>
              <w:jc w:val="center"/>
              <w:rPr>
                <w:rFonts w:hint="eastAsia"/>
                <w:color w:val="auto"/>
                <w:spacing w:val="-1"/>
                <w:sz w:val="21"/>
                <w:szCs w:val="21"/>
                <w:highlight w:val="none"/>
              </w:rPr>
            </w:pPr>
            <w:r>
              <w:rPr>
                <w:rFonts w:hint="eastAsia"/>
                <w:color w:val="auto"/>
                <w:spacing w:val="-1"/>
                <w:sz w:val="21"/>
                <w:szCs w:val="21"/>
                <w:highlight w:val="none"/>
              </w:rPr>
              <w:t>0.</w:t>
            </w:r>
            <w:r>
              <w:rPr>
                <w:rFonts w:hint="eastAsia"/>
                <w:color w:val="auto"/>
                <w:spacing w:val="-1"/>
                <w:sz w:val="21"/>
                <w:szCs w:val="21"/>
                <w:highlight w:val="none"/>
                <w:lang w:val="en-US" w:eastAsia="zh-CN"/>
              </w:rPr>
              <w:t>29</w:t>
            </w:r>
            <w:r>
              <w:rPr>
                <w:color w:val="auto"/>
                <w:spacing w:val="-1"/>
                <w:sz w:val="21"/>
                <w:szCs w:val="21"/>
                <w:highlight w:val="none"/>
              </w:rPr>
              <w:t>+</w:t>
            </w:r>
            <w:r>
              <w:rPr>
                <w:rFonts w:ascii="Cambria Math" w:hAnsi="Cambria Math" w:cs="Cambria Math"/>
                <w:color w:val="auto"/>
                <w:spacing w:val="-1"/>
                <w:sz w:val="21"/>
                <w:szCs w:val="21"/>
                <w:highlight w:val="none"/>
              </w:rPr>
              <w:t>△</w:t>
            </w:r>
            <w:r>
              <w:rPr>
                <w:color w:val="auto"/>
                <w:spacing w:val="-1"/>
                <w:sz w:val="21"/>
                <w:szCs w:val="21"/>
                <w:highlight w:val="none"/>
              </w:rPr>
              <w:t>S（</w:t>
            </w:r>
            <w:r>
              <w:rPr>
                <w:rFonts w:ascii="Cambria Math" w:hAnsi="Cambria Math" w:cs="Cambria Math"/>
                <w:color w:val="auto"/>
                <w:spacing w:val="-1"/>
                <w:sz w:val="21"/>
                <w:szCs w:val="21"/>
                <w:highlight w:val="none"/>
              </w:rPr>
              <w:t>△</w:t>
            </w:r>
            <w:r>
              <w:rPr>
                <w:color w:val="auto"/>
                <w:spacing w:val="-1"/>
                <w:sz w:val="21"/>
                <w:szCs w:val="21"/>
                <w:highlight w:val="none"/>
              </w:rPr>
              <w:t>S=</w:t>
            </w:r>
            <w:r>
              <w:rPr>
                <w:rFonts w:hint="eastAsia"/>
                <w:color w:val="auto"/>
                <w:spacing w:val="-1"/>
                <w:sz w:val="21"/>
                <w:szCs w:val="21"/>
                <w:highlight w:val="none"/>
                <w:lang w:val="en-US" w:eastAsia="zh-CN"/>
              </w:rPr>
              <w:t>0.056mg</w:t>
            </w:r>
            <w:r>
              <w:rPr>
                <w:color w:val="auto"/>
                <w:spacing w:val="-1"/>
                <w:sz w:val="21"/>
                <w:szCs w:val="21"/>
                <w:highlight w:val="none"/>
              </w:rPr>
              <w:t>/kg）</w:t>
            </w:r>
          </w:p>
        </w:tc>
        <w:tc>
          <w:tcPr>
            <w:tcW w:w="3208" w:type="dxa"/>
            <w:tcBorders>
              <w:tl2br w:val="nil"/>
              <w:tr2bl w:val="nil"/>
            </w:tcBorders>
            <w:vAlign w:val="top"/>
          </w:tcPr>
          <w:p w14:paraId="374F7A98">
            <w:pPr>
              <w:spacing w:before="0" w:beforeAutospacing="0" w:line="360" w:lineRule="exact"/>
              <w:ind w:firstLine="0" w:firstLineChars="0"/>
              <w:jc w:val="center"/>
              <w:rPr>
                <w:rFonts w:hint="default" w:eastAsia="宋体"/>
                <w:color w:val="auto"/>
                <w:spacing w:val="-1"/>
                <w:sz w:val="21"/>
                <w:szCs w:val="21"/>
                <w:highlight w:val="none"/>
                <w:lang w:val="en-US" w:eastAsia="zh-CN"/>
              </w:rPr>
            </w:pPr>
            <w:r>
              <w:rPr>
                <w:rFonts w:hint="eastAsia"/>
                <w:color w:val="auto"/>
                <w:spacing w:val="-1"/>
                <w:sz w:val="21"/>
                <w:szCs w:val="21"/>
                <w:highlight w:val="none"/>
                <w:lang w:val="en-US" w:eastAsia="zh-CN"/>
              </w:rPr>
              <w:t>0.346</w:t>
            </w:r>
          </w:p>
        </w:tc>
      </w:tr>
    </w:tbl>
    <w:p w14:paraId="7D1FDB7B">
      <w:pPr>
        <w:bidi w:val="0"/>
        <w:rPr>
          <w:rFonts w:hint="eastAsia"/>
          <w:color w:val="auto"/>
          <w:highlight w:val="none"/>
          <w:lang w:val="en-US" w:eastAsia="zh-CN"/>
        </w:rPr>
      </w:pPr>
      <w:r>
        <w:rPr>
          <w:rFonts w:hint="eastAsia"/>
          <w:color w:val="auto"/>
          <w:highlight w:val="none"/>
          <w:lang w:val="en-US" w:eastAsia="zh-CN"/>
        </w:rPr>
        <w:t>根据预测结果可知，</w:t>
      </w:r>
      <w:r>
        <w:rPr>
          <w:color w:val="auto"/>
          <w:highlight w:val="none"/>
        </w:rPr>
        <w:t>本项目在事故状态下尾矿</w:t>
      </w:r>
      <w:r>
        <w:rPr>
          <w:rFonts w:hint="eastAsia"/>
          <w:color w:val="auto"/>
          <w:highlight w:val="none"/>
        </w:rPr>
        <w:t>渗滤液</w:t>
      </w:r>
      <w:r>
        <w:rPr>
          <w:color w:val="auto"/>
          <w:highlight w:val="none"/>
        </w:rPr>
        <w:t>通过</w:t>
      </w:r>
      <w:r>
        <w:rPr>
          <w:rFonts w:hint="eastAsia"/>
          <w:color w:val="auto"/>
          <w:highlight w:val="none"/>
          <w:lang w:val="en-US" w:eastAsia="zh-CN"/>
        </w:rPr>
        <w:t>下渗</w:t>
      </w:r>
      <w:r>
        <w:rPr>
          <w:color w:val="auto"/>
          <w:highlight w:val="none"/>
        </w:rPr>
        <w:t>形式进入周边土壤，可能会造成土壤环境影响。根据情景预测结果，本项目</w:t>
      </w:r>
      <w:r>
        <w:rPr>
          <w:rFonts w:hint="eastAsia"/>
          <w:color w:val="auto"/>
          <w:highlight w:val="none"/>
        </w:rPr>
        <w:t>尾矿库防渗系统</w:t>
      </w:r>
      <w:r>
        <w:rPr>
          <w:color w:val="auto"/>
          <w:highlight w:val="none"/>
        </w:rPr>
        <w:t>破裂泄漏事故</w:t>
      </w:r>
      <w:r>
        <w:rPr>
          <w:rFonts w:hint="eastAsia"/>
          <w:color w:val="auto"/>
          <w:highlight w:val="none"/>
          <w:lang w:val="en-US" w:eastAsia="zh-CN"/>
        </w:rPr>
        <w:t>发生后，</w:t>
      </w:r>
      <w:r>
        <w:rPr>
          <w:color w:val="auto"/>
          <w:highlight w:val="none"/>
        </w:rPr>
        <w:t>评价范围内单位质量表层中</w:t>
      </w:r>
      <w:r>
        <w:rPr>
          <w:rFonts w:hint="eastAsia"/>
          <w:color w:val="auto"/>
          <w:highlight w:val="none"/>
          <w:lang w:val="en-US" w:eastAsia="zh-CN"/>
        </w:rPr>
        <w:t>镉</w:t>
      </w:r>
      <w:r>
        <w:rPr>
          <w:color w:val="auto"/>
          <w:highlight w:val="none"/>
        </w:rPr>
        <w:t>的含量将维持本底值，总体增量较小，对区域土壤环境影响较小。</w:t>
      </w:r>
    </w:p>
    <w:p w14:paraId="6E609AC3">
      <w:pPr>
        <w:pStyle w:val="7"/>
        <w:bidi w:val="0"/>
        <w:rPr>
          <w:rFonts w:hint="default"/>
          <w:color w:val="auto"/>
          <w:highlight w:val="none"/>
          <w:lang w:val="en-US" w:eastAsia="zh-CN"/>
        </w:rPr>
      </w:pPr>
      <w:r>
        <w:rPr>
          <w:rFonts w:hint="eastAsia"/>
          <w:color w:val="auto"/>
          <w:highlight w:val="none"/>
          <w:lang w:val="en-US" w:eastAsia="zh-CN"/>
        </w:rPr>
        <w:t>5.2.6.3</w:t>
      </w:r>
      <w:r>
        <w:rPr>
          <w:rFonts w:hint="default"/>
          <w:color w:val="auto"/>
          <w:highlight w:val="none"/>
          <w:lang w:val="en-US" w:eastAsia="zh-CN"/>
        </w:rPr>
        <w:t>生态影响型土壤影响预测与分析</w:t>
      </w:r>
    </w:p>
    <w:p w14:paraId="6C380616">
      <w:pPr>
        <w:bidi w:val="0"/>
        <w:rPr>
          <w:rFonts w:hint="default"/>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土壤碱化</w:t>
      </w:r>
    </w:p>
    <w:p w14:paraId="6D1CB885">
      <w:pPr>
        <w:bidi w:val="0"/>
        <w:rPr>
          <w:rFonts w:hint="default"/>
          <w:color w:val="auto"/>
          <w:highlight w:val="none"/>
          <w:lang w:val="en-US" w:eastAsia="zh-CN"/>
        </w:rPr>
      </w:pPr>
      <w:r>
        <w:rPr>
          <w:rFonts w:hint="default"/>
          <w:color w:val="auto"/>
          <w:highlight w:val="none"/>
          <w:lang w:val="en-US" w:eastAsia="zh-CN"/>
        </w:rPr>
        <w:t>根据本项目土壤质量现状监测结果，矿区范围及周边</w:t>
      </w:r>
      <w:r>
        <w:rPr>
          <w:rFonts w:hint="eastAsia"/>
          <w:color w:val="auto"/>
          <w:highlight w:val="none"/>
          <w:lang w:val="en-US" w:eastAsia="zh-CN"/>
        </w:rPr>
        <w:t>土壤</w:t>
      </w:r>
      <w:r>
        <w:rPr>
          <w:rFonts w:hint="default"/>
          <w:color w:val="auto"/>
          <w:highlight w:val="none"/>
          <w:lang w:val="en-US" w:eastAsia="zh-CN"/>
        </w:rPr>
        <w:t>pH值在</w:t>
      </w:r>
      <w:r>
        <w:rPr>
          <w:rFonts w:hint="eastAsia"/>
          <w:color w:val="auto"/>
          <w:highlight w:val="none"/>
          <w:lang w:val="en-US" w:eastAsia="zh-CN"/>
        </w:rPr>
        <w:t>8.23～8.88之间</w:t>
      </w:r>
      <w:r>
        <w:rPr>
          <w:rFonts w:hint="default"/>
          <w:color w:val="auto"/>
          <w:highlight w:val="none"/>
          <w:lang w:val="en-US" w:eastAsia="zh-CN"/>
        </w:rPr>
        <w:t>，矿区内外属于无酸化、轻度碱化，矿区区域矿山开采并没有对土壤环境的pH值造成较大影响，现状土壤状况较好。本项目可能导致产生土壤碱化的途径较少，本项目的实施不会改变区域土壤酸碱度。</w:t>
      </w:r>
    </w:p>
    <w:p w14:paraId="047D9960">
      <w:pPr>
        <w:bidi w:val="0"/>
        <w:rPr>
          <w:color w:val="auto"/>
          <w:highlight w:val="none"/>
        </w:rPr>
      </w:pPr>
      <w:r>
        <w:rPr>
          <w:rFonts w:hint="eastAsia"/>
          <w:color w:val="auto"/>
          <w:highlight w:val="none"/>
          <w:lang w:val="en-US" w:eastAsia="zh-CN"/>
        </w:rPr>
        <w:t>（2）</w:t>
      </w:r>
      <w:r>
        <w:rPr>
          <w:rFonts w:hint="default"/>
          <w:color w:val="auto"/>
          <w:highlight w:val="none"/>
          <w:lang w:val="en-US" w:eastAsia="zh-CN"/>
        </w:rPr>
        <w:t>土壤盐化</w:t>
      </w:r>
    </w:p>
    <w:p w14:paraId="4596DD2E">
      <w:pPr>
        <w:bidi w:val="0"/>
        <w:rPr>
          <w:rFonts w:hint="default"/>
          <w:color w:val="auto"/>
          <w:highlight w:val="none"/>
          <w:lang w:val="en-US" w:eastAsia="zh-CN"/>
        </w:rPr>
      </w:pPr>
      <w:r>
        <w:rPr>
          <w:rFonts w:hint="default"/>
          <w:color w:val="auto"/>
          <w:highlight w:val="none"/>
          <w:lang w:val="en-US" w:eastAsia="zh-CN"/>
        </w:rPr>
        <w:t>项目开采过程中可能引起的地下水水位变动及堆场淋溶水地表漫流，可能造成矿区开采区域盐化，本次评价采用《环境影响评价技术导则 土壤环境（试行）》（HJ964-2018）中附录F土壤盐化综合评价方法进行分析评价。</w:t>
      </w:r>
    </w:p>
    <w:p w14:paraId="11DB34BF">
      <w:pPr>
        <w:bidi w:val="0"/>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①土壤盐化综合评分法根据表5.2-</w:t>
      </w:r>
      <w:r>
        <w:rPr>
          <w:rFonts w:hint="eastAsia" w:ascii="Times New Roman" w:hAnsi="Times New Roman" w:cs="Times New Roman"/>
          <w:color w:val="auto"/>
          <w:kern w:val="0"/>
          <w:sz w:val="24"/>
          <w:szCs w:val="24"/>
          <w:highlight w:val="none"/>
          <w:lang w:val="en-US" w:eastAsia="zh-CN" w:bidi="ar"/>
        </w:rPr>
        <w:t>34</w:t>
      </w:r>
      <w:r>
        <w:rPr>
          <w:rFonts w:hint="default" w:ascii="Times New Roman" w:hAnsi="Times New Roman" w:cs="Times New Roman" w:eastAsiaTheme="minorEastAsia"/>
          <w:color w:val="auto"/>
          <w:kern w:val="0"/>
          <w:sz w:val="24"/>
          <w:szCs w:val="24"/>
          <w:highlight w:val="none"/>
          <w:lang w:val="en-US" w:eastAsia="zh-CN" w:bidi="ar"/>
        </w:rPr>
        <w:t>选取各项影响因素的分值与权重，采用下列公式计算土壤盐化综合评分值（Sa）。</w:t>
      </w:r>
    </w:p>
    <w:p w14:paraId="2D4C0AE2">
      <w:pPr>
        <w:keepNext w:val="0"/>
        <w:keepLines w:val="0"/>
        <w:widowControl/>
        <w:suppressLineNumbers w:val="0"/>
        <w:spacing w:line="360" w:lineRule="auto"/>
        <w:ind w:firstLine="480" w:firstLineChars="20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2047875" cy="581025"/>
            <wp:effectExtent l="0" t="0" r="9525" b="9525"/>
            <wp:docPr id="5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7"/>
                    <pic:cNvPicPr>
                      <a:picLocks noChangeAspect="1"/>
                    </pic:cNvPicPr>
                  </pic:nvPicPr>
                  <pic:blipFill>
                    <a:blip r:embed="rId57"/>
                    <a:stretch>
                      <a:fillRect/>
                    </a:stretch>
                  </pic:blipFill>
                  <pic:spPr>
                    <a:xfrm>
                      <a:off x="0" y="0"/>
                      <a:ext cx="2047875" cy="581025"/>
                    </a:xfrm>
                    <a:prstGeom prst="rect">
                      <a:avLst/>
                    </a:prstGeom>
                    <a:noFill/>
                    <a:ln>
                      <a:noFill/>
                    </a:ln>
                  </pic:spPr>
                </pic:pic>
              </a:graphicData>
            </a:graphic>
          </wp:inline>
        </w:drawing>
      </w:r>
    </w:p>
    <w:p w14:paraId="6CDE560E">
      <w:pPr>
        <w:bidi w:val="0"/>
        <w:rPr>
          <w:rFonts w:hint="default"/>
          <w:color w:val="auto"/>
          <w:highlight w:val="none"/>
          <w:lang w:val="en-US" w:eastAsia="zh-CN"/>
        </w:rPr>
      </w:pPr>
      <w:r>
        <w:rPr>
          <w:rFonts w:hint="default" w:ascii="Times New Roman" w:hAnsi="Times New Roman" w:cs="Times New Roman"/>
          <w:color w:val="auto"/>
          <w:highlight w:val="none"/>
          <w:lang w:val="en-US" w:eastAsia="zh-CN"/>
        </w:rPr>
        <w:t>式</w:t>
      </w:r>
      <w:r>
        <w:rPr>
          <w:rFonts w:hint="default"/>
          <w:color w:val="auto"/>
          <w:highlight w:val="none"/>
          <w:lang w:val="en-US" w:eastAsia="zh-CN"/>
        </w:rPr>
        <w:t>中：n——影响因素指标数目；</w:t>
      </w:r>
    </w:p>
    <w:p w14:paraId="27D09067">
      <w:pPr>
        <w:bidi w:val="0"/>
        <w:rPr>
          <w:rFonts w:hint="default"/>
          <w:color w:val="auto"/>
          <w:highlight w:val="none"/>
          <w:lang w:val="en-US" w:eastAsia="zh-CN"/>
        </w:rPr>
      </w:pPr>
      <w:r>
        <w:rPr>
          <w:rFonts w:hint="default"/>
          <w:color w:val="auto"/>
          <w:highlight w:val="none"/>
          <w:lang w:val="en-US" w:eastAsia="zh-CN"/>
        </w:rPr>
        <w:t>Ixi——影响因素i指标评分；</w:t>
      </w:r>
    </w:p>
    <w:p w14:paraId="69561DCE">
      <w:pPr>
        <w:bidi w:val="0"/>
        <w:rPr>
          <w:rFonts w:hint="default" w:ascii="Times New Roman" w:hAnsi="Times New Roman" w:eastAsia="宋体" w:cs="Times New Roman"/>
          <w:color w:val="auto"/>
          <w:kern w:val="0"/>
          <w:szCs w:val="24"/>
          <w:highlight w:val="none"/>
          <w:lang w:val="en-US" w:eastAsia="zh-CN" w:bidi="ar"/>
        </w:rPr>
      </w:pPr>
      <w:r>
        <w:rPr>
          <w:rFonts w:hint="default"/>
          <w:color w:val="auto"/>
          <w:highlight w:val="none"/>
          <w:lang w:val="en-US" w:eastAsia="zh-CN"/>
        </w:rPr>
        <w:t>Wxi——影响因素i指标权重</w:t>
      </w:r>
      <w:r>
        <w:rPr>
          <w:rFonts w:hint="default" w:ascii="Times New Roman" w:hAnsi="Times New Roman" w:eastAsia="宋体" w:cs="Times New Roman"/>
          <w:color w:val="auto"/>
          <w:kern w:val="0"/>
          <w:szCs w:val="24"/>
          <w:highlight w:val="none"/>
          <w:lang w:val="en-US" w:eastAsia="zh-CN" w:bidi="ar"/>
        </w:rPr>
        <w:t>。</w:t>
      </w:r>
    </w:p>
    <w:p w14:paraId="0AC695E6">
      <w:pPr>
        <w:pStyle w:val="19"/>
        <w:bidi w:val="0"/>
        <w:rPr>
          <w:rFonts w:hint="default"/>
          <w:color w:val="auto"/>
          <w:highlight w:val="none"/>
          <w:lang w:val="en-US" w:eastAsia="zh-CN"/>
        </w:rPr>
      </w:pPr>
      <w:r>
        <w:rPr>
          <w:rFonts w:hint="default"/>
          <w:color w:val="auto"/>
          <w:highlight w:val="none"/>
          <w:lang w:val="en-US" w:eastAsia="zh-CN"/>
        </w:rPr>
        <w:t>表5.2-</w:t>
      </w:r>
      <w:r>
        <w:rPr>
          <w:rFonts w:hint="eastAsia"/>
          <w:color w:val="auto"/>
          <w:highlight w:val="none"/>
          <w:lang w:val="en-US" w:eastAsia="zh-CN"/>
        </w:rPr>
        <w:t>31</w:t>
      </w:r>
      <w:r>
        <w:rPr>
          <w:rFonts w:hint="default"/>
          <w:color w:val="auto"/>
          <w:highlight w:val="none"/>
          <w:lang w:val="en-US" w:eastAsia="zh-CN"/>
        </w:rPr>
        <w:t xml:space="preserve">  土壤盐化影响因素赋值表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250"/>
        <w:gridCol w:w="1520"/>
        <w:gridCol w:w="1519"/>
        <w:gridCol w:w="1495"/>
        <w:gridCol w:w="897"/>
      </w:tblGrid>
      <w:tr w14:paraId="4AB3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vMerge w:val="restart"/>
            <w:vAlign w:val="center"/>
          </w:tcPr>
          <w:p w14:paraId="4915DDFA">
            <w:pPr>
              <w:pStyle w:val="17"/>
              <w:bidi w:val="0"/>
              <w:rPr>
                <w:rFonts w:hint="default"/>
                <w:color w:val="auto"/>
                <w:highlight w:val="none"/>
                <w:lang w:val="en-US" w:eastAsia="zh-CN"/>
              </w:rPr>
            </w:pPr>
            <w:r>
              <w:rPr>
                <w:rFonts w:hint="default"/>
                <w:color w:val="auto"/>
                <w:highlight w:val="none"/>
                <w:lang w:val="en-US" w:eastAsia="zh-CN"/>
              </w:rPr>
              <w:t>影响因素</w:t>
            </w:r>
          </w:p>
        </w:tc>
        <w:tc>
          <w:tcPr>
            <w:tcW w:w="5784" w:type="dxa"/>
            <w:gridSpan w:val="4"/>
            <w:vAlign w:val="center"/>
          </w:tcPr>
          <w:p w14:paraId="1DADA041">
            <w:pPr>
              <w:pStyle w:val="17"/>
              <w:bidi w:val="0"/>
              <w:rPr>
                <w:rFonts w:hint="default"/>
                <w:color w:val="auto"/>
                <w:highlight w:val="none"/>
                <w:lang w:val="en-US" w:eastAsia="zh-CN"/>
              </w:rPr>
            </w:pPr>
            <w:r>
              <w:rPr>
                <w:rFonts w:hint="default"/>
                <w:color w:val="auto"/>
                <w:highlight w:val="none"/>
                <w:lang w:val="en-US" w:eastAsia="zh-CN"/>
              </w:rPr>
              <w:t>分值</w:t>
            </w:r>
          </w:p>
        </w:tc>
        <w:tc>
          <w:tcPr>
            <w:tcW w:w="897" w:type="dxa"/>
            <w:vMerge w:val="restart"/>
            <w:vAlign w:val="center"/>
          </w:tcPr>
          <w:p w14:paraId="44361B07">
            <w:pPr>
              <w:pStyle w:val="17"/>
              <w:bidi w:val="0"/>
              <w:rPr>
                <w:rFonts w:hint="default"/>
                <w:color w:val="auto"/>
                <w:highlight w:val="none"/>
                <w:lang w:val="en-US" w:eastAsia="zh-CN"/>
              </w:rPr>
            </w:pPr>
            <w:r>
              <w:rPr>
                <w:rFonts w:hint="default"/>
                <w:color w:val="auto"/>
                <w:highlight w:val="none"/>
                <w:lang w:val="en-US" w:eastAsia="zh-CN"/>
              </w:rPr>
              <w:t>权重</w:t>
            </w:r>
          </w:p>
        </w:tc>
      </w:tr>
      <w:tr w14:paraId="34F2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841" w:type="dxa"/>
            <w:vMerge w:val="continue"/>
            <w:vAlign w:val="center"/>
          </w:tcPr>
          <w:p w14:paraId="532AAA8F">
            <w:pPr>
              <w:pStyle w:val="17"/>
              <w:bidi w:val="0"/>
              <w:rPr>
                <w:rFonts w:hint="default"/>
                <w:color w:val="auto"/>
                <w:highlight w:val="none"/>
                <w:lang w:val="en-US" w:eastAsia="zh-CN"/>
              </w:rPr>
            </w:pPr>
          </w:p>
        </w:tc>
        <w:tc>
          <w:tcPr>
            <w:tcW w:w="1250" w:type="dxa"/>
            <w:vAlign w:val="center"/>
          </w:tcPr>
          <w:p w14:paraId="4E15F370">
            <w:pPr>
              <w:pStyle w:val="17"/>
              <w:bidi w:val="0"/>
              <w:rPr>
                <w:rFonts w:hint="default"/>
                <w:color w:val="auto"/>
                <w:highlight w:val="none"/>
                <w:lang w:val="en-US" w:eastAsia="zh-CN"/>
              </w:rPr>
            </w:pPr>
            <w:r>
              <w:rPr>
                <w:rFonts w:hint="default"/>
                <w:color w:val="auto"/>
                <w:highlight w:val="none"/>
                <w:lang w:val="en-US" w:eastAsia="zh-CN"/>
              </w:rPr>
              <w:t>0分</w:t>
            </w:r>
          </w:p>
        </w:tc>
        <w:tc>
          <w:tcPr>
            <w:tcW w:w="1520" w:type="dxa"/>
            <w:vAlign w:val="center"/>
          </w:tcPr>
          <w:p w14:paraId="67511309">
            <w:pPr>
              <w:pStyle w:val="17"/>
              <w:bidi w:val="0"/>
              <w:rPr>
                <w:rFonts w:hint="default"/>
                <w:color w:val="auto"/>
                <w:highlight w:val="none"/>
                <w:lang w:val="en-US" w:eastAsia="zh-CN"/>
              </w:rPr>
            </w:pPr>
            <w:r>
              <w:rPr>
                <w:rFonts w:hint="default"/>
                <w:color w:val="auto"/>
                <w:highlight w:val="none"/>
                <w:lang w:val="en-US" w:eastAsia="zh-CN"/>
              </w:rPr>
              <w:t>2分</w:t>
            </w:r>
          </w:p>
        </w:tc>
        <w:tc>
          <w:tcPr>
            <w:tcW w:w="1519" w:type="dxa"/>
            <w:vAlign w:val="center"/>
          </w:tcPr>
          <w:p w14:paraId="0E1BDFF5">
            <w:pPr>
              <w:pStyle w:val="17"/>
              <w:bidi w:val="0"/>
              <w:rPr>
                <w:rFonts w:hint="default"/>
                <w:color w:val="auto"/>
                <w:highlight w:val="none"/>
                <w:lang w:val="en-US" w:eastAsia="zh-CN"/>
              </w:rPr>
            </w:pPr>
            <w:r>
              <w:rPr>
                <w:rFonts w:hint="default"/>
                <w:color w:val="auto"/>
                <w:highlight w:val="none"/>
                <w:lang w:val="en-US" w:eastAsia="zh-CN"/>
              </w:rPr>
              <w:t>4分</w:t>
            </w:r>
          </w:p>
        </w:tc>
        <w:tc>
          <w:tcPr>
            <w:tcW w:w="1495" w:type="dxa"/>
            <w:vAlign w:val="center"/>
          </w:tcPr>
          <w:p w14:paraId="7EE91AA2">
            <w:pPr>
              <w:pStyle w:val="17"/>
              <w:bidi w:val="0"/>
              <w:rPr>
                <w:rFonts w:hint="default"/>
                <w:color w:val="auto"/>
                <w:highlight w:val="none"/>
                <w:lang w:val="en-US" w:eastAsia="zh-CN"/>
              </w:rPr>
            </w:pPr>
            <w:r>
              <w:rPr>
                <w:rFonts w:hint="default"/>
                <w:color w:val="auto"/>
                <w:highlight w:val="none"/>
                <w:lang w:val="en-US" w:eastAsia="zh-CN"/>
              </w:rPr>
              <w:t>6分</w:t>
            </w:r>
          </w:p>
        </w:tc>
        <w:tc>
          <w:tcPr>
            <w:tcW w:w="897" w:type="dxa"/>
            <w:vMerge w:val="continue"/>
            <w:vAlign w:val="center"/>
          </w:tcPr>
          <w:p w14:paraId="778E19BE">
            <w:pPr>
              <w:pStyle w:val="17"/>
              <w:bidi w:val="0"/>
              <w:rPr>
                <w:rFonts w:hint="default"/>
                <w:color w:val="auto"/>
                <w:highlight w:val="none"/>
                <w:lang w:val="en-US" w:eastAsia="zh-CN"/>
              </w:rPr>
            </w:pPr>
          </w:p>
        </w:tc>
      </w:tr>
      <w:tr w14:paraId="73DD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vAlign w:val="center"/>
          </w:tcPr>
          <w:p w14:paraId="50F5D686">
            <w:pPr>
              <w:pStyle w:val="17"/>
              <w:bidi w:val="0"/>
              <w:rPr>
                <w:rFonts w:hint="default"/>
                <w:color w:val="auto"/>
                <w:highlight w:val="none"/>
                <w:lang w:val="en-US" w:eastAsia="zh-CN"/>
              </w:rPr>
            </w:pPr>
            <w:r>
              <w:rPr>
                <w:rFonts w:hint="default"/>
                <w:color w:val="auto"/>
                <w:highlight w:val="none"/>
                <w:lang w:val="en-US" w:eastAsia="zh-CN"/>
              </w:rPr>
              <w:t>地下水位埋深（GWD）/m</w:t>
            </w:r>
          </w:p>
        </w:tc>
        <w:tc>
          <w:tcPr>
            <w:tcW w:w="1250" w:type="dxa"/>
            <w:vAlign w:val="center"/>
          </w:tcPr>
          <w:p w14:paraId="3AB8F480">
            <w:pPr>
              <w:pStyle w:val="17"/>
              <w:bidi w:val="0"/>
              <w:rPr>
                <w:rFonts w:hint="default"/>
                <w:color w:val="auto"/>
                <w:highlight w:val="none"/>
                <w:lang w:val="en-US" w:eastAsia="zh-CN"/>
              </w:rPr>
            </w:pPr>
            <w:r>
              <w:rPr>
                <w:rFonts w:hint="default"/>
                <w:color w:val="auto"/>
                <w:highlight w:val="none"/>
                <w:lang w:val="en-US" w:eastAsia="zh-CN"/>
              </w:rPr>
              <w:t>GWD≥2.5</w:t>
            </w:r>
          </w:p>
        </w:tc>
        <w:tc>
          <w:tcPr>
            <w:tcW w:w="1520" w:type="dxa"/>
            <w:vAlign w:val="center"/>
          </w:tcPr>
          <w:p w14:paraId="43E71E64">
            <w:pPr>
              <w:pStyle w:val="17"/>
              <w:bidi w:val="0"/>
              <w:rPr>
                <w:rFonts w:hint="default"/>
                <w:color w:val="auto"/>
                <w:highlight w:val="none"/>
                <w:lang w:val="en-US" w:eastAsia="zh-CN"/>
              </w:rPr>
            </w:pPr>
            <w:r>
              <w:rPr>
                <w:rFonts w:hint="default"/>
                <w:color w:val="auto"/>
                <w:highlight w:val="none"/>
                <w:lang w:val="en-US" w:eastAsia="zh-CN"/>
              </w:rPr>
              <w:t>1.5≤GWD&lt;2.5</w:t>
            </w:r>
          </w:p>
        </w:tc>
        <w:tc>
          <w:tcPr>
            <w:tcW w:w="1519" w:type="dxa"/>
            <w:vAlign w:val="center"/>
          </w:tcPr>
          <w:p w14:paraId="467572D6">
            <w:pPr>
              <w:pStyle w:val="17"/>
              <w:bidi w:val="0"/>
              <w:rPr>
                <w:rFonts w:hint="default"/>
                <w:color w:val="auto"/>
                <w:highlight w:val="none"/>
                <w:lang w:val="en-US" w:eastAsia="zh-CN"/>
              </w:rPr>
            </w:pPr>
            <w:r>
              <w:rPr>
                <w:rFonts w:hint="default"/>
                <w:color w:val="auto"/>
                <w:highlight w:val="none"/>
                <w:lang w:val="en-US" w:eastAsia="zh-CN"/>
              </w:rPr>
              <w:t>1.0≤GWD&lt;1.5</w:t>
            </w:r>
          </w:p>
        </w:tc>
        <w:tc>
          <w:tcPr>
            <w:tcW w:w="1495" w:type="dxa"/>
            <w:vAlign w:val="center"/>
          </w:tcPr>
          <w:p w14:paraId="1344703A">
            <w:pPr>
              <w:pStyle w:val="17"/>
              <w:bidi w:val="0"/>
              <w:rPr>
                <w:rFonts w:hint="default"/>
                <w:color w:val="auto"/>
                <w:highlight w:val="none"/>
                <w:lang w:val="en-US" w:eastAsia="zh-CN"/>
              </w:rPr>
            </w:pPr>
            <w:r>
              <w:rPr>
                <w:rFonts w:hint="default"/>
                <w:color w:val="auto"/>
                <w:highlight w:val="none"/>
                <w:lang w:val="en-US" w:eastAsia="zh-CN"/>
              </w:rPr>
              <w:t>GWD&lt;1.0</w:t>
            </w:r>
          </w:p>
        </w:tc>
        <w:tc>
          <w:tcPr>
            <w:tcW w:w="897" w:type="dxa"/>
            <w:vAlign w:val="center"/>
          </w:tcPr>
          <w:p w14:paraId="519E5DE2">
            <w:pPr>
              <w:pStyle w:val="17"/>
              <w:bidi w:val="0"/>
              <w:rPr>
                <w:rFonts w:hint="default"/>
                <w:color w:val="auto"/>
                <w:highlight w:val="none"/>
                <w:lang w:val="en-US" w:eastAsia="zh-CN"/>
              </w:rPr>
            </w:pPr>
            <w:r>
              <w:rPr>
                <w:rFonts w:hint="default"/>
                <w:color w:val="auto"/>
                <w:highlight w:val="none"/>
                <w:lang w:val="en-US" w:eastAsia="zh-CN"/>
              </w:rPr>
              <w:t>0.35</w:t>
            </w:r>
          </w:p>
        </w:tc>
      </w:tr>
      <w:tr w14:paraId="2A72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41" w:type="dxa"/>
            <w:vAlign w:val="center"/>
          </w:tcPr>
          <w:p w14:paraId="6BC14712">
            <w:pPr>
              <w:pStyle w:val="17"/>
              <w:bidi w:val="0"/>
              <w:rPr>
                <w:rFonts w:hint="default"/>
                <w:color w:val="auto"/>
                <w:highlight w:val="none"/>
                <w:lang w:val="en-US" w:eastAsia="zh-CN"/>
              </w:rPr>
            </w:pPr>
            <w:r>
              <w:rPr>
                <w:rFonts w:hint="default"/>
                <w:color w:val="auto"/>
                <w:highlight w:val="none"/>
                <w:lang w:val="en-US" w:eastAsia="zh-CN"/>
              </w:rPr>
              <w:t>干燥度（EPR）</w:t>
            </w:r>
          </w:p>
        </w:tc>
        <w:tc>
          <w:tcPr>
            <w:tcW w:w="1250" w:type="dxa"/>
            <w:vAlign w:val="center"/>
          </w:tcPr>
          <w:p w14:paraId="08044CE1">
            <w:pPr>
              <w:pStyle w:val="17"/>
              <w:bidi w:val="0"/>
              <w:rPr>
                <w:rFonts w:hint="default"/>
                <w:color w:val="auto"/>
                <w:highlight w:val="none"/>
                <w:lang w:val="en-US" w:eastAsia="zh-CN"/>
              </w:rPr>
            </w:pPr>
            <w:r>
              <w:rPr>
                <w:rFonts w:hint="default"/>
                <w:color w:val="auto"/>
                <w:highlight w:val="none"/>
                <w:lang w:val="en-US" w:eastAsia="zh-CN"/>
              </w:rPr>
              <w:t>EPR&lt;1.2</w:t>
            </w:r>
          </w:p>
        </w:tc>
        <w:tc>
          <w:tcPr>
            <w:tcW w:w="1520" w:type="dxa"/>
            <w:vAlign w:val="center"/>
          </w:tcPr>
          <w:p w14:paraId="1E8DE0FB">
            <w:pPr>
              <w:pStyle w:val="17"/>
              <w:bidi w:val="0"/>
              <w:rPr>
                <w:rFonts w:hint="default"/>
                <w:color w:val="auto"/>
                <w:highlight w:val="none"/>
                <w:lang w:val="en-US" w:eastAsia="zh-CN"/>
              </w:rPr>
            </w:pPr>
            <w:r>
              <w:rPr>
                <w:rFonts w:hint="default"/>
                <w:color w:val="auto"/>
                <w:highlight w:val="none"/>
                <w:lang w:val="en-US" w:eastAsia="zh-CN"/>
              </w:rPr>
              <w:t>1.2≤EPR&lt;2.5</w:t>
            </w:r>
          </w:p>
        </w:tc>
        <w:tc>
          <w:tcPr>
            <w:tcW w:w="1519" w:type="dxa"/>
            <w:vAlign w:val="center"/>
          </w:tcPr>
          <w:p w14:paraId="0E3FCA16">
            <w:pPr>
              <w:pStyle w:val="17"/>
              <w:bidi w:val="0"/>
              <w:rPr>
                <w:rFonts w:hint="default"/>
                <w:color w:val="auto"/>
                <w:highlight w:val="none"/>
                <w:lang w:val="en-US" w:eastAsia="zh-CN"/>
              </w:rPr>
            </w:pPr>
            <w:r>
              <w:rPr>
                <w:rFonts w:hint="default"/>
                <w:color w:val="auto"/>
                <w:highlight w:val="none"/>
                <w:lang w:val="en-US" w:eastAsia="zh-CN"/>
              </w:rPr>
              <w:t>2.5≤EPR&lt;6</w:t>
            </w:r>
          </w:p>
        </w:tc>
        <w:tc>
          <w:tcPr>
            <w:tcW w:w="1495" w:type="dxa"/>
            <w:vAlign w:val="center"/>
          </w:tcPr>
          <w:p w14:paraId="307598A1">
            <w:pPr>
              <w:pStyle w:val="17"/>
              <w:bidi w:val="0"/>
              <w:rPr>
                <w:rFonts w:hint="default"/>
                <w:color w:val="auto"/>
                <w:highlight w:val="none"/>
                <w:lang w:val="en-US" w:eastAsia="zh-CN"/>
              </w:rPr>
            </w:pPr>
            <w:r>
              <w:rPr>
                <w:rFonts w:hint="default"/>
                <w:color w:val="auto"/>
                <w:highlight w:val="none"/>
                <w:lang w:val="en-US" w:eastAsia="zh-CN"/>
              </w:rPr>
              <w:t>EPR≥6</w:t>
            </w:r>
          </w:p>
        </w:tc>
        <w:tc>
          <w:tcPr>
            <w:tcW w:w="897" w:type="dxa"/>
            <w:vAlign w:val="center"/>
          </w:tcPr>
          <w:p w14:paraId="68BE919E">
            <w:pPr>
              <w:pStyle w:val="17"/>
              <w:bidi w:val="0"/>
              <w:rPr>
                <w:rFonts w:hint="default"/>
                <w:color w:val="auto"/>
                <w:highlight w:val="none"/>
                <w:lang w:val="en-US" w:eastAsia="zh-CN"/>
              </w:rPr>
            </w:pPr>
            <w:r>
              <w:rPr>
                <w:rFonts w:hint="default"/>
                <w:color w:val="auto"/>
                <w:highlight w:val="none"/>
                <w:lang w:val="en-US" w:eastAsia="zh-CN"/>
              </w:rPr>
              <w:t>0.25</w:t>
            </w:r>
          </w:p>
        </w:tc>
      </w:tr>
      <w:tr w14:paraId="592D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vAlign w:val="center"/>
          </w:tcPr>
          <w:p w14:paraId="2967013E">
            <w:pPr>
              <w:pStyle w:val="17"/>
              <w:bidi w:val="0"/>
              <w:rPr>
                <w:rFonts w:hint="default"/>
                <w:color w:val="auto"/>
                <w:highlight w:val="none"/>
                <w:lang w:val="en-US" w:eastAsia="zh-CN"/>
              </w:rPr>
            </w:pPr>
            <w:r>
              <w:rPr>
                <w:rFonts w:hint="default"/>
                <w:color w:val="auto"/>
                <w:highlight w:val="none"/>
                <w:lang w:val="en-US" w:eastAsia="zh-CN"/>
              </w:rPr>
              <w:t>土壤本底含盐量（SSC）/（g/kg）</w:t>
            </w:r>
          </w:p>
        </w:tc>
        <w:tc>
          <w:tcPr>
            <w:tcW w:w="1250" w:type="dxa"/>
            <w:vAlign w:val="center"/>
          </w:tcPr>
          <w:p w14:paraId="01116F51">
            <w:pPr>
              <w:pStyle w:val="17"/>
              <w:bidi w:val="0"/>
              <w:rPr>
                <w:rFonts w:hint="default"/>
                <w:color w:val="auto"/>
                <w:highlight w:val="none"/>
                <w:lang w:val="en-US" w:eastAsia="zh-CN"/>
              </w:rPr>
            </w:pPr>
            <w:r>
              <w:rPr>
                <w:rFonts w:hint="default"/>
                <w:color w:val="auto"/>
                <w:highlight w:val="none"/>
                <w:lang w:val="en-US" w:eastAsia="zh-CN"/>
              </w:rPr>
              <w:t>SSC&lt;1</w:t>
            </w:r>
          </w:p>
        </w:tc>
        <w:tc>
          <w:tcPr>
            <w:tcW w:w="1520" w:type="dxa"/>
            <w:vAlign w:val="center"/>
          </w:tcPr>
          <w:p w14:paraId="0224108D">
            <w:pPr>
              <w:pStyle w:val="17"/>
              <w:bidi w:val="0"/>
              <w:rPr>
                <w:rFonts w:hint="default"/>
                <w:color w:val="auto"/>
                <w:highlight w:val="none"/>
                <w:lang w:val="en-US" w:eastAsia="zh-CN"/>
              </w:rPr>
            </w:pPr>
            <w:r>
              <w:rPr>
                <w:rFonts w:hint="default"/>
                <w:color w:val="auto"/>
                <w:highlight w:val="none"/>
                <w:lang w:val="en-US" w:eastAsia="zh-CN"/>
              </w:rPr>
              <w:t>1≤SSC&lt;2</w:t>
            </w:r>
          </w:p>
        </w:tc>
        <w:tc>
          <w:tcPr>
            <w:tcW w:w="1519" w:type="dxa"/>
            <w:vAlign w:val="center"/>
          </w:tcPr>
          <w:p w14:paraId="0749B462">
            <w:pPr>
              <w:pStyle w:val="17"/>
              <w:bidi w:val="0"/>
              <w:rPr>
                <w:rFonts w:hint="default"/>
                <w:color w:val="auto"/>
                <w:highlight w:val="none"/>
                <w:lang w:val="en-US" w:eastAsia="zh-CN"/>
              </w:rPr>
            </w:pPr>
            <w:r>
              <w:rPr>
                <w:rFonts w:hint="default"/>
                <w:color w:val="auto"/>
                <w:highlight w:val="none"/>
                <w:lang w:val="en-US" w:eastAsia="zh-CN"/>
              </w:rPr>
              <w:t>2≤SSC&lt;4</w:t>
            </w:r>
          </w:p>
        </w:tc>
        <w:tc>
          <w:tcPr>
            <w:tcW w:w="1495" w:type="dxa"/>
            <w:vAlign w:val="center"/>
          </w:tcPr>
          <w:p w14:paraId="7BD9ABA1">
            <w:pPr>
              <w:pStyle w:val="17"/>
              <w:bidi w:val="0"/>
              <w:rPr>
                <w:rFonts w:hint="default"/>
                <w:color w:val="auto"/>
                <w:highlight w:val="none"/>
                <w:lang w:val="en-US" w:eastAsia="zh-CN"/>
              </w:rPr>
            </w:pPr>
            <w:r>
              <w:rPr>
                <w:rFonts w:hint="default"/>
                <w:color w:val="auto"/>
                <w:highlight w:val="none"/>
                <w:lang w:val="en-US" w:eastAsia="zh-CN"/>
              </w:rPr>
              <w:t>SSC≥4</w:t>
            </w:r>
          </w:p>
        </w:tc>
        <w:tc>
          <w:tcPr>
            <w:tcW w:w="897" w:type="dxa"/>
            <w:vAlign w:val="center"/>
          </w:tcPr>
          <w:p w14:paraId="1197A92C">
            <w:pPr>
              <w:pStyle w:val="17"/>
              <w:bidi w:val="0"/>
              <w:rPr>
                <w:rFonts w:hint="default"/>
                <w:color w:val="auto"/>
                <w:highlight w:val="none"/>
                <w:lang w:val="en-US" w:eastAsia="zh-CN"/>
              </w:rPr>
            </w:pPr>
            <w:r>
              <w:rPr>
                <w:rFonts w:hint="default"/>
                <w:color w:val="auto"/>
                <w:highlight w:val="none"/>
                <w:lang w:val="en-US" w:eastAsia="zh-CN"/>
              </w:rPr>
              <w:t>0.15</w:t>
            </w:r>
          </w:p>
        </w:tc>
      </w:tr>
      <w:tr w14:paraId="02DD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vAlign w:val="center"/>
          </w:tcPr>
          <w:p w14:paraId="316A9FF0">
            <w:pPr>
              <w:pStyle w:val="17"/>
              <w:bidi w:val="0"/>
              <w:rPr>
                <w:rFonts w:hint="default"/>
                <w:color w:val="auto"/>
                <w:highlight w:val="none"/>
                <w:lang w:val="en-US" w:eastAsia="zh-CN"/>
              </w:rPr>
            </w:pPr>
            <w:r>
              <w:rPr>
                <w:rFonts w:hint="default"/>
                <w:color w:val="auto"/>
                <w:highlight w:val="none"/>
                <w:lang w:val="en-US" w:eastAsia="zh-CN"/>
              </w:rPr>
              <w:t>地下水溶解性总固体（TDS）/（g/L）</w:t>
            </w:r>
          </w:p>
        </w:tc>
        <w:tc>
          <w:tcPr>
            <w:tcW w:w="1250" w:type="dxa"/>
            <w:vAlign w:val="center"/>
          </w:tcPr>
          <w:p w14:paraId="041EF170">
            <w:pPr>
              <w:pStyle w:val="17"/>
              <w:bidi w:val="0"/>
              <w:rPr>
                <w:rFonts w:hint="default"/>
                <w:color w:val="auto"/>
                <w:highlight w:val="none"/>
                <w:lang w:val="en-US" w:eastAsia="zh-CN"/>
              </w:rPr>
            </w:pPr>
            <w:r>
              <w:rPr>
                <w:rFonts w:hint="default"/>
                <w:color w:val="auto"/>
                <w:highlight w:val="none"/>
                <w:lang w:val="en-US" w:eastAsia="zh-CN"/>
              </w:rPr>
              <w:t>TDS&lt;1</w:t>
            </w:r>
          </w:p>
        </w:tc>
        <w:tc>
          <w:tcPr>
            <w:tcW w:w="1520" w:type="dxa"/>
            <w:vAlign w:val="center"/>
          </w:tcPr>
          <w:p w14:paraId="2C4CF4E0">
            <w:pPr>
              <w:pStyle w:val="17"/>
              <w:bidi w:val="0"/>
              <w:rPr>
                <w:rFonts w:hint="default"/>
                <w:color w:val="auto"/>
                <w:highlight w:val="none"/>
                <w:lang w:val="en-US" w:eastAsia="zh-CN"/>
              </w:rPr>
            </w:pPr>
            <w:r>
              <w:rPr>
                <w:rFonts w:hint="default"/>
                <w:color w:val="auto"/>
                <w:highlight w:val="none"/>
                <w:lang w:val="en-US" w:eastAsia="zh-CN"/>
              </w:rPr>
              <w:t>1≤TDS&lt;2</w:t>
            </w:r>
          </w:p>
        </w:tc>
        <w:tc>
          <w:tcPr>
            <w:tcW w:w="1519" w:type="dxa"/>
            <w:vAlign w:val="center"/>
          </w:tcPr>
          <w:p w14:paraId="71E2FD43">
            <w:pPr>
              <w:pStyle w:val="17"/>
              <w:bidi w:val="0"/>
              <w:rPr>
                <w:rFonts w:hint="default"/>
                <w:color w:val="auto"/>
                <w:highlight w:val="none"/>
                <w:lang w:val="en-US" w:eastAsia="zh-CN"/>
              </w:rPr>
            </w:pPr>
            <w:r>
              <w:rPr>
                <w:rFonts w:hint="default"/>
                <w:color w:val="auto"/>
                <w:highlight w:val="none"/>
                <w:lang w:val="en-US" w:eastAsia="zh-CN"/>
              </w:rPr>
              <w:t>2≤TDS&lt;5</w:t>
            </w:r>
          </w:p>
        </w:tc>
        <w:tc>
          <w:tcPr>
            <w:tcW w:w="1495" w:type="dxa"/>
            <w:vAlign w:val="center"/>
          </w:tcPr>
          <w:p w14:paraId="4854E1ED">
            <w:pPr>
              <w:pStyle w:val="17"/>
              <w:bidi w:val="0"/>
              <w:rPr>
                <w:rFonts w:hint="default"/>
                <w:color w:val="auto"/>
                <w:highlight w:val="none"/>
                <w:lang w:val="en-US" w:eastAsia="zh-CN"/>
              </w:rPr>
            </w:pPr>
            <w:r>
              <w:rPr>
                <w:rFonts w:hint="default"/>
                <w:color w:val="auto"/>
                <w:highlight w:val="none"/>
                <w:lang w:val="en-US" w:eastAsia="zh-CN"/>
              </w:rPr>
              <w:t>1≤TDS&lt;2</w:t>
            </w:r>
          </w:p>
        </w:tc>
        <w:tc>
          <w:tcPr>
            <w:tcW w:w="897" w:type="dxa"/>
            <w:vAlign w:val="center"/>
          </w:tcPr>
          <w:p w14:paraId="043E266C">
            <w:pPr>
              <w:pStyle w:val="17"/>
              <w:bidi w:val="0"/>
              <w:rPr>
                <w:rFonts w:hint="default"/>
                <w:color w:val="auto"/>
                <w:highlight w:val="none"/>
                <w:lang w:val="en-US" w:eastAsia="zh-CN"/>
              </w:rPr>
            </w:pPr>
            <w:r>
              <w:rPr>
                <w:rFonts w:hint="default"/>
                <w:color w:val="auto"/>
                <w:highlight w:val="none"/>
                <w:lang w:val="en-US" w:eastAsia="zh-CN"/>
              </w:rPr>
              <w:t>0.15</w:t>
            </w:r>
          </w:p>
        </w:tc>
      </w:tr>
      <w:tr w14:paraId="6772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dxa"/>
            <w:vAlign w:val="center"/>
          </w:tcPr>
          <w:p w14:paraId="2BF22C14">
            <w:pPr>
              <w:pStyle w:val="17"/>
              <w:bidi w:val="0"/>
              <w:rPr>
                <w:rFonts w:hint="default"/>
                <w:color w:val="auto"/>
                <w:highlight w:val="none"/>
                <w:lang w:val="en-US" w:eastAsia="zh-CN"/>
              </w:rPr>
            </w:pPr>
            <w:r>
              <w:rPr>
                <w:rFonts w:hint="default"/>
                <w:color w:val="auto"/>
                <w:highlight w:val="none"/>
                <w:lang w:val="en-US" w:eastAsia="zh-CN"/>
              </w:rPr>
              <w:t>土壤质地</w:t>
            </w:r>
          </w:p>
        </w:tc>
        <w:tc>
          <w:tcPr>
            <w:tcW w:w="1250" w:type="dxa"/>
            <w:vAlign w:val="center"/>
          </w:tcPr>
          <w:p w14:paraId="25EF7095">
            <w:pPr>
              <w:pStyle w:val="17"/>
              <w:bidi w:val="0"/>
              <w:rPr>
                <w:rFonts w:hint="default"/>
                <w:color w:val="auto"/>
                <w:highlight w:val="none"/>
                <w:lang w:val="en-US" w:eastAsia="zh-CN"/>
              </w:rPr>
            </w:pPr>
            <w:r>
              <w:rPr>
                <w:rFonts w:hint="default"/>
                <w:color w:val="auto"/>
                <w:highlight w:val="none"/>
                <w:lang w:val="en-US" w:eastAsia="zh-CN"/>
              </w:rPr>
              <w:t>黏土</w:t>
            </w:r>
          </w:p>
        </w:tc>
        <w:tc>
          <w:tcPr>
            <w:tcW w:w="1520" w:type="dxa"/>
            <w:vAlign w:val="center"/>
          </w:tcPr>
          <w:p w14:paraId="075F4EF1">
            <w:pPr>
              <w:pStyle w:val="17"/>
              <w:bidi w:val="0"/>
              <w:rPr>
                <w:rFonts w:hint="default"/>
                <w:color w:val="auto"/>
                <w:highlight w:val="none"/>
                <w:lang w:val="en-US" w:eastAsia="zh-CN"/>
              </w:rPr>
            </w:pPr>
            <w:r>
              <w:rPr>
                <w:rFonts w:hint="default"/>
                <w:color w:val="auto"/>
                <w:highlight w:val="none"/>
                <w:lang w:val="en-US" w:eastAsia="zh-CN"/>
              </w:rPr>
              <w:t>砂土</w:t>
            </w:r>
          </w:p>
        </w:tc>
        <w:tc>
          <w:tcPr>
            <w:tcW w:w="1519" w:type="dxa"/>
            <w:vAlign w:val="center"/>
          </w:tcPr>
          <w:p w14:paraId="549313CE">
            <w:pPr>
              <w:pStyle w:val="17"/>
              <w:bidi w:val="0"/>
              <w:rPr>
                <w:rFonts w:hint="default"/>
                <w:color w:val="auto"/>
                <w:highlight w:val="none"/>
                <w:lang w:val="en-US" w:eastAsia="zh-CN"/>
              </w:rPr>
            </w:pPr>
            <w:r>
              <w:rPr>
                <w:rFonts w:hint="default"/>
                <w:color w:val="auto"/>
                <w:highlight w:val="none"/>
                <w:lang w:val="en-US" w:eastAsia="zh-CN"/>
              </w:rPr>
              <w:t>壤土</w:t>
            </w:r>
          </w:p>
        </w:tc>
        <w:tc>
          <w:tcPr>
            <w:tcW w:w="1495" w:type="dxa"/>
            <w:vAlign w:val="center"/>
          </w:tcPr>
          <w:p w14:paraId="04131F82">
            <w:pPr>
              <w:pStyle w:val="17"/>
              <w:bidi w:val="0"/>
              <w:rPr>
                <w:rFonts w:hint="default"/>
                <w:color w:val="auto"/>
                <w:highlight w:val="none"/>
                <w:lang w:val="en-US" w:eastAsia="zh-CN"/>
              </w:rPr>
            </w:pPr>
            <w:r>
              <w:rPr>
                <w:rFonts w:hint="default"/>
                <w:color w:val="auto"/>
                <w:highlight w:val="none"/>
                <w:lang w:val="en-US" w:eastAsia="zh-CN"/>
              </w:rPr>
              <w:t>砂壤、粉土、砂粉土</w:t>
            </w:r>
          </w:p>
        </w:tc>
        <w:tc>
          <w:tcPr>
            <w:tcW w:w="897" w:type="dxa"/>
            <w:vAlign w:val="center"/>
          </w:tcPr>
          <w:p w14:paraId="1D3A9E32">
            <w:pPr>
              <w:pStyle w:val="17"/>
              <w:bidi w:val="0"/>
              <w:rPr>
                <w:rFonts w:hint="default"/>
                <w:color w:val="auto"/>
                <w:highlight w:val="none"/>
                <w:lang w:val="en-US" w:eastAsia="zh-CN"/>
              </w:rPr>
            </w:pPr>
            <w:r>
              <w:rPr>
                <w:rFonts w:hint="default"/>
                <w:color w:val="auto"/>
                <w:highlight w:val="none"/>
                <w:lang w:val="en-US" w:eastAsia="zh-CN"/>
              </w:rPr>
              <w:t>0.1</w:t>
            </w:r>
          </w:p>
        </w:tc>
      </w:tr>
    </w:tbl>
    <w:p w14:paraId="03DC5515">
      <w:pPr>
        <w:pStyle w:val="19"/>
        <w:bidi w:val="0"/>
        <w:rPr>
          <w:rFonts w:hint="default"/>
          <w:color w:val="auto"/>
          <w:highlight w:val="none"/>
          <w:lang w:val="en-US" w:eastAsia="zh-CN"/>
        </w:rPr>
      </w:pPr>
      <w:r>
        <w:rPr>
          <w:rFonts w:hint="default"/>
          <w:color w:val="auto"/>
          <w:highlight w:val="none"/>
          <w:lang w:val="en-US" w:eastAsia="zh-CN"/>
        </w:rPr>
        <w:t>表5.2-</w:t>
      </w:r>
      <w:r>
        <w:rPr>
          <w:rFonts w:hint="eastAsia"/>
          <w:color w:val="auto"/>
          <w:highlight w:val="none"/>
          <w:lang w:val="en-US" w:eastAsia="zh-CN"/>
        </w:rPr>
        <w:t>32</w:t>
      </w:r>
      <w:r>
        <w:rPr>
          <w:rFonts w:hint="default"/>
          <w:color w:val="auto"/>
          <w:highlight w:val="none"/>
          <w:lang w:val="en-US" w:eastAsia="zh-CN"/>
        </w:rPr>
        <w:t xml:space="preserve">  土壤盐化预测表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983"/>
        <w:gridCol w:w="1100"/>
        <w:gridCol w:w="1117"/>
        <w:gridCol w:w="1150"/>
        <w:gridCol w:w="1364"/>
      </w:tblGrid>
      <w:tr w14:paraId="0BF2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08" w:type="dxa"/>
            <w:vAlign w:val="center"/>
          </w:tcPr>
          <w:p w14:paraId="3D9BC977">
            <w:pPr>
              <w:pStyle w:val="17"/>
              <w:bidi w:val="0"/>
              <w:jc w:val="center"/>
              <w:rPr>
                <w:rFonts w:hint="default"/>
                <w:color w:val="auto"/>
                <w:highlight w:val="none"/>
                <w:lang w:val="en-US" w:eastAsia="zh-CN"/>
              </w:rPr>
            </w:pPr>
            <w:r>
              <w:rPr>
                <w:rFonts w:hint="default"/>
                <w:color w:val="auto"/>
                <w:highlight w:val="none"/>
                <w:lang w:val="en-US" w:eastAsia="zh-CN"/>
              </w:rPr>
              <w:t>土壤盐化综合评分值（Sa）</w:t>
            </w:r>
          </w:p>
        </w:tc>
        <w:tc>
          <w:tcPr>
            <w:tcW w:w="983" w:type="dxa"/>
            <w:vAlign w:val="center"/>
          </w:tcPr>
          <w:p w14:paraId="1E5B4FFE">
            <w:pPr>
              <w:pStyle w:val="17"/>
              <w:bidi w:val="0"/>
              <w:jc w:val="center"/>
              <w:rPr>
                <w:rFonts w:hint="default"/>
                <w:color w:val="auto"/>
                <w:highlight w:val="none"/>
                <w:lang w:val="en-US" w:eastAsia="zh-CN"/>
              </w:rPr>
            </w:pPr>
            <w:r>
              <w:rPr>
                <w:rFonts w:hint="default"/>
                <w:color w:val="auto"/>
                <w:highlight w:val="none"/>
                <w:lang w:val="en-US" w:eastAsia="zh-CN"/>
              </w:rPr>
              <w:t>Sa&lt;1</w:t>
            </w:r>
          </w:p>
        </w:tc>
        <w:tc>
          <w:tcPr>
            <w:tcW w:w="1100" w:type="dxa"/>
            <w:vAlign w:val="center"/>
          </w:tcPr>
          <w:p w14:paraId="19DB3991">
            <w:pPr>
              <w:pStyle w:val="17"/>
              <w:bidi w:val="0"/>
              <w:jc w:val="center"/>
              <w:rPr>
                <w:rFonts w:hint="default"/>
                <w:color w:val="auto"/>
                <w:highlight w:val="none"/>
                <w:lang w:val="en-US" w:eastAsia="zh-CN"/>
              </w:rPr>
            </w:pPr>
            <w:r>
              <w:rPr>
                <w:rFonts w:hint="default"/>
                <w:color w:val="auto"/>
                <w:highlight w:val="none"/>
                <w:lang w:val="en-US" w:eastAsia="zh-CN"/>
              </w:rPr>
              <w:t>1≤Sa&lt;2</w:t>
            </w:r>
          </w:p>
        </w:tc>
        <w:tc>
          <w:tcPr>
            <w:tcW w:w="1117" w:type="dxa"/>
            <w:vAlign w:val="center"/>
          </w:tcPr>
          <w:p w14:paraId="3F703873">
            <w:pPr>
              <w:pStyle w:val="17"/>
              <w:bidi w:val="0"/>
              <w:jc w:val="center"/>
              <w:rPr>
                <w:rFonts w:hint="default"/>
                <w:color w:val="auto"/>
                <w:highlight w:val="none"/>
                <w:lang w:val="en-US" w:eastAsia="zh-CN"/>
              </w:rPr>
            </w:pPr>
            <w:r>
              <w:rPr>
                <w:rFonts w:hint="default"/>
                <w:color w:val="auto"/>
                <w:highlight w:val="none"/>
                <w:lang w:val="en-US" w:eastAsia="zh-CN"/>
              </w:rPr>
              <w:t>2≤Sa&lt;3</w:t>
            </w:r>
          </w:p>
        </w:tc>
        <w:tc>
          <w:tcPr>
            <w:tcW w:w="1150" w:type="dxa"/>
            <w:vAlign w:val="center"/>
          </w:tcPr>
          <w:p w14:paraId="4E0DB601">
            <w:pPr>
              <w:pStyle w:val="17"/>
              <w:bidi w:val="0"/>
              <w:jc w:val="center"/>
              <w:rPr>
                <w:rFonts w:hint="default"/>
                <w:color w:val="auto"/>
                <w:highlight w:val="none"/>
                <w:lang w:val="en-US" w:eastAsia="zh-CN"/>
              </w:rPr>
            </w:pPr>
            <w:r>
              <w:rPr>
                <w:rFonts w:hint="default"/>
                <w:color w:val="auto"/>
                <w:highlight w:val="none"/>
                <w:lang w:val="en-US" w:eastAsia="zh-CN"/>
              </w:rPr>
              <w:t>3≤Sa&lt;4.5</w:t>
            </w:r>
          </w:p>
        </w:tc>
        <w:tc>
          <w:tcPr>
            <w:tcW w:w="1364" w:type="dxa"/>
            <w:vAlign w:val="center"/>
          </w:tcPr>
          <w:p w14:paraId="18FC314D">
            <w:pPr>
              <w:pStyle w:val="17"/>
              <w:bidi w:val="0"/>
              <w:jc w:val="center"/>
              <w:rPr>
                <w:rFonts w:hint="default"/>
                <w:color w:val="auto"/>
                <w:highlight w:val="none"/>
                <w:lang w:val="en-US" w:eastAsia="zh-CN"/>
              </w:rPr>
            </w:pPr>
            <w:r>
              <w:rPr>
                <w:rFonts w:hint="default"/>
                <w:color w:val="auto"/>
                <w:highlight w:val="none"/>
                <w:lang w:val="en-US" w:eastAsia="zh-CN"/>
              </w:rPr>
              <w:t>Sa≥4.5</w:t>
            </w:r>
          </w:p>
        </w:tc>
      </w:tr>
      <w:tr w14:paraId="6F8A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08" w:type="dxa"/>
            <w:vAlign w:val="center"/>
          </w:tcPr>
          <w:p w14:paraId="0FBA26F9">
            <w:pPr>
              <w:pStyle w:val="17"/>
              <w:bidi w:val="0"/>
              <w:jc w:val="center"/>
              <w:rPr>
                <w:rFonts w:hint="default"/>
                <w:color w:val="auto"/>
                <w:highlight w:val="none"/>
                <w:lang w:val="en-US" w:eastAsia="zh-CN"/>
              </w:rPr>
            </w:pPr>
            <w:r>
              <w:rPr>
                <w:rFonts w:hint="default"/>
                <w:color w:val="auto"/>
                <w:highlight w:val="none"/>
                <w:lang w:val="en-US" w:eastAsia="zh-CN"/>
              </w:rPr>
              <w:t>土壤盐化综合评分预测结果</w:t>
            </w:r>
          </w:p>
        </w:tc>
        <w:tc>
          <w:tcPr>
            <w:tcW w:w="983" w:type="dxa"/>
            <w:vAlign w:val="center"/>
          </w:tcPr>
          <w:p w14:paraId="21FA7D77">
            <w:pPr>
              <w:pStyle w:val="17"/>
              <w:bidi w:val="0"/>
              <w:jc w:val="center"/>
              <w:rPr>
                <w:rFonts w:hint="default"/>
                <w:color w:val="auto"/>
                <w:highlight w:val="none"/>
                <w:lang w:val="en-US" w:eastAsia="zh-CN"/>
              </w:rPr>
            </w:pPr>
            <w:r>
              <w:rPr>
                <w:rFonts w:hint="default"/>
                <w:color w:val="auto"/>
                <w:highlight w:val="none"/>
                <w:lang w:val="en-US" w:eastAsia="zh-CN"/>
              </w:rPr>
              <w:t>未盐化</w:t>
            </w:r>
          </w:p>
        </w:tc>
        <w:tc>
          <w:tcPr>
            <w:tcW w:w="1100" w:type="dxa"/>
            <w:vAlign w:val="center"/>
          </w:tcPr>
          <w:p w14:paraId="094C8914">
            <w:pPr>
              <w:pStyle w:val="17"/>
              <w:bidi w:val="0"/>
              <w:jc w:val="center"/>
              <w:rPr>
                <w:rFonts w:hint="default"/>
                <w:color w:val="auto"/>
                <w:highlight w:val="none"/>
                <w:lang w:val="en-US" w:eastAsia="zh-CN"/>
              </w:rPr>
            </w:pPr>
            <w:r>
              <w:rPr>
                <w:rFonts w:hint="default"/>
                <w:color w:val="auto"/>
                <w:highlight w:val="none"/>
                <w:lang w:val="en-US" w:eastAsia="zh-CN"/>
              </w:rPr>
              <w:t>轻度盐化</w:t>
            </w:r>
          </w:p>
        </w:tc>
        <w:tc>
          <w:tcPr>
            <w:tcW w:w="1117" w:type="dxa"/>
            <w:vAlign w:val="center"/>
          </w:tcPr>
          <w:p w14:paraId="53816CF6">
            <w:pPr>
              <w:pStyle w:val="17"/>
              <w:bidi w:val="0"/>
              <w:jc w:val="center"/>
              <w:rPr>
                <w:rFonts w:hint="default"/>
                <w:color w:val="auto"/>
                <w:highlight w:val="none"/>
                <w:lang w:val="en-US" w:eastAsia="zh-CN"/>
              </w:rPr>
            </w:pPr>
            <w:r>
              <w:rPr>
                <w:rFonts w:hint="default"/>
                <w:color w:val="auto"/>
                <w:highlight w:val="none"/>
                <w:lang w:val="en-US" w:eastAsia="zh-CN"/>
              </w:rPr>
              <w:t>中度盐化</w:t>
            </w:r>
          </w:p>
        </w:tc>
        <w:tc>
          <w:tcPr>
            <w:tcW w:w="1150" w:type="dxa"/>
            <w:vAlign w:val="center"/>
          </w:tcPr>
          <w:p w14:paraId="638799BE">
            <w:pPr>
              <w:pStyle w:val="17"/>
              <w:bidi w:val="0"/>
              <w:jc w:val="center"/>
              <w:rPr>
                <w:rFonts w:hint="default"/>
                <w:color w:val="auto"/>
                <w:highlight w:val="none"/>
                <w:lang w:val="en-US" w:eastAsia="zh-CN"/>
              </w:rPr>
            </w:pPr>
            <w:r>
              <w:rPr>
                <w:rFonts w:hint="default"/>
                <w:color w:val="auto"/>
                <w:highlight w:val="none"/>
                <w:lang w:val="en-US" w:eastAsia="zh-CN"/>
              </w:rPr>
              <w:t>重度盐化</w:t>
            </w:r>
          </w:p>
        </w:tc>
        <w:tc>
          <w:tcPr>
            <w:tcW w:w="1364" w:type="dxa"/>
            <w:vAlign w:val="center"/>
          </w:tcPr>
          <w:p w14:paraId="50E19AA2">
            <w:pPr>
              <w:pStyle w:val="17"/>
              <w:bidi w:val="0"/>
              <w:jc w:val="center"/>
              <w:rPr>
                <w:rFonts w:hint="default"/>
                <w:color w:val="auto"/>
                <w:highlight w:val="none"/>
                <w:lang w:val="en-US" w:eastAsia="zh-CN"/>
              </w:rPr>
            </w:pPr>
            <w:r>
              <w:rPr>
                <w:rFonts w:hint="default"/>
                <w:color w:val="auto"/>
                <w:highlight w:val="none"/>
                <w:lang w:val="en-US" w:eastAsia="zh-CN"/>
              </w:rPr>
              <w:t>极重度盐化</w:t>
            </w:r>
          </w:p>
        </w:tc>
      </w:tr>
    </w:tbl>
    <w:p w14:paraId="3A6C2B71">
      <w:pPr>
        <w:keepNext w:val="0"/>
        <w:keepLines w:val="0"/>
        <w:widowControl/>
        <w:suppressLineNumbers w:val="0"/>
        <w:spacing w:line="360" w:lineRule="auto"/>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②土壤盐化预测结果分析</w:t>
      </w:r>
    </w:p>
    <w:p w14:paraId="2F0DDDDC">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根据前文水文地质章节描述，采矿区地下水位埋深为</w:t>
      </w:r>
      <w:r>
        <w:rPr>
          <w:rFonts w:hint="eastAsia" w:ascii="Times New Roman" w:hAnsi="Times New Roman" w:eastAsia="宋体" w:cs="Times New Roman"/>
          <w:color w:val="auto"/>
          <w:kern w:val="0"/>
          <w:sz w:val="24"/>
          <w:szCs w:val="24"/>
          <w:highlight w:val="none"/>
          <w:lang w:val="en-US" w:eastAsia="zh-CN" w:bidi="ar"/>
        </w:rPr>
        <w:t>17.4</w:t>
      </w:r>
      <w:r>
        <w:rPr>
          <w:rFonts w:hint="default" w:ascii="Times New Roman" w:hAnsi="Times New Roman" w:eastAsia="宋体" w:cs="Times New Roman"/>
          <w:color w:val="auto"/>
          <w:kern w:val="0"/>
          <w:sz w:val="24"/>
          <w:szCs w:val="24"/>
          <w:highlight w:val="none"/>
          <w:lang w:val="en-US" w:eastAsia="zh-CN" w:bidi="ar"/>
        </w:rPr>
        <w:t>m</w:t>
      </w:r>
      <w:r>
        <w:rPr>
          <w:rFonts w:hint="eastAsia" w:ascii="Times New Roman" w:hAnsi="Times New Roman" w:eastAsia="宋体" w:cs="Times New Roman"/>
          <w:color w:val="auto"/>
          <w:kern w:val="0"/>
          <w:sz w:val="24"/>
          <w:szCs w:val="24"/>
          <w:highlight w:val="none"/>
          <w:lang w:val="en-US" w:eastAsia="zh-CN" w:bidi="ar"/>
        </w:rPr>
        <w:t>~185.5</w:t>
      </w:r>
      <w:r>
        <w:rPr>
          <w:rFonts w:hint="default" w:ascii="Times New Roman" w:hAnsi="Times New Roman" w:eastAsia="宋体" w:cs="Times New Roman"/>
          <w:color w:val="auto"/>
          <w:kern w:val="0"/>
          <w:sz w:val="24"/>
          <w:szCs w:val="24"/>
          <w:highlight w:val="none"/>
          <w:lang w:val="en-US" w:eastAsia="zh-CN" w:bidi="ar"/>
        </w:rPr>
        <w:t>m之间，干燥度（蒸降比值）（EPR）约</w:t>
      </w:r>
      <w:r>
        <w:rPr>
          <w:rFonts w:hint="eastAsia" w:ascii="Times New Roman" w:hAnsi="Times New Roman" w:eastAsia="宋体" w:cs="Times New Roman"/>
          <w:color w:val="auto"/>
          <w:kern w:val="0"/>
          <w:sz w:val="24"/>
          <w:szCs w:val="24"/>
          <w:highlight w:val="none"/>
          <w:lang w:val="en-US" w:eastAsia="zh-CN" w:bidi="ar"/>
        </w:rPr>
        <w:t>48.06</w:t>
      </w:r>
      <w:r>
        <w:rPr>
          <w:rFonts w:hint="default" w:ascii="Times New Roman" w:hAnsi="Times New Roman" w:eastAsia="宋体" w:cs="Times New Roman"/>
          <w:color w:val="auto"/>
          <w:kern w:val="0"/>
          <w:sz w:val="24"/>
          <w:szCs w:val="24"/>
          <w:highlight w:val="none"/>
          <w:lang w:val="en-US" w:eastAsia="zh-CN" w:bidi="ar"/>
        </w:rPr>
        <w:t>，本次监测土壤本底含盐量（SSD）/（g/kg）最大值</w:t>
      </w:r>
      <w:r>
        <w:rPr>
          <w:rFonts w:hint="eastAsia" w:ascii="Times New Roman" w:hAnsi="Times New Roman" w:eastAsia="宋体" w:cs="Times New Roman"/>
          <w:color w:val="auto"/>
          <w:kern w:val="0"/>
          <w:sz w:val="24"/>
          <w:szCs w:val="24"/>
          <w:highlight w:val="none"/>
          <w:lang w:val="en-US" w:eastAsia="zh-CN" w:bidi="ar"/>
        </w:rPr>
        <w:t>50.9g/kg</w:t>
      </w:r>
      <w:r>
        <w:rPr>
          <w:rFonts w:hint="default" w:ascii="Times New Roman" w:hAnsi="Times New Roman" w:eastAsia="宋体" w:cs="Times New Roman"/>
          <w:color w:val="auto"/>
          <w:kern w:val="0"/>
          <w:sz w:val="24"/>
          <w:szCs w:val="24"/>
          <w:highlight w:val="none"/>
          <w:lang w:val="en-US" w:eastAsia="zh-CN" w:bidi="ar"/>
        </w:rPr>
        <w:t>，地下水TDS浓度为0.3</w:t>
      </w:r>
      <w:r>
        <w:rPr>
          <w:rFonts w:hint="eastAsia" w:ascii="Times New Roman" w:hAnsi="Times New Roman" w:eastAsia="宋体" w:cs="Times New Roman"/>
          <w:color w:val="auto"/>
          <w:kern w:val="0"/>
          <w:sz w:val="24"/>
          <w:szCs w:val="24"/>
          <w:highlight w:val="none"/>
          <w:lang w:val="en-US" w:eastAsia="zh-CN" w:bidi="ar"/>
        </w:rPr>
        <w:t>405~0.798</w:t>
      </w:r>
      <w:r>
        <w:rPr>
          <w:rFonts w:hint="default" w:ascii="Times New Roman" w:hAnsi="Times New Roman" w:eastAsia="宋体" w:cs="Times New Roman"/>
          <w:color w:val="auto"/>
          <w:kern w:val="0"/>
          <w:sz w:val="24"/>
          <w:szCs w:val="24"/>
          <w:highlight w:val="none"/>
          <w:lang w:val="en-US" w:eastAsia="zh-CN" w:bidi="ar"/>
        </w:rPr>
        <w:t>g/L，土壤质地为砂</w:t>
      </w:r>
      <w:r>
        <w:rPr>
          <w:rFonts w:hint="eastAsia" w:cs="Times New Roman"/>
          <w:color w:val="auto"/>
          <w:kern w:val="0"/>
          <w:sz w:val="24"/>
          <w:szCs w:val="24"/>
          <w:highlight w:val="none"/>
          <w:lang w:val="en-US" w:eastAsia="zh-CN" w:bidi="ar"/>
        </w:rPr>
        <w:t>壤</w:t>
      </w:r>
      <w:r>
        <w:rPr>
          <w:rFonts w:hint="default" w:ascii="Times New Roman" w:hAnsi="Times New Roman" w:eastAsia="宋体" w:cs="Times New Roman"/>
          <w:color w:val="auto"/>
          <w:kern w:val="0"/>
          <w:sz w:val="24"/>
          <w:szCs w:val="24"/>
          <w:highlight w:val="none"/>
          <w:lang w:val="en-US" w:eastAsia="zh-CN" w:bidi="ar"/>
        </w:rPr>
        <w:t>土，计算干燥度、土壤本底含盐量及土壤质地的权重及分值，计算得Sa=</w:t>
      </w:r>
      <w:r>
        <w:rPr>
          <w:rFonts w:hint="eastAsia" w:ascii="Times New Roman" w:hAnsi="Times New Roman" w:eastAsia="宋体" w:cs="Times New Roman"/>
          <w:color w:val="auto"/>
          <w:kern w:val="0"/>
          <w:sz w:val="24"/>
          <w:szCs w:val="24"/>
          <w:highlight w:val="none"/>
          <w:lang w:val="en-US" w:eastAsia="zh-CN" w:bidi="ar"/>
        </w:rPr>
        <w:t>3</w:t>
      </w:r>
      <w:r>
        <w:rPr>
          <w:rFonts w:hint="default" w:ascii="Times New Roman" w:hAnsi="Times New Roman" w:eastAsia="宋体" w:cs="Times New Roman"/>
          <w:color w:val="auto"/>
          <w:kern w:val="0"/>
          <w:sz w:val="24"/>
          <w:szCs w:val="24"/>
          <w:highlight w:val="none"/>
          <w:lang w:val="en-US" w:eastAsia="zh-CN" w:bidi="ar"/>
        </w:rPr>
        <w:t>，因此矿区范围内盐化程度为</w:t>
      </w:r>
      <w:r>
        <w:rPr>
          <w:rFonts w:hint="eastAsia" w:ascii="Times New Roman" w:hAnsi="Times New Roman" w:eastAsia="宋体" w:cs="Times New Roman"/>
          <w:color w:val="auto"/>
          <w:kern w:val="0"/>
          <w:sz w:val="24"/>
          <w:szCs w:val="24"/>
          <w:highlight w:val="none"/>
          <w:lang w:val="en-US" w:eastAsia="zh-CN" w:bidi="ar"/>
        </w:rPr>
        <w:t>重度</w:t>
      </w:r>
      <w:r>
        <w:rPr>
          <w:rFonts w:hint="default" w:ascii="Times New Roman" w:hAnsi="Times New Roman" w:eastAsia="宋体" w:cs="Times New Roman"/>
          <w:color w:val="auto"/>
          <w:kern w:val="0"/>
          <w:sz w:val="24"/>
          <w:szCs w:val="24"/>
          <w:highlight w:val="none"/>
          <w:lang w:val="en-US" w:eastAsia="zh-CN" w:bidi="ar"/>
        </w:rPr>
        <w:t>盐化。</w:t>
      </w:r>
    </w:p>
    <w:p w14:paraId="5404C846">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
        </w:rPr>
      </w:pPr>
      <w:r>
        <w:rPr>
          <w:rFonts w:hint="default"/>
          <w:color w:val="auto"/>
          <w:highlight w:val="none"/>
          <w:lang w:val="en-US" w:eastAsia="zh-CN"/>
        </w:rPr>
        <w:t>根据本项目土壤质量现状监测结果，矿区范围及周边土壤含盐量</w:t>
      </w:r>
      <w:r>
        <w:rPr>
          <w:rFonts w:hint="eastAsia"/>
          <w:color w:val="auto"/>
          <w:highlight w:val="none"/>
          <w:lang w:val="en-US" w:eastAsia="zh-CN"/>
        </w:rPr>
        <w:t>在6.68～50.9</w:t>
      </w:r>
      <w:r>
        <w:rPr>
          <w:rFonts w:hint="default"/>
          <w:color w:val="auto"/>
          <w:highlight w:val="none"/>
          <w:lang w:val="en-US" w:eastAsia="zh-CN"/>
        </w:rPr>
        <w:t>g/kg</w:t>
      </w:r>
      <w:r>
        <w:rPr>
          <w:rFonts w:hint="eastAsia"/>
          <w:color w:val="auto"/>
          <w:highlight w:val="none"/>
          <w:lang w:val="en-US" w:eastAsia="zh-CN"/>
        </w:rPr>
        <w:t>之间</w:t>
      </w:r>
      <w:r>
        <w:rPr>
          <w:rFonts w:hint="default"/>
          <w:color w:val="auto"/>
          <w:highlight w:val="none"/>
          <w:lang w:val="en-US" w:eastAsia="zh-CN"/>
        </w:rPr>
        <w:t>，</w:t>
      </w:r>
      <w:r>
        <w:rPr>
          <w:rFonts w:hint="eastAsia"/>
          <w:color w:val="auto"/>
          <w:highlight w:val="none"/>
          <w:lang w:val="en-US" w:eastAsia="zh-CN"/>
        </w:rPr>
        <w:t>属于重度盐化、极重度</w:t>
      </w:r>
      <w:r>
        <w:rPr>
          <w:rFonts w:hint="default"/>
          <w:color w:val="auto"/>
          <w:highlight w:val="none"/>
          <w:lang w:val="en-US" w:eastAsia="zh-CN"/>
        </w:rPr>
        <w:t>盐化，</w:t>
      </w:r>
      <w:r>
        <w:rPr>
          <w:rFonts w:ascii="宋体" w:hAnsi="宋体" w:eastAsia="宋体" w:cs="宋体"/>
          <w:color w:val="auto"/>
          <w:sz w:val="24"/>
          <w:szCs w:val="24"/>
          <w:highlight w:val="none"/>
        </w:rPr>
        <w:t>受区域干旱气候、高矿化度地下水等原生背景控制；经预测，项目实施后土壤盐化程度未加重</w:t>
      </w:r>
      <w:r>
        <w:rPr>
          <w:rFonts w:hint="eastAsia" w:ascii="宋体" w:hAnsi="宋体" w:eastAsia="宋体" w:cs="宋体"/>
          <w:color w:val="auto"/>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bidi="ar"/>
        </w:rPr>
        <w:t>对土壤的生态影响较小，不会对区域土壤环境造成较</w:t>
      </w:r>
      <w:r>
        <w:rPr>
          <w:rFonts w:hint="eastAsia" w:ascii="Times New Roman" w:hAnsi="Times New Roman" w:eastAsia="宋体" w:cs="Times New Roman"/>
          <w:color w:val="auto"/>
          <w:kern w:val="0"/>
          <w:sz w:val="24"/>
          <w:szCs w:val="24"/>
          <w:highlight w:val="none"/>
          <w:lang w:val="en-US" w:eastAsia="zh-CN" w:bidi="ar"/>
        </w:rPr>
        <w:t>大的</w:t>
      </w:r>
      <w:r>
        <w:rPr>
          <w:rFonts w:hint="default" w:ascii="Times New Roman" w:hAnsi="Times New Roman" w:eastAsia="宋体" w:cs="Times New Roman"/>
          <w:color w:val="auto"/>
          <w:kern w:val="0"/>
          <w:sz w:val="24"/>
          <w:szCs w:val="24"/>
          <w:highlight w:val="none"/>
          <w:lang w:val="en-US" w:eastAsia="zh-CN" w:bidi="ar"/>
        </w:rPr>
        <w:t>碱化及盐化影响。</w:t>
      </w:r>
    </w:p>
    <w:p w14:paraId="103E5418">
      <w:pPr>
        <w:pStyle w:val="7"/>
        <w:ind w:firstLine="482"/>
        <w:rPr>
          <w:color w:val="auto"/>
          <w:highlight w:val="none"/>
        </w:rPr>
      </w:pPr>
      <w:r>
        <w:rPr>
          <w:color w:val="auto"/>
          <w:highlight w:val="none"/>
        </w:rPr>
        <w:t>5.2.6.</w:t>
      </w:r>
      <w:r>
        <w:rPr>
          <w:rFonts w:hint="eastAsia"/>
          <w:color w:val="auto"/>
          <w:highlight w:val="none"/>
          <w:lang w:val="en-US" w:eastAsia="zh-CN"/>
        </w:rPr>
        <w:t>4</w:t>
      </w:r>
      <w:r>
        <w:rPr>
          <w:color w:val="auto"/>
          <w:highlight w:val="none"/>
        </w:rPr>
        <w:t>预测与评价结论</w:t>
      </w:r>
    </w:p>
    <w:p w14:paraId="351D492E">
      <w:pPr>
        <w:bidi w:val="0"/>
        <w:rPr>
          <w:rFonts w:hint="default"/>
          <w:color w:val="auto"/>
          <w:highlight w:val="none"/>
          <w:lang w:val="en-US" w:eastAsia="zh-CN"/>
        </w:rPr>
      </w:pPr>
      <w:r>
        <w:rPr>
          <w:rFonts w:hint="default"/>
          <w:color w:val="auto"/>
          <w:highlight w:val="none"/>
          <w:lang w:val="en-US" w:eastAsia="zh-CN"/>
        </w:rPr>
        <w:t>本工程各功能区均采取“源头控制”“分区防控”的防渗措施，可以有效保证污染物不会进入土壤环境，防止污染土壤。危险废物</w:t>
      </w:r>
      <w:r>
        <w:rPr>
          <w:rFonts w:hint="eastAsia"/>
          <w:color w:val="auto"/>
          <w:highlight w:val="none"/>
          <w:lang w:val="en-US" w:eastAsia="zh-CN"/>
        </w:rPr>
        <w:t>贮存</w:t>
      </w:r>
      <w:r>
        <w:rPr>
          <w:rFonts w:hint="default"/>
          <w:color w:val="auto"/>
          <w:highlight w:val="none"/>
          <w:lang w:val="en-US" w:eastAsia="zh-CN"/>
        </w:rPr>
        <w:t>库已按《危险废物贮存污染控制标准》（GB18597-2023）要求进行设计建造。危险废物分类收集后，定期交由有危废处置资质的单位进行处置。整个过程基本上可以杜绝危险废物接触土壤，且建设项目场地地面会做硬化处理，对土壤环境不会造成影响。</w:t>
      </w:r>
    </w:p>
    <w:p w14:paraId="5C590A6C">
      <w:pPr>
        <w:bidi w:val="0"/>
        <w:rPr>
          <w:color w:val="auto"/>
          <w:highlight w:val="none"/>
        </w:rPr>
      </w:pPr>
      <w:r>
        <w:rPr>
          <w:rFonts w:hint="default"/>
          <w:color w:val="auto"/>
          <w:highlight w:val="none"/>
          <w:lang w:val="en-US" w:eastAsia="zh-CN"/>
        </w:rPr>
        <w:t>运营期产生的废水、固体废物和危险废物等污染物均有</w:t>
      </w:r>
      <w:r>
        <w:rPr>
          <w:rFonts w:hint="eastAsia"/>
          <w:color w:val="auto"/>
          <w:highlight w:val="none"/>
          <w:lang w:val="en-US" w:eastAsia="zh-CN"/>
        </w:rPr>
        <w:t>妥善地</w:t>
      </w:r>
      <w:r>
        <w:rPr>
          <w:rFonts w:hint="default"/>
          <w:color w:val="auto"/>
          <w:highlight w:val="none"/>
          <w:lang w:val="en-US" w:eastAsia="zh-CN"/>
        </w:rPr>
        <w:t>处理、处置措施严格执行各项环保措施，则各种污染物对土壤环境的影响均处于可接受范围内。</w:t>
      </w:r>
    </w:p>
    <w:p w14:paraId="1E848F24">
      <w:pPr>
        <w:pStyle w:val="7"/>
        <w:ind w:firstLine="482"/>
        <w:rPr>
          <w:color w:val="auto"/>
          <w:highlight w:val="none"/>
        </w:rPr>
      </w:pPr>
      <w:r>
        <w:rPr>
          <w:color w:val="auto"/>
          <w:highlight w:val="none"/>
        </w:rPr>
        <w:t>5.2.6.</w:t>
      </w:r>
      <w:r>
        <w:rPr>
          <w:rFonts w:hint="eastAsia"/>
          <w:color w:val="auto"/>
          <w:highlight w:val="none"/>
          <w:lang w:val="en-US" w:eastAsia="zh-CN"/>
        </w:rPr>
        <w:t>5</w:t>
      </w:r>
      <w:r>
        <w:rPr>
          <w:color w:val="auto"/>
          <w:highlight w:val="none"/>
        </w:rPr>
        <w:t>土壤环境影响自查表</w:t>
      </w:r>
    </w:p>
    <w:p w14:paraId="7CB571F8">
      <w:pPr>
        <w:bidi w:val="0"/>
        <w:rPr>
          <w:rFonts w:hint="default"/>
          <w:color w:val="auto"/>
          <w:highlight w:val="none"/>
          <w:lang w:val="en-US" w:eastAsia="zh-CN"/>
        </w:rPr>
      </w:pPr>
      <w:r>
        <w:rPr>
          <w:rFonts w:hint="default"/>
          <w:color w:val="auto"/>
          <w:highlight w:val="none"/>
          <w:lang w:val="en-US" w:eastAsia="zh-CN"/>
        </w:rPr>
        <w:t>本项目土壤环境影响评价自查表见下表5.2-</w:t>
      </w:r>
      <w:r>
        <w:rPr>
          <w:rFonts w:hint="eastAsia"/>
          <w:color w:val="auto"/>
          <w:highlight w:val="none"/>
          <w:lang w:val="en-US" w:eastAsia="zh-CN"/>
        </w:rPr>
        <w:t>33</w:t>
      </w:r>
      <w:r>
        <w:rPr>
          <w:rFonts w:hint="default"/>
          <w:color w:val="auto"/>
          <w:highlight w:val="none"/>
          <w:lang w:val="en-US" w:eastAsia="zh-CN"/>
        </w:rPr>
        <w:t>。</w:t>
      </w:r>
    </w:p>
    <w:p w14:paraId="090AB1AE">
      <w:pPr>
        <w:adjustRightInd w:val="0"/>
        <w:snapToGrid w:val="0"/>
        <w:ind w:firstLine="0" w:firstLineChars="0"/>
        <w:jc w:val="center"/>
        <w:rPr>
          <w:b/>
          <w:snapToGrid w:val="0"/>
          <w:color w:val="auto"/>
          <w:kern w:val="0"/>
          <w:highlight w:val="none"/>
        </w:rPr>
      </w:pPr>
      <w:r>
        <w:rPr>
          <w:b/>
          <w:snapToGrid w:val="0"/>
          <w:color w:val="auto"/>
          <w:kern w:val="0"/>
          <w:highlight w:val="none"/>
        </w:rPr>
        <w:t>表5.2-</w:t>
      </w:r>
      <w:r>
        <w:rPr>
          <w:rFonts w:hint="eastAsia"/>
          <w:b/>
          <w:snapToGrid w:val="0"/>
          <w:color w:val="auto"/>
          <w:kern w:val="0"/>
          <w:highlight w:val="none"/>
          <w:lang w:val="en-US" w:eastAsia="zh-CN"/>
        </w:rPr>
        <w:t>33</w:t>
      </w:r>
      <w:r>
        <w:rPr>
          <w:b/>
          <w:snapToGrid w:val="0"/>
          <w:color w:val="auto"/>
          <w:kern w:val="0"/>
          <w:highlight w:val="none"/>
        </w:rPr>
        <w:t xml:space="preserve">    土壤环境影响评价自查表</w:t>
      </w:r>
    </w:p>
    <w:tbl>
      <w:tblPr>
        <w:tblStyle w:val="13"/>
        <w:tblW w:w="8334"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383"/>
        <w:gridCol w:w="1557"/>
        <w:gridCol w:w="1216"/>
        <w:gridCol w:w="1377"/>
        <w:gridCol w:w="1457"/>
        <w:gridCol w:w="328"/>
        <w:gridCol w:w="1078"/>
        <w:gridCol w:w="938"/>
      </w:tblGrid>
      <w:tr w14:paraId="399E832F">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tblHeader/>
          <w:jc w:val="center"/>
        </w:trPr>
        <w:tc>
          <w:tcPr>
            <w:tcW w:w="1940" w:type="dxa"/>
            <w:gridSpan w:val="2"/>
            <w:vAlign w:val="center"/>
          </w:tcPr>
          <w:p w14:paraId="75535E3C">
            <w:pPr>
              <w:pStyle w:val="17"/>
              <w:bidi w:val="0"/>
              <w:rPr>
                <w:color w:val="auto"/>
                <w:highlight w:val="none"/>
              </w:rPr>
            </w:pPr>
            <w:r>
              <w:rPr>
                <w:color w:val="auto"/>
                <w:highlight w:val="none"/>
              </w:rPr>
              <w:t>工作内容</w:t>
            </w:r>
          </w:p>
        </w:tc>
        <w:tc>
          <w:tcPr>
            <w:tcW w:w="5456" w:type="dxa"/>
            <w:gridSpan w:val="5"/>
            <w:vAlign w:val="center"/>
          </w:tcPr>
          <w:p w14:paraId="43176E6C">
            <w:pPr>
              <w:pStyle w:val="17"/>
              <w:bidi w:val="0"/>
              <w:rPr>
                <w:color w:val="auto"/>
                <w:highlight w:val="none"/>
              </w:rPr>
            </w:pPr>
            <w:r>
              <w:rPr>
                <w:color w:val="auto"/>
                <w:highlight w:val="none"/>
              </w:rPr>
              <w:t>完成情况</w:t>
            </w:r>
          </w:p>
        </w:tc>
        <w:tc>
          <w:tcPr>
            <w:tcW w:w="938" w:type="dxa"/>
            <w:vAlign w:val="center"/>
          </w:tcPr>
          <w:p w14:paraId="6A0DF895">
            <w:pPr>
              <w:pStyle w:val="17"/>
              <w:bidi w:val="0"/>
              <w:rPr>
                <w:color w:val="auto"/>
                <w:highlight w:val="none"/>
              </w:rPr>
            </w:pPr>
            <w:r>
              <w:rPr>
                <w:color w:val="auto"/>
                <w:highlight w:val="none"/>
              </w:rPr>
              <w:t>备注</w:t>
            </w:r>
          </w:p>
        </w:tc>
      </w:tr>
      <w:tr w14:paraId="2747D77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restart"/>
            <w:vAlign w:val="center"/>
          </w:tcPr>
          <w:p w14:paraId="394084F9">
            <w:pPr>
              <w:pStyle w:val="17"/>
              <w:bidi w:val="0"/>
              <w:rPr>
                <w:color w:val="auto"/>
                <w:highlight w:val="none"/>
              </w:rPr>
            </w:pPr>
            <w:r>
              <w:rPr>
                <w:color w:val="auto"/>
                <w:highlight w:val="none"/>
              </w:rPr>
              <w:t>影</w:t>
            </w:r>
          </w:p>
          <w:p w14:paraId="6649F508">
            <w:pPr>
              <w:pStyle w:val="17"/>
              <w:bidi w:val="0"/>
              <w:rPr>
                <w:color w:val="auto"/>
                <w:highlight w:val="none"/>
              </w:rPr>
            </w:pPr>
            <w:r>
              <w:rPr>
                <w:color w:val="auto"/>
                <w:highlight w:val="none"/>
              </w:rPr>
              <w:t>响识</w:t>
            </w:r>
          </w:p>
          <w:p w14:paraId="6C8B6294">
            <w:pPr>
              <w:pStyle w:val="17"/>
              <w:bidi w:val="0"/>
              <w:rPr>
                <w:color w:val="auto"/>
                <w:highlight w:val="none"/>
              </w:rPr>
            </w:pPr>
            <w:r>
              <w:rPr>
                <w:color w:val="auto"/>
                <w:highlight w:val="none"/>
              </w:rPr>
              <w:t>别</w:t>
            </w:r>
          </w:p>
        </w:tc>
        <w:tc>
          <w:tcPr>
            <w:tcW w:w="1557" w:type="dxa"/>
            <w:vAlign w:val="center"/>
          </w:tcPr>
          <w:p w14:paraId="63F2308B">
            <w:pPr>
              <w:pStyle w:val="17"/>
              <w:bidi w:val="0"/>
              <w:rPr>
                <w:color w:val="auto"/>
                <w:highlight w:val="none"/>
              </w:rPr>
            </w:pPr>
            <w:r>
              <w:rPr>
                <w:color w:val="auto"/>
                <w:highlight w:val="none"/>
              </w:rPr>
              <w:t>影响类型</w:t>
            </w:r>
          </w:p>
        </w:tc>
        <w:tc>
          <w:tcPr>
            <w:tcW w:w="5456" w:type="dxa"/>
            <w:gridSpan w:val="5"/>
            <w:vAlign w:val="center"/>
          </w:tcPr>
          <w:p w14:paraId="436FEA06">
            <w:pPr>
              <w:pStyle w:val="17"/>
              <w:bidi w:val="0"/>
              <w:rPr>
                <w:rFonts w:hint="eastAsia"/>
                <w:color w:val="auto"/>
                <w:highlight w:val="none"/>
                <w:lang w:eastAsia="zh-CN"/>
              </w:rPr>
            </w:pPr>
            <w:r>
              <w:rPr>
                <w:color w:val="auto"/>
                <w:highlight w:val="none"/>
              </w:rPr>
              <w:t>污染影响型</w:t>
            </w:r>
            <w:r>
              <w:rPr>
                <w:rFonts w:hint="eastAsia"/>
                <w:color w:val="auto"/>
                <w:highlight w:val="none"/>
                <w:lang w:eastAsia="zh-CN"/>
              </w:rPr>
              <w:t>□</w:t>
            </w:r>
            <w:r>
              <w:rPr>
                <w:color w:val="auto"/>
                <w:highlight w:val="none"/>
              </w:rPr>
              <w:t>；生态影响型</w:t>
            </w:r>
            <w:r>
              <w:rPr>
                <w:rFonts w:hint="eastAsia"/>
                <w:color w:val="auto"/>
                <w:highlight w:val="none"/>
                <w:lang w:eastAsia="zh-CN"/>
              </w:rPr>
              <w:t>□</w:t>
            </w:r>
            <w:r>
              <w:rPr>
                <w:color w:val="auto"/>
                <w:highlight w:val="none"/>
              </w:rPr>
              <w:t>；两种兼有</w:t>
            </w:r>
            <w:r>
              <w:rPr>
                <w:rFonts w:hint="eastAsia"/>
                <w:color w:val="auto"/>
                <w:highlight w:val="none"/>
                <w:lang w:eastAsia="zh-CN"/>
              </w:rPr>
              <w:t>☑</w:t>
            </w:r>
          </w:p>
        </w:tc>
        <w:tc>
          <w:tcPr>
            <w:tcW w:w="938" w:type="dxa"/>
            <w:vAlign w:val="center"/>
          </w:tcPr>
          <w:p w14:paraId="77C4ACD4">
            <w:pPr>
              <w:pStyle w:val="17"/>
              <w:bidi w:val="0"/>
              <w:rPr>
                <w:color w:val="auto"/>
                <w:highlight w:val="none"/>
              </w:rPr>
            </w:pPr>
          </w:p>
        </w:tc>
      </w:tr>
      <w:tr w14:paraId="4D79318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471F899E">
            <w:pPr>
              <w:pStyle w:val="17"/>
              <w:bidi w:val="0"/>
              <w:rPr>
                <w:color w:val="auto"/>
                <w:highlight w:val="none"/>
              </w:rPr>
            </w:pPr>
          </w:p>
        </w:tc>
        <w:tc>
          <w:tcPr>
            <w:tcW w:w="1557" w:type="dxa"/>
            <w:vAlign w:val="center"/>
          </w:tcPr>
          <w:p w14:paraId="0B0B1322">
            <w:pPr>
              <w:pStyle w:val="17"/>
              <w:bidi w:val="0"/>
              <w:rPr>
                <w:color w:val="auto"/>
                <w:highlight w:val="none"/>
              </w:rPr>
            </w:pPr>
            <w:r>
              <w:rPr>
                <w:color w:val="auto"/>
                <w:highlight w:val="none"/>
              </w:rPr>
              <w:t>土地利用类型</w:t>
            </w:r>
          </w:p>
        </w:tc>
        <w:tc>
          <w:tcPr>
            <w:tcW w:w="5456" w:type="dxa"/>
            <w:gridSpan w:val="5"/>
            <w:vAlign w:val="center"/>
          </w:tcPr>
          <w:p w14:paraId="2F2BA1CC">
            <w:pPr>
              <w:pStyle w:val="17"/>
              <w:bidi w:val="0"/>
              <w:rPr>
                <w:rFonts w:hint="eastAsia"/>
                <w:color w:val="auto"/>
                <w:highlight w:val="none"/>
                <w:lang w:eastAsia="zh-CN"/>
              </w:rPr>
            </w:pPr>
            <w:r>
              <w:rPr>
                <w:color w:val="auto"/>
                <w:highlight w:val="none"/>
              </w:rPr>
              <w:t>建设用地</w:t>
            </w:r>
            <w:r>
              <w:rPr>
                <w:rFonts w:hint="eastAsia"/>
                <w:color w:val="auto"/>
                <w:highlight w:val="none"/>
                <w:lang w:eastAsia="zh-CN"/>
              </w:rPr>
              <w:t>☑</w:t>
            </w:r>
            <w:r>
              <w:rPr>
                <w:color w:val="auto"/>
                <w:highlight w:val="none"/>
              </w:rPr>
              <w:t>；农用地</w:t>
            </w:r>
            <w:r>
              <w:rPr>
                <w:rFonts w:hint="eastAsia"/>
                <w:color w:val="auto"/>
                <w:highlight w:val="none"/>
                <w:lang w:eastAsia="zh-CN"/>
              </w:rPr>
              <w:t>□</w:t>
            </w:r>
            <w:r>
              <w:rPr>
                <w:color w:val="auto"/>
                <w:highlight w:val="none"/>
              </w:rPr>
              <w:t>；未利用地</w:t>
            </w:r>
            <w:r>
              <w:rPr>
                <w:rFonts w:hint="eastAsia"/>
                <w:color w:val="auto"/>
                <w:highlight w:val="none"/>
                <w:lang w:eastAsia="zh-CN"/>
              </w:rPr>
              <w:t>□</w:t>
            </w:r>
          </w:p>
        </w:tc>
        <w:tc>
          <w:tcPr>
            <w:tcW w:w="938" w:type="dxa"/>
            <w:vAlign w:val="center"/>
          </w:tcPr>
          <w:p w14:paraId="273457D1">
            <w:pPr>
              <w:pStyle w:val="17"/>
              <w:bidi w:val="0"/>
              <w:rPr>
                <w:color w:val="auto"/>
                <w:highlight w:val="none"/>
              </w:rPr>
            </w:pPr>
            <w:r>
              <w:rPr>
                <w:color w:val="auto"/>
                <w:highlight w:val="none"/>
              </w:rPr>
              <w:t>土地利用</w:t>
            </w:r>
          </w:p>
          <w:p w14:paraId="7948EA04">
            <w:pPr>
              <w:pStyle w:val="17"/>
              <w:bidi w:val="0"/>
              <w:rPr>
                <w:color w:val="auto"/>
                <w:highlight w:val="none"/>
              </w:rPr>
            </w:pPr>
            <w:r>
              <w:rPr>
                <w:color w:val="auto"/>
                <w:highlight w:val="none"/>
              </w:rPr>
              <w:t>类型图</w:t>
            </w:r>
          </w:p>
        </w:tc>
      </w:tr>
      <w:tr w14:paraId="7D5A41E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32161A44">
            <w:pPr>
              <w:pStyle w:val="17"/>
              <w:bidi w:val="0"/>
              <w:rPr>
                <w:color w:val="auto"/>
                <w:highlight w:val="none"/>
              </w:rPr>
            </w:pPr>
          </w:p>
        </w:tc>
        <w:tc>
          <w:tcPr>
            <w:tcW w:w="1557" w:type="dxa"/>
            <w:vAlign w:val="center"/>
          </w:tcPr>
          <w:p w14:paraId="5CE752EC">
            <w:pPr>
              <w:pStyle w:val="17"/>
              <w:bidi w:val="0"/>
              <w:rPr>
                <w:color w:val="auto"/>
                <w:highlight w:val="none"/>
              </w:rPr>
            </w:pPr>
            <w:r>
              <w:rPr>
                <w:color w:val="auto"/>
                <w:highlight w:val="none"/>
              </w:rPr>
              <w:t>占地规模</w:t>
            </w:r>
          </w:p>
        </w:tc>
        <w:tc>
          <w:tcPr>
            <w:tcW w:w="5456" w:type="dxa"/>
            <w:gridSpan w:val="5"/>
            <w:vAlign w:val="center"/>
          </w:tcPr>
          <w:p w14:paraId="7E5474F1">
            <w:pPr>
              <w:pStyle w:val="17"/>
              <w:bidi w:val="0"/>
              <w:rPr>
                <w:color w:val="auto"/>
                <w:highlight w:val="none"/>
              </w:rPr>
            </w:pPr>
            <w:r>
              <w:rPr>
                <w:color w:val="auto"/>
                <w:highlight w:val="none"/>
              </w:rPr>
              <w:t>（</w:t>
            </w:r>
            <w:r>
              <w:rPr>
                <w:rFonts w:hint="eastAsia"/>
                <w:color w:val="auto"/>
                <w:highlight w:val="none"/>
                <w:lang w:val="en-US" w:eastAsia="zh-CN"/>
              </w:rPr>
              <w:t>148.34</w:t>
            </w:r>
            <w:r>
              <w:rPr>
                <w:color w:val="auto"/>
                <w:highlight w:val="none"/>
              </w:rPr>
              <w:t>）hm</w:t>
            </w:r>
            <w:r>
              <w:rPr>
                <w:color w:val="auto"/>
                <w:highlight w:val="none"/>
                <w:vertAlign w:val="superscript"/>
              </w:rPr>
              <w:t>2</w:t>
            </w:r>
          </w:p>
        </w:tc>
        <w:tc>
          <w:tcPr>
            <w:tcW w:w="938" w:type="dxa"/>
            <w:vAlign w:val="center"/>
          </w:tcPr>
          <w:p w14:paraId="68ED0A48">
            <w:pPr>
              <w:pStyle w:val="17"/>
              <w:bidi w:val="0"/>
              <w:rPr>
                <w:color w:val="auto"/>
                <w:highlight w:val="none"/>
              </w:rPr>
            </w:pPr>
          </w:p>
        </w:tc>
      </w:tr>
      <w:tr w14:paraId="380CB4F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85" w:hRule="atLeast"/>
          <w:jc w:val="center"/>
        </w:trPr>
        <w:tc>
          <w:tcPr>
            <w:tcW w:w="383" w:type="dxa"/>
            <w:vMerge w:val="continue"/>
            <w:vAlign w:val="center"/>
          </w:tcPr>
          <w:p w14:paraId="79C0C818">
            <w:pPr>
              <w:pStyle w:val="17"/>
              <w:bidi w:val="0"/>
              <w:rPr>
                <w:color w:val="auto"/>
                <w:highlight w:val="none"/>
              </w:rPr>
            </w:pPr>
          </w:p>
        </w:tc>
        <w:tc>
          <w:tcPr>
            <w:tcW w:w="1557" w:type="dxa"/>
            <w:vAlign w:val="center"/>
          </w:tcPr>
          <w:p w14:paraId="45D1F8E1">
            <w:pPr>
              <w:pStyle w:val="17"/>
              <w:bidi w:val="0"/>
              <w:rPr>
                <w:color w:val="auto"/>
                <w:highlight w:val="none"/>
              </w:rPr>
            </w:pPr>
            <w:r>
              <w:rPr>
                <w:color w:val="auto"/>
                <w:highlight w:val="none"/>
              </w:rPr>
              <w:t>敏感目标信息</w:t>
            </w:r>
          </w:p>
        </w:tc>
        <w:tc>
          <w:tcPr>
            <w:tcW w:w="5456" w:type="dxa"/>
            <w:gridSpan w:val="5"/>
            <w:vAlign w:val="center"/>
          </w:tcPr>
          <w:p w14:paraId="5F90888B">
            <w:pPr>
              <w:pStyle w:val="17"/>
              <w:bidi w:val="0"/>
              <w:rPr>
                <w:rFonts w:hint="eastAsia"/>
                <w:color w:val="auto"/>
                <w:highlight w:val="none"/>
                <w:lang w:eastAsia="zh-CN"/>
              </w:rPr>
            </w:pPr>
            <w:r>
              <w:rPr>
                <w:rFonts w:hint="eastAsia"/>
                <w:color w:val="auto"/>
                <w:highlight w:val="none"/>
                <w:lang w:val="en-US" w:eastAsia="zh-CN"/>
              </w:rPr>
              <w:t>无</w:t>
            </w:r>
          </w:p>
        </w:tc>
        <w:tc>
          <w:tcPr>
            <w:tcW w:w="938" w:type="dxa"/>
            <w:vAlign w:val="center"/>
          </w:tcPr>
          <w:p w14:paraId="2A43C4DD">
            <w:pPr>
              <w:pStyle w:val="17"/>
              <w:bidi w:val="0"/>
              <w:rPr>
                <w:color w:val="auto"/>
                <w:highlight w:val="none"/>
              </w:rPr>
            </w:pPr>
          </w:p>
        </w:tc>
      </w:tr>
      <w:tr w14:paraId="6EF3A74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6BE33E40">
            <w:pPr>
              <w:pStyle w:val="17"/>
              <w:bidi w:val="0"/>
              <w:rPr>
                <w:color w:val="auto"/>
                <w:highlight w:val="none"/>
              </w:rPr>
            </w:pPr>
          </w:p>
        </w:tc>
        <w:tc>
          <w:tcPr>
            <w:tcW w:w="1557" w:type="dxa"/>
            <w:vAlign w:val="center"/>
          </w:tcPr>
          <w:p w14:paraId="3B3B132C">
            <w:pPr>
              <w:pStyle w:val="17"/>
              <w:bidi w:val="0"/>
              <w:rPr>
                <w:color w:val="auto"/>
                <w:highlight w:val="none"/>
              </w:rPr>
            </w:pPr>
            <w:r>
              <w:rPr>
                <w:color w:val="auto"/>
                <w:highlight w:val="none"/>
              </w:rPr>
              <w:t>影响途径</w:t>
            </w:r>
          </w:p>
        </w:tc>
        <w:tc>
          <w:tcPr>
            <w:tcW w:w="5456" w:type="dxa"/>
            <w:gridSpan w:val="5"/>
            <w:vAlign w:val="center"/>
          </w:tcPr>
          <w:p w14:paraId="1EF812C1">
            <w:pPr>
              <w:pStyle w:val="17"/>
              <w:bidi w:val="0"/>
              <w:rPr>
                <w:color w:val="auto"/>
                <w:highlight w:val="none"/>
              </w:rPr>
            </w:pPr>
            <w:r>
              <w:rPr>
                <w:color w:val="auto"/>
                <w:highlight w:val="none"/>
              </w:rPr>
              <w:t>大气沉降</w:t>
            </w:r>
            <w:r>
              <w:rPr>
                <w:rFonts w:hint="eastAsia"/>
                <w:color w:val="auto"/>
                <w:highlight w:val="none"/>
                <w:lang w:eastAsia="zh-CN"/>
              </w:rPr>
              <w:t>☑</w:t>
            </w:r>
            <w:r>
              <w:rPr>
                <w:color w:val="auto"/>
                <w:highlight w:val="none"/>
              </w:rPr>
              <w:t>；地面漫流</w:t>
            </w:r>
            <w:r>
              <w:rPr>
                <w:rFonts w:hint="eastAsia"/>
                <w:color w:val="auto"/>
                <w:highlight w:val="none"/>
                <w:lang w:eastAsia="zh-CN"/>
              </w:rPr>
              <w:t>☑</w:t>
            </w:r>
            <w:r>
              <w:rPr>
                <w:color w:val="auto"/>
                <w:highlight w:val="none"/>
              </w:rPr>
              <w:t>；垂直入渗</w:t>
            </w:r>
            <w:r>
              <w:rPr>
                <w:rFonts w:hint="eastAsia"/>
                <w:color w:val="auto"/>
                <w:highlight w:val="none"/>
                <w:lang w:eastAsia="zh-CN"/>
              </w:rPr>
              <w:t>☑</w:t>
            </w:r>
            <w:r>
              <w:rPr>
                <w:color w:val="auto"/>
                <w:highlight w:val="none"/>
              </w:rPr>
              <w:t>；地下水位</w:t>
            </w:r>
            <w:r>
              <w:rPr>
                <w:rFonts w:hint="eastAsia"/>
                <w:color w:val="auto"/>
                <w:highlight w:val="none"/>
                <w:lang w:eastAsia="zh-CN"/>
              </w:rPr>
              <w:t>☑</w:t>
            </w:r>
            <w:r>
              <w:rPr>
                <w:color w:val="auto"/>
                <w:highlight w:val="none"/>
              </w:rPr>
              <w:t>；其他</w:t>
            </w:r>
            <w:r>
              <w:rPr>
                <w:rFonts w:hint="eastAsia"/>
                <w:color w:val="auto"/>
                <w:highlight w:val="none"/>
                <w:lang w:eastAsia="zh-CN"/>
              </w:rPr>
              <w:t>☑</w:t>
            </w:r>
          </w:p>
        </w:tc>
        <w:tc>
          <w:tcPr>
            <w:tcW w:w="938" w:type="dxa"/>
            <w:vAlign w:val="center"/>
          </w:tcPr>
          <w:p w14:paraId="08E5F54D">
            <w:pPr>
              <w:pStyle w:val="17"/>
              <w:bidi w:val="0"/>
              <w:rPr>
                <w:color w:val="auto"/>
                <w:highlight w:val="none"/>
              </w:rPr>
            </w:pPr>
          </w:p>
        </w:tc>
      </w:tr>
      <w:tr w14:paraId="1D5537A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19BDA5EE">
            <w:pPr>
              <w:pStyle w:val="17"/>
              <w:bidi w:val="0"/>
              <w:rPr>
                <w:color w:val="auto"/>
                <w:highlight w:val="none"/>
              </w:rPr>
            </w:pPr>
          </w:p>
        </w:tc>
        <w:tc>
          <w:tcPr>
            <w:tcW w:w="1557" w:type="dxa"/>
            <w:vAlign w:val="center"/>
          </w:tcPr>
          <w:p w14:paraId="4FE7595A">
            <w:pPr>
              <w:pStyle w:val="17"/>
              <w:bidi w:val="0"/>
              <w:rPr>
                <w:color w:val="auto"/>
                <w:highlight w:val="none"/>
              </w:rPr>
            </w:pPr>
            <w:r>
              <w:rPr>
                <w:color w:val="auto"/>
                <w:highlight w:val="none"/>
              </w:rPr>
              <w:t>全部污染物</w:t>
            </w:r>
          </w:p>
        </w:tc>
        <w:tc>
          <w:tcPr>
            <w:tcW w:w="5456" w:type="dxa"/>
            <w:gridSpan w:val="5"/>
            <w:vAlign w:val="center"/>
          </w:tcPr>
          <w:p w14:paraId="731618C7">
            <w:pPr>
              <w:pStyle w:val="17"/>
              <w:bidi w:val="0"/>
              <w:rPr>
                <w:color w:val="auto"/>
                <w:highlight w:val="none"/>
              </w:rPr>
            </w:pPr>
            <w:r>
              <w:rPr>
                <w:color w:val="auto"/>
                <w:highlight w:val="none"/>
              </w:rPr>
              <w:t>pH、砷、镉、六价铬、铜、铅、汞、镍</w:t>
            </w:r>
          </w:p>
        </w:tc>
        <w:tc>
          <w:tcPr>
            <w:tcW w:w="938" w:type="dxa"/>
            <w:vAlign w:val="center"/>
          </w:tcPr>
          <w:p w14:paraId="66A16B0A">
            <w:pPr>
              <w:pStyle w:val="17"/>
              <w:bidi w:val="0"/>
              <w:rPr>
                <w:color w:val="auto"/>
                <w:highlight w:val="none"/>
              </w:rPr>
            </w:pPr>
          </w:p>
        </w:tc>
      </w:tr>
      <w:tr w14:paraId="4942FF2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47270296">
            <w:pPr>
              <w:pStyle w:val="17"/>
              <w:bidi w:val="0"/>
              <w:rPr>
                <w:color w:val="auto"/>
                <w:highlight w:val="none"/>
              </w:rPr>
            </w:pPr>
          </w:p>
        </w:tc>
        <w:tc>
          <w:tcPr>
            <w:tcW w:w="1557" w:type="dxa"/>
            <w:vAlign w:val="center"/>
          </w:tcPr>
          <w:p w14:paraId="2C3DC36D">
            <w:pPr>
              <w:pStyle w:val="17"/>
              <w:bidi w:val="0"/>
              <w:rPr>
                <w:color w:val="auto"/>
                <w:highlight w:val="none"/>
              </w:rPr>
            </w:pPr>
            <w:r>
              <w:rPr>
                <w:color w:val="auto"/>
                <w:highlight w:val="none"/>
              </w:rPr>
              <w:t>特征因子</w:t>
            </w:r>
          </w:p>
        </w:tc>
        <w:tc>
          <w:tcPr>
            <w:tcW w:w="5456" w:type="dxa"/>
            <w:gridSpan w:val="5"/>
            <w:vAlign w:val="center"/>
          </w:tcPr>
          <w:p w14:paraId="0E37F7D2">
            <w:pPr>
              <w:pStyle w:val="17"/>
              <w:bidi w:val="0"/>
              <w:rPr>
                <w:rFonts w:hint="eastAsia"/>
                <w:color w:val="auto"/>
                <w:highlight w:val="none"/>
                <w:lang w:eastAsia="zh-CN"/>
              </w:rPr>
            </w:pPr>
            <w:r>
              <w:rPr>
                <w:rFonts w:hint="eastAsia"/>
                <w:color w:val="auto"/>
                <w:highlight w:val="none"/>
                <w:lang w:val="en-US" w:eastAsia="zh-CN"/>
              </w:rPr>
              <w:t>pH</w:t>
            </w:r>
            <w:r>
              <w:rPr>
                <w:rFonts w:hint="eastAsia"/>
                <w:color w:val="auto"/>
                <w:highlight w:val="none"/>
                <w:lang w:eastAsia="zh-CN"/>
              </w:rPr>
              <w:t>镉</w:t>
            </w:r>
          </w:p>
        </w:tc>
        <w:tc>
          <w:tcPr>
            <w:tcW w:w="938" w:type="dxa"/>
            <w:vAlign w:val="center"/>
          </w:tcPr>
          <w:p w14:paraId="71AAE34C">
            <w:pPr>
              <w:pStyle w:val="17"/>
              <w:bidi w:val="0"/>
              <w:rPr>
                <w:color w:val="auto"/>
                <w:highlight w:val="none"/>
              </w:rPr>
            </w:pPr>
          </w:p>
        </w:tc>
      </w:tr>
      <w:tr w14:paraId="5452DFE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0A95B677">
            <w:pPr>
              <w:pStyle w:val="17"/>
              <w:bidi w:val="0"/>
              <w:rPr>
                <w:color w:val="auto"/>
                <w:highlight w:val="none"/>
              </w:rPr>
            </w:pPr>
          </w:p>
        </w:tc>
        <w:tc>
          <w:tcPr>
            <w:tcW w:w="1557" w:type="dxa"/>
            <w:vAlign w:val="center"/>
          </w:tcPr>
          <w:p w14:paraId="11298DAD">
            <w:pPr>
              <w:pStyle w:val="17"/>
              <w:bidi w:val="0"/>
              <w:rPr>
                <w:color w:val="auto"/>
                <w:highlight w:val="none"/>
              </w:rPr>
            </w:pPr>
            <w:r>
              <w:rPr>
                <w:color w:val="auto"/>
                <w:highlight w:val="none"/>
              </w:rPr>
              <w:t>所属土壤环境影响评价项目类别</w:t>
            </w:r>
          </w:p>
        </w:tc>
        <w:tc>
          <w:tcPr>
            <w:tcW w:w="5456" w:type="dxa"/>
            <w:gridSpan w:val="5"/>
            <w:vAlign w:val="center"/>
          </w:tcPr>
          <w:p w14:paraId="150E18A1">
            <w:pPr>
              <w:pStyle w:val="17"/>
              <w:bidi w:val="0"/>
              <w:rPr>
                <w:rFonts w:hint="eastAsia"/>
                <w:color w:val="auto"/>
                <w:highlight w:val="none"/>
                <w:lang w:eastAsia="zh-CN"/>
              </w:rPr>
            </w:pPr>
            <w:r>
              <w:rPr>
                <w:rFonts w:hint="eastAsia"/>
                <w:color w:val="auto"/>
                <w:highlight w:val="none"/>
                <w:lang w:eastAsia="zh-CN"/>
              </w:rPr>
              <w:t>I</w:t>
            </w:r>
            <w:r>
              <w:rPr>
                <w:color w:val="auto"/>
                <w:highlight w:val="none"/>
              </w:rPr>
              <w:t>类</w:t>
            </w:r>
            <w:r>
              <w:rPr>
                <w:rFonts w:hint="eastAsia"/>
                <w:color w:val="auto"/>
                <w:highlight w:val="none"/>
                <w:lang w:eastAsia="zh-CN"/>
              </w:rPr>
              <w:t>□</w:t>
            </w:r>
            <w:r>
              <w:rPr>
                <w:color w:val="auto"/>
                <w:highlight w:val="none"/>
              </w:rPr>
              <w:t>；</w:t>
            </w:r>
            <w:r>
              <w:rPr>
                <w:color w:val="auto"/>
                <w:highlight w:val="none"/>
              </w:rPr>
              <w:fldChar w:fldCharType="begin"/>
            </w:r>
            <w:r>
              <w:rPr>
                <w:color w:val="auto"/>
                <w:highlight w:val="none"/>
              </w:rPr>
              <w:instrText xml:space="preserve"> = 2 \* ROMAN \* MERGEFORMAT </w:instrText>
            </w:r>
            <w:r>
              <w:rPr>
                <w:color w:val="auto"/>
                <w:highlight w:val="none"/>
              </w:rPr>
              <w:fldChar w:fldCharType="separate"/>
            </w:r>
            <w:r>
              <w:rPr>
                <w:color w:val="auto"/>
                <w:highlight w:val="none"/>
              </w:rPr>
              <w:t>II</w:t>
            </w:r>
            <w:r>
              <w:rPr>
                <w:color w:val="auto"/>
                <w:highlight w:val="none"/>
              </w:rPr>
              <w:fldChar w:fldCharType="end"/>
            </w:r>
            <w:r>
              <w:rPr>
                <w:color w:val="auto"/>
                <w:highlight w:val="none"/>
              </w:rPr>
              <w:t>类</w:t>
            </w:r>
            <w:r>
              <w:rPr>
                <w:rFonts w:hint="eastAsia"/>
                <w:color w:val="auto"/>
                <w:highlight w:val="none"/>
                <w:lang w:eastAsia="zh-CN"/>
              </w:rPr>
              <w:t>□</w:t>
            </w:r>
            <w:r>
              <w:rPr>
                <w:rFonts w:hint="default"/>
                <w:color w:val="auto"/>
                <w:highlight w:val="none"/>
              </w:rPr>
              <w:t>；</w:t>
            </w:r>
            <w:r>
              <w:rPr>
                <w:rFonts w:hint="default"/>
                <w:color w:val="auto"/>
                <w:highlight w:val="none"/>
                <w:lang w:eastAsia="zh-CN"/>
              </w:rPr>
              <w:t>Ⅲ</w:t>
            </w:r>
            <w:r>
              <w:rPr>
                <w:rFonts w:hint="default"/>
                <w:color w:val="auto"/>
                <w:highlight w:val="none"/>
              </w:rPr>
              <w:t>类</w:t>
            </w:r>
            <w:r>
              <w:rPr>
                <w:rFonts w:hint="default"/>
                <w:color w:val="auto"/>
                <w:highlight w:val="none"/>
                <w:lang w:eastAsia="zh-CN"/>
              </w:rPr>
              <w:t>☑</w:t>
            </w:r>
            <w:r>
              <w:rPr>
                <w:rFonts w:hint="default"/>
                <w:color w:val="auto"/>
                <w:highlight w:val="none"/>
              </w:rPr>
              <w:t>；</w:t>
            </w:r>
            <w:r>
              <w:rPr>
                <w:rFonts w:hint="default"/>
                <w:color w:val="auto"/>
                <w:highlight w:val="none"/>
              </w:rPr>
              <w:fldChar w:fldCharType="begin"/>
            </w:r>
            <w:r>
              <w:rPr>
                <w:rFonts w:hint="default"/>
                <w:color w:val="auto"/>
                <w:highlight w:val="none"/>
              </w:rPr>
              <w:instrText xml:space="preserve"> = 4 \* ROMAN \* MERGEFORMAT </w:instrText>
            </w:r>
            <w:r>
              <w:rPr>
                <w:rFonts w:hint="default"/>
                <w:color w:val="auto"/>
                <w:highlight w:val="none"/>
              </w:rPr>
              <w:fldChar w:fldCharType="separate"/>
            </w:r>
            <w:r>
              <w:rPr>
                <w:rFonts w:hint="default"/>
                <w:color w:val="auto"/>
                <w:highlight w:val="none"/>
              </w:rPr>
              <w:t>IV</w:t>
            </w:r>
            <w:r>
              <w:rPr>
                <w:rFonts w:hint="default"/>
                <w:color w:val="auto"/>
                <w:highlight w:val="none"/>
              </w:rPr>
              <w:fldChar w:fldCharType="end"/>
            </w:r>
            <w:r>
              <w:rPr>
                <w:rFonts w:hint="default"/>
                <w:color w:val="auto"/>
                <w:highlight w:val="none"/>
              </w:rPr>
              <w:t>类</w:t>
            </w:r>
            <w:r>
              <w:rPr>
                <w:rFonts w:hint="eastAsia"/>
                <w:color w:val="auto"/>
                <w:highlight w:val="none"/>
                <w:lang w:eastAsia="zh-CN"/>
              </w:rPr>
              <w:t>□</w:t>
            </w:r>
          </w:p>
        </w:tc>
        <w:tc>
          <w:tcPr>
            <w:tcW w:w="938" w:type="dxa"/>
            <w:vAlign w:val="center"/>
          </w:tcPr>
          <w:p w14:paraId="0EFDC18F">
            <w:pPr>
              <w:pStyle w:val="17"/>
              <w:bidi w:val="0"/>
              <w:rPr>
                <w:color w:val="auto"/>
                <w:highlight w:val="none"/>
              </w:rPr>
            </w:pPr>
          </w:p>
        </w:tc>
      </w:tr>
      <w:tr w14:paraId="27D2122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3D994E90">
            <w:pPr>
              <w:pStyle w:val="17"/>
              <w:bidi w:val="0"/>
              <w:rPr>
                <w:color w:val="auto"/>
                <w:highlight w:val="none"/>
              </w:rPr>
            </w:pPr>
          </w:p>
        </w:tc>
        <w:tc>
          <w:tcPr>
            <w:tcW w:w="1557" w:type="dxa"/>
            <w:vAlign w:val="center"/>
          </w:tcPr>
          <w:p w14:paraId="1F15B0B7">
            <w:pPr>
              <w:pStyle w:val="17"/>
              <w:bidi w:val="0"/>
              <w:rPr>
                <w:color w:val="auto"/>
                <w:highlight w:val="none"/>
              </w:rPr>
            </w:pPr>
            <w:r>
              <w:rPr>
                <w:color w:val="auto"/>
                <w:highlight w:val="none"/>
              </w:rPr>
              <w:t>敏感程度</w:t>
            </w:r>
          </w:p>
        </w:tc>
        <w:tc>
          <w:tcPr>
            <w:tcW w:w="5456" w:type="dxa"/>
            <w:gridSpan w:val="5"/>
            <w:vAlign w:val="center"/>
          </w:tcPr>
          <w:p w14:paraId="55C81518">
            <w:pPr>
              <w:pStyle w:val="17"/>
              <w:bidi w:val="0"/>
              <w:rPr>
                <w:rFonts w:hint="eastAsia"/>
                <w:color w:val="auto"/>
                <w:highlight w:val="none"/>
                <w:lang w:eastAsia="zh-CN"/>
              </w:rPr>
            </w:pPr>
            <w:r>
              <w:rPr>
                <w:color w:val="auto"/>
                <w:highlight w:val="none"/>
              </w:rPr>
              <w:t>敏感</w:t>
            </w:r>
            <w:r>
              <w:rPr>
                <w:rFonts w:hint="eastAsia"/>
                <w:color w:val="auto"/>
                <w:highlight w:val="none"/>
                <w:lang w:eastAsia="zh-CN"/>
              </w:rPr>
              <w:t>□</w:t>
            </w:r>
            <w:r>
              <w:rPr>
                <w:color w:val="auto"/>
                <w:highlight w:val="none"/>
              </w:rPr>
              <w:t>；较敏感</w:t>
            </w:r>
            <w:r>
              <w:rPr>
                <w:rFonts w:hint="eastAsia"/>
                <w:color w:val="auto"/>
                <w:highlight w:val="none"/>
                <w:lang w:eastAsia="zh-CN"/>
              </w:rPr>
              <w:t>□</w:t>
            </w:r>
            <w:r>
              <w:rPr>
                <w:color w:val="auto"/>
                <w:highlight w:val="none"/>
              </w:rPr>
              <w:t>；不敏感</w:t>
            </w:r>
            <w:r>
              <w:rPr>
                <w:rFonts w:hint="eastAsia"/>
                <w:color w:val="auto"/>
                <w:highlight w:val="none"/>
                <w:lang w:eastAsia="zh-CN"/>
              </w:rPr>
              <w:t>☑</w:t>
            </w:r>
          </w:p>
        </w:tc>
        <w:tc>
          <w:tcPr>
            <w:tcW w:w="938" w:type="dxa"/>
            <w:vAlign w:val="center"/>
          </w:tcPr>
          <w:p w14:paraId="07A738DB">
            <w:pPr>
              <w:pStyle w:val="17"/>
              <w:bidi w:val="0"/>
              <w:rPr>
                <w:color w:val="auto"/>
                <w:highlight w:val="none"/>
              </w:rPr>
            </w:pPr>
          </w:p>
        </w:tc>
      </w:tr>
      <w:tr w14:paraId="5907D23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1940" w:type="dxa"/>
            <w:gridSpan w:val="2"/>
            <w:vAlign w:val="center"/>
          </w:tcPr>
          <w:p w14:paraId="032D5E08">
            <w:pPr>
              <w:pStyle w:val="17"/>
              <w:bidi w:val="0"/>
              <w:rPr>
                <w:color w:val="auto"/>
                <w:highlight w:val="none"/>
              </w:rPr>
            </w:pPr>
            <w:r>
              <w:rPr>
                <w:color w:val="auto"/>
                <w:highlight w:val="none"/>
              </w:rPr>
              <w:t>评价工作等级</w:t>
            </w:r>
          </w:p>
        </w:tc>
        <w:tc>
          <w:tcPr>
            <w:tcW w:w="5456" w:type="dxa"/>
            <w:gridSpan w:val="5"/>
            <w:vAlign w:val="center"/>
          </w:tcPr>
          <w:p w14:paraId="7BBCA705">
            <w:pPr>
              <w:pStyle w:val="17"/>
              <w:bidi w:val="0"/>
              <w:rPr>
                <w:rFonts w:hint="eastAsia"/>
                <w:color w:val="auto"/>
                <w:highlight w:val="none"/>
                <w:lang w:eastAsia="zh-CN"/>
              </w:rPr>
            </w:pPr>
            <w:r>
              <w:rPr>
                <w:color w:val="auto"/>
                <w:highlight w:val="none"/>
              </w:rPr>
              <w:t>一级</w:t>
            </w:r>
            <w:r>
              <w:rPr>
                <w:rFonts w:hint="eastAsia"/>
                <w:color w:val="auto"/>
                <w:highlight w:val="none"/>
                <w:lang w:eastAsia="zh-CN"/>
              </w:rPr>
              <w:t>□</w:t>
            </w:r>
            <w:r>
              <w:rPr>
                <w:color w:val="auto"/>
                <w:highlight w:val="none"/>
              </w:rPr>
              <w:t>；二级</w:t>
            </w:r>
            <w:r>
              <w:rPr>
                <w:rFonts w:hint="eastAsia"/>
                <w:color w:val="auto"/>
                <w:highlight w:val="none"/>
                <w:lang w:eastAsia="zh-CN"/>
              </w:rPr>
              <w:t>□</w:t>
            </w:r>
            <w:r>
              <w:rPr>
                <w:color w:val="auto"/>
                <w:highlight w:val="none"/>
              </w:rPr>
              <w:t>；三级</w:t>
            </w:r>
            <w:r>
              <w:rPr>
                <w:rFonts w:hint="eastAsia"/>
                <w:color w:val="auto"/>
                <w:highlight w:val="none"/>
                <w:lang w:eastAsia="zh-CN"/>
              </w:rPr>
              <w:t>☑</w:t>
            </w:r>
          </w:p>
        </w:tc>
        <w:tc>
          <w:tcPr>
            <w:tcW w:w="938" w:type="dxa"/>
            <w:vAlign w:val="center"/>
          </w:tcPr>
          <w:p w14:paraId="7BB46B00">
            <w:pPr>
              <w:pStyle w:val="17"/>
              <w:bidi w:val="0"/>
              <w:rPr>
                <w:color w:val="auto"/>
                <w:highlight w:val="none"/>
              </w:rPr>
            </w:pPr>
          </w:p>
        </w:tc>
      </w:tr>
      <w:tr w14:paraId="144DD6B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restart"/>
            <w:vAlign w:val="center"/>
          </w:tcPr>
          <w:p w14:paraId="0E099B43">
            <w:pPr>
              <w:pStyle w:val="17"/>
              <w:bidi w:val="0"/>
              <w:rPr>
                <w:color w:val="auto"/>
                <w:highlight w:val="none"/>
              </w:rPr>
            </w:pPr>
            <w:r>
              <w:rPr>
                <w:color w:val="auto"/>
                <w:highlight w:val="none"/>
              </w:rPr>
              <w:t>现</w:t>
            </w:r>
          </w:p>
          <w:p w14:paraId="4EC40303">
            <w:pPr>
              <w:pStyle w:val="17"/>
              <w:bidi w:val="0"/>
              <w:rPr>
                <w:color w:val="auto"/>
                <w:highlight w:val="none"/>
              </w:rPr>
            </w:pPr>
            <w:r>
              <w:rPr>
                <w:color w:val="auto"/>
                <w:highlight w:val="none"/>
              </w:rPr>
              <w:t>状调</w:t>
            </w:r>
          </w:p>
          <w:p w14:paraId="7CDCCD1D">
            <w:pPr>
              <w:pStyle w:val="17"/>
              <w:bidi w:val="0"/>
              <w:rPr>
                <w:color w:val="auto"/>
                <w:highlight w:val="none"/>
              </w:rPr>
            </w:pPr>
            <w:r>
              <w:rPr>
                <w:color w:val="auto"/>
                <w:highlight w:val="none"/>
              </w:rPr>
              <w:t>查</w:t>
            </w:r>
          </w:p>
          <w:p w14:paraId="4394C938">
            <w:pPr>
              <w:pStyle w:val="17"/>
              <w:bidi w:val="0"/>
              <w:rPr>
                <w:color w:val="auto"/>
                <w:highlight w:val="none"/>
              </w:rPr>
            </w:pPr>
            <w:r>
              <w:rPr>
                <w:color w:val="auto"/>
                <w:highlight w:val="none"/>
              </w:rPr>
              <w:t>内</w:t>
            </w:r>
          </w:p>
          <w:p w14:paraId="6163BFCB">
            <w:pPr>
              <w:pStyle w:val="17"/>
              <w:bidi w:val="0"/>
              <w:rPr>
                <w:color w:val="auto"/>
                <w:highlight w:val="none"/>
              </w:rPr>
            </w:pPr>
            <w:r>
              <w:rPr>
                <w:color w:val="auto"/>
                <w:highlight w:val="none"/>
              </w:rPr>
              <w:t>容</w:t>
            </w:r>
          </w:p>
        </w:tc>
        <w:tc>
          <w:tcPr>
            <w:tcW w:w="1557" w:type="dxa"/>
            <w:vAlign w:val="center"/>
          </w:tcPr>
          <w:p w14:paraId="02D28F58">
            <w:pPr>
              <w:pStyle w:val="17"/>
              <w:bidi w:val="0"/>
              <w:rPr>
                <w:color w:val="auto"/>
                <w:highlight w:val="none"/>
              </w:rPr>
            </w:pPr>
            <w:r>
              <w:rPr>
                <w:color w:val="auto"/>
                <w:highlight w:val="none"/>
              </w:rPr>
              <w:t>资料收集</w:t>
            </w:r>
          </w:p>
        </w:tc>
        <w:tc>
          <w:tcPr>
            <w:tcW w:w="5456" w:type="dxa"/>
            <w:gridSpan w:val="5"/>
            <w:vAlign w:val="center"/>
          </w:tcPr>
          <w:p w14:paraId="678999C8">
            <w:pPr>
              <w:pStyle w:val="17"/>
              <w:bidi w:val="0"/>
              <w:rPr>
                <w:rFonts w:hint="eastAsia"/>
                <w:color w:val="auto"/>
                <w:highlight w:val="none"/>
                <w:lang w:eastAsia="zh-CN"/>
              </w:rPr>
            </w:pPr>
            <w:r>
              <w:rPr>
                <w:color w:val="auto"/>
                <w:highlight w:val="none"/>
              </w:rPr>
              <w:t>a）</w:t>
            </w:r>
            <w:r>
              <w:rPr>
                <w:rFonts w:hint="eastAsia"/>
                <w:color w:val="auto"/>
                <w:highlight w:val="none"/>
                <w:lang w:eastAsia="zh-CN"/>
              </w:rPr>
              <w:t>☑</w:t>
            </w:r>
            <w:r>
              <w:rPr>
                <w:color w:val="auto"/>
                <w:highlight w:val="none"/>
              </w:rPr>
              <w:t>；b）</w:t>
            </w:r>
            <w:r>
              <w:rPr>
                <w:rFonts w:hint="eastAsia"/>
                <w:color w:val="auto"/>
                <w:highlight w:val="none"/>
                <w:lang w:eastAsia="zh-CN"/>
              </w:rPr>
              <w:t>☑</w:t>
            </w:r>
            <w:r>
              <w:rPr>
                <w:color w:val="auto"/>
                <w:highlight w:val="none"/>
              </w:rPr>
              <w:t>；c）</w:t>
            </w:r>
            <w:r>
              <w:rPr>
                <w:rFonts w:hint="eastAsia"/>
                <w:color w:val="auto"/>
                <w:highlight w:val="none"/>
                <w:lang w:eastAsia="zh-CN"/>
              </w:rPr>
              <w:t>□</w:t>
            </w:r>
            <w:r>
              <w:rPr>
                <w:color w:val="auto"/>
                <w:highlight w:val="none"/>
              </w:rPr>
              <w:t>；d）</w:t>
            </w:r>
            <w:r>
              <w:rPr>
                <w:rFonts w:hint="eastAsia"/>
                <w:color w:val="auto"/>
                <w:highlight w:val="none"/>
                <w:lang w:eastAsia="zh-CN"/>
              </w:rPr>
              <w:t>☑</w:t>
            </w:r>
          </w:p>
        </w:tc>
        <w:tc>
          <w:tcPr>
            <w:tcW w:w="938" w:type="dxa"/>
            <w:vAlign w:val="center"/>
          </w:tcPr>
          <w:p w14:paraId="240671EB">
            <w:pPr>
              <w:pStyle w:val="17"/>
              <w:bidi w:val="0"/>
              <w:rPr>
                <w:color w:val="auto"/>
                <w:highlight w:val="none"/>
              </w:rPr>
            </w:pPr>
          </w:p>
        </w:tc>
      </w:tr>
      <w:tr w14:paraId="2D79E2E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77B1BF84">
            <w:pPr>
              <w:pStyle w:val="17"/>
              <w:bidi w:val="0"/>
              <w:rPr>
                <w:color w:val="auto"/>
                <w:highlight w:val="none"/>
              </w:rPr>
            </w:pPr>
          </w:p>
        </w:tc>
        <w:tc>
          <w:tcPr>
            <w:tcW w:w="1557" w:type="dxa"/>
            <w:vAlign w:val="center"/>
          </w:tcPr>
          <w:p w14:paraId="69C608F2">
            <w:pPr>
              <w:pStyle w:val="17"/>
              <w:bidi w:val="0"/>
              <w:rPr>
                <w:color w:val="auto"/>
                <w:highlight w:val="none"/>
              </w:rPr>
            </w:pPr>
            <w:r>
              <w:rPr>
                <w:color w:val="auto"/>
                <w:highlight w:val="none"/>
              </w:rPr>
              <w:t>理化特性</w:t>
            </w:r>
          </w:p>
        </w:tc>
        <w:tc>
          <w:tcPr>
            <w:tcW w:w="5456" w:type="dxa"/>
            <w:gridSpan w:val="5"/>
            <w:vAlign w:val="center"/>
          </w:tcPr>
          <w:p w14:paraId="5B0235F6">
            <w:pPr>
              <w:pStyle w:val="17"/>
              <w:bidi w:val="0"/>
              <w:rPr>
                <w:rFonts w:hint="default"/>
                <w:color w:val="auto"/>
                <w:highlight w:val="none"/>
                <w:lang w:val="en-US" w:eastAsia="zh-CN"/>
              </w:rPr>
            </w:pPr>
            <w:r>
              <w:rPr>
                <w:rFonts w:hint="eastAsia"/>
                <w:color w:val="auto"/>
                <w:highlight w:val="none"/>
                <w:lang w:val="en-US" w:eastAsia="zh-CN"/>
              </w:rPr>
              <w:t>pH、含盐量</w:t>
            </w:r>
          </w:p>
        </w:tc>
        <w:tc>
          <w:tcPr>
            <w:tcW w:w="938" w:type="dxa"/>
            <w:vAlign w:val="center"/>
          </w:tcPr>
          <w:p w14:paraId="66BF5C21">
            <w:pPr>
              <w:pStyle w:val="17"/>
              <w:bidi w:val="0"/>
              <w:rPr>
                <w:color w:val="auto"/>
                <w:highlight w:val="none"/>
              </w:rPr>
            </w:pPr>
            <w:r>
              <w:rPr>
                <w:color w:val="auto"/>
                <w:highlight w:val="none"/>
              </w:rPr>
              <w:t>同附录C</w:t>
            </w:r>
          </w:p>
        </w:tc>
      </w:tr>
      <w:tr w14:paraId="004D15D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6FDECFFD">
            <w:pPr>
              <w:pStyle w:val="17"/>
              <w:bidi w:val="0"/>
              <w:rPr>
                <w:color w:val="auto"/>
                <w:highlight w:val="none"/>
              </w:rPr>
            </w:pPr>
          </w:p>
        </w:tc>
        <w:tc>
          <w:tcPr>
            <w:tcW w:w="1557" w:type="dxa"/>
            <w:vMerge w:val="restart"/>
            <w:vAlign w:val="center"/>
          </w:tcPr>
          <w:p w14:paraId="1893210F">
            <w:pPr>
              <w:pStyle w:val="17"/>
              <w:bidi w:val="0"/>
              <w:rPr>
                <w:color w:val="auto"/>
                <w:highlight w:val="none"/>
              </w:rPr>
            </w:pPr>
            <w:r>
              <w:rPr>
                <w:color w:val="auto"/>
                <w:highlight w:val="none"/>
              </w:rPr>
              <w:t>现状监测点位</w:t>
            </w:r>
          </w:p>
        </w:tc>
        <w:tc>
          <w:tcPr>
            <w:tcW w:w="1216" w:type="dxa"/>
            <w:vAlign w:val="center"/>
          </w:tcPr>
          <w:p w14:paraId="510B7A4A">
            <w:pPr>
              <w:pStyle w:val="17"/>
              <w:bidi w:val="0"/>
              <w:rPr>
                <w:color w:val="auto"/>
                <w:highlight w:val="none"/>
              </w:rPr>
            </w:pPr>
          </w:p>
        </w:tc>
        <w:tc>
          <w:tcPr>
            <w:tcW w:w="1377" w:type="dxa"/>
            <w:vAlign w:val="center"/>
          </w:tcPr>
          <w:p w14:paraId="5EE893D1">
            <w:pPr>
              <w:pStyle w:val="17"/>
              <w:bidi w:val="0"/>
              <w:rPr>
                <w:color w:val="auto"/>
                <w:highlight w:val="none"/>
              </w:rPr>
            </w:pPr>
            <w:r>
              <w:rPr>
                <w:color w:val="auto"/>
                <w:highlight w:val="none"/>
              </w:rPr>
              <w:t>占地范围内</w:t>
            </w:r>
          </w:p>
        </w:tc>
        <w:tc>
          <w:tcPr>
            <w:tcW w:w="1785" w:type="dxa"/>
            <w:gridSpan w:val="2"/>
            <w:vAlign w:val="center"/>
          </w:tcPr>
          <w:p w14:paraId="2E10B5EF">
            <w:pPr>
              <w:pStyle w:val="17"/>
              <w:bidi w:val="0"/>
              <w:rPr>
                <w:color w:val="auto"/>
                <w:highlight w:val="none"/>
              </w:rPr>
            </w:pPr>
            <w:r>
              <w:rPr>
                <w:color w:val="auto"/>
                <w:highlight w:val="none"/>
              </w:rPr>
              <w:t>占地范围外</w:t>
            </w:r>
          </w:p>
        </w:tc>
        <w:tc>
          <w:tcPr>
            <w:tcW w:w="1078" w:type="dxa"/>
            <w:vAlign w:val="center"/>
          </w:tcPr>
          <w:p w14:paraId="34B3E91E">
            <w:pPr>
              <w:pStyle w:val="17"/>
              <w:bidi w:val="0"/>
              <w:rPr>
                <w:color w:val="auto"/>
                <w:highlight w:val="none"/>
              </w:rPr>
            </w:pPr>
            <w:r>
              <w:rPr>
                <w:color w:val="auto"/>
                <w:highlight w:val="none"/>
              </w:rPr>
              <w:t>深度</w:t>
            </w:r>
          </w:p>
        </w:tc>
        <w:tc>
          <w:tcPr>
            <w:tcW w:w="938" w:type="dxa"/>
            <w:vMerge w:val="restart"/>
            <w:vAlign w:val="center"/>
          </w:tcPr>
          <w:p w14:paraId="72DC907D">
            <w:pPr>
              <w:pStyle w:val="17"/>
              <w:bidi w:val="0"/>
              <w:rPr>
                <w:color w:val="auto"/>
                <w:highlight w:val="none"/>
              </w:rPr>
            </w:pPr>
            <w:r>
              <w:rPr>
                <w:color w:val="auto"/>
                <w:highlight w:val="none"/>
              </w:rPr>
              <w:t>点位布置图</w:t>
            </w:r>
          </w:p>
        </w:tc>
      </w:tr>
      <w:tr w14:paraId="5705623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83" w:type="dxa"/>
            <w:vMerge w:val="continue"/>
            <w:vAlign w:val="center"/>
          </w:tcPr>
          <w:p w14:paraId="229E03A5">
            <w:pPr>
              <w:pStyle w:val="17"/>
              <w:bidi w:val="0"/>
              <w:rPr>
                <w:color w:val="auto"/>
                <w:highlight w:val="none"/>
              </w:rPr>
            </w:pPr>
          </w:p>
        </w:tc>
        <w:tc>
          <w:tcPr>
            <w:tcW w:w="1557" w:type="dxa"/>
            <w:vMerge w:val="continue"/>
            <w:vAlign w:val="center"/>
          </w:tcPr>
          <w:p w14:paraId="6C2EBAF3">
            <w:pPr>
              <w:pStyle w:val="17"/>
              <w:bidi w:val="0"/>
              <w:rPr>
                <w:color w:val="auto"/>
                <w:highlight w:val="none"/>
              </w:rPr>
            </w:pPr>
          </w:p>
        </w:tc>
        <w:tc>
          <w:tcPr>
            <w:tcW w:w="1216" w:type="dxa"/>
            <w:vAlign w:val="center"/>
          </w:tcPr>
          <w:p w14:paraId="1A169D44">
            <w:pPr>
              <w:pStyle w:val="17"/>
              <w:bidi w:val="0"/>
              <w:rPr>
                <w:color w:val="auto"/>
                <w:highlight w:val="none"/>
              </w:rPr>
            </w:pPr>
            <w:r>
              <w:rPr>
                <w:color w:val="auto"/>
                <w:highlight w:val="none"/>
              </w:rPr>
              <w:t>表层样点数</w:t>
            </w:r>
          </w:p>
        </w:tc>
        <w:tc>
          <w:tcPr>
            <w:tcW w:w="1377" w:type="dxa"/>
            <w:vAlign w:val="center"/>
          </w:tcPr>
          <w:p w14:paraId="410C5B59">
            <w:pPr>
              <w:pStyle w:val="17"/>
              <w:bidi w:val="0"/>
              <w:rPr>
                <w:rFonts w:hint="eastAsia"/>
                <w:color w:val="auto"/>
                <w:highlight w:val="none"/>
                <w:lang w:eastAsia="zh-CN"/>
              </w:rPr>
            </w:pPr>
            <w:r>
              <w:rPr>
                <w:rFonts w:hint="eastAsia"/>
                <w:color w:val="auto"/>
                <w:highlight w:val="none"/>
                <w:lang w:val="en-US" w:eastAsia="zh-CN"/>
              </w:rPr>
              <w:t>6</w:t>
            </w:r>
          </w:p>
        </w:tc>
        <w:tc>
          <w:tcPr>
            <w:tcW w:w="1785" w:type="dxa"/>
            <w:gridSpan w:val="2"/>
            <w:vAlign w:val="center"/>
          </w:tcPr>
          <w:p w14:paraId="63707DBB">
            <w:pPr>
              <w:pStyle w:val="17"/>
              <w:bidi w:val="0"/>
              <w:rPr>
                <w:rFonts w:hint="eastAsia"/>
                <w:color w:val="auto"/>
                <w:highlight w:val="none"/>
                <w:lang w:eastAsia="zh-CN"/>
              </w:rPr>
            </w:pPr>
            <w:r>
              <w:rPr>
                <w:rFonts w:hint="eastAsia"/>
                <w:color w:val="auto"/>
                <w:highlight w:val="none"/>
                <w:lang w:val="en-US" w:eastAsia="zh-CN"/>
              </w:rPr>
              <w:t>4</w:t>
            </w:r>
          </w:p>
        </w:tc>
        <w:tc>
          <w:tcPr>
            <w:tcW w:w="1078" w:type="dxa"/>
            <w:vAlign w:val="center"/>
          </w:tcPr>
          <w:p w14:paraId="3920F379">
            <w:pPr>
              <w:pStyle w:val="17"/>
              <w:bidi w:val="0"/>
              <w:rPr>
                <w:color w:val="auto"/>
                <w:highlight w:val="none"/>
              </w:rPr>
            </w:pPr>
            <w:r>
              <w:rPr>
                <w:color w:val="auto"/>
                <w:highlight w:val="none"/>
              </w:rPr>
              <w:t>0~0.2m</w:t>
            </w:r>
          </w:p>
        </w:tc>
        <w:tc>
          <w:tcPr>
            <w:tcW w:w="938" w:type="dxa"/>
            <w:vMerge w:val="continue"/>
            <w:vAlign w:val="center"/>
          </w:tcPr>
          <w:p w14:paraId="53CA4DD6">
            <w:pPr>
              <w:pStyle w:val="17"/>
              <w:bidi w:val="0"/>
              <w:rPr>
                <w:color w:val="auto"/>
                <w:highlight w:val="none"/>
              </w:rPr>
            </w:pPr>
          </w:p>
        </w:tc>
      </w:tr>
      <w:tr w14:paraId="200FDDE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17CD9458">
            <w:pPr>
              <w:pStyle w:val="17"/>
              <w:bidi w:val="0"/>
              <w:rPr>
                <w:color w:val="auto"/>
                <w:highlight w:val="none"/>
              </w:rPr>
            </w:pPr>
          </w:p>
        </w:tc>
        <w:tc>
          <w:tcPr>
            <w:tcW w:w="1557" w:type="dxa"/>
            <w:vMerge w:val="continue"/>
            <w:vAlign w:val="center"/>
          </w:tcPr>
          <w:p w14:paraId="05052590">
            <w:pPr>
              <w:pStyle w:val="17"/>
              <w:bidi w:val="0"/>
              <w:rPr>
                <w:color w:val="auto"/>
                <w:highlight w:val="none"/>
              </w:rPr>
            </w:pPr>
          </w:p>
        </w:tc>
        <w:tc>
          <w:tcPr>
            <w:tcW w:w="1216" w:type="dxa"/>
            <w:vAlign w:val="center"/>
          </w:tcPr>
          <w:p w14:paraId="315D3A8C">
            <w:pPr>
              <w:pStyle w:val="17"/>
              <w:bidi w:val="0"/>
              <w:rPr>
                <w:color w:val="auto"/>
                <w:highlight w:val="none"/>
              </w:rPr>
            </w:pPr>
            <w:r>
              <w:rPr>
                <w:color w:val="auto"/>
                <w:highlight w:val="none"/>
              </w:rPr>
              <w:t>柱状样点数</w:t>
            </w:r>
          </w:p>
        </w:tc>
        <w:tc>
          <w:tcPr>
            <w:tcW w:w="1377" w:type="dxa"/>
            <w:vAlign w:val="center"/>
          </w:tcPr>
          <w:p w14:paraId="19BE53C4">
            <w:pPr>
              <w:pStyle w:val="17"/>
              <w:bidi w:val="0"/>
              <w:rPr>
                <w:rFonts w:hint="eastAsia"/>
                <w:color w:val="auto"/>
                <w:highlight w:val="none"/>
                <w:lang w:eastAsia="zh-CN"/>
              </w:rPr>
            </w:pPr>
            <w:r>
              <w:rPr>
                <w:color w:val="auto"/>
                <w:highlight w:val="none"/>
              </w:rPr>
              <w:t>/</w:t>
            </w:r>
          </w:p>
        </w:tc>
        <w:tc>
          <w:tcPr>
            <w:tcW w:w="1785" w:type="dxa"/>
            <w:gridSpan w:val="2"/>
            <w:vAlign w:val="center"/>
          </w:tcPr>
          <w:p w14:paraId="226A55EC">
            <w:pPr>
              <w:pStyle w:val="17"/>
              <w:bidi w:val="0"/>
              <w:rPr>
                <w:color w:val="auto"/>
                <w:highlight w:val="none"/>
              </w:rPr>
            </w:pPr>
            <w:r>
              <w:rPr>
                <w:color w:val="auto"/>
                <w:highlight w:val="none"/>
              </w:rPr>
              <w:t>/</w:t>
            </w:r>
          </w:p>
        </w:tc>
        <w:tc>
          <w:tcPr>
            <w:tcW w:w="1078" w:type="dxa"/>
            <w:vAlign w:val="center"/>
          </w:tcPr>
          <w:p w14:paraId="50A28313">
            <w:pPr>
              <w:pStyle w:val="17"/>
              <w:bidi w:val="0"/>
              <w:rPr>
                <w:color w:val="auto"/>
                <w:highlight w:val="none"/>
              </w:rPr>
            </w:pPr>
            <w:r>
              <w:rPr>
                <w:color w:val="auto"/>
                <w:highlight w:val="none"/>
              </w:rPr>
              <w:t>/</w:t>
            </w:r>
          </w:p>
        </w:tc>
        <w:tc>
          <w:tcPr>
            <w:tcW w:w="938" w:type="dxa"/>
            <w:vMerge w:val="continue"/>
            <w:vAlign w:val="center"/>
          </w:tcPr>
          <w:p w14:paraId="7FAB948F">
            <w:pPr>
              <w:pStyle w:val="17"/>
              <w:bidi w:val="0"/>
              <w:rPr>
                <w:color w:val="auto"/>
                <w:highlight w:val="none"/>
              </w:rPr>
            </w:pPr>
          </w:p>
        </w:tc>
      </w:tr>
      <w:tr w14:paraId="733D640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307D6BD1">
            <w:pPr>
              <w:pStyle w:val="17"/>
              <w:bidi w:val="0"/>
              <w:rPr>
                <w:color w:val="auto"/>
                <w:highlight w:val="none"/>
              </w:rPr>
            </w:pPr>
          </w:p>
        </w:tc>
        <w:tc>
          <w:tcPr>
            <w:tcW w:w="1557" w:type="dxa"/>
            <w:vAlign w:val="center"/>
          </w:tcPr>
          <w:p w14:paraId="37980186">
            <w:pPr>
              <w:pStyle w:val="17"/>
              <w:bidi w:val="0"/>
              <w:rPr>
                <w:color w:val="auto"/>
                <w:highlight w:val="none"/>
              </w:rPr>
            </w:pPr>
            <w:r>
              <w:rPr>
                <w:color w:val="auto"/>
                <w:highlight w:val="none"/>
              </w:rPr>
              <w:t>现状监测因子</w:t>
            </w:r>
          </w:p>
        </w:tc>
        <w:tc>
          <w:tcPr>
            <w:tcW w:w="5456" w:type="dxa"/>
            <w:gridSpan w:val="5"/>
            <w:vAlign w:val="center"/>
          </w:tcPr>
          <w:p w14:paraId="39A3E5CF">
            <w:pPr>
              <w:pStyle w:val="17"/>
              <w:bidi w:val="0"/>
              <w:rPr>
                <w:rFonts w:hint="default"/>
                <w:color w:val="auto"/>
                <w:highlight w:val="none"/>
                <w:lang w:val="en-US" w:eastAsia="zh-CN"/>
              </w:rPr>
            </w:pPr>
            <w:r>
              <w:rPr>
                <w:color w:val="auto"/>
                <w:highlight w:val="none"/>
              </w:rPr>
              <w:t>基本45项及pH</w:t>
            </w:r>
            <w:r>
              <w:rPr>
                <w:rFonts w:hint="eastAsia"/>
                <w:color w:val="auto"/>
                <w:highlight w:val="none"/>
                <w:lang w:eastAsia="zh-CN"/>
              </w:rPr>
              <w:t>、</w:t>
            </w:r>
            <w:r>
              <w:rPr>
                <w:rFonts w:hint="eastAsia"/>
                <w:color w:val="auto"/>
                <w:highlight w:val="none"/>
                <w:lang w:val="en-US" w:eastAsia="zh-CN"/>
              </w:rPr>
              <w:t>石油烃、含盐量</w:t>
            </w:r>
          </w:p>
        </w:tc>
        <w:tc>
          <w:tcPr>
            <w:tcW w:w="938" w:type="dxa"/>
            <w:vAlign w:val="center"/>
          </w:tcPr>
          <w:p w14:paraId="08B9C423">
            <w:pPr>
              <w:pStyle w:val="17"/>
              <w:bidi w:val="0"/>
              <w:rPr>
                <w:color w:val="auto"/>
                <w:highlight w:val="none"/>
              </w:rPr>
            </w:pPr>
          </w:p>
        </w:tc>
      </w:tr>
      <w:tr w14:paraId="61839D4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restart"/>
            <w:vAlign w:val="center"/>
          </w:tcPr>
          <w:p w14:paraId="2BFBE857">
            <w:pPr>
              <w:pStyle w:val="17"/>
              <w:bidi w:val="0"/>
              <w:rPr>
                <w:color w:val="auto"/>
                <w:highlight w:val="none"/>
              </w:rPr>
            </w:pPr>
            <w:r>
              <w:rPr>
                <w:color w:val="auto"/>
                <w:highlight w:val="none"/>
              </w:rPr>
              <w:t>现</w:t>
            </w:r>
          </w:p>
          <w:p w14:paraId="615D3B98">
            <w:pPr>
              <w:pStyle w:val="17"/>
              <w:bidi w:val="0"/>
              <w:rPr>
                <w:color w:val="auto"/>
                <w:highlight w:val="none"/>
              </w:rPr>
            </w:pPr>
            <w:r>
              <w:rPr>
                <w:color w:val="auto"/>
                <w:highlight w:val="none"/>
              </w:rPr>
              <w:t>状评</w:t>
            </w:r>
          </w:p>
          <w:p w14:paraId="0B20A6D9">
            <w:pPr>
              <w:pStyle w:val="17"/>
              <w:bidi w:val="0"/>
              <w:rPr>
                <w:color w:val="auto"/>
                <w:highlight w:val="none"/>
              </w:rPr>
            </w:pPr>
            <w:r>
              <w:rPr>
                <w:color w:val="auto"/>
                <w:highlight w:val="none"/>
              </w:rPr>
              <w:t>价</w:t>
            </w:r>
          </w:p>
        </w:tc>
        <w:tc>
          <w:tcPr>
            <w:tcW w:w="1557" w:type="dxa"/>
            <w:vAlign w:val="center"/>
          </w:tcPr>
          <w:p w14:paraId="6B4403B7">
            <w:pPr>
              <w:pStyle w:val="17"/>
              <w:bidi w:val="0"/>
              <w:rPr>
                <w:color w:val="auto"/>
                <w:highlight w:val="none"/>
              </w:rPr>
            </w:pPr>
            <w:r>
              <w:rPr>
                <w:color w:val="auto"/>
                <w:highlight w:val="none"/>
              </w:rPr>
              <w:t>评价因子</w:t>
            </w:r>
          </w:p>
        </w:tc>
        <w:tc>
          <w:tcPr>
            <w:tcW w:w="5456" w:type="dxa"/>
            <w:gridSpan w:val="5"/>
            <w:vAlign w:val="center"/>
          </w:tcPr>
          <w:p w14:paraId="0DC6041B">
            <w:pPr>
              <w:pStyle w:val="17"/>
              <w:bidi w:val="0"/>
              <w:rPr>
                <w:color w:val="auto"/>
                <w:highlight w:val="none"/>
              </w:rPr>
            </w:pPr>
            <w:r>
              <w:rPr>
                <w:color w:val="auto"/>
                <w:highlight w:val="none"/>
              </w:rPr>
              <w:t>基本45项及pH</w:t>
            </w:r>
            <w:r>
              <w:rPr>
                <w:rFonts w:hint="eastAsia"/>
                <w:color w:val="auto"/>
                <w:highlight w:val="none"/>
                <w:lang w:eastAsia="zh-CN"/>
              </w:rPr>
              <w:t>、</w:t>
            </w:r>
            <w:r>
              <w:rPr>
                <w:rFonts w:hint="eastAsia"/>
                <w:color w:val="auto"/>
                <w:highlight w:val="none"/>
                <w:lang w:val="en-US" w:eastAsia="zh-CN"/>
              </w:rPr>
              <w:t>石油烃、含盐量</w:t>
            </w:r>
          </w:p>
        </w:tc>
        <w:tc>
          <w:tcPr>
            <w:tcW w:w="938" w:type="dxa"/>
            <w:vAlign w:val="center"/>
          </w:tcPr>
          <w:p w14:paraId="59AE9B79">
            <w:pPr>
              <w:pStyle w:val="17"/>
              <w:bidi w:val="0"/>
              <w:rPr>
                <w:color w:val="auto"/>
                <w:highlight w:val="none"/>
              </w:rPr>
            </w:pPr>
          </w:p>
        </w:tc>
      </w:tr>
      <w:tr w14:paraId="2463B27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15044475">
            <w:pPr>
              <w:pStyle w:val="17"/>
              <w:bidi w:val="0"/>
              <w:rPr>
                <w:color w:val="auto"/>
                <w:highlight w:val="none"/>
              </w:rPr>
            </w:pPr>
          </w:p>
        </w:tc>
        <w:tc>
          <w:tcPr>
            <w:tcW w:w="1557" w:type="dxa"/>
            <w:vAlign w:val="center"/>
          </w:tcPr>
          <w:p w14:paraId="12DB602D">
            <w:pPr>
              <w:pStyle w:val="17"/>
              <w:bidi w:val="0"/>
              <w:rPr>
                <w:color w:val="auto"/>
                <w:highlight w:val="none"/>
              </w:rPr>
            </w:pPr>
            <w:r>
              <w:rPr>
                <w:color w:val="auto"/>
                <w:highlight w:val="none"/>
              </w:rPr>
              <w:t>评价标准</w:t>
            </w:r>
          </w:p>
        </w:tc>
        <w:tc>
          <w:tcPr>
            <w:tcW w:w="5456" w:type="dxa"/>
            <w:gridSpan w:val="5"/>
            <w:vAlign w:val="center"/>
          </w:tcPr>
          <w:p w14:paraId="7B221B92">
            <w:pPr>
              <w:pStyle w:val="17"/>
              <w:bidi w:val="0"/>
              <w:rPr>
                <w:color w:val="auto"/>
                <w:highlight w:val="none"/>
              </w:rPr>
            </w:pPr>
            <w:r>
              <w:rPr>
                <w:color w:val="auto"/>
                <w:highlight w:val="none"/>
              </w:rPr>
              <w:t>GB15618</w:t>
            </w:r>
            <w:r>
              <w:rPr>
                <w:rFonts w:hint="eastAsia"/>
                <w:color w:val="auto"/>
                <w:highlight w:val="none"/>
                <w:lang w:eastAsia="zh-CN"/>
              </w:rPr>
              <w:t>☑</w:t>
            </w:r>
            <w:r>
              <w:rPr>
                <w:color w:val="auto"/>
                <w:highlight w:val="none"/>
              </w:rPr>
              <w:t>；GB36600</w:t>
            </w:r>
            <w:r>
              <w:rPr>
                <w:rFonts w:hint="eastAsia"/>
                <w:color w:val="auto"/>
                <w:highlight w:val="none"/>
                <w:lang w:eastAsia="zh-CN"/>
              </w:rPr>
              <w:t>☑</w:t>
            </w:r>
            <w:r>
              <w:rPr>
                <w:color w:val="auto"/>
                <w:highlight w:val="none"/>
              </w:rPr>
              <w:t>；表D.1</w:t>
            </w:r>
            <w:r>
              <w:rPr>
                <w:rFonts w:hint="eastAsia"/>
                <w:color w:val="auto"/>
                <w:highlight w:val="none"/>
                <w:lang w:eastAsia="zh-CN"/>
              </w:rPr>
              <w:t>□</w:t>
            </w:r>
            <w:r>
              <w:rPr>
                <w:color w:val="auto"/>
                <w:highlight w:val="none"/>
              </w:rPr>
              <w:t>；表D.2</w:t>
            </w:r>
            <w:r>
              <w:rPr>
                <w:rFonts w:hint="eastAsia"/>
                <w:color w:val="auto"/>
                <w:highlight w:val="none"/>
                <w:lang w:eastAsia="zh-CN"/>
              </w:rPr>
              <w:t>□</w:t>
            </w:r>
            <w:r>
              <w:rPr>
                <w:color w:val="auto"/>
                <w:highlight w:val="none"/>
              </w:rPr>
              <w:t>；其他（）</w:t>
            </w:r>
          </w:p>
        </w:tc>
        <w:tc>
          <w:tcPr>
            <w:tcW w:w="938" w:type="dxa"/>
            <w:vAlign w:val="center"/>
          </w:tcPr>
          <w:p w14:paraId="2D286247">
            <w:pPr>
              <w:pStyle w:val="17"/>
              <w:bidi w:val="0"/>
              <w:rPr>
                <w:color w:val="auto"/>
                <w:highlight w:val="none"/>
              </w:rPr>
            </w:pPr>
          </w:p>
        </w:tc>
      </w:tr>
      <w:tr w14:paraId="59654DB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4697746D">
            <w:pPr>
              <w:pStyle w:val="17"/>
              <w:bidi w:val="0"/>
              <w:rPr>
                <w:color w:val="auto"/>
                <w:highlight w:val="none"/>
              </w:rPr>
            </w:pPr>
          </w:p>
        </w:tc>
        <w:tc>
          <w:tcPr>
            <w:tcW w:w="1557" w:type="dxa"/>
            <w:vAlign w:val="center"/>
          </w:tcPr>
          <w:p w14:paraId="018D88D9">
            <w:pPr>
              <w:pStyle w:val="17"/>
              <w:bidi w:val="0"/>
              <w:rPr>
                <w:color w:val="auto"/>
                <w:highlight w:val="none"/>
              </w:rPr>
            </w:pPr>
            <w:r>
              <w:rPr>
                <w:color w:val="auto"/>
                <w:highlight w:val="none"/>
              </w:rPr>
              <w:t>现状评价结论</w:t>
            </w:r>
          </w:p>
        </w:tc>
        <w:tc>
          <w:tcPr>
            <w:tcW w:w="5456" w:type="dxa"/>
            <w:gridSpan w:val="5"/>
            <w:vAlign w:val="center"/>
          </w:tcPr>
          <w:p w14:paraId="68F268F4">
            <w:pPr>
              <w:pStyle w:val="17"/>
              <w:bidi w:val="0"/>
              <w:rPr>
                <w:color w:val="auto"/>
                <w:highlight w:val="none"/>
              </w:rPr>
            </w:pPr>
            <w:r>
              <w:rPr>
                <w:color w:val="auto"/>
                <w:highlight w:val="none"/>
              </w:rPr>
              <w:t>各监测点监测结果均能达到《土壤环境质量 建设用地土壤污染风险管控标准（试行）》（GB36600-2018）第二类用地筛选值</w:t>
            </w:r>
            <w:r>
              <w:rPr>
                <w:rFonts w:hint="eastAsia"/>
                <w:color w:val="auto"/>
                <w:highlight w:val="none"/>
                <w:lang w:val="en-US" w:eastAsia="zh-CN"/>
              </w:rPr>
              <w:t>及《土壤环境质量 农用地土壤污染风险管控标准（试行）》（GB15618-2018）</w:t>
            </w:r>
            <w:r>
              <w:rPr>
                <w:color w:val="auto"/>
                <w:highlight w:val="none"/>
              </w:rPr>
              <w:t>要求。</w:t>
            </w:r>
          </w:p>
        </w:tc>
        <w:tc>
          <w:tcPr>
            <w:tcW w:w="938" w:type="dxa"/>
            <w:vAlign w:val="center"/>
          </w:tcPr>
          <w:p w14:paraId="1BF97BF3">
            <w:pPr>
              <w:pStyle w:val="17"/>
              <w:bidi w:val="0"/>
              <w:rPr>
                <w:color w:val="auto"/>
                <w:highlight w:val="none"/>
              </w:rPr>
            </w:pPr>
          </w:p>
        </w:tc>
      </w:tr>
      <w:tr w14:paraId="182A428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restart"/>
            <w:vAlign w:val="center"/>
          </w:tcPr>
          <w:p w14:paraId="1E2378B3">
            <w:pPr>
              <w:pStyle w:val="17"/>
              <w:bidi w:val="0"/>
              <w:rPr>
                <w:color w:val="auto"/>
                <w:highlight w:val="none"/>
              </w:rPr>
            </w:pPr>
            <w:r>
              <w:rPr>
                <w:color w:val="auto"/>
                <w:highlight w:val="none"/>
              </w:rPr>
              <w:t>影</w:t>
            </w:r>
          </w:p>
          <w:p w14:paraId="3E98383B">
            <w:pPr>
              <w:pStyle w:val="17"/>
              <w:bidi w:val="0"/>
              <w:rPr>
                <w:color w:val="auto"/>
                <w:highlight w:val="none"/>
              </w:rPr>
            </w:pPr>
            <w:r>
              <w:rPr>
                <w:color w:val="auto"/>
                <w:highlight w:val="none"/>
              </w:rPr>
              <w:t>响预</w:t>
            </w:r>
          </w:p>
          <w:p w14:paraId="3B141DB8">
            <w:pPr>
              <w:pStyle w:val="17"/>
              <w:bidi w:val="0"/>
              <w:rPr>
                <w:color w:val="auto"/>
                <w:highlight w:val="none"/>
              </w:rPr>
            </w:pPr>
            <w:r>
              <w:rPr>
                <w:color w:val="auto"/>
                <w:highlight w:val="none"/>
              </w:rPr>
              <w:t>测</w:t>
            </w:r>
          </w:p>
        </w:tc>
        <w:tc>
          <w:tcPr>
            <w:tcW w:w="1557" w:type="dxa"/>
            <w:vAlign w:val="center"/>
          </w:tcPr>
          <w:p w14:paraId="2047A33D">
            <w:pPr>
              <w:pStyle w:val="17"/>
              <w:bidi w:val="0"/>
              <w:rPr>
                <w:color w:val="auto"/>
                <w:highlight w:val="none"/>
              </w:rPr>
            </w:pPr>
            <w:r>
              <w:rPr>
                <w:color w:val="auto"/>
                <w:highlight w:val="none"/>
              </w:rPr>
              <w:t>预测因子</w:t>
            </w:r>
          </w:p>
        </w:tc>
        <w:tc>
          <w:tcPr>
            <w:tcW w:w="5456" w:type="dxa"/>
            <w:gridSpan w:val="5"/>
            <w:vAlign w:val="center"/>
          </w:tcPr>
          <w:p w14:paraId="1FE44665">
            <w:pPr>
              <w:pStyle w:val="17"/>
              <w:bidi w:val="0"/>
              <w:rPr>
                <w:rFonts w:hint="default"/>
                <w:color w:val="auto"/>
                <w:highlight w:val="none"/>
                <w:lang w:val="en-US" w:eastAsia="zh-CN"/>
              </w:rPr>
            </w:pPr>
            <w:r>
              <w:rPr>
                <w:rFonts w:hint="eastAsia"/>
                <w:color w:val="auto"/>
                <w:highlight w:val="none"/>
                <w:lang w:val="en-US" w:eastAsia="zh-CN"/>
              </w:rPr>
              <w:t>pH、</w:t>
            </w:r>
          </w:p>
        </w:tc>
        <w:tc>
          <w:tcPr>
            <w:tcW w:w="938" w:type="dxa"/>
            <w:vAlign w:val="center"/>
          </w:tcPr>
          <w:p w14:paraId="3BE6AE5C">
            <w:pPr>
              <w:pStyle w:val="17"/>
              <w:bidi w:val="0"/>
              <w:rPr>
                <w:color w:val="auto"/>
                <w:highlight w:val="none"/>
              </w:rPr>
            </w:pPr>
          </w:p>
        </w:tc>
      </w:tr>
      <w:tr w14:paraId="64E36D3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3F7081F6">
            <w:pPr>
              <w:pStyle w:val="17"/>
              <w:bidi w:val="0"/>
              <w:rPr>
                <w:color w:val="auto"/>
                <w:highlight w:val="none"/>
              </w:rPr>
            </w:pPr>
          </w:p>
        </w:tc>
        <w:tc>
          <w:tcPr>
            <w:tcW w:w="1557" w:type="dxa"/>
            <w:vAlign w:val="center"/>
          </w:tcPr>
          <w:p w14:paraId="0D5721FF">
            <w:pPr>
              <w:pStyle w:val="17"/>
              <w:bidi w:val="0"/>
              <w:rPr>
                <w:color w:val="auto"/>
                <w:highlight w:val="none"/>
              </w:rPr>
            </w:pPr>
            <w:r>
              <w:rPr>
                <w:color w:val="auto"/>
                <w:highlight w:val="none"/>
              </w:rPr>
              <w:t>预测方法</w:t>
            </w:r>
          </w:p>
        </w:tc>
        <w:tc>
          <w:tcPr>
            <w:tcW w:w="5456" w:type="dxa"/>
            <w:gridSpan w:val="5"/>
            <w:vAlign w:val="center"/>
          </w:tcPr>
          <w:p w14:paraId="1E68DD04">
            <w:pPr>
              <w:pStyle w:val="17"/>
              <w:bidi w:val="0"/>
              <w:rPr>
                <w:color w:val="auto"/>
                <w:highlight w:val="none"/>
              </w:rPr>
            </w:pPr>
            <w:r>
              <w:rPr>
                <w:color w:val="auto"/>
                <w:highlight w:val="none"/>
              </w:rPr>
              <w:t>附录E</w:t>
            </w:r>
            <w:r>
              <w:rPr>
                <w:rFonts w:hint="eastAsia"/>
                <w:color w:val="auto"/>
                <w:highlight w:val="none"/>
                <w:lang w:eastAsia="zh-CN"/>
              </w:rPr>
              <w:t>☑</w:t>
            </w:r>
            <w:r>
              <w:rPr>
                <w:color w:val="auto"/>
                <w:highlight w:val="none"/>
              </w:rPr>
              <w:t>；附录F</w:t>
            </w:r>
            <w:r>
              <w:rPr>
                <w:rFonts w:hint="eastAsia"/>
                <w:color w:val="auto"/>
                <w:highlight w:val="none"/>
                <w:lang w:eastAsia="zh-CN"/>
              </w:rPr>
              <w:t>☑</w:t>
            </w:r>
            <w:r>
              <w:rPr>
                <w:color w:val="auto"/>
                <w:highlight w:val="none"/>
              </w:rPr>
              <w:t>；其他（）</w:t>
            </w:r>
          </w:p>
        </w:tc>
        <w:tc>
          <w:tcPr>
            <w:tcW w:w="938" w:type="dxa"/>
            <w:vAlign w:val="center"/>
          </w:tcPr>
          <w:p w14:paraId="539516EA">
            <w:pPr>
              <w:pStyle w:val="17"/>
              <w:bidi w:val="0"/>
              <w:rPr>
                <w:color w:val="auto"/>
                <w:highlight w:val="none"/>
              </w:rPr>
            </w:pPr>
          </w:p>
        </w:tc>
      </w:tr>
      <w:tr w14:paraId="568C871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4E144734">
            <w:pPr>
              <w:pStyle w:val="17"/>
              <w:bidi w:val="0"/>
              <w:rPr>
                <w:color w:val="auto"/>
                <w:highlight w:val="none"/>
              </w:rPr>
            </w:pPr>
          </w:p>
        </w:tc>
        <w:tc>
          <w:tcPr>
            <w:tcW w:w="1557" w:type="dxa"/>
            <w:vAlign w:val="center"/>
          </w:tcPr>
          <w:p w14:paraId="00EE6D2D">
            <w:pPr>
              <w:pStyle w:val="17"/>
              <w:bidi w:val="0"/>
              <w:rPr>
                <w:color w:val="auto"/>
                <w:highlight w:val="none"/>
              </w:rPr>
            </w:pPr>
            <w:r>
              <w:rPr>
                <w:color w:val="auto"/>
                <w:highlight w:val="none"/>
              </w:rPr>
              <w:t>预测分析内容</w:t>
            </w:r>
          </w:p>
        </w:tc>
        <w:tc>
          <w:tcPr>
            <w:tcW w:w="5456" w:type="dxa"/>
            <w:gridSpan w:val="5"/>
            <w:vAlign w:val="center"/>
          </w:tcPr>
          <w:p w14:paraId="636028A6">
            <w:pPr>
              <w:pStyle w:val="17"/>
              <w:bidi w:val="0"/>
              <w:rPr>
                <w:color w:val="auto"/>
                <w:highlight w:val="none"/>
              </w:rPr>
            </w:pPr>
            <w:r>
              <w:rPr>
                <w:color w:val="auto"/>
                <w:highlight w:val="none"/>
              </w:rPr>
              <w:t>影响范围（</w:t>
            </w:r>
            <w:r>
              <w:rPr>
                <w:rFonts w:hint="eastAsia"/>
                <w:color w:val="auto"/>
                <w:highlight w:val="none"/>
                <w:lang w:val="en-US" w:eastAsia="zh-CN"/>
              </w:rPr>
              <w:t>尾矿库及周边土壤</w:t>
            </w:r>
            <w:r>
              <w:rPr>
                <w:color w:val="auto"/>
                <w:highlight w:val="none"/>
              </w:rPr>
              <w:t>）</w:t>
            </w:r>
          </w:p>
          <w:p w14:paraId="2CFE7221">
            <w:pPr>
              <w:pStyle w:val="17"/>
              <w:bidi w:val="0"/>
              <w:rPr>
                <w:color w:val="auto"/>
                <w:highlight w:val="none"/>
              </w:rPr>
            </w:pPr>
            <w:r>
              <w:rPr>
                <w:color w:val="auto"/>
                <w:highlight w:val="none"/>
              </w:rPr>
              <w:t>影响程度</w:t>
            </w:r>
            <w:r>
              <w:rPr>
                <w:rFonts w:hint="eastAsia"/>
                <w:color w:val="auto"/>
                <w:highlight w:val="none"/>
                <w:lang w:eastAsia="zh-CN"/>
              </w:rPr>
              <w:t>（</w:t>
            </w:r>
            <w:r>
              <w:rPr>
                <w:rFonts w:hint="eastAsia"/>
                <w:color w:val="auto"/>
                <w:highlight w:val="none"/>
                <w:lang w:val="en-US" w:eastAsia="zh-CN"/>
              </w:rPr>
              <w:t>可接受</w:t>
            </w:r>
            <w:r>
              <w:rPr>
                <w:rFonts w:hint="eastAsia"/>
                <w:color w:val="auto"/>
                <w:highlight w:val="none"/>
                <w:lang w:eastAsia="zh-CN"/>
              </w:rPr>
              <w:t>）</w:t>
            </w:r>
          </w:p>
        </w:tc>
        <w:tc>
          <w:tcPr>
            <w:tcW w:w="938" w:type="dxa"/>
            <w:vAlign w:val="center"/>
          </w:tcPr>
          <w:p w14:paraId="2B791C5D">
            <w:pPr>
              <w:pStyle w:val="17"/>
              <w:bidi w:val="0"/>
              <w:rPr>
                <w:color w:val="auto"/>
                <w:highlight w:val="none"/>
              </w:rPr>
            </w:pPr>
          </w:p>
        </w:tc>
      </w:tr>
      <w:tr w14:paraId="4233EC8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46D7E4F9">
            <w:pPr>
              <w:pStyle w:val="17"/>
              <w:bidi w:val="0"/>
              <w:rPr>
                <w:color w:val="auto"/>
                <w:highlight w:val="none"/>
              </w:rPr>
            </w:pPr>
          </w:p>
        </w:tc>
        <w:tc>
          <w:tcPr>
            <w:tcW w:w="1557" w:type="dxa"/>
            <w:vAlign w:val="center"/>
          </w:tcPr>
          <w:p w14:paraId="0D7F580F">
            <w:pPr>
              <w:pStyle w:val="17"/>
              <w:bidi w:val="0"/>
              <w:rPr>
                <w:color w:val="auto"/>
                <w:highlight w:val="none"/>
              </w:rPr>
            </w:pPr>
            <w:r>
              <w:rPr>
                <w:color w:val="auto"/>
                <w:highlight w:val="none"/>
              </w:rPr>
              <w:t>预测结论</w:t>
            </w:r>
          </w:p>
        </w:tc>
        <w:tc>
          <w:tcPr>
            <w:tcW w:w="5456" w:type="dxa"/>
            <w:gridSpan w:val="5"/>
            <w:vAlign w:val="center"/>
          </w:tcPr>
          <w:p w14:paraId="183D096E">
            <w:pPr>
              <w:pStyle w:val="17"/>
              <w:bidi w:val="0"/>
              <w:rPr>
                <w:rFonts w:hint="eastAsia"/>
                <w:color w:val="auto"/>
                <w:highlight w:val="none"/>
                <w:lang w:eastAsia="zh-CN"/>
              </w:rPr>
            </w:pPr>
            <w:r>
              <w:rPr>
                <w:color w:val="auto"/>
                <w:highlight w:val="none"/>
              </w:rPr>
              <w:t>达标结论：a）</w:t>
            </w:r>
            <w:r>
              <w:rPr>
                <w:rFonts w:hint="eastAsia"/>
                <w:color w:val="auto"/>
                <w:highlight w:val="none"/>
                <w:lang w:eastAsia="zh-CN"/>
              </w:rPr>
              <w:t>☑</w:t>
            </w:r>
            <w:r>
              <w:rPr>
                <w:color w:val="auto"/>
                <w:highlight w:val="none"/>
              </w:rPr>
              <w:t>；b）</w:t>
            </w:r>
            <w:r>
              <w:rPr>
                <w:rFonts w:hint="eastAsia"/>
                <w:color w:val="auto"/>
                <w:highlight w:val="none"/>
                <w:lang w:eastAsia="zh-CN"/>
              </w:rPr>
              <w:t>□</w:t>
            </w:r>
            <w:r>
              <w:rPr>
                <w:color w:val="auto"/>
                <w:highlight w:val="none"/>
              </w:rPr>
              <w:t>；c）</w:t>
            </w:r>
            <w:r>
              <w:rPr>
                <w:rFonts w:hint="eastAsia"/>
                <w:color w:val="auto"/>
                <w:highlight w:val="none"/>
                <w:lang w:eastAsia="zh-CN"/>
              </w:rPr>
              <w:t>□</w:t>
            </w:r>
          </w:p>
          <w:p w14:paraId="3597B896">
            <w:pPr>
              <w:pStyle w:val="17"/>
              <w:bidi w:val="0"/>
              <w:rPr>
                <w:rFonts w:hint="eastAsia"/>
                <w:color w:val="auto"/>
                <w:highlight w:val="none"/>
                <w:lang w:eastAsia="zh-CN"/>
              </w:rPr>
            </w:pPr>
            <w:r>
              <w:rPr>
                <w:color w:val="auto"/>
                <w:highlight w:val="none"/>
              </w:rPr>
              <w:t>不达标结论：a）</w:t>
            </w:r>
            <w:r>
              <w:rPr>
                <w:rFonts w:hint="eastAsia"/>
                <w:color w:val="auto"/>
                <w:highlight w:val="none"/>
                <w:lang w:eastAsia="zh-CN"/>
              </w:rPr>
              <w:t>□</w:t>
            </w:r>
            <w:r>
              <w:rPr>
                <w:color w:val="auto"/>
                <w:highlight w:val="none"/>
              </w:rPr>
              <w:t>；b）</w:t>
            </w:r>
            <w:r>
              <w:rPr>
                <w:rFonts w:hint="eastAsia"/>
                <w:color w:val="auto"/>
                <w:highlight w:val="none"/>
                <w:lang w:eastAsia="zh-CN"/>
              </w:rPr>
              <w:t>□</w:t>
            </w:r>
          </w:p>
        </w:tc>
        <w:tc>
          <w:tcPr>
            <w:tcW w:w="938" w:type="dxa"/>
            <w:vAlign w:val="center"/>
          </w:tcPr>
          <w:p w14:paraId="41ABD025">
            <w:pPr>
              <w:pStyle w:val="17"/>
              <w:bidi w:val="0"/>
              <w:rPr>
                <w:color w:val="auto"/>
                <w:highlight w:val="none"/>
              </w:rPr>
            </w:pPr>
          </w:p>
        </w:tc>
      </w:tr>
      <w:tr w14:paraId="6134EB7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restart"/>
            <w:vAlign w:val="center"/>
          </w:tcPr>
          <w:p w14:paraId="3BA2C6D6">
            <w:pPr>
              <w:pStyle w:val="17"/>
              <w:bidi w:val="0"/>
              <w:rPr>
                <w:color w:val="auto"/>
                <w:highlight w:val="none"/>
              </w:rPr>
            </w:pPr>
            <w:r>
              <w:rPr>
                <w:color w:val="auto"/>
                <w:highlight w:val="none"/>
              </w:rPr>
              <w:t>防</w:t>
            </w:r>
          </w:p>
          <w:p w14:paraId="790EBB2A">
            <w:pPr>
              <w:pStyle w:val="17"/>
              <w:bidi w:val="0"/>
              <w:rPr>
                <w:color w:val="auto"/>
                <w:highlight w:val="none"/>
              </w:rPr>
            </w:pPr>
            <w:r>
              <w:rPr>
                <w:color w:val="auto"/>
                <w:highlight w:val="none"/>
              </w:rPr>
              <w:t>治措</w:t>
            </w:r>
          </w:p>
          <w:p w14:paraId="334F3EF7">
            <w:pPr>
              <w:pStyle w:val="17"/>
              <w:bidi w:val="0"/>
              <w:rPr>
                <w:color w:val="auto"/>
                <w:highlight w:val="none"/>
              </w:rPr>
            </w:pPr>
            <w:r>
              <w:rPr>
                <w:color w:val="auto"/>
                <w:highlight w:val="none"/>
              </w:rPr>
              <w:t>施</w:t>
            </w:r>
          </w:p>
        </w:tc>
        <w:tc>
          <w:tcPr>
            <w:tcW w:w="1557" w:type="dxa"/>
            <w:vAlign w:val="center"/>
          </w:tcPr>
          <w:p w14:paraId="1FB59AB5">
            <w:pPr>
              <w:pStyle w:val="17"/>
              <w:bidi w:val="0"/>
              <w:rPr>
                <w:color w:val="auto"/>
                <w:highlight w:val="none"/>
              </w:rPr>
            </w:pPr>
            <w:r>
              <w:rPr>
                <w:color w:val="auto"/>
                <w:highlight w:val="none"/>
              </w:rPr>
              <w:t>防控措施</w:t>
            </w:r>
          </w:p>
        </w:tc>
        <w:tc>
          <w:tcPr>
            <w:tcW w:w="5456" w:type="dxa"/>
            <w:gridSpan w:val="5"/>
            <w:vAlign w:val="center"/>
          </w:tcPr>
          <w:p w14:paraId="0D65AE33">
            <w:pPr>
              <w:pStyle w:val="17"/>
              <w:bidi w:val="0"/>
              <w:rPr>
                <w:color w:val="auto"/>
                <w:highlight w:val="none"/>
              </w:rPr>
            </w:pPr>
            <w:r>
              <w:rPr>
                <w:color w:val="auto"/>
                <w:highlight w:val="none"/>
              </w:rPr>
              <w:t>土壤环境质量现状保障</w:t>
            </w:r>
            <w:r>
              <w:rPr>
                <w:rFonts w:hint="eastAsia"/>
                <w:color w:val="auto"/>
                <w:highlight w:val="none"/>
                <w:lang w:eastAsia="zh-CN"/>
              </w:rPr>
              <w:t>□</w:t>
            </w:r>
            <w:r>
              <w:rPr>
                <w:color w:val="auto"/>
                <w:highlight w:val="none"/>
              </w:rPr>
              <w:t>；源头控制</w:t>
            </w:r>
            <w:r>
              <w:rPr>
                <w:rFonts w:hint="eastAsia"/>
                <w:color w:val="auto"/>
                <w:highlight w:val="none"/>
                <w:lang w:eastAsia="zh-CN"/>
              </w:rPr>
              <w:t>☑</w:t>
            </w:r>
            <w:r>
              <w:rPr>
                <w:color w:val="auto"/>
                <w:highlight w:val="none"/>
              </w:rPr>
              <w:t>；过程防控</w:t>
            </w:r>
            <w:r>
              <w:rPr>
                <w:rFonts w:hint="eastAsia"/>
                <w:color w:val="auto"/>
                <w:highlight w:val="none"/>
                <w:lang w:eastAsia="zh-CN"/>
              </w:rPr>
              <w:t>☑</w:t>
            </w:r>
            <w:r>
              <w:rPr>
                <w:color w:val="auto"/>
                <w:highlight w:val="none"/>
              </w:rPr>
              <w:t>；其他</w:t>
            </w:r>
          </w:p>
        </w:tc>
        <w:tc>
          <w:tcPr>
            <w:tcW w:w="938" w:type="dxa"/>
            <w:vAlign w:val="center"/>
          </w:tcPr>
          <w:p w14:paraId="5056A5AA">
            <w:pPr>
              <w:pStyle w:val="17"/>
              <w:bidi w:val="0"/>
              <w:rPr>
                <w:color w:val="auto"/>
                <w:highlight w:val="none"/>
              </w:rPr>
            </w:pPr>
          </w:p>
        </w:tc>
      </w:tr>
      <w:tr w14:paraId="255AB84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6DF13C9B">
            <w:pPr>
              <w:pStyle w:val="17"/>
              <w:bidi w:val="0"/>
              <w:rPr>
                <w:color w:val="auto"/>
                <w:highlight w:val="none"/>
              </w:rPr>
            </w:pPr>
          </w:p>
        </w:tc>
        <w:tc>
          <w:tcPr>
            <w:tcW w:w="1557" w:type="dxa"/>
            <w:vMerge w:val="restart"/>
            <w:vAlign w:val="center"/>
          </w:tcPr>
          <w:p w14:paraId="63CB74A4">
            <w:pPr>
              <w:pStyle w:val="17"/>
              <w:bidi w:val="0"/>
              <w:rPr>
                <w:color w:val="auto"/>
                <w:highlight w:val="none"/>
              </w:rPr>
            </w:pPr>
            <w:r>
              <w:rPr>
                <w:color w:val="auto"/>
                <w:highlight w:val="none"/>
              </w:rPr>
              <w:t>跟踪监测</w:t>
            </w:r>
          </w:p>
        </w:tc>
        <w:tc>
          <w:tcPr>
            <w:tcW w:w="2593" w:type="dxa"/>
            <w:gridSpan w:val="2"/>
            <w:vAlign w:val="center"/>
          </w:tcPr>
          <w:p w14:paraId="10E18016">
            <w:pPr>
              <w:pStyle w:val="17"/>
              <w:bidi w:val="0"/>
              <w:rPr>
                <w:color w:val="auto"/>
                <w:highlight w:val="none"/>
              </w:rPr>
            </w:pPr>
            <w:r>
              <w:rPr>
                <w:color w:val="auto"/>
                <w:highlight w:val="none"/>
              </w:rPr>
              <w:t>监测点数</w:t>
            </w:r>
          </w:p>
        </w:tc>
        <w:tc>
          <w:tcPr>
            <w:tcW w:w="1457" w:type="dxa"/>
            <w:vAlign w:val="center"/>
          </w:tcPr>
          <w:p w14:paraId="2DE825F5">
            <w:pPr>
              <w:pStyle w:val="17"/>
              <w:bidi w:val="0"/>
              <w:rPr>
                <w:color w:val="auto"/>
                <w:highlight w:val="none"/>
              </w:rPr>
            </w:pPr>
            <w:r>
              <w:rPr>
                <w:color w:val="auto"/>
                <w:highlight w:val="none"/>
              </w:rPr>
              <w:t>监测指标</w:t>
            </w:r>
          </w:p>
        </w:tc>
        <w:tc>
          <w:tcPr>
            <w:tcW w:w="1406" w:type="dxa"/>
            <w:gridSpan w:val="2"/>
            <w:vAlign w:val="center"/>
          </w:tcPr>
          <w:p w14:paraId="0E4365F3">
            <w:pPr>
              <w:pStyle w:val="17"/>
              <w:bidi w:val="0"/>
              <w:rPr>
                <w:color w:val="auto"/>
                <w:highlight w:val="none"/>
              </w:rPr>
            </w:pPr>
            <w:r>
              <w:rPr>
                <w:color w:val="auto"/>
                <w:highlight w:val="none"/>
              </w:rPr>
              <w:t>监测频次</w:t>
            </w:r>
          </w:p>
        </w:tc>
        <w:tc>
          <w:tcPr>
            <w:tcW w:w="938" w:type="dxa"/>
            <w:vMerge w:val="restart"/>
            <w:vAlign w:val="center"/>
          </w:tcPr>
          <w:p w14:paraId="23F17751">
            <w:pPr>
              <w:pStyle w:val="17"/>
              <w:bidi w:val="0"/>
              <w:rPr>
                <w:color w:val="auto"/>
                <w:highlight w:val="none"/>
              </w:rPr>
            </w:pPr>
          </w:p>
        </w:tc>
      </w:tr>
      <w:tr w14:paraId="149D715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2539EA38">
            <w:pPr>
              <w:pStyle w:val="17"/>
              <w:bidi w:val="0"/>
              <w:rPr>
                <w:color w:val="auto"/>
                <w:highlight w:val="none"/>
              </w:rPr>
            </w:pPr>
          </w:p>
        </w:tc>
        <w:tc>
          <w:tcPr>
            <w:tcW w:w="1557" w:type="dxa"/>
            <w:vMerge w:val="continue"/>
            <w:vAlign w:val="center"/>
          </w:tcPr>
          <w:p w14:paraId="3DDB78B8">
            <w:pPr>
              <w:pStyle w:val="17"/>
              <w:bidi w:val="0"/>
              <w:rPr>
                <w:color w:val="auto"/>
                <w:highlight w:val="none"/>
              </w:rPr>
            </w:pPr>
          </w:p>
        </w:tc>
        <w:tc>
          <w:tcPr>
            <w:tcW w:w="2593" w:type="dxa"/>
            <w:gridSpan w:val="2"/>
            <w:vAlign w:val="center"/>
          </w:tcPr>
          <w:p w14:paraId="3831C4C8">
            <w:pPr>
              <w:pStyle w:val="17"/>
              <w:bidi w:val="0"/>
              <w:rPr>
                <w:rFonts w:hint="eastAsia"/>
                <w:color w:val="auto"/>
                <w:highlight w:val="none"/>
                <w:lang w:eastAsia="zh-CN"/>
              </w:rPr>
            </w:pPr>
            <w:r>
              <w:rPr>
                <w:rFonts w:hint="eastAsia"/>
                <w:color w:val="auto"/>
                <w:highlight w:val="none"/>
                <w:lang w:val="en-US" w:eastAsia="zh-CN"/>
              </w:rPr>
              <w:t>/</w:t>
            </w:r>
          </w:p>
        </w:tc>
        <w:tc>
          <w:tcPr>
            <w:tcW w:w="1457" w:type="dxa"/>
            <w:vAlign w:val="center"/>
          </w:tcPr>
          <w:p w14:paraId="3478E5FE">
            <w:pPr>
              <w:pStyle w:val="17"/>
              <w:bidi w:val="0"/>
              <w:rPr>
                <w:rFonts w:hint="eastAsia"/>
                <w:color w:val="auto"/>
                <w:highlight w:val="none"/>
                <w:lang w:eastAsia="zh-CN"/>
              </w:rPr>
            </w:pPr>
            <w:r>
              <w:rPr>
                <w:rFonts w:hint="eastAsia"/>
                <w:color w:val="auto"/>
                <w:highlight w:val="none"/>
                <w:lang w:val="en-US" w:eastAsia="zh-CN"/>
              </w:rPr>
              <w:t>/</w:t>
            </w:r>
          </w:p>
        </w:tc>
        <w:tc>
          <w:tcPr>
            <w:tcW w:w="1406" w:type="dxa"/>
            <w:gridSpan w:val="2"/>
            <w:vAlign w:val="center"/>
          </w:tcPr>
          <w:p w14:paraId="17B48CF4">
            <w:pPr>
              <w:pStyle w:val="17"/>
              <w:bidi w:val="0"/>
              <w:rPr>
                <w:color w:val="auto"/>
                <w:highlight w:val="none"/>
              </w:rPr>
            </w:pPr>
            <w:r>
              <w:rPr>
                <w:rFonts w:hint="eastAsia"/>
                <w:color w:val="auto"/>
                <w:highlight w:val="none"/>
                <w:lang w:val="en-US" w:eastAsia="zh-CN"/>
              </w:rPr>
              <w:t>/</w:t>
            </w:r>
          </w:p>
        </w:tc>
        <w:tc>
          <w:tcPr>
            <w:tcW w:w="938" w:type="dxa"/>
            <w:vMerge w:val="continue"/>
            <w:vAlign w:val="center"/>
          </w:tcPr>
          <w:p w14:paraId="0EB7F376">
            <w:pPr>
              <w:pStyle w:val="17"/>
              <w:bidi w:val="0"/>
              <w:rPr>
                <w:color w:val="auto"/>
                <w:highlight w:val="none"/>
              </w:rPr>
            </w:pPr>
          </w:p>
        </w:tc>
      </w:tr>
      <w:tr w14:paraId="56B7E8F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383" w:type="dxa"/>
            <w:vMerge w:val="continue"/>
            <w:vAlign w:val="center"/>
          </w:tcPr>
          <w:p w14:paraId="1869EF46">
            <w:pPr>
              <w:pStyle w:val="17"/>
              <w:bidi w:val="0"/>
              <w:rPr>
                <w:color w:val="auto"/>
                <w:highlight w:val="none"/>
              </w:rPr>
            </w:pPr>
          </w:p>
        </w:tc>
        <w:tc>
          <w:tcPr>
            <w:tcW w:w="1557" w:type="dxa"/>
            <w:vAlign w:val="center"/>
          </w:tcPr>
          <w:p w14:paraId="6BB0EF07">
            <w:pPr>
              <w:pStyle w:val="17"/>
              <w:bidi w:val="0"/>
              <w:rPr>
                <w:color w:val="auto"/>
                <w:highlight w:val="none"/>
              </w:rPr>
            </w:pPr>
            <w:r>
              <w:rPr>
                <w:color w:val="auto"/>
                <w:highlight w:val="none"/>
              </w:rPr>
              <w:t>信息公开指标</w:t>
            </w:r>
          </w:p>
        </w:tc>
        <w:tc>
          <w:tcPr>
            <w:tcW w:w="5456" w:type="dxa"/>
            <w:gridSpan w:val="5"/>
            <w:vAlign w:val="center"/>
          </w:tcPr>
          <w:p w14:paraId="3B09B231">
            <w:pPr>
              <w:pStyle w:val="17"/>
              <w:bidi w:val="0"/>
              <w:rPr>
                <w:color w:val="auto"/>
                <w:highlight w:val="none"/>
              </w:rPr>
            </w:pPr>
          </w:p>
        </w:tc>
        <w:tc>
          <w:tcPr>
            <w:tcW w:w="938" w:type="dxa"/>
            <w:vMerge w:val="continue"/>
            <w:vAlign w:val="center"/>
          </w:tcPr>
          <w:p w14:paraId="22BA9B88">
            <w:pPr>
              <w:pStyle w:val="17"/>
              <w:bidi w:val="0"/>
              <w:rPr>
                <w:color w:val="auto"/>
                <w:highlight w:val="none"/>
              </w:rPr>
            </w:pPr>
          </w:p>
        </w:tc>
      </w:tr>
      <w:tr w14:paraId="27F5DE3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1940" w:type="dxa"/>
            <w:gridSpan w:val="2"/>
            <w:vAlign w:val="center"/>
          </w:tcPr>
          <w:p w14:paraId="034BC35B">
            <w:pPr>
              <w:pStyle w:val="17"/>
              <w:bidi w:val="0"/>
              <w:rPr>
                <w:color w:val="auto"/>
                <w:highlight w:val="none"/>
              </w:rPr>
            </w:pPr>
            <w:r>
              <w:rPr>
                <w:color w:val="auto"/>
                <w:highlight w:val="none"/>
              </w:rPr>
              <w:t>评价结论</w:t>
            </w:r>
          </w:p>
        </w:tc>
        <w:tc>
          <w:tcPr>
            <w:tcW w:w="5456" w:type="dxa"/>
            <w:gridSpan w:val="5"/>
            <w:vAlign w:val="center"/>
          </w:tcPr>
          <w:p w14:paraId="54A01AEE">
            <w:pPr>
              <w:pStyle w:val="17"/>
              <w:bidi w:val="0"/>
              <w:rPr>
                <w:color w:val="auto"/>
                <w:highlight w:val="none"/>
              </w:rPr>
            </w:pPr>
            <w:r>
              <w:rPr>
                <w:color w:val="auto"/>
                <w:highlight w:val="none"/>
              </w:rPr>
              <w:t>本项目在事故状态下尾矿</w:t>
            </w:r>
            <w:r>
              <w:rPr>
                <w:rFonts w:hint="eastAsia"/>
                <w:color w:val="auto"/>
                <w:highlight w:val="none"/>
              </w:rPr>
              <w:t>渗滤液</w:t>
            </w:r>
            <w:r>
              <w:rPr>
                <w:color w:val="auto"/>
                <w:highlight w:val="none"/>
              </w:rPr>
              <w:t>通过入渗形式进入周边土壤，可能会造成土壤环境影响。根据情景预测结果，本项目</w:t>
            </w:r>
            <w:r>
              <w:rPr>
                <w:rFonts w:hint="eastAsia"/>
                <w:color w:val="auto"/>
                <w:highlight w:val="none"/>
              </w:rPr>
              <w:t>尾矿库防渗系统</w:t>
            </w:r>
            <w:r>
              <w:rPr>
                <w:color w:val="auto"/>
                <w:highlight w:val="none"/>
              </w:rPr>
              <w:t>破裂泄漏事故如持续20年，则评价范围内单位质量表层中</w:t>
            </w:r>
            <w:r>
              <w:rPr>
                <w:rFonts w:hint="eastAsia"/>
                <w:color w:val="auto"/>
                <w:highlight w:val="none"/>
                <w:lang w:val="en-US" w:eastAsia="zh-CN"/>
              </w:rPr>
              <w:t>镉</w:t>
            </w:r>
            <w:r>
              <w:rPr>
                <w:color w:val="auto"/>
                <w:highlight w:val="none"/>
              </w:rPr>
              <w:t>的含量将维持本底值，总体增量较小，对区域土壤环境影响较小。</w:t>
            </w:r>
          </w:p>
        </w:tc>
        <w:tc>
          <w:tcPr>
            <w:tcW w:w="938" w:type="dxa"/>
            <w:vAlign w:val="center"/>
          </w:tcPr>
          <w:p w14:paraId="49ACD27C">
            <w:pPr>
              <w:pStyle w:val="17"/>
              <w:bidi w:val="0"/>
              <w:rPr>
                <w:color w:val="auto"/>
                <w:highlight w:val="none"/>
              </w:rPr>
            </w:pPr>
          </w:p>
        </w:tc>
      </w:tr>
      <w:tr w14:paraId="38962FE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8334" w:type="dxa"/>
            <w:gridSpan w:val="8"/>
            <w:vAlign w:val="center"/>
          </w:tcPr>
          <w:p w14:paraId="30EC2622">
            <w:pPr>
              <w:pStyle w:val="17"/>
              <w:bidi w:val="0"/>
              <w:rPr>
                <w:color w:val="auto"/>
                <w:highlight w:val="none"/>
              </w:rPr>
            </w:pPr>
            <w:r>
              <w:rPr>
                <w:color w:val="auto"/>
                <w:highlight w:val="none"/>
              </w:rPr>
              <w:t>注 1：“□”为勾选项，可√；“（ ）”为内容填写项；“备注”为其他补充内容。</w:t>
            </w:r>
          </w:p>
          <w:p w14:paraId="24B2670C">
            <w:pPr>
              <w:pStyle w:val="17"/>
              <w:bidi w:val="0"/>
              <w:rPr>
                <w:color w:val="auto"/>
                <w:highlight w:val="none"/>
              </w:rPr>
            </w:pPr>
            <w:r>
              <w:rPr>
                <w:color w:val="auto"/>
                <w:highlight w:val="none"/>
              </w:rPr>
              <w:t>注 2：需要分别开展土壤环境影响评级工作的，分别填写自查表。</w:t>
            </w:r>
          </w:p>
        </w:tc>
      </w:tr>
    </w:tbl>
    <w:p w14:paraId="481CA970">
      <w:pPr>
        <w:pStyle w:val="6"/>
        <w:rPr>
          <w:rFonts w:hint="eastAsia"/>
          <w:color w:val="auto"/>
          <w:highlight w:val="none"/>
        </w:rPr>
      </w:pPr>
      <w:bookmarkStart w:id="677" w:name="_Toc27346"/>
      <w:bookmarkStart w:id="678" w:name="_Toc32314"/>
      <w:bookmarkStart w:id="679" w:name="_Toc15280"/>
      <w:r>
        <w:rPr>
          <w:rFonts w:hint="eastAsia"/>
          <w:color w:val="auto"/>
          <w:highlight w:val="none"/>
        </w:rPr>
        <w:t>5</w:t>
      </w:r>
      <w:r>
        <w:rPr>
          <w:color w:val="auto"/>
          <w:highlight w:val="none"/>
        </w:rPr>
        <w:t>.</w:t>
      </w:r>
      <w:r>
        <w:rPr>
          <w:rFonts w:hint="eastAsia"/>
          <w:color w:val="auto"/>
          <w:highlight w:val="none"/>
        </w:rPr>
        <w:t>2.7运营期生态环境影响分析</w:t>
      </w:r>
      <w:bookmarkEnd w:id="677"/>
      <w:bookmarkEnd w:id="678"/>
      <w:bookmarkEnd w:id="679"/>
    </w:p>
    <w:p w14:paraId="789EA670">
      <w:pPr>
        <w:bidi w:val="0"/>
        <w:rPr>
          <w:rFonts w:hint="eastAsia"/>
          <w:color w:val="auto"/>
          <w:highlight w:val="none"/>
          <w:lang w:val="en-US" w:eastAsia="zh-CN"/>
        </w:rPr>
      </w:pPr>
      <w:r>
        <w:rPr>
          <w:rFonts w:hint="default"/>
          <w:color w:val="auto"/>
          <w:highlight w:val="none"/>
          <w:lang w:val="en-US" w:eastAsia="zh-CN"/>
        </w:rPr>
        <w:t>一般而言，工业类建设项目的地表开挖，弃土弃石和对地表形态、植被的影响主要集中在建设期，营运期对环境的影响主要表现在污染物的排放对空气、水体、人群健康等方面的影响，而对地表形态、植被、土壤侵蚀</w:t>
      </w:r>
      <w:r>
        <w:rPr>
          <w:rFonts w:hint="eastAsia"/>
          <w:color w:val="auto"/>
          <w:highlight w:val="none"/>
          <w:lang w:val="en-US" w:eastAsia="zh-CN"/>
        </w:rPr>
        <w:t>的</w:t>
      </w:r>
      <w:r>
        <w:rPr>
          <w:rFonts w:hint="default"/>
          <w:color w:val="auto"/>
          <w:highlight w:val="none"/>
          <w:lang w:val="en-US" w:eastAsia="zh-CN"/>
        </w:rPr>
        <w:t>影响并不十分明显。但对于矿山建设项目来说</w:t>
      </w:r>
      <w:r>
        <w:rPr>
          <w:rFonts w:hint="eastAsia"/>
          <w:color w:val="auto"/>
          <w:highlight w:val="none"/>
          <w:lang w:val="en-US" w:eastAsia="zh-CN"/>
        </w:rPr>
        <w:t>，</w:t>
      </w:r>
      <w:r>
        <w:rPr>
          <w:rFonts w:hint="default"/>
          <w:color w:val="auto"/>
          <w:highlight w:val="none"/>
          <w:lang w:val="en-US" w:eastAsia="zh-CN"/>
        </w:rPr>
        <w:t>生产营运期的开采对生态的影响，主要表现在采空区形成后引起的地表塌陷、生态景观影响、水土流失、生物量减少、土壤环境破坏等方面</w:t>
      </w:r>
      <w:r>
        <w:rPr>
          <w:rFonts w:hint="eastAsia"/>
          <w:color w:val="auto"/>
          <w:highlight w:val="none"/>
          <w:lang w:val="en-US" w:eastAsia="zh-CN"/>
        </w:rPr>
        <w:t>。</w:t>
      </w:r>
    </w:p>
    <w:p w14:paraId="73C9E080">
      <w:pPr>
        <w:pStyle w:val="7"/>
        <w:bidi w:val="0"/>
        <w:rPr>
          <w:rFonts w:hint="default"/>
          <w:color w:val="auto"/>
          <w:highlight w:val="none"/>
          <w:lang w:val="en-US" w:eastAsia="zh-CN"/>
        </w:rPr>
      </w:pPr>
      <w:bookmarkStart w:id="680" w:name="_Toc7530"/>
      <w:bookmarkStart w:id="681" w:name="_Toc23401"/>
      <w:bookmarkStart w:id="682" w:name="_Toc882"/>
      <w:r>
        <w:rPr>
          <w:rFonts w:hint="default"/>
          <w:color w:val="auto"/>
          <w:highlight w:val="none"/>
          <w:lang w:val="en-US" w:eastAsia="zh-CN"/>
        </w:rPr>
        <w:t>5.2.</w:t>
      </w:r>
      <w:r>
        <w:rPr>
          <w:rFonts w:hint="eastAsia"/>
          <w:color w:val="auto"/>
          <w:highlight w:val="none"/>
          <w:lang w:val="en-US" w:eastAsia="zh-CN"/>
        </w:rPr>
        <w:t>7.1</w:t>
      </w:r>
      <w:r>
        <w:rPr>
          <w:rFonts w:hint="default"/>
          <w:color w:val="auto"/>
          <w:highlight w:val="none"/>
          <w:lang w:val="en-US" w:eastAsia="zh-CN"/>
        </w:rPr>
        <w:t>地表塌陷和地质灾害影响</w:t>
      </w:r>
      <w:r>
        <w:rPr>
          <w:rFonts w:hint="eastAsia"/>
          <w:color w:val="auto"/>
          <w:highlight w:val="none"/>
          <w:lang w:val="en-US" w:eastAsia="zh-CN"/>
        </w:rPr>
        <w:t>分析</w:t>
      </w:r>
      <w:bookmarkEnd w:id="680"/>
      <w:bookmarkEnd w:id="681"/>
      <w:bookmarkEnd w:id="682"/>
    </w:p>
    <w:p w14:paraId="42C11328">
      <w:pPr>
        <w:bidi w:val="0"/>
        <w:rPr>
          <w:rFonts w:hint="default"/>
          <w:color w:val="auto"/>
          <w:highlight w:val="none"/>
          <w:lang w:val="en-US" w:eastAsia="zh-CN"/>
        </w:rPr>
      </w:pPr>
      <w:r>
        <w:rPr>
          <w:rFonts w:hint="eastAsia"/>
          <w:color w:val="auto"/>
          <w:highlight w:val="none"/>
          <w:lang w:val="en-US" w:eastAsia="zh-CN"/>
        </w:rPr>
        <w:t>根据本项目矿区地质调查报告，本项目矿区矿带内岩石坚硬，能满足开采要求，洞室稳定性好，局部地段和风化带、断裂带和围岩破碎带可能会产生小规模的片冒，但只要合理选用施工方法和保护措施，如避免全部开挖、采用分步开挖及时支护和衬砌等，就可以得到防治，不会发生大的地表塌陷和地质灾害问题。</w:t>
      </w:r>
    </w:p>
    <w:p w14:paraId="7AD042A9">
      <w:pPr>
        <w:pStyle w:val="7"/>
        <w:bidi w:val="0"/>
        <w:rPr>
          <w:rFonts w:hint="eastAsia"/>
          <w:color w:val="auto"/>
          <w:highlight w:val="none"/>
          <w:lang w:val="en-US" w:eastAsia="zh-CN"/>
        </w:rPr>
      </w:pPr>
      <w:bookmarkStart w:id="683" w:name="_Toc9418"/>
      <w:bookmarkStart w:id="684" w:name="_Toc31327"/>
      <w:bookmarkStart w:id="685" w:name="_Toc21325"/>
      <w:r>
        <w:rPr>
          <w:rFonts w:hint="default"/>
          <w:color w:val="auto"/>
          <w:highlight w:val="none"/>
          <w:lang w:val="en-US" w:eastAsia="zh-CN"/>
        </w:rPr>
        <w:t>5.2.</w:t>
      </w:r>
      <w:r>
        <w:rPr>
          <w:rFonts w:hint="eastAsia"/>
          <w:color w:val="auto"/>
          <w:highlight w:val="none"/>
          <w:lang w:val="en-US" w:eastAsia="zh-CN"/>
        </w:rPr>
        <w:t>7.2自然景观影响分析</w:t>
      </w:r>
      <w:bookmarkEnd w:id="683"/>
      <w:bookmarkEnd w:id="684"/>
      <w:bookmarkEnd w:id="685"/>
    </w:p>
    <w:p w14:paraId="202CC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矿山的开发建设将原来的景观变为采矿工业场地、</w:t>
      </w:r>
      <w:r>
        <w:rPr>
          <w:rFonts w:hint="eastAsia" w:cs="Times New Roman"/>
          <w:color w:val="auto"/>
          <w:kern w:val="0"/>
          <w:sz w:val="24"/>
          <w:highlight w:val="none"/>
          <w:lang w:val="en-US" w:eastAsia="zh-CN"/>
        </w:rPr>
        <w:t>废石堆场</w:t>
      </w:r>
      <w:r>
        <w:rPr>
          <w:rFonts w:hint="eastAsia" w:ascii="Times New Roman" w:hAnsi="Times New Roman" w:eastAsia="宋体" w:cs="Times New Roman"/>
          <w:color w:val="auto"/>
          <w:kern w:val="0"/>
          <w:sz w:val="24"/>
          <w:highlight w:val="none"/>
          <w:lang w:val="en-US" w:eastAsia="zh-CN"/>
        </w:rPr>
        <w:t>、运输道路、地面塌陷等，使原地表形态、地层层序等发生直接的破坏，将使施工区域内的自然景观遭受一定程度的破坏，使局部地区由单纯的稀疏植被生态景观向着人工化、工业化、多样化的方向发展，使原来的自然景观类型变为容纳工业厂房、道路等人为景观，而且会对原来的景观进行分隔，造成空间上的非连续性和一些人为的劣质景观，造成与周围自然环境的不相协调。生产期采矿错动带的形成，将使矿区范围内部分地区地表的完整性与平整性发生变化，进而对地表造成影响和破坏，使评价区的景观属性发生变化。</w:t>
      </w:r>
    </w:p>
    <w:p w14:paraId="5666C63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矿山的开发建设将原来的景观变为开采作业区，将使施工区域内的自然景观遭受一定程度的破坏，这些都将改变矿区的原有的自然景观。</w:t>
      </w:r>
    </w:p>
    <w:p w14:paraId="1BCF78E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在项目建设施工中的填挖、弃土等一系列的施工活动，形成裸露的边坡、弃土场等一些人为的劣质景观，造成与周围自然景观的不相协调</w:t>
      </w:r>
      <w:r>
        <w:rPr>
          <w:rFonts w:hint="eastAsia" w:cs="Times New Roman"/>
          <w:color w:val="auto"/>
          <w:kern w:val="0"/>
          <w:sz w:val="24"/>
          <w:highlight w:val="none"/>
          <w:lang w:val="en-US" w:eastAsia="zh-CN"/>
        </w:rPr>
        <w:t>：</w:t>
      </w:r>
      <w:r>
        <w:rPr>
          <w:rFonts w:hint="eastAsia" w:ascii="Times New Roman" w:hAnsi="Times New Roman" w:eastAsia="宋体" w:cs="Times New Roman"/>
          <w:color w:val="auto"/>
          <w:kern w:val="0"/>
          <w:sz w:val="24"/>
          <w:highlight w:val="none"/>
          <w:lang w:val="en-US" w:eastAsia="zh-CN"/>
        </w:rPr>
        <w:t>生活区、道路建成后，会对原有的景观进行分隔，造成景观生态系统在空间上的非连续性，使区域上原有的自然景观演化为工业景观，对原有的景观产生一定的影响。</w:t>
      </w:r>
    </w:p>
    <w:p w14:paraId="4CE6151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在矿山建设和开采过程中由于地表扰动使区域内原有的自然景观受到影响，在项目实施过程中，需采取一定措施，使原有的自然景观得到一定的恢复或改善。</w:t>
      </w:r>
    </w:p>
    <w:p w14:paraId="04316EB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根据本矿山建设特点，要求在矿山服务后期，拆除所有建筑物、构筑物等，对地表进行清理，对危险地带设置围栏等保护措施等。</w:t>
      </w:r>
    </w:p>
    <w:p w14:paraId="63B97C15">
      <w:pPr>
        <w:pStyle w:val="7"/>
        <w:ind w:firstLine="482" w:firstLineChars="200"/>
        <w:rPr>
          <w:color w:val="auto"/>
          <w:highlight w:val="none"/>
        </w:rPr>
      </w:pPr>
      <w:r>
        <w:rPr>
          <w:color w:val="auto"/>
          <w:highlight w:val="none"/>
        </w:rPr>
        <w:t>5.2.7.</w:t>
      </w:r>
      <w:r>
        <w:rPr>
          <w:rFonts w:hint="eastAsia"/>
          <w:color w:val="auto"/>
          <w:highlight w:val="none"/>
          <w:lang w:val="en-US" w:eastAsia="zh-CN"/>
        </w:rPr>
        <w:t>3</w:t>
      </w:r>
      <w:r>
        <w:rPr>
          <w:color w:val="auto"/>
          <w:highlight w:val="none"/>
        </w:rPr>
        <w:t>对植被影响分析</w:t>
      </w:r>
    </w:p>
    <w:p w14:paraId="0A2F9454">
      <w:pPr>
        <w:overflowPunct w:val="0"/>
        <w:topLinePunct/>
        <w:ind w:firstLine="480"/>
        <w:rPr>
          <w:color w:val="auto"/>
          <w:highlight w:val="none"/>
        </w:rPr>
      </w:pPr>
      <w:r>
        <w:rPr>
          <w:color w:val="auto"/>
          <w:highlight w:val="none"/>
        </w:rPr>
        <w:t>（1）工程占地对植被的影响</w:t>
      </w:r>
    </w:p>
    <w:p w14:paraId="34BB27DA">
      <w:pPr>
        <w:overflowPunct w:val="0"/>
        <w:topLinePunct/>
        <w:ind w:firstLine="480"/>
        <w:rPr>
          <w:color w:val="auto"/>
          <w:highlight w:val="none"/>
        </w:rPr>
      </w:pPr>
      <w:r>
        <w:rPr>
          <w:color w:val="auto"/>
          <w:highlight w:val="none"/>
        </w:rPr>
        <w:t>项目建设过程中，各种施工活动将破坏项目区内的植被，减少植物数量及分布范围；</w:t>
      </w:r>
      <w:r>
        <w:rPr>
          <w:rFonts w:hint="eastAsia"/>
          <w:color w:val="auto"/>
          <w:highlight w:val="none"/>
        </w:rPr>
        <w:t>项目所在地区域种植种类比较</w:t>
      </w:r>
      <w:r>
        <w:rPr>
          <w:rFonts w:hint="eastAsia"/>
          <w:color w:val="auto"/>
          <w:highlight w:val="none"/>
          <w:lang w:val="en-US" w:eastAsia="zh-CN"/>
        </w:rPr>
        <w:t>少</w:t>
      </w:r>
      <w:r>
        <w:rPr>
          <w:color w:val="auto"/>
          <w:highlight w:val="none"/>
        </w:rPr>
        <w:t>；鉴于此，评价区内的某个物种及其种群不会因为项目建设而导致灭绝。因此，尽管由于项目建设会使原有少量植被遭到局部损失，但不会使整个评价区植物群落的种类组成发生变化，也不会造成某一物种在评价区范围内的消失。</w:t>
      </w:r>
    </w:p>
    <w:p w14:paraId="0C97BD1D">
      <w:pPr>
        <w:overflowPunct w:val="0"/>
        <w:topLinePunct/>
        <w:ind w:firstLine="480"/>
        <w:rPr>
          <w:color w:val="auto"/>
          <w:highlight w:val="none"/>
        </w:rPr>
      </w:pPr>
      <w:r>
        <w:rPr>
          <w:color w:val="auto"/>
          <w:highlight w:val="none"/>
        </w:rPr>
        <w:t>（2）污染物排放对土壤植被的影响</w:t>
      </w:r>
    </w:p>
    <w:p w14:paraId="6E6CC736">
      <w:pPr>
        <w:overflowPunct w:val="0"/>
        <w:topLinePunct/>
        <w:ind w:firstLine="480"/>
        <w:rPr>
          <w:color w:val="auto"/>
          <w:highlight w:val="none"/>
        </w:rPr>
      </w:pPr>
      <w:r>
        <w:rPr>
          <w:color w:val="auto"/>
          <w:highlight w:val="none"/>
        </w:rPr>
        <w:t>本项目车辆运输过程中及生产过</w:t>
      </w:r>
      <w:r>
        <w:rPr>
          <w:rFonts w:hint="eastAsia"/>
          <w:color w:val="auto"/>
          <w:highlight w:val="none"/>
          <w:lang w:eastAsia="zh-CN"/>
        </w:rPr>
        <w:t>程中</w:t>
      </w:r>
      <w:r>
        <w:rPr>
          <w:color w:val="auto"/>
          <w:highlight w:val="none"/>
        </w:rPr>
        <w:t>产生的粉尘等污染物会对项目区周围空气环境产生影响。污染物可通过自然沉降和降水淋溶等途径进入土壤环境，从物理、化学等方面影响周围土壤的孔隙度、团粒结构、酸碱度、土壤肥力及微量元素含量等，从而间接影响植被生长。粉尘降落到植物叶面上，将堵塞叶面气孔，使光合作用强度下降。同时，覆尘叶片吸收红外光辐射的能力增强，导致叶温增高，蒸腾速度加快，引起失水，使植物生长发育不良。本项目在生产过程中采取防尘措施，将尽可能降低扩散到附近植被的粉尘量。</w:t>
      </w:r>
    </w:p>
    <w:p w14:paraId="209D42FD">
      <w:pPr>
        <w:pStyle w:val="7"/>
        <w:ind w:firstLine="482" w:firstLineChars="200"/>
        <w:rPr>
          <w:color w:val="auto"/>
          <w:highlight w:val="none"/>
        </w:rPr>
      </w:pPr>
      <w:r>
        <w:rPr>
          <w:color w:val="auto"/>
          <w:highlight w:val="none"/>
        </w:rPr>
        <w:t>5.2.7.</w:t>
      </w:r>
      <w:r>
        <w:rPr>
          <w:rFonts w:hint="eastAsia"/>
          <w:color w:val="auto"/>
          <w:highlight w:val="none"/>
          <w:lang w:val="en-US" w:eastAsia="zh-CN"/>
        </w:rPr>
        <w:t>4</w:t>
      </w:r>
      <w:r>
        <w:rPr>
          <w:color w:val="auto"/>
          <w:highlight w:val="none"/>
        </w:rPr>
        <w:t>对野生动物影响分析</w:t>
      </w:r>
    </w:p>
    <w:p w14:paraId="6BEDE662">
      <w:pPr>
        <w:widowControl/>
        <w:overflowPunct w:val="0"/>
        <w:topLinePunct/>
        <w:ind w:firstLine="480"/>
        <w:rPr>
          <w:color w:val="auto"/>
          <w:kern w:val="0"/>
          <w:highlight w:val="none"/>
          <w:lang w:bidi="ar"/>
        </w:rPr>
      </w:pPr>
      <w:r>
        <w:rPr>
          <w:color w:val="auto"/>
          <w:highlight w:val="none"/>
        </w:rPr>
        <w:t>经调查，项目区周边无牧民放牧场所，经过数年的开发，大型动物存在种类较少，区域生产繁衍的野生动物很少，</w:t>
      </w:r>
      <w:r>
        <w:rPr>
          <w:color w:val="auto"/>
          <w:kern w:val="0"/>
          <w:highlight w:val="none"/>
          <w:lang w:bidi="ar"/>
        </w:rPr>
        <w:t>现有的野生动物多为一些常见的鸟类、野兔、鼠类和昆虫等。</w:t>
      </w:r>
      <w:r>
        <w:rPr>
          <w:rFonts w:hint="eastAsia" w:ascii="Times New Roman" w:hAnsi="Times New Roman" w:cs="Times New Roman"/>
          <w:color w:val="auto"/>
          <w:kern w:val="0"/>
          <w:sz w:val="24"/>
          <w:szCs w:val="24"/>
          <w:highlight w:val="none"/>
          <w:lang w:val="en-US" w:eastAsia="zh-CN" w:bidi="ar"/>
        </w:rPr>
        <w:t>矿区开采范围内未发现重点保护野生动物的踪迹（包括足印、粪便、体毛、爪印、食痕、睡窝、洞穴）</w:t>
      </w:r>
      <w:r>
        <w:rPr>
          <w:rFonts w:hint="eastAsia" w:cs="Times New Roman"/>
          <w:color w:val="auto"/>
          <w:kern w:val="0"/>
          <w:sz w:val="24"/>
          <w:szCs w:val="24"/>
          <w:highlight w:val="none"/>
          <w:lang w:val="en-US" w:eastAsia="zh-CN" w:bidi="ar"/>
        </w:rPr>
        <w:t>。</w:t>
      </w:r>
    </w:p>
    <w:p w14:paraId="6017EA74">
      <w:pPr>
        <w:overflowPunct w:val="0"/>
        <w:topLinePunct/>
        <w:ind w:firstLine="480"/>
        <w:rPr>
          <w:color w:val="auto"/>
          <w:kern w:val="0"/>
          <w:highlight w:val="none"/>
        </w:rPr>
      </w:pPr>
      <w:r>
        <w:rPr>
          <w:color w:val="auto"/>
          <w:highlight w:val="none"/>
        </w:rPr>
        <w:t>项目厂界围栏对外环境野生动物进行了隔离，避免了外界野生动物进入而造成影响。且项目区各种机械</w:t>
      </w:r>
      <w:r>
        <w:rPr>
          <w:rFonts w:hint="eastAsia"/>
          <w:color w:val="auto"/>
          <w:highlight w:val="none"/>
          <w:lang w:eastAsia="zh-CN"/>
        </w:rPr>
        <w:t>产生</w:t>
      </w:r>
      <w:r>
        <w:rPr>
          <w:color w:val="auto"/>
          <w:highlight w:val="none"/>
        </w:rPr>
        <w:t>的噪声和人员活动对外环境动物造成干扰，大型野生动物很少出现，仅有少量小型爬行类动物出没。</w:t>
      </w:r>
    </w:p>
    <w:p w14:paraId="6521A965">
      <w:pPr>
        <w:overflowPunct w:val="0"/>
        <w:topLinePunct/>
        <w:ind w:firstLine="480"/>
        <w:rPr>
          <w:color w:val="auto"/>
          <w:kern w:val="0"/>
          <w:highlight w:val="none"/>
        </w:rPr>
      </w:pPr>
      <w:r>
        <w:rPr>
          <w:rFonts w:hint="eastAsia"/>
          <w:color w:val="auto"/>
          <w:kern w:val="0"/>
          <w:highlight w:val="none"/>
          <w:lang w:eastAsia="zh-CN"/>
        </w:rPr>
        <w:t>在项目建设</w:t>
      </w:r>
      <w:r>
        <w:rPr>
          <w:color w:val="auto"/>
          <w:kern w:val="0"/>
          <w:highlight w:val="none"/>
        </w:rPr>
        <w:t>过程中，会破坏</w:t>
      </w:r>
      <w:r>
        <w:rPr>
          <w:rFonts w:hint="eastAsia"/>
          <w:color w:val="auto"/>
          <w:kern w:val="0"/>
          <w:highlight w:val="none"/>
        </w:rPr>
        <w:t>部分</w:t>
      </w:r>
      <w:r>
        <w:rPr>
          <w:color w:val="auto"/>
          <w:kern w:val="0"/>
          <w:highlight w:val="none"/>
        </w:rPr>
        <w:t>鼠类的洞穴和导致部分洞穴中的鼠类死亡，对飞翔的鸟类，项目建设有驱赶作用，但影响不大。对爬行动物及昆虫，其影响与对鼠类的影响近似，由于该区域野生动物密度较低，总体上影响较小。</w:t>
      </w:r>
    </w:p>
    <w:p w14:paraId="385EE962">
      <w:pPr>
        <w:overflowPunct w:val="0"/>
        <w:topLinePunct/>
        <w:ind w:firstLine="480"/>
        <w:rPr>
          <w:rFonts w:hint="eastAsia" w:eastAsia="宋体"/>
          <w:color w:val="auto"/>
          <w:highlight w:val="none"/>
          <w:lang w:val="en-US" w:eastAsia="zh-CN"/>
        </w:rPr>
      </w:pPr>
      <w:r>
        <w:rPr>
          <w:rFonts w:hint="eastAsia" w:eastAsia="宋体"/>
          <w:color w:val="auto"/>
          <w:kern w:val="0"/>
          <w:szCs w:val="21"/>
          <w:highlight w:val="none"/>
        </w:rPr>
        <w:t>根据前文分析得知本工程的建设对区域植被和野生动物产生一定影响，本项目的建设需采取本次环评提出的植被、动物等生态保护措施及环境保护措施后对区域生物多样性功能影响较小。</w:t>
      </w:r>
    </w:p>
    <w:p w14:paraId="68ADDA3E">
      <w:pPr>
        <w:pStyle w:val="7"/>
        <w:ind w:firstLine="482" w:firstLineChars="200"/>
        <w:rPr>
          <w:color w:val="auto"/>
          <w:highlight w:val="none"/>
        </w:rPr>
      </w:pPr>
      <w:r>
        <w:rPr>
          <w:color w:val="auto"/>
          <w:highlight w:val="none"/>
        </w:rPr>
        <w:t>5.2.7</w:t>
      </w:r>
      <w:r>
        <w:rPr>
          <w:rFonts w:hint="eastAsia"/>
          <w:color w:val="auto"/>
          <w:highlight w:val="none"/>
        </w:rPr>
        <w:t>.</w:t>
      </w:r>
      <w:r>
        <w:rPr>
          <w:color w:val="auto"/>
          <w:highlight w:val="none"/>
        </w:rPr>
        <w:t>5对土壤理化性状影响分析</w:t>
      </w:r>
    </w:p>
    <w:p w14:paraId="0EA7DC2C">
      <w:pPr>
        <w:overflowPunct w:val="0"/>
        <w:topLinePunct/>
        <w:ind w:firstLine="480"/>
        <w:rPr>
          <w:color w:val="auto"/>
          <w:highlight w:val="none"/>
        </w:rPr>
      </w:pPr>
      <w:r>
        <w:rPr>
          <w:color w:val="auto"/>
          <w:highlight w:val="none"/>
        </w:rPr>
        <w:t>区域内植被因场地建设原因破坏后，地面裸露，即使没有被冲刷，表土的温度变幅将增加，对土壤的理化性质即会有不利影响。其中，最明显的变化是有机质分解作用加强，使土壤内有机质含量降低，不利于植物生长。</w:t>
      </w:r>
    </w:p>
    <w:p w14:paraId="0CD8BFEF">
      <w:pPr>
        <w:overflowPunct w:val="0"/>
        <w:topLinePunct/>
        <w:ind w:firstLine="480"/>
        <w:rPr>
          <w:color w:val="auto"/>
          <w:highlight w:val="none"/>
        </w:rPr>
      </w:pPr>
      <w:r>
        <w:rPr>
          <w:color w:val="auto"/>
          <w:highlight w:val="none"/>
        </w:rPr>
        <w:t>另外，由于施工破坏和机械挖运，可能使土壤富集过程受阻，表现在下述方面：</w:t>
      </w:r>
    </w:p>
    <w:p w14:paraId="77C68324">
      <w:pPr>
        <w:overflowPunct w:val="0"/>
        <w:topLinePunct/>
        <w:ind w:firstLine="480"/>
        <w:rPr>
          <w:color w:val="auto"/>
          <w:highlight w:val="none"/>
        </w:rPr>
      </w:pPr>
      <w:r>
        <w:rPr>
          <w:rFonts w:hint="eastAsia" w:ascii="宋体" w:hAnsi="宋体" w:cs="宋体"/>
          <w:color w:val="auto"/>
          <w:highlight w:val="none"/>
        </w:rPr>
        <w:t>①</w:t>
      </w:r>
      <w:r>
        <w:rPr>
          <w:color w:val="auto"/>
          <w:highlight w:val="none"/>
        </w:rPr>
        <w:t>影响了生物对灰分元素的吸收与富集。通过生物吸收使营养元素重新回到土壤中的</w:t>
      </w:r>
      <w:r>
        <w:rPr>
          <w:rFonts w:hint="eastAsia"/>
          <w:color w:val="auto"/>
          <w:highlight w:val="none"/>
        </w:rPr>
        <w:t>“</w:t>
      </w:r>
      <w:r>
        <w:rPr>
          <w:color w:val="auto"/>
          <w:highlight w:val="none"/>
        </w:rPr>
        <w:t>生物自肥</w:t>
      </w:r>
      <w:r>
        <w:rPr>
          <w:rFonts w:hint="eastAsia"/>
          <w:color w:val="auto"/>
          <w:highlight w:val="none"/>
        </w:rPr>
        <w:t>”</w:t>
      </w:r>
      <w:r>
        <w:rPr>
          <w:color w:val="auto"/>
          <w:highlight w:val="none"/>
        </w:rPr>
        <w:t>作用虽然比较微弱，而施工破坏了植被，从而阻断了</w:t>
      </w:r>
      <w:r>
        <w:rPr>
          <w:rFonts w:hint="eastAsia"/>
          <w:color w:val="auto"/>
          <w:highlight w:val="none"/>
        </w:rPr>
        <w:t>“</w:t>
      </w:r>
      <w:r>
        <w:rPr>
          <w:color w:val="auto"/>
          <w:highlight w:val="none"/>
        </w:rPr>
        <w:t>生物自肥</w:t>
      </w:r>
      <w:r>
        <w:rPr>
          <w:rFonts w:hint="eastAsia"/>
          <w:color w:val="auto"/>
          <w:highlight w:val="none"/>
        </w:rPr>
        <w:t>”</w:t>
      </w:r>
      <w:r>
        <w:rPr>
          <w:color w:val="auto"/>
          <w:highlight w:val="none"/>
        </w:rPr>
        <w:t>途径。</w:t>
      </w:r>
    </w:p>
    <w:p w14:paraId="4B20CCC9">
      <w:pPr>
        <w:overflowPunct w:val="0"/>
        <w:topLinePunct/>
        <w:ind w:firstLine="480"/>
        <w:rPr>
          <w:color w:val="auto"/>
          <w:highlight w:val="none"/>
        </w:rPr>
      </w:pPr>
      <w:r>
        <w:rPr>
          <w:rFonts w:hint="eastAsia" w:ascii="宋体" w:hAnsi="宋体" w:cs="宋体"/>
          <w:color w:val="auto"/>
          <w:highlight w:val="none"/>
        </w:rPr>
        <w:t>②</w:t>
      </w:r>
      <w:r>
        <w:rPr>
          <w:color w:val="auto"/>
          <w:highlight w:val="none"/>
        </w:rPr>
        <w:t>阻断了生物与土壤间的物质交换</w:t>
      </w:r>
    </w:p>
    <w:p w14:paraId="6E0A7A87">
      <w:pPr>
        <w:overflowPunct w:val="0"/>
        <w:topLinePunct/>
        <w:ind w:firstLine="480"/>
        <w:rPr>
          <w:color w:val="auto"/>
          <w:highlight w:val="none"/>
        </w:rPr>
      </w:pPr>
      <w:r>
        <w:rPr>
          <w:color w:val="auto"/>
          <w:highlight w:val="none"/>
        </w:rPr>
        <w:t>土壤理化性质的变化，直接影响到植被的重新恢复，因此要求在施工中尽量维护土壤现状，使开垦与保护土壤相结合。</w:t>
      </w:r>
    </w:p>
    <w:p w14:paraId="322C8241">
      <w:pPr>
        <w:overflowPunct w:val="0"/>
        <w:topLinePunct/>
        <w:ind w:firstLine="480"/>
        <w:rPr>
          <w:color w:val="auto"/>
          <w:highlight w:val="none"/>
        </w:rPr>
      </w:pPr>
      <w:r>
        <w:rPr>
          <w:color w:val="auto"/>
          <w:highlight w:val="none"/>
        </w:rPr>
        <w:t>施工期地表扰动之后，使得地表土壤结构变化，上下土层混合，土壤肥力降低，极易发生土壤侵蚀。</w:t>
      </w:r>
    </w:p>
    <w:p w14:paraId="50BF717F">
      <w:pPr>
        <w:pStyle w:val="7"/>
        <w:ind w:firstLine="482" w:firstLineChars="200"/>
        <w:rPr>
          <w:color w:val="auto"/>
          <w:highlight w:val="none"/>
        </w:rPr>
      </w:pPr>
      <w:bookmarkStart w:id="686" w:name="_Toc30657"/>
      <w:bookmarkStart w:id="687" w:name="_Toc24054"/>
      <w:bookmarkStart w:id="688" w:name="_Toc7815"/>
      <w:r>
        <w:rPr>
          <w:rFonts w:hint="eastAsia"/>
          <w:color w:val="auto"/>
          <w:highlight w:val="none"/>
        </w:rPr>
        <w:t>5</w:t>
      </w:r>
      <w:r>
        <w:rPr>
          <w:color w:val="auto"/>
          <w:highlight w:val="none"/>
        </w:rPr>
        <w:t>.</w:t>
      </w:r>
      <w:r>
        <w:rPr>
          <w:rFonts w:hint="eastAsia"/>
          <w:color w:val="auto"/>
          <w:highlight w:val="none"/>
        </w:rPr>
        <w:t>2.</w:t>
      </w:r>
      <w:r>
        <w:rPr>
          <w:color w:val="auto"/>
          <w:highlight w:val="none"/>
        </w:rPr>
        <w:t>7.</w:t>
      </w:r>
      <w:r>
        <w:rPr>
          <w:rFonts w:hint="eastAsia"/>
          <w:color w:val="auto"/>
          <w:highlight w:val="none"/>
          <w:lang w:val="en-US" w:eastAsia="zh-CN"/>
        </w:rPr>
        <w:t>6</w:t>
      </w:r>
      <w:r>
        <w:rPr>
          <w:rFonts w:hint="eastAsia"/>
          <w:color w:val="auto"/>
          <w:highlight w:val="none"/>
        </w:rPr>
        <w:t>水土流失影响评价</w:t>
      </w:r>
      <w:bookmarkEnd w:id="686"/>
      <w:bookmarkEnd w:id="687"/>
      <w:bookmarkEnd w:id="688"/>
    </w:p>
    <w:p w14:paraId="43C18555">
      <w:pPr>
        <w:bidi w:val="0"/>
        <w:rPr>
          <w:rFonts w:hint="default"/>
          <w:color w:val="auto"/>
          <w:highlight w:val="none"/>
          <w:lang w:val="en-US" w:eastAsia="zh-CN"/>
        </w:rPr>
      </w:pPr>
      <w:r>
        <w:rPr>
          <w:rFonts w:hint="eastAsia"/>
          <w:color w:val="auto"/>
          <w:highlight w:val="none"/>
          <w:lang w:val="en-US" w:eastAsia="zh-CN"/>
        </w:rPr>
        <w:t>项目实施过程中水土流失影响主要集中在建设期，</w:t>
      </w:r>
      <w:r>
        <w:rPr>
          <w:rFonts w:hint="eastAsia"/>
          <w:color w:val="auto"/>
          <w:highlight w:val="none"/>
        </w:rPr>
        <w:t>建设过程中场地平整、场地道路建设、各建筑物占地、施工机械及人员践踏、</w:t>
      </w:r>
      <w:r>
        <w:rPr>
          <w:rFonts w:hint="eastAsia"/>
          <w:color w:val="auto"/>
          <w:highlight w:val="none"/>
          <w:lang w:eastAsia="zh-CN"/>
        </w:rPr>
        <w:t>碾轧</w:t>
      </w:r>
      <w:r>
        <w:rPr>
          <w:rFonts w:hint="eastAsia"/>
          <w:color w:val="auto"/>
          <w:highlight w:val="none"/>
        </w:rPr>
        <w:t>的都将不同程度</w:t>
      </w:r>
      <w:r>
        <w:rPr>
          <w:rFonts w:hint="eastAsia"/>
          <w:color w:val="auto"/>
          <w:highlight w:val="none"/>
          <w:lang w:eastAsia="zh-CN"/>
        </w:rPr>
        <w:t>地</w:t>
      </w:r>
      <w:r>
        <w:rPr>
          <w:rFonts w:hint="eastAsia"/>
          <w:color w:val="auto"/>
          <w:highlight w:val="none"/>
        </w:rPr>
        <w:t>破坏地表原始结构，改变原始地貌、损坏天然植被，从而造成或加剧水土流失</w:t>
      </w:r>
      <w:r>
        <w:rPr>
          <w:rFonts w:hint="eastAsia"/>
          <w:color w:val="auto"/>
          <w:highlight w:val="none"/>
          <w:lang w:eastAsia="zh-CN"/>
        </w:rPr>
        <w:t>。</w:t>
      </w:r>
      <w:r>
        <w:rPr>
          <w:rFonts w:hint="eastAsia"/>
          <w:color w:val="auto"/>
          <w:highlight w:val="none"/>
          <w:lang w:val="en-US" w:eastAsia="zh-CN"/>
        </w:rPr>
        <w:t>施工过程中</w:t>
      </w:r>
      <w:r>
        <w:rPr>
          <w:rFonts w:hint="default"/>
          <w:color w:val="auto"/>
          <w:highlight w:val="none"/>
          <w:lang w:val="en-US" w:eastAsia="zh-CN"/>
        </w:rPr>
        <w:t>大量的松散表土发生运移和重新堆积，植被被损坏，使得地表土壤结构变化，上下土层混合，土壤水分大量散失，土体的机械组成混杂不一，丧失了原地表土壤的抗蚀力。形成新的矿山土壤类型，地表无植被覆盖，土壤肥力降低，极易发生土壤侵蚀。</w:t>
      </w:r>
    </w:p>
    <w:p w14:paraId="080382F2">
      <w:pPr>
        <w:bidi w:val="0"/>
        <w:rPr>
          <w:rFonts w:hint="default"/>
          <w:color w:val="auto"/>
          <w:highlight w:val="none"/>
          <w:lang w:val="en-US" w:eastAsia="zh-CN"/>
        </w:rPr>
      </w:pPr>
      <w:r>
        <w:rPr>
          <w:rFonts w:hint="default"/>
          <w:color w:val="auto"/>
          <w:highlight w:val="none"/>
          <w:lang w:val="en-US" w:eastAsia="zh-CN"/>
        </w:rPr>
        <w:t>项目运营过程中随着土地复垦、生态恢复工程的实施，土壤侵蚀过程将得到有效控制，随着生态环境的改善，最终会使原来的土壤侵蚀得到根本遏制。</w:t>
      </w:r>
    </w:p>
    <w:p w14:paraId="688EBE8A">
      <w:pPr>
        <w:bidi w:val="0"/>
        <w:rPr>
          <w:rFonts w:hint="default"/>
          <w:color w:val="auto"/>
          <w:highlight w:val="none"/>
          <w:lang w:val="en-US" w:eastAsia="zh-CN"/>
        </w:rPr>
      </w:pPr>
      <w:r>
        <w:rPr>
          <w:rFonts w:hint="default"/>
          <w:color w:val="auto"/>
          <w:highlight w:val="none"/>
          <w:lang w:val="en-US" w:eastAsia="zh-CN"/>
        </w:rPr>
        <w:t>总之，矿区的开发建设活动不可避免地将破坏原有自然植被和土地资源，采掘场的开挖破坏、</w:t>
      </w:r>
      <w:r>
        <w:rPr>
          <w:rFonts w:hint="eastAsia"/>
          <w:color w:val="auto"/>
          <w:highlight w:val="none"/>
          <w:lang w:val="en-US" w:eastAsia="zh-CN"/>
        </w:rPr>
        <w:t>废石堆场</w:t>
      </w:r>
      <w:r>
        <w:rPr>
          <w:rFonts w:hint="default"/>
          <w:color w:val="auto"/>
          <w:highlight w:val="none"/>
          <w:lang w:val="en-US" w:eastAsia="zh-CN"/>
        </w:rPr>
        <w:t>的征占、附属建筑物以及公路运输系统的建设将新增大量的水土流失，导致水土流失危害程度显著增强，矿区生态环境恶化。但是矿区生产期间和服务期满后都将不断</w:t>
      </w:r>
      <w:r>
        <w:rPr>
          <w:rFonts w:hint="eastAsia"/>
          <w:color w:val="auto"/>
          <w:highlight w:val="none"/>
          <w:lang w:val="en-US" w:eastAsia="zh-CN"/>
        </w:rPr>
        <w:t>地</w:t>
      </w:r>
      <w:r>
        <w:rPr>
          <w:rFonts w:hint="default"/>
          <w:color w:val="auto"/>
          <w:highlight w:val="none"/>
          <w:lang w:val="en-US" w:eastAsia="zh-CN"/>
        </w:rPr>
        <w:t>进行生态建设、水土保持和土地复垦生态建设工作后，土壤侵蚀将会大为减少，水土流失得到控制</w:t>
      </w:r>
      <w:r>
        <w:rPr>
          <w:rFonts w:hint="eastAsia"/>
          <w:color w:val="auto"/>
          <w:highlight w:val="none"/>
          <w:lang w:val="en-US" w:eastAsia="zh-CN"/>
        </w:rPr>
        <w:t>。</w:t>
      </w:r>
    </w:p>
    <w:p w14:paraId="20672978">
      <w:pPr>
        <w:pStyle w:val="7"/>
        <w:ind w:firstLine="482" w:firstLineChars="200"/>
        <w:rPr>
          <w:color w:val="auto"/>
          <w:highlight w:val="none"/>
        </w:rPr>
      </w:pPr>
      <w:r>
        <w:rPr>
          <w:rFonts w:hint="eastAsia"/>
          <w:color w:val="auto"/>
          <w:highlight w:val="none"/>
        </w:rPr>
        <w:t>5</w:t>
      </w:r>
      <w:r>
        <w:rPr>
          <w:color w:val="auto"/>
          <w:highlight w:val="none"/>
        </w:rPr>
        <w:t>.</w:t>
      </w:r>
      <w:r>
        <w:rPr>
          <w:rFonts w:hint="eastAsia"/>
          <w:color w:val="auto"/>
          <w:highlight w:val="none"/>
        </w:rPr>
        <w:t>2.</w:t>
      </w:r>
      <w:r>
        <w:rPr>
          <w:color w:val="auto"/>
          <w:highlight w:val="none"/>
        </w:rPr>
        <w:t>7.</w:t>
      </w:r>
      <w:r>
        <w:rPr>
          <w:rFonts w:hint="eastAsia"/>
          <w:color w:val="auto"/>
          <w:highlight w:val="none"/>
          <w:lang w:val="en-US" w:eastAsia="zh-CN"/>
        </w:rPr>
        <w:t>7生态影响评价自查表</w:t>
      </w:r>
    </w:p>
    <w:p w14:paraId="40D24E0E">
      <w:pPr>
        <w:overflowPunct w:val="0"/>
        <w:topLinePunct/>
        <w:ind w:firstLine="480"/>
        <w:rPr>
          <w:color w:val="auto"/>
          <w:highlight w:val="none"/>
        </w:rPr>
      </w:pPr>
      <w:r>
        <w:rPr>
          <w:rFonts w:hint="eastAsia"/>
          <w:color w:val="auto"/>
          <w:highlight w:val="none"/>
        </w:rPr>
        <w:t>生态影响评价自查表见表5</w:t>
      </w:r>
      <w:r>
        <w:rPr>
          <w:color w:val="auto"/>
          <w:highlight w:val="none"/>
        </w:rPr>
        <w:t>.2-</w:t>
      </w:r>
      <w:r>
        <w:rPr>
          <w:rFonts w:hint="eastAsia"/>
          <w:color w:val="auto"/>
          <w:highlight w:val="none"/>
          <w:lang w:val="en-US" w:eastAsia="zh-CN"/>
        </w:rPr>
        <w:t>34</w:t>
      </w:r>
      <w:r>
        <w:rPr>
          <w:rFonts w:hint="eastAsia"/>
          <w:color w:val="auto"/>
          <w:highlight w:val="none"/>
        </w:rPr>
        <w:t>。</w:t>
      </w:r>
    </w:p>
    <w:p w14:paraId="29CBF6DD">
      <w:pPr>
        <w:overflowPunct w:val="0"/>
        <w:topLinePunct/>
        <w:ind w:firstLine="0" w:firstLineChars="0"/>
        <w:jc w:val="center"/>
        <w:rPr>
          <w:color w:val="auto"/>
          <w:highlight w:val="none"/>
        </w:rPr>
      </w:pPr>
      <w:r>
        <w:rPr>
          <w:b/>
          <w:color w:val="auto"/>
          <w:kern w:val="0"/>
          <w:highlight w:val="none"/>
        </w:rPr>
        <w:t>表5.2-</w:t>
      </w:r>
      <w:r>
        <w:rPr>
          <w:rFonts w:hint="eastAsia"/>
          <w:b/>
          <w:color w:val="auto"/>
          <w:kern w:val="0"/>
          <w:highlight w:val="none"/>
          <w:lang w:val="en-US" w:eastAsia="zh-CN"/>
        </w:rPr>
        <w:t>34</w:t>
      </w:r>
      <w:r>
        <w:rPr>
          <w:b/>
          <w:color w:val="auto"/>
          <w:kern w:val="0"/>
          <w:highlight w:val="none"/>
        </w:rPr>
        <w:t xml:space="preserve"> </w:t>
      </w:r>
      <w:r>
        <w:rPr>
          <w:rFonts w:hint="eastAsia"/>
          <w:b/>
          <w:color w:val="auto"/>
          <w:kern w:val="0"/>
          <w:highlight w:val="none"/>
        </w:rPr>
        <w:t xml:space="preserve">   生态影响评价自查表</w:t>
      </w:r>
    </w:p>
    <w:tbl>
      <w:tblPr>
        <w:tblStyle w:val="13"/>
        <w:tblW w:w="8336"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889"/>
        <w:gridCol w:w="1257"/>
        <w:gridCol w:w="6190"/>
      </w:tblGrid>
      <w:tr w14:paraId="1D5E6A3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6" w:hRule="atLeast"/>
          <w:tblHeader/>
        </w:trPr>
        <w:tc>
          <w:tcPr>
            <w:tcW w:w="2146" w:type="dxa"/>
            <w:gridSpan w:val="2"/>
            <w:vAlign w:val="center"/>
          </w:tcPr>
          <w:p w14:paraId="58B03BE2">
            <w:pPr>
              <w:spacing w:before="0" w:beforeAutospacing="0" w:line="360" w:lineRule="exact"/>
              <w:ind w:firstLine="0" w:firstLineChars="0"/>
              <w:jc w:val="center"/>
              <w:rPr>
                <w:b/>
                <w:bCs/>
                <w:snapToGrid w:val="0"/>
                <w:color w:val="auto"/>
                <w:sz w:val="21"/>
                <w:szCs w:val="21"/>
                <w:highlight w:val="none"/>
              </w:rPr>
            </w:pPr>
            <w:r>
              <w:rPr>
                <w:b/>
                <w:bCs/>
                <w:snapToGrid w:val="0"/>
                <w:color w:val="auto"/>
                <w:sz w:val="21"/>
                <w:szCs w:val="21"/>
                <w:highlight w:val="none"/>
              </w:rPr>
              <w:t>工作内容</w:t>
            </w:r>
          </w:p>
        </w:tc>
        <w:tc>
          <w:tcPr>
            <w:tcW w:w="6190" w:type="dxa"/>
            <w:vAlign w:val="center"/>
          </w:tcPr>
          <w:p w14:paraId="7B150BAB">
            <w:pPr>
              <w:spacing w:before="0" w:beforeAutospacing="0" w:line="360" w:lineRule="exact"/>
              <w:ind w:firstLine="0" w:firstLineChars="0"/>
              <w:jc w:val="center"/>
              <w:rPr>
                <w:b/>
                <w:bCs/>
                <w:snapToGrid w:val="0"/>
                <w:color w:val="auto"/>
                <w:sz w:val="21"/>
                <w:szCs w:val="21"/>
                <w:highlight w:val="none"/>
              </w:rPr>
            </w:pPr>
            <w:r>
              <w:rPr>
                <w:b/>
                <w:bCs/>
                <w:snapToGrid w:val="0"/>
                <w:color w:val="auto"/>
                <w:sz w:val="21"/>
                <w:szCs w:val="21"/>
                <w:highlight w:val="none"/>
              </w:rPr>
              <w:t>自查项目</w:t>
            </w:r>
          </w:p>
        </w:tc>
      </w:tr>
      <w:tr w14:paraId="3B43E2B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762" w:hRule="atLeast"/>
        </w:trPr>
        <w:tc>
          <w:tcPr>
            <w:tcW w:w="889" w:type="dxa"/>
            <w:vMerge w:val="restart"/>
            <w:vAlign w:val="center"/>
          </w:tcPr>
          <w:p w14:paraId="75EE2BAC">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生态影响识别</w:t>
            </w:r>
          </w:p>
        </w:tc>
        <w:tc>
          <w:tcPr>
            <w:tcW w:w="1257" w:type="dxa"/>
            <w:vAlign w:val="center"/>
          </w:tcPr>
          <w:p w14:paraId="602F7735">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生态保护目标</w:t>
            </w:r>
          </w:p>
        </w:tc>
        <w:tc>
          <w:tcPr>
            <w:tcW w:w="6190" w:type="dxa"/>
            <w:vAlign w:val="center"/>
          </w:tcPr>
          <w:p w14:paraId="5D049172">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重要物种</w:t>
            </w:r>
            <w:r>
              <w:rPr>
                <w:rFonts w:hint="eastAsia"/>
                <w:snapToGrid w:val="0"/>
                <w:color w:val="auto"/>
                <w:sz w:val="21"/>
                <w:szCs w:val="21"/>
                <w:highlight w:val="none"/>
                <w:lang w:eastAsia="zh-CN"/>
              </w:rPr>
              <w:t>□</w:t>
            </w:r>
            <w:r>
              <w:rPr>
                <w:snapToGrid w:val="0"/>
                <w:color w:val="auto"/>
                <w:sz w:val="21"/>
                <w:szCs w:val="21"/>
                <w:highlight w:val="none"/>
              </w:rPr>
              <w:t>；国家公园</w:t>
            </w:r>
            <w:r>
              <w:rPr>
                <w:rFonts w:hint="eastAsia"/>
                <w:snapToGrid w:val="0"/>
                <w:color w:val="auto"/>
                <w:sz w:val="21"/>
                <w:szCs w:val="21"/>
                <w:highlight w:val="none"/>
                <w:lang w:eastAsia="zh-CN"/>
              </w:rPr>
              <w:t>□</w:t>
            </w:r>
            <w:r>
              <w:rPr>
                <w:snapToGrid w:val="0"/>
                <w:color w:val="auto"/>
                <w:sz w:val="21"/>
                <w:szCs w:val="21"/>
                <w:highlight w:val="none"/>
              </w:rPr>
              <w:t>；自然保护区</w:t>
            </w:r>
            <w:r>
              <w:rPr>
                <w:rFonts w:hint="eastAsia"/>
                <w:snapToGrid w:val="0"/>
                <w:color w:val="auto"/>
                <w:sz w:val="21"/>
                <w:szCs w:val="21"/>
                <w:highlight w:val="none"/>
                <w:lang w:eastAsia="zh-CN"/>
              </w:rPr>
              <w:t>□</w:t>
            </w:r>
            <w:r>
              <w:rPr>
                <w:snapToGrid w:val="0"/>
                <w:color w:val="auto"/>
                <w:sz w:val="21"/>
                <w:szCs w:val="21"/>
                <w:highlight w:val="none"/>
              </w:rPr>
              <w:t>；自然公园</w:t>
            </w:r>
            <w:r>
              <w:rPr>
                <w:rFonts w:hint="eastAsia"/>
                <w:snapToGrid w:val="0"/>
                <w:color w:val="auto"/>
                <w:sz w:val="21"/>
                <w:szCs w:val="21"/>
                <w:highlight w:val="none"/>
                <w:lang w:eastAsia="zh-CN"/>
              </w:rPr>
              <w:t>□</w:t>
            </w:r>
            <w:r>
              <w:rPr>
                <w:snapToGrid w:val="0"/>
                <w:color w:val="auto"/>
                <w:sz w:val="21"/>
                <w:szCs w:val="21"/>
                <w:highlight w:val="none"/>
              </w:rPr>
              <w:t>；世界自然遗产</w:t>
            </w:r>
            <w:r>
              <w:rPr>
                <w:rFonts w:hint="eastAsia"/>
                <w:snapToGrid w:val="0"/>
                <w:color w:val="auto"/>
                <w:sz w:val="21"/>
                <w:szCs w:val="21"/>
                <w:highlight w:val="none"/>
                <w:lang w:eastAsia="zh-CN"/>
              </w:rPr>
              <w:t>□</w:t>
            </w:r>
            <w:r>
              <w:rPr>
                <w:snapToGrid w:val="0"/>
                <w:color w:val="auto"/>
                <w:sz w:val="21"/>
                <w:szCs w:val="21"/>
                <w:highlight w:val="none"/>
              </w:rPr>
              <w:t>；生态保护红线</w:t>
            </w:r>
            <w:r>
              <w:rPr>
                <w:rFonts w:hint="eastAsia"/>
                <w:snapToGrid w:val="0"/>
                <w:color w:val="auto"/>
                <w:sz w:val="21"/>
                <w:szCs w:val="21"/>
                <w:highlight w:val="none"/>
                <w:lang w:eastAsia="zh-CN"/>
              </w:rPr>
              <w:t>□</w:t>
            </w:r>
            <w:r>
              <w:rPr>
                <w:snapToGrid w:val="0"/>
                <w:color w:val="auto"/>
                <w:sz w:val="21"/>
                <w:szCs w:val="21"/>
                <w:highlight w:val="none"/>
              </w:rPr>
              <w:t>；重要生境</w:t>
            </w:r>
            <w:r>
              <w:rPr>
                <w:rFonts w:hint="eastAsia"/>
                <w:snapToGrid w:val="0"/>
                <w:color w:val="auto"/>
                <w:sz w:val="21"/>
                <w:szCs w:val="21"/>
                <w:highlight w:val="none"/>
                <w:lang w:eastAsia="zh-CN"/>
              </w:rPr>
              <w:t>□</w:t>
            </w:r>
            <w:r>
              <w:rPr>
                <w:snapToGrid w:val="0"/>
                <w:color w:val="auto"/>
                <w:sz w:val="21"/>
                <w:szCs w:val="21"/>
                <w:highlight w:val="none"/>
              </w:rPr>
              <w:t>；其他具有重要生态功能、对保护生物多样性具有重要意义的区域</w:t>
            </w:r>
            <w:r>
              <w:rPr>
                <w:rFonts w:hint="eastAsia"/>
                <w:snapToGrid w:val="0"/>
                <w:color w:val="auto"/>
                <w:sz w:val="21"/>
                <w:szCs w:val="21"/>
                <w:highlight w:val="none"/>
                <w:lang w:eastAsia="zh-CN"/>
              </w:rPr>
              <w:t>□</w:t>
            </w:r>
            <w:r>
              <w:rPr>
                <w:snapToGrid w:val="0"/>
                <w:color w:val="auto"/>
                <w:sz w:val="21"/>
                <w:szCs w:val="21"/>
                <w:highlight w:val="none"/>
              </w:rPr>
              <w:t>；其他</w:t>
            </w:r>
            <w:r>
              <w:rPr>
                <w:rFonts w:hint="eastAsia"/>
                <w:snapToGrid w:val="0"/>
                <w:color w:val="auto"/>
                <w:sz w:val="21"/>
                <w:szCs w:val="21"/>
                <w:highlight w:val="none"/>
                <w:lang w:eastAsia="zh-CN"/>
              </w:rPr>
              <w:t>☑</w:t>
            </w:r>
          </w:p>
        </w:tc>
      </w:tr>
      <w:tr w14:paraId="041386C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4" w:hRule="atLeast"/>
        </w:trPr>
        <w:tc>
          <w:tcPr>
            <w:tcW w:w="889" w:type="dxa"/>
            <w:vMerge w:val="continue"/>
            <w:vAlign w:val="center"/>
          </w:tcPr>
          <w:p w14:paraId="635BD6FB">
            <w:pPr>
              <w:spacing w:line="360" w:lineRule="exact"/>
              <w:ind w:firstLine="0" w:firstLineChars="0"/>
              <w:jc w:val="center"/>
              <w:rPr>
                <w:snapToGrid w:val="0"/>
                <w:color w:val="auto"/>
                <w:kern w:val="0"/>
                <w:sz w:val="21"/>
                <w:szCs w:val="21"/>
                <w:highlight w:val="none"/>
              </w:rPr>
            </w:pPr>
          </w:p>
        </w:tc>
        <w:tc>
          <w:tcPr>
            <w:tcW w:w="1257" w:type="dxa"/>
            <w:vAlign w:val="center"/>
          </w:tcPr>
          <w:p w14:paraId="28ABE8C8">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影响方式</w:t>
            </w:r>
          </w:p>
        </w:tc>
        <w:tc>
          <w:tcPr>
            <w:tcW w:w="6190" w:type="dxa"/>
            <w:vAlign w:val="center"/>
          </w:tcPr>
          <w:p w14:paraId="12777482">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工程占用</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；施工活动干扰</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；改变环境条件</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；其他</w:t>
            </w:r>
            <w:r>
              <w:rPr>
                <w:rFonts w:hint="eastAsia" w:eastAsia="宋体"/>
                <w:color w:val="auto"/>
                <w:spacing w:val="0"/>
                <w:w w:val="100"/>
                <w:kern w:val="0"/>
                <w:position w:val="0"/>
                <w:sz w:val="21"/>
                <w:szCs w:val="21"/>
                <w:highlight w:val="none"/>
                <w:lang w:eastAsia="zh-CN"/>
              </w:rPr>
              <w:t>□</w:t>
            </w:r>
          </w:p>
        </w:tc>
      </w:tr>
      <w:tr w14:paraId="03CF2C2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10" w:hRule="atLeast"/>
        </w:trPr>
        <w:tc>
          <w:tcPr>
            <w:tcW w:w="889" w:type="dxa"/>
            <w:vMerge w:val="continue"/>
            <w:vAlign w:val="center"/>
          </w:tcPr>
          <w:p w14:paraId="4262E6E2">
            <w:pPr>
              <w:spacing w:line="360" w:lineRule="exact"/>
              <w:ind w:firstLine="0" w:firstLineChars="0"/>
              <w:jc w:val="center"/>
              <w:rPr>
                <w:snapToGrid w:val="0"/>
                <w:color w:val="auto"/>
                <w:kern w:val="0"/>
                <w:sz w:val="21"/>
                <w:szCs w:val="21"/>
                <w:highlight w:val="none"/>
              </w:rPr>
            </w:pPr>
          </w:p>
        </w:tc>
        <w:tc>
          <w:tcPr>
            <w:tcW w:w="1257" w:type="dxa"/>
            <w:vAlign w:val="center"/>
          </w:tcPr>
          <w:p w14:paraId="2A186184">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评价因子</w:t>
            </w:r>
          </w:p>
        </w:tc>
        <w:tc>
          <w:tcPr>
            <w:tcW w:w="6190" w:type="dxa"/>
            <w:vAlign w:val="center"/>
          </w:tcPr>
          <w:p w14:paraId="57C5FD94">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物种</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p>
          <w:p w14:paraId="477E2CD6">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生境</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p>
          <w:p w14:paraId="387A63D3">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生物群落</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p>
          <w:p w14:paraId="7A349C69">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生态系统</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p>
          <w:p w14:paraId="73FE719B">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生物多样性</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p>
          <w:p w14:paraId="07CA9A73">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生态敏感区</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p>
          <w:p w14:paraId="4CC47E4D">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自然景观</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r>
              <w:rPr>
                <w:rFonts w:hint="eastAsia"/>
                <w:snapToGrid w:val="0"/>
                <w:color w:val="auto"/>
                <w:sz w:val="21"/>
                <w:szCs w:val="21"/>
                <w:highlight w:val="none"/>
                <w:lang w:eastAsia="zh-CN"/>
              </w:rPr>
              <w:t>自然</w:t>
            </w:r>
            <w:r>
              <w:rPr>
                <w:rFonts w:hint="eastAsia"/>
                <w:snapToGrid w:val="0"/>
                <w:color w:val="auto"/>
                <w:sz w:val="21"/>
                <w:szCs w:val="21"/>
                <w:highlight w:val="none"/>
              </w:rPr>
              <w:t>景观</w:t>
            </w:r>
            <w:r>
              <w:rPr>
                <w:snapToGrid w:val="0"/>
                <w:color w:val="auto"/>
                <w:sz w:val="21"/>
                <w:szCs w:val="21"/>
                <w:highlight w:val="none"/>
              </w:rPr>
              <w:t>）</w:t>
            </w:r>
          </w:p>
          <w:p w14:paraId="63DC5177">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自然遗迹</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p>
          <w:p w14:paraId="6C23E0FD">
            <w:pPr>
              <w:tabs>
                <w:tab w:val="left" w:pos="3092"/>
              </w:tabs>
              <w:spacing w:before="0" w:beforeAutospacing="0" w:line="360" w:lineRule="exact"/>
              <w:ind w:firstLine="0" w:firstLineChars="0"/>
              <w:jc w:val="left"/>
              <w:rPr>
                <w:snapToGrid w:val="0"/>
                <w:color w:val="auto"/>
                <w:sz w:val="21"/>
                <w:szCs w:val="21"/>
                <w:highlight w:val="none"/>
              </w:rPr>
            </w:pPr>
            <w:r>
              <w:rPr>
                <w:snapToGrid w:val="0"/>
                <w:color w:val="auto"/>
                <w:sz w:val="21"/>
                <w:szCs w:val="21"/>
                <w:highlight w:val="none"/>
              </w:rPr>
              <w:t>其他</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w:t>
            </w:r>
          </w:p>
        </w:tc>
      </w:tr>
      <w:tr w14:paraId="47025FD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4" w:hRule="atLeast"/>
        </w:trPr>
        <w:tc>
          <w:tcPr>
            <w:tcW w:w="2146" w:type="dxa"/>
            <w:gridSpan w:val="2"/>
            <w:vAlign w:val="center"/>
          </w:tcPr>
          <w:p w14:paraId="4CCE892B">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评价等级</w:t>
            </w:r>
          </w:p>
        </w:tc>
        <w:tc>
          <w:tcPr>
            <w:tcW w:w="6190" w:type="dxa"/>
            <w:vAlign w:val="center"/>
          </w:tcPr>
          <w:p w14:paraId="60F9E273">
            <w:pPr>
              <w:tabs>
                <w:tab w:val="left" w:pos="1471"/>
                <w:tab w:val="left" w:pos="2823"/>
              </w:tabs>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一级</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 xml:space="preserve">    二级</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 xml:space="preserve">    三级</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 xml:space="preserve">    生态影响简单分析</w:t>
            </w:r>
            <w:r>
              <w:rPr>
                <w:rFonts w:hint="eastAsia" w:eastAsia="宋体"/>
                <w:color w:val="auto"/>
                <w:spacing w:val="0"/>
                <w:w w:val="100"/>
                <w:kern w:val="0"/>
                <w:position w:val="0"/>
                <w:sz w:val="21"/>
                <w:szCs w:val="21"/>
                <w:highlight w:val="none"/>
                <w:lang w:eastAsia="zh-CN"/>
              </w:rPr>
              <w:t>□</w:t>
            </w:r>
          </w:p>
        </w:tc>
      </w:tr>
      <w:tr w14:paraId="67859F3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4" w:hRule="atLeast"/>
        </w:trPr>
        <w:tc>
          <w:tcPr>
            <w:tcW w:w="2146" w:type="dxa"/>
            <w:gridSpan w:val="2"/>
            <w:vAlign w:val="center"/>
          </w:tcPr>
          <w:p w14:paraId="3B4B8828">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评价范围</w:t>
            </w:r>
          </w:p>
        </w:tc>
        <w:tc>
          <w:tcPr>
            <w:tcW w:w="6190" w:type="dxa"/>
            <w:vAlign w:val="center"/>
          </w:tcPr>
          <w:p w14:paraId="02296AA5">
            <w:pPr>
              <w:tabs>
                <w:tab w:val="left" w:pos="1560"/>
              </w:tabs>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陆域面积：（</w:t>
            </w:r>
            <w:r>
              <w:rPr>
                <w:rFonts w:hint="eastAsia" w:cs="Arial"/>
                <w:color w:val="auto"/>
                <w:kern w:val="0"/>
                <w:sz w:val="21"/>
                <w:szCs w:val="21"/>
                <w:highlight w:val="none"/>
                <w:lang w:val="en-US" w:eastAsia="zh-CN"/>
              </w:rPr>
              <w:t>148.34</w:t>
            </w:r>
            <w:r>
              <w:rPr>
                <w:snapToGrid w:val="0"/>
                <w:color w:val="auto"/>
                <w:sz w:val="21"/>
                <w:szCs w:val="21"/>
                <w:highlight w:val="none"/>
              </w:rPr>
              <w:t>）</w:t>
            </w:r>
            <w:r>
              <w:rPr>
                <w:rFonts w:eastAsia="Times New Roman"/>
                <w:snapToGrid w:val="0"/>
                <w:color w:val="auto"/>
                <w:sz w:val="21"/>
                <w:szCs w:val="21"/>
                <w:highlight w:val="none"/>
              </w:rPr>
              <w:t>km</w:t>
            </w:r>
            <w:r>
              <w:rPr>
                <w:rFonts w:eastAsia="Times New Roman"/>
                <w:snapToGrid w:val="0"/>
                <w:color w:val="auto"/>
                <w:sz w:val="21"/>
                <w:szCs w:val="21"/>
                <w:highlight w:val="none"/>
                <w:vertAlign w:val="superscript"/>
              </w:rPr>
              <w:t>2</w:t>
            </w:r>
            <w:r>
              <w:rPr>
                <w:snapToGrid w:val="0"/>
                <w:color w:val="auto"/>
                <w:sz w:val="21"/>
                <w:szCs w:val="21"/>
                <w:highlight w:val="none"/>
              </w:rPr>
              <w:t>；水域面积：（ ）</w:t>
            </w:r>
            <w:r>
              <w:rPr>
                <w:rFonts w:eastAsia="Times New Roman"/>
                <w:snapToGrid w:val="0"/>
                <w:color w:val="auto"/>
                <w:sz w:val="21"/>
                <w:szCs w:val="21"/>
                <w:highlight w:val="none"/>
              </w:rPr>
              <w:t>km</w:t>
            </w:r>
            <w:r>
              <w:rPr>
                <w:rFonts w:eastAsia="Times New Roman"/>
                <w:snapToGrid w:val="0"/>
                <w:color w:val="auto"/>
                <w:sz w:val="21"/>
                <w:szCs w:val="21"/>
                <w:highlight w:val="none"/>
                <w:vertAlign w:val="superscript"/>
              </w:rPr>
              <w:t>2</w:t>
            </w:r>
          </w:p>
        </w:tc>
      </w:tr>
      <w:tr w14:paraId="7223B6C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30" w:hRule="atLeast"/>
        </w:trPr>
        <w:tc>
          <w:tcPr>
            <w:tcW w:w="889" w:type="dxa"/>
            <w:vMerge w:val="restart"/>
            <w:vAlign w:val="center"/>
          </w:tcPr>
          <w:p w14:paraId="6C9CF366">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生态现状调查与评价</w:t>
            </w:r>
          </w:p>
        </w:tc>
        <w:tc>
          <w:tcPr>
            <w:tcW w:w="1257" w:type="dxa"/>
            <w:vAlign w:val="center"/>
          </w:tcPr>
          <w:p w14:paraId="1EB6A2BD">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调查方法</w:t>
            </w:r>
          </w:p>
        </w:tc>
        <w:tc>
          <w:tcPr>
            <w:tcW w:w="6190" w:type="dxa"/>
            <w:vAlign w:val="center"/>
          </w:tcPr>
          <w:p w14:paraId="382D1066">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资料收集</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；遥感调查</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；调查样方、样线</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；调查点位、断面</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；专家和公众咨询法</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；其他</w:t>
            </w:r>
            <w:r>
              <w:rPr>
                <w:rFonts w:hint="eastAsia" w:eastAsia="宋体"/>
                <w:color w:val="auto"/>
                <w:spacing w:val="0"/>
                <w:w w:val="100"/>
                <w:kern w:val="0"/>
                <w:position w:val="0"/>
                <w:sz w:val="21"/>
                <w:szCs w:val="21"/>
                <w:highlight w:val="none"/>
                <w:lang w:eastAsia="zh-CN"/>
              </w:rPr>
              <w:t>□</w:t>
            </w:r>
            <w:r>
              <w:rPr>
                <w:rFonts w:hint="eastAsia"/>
                <w:snapToGrid w:val="0"/>
                <w:color w:val="auto"/>
                <w:sz w:val="21"/>
                <w:szCs w:val="21"/>
                <w:highlight w:val="none"/>
                <w:lang w:eastAsia="zh-CN"/>
              </w:rPr>
              <w:t>□</w:t>
            </w:r>
          </w:p>
        </w:tc>
      </w:tr>
      <w:tr w14:paraId="1D8F810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889" w:type="dxa"/>
            <w:vMerge w:val="continue"/>
            <w:vAlign w:val="center"/>
          </w:tcPr>
          <w:p w14:paraId="356667D4">
            <w:pPr>
              <w:spacing w:line="360" w:lineRule="exact"/>
              <w:ind w:firstLine="0" w:firstLineChars="0"/>
              <w:jc w:val="center"/>
              <w:rPr>
                <w:snapToGrid w:val="0"/>
                <w:color w:val="auto"/>
                <w:kern w:val="0"/>
                <w:sz w:val="21"/>
                <w:szCs w:val="21"/>
                <w:highlight w:val="none"/>
              </w:rPr>
            </w:pPr>
          </w:p>
        </w:tc>
        <w:tc>
          <w:tcPr>
            <w:tcW w:w="1257" w:type="dxa"/>
            <w:vAlign w:val="center"/>
          </w:tcPr>
          <w:p w14:paraId="1AD3D7FE">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调查时间</w:t>
            </w:r>
          </w:p>
        </w:tc>
        <w:tc>
          <w:tcPr>
            <w:tcW w:w="6190" w:type="dxa"/>
            <w:vAlign w:val="center"/>
          </w:tcPr>
          <w:p w14:paraId="7EDD4FAE">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春季</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；夏季</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；秋季</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；冬季</w:t>
            </w:r>
            <w:r>
              <w:rPr>
                <w:rFonts w:hint="eastAsia"/>
                <w:snapToGrid w:val="0"/>
                <w:color w:val="auto"/>
                <w:sz w:val="21"/>
                <w:szCs w:val="21"/>
                <w:highlight w:val="none"/>
                <w:lang w:eastAsia="zh-CN"/>
              </w:rPr>
              <w:t>☑</w:t>
            </w:r>
            <w:r>
              <w:rPr>
                <w:snapToGrid w:val="0"/>
                <w:color w:val="auto"/>
                <w:sz w:val="21"/>
                <w:szCs w:val="21"/>
                <w:highlight w:val="none"/>
              </w:rPr>
              <w:t xml:space="preserve"> 丰水期</w:t>
            </w:r>
            <w:r>
              <w:rPr>
                <w:rFonts w:hint="eastAsia"/>
                <w:snapToGrid w:val="0"/>
                <w:color w:val="auto"/>
                <w:sz w:val="21"/>
                <w:szCs w:val="21"/>
                <w:highlight w:val="none"/>
                <w:lang w:eastAsia="zh-CN"/>
              </w:rPr>
              <w:t>□</w:t>
            </w:r>
            <w:r>
              <w:rPr>
                <w:snapToGrid w:val="0"/>
                <w:color w:val="auto"/>
                <w:sz w:val="21"/>
                <w:szCs w:val="21"/>
                <w:highlight w:val="none"/>
              </w:rPr>
              <w:t>；枯水期</w:t>
            </w:r>
            <w:r>
              <w:rPr>
                <w:rFonts w:hint="eastAsia"/>
                <w:snapToGrid w:val="0"/>
                <w:color w:val="auto"/>
                <w:sz w:val="21"/>
                <w:szCs w:val="21"/>
                <w:highlight w:val="none"/>
                <w:lang w:eastAsia="zh-CN"/>
              </w:rPr>
              <w:t>□</w:t>
            </w:r>
            <w:r>
              <w:rPr>
                <w:snapToGrid w:val="0"/>
                <w:color w:val="auto"/>
                <w:sz w:val="21"/>
                <w:szCs w:val="21"/>
                <w:highlight w:val="none"/>
              </w:rPr>
              <w:t>；平水期</w:t>
            </w:r>
            <w:r>
              <w:rPr>
                <w:rFonts w:hint="eastAsia"/>
                <w:snapToGrid w:val="0"/>
                <w:color w:val="auto"/>
                <w:sz w:val="21"/>
                <w:szCs w:val="21"/>
                <w:highlight w:val="none"/>
                <w:lang w:eastAsia="zh-CN"/>
              </w:rPr>
              <w:t>□</w:t>
            </w:r>
          </w:p>
        </w:tc>
      </w:tr>
      <w:tr w14:paraId="6D1993E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889" w:type="dxa"/>
            <w:vMerge w:val="continue"/>
            <w:vAlign w:val="center"/>
          </w:tcPr>
          <w:p w14:paraId="6745BFDC">
            <w:pPr>
              <w:spacing w:line="360" w:lineRule="exact"/>
              <w:ind w:firstLine="0" w:firstLineChars="0"/>
              <w:jc w:val="center"/>
              <w:rPr>
                <w:snapToGrid w:val="0"/>
                <w:color w:val="auto"/>
                <w:kern w:val="0"/>
                <w:sz w:val="21"/>
                <w:szCs w:val="21"/>
                <w:highlight w:val="none"/>
              </w:rPr>
            </w:pPr>
          </w:p>
        </w:tc>
        <w:tc>
          <w:tcPr>
            <w:tcW w:w="1257" w:type="dxa"/>
            <w:vAlign w:val="center"/>
          </w:tcPr>
          <w:p w14:paraId="67DE4266">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所在区域的生态问题</w:t>
            </w:r>
          </w:p>
        </w:tc>
        <w:tc>
          <w:tcPr>
            <w:tcW w:w="6190" w:type="dxa"/>
            <w:vAlign w:val="center"/>
          </w:tcPr>
          <w:p w14:paraId="4E5C3D38">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水土流失</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；沙漠化</w:t>
            </w:r>
            <w:r>
              <w:rPr>
                <w:rFonts w:hint="eastAsia"/>
                <w:snapToGrid w:val="0"/>
                <w:color w:val="auto"/>
                <w:sz w:val="21"/>
                <w:szCs w:val="21"/>
                <w:highlight w:val="none"/>
                <w:lang w:eastAsia="zh-CN"/>
              </w:rPr>
              <w:t>□</w:t>
            </w:r>
            <w:r>
              <w:rPr>
                <w:snapToGrid w:val="0"/>
                <w:color w:val="auto"/>
                <w:sz w:val="21"/>
                <w:szCs w:val="21"/>
                <w:highlight w:val="none"/>
              </w:rPr>
              <w:t>；石漠化</w:t>
            </w:r>
            <w:r>
              <w:rPr>
                <w:rFonts w:hint="eastAsia"/>
                <w:snapToGrid w:val="0"/>
                <w:color w:val="auto"/>
                <w:sz w:val="21"/>
                <w:szCs w:val="21"/>
                <w:highlight w:val="none"/>
                <w:lang w:eastAsia="zh-CN"/>
              </w:rPr>
              <w:t>□</w:t>
            </w:r>
            <w:r>
              <w:rPr>
                <w:snapToGrid w:val="0"/>
                <w:color w:val="auto"/>
                <w:sz w:val="21"/>
                <w:szCs w:val="21"/>
                <w:highlight w:val="none"/>
              </w:rPr>
              <w:t>；盐渍化</w:t>
            </w:r>
            <w:r>
              <w:rPr>
                <w:rFonts w:hint="eastAsia"/>
                <w:snapToGrid w:val="0"/>
                <w:color w:val="auto"/>
                <w:sz w:val="21"/>
                <w:szCs w:val="21"/>
                <w:highlight w:val="none"/>
                <w:lang w:eastAsia="zh-CN"/>
              </w:rPr>
              <w:t>□</w:t>
            </w:r>
            <w:r>
              <w:rPr>
                <w:snapToGrid w:val="0"/>
                <w:color w:val="auto"/>
                <w:sz w:val="21"/>
                <w:szCs w:val="21"/>
                <w:highlight w:val="none"/>
              </w:rPr>
              <w:t>；生物入侵</w:t>
            </w:r>
            <w:r>
              <w:rPr>
                <w:rFonts w:hint="eastAsia"/>
                <w:snapToGrid w:val="0"/>
                <w:color w:val="auto"/>
                <w:sz w:val="21"/>
                <w:szCs w:val="21"/>
                <w:highlight w:val="none"/>
                <w:lang w:eastAsia="zh-CN"/>
              </w:rPr>
              <w:t>□</w:t>
            </w:r>
            <w:r>
              <w:rPr>
                <w:snapToGrid w:val="0"/>
                <w:color w:val="auto"/>
                <w:sz w:val="21"/>
                <w:szCs w:val="21"/>
                <w:highlight w:val="none"/>
              </w:rPr>
              <w:t>；污染危害</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；其他</w:t>
            </w:r>
            <w:r>
              <w:rPr>
                <w:rFonts w:hint="eastAsia"/>
                <w:snapToGrid w:val="0"/>
                <w:color w:val="auto"/>
                <w:sz w:val="21"/>
                <w:szCs w:val="21"/>
                <w:highlight w:val="none"/>
                <w:lang w:eastAsia="zh-CN"/>
              </w:rPr>
              <w:t>□</w:t>
            </w:r>
          </w:p>
        </w:tc>
      </w:tr>
      <w:tr w14:paraId="6290834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717" w:hRule="atLeast"/>
        </w:trPr>
        <w:tc>
          <w:tcPr>
            <w:tcW w:w="889" w:type="dxa"/>
            <w:vMerge w:val="continue"/>
            <w:vAlign w:val="center"/>
          </w:tcPr>
          <w:p w14:paraId="4BC10DFD">
            <w:pPr>
              <w:spacing w:line="360" w:lineRule="exact"/>
              <w:ind w:firstLine="0" w:firstLineChars="0"/>
              <w:jc w:val="center"/>
              <w:rPr>
                <w:snapToGrid w:val="0"/>
                <w:color w:val="auto"/>
                <w:kern w:val="0"/>
                <w:sz w:val="21"/>
                <w:szCs w:val="21"/>
                <w:highlight w:val="none"/>
              </w:rPr>
            </w:pPr>
          </w:p>
        </w:tc>
        <w:tc>
          <w:tcPr>
            <w:tcW w:w="1257" w:type="dxa"/>
            <w:vAlign w:val="center"/>
          </w:tcPr>
          <w:p w14:paraId="2D15ADFA">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评价内容</w:t>
            </w:r>
          </w:p>
        </w:tc>
        <w:tc>
          <w:tcPr>
            <w:tcW w:w="6190" w:type="dxa"/>
            <w:vAlign w:val="center"/>
          </w:tcPr>
          <w:p w14:paraId="7B0399DB">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植被</w:t>
            </w:r>
            <w:r>
              <w:rPr>
                <w:rFonts w:eastAsia="Times New Roman"/>
                <w:snapToGrid w:val="0"/>
                <w:color w:val="auto"/>
                <w:sz w:val="21"/>
                <w:szCs w:val="21"/>
                <w:highlight w:val="none"/>
              </w:rPr>
              <w:t>/</w:t>
            </w:r>
            <w:r>
              <w:rPr>
                <w:snapToGrid w:val="0"/>
                <w:color w:val="auto"/>
                <w:sz w:val="21"/>
                <w:szCs w:val="21"/>
                <w:highlight w:val="none"/>
              </w:rPr>
              <w:t>植物群落</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；土地利用</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；生态系统</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；生物多样性</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；重要物种</w:t>
            </w:r>
            <w:r>
              <w:rPr>
                <w:rFonts w:hint="eastAsia"/>
                <w:snapToGrid w:val="0"/>
                <w:color w:val="auto"/>
                <w:sz w:val="21"/>
                <w:szCs w:val="21"/>
                <w:highlight w:val="none"/>
                <w:lang w:eastAsia="zh-CN"/>
              </w:rPr>
              <w:t>□</w:t>
            </w:r>
            <w:r>
              <w:rPr>
                <w:snapToGrid w:val="0"/>
                <w:color w:val="auto"/>
                <w:sz w:val="21"/>
                <w:szCs w:val="21"/>
                <w:highlight w:val="none"/>
              </w:rPr>
              <w:t>；生态敏感区</w:t>
            </w:r>
            <w:r>
              <w:rPr>
                <w:rFonts w:hint="eastAsia"/>
                <w:snapToGrid w:val="0"/>
                <w:color w:val="auto"/>
                <w:sz w:val="21"/>
                <w:szCs w:val="21"/>
                <w:highlight w:val="none"/>
                <w:lang w:eastAsia="zh-CN"/>
              </w:rPr>
              <w:t>□</w:t>
            </w:r>
            <w:r>
              <w:rPr>
                <w:snapToGrid w:val="0"/>
                <w:color w:val="auto"/>
                <w:sz w:val="21"/>
                <w:szCs w:val="21"/>
                <w:highlight w:val="none"/>
              </w:rPr>
              <w:t>；其他</w:t>
            </w:r>
            <w:r>
              <w:rPr>
                <w:rFonts w:hint="eastAsia"/>
                <w:snapToGrid w:val="0"/>
                <w:color w:val="auto"/>
                <w:sz w:val="21"/>
                <w:szCs w:val="21"/>
                <w:highlight w:val="none"/>
                <w:lang w:eastAsia="zh-CN"/>
              </w:rPr>
              <w:t>☑</w:t>
            </w:r>
          </w:p>
        </w:tc>
      </w:tr>
      <w:tr w14:paraId="32A7D75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7" w:hRule="atLeast"/>
        </w:trPr>
        <w:tc>
          <w:tcPr>
            <w:tcW w:w="889" w:type="dxa"/>
            <w:vMerge w:val="restart"/>
            <w:vAlign w:val="center"/>
          </w:tcPr>
          <w:p w14:paraId="7A0355F6">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生态影响预测与评价</w:t>
            </w:r>
          </w:p>
        </w:tc>
        <w:tc>
          <w:tcPr>
            <w:tcW w:w="1257" w:type="dxa"/>
            <w:vAlign w:val="center"/>
          </w:tcPr>
          <w:p w14:paraId="687A86F7">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评价方法</w:t>
            </w:r>
          </w:p>
        </w:tc>
        <w:tc>
          <w:tcPr>
            <w:tcW w:w="6190" w:type="dxa"/>
            <w:vAlign w:val="center"/>
          </w:tcPr>
          <w:p w14:paraId="097F6637">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定性</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；定性和定量</w:t>
            </w:r>
            <w:r>
              <w:rPr>
                <w:rFonts w:hint="eastAsia" w:eastAsia="宋体"/>
                <w:color w:val="auto"/>
                <w:spacing w:val="0"/>
                <w:w w:val="100"/>
                <w:kern w:val="0"/>
                <w:position w:val="0"/>
                <w:sz w:val="21"/>
                <w:szCs w:val="21"/>
                <w:highlight w:val="none"/>
                <w:lang w:eastAsia="zh-CN"/>
              </w:rPr>
              <w:t>☑</w:t>
            </w:r>
          </w:p>
        </w:tc>
      </w:tr>
      <w:tr w14:paraId="3DBEA33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527" w:hRule="atLeast"/>
        </w:trPr>
        <w:tc>
          <w:tcPr>
            <w:tcW w:w="889" w:type="dxa"/>
            <w:vMerge w:val="continue"/>
            <w:vAlign w:val="center"/>
          </w:tcPr>
          <w:p w14:paraId="51976814">
            <w:pPr>
              <w:spacing w:line="360" w:lineRule="exact"/>
              <w:ind w:firstLine="0" w:firstLineChars="0"/>
              <w:jc w:val="center"/>
              <w:rPr>
                <w:snapToGrid w:val="0"/>
                <w:color w:val="auto"/>
                <w:kern w:val="0"/>
                <w:sz w:val="21"/>
                <w:szCs w:val="21"/>
                <w:highlight w:val="none"/>
              </w:rPr>
            </w:pPr>
          </w:p>
        </w:tc>
        <w:tc>
          <w:tcPr>
            <w:tcW w:w="1257" w:type="dxa"/>
            <w:vAlign w:val="center"/>
          </w:tcPr>
          <w:p w14:paraId="723E6069">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评价内容</w:t>
            </w:r>
          </w:p>
        </w:tc>
        <w:tc>
          <w:tcPr>
            <w:tcW w:w="6190" w:type="dxa"/>
            <w:vAlign w:val="center"/>
          </w:tcPr>
          <w:p w14:paraId="0EDBA467">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植被</w:t>
            </w:r>
            <w:r>
              <w:rPr>
                <w:rFonts w:eastAsia="Times New Roman"/>
                <w:snapToGrid w:val="0"/>
                <w:color w:val="auto"/>
                <w:sz w:val="21"/>
                <w:szCs w:val="21"/>
                <w:highlight w:val="none"/>
              </w:rPr>
              <w:t>/</w:t>
            </w:r>
            <w:r>
              <w:rPr>
                <w:snapToGrid w:val="0"/>
                <w:color w:val="auto"/>
                <w:sz w:val="21"/>
                <w:szCs w:val="21"/>
                <w:highlight w:val="none"/>
              </w:rPr>
              <w:t>植物群落</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；土地利用</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；生态系统</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；生物多样性</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；重要物种</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；生态敏感区</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；生物入侵风险</w:t>
            </w:r>
            <w:r>
              <w:rPr>
                <w:rFonts w:hint="eastAsia"/>
                <w:snapToGrid w:val="0"/>
                <w:color w:val="auto"/>
                <w:sz w:val="21"/>
                <w:szCs w:val="21"/>
                <w:highlight w:val="none"/>
                <w:lang w:eastAsia="zh-CN"/>
              </w:rPr>
              <w:t>□</w:t>
            </w:r>
            <w:r>
              <w:rPr>
                <w:snapToGrid w:val="0"/>
                <w:color w:val="auto"/>
                <w:sz w:val="21"/>
                <w:szCs w:val="21"/>
                <w:highlight w:val="none"/>
              </w:rPr>
              <w:t>；其他</w:t>
            </w:r>
            <w:r>
              <w:rPr>
                <w:rFonts w:hint="eastAsia"/>
                <w:snapToGrid w:val="0"/>
                <w:color w:val="auto"/>
                <w:sz w:val="21"/>
                <w:szCs w:val="21"/>
                <w:highlight w:val="none"/>
                <w:lang w:eastAsia="zh-CN"/>
              </w:rPr>
              <w:t>□</w:t>
            </w:r>
          </w:p>
        </w:tc>
      </w:tr>
      <w:tr w14:paraId="3B1DAB1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4" w:hRule="atLeast"/>
        </w:trPr>
        <w:tc>
          <w:tcPr>
            <w:tcW w:w="889" w:type="dxa"/>
            <w:vMerge w:val="restart"/>
            <w:vAlign w:val="center"/>
          </w:tcPr>
          <w:p w14:paraId="2C5E2C80">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生态保护对策措施</w:t>
            </w:r>
          </w:p>
        </w:tc>
        <w:tc>
          <w:tcPr>
            <w:tcW w:w="1257" w:type="dxa"/>
            <w:vAlign w:val="center"/>
          </w:tcPr>
          <w:p w14:paraId="7B8B1AAE">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对策措施</w:t>
            </w:r>
          </w:p>
        </w:tc>
        <w:tc>
          <w:tcPr>
            <w:tcW w:w="6190" w:type="dxa"/>
            <w:vAlign w:val="center"/>
          </w:tcPr>
          <w:p w14:paraId="452F5B2B">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避让</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；减缓</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；生态修复</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；生态补偿</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；科研</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；其他</w:t>
            </w:r>
            <w:r>
              <w:rPr>
                <w:rFonts w:hint="eastAsia" w:eastAsia="宋体"/>
                <w:color w:val="auto"/>
                <w:spacing w:val="0"/>
                <w:w w:val="100"/>
                <w:kern w:val="0"/>
                <w:position w:val="0"/>
                <w:sz w:val="21"/>
                <w:szCs w:val="21"/>
                <w:highlight w:val="none"/>
                <w:lang w:eastAsia="zh-CN"/>
              </w:rPr>
              <w:t>□</w:t>
            </w:r>
          </w:p>
        </w:tc>
      </w:tr>
      <w:tr w14:paraId="272FC90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7" w:hRule="atLeast"/>
        </w:trPr>
        <w:tc>
          <w:tcPr>
            <w:tcW w:w="889" w:type="dxa"/>
            <w:vMerge w:val="continue"/>
            <w:vAlign w:val="center"/>
          </w:tcPr>
          <w:p w14:paraId="1F248911">
            <w:pPr>
              <w:spacing w:line="360" w:lineRule="exact"/>
              <w:ind w:firstLine="0" w:firstLineChars="0"/>
              <w:jc w:val="center"/>
              <w:rPr>
                <w:snapToGrid w:val="0"/>
                <w:color w:val="auto"/>
                <w:kern w:val="0"/>
                <w:sz w:val="21"/>
                <w:szCs w:val="21"/>
                <w:highlight w:val="none"/>
              </w:rPr>
            </w:pPr>
          </w:p>
        </w:tc>
        <w:tc>
          <w:tcPr>
            <w:tcW w:w="1257" w:type="dxa"/>
            <w:vAlign w:val="center"/>
          </w:tcPr>
          <w:p w14:paraId="5B8790A6">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生态监测计划</w:t>
            </w:r>
          </w:p>
        </w:tc>
        <w:tc>
          <w:tcPr>
            <w:tcW w:w="6190" w:type="dxa"/>
            <w:vAlign w:val="center"/>
          </w:tcPr>
          <w:p w14:paraId="0C3A779C">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全生命周期</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；长期跟踪</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；常规</w:t>
            </w:r>
            <w:r>
              <w:rPr>
                <w:rFonts w:hint="eastAsia"/>
                <w:snapToGrid w:val="0"/>
                <w:color w:val="auto"/>
                <w:sz w:val="21"/>
                <w:szCs w:val="21"/>
                <w:highlight w:val="none"/>
                <w:lang w:eastAsia="zh-CN"/>
              </w:rPr>
              <w:t>□</w:t>
            </w:r>
            <w:r>
              <w:rPr>
                <w:snapToGrid w:val="0"/>
                <w:color w:val="auto"/>
                <w:sz w:val="21"/>
                <w:szCs w:val="21"/>
                <w:highlight w:val="none"/>
              </w:rPr>
              <w:t>；无</w:t>
            </w:r>
            <w:r>
              <w:rPr>
                <w:rFonts w:hint="eastAsia"/>
                <w:snapToGrid w:val="0"/>
                <w:color w:val="auto"/>
                <w:sz w:val="21"/>
                <w:szCs w:val="21"/>
                <w:highlight w:val="none"/>
                <w:lang w:eastAsia="zh-CN"/>
              </w:rPr>
              <w:t>□</w:t>
            </w:r>
          </w:p>
        </w:tc>
      </w:tr>
      <w:tr w14:paraId="3136798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4" w:hRule="atLeast"/>
        </w:trPr>
        <w:tc>
          <w:tcPr>
            <w:tcW w:w="889" w:type="dxa"/>
            <w:vMerge w:val="continue"/>
            <w:vAlign w:val="center"/>
          </w:tcPr>
          <w:p w14:paraId="68806852">
            <w:pPr>
              <w:spacing w:line="360" w:lineRule="exact"/>
              <w:ind w:firstLine="0" w:firstLineChars="0"/>
              <w:jc w:val="center"/>
              <w:rPr>
                <w:snapToGrid w:val="0"/>
                <w:color w:val="auto"/>
                <w:kern w:val="0"/>
                <w:sz w:val="21"/>
                <w:szCs w:val="21"/>
                <w:highlight w:val="none"/>
              </w:rPr>
            </w:pPr>
          </w:p>
        </w:tc>
        <w:tc>
          <w:tcPr>
            <w:tcW w:w="1257" w:type="dxa"/>
            <w:vAlign w:val="center"/>
          </w:tcPr>
          <w:p w14:paraId="7FC1DB13">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环境管理</w:t>
            </w:r>
          </w:p>
        </w:tc>
        <w:tc>
          <w:tcPr>
            <w:tcW w:w="6190" w:type="dxa"/>
            <w:vAlign w:val="center"/>
          </w:tcPr>
          <w:p w14:paraId="0FFFD8C1">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环境监理</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；环境影响后评价</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；其他</w:t>
            </w:r>
            <w:r>
              <w:rPr>
                <w:rFonts w:hint="eastAsia"/>
                <w:snapToGrid w:val="0"/>
                <w:color w:val="auto"/>
                <w:sz w:val="21"/>
                <w:szCs w:val="21"/>
                <w:highlight w:val="none"/>
                <w:lang w:eastAsia="zh-CN"/>
              </w:rPr>
              <w:t>□</w:t>
            </w:r>
          </w:p>
        </w:tc>
      </w:tr>
      <w:tr w14:paraId="312D56F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4" w:hRule="atLeast"/>
        </w:trPr>
        <w:tc>
          <w:tcPr>
            <w:tcW w:w="889" w:type="dxa"/>
            <w:vAlign w:val="center"/>
          </w:tcPr>
          <w:p w14:paraId="79C98699">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评价结论</w:t>
            </w:r>
          </w:p>
        </w:tc>
        <w:tc>
          <w:tcPr>
            <w:tcW w:w="1257" w:type="dxa"/>
            <w:vAlign w:val="center"/>
          </w:tcPr>
          <w:p w14:paraId="732B0F4A">
            <w:pPr>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生态影响</w:t>
            </w:r>
          </w:p>
        </w:tc>
        <w:tc>
          <w:tcPr>
            <w:tcW w:w="6190" w:type="dxa"/>
            <w:vAlign w:val="center"/>
          </w:tcPr>
          <w:p w14:paraId="66BC2618">
            <w:pPr>
              <w:spacing w:before="0" w:beforeAutospacing="0" w:line="360" w:lineRule="exact"/>
              <w:ind w:firstLine="0" w:firstLineChars="0"/>
              <w:jc w:val="center"/>
              <w:rPr>
                <w:rFonts w:hint="eastAsia" w:eastAsia="宋体"/>
                <w:snapToGrid w:val="0"/>
                <w:color w:val="auto"/>
                <w:sz w:val="21"/>
                <w:szCs w:val="21"/>
                <w:highlight w:val="none"/>
                <w:lang w:eastAsia="zh-CN"/>
              </w:rPr>
            </w:pPr>
            <w:r>
              <w:rPr>
                <w:snapToGrid w:val="0"/>
                <w:color w:val="auto"/>
                <w:sz w:val="21"/>
                <w:szCs w:val="21"/>
                <w:highlight w:val="none"/>
              </w:rPr>
              <w:t>可行</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；不可行</w:t>
            </w:r>
            <w:r>
              <w:rPr>
                <w:rFonts w:hint="eastAsia"/>
                <w:snapToGrid w:val="0"/>
                <w:color w:val="auto"/>
                <w:sz w:val="21"/>
                <w:szCs w:val="21"/>
                <w:highlight w:val="none"/>
                <w:lang w:eastAsia="zh-CN"/>
              </w:rPr>
              <w:t>□</w:t>
            </w:r>
          </w:p>
        </w:tc>
      </w:tr>
      <w:tr w14:paraId="48263A8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296" w:hRule="atLeast"/>
        </w:trPr>
        <w:tc>
          <w:tcPr>
            <w:tcW w:w="8336" w:type="dxa"/>
            <w:gridSpan w:val="3"/>
            <w:vAlign w:val="center"/>
          </w:tcPr>
          <w:p w14:paraId="4CB67477">
            <w:pPr>
              <w:tabs>
                <w:tab w:val="left" w:pos="3259"/>
              </w:tabs>
              <w:spacing w:before="0" w:beforeAutospacing="0" w:line="360" w:lineRule="exact"/>
              <w:ind w:firstLine="0" w:firstLineChars="0"/>
              <w:jc w:val="center"/>
              <w:rPr>
                <w:snapToGrid w:val="0"/>
                <w:color w:val="auto"/>
                <w:sz w:val="21"/>
                <w:szCs w:val="21"/>
                <w:highlight w:val="none"/>
              </w:rPr>
            </w:pPr>
            <w:r>
              <w:rPr>
                <w:snapToGrid w:val="0"/>
                <w:color w:val="auto"/>
                <w:sz w:val="21"/>
                <w:szCs w:val="21"/>
                <w:highlight w:val="none"/>
              </w:rPr>
              <w:t>注：“</w:t>
            </w:r>
            <w:r>
              <w:rPr>
                <w:rFonts w:hint="eastAsia" w:eastAsia="宋体"/>
                <w:color w:val="auto"/>
                <w:spacing w:val="0"/>
                <w:w w:val="100"/>
                <w:kern w:val="0"/>
                <w:position w:val="0"/>
                <w:sz w:val="21"/>
                <w:szCs w:val="21"/>
                <w:highlight w:val="none"/>
                <w:lang w:eastAsia="zh-CN"/>
              </w:rPr>
              <w:t>□</w:t>
            </w:r>
            <w:r>
              <w:rPr>
                <w:snapToGrid w:val="0"/>
                <w:color w:val="auto"/>
                <w:sz w:val="21"/>
                <w:szCs w:val="21"/>
                <w:highlight w:val="none"/>
              </w:rPr>
              <w:t>”为勾选项，可√；“（</w:t>
            </w:r>
            <w:r>
              <w:rPr>
                <w:snapToGrid w:val="0"/>
                <w:color w:val="auto"/>
                <w:sz w:val="21"/>
                <w:szCs w:val="21"/>
                <w:highlight w:val="none"/>
              </w:rPr>
              <w:tab/>
            </w:r>
            <w:r>
              <w:rPr>
                <w:snapToGrid w:val="0"/>
                <w:color w:val="auto"/>
                <w:sz w:val="21"/>
                <w:szCs w:val="21"/>
                <w:highlight w:val="none"/>
              </w:rPr>
              <w:t>）”为内容填写项。</w:t>
            </w:r>
          </w:p>
        </w:tc>
      </w:tr>
    </w:tbl>
    <w:p w14:paraId="628014B7">
      <w:pPr>
        <w:pStyle w:val="6"/>
        <w:bidi w:val="0"/>
        <w:rPr>
          <w:color w:val="auto"/>
          <w:highlight w:val="none"/>
        </w:rPr>
      </w:pPr>
      <w:bookmarkStart w:id="689" w:name="_Toc6217"/>
      <w:bookmarkStart w:id="690" w:name="_Toc9717"/>
      <w:bookmarkStart w:id="691" w:name="_Toc32160"/>
      <w:bookmarkStart w:id="692" w:name="_Toc10123"/>
      <w:bookmarkStart w:id="693" w:name="_Toc107413899"/>
      <w:bookmarkStart w:id="694" w:name="_Toc107414666"/>
      <w:bookmarkStart w:id="695" w:name="_Toc13048"/>
      <w:r>
        <w:rPr>
          <w:rFonts w:hint="eastAsia"/>
          <w:color w:val="auto"/>
          <w:highlight w:val="none"/>
        </w:rPr>
        <w:t>5</w:t>
      </w:r>
      <w:r>
        <w:rPr>
          <w:color w:val="auto"/>
          <w:highlight w:val="none"/>
        </w:rPr>
        <w:t>.</w:t>
      </w:r>
      <w:r>
        <w:rPr>
          <w:rFonts w:hint="eastAsia"/>
          <w:color w:val="auto"/>
          <w:highlight w:val="none"/>
          <w:lang w:val="en-US" w:eastAsia="zh-CN"/>
        </w:rPr>
        <w:t>2.8</w:t>
      </w:r>
      <w:r>
        <w:rPr>
          <w:rFonts w:hint="eastAsia"/>
          <w:color w:val="auto"/>
          <w:highlight w:val="none"/>
        </w:rPr>
        <w:t>环境风险分析</w:t>
      </w:r>
      <w:bookmarkEnd w:id="689"/>
      <w:bookmarkEnd w:id="690"/>
      <w:bookmarkEnd w:id="691"/>
      <w:bookmarkEnd w:id="692"/>
      <w:bookmarkEnd w:id="693"/>
      <w:bookmarkEnd w:id="694"/>
      <w:bookmarkEnd w:id="695"/>
    </w:p>
    <w:p w14:paraId="346D2701">
      <w:pPr>
        <w:overflowPunct w:val="0"/>
        <w:topLinePunct/>
        <w:ind w:firstLine="480"/>
        <w:rPr>
          <w:color w:val="auto"/>
          <w:highlight w:val="none"/>
        </w:rPr>
      </w:pPr>
      <w:r>
        <w:rPr>
          <w:color w:val="auto"/>
          <w:highlight w:val="none"/>
        </w:rPr>
        <w:t>根据《建设项目环境风险评价技术导则》（HJ169-2018），建设项目环境风险评价是对建设项目的环境风险进行分析、预测和评估，提出环境风险预防、控制、减缓措施，明确环境风险监控及应急建议要求，为建设项目环境风险防控提供科学依据。</w:t>
      </w:r>
    </w:p>
    <w:p w14:paraId="49CF77B5">
      <w:pPr>
        <w:overflowPunct w:val="0"/>
        <w:topLinePunct/>
        <w:ind w:firstLine="480"/>
        <w:rPr>
          <w:color w:val="auto"/>
          <w:highlight w:val="none"/>
        </w:rPr>
      </w:pPr>
      <w:r>
        <w:rPr>
          <w:color w:val="auto"/>
          <w:highlight w:val="none"/>
        </w:rPr>
        <w:t>本次环境风险评价将把风险事故引起厂界外环境质量的恶化及对人群健康影响的预测和防护作为评价工作重点。按照《建设项目环境风险评价技术导则》（HJ169-2018）的方法，通过分析该工程项目中主要物料的危险性和毒性，识别其潜在危险源并提出防治措施，达到降低危害程度，保护环境的目的。</w:t>
      </w:r>
    </w:p>
    <w:p w14:paraId="2C20BC98">
      <w:pPr>
        <w:pStyle w:val="7"/>
        <w:bidi w:val="0"/>
        <w:rPr>
          <w:color w:val="auto"/>
          <w:highlight w:val="none"/>
        </w:rPr>
      </w:pPr>
      <w:r>
        <w:rPr>
          <w:rFonts w:hint="eastAsia"/>
          <w:color w:val="auto"/>
          <w:highlight w:val="none"/>
          <w:lang w:val="en-US" w:eastAsia="zh-CN"/>
        </w:rPr>
        <w:t>5.2.8.1</w:t>
      </w:r>
      <w:r>
        <w:rPr>
          <w:color w:val="auto"/>
          <w:highlight w:val="none"/>
        </w:rPr>
        <w:t>环境风险评价程序</w:t>
      </w:r>
    </w:p>
    <w:p w14:paraId="11E09F6B">
      <w:pPr>
        <w:bidi w:val="0"/>
        <w:rPr>
          <w:color w:val="auto"/>
          <w:highlight w:val="none"/>
        </w:rPr>
      </w:pPr>
      <w:r>
        <w:rPr>
          <w:rFonts w:hint="eastAsia"/>
          <w:color w:val="auto"/>
          <w:highlight w:val="none"/>
        </w:rPr>
        <w:t>本工程</w:t>
      </w:r>
      <w:r>
        <w:rPr>
          <w:color w:val="auto"/>
          <w:highlight w:val="none"/>
        </w:rPr>
        <w:t>环境风险评价程序详见图5.</w:t>
      </w:r>
      <w:r>
        <w:rPr>
          <w:rFonts w:hint="eastAsia"/>
          <w:color w:val="auto"/>
          <w:highlight w:val="none"/>
          <w:lang w:val="en-US" w:eastAsia="zh-CN"/>
        </w:rPr>
        <w:t>2</w:t>
      </w:r>
      <w:r>
        <w:rPr>
          <w:color w:val="auto"/>
          <w:highlight w:val="none"/>
        </w:rPr>
        <w:t>-</w:t>
      </w:r>
      <w:r>
        <w:rPr>
          <w:rFonts w:hint="eastAsia"/>
          <w:color w:val="auto"/>
          <w:highlight w:val="none"/>
          <w:lang w:val="en-US" w:eastAsia="zh-CN"/>
        </w:rPr>
        <w:t>3</w:t>
      </w:r>
      <w:r>
        <w:rPr>
          <w:color w:val="auto"/>
          <w:highlight w:val="none"/>
        </w:rPr>
        <w:t>。</w:t>
      </w:r>
    </w:p>
    <w:p w14:paraId="283388B6">
      <w:pPr>
        <w:pStyle w:val="19"/>
        <w:bidi w:val="0"/>
        <w:rPr>
          <w:rFonts w:hint="default"/>
          <w:color w:val="auto"/>
          <w:highlight w:val="none"/>
          <w:lang w:val="en-US" w:eastAsia="zh-CN"/>
        </w:rPr>
      </w:pPr>
      <w:r>
        <w:rPr>
          <w:color w:val="auto"/>
          <w:highlight w:val="none"/>
        </w:rPr>
        <w:pict>
          <v:shape id="_x0000_s1028" o:spid="_x0000_s1028" o:spt="75" type="#_x0000_t75" style="position:absolute;left:0pt;margin-left:15.5pt;margin-top:5.1pt;height:510.9pt;width:386.7pt;mso-wrap-distance-bottom:0pt;mso-wrap-distance-top:0pt;z-index:251665408;mso-width-relative:page;mso-height-relative:page;" o:ole="t" filled="f" o:preferrelative="t" stroked="f" coordsize="21600,21600">
            <v:path/>
            <v:fill on="f" focussize="0,0"/>
            <v:stroke on="f"/>
            <v:imagedata r:id="rId59" o:title=""/>
            <o:lock v:ext="edit" aspectratio="t"/>
            <w10:wrap type="topAndBottom"/>
          </v:shape>
          <o:OLEObject Type="Embed" ProgID="Visio.Drawing.11" ShapeID="_x0000_s1028" DrawAspect="Content" ObjectID="_1468075735" r:id="rId58">
            <o:LockedField>false</o:LockedField>
          </o:OLEObject>
        </w:pict>
      </w:r>
      <w:r>
        <w:rPr>
          <w:color w:val="auto"/>
          <w:highlight w:val="none"/>
        </w:rPr>
        <w:t>图5</w:t>
      </w:r>
      <w:r>
        <w:rPr>
          <w:rFonts w:hint="eastAsia"/>
          <w:color w:val="auto"/>
          <w:highlight w:val="none"/>
          <w:lang w:val="en-US" w:eastAsia="zh-CN"/>
        </w:rPr>
        <w:t>.2</w:t>
      </w:r>
      <w:r>
        <w:rPr>
          <w:color w:val="auto"/>
          <w:highlight w:val="none"/>
        </w:rPr>
        <w:t>-</w:t>
      </w:r>
      <w:r>
        <w:rPr>
          <w:rFonts w:hint="eastAsia"/>
          <w:color w:val="auto"/>
          <w:highlight w:val="none"/>
          <w:lang w:val="en-US" w:eastAsia="zh-CN"/>
        </w:rPr>
        <w:t>3</w:t>
      </w:r>
      <w:r>
        <w:rPr>
          <w:color w:val="auto"/>
          <w:highlight w:val="none"/>
        </w:rPr>
        <w:t xml:space="preserve">    环境风险评价工作程序图</w:t>
      </w:r>
    </w:p>
    <w:p w14:paraId="33ADB435">
      <w:pPr>
        <w:pStyle w:val="7"/>
        <w:bidi w:val="0"/>
        <w:rPr>
          <w:color w:val="auto"/>
          <w:highlight w:val="none"/>
        </w:rPr>
      </w:pPr>
      <w:r>
        <w:rPr>
          <w:color w:val="auto"/>
          <w:highlight w:val="none"/>
        </w:rPr>
        <w:t>5.</w:t>
      </w:r>
      <w:r>
        <w:rPr>
          <w:rFonts w:hint="eastAsia"/>
          <w:color w:val="auto"/>
          <w:highlight w:val="none"/>
          <w:lang w:val="en-US" w:eastAsia="zh-CN"/>
        </w:rPr>
        <w:t>2.8.2</w:t>
      </w:r>
      <w:r>
        <w:rPr>
          <w:color w:val="auto"/>
          <w:highlight w:val="none"/>
        </w:rPr>
        <w:t>风险调查</w:t>
      </w:r>
    </w:p>
    <w:p w14:paraId="208BF7E0">
      <w:pPr>
        <w:bidi w:val="0"/>
        <w:rPr>
          <w:color w:val="auto"/>
          <w:highlight w:val="none"/>
        </w:rPr>
      </w:pPr>
      <w:r>
        <w:rPr>
          <w:rFonts w:hint="eastAsia"/>
          <w:color w:val="auto"/>
          <w:highlight w:val="none"/>
          <w:lang w:eastAsia="zh-CN"/>
        </w:rPr>
        <w:t>（</w:t>
      </w:r>
      <w:r>
        <w:rPr>
          <w:rFonts w:hint="eastAsia"/>
          <w:color w:val="auto"/>
          <w:highlight w:val="none"/>
          <w:lang w:val="en-US" w:eastAsia="zh-CN"/>
        </w:rPr>
        <w:t>1）</w:t>
      </w:r>
      <w:r>
        <w:rPr>
          <w:color w:val="auto"/>
          <w:highlight w:val="none"/>
        </w:rPr>
        <w:t>风险源调查</w:t>
      </w:r>
    </w:p>
    <w:p w14:paraId="411B3081">
      <w:pPr>
        <w:overflowPunct w:val="0"/>
        <w:topLinePunct/>
        <w:adjustRightInd w:val="0"/>
        <w:snapToGrid w:val="0"/>
        <w:ind w:firstLine="480"/>
        <w:rPr>
          <w:rFonts w:hint="eastAsia" w:eastAsia="宋体"/>
          <w:color w:val="auto"/>
          <w:highlight w:val="none"/>
          <w:lang w:eastAsia="zh-CN"/>
        </w:rPr>
      </w:pPr>
      <w:r>
        <w:rPr>
          <w:rFonts w:hint="eastAsia"/>
          <w:color w:val="auto"/>
          <w:highlight w:val="none"/>
          <w:lang w:val="en-US" w:eastAsia="zh-CN"/>
        </w:rPr>
        <w:t>①</w:t>
      </w:r>
      <w:r>
        <w:rPr>
          <w:rFonts w:hint="eastAsia"/>
          <w:color w:val="auto"/>
          <w:highlight w:val="none"/>
        </w:rPr>
        <w:t>物质危险性</w:t>
      </w:r>
      <w:r>
        <w:rPr>
          <w:rFonts w:hint="eastAsia"/>
          <w:color w:val="auto"/>
          <w:highlight w:val="none"/>
          <w:lang w:val="en-US" w:eastAsia="zh-CN"/>
        </w:rPr>
        <w:t>调查</w:t>
      </w:r>
    </w:p>
    <w:p w14:paraId="706CA46D">
      <w:pPr>
        <w:spacing w:line="480" w:lineRule="exact"/>
        <w:ind w:firstLine="480" w:firstLineChars="200"/>
        <w:rPr>
          <w:color w:val="auto"/>
          <w:sz w:val="24"/>
          <w:highlight w:val="none"/>
        </w:rPr>
      </w:pPr>
      <w:r>
        <w:rPr>
          <w:color w:val="auto"/>
          <w:sz w:val="24"/>
          <w:highlight w:val="none"/>
        </w:rPr>
        <w:t>物质风险源指存在物质意外释放，并可能产生环境危害的源。</w:t>
      </w:r>
      <w:r>
        <w:rPr>
          <w:rFonts w:hint="eastAsia"/>
          <w:color w:val="auto"/>
          <w:sz w:val="24"/>
          <w:szCs w:val="24"/>
          <w:highlight w:val="none"/>
        </w:rPr>
        <w:t>本工程运行过程中涉及的危险物质为炸药（硝酸铵）</w:t>
      </w:r>
      <w:r>
        <w:rPr>
          <w:rFonts w:hint="eastAsia"/>
          <w:color w:val="auto"/>
          <w:sz w:val="24"/>
          <w:szCs w:val="24"/>
          <w:highlight w:val="none"/>
          <w:lang w:eastAsia="zh-CN"/>
        </w:rPr>
        <w:t>、</w:t>
      </w:r>
      <w:r>
        <w:rPr>
          <w:rFonts w:hint="eastAsia"/>
          <w:color w:val="auto"/>
          <w:sz w:val="24"/>
          <w:szCs w:val="24"/>
          <w:highlight w:val="none"/>
          <w:lang w:val="en-US" w:eastAsia="zh-CN"/>
        </w:rPr>
        <w:t>柴油、硫酸</w:t>
      </w:r>
      <w:r>
        <w:rPr>
          <w:rFonts w:hint="eastAsia"/>
          <w:color w:val="auto"/>
          <w:sz w:val="24"/>
          <w:szCs w:val="24"/>
          <w:highlight w:val="none"/>
        </w:rPr>
        <w:t>及废机油</w:t>
      </w:r>
      <w:r>
        <w:rPr>
          <w:color w:val="auto"/>
          <w:sz w:val="24"/>
          <w:highlight w:val="none"/>
        </w:rPr>
        <w:t>。</w:t>
      </w:r>
    </w:p>
    <w:p w14:paraId="509B4E0B">
      <w:pPr>
        <w:overflowPunct w:val="0"/>
        <w:topLinePunct/>
        <w:ind w:firstLine="480"/>
        <w:rPr>
          <w:color w:val="auto"/>
          <w:highlight w:val="none"/>
        </w:rPr>
      </w:pPr>
      <w:r>
        <w:rPr>
          <w:rFonts w:hint="eastAsia"/>
          <w:color w:val="auto"/>
          <w:highlight w:val="none"/>
          <w:lang w:val="en-US" w:eastAsia="zh-CN"/>
        </w:rPr>
        <w:t>②</w:t>
      </w:r>
      <w:r>
        <w:rPr>
          <w:rFonts w:hint="eastAsia"/>
          <w:color w:val="auto"/>
          <w:highlight w:val="none"/>
        </w:rPr>
        <w:t>生产单元（设施）危险性识别</w:t>
      </w:r>
    </w:p>
    <w:p w14:paraId="7BDB25C7">
      <w:pPr>
        <w:overflowPunct w:val="0"/>
        <w:topLinePunct/>
        <w:adjustRightInd w:val="0"/>
        <w:snapToGrid w:val="0"/>
        <w:ind w:firstLine="480"/>
        <w:rPr>
          <w:rFonts w:hint="eastAsia"/>
          <w:color w:val="auto"/>
          <w:highlight w:val="none"/>
          <w:lang w:val="en-US" w:eastAsia="zh-CN"/>
        </w:rPr>
      </w:pPr>
      <w:r>
        <w:rPr>
          <w:color w:val="auto"/>
          <w:highlight w:val="none"/>
        </w:rPr>
        <w:t>1）</w:t>
      </w:r>
      <w:r>
        <w:rPr>
          <w:rFonts w:hint="eastAsia"/>
          <w:color w:val="auto"/>
          <w:highlight w:val="none"/>
          <w:lang w:val="en-US" w:eastAsia="zh-CN"/>
        </w:rPr>
        <w:t>采矿厂</w:t>
      </w:r>
    </w:p>
    <w:p w14:paraId="2B136237">
      <w:pPr>
        <w:bidi w:val="0"/>
        <w:rPr>
          <w:color w:val="auto"/>
          <w:highlight w:val="none"/>
        </w:rPr>
      </w:pPr>
      <w:r>
        <w:rPr>
          <w:rFonts w:hint="eastAsia"/>
          <w:color w:val="auto"/>
          <w:highlight w:val="none"/>
        </w:rPr>
        <w:t>本工程</w:t>
      </w:r>
      <w:r>
        <w:rPr>
          <w:color w:val="auto"/>
          <w:highlight w:val="none"/>
        </w:rPr>
        <w:t>为</w:t>
      </w:r>
      <w:r>
        <w:rPr>
          <w:rFonts w:hint="eastAsia"/>
          <w:color w:val="auto"/>
          <w:highlight w:val="none"/>
        </w:rPr>
        <w:t>地下</w:t>
      </w:r>
      <w:r>
        <w:rPr>
          <w:color w:val="auto"/>
          <w:highlight w:val="none"/>
        </w:rPr>
        <w:t>采矿工程生产系统</w:t>
      </w:r>
      <w:r>
        <w:rPr>
          <w:rFonts w:hint="eastAsia"/>
          <w:color w:val="auto"/>
          <w:highlight w:val="none"/>
        </w:rPr>
        <w:t>，</w:t>
      </w:r>
      <w:r>
        <w:rPr>
          <w:color w:val="auto"/>
          <w:highlight w:val="none"/>
        </w:rPr>
        <w:t>地下开采过程中不安全因素较多。各种风险事故多发生于井下，事故严重则会</w:t>
      </w:r>
      <w:r>
        <w:rPr>
          <w:rFonts w:hint="eastAsia"/>
          <w:color w:val="auto"/>
          <w:highlight w:val="none"/>
          <w:lang w:eastAsia="zh-CN"/>
        </w:rPr>
        <w:t>波及</w:t>
      </w:r>
      <w:r>
        <w:rPr>
          <w:color w:val="auto"/>
          <w:highlight w:val="none"/>
        </w:rPr>
        <w:t>地面，</w:t>
      </w:r>
      <w:r>
        <w:rPr>
          <w:rFonts w:hint="eastAsia"/>
          <w:color w:val="auto"/>
          <w:highlight w:val="none"/>
          <w:lang w:val="en-US" w:eastAsia="zh-CN"/>
        </w:rPr>
        <w:t>萤石矿</w:t>
      </w:r>
      <w:r>
        <w:rPr>
          <w:color w:val="auto"/>
          <w:highlight w:val="none"/>
        </w:rPr>
        <w:t>采掘过程中潜在的风险主要有采掘工作面冒顶、矿井透水事故；地面环境风险事故主要为</w:t>
      </w:r>
      <w:r>
        <w:rPr>
          <w:rFonts w:hint="eastAsia"/>
          <w:color w:val="auto"/>
          <w:highlight w:val="none"/>
          <w:lang w:val="en-US" w:eastAsia="zh-CN"/>
        </w:rPr>
        <w:t>废机油</w:t>
      </w:r>
      <w:r>
        <w:rPr>
          <w:color w:val="auto"/>
          <w:highlight w:val="none"/>
        </w:rPr>
        <w:t>泄漏对地下水环境的影响，以及</w:t>
      </w:r>
      <w:r>
        <w:rPr>
          <w:rFonts w:hint="eastAsia"/>
          <w:color w:val="auto"/>
          <w:highlight w:val="none"/>
        </w:rPr>
        <w:t>炸药</w:t>
      </w:r>
      <w:r>
        <w:rPr>
          <w:color w:val="auto"/>
          <w:highlight w:val="none"/>
        </w:rPr>
        <w:t>发生火灾、爆炸次生污染物对大气环境的影响等。</w:t>
      </w:r>
    </w:p>
    <w:p w14:paraId="55D27F99">
      <w:pPr>
        <w:bidi w:val="0"/>
        <w:rPr>
          <w:rFonts w:hint="default"/>
          <w:color w:val="auto"/>
          <w:highlight w:val="none"/>
          <w:lang w:val="en-US" w:eastAsia="zh-CN"/>
        </w:rPr>
      </w:pPr>
      <w:r>
        <w:rPr>
          <w:rFonts w:hint="eastAsia"/>
          <w:color w:val="auto"/>
          <w:highlight w:val="none"/>
          <w:lang w:val="en-US" w:eastAsia="zh-CN"/>
        </w:rPr>
        <w:t>2）选矿厂</w:t>
      </w:r>
    </w:p>
    <w:p w14:paraId="16470779">
      <w:pPr>
        <w:bidi w:val="0"/>
        <w:rPr>
          <w:color w:val="auto"/>
          <w:highlight w:val="none"/>
        </w:rPr>
      </w:pPr>
      <w:r>
        <w:rPr>
          <w:color w:val="auto"/>
          <w:highlight w:val="none"/>
        </w:rPr>
        <w:t>本项目选矿废水闭路循环，不外排。选矿水循环系统因设备老化、故障、操作不当以及建筑破损等原因可能发生选矿废水泄漏事故。</w:t>
      </w:r>
    </w:p>
    <w:p w14:paraId="2FE8887E">
      <w:pPr>
        <w:overflowPunct w:val="0"/>
        <w:topLinePunct/>
        <w:adjustRightInd w:val="0"/>
        <w:snapToGrid w:val="0"/>
        <w:ind w:firstLine="480"/>
        <w:rPr>
          <w:color w:val="auto"/>
          <w:highlight w:val="none"/>
        </w:rPr>
      </w:pPr>
      <w:r>
        <w:rPr>
          <w:rFonts w:hint="eastAsia"/>
          <w:color w:val="auto"/>
          <w:highlight w:val="none"/>
          <w:lang w:val="en-US" w:eastAsia="zh-CN"/>
        </w:rPr>
        <w:t>3</w:t>
      </w:r>
      <w:r>
        <w:rPr>
          <w:color w:val="auto"/>
          <w:highlight w:val="none"/>
        </w:rPr>
        <w:t>）尾矿库</w:t>
      </w:r>
    </w:p>
    <w:p w14:paraId="4FBA1C18">
      <w:pPr>
        <w:overflowPunct w:val="0"/>
        <w:topLinePunct/>
        <w:adjustRightInd w:val="0"/>
        <w:snapToGrid w:val="0"/>
        <w:ind w:firstLine="480"/>
        <w:rPr>
          <w:color w:val="auto"/>
          <w:highlight w:val="none"/>
        </w:rPr>
      </w:pPr>
      <w:r>
        <w:rPr>
          <w:rFonts w:hint="eastAsia"/>
          <w:color w:val="auto"/>
          <w:highlight w:val="none"/>
          <w:lang w:val="en-US" w:eastAsia="zh-CN"/>
        </w:rPr>
        <w:t>a.</w:t>
      </w:r>
      <w:r>
        <w:rPr>
          <w:rFonts w:hint="eastAsia"/>
          <w:color w:val="auto"/>
          <w:highlight w:val="none"/>
        </w:rPr>
        <w:t>尾矿排放</w:t>
      </w:r>
    </w:p>
    <w:p w14:paraId="11E7499B">
      <w:pPr>
        <w:overflowPunct w:val="0"/>
        <w:topLinePunct/>
        <w:adjustRightInd w:val="0"/>
        <w:snapToGrid w:val="0"/>
        <w:ind w:firstLine="480"/>
        <w:rPr>
          <w:color w:val="auto"/>
          <w:highlight w:val="none"/>
        </w:rPr>
      </w:pPr>
      <w:r>
        <w:rPr>
          <w:rFonts w:hint="eastAsia"/>
          <w:color w:val="auto"/>
          <w:highlight w:val="none"/>
        </w:rPr>
        <w:t>若尾矿库溃坝，则可能造成人身安全、财产损失、环境污染、生态破坏等突发环境事件。</w:t>
      </w:r>
    </w:p>
    <w:p w14:paraId="55906D1E">
      <w:pPr>
        <w:overflowPunct w:val="0"/>
        <w:topLinePunct/>
        <w:adjustRightInd w:val="0"/>
        <w:snapToGrid w:val="0"/>
        <w:ind w:firstLine="480"/>
        <w:rPr>
          <w:color w:val="auto"/>
          <w:highlight w:val="none"/>
        </w:rPr>
      </w:pPr>
      <w:r>
        <w:rPr>
          <w:rFonts w:hint="eastAsia"/>
          <w:color w:val="auto"/>
          <w:highlight w:val="none"/>
          <w:lang w:val="en-US" w:eastAsia="zh-CN"/>
        </w:rPr>
        <w:t>b.</w:t>
      </w:r>
      <w:r>
        <w:rPr>
          <w:rFonts w:hint="eastAsia"/>
          <w:color w:val="auto"/>
          <w:highlight w:val="none"/>
        </w:rPr>
        <w:t>管道破裂、渗漏</w:t>
      </w:r>
    </w:p>
    <w:p w14:paraId="43553C79">
      <w:pPr>
        <w:overflowPunct w:val="0"/>
        <w:topLinePunct/>
        <w:adjustRightInd w:val="0"/>
        <w:snapToGrid w:val="0"/>
        <w:ind w:firstLine="480"/>
        <w:rPr>
          <w:color w:val="auto"/>
          <w:highlight w:val="none"/>
        </w:rPr>
      </w:pPr>
      <w:r>
        <w:rPr>
          <w:rFonts w:hint="eastAsia"/>
          <w:color w:val="auto"/>
          <w:highlight w:val="none"/>
        </w:rPr>
        <w:t>尾矿浆通过总砂泵站统一把尾砂输送至尾矿库多点均匀放矿。输送管路</w:t>
      </w:r>
      <w:r>
        <w:rPr>
          <w:rFonts w:hint="eastAsia"/>
          <w:color w:val="auto"/>
          <w:highlight w:val="none"/>
          <w:lang w:eastAsia="zh-CN"/>
        </w:rPr>
        <w:t>采用</w:t>
      </w:r>
      <w:r>
        <w:rPr>
          <w:rFonts w:hint="eastAsia"/>
          <w:color w:val="auto"/>
          <w:highlight w:val="none"/>
        </w:rPr>
        <w:t>全长</w:t>
      </w:r>
      <w:r>
        <w:rPr>
          <w:rFonts w:hint="eastAsia"/>
          <w:color w:val="auto"/>
          <w:highlight w:val="none"/>
          <w:lang w:val="en-US" w:eastAsia="zh-CN"/>
        </w:rPr>
        <w:t>3.15</w:t>
      </w:r>
      <w:r>
        <w:rPr>
          <w:rFonts w:hint="eastAsia"/>
          <w:color w:val="auto"/>
          <w:highlight w:val="none"/>
        </w:rPr>
        <w:t>km耐磨管道输送至坝前。尾矿输送管路如遇施工机械破坏或其他人为破坏，可能发生管道破裂、尾矿浆泄漏事故，可能会导致废水渗漏、外泄，致使周边土壤环境、地表水及地下水等受污染。</w:t>
      </w:r>
    </w:p>
    <w:p w14:paraId="59110A5C">
      <w:pPr>
        <w:overflowPunct w:val="0"/>
        <w:topLinePunct/>
        <w:adjustRightInd w:val="0"/>
        <w:snapToGrid w:val="0"/>
        <w:ind w:firstLine="480"/>
        <w:rPr>
          <w:color w:val="auto"/>
          <w:highlight w:val="none"/>
        </w:rPr>
      </w:pPr>
      <w:r>
        <w:rPr>
          <w:rFonts w:hint="eastAsia"/>
          <w:color w:val="auto"/>
          <w:highlight w:val="none"/>
          <w:lang w:val="en-US" w:eastAsia="zh-CN"/>
        </w:rPr>
        <w:t>③</w:t>
      </w:r>
      <w:r>
        <w:rPr>
          <w:rFonts w:hint="eastAsia"/>
          <w:color w:val="auto"/>
          <w:highlight w:val="none"/>
        </w:rPr>
        <w:t>存储系统风险识别</w:t>
      </w:r>
    </w:p>
    <w:p w14:paraId="30EBBE02">
      <w:pPr>
        <w:overflowPunct w:val="0"/>
        <w:topLinePunct/>
        <w:adjustRightInd w:val="0"/>
        <w:snapToGrid w:val="0"/>
        <w:ind w:firstLine="480"/>
        <w:rPr>
          <w:color w:val="auto"/>
          <w:highlight w:val="none"/>
        </w:rPr>
      </w:pPr>
      <w:r>
        <w:rPr>
          <w:rFonts w:hint="eastAsia"/>
          <w:color w:val="auto"/>
          <w:highlight w:val="none"/>
        </w:rPr>
        <w:t>原料如</w:t>
      </w:r>
      <w:r>
        <w:rPr>
          <w:rFonts w:hint="eastAsia"/>
          <w:color w:val="auto"/>
          <w:highlight w:val="none"/>
          <w:lang w:eastAsia="zh-CN"/>
        </w:rPr>
        <w:t>柴油、</w:t>
      </w:r>
      <w:r>
        <w:rPr>
          <w:rFonts w:hint="eastAsia"/>
          <w:color w:val="auto"/>
          <w:highlight w:val="none"/>
          <w:lang w:val="en-US" w:eastAsia="zh-CN"/>
        </w:rPr>
        <w:t>炸药</w:t>
      </w:r>
      <w:r>
        <w:rPr>
          <w:rFonts w:hint="eastAsia"/>
          <w:color w:val="auto"/>
          <w:highlight w:val="none"/>
        </w:rPr>
        <w:t>等危险品储存、装卸、运输中可能由于碰撞、震动、挤压等，同时由于操作不当、重装重卸、容器多次回收利用后强度下降，垫圈没有拧紧等原因造成物品泄漏，甚至引起火灾事故。</w:t>
      </w:r>
    </w:p>
    <w:p w14:paraId="2C1B2714">
      <w:pPr>
        <w:bidi w:val="0"/>
        <w:rPr>
          <w:color w:val="auto"/>
          <w:highlight w:val="none"/>
        </w:rPr>
      </w:pPr>
      <w:r>
        <w:rPr>
          <w:rFonts w:hint="eastAsia"/>
          <w:color w:val="auto"/>
          <w:highlight w:val="none"/>
          <w:lang w:eastAsia="zh-CN"/>
        </w:rPr>
        <w:t>（</w:t>
      </w:r>
      <w:r>
        <w:rPr>
          <w:rFonts w:hint="eastAsia"/>
          <w:color w:val="auto"/>
          <w:highlight w:val="none"/>
          <w:lang w:val="en-US" w:eastAsia="zh-CN"/>
        </w:rPr>
        <w:t>2）</w:t>
      </w:r>
      <w:r>
        <w:rPr>
          <w:color w:val="auto"/>
          <w:highlight w:val="none"/>
        </w:rPr>
        <w:t>环境敏感目标调查</w:t>
      </w:r>
    </w:p>
    <w:p w14:paraId="531A86CB">
      <w:pPr>
        <w:ind w:firstLine="0" w:firstLineChars="0"/>
        <w:jc w:val="center"/>
        <w:rPr>
          <w:b/>
          <w:color w:val="auto"/>
          <w:kern w:val="0"/>
          <w:szCs w:val="21"/>
          <w:highlight w:val="none"/>
          <w:lang w:val="zh-CN"/>
        </w:rPr>
      </w:pPr>
      <w:r>
        <w:rPr>
          <w:b/>
          <w:color w:val="auto"/>
          <w:kern w:val="0"/>
          <w:szCs w:val="21"/>
          <w:highlight w:val="none"/>
          <w:lang w:val="zh-CN"/>
        </w:rPr>
        <w:t>表</w:t>
      </w:r>
      <w:r>
        <w:rPr>
          <w:b/>
          <w:color w:val="auto"/>
          <w:kern w:val="0"/>
          <w:szCs w:val="21"/>
          <w:highlight w:val="none"/>
        </w:rPr>
        <w:t>5.</w:t>
      </w:r>
      <w:r>
        <w:rPr>
          <w:rFonts w:hint="eastAsia"/>
          <w:b/>
          <w:color w:val="auto"/>
          <w:kern w:val="0"/>
          <w:szCs w:val="21"/>
          <w:highlight w:val="none"/>
          <w:lang w:val="en-US" w:eastAsia="zh-CN"/>
        </w:rPr>
        <w:t>2</w:t>
      </w:r>
      <w:r>
        <w:rPr>
          <w:b/>
          <w:color w:val="auto"/>
          <w:kern w:val="0"/>
          <w:szCs w:val="21"/>
          <w:highlight w:val="none"/>
        </w:rPr>
        <w:t>-</w:t>
      </w:r>
      <w:r>
        <w:rPr>
          <w:rFonts w:hint="eastAsia"/>
          <w:b/>
          <w:color w:val="auto"/>
          <w:kern w:val="0"/>
          <w:szCs w:val="21"/>
          <w:highlight w:val="none"/>
          <w:lang w:val="en-US" w:eastAsia="zh-CN"/>
        </w:rPr>
        <w:t>35</w:t>
      </w:r>
      <w:r>
        <w:rPr>
          <w:b/>
          <w:color w:val="auto"/>
          <w:kern w:val="0"/>
          <w:szCs w:val="21"/>
          <w:highlight w:val="none"/>
        </w:rPr>
        <w:t xml:space="preserve">    </w:t>
      </w:r>
      <w:r>
        <w:rPr>
          <w:b/>
          <w:color w:val="auto"/>
          <w:kern w:val="0"/>
          <w:szCs w:val="21"/>
          <w:highlight w:val="none"/>
          <w:lang w:val="zh-CN"/>
        </w:rPr>
        <w:t>调查范围内环境敏感目标一览表</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3"/>
        <w:gridCol w:w="929"/>
        <w:gridCol w:w="1512"/>
        <w:gridCol w:w="1560"/>
        <w:gridCol w:w="1200"/>
        <w:gridCol w:w="1140"/>
        <w:gridCol w:w="1208"/>
      </w:tblGrid>
      <w:tr w14:paraId="6AE06F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tblHeader/>
          <w:jc w:val="center"/>
        </w:trPr>
        <w:tc>
          <w:tcPr>
            <w:tcW w:w="973" w:type="dxa"/>
            <w:tcBorders>
              <w:bottom w:val="single" w:color="auto" w:sz="6" w:space="0"/>
              <w:right w:val="single" w:color="auto" w:sz="6" w:space="0"/>
            </w:tcBorders>
            <w:vAlign w:val="center"/>
          </w:tcPr>
          <w:p w14:paraId="1BB8A4FB">
            <w:pPr>
              <w:spacing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类别</w:t>
            </w:r>
          </w:p>
        </w:tc>
        <w:tc>
          <w:tcPr>
            <w:tcW w:w="7549" w:type="dxa"/>
            <w:gridSpan w:val="6"/>
            <w:tcBorders>
              <w:left w:val="single" w:color="auto" w:sz="6" w:space="0"/>
              <w:bottom w:val="single" w:color="auto" w:sz="6" w:space="0"/>
            </w:tcBorders>
            <w:vAlign w:val="center"/>
          </w:tcPr>
          <w:p w14:paraId="5F303169">
            <w:pPr>
              <w:spacing w:line="360" w:lineRule="exact"/>
              <w:ind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环境敏感特征</w:t>
            </w:r>
          </w:p>
        </w:tc>
      </w:tr>
      <w:tr w14:paraId="215703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tblHeader/>
          <w:jc w:val="center"/>
        </w:trPr>
        <w:tc>
          <w:tcPr>
            <w:tcW w:w="973" w:type="dxa"/>
            <w:vMerge w:val="restart"/>
            <w:tcBorders>
              <w:top w:val="single" w:color="auto" w:sz="6" w:space="0"/>
              <w:bottom w:val="single" w:color="auto" w:sz="6" w:space="0"/>
              <w:right w:val="single" w:color="auto" w:sz="6" w:space="0"/>
            </w:tcBorders>
            <w:vAlign w:val="center"/>
          </w:tcPr>
          <w:p w14:paraId="37042382">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w:t>
            </w:r>
          </w:p>
          <w:p w14:paraId="5F8BB99A">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空气</w:t>
            </w:r>
          </w:p>
        </w:tc>
        <w:tc>
          <w:tcPr>
            <w:tcW w:w="7549" w:type="dxa"/>
            <w:gridSpan w:val="6"/>
            <w:tcBorders>
              <w:top w:val="single" w:color="auto" w:sz="6" w:space="0"/>
              <w:left w:val="single" w:color="auto" w:sz="6" w:space="0"/>
              <w:bottom w:val="single" w:color="auto" w:sz="6" w:space="0"/>
            </w:tcBorders>
            <w:vAlign w:val="center"/>
          </w:tcPr>
          <w:p w14:paraId="31A1DBA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厂址周边5km范围内</w:t>
            </w:r>
          </w:p>
        </w:tc>
      </w:tr>
      <w:tr w14:paraId="5C24FF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tblHeader/>
          <w:jc w:val="center"/>
        </w:trPr>
        <w:tc>
          <w:tcPr>
            <w:tcW w:w="973" w:type="dxa"/>
            <w:vMerge w:val="continue"/>
            <w:tcBorders>
              <w:top w:val="single" w:color="auto" w:sz="6" w:space="0"/>
              <w:bottom w:val="single" w:color="auto" w:sz="6" w:space="0"/>
              <w:right w:val="single" w:color="auto" w:sz="6" w:space="0"/>
            </w:tcBorders>
            <w:vAlign w:val="center"/>
          </w:tcPr>
          <w:p w14:paraId="69447F81">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929" w:type="dxa"/>
            <w:tcBorders>
              <w:top w:val="single" w:color="auto" w:sz="6" w:space="0"/>
              <w:left w:val="single" w:color="auto" w:sz="6" w:space="0"/>
              <w:bottom w:val="single" w:color="auto" w:sz="6" w:space="0"/>
              <w:right w:val="single" w:color="auto" w:sz="6" w:space="0"/>
            </w:tcBorders>
            <w:vAlign w:val="center"/>
          </w:tcPr>
          <w:p w14:paraId="3A929740">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1512" w:type="dxa"/>
            <w:tcBorders>
              <w:top w:val="single" w:color="auto" w:sz="6" w:space="0"/>
              <w:left w:val="single" w:color="auto" w:sz="6" w:space="0"/>
              <w:bottom w:val="single" w:color="auto" w:sz="6" w:space="0"/>
              <w:right w:val="single" w:color="auto" w:sz="6" w:space="0"/>
            </w:tcBorders>
            <w:vAlign w:val="center"/>
          </w:tcPr>
          <w:p w14:paraId="12609DF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敏感目标名称</w:t>
            </w:r>
          </w:p>
        </w:tc>
        <w:tc>
          <w:tcPr>
            <w:tcW w:w="1560" w:type="dxa"/>
            <w:tcBorders>
              <w:top w:val="single" w:color="auto" w:sz="6" w:space="0"/>
              <w:left w:val="single" w:color="auto" w:sz="6" w:space="0"/>
              <w:bottom w:val="single" w:color="auto" w:sz="6" w:space="0"/>
              <w:right w:val="single" w:color="auto" w:sz="6" w:space="0"/>
            </w:tcBorders>
            <w:vAlign w:val="center"/>
          </w:tcPr>
          <w:p w14:paraId="6577E55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相对方位</w:t>
            </w:r>
          </w:p>
        </w:tc>
        <w:tc>
          <w:tcPr>
            <w:tcW w:w="1200" w:type="dxa"/>
            <w:tcBorders>
              <w:top w:val="single" w:color="auto" w:sz="6" w:space="0"/>
              <w:left w:val="single" w:color="auto" w:sz="6" w:space="0"/>
              <w:bottom w:val="single" w:color="auto" w:sz="6" w:space="0"/>
              <w:right w:val="single" w:color="auto" w:sz="6" w:space="0"/>
            </w:tcBorders>
            <w:vAlign w:val="center"/>
          </w:tcPr>
          <w:p w14:paraId="4008AF9A">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距离/m</w:t>
            </w:r>
          </w:p>
        </w:tc>
        <w:tc>
          <w:tcPr>
            <w:tcW w:w="1140" w:type="dxa"/>
            <w:tcBorders>
              <w:top w:val="single" w:color="auto" w:sz="6" w:space="0"/>
              <w:left w:val="single" w:color="auto" w:sz="6" w:space="0"/>
              <w:bottom w:val="single" w:color="auto" w:sz="6" w:space="0"/>
              <w:right w:val="single" w:color="auto" w:sz="6" w:space="0"/>
            </w:tcBorders>
            <w:vAlign w:val="center"/>
          </w:tcPr>
          <w:p w14:paraId="314AC1DA">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属性</w:t>
            </w:r>
          </w:p>
        </w:tc>
        <w:tc>
          <w:tcPr>
            <w:tcW w:w="1208" w:type="dxa"/>
            <w:tcBorders>
              <w:top w:val="single" w:color="auto" w:sz="6" w:space="0"/>
              <w:left w:val="single" w:color="auto" w:sz="6" w:space="0"/>
              <w:bottom w:val="single" w:color="auto" w:sz="6" w:space="0"/>
            </w:tcBorders>
            <w:vAlign w:val="center"/>
          </w:tcPr>
          <w:p w14:paraId="7DE5BFDC">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人口数</w:t>
            </w:r>
          </w:p>
        </w:tc>
      </w:tr>
      <w:tr w14:paraId="2F4060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571084F2">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929" w:type="dxa"/>
            <w:tcBorders>
              <w:top w:val="single" w:color="auto" w:sz="6" w:space="0"/>
              <w:left w:val="single" w:color="auto" w:sz="6" w:space="0"/>
              <w:bottom w:val="single" w:color="auto" w:sz="6" w:space="0"/>
              <w:right w:val="single" w:color="auto" w:sz="6" w:space="0"/>
            </w:tcBorders>
            <w:vAlign w:val="center"/>
          </w:tcPr>
          <w:p w14:paraId="443EEF0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512" w:type="dxa"/>
            <w:tcBorders>
              <w:top w:val="single" w:color="auto" w:sz="6" w:space="0"/>
              <w:left w:val="single" w:color="auto" w:sz="6" w:space="0"/>
              <w:bottom w:val="single" w:color="auto" w:sz="6" w:space="0"/>
              <w:right w:val="single" w:color="auto" w:sz="6" w:space="0"/>
            </w:tcBorders>
            <w:vAlign w:val="center"/>
          </w:tcPr>
          <w:p w14:paraId="1CEAA4C9">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560" w:type="dxa"/>
            <w:tcBorders>
              <w:top w:val="single" w:color="auto" w:sz="6" w:space="0"/>
              <w:left w:val="single" w:color="auto" w:sz="6" w:space="0"/>
              <w:bottom w:val="single" w:color="auto" w:sz="6" w:space="0"/>
              <w:right w:val="single" w:color="auto" w:sz="6" w:space="0"/>
            </w:tcBorders>
            <w:vAlign w:val="center"/>
          </w:tcPr>
          <w:p w14:paraId="636C4EA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200" w:type="dxa"/>
            <w:tcBorders>
              <w:top w:val="single" w:color="auto" w:sz="6" w:space="0"/>
              <w:left w:val="single" w:color="auto" w:sz="6" w:space="0"/>
              <w:bottom w:val="single" w:color="auto" w:sz="6" w:space="0"/>
              <w:right w:val="single" w:color="auto" w:sz="6" w:space="0"/>
            </w:tcBorders>
            <w:vAlign w:val="center"/>
          </w:tcPr>
          <w:p w14:paraId="13DAFB94">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40" w:type="dxa"/>
            <w:tcBorders>
              <w:top w:val="single" w:color="auto" w:sz="6" w:space="0"/>
              <w:left w:val="single" w:color="auto" w:sz="6" w:space="0"/>
              <w:bottom w:val="single" w:color="auto" w:sz="6" w:space="0"/>
              <w:right w:val="single" w:color="auto" w:sz="6" w:space="0"/>
            </w:tcBorders>
            <w:vAlign w:val="center"/>
          </w:tcPr>
          <w:p w14:paraId="60BBFCF1">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208" w:type="dxa"/>
            <w:tcBorders>
              <w:top w:val="single" w:color="auto" w:sz="6" w:space="0"/>
              <w:left w:val="single" w:color="auto" w:sz="6" w:space="0"/>
              <w:bottom w:val="single" w:color="auto" w:sz="6" w:space="0"/>
            </w:tcBorders>
            <w:vAlign w:val="center"/>
          </w:tcPr>
          <w:p w14:paraId="257CE5B3">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1BBDF5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6FFD6366">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6341" w:type="dxa"/>
            <w:gridSpan w:val="5"/>
            <w:tcBorders>
              <w:top w:val="single" w:color="auto" w:sz="6" w:space="0"/>
              <w:left w:val="single" w:color="auto" w:sz="6" w:space="0"/>
              <w:bottom w:val="single" w:color="auto" w:sz="6" w:space="0"/>
              <w:right w:val="single" w:color="auto" w:sz="6" w:space="0"/>
            </w:tcBorders>
            <w:vAlign w:val="center"/>
          </w:tcPr>
          <w:p w14:paraId="6FE6F6D7">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厂址周边500m范围内人口数小计</w:t>
            </w:r>
          </w:p>
        </w:tc>
        <w:tc>
          <w:tcPr>
            <w:tcW w:w="1208" w:type="dxa"/>
            <w:tcBorders>
              <w:top w:val="single" w:color="auto" w:sz="6" w:space="0"/>
              <w:left w:val="single" w:color="auto" w:sz="6" w:space="0"/>
              <w:bottom w:val="single" w:color="auto" w:sz="6" w:space="0"/>
            </w:tcBorders>
            <w:vAlign w:val="center"/>
          </w:tcPr>
          <w:p w14:paraId="45B2B704">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253</w:t>
            </w:r>
          </w:p>
        </w:tc>
      </w:tr>
      <w:tr w14:paraId="5B0E66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55B47D81">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6341" w:type="dxa"/>
            <w:gridSpan w:val="5"/>
            <w:tcBorders>
              <w:top w:val="single" w:color="auto" w:sz="6" w:space="0"/>
              <w:left w:val="single" w:color="auto" w:sz="6" w:space="0"/>
              <w:bottom w:val="single" w:color="auto" w:sz="6" w:space="0"/>
              <w:right w:val="single" w:color="auto" w:sz="6" w:space="0"/>
            </w:tcBorders>
            <w:vAlign w:val="center"/>
          </w:tcPr>
          <w:p w14:paraId="65249456">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厂址周边5km范围内人口数小计</w:t>
            </w:r>
          </w:p>
        </w:tc>
        <w:tc>
          <w:tcPr>
            <w:tcW w:w="1208" w:type="dxa"/>
            <w:tcBorders>
              <w:top w:val="single" w:color="auto" w:sz="6" w:space="0"/>
              <w:left w:val="single" w:color="auto" w:sz="6" w:space="0"/>
              <w:bottom w:val="single" w:color="auto" w:sz="6" w:space="0"/>
            </w:tcBorders>
            <w:vAlign w:val="center"/>
          </w:tcPr>
          <w:p w14:paraId="0E04D72F">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253</w:t>
            </w:r>
          </w:p>
        </w:tc>
      </w:tr>
      <w:tr w14:paraId="348191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554DEDD5">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6341" w:type="dxa"/>
            <w:gridSpan w:val="5"/>
            <w:tcBorders>
              <w:top w:val="single" w:color="auto" w:sz="6" w:space="0"/>
              <w:left w:val="single" w:color="auto" w:sz="6" w:space="0"/>
              <w:bottom w:val="single" w:color="auto" w:sz="6" w:space="0"/>
              <w:right w:val="single" w:color="auto" w:sz="6" w:space="0"/>
            </w:tcBorders>
            <w:vAlign w:val="center"/>
          </w:tcPr>
          <w:p w14:paraId="3C056DF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大气环境敏感程度E值</w:t>
            </w:r>
          </w:p>
        </w:tc>
        <w:tc>
          <w:tcPr>
            <w:tcW w:w="1208" w:type="dxa"/>
            <w:tcBorders>
              <w:top w:val="single" w:color="auto" w:sz="6" w:space="0"/>
              <w:left w:val="single" w:color="auto" w:sz="6" w:space="0"/>
              <w:bottom w:val="single" w:color="auto" w:sz="6" w:space="0"/>
            </w:tcBorders>
            <w:vAlign w:val="center"/>
          </w:tcPr>
          <w:p w14:paraId="17D0AB1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E3</w:t>
            </w:r>
          </w:p>
        </w:tc>
      </w:tr>
      <w:tr w14:paraId="7085B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restart"/>
            <w:tcBorders>
              <w:top w:val="single" w:color="auto" w:sz="6" w:space="0"/>
              <w:bottom w:val="single" w:color="auto" w:sz="6" w:space="0"/>
              <w:right w:val="single" w:color="auto" w:sz="6" w:space="0"/>
            </w:tcBorders>
            <w:vAlign w:val="center"/>
          </w:tcPr>
          <w:p w14:paraId="2C7098CE">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地表水</w:t>
            </w:r>
          </w:p>
        </w:tc>
        <w:tc>
          <w:tcPr>
            <w:tcW w:w="7549" w:type="dxa"/>
            <w:gridSpan w:val="6"/>
            <w:tcBorders>
              <w:top w:val="single" w:color="auto" w:sz="6" w:space="0"/>
              <w:left w:val="single" w:color="auto" w:sz="6" w:space="0"/>
              <w:bottom w:val="single" w:color="auto" w:sz="6" w:space="0"/>
            </w:tcBorders>
            <w:vAlign w:val="center"/>
          </w:tcPr>
          <w:p w14:paraId="499A53E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受纳水体</w:t>
            </w:r>
          </w:p>
        </w:tc>
      </w:tr>
      <w:tr w14:paraId="232B4B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64ADD0C2">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929" w:type="dxa"/>
            <w:tcBorders>
              <w:top w:val="single" w:color="auto" w:sz="6" w:space="0"/>
              <w:left w:val="single" w:color="auto" w:sz="6" w:space="0"/>
              <w:bottom w:val="single" w:color="auto" w:sz="6" w:space="0"/>
              <w:right w:val="single" w:color="auto" w:sz="6" w:space="0"/>
            </w:tcBorders>
            <w:vAlign w:val="center"/>
          </w:tcPr>
          <w:p w14:paraId="05026A9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1512" w:type="dxa"/>
            <w:tcBorders>
              <w:top w:val="single" w:color="auto" w:sz="6" w:space="0"/>
              <w:left w:val="single" w:color="auto" w:sz="6" w:space="0"/>
              <w:bottom w:val="single" w:color="auto" w:sz="6" w:space="0"/>
              <w:right w:val="single" w:color="auto" w:sz="6" w:space="0"/>
            </w:tcBorders>
            <w:vAlign w:val="center"/>
          </w:tcPr>
          <w:p w14:paraId="79521982">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受纳水体名称</w:t>
            </w:r>
          </w:p>
        </w:tc>
        <w:tc>
          <w:tcPr>
            <w:tcW w:w="2760" w:type="dxa"/>
            <w:gridSpan w:val="2"/>
            <w:tcBorders>
              <w:top w:val="single" w:color="auto" w:sz="6" w:space="0"/>
              <w:left w:val="single" w:color="auto" w:sz="6" w:space="0"/>
              <w:bottom w:val="single" w:color="auto" w:sz="6" w:space="0"/>
              <w:right w:val="single" w:color="auto" w:sz="6" w:space="0"/>
            </w:tcBorders>
            <w:vAlign w:val="center"/>
          </w:tcPr>
          <w:p w14:paraId="0543A1A6">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排放点水域环境功能</w:t>
            </w:r>
          </w:p>
        </w:tc>
        <w:tc>
          <w:tcPr>
            <w:tcW w:w="2348" w:type="dxa"/>
            <w:gridSpan w:val="2"/>
            <w:tcBorders>
              <w:top w:val="single" w:color="auto" w:sz="6" w:space="0"/>
              <w:left w:val="single" w:color="auto" w:sz="6" w:space="0"/>
              <w:bottom w:val="single" w:color="auto" w:sz="6" w:space="0"/>
            </w:tcBorders>
            <w:vAlign w:val="center"/>
          </w:tcPr>
          <w:p w14:paraId="5B26E177">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24h内流经范围</w:t>
            </w:r>
          </w:p>
        </w:tc>
      </w:tr>
      <w:tr w14:paraId="3C8150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73FF1895">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929" w:type="dxa"/>
            <w:tcBorders>
              <w:top w:val="single" w:color="auto" w:sz="6" w:space="0"/>
              <w:left w:val="single" w:color="auto" w:sz="6" w:space="0"/>
              <w:bottom w:val="single" w:color="auto" w:sz="6" w:space="0"/>
              <w:right w:val="single" w:color="auto" w:sz="6" w:space="0"/>
            </w:tcBorders>
            <w:vAlign w:val="center"/>
          </w:tcPr>
          <w:p w14:paraId="0DB22956">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512" w:type="dxa"/>
            <w:tcBorders>
              <w:top w:val="single" w:color="auto" w:sz="6" w:space="0"/>
              <w:left w:val="single" w:color="auto" w:sz="6" w:space="0"/>
              <w:bottom w:val="single" w:color="auto" w:sz="6" w:space="0"/>
              <w:right w:val="single" w:color="auto" w:sz="6" w:space="0"/>
            </w:tcBorders>
            <w:vAlign w:val="center"/>
          </w:tcPr>
          <w:p w14:paraId="3D7E80A2">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w:t>
            </w:r>
          </w:p>
        </w:tc>
        <w:tc>
          <w:tcPr>
            <w:tcW w:w="2760" w:type="dxa"/>
            <w:gridSpan w:val="2"/>
            <w:tcBorders>
              <w:top w:val="single" w:color="auto" w:sz="6" w:space="0"/>
              <w:left w:val="single" w:color="auto" w:sz="6" w:space="0"/>
              <w:bottom w:val="single" w:color="auto" w:sz="6" w:space="0"/>
              <w:right w:val="single" w:color="auto" w:sz="6" w:space="0"/>
            </w:tcBorders>
            <w:vAlign w:val="center"/>
          </w:tcPr>
          <w:p w14:paraId="00B3299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2348" w:type="dxa"/>
            <w:gridSpan w:val="2"/>
            <w:tcBorders>
              <w:top w:val="single" w:color="auto" w:sz="6" w:space="0"/>
              <w:left w:val="single" w:color="auto" w:sz="6" w:space="0"/>
              <w:bottom w:val="single" w:color="auto" w:sz="6" w:space="0"/>
            </w:tcBorders>
            <w:vAlign w:val="center"/>
          </w:tcPr>
          <w:p w14:paraId="7B97C015">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28F37F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6391A72D">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7549" w:type="dxa"/>
            <w:gridSpan w:val="6"/>
            <w:tcBorders>
              <w:top w:val="single" w:color="auto" w:sz="6" w:space="0"/>
              <w:left w:val="single" w:color="auto" w:sz="6" w:space="0"/>
              <w:bottom w:val="single" w:color="auto" w:sz="6" w:space="0"/>
            </w:tcBorders>
            <w:vAlign w:val="center"/>
          </w:tcPr>
          <w:p w14:paraId="6FE546D2">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内陆水体排放点下游10km（近岸海域一个潮周期最大水平距离两倍）范围内敏感目标</w:t>
            </w:r>
          </w:p>
        </w:tc>
      </w:tr>
      <w:tr w14:paraId="265028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0C693144">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929" w:type="dxa"/>
            <w:tcBorders>
              <w:top w:val="single" w:color="auto" w:sz="6" w:space="0"/>
              <w:left w:val="single" w:color="auto" w:sz="6" w:space="0"/>
              <w:bottom w:val="single" w:color="auto" w:sz="6" w:space="0"/>
              <w:right w:val="single" w:color="auto" w:sz="6" w:space="0"/>
            </w:tcBorders>
            <w:vAlign w:val="center"/>
          </w:tcPr>
          <w:p w14:paraId="7F273DC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1512" w:type="dxa"/>
            <w:tcBorders>
              <w:top w:val="single" w:color="auto" w:sz="6" w:space="0"/>
              <w:left w:val="single" w:color="auto" w:sz="6" w:space="0"/>
              <w:bottom w:val="single" w:color="auto" w:sz="6" w:space="0"/>
              <w:right w:val="single" w:color="auto" w:sz="6" w:space="0"/>
            </w:tcBorders>
            <w:vAlign w:val="center"/>
          </w:tcPr>
          <w:p w14:paraId="4CBA0EA1">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敏感目标名称</w:t>
            </w:r>
          </w:p>
        </w:tc>
        <w:tc>
          <w:tcPr>
            <w:tcW w:w="1560" w:type="dxa"/>
            <w:tcBorders>
              <w:top w:val="single" w:color="auto" w:sz="6" w:space="0"/>
              <w:left w:val="single" w:color="auto" w:sz="6" w:space="0"/>
              <w:bottom w:val="single" w:color="auto" w:sz="6" w:space="0"/>
              <w:right w:val="single" w:color="auto" w:sz="6" w:space="0"/>
            </w:tcBorders>
            <w:vAlign w:val="center"/>
          </w:tcPr>
          <w:p w14:paraId="7AC46C4D">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环境敏感特征</w:t>
            </w:r>
          </w:p>
        </w:tc>
        <w:tc>
          <w:tcPr>
            <w:tcW w:w="2340" w:type="dxa"/>
            <w:gridSpan w:val="2"/>
            <w:tcBorders>
              <w:top w:val="single" w:color="auto" w:sz="6" w:space="0"/>
              <w:left w:val="single" w:color="auto" w:sz="6" w:space="0"/>
              <w:bottom w:val="single" w:color="auto" w:sz="6" w:space="0"/>
              <w:right w:val="single" w:color="auto" w:sz="6" w:space="0"/>
            </w:tcBorders>
            <w:vAlign w:val="center"/>
          </w:tcPr>
          <w:p w14:paraId="7690FFA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水质目标</w:t>
            </w:r>
          </w:p>
        </w:tc>
        <w:tc>
          <w:tcPr>
            <w:tcW w:w="1208" w:type="dxa"/>
            <w:tcBorders>
              <w:top w:val="single" w:color="auto" w:sz="6" w:space="0"/>
              <w:left w:val="single" w:color="auto" w:sz="6" w:space="0"/>
              <w:bottom w:val="single" w:color="auto" w:sz="6" w:space="0"/>
            </w:tcBorders>
            <w:vAlign w:val="center"/>
          </w:tcPr>
          <w:p w14:paraId="41683A35">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与排放点距离/m</w:t>
            </w:r>
          </w:p>
        </w:tc>
      </w:tr>
      <w:tr w14:paraId="3F74FA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609D7773">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929" w:type="dxa"/>
            <w:tcBorders>
              <w:top w:val="single" w:color="auto" w:sz="6" w:space="0"/>
              <w:left w:val="single" w:color="auto" w:sz="6" w:space="0"/>
              <w:bottom w:val="single" w:color="auto" w:sz="6" w:space="0"/>
              <w:right w:val="single" w:color="auto" w:sz="6" w:space="0"/>
            </w:tcBorders>
            <w:vAlign w:val="center"/>
          </w:tcPr>
          <w:p w14:paraId="0362158A">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512" w:type="dxa"/>
            <w:tcBorders>
              <w:top w:val="single" w:color="auto" w:sz="6" w:space="0"/>
              <w:left w:val="single" w:color="auto" w:sz="6" w:space="0"/>
              <w:bottom w:val="single" w:color="auto" w:sz="6" w:space="0"/>
              <w:right w:val="single" w:color="auto" w:sz="6" w:space="0"/>
            </w:tcBorders>
            <w:vAlign w:val="center"/>
          </w:tcPr>
          <w:p w14:paraId="799B2B06">
            <w:pPr>
              <w:spacing w:line="360" w:lineRule="exact"/>
              <w:ind w:firstLine="0" w:firstLineChars="0"/>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lang w:val="en-US" w:eastAsia="zh-CN"/>
              </w:rPr>
              <w:t>阿克苏河</w:t>
            </w:r>
          </w:p>
        </w:tc>
        <w:tc>
          <w:tcPr>
            <w:tcW w:w="1560" w:type="dxa"/>
            <w:tcBorders>
              <w:top w:val="single" w:color="auto" w:sz="6" w:space="0"/>
              <w:left w:val="single" w:color="auto" w:sz="6" w:space="0"/>
              <w:bottom w:val="single" w:color="auto" w:sz="6" w:space="0"/>
              <w:right w:val="single" w:color="auto" w:sz="6" w:space="0"/>
            </w:tcBorders>
            <w:vAlign w:val="center"/>
          </w:tcPr>
          <w:p w14:paraId="68144347">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2340" w:type="dxa"/>
            <w:gridSpan w:val="2"/>
            <w:tcBorders>
              <w:top w:val="single" w:color="auto" w:sz="6" w:space="0"/>
              <w:left w:val="single" w:color="auto" w:sz="6" w:space="0"/>
              <w:bottom w:val="single" w:color="auto" w:sz="6" w:space="0"/>
              <w:right w:val="single" w:color="auto" w:sz="6" w:space="0"/>
            </w:tcBorders>
            <w:vAlign w:val="center"/>
          </w:tcPr>
          <w:p w14:paraId="01D4A903">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I</w:t>
            </w:r>
            <w:r>
              <w:rPr>
                <w:rFonts w:hint="default" w:ascii="Times New Roman" w:hAnsi="Times New Roman" w:cs="Times New Roman"/>
                <w:color w:val="auto"/>
                <w:sz w:val="21"/>
                <w:szCs w:val="21"/>
                <w:highlight w:val="none"/>
              </w:rPr>
              <w:t>类</w:t>
            </w:r>
          </w:p>
        </w:tc>
        <w:tc>
          <w:tcPr>
            <w:tcW w:w="1208" w:type="dxa"/>
            <w:tcBorders>
              <w:top w:val="single" w:color="auto" w:sz="6" w:space="0"/>
              <w:left w:val="single" w:color="auto" w:sz="6" w:space="0"/>
              <w:bottom w:val="single" w:color="auto" w:sz="6" w:space="0"/>
            </w:tcBorders>
            <w:vAlign w:val="center"/>
          </w:tcPr>
          <w:p w14:paraId="26525653">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西侧约</w:t>
            </w:r>
            <w:r>
              <w:rPr>
                <w:rFonts w:hint="default" w:ascii="Times New Roman" w:hAnsi="Times New Roman" w:cs="Times New Roman"/>
                <w:color w:val="auto"/>
                <w:sz w:val="21"/>
                <w:szCs w:val="21"/>
                <w:highlight w:val="none"/>
                <w:lang w:val="en-US" w:eastAsia="zh-CN"/>
              </w:rPr>
              <w:t>1k</w:t>
            </w:r>
            <w:r>
              <w:rPr>
                <w:rFonts w:hint="default" w:ascii="Times New Roman" w:hAnsi="Times New Roman" w:cs="Times New Roman"/>
                <w:color w:val="auto"/>
                <w:sz w:val="21"/>
                <w:szCs w:val="21"/>
                <w:highlight w:val="none"/>
              </w:rPr>
              <w:t>m</w:t>
            </w:r>
          </w:p>
        </w:tc>
      </w:tr>
      <w:tr w14:paraId="55F2B8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6" w:space="0"/>
              <w:right w:val="single" w:color="auto" w:sz="6" w:space="0"/>
            </w:tcBorders>
            <w:vAlign w:val="center"/>
          </w:tcPr>
          <w:p w14:paraId="1E9627DB">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6341" w:type="dxa"/>
            <w:gridSpan w:val="5"/>
            <w:tcBorders>
              <w:top w:val="single" w:color="auto" w:sz="6" w:space="0"/>
              <w:left w:val="single" w:color="auto" w:sz="6" w:space="0"/>
              <w:bottom w:val="single" w:color="auto" w:sz="6" w:space="0"/>
              <w:right w:val="single" w:color="auto" w:sz="6" w:space="0"/>
            </w:tcBorders>
            <w:vAlign w:val="center"/>
          </w:tcPr>
          <w:p w14:paraId="63337E39">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地表水环境敏感程度E值</w:t>
            </w:r>
          </w:p>
        </w:tc>
        <w:tc>
          <w:tcPr>
            <w:tcW w:w="1208" w:type="dxa"/>
            <w:tcBorders>
              <w:top w:val="single" w:color="auto" w:sz="6" w:space="0"/>
              <w:left w:val="single" w:color="auto" w:sz="6" w:space="0"/>
              <w:bottom w:val="single" w:color="auto" w:sz="6" w:space="0"/>
            </w:tcBorders>
            <w:vAlign w:val="center"/>
          </w:tcPr>
          <w:p w14:paraId="06E7F82D">
            <w:pPr>
              <w:spacing w:line="360" w:lineRule="exact"/>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E</w:t>
            </w:r>
            <w:r>
              <w:rPr>
                <w:rFonts w:hint="default" w:ascii="Times New Roman" w:hAnsi="Times New Roman" w:cs="Times New Roman"/>
                <w:color w:val="auto"/>
                <w:sz w:val="21"/>
                <w:szCs w:val="21"/>
                <w:highlight w:val="none"/>
                <w:lang w:val="en-US" w:eastAsia="zh-CN"/>
              </w:rPr>
              <w:t>3</w:t>
            </w:r>
          </w:p>
        </w:tc>
      </w:tr>
      <w:tr w14:paraId="31AC2A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restart"/>
            <w:tcBorders>
              <w:top w:val="single" w:color="auto" w:sz="6" w:space="0"/>
              <w:bottom w:val="single" w:color="auto" w:sz="12" w:space="0"/>
              <w:right w:val="single" w:color="auto" w:sz="6" w:space="0"/>
            </w:tcBorders>
            <w:vAlign w:val="center"/>
          </w:tcPr>
          <w:p w14:paraId="68F8FB97">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地下水</w:t>
            </w:r>
          </w:p>
        </w:tc>
        <w:tc>
          <w:tcPr>
            <w:tcW w:w="929" w:type="dxa"/>
            <w:tcBorders>
              <w:top w:val="single" w:color="auto" w:sz="6" w:space="0"/>
              <w:left w:val="single" w:color="auto" w:sz="6" w:space="0"/>
              <w:bottom w:val="single" w:color="auto" w:sz="6" w:space="0"/>
              <w:right w:val="single" w:color="auto" w:sz="6" w:space="0"/>
            </w:tcBorders>
            <w:vAlign w:val="center"/>
          </w:tcPr>
          <w:p w14:paraId="51E2BB80">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1512" w:type="dxa"/>
            <w:tcBorders>
              <w:top w:val="single" w:color="auto" w:sz="6" w:space="0"/>
              <w:left w:val="single" w:color="auto" w:sz="6" w:space="0"/>
              <w:bottom w:val="single" w:color="auto" w:sz="6" w:space="0"/>
              <w:right w:val="single" w:color="auto" w:sz="6" w:space="0"/>
            </w:tcBorders>
            <w:vAlign w:val="center"/>
          </w:tcPr>
          <w:p w14:paraId="11ADB0A6">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环境敏感区名称</w:t>
            </w:r>
          </w:p>
        </w:tc>
        <w:tc>
          <w:tcPr>
            <w:tcW w:w="1560" w:type="dxa"/>
            <w:tcBorders>
              <w:top w:val="single" w:color="auto" w:sz="6" w:space="0"/>
              <w:left w:val="single" w:color="auto" w:sz="6" w:space="0"/>
              <w:bottom w:val="single" w:color="auto" w:sz="6" w:space="0"/>
              <w:right w:val="single" w:color="auto" w:sz="6" w:space="0"/>
            </w:tcBorders>
            <w:vAlign w:val="center"/>
          </w:tcPr>
          <w:p w14:paraId="2F39652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环境敏感特征</w:t>
            </w:r>
          </w:p>
        </w:tc>
        <w:tc>
          <w:tcPr>
            <w:tcW w:w="1200" w:type="dxa"/>
            <w:tcBorders>
              <w:top w:val="single" w:color="auto" w:sz="6" w:space="0"/>
              <w:left w:val="single" w:color="auto" w:sz="6" w:space="0"/>
              <w:bottom w:val="single" w:color="auto" w:sz="6" w:space="0"/>
              <w:right w:val="single" w:color="auto" w:sz="6" w:space="0"/>
            </w:tcBorders>
            <w:vAlign w:val="center"/>
          </w:tcPr>
          <w:p w14:paraId="6D840B84">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水质目标</w:t>
            </w:r>
          </w:p>
        </w:tc>
        <w:tc>
          <w:tcPr>
            <w:tcW w:w="1140" w:type="dxa"/>
            <w:tcBorders>
              <w:top w:val="single" w:color="auto" w:sz="6" w:space="0"/>
              <w:left w:val="single" w:color="auto" w:sz="6" w:space="0"/>
              <w:bottom w:val="single" w:color="auto" w:sz="6" w:space="0"/>
              <w:right w:val="single" w:color="auto" w:sz="6" w:space="0"/>
            </w:tcBorders>
            <w:vAlign w:val="center"/>
          </w:tcPr>
          <w:p w14:paraId="1C236D1F">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包气带防污性能</w:t>
            </w:r>
          </w:p>
        </w:tc>
        <w:tc>
          <w:tcPr>
            <w:tcW w:w="1208" w:type="dxa"/>
            <w:tcBorders>
              <w:top w:val="single" w:color="auto" w:sz="6" w:space="0"/>
              <w:left w:val="single" w:color="auto" w:sz="6" w:space="0"/>
              <w:bottom w:val="single" w:color="auto" w:sz="6" w:space="0"/>
            </w:tcBorders>
            <w:vAlign w:val="center"/>
          </w:tcPr>
          <w:p w14:paraId="64794B3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与下游厂界距离/m</w:t>
            </w:r>
          </w:p>
        </w:tc>
      </w:tr>
      <w:tr w14:paraId="0FCD4B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bottom w:val="single" w:color="auto" w:sz="12" w:space="0"/>
              <w:right w:val="single" w:color="auto" w:sz="6" w:space="0"/>
            </w:tcBorders>
            <w:vAlign w:val="center"/>
          </w:tcPr>
          <w:p w14:paraId="193F1F62">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929" w:type="dxa"/>
            <w:tcBorders>
              <w:top w:val="single" w:color="auto" w:sz="6" w:space="0"/>
              <w:left w:val="single" w:color="auto" w:sz="6" w:space="0"/>
              <w:bottom w:val="single" w:color="auto" w:sz="6" w:space="0"/>
              <w:right w:val="single" w:color="auto" w:sz="6" w:space="0"/>
            </w:tcBorders>
            <w:vAlign w:val="center"/>
          </w:tcPr>
          <w:p w14:paraId="766FC1C6">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512" w:type="dxa"/>
            <w:tcBorders>
              <w:top w:val="single" w:color="auto" w:sz="6" w:space="0"/>
              <w:left w:val="single" w:color="auto" w:sz="6" w:space="0"/>
              <w:bottom w:val="single" w:color="auto" w:sz="6" w:space="0"/>
              <w:right w:val="single" w:color="auto" w:sz="6" w:space="0"/>
            </w:tcBorders>
            <w:vAlign w:val="center"/>
          </w:tcPr>
          <w:p w14:paraId="6B400547">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560" w:type="dxa"/>
            <w:tcBorders>
              <w:top w:val="single" w:color="auto" w:sz="6" w:space="0"/>
              <w:left w:val="single" w:color="auto" w:sz="6" w:space="0"/>
              <w:bottom w:val="single" w:color="auto" w:sz="6" w:space="0"/>
              <w:right w:val="single" w:color="auto" w:sz="6" w:space="0"/>
            </w:tcBorders>
            <w:vAlign w:val="center"/>
          </w:tcPr>
          <w:p w14:paraId="7C58BE54">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不敏感G3</w:t>
            </w:r>
          </w:p>
        </w:tc>
        <w:tc>
          <w:tcPr>
            <w:tcW w:w="1200" w:type="dxa"/>
            <w:tcBorders>
              <w:top w:val="single" w:color="auto" w:sz="6" w:space="0"/>
              <w:left w:val="single" w:color="auto" w:sz="6" w:space="0"/>
              <w:bottom w:val="single" w:color="auto" w:sz="6" w:space="0"/>
              <w:right w:val="single" w:color="auto" w:sz="6" w:space="0"/>
            </w:tcBorders>
            <w:vAlign w:val="center"/>
          </w:tcPr>
          <w:p w14:paraId="1D21643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t>类</w:t>
            </w:r>
          </w:p>
        </w:tc>
        <w:tc>
          <w:tcPr>
            <w:tcW w:w="1140" w:type="dxa"/>
            <w:tcBorders>
              <w:top w:val="single" w:color="auto" w:sz="6" w:space="0"/>
              <w:left w:val="single" w:color="auto" w:sz="6" w:space="0"/>
              <w:bottom w:val="single" w:color="auto" w:sz="6" w:space="0"/>
              <w:right w:val="single" w:color="auto" w:sz="6" w:space="0"/>
            </w:tcBorders>
            <w:vAlign w:val="center"/>
          </w:tcPr>
          <w:p w14:paraId="6251F503">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D1</w:t>
            </w:r>
          </w:p>
        </w:tc>
        <w:tc>
          <w:tcPr>
            <w:tcW w:w="1208" w:type="dxa"/>
            <w:tcBorders>
              <w:top w:val="single" w:color="auto" w:sz="6" w:space="0"/>
              <w:left w:val="single" w:color="auto" w:sz="6" w:space="0"/>
              <w:bottom w:val="single" w:color="auto" w:sz="6" w:space="0"/>
            </w:tcBorders>
            <w:vAlign w:val="center"/>
          </w:tcPr>
          <w:p w14:paraId="715D4228">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0805E7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73" w:type="dxa"/>
            <w:vMerge w:val="continue"/>
            <w:tcBorders>
              <w:top w:val="single" w:color="auto" w:sz="6" w:space="0"/>
              <w:right w:val="single" w:color="auto" w:sz="6" w:space="0"/>
            </w:tcBorders>
            <w:vAlign w:val="center"/>
          </w:tcPr>
          <w:p w14:paraId="7F60E0B3">
            <w:pPr>
              <w:widowControl/>
              <w:spacing w:line="360" w:lineRule="exact"/>
              <w:ind w:firstLine="0" w:firstLineChars="0"/>
              <w:jc w:val="left"/>
              <w:rPr>
                <w:rFonts w:hint="default" w:ascii="Times New Roman" w:hAnsi="Times New Roman" w:cs="Times New Roman"/>
                <w:color w:val="auto"/>
                <w:sz w:val="21"/>
                <w:szCs w:val="21"/>
                <w:highlight w:val="none"/>
              </w:rPr>
            </w:pPr>
          </w:p>
        </w:tc>
        <w:tc>
          <w:tcPr>
            <w:tcW w:w="6341" w:type="dxa"/>
            <w:gridSpan w:val="5"/>
            <w:tcBorders>
              <w:top w:val="single" w:color="auto" w:sz="6" w:space="0"/>
              <w:left w:val="single" w:color="auto" w:sz="6" w:space="0"/>
              <w:right w:val="single" w:color="auto" w:sz="6" w:space="0"/>
            </w:tcBorders>
            <w:vAlign w:val="center"/>
          </w:tcPr>
          <w:p w14:paraId="2C28519B">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地下水环境敏感程度E值</w:t>
            </w:r>
          </w:p>
        </w:tc>
        <w:tc>
          <w:tcPr>
            <w:tcW w:w="1208" w:type="dxa"/>
            <w:tcBorders>
              <w:top w:val="single" w:color="auto" w:sz="6" w:space="0"/>
              <w:left w:val="single" w:color="auto" w:sz="6" w:space="0"/>
            </w:tcBorders>
            <w:vAlign w:val="center"/>
          </w:tcPr>
          <w:p w14:paraId="5E11F53E">
            <w:pPr>
              <w:spacing w:line="360" w:lineRule="exact"/>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E2</w:t>
            </w:r>
          </w:p>
        </w:tc>
      </w:tr>
    </w:tbl>
    <w:p w14:paraId="7A94F1A2">
      <w:pPr>
        <w:pStyle w:val="7"/>
        <w:bidi w:val="0"/>
        <w:rPr>
          <w:color w:val="auto"/>
          <w:highlight w:val="none"/>
        </w:rPr>
      </w:pPr>
      <w:r>
        <w:rPr>
          <w:rFonts w:hint="eastAsia"/>
          <w:color w:val="auto"/>
          <w:highlight w:val="none"/>
          <w:lang w:val="en-US" w:eastAsia="zh-CN"/>
        </w:rPr>
        <w:t>5.2.8.3</w:t>
      </w:r>
      <w:r>
        <w:rPr>
          <w:color w:val="auto"/>
          <w:highlight w:val="none"/>
        </w:rPr>
        <w:t>环境风险潜势初判</w:t>
      </w:r>
    </w:p>
    <w:p w14:paraId="63797533">
      <w:pPr>
        <w:overflowPunct w:val="0"/>
        <w:topLinePunct/>
        <w:ind w:firstLine="480"/>
        <w:rPr>
          <w:rFonts w:hint="default" w:eastAsia="宋体"/>
          <w:color w:val="auto"/>
          <w:highlight w:val="none"/>
          <w:lang w:val="en-US" w:eastAsia="zh-CN"/>
        </w:rPr>
      </w:pPr>
      <w:r>
        <w:rPr>
          <w:color w:val="auto"/>
          <w:highlight w:val="none"/>
        </w:rPr>
        <w:t>（1）</w:t>
      </w:r>
      <w:r>
        <w:rPr>
          <w:rFonts w:hint="eastAsia"/>
          <w:color w:val="auto"/>
          <w:highlight w:val="none"/>
          <w:lang w:val="en-US" w:eastAsia="zh-CN"/>
        </w:rPr>
        <w:t>采选工程</w:t>
      </w:r>
    </w:p>
    <w:p w14:paraId="49A825B0">
      <w:pPr>
        <w:bidi w:val="0"/>
        <w:rPr>
          <w:color w:val="auto"/>
          <w:highlight w:val="none"/>
        </w:rPr>
      </w:pPr>
      <w:r>
        <w:rPr>
          <w:color w:val="auto"/>
          <w:highlight w:val="none"/>
        </w:rPr>
        <w:t>根据</w:t>
      </w:r>
      <w:r>
        <w:rPr>
          <w:rFonts w:hint="eastAsia"/>
          <w:color w:val="auto"/>
          <w:highlight w:val="none"/>
          <w:lang w:val="en-US" w:eastAsia="zh-CN"/>
        </w:rPr>
        <w:t>2.6.7初判结果可知</w:t>
      </w:r>
      <w:r>
        <w:rPr>
          <w:color w:val="auto"/>
          <w:highlight w:val="none"/>
        </w:rPr>
        <w:t>，</w:t>
      </w:r>
      <w:r>
        <w:rPr>
          <w:rFonts w:hint="eastAsia"/>
          <w:color w:val="auto"/>
          <w:highlight w:val="none"/>
        </w:rPr>
        <w:t>本项目</w:t>
      </w:r>
      <w:r>
        <w:rPr>
          <w:color w:val="auto"/>
          <w:highlight w:val="none"/>
        </w:rPr>
        <w:t>的风险潜势为Ⅱ</w:t>
      </w:r>
      <w:r>
        <w:rPr>
          <w:rFonts w:hint="eastAsia"/>
          <w:color w:val="auto"/>
          <w:highlight w:val="none"/>
          <w:lang w:eastAsia="zh-CN"/>
        </w:rPr>
        <w:t>，</w:t>
      </w:r>
      <w:r>
        <w:rPr>
          <w:rFonts w:hint="eastAsia"/>
          <w:color w:val="auto"/>
          <w:highlight w:val="none"/>
        </w:rPr>
        <w:t>风险评价等级为三级。</w:t>
      </w:r>
    </w:p>
    <w:p w14:paraId="6F1939D6">
      <w:pPr>
        <w:overflowPunct w:val="0"/>
        <w:topLinePunct/>
        <w:ind w:firstLine="480"/>
        <w:rPr>
          <w:color w:val="auto"/>
          <w:highlight w:val="none"/>
        </w:rPr>
      </w:pPr>
      <w:r>
        <w:rPr>
          <w:rFonts w:hint="eastAsia"/>
          <w:color w:val="auto"/>
          <w:highlight w:val="none"/>
        </w:rPr>
        <w:t>（2）尾矿库</w:t>
      </w:r>
    </w:p>
    <w:p w14:paraId="509B275F">
      <w:pPr>
        <w:overflowPunct w:val="0"/>
        <w:topLinePunct/>
        <w:ind w:firstLine="480"/>
        <w:rPr>
          <w:rFonts w:cs="宋体"/>
          <w:color w:val="auto"/>
          <w:szCs w:val="21"/>
          <w:highlight w:val="none"/>
          <w:lang w:val="zh-CN" w:bidi="ar"/>
        </w:rPr>
      </w:pPr>
      <w:r>
        <w:rPr>
          <w:color w:val="auto"/>
          <w:highlight w:val="none"/>
        </w:rPr>
        <w:t>根据</w:t>
      </w:r>
      <w:r>
        <w:rPr>
          <w:rFonts w:hint="eastAsia"/>
          <w:color w:val="auto"/>
          <w:highlight w:val="none"/>
          <w:lang w:val="en-US" w:eastAsia="zh-CN"/>
        </w:rPr>
        <w:t>2.6.7初判结果可知</w:t>
      </w:r>
      <w:r>
        <w:rPr>
          <w:color w:val="auto"/>
          <w:highlight w:val="none"/>
        </w:rPr>
        <w:t>，结合《尾矿库环境风险评估技术导则（试行）》（HJ740-2015）表7中等级划分矩阵，本次尾矿库环境风险等级为一般（H3S1R3）。</w:t>
      </w:r>
    </w:p>
    <w:p w14:paraId="0CD4BCED">
      <w:pPr>
        <w:pStyle w:val="7"/>
        <w:bidi w:val="0"/>
        <w:rPr>
          <w:color w:val="auto"/>
          <w:highlight w:val="none"/>
        </w:rPr>
      </w:pPr>
      <w:r>
        <w:rPr>
          <w:rFonts w:hint="eastAsia"/>
          <w:color w:val="auto"/>
          <w:highlight w:val="none"/>
          <w:lang w:val="en-US" w:eastAsia="zh-CN"/>
        </w:rPr>
        <w:t>5.2.8.4</w:t>
      </w:r>
      <w:r>
        <w:rPr>
          <w:color w:val="auto"/>
          <w:highlight w:val="none"/>
        </w:rPr>
        <w:t>环境风险识别</w:t>
      </w:r>
    </w:p>
    <w:p w14:paraId="514C38D6">
      <w:pPr>
        <w:overflowPunct w:val="0"/>
        <w:topLinePunct/>
        <w:adjustRightInd w:val="0"/>
        <w:snapToGrid w:val="0"/>
        <w:ind w:firstLine="480"/>
        <w:rPr>
          <w:color w:val="auto"/>
          <w:kern w:val="0"/>
          <w:szCs w:val="21"/>
          <w:highlight w:val="none"/>
        </w:rPr>
      </w:pPr>
      <w:r>
        <w:rPr>
          <w:color w:val="auto"/>
          <w:kern w:val="0"/>
          <w:szCs w:val="21"/>
          <w:highlight w:val="none"/>
        </w:rPr>
        <w:t>本项目属</w:t>
      </w:r>
      <w:r>
        <w:rPr>
          <w:rFonts w:hint="eastAsia"/>
          <w:color w:val="auto"/>
          <w:kern w:val="0"/>
          <w:szCs w:val="21"/>
          <w:highlight w:val="none"/>
          <w:lang w:eastAsia="zh-CN"/>
        </w:rPr>
        <w:t>非金属矿</w:t>
      </w:r>
      <w:r>
        <w:rPr>
          <w:rFonts w:hint="eastAsia"/>
          <w:color w:val="auto"/>
          <w:kern w:val="0"/>
          <w:szCs w:val="21"/>
          <w:highlight w:val="none"/>
        </w:rPr>
        <w:t>选矿</w:t>
      </w:r>
      <w:r>
        <w:rPr>
          <w:color w:val="auto"/>
          <w:kern w:val="0"/>
          <w:szCs w:val="21"/>
          <w:highlight w:val="none"/>
        </w:rPr>
        <w:t>建设项目，</w:t>
      </w:r>
      <w:r>
        <w:rPr>
          <w:rFonts w:hint="eastAsia"/>
          <w:color w:val="auto"/>
          <w:kern w:val="0"/>
          <w:szCs w:val="21"/>
          <w:highlight w:val="none"/>
        </w:rPr>
        <w:t>涉及部分易燃物质</w:t>
      </w:r>
      <w:r>
        <w:rPr>
          <w:color w:val="auto"/>
          <w:kern w:val="0"/>
          <w:szCs w:val="21"/>
          <w:highlight w:val="none"/>
        </w:rPr>
        <w:t>，</w:t>
      </w:r>
      <w:r>
        <w:rPr>
          <w:rFonts w:hint="eastAsia"/>
          <w:color w:val="auto"/>
          <w:kern w:val="0"/>
          <w:szCs w:val="21"/>
          <w:highlight w:val="none"/>
        </w:rPr>
        <w:t>同时</w:t>
      </w:r>
      <w:r>
        <w:rPr>
          <w:color w:val="auto"/>
          <w:kern w:val="0"/>
          <w:szCs w:val="21"/>
          <w:highlight w:val="none"/>
        </w:rPr>
        <w:t>涉及</w:t>
      </w:r>
      <w:r>
        <w:rPr>
          <w:rFonts w:hint="eastAsia"/>
          <w:color w:val="auto"/>
          <w:kern w:val="0"/>
          <w:szCs w:val="21"/>
          <w:highlight w:val="none"/>
        </w:rPr>
        <w:t>较多</w:t>
      </w:r>
      <w:r>
        <w:rPr>
          <w:color w:val="auto"/>
          <w:kern w:val="0"/>
          <w:szCs w:val="21"/>
          <w:highlight w:val="none"/>
        </w:rPr>
        <w:t>生产单元</w:t>
      </w:r>
      <w:r>
        <w:rPr>
          <w:rFonts w:hint="eastAsia"/>
          <w:color w:val="auto"/>
          <w:kern w:val="0"/>
          <w:szCs w:val="21"/>
          <w:highlight w:val="none"/>
        </w:rPr>
        <w:t>及尾矿库</w:t>
      </w:r>
      <w:r>
        <w:rPr>
          <w:color w:val="auto"/>
          <w:kern w:val="0"/>
          <w:szCs w:val="21"/>
          <w:highlight w:val="none"/>
        </w:rPr>
        <w:t>，各生产单元的潜在危险因素和潜在危害程度也不同</w:t>
      </w:r>
      <w:r>
        <w:rPr>
          <w:rFonts w:hint="eastAsia"/>
          <w:color w:val="auto"/>
          <w:kern w:val="0"/>
          <w:szCs w:val="21"/>
          <w:highlight w:val="none"/>
        </w:rPr>
        <w:t>。</w:t>
      </w:r>
      <w:r>
        <w:rPr>
          <w:color w:val="auto"/>
          <w:kern w:val="0"/>
          <w:szCs w:val="21"/>
          <w:highlight w:val="none"/>
        </w:rPr>
        <w:t>因此，对各生产单元的危险因素进行识别。</w:t>
      </w:r>
    </w:p>
    <w:p w14:paraId="143F65B0">
      <w:pPr>
        <w:tabs>
          <w:tab w:val="left" w:pos="0"/>
          <w:tab w:val="left" w:pos="993"/>
        </w:tabs>
        <w:adjustRightInd w:val="0"/>
        <w:snapToGrid w:val="0"/>
        <w:ind w:firstLine="0" w:firstLineChars="0"/>
        <w:jc w:val="center"/>
        <w:rPr>
          <w:b/>
          <w:color w:val="auto"/>
          <w:szCs w:val="22"/>
          <w:highlight w:val="none"/>
        </w:rPr>
      </w:pPr>
      <w:r>
        <w:rPr>
          <w:b/>
          <w:color w:val="auto"/>
          <w:szCs w:val="22"/>
          <w:highlight w:val="none"/>
        </w:rPr>
        <w:t>表5.</w:t>
      </w:r>
      <w:r>
        <w:rPr>
          <w:rFonts w:hint="eastAsia"/>
          <w:b/>
          <w:color w:val="auto"/>
          <w:szCs w:val="22"/>
          <w:highlight w:val="none"/>
          <w:lang w:val="en-US" w:eastAsia="zh-CN"/>
        </w:rPr>
        <w:t>2</w:t>
      </w:r>
      <w:r>
        <w:rPr>
          <w:b/>
          <w:color w:val="auto"/>
          <w:szCs w:val="22"/>
          <w:highlight w:val="none"/>
        </w:rPr>
        <w:t>-</w:t>
      </w:r>
      <w:r>
        <w:rPr>
          <w:rFonts w:hint="eastAsia"/>
          <w:b/>
          <w:color w:val="auto"/>
          <w:szCs w:val="22"/>
          <w:highlight w:val="none"/>
          <w:lang w:val="en-US" w:eastAsia="zh-CN"/>
        </w:rPr>
        <w:t>36</w:t>
      </w:r>
      <w:r>
        <w:rPr>
          <w:b/>
          <w:color w:val="auto"/>
          <w:szCs w:val="22"/>
          <w:highlight w:val="none"/>
        </w:rPr>
        <w:t xml:space="preserve">    本项目生产各作业场所的危险有害因素分布</w:t>
      </w:r>
    </w:p>
    <w:tbl>
      <w:tblPr>
        <w:tblStyle w:val="18"/>
        <w:tblW w:w="8336"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502"/>
        <w:gridCol w:w="1075"/>
        <w:gridCol w:w="1067"/>
        <w:gridCol w:w="5692"/>
      </w:tblGrid>
      <w:tr w14:paraId="7EC7AB2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tblHeader/>
          <w:jc w:val="center"/>
        </w:trPr>
        <w:tc>
          <w:tcPr>
            <w:tcW w:w="502" w:type="dxa"/>
            <w:vAlign w:val="center"/>
          </w:tcPr>
          <w:p w14:paraId="653E5FB3">
            <w:pPr>
              <w:pStyle w:val="17"/>
              <w:bidi w:val="0"/>
              <w:rPr>
                <w:color w:val="auto"/>
                <w:highlight w:val="none"/>
                <w:lang w:eastAsia="en-US"/>
              </w:rPr>
            </w:pPr>
            <w:r>
              <w:rPr>
                <w:rFonts w:hint="eastAsia"/>
                <w:color w:val="auto"/>
                <w:highlight w:val="none"/>
                <w:lang w:eastAsia="en-US"/>
              </w:rPr>
              <w:t>序号</w:t>
            </w:r>
          </w:p>
        </w:tc>
        <w:tc>
          <w:tcPr>
            <w:tcW w:w="1075" w:type="dxa"/>
            <w:vAlign w:val="center"/>
          </w:tcPr>
          <w:p w14:paraId="0A281A45">
            <w:pPr>
              <w:pStyle w:val="17"/>
              <w:bidi w:val="0"/>
              <w:rPr>
                <w:color w:val="auto"/>
                <w:highlight w:val="none"/>
                <w:lang w:eastAsia="en-US"/>
              </w:rPr>
            </w:pPr>
            <w:r>
              <w:rPr>
                <w:rFonts w:hint="eastAsia"/>
                <w:color w:val="auto"/>
                <w:highlight w:val="none"/>
                <w:lang w:eastAsia="en-US"/>
              </w:rPr>
              <w:t>风险单元</w:t>
            </w:r>
          </w:p>
        </w:tc>
        <w:tc>
          <w:tcPr>
            <w:tcW w:w="1067" w:type="dxa"/>
            <w:vAlign w:val="center"/>
          </w:tcPr>
          <w:p w14:paraId="59C15BB4">
            <w:pPr>
              <w:pStyle w:val="17"/>
              <w:bidi w:val="0"/>
              <w:rPr>
                <w:color w:val="auto"/>
                <w:highlight w:val="none"/>
                <w:lang w:eastAsia="en-US"/>
              </w:rPr>
            </w:pPr>
            <w:r>
              <w:rPr>
                <w:rFonts w:hint="eastAsia"/>
                <w:color w:val="auto"/>
                <w:highlight w:val="none"/>
                <w:lang w:eastAsia="en-US"/>
              </w:rPr>
              <w:t>事故类型</w:t>
            </w:r>
          </w:p>
        </w:tc>
        <w:tc>
          <w:tcPr>
            <w:tcW w:w="5692" w:type="dxa"/>
            <w:vAlign w:val="center"/>
          </w:tcPr>
          <w:p w14:paraId="4DF3E779">
            <w:pPr>
              <w:pStyle w:val="17"/>
              <w:bidi w:val="0"/>
              <w:rPr>
                <w:color w:val="auto"/>
                <w:highlight w:val="none"/>
                <w:lang w:eastAsia="zh-CN"/>
              </w:rPr>
            </w:pPr>
            <w:r>
              <w:rPr>
                <w:rFonts w:hint="eastAsia"/>
                <w:color w:val="auto"/>
                <w:highlight w:val="none"/>
                <w:lang w:eastAsia="zh-CN"/>
              </w:rPr>
              <w:t>次生、衍生厂外环境污染</w:t>
            </w:r>
          </w:p>
        </w:tc>
      </w:tr>
      <w:tr w14:paraId="733C6F3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Align w:val="center"/>
          </w:tcPr>
          <w:p w14:paraId="70C6ADC4">
            <w:pPr>
              <w:pStyle w:val="17"/>
              <w:bidi w:val="0"/>
              <w:rPr>
                <w:color w:val="auto"/>
                <w:highlight w:val="none"/>
                <w:lang w:eastAsia="en-US"/>
              </w:rPr>
            </w:pPr>
            <w:r>
              <w:rPr>
                <w:color w:val="auto"/>
                <w:highlight w:val="none"/>
                <w:lang w:eastAsia="en-US"/>
              </w:rPr>
              <w:t>1</w:t>
            </w:r>
          </w:p>
        </w:tc>
        <w:tc>
          <w:tcPr>
            <w:tcW w:w="1075" w:type="dxa"/>
            <w:vAlign w:val="center"/>
          </w:tcPr>
          <w:p w14:paraId="2EEA02CE">
            <w:pPr>
              <w:pStyle w:val="17"/>
              <w:bidi w:val="0"/>
              <w:rPr>
                <w:rFonts w:hint="default" w:eastAsia="宋体"/>
                <w:color w:val="auto"/>
                <w:highlight w:val="none"/>
                <w:lang w:val="en-US" w:eastAsia="zh-CN"/>
              </w:rPr>
            </w:pPr>
            <w:r>
              <w:rPr>
                <w:rFonts w:hint="eastAsia"/>
                <w:color w:val="auto"/>
                <w:highlight w:val="none"/>
                <w:lang w:val="en-US" w:eastAsia="zh-CN"/>
              </w:rPr>
              <w:t>硫酸稀释车间</w:t>
            </w:r>
          </w:p>
        </w:tc>
        <w:tc>
          <w:tcPr>
            <w:tcW w:w="1067" w:type="dxa"/>
            <w:vAlign w:val="center"/>
          </w:tcPr>
          <w:p w14:paraId="46B35C88">
            <w:pPr>
              <w:pStyle w:val="17"/>
              <w:bidi w:val="0"/>
              <w:rPr>
                <w:color w:val="auto"/>
                <w:highlight w:val="none"/>
                <w:lang w:eastAsia="en-US"/>
              </w:rPr>
            </w:pPr>
            <w:r>
              <w:rPr>
                <w:rFonts w:hint="eastAsia"/>
                <w:color w:val="auto"/>
                <w:highlight w:val="none"/>
                <w:lang w:eastAsia="en-US"/>
              </w:rPr>
              <w:t>泄漏</w:t>
            </w:r>
          </w:p>
        </w:tc>
        <w:tc>
          <w:tcPr>
            <w:tcW w:w="5692" w:type="dxa"/>
            <w:vAlign w:val="center"/>
          </w:tcPr>
          <w:p w14:paraId="4EC6CD7C">
            <w:pPr>
              <w:pStyle w:val="17"/>
              <w:bidi w:val="0"/>
              <w:rPr>
                <w:color w:val="auto"/>
                <w:highlight w:val="none"/>
                <w:lang w:eastAsia="zh-CN"/>
              </w:rPr>
            </w:pPr>
            <w:r>
              <w:rPr>
                <w:rFonts w:hint="eastAsia"/>
                <w:color w:val="auto"/>
                <w:highlight w:val="none"/>
                <w:lang w:eastAsia="zh-CN"/>
              </w:rPr>
              <w:t>泄漏</w:t>
            </w:r>
            <w:r>
              <w:rPr>
                <w:rFonts w:hint="eastAsia"/>
                <w:color w:val="auto"/>
                <w:highlight w:val="none"/>
                <w:lang w:val="en-US" w:eastAsia="zh-CN"/>
              </w:rPr>
              <w:t>硫酸</w:t>
            </w:r>
            <w:r>
              <w:rPr>
                <w:rFonts w:hint="eastAsia"/>
                <w:color w:val="auto"/>
                <w:highlight w:val="none"/>
                <w:lang w:eastAsia="zh-CN"/>
              </w:rPr>
              <w:t>收集处置措施不当，直接外排，污染地表水；泄漏化学品收集处置措施不当，流入土壤，污染土壤及地下水；用于收集吸附泄漏化学品的吸收吸附材料后期处理处置不当，污染环境；洗消被泄漏化学品污染的地面过程中产生的洗消废水直接外排，污染地表水；洗消被泄漏化学品污染的地面过程中产生的洗消废水流入土壤，污染土壤及地下水。</w:t>
            </w:r>
          </w:p>
        </w:tc>
      </w:tr>
      <w:tr w14:paraId="6203199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Merge w:val="restart"/>
            <w:vAlign w:val="center"/>
          </w:tcPr>
          <w:p w14:paraId="407D304E">
            <w:pPr>
              <w:pStyle w:val="17"/>
              <w:bidi w:val="0"/>
              <w:rPr>
                <w:color w:val="auto"/>
                <w:highlight w:val="none"/>
                <w:lang w:eastAsia="en-US"/>
              </w:rPr>
            </w:pPr>
            <w:r>
              <w:rPr>
                <w:color w:val="auto"/>
                <w:highlight w:val="none"/>
                <w:lang w:eastAsia="en-US"/>
              </w:rPr>
              <w:t>2</w:t>
            </w:r>
          </w:p>
        </w:tc>
        <w:tc>
          <w:tcPr>
            <w:tcW w:w="1075" w:type="dxa"/>
            <w:vMerge w:val="restart"/>
            <w:vAlign w:val="center"/>
          </w:tcPr>
          <w:p w14:paraId="284227E7">
            <w:pPr>
              <w:pStyle w:val="17"/>
              <w:bidi w:val="0"/>
              <w:rPr>
                <w:rFonts w:hint="eastAsia" w:eastAsia="宋体"/>
                <w:color w:val="auto"/>
                <w:highlight w:val="none"/>
                <w:lang w:eastAsia="zh-CN"/>
              </w:rPr>
            </w:pPr>
            <w:r>
              <w:rPr>
                <w:rFonts w:hint="eastAsia"/>
                <w:color w:val="auto"/>
                <w:highlight w:val="none"/>
                <w:lang w:eastAsia="zh-CN"/>
              </w:rPr>
              <w:t>危废贮存库</w:t>
            </w:r>
          </w:p>
        </w:tc>
        <w:tc>
          <w:tcPr>
            <w:tcW w:w="1067" w:type="dxa"/>
            <w:vAlign w:val="center"/>
          </w:tcPr>
          <w:p w14:paraId="63925703">
            <w:pPr>
              <w:pStyle w:val="17"/>
              <w:bidi w:val="0"/>
              <w:rPr>
                <w:color w:val="auto"/>
                <w:highlight w:val="none"/>
                <w:lang w:eastAsia="en-US"/>
              </w:rPr>
            </w:pPr>
            <w:r>
              <w:rPr>
                <w:rFonts w:hint="eastAsia"/>
                <w:color w:val="auto"/>
                <w:highlight w:val="none"/>
                <w:lang w:eastAsia="en-US"/>
              </w:rPr>
              <w:t>泄漏</w:t>
            </w:r>
          </w:p>
        </w:tc>
        <w:tc>
          <w:tcPr>
            <w:tcW w:w="5692" w:type="dxa"/>
            <w:vAlign w:val="center"/>
          </w:tcPr>
          <w:p w14:paraId="48E7C870">
            <w:pPr>
              <w:pStyle w:val="17"/>
              <w:bidi w:val="0"/>
              <w:rPr>
                <w:color w:val="auto"/>
                <w:highlight w:val="none"/>
                <w:lang w:eastAsia="zh-CN"/>
              </w:rPr>
            </w:pPr>
            <w:r>
              <w:rPr>
                <w:rFonts w:hint="eastAsia"/>
                <w:color w:val="auto"/>
                <w:highlight w:val="none"/>
                <w:lang w:eastAsia="zh-CN"/>
              </w:rPr>
              <w:t>泄漏</w:t>
            </w:r>
            <w:r>
              <w:rPr>
                <w:color w:val="auto"/>
                <w:highlight w:val="none"/>
                <w:lang w:eastAsia="zh-CN"/>
              </w:rPr>
              <w:t>/</w:t>
            </w:r>
            <w:r>
              <w:rPr>
                <w:rFonts w:hint="eastAsia"/>
                <w:color w:val="auto"/>
                <w:highlight w:val="none"/>
                <w:lang w:eastAsia="zh-CN"/>
              </w:rPr>
              <w:t>撒漏危险废物收集处置措施不当，直接外排，污染地表水；泄漏</w:t>
            </w:r>
            <w:r>
              <w:rPr>
                <w:color w:val="auto"/>
                <w:highlight w:val="none"/>
                <w:lang w:eastAsia="zh-CN"/>
              </w:rPr>
              <w:t>/</w:t>
            </w:r>
            <w:r>
              <w:rPr>
                <w:rFonts w:hint="eastAsia"/>
                <w:color w:val="auto"/>
                <w:highlight w:val="none"/>
                <w:lang w:eastAsia="zh-CN"/>
              </w:rPr>
              <w:t>撒漏危险废物收集处置措施不当，流入土壤，污染土壤及地下水；用于收集吸附泄漏</w:t>
            </w:r>
            <w:r>
              <w:rPr>
                <w:color w:val="auto"/>
                <w:highlight w:val="none"/>
                <w:lang w:eastAsia="zh-CN"/>
              </w:rPr>
              <w:t>/</w:t>
            </w:r>
            <w:r>
              <w:rPr>
                <w:rFonts w:hint="eastAsia"/>
                <w:color w:val="auto"/>
                <w:highlight w:val="none"/>
                <w:lang w:eastAsia="zh-CN"/>
              </w:rPr>
              <w:t>撒漏危险废物的吸收吸附材料后期处理处置不当，污染环境；洗消被泄漏</w:t>
            </w:r>
            <w:r>
              <w:rPr>
                <w:color w:val="auto"/>
                <w:highlight w:val="none"/>
                <w:lang w:eastAsia="zh-CN"/>
              </w:rPr>
              <w:t>/</w:t>
            </w:r>
            <w:r>
              <w:rPr>
                <w:rFonts w:hint="eastAsia"/>
                <w:color w:val="auto"/>
                <w:highlight w:val="none"/>
                <w:lang w:eastAsia="zh-CN"/>
              </w:rPr>
              <w:t>撒漏危险废物污染的地面过程中产生的洗消废水直接外排，污染地表水；洗消被泄漏</w:t>
            </w:r>
            <w:r>
              <w:rPr>
                <w:color w:val="auto"/>
                <w:highlight w:val="none"/>
                <w:lang w:eastAsia="zh-CN"/>
              </w:rPr>
              <w:t>/</w:t>
            </w:r>
            <w:r>
              <w:rPr>
                <w:rFonts w:hint="eastAsia"/>
                <w:color w:val="auto"/>
                <w:highlight w:val="none"/>
                <w:lang w:eastAsia="zh-CN"/>
              </w:rPr>
              <w:t>撒漏危险废物污染的地面过程中产生的洗消废水流入土壤，污染土壤及地下水。</w:t>
            </w:r>
          </w:p>
        </w:tc>
      </w:tr>
      <w:tr w14:paraId="5B0D2AA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Merge w:val="continue"/>
            <w:vAlign w:val="center"/>
          </w:tcPr>
          <w:p w14:paraId="52077B44">
            <w:pPr>
              <w:pStyle w:val="17"/>
              <w:bidi w:val="0"/>
              <w:rPr>
                <w:color w:val="auto"/>
                <w:highlight w:val="none"/>
                <w:lang w:eastAsia="zh-CN"/>
              </w:rPr>
            </w:pPr>
          </w:p>
        </w:tc>
        <w:tc>
          <w:tcPr>
            <w:tcW w:w="1075" w:type="dxa"/>
            <w:vMerge w:val="continue"/>
            <w:vAlign w:val="center"/>
          </w:tcPr>
          <w:p w14:paraId="1D5E4509">
            <w:pPr>
              <w:pStyle w:val="17"/>
              <w:bidi w:val="0"/>
              <w:rPr>
                <w:color w:val="auto"/>
                <w:highlight w:val="none"/>
                <w:lang w:eastAsia="zh-CN"/>
              </w:rPr>
            </w:pPr>
          </w:p>
        </w:tc>
        <w:tc>
          <w:tcPr>
            <w:tcW w:w="1067" w:type="dxa"/>
            <w:vAlign w:val="center"/>
          </w:tcPr>
          <w:p w14:paraId="6D3416A4">
            <w:pPr>
              <w:pStyle w:val="17"/>
              <w:bidi w:val="0"/>
              <w:rPr>
                <w:color w:val="auto"/>
                <w:highlight w:val="none"/>
                <w:lang w:eastAsia="en-US"/>
              </w:rPr>
            </w:pPr>
            <w:r>
              <w:rPr>
                <w:rFonts w:hint="eastAsia"/>
                <w:color w:val="auto"/>
                <w:highlight w:val="none"/>
                <w:lang w:eastAsia="en-US"/>
              </w:rPr>
              <w:t>火灾</w:t>
            </w:r>
          </w:p>
        </w:tc>
        <w:tc>
          <w:tcPr>
            <w:tcW w:w="5692" w:type="dxa"/>
            <w:vAlign w:val="center"/>
          </w:tcPr>
          <w:p w14:paraId="0AF816A1">
            <w:pPr>
              <w:pStyle w:val="17"/>
              <w:bidi w:val="0"/>
              <w:rPr>
                <w:color w:val="auto"/>
                <w:highlight w:val="none"/>
                <w:lang w:eastAsia="zh-CN"/>
              </w:rPr>
            </w:pPr>
            <w:r>
              <w:rPr>
                <w:rFonts w:hint="eastAsia"/>
                <w:color w:val="auto"/>
                <w:highlight w:val="none"/>
                <w:lang w:eastAsia="zh-CN"/>
              </w:rPr>
              <w:t>危废燃烧产生的烟尘、一氧化碳等污染物污染周围大气环境； 危废燃烧消防过程中产生的消防废水处置不当，直接外排，污染地表水；危废燃烧消防过程中产生的消防废水处置不当，流入土壤，污染土壤及地下水。</w:t>
            </w:r>
          </w:p>
        </w:tc>
      </w:tr>
      <w:tr w14:paraId="36726B7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Merge w:val="continue"/>
            <w:vAlign w:val="center"/>
          </w:tcPr>
          <w:p w14:paraId="59670939">
            <w:pPr>
              <w:pStyle w:val="17"/>
              <w:bidi w:val="0"/>
              <w:rPr>
                <w:color w:val="auto"/>
                <w:highlight w:val="none"/>
                <w:lang w:eastAsia="zh-CN"/>
              </w:rPr>
            </w:pPr>
          </w:p>
        </w:tc>
        <w:tc>
          <w:tcPr>
            <w:tcW w:w="1075" w:type="dxa"/>
            <w:vMerge w:val="continue"/>
            <w:vAlign w:val="center"/>
          </w:tcPr>
          <w:p w14:paraId="154AF7C4">
            <w:pPr>
              <w:pStyle w:val="17"/>
              <w:bidi w:val="0"/>
              <w:rPr>
                <w:color w:val="auto"/>
                <w:highlight w:val="none"/>
                <w:lang w:eastAsia="zh-CN"/>
              </w:rPr>
            </w:pPr>
          </w:p>
        </w:tc>
        <w:tc>
          <w:tcPr>
            <w:tcW w:w="1067" w:type="dxa"/>
            <w:vAlign w:val="center"/>
          </w:tcPr>
          <w:p w14:paraId="0970A1F8">
            <w:pPr>
              <w:pStyle w:val="17"/>
              <w:bidi w:val="0"/>
              <w:rPr>
                <w:color w:val="auto"/>
                <w:highlight w:val="none"/>
                <w:lang w:eastAsia="en-US"/>
              </w:rPr>
            </w:pPr>
            <w:r>
              <w:rPr>
                <w:rFonts w:hint="eastAsia"/>
                <w:color w:val="auto"/>
                <w:highlight w:val="none"/>
                <w:lang w:eastAsia="en-US"/>
              </w:rPr>
              <w:t>爆炸</w:t>
            </w:r>
          </w:p>
        </w:tc>
        <w:tc>
          <w:tcPr>
            <w:tcW w:w="5692" w:type="dxa"/>
            <w:vAlign w:val="center"/>
          </w:tcPr>
          <w:p w14:paraId="5805F308">
            <w:pPr>
              <w:pStyle w:val="17"/>
              <w:bidi w:val="0"/>
              <w:rPr>
                <w:color w:val="auto"/>
                <w:highlight w:val="none"/>
                <w:lang w:eastAsia="zh-CN"/>
              </w:rPr>
            </w:pPr>
            <w:r>
              <w:rPr>
                <w:rFonts w:hint="eastAsia"/>
                <w:color w:val="auto"/>
                <w:highlight w:val="none"/>
                <w:lang w:eastAsia="zh-CN"/>
              </w:rPr>
              <w:t>危废贮存库爆炸后危废燃烧产生的烟尘、一氧化碳等污染物污染周围大气环境；危废贮存库爆炸后泄漏危废直接外排，污染地表水；危废贮存库爆炸后泄漏危废流入土壤，污染土壤及地下水。</w:t>
            </w:r>
          </w:p>
        </w:tc>
      </w:tr>
      <w:tr w14:paraId="2F1FEDD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Merge w:val="restart"/>
            <w:vAlign w:val="center"/>
          </w:tcPr>
          <w:p w14:paraId="4B7EC805">
            <w:pPr>
              <w:pStyle w:val="17"/>
              <w:bidi w:val="0"/>
              <w:rPr>
                <w:rFonts w:hint="default"/>
                <w:color w:val="auto"/>
                <w:highlight w:val="none"/>
                <w:lang w:val="en-US" w:eastAsia="zh-CN"/>
              </w:rPr>
            </w:pPr>
            <w:r>
              <w:rPr>
                <w:rFonts w:hint="eastAsia"/>
                <w:color w:val="auto"/>
                <w:highlight w:val="none"/>
                <w:lang w:val="en-US" w:eastAsia="zh-CN"/>
              </w:rPr>
              <w:t>3</w:t>
            </w:r>
          </w:p>
        </w:tc>
        <w:tc>
          <w:tcPr>
            <w:tcW w:w="1075" w:type="dxa"/>
            <w:vMerge w:val="restart"/>
            <w:vAlign w:val="center"/>
          </w:tcPr>
          <w:p w14:paraId="0CF0BF1C">
            <w:pPr>
              <w:pStyle w:val="17"/>
              <w:bidi w:val="0"/>
              <w:rPr>
                <w:color w:val="auto"/>
                <w:highlight w:val="none"/>
                <w:lang w:eastAsia="zh-CN"/>
              </w:rPr>
            </w:pPr>
            <w:r>
              <w:rPr>
                <w:rFonts w:hint="eastAsia"/>
                <w:color w:val="auto"/>
                <w:highlight w:val="none"/>
              </w:rPr>
              <w:t>爆破材料库</w:t>
            </w:r>
          </w:p>
        </w:tc>
        <w:tc>
          <w:tcPr>
            <w:tcW w:w="1067" w:type="dxa"/>
            <w:shd w:val="clear" w:color="auto" w:fill="auto"/>
            <w:vAlign w:val="center"/>
          </w:tcPr>
          <w:p w14:paraId="026A93B8">
            <w:pPr>
              <w:pStyle w:val="17"/>
              <w:bidi w:val="0"/>
              <w:ind w:firstLine="0" w:firstLineChars="0"/>
              <w:rPr>
                <w:rFonts w:hint="eastAsia" w:ascii="Times New Roman" w:hAnsi="Times New Roman" w:eastAsia="宋体" w:cs="Times New Roman"/>
                <w:color w:val="auto"/>
                <w:kern w:val="2"/>
                <w:sz w:val="21"/>
                <w:szCs w:val="21"/>
                <w:highlight w:val="none"/>
                <w:lang w:val="en-US" w:eastAsia="en-US" w:bidi="ar-SA"/>
              </w:rPr>
            </w:pPr>
            <w:r>
              <w:rPr>
                <w:rFonts w:hint="eastAsia"/>
                <w:color w:val="auto"/>
                <w:highlight w:val="none"/>
                <w:lang w:eastAsia="en-US"/>
              </w:rPr>
              <w:t>火灾</w:t>
            </w:r>
          </w:p>
        </w:tc>
        <w:tc>
          <w:tcPr>
            <w:tcW w:w="5692" w:type="dxa"/>
            <w:shd w:val="clear" w:color="auto" w:fill="auto"/>
            <w:vAlign w:val="center"/>
          </w:tcPr>
          <w:p w14:paraId="135E118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可燃物质燃烧产生的烟尘、一氧化碳等污染物污染周围大气环境；可燃物质燃烧消防过程中产生的消防废水处置不当，直接外排，污染地表水；可燃物质燃烧消防过程中产生的消防废水处置不当，流入土壤，污染土壤及地下水。</w:t>
            </w:r>
          </w:p>
        </w:tc>
      </w:tr>
      <w:tr w14:paraId="6EDEB9A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Merge w:val="continue"/>
            <w:vAlign w:val="center"/>
          </w:tcPr>
          <w:p w14:paraId="674D9147">
            <w:pPr>
              <w:pStyle w:val="17"/>
              <w:bidi w:val="0"/>
              <w:rPr>
                <w:color w:val="auto"/>
                <w:highlight w:val="none"/>
                <w:lang w:eastAsia="zh-CN"/>
              </w:rPr>
            </w:pPr>
          </w:p>
        </w:tc>
        <w:tc>
          <w:tcPr>
            <w:tcW w:w="1075" w:type="dxa"/>
            <w:vMerge w:val="continue"/>
            <w:vAlign w:val="center"/>
          </w:tcPr>
          <w:p w14:paraId="713C0441">
            <w:pPr>
              <w:pStyle w:val="17"/>
              <w:bidi w:val="0"/>
              <w:rPr>
                <w:rFonts w:hint="eastAsia"/>
                <w:color w:val="auto"/>
                <w:highlight w:val="none"/>
              </w:rPr>
            </w:pPr>
          </w:p>
        </w:tc>
        <w:tc>
          <w:tcPr>
            <w:tcW w:w="1067" w:type="dxa"/>
            <w:shd w:val="clear" w:color="auto" w:fill="auto"/>
            <w:vAlign w:val="center"/>
          </w:tcPr>
          <w:p w14:paraId="7A862176">
            <w:pPr>
              <w:pStyle w:val="17"/>
              <w:bidi w:val="0"/>
              <w:ind w:firstLine="0" w:firstLineChars="0"/>
              <w:rPr>
                <w:rFonts w:hint="eastAsia" w:ascii="Times New Roman" w:hAnsi="Times New Roman" w:eastAsia="宋体" w:cs="Times New Roman"/>
                <w:color w:val="auto"/>
                <w:kern w:val="2"/>
                <w:sz w:val="21"/>
                <w:szCs w:val="21"/>
                <w:highlight w:val="none"/>
                <w:lang w:val="en-US" w:eastAsia="en-US" w:bidi="ar-SA"/>
              </w:rPr>
            </w:pPr>
            <w:r>
              <w:rPr>
                <w:rFonts w:hint="eastAsia"/>
                <w:color w:val="auto"/>
                <w:highlight w:val="none"/>
                <w:lang w:eastAsia="en-US"/>
              </w:rPr>
              <w:t>爆炸</w:t>
            </w:r>
          </w:p>
        </w:tc>
        <w:tc>
          <w:tcPr>
            <w:tcW w:w="5692" w:type="dxa"/>
            <w:shd w:val="clear" w:color="auto" w:fill="auto"/>
            <w:vAlign w:val="center"/>
          </w:tcPr>
          <w:p w14:paraId="3B614587">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可燃物质爆炸后柴油燃烧产生的烟尘、一氧化碳等污染物污染周围大气环境；可燃物质爆炸后泄漏柴油直接外排，污染地表水；可燃物质爆炸后泄漏柴油流入土壤，污染土壤及地下水。</w:t>
            </w:r>
          </w:p>
        </w:tc>
      </w:tr>
      <w:tr w14:paraId="383F92C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Merge w:val="restart"/>
            <w:vAlign w:val="center"/>
          </w:tcPr>
          <w:p w14:paraId="472329AA">
            <w:pPr>
              <w:pStyle w:val="17"/>
              <w:bidi w:val="0"/>
              <w:rPr>
                <w:rFonts w:hint="default"/>
                <w:color w:val="auto"/>
                <w:highlight w:val="none"/>
                <w:lang w:val="en-US" w:eastAsia="zh-CN"/>
              </w:rPr>
            </w:pPr>
            <w:r>
              <w:rPr>
                <w:rFonts w:hint="eastAsia"/>
                <w:color w:val="auto"/>
                <w:highlight w:val="none"/>
                <w:lang w:val="en-US" w:eastAsia="zh-CN"/>
              </w:rPr>
              <w:t>4</w:t>
            </w:r>
          </w:p>
        </w:tc>
        <w:tc>
          <w:tcPr>
            <w:tcW w:w="1075" w:type="dxa"/>
            <w:vMerge w:val="restart"/>
            <w:vAlign w:val="center"/>
          </w:tcPr>
          <w:p w14:paraId="109C6314">
            <w:pPr>
              <w:pStyle w:val="17"/>
              <w:bidi w:val="0"/>
              <w:rPr>
                <w:rFonts w:hint="eastAsia" w:eastAsia="宋体"/>
                <w:color w:val="auto"/>
                <w:highlight w:val="none"/>
                <w:lang w:val="en-US" w:eastAsia="zh-CN"/>
              </w:rPr>
            </w:pPr>
            <w:r>
              <w:rPr>
                <w:rFonts w:hint="eastAsia"/>
                <w:color w:val="auto"/>
                <w:highlight w:val="none"/>
                <w:lang w:val="en-US" w:eastAsia="zh-CN"/>
              </w:rPr>
              <w:t>加油站</w:t>
            </w:r>
          </w:p>
        </w:tc>
        <w:tc>
          <w:tcPr>
            <w:tcW w:w="1067" w:type="dxa"/>
            <w:vAlign w:val="center"/>
          </w:tcPr>
          <w:p w14:paraId="50CCDAED">
            <w:pPr>
              <w:pStyle w:val="17"/>
              <w:bidi w:val="0"/>
              <w:ind w:firstLine="0" w:firstLineChars="0"/>
              <w:rPr>
                <w:rFonts w:hint="eastAsia"/>
                <w:color w:val="auto"/>
                <w:highlight w:val="none"/>
                <w:lang w:eastAsia="en-US"/>
              </w:rPr>
            </w:pPr>
            <w:r>
              <w:rPr>
                <w:rFonts w:hint="eastAsia"/>
                <w:color w:val="auto"/>
                <w:highlight w:val="none"/>
                <w:lang w:eastAsia="en-US"/>
              </w:rPr>
              <w:t>泄漏</w:t>
            </w:r>
          </w:p>
        </w:tc>
        <w:tc>
          <w:tcPr>
            <w:tcW w:w="5692" w:type="dxa"/>
            <w:vAlign w:val="center"/>
          </w:tcPr>
          <w:p w14:paraId="0E4DC1B8">
            <w:pPr>
              <w:pStyle w:val="17"/>
              <w:bidi w:val="0"/>
              <w:ind w:firstLine="0" w:firstLineChars="0"/>
              <w:rPr>
                <w:rFonts w:hint="eastAsia"/>
                <w:color w:val="auto"/>
                <w:highlight w:val="none"/>
                <w:lang w:eastAsia="zh-CN"/>
              </w:rPr>
            </w:pPr>
            <w:r>
              <w:rPr>
                <w:rFonts w:hint="eastAsia"/>
                <w:color w:val="auto"/>
                <w:highlight w:val="none"/>
                <w:lang w:eastAsia="zh-CN"/>
              </w:rPr>
              <w:t>泄漏柴油收集处置措施不当，直接外排，污染地表水；泄漏柴油收集处置措施不当，流入土壤，污染土壤及地下水；用于收集吸附泄漏柴油的吸收吸附材料后期处理处置不当，污染环境；洗消被泄漏柴油污染的地面过程中产生的洗消废水直接外排，污染地表水；洗消被泄漏柴油污染的地面过程中产生的洗消废水流入土壤，污染土壤及地下水。</w:t>
            </w:r>
          </w:p>
        </w:tc>
      </w:tr>
      <w:tr w14:paraId="66F3C18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Merge w:val="continue"/>
            <w:vAlign w:val="center"/>
          </w:tcPr>
          <w:p w14:paraId="4E68105C">
            <w:pPr>
              <w:pStyle w:val="17"/>
              <w:bidi w:val="0"/>
              <w:rPr>
                <w:color w:val="auto"/>
                <w:highlight w:val="none"/>
                <w:lang w:eastAsia="zh-CN"/>
              </w:rPr>
            </w:pPr>
          </w:p>
        </w:tc>
        <w:tc>
          <w:tcPr>
            <w:tcW w:w="1075" w:type="dxa"/>
            <w:vMerge w:val="continue"/>
            <w:vAlign w:val="center"/>
          </w:tcPr>
          <w:p w14:paraId="54351930">
            <w:pPr>
              <w:pStyle w:val="17"/>
              <w:bidi w:val="0"/>
              <w:rPr>
                <w:rFonts w:hint="eastAsia"/>
                <w:color w:val="auto"/>
                <w:highlight w:val="none"/>
                <w:lang w:val="en-US" w:eastAsia="zh-CN"/>
              </w:rPr>
            </w:pPr>
          </w:p>
        </w:tc>
        <w:tc>
          <w:tcPr>
            <w:tcW w:w="1067" w:type="dxa"/>
            <w:vAlign w:val="center"/>
          </w:tcPr>
          <w:p w14:paraId="61E28AB1">
            <w:pPr>
              <w:pStyle w:val="17"/>
              <w:bidi w:val="0"/>
              <w:ind w:firstLine="0" w:firstLineChars="0"/>
              <w:rPr>
                <w:rFonts w:hint="eastAsia"/>
                <w:color w:val="auto"/>
                <w:highlight w:val="none"/>
                <w:lang w:eastAsia="en-US"/>
              </w:rPr>
            </w:pPr>
            <w:r>
              <w:rPr>
                <w:rFonts w:hint="eastAsia"/>
                <w:color w:val="auto"/>
                <w:highlight w:val="none"/>
                <w:lang w:eastAsia="en-US"/>
              </w:rPr>
              <w:t>火灾</w:t>
            </w:r>
          </w:p>
        </w:tc>
        <w:tc>
          <w:tcPr>
            <w:tcW w:w="5692" w:type="dxa"/>
            <w:vAlign w:val="center"/>
          </w:tcPr>
          <w:p w14:paraId="4DB5B9AA">
            <w:pPr>
              <w:pStyle w:val="17"/>
              <w:bidi w:val="0"/>
              <w:ind w:firstLine="0" w:firstLineChars="0"/>
              <w:rPr>
                <w:rFonts w:hint="eastAsia"/>
                <w:color w:val="auto"/>
                <w:highlight w:val="none"/>
                <w:lang w:eastAsia="zh-CN"/>
              </w:rPr>
            </w:pPr>
            <w:r>
              <w:rPr>
                <w:rFonts w:hint="eastAsia"/>
                <w:color w:val="auto"/>
                <w:highlight w:val="none"/>
                <w:lang w:eastAsia="zh-CN"/>
              </w:rPr>
              <w:t>可燃物质燃烧产生的烟尘、一氧化碳等污染物污染周围大气环境；可燃物质燃烧消防过程中产生的消防废水处置不当，直接外排，污染地表水；可燃物质燃烧消防过程中产生的消防废水处置不当，流入土壤，污染土壤及地下水。</w:t>
            </w:r>
          </w:p>
        </w:tc>
      </w:tr>
      <w:tr w14:paraId="60D8FEA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Merge w:val="continue"/>
            <w:vAlign w:val="center"/>
          </w:tcPr>
          <w:p w14:paraId="59869D67">
            <w:pPr>
              <w:pStyle w:val="17"/>
              <w:bidi w:val="0"/>
              <w:rPr>
                <w:color w:val="auto"/>
                <w:highlight w:val="none"/>
                <w:lang w:eastAsia="zh-CN"/>
              </w:rPr>
            </w:pPr>
          </w:p>
        </w:tc>
        <w:tc>
          <w:tcPr>
            <w:tcW w:w="1075" w:type="dxa"/>
            <w:vMerge w:val="continue"/>
            <w:vAlign w:val="center"/>
          </w:tcPr>
          <w:p w14:paraId="04671EBB">
            <w:pPr>
              <w:pStyle w:val="17"/>
              <w:bidi w:val="0"/>
              <w:rPr>
                <w:rFonts w:hint="eastAsia"/>
                <w:color w:val="auto"/>
                <w:highlight w:val="none"/>
                <w:lang w:val="en-US" w:eastAsia="zh-CN"/>
              </w:rPr>
            </w:pPr>
          </w:p>
        </w:tc>
        <w:tc>
          <w:tcPr>
            <w:tcW w:w="1067" w:type="dxa"/>
            <w:vAlign w:val="center"/>
          </w:tcPr>
          <w:p w14:paraId="633C4D61">
            <w:pPr>
              <w:pStyle w:val="17"/>
              <w:bidi w:val="0"/>
              <w:ind w:firstLine="0" w:firstLineChars="0"/>
              <w:rPr>
                <w:rFonts w:hint="eastAsia"/>
                <w:color w:val="auto"/>
                <w:highlight w:val="none"/>
                <w:lang w:eastAsia="en-US"/>
              </w:rPr>
            </w:pPr>
            <w:r>
              <w:rPr>
                <w:rFonts w:hint="eastAsia"/>
                <w:color w:val="auto"/>
                <w:highlight w:val="none"/>
                <w:lang w:eastAsia="en-US"/>
              </w:rPr>
              <w:t>爆炸</w:t>
            </w:r>
          </w:p>
        </w:tc>
        <w:tc>
          <w:tcPr>
            <w:tcW w:w="5692" w:type="dxa"/>
            <w:vAlign w:val="center"/>
          </w:tcPr>
          <w:p w14:paraId="14654963">
            <w:pPr>
              <w:pStyle w:val="17"/>
              <w:bidi w:val="0"/>
              <w:ind w:firstLine="0" w:firstLineChars="0"/>
              <w:rPr>
                <w:rFonts w:hint="eastAsia"/>
                <w:color w:val="auto"/>
                <w:highlight w:val="none"/>
                <w:lang w:eastAsia="zh-CN"/>
              </w:rPr>
            </w:pPr>
            <w:r>
              <w:rPr>
                <w:rFonts w:hint="eastAsia"/>
                <w:color w:val="auto"/>
                <w:highlight w:val="none"/>
                <w:lang w:eastAsia="zh-CN"/>
              </w:rPr>
              <w:t>可燃物质爆炸后柴油燃烧产生的烟尘、一氧化碳等污染物污染周围大气环境；可燃物质爆炸后泄漏柴油直接外排，污染地表水；可燃物质爆炸后泄漏柴油流入土壤，污染土壤及地下水。</w:t>
            </w:r>
          </w:p>
        </w:tc>
      </w:tr>
      <w:tr w14:paraId="56550E5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Align w:val="center"/>
          </w:tcPr>
          <w:p w14:paraId="31CEECA5">
            <w:pPr>
              <w:pStyle w:val="17"/>
              <w:bidi w:val="0"/>
              <w:rPr>
                <w:rFonts w:hint="eastAsia" w:eastAsia="宋体"/>
                <w:color w:val="auto"/>
                <w:highlight w:val="none"/>
                <w:lang w:eastAsia="zh-CN"/>
              </w:rPr>
            </w:pPr>
            <w:r>
              <w:rPr>
                <w:rFonts w:hint="eastAsia"/>
                <w:color w:val="auto"/>
                <w:highlight w:val="none"/>
                <w:lang w:eastAsia="zh-CN"/>
              </w:rPr>
              <w:t>5</w:t>
            </w:r>
          </w:p>
        </w:tc>
        <w:tc>
          <w:tcPr>
            <w:tcW w:w="1075" w:type="dxa"/>
            <w:vAlign w:val="center"/>
          </w:tcPr>
          <w:p w14:paraId="03633073">
            <w:pPr>
              <w:pStyle w:val="17"/>
              <w:bidi w:val="0"/>
              <w:rPr>
                <w:color w:val="auto"/>
                <w:highlight w:val="none"/>
                <w:lang w:eastAsia="en-US"/>
              </w:rPr>
            </w:pPr>
            <w:r>
              <w:rPr>
                <w:rFonts w:hint="eastAsia"/>
                <w:color w:val="auto"/>
                <w:highlight w:val="none"/>
                <w:lang w:eastAsia="en-US"/>
              </w:rPr>
              <w:t>废水输送系统管道</w:t>
            </w:r>
          </w:p>
        </w:tc>
        <w:tc>
          <w:tcPr>
            <w:tcW w:w="1067" w:type="dxa"/>
            <w:vAlign w:val="center"/>
          </w:tcPr>
          <w:p w14:paraId="33EF00A7">
            <w:pPr>
              <w:pStyle w:val="17"/>
              <w:bidi w:val="0"/>
              <w:rPr>
                <w:color w:val="auto"/>
                <w:highlight w:val="none"/>
                <w:lang w:eastAsia="en-US"/>
              </w:rPr>
            </w:pPr>
            <w:r>
              <w:rPr>
                <w:rFonts w:hint="eastAsia"/>
                <w:color w:val="auto"/>
                <w:highlight w:val="none"/>
                <w:lang w:eastAsia="en-US"/>
              </w:rPr>
              <w:t>泄漏</w:t>
            </w:r>
          </w:p>
        </w:tc>
        <w:tc>
          <w:tcPr>
            <w:tcW w:w="5692" w:type="dxa"/>
            <w:vAlign w:val="center"/>
          </w:tcPr>
          <w:p w14:paraId="69F5D072">
            <w:pPr>
              <w:pStyle w:val="17"/>
              <w:bidi w:val="0"/>
              <w:rPr>
                <w:color w:val="auto"/>
                <w:highlight w:val="none"/>
                <w:lang w:eastAsia="zh-CN"/>
              </w:rPr>
            </w:pPr>
            <w:r>
              <w:rPr>
                <w:rFonts w:hint="eastAsia"/>
                <w:color w:val="auto"/>
                <w:highlight w:val="none"/>
                <w:lang w:eastAsia="zh-CN"/>
              </w:rPr>
              <w:t>废水输送系统管道破裂、接头和阀门损坏易导致污水外溢，污染地表水及地下水。</w:t>
            </w:r>
          </w:p>
        </w:tc>
      </w:tr>
      <w:tr w14:paraId="016A29D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02" w:type="dxa"/>
            <w:vAlign w:val="center"/>
          </w:tcPr>
          <w:p w14:paraId="6A9BB166">
            <w:pPr>
              <w:pStyle w:val="17"/>
              <w:bidi w:val="0"/>
              <w:rPr>
                <w:rFonts w:hint="default" w:eastAsia="宋体"/>
                <w:color w:val="auto"/>
                <w:highlight w:val="none"/>
                <w:lang w:val="en-US" w:eastAsia="zh-CN"/>
              </w:rPr>
            </w:pPr>
            <w:r>
              <w:rPr>
                <w:rFonts w:hint="eastAsia"/>
                <w:color w:val="auto"/>
                <w:highlight w:val="none"/>
                <w:lang w:val="en-US" w:eastAsia="zh-CN"/>
              </w:rPr>
              <w:t>6</w:t>
            </w:r>
          </w:p>
        </w:tc>
        <w:tc>
          <w:tcPr>
            <w:tcW w:w="1075" w:type="dxa"/>
            <w:vAlign w:val="center"/>
          </w:tcPr>
          <w:p w14:paraId="5179B68E">
            <w:pPr>
              <w:pStyle w:val="17"/>
              <w:bidi w:val="0"/>
              <w:rPr>
                <w:color w:val="auto"/>
                <w:highlight w:val="none"/>
                <w:lang w:eastAsia="en-US"/>
              </w:rPr>
            </w:pPr>
            <w:r>
              <w:rPr>
                <w:rFonts w:hint="eastAsia"/>
                <w:color w:val="auto"/>
                <w:highlight w:val="none"/>
                <w:lang w:eastAsia="en-US"/>
              </w:rPr>
              <w:t>尾矿库</w:t>
            </w:r>
          </w:p>
        </w:tc>
        <w:tc>
          <w:tcPr>
            <w:tcW w:w="1067" w:type="dxa"/>
            <w:vAlign w:val="center"/>
          </w:tcPr>
          <w:p w14:paraId="5AF7A186">
            <w:pPr>
              <w:pStyle w:val="17"/>
              <w:bidi w:val="0"/>
              <w:rPr>
                <w:color w:val="auto"/>
                <w:highlight w:val="none"/>
                <w:lang w:eastAsia="en-US"/>
              </w:rPr>
            </w:pPr>
            <w:r>
              <w:rPr>
                <w:rFonts w:hint="eastAsia"/>
                <w:color w:val="auto"/>
                <w:highlight w:val="none"/>
                <w:lang w:eastAsia="en-US"/>
              </w:rPr>
              <w:t>溃坝</w:t>
            </w:r>
          </w:p>
        </w:tc>
        <w:tc>
          <w:tcPr>
            <w:tcW w:w="5692" w:type="dxa"/>
            <w:vAlign w:val="center"/>
          </w:tcPr>
          <w:p w14:paraId="53814E5B">
            <w:pPr>
              <w:pStyle w:val="17"/>
              <w:bidi w:val="0"/>
              <w:rPr>
                <w:color w:val="auto"/>
                <w:highlight w:val="none"/>
                <w:lang w:eastAsia="zh-CN"/>
              </w:rPr>
            </w:pPr>
            <w:r>
              <w:rPr>
                <w:rFonts w:hint="eastAsia"/>
                <w:color w:val="auto"/>
                <w:highlight w:val="none"/>
                <w:lang w:eastAsia="zh-CN"/>
              </w:rPr>
              <w:t>排水设施堵塞或损坏、坝体裂缝、滑坡、洪水漫顶等导致的溃坝事故，污染土壤及地下水，破坏生态环境。</w:t>
            </w:r>
          </w:p>
        </w:tc>
      </w:tr>
    </w:tbl>
    <w:p w14:paraId="40AC2ABD">
      <w:pPr>
        <w:pStyle w:val="7"/>
        <w:bidi w:val="0"/>
        <w:rPr>
          <w:color w:val="auto"/>
          <w:highlight w:val="none"/>
        </w:rPr>
      </w:pPr>
      <w:r>
        <w:rPr>
          <w:rFonts w:hint="eastAsia"/>
          <w:color w:val="auto"/>
          <w:highlight w:val="none"/>
          <w:lang w:val="en-US" w:eastAsia="zh-CN"/>
        </w:rPr>
        <w:t>5.2.8.5</w:t>
      </w:r>
      <w:r>
        <w:rPr>
          <w:rFonts w:hint="eastAsia"/>
          <w:color w:val="auto"/>
          <w:highlight w:val="none"/>
        </w:rPr>
        <w:t>环境风险影响评价</w:t>
      </w:r>
    </w:p>
    <w:p w14:paraId="72921BA3">
      <w:pPr>
        <w:overflowPunct w:val="0"/>
        <w:topLinePunct/>
        <w:ind w:firstLine="480"/>
        <w:rPr>
          <w:color w:val="auto"/>
          <w:highlight w:val="none"/>
        </w:rPr>
      </w:pPr>
      <w:r>
        <w:rPr>
          <w:rFonts w:hint="eastAsia"/>
          <w:color w:val="auto"/>
          <w:highlight w:val="none"/>
        </w:rPr>
        <w:t>（1）火灾事故环境空气影响分析</w:t>
      </w:r>
    </w:p>
    <w:p w14:paraId="316CA56F">
      <w:pPr>
        <w:overflowPunct w:val="0"/>
        <w:topLinePunct/>
        <w:ind w:firstLine="480"/>
        <w:rPr>
          <w:color w:val="auto"/>
          <w:highlight w:val="none"/>
        </w:rPr>
      </w:pPr>
      <w:r>
        <w:rPr>
          <w:rFonts w:hint="eastAsia"/>
          <w:color w:val="auto"/>
          <w:highlight w:val="none"/>
        </w:rPr>
        <w:t>物料发生火灾时</w:t>
      </w:r>
      <w:r>
        <w:rPr>
          <w:rFonts w:hint="eastAsia"/>
          <w:color w:val="auto"/>
          <w:highlight w:val="none"/>
          <w:lang w:eastAsia="zh-CN"/>
        </w:rPr>
        <w:t>释放</w:t>
      </w:r>
      <w:r>
        <w:rPr>
          <w:rFonts w:hint="eastAsia"/>
          <w:color w:val="auto"/>
          <w:highlight w:val="none"/>
        </w:rPr>
        <w:t>出大量辐射热，同时还散发出大量的浓烟，浓烟是由燃烧物质释放出的高温蒸汽和毒气、被分解和凝聚的未燃烧物质、被火焰加热而带入上升气流中的大量空气等多种物质组成。它不但含有大量的热量，而且含有毒气体和弥散的固体微粒。因此浓烟对火场周围人员的生命安全危害程度远超过火灾本身，并对周围的大气环境质量造成很大的污染和破坏。</w:t>
      </w:r>
    </w:p>
    <w:p w14:paraId="7DA710FB">
      <w:pPr>
        <w:overflowPunct w:val="0"/>
        <w:topLinePunct/>
        <w:ind w:firstLine="480"/>
        <w:rPr>
          <w:color w:val="auto"/>
          <w:highlight w:val="none"/>
        </w:rPr>
      </w:pPr>
      <w:r>
        <w:rPr>
          <w:rFonts w:hint="eastAsia"/>
          <w:color w:val="auto"/>
          <w:highlight w:val="none"/>
        </w:rPr>
        <w:t>（2）化学品运输风险影响</w:t>
      </w:r>
    </w:p>
    <w:p w14:paraId="0275E8E3">
      <w:pPr>
        <w:overflowPunct w:val="0"/>
        <w:topLinePunct/>
        <w:ind w:firstLine="480"/>
        <w:rPr>
          <w:rFonts w:hint="default" w:ascii="Times New Roman" w:hAnsi="Times New Roman" w:cs="Times New Roman"/>
          <w:color w:val="auto"/>
          <w:highlight w:val="none"/>
        </w:rPr>
      </w:pPr>
      <w:r>
        <w:rPr>
          <w:rFonts w:hint="eastAsia"/>
          <w:color w:val="auto"/>
          <w:highlight w:val="none"/>
        </w:rPr>
        <w:t>运</w:t>
      </w:r>
      <w:r>
        <w:rPr>
          <w:rFonts w:hint="default" w:ascii="Times New Roman" w:hAnsi="Times New Roman" w:cs="Times New Roman"/>
          <w:color w:val="auto"/>
          <w:highlight w:val="none"/>
        </w:rPr>
        <w:t>输危险物品的车辆是一个流动的危险源，本项目运输</w:t>
      </w:r>
      <w:r>
        <w:rPr>
          <w:rFonts w:hint="default" w:ascii="Times New Roman" w:hAnsi="Times New Roman" w:cs="Times New Roman"/>
          <w:color w:val="auto"/>
          <w:highlight w:val="none"/>
          <w:lang w:eastAsia="zh-CN" w:bidi="ar"/>
        </w:rPr>
        <w:t>化学品</w:t>
      </w:r>
      <w:r>
        <w:rPr>
          <w:rFonts w:hint="default" w:ascii="Times New Roman" w:hAnsi="Times New Roman" w:cs="Times New Roman"/>
          <w:color w:val="auto"/>
          <w:highlight w:val="none"/>
        </w:rPr>
        <w:t>的车辆，一旦发生事故，造成危险品泄漏，可能造成事故发生地地表水体、土壤的污染。本项目危险品运输量较小，可能造成的化学品运输风险较小。</w:t>
      </w:r>
    </w:p>
    <w:p w14:paraId="7774FCB8">
      <w:pPr>
        <w:overflowPunct w:val="0"/>
        <w:topLinePunct/>
        <w:ind w:firstLine="48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泄漏事故影响分析</w:t>
      </w:r>
    </w:p>
    <w:p w14:paraId="77CEFBF1">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硫酸主要储存于</w:t>
      </w:r>
      <w:r>
        <w:rPr>
          <w:rFonts w:hint="eastAsia" w:cs="Times New Roman"/>
          <w:color w:val="auto"/>
          <w:highlight w:val="none"/>
          <w:lang w:val="en-US" w:eastAsia="zh-CN"/>
        </w:rPr>
        <w:t>硫酸稀释车间</w:t>
      </w:r>
      <w:r>
        <w:rPr>
          <w:rFonts w:hint="default" w:ascii="Times New Roman" w:hAnsi="Times New Roman" w:cs="Times New Roman"/>
          <w:color w:val="auto"/>
          <w:highlight w:val="none"/>
          <w:lang w:val="en-US" w:eastAsia="zh-CN"/>
        </w:rPr>
        <w:t>储罐内，防渗不严或地表截留设施失效，导致泄漏。硫酸直接下渗至地表水、地下水、土壤环境中，会造成环境污染。</w:t>
      </w:r>
    </w:p>
    <w:p w14:paraId="4EF28270">
      <w:pPr>
        <w:rPr>
          <w:rFonts w:hint="eastAsia" w:cs="Times New Roman"/>
          <w:color w:val="auto"/>
          <w:highlight w:val="none"/>
          <w:lang w:val="en-US" w:eastAsia="zh-CN"/>
        </w:rPr>
      </w:pPr>
      <w:r>
        <w:rPr>
          <w:rFonts w:hint="eastAsia" w:cs="Times New Roman"/>
          <w:color w:val="auto"/>
          <w:highlight w:val="none"/>
          <w:lang w:val="en-US" w:eastAsia="zh-CN"/>
        </w:rPr>
        <w:t>泄漏源强分析：</w:t>
      </w:r>
    </w:p>
    <w:p w14:paraId="2847678D">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本次</w:t>
      </w:r>
      <w:r>
        <w:rPr>
          <w:rFonts w:hint="eastAsia" w:cs="Times New Roman"/>
          <w:color w:val="auto"/>
          <w:highlight w:val="none"/>
          <w:lang w:eastAsia="zh-CN"/>
        </w:rPr>
        <w:t>酸液</w:t>
      </w:r>
      <w:r>
        <w:rPr>
          <w:rFonts w:hint="default" w:ascii="Times New Roman" w:hAnsi="Times New Roman" w:cs="Times New Roman"/>
          <w:color w:val="auto"/>
          <w:highlight w:val="none"/>
        </w:rPr>
        <w:t>泄漏量以单个</w:t>
      </w:r>
      <w:r>
        <w:rPr>
          <w:rFonts w:hint="eastAsia"/>
          <w:color w:val="auto"/>
          <w:highlight w:val="none"/>
          <w:lang w:val="en-US" w:eastAsia="zh-CN"/>
        </w:rPr>
        <w:t>硫酸</w:t>
      </w:r>
      <w:r>
        <w:rPr>
          <w:rFonts w:hint="eastAsia" w:cs="Times New Roman"/>
          <w:color w:val="auto"/>
          <w:highlight w:val="none"/>
          <w:lang w:eastAsia="zh-CN"/>
        </w:rPr>
        <w:t>储</w:t>
      </w:r>
      <w:r>
        <w:rPr>
          <w:rFonts w:hint="default" w:ascii="Times New Roman" w:hAnsi="Times New Roman" w:cs="Times New Roman"/>
          <w:color w:val="auto"/>
          <w:highlight w:val="none"/>
        </w:rPr>
        <w:t>罐来预测。当储罐发生破裂时，泄漏的液体将在地面形成池液，</w:t>
      </w:r>
      <w:r>
        <w:rPr>
          <w:rFonts w:hint="eastAsia" w:cs="Times New Roman"/>
          <w:color w:val="auto"/>
          <w:highlight w:val="none"/>
          <w:lang w:eastAsia="zh-CN"/>
        </w:rPr>
        <w:t>产生有害气体，危害人体健康</w:t>
      </w:r>
      <w:r>
        <w:rPr>
          <w:rFonts w:hint="default" w:ascii="Times New Roman" w:hAnsi="Times New Roman" w:cs="Times New Roman"/>
          <w:color w:val="auto"/>
          <w:highlight w:val="none"/>
        </w:rPr>
        <w:t>。</w:t>
      </w:r>
    </w:p>
    <w:p w14:paraId="22C11663">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本项目储罐位于</w:t>
      </w:r>
      <w:r>
        <w:rPr>
          <w:rFonts w:hint="eastAsia" w:cs="Times New Roman"/>
          <w:color w:val="auto"/>
          <w:highlight w:val="none"/>
          <w:lang w:eastAsia="zh-CN"/>
        </w:rPr>
        <w:t>围堰</w:t>
      </w:r>
      <w:r>
        <w:rPr>
          <w:rFonts w:hint="default" w:ascii="Times New Roman" w:hAnsi="Times New Roman" w:cs="Times New Roman"/>
          <w:color w:val="auto"/>
          <w:highlight w:val="none"/>
          <w:lang w:eastAsia="zh-CN"/>
        </w:rPr>
        <w:t>内，</w:t>
      </w:r>
      <w:r>
        <w:rPr>
          <w:rFonts w:hint="default" w:ascii="Times New Roman" w:hAnsi="Times New Roman" w:cs="Times New Roman"/>
          <w:color w:val="auto"/>
          <w:highlight w:val="none"/>
        </w:rPr>
        <w:t>储罐发生泄漏后</w:t>
      </w:r>
      <w:r>
        <w:rPr>
          <w:rFonts w:hint="eastAsia" w:cs="Times New Roman"/>
          <w:color w:val="auto"/>
          <w:highlight w:val="none"/>
          <w:lang w:eastAsia="zh-CN"/>
        </w:rPr>
        <w:t>酸液</w:t>
      </w:r>
      <w:r>
        <w:rPr>
          <w:rFonts w:hint="default" w:ascii="Times New Roman" w:hAnsi="Times New Roman" w:cs="Times New Roman"/>
          <w:color w:val="auto"/>
          <w:highlight w:val="none"/>
        </w:rPr>
        <w:t>会直接漫流到</w:t>
      </w:r>
      <w:r>
        <w:rPr>
          <w:rFonts w:hint="eastAsia" w:cs="Times New Roman"/>
          <w:color w:val="auto"/>
          <w:highlight w:val="none"/>
          <w:lang w:eastAsia="zh-CN"/>
        </w:rPr>
        <w:t>围堰内</w:t>
      </w:r>
      <w:r>
        <w:rPr>
          <w:rFonts w:hint="default" w:ascii="Times New Roman" w:hAnsi="Times New Roman" w:cs="Times New Roman"/>
          <w:color w:val="auto"/>
          <w:highlight w:val="none"/>
          <w:lang w:eastAsia="zh-CN"/>
        </w:rPr>
        <w:t>地面</w:t>
      </w:r>
      <w:r>
        <w:rPr>
          <w:rFonts w:hint="default" w:ascii="Times New Roman" w:hAnsi="Times New Roman" w:cs="Times New Roman"/>
          <w:color w:val="auto"/>
          <w:highlight w:val="none"/>
        </w:rPr>
        <w:t>，</w:t>
      </w:r>
      <w:r>
        <w:rPr>
          <w:rFonts w:hint="eastAsia" w:cs="Times New Roman"/>
          <w:color w:val="auto"/>
          <w:highlight w:val="none"/>
          <w:lang w:eastAsia="zh-CN"/>
        </w:rPr>
        <w:t>围堰</w:t>
      </w:r>
      <w:r>
        <w:rPr>
          <w:rFonts w:hint="default" w:ascii="Times New Roman" w:hAnsi="Times New Roman" w:cs="Times New Roman"/>
          <w:color w:val="auto"/>
          <w:highlight w:val="none"/>
          <w:lang w:eastAsia="zh-CN"/>
        </w:rPr>
        <w:t>四壁及</w:t>
      </w:r>
      <w:r>
        <w:rPr>
          <w:rFonts w:hint="eastAsia" w:cs="Times New Roman"/>
          <w:color w:val="auto"/>
          <w:highlight w:val="none"/>
          <w:lang w:eastAsia="zh-CN"/>
        </w:rPr>
        <w:t>罐区</w:t>
      </w:r>
      <w:r>
        <w:rPr>
          <w:rFonts w:hint="default" w:ascii="Times New Roman" w:hAnsi="Times New Roman" w:cs="Times New Roman"/>
          <w:color w:val="auto"/>
          <w:highlight w:val="none"/>
          <w:lang w:eastAsia="zh-CN"/>
        </w:rPr>
        <w:t>底部设有防渗层</w:t>
      </w:r>
      <w:r>
        <w:rPr>
          <w:rFonts w:hint="default" w:ascii="Times New Roman" w:hAnsi="Times New Roman" w:cs="Times New Roman"/>
          <w:color w:val="auto"/>
          <w:highlight w:val="none"/>
        </w:rPr>
        <w:t>；当发生该类事故时，可将泄漏物料控制在</w:t>
      </w:r>
      <w:r>
        <w:rPr>
          <w:rFonts w:hint="eastAsia" w:cs="Times New Roman"/>
          <w:color w:val="auto"/>
          <w:highlight w:val="none"/>
          <w:lang w:eastAsia="zh-CN"/>
        </w:rPr>
        <w:t>围堰</w:t>
      </w:r>
      <w:r>
        <w:rPr>
          <w:rFonts w:hint="default" w:ascii="Times New Roman" w:hAnsi="Times New Roman" w:cs="Times New Roman"/>
          <w:color w:val="auto"/>
          <w:highlight w:val="none"/>
        </w:rPr>
        <w:t>内并将其大部分收集至</w:t>
      </w:r>
      <w:r>
        <w:rPr>
          <w:rFonts w:hint="default" w:ascii="Times New Roman" w:hAnsi="Times New Roman" w:cs="Times New Roman"/>
          <w:color w:val="auto"/>
          <w:highlight w:val="none"/>
          <w:lang w:eastAsia="zh-CN"/>
        </w:rPr>
        <w:t>事故应急池</w:t>
      </w:r>
      <w:r>
        <w:rPr>
          <w:rFonts w:hint="default" w:ascii="Times New Roman" w:hAnsi="Times New Roman" w:cs="Times New Roman"/>
          <w:color w:val="auto"/>
          <w:highlight w:val="none"/>
        </w:rPr>
        <w:t>或厂区的</w:t>
      </w:r>
      <w:r>
        <w:rPr>
          <w:rFonts w:hint="default" w:ascii="Times New Roman" w:hAnsi="Times New Roman" w:cs="Times New Roman"/>
          <w:color w:val="auto"/>
          <w:highlight w:val="none"/>
          <w:lang w:eastAsia="zh-CN"/>
        </w:rPr>
        <w:t>储</w:t>
      </w:r>
      <w:r>
        <w:rPr>
          <w:rFonts w:hint="default" w:ascii="Times New Roman" w:hAnsi="Times New Roman" w:cs="Times New Roman"/>
          <w:color w:val="auto"/>
          <w:highlight w:val="none"/>
        </w:rPr>
        <w:t>罐内。</w:t>
      </w:r>
    </w:p>
    <w:p w14:paraId="7E0BA123">
      <w:pPr>
        <w:bidi w:val="0"/>
        <w:rPr>
          <w:rFonts w:hint="default"/>
          <w:color w:val="auto"/>
          <w:highlight w:val="none"/>
          <w:lang w:val="en-US" w:eastAsia="zh-CN"/>
        </w:rPr>
      </w:pPr>
      <w:r>
        <w:rPr>
          <w:rFonts w:hint="default"/>
          <w:color w:val="auto"/>
          <w:highlight w:val="none"/>
          <w:lang w:val="en-US" w:eastAsia="zh-CN"/>
        </w:rPr>
        <w:t>假设物料贮罐区因各种原因造成贮罐破裂损坏，</w:t>
      </w:r>
      <w:r>
        <w:rPr>
          <w:rFonts w:hint="eastAsia"/>
          <w:color w:val="auto"/>
          <w:highlight w:val="none"/>
          <w:lang w:val="en-US" w:eastAsia="zh-CN"/>
        </w:rPr>
        <w:t>硫酸</w:t>
      </w:r>
      <w:r>
        <w:rPr>
          <w:rFonts w:hint="default"/>
          <w:color w:val="auto"/>
          <w:highlight w:val="none"/>
          <w:lang w:val="en-US" w:eastAsia="zh-CN"/>
        </w:rPr>
        <w:t>泄漏溢出，及时采取必要措施，泄漏历时不超过</w:t>
      </w:r>
      <w:r>
        <w:rPr>
          <w:rFonts w:hint="eastAsia"/>
          <w:color w:val="auto"/>
          <w:highlight w:val="none"/>
          <w:lang w:val="en-US" w:eastAsia="zh-CN"/>
        </w:rPr>
        <w:t>10</w:t>
      </w:r>
      <w:r>
        <w:rPr>
          <w:rFonts w:hint="default"/>
          <w:color w:val="auto"/>
          <w:highlight w:val="none"/>
          <w:lang w:val="en-US" w:eastAsia="zh-CN"/>
        </w:rPr>
        <w:t>分钟。泄出液体的泄漏速度可用流体力学的伯</w:t>
      </w:r>
      <w:r>
        <w:rPr>
          <w:rFonts w:hint="default"/>
          <w:color w:val="auto"/>
          <w:highlight w:val="none"/>
          <w:lang w:val="en-US"/>
        </w:rPr>
        <w:t>努利方程计算，其泄漏速度为</w:t>
      </w:r>
      <w:r>
        <w:rPr>
          <w:rFonts w:hint="default"/>
          <w:color w:val="auto"/>
          <w:highlight w:val="none"/>
          <w:lang w:val="en-US" w:eastAsia="zh-CN"/>
        </w:rPr>
        <w:t>：</w:t>
      </w:r>
    </w:p>
    <w:p w14:paraId="3E1715DA">
      <w:pPr>
        <w:keepNext w:val="0"/>
        <w:keepLines w:val="0"/>
        <w:pageBreakBefore w:val="0"/>
        <w:kinsoku/>
        <w:wordWrap/>
        <w:overflowPunct/>
        <w:topLinePunct w:val="0"/>
        <w:bidi w:val="0"/>
        <w:snapToGrid/>
        <w:spacing w:line="520" w:lineRule="exact"/>
        <w:ind w:left="0" w:leftChars="0" w:right="0" w:firstLine="480" w:firstLineChars="200"/>
        <w:jc w:val="left"/>
        <w:textAlignment w:val="auto"/>
        <w:rPr>
          <w:rFonts w:hint="default" w:ascii="Times New Roman" w:hAnsi="Times New Roman" w:cs="Times New Roman"/>
          <w:bCs/>
          <w:snapToGrid w:val="0"/>
          <w:color w:val="auto"/>
          <w:kern w:val="0"/>
          <w:sz w:val="24"/>
          <w:highlight w:val="none"/>
        </w:rPr>
      </w:pPr>
      <w:r>
        <w:rPr>
          <w:rFonts w:hint="default" w:ascii="Times New Roman" w:hAnsi="Times New Roman" w:cs="Times New Roman"/>
          <w:color w:val="auto"/>
          <w:position w:val="-30"/>
          <w:sz w:val="24"/>
          <w:highlight w:val="none"/>
        </w:rPr>
        <w:pict>
          <v:shape id="_x0000_s1029" o:spid="_x0000_s1029" o:spt="75" type="#_x0000_t75" style="position:absolute;left:0pt;margin-left:157.55pt;margin-top:15.35pt;height:36.55pt;width:123.05pt;mso-wrap-distance-bottom:0pt;mso-wrap-distance-top:0pt;z-index:251668480;mso-width-relative:page;mso-height-relative:page;" o:ole="t" filled="f" o:preferrelative="t" stroked="f" coordsize="21600,21600">
            <v:path/>
            <v:fill on="f" focussize="0,0"/>
            <v:stroke on="f"/>
            <v:imagedata r:id="rId61" o:title=""/>
            <o:lock v:ext="edit" aspectratio="t"/>
            <w10:wrap type="topAndBottom"/>
          </v:shape>
          <o:OLEObject Type="Embed" ProgID="Equation.3" ShapeID="_x0000_s1029" DrawAspect="Content" ObjectID="_1468075736" r:id="rId60">
            <o:LockedField>false</o:LockedField>
          </o:OLEObject>
        </w:pict>
      </w:r>
      <w:r>
        <w:rPr>
          <w:rFonts w:hint="default" w:ascii="Times New Roman" w:hAnsi="Times New Roman" w:cs="Times New Roman"/>
          <w:bCs/>
          <w:snapToGrid w:val="0"/>
          <w:color w:val="auto"/>
          <w:kern w:val="0"/>
          <w:sz w:val="24"/>
          <w:highlight w:val="none"/>
        </w:rPr>
        <w:t>式中参数含义及计算取值见表</w:t>
      </w:r>
      <w:r>
        <w:rPr>
          <w:rFonts w:hint="eastAsia" w:ascii="Times New Roman" w:hAnsi="Times New Roman" w:cs="Times New Roman"/>
          <w:bCs/>
          <w:snapToGrid w:val="0"/>
          <w:color w:val="auto"/>
          <w:kern w:val="0"/>
          <w:sz w:val="24"/>
          <w:highlight w:val="none"/>
          <w:lang w:val="en-US" w:eastAsia="zh-CN"/>
        </w:rPr>
        <w:t>5.2-37</w:t>
      </w:r>
      <w:r>
        <w:rPr>
          <w:rFonts w:hint="default" w:ascii="Times New Roman" w:hAnsi="Times New Roman" w:cs="Times New Roman"/>
          <w:bCs/>
          <w:snapToGrid w:val="0"/>
          <w:color w:val="auto"/>
          <w:kern w:val="0"/>
          <w:sz w:val="24"/>
          <w:highlight w:val="none"/>
        </w:rPr>
        <w:t>。取泄漏时间为</w:t>
      </w:r>
      <w:r>
        <w:rPr>
          <w:rFonts w:hint="default" w:ascii="Times New Roman" w:hAnsi="Times New Roman" w:cs="Times New Roman"/>
          <w:bCs/>
          <w:snapToGrid w:val="0"/>
          <w:color w:val="auto"/>
          <w:kern w:val="0"/>
          <w:sz w:val="24"/>
          <w:highlight w:val="none"/>
          <w:lang w:val="en-US" w:eastAsia="zh-CN"/>
        </w:rPr>
        <w:t>10</w:t>
      </w:r>
      <w:r>
        <w:rPr>
          <w:rFonts w:hint="default" w:ascii="Times New Roman" w:hAnsi="Times New Roman" w:cs="Times New Roman"/>
          <w:bCs/>
          <w:snapToGrid w:val="0"/>
          <w:color w:val="auto"/>
          <w:kern w:val="0"/>
          <w:sz w:val="24"/>
          <w:highlight w:val="none"/>
        </w:rPr>
        <w:t>分钟，则</w:t>
      </w:r>
      <w:r>
        <w:rPr>
          <w:rFonts w:hint="eastAsia" w:cs="Times New Roman"/>
          <w:bCs/>
          <w:snapToGrid w:val="0"/>
          <w:color w:val="auto"/>
          <w:kern w:val="0"/>
          <w:sz w:val="24"/>
          <w:highlight w:val="none"/>
          <w:lang w:eastAsia="zh-CN"/>
        </w:rPr>
        <w:t>硫酸泄漏量为</w:t>
      </w:r>
      <w:r>
        <w:rPr>
          <w:rFonts w:hint="eastAsia" w:cs="Times New Roman"/>
          <w:bCs/>
          <w:snapToGrid w:val="0"/>
          <w:color w:val="auto"/>
          <w:kern w:val="0"/>
          <w:sz w:val="24"/>
          <w:highlight w:val="none"/>
          <w:lang w:val="en-US" w:eastAsia="zh-CN"/>
        </w:rPr>
        <w:t>2442kg</w:t>
      </w:r>
      <w:r>
        <w:rPr>
          <w:rFonts w:hint="default" w:ascii="Times New Roman" w:hAnsi="Times New Roman" w:cs="Times New Roman"/>
          <w:bCs/>
          <w:snapToGrid w:val="0"/>
          <w:color w:val="auto"/>
          <w:kern w:val="0"/>
          <w:sz w:val="24"/>
          <w:highlight w:val="none"/>
        </w:rPr>
        <w:t>。</w:t>
      </w:r>
    </w:p>
    <w:p w14:paraId="1C812957">
      <w:pPr>
        <w:pStyle w:val="19"/>
        <w:bidi w:val="0"/>
        <w:rPr>
          <w:rFonts w:hint="default" w:ascii="Times New Roman" w:hAnsi="Times New Roman" w:eastAsia="宋体" w:cs="Times New Roman"/>
          <w:b/>
          <w:bCs/>
          <w:color w:val="auto"/>
          <w:kern w:val="2"/>
          <w:sz w:val="24"/>
          <w:szCs w:val="24"/>
          <w:highlight w:val="none"/>
          <w:lang w:val="zh-CN" w:eastAsia="zh-CN" w:bidi="zh-CN"/>
        </w:rPr>
      </w:pPr>
      <w:r>
        <w:rPr>
          <w:rFonts w:hint="default" w:ascii="Times New Roman" w:hAnsi="Times New Roman" w:eastAsia="宋体" w:cs="Times New Roman"/>
          <w:b/>
          <w:bCs/>
          <w:color w:val="auto"/>
          <w:kern w:val="2"/>
          <w:sz w:val="24"/>
          <w:szCs w:val="24"/>
          <w:highlight w:val="none"/>
          <w:lang w:val="zh-CN" w:eastAsia="zh-CN" w:bidi="zh-CN"/>
        </w:rPr>
        <w:t>表</w:t>
      </w:r>
      <w:r>
        <w:rPr>
          <w:rFonts w:hint="eastAsia" w:ascii="Times New Roman" w:hAnsi="Times New Roman" w:cs="Times New Roman"/>
          <w:b/>
          <w:bCs/>
          <w:color w:val="auto"/>
          <w:kern w:val="2"/>
          <w:sz w:val="24"/>
          <w:szCs w:val="24"/>
          <w:highlight w:val="none"/>
          <w:lang w:val="en-US" w:eastAsia="zh-CN" w:bidi="zh-CN"/>
        </w:rPr>
        <w:t xml:space="preserve">5.2-37   </w:t>
      </w:r>
      <w:r>
        <w:rPr>
          <w:rFonts w:hint="default" w:ascii="Times New Roman" w:hAnsi="Times New Roman" w:eastAsia="宋体" w:cs="Times New Roman"/>
          <w:b/>
          <w:bCs/>
          <w:color w:val="auto"/>
          <w:kern w:val="2"/>
          <w:sz w:val="24"/>
          <w:szCs w:val="24"/>
          <w:highlight w:val="none"/>
          <w:lang w:val="zh-CN" w:eastAsia="zh-CN" w:bidi="zh-CN"/>
        </w:rPr>
        <w:t>储罐事故泄漏量一览表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2832"/>
        <w:gridCol w:w="1614"/>
        <w:gridCol w:w="3001"/>
      </w:tblGrid>
      <w:tr w14:paraId="08F1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blHeader/>
          <w:jc w:val="center"/>
        </w:trPr>
        <w:tc>
          <w:tcPr>
            <w:tcW w:w="629" w:type="pct"/>
            <w:shd w:val="clear" w:color="auto" w:fill="DBDBDB"/>
            <w:noWrap w:val="0"/>
            <w:vAlign w:val="center"/>
          </w:tcPr>
          <w:p w14:paraId="0FD4A573">
            <w:pPr>
              <w:pStyle w:val="17"/>
              <w:bidi w:val="0"/>
              <w:rPr>
                <w:rFonts w:hint="default"/>
                <w:color w:val="auto"/>
                <w:highlight w:val="none"/>
              </w:rPr>
            </w:pPr>
            <w:r>
              <w:rPr>
                <w:rFonts w:hint="default"/>
                <w:color w:val="auto"/>
                <w:highlight w:val="none"/>
              </w:rPr>
              <w:t>符号</w:t>
            </w:r>
          </w:p>
        </w:tc>
        <w:tc>
          <w:tcPr>
            <w:tcW w:w="1662" w:type="pct"/>
            <w:shd w:val="clear" w:color="auto" w:fill="DBDBDB"/>
            <w:noWrap w:val="0"/>
            <w:vAlign w:val="center"/>
          </w:tcPr>
          <w:p w14:paraId="28B41095">
            <w:pPr>
              <w:pStyle w:val="17"/>
              <w:bidi w:val="0"/>
              <w:rPr>
                <w:rFonts w:hint="default"/>
                <w:color w:val="auto"/>
                <w:highlight w:val="none"/>
              </w:rPr>
            </w:pPr>
            <w:r>
              <w:rPr>
                <w:rFonts w:hint="default"/>
                <w:color w:val="auto"/>
                <w:highlight w:val="none"/>
              </w:rPr>
              <w:t>含义</w:t>
            </w:r>
          </w:p>
        </w:tc>
        <w:tc>
          <w:tcPr>
            <w:tcW w:w="947" w:type="pct"/>
            <w:shd w:val="clear" w:color="auto" w:fill="DBDBDB"/>
            <w:noWrap w:val="0"/>
            <w:vAlign w:val="center"/>
          </w:tcPr>
          <w:p w14:paraId="2653F43E">
            <w:pPr>
              <w:pStyle w:val="17"/>
              <w:bidi w:val="0"/>
              <w:rPr>
                <w:rFonts w:hint="default"/>
                <w:color w:val="auto"/>
                <w:highlight w:val="none"/>
              </w:rPr>
            </w:pPr>
            <w:r>
              <w:rPr>
                <w:rFonts w:hint="default"/>
                <w:color w:val="auto"/>
                <w:highlight w:val="none"/>
              </w:rPr>
              <w:t>单位</w:t>
            </w:r>
          </w:p>
        </w:tc>
        <w:tc>
          <w:tcPr>
            <w:tcW w:w="1761" w:type="pct"/>
            <w:shd w:val="clear" w:color="auto" w:fill="DBDBDB"/>
            <w:noWrap w:val="0"/>
            <w:vAlign w:val="center"/>
          </w:tcPr>
          <w:p w14:paraId="2CD481A2">
            <w:pPr>
              <w:pStyle w:val="17"/>
              <w:bidi w:val="0"/>
              <w:rPr>
                <w:rFonts w:hint="default"/>
                <w:color w:val="auto"/>
                <w:highlight w:val="none"/>
              </w:rPr>
            </w:pPr>
            <w:r>
              <w:rPr>
                <w:rFonts w:hint="default"/>
                <w:color w:val="auto"/>
                <w:highlight w:val="none"/>
                <w:lang w:eastAsia="zh-CN"/>
              </w:rPr>
              <w:t>数值（</w:t>
            </w:r>
            <w:r>
              <w:rPr>
                <w:rFonts w:hint="eastAsia"/>
                <w:color w:val="auto"/>
                <w:highlight w:val="none"/>
                <w:lang w:val="en-US" w:eastAsia="zh-CN"/>
              </w:rPr>
              <w:t>硫酸</w:t>
            </w:r>
            <w:r>
              <w:rPr>
                <w:rFonts w:hint="default"/>
                <w:color w:val="auto"/>
                <w:highlight w:val="none"/>
                <w:lang w:eastAsia="zh-CN"/>
              </w:rPr>
              <w:t>）</w:t>
            </w:r>
          </w:p>
        </w:tc>
      </w:tr>
      <w:tr w14:paraId="67DA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17C35EED">
            <w:pPr>
              <w:pStyle w:val="17"/>
              <w:bidi w:val="0"/>
              <w:rPr>
                <w:rFonts w:hint="default"/>
                <w:color w:val="auto"/>
                <w:highlight w:val="none"/>
              </w:rPr>
            </w:pPr>
            <w:r>
              <w:rPr>
                <w:rFonts w:hint="default"/>
                <w:color w:val="auto"/>
                <w:highlight w:val="none"/>
              </w:rPr>
              <w:t>Cd</w:t>
            </w:r>
          </w:p>
        </w:tc>
        <w:tc>
          <w:tcPr>
            <w:tcW w:w="1662" w:type="pct"/>
            <w:noWrap w:val="0"/>
            <w:vAlign w:val="center"/>
          </w:tcPr>
          <w:p w14:paraId="423BDA4A">
            <w:pPr>
              <w:pStyle w:val="17"/>
              <w:bidi w:val="0"/>
              <w:rPr>
                <w:rFonts w:hint="default"/>
                <w:color w:val="auto"/>
                <w:highlight w:val="none"/>
              </w:rPr>
            </w:pPr>
            <w:r>
              <w:rPr>
                <w:rFonts w:hint="default"/>
                <w:color w:val="auto"/>
                <w:highlight w:val="none"/>
              </w:rPr>
              <w:t>液体泄漏系数</w:t>
            </w:r>
          </w:p>
        </w:tc>
        <w:tc>
          <w:tcPr>
            <w:tcW w:w="947" w:type="pct"/>
            <w:noWrap w:val="0"/>
            <w:vAlign w:val="center"/>
          </w:tcPr>
          <w:p w14:paraId="07FCAE55">
            <w:pPr>
              <w:pStyle w:val="17"/>
              <w:bidi w:val="0"/>
              <w:rPr>
                <w:rFonts w:hint="default"/>
                <w:color w:val="auto"/>
                <w:highlight w:val="none"/>
              </w:rPr>
            </w:pPr>
            <w:r>
              <w:rPr>
                <w:rFonts w:hint="default"/>
                <w:color w:val="auto"/>
                <w:highlight w:val="none"/>
              </w:rPr>
              <w:t>无量纲</w:t>
            </w:r>
          </w:p>
        </w:tc>
        <w:tc>
          <w:tcPr>
            <w:tcW w:w="1761" w:type="pct"/>
            <w:noWrap w:val="0"/>
            <w:vAlign w:val="center"/>
          </w:tcPr>
          <w:p w14:paraId="593343FE">
            <w:pPr>
              <w:pStyle w:val="17"/>
              <w:bidi w:val="0"/>
              <w:rPr>
                <w:rFonts w:hint="eastAsia"/>
                <w:color w:val="auto"/>
                <w:highlight w:val="none"/>
                <w:lang w:val="en-US" w:eastAsia="zh-CN"/>
              </w:rPr>
            </w:pPr>
            <w:r>
              <w:rPr>
                <w:rFonts w:hint="default"/>
                <w:color w:val="auto"/>
                <w:highlight w:val="none"/>
              </w:rPr>
              <w:t>0.6</w:t>
            </w:r>
            <w:r>
              <w:rPr>
                <w:rFonts w:hint="default"/>
                <w:color w:val="auto"/>
                <w:highlight w:val="none"/>
                <w:lang w:val="en-US" w:eastAsia="zh-CN"/>
              </w:rPr>
              <w:t>5</w:t>
            </w:r>
          </w:p>
        </w:tc>
      </w:tr>
      <w:tr w14:paraId="0FFD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3CB68AD8">
            <w:pPr>
              <w:pStyle w:val="17"/>
              <w:bidi w:val="0"/>
              <w:rPr>
                <w:rFonts w:hint="default"/>
                <w:color w:val="auto"/>
                <w:highlight w:val="none"/>
              </w:rPr>
            </w:pPr>
            <w:r>
              <w:rPr>
                <w:rFonts w:hint="default"/>
                <w:color w:val="auto"/>
                <w:highlight w:val="none"/>
              </w:rPr>
              <w:t>A</w:t>
            </w:r>
          </w:p>
        </w:tc>
        <w:tc>
          <w:tcPr>
            <w:tcW w:w="1662" w:type="pct"/>
            <w:noWrap w:val="0"/>
            <w:vAlign w:val="center"/>
          </w:tcPr>
          <w:p w14:paraId="7456736C">
            <w:pPr>
              <w:pStyle w:val="17"/>
              <w:bidi w:val="0"/>
              <w:rPr>
                <w:rFonts w:hint="default"/>
                <w:color w:val="auto"/>
                <w:highlight w:val="none"/>
              </w:rPr>
            </w:pPr>
            <w:r>
              <w:rPr>
                <w:rFonts w:hint="default"/>
                <w:color w:val="auto"/>
                <w:highlight w:val="none"/>
              </w:rPr>
              <w:t>裂口面积</w:t>
            </w:r>
          </w:p>
        </w:tc>
        <w:tc>
          <w:tcPr>
            <w:tcW w:w="947" w:type="pct"/>
            <w:noWrap w:val="0"/>
            <w:vAlign w:val="center"/>
          </w:tcPr>
          <w:p w14:paraId="5CE5BD77">
            <w:pPr>
              <w:pStyle w:val="17"/>
              <w:bidi w:val="0"/>
              <w:rPr>
                <w:rFonts w:hint="default"/>
                <w:color w:val="auto"/>
                <w:highlight w:val="none"/>
              </w:rPr>
            </w:pPr>
            <w:r>
              <w:rPr>
                <w:rFonts w:hint="default"/>
                <w:color w:val="auto"/>
                <w:highlight w:val="none"/>
              </w:rPr>
              <w:t>m</w:t>
            </w:r>
            <w:r>
              <w:rPr>
                <w:rFonts w:hint="default"/>
                <w:color w:val="auto"/>
                <w:highlight w:val="none"/>
                <w:vertAlign w:val="superscript"/>
              </w:rPr>
              <w:t>2</w:t>
            </w:r>
          </w:p>
        </w:tc>
        <w:tc>
          <w:tcPr>
            <w:tcW w:w="1761" w:type="pct"/>
            <w:noWrap w:val="0"/>
            <w:vAlign w:val="center"/>
          </w:tcPr>
          <w:p w14:paraId="6D7E909C">
            <w:pPr>
              <w:pStyle w:val="17"/>
              <w:bidi w:val="0"/>
              <w:rPr>
                <w:rFonts w:hint="default"/>
                <w:color w:val="auto"/>
                <w:highlight w:val="none"/>
                <w:lang w:val="en-US" w:eastAsia="zh-CN"/>
              </w:rPr>
            </w:pPr>
            <w:r>
              <w:rPr>
                <w:rFonts w:hint="default"/>
                <w:color w:val="auto"/>
                <w:highlight w:val="none"/>
                <w:lang w:val="en-US" w:eastAsia="zh-CN"/>
              </w:rPr>
              <w:t>0.000314</w:t>
            </w:r>
          </w:p>
        </w:tc>
      </w:tr>
      <w:tr w14:paraId="0E3B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764B4264">
            <w:pPr>
              <w:pStyle w:val="17"/>
              <w:bidi w:val="0"/>
              <w:rPr>
                <w:rFonts w:hint="default"/>
                <w:color w:val="auto"/>
                <w:highlight w:val="none"/>
              </w:rPr>
            </w:pPr>
            <w:r>
              <w:rPr>
                <w:rFonts w:hint="default"/>
                <w:color w:val="auto"/>
                <w:highlight w:val="none"/>
              </w:rPr>
              <w:t>ρ</w:t>
            </w:r>
          </w:p>
        </w:tc>
        <w:tc>
          <w:tcPr>
            <w:tcW w:w="1662" w:type="pct"/>
            <w:noWrap w:val="0"/>
            <w:vAlign w:val="center"/>
          </w:tcPr>
          <w:p w14:paraId="0B6A71F8">
            <w:pPr>
              <w:pStyle w:val="17"/>
              <w:bidi w:val="0"/>
              <w:rPr>
                <w:rFonts w:hint="default"/>
                <w:color w:val="auto"/>
                <w:highlight w:val="none"/>
              </w:rPr>
            </w:pPr>
            <w:r>
              <w:rPr>
                <w:rFonts w:hint="default"/>
                <w:color w:val="auto"/>
                <w:highlight w:val="none"/>
              </w:rPr>
              <w:t>泄漏液体密度</w:t>
            </w:r>
          </w:p>
        </w:tc>
        <w:tc>
          <w:tcPr>
            <w:tcW w:w="947" w:type="pct"/>
            <w:noWrap w:val="0"/>
            <w:vAlign w:val="center"/>
          </w:tcPr>
          <w:p w14:paraId="038256A1">
            <w:pPr>
              <w:pStyle w:val="17"/>
              <w:bidi w:val="0"/>
              <w:rPr>
                <w:rFonts w:hint="default"/>
                <w:color w:val="auto"/>
                <w:highlight w:val="none"/>
              </w:rPr>
            </w:pPr>
            <w:r>
              <w:rPr>
                <w:rFonts w:hint="default"/>
                <w:color w:val="auto"/>
                <w:highlight w:val="none"/>
              </w:rPr>
              <w:t>kg/m</w:t>
            </w:r>
            <w:r>
              <w:rPr>
                <w:rFonts w:hint="default"/>
                <w:color w:val="auto"/>
                <w:highlight w:val="none"/>
                <w:vertAlign w:val="superscript"/>
              </w:rPr>
              <w:t>3</w:t>
            </w:r>
          </w:p>
        </w:tc>
        <w:tc>
          <w:tcPr>
            <w:tcW w:w="1761" w:type="pct"/>
            <w:noWrap w:val="0"/>
            <w:vAlign w:val="center"/>
          </w:tcPr>
          <w:p w14:paraId="25032660">
            <w:pPr>
              <w:pStyle w:val="17"/>
              <w:bidi w:val="0"/>
              <w:rPr>
                <w:rFonts w:hint="eastAsia"/>
                <w:color w:val="auto"/>
                <w:highlight w:val="none"/>
                <w:lang w:val="en-US" w:eastAsia="zh-CN"/>
              </w:rPr>
            </w:pPr>
            <w:r>
              <w:rPr>
                <w:rFonts w:hint="eastAsia"/>
                <w:color w:val="auto"/>
                <w:highlight w:val="none"/>
                <w:lang w:val="en-US" w:eastAsia="zh-CN"/>
              </w:rPr>
              <w:t>1840</w:t>
            </w:r>
          </w:p>
        </w:tc>
      </w:tr>
      <w:tr w14:paraId="459A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346C1BA3">
            <w:pPr>
              <w:pStyle w:val="17"/>
              <w:bidi w:val="0"/>
              <w:rPr>
                <w:rFonts w:hint="default"/>
                <w:color w:val="auto"/>
                <w:highlight w:val="none"/>
              </w:rPr>
            </w:pPr>
            <w:r>
              <w:rPr>
                <w:rFonts w:hint="default"/>
                <w:color w:val="auto"/>
                <w:highlight w:val="none"/>
              </w:rPr>
              <w:t>P</w:t>
            </w:r>
          </w:p>
        </w:tc>
        <w:tc>
          <w:tcPr>
            <w:tcW w:w="1662" w:type="pct"/>
            <w:noWrap w:val="0"/>
            <w:vAlign w:val="center"/>
          </w:tcPr>
          <w:p w14:paraId="0F7C9165">
            <w:pPr>
              <w:pStyle w:val="17"/>
              <w:bidi w:val="0"/>
              <w:rPr>
                <w:rFonts w:hint="default"/>
                <w:color w:val="auto"/>
                <w:highlight w:val="none"/>
              </w:rPr>
            </w:pPr>
            <w:r>
              <w:rPr>
                <w:rFonts w:hint="default"/>
                <w:color w:val="auto"/>
                <w:highlight w:val="none"/>
              </w:rPr>
              <w:t>容器内介质压力</w:t>
            </w:r>
          </w:p>
        </w:tc>
        <w:tc>
          <w:tcPr>
            <w:tcW w:w="947" w:type="pct"/>
            <w:noWrap w:val="0"/>
            <w:vAlign w:val="center"/>
          </w:tcPr>
          <w:p w14:paraId="357AA7BF">
            <w:pPr>
              <w:pStyle w:val="17"/>
              <w:bidi w:val="0"/>
              <w:rPr>
                <w:rFonts w:hint="default"/>
                <w:color w:val="auto"/>
                <w:highlight w:val="none"/>
              </w:rPr>
            </w:pPr>
            <w:r>
              <w:rPr>
                <w:rFonts w:hint="default"/>
                <w:color w:val="auto"/>
                <w:highlight w:val="none"/>
              </w:rPr>
              <w:t>Pa</w:t>
            </w:r>
          </w:p>
        </w:tc>
        <w:tc>
          <w:tcPr>
            <w:tcW w:w="1761" w:type="pct"/>
            <w:noWrap w:val="0"/>
            <w:vAlign w:val="center"/>
          </w:tcPr>
          <w:p w14:paraId="287E84E2">
            <w:pPr>
              <w:pStyle w:val="17"/>
              <w:bidi w:val="0"/>
              <w:rPr>
                <w:rFonts w:hint="default"/>
                <w:color w:val="auto"/>
                <w:highlight w:val="none"/>
                <w:lang w:val="en-US" w:eastAsia="zh-CN"/>
              </w:rPr>
            </w:pPr>
            <w:r>
              <w:rPr>
                <w:rFonts w:hint="default"/>
                <w:color w:val="auto"/>
                <w:highlight w:val="none"/>
                <w:lang w:val="en-US" w:eastAsia="zh-CN"/>
              </w:rPr>
              <w:t>101325</w:t>
            </w:r>
          </w:p>
        </w:tc>
      </w:tr>
      <w:tr w14:paraId="3EFA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3B48383E">
            <w:pPr>
              <w:pStyle w:val="17"/>
              <w:bidi w:val="0"/>
              <w:rPr>
                <w:rFonts w:hint="default"/>
                <w:color w:val="auto"/>
                <w:highlight w:val="none"/>
              </w:rPr>
            </w:pPr>
            <w:r>
              <w:rPr>
                <w:rFonts w:hint="default"/>
                <w:color w:val="auto"/>
                <w:highlight w:val="none"/>
              </w:rPr>
              <w:t>P0</w:t>
            </w:r>
          </w:p>
        </w:tc>
        <w:tc>
          <w:tcPr>
            <w:tcW w:w="1662" w:type="pct"/>
            <w:noWrap w:val="0"/>
            <w:vAlign w:val="center"/>
          </w:tcPr>
          <w:p w14:paraId="1850EAEA">
            <w:pPr>
              <w:pStyle w:val="17"/>
              <w:bidi w:val="0"/>
              <w:rPr>
                <w:rFonts w:hint="default"/>
                <w:color w:val="auto"/>
                <w:highlight w:val="none"/>
              </w:rPr>
            </w:pPr>
            <w:r>
              <w:rPr>
                <w:rFonts w:hint="default"/>
                <w:color w:val="auto"/>
                <w:highlight w:val="none"/>
              </w:rPr>
              <w:t>环境压力</w:t>
            </w:r>
          </w:p>
        </w:tc>
        <w:tc>
          <w:tcPr>
            <w:tcW w:w="947" w:type="pct"/>
            <w:noWrap w:val="0"/>
            <w:vAlign w:val="center"/>
          </w:tcPr>
          <w:p w14:paraId="34549D21">
            <w:pPr>
              <w:pStyle w:val="17"/>
              <w:bidi w:val="0"/>
              <w:rPr>
                <w:rFonts w:hint="default"/>
                <w:color w:val="auto"/>
                <w:highlight w:val="none"/>
              </w:rPr>
            </w:pPr>
            <w:r>
              <w:rPr>
                <w:rFonts w:hint="default"/>
                <w:color w:val="auto"/>
                <w:highlight w:val="none"/>
              </w:rPr>
              <w:t>Pa</w:t>
            </w:r>
          </w:p>
        </w:tc>
        <w:tc>
          <w:tcPr>
            <w:tcW w:w="1761" w:type="pct"/>
            <w:noWrap w:val="0"/>
            <w:vAlign w:val="center"/>
          </w:tcPr>
          <w:p w14:paraId="73C05721">
            <w:pPr>
              <w:pStyle w:val="17"/>
              <w:bidi w:val="0"/>
              <w:rPr>
                <w:rFonts w:hint="default"/>
                <w:color w:val="auto"/>
                <w:highlight w:val="none"/>
                <w:lang w:val="en-US" w:eastAsia="zh-CN"/>
              </w:rPr>
            </w:pPr>
            <w:r>
              <w:rPr>
                <w:rFonts w:hint="default"/>
                <w:color w:val="auto"/>
                <w:highlight w:val="none"/>
                <w:lang w:val="en-US" w:eastAsia="zh-CN"/>
              </w:rPr>
              <w:t>101325</w:t>
            </w:r>
          </w:p>
        </w:tc>
      </w:tr>
      <w:tr w14:paraId="63E4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407246CB">
            <w:pPr>
              <w:pStyle w:val="17"/>
              <w:bidi w:val="0"/>
              <w:rPr>
                <w:rFonts w:hint="default"/>
                <w:color w:val="auto"/>
                <w:highlight w:val="none"/>
              </w:rPr>
            </w:pPr>
            <w:r>
              <w:rPr>
                <w:rFonts w:hint="default"/>
                <w:color w:val="auto"/>
                <w:highlight w:val="none"/>
              </w:rPr>
              <w:t>g</w:t>
            </w:r>
          </w:p>
        </w:tc>
        <w:tc>
          <w:tcPr>
            <w:tcW w:w="1662" w:type="pct"/>
            <w:noWrap w:val="0"/>
            <w:vAlign w:val="center"/>
          </w:tcPr>
          <w:p w14:paraId="5FF8B007">
            <w:pPr>
              <w:pStyle w:val="17"/>
              <w:bidi w:val="0"/>
              <w:rPr>
                <w:rFonts w:hint="default"/>
                <w:color w:val="auto"/>
                <w:highlight w:val="none"/>
              </w:rPr>
            </w:pPr>
            <w:r>
              <w:rPr>
                <w:rFonts w:hint="default"/>
                <w:color w:val="auto"/>
                <w:highlight w:val="none"/>
              </w:rPr>
              <w:t>重力加速度</w:t>
            </w:r>
          </w:p>
        </w:tc>
        <w:tc>
          <w:tcPr>
            <w:tcW w:w="947" w:type="pct"/>
            <w:noWrap w:val="0"/>
            <w:vAlign w:val="center"/>
          </w:tcPr>
          <w:p w14:paraId="380939C4">
            <w:pPr>
              <w:pStyle w:val="17"/>
              <w:bidi w:val="0"/>
              <w:rPr>
                <w:rFonts w:hint="default"/>
                <w:color w:val="auto"/>
                <w:highlight w:val="none"/>
              </w:rPr>
            </w:pPr>
            <w:r>
              <w:rPr>
                <w:rFonts w:hint="default"/>
                <w:color w:val="auto"/>
                <w:highlight w:val="none"/>
              </w:rPr>
              <w:t>m/s</w:t>
            </w:r>
            <w:r>
              <w:rPr>
                <w:rFonts w:hint="default"/>
                <w:color w:val="auto"/>
                <w:highlight w:val="none"/>
                <w:vertAlign w:val="superscript"/>
              </w:rPr>
              <w:t>2</w:t>
            </w:r>
          </w:p>
        </w:tc>
        <w:tc>
          <w:tcPr>
            <w:tcW w:w="1761" w:type="pct"/>
            <w:noWrap w:val="0"/>
            <w:vAlign w:val="center"/>
          </w:tcPr>
          <w:p w14:paraId="3DD032C0">
            <w:pPr>
              <w:pStyle w:val="17"/>
              <w:bidi w:val="0"/>
              <w:rPr>
                <w:rFonts w:hint="default"/>
                <w:color w:val="auto"/>
                <w:highlight w:val="none"/>
              </w:rPr>
            </w:pPr>
            <w:r>
              <w:rPr>
                <w:rFonts w:hint="default"/>
                <w:color w:val="auto"/>
                <w:highlight w:val="none"/>
              </w:rPr>
              <w:t>9.8</w:t>
            </w:r>
            <w:r>
              <w:rPr>
                <w:rFonts w:hint="eastAsia"/>
                <w:color w:val="auto"/>
                <w:highlight w:val="none"/>
                <w:lang w:val="en-US" w:eastAsia="zh-CN"/>
              </w:rPr>
              <w:t>1</w:t>
            </w:r>
          </w:p>
        </w:tc>
      </w:tr>
      <w:tr w14:paraId="387C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17AD7753">
            <w:pPr>
              <w:pStyle w:val="17"/>
              <w:bidi w:val="0"/>
              <w:rPr>
                <w:rFonts w:hint="default"/>
                <w:color w:val="auto"/>
                <w:highlight w:val="none"/>
              </w:rPr>
            </w:pPr>
            <w:r>
              <w:rPr>
                <w:rFonts w:hint="default"/>
                <w:color w:val="auto"/>
                <w:highlight w:val="none"/>
              </w:rPr>
              <w:t>h</w:t>
            </w:r>
          </w:p>
        </w:tc>
        <w:tc>
          <w:tcPr>
            <w:tcW w:w="1662" w:type="pct"/>
            <w:noWrap w:val="0"/>
            <w:vAlign w:val="center"/>
          </w:tcPr>
          <w:p w14:paraId="74A9CC3E">
            <w:pPr>
              <w:pStyle w:val="17"/>
              <w:bidi w:val="0"/>
              <w:rPr>
                <w:rFonts w:hint="default"/>
                <w:color w:val="auto"/>
                <w:highlight w:val="none"/>
              </w:rPr>
            </w:pPr>
            <w:r>
              <w:rPr>
                <w:rFonts w:hint="default"/>
                <w:color w:val="auto"/>
                <w:highlight w:val="none"/>
              </w:rPr>
              <w:t>裂口之上液位高度</w:t>
            </w:r>
          </w:p>
        </w:tc>
        <w:tc>
          <w:tcPr>
            <w:tcW w:w="947" w:type="pct"/>
            <w:noWrap w:val="0"/>
            <w:vAlign w:val="center"/>
          </w:tcPr>
          <w:p w14:paraId="11E97868">
            <w:pPr>
              <w:pStyle w:val="17"/>
              <w:bidi w:val="0"/>
              <w:rPr>
                <w:rFonts w:hint="default"/>
                <w:color w:val="auto"/>
                <w:highlight w:val="none"/>
              </w:rPr>
            </w:pPr>
            <w:r>
              <w:rPr>
                <w:rFonts w:hint="default"/>
                <w:color w:val="auto"/>
                <w:highlight w:val="none"/>
              </w:rPr>
              <w:t>m</w:t>
            </w:r>
          </w:p>
        </w:tc>
        <w:tc>
          <w:tcPr>
            <w:tcW w:w="1761" w:type="pct"/>
            <w:noWrap w:val="0"/>
            <w:vAlign w:val="center"/>
          </w:tcPr>
          <w:p w14:paraId="541AF86B">
            <w:pPr>
              <w:pStyle w:val="17"/>
              <w:bidi w:val="0"/>
              <w:rPr>
                <w:rFonts w:hint="eastAsia"/>
                <w:color w:val="auto"/>
                <w:highlight w:val="none"/>
                <w:lang w:val="en-US" w:eastAsia="zh-CN"/>
              </w:rPr>
            </w:pPr>
            <w:r>
              <w:rPr>
                <w:rFonts w:hint="eastAsia"/>
                <w:color w:val="auto"/>
                <w:highlight w:val="none"/>
                <w:lang w:val="en-US" w:eastAsia="zh-CN"/>
              </w:rPr>
              <w:t>6</w:t>
            </w:r>
          </w:p>
        </w:tc>
      </w:tr>
      <w:tr w14:paraId="2CD8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09E14A71">
            <w:pPr>
              <w:pStyle w:val="17"/>
              <w:bidi w:val="0"/>
              <w:rPr>
                <w:rFonts w:hint="default"/>
                <w:color w:val="auto"/>
                <w:highlight w:val="none"/>
              </w:rPr>
            </w:pPr>
            <w:r>
              <w:rPr>
                <w:rFonts w:hint="default"/>
                <w:color w:val="auto"/>
                <w:highlight w:val="none"/>
              </w:rPr>
              <w:t>Q</w:t>
            </w:r>
          </w:p>
        </w:tc>
        <w:tc>
          <w:tcPr>
            <w:tcW w:w="1662" w:type="pct"/>
            <w:noWrap w:val="0"/>
            <w:vAlign w:val="center"/>
          </w:tcPr>
          <w:p w14:paraId="765F5622">
            <w:pPr>
              <w:pStyle w:val="17"/>
              <w:bidi w:val="0"/>
              <w:rPr>
                <w:rFonts w:hint="default"/>
                <w:color w:val="auto"/>
                <w:highlight w:val="none"/>
              </w:rPr>
            </w:pPr>
            <w:r>
              <w:rPr>
                <w:rFonts w:hint="default"/>
                <w:color w:val="auto"/>
                <w:highlight w:val="none"/>
              </w:rPr>
              <w:t>液体泄漏速度</w:t>
            </w:r>
          </w:p>
        </w:tc>
        <w:tc>
          <w:tcPr>
            <w:tcW w:w="947" w:type="pct"/>
            <w:noWrap w:val="0"/>
            <w:vAlign w:val="center"/>
          </w:tcPr>
          <w:p w14:paraId="7119020F">
            <w:pPr>
              <w:pStyle w:val="17"/>
              <w:bidi w:val="0"/>
              <w:rPr>
                <w:rFonts w:hint="default"/>
                <w:color w:val="auto"/>
                <w:highlight w:val="none"/>
              </w:rPr>
            </w:pPr>
            <w:r>
              <w:rPr>
                <w:rFonts w:hint="default"/>
                <w:color w:val="auto"/>
                <w:highlight w:val="none"/>
              </w:rPr>
              <w:t>kg/s</w:t>
            </w:r>
          </w:p>
        </w:tc>
        <w:tc>
          <w:tcPr>
            <w:tcW w:w="1761" w:type="pct"/>
            <w:noWrap w:val="0"/>
            <w:vAlign w:val="center"/>
          </w:tcPr>
          <w:p w14:paraId="4968C7B4">
            <w:pPr>
              <w:pStyle w:val="17"/>
              <w:bidi w:val="0"/>
              <w:rPr>
                <w:rFonts w:hint="default"/>
                <w:color w:val="auto"/>
                <w:highlight w:val="none"/>
                <w:lang w:val="en-US" w:eastAsia="zh-CN"/>
              </w:rPr>
            </w:pPr>
            <w:r>
              <w:rPr>
                <w:rFonts w:hint="eastAsia"/>
                <w:color w:val="auto"/>
                <w:highlight w:val="none"/>
                <w:lang w:val="en-US" w:eastAsia="zh-CN"/>
              </w:rPr>
              <w:t>4.07</w:t>
            </w:r>
          </w:p>
        </w:tc>
      </w:tr>
      <w:tr w14:paraId="08EB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5C8E8A59">
            <w:pPr>
              <w:pStyle w:val="17"/>
              <w:bidi w:val="0"/>
              <w:rPr>
                <w:rFonts w:hint="default"/>
                <w:color w:val="auto"/>
                <w:highlight w:val="none"/>
              </w:rPr>
            </w:pPr>
          </w:p>
        </w:tc>
        <w:tc>
          <w:tcPr>
            <w:tcW w:w="1662" w:type="pct"/>
            <w:noWrap w:val="0"/>
            <w:vAlign w:val="center"/>
          </w:tcPr>
          <w:p w14:paraId="1C91C457">
            <w:pPr>
              <w:pStyle w:val="17"/>
              <w:bidi w:val="0"/>
              <w:rPr>
                <w:rFonts w:hint="default"/>
                <w:color w:val="auto"/>
                <w:highlight w:val="none"/>
              </w:rPr>
            </w:pPr>
            <w:r>
              <w:rPr>
                <w:rFonts w:hint="default"/>
                <w:color w:val="auto"/>
                <w:highlight w:val="none"/>
              </w:rPr>
              <w:t>泄漏时间</w:t>
            </w:r>
          </w:p>
        </w:tc>
        <w:tc>
          <w:tcPr>
            <w:tcW w:w="947" w:type="pct"/>
            <w:noWrap w:val="0"/>
            <w:vAlign w:val="center"/>
          </w:tcPr>
          <w:p w14:paraId="6A028BFB">
            <w:pPr>
              <w:pStyle w:val="17"/>
              <w:bidi w:val="0"/>
              <w:rPr>
                <w:rFonts w:hint="default"/>
                <w:color w:val="auto"/>
                <w:highlight w:val="none"/>
              </w:rPr>
            </w:pPr>
            <w:r>
              <w:rPr>
                <w:rFonts w:hint="default"/>
                <w:color w:val="auto"/>
                <w:highlight w:val="none"/>
              </w:rPr>
              <w:t>s</w:t>
            </w:r>
          </w:p>
        </w:tc>
        <w:tc>
          <w:tcPr>
            <w:tcW w:w="1761" w:type="pct"/>
            <w:noWrap w:val="0"/>
            <w:vAlign w:val="center"/>
          </w:tcPr>
          <w:p w14:paraId="1972FBEC">
            <w:pPr>
              <w:pStyle w:val="17"/>
              <w:bidi w:val="0"/>
              <w:rPr>
                <w:rFonts w:hint="default"/>
                <w:color w:val="auto"/>
                <w:highlight w:val="none"/>
                <w:lang w:val="en-US" w:eastAsia="zh-CN"/>
              </w:rPr>
            </w:pPr>
            <w:r>
              <w:rPr>
                <w:rFonts w:hint="default"/>
                <w:color w:val="auto"/>
                <w:highlight w:val="none"/>
                <w:lang w:val="en-US" w:eastAsia="zh-CN"/>
              </w:rPr>
              <w:t>6</w:t>
            </w:r>
            <w:r>
              <w:rPr>
                <w:rFonts w:hint="default"/>
                <w:color w:val="auto"/>
                <w:highlight w:val="none"/>
              </w:rPr>
              <w:t>00</w:t>
            </w:r>
          </w:p>
        </w:tc>
      </w:tr>
      <w:tr w14:paraId="21F2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 w:type="pct"/>
            <w:noWrap w:val="0"/>
            <w:vAlign w:val="center"/>
          </w:tcPr>
          <w:p w14:paraId="7D81E963">
            <w:pPr>
              <w:pStyle w:val="17"/>
              <w:bidi w:val="0"/>
              <w:rPr>
                <w:rFonts w:hint="default"/>
                <w:color w:val="auto"/>
                <w:highlight w:val="none"/>
              </w:rPr>
            </w:pPr>
          </w:p>
        </w:tc>
        <w:tc>
          <w:tcPr>
            <w:tcW w:w="1662" w:type="pct"/>
            <w:noWrap w:val="0"/>
            <w:vAlign w:val="center"/>
          </w:tcPr>
          <w:p w14:paraId="5D2D4826">
            <w:pPr>
              <w:pStyle w:val="17"/>
              <w:bidi w:val="0"/>
              <w:rPr>
                <w:rFonts w:hint="default"/>
                <w:color w:val="auto"/>
                <w:highlight w:val="none"/>
              </w:rPr>
            </w:pPr>
            <w:r>
              <w:rPr>
                <w:rFonts w:hint="default"/>
                <w:color w:val="auto"/>
                <w:highlight w:val="none"/>
              </w:rPr>
              <w:t>泄漏量</w:t>
            </w:r>
          </w:p>
        </w:tc>
        <w:tc>
          <w:tcPr>
            <w:tcW w:w="947" w:type="pct"/>
            <w:noWrap w:val="0"/>
            <w:vAlign w:val="center"/>
          </w:tcPr>
          <w:p w14:paraId="20609ABB">
            <w:pPr>
              <w:pStyle w:val="17"/>
              <w:bidi w:val="0"/>
              <w:rPr>
                <w:rFonts w:hint="default"/>
                <w:color w:val="auto"/>
                <w:highlight w:val="none"/>
              </w:rPr>
            </w:pPr>
            <w:r>
              <w:rPr>
                <w:rFonts w:hint="default"/>
                <w:color w:val="auto"/>
                <w:highlight w:val="none"/>
              </w:rPr>
              <w:t>kg</w:t>
            </w:r>
          </w:p>
        </w:tc>
        <w:tc>
          <w:tcPr>
            <w:tcW w:w="1761" w:type="pct"/>
            <w:noWrap w:val="0"/>
            <w:vAlign w:val="center"/>
          </w:tcPr>
          <w:p w14:paraId="2622DF09">
            <w:pPr>
              <w:pStyle w:val="17"/>
              <w:bidi w:val="0"/>
              <w:rPr>
                <w:rFonts w:hint="eastAsia"/>
                <w:color w:val="auto"/>
                <w:highlight w:val="none"/>
                <w:lang w:val="en-US" w:eastAsia="zh-CN"/>
              </w:rPr>
            </w:pPr>
            <w:r>
              <w:rPr>
                <w:rFonts w:hint="eastAsia"/>
                <w:color w:val="auto"/>
                <w:highlight w:val="none"/>
                <w:lang w:val="en-US" w:eastAsia="zh-CN"/>
              </w:rPr>
              <w:t>2442</w:t>
            </w:r>
          </w:p>
        </w:tc>
      </w:tr>
    </w:tbl>
    <w:p w14:paraId="7B27994B">
      <w:pPr>
        <w:bidi w:val="0"/>
        <w:rPr>
          <w:rFonts w:hint="default" w:ascii="Times New Roman" w:hAnsi="Times New Roman" w:cs="Times New Roman"/>
          <w:color w:val="auto"/>
          <w:highlight w:val="none"/>
        </w:rPr>
      </w:pPr>
      <w:r>
        <w:rPr>
          <w:rFonts w:hint="default"/>
          <w:color w:val="auto"/>
          <w:highlight w:val="none"/>
        </w:rPr>
        <w:t>经计算可知，</w:t>
      </w:r>
      <w:r>
        <w:rPr>
          <w:rFonts w:hint="eastAsia"/>
          <w:color w:val="auto"/>
          <w:highlight w:val="none"/>
          <w:lang w:val="en-US" w:eastAsia="zh-CN"/>
        </w:rPr>
        <w:t>硫酸</w:t>
      </w:r>
      <w:r>
        <w:rPr>
          <w:rFonts w:hint="default"/>
          <w:color w:val="auto"/>
          <w:highlight w:val="none"/>
        </w:rPr>
        <w:t>泄漏速度为</w:t>
      </w:r>
      <w:r>
        <w:rPr>
          <w:rFonts w:hint="eastAsia" w:ascii="Times New Roman" w:hAnsi="Times New Roman" w:cs="Times New Roman"/>
          <w:color w:val="auto"/>
          <w:sz w:val="24"/>
          <w:highlight w:val="none"/>
          <w:lang w:val="en-US" w:eastAsia="zh-CN"/>
        </w:rPr>
        <w:t>4.07</w:t>
      </w:r>
      <w:r>
        <w:rPr>
          <w:rFonts w:hint="default"/>
          <w:color w:val="auto"/>
          <w:highlight w:val="none"/>
        </w:rPr>
        <w:t>kg/s，事故持续时间为</w:t>
      </w:r>
      <w:r>
        <w:rPr>
          <w:rFonts w:hint="eastAsia"/>
          <w:color w:val="auto"/>
          <w:highlight w:val="none"/>
          <w:lang w:val="en-US" w:eastAsia="zh-CN"/>
        </w:rPr>
        <w:t>10</w:t>
      </w:r>
      <w:r>
        <w:rPr>
          <w:rFonts w:hint="default"/>
          <w:color w:val="auto"/>
          <w:highlight w:val="none"/>
        </w:rPr>
        <w:t>min，泄漏量</w:t>
      </w:r>
      <w:r>
        <w:rPr>
          <w:rFonts w:hint="eastAsia" w:cs="Times New Roman"/>
          <w:bCs/>
          <w:snapToGrid w:val="0"/>
          <w:color w:val="auto"/>
          <w:kern w:val="0"/>
          <w:sz w:val="24"/>
          <w:highlight w:val="none"/>
          <w:lang w:val="en-US" w:eastAsia="zh-CN"/>
        </w:rPr>
        <w:t>2442</w:t>
      </w:r>
      <w:r>
        <w:rPr>
          <w:rFonts w:hint="default"/>
          <w:color w:val="auto"/>
          <w:highlight w:val="none"/>
        </w:rPr>
        <w:t>kg；</w:t>
      </w:r>
      <w:r>
        <w:rPr>
          <w:rFonts w:hint="eastAsia"/>
          <w:color w:val="auto"/>
          <w:highlight w:val="none"/>
          <w:lang w:val="en-US" w:eastAsia="zh-CN"/>
        </w:rPr>
        <w:t>硫酸具有难挥发性，</w:t>
      </w:r>
      <w:r>
        <w:rPr>
          <w:rFonts w:hint="default"/>
          <w:color w:val="auto"/>
          <w:highlight w:val="none"/>
        </w:rPr>
        <w:t>小量泄漏时，</w:t>
      </w:r>
      <w:r>
        <w:rPr>
          <w:rFonts w:hint="eastAsia"/>
          <w:color w:val="auto"/>
          <w:highlight w:val="none"/>
          <w:lang w:val="en-US" w:eastAsia="zh-CN"/>
        </w:rPr>
        <w:t>硫酸</w:t>
      </w:r>
      <w:r>
        <w:rPr>
          <w:rFonts w:hint="default"/>
          <w:color w:val="auto"/>
          <w:highlight w:val="none"/>
        </w:rPr>
        <w:t>泄漏至罐区围堰内，不与外环境发生联系。</w:t>
      </w:r>
      <w:r>
        <w:rPr>
          <w:rFonts w:hint="eastAsia"/>
          <w:color w:val="auto"/>
          <w:highlight w:val="none"/>
          <w:lang w:eastAsia="zh-CN"/>
        </w:rPr>
        <w:t>当发生泄漏时，立即停止生产，</w:t>
      </w:r>
      <w:r>
        <w:rPr>
          <w:rFonts w:hint="default" w:ascii="Times New Roman" w:hAnsi="Times New Roman" w:cs="Times New Roman"/>
          <w:color w:val="auto"/>
          <w:highlight w:val="none"/>
        </w:rPr>
        <w:t>通知</w:t>
      </w:r>
      <w:r>
        <w:rPr>
          <w:rFonts w:hint="default" w:ascii="Times New Roman" w:hAnsi="Times New Roman" w:cs="Times New Roman"/>
          <w:color w:val="auto"/>
          <w:highlight w:val="none"/>
          <w:lang w:eastAsia="zh-CN"/>
        </w:rPr>
        <w:t>现场负责人。现场负责人</w:t>
      </w:r>
      <w:r>
        <w:rPr>
          <w:rFonts w:hint="default" w:ascii="Times New Roman" w:hAnsi="Times New Roman" w:cs="Times New Roman"/>
          <w:color w:val="auto"/>
          <w:highlight w:val="none"/>
        </w:rPr>
        <w:t>得到</w:t>
      </w:r>
      <w:r>
        <w:rPr>
          <w:rFonts w:hint="eastAsia" w:cs="Times New Roman"/>
          <w:color w:val="auto"/>
          <w:highlight w:val="none"/>
          <w:lang w:eastAsia="zh-CN"/>
        </w:rPr>
        <w:t>罐区泄漏</w:t>
      </w:r>
      <w:r>
        <w:rPr>
          <w:rFonts w:hint="default" w:ascii="Times New Roman" w:hAnsi="Times New Roman" w:cs="Times New Roman"/>
          <w:color w:val="auto"/>
          <w:highlight w:val="none"/>
        </w:rPr>
        <w:t>报告后，迅速启动现场处置方案。应急救援小组第一时间赶赴事故现场，实施紧急救援；在控制好</w:t>
      </w:r>
      <w:r>
        <w:rPr>
          <w:rFonts w:hint="eastAsia" w:cs="Times New Roman"/>
          <w:color w:val="auto"/>
          <w:highlight w:val="none"/>
          <w:lang w:eastAsia="zh-CN"/>
        </w:rPr>
        <w:t>酸</w:t>
      </w:r>
      <w:r>
        <w:rPr>
          <w:rFonts w:hint="eastAsia" w:cs="Times New Roman"/>
          <w:color w:val="auto"/>
          <w:highlight w:val="none"/>
          <w:lang w:val="en-US" w:eastAsia="zh-CN"/>
        </w:rPr>
        <w:t>液</w:t>
      </w:r>
      <w:r>
        <w:rPr>
          <w:rFonts w:hint="default" w:ascii="Times New Roman" w:hAnsi="Times New Roman" w:cs="Times New Roman"/>
          <w:color w:val="auto"/>
          <w:highlight w:val="none"/>
        </w:rPr>
        <w:t>继续溢流后，收集泄漏</w:t>
      </w:r>
      <w:r>
        <w:rPr>
          <w:rFonts w:hint="default" w:ascii="Times New Roman" w:hAnsi="Times New Roman" w:cs="Times New Roman"/>
          <w:color w:val="auto"/>
          <w:highlight w:val="none"/>
          <w:lang w:eastAsia="zh-CN"/>
        </w:rPr>
        <w:t>的</w:t>
      </w:r>
      <w:r>
        <w:rPr>
          <w:rFonts w:hint="eastAsia" w:cs="Times New Roman"/>
          <w:color w:val="auto"/>
          <w:highlight w:val="none"/>
          <w:lang w:eastAsia="zh-CN"/>
        </w:rPr>
        <w:t>酸液，</w:t>
      </w:r>
      <w:r>
        <w:rPr>
          <w:rFonts w:hint="default" w:ascii="Times New Roman" w:hAnsi="Times New Roman" w:cs="Times New Roman"/>
          <w:color w:val="auto"/>
          <w:highlight w:val="none"/>
          <w:lang w:eastAsia="zh-CN"/>
        </w:rPr>
        <w:t>交由有资质的处置单位处置。待</w:t>
      </w:r>
      <w:r>
        <w:rPr>
          <w:rFonts w:hint="default" w:ascii="Times New Roman" w:hAnsi="Times New Roman" w:cs="Times New Roman"/>
          <w:color w:val="auto"/>
          <w:highlight w:val="none"/>
        </w:rPr>
        <w:t>泄漏</w:t>
      </w:r>
      <w:r>
        <w:rPr>
          <w:rFonts w:hint="eastAsia" w:cs="Times New Roman"/>
          <w:color w:val="auto"/>
          <w:highlight w:val="none"/>
          <w:lang w:eastAsia="zh-CN"/>
        </w:rPr>
        <w:t>酸液</w:t>
      </w:r>
      <w:r>
        <w:rPr>
          <w:rFonts w:hint="default" w:ascii="Times New Roman" w:hAnsi="Times New Roman" w:cs="Times New Roman"/>
          <w:color w:val="auto"/>
          <w:highlight w:val="none"/>
          <w:lang w:eastAsia="zh-CN"/>
        </w:rPr>
        <w:t>全部</w:t>
      </w:r>
      <w:r>
        <w:rPr>
          <w:rFonts w:hint="default" w:ascii="Times New Roman" w:hAnsi="Times New Roman" w:cs="Times New Roman"/>
          <w:color w:val="auto"/>
          <w:highlight w:val="none"/>
        </w:rPr>
        <w:t>处理完毕，</w:t>
      </w:r>
      <w:r>
        <w:rPr>
          <w:rFonts w:hint="default" w:ascii="Times New Roman" w:hAnsi="Times New Roman" w:cs="Times New Roman"/>
          <w:color w:val="auto"/>
          <w:highlight w:val="none"/>
          <w:lang w:eastAsia="zh-CN"/>
        </w:rPr>
        <w:t>安全员</w:t>
      </w:r>
      <w:r>
        <w:rPr>
          <w:rFonts w:hint="default" w:ascii="Times New Roman" w:hAnsi="Times New Roman" w:cs="Times New Roman"/>
          <w:color w:val="auto"/>
          <w:highlight w:val="none"/>
        </w:rPr>
        <w:t>确认安全后</w:t>
      </w:r>
      <w:r>
        <w:rPr>
          <w:rFonts w:hint="eastAsia" w:cs="Times New Roman"/>
          <w:color w:val="auto"/>
          <w:highlight w:val="none"/>
          <w:lang w:eastAsia="zh-CN"/>
        </w:rPr>
        <w:t>开始生产</w:t>
      </w:r>
      <w:r>
        <w:rPr>
          <w:rFonts w:hint="default" w:ascii="Times New Roman" w:hAnsi="Times New Roman" w:cs="Times New Roman"/>
          <w:color w:val="auto"/>
          <w:highlight w:val="none"/>
        </w:rPr>
        <w:t>。</w:t>
      </w:r>
    </w:p>
    <w:p w14:paraId="745B46E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风险事故水环境影响分析</w:t>
      </w:r>
    </w:p>
    <w:p w14:paraId="7CF8685F">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项目</w:t>
      </w:r>
      <w:r>
        <w:rPr>
          <w:rFonts w:hint="default" w:ascii="Times New Roman" w:hAnsi="Times New Roman" w:cs="Times New Roman"/>
          <w:color w:val="auto"/>
          <w:highlight w:val="none"/>
        </w:rPr>
        <w:t>区内火灾除对空气会造成一定影响外，采用雾状水作灭火剂时，消防水处理不当也会对地表水体造成影响。因此，建设单位在运营时既要充分考虑火灾对大气的影响，又要特别重视事故处理过程中消防水的收集和处理问题，防止因火灾对周围水体造成二次污染。</w:t>
      </w:r>
    </w:p>
    <w:p w14:paraId="4C6F244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项目区不处于饮用水源保护区，地下水为</w:t>
      </w:r>
      <w:r>
        <w:rPr>
          <w:rFonts w:hint="default" w:ascii="Times New Roman" w:hAnsi="Times New Roman" w:cs="Times New Roman"/>
          <w:color w:val="auto"/>
          <w:highlight w:val="none"/>
          <w:lang w:eastAsia="zh-CN"/>
        </w:rPr>
        <w:t>Ⅲ</w:t>
      </w:r>
      <w:r>
        <w:rPr>
          <w:rFonts w:hint="default" w:ascii="Times New Roman" w:hAnsi="Times New Roman" w:cs="Times New Roman"/>
          <w:color w:val="auto"/>
          <w:highlight w:val="none"/>
        </w:rPr>
        <w:t>类，不属于敏感区，项目运行后采用公路运输。因此，只对风险事故发生后产生的水环境影响进行分析。</w:t>
      </w:r>
    </w:p>
    <w:p w14:paraId="2F68F1C3">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）对地下水的风险影响分析</w:t>
      </w:r>
    </w:p>
    <w:p w14:paraId="2141DD7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各</w:t>
      </w:r>
      <w:r>
        <w:rPr>
          <w:rFonts w:hint="default" w:ascii="Times New Roman" w:hAnsi="Times New Roman" w:cs="Times New Roman"/>
          <w:color w:val="auto"/>
          <w:highlight w:val="none"/>
        </w:rPr>
        <w:t>水池、选矿车间、管道等一旦发生泄漏事故，如不能收集进入回水池，选矿水可能通过下渗污染地下水。</w:t>
      </w:r>
      <w:r>
        <w:rPr>
          <w:rFonts w:hint="default" w:ascii="Times New Roman" w:hAnsi="Times New Roman" w:cs="Times New Roman"/>
          <w:color w:val="auto"/>
          <w:spacing w:val="-4"/>
          <w:highlight w:val="none"/>
        </w:rPr>
        <w:t>本项目在生产过程中，一旦发生火灾等事故，在处理过程中，消防水会携带大量粉尘形成有悬浮物的废水，由于消防用水瞬时量比较大，悬浮物含量也较高，任其漫流会导致</w:t>
      </w:r>
      <w:r>
        <w:rPr>
          <w:rFonts w:hint="default" w:ascii="Times New Roman" w:hAnsi="Times New Roman" w:cs="Times New Roman"/>
          <w:color w:val="auto"/>
          <w:spacing w:val="-85"/>
          <w:highlight w:val="none"/>
        </w:rPr>
        <w:t xml:space="preserve"> </w:t>
      </w:r>
      <w:r>
        <w:rPr>
          <w:rFonts w:hint="default" w:ascii="Times New Roman" w:hAnsi="Times New Roman" w:cs="Times New Roman"/>
          <w:color w:val="auto"/>
          <w:highlight w:val="none"/>
        </w:rPr>
        <w:t>污水污染地下水水质。项目区内事故废水统一收集至事故水池，因此，如项目区发生事故时，基本不会对地下水造成污染。</w:t>
      </w:r>
    </w:p>
    <w:p w14:paraId="04FC2AEE">
      <w:pPr>
        <w:overflowPunct w:val="0"/>
        <w:topLinePunct/>
        <w:ind w:firstLine="480"/>
        <w:rPr>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）事故废水防控体系的风险影响分析</w:t>
      </w:r>
    </w:p>
    <w:p w14:paraId="36F8FDB0">
      <w:pPr>
        <w:overflowPunct w:val="0"/>
        <w:topLinePunct/>
        <w:ind w:firstLine="464"/>
        <w:rPr>
          <w:color w:val="auto"/>
          <w:highlight w:val="none"/>
        </w:rPr>
      </w:pPr>
      <w:r>
        <w:rPr>
          <w:rFonts w:hint="eastAsia"/>
          <w:color w:val="auto"/>
          <w:spacing w:val="-4"/>
          <w:highlight w:val="none"/>
        </w:rPr>
        <w:t>当火灾事故发生时，企业要建立消防废水、全厂废水的事故废水防控体系。消防废水防控体系：当项目生产储运区发生火灾事故时，使大量消防废水进入项目区沉淀池中。如果</w:t>
      </w:r>
      <w:r>
        <w:rPr>
          <w:color w:val="auto"/>
          <w:spacing w:val="-85"/>
          <w:highlight w:val="none"/>
        </w:rPr>
        <w:t xml:space="preserve"> </w:t>
      </w:r>
      <w:r>
        <w:rPr>
          <w:rFonts w:hint="eastAsia"/>
          <w:color w:val="auto"/>
          <w:spacing w:val="-4"/>
          <w:highlight w:val="none"/>
        </w:rPr>
        <w:t>部分废水漫流进入雨水管网，应立即关闭雨水排放口，将雨水管网与</w:t>
      </w:r>
      <w:r>
        <w:rPr>
          <w:rFonts w:hint="eastAsia"/>
          <w:color w:val="auto"/>
          <w:highlight w:val="none"/>
        </w:rPr>
        <w:t>沉淀池相连，使废水进入池中，避免进入外环境。以上措施作为企业消防废水防控措施，</w:t>
      </w:r>
      <w:r>
        <w:rPr>
          <w:rFonts w:hint="eastAsia"/>
          <w:color w:val="auto"/>
          <w:spacing w:val="-4"/>
          <w:highlight w:val="none"/>
        </w:rPr>
        <w:t>目的在于切断污染物与外界的通道，将污染物导入沉淀池内，将污染控制在项目区，防止产</w:t>
      </w:r>
      <w:r>
        <w:rPr>
          <w:rFonts w:hint="eastAsia"/>
          <w:color w:val="auto"/>
          <w:highlight w:val="none"/>
        </w:rPr>
        <w:t>生的消防废水造成环境污染。</w:t>
      </w:r>
    </w:p>
    <w:p w14:paraId="2189DFB1">
      <w:pPr>
        <w:overflowPunct w:val="0"/>
        <w:topLinePunct/>
        <w:ind w:firstLine="480"/>
        <w:rPr>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）洪水环境风险影响分析</w:t>
      </w:r>
    </w:p>
    <w:p w14:paraId="3C425D99">
      <w:pPr>
        <w:overflowPunct w:val="0"/>
        <w:topLinePunct/>
        <w:ind w:firstLine="480"/>
        <w:rPr>
          <w:color w:val="auto"/>
          <w:highlight w:val="none"/>
        </w:rPr>
      </w:pPr>
      <w:r>
        <w:rPr>
          <w:rFonts w:hint="eastAsia"/>
          <w:color w:val="auto"/>
          <w:highlight w:val="none"/>
        </w:rPr>
        <w:t>本项目尾矿库处于独立沟谷，沟谷汇水面积内洪水源自大气降水及冰雪融水。</w:t>
      </w:r>
      <w:r>
        <w:rPr>
          <w:color w:val="auto"/>
          <w:highlight w:val="none"/>
        </w:rPr>
        <w:t>根据尾矿库设计资料，尾矿库排洪系统采用框架式排水井—排水管，在库区新建</w:t>
      </w:r>
      <w:r>
        <w:rPr>
          <w:rFonts w:hint="eastAsia"/>
          <w:color w:val="auto"/>
          <w:highlight w:val="none"/>
          <w:lang w:val="en-US" w:eastAsia="zh-CN"/>
        </w:rPr>
        <w:t>5</w:t>
      </w:r>
      <w:r>
        <w:rPr>
          <w:color w:val="auto"/>
          <w:highlight w:val="none"/>
        </w:rPr>
        <w:t>座（1#~</w:t>
      </w:r>
      <w:r>
        <w:rPr>
          <w:rFonts w:hint="eastAsia"/>
          <w:color w:val="auto"/>
          <w:highlight w:val="none"/>
          <w:lang w:val="en-US" w:eastAsia="zh-CN"/>
        </w:rPr>
        <w:t>5</w:t>
      </w:r>
      <w:r>
        <w:rPr>
          <w:color w:val="auto"/>
          <w:highlight w:val="none"/>
        </w:rPr>
        <w:t>#）框架式排水井，内径为</w:t>
      </w:r>
      <w:r>
        <w:rPr>
          <w:rFonts w:hint="eastAsia"/>
          <w:color w:val="auto"/>
          <w:highlight w:val="none"/>
          <w:lang w:val="en-US" w:eastAsia="zh-CN"/>
        </w:rPr>
        <w:t>4</w:t>
      </w:r>
      <w:r>
        <w:rPr>
          <w:color w:val="auto"/>
          <w:highlight w:val="none"/>
        </w:rPr>
        <w:t>m，高1</w:t>
      </w:r>
      <w:r>
        <w:rPr>
          <w:rFonts w:hint="eastAsia"/>
          <w:color w:val="auto"/>
          <w:highlight w:val="none"/>
          <w:lang w:val="en-US" w:eastAsia="zh-CN"/>
        </w:rPr>
        <w:t>1～</w:t>
      </w:r>
      <w:r>
        <w:rPr>
          <w:color w:val="auto"/>
          <w:highlight w:val="none"/>
        </w:rPr>
        <w:t>15m；排水管为</w:t>
      </w:r>
      <w:r>
        <w:rPr>
          <w:rFonts w:hint="eastAsia"/>
          <w:color w:val="auto"/>
          <w:highlight w:val="none"/>
          <w:lang w:eastAsia="zh-CN"/>
        </w:rPr>
        <w:t>圆形</w:t>
      </w:r>
      <w:r>
        <w:rPr>
          <w:color w:val="auto"/>
          <w:highlight w:val="none"/>
        </w:rPr>
        <w:t>，内径1.</w:t>
      </w:r>
      <w:r>
        <w:rPr>
          <w:rFonts w:hint="eastAsia"/>
          <w:color w:val="auto"/>
          <w:highlight w:val="none"/>
          <w:lang w:val="en-US" w:eastAsia="zh-CN"/>
        </w:rPr>
        <w:t>5</w:t>
      </w:r>
      <w:r>
        <w:rPr>
          <w:color w:val="auto"/>
          <w:highlight w:val="none"/>
        </w:rPr>
        <w:t>m，壁厚0.25m，排水管出口标高为</w:t>
      </w:r>
      <w:r>
        <w:rPr>
          <w:rFonts w:hint="eastAsia"/>
          <w:color w:val="auto"/>
          <w:highlight w:val="none"/>
          <w:lang w:val="en-US" w:eastAsia="zh-CN"/>
        </w:rPr>
        <w:t>3020</w:t>
      </w:r>
      <w:r>
        <w:rPr>
          <w:color w:val="auto"/>
          <w:highlight w:val="none"/>
        </w:rPr>
        <w:t>m，出口接集水池；集水池长</w:t>
      </w:r>
      <w:r>
        <w:rPr>
          <w:rFonts w:hint="eastAsia"/>
          <w:color w:val="auto"/>
          <w:highlight w:val="none"/>
          <w:lang w:val="en-US" w:eastAsia="zh-CN"/>
        </w:rPr>
        <w:t>4</w:t>
      </w:r>
      <w:r>
        <w:rPr>
          <w:color w:val="auto"/>
          <w:highlight w:val="none"/>
        </w:rPr>
        <w:t>0m，宽</w:t>
      </w:r>
      <w:r>
        <w:rPr>
          <w:rFonts w:hint="eastAsia"/>
          <w:color w:val="auto"/>
          <w:highlight w:val="none"/>
          <w:lang w:val="en-US" w:eastAsia="zh-CN"/>
        </w:rPr>
        <w:t>20</w:t>
      </w:r>
      <w:r>
        <w:rPr>
          <w:color w:val="auto"/>
          <w:highlight w:val="none"/>
        </w:rPr>
        <w:t>m，直墙高</w:t>
      </w:r>
      <w:r>
        <w:rPr>
          <w:rFonts w:hint="eastAsia"/>
          <w:color w:val="auto"/>
          <w:highlight w:val="none"/>
          <w:lang w:val="en-US" w:eastAsia="zh-CN"/>
        </w:rPr>
        <w:t>3.5</w:t>
      </w:r>
      <w:r>
        <w:rPr>
          <w:color w:val="auto"/>
          <w:highlight w:val="none"/>
        </w:rPr>
        <w:t>m。在</w:t>
      </w:r>
      <w:r>
        <w:rPr>
          <w:rFonts w:hint="eastAsia"/>
          <w:color w:val="auto"/>
          <w:highlight w:val="none"/>
          <w:lang w:eastAsia="zh-CN"/>
        </w:rPr>
        <w:t>集水</w:t>
      </w:r>
      <w:r>
        <w:rPr>
          <w:color w:val="auto"/>
          <w:highlight w:val="none"/>
        </w:rPr>
        <w:t>池池顶下1.5m处设回水管，将库内澄清水打回选厂使用。为防止汛期暴雨汇流冲刷坝外坡坡面，造成拉沟，必须随着坝体的升高，及时修筑坝外坡的纵、横向排水沟。</w:t>
      </w:r>
    </w:p>
    <w:p w14:paraId="4C2E7ACD">
      <w:pPr>
        <w:overflowPunct w:val="0"/>
        <w:topLinePunct/>
        <w:ind w:firstLine="480"/>
        <w:rPr>
          <w:color w:val="auto"/>
          <w:highlight w:val="none"/>
        </w:rPr>
      </w:pPr>
      <w:r>
        <w:rPr>
          <w:color w:val="auto"/>
          <w:highlight w:val="none"/>
        </w:rPr>
        <w:t>尾矿库的防洪标准按500年洪水重现期设计。根据防洪标准，设计在尾矿库留出足够的调洪库容及库内</w:t>
      </w:r>
      <w:r>
        <w:rPr>
          <w:rFonts w:hint="eastAsia"/>
          <w:color w:val="auto"/>
          <w:highlight w:val="none"/>
          <w:lang w:eastAsia="zh-CN"/>
        </w:rPr>
        <w:t>设置</w:t>
      </w:r>
      <w:r>
        <w:rPr>
          <w:color w:val="auto"/>
          <w:highlight w:val="none"/>
        </w:rPr>
        <w:t>回水设施，根据调洪验算和排洪系统泄洪能力分析，尾矿库汇水面积内洪水可通过排洪系统排出库区，满足《尾矿设施设计规范》（GB50863-2013）。尾矿库严格按照设计方案进行建设则不存在洪水漫库的环境风险。</w:t>
      </w:r>
    </w:p>
    <w:p w14:paraId="2D55904B">
      <w:pPr>
        <w:overflowPunct w:val="0"/>
        <w:topLinePunct/>
        <w:ind w:firstLine="480"/>
        <w:rPr>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）尾矿库溃坝的风险影响分析</w:t>
      </w:r>
    </w:p>
    <w:p w14:paraId="5E7F84C3">
      <w:pPr>
        <w:overflowPunct w:val="0"/>
        <w:topLinePunct/>
        <w:ind w:firstLine="480"/>
        <w:rPr>
          <w:color w:val="auto"/>
          <w:highlight w:val="none"/>
        </w:rPr>
      </w:pPr>
      <w:r>
        <w:rPr>
          <w:rFonts w:hint="eastAsia"/>
          <w:color w:val="auto"/>
          <w:highlight w:val="none"/>
        </w:rPr>
        <w:t>溃坝是在蠕变拉裂</w:t>
      </w:r>
      <w:r>
        <w:rPr>
          <w:rFonts w:hint="eastAsia"/>
          <w:color w:val="auto"/>
          <w:highlight w:val="none"/>
          <w:lang w:eastAsia="zh-CN"/>
        </w:rPr>
        <w:t>—</w:t>
      </w:r>
      <w:r>
        <w:rPr>
          <w:rFonts w:hint="eastAsia"/>
          <w:color w:val="auto"/>
          <w:highlight w:val="none"/>
        </w:rPr>
        <w:t>剪断复合机制下形成的，在重力和残余剪切强度作用下，自坡脚区材料强度破坏开始，缓慢累进性破坏，其过程初为坡脚蠕变，接着沿接裂扩张，然后中部剪断贯通，当贯通剪断面形成时，斜坡开始高速滑动，与此相应，溃坝过程由静止、加速并达到整体滑动的最大速度，其后滑体自后部至前锋依次减速构成，溃坝过程往往在几分钟内完成。溃坝液体下泄时一般以涌波形式运动，涌波的高度是不断变化的，同时逐渐向下游形成扇形流推进，最后流进附近地势较低处，溃坝对下游区域生态环境会造成一定影响。</w:t>
      </w:r>
    </w:p>
    <w:p w14:paraId="0CE97D99">
      <w:pPr>
        <w:overflowPunct w:val="0"/>
        <w:topLinePunct/>
        <w:ind w:firstLine="480"/>
        <w:rPr>
          <w:color w:val="auto"/>
          <w:highlight w:val="none"/>
        </w:rPr>
      </w:pPr>
      <w:r>
        <w:rPr>
          <w:color w:val="auto"/>
          <w:highlight w:val="none"/>
        </w:rPr>
        <w:t>根据《尾矿库环境风险评估技术导则（试行）》（HJ740-2015），确定项目为一般风险源，根据附录B、附录D，确定项目环境危险因素主要为坝体的溃坝风险。</w:t>
      </w:r>
      <w:r>
        <w:rPr>
          <w:color w:val="auto"/>
          <w:highlight w:val="none"/>
          <w:lang w:val="zh-CN"/>
        </w:rPr>
        <w:t>本项目尾矿库库型为</w:t>
      </w:r>
      <w:r>
        <w:rPr>
          <w:color w:val="auto"/>
          <w:highlight w:val="none"/>
        </w:rPr>
        <w:t>沟谷型</w:t>
      </w:r>
      <w:r>
        <w:rPr>
          <w:color w:val="auto"/>
          <w:highlight w:val="none"/>
          <w:lang w:val="zh-CN"/>
        </w:rPr>
        <w:t>，</w:t>
      </w:r>
      <w:r>
        <w:rPr>
          <w:color w:val="auto"/>
          <w:highlight w:val="none"/>
        </w:rPr>
        <w:t>一旦发生溃坝事故时，尾矿水携带尾矿砂流向尾矿库沟谷，本项目涉及的环境敏感目标为</w:t>
      </w:r>
      <w:r>
        <w:rPr>
          <w:rFonts w:hint="eastAsia"/>
          <w:color w:val="auto"/>
          <w:highlight w:val="none"/>
          <w:lang w:eastAsia="zh-CN"/>
        </w:rPr>
        <w:t>阿克苏</w:t>
      </w:r>
      <w:r>
        <w:rPr>
          <w:color w:val="auto"/>
          <w:highlight w:val="none"/>
        </w:rPr>
        <w:t>河。根据项目地势判断，主要受冲击的</w:t>
      </w:r>
      <w:r>
        <w:rPr>
          <w:rFonts w:hint="eastAsia"/>
          <w:color w:val="auto"/>
          <w:highlight w:val="none"/>
        </w:rPr>
        <w:t>下游</w:t>
      </w:r>
      <w:r>
        <w:rPr>
          <w:rFonts w:hint="eastAsia"/>
          <w:color w:val="auto"/>
          <w:highlight w:val="none"/>
          <w:lang w:eastAsia="zh-CN"/>
        </w:rPr>
        <w:t>阿克苏</w:t>
      </w:r>
      <w:r>
        <w:rPr>
          <w:color w:val="auto"/>
          <w:highlight w:val="none"/>
        </w:rPr>
        <w:t>河。本次针对尾矿库溃坝进行分析。</w:t>
      </w:r>
    </w:p>
    <w:p w14:paraId="0718B71E">
      <w:pPr>
        <w:overflowPunct w:val="0"/>
        <w:topLinePunct/>
        <w:ind w:firstLine="480"/>
        <w:rPr>
          <w:rFonts w:hint="eastAsia" w:eastAsia="宋体"/>
          <w:color w:val="auto"/>
          <w:highlight w:val="none"/>
          <w:lang w:eastAsia="zh-CN"/>
        </w:rPr>
      </w:pPr>
      <w:r>
        <w:rPr>
          <w:rFonts w:hint="eastAsia" w:cs="宋体"/>
          <w:color w:val="auto"/>
          <w:highlight w:val="none"/>
        </w:rPr>
        <w:t>尾矿库溃坝影响预测</w:t>
      </w:r>
      <w:r>
        <w:rPr>
          <w:rFonts w:hint="eastAsia" w:cs="宋体"/>
          <w:color w:val="auto"/>
          <w:highlight w:val="none"/>
          <w:lang w:eastAsia="zh-CN"/>
        </w:rPr>
        <w:t>：</w:t>
      </w:r>
    </w:p>
    <w:p w14:paraId="76F14CFE">
      <w:pPr>
        <w:overflowPunct w:val="0"/>
        <w:topLinePunct/>
        <w:ind w:firstLine="480"/>
        <w:rPr>
          <w:rFonts w:cs="宋体"/>
          <w:color w:val="auto"/>
          <w:highlight w:val="none"/>
        </w:rPr>
      </w:pPr>
      <w:r>
        <w:rPr>
          <w:color w:val="auto"/>
          <w:highlight w:val="none"/>
        </w:rPr>
        <w:t>本项目尾矿库为透水坝，尾矿库最终堆积标高</w:t>
      </w:r>
      <w:r>
        <w:rPr>
          <w:rFonts w:hint="eastAsia"/>
          <w:color w:val="auto"/>
          <w:highlight w:val="none"/>
          <w:lang w:val="en-US" w:eastAsia="zh-CN"/>
        </w:rPr>
        <w:t>3144</w:t>
      </w:r>
      <w:r>
        <w:rPr>
          <w:color w:val="auto"/>
          <w:highlight w:val="none"/>
        </w:rPr>
        <w:t>.0m，尾矿堆积坝总高度为</w:t>
      </w:r>
      <w:r>
        <w:rPr>
          <w:rFonts w:hint="eastAsia"/>
          <w:color w:val="auto"/>
          <w:highlight w:val="none"/>
          <w:lang w:val="en-US" w:eastAsia="zh-CN"/>
        </w:rPr>
        <w:t>73</w:t>
      </w:r>
      <w:r>
        <w:rPr>
          <w:color w:val="auto"/>
          <w:highlight w:val="none"/>
        </w:rPr>
        <w:t>m，总库容</w:t>
      </w:r>
      <w:r>
        <w:rPr>
          <w:rFonts w:hint="eastAsia"/>
          <w:color w:val="auto"/>
          <w:highlight w:val="none"/>
          <w:lang w:val="en-US" w:eastAsia="zh-CN"/>
        </w:rPr>
        <w:t>2062.4</w:t>
      </w:r>
      <w:r>
        <w:rPr>
          <w:color w:val="auto"/>
          <w:highlight w:val="none"/>
        </w:rPr>
        <w:t>万m</w:t>
      </w:r>
      <w:r>
        <w:rPr>
          <w:color w:val="auto"/>
          <w:highlight w:val="none"/>
          <w:vertAlign w:val="superscript"/>
        </w:rPr>
        <w:t>3</w:t>
      </w:r>
      <w:r>
        <w:rPr>
          <w:color w:val="auto"/>
          <w:highlight w:val="none"/>
        </w:rPr>
        <w:t>，总有效库容约为</w:t>
      </w:r>
      <w:r>
        <w:rPr>
          <w:rFonts w:hint="eastAsia"/>
          <w:color w:val="auto"/>
          <w:highlight w:val="none"/>
          <w:lang w:val="en-US" w:eastAsia="zh-CN"/>
        </w:rPr>
        <w:t>1443.67</w:t>
      </w:r>
      <w:r>
        <w:rPr>
          <w:color w:val="auto"/>
          <w:highlight w:val="none"/>
        </w:rPr>
        <w:t>万m</w:t>
      </w:r>
      <w:r>
        <w:rPr>
          <w:color w:val="auto"/>
          <w:highlight w:val="none"/>
          <w:vertAlign w:val="superscript"/>
        </w:rPr>
        <w:t>3</w:t>
      </w:r>
      <w:r>
        <w:rPr>
          <w:color w:val="auto"/>
          <w:highlight w:val="none"/>
        </w:rPr>
        <w:t>，尾矿库等别为三等，尾矿库可服务约</w:t>
      </w:r>
      <w:r>
        <w:rPr>
          <w:rFonts w:hint="eastAsia"/>
          <w:color w:val="auto"/>
          <w:highlight w:val="none"/>
          <w:lang w:val="en-US" w:eastAsia="zh-CN"/>
        </w:rPr>
        <w:t>41</w:t>
      </w:r>
      <w:r>
        <w:rPr>
          <w:color w:val="auto"/>
          <w:highlight w:val="none"/>
        </w:rPr>
        <w:t>年。尾矿库溃坝情景为尾矿坝堆满时溃坝。</w:t>
      </w:r>
    </w:p>
    <w:p w14:paraId="22E70FE9">
      <w:pPr>
        <w:overflowPunct w:val="0"/>
        <w:topLinePunct/>
        <w:ind w:firstLine="480"/>
        <w:rPr>
          <w:rFonts w:cs="宋体"/>
          <w:color w:val="auto"/>
          <w:highlight w:val="none"/>
        </w:rPr>
      </w:pPr>
      <w:r>
        <w:rPr>
          <w:rFonts w:hint="eastAsia" w:cs="宋体"/>
          <w:color w:val="auto"/>
          <w:highlight w:val="none"/>
        </w:rPr>
        <w:t>A</w:t>
      </w:r>
      <w:r>
        <w:rPr>
          <w:rFonts w:hint="eastAsia" w:cs="宋体"/>
          <w:color w:val="auto"/>
          <w:highlight w:val="none"/>
          <w:lang w:eastAsia="zh-CN"/>
        </w:rPr>
        <w:t>.</w:t>
      </w:r>
      <w:r>
        <w:rPr>
          <w:rFonts w:hint="eastAsia" w:cs="宋体"/>
          <w:color w:val="auto"/>
          <w:highlight w:val="none"/>
        </w:rPr>
        <w:t>溃口宽度</w:t>
      </w:r>
    </w:p>
    <w:p w14:paraId="329EAA05">
      <w:pPr>
        <w:ind w:firstLine="0" w:firstLineChars="0"/>
        <w:jc w:val="center"/>
        <w:rPr>
          <w:rFonts w:cs="宋体"/>
          <w:color w:val="auto"/>
          <w:highlight w:val="none"/>
        </w:rPr>
      </w:pPr>
      <w:r>
        <w:rPr>
          <w:rFonts w:hint="eastAsia" w:cs="宋体"/>
          <w:color w:val="auto"/>
          <w:highlight w:val="none"/>
        </w:rPr>
        <w:t>b=0.1KW</w:t>
      </w:r>
      <w:r>
        <w:rPr>
          <w:rFonts w:hint="eastAsia" w:cs="宋体"/>
          <w:color w:val="auto"/>
          <w:highlight w:val="none"/>
          <w:vertAlign w:val="superscript"/>
        </w:rPr>
        <w:t>0.25</w:t>
      </w:r>
      <w:r>
        <w:rPr>
          <w:rFonts w:hint="eastAsia" w:cs="宋体"/>
          <w:color w:val="auto"/>
          <w:highlight w:val="none"/>
        </w:rPr>
        <w:t>B</w:t>
      </w:r>
      <w:r>
        <w:rPr>
          <w:rFonts w:hint="eastAsia" w:cs="宋体"/>
          <w:color w:val="auto"/>
          <w:highlight w:val="none"/>
          <w:vertAlign w:val="superscript"/>
        </w:rPr>
        <w:t>0.25</w:t>
      </w:r>
      <w:r>
        <w:rPr>
          <w:rFonts w:hint="eastAsia" w:cs="宋体"/>
          <w:color w:val="auto"/>
          <w:highlight w:val="none"/>
        </w:rPr>
        <w:t>H</w:t>
      </w:r>
      <w:r>
        <w:rPr>
          <w:rFonts w:hint="eastAsia" w:cs="宋体"/>
          <w:color w:val="auto"/>
          <w:highlight w:val="none"/>
          <w:vertAlign w:val="superscript"/>
        </w:rPr>
        <w:t>0.5</w:t>
      </w:r>
      <w:r>
        <w:rPr>
          <w:rFonts w:hint="eastAsia" w:cs="宋体"/>
          <w:color w:val="auto"/>
          <w:highlight w:val="none"/>
        </w:rPr>
        <w:t>（黄河水利委员会经验公式）</w:t>
      </w:r>
    </w:p>
    <w:p w14:paraId="1A9462D1">
      <w:pPr>
        <w:adjustRightInd w:val="0"/>
        <w:snapToGrid w:val="0"/>
        <w:spacing w:line="460" w:lineRule="atLeast"/>
        <w:ind w:firstLine="480"/>
        <w:rPr>
          <w:rFonts w:eastAsiaTheme="minorEastAsia"/>
          <w:color w:val="auto"/>
          <w:highlight w:val="none"/>
        </w:rPr>
      </w:pPr>
      <w:r>
        <w:rPr>
          <w:rFonts w:eastAsiaTheme="minorEastAsia"/>
          <w:color w:val="auto"/>
          <w:highlight w:val="none"/>
        </w:rPr>
        <w:t>上式中，W—</w:t>
      </w:r>
      <w:r>
        <w:rPr>
          <w:rFonts w:hint="eastAsia" w:eastAsiaTheme="minorEastAsia"/>
          <w:color w:val="auto"/>
          <w:highlight w:val="none"/>
        </w:rPr>
        <w:t>下泄尾砂量</w:t>
      </w:r>
      <w:r>
        <w:rPr>
          <w:rFonts w:eastAsiaTheme="minorEastAsia"/>
          <w:color w:val="auto"/>
          <w:highlight w:val="none"/>
        </w:rPr>
        <w:t>，取有效库容的</w:t>
      </w:r>
      <w:r>
        <w:rPr>
          <w:rFonts w:hint="eastAsia" w:eastAsiaTheme="minorEastAsia"/>
          <w:color w:val="auto"/>
          <w:highlight w:val="none"/>
        </w:rPr>
        <w:t>5</w:t>
      </w:r>
      <w:r>
        <w:rPr>
          <w:rFonts w:eastAsiaTheme="minorEastAsia"/>
          <w:color w:val="auto"/>
          <w:highlight w:val="none"/>
        </w:rPr>
        <w:t>0%，尾矿库为</w:t>
      </w:r>
      <w:r>
        <w:rPr>
          <w:rFonts w:hint="eastAsia" w:eastAsiaTheme="minorEastAsia"/>
          <w:color w:val="auto"/>
          <w:highlight w:val="none"/>
          <w:lang w:val="en-US" w:eastAsia="zh-CN"/>
        </w:rPr>
        <w:t>721.835</w:t>
      </w:r>
      <w:r>
        <w:rPr>
          <w:rFonts w:hint="eastAsia" w:eastAsiaTheme="minorEastAsia"/>
          <w:color w:val="auto"/>
          <w:highlight w:val="none"/>
        </w:rPr>
        <w:t>万</w:t>
      </w:r>
      <w:r>
        <w:rPr>
          <w:rFonts w:eastAsiaTheme="minorEastAsia"/>
          <w:color w:val="auto"/>
          <w:highlight w:val="none"/>
        </w:rPr>
        <w:t>m</w:t>
      </w:r>
      <w:r>
        <w:rPr>
          <w:rFonts w:eastAsiaTheme="minorEastAsia"/>
          <w:color w:val="auto"/>
          <w:highlight w:val="none"/>
          <w:vertAlign w:val="superscript"/>
        </w:rPr>
        <w:t>3</w:t>
      </w:r>
      <w:r>
        <w:rPr>
          <w:rFonts w:eastAsiaTheme="minorEastAsia"/>
          <w:color w:val="auto"/>
          <w:highlight w:val="none"/>
        </w:rPr>
        <w:t>。</w:t>
      </w:r>
    </w:p>
    <w:p w14:paraId="6270AEB0">
      <w:pPr>
        <w:adjustRightInd w:val="0"/>
        <w:snapToGrid w:val="0"/>
        <w:spacing w:line="460" w:lineRule="atLeast"/>
        <w:ind w:firstLine="1440" w:firstLineChars="600"/>
        <w:rPr>
          <w:rFonts w:eastAsiaTheme="minorEastAsia"/>
          <w:color w:val="auto"/>
          <w:highlight w:val="none"/>
        </w:rPr>
      </w:pPr>
      <w:r>
        <w:rPr>
          <w:rFonts w:eastAsiaTheme="minorEastAsia"/>
          <w:color w:val="auto"/>
          <w:highlight w:val="none"/>
        </w:rPr>
        <w:t>B—坝顶长度，尾矿库为</w:t>
      </w:r>
      <w:r>
        <w:rPr>
          <w:rFonts w:hint="eastAsia" w:eastAsiaTheme="minorEastAsia"/>
          <w:color w:val="auto"/>
          <w:highlight w:val="none"/>
          <w:lang w:val="en-US" w:eastAsia="zh-CN"/>
        </w:rPr>
        <w:t>391</w:t>
      </w:r>
      <w:r>
        <w:rPr>
          <w:rFonts w:eastAsiaTheme="minorEastAsia"/>
          <w:color w:val="auto"/>
          <w:highlight w:val="none"/>
        </w:rPr>
        <w:t>m；</w:t>
      </w:r>
    </w:p>
    <w:p w14:paraId="77AB9D19">
      <w:pPr>
        <w:adjustRightInd w:val="0"/>
        <w:snapToGrid w:val="0"/>
        <w:spacing w:line="460" w:lineRule="atLeast"/>
        <w:ind w:firstLine="1440" w:firstLineChars="600"/>
        <w:rPr>
          <w:rFonts w:eastAsiaTheme="minorEastAsia"/>
          <w:color w:val="auto"/>
          <w:highlight w:val="none"/>
        </w:rPr>
      </w:pPr>
      <w:r>
        <w:rPr>
          <w:rFonts w:eastAsiaTheme="minorEastAsia"/>
          <w:color w:val="auto"/>
          <w:highlight w:val="none"/>
        </w:rPr>
        <w:t>H—坝高，尾矿库为</w:t>
      </w:r>
      <w:r>
        <w:rPr>
          <w:rFonts w:hint="eastAsia" w:eastAsiaTheme="minorEastAsia"/>
          <w:color w:val="auto"/>
          <w:highlight w:val="none"/>
          <w:lang w:val="en-US" w:eastAsia="zh-CN"/>
        </w:rPr>
        <w:t>73</w:t>
      </w:r>
      <w:r>
        <w:rPr>
          <w:rFonts w:eastAsiaTheme="minorEastAsia"/>
          <w:color w:val="auto"/>
          <w:highlight w:val="none"/>
        </w:rPr>
        <w:t>m；</w:t>
      </w:r>
    </w:p>
    <w:p w14:paraId="13F02857">
      <w:pPr>
        <w:adjustRightInd w:val="0"/>
        <w:snapToGrid w:val="0"/>
        <w:spacing w:line="460" w:lineRule="atLeast"/>
        <w:ind w:firstLine="1440" w:firstLineChars="600"/>
        <w:rPr>
          <w:rFonts w:eastAsiaTheme="minorEastAsia"/>
          <w:color w:val="auto"/>
          <w:highlight w:val="none"/>
        </w:rPr>
      </w:pPr>
      <w:r>
        <w:rPr>
          <w:rFonts w:eastAsiaTheme="minorEastAsia"/>
          <w:color w:val="auto"/>
          <w:highlight w:val="none"/>
        </w:rPr>
        <w:t>K—与坝体土质有关的经验系数，粘土取0.65。</w:t>
      </w:r>
    </w:p>
    <w:p w14:paraId="13AE2625">
      <w:pPr>
        <w:ind w:firstLine="480"/>
        <w:rPr>
          <w:rFonts w:cs="宋体"/>
          <w:color w:val="auto"/>
          <w:highlight w:val="none"/>
        </w:rPr>
      </w:pPr>
      <w:r>
        <w:rPr>
          <w:color w:val="auto"/>
          <w:highlight w:val="none"/>
        </w:rPr>
        <w:t>经计算，b=</w:t>
      </w:r>
      <w:r>
        <w:rPr>
          <w:rFonts w:hint="eastAsia"/>
          <w:color w:val="auto"/>
          <w:highlight w:val="none"/>
          <w:lang w:val="en-US" w:eastAsia="zh-CN"/>
        </w:rPr>
        <w:t>128</w:t>
      </w:r>
      <w:r>
        <w:rPr>
          <w:color w:val="auto"/>
          <w:highlight w:val="none"/>
        </w:rPr>
        <w:t>m。即极端天气下，尾矿库瞬间溃坝口宽度为</w:t>
      </w:r>
      <w:r>
        <w:rPr>
          <w:rFonts w:hint="eastAsia"/>
          <w:color w:val="auto"/>
          <w:highlight w:val="none"/>
          <w:lang w:val="en-US" w:eastAsia="zh-CN"/>
        </w:rPr>
        <w:t>128</w:t>
      </w:r>
      <w:r>
        <w:rPr>
          <w:color w:val="auto"/>
          <w:highlight w:val="none"/>
        </w:rPr>
        <w:t>m。</w:t>
      </w:r>
    </w:p>
    <w:p w14:paraId="13063C42">
      <w:pPr>
        <w:overflowPunct w:val="0"/>
        <w:topLinePunct/>
        <w:ind w:firstLine="480"/>
        <w:rPr>
          <w:rFonts w:ascii="宋体" w:hAnsi="宋体" w:cs="宋体"/>
          <w:color w:val="auto"/>
          <w:highlight w:val="none"/>
        </w:rPr>
      </w:pPr>
      <w:r>
        <w:rPr>
          <w:color w:val="auto"/>
          <w:highlight w:val="none"/>
        </w:rPr>
        <w:t>B</w:t>
      </w:r>
      <w:r>
        <w:rPr>
          <w:rFonts w:hint="eastAsia"/>
          <w:color w:val="auto"/>
          <w:highlight w:val="none"/>
          <w:lang w:eastAsia="zh-CN"/>
        </w:rPr>
        <w:t>.</w:t>
      </w:r>
      <w:r>
        <w:rPr>
          <w:rFonts w:hint="eastAsia" w:ascii="宋体" w:hAnsi="宋体" w:cs="宋体"/>
          <w:color w:val="auto"/>
          <w:highlight w:val="none"/>
        </w:rPr>
        <w:t>最大下泄流量</w:t>
      </w:r>
    </w:p>
    <w:p w14:paraId="62B2D631">
      <w:pPr>
        <w:spacing w:line="240" w:lineRule="auto"/>
        <w:ind w:firstLine="0" w:firstLineChars="0"/>
        <w:jc w:val="center"/>
        <w:rPr>
          <w:rFonts w:ascii="宋体" w:hAnsi="宋体" w:cs="宋体"/>
          <w:color w:val="auto"/>
          <w:highlight w:val="none"/>
        </w:rPr>
      </w:pPr>
      <w:r>
        <w:rPr>
          <w:rFonts w:hint="eastAsia" w:ascii="宋体" w:hAnsi="宋体" w:cs="宋体"/>
          <w:color w:val="auto"/>
          <w:position w:val="-28"/>
          <w:highlight w:val="none"/>
        </w:rPr>
        <w:object>
          <v:shape id="_x0000_i1033" o:spt="75" type="#_x0000_t75" style="height:36pt;width:128.55pt;" o:ole="t" filled="f" o:preferrelative="t" stroked="f" coordsize="21600,21600">
            <v:path/>
            <v:fill on="f" focussize="0,0"/>
            <v:stroke on="f" joinstyle="miter"/>
            <v:imagedata r:id="rId63" o:title=""/>
            <o:lock v:ext="edit" aspectratio="t"/>
            <w10:wrap type="none"/>
            <w10:anchorlock/>
          </v:shape>
          <o:OLEObject Type="Embed" ProgID="Equation.3" ShapeID="_x0000_i1033" DrawAspect="Content" ObjectID="_1468075737" r:id="rId62">
            <o:LockedField>false</o:LockedField>
          </o:OLEObject>
        </w:object>
      </w:r>
    </w:p>
    <w:p w14:paraId="30464D63">
      <w:pPr>
        <w:overflowPunct w:val="0"/>
        <w:topLinePunct/>
        <w:ind w:firstLine="480"/>
        <w:rPr>
          <w:color w:val="auto"/>
          <w:highlight w:val="none"/>
        </w:rPr>
      </w:pPr>
      <w:r>
        <w:rPr>
          <w:color w:val="auto"/>
          <w:highlight w:val="none"/>
        </w:rPr>
        <w:t>式中：b——溃口宽度，</w:t>
      </w:r>
      <w:r>
        <w:rPr>
          <w:rFonts w:eastAsiaTheme="minorEastAsia"/>
          <w:color w:val="auto"/>
          <w:highlight w:val="none"/>
        </w:rPr>
        <w:t>尾矿库为</w:t>
      </w:r>
      <w:r>
        <w:rPr>
          <w:rFonts w:hint="eastAsia"/>
          <w:color w:val="auto"/>
          <w:highlight w:val="none"/>
          <w:lang w:val="en-US" w:eastAsia="zh-CN"/>
        </w:rPr>
        <w:t>128</w:t>
      </w:r>
      <w:r>
        <w:rPr>
          <w:color w:val="auto"/>
          <w:highlight w:val="none"/>
        </w:rPr>
        <w:t>m</w:t>
      </w:r>
      <w:r>
        <w:rPr>
          <w:rFonts w:eastAsiaTheme="minorEastAsia"/>
          <w:color w:val="auto"/>
          <w:highlight w:val="none"/>
        </w:rPr>
        <w:t>；</w:t>
      </w:r>
    </w:p>
    <w:p w14:paraId="46700C3A">
      <w:pPr>
        <w:overflowPunct w:val="0"/>
        <w:topLinePunct/>
        <w:ind w:firstLine="1200" w:firstLineChars="500"/>
        <w:rPr>
          <w:color w:val="auto"/>
          <w:highlight w:val="none"/>
        </w:rPr>
      </w:pPr>
      <w:r>
        <w:rPr>
          <w:color w:val="auto"/>
          <w:highlight w:val="none"/>
        </w:rPr>
        <w:t>B——尾矿库主坝长度，</w:t>
      </w:r>
      <w:r>
        <w:rPr>
          <w:rFonts w:eastAsiaTheme="minorEastAsia"/>
          <w:color w:val="auto"/>
          <w:highlight w:val="none"/>
        </w:rPr>
        <w:t>尾矿库为</w:t>
      </w:r>
      <w:r>
        <w:rPr>
          <w:rFonts w:hint="eastAsia" w:eastAsiaTheme="minorEastAsia"/>
          <w:color w:val="auto"/>
          <w:highlight w:val="none"/>
          <w:lang w:val="en-US" w:eastAsia="zh-CN"/>
        </w:rPr>
        <w:t>391</w:t>
      </w:r>
      <w:r>
        <w:rPr>
          <w:rFonts w:eastAsiaTheme="minorEastAsia"/>
          <w:color w:val="auto"/>
          <w:highlight w:val="none"/>
        </w:rPr>
        <w:t>m</w:t>
      </w:r>
      <w:r>
        <w:rPr>
          <w:color w:val="auto"/>
          <w:highlight w:val="none"/>
        </w:rPr>
        <w:t>；</w:t>
      </w:r>
    </w:p>
    <w:p w14:paraId="764EB228">
      <w:pPr>
        <w:overflowPunct w:val="0"/>
        <w:topLinePunct/>
        <w:ind w:firstLine="1200" w:firstLineChars="500"/>
        <w:rPr>
          <w:color w:val="auto"/>
          <w:highlight w:val="none"/>
        </w:rPr>
      </w:pPr>
      <w:r>
        <w:rPr>
          <w:color w:val="auto"/>
          <w:highlight w:val="none"/>
        </w:rPr>
        <w:t>G——重力加速度，9.8</w:t>
      </w:r>
      <w:r>
        <w:rPr>
          <w:rFonts w:eastAsiaTheme="minorEastAsia"/>
          <w:color w:val="auto"/>
          <w:highlight w:val="none"/>
        </w:rPr>
        <w:t>m/s</w:t>
      </w:r>
      <w:r>
        <w:rPr>
          <w:rFonts w:eastAsiaTheme="minorEastAsia"/>
          <w:color w:val="auto"/>
          <w:highlight w:val="none"/>
          <w:vertAlign w:val="superscript"/>
        </w:rPr>
        <w:t>2</w:t>
      </w:r>
      <w:r>
        <w:rPr>
          <w:color w:val="auto"/>
          <w:highlight w:val="none"/>
        </w:rPr>
        <w:t>；</w:t>
      </w:r>
    </w:p>
    <w:p w14:paraId="2B1FB052">
      <w:pPr>
        <w:overflowPunct w:val="0"/>
        <w:topLinePunct/>
        <w:ind w:firstLine="1200" w:firstLineChars="500"/>
        <w:rPr>
          <w:color w:val="auto"/>
          <w:highlight w:val="none"/>
        </w:rPr>
      </w:pPr>
      <w:r>
        <w:rPr>
          <w:color w:val="auto"/>
          <w:highlight w:val="none"/>
        </w:rPr>
        <w:t>H</w:t>
      </w:r>
      <w:r>
        <w:rPr>
          <w:color w:val="auto"/>
          <w:highlight w:val="none"/>
          <w:vertAlign w:val="subscript"/>
        </w:rPr>
        <w:t>0</w:t>
      </w:r>
      <w:r>
        <w:rPr>
          <w:color w:val="auto"/>
          <w:highlight w:val="none"/>
        </w:rPr>
        <w:t>——坝前上游水深，取</w:t>
      </w:r>
      <w:r>
        <w:rPr>
          <w:rFonts w:hint="eastAsia"/>
          <w:color w:val="auto"/>
          <w:highlight w:val="none"/>
        </w:rPr>
        <w:t>1.5</w:t>
      </w:r>
      <w:r>
        <w:rPr>
          <w:color w:val="auto"/>
          <w:highlight w:val="none"/>
        </w:rPr>
        <w:t>m。</w:t>
      </w:r>
    </w:p>
    <w:p w14:paraId="3E4B8A2F">
      <w:pPr>
        <w:overflowPunct w:val="0"/>
        <w:topLinePunct/>
        <w:ind w:firstLine="480"/>
        <w:rPr>
          <w:rFonts w:hint="eastAsia" w:eastAsia="宋体" w:cs="宋体"/>
          <w:color w:val="auto"/>
          <w:highlight w:val="none"/>
          <w:lang w:eastAsia="zh-CN"/>
        </w:rPr>
      </w:pPr>
      <w:r>
        <w:rPr>
          <w:color w:val="auto"/>
          <w:highlight w:val="none"/>
        </w:rPr>
        <w:t>通过计算可得，尾矿库最大下泄流量</w:t>
      </w:r>
      <w:r>
        <w:rPr>
          <w:rFonts w:hint="eastAsia"/>
          <w:color w:val="auto"/>
          <w:highlight w:val="none"/>
          <w:lang w:val="en-US" w:eastAsia="zh-CN"/>
        </w:rPr>
        <w:t>约</w:t>
      </w:r>
      <w:r>
        <w:rPr>
          <w:color w:val="auto"/>
          <w:highlight w:val="none"/>
        </w:rPr>
        <w:t>为</w:t>
      </w:r>
      <w:r>
        <w:rPr>
          <w:rFonts w:hint="eastAsia"/>
          <w:color w:val="auto"/>
          <w:highlight w:val="none"/>
          <w:lang w:val="en-US" w:eastAsia="zh-CN"/>
        </w:rPr>
        <w:t>288.36</w:t>
      </w:r>
      <w:r>
        <w:rPr>
          <w:color w:val="auto"/>
          <w:highlight w:val="none"/>
        </w:rPr>
        <w:t>m</w:t>
      </w:r>
      <w:r>
        <w:rPr>
          <w:color w:val="auto"/>
          <w:highlight w:val="none"/>
          <w:vertAlign w:val="superscript"/>
        </w:rPr>
        <w:t>3</w:t>
      </w:r>
      <w:r>
        <w:rPr>
          <w:color w:val="auto"/>
          <w:highlight w:val="none"/>
        </w:rPr>
        <w:t>/s</w:t>
      </w:r>
      <w:r>
        <w:rPr>
          <w:rFonts w:hint="eastAsia"/>
          <w:color w:val="auto"/>
          <w:highlight w:val="none"/>
          <w:lang w:eastAsia="zh-CN"/>
        </w:rPr>
        <w:t>。</w:t>
      </w:r>
    </w:p>
    <w:p w14:paraId="7E5B693C">
      <w:pPr>
        <w:overflowPunct w:val="0"/>
        <w:topLinePunct/>
        <w:ind w:firstLine="480"/>
        <w:rPr>
          <w:rFonts w:cs="宋体"/>
          <w:color w:val="auto"/>
          <w:highlight w:val="none"/>
        </w:rPr>
      </w:pPr>
      <w:r>
        <w:rPr>
          <w:rFonts w:hint="eastAsia" w:cs="宋体"/>
          <w:color w:val="auto"/>
          <w:highlight w:val="none"/>
        </w:rPr>
        <w:t>C</w:t>
      </w:r>
      <w:r>
        <w:rPr>
          <w:rFonts w:hint="eastAsia" w:cs="宋体"/>
          <w:color w:val="auto"/>
          <w:highlight w:val="none"/>
          <w:lang w:eastAsia="zh-CN"/>
        </w:rPr>
        <w:t>.</w:t>
      </w:r>
      <w:r>
        <w:rPr>
          <w:rFonts w:hint="eastAsia" w:cs="宋体"/>
          <w:color w:val="auto"/>
          <w:highlight w:val="none"/>
        </w:rPr>
        <w:t>溃坝尾砂流到达时间</w:t>
      </w:r>
    </w:p>
    <w:p w14:paraId="0FCB77D2">
      <w:pPr>
        <w:overflowPunct w:val="0"/>
        <w:topLinePunct/>
        <w:ind w:firstLine="480"/>
        <w:rPr>
          <w:rFonts w:cs="宋体"/>
          <w:color w:val="auto"/>
          <w:highlight w:val="none"/>
        </w:rPr>
      </w:pPr>
      <w:r>
        <w:rPr>
          <w:rFonts w:eastAsiaTheme="minorEastAsia"/>
          <w:bCs/>
          <w:color w:val="auto"/>
          <w:highlight w:val="none"/>
        </w:rPr>
        <w:t>根据尾矿泄漏量和最大泄砂流量可以计算，溃坝尾矿</w:t>
      </w:r>
      <w:r>
        <w:rPr>
          <w:rFonts w:hint="eastAsia" w:eastAsiaTheme="minorEastAsia"/>
          <w:bCs/>
          <w:color w:val="auto"/>
          <w:highlight w:val="none"/>
        </w:rPr>
        <w:t>下泄</w:t>
      </w:r>
      <w:r>
        <w:rPr>
          <w:rFonts w:eastAsiaTheme="minorEastAsia"/>
          <w:bCs/>
          <w:color w:val="auto"/>
          <w:highlight w:val="none"/>
        </w:rPr>
        <w:t>最小总历时，计算公式如下：</w:t>
      </w:r>
    </w:p>
    <w:p w14:paraId="3177D5AF">
      <w:pPr>
        <w:spacing w:line="240" w:lineRule="auto"/>
        <w:ind w:firstLine="0" w:firstLineChars="0"/>
        <w:jc w:val="center"/>
        <w:rPr>
          <w:rFonts w:cs="宋体"/>
          <w:color w:val="auto"/>
          <w:highlight w:val="none"/>
        </w:rPr>
      </w:pPr>
      <w:r>
        <w:rPr>
          <w:rFonts w:eastAsiaTheme="minorEastAsia"/>
          <w:bCs/>
          <w:color w:val="auto"/>
          <w:highlight w:val="none"/>
        </w:rPr>
        <w:drawing>
          <wp:inline distT="0" distB="0" distL="0" distR="0">
            <wp:extent cx="541020" cy="438785"/>
            <wp:effectExtent l="0" t="0" r="0" b="18415"/>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541020" cy="438785"/>
                    </a:xfrm>
                    <a:prstGeom prst="rect">
                      <a:avLst/>
                    </a:prstGeom>
                    <a:noFill/>
                    <a:ln>
                      <a:noFill/>
                    </a:ln>
                  </pic:spPr>
                </pic:pic>
              </a:graphicData>
            </a:graphic>
          </wp:inline>
        </w:drawing>
      </w:r>
    </w:p>
    <w:p w14:paraId="631A2FD3">
      <w:pPr>
        <w:adjustRightInd w:val="0"/>
        <w:snapToGrid w:val="0"/>
        <w:spacing w:line="460" w:lineRule="atLeast"/>
        <w:ind w:firstLine="480"/>
        <w:rPr>
          <w:rFonts w:eastAsiaTheme="minorEastAsia"/>
          <w:bCs/>
          <w:color w:val="auto"/>
          <w:highlight w:val="none"/>
        </w:rPr>
      </w:pPr>
      <w:r>
        <w:rPr>
          <w:rFonts w:eastAsiaTheme="minorEastAsia"/>
          <w:bCs/>
          <w:color w:val="auto"/>
          <w:highlight w:val="none"/>
        </w:rPr>
        <w:t>式中：V－尾矿最大下泄量，</w:t>
      </w:r>
      <w:r>
        <w:rPr>
          <w:rFonts w:eastAsiaTheme="minorEastAsia"/>
          <w:color w:val="auto"/>
          <w:highlight w:val="none"/>
        </w:rPr>
        <w:t>取有效库容的</w:t>
      </w:r>
      <w:r>
        <w:rPr>
          <w:rFonts w:hint="eastAsia" w:eastAsiaTheme="minorEastAsia"/>
          <w:color w:val="auto"/>
          <w:highlight w:val="none"/>
        </w:rPr>
        <w:t>5</w:t>
      </w:r>
      <w:r>
        <w:rPr>
          <w:rFonts w:eastAsiaTheme="minorEastAsia"/>
          <w:color w:val="auto"/>
          <w:highlight w:val="none"/>
        </w:rPr>
        <w:t>0%，为</w:t>
      </w:r>
      <w:r>
        <w:rPr>
          <w:rFonts w:hint="eastAsia" w:eastAsiaTheme="minorEastAsia"/>
          <w:color w:val="auto"/>
          <w:highlight w:val="none"/>
          <w:lang w:val="en-US" w:eastAsia="zh-CN"/>
        </w:rPr>
        <w:t>721.835</w:t>
      </w:r>
      <w:r>
        <w:rPr>
          <w:rFonts w:hint="eastAsia" w:eastAsiaTheme="minorEastAsia"/>
          <w:color w:val="auto"/>
          <w:highlight w:val="none"/>
        </w:rPr>
        <w:t>万</w:t>
      </w:r>
      <w:r>
        <w:rPr>
          <w:rFonts w:eastAsiaTheme="minorEastAsia"/>
          <w:color w:val="auto"/>
          <w:highlight w:val="none"/>
        </w:rPr>
        <w:t>m</w:t>
      </w:r>
      <w:r>
        <w:rPr>
          <w:rFonts w:eastAsiaTheme="minorEastAsia"/>
          <w:color w:val="auto"/>
          <w:highlight w:val="none"/>
          <w:vertAlign w:val="superscript"/>
        </w:rPr>
        <w:t>3</w:t>
      </w:r>
      <w:r>
        <w:rPr>
          <w:rFonts w:eastAsiaTheme="minorEastAsia"/>
          <w:bCs/>
          <w:color w:val="auto"/>
          <w:highlight w:val="none"/>
        </w:rPr>
        <w:t>。</w:t>
      </w:r>
    </w:p>
    <w:p w14:paraId="4A8C0441">
      <w:pPr>
        <w:adjustRightInd w:val="0"/>
        <w:snapToGrid w:val="0"/>
        <w:spacing w:line="460" w:lineRule="atLeast"/>
        <w:ind w:firstLine="1200" w:firstLineChars="500"/>
        <w:rPr>
          <w:rFonts w:eastAsiaTheme="minorEastAsia"/>
          <w:bCs/>
          <w:color w:val="auto"/>
          <w:highlight w:val="none"/>
        </w:rPr>
      </w:pPr>
      <w:r>
        <w:rPr>
          <w:rFonts w:eastAsiaTheme="minorEastAsia"/>
          <w:bCs/>
          <w:color w:val="auto"/>
          <w:highlight w:val="none"/>
        </w:rPr>
        <w:t>Qmax－最大泄砂流量，</w:t>
      </w:r>
      <w:r>
        <w:rPr>
          <w:color w:val="auto"/>
          <w:highlight w:val="none"/>
        </w:rPr>
        <w:t>尾矿库为</w:t>
      </w:r>
      <w:r>
        <w:rPr>
          <w:rFonts w:hint="eastAsia"/>
          <w:color w:val="auto"/>
          <w:highlight w:val="none"/>
          <w:lang w:val="en-US" w:eastAsia="zh-CN"/>
        </w:rPr>
        <w:t>288.36</w:t>
      </w:r>
      <w:r>
        <w:rPr>
          <w:color w:val="auto"/>
          <w:highlight w:val="none"/>
        </w:rPr>
        <w:t>m</w:t>
      </w:r>
      <w:r>
        <w:rPr>
          <w:color w:val="auto"/>
          <w:highlight w:val="none"/>
          <w:vertAlign w:val="superscript"/>
        </w:rPr>
        <w:t>3</w:t>
      </w:r>
      <w:r>
        <w:rPr>
          <w:color w:val="auto"/>
          <w:highlight w:val="none"/>
        </w:rPr>
        <w:t>/s</w:t>
      </w:r>
      <w:r>
        <w:rPr>
          <w:rFonts w:eastAsiaTheme="minorEastAsia"/>
          <w:bCs/>
          <w:color w:val="auto"/>
          <w:highlight w:val="none"/>
        </w:rPr>
        <w:t>。</w:t>
      </w:r>
    </w:p>
    <w:p w14:paraId="660E0BB0">
      <w:pPr>
        <w:overflowPunct w:val="0"/>
        <w:topLinePunct/>
        <w:ind w:firstLine="480"/>
        <w:rPr>
          <w:rFonts w:cs="宋体"/>
          <w:color w:val="auto"/>
          <w:highlight w:val="none"/>
        </w:rPr>
      </w:pPr>
      <w:r>
        <w:rPr>
          <w:rFonts w:eastAsiaTheme="minorEastAsia"/>
          <w:bCs/>
          <w:color w:val="auto"/>
          <w:highlight w:val="none"/>
        </w:rPr>
        <w:t>经计算，尾矿库尾矿下泄最小总历时</w:t>
      </w:r>
      <w:r>
        <w:rPr>
          <w:rFonts w:hint="eastAsia" w:eastAsiaTheme="minorEastAsia"/>
          <w:bCs/>
          <w:color w:val="auto"/>
          <w:highlight w:val="none"/>
          <w:lang w:val="en-US" w:eastAsia="zh-CN"/>
        </w:rPr>
        <w:t>约</w:t>
      </w:r>
      <w:r>
        <w:rPr>
          <w:rFonts w:eastAsiaTheme="minorEastAsia"/>
          <w:bCs/>
          <w:color w:val="auto"/>
          <w:highlight w:val="none"/>
        </w:rPr>
        <w:t>为</w:t>
      </w:r>
      <w:r>
        <w:rPr>
          <w:rFonts w:hint="eastAsia" w:eastAsiaTheme="minorEastAsia"/>
          <w:bCs/>
          <w:color w:val="auto"/>
          <w:highlight w:val="none"/>
          <w:lang w:val="en-US" w:eastAsia="zh-CN"/>
        </w:rPr>
        <w:t>25032</w:t>
      </w:r>
      <w:r>
        <w:rPr>
          <w:rFonts w:eastAsiaTheme="minorEastAsia"/>
          <w:bCs/>
          <w:color w:val="auto"/>
          <w:highlight w:val="none"/>
        </w:rPr>
        <w:t>s。</w:t>
      </w:r>
    </w:p>
    <w:p w14:paraId="0FC34078">
      <w:pPr>
        <w:adjustRightInd w:val="0"/>
        <w:snapToGrid w:val="0"/>
        <w:spacing w:line="460" w:lineRule="atLeast"/>
        <w:ind w:firstLine="480"/>
        <w:rPr>
          <w:rFonts w:eastAsiaTheme="minorEastAsia"/>
          <w:color w:val="auto"/>
          <w:highlight w:val="none"/>
        </w:rPr>
      </w:pPr>
      <w:r>
        <w:rPr>
          <w:color w:val="auto"/>
          <w:highlight w:val="none"/>
        </w:rPr>
        <w:t>D</w:t>
      </w:r>
      <w:r>
        <w:rPr>
          <w:rFonts w:hint="eastAsia"/>
          <w:color w:val="auto"/>
          <w:highlight w:val="none"/>
          <w:lang w:eastAsia="zh-CN"/>
        </w:rPr>
        <w:t>.</w:t>
      </w:r>
      <w:r>
        <w:rPr>
          <w:rFonts w:eastAsiaTheme="minorEastAsia"/>
          <w:color w:val="auto"/>
          <w:highlight w:val="none"/>
        </w:rPr>
        <w:t>环境影响范围</w:t>
      </w:r>
    </w:p>
    <w:p w14:paraId="4581EA47">
      <w:pPr>
        <w:adjustRightInd w:val="0"/>
        <w:snapToGrid w:val="0"/>
        <w:spacing w:line="460" w:lineRule="atLeast"/>
        <w:ind w:firstLine="480"/>
        <w:rPr>
          <w:rFonts w:eastAsiaTheme="minorEastAsia"/>
          <w:color w:val="auto"/>
          <w:highlight w:val="none"/>
        </w:rPr>
      </w:pPr>
      <w:r>
        <w:rPr>
          <w:rFonts w:eastAsiaTheme="minorEastAsia"/>
          <w:color w:val="auto"/>
          <w:highlight w:val="none"/>
        </w:rPr>
        <w:t>总结国内外曾发生的尾矿库溃坝事故实例，溃坝影响范围与坝高和下游坡度有较大的关系，一般溃坝影响范围是坝高的10~50倍。本项目尾矿库下游坡度约为3%左右，根据经验值估算，溃坝事故的环境影响范围取总坝高的50倍，本项目尾矿库主坝坝高最大值</w:t>
      </w:r>
      <w:r>
        <w:rPr>
          <w:rFonts w:hint="eastAsia" w:eastAsiaTheme="minorEastAsia"/>
          <w:color w:val="auto"/>
          <w:highlight w:val="none"/>
          <w:lang w:val="en-US" w:eastAsia="zh-CN"/>
        </w:rPr>
        <w:t>73</w:t>
      </w:r>
      <w:r>
        <w:rPr>
          <w:rFonts w:eastAsiaTheme="minorEastAsia"/>
          <w:color w:val="auto"/>
          <w:highlight w:val="none"/>
        </w:rPr>
        <w:t>m，库体周围为山体，则本次主坝溃坝风险影响范围为主坝下游</w:t>
      </w:r>
      <w:r>
        <w:rPr>
          <w:rFonts w:hint="eastAsia" w:eastAsiaTheme="minorEastAsia"/>
          <w:color w:val="auto"/>
          <w:highlight w:val="none"/>
          <w:lang w:val="en-US" w:eastAsia="zh-CN"/>
        </w:rPr>
        <w:t>3650</w:t>
      </w:r>
      <w:r>
        <w:rPr>
          <w:rFonts w:eastAsiaTheme="minorEastAsia"/>
          <w:color w:val="auto"/>
          <w:highlight w:val="none"/>
        </w:rPr>
        <w:t>m范围。</w:t>
      </w:r>
    </w:p>
    <w:p w14:paraId="1686FA8D">
      <w:pPr>
        <w:overflowPunct w:val="0"/>
        <w:topLinePunct/>
        <w:ind w:firstLine="480"/>
        <w:rPr>
          <w:color w:val="auto"/>
          <w:highlight w:val="none"/>
        </w:rPr>
      </w:pPr>
      <w:r>
        <w:rPr>
          <w:color w:val="auto"/>
          <w:highlight w:val="none"/>
          <w:lang w:val="en-US" w:eastAsia="zh-CN"/>
        </w:rPr>
        <w:t>从地形条件来看，尾矿库与下游河道之间分布有低矮山体，可对溃坝下泄尾矿物料起到一定天然阻隔、滞蓄作用，能够削弱尾矿向下游河道的输移规模；同时本项目已在尾矿库下游配套建设1座拦挡坝，作为工程应急屏障，可进一步拦截溃坝外泄的尾矿砂，降低尾矿进入阿克苏河的风险。</w:t>
      </w:r>
    </w:p>
    <w:p w14:paraId="1E93A8FC">
      <w:pPr>
        <w:overflowPunct w:val="0"/>
        <w:topLinePunct/>
        <w:ind w:firstLine="480"/>
        <w:rPr>
          <w:color w:val="auto"/>
          <w:highlight w:val="none"/>
        </w:rPr>
      </w:pPr>
      <w:r>
        <w:rPr>
          <w:color w:val="auto"/>
          <w:highlight w:val="none"/>
          <w:lang w:val="en-US" w:eastAsia="zh-CN"/>
        </w:rPr>
        <w:t>天然地形屏障与工程拦挡设施仅能起到风险削减作用，无法完全消除溃坝事故风险。因此项目还需强化尾矿库全过程运行监管，常态化开展隐患排查治理，严格落实尾矿库水位管控、浸润线监测、坝体位移观测、排洪系统运维等管控措施，从源头降低溃坝事故发生概率，最大限度避免溃坝事故对下游</w:t>
      </w:r>
      <w:r>
        <w:rPr>
          <w:rFonts w:hint="eastAsia"/>
          <w:color w:val="auto"/>
          <w:highlight w:val="none"/>
          <w:lang w:val="en-US" w:eastAsia="zh-CN"/>
        </w:rPr>
        <w:t>生态</w:t>
      </w:r>
      <w:r>
        <w:rPr>
          <w:color w:val="auto"/>
          <w:highlight w:val="none"/>
          <w:lang w:val="en-US" w:eastAsia="zh-CN"/>
        </w:rPr>
        <w:t>环境造成不利影响。</w:t>
      </w:r>
    </w:p>
    <w:p w14:paraId="65390890">
      <w:pPr>
        <w:overflowPunct w:val="0"/>
        <w:topLinePunct/>
        <w:ind w:firstLine="480"/>
        <w:rPr>
          <w:rFonts w:eastAsia="宋体"/>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r>
        <w:rPr>
          <w:rFonts w:hint="eastAsia"/>
          <w:color w:val="auto"/>
          <w:highlight w:val="none"/>
          <w:lang w:val="en-US" w:eastAsia="zh-CN"/>
        </w:rPr>
        <w:t>油品风险事故影响分析</w:t>
      </w:r>
    </w:p>
    <w:p w14:paraId="3188696C">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1）火灾爆炸危险性分析</w:t>
      </w:r>
    </w:p>
    <w:p w14:paraId="05A4CF94">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①油品的易燃、易爆性</w:t>
      </w:r>
    </w:p>
    <w:p w14:paraId="5A880618">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油品挥发出来的蒸汽与空气混合，浓度处于爆炸浓度范围内时，遇有一定能量的着火源，容易发生爆炸，爆炸浓度（或极限）范围越宽，爆炸危险性就越大。在油品储运过程中，爆炸和燃烧经常同时出现。由于油品蒸汽具有燃烧和爆炸性，因此在生产操作过程中，应防止其可燃性蒸汽的积聚，尽可能将其浓度控制在爆炸下限以下，以防止火灾、爆炸事故的发生。</w:t>
      </w:r>
    </w:p>
    <w:p w14:paraId="7627E6A7">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②油品有较大的蒸汽压</w:t>
      </w:r>
    </w:p>
    <w:p w14:paraId="75D4296C">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储存的柴油是蒸汽压较大的液体，它们易产生能引起燃烧所需要的最低限度的蒸汽量，蒸汽压越大，其危险性也越大。另外，温度对蒸汽压的影响很大，温度升高，其蒸气压将迅速增大。所以盛装易燃油品的容器，如储罐、槽车等，应有足够的强度，以防止容器胀裂。此外，还应使油品远离热源、火源。</w:t>
      </w:r>
    </w:p>
    <w:p w14:paraId="010F9D62">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③油品易积聚静电</w:t>
      </w:r>
    </w:p>
    <w:p w14:paraId="18BD50F6">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据资料介绍，电阻率在1010</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1515Ω.cm范围内的油品容易产生和积聚静电，且不易消散。储存的油品都具有易积聚静电荷的特点，在油品储运和生产过程中，其静电的产生和积聚量的大小与管道内壁粗糙度、流速、运送距离以及储运设备的导电性能等诸多因素有关。静电放电是导致火灾爆炸事故的一个重要原因。</w:t>
      </w:r>
    </w:p>
    <w:p w14:paraId="626820BD">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④油品的易扩散、流淌性</w:t>
      </w:r>
    </w:p>
    <w:p w14:paraId="2D60E4E4">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易燃油品的粘度一般较小，容易流淌扩散。同时，由于其渗透、浸润和毛细管引力等作用，而扩大其表面积，使蒸发速度加快，并向四周迅速扩散，与空气混合，遇有火源极易发生燃烧爆炸。</w:t>
      </w:r>
    </w:p>
    <w:p w14:paraId="4C5F092C">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⑤油品的受热易膨胀性</w:t>
      </w:r>
    </w:p>
    <w:p w14:paraId="4CD595DE">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油品受热后，温度升高，体积膨胀，若容器灌装过满，管道输油后不及时排空而又无泄压装置，会导致容器和管道的损坏，可能引起油渗漏和外溢。另一方面，由于温度降低，体积收缩，容器内有可能出现负压，也会使容器变形损坏。</w:t>
      </w:r>
    </w:p>
    <w:p w14:paraId="042F3C50">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2）设备火灾爆炸危险特性分析</w:t>
      </w:r>
    </w:p>
    <w:p w14:paraId="5E9C36F8">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油罐等设备本身设计不合格，或制造存在缺陷，造成其耐压能力不够，发生破裂，导致油品泄漏，遇火源则发生火灾、爆炸事故；油罐与外部管线相连的阀门、法兰、人孔等，若由于安装质量差，或由于疏忽漏装垫片，以及使用过程中的腐蚀穿孔或因油罐底板焊接不良而产生疲劳造成的裂纹等，都可能引起油品泄漏，泄漏油品遇点火源则易导致火灾、爆炸事故；另外，油罐在防雷设施失效的情况下遭受雷击、遭受电火花或在罐区内违禁使用明火、检修清洗时违规操作等情况，也易诱发火灾、爆炸事故。</w:t>
      </w:r>
    </w:p>
    <w:p w14:paraId="6CF1D316">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装卸油泵所输送介质为柴油易燃物质，操作压力较高，若泵的出口压力超过了正常的允许压力，泵盖或管线配件就可能崩开而喷油，油泵亦会因密封失效或</w:t>
      </w:r>
      <w:r>
        <w:rPr>
          <w:rFonts w:hint="eastAsia" w:ascii="Times New Roman" w:hAnsi="Times New Roman" w:eastAsia="宋体" w:cs="Times New Roman"/>
          <w:color w:val="auto"/>
          <w:sz w:val="24"/>
          <w:highlight w:val="none"/>
          <w:lang w:eastAsia="zh-CN"/>
        </w:rPr>
        <w:t>其他故障</w:t>
      </w:r>
      <w:r>
        <w:rPr>
          <w:rFonts w:hint="default" w:ascii="Times New Roman" w:hAnsi="Times New Roman" w:eastAsia="宋体" w:cs="Times New Roman"/>
          <w:color w:val="auto"/>
          <w:sz w:val="24"/>
          <w:highlight w:val="none"/>
        </w:rPr>
        <w:t>造成</w:t>
      </w:r>
      <w:r>
        <w:rPr>
          <w:rFonts w:hint="eastAsia" w:eastAsia="宋体" w:cs="Times New Roman"/>
          <w:color w:val="auto"/>
          <w:sz w:val="24"/>
          <w:highlight w:val="none"/>
          <w:lang w:eastAsia="zh-CN"/>
        </w:rPr>
        <w:t>柴油</w:t>
      </w:r>
      <w:r>
        <w:rPr>
          <w:rFonts w:hint="default" w:ascii="Times New Roman" w:hAnsi="Times New Roman" w:eastAsia="宋体" w:cs="Times New Roman"/>
          <w:color w:val="auto"/>
          <w:sz w:val="24"/>
          <w:highlight w:val="none"/>
        </w:rPr>
        <w:t>泄漏，当有点火源存在时，将可能导致火灾、爆炸事故的发生。</w:t>
      </w:r>
    </w:p>
    <w:p w14:paraId="2454289A">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3）卸油、发油过程火灾爆炸危险特性分析</w:t>
      </w:r>
    </w:p>
    <w:p w14:paraId="6D7B8D36">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①油罐漫溢：卸油时液位检测不及时易造成油罐漫溢。油罐漫溢后，周围空气中油蒸气的浓度迅速上升，达到或超过爆炸极限，遇明火即可能发生爆炸燃烧事故。</w:t>
      </w:r>
    </w:p>
    <w:p w14:paraId="09790FDE">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②油品滴漏：卸、发油时，若油管破裂、密封垫破损、接头、紧固螺栓松动等原因使油品泄漏至地面，遇明火即可发生燃烧。</w:t>
      </w:r>
    </w:p>
    <w:p w14:paraId="17185A40">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③静电起火：由于油管线无静电接地连接、油罐车无静电接地或静电接地不良等原因，造成静电积聚可引起火灾、爆炸事故。</w:t>
      </w:r>
    </w:p>
    <w:p w14:paraId="38351ACA">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④操作过</w:t>
      </w:r>
      <w:r>
        <w:rPr>
          <w:rFonts w:hint="eastAsia" w:ascii="Times New Roman" w:hAnsi="Times New Roman" w:eastAsia="宋体" w:cs="Times New Roman"/>
          <w:color w:val="auto"/>
          <w:sz w:val="24"/>
          <w:highlight w:val="none"/>
          <w:lang w:eastAsia="zh-CN"/>
        </w:rPr>
        <w:t>程中</w:t>
      </w:r>
      <w:r>
        <w:rPr>
          <w:rFonts w:hint="default" w:ascii="Times New Roman" w:hAnsi="Times New Roman" w:eastAsia="宋体" w:cs="Times New Roman"/>
          <w:color w:val="auto"/>
          <w:sz w:val="24"/>
          <w:highlight w:val="none"/>
        </w:rPr>
        <w:t>遇明火：在非密闭卸油、发油过程中，大量油蒸气从卸油口</w:t>
      </w:r>
      <w:r>
        <w:rPr>
          <w:rFonts w:hint="eastAsia" w:ascii="Times New Roman" w:hAnsi="Times New Roman" w:eastAsia="宋体" w:cs="Times New Roman"/>
          <w:color w:val="auto"/>
          <w:sz w:val="24"/>
          <w:highlight w:val="none"/>
          <w:lang w:eastAsia="zh-CN"/>
        </w:rPr>
        <w:t>溢出</w:t>
      </w:r>
      <w:r>
        <w:rPr>
          <w:rFonts w:hint="default" w:ascii="Times New Roman" w:hAnsi="Times New Roman" w:eastAsia="宋体" w:cs="Times New Roman"/>
          <w:color w:val="auto"/>
          <w:sz w:val="24"/>
          <w:highlight w:val="none"/>
        </w:rPr>
        <w:t>，当周围出现烟火、火花时，就会产生爆炸燃烧。</w:t>
      </w:r>
    </w:p>
    <w:p w14:paraId="21246AE9">
      <w:pPr>
        <w:ind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4）次生大气污染物对环境的影响分析</w:t>
      </w:r>
    </w:p>
    <w:p w14:paraId="2B7B8938">
      <w:pPr>
        <w:overflowPunct w:val="0"/>
        <w:topLinePunct/>
        <w:ind w:firstLine="480"/>
        <w:rPr>
          <w:rFonts w:eastAsia="宋体"/>
          <w:color w:val="auto"/>
          <w:highlight w:val="none"/>
        </w:rPr>
      </w:pPr>
      <w:r>
        <w:rPr>
          <w:rFonts w:hint="eastAsia" w:ascii="Times New Roman" w:hAnsi="Times New Roman" w:eastAsia="宋体" w:cs="Times New Roman"/>
          <w:color w:val="auto"/>
          <w:sz w:val="24"/>
          <w:highlight w:val="none"/>
          <w:lang w:eastAsia="zh-CN"/>
        </w:rPr>
        <w:t>工程</w:t>
      </w:r>
      <w:r>
        <w:rPr>
          <w:rFonts w:hint="default" w:ascii="Times New Roman" w:hAnsi="Times New Roman" w:eastAsia="宋体" w:cs="Times New Roman"/>
          <w:color w:val="auto"/>
          <w:sz w:val="24"/>
          <w:highlight w:val="none"/>
        </w:rPr>
        <w:t>储油罐发生泄漏后，引发火灾、爆炸事故，次生大气污染物主要为柴油不完全燃烧产生的CO以及THC等。由于</w:t>
      </w:r>
      <w:r>
        <w:rPr>
          <w:rFonts w:hint="eastAsia" w:ascii="Times New Roman" w:hAnsi="Times New Roman" w:cs="Times New Roman"/>
          <w:color w:val="auto"/>
          <w:sz w:val="24"/>
          <w:highlight w:val="none"/>
          <w:lang w:val="en-US" w:eastAsia="zh-CN"/>
        </w:rPr>
        <w:t>工程</w:t>
      </w:r>
      <w:r>
        <w:rPr>
          <w:rFonts w:hint="default" w:ascii="Times New Roman" w:hAnsi="Times New Roman" w:eastAsia="宋体" w:cs="Times New Roman"/>
          <w:color w:val="auto"/>
          <w:sz w:val="24"/>
          <w:highlight w:val="none"/>
        </w:rPr>
        <w:t>储油罐容积较小，发生事故后可及时有效得到处置，其次生大气污染物对环境影响较小，在可控范围内。</w:t>
      </w:r>
    </w:p>
    <w:p w14:paraId="1D6167A2">
      <w:pPr>
        <w:pStyle w:val="7"/>
        <w:bidi w:val="0"/>
        <w:rPr>
          <w:color w:val="auto"/>
          <w:highlight w:val="none"/>
        </w:rPr>
      </w:pPr>
      <w:r>
        <w:rPr>
          <w:rFonts w:hint="eastAsia"/>
          <w:color w:val="auto"/>
          <w:highlight w:val="none"/>
          <w:lang w:val="en-US" w:eastAsia="zh-CN"/>
        </w:rPr>
        <w:t>5.2.8.6</w:t>
      </w:r>
      <w:r>
        <w:rPr>
          <w:rFonts w:hint="eastAsia"/>
          <w:color w:val="auto"/>
          <w:highlight w:val="none"/>
        </w:rPr>
        <w:t>环境风险防范措施</w:t>
      </w:r>
    </w:p>
    <w:p w14:paraId="623B441B">
      <w:pPr>
        <w:overflowPunct w:val="0"/>
        <w:topLinePunct/>
        <w:ind w:firstLine="480"/>
        <w:rPr>
          <w:color w:val="auto"/>
          <w:highlight w:val="none"/>
        </w:rPr>
      </w:pPr>
      <w:r>
        <w:rPr>
          <w:color w:val="auto"/>
          <w:highlight w:val="none"/>
        </w:rPr>
        <w:t>（1）火灾事故防范措施</w:t>
      </w:r>
    </w:p>
    <w:p w14:paraId="2D41E7F6">
      <w:pPr>
        <w:overflowPunct w:val="0"/>
        <w:topLinePunct/>
        <w:ind w:firstLine="480"/>
        <w:rPr>
          <w:color w:val="auto"/>
          <w:highlight w:val="none"/>
        </w:rPr>
      </w:pPr>
      <w:r>
        <w:rPr>
          <w:rFonts w:hint="eastAsia" w:ascii="宋体" w:hAnsi="宋体" w:cs="宋体"/>
          <w:color w:val="auto"/>
          <w:highlight w:val="none"/>
        </w:rPr>
        <w:t>①</w:t>
      </w:r>
      <w:r>
        <w:rPr>
          <w:color w:val="auto"/>
          <w:highlight w:val="none"/>
        </w:rPr>
        <w:t>车间内配备相应品种和数量的消防器材及泄漏应急处理设备。</w:t>
      </w:r>
    </w:p>
    <w:p w14:paraId="356B25D5">
      <w:pPr>
        <w:overflowPunct w:val="0"/>
        <w:topLinePunct/>
        <w:ind w:firstLine="480"/>
        <w:rPr>
          <w:color w:val="auto"/>
          <w:highlight w:val="none"/>
        </w:rPr>
      </w:pPr>
      <w:r>
        <w:rPr>
          <w:rFonts w:hint="eastAsia" w:ascii="宋体" w:hAnsi="宋体" w:cs="宋体"/>
          <w:color w:val="auto"/>
          <w:highlight w:val="none"/>
        </w:rPr>
        <w:t>②</w:t>
      </w:r>
      <w:r>
        <w:rPr>
          <w:color w:val="auto"/>
          <w:highlight w:val="none"/>
        </w:rPr>
        <w:t>安排专人每周对化学品储存桶进行使用安全检查，并将检查情况记录在“储存设备检查记录表”上，检查内容包括：储存桶是否泄漏、是否完好、各阀门、胶管及接头是否正常、管道或阀门有无泄漏、各种</w:t>
      </w:r>
      <w:r>
        <w:rPr>
          <w:rFonts w:hint="eastAsia"/>
          <w:color w:val="auto"/>
          <w:highlight w:val="none"/>
          <w:lang w:eastAsia="zh-CN"/>
        </w:rPr>
        <w:t>警示标志</w:t>
      </w:r>
      <w:r>
        <w:rPr>
          <w:color w:val="auto"/>
          <w:highlight w:val="none"/>
        </w:rPr>
        <w:t>是否齐全、周边消防设施是否正常等。</w:t>
      </w:r>
    </w:p>
    <w:p w14:paraId="4598193F">
      <w:pPr>
        <w:overflowPunct w:val="0"/>
        <w:topLinePunct/>
        <w:ind w:firstLine="480"/>
        <w:rPr>
          <w:color w:val="auto"/>
          <w:highlight w:val="none"/>
        </w:rPr>
      </w:pPr>
      <w:r>
        <w:rPr>
          <w:rFonts w:hint="eastAsia" w:ascii="宋体" w:hAnsi="宋体" w:cs="宋体"/>
          <w:color w:val="auto"/>
          <w:highlight w:val="none"/>
        </w:rPr>
        <w:t>③</w:t>
      </w:r>
      <w:r>
        <w:rPr>
          <w:color w:val="auto"/>
          <w:highlight w:val="none"/>
        </w:rPr>
        <w:t>操作人员必须经过专门培训，严格遵守操作规程。搬运时要轻装轻卸，防止包装及容器损坏。</w:t>
      </w:r>
    </w:p>
    <w:p w14:paraId="447AFA3E">
      <w:pPr>
        <w:overflowPunct w:val="0"/>
        <w:topLinePunct/>
        <w:ind w:firstLine="480"/>
        <w:rPr>
          <w:color w:val="auto"/>
          <w:highlight w:val="none"/>
        </w:rPr>
      </w:pPr>
      <w:r>
        <w:rPr>
          <w:rFonts w:hint="eastAsia" w:ascii="宋体" w:hAnsi="宋体" w:cs="宋体"/>
          <w:color w:val="auto"/>
          <w:highlight w:val="none"/>
        </w:rPr>
        <w:t>④</w:t>
      </w:r>
      <w:r>
        <w:rPr>
          <w:color w:val="auto"/>
          <w:highlight w:val="none"/>
        </w:rPr>
        <w:t>车间内工作人员不得携带易燃易爆、易腐烂危险品或与生产无关物品。控制明火，不得在车间任何区域吸烟。</w:t>
      </w:r>
    </w:p>
    <w:p w14:paraId="4B848660">
      <w:pPr>
        <w:overflowPunct w:val="0"/>
        <w:topLinePunct/>
        <w:ind w:firstLine="480"/>
        <w:rPr>
          <w:color w:val="auto"/>
          <w:kern w:val="0"/>
          <w:highlight w:val="none"/>
        </w:rPr>
      </w:pPr>
      <w:r>
        <w:rPr>
          <w:color w:val="auto"/>
          <w:highlight w:val="none"/>
        </w:rPr>
        <w:t>通过采取以上防范措施，可以有效降低火灾事故发生概率。</w:t>
      </w:r>
    </w:p>
    <w:p w14:paraId="5D0F920D">
      <w:pPr>
        <w:overflowPunct w:val="0"/>
        <w:topLinePunct/>
        <w:ind w:firstLine="480"/>
        <w:rPr>
          <w:color w:val="auto"/>
          <w:highlight w:val="none"/>
        </w:rPr>
      </w:pPr>
      <w:r>
        <w:rPr>
          <w:color w:val="auto"/>
          <w:highlight w:val="none"/>
        </w:rPr>
        <w:t>（2）化学品运输风险防范措施</w:t>
      </w:r>
    </w:p>
    <w:p w14:paraId="746C8218">
      <w:pPr>
        <w:overflowPunct w:val="0"/>
        <w:topLinePunct/>
        <w:ind w:firstLine="480"/>
        <w:rPr>
          <w:color w:val="auto"/>
          <w:highlight w:val="none"/>
        </w:rPr>
      </w:pPr>
      <w:r>
        <w:rPr>
          <w:rFonts w:hint="eastAsia" w:ascii="宋体" w:hAnsi="宋体" w:cs="宋体"/>
          <w:color w:val="auto"/>
          <w:highlight w:val="none"/>
        </w:rPr>
        <w:t>①</w:t>
      </w:r>
      <w:r>
        <w:rPr>
          <w:color w:val="auto"/>
          <w:highlight w:val="none"/>
        </w:rPr>
        <w:t>运输危险物料的单位，应有资质，车辆应有危险废物运输许可证，司机、押运员有上岗证，具备运输危险品的资格，熟悉所运输的危险品的毒性及应急防范措施。包装物、容器应是定点单位生产。</w:t>
      </w:r>
    </w:p>
    <w:p w14:paraId="312533E6">
      <w:pPr>
        <w:overflowPunct w:val="0"/>
        <w:topLinePunct/>
        <w:ind w:firstLine="480"/>
        <w:rPr>
          <w:color w:val="auto"/>
          <w:highlight w:val="none"/>
        </w:rPr>
      </w:pPr>
      <w:r>
        <w:rPr>
          <w:rFonts w:hint="eastAsia" w:ascii="宋体" w:hAnsi="宋体" w:cs="宋体"/>
          <w:color w:val="auto"/>
          <w:highlight w:val="none"/>
        </w:rPr>
        <w:t>②</w:t>
      </w:r>
      <w:r>
        <w:rPr>
          <w:color w:val="auto"/>
          <w:highlight w:val="none"/>
        </w:rPr>
        <w:t>运输途中，要平稳行车、安全驾驶。物流公司运输化学品的司机要技术精湛，并且不吸烟。驾驶中要尽量少用紧急刹车，以保持货物的稳定。</w:t>
      </w:r>
    </w:p>
    <w:p w14:paraId="3D2DA3D3">
      <w:pPr>
        <w:overflowPunct w:val="0"/>
        <w:topLinePunct/>
        <w:ind w:firstLine="480"/>
        <w:rPr>
          <w:color w:val="auto"/>
          <w:highlight w:val="none"/>
        </w:rPr>
      </w:pPr>
      <w:r>
        <w:rPr>
          <w:rFonts w:hint="eastAsia" w:ascii="宋体" w:hAnsi="宋体" w:cs="宋体"/>
          <w:color w:val="auto"/>
          <w:highlight w:val="none"/>
        </w:rPr>
        <w:t>③</w:t>
      </w:r>
      <w:r>
        <w:rPr>
          <w:color w:val="auto"/>
          <w:highlight w:val="none"/>
        </w:rPr>
        <w:t>行车途中勤检查化学品是否有</w:t>
      </w:r>
      <w:r>
        <w:rPr>
          <w:rFonts w:hint="eastAsia"/>
          <w:color w:val="auto"/>
          <w:highlight w:val="none"/>
          <w:lang w:eastAsia="zh-CN"/>
        </w:rPr>
        <w:t>泄漏</w:t>
      </w:r>
      <w:r>
        <w:rPr>
          <w:color w:val="auto"/>
          <w:highlight w:val="none"/>
        </w:rPr>
        <w:t>。由于行车途中车辆颠簸震动，往往容易造成包装破损从而造成化学品</w:t>
      </w:r>
      <w:r>
        <w:rPr>
          <w:rFonts w:hint="eastAsia"/>
          <w:color w:val="auto"/>
          <w:highlight w:val="none"/>
          <w:lang w:eastAsia="zh-CN"/>
        </w:rPr>
        <w:t>泄漏</w:t>
      </w:r>
      <w:r>
        <w:rPr>
          <w:color w:val="auto"/>
          <w:highlight w:val="none"/>
        </w:rPr>
        <w:t>。因此，物流人员要定时查看一下桶盖上有无溢出。再来检查一下桶之间的充填物有无跌落，车厢底部四周有</w:t>
      </w:r>
      <w:r>
        <w:rPr>
          <w:rFonts w:hint="eastAsia"/>
          <w:color w:val="auto"/>
          <w:highlight w:val="none"/>
          <w:lang w:eastAsia="zh-CN"/>
        </w:rPr>
        <w:t>无泄漏</w:t>
      </w:r>
      <w:r>
        <w:rPr>
          <w:color w:val="auto"/>
          <w:highlight w:val="none"/>
        </w:rPr>
        <w:t>液体。</w:t>
      </w:r>
    </w:p>
    <w:p w14:paraId="7E674380">
      <w:pPr>
        <w:overflowPunct w:val="0"/>
        <w:topLinePunct/>
        <w:ind w:firstLine="480"/>
        <w:rPr>
          <w:color w:val="auto"/>
          <w:highlight w:val="none"/>
        </w:rPr>
      </w:pPr>
      <w:r>
        <w:rPr>
          <w:rFonts w:hint="eastAsia" w:ascii="宋体" w:hAnsi="宋体" w:cs="宋体"/>
          <w:color w:val="auto"/>
          <w:highlight w:val="none"/>
        </w:rPr>
        <w:t>④</w:t>
      </w:r>
      <w:r>
        <w:rPr>
          <w:color w:val="auto"/>
          <w:highlight w:val="none"/>
        </w:rPr>
        <w:t>在运输危险化学品前事先对道路、天气等进行调查，慎重选择路线，并制定相应的预防措施；严禁运输危险品的车辆在中途随意改变路线，随意停车。</w:t>
      </w:r>
    </w:p>
    <w:p w14:paraId="2E8BF9F7">
      <w:pPr>
        <w:overflowPunct w:val="0"/>
        <w:topLinePunct/>
        <w:ind w:firstLine="480"/>
        <w:rPr>
          <w:color w:val="auto"/>
          <w:kern w:val="0"/>
          <w:highlight w:val="none"/>
        </w:rPr>
      </w:pPr>
      <w:r>
        <w:rPr>
          <w:color w:val="auto"/>
          <w:highlight w:val="none"/>
        </w:rPr>
        <w:t>通过采取以上防范措施，可以有效降低化学品运输过程事故发生概率。</w:t>
      </w:r>
    </w:p>
    <w:p w14:paraId="261346F4">
      <w:pPr>
        <w:overflowPunct w:val="0"/>
        <w:topLinePunct/>
        <w:ind w:firstLine="480"/>
        <w:rPr>
          <w:color w:val="auto"/>
          <w:highlight w:val="none"/>
        </w:rPr>
      </w:pPr>
      <w:r>
        <w:rPr>
          <w:color w:val="auto"/>
          <w:highlight w:val="none"/>
        </w:rPr>
        <w:t>（3）地下水</w:t>
      </w:r>
      <w:r>
        <w:rPr>
          <w:rFonts w:hint="eastAsia"/>
          <w:color w:val="auto"/>
          <w:highlight w:val="none"/>
          <w:lang w:val="en-US" w:eastAsia="zh-CN"/>
        </w:rPr>
        <w:t>及土壤</w:t>
      </w:r>
      <w:r>
        <w:rPr>
          <w:color w:val="auto"/>
          <w:highlight w:val="none"/>
        </w:rPr>
        <w:t>风险防范措施</w:t>
      </w:r>
    </w:p>
    <w:p w14:paraId="5311095E">
      <w:pPr>
        <w:overflowPunct w:val="0"/>
        <w:topLinePunct/>
        <w:spacing w:line="480" w:lineRule="exact"/>
        <w:ind w:firstLine="480"/>
        <w:rPr>
          <w:rFonts w:cs="Times New Roman"/>
          <w:color w:val="auto"/>
          <w:kern w:val="0"/>
          <w:szCs w:val="24"/>
          <w:highlight w:val="none"/>
        </w:rPr>
      </w:pPr>
      <w:r>
        <w:rPr>
          <w:rFonts w:hint="eastAsia" w:ascii="宋体" w:hAnsi="宋体"/>
          <w:color w:val="auto"/>
          <w:kern w:val="0"/>
          <w:szCs w:val="24"/>
          <w:highlight w:val="none"/>
        </w:rPr>
        <w:t>①</w:t>
      </w:r>
      <w:r>
        <w:rPr>
          <w:rFonts w:cs="Times New Roman"/>
          <w:color w:val="auto"/>
          <w:kern w:val="0"/>
          <w:szCs w:val="24"/>
          <w:highlight w:val="none"/>
        </w:rPr>
        <w:t>源头控制措施</w:t>
      </w:r>
    </w:p>
    <w:p w14:paraId="55C1891C">
      <w:pPr>
        <w:overflowPunct w:val="0"/>
        <w:topLinePunct/>
        <w:spacing w:line="480" w:lineRule="exact"/>
        <w:ind w:firstLine="480"/>
        <w:rPr>
          <w:rFonts w:cs="Times New Roman"/>
          <w:color w:val="auto"/>
          <w:kern w:val="0"/>
          <w:szCs w:val="24"/>
          <w:highlight w:val="none"/>
        </w:rPr>
      </w:pPr>
      <w:r>
        <w:rPr>
          <w:rFonts w:cs="Times New Roman"/>
          <w:color w:val="auto"/>
          <w:kern w:val="0"/>
          <w:szCs w:val="24"/>
          <w:highlight w:val="none"/>
        </w:rPr>
        <w:t>项目建设、生产过程中，除了按照既定方案处理废水外，应严格把关工程质量：</w:t>
      </w:r>
    </w:p>
    <w:p w14:paraId="272043AC">
      <w:pPr>
        <w:overflowPunct w:val="0"/>
        <w:topLinePunct/>
        <w:spacing w:line="480" w:lineRule="exact"/>
        <w:ind w:firstLine="480"/>
        <w:rPr>
          <w:rFonts w:cs="Times New Roman"/>
          <w:color w:val="auto"/>
          <w:kern w:val="0"/>
          <w:szCs w:val="24"/>
          <w:highlight w:val="none"/>
        </w:rPr>
      </w:pPr>
      <w:r>
        <w:rPr>
          <w:rFonts w:cs="Times New Roman"/>
          <w:color w:val="auto"/>
          <w:kern w:val="0"/>
          <w:szCs w:val="24"/>
          <w:highlight w:val="none"/>
        </w:rPr>
        <w:t>a设备采购中要按照国家相关标准严格把关设备质量；</w:t>
      </w:r>
    </w:p>
    <w:p w14:paraId="188DE824">
      <w:pPr>
        <w:overflowPunct w:val="0"/>
        <w:topLinePunct/>
        <w:spacing w:line="480" w:lineRule="exact"/>
        <w:ind w:firstLine="480"/>
        <w:rPr>
          <w:rFonts w:cs="Times New Roman"/>
          <w:color w:val="auto"/>
          <w:kern w:val="0"/>
          <w:szCs w:val="24"/>
          <w:highlight w:val="none"/>
        </w:rPr>
      </w:pPr>
      <w:r>
        <w:rPr>
          <w:rFonts w:cs="Times New Roman"/>
          <w:color w:val="auto"/>
          <w:kern w:val="0"/>
          <w:szCs w:val="24"/>
          <w:highlight w:val="none"/>
        </w:rPr>
        <w:t>b施工过程中要按照国家相关建设标准严格把关建设质量；</w:t>
      </w:r>
    </w:p>
    <w:p w14:paraId="668CEBA7">
      <w:pPr>
        <w:overflowPunct w:val="0"/>
        <w:topLinePunct/>
        <w:spacing w:line="480" w:lineRule="exact"/>
        <w:ind w:firstLine="480"/>
        <w:rPr>
          <w:rFonts w:cs="Times New Roman"/>
          <w:color w:val="auto"/>
          <w:kern w:val="0"/>
          <w:szCs w:val="24"/>
          <w:highlight w:val="none"/>
        </w:rPr>
      </w:pPr>
      <w:r>
        <w:rPr>
          <w:rFonts w:cs="Times New Roman"/>
          <w:color w:val="auto"/>
          <w:kern w:val="0"/>
          <w:szCs w:val="24"/>
          <w:highlight w:val="none"/>
        </w:rPr>
        <w:t>c施工过程中要对管道采取防腐措施，运行期间要定期进行防腐检测；</w:t>
      </w:r>
    </w:p>
    <w:p w14:paraId="2432B82A">
      <w:pPr>
        <w:overflowPunct w:val="0"/>
        <w:topLinePunct/>
        <w:spacing w:line="480" w:lineRule="exact"/>
        <w:ind w:firstLine="480"/>
        <w:rPr>
          <w:rFonts w:cs="Times New Roman"/>
          <w:color w:val="auto"/>
          <w:kern w:val="0"/>
          <w:szCs w:val="24"/>
          <w:highlight w:val="none"/>
        </w:rPr>
      </w:pPr>
      <w:r>
        <w:rPr>
          <w:rFonts w:cs="Times New Roman"/>
          <w:color w:val="auto"/>
          <w:kern w:val="0"/>
          <w:szCs w:val="24"/>
          <w:highlight w:val="none"/>
        </w:rPr>
        <w:t>d投产前应按要求进行试运行，并对管道进行试压，对焊缝质量进行检验；</w:t>
      </w:r>
    </w:p>
    <w:p w14:paraId="1149B1A9">
      <w:pPr>
        <w:overflowPunct w:val="0"/>
        <w:topLinePunct/>
        <w:spacing w:line="480" w:lineRule="exact"/>
        <w:ind w:firstLine="480"/>
        <w:rPr>
          <w:rFonts w:cs="Times New Roman"/>
          <w:color w:val="auto"/>
          <w:kern w:val="0"/>
          <w:szCs w:val="24"/>
          <w:highlight w:val="none"/>
        </w:rPr>
      </w:pPr>
      <w:r>
        <w:rPr>
          <w:rFonts w:cs="Times New Roman"/>
          <w:color w:val="auto"/>
          <w:kern w:val="0"/>
          <w:szCs w:val="24"/>
          <w:highlight w:val="none"/>
        </w:rPr>
        <w:t>e运行期间要定期检查各设备、管线及其连接部位，确保无跑冒滴漏现象。</w:t>
      </w:r>
    </w:p>
    <w:p w14:paraId="647F2198">
      <w:pPr>
        <w:overflowPunct w:val="0"/>
        <w:topLinePunct/>
        <w:ind w:firstLine="480"/>
        <w:rPr>
          <w:color w:val="auto"/>
          <w:kern w:val="0"/>
          <w:highlight w:val="none"/>
        </w:rPr>
      </w:pPr>
      <w:r>
        <w:rPr>
          <w:rFonts w:hint="eastAsia" w:ascii="宋体" w:hAnsi="宋体" w:cs="宋体"/>
          <w:color w:val="auto"/>
          <w:highlight w:val="none"/>
        </w:rPr>
        <w:t>②</w:t>
      </w:r>
      <w:r>
        <w:rPr>
          <w:color w:val="auto"/>
          <w:highlight w:val="none"/>
        </w:rPr>
        <w:t>严格做好工程防渗</w:t>
      </w:r>
    </w:p>
    <w:p w14:paraId="0B5DE284">
      <w:pPr>
        <w:widowControl/>
        <w:overflowPunct w:val="0"/>
        <w:topLinePunct/>
        <w:ind w:firstLine="480"/>
        <w:rPr>
          <w:color w:val="auto"/>
          <w:highlight w:val="none"/>
        </w:rPr>
      </w:pPr>
      <w:r>
        <w:rPr>
          <w:color w:val="auto"/>
          <w:szCs w:val="21"/>
          <w:highlight w:val="none"/>
          <w:lang w:bidi="ar"/>
        </w:rPr>
        <w:t>为防止地下水</w:t>
      </w:r>
      <w:r>
        <w:rPr>
          <w:rFonts w:hint="eastAsia"/>
          <w:color w:val="auto"/>
          <w:szCs w:val="21"/>
          <w:highlight w:val="none"/>
          <w:lang w:val="en-US" w:eastAsia="zh-CN" w:bidi="ar"/>
        </w:rPr>
        <w:t>及土壤</w:t>
      </w:r>
      <w:r>
        <w:rPr>
          <w:color w:val="auto"/>
          <w:szCs w:val="21"/>
          <w:highlight w:val="none"/>
          <w:lang w:bidi="ar"/>
        </w:rPr>
        <w:t>污染事故，本项目针对各生产车间、尾矿库等要求其进行分区防渗，具体分区防渗措施见第六章，采取分区防渗后可从源头控制对地下水的影响。</w:t>
      </w:r>
    </w:p>
    <w:p w14:paraId="04B9489D">
      <w:pPr>
        <w:overflowPunct w:val="0"/>
        <w:topLinePunct/>
        <w:spacing w:line="480" w:lineRule="exact"/>
        <w:ind w:firstLine="480"/>
        <w:rPr>
          <w:rFonts w:cs="Times New Roman"/>
          <w:color w:val="auto"/>
          <w:kern w:val="0"/>
          <w:szCs w:val="24"/>
          <w:highlight w:val="none"/>
        </w:rPr>
      </w:pPr>
      <w:r>
        <w:rPr>
          <w:rFonts w:cs="Times New Roman"/>
          <w:color w:val="auto"/>
          <w:kern w:val="0"/>
          <w:szCs w:val="24"/>
          <w:highlight w:val="none"/>
        </w:rPr>
        <w:fldChar w:fldCharType="begin"/>
      </w:r>
      <w:r>
        <w:rPr>
          <w:rFonts w:cs="Times New Roman"/>
          <w:color w:val="auto"/>
          <w:kern w:val="0"/>
          <w:szCs w:val="24"/>
          <w:highlight w:val="none"/>
        </w:rPr>
        <w:instrText xml:space="preserve"> = 3 \* GB3 \* MERGEFORMAT </w:instrText>
      </w:r>
      <w:r>
        <w:rPr>
          <w:rFonts w:cs="Times New Roman"/>
          <w:color w:val="auto"/>
          <w:kern w:val="0"/>
          <w:szCs w:val="24"/>
          <w:highlight w:val="none"/>
        </w:rPr>
        <w:fldChar w:fldCharType="separate"/>
      </w:r>
      <w:r>
        <w:rPr>
          <w:color w:val="auto"/>
          <w:highlight w:val="none"/>
        </w:rPr>
        <w:t>③</w:t>
      </w:r>
      <w:r>
        <w:rPr>
          <w:rFonts w:cs="Times New Roman"/>
          <w:color w:val="auto"/>
          <w:kern w:val="0"/>
          <w:szCs w:val="24"/>
          <w:highlight w:val="none"/>
        </w:rPr>
        <w:fldChar w:fldCharType="end"/>
      </w:r>
      <w:r>
        <w:rPr>
          <w:rFonts w:cs="Times New Roman"/>
          <w:color w:val="auto"/>
          <w:kern w:val="0"/>
          <w:szCs w:val="24"/>
          <w:highlight w:val="none"/>
        </w:rPr>
        <w:t>防渗层维护</w:t>
      </w:r>
    </w:p>
    <w:p w14:paraId="5A6811D5">
      <w:pPr>
        <w:overflowPunct w:val="0"/>
        <w:topLinePunct/>
        <w:spacing w:line="480" w:lineRule="exact"/>
        <w:ind w:firstLine="480"/>
        <w:rPr>
          <w:rFonts w:cs="Times New Roman"/>
          <w:color w:val="auto"/>
          <w:kern w:val="0"/>
          <w:szCs w:val="24"/>
          <w:highlight w:val="none"/>
        </w:rPr>
      </w:pPr>
      <w:r>
        <w:rPr>
          <w:rFonts w:cs="Times New Roman"/>
          <w:color w:val="auto"/>
          <w:kern w:val="0"/>
          <w:szCs w:val="24"/>
          <w:highlight w:val="none"/>
        </w:rPr>
        <w:t>项目日常运营过</w:t>
      </w:r>
      <w:r>
        <w:rPr>
          <w:rFonts w:hint="eastAsia" w:cs="Times New Roman"/>
          <w:color w:val="auto"/>
          <w:kern w:val="0"/>
          <w:szCs w:val="24"/>
          <w:highlight w:val="none"/>
          <w:lang w:eastAsia="zh-CN"/>
        </w:rPr>
        <w:t>程中</w:t>
      </w:r>
      <w:r>
        <w:rPr>
          <w:rFonts w:cs="Times New Roman"/>
          <w:color w:val="auto"/>
          <w:kern w:val="0"/>
          <w:szCs w:val="24"/>
          <w:highlight w:val="none"/>
        </w:rPr>
        <w:t>，要定期对防渗措施进行检查和维护，确保防渗层的防渗效果，一旦发现防渗层有开裂、腐蚀等问题，应及时修补，避免事故状态下对项目区地下水</w:t>
      </w:r>
      <w:r>
        <w:rPr>
          <w:rFonts w:hint="eastAsia" w:cs="Times New Roman"/>
          <w:color w:val="auto"/>
          <w:kern w:val="0"/>
          <w:szCs w:val="24"/>
          <w:highlight w:val="none"/>
          <w:lang w:eastAsia="zh-CN"/>
        </w:rPr>
        <w:t>、</w:t>
      </w:r>
      <w:r>
        <w:rPr>
          <w:rFonts w:hint="eastAsia" w:cs="Times New Roman"/>
          <w:color w:val="auto"/>
          <w:kern w:val="0"/>
          <w:szCs w:val="24"/>
          <w:highlight w:val="none"/>
          <w:lang w:val="en-US" w:eastAsia="zh-CN"/>
        </w:rPr>
        <w:t>土壤</w:t>
      </w:r>
      <w:r>
        <w:rPr>
          <w:rFonts w:cs="Times New Roman"/>
          <w:color w:val="auto"/>
          <w:kern w:val="0"/>
          <w:szCs w:val="24"/>
          <w:highlight w:val="none"/>
        </w:rPr>
        <w:t>造成污染。</w:t>
      </w:r>
    </w:p>
    <w:p w14:paraId="1C95E39F">
      <w:pPr>
        <w:overflowPunct w:val="0"/>
        <w:topLinePunct/>
        <w:spacing w:line="480" w:lineRule="exact"/>
        <w:ind w:firstLine="480"/>
        <w:rPr>
          <w:rFonts w:hint="eastAsia" w:eastAsia="宋体" w:cs="Times New Roman"/>
          <w:color w:val="auto"/>
          <w:kern w:val="0"/>
          <w:szCs w:val="24"/>
          <w:highlight w:val="none"/>
          <w:lang w:val="en-US" w:eastAsia="zh-CN"/>
        </w:rPr>
      </w:pPr>
      <w:r>
        <w:rPr>
          <w:rFonts w:hint="eastAsia" w:eastAsia="宋体" w:cs="Times New Roman"/>
          <w:color w:val="auto"/>
          <w:kern w:val="0"/>
          <w:szCs w:val="24"/>
          <w:highlight w:val="none"/>
          <w:lang w:eastAsia="zh-CN"/>
        </w:rPr>
        <w:t>（</w:t>
      </w:r>
      <w:r>
        <w:rPr>
          <w:rFonts w:hint="eastAsia" w:eastAsia="宋体" w:cs="Times New Roman"/>
          <w:color w:val="auto"/>
          <w:kern w:val="0"/>
          <w:szCs w:val="24"/>
          <w:highlight w:val="none"/>
          <w:lang w:val="en-US" w:eastAsia="zh-CN"/>
        </w:rPr>
        <w:t>4）地表水风险防范措施</w:t>
      </w:r>
    </w:p>
    <w:p w14:paraId="49FC88E8">
      <w:pPr>
        <w:overflowPunct w:val="0"/>
        <w:topLinePunct/>
        <w:spacing w:line="480" w:lineRule="exact"/>
        <w:ind w:firstLine="480"/>
        <w:rPr>
          <w:rFonts w:eastAsia="宋体" w:cs="Times New Roman"/>
          <w:color w:val="auto"/>
          <w:kern w:val="0"/>
          <w:szCs w:val="24"/>
          <w:highlight w:val="none"/>
        </w:rPr>
      </w:pPr>
      <w:r>
        <w:rPr>
          <w:rFonts w:eastAsia="宋体" w:cs="Times New Roman"/>
          <w:color w:val="auto"/>
          <w:kern w:val="0"/>
          <w:szCs w:val="24"/>
          <w:highlight w:val="none"/>
          <w:lang w:val="en-US" w:eastAsia="zh-CN"/>
        </w:rPr>
        <w:t>本项目矿区临近地表河流，为防范柴油、硫酸、</w:t>
      </w:r>
      <w:r>
        <w:rPr>
          <w:rFonts w:hint="eastAsia" w:cs="Times New Roman"/>
          <w:color w:val="auto"/>
          <w:kern w:val="0"/>
          <w:szCs w:val="24"/>
          <w:highlight w:val="none"/>
          <w:lang w:val="en-US" w:eastAsia="zh-CN"/>
        </w:rPr>
        <w:t>炸药</w:t>
      </w:r>
      <w:r>
        <w:rPr>
          <w:rFonts w:eastAsia="宋体" w:cs="Times New Roman"/>
          <w:color w:val="auto"/>
          <w:kern w:val="0"/>
          <w:szCs w:val="24"/>
          <w:highlight w:val="none"/>
          <w:lang w:val="en-US" w:eastAsia="zh-CN"/>
        </w:rPr>
        <w:t>等危险物质泄漏及生产、事故废水入河，从布局设防、分区收集、雨污分流、应急管控、日常管理多方面落实防控措施。</w:t>
      </w:r>
    </w:p>
    <w:p w14:paraId="21BA6531">
      <w:pPr>
        <w:overflowPunct w:val="0"/>
        <w:topLinePunct/>
        <w:spacing w:line="480" w:lineRule="exact"/>
        <w:ind w:firstLine="480"/>
        <w:rPr>
          <w:rFonts w:eastAsia="宋体" w:cs="Times New Roman"/>
          <w:color w:val="auto"/>
          <w:kern w:val="0"/>
          <w:szCs w:val="24"/>
          <w:highlight w:val="none"/>
        </w:rPr>
      </w:pPr>
      <w:r>
        <w:rPr>
          <w:rFonts w:hint="eastAsia" w:eastAsia="宋体" w:cs="Times New Roman"/>
          <w:color w:val="auto"/>
          <w:kern w:val="0"/>
          <w:szCs w:val="24"/>
          <w:highlight w:val="none"/>
          <w:lang w:val="en-US" w:eastAsia="zh-CN"/>
        </w:rPr>
        <w:t>①</w:t>
      </w:r>
      <w:r>
        <w:rPr>
          <w:rFonts w:eastAsia="宋体" w:cs="Times New Roman"/>
          <w:color w:val="auto"/>
          <w:kern w:val="0"/>
          <w:szCs w:val="24"/>
          <w:highlight w:val="none"/>
        </w:rPr>
        <w:t>选址与物理隔离</w:t>
      </w:r>
    </w:p>
    <w:p w14:paraId="5121183F">
      <w:pPr>
        <w:overflowPunct w:val="0"/>
        <w:topLinePunct/>
        <w:spacing w:line="480" w:lineRule="exact"/>
        <w:ind w:firstLine="480"/>
        <w:rPr>
          <w:color w:val="auto"/>
          <w:sz w:val="24"/>
          <w:szCs w:val="24"/>
          <w:highlight w:val="none"/>
        </w:rPr>
      </w:pPr>
      <w:r>
        <w:rPr>
          <w:rFonts w:eastAsia="宋体" w:cs="Times New Roman"/>
          <w:color w:val="auto"/>
          <w:kern w:val="0"/>
          <w:szCs w:val="24"/>
          <w:highlight w:val="none"/>
        </w:rPr>
        <w:t>柴油储罐区、硫酸储罐区、爆破器材库等危险物质储存设施均布置在河流上游及远离河道地带，场地高程高于河流水位，区域与河道间设置实体挡墙、截洪沟及隔离带，形</w:t>
      </w:r>
      <w:r>
        <w:rPr>
          <w:color w:val="auto"/>
          <w:sz w:val="24"/>
          <w:szCs w:val="24"/>
          <w:highlight w:val="none"/>
        </w:rPr>
        <w:t>成物理阻断，防止物料自流进入水体。</w:t>
      </w:r>
    </w:p>
    <w:p w14:paraId="0B30CC0C">
      <w:pPr>
        <w:overflowPunct w:val="0"/>
        <w:topLinePunct/>
        <w:spacing w:line="480" w:lineRule="exact"/>
        <w:ind w:firstLine="480"/>
        <w:rPr>
          <w:rFonts w:eastAsia="宋体" w:cs="Times New Roman"/>
          <w:color w:val="auto"/>
          <w:kern w:val="0"/>
          <w:szCs w:val="24"/>
          <w:highlight w:val="none"/>
          <w:lang w:val="en-US" w:eastAsia="zh-CN"/>
        </w:rPr>
      </w:pPr>
      <w:r>
        <w:rPr>
          <w:rFonts w:hint="eastAsia" w:eastAsia="宋体" w:cs="Times New Roman"/>
          <w:color w:val="auto"/>
          <w:kern w:val="0"/>
          <w:szCs w:val="24"/>
          <w:highlight w:val="none"/>
          <w:lang w:val="en-US" w:eastAsia="zh-CN"/>
        </w:rPr>
        <w:t>②</w:t>
      </w:r>
      <w:r>
        <w:rPr>
          <w:rFonts w:eastAsia="宋体" w:cs="Times New Roman"/>
          <w:color w:val="auto"/>
          <w:kern w:val="0"/>
          <w:szCs w:val="24"/>
          <w:highlight w:val="none"/>
          <w:lang w:val="en-US" w:eastAsia="zh-CN"/>
        </w:rPr>
        <w:t>分区防渗与收集设施</w:t>
      </w:r>
    </w:p>
    <w:p w14:paraId="44903F31">
      <w:pPr>
        <w:overflowPunct w:val="0"/>
        <w:topLinePunct/>
        <w:spacing w:line="480" w:lineRule="exact"/>
        <w:ind w:firstLine="480"/>
        <w:rPr>
          <w:rFonts w:eastAsia="宋体" w:cs="Times New Roman"/>
          <w:color w:val="auto"/>
          <w:kern w:val="0"/>
          <w:szCs w:val="24"/>
          <w:highlight w:val="none"/>
          <w:lang w:val="en-US" w:eastAsia="zh-CN"/>
        </w:rPr>
      </w:pPr>
      <w:r>
        <w:rPr>
          <w:rFonts w:eastAsia="宋体" w:cs="Times New Roman"/>
          <w:color w:val="auto"/>
          <w:kern w:val="0"/>
          <w:szCs w:val="24"/>
          <w:highlight w:val="none"/>
          <w:lang w:val="en-US" w:eastAsia="zh-CN"/>
        </w:rPr>
        <w:t>柴油、硫酸储罐区分别设置防渗防火堤/防腐围堰，围堰有效容积满足最大单罐泄漏量收纳要求；配套建设专用事故收集池、集液沟与集水坑，罐体、地面及构筑物均采用高标准防渗、防腐结构，泄漏物料可全部就地截留。爆破器材库房采用全封闭防渗设计，无外排排水口，室内积水人工清运，杜绝外流。</w:t>
      </w:r>
    </w:p>
    <w:p w14:paraId="0715787E">
      <w:pPr>
        <w:overflowPunct w:val="0"/>
        <w:topLinePunct/>
        <w:spacing w:line="480" w:lineRule="exact"/>
        <w:ind w:firstLine="480"/>
        <w:rPr>
          <w:rFonts w:eastAsia="宋体" w:cs="Times New Roman"/>
          <w:color w:val="auto"/>
          <w:kern w:val="0"/>
          <w:szCs w:val="24"/>
          <w:highlight w:val="none"/>
          <w:lang w:val="en-US" w:eastAsia="zh-CN"/>
        </w:rPr>
      </w:pPr>
      <w:r>
        <w:rPr>
          <w:rFonts w:hint="eastAsia" w:eastAsia="宋体" w:cs="Times New Roman"/>
          <w:color w:val="auto"/>
          <w:kern w:val="0"/>
          <w:szCs w:val="24"/>
          <w:highlight w:val="none"/>
          <w:lang w:val="en-US" w:eastAsia="zh-CN"/>
        </w:rPr>
        <w:t>③</w:t>
      </w:r>
      <w:r>
        <w:rPr>
          <w:rFonts w:eastAsia="宋体" w:cs="Times New Roman"/>
          <w:color w:val="auto"/>
          <w:kern w:val="0"/>
          <w:szCs w:val="24"/>
          <w:highlight w:val="none"/>
          <w:lang w:val="en-US" w:eastAsia="zh-CN"/>
        </w:rPr>
        <w:t>雨污分流管控</w:t>
      </w:r>
    </w:p>
    <w:p w14:paraId="287EA9AE">
      <w:pPr>
        <w:overflowPunct w:val="0"/>
        <w:topLinePunct/>
        <w:spacing w:line="480" w:lineRule="exact"/>
        <w:ind w:firstLine="480"/>
        <w:rPr>
          <w:rFonts w:eastAsia="宋体" w:cs="Times New Roman"/>
          <w:color w:val="auto"/>
          <w:kern w:val="0"/>
          <w:szCs w:val="24"/>
          <w:highlight w:val="none"/>
          <w:lang w:val="en-US" w:eastAsia="zh-CN"/>
        </w:rPr>
      </w:pPr>
      <w:r>
        <w:rPr>
          <w:rFonts w:eastAsia="宋体" w:cs="Times New Roman"/>
          <w:color w:val="auto"/>
          <w:kern w:val="0"/>
          <w:szCs w:val="24"/>
          <w:highlight w:val="none"/>
          <w:lang w:val="en-US" w:eastAsia="zh-CN"/>
        </w:rPr>
        <w:t>厂区严格实行清污、雨污分流，危化品储存区排水系统与常规雨水管网、地表水系完全独立。罐区设置雨水切换阀门，正常雨水有序导排，发生泄漏时立即切断外排通道，含污染物雨水全部纳入事故收集设施。</w:t>
      </w:r>
    </w:p>
    <w:p w14:paraId="2846BD7E">
      <w:pPr>
        <w:overflowPunct w:val="0"/>
        <w:topLinePunct/>
        <w:spacing w:line="480" w:lineRule="exact"/>
        <w:ind w:firstLine="480"/>
        <w:rPr>
          <w:rFonts w:eastAsia="宋体" w:cs="Times New Roman"/>
          <w:color w:val="auto"/>
          <w:kern w:val="0"/>
          <w:szCs w:val="24"/>
          <w:highlight w:val="none"/>
          <w:lang w:val="en-US" w:eastAsia="zh-CN"/>
        </w:rPr>
      </w:pPr>
      <w:r>
        <w:rPr>
          <w:rFonts w:hint="eastAsia" w:eastAsia="宋体" w:cs="Times New Roman"/>
          <w:color w:val="auto"/>
          <w:kern w:val="0"/>
          <w:szCs w:val="24"/>
          <w:highlight w:val="none"/>
          <w:lang w:val="en-US" w:eastAsia="zh-CN"/>
        </w:rPr>
        <w:t>④</w:t>
      </w:r>
      <w:r>
        <w:rPr>
          <w:rFonts w:eastAsia="宋体" w:cs="Times New Roman"/>
          <w:color w:val="auto"/>
          <w:kern w:val="0"/>
          <w:szCs w:val="24"/>
          <w:highlight w:val="none"/>
          <w:lang w:val="en-US" w:eastAsia="zh-CN"/>
        </w:rPr>
        <w:t>废水处置要求</w:t>
      </w:r>
    </w:p>
    <w:p w14:paraId="33C67C9E">
      <w:pPr>
        <w:overflowPunct w:val="0"/>
        <w:topLinePunct/>
        <w:spacing w:line="480" w:lineRule="exact"/>
        <w:ind w:firstLine="480"/>
        <w:rPr>
          <w:rFonts w:eastAsia="宋体" w:cs="Times New Roman"/>
          <w:color w:val="auto"/>
          <w:kern w:val="0"/>
          <w:szCs w:val="24"/>
          <w:highlight w:val="none"/>
          <w:lang w:val="en-US" w:eastAsia="zh-CN"/>
        </w:rPr>
      </w:pPr>
      <w:r>
        <w:rPr>
          <w:rFonts w:eastAsia="宋体" w:cs="Times New Roman"/>
          <w:color w:val="auto"/>
          <w:kern w:val="0"/>
          <w:szCs w:val="24"/>
          <w:highlight w:val="none"/>
          <w:lang w:val="en-US" w:eastAsia="zh-CN"/>
        </w:rPr>
        <w:t>项目正常工况无生产废水外排；事故状态下收集的含油废水、废酸液、洗消废水等，</w:t>
      </w:r>
      <w:r>
        <w:rPr>
          <w:rFonts w:hint="eastAsia" w:eastAsia="宋体" w:cs="Times New Roman"/>
          <w:color w:val="auto"/>
          <w:kern w:val="0"/>
          <w:szCs w:val="24"/>
          <w:highlight w:val="none"/>
          <w:lang w:val="en-US" w:eastAsia="zh-CN"/>
        </w:rPr>
        <w:t>委托有资质的单位进行处置</w:t>
      </w:r>
      <w:r>
        <w:rPr>
          <w:rFonts w:eastAsia="宋体" w:cs="Times New Roman"/>
          <w:color w:val="auto"/>
          <w:kern w:val="0"/>
          <w:szCs w:val="24"/>
          <w:highlight w:val="none"/>
          <w:lang w:val="en-US" w:eastAsia="zh-CN"/>
        </w:rPr>
        <w:t>，严禁直接排入周边河流。</w:t>
      </w:r>
    </w:p>
    <w:p w14:paraId="3C1DBDC4">
      <w:pPr>
        <w:overflowPunct w:val="0"/>
        <w:topLinePunct/>
        <w:spacing w:line="480" w:lineRule="exact"/>
        <w:ind w:firstLine="480"/>
        <w:rPr>
          <w:rFonts w:eastAsia="宋体" w:cs="Times New Roman"/>
          <w:color w:val="auto"/>
          <w:kern w:val="0"/>
          <w:szCs w:val="24"/>
          <w:highlight w:val="none"/>
          <w:lang w:val="en-US" w:eastAsia="zh-CN"/>
        </w:rPr>
      </w:pPr>
      <w:r>
        <w:rPr>
          <w:rFonts w:hint="eastAsia" w:eastAsia="宋体" w:cs="Times New Roman"/>
          <w:color w:val="auto"/>
          <w:kern w:val="0"/>
          <w:szCs w:val="24"/>
          <w:highlight w:val="none"/>
          <w:lang w:val="en-US" w:eastAsia="zh-CN"/>
        </w:rPr>
        <w:t>⑤</w:t>
      </w:r>
      <w:r>
        <w:rPr>
          <w:rFonts w:eastAsia="宋体" w:cs="Times New Roman"/>
          <w:color w:val="auto"/>
          <w:kern w:val="0"/>
          <w:szCs w:val="24"/>
          <w:highlight w:val="none"/>
          <w:lang w:val="en-US" w:eastAsia="zh-CN"/>
        </w:rPr>
        <w:t>日常管理与应急保障</w:t>
      </w:r>
    </w:p>
    <w:p w14:paraId="3342B0B9">
      <w:pPr>
        <w:overflowPunct w:val="0"/>
        <w:topLinePunct/>
        <w:spacing w:line="480" w:lineRule="exact"/>
        <w:ind w:firstLine="480"/>
        <w:rPr>
          <w:rFonts w:eastAsia="宋体" w:cs="Times New Roman"/>
          <w:color w:val="auto"/>
          <w:kern w:val="0"/>
          <w:szCs w:val="24"/>
          <w:highlight w:val="none"/>
          <w:lang w:val="en-US" w:eastAsia="zh-CN"/>
        </w:rPr>
      </w:pPr>
      <w:r>
        <w:rPr>
          <w:rFonts w:eastAsia="宋体" w:cs="Times New Roman"/>
          <w:color w:val="auto"/>
          <w:kern w:val="0"/>
          <w:szCs w:val="24"/>
          <w:highlight w:val="none"/>
          <w:lang w:val="en-US" w:eastAsia="zh-CN"/>
        </w:rPr>
        <w:t>建立设备定期巡检、泄漏在线监测制度，及时排查破损、渗漏隐患；编制突发环境事件应急预案，配齐堵漏工具、中和药剂、吸油材料、应急泵等物资，定期开展应急演练。</w:t>
      </w:r>
    </w:p>
    <w:p w14:paraId="7B056AA9">
      <w:pPr>
        <w:overflowPunct w:val="0"/>
        <w:topLinePunct/>
        <w:spacing w:line="480" w:lineRule="exact"/>
        <w:ind w:left="480" w:firstLine="0" w:firstLineChars="0"/>
        <w:rPr>
          <w:rFonts w:cs="Times New Roman"/>
          <w:color w:val="auto"/>
          <w:highlight w:val="none"/>
        </w:rPr>
      </w:pPr>
      <w:r>
        <w:rPr>
          <w:rFonts w:hint="eastAsia" w:cs="Times New Roman"/>
          <w:color w:val="auto"/>
          <w:highlight w:val="none"/>
        </w:rPr>
        <w:t>（</w:t>
      </w:r>
      <w:r>
        <w:rPr>
          <w:rFonts w:hint="eastAsia" w:cs="Times New Roman"/>
          <w:color w:val="auto"/>
          <w:highlight w:val="none"/>
          <w:lang w:val="en-US" w:eastAsia="zh-CN"/>
        </w:rPr>
        <w:t>5</w:t>
      </w:r>
      <w:r>
        <w:rPr>
          <w:rFonts w:hint="eastAsia" w:cs="Times New Roman"/>
          <w:color w:val="auto"/>
          <w:highlight w:val="none"/>
        </w:rPr>
        <w:t>）</w:t>
      </w:r>
      <w:r>
        <w:rPr>
          <w:rFonts w:cs="Times New Roman"/>
          <w:color w:val="auto"/>
          <w:highlight w:val="none"/>
        </w:rPr>
        <w:t>尾矿库环境风险防范措施</w:t>
      </w:r>
    </w:p>
    <w:p w14:paraId="62148573">
      <w:pPr>
        <w:overflowPunct w:val="0"/>
        <w:topLinePunct/>
        <w:spacing w:line="480" w:lineRule="exact"/>
        <w:ind w:firstLine="480"/>
        <w:rPr>
          <w:rFonts w:cs="Times New Roman"/>
          <w:color w:val="auto"/>
          <w:highlight w:val="none"/>
        </w:rPr>
      </w:pPr>
      <w:r>
        <w:rPr>
          <w:rFonts w:cs="Times New Roman"/>
          <w:color w:val="auto"/>
          <w:highlight w:val="none"/>
        </w:rPr>
        <w:t>本尾矿库必须严格按照《选矿安全规程</w:t>
      </w:r>
      <w:r>
        <w:rPr>
          <w:rFonts w:hint="eastAsia" w:cs="Times New Roman"/>
          <w:color w:val="auto"/>
          <w:highlight w:val="none"/>
          <w:lang w:eastAsia="zh-CN"/>
        </w:rPr>
        <w:t>》《</w:t>
      </w:r>
      <w:r>
        <w:rPr>
          <w:rFonts w:cs="Times New Roman"/>
          <w:color w:val="auto"/>
          <w:highlight w:val="none"/>
        </w:rPr>
        <w:t>选矿厂尾矿库设施设计规范》及《尾矿库安全监督管理规定</w:t>
      </w:r>
      <w:r>
        <w:rPr>
          <w:rFonts w:hint="eastAsia" w:cs="Times New Roman"/>
          <w:color w:val="auto"/>
          <w:highlight w:val="none"/>
          <w:lang w:eastAsia="zh-CN"/>
        </w:rPr>
        <w:t>》《</w:t>
      </w:r>
      <w:r>
        <w:rPr>
          <w:rFonts w:cs="Times New Roman"/>
          <w:color w:val="auto"/>
          <w:highlight w:val="none"/>
        </w:rPr>
        <w:t>尾矿库安全技术规程》等相关规范对尾矿库进行设计、施工、生产运行、关闭及安全监督管理与维护，以防止发生溃坝等严重事故，并按《建筑抗震设计规范》进行抗震验算，同时环评要求本尾矿库在未闭库之前其安全管理</w:t>
      </w:r>
      <w:r>
        <w:rPr>
          <w:rFonts w:hint="eastAsia" w:cs="Times New Roman"/>
          <w:color w:val="auto"/>
          <w:highlight w:val="none"/>
          <w:lang w:eastAsia="zh-CN"/>
        </w:rPr>
        <w:t>必须严格按照</w:t>
      </w:r>
      <w:r>
        <w:rPr>
          <w:rFonts w:cs="Times New Roman"/>
          <w:color w:val="auto"/>
          <w:highlight w:val="none"/>
        </w:rPr>
        <w:t>有关规范执行。尾矿库主要风险防范措施如下：</w:t>
      </w:r>
    </w:p>
    <w:p w14:paraId="7B11A3BD">
      <w:pPr>
        <w:overflowPunct w:val="0"/>
        <w:topLinePunct/>
        <w:ind w:firstLine="480"/>
        <w:rPr>
          <w:color w:val="auto"/>
          <w:highlight w:val="none"/>
        </w:rPr>
      </w:pPr>
      <w:r>
        <w:rPr>
          <w:color w:val="auto"/>
          <w:highlight w:val="none"/>
        </w:rPr>
        <w:t>1）尾矿库</w:t>
      </w:r>
      <w:r>
        <w:rPr>
          <w:rFonts w:hint="eastAsia"/>
          <w:color w:val="auto"/>
          <w:highlight w:val="none"/>
        </w:rPr>
        <w:t>溃坝</w:t>
      </w:r>
      <w:r>
        <w:rPr>
          <w:color w:val="auto"/>
          <w:highlight w:val="none"/>
        </w:rPr>
        <w:t>的防范措施</w:t>
      </w:r>
    </w:p>
    <w:p w14:paraId="7912A6CC">
      <w:pPr>
        <w:overflowPunct w:val="0"/>
        <w:topLinePunct/>
        <w:ind w:firstLine="480"/>
        <w:rPr>
          <w:color w:val="auto"/>
          <w:highlight w:val="none"/>
        </w:rPr>
      </w:pPr>
      <w:r>
        <w:rPr>
          <w:color w:val="auto"/>
          <w:highlight w:val="none"/>
        </w:rPr>
        <w:t>A.要坚持对尾矿坝的定期观测，包括坝体变形、坝内浸润线观测；通过坝体的渗透流量观测等，以保证能够及时发现问题，及时解决，防患于未然。</w:t>
      </w:r>
    </w:p>
    <w:p w14:paraId="726C567E">
      <w:pPr>
        <w:overflowPunct w:val="0"/>
        <w:topLinePunct/>
        <w:ind w:firstLine="480"/>
        <w:rPr>
          <w:color w:val="auto"/>
          <w:highlight w:val="none"/>
        </w:rPr>
      </w:pPr>
      <w:r>
        <w:rPr>
          <w:color w:val="auto"/>
          <w:highlight w:val="none"/>
        </w:rPr>
        <w:t>B.本项目修建有初期坝、排水管等排水设施。应对尾矿库进行管理和维护，随时检查尾矿库排水、排洪等构筑物的排洪情况，特别是在雨季、汛期，要坚持24小时值班，以保证遇到险情及时报告、排除。</w:t>
      </w:r>
    </w:p>
    <w:p w14:paraId="496636AE">
      <w:pPr>
        <w:overflowPunct w:val="0"/>
        <w:topLinePunct/>
        <w:ind w:firstLine="480"/>
        <w:rPr>
          <w:color w:val="auto"/>
          <w:highlight w:val="none"/>
        </w:rPr>
      </w:pPr>
      <w:r>
        <w:rPr>
          <w:color w:val="auto"/>
          <w:highlight w:val="none"/>
        </w:rPr>
        <w:t>C.项目设置位移监测设施，包括位移监测点及监测基点。定期对坝体变形、坝内浸润线进行观测；通过坝体的渗透流量观测及变形观测等，以保证能够及时发现问题，及时解决，防患于未然。</w:t>
      </w:r>
    </w:p>
    <w:p w14:paraId="690A230C">
      <w:pPr>
        <w:overflowPunct w:val="0"/>
        <w:topLinePunct/>
        <w:ind w:firstLine="480"/>
        <w:rPr>
          <w:color w:val="auto"/>
          <w:highlight w:val="none"/>
        </w:rPr>
      </w:pPr>
      <w:r>
        <w:rPr>
          <w:color w:val="auto"/>
          <w:highlight w:val="none"/>
        </w:rPr>
        <w:t>D.服务期满后要在试验研究的基础上及时制定覆土、植被或复田的实施方案，并对坝体的稳定性进行检验，确保尾矿坝的安全。同时应做到及时封场并恢复植被，禁止尾矿库排入尾矿量超过设计指标。</w:t>
      </w:r>
    </w:p>
    <w:p w14:paraId="08A3FDA0">
      <w:pPr>
        <w:overflowPunct w:val="0"/>
        <w:topLinePunct/>
        <w:ind w:firstLine="480"/>
        <w:rPr>
          <w:color w:val="auto"/>
          <w:highlight w:val="none"/>
        </w:rPr>
      </w:pPr>
      <w:r>
        <w:rPr>
          <w:color w:val="auto"/>
          <w:highlight w:val="none"/>
        </w:rPr>
        <w:t>E.根据国内外尾矿库的建设与运行实践，只要在尾矿库的设计、施工和运行过程中严格执行《选矿厂尾矿设施设计规程》和《尾矿设施管理规程》，保证施工质量，尾矿库垮坝的事故是可以避免的。</w:t>
      </w:r>
    </w:p>
    <w:p w14:paraId="18F1E47A">
      <w:pPr>
        <w:overflowPunct w:val="0"/>
        <w:topLinePunct/>
        <w:spacing w:line="480" w:lineRule="exact"/>
        <w:ind w:firstLine="480"/>
        <w:rPr>
          <w:rFonts w:cs="Times New Roman"/>
          <w:color w:val="auto"/>
          <w:highlight w:val="none"/>
        </w:rPr>
      </w:pPr>
      <w:r>
        <w:rPr>
          <w:rFonts w:cs="Times New Roman"/>
          <w:color w:val="auto"/>
          <w:highlight w:val="none"/>
        </w:rPr>
        <w:t>F.</w:t>
      </w:r>
      <w:r>
        <w:rPr>
          <w:rFonts w:hint="eastAsia" w:cs="Times New Roman"/>
          <w:color w:val="auto"/>
          <w:highlight w:val="none"/>
        </w:rPr>
        <w:t>在尾矿库下游建设</w:t>
      </w:r>
      <w:r>
        <w:rPr>
          <w:rFonts w:hint="eastAsia" w:cs="Times New Roman"/>
          <w:color w:val="auto"/>
          <w:highlight w:val="none"/>
          <w:lang w:eastAsia="zh-CN"/>
        </w:rPr>
        <w:t>拦挡</w:t>
      </w:r>
      <w:r>
        <w:rPr>
          <w:rFonts w:hint="eastAsia" w:cs="Times New Roman"/>
          <w:color w:val="auto"/>
          <w:highlight w:val="none"/>
        </w:rPr>
        <w:t>坝。</w:t>
      </w:r>
      <w:r>
        <w:rPr>
          <w:rFonts w:hint="eastAsia" w:cs="Times New Roman"/>
          <w:color w:val="auto"/>
          <w:highlight w:val="none"/>
          <w:lang w:eastAsia="zh-CN"/>
        </w:rPr>
        <w:t>拦挡</w:t>
      </w:r>
      <w:r>
        <w:rPr>
          <w:rFonts w:hint="eastAsia" w:cs="Times New Roman"/>
          <w:color w:val="auto"/>
          <w:highlight w:val="none"/>
        </w:rPr>
        <w:t>坝</w:t>
      </w:r>
      <w:r>
        <w:rPr>
          <w:rFonts w:cs="Times New Roman"/>
          <w:color w:val="auto"/>
          <w:highlight w:val="none"/>
        </w:rPr>
        <w:t>建设对尾矿库溃坝后的有利影响是不言而喻的：一方面，</w:t>
      </w:r>
      <w:r>
        <w:rPr>
          <w:rFonts w:hint="eastAsia" w:cs="Times New Roman"/>
          <w:color w:val="auto"/>
          <w:highlight w:val="none"/>
          <w:lang w:eastAsia="zh-CN"/>
        </w:rPr>
        <w:t>拦挡</w:t>
      </w:r>
      <w:r>
        <w:rPr>
          <w:rFonts w:hint="eastAsia" w:cs="Times New Roman"/>
          <w:color w:val="auto"/>
          <w:highlight w:val="none"/>
        </w:rPr>
        <w:t>坝</w:t>
      </w:r>
      <w:r>
        <w:rPr>
          <w:rFonts w:cs="Times New Roman"/>
          <w:color w:val="auto"/>
          <w:highlight w:val="none"/>
        </w:rPr>
        <w:t>在尾矿坝尾砂的流动路径上，可以起到消能作用，大大减少溃坝尾砂流的运动速度；另一方面，</w:t>
      </w:r>
      <w:r>
        <w:rPr>
          <w:rFonts w:hint="eastAsia" w:cs="Times New Roman"/>
          <w:color w:val="auto"/>
          <w:highlight w:val="none"/>
          <w:lang w:eastAsia="zh-CN"/>
        </w:rPr>
        <w:t>拦挡</w:t>
      </w:r>
      <w:r>
        <w:rPr>
          <w:rFonts w:hint="eastAsia" w:cs="Times New Roman"/>
          <w:color w:val="auto"/>
          <w:highlight w:val="none"/>
        </w:rPr>
        <w:t>坝</w:t>
      </w:r>
      <w:r>
        <w:rPr>
          <w:rFonts w:cs="Times New Roman"/>
          <w:color w:val="auto"/>
          <w:highlight w:val="none"/>
        </w:rPr>
        <w:t>和山体的包围，可限制溃坝尾砂流的流动堆积范围。因此本次环评要求在尾矿库下游</w:t>
      </w:r>
      <w:r>
        <w:rPr>
          <w:rFonts w:hint="eastAsia" w:cs="Times New Roman"/>
          <w:color w:val="auto"/>
          <w:highlight w:val="none"/>
        </w:rPr>
        <w:t>设置</w:t>
      </w:r>
      <w:r>
        <w:rPr>
          <w:rFonts w:hint="eastAsia" w:cs="Times New Roman"/>
          <w:color w:val="auto"/>
          <w:highlight w:val="none"/>
          <w:lang w:eastAsia="zh-CN"/>
        </w:rPr>
        <w:t>两座拦挡</w:t>
      </w:r>
      <w:r>
        <w:rPr>
          <w:rFonts w:hint="eastAsia" w:cs="Times New Roman"/>
          <w:color w:val="auto"/>
          <w:highlight w:val="none"/>
        </w:rPr>
        <w:t>坝</w:t>
      </w:r>
      <w:r>
        <w:rPr>
          <w:rFonts w:cs="Times New Roman"/>
          <w:color w:val="auto"/>
          <w:highlight w:val="none"/>
        </w:rPr>
        <w:t>，防止溃坝发生时尾矿砂下泄进入</w:t>
      </w:r>
      <w:r>
        <w:rPr>
          <w:rFonts w:hint="eastAsia" w:cs="Times New Roman"/>
          <w:color w:val="auto"/>
          <w:highlight w:val="none"/>
          <w:lang w:eastAsia="zh-CN"/>
        </w:rPr>
        <w:t>阿克苏</w:t>
      </w:r>
      <w:r>
        <w:rPr>
          <w:rFonts w:cs="Times New Roman"/>
          <w:color w:val="auto"/>
          <w:highlight w:val="none"/>
        </w:rPr>
        <w:t>河，对水体及周边生态环境产生影响。</w:t>
      </w:r>
      <w:r>
        <w:rPr>
          <w:rFonts w:hint="eastAsia" w:cs="Times New Roman"/>
          <w:color w:val="auto"/>
          <w:highlight w:val="none"/>
          <w:lang w:eastAsia="zh-CN"/>
        </w:rPr>
        <w:t>拦挡</w:t>
      </w:r>
      <w:r>
        <w:rPr>
          <w:rFonts w:hint="eastAsia" w:cs="Times New Roman"/>
          <w:color w:val="auto"/>
          <w:highlight w:val="none"/>
        </w:rPr>
        <w:t>坝应严格按本次环评要求及项目初步设计要求建设，并做到与项目主体工程同时施工并投入使用。</w:t>
      </w:r>
    </w:p>
    <w:p w14:paraId="009BCC33">
      <w:pPr>
        <w:overflowPunct w:val="0"/>
        <w:topLinePunct/>
        <w:ind w:firstLine="480"/>
        <w:rPr>
          <w:color w:val="auto"/>
          <w:highlight w:val="none"/>
        </w:rPr>
      </w:pPr>
      <w:r>
        <w:rPr>
          <w:color w:val="auto"/>
          <w:highlight w:val="none"/>
        </w:rPr>
        <w:t>2）尾矿库维护管理</w:t>
      </w:r>
    </w:p>
    <w:p w14:paraId="024ECFE4">
      <w:pPr>
        <w:overflowPunct w:val="0"/>
        <w:topLinePunct/>
        <w:ind w:firstLine="480"/>
        <w:rPr>
          <w:color w:val="auto"/>
          <w:highlight w:val="none"/>
        </w:rPr>
      </w:pPr>
      <w:r>
        <w:rPr>
          <w:color w:val="auto"/>
          <w:highlight w:val="none"/>
        </w:rPr>
        <w:t>A.尾矿库运行过程中，必须按照设计和有关技术规定，认真做好作业平台、待作业平台的维护管理工作。</w:t>
      </w:r>
    </w:p>
    <w:p w14:paraId="0EE07DF4">
      <w:pPr>
        <w:overflowPunct w:val="0"/>
        <w:topLinePunct/>
        <w:ind w:firstLine="480"/>
        <w:rPr>
          <w:color w:val="auto"/>
          <w:highlight w:val="none"/>
        </w:rPr>
      </w:pPr>
      <w:r>
        <w:rPr>
          <w:color w:val="auto"/>
          <w:highlight w:val="none"/>
        </w:rPr>
        <w:t>B.建立健全巡坝护坝工作责任制度，安排专人巡视尾矿坝和整个尾矿库区，保护好尾矿库内相关观测设施，做好坝体安全监测工作。</w:t>
      </w:r>
    </w:p>
    <w:p w14:paraId="7F3B65EA">
      <w:pPr>
        <w:overflowPunct w:val="0"/>
        <w:topLinePunct/>
        <w:ind w:firstLine="480"/>
        <w:rPr>
          <w:color w:val="auto"/>
          <w:highlight w:val="none"/>
        </w:rPr>
      </w:pPr>
      <w:r>
        <w:rPr>
          <w:color w:val="auto"/>
          <w:highlight w:val="none"/>
        </w:rPr>
        <w:t>C.发现尾矿坝外坡出现局部隆起、坍塌、流沙（土）、管涌等异常现象，应立即分析研究原因，制定处理措施并及时实施处理方案，同时加密观测次数并报告有关部门。</w:t>
      </w:r>
    </w:p>
    <w:p w14:paraId="76B49661">
      <w:pPr>
        <w:overflowPunct w:val="0"/>
        <w:topLinePunct/>
        <w:ind w:firstLine="480"/>
        <w:rPr>
          <w:color w:val="auto"/>
          <w:highlight w:val="none"/>
        </w:rPr>
      </w:pPr>
      <w:r>
        <w:rPr>
          <w:color w:val="auto"/>
          <w:highlight w:val="none"/>
        </w:rPr>
        <w:t>D.针对尾矿库实际情况，制定尾矿库管理维护和运行细则。安排专人定期检查维护排洪设施、排渗设施等。</w:t>
      </w:r>
    </w:p>
    <w:p w14:paraId="48A8C445">
      <w:pPr>
        <w:overflowPunct w:val="0"/>
        <w:topLinePunct/>
        <w:ind w:firstLine="480"/>
        <w:rPr>
          <w:color w:val="auto"/>
          <w:highlight w:val="none"/>
        </w:rPr>
      </w:pPr>
      <w:r>
        <w:rPr>
          <w:color w:val="auto"/>
          <w:highlight w:val="none"/>
        </w:rPr>
        <w:t>F.当接到震情预报时，根据实际情况作出防震计划和安排。</w:t>
      </w:r>
    </w:p>
    <w:p w14:paraId="76B4EC03">
      <w:pPr>
        <w:overflowPunct w:val="0"/>
        <w:topLinePunct/>
        <w:ind w:firstLine="480"/>
        <w:rPr>
          <w:color w:val="auto"/>
          <w:highlight w:val="none"/>
        </w:rPr>
      </w:pPr>
      <w:r>
        <w:rPr>
          <w:color w:val="auto"/>
          <w:highlight w:val="none"/>
        </w:rPr>
        <w:t>G.在库区内严禁爆破、采石、挖土、滥挖尾矿等危害尾矿库安全的活动。如企业需要回采或综合利用库区尾矿时，必须做开发工程设计并经上级主管部门批准后方可进行。</w:t>
      </w:r>
    </w:p>
    <w:p w14:paraId="08473AD9">
      <w:pPr>
        <w:overflowPunct w:val="0"/>
        <w:topLinePunct/>
        <w:ind w:firstLine="480"/>
        <w:rPr>
          <w:color w:val="auto"/>
          <w:highlight w:val="none"/>
        </w:rPr>
      </w:pPr>
      <w:r>
        <w:rPr>
          <w:color w:val="auto"/>
          <w:highlight w:val="none"/>
        </w:rPr>
        <w:t>H.坝面覆土、种草，不能用碎石护坡；坝面不得种植乔木和农作物。</w:t>
      </w:r>
    </w:p>
    <w:p w14:paraId="6A234DA5">
      <w:pPr>
        <w:overflowPunct w:val="0"/>
        <w:topLinePunct/>
        <w:ind w:firstLine="480"/>
        <w:rPr>
          <w:color w:val="auto"/>
          <w:highlight w:val="none"/>
        </w:rPr>
      </w:pPr>
      <w:r>
        <w:rPr>
          <w:color w:val="auto"/>
          <w:highlight w:val="none"/>
        </w:rPr>
        <w:t>I.每级子坝堆筑完毕，应进行质量检验，检验记录与报告需经技术人员签字后存档。</w:t>
      </w:r>
    </w:p>
    <w:p w14:paraId="3D39EA26">
      <w:pPr>
        <w:overflowPunct w:val="0"/>
        <w:topLinePunct/>
        <w:ind w:firstLine="480"/>
        <w:rPr>
          <w:color w:val="auto"/>
          <w:highlight w:val="none"/>
        </w:rPr>
      </w:pPr>
      <w:r>
        <w:rPr>
          <w:color w:val="auto"/>
          <w:highlight w:val="none"/>
        </w:rPr>
        <w:t>3）尾矿库</w:t>
      </w:r>
      <w:r>
        <w:rPr>
          <w:rFonts w:hint="eastAsia"/>
          <w:color w:val="auto"/>
          <w:highlight w:val="none"/>
          <w:lang w:eastAsia="zh-CN"/>
        </w:rPr>
        <w:t>度汛</w:t>
      </w:r>
    </w:p>
    <w:p w14:paraId="1498D79C">
      <w:pPr>
        <w:overflowPunct w:val="0"/>
        <w:topLinePunct/>
        <w:ind w:firstLine="480"/>
        <w:rPr>
          <w:rFonts w:hint="eastAsia" w:eastAsia="宋体"/>
          <w:color w:val="auto"/>
          <w:highlight w:val="none"/>
          <w:lang w:eastAsia="zh-CN"/>
        </w:rPr>
      </w:pPr>
      <w:r>
        <w:rPr>
          <w:color w:val="auto"/>
          <w:highlight w:val="none"/>
        </w:rPr>
        <w:t>A.汛前应按下列要求制定</w:t>
      </w:r>
      <w:r>
        <w:rPr>
          <w:rFonts w:hint="eastAsia"/>
          <w:color w:val="auto"/>
          <w:highlight w:val="none"/>
          <w:lang w:eastAsia="zh-CN"/>
        </w:rPr>
        <w:t>度汛</w:t>
      </w:r>
      <w:r>
        <w:rPr>
          <w:color w:val="auto"/>
          <w:highlight w:val="none"/>
        </w:rPr>
        <w:t>方案</w:t>
      </w:r>
      <w:r>
        <w:rPr>
          <w:rFonts w:hint="eastAsia"/>
          <w:color w:val="auto"/>
          <w:highlight w:val="none"/>
          <w:lang w:eastAsia="zh-CN"/>
        </w:rPr>
        <w:t>。</w:t>
      </w:r>
    </w:p>
    <w:p w14:paraId="3A61E78E">
      <w:pPr>
        <w:overflowPunct w:val="0"/>
        <w:topLinePunct/>
        <w:ind w:firstLine="480"/>
        <w:rPr>
          <w:color w:val="auto"/>
          <w:highlight w:val="none"/>
        </w:rPr>
      </w:pPr>
      <w:r>
        <w:rPr>
          <w:color w:val="auto"/>
          <w:highlight w:val="none"/>
        </w:rPr>
        <w:t>B.对坝体必须进行详细检查和可靠的维护，确保排洪通道畅通。</w:t>
      </w:r>
    </w:p>
    <w:p w14:paraId="3EFCE072">
      <w:pPr>
        <w:overflowPunct w:val="0"/>
        <w:topLinePunct/>
        <w:ind w:firstLine="480"/>
        <w:rPr>
          <w:color w:val="auto"/>
          <w:highlight w:val="none"/>
        </w:rPr>
      </w:pPr>
      <w:r>
        <w:rPr>
          <w:color w:val="auto"/>
          <w:highlight w:val="none"/>
        </w:rPr>
        <w:t>C.应准备好必要的抢险、交通、通讯、供电及照明器材或设施，维护整修上坝道路，并确保安全畅通。</w:t>
      </w:r>
    </w:p>
    <w:p w14:paraId="21CF09B5">
      <w:pPr>
        <w:overflowPunct w:val="0"/>
        <w:topLinePunct/>
        <w:ind w:firstLine="480"/>
        <w:rPr>
          <w:color w:val="auto"/>
          <w:highlight w:val="none"/>
        </w:rPr>
      </w:pPr>
      <w:r>
        <w:rPr>
          <w:color w:val="auto"/>
          <w:highlight w:val="none"/>
        </w:rPr>
        <w:t>D.应了解掌握汛期水情和气象预报。</w:t>
      </w:r>
    </w:p>
    <w:p w14:paraId="4619792E">
      <w:pPr>
        <w:overflowPunct w:val="0"/>
        <w:topLinePunct/>
        <w:ind w:firstLine="480"/>
        <w:rPr>
          <w:color w:val="auto"/>
          <w:highlight w:val="none"/>
        </w:rPr>
      </w:pPr>
      <w:r>
        <w:rPr>
          <w:color w:val="auto"/>
          <w:highlight w:val="none"/>
        </w:rPr>
        <w:t>4）尾矿库渗流控制</w:t>
      </w:r>
    </w:p>
    <w:p w14:paraId="7EA78368">
      <w:pPr>
        <w:overflowPunct w:val="0"/>
        <w:topLinePunct/>
        <w:ind w:firstLine="480"/>
        <w:rPr>
          <w:color w:val="auto"/>
          <w:highlight w:val="none"/>
        </w:rPr>
      </w:pPr>
      <w:r>
        <w:rPr>
          <w:color w:val="auto"/>
          <w:highlight w:val="none"/>
        </w:rPr>
        <w:t>A.应防止坝肩、坝体及坝基出现渗透破坏。</w:t>
      </w:r>
    </w:p>
    <w:p w14:paraId="58B2E750">
      <w:pPr>
        <w:overflowPunct w:val="0"/>
        <w:topLinePunct/>
        <w:ind w:firstLine="480"/>
        <w:rPr>
          <w:color w:val="auto"/>
          <w:highlight w:val="none"/>
        </w:rPr>
      </w:pPr>
      <w:r>
        <w:rPr>
          <w:color w:val="auto"/>
          <w:highlight w:val="none"/>
        </w:rPr>
        <w:t>B.当发现坝体裂缝、坍塌、管涌、渗水量增大或渗透水浑浊等异常情况时，应立即采取处理措施，同时加强观察并报告有关部门。</w:t>
      </w:r>
    </w:p>
    <w:p w14:paraId="588374C9">
      <w:pPr>
        <w:overflowPunct w:val="0"/>
        <w:topLinePunct/>
        <w:ind w:firstLine="480"/>
        <w:rPr>
          <w:color w:val="auto"/>
          <w:highlight w:val="none"/>
        </w:rPr>
      </w:pPr>
      <w:r>
        <w:rPr>
          <w:color w:val="auto"/>
          <w:highlight w:val="none"/>
        </w:rPr>
        <w:t>5）检查和观测</w:t>
      </w:r>
    </w:p>
    <w:p w14:paraId="59CBB2E8">
      <w:pPr>
        <w:overflowPunct w:val="0"/>
        <w:topLinePunct/>
        <w:ind w:firstLine="480"/>
        <w:rPr>
          <w:color w:val="auto"/>
          <w:highlight w:val="none"/>
        </w:rPr>
      </w:pPr>
      <w:r>
        <w:rPr>
          <w:color w:val="auto"/>
          <w:highlight w:val="none"/>
        </w:rPr>
        <w:t>A.尾矿库检查</w:t>
      </w:r>
    </w:p>
    <w:p w14:paraId="4FDCC52A">
      <w:pPr>
        <w:overflowPunct w:val="0"/>
        <w:topLinePunct/>
        <w:ind w:firstLine="480"/>
        <w:rPr>
          <w:color w:val="auto"/>
          <w:highlight w:val="none"/>
        </w:rPr>
      </w:pPr>
      <w:r>
        <w:rPr>
          <w:color w:val="auto"/>
          <w:highlight w:val="none"/>
        </w:rPr>
        <w:t>尾矿库的检查工作可分为经常检查、定期检查、特别检查和安全鉴定：</w:t>
      </w:r>
    </w:p>
    <w:p w14:paraId="653426F8">
      <w:pPr>
        <w:overflowPunct w:val="0"/>
        <w:topLinePunct/>
        <w:ind w:firstLine="480"/>
        <w:rPr>
          <w:color w:val="auto"/>
          <w:highlight w:val="none"/>
        </w:rPr>
      </w:pPr>
      <w:r>
        <w:rPr>
          <w:color w:val="auto"/>
          <w:highlight w:val="none"/>
        </w:rPr>
        <w:t>a.经常检查由基层管理机构组织进行，检查项目可根据各尾矿库的具体情况自行决定。</w:t>
      </w:r>
    </w:p>
    <w:p w14:paraId="77CDEBA2">
      <w:pPr>
        <w:overflowPunct w:val="0"/>
        <w:topLinePunct/>
        <w:ind w:firstLine="480"/>
        <w:rPr>
          <w:color w:val="auto"/>
          <w:highlight w:val="none"/>
        </w:rPr>
      </w:pPr>
      <w:r>
        <w:rPr>
          <w:color w:val="auto"/>
          <w:highlight w:val="none"/>
        </w:rPr>
        <w:t>b.定期检查由上级管理机构组织进行，每年汛前、汛后，应对尾矿库进行全面检查。</w:t>
      </w:r>
    </w:p>
    <w:p w14:paraId="79763EEA">
      <w:pPr>
        <w:overflowPunct w:val="0"/>
        <w:topLinePunct/>
        <w:ind w:firstLine="480"/>
        <w:rPr>
          <w:color w:val="auto"/>
          <w:highlight w:val="none"/>
        </w:rPr>
      </w:pPr>
      <w:r>
        <w:rPr>
          <w:color w:val="auto"/>
          <w:highlight w:val="none"/>
        </w:rPr>
        <w:t>c.特别检查，当发生特大洪水、暴雨、强烈地震及重大事故等非常情况后，基层管理单位应及时组织检查，必要时报上级有关单位会同检查。</w:t>
      </w:r>
    </w:p>
    <w:p w14:paraId="219B57CC">
      <w:pPr>
        <w:overflowPunct w:val="0"/>
        <w:topLinePunct/>
        <w:ind w:firstLine="480"/>
        <w:rPr>
          <w:color w:val="auto"/>
          <w:highlight w:val="none"/>
        </w:rPr>
      </w:pPr>
      <w:r>
        <w:rPr>
          <w:color w:val="auto"/>
          <w:highlight w:val="none"/>
        </w:rPr>
        <w:t>d.安全鉴定：应根据具体情况按现行规范进行一至两次以抗洪、稳定为重点的安全鉴定，以指导后期尾矿库的管理工作。</w:t>
      </w:r>
    </w:p>
    <w:p w14:paraId="24029F99">
      <w:pPr>
        <w:overflowPunct w:val="0"/>
        <w:topLinePunct/>
        <w:ind w:firstLine="480"/>
        <w:rPr>
          <w:color w:val="auto"/>
          <w:highlight w:val="none"/>
        </w:rPr>
      </w:pPr>
      <w:r>
        <w:rPr>
          <w:color w:val="auto"/>
          <w:highlight w:val="none"/>
        </w:rPr>
        <w:t>通过检查尾矿库的实际运行情况可及时掌握</w:t>
      </w:r>
      <w:r>
        <w:rPr>
          <w:rFonts w:hint="eastAsia"/>
          <w:color w:val="auto"/>
          <w:highlight w:val="none"/>
          <w:lang w:eastAsia="zh-CN"/>
        </w:rPr>
        <w:t>拦挡</w:t>
      </w:r>
      <w:r>
        <w:rPr>
          <w:rFonts w:hint="eastAsia"/>
          <w:color w:val="auto"/>
          <w:highlight w:val="none"/>
        </w:rPr>
        <w:t>坝</w:t>
      </w:r>
      <w:r>
        <w:rPr>
          <w:color w:val="auto"/>
          <w:highlight w:val="none"/>
        </w:rPr>
        <w:t>的工作状态，为正确管理、处理事故、维修等提供依据；及时发现不正常的迹象，可分析原因、采取措施，从而防止事故发生。</w:t>
      </w:r>
    </w:p>
    <w:p w14:paraId="48F1D8A2">
      <w:pPr>
        <w:overflowPunct w:val="0"/>
        <w:topLinePunct/>
        <w:ind w:firstLine="480"/>
        <w:rPr>
          <w:color w:val="auto"/>
          <w:highlight w:val="none"/>
        </w:rPr>
      </w:pPr>
      <w:r>
        <w:rPr>
          <w:color w:val="auto"/>
          <w:highlight w:val="none"/>
        </w:rPr>
        <w:t>对尾矿库的检查应按照以下要求具体执行：</w:t>
      </w:r>
    </w:p>
    <w:p w14:paraId="23DBB033">
      <w:pPr>
        <w:overflowPunct w:val="0"/>
        <w:topLinePunct/>
        <w:ind w:firstLine="480"/>
        <w:rPr>
          <w:color w:val="auto"/>
          <w:highlight w:val="none"/>
        </w:rPr>
      </w:pPr>
      <w:r>
        <w:rPr>
          <w:color w:val="auto"/>
          <w:highlight w:val="none"/>
        </w:rPr>
        <w:t>a.当尾矿设施遇到特殊运行情况或遭受严重外界影响时，例如排矿初期，暴风雨、温度聚变或地震等，对工程的薄弱部位和重要部位，应特别仔细检查，如发现对工程安全有严重威胁的情况，必须昼夜连续监视，并采取有效控制措施。</w:t>
      </w:r>
    </w:p>
    <w:p w14:paraId="63DDEBA1">
      <w:pPr>
        <w:overflowPunct w:val="0"/>
        <w:topLinePunct/>
        <w:ind w:firstLine="480"/>
        <w:rPr>
          <w:color w:val="auto"/>
          <w:highlight w:val="none"/>
        </w:rPr>
      </w:pPr>
      <w:r>
        <w:rPr>
          <w:color w:val="auto"/>
          <w:highlight w:val="none"/>
        </w:rPr>
        <w:t>b.对</w:t>
      </w:r>
      <w:r>
        <w:rPr>
          <w:rFonts w:hint="eastAsia"/>
          <w:color w:val="auto"/>
          <w:highlight w:val="none"/>
          <w:lang w:eastAsia="zh-CN"/>
        </w:rPr>
        <w:t>拦挡</w:t>
      </w:r>
      <w:r>
        <w:rPr>
          <w:rFonts w:hint="eastAsia"/>
          <w:color w:val="auto"/>
          <w:highlight w:val="none"/>
        </w:rPr>
        <w:t>坝</w:t>
      </w:r>
      <w:r>
        <w:rPr>
          <w:color w:val="auto"/>
          <w:highlight w:val="none"/>
        </w:rPr>
        <w:t>和其他土工构筑物的检查应注意它们有无裂缝、塌陷、隆起、流土、管涌、滑裂或滑落等现象，坝坡有无冲刷破坏，导渗降压设施是否完好等。</w:t>
      </w:r>
    </w:p>
    <w:p w14:paraId="16288E45">
      <w:pPr>
        <w:overflowPunct w:val="0"/>
        <w:topLinePunct/>
        <w:ind w:firstLine="480"/>
        <w:rPr>
          <w:color w:val="auto"/>
          <w:highlight w:val="none"/>
        </w:rPr>
      </w:pPr>
      <w:r>
        <w:rPr>
          <w:color w:val="auto"/>
          <w:highlight w:val="none"/>
        </w:rPr>
        <w:t>c.对于混凝土构筑物应针对不同工程的结构特点，注意检查结构有无裂缝，表面</w:t>
      </w:r>
      <w:r>
        <w:rPr>
          <w:rFonts w:hint="eastAsia"/>
          <w:color w:val="auto"/>
          <w:highlight w:val="none"/>
          <w:lang w:eastAsia="zh-CN"/>
        </w:rPr>
        <w:t>有无</w:t>
      </w:r>
      <w:r>
        <w:rPr>
          <w:color w:val="auto"/>
          <w:highlight w:val="none"/>
        </w:rPr>
        <w:t>剥蚀、脱落，有无冲刷、渗漏等。</w:t>
      </w:r>
    </w:p>
    <w:p w14:paraId="262C8F52">
      <w:pPr>
        <w:overflowPunct w:val="0"/>
        <w:topLinePunct/>
        <w:ind w:firstLine="480"/>
        <w:rPr>
          <w:color w:val="auto"/>
          <w:highlight w:val="none"/>
        </w:rPr>
      </w:pPr>
      <w:r>
        <w:rPr>
          <w:color w:val="auto"/>
          <w:highlight w:val="none"/>
        </w:rPr>
        <w:t>B.尾矿库观测</w:t>
      </w:r>
    </w:p>
    <w:p w14:paraId="0B3E4313">
      <w:pPr>
        <w:overflowPunct w:val="0"/>
        <w:topLinePunct/>
        <w:ind w:firstLine="480"/>
        <w:rPr>
          <w:color w:val="auto"/>
          <w:highlight w:val="none"/>
        </w:rPr>
      </w:pPr>
      <w:r>
        <w:rPr>
          <w:color w:val="auto"/>
          <w:highlight w:val="none"/>
        </w:rPr>
        <w:t>尾矿库观测应满足下列基本要求：</w:t>
      </w:r>
    </w:p>
    <w:p w14:paraId="60E5BC40">
      <w:pPr>
        <w:overflowPunct w:val="0"/>
        <w:topLinePunct/>
        <w:ind w:firstLine="480"/>
        <w:rPr>
          <w:color w:val="auto"/>
          <w:highlight w:val="none"/>
        </w:rPr>
      </w:pPr>
      <w:r>
        <w:rPr>
          <w:color w:val="auto"/>
          <w:highlight w:val="none"/>
        </w:rPr>
        <w:t>a.尾矿库工程观测必须按设计和管理规定的内容和时间进行全面、系统和连续的观测，相关的观测项目应配合进行。</w:t>
      </w:r>
    </w:p>
    <w:p w14:paraId="5603D568">
      <w:pPr>
        <w:overflowPunct w:val="0"/>
        <w:topLinePunct/>
        <w:ind w:firstLine="480"/>
        <w:rPr>
          <w:color w:val="auto"/>
          <w:highlight w:val="none"/>
        </w:rPr>
      </w:pPr>
      <w:r>
        <w:rPr>
          <w:color w:val="auto"/>
          <w:highlight w:val="none"/>
        </w:rPr>
        <w:t>b.必须保证观测结果准确。</w:t>
      </w:r>
    </w:p>
    <w:p w14:paraId="14E5C354">
      <w:pPr>
        <w:overflowPunct w:val="0"/>
        <w:topLinePunct/>
        <w:ind w:firstLine="480"/>
        <w:rPr>
          <w:color w:val="auto"/>
          <w:highlight w:val="none"/>
        </w:rPr>
      </w:pPr>
      <w:r>
        <w:rPr>
          <w:color w:val="auto"/>
          <w:highlight w:val="none"/>
        </w:rPr>
        <w:t>c.专业技术人员应对观测成果及时进行整编分析、绘制图表，如有异常现象时应进行复测，并根据复测结果提出处理意见。</w:t>
      </w:r>
    </w:p>
    <w:p w14:paraId="0B824C37">
      <w:pPr>
        <w:overflowPunct w:val="0"/>
        <w:topLinePunct/>
        <w:ind w:firstLine="480"/>
        <w:rPr>
          <w:color w:val="auto"/>
          <w:highlight w:val="none"/>
        </w:rPr>
      </w:pPr>
      <w:r>
        <w:rPr>
          <w:color w:val="auto"/>
          <w:highlight w:val="none"/>
        </w:rPr>
        <w:t>d.尾矿设施的观测项目应根据运行要求、结构物特点、工程规模和技术水平等实际情况确定。</w:t>
      </w:r>
    </w:p>
    <w:p w14:paraId="2A1BB5D5">
      <w:pPr>
        <w:overflowPunct w:val="0"/>
        <w:topLinePunct/>
        <w:ind w:firstLine="480"/>
        <w:rPr>
          <w:color w:val="auto"/>
          <w:highlight w:val="none"/>
        </w:rPr>
      </w:pPr>
      <w:r>
        <w:rPr>
          <w:color w:val="auto"/>
          <w:highlight w:val="none"/>
        </w:rPr>
        <w:t>e.检查观测都应详细记录，交给专业技术人员审阅分析后存档。</w:t>
      </w:r>
    </w:p>
    <w:p w14:paraId="32F3D577">
      <w:pPr>
        <w:overflowPunct w:val="0"/>
        <w:topLinePunct/>
        <w:ind w:firstLine="480"/>
        <w:rPr>
          <w:color w:val="auto"/>
          <w:highlight w:val="none"/>
        </w:rPr>
      </w:pPr>
      <w:r>
        <w:rPr>
          <w:color w:val="auto"/>
          <w:highlight w:val="none"/>
        </w:rPr>
        <w:t>f.定期检查、特别检查和安全鉴定的技术文件，观测结果的分析意见和主要参数，都应形成书面报告，除本单位存档外，同时报上级主管部门和监督站。</w:t>
      </w:r>
    </w:p>
    <w:p w14:paraId="70F02E6E">
      <w:pPr>
        <w:overflowPunct w:val="0"/>
        <w:topLinePunct/>
        <w:ind w:firstLine="480"/>
        <w:rPr>
          <w:color w:val="auto"/>
          <w:highlight w:val="none"/>
        </w:rPr>
      </w:pPr>
      <w:r>
        <w:rPr>
          <w:color w:val="auto"/>
          <w:highlight w:val="none"/>
        </w:rPr>
        <w:t>6）抗震</w:t>
      </w:r>
    </w:p>
    <w:p w14:paraId="738F9861">
      <w:pPr>
        <w:overflowPunct w:val="0"/>
        <w:topLinePunct/>
        <w:ind w:firstLine="480"/>
        <w:rPr>
          <w:color w:val="auto"/>
          <w:highlight w:val="none"/>
        </w:rPr>
      </w:pPr>
      <w:r>
        <w:rPr>
          <w:color w:val="auto"/>
          <w:highlight w:val="none"/>
        </w:rPr>
        <w:t>抗震工作应贯彻预防为主的方针。当接到震情预防时，应根据实际情况做出防震、抗震技术和安排，其内容应包括：</w:t>
      </w:r>
    </w:p>
    <w:p w14:paraId="3331CA48">
      <w:pPr>
        <w:overflowPunct w:val="0"/>
        <w:topLinePunct/>
        <w:ind w:firstLine="480"/>
        <w:rPr>
          <w:color w:val="auto"/>
          <w:highlight w:val="none"/>
        </w:rPr>
      </w:pPr>
      <w:r>
        <w:rPr>
          <w:color w:val="auto"/>
          <w:highlight w:val="none"/>
        </w:rPr>
        <w:t>A.按照设计文件的要求进行尾矿库抗震检查，根据检查结果，采取预防措施。</w:t>
      </w:r>
    </w:p>
    <w:p w14:paraId="67E67B0B">
      <w:pPr>
        <w:overflowPunct w:val="0"/>
        <w:topLinePunct/>
        <w:ind w:firstLine="480"/>
        <w:rPr>
          <w:color w:val="auto"/>
          <w:highlight w:val="none"/>
        </w:rPr>
      </w:pPr>
      <w:r>
        <w:rPr>
          <w:color w:val="auto"/>
          <w:highlight w:val="none"/>
        </w:rPr>
        <w:t>B.做好人员组织、物资、交通、通讯、照明、报警、抢险和救护等各项抗震准备工作，同时加强震前值班、巡坝工作。</w:t>
      </w:r>
    </w:p>
    <w:p w14:paraId="57CD3068">
      <w:pPr>
        <w:overflowPunct w:val="0"/>
        <w:topLinePunct/>
        <w:ind w:firstLine="480"/>
        <w:rPr>
          <w:color w:val="auto"/>
          <w:highlight w:val="none"/>
        </w:rPr>
      </w:pPr>
      <w:r>
        <w:rPr>
          <w:color w:val="auto"/>
          <w:highlight w:val="none"/>
        </w:rPr>
        <w:t>项目在实际运行的过程中应同时加强尾矿输送过程的管理，定期对管道进行检查，发现问题及时解决，防止由于管道磨损或破裂造成尾矿泄漏。</w:t>
      </w:r>
    </w:p>
    <w:p w14:paraId="4F3B48DD">
      <w:pPr>
        <w:overflowPunct w:val="0"/>
        <w:topLinePunct/>
        <w:ind w:firstLine="480"/>
        <w:rPr>
          <w:color w:val="auto"/>
          <w:highlight w:val="none"/>
        </w:rPr>
      </w:pPr>
      <w:r>
        <w:rPr>
          <w:color w:val="auto"/>
          <w:highlight w:val="none"/>
        </w:rPr>
        <w:t>7）</w:t>
      </w:r>
      <w:r>
        <w:rPr>
          <w:rFonts w:hint="eastAsia"/>
          <w:color w:val="auto"/>
          <w:highlight w:val="none"/>
          <w:lang w:eastAsia="zh-CN"/>
        </w:rPr>
        <w:t>管道</w:t>
      </w:r>
      <w:r>
        <w:rPr>
          <w:color w:val="auto"/>
          <w:highlight w:val="none"/>
        </w:rPr>
        <w:t>堵塞的防范措施</w:t>
      </w:r>
    </w:p>
    <w:p w14:paraId="37383ABE">
      <w:pPr>
        <w:overflowPunct w:val="0"/>
        <w:topLinePunct/>
        <w:ind w:firstLine="480"/>
        <w:rPr>
          <w:color w:val="auto"/>
          <w:highlight w:val="none"/>
        </w:rPr>
      </w:pPr>
      <w:r>
        <w:rPr>
          <w:rFonts w:hint="eastAsia" w:ascii="宋体" w:hAnsi="宋体" w:cs="宋体"/>
          <w:color w:val="auto"/>
          <w:highlight w:val="none"/>
        </w:rPr>
        <w:t>①</w:t>
      </w:r>
      <w:r>
        <w:rPr>
          <w:color w:val="auto"/>
          <w:highlight w:val="none"/>
        </w:rPr>
        <w:t>加强排洪</w:t>
      </w:r>
      <w:r>
        <w:rPr>
          <w:rFonts w:hint="eastAsia"/>
          <w:color w:val="auto"/>
          <w:highlight w:val="none"/>
          <w:lang w:eastAsia="zh-CN"/>
        </w:rPr>
        <w:t>管道</w:t>
      </w:r>
      <w:r>
        <w:rPr>
          <w:color w:val="auto"/>
          <w:highlight w:val="none"/>
        </w:rPr>
        <w:t>的日常巡查，防止堵塞导致废水溢流。一旦出现废水溢流现象，立即组织抢险队伍进行抢险，并做好安全警示工作；并加强进水口杂物的清理工作，避免导流</w:t>
      </w:r>
      <w:r>
        <w:rPr>
          <w:rFonts w:hint="eastAsia"/>
          <w:color w:val="auto"/>
          <w:highlight w:val="none"/>
          <w:lang w:eastAsia="zh-CN"/>
        </w:rPr>
        <w:t>管道</w:t>
      </w:r>
      <w:r>
        <w:rPr>
          <w:color w:val="auto"/>
          <w:highlight w:val="none"/>
        </w:rPr>
        <w:t>入口堵塞，保证排水通畅；</w:t>
      </w:r>
    </w:p>
    <w:p w14:paraId="00409B4F">
      <w:pPr>
        <w:overflowPunct w:val="0"/>
        <w:topLinePunct/>
        <w:ind w:firstLine="480"/>
        <w:rPr>
          <w:rFonts w:hint="eastAsia" w:eastAsia="宋体"/>
          <w:color w:val="auto"/>
          <w:highlight w:val="none"/>
          <w:lang w:eastAsia="zh-CN"/>
        </w:rPr>
      </w:pPr>
      <w:r>
        <w:rPr>
          <w:rFonts w:hint="eastAsia" w:ascii="宋体" w:hAnsi="宋体" w:cs="宋体"/>
          <w:color w:val="auto"/>
          <w:highlight w:val="none"/>
        </w:rPr>
        <w:t>②</w:t>
      </w:r>
      <w:r>
        <w:rPr>
          <w:color w:val="auto"/>
          <w:highlight w:val="none"/>
        </w:rPr>
        <w:t>定期检查水流是否正常、导流</w:t>
      </w:r>
      <w:r>
        <w:rPr>
          <w:rFonts w:hint="eastAsia"/>
          <w:color w:val="auto"/>
          <w:highlight w:val="none"/>
          <w:lang w:eastAsia="zh-CN"/>
        </w:rPr>
        <w:t>管道</w:t>
      </w:r>
      <w:r>
        <w:rPr>
          <w:color w:val="auto"/>
          <w:highlight w:val="none"/>
        </w:rPr>
        <w:t>上是否有过重荷载、是否有违章</w:t>
      </w:r>
      <w:r>
        <w:rPr>
          <w:rFonts w:hint="eastAsia"/>
          <w:color w:val="auto"/>
          <w:highlight w:val="none"/>
          <w:lang w:eastAsia="zh-CN"/>
        </w:rPr>
        <w:t>接入</w:t>
      </w:r>
      <w:r>
        <w:rPr>
          <w:color w:val="auto"/>
          <w:highlight w:val="none"/>
        </w:rPr>
        <w:t>管线等情况</w:t>
      </w:r>
      <w:r>
        <w:rPr>
          <w:rFonts w:hint="eastAsia"/>
          <w:color w:val="auto"/>
          <w:highlight w:val="none"/>
          <w:lang w:eastAsia="zh-CN"/>
        </w:rPr>
        <w:t>。</w:t>
      </w:r>
    </w:p>
    <w:p w14:paraId="78E10C24">
      <w:pPr>
        <w:overflowPunct w:val="0"/>
        <w:topLinePunct/>
        <w:ind w:firstLine="480"/>
        <w:rPr>
          <w:color w:val="auto"/>
          <w:highlight w:val="none"/>
        </w:rPr>
      </w:pPr>
      <w:r>
        <w:rPr>
          <w:color w:val="auto"/>
          <w:highlight w:val="none"/>
        </w:rPr>
        <w:t>8）尾矿库服务期满</w:t>
      </w:r>
    </w:p>
    <w:p w14:paraId="1A4EDB73">
      <w:pPr>
        <w:overflowPunct w:val="0"/>
        <w:topLinePunct/>
        <w:spacing w:line="480" w:lineRule="exact"/>
        <w:ind w:firstLine="480"/>
        <w:rPr>
          <w:rFonts w:cs="Times New Roman"/>
          <w:color w:val="auto"/>
          <w:highlight w:val="none"/>
        </w:rPr>
      </w:pPr>
      <w:r>
        <w:rPr>
          <w:rFonts w:hint="eastAsia" w:ascii="宋体" w:hAnsi="宋体"/>
          <w:color w:val="auto"/>
          <w:highlight w:val="none"/>
        </w:rPr>
        <w:t>①</w:t>
      </w:r>
      <w:r>
        <w:rPr>
          <w:rFonts w:cs="Times New Roman"/>
          <w:color w:val="auto"/>
          <w:highlight w:val="none"/>
        </w:rPr>
        <w:t>建设单位在尾矿库停止使用后必须进行处置，保证不污染环境，消除污染事故隐患。对尾矿库的环境污染防治设施、生态保护工程进行闭库验收，验收时应对尾矿库中的尾砂进行环境达标监测。关闭尾矿环保设施必须经企业主管部门报</w:t>
      </w:r>
      <w:r>
        <w:rPr>
          <w:rFonts w:hint="eastAsia" w:ascii="Times New Roman" w:hAnsi="Times New Roman"/>
          <w:color w:val="auto"/>
          <w:highlight w:val="none"/>
          <w:lang w:eastAsia="zh-CN"/>
        </w:rPr>
        <w:t>生态环境</w:t>
      </w:r>
      <w:r>
        <w:rPr>
          <w:rFonts w:ascii="Times New Roman" w:hAnsi="Times New Roman"/>
          <w:color w:val="auto"/>
          <w:highlight w:val="none"/>
        </w:rPr>
        <w:t>行政</w:t>
      </w:r>
      <w:r>
        <w:rPr>
          <w:rFonts w:hint="eastAsia" w:ascii="Times New Roman" w:hAnsi="Times New Roman"/>
          <w:color w:val="auto"/>
          <w:highlight w:val="none"/>
          <w:lang w:eastAsia="zh-CN"/>
        </w:rPr>
        <w:t>主管</w:t>
      </w:r>
      <w:r>
        <w:rPr>
          <w:rFonts w:ascii="Times New Roman" w:hAnsi="Times New Roman"/>
          <w:color w:val="auto"/>
          <w:highlight w:val="none"/>
        </w:rPr>
        <w:t>部门</w:t>
      </w:r>
      <w:r>
        <w:rPr>
          <w:rFonts w:cs="Times New Roman"/>
          <w:color w:val="auto"/>
          <w:highlight w:val="none"/>
        </w:rPr>
        <w:t>验收、批准。经验收移交后的尾矿设施其污染防治由接收单位负责。利用处置过的环保设施，需经</w:t>
      </w:r>
      <w:r>
        <w:rPr>
          <w:rFonts w:hint="eastAsia" w:cs="Times New Roman"/>
          <w:color w:val="auto"/>
          <w:highlight w:val="none"/>
          <w:lang w:eastAsia="zh-CN"/>
        </w:rPr>
        <w:t>州</w:t>
      </w:r>
      <w:r>
        <w:rPr>
          <w:rFonts w:cs="Times New Roman"/>
          <w:color w:val="auto"/>
          <w:highlight w:val="none"/>
        </w:rPr>
        <w:t>、县生态环境行政部门批准，并报</w:t>
      </w:r>
      <w:r>
        <w:rPr>
          <w:rFonts w:hint="eastAsia" w:cs="Times New Roman"/>
          <w:color w:val="auto"/>
          <w:highlight w:val="none"/>
          <w:lang w:eastAsia="zh-CN"/>
        </w:rPr>
        <w:t>自治区</w:t>
      </w:r>
      <w:r>
        <w:rPr>
          <w:rFonts w:cs="Times New Roman"/>
          <w:color w:val="auto"/>
          <w:highlight w:val="none"/>
        </w:rPr>
        <w:t>生态环境行政部门备案。</w:t>
      </w:r>
    </w:p>
    <w:p w14:paraId="55A51893">
      <w:pPr>
        <w:overflowPunct w:val="0"/>
        <w:topLinePunct/>
        <w:spacing w:line="480" w:lineRule="exact"/>
        <w:ind w:firstLine="480"/>
        <w:rPr>
          <w:rFonts w:cs="Times New Roman"/>
          <w:color w:val="auto"/>
          <w:highlight w:val="none"/>
        </w:rPr>
      </w:pPr>
      <w:r>
        <w:rPr>
          <w:rFonts w:hint="eastAsia" w:ascii="宋体" w:hAnsi="宋体"/>
          <w:color w:val="auto"/>
          <w:highlight w:val="none"/>
        </w:rPr>
        <w:t>②</w:t>
      </w:r>
      <w:r>
        <w:rPr>
          <w:rFonts w:cs="Times New Roman"/>
          <w:color w:val="auto"/>
          <w:highlight w:val="none"/>
        </w:rPr>
        <w:t>尾矿库使用到最终设计高程时，选矿厂应停止生产并进行闭库设计，做好闭库后尾矿库的管理工作。建设单位应当根据尾矿库设计资料，在尾矿库闭库前1年，委托具有相应资质的设计单位进行尾矿库闭库设计。</w:t>
      </w:r>
    </w:p>
    <w:p w14:paraId="7A89F7D6">
      <w:pPr>
        <w:overflowPunct w:val="0"/>
        <w:topLinePunct/>
        <w:spacing w:line="480" w:lineRule="exact"/>
        <w:ind w:firstLine="480"/>
        <w:rPr>
          <w:rFonts w:cs="Times New Roman"/>
          <w:color w:val="auto"/>
          <w:highlight w:val="none"/>
        </w:rPr>
      </w:pPr>
      <w:r>
        <w:rPr>
          <w:rFonts w:cs="Times New Roman"/>
          <w:color w:val="auto"/>
          <w:highlight w:val="none"/>
        </w:rPr>
        <w:t>（</w:t>
      </w:r>
      <w:r>
        <w:rPr>
          <w:rFonts w:hint="eastAsia" w:cs="Times New Roman"/>
          <w:color w:val="auto"/>
          <w:highlight w:val="none"/>
          <w:lang w:val="en-US" w:eastAsia="zh-CN"/>
        </w:rPr>
        <w:t>6</w:t>
      </w:r>
      <w:r>
        <w:rPr>
          <w:rFonts w:cs="Times New Roman"/>
          <w:color w:val="auto"/>
          <w:highlight w:val="none"/>
        </w:rPr>
        <w:t>）</w:t>
      </w:r>
      <w:r>
        <w:rPr>
          <w:rFonts w:hint="default" w:cs="Times New Roman"/>
          <w:color w:val="auto"/>
          <w:highlight w:val="none"/>
          <w:lang w:val="en-US" w:eastAsia="zh-CN"/>
        </w:rPr>
        <w:t>油品储存罐风险预防措施</w:t>
      </w:r>
    </w:p>
    <w:p w14:paraId="0111614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highlight w:val="none"/>
        </w:rPr>
      </w:pPr>
      <w:r>
        <w:rPr>
          <w:rFonts w:hint="eastAsia" w:ascii="宋体" w:hAnsi="宋体"/>
          <w:color w:val="auto"/>
          <w:highlight w:val="none"/>
        </w:rPr>
        <w:t>①</w:t>
      </w:r>
      <w:r>
        <w:rPr>
          <w:rFonts w:hint="default" w:ascii="Times New Roman" w:hAnsi="Times New Roman" w:eastAsia="宋体" w:cs="Times New Roman"/>
          <w:color w:val="auto"/>
          <w:highlight w:val="none"/>
        </w:rPr>
        <w:t>做好油罐防渗漏措施。可采用玻璃钢防腐防渗技术，对储油罐内外表面、防油堤的内表面、油罐区地面、输油管线外表面做</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六胶两布</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防渗防腐处理。</w:t>
      </w:r>
    </w:p>
    <w:p w14:paraId="582FA9F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highlight w:val="none"/>
        </w:rPr>
      </w:pPr>
      <w:r>
        <w:rPr>
          <w:rFonts w:hint="eastAsia" w:ascii="宋体" w:hAnsi="宋体"/>
          <w:color w:val="auto"/>
          <w:highlight w:val="none"/>
        </w:rPr>
        <w:t>②</w:t>
      </w:r>
      <w:r>
        <w:rPr>
          <w:rFonts w:hint="default" w:ascii="Times New Roman" w:hAnsi="Times New Roman" w:eastAsia="宋体" w:cs="Times New Roman"/>
          <w:color w:val="auto"/>
          <w:highlight w:val="none"/>
        </w:rPr>
        <w:t>储油罐周围设计防渗漏检查通道，为及时发现油罐渗漏提供条件，防止成品油泄漏造成大面积的地下水污染。</w:t>
      </w:r>
    </w:p>
    <w:p w14:paraId="620C9CD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highlight w:val="none"/>
        </w:rPr>
      </w:pPr>
      <w:r>
        <w:rPr>
          <w:rFonts w:hint="eastAsia" w:ascii="宋体" w:hAnsi="宋体"/>
          <w:color w:val="auto"/>
          <w:highlight w:val="none"/>
        </w:rPr>
        <w:t>③</w:t>
      </w:r>
      <w:r>
        <w:rPr>
          <w:rFonts w:hint="default" w:ascii="Times New Roman" w:hAnsi="Times New Roman" w:eastAsia="宋体" w:cs="Times New Roman"/>
          <w:color w:val="auto"/>
          <w:highlight w:val="none"/>
        </w:rPr>
        <w:t>在储油罐周围修建防油</w:t>
      </w:r>
      <w:r>
        <w:rPr>
          <w:rFonts w:hint="eastAsia" w:ascii="Times New Roman" w:hAnsi="Times New Roman" w:eastAsia="宋体" w:cs="Times New Roman"/>
          <w:color w:val="auto"/>
          <w:highlight w:val="none"/>
          <w:lang w:eastAsia="zh-CN"/>
        </w:rPr>
        <w:t>围挡</w:t>
      </w:r>
      <w:r>
        <w:rPr>
          <w:rFonts w:hint="default" w:ascii="Times New Roman" w:hAnsi="Times New Roman" w:eastAsia="宋体" w:cs="Times New Roman"/>
          <w:color w:val="auto"/>
          <w:highlight w:val="none"/>
        </w:rPr>
        <w:t>，防止成品油意外事故渗漏造成大面积的环境污染。</w:t>
      </w:r>
    </w:p>
    <w:p w14:paraId="14F9444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highlight w:val="none"/>
        </w:rPr>
      </w:pPr>
      <w:r>
        <w:rPr>
          <w:rFonts w:hint="eastAsia" w:ascii="宋体" w:hAnsi="宋体"/>
          <w:color w:val="auto"/>
          <w:highlight w:val="none"/>
        </w:rPr>
        <w:t>④</w:t>
      </w:r>
      <w:r>
        <w:rPr>
          <w:rFonts w:hint="default" w:ascii="Times New Roman" w:hAnsi="Times New Roman" w:eastAsia="宋体" w:cs="Times New Roman"/>
          <w:color w:val="auto"/>
          <w:highlight w:val="none"/>
        </w:rPr>
        <w:t>建立事故管理和应急计划，设立厂内急救指挥小组，并和当地有关化学事故急救部门建立正常的定期联系。</w:t>
      </w:r>
    </w:p>
    <w:p w14:paraId="5E1E439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highlight w:val="none"/>
        </w:rPr>
      </w:pPr>
      <w:r>
        <w:rPr>
          <w:rFonts w:hint="eastAsia" w:ascii="宋体" w:hAnsi="宋体"/>
          <w:color w:val="auto"/>
          <w:highlight w:val="none"/>
        </w:rPr>
        <w:t>⑤</w:t>
      </w:r>
      <w:r>
        <w:rPr>
          <w:rFonts w:hint="default" w:ascii="Times New Roman" w:hAnsi="Times New Roman" w:eastAsia="宋体" w:cs="Times New Roman"/>
          <w:color w:val="auto"/>
          <w:highlight w:val="none"/>
        </w:rPr>
        <w:t>备有一定数量灭火器材并保持有效状态以及防毒面具等气防设备。</w:t>
      </w:r>
    </w:p>
    <w:p w14:paraId="7EB8102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6 \* GB3 \* MERGEFORMAT </w:instrText>
      </w:r>
      <w:r>
        <w:rPr>
          <w:rFonts w:hint="default" w:ascii="Times New Roman" w:hAnsi="Times New Roman" w:eastAsia="宋体" w:cs="Times New Roman"/>
          <w:color w:val="auto"/>
          <w:highlight w:val="none"/>
        </w:rPr>
        <w:fldChar w:fldCharType="separate"/>
      </w:r>
      <w:r>
        <w:rPr>
          <w:color w:val="auto"/>
          <w:highlight w:val="none"/>
        </w:rPr>
        <w:t>⑥</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加强设备（包括各种安全仪表）的维修、保养，杜绝由于设备劳损、折旧带来的事故隐患。</w:t>
      </w:r>
    </w:p>
    <w:p w14:paraId="2EE96131">
      <w:pPr>
        <w:overflowPunct w:val="0"/>
        <w:topLinePunct/>
        <w:spacing w:line="480" w:lineRule="exact"/>
        <w:ind w:firstLine="480"/>
        <w:rPr>
          <w:rFonts w:cs="Times New Roman"/>
          <w:color w:val="auto"/>
          <w:highlight w:val="none"/>
        </w:rPr>
      </w:pP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7 \* GB3 \* MERGEFORMAT </w:instrText>
      </w:r>
      <w:r>
        <w:rPr>
          <w:rFonts w:hint="default" w:ascii="Times New Roman" w:hAnsi="Times New Roman" w:eastAsia="宋体" w:cs="Times New Roman"/>
          <w:color w:val="auto"/>
          <w:highlight w:val="none"/>
        </w:rPr>
        <w:fldChar w:fldCharType="separate"/>
      </w:r>
      <w:r>
        <w:rPr>
          <w:color w:val="auto"/>
          <w:highlight w:val="none"/>
        </w:rPr>
        <w:t>⑦</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加强对职工的教育培训，实行上岗证制度，增强职工风险意识，提高事故自救能力，制定和强化各种安全管理、安全生产的规程，减少人为风险事故（如误操作）的发生。</w:t>
      </w:r>
    </w:p>
    <w:p w14:paraId="6DF63660">
      <w:pPr>
        <w:overflowPunct w:val="0"/>
        <w:topLinePunct/>
        <w:spacing w:line="480" w:lineRule="exact"/>
        <w:ind w:firstLine="480"/>
        <w:rPr>
          <w:rFonts w:cs="Times New Roman"/>
          <w:color w:val="auto"/>
          <w:highlight w:val="none"/>
        </w:rPr>
      </w:pPr>
      <w:r>
        <w:rPr>
          <w:rFonts w:cs="Times New Roman"/>
          <w:color w:val="auto"/>
          <w:highlight w:val="none"/>
        </w:rPr>
        <w:t>（</w:t>
      </w:r>
      <w:r>
        <w:rPr>
          <w:rFonts w:hint="eastAsia" w:cs="Times New Roman"/>
          <w:color w:val="auto"/>
          <w:highlight w:val="none"/>
          <w:lang w:val="en-US" w:eastAsia="zh-CN"/>
        </w:rPr>
        <w:t>7</w:t>
      </w:r>
      <w:r>
        <w:rPr>
          <w:rFonts w:cs="Times New Roman"/>
          <w:color w:val="auto"/>
          <w:highlight w:val="none"/>
        </w:rPr>
        <w:t>）</w:t>
      </w:r>
      <w:r>
        <w:rPr>
          <w:rFonts w:hint="eastAsia" w:cs="Times New Roman"/>
          <w:color w:val="auto"/>
          <w:highlight w:val="none"/>
          <w:lang w:val="en-US" w:eastAsia="zh-CN"/>
        </w:rPr>
        <w:t>危险废物</w:t>
      </w:r>
      <w:r>
        <w:rPr>
          <w:rFonts w:hint="default" w:ascii="Times New Roman" w:hAnsi="Times New Roman" w:eastAsia="宋体" w:cs="Times New Roman"/>
          <w:color w:val="auto"/>
          <w:kern w:val="0"/>
          <w:sz w:val="24"/>
          <w:szCs w:val="24"/>
          <w:highlight w:val="none"/>
          <w:lang w:val="en-US" w:eastAsia="zh-CN"/>
        </w:rPr>
        <w:t>暂存污染防控和管理措施</w:t>
      </w:r>
    </w:p>
    <w:p w14:paraId="04FFBD3E">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1）危险废物的产生与收集</w:t>
      </w:r>
    </w:p>
    <w:p w14:paraId="1FA8F584">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危险废物在收集时，按《危险废物收集贮存运输技术规范》（HJ2025-2012）要求，根据危险废物的性质和形态，采用相应材质、容器进行安全包装，并在包装的明显位置附上危险废物标签。通过严格检查，严防在装载、搬迁或运输中出现渗漏、溢出、抛洒或挥发等不利情况。危险废物的收集过程应该以无害化的方式运行，收集过</w:t>
      </w:r>
      <w:r>
        <w:rPr>
          <w:rFonts w:hint="eastAsia" w:ascii="Times New Roman" w:hAnsi="Times New Roman" w:eastAsia="宋体" w:cs="Times New Roman"/>
          <w:color w:val="auto"/>
          <w:sz w:val="24"/>
          <w:szCs w:val="32"/>
          <w:highlight w:val="none"/>
          <w:lang w:eastAsia="zh-CN"/>
        </w:rPr>
        <w:t>程中</w:t>
      </w:r>
      <w:r>
        <w:rPr>
          <w:rFonts w:hint="default" w:ascii="Times New Roman" w:hAnsi="Times New Roman" w:eastAsia="宋体" w:cs="Times New Roman"/>
          <w:color w:val="auto"/>
          <w:sz w:val="24"/>
          <w:szCs w:val="32"/>
          <w:highlight w:val="none"/>
        </w:rPr>
        <w:t>采取以下防治措施，避免可能引起人身和环境危害事故的发生：</w:t>
      </w:r>
    </w:p>
    <w:p w14:paraId="78385DDF">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①危险废物收集和运输人员应配备必要的个人防护装备，如手套、防护镜、防护服、防毒面具或口罩等，防止收集和运输过程对人体健康可能存在的潜在影响；</w:t>
      </w:r>
    </w:p>
    <w:p w14:paraId="42C3B666">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②危险废物运输前，应进行合理包装，防止运输过</w:t>
      </w:r>
      <w:r>
        <w:rPr>
          <w:rFonts w:hint="eastAsia" w:ascii="Times New Roman" w:hAnsi="Times New Roman" w:eastAsia="宋体" w:cs="Times New Roman"/>
          <w:color w:val="auto"/>
          <w:sz w:val="24"/>
          <w:szCs w:val="32"/>
          <w:highlight w:val="none"/>
          <w:lang w:eastAsia="zh-CN"/>
        </w:rPr>
        <w:t>程中</w:t>
      </w:r>
      <w:r>
        <w:rPr>
          <w:rFonts w:hint="default" w:ascii="Times New Roman" w:hAnsi="Times New Roman" w:eastAsia="宋体" w:cs="Times New Roman"/>
          <w:color w:val="auto"/>
          <w:sz w:val="24"/>
          <w:szCs w:val="32"/>
          <w:highlight w:val="none"/>
        </w:rPr>
        <w:t>出现泄漏；</w:t>
      </w:r>
    </w:p>
    <w:p w14:paraId="731B46B6">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③废变压器油有渗漏或泄漏的，其渗漏或泄漏液应储存在密闭的、与危废相容的容器中。</w:t>
      </w:r>
    </w:p>
    <w:p w14:paraId="3CFB8839">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①危险废物单独分类收集、存放管理。废变压器油用专用标准铁桶贮存；对危险废物的容器或包装物以及收集、贮存、运输危险废物的设施、场所，必须设置危险废物醒目的警示标志。危险废物盛装容器上粘贴清晰易辨的标签，储罐上应粘贴危险废物标识标签，并注明危险废物的来源、数量等。</w:t>
      </w:r>
    </w:p>
    <w:p w14:paraId="4363E0E1">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②对危险废物的出入流动做好记录；</w:t>
      </w:r>
    </w:p>
    <w:p w14:paraId="7E87C440">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③危险废物容器之间留有间隔和搬运通道；</w:t>
      </w:r>
    </w:p>
    <w:p w14:paraId="1B8E1E5D">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④配备消防设备和报警装置。</w:t>
      </w:r>
    </w:p>
    <w:p w14:paraId="52575BD2">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3）危险废物的转移及运输</w:t>
      </w:r>
    </w:p>
    <w:p w14:paraId="4F80A672">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危险废物自</w:t>
      </w:r>
      <w:r>
        <w:rPr>
          <w:rFonts w:hint="eastAsia" w:cs="Times New Roman"/>
          <w:color w:val="auto"/>
          <w:sz w:val="24"/>
          <w:szCs w:val="32"/>
          <w:highlight w:val="none"/>
          <w:lang w:val="en-US" w:eastAsia="zh-CN"/>
        </w:rPr>
        <w:t>贮存库</w:t>
      </w:r>
      <w:r>
        <w:rPr>
          <w:rFonts w:hint="default" w:ascii="Times New Roman" w:hAnsi="Times New Roman" w:eastAsia="宋体" w:cs="Times New Roman"/>
          <w:color w:val="auto"/>
          <w:sz w:val="24"/>
          <w:szCs w:val="32"/>
          <w:highlight w:val="none"/>
        </w:rPr>
        <w:t>外运至有危废处置资质的单位进行处置，整个运输过程由具备危险废物运输资质的运输单位承担，危废转运过程对环境影响不大。</w:t>
      </w:r>
    </w:p>
    <w:p w14:paraId="47572553">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危险废物转移严格按照《危险废物收集贮存运输技术规范》（HJ2025-2012）及《危险废物转移管理办法》（生态环境部、公安部、交通运输部令 第23号）执行。危险废物厂区内部转运应综合考虑厂区情况避开办公区，采用专用的工具，内部转运结束后应对转运路线进行检查和清理确保无危险废物遗失在转运路线并进行记录。危险废物公路运输应按照《道路危险货物运输管理规定》（</w:t>
      </w:r>
      <w:r>
        <w:rPr>
          <w:rFonts w:hint="eastAsia" w:ascii="Times New Roman" w:hAnsi="Times New Roman" w:eastAsia="宋体" w:cs="Times New Roman"/>
          <w:color w:val="auto"/>
          <w:sz w:val="24"/>
          <w:szCs w:val="32"/>
          <w:highlight w:val="none"/>
          <w:lang w:eastAsia="zh-CN"/>
        </w:rPr>
        <w:t>交通运输部</w:t>
      </w:r>
      <w:r>
        <w:rPr>
          <w:rFonts w:hint="default" w:ascii="Times New Roman" w:hAnsi="Times New Roman" w:eastAsia="宋体" w:cs="Times New Roman"/>
          <w:color w:val="auto"/>
          <w:sz w:val="24"/>
          <w:szCs w:val="32"/>
          <w:highlight w:val="none"/>
        </w:rPr>
        <w:t>令〔2016年〕第36号）执行。</w:t>
      </w:r>
    </w:p>
    <w:p w14:paraId="64A6803E">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eastAsia" w:ascii="Times New Roman" w:hAnsi="Times New Roman" w:eastAsia="宋体" w:cs="Times New Roman"/>
          <w:color w:val="auto"/>
          <w:sz w:val="24"/>
          <w:szCs w:val="32"/>
          <w:highlight w:val="none"/>
          <w:lang w:eastAsia="zh-CN"/>
        </w:rPr>
        <w:t>对</w:t>
      </w:r>
      <w:r>
        <w:rPr>
          <w:rFonts w:hint="default" w:ascii="Times New Roman" w:hAnsi="Times New Roman" w:eastAsia="宋体" w:cs="Times New Roman"/>
          <w:color w:val="auto"/>
          <w:sz w:val="24"/>
          <w:szCs w:val="32"/>
          <w:highlight w:val="none"/>
        </w:rPr>
        <w:t>危险废物的运输要求如下：</w:t>
      </w:r>
    </w:p>
    <w:p w14:paraId="3B1105F5">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①运输危险废物的运输车辆应按《道路运输危险货物车辆标志》（GB13392-2005）的规定悬挂相应标志。</w:t>
      </w:r>
    </w:p>
    <w:p w14:paraId="49FB634C">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②专用车辆应当配备符合有关国家标准以及与所载运的危险货物相适应的应急处理器材和安全防护设备。</w:t>
      </w:r>
    </w:p>
    <w:p w14:paraId="54D846A9">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③运输车辆在公路上行驶应持有通行证。其上应证明废物的来源、性质、运往地点，必要时须有单位人员负责押运工作。</w:t>
      </w:r>
    </w:p>
    <w:p w14:paraId="6A4433C8">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④运输公司应制定详细的运输方案及路线，并制定事故应急预案，配备事故应急及个人防护设备，以保证在收集、运输过程中发生事故时能有效地减少以防止对环境的污染。</w:t>
      </w:r>
    </w:p>
    <w:p w14:paraId="1FC7D6C9">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⑤运输时应采取有效的包装措施，以防止有害成分的泄漏污染。</w:t>
      </w:r>
    </w:p>
    <w:p w14:paraId="0EF5112E">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⑥运输车辆驾驶员和押运人员需持有“道路危险货物运输资格证”，必须经过危险废物和应急救援方面的培训，包括防火、防泄漏以及应急联络等。</w:t>
      </w:r>
    </w:p>
    <w:p w14:paraId="73C5BC11">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⑦危险废物禁止混入非危险废物中贮存，禁止与乘客在同一运输工具上载运。</w:t>
      </w:r>
    </w:p>
    <w:p w14:paraId="1D7D7B69">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⑧运输路线尽量避开特殊敏感区。</w:t>
      </w:r>
    </w:p>
    <w:p w14:paraId="61A15676">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4）联单制度</w:t>
      </w:r>
    </w:p>
    <w:p w14:paraId="2A20F6D2">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建设单位必须建立危险废物转移联单制度，收集贮存的危险废物应严格按照《危险废物转移</w:t>
      </w:r>
      <w:r>
        <w:rPr>
          <w:rFonts w:hint="eastAsia" w:ascii="Times New Roman" w:hAnsi="Times New Roman" w:eastAsia="宋体" w:cs="Times New Roman"/>
          <w:color w:val="auto"/>
          <w:sz w:val="24"/>
          <w:szCs w:val="32"/>
          <w:highlight w:val="none"/>
          <w:lang w:eastAsia="zh-CN"/>
        </w:rPr>
        <w:t>管理办法》</w:t>
      </w:r>
      <w:r>
        <w:rPr>
          <w:rFonts w:hint="default" w:ascii="Times New Roman" w:hAnsi="Times New Roman" w:eastAsia="宋体" w:cs="Times New Roman"/>
          <w:color w:val="auto"/>
          <w:sz w:val="24"/>
          <w:szCs w:val="32"/>
          <w:highlight w:val="none"/>
        </w:rPr>
        <w:t>的有关要求管理，危险废物转移程序如下：</w:t>
      </w:r>
    </w:p>
    <w:p w14:paraId="4400F56E">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①危险废物转移联单应当根据危险废物管理计划中填报的危险废物转移等备案信息填写、运行。</w:t>
      </w:r>
    </w:p>
    <w:p w14:paraId="5DE131D3">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②采用联运方式转移危险废物的，前一承运人和后一承运人应当明确运输交接的时间和地点。后一承运人应当核实危险废物转移联单确定的移出人信息、前一承运人信息及危险废物相关信息。</w:t>
      </w:r>
    </w:p>
    <w:p w14:paraId="22BD32BA">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③移出人每转移一车次同类危险废物，应当填写、运行一份危险废物转移联单；每车次转移多类危险废物的，可以填写、运行一份危险废物转移联单，也可以每一类危险废物填写、运行一份危险废物转移联单。</w:t>
      </w:r>
    </w:p>
    <w:p w14:paraId="674EE9D6">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④采用联运方式转移危险废物的，前一承运人和后一承运人应当明确运输交接的时间和地点。后一承运人应当核实危险废物转移联单确定的移出人信息、前一承运人信息及危险废物相关信息。</w:t>
      </w:r>
    </w:p>
    <w:p w14:paraId="6BCCE69F">
      <w:pPr>
        <w:keepNext w:val="0"/>
        <w:keepLines w:val="0"/>
        <w:pageBreakBefore w:val="0"/>
        <w:tabs>
          <w:tab w:val="left" w:pos="195"/>
        </w:tabs>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转移危险废物的，须按照国家有关规定通过国家危险废物信息管理填写危险废物电子转移联单，并向危险废物移出地设区的市级以上地方人民政府生态环境行政主管部门提出申请。移出地设区的市级以上地方人民政府生态环境行政主管部门应当经</w:t>
      </w:r>
      <w:r>
        <w:rPr>
          <w:rFonts w:hint="eastAsia" w:ascii="Times New Roman" w:hAnsi="Times New Roman" w:eastAsia="宋体" w:cs="Times New Roman"/>
          <w:color w:val="auto"/>
          <w:sz w:val="24"/>
          <w:szCs w:val="32"/>
          <w:highlight w:val="none"/>
          <w:lang w:eastAsia="zh-CN"/>
        </w:rPr>
        <w:t>接收</w:t>
      </w:r>
      <w:r>
        <w:rPr>
          <w:rFonts w:hint="default" w:ascii="Times New Roman" w:hAnsi="Times New Roman" w:eastAsia="宋体" w:cs="Times New Roman"/>
          <w:color w:val="auto"/>
          <w:sz w:val="24"/>
          <w:szCs w:val="32"/>
          <w:highlight w:val="none"/>
        </w:rPr>
        <w:t>地设区的市级以上地方人民政府生态环境行政主管部门同意后，方可批准转移该危险废物。未经批准，不得转移。转移危险废物</w:t>
      </w:r>
      <w:r>
        <w:rPr>
          <w:rFonts w:hint="eastAsia" w:ascii="Times New Roman" w:hAnsi="Times New Roman" w:eastAsia="宋体" w:cs="Times New Roman"/>
          <w:color w:val="auto"/>
          <w:sz w:val="24"/>
          <w:szCs w:val="32"/>
          <w:highlight w:val="none"/>
          <w:lang w:eastAsia="zh-CN"/>
        </w:rPr>
        <w:t>途经</w:t>
      </w:r>
      <w:r>
        <w:rPr>
          <w:rFonts w:hint="default" w:ascii="Times New Roman" w:hAnsi="Times New Roman" w:eastAsia="宋体" w:cs="Times New Roman"/>
          <w:color w:val="auto"/>
          <w:sz w:val="24"/>
          <w:szCs w:val="32"/>
          <w:highlight w:val="none"/>
        </w:rPr>
        <w:t>移出地、</w:t>
      </w:r>
      <w:r>
        <w:rPr>
          <w:rFonts w:hint="eastAsia" w:ascii="Times New Roman" w:hAnsi="Times New Roman" w:eastAsia="宋体" w:cs="Times New Roman"/>
          <w:color w:val="auto"/>
          <w:sz w:val="24"/>
          <w:szCs w:val="32"/>
          <w:highlight w:val="none"/>
          <w:lang w:eastAsia="zh-CN"/>
        </w:rPr>
        <w:t>接收</w:t>
      </w:r>
      <w:r>
        <w:rPr>
          <w:rFonts w:hint="default" w:ascii="Times New Roman" w:hAnsi="Times New Roman" w:eastAsia="宋体" w:cs="Times New Roman"/>
          <w:color w:val="auto"/>
          <w:sz w:val="24"/>
          <w:szCs w:val="32"/>
          <w:highlight w:val="none"/>
        </w:rPr>
        <w:t>地以外行政区域的，危险废物移出地设区的市级以上地方人民政府生态环境行政主管部门应当及时通知沿途经过的设区的市级以上地方人民政府生态环境行政主管部门。</w:t>
      </w:r>
    </w:p>
    <w:p w14:paraId="1B09C21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5）委托处置</w:t>
      </w:r>
    </w:p>
    <w:p w14:paraId="792124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32"/>
          <w:highlight w:val="none"/>
        </w:rPr>
      </w:pPr>
      <w:r>
        <w:rPr>
          <w:rFonts w:hint="eastAsia" w:cs="Times New Roman"/>
          <w:color w:val="auto"/>
          <w:sz w:val="24"/>
          <w:szCs w:val="32"/>
          <w:highlight w:val="none"/>
          <w:lang w:eastAsia="zh-CN"/>
        </w:rPr>
        <w:t>危废贮存库</w:t>
      </w:r>
      <w:r>
        <w:rPr>
          <w:rFonts w:hint="default" w:ascii="Times New Roman" w:hAnsi="Times New Roman" w:eastAsia="宋体" w:cs="Times New Roman"/>
          <w:color w:val="auto"/>
          <w:sz w:val="24"/>
          <w:szCs w:val="32"/>
          <w:highlight w:val="none"/>
        </w:rPr>
        <w:t>贮存的危险废物由有危废处置资质的单位进行处置，危废处置单位使用专用车辆至厂内收集、转移危险废物，建设单位不自行外运、转移。危险废物委托处置后，对环境影响不大。</w:t>
      </w:r>
    </w:p>
    <w:p w14:paraId="508521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6）管理措施</w:t>
      </w:r>
    </w:p>
    <w:p w14:paraId="53C97531">
      <w:pPr>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sz w:val="24"/>
          <w:szCs w:val="32"/>
          <w:highlight w:val="none"/>
        </w:rPr>
      </w:pPr>
      <w:r>
        <w:rPr>
          <w:rFonts w:hint="eastAsia" w:ascii="Times New Roman" w:hAnsi="Times New Roman" w:cs="Times New Roman"/>
          <w:color w:val="auto"/>
          <w:sz w:val="24"/>
          <w:szCs w:val="32"/>
          <w:highlight w:val="none"/>
          <w:lang w:eastAsia="zh-CN"/>
        </w:rPr>
        <w:t>建设单位</w:t>
      </w:r>
      <w:r>
        <w:rPr>
          <w:rFonts w:hint="default" w:ascii="Times New Roman" w:hAnsi="Times New Roman" w:eastAsia="宋体" w:cs="Times New Roman"/>
          <w:color w:val="auto"/>
          <w:sz w:val="24"/>
          <w:szCs w:val="32"/>
          <w:highlight w:val="none"/>
        </w:rPr>
        <w:t>应结合自身实际，建立危险废物管理台账，规范危险废物情况的记录，记录上须注明危险废物的种类、来源、数量、性质、产生环节、利用处置和包装容器的类别、入库日期、存放库位、废物出库日期及接收单位名称，确保厂内所有危险废物流向清楚规范。</w:t>
      </w:r>
    </w:p>
    <w:p w14:paraId="2BE8C647">
      <w:pPr>
        <w:overflowPunct w:val="0"/>
        <w:topLinePunct/>
        <w:spacing w:line="480" w:lineRule="exact"/>
        <w:ind w:firstLine="480"/>
        <w:rPr>
          <w:rFonts w:cs="Times New Roman"/>
          <w:color w:val="auto"/>
          <w:highlight w:val="none"/>
        </w:rPr>
      </w:pPr>
      <w:r>
        <w:rPr>
          <w:rFonts w:hint="default" w:ascii="Times New Roman" w:hAnsi="Times New Roman" w:eastAsia="宋体" w:cs="Times New Roman"/>
          <w:color w:val="auto"/>
          <w:szCs w:val="32"/>
          <w:highlight w:val="none"/>
        </w:rPr>
        <w:t>按规定申报危险废物产生、贮存、转移、利用处置等信息，制定和落实危险废物年度管理计划，执行危险废物申报登记制度，并在“固废管理系统”中备案。及时向当地生态环境部门申报危险废物种类、产生量、流向、处置等资料，办理临时申报登记手续。严格执行危险废物交换转移审批制度。所有危险废物交换转移向生态环境部门提出申请，经生态环境部门预审后报上级生态环境部门批准。危险废物交换转移前到当地生态环境部门网上申请联单。绝不擅自交换、向无危险废物经营许可证单位转移。必须定期对所暂存的危险废物包装容器及暂存设施进行检查，发现破损，应及时采取措施清理更换。</w:t>
      </w:r>
    </w:p>
    <w:p w14:paraId="5D4E524A">
      <w:pPr>
        <w:pStyle w:val="7"/>
        <w:bidi w:val="0"/>
        <w:rPr>
          <w:color w:val="auto"/>
          <w:highlight w:val="none"/>
        </w:rPr>
      </w:pPr>
      <w:r>
        <w:rPr>
          <w:rFonts w:hint="eastAsia"/>
          <w:color w:val="auto"/>
          <w:highlight w:val="none"/>
          <w:lang w:val="en-US" w:eastAsia="zh-CN"/>
        </w:rPr>
        <w:t>5.2.8.7</w:t>
      </w:r>
      <w:r>
        <w:rPr>
          <w:color w:val="auto"/>
          <w:highlight w:val="none"/>
        </w:rPr>
        <w:t>尾矿库环境安全隐患排查</w:t>
      </w:r>
    </w:p>
    <w:p w14:paraId="3E4D510B">
      <w:pPr>
        <w:overflowPunct w:val="0"/>
        <w:topLinePunct/>
        <w:ind w:firstLine="480"/>
        <w:rPr>
          <w:color w:val="auto"/>
          <w:highlight w:val="none"/>
        </w:rPr>
      </w:pPr>
      <w:r>
        <w:rPr>
          <w:color w:val="auto"/>
          <w:highlight w:val="none"/>
        </w:rPr>
        <w:t>（1）尾矿库环境安全隐患排查治理</w:t>
      </w:r>
    </w:p>
    <w:p w14:paraId="158B35C8">
      <w:pPr>
        <w:overflowPunct w:val="0"/>
        <w:topLinePunct/>
        <w:ind w:firstLine="480"/>
        <w:rPr>
          <w:color w:val="auto"/>
          <w:highlight w:val="none"/>
        </w:rPr>
      </w:pPr>
      <w:r>
        <w:rPr>
          <w:color w:val="auto"/>
          <w:highlight w:val="none"/>
        </w:rPr>
        <w:t>根据同类型尾矿库隐患及事故分析，本项目隐患排查应当建立台账，实行“一库一档”档案管理，对存在的环境违法问题和安全隐患进行全面整改，有效遏制突发环境事故的发生。本项目隐患排查注意从如下几方面进行：</w:t>
      </w:r>
    </w:p>
    <w:p w14:paraId="3F2132EC">
      <w:pPr>
        <w:ind w:firstLine="0" w:firstLineChars="0"/>
        <w:jc w:val="center"/>
        <w:rPr>
          <w:color w:val="auto"/>
          <w:highlight w:val="none"/>
        </w:rPr>
      </w:pPr>
      <w:bookmarkStart w:id="696" w:name="_Toc20886_WPSOffice_Level2"/>
      <w:r>
        <w:rPr>
          <w:b/>
          <w:bCs/>
          <w:color w:val="auto"/>
          <w:highlight w:val="none"/>
        </w:rPr>
        <w:t>表5.</w:t>
      </w:r>
      <w:r>
        <w:rPr>
          <w:rFonts w:hint="eastAsia"/>
          <w:b/>
          <w:bCs/>
          <w:color w:val="auto"/>
          <w:highlight w:val="none"/>
          <w:lang w:val="en-US" w:eastAsia="zh-CN"/>
        </w:rPr>
        <w:t>2</w:t>
      </w:r>
      <w:r>
        <w:rPr>
          <w:b/>
          <w:bCs/>
          <w:color w:val="auto"/>
          <w:highlight w:val="none"/>
        </w:rPr>
        <w:t>-</w:t>
      </w:r>
      <w:r>
        <w:rPr>
          <w:rFonts w:hint="eastAsia"/>
          <w:b/>
          <w:bCs/>
          <w:color w:val="auto"/>
          <w:highlight w:val="none"/>
          <w:lang w:val="en-US" w:eastAsia="zh-CN"/>
        </w:rPr>
        <w:t>38</w:t>
      </w:r>
      <w:r>
        <w:rPr>
          <w:b/>
          <w:bCs/>
          <w:color w:val="auto"/>
          <w:highlight w:val="none"/>
        </w:rPr>
        <w:t xml:space="preserve">    尾矿库隐患排查记录表</w:t>
      </w:r>
      <w:bookmarkEnd w:id="696"/>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741"/>
        <w:gridCol w:w="3970"/>
        <w:gridCol w:w="1266"/>
        <w:gridCol w:w="2044"/>
      </w:tblGrid>
      <w:tr w14:paraId="1148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01" w:type="dxa"/>
            <w:tcBorders>
              <w:tl2br w:val="nil"/>
              <w:tr2bl w:val="nil"/>
            </w:tcBorders>
            <w:vAlign w:val="center"/>
          </w:tcPr>
          <w:p w14:paraId="421C0B14">
            <w:pPr>
              <w:pStyle w:val="17"/>
              <w:bidi w:val="0"/>
              <w:rPr>
                <w:color w:val="auto"/>
                <w:highlight w:val="none"/>
              </w:rPr>
            </w:pPr>
            <w:r>
              <w:rPr>
                <w:color w:val="auto"/>
                <w:highlight w:val="none"/>
              </w:rPr>
              <w:t>序号</w:t>
            </w:r>
          </w:p>
        </w:tc>
        <w:tc>
          <w:tcPr>
            <w:tcW w:w="741" w:type="dxa"/>
            <w:tcBorders>
              <w:tl2br w:val="nil"/>
              <w:tr2bl w:val="nil"/>
            </w:tcBorders>
            <w:vAlign w:val="center"/>
          </w:tcPr>
          <w:p w14:paraId="3092E3D0">
            <w:pPr>
              <w:pStyle w:val="17"/>
              <w:bidi w:val="0"/>
              <w:rPr>
                <w:color w:val="auto"/>
                <w:highlight w:val="none"/>
              </w:rPr>
            </w:pPr>
            <w:r>
              <w:rPr>
                <w:color w:val="auto"/>
                <w:highlight w:val="none"/>
              </w:rPr>
              <w:t>检查内容</w:t>
            </w:r>
          </w:p>
        </w:tc>
        <w:tc>
          <w:tcPr>
            <w:tcW w:w="3970" w:type="dxa"/>
            <w:tcBorders>
              <w:tl2br w:val="nil"/>
              <w:tr2bl w:val="nil"/>
            </w:tcBorders>
            <w:vAlign w:val="center"/>
          </w:tcPr>
          <w:p w14:paraId="44FCD19D">
            <w:pPr>
              <w:pStyle w:val="17"/>
              <w:bidi w:val="0"/>
              <w:rPr>
                <w:color w:val="auto"/>
                <w:highlight w:val="none"/>
              </w:rPr>
            </w:pPr>
            <w:r>
              <w:rPr>
                <w:color w:val="auto"/>
                <w:highlight w:val="none"/>
              </w:rPr>
              <w:t>检查标准或依据</w:t>
            </w:r>
          </w:p>
        </w:tc>
        <w:tc>
          <w:tcPr>
            <w:tcW w:w="1266" w:type="dxa"/>
            <w:tcBorders>
              <w:tl2br w:val="nil"/>
              <w:tr2bl w:val="nil"/>
            </w:tcBorders>
            <w:vAlign w:val="center"/>
          </w:tcPr>
          <w:p w14:paraId="64153888">
            <w:pPr>
              <w:pStyle w:val="17"/>
              <w:bidi w:val="0"/>
              <w:rPr>
                <w:color w:val="auto"/>
                <w:highlight w:val="none"/>
              </w:rPr>
            </w:pPr>
            <w:r>
              <w:rPr>
                <w:color w:val="auto"/>
                <w:highlight w:val="none"/>
              </w:rPr>
              <w:t>法规依据</w:t>
            </w:r>
          </w:p>
        </w:tc>
        <w:tc>
          <w:tcPr>
            <w:tcW w:w="2044" w:type="dxa"/>
            <w:tcBorders>
              <w:tl2br w:val="nil"/>
              <w:tr2bl w:val="nil"/>
            </w:tcBorders>
            <w:vAlign w:val="center"/>
          </w:tcPr>
          <w:p w14:paraId="576D378D">
            <w:pPr>
              <w:pStyle w:val="17"/>
              <w:bidi w:val="0"/>
              <w:rPr>
                <w:color w:val="auto"/>
                <w:highlight w:val="none"/>
              </w:rPr>
            </w:pPr>
            <w:r>
              <w:rPr>
                <w:color w:val="auto"/>
                <w:highlight w:val="none"/>
              </w:rPr>
              <w:t>检查方法</w:t>
            </w:r>
          </w:p>
        </w:tc>
      </w:tr>
      <w:tr w14:paraId="06B5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restart"/>
            <w:tcBorders>
              <w:tl2br w:val="nil"/>
              <w:tr2bl w:val="nil"/>
            </w:tcBorders>
            <w:vAlign w:val="center"/>
          </w:tcPr>
          <w:p w14:paraId="017C6FA1">
            <w:pPr>
              <w:pStyle w:val="17"/>
              <w:bidi w:val="0"/>
              <w:rPr>
                <w:color w:val="auto"/>
                <w:highlight w:val="none"/>
              </w:rPr>
            </w:pPr>
            <w:r>
              <w:rPr>
                <w:color w:val="auto"/>
                <w:highlight w:val="none"/>
              </w:rPr>
              <w:t>1</w:t>
            </w:r>
          </w:p>
        </w:tc>
        <w:tc>
          <w:tcPr>
            <w:tcW w:w="741" w:type="dxa"/>
            <w:vMerge w:val="restart"/>
            <w:tcBorders>
              <w:tl2br w:val="nil"/>
              <w:tr2bl w:val="nil"/>
            </w:tcBorders>
            <w:vAlign w:val="center"/>
          </w:tcPr>
          <w:p w14:paraId="0A7D7BF6">
            <w:pPr>
              <w:pStyle w:val="17"/>
              <w:bidi w:val="0"/>
              <w:rPr>
                <w:color w:val="auto"/>
                <w:highlight w:val="none"/>
              </w:rPr>
            </w:pPr>
            <w:r>
              <w:rPr>
                <w:color w:val="auto"/>
                <w:highlight w:val="none"/>
              </w:rPr>
              <w:t>尾矿坝</w:t>
            </w:r>
          </w:p>
        </w:tc>
        <w:tc>
          <w:tcPr>
            <w:tcW w:w="3970" w:type="dxa"/>
            <w:tcBorders>
              <w:tl2br w:val="nil"/>
              <w:tr2bl w:val="nil"/>
            </w:tcBorders>
            <w:vAlign w:val="center"/>
          </w:tcPr>
          <w:p w14:paraId="2E8B7B65">
            <w:pPr>
              <w:pStyle w:val="17"/>
              <w:bidi w:val="0"/>
              <w:rPr>
                <w:color w:val="auto"/>
                <w:highlight w:val="none"/>
              </w:rPr>
            </w:pPr>
            <w:r>
              <w:rPr>
                <w:color w:val="auto"/>
                <w:highlight w:val="none"/>
              </w:rPr>
              <w:t>初期坝上下游坡比应满足规程要求，同时不陡于设计规定的坡度</w:t>
            </w:r>
          </w:p>
        </w:tc>
        <w:tc>
          <w:tcPr>
            <w:tcW w:w="1266" w:type="dxa"/>
            <w:vMerge w:val="restart"/>
            <w:tcBorders>
              <w:tl2br w:val="nil"/>
              <w:tr2bl w:val="nil"/>
            </w:tcBorders>
            <w:vAlign w:val="center"/>
          </w:tcPr>
          <w:p w14:paraId="0171F3EA">
            <w:pPr>
              <w:pStyle w:val="17"/>
              <w:bidi w:val="0"/>
              <w:rPr>
                <w:color w:val="auto"/>
                <w:highlight w:val="none"/>
              </w:rPr>
            </w:pPr>
            <w:r>
              <w:rPr>
                <w:color w:val="auto"/>
                <w:highlight w:val="none"/>
              </w:rPr>
              <w:t>《尾矿库安全规程》（GB39496-2020）</w:t>
            </w:r>
          </w:p>
        </w:tc>
        <w:tc>
          <w:tcPr>
            <w:tcW w:w="2044" w:type="dxa"/>
            <w:tcBorders>
              <w:tl2br w:val="nil"/>
              <w:tr2bl w:val="nil"/>
            </w:tcBorders>
            <w:vAlign w:val="center"/>
          </w:tcPr>
          <w:p w14:paraId="514F35C6">
            <w:pPr>
              <w:pStyle w:val="17"/>
              <w:bidi w:val="0"/>
              <w:rPr>
                <w:color w:val="auto"/>
                <w:highlight w:val="none"/>
              </w:rPr>
            </w:pPr>
            <w:r>
              <w:rPr>
                <w:color w:val="auto"/>
                <w:highlight w:val="none"/>
              </w:rPr>
              <w:t>查阅设计资料，检查初期坝</w:t>
            </w:r>
          </w:p>
        </w:tc>
      </w:tr>
      <w:tr w14:paraId="2ECF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0D68C513">
            <w:pPr>
              <w:pStyle w:val="17"/>
              <w:bidi w:val="0"/>
              <w:rPr>
                <w:color w:val="auto"/>
                <w:highlight w:val="none"/>
              </w:rPr>
            </w:pPr>
          </w:p>
        </w:tc>
        <w:tc>
          <w:tcPr>
            <w:tcW w:w="741" w:type="dxa"/>
            <w:vMerge w:val="continue"/>
            <w:tcBorders>
              <w:tl2br w:val="nil"/>
              <w:tr2bl w:val="nil"/>
            </w:tcBorders>
            <w:vAlign w:val="center"/>
          </w:tcPr>
          <w:p w14:paraId="64679908">
            <w:pPr>
              <w:pStyle w:val="17"/>
              <w:bidi w:val="0"/>
              <w:rPr>
                <w:color w:val="auto"/>
                <w:highlight w:val="none"/>
              </w:rPr>
            </w:pPr>
          </w:p>
        </w:tc>
        <w:tc>
          <w:tcPr>
            <w:tcW w:w="3970" w:type="dxa"/>
            <w:tcBorders>
              <w:tl2br w:val="nil"/>
              <w:tr2bl w:val="nil"/>
            </w:tcBorders>
            <w:vAlign w:val="center"/>
          </w:tcPr>
          <w:p w14:paraId="3461080B">
            <w:pPr>
              <w:pStyle w:val="17"/>
              <w:bidi w:val="0"/>
              <w:rPr>
                <w:color w:val="auto"/>
                <w:highlight w:val="none"/>
              </w:rPr>
            </w:pPr>
            <w:r>
              <w:rPr>
                <w:color w:val="auto"/>
                <w:highlight w:val="none"/>
              </w:rPr>
              <w:t>坝下渗水量正常，水质清澈，无</w:t>
            </w:r>
            <w:r>
              <w:rPr>
                <w:rFonts w:hint="eastAsia"/>
                <w:color w:val="auto"/>
                <w:highlight w:val="none"/>
                <w:lang w:eastAsia="zh-CN"/>
              </w:rPr>
              <w:t>浑水</w:t>
            </w:r>
            <w:r>
              <w:rPr>
                <w:color w:val="auto"/>
                <w:highlight w:val="none"/>
              </w:rPr>
              <w:t>渗出</w:t>
            </w:r>
          </w:p>
        </w:tc>
        <w:tc>
          <w:tcPr>
            <w:tcW w:w="1266" w:type="dxa"/>
            <w:vMerge w:val="continue"/>
            <w:tcBorders>
              <w:tl2br w:val="nil"/>
              <w:tr2bl w:val="nil"/>
            </w:tcBorders>
            <w:vAlign w:val="center"/>
          </w:tcPr>
          <w:p w14:paraId="7F42539A">
            <w:pPr>
              <w:pStyle w:val="17"/>
              <w:bidi w:val="0"/>
              <w:rPr>
                <w:color w:val="auto"/>
                <w:highlight w:val="none"/>
              </w:rPr>
            </w:pPr>
          </w:p>
        </w:tc>
        <w:tc>
          <w:tcPr>
            <w:tcW w:w="2044" w:type="dxa"/>
            <w:tcBorders>
              <w:tl2br w:val="nil"/>
              <w:tr2bl w:val="nil"/>
            </w:tcBorders>
            <w:vAlign w:val="center"/>
          </w:tcPr>
          <w:p w14:paraId="1F7D9783">
            <w:pPr>
              <w:pStyle w:val="17"/>
              <w:bidi w:val="0"/>
              <w:rPr>
                <w:color w:val="auto"/>
                <w:highlight w:val="none"/>
              </w:rPr>
            </w:pPr>
            <w:r>
              <w:rPr>
                <w:color w:val="auto"/>
                <w:highlight w:val="none"/>
              </w:rPr>
              <w:t>检查坝体渗水量和是否浑浊</w:t>
            </w:r>
          </w:p>
        </w:tc>
      </w:tr>
      <w:tr w14:paraId="6B0B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57347B24">
            <w:pPr>
              <w:pStyle w:val="17"/>
              <w:bidi w:val="0"/>
              <w:rPr>
                <w:color w:val="auto"/>
                <w:highlight w:val="none"/>
              </w:rPr>
            </w:pPr>
          </w:p>
        </w:tc>
        <w:tc>
          <w:tcPr>
            <w:tcW w:w="741" w:type="dxa"/>
            <w:vMerge w:val="continue"/>
            <w:tcBorders>
              <w:tl2br w:val="nil"/>
              <w:tr2bl w:val="nil"/>
            </w:tcBorders>
            <w:vAlign w:val="center"/>
          </w:tcPr>
          <w:p w14:paraId="0FDEFBA8">
            <w:pPr>
              <w:pStyle w:val="17"/>
              <w:bidi w:val="0"/>
              <w:rPr>
                <w:color w:val="auto"/>
                <w:highlight w:val="none"/>
              </w:rPr>
            </w:pPr>
          </w:p>
        </w:tc>
        <w:tc>
          <w:tcPr>
            <w:tcW w:w="3970" w:type="dxa"/>
            <w:tcBorders>
              <w:tl2br w:val="nil"/>
              <w:tr2bl w:val="nil"/>
            </w:tcBorders>
            <w:vAlign w:val="center"/>
          </w:tcPr>
          <w:p w14:paraId="3D8903A6">
            <w:pPr>
              <w:pStyle w:val="17"/>
              <w:bidi w:val="0"/>
              <w:rPr>
                <w:color w:val="auto"/>
                <w:highlight w:val="none"/>
              </w:rPr>
            </w:pPr>
            <w:r>
              <w:rPr>
                <w:color w:val="auto"/>
                <w:highlight w:val="none"/>
              </w:rPr>
              <w:t>堆积坡比符合设计要求，不应陡于设计规定</w:t>
            </w:r>
          </w:p>
        </w:tc>
        <w:tc>
          <w:tcPr>
            <w:tcW w:w="1266" w:type="dxa"/>
            <w:vMerge w:val="continue"/>
            <w:tcBorders>
              <w:tl2br w:val="nil"/>
              <w:tr2bl w:val="nil"/>
            </w:tcBorders>
            <w:vAlign w:val="center"/>
          </w:tcPr>
          <w:p w14:paraId="379F6B97">
            <w:pPr>
              <w:pStyle w:val="17"/>
              <w:bidi w:val="0"/>
              <w:rPr>
                <w:color w:val="auto"/>
                <w:highlight w:val="none"/>
              </w:rPr>
            </w:pPr>
          </w:p>
        </w:tc>
        <w:tc>
          <w:tcPr>
            <w:tcW w:w="2044" w:type="dxa"/>
            <w:tcBorders>
              <w:tl2br w:val="nil"/>
              <w:tr2bl w:val="nil"/>
            </w:tcBorders>
            <w:vAlign w:val="center"/>
          </w:tcPr>
          <w:p w14:paraId="7947B5D1">
            <w:pPr>
              <w:pStyle w:val="17"/>
              <w:bidi w:val="0"/>
              <w:rPr>
                <w:color w:val="auto"/>
                <w:highlight w:val="none"/>
              </w:rPr>
            </w:pPr>
            <w:r>
              <w:rPr>
                <w:color w:val="auto"/>
                <w:highlight w:val="none"/>
              </w:rPr>
              <w:t>检查尾矿坝现场，查阅设计资料</w:t>
            </w:r>
          </w:p>
        </w:tc>
      </w:tr>
      <w:tr w14:paraId="25A6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74F4D2D4">
            <w:pPr>
              <w:pStyle w:val="17"/>
              <w:bidi w:val="0"/>
              <w:rPr>
                <w:color w:val="auto"/>
                <w:highlight w:val="none"/>
              </w:rPr>
            </w:pPr>
          </w:p>
        </w:tc>
        <w:tc>
          <w:tcPr>
            <w:tcW w:w="741" w:type="dxa"/>
            <w:vMerge w:val="continue"/>
            <w:tcBorders>
              <w:tl2br w:val="nil"/>
              <w:tr2bl w:val="nil"/>
            </w:tcBorders>
            <w:vAlign w:val="center"/>
          </w:tcPr>
          <w:p w14:paraId="3279D61A">
            <w:pPr>
              <w:pStyle w:val="17"/>
              <w:bidi w:val="0"/>
              <w:rPr>
                <w:color w:val="auto"/>
                <w:highlight w:val="none"/>
              </w:rPr>
            </w:pPr>
          </w:p>
        </w:tc>
        <w:tc>
          <w:tcPr>
            <w:tcW w:w="3970" w:type="dxa"/>
            <w:tcBorders>
              <w:tl2br w:val="nil"/>
              <w:tr2bl w:val="nil"/>
            </w:tcBorders>
            <w:vAlign w:val="center"/>
          </w:tcPr>
          <w:p w14:paraId="367D05FA">
            <w:pPr>
              <w:pStyle w:val="17"/>
              <w:bidi w:val="0"/>
              <w:rPr>
                <w:color w:val="auto"/>
                <w:highlight w:val="none"/>
              </w:rPr>
            </w:pPr>
            <w:r>
              <w:rPr>
                <w:color w:val="auto"/>
                <w:highlight w:val="none"/>
              </w:rPr>
              <w:t>下游坡面无严重冲沟、裂缝、塌坑和滑坡等不良现象</w:t>
            </w:r>
          </w:p>
        </w:tc>
        <w:tc>
          <w:tcPr>
            <w:tcW w:w="1266" w:type="dxa"/>
            <w:vMerge w:val="continue"/>
            <w:tcBorders>
              <w:tl2br w:val="nil"/>
              <w:tr2bl w:val="nil"/>
            </w:tcBorders>
            <w:vAlign w:val="center"/>
          </w:tcPr>
          <w:p w14:paraId="468AD0A6">
            <w:pPr>
              <w:pStyle w:val="17"/>
              <w:bidi w:val="0"/>
              <w:rPr>
                <w:color w:val="auto"/>
                <w:highlight w:val="none"/>
              </w:rPr>
            </w:pPr>
          </w:p>
        </w:tc>
        <w:tc>
          <w:tcPr>
            <w:tcW w:w="2044" w:type="dxa"/>
            <w:tcBorders>
              <w:tl2br w:val="nil"/>
              <w:tr2bl w:val="nil"/>
            </w:tcBorders>
            <w:vAlign w:val="center"/>
          </w:tcPr>
          <w:p w14:paraId="4FA261D9">
            <w:pPr>
              <w:pStyle w:val="17"/>
              <w:bidi w:val="0"/>
              <w:rPr>
                <w:color w:val="auto"/>
                <w:highlight w:val="none"/>
              </w:rPr>
            </w:pPr>
            <w:r>
              <w:rPr>
                <w:color w:val="auto"/>
                <w:highlight w:val="none"/>
              </w:rPr>
              <w:t>检查尾矿坝下游坡面</w:t>
            </w:r>
          </w:p>
        </w:tc>
      </w:tr>
      <w:tr w14:paraId="1C6A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6E365D55">
            <w:pPr>
              <w:pStyle w:val="17"/>
              <w:bidi w:val="0"/>
              <w:rPr>
                <w:color w:val="auto"/>
                <w:highlight w:val="none"/>
              </w:rPr>
            </w:pPr>
          </w:p>
        </w:tc>
        <w:tc>
          <w:tcPr>
            <w:tcW w:w="741" w:type="dxa"/>
            <w:vMerge w:val="continue"/>
            <w:tcBorders>
              <w:tl2br w:val="nil"/>
              <w:tr2bl w:val="nil"/>
            </w:tcBorders>
            <w:vAlign w:val="center"/>
          </w:tcPr>
          <w:p w14:paraId="58DB2FDE">
            <w:pPr>
              <w:pStyle w:val="17"/>
              <w:bidi w:val="0"/>
              <w:rPr>
                <w:color w:val="auto"/>
                <w:highlight w:val="none"/>
              </w:rPr>
            </w:pPr>
          </w:p>
        </w:tc>
        <w:tc>
          <w:tcPr>
            <w:tcW w:w="3970" w:type="dxa"/>
            <w:tcBorders>
              <w:tl2br w:val="nil"/>
              <w:tr2bl w:val="nil"/>
            </w:tcBorders>
            <w:vAlign w:val="center"/>
          </w:tcPr>
          <w:p w14:paraId="1E909700">
            <w:pPr>
              <w:pStyle w:val="17"/>
              <w:bidi w:val="0"/>
              <w:rPr>
                <w:color w:val="auto"/>
                <w:highlight w:val="none"/>
              </w:rPr>
            </w:pPr>
            <w:r>
              <w:rPr>
                <w:color w:val="auto"/>
                <w:highlight w:val="none"/>
              </w:rPr>
              <w:t>尾矿坝下游坡面上不得有积水坑</w:t>
            </w:r>
          </w:p>
        </w:tc>
        <w:tc>
          <w:tcPr>
            <w:tcW w:w="1266" w:type="dxa"/>
            <w:vMerge w:val="continue"/>
            <w:tcBorders>
              <w:tl2br w:val="nil"/>
              <w:tr2bl w:val="nil"/>
            </w:tcBorders>
            <w:vAlign w:val="center"/>
          </w:tcPr>
          <w:p w14:paraId="78FF4B43">
            <w:pPr>
              <w:pStyle w:val="17"/>
              <w:bidi w:val="0"/>
              <w:rPr>
                <w:color w:val="auto"/>
                <w:highlight w:val="none"/>
              </w:rPr>
            </w:pPr>
          </w:p>
        </w:tc>
        <w:tc>
          <w:tcPr>
            <w:tcW w:w="2044" w:type="dxa"/>
            <w:tcBorders>
              <w:tl2br w:val="nil"/>
              <w:tr2bl w:val="nil"/>
            </w:tcBorders>
            <w:vAlign w:val="center"/>
          </w:tcPr>
          <w:p w14:paraId="34597BFD">
            <w:pPr>
              <w:pStyle w:val="17"/>
              <w:bidi w:val="0"/>
              <w:rPr>
                <w:color w:val="auto"/>
                <w:highlight w:val="none"/>
              </w:rPr>
            </w:pPr>
            <w:r>
              <w:rPr>
                <w:color w:val="auto"/>
                <w:highlight w:val="none"/>
              </w:rPr>
              <w:t>检查尾矿坝下游坡面</w:t>
            </w:r>
          </w:p>
        </w:tc>
      </w:tr>
      <w:tr w14:paraId="343A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3C07787C">
            <w:pPr>
              <w:pStyle w:val="17"/>
              <w:bidi w:val="0"/>
              <w:rPr>
                <w:color w:val="auto"/>
                <w:highlight w:val="none"/>
              </w:rPr>
            </w:pPr>
          </w:p>
        </w:tc>
        <w:tc>
          <w:tcPr>
            <w:tcW w:w="741" w:type="dxa"/>
            <w:vMerge w:val="continue"/>
            <w:tcBorders>
              <w:tl2br w:val="nil"/>
              <w:tr2bl w:val="nil"/>
            </w:tcBorders>
            <w:vAlign w:val="center"/>
          </w:tcPr>
          <w:p w14:paraId="77AA8E72">
            <w:pPr>
              <w:pStyle w:val="17"/>
              <w:bidi w:val="0"/>
              <w:rPr>
                <w:color w:val="auto"/>
                <w:highlight w:val="none"/>
              </w:rPr>
            </w:pPr>
          </w:p>
        </w:tc>
        <w:tc>
          <w:tcPr>
            <w:tcW w:w="3970" w:type="dxa"/>
            <w:tcBorders>
              <w:tl2br w:val="nil"/>
              <w:tr2bl w:val="nil"/>
            </w:tcBorders>
            <w:vAlign w:val="center"/>
          </w:tcPr>
          <w:p w14:paraId="612155E3">
            <w:pPr>
              <w:pStyle w:val="17"/>
              <w:bidi w:val="0"/>
              <w:rPr>
                <w:color w:val="auto"/>
                <w:highlight w:val="none"/>
              </w:rPr>
            </w:pPr>
            <w:r>
              <w:rPr>
                <w:color w:val="auto"/>
                <w:highlight w:val="none"/>
              </w:rPr>
              <w:t>堆积坝下游坡面上宜用土石覆盖或用其他方式植被绿化，并可结合排渗设施每隔6～10m高差设置排水沟</w:t>
            </w:r>
          </w:p>
        </w:tc>
        <w:tc>
          <w:tcPr>
            <w:tcW w:w="1266" w:type="dxa"/>
            <w:vMerge w:val="continue"/>
            <w:tcBorders>
              <w:tl2br w:val="nil"/>
              <w:tr2bl w:val="nil"/>
            </w:tcBorders>
            <w:vAlign w:val="center"/>
          </w:tcPr>
          <w:p w14:paraId="42FE5071">
            <w:pPr>
              <w:pStyle w:val="17"/>
              <w:bidi w:val="0"/>
              <w:rPr>
                <w:color w:val="auto"/>
                <w:highlight w:val="none"/>
              </w:rPr>
            </w:pPr>
          </w:p>
        </w:tc>
        <w:tc>
          <w:tcPr>
            <w:tcW w:w="2044" w:type="dxa"/>
            <w:tcBorders>
              <w:tl2br w:val="nil"/>
              <w:tr2bl w:val="nil"/>
            </w:tcBorders>
            <w:vAlign w:val="center"/>
          </w:tcPr>
          <w:p w14:paraId="708BD11F">
            <w:pPr>
              <w:pStyle w:val="17"/>
              <w:bidi w:val="0"/>
              <w:rPr>
                <w:color w:val="auto"/>
                <w:highlight w:val="none"/>
              </w:rPr>
            </w:pPr>
            <w:r>
              <w:rPr>
                <w:color w:val="auto"/>
                <w:highlight w:val="none"/>
              </w:rPr>
              <w:t>检查尾矿坝下游坡面有无绿化和排水沟</w:t>
            </w:r>
          </w:p>
        </w:tc>
      </w:tr>
      <w:tr w14:paraId="0AC3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3AE34F13">
            <w:pPr>
              <w:pStyle w:val="17"/>
              <w:bidi w:val="0"/>
              <w:rPr>
                <w:color w:val="auto"/>
                <w:highlight w:val="none"/>
              </w:rPr>
            </w:pPr>
          </w:p>
        </w:tc>
        <w:tc>
          <w:tcPr>
            <w:tcW w:w="741" w:type="dxa"/>
            <w:vMerge w:val="continue"/>
            <w:tcBorders>
              <w:tl2br w:val="nil"/>
              <w:tr2bl w:val="nil"/>
            </w:tcBorders>
            <w:vAlign w:val="center"/>
          </w:tcPr>
          <w:p w14:paraId="02113E6F">
            <w:pPr>
              <w:pStyle w:val="17"/>
              <w:bidi w:val="0"/>
              <w:rPr>
                <w:color w:val="auto"/>
                <w:highlight w:val="none"/>
              </w:rPr>
            </w:pPr>
          </w:p>
        </w:tc>
        <w:tc>
          <w:tcPr>
            <w:tcW w:w="3970" w:type="dxa"/>
            <w:tcBorders>
              <w:tl2br w:val="nil"/>
              <w:tr2bl w:val="nil"/>
            </w:tcBorders>
            <w:vAlign w:val="center"/>
          </w:tcPr>
          <w:p w14:paraId="047C50AF">
            <w:pPr>
              <w:pStyle w:val="17"/>
              <w:bidi w:val="0"/>
              <w:rPr>
                <w:color w:val="auto"/>
                <w:highlight w:val="none"/>
              </w:rPr>
            </w:pPr>
            <w:r>
              <w:rPr>
                <w:color w:val="auto"/>
                <w:highlight w:val="none"/>
              </w:rPr>
              <w:t>尾矿堆积坝下游坡与两岸山坡结合处应设置截水沟</w:t>
            </w:r>
          </w:p>
        </w:tc>
        <w:tc>
          <w:tcPr>
            <w:tcW w:w="1266" w:type="dxa"/>
            <w:vMerge w:val="continue"/>
            <w:tcBorders>
              <w:tl2br w:val="nil"/>
              <w:tr2bl w:val="nil"/>
            </w:tcBorders>
            <w:vAlign w:val="center"/>
          </w:tcPr>
          <w:p w14:paraId="3F6426D8">
            <w:pPr>
              <w:pStyle w:val="17"/>
              <w:bidi w:val="0"/>
              <w:rPr>
                <w:color w:val="auto"/>
                <w:highlight w:val="none"/>
              </w:rPr>
            </w:pPr>
          </w:p>
        </w:tc>
        <w:tc>
          <w:tcPr>
            <w:tcW w:w="2044" w:type="dxa"/>
            <w:tcBorders>
              <w:tl2br w:val="nil"/>
              <w:tr2bl w:val="nil"/>
            </w:tcBorders>
            <w:vAlign w:val="center"/>
          </w:tcPr>
          <w:p w14:paraId="0B139B1D">
            <w:pPr>
              <w:pStyle w:val="17"/>
              <w:bidi w:val="0"/>
              <w:rPr>
                <w:color w:val="auto"/>
                <w:highlight w:val="none"/>
              </w:rPr>
            </w:pPr>
            <w:r>
              <w:rPr>
                <w:color w:val="auto"/>
                <w:highlight w:val="none"/>
              </w:rPr>
              <w:t>检查尾矿坝有无截水沟</w:t>
            </w:r>
          </w:p>
        </w:tc>
      </w:tr>
      <w:tr w14:paraId="7C1D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56E3F138">
            <w:pPr>
              <w:pStyle w:val="17"/>
              <w:bidi w:val="0"/>
              <w:rPr>
                <w:color w:val="auto"/>
                <w:highlight w:val="none"/>
              </w:rPr>
            </w:pPr>
          </w:p>
        </w:tc>
        <w:tc>
          <w:tcPr>
            <w:tcW w:w="741" w:type="dxa"/>
            <w:vMerge w:val="continue"/>
            <w:tcBorders>
              <w:tl2br w:val="nil"/>
              <w:tr2bl w:val="nil"/>
            </w:tcBorders>
            <w:vAlign w:val="center"/>
          </w:tcPr>
          <w:p w14:paraId="4C9D03BA">
            <w:pPr>
              <w:pStyle w:val="17"/>
              <w:bidi w:val="0"/>
              <w:rPr>
                <w:color w:val="auto"/>
                <w:highlight w:val="none"/>
              </w:rPr>
            </w:pPr>
          </w:p>
        </w:tc>
        <w:tc>
          <w:tcPr>
            <w:tcW w:w="3970" w:type="dxa"/>
            <w:tcBorders>
              <w:tl2br w:val="nil"/>
              <w:tr2bl w:val="nil"/>
            </w:tcBorders>
            <w:vAlign w:val="center"/>
          </w:tcPr>
          <w:p w14:paraId="7F1E442D">
            <w:pPr>
              <w:pStyle w:val="17"/>
              <w:bidi w:val="0"/>
              <w:rPr>
                <w:color w:val="auto"/>
                <w:highlight w:val="none"/>
              </w:rPr>
            </w:pPr>
            <w:r>
              <w:rPr>
                <w:color w:val="auto"/>
                <w:highlight w:val="none"/>
              </w:rPr>
              <w:t>严格按设计要求控制坝体浸润线埋深</w:t>
            </w:r>
          </w:p>
        </w:tc>
        <w:tc>
          <w:tcPr>
            <w:tcW w:w="1266" w:type="dxa"/>
            <w:vMerge w:val="continue"/>
            <w:tcBorders>
              <w:tl2br w:val="nil"/>
              <w:tr2bl w:val="nil"/>
            </w:tcBorders>
            <w:vAlign w:val="center"/>
          </w:tcPr>
          <w:p w14:paraId="5EFD4DF7">
            <w:pPr>
              <w:pStyle w:val="17"/>
              <w:bidi w:val="0"/>
              <w:rPr>
                <w:color w:val="auto"/>
                <w:highlight w:val="none"/>
              </w:rPr>
            </w:pPr>
          </w:p>
        </w:tc>
        <w:tc>
          <w:tcPr>
            <w:tcW w:w="2044" w:type="dxa"/>
            <w:tcBorders>
              <w:tl2br w:val="nil"/>
              <w:tr2bl w:val="nil"/>
            </w:tcBorders>
            <w:vAlign w:val="center"/>
          </w:tcPr>
          <w:p w14:paraId="219BDC9C">
            <w:pPr>
              <w:pStyle w:val="17"/>
              <w:bidi w:val="0"/>
              <w:rPr>
                <w:color w:val="auto"/>
                <w:highlight w:val="none"/>
              </w:rPr>
            </w:pPr>
            <w:r>
              <w:rPr>
                <w:color w:val="auto"/>
                <w:highlight w:val="none"/>
              </w:rPr>
              <w:t>查阅设计资料、浸润线观测资料、现场检查</w:t>
            </w:r>
          </w:p>
        </w:tc>
      </w:tr>
      <w:tr w14:paraId="2155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3D5B5C29">
            <w:pPr>
              <w:pStyle w:val="17"/>
              <w:bidi w:val="0"/>
              <w:rPr>
                <w:color w:val="auto"/>
                <w:highlight w:val="none"/>
              </w:rPr>
            </w:pPr>
          </w:p>
        </w:tc>
        <w:tc>
          <w:tcPr>
            <w:tcW w:w="741" w:type="dxa"/>
            <w:vMerge w:val="continue"/>
            <w:tcBorders>
              <w:tl2br w:val="nil"/>
              <w:tr2bl w:val="nil"/>
            </w:tcBorders>
            <w:vAlign w:val="center"/>
          </w:tcPr>
          <w:p w14:paraId="253C3321">
            <w:pPr>
              <w:pStyle w:val="17"/>
              <w:bidi w:val="0"/>
              <w:rPr>
                <w:color w:val="auto"/>
                <w:highlight w:val="none"/>
              </w:rPr>
            </w:pPr>
          </w:p>
        </w:tc>
        <w:tc>
          <w:tcPr>
            <w:tcW w:w="3970" w:type="dxa"/>
            <w:tcBorders>
              <w:tl2br w:val="nil"/>
              <w:tr2bl w:val="nil"/>
            </w:tcBorders>
            <w:vAlign w:val="center"/>
          </w:tcPr>
          <w:p w14:paraId="358901A8">
            <w:pPr>
              <w:pStyle w:val="17"/>
              <w:bidi w:val="0"/>
              <w:rPr>
                <w:color w:val="auto"/>
                <w:highlight w:val="none"/>
              </w:rPr>
            </w:pPr>
            <w:r>
              <w:rPr>
                <w:color w:val="auto"/>
                <w:highlight w:val="none"/>
              </w:rPr>
              <w:t>4级以上尾矿坝应设置坝体位移和坝体浸润线观测设施</w:t>
            </w:r>
          </w:p>
        </w:tc>
        <w:tc>
          <w:tcPr>
            <w:tcW w:w="1266" w:type="dxa"/>
            <w:vMerge w:val="continue"/>
            <w:tcBorders>
              <w:tl2br w:val="nil"/>
              <w:tr2bl w:val="nil"/>
            </w:tcBorders>
            <w:vAlign w:val="center"/>
          </w:tcPr>
          <w:p w14:paraId="02A5C88A">
            <w:pPr>
              <w:pStyle w:val="17"/>
              <w:bidi w:val="0"/>
              <w:rPr>
                <w:color w:val="auto"/>
                <w:highlight w:val="none"/>
              </w:rPr>
            </w:pPr>
          </w:p>
        </w:tc>
        <w:tc>
          <w:tcPr>
            <w:tcW w:w="2044" w:type="dxa"/>
            <w:tcBorders>
              <w:tl2br w:val="nil"/>
              <w:tr2bl w:val="nil"/>
            </w:tcBorders>
            <w:vAlign w:val="center"/>
          </w:tcPr>
          <w:p w14:paraId="0C5E5164">
            <w:pPr>
              <w:pStyle w:val="17"/>
              <w:bidi w:val="0"/>
              <w:rPr>
                <w:color w:val="auto"/>
                <w:highlight w:val="none"/>
              </w:rPr>
            </w:pPr>
            <w:r>
              <w:rPr>
                <w:color w:val="auto"/>
                <w:highlight w:val="none"/>
              </w:rPr>
              <w:t>检查尾矿库现场、查阅监测资料</w:t>
            </w:r>
          </w:p>
        </w:tc>
      </w:tr>
      <w:tr w14:paraId="5745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58E6E2CD">
            <w:pPr>
              <w:pStyle w:val="17"/>
              <w:bidi w:val="0"/>
              <w:rPr>
                <w:color w:val="auto"/>
                <w:highlight w:val="none"/>
              </w:rPr>
            </w:pPr>
          </w:p>
        </w:tc>
        <w:tc>
          <w:tcPr>
            <w:tcW w:w="741" w:type="dxa"/>
            <w:vMerge w:val="continue"/>
            <w:tcBorders>
              <w:tl2br w:val="nil"/>
              <w:tr2bl w:val="nil"/>
            </w:tcBorders>
            <w:vAlign w:val="center"/>
          </w:tcPr>
          <w:p w14:paraId="00D95AFE">
            <w:pPr>
              <w:pStyle w:val="17"/>
              <w:bidi w:val="0"/>
              <w:rPr>
                <w:color w:val="auto"/>
                <w:highlight w:val="none"/>
              </w:rPr>
            </w:pPr>
          </w:p>
        </w:tc>
        <w:tc>
          <w:tcPr>
            <w:tcW w:w="3970" w:type="dxa"/>
            <w:tcBorders>
              <w:tl2br w:val="nil"/>
              <w:tr2bl w:val="nil"/>
            </w:tcBorders>
            <w:vAlign w:val="center"/>
          </w:tcPr>
          <w:p w14:paraId="19938AD9">
            <w:pPr>
              <w:pStyle w:val="17"/>
              <w:bidi w:val="0"/>
              <w:rPr>
                <w:color w:val="auto"/>
                <w:highlight w:val="none"/>
              </w:rPr>
            </w:pPr>
            <w:r>
              <w:rPr>
                <w:color w:val="auto"/>
                <w:highlight w:val="none"/>
              </w:rPr>
              <w:t>坝高、坝型、上下游坡比应满足设计要求</w:t>
            </w:r>
          </w:p>
        </w:tc>
        <w:tc>
          <w:tcPr>
            <w:tcW w:w="1266" w:type="dxa"/>
            <w:vMerge w:val="continue"/>
            <w:tcBorders>
              <w:tl2br w:val="nil"/>
              <w:tr2bl w:val="nil"/>
            </w:tcBorders>
            <w:vAlign w:val="center"/>
          </w:tcPr>
          <w:p w14:paraId="5660B079">
            <w:pPr>
              <w:pStyle w:val="17"/>
              <w:bidi w:val="0"/>
              <w:rPr>
                <w:color w:val="auto"/>
                <w:highlight w:val="none"/>
              </w:rPr>
            </w:pPr>
          </w:p>
        </w:tc>
        <w:tc>
          <w:tcPr>
            <w:tcW w:w="2044" w:type="dxa"/>
            <w:tcBorders>
              <w:tl2br w:val="nil"/>
              <w:tr2bl w:val="nil"/>
            </w:tcBorders>
            <w:vAlign w:val="center"/>
          </w:tcPr>
          <w:p w14:paraId="57FFE62E">
            <w:pPr>
              <w:pStyle w:val="17"/>
              <w:bidi w:val="0"/>
              <w:rPr>
                <w:color w:val="auto"/>
                <w:highlight w:val="none"/>
              </w:rPr>
            </w:pPr>
            <w:r>
              <w:rPr>
                <w:color w:val="auto"/>
                <w:highlight w:val="none"/>
              </w:rPr>
              <w:t>现场检查和查看设计资料</w:t>
            </w:r>
          </w:p>
        </w:tc>
      </w:tr>
      <w:tr w14:paraId="09DE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1B8F48D5">
            <w:pPr>
              <w:pStyle w:val="17"/>
              <w:bidi w:val="0"/>
              <w:rPr>
                <w:color w:val="auto"/>
                <w:highlight w:val="none"/>
              </w:rPr>
            </w:pPr>
          </w:p>
        </w:tc>
        <w:tc>
          <w:tcPr>
            <w:tcW w:w="741" w:type="dxa"/>
            <w:vMerge w:val="continue"/>
            <w:tcBorders>
              <w:tl2br w:val="nil"/>
              <w:tr2bl w:val="nil"/>
            </w:tcBorders>
            <w:vAlign w:val="center"/>
          </w:tcPr>
          <w:p w14:paraId="49241A71">
            <w:pPr>
              <w:pStyle w:val="17"/>
              <w:bidi w:val="0"/>
              <w:rPr>
                <w:color w:val="auto"/>
                <w:highlight w:val="none"/>
              </w:rPr>
            </w:pPr>
          </w:p>
        </w:tc>
        <w:tc>
          <w:tcPr>
            <w:tcW w:w="3970" w:type="dxa"/>
            <w:tcBorders>
              <w:tl2br w:val="nil"/>
              <w:tr2bl w:val="nil"/>
            </w:tcBorders>
            <w:vAlign w:val="center"/>
          </w:tcPr>
          <w:p w14:paraId="53A28137">
            <w:pPr>
              <w:pStyle w:val="17"/>
              <w:bidi w:val="0"/>
              <w:rPr>
                <w:color w:val="auto"/>
                <w:highlight w:val="none"/>
              </w:rPr>
            </w:pPr>
            <w:r>
              <w:rPr>
                <w:color w:val="auto"/>
                <w:highlight w:val="none"/>
              </w:rPr>
              <w:t>建设单位应组织施工、监理、设计等单位的人员组成交工验收机构，进行初期坝、观测设施等工程验收，并编写验收报告</w:t>
            </w:r>
          </w:p>
        </w:tc>
        <w:tc>
          <w:tcPr>
            <w:tcW w:w="1266" w:type="dxa"/>
            <w:tcBorders>
              <w:tl2br w:val="nil"/>
              <w:tr2bl w:val="nil"/>
            </w:tcBorders>
            <w:vAlign w:val="center"/>
          </w:tcPr>
          <w:p w14:paraId="63C4A55D">
            <w:pPr>
              <w:pStyle w:val="17"/>
              <w:bidi w:val="0"/>
              <w:rPr>
                <w:color w:val="auto"/>
                <w:highlight w:val="none"/>
              </w:rPr>
            </w:pPr>
            <w:r>
              <w:rPr>
                <w:color w:val="auto"/>
                <w:highlight w:val="none"/>
              </w:rPr>
              <w:t>《尾矿设施施工及验收规程》</w:t>
            </w:r>
          </w:p>
        </w:tc>
        <w:tc>
          <w:tcPr>
            <w:tcW w:w="2044" w:type="dxa"/>
            <w:tcBorders>
              <w:tl2br w:val="nil"/>
              <w:tr2bl w:val="nil"/>
            </w:tcBorders>
            <w:vAlign w:val="center"/>
          </w:tcPr>
          <w:p w14:paraId="793B3CA1">
            <w:pPr>
              <w:pStyle w:val="17"/>
              <w:bidi w:val="0"/>
              <w:rPr>
                <w:color w:val="auto"/>
                <w:highlight w:val="none"/>
              </w:rPr>
            </w:pPr>
            <w:r>
              <w:rPr>
                <w:color w:val="auto"/>
                <w:highlight w:val="none"/>
              </w:rPr>
              <w:t>查阅验收报告资料</w:t>
            </w:r>
          </w:p>
        </w:tc>
      </w:tr>
      <w:tr w14:paraId="652C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4E7EF2B0">
            <w:pPr>
              <w:pStyle w:val="17"/>
              <w:bidi w:val="0"/>
              <w:rPr>
                <w:color w:val="auto"/>
                <w:highlight w:val="none"/>
              </w:rPr>
            </w:pPr>
          </w:p>
        </w:tc>
        <w:tc>
          <w:tcPr>
            <w:tcW w:w="741" w:type="dxa"/>
            <w:vMerge w:val="continue"/>
            <w:tcBorders>
              <w:tl2br w:val="nil"/>
              <w:tr2bl w:val="nil"/>
            </w:tcBorders>
            <w:vAlign w:val="center"/>
          </w:tcPr>
          <w:p w14:paraId="382A6BE0">
            <w:pPr>
              <w:pStyle w:val="17"/>
              <w:bidi w:val="0"/>
              <w:rPr>
                <w:color w:val="auto"/>
                <w:highlight w:val="none"/>
              </w:rPr>
            </w:pPr>
          </w:p>
        </w:tc>
        <w:tc>
          <w:tcPr>
            <w:tcW w:w="3970" w:type="dxa"/>
            <w:tcBorders>
              <w:tl2br w:val="nil"/>
              <w:tr2bl w:val="nil"/>
            </w:tcBorders>
            <w:vAlign w:val="center"/>
          </w:tcPr>
          <w:p w14:paraId="5EE81022">
            <w:pPr>
              <w:pStyle w:val="17"/>
              <w:bidi w:val="0"/>
              <w:rPr>
                <w:color w:val="auto"/>
                <w:highlight w:val="none"/>
              </w:rPr>
            </w:pPr>
            <w:r>
              <w:rPr>
                <w:color w:val="auto"/>
                <w:highlight w:val="none"/>
              </w:rPr>
              <w:t>尾矿初期坝与堆积坝坝坡的抗滑稳定性系数应满足规程关于抗滑稳定安全系数要求</w:t>
            </w:r>
          </w:p>
        </w:tc>
        <w:tc>
          <w:tcPr>
            <w:tcW w:w="1266" w:type="dxa"/>
            <w:tcBorders>
              <w:tl2br w:val="nil"/>
              <w:tr2bl w:val="nil"/>
            </w:tcBorders>
            <w:vAlign w:val="center"/>
          </w:tcPr>
          <w:p w14:paraId="523999DC">
            <w:pPr>
              <w:pStyle w:val="17"/>
              <w:bidi w:val="0"/>
              <w:rPr>
                <w:color w:val="auto"/>
                <w:highlight w:val="none"/>
              </w:rPr>
            </w:pPr>
            <w:r>
              <w:rPr>
                <w:color w:val="auto"/>
                <w:highlight w:val="none"/>
              </w:rPr>
              <w:t>《选矿厂尾矿设施设计规范》</w:t>
            </w:r>
          </w:p>
        </w:tc>
        <w:tc>
          <w:tcPr>
            <w:tcW w:w="2044" w:type="dxa"/>
            <w:tcBorders>
              <w:tl2br w:val="nil"/>
              <w:tr2bl w:val="nil"/>
            </w:tcBorders>
            <w:vAlign w:val="center"/>
          </w:tcPr>
          <w:p w14:paraId="6DA1B042">
            <w:pPr>
              <w:pStyle w:val="17"/>
              <w:bidi w:val="0"/>
              <w:rPr>
                <w:color w:val="auto"/>
                <w:highlight w:val="none"/>
              </w:rPr>
            </w:pPr>
            <w:r>
              <w:rPr>
                <w:color w:val="auto"/>
                <w:highlight w:val="none"/>
              </w:rPr>
              <w:t>查阅有无坝体稳定性计算资料</w:t>
            </w:r>
          </w:p>
        </w:tc>
      </w:tr>
      <w:tr w14:paraId="3344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restart"/>
            <w:tcBorders>
              <w:tl2br w:val="nil"/>
              <w:tr2bl w:val="nil"/>
            </w:tcBorders>
            <w:vAlign w:val="center"/>
          </w:tcPr>
          <w:p w14:paraId="017B20DA">
            <w:pPr>
              <w:pStyle w:val="17"/>
              <w:bidi w:val="0"/>
              <w:rPr>
                <w:color w:val="auto"/>
                <w:highlight w:val="none"/>
              </w:rPr>
            </w:pPr>
            <w:r>
              <w:rPr>
                <w:color w:val="auto"/>
                <w:highlight w:val="none"/>
              </w:rPr>
              <w:t>2</w:t>
            </w:r>
          </w:p>
        </w:tc>
        <w:tc>
          <w:tcPr>
            <w:tcW w:w="741" w:type="dxa"/>
            <w:vMerge w:val="restart"/>
            <w:tcBorders>
              <w:tl2br w:val="nil"/>
              <w:tr2bl w:val="nil"/>
            </w:tcBorders>
            <w:vAlign w:val="center"/>
          </w:tcPr>
          <w:p w14:paraId="1E4F42E7">
            <w:pPr>
              <w:pStyle w:val="17"/>
              <w:bidi w:val="0"/>
              <w:rPr>
                <w:color w:val="auto"/>
                <w:highlight w:val="none"/>
              </w:rPr>
            </w:pPr>
            <w:r>
              <w:rPr>
                <w:color w:val="auto"/>
                <w:highlight w:val="none"/>
              </w:rPr>
              <w:t>排洪防汛</w:t>
            </w:r>
          </w:p>
        </w:tc>
        <w:tc>
          <w:tcPr>
            <w:tcW w:w="3970" w:type="dxa"/>
            <w:tcBorders>
              <w:tl2br w:val="nil"/>
              <w:tr2bl w:val="nil"/>
            </w:tcBorders>
            <w:vAlign w:val="center"/>
          </w:tcPr>
          <w:p w14:paraId="4830879A">
            <w:pPr>
              <w:pStyle w:val="17"/>
              <w:bidi w:val="0"/>
              <w:rPr>
                <w:color w:val="auto"/>
                <w:highlight w:val="none"/>
              </w:rPr>
            </w:pPr>
            <w:r>
              <w:rPr>
                <w:color w:val="auto"/>
                <w:highlight w:val="none"/>
              </w:rPr>
              <w:t>根据设计或尾矿库安全生产年度计划，应保证在洪水来临并达到最高洪水水位时，滩顶安全超高和干滩长度满足规程和设计要求</w:t>
            </w:r>
          </w:p>
        </w:tc>
        <w:tc>
          <w:tcPr>
            <w:tcW w:w="1266" w:type="dxa"/>
            <w:vMerge w:val="restart"/>
            <w:tcBorders>
              <w:tl2br w:val="nil"/>
              <w:tr2bl w:val="nil"/>
            </w:tcBorders>
            <w:vAlign w:val="center"/>
          </w:tcPr>
          <w:p w14:paraId="68F1BAE8">
            <w:pPr>
              <w:pStyle w:val="17"/>
              <w:bidi w:val="0"/>
              <w:rPr>
                <w:color w:val="auto"/>
                <w:highlight w:val="none"/>
              </w:rPr>
            </w:pPr>
            <w:r>
              <w:rPr>
                <w:color w:val="auto"/>
                <w:highlight w:val="none"/>
              </w:rPr>
              <w:t>《尾矿库安全规程》</w:t>
            </w:r>
          </w:p>
        </w:tc>
        <w:tc>
          <w:tcPr>
            <w:tcW w:w="2044" w:type="dxa"/>
            <w:tcBorders>
              <w:tl2br w:val="nil"/>
              <w:tr2bl w:val="nil"/>
            </w:tcBorders>
            <w:vAlign w:val="center"/>
          </w:tcPr>
          <w:p w14:paraId="42B91516">
            <w:pPr>
              <w:pStyle w:val="17"/>
              <w:bidi w:val="0"/>
              <w:rPr>
                <w:color w:val="auto"/>
                <w:highlight w:val="none"/>
              </w:rPr>
            </w:pPr>
            <w:r>
              <w:rPr>
                <w:color w:val="auto"/>
                <w:highlight w:val="none"/>
              </w:rPr>
              <w:t>现场检查、查阅设计资料及安全生产年度计划</w:t>
            </w:r>
          </w:p>
        </w:tc>
      </w:tr>
      <w:tr w14:paraId="1D85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70A3AE6C">
            <w:pPr>
              <w:pStyle w:val="17"/>
              <w:bidi w:val="0"/>
              <w:rPr>
                <w:color w:val="auto"/>
                <w:highlight w:val="none"/>
              </w:rPr>
            </w:pPr>
          </w:p>
        </w:tc>
        <w:tc>
          <w:tcPr>
            <w:tcW w:w="741" w:type="dxa"/>
            <w:vMerge w:val="continue"/>
            <w:tcBorders>
              <w:tl2br w:val="nil"/>
              <w:tr2bl w:val="nil"/>
            </w:tcBorders>
            <w:vAlign w:val="center"/>
          </w:tcPr>
          <w:p w14:paraId="025E3E75">
            <w:pPr>
              <w:pStyle w:val="17"/>
              <w:bidi w:val="0"/>
              <w:rPr>
                <w:color w:val="auto"/>
                <w:highlight w:val="none"/>
              </w:rPr>
            </w:pPr>
          </w:p>
        </w:tc>
        <w:tc>
          <w:tcPr>
            <w:tcW w:w="3970" w:type="dxa"/>
            <w:tcBorders>
              <w:tl2br w:val="nil"/>
              <w:tr2bl w:val="nil"/>
            </w:tcBorders>
            <w:vAlign w:val="center"/>
          </w:tcPr>
          <w:p w14:paraId="6ADEBE8F">
            <w:pPr>
              <w:pStyle w:val="17"/>
              <w:bidi w:val="0"/>
              <w:rPr>
                <w:color w:val="auto"/>
                <w:highlight w:val="none"/>
              </w:rPr>
            </w:pPr>
            <w:r>
              <w:rPr>
                <w:color w:val="auto"/>
                <w:highlight w:val="none"/>
              </w:rPr>
              <w:t>防洪标准应满足规程中有关不同等别尾矿库防洪标准的要求</w:t>
            </w:r>
          </w:p>
        </w:tc>
        <w:tc>
          <w:tcPr>
            <w:tcW w:w="1266" w:type="dxa"/>
            <w:vMerge w:val="continue"/>
            <w:tcBorders>
              <w:tl2br w:val="nil"/>
              <w:tr2bl w:val="nil"/>
            </w:tcBorders>
            <w:vAlign w:val="center"/>
          </w:tcPr>
          <w:p w14:paraId="10CA3C70">
            <w:pPr>
              <w:pStyle w:val="17"/>
              <w:bidi w:val="0"/>
              <w:rPr>
                <w:color w:val="auto"/>
                <w:highlight w:val="none"/>
              </w:rPr>
            </w:pPr>
          </w:p>
        </w:tc>
        <w:tc>
          <w:tcPr>
            <w:tcW w:w="2044" w:type="dxa"/>
            <w:tcBorders>
              <w:tl2br w:val="nil"/>
              <w:tr2bl w:val="nil"/>
            </w:tcBorders>
            <w:vAlign w:val="center"/>
          </w:tcPr>
          <w:p w14:paraId="09760829">
            <w:pPr>
              <w:pStyle w:val="17"/>
              <w:bidi w:val="0"/>
              <w:rPr>
                <w:color w:val="auto"/>
                <w:highlight w:val="none"/>
              </w:rPr>
            </w:pPr>
            <w:r>
              <w:rPr>
                <w:color w:val="auto"/>
                <w:highlight w:val="none"/>
              </w:rPr>
              <w:t>查阅设计报告</w:t>
            </w:r>
          </w:p>
        </w:tc>
      </w:tr>
      <w:tr w14:paraId="3878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53CA47C7">
            <w:pPr>
              <w:pStyle w:val="17"/>
              <w:bidi w:val="0"/>
              <w:rPr>
                <w:color w:val="auto"/>
                <w:highlight w:val="none"/>
              </w:rPr>
            </w:pPr>
          </w:p>
        </w:tc>
        <w:tc>
          <w:tcPr>
            <w:tcW w:w="741" w:type="dxa"/>
            <w:vMerge w:val="continue"/>
            <w:tcBorders>
              <w:tl2br w:val="nil"/>
              <w:tr2bl w:val="nil"/>
            </w:tcBorders>
            <w:vAlign w:val="center"/>
          </w:tcPr>
          <w:p w14:paraId="70BE57C7">
            <w:pPr>
              <w:pStyle w:val="17"/>
              <w:bidi w:val="0"/>
              <w:rPr>
                <w:color w:val="auto"/>
                <w:highlight w:val="none"/>
              </w:rPr>
            </w:pPr>
          </w:p>
        </w:tc>
        <w:tc>
          <w:tcPr>
            <w:tcW w:w="3970" w:type="dxa"/>
            <w:tcBorders>
              <w:tl2br w:val="nil"/>
              <w:tr2bl w:val="nil"/>
            </w:tcBorders>
            <w:vAlign w:val="center"/>
          </w:tcPr>
          <w:p w14:paraId="14006777">
            <w:pPr>
              <w:pStyle w:val="17"/>
              <w:bidi w:val="0"/>
              <w:rPr>
                <w:color w:val="auto"/>
                <w:highlight w:val="none"/>
              </w:rPr>
            </w:pPr>
            <w:r>
              <w:rPr>
                <w:color w:val="auto"/>
                <w:highlight w:val="none"/>
              </w:rPr>
              <w:t>排洪系统现状能够满足设计要求的泄水能力，当24小时洪水总量小于调洪库容时，洪水排出时间不宜超过72小时</w:t>
            </w:r>
          </w:p>
        </w:tc>
        <w:tc>
          <w:tcPr>
            <w:tcW w:w="1266" w:type="dxa"/>
            <w:vMerge w:val="continue"/>
            <w:tcBorders>
              <w:tl2br w:val="nil"/>
              <w:tr2bl w:val="nil"/>
            </w:tcBorders>
            <w:vAlign w:val="center"/>
          </w:tcPr>
          <w:p w14:paraId="31755ABA">
            <w:pPr>
              <w:pStyle w:val="17"/>
              <w:bidi w:val="0"/>
              <w:rPr>
                <w:color w:val="auto"/>
                <w:highlight w:val="none"/>
              </w:rPr>
            </w:pPr>
          </w:p>
        </w:tc>
        <w:tc>
          <w:tcPr>
            <w:tcW w:w="2044" w:type="dxa"/>
            <w:tcBorders>
              <w:tl2br w:val="nil"/>
              <w:tr2bl w:val="nil"/>
            </w:tcBorders>
            <w:vAlign w:val="center"/>
          </w:tcPr>
          <w:p w14:paraId="48CCE62F">
            <w:pPr>
              <w:pStyle w:val="17"/>
              <w:bidi w:val="0"/>
              <w:rPr>
                <w:color w:val="auto"/>
                <w:highlight w:val="none"/>
              </w:rPr>
            </w:pPr>
            <w:r>
              <w:rPr>
                <w:color w:val="auto"/>
                <w:highlight w:val="none"/>
              </w:rPr>
              <w:t>查阅设计资料、检查排洪设施是否完好</w:t>
            </w:r>
          </w:p>
        </w:tc>
      </w:tr>
      <w:tr w14:paraId="0688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5C582B48">
            <w:pPr>
              <w:pStyle w:val="17"/>
              <w:bidi w:val="0"/>
              <w:rPr>
                <w:color w:val="auto"/>
                <w:highlight w:val="none"/>
              </w:rPr>
            </w:pPr>
          </w:p>
        </w:tc>
        <w:tc>
          <w:tcPr>
            <w:tcW w:w="741" w:type="dxa"/>
            <w:vMerge w:val="continue"/>
            <w:tcBorders>
              <w:tl2br w:val="nil"/>
              <w:tr2bl w:val="nil"/>
            </w:tcBorders>
            <w:vAlign w:val="center"/>
          </w:tcPr>
          <w:p w14:paraId="06BFDD80">
            <w:pPr>
              <w:pStyle w:val="17"/>
              <w:bidi w:val="0"/>
              <w:rPr>
                <w:color w:val="auto"/>
                <w:highlight w:val="none"/>
              </w:rPr>
            </w:pPr>
          </w:p>
        </w:tc>
        <w:tc>
          <w:tcPr>
            <w:tcW w:w="3970" w:type="dxa"/>
            <w:tcBorders>
              <w:tl2br w:val="nil"/>
              <w:tr2bl w:val="nil"/>
            </w:tcBorders>
            <w:vAlign w:val="center"/>
          </w:tcPr>
          <w:p w14:paraId="4D99C599">
            <w:pPr>
              <w:pStyle w:val="17"/>
              <w:bidi w:val="0"/>
              <w:rPr>
                <w:color w:val="auto"/>
                <w:highlight w:val="none"/>
              </w:rPr>
            </w:pPr>
            <w:r>
              <w:rPr>
                <w:color w:val="auto"/>
                <w:highlight w:val="none"/>
              </w:rPr>
              <w:t>在排水构筑物上或尾矿库内适当地点，应设置清晰醒目的水位标尺，标明正常运行水位和警戒水位</w:t>
            </w:r>
          </w:p>
        </w:tc>
        <w:tc>
          <w:tcPr>
            <w:tcW w:w="1266" w:type="dxa"/>
            <w:vMerge w:val="continue"/>
            <w:tcBorders>
              <w:tl2br w:val="nil"/>
              <w:tr2bl w:val="nil"/>
            </w:tcBorders>
            <w:vAlign w:val="center"/>
          </w:tcPr>
          <w:p w14:paraId="3ABAF64E">
            <w:pPr>
              <w:pStyle w:val="17"/>
              <w:bidi w:val="0"/>
              <w:rPr>
                <w:color w:val="auto"/>
                <w:highlight w:val="none"/>
              </w:rPr>
            </w:pPr>
          </w:p>
        </w:tc>
        <w:tc>
          <w:tcPr>
            <w:tcW w:w="2044" w:type="dxa"/>
            <w:tcBorders>
              <w:tl2br w:val="nil"/>
              <w:tr2bl w:val="nil"/>
            </w:tcBorders>
            <w:vAlign w:val="center"/>
          </w:tcPr>
          <w:p w14:paraId="79BC84B8">
            <w:pPr>
              <w:pStyle w:val="17"/>
              <w:bidi w:val="0"/>
              <w:rPr>
                <w:color w:val="auto"/>
                <w:highlight w:val="none"/>
              </w:rPr>
            </w:pPr>
            <w:r>
              <w:rPr>
                <w:color w:val="auto"/>
                <w:highlight w:val="none"/>
              </w:rPr>
              <w:t>检查尾矿库有无设置明显水位标尺</w:t>
            </w:r>
          </w:p>
        </w:tc>
      </w:tr>
      <w:tr w14:paraId="650C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52241CA7">
            <w:pPr>
              <w:pStyle w:val="17"/>
              <w:bidi w:val="0"/>
              <w:rPr>
                <w:color w:val="auto"/>
                <w:highlight w:val="none"/>
              </w:rPr>
            </w:pPr>
          </w:p>
        </w:tc>
        <w:tc>
          <w:tcPr>
            <w:tcW w:w="741" w:type="dxa"/>
            <w:vMerge w:val="continue"/>
            <w:tcBorders>
              <w:tl2br w:val="nil"/>
              <w:tr2bl w:val="nil"/>
            </w:tcBorders>
            <w:vAlign w:val="center"/>
          </w:tcPr>
          <w:p w14:paraId="6B88226B">
            <w:pPr>
              <w:pStyle w:val="17"/>
              <w:bidi w:val="0"/>
              <w:rPr>
                <w:color w:val="auto"/>
                <w:highlight w:val="none"/>
              </w:rPr>
            </w:pPr>
          </w:p>
        </w:tc>
        <w:tc>
          <w:tcPr>
            <w:tcW w:w="3970" w:type="dxa"/>
            <w:tcBorders>
              <w:tl2br w:val="nil"/>
              <w:tr2bl w:val="nil"/>
            </w:tcBorders>
            <w:vAlign w:val="center"/>
          </w:tcPr>
          <w:p w14:paraId="6462DD41">
            <w:pPr>
              <w:pStyle w:val="17"/>
              <w:bidi w:val="0"/>
              <w:rPr>
                <w:color w:val="auto"/>
                <w:highlight w:val="none"/>
              </w:rPr>
            </w:pPr>
            <w:r>
              <w:rPr>
                <w:color w:val="auto"/>
                <w:highlight w:val="none"/>
              </w:rPr>
              <w:t>汛期前应对排洪设施进行检查、维修和疏浚，确保排洪设施畅通。根据确定的排洪底坎高程，将排洪底坎以上1.5倍调洪高度内的挡板全部打开，清除排洪口前水面漂浮物</w:t>
            </w:r>
          </w:p>
        </w:tc>
        <w:tc>
          <w:tcPr>
            <w:tcW w:w="1266" w:type="dxa"/>
            <w:vMerge w:val="continue"/>
            <w:tcBorders>
              <w:tl2br w:val="nil"/>
              <w:tr2bl w:val="nil"/>
            </w:tcBorders>
            <w:vAlign w:val="center"/>
          </w:tcPr>
          <w:p w14:paraId="50E1772D">
            <w:pPr>
              <w:pStyle w:val="17"/>
              <w:bidi w:val="0"/>
              <w:rPr>
                <w:color w:val="auto"/>
                <w:highlight w:val="none"/>
              </w:rPr>
            </w:pPr>
          </w:p>
        </w:tc>
        <w:tc>
          <w:tcPr>
            <w:tcW w:w="2044" w:type="dxa"/>
            <w:tcBorders>
              <w:tl2br w:val="nil"/>
              <w:tr2bl w:val="nil"/>
            </w:tcBorders>
            <w:vAlign w:val="center"/>
          </w:tcPr>
          <w:p w14:paraId="4D3FA90F">
            <w:pPr>
              <w:pStyle w:val="17"/>
              <w:bidi w:val="0"/>
              <w:rPr>
                <w:color w:val="auto"/>
                <w:highlight w:val="none"/>
              </w:rPr>
            </w:pPr>
            <w:r>
              <w:rPr>
                <w:color w:val="auto"/>
                <w:highlight w:val="none"/>
              </w:rPr>
              <w:t>现场检查排洪设施和查阅记录</w:t>
            </w:r>
          </w:p>
        </w:tc>
      </w:tr>
      <w:tr w14:paraId="39B4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794225E7">
            <w:pPr>
              <w:pStyle w:val="17"/>
              <w:bidi w:val="0"/>
              <w:rPr>
                <w:color w:val="auto"/>
                <w:highlight w:val="none"/>
              </w:rPr>
            </w:pPr>
          </w:p>
        </w:tc>
        <w:tc>
          <w:tcPr>
            <w:tcW w:w="741" w:type="dxa"/>
            <w:vMerge w:val="continue"/>
            <w:tcBorders>
              <w:tl2br w:val="nil"/>
              <w:tr2bl w:val="nil"/>
            </w:tcBorders>
            <w:vAlign w:val="center"/>
          </w:tcPr>
          <w:p w14:paraId="1BD6DDD3">
            <w:pPr>
              <w:pStyle w:val="17"/>
              <w:bidi w:val="0"/>
              <w:rPr>
                <w:color w:val="auto"/>
                <w:highlight w:val="none"/>
              </w:rPr>
            </w:pPr>
          </w:p>
        </w:tc>
        <w:tc>
          <w:tcPr>
            <w:tcW w:w="3970" w:type="dxa"/>
            <w:tcBorders>
              <w:tl2br w:val="nil"/>
              <w:tr2bl w:val="nil"/>
            </w:tcBorders>
            <w:vAlign w:val="center"/>
          </w:tcPr>
          <w:p w14:paraId="32607BD5">
            <w:pPr>
              <w:pStyle w:val="17"/>
              <w:bidi w:val="0"/>
              <w:rPr>
                <w:color w:val="auto"/>
                <w:highlight w:val="none"/>
              </w:rPr>
            </w:pPr>
            <w:r>
              <w:rPr>
                <w:color w:val="auto"/>
                <w:highlight w:val="none"/>
              </w:rPr>
              <w:t>洪水过后应对排洪构筑物进行全面认真的检查与清理，发现问题及时修复，同时采取措施降低库水位，防止连续降雨后发生垮坝事故</w:t>
            </w:r>
          </w:p>
        </w:tc>
        <w:tc>
          <w:tcPr>
            <w:tcW w:w="1266" w:type="dxa"/>
            <w:vMerge w:val="continue"/>
            <w:tcBorders>
              <w:tl2br w:val="nil"/>
              <w:tr2bl w:val="nil"/>
            </w:tcBorders>
            <w:vAlign w:val="center"/>
          </w:tcPr>
          <w:p w14:paraId="1E13EBE8">
            <w:pPr>
              <w:pStyle w:val="17"/>
              <w:bidi w:val="0"/>
              <w:rPr>
                <w:color w:val="auto"/>
                <w:highlight w:val="none"/>
              </w:rPr>
            </w:pPr>
          </w:p>
        </w:tc>
        <w:tc>
          <w:tcPr>
            <w:tcW w:w="2044" w:type="dxa"/>
            <w:tcBorders>
              <w:tl2br w:val="nil"/>
              <w:tr2bl w:val="nil"/>
            </w:tcBorders>
            <w:vAlign w:val="center"/>
          </w:tcPr>
          <w:p w14:paraId="57417A68">
            <w:pPr>
              <w:pStyle w:val="17"/>
              <w:bidi w:val="0"/>
              <w:rPr>
                <w:color w:val="auto"/>
                <w:highlight w:val="none"/>
              </w:rPr>
            </w:pPr>
            <w:r>
              <w:rPr>
                <w:color w:val="auto"/>
                <w:highlight w:val="none"/>
              </w:rPr>
              <w:t>查阅检查记录</w:t>
            </w:r>
          </w:p>
        </w:tc>
      </w:tr>
      <w:tr w14:paraId="4171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151314BF">
            <w:pPr>
              <w:pStyle w:val="17"/>
              <w:bidi w:val="0"/>
              <w:rPr>
                <w:color w:val="auto"/>
                <w:highlight w:val="none"/>
              </w:rPr>
            </w:pPr>
          </w:p>
        </w:tc>
        <w:tc>
          <w:tcPr>
            <w:tcW w:w="741" w:type="dxa"/>
            <w:vMerge w:val="continue"/>
            <w:tcBorders>
              <w:tl2br w:val="nil"/>
              <w:tr2bl w:val="nil"/>
            </w:tcBorders>
            <w:vAlign w:val="center"/>
          </w:tcPr>
          <w:p w14:paraId="488CAC87">
            <w:pPr>
              <w:pStyle w:val="17"/>
              <w:bidi w:val="0"/>
              <w:rPr>
                <w:color w:val="auto"/>
                <w:highlight w:val="none"/>
              </w:rPr>
            </w:pPr>
          </w:p>
        </w:tc>
        <w:tc>
          <w:tcPr>
            <w:tcW w:w="3970" w:type="dxa"/>
            <w:tcBorders>
              <w:tl2br w:val="nil"/>
              <w:tr2bl w:val="nil"/>
            </w:tcBorders>
            <w:vAlign w:val="center"/>
          </w:tcPr>
          <w:p w14:paraId="6724A73F">
            <w:pPr>
              <w:pStyle w:val="17"/>
              <w:bidi w:val="0"/>
              <w:rPr>
                <w:color w:val="auto"/>
                <w:highlight w:val="none"/>
              </w:rPr>
            </w:pPr>
            <w:r>
              <w:rPr>
                <w:color w:val="auto"/>
                <w:highlight w:val="none"/>
              </w:rPr>
              <w:t>尾矿库排水构筑物停用后，</w:t>
            </w:r>
            <w:r>
              <w:rPr>
                <w:rFonts w:hint="eastAsia"/>
                <w:color w:val="auto"/>
                <w:highlight w:val="none"/>
                <w:lang w:eastAsia="zh-CN"/>
              </w:rPr>
              <w:t>必须严格按照</w:t>
            </w:r>
            <w:r>
              <w:rPr>
                <w:color w:val="auto"/>
                <w:highlight w:val="none"/>
              </w:rPr>
              <w:t>设计要求及时封堵，并确保施工质量。严禁在排水井井筒顶部封堵</w:t>
            </w:r>
          </w:p>
        </w:tc>
        <w:tc>
          <w:tcPr>
            <w:tcW w:w="1266" w:type="dxa"/>
            <w:vMerge w:val="continue"/>
            <w:tcBorders>
              <w:tl2br w:val="nil"/>
              <w:tr2bl w:val="nil"/>
            </w:tcBorders>
            <w:vAlign w:val="center"/>
          </w:tcPr>
          <w:p w14:paraId="157A9266">
            <w:pPr>
              <w:pStyle w:val="17"/>
              <w:bidi w:val="0"/>
              <w:rPr>
                <w:color w:val="auto"/>
                <w:highlight w:val="none"/>
              </w:rPr>
            </w:pPr>
          </w:p>
        </w:tc>
        <w:tc>
          <w:tcPr>
            <w:tcW w:w="2044" w:type="dxa"/>
            <w:tcBorders>
              <w:tl2br w:val="nil"/>
              <w:tr2bl w:val="nil"/>
            </w:tcBorders>
            <w:vAlign w:val="center"/>
          </w:tcPr>
          <w:p w14:paraId="465908D3">
            <w:pPr>
              <w:pStyle w:val="17"/>
              <w:bidi w:val="0"/>
              <w:rPr>
                <w:color w:val="auto"/>
                <w:highlight w:val="none"/>
              </w:rPr>
            </w:pPr>
            <w:r>
              <w:rPr>
                <w:color w:val="auto"/>
                <w:highlight w:val="none"/>
              </w:rPr>
              <w:t>现场检查和查阅封堵记录</w:t>
            </w:r>
          </w:p>
        </w:tc>
      </w:tr>
      <w:tr w14:paraId="5222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restart"/>
            <w:tcBorders>
              <w:tl2br w:val="nil"/>
              <w:tr2bl w:val="nil"/>
            </w:tcBorders>
            <w:vAlign w:val="center"/>
          </w:tcPr>
          <w:p w14:paraId="6719CC08">
            <w:pPr>
              <w:pStyle w:val="17"/>
              <w:bidi w:val="0"/>
              <w:rPr>
                <w:color w:val="auto"/>
                <w:highlight w:val="none"/>
              </w:rPr>
            </w:pPr>
            <w:r>
              <w:rPr>
                <w:color w:val="auto"/>
                <w:highlight w:val="none"/>
              </w:rPr>
              <w:t>3</w:t>
            </w:r>
          </w:p>
        </w:tc>
        <w:tc>
          <w:tcPr>
            <w:tcW w:w="741" w:type="dxa"/>
            <w:vMerge w:val="restart"/>
            <w:tcBorders>
              <w:tl2br w:val="nil"/>
              <w:tr2bl w:val="nil"/>
            </w:tcBorders>
            <w:vAlign w:val="center"/>
          </w:tcPr>
          <w:p w14:paraId="78DA2C38">
            <w:pPr>
              <w:pStyle w:val="17"/>
              <w:bidi w:val="0"/>
              <w:rPr>
                <w:color w:val="auto"/>
                <w:highlight w:val="none"/>
              </w:rPr>
            </w:pPr>
            <w:r>
              <w:rPr>
                <w:color w:val="auto"/>
                <w:highlight w:val="none"/>
              </w:rPr>
              <w:t>排放筑坝</w:t>
            </w:r>
          </w:p>
        </w:tc>
        <w:tc>
          <w:tcPr>
            <w:tcW w:w="3970" w:type="dxa"/>
            <w:tcBorders>
              <w:tl2br w:val="nil"/>
              <w:tr2bl w:val="nil"/>
            </w:tcBorders>
            <w:vAlign w:val="center"/>
          </w:tcPr>
          <w:p w14:paraId="3733499C">
            <w:pPr>
              <w:pStyle w:val="17"/>
              <w:bidi w:val="0"/>
              <w:rPr>
                <w:color w:val="auto"/>
                <w:highlight w:val="none"/>
              </w:rPr>
            </w:pPr>
            <w:r>
              <w:rPr>
                <w:color w:val="auto"/>
                <w:highlight w:val="none"/>
              </w:rPr>
              <w:t>上游式筑坝法，应于坝前均匀放矿，维持坝体均匀上升，不得任意在库后或一侧岸坡放矿</w:t>
            </w:r>
          </w:p>
        </w:tc>
        <w:tc>
          <w:tcPr>
            <w:tcW w:w="1266" w:type="dxa"/>
            <w:vMerge w:val="continue"/>
            <w:tcBorders>
              <w:tl2br w:val="nil"/>
              <w:tr2bl w:val="nil"/>
            </w:tcBorders>
            <w:vAlign w:val="center"/>
          </w:tcPr>
          <w:p w14:paraId="1FAB3634">
            <w:pPr>
              <w:pStyle w:val="17"/>
              <w:bidi w:val="0"/>
              <w:rPr>
                <w:color w:val="auto"/>
                <w:highlight w:val="none"/>
              </w:rPr>
            </w:pPr>
          </w:p>
        </w:tc>
        <w:tc>
          <w:tcPr>
            <w:tcW w:w="2044" w:type="dxa"/>
            <w:tcBorders>
              <w:tl2br w:val="nil"/>
              <w:tr2bl w:val="nil"/>
            </w:tcBorders>
            <w:vAlign w:val="center"/>
          </w:tcPr>
          <w:p w14:paraId="3A64F312">
            <w:pPr>
              <w:pStyle w:val="17"/>
              <w:bidi w:val="0"/>
              <w:rPr>
                <w:color w:val="auto"/>
                <w:highlight w:val="none"/>
              </w:rPr>
            </w:pPr>
            <w:r>
              <w:rPr>
                <w:color w:val="auto"/>
                <w:highlight w:val="none"/>
              </w:rPr>
              <w:t>现场检查是否均匀放矿</w:t>
            </w:r>
          </w:p>
        </w:tc>
      </w:tr>
      <w:tr w14:paraId="604D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4C6315EE">
            <w:pPr>
              <w:pStyle w:val="17"/>
              <w:bidi w:val="0"/>
              <w:rPr>
                <w:color w:val="auto"/>
                <w:highlight w:val="none"/>
              </w:rPr>
            </w:pPr>
          </w:p>
        </w:tc>
        <w:tc>
          <w:tcPr>
            <w:tcW w:w="741" w:type="dxa"/>
            <w:vMerge w:val="continue"/>
            <w:tcBorders>
              <w:tl2br w:val="nil"/>
              <w:tr2bl w:val="nil"/>
            </w:tcBorders>
            <w:vAlign w:val="center"/>
          </w:tcPr>
          <w:p w14:paraId="24EF16F8">
            <w:pPr>
              <w:pStyle w:val="17"/>
              <w:bidi w:val="0"/>
              <w:rPr>
                <w:color w:val="auto"/>
                <w:highlight w:val="none"/>
              </w:rPr>
            </w:pPr>
          </w:p>
        </w:tc>
        <w:tc>
          <w:tcPr>
            <w:tcW w:w="3970" w:type="dxa"/>
            <w:tcBorders>
              <w:tl2br w:val="nil"/>
              <w:tr2bl w:val="nil"/>
            </w:tcBorders>
            <w:vAlign w:val="center"/>
          </w:tcPr>
          <w:p w14:paraId="7AECFB1E">
            <w:pPr>
              <w:pStyle w:val="17"/>
              <w:bidi w:val="0"/>
              <w:rPr>
                <w:color w:val="auto"/>
                <w:highlight w:val="none"/>
              </w:rPr>
            </w:pPr>
            <w:r>
              <w:rPr>
                <w:color w:val="auto"/>
                <w:highlight w:val="none"/>
              </w:rPr>
              <w:t>坝体较长时应采用分段交替作业，使坝体均匀上升，应避免滩面出现侧坡、扇形坡或细粒尾矿大量集中沉积于某端或某侧</w:t>
            </w:r>
          </w:p>
        </w:tc>
        <w:tc>
          <w:tcPr>
            <w:tcW w:w="1266" w:type="dxa"/>
            <w:vMerge w:val="continue"/>
            <w:tcBorders>
              <w:tl2br w:val="nil"/>
              <w:tr2bl w:val="nil"/>
            </w:tcBorders>
            <w:vAlign w:val="center"/>
          </w:tcPr>
          <w:p w14:paraId="5933A705">
            <w:pPr>
              <w:pStyle w:val="17"/>
              <w:bidi w:val="0"/>
              <w:rPr>
                <w:color w:val="auto"/>
                <w:highlight w:val="none"/>
              </w:rPr>
            </w:pPr>
          </w:p>
        </w:tc>
        <w:tc>
          <w:tcPr>
            <w:tcW w:w="2044" w:type="dxa"/>
            <w:tcBorders>
              <w:tl2br w:val="nil"/>
              <w:tr2bl w:val="nil"/>
            </w:tcBorders>
            <w:vAlign w:val="center"/>
          </w:tcPr>
          <w:p w14:paraId="7B533230">
            <w:pPr>
              <w:pStyle w:val="17"/>
              <w:bidi w:val="0"/>
              <w:rPr>
                <w:color w:val="auto"/>
                <w:highlight w:val="none"/>
              </w:rPr>
            </w:pPr>
            <w:r>
              <w:rPr>
                <w:color w:val="auto"/>
                <w:highlight w:val="none"/>
              </w:rPr>
              <w:t>检查尾矿坝现场</w:t>
            </w:r>
          </w:p>
        </w:tc>
      </w:tr>
      <w:tr w14:paraId="6094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dxa"/>
            <w:vMerge w:val="continue"/>
            <w:tcBorders>
              <w:tl2br w:val="nil"/>
              <w:tr2bl w:val="nil"/>
            </w:tcBorders>
            <w:vAlign w:val="center"/>
          </w:tcPr>
          <w:p w14:paraId="72235126">
            <w:pPr>
              <w:pStyle w:val="17"/>
              <w:bidi w:val="0"/>
              <w:rPr>
                <w:color w:val="auto"/>
                <w:highlight w:val="none"/>
              </w:rPr>
            </w:pPr>
          </w:p>
        </w:tc>
        <w:tc>
          <w:tcPr>
            <w:tcW w:w="741" w:type="dxa"/>
            <w:vMerge w:val="continue"/>
            <w:tcBorders>
              <w:tl2br w:val="nil"/>
              <w:tr2bl w:val="nil"/>
            </w:tcBorders>
            <w:vAlign w:val="center"/>
          </w:tcPr>
          <w:p w14:paraId="393F4EAC">
            <w:pPr>
              <w:pStyle w:val="17"/>
              <w:bidi w:val="0"/>
              <w:rPr>
                <w:color w:val="auto"/>
                <w:highlight w:val="none"/>
              </w:rPr>
            </w:pPr>
          </w:p>
        </w:tc>
        <w:tc>
          <w:tcPr>
            <w:tcW w:w="3970" w:type="dxa"/>
            <w:tcBorders>
              <w:tl2br w:val="nil"/>
              <w:tr2bl w:val="nil"/>
            </w:tcBorders>
            <w:vAlign w:val="center"/>
          </w:tcPr>
          <w:p w14:paraId="0CF9431E">
            <w:pPr>
              <w:pStyle w:val="17"/>
              <w:bidi w:val="0"/>
              <w:rPr>
                <w:color w:val="auto"/>
                <w:highlight w:val="none"/>
              </w:rPr>
            </w:pPr>
            <w:r>
              <w:rPr>
                <w:color w:val="auto"/>
                <w:highlight w:val="none"/>
              </w:rPr>
              <w:t>每期子坝堆筑完毕，应进行质量检查，检查记录需经主管技术人员签字后存档备查</w:t>
            </w:r>
          </w:p>
        </w:tc>
        <w:tc>
          <w:tcPr>
            <w:tcW w:w="1266" w:type="dxa"/>
            <w:vMerge w:val="continue"/>
            <w:tcBorders>
              <w:tl2br w:val="nil"/>
              <w:tr2bl w:val="nil"/>
            </w:tcBorders>
            <w:vAlign w:val="center"/>
          </w:tcPr>
          <w:p w14:paraId="73BC6724">
            <w:pPr>
              <w:pStyle w:val="17"/>
              <w:bidi w:val="0"/>
              <w:rPr>
                <w:color w:val="auto"/>
                <w:highlight w:val="none"/>
              </w:rPr>
            </w:pPr>
          </w:p>
        </w:tc>
        <w:tc>
          <w:tcPr>
            <w:tcW w:w="2044" w:type="dxa"/>
            <w:tcBorders>
              <w:tl2br w:val="nil"/>
              <w:tr2bl w:val="nil"/>
            </w:tcBorders>
            <w:vAlign w:val="center"/>
          </w:tcPr>
          <w:p w14:paraId="78ED396E">
            <w:pPr>
              <w:pStyle w:val="17"/>
              <w:bidi w:val="0"/>
              <w:rPr>
                <w:color w:val="auto"/>
                <w:highlight w:val="none"/>
              </w:rPr>
            </w:pPr>
            <w:r>
              <w:rPr>
                <w:color w:val="auto"/>
                <w:highlight w:val="none"/>
              </w:rPr>
              <w:t>查阅堆坝记录</w:t>
            </w:r>
          </w:p>
        </w:tc>
      </w:tr>
    </w:tbl>
    <w:p w14:paraId="4B64246B">
      <w:pPr>
        <w:overflowPunct w:val="0"/>
        <w:topLinePunct/>
        <w:ind w:firstLine="480"/>
        <w:rPr>
          <w:color w:val="auto"/>
          <w:highlight w:val="none"/>
        </w:rPr>
      </w:pPr>
      <w:r>
        <w:rPr>
          <w:color w:val="auto"/>
          <w:highlight w:val="none"/>
        </w:rPr>
        <w:t>对于排查发现的问题，应及时消除环境隐患，积极整改，确保尾矿库环境风险可控。如发现重大环境风险安全隐患，应立即预警，并启动应急预案，及时报告当地生态环境部门，并邀请相关行业专家进行现场评估及出具尾矿库整改方案，积极整改到位，消除风险安全隐患。</w:t>
      </w:r>
    </w:p>
    <w:p w14:paraId="55E647AF">
      <w:pPr>
        <w:overflowPunct w:val="0"/>
        <w:topLinePunct/>
        <w:ind w:firstLine="480"/>
        <w:rPr>
          <w:color w:val="auto"/>
          <w:highlight w:val="none"/>
        </w:rPr>
      </w:pPr>
      <w:r>
        <w:rPr>
          <w:color w:val="auto"/>
          <w:highlight w:val="none"/>
        </w:rPr>
        <w:t>（2）尾矿库环境安全隐患治理计划</w:t>
      </w:r>
    </w:p>
    <w:p w14:paraId="7E2EEDA1">
      <w:pPr>
        <w:overflowPunct w:val="0"/>
        <w:topLinePunct/>
        <w:ind w:firstLine="480"/>
        <w:rPr>
          <w:color w:val="auto"/>
          <w:highlight w:val="none"/>
        </w:rPr>
      </w:pPr>
      <w:r>
        <w:rPr>
          <w:color w:val="auto"/>
          <w:highlight w:val="none"/>
        </w:rPr>
        <w:t>按照“一库一档”的要求，对历史遗留，要落实责任，制定整改方案，加强资金、技术、保障等方面的统筹，明确整治计划和期限，采取有力措施逐步消除安全和环境隐患。重点对尾矿库履行环评审批及建设项目“三同时”制度，相关环保设施设计、施工建设，尾矿库“三防措施”落实，污染物排放，尾矿库环境风险防范和应急管理等情况进行检查。具体内容见下表：</w:t>
      </w:r>
    </w:p>
    <w:p w14:paraId="16AB6B2B">
      <w:pPr>
        <w:ind w:firstLine="0" w:firstLineChars="0"/>
        <w:jc w:val="center"/>
        <w:rPr>
          <w:color w:val="auto"/>
          <w:highlight w:val="none"/>
        </w:rPr>
      </w:pPr>
      <w:bookmarkStart w:id="697" w:name="_Toc12268_WPSOffice_Level2"/>
      <w:r>
        <w:rPr>
          <w:b/>
          <w:bCs/>
          <w:color w:val="auto"/>
          <w:highlight w:val="none"/>
        </w:rPr>
        <w:t>表5.</w:t>
      </w:r>
      <w:r>
        <w:rPr>
          <w:rFonts w:hint="eastAsia"/>
          <w:b/>
          <w:bCs/>
          <w:color w:val="auto"/>
          <w:highlight w:val="none"/>
          <w:lang w:val="en-US" w:eastAsia="zh-CN"/>
        </w:rPr>
        <w:t>2</w:t>
      </w:r>
      <w:r>
        <w:rPr>
          <w:b/>
          <w:bCs/>
          <w:color w:val="auto"/>
          <w:highlight w:val="none"/>
        </w:rPr>
        <w:t>-</w:t>
      </w:r>
      <w:r>
        <w:rPr>
          <w:rFonts w:hint="eastAsia"/>
          <w:b/>
          <w:bCs/>
          <w:color w:val="auto"/>
          <w:highlight w:val="none"/>
          <w:lang w:val="en-US" w:eastAsia="zh-CN"/>
        </w:rPr>
        <w:t>39</w:t>
      </w:r>
      <w:r>
        <w:rPr>
          <w:b/>
          <w:bCs/>
          <w:color w:val="auto"/>
          <w:highlight w:val="none"/>
        </w:rPr>
        <w:t xml:space="preserve">    尾矿库安全隐患治理计划表</w:t>
      </w:r>
      <w:bookmarkEnd w:id="697"/>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4702"/>
        <w:gridCol w:w="1142"/>
        <w:gridCol w:w="2040"/>
      </w:tblGrid>
      <w:tr w14:paraId="014E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38" w:type="dxa"/>
            <w:tcBorders>
              <w:tl2br w:val="nil"/>
              <w:tr2bl w:val="nil"/>
            </w:tcBorders>
            <w:vAlign w:val="center"/>
          </w:tcPr>
          <w:p w14:paraId="4399FF3C">
            <w:pPr>
              <w:pStyle w:val="17"/>
              <w:bidi w:val="0"/>
              <w:rPr>
                <w:color w:val="auto"/>
                <w:highlight w:val="none"/>
              </w:rPr>
            </w:pPr>
            <w:r>
              <w:rPr>
                <w:color w:val="auto"/>
                <w:highlight w:val="none"/>
              </w:rPr>
              <w:t>序号</w:t>
            </w:r>
          </w:p>
        </w:tc>
        <w:tc>
          <w:tcPr>
            <w:tcW w:w="4702" w:type="dxa"/>
            <w:tcBorders>
              <w:tl2br w:val="nil"/>
              <w:tr2bl w:val="nil"/>
            </w:tcBorders>
            <w:vAlign w:val="center"/>
          </w:tcPr>
          <w:p w14:paraId="7F7DE251">
            <w:pPr>
              <w:pStyle w:val="17"/>
              <w:bidi w:val="0"/>
              <w:rPr>
                <w:color w:val="auto"/>
                <w:highlight w:val="none"/>
              </w:rPr>
            </w:pPr>
            <w:r>
              <w:rPr>
                <w:color w:val="auto"/>
                <w:highlight w:val="none"/>
              </w:rPr>
              <w:t>治理内容</w:t>
            </w:r>
          </w:p>
        </w:tc>
        <w:tc>
          <w:tcPr>
            <w:tcW w:w="1142" w:type="dxa"/>
            <w:tcBorders>
              <w:tl2br w:val="nil"/>
              <w:tr2bl w:val="nil"/>
            </w:tcBorders>
            <w:vAlign w:val="center"/>
          </w:tcPr>
          <w:p w14:paraId="577BDD9B">
            <w:pPr>
              <w:pStyle w:val="17"/>
              <w:bidi w:val="0"/>
              <w:rPr>
                <w:color w:val="auto"/>
                <w:highlight w:val="none"/>
              </w:rPr>
            </w:pPr>
            <w:r>
              <w:rPr>
                <w:color w:val="auto"/>
                <w:highlight w:val="none"/>
              </w:rPr>
              <w:t>法规依据</w:t>
            </w:r>
          </w:p>
        </w:tc>
        <w:tc>
          <w:tcPr>
            <w:tcW w:w="2040" w:type="dxa"/>
            <w:tcBorders>
              <w:tl2br w:val="nil"/>
              <w:tr2bl w:val="nil"/>
            </w:tcBorders>
            <w:vAlign w:val="center"/>
          </w:tcPr>
          <w:p w14:paraId="5A728AE3">
            <w:pPr>
              <w:pStyle w:val="17"/>
              <w:bidi w:val="0"/>
              <w:rPr>
                <w:color w:val="auto"/>
                <w:highlight w:val="none"/>
              </w:rPr>
            </w:pPr>
            <w:r>
              <w:rPr>
                <w:color w:val="auto"/>
                <w:highlight w:val="none"/>
              </w:rPr>
              <w:t>检查方法</w:t>
            </w:r>
          </w:p>
        </w:tc>
      </w:tr>
      <w:tr w14:paraId="3D8A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8" w:type="dxa"/>
            <w:tcBorders>
              <w:tl2br w:val="nil"/>
              <w:tr2bl w:val="nil"/>
            </w:tcBorders>
            <w:vAlign w:val="center"/>
          </w:tcPr>
          <w:p w14:paraId="6B3787B1">
            <w:pPr>
              <w:pStyle w:val="17"/>
              <w:bidi w:val="0"/>
              <w:rPr>
                <w:color w:val="auto"/>
                <w:highlight w:val="none"/>
              </w:rPr>
            </w:pPr>
            <w:r>
              <w:rPr>
                <w:color w:val="auto"/>
                <w:highlight w:val="none"/>
              </w:rPr>
              <w:t>1</w:t>
            </w:r>
          </w:p>
        </w:tc>
        <w:tc>
          <w:tcPr>
            <w:tcW w:w="4702" w:type="dxa"/>
            <w:tcBorders>
              <w:tl2br w:val="nil"/>
              <w:tr2bl w:val="nil"/>
            </w:tcBorders>
            <w:vAlign w:val="center"/>
          </w:tcPr>
          <w:p w14:paraId="296D0FA1">
            <w:pPr>
              <w:pStyle w:val="17"/>
              <w:bidi w:val="0"/>
              <w:rPr>
                <w:color w:val="auto"/>
                <w:highlight w:val="none"/>
              </w:rPr>
            </w:pPr>
            <w:r>
              <w:rPr>
                <w:color w:val="auto"/>
                <w:highlight w:val="none"/>
              </w:rPr>
              <w:t>尾矿库及其相应的选矿项目，必须依法进行环境影响评价。</w:t>
            </w:r>
          </w:p>
        </w:tc>
        <w:tc>
          <w:tcPr>
            <w:tcW w:w="1142" w:type="dxa"/>
            <w:tcBorders>
              <w:tl2br w:val="nil"/>
              <w:tr2bl w:val="nil"/>
            </w:tcBorders>
            <w:vAlign w:val="center"/>
          </w:tcPr>
          <w:p w14:paraId="07422A2C">
            <w:pPr>
              <w:pStyle w:val="17"/>
              <w:bidi w:val="0"/>
              <w:rPr>
                <w:color w:val="auto"/>
                <w:highlight w:val="none"/>
              </w:rPr>
            </w:pPr>
            <w:r>
              <w:rPr>
                <w:color w:val="auto"/>
                <w:highlight w:val="none"/>
              </w:rPr>
              <w:t>环评报告及批复</w:t>
            </w:r>
          </w:p>
        </w:tc>
        <w:tc>
          <w:tcPr>
            <w:tcW w:w="2040" w:type="dxa"/>
            <w:tcBorders>
              <w:tl2br w:val="nil"/>
              <w:tr2bl w:val="nil"/>
            </w:tcBorders>
            <w:vAlign w:val="center"/>
          </w:tcPr>
          <w:p w14:paraId="1A8838DD">
            <w:pPr>
              <w:pStyle w:val="17"/>
              <w:bidi w:val="0"/>
              <w:rPr>
                <w:color w:val="auto"/>
                <w:highlight w:val="none"/>
              </w:rPr>
            </w:pPr>
            <w:r>
              <w:rPr>
                <w:color w:val="auto"/>
                <w:highlight w:val="none"/>
              </w:rPr>
              <w:t>查阅资料</w:t>
            </w:r>
          </w:p>
        </w:tc>
      </w:tr>
      <w:tr w14:paraId="2DCE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8" w:type="dxa"/>
            <w:tcBorders>
              <w:tl2br w:val="nil"/>
              <w:tr2bl w:val="nil"/>
            </w:tcBorders>
            <w:vAlign w:val="center"/>
          </w:tcPr>
          <w:p w14:paraId="794D53FE">
            <w:pPr>
              <w:pStyle w:val="17"/>
              <w:bidi w:val="0"/>
              <w:rPr>
                <w:color w:val="auto"/>
                <w:highlight w:val="none"/>
              </w:rPr>
            </w:pPr>
            <w:r>
              <w:rPr>
                <w:color w:val="auto"/>
                <w:highlight w:val="none"/>
              </w:rPr>
              <w:t>2</w:t>
            </w:r>
          </w:p>
        </w:tc>
        <w:tc>
          <w:tcPr>
            <w:tcW w:w="4702" w:type="dxa"/>
            <w:tcBorders>
              <w:tl2br w:val="nil"/>
              <w:tr2bl w:val="nil"/>
            </w:tcBorders>
            <w:vAlign w:val="center"/>
          </w:tcPr>
          <w:p w14:paraId="6A70851C">
            <w:pPr>
              <w:pStyle w:val="17"/>
              <w:bidi w:val="0"/>
              <w:rPr>
                <w:color w:val="auto"/>
                <w:highlight w:val="none"/>
              </w:rPr>
            </w:pPr>
            <w:r>
              <w:rPr>
                <w:color w:val="auto"/>
                <w:highlight w:val="none"/>
              </w:rPr>
              <w:t>按要求开展自行监测，公开排污信息。</w:t>
            </w:r>
          </w:p>
        </w:tc>
        <w:tc>
          <w:tcPr>
            <w:tcW w:w="1142" w:type="dxa"/>
            <w:vMerge w:val="restart"/>
            <w:tcBorders>
              <w:tl2br w:val="nil"/>
              <w:tr2bl w:val="nil"/>
            </w:tcBorders>
            <w:vAlign w:val="center"/>
          </w:tcPr>
          <w:p w14:paraId="220034FB">
            <w:pPr>
              <w:pStyle w:val="17"/>
              <w:bidi w:val="0"/>
              <w:rPr>
                <w:color w:val="auto"/>
                <w:highlight w:val="none"/>
              </w:rPr>
            </w:pPr>
            <w:r>
              <w:rPr>
                <w:color w:val="auto"/>
                <w:highlight w:val="none"/>
              </w:rPr>
              <w:t>排污许可证</w:t>
            </w:r>
          </w:p>
        </w:tc>
        <w:tc>
          <w:tcPr>
            <w:tcW w:w="2040" w:type="dxa"/>
            <w:tcBorders>
              <w:tl2br w:val="nil"/>
              <w:tr2bl w:val="nil"/>
            </w:tcBorders>
            <w:vAlign w:val="center"/>
          </w:tcPr>
          <w:p w14:paraId="0E0892AB">
            <w:pPr>
              <w:pStyle w:val="17"/>
              <w:bidi w:val="0"/>
              <w:rPr>
                <w:color w:val="auto"/>
                <w:highlight w:val="none"/>
              </w:rPr>
            </w:pPr>
            <w:r>
              <w:rPr>
                <w:color w:val="auto"/>
                <w:highlight w:val="none"/>
              </w:rPr>
              <w:t>检查排污许可及公开情况</w:t>
            </w:r>
          </w:p>
        </w:tc>
      </w:tr>
      <w:tr w14:paraId="2217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8" w:type="dxa"/>
            <w:tcBorders>
              <w:tl2br w:val="nil"/>
              <w:tr2bl w:val="nil"/>
            </w:tcBorders>
            <w:vAlign w:val="center"/>
          </w:tcPr>
          <w:p w14:paraId="5EBDFFCE">
            <w:pPr>
              <w:pStyle w:val="17"/>
              <w:bidi w:val="0"/>
              <w:rPr>
                <w:color w:val="auto"/>
                <w:highlight w:val="none"/>
              </w:rPr>
            </w:pPr>
            <w:r>
              <w:rPr>
                <w:color w:val="auto"/>
                <w:highlight w:val="none"/>
              </w:rPr>
              <w:t>3</w:t>
            </w:r>
          </w:p>
        </w:tc>
        <w:tc>
          <w:tcPr>
            <w:tcW w:w="4702" w:type="dxa"/>
            <w:tcBorders>
              <w:tl2br w:val="nil"/>
              <w:tr2bl w:val="nil"/>
            </w:tcBorders>
            <w:vAlign w:val="center"/>
          </w:tcPr>
          <w:p w14:paraId="10359C2D">
            <w:pPr>
              <w:pStyle w:val="17"/>
              <w:bidi w:val="0"/>
              <w:rPr>
                <w:color w:val="auto"/>
                <w:highlight w:val="none"/>
              </w:rPr>
            </w:pPr>
            <w:r>
              <w:rPr>
                <w:color w:val="auto"/>
                <w:highlight w:val="none"/>
              </w:rPr>
              <w:t>尾矿库按规范设置监控井，加强地下水监测，封场后地下水监测系统应继续维持正常运转。</w:t>
            </w:r>
          </w:p>
        </w:tc>
        <w:tc>
          <w:tcPr>
            <w:tcW w:w="1142" w:type="dxa"/>
            <w:vMerge w:val="continue"/>
            <w:tcBorders>
              <w:tl2br w:val="nil"/>
              <w:tr2bl w:val="nil"/>
            </w:tcBorders>
            <w:vAlign w:val="center"/>
          </w:tcPr>
          <w:p w14:paraId="5558A97E">
            <w:pPr>
              <w:pStyle w:val="17"/>
              <w:bidi w:val="0"/>
              <w:rPr>
                <w:color w:val="auto"/>
                <w:highlight w:val="none"/>
              </w:rPr>
            </w:pPr>
          </w:p>
        </w:tc>
        <w:tc>
          <w:tcPr>
            <w:tcW w:w="2040" w:type="dxa"/>
            <w:tcBorders>
              <w:tl2br w:val="nil"/>
              <w:tr2bl w:val="nil"/>
            </w:tcBorders>
            <w:vAlign w:val="center"/>
          </w:tcPr>
          <w:p w14:paraId="58E5C166">
            <w:pPr>
              <w:pStyle w:val="17"/>
              <w:bidi w:val="0"/>
              <w:rPr>
                <w:color w:val="auto"/>
                <w:highlight w:val="none"/>
              </w:rPr>
            </w:pPr>
            <w:r>
              <w:rPr>
                <w:color w:val="auto"/>
                <w:highlight w:val="none"/>
              </w:rPr>
              <w:t>现场检查</w:t>
            </w:r>
          </w:p>
        </w:tc>
      </w:tr>
      <w:tr w14:paraId="3D55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8" w:type="dxa"/>
            <w:tcBorders>
              <w:tl2br w:val="nil"/>
              <w:tr2bl w:val="nil"/>
            </w:tcBorders>
            <w:vAlign w:val="center"/>
          </w:tcPr>
          <w:p w14:paraId="405D933D">
            <w:pPr>
              <w:pStyle w:val="17"/>
              <w:bidi w:val="0"/>
              <w:rPr>
                <w:color w:val="auto"/>
                <w:highlight w:val="none"/>
              </w:rPr>
            </w:pPr>
            <w:r>
              <w:rPr>
                <w:color w:val="auto"/>
                <w:highlight w:val="none"/>
              </w:rPr>
              <w:t>4</w:t>
            </w:r>
          </w:p>
        </w:tc>
        <w:tc>
          <w:tcPr>
            <w:tcW w:w="4702" w:type="dxa"/>
            <w:tcBorders>
              <w:tl2br w:val="nil"/>
              <w:tr2bl w:val="nil"/>
            </w:tcBorders>
            <w:vAlign w:val="center"/>
          </w:tcPr>
          <w:p w14:paraId="2F3ADB7B">
            <w:pPr>
              <w:pStyle w:val="17"/>
              <w:bidi w:val="0"/>
              <w:rPr>
                <w:color w:val="auto"/>
                <w:highlight w:val="none"/>
              </w:rPr>
            </w:pPr>
            <w:r>
              <w:rPr>
                <w:color w:val="auto"/>
                <w:highlight w:val="none"/>
              </w:rPr>
              <w:t>加强环境质量监测，及时掌握环境质量状况及其变化趋势。</w:t>
            </w:r>
          </w:p>
        </w:tc>
        <w:tc>
          <w:tcPr>
            <w:tcW w:w="1142" w:type="dxa"/>
            <w:vMerge w:val="continue"/>
            <w:tcBorders>
              <w:tl2br w:val="nil"/>
              <w:tr2bl w:val="nil"/>
            </w:tcBorders>
            <w:vAlign w:val="center"/>
          </w:tcPr>
          <w:p w14:paraId="1AE037EA">
            <w:pPr>
              <w:pStyle w:val="17"/>
              <w:bidi w:val="0"/>
              <w:rPr>
                <w:color w:val="auto"/>
                <w:highlight w:val="none"/>
              </w:rPr>
            </w:pPr>
          </w:p>
        </w:tc>
        <w:tc>
          <w:tcPr>
            <w:tcW w:w="2040" w:type="dxa"/>
            <w:tcBorders>
              <w:tl2br w:val="nil"/>
              <w:tr2bl w:val="nil"/>
            </w:tcBorders>
            <w:vAlign w:val="center"/>
          </w:tcPr>
          <w:p w14:paraId="55866944">
            <w:pPr>
              <w:pStyle w:val="17"/>
              <w:bidi w:val="0"/>
              <w:rPr>
                <w:color w:val="auto"/>
                <w:highlight w:val="none"/>
              </w:rPr>
            </w:pPr>
            <w:r>
              <w:rPr>
                <w:color w:val="auto"/>
                <w:highlight w:val="none"/>
              </w:rPr>
              <w:t>查阅资料</w:t>
            </w:r>
          </w:p>
        </w:tc>
      </w:tr>
      <w:tr w14:paraId="17BFB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8" w:type="dxa"/>
            <w:tcBorders>
              <w:tl2br w:val="nil"/>
              <w:tr2bl w:val="nil"/>
            </w:tcBorders>
            <w:vAlign w:val="center"/>
          </w:tcPr>
          <w:p w14:paraId="02FB97B5">
            <w:pPr>
              <w:pStyle w:val="17"/>
              <w:bidi w:val="0"/>
              <w:rPr>
                <w:color w:val="auto"/>
                <w:highlight w:val="none"/>
              </w:rPr>
            </w:pPr>
            <w:r>
              <w:rPr>
                <w:color w:val="auto"/>
                <w:highlight w:val="none"/>
              </w:rPr>
              <w:t>5</w:t>
            </w:r>
          </w:p>
        </w:tc>
        <w:tc>
          <w:tcPr>
            <w:tcW w:w="4702" w:type="dxa"/>
            <w:tcBorders>
              <w:tl2br w:val="nil"/>
              <w:tr2bl w:val="nil"/>
            </w:tcBorders>
            <w:vAlign w:val="center"/>
          </w:tcPr>
          <w:p w14:paraId="789D4917">
            <w:pPr>
              <w:pStyle w:val="17"/>
              <w:bidi w:val="0"/>
              <w:rPr>
                <w:color w:val="auto"/>
                <w:highlight w:val="none"/>
              </w:rPr>
            </w:pPr>
            <w:r>
              <w:rPr>
                <w:color w:val="auto"/>
                <w:highlight w:val="none"/>
              </w:rPr>
              <w:t>按照原环保部《突发环境事件应急管理办法》（环境保护部令第34号）等有关要求，落实环境隐患排查治理主体责任，开展环境隐患排查治理、环境风险评估，制定突发环境事件应急预案并报环保部门备案。</w:t>
            </w:r>
          </w:p>
        </w:tc>
        <w:tc>
          <w:tcPr>
            <w:tcW w:w="1142" w:type="dxa"/>
            <w:tcBorders>
              <w:tl2br w:val="nil"/>
              <w:tr2bl w:val="nil"/>
            </w:tcBorders>
            <w:vAlign w:val="center"/>
          </w:tcPr>
          <w:p w14:paraId="54D7E44B">
            <w:pPr>
              <w:pStyle w:val="17"/>
              <w:bidi w:val="0"/>
              <w:rPr>
                <w:color w:val="auto"/>
                <w:highlight w:val="none"/>
              </w:rPr>
            </w:pPr>
            <w:r>
              <w:rPr>
                <w:color w:val="auto"/>
                <w:highlight w:val="none"/>
              </w:rPr>
              <w:t>突发环境事件应急预案</w:t>
            </w:r>
          </w:p>
        </w:tc>
        <w:tc>
          <w:tcPr>
            <w:tcW w:w="2040" w:type="dxa"/>
            <w:tcBorders>
              <w:tl2br w:val="nil"/>
              <w:tr2bl w:val="nil"/>
            </w:tcBorders>
            <w:vAlign w:val="center"/>
          </w:tcPr>
          <w:p w14:paraId="58AA7AC4">
            <w:pPr>
              <w:pStyle w:val="17"/>
              <w:bidi w:val="0"/>
              <w:rPr>
                <w:color w:val="auto"/>
                <w:highlight w:val="none"/>
              </w:rPr>
            </w:pPr>
            <w:r>
              <w:rPr>
                <w:color w:val="auto"/>
                <w:highlight w:val="none"/>
              </w:rPr>
              <w:t>查询资料及现场核查</w:t>
            </w:r>
          </w:p>
        </w:tc>
      </w:tr>
      <w:tr w14:paraId="47FC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8" w:type="dxa"/>
            <w:tcBorders>
              <w:tl2br w:val="nil"/>
              <w:tr2bl w:val="nil"/>
            </w:tcBorders>
            <w:vAlign w:val="center"/>
          </w:tcPr>
          <w:p w14:paraId="207B2D74">
            <w:pPr>
              <w:pStyle w:val="17"/>
              <w:bidi w:val="0"/>
              <w:rPr>
                <w:color w:val="auto"/>
                <w:highlight w:val="none"/>
              </w:rPr>
            </w:pPr>
            <w:r>
              <w:rPr>
                <w:color w:val="auto"/>
                <w:highlight w:val="none"/>
              </w:rPr>
              <w:t>6</w:t>
            </w:r>
          </w:p>
        </w:tc>
        <w:tc>
          <w:tcPr>
            <w:tcW w:w="4702" w:type="dxa"/>
            <w:tcBorders>
              <w:tl2br w:val="nil"/>
              <w:tr2bl w:val="nil"/>
            </w:tcBorders>
            <w:vAlign w:val="center"/>
          </w:tcPr>
          <w:p w14:paraId="77293795">
            <w:pPr>
              <w:pStyle w:val="17"/>
              <w:bidi w:val="0"/>
              <w:rPr>
                <w:color w:val="auto"/>
                <w:highlight w:val="none"/>
              </w:rPr>
            </w:pPr>
            <w:r>
              <w:rPr>
                <w:color w:val="auto"/>
                <w:highlight w:val="none"/>
              </w:rPr>
              <w:t>尾矿库应具备完整的截排水系统，应设置收集管网、坝下收集池对尾矿库溢流水进行收集，确保溢流水处理设施正常运行，外排废水达到相应排放标准。尾矿库闭库后，渗滤液处理设施应继续维持正常运转，直至水质稳定达标。</w:t>
            </w:r>
          </w:p>
        </w:tc>
        <w:tc>
          <w:tcPr>
            <w:tcW w:w="1142" w:type="dxa"/>
            <w:tcBorders>
              <w:tl2br w:val="nil"/>
              <w:tr2bl w:val="nil"/>
            </w:tcBorders>
            <w:vAlign w:val="center"/>
          </w:tcPr>
          <w:p w14:paraId="45649A31">
            <w:pPr>
              <w:pStyle w:val="17"/>
              <w:bidi w:val="0"/>
              <w:rPr>
                <w:color w:val="auto"/>
                <w:highlight w:val="none"/>
              </w:rPr>
            </w:pPr>
            <w:r>
              <w:rPr>
                <w:color w:val="auto"/>
                <w:highlight w:val="none"/>
              </w:rPr>
              <w:t>环评报告及批复</w:t>
            </w:r>
          </w:p>
        </w:tc>
        <w:tc>
          <w:tcPr>
            <w:tcW w:w="2040" w:type="dxa"/>
            <w:tcBorders>
              <w:tl2br w:val="nil"/>
              <w:tr2bl w:val="nil"/>
            </w:tcBorders>
            <w:vAlign w:val="center"/>
          </w:tcPr>
          <w:p w14:paraId="0ED2DC88">
            <w:pPr>
              <w:pStyle w:val="17"/>
              <w:bidi w:val="0"/>
              <w:rPr>
                <w:color w:val="auto"/>
                <w:highlight w:val="none"/>
              </w:rPr>
            </w:pPr>
            <w:r>
              <w:rPr>
                <w:color w:val="auto"/>
                <w:highlight w:val="none"/>
              </w:rPr>
              <w:t>现场检查、查阅设计资料</w:t>
            </w:r>
          </w:p>
        </w:tc>
      </w:tr>
      <w:tr w14:paraId="209B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8" w:type="dxa"/>
            <w:tcBorders>
              <w:tl2br w:val="nil"/>
              <w:tr2bl w:val="nil"/>
            </w:tcBorders>
            <w:vAlign w:val="center"/>
          </w:tcPr>
          <w:p w14:paraId="2B42D66D">
            <w:pPr>
              <w:pStyle w:val="17"/>
              <w:bidi w:val="0"/>
              <w:rPr>
                <w:color w:val="auto"/>
                <w:highlight w:val="none"/>
              </w:rPr>
            </w:pPr>
            <w:r>
              <w:rPr>
                <w:color w:val="auto"/>
                <w:highlight w:val="none"/>
              </w:rPr>
              <w:t>7</w:t>
            </w:r>
          </w:p>
        </w:tc>
        <w:tc>
          <w:tcPr>
            <w:tcW w:w="4702" w:type="dxa"/>
            <w:tcBorders>
              <w:tl2br w:val="nil"/>
              <w:tr2bl w:val="nil"/>
            </w:tcBorders>
            <w:vAlign w:val="center"/>
          </w:tcPr>
          <w:p w14:paraId="07A2D8E5">
            <w:pPr>
              <w:pStyle w:val="17"/>
              <w:bidi w:val="0"/>
              <w:rPr>
                <w:color w:val="auto"/>
                <w:highlight w:val="none"/>
              </w:rPr>
            </w:pPr>
            <w:r>
              <w:rPr>
                <w:color w:val="auto"/>
                <w:highlight w:val="none"/>
              </w:rPr>
              <w:t>尾矿库禁止危险废物和生活垃圾混入，无法综合处理的尾砂应进入符合规范要求的尾矿库进行安全堆存。</w:t>
            </w:r>
          </w:p>
        </w:tc>
        <w:tc>
          <w:tcPr>
            <w:tcW w:w="1142" w:type="dxa"/>
            <w:tcBorders>
              <w:tl2br w:val="nil"/>
              <w:tr2bl w:val="nil"/>
            </w:tcBorders>
            <w:vAlign w:val="center"/>
          </w:tcPr>
          <w:p w14:paraId="3F93234A">
            <w:pPr>
              <w:pStyle w:val="17"/>
              <w:bidi w:val="0"/>
              <w:rPr>
                <w:color w:val="auto"/>
                <w:highlight w:val="none"/>
              </w:rPr>
            </w:pPr>
            <w:r>
              <w:rPr>
                <w:color w:val="auto"/>
                <w:highlight w:val="none"/>
              </w:rPr>
              <w:t>环评报告及批复</w:t>
            </w:r>
          </w:p>
        </w:tc>
        <w:tc>
          <w:tcPr>
            <w:tcW w:w="2040" w:type="dxa"/>
            <w:tcBorders>
              <w:tl2br w:val="nil"/>
              <w:tr2bl w:val="nil"/>
            </w:tcBorders>
            <w:vAlign w:val="center"/>
          </w:tcPr>
          <w:p w14:paraId="5E425893">
            <w:pPr>
              <w:pStyle w:val="17"/>
              <w:bidi w:val="0"/>
              <w:rPr>
                <w:color w:val="auto"/>
                <w:highlight w:val="none"/>
              </w:rPr>
            </w:pPr>
            <w:r>
              <w:rPr>
                <w:color w:val="auto"/>
                <w:highlight w:val="none"/>
              </w:rPr>
              <w:t>现场检查</w:t>
            </w:r>
          </w:p>
        </w:tc>
      </w:tr>
      <w:tr w14:paraId="06BD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8" w:type="dxa"/>
            <w:tcBorders>
              <w:tl2br w:val="nil"/>
              <w:tr2bl w:val="nil"/>
            </w:tcBorders>
            <w:vAlign w:val="center"/>
          </w:tcPr>
          <w:p w14:paraId="69054D6D">
            <w:pPr>
              <w:pStyle w:val="17"/>
              <w:bidi w:val="0"/>
              <w:rPr>
                <w:color w:val="auto"/>
                <w:highlight w:val="none"/>
              </w:rPr>
            </w:pPr>
            <w:r>
              <w:rPr>
                <w:color w:val="auto"/>
                <w:highlight w:val="none"/>
              </w:rPr>
              <w:t>8</w:t>
            </w:r>
          </w:p>
        </w:tc>
        <w:tc>
          <w:tcPr>
            <w:tcW w:w="4702" w:type="dxa"/>
            <w:tcBorders>
              <w:tl2br w:val="nil"/>
              <w:tr2bl w:val="nil"/>
            </w:tcBorders>
            <w:vAlign w:val="center"/>
          </w:tcPr>
          <w:p w14:paraId="0A354749">
            <w:pPr>
              <w:pStyle w:val="17"/>
              <w:bidi w:val="0"/>
              <w:rPr>
                <w:color w:val="auto"/>
                <w:highlight w:val="none"/>
              </w:rPr>
            </w:pPr>
            <w:r>
              <w:rPr>
                <w:color w:val="auto"/>
                <w:highlight w:val="none"/>
              </w:rPr>
              <w:t>完善覆膜、压土、排洪、堤坝加固等隐患治理和闭库措施，阻断污染扩散途径。在尾矿库停止使用后必须进行处置，保证坝体安全，不污染环境，消除污染事故隐患。</w:t>
            </w:r>
          </w:p>
          <w:p w14:paraId="128D97E2">
            <w:pPr>
              <w:pStyle w:val="17"/>
              <w:bidi w:val="0"/>
              <w:rPr>
                <w:color w:val="auto"/>
                <w:highlight w:val="none"/>
              </w:rPr>
            </w:pPr>
            <w:r>
              <w:rPr>
                <w:color w:val="auto"/>
                <w:highlight w:val="none"/>
              </w:rPr>
              <w:t>关闭尾矿设施必须报上级生态环境主管部门验收、批准。利用处置过的尾矿或其设施，需经上级生态环境主管部门批准，并备案。</w:t>
            </w:r>
          </w:p>
        </w:tc>
        <w:tc>
          <w:tcPr>
            <w:tcW w:w="1142" w:type="dxa"/>
            <w:tcBorders>
              <w:tl2br w:val="nil"/>
              <w:tr2bl w:val="nil"/>
            </w:tcBorders>
            <w:vAlign w:val="center"/>
          </w:tcPr>
          <w:p w14:paraId="7D5E752C">
            <w:pPr>
              <w:pStyle w:val="17"/>
              <w:bidi w:val="0"/>
              <w:rPr>
                <w:color w:val="auto"/>
                <w:highlight w:val="none"/>
              </w:rPr>
            </w:pPr>
            <w:r>
              <w:rPr>
                <w:color w:val="auto"/>
                <w:highlight w:val="none"/>
              </w:rPr>
              <w:t>环评报告及批复</w:t>
            </w:r>
          </w:p>
        </w:tc>
        <w:tc>
          <w:tcPr>
            <w:tcW w:w="2040" w:type="dxa"/>
            <w:tcBorders>
              <w:tl2br w:val="nil"/>
              <w:tr2bl w:val="nil"/>
            </w:tcBorders>
            <w:vAlign w:val="center"/>
          </w:tcPr>
          <w:p w14:paraId="38EF1725">
            <w:pPr>
              <w:pStyle w:val="17"/>
              <w:bidi w:val="0"/>
              <w:rPr>
                <w:color w:val="auto"/>
                <w:highlight w:val="none"/>
              </w:rPr>
            </w:pPr>
            <w:r>
              <w:rPr>
                <w:color w:val="auto"/>
                <w:highlight w:val="none"/>
              </w:rPr>
              <w:t>查阅设计资料、现场检查</w:t>
            </w:r>
          </w:p>
        </w:tc>
      </w:tr>
    </w:tbl>
    <w:p w14:paraId="2D56ABA2">
      <w:pPr>
        <w:pStyle w:val="7"/>
        <w:bidi w:val="0"/>
        <w:rPr>
          <w:color w:val="auto"/>
          <w:highlight w:val="none"/>
        </w:rPr>
      </w:pPr>
      <w:r>
        <w:rPr>
          <w:rFonts w:hint="eastAsia"/>
          <w:color w:val="auto"/>
          <w:highlight w:val="none"/>
          <w:lang w:val="en-US" w:eastAsia="zh-CN"/>
        </w:rPr>
        <w:t>5.2.8.8</w:t>
      </w:r>
      <w:r>
        <w:rPr>
          <w:color w:val="auto"/>
          <w:highlight w:val="none"/>
        </w:rPr>
        <w:t>尾矿库环境风险三级防控体系</w:t>
      </w:r>
    </w:p>
    <w:p w14:paraId="1AA52855">
      <w:pPr>
        <w:widowControl/>
        <w:topLinePunct/>
        <w:ind w:firstLine="480"/>
        <w:rPr>
          <w:rFonts w:cs="宋体"/>
          <w:color w:val="auto"/>
          <w:szCs w:val="20"/>
          <w:highlight w:val="none"/>
        </w:rPr>
      </w:pPr>
      <w:r>
        <w:rPr>
          <w:rFonts w:hint="eastAsia" w:cs="宋体"/>
          <w:color w:val="auto"/>
          <w:szCs w:val="20"/>
          <w:highlight w:val="none"/>
        </w:rPr>
        <w:t>根据《尾矿库环境应急管理工作指南（试行）》（环办〔</w:t>
      </w:r>
      <w:r>
        <w:rPr>
          <w:rFonts w:cs="宋体"/>
          <w:color w:val="auto"/>
          <w:szCs w:val="20"/>
          <w:highlight w:val="none"/>
        </w:rPr>
        <w:t>2010</w:t>
      </w:r>
      <w:r>
        <w:rPr>
          <w:rFonts w:hint="eastAsia" w:cs="宋体"/>
          <w:color w:val="auto"/>
          <w:szCs w:val="20"/>
          <w:highlight w:val="none"/>
        </w:rPr>
        <w:t>〕</w:t>
      </w:r>
      <w:r>
        <w:rPr>
          <w:rFonts w:cs="宋体"/>
          <w:color w:val="auto"/>
          <w:szCs w:val="20"/>
          <w:highlight w:val="none"/>
        </w:rPr>
        <w:t>138</w:t>
      </w:r>
      <w:r>
        <w:rPr>
          <w:rFonts w:hint="eastAsia" w:cs="宋体"/>
          <w:color w:val="auto"/>
          <w:szCs w:val="20"/>
          <w:highlight w:val="none"/>
        </w:rPr>
        <w:t>号）要求，尾矿库企业应执行尾矿库三级防控体系进行分组防控。在车间、库区和流域三个层级设防布控，防止尾矿库企业发生污染事件。其中尾矿库企业应采取措施对车间及库区范围内可能发生的突发环境事件进行防控，地方人民政府组织企业建设流域防控措施。</w:t>
      </w:r>
    </w:p>
    <w:p w14:paraId="35DA964D">
      <w:pPr>
        <w:widowControl/>
        <w:topLinePunct/>
        <w:ind w:firstLine="480"/>
        <w:rPr>
          <w:rFonts w:cs="宋体"/>
          <w:color w:val="auto"/>
          <w:szCs w:val="20"/>
          <w:highlight w:val="none"/>
        </w:rPr>
      </w:pPr>
      <w:r>
        <w:rPr>
          <w:rFonts w:hint="eastAsia" w:cs="宋体"/>
          <w:color w:val="auto"/>
          <w:szCs w:val="20"/>
          <w:highlight w:val="none"/>
        </w:rPr>
        <w:t>（</w:t>
      </w:r>
      <w:r>
        <w:rPr>
          <w:rFonts w:cs="宋体"/>
          <w:color w:val="auto"/>
          <w:szCs w:val="20"/>
          <w:highlight w:val="none"/>
        </w:rPr>
        <w:t>1</w:t>
      </w:r>
      <w:r>
        <w:rPr>
          <w:rFonts w:hint="eastAsia" w:cs="宋体"/>
          <w:color w:val="auto"/>
          <w:szCs w:val="20"/>
          <w:highlight w:val="none"/>
        </w:rPr>
        <w:t>）第一级防控：车间级</w:t>
      </w:r>
    </w:p>
    <w:p w14:paraId="017D0515">
      <w:pPr>
        <w:widowControl/>
        <w:topLinePunct/>
        <w:ind w:firstLine="480"/>
        <w:rPr>
          <w:rFonts w:cs="宋体"/>
          <w:color w:val="auto"/>
          <w:szCs w:val="20"/>
          <w:highlight w:val="none"/>
        </w:rPr>
      </w:pPr>
      <w:r>
        <w:rPr>
          <w:rFonts w:hint="eastAsia" w:cs="宋体"/>
          <w:color w:val="auto"/>
          <w:szCs w:val="20"/>
          <w:highlight w:val="none"/>
        </w:rPr>
        <w:t>第一级防控主要</w:t>
      </w:r>
      <w:r>
        <w:rPr>
          <w:rFonts w:hint="eastAsia" w:cs="宋体"/>
          <w:color w:val="auto"/>
          <w:szCs w:val="20"/>
          <w:highlight w:val="none"/>
          <w:lang w:eastAsia="zh-CN"/>
        </w:rPr>
        <w:t>预防</w:t>
      </w:r>
      <w:r>
        <w:rPr>
          <w:rFonts w:hint="eastAsia" w:cs="宋体"/>
          <w:color w:val="auto"/>
          <w:szCs w:val="20"/>
          <w:highlight w:val="none"/>
        </w:rPr>
        <w:t>尾矿库回水泵故障造成尾矿废水溢流。</w:t>
      </w:r>
    </w:p>
    <w:p w14:paraId="3DC00C47">
      <w:pPr>
        <w:widowControl/>
        <w:topLinePunct/>
        <w:ind w:firstLine="480"/>
        <w:rPr>
          <w:rFonts w:cs="宋体"/>
          <w:color w:val="auto"/>
          <w:szCs w:val="20"/>
          <w:highlight w:val="none"/>
        </w:rPr>
      </w:pPr>
      <w:r>
        <w:rPr>
          <w:rFonts w:hint="eastAsia" w:cs="宋体"/>
          <w:color w:val="auto"/>
          <w:szCs w:val="20"/>
          <w:highlight w:val="none"/>
        </w:rPr>
        <w:t>第一级防控主要措施为及时检修尾矿库相关设备，发现故障立即启用备用设备。同时联系选矿厂做好尾矿输送调度安排。</w:t>
      </w:r>
    </w:p>
    <w:p w14:paraId="3E31F83A">
      <w:pPr>
        <w:widowControl/>
        <w:topLinePunct/>
        <w:ind w:firstLine="480"/>
        <w:rPr>
          <w:rFonts w:cs="宋体"/>
          <w:color w:val="auto"/>
          <w:szCs w:val="20"/>
          <w:highlight w:val="none"/>
        </w:rPr>
      </w:pPr>
      <w:r>
        <w:rPr>
          <w:rFonts w:hint="eastAsia" w:cs="宋体"/>
          <w:color w:val="auto"/>
          <w:szCs w:val="20"/>
          <w:highlight w:val="none"/>
        </w:rPr>
        <w:t>（</w:t>
      </w:r>
      <w:r>
        <w:rPr>
          <w:rFonts w:cs="宋体"/>
          <w:color w:val="auto"/>
          <w:szCs w:val="20"/>
          <w:highlight w:val="none"/>
        </w:rPr>
        <w:t>2</w:t>
      </w:r>
      <w:r>
        <w:rPr>
          <w:rFonts w:hint="eastAsia" w:cs="宋体"/>
          <w:color w:val="auto"/>
          <w:szCs w:val="20"/>
          <w:highlight w:val="none"/>
        </w:rPr>
        <w:t>）第二级防控：厂区级</w:t>
      </w:r>
    </w:p>
    <w:p w14:paraId="1370BFFF">
      <w:pPr>
        <w:widowControl/>
        <w:topLinePunct/>
        <w:ind w:firstLine="480"/>
        <w:rPr>
          <w:rFonts w:cs="宋体"/>
          <w:color w:val="auto"/>
          <w:szCs w:val="20"/>
          <w:highlight w:val="none"/>
        </w:rPr>
      </w:pPr>
      <w:r>
        <w:rPr>
          <w:rFonts w:hint="eastAsia" w:cs="宋体"/>
          <w:color w:val="auto"/>
          <w:szCs w:val="20"/>
          <w:highlight w:val="none"/>
        </w:rPr>
        <w:t>第二级防控主要预防排水系统出现堵塞、管道破裂而发生</w:t>
      </w:r>
      <w:r>
        <w:rPr>
          <w:rFonts w:hint="eastAsia" w:cs="宋体"/>
          <w:color w:val="auto"/>
          <w:szCs w:val="20"/>
          <w:highlight w:val="none"/>
          <w:lang w:eastAsia="zh-CN"/>
        </w:rPr>
        <w:t>泄漏</w:t>
      </w:r>
      <w:r>
        <w:rPr>
          <w:rFonts w:hint="eastAsia" w:cs="宋体"/>
          <w:color w:val="auto"/>
          <w:szCs w:val="20"/>
          <w:highlight w:val="none"/>
        </w:rPr>
        <w:t>。</w:t>
      </w:r>
    </w:p>
    <w:p w14:paraId="254D503B">
      <w:pPr>
        <w:widowControl/>
        <w:topLinePunct/>
        <w:ind w:firstLine="480"/>
        <w:rPr>
          <w:rFonts w:cs="宋体"/>
          <w:color w:val="auto"/>
          <w:szCs w:val="20"/>
          <w:highlight w:val="none"/>
        </w:rPr>
      </w:pPr>
      <w:r>
        <w:rPr>
          <w:rFonts w:hint="eastAsia" w:cs="宋体"/>
          <w:color w:val="auto"/>
          <w:szCs w:val="20"/>
          <w:highlight w:val="none"/>
        </w:rPr>
        <w:t>第二级防控主要措施为平时加强尾矿库排水系统的维护，定期检修。尾矿排水管道破裂或堵塞时，应立即停止使用、切换到备用管道</w:t>
      </w:r>
      <w:r>
        <w:rPr>
          <w:rFonts w:hint="eastAsia" w:cs="宋体"/>
          <w:color w:val="auto"/>
          <w:szCs w:val="20"/>
          <w:highlight w:val="none"/>
          <w:lang w:eastAsia="zh-CN"/>
        </w:rPr>
        <w:t>，</w:t>
      </w:r>
      <w:r>
        <w:rPr>
          <w:rFonts w:hint="eastAsia" w:cs="宋体"/>
          <w:color w:val="auto"/>
          <w:szCs w:val="20"/>
          <w:highlight w:val="none"/>
        </w:rPr>
        <w:t>通过采取以上措施可以减少事故条件下下泄水量，有效地降低尾矿排水事故对下游的影响。</w:t>
      </w:r>
    </w:p>
    <w:p w14:paraId="327EDB48">
      <w:pPr>
        <w:widowControl/>
        <w:topLinePunct/>
        <w:ind w:firstLine="480"/>
        <w:rPr>
          <w:rFonts w:cs="宋体"/>
          <w:color w:val="auto"/>
          <w:szCs w:val="20"/>
          <w:highlight w:val="none"/>
        </w:rPr>
      </w:pPr>
      <w:r>
        <w:rPr>
          <w:rFonts w:hint="eastAsia" w:cs="宋体"/>
          <w:color w:val="auto"/>
          <w:szCs w:val="20"/>
          <w:highlight w:val="none"/>
        </w:rPr>
        <w:t>（</w:t>
      </w:r>
      <w:r>
        <w:rPr>
          <w:rFonts w:cs="宋体"/>
          <w:color w:val="auto"/>
          <w:szCs w:val="20"/>
          <w:highlight w:val="none"/>
        </w:rPr>
        <w:t>3</w:t>
      </w:r>
      <w:r>
        <w:rPr>
          <w:rFonts w:hint="eastAsia" w:cs="宋体"/>
          <w:color w:val="auto"/>
          <w:szCs w:val="20"/>
          <w:highlight w:val="none"/>
        </w:rPr>
        <w:t>）第三级防控：流域级</w:t>
      </w:r>
    </w:p>
    <w:p w14:paraId="355BFC3A">
      <w:pPr>
        <w:widowControl/>
        <w:topLinePunct/>
        <w:ind w:firstLine="480"/>
        <w:rPr>
          <w:rFonts w:cs="宋体"/>
          <w:color w:val="auto"/>
          <w:szCs w:val="20"/>
          <w:highlight w:val="none"/>
        </w:rPr>
      </w:pPr>
      <w:r>
        <w:rPr>
          <w:rFonts w:hint="eastAsia" w:cs="宋体"/>
          <w:color w:val="auto"/>
          <w:szCs w:val="20"/>
          <w:highlight w:val="none"/>
        </w:rPr>
        <w:t>第三级防控主要预防尾矿库发生溃坝，滑坡等事故，发生尾矿</w:t>
      </w:r>
      <w:r>
        <w:rPr>
          <w:rFonts w:hint="eastAsia" w:cs="宋体"/>
          <w:color w:val="auto"/>
          <w:szCs w:val="20"/>
          <w:highlight w:val="none"/>
          <w:lang w:eastAsia="zh-CN"/>
        </w:rPr>
        <w:t>泄漏</w:t>
      </w:r>
      <w:r>
        <w:rPr>
          <w:rFonts w:hint="eastAsia" w:cs="宋体"/>
          <w:color w:val="auto"/>
          <w:szCs w:val="20"/>
          <w:highlight w:val="none"/>
        </w:rPr>
        <w:t>，一、二级防控失败条件下的防控措施。</w:t>
      </w:r>
    </w:p>
    <w:p w14:paraId="59DB8244">
      <w:pPr>
        <w:topLinePunct/>
        <w:spacing w:line="480" w:lineRule="exact"/>
        <w:ind w:firstLine="480"/>
        <w:rPr>
          <w:color w:val="auto"/>
          <w:highlight w:val="none"/>
        </w:rPr>
      </w:pPr>
      <w:r>
        <w:rPr>
          <w:rFonts w:hint="eastAsia"/>
          <w:color w:val="auto"/>
          <w:highlight w:val="none"/>
        </w:rPr>
        <w:t>评价建议当地有关部门按照《尾矿库环境应急管理工作指南（试行）》（环办〔</w:t>
      </w:r>
      <w:r>
        <w:rPr>
          <w:color w:val="auto"/>
          <w:highlight w:val="none"/>
        </w:rPr>
        <w:t>2010</w:t>
      </w:r>
      <w:r>
        <w:rPr>
          <w:rFonts w:hint="eastAsia"/>
          <w:color w:val="auto"/>
          <w:highlight w:val="none"/>
        </w:rPr>
        <w:t>〕</w:t>
      </w:r>
      <w:r>
        <w:rPr>
          <w:color w:val="auto"/>
          <w:highlight w:val="none"/>
        </w:rPr>
        <w:t>138</w:t>
      </w:r>
      <w:r>
        <w:rPr>
          <w:rFonts w:hint="eastAsia"/>
          <w:color w:val="auto"/>
          <w:highlight w:val="none"/>
        </w:rPr>
        <w:t>号）的有关要求编制流域级防治规定，并定期演练。主要措施包括在受尾矿库溃坝事故影响的流域下游设置具有拦截降解作用的设施，包括拦</w:t>
      </w:r>
      <w:r>
        <w:rPr>
          <w:rFonts w:hint="eastAsia"/>
          <w:color w:val="auto"/>
          <w:highlight w:val="none"/>
          <w:lang w:eastAsia="zh-CN"/>
        </w:rPr>
        <w:t>挡</w:t>
      </w:r>
      <w:r>
        <w:rPr>
          <w:rFonts w:hint="eastAsia"/>
          <w:color w:val="auto"/>
          <w:highlight w:val="none"/>
        </w:rPr>
        <w:t>坝等；在尾矿库上游建设</w:t>
      </w:r>
      <w:r>
        <w:rPr>
          <w:rFonts w:hint="eastAsia"/>
          <w:color w:val="auto"/>
          <w:highlight w:val="none"/>
          <w:lang w:eastAsia="zh-CN"/>
        </w:rPr>
        <w:t>应急物资</w:t>
      </w:r>
      <w:r>
        <w:rPr>
          <w:rFonts w:hint="eastAsia"/>
          <w:color w:val="auto"/>
          <w:highlight w:val="none"/>
        </w:rPr>
        <w:t>储备库，储备沙袋、水泥管等应急物资等。待当地流域级尾矿库环境应急防治规划出台后，本项目应严格履行相关规定，落实规划防治措施要求，并配合当地定期演练。</w:t>
      </w:r>
    </w:p>
    <w:p w14:paraId="3BF4268F">
      <w:pPr>
        <w:pStyle w:val="7"/>
        <w:bidi w:val="0"/>
        <w:rPr>
          <w:color w:val="auto"/>
          <w:highlight w:val="none"/>
        </w:rPr>
      </w:pPr>
      <w:r>
        <w:rPr>
          <w:rFonts w:hint="eastAsia"/>
          <w:color w:val="auto"/>
          <w:highlight w:val="none"/>
          <w:lang w:val="en-US" w:eastAsia="zh-CN"/>
        </w:rPr>
        <w:t>5.2.8.9</w:t>
      </w:r>
      <w:r>
        <w:rPr>
          <w:color w:val="auto"/>
          <w:highlight w:val="none"/>
        </w:rPr>
        <w:t>应急预案</w:t>
      </w:r>
    </w:p>
    <w:p w14:paraId="08DA0670">
      <w:pPr>
        <w:overflowPunct w:val="0"/>
        <w:topLinePunct/>
        <w:ind w:firstLine="480"/>
        <w:rPr>
          <w:rFonts w:hint="eastAsia" w:eastAsia="宋体"/>
          <w:b/>
          <w:bCs/>
          <w:color w:val="auto"/>
          <w:sz w:val="30"/>
          <w:szCs w:val="32"/>
          <w:highlight w:val="none"/>
          <w:lang w:eastAsia="zh-CN"/>
        </w:rPr>
      </w:pPr>
      <w:r>
        <w:rPr>
          <w:color w:val="auto"/>
          <w:highlight w:val="none"/>
          <w:lang w:bidi="ar"/>
        </w:rPr>
        <w:t>为应对项目可能产生的各类突发性环境污染事件以及生态破坏事故，</w:t>
      </w:r>
      <w:r>
        <w:rPr>
          <w:rFonts w:hint="eastAsia"/>
          <w:color w:val="auto"/>
          <w:highlight w:val="none"/>
          <w:lang w:eastAsia="zh-CN"/>
        </w:rPr>
        <w:t>建设单位应</w:t>
      </w:r>
      <w:r>
        <w:rPr>
          <w:color w:val="auto"/>
          <w:highlight w:val="none"/>
        </w:rPr>
        <w:t>制定选矿厂、尾矿库突发</w:t>
      </w:r>
      <w:r>
        <w:rPr>
          <w:rFonts w:hint="eastAsia"/>
          <w:color w:val="auto"/>
          <w:highlight w:val="none"/>
          <w:lang w:eastAsia="zh-CN"/>
        </w:rPr>
        <w:t>环境事件</w:t>
      </w:r>
      <w:r>
        <w:rPr>
          <w:color w:val="auto"/>
          <w:highlight w:val="none"/>
        </w:rPr>
        <w:t>应急预案</w:t>
      </w:r>
      <w:r>
        <w:rPr>
          <w:rFonts w:hint="eastAsia"/>
          <w:color w:val="auto"/>
          <w:highlight w:val="none"/>
          <w:lang w:eastAsia="zh-CN"/>
        </w:rPr>
        <w:t>。</w:t>
      </w:r>
    </w:p>
    <w:p w14:paraId="6A57FFF4">
      <w:pPr>
        <w:bidi w:val="0"/>
        <w:rPr>
          <w:color w:val="auto"/>
          <w:highlight w:val="none"/>
        </w:rPr>
      </w:pPr>
      <w:r>
        <w:rPr>
          <w:rFonts w:hint="eastAsia"/>
          <w:color w:val="auto"/>
          <w:highlight w:val="none"/>
          <w:lang w:val="en-US" w:eastAsia="zh-CN"/>
        </w:rPr>
        <w:t>1、</w:t>
      </w:r>
      <w:r>
        <w:rPr>
          <w:color w:val="auto"/>
          <w:highlight w:val="none"/>
        </w:rPr>
        <w:t>应急计划要求</w:t>
      </w:r>
    </w:p>
    <w:p w14:paraId="7C4714FF">
      <w:pPr>
        <w:overflowPunct w:val="0"/>
        <w:topLinePunct/>
        <w:ind w:firstLine="480"/>
        <w:rPr>
          <w:color w:val="auto"/>
          <w:szCs w:val="21"/>
          <w:highlight w:val="none"/>
        </w:rPr>
      </w:pPr>
      <w:r>
        <w:rPr>
          <w:rFonts w:hint="eastAsia" w:ascii="宋体" w:hAnsi="宋体" w:cs="宋体"/>
          <w:color w:val="auto"/>
          <w:szCs w:val="21"/>
          <w:highlight w:val="none"/>
        </w:rPr>
        <w:t>①</w:t>
      </w:r>
      <w:r>
        <w:rPr>
          <w:color w:val="auto"/>
          <w:szCs w:val="21"/>
          <w:highlight w:val="none"/>
        </w:rPr>
        <w:t>明确应急计划区，确定风险源和环境保护目标。</w:t>
      </w:r>
    </w:p>
    <w:p w14:paraId="4DD5ABD7">
      <w:pPr>
        <w:overflowPunct w:val="0"/>
        <w:topLinePunct/>
        <w:ind w:firstLine="480"/>
        <w:rPr>
          <w:color w:val="auto"/>
          <w:szCs w:val="21"/>
          <w:highlight w:val="none"/>
        </w:rPr>
      </w:pPr>
      <w:r>
        <w:rPr>
          <w:rFonts w:hint="eastAsia" w:ascii="宋体" w:hAnsi="宋体" w:cs="宋体"/>
          <w:color w:val="auto"/>
          <w:szCs w:val="21"/>
          <w:highlight w:val="none"/>
        </w:rPr>
        <w:t>②</w:t>
      </w:r>
      <w:r>
        <w:rPr>
          <w:color w:val="auto"/>
          <w:szCs w:val="21"/>
          <w:highlight w:val="none"/>
        </w:rPr>
        <w:t>应急组织要坚持</w:t>
      </w:r>
      <w:r>
        <w:rPr>
          <w:rFonts w:hint="eastAsia"/>
          <w:color w:val="auto"/>
          <w:szCs w:val="21"/>
          <w:highlight w:val="none"/>
        </w:rPr>
        <w:t>“</w:t>
      </w:r>
      <w:r>
        <w:rPr>
          <w:color w:val="auto"/>
          <w:szCs w:val="21"/>
          <w:highlight w:val="none"/>
        </w:rPr>
        <w:t>主动预防、积极抢救</w:t>
      </w:r>
      <w:r>
        <w:rPr>
          <w:rFonts w:hint="eastAsia"/>
          <w:color w:val="auto"/>
          <w:szCs w:val="21"/>
          <w:highlight w:val="none"/>
        </w:rPr>
        <w:t>”</w:t>
      </w:r>
      <w:r>
        <w:rPr>
          <w:color w:val="auto"/>
          <w:szCs w:val="21"/>
          <w:highlight w:val="none"/>
        </w:rPr>
        <w:t>的原则，能够处理各种突发事件，快速反应和正确处理相结合。</w:t>
      </w:r>
    </w:p>
    <w:p w14:paraId="56563BB6">
      <w:pPr>
        <w:overflowPunct w:val="0"/>
        <w:topLinePunct/>
        <w:ind w:firstLine="480"/>
        <w:rPr>
          <w:color w:val="auto"/>
          <w:szCs w:val="21"/>
          <w:highlight w:val="none"/>
        </w:rPr>
      </w:pPr>
      <w:r>
        <w:rPr>
          <w:rFonts w:hint="eastAsia" w:ascii="宋体" w:hAnsi="宋体" w:cs="宋体"/>
          <w:color w:val="auto"/>
          <w:szCs w:val="21"/>
          <w:highlight w:val="none"/>
        </w:rPr>
        <w:t>③</w:t>
      </w:r>
      <w:r>
        <w:rPr>
          <w:color w:val="auto"/>
          <w:szCs w:val="21"/>
          <w:highlight w:val="none"/>
        </w:rPr>
        <w:t>正确的措施</w:t>
      </w:r>
    </w:p>
    <w:p w14:paraId="3C08DEB7">
      <w:pPr>
        <w:overflowPunct w:val="0"/>
        <w:topLinePunct/>
        <w:ind w:firstLine="480"/>
        <w:rPr>
          <w:color w:val="auto"/>
          <w:szCs w:val="21"/>
          <w:highlight w:val="none"/>
        </w:rPr>
      </w:pPr>
      <w:r>
        <w:rPr>
          <w:color w:val="auto"/>
          <w:szCs w:val="21"/>
          <w:highlight w:val="none"/>
        </w:rPr>
        <w:t>保护和设置避难通道和安全联络设备，撤离灾区人员。采取必要措施切断风险源，防止事故扩大。</w:t>
      </w:r>
    </w:p>
    <w:p w14:paraId="59D0069A">
      <w:pPr>
        <w:bidi w:val="0"/>
        <w:rPr>
          <w:color w:val="auto"/>
          <w:highlight w:val="none"/>
        </w:rPr>
      </w:pPr>
      <w:r>
        <w:rPr>
          <w:rFonts w:hint="eastAsia"/>
          <w:color w:val="auto"/>
          <w:highlight w:val="none"/>
          <w:lang w:val="en-US" w:eastAsia="zh-CN"/>
        </w:rPr>
        <w:t>2、</w:t>
      </w:r>
      <w:r>
        <w:rPr>
          <w:color w:val="auto"/>
          <w:highlight w:val="none"/>
        </w:rPr>
        <w:t>应急组织机构和人员</w:t>
      </w:r>
    </w:p>
    <w:p w14:paraId="3DEAF979">
      <w:pPr>
        <w:overflowPunct w:val="0"/>
        <w:topLinePunct/>
        <w:ind w:firstLine="480"/>
        <w:rPr>
          <w:color w:val="auto"/>
          <w:szCs w:val="21"/>
          <w:highlight w:val="none"/>
        </w:rPr>
      </w:pPr>
      <w:r>
        <w:rPr>
          <w:color w:val="auto"/>
          <w:szCs w:val="21"/>
          <w:highlight w:val="none"/>
        </w:rPr>
        <w:t>根据应急级别不同，常备应急组织人员分别由事故应急指挥领导小组，由总经理、生产技术部、保障部、计财部、各施工单位等部门领导组成，下设应急救援办公室（设在安环部）日常工作由安环部兼管。</w:t>
      </w:r>
    </w:p>
    <w:p w14:paraId="71821916">
      <w:pPr>
        <w:overflowPunct w:val="0"/>
        <w:topLinePunct/>
        <w:ind w:firstLine="480"/>
        <w:rPr>
          <w:color w:val="auto"/>
          <w:szCs w:val="21"/>
          <w:highlight w:val="none"/>
        </w:rPr>
      </w:pPr>
      <w:r>
        <w:rPr>
          <w:color w:val="auto"/>
          <w:szCs w:val="21"/>
          <w:highlight w:val="none"/>
        </w:rPr>
        <w:t>各应急机构职责为：</w:t>
      </w:r>
    </w:p>
    <w:p w14:paraId="62763C37">
      <w:pPr>
        <w:overflowPunct w:val="0"/>
        <w:topLinePunct/>
        <w:ind w:firstLine="480"/>
        <w:rPr>
          <w:color w:val="auto"/>
          <w:szCs w:val="21"/>
          <w:highlight w:val="none"/>
        </w:rPr>
      </w:pPr>
      <w:r>
        <w:rPr>
          <w:color w:val="auto"/>
          <w:szCs w:val="21"/>
          <w:highlight w:val="none"/>
        </w:rPr>
        <w:t>（1）领导小组</w:t>
      </w:r>
    </w:p>
    <w:p w14:paraId="1C1AE19E">
      <w:pPr>
        <w:overflowPunct w:val="0"/>
        <w:topLinePunct/>
        <w:ind w:firstLine="480"/>
        <w:rPr>
          <w:color w:val="auto"/>
          <w:szCs w:val="21"/>
          <w:highlight w:val="none"/>
        </w:rPr>
      </w:pPr>
      <w:r>
        <w:rPr>
          <w:rFonts w:hint="eastAsia" w:ascii="宋体" w:hAnsi="宋体" w:cs="宋体"/>
          <w:color w:val="auto"/>
          <w:szCs w:val="21"/>
          <w:highlight w:val="none"/>
        </w:rPr>
        <w:t>①</w:t>
      </w:r>
      <w:r>
        <w:rPr>
          <w:color w:val="auto"/>
          <w:szCs w:val="21"/>
          <w:highlight w:val="none"/>
        </w:rPr>
        <w:t>负责事故应急救援预案的编制；</w:t>
      </w:r>
    </w:p>
    <w:p w14:paraId="0BD4C75E">
      <w:pPr>
        <w:overflowPunct w:val="0"/>
        <w:topLinePunct/>
        <w:ind w:firstLine="480"/>
        <w:rPr>
          <w:color w:val="auto"/>
          <w:szCs w:val="21"/>
          <w:highlight w:val="none"/>
        </w:rPr>
      </w:pPr>
      <w:r>
        <w:rPr>
          <w:rFonts w:hint="eastAsia" w:ascii="宋体" w:hAnsi="宋体" w:cs="宋体"/>
          <w:color w:val="auto"/>
          <w:szCs w:val="21"/>
          <w:highlight w:val="none"/>
        </w:rPr>
        <w:t>②</w:t>
      </w:r>
      <w:r>
        <w:rPr>
          <w:color w:val="auto"/>
          <w:szCs w:val="21"/>
          <w:highlight w:val="none"/>
        </w:rPr>
        <w:t>组建应急救援专业队伍，并组织实施和演练；</w:t>
      </w:r>
    </w:p>
    <w:p w14:paraId="4E71C045">
      <w:pPr>
        <w:overflowPunct w:val="0"/>
        <w:topLinePunct/>
        <w:ind w:firstLine="480"/>
        <w:rPr>
          <w:color w:val="auto"/>
          <w:szCs w:val="21"/>
          <w:highlight w:val="none"/>
        </w:rPr>
      </w:pPr>
      <w:r>
        <w:rPr>
          <w:rFonts w:hint="eastAsia" w:ascii="宋体" w:hAnsi="宋体" w:cs="宋体"/>
          <w:color w:val="auto"/>
          <w:szCs w:val="21"/>
          <w:highlight w:val="none"/>
        </w:rPr>
        <w:t>③</w:t>
      </w:r>
      <w:r>
        <w:rPr>
          <w:color w:val="auto"/>
          <w:szCs w:val="21"/>
          <w:highlight w:val="none"/>
        </w:rPr>
        <w:t>检查督促做好重大事故的预防措施和应急救援的各项准备工作；</w:t>
      </w:r>
    </w:p>
    <w:p w14:paraId="6A814463">
      <w:pPr>
        <w:overflowPunct w:val="0"/>
        <w:topLinePunct/>
        <w:ind w:firstLine="480"/>
        <w:rPr>
          <w:color w:val="auto"/>
          <w:szCs w:val="21"/>
          <w:highlight w:val="none"/>
        </w:rPr>
      </w:pPr>
      <w:r>
        <w:rPr>
          <w:rFonts w:hint="eastAsia" w:ascii="宋体" w:hAnsi="宋体" w:cs="宋体"/>
          <w:color w:val="auto"/>
          <w:szCs w:val="21"/>
          <w:highlight w:val="none"/>
        </w:rPr>
        <w:t>④</w:t>
      </w:r>
      <w:r>
        <w:rPr>
          <w:color w:val="auto"/>
          <w:szCs w:val="21"/>
          <w:highlight w:val="none"/>
        </w:rPr>
        <w:t>负责与上级事故救援领导小组的联络及开展相应工作。</w:t>
      </w:r>
    </w:p>
    <w:p w14:paraId="0BC00D32">
      <w:pPr>
        <w:overflowPunct w:val="0"/>
        <w:topLinePunct/>
        <w:ind w:firstLine="480"/>
        <w:rPr>
          <w:color w:val="auto"/>
          <w:szCs w:val="21"/>
          <w:highlight w:val="none"/>
        </w:rPr>
      </w:pPr>
      <w:r>
        <w:rPr>
          <w:color w:val="auto"/>
          <w:szCs w:val="21"/>
          <w:highlight w:val="none"/>
        </w:rPr>
        <w:t>（2）指挥部</w:t>
      </w:r>
    </w:p>
    <w:p w14:paraId="491B93B8">
      <w:pPr>
        <w:overflowPunct w:val="0"/>
        <w:topLinePunct/>
        <w:ind w:firstLine="480"/>
        <w:rPr>
          <w:color w:val="auto"/>
          <w:szCs w:val="21"/>
          <w:highlight w:val="none"/>
        </w:rPr>
      </w:pPr>
      <w:r>
        <w:rPr>
          <w:rFonts w:hint="eastAsia" w:ascii="宋体" w:hAnsi="宋体" w:cs="宋体"/>
          <w:color w:val="auto"/>
          <w:szCs w:val="21"/>
          <w:highlight w:val="none"/>
        </w:rPr>
        <w:t>①</w:t>
      </w:r>
      <w:r>
        <w:rPr>
          <w:color w:val="auto"/>
          <w:szCs w:val="21"/>
          <w:highlight w:val="none"/>
        </w:rPr>
        <w:t>发生事故时，由指挥部发布和解除应急救援命令、信号；</w:t>
      </w:r>
    </w:p>
    <w:p w14:paraId="2DEE21E7">
      <w:pPr>
        <w:overflowPunct w:val="0"/>
        <w:topLinePunct/>
        <w:ind w:firstLine="480"/>
        <w:rPr>
          <w:color w:val="auto"/>
          <w:szCs w:val="21"/>
          <w:highlight w:val="none"/>
        </w:rPr>
      </w:pPr>
      <w:r>
        <w:rPr>
          <w:rFonts w:hint="eastAsia" w:ascii="宋体" w:hAnsi="宋体" w:cs="宋体"/>
          <w:color w:val="auto"/>
          <w:szCs w:val="21"/>
          <w:highlight w:val="none"/>
        </w:rPr>
        <w:t>②</w:t>
      </w:r>
      <w:r>
        <w:rPr>
          <w:color w:val="auto"/>
          <w:szCs w:val="21"/>
          <w:highlight w:val="none"/>
        </w:rPr>
        <w:t>组织指挥救援队伍实施救援行动；</w:t>
      </w:r>
    </w:p>
    <w:p w14:paraId="19FA740D">
      <w:pPr>
        <w:overflowPunct w:val="0"/>
        <w:topLinePunct/>
        <w:ind w:firstLine="480"/>
        <w:rPr>
          <w:color w:val="auto"/>
          <w:szCs w:val="21"/>
          <w:highlight w:val="none"/>
        </w:rPr>
      </w:pPr>
      <w:r>
        <w:rPr>
          <w:rFonts w:hint="eastAsia" w:ascii="宋体" w:hAnsi="宋体" w:cs="宋体"/>
          <w:color w:val="auto"/>
          <w:szCs w:val="21"/>
          <w:highlight w:val="none"/>
        </w:rPr>
        <w:t>③</w:t>
      </w:r>
      <w:r>
        <w:rPr>
          <w:color w:val="auto"/>
          <w:szCs w:val="21"/>
          <w:highlight w:val="none"/>
        </w:rPr>
        <w:t>向上级汇报和向友邻单位通报事故情况，必要时向有关单位发出救援请求；</w:t>
      </w:r>
    </w:p>
    <w:p w14:paraId="38256E0C">
      <w:pPr>
        <w:overflowPunct w:val="0"/>
        <w:topLinePunct/>
        <w:ind w:firstLine="480"/>
        <w:rPr>
          <w:color w:val="auto"/>
          <w:szCs w:val="21"/>
          <w:highlight w:val="none"/>
        </w:rPr>
      </w:pPr>
      <w:r>
        <w:rPr>
          <w:rFonts w:hint="eastAsia" w:ascii="宋体" w:hAnsi="宋体" w:cs="宋体"/>
          <w:color w:val="auto"/>
          <w:szCs w:val="21"/>
          <w:highlight w:val="none"/>
        </w:rPr>
        <w:t>④</w:t>
      </w:r>
      <w:r>
        <w:rPr>
          <w:color w:val="auto"/>
          <w:szCs w:val="21"/>
          <w:highlight w:val="none"/>
        </w:rPr>
        <w:t>组织事故调查，总结应急救援工作的经验教训。</w:t>
      </w:r>
    </w:p>
    <w:p w14:paraId="150F95C1">
      <w:pPr>
        <w:overflowPunct w:val="0"/>
        <w:topLinePunct/>
        <w:ind w:firstLine="480"/>
        <w:rPr>
          <w:color w:val="auto"/>
          <w:szCs w:val="21"/>
          <w:highlight w:val="none"/>
        </w:rPr>
      </w:pPr>
      <w:r>
        <w:rPr>
          <w:color w:val="auto"/>
          <w:szCs w:val="21"/>
          <w:highlight w:val="none"/>
        </w:rPr>
        <w:t>（3）指挥部人员分工</w:t>
      </w:r>
    </w:p>
    <w:p w14:paraId="31C6C371">
      <w:pPr>
        <w:overflowPunct w:val="0"/>
        <w:topLinePunct/>
        <w:ind w:firstLine="480"/>
        <w:rPr>
          <w:color w:val="auto"/>
          <w:szCs w:val="21"/>
          <w:highlight w:val="none"/>
        </w:rPr>
      </w:pPr>
      <w:r>
        <w:rPr>
          <w:color w:val="auto"/>
          <w:szCs w:val="21"/>
          <w:highlight w:val="none"/>
        </w:rPr>
        <w:t>总指挥：组织指挥全公司的应急救援工作；</w:t>
      </w:r>
    </w:p>
    <w:p w14:paraId="5592ABFB">
      <w:pPr>
        <w:overflowPunct w:val="0"/>
        <w:topLinePunct/>
        <w:ind w:firstLine="480"/>
        <w:rPr>
          <w:color w:val="auto"/>
          <w:szCs w:val="21"/>
          <w:highlight w:val="none"/>
        </w:rPr>
      </w:pPr>
      <w:r>
        <w:rPr>
          <w:color w:val="auto"/>
          <w:szCs w:val="21"/>
          <w:highlight w:val="none"/>
        </w:rPr>
        <w:t>常务副总指挥：负责应急救援的具体指挥工作；</w:t>
      </w:r>
    </w:p>
    <w:p w14:paraId="61688D4F">
      <w:pPr>
        <w:overflowPunct w:val="0"/>
        <w:topLinePunct/>
        <w:ind w:firstLine="480"/>
        <w:rPr>
          <w:color w:val="auto"/>
          <w:szCs w:val="21"/>
          <w:highlight w:val="none"/>
        </w:rPr>
      </w:pPr>
      <w:r>
        <w:rPr>
          <w:color w:val="auto"/>
          <w:szCs w:val="21"/>
          <w:highlight w:val="none"/>
        </w:rPr>
        <w:t>副总指挥：协助常务副总指挥负责分管范围内应急救援的具体指挥与落实工作。</w:t>
      </w:r>
    </w:p>
    <w:p w14:paraId="0BB5BFF4">
      <w:pPr>
        <w:overflowPunct w:val="0"/>
        <w:topLinePunct/>
        <w:ind w:firstLine="480"/>
        <w:rPr>
          <w:color w:val="auto"/>
          <w:szCs w:val="21"/>
          <w:highlight w:val="none"/>
        </w:rPr>
      </w:pPr>
      <w:r>
        <w:rPr>
          <w:color w:val="auto"/>
          <w:szCs w:val="21"/>
          <w:highlight w:val="none"/>
        </w:rPr>
        <w:t>（4）综合办公室</w:t>
      </w:r>
    </w:p>
    <w:p w14:paraId="58C1CC26">
      <w:pPr>
        <w:overflowPunct w:val="0"/>
        <w:topLinePunct/>
        <w:ind w:firstLine="480"/>
        <w:rPr>
          <w:color w:val="auto"/>
          <w:szCs w:val="21"/>
          <w:highlight w:val="none"/>
        </w:rPr>
      </w:pPr>
      <w:r>
        <w:rPr>
          <w:rFonts w:hint="eastAsia" w:ascii="宋体" w:hAnsi="宋体" w:cs="宋体"/>
          <w:color w:val="auto"/>
          <w:szCs w:val="21"/>
          <w:highlight w:val="none"/>
        </w:rPr>
        <w:t>①</w:t>
      </w:r>
      <w:r>
        <w:rPr>
          <w:color w:val="auto"/>
          <w:szCs w:val="21"/>
          <w:highlight w:val="none"/>
        </w:rPr>
        <w:t>协助总指挥做好事故报警，情况通报及事故的处置工作；</w:t>
      </w:r>
    </w:p>
    <w:p w14:paraId="70A3C654">
      <w:pPr>
        <w:overflowPunct w:val="0"/>
        <w:topLinePunct/>
        <w:ind w:firstLine="480"/>
        <w:rPr>
          <w:color w:val="auto"/>
          <w:szCs w:val="21"/>
          <w:highlight w:val="none"/>
        </w:rPr>
      </w:pPr>
      <w:r>
        <w:rPr>
          <w:rFonts w:hint="eastAsia" w:ascii="宋体" w:hAnsi="宋体" w:cs="宋体"/>
          <w:color w:val="auto"/>
          <w:szCs w:val="21"/>
          <w:highlight w:val="none"/>
        </w:rPr>
        <w:t>②</w:t>
      </w:r>
      <w:r>
        <w:rPr>
          <w:color w:val="auto"/>
          <w:szCs w:val="21"/>
          <w:highlight w:val="none"/>
        </w:rPr>
        <w:t>负责组织控</w:t>
      </w:r>
      <w:r>
        <w:rPr>
          <w:rFonts w:hint="eastAsia"/>
          <w:color w:val="auto"/>
          <w:szCs w:val="21"/>
          <w:highlight w:val="none"/>
          <w:lang w:eastAsia="zh-CN"/>
        </w:rPr>
        <w:t>制和</w:t>
      </w:r>
      <w:r>
        <w:rPr>
          <w:color w:val="auto"/>
          <w:szCs w:val="21"/>
          <w:highlight w:val="none"/>
        </w:rPr>
        <w:t>消除现场隐患、警戒、治安、保卫、疏散、道路管制工作；</w:t>
      </w:r>
    </w:p>
    <w:p w14:paraId="5CF62725">
      <w:pPr>
        <w:overflowPunct w:val="0"/>
        <w:topLinePunct/>
        <w:ind w:firstLine="480"/>
        <w:rPr>
          <w:color w:val="auto"/>
          <w:szCs w:val="21"/>
          <w:highlight w:val="none"/>
        </w:rPr>
      </w:pPr>
      <w:r>
        <w:rPr>
          <w:rFonts w:hint="eastAsia" w:ascii="宋体" w:hAnsi="宋体" w:cs="宋体"/>
          <w:color w:val="auto"/>
          <w:szCs w:val="21"/>
          <w:highlight w:val="none"/>
        </w:rPr>
        <w:t>③</w:t>
      </w:r>
      <w:r>
        <w:rPr>
          <w:color w:val="auto"/>
          <w:szCs w:val="21"/>
          <w:highlight w:val="none"/>
        </w:rPr>
        <w:t>负责事故现场通讯联系和对外联系；</w:t>
      </w:r>
    </w:p>
    <w:p w14:paraId="64E24B36">
      <w:pPr>
        <w:overflowPunct w:val="0"/>
        <w:topLinePunct/>
        <w:ind w:firstLine="480"/>
        <w:rPr>
          <w:color w:val="auto"/>
          <w:szCs w:val="21"/>
          <w:highlight w:val="none"/>
        </w:rPr>
      </w:pPr>
      <w:r>
        <w:rPr>
          <w:rFonts w:hint="eastAsia" w:ascii="宋体" w:hAnsi="宋体" w:cs="宋体"/>
          <w:color w:val="auto"/>
          <w:szCs w:val="21"/>
          <w:highlight w:val="none"/>
        </w:rPr>
        <w:t>④</w:t>
      </w:r>
      <w:r>
        <w:rPr>
          <w:color w:val="auto"/>
          <w:szCs w:val="21"/>
          <w:highlight w:val="none"/>
        </w:rPr>
        <w:t>必要时代表指挥部对外发布有关信息。</w:t>
      </w:r>
    </w:p>
    <w:p w14:paraId="1BC10FB0">
      <w:pPr>
        <w:overflowPunct w:val="0"/>
        <w:topLinePunct/>
        <w:ind w:firstLine="480"/>
        <w:rPr>
          <w:color w:val="auto"/>
          <w:szCs w:val="21"/>
          <w:highlight w:val="none"/>
        </w:rPr>
      </w:pPr>
      <w:r>
        <w:rPr>
          <w:color w:val="auto"/>
          <w:szCs w:val="21"/>
          <w:highlight w:val="none"/>
        </w:rPr>
        <w:t>（5）公司总调度室</w:t>
      </w:r>
    </w:p>
    <w:p w14:paraId="62A6C5FF">
      <w:pPr>
        <w:overflowPunct w:val="0"/>
        <w:topLinePunct/>
        <w:ind w:firstLine="480"/>
        <w:rPr>
          <w:color w:val="auto"/>
          <w:szCs w:val="21"/>
          <w:highlight w:val="none"/>
        </w:rPr>
      </w:pPr>
      <w:r>
        <w:rPr>
          <w:color w:val="auto"/>
          <w:szCs w:val="21"/>
          <w:highlight w:val="none"/>
        </w:rPr>
        <w:t>协助总指挥负责有关工程抢险，抢修的现场指挥和设备调配。</w:t>
      </w:r>
    </w:p>
    <w:p w14:paraId="6CA36D3C">
      <w:pPr>
        <w:overflowPunct w:val="0"/>
        <w:topLinePunct/>
        <w:ind w:firstLine="480"/>
        <w:rPr>
          <w:color w:val="auto"/>
          <w:szCs w:val="21"/>
          <w:highlight w:val="none"/>
        </w:rPr>
      </w:pPr>
      <w:r>
        <w:rPr>
          <w:color w:val="auto"/>
          <w:szCs w:val="21"/>
          <w:highlight w:val="none"/>
        </w:rPr>
        <w:t>（6）公司保障部</w:t>
      </w:r>
    </w:p>
    <w:p w14:paraId="6B86148E">
      <w:pPr>
        <w:overflowPunct w:val="0"/>
        <w:topLinePunct/>
        <w:ind w:firstLine="480"/>
        <w:rPr>
          <w:color w:val="auto"/>
          <w:szCs w:val="21"/>
          <w:highlight w:val="none"/>
        </w:rPr>
      </w:pPr>
      <w:r>
        <w:rPr>
          <w:color w:val="auto"/>
          <w:szCs w:val="21"/>
          <w:highlight w:val="none"/>
        </w:rPr>
        <w:t>负责抢险救援物资的供应和运输工作。</w:t>
      </w:r>
    </w:p>
    <w:p w14:paraId="2863FB03">
      <w:pPr>
        <w:overflowPunct w:val="0"/>
        <w:topLinePunct/>
        <w:ind w:firstLine="480"/>
        <w:rPr>
          <w:color w:val="auto"/>
          <w:szCs w:val="21"/>
          <w:highlight w:val="none"/>
        </w:rPr>
      </w:pPr>
      <w:r>
        <w:rPr>
          <w:color w:val="auto"/>
          <w:szCs w:val="21"/>
          <w:highlight w:val="none"/>
        </w:rPr>
        <w:t>（7）安环部</w:t>
      </w:r>
    </w:p>
    <w:p w14:paraId="79FB7A2F">
      <w:pPr>
        <w:overflowPunct w:val="0"/>
        <w:topLinePunct/>
        <w:ind w:firstLine="480"/>
        <w:rPr>
          <w:color w:val="auto"/>
          <w:szCs w:val="21"/>
          <w:highlight w:val="none"/>
        </w:rPr>
      </w:pPr>
      <w:r>
        <w:rPr>
          <w:color w:val="auto"/>
          <w:szCs w:val="21"/>
          <w:highlight w:val="none"/>
        </w:rPr>
        <w:t>负责现场的监测和事故的分析工作。</w:t>
      </w:r>
    </w:p>
    <w:p w14:paraId="672EF83A">
      <w:pPr>
        <w:bidi w:val="0"/>
        <w:rPr>
          <w:color w:val="auto"/>
          <w:highlight w:val="none"/>
        </w:rPr>
      </w:pPr>
      <w:r>
        <w:rPr>
          <w:rFonts w:hint="eastAsia"/>
          <w:color w:val="auto"/>
          <w:highlight w:val="none"/>
          <w:lang w:val="en-US" w:eastAsia="zh-CN"/>
        </w:rPr>
        <w:t>3、</w:t>
      </w:r>
      <w:r>
        <w:rPr>
          <w:color w:val="auto"/>
          <w:highlight w:val="none"/>
        </w:rPr>
        <w:t>预案分级及响应程序</w:t>
      </w:r>
    </w:p>
    <w:p w14:paraId="14AE4DC7">
      <w:pPr>
        <w:overflowPunct w:val="0"/>
        <w:topLinePunct/>
        <w:ind w:firstLine="480"/>
        <w:rPr>
          <w:color w:val="auto"/>
          <w:szCs w:val="21"/>
          <w:highlight w:val="none"/>
        </w:rPr>
      </w:pPr>
      <w:r>
        <w:rPr>
          <w:color w:val="auto"/>
          <w:szCs w:val="21"/>
          <w:highlight w:val="none"/>
        </w:rPr>
        <w:t>根据事故的可控性、严重程度和影响范围，将应急预案分为四级，即特别重大环境事件（</w:t>
      </w:r>
      <w:r>
        <w:rPr>
          <w:rFonts w:hint="eastAsia"/>
          <w:color w:val="auto"/>
          <w:szCs w:val="21"/>
          <w:highlight w:val="none"/>
          <w:lang w:eastAsia="zh-CN"/>
        </w:rPr>
        <w:t>I</w:t>
      </w:r>
      <w:r>
        <w:rPr>
          <w:color w:val="auto"/>
          <w:szCs w:val="21"/>
          <w:highlight w:val="none"/>
        </w:rPr>
        <w:t>级）、重大环境事件（Ⅱ级）、较大环境事件（</w:t>
      </w:r>
      <w:r>
        <w:rPr>
          <w:rFonts w:hint="eastAsia"/>
          <w:color w:val="auto"/>
          <w:szCs w:val="21"/>
          <w:highlight w:val="none"/>
          <w:lang w:eastAsia="zh-CN"/>
        </w:rPr>
        <w:t>Ⅲ</w:t>
      </w:r>
      <w:r>
        <w:rPr>
          <w:color w:val="auto"/>
          <w:szCs w:val="21"/>
          <w:highlight w:val="none"/>
        </w:rPr>
        <w:t>级）和一般环境事件（Ⅳ级）四级。</w:t>
      </w:r>
    </w:p>
    <w:p w14:paraId="5B91AE33">
      <w:pPr>
        <w:overflowPunct w:val="0"/>
        <w:topLinePunct/>
        <w:ind w:firstLine="480"/>
        <w:rPr>
          <w:color w:val="auto"/>
          <w:szCs w:val="21"/>
          <w:highlight w:val="none"/>
        </w:rPr>
      </w:pPr>
      <w:r>
        <w:rPr>
          <w:rFonts w:hint="eastAsia"/>
          <w:color w:val="auto"/>
          <w:szCs w:val="21"/>
          <w:highlight w:val="none"/>
        </w:rPr>
        <w:t>（1）</w:t>
      </w:r>
      <w:r>
        <w:rPr>
          <w:color w:val="auto"/>
          <w:szCs w:val="21"/>
          <w:highlight w:val="none"/>
        </w:rPr>
        <w:t>I级应急：</w:t>
      </w:r>
    </w:p>
    <w:p w14:paraId="084EF2B7">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1 \* GB3 </w:instrText>
      </w:r>
      <w:r>
        <w:rPr>
          <w:color w:val="auto"/>
          <w:szCs w:val="21"/>
          <w:highlight w:val="none"/>
        </w:rPr>
        <w:fldChar w:fldCharType="separate"/>
      </w:r>
      <w:r>
        <w:rPr>
          <w:rFonts w:hint="eastAsia"/>
          <w:color w:val="auto"/>
          <w:szCs w:val="21"/>
          <w:highlight w:val="none"/>
        </w:rPr>
        <w:t>①</w:t>
      </w:r>
      <w:r>
        <w:rPr>
          <w:color w:val="auto"/>
          <w:szCs w:val="21"/>
          <w:highlight w:val="none"/>
        </w:rPr>
        <w:fldChar w:fldCharType="end"/>
      </w:r>
      <w:r>
        <w:rPr>
          <w:color w:val="auto"/>
          <w:szCs w:val="21"/>
          <w:highlight w:val="none"/>
        </w:rPr>
        <w:t>因环境污染直接导致30人以上死亡或100人以上中毒或重伤的；</w:t>
      </w:r>
    </w:p>
    <w:p w14:paraId="51F65B43">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2 \* GB3 </w:instrText>
      </w:r>
      <w:r>
        <w:rPr>
          <w:color w:val="auto"/>
          <w:szCs w:val="21"/>
          <w:highlight w:val="none"/>
        </w:rPr>
        <w:fldChar w:fldCharType="separate"/>
      </w:r>
      <w:r>
        <w:rPr>
          <w:rFonts w:hint="eastAsia"/>
          <w:color w:val="auto"/>
          <w:szCs w:val="21"/>
          <w:highlight w:val="none"/>
        </w:rPr>
        <w:t>②</w:t>
      </w:r>
      <w:r>
        <w:rPr>
          <w:color w:val="auto"/>
          <w:szCs w:val="21"/>
          <w:highlight w:val="none"/>
        </w:rPr>
        <w:fldChar w:fldCharType="end"/>
      </w:r>
      <w:r>
        <w:rPr>
          <w:color w:val="auto"/>
          <w:szCs w:val="21"/>
          <w:highlight w:val="none"/>
        </w:rPr>
        <w:t>因环境污染疏散、转移人员5万人以上的；</w:t>
      </w:r>
    </w:p>
    <w:p w14:paraId="32317EE4">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3 \* GB3 </w:instrText>
      </w:r>
      <w:r>
        <w:rPr>
          <w:color w:val="auto"/>
          <w:szCs w:val="21"/>
          <w:highlight w:val="none"/>
        </w:rPr>
        <w:fldChar w:fldCharType="separate"/>
      </w:r>
      <w:r>
        <w:rPr>
          <w:rFonts w:hint="eastAsia"/>
          <w:color w:val="auto"/>
          <w:szCs w:val="21"/>
          <w:highlight w:val="none"/>
        </w:rPr>
        <w:t>③</w:t>
      </w:r>
      <w:r>
        <w:rPr>
          <w:color w:val="auto"/>
          <w:szCs w:val="21"/>
          <w:highlight w:val="none"/>
        </w:rPr>
        <w:fldChar w:fldCharType="end"/>
      </w:r>
      <w:r>
        <w:rPr>
          <w:color w:val="auto"/>
          <w:szCs w:val="21"/>
          <w:highlight w:val="none"/>
        </w:rPr>
        <w:t>因环境污染造成直接经济损失1亿元以上的；</w:t>
      </w:r>
    </w:p>
    <w:p w14:paraId="503141CF">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4 \* GB3 </w:instrText>
      </w:r>
      <w:r>
        <w:rPr>
          <w:color w:val="auto"/>
          <w:szCs w:val="21"/>
          <w:highlight w:val="none"/>
        </w:rPr>
        <w:fldChar w:fldCharType="separate"/>
      </w:r>
      <w:r>
        <w:rPr>
          <w:rFonts w:hint="eastAsia"/>
          <w:color w:val="auto"/>
          <w:szCs w:val="21"/>
          <w:highlight w:val="none"/>
        </w:rPr>
        <w:t>④</w:t>
      </w:r>
      <w:r>
        <w:rPr>
          <w:color w:val="auto"/>
          <w:szCs w:val="21"/>
          <w:highlight w:val="none"/>
        </w:rPr>
        <w:fldChar w:fldCharType="end"/>
      </w:r>
      <w:r>
        <w:rPr>
          <w:color w:val="auto"/>
          <w:szCs w:val="21"/>
          <w:highlight w:val="none"/>
        </w:rPr>
        <w:t>因环境污染造成区域生态功能丧失或该区域国家重点保护物种灭绝的；</w:t>
      </w:r>
    </w:p>
    <w:p w14:paraId="020F44D1">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5 \* GB3 </w:instrText>
      </w:r>
      <w:r>
        <w:rPr>
          <w:color w:val="auto"/>
          <w:szCs w:val="21"/>
          <w:highlight w:val="none"/>
        </w:rPr>
        <w:fldChar w:fldCharType="separate"/>
      </w:r>
      <w:r>
        <w:rPr>
          <w:rFonts w:hint="eastAsia"/>
          <w:color w:val="auto"/>
          <w:szCs w:val="21"/>
          <w:highlight w:val="none"/>
        </w:rPr>
        <w:t>⑤</w:t>
      </w:r>
      <w:r>
        <w:rPr>
          <w:color w:val="auto"/>
          <w:szCs w:val="21"/>
          <w:highlight w:val="none"/>
        </w:rPr>
        <w:fldChar w:fldCharType="end"/>
      </w:r>
      <w:r>
        <w:rPr>
          <w:color w:val="auto"/>
          <w:szCs w:val="21"/>
          <w:highlight w:val="none"/>
        </w:rPr>
        <w:t>因环境污染造成设区的市级以上城市集中式饮用水水源地取水中断的。</w:t>
      </w:r>
    </w:p>
    <w:p w14:paraId="6365B829">
      <w:pPr>
        <w:overflowPunct w:val="0"/>
        <w:topLinePunct/>
        <w:ind w:firstLine="480"/>
        <w:rPr>
          <w:color w:val="auto"/>
          <w:szCs w:val="21"/>
          <w:highlight w:val="none"/>
        </w:rPr>
      </w:pPr>
      <w:r>
        <w:rPr>
          <w:rFonts w:hint="eastAsia"/>
          <w:color w:val="auto"/>
          <w:szCs w:val="21"/>
          <w:highlight w:val="none"/>
        </w:rPr>
        <w:t>（2）</w:t>
      </w:r>
      <w:r>
        <w:rPr>
          <w:color w:val="auto"/>
          <w:szCs w:val="21"/>
          <w:highlight w:val="none"/>
        </w:rPr>
        <w:fldChar w:fldCharType="begin"/>
      </w:r>
      <w:r>
        <w:rPr>
          <w:color w:val="auto"/>
          <w:szCs w:val="21"/>
          <w:highlight w:val="none"/>
        </w:rPr>
        <w:instrText xml:space="preserve"> = 2 \* ROMAN </w:instrText>
      </w:r>
      <w:r>
        <w:rPr>
          <w:color w:val="auto"/>
          <w:szCs w:val="21"/>
          <w:highlight w:val="none"/>
        </w:rPr>
        <w:fldChar w:fldCharType="separate"/>
      </w:r>
      <w:r>
        <w:rPr>
          <w:color w:val="auto"/>
          <w:szCs w:val="21"/>
          <w:highlight w:val="none"/>
        </w:rPr>
        <w:t>II</w:t>
      </w:r>
      <w:r>
        <w:rPr>
          <w:color w:val="auto"/>
          <w:szCs w:val="21"/>
          <w:highlight w:val="none"/>
        </w:rPr>
        <w:fldChar w:fldCharType="end"/>
      </w:r>
      <w:r>
        <w:rPr>
          <w:color w:val="auto"/>
          <w:szCs w:val="21"/>
          <w:highlight w:val="none"/>
        </w:rPr>
        <w:t>级应急：</w:t>
      </w:r>
    </w:p>
    <w:p w14:paraId="0CE7AA66">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1 \* GB3 </w:instrText>
      </w:r>
      <w:r>
        <w:rPr>
          <w:color w:val="auto"/>
          <w:szCs w:val="21"/>
          <w:highlight w:val="none"/>
        </w:rPr>
        <w:fldChar w:fldCharType="separate"/>
      </w:r>
      <w:r>
        <w:rPr>
          <w:rFonts w:hint="eastAsia"/>
          <w:color w:val="auto"/>
          <w:szCs w:val="21"/>
          <w:highlight w:val="none"/>
        </w:rPr>
        <w:t>①</w:t>
      </w:r>
      <w:r>
        <w:rPr>
          <w:color w:val="auto"/>
          <w:szCs w:val="21"/>
          <w:highlight w:val="none"/>
        </w:rPr>
        <w:fldChar w:fldCharType="end"/>
      </w:r>
      <w:r>
        <w:rPr>
          <w:color w:val="auto"/>
          <w:szCs w:val="21"/>
          <w:highlight w:val="none"/>
        </w:rPr>
        <w:t>因环境污染直接导致10人以上30人以下死亡或50人以上100人以下中毒或重伤的；</w:t>
      </w:r>
    </w:p>
    <w:p w14:paraId="7FDFDDDF">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2 \* GB3 </w:instrText>
      </w:r>
      <w:r>
        <w:rPr>
          <w:color w:val="auto"/>
          <w:szCs w:val="21"/>
          <w:highlight w:val="none"/>
        </w:rPr>
        <w:fldChar w:fldCharType="separate"/>
      </w:r>
      <w:r>
        <w:rPr>
          <w:rFonts w:hint="eastAsia"/>
          <w:color w:val="auto"/>
          <w:szCs w:val="21"/>
          <w:highlight w:val="none"/>
        </w:rPr>
        <w:t>②</w:t>
      </w:r>
      <w:r>
        <w:rPr>
          <w:color w:val="auto"/>
          <w:szCs w:val="21"/>
          <w:highlight w:val="none"/>
        </w:rPr>
        <w:fldChar w:fldCharType="end"/>
      </w:r>
      <w:r>
        <w:rPr>
          <w:color w:val="auto"/>
          <w:szCs w:val="21"/>
          <w:highlight w:val="none"/>
        </w:rPr>
        <w:t>因环境污染疏散、转移人员1万人以上5万人以下的；</w:t>
      </w:r>
    </w:p>
    <w:p w14:paraId="555631C9">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3 \* GB3 </w:instrText>
      </w:r>
      <w:r>
        <w:rPr>
          <w:color w:val="auto"/>
          <w:szCs w:val="21"/>
          <w:highlight w:val="none"/>
        </w:rPr>
        <w:fldChar w:fldCharType="separate"/>
      </w:r>
      <w:r>
        <w:rPr>
          <w:rFonts w:hint="eastAsia"/>
          <w:color w:val="auto"/>
          <w:szCs w:val="21"/>
          <w:highlight w:val="none"/>
        </w:rPr>
        <w:t>③</w:t>
      </w:r>
      <w:r>
        <w:rPr>
          <w:color w:val="auto"/>
          <w:szCs w:val="21"/>
          <w:highlight w:val="none"/>
        </w:rPr>
        <w:fldChar w:fldCharType="end"/>
      </w:r>
      <w:r>
        <w:rPr>
          <w:color w:val="auto"/>
          <w:szCs w:val="21"/>
          <w:highlight w:val="none"/>
        </w:rPr>
        <w:t>因环境污染造成直接经济损失2000万元以上1亿元以下的；</w:t>
      </w:r>
    </w:p>
    <w:p w14:paraId="743DF632">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4 \* GB3 </w:instrText>
      </w:r>
      <w:r>
        <w:rPr>
          <w:color w:val="auto"/>
          <w:szCs w:val="21"/>
          <w:highlight w:val="none"/>
        </w:rPr>
        <w:fldChar w:fldCharType="separate"/>
      </w:r>
      <w:r>
        <w:rPr>
          <w:rFonts w:hint="eastAsia"/>
          <w:color w:val="auto"/>
          <w:szCs w:val="21"/>
          <w:highlight w:val="none"/>
        </w:rPr>
        <w:t>④</w:t>
      </w:r>
      <w:r>
        <w:rPr>
          <w:color w:val="auto"/>
          <w:szCs w:val="21"/>
          <w:highlight w:val="none"/>
        </w:rPr>
        <w:fldChar w:fldCharType="end"/>
      </w:r>
      <w:r>
        <w:rPr>
          <w:color w:val="auto"/>
          <w:szCs w:val="21"/>
          <w:highlight w:val="none"/>
        </w:rPr>
        <w:t>因环境污染造成区域生态功能部分丧失或该区域国家重点保护野生动植物种群大批死亡的；</w:t>
      </w:r>
    </w:p>
    <w:p w14:paraId="2B4479F7">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5 \* GB3 </w:instrText>
      </w:r>
      <w:r>
        <w:rPr>
          <w:color w:val="auto"/>
          <w:szCs w:val="21"/>
          <w:highlight w:val="none"/>
        </w:rPr>
        <w:fldChar w:fldCharType="separate"/>
      </w:r>
      <w:r>
        <w:rPr>
          <w:rFonts w:hint="eastAsia"/>
          <w:color w:val="auto"/>
          <w:szCs w:val="21"/>
          <w:highlight w:val="none"/>
        </w:rPr>
        <w:t>⑤</w:t>
      </w:r>
      <w:r>
        <w:rPr>
          <w:color w:val="auto"/>
          <w:szCs w:val="21"/>
          <w:highlight w:val="none"/>
        </w:rPr>
        <w:fldChar w:fldCharType="end"/>
      </w:r>
      <w:r>
        <w:rPr>
          <w:color w:val="auto"/>
          <w:szCs w:val="21"/>
          <w:highlight w:val="none"/>
        </w:rPr>
        <w:t>因环境污染造成县级城市集中式饮用水水源地取水中断的；</w:t>
      </w:r>
    </w:p>
    <w:p w14:paraId="77F5DC8F">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6 \* GB3 </w:instrText>
      </w:r>
      <w:r>
        <w:rPr>
          <w:color w:val="auto"/>
          <w:szCs w:val="21"/>
          <w:highlight w:val="none"/>
        </w:rPr>
        <w:fldChar w:fldCharType="separate"/>
      </w:r>
      <w:r>
        <w:rPr>
          <w:rFonts w:hint="eastAsia"/>
          <w:color w:val="auto"/>
          <w:szCs w:val="21"/>
          <w:highlight w:val="none"/>
        </w:rPr>
        <w:t>⑥</w:t>
      </w:r>
      <w:r>
        <w:rPr>
          <w:color w:val="auto"/>
          <w:szCs w:val="21"/>
          <w:highlight w:val="none"/>
        </w:rPr>
        <w:fldChar w:fldCharType="end"/>
      </w:r>
      <w:r>
        <w:rPr>
          <w:color w:val="auto"/>
          <w:szCs w:val="21"/>
          <w:highlight w:val="none"/>
        </w:rPr>
        <w:t>造成跨省级行政区域影响的突发环境事件。</w:t>
      </w:r>
    </w:p>
    <w:p w14:paraId="202B6EB9">
      <w:pPr>
        <w:overflowPunct w:val="0"/>
        <w:topLinePunct/>
        <w:ind w:firstLine="480"/>
        <w:rPr>
          <w:color w:val="auto"/>
          <w:szCs w:val="21"/>
          <w:highlight w:val="none"/>
        </w:rPr>
      </w:pPr>
      <w:r>
        <w:rPr>
          <w:color w:val="auto"/>
          <w:szCs w:val="21"/>
          <w:highlight w:val="none"/>
        </w:rPr>
        <w:t>一旦发生</w:t>
      </w:r>
      <w:r>
        <w:rPr>
          <w:color w:val="auto"/>
          <w:szCs w:val="21"/>
          <w:highlight w:val="none"/>
        </w:rPr>
        <w:fldChar w:fldCharType="begin"/>
      </w:r>
      <w:r>
        <w:rPr>
          <w:color w:val="auto"/>
          <w:szCs w:val="21"/>
          <w:highlight w:val="none"/>
        </w:rPr>
        <w:instrText xml:space="preserve"> = 2 \* ROMAN </w:instrText>
      </w:r>
      <w:r>
        <w:rPr>
          <w:color w:val="auto"/>
          <w:szCs w:val="21"/>
          <w:highlight w:val="none"/>
        </w:rPr>
        <w:fldChar w:fldCharType="separate"/>
      </w:r>
      <w:r>
        <w:rPr>
          <w:color w:val="auto"/>
          <w:szCs w:val="21"/>
          <w:highlight w:val="none"/>
        </w:rPr>
        <w:t>II</w:t>
      </w:r>
      <w:r>
        <w:rPr>
          <w:color w:val="auto"/>
          <w:szCs w:val="21"/>
          <w:highlight w:val="none"/>
        </w:rPr>
        <w:fldChar w:fldCharType="end"/>
      </w:r>
      <w:r>
        <w:rPr>
          <w:color w:val="auto"/>
          <w:szCs w:val="21"/>
          <w:highlight w:val="none"/>
        </w:rPr>
        <w:t>级较大事故，应该迅速报告事故应急指挥领导小组，启动</w:t>
      </w:r>
      <w:r>
        <w:rPr>
          <w:color w:val="auto"/>
          <w:szCs w:val="21"/>
          <w:highlight w:val="none"/>
        </w:rPr>
        <w:fldChar w:fldCharType="begin"/>
      </w:r>
      <w:r>
        <w:rPr>
          <w:color w:val="auto"/>
          <w:szCs w:val="21"/>
          <w:highlight w:val="none"/>
        </w:rPr>
        <w:instrText xml:space="preserve"> = 2 \* ROMAN </w:instrText>
      </w:r>
      <w:r>
        <w:rPr>
          <w:color w:val="auto"/>
          <w:szCs w:val="21"/>
          <w:highlight w:val="none"/>
        </w:rPr>
        <w:fldChar w:fldCharType="separate"/>
      </w:r>
      <w:r>
        <w:rPr>
          <w:color w:val="auto"/>
          <w:szCs w:val="21"/>
          <w:highlight w:val="none"/>
        </w:rPr>
        <w:t>II</w:t>
      </w:r>
      <w:r>
        <w:rPr>
          <w:color w:val="auto"/>
          <w:szCs w:val="21"/>
          <w:highlight w:val="none"/>
        </w:rPr>
        <w:fldChar w:fldCharType="end"/>
      </w:r>
      <w:r>
        <w:rPr>
          <w:color w:val="auto"/>
          <w:szCs w:val="21"/>
          <w:highlight w:val="none"/>
        </w:rPr>
        <w:t>级应急预案，上报巴音郭楞蒙古自治州人民政府，通知当地生态环境主管部门到现场进行事故评估。厂区主要配合应急小组处理事故现场。厂区各职能部门在发生事故时各自履行各自职责，环境监测站到现场进行事故影响监测。</w:t>
      </w:r>
    </w:p>
    <w:p w14:paraId="1EEBC367">
      <w:pPr>
        <w:overflowPunct w:val="0"/>
        <w:topLinePunct/>
        <w:ind w:firstLine="480"/>
        <w:rPr>
          <w:color w:val="auto"/>
          <w:szCs w:val="21"/>
          <w:highlight w:val="none"/>
        </w:rPr>
      </w:pPr>
      <w:r>
        <w:rPr>
          <w:rFonts w:hint="eastAsia"/>
          <w:color w:val="auto"/>
          <w:szCs w:val="21"/>
          <w:highlight w:val="none"/>
        </w:rPr>
        <w:t>（3）</w:t>
      </w:r>
      <w:r>
        <w:rPr>
          <w:color w:val="auto"/>
          <w:szCs w:val="21"/>
          <w:highlight w:val="none"/>
        </w:rPr>
        <w:fldChar w:fldCharType="begin"/>
      </w:r>
      <w:r>
        <w:rPr>
          <w:color w:val="auto"/>
          <w:szCs w:val="21"/>
          <w:highlight w:val="none"/>
        </w:rPr>
        <w:instrText xml:space="preserve"> = 3 \* ROMAN </w:instrText>
      </w:r>
      <w:r>
        <w:rPr>
          <w:color w:val="auto"/>
          <w:szCs w:val="21"/>
          <w:highlight w:val="none"/>
        </w:rPr>
        <w:fldChar w:fldCharType="separate"/>
      </w:r>
      <w:r>
        <w:rPr>
          <w:rFonts w:hint="eastAsia"/>
          <w:color w:val="auto"/>
          <w:szCs w:val="21"/>
          <w:highlight w:val="none"/>
          <w:lang w:eastAsia="zh-CN"/>
        </w:rPr>
        <w:t>Ⅲ</w:t>
      </w:r>
      <w:r>
        <w:rPr>
          <w:color w:val="auto"/>
          <w:szCs w:val="21"/>
          <w:highlight w:val="none"/>
        </w:rPr>
        <w:fldChar w:fldCharType="end"/>
      </w:r>
      <w:r>
        <w:rPr>
          <w:color w:val="auto"/>
          <w:szCs w:val="21"/>
          <w:highlight w:val="none"/>
        </w:rPr>
        <w:t>级应急：</w:t>
      </w:r>
    </w:p>
    <w:p w14:paraId="327B18C0">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1 \* GB3 </w:instrText>
      </w:r>
      <w:r>
        <w:rPr>
          <w:color w:val="auto"/>
          <w:szCs w:val="21"/>
          <w:highlight w:val="none"/>
        </w:rPr>
        <w:fldChar w:fldCharType="separate"/>
      </w:r>
      <w:r>
        <w:rPr>
          <w:rFonts w:hint="eastAsia"/>
          <w:color w:val="auto"/>
          <w:szCs w:val="21"/>
          <w:highlight w:val="none"/>
        </w:rPr>
        <w:t>①</w:t>
      </w:r>
      <w:r>
        <w:rPr>
          <w:color w:val="auto"/>
          <w:szCs w:val="21"/>
          <w:highlight w:val="none"/>
        </w:rPr>
        <w:fldChar w:fldCharType="end"/>
      </w:r>
      <w:r>
        <w:rPr>
          <w:color w:val="auto"/>
          <w:szCs w:val="21"/>
          <w:highlight w:val="none"/>
        </w:rPr>
        <w:t>因环境污染直接导致3人以上10人以下死亡或10人以上50人以下中毒或重伤的；</w:t>
      </w:r>
    </w:p>
    <w:p w14:paraId="0308C235">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2 \* GB3 </w:instrText>
      </w:r>
      <w:r>
        <w:rPr>
          <w:color w:val="auto"/>
          <w:szCs w:val="21"/>
          <w:highlight w:val="none"/>
        </w:rPr>
        <w:fldChar w:fldCharType="separate"/>
      </w:r>
      <w:r>
        <w:rPr>
          <w:rFonts w:hint="eastAsia"/>
          <w:color w:val="auto"/>
          <w:szCs w:val="21"/>
          <w:highlight w:val="none"/>
        </w:rPr>
        <w:t>②</w:t>
      </w:r>
      <w:r>
        <w:rPr>
          <w:color w:val="auto"/>
          <w:szCs w:val="21"/>
          <w:highlight w:val="none"/>
        </w:rPr>
        <w:fldChar w:fldCharType="end"/>
      </w:r>
      <w:r>
        <w:rPr>
          <w:color w:val="auto"/>
          <w:szCs w:val="21"/>
          <w:highlight w:val="none"/>
        </w:rPr>
        <w:t>因环境污染疏散、转移人员5000人以上1万人以下的；</w:t>
      </w:r>
    </w:p>
    <w:p w14:paraId="71EDD879">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3 \* GB3 </w:instrText>
      </w:r>
      <w:r>
        <w:rPr>
          <w:color w:val="auto"/>
          <w:szCs w:val="21"/>
          <w:highlight w:val="none"/>
        </w:rPr>
        <w:fldChar w:fldCharType="separate"/>
      </w:r>
      <w:r>
        <w:rPr>
          <w:rFonts w:hint="eastAsia"/>
          <w:color w:val="auto"/>
          <w:szCs w:val="21"/>
          <w:highlight w:val="none"/>
        </w:rPr>
        <w:t>③</w:t>
      </w:r>
      <w:r>
        <w:rPr>
          <w:color w:val="auto"/>
          <w:szCs w:val="21"/>
          <w:highlight w:val="none"/>
        </w:rPr>
        <w:fldChar w:fldCharType="end"/>
      </w:r>
      <w:r>
        <w:rPr>
          <w:color w:val="auto"/>
          <w:szCs w:val="21"/>
          <w:highlight w:val="none"/>
        </w:rPr>
        <w:t>因环境污染造成直接经济损失500万元以上2000万元以下的；</w:t>
      </w:r>
    </w:p>
    <w:p w14:paraId="58EFF93A">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4 \* GB3 </w:instrText>
      </w:r>
      <w:r>
        <w:rPr>
          <w:color w:val="auto"/>
          <w:szCs w:val="21"/>
          <w:highlight w:val="none"/>
        </w:rPr>
        <w:fldChar w:fldCharType="separate"/>
      </w:r>
      <w:r>
        <w:rPr>
          <w:rFonts w:hint="eastAsia"/>
          <w:color w:val="auto"/>
          <w:szCs w:val="21"/>
          <w:highlight w:val="none"/>
        </w:rPr>
        <w:t>④</w:t>
      </w:r>
      <w:r>
        <w:rPr>
          <w:color w:val="auto"/>
          <w:szCs w:val="21"/>
          <w:highlight w:val="none"/>
        </w:rPr>
        <w:fldChar w:fldCharType="end"/>
      </w:r>
      <w:r>
        <w:rPr>
          <w:color w:val="auto"/>
          <w:szCs w:val="21"/>
          <w:highlight w:val="none"/>
        </w:rPr>
        <w:t>因环境污染造成国家重点保护的动植物物种受到破坏的；</w:t>
      </w:r>
    </w:p>
    <w:p w14:paraId="629AE52C">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5 \* GB3 </w:instrText>
      </w:r>
      <w:r>
        <w:rPr>
          <w:color w:val="auto"/>
          <w:szCs w:val="21"/>
          <w:highlight w:val="none"/>
        </w:rPr>
        <w:fldChar w:fldCharType="separate"/>
      </w:r>
      <w:r>
        <w:rPr>
          <w:rFonts w:hint="eastAsia"/>
          <w:color w:val="auto"/>
          <w:szCs w:val="21"/>
          <w:highlight w:val="none"/>
        </w:rPr>
        <w:t>⑤</w:t>
      </w:r>
      <w:r>
        <w:rPr>
          <w:color w:val="auto"/>
          <w:szCs w:val="21"/>
          <w:highlight w:val="none"/>
        </w:rPr>
        <w:fldChar w:fldCharType="end"/>
      </w:r>
      <w:r>
        <w:rPr>
          <w:color w:val="auto"/>
          <w:szCs w:val="21"/>
          <w:highlight w:val="none"/>
        </w:rPr>
        <w:t>因环境污染造成乡镇集中式饮用水水源地取水中断的；</w:t>
      </w:r>
    </w:p>
    <w:p w14:paraId="04D7962C">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6 \* GB3 </w:instrText>
      </w:r>
      <w:r>
        <w:rPr>
          <w:color w:val="auto"/>
          <w:szCs w:val="21"/>
          <w:highlight w:val="none"/>
        </w:rPr>
        <w:fldChar w:fldCharType="separate"/>
      </w:r>
      <w:r>
        <w:rPr>
          <w:rFonts w:hint="eastAsia"/>
          <w:color w:val="auto"/>
          <w:szCs w:val="21"/>
          <w:highlight w:val="none"/>
        </w:rPr>
        <w:t>⑥</w:t>
      </w:r>
      <w:r>
        <w:rPr>
          <w:color w:val="auto"/>
          <w:szCs w:val="21"/>
          <w:highlight w:val="none"/>
        </w:rPr>
        <w:fldChar w:fldCharType="end"/>
      </w:r>
      <w:r>
        <w:rPr>
          <w:color w:val="auto"/>
          <w:szCs w:val="21"/>
          <w:highlight w:val="none"/>
        </w:rPr>
        <w:t>造成跨设区的市级行政区域影响的突发环境事件。</w:t>
      </w:r>
    </w:p>
    <w:p w14:paraId="52E57773">
      <w:pPr>
        <w:overflowPunct w:val="0"/>
        <w:topLinePunct/>
        <w:ind w:firstLine="480"/>
        <w:rPr>
          <w:color w:val="auto"/>
          <w:szCs w:val="21"/>
          <w:highlight w:val="none"/>
        </w:rPr>
      </w:pPr>
      <w:r>
        <w:rPr>
          <w:rFonts w:hint="eastAsia"/>
          <w:color w:val="auto"/>
          <w:szCs w:val="21"/>
          <w:highlight w:val="none"/>
        </w:rPr>
        <w:t>（4）</w:t>
      </w:r>
      <w:r>
        <w:rPr>
          <w:color w:val="auto"/>
          <w:szCs w:val="21"/>
          <w:highlight w:val="none"/>
        </w:rPr>
        <w:t>Ⅳ级应急：</w:t>
      </w:r>
    </w:p>
    <w:p w14:paraId="57EF8872">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1 \* GB3 </w:instrText>
      </w:r>
      <w:r>
        <w:rPr>
          <w:color w:val="auto"/>
          <w:szCs w:val="21"/>
          <w:highlight w:val="none"/>
        </w:rPr>
        <w:fldChar w:fldCharType="separate"/>
      </w:r>
      <w:r>
        <w:rPr>
          <w:rFonts w:hint="eastAsia"/>
          <w:color w:val="auto"/>
          <w:szCs w:val="21"/>
          <w:highlight w:val="none"/>
        </w:rPr>
        <w:t>①</w:t>
      </w:r>
      <w:r>
        <w:rPr>
          <w:color w:val="auto"/>
          <w:szCs w:val="21"/>
          <w:highlight w:val="none"/>
        </w:rPr>
        <w:fldChar w:fldCharType="end"/>
      </w:r>
      <w:r>
        <w:rPr>
          <w:color w:val="auto"/>
          <w:szCs w:val="21"/>
          <w:highlight w:val="none"/>
        </w:rPr>
        <w:t>因环境污染直接导致3人以下死亡或10人以下中毒或重伤的；</w:t>
      </w:r>
    </w:p>
    <w:p w14:paraId="02870076">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2 \* GB3 </w:instrText>
      </w:r>
      <w:r>
        <w:rPr>
          <w:color w:val="auto"/>
          <w:szCs w:val="21"/>
          <w:highlight w:val="none"/>
        </w:rPr>
        <w:fldChar w:fldCharType="separate"/>
      </w:r>
      <w:r>
        <w:rPr>
          <w:rFonts w:hint="eastAsia"/>
          <w:color w:val="auto"/>
          <w:szCs w:val="21"/>
          <w:highlight w:val="none"/>
        </w:rPr>
        <w:t>②</w:t>
      </w:r>
      <w:r>
        <w:rPr>
          <w:color w:val="auto"/>
          <w:szCs w:val="21"/>
          <w:highlight w:val="none"/>
        </w:rPr>
        <w:fldChar w:fldCharType="end"/>
      </w:r>
      <w:r>
        <w:rPr>
          <w:color w:val="auto"/>
          <w:szCs w:val="21"/>
          <w:highlight w:val="none"/>
        </w:rPr>
        <w:t>因环境污染疏散、转移人员5000人以下的；</w:t>
      </w:r>
    </w:p>
    <w:p w14:paraId="5DF11DE6">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3 \* GB3 </w:instrText>
      </w:r>
      <w:r>
        <w:rPr>
          <w:color w:val="auto"/>
          <w:szCs w:val="21"/>
          <w:highlight w:val="none"/>
        </w:rPr>
        <w:fldChar w:fldCharType="separate"/>
      </w:r>
      <w:r>
        <w:rPr>
          <w:rFonts w:hint="eastAsia"/>
          <w:color w:val="auto"/>
          <w:szCs w:val="21"/>
          <w:highlight w:val="none"/>
        </w:rPr>
        <w:t>③</w:t>
      </w:r>
      <w:r>
        <w:rPr>
          <w:color w:val="auto"/>
          <w:szCs w:val="21"/>
          <w:highlight w:val="none"/>
        </w:rPr>
        <w:fldChar w:fldCharType="end"/>
      </w:r>
      <w:r>
        <w:rPr>
          <w:color w:val="auto"/>
          <w:szCs w:val="21"/>
          <w:highlight w:val="none"/>
        </w:rPr>
        <w:t>因环境污染造成直接经济损失500万元以下的；</w:t>
      </w:r>
    </w:p>
    <w:p w14:paraId="66C77AEB">
      <w:pPr>
        <w:overflowPunct w:val="0"/>
        <w:topLinePunct/>
        <w:ind w:firstLine="480"/>
        <w:rPr>
          <w:color w:val="auto"/>
          <w:szCs w:val="21"/>
          <w:highlight w:val="none"/>
        </w:rPr>
      </w:pPr>
      <w:r>
        <w:rPr>
          <w:color w:val="auto"/>
          <w:szCs w:val="21"/>
          <w:highlight w:val="none"/>
        </w:rPr>
        <w:fldChar w:fldCharType="begin"/>
      </w:r>
      <w:r>
        <w:rPr>
          <w:color w:val="auto"/>
          <w:szCs w:val="21"/>
          <w:highlight w:val="none"/>
        </w:rPr>
        <w:instrText xml:space="preserve"> = 4 \* GB3 </w:instrText>
      </w:r>
      <w:r>
        <w:rPr>
          <w:color w:val="auto"/>
          <w:szCs w:val="21"/>
          <w:highlight w:val="none"/>
        </w:rPr>
        <w:fldChar w:fldCharType="separate"/>
      </w:r>
      <w:r>
        <w:rPr>
          <w:rFonts w:hint="eastAsia"/>
          <w:color w:val="auto"/>
          <w:szCs w:val="21"/>
          <w:highlight w:val="none"/>
        </w:rPr>
        <w:t>④</w:t>
      </w:r>
      <w:r>
        <w:rPr>
          <w:color w:val="auto"/>
          <w:szCs w:val="21"/>
          <w:highlight w:val="none"/>
        </w:rPr>
        <w:fldChar w:fldCharType="end"/>
      </w:r>
      <w:r>
        <w:rPr>
          <w:color w:val="auto"/>
          <w:szCs w:val="21"/>
          <w:highlight w:val="none"/>
        </w:rPr>
        <w:t>因环境污染造成跨县级行政区域纠纷，引起一般性群体影响的；</w:t>
      </w:r>
    </w:p>
    <w:p w14:paraId="0C485195">
      <w:pPr>
        <w:overflowPunct w:val="0"/>
        <w:topLinePunct/>
        <w:ind w:firstLine="480"/>
        <w:rPr>
          <w:rFonts w:hint="default" w:ascii="Times New Roman" w:hAnsi="Times New Roman" w:cs="Times New Roman"/>
          <w:color w:val="auto"/>
          <w:szCs w:val="21"/>
          <w:highlight w:val="none"/>
        </w:rPr>
      </w:pPr>
      <w:r>
        <w:rPr>
          <w:color w:val="auto"/>
          <w:szCs w:val="21"/>
          <w:highlight w:val="none"/>
        </w:rPr>
        <w:fldChar w:fldCharType="begin"/>
      </w:r>
      <w:r>
        <w:rPr>
          <w:color w:val="auto"/>
          <w:szCs w:val="21"/>
          <w:highlight w:val="none"/>
        </w:rPr>
        <w:instrText xml:space="preserve"> = 5 \* GB3 </w:instrText>
      </w:r>
      <w:r>
        <w:rPr>
          <w:color w:val="auto"/>
          <w:szCs w:val="21"/>
          <w:highlight w:val="none"/>
        </w:rPr>
        <w:fldChar w:fldCharType="separate"/>
      </w:r>
      <w:r>
        <w:rPr>
          <w:rFonts w:hint="eastAsia"/>
          <w:color w:val="auto"/>
          <w:szCs w:val="21"/>
          <w:highlight w:val="none"/>
        </w:rPr>
        <w:t>⑤</w:t>
      </w:r>
      <w:r>
        <w:rPr>
          <w:color w:val="auto"/>
          <w:szCs w:val="21"/>
          <w:highlight w:val="none"/>
        </w:rPr>
        <w:fldChar w:fldCharType="end"/>
      </w:r>
      <w:r>
        <w:rPr>
          <w:rFonts w:hint="default" w:ascii="Times New Roman" w:hAnsi="Times New Roman" w:cs="Times New Roman"/>
          <w:color w:val="auto"/>
          <w:szCs w:val="21"/>
          <w:highlight w:val="none"/>
        </w:rPr>
        <w:t>对环境造成一定影响，尚未达到较大突发环境事件级别的。</w:t>
      </w:r>
    </w:p>
    <w:p w14:paraId="19C29757">
      <w:pPr>
        <w:overflowPunct w:val="0"/>
        <w:topLinePunct/>
        <w:ind w:firstLine="4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一般环境事故发生时，当班人员报告给车间主任，车间主任根据事故大小确定应急级别，若为一般性事故，启动</w:t>
      </w:r>
      <w:r>
        <w:rPr>
          <w:rFonts w:hint="default" w:ascii="Times New Roman" w:hAnsi="Times New Roman" w:cs="Times New Roman"/>
          <w:color w:val="auto"/>
          <w:szCs w:val="21"/>
          <w:highlight w:val="none"/>
        </w:rPr>
        <w:fldChar w:fldCharType="begin"/>
      </w:r>
      <w:r>
        <w:rPr>
          <w:rFonts w:hint="default" w:ascii="Times New Roman" w:hAnsi="Times New Roman" w:cs="Times New Roman"/>
          <w:color w:val="auto"/>
          <w:szCs w:val="21"/>
          <w:highlight w:val="none"/>
        </w:rPr>
        <w:instrText xml:space="preserve"> = 3 \* ROMAN </w:instrText>
      </w:r>
      <w:r>
        <w:rPr>
          <w:rFonts w:hint="default" w:ascii="Times New Roman" w:hAnsi="Times New Roman" w:cs="Times New Roman"/>
          <w:color w:val="auto"/>
          <w:szCs w:val="21"/>
          <w:highlight w:val="none"/>
        </w:rPr>
        <w:fldChar w:fldCharType="separate"/>
      </w:r>
      <w:r>
        <w:rPr>
          <w:rFonts w:hint="default" w:ascii="Times New Roman" w:hAnsi="Times New Roman" w:cs="Times New Roman"/>
          <w:color w:val="auto"/>
          <w:szCs w:val="21"/>
          <w:highlight w:val="none"/>
          <w:lang w:eastAsia="zh-CN"/>
        </w:rPr>
        <w:t>Ⅲ</w:t>
      </w:r>
      <w:r>
        <w:rPr>
          <w:rFonts w:hint="default" w:ascii="Times New Roman" w:hAnsi="Times New Roman" w:cs="Times New Roman"/>
          <w:color w:val="auto"/>
          <w:szCs w:val="21"/>
          <w:highlight w:val="none"/>
        </w:rPr>
        <w:fldChar w:fldCharType="end"/>
      </w:r>
      <w:r>
        <w:rPr>
          <w:rFonts w:hint="default" w:ascii="Times New Roman" w:hAnsi="Times New Roman" w:cs="Times New Roman"/>
          <w:color w:val="auto"/>
          <w:szCs w:val="21"/>
          <w:highlight w:val="none"/>
        </w:rPr>
        <w:t>级应急预案。由车间主任任指挥，现场人员组成救援和应急小组，根据提前制定的应急程序准备救援。委托第三方监测单位到现场进行监测和事故评估，到事故处理妥当，确定危险结束时才能再开始恢复生产。</w:t>
      </w:r>
    </w:p>
    <w:p w14:paraId="21F74349">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应急救援保障</w:t>
      </w:r>
    </w:p>
    <w:p w14:paraId="47967264">
      <w:pPr>
        <w:overflowPunct w:val="0"/>
        <w:topLinePunct/>
        <w:ind w:firstLine="480"/>
        <w:rPr>
          <w:color w:val="auto"/>
          <w:szCs w:val="21"/>
          <w:highlight w:val="none"/>
        </w:rPr>
      </w:pPr>
      <w:r>
        <w:rPr>
          <w:color w:val="auto"/>
          <w:szCs w:val="21"/>
          <w:highlight w:val="none"/>
        </w:rPr>
        <w:t>（1）应急救援队伍</w:t>
      </w:r>
    </w:p>
    <w:p w14:paraId="76C2B09D">
      <w:pPr>
        <w:overflowPunct w:val="0"/>
        <w:topLinePunct/>
        <w:ind w:firstLine="480"/>
        <w:rPr>
          <w:color w:val="auto"/>
          <w:szCs w:val="21"/>
          <w:highlight w:val="none"/>
        </w:rPr>
      </w:pPr>
      <w:r>
        <w:rPr>
          <w:color w:val="auto"/>
          <w:szCs w:val="21"/>
          <w:highlight w:val="none"/>
        </w:rPr>
        <w:t>由现场工作人员迅速组织救援小组，同时上报给车间主任和厂区事故应急指挥领导小组，发布报警信息，组织疏散和撤离。</w:t>
      </w:r>
    </w:p>
    <w:p w14:paraId="6C8C68FD">
      <w:pPr>
        <w:overflowPunct w:val="0"/>
        <w:topLinePunct/>
        <w:ind w:firstLine="480"/>
        <w:rPr>
          <w:color w:val="auto"/>
          <w:szCs w:val="21"/>
          <w:highlight w:val="none"/>
        </w:rPr>
      </w:pPr>
      <w:r>
        <w:rPr>
          <w:color w:val="auto"/>
          <w:szCs w:val="21"/>
          <w:highlight w:val="none"/>
        </w:rPr>
        <w:t>（2）预备应急设施、设备及器材</w:t>
      </w:r>
    </w:p>
    <w:p w14:paraId="1E6DEBF7">
      <w:pPr>
        <w:overflowPunct w:val="0"/>
        <w:topLinePunct/>
        <w:ind w:firstLine="480"/>
        <w:rPr>
          <w:color w:val="auto"/>
          <w:szCs w:val="21"/>
          <w:highlight w:val="none"/>
        </w:rPr>
      </w:pPr>
      <w:r>
        <w:rPr>
          <w:color w:val="auto"/>
          <w:szCs w:val="21"/>
          <w:highlight w:val="none"/>
        </w:rPr>
        <w:t>（3）交通管制</w:t>
      </w:r>
    </w:p>
    <w:p w14:paraId="4493BF2B">
      <w:pPr>
        <w:overflowPunct w:val="0"/>
        <w:topLinePunct/>
        <w:ind w:firstLine="480"/>
        <w:rPr>
          <w:color w:val="auto"/>
          <w:szCs w:val="21"/>
          <w:highlight w:val="none"/>
        </w:rPr>
      </w:pPr>
      <w:r>
        <w:rPr>
          <w:color w:val="auto"/>
          <w:szCs w:val="21"/>
          <w:highlight w:val="none"/>
        </w:rPr>
        <w:t>对事故区实施交通管制，保证救援通道畅通。</w:t>
      </w:r>
    </w:p>
    <w:p w14:paraId="1F2DD26A">
      <w:pPr>
        <w:bidi w:val="0"/>
        <w:rPr>
          <w:color w:val="auto"/>
          <w:highlight w:val="none"/>
        </w:rPr>
      </w:pPr>
      <w:r>
        <w:rPr>
          <w:rFonts w:hint="eastAsia"/>
          <w:color w:val="auto"/>
          <w:highlight w:val="none"/>
          <w:lang w:val="en-US" w:eastAsia="zh-CN"/>
        </w:rPr>
        <w:t>5、</w:t>
      </w:r>
      <w:r>
        <w:rPr>
          <w:rFonts w:hint="eastAsia"/>
          <w:color w:val="auto"/>
          <w:highlight w:val="none"/>
        </w:rPr>
        <w:t>应急物资</w:t>
      </w:r>
    </w:p>
    <w:p w14:paraId="35684F39">
      <w:pPr>
        <w:overflowPunct w:val="0"/>
        <w:topLinePunct/>
        <w:ind w:firstLine="480"/>
        <w:rPr>
          <w:color w:val="auto"/>
          <w:highlight w:val="none"/>
        </w:rPr>
      </w:pPr>
      <w:r>
        <w:rPr>
          <w:color w:val="auto"/>
          <w:highlight w:val="none"/>
        </w:rPr>
        <w:t>本次环评后需根据本次建设情况对突发环境事件应急预案进行</w:t>
      </w:r>
      <w:r>
        <w:rPr>
          <w:rFonts w:hint="eastAsia"/>
          <w:color w:val="auto"/>
          <w:highlight w:val="none"/>
          <w:lang w:eastAsia="zh-CN"/>
        </w:rPr>
        <w:t>编制并</w:t>
      </w:r>
      <w:r>
        <w:rPr>
          <w:color w:val="auto"/>
          <w:highlight w:val="none"/>
        </w:rPr>
        <w:t>备案，同时按照要求</w:t>
      </w:r>
      <w:r>
        <w:rPr>
          <w:rFonts w:hint="eastAsia"/>
          <w:color w:val="auto"/>
          <w:highlight w:val="none"/>
          <w:lang w:eastAsia="zh-CN"/>
        </w:rPr>
        <w:t>储存</w:t>
      </w:r>
      <w:r>
        <w:rPr>
          <w:color w:val="auto"/>
          <w:highlight w:val="none"/>
        </w:rPr>
        <w:t>应急物资。</w:t>
      </w:r>
    </w:p>
    <w:p w14:paraId="29254CF2">
      <w:pPr>
        <w:bidi w:val="0"/>
        <w:rPr>
          <w:color w:val="auto"/>
          <w:highlight w:val="none"/>
        </w:rPr>
      </w:pPr>
      <w:r>
        <w:rPr>
          <w:rFonts w:hint="eastAsia"/>
          <w:color w:val="auto"/>
          <w:highlight w:val="none"/>
          <w:lang w:val="en-US" w:eastAsia="zh-CN"/>
        </w:rPr>
        <w:t>6、</w:t>
      </w:r>
      <w:r>
        <w:rPr>
          <w:color w:val="auto"/>
          <w:highlight w:val="none"/>
        </w:rPr>
        <w:t>报警、通讯联络方式</w:t>
      </w:r>
    </w:p>
    <w:p w14:paraId="749B03ED">
      <w:pPr>
        <w:overflowPunct w:val="0"/>
        <w:topLinePunct/>
        <w:ind w:firstLine="480"/>
        <w:rPr>
          <w:color w:val="auto"/>
          <w:szCs w:val="21"/>
          <w:highlight w:val="none"/>
        </w:rPr>
      </w:pPr>
      <w:r>
        <w:rPr>
          <w:color w:val="auto"/>
          <w:szCs w:val="21"/>
          <w:highlight w:val="none"/>
        </w:rPr>
        <w:t>一旦事故发生，要迅速报警，联络各职能部门。报警器材平时必须配备好，联络方式要能快速查到。遇到大事故，事故发现者立即用对讲机通知主操作室人员，由班长安</w:t>
      </w:r>
      <w:r>
        <w:rPr>
          <w:rFonts w:hint="eastAsia"/>
          <w:color w:val="auto"/>
          <w:szCs w:val="21"/>
          <w:highlight w:val="none"/>
          <w:lang w:eastAsia="zh-CN"/>
        </w:rPr>
        <w:t>排责</w:t>
      </w:r>
      <w:r>
        <w:rPr>
          <w:color w:val="auto"/>
          <w:szCs w:val="21"/>
          <w:highlight w:val="none"/>
        </w:rPr>
        <w:t>任人报警和通知车间人员、调度指挥中心。发生大事故时，直接向事故应急指挥领导小组汇报。</w:t>
      </w:r>
    </w:p>
    <w:p w14:paraId="7425553C">
      <w:pPr>
        <w:bidi w:val="0"/>
        <w:rPr>
          <w:color w:val="auto"/>
          <w:highlight w:val="none"/>
        </w:rPr>
      </w:pPr>
      <w:r>
        <w:rPr>
          <w:rFonts w:hint="eastAsia"/>
          <w:color w:val="auto"/>
          <w:highlight w:val="none"/>
          <w:lang w:val="en-US" w:eastAsia="zh-CN"/>
        </w:rPr>
        <w:t>7、</w:t>
      </w:r>
      <w:r>
        <w:rPr>
          <w:color w:val="auto"/>
          <w:highlight w:val="none"/>
        </w:rPr>
        <w:t>抢险、救援及控制措施</w:t>
      </w:r>
    </w:p>
    <w:p w14:paraId="13E51E93">
      <w:pPr>
        <w:overflowPunct w:val="0"/>
        <w:topLinePunct/>
        <w:ind w:firstLine="480"/>
        <w:rPr>
          <w:color w:val="auto"/>
          <w:szCs w:val="21"/>
          <w:highlight w:val="none"/>
        </w:rPr>
      </w:pPr>
      <w:r>
        <w:rPr>
          <w:color w:val="auto"/>
          <w:szCs w:val="21"/>
          <w:highlight w:val="none"/>
        </w:rPr>
        <w:t>接到事故报警时，现场人员根据事故大小对事故现场进行侦察，如为重大事故，立即通知安环部等职能部门，对现场进行监测评估，为指挥部门提供决策依据。</w:t>
      </w:r>
    </w:p>
    <w:p w14:paraId="7E111A5F">
      <w:pPr>
        <w:bidi w:val="0"/>
        <w:rPr>
          <w:color w:val="auto"/>
          <w:highlight w:val="none"/>
        </w:rPr>
      </w:pPr>
      <w:r>
        <w:rPr>
          <w:rFonts w:hint="eastAsia"/>
          <w:color w:val="auto"/>
          <w:highlight w:val="none"/>
          <w:lang w:val="en-US" w:eastAsia="zh-CN"/>
        </w:rPr>
        <w:t>8、</w:t>
      </w:r>
      <w:r>
        <w:rPr>
          <w:color w:val="auto"/>
          <w:highlight w:val="none"/>
        </w:rPr>
        <w:t>应急环境监测</w:t>
      </w:r>
    </w:p>
    <w:p w14:paraId="16C8852D">
      <w:pPr>
        <w:overflowPunct w:val="0"/>
        <w:topLinePunct/>
        <w:ind w:firstLine="480"/>
        <w:rPr>
          <w:color w:val="auto"/>
          <w:szCs w:val="21"/>
          <w:highlight w:val="none"/>
        </w:rPr>
      </w:pPr>
      <w:r>
        <w:rPr>
          <w:color w:val="auto"/>
          <w:szCs w:val="21"/>
          <w:highlight w:val="none"/>
        </w:rPr>
        <w:t>事故应急监测方案应与项目所在地附近环境监测部门共同</w:t>
      </w:r>
      <w:r>
        <w:rPr>
          <w:rFonts w:hint="eastAsia"/>
          <w:color w:val="auto"/>
          <w:szCs w:val="21"/>
          <w:highlight w:val="none"/>
          <w:lang w:eastAsia="zh-CN"/>
        </w:rPr>
        <w:t>制定</w:t>
      </w:r>
      <w:r>
        <w:rPr>
          <w:color w:val="auto"/>
          <w:szCs w:val="21"/>
          <w:highlight w:val="none"/>
        </w:rPr>
        <w:t>和实施，环境监测人员必须迅速到达事故现场，在采样24h必须报出，应急监测报告在48h内报出。根据事故发生源，污染物</w:t>
      </w:r>
      <w:r>
        <w:rPr>
          <w:rFonts w:hint="eastAsia"/>
          <w:color w:val="auto"/>
          <w:szCs w:val="21"/>
          <w:highlight w:val="none"/>
          <w:lang w:eastAsia="zh-CN"/>
        </w:rPr>
        <w:t>泄漏</w:t>
      </w:r>
      <w:r>
        <w:rPr>
          <w:color w:val="auto"/>
          <w:szCs w:val="21"/>
          <w:highlight w:val="none"/>
        </w:rPr>
        <w:t>种类的分析成果，检测事故的特征因子，对事故源附近的辐射圈周界进行采样监测，重点监测可能受影响的区域。本项目的环境监测主要</w:t>
      </w:r>
      <w:r>
        <w:rPr>
          <w:rFonts w:hint="eastAsia"/>
          <w:color w:val="auto"/>
          <w:szCs w:val="21"/>
          <w:highlight w:val="none"/>
        </w:rPr>
        <w:t>委托第三方监测单位完成</w:t>
      </w:r>
      <w:r>
        <w:rPr>
          <w:color w:val="auto"/>
          <w:szCs w:val="21"/>
          <w:highlight w:val="none"/>
        </w:rPr>
        <w:t>。</w:t>
      </w:r>
    </w:p>
    <w:p w14:paraId="5FF2B854">
      <w:pPr>
        <w:bidi w:val="0"/>
        <w:rPr>
          <w:color w:val="auto"/>
          <w:highlight w:val="none"/>
        </w:rPr>
      </w:pPr>
      <w:r>
        <w:rPr>
          <w:rFonts w:hint="eastAsia"/>
          <w:color w:val="auto"/>
          <w:highlight w:val="none"/>
          <w:lang w:val="en-US" w:eastAsia="zh-CN"/>
        </w:rPr>
        <w:t>9、</w:t>
      </w:r>
      <w:r>
        <w:rPr>
          <w:color w:val="auto"/>
          <w:highlight w:val="none"/>
        </w:rPr>
        <w:t>事故应急救援关闭程序与恢复</w:t>
      </w:r>
    </w:p>
    <w:p w14:paraId="23FC0831">
      <w:pPr>
        <w:overflowPunct w:val="0"/>
        <w:topLinePunct/>
        <w:ind w:firstLine="480"/>
        <w:rPr>
          <w:color w:val="auto"/>
          <w:szCs w:val="21"/>
          <w:highlight w:val="none"/>
        </w:rPr>
      </w:pPr>
      <w:r>
        <w:rPr>
          <w:color w:val="auto"/>
          <w:szCs w:val="21"/>
          <w:highlight w:val="none"/>
        </w:rPr>
        <w:t>经环境监测站监测结果和事故评估组认定风险已解除时，应急状态才终止。事故结束后，应组织进行事故现场善后处理与恢复，解除区域事故警戒。</w:t>
      </w:r>
    </w:p>
    <w:p w14:paraId="01042ACB">
      <w:pPr>
        <w:bidi w:val="0"/>
        <w:rPr>
          <w:color w:val="auto"/>
          <w:highlight w:val="none"/>
        </w:rPr>
      </w:pPr>
      <w:r>
        <w:rPr>
          <w:rFonts w:hint="eastAsia"/>
          <w:color w:val="auto"/>
          <w:highlight w:val="none"/>
          <w:lang w:val="en-US" w:eastAsia="zh-CN"/>
        </w:rPr>
        <w:t>10、</w:t>
      </w:r>
      <w:r>
        <w:rPr>
          <w:color w:val="auto"/>
          <w:highlight w:val="none"/>
        </w:rPr>
        <w:t>应急培训计划</w:t>
      </w:r>
    </w:p>
    <w:p w14:paraId="5EBF271F">
      <w:pPr>
        <w:overflowPunct w:val="0"/>
        <w:topLinePunct/>
        <w:ind w:firstLine="480"/>
        <w:rPr>
          <w:color w:val="auto"/>
          <w:szCs w:val="21"/>
          <w:highlight w:val="none"/>
        </w:rPr>
      </w:pPr>
      <w:r>
        <w:rPr>
          <w:color w:val="auto"/>
          <w:szCs w:val="21"/>
          <w:highlight w:val="none"/>
        </w:rPr>
        <w:t>应急计划制定后，由各车间定期安排人员培训与演练。同时，对项目影响区居民开展公众教育，培训和发布有关应急信息。项目具体事故应急预案主要内容见表5.</w:t>
      </w:r>
      <w:r>
        <w:rPr>
          <w:rFonts w:hint="eastAsia"/>
          <w:color w:val="auto"/>
          <w:szCs w:val="21"/>
          <w:highlight w:val="none"/>
          <w:lang w:val="en-US" w:eastAsia="zh-CN"/>
        </w:rPr>
        <w:t>2</w:t>
      </w:r>
      <w:r>
        <w:rPr>
          <w:rFonts w:hint="eastAsia"/>
          <w:color w:val="auto"/>
          <w:szCs w:val="21"/>
          <w:highlight w:val="none"/>
        </w:rPr>
        <w:t>-</w:t>
      </w:r>
      <w:r>
        <w:rPr>
          <w:rFonts w:hint="eastAsia"/>
          <w:color w:val="auto"/>
          <w:szCs w:val="21"/>
          <w:highlight w:val="none"/>
          <w:lang w:val="en-US" w:eastAsia="zh-CN"/>
        </w:rPr>
        <w:t>40</w:t>
      </w:r>
      <w:r>
        <w:rPr>
          <w:color w:val="auto"/>
          <w:szCs w:val="21"/>
          <w:highlight w:val="none"/>
        </w:rPr>
        <w:t>。</w:t>
      </w:r>
    </w:p>
    <w:p w14:paraId="0C28A090">
      <w:pPr>
        <w:ind w:firstLine="0" w:firstLineChars="0"/>
        <w:jc w:val="center"/>
        <w:rPr>
          <w:b/>
          <w:bCs/>
          <w:color w:val="auto"/>
          <w:szCs w:val="21"/>
          <w:highlight w:val="none"/>
        </w:rPr>
      </w:pPr>
      <w:r>
        <w:rPr>
          <w:b/>
          <w:bCs/>
          <w:color w:val="auto"/>
          <w:szCs w:val="21"/>
          <w:highlight w:val="none"/>
        </w:rPr>
        <w:t>表5.</w:t>
      </w:r>
      <w:r>
        <w:rPr>
          <w:rFonts w:hint="eastAsia"/>
          <w:b/>
          <w:bCs/>
          <w:color w:val="auto"/>
          <w:szCs w:val="21"/>
          <w:highlight w:val="none"/>
          <w:lang w:val="en-US" w:eastAsia="zh-CN"/>
        </w:rPr>
        <w:t>2</w:t>
      </w:r>
      <w:r>
        <w:rPr>
          <w:b/>
          <w:bCs/>
          <w:color w:val="auto"/>
          <w:szCs w:val="21"/>
          <w:highlight w:val="none"/>
        </w:rPr>
        <w:t>-</w:t>
      </w:r>
      <w:r>
        <w:rPr>
          <w:rFonts w:hint="eastAsia"/>
          <w:b/>
          <w:bCs/>
          <w:color w:val="auto"/>
          <w:szCs w:val="21"/>
          <w:highlight w:val="none"/>
          <w:lang w:val="en-US" w:eastAsia="zh-CN"/>
        </w:rPr>
        <w:t>40</w:t>
      </w:r>
      <w:r>
        <w:rPr>
          <w:b/>
          <w:bCs/>
          <w:color w:val="auto"/>
          <w:szCs w:val="21"/>
          <w:highlight w:val="none"/>
        </w:rPr>
        <w:t xml:space="preserve">    事故应急预案主要内容汇总表</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7"/>
        <w:gridCol w:w="2520"/>
        <w:gridCol w:w="5355"/>
      </w:tblGrid>
      <w:tr w14:paraId="47917B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647" w:type="dxa"/>
            <w:vAlign w:val="center"/>
          </w:tcPr>
          <w:p w14:paraId="6A5F8A2F">
            <w:pPr>
              <w:pStyle w:val="17"/>
              <w:bidi w:val="0"/>
              <w:rPr>
                <w:color w:val="auto"/>
                <w:highlight w:val="none"/>
              </w:rPr>
            </w:pPr>
            <w:r>
              <w:rPr>
                <w:color w:val="auto"/>
                <w:highlight w:val="none"/>
              </w:rPr>
              <w:t>序号</w:t>
            </w:r>
          </w:p>
        </w:tc>
        <w:tc>
          <w:tcPr>
            <w:tcW w:w="2520" w:type="dxa"/>
            <w:vAlign w:val="center"/>
          </w:tcPr>
          <w:p w14:paraId="66691762">
            <w:pPr>
              <w:pStyle w:val="17"/>
              <w:bidi w:val="0"/>
              <w:rPr>
                <w:color w:val="auto"/>
                <w:highlight w:val="none"/>
              </w:rPr>
            </w:pPr>
            <w:r>
              <w:rPr>
                <w:color w:val="auto"/>
                <w:highlight w:val="none"/>
              </w:rPr>
              <w:t>项目</w:t>
            </w:r>
          </w:p>
        </w:tc>
        <w:tc>
          <w:tcPr>
            <w:tcW w:w="5355" w:type="dxa"/>
            <w:vAlign w:val="center"/>
          </w:tcPr>
          <w:p w14:paraId="562E8FE6">
            <w:pPr>
              <w:pStyle w:val="17"/>
              <w:bidi w:val="0"/>
              <w:rPr>
                <w:color w:val="auto"/>
                <w:highlight w:val="none"/>
              </w:rPr>
            </w:pPr>
            <w:r>
              <w:rPr>
                <w:color w:val="auto"/>
                <w:highlight w:val="none"/>
              </w:rPr>
              <w:t>内容及要求</w:t>
            </w:r>
          </w:p>
        </w:tc>
      </w:tr>
      <w:tr w14:paraId="602200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0F1980CD">
            <w:pPr>
              <w:pStyle w:val="17"/>
              <w:bidi w:val="0"/>
              <w:rPr>
                <w:color w:val="auto"/>
                <w:highlight w:val="none"/>
              </w:rPr>
            </w:pPr>
            <w:r>
              <w:rPr>
                <w:color w:val="auto"/>
                <w:highlight w:val="none"/>
              </w:rPr>
              <w:t>1</w:t>
            </w:r>
          </w:p>
        </w:tc>
        <w:tc>
          <w:tcPr>
            <w:tcW w:w="2520" w:type="dxa"/>
            <w:vAlign w:val="center"/>
          </w:tcPr>
          <w:p w14:paraId="74E182CE">
            <w:pPr>
              <w:pStyle w:val="17"/>
              <w:bidi w:val="0"/>
              <w:rPr>
                <w:color w:val="auto"/>
                <w:highlight w:val="none"/>
              </w:rPr>
            </w:pPr>
            <w:r>
              <w:rPr>
                <w:color w:val="auto"/>
                <w:highlight w:val="none"/>
              </w:rPr>
              <w:t>应急计划区</w:t>
            </w:r>
          </w:p>
        </w:tc>
        <w:tc>
          <w:tcPr>
            <w:tcW w:w="5355" w:type="dxa"/>
            <w:vAlign w:val="center"/>
          </w:tcPr>
          <w:p w14:paraId="6DF47F08">
            <w:pPr>
              <w:pStyle w:val="17"/>
              <w:bidi w:val="0"/>
              <w:rPr>
                <w:color w:val="auto"/>
                <w:highlight w:val="none"/>
              </w:rPr>
            </w:pPr>
            <w:r>
              <w:rPr>
                <w:rFonts w:hint="eastAsia"/>
                <w:color w:val="auto"/>
                <w:highlight w:val="none"/>
              </w:rPr>
              <w:t>选矿厂、尾矿库、</w:t>
            </w:r>
            <w:r>
              <w:rPr>
                <w:color w:val="auto"/>
                <w:highlight w:val="none"/>
              </w:rPr>
              <w:t>尾矿输送系统、回水用系统</w:t>
            </w:r>
            <w:r>
              <w:rPr>
                <w:rFonts w:hint="eastAsia"/>
                <w:color w:val="auto"/>
                <w:highlight w:val="none"/>
              </w:rPr>
              <w:t>。</w:t>
            </w:r>
          </w:p>
        </w:tc>
      </w:tr>
      <w:tr w14:paraId="16E1E6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22BD6C9F">
            <w:pPr>
              <w:pStyle w:val="17"/>
              <w:bidi w:val="0"/>
              <w:rPr>
                <w:color w:val="auto"/>
                <w:highlight w:val="none"/>
              </w:rPr>
            </w:pPr>
            <w:r>
              <w:rPr>
                <w:color w:val="auto"/>
                <w:highlight w:val="none"/>
              </w:rPr>
              <w:t>2</w:t>
            </w:r>
          </w:p>
        </w:tc>
        <w:tc>
          <w:tcPr>
            <w:tcW w:w="2520" w:type="dxa"/>
            <w:vAlign w:val="center"/>
          </w:tcPr>
          <w:p w14:paraId="4531F576">
            <w:pPr>
              <w:pStyle w:val="17"/>
              <w:bidi w:val="0"/>
              <w:rPr>
                <w:color w:val="auto"/>
                <w:highlight w:val="none"/>
              </w:rPr>
            </w:pPr>
            <w:r>
              <w:rPr>
                <w:color w:val="auto"/>
                <w:highlight w:val="none"/>
              </w:rPr>
              <w:t>应急组织结构、人员</w:t>
            </w:r>
          </w:p>
        </w:tc>
        <w:tc>
          <w:tcPr>
            <w:tcW w:w="5355" w:type="dxa"/>
            <w:vAlign w:val="center"/>
          </w:tcPr>
          <w:p w14:paraId="05C49190">
            <w:pPr>
              <w:pStyle w:val="17"/>
              <w:bidi w:val="0"/>
              <w:rPr>
                <w:color w:val="auto"/>
                <w:highlight w:val="none"/>
              </w:rPr>
            </w:pPr>
            <w:r>
              <w:rPr>
                <w:color w:val="auto"/>
                <w:highlight w:val="none"/>
              </w:rPr>
              <w:t>应急组织机构分级，各级别主要负责人为应急计划、协调第一人，应急人员必须为培训上岗熟练工；区域应急组织结构由</w:t>
            </w:r>
            <w:r>
              <w:rPr>
                <w:rFonts w:hint="eastAsia"/>
                <w:color w:val="auto"/>
                <w:highlight w:val="none"/>
              </w:rPr>
              <w:t>巴音郭楞蒙古自治州</w:t>
            </w:r>
            <w:r>
              <w:rPr>
                <w:color w:val="auto"/>
                <w:highlight w:val="none"/>
              </w:rPr>
              <w:t>政府、相关行业专家、卫生安全相关单位组成，并由</w:t>
            </w:r>
            <w:r>
              <w:rPr>
                <w:rFonts w:hint="eastAsia"/>
                <w:color w:val="auto"/>
                <w:highlight w:val="none"/>
              </w:rPr>
              <w:t>巴音郭楞蒙古自治州</w:t>
            </w:r>
            <w:r>
              <w:rPr>
                <w:color w:val="auto"/>
                <w:highlight w:val="none"/>
              </w:rPr>
              <w:t>政府进行统一调度</w:t>
            </w:r>
            <w:r>
              <w:rPr>
                <w:rFonts w:hint="eastAsia"/>
                <w:color w:val="auto"/>
                <w:highlight w:val="none"/>
              </w:rPr>
              <w:t>。</w:t>
            </w:r>
          </w:p>
        </w:tc>
      </w:tr>
      <w:tr w14:paraId="1C8867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1A9BCEE2">
            <w:pPr>
              <w:pStyle w:val="17"/>
              <w:bidi w:val="0"/>
              <w:rPr>
                <w:color w:val="auto"/>
                <w:highlight w:val="none"/>
              </w:rPr>
            </w:pPr>
            <w:r>
              <w:rPr>
                <w:color w:val="auto"/>
                <w:highlight w:val="none"/>
              </w:rPr>
              <w:t>3</w:t>
            </w:r>
          </w:p>
        </w:tc>
        <w:tc>
          <w:tcPr>
            <w:tcW w:w="2520" w:type="dxa"/>
            <w:vAlign w:val="center"/>
          </w:tcPr>
          <w:p w14:paraId="29E49423">
            <w:pPr>
              <w:pStyle w:val="17"/>
              <w:bidi w:val="0"/>
              <w:rPr>
                <w:color w:val="auto"/>
                <w:highlight w:val="none"/>
              </w:rPr>
            </w:pPr>
            <w:r>
              <w:rPr>
                <w:color w:val="auto"/>
                <w:highlight w:val="none"/>
              </w:rPr>
              <w:t>预案分级响应条件</w:t>
            </w:r>
          </w:p>
        </w:tc>
        <w:tc>
          <w:tcPr>
            <w:tcW w:w="5355" w:type="dxa"/>
            <w:vAlign w:val="center"/>
          </w:tcPr>
          <w:p w14:paraId="0C976C74">
            <w:pPr>
              <w:pStyle w:val="17"/>
              <w:bidi w:val="0"/>
              <w:rPr>
                <w:color w:val="auto"/>
                <w:highlight w:val="none"/>
              </w:rPr>
            </w:pPr>
            <w:r>
              <w:rPr>
                <w:color w:val="auto"/>
                <w:highlight w:val="none"/>
              </w:rPr>
              <w:t>根据事故的严重程度制定相应级别的应急预案，以及适合相应情况的处理措施。</w:t>
            </w:r>
          </w:p>
        </w:tc>
      </w:tr>
      <w:tr w14:paraId="493252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6D61B1DD">
            <w:pPr>
              <w:pStyle w:val="17"/>
              <w:bidi w:val="0"/>
              <w:rPr>
                <w:color w:val="auto"/>
                <w:highlight w:val="none"/>
              </w:rPr>
            </w:pPr>
            <w:r>
              <w:rPr>
                <w:color w:val="auto"/>
                <w:highlight w:val="none"/>
              </w:rPr>
              <w:t>4</w:t>
            </w:r>
          </w:p>
        </w:tc>
        <w:tc>
          <w:tcPr>
            <w:tcW w:w="2520" w:type="dxa"/>
            <w:vAlign w:val="center"/>
          </w:tcPr>
          <w:p w14:paraId="0A52D3C6">
            <w:pPr>
              <w:pStyle w:val="17"/>
              <w:bidi w:val="0"/>
              <w:rPr>
                <w:color w:val="auto"/>
                <w:highlight w:val="none"/>
              </w:rPr>
            </w:pPr>
            <w:r>
              <w:rPr>
                <w:color w:val="auto"/>
                <w:highlight w:val="none"/>
              </w:rPr>
              <w:t>应急救援保障</w:t>
            </w:r>
          </w:p>
        </w:tc>
        <w:tc>
          <w:tcPr>
            <w:tcW w:w="5355" w:type="dxa"/>
            <w:vAlign w:val="center"/>
          </w:tcPr>
          <w:p w14:paraId="28DA8B4C">
            <w:pPr>
              <w:pStyle w:val="17"/>
              <w:bidi w:val="0"/>
              <w:rPr>
                <w:color w:val="auto"/>
                <w:highlight w:val="none"/>
              </w:rPr>
            </w:pPr>
            <w:r>
              <w:rPr>
                <w:color w:val="auto"/>
                <w:highlight w:val="none"/>
              </w:rPr>
              <w:t>应急设施、设备与器材等</w:t>
            </w:r>
            <w:r>
              <w:rPr>
                <w:rFonts w:hint="eastAsia"/>
                <w:color w:val="auto"/>
                <w:highlight w:val="none"/>
              </w:rPr>
              <w:t>。</w:t>
            </w:r>
          </w:p>
        </w:tc>
      </w:tr>
      <w:tr w14:paraId="3BF62F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2ABEFF92">
            <w:pPr>
              <w:pStyle w:val="17"/>
              <w:bidi w:val="0"/>
              <w:rPr>
                <w:color w:val="auto"/>
                <w:highlight w:val="none"/>
              </w:rPr>
            </w:pPr>
            <w:r>
              <w:rPr>
                <w:color w:val="auto"/>
                <w:highlight w:val="none"/>
              </w:rPr>
              <w:t>5</w:t>
            </w:r>
          </w:p>
        </w:tc>
        <w:tc>
          <w:tcPr>
            <w:tcW w:w="2520" w:type="dxa"/>
            <w:vAlign w:val="center"/>
          </w:tcPr>
          <w:p w14:paraId="59752178">
            <w:pPr>
              <w:pStyle w:val="17"/>
              <w:bidi w:val="0"/>
              <w:rPr>
                <w:color w:val="auto"/>
                <w:highlight w:val="none"/>
              </w:rPr>
            </w:pPr>
            <w:r>
              <w:rPr>
                <w:color w:val="auto"/>
                <w:highlight w:val="none"/>
              </w:rPr>
              <w:t>报警、通讯联络方式</w:t>
            </w:r>
          </w:p>
        </w:tc>
        <w:tc>
          <w:tcPr>
            <w:tcW w:w="5355" w:type="dxa"/>
            <w:vAlign w:val="center"/>
          </w:tcPr>
          <w:p w14:paraId="60AD0D33">
            <w:pPr>
              <w:pStyle w:val="17"/>
              <w:bidi w:val="0"/>
              <w:rPr>
                <w:color w:val="auto"/>
                <w:highlight w:val="none"/>
              </w:rPr>
            </w:pPr>
            <w:r>
              <w:rPr>
                <w:color w:val="auto"/>
                <w:highlight w:val="none"/>
              </w:rPr>
              <w:t>逐一细化应急状态下各主要负责单位的报警通讯方式、地点、电话号码以及相关配套的交通保障、管制、消防联络方法。</w:t>
            </w:r>
          </w:p>
        </w:tc>
      </w:tr>
      <w:tr w14:paraId="2FAE98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4AF0FEC0">
            <w:pPr>
              <w:pStyle w:val="17"/>
              <w:bidi w:val="0"/>
              <w:rPr>
                <w:color w:val="auto"/>
                <w:highlight w:val="none"/>
              </w:rPr>
            </w:pPr>
            <w:r>
              <w:rPr>
                <w:color w:val="auto"/>
                <w:highlight w:val="none"/>
              </w:rPr>
              <w:t>6</w:t>
            </w:r>
          </w:p>
        </w:tc>
        <w:tc>
          <w:tcPr>
            <w:tcW w:w="2520" w:type="dxa"/>
            <w:vAlign w:val="center"/>
          </w:tcPr>
          <w:p w14:paraId="6FD0725D">
            <w:pPr>
              <w:pStyle w:val="17"/>
              <w:bidi w:val="0"/>
              <w:rPr>
                <w:color w:val="auto"/>
                <w:highlight w:val="none"/>
              </w:rPr>
            </w:pPr>
            <w:r>
              <w:rPr>
                <w:color w:val="auto"/>
                <w:highlight w:val="none"/>
              </w:rPr>
              <w:t>应急环境监测、抢险、救援控制措施</w:t>
            </w:r>
          </w:p>
        </w:tc>
        <w:tc>
          <w:tcPr>
            <w:tcW w:w="5355" w:type="dxa"/>
            <w:vAlign w:val="center"/>
          </w:tcPr>
          <w:p w14:paraId="2894A2ED">
            <w:pPr>
              <w:pStyle w:val="17"/>
              <w:bidi w:val="0"/>
              <w:rPr>
                <w:color w:val="auto"/>
                <w:highlight w:val="none"/>
              </w:rPr>
            </w:pPr>
            <w:r>
              <w:rPr>
                <w:color w:val="auto"/>
                <w:highlight w:val="none"/>
              </w:rPr>
              <w:t>组织专业队伍负责对事故现场进行侦察监测，对事故性质、参数与后果进行评估，专为指挥部门提供决策依据。</w:t>
            </w:r>
          </w:p>
        </w:tc>
      </w:tr>
      <w:tr w14:paraId="6546DD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40E9C3AC">
            <w:pPr>
              <w:pStyle w:val="17"/>
              <w:bidi w:val="0"/>
              <w:rPr>
                <w:color w:val="auto"/>
                <w:highlight w:val="none"/>
              </w:rPr>
            </w:pPr>
            <w:r>
              <w:rPr>
                <w:color w:val="auto"/>
                <w:highlight w:val="none"/>
              </w:rPr>
              <w:t>7</w:t>
            </w:r>
          </w:p>
        </w:tc>
        <w:tc>
          <w:tcPr>
            <w:tcW w:w="2520" w:type="dxa"/>
            <w:vAlign w:val="center"/>
          </w:tcPr>
          <w:p w14:paraId="053E12CA">
            <w:pPr>
              <w:pStyle w:val="17"/>
              <w:bidi w:val="0"/>
              <w:rPr>
                <w:color w:val="auto"/>
                <w:highlight w:val="none"/>
              </w:rPr>
            </w:pPr>
            <w:r>
              <w:rPr>
                <w:color w:val="auto"/>
                <w:highlight w:val="none"/>
              </w:rPr>
              <w:t>应急监测、防护措施、清除</w:t>
            </w:r>
            <w:r>
              <w:rPr>
                <w:rFonts w:hint="eastAsia"/>
                <w:color w:val="auto"/>
                <w:highlight w:val="none"/>
                <w:lang w:eastAsia="zh-CN"/>
              </w:rPr>
              <w:t>泄漏</w:t>
            </w:r>
            <w:r>
              <w:rPr>
                <w:color w:val="auto"/>
                <w:highlight w:val="none"/>
              </w:rPr>
              <w:t>措施和器材</w:t>
            </w:r>
          </w:p>
        </w:tc>
        <w:tc>
          <w:tcPr>
            <w:tcW w:w="5355" w:type="dxa"/>
            <w:vAlign w:val="center"/>
          </w:tcPr>
          <w:p w14:paraId="1263AE59">
            <w:pPr>
              <w:pStyle w:val="17"/>
              <w:bidi w:val="0"/>
              <w:rPr>
                <w:color w:val="auto"/>
                <w:highlight w:val="none"/>
              </w:rPr>
            </w:pPr>
            <w:r>
              <w:rPr>
                <w:color w:val="auto"/>
                <w:highlight w:val="none"/>
              </w:rPr>
              <w:t>严格规定事故多发区、事故现场、邻近区域、设置控制和清除污染措施及相应设备的数量、使用方法、使用人员。</w:t>
            </w:r>
          </w:p>
        </w:tc>
      </w:tr>
      <w:tr w14:paraId="705E46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770340A4">
            <w:pPr>
              <w:pStyle w:val="17"/>
              <w:bidi w:val="0"/>
              <w:rPr>
                <w:color w:val="auto"/>
                <w:highlight w:val="none"/>
              </w:rPr>
            </w:pPr>
            <w:r>
              <w:rPr>
                <w:color w:val="auto"/>
                <w:highlight w:val="none"/>
              </w:rPr>
              <w:t>8</w:t>
            </w:r>
          </w:p>
        </w:tc>
        <w:tc>
          <w:tcPr>
            <w:tcW w:w="2520" w:type="dxa"/>
            <w:vAlign w:val="center"/>
          </w:tcPr>
          <w:p w14:paraId="78D12C37">
            <w:pPr>
              <w:pStyle w:val="17"/>
              <w:bidi w:val="0"/>
              <w:rPr>
                <w:color w:val="auto"/>
                <w:highlight w:val="none"/>
              </w:rPr>
            </w:pPr>
            <w:r>
              <w:rPr>
                <w:color w:val="auto"/>
                <w:highlight w:val="none"/>
              </w:rPr>
              <w:t>人员紧急撤离、疏散计划</w:t>
            </w:r>
          </w:p>
        </w:tc>
        <w:tc>
          <w:tcPr>
            <w:tcW w:w="5355" w:type="dxa"/>
            <w:vAlign w:val="center"/>
          </w:tcPr>
          <w:p w14:paraId="35B2AA65">
            <w:pPr>
              <w:pStyle w:val="17"/>
              <w:bidi w:val="0"/>
              <w:rPr>
                <w:color w:val="auto"/>
                <w:highlight w:val="none"/>
              </w:rPr>
            </w:pPr>
            <w:r>
              <w:rPr>
                <w:color w:val="auto"/>
                <w:highlight w:val="none"/>
              </w:rPr>
              <w:t>制定紧急撤离组织计划和救护，医疗救护与公众健康。</w:t>
            </w:r>
          </w:p>
        </w:tc>
      </w:tr>
      <w:tr w14:paraId="0D6600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44F88F44">
            <w:pPr>
              <w:pStyle w:val="17"/>
              <w:bidi w:val="0"/>
              <w:rPr>
                <w:color w:val="auto"/>
                <w:highlight w:val="none"/>
              </w:rPr>
            </w:pPr>
            <w:r>
              <w:rPr>
                <w:color w:val="auto"/>
                <w:highlight w:val="none"/>
              </w:rPr>
              <w:t>9</w:t>
            </w:r>
          </w:p>
        </w:tc>
        <w:tc>
          <w:tcPr>
            <w:tcW w:w="2520" w:type="dxa"/>
            <w:vAlign w:val="center"/>
          </w:tcPr>
          <w:p w14:paraId="36C61B94">
            <w:pPr>
              <w:pStyle w:val="17"/>
              <w:bidi w:val="0"/>
              <w:rPr>
                <w:color w:val="auto"/>
                <w:highlight w:val="none"/>
              </w:rPr>
            </w:pPr>
            <w:r>
              <w:rPr>
                <w:color w:val="auto"/>
                <w:highlight w:val="none"/>
              </w:rPr>
              <w:t>事故应急救援关闭程序</w:t>
            </w:r>
          </w:p>
        </w:tc>
        <w:tc>
          <w:tcPr>
            <w:tcW w:w="5355" w:type="dxa"/>
            <w:vAlign w:val="center"/>
          </w:tcPr>
          <w:p w14:paraId="2A80EF3F">
            <w:pPr>
              <w:pStyle w:val="17"/>
              <w:bidi w:val="0"/>
              <w:rPr>
                <w:color w:val="auto"/>
                <w:highlight w:val="none"/>
              </w:rPr>
            </w:pPr>
            <w:r>
              <w:rPr>
                <w:color w:val="auto"/>
                <w:highlight w:val="none"/>
              </w:rPr>
              <w:t>制定相关应急状态终止程序，事故现场、受影响范围内的善后处理、恢复措施，邻近区域解除事故警戒及善后恢复措施。</w:t>
            </w:r>
          </w:p>
        </w:tc>
      </w:tr>
      <w:tr w14:paraId="6CEC92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6489BE65">
            <w:pPr>
              <w:pStyle w:val="17"/>
              <w:bidi w:val="0"/>
              <w:rPr>
                <w:color w:val="auto"/>
                <w:highlight w:val="none"/>
              </w:rPr>
            </w:pPr>
            <w:r>
              <w:rPr>
                <w:color w:val="auto"/>
                <w:highlight w:val="none"/>
              </w:rPr>
              <w:t>10</w:t>
            </w:r>
          </w:p>
        </w:tc>
        <w:tc>
          <w:tcPr>
            <w:tcW w:w="2520" w:type="dxa"/>
            <w:vAlign w:val="center"/>
          </w:tcPr>
          <w:p w14:paraId="0C08BAE8">
            <w:pPr>
              <w:pStyle w:val="17"/>
              <w:bidi w:val="0"/>
              <w:rPr>
                <w:color w:val="auto"/>
                <w:highlight w:val="none"/>
              </w:rPr>
            </w:pPr>
            <w:r>
              <w:rPr>
                <w:color w:val="auto"/>
                <w:highlight w:val="none"/>
              </w:rPr>
              <w:t>事故恢复措施</w:t>
            </w:r>
          </w:p>
        </w:tc>
        <w:tc>
          <w:tcPr>
            <w:tcW w:w="5355" w:type="dxa"/>
            <w:vAlign w:val="center"/>
          </w:tcPr>
          <w:p w14:paraId="6774A2B3">
            <w:pPr>
              <w:pStyle w:val="17"/>
              <w:bidi w:val="0"/>
              <w:rPr>
                <w:color w:val="auto"/>
                <w:highlight w:val="none"/>
              </w:rPr>
            </w:pPr>
            <w:r>
              <w:rPr>
                <w:color w:val="auto"/>
                <w:highlight w:val="none"/>
              </w:rPr>
              <w:t>制定有关的环境恢复措施（包括生态环境、水体），组织专业人员对事故后的环境变化进行监测，对事故应急措施的环境可行性进行后影响评价。</w:t>
            </w:r>
          </w:p>
        </w:tc>
      </w:tr>
      <w:tr w14:paraId="03D0D9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647" w:type="dxa"/>
            <w:vAlign w:val="center"/>
          </w:tcPr>
          <w:p w14:paraId="26022B55">
            <w:pPr>
              <w:pStyle w:val="17"/>
              <w:bidi w:val="0"/>
              <w:rPr>
                <w:color w:val="auto"/>
                <w:highlight w:val="none"/>
              </w:rPr>
            </w:pPr>
            <w:r>
              <w:rPr>
                <w:color w:val="auto"/>
                <w:highlight w:val="none"/>
              </w:rPr>
              <w:t>11</w:t>
            </w:r>
          </w:p>
        </w:tc>
        <w:tc>
          <w:tcPr>
            <w:tcW w:w="2520" w:type="dxa"/>
            <w:vAlign w:val="center"/>
          </w:tcPr>
          <w:p w14:paraId="00948096">
            <w:pPr>
              <w:pStyle w:val="17"/>
              <w:bidi w:val="0"/>
              <w:rPr>
                <w:color w:val="auto"/>
                <w:highlight w:val="none"/>
              </w:rPr>
            </w:pPr>
            <w:r>
              <w:rPr>
                <w:color w:val="auto"/>
                <w:highlight w:val="none"/>
              </w:rPr>
              <w:t>应急培训计划</w:t>
            </w:r>
          </w:p>
        </w:tc>
        <w:tc>
          <w:tcPr>
            <w:tcW w:w="5355" w:type="dxa"/>
            <w:vAlign w:val="center"/>
          </w:tcPr>
          <w:p w14:paraId="52AC7EB8">
            <w:pPr>
              <w:pStyle w:val="17"/>
              <w:bidi w:val="0"/>
              <w:rPr>
                <w:color w:val="auto"/>
                <w:highlight w:val="none"/>
              </w:rPr>
            </w:pPr>
            <w:r>
              <w:rPr>
                <w:color w:val="auto"/>
                <w:highlight w:val="none"/>
              </w:rPr>
              <w:t>定期安排有关人员进行培训与演练</w:t>
            </w:r>
            <w:r>
              <w:rPr>
                <w:rFonts w:hint="eastAsia"/>
                <w:color w:val="auto"/>
                <w:highlight w:val="none"/>
              </w:rPr>
              <w:t>。</w:t>
            </w:r>
          </w:p>
        </w:tc>
      </w:tr>
      <w:tr w14:paraId="541B8D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7" w:type="dxa"/>
            <w:vAlign w:val="center"/>
          </w:tcPr>
          <w:p w14:paraId="47BB3A32">
            <w:pPr>
              <w:pStyle w:val="17"/>
              <w:bidi w:val="0"/>
              <w:rPr>
                <w:color w:val="auto"/>
                <w:highlight w:val="none"/>
              </w:rPr>
            </w:pPr>
            <w:r>
              <w:rPr>
                <w:color w:val="auto"/>
                <w:highlight w:val="none"/>
              </w:rPr>
              <w:t>12</w:t>
            </w:r>
          </w:p>
        </w:tc>
        <w:tc>
          <w:tcPr>
            <w:tcW w:w="2520" w:type="dxa"/>
            <w:vAlign w:val="center"/>
          </w:tcPr>
          <w:p w14:paraId="13D9EACC">
            <w:pPr>
              <w:pStyle w:val="17"/>
              <w:bidi w:val="0"/>
              <w:rPr>
                <w:color w:val="auto"/>
                <w:highlight w:val="none"/>
              </w:rPr>
            </w:pPr>
            <w:r>
              <w:rPr>
                <w:color w:val="auto"/>
                <w:highlight w:val="none"/>
              </w:rPr>
              <w:t>公众教育和信息</w:t>
            </w:r>
          </w:p>
        </w:tc>
        <w:tc>
          <w:tcPr>
            <w:tcW w:w="5355" w:type="dxa"/>
            <w:vAlign w:val="center"/>
          </w:tcPr>
          <w:p w14:paraId="6D46CAA2">
            <w:pPr>
              <w:pStyle w:val="17"/>
              <w:bidi w:val="0"/>
              <w:rPr>
                <w:color w:val="auto"/>
                <w:highlight w:val="none"/>
              </w:rPr>
            </w:pPr>
            <w:r>
              <w:rPr>
                <w:color w:val="auto"/>
                <w:highlight w:val="none"/>
              </w:rPr>
              <w:t>对工厂邻近地区开展公众教育、培训和发布有关信息</w:t>
            </w:r>
            <w:r>
              <w:rPr>
                <w:rFonts w:hint="eastAsia"/>
                <w:color w:val="auto"/>
                <w:highlight w:val="none"/>
              </w:rPr>
              <w:t>。</w:t>
            </w:r>
          </w:p>
        </w:tc>
      </w:tr>
    </w:tbl>
    <w:p w14:paraId="4AFB4F9A">
      <w:pPr>
        <w:pStyle w:val="7"/>
        <w:bidi w:val="0"/>
        <w:rPr>
          <w:color w:val="auto"/>
          <w:highlight w:val="none"/>
        </w:rPr>
      </w:pPr>
      <w:r>
        <w:rPr>
          <w:rFonts w:hint="eastAsia"/>
          <w:color w:val="auto"/>
          <w:highlight w:val="none"/>
          <w:lang w:val="en-US" w:eastAsia="zh-CN"/>
        </w:rPr>
        <w:t>5.2.8.10</w:t>
      </w:r>
      <w:r>
        <w:rPr>
          <w:rFonts w:hint="eastAsia"/>
          <w:color w:val="auto"/>
          <w:highlight w:val="none"/>
        </w:rPr>
        <w:t>环境风险评价小结</w:t>
      </w:r>
    </w:p>
    <w:p w14:paraId="58504EB8">
      <w:pPr>
        <w:overflowPunct w:val="0"/>
        <w:topLinePunct/>
        <w:ind w:firstLine="480"/>
        <w:rPr>
          <w:color w:val="auto"/>
          <w:highlight w:val="none"/>
        </w:rPr>
      </w:pPr>
      <w:r>
        <w:rPr>
          <w:rFonts w:hint="eastAsia"/>
          <w:color w:val="auto"/>
          <w:highlight w:val="none"/>
        </w:rPr>
        <w:t>企业在严格落实本次评价提出的各项环境风险防控措施的情况下，发生风险事故概率较小，项目环境风险可防可控。本次评价建议项目运营过</w:t>
      </w:r>
      <w:r>
        <w:rPr>
          <w:rFonts w:hint="eastAsia"/>
          <w:color w:val="auto"/>
          <w:highlight w:val="none"/>
          <w:lang w:eastAsia="zh-CN"/>
        </w:rPr>
        <w:t>程中</w:t>
      </w:r>
      <w:r>
        <w:rPr>
          <w:rFonts w:hint="eastAsia"/>
          <w:color w:val="auto"/>
          <w:highlight w:val="none"/>
        </w:rPr>
        <w:t>应根据生产运行工况以及各类危险物质的实际消耗量，尽可能减少危险物质在项目区内的存在量，减轻环境风险隐患；针对项目区存在的环境风险防控问题，尽快进行整改，同时应加强日常风险管理，加强员工安全培训，杜绝人为造成的环境风险隐患。</w:t>
      </w:r>
    </w:p>
    <w:p w14:paraId="3AB435CF">
      <w:pPr>
        <w:widowControl w:val="0"/>
        <w:spacing w:line="480" w:lineRule="exact"/>
        <w:ind w:firstLine="480" w:firstLineChars="200"/>
        <w:jc w:val="both"/>
        <w:rPr>
          <w:rFonts w:ascii="Times New Roman" w:hAnsi="Times New Roman" w:eastAsia="宋体" w:cs="Times New Roman"/>
          <w:color w:val="auto"/>
          <w:kern w:val="0"/>
          <w:sz w:val="24"/>
          <w:szCs w:val="24"/>
          <w:highlight w:val="none"/>
          <w:lang w:val="en-US" w:eastAsia="zh-CN" w:bidi="ar-SA"/>
        </w:rPr>
      </w:pPr>
      <w:bookmarkStart w:id="698" w:name="_Toc8893"/>
      <w:bookmarkStart w:id="699" w:name="_Toc21783"/>
      <w:bookmarkStart w:id="700" w:name="_Toc107413900"/>
      <w:bookmarkStart w:id="701" w:name="_Toc25110"/>
      <w:bookmarkStart w:id="702" w:name="_Toc15541"/>
      <w:bookmarkStart w:id="703" w:name="_Toc29060"/>
      <w:bookmarkStart w:id="704" w:name="_Toc107414667"/>
      <w:r>
        <w:rPr>
          <w:rFonts w:hint="eastAsia" w:ascii="Times New Roman" w:hAnsi="Times New Roman" w:eastAsia="宋体" w:cs="Times New Roman"/>
          <w:color w:val="auto"/>
          <w:kern w:val="0"/>
          <w:sz w:val="24"/>
          <w:szCs w:val="24"/>
          <w:highlight w:val="none"/>
          <w:lang w:val="en-US" w:eastAsia="zh-CN" w:bidi="ar-SA"/>
        </w:rPr>
        <w:t>本项目环境风险评价自查表</w:t>
      </w:r>
      <w:r>
        <w:rPr>
          <w:rFonts w:ascii="Times New Roman" w:hAnsi="Times New Roman" w:eastAsia="宋体" w:cs="Times New Roman"/>
          <w:color w:val="auto"/>
          <w:kern w:val="0"/>
          <w:sz w:val="24"/>
          <w:szCs w:val="24"/>
          <w:highlight w:val="none"/>
          <w:lang w:val="en-US" w:eastAsia="zh-CN" w:bidi="ar-SA"/>
        </w:rPr>
        <w:t>见表5.</w:t>
      </w:r>
      <w:r>
        <w:rPr>
          <w:rFonts w:hint="eastAsia" w:cs="Times New Roman"/>
          <w:color w:val="auto"/>
          <w:kern w:val="0"/>
          <w:sz w:val="24"/>
          <w:szCs w:val="24"/>
          <w:highlight w:val="none"/>
          <w:lang w:val="en-US" w:eastAsia="zh-CN" w:bidi="ar-SA"/>
        </w:rPr>
        <w:t>2</w:t>
      </w:r>
      <w:r>
        <w:rPr>
          <w:rFonts w:ascii="Times New Roman" w:hAnsi="Times New Roman" w:eastAsia="宋体" w:cs="Times New Roman"/>
          <w:color w:val="auto"/>
          <w:kern w:val="0"/>
          <w:sz w:val="24"/>
          <w:szCs w:val="24"/>
          <w:highlight w:val="none"/>
          <w:lang w:val="en-US" w:eastAsia="zh-CN" w:bidi="ar-SA"/>
        </w:rPr>
        <w:t>-</w:t>
      </w:r>
      <w:r>
        <w:rPr>
          <w:rFonts w:hint="eastAsia" w:cs="Times New Roman"/>
          <w:color w:val="auto"/>
          <w:kern w:val="0"/>
          <w:sz w:val="24"/>
          <w:szCs w:val="24"/>
          <w:highlight w:val="none"/>
          <w:lang w:val="en-US" w:eastAsia="zh-CN" w:bidi="ar-SA"/>
        </w:rPr>
        <w:t>41</w:t>
      </w:r>
      <w:r>
        <w:rPr>
          <w:rFonts w:ascii="Times New Roman" w:hAnsi="Times New Roman" w:eastAsia="宋体" w:cs="Times New Roman"/>
          <w:color w:val="auto"/>
          <w:kern w:val="0"/>
          <w:sz w:val="24"/>
          <w:szCs w:val="24"/>
          <w:highlight w:val="none"/>
          <w:lang w:val="en-US" w:eastAsia="zh-CN" w:bidi="ar-SA"/>
        </w:rPr>
        <w:t>。</w:t>
      </w:r>
    </w:p>
    <w:p w14:paraId="2BDEDB37">
      <w:pPr>
        <w:widowControl w:val="0"/>
        <w:kinsoku/>
        <w:autoSpaceDE/>
        <w:autoSpaceDN/>
        <w:adjustRightInd/>
        <w:snapToGrid/>
        <w:spacing w:line="480" w:lineRule="exact"/>
        <w:ind w:firstLine="0" w:firstLineChars="0"/>
        <w:jc w:val="center"/>
        <w:textAlignment w:val="auto"/>
        <w:rPr>
          <w:rFonts w:ascii="Times New Roman" w:hAnsi="Times New Roman" w:eastAsia="宋体" w:cs="Times New Roman"/>
          <w:b/>
          <w:bCs/>
          <w:snapToGrid/>
          <w:color w:val="auto"/>
          <w:kern w:val="2"/>
          <w:sz w:val="24"/>
          <w:szCs w:val="22"/>
          <w:highlight w:val="none"/>
          <w:lang w:val="en-US" w:eastAsia="zh-CN" w:bidi="ar-SA"/>
        </w:rPr>
      </w:pPr>
      <w:r>
        <w:rPr>
          <w:rFonts w:ascii="Times New Roman" w:hAnsi="Times New Roman" w:eastAsia="宋体" w:cs="Times New Roman"/>
          <w:b/>
          <w:bCs/>
          <w:snapToGrid/>
          <w:color w:val="auto"/>
          <w:kern w:val="2"/>
          <w:sz w:val="24"/>
          <w:szCs w:val="22"/>
          <w:highlight w:val="none"/>
          <w:lang w:val="en-US" w:eastAsia="zh-CN" w:bidi="ar-SA"/>
        </w:rPr>
        <w:t>表5.</w:t>
      </w:r>
      <w:r>
        <w:rPr>
          <w:rFonts w:hint="eastAsia" w:cs="Times New Roman"/>
          <w:b/>
          <w:bCs/>
          <w:snapToGrid/>
          <w:color w:val="auto"/>
          <w:kern w:val="2"/>
          <w:sz w:val="24"/>
          <w:szCs w:val="22"/>
          <w:highlight w:val="none"/>
          <w:lang w:val="en-US" w:eastAsia="zh-CN" w:bidi="ar-SA"/>
        </w:rPr>
        <w:t>2</w:t>
      </w:r>
      <w:r>
        <w:rPr>
          <w:rFonts w:ascii="Times New Roman" w:hAnsi="Times New Roman" w:eastAsia="宋体" w:cs="Times New Roman"/>
          <w:b/>
          <w:bCs/>
          <w:snapToGrid/>
          <w:color w:val="auto"/>
          <w:kern w:val="2"/>
          <w:sz w:val="24"/>
          <w:szCs w:val="22"/>
          <w:highlight w:val="none"/>
          <w:lang w:val="en-US" w:eastAsia="zh-CN" w:bidi="ar-SA"/>
        </w:rPr>
        <w:t>-</w:t>
      </w:r>
      <w:r>
        <w:rPr>
          <w:rFonts w:hint="eastAsia" w:cs="Times New Roman"/>
          <w:b/>
          <w:bCs/>
          <w:snapToGrid/>
          <w:color w:val="auto"/>
          <w:kern w:val="2"/>
          <w:sz w:val="24"/>
          <w:szCs w:val="22"/>
          <w:highlight w:val="none"/>
          <w:lang w:val="en-US" w:eastAsia="zh-CN" w:bidi="ar-SA"/>
        </w:rPr>
        <w:t>41</w:t>
      </w:r>
      <w:r>
        <w:rPr>
          <w:rFonts w:ascii="Times New Roman" w:hAnsi="Times New Roman" w:eastAsia="宋体" w:cs="Times New Roman"/>
          <w:b/>
          <w:bCs/>
          <w:snapToGrid/>
          <w:color w:val="auto"/>
          <w:kern w:val="2"/>
          <w:sz w:val="24"/>
          <w:szCs w:val="22"/>
          <w:highlight w:val="none"/>
          <w:lang w:val="en-US" w:eastAsia="zh-CN" w:bidi="ar-SA"/>
        </w:rPr>
        <w:t xml:space="preserve">   环境风险评价自查表</w:t>
      </w:r>
    </w:p>
    <w:tbl>
      <w:tblPr>
        <w:tblStyle w:val="13"/>
        <w:tblW w:w="8340"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382"/>
        <w:gridCol w:w="202"/>
        <w:gridCol w:w="695"/>
        <w:gridCol w:w="1126"/>
        <w:gridCol w:w="286"/>
        <w:gridCol w:w="552"/>
        <w:gridCol w:w="675"/>
        <w:gridCol w:w="252"/>
        <w:gridCol w:w="393"/>
        <w:gridCol w:w="600"/>
        <w:gridCol w:w="171"/>
        <w:gridCol w:w="62"/>
        <w:gridCol w:w="457"/>
        <w:gridCol w:w="148"/>
        <w:gridCol w:w="130"/>
        <w:gridCol w:w="192"/>
        <w:gridCol w:w="220"/>
        <w:gridCol w:w="298"/>
        <w:gridCol w:w="35"/>
        <w:gridCol w:w="462"/>
        <w:gridCol w:w="632"/>
        <w:gridCol w:w="370"/>
      </w:tblGrid>
      <w:tr w14:paraId="52DBB23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tblHeader/>
          <w:jc w:val="center"/>
        </w:trPr>
        <w:tc>
          <w:tcPr>
            <w:tcW w:w="1279" w:type="dxa"/>
            <w:gridSpan w:val="3"/>
            <w:tcBorders>
              <w:bottom w:val="single" w:color="000000" w:sz="6" w:space="0"/>
              <w:right w:val="single" w:color="000000" w:sz="6" w:space="0"/>
            </w:tcBorders>
            <w:vAlign w:val="center"/>
          </w:tcPr>
          <w:p w14:paraId="2948CF61">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b/>
                <w:bCs/>
                <w:snapToGrid/>
                <w:color w:val="auto"/>
                <w:kern w:val="2"/>
                <w:sz w:val="21"/>
                <w:szCs w:val="22"/>
                <w:highlight w:val="none"/>
                <w:lang w:val="en-US" w:eastAsia="zh-CN" w:bidi="ar-SA"/>
              </w:rPr>
            </w:pPr>
            <w:r>
              <w:rPr>
                <w:rFonts w:hint="eastAsia" w:ascii="Times New Roman" w:hAnsi="Times New Roman" w:eastAsia="宋体" w:cs="Times New Roman"/>
                <w:b/>
                <w:bCs/>
                <w:snapToGrid/>
                <w:color w:val="auto"/>
                <w:kern w:val="2"/>
                <w:sz w:val="21"/>
                <w:szCs w:val="22"/>
                <w:highlight w:val="none"/>
                <w:lang w:val="en-US" w:eastAsia="zh-CN" w:bidi="ar-SA"/>
              </w:rPr>
              <w:t>工作内容</w:t>
            </w:r>
          </w:p>
        </w:tc>
        <w:tc>
          <w:tcPr>
            <w:tcW w:w="7061" w:type="dxa"/>
            <w:gridSpan w:val="19"/>
            <w:tcBorders>
              <w:left w:val="single" w:color="000000" w:sz="6" w:space="0"/>
              <w:bottom w:val="single" w:color="000000" w:sz="6" w:space="0"/>
            </w:tcBorders>
            <w:vAlign w:val="center"/>
          </w:tcPr>
          <w:p w14:paraId="6F465D34">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b/>
                <w:bCs/>
                <w:snapToGrid/>
                <w:color w:val="auto"/>
                <w:kern w:val="2"/>
                <w:sz w:val="21"/>
                <w:szCs w:val="22"/>
                <w:highlight w:val="none"/>
                <w:lang w:val="en-US" w:eastAsia="zh-CN" w:bidi="ar-SA"/>
              </w:rPr>
            </w:pPr>
            <w:r>
              <w:rPr>
                <w:rFonts w:hint="eastAsia" w:ascii="Times New Roman" w:hAnsi="Times New Roman" w:eastAsia="宋体" w:cs="Times New Roman"/>
                <w:b/>
                <w:bCs/>
                <w:snapToGrid/>
                <w:color w:val="auto"/>
                <w:kern w:val="2"/>
                <w:sz w:val="21"/>
                <w:szCs w:val="22"/>
                <w:highlight w:val="none"/>
                <w:lang w:val="en-US" w:eastAsia="zh-CN" w:bidi="ar-SA"/>
              </w:rPr>
              <w:t>完成情况</w:t>
            </w:r>
          </w:p>
        </w:tc>
      </w:tr>
      <w:tr w14:paraId="15161D9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restart"/>
            <w:tcBorders>
              <w:top w:val="single" w:color="000000" w:sz="6" w:space="0"/>
              <w:bottom w:val="single" w:color="000000" w:sz="6" w:space="0"/>
              <w:right w:val="single" w:color="000000" w:sz="6" w:space="0"/>
            </w:tcBorders>
            <w:vAlign w:val="center"/>
          </w:tcPr>
          <w:p w14:paraId="6915761A">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风险调查</w:t>
            </w:r>
          </w:p>
        </w:tc>
        <w:tc>
          <w:tcPr>
            <w:tcW w:w="897" w:type="dxa"/>
            <w:gridSpan w:val="2"/>
            <w:vMerge w:val="restart"/>
            <w:tcBorders>
              <w:top w:val="single" w:color="000000" w:sz="6" w:space="0"/>
              <w:left w:val="single" w:color="000000" w:sz="6" w:space="0"/>
              <w:bottom w:val="single" w:color="000000" w:sz="6" w:space="0"/>
              <w:right w:val="single" w:color="000000" w:sz="6" w:space="0"/>
            </w:tcBorders>
            <w:vAlign w:val="center"/>
          </w:tcPr>
          <w:p w14:paraId="7A857F3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危险物质</w:t>
            </w:r>
          </w:p>
        </w:tc>
        <w:tc>
          <w:tcPr>
            <w:tcW w:w="1126" w:type="dxa"/>
            <w:tcBorders>
              <w:top w:val="single" w:color="000000" w:sz="6" w:space="0"/>
              <w:left w:val="single" w:color="000000" w:sz="6" w:space="0"/>
              <w:bottom w:val="single" w:color="000000" w:sz="6" w:space="0"/>
              <w:right w:val="single" w:color="000000" w:sz="6" w:space="0"/>
            </w:tcBorders>
            <w:vAlign w:val="center"/>
          </w:tcPr>
          <w:p w14:paraId="19EA776A">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名称</w:t>
            </w:r>
          </w:p>
        </w:tc>
        <w:tc>
          <w:tcPr>
            <w:tcW w:w="838" w:type="dxa"/>
            <w:gridSpan w:val="2"/>
            <w:tcBorders>
              <w:top w:val="single" w:color="000000" w:sz="6" w:space="0"/>
              <w:left w:val="single" w:color="000000" w:sz="6" w:space="0"/>
              <w:bottom w:val="single" w:color="000000" w:sz="6" w:space="0"/>
              <w:right w:val="single" w:color="000000" w:sz="6" w:space="0"/>
            </w:tcBorders>
            <w:vAlign w:val="center"/>
          </w:tcPr>
          <w:p w14:paraId="77B65AF8">
            <w:pPr>
              <w:widowControl w:val="0"/>
              <w:kinsoku/>
              <w:autoSpaceDE/>
              <w:autoSpaceDN/>
              <w:adjustRightInd/>
              <w:snapToGrid/>
              <w:spacing w:line="360" w:lineRule="exact"/>
              <w:ind w:firstLine="0" w:firstLineChars="0"/>
              <w:jc w:val="center"/>
              <w:textAlignment w:val="auto"/>
              <w:rPr>
                <w:rFonts w:hint="eastAsia"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炸药（硝酸铵）</w:t>
            </w:r>
          </w:p>
        </w:tc>
        <w:tc>
          <w:tcPr>
            <w:tcW w:w="675" w:type="dxa"/>
            <w:tcBorders>
              <w:top w:val="single" w:color="000000" w:sz="6" w:space="0"/>
              <w:left w:val="single" w:color="000000" w:sz="6" w:space="0"/>
              <w:bottom w:val="single" w:color="000000" w:sz="6" w:space="0"/>
              <w:right w:val="single" w:color="000000" w:sz="6" w:space="0"/>
            </w:tcBorders>
            <w:vAlign w:val="center"/>
          </w:tcPr>
          <w:p w14:paraId="584102CF">
            <w:pPr>
              <w:widowControl w:val="0"/>
              <w:kinsoku/>
              <w:autoSpaceDE/>
              <w:autoSpaceDN/>
              <w:adjustRightInd/>
              <w:snapToGrid/>
              <w:spacing w:line="360" w:lineRule="exact"/>
              <w:ind w:firstLine="0" w:firstLineChars="0"/>
              <w:jc w:val="center"/>
              <w:textAlignment w:val="auto"/>
              <w:rPr>
                <w:rFonts w:hint="eastAsia"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废机油</w:t>
            </w:r>
          </w:p>
        </w:tc>
        <w:tc>
          <w:tcPr>
            <w:tcW w:w="645" w:type="dxa"/>
            <w:gridSpan w:val="2"/>
            <w:tcBorders>
              <w:top w:val="single" w:color="000000" w:sz="6" w:space="0"/>
              <w:left w:val="single" w:color="000000" w:sz="6" w:space="0"/>
              <w:bottom w:val="single" w:color="000000" w:sz="6" w:space="0"/>
              <w:right w:val="single" w:color="000000" w:sz="6" w:space="0"/>
            </w:tcBorders>
            <w:vAlign w:val="center"/>
          </w:tcPr>
          <w:p w14:paraId="08043A7C">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柴油</w:t>
            </w:r>
          </w:p>
        </w:tc>
        <w:tc>
          <w:tcPr>
            <w:tcW w:w="600" w:type="dxa"/>
            <w:tcBorders>
              <w:top w:val="single" w:color="000000" w:sz="6" w:space="0"/>
              <w:left w:val="single" w:color="000000" w:sz="6" w:space="0"/>
              <w:bottom w:val="single" w:color="000000" w:sz="6" w:space="0"/>
              <w:right w:val="single" w:color="000000" w:sz="6" w:space="0"/>
            </w:tcBorders>
            <w:vAlign w:val="center"/>
          </w:tcPr>
          <w:p w14:paraId="514D7256">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硫酸</w:t>
            </w:r>
          </w:p>
        </w:tc>
        <w:tc>
          <w:tcPr>
            <w:tcW w:w="690" w:type="dxa"/>
            <w:gridSpan w:val="3"/>
            <w:tcBorders>
              <w:top w:val="single" w:color="000000" w:sz="6" w:space="0"/>
              <w:left w:val="single" w:color="000000" w:sz="6" w:space="0"/>
              <w:bottom w:val="single" w:color="000000" w:sz="6" w:space="0"/>
              <w:right w:val="single" w:color="000000" w:sz="6" w:space="0"/>
            </w:tcBorders>
            <w:vAlign w:val="center"/>
          </w:tcPr>
          <w:p w14:paraId="04B4D84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机油</w:t>
            </w:r>
          </w:p>
        </w:tc>
        <w:tc>
          <w:tcPr>
            <w:tcW w:w="690" w:type="dxa"/>
            <w:gridSpan w:val="4"/>
            <w:tcBorders>
              <w:top w:val="single" w:color="000000" w:sz="6" w:space="0"/>
              <w:left w:val="single" w:color="000000" w:sz="6" w:space="0"/>
              <w:bottom w:val="single" w:color="000000" w:sz="6" w:space="0"/>
              <w:right w:val="single" w:color="000000" w:sz="6" w:space="0"/>
            </w:tcBorders>
            <w:vAlign w:val="center"/>
          </w:tcPr>
          <w:p w14:paraId="1CBA0768">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液压油</w:t>
            </w:r>
          </w:p>
        </w:tc>
        <w:tc>
          <w:tcPr>
            <w:tcW w:w="795" w:type="dxa"/>
            <w:gridSpan w:val="3"/>
            <w:tcBorders>
              <w:top w:val="single" w:color="000000" w:sz="6" w:space="0"/>
              <w:left w:val="single" w:color="000000" w:sz="6" w:space="0"/>
              <w:bottom w:val="single" w:color="000000" w:sz="6" w:space="0"/>
              <w:right w:val="single" w:color="000000" w:sz="6" w:space="0"/>
            </w:tcBorders>
            <w:vAlign w:val="center"/>
          </w:tcPr>
          <w:p w14:paraId="39CA752C">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传动油</w:t>
            </w:r>
          </w:p>
        </w:tc>
        <w:tc>
          <w:tcPr>
            <w:tcW w:w="632" w:type="dxa"/>
            <w:tcBorders>
              <w:top w:val="single" w:color="000000" w:sz="6" w:space="0"/>
              <w:left w:val="single" w:color="000000" w:sz="6" w:space="0"/>
              <w:bottom w:val="single" w:color="000000" w:sz="6" w:space="0"/>
            </w:tcBorders>
            <w:vAlign w:val="center"/>
          </w:tcPr>
          <w:p w14:paraId="332E8C7D">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齿轮油</w:t>
            </w:r>
          </w:p>
        </w:tc>
        <w:tc>
          <w:tcPr>
            <w:tcW w:w="370" w:type="dxa"/>
            <w:tcBorders>
              <w:top w:val="single" w:color="000000" w:sz="6" w:space="0"/>
              <w:left w:val="single" w:color="000000" w:sz="6" w:space="0"/>
              <w:bottom w:val="single" w:color="000000" w:sz="6" w:space="0"/>
            </w:tcBorders>
            <w:vAlign w:val="center"/>
          </w:tcPr>
          <w:p w14:paraId="5DCB1C42">
            <w:pPr>
              <w:widowControl w:val="0"/>
              <w:kinsoku/>
              <w:autoSpaceDE/>
              <w:autoSpaceDN/>
              <w:adjustRightInd/>
              <w:snapToGrid/>
              <w:spacing w:line="360" w:lineRule="exact"/>
              <w:ind w:firstLine="0" w:firstLineChars="0"/>
              <w:jc w:val="center"/>
              <w:textAlignment w:val="auto"/>
              <w:rPr>
                <w:rFonts w:hint="default"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黄油</w:t>
            </w:r>
          </w:p>
        </w:tc>
      </w:tr>
      <w:tr w14:paraId="6577ABE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continue"/>
            <w:tcBorders>
              <w:top w:val="single" w:color="000000" w:sz="6" w:space="0"/>
              <w:bottom w:val="single" w:color="000000" w:sz="6" w:space="0"/>
              <w:right w:val="single" w:color="000000" w:sz="6" w:space="0"/>
            </w:tcBorders>
            <w:vAlign w:val="center"/>
          </w:tcPr>
          <w:p w14:paraId="1CECA042">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0CD838D7">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tcBorders>
              <w:top w:val="single" w:color="000000" w:sz="6" w:space="0"/>
              <w:left w:val="single" w:color="000000" w:sz="6" w:space="0"/>
              <w:bottom w:val="single" w:color="000000" w:sz="6" w:space="0"/>
              <w:right w:val="single" w:color="000000" w:sz="6" w:space="0"/>
            </w:tcBorders>
            <w:vAlign w:val="center"/>
          </w:tcPr>
          <w:p w14:paraId="71F9102C">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存在总量</w:t>
            </w:r>
            <w:r>
              <w:rPr>
                <w:rFonts w:ascii="Times New Roman" w:hAnsi="Times New Roman" w:eastAsia="宋体" w:cs="Times New Roman"/>
                <w:snapToGrid/>
                <w:color w:val="auto"/>
                <w:kern w:val="2"/>
                <w:sz w:val="21"/>
                <w:szCs w:val="22"/>
                <w:highlight w:val="none"/>
                <w:lang w:val="en-US" w:eastAsia="zh-CN" w:bidi="ar-SA"/>
              </w:rPr>
              <w:t>/t</w:t>
            </w:r>
          </w:p>
        </w:tc>
        <w:tc>
          <w:tcPr>
            <w:tcW w:w="838" w:type="dxa"/>
            <w:gridSpan w:val="2"/>
            <w:tcBorders>
              <w:top w:val="single" w:color="000000" w:sz="6" w:space="0"/>
              <w:left w:val="single" w:color="000000" w:sz="6" w:space="0"/>
              <w:bottom w:val="single" w:color="000000" w:sz="6" w:space="0"/>
              <w:right w:val="single" w:color="000000" w:sz="6" w:space="0"/>
            </w:tcBorders>
            <w:vAlign w:val="center"/>
          </w:tcPr>
          <w:p w14:paraId="5BCD0B14">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20</w:t>
            </w:r>
          </w:p>
        </w:tc>
        <w:tc>
          <w:tcPr>
            <w:tcW w:w="675" w:type="dxa"/>
            <w:tcBorders>
              <w:top w:val="single" w:color="000000" w:sz="6" w:space="0"/>
              <w:left w:val="single" w:color="000000" w:sz="6" w:space="0"/>
              <w:bottom w:val="single" w:color="000000" w:sz="6" w:space="0"/>
              <w:right w:val="single" w:color="000000" w:sz="6" w:space="0"/>
            </w:tcBorders>
            <w:vAlign w:val="center"/>
          </w:tcPr>
          <w:p w14:paraId="4E566329">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10</w:t>
            </w:r>
          </w:p>
        </w:tc>
        <w:tc>
          <w:tcPr>
            <w:tcW w:w="645" w:type="dxa"/>
            <w:gridSpan w:val="2"/>
            <w:tcBorders>
              <w:top w:val="single" w:color="000000" w:sz="6" w:space="0"/>
              <w:left w:val="single" w:color="000000" w:sz="6" w:space="0"/>
              <w:bottom w:val="single" w:color="000000" w:sz="6" w:space="0"/>
              <w:right w:val="single" w:color="000000" w:sz="6" w:space="0"/>
            </w:tcBorders>
            <w:vAlign w:val="center"/>
          </w:tcPr>
          <w:p w14:paraId="280ADE60">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76.5</w:t>
            </w:r>
          </w:p>
        </w:tc>
        <w:tc>
          <w:tcPr>
            <w:tcW w:w="600" w:type="dxa"/>
            <w:tcBorders>
              <w:top w:val="single" w:color="000000" w:sz="6" w:space="0"/>
              <w:left w:val="single" w:color="000000" w:sz="6" w:space="0"/>
              <w:bottom w:val="single" w:color="000000" w:sz="6" w:space="0"/>
              <w:right w:val="single" w:color="000000" w:sz="6" w:space="0"/>
            </w:tcBorders>
            <w:vAlign w:val="center"/>
          </w:tcPr>
          <w:p w14:paraId="2B33867E">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659</w:t>
            </w:r>
          </w:p>
        </w:tc>
        <w:tc>
          <w:tcPr>
            <w:tcW w:w="690" w:type="dxa"/>
            <w:gridSpan w:val="3"/>
            <w:tcBorders>
              <w:top w:val="single" w:color="000000" w:sz="6" w:space="0"/>
              <w:left w:val="single" w:color="000000" w:sz="6" w:space="0"/>
              <w:bottom w:val="single" w:color="000000" w:sz="6" w:space="0"/>
              <w:right w:val="single" w:color="000000" w:sz="6" w:space="0"/>
            </w:tcBorders>
            <w:vAlign w:val="center"/>
          </w:tcPr>
          <w:p w14:paraId="3F3E849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5</w:t>
            </w:r>
          </w:p>
        </w:tc>
        <w:tc>
          <w:tcPr>
            <w:tcW w:w="690" w:type="dxa"/>
            <w:gridSpan w:val="4"/>
            <w:tcBorders>
              <w:top w:val="single" w:color="000000" w:sz="6" w:space="0"/>
              <w:left w:val="single" w:color="000000" w:sz="6" w:space="0"/>
              <w:bottom w:val="single" w:color="000000" w:sz="6" w:space="0"/>
              <w:right w:val="single" w:color="000000" w:sz="6" w:space="0"/>
            </w:tcBorders>
            <w:vAlign w:val="center"/>
          </w:tcPr>
          <w:p w14:paraId="740840D9">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1</w:t>
            </w:r>
          </w:p>
        </w:tc>
        <w:tc>
          <w:tcPr>
            <w:tcW w:w="795" w:type="dxa"/>
            <w:gridSpan w:val="3"/>
            <w:tcBorders>
              <w:top w:val="single" w:color="000000" w:sz="6" w:space="0"/>
              <w:left w:val="single" w:color="000000" w:sz="6" w:space="0"/>
              <w:bottom w:val="single" w:color="000000" w:sz="6" w:space="0"/>
              <w:right w:val="single" w:color="000000" w:sz="6" w:space="0"/>
            </w:tcBorders>
            <w:vAlign w:val="center"/>
          </w:tcPr>
          <w:p w14:paraId="08E04A41">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1</w:t>
            </w:r>
          </w:p>
        </w:tc>
        <w:tc>
          <w:tcPr>
            <w:tcW w:w="632" w:type="dxa"/>
            <w:tcBorders>
              <w:top w:val="single" w:color="000000" w:sz="6" w:space="0"/>
              <w:left w:val="single" w:color="000000" w:sz="6" w:space="0"/>
              <w:bottom w:val="single" w:color="000000" w:sz="6" w:space="0"/>
            </w:tcBorders>
            <w:vAlign w:val="center"/>
          </w:tcPr>
          <w:p w14:paraId="4F0CD299">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0.2</w:t>
            </w:r>
          </w:p>
        </w:tc>
        <w:tc>
          <w:tcPr>
            <w:tcW w:w="370" w:type="dxa"/>
            <w:tcBorders>
              <w:top w:val="single" w:color="000000" w:sz="6" w:space="0"/>
              <w:left w:val="single" w:color="000000" w:sz="6" w:space="0"/>
              <w:bottom w:val="single" w:color="000000" w:sz="6" w:space="0"/>
            </w:tcBorders>
            <w:vAlign w:val="center"/>
          </w:tcPr>
          <w:p w14:paraId="34B332BC">
            <w:pPr>
              <w:widowControl w:val="0"/>
              <w:kinsoku/>
              <w:autoSpaceDE/>
              <w:autoSpaceDN/>
              <w:adjustRightInd/>
              <w:snapToGrid/>
              <w:spacing w:line="360" w:lineRule="exact"/>
              <w:ind w:firstLine="0" w:firstLineChars="0"/>
              <w:jc w:val="center"/>
              <w:textAlignment w:val="auto"/>
              <w:rPr>
                <w:rFonts w:hint="default" w:ascii="Times New Roman" w:hAnsi="Times New Roman" w:eastAsia="宋体" w:cs="Times New Roman"/>
                <w:snapToGrid/>
                <w:color w:val="auto"/>
                <w:kern w:val="2"/>
                <w:sz w:val="21"/>
                <w:szCs w:val="22"/>
                <w:highlight w:val="none"/>
                <w:lang w:val="en-US" w:eastAsia="zh-CN" w:bidi="ar-SA"/>
              </w:rPr>
            </w:pPr>
            <w:r>
              <w:rPr>
                <w:rFonts w:hint="eastAsia" w:cs="Times New Roman"/>
                <w:snapToGrid/>
                <w:color w:val="auto"/>
                <w:kern w:val="2"/>
                <w:sz w:val="21"/>
                <w:szCs w:val="22"/>
                <w:highlight w:val="none"/>
                <w:lang w:val="en-US" w:eastAsia="zh-CN" w:bidi="ar-SA"/>
              </w:rPr>
              <w:t>10</w:t>
            </w:r>
          </w:p>
        </w:tc>
      </w:tr>
      <w:tr w14:paraId="5034049F">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continue"/>
            <w:tcBorders>
              <w:top w:val="single" w:color="000000" w:sz="6" w:space="0"/>
              <w:bottom w:val="single" w:color="000000" w:sz="6" w:space="0"/>
              <w:right w:val="single" w:color="000000" w:sz="6" w:space="0"/>
            </w:tcBorders>
            <w:vAlign w:val="center"/>
          </w:tcPr>
          <w:p w14:paraId="31966D27">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vMerge w:val="restart"/>
            <w:tcBorders>
              <w:top w:val="single" w:color="000000" w:sz="6" w:space="0"/>
              <w:left w:val="single" w:color="000000" w:sz="6" w:space="0"/>
              <w:bottom w:val="single" w:color="000000" w:sz="6" w:space="0"/>
              <w:right w:val="single" w:color="000000" w:sz="6" w:space="0"/>
            </w:tcBorders>
            <w:vAlign w:val="center"/>
          </w:tcPr>
          <w:p w14:paraId="3713FF89">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环境敏感性</w:t>
            </w:r>
          </w:p>
        </w:tc>
        <w:tc>
          <w:tcPr>
            <w:tcW w:w="1126" w:type="dxa"/>
            <w:vMerge w:val="restart"/>
            <w:tcBorders>
              <w:top w:val="single" w:color="000000" w:sz="6" w:space="0"/>
              <w:left w:val="single" w:color="000000" w:sz="6" w:space="0"/>
              <w:bottom w:val="single" w:color="000000" w:sz="6" w:space="0"/>
              <w:right w:val="single" w:color="000000" w:sz="6" w:space="0"/>
            </w:tcBorders>
            <w:vAlign w:val="center"/>
          </w:tcPr>
          <w:p w14:paraId="67859AAB">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大气</w:t>
            </w:r>
          </w:p>
        </w:tc>
        <w:tc>
          <w:tcPr>
            <w:tcW w:w="2929" w:type="dxa"/>
            <w:gridSpan w:val="7"/>
            <w:tcBorders>
              <w:top w:val="single" w:color="000000" w:sz="6" w:space="0"/>
              <w:left w:val="single" w:color="000000" w:sz="6" w:space="0"/>
              <w:bottom w:val="single" w:color="000000" w:sz="6" w:space="0"/>
              <w:right w:val="single" w:color="000000" w:sz="6" w:space="0"/>
            </w:tcBorders>
            <w:vAlign w:val="center"/>
          </w:tcPr>
          <w:p w14:paraId="5B42AEE4">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500m</w:t>
            </w:r>
            <w:r>
              <w:rPr>
                <w:rFonts w:hint="eastAsia" w:ascii="Times New Roman" w:hAnsi="Times New Roman" w:eastAsia="宋体" w:cs="Times New Roman"/>
                <w:snapToGrid/>
                <w:color w:val="auto"/>
                <w:kern w:val="2"/>
                <w:sz w:val="21"/>
                <w:szCs w:val="22"/>
                <w:highlight w:val="none"/>
                <w:lang w:val="en-US" w:eastAsia="zh-CN" w:bidi="ar-SA"/>
              </w:rPr>
              <w:t>范围内人口数</w:t>
            </w:r>
            <w:r>
              <w:rPr>
                <w:rFonts w:hint="eastAsia" w:cs="Times New Roman"/>
                <w:snapToGrid/>
                <w:color w:val="auto"/>
                <w:kern w:val="2"/>
                <w:sz w:val="21"/>
                <w:szCs w:val="22"/>
                <w:highlight w:val="none"/>
                <w:lang w:val="en-US" w:eastAsia="zh-CN" w:bidi="ar-SA"/>
              </w:rPr>
              <w:t>273</w:t>
            </w:r>
            <w:r>
              <w:rPr>
                <w:rFonts w:hint="eastAsia" w:ascii="Times New Roman" w:hAnsi="Times New Roman" w:eastAsia="宋体" w:cs="Times New Roman"/>
                <w:snapToGrid/>
                <w:color w:val="auto"/>
                <w:kern w:val="2"/>
                <w:sz w:val="21"/>
                <w:szCs w:val="22"/>
                <w:highlight w:val="none"/>
                <w:lang w:val="en-US" w:eastAsia="zh-CN" w:bidi="ar-SA"/>
              </w:rPr>
              <w:t>人</w:t>
            </w:r>
          </w:p>
        </w:tc>
        <w:tc>
          <w:tcPr>
            <w:tcW w:w="3006" w:type="dxa"/>
            <w:gridSpan w:val="11"/>
            <w:tcBorders>
              <w:top w:val="single" w:color="000000" w:sz="6" w:space="0"/>
              <w:left w:val="single" w:color="000000" w:sz="6" w:space="0"/>
              <w:bottom w:val="single" w:color="000000" w:sz="6" w:space="0"/>
            </w:tcBorders>
            <w:vAlign w:val="center"/>
          </w:tcPr>
          <w:p w14:paraId="454C94D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5km</w:t>
            </w:r>
            <w:r>
              <w:rPr>
                <w:rFonts w:hint="eastAsia" w:ascii="Times New Roman" w:hAnsi="Times New Roman" w:eastAsia="宋体" w:cs="Times New Roman"/>
                <w:snapToGrid/>
                <w:color w:val="auto"/>
                <w:kern w:val="2"/>
                <w:sz w:val="21"/>
                <w:szCs w:val="22"/>
                <w:highlight w:val="none"/>
                <w:lang w:val="en-US" w:eastAsia="zh-CN" w:bidi="ar-SA"/>
              </w:rPr>
              <w:t>范围内人口数＜1000人</w:t>
            </w:r>
          </w:p>
        </w:tc>
      </w:tr>
      <w:tr w14:paraId="66815E8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continue"/>
            <w:tcBorders>
              <w:top w:val="single" w:color="000000" w:sz="6" w:space="0"/>
              <w:bottom w:val="single" w:color="000000" w:sz="6" w:space="0"/>
              <w:right w:val="single" w:color="000000" w:sz="6" w:space="0"/>
            </w:tcBorders>
            <w:vAlign w:val="center"/>
          </w:tcPr>
          <w:p w14:paraId="219AAD19">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6DD1A7F">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vMerge w:val="continue"/>
            <w:tcBorders>
              <w:top w:val="single" w:color="000000" w:sz="6" w:space="0"/>
              <w:left w:val="single" w:color="000000" w:sz="6" w:space="0"/>
              <w:bottom w:val="single" w:color="000000" w:sz="6" w:space="0"/>
              <w:right w:val="single" w:color="000000" w:sz="6" w:space="0"/>
            </w:tcBorders>
            <w:vAlign w:val="center"/>
          </w:tcPr>
          <w:p w14:paraId="7184DB7A">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4436" w:type="dxa"/>
            <w:gridSpan w:val="14"/>
            <w:tcBorders>
              <w:top w:val="single" w:color="000000" w:sz="6" w:space="0"/>
              <w:left w:val="single" w:color="000000" w:sz="6" w:space="0"/>
              <w:bottom w:val="single" w:color="000000" w:sz="6" w:space="0"/>
              <w:right w:val="single" w:color="000000" w:sz="6" w:space="0"/>
            </w:tcBorders>
            <w:vAlign w:val="center"/>
          </w:tcPr>
          <w:p w14:paraId="67D8E2D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每公里管段周边</w:t>
            </w:r>
            <w:r>
              <w:rPr>
                <w:rFonts w:ascii="Times New Roman" w:hAnsi="Times New Roman" w:eastAsia="宋体" w:cs="Times New Roman"/>
                <w:snapToGrid/>
                <w:color w:val="auto"/>
                <w:kern w:val="2"/>
                <w:sz w:val="21"/>
                <w:szCs w:val="22"/>
                <w:highlight w:val="none"/>
                <w:lang w:val="en-US" w:eastAsia="zh-CN" w:bidi="ar-SA"/>
              </w:rPr>
              <w:t>200m</w:t>
            </w:r>
            <w:r>
              <w:rPr>
                <w:rFonts w:hint="eastAsia" w:ascii="Times New Roman" w:hAnsi="Times New Roman" w:eastAsia="宋体" w:cs="Times New Roman"/>
                <w:snapToGrid/>
                <w:color w:val="auto"/>
                <w:kern w:val="2"/>
                <w:sz w:val="21"/>
                <w:szCs w:val="22"/>
                <w:highlight w:val="none"/>
                <w:lang w:val="en-US" w:eastAsia="zh-CN" w:bidi="ar-SA"/>
              </w:rPr>
              <w:t>范围内人口数（最大）</w:t>
            </w:r>
          </w:p>
        </w:tc>
        <w:tc>
          <w:tcPr>
            <w:tcW w:w="1499" w:type="dxa"/>
            <w:gridSpan w:val="4"/>
            <w:tcBorders>
              <w:top w:val="single" w:color="000000" w:sz="6" w:space="0"/>
              <w:left w:val="single" w:color="000000" w:sz="6" w:space="0"/>
              <w:bottom w:val="single" w:color="000000" w:sz="6" w:space="0"/>
            </w:tcBorders>
            <w:vAlign w:val="center"/>
          </w:tcPr>
          <w:p w14:paraId="0841E10C">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w:t>
            </w:r>
            <w:r>
              <w:rPr>
                <w:rFonts w:hint="eastAsia" w:ascii="Times New Roman" w:hAnsi="Times New Roman" w:eastAsia="宋体" w:cs="Times New Roman"/>
                <w:snapToGrid/>
                <w:color w:val="auto"/>
                <w:kern w:val="2"/>
                <w:sz w:val="21"/>
                <w:szCs w:val="22"/>
                <w:highlight w:val="none"/>
                <w:lang w:val="en-US" w:eastAsia="zh-CN" w:bidi="ar-SA"/>
              </w:rPr>
              <w:t>人</w:t>
            </w:r>
          </w:p>
        </w:tc>
      </w:tr>
      <w:tr w14:paraId="3C96511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382" w:type="dxa"/>
            <w:vMerge w:val="continue"/>
            <w:tcBorders>
              <w:top w:val="single" w:color="000000" w:sz="6" w:space="0"/>
              <w:bottom w:val="single" w:color="000000" w:sz="6" w:space="0"/>
              <w:right w:val="single" w:color="000000" w:sz="6" w:space="0"/>
            </w:tcBorders>
            <w:vAlign w:val="center"/>
          </w:tcPr>
          <w:p w14:paraId="18C85D94">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943674F">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vMerge w:val="restart"/>
            <w:tcBorders>
              <w:top w:val="single" w:color="000000" w:sz="6" w:space="0"/>
              <w:left w:val="single" w:color="000000" w:sz="6" w:space="0"/>
              <w:bottom w:val="single" w:color="000000" w:sz="6" w:space="0"/>
              <w:right w:val="single" w:color="000000" w:sz="6" w:space="0"/>
            </w:tcBorders>
            <w:vAlign w:val="center"/>
          </w:tcPr>
          <w:p w14:paraId="7480B9E7">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地表水</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071E994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地表水功能敏感性</w:t>
            </w:r>
          </w:p>
        </w:tc>
        <w:tc>
          <w:tcPr>
            <w:tcW w:w="1164" w:type="dxa"/>
            <w:gridSpan w:val="3"/>
            <w:tcBorders>
              <w:top w:val="single" w:color="000000" w:sz="6" w:space="0"/>
              <w:left w:val="single" w:color="000000" w:sz="6" w:space="0"/>
              <w:bottom w:val="single" w:color="000000" w:sz="6" w:space="0"/>
              <w:right w:val="single" w:color="000000" w:sz="6" w:space="0"/>
            </w:tcBorders>
            <w:vAlign w:val="center"/>
          </w:tcPr>
          <w:p w14:paraId="40161B6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F1</w:t>
            </w:r>
            <w:r>
              <w:rPr>
                <w:rFonts w:hint="eastAsia" w:eastAsia="宋体"/>
                <w:color w:val="auto"/>
                <w:spacing w:val="0"/>
                <w:w w:val="100"/>
                <w:kern w:val="0"/>
                <w:position w:val="0"/>
                <w:sz w:val="21"/>
                <w:szCs w:val="21"/>
                <w:highlight w:val="none"/>
                <w:lang w:eastAsia="zh-CN"/>
              </w:rPr>
              <w:t>□</w:t>
            </w:r>
          </w:p>
        </w:tc>
        <w:tc>
          <w:tcPr>
            <w:tcW w:w="1507" w:type="dxa"/>
            <w:gridSpan w:val="7"/>
            <w:tcBorders>
              <w:top w:val="single" w:color="000000" w:sz="6" w:space="0"/>
              <w:left w:val="single" w:color="000000" w:sz="6" w:space="0"/>
              <w:bottom w:val="single" w:color="000000" w:sz="6" w:space="0"/>
              <w:right w:val="single" w:color="000000" w:sz="6" w:space="0"/>
            </w:tcBorders>
            <w:vAlign w:val="center"/>
          </w:tcPr>
          <w:p w14:paraId="666C5433">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F2</w:t>
            </w:r>
            <w:r>
              <w:rPr>
                <w:rFonts w:hint="eastAsia" w:eastAsia="宋体"/>
                <w:color w:val="auto"/>
                <w:spacing w:val="0"/>
                <w:w w:val="100"/>
                <w:kern w:val="0"/>
                <w:position w:val="0"/>
                <w:sz w:val="21"/>
                <w:szCs w:val="21"/>
                <w:highlight w:val="none"/>
                <w:lang w:eastAsia="zh-CN"/>
              </w:rPr>
              <w:t>□</w:t>
            </w:r>
          </w:p>
        </w:tc>
        <w:tc>
          <w:tcPr>
            <w:tcW w:w="1499" w:type="dxa"/>
            <w:gridSpan w:val="4"/>
            <w:tcBorders>
              <w:top w:val="single" w:color="000000" w:sz="6" w:space="0"/>
              <w:left w:val="single" w:color="000000" w:sz="6" w:space="0"/>
              <w:bottom w:val="single" w:color="000000" w:sz="6" w:space="0"/>
            </w:tcBorders>
            <w:vAlign w:val="center"/>
          </w:tcPr>
          <w:p w14:paraId="15B8CFD3">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F3</w:t>
            </w:r>
            <w:r>
              <w:rPr>
                <w:rFonts w:hint="eastAsia" w:eastAsia="宋体"/>
                <w:color w:val="auto"/>
                <w:spacing w:val="0"/>
                <w:w w:val="100"/>
                <w:kern w:val="0"/>
                <w:position w:val="0"/>
                <w:sz w:val="21"/>
                <w:szCs w:val="21"/>
                <w:highlight w:val="none"/>
                <w:lang w:eastAsia="zh-CN"/>
              </w:rPr>
              <w:t>☑</w:t>
            </w:r>
          </w:p>
        </w:tc>
      </w:tr>
      <w:tr w14:paraId="3DF1B94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continue"/>
            <w:tcBorders>
              <w:top w:val="single" w:color="000000" w:sz="6" w:space="0"/>
              <w:bottom w:val="single" w:color="000000" w:sz="6" w:space="0"/>
              <w:right w:val="single" w:color="000000" w:sz="6" w:space="0"/>
            </w:tcBorders>
            <w:vAlign w:val="center"/>
          </w:tcPr>
          <w:p w14:paraId="12540015">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E911CFF">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vMerge w:val="continue"/>
            <w:tcBorders>
              <w:top w:val="single" w:color="000000" w:sz="6" w:space="0"/>
              <w:left w:val="single" w:color="000000" w:sz="6" w:space="0"/>
              <w:bottom w:val="single" w:color="000000" w:sz="6" w:space="0"/>
              <w:right w:val="single" w:color="000000" w:sz="6" w:space="0"/>
            </w:tcBorders>
            <w:vAlign w:val="center"/>
          </w:tcPr>
          <w:p w14:paraId="2C5E2F39">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2A29C36C">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环境敏感目标分级</w:t>
            </w:r>
          </w:p>
        </w:tc>
        <w:tc>
          <w:tcPr>
            <w:tcW w:w="1164" w:type="dxa"/>
            <w:gridSpan w:val="3"/>
            <w:tcBorders>
              <w:top w:val="single" w:color="000000" w:sz="6" w:space="0"/>
              <w:left w:val="single" w:color="000000" w:sz="6" w:space="0"/>
              <w:bottom w:val="single" w:color="000000" w:sz="6" w:space="0"/>
              <w:right w:val="single" w:color="000000" w:sz="6" w:space="0"/>
            </w:tcBorders>
            <w:vAlign w:val="center"/>
          </w:tcPr>
          <w:p w14:paraId="06311D93">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S1</w:t>
            </w:r>
            <w:r>
              <w:rPr>
                <w:rFonts w:hint="eastAsia" w:eastAsia="宋体"/>
                <w:color w:val="auto"/>
                <w:spacing w:val="0"/>
                <w:w w:val="100"/>
                <w:kern w:val="0"/>
                <w:position w:val="0"/>
                <w:sz w:val="21"/>
                <w:szCs w:val="21"/>
                <w:highlight w:val="none"/>
                <w:lang w:eastAsia="zh-CN"/>
              </w:rPr>
              <w:t>□</w:t>
            </w:r>
          </w:p>
        </w:tc>
        <w:tc>
          <w:tcPr>
            <w:tcW w:w="1507" w:type="dxa"/>
            <w:gridSpan w:val="7"/>
            <w:tcBorders>
              <w:top w:val="single" w:color="000000" w:sz="6" w:space="0"/>
              <w:left w:val="single" w:color="000000" w:sz="6" w:space="0"/>
              <w:bottom w:val="single" w:color="000000" w:sz="6" w:space="0"/>
              <w:right w:val="single" w:color="000000" w:sz="6" w:space="0"/>
            </w:tcBorders>
            <w:vAlign w:val="center"/>
          </w:tcPr>
          <w:p w14:paraId="7E3C4257">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S2</w:t>
            </w:r>
            <w:r>
              <w:rPr>
                <w:rFonts w:hint="eastAsia" w:eastAsia="宋体"/>
                <w:color w:val="auto"/>
                <w:spacing w:val="0"/>
                <w:w w:val="100"/>
                <w:kern w:val="0"/>
                <w:position w:val="0"/>
                <w:sz w:val="21"/>
                <w:szCs w:val="21"/>
                <w:highlight w:val="none"/>
                <w:lang w:eastAsia="zh-CN"/>
              </w:rPr>
              <w:t>□</w:t>
            </w:r>
          </w:p>
        </w:tc>
        <w:tc>
          <w:tcPr>
            <w:tcW w:w="1499" w:type="dxa"/>
            <w:gridSpan w:val="4"/>
            <w:tcBorders>
              <w:top w:val="single" w:color="000000" w:sz="6" w:space="0"/>
              <w:left w:val="single" w:color="000000" w:sz="6" w:space="0"/>
              <w:bottom w:val="single" w:color="000000" w:sz="6" w:space="0"/>
            </w:tcBorders>
            <w:vAlign w:val="center"/>
          </w:tcPr>
          <w:p w14:paraId="6E2527EE">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S3</w:t>
            </w:r>
            <w:r>
              <w:rPr>
                <w:rFonts w:hint="eastAsia" w:eastAsia="宋体"/>
                <w:color w:val="auto"/>
                <w:spacing w:val="0"/>
                <w:w w:val="100"/>
                <w:kern w:val="0"/>
                <w:position w:val="0"/>
                <w:sz w:val="21"/>
                <w:szCs w:val="21"/>
                <w:highlight w:val="none"/>
                <w:lang w:eastAsia="zh-CN"/>
              </w:rPr>
              <w:t>☑</w:t>
            </w:r>
          </w:p>
        </w:tc>
      </w:tr>
      <w:tr w14:paraId="70D29EB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continue"/>
            <w:tcBorders>
              <w:top w:val="single" w:color="000000" w:sz="6" w:space="0"/>
              <w:bottom w:val="single" w:color="000000" w:sz="6" w:space="0"/>
              <w:right w:val="single" w:color="000000" w:sz="6" w:space="0"/>
            </w:tcBorders>
            <w:vAlign w:val="center"/>
          </w:tcPr>
          <w:p w14:paraId="743AA459">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5E174346">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vMerge w:val="restart"/>
            <w:tcBorders>
              <w:top w:val="single" w:color="000000" w:sz="6" w:space="0"/>
              <w:left w:val="single" w:color="000000" w:sz="6" w:space="0"/>
              <w:bottom w:val="single" w:color="000000" w:sz="6" w:space="0"/>
              <w:right w:val="single" w:color="000000" w:sz="6" w:space="0"/>
            </w:tcBorders>
            <w:vAlign w:val="center"/>
          </w:tcPr>
          <w:p w14:paraId="2DFCEA8E">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地下水</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19016D0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地下水功能敏感性</w:t>
            </w:r>
          </w:p>
        </w:tc>
        <w:tc>
          <w:tcPr>
            <w:tcW w:w="1164" w:type="dxa"/>
            <w:gridSpan w:val="3"/>
            <w:tcBorders>
              <w:top w:val="single" w:color="000000" w:sz="6" w:space="0"/>
              <w:left w:val="single" w:color="000000" w:sz="6" w:space="0"/>
              <w:bottom w:val="single" w:color="000000" w:sz="6" w:space="0"/>
              <w:right w:val="single" w:color="000000" w:sz="6" w:space="0"/>
            </w:tcBorders>
            <w:vAlign w:val="center"/>
          </w:tcPr>
          <w:p w14:paraId="6D066F44">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G1</w:t>
            </w:r>
            <w:r>
              <w:rPr>
                <w:rFonts w:hint="eastAsia" w:eastAsia="宋体"/>
                <w:color w:val="auto"/>
                <w:spacing w:val="0"/>
                <w:w w:val="100"/>
                <w:kern w:val="0"/>
                <w:position w:val="0"/>
                <w:sz w:val="21"/>
                <w:szCs w:val="21"/>
                <w:highlight w:val="none"/>
                <w:lang w:eastAsia="zh-CN"/>
              </w:rPr>
              <w:t>□</w:t>
            </w:r>
          </w:p>
        </w:tc>
        <w:tc>
          <w:tcPr>
            <w:tcW w:w="1507" w:type="dxa"/>
            <w:gridSpan w:val="7"/>
            <w:tcBorders>
              <w:top w:val="single" w:color="000000" w:sz="6" w:space="0"/>
              <w:left w:val="single" w:color="000000" w:sz="6" w:space="0"/>
              <w:bottom w:val="single" w:color="000000" w:sz="6" w:space="0"/>
              <w:right w:val="single" w:color="000000" w:sz="6" w:space="0"/>
            </w:tcBorders>
            <w:vAlign w:val="center"/>
          </w:tcPr>
          <w:p w14:paraId="7583B673">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G2</w:t>
            </w:r>
            <w:r>
              <w:rPr>
                <w:rFonts w:hint="eastAsia" w:eastAsia="宋体"/>
                <w:color w:val="auto"/>
                <w:spacing w:val="0"/>
                <w:w w:val="100"/>
                <w:kern w:val="0"/>
                <w:position w:val="0"/>
                <w:sz w:val="21"/>
                <w:szCs w:val="21"/>
                <w:highlight w:val="none"/>
                <w:lang w:eastAsia="zh-CN"/>
              </w:rPr>
              <w:t>□</w:t>
            </w:r>
          </w:p>
        </w:tc>
        <w:tc>
          <w:tcPr>
            <w:tcW w:w="1499" w:type="dxa"/>
            <w:gridSpan w:val="4"/>
            <w:tcBorders>
              <w:top w:val="single" w:color="000000" w:sz="6" w:space="0"/>
              <w:left w:val="single" w:color="000000" w:sz="6" w:space="0"/>
              <w:bottom w:val="single" w:color="000000" w:sz="6" w:space="0"/>
            </w:tcBorders>
            <w:vAlign w:val="center"/>
          </w:tcPr>
          <w:p w14:paraId="5000F928">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G3</w:t>
            </w:r>
            <w:r>
              <w:rPr>
                <w:rFonts w:hint="eastAsia" w:eastAsia="宋体"/>
                <w:color w:val="auto"/>
                <w:spacing w:val="0"/>
                <w:w w:val="100"/>
                <w:kern w:val="0"/>
                <w:position w:val="0"/>
                <w:sz w:val="21"/>
                <w:szCs w:val="21"/>
                <w:highlight w:val="none"/>
                <w:lang w:eastAsia="zh-CN"/>
              </w:rPr>
              <w:t>☑</w:t>
            </w:r>
          </w:p>
        </w:tc>
      </w:tr>
      <w:tr w14:paraId="6C13F49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continue"/>
            <w:tcBorders>
              <w:top w:val="single" w:color="000000" w:sz="6" w:space="0"/>
              <w:bottom w:val="single" w:color="000000" w:sz="6" w:space="0"/>
              <w:right w:val="single" w:color="000000" w:sz="6" w:space="0"/>
            </w:tcBorders>
            <w:vAlign w:val="center"/>
          </w:tcPr>
          <w:p w14:paraId="417BAB4A">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F2771D9">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vMerge w:val="continue"/>
            <w:tcBorders>
              <w:top w:val="single" w:color="000000" w:sz="6" w:space="0"/>
              <w:left w:val="single" w:color="000000" w:sz="6" w:space="0"/>
              <w:bottom w:val="single" w:color="000000" w:sz="6" w:space="0"/>
              <w:right w:val="single" w:color="000000" w:sz="6" w:space="0"/>
            </w:tcBorders>
            <w:vAlign w:val="center"/>
          </w:tcPr>
          <w:p w14:paraId="53EA75E8">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0BBDE871">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包气带防污性能</w:t>
            </w:r>
          </w:p>
        </w:tc>
        <w:tc>
          <w:tcPr>
            <w:tcW w:w="1164" w:type="dxa"/>
            <w:gridSpan w:val="3"/>
            <w:tcBorders>
              <w:top w:val="single" w:color="000000" w:sz="6" w:space="0"/>
              <w:left w:val="single" w:color="000000" w:sz="6" w:space="0"/>
              <w:bottom w:val="single" w:color="000000" w:sz="6" w:space="0"/>
              <w:right w:val="single" w:color="000000" w:sz="6" w:space="0"/>
            </w:tcBorders>
            <w:vAlign w:val="center"/>
          </w:tcPr>
          <w:p w14:paraId="3803D2E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D1</w:t>
            </w:r>
            <w:r>
              <w:rPr>
                <w:rFonts w:hint="eastAsia" w:eastAsia="宋体"/>
                <w:color w:val="auto"/>
                <w:spacing w:val="0"/>
                <w:w w:val="100"/>
                <w:kern w:val="0"/>
                <w:position w:val="0"/>
                <w:sz w:val="21"/>
                <w:szCs w:val="21"/>
                <w:highlight w:val="none"/>
                <w:lang w:eastAsia="zh-CN"/>
              </w:rPr>
              <w:t>□</w:t>
            </w:r>
          </w:p>
        </w:tc>
        <w:tc>
          <w:tcPr>
            <w:tcW w:w="1507" w:type="dxa"/>
            <w:gridSpan w:val="7"/>
            <w:tcBorders>
              <w:top w:val="single" w:color="000000" w:sz="6" w:space="0"/>
              <w:left w:val="single" w:color="000000" w:sz="6" w:space="0"/>
              <w:bottom w:val="single" w:color="000000" w:sz="6" w:space="0"/>
              <w:right w:val="single" w:color="000000" w:sz="6" w:space="0"/>
            </w:tcBorders>
            <w:vAlign w:val="center"/>
          </w:tcPr>
          <w:p w14:paraId="1140D2CE">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D2</w:t>
            </w:r>
            <w:r>
              <w:rPr>
                <w:rFonts w:hint="eastAsia" w:eastAsia="宋体"/>
                <w:color w:val="auto"/>
                <w:spacing w:val="0"/>
                <w:w w:val="100"/>
                <w:kern w:val="0"/>
                <w:position w:val="0"/>
                <w:sz w:val="21"/>
                <w:szCs w:val="21"/>
                <w:highlight w:val="none"/>
                <w:lang w:eastAsia="zh-CN"/>
              </w:rPr>
              <w:t>□</w:t>
            </w:r>
          </w:p>
        </w:tc>
        <w:tc>
          <w:tcPr>
            <w:tcW w:w="1499" w:type="dxa"/>
            <w:gridSpan w:val="4"/>
            <w:tcBorders>
              <w:top w:val="single" w:color="000000" w:sz="6" w:space="0"/>
              <w:left w:val="single" w:color="000000" w:sz="6" w:space="0"/>
              <w:bottom w:val="single" w:color="000000" w:sz="6" w:space="0"/>
            </w:tcBorders>
            <w:vAlign w:val="center"/>
          </w:tcPr>
          <w:p w14:paraId="0531F3AF">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D3</w:t>
            </w:r>
            <w:r>
              <w:rPr>
                <w:rFonts w:hint="eastAsia" w:eastAsia="宋体"/>
                <w:color w:val="auto"/>
                <w:spacing w:val="0"/>
                <w:w w:val="100"/>
                <w:kern w:val="0"/>
                <w:position w:val="0"/>
                <w:sz w:val="21"/>
                <w:szCs w:val="21"/>
                <w:highlight w:val="none"/>
                <w:lang w:eastAsia="zh-CN"/>
              </w:rPr>
              <w:t>□</w:t>
            </w:r>
          </w:p>
        </w:tc>
      </w:tr>
      <w:tr w14:paraId="2E1224C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vMerge w:val="restart"/>
            <w:tcBorders>
              <w:top w:val="single" w:color="000000" w:sz="6" w:space="0"/>
              <w:bottom w:val="single" w:color="000000" w:sz="6" w:space="0"/>
              <w:right w:val="single" w:color="000000" w:sz="6" w:space="0"/>
            </w:tcBorders>
            <w:vAlign w:val="center"/>
          </w:tcPr>
          <w:p w14:paraId="1A71659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物质及工艺系统危险性</w:t>
            </w:r>
          </w:p>
        </w:tc>
        <w:tc>
          <w:tcPr>
            <w:tcW w:w="1126" w:type="dxa"/>
            <w:tcBorders>
              <w:top w:val="single" w:color="000000" w:sz="6" w:space="0"/>
              <w:left w:val="single" w:color="000000" w:sz="6" w:space="0"/>
              <w:bottom w:val="single" w:color="000000" w:sz="6" w:space="0"/>
              <w:right w:val="single" w:color="000000" w:sz="6" w:space="0"/>
            </w:tcBorders>
            <w:vAlign w:val="center"/>
          </w:tcPr>
          <w:p w14:paraId="4D98A4DA">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Q</w:t>
            </w:r>
            <w:r>
              <w:rPr>
                <w:rFonts w:hint="eastAsia" w:ascii="Times New Roman" w:hAnsi="Times New Roman" w:eastAsia="宋体" w:cs="Times New Roman"/>
                <w:snapToGrid/>
                <w:color w:val="auto"/>
                <w:kern w:val="2"/>
                <w:sz w:val="21"/>
                <w:szCs w:val="22"/>
                <w:highlight w:val="none"/>
                <w:lang w:val="en-US" w:eastAsia="zh-CN" w:bidi="ar-SA"/>
              </w:rPr>
              <w:t>值</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5F41031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Q</w:t>
            </w:r>
            <w:r>
              <w:rPr>
                <w:rFonts w:hint="eastAsia" w:ascii="Times New Roman" w:hAnsi="Times New Roman" w:eastAsia="宋体" w:cs="Times New Roman"/>
                <w:snapToGrid/>
                <w:color w:val="auto"/>
                <w:kern w:val="2"/>
                <w:sz w:val="21"/>
                <w:szCs w:val="22"/>
                <w:highlight w:val="none"/>
                <w:lang w:val="en-US" w:eastAsia="zh-CN" w:bidi="ar-SA"/>
              </w:rPr>
              <w:t>＜</w:t>
            </w:r>
            <w:r>
              <w:rPr>
                <w:rFonts w:ascii="Times New Roman" w:hAnsi="Times New Roman" w:eastAsia="宋体" w:cs="Times New Roman"/>
                <w:snapToGrid/>
                <w:color w:val="auto"/>
                <w:kern w:val="2"/>
                <w:sz w:val="21"/>
                <w:szCs w:val="22"/>
                <w:highlight w:val="none"/>
                <w:lang w:val="en-US" w:eastAsia="zh-CN" w:bidi="ar-SA"/>
              </w:rPr>
              <w:t>1</w:t>
            </w:r>
            <w:r>
              <w:rPr>
                <w:rFonts w:hint="eastAsia" w:eastAsia="宋体"/>
                <w:color w:val="auto"/>
                <w:spacing w:val="0"/>
                <w:w w:val="100"/>
                <w:kern w:val="0"/>
                <w:position w:val="0"/>
                <w:sz w:val="21"/>
                <w:szCs w:val="21"/>
                <w:highlight w:val="none"/>
                <w:lang w:eastAsia="zh-CN"/>
              </w:rPr>
              <w:t>□</w:t>
            </w:r>
          </w:p>
        </w:tc>
        <w:tc>
          <w:tcPr>
            <w:tcW w:w="1164" w:type="dxa"/>
            <w:gridSpan w:val="3"/>
            <w:tcBorders>
              <w:top w:val="single" w:color="000000" w:sz="6" w:space="0"/>
              <w:left w:val="single" w:color="000000" w:sz="6" w:space="0"/>
              <w:bottom w:val="single" w:color="000000" w:sz="6" w:space="0"/>
              <w:right w:val="single" w:color="000000" w:sz="6" w:space="0"/>
            </w:tcBorders>
            <w:vAlign w:val="center"/>
          </w:tcPr>
          <w:p w14:paraId="7E387D1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1≤Q</w:t>
            </w:r>
            <w:r>
              <w:rPr>
                <w:rFonts w:hint="eastAsia" w:ascii="Times New Roman" w:hAnsi="Times New Roman" w:eastAsia="宋体" w:cs="Times New Roman"/>
                <w:snapToGrid/>
                <w:color w:val="auto"/>
                <w:kern w:val="2"/>
                <w:sz w:val="21"/>
                <w:szCs w:val="22"/>
                <w:highlight w:val="none"/>
                <w:lang w:val="en-US" w:eastAsia="zh-CN" w:bidi="ar-SA"/>
              </w:rPr>
              <w:t>＜</w:t>
            </w:r>
            <w:r>
              <w:rPr>
                <w:rFonts w:ascii="Times New Roman" w:hAnsi="Times New Roman" w:eastAsia="宋体" w:cs="Times New Roman"/>
                <w:snapToGrid/>
                <w:color w:val="auto"/>
                <w:kern w:val="2"/>
                <w:sz w:val="21"/>
                <w:szCs w:val="22"/>
                <w:highlight w:val="none"/>
                <w:lang w:val="en-US" w:eastAsia="zh-CN" w:bidi="ar-SA"/>
              </w:rPr>
              <w:t>10</w:t>
            </w:r>
            <w:r>
              <w:rPr>
                <w:rFonts w:hint="eastAsia" w:eastAsia="宋体"/>
                <w:color w:val="auto"/>
                <w:spacing w:val="0"/>
                <w:w w:val="100"/>
                <w:kern w:val="0"/>
                <w:position w:val="0"/>
                <w:sz w:val="21"/>
                <w:szCs w:val="21"/>
                <w:highlight w:val="none"/>
                <w:lang w:eastAsia="zh-CN"/>
              </w:rPr>
              <w:t>□</w:t>
            </w:r>
          </w:p>
        </w:tc>
        <w:tc>
          <w:tcPr>
            <w:tcW w:w="1507" w:type="dxa"/>
            <w:gridSpan w:val="7"/>
            <w:tcBorders>
              <w:top w:val="single" w:color="000000" w:sz="6" w:space="0"/>
              <w:left w:val="single" w:color="000000" w:sz="6" w:space="0"/>
              <w:bottom w:val="single" w:color="000000" w:sz="6" w:space="0"/>
              <w:right w:val="single" w:color="000000" w:sz="6" w:space="0"/>
            </w:tcBorders>
            <w:vAlign w:val="center"/>
          </w:tcPr>
          <w:p w14:paraId="4A6FD85B">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10≤Q</w:t>
            </w:r>
            <w:r>
              <w:rPr>
                <w:rFonts w:hint="eastAsia" w:ascii="Times New Roman" w:hAnsi="Times New Roman" w:eastAsia="宋体" w:cs="Times New Roman"/>
                <w:snapToGrid/>
                <w:color w:val="auto"/>
                <w:kern w:val="2"/>
                <w:sz w:val="21"/>
                <w:szCs w:val="22"/>
                <w:highlight w:val="none"/>
                <w:lang w:val="en-US" w:eastAsia="zh-CN" w:bidi="ar-SA"/>
              </w:rPr>
              <w:t>＜</w:t>
            </w:r>
            <w:r>
              <w:rPr>
                <w:rFonts w:ascii="Times New Roman" w:hAnsi="Times New Roman" w:eastAsia="宋体" w:cs="Times New Roman"/>
                <w:snapToGrid/>
                <w:color w:val="auto"/>
                <w:kern w:val="2"/>
                <w:sz w:val="21"/>
                <w:szCs w:val="22"/>
                <w:highlight w:val="none"/>
                <w:lang w:val="en-US" w:eastAsia="zh-CN" w:bidi="ar-SA"/>
              </w:rPr>
              <w:t>100</w:t>
            </w:r>
            <w:r>
              <w:rPr>
                <w:rFonts w:hint="eastAsia" w:eastAsia="宋体"/>
                <w:color w:val="auto"/>
                <w:spacing w:val="0"/>
                <w:w w:val="100"/>
                <w:kern w:val="0"/>
                <w:position w:val="0"/>
                <w:sz w:val="21"/>
                <w:szCs w:val="21"/>
                <w:highlight w:val="none"/>
                <w:lang w:eastAsia="zh-CN"/>
              </w:rPr>
              <w:t>☑</w:t>
            </w:r>
          </w:p>
        </w:tc>
        <w:tc>
          <w:tcPr>
            <w:tcW w:w="1499" w:type="dxa"/>
            <w:gridSpan w:val="4"/>
            <w:tcBorders>
              <w:top w:val="single" w:color="000000" w:sz="6" w:space="0"/>
              <w:left w:val="single" w:color="000000" w:sz="6" w:space="0"/>
              <w:bottom w:val="single" w:color="000000" w:sz="6" w:space="0"/>
            </w:tcBorders>
            <w:vAlign w:val="center"/>
          </w:tcPr>
          <w:p w14:paraId="325740A8">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Q</w:t>
            </w:r>
            <w:r>
              <w:rPr>
                <w:rFonts w:hint="eastAsia" w:ascii="Times New Roman" w:hAnsi="Times New Roman" w:eastAsia="宋体" w:cs="Times New Roman"/>
                <w:snapToGrid/>
                <w:color w:val="auto"/>
                <w:kern w:val="2"/>
                <w:sz w:val="21"/>
                <w:szCs w:val="22"/>
                <w:highlight w:val="none"/>
                <w:lang w:val="en-US" w:eastAsia="zh-CN" w:bidi="ar-SA"/>
              </w:rPr>
              <w:t>＞</w:t>
            </w:r>
            <w:r>
              <w:rPr>
                <w:rFonts w:ascii="Times New Roman" w:hAnsi="Times New Roman" w:eastAsia="宋体" w:cs="Times New Roman"/>
                <w:snapToGrid/>
                <w:color w:val="auto"/>
                <w:kern w:val="2"/>
                <w:sz w:val="21"/>
                <w:szCs w:val="22"/>
                <w:highlight w:val="none"/>
                <w:lang w:val="en-US" w:eastAsia="zh-CN" w:bidi="ar-SA"/>
              </w:rPr>
              <w:t>100</w:t>
            </w:r>
            <w:r>
              <w:rPr>
                <w:rFonts w:hint="eastAsia" w:eastAsia="宋体"/>
                <w:color w:val="auto"/>
                <w:spacing w:val="0"/>
                <w:w w:val="100"/>
                <w:kern w:val="0"/>
                <w:position w:val="0"/>
                <w:sz w:val="21"/>
                <w:szCs w:val="21"/>
                <w:highlight w:val="none"/>
                <w:lang w:eastAsia="zh-CN"/>
              </w:rPr>
              <w:t>□</w:t>
            </w:r>
          </w:p>
        </w:tc>
      </w:tr>
      <w:tr w14:paraId="5F282B2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vMerge w:val="continue"/>
            <w:tcBorders>
              <w:top w:val="single" w:color="000000" w:sz="6" w:space="0"/>
              <w:bottom w:val="single" w:color="000000" w:sz="6" w:space="0"/>
              <w:right w:val="single" w:color="000000" w:sz="6" w:space="0"/>
            </w:tcBorders>
            <w:vAlign w:val="center"/>
          </w:tcPr>
          <w:p w14:paraId="666AA3CD">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tcBorders>
              <w:top w:val="single" w:color="000000" w:sz="6" w:space="0"/>
              <w:left w:val="single" w:color="000000" w:sz="6" w:space="0"/>
              <w:bottom w:val="single" w:color="000000" w:sz="6" w:space="0"/>
              <w:right w:val="single" w:color="000000" w:sz="6" w:space="0"/>
            </w:tcBorders>
            <w:vAlign w:val="center"/>
          </w:tcPr>
          <w:p w14:paraId="7B00A599">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M</w:t>
            </w:r>
            <w:r>
              <w:rPr>
                <w:rFonts w:hint="eastAsia" w:ascii="Times New Roman" w:hAnsi="Times New Roman" w:eastAsia="宋体" w:cs="Times New Roman"/>
                <w:snapToGrid/>
                <w:color w:val="auto"/>
                <w:kern w:val="2"/>
                <w:sz w:val="21"/>
                <w:szCs w:val="22"/>
                <w:highlight w:val="none"/>
                <w:lang w:val="en-US" w:eastAsia="zh-CN" w:bidi="ar-SA"/>
              </w:rPr>
              <w:t>值</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36D75C4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M1</w:t>
            </w:r>
            <w:r>
              <w:rPr>
                <w:rFonts w:hint="eastAsia" w:eastAsia="宋体"/>
                <w:color w:val="auto"/>
                <w:spacing w:val="0"/>
                <w:w w:val="100"/>
                <w:kern w:val="0"/>
                <w:position w:val="0"/>
                <w:sz w:val="21"/>
                <w:szCs w:val="21"/>
                <w:highlight w:val="none"/>
                <w:lang w:eastAsia="zh-CN"/>
              </w:rPr>
              <w:t>□</w:t>
            </w:r>
          </w:p>
        </w:tc>
        <w:tc>
          <w:tcPr>
            <w:tcW w:w="1164" w:type="dxa"/>
            <w:gridSpan w:val="3"/>
            <w:tcBorders>
              <w:top w:val="single" w:color="000000" w:sz="6" w:space="0"/>
              <w:left w:val="single" w:color="000000" w:sz="6" w:space="0"/>
              <w:bottom w:val="single" w:color="000000" w:sz="6" w:space="0"/>
              <w:right w:val="single" w:color="000000" w:sz="6" w:space="0"/>
            </w:tcBorders>
            <w:vAlign w:val="center"/>
          </w:tcPr>
          <w:p w14:paraId="01E89EA1">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M2</w:t>
            </w:r>
            <w:r>
              <w:rPr>
                <w:rFonts w:hint="eastAsia" w:eastAsia="宋体"/>
                <w:color w:val="auto"/>
                <w:spacing w:val="0"/>
                <w:w w:val="100"/>
                <w:kern w:val="0"/>
                <w:position w:val="0"/>
                <w:sz w:val="21"/>
                <w:szCs w:val="21"/>
                <w:highlight w:val="none"/>
                <w:lang w:eastAsia="zh-CN"/>
              </w:rPr>
              <w:t>□</w:t>
            </w:r>
          </w:p>
        </w:tc>
        <w:tc>
          <w:tcPr>
            <w:tcW w:w="1507" w:type="dxa"/>
            <w:gridSpan w:val="7"/>
            <w:tcBorders>
              <w:top w:val="single" w:color="000000" w:sz="6" w:space="0"/>
              <w:left w:val="single" w:color="000000" w:sz="6" w:space="0"/>
              <w:bottom w:val="single" w:color="000000" w:sz="6" w:space="0"/>
              <w:right w:val="single" w:color="000000" w:sz="6" w:space="0"/>
            </w:tcBorders>
            <w:vAlign w:val="center"/>
          </w:tcPr>
          <w:p w14:paraId="46E98F8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M3</w:t>
            </w:r>
            <w:r>
              <w:rPr>
                <w:rFonts w:hint="eastAsia" w:eastAsia="宋体"/>
                <w:color w:val="auto"/>
                <w:spacing w:val="0"/>
                <w:w w:val="100"/>
                <w:kern w:val="0"/>
                <w:position w:val="0"/>
                <w:sz w:val="21"/>
                <w:szCs w:val="21"/>
                <w:highlight w:val="none"/>
                <w:lang w:eastAsia="zh-CN"/>
              </w:rPr>
              <w:t>□</w:t>
            </w:r>
          </w:p>
        </w:tc>
        <w:tc>
          <w:tcPr>
            <w:tcW w:w="1499" w:type="dxa"/>
            <w:gridSpan w:val="4"/>
            <w:tcBorders>
              <w:top w:val="single" w:color="000000" w:sz="6" w:space="0"/>
              <w:left w:val="single" w:color="000000" w:sz="6" w:space="0"/>
              <w:bottom w:val="single" w:color="000000" w:sz="6" w:space="0"/>
            </w:tcBorders>
            <w:vAlign w:val="center"/>
          </w:tcPr>
          <w:p w14:paraId="10B8AF69">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M4</w:t>
            </w:r>
            <w:r>
              <w:rPr>
                <w:rFonts w:hint="eastAsia" w:eastAsia="宋体"/>
                <w:color w:val="auto"/>
                <w:spacing w:val="0"/>
                <w:w w:val="100"/>
                <w:kern w:val="0"/>
                <w:position w:val="0"/>
                <w:sz w:val="21"/>
                <w:szCs w:val="21"/>
                <w:highlight w:val="none"/>
                <w:lang w:eastAsia="zh-CN"/>
              </w:rPr>
              <w:t>☑</w:t>
            </w:r>
          </w:p>
        </w:tc>
      </w:tr>
      <w:tr w14:paraId="3A9C399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vMerge w:val="continue"/>
            <w:tcBorders>
              <w:top w:val="single" w:color="000000" w:sz="6" w:space="0"/>
              <w:bottom w:val="single" w:color="000000" w:sz="6" w:space="0"/>
              <w:right w:val="single" w:color="000000" w:sz="6" w:space="0"/>
            </w:tcBorders>
            <w:vAlign w:val="center"/>
          </w:tcPr>
          <w:p w14:paraId="58788B94">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tcBorders>
              <w:top w:val="single" w:color="000000" w:sz="6" w:space="0"/>
              <w:left w:val="single" w:color="000000" w:sz="6" w:space="0"/>
              <w:bottom w:val="single" w:color="000000" w:sz="6" w:space="0"/>
              <w:right w:val="single" w:color="000000" w:sz="6" w:space="0"/>
            </w:tcBorders>
            <w:vAlign w:val="center"/>
          </w:tcPr>
          <w:p w14:paraId="4757854B">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P</w:t>
            </w:r>
            <w:r>
              <w:rPr>
                <w:rFonts w:hint="eastAsia" w:ascii="Times New Roman" w:hAnsi="Times New Roman" w:eastAsia="宋体" w:cs="Times New Roman"/>
                <w:snapToGrid/>
                <w:color w:val="auto"/>
                <w:kern w:val="2"/>
                <w:sz w:val="21"/>
                <w:szCs w:val="22"/>
                <w:highlight w:val="none"/>
                <w:lang w:val="en-US" w:eastAsia="zh-CN" w:bidi="ar-SA"/>
              </w:rPr>
              <w:t>值</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1FAAA0A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P1</w:t>
            </w:r>
            <w:r>
              <w:rPr>
                <w:rFonts w:hint="eastAsia" w:eastAsia="宋体"/>
                <w:color w:val="auto"/>
                <w:spacing w:val="0"/>
                <w:w w:val="100"/>
                <w:kern w:val="0"/>
                <w:position w:val="0"/>
                <w:sz w:val="21"/>
                <w:szCs w:val="21"/>
                <w:highlight w:val="none"/>
                <w:lang w:eastAsia="zh-CN"/>
              </w:rPr>
              <w:t>□</w:t>
            </w:r>
          </w:p>
        </w:tc>
        <w:tc>
          <w:tcPr>
            <w:tcW w:w="1164" w:type="dxa"/>
            <w:gridSpan w:val="3"/>
            <w:tcBorders>
              <w:top w:val="single" w:color="000000" w:sz="6" w:space="0"/>
              <w:left w:val="single" w:color="000000" w:sz="6" w:space="0"/>
              <w:bottom w:val="single" w:color="000000" w:sz="6" w:space="0"/>
              <w:right w:val="single" w:color="000000" w:sz="6" w:space="0"/>
            </w:tcBorders>
            <w:vAlign w:val="center"/>
          </w:tcPr>
          <w:p w14:paraId="3480EE8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P2</w:t>
            </w:r>
            <w:r>
              <w:rPr>
                <w:rFonts w:hint="eastAsia" w:eastAsia="宋体"/>
                <w:color w:val="auto"/>
                <w:spacing w:val="0"/>
                <w:w w:val="100"/>
                <w:kern w:val="0"/>
                <w:position w:val="0"/>
                <w:sz w:val="21"/>
                <w:szCs w:val="21"/>
                <w:highlight w:val="none"/>
                <w:lang w:eastAsia="zh-CN"/>
              </w:rPr>
              <w:t>□</w:t>
            </w:r>
          </w:p>
        </w:tc>
        <w:tc>
          <w:tcPr>
            <w:tcW w:w="1507" w:type="dxa"/>
            <w:gridSpan w:val="7"/>
            <w:tcBorders>
              <w:top w:val="single" w:color="000000" w:sz="6" w:space="0"/>
              <w:left w:val="single" w:color="000000" w:sz="6" w:space="0"/>
              <w:bottom w:val="single" w:color="000000" w:sz="6" w:space="0"/>
              <w:right w:val="single" w:color="000000" w:sz="6" w:space="0"/>
            </w:tcBorders>
            <w:vAlign w:val="center"/>
          </w:tcPr>
          <w:p w14:paraId="7F09ADE2">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P3</w:t>
            </w:r>
            <w:r>
              <w:rPr>
                <w:rFonts w:hint="eastAsia" w:eastAsia="宋体"/>
                <w:color w:val="auto"/>
                <w:spacing w:val="0"/>
                <w:w w:val="100"/>
                <w:kern w:val="0"/>
                <w:position w:val="0"/>
                <w:sz w:val="21"/>
                <w:szCs w:val="21"/>
                <w:highlight w:val="none"/>
                <w:lang w:eastAsia="zh-CN"/>
              </w:rPr>
              <w:t>□</w:t>
            </w:r>
          </w:p>
        </w:tc>
        <w:tc>
          <w:tcPr>
            <w:tcW w:w="1499" w:type="dxa"/>
            <w:gridSpan w:val="4"/>
            <w:tcBorders>
              <w:top w:val="single" w:color="000000" w:sz="6" w:space="0"/>
              <w:left w:val="single" w:color="000000" w:sz="6" w:space="0"/>
              <w:bottom w:val="single" w:color="000000" w:sz="6" w:space="0"/>
            </w:tcBorders>
            <w:vAlign w:val="center"/>
          </w:tcPr>
          <w:p w14:paraId="5B6C0C67">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P4</w:t>
            </w:r>
            <w:r>
              <w:rPr>
                <w:rFonts w:hint="eastAsia" w:eastAsia="宋体"/>
                <w:color w:val="auto"/>
                <w:spacing w:val="0"/>
                <w:w w:val="100"/>
                <w:kern w:val="0"/>
                <w:position w:val="0"/>
                <w:sz w:val="21"/>
                <w:szCs w:val="21"/>
                <w:highlight w:val="none"/>
                <w:lang w:eastAsia="zh-CN"/>
              </w:rPr>
              <w:t>☑</w:t>
            </w:r>
          </w:p>
        </w:tc>
      </w:tr>
      <w:tr w14:paraId="7B9EEA7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vMerge w:val="restart"/>
            <w:tcBorders>
              <w:top w:val="single" w:color="000000" w:sz="6" w:space="0"/>
              <w:bottom w:val="single" w:color="000000" w:sz="6" w:space="0"/>
              <w:right w:val="single" w:color="000000" w:sz="6" w:space="0"/>
            </w:tcBorders>
            <w:vAlign w:val="center"/>
          </w:tcPr>
          <w:p w14:paraId="0A3E1287">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环境敏感程度</w:t>
            </w:r>
          </w:p>
        </w:tc>
        <w:tc>
          <w:tcPr>
            <w:tcW w:w="1126" w:type="dxa"/>
            <w:tcBorders>
              <w:top w:val="single" w:color="000000" w:sz="6" w:space="0"/>
              <w:left w:val="single" w:color="000000" w:sz="6" w:space="0"/>
              <w:bottom w:val="single" w:color="000000" w:sz="6" w:space="0"/>
              <w:right w:val="single" w:color="000000" w:sz="6" w:space="0"/>
            </w:tcBorders>
            <w:vAlign w:val="center"/>
          </w:tcPr>
          <w:p w14:paraId="71E7FC3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大气</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1A5762B1">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E1</w:t>
            </w:r>
            <w:r>
              <w:rPr>
                <w:rFonts w:hint="eastAsia" w:eastAsia="宋体"/>
                <w:color w:val="auto"/>
                <w:spacing w:val="0"/>
                <w:w w:val="100"/>
                <w:kern w:val="0"/>
                <w:position w:val="0"/>
                <w:sz w:val="21"/>
                <w:szCs w:val="21"/>
                <w:highlight w:val="none"/>
                <w:lang w:eastAsia="zh-CN"/>
              </w:rPr>
              <w:t>□</w:t>
            </w:r>
          </w:p>
        </w:tc>
        <w:tc>
          <w:tcPr>
            <w:tcW w:w="1961" w:type="dxa"/>
            <w:gridSpan w:val="7"/>
            <w:tcBorders>
              <w:top w:val="single" w:color="000000" w:sz="6" w:space="0"/>
              <w:left w:val="single" w:color="000000" w:sz="6" w:space="0"/>
              <w:bottom w:val="single" w:color="000000" w:sz="6" w:space="0"/>
              <w:right w:val="single" w:color="000000" w:sz="6" w:space="0"/>
            </w:tcBorders>
            <w:vAlign w:val="center"/>
          </w:tcPr>
          <w:p w14:paraId="58B3758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E2</w:t>
            </w:r>
            <w:r>
              <w:rPr>
                <w:rFonts w:hint="eastAsia" w:eastAsia="宋体"/>
                <w:color w:val="auto"/>
                <w:spacing w:val="0"/>
                <w:w w:val="100"/>
                <w:kern w:val="0"/>
                <w:position w:val="0"/>
                <w:sz w:val="21"/>
                <w:szCs w:val="21"/>
                <w:highlight w:val="none"/>
                <w:lang w:eastAsia="zh-CN"/>
              </w:rPr>
              <w:t>□</w:t>
            </w:r>
          </w:p>
        </w:tc>
        <w:tc>
          <w:tcPr>
            <w:tcW w:w="2209" w:type="dxa"/>
            <w:gridSpan w:val="7"/>
            <w:tcBorders>
              <w:top w:val="single" w:color="000000" w:sz="6" w:space="0"/>
              <w:left w:val="single" w:color="000000" w:sz="6" w:space="0"/>
              <w:bottom w:val="single" w:color="000000" w:sz="6" w:space="0"/>
            </w:tcBorders>
            <w:vAlign w:val="center"/>
          </w:tcPr>
          <w:p w14:paraId="2F064E3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E3</w:t>
            </w:r>
            <w:r>
              <w:rPr>
                <w:rFonts w:hint="eastAsia" w:eastAsia="宋体"/>
                <w:color w:val="auto"/>
                <w:spacing w:val="0"/>
                <w:w w:val="100"/>
                <w:kern w:val="0"/>
                <w:position w:val="0"/>
                <w:sz w:val="21"/>
                <w:szCs w:val="21"/>
                <w:highlight w:val="none"/>
                <w:lang w:eastAsia="zh-CN"/>
              </w:rPr>
              <w:t>☑</w:t>
            </w:r>
          </w:p>
        </w:tc>
      </w:tr>
      <w:tr w14:paraId="75CD46B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vMerge w:val="continue"/>
            <w:tcBorders>
              <w:top w:val="single" w:color="000000" w:sz="6" w:space="0"/>
              <w:bottom w:val="single" w:color="000000" w:sz="6" w:space="0"/>
              <w:right w:val="single" w:color="000000" w:sz="6" w:space="0"/>
            </w:tcBorders>
            <w:vAlign w:val="center"/>
          </w:tcPr>
          <w:p w14:paraId="3FDCDCFA">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tcBorders>
              <w:top w:val="single" w:color="000000" w:sz="6" w:space="0"/>
              <w:left w:val="single" w:color="000000" w:sz="6" w:space="0"/>
              <w:bottom w:val="single" w:color="000000" w:sz="6" w:space="0"/>
              <w:right w:val="single" w:color="000000" w:sz="6" w:space="0"/>
            </w:tcBorders>
            <w:vAlign w:val="center"/>
          </w:tcPr>
          <w:p w14:paraId="04C63EA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地表水</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7106959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E1</w:t>
            </w:r>
            <w:r>
              <w:rPr>
                <w:rFonts w:hint="eastAsia" w:eastAsia="宋体"/>
                <w:color w:val="auto"/>
                <w:spacing w:val="0"/>
                <w:w w:val="100"/>
                <w:kern w:val="0"/>
                <w:position w:val="0"/>
                <w:sz w:val="21"/>
                <w:szCs w:val="21"/>
                <w:highlight w:val="none"/>
                <w:lang w:eastAsia="zh-CN"/>
              </w:rPr>
              <w:t>□</w:t>
            </w:r>
          </w:p>
        </w:tc>
        <w:tc>
          <w:tcPr>
            <w:tcW w:w="1961" w:type="dxa"/>
            <w:gridSpan w:val="7"/>
            <w:tcBorders>
              <w:top w:val="single" w:color="000000" w:sz="6" w:space="0"/>
              <w:left w:val="single" w:color="000000" w:sz="6" w:space="0"/>
              <w:bottom w:val="single" w:color="000000" w:sz="6" w:space="0"/>
              <w:right w:val="single" w:color="000000" w:sz="6" w:space="0"/>
            </w:tcBorders>
            <w:vAlign w:val="center"/>
          </w:tcPr>
          <w:p w14:paraId="1D4BDEDA">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E2</w:t>
            </w:r>
            <w:r>
              <w:rPr>
                <w:rFonts w:hint="eastAsia" w:eastAsia="宋体"/>
                <w:color w:val="auto"/>
                <w:spacing w:val="0"/>
                <w:w w:val="100"/>
                <w:kern w:val="0"/>
                <w:position w:val="0"/>
                <w:sz w:val="21"/>
                <w:szCs w:val="21"/>
                <w:highlight w:val="none"/>
                <w:lang w:eastAsia="zh-CN"/>
              </w:rPr>
              <w:t>□</w:t>
            </w:r>
          </w:p>
        </w:tc>
        <w:tc>
          <w:tcPr>
            <w:tcW w:w="2209" w:type="dxa"/>
            <w:gridSpan w:val="7"/>
            <w:tcBorders>
              <w:top w:val="single" w:color="000000" w:sz="6" w:space="0"/>
              <w:left w:val="single" w:color="000000" w:sz="6" w:space="0"/>
              <w:bottom w:val="single" w:color="000000" w:sz="6" w:space="0"/>
            </w:tcBorders>
            <w:vAlign w:val="center"/>
          </w:tcPr>
          <w:p w14:paraId="3B2FDCB3">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E3</w:t>
            </w:r>
            <w:r>
              <w:rPr>
                <w:rFonts w:hint="eastAsia" w:eastAsia="宋体"/>
                <w:color w:val="auto"/>
                <w:spacing w:val="0"/>
                <w:w w:val="100"/>
                <w:kern w:val="0"/>
                <w:position w:val="0"/>
                <w:sz w:val="21"/>
                <w:szCs w:val="21"/>
                <w:highlight w:val="none"/>
                <w:lang w:eastAsia="zh-CN"/>
              </w:rPr>
              <w:t>☑</w:t>
            </w:r>
          </w:p>
        </w:tc>
      </w:tr>
      <w:tr w14:paraId="41CC19A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vMerge w:val="continue"/>
            <w:tcBorders>
              <w:top w:val="single" w:color="000000" w:sz="6" w:space="0"/>
              <w:bottom w:val="single" w:color="000000" w:sz="6" w:space="0"/>
              <w:right w:val="single" w:color="000000" w:sz="6" w:space="0"/>
            </w:tcBorders>
            <w:vAlign w:val="center"/>
          </w:tcPr>
          <w:p w14:paraId="3FF3F827">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tcBorders>
              <w:top w:val="single" w:color="000000" w:sz="6" w:space="0"/>
              <w:left w:val="single" w:color="000000" w:sz="6" w:space="0"/>
              <w:bottom w:val="single" w:color="000000" w:sz="6" w:space="0"/>
              <w:right w:val="single" w:color="000000" w:sz="6" w:space="0"/>
            </w:tcBorders>
            <w:vAlign w:val="center"/>
          </w:tcPr>
          <w:p w14:paraId="7362ECB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地下水</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43B0813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E1</w:t>
            </w:r>
            <w:r>
              <w:rPr>
                <w:rFonts w:hint="eastAsia"/>
                <w:color w:val="auto"/>
                <w:spacing w:val="0"/>
                <w:w w:val="100"/>
                <w:kern w:val="0"/>
                <w:position w:val="0"/>
                <w:sz w:val="21"/>
                <w:szCs w:val="21"/>
                <w:highlight w:val="none"/>
                <w:lang w:eastAsia="zh-CN"/>
              </w:rPr>
              <w:t>□</w:t>
            </w:r>
          </w:p>
        </w:tc>
        <w:tc>
          <w:tcPr>
            <w:tcW w:w="1961" w:type="dxa"/>
            <w:gridSpan w:val="7"/>
            <w:tcBorders>
              <w:top w:val="single" w:color="000000" w:sz="6" w:space="0"/>
              <w:left w:val="single" w:color="000000" w:sz="6" w:space="0"/>
              <w:bottom w:val="single" w:color="000000" w:sz="6" w:space="0"/>
              <w:right w:val="single" w:color="000000" w:sz="6" w:space="0"/>
            </w:tcBorders>
            <w:vAlign w:val="center"/>
          </w:tcPr>
          <w:p w14:paraId="6DA3A77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E2</w:t>
            </w:r>
            <w:r>
              <w:rPr>
                <w:rFonts w:hint="eastAsia"/>
                <w:color w:val="auto"/>
                <w:spacing w:val="0"/>
                <w:w w:val="100"/>
                <w:kern w:val="0"/>
                <w:position w:val="0"/>
                <w:sz w:val="21"/>
                <w:szCs w:val="21"/>
                <w:highlight w:val="none"/>
                <w:lang w:eastAsia="zh-CN"/>
              </w:rPr>
              <w:t>☑</w:t>
            </w:r>
          </w:p>
        </w:tc>
        <w:tc>
          <w:tcPr>
            <w:tcW w:w="2209" w:type="dxa"/>
            <w:gridSpan w:val="7"/>
            <w:tcBorders>
              <w:top w:val="single" w:color="000000" w:sz="6" w:space="0"/>
              <w:left w:val="single" w:color="000000" w:sz="6" w:space="0"/>
              <w:bottom w:val="single" w:color="000000" w:sz="6" w:space="0"/>
            </w:tcBorders>
            <w:vAlign w:val="center"/>
          </w:tcPr>
          <w:p w14:paraId="50BA5F0A">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E3</w:t>
            </w:r>
            <w:r>
              <w:rPr>
                <w:rFonts w:hint="eastAsia" w:eastAsia="宋体"/>
                <w:color w:val="auto"/>
                <w:spacing w:val="0"/>
                <w:w w:val="100"/>
                <w:kern w:val="0"/>
                <w:position w:val="0"/>
                <w:sz w:val="21"/>
                <w:szCs w:val="21"/>
                <w:highlight w:val="none"/>
                <w:lang w:eastAsia="zh-CN"/>
              </w:rPr>
              <w:t>□</w:t>
            </w:r>
          </w:p>
        </w:tc>
      </w:tr>
      <w:tr w14:paraId="3F658893">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tcBorders>
              <w:top w:val="single" w:color="000000" w:sz="6" w:space="0"/>
              <w:bottom w:val="single" w:color="000000" w:sz="6" w:space="0"/>
              <w:right w:val="single" w:color="000000" w:sz="6" w:space="0"/>
            </w:tcBorders>
            <w:vAlign w:val="center"/>
          </w:tcPr>
          <w:p w14:paraId="46157BD5">
            <w:pPr>
              <w:widowControl w:val="0"/>
              <w:kinsoku/>
              <w:autoSpaceDE/>
              <w:autoSpaceDN/>
              <w:adjustRightInd/>
              <w:snapToGrid/>
              <w:spacing w:line="360" w:lineRule="exact"/>
              <w:ind w:left="-120" w:leftChars="-50" w:right="-120" w:rightChars="-50"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环境风险潜势</w:t>
            </w:r>
          </w:p>
        </w:tc>
        <w:tc>
          <w:tcPr>
            <w:tcW w:w="1412" w:type="dxa"/>
            <w:gridSpan w:val="2"/>
            <w:tcBorders>
              <w:top w:val="single" w:color="000000" w:sz="6" w:space="0"/>
              <w:left w:val="single" w:color="000000" w:sz="6" w:space="0"/>
              <w:bottom w:val="single" w:color="000000" w:sz="6" w:space="0"/>
              <w:right w:val="single" w:color="000000" w:sz="6" w:space="0"/>
            </w:tcBorders>
            <w:vAlign w:val="center"/>
          </w:tcPr>
          <w:p w14:paraId="46E8773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Ⅳ</w:t>
            </w:r>
            <w:r>
              <w:rPr>
                <w:rFonts w:ascii="Times New Roman" w:hAnsi="Times New Roman" w:eastAsia="宋体" w:cs="Times New Roman"/>
                <w:snapToGrid/>
                <w:color w:val="auto"/>
                <w:kern w:val="2"/>
                <w:sz w:val="21"/>
                <w:szCs w:val="22"/>
                <w:highlight w:val="none"/>
                <w:vertAlign w:val="superscript"/>
                <w:lang w:val="en-US" w:eastAsia="zh-CN" w:bidi="ar-SA"/>
              </w:rPr>
              <w:t>+</w:t>
            </w:r>
            <w:r>
              <w:rPr>
                <w:rFonts w:hint="eastAsia" w:eastAsia="宋体"/>
                <w:color w:val="auto"/>
                <w:spacing w:val="0"/>
                <w:w w:val="100"/>
                <w:kern w:val="0"/>
                <w:position w:val="0"/>
                <w:sz w:val="21"/>
                <w:szCs w:val="21"/>
                <w:highlight w:val="none"/>
                <w:lang w:eastAsia="zh-CN"/>
              </w:rPr>
              <w:t>□</w:t>
            </w:r>
          </w:p>
        </w:tc>
        <w:tc>
          <w:tcPr>
            <w:tcW w:w="1479" w:type="dxa"/>
            <w:gridSpan w:val="3"/>
            <w:tcBorders>
              <w:top w:val="single" w:color="000000" w:sz="6" w:space="0"/>
              <w:left w:val="single" w:color="000000" w:sz="6" w:space="0"/>
              <w:bottom w:val="single" w:color="000000" w:sz="6" w:space="0"/>
              <w:right w:val="single" w:color="000000" w:sz="6" w:space="0"/>
            </w:tcBorders>
            <w:vAlign w:val="center"/>
          </w:tcPr>
          <w:p w14:paraId="37B62B64">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Ⅳ</w:t>
            </w:r>
            <w:r>
              <w:rPr>
                <w:rFonts w:hint="eastAsia" w:eastAsia="宋体"/>
                <w:color w:val="auto"/>
                <w:spacing w:val="0"/>
                <w:w w:val="100"/>
                <w:kern w:val="0"/>
                <w:position w:val="0"/>
                <w:sz w:val="21"/>
                <w:szCs w:val="21"/>
                <w:highlight w:val="none"/>
                <w:lang w:eastAsia="zh-CN"/>
              </w:rPr>
              <w:t>□</w:t>
            </w:r>
          </w:p>
        </w:tc>
        <w:tc>
          <w:tcPr>
            <w:tcW w:w="1226" w:type="dxa"/>
            <w:gridSpan w:val="4"/>
            <w:tcBorders>
              <w:top w:val="single" w:color="000000" w:sz="6" w:space="0"/>
              <w:left w:val="single" w:color="000000" w:sz="6" w:space="0"/>
              <w:bottom w:val="single" w:color="000000" w:sz="6" w:space="0"/>
              <w:right w:val="single" w:color="000000" w:sz="6" w:space="0"/>
            </w:tcBorders>
            <w:vAlign w:val="center"/>
          </w:tcPr>
          <w:p w14:paraId="208F085E">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Ⅲ</w:t>
            </w:r>
            <w:r>
              <w:rPr>
                <w:rFonts w:hint="eastAsia" w:eastAsia="宋体"/>
                <w:color w:val="auto"/>
                <w:spacing w:val="0"/>
                <w:w w:val="100"/>
                <w:kern w:val="0"/>
                <w:position w:val="0"/>
                <w:sz w:val="21"/>
                <w:szCs w:val="21"/>
                <w:highlight w:val="none"/>
                <w:lang w:eastAsia="zh-CN"/>
              </w:rPr>
              <w:t>□</w:t>
            </w:r>
          </w:p>
        </w:tc>
        <w:tc>
          <w:tcPr>
            <w:tcW w:w="1480" w:type="dxa"/>
            <w:gridSpan w:val="7"/>
            <w:tcBorders>
              <w:top w:val="single" w:color="000000" w:sz="6" w:space="0"/>
              <w:left w:val="single" w:color="000000" w:sz="6" w:space="0"/>
              <w:bottom w:val="single" w:color="000000" w:sz="6" w:space="0"/>
              <w:right w:val="single" w:color="000000" w:sz="6" w:space="0"/>
            </w:tcBorders>
            <w:vAlign w:val="center"/>
          </w:tcPr>
          <w:p w14:paraId="4075E8CF">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Ⅱ</w:t>
            </w:r>
            <w:r>
              <w:rPr>
                <w:rFonts w:hint="eastAsia" w:eastAsia="宋体"/>
                <w:color w:val="auto"/>
                <w:spacing w:val="0"/>
                <w:w w:val="100"/>
                <w:kern w:val="0"/>
                <w:position w:val="0"/>
                <w:sz w:val="21"/>
                <w:szCs w:val="21"/>
                <w:highlight w:val="none"/>
                <w:lang w:eastAsia="zh-CN"/>
              </w:rPr>
              <w:t>☑</w:t>
            </w:r>
          </w:p>
        </w:tc>
        <w:tc>
          <w:tcPr>
            <w:tcW w:w="1464" w:type="dxa"/>
            <w:gridSpan w:val="3"/>
            <w:tcBorders>
              <w:top w:val="single" w:color="000000" w:sz="6" w:space="0"/>
              <w:left w:val="single" w:color="000000" w:sz="6" w:space="0"/>
              <w:bottom w:val="single" w:color="000000" w:sz="6" w:space="0"/>
            </w:tcBorders>
            <w:vAlign w:val="center"/>
          </w:tcPr>
          <w:p w14:paraId="787E04B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I</w:t>
            </w:r>
            <w:r>
              <w:rPr>
                <w:rFonts w:hint="eastAsia" w:eastAsia="宋体"/>
                <w:color w:val="auto"/>
                <w:spacing w:val="0"/>
                <w:w w:val="100"/>
                <w:kern w:val="0"/>
                <w:position w:val="0"/>
                <w:sz w:val="21"/>
                <w:szCs w:val="21"/>
                <w:highlight w:val="none"/>
                <w:lang w:eastAsia="zh-CN"/>
              </w:rPr>
              <w:t>□</w:t>
            </w:r>
          </w:p>
        </w:tc>
      </w:tr>
      <w:tr w14:paraId="6FE17F7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58" w:hRule="atLeast"/>
          <w:jc w:val="center"/>
        </w:trPr>
        <w:tc>
          <w:tcPr>
            <w:tcW w:w="1279" w:type="dxa"/>
            <w:gridSpan w:val="3"/>
            <w:tcBorders>
              <w:top w:val="single" w:color="000000" w:sz="6" w:space="0"/>
              <w:bottom w:val="single" w:color="000000" w:sz="6" w:space="0"/>
              <w:right w:val="single" w:color="000000" w:sz="6" w:space="0"/>
            </w:tcBorders>
            <w:vAlign w:val="center"/>
          </w:tcPr>
          <w:p w14:paraId="52934987">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评价等级</w:t>
            </w:r>
          </w:p>
        </w:tc>
        <w:tc>
          <w:tcPr>
            <w:tcW w:w="2891" w:type="dxa"/>
            <w:gridSpan w:val="5"/>
            <w:tcBorders>
              <w:top w:val="single" w:color="000000" w:sz="6" w:space="0"/>
              <w:left w:val="single" w:color="000000" w:sz="6" w:space="0"/>
              <w:bottom w:val="single" w:color="000000" w:sz="6" w:space="0"/>
              <w:right w:val="single" w:color="000000" w:sz="6" w:space="0"/>
            </w:tcBorders>
            <w:vAlign w:val="center"/>
          </w:tcPr>
          <w:p w14:paraId="0C411AD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一级</w:t>
            </w:r>
            <w:r>
              <w:rPr>
                <w:rFonts w:hint="eastAsia" w:eastAsia="宋体"/>
                <w:color w:val="auto"/>
                <w:spacing w:val="0"/>
                <w:w w:val="100"/>
                <w:kern w:val="0"/>
                <w:position w:val="0"/>
                <w:sz w:val="21"/>
                <w:szCs w:val="21"/>
                <w:highlight w:val="none"/>
                <w:lang w:eastAsia="zh-CN"/>
              </w:rPr>
              <w:t>□</w:t>
            </w:r>
          </w:p>
        </w:tc>
        <w:tc>
          <w:tcPr>
            <w:tcW w:w="1226" w:type="dxa"/>
            <w:gridSpan w:val="4"/>
            <w:tcBorders>
              <w:top w:val="single" w:color="000000" w:sz="6" w:space="0"/>
              <w:left w:val="single" w:color="000000" w:sz="6" w:space="0"/>
              <w:bottom w:val="single" w:color="000000" w:sz="6" w:space="0"/>
              <w:right w:val="single" w:color="000000" w:sz="6" w:space="0"/>
            </w:tcBorders>
            <w:vAlign w:val="center"/>
          </w:tcPr>
          <w:p w14:paraId="2D2F9C1F">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二级</w:t>
            </w:r>
            <w:r>
              <w:rPr>
                <w:rFonts w:hint="eastAsia" w:eastAsia="宋体"/>
                <w:color w:val="auto"/>
                <w:spacing w:val="0"/>
                <w:w w:val="100"/>
                <w:kern w:val="0"/>
                <w:position w:val="0"/>
                <w:sz w:val="21"/>
                <w:szCs w:val="21"/>
                <w:highlight w:val="none"/>
                <w:lang w:eastAsia="zh-CN"/>
              </w:rPr>
              <w:t>□</w:t>
            </w:r>
          </w:p>
        </w:tc>
        <w:tc>
          <w:tcPr>
            <w:tcW w:w="1480" w:type="dxa"/>
            <w:gridSpan w:val="7"/>
            <w:tcBorders>
              <w:top w:val="single" w:color="000000" w:sz="6" w:space="0"/>
              <w:left w:val="single" w:color="000000" w:sz="6" w:space="0"/>
              <w:bottom w:val="single" w:color="000000" w:sz="6" w:space="0"/>
              <w:right w:val="single" w:color="000000" w:sz="6" w:space="0"/>
            </w:tcBorders>
            <w:vAlign w:val="center"/>
          </w:tcPr>
          <w:p w14:paraId="4E19F5E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三级</w:t>
            </w:r>
            <w:r>
              <w:rPr>
                <w:rFonts w:hint="eastAsia" w:eastAsia="宋体"/>
                <w:color w:val="auto"/>
                <w:spacing w:val="0"/>
                <w:w w:val="100"/>
                <w:kern w:val="0"/>
                <w:position w:val="0"/>
                <w:sz w:val="21"/>
                <w:szCs w:val="21"/>
                <w:highlight w:val="none"/>
                <w:lang w:eastAsia="zh-CN"/>
              </w:rPr>
              <w:t>☑</w:t>
            </w:r>
          </w:p>
        </w:tc>
        <w:tc>
          <w:tcPr>
            <w:tcW w:w="1464" w:type="dxa"/>
            <w:gridSpan w:val="3"/>
            <w:tcBorders>
              <w:top w:val="single" w:color="000000" w:sz="6" w:space="0"/>
              <w:left w:val="single" w:color="000000" w:sz="6" w:space="0"/>
              <w:bottom w:val="single" w:color="000000" w:sz="6" w:space="0"/>
            </w:tcBorders>
            <w:vAlign w:val="center"/>
          </w:tcPr>
          <w:p w14:paraId="06DED9FA">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简单分析</w:t>
            </w:r>
            <w:r>
              <w:rPr>
                <w:rFonts w:hint="eastAsia" w:eastAsia="宋体"/>
                <w:color w:val="auto"/>
                <w:spacing w:val="0"/>
                <w:w w:val="100"/>
                <w:kern w:val="0"/>
                <w:position w:val="0"/>
                <w:sz w:val="21"/>
                <w:szCs w:val="21"/>
                <w:highlight w:val="none"/>
                <w:lang w:eastAsia="zh-CN"/>
              </w:rPr>
              <w:t>□</w:t>
            </w:r>
          </w:p>
        </w:tc>
      </w:tr>
      <w:tr w14:paraId="1EFF42D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restart"/>
            <w:tcBorders>
              <w:top w:val="single" w:color="000000" w:sz="6" w:space="0"/>
              <w:bottom w:val="single" w:color="000000" w:sz="6" w:space="0"/>
              <w:right w:val="single" w:color="000000" w:sz="6" w:space="0"/>
            </w:tcBorders>
            <w:vAlign w:val="center"/>
          </w:tcPr>
          <w:p w14:paraId="173F374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风险识别</w:t>
            </w:r>
          </w:p>
        </w:tc>
        <w:tc>
          <w:tcPr>
            <w:tcW w:w="897" w:type="dxa"/>
            <w:gridSpan w:val="2"/>
            <w:tcBorders>
              <w:top w:val="single" w:color="000000" w:sz="6" w:space="0"/>
              <w:left w:val="single" w:color="000000" w:sz="6" w:space="0"/>
              <w:bottom w:val="single" w:color="000000" w:sz="6" w:space="0"/>
              <w:right w:val="single" w:color="000000" w:sz="6" w:space="0"/>
            </w:tcBorders>
            <w:vAlign w:val="center"/>
          </w:tcPr>
          <w:p w14:paraId="6A1ECAD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物质危险</w:t>
            </w:r>
          </w:p>
          <w:p w14:paraId="37442CA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性</w:t>
            </w:r>
          </w:p>
        </w:tc>
        <w:tc>
          <w:tcPr>
            <w:tcW w:w="2891" w:type="dxa"/>
            <w:gridSpan w:val="5"/>
            <w:tcBorders>
              <w:top w:val="single" w:color="000000" w:sz="6" w:space="0"/>
              <w:left w:val="single" w:color="000000" w:sz="6" w:space="0"/>
              <w:bottom w:val="single" w:color="000000" w:sz="6" w:space="0"/>
              <w:right w:val="single" w:color="000000" w:sz="6" w:space="0"/>
            </w:tcBorders>
            <w:vAlign w:val="center"/>
          </w:tcPr>
          <w:p w14:paraId="22B5122F">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有毒有害</w:t>
            </w:r>
            <w:r>
              <w:rPr>
                <w:rFonts w:hint="eastAsia" w:eastAsia="宋体"/>
                <w:color w:val="auto"/>
                <w:spacing w:val="0"/>
                <w:w w:val="100"/>
                <w:kern w:val="0"/>
                <w:position w:val="0"/>
                <w:sz w:val="21"/>
                <w:szCs w:val="21"/>
                <w:highlight w:val="none"/>
                <w:lang w:eastAsia="zh-CN"/>
              </w:rPr>
              <w:t>☑</w:t>
            </w:r>
          </w:p>
        </w:tc>
        <w:tc>
          <w:tcPr>
            <w:tcW w:w="4170" w:type="dxa"/>
            <w:gridSpan w:val="14"/>
            <w:tcBorders>
              <w:top w:val="single" w:color="000000" w:sz="6" w:space="0"/>
              <w:left w:val="single" w:color="000000" w:sz="6" w:space="0"/>
              <w:bottom w:val="single" w:color="000000" w:sz="6" w:space="0"/>
            </w:tcBorders>
            <w:vAlign w:val="center"/>
          </w:tcPr>
          <w:p w14:paraId="50B7012B">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易燃易爆</w:t>
            </w:r>
            <w:r>
              <w:rPr>
                <w:rFonts w:hint="eastAsia" w:eastAsia="宋体"/>
                <w:color w:val="auto"/>
                <w:spacing w:val="0"/>
                <w:w w:val="100"/>
                <w:kern w:val="0"/>
                <w:position w:val="0"/>
                <w:sz w:val="21"/>
                <w:szCs w:val="21"/>
                <w:highlight w:val="none"/>
                <w:lang w:eastAsia="zh-CN"/>
              </w:rPr>
              <w:t>☑</w:t>
            </w:r>
          </w:p>
        </w:tc>
      </w:tr>
      <w:tr w14:paraId="468BC0E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continue"/>
            <w:tcBorders>
              <w:top w:val="single" w:color="000000" w:sz="6" w:space="0"/>
              <w:bottom w:val="single" w:color="000000" w:sz="6" w:space="0"/>
              <w:right w:val="single" w:color="000000" w:sz="6" w:space="0"/>
            </w:tcBorders>
            <w:vAlign w:val="center"/>
          </w:tcPr>
          <w:p w14:paraId="629E4220">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tcBorders>
              <w:top w:val="single" w:color="000000" w:sz="6" w:space="0"/>
              <w:left w:val="single" w:color="000000" w:sz="6" w:space="0"/>
              <w:bottom w:val="single" w:color="000000" w:sz="6" w:space="0"/>
              <w:right w:val="single" w:color="000000" w:sz="6" w:space="0"/>
            </w:tcBorders>
            <w:vAlign w:val="center"/>
          </w:tcPr>
          <w:p w14:paraId="13478D2F">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环境风险</w:t>
            </w:r>
          </w:p>
          <w:p w14:paraId="27FEB90E">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类型</w:t>
            </w:r>
          </w:p>
        </w:tc>
        <w:tc>
          <w:tcPr>
            <w:tcW w:w="2891" w:type="dxa"/>
            <w:gridSpan w:val="5"/>
            <w:tcBorders>
              <w:top w:val="single" w:color="000000" w:sz="6" w:space="0"/>
              <w:left w:val="single" w:color="000000" w:sz="6" w:space="0"/>
              <w:bottom w:val="single" w:color="000000" w:sz="6" w:space="0"/>
              <w:right w:val="single" w:color="000000" w:sz="6" w:space="0"/>
            </w:tcBorders>
            <w:vAlign w:val="center"/>
          </w:tcPr>
          <w:p w14:paraId="04329E8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泄漏</w:t>
            </w:r>
            <w:r>
              <w:rPr>
                <w:rFonts w:hint="eastAsia" w:eastAsia="宋体"/>
                <w:color w:val="auto"/>
                <w:spacing w:val="0"/>
                <w:w w:val="100"/>
                <w:kern w:val="0"/>
                <w:position w:val="0"/>
                <w:sz w:val="21"/>
                <w:szCs w:val="21"/>
                <w:highlight w:val="none"/>
                <w:lang w:eastAsia="zh-CN"/>
              </w:rPr>
              <w:t>☑</w:t>
            </w:r>
          </w:p>
        </w:tc>
        <w:tc>
          <w:tcPr>
            <w:tcW w:w="4170" w:type="dxa"/>
            <w:gridSpan w:val="14"/>
            <w:tcBorders>
              <w:top w:val="single" w:color="000000" w:sz="6" w:space="0"/>
              <w:left w:val="single" w:color="000000" w:sz="6" w:space="0"/>
              <w:bottom w:val="single" w:color="000000" w:sz="6" w:space="0"/>
            </w:tcBorders>
            <w:vAlign w:val="center"/>
          </w:tcPr>
          <w:p w14:paraId="6D5C9FA2">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火灾、爆炸引发伴生</w:t>
            </w:r>
            <w:r>
              <w:rPr>
                <w:rFonts w:ascii="Times New Roman" w:hAnsi="Times New Roman" w:eastAsia="宋体" w:cs="Times New Roman"/>
                <w:snapToGrid/>
                <w:color w:val="auto"/>
                <w:kern w:val="2"/>
                <w:sz w:val="21"/>
                <w:szCs w:val="22"/>
                <w:highlight w:val="none"/>
                <w:lang w:val="en-US" w:eastAsia="zh-CN" w:bidi="ar-SA"/>
              </w:rPr>
              <w:t>/</w:t>
            </w:r>
            <w:r>
              <w:rPr>
                <w:rFonts w:hint="eastAsia" w:ascii="Times New Roman" w:hAnsi="Times New Roman" w:eastAsia="宋体" w:cs="Times New Roman"/>
                <w:snapToGrid/>
                <w:color w:val="auto"/>
                <w:kern w:val="2"/>
                <w:sz w:val="21"/>
                <w:szCs w:val="22"/>
                <w:highlight w:val="none"/>
                <w:lang w:val="en-US" w:eastAsia="zh-CN" w:bidi="ar-SA"/>
              </w:rPr>
              <w:t>次生污染物排放√</w:t>
            </w:r>
          </w:p>
        </w:tc>
      </w:tr>
      <w:tr w14:paraId="5EDF7BB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82" w:type="dxa"/>
            <w:vMerge w:val="continue"/>
            <w:tcBorders>
              <w:top w:val="single" w:color="000000" w:sz="6" w:space="0"/>
              <w:bottom w:val="single" w:color="000000" w:sz="6" w:space="0"/>
              <w:right w:val="single" w:color="000000" w:sz="6" w:space="0"/>
            </w:tcBorders>
            <w:vAlign w:val="center"/>
          </w:tcPr>
          <w:p w14:paraId="45809716">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897" w:type="dxa"/>
            <w:gridSpan w:val="2"/>
            <w:tcBorders>
              <w:top w:val="single" w:color="000000" w:sz="6" w:space="0"/>
              <w:left w:val="single" w:color="000000" w:sz="6" w:space="0"/>
              <w:bottom w:val="single" w:color="000000" w:sz="6" w:space="0"/>
              <w:right w:val="single" w:color="000000" w:sz="6" w:space="0"/>
            </w:tcBorders>
            <w:vAlign w:val="center"/>
          </w:tcPr>
          <w:p w14:paraId="1259AED4">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影响途径</w:t>
            </w:r>
          </w:p>
        </w:tc>
        <w:tc>
          <w:tcPr>
            <w:tcW w:w="2891" w:type="dxa"/>
            <w:gridSpan w:val="5"/>
            <w:tcBorders>
              <w:top w:val="single" w:color="000000" w:sz="6" w:space="0"/>
              <w:left w:val="single" w:color="000000" w:sz="6" w:space="0"/>
              <w:bottom w:val="single" w:color="000000" w:sz="6" w:space="0"/>
              <w:right w:val="single" w:color="000000" w:sz="6" w:space="0"/>
            </w:tcBorders>
            <w:vAlign w:val="center"/>
          </w:tcPr>
          <w:p w14:paraId="2F3555BE">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大气</w:t>
            </w:r>
            <w:r>
              <w:rPr>
                <w:rFonts w:hint="eastAsia" w:eastAsia="宋体"/>
                <w:color w:val="auto"/>
                <w:spacing w:val="0"/>
                <w:w w:val="100"/>
                <w:kern w:val="0"/>
                <w:position w:val="0"/>
                <w:sz w:val="21"/>
                <w:szCs w:val="21"/>
                <w:highlight w:val="none"/>
                <w:lang w:eastAsia="zh-CN"/>
              </w:rPr>
              <w:t>☑</w:t>
            </w:r>
          </w:p>
        </w:tc>
        <w:tc>
          <w:tcPr>
            <w:tcW w:w="1831" w:type="dxa"/>
            <w:gridSpan w:val="6"/>
            <w:tcBorders>
              <w:top w:val="single" w:color="000000" w:sz="6" w:space="0"/>
              <w:left w:val="single" w:color="000000" w:sz="6" w:space="0"/>
              <w:bottom w:val="single" w:color="000000" w:sz="6" w:space="0"/>
              <w:right w:val="single" w:color="000000" w:sz="6" w:space="0"/>
            </w:tcBorders>
            <w:vAlign w:val="center"/>
          </w:tcPr>
          <w:p w14:paraId="70FA3760">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地表水</w:t>
            </w:r>
            <w:r>
              <w:rPr>
                <w:rFonts w:hint="eastAsia" w:eastAsia="宋体"/>
                <w:color w:val="auto"/>
                <w:spacing w:val="0"/>
                <w:w w:val="100"/>
                <w:kern w:val="0"/>
                <w:position w:val="0"/>
                <w:sz w:val="21"/>
                <w:szCs w:val="21"/>
                <w:highlight w:val="none"/>
                <w:lang w:eastAsia="zh-CN"/>
              </w:rPr>
              <w:t>☑</w:t>
            </w:r>
          </w:p>
        </w:tc>
        <w:tc>
          <w:tcPr>
            <w:tcW w:w="2339" w:type="dxa"/>
            <w:gridSpan w:val="8"/>
            <w:tcBorders>
              <w:top w:val="single" w:color="000000" w:sz="6" w:space="0"/>
              <w:left w:val="single" w:color="000000" w:sz="6" w:space="0"/>
              <w:bottom w:val="single" w:color="000000" w:sz="6" w:space="0"/>
            </w:tcBorders>
            <w:vAlign w:val="center"/>
          </w:tcPr>
          <w:p w14:paraId="0FC5911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地下水</w:t>
            </w:r>
            <w:r>
              <w:rPr>
                <w:rFonts w:hint="eastAsia" w:eastAsia="宋体"/>
                <w:color w:val="auto"/>
                <w:spacing w:val="0"/>
                <w:w w:val="100"/>
                <w:kern w:val="0"/>
                <w:position w:val="0"/>
                <w:sz w:val="21"/>
                <w:szCs w:val="21"/>
                <w:highlight w:val="none"/>
                <w:lang w:eastAsia="zh-CN"/>
              </w:rPr>
              <w:t>☑</w:t>
            </w:r>
          </w:p>
        </w:tc>
      </w:tr>
      <w:tr w14:paraId="586F409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tcBorders>
              <w:top w:val="single" w:color="000000" w:sz="6" w:space="0"/>
              <w:bottom w:val="single" w:color="000000" w:sz="6" w:space="0"/>
              <w:right w:val="single" w:color="000000" w:sz="6" w:space="0"/>
            </w:tcBorders>
            <w:vAlign w:val="center"/>
          </w:tcPr>
          <w:p w14:paraId="1B5A58FF">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事故情形分析</w:t>
            </w:r>
          </w:p>
        </w:tc>
        <w:tc>
          <w:tcPr>
            <w:tcW w:w="1126" w:type="dxa"/>
            <w:tcBorders>
              <w:top w:val="single" w:color="000000" w:sz="6" w:space="0"/>
              <w:left w:val="single" w:color="000000" w:sz="6" w:space="0"/>
              <w:bottom w:val="single" w:color="000000" w:sz="6" w:space="0"/>
              <w:right w:val="single" w:color="000000" w:sz="6" w:space="0"/>
            </w:tcBorders>
            <w:vAlign w:val="center"/>
          </w:tcPr>
          <w:p w14:paraId="6A3735A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源强设定方法</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2AB43A57">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计算法</w:t>
            </w:r>
            <w:r>
              <w:rPr>
                <w:rFonts w:hint="eastAsia" w:eastAsia="宋体"/>
                <w:color w:val="auto"/>
                <w:spacing w:val="0"/>
                <w:w w:val="100"/>
                <w:kern w:val="0"/>
                <w:position w:val="0"/>
                <w:sz w:val="21"/>
                <w:szCs w:val="21"/>
                <w:highlight w:val="none"/>
                <w:lang w:eastAsia="zh-CN"/>
              </w:rPr>
              <w:t>□</w:t>
            </w:r>
          </w:p>
        </w:tc>
        <w:tc>
          <w:tcPr>
            <w:tcW w:w="2153" w:type="dxa"/>
            <w:gridSpan w:val="8"/>
            <w:tcBorders>
              <w:top w:val="single" w:color="000000" w:sz="6" w:space="0"/>
              <w:left w:val="single" w:color="000000" w:sz="6" w:space="0"/>
              <w:bottom w:val="single" w:color="000000" w:sz="6" w:space="0"/>
              <w:right w:val="single" w:color="000000" w:sz="6" w:space="0"/>
            </w:tcBorders>
            <w:vAlign w:val="center"/>
          </w:tcPr>
          <w:p w14:paraId="14DA4C3E">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经验估算法</w:t>
            </w:r>
            <w:r>
              <w:rPr>
                <w:rFonts w:hint="eastAsia" w:eastAsia="宋体"/>
                <w:color w:val="auto"/>
                <w:spacing w:val="0"/>
                <w:w w:val="100"/>
                <w:kern w:val="0"/>
                <w:position w:val="0"/>
                <w:sz w:val="21"/>
                <w:szCs w:val="21"/>
                <w:highlight w:val="none"/>
                <w:lang w:eastAsia="zh-CN"/>
              </w:rPr>
              <w:t>□</w:t>
            </w:r>
          </w:p>
        </w:tc>
        <w:tc>
          <w:tcPr>
            <w:tcW w:w="2017" w:type="dxa"/>
            <w:gridSpan w:val="6"/>
            <w:tcBorders>
              <w:top w:val="single" w:color="000000" w:sz="6" w:space="0"/>
              <w:left w:val="single" w:color="000000" w:sz="6" w:space="0"/>
              <w:bottom w:val="single" w:color="000000" w:sz="6" w:space="0"/>
            </w:tcBorders>
            <w:vAlign w:val="center"/>
          </w:tcPr>
          <w:p w14:paraId="4968D32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其他估算法</w:t>
            </w:r>
            <w:r>
              <w:rPr>
                <w:rFonts w:hint="eastAsia" w:eastAsia="宋体"/>
                <w:color w:val="auto"/>
                <w:spacing w:val="0"/>
                <w:w w:val="100"/>
                <w:kern w:val="0"/>
                <w:position w:val="0"/>
                <w:sz w:val="21"/>
                <w:szCs w:val="21"/>
                <w:highlight w:val="none"/>
                <w:lang w:eastAsia="zh-CN"/>
              </w:rPr>
              <w:t>□</w:t>
            </w:r>
          </w:p>
        </w:tc>
      </w:tr>
      <w:tr w14:paraId="1E3C918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84" w:type="dxa"/>
            <w:gridSpan w:val="2"/>
            <w:vMerge w:val="restart"/>
            <w:tcBorders>
              <w:top w:val="single" w:color="000000" w:sz="6" w:space="0"/>
              <w:bottom w:val="single" w:color="000000" w:sz="6" w:space="0"/>
              <w:right w:val="single" w:color="000000" w:sz="6" w:space="0"/>
            </w:tcBorders>
            <w:vAlign w:val="center"/>
          </w:tcPr>
          <w:p w14:paraId="44B421CF">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风险</w:t>
            </w:r>
          </w:p>
          <w:p w14:paraId="1F0F8654">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预测</w:t>
            </w:r>
          </w:p>
          <w:p w14:paraId="065EA612">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与评</w:t>
            </w:r>
          </w:p>
          <w:p w14:paraId="424A9C18">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价</w:t>
            </w:r>
          </w:p>
        </w:tc>
        <w:tc>
          <w:tcPr>
            <w:tcW w:w="695" w:type="dxa"/>
            <w:vMerge w:val="restart"/>
            <w:tcBorders>
              <w:top w:val="single" w:color="000000" w:sz="6" w:space="0"/>
              <w:left w:val="single" w:color="000000" w:sz="6" w:space="0"/>
              <w:bottom w:val="single" w:color="000000" w:sz="6" w:space="0"/>
              <w:right w:val="single" w:color="000000" w:sz="6" w:space="0"/>
            </w:tcBorders>
            <w:vAlign w:val="center"/>
          </w:tcPr>
          <w:p w14:paraId="1B240287">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大气</w:t>
            </w:r>
          </w:p>
        </w:tc>
        <w:tc>
          <w:tcPr>
            <w:tcW w:w="1126" w:type="dxa"/>
            <w:tcBorders>
              <w:top w:val="single" w:color="000000" w:sz="6" w:space="0"/>
              <w:left w:val="single" w:color="000000" w:sz="6" w:space="0"/>
              <w:bottom w:val="single" w:color="000000" w:sz="6" w:space="0"/>
              <w:right w:val="single" w:color="000000" w:sz="6" w:space="0"/>
            </w:tcBorders>
            <w:vAlign w:val="center"/>
          </w:tcPr>
          <w:p w14:paraId="296186BB">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预测模型</w:t>
            </w:r>
          </w:p>
        </w:tc>
        <w:tc>
          <w:tcPr>
            <w:tcW w:w="1765" w:type="dxa"/>
            <w:gridSpan w:val="4"/>
            <w:tcBorders>
              <w:top w:val="single" w:color="000000" w:sz="6" w:space="0"/>
              <w:left w:val="single" w:color="000000" w:sz="6" w:space="0"/>
              <w:bottom w:val="single" w:color="000000" w:sz="6" w:space="0"/>
              <w:right w:val="single" w:color="000000" w:sz="6" w:space="0"/>
            </w:tcBorders>
            <w:vAlign w:val="center"/>
          </w:tcPr>
          <w:p w14:paraId="6F2D4575">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SLAB</w:t>
            </w:r>
            <w:r>
              <w:rPr>
                <w:rFonts w:hint="eastAsia" w:eastAsia="宋体"/>
                <w:color w:val="auto"/>
                <w:spacing w:val="0"/>
                <w:w w:val="100"/>
                <w:kern w:val="0"/>
                <w:position w:val="0"/>
                <w:sz w:val="21"/>
                <w:szCs w:val="21"/>
                <w:highlight w:val="none"/>
                <w:lang w:eastAsia="zh-CN"/>
              </w:rPr>
              <w:t>□</w:t>
            </w:r>
          </w:p>
        </w:tc>
        <w:tc>
          <w:tcPr>
            <w:tcW w:w="2153" w:type="dxa"/>
            <w:gridSpan w:val="8"/>
            <w:tcBorders>
              <w:top w:val="single" w:color="000000" w:sz="6" w:space="0"/>
              <w:left w:val="single" w:color="000000" w:sz="6" w:space="0"/>
              <w:bottom w:val="single" w:color="000000" w:sz="6" w:space="0"/>
              <w:right w:val="single" w:color="000000" w:sz="6" w:space="0"/>
            </w:tcBorders>
            <w:vAlign w:val="center"/>
          </w:tcPr>
          <w:p w14:paraId="21B32087">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ascii="Times New Roman" w:hAnsi="Times New Roman" w:eastAsia="宋体" w:cs="Times New Roman"/>
                <w:snapToGrid/>
                <w:color w:val="auto"/>
                <w:kern w:val="2"/>
                <w:sz w:val="21"/>
                <w:szCs w:val="22"/>
                <w:highlight w:val="none"/>
                <w:lang w:val="en-US" w:eastAsia="zh-CN" w:bidi="ar-SA"/>
              </w:rPr>
              <w:t>AFTOX</w:t>
            </w:r>
            <w:r>
              <w:rPr>
                <w:rFonts w:hint="eastAsia" w:eastAsia="宋体"/>
                <w:color w:val="auto"/>
                <w:spacing w:val="0"/>
                <w:w w:val="100"/>
                <w:kern w:val="0"/>
                <w:position w:val="0"/>
                <w:sz w:val="21"/>
                <w:szCs w:val="21"/>
                <w:highlight w:val="none"/>
                <w:lang w:eastAsia="zh-CN"/>
              </w:rPr>
              <w:t>□</w:t>
            </w:r>
          </w:p>
        </w:tc>
        <w:tc>
          <w:tcPr>
            <w:tcW w:w="2017" w:type="dxa"/>
            <w:gridSpan w:val="6"/>
            <w:tcBorders>
              <w:top w:val="single" w:color="000000" w:sz="6" w:space="0"/>
              <w:left w:val="single" w:color="000000" w:sz="6" w:space="0"/>
              <w:bottom w:val="single" w:color="000000" w:sz="6" w:space="0"/>
            </w:tcBorders>
            <w:vAlign w:val="center"/>
          </w:tcPr>
          <w:p w14:paraId="48523ECE">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其他</w:t>
            </w:r>
            <w:r>
              <w:rPr>
                <w:rFonts w:hint="eastAsia" w:eastAsia="宋体"/>
                <w:color w:val="auto"/>
                <w:spacing w:val="0"/>
                <w:w w:val="100"/>
                <w:kern w:val="0"/>
                <w:position w:val="0"/>
                <w:sz w:val="21"/>
                <w:szCs w:val="21"/>
                <w:highlight w:val="none"/>
                <w:lang w:eastAsia="zh-CN"/>
              </w:rPr>
              <w:t>□</w:t>
            </w:r>
          </w:p>
        </w:tc>
      </w:tr>
      <w:tr w14:paraId="2D9FF8C8">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84" w:type="dxa"/>
            <w:gridSpan w:val="2"/>
            <w:vMerge w:val="continue"/>
            <w:tcBorders>
              <w:top w:val="single" w:color="000000" w:sz="6" w:space="0"/>
              <w:bottom w:val="single" w:color="000000" w:sz="6" w:space="0"/>
              <w:right w:val="single" w:color="000000" w:sz="6" w:space="0"/>
            </w:tcBorders>
            <w:vAlign w:val="center"/>
          </w:tcPr>
          <w:p w14:paraId="3FB939EF">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695" w:type="dxa"/>
            <w:vMerge w:val="continue"/>
            <w:tcBorders>
              <w:top w:val="single" w:color="000000" w:sz="6" w:space="0"/>
              <w:left w:val="single" w:color="000000" w:sz="6" w:space="0"/>
              <w:bottom w:val="single" w:color="000000" w:sz="6" w:space="0"/>
              <w:right w:val="single" w:color="000000" w:sz="6" w:space="0"/>
            </w:tcBorders>
            <w:vAlign w:val="center"/>
          </w:tcPr>
          <w:p w14:paraId="41F9E56B">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vMerge w:val="restart"/>
            <w:tcBorders>
              <w:top w:val="single" w:color="000000" w:sz="6" w:space="0"/>
              <w:left w:val="single" w:color="000000" w:sz="6" w:space="0"/>
              <w:bottom w:val="single" w:color="000000" w:sz="6" w:space="0"/>
              <w:right w:val="single" w:color="000000" w:sz="6" w:space="0"/>
            </w:tcBorders>
            <w:vAlign w:val="center"/>
          </w:tcPr>
          <w:p w14:paraId="64877BAF">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预测结果</w:t>
            </w:r>
          </w:p>
        </w:tc>
        <w:tc>
          <w:tcPr>
            <w:tcW w:w="5935" w:type="dxa"/>
            <w:gridSpan w:val="18"/>
            <w:tcBorders>
              <w:top w:val="single" w:color="000000" w:sz="6" w:space="0"/>
              <w:left w:val="single" w:color="000000" w:sz="6" w:space="0"/>
              <w:bottom w:val="single" w:color="000000" w:sz="6" w:space="0"/>
            </w:tcBorders>
            <w:vAlign w:val="center"/>
          </w:tcPr>
          <w:p w14:paraId="4AFAC38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大气毒性终点浓度</w:t>
            </w:r>
            <w:r>
              <w:rPr>
                <w:rFonts w:ascii="Times New Roman" w:hAnsi="Times New Roman" w:eastAsia="宋体" w:cs="Times New Roman"/>
                <w:snapToGrid/>
                <w:color w:val="auto"/>
                <w:kern w:val="2"/>
                <w:sz w:val="21"/>
                <w:szCs w:val="22"/>
                <w:highlight w:val="none"/>
                <w:lang w:val="en-US" w:eastAsia="zh-CN" w:bidi="ar-SA"/>
              </w:rPr>
              <w:t>-1</w:t>
            </w:r>
            <w:r>
              <w:rPr>
                <w:rFonts w:hint="eastAsia" w:ascii="Times New Roman" w:hAnsi="Times New Roman" w:eastAsia="宋体" w:cs="Times New Roman"/>
                <w:snapToGrid/>
                <w:color w:val="auto"/>
                <w:kern w:val="2"/>
                <w:sz w:val="21"/>
                <w:szCs w:val="22"/>
                <w:highlight w:val="none"/>
                <w:lang w:val="en-US" w:eastAsia="zh-CN" w:bidi="ar-SA"/>
              </w:rPr>
              <w:t xml:space="preserve">最大影响范围  </w:t>
            </w:r>
            <w:r>
              <w:rPr>
                <w:rFonts w:ascii="Times New Roman" w:hAnsi="Times New Roman" w:eastAsia="宋体" w:cs="Times New Roman"/>
                <w:snapToGrid/>
                <w:color w:val="auto"/>
                <w:kern w:val="2"/>
                <w:sz w:val="21"/>
                <w:szCs w:val="22"/>
                <w:highlight w:val="none"/>
                <w:lang w:val="en-US" w:eastAsia="zh-CN" w:bidi="ar-SA"/>
              </w:rPr>
              <w:t>m</w:t>
            </w:r>
          </w:p>
        </w:tc>
      </w:tr>
      <w:tr w14:paraId="6DADCC9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84" w:type="dxa"/>
            <w:gridSpan w:val="2"/>
            <w:vMerge w:val="continue"/>
            <w:tcBorders>
              <w:top w:val="single" w:color="000000" w:sz="6" w:space="0"/>
              <w:bottom w:val="single" w:color="000000" w:sz="6" w:space="0"/>
              <w:right w:val="single" w:color="000000" w:sz="6" w:space="0"/>
            </w:tcBorders>
            <w:vAlign w:val="center"/>
          </w:tcPr>
          <w:p w14:paraId="07459C6E">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695" w:type="dxa"/>
            <w:vMerge w:val="continue"/>
            <w:tcBorders>
              <w:top w:val="single" w:color="000000" w:sz="6" w:space="0"/>
              <w:left w:val="single" w:color="000000" w:sz="6" w:space="0"/>
              <w:bottom w:val="single" w:color="000000" w:sz="6" w:space="0"/>
              <w:right w:val="single" w:color="000000" w:sz="6" w:space="0"/>
            </w:tcBorders>
            <w:vAlign w:val="center"/>
          </w:tcPr>
          <w:p w14:paraId="5782C88F">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1126" w:type="dxa"/>
            <w:vMerge w:val="continue"/>
            <w:tcBorders>
              <w:top w:val="single" w:color="000000" w:sz="6" w:space="0"/>
              <w:left w:val="single" w:color="000000" w:sz="6" w:space="0"/>
              <w:bottom w:val="single" w:color="000000" w:sz="6" w:space="0"/>
              <w:right w:val="single" w:color="000000" w:sz="6" w:space="0"/>
            </w:tcBorders>
            <w:vAlign w:val="center"/>
          </w:tcPr>
          <w:p w14:paraId="4C30481B">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5935" w:type="dxa"/>
            <w:gridSpan w:val="18"/>
            <w:tcBorders>
              <w:top w:val="single" w:color="000000" w:sz="6" w:space="0"/>
              <w:left w:val="single" w:color="000000" w:sz="6" w:space="0"/>
              <w:bottom w:val="single" w:color="000000" w:sz="6" w:space="0"/>
            </w:tcBorders>
            <w:vAlign w:val="center"/>
          </w:tcPr>
          <w:p w14:paraId="7467EB46">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大气毒性终点浓度</w:t>
            </w:r>
            <w:r>
              <w:rPr>
                <w:rFonts w:ascii="Times New Roman" w:hAnsi="Times New Roman" w:eastAsia="宋体" w:cs="Times New Roman"/>
                <w:snapToGrid/>
                <w:color w:val="auto"/>
                <w:kern w:val="2"/>
                <w:sz w:val="21"/>
                <w:szCs w:val="22"/>
                <w:highlight w:val="none"/>
                <w:lang w:val="en-US" w:eastAsia="zh-CN" w:bidi="ar-SA"/>
              </w:rPr>
              <w:t>-2</w:t>
            </w:r>
            <w:r>
              <w:rPr>
                <w:rFonts w:hint="eastAsia" w:ascii="Times New Roman" w:hAnsi="Times New Roman" w:eastAsia="宋体" w:cs="Times New Roman"/>
                <w:snapToGrid/>
                <w:color w:val="auto"/>
                <w:kern w:val="2"/>
                <w:sz w:val="21"/>
                <w:szCs w:val="22"/>
                <w:highlight w:val="none"/>
                <w:lang w:val="en-US" w:eastAsia="zh-CN" w:bidi="ar-SA"/>
              </w:rPr>
              <w:t xml:space="preserve">最大影响范围  </w:t>
            </w:r>
            <w:r>
              <w:rPr>
                <w:rFonts w:ascii="Times New Roman" w:hAnsi="Times New Roman" w:eastAsia="宋体" w:cs="Times New Roman"/>
                <w:snapToGrid/>
                <w:color w:val="auto"/>
                <w:kern w:val="2"/>
                <w:sz w:val="21"/>
                <w:szCs w:val="22"/>
                <w:highlight w:val="none"/>
                <w:lang w:val="en-US" w:eastAsia="zh-CN" w:bidi="ar-SA"/>
              </w:rPr>
              <w:t>m</w:t>
            </w:r>
          </w:p>
        </w:tc>
      </w:tr>
      <w:tr w14:paraId="5077AD9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84" w:type="dxa"/>
            <w:gridSpan w:val="2"/>
            <w:vMerge w:val="continue"/>
            <w:tcBorders>
              <w:top w:val="single" w:color="000000" w:sz="6" w:space="0"/>
              <w:bottom w:val="single" w:color="000000" w:sz="6" w:space="0"/>
              <w:right w:val="single" w:color="000000" w:sz="6" w:space="0"/>
            </w:tcBorders>
            <w:vAlign w:val="center"/>
          </w:tcPr>
          <w:p w14:paraId="23848E9E">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695" w:type="dxa"/>
            <w:tcBorders>
              <w:top w:val="single" w:color="000000" w:sz="6" w:space="0"/>
              <w:left w:val="single" w:color="000000" w:sz="6" w:space="0"/>
              <w:bottom w:val="single" w:color="000000" w:sz="6" w:space="0"/>
              <w:right w:val="single" w:color="000000" w:sz="6" w:space="0"/>
            </w:tcBorders>
            <w:vAlign w:val="center"/>
          </w:tcPr>
          <w:p w14:paraId="16EBA053">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地表水</w:t>
            </w:r>
          </w:p>
        </w:tc>
        <w:tc>
          <w:tcPr>
            <w:tcW w:w="7061" w:type="dxa"/>
            <w:gridSpan w:val="19"/>
            <w:tcBorders>
              <w:top w:val="single" w:color="000000" w:sz="6" w:space="0"/>
              <w:left w:val="single" w:color="000000" w:sz="6" w:space="0"/>
              <w:bottom w:val="single" w:color="000000" w:sz="6" w:space="0"/>
            </w:tcBorders>
            <w:vAlign w:val="center"/>
          </w:tcPr>
          <w:p w14:paraId="1DB5B7CB">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最近环境敏感目标：无；到达时间：无。</w:t>
            </w:r>
          </w:p>
        </w:tc>
      </w:tr>
      <w:tr w14:paraId="19A946C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84" w:type="dxa"/>
            <w:gridSpan w:val="2"/>
            <w:vMerge w:val="continue"/>
            <w:tcBorders>
              <w:top w:val="single" w:color="000000" w:sz="6" w:space="0"/>
              <w:bottom w:val="single" w:color="000000" w:sz="6" w:space="0"/>
              <w:right w:val="single" w:color="000000" w:sz="6" w:space="0"/>
            </w:tcBorders>
            <w:vAlign w:val="center"/>
          </w:tcPr>
          <w:p w14:paraId="6B5B42FA">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695" w:type="dxa"/>
            <w:vMerge w:val="restart"/>
            <w:tcBorders>
              <w:top w:val="single" w:color="000000" w:sz="6" w:space="0"/>
              <w:left w:val="single" w:color="000000" w:sz="6" w:space="0"/>
              <w:bottom w:val="single" w:color="000000" w:sz="6" w:space="0"/>
              <w:right w:val="single" w:color="000000" w:sz="6" w:space="0"/>
            </w:tcBorders>
            <w:vAlign w:val="center"/>
          </w:tcPr>
          <w:p w14:paraId="6E404BA4">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地下水</w:t>
            </w:r>
          </w:p>
        </w:tc>
        <w:tc>
          <w:tcPr>
            <w:tcW w:w="7061" w:type="dxa"/>
            <w:gridSpan w:val="19"/>
            <w:tcBorders>
              <w:top w:val="single" w:color="000000" w:sz="6" w:space="0"/>
              <w:left w:val="single" w:color="000000" w:sz="6" w:space="0"/>
              <w:bottom w:val="single" w:color="000000" w:sz="6" w:space="0"/>
            </w:tcBorders>
            <w:vAlign w:val="center"/>
          </w:tcPr>
          <w:p w14:paraId="79068E2A">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下游厂区边界到达时间：无</w:t>
            </w:r>
          </w:p>
        </w:tc>
      </w:tr>
      <w:tr w14:paraId="062FE50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84" w:type="dxa"/>
            <w:gridSpan w:val="2"/>
            <w:vMerge w:val="continue"/>
            <w:tcBorders>
              <w:top w:val="single" w:color="000000" w:sz="6" w:space="0"/>
              <w:bottom w:val="single" w:color="000000" w:sz="6" w:space="0"/>
              <w:right w:val="single" w:color="000000" w:sz="6" w:space="0"/>
            </w:tcBorders>
            <w:vAlign w:val="center"/>
          </w:tcPr>
          <w:p w14:paraId="490E66D8">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695" w:type="dxa"/>
            <w:vMerge w:val="continue"/>
            <w:tcBorders>
              <w:top w:val="single" w:color="000000" w:sz="6" w:space="0"/>
              <w:left w:val="single" w:color="000000" w:sz="6" w:space="0"/>
              <w:bottom w:val="single" w:color="000000" w:sz="6" w:space="0"/>
              <w:right w:val="single" w:color="000000" w:sz="6" w:space="0"/>
            </w:tcBorders>
            <w:vAlign w:val="center"/>
          </w:tcPr>
          <w:p w14:paraId="72616614">
            <w:pPr>
              <w:widowControl/>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p>
        </w:tc>
        <w:tc>
          <w:tcPr>
            <w:tcW w:w="7061" w:type="dxa"/>
            <w:gridSpan w:val="19"/>
            <w:tcBorders>
              <w:top w:val="single" w:color="000000" w:sz="6" w:space="0"/>
              <w:left w:val="single" w:color="000000" w:sz="6" w:space="0"/>
              <w:bottom w:val="single" w:color="000000" w:sz="6" w:space="0"/>
            </w:tcBorders>
            <w:vAlign w:val="center"/>
          </w:tcPr>
          <w:p w14:paraId="49674C52">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最近环境敏感目标：无，到达时间：无</w:t>
            </w:r>
          </w:p>
        </w:tc>
      </w:tr>
      <w:tr w14:paraId="1DF5403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tcBorders>
              <w:top w:val="single" w:color="000000" w:sz="6" w:space="0"/>
              <w:bottom w:val="single" w:color="000000" w:sz="6" w:space="0"/>
              <w:right w:val="single" w:color="000000" w:sz="6" w:space="0"/>
            </w:tcBorders>
            <w:vAlign w:val="center"/>
          </w:tcPr>
          <w:p w14:paraId="68ED441D">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重点风险防范措施</w:t>
            </w:r>
          </w:p>
        </w:tc>
        <w:tc>
          <w:tcPr>
            <w:tcW w:w="7061" w:type="dxa"/>
            <w:gridSpan w:val="19"/>
            <w:tcBorders>
              <w:top w:val="single" w:color="000000" w:sz="6" w:space="0"/>
              <w:left w:val="single" w:color="000000" w:sz="6" w:space="0"/>
              <w:bottom w:val="single" w:color="000000" w:sz="6" w:space="0"/>
            </w:tcBorders>
            <w:vAlign w:val="center"/>
          </w:tcPr>
          <w:p w14:paraId="5C989B19">
            <w:pPr>
              <w:widowControl w:val="0"/>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详见正文“5.</w:t>
            </w:r>
            <w:r>
              <w:rPr>
                <w:rFonts w:hint="eastAsia" w:cs="Times New Roman"/>
                <w:snapToGrid/>
                <w:color w:val="auto"/>
                <w:kern w:val="2"/>
                <w:sz w:val="21"/>
                <w:szCs w:val="22"/>
                <w:highlight w:val="none"/>
                <w:lang w:val="en-US" w:eastAsia="zh-CN" w:bidi="ar-SA"/>
              </w:rPr>
              <w:t>2.8.6</w:t>
            </w:r>
            <w:r>
              <w:rPr>
                <w:rFonts w:hint="eastAsia" w:ascii="Times New Roman" w:hAnsi="Times New Roman" w:eastAsia="宋体" w:cs="Times New Roman"/>
                <w:snapToGrid/>
                <w:color w:val="auto"/>
                <w:kern w:val="2"/>
                <w:sz w:val="21"/>
                <w:szCs w:val="22"/>
                <w:highlight w:val="none"/>
                <w:lang w:val="en-US" w:eastAsia="zh-CN" w:bidi="ar-SA"/>
              </w:rPr>
              <w:t>风险事故防范措施”章节</w:t>
            </w:r>
          </w:p>
        </w:tc>
      </w:tr>
      <w:tr w14:paraId="0CC75D8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1279" w:type="dxa"/>
            <w:gridSpan w:val="3"/>
            <w:tcBorders>
              <w:top w:val="single" w:color="000000" w:sz="6" w:space="0"/>
              <w:bottom w:val="single" w:color="000000" w:sz="6" w:space="0"/>
              <w:right w:val="single" w:color="000000" w:sz="6" w:space="0"/>
            </w:tcBorders>
            <w:vAlign w:val="center"/>
          </w:tcPr>
          <w:p w14:paraId="065584B8">
            <w:pPr>
              <w:widowControl w:val="0"/>
              <w:kinsoku/>
              <w:autoSpaceDE/>
              <w:autoSpaceDN/>
              <w:adjustRightInd/>
              <w:snapToGrid/>
              <w:spacing w:line="360" w:lineRule="exact"/>
              <w:ind w:firstLine="0" w:firstLineChars="0"/>
              <w:jc w:val="center"/>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评价结论与建议</w:t>
            </w:r>
          </w:p>
        </w:tc>
        <w:tc>
          <w:tcPr>
            <w:tcW w:w="7061" w:type="dxa"/>
            <w:gridSpan w:val="19"/>
            <w:tcBorders>
              <w:top w:val="single" w:color="000000" w:sz="6" w:space="0"/>
              <w:left w:val="single" w:color="000000" w:sz="6" w:space="0"/>
              <w:bottom w:val="single" w:color="000000" w:sz="6" w:space="0"/>
            </w:tcBorders>
            <w:vAlign w:val="center"/>
          </w:tcPr>
          <w:p w14:paraId="5C6526CD">
            <w:pPr>
              <w:widowControl w:val="0"/>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采取评价提出措施后，项目环境风险可防控。从环境风险的角度出发，本项目是可行的。</w:t>
            </w:r>
          </w:p>
        </w:tc>
      </w:tr>
      <w:tr w14:paraId="7561143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8340" w:type="dxa"/>
            <w:gridSpan w:val="22"/>
            <w:tcBorders>
              <w:top w:val="single" w:color="000000" w:sz="6" w:space="0"/>
            </w:tcBorders>
            <w:vAlign w:val="center"/>
          </w:tcPr>
          <w:p w14:paraId="3536D436">
            <w:pPr>
              <w:widowControl w:val="0"/>
              <w:kinsoku/>
              <w:autoSpaceDE/>
              <w:autoSpaceDN/>
              <w:adjustRightInd/>
              <w:snapToGrid/>
              <w:spacing w:line="360" w:lineRule="exact"/>
              <w:ind w:firstLine="0" w:firstLineChars="0"/>
              <w:jc w:val="left"/>
              <w:textAlignment w:val="auto"/>
              <w:rPr>
                <w:rFonts w:ascii="Times New Roman" w:hAnsi="Times New Roman" w:eastAsia="宋体" w:cs="Times New Roman"/>
                <w:snapToGrid/>
                <w:color w:val="auto"/>
                <w:kern w:val="2"/>
                <w:sz w:val="21"/>
                <w:szCs w:val="22"/>
                <w:highlight w:val="none"/>
                <w:lang w:val="en-US" w:eastAsia="zh-CN" w:bidi="ar-SA"/>
              </w:rPr>
            </w:pPr>
            <w:r>
              <w:rPr>
                <w:rFonts w:hint="eastAsia" w:ascii="Times New Roman" w:hAnsi="Times New Roman" w:eastAsia="宋体" w:cs="Times New Roman"/>
                <w:snapToGrid/>
                <w:color w:val="auto"/>
                <w:kern w:val="2"/>
                <w:sz w:val="21"/>
                <w:szCs w:val="22"/>
                <w:highlight w:val="none"/>
                <w:lang w:val="en-US" w:eastAsia="zh-CN" w:bidi="ar-SA"/>
              </w:rPr>
              <w:t>注：</w:t>
            </w:r>
            <w:r>
              <w:rPr>
                <w:rFonts w:ascii="Times New Roman" w:hAnsi="Times New Roman" w:eastAsia="宋体" w:cs="Times New Roman"/>
                <w:snapToGrid/>
                <w:color w:val="auto"/>
                <w:kern w:val="2"/>
                <w:sz w:val="21"/>
                <w:szCs w:val="22"/>
                <w:highlight w:val="none"/>
                <w:lang w:val="en-US" w:eastAsia="zh-CN" w:bidi="ar-SA"/>
              </w:rPr>
              <w:t>“</w:t>
            </w:r>
            <w:r>
              <w:rPr>
                <w:rFonts w:hint="eastAsia" w:eastAsia="宋体"/>
                <w:color w:val="auto"/>
                <w:spacing w:val="0"/>
                <w:w w:val="100"/>
                <w:kern w:val="0"/>
                <w:position w:val="0"/>
                <w:sz w:val="21"/>
                <w:szCs w:val="21"/>
                <w:highlight w:val="none"/>
                <w:lang w:eastAsia="zh-CN"/>
              </w:rPr>
              <w:t>□</w:t>
            </w:r>
            <w:r>
              <w:rPr>
                <w:rFonts w:ascii="Times New Roman" w:hAnsi="Times New Roman" w:eastAsia="宋体" w:cs="Times New Roman"/>
                <w:snapToGrid/>
                <w:color w:val="auto"/>
                <w:kern w:val="2"/>
                <w:sz w:val="21"/>
                <w:szCs w:val="22"/>
                <w:highlight w:val="none"/>
                <w:lang w:val="en-US" w:eastAsia="zh-CN" w:bidi="ar-SA"/>
              </w:rPr>
              <w:t>”</w:t>
            </w:r>
            <w:r>
              <w:rPr>
                <w:rFonts w:hint="eastAsia" w:ascii="Times New Roman" w:hAnsi="Times New Roman" w:eastAsia="宋体" w:cs="Times New Roman"/>
                <w:snapToGrid/>
                <w:color w:val="auto"/>
                <w:kern w:val="2"/>
                <w:sz w:val="21"/>
                <w:szCs w:val="22"/>
                <w:highlight w:val="none"/>
                <w:lang w:val="en-US" w:eastAsia="zh-CN" w:bidi="ar-SA"/>
              </w:rPr>
              <w:t>为勾选项，</w:t>
            </w:r>
            <w:r>
              <w:rPr>
                <w:rFonts w:ascii="Times New Roman" w:hAnsi="Times New Roman" w:eastAsia="宋体" w:cs="Times New Roman"/>
                <w:snapToGrid/>
                <w:color w:val="auto"/>
                <w:kern w:val="2"/>
                <w:sz w:val="21"/>
                <w:szCs w:val="22"/>
                <w:highlight w:val="none"/>
                <w:lang w:val="en-US" w:eastAsia="zh-CN" w:bidi="ar-SA"/>
              </w:rPr>
              <w:t>“</w:t>
            </w:r>
            <w:r>
              <w:rPr>
                <w:rFonts w:hint="eastAsia" w:ascii="Times New Roman" w:hAnsi="Times New Roman" w:eastAsia="宋体" w:cs="Times New Roman"/>
                <w:snapToGrid/>
                <w:color w:val="auto"/>
                <w:kern w:val="2"/>
                <w:sz w:val="21"/>
                <w:szCs w:val="22"/>
                <w:highlight w:val="none"/>
                <w:lang w:val="en-US" w:eastAsia="zh-CN" w:bidi="ar-SA"/>
              </w:rPr>
              <w:t xml:space="preserve"> </w:t>
            </w:r>
            <w:r>
              <w:rPr>
                <w:rFonts w:ascii="Times New Roman" w:hAnsi="Times New Roman" w:eastAsia="宋体" w:cs="Times New Roman"/>
                <w:snapToGrid/>
                <w:color w:val="auto"/>
                <w:kern w:val="2"/>
                <w:sz w:val="21"/>
                <w:szCs w:val="22"/>
                <w:highlight w:val="none"/>
                <w:lang w:val="en-US" w:eastAsia="zh-CN" w:bidi="ar-SA"/>
              </w:rPr>
              <w:t>”</w:t>
            </w:r>
            <w:r>
              <w:rPr>
                <w:rFonts w:hint="eastAsia" w:ascii="Times New Roman" w:hAnsi="Times New Roman" w:eastAsia="宋体" w:cs="Times New Roman"/>
                <w:snapToGrid/>
                <w:color w:val="auto"/>
                <w:kern w:val="2"/>
                <w:sz w:val="21"/>
                <w:szCs w:val="22"/>
                <w:highlight w:val="none"/>
                <w:lang w:val="en-US" w:eastAsia="zh-CN" w:bidi="ar-SA"/>
              </w:rPr>
              <w:t>为填写项。</w:t>
            </w:r>
          </w:p>
        </w:tc>
      </w:tr>
    </w:tbl>
    <w:p w14:paraId="705EAF74">
      <w:pPr>
        <w:pStyle w:val="5"/>
        <w:rPr>
          <w:color w:val="auto"/>
          <w:highlight w:val="none"/>
        </w:rPr>
      </w:pPr>
      <w:bookmarkStart w:id="705" w:name="_Toc7108"/>
      <w:r>
        <w:rPr>
          <w:color w:val="auto"/>
          <w:highlight w:val="none"/>
        </w:rPr>
        <w:t>5.</w:t>
      </w:r>
      <w:r>
        <w:rPr>
          <w:rFonts w:hint="eastAsia"/>
          <w:color w:val="auto"/>
          <w:highlight w:val="none"/>
          <w:lang w:val="en-US" w:eastAsia="zh-CN"/>
        </w:rPr>
        <w:t>3闭矿期</w:t>
      </w:r>
      <w:r>
        <w:rPr>
          <w:rFonts w:hint="eastAsia"/>
          <w:color w:val="auto"/>
          <w:highlight w:val="none"/>
        </w:rPr>
        <w:t>环境影响分析</w:t>
      </w:r>
      <w:bookmarkEnd w:id="698"/>
      <w:bookmarkEnd w:id="699"/>
      <w:bookmarkEnd w:id="700"/>
      <w:bookmarkEnd w:id="701"/>
      <w:bookmarkEnd w:id="702"/>
      <w:bookmarkEnd w:id="703"/>
      <w:bookmarkEnd w:id="704"/>
      <w:bookmarkEnd w:id="705"/>
    </w:p>
    <w:p w14:paraId="0660944F">
      <w:pPr>
        <w:overflowPunct w:val="0"/>
        <w:topLinePunct/>
        <w:ind w:firstLine="480"/>
        <w:rPr>
          <w:color w:val="auto"/>
          <w:highlight w:val="none"/>
        </w:rPr>
      </w:pPr>
      <w:r>
        <w:rPr>
          <w:rFonts w:hint="eastAsia"/>
          <w:color w:val="auto"/>
          <w:highlight w:val="none"/>
          <w:lang w:eastAsia="zh-CN"/>
        </w:rPr>
        <w:t>闭矿期</w:t>
      </w:r>
      <w:r>
        <w:rPr>
          <w:color w:val="auto"/>
          <w:highlight w:val="none"/>
        </w:rPr>
        <w:t>相对来说是正影响的过程，是对景观及生态的恢复过程，不会对环境继续产生破坏。</w:t>
      </w:r>
      <w:r>
        <w:rPr>
          <w:rFonts w:hint="eastAsia"/>
          <w:color w:val="auto"/>
          <w:highlight w:val="none"/>
          <w:lang w:eastAsia="zh-CN"/>
        </w:rPr>
        <w:t>闭矿期</w:t>
      </w:r>
      <w:r>
        <w:rPr>
          <w:color w:val="auto"/>
          <w:highlight w:val="none"/>
        </w:rPr>
        <w:t>如不落实水土保持方案、复垦计划以及生态恢复，则对开发区域带来的环境影响是极为严重的。其主要的环境问题是植被破坏造成的水土流失、改变土地利用方式对地貌景观的破坏等问题。因此</w:t>
      </w:r>
      <w:r>
        <w:rPr>
          <w:rFonts w:hint="eastAsia"/>
          <w:color w:val="auto"/>
          <w:highlight w:val="none"/>
          <w:lang w:eastAsia="zh-CN"/>
        </w:rPr>
        <w:t>闭矿期</w:t>
      </w:r>
      <w:r>
        <w:rPr>
          <w:color w:val="auto"/>
          <w:highlight w:val="none"/>
        </w:rPr>
        <w:t>的环境保护措施和生态恢复是</w:t>
      </w:r>
      <w:r>
        <w:rPr>
          <w:rFonts w:hint="eastAsia"/>
          <w:color w:val="auto"/>
          <w:highlight w:val="none"/>
        </w:rPr>
        <w:t>本项目</w:t>
      </w:r>
      <w:r>
        <w:rPr>
          <w:color w:val="auto"/>
          <w:highlight w:val="none"/>
        </w:rPr>
        <w:t>环境保护的重要环节。分析论证建设方和水土保持方案制定的可行性，为有效控制项目新增水土流失，保护和恢复项目区内植被，保障当地生态环境建设与经济协调发展，对水土保持方案设计原则与目标等进行论证。做到</w:t>
      </w:r>
      <w:r>
        <w:rPr>
          <w:rFonts w:hint="eastAsia"/>
          <w:color w:val="auto"/>
          <w:highlight w:val="none"/>
        </w:rPr>
        <w:t>选矿厂、尾矿库退役的同时</w:t>
      </w:r>
      <w:r>
        <w:rPr>
          <w:color w:val="auto"/>
          <w:highlight w:val="none"/>
        </w:rPr>
        <w:t>，水土保持工程同年完成。</w:t>
      </w:r>
    </w:p>
    <w:p w14:paraId="1E9476DD">
      <w:pPr>
        <w:keepNext w:val="0"/>
        <w:keepLines w:val="0"/>
        <w:pageBreakBefore w:val="0"/>
        <w:widowControl w:val="0"/>
        <w:kinsoku/>
        <w:wordWrap/>
        <w:overflowPunct/>
        <w:topLinePunct w:val="0"/>
        <w:autoSpaceDE/>
        <w:autoSpaceDN/>
        <w:bidi w:val="0"/>
        <w:snapToGrid/>
        <w:spacing w:line="480" w:lineRule="exact"/>
        <w:ind w:firstLine="480" w:firstLineChars="200"/>
        <w:textAlignment w:val="auto"/>
        <w:outlineLvl w:val="9"/>
        <w:rPr>
          <w:color w:val="auto"/>
          <w:highlight w:val="none"/>
        </w:rPr>
      </w:pPr>
      <w:r>
        <w:rPr>
          <w:rFonts w:hint="eastAsia"/>
          <w:color w:val="auto"/>
          <w:highlight w:val="none"/>
        </w:rPr>
        <w:t>本项目服务期满后应按照《尾矿库闭库安全监督管理规定》进行闭库</w:t>
      </w:r>
      <w:r>
        <w:rPr>
          <w:rFonts w:hint="eastAsia"/>
          <w:color w:val="auto"/>
          <w:highlight w:val="none"/>
          <w:lang w:eastAsia="zh-CN"/>
        </w:rPr>
        <w:t>，</w:t>
      </w:r>
      <w:r>
        <w:rPr>
          <w:rFonts w:hint="eastAsia"/>
          <w:color w:val="auto"/>
          <w:highlight w:val="none"/>
          <w:lang w:val="en-US" w:eastAsia="zh-CN"/>
        </w:rPr>
        <w:t>并按照</w:t>
      </w:r>
      <w:r>
        <w:rPr>
          <w:rFonts w:hint="default" w:ascii="Times New Roman" w:hAnsi="Times New Roman" w:eastAsia="宋体" w:cs="Times New Roman"/>
          <w:color w:val="auto"/>
          <w:kern w:val="2"/>
          <w:sz w:val="24"/>
          <w:szCs w:val="24"/>
          <w:highlight w:val="none"/>
          <w:lang w:val="en-US" w:eastAsia="zh-CN" w:bidi="ar"/>
        </w:rPr>
        <w:t>《地质环境保护与土地复垦方案》进行矿区生态恢复工作。</w:t>
      </w:r>
    </w:p>
    <w:p w14:paraId="3D34995B">
      <w:pPr>
        <w:keepNext/>
        <w:keepLines/>
        <w:spacing w:before="60" w:after="60"/>
        <w:ind w:firstLine="0" w:firstLineChars="0"/>
        <w:outlineLvl w:val="2"/>
        <w:rPr>
          <w:b/>
          <w:bCs/>
          <w:color w:val="auto"/>
          <w:sz w:val="30"/>
          <w:szCs w:val="32"/>
          <w:highlight w:val="none"/>
        </w:rPr>
      </w:pPr>
      <w:r>
        <w:rPr>
          <w:rFonts w:hint="eastAsia"/>
          <w:b/>
          <w:bCs/>
          <w:color w:val="auto"/>
          <w:sz w:val="30"/>
          <w:szCs w:val="32"/>
          <w:highlight w:val="none"/>
        </w:rPr>
        <w:t>5.</w:t>
      </w:r>
      <w:r>
        <w:rPr>
          <w:rFonts w:hint="eastAsia"/>
          <w:b/>
          <w:bCs/>
          <w:color w:val="auto"/>
          <w:sz w:val="30"/>
          <w:szCs w:val="32"/>
          <w:highlight w:val="none"/>
          <w:lang w:val="en-US" w:eastAsia="zh-CN"/>
        </w:rPr>
        <w:t>3</w:t>
      </w:r>
      <w:r>
        <w:rPr>
          <w:rFonts w:hint="eastAsia"/>
          <w:b/>
          <w:bCs/>
          <w:color w:val="auto"/>
          <w:sz w:val="30"/>
          <w:szCs w:val="32"/>
          <w:highlight w:val="none"/>
        </w:rPr>
        <w:t>.1</w:t>
      </w:r>
      <w:r>
        <w:rPr>
          <w:rFonts w:hint="eastAsia"/>
          <w:b/>
          <w:bCs/>
          <w:color w:val="auto"/>
          <w:sz w:val="30"/>
          <w:szCs w:val="32"/>
          <w:highlight w:val="none"/>
          <w:lang w:val="en-US" w:eastAsia="zh-CN"/>
        </w:rPr>
        <w:t>闭矿期</w:t>
      </w:r>
      <w:r>
        <w:rPr>
          <w:rFonts w:hint="eastAsia"/>
          <w:b/>
          <w:bCs/>
          <w:color w:val="auto"/>
          <w:sz w:val="30"/>
          <w:szCs w:val="32"/>
          <w:highlight w:val="none"/>
        </w:rPr>
        <w:t>大气环境影响分析</w:t>
      </w:r>
    </w:p>
    <w:p w14:paraId="71ACE1D8">
      <w:pPr>
        <w:overflowPunct w:val="0"/>
        <w:topLinePunct/>
        <w:ind w:firstLine="480"/>
        <w:rPr>
          <w:color w:val="auto"/>
          <w:highlight w:val="none"/>
        </w:rPr>
      </w:pPr>
      <w:r>
        <w:rPr>
          <w:rFonts w:hint="eastAsia"/>
          <w:color w:val="auto"/>
          <w:highlight w:val="none"/>
        </w:rPr>
        <w:t>本项目</w:t>
      </w:r>
      <w:r>
        <w:rPr>
          <w:rFonts w:hint="eastAsia"/>
          <w:bCs/>
          <w:color w:val="auto"/>
          <w:highlight w:val="none"/>
          <w:lang w:val="en-US" w:eastAsia="zh-CN"/>
        </w:rPr>
        <w:t>闭矿期</w:t>
      </w:r>
      <w:r>
        <w:rPr>
          <w:rFonts w:hint="eastAsia"/>
          <w:color w:val="auto"/>
          <w:highlight w:val="none"/>
        </w:rPr>
        <w:t>废气主要为</w:t>
      </w:r>
      <w:r>
        <w:rPr>
          <w:rFonts w:hint="eastAsia"/>
          <w:color w:val="auto"/>
          <w:highlight w:val="none"/>
          <w:lang w:val="en-US" w:eastAsia="zh-CN"/>
        </w:rPr>
        <w:t>拆除建、构筑物产生的扬尘以及</w:t>
      </w:r>
      <w:r>
        <w:rPr>
          <w:rFonts w:hint="eastAsia"/>
          <w:color w:val="auto"/>
          <w:highlight w:val="none"/>
        </w:rPr>
        <w:t>尾矿库内干滩扬尘。闭库期如管理不善，干滩扬尘将难以得到有效控制，对周边空气环境造成影响。故在闭库过程中应利用尾矿库内蓄积废水对干滩区域定期进行洒水保湿，以减少闭库中尾矿库干滩扬尘。闭库后应及时进行复垦，通过压实及覆盖植被等措施防止尾矿渣体大面积裸露，从而可起到抑制尾矿库干滩扬尘的作用。为减小尾矿干滩对周围环境的影响，报告提出项目建设方应在尾矿库闭库期采取以下措施：</w:t>
      </w:r>
    </w:p>
    <w:p w14:paraId="279DC22B">
      <w:pPr>
        <w:bidi w:val="0"/>
        <w:rPr>
          <w:rFonts w:hint="eastAsia"/>
          <w:color w:val="auto"/>
          <w:highlight w:val="none"/>
        </w:rPr>
      </w:pPr>
      <w:r>
        <w:rPr>
          <w:rFonts w:hint="eastAsia"/>
          <w:color w:val="auto"/>
          <w:highlight w:val="none"/>
        </w:rPr>
        <w:t>（1）</w:t>
      </w:r>
      <w:r>
        <w:rPr>
          <w:rFonts w:hint="eastAsia"/>
          <w:color w:val="auto"/>
          <w:highlight w:val="none"/>
          <w:lang w:val="en-US" w:eastAsia="zh-CN"/>
        </w:rPr>
        <w:t>在拆除建、构筑物的过程中会产生扬尘，为短时无组织排放源，</w:t>
      </w:r>
      <w:r>
        <w:rPr>
          <w:rFonts w:hint="default"/>
          <w:color w:val="auto"/>
          <w:highlight w:val="none"/>
          <w:lang w:val="en-US" w:eastAsia="zh-CN"/>
        </w:rPr>
        <w:t>在拆除前及其过程中，及时</w:t>
      </w:r>
      <w:r>
        <w:rPr>
          <w:rFonts w:hint="eastAsia"/>
          <w:color w:val="auto"/>
          <w:highlight w:val="none"/>
          <w:lang w:val="en-US" w:eastAsia="zh-CN"/>
        </w:rPr>
        <w:t>洒水</w:t>
      </w:r>
      <w:r>
        <w:rPr>
          <w:rFonts w:hint="default"/>
          <w:color w:val="auto"/>
          <w:highlight w:val="none"/>
          <w:lang w:val="en-US" w:eastAsia="zh-CN"/>
        </w:rPr>
        <w:t>降尘，可降低瞬时扬尘对大气环境的影响</w:t>
      </w:r>
      <w:r>
        <w:rPr>
          <w:rFonts w:hint="eastAsia"/>
          <w:color w:val="auto"/>
          <w:highlight w:val="none"/>
          <w:lang w:val="en-US" w:eastAsia="zh-CN"/>
        </w:rPr>
        <w:t>。</w:t>
      </w:r>
    </w:p>
    <w:p w14:paraId="4D3AFBBA">
      <w:pPr>
        <w:overflowPunct w:val="0"/>
        <w:topLinePunct/>
        <w:ind w:firstLine="480"/>
        <w:rPr>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rPr>
        <w:t>继续利用尾矿库内蓄积废水对干滩区域定期进行洒水保湿以减少扬尘量。</w:t>
      </w:r>
    </w:p>
    <w:p w14:paraId="49F01E50">
      <w:pPr>
        <w:overflowPunct w:val="0"/>
        <w:topLinePunct/>
        <w:ind w:firstLine="48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）尾矿库应及时闭库复垦，进行覆土、压实等措施防止尾矿渣体大面积裸露，从而可起到抑制尾矿库干滩扬尘的作用。</w:t>
      </w:r>
    </w:p>
    <w:p w14:paraId="0B382E11">
      <w:pPr>
        <w:overflowPunct w:val="0"/>
        <w:topLinePunct/>
        <w:ind w:firstLine="480"/>
        <w:rPr>
          <w:color w:val="auto"/>
          <w:highlight w:val="none"/>
        </w:rPr>
      </w:pPr>
      <w:r>
        <w:rPr>
          <w:rFonts w:hint="eastAsia"/>
          <w:color w:val="auto"/>
          <w:highlight w:val="none"/>
        </w:rPr>
        <w:t>综合分析，在采取以上措施后可有效减轻闭库期及之后扬尘对周边空气环境的影响。</w:t>
      </w:r>
    </w:p>
    <w:p w14:paraId="4EA54D7D">
      <w:pPr>
        <w:keepNext/>
        <w:keepLines/>
        <w:spacing w:before="60" w:after="60"/>
        <w:ind w:firstLine="0" w:firstLineChars="0"/>
        <w:outlineLvl w:val="2"/>
        <w:rPr>
          <w:b/>
          <w:bCs/>
          <w:color w:val="auto"/>
          <w:sz w:val="30"/>
          <w:szCs w:val="32"/>
          <w:highlight w:val="none"/>
        </w:rPr>
      </w:pPr>
      <w:r>
        <w:rPr>
          <w:rFonts w:hint="eastAsia"/>
          <w:b/>
          <w:bCs/>
          <w:color w:val="auto"/>
          <w:sz w:val="30"/>
          <w:szCs w:val="32"/>
          <w:highlight w:val="none"/>
        </w:rPr>
        <w:t>5.</w:t>
      </w:r>
      <w:r>
        <w:rPr>
          <w:rFonts w:hint="eastAsia"/>
          <w:b/>
          <w:bCs/>
          <w:color w:val="auto"/>
          <w:sz w:val="30"/>
          <w:szCs w:val="32"/>
          <w:highlight w:val="none"/>
          <w:lang w:val="en-US" w:eastAsia="zh-CN"/>
        </w:rPr>
        <w:t>3</w:t>
      </w:r>
      <w:r>
        <w:rPr>
          <w:rFonts w:hint="eastAsia"/>
          <w:b/>
          <w:bCs/>
          <w:color w:val="auto"/>
          <w:sz w:val="30"/>
          <w:szCs w:val="32"/>
          <w:highlight w:val="none"/>
        </w:rPr>
        <w:t>.2</w:t>
      </w:r>
      <w:r>
        <w:rPr>
          <w:rFonts w:hint="eastAsia"/>
          <w:b/>
          <w:bCs/>
          <w:color w:val="auto"/>
          <w:sz w:val="30"/>
          <w:szCs w:val="32"/>
          <w:highlight w:val="none"/>
          <w:lang w:val="en-US" w:eastAsia="zh-CN"/>
        </w:rPr>
        <w:t>闭矿期</w:t>
      </w:r>
      <w:r>
        <w:rPr>
          <w:rFonts w:hint="eastAsia"/>
          <w:b/>
          <w:bCs/>
          <w:color w:val="auto"/>
          <w:sz w:val="30"/>
          <w:szCs w:val="32"/>
          <w:highlight w:val="none"/>
        </w:rPr>
        <w:t>水环境影响分析</w:t>
      </w:r>
    </w:p>
    <w:p w14:paraId="291E3711">
      <w:pPr>
        <w:overflowPunct w:val="0"/>
        <w:topLinePunct/>
        <w:ind w:firstLine="480"/>
        <w:rPr>
          <w:color w:val="auto"/>
          <w:highlight w:val="none"/>
        </w:rPr>
      </w:pPr>
      <w:r>
        <w:rPr>
          <w:rFonts w:hint="eastAsia"/>
          <w:color w:val="auto"/>
          <w:highlight w:val="none"/>
          <w:lang w:eastAsia="zh-CN"/>
        </w:rPr>
        <w:t>闭矿期</w:t>
      </w:r>
      <w:r>
        <w:rPr>
          <w:rFonts w:hint="eastAsia"/>
          <w:color w:val="auto"/>
          <w:highlight w:val="none"/>
        </w:rPr>
        <w:t>废水主要为尾矿库内汇入收集的大气降水形成的尾矿库内废水。这部分废水如管理不善直接外排将污染地下水及周边地表水体。</w:t>
      </w:r>
    </w:p>
    <w:p w14:paraId="0FCC37F3">
      <w:pPr>
        <w:overflowPunct w:val="0"/>
        <w:topLinePunct/>
        <w:ind w:firstLine="480"/>
        <w:rPr>
          <w:color w:val="auto"/>
          <w:highlight w:val="none"/>
        </w:rPr>
      </w:pPr>
      <w:r>
        <w:rPr>
          <w:rFonts w:hint="eastAsia"/>
          <w:color w:val="auto"/>
          <w:highlight w:val="none"/>
        </w:rPr>
        <w:t>为防止</w:t>
      </w:r>
      <w:r>
        <w:rPr>
          <w:rFonts w:hint="eastAsia"/>
          <w:color w:val="auto"/>
          <w:highlight w:val="none"/>
          <w:lang w:eastAsia="zh-CN"/>
        </w:rPr>
        <w:t>闭矿期</w:t>
      </w:r>
      <w:r>
        <w:rPr>
          <w:rFonts w:hint="eastAsia"/>
          <w:color w:val="auto"/>
          <w:highlight w:val="none"/>
        </w:rPr>
        <w:t>这部分废水外排造成对周边地下水及地表水污染，对于闭库期尾矿库内蓄积废水，应回用于尾矿库库区洒水，防止其因缺乏管理外排污染周边地下水环境。</w:t>
      </w:r>
    </w:p>
    <w:p w14:paraId="58552D55">
      <w:pPr>
        <w:keepNext/>
        <w:keepLines/>
        <w:spacing w:before="60" w:after="60"/>
        <w:ind w:firstLine="0" w:firstLineChars="0"/>
        <w:outlineLvl w:val="2"/>
        <w:rPr>
          <w:b/>
          <w:bCs/>
          <w:color w:val="auto"/>
          <w:sz w:val="30"/>
          <w:szCs w:val="32"/>
          <w:highlight w:val="none"/>
        </w:rPr>
      </w:pPr>
      <w:r>
        <w:rPr>
          <w:rFonts w:hint="eastAsia"/>
          <w:b/>
          <w:bCs/>
          <w:color w:val="auto"/>
          <w:sz w:val="30"/>
          <w:szCs w:val="32"/>
          <w:highlight w:val="none"/>
        </w:rPr>
        <w:t>5.</w:t>
      </w:r>
      <w:r>
        <w:rPr>
          <w:rFonts w:hint="eastAsia"/>
          <w:b/>
          <w:bCs/>
          <w:color w:val="auto"/>
          <w:sz w:val="30"/>
          <w:szCs w:val="32"/>
          <w:highlight w:val="none"/>
          <w:lang w:val="en-US" w:eastAsia="zh-CN"/>
        </w:rPr>
        <w:t>3</w:t>
      </w:r>
      <w:r>
        <w:rPr>
          <w:rFonts w:hint="eastAsia"/>
          <w:b/>
          <w:bCs/>
          <w:color w:val="auto"/>
          <w:sz w:val="30"/>
          <w:szCs w:val="32"/>
          <w:highlight w:val="none"/>
        </w:rPr>
        <w:t>.3</w:t>
      </w:r>
      <w:r>
        <w:rPr>
          <w:rFonts w:hint="eastAsia"/>
          <w:b/>
          <w:bCs/>
          <w:color w:val="auto"/>
          <w:sz w:val="30"/>
          <w:szCs w:val="32"/>
          <w:highlight w:val="none"/>
          <w:lang w:val="en-US" w:eastAsia="zh-CN"/>
        </w:rPr>
        <w:t>闭矿期</w:t>
      </w:r>
      <w:r>
        <w:rPr>
          <w:rFonts w:hint="eastAsia"/>
          <w:b/>
          <w:bCs/>
          <w:color w:val="auto"/>
          <w:sz w:val="30"/>
          <w:szCs w:val="32"/>
          <w:highlight w:val="none"/>
        </w:rPr>
        <w:t>声环境影响分析</w:t>
      </w:r>
    </w:p>
    <w:p w14:paraId="60D0B653">
      <w:pPr>
        <w:overflowPunct w:val="0"/>
        <w:topLinePunct/>
        <w:ind w:firstLine="480"/>
        <w:rPr>
          <w:color w:val="auto"/>
          <w:highlight w:val="none"/>
        </w:rPr>
      </w:pPr>
      <w:r>
        <w:rPr>
          <w:rFonts w:hint="eastAsia"/>
          <w:color w:val="auto"/>
          <w:highlight w:val="none"/>
          <w:lang w:val="en-US" w:eastAsia="zh-CN"/>
        </w:rPr>
        <w:t>闭矿期</w:t>
      </w:r>
      <w:r>
        <w:rPr>
          <w:rFonts w:hint="eastAsia"/>
          <w:color w:val="auto"/>
          <w:highlight w:val="none"/>
        </w:rPr>
        <w:t>各类机械环境</w:t>
      </w:r>
      <w:r>
        <w:rPr>
          <w:rFonts w:hint="eastAsia"/>
          <w:color w:val="auto"/>
          <w:highlight w:val="none"/>
          <w:lang w:eastAsia="zh-CN"/>
        </w:rPr>
        <w:t>噪声</w:t>
      </w:r>
      <w:r>
        <w:rPr>
          <w:rFonts w:hint="eastAsia"/>
          <w:color w:val="auto"/>
          <w:highlight w:val="none"/>
        </w:rPr>
        <w:t>、车辆产生的噪声将消失，噪声较运营期将大幅降低，并逐渐恢复到环境背景值。因此，噪声对项目区及周围环境影响较小。</w:t>
      </w:r>
    </w:p>
    <w:p w14:paraId="7238979E">
      <w:pPr>
        <w:keepNext/>
        <w:keepLines/>
        <w:spacing w:before="60" w:after="60"/>
        <w:ind w:firstLine="0" w:firstLineChars="0"/>
        <w:outlineLvl w:val="2"/>
        <w:rPr>
          <w:b/>
          <w:bCs/>
          <w:color w:val="auto"/>
          <w:sz w:val="30"/>
          <w:szCs w:val="32"/>
          <w:highlight w:val="none"/>
        </w:rPr>
      </w:pPr>
      <w:r>
        <w:rPr>
          <w:rFonts w:hint="eastAsia"/>
          <w:b/>
          <w:bCs/>
          <w:color w:val="auto"/>
          <w:sz w:val="30"/>
          <w:szCs w:val="32"/>
          <w:highlight w:val="none"/>
        </w:rPr>
        <w:t>5.</w:t>
      </w:r>
      <w:r>
        <w:rPr>
          <w:rFonts w:hint="eastAsia"/>
          <w:b/>
          <w:bCs/>
          <w:color w:val="auto"/>
          <w:sz w:val="30"/>
          <w:szCs w:val="32"/>
          <w:highlight w:val="none"/>
          <w:lang w:val="en-US" w:eastAsia="zh-CN"/>
        </w:rPr>
        <w:t>3</w:t>
      </w:r>
      <w:r>
        <w:rPr>
          <w:rFonts w:hint="eastAsia"/>
          <w:b/>
          <w:bCs/>
          <w:color w:val="auto"/>
          <w:sz w:val="30"/>
          <w:szCs w:val="32"/>
          <w:highlight w:val="none"/>
        </w:rPr>
        <w:t>.4</w:t>
      </w:r>
      <w:r>
        <w:rPr>
          <w:rFonts w:hint="eastAsia"/>
          <w:b/>
          <w:bCs/>
          <w:color w:val="auto"/>
          <w:sz w:val="30"/>
          <w:szCs w:val="32"/>
          <w:highlight w:val="none"/>
          <w:lang w:val="en-US" w:eastAsia="zh-CN"/>
        </w:rPr>
        <w:t>闭矿期</w:t>
      </w:r>
      <w:r>
        <w:rPr>
          <w:rFonts w:hint="eastAsia"/>
          <w:b/>
          <w:bCs/>
          <w:color w:val="auto"/>
          <w:sz w:val="30"/>
          <w:szCs w:val="32"/>
          <w:highlight w:val="none"/>
        </w:rPr>
        <w:t>固体废弃物环境影响分析</w:t>
      </w:r>
    </w:p>
    <w:p w14:paraId="31A14FB3">
      <w:pPr>
        <w:bidi w:val="0"/>
        <w:rPr>
          <w:rFonts w:hint="default"/>
          <w:color w:val="auto"/>
          <w:highlight w:val="none"/>
          <w:lang w:val="en-US" w:eastAsia="zh-CN"/>
        </w:rPr>
      </w:pPr>
      <w:r>
        <w:rPr>
          <w:rFonts w:hint="eastAsia"/>
          <w:color w:val="auto"/>
          <w:highlight w:val="none"/>
          <w:lang w:eastAsia="zh-CN"/>
        </w:rPr>
        <w:t>闭矿期</w:t>
      </w:r>
      <w:r>
        <w:rPr>
          <w:rFonts w:hint="eastAsia"/>
          <w:color w:val="auto"/>
          <w:highlight w:val="none"/>
        </w:rPr>
        <w:t>固体废弃物主要为项目区周边废弃建筑物</w:t>
      </w:r>
      <w:r>
        <w:rPr>
          <w:rFonts w:hint="eastAsia"/>
          <w:color w:val="auto"/>
          <w:highlight w:val="none"/>
          <w:lang w:val="en-US" w:eastAsia="zh-CN"/>
        </w:rPr>
        <w:t>以及废石堆场堆存的废石</w:t>
      </w:r>
      <w:r>
        <w:rPr>
          <w:rFonts w:hint="eastAsia"/>
          <w:color w:val="auto"/>
          <w:highlight w:val="none"/>
        </w:rPr>
        <w:t>。对废弃建筑物应统一拆除，建筑垃圾按照当地环卫部门要求进行处理</w:t>
      </w:r>
      <w:r>
        <w:rPr>
          <w:rFonts w:hint="eastAsia"/>
          <w:color w:val="auto"/>
          <w:highlight w:val="none"/>
          <w:lang w:eastAsia="zh-CN"/>
        </w:rPr>
        <w:t>。</w:t>
      </w:r>
      <w:r>
        <w:rPr>
          <w:rFonts w:hint="eastAsia"/>
          <w:color w:val="auto"/>
          <w:highlight w:val="none"/>
          <w:lang w:val="en-US" w:eastAsia="zh-CN"/>
        </w:rPr>
        <w:t>废石应尽可能综合利用，</w:t>
      </w:r>
      <w:r>
        <w:rPr>
          <w:rFonts w:hint="default"/>
          <w:color w:val="auto"/>
          <w:highlight w:val="none"/>
          <w:lang w:val="en-US" w:eastAsia="zh-CN"/>
        </w:rPr>
        <w:t>剩余废石应分层堆放在废石堆</w:t>
      </w:r>
      <w:r>
        <w:rPr>
          <w:rFonts w:hint="eastAsia"/>
          <w:color w:val="auto"/>
          <w:highlight w:val="none"/>
          <w:lang w:val="en-US" w:eastAsia="zh-CN"/>
        </w:rPr>
        <w:t>放</w:t>
      </w:r>
      <w:r>
        <w:rPr>
          <w:rFonts w:hint="default"/>
          <w:color w:val="auto"/>
          <w:highlight w:val="none"/>
          <w:lang w:val="en-US" w:eastAsia="zh-CN"/>
        </w:rPr>
        <w:t>场中，并在废石堆</w:t>
      </w:r>
      <w:r>
        <w:rPr>
          <w:rFonts w:hint="eastAsia"/>
          <w:color w:val="auto"/>
          <w:highlight w:val="none"/>
          <w:lang w:val="en-US" w:eastAsia="zh-CN"/>
        </w:rPr>
        <w:t>放</w:t>
      </w:r>
      <w:r>
        <w:rPr>
          <w:rFonts w:hint="default"/>
          <w:color w:val="auto"/>
          <w:highlight w:val="none"/>
          <w:lang w:val="en-US" w:eastAsia="zh-CN"/>
        </w:rPr>
        <w:t>场台阶顶部和坡面覆盖表层土，实施生态恢复治理。</w:t>
      </w:r>
    </w:p>
    <w:p w14:paraId="6483D865">
      <w:pPr>
        <w:overflowPunct w:val="0"/>
        <w:topLinePunct/>
        <w:ind w:firstLine="480"/>
        <w:rPr>
          <w:color w:val="auto"/>
          <w:highlight w:val="none"/>
        </w:rPr>
      </w:pPr>
      <w:r>
        <w:rPr>
          <w:rFonts w:hint="eastAsia"/>
          <w:color w:val="auto"/>
          <w:highlight w:val="none"/>
        </w:rPr>
        <w:t>尾矿库闭库要求如下：</w:t>
      </w:r>
    </w:p>
    <w:p w14:paraId="6CA0F81D">
      <w:pPr>
        <w:overflowPunct w:val="0"/>
        <w:topLinePunct/>
        <w:ind w:firstLine="480"/>
        <w:rPr>
          <w:color w:val="auto"/>
          <w:highlight w:val="none"/>
        </w:rPr>
      </w:pPr>
      <w:r>
        <w:rPr>
          <w:rFonts w:hint="eastAsia"/>
          <w:color w:val="auto"/>
          <w:highlight w:val="none"/>
        </w:rPr>
        <w:t>（1）尾矿库应按《尾矿库闭库安全监督管理规定》进行闭库；</w:t>
      </w:r>
    </w:p>
    <w:p w14:paraId="0FC66E17">
      <w:pPr>
        <w:overflowPunct w:val="0"/>
        <w:topLinePunct/>
        <w:ind w:firstLine="480"/>
        <w:rPr>
          <w:color w:val="auto"/>
          <w:highlight w:val="none"/>
        </w:rPr>
      </w:pPr>
      <w:r>
        <w:rPr>
          <w:rFonts w:hint="eastAsia"/>
          <w:color w:val="auto"/>
          <w:highlight w:val="none"/>
        </w:rPr>
        <w:t>（2）在尾矿库闭库前1年，委托具有相应资质的评价机构进行尾矿库安全评价；</w:t>
      </w:r>
    </w:p>
    <w:p w14:paraId="5453852A">
      <w:pPr>
        <w:overflowPunct w:val="0"/>
        <w:topLinePunct/>
        <w:ind w:firstLine="480"/>
        <w:rPr>
          <w:color w:val="auto"/>
          <w:highlight w:val="none"/>
        </w:rPr>
      </w:pPr>
      <w:r>
        <w:rPr>
          <w:rFonts w:hint="eastAsia"/>
          <w:color w:val="auto"/>
          <w:highlight w:val="none"/>
        </w:rPr>
        <w:t>（3）在尾矿库闭库前1年，委托具有相应资质的设计单位进行尾矿库闭库设计；</w:t>
      </w:r>
    </w:p>
    <w:p w14:paraId="2150ECB5">
      <w:pPr>
        <w:overflowPunct w:val="0"/>
        <w:topLinePunct/>
        <w:ind w:firstLine="480"/>
        <w:rPr>
          <w:color w:val="auto"/>
          <w:highlight w:val="none"/>
        </w:rPr>
      </w:pPr>
      <w:r>
        <w:rPr>
          <w:rFonts w:hint="eastAsia"/>
          <w:color w:val="auto"/>
          <w:highlight w:val="none"/>
        </w:rPr>
        <w:t>（4）按照《尾矿设施施工及验收规程》（YS5418-95）进行闭库验收；</w:t>
      </w:r>
    </w:p>
    <w:p w14:paraId="7509AB49">
      <w:pPr>
        <w:overflowPunct w:val="0"/>
        <w:topLinePunct/>
        <w:ind w:firstLine="480"/>
        <w:rPr>
          <w:color w:val="auto"/>
          <w:highlight w:val="none"/>
        </w:rPr>
      </w:pPr>
      <w:r>
        <w:rPr>
          <w:rFonts w:hint="eastAsia"/>
          <w:color w:val="auto"/>
          <w:highlight w:val="none"/>
        </w:rPr>
        <w:t>（5）尾矿库周边警示</w:t>
      </w:r>
      <w:r>
        <w:rPr>
          <w:rFonts w:hint="eastAsia"/>
          <w:color w:val="auto"/>
          <w:highlight w:val="none"/>
          <w:lang w:eastAsia="zh-CN"/>
        </w:rPr>
        <w:t>标识</w:t>
      </w:r>
      <w:r>
        <w:rPr>
          <w:rFonts w:hint="eastAsia"/>
          <w:color w:val="auto"/>
          <w:highlight w:val="none"/>
        </w:rPr>
        <w:t>及尾矿库观测点应予以保留。</w:t>
      </w:r>
    </w:p>
    <w:p w14:paraId="4F54BC61">
      <w:pPr>
        <w:keepNext/>
        <w:keepLines/>
        <w:spacing w:before="60" w:after="60"/>
        <w:ind w:firstLine="0" w:firstLineChars="0"/>
        <w:outlineLvl w:val="2"/>
        <w:rPr>
          <w:b/>
          <w:bCs/>
          <w:color w:val="auto"/>
          <w:sz w:val="30"/>
          <w:szCs w:val="32"/>
          <w:highlight w:val="none"/>
        </w:rPr>
      </w:pPr>
      <w:r>
        <w:rPr>
          <w:rFonts w:hint="eastAsia"/>
          <w:b/>
          <w:bCs/>
          <w:color w:val="auto"/>
          <w:sz w:val="30"/>
          <w:szCs w:val="32"/>
          <w:highlight w:val="none"/>
        </w:rPr>
        <w:t>5.</w:t>
      </w:r>
      <w:r>
        <w:rPr>
          <w:rFonts w:hint="eastAsia"/>
          <w:b/>
          <w:bCs/>
          <w:color w:val="auto"/>
          <w:sz w:val="30"/>
          <w:szCs w:val="32"/>
          <w:highlight w:val="none"/>
          <w:lang w:val="en-US" w:eastAsia="zh-CN"/>
        </w:rPr>
        <w:t>3</w:t>
      </w:r>
      <w:r>
        <w:rPr>
          <w:rFonts w:hint="eastAsia"/>
          <w:b/>
          <w:bCs/>
          <w:color w:val="auto"/>
          <w:sz w:val="30"/>
          <w:szCs w:val="32"/>
          <w:highlight w:val="none"/>
        </w:rPr>
        <w:t>.5</w:t>
      </w:r>
      <w:r>
        <w:rPr>
          <w:rFonts w:hint="eastAsia"/>
          <w:b/>
          <w:bCs/>
          <w:color w:val="auto"/>
          <w:sz w:val="30"/>
          <w:szCs w:val="32"/>
          <w:highlight w:val="none"/>
          <w:lang w:val="en-US" w:eastAsia="zh-CN"/>
        </w:rPr>
        <w:t>闭矿期</w:t>
      </w:r>
      <w:r>
        <w:rPr>
          <w:rFonts w:hint="eastAsia"/>
          <w:b/>
          <w:bCs/>
          <w:color w:val="auto"/>
          <w:sz w:val="30"/>
          <w:szCs w:val="32"/>
          <w:highlight w:val="none"/>
        </w:rPr>
        <w:t>生态环境影响分析</w:t>
      </w:r>
    </w:p>
    <w:p w14:paraId="585B58B4">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本项目服务期结束、矿区全面闭矿后，区域生态环境不再受采矿作业持续扰动，但前期采矿活动遗留的各类工程迹地与地质隐患，将成为闭矿期主要生态环境影响源，核心影响单元集中为地下采空区、地表废石堆场、尾矿库及矿区遗留建筑物，若未开展系统治理与生态修复，将对区域地形地貌、地质安全、土地资源及生态系统造成长期负面影响。</w:t>
      </w:r>
    </w:p>
    <w:p w14:paraId="1F316397">
      <w:pPr>
        <w:keepNext w:val="0"/>
        <w:keepLines w:val="0"/>
        <w:widowControl/>
        <w:suppressLineNumbers w:val="0"/>
        <w:jc w:val="left"/>
        <w:rPr>
          <w:rFonts w:hint="default" w:ascii="Times New Roman" w:hAnsi="Times New Roman" w:eastAsia="宋体" w:cs="Times New Roman"/>
          <w:color w:val="auto"/>
          <w:kern w:val="10"/>
          <w:sz w:val="24"/>
          <w:szCs w:val="24"/>
          <w:highlight w:val="none"/>
        </w:rPr>
      </w:pPr>
      <w:r>
        <w:rPr>
          <w:rFonts w:ascii="宋体" w:hAnsi="宋体" w:eastAsia="宋体" w:cs="宋体"/>
          <w:color w:val="auto"/>
          <w:kern w:val="0"/>
          <w:sz w:val="24"/>
          <w:szCs w:val="24"/>
          <w:highlight w:val="none"/>
          <w:lang w:val="en-US" w:eastAsia="zh-CN" w:bidi="ar"/>
        </w:rPr>
        <w:t>项目长期采矿作业形成的大面积地下采空区，彻底改变了区域原有地质结构与应力平衡，导致矿区局部地形地貌发生颠覆性改变，地表土体、岩层稳定性大幅下降，存在持续性地面塌陷、地裂缝、地面沉降等地质灾害隐患，不仅会损毁区域土地资源，还可能威胁周边零星植被及后期土地利用安全。同时，矿区开采形成的边坡岩体裸露、结构松散，部分岩块处于不稳定状态，易发生崩塌、滑落等次生地质问题，若不及时治理，会持续破坏地表地貌完整性，加剧区域水土流失风险。此外，尾矿库停止使用后，原有运维体系失效，若缺乏专项闭库设计与规范化处置，库体边坡、堆存尾矿易受雨水冲刷、风力侵蚀，引发尾矿流失、扬尘扩散等问题，污染周边土壤与水环境。</w:t>
      </w:r>
      <w:r>
        <w:rPr>
          <w:rFonts w:hint="default" w:ascii="Times New Roman" w:hAnsi="Times New Roman" w:eastAsia="宋体" w:cs="Times New Roman"/>
          <w:color w:val="auto"/>
          <w:kern w:val="10"/>
          <w:sz w:val="24"/>
          <w:szCs w:val="24"/>
          <w:highlight w:val="none"/>
        </w:rPr>
        <w:t>为减缓矿区闭矿后的影响，提出如下措施：</w:t>
      </w:r>
    </w:p>
    <w:p w14:paraId="1B84E8D2">
      <w:pPr>
        <w:bidi w:val="0"/>
        <w:rPr>
          <w:rFonts w:hint="default"/>
          <w:color w:val="auto"/>
          <w:highlight w:val="none"/>
        </w:rPr>
      </w:pPr>
      <w:r>
        <w:rPr>
          <w:rFonts w:hint="eastAsia"/>
          <w:color w:val="auto"/>
          <w:highlight w:val="none"/>
          <w:lang w:eastAsia="zh-CN"/>
        </w:rPr>
        <w:t>（</w:t>
      </w:r>
      <w:r>
        <w:rPr>
          <w:rFonts w:hint="eastAsia"/>
          <w:color w:val="auto"/>
          <w:highlight w:val="none"/>
          <w:lang w:val="en-US" w:eastAsia="zh-CN"/>
        </w:rPr>
        <w:t>1）</w:t>
      </w:r>
      <w:r>
        <w:rPr>
          <w:rFonts w:hint="default"/>
          <w:color w:val="auto"/>
          <w:highlight w:val="none"/>
        </w:rPr>
        <w:t>利用人工、机械对采矿区塌陷破坏的土地进行回填、平整、保证其相对稳定性。采用基建及采矿过程形成的废石，基本恢复原有地形地貌或与周边地貌相协调。</w:t>
      </w:r>
    </w:p>
    <w:p w14:paraId="39674ED5">
      <w:pPr>
        <w:bidi w:val="0"/>
        <w:rPr>
          <w:rFonts w:hint="default"/>
          <w:color w:val="auto"/>
          <w:highlight w:val="none"/>
        </w:rPr>
      </w:pPr>
      <w:r>
        <w:rPr>
          <w:rFonts w:hint="eastAsia"/>
          <w:color w:val="auto"/>
          <w:highlight w:val="none"/>
          <w:lang w:eastAsia="zh-CN"/>
        </w:rPr>
        <w:t>（</w:t>
      </w:r>
      <w:r>
        <w:rPr>
          <w:rFonts w:hint="eastAsia"/>
          <w:color w:val="auto"/>
          <w:highlight w:val="none"/>
          <w:lang w:val="en-US" w:eastAsia="zh-CN"/>
        </w:rPr>
        <w:t>3）</w:t>
      </w:r>
      <w:r>
        <w:rPr>
          <w:rFonts w:hint="default"/>
          <w:color w:val="auto"/>
          <w:highlight w:val="none"/>
        </w:rPr>
        <w:t>用人工、机械对项目区压占破坏的土地采用平整场地的方法复垦，在土地复垦区，首先拆除无后期需要的地面建、构筑物，然后再进行场地平整，基本恢复原有地形地貌，与周边环境相协调，恢复土地使用功能。</w:t>
      </w:r>
    </w:p>
    <w:p w14:paraId="745972A5">
      <w:pPr>
        <w:bidi w:val="0"/>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rPr>
        <w:t>尾矿库在闭库后需进行闭库设计。</w:t>
      </w:r>
    </w:p>
    <w:p w14:paraId="23CEBA01">
      <w:pPr>
        <w:bidi w:val="0"/>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default"/>
          <w:color w:val="auto"/>
          <w:highlight w:val="none"/>
        </w:rPr>
        <w:t>采空区区域地形地貌发生较大变化，同时也存在地面塌陷隐患</w:t>
      </w:r>
      <w:r>
        <w:rPr>
          <w:rFonts w:hint="eastAsia"/>
          <w:color w:val="auto"/>
          <w:highlight w:val="none"/>
          <w:lang w:eastAsia="zh-CN"/>
        </w:rPr>
        <w:t>，</w:t>
      </w:r>
      <w:r>
        <w:rPr>
          <w:rFonts w:hint="eastAsia"/>
          <w:color w:val="auto"/>
          <w:highlight w:val="none"/>
          <w:lang w:val="en-US" w:eastAsia="zh-CN"/>
        </w:rPr>
        <w:t>应</w:t>
      </w:r>
      <w:r>
        <w:rPr>
          <w:rFonts w:hint="eastAsia"/>
          <w:color w:val="auto"/>
          <w:highlight w:val="none"/>
        </w:rPr>
        <w:t>加强地质灾害防治工作，消除地质灾害隐患。对边坡进行稳定治理；对不稳定的岩块进行及时清理。</w:t>
      </w:r>
    </w:p>
    <w:p w14:paraId="5C710979">
      <w:pPr>
        <w:bidi w:val="0"/>
        <w:rPr>
          <w:color w:val="auto"/>
          <w:highlight w:val="none"/>
        </w:rPr>
      </w:pPr>
      <w:r>
        <w:rPr>
          <w:rFonts w:hint="eastAsia"/>
          <w:color w:val="auto"/>
          <w:highlight w:val="none"/>
        </w:rPr>
        <w:t>随着项目区土地复垦的实施及植被的恢复，项目区将会恢复到原貌，使生态系统顺向演替。</w:t>
      </w:r>
    </w:p>
    <w:p w14:paraId="7DF9312A">
      <w:pPr>
        <w:overflowPunct w:val="0"/>
        <w:topLinePunct/>
        <w:spacing w:line="480" w:lineRule="exact"/>
        <w:ind w:firstLine="480"/>
        <w:rPr>
          <w:rFonts w:cs="Times New Roman"/>
          <w:color w:val="auto"/>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1F488B4">
      <w:pPr>
        <w:pStyle w:val="4"/>
        <w:spacing w:line="720" w:lineRule="exact"/>
        <w:rPr>
          <w:rFonts w:hint="default" w:ascii="Times New Roman" w:hAnsi="Times New Roman" w:cs="Times New Roman"/>
          <w:color w:val="auto"/>
          <w:highlight w:val="none"/>
        </w:rPr>
      </w:pPr>
      <w:bookmarkStart w:id="706" w:name="_Toc23684"/>
      <w:bookmarkStart w:id="707" w:name="_Toc21463"/>
      <w:bookmarkStart w:id="708" w:name="_Toc107414668"/>
      <w:bookmarkStart w:id="709" w:name="_Toc8627"/>
      <w:bookmarkStart w:id="710" w:name="_Toc11617"/>
      <w:bookmarkStart w:id="711" w:name="_Toc107413901"/>
      <w:bookmarkStart w:id="712" w:name="_Toc4827"/>
      <w:bookmarkStart w:id="713" w:name="_Toc4011"/>
      <w:r>
        <w:rPr>
          <w:rFonts w:hint="default" w:ascii="Times New Roman" w:hAnsi="Times New Roman" w:cs="Times New Roman"/>
          <w:color w:val="auto"/>
          <w:highlight w:val="none"/>
        </w:rPr>
        <w:t>6环境保护措施及其可行性论证</w:t>
      </w:r>
      <w:bookmarkEnd w:id="706"/>
      <w:bookmarkEnd w:id="707"/>
      <w:bookmarkEnd w:id="708"/>
      <w:bookmarkEnd w:id="709"/>
      <w:bookmarkEnd w:id="710"/>
      <w:bookmarkEnd w:id="711"/>
      <w:bookmarkEnd w:id="712"/>
      <w:bookmarkEnd w:id="713"/>
    </w:p>
    <w:p w14:paraId="327E9C37">
      <w:pPr>
        <w:bidi w:val="0"/>
        <w:rPr>
          <w:color w:val="auto"/>
          <w:highlight w:val="none"/>
        </w:rPr>
      </w:pPr>
      <w:bookmarkStart w:id="714" w:name="_Toc20330"/>
      <w:bookmarkStart w:id="715" w:name="_Toc838"/>
      <w:bookmarkStart w:id="716" w:name="_Toc14461"/>
      <w:bookmarkStart w:id="717" w:name="_Toc29276"/>
      <w:bookmarkStart w:id="718" w:name="_Toc107413902"/>
      <w:bookmarkStart w:id="719" w:name="_Toc8111"/>
      <w:bookmarkStart w:id="720" w:name="_Toc107414669"/>
      <w:r>
        <w:rPr>
          <w:rFonts w:hint="eastAsia" w:ascii="宋体" w:hAnsi="宋体" w:eastAsia="宋体" w:cs="宋体"/>
          <w:color w:val="auto"/>
          <w:kern w:val="0"/>
          <w:sz w:val="24"/>
          <w:szCs w:val="24"/>
          <w:highlight w:val="none"/>
          <w:lang w:val="en-US" w:eastAsia="zh-CN" w:bidi="ar"/>
        </w:rPr>
        <w:t>本项目施工期已</w:t>
      </w:r>
      <w:r>
        <w:rPr>
          <w:rFonts w:hint="eastAsia" w:ascii="宋体" w:hAnsi="宋体" w:cs="宋体"/>
          <w:color w:val="auto"/>
          <w:kern w:val="0"/>
          <w:sz w:val="24"/>
          <w:szCs w:val="24"/>
          <w:highlight w:val="none"/>
          <w:lang w:val="en-US" w:eastAsia="zh-CN" w:bidi="ar"/>
        </w:rPr>
        <w:t>基本</w:t>
      </w:r>
      <w:r>
        <w:rPr>
          <w:rFonts w:hint="eastAsia" w:ascii="宋体" w:hAnsi="宋体" w:eastAsia="宋体" w:cs="宋体"/>
          <w:color w:val="auto"/>
          <w:kern w:val="0"/>
          <w:sz w:val="24"/>
          <w:szCs w:val="24"/>
          <w:highlight w:val="none"/>
          <w:lang w:val="en-US" w:eastAsia="zh-CN" w:bidi="ar"/>
        </w:rPr>
        <w:t>结束，施工期环境保护措施按照</w:t>
      </w:r>
      <w:r>
        <w:rPr>
          <w:rFonts w:hint="default" w:ascii="Times New Roman" w:hAnsi="Times New Roman" w:cs="Times New Roman"/>
          <w:color w:val="auto"/>
          <w:highlight w:val="none"/>
          <w:lang w:val="en-US" w:eastAsia="zh-CN"/>
        </w:rPr>
        <w:t>《新疆华瓯矿业有限公司新疆若羌县卡尔恰尔萤石矿采选</w:t>
      </w:r>
      <w:r>
        <w:rPr>
          <w:rFonts w:hint="eastAsia" w:cs="Times New Roman"/>
          <w:color w:val="auto"/>
          <w:highlight w:val="none"/>
          <w:lang w:val="en-US" w:eastAsia="zh-CN"/>
        </w:rPr>
        <w:t>工程</w:t>
      </w:r>
      <w:r>
        <w:rPr>
          <w:rFonts w:hint="default" w:ascii="Times New Roman" w:hAnsi="Times New Roman" w:cs="Times New Roman"/>
          <w:color w:val="auto"/>
          <w:highlight w:val="none"/>
          <w:lang w:val="en-US" w:eastAsia="zh-CN"/>
        </w:rPr>
        <w:t>环境影响报告书》</w:t>
      </w:r>
      <w:r>
        <w:rPr>
          <w:rFonts w:hint="eastAsia" w:cs="Times New Roman"/>
          <w:color w:val="auto"/>
          <w:highlight w:val="none"/>
          <w:lang w:val="en-US" w:eastAsia="zh-CN"/>
        </w:rPr>
        <w:t>（2023年5月）及《</w:t>
      </w:r>
      <w:r>
        <w:rPr>
          <w:rFonts w:hint="default" w:ascii="Times New Roman" w:hAnsi="Times New Roman" w:cs="Times New Roman"/>
          <w:color w:val="auto"/>
          <w:highlight w:val="none"/>
          <w:lang w:val="en-US" w:eastAsia="zh-CN"/>
        </w:rPr>
        <w:t>关于</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新疆华瓯矿业有限公司新疆若羌县卡尔恰尔萤石矿采选</w:t>
      </w:r>
      <w:r>
        <w:rPr>
          <w:rFonts w:hint="eastAsia" w:cs="Times New Roman"/>
          <w:color w:val="auto"/>
          <w:highlight w:val="none"/>
          <w:lang w:val="en-US" w:eastAsia="zh-CN"/>
        </w:rPr>
        <w:t>工程</w:t>
      </w:r>
      <w:r>
        <w:rPr>
          <w:rFonts w:hint="default" w:ascii="Times New Roman" w:hAnsi="Times New Roman" w:cs="Times New Roman"/>
          <w:color w:val="auto"/>
          <w:highlight w:val="none"/>
          <w:lang w:val="en-US" w:eastAsia="zh-CN"/>
        </w:rPr>
        <w:t>环境影响报告书</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的批复</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（巴环评价函〔2023〕132号）</w:t>
      </w:r>
      <w:r>
        <w:rPr>
          <w:rFonts w:hint="eastAsia" w:ascii="宋体" w:hAnsi="宋体" w:eastAsia="宋体" w:cs="宋体"/>
          <w:color w:val="auto"/>
          <w:kern w:val="0"/>
          <w:sz w:val="24"/>
          <w:szCs w:val="24"/>
          <w:highlight w:val="none"/>
          <w:lang w:val="en-US" w:eastAsia="zh-CN" w:bidi="ar"/>
        </w:rPr>
        <w:t>中的相关内容执行</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因此仅开展施工期环境保护措施回顾性分析。</w:t>
      </w:r>
    </w:p>
    <w:bookmarkEnd w:id="714"/>
    <w:bookmarkEnd w:id="715"/>
    <w:bookmarkEnd w:id="716"/>
    <w:bookmarkEnd w:id="717"/>
    <w:bookmarkEnd w:id="718"/>
    <w:bookmarkEnd w:id="719"/>
    <w:bookmarkEnd w:id="720"/>
    <w:p w14:paraId="4C45FC24">
      <w:pPr>
        <w:pStyle w:val="5"/>
        <w:bidi w:val="0"/>
        <w:rPr>
          <w:rFonts w:hint="default"/>
          <w:color w:val="auto"/>
          <w:highlight w:val="none"/>
        </w:rPr>
      </w:pPr>
      <w:bookmarkStart w:id="721" w:name="_Toc5678"/>
      <w:bookmarkStart w:id="722" w:name="_Toc16763"/>
      <w:r>
        <w:rPr>
          <w:rFonts w:hint="default"/>
          <w:color w:val="auto"/>
          <w:highlight w:val="none"/>
        </w:rPr>
        <w:t>6.1施工期环境保护措施及其可行性论证</w:t>
      </w:r>
      <w:bookmarkEnd w:id="721"/>
      <w:bookmarkEnd w:id="722"/>
    </w:p>
    <w:p w14:paraId="2D0EF88B">
      <w:pPr>
        <w:pStyle w:val="6"/>
        <w:bidi w:val="0"/>
        <w:rPr>
          <w:rFonts w:hint="default" w:ascii="Times New Roman" w:hAnsi="Times New Roman" w:cs="Times New Roman"/>
          <w:color w:val="auto"/>
          <w:highlight w:val="none"/>
        </w:rPr>
      </w:pPr>
      <w:bookmarkStart w:id="723" w:name="_Toc19579"/>
      <w:bookmarkStart w:id="724" w:name="_Toc6475"/>
      <w:bookmarkStart w:id="725" w:name="_Toc2237"/>
      <w:r>
        <w:rPr>
          <w:rFonts w:hint="default" w:ascii="Times New Roman" w:hAnsi="Times New Roman" w:cs="Times New Roman"/>
          <w:color w:val="auto"/>
          <w:highlight w:val="none"/>
        </w:rPr>
        <w:t>6.1.1大气污染防护措施</w:t>
      </w:r>
      <w:bookmarkEnd w:id="723"/>
      <w:bookmarkEnd w:id="724"/>
      <w:bookmarkEnd w:id="725"/>
    </w:p>
    <w:p w14:paraId="7D9AF432">
      <w:pPr>
        <w:overflowPunct w:val="0"/>
        <w:topLinePunct/>
        <w:spacing w:line="480" w:lineRule="exact"/>
        <w:ind w:firstLine="480"/>
        <w:jc w:val="both"/>
        <w:rPr>
          <w:rFonts w:hint="default" w:ascii="Times New Roman" w:hAnsi="Times New Roman" w:cs="Times New Roman"/>
          <w:color w:val="auto"/>
          <w:highlight w:val="none"/>
          <w:lang w:val="zh-CN"/>
        </w:rPr>
      </w:pPr>
      <w:r>
        <w:rPr>
          <w:rFonts w:hint="default" w:ascii="Times New Roman" w:hAnsi="Times New Roman" w:cs="Times New Roman"/>
          <w:color w:val="auto"/>
          <w:highlight w:val="none"/>
        </w:rPr>
        <w:t>施工期间必须采取合理可行的控制措施，尽量减轻扬尘对附近大气环境的污染，缩小其影响范围。</w:t>
      </w:r>
      <w:r>
        <w:rPr>
          <w:rFonts w:hint="default" w:ascii="Times New Roman" w:hAnsi="Times New Roman" w:eastAsia="宋体" w:cs="Times New Roman"/>
          <w:color w:val="auto"/>
          <w:sz w:val="24"/>
          <w:szCs w:val="24"/>
          <w:highlight w:val="none"/>
          <w:lang w:val="en-US" w:eastAsia="zh-CN"/>
        </w:rPr>
        <w:t>根据现场踏勘情况，</w:t>
      </w:r>
      <w:r>
        <w:rPr>
          <w:rFonts w:hint="default" w:ascii="Times New Roman" w:hAnsi="Times New Roman" w:eastAsia="宋体" w:cs="Times New Roman"/>
          <w:color w:val="auto"/>
          <w:kern w:val="0"/>
          <w:sz w:val="24"/>
          <w:szCs w:val="24"/>
          <w:highlight w:val="none"/>
          <w:lang w:val="en-US" w:eastAsia="zh-CN"/>
        </w:rPr>
        <w:t>施工粉尘对环境的影响已随施工的结束而消失。</w:t>
      </w:r>
    </w:p>
    <w:p w14:paraId="0CBAD967">
      <w:pPr>
        <w:pStyle w:val="6"/>
        <w:rPr>
          <w:rFonts w:hint="default" w:ascii="Times New Roman" w:hAnsi="Times New Roman" w:cs="Times New Roman"/>
          <w:color w:val="auto"/>
          <w:highlight w:val="none"/>
        </w:rPr>
      </w:pPr>
      <w:bookmarkStart w:id="726" w:name="_Toc10638"/>
      <w:bookmarkStart w:id="727" w:name="_Toc17455"/>
      <w:bookmarkStart w:id="728" w:name="_Toc3718"/>
      <w:r>
        <w:rPr>
          <w:rFonts w:hint="default" w:ascii="Times New Roman" w:hAnsi="Times New Roman" w:cs="Times New Roman"/>
          <w:color w:val="auto"/>
          <w:highlight w:val="none"/>
        </w:rPr>
        <w:t>6.1.2废水污染防护措施</w:t>
      </w:r>
      <w:bookmarkEnd w:id="726"/>
      <w:bookmarkEnd w:id="727"/>
      <w:bookmarkEnd w:id="728"/>
    </w:p>
    <w:p w14:paraId="116D8BB3">
      <w:pPr>
        <w:overflowPunct w:val="0"/>
        <w:topLinePunct/>
        <w:spacing w:line="480" w:lineRule="exact"/>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施工过程产生废水主要为生活污水、施工废水，本环评提出的处理措施如下：</w:t>
      </w:r>
    </w:p>
    <w:p w14:paraId="4A7EF045">
      <w:pPr>
        <w:overflowPunct w:val="0"/>
        <w:topLinePunct/>
        <w:spacing w:line="480" w:lineRule="exact"/>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（1）施工场地设置临时隔</w:t>
      </w:r>
      <w:r>
        <w:rPr>
          <w:rFonts w:hint="eastAsia" w:cs="Times New Roman"/>
          <w:color w:val="auto"/>
          <w:highlight w:val="none"/>
          <w:lang w:val="en-US" w:eastAsia="zh-CN"/>
        </w:rPr>
        <w:t>沉淀池</w:t>
      </w:r>
      <w:r>
        <w:rPr>
          <w:rFonts w:hint="default" w:ascii="Times New Roman" w:hAnsi="Times New Roman" w:cs="Times New Roman"/>
          <w:color w:val="auto"/>
          <w:highlight w:val="none"/>
        </w:rPr>
        <w:t>，将施工废水沉淀处理后回用于施工工序，如洒水降尘等，对区域水环境影响较小。</w:t>
      </w:r>
    </w:p>
    <w:p w14:paraId="4756F4DC">
      <w:pPr>
        <w:overflowPunct w:val="0"/>
        <w:topLinePunct/>
        <w:spacing w:line="480" w:lineRule="exact"/>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eastAsia" w:cs="Times New Roman"/>
          <w:color w:val="auto"/>
          <w:highlight w:val="none"/>
          <w:lang w:val="en-US" w:eastAsia="zh-CN"/>
        </w:rPr>
        <w:t>设置一体化污水处理设施</w:t>
      </w:r>
      <w:r>
        <w:rPr>
          <w:rFonts w:hint="default" w:ascii="Times New Roman" w:hAnsi="Times New Roman" w:cs="Times New Roman"/>
          <w:color w:val="auto"/>
          <w:highlight w:val="none"/>
        </w:rPr>
        <w:t>，施工人员生活污水经处理后回用于</w:t>
      </w:r>
      <w:r>
        <w:rPr>
          <w:rFonts w:hint="default" w:ascii="Times New Roman" w:hAnsi="Times New Roman" w:cs="Times New Roman"/>
          <w:color w:val="auto"/>
          <w:highlight w:val="none"/>
          <w:lang w:eastAsia="zh-CN"/>
        </w:rPr>
        <w:t>降尘和绿化</w:t>
      </w:r>
      <w:r>
        <w:rPr>
          <w:rFonts w:hint="default" w:ascii="Times New Roman" w:hAnsi="Times New Roman" w:cs="Times New Roman"/>
          <w:color w:val="auto"/>
          <w:highlight w:val="none"/>
        </w:rPr>
        <w:t>，不外排，对区域水环境影响甚微。</w:t>
      </w:r>
    </w:p>
    <w:p w14:paraId="04940EB1">
      <w:pPr>
        <w:keepLines w:val="0"/>
        <w:pageBreakBefore w:val="0"/>
        <w:kinsoku/>
        <w:wordWrap/>
        <w:overflowPunct/>
        <w:topLinePunct w:val="0"/>
        <w:autoSpaceDE/>
        <w:autoSpaceDN/>
        <w:bidi w:val="0"/>
        <w:spacing w:line="480" w:lineRule="exact"/>
        <w:ind w:left="0"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本项目施工期未发生废水乱排现象。临沉淀池已拆除、填埋、恢复原样，对周边水环境无影响，</w:t>
      </w:r>
      <w:r>
        <w:rPr>
          <w:rFonts w:hint="eastAsia" w:cs="Times New Roman"/>
          <w:color w:val="auto"/>
          <w:highlight w:val="none"/>
          <w:lang w:val="en-US" w:eastAsia="zh-CN"/>
        </w:rPr>
        <w:t>一体化污水处理设施生产期继续使用，</w:t>
      </w:r>
      <w:r>
        <w:rPr>
          <w:rFonts w:hint="default" w:ascii="Times New Roman" w:hAnsi="Times New Roman" w:eastAsia="宋体" w:cs="Times New Roman"/>
          <w:color w:val="auto"/>
          <w:sz w:val="24"/>
          <w:szCs w:val="24"/>
          <w:highlight w:val="none"/>
          <w:lang w:val="en-US" w:eastAsia="zh-CN"/>
        </w:rPr>
        <w:t>根据现场踏勘情况，</w:t>
      </w:r>
      <w:r>
        <w:rPr>
          <w:rFonts w:hint="default" w:ascii="Times New Roman" w:hAnsi="Times New Roman" w:eastAsia="宋体" w:cs="Times New Roman"/>
          <w:color w:val="auto"/>
          <w:kern w:val="0"/>
          <w:sz w:val="24"/>
          <w:szCs w:val="24"/>
          <w:highlight w:val="none"/>
          <w:lang w:val="en-US" w:eastAsia="zh-CN"/>
        </w:rPr>
        <w:t>施工</w:t>
      </w:r>
      <w:r>
        <w:rPr>
          <w:rFonts w:hint="eastAsia" w:ascii="Times New Roman" w:hAnsi="Times New Roman" w:eastAsia="宋体" w:cs="Times New Roman"/>
          <w:color w:val="auto"/>
          <w:kern w:val="0"/>
          <w:sz w:val="24"/>
          <w:szCs w:val="24"/>
          <w:highlight w:val="none"/>
          <w:lang w:val="en-US" w:eastAsia="zh-CN"/>
        </w:rPr>
        <w:t>期间废水</w:t>
      </w:r>
      <w:r>
        <w:rPr>
          <w:rFonts w:hint="default" w:ascii="Times New Roman" w:hAnsi="Times New Roman" w:eastAsia="宋体" w:cs="Times New Roman"/>
          <w:color w:val="auto"/>
          <w:kern w:val="0"/>
          <w:sz w:val="24"/>
          <w:szCs w:val="24"/>
          <w:highlight w:val="none"/>
          <w:lang w:val="en-US" w:eastAsia="zh-CN"/>
        </w:rPr>
        <w:t>对环境的影响已随施工的结束而消失。</w:t>
      </w:r>
    </w:p>
    <w:p w14:paraId="714AEF9B">
      <w:pPr>
        <w:pStyle w:val="6"/>
        <w:rPr>
          <w:rFonts w:hint="default" w:ascii="Times New Roman" w:hAnsi="Times New Roman" w:cs="Times New Roman"/>
          <w:color w:val="auto"/>
          <w:highlight w:val="none"/>
        </w:rPr>
      </w:pPr>
      <w:bookmarkStart w:id="729" w:name="_Toc8334"/>
      <w:bookmarkStart w:id="730" w:name="_Toc17119"/>
      <w:bookmarkStart w:id="731" w:name="_Toc2672"/>
      <w:r>
        <w:rPr>
          <w:rFonts w:hint="default" w:ascii="Times New Roman" w:hAnsi="Times New Roman" w:cs="Times New Roman"/>
          <w:color w:val="auto"/>
          <w:highlight w:val="none"/>
        </w:rPr>
        <w:t>6.1.3噪声污染防护措施</w:t>
      </w:r>
      <w:bookmarkEnd w:id="729"/>
      <w:bookmarkEnd w:id="730"/>
      <w:bookmarkEnd w:id="731"/>
    </w:p>
    <w:p w14:paraId="28CF6E05">
      <w:pPr>
        <w:overflowPunct w:val="0"/>
        <w:topLinePunct/>
        <w:spacing w:line="480" w:lineRule="exact"/>
        <w:ind w:firstLine="48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s="Times New Roman"/>
          <w:color w:val="auto"/>
          <w:highlight w:val="none"/>
        </w:rPr>
        <w:t>为了减轻施工噪声对周围环境的影响，建设方应采取有效措施控制施工期噪声。</w:t>
      </w:r>
      <w:r>
        <w:rPr>
          <w:rFonts w:hint="default" w:ascii="Times New Roman" w:hAnsi="Times New Roman" w:eastAsia="宋体" w:cs="Times New Roman"/>
          <w:color w:val="auto"/>
          <w:kern w:val="0"/>
          <w:sz w:val="24"/>
          <w:szCs w:val="24"/>
          <w:highlight w:val="none"/>
          <w:lang w:val="en-US" w:eastAsia="zh-CN" w:bidi="ar-SA"/>
        </w:rPr>
        <w:t>在施工过程中，通过使用低噪声机械设备，增加消声减噪装置及加强对施工人员的监督和管理等措施控制施工噪声。项目区周边</w:t>
      </w:r>
      <w:r>
        <w:rPr>
          <w:rFonts w:hint="eastAsia" w:ascii="Times New Roman" w:hAnsi="Times New Roman" w:eastAsia="宋体" w:cs="Times New Roman"/>
          <w:color w:val="auto"/>
          <w:kern w:val="0"/>
          <w:sz w:val="24"/>
          <w:szCs w:val="24"/>
          <w:highlight w:val="none"/>
          <w:lang w:val="en-US" w:eastAsia="zh-CN" w:bidi="ar-SA"/>
        </w:rPr>
        <w:t>无声</w:t>
      </w:r>
      <w:r>
        <w:rPr>
          <w:rFonts w:hint="default" w:ascii="Times New Roman" w:hAnsi="Times New Roman" w:eastAsia="宋体" w:cs="Times New Roman"/>
          <w:color w:val="auto"/>
          <w:kern w:val="0"/>
          <w:sz w:val="24"/>
          <w:szCs w:val="24"/>
          <w:highlight w:val="none"/>
          <w:lang w:val="en-US" w:eastAsia="zh-CN" w:bidi="ar-SA"/>
        </w:rPr>
        <w:t>环境敏感点，施工噪声对周边环境影响较小。施工噪声对环境的影响已随施工的结束而消失。</w:t>
      </w:r>
    </w:p>
    <w:p w14:paraId="255574E7">
      <w:pPr>
        <w:pStyle w:val="6"/>
        <w:rPr>
          <w:rFonts w:hint="default" w:ascii="Times New Roman" w:hAnsi="Times New Roman" w:cs="Times New Roman"/>
          <w:color w:val="auto"/>
          <w:highlight w:val="none"/>
        </w:rPr>
      </w:pPr>
      <w:bookmarkStart w:id="732" w:name="_Toc13140"/>
      <w:bookmarkStart w:id="733" w:name="_Toc25985"/>
      <w:bookmarkStart w:id="734" w:name="_Toc31795"/>
      <w:r>
        <w:rPr>
          <w:rFonts w:hint="default" w:ascii="Times New Roman" w:hAnsi="Times New Roman" w:cs="Times New Roman"/>
          <w:color w:val="auto"/>
          <w:highlight w:val="none"/>
        </w:rPr>
        <w:t>6.1.4固体废物污染防护措施</w:t>
      </w:r>
      <w:bookmarkEnd w:id="732"/>
      <w:bookmarkEnd w:id="733"/>
      <w:bookmarkEnd w:id="734"/>
    </w:p>
    <w:p w14:paraId="62F7163D">
      <w:pPr>
        <w:overflowPunct w:val="0"/>
        <w:topLinePunct/>
        <w:spacing w:after="0"/>
        <w:ind w:left="0" w:leftChars="0"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施工时由于工业场地建设平整土地、建设构筑物等过程中会产生一定量的施工弃土、弃渣和设备安装过</w:t>
      </w:r>
      <w:r>
        <w:rPr>
          <w:rFonts w:hint="eastAsia" w:ascii="Times New Roman" w:hAnsi="Times New Roman" w:cs="Times New Roman"/>
          <w:color w:val="auto"/>
          <w:highlight w:val="none"/>
          <w:lang w:eastAsia="zh-CN"/>
        </w:rPr>
        <w:t>程中</w:t>
      </w:r>
      <w:r>
        <w:rPr>
          <w:rFonts w:hint="default" w:ascii="Times New Roman" w:hAnsi="Times New Roman" w:cs="Times New Roman"/>
          <w:color w:val="auto"/>
          <w:highlight w:val="none"/>
        </w:rPr>
        <w:t>产生的金属废料等。</w:t>
      </w:r>
    </w:p>
    <w:p w14:paraId="4125966C">
      <w:pPr>
        <w:widowControl/>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金属废料施工后可进行回收，施工所产生的弃土、弃渣应全部用于回填取土坑，平整。</w:t>
      </w:r>
    </w:p>
    <w:p w14:paraId="1F897C25">
      <w:pPr>
        <w:keepLines w:val="0"/>
        <w:pageBreakBefore w:val="0"/>
        <w:kinsoku/>
        <w:wordWrap/>
        <w:overflowPunct/>
        <w:topLinePunct w:val="0"/>
        <w:autoSpaceDE/>
        <w:autoSpaceDN/>
        <w:bidi w:val="0"/>
        <w:spacing w:line="480" w:lineRule="exact"/>
        <w:ind w:left="0" w:firstLine="480" w:firstLineChars="200"/>
        <w:rPr>
          <w:rFonts w:hint="default" w:ascii="Times New Roman" w:hAnsi="Times New Roman" w:eastAsia="宋体" w:cs="Times New Roman"/>
          <w:color w:val="auto"/>
          <w:kern w:val="0"/>
          <w:sz w:val="24"/>
          <w:szCs w:val="24"/>
          <w:highlight w:val="none"/>
        </w:rPr>
      </w:pPr>
      <w:bookmarkStart w:id="735" w:name="_Toc13123"/>
      <w:bookmarkStart w:id="736" w:name="_Toc29927"/>
      <w:bookmarkStart w:id="737" w:name="_Toc677"/>
      <w:r>
        <w:rPr>
          <w:rFonts w:hint="default" w:ascii="Times New Roman" w:hAnsi="Times New Roman" w:eastAsia="宋体" w:cs="Times New Roman"/>
          <w:color w:val="auto"/>
          <w:sz w:val="24"/>
          <w:szCs w:val="24"/>
          <w:highlight w:val="none"/>
          <w:lang w:val="en-US" w:eastAsia="zh-CN"/>
        </w:rPr>
        <w:t>根据现场踏勘情况，</w:t>
      </w:r>
      <w:r>
        <w:rPr>
          <w:rFonts w:hint="default" w:ascii="Times New Roman" w:hAnsi="Times New Roman" w:eastAsia="宋体" w:cs="Times New Roman"/>
          <w:color w:val="auto"/>
          <w:kern w:val="0"/>
          <w:sz w:val="24"/>
          <w:szCs w:val="24"/>
          <w:highlight w:val="none"/>
        </w:rPr>
        <w:t>施工现场无遗留</w:t>
      </w:r>
      <w:r>
        <w:rPr>
          <w:rFonts w:hint="eastAsia" w:ascii="Times New Roman" w:hAnsi="Times New Roman" w:eastAsia="宋体" w:cs="Times New Roman"/>
          <w:color w:val="auto"/>
          <w:kern w:val="0"/>
          <w:sz w:val="24"/>
          <w:szCs w:val="24"/>
          <w:highlight w:val="none"/>
          <w:lang w:val="en-US" w:eastAsia="zh-CN"/>
        </w:rPr>
        <w:t>施工</w:t>
      </w:r>
      <w:r>
        <w:rPr>
          <w:rFonts w:hint="default" w:ascii="Times New Roman" w:hAnsi="Times New Roman" w:eastAsia="宋体" w:cs="Times New Roman"/>
          <w:color w:val="auto"/>
          <w:kern w:val="0"/>
          <w:sz w:val="24"/>
          <w:szCs w:val="24"/>
          <w:highlight w:val="none"/>
        </w:rPr>
        <w:t>固体废弃物</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sz w:val="24"/>
          <w:szCs w:val="24"/>
          <w:highlight w:val="none"/>
        </w:rPr>
        <w:t>固体废物</w:t>
      </w:r>
      <w:r>
        <w:rPr>
          <w:rFonts w:hint="default" w:ascii="Times New Roman" w:hAnsi="Times New Roman" w:eastAsia="宋体" w:cs="Times New Roman"/>
          <w:color w:val="auto"/>
          <w:kern w:val="0"/>
          <w:sz w:val="24"/>
          <w:szCs w:val="24"/>
          <w:highlight w:val="none"/>
          <w:lang w:val="en-US" w:eastAsia="zh-CN"/>
        </w:rPr>
        <w:t>对环境的影响已随施工的结束而消失。</w:t>
      </w:r>
    </w:p>
    <w:p w14:paraId="2A7E386E">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rPr>
        <w:t>6.1.5生态环境保护措施</w:t>
      </w:r>
      <w:bookmarkEnd w:id="735"/>
      <w:bookmarkEnd w:id="736"/>
      <w:bookmarkEnd w:id="737"/>
    </w:p>
    <w:p w14:paraId="26229895">
      <w:pPr>
        <w:overflowPunct w:val="0"/>
        <w:topLinePunct/>
        <w:spacing w:line="480" w:lineRule="exact"/>
        <w:ind w:firstLine="480"/>
        <w:jc w:val="both"/>
        <w:rPr>
          <w:rFonts w:hint="default" w:ascii="Times New Roman" w:hAnsi="Times New Roman" w:cs="Times New Roman"/>
          <w:color w:val="auto"/>
          <w:highlight w:val="none"/>
        </w:rPr>
      </w:pPr>
      <w:r>
        <w:rPr>
          <w:rFonts w:hint="default" w:ascii="Times New Roman" w:hAnsi="Times New Roman" w:cs="Times New Roman"/>
          <w:color w:val="auto"/>
          <w:szCs w:val="22"/>
          <w:highlight w:val="none"/>
        </w:rPr>
        <w:t>工程</w:t>
      </w:r>
      <w:r>
        <w:rPr>
          <w:rFonts w:hint="default" w:ascii="Times New Roman" w:hAnsi="Times New Roman" w:cs="Times New Roman"/>
          <w:color w:val="auto"/>
          <w:szCs w:val="22"/>
          <w:highlight w:val="none"/>
          <w:lang w:val="zh-TW" w:eastAsia="zh-TW"/>
        </w:rPr>
        <w:t>建设</w:t>
      </w:r>
      <w:r>
        <w:rPr>
          <w:rFonts w:hint="default" w:ascii="Times New Roman" w:hAnsi="Times New Roman" w:cs="Times New Roman"/>
          <w:color w:val="auto"/>
          <w:szCs w:val="22"/>
          <w:highlight w:val="none"/>
        </w:rPr>
        <w:t>期在项目区修筑</w:t>
      </w:r>
      <w:r>
        <w:rPr>
          <w:rFonts w:hint="eastAsia" w:cs="Times New Roman"/>
          <w:color w:val="auto"/>
          <w:szCs w:val="22"/>
          <w:highlight w:val="none"/>
          <w:lang w:val="en-US" w:eastAsia="zh-CN"/>
        </w:rPr>
        <w:t>采矿场、</w:t>
      </w:r>
      <w:r>
        <w:rPr>
          <w:rFonts w:hint="default" w:ascii="Times New Roman" w:hAnsi="Times New Roman" w:cs="Times New Roman"/>
          <w:color w:val="auto"/>
          <w:szCs w:val="22"/>
          <w:highlight w:val="none"/>
        </w:rPr>
        <w:t>选矿场、</w:t>
      </w:r>
      <w:r>
        <w:rPr>
          <w:rFonts w:hint="eastAsia" w:cs="Times New Roman"/>
          <w:color w:val="auto"/>
          <w:szCs w:val="22"/>
          <w:highlight w:val="none"/>
          <w:lang w:val="en-US" w:eastAsia="zh-CN"/>
        </w:rPr>
        <w:t>尾矿库</w:t>
      </w:r>
      <w:r>
        <w:rPr>
          <w:rFonts w:hint="default" w:ascii="Times New Roman" w:hAnsi="Times New Roman" w:cs="Times New Roman"/>
          <w:color w:val="auto"/>
          <w:szCs w:val="22"/>
          <w:highlight w:val="none"/>
        </w:rPr>
        <w:t>场地道路等建设活动时，永久占地将改变现有的土地利用方式，被</w:t>
      </w:r>
      <w:r>
        <w:rPr>
          <w:rFonts w:hint="eastAsia" w:ascii="Times New Roman" w:hAnsi="Times New Roman" w:cs="Times New Roman"/>
          <w:color w:val="auto"/>
          <w:szCs w:val="22"/>
          <w:highlight w:val="none"/>
          <w:lang w:eastAsia="zh-CN"/>
        </w:rPr>
        <w:t>占用</w:t>
      </w:r>
      <w:r>
        <w:rPr>
          <w:rFonts w:hint="default" w:ascii="Times New Roman" w:hAnsi="Times New Roman" w:cs="Times New Roman"/>
          <w:color w:val="auto"/>
          <w:szCs w:val="22"/>
          <w:highlight w:val="none"/>
        </w:rPr>
        <w:t>土地的地表植被破坏，使原自然生态系统所有功能完全损失，对生态系统完整性有一定影响并导致一定程度的水土流失。要求按《非金属矿行业绿色矿山建设规范》（DZ/T0312-2018）的有关要求进行合理规划及建设，尽量减少占地</w:t>
      </w:r>
      <w:r>
        <w:rPr>
          <w:rFonts w:hint="eastAsia" w:ascii="Times New Roman" w:hAnsi="Times New Roman" w:cs="Times New Roman"/>
          <w:color w:val="auto"/>
          <w:szCs w:val="22"/>
          <w:highlight w:val="none"/>
          <w:lang w:eastAsia="zh-CN"/>
        </w:rPr>
        <w:t>；在</w:t>
      </w:r>
      <w:r>
        <w:rPr>
          <w:rFonts w:hint="default" w:ascii="Times New Roman" w:hAnsi="Times New Roman" w:cs="Times New Roman"/>
          <w:color w:val="auto"/>
          <w:szCs w:val="22"/>
          <w:highlight w:val="none"/>
        </w:rPr>
        <w:t>项目施工过程中，剥离的表土作为复垦用土；要求加强运输调度管理，禁止任意开辟施工道路，禁止车辆在非工作道路上到处碾压；科学合理地进行施工组织设计，尽量少挖方，少填方，最大限度地保持原有地貌；施工作业结束后，因地制宜地做好施工场地的恢复工作，并采取水土保持措施。</w:t>
      </w:r>
    </w:p>
    <w:p w14:paraId="14A94855">
      <w:pPr>
        <w:keepLines w:val="0"/>
        <w:pageBreakBefore w:val="0"/>
        <w:kinsoku/>
        <w:wordWrap/>
        <w:overflowPunct/>
        <w:topLinePunct w:val="0"/>
        <w:autoSpaceDE/>
        <w:autoSpaceDN/>
        <w:bidi w:val="0"/>
        <w:spacing w:line="480" w:lineRule="exact"/>
        <w:ind w:left="0"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lang w:val="en-US" w:eastAsia="zh-CN"/>
        </w:rPr>
        <w:t>根据现场踏勘情况，通过对临时占地区域采取土地平整、迹地恢复等措施，</w:t>
      </w:r>
      <w:r>
        <w:rPr>
          <w:rFonts w:hint="eastAsia" w:ascii="Times New Roman" w:hAnsi="Times New Roman" w:eastAsia="宋体" w:cs="Times New Roman"/>
          <w:color w:val="auto"/>
          <w:sz w:val="24"/>
          <w:szCs w:val="24"/>
          <w:highlight w:val="none"/>
          <w:lang w:val="en-US" w:eastAsia="zh-CN"/>
        </w:rPr>
        <w:t>项目周边环境</w:t>
      </w:r>
      <w:r>
        <w:rPr>
          <w:rFonts w:hint="default" w:ascii="Times New Roman" w:hAnsi="Times New Roman" w:eastAsia="宋体" w:cs="Times New Roman"/>
          <w:color w:val="auto"/>
          <w:sz w:val="24"/>
          <w:szCs w:val="24"/>
          <w:highlight w:val="none"/>
          <w:lang w:val="en-US" w:eastAsia="zh-CN"/>
        </w:rPr>
        <w:t>已基本恢复到施工前情况，未对周边产生累积或长期的不利生态影响，采取的生态保护措施基本有效。</w:t>
      </w:r>
    </w:p>
    <w:p w14:paraId="5C520EB7">
      <w:pPr>
        <w:pStyle w:val="5"/>
        <w:rPr>
          <w:rFonts w:hint="default" w:ascii="Times New Roman" w:hAnsi="Times New Roman" w:cs="Times New Roman"/>
          <w:color w:val="auto"/>
          <w:highlight w:val="none"/>
        </w:rPr>
      </w:pPr>
      <w:bookmarkStart w:id="738" w:name="_Toc9895"/>
      <w:bookmarkStart w:id="739" w:name="_Toc5909"/>
      <w:bookmarkStart w:id="740" w:name="_Toc107413903"/>
      <w:bookmarkStart w:id="741" w:name="_Toc26045"/>
      <w:bookmarkStart w:id="742" w:name="_Toc10589"/>
      <w:bookmarkStart w:id="743" w:name="_Toc107414670"/>
      <w:bookmarkStart w:id="744" w:name="_Toc14375"/>
      <w:bookmarkStart w:id="745" w:name="_Toc4683"/>
      <w:r>
        <w:rPr>
          <w:rFonts w:hint="default" w:ascii="Times New Roman" w:hAnsi="Times New Roman" w:cs="Times New Roman"/>
          <w:color w:val="auto"/>
          <w:highlight w:val="none"/>
        </w:rPr>
        <w:t>6.2运营期环境保护措施及其可行性论证</w:t>
      </w:r>
      <w:bookmarkEnd w:id="738"/>
      <w:bookmarkEnd w:id="739"/>
      <w:bookmarkEnd w:id="740"/>
      <w:bookmarkEnd w:id="741"/>
      <w:bookmarkEnd w:id="742"/>
      <w:bookmarkEnd w:id="743"/>
      <w:bookmarkEnd w:id="744"/>
      <w:bookmarkEnd w:id="745"/>
    </w:p>
    <w:p w14:paraId="5E6D2A56">
      <w:pPr>
        <w:pStyle w:val="6"/>
        <w:rPr>
          <w:rFonts w:hint="default" w:ascii="Times New Roman" w:hAnsi="Times New Roman" w:cs="Times New Roman"/>
          <w:color w:val="auto"/>
          <w:highlight w:val="none"/>
        </w:rPr>
      </w:pPr>
      <w:bookmarkStart w:id="746" w:name="_Toc25926"/>
      <w:bookmarkStart w:id="747" w:name="_Toc16766"/>
      <w:bookmarkStart w:id="748" w:name="_Toc4418"/>
      <w:r>
        <w:rPr>
          <w:rFonts w:hint="default" w:ascii="Times New Roman" w:hAnsi="Times New Roman" w:cs="Times New Roman"/>
          <w:color w:val="auto"/>
          <w:highlight w:val="none"/>
        </w:rPr>
        <w:t>6.2.1大气污染防治措施</w:t>
      </w:r>
      <w:bookmarkEnd w:id="746"/>
      <w:bookmarkEnd w:id="747"/>
      <w:bookmarkEnd w:id="748"/>
    </w:p>
    <w:p w14:paraId="7429BC2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为了有效地控制颗粒物的排放量，减少其对周围环境的影响，对新增的产尘点采取以防为主的方针，从工艺设计上尽量减少生产中的扬尘产生，对有组织粉尘排放点采用密闭、安装集气罩及除尘器等措施，选矿厂所有产生点均安装收尘设施，对无组织粉尘</w:t>
      </w:r>
      <w:r>
        <w:rPr>
          <w:rFonts w:hint="default" w:ascii="Times New Roman" w:hAnsi="Times New Roman" w:cs="Times New Roman"/>
          <w:color w:val="auto"/>
          <w:kern w:val="0"/>
          <w:highlight w:val="none"/>
          <w:lang w:eastAsia="zh-CN"/>
        </w:rPr>
        <w:t>、氟化物</w:t>
      </w:r>
      <w:r>
        <w:rPr>
          <w:rFonts w:hint="default" w:ascii="Times New Roman" w:hAnsi="Times New Roman" w:cs="Times New Roman"/>
          <w:color w:val="auto"/>
          <w:kern w:val="0"/>
          <w:highlight w:val="none"/>
        </w:rPr>
        <w:t>排放源采用密闭式输送、降低物料落差、粉状物料储存采用封闭库以及洒水降尘等措施。</w:t>
      </w:r>
    </w:p>
    <w:p w14:paraId="3706285F">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6.2.1.1有组织粉尘排放污染防治措施及其可行性分析</w:t>
      </w:r>
    </w:p>
    <w:p w14:paraId="38293919">
      <w:pPr>
        <w:overflowPunct w:val="0"/>
        <w:topLinePunct/>
        <w:ind w:firstLine="480"/>
        <w:rPr>
          <w:rFonts w:hint="default" w:ascii="Times New Roman" w:hAnsi="Times New Roman" w:eastAsia="宋体" w:cs="Times New Roman"/>
          <w:color w:val="auto"/>
          <w:highlight w:val="none"/>
          <w:lang w:val="en-US" w:eastAsia="zh-CN"/>
        </w:rPr>
      </w:pPr>
      <w:r>
        <w:rPr>
          <w:rFonts w:hint="eastAsia" w:cs="Times New Roman"/>
          <w:color w:val="auto"/>
          <w:highlight w:val="none"/>
          <w:lang w:eastAsia="zh-CN"/>
        </w:rPr>
        <w:t>（</w:t>
      </w:r>
      <w:r>
        <w:rPr>
          <w:rFonts w:hint="eastAsia" w:cs="Times New Roman"/>
          <w:color w:val="auto"/>
          <w:highlight w:val="none"/>
          <w:lang w:val="en-US" w:eastAsia="zh-CN"/>
        </w:rPr>
        <w:t>1）颗粒物、氟化物</w:t>
      </w:r>
    </w:p>
    <w:p w14:paraId="586C5093">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车间在</w:t>
      </w:r>
      <w:r>
        <w:rPr>
          <w:rFonts w:hint="eastAsia" w:cs="Times New Roman"/>
          <w:color w:val="auto"/>
          <w:highlight w:val="none"/>
          <w:lang w:val="en-US" w:eastAsia="zh-CN"/>
        </w:rPr>
        <w:t>各</w:t>
      </w:r>
      <w:r>
        <w:rPr>
          <w:rFonts w:hint="default" w:ascii="Times New Roman" w:hAnsi="Times New Roman" w:cs="Times New Roman"/>
          <w:color w:val="auto"/>
          <w:highlight w:val="none"/>
        </w:rPr>
        <w:t>工序的</w:t>
      </w:r>
      <w:r>
        <w:rPr>
          <w:rFonts w:hint="eastAsia" w:cs="Times New Roman"/>
          <w:color w:val="auto"/>
          <w:highlight w:val="none"/>
          <w:lang w:val="en-US" w:eastAsia="zh-CN"/>
        </w:rPr>
        <w:t>上料点、</w:t>
      </w:r>
      <w:r>
        <w:rPr>
          <w:rFonts w:hint="default" w:ascii="Times New Roman" w:hAnsi="Times New Roman" w:cs="Times New Roman"/>
          <w:color w:val="auto"/>
          <w:highlight w:val="none"/>
        </w:rPr>
        <w:t>落料点设备</w:t>
      </w:r>
      <w:r>
        <w:rPr>
          <w:rFonts w:hint="eastAsia" w:cs="Times New Roman"/>
          <w:color w:val="auto"/>
          <w:highlight w:val="none"/>
          <w:lang w:val="en-US" w:eastAsia="zh-CN"/>
        </w:rPr>
        <w:t>以及</w:t>
      </w:r>
      <w:r>
        <w:rPr>
          <w:rFonts w:hint="default" w:ascii="Times New Roman" w:hAnsi="Times New Roman" w:cs="Times New Roman"/>
          <w:color w:val="auto"/>
          <w:highlight w:val="none"/>
        </w:rPr>
        <w:t>破碎设备上方安装集气罩，并配套安装袋式除尘器，车间安装排气筒，变无组织排放为有组织排放。目前袋式除尘技术在我国较成熟，使用广泛，收尘效率可达到99%以上，由于布袋更换容易，因此事故排放时间短，排放量小，影响也较小。</w:t>
      </w:r>
    </w:p>
    <w:p w14:paraId="4E07716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本项目环评要求</w:t>
      </w:r>
      <w:r>
        <w:rPr>
          <w:rFonts w:hint="eastAsia" w:cs="Times New Roman"/>
          <w:color w:val="auto"/>
          <w:highlight w:val="none"/>
          <w:lang w:val="en-US" w:eastAsia="zh-CN"/>
        </w:rPr>
        <w:t>粗矿仓</w:t>
      </w:r>
      <w:r>
        <w:rPr>
          <w:rFonts w:hint="default" w:ascii="Times New Roman" w:hAnsi="Times New Roman" w:cs="Times New Roman"/>
          <w:color w:val="auto"/>
          <w:highlight w:val="none"/>
          <w:lang w:eastAsia="zh-CN"/>
        </w:rPr>
        <w:t>、</w:t>
      </w:r>
      <w:r>
        <w:rPr>
          <w:rFonts w:hint="eastAsia" w:cs="Times New Roman"/>
          <w:color w:val="auto"/>
          <w:highlight w:val="none"/>
          <w:lang w:val="en-US" w:eastAsia="zh-CN"/>
        </w:rPr>
        <w:t>中细碎厂房</w:t>
      </w:r>
      <w:r>
        <w:rPr>
          <w:rFonts w:hint="default" w:ascii="Times New Roman" w:hAnsi="Times New Roman" w:cs="Times New Roman"/>
          <w:color w:val="auto"/>
          <w:highlight w:val="none"/>
          <w:lang w:eastAsia="zh-CN"/>
        </w:rPr>
        <w:t>、筛分</w:t>
      </w:r>
      <w:r>
        <w:rPr>
          <w:rFonts w:hint="eastAsia" w:cs="Times New Roman"/>
          <w:color w:val="auto"/>
          <w:highlight w:val="none"/>
          <w:lang w:val="en-US" w:eastAsia="zh-CN"/>
        </w:rPr>
        <w:t>厂房</w:t>
      </w:r>
      <w:r>
        <w:rPr>
          <w:rFonts w:hint="default" w:ascii="Times New Roman" w:hAnsi="Times New Roman" w:cs="Times New Roman"/>
          <w:color w:val="auto"/>
          <w:highlight w:val="none"/>
          <w:lang w:eastAsia="zh-CN"/>
        </w:rPr>
        <w:t>、</w:t>
      </w:r>
      <w:r>
        <w:rPr>
          <w:rFonts w:hint="eastAsia" w:cs="Times New Roman"/>
          <w:color w:val="auto"/>
          <w:kern w:val="0"/>
          <w:highlight w:val="none"/>
          <w:lang w:val="en-US" w:eastAsia="zh-CN"/>
        </w:rPr>
        <w:t>粉矿</w:t>
      </w:r>
      <w:r>
        <w:rPr>
          <w:rFonts w:hint="default" w:ascii="Times New Roman" w:hAnsi="Times New Roman" w:cs="Times New Roman"/>
          <w:color w:val="auto"/>
          <w:kern w:val="0"/>
          <w:highlight w:val="none"/>
        </w:rPr>
        <w:t>仓均</w:t>
      </w:r>
      <w:r>
        <w:rPr>
          <w:rFonts w:hint="eastAsia" w:cs="Times New Roman"/>
          <w:color w:val="auto"/>
          <w:highlight w:val="none"/>
          <w:lang w:val="en-US" w:eastAsia="zh-CN"/>
        </w:rPr>
        <w:t>设置集气装置，</w:t>
      </w:r>
      <w:r>
        <w:rPr>
          <w:rFonts w:hint="default" w:ascii="Times New Roman" w:hAnsi="Times New Roman" w:cs="Times New Roman"/>
          <w:color w:val="auto"/>
          <w:highlight w:val="none"/>
        </w:rPr>
        <w:t>收集至袋式除尘器处理后的粉尘通过</w:t>
      </w:r>
      <w:r>
        <w:rPr>
          <w:rFonts w:hint="eastAsia" w:cs="Times New Roman"/>
          <w:color w:val="auto"/>
          <w:highlight w:val="none"/>
          <w:lang w:val="en-US" w:eastAsia="zh-CN"/>
        </w:rPr>
        <w:t>15m高</w:t>
      </w:r>
      <w:r>
        <w:rPr>
          <w:rFonts w:hint="default" w:ascii="Times New Roman" w:hAnsi="Times New Roman" w:cs="Times New Roman"/>
          <w:color w:val="auto"/>
          <w:highlight w:val="none"/>
        </w:rPr>
        <w:t>排气筒排放，有组织</w:t>
      </w:r>
      <w:r>
        <w:rPr>
          <w:rFonts w:hint="eastAsia" w:cs="Times New Roman"/>
          <w:color w:val="auto"/>
          <w:highlight w:val="none"/>
          <w:lang w:val="en-US" w:eastAsia="zh-CN"/>
        </w:rPr>
        <w:t>颗粒物、氟化物</w:t>
      </w:r>
      <w:r>
        <w:rPr>
          <w:rFonts w:hint="default" w:ascii="Times New Roman" w:hAnsi="Times New Roman" w:cs="Times New Roman"/>
          <w:color w:val="auto"/>
          <w:highlight w:val="none"/>
        </w:rPr>
        <w:t>排放满足</w:t>
      </w:r>
      <w:r>
        <w:rPr>
          <w:rFonts w:hint="default" w:ascii="Times New Roman" w:hAnsi="Times New Roman" w:eastAsia="宋体" w:cs="Times New Roman"/>
          <w:color w:val="auto"/>
          <w:kern w:val="0"/>
          <w:sz w:val="24"/>
          <w:highlight w:val="none"/>
        </w:rPr>
        <w:t>《大气污染物综合排放标准》（GB16297-1996）</w:t>
      </w:r>
      <w:r>
        <w:rPr>
          <w:rFonts w:hint="default" w:ascii="Times New Roman" w:hAnsi="Times New Roman" w:cs="Times New Roman"/>
          <w:color w:val="auto"/>
          <w:highlight w:val="none"/>
        </w:rPr>
        <w:t>排放标准限值。</w:t>
      </w:r>
    </w:p>
    <w:p w14:paraId="26574A2A">
      <w:pPr>
        <w:overflowPunct w:val="0"/>
        <w:topLinePunct/>
        <w:ind w:firstLine="480"/>
        <w:rPr>
          <w:rFonts w:hint="default" w:ascii="Times New Roman" w:hAnsi="Times New Roman" w:cs="Times New Roman"/>
          <w:b/>
          <w:color w:val="auto"/>
          <w:highlight w:val="none"/>
        </w:rPr>
      </w:pPr>
      <w:r>
        <w:rPr>
          <w:rFonts w:hint="default" w:ascii="Times New Roman" w:hAnsi="Times New Roman" w:cs="Times New Roman"/>
          <w:color w:val="auto"/>
          <w:highlight w:val="none"/>
        </w:rPr>
        <w:t>袋式除尘器是一种干式滤尘装置，适用于捕集细小、干燥、非纤维性粉尘。袋式除尘器的滤袋采用纺织的滤布或非纺织的毡制成，利用纤维织物的过滤作用对含尘气体进行过滤，当含尘气体进入袋式除尘器后，颗粒大、比重大的粉尘，由于重力的作用沉降下来，落入灰斗，含有较细小粉尘的气体在通过滤料时，粉尘被阻留，使气体得到净化。</w:t>
      </w:r>
    </w:p>
    <w:p w14:paraId="0BBAC99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袋式除尘器为现行粉尘废气较为常用的废气处理方式，具有以下特点：</w:t>
      </w:r>
    </w:p>
    <w:p w14:paraId="02217DC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A</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除尘效率高，一般在</w:t>
      </w:r>
      <w:r>
        <w:rPr>
          <w:rFonts w:hint="eastAsia" w:cs="Times New Roman"/>
          <w:color w:val="auto"/>
          <w:highlight w:val="none"/>
          <w:lang w:eastAsia="zh-CN"/>
        </w:rPr>
        <w:t>99%～99.99%</w:t>
      </w:r>
      <w:r>
        <w:rPr>
          <w:rFonts w:hint="default" w:ascii="Times New Roman" w:hAnsi="Times New Roman" w:cs="Times New Roman"/>
          <w:color w:val="auto"/>
          <w:highlight w:val="none"/>
        </w:rPr>
        <w:t>，除尘器出口气体含尘浓度在数10mg/m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之内，对亚微米粒径的细尘有较高的分级效率。</w:t>
      </w:r>
    </w:p>
    <w:p w14:paraId="5DB156B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B</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处理风量的范围广，小的仅1min数m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，大的可达1min数万m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eastAsia="zh-CN"/>
        </w:rPr>
        <w:t>即可</w:t>
      </w:r>
      <w:r>
        <w:rPr>
          <w:rFonts w:hint="default" w:ascii="Times New Roman" w:hAnsi="Times New Roman" w:cs="Times New Roman"/>
          <w:color w:val="auto"/>
          <w:highlight w:val="none"/>
        </w:rPr>
        <w:t>用于工业炉窑的烟气除尘，减少大气污染物的排放。</w:t>
      </w:r>
    </w:p>
    <w:p w14:paraId="3828237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C</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结构简单，维护操作方便。</w:t>
      </w:r>
    </w:p>
    <w:p w14:paraId="2027EAD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D</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在保证同样高除尘效率的前提下，造价低于电除尘器。</w:t>
      </w:r>
    </w:p>
    <w:p w14:paraId="33E025A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E</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采用玻璃纤维、聚四氟乙烯、P84等耐高温滤料时，可在200℃以上的高温条件下运行。</w:t>
      </w:r>
    </w:p>
    <w:p w14:paraId="0D39E08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F</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对粉尘的特性不敏感，不受粉尘比电阻的影响。</w:t>
      </w:r>
    </w:p>
    <w:p w14:paraId="43DC1B26">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此外，在非正常工况下，若破碎筛分除尘系统故障，除尘效率将下降到</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，粉尘排放浓度占标率</w:t>
      </w:r>
      <w:r>
        <w:rPr>
          <w:rFonts w:hint="default" w:ascii="Times New Roman" w:hAnsi="Times New Roman" w:cs="Times New Roman"/>
          <w:color w:val="auto"/>
          <w:highlight w:val="none"/>
          <w:lang w:eastAsia="zh-CN"/>
        </w:rPr>
        <w:t>较大</w:t>
      </w:r>
      <w:r>
        <w:rPr>
          <w:rFonts w:hint="default" w:ascii="Times New Roman" w:hAnsi="Times New Roman" w:cs="Times New Roman"/>
          <w:color w:val="auto"/>
          <w:highlight w:val="none"/>
        </w:rPr>
        <w:t>，此工况下粉尘对区域大气环境影响较大。因此，本次评价针对非正常工况粉尘排放提出如下防治措施：</w:t>
      </w:r>
    </w:p>
    <w:p w14:paraId="56ED7FF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①破碎筛分除尘系统故障或检修时，对应的破碎筛分工艺设备应停止运行，待检修完毕后同步投入使用。</w:t>
      </w:r>
    </w:p>
    <w:p w14:paraId="7147388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②加强对生产设施和除尘系统的保养、检修，防止大气污染事故的发生。</w:t>
      </w:r>
    </w:p>
    <w:p w14:paraId="10AD14E3">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为防止布袋除尘器的布袋破损，企业须定期关注布袋损伤程度，及时更换布袋。</w:t>
      </w:r>
    </w:p>
    <w:p w14:paraId="234D4C61">
      <w:pPr>
        <w:overflowPunct w:val="0"/>
        <w:topLinePunct/>
        <w:ind w:firstLine="480"/>
        <w:rPr>
          <w:rFonts w:hint="eastAsia" w:cs="Times New Roman"/>
          <w:color w:val="auto"/>
          <w:highlight w:val="none"/>
          <w:lang w:val="en-US" w:eastAsia="zh-CN"/>
        </w:rPr>
      </w:pPr>
      <w:r>
        <w:rPr>
          <w:rFonts w:hint="eastAsia" w:cs="Times New Roman"/>
          <w:color w:val="auto"/>
          <w:highlight w:val="none"/>
          <w:lang w:eastAsia="zh-CN"/>
        </w:rPr>
        <w:t>（</w:t>
      </w:r>
      <w:r>
        <w:rPr>
          <w:rFonts w:hint="eastAsia" w:cs="Times New Roman"/>
          <w:color w:val="auto"/>
          <w:highlight w:val="none"/>
          <w:lang w:val="en-US" w:eastAsia="zh-CN"/>
        </w:rPr>
        <w:t>2）硫酸雾</w:t>
      </w:r>
    </w:p>
    <w:p w14:paraId="1D626CB3">
      <w:pPr>
        <w:bidi w:val="0"/>
        <w:rPr>
          <w:color w:val="auto"/>
          <w:highlight w:val="none"/>
        </w:rPr>
      </w:pPr>
      <w:r>
        <w:rPr>
          <w:rFonts w:hint="eastAsia"/>
          <w:color w:val="auto"/>
          <w:highlight w:val="none"/>
          <w:lang w:val="en-US" w:eastAsia="zh-CN"/>
        </w:rPr>
        <w:t>硫酸稀释车间硫酸稀释过程中产生的硫酸雾采用吸收塔进行处理，其核心原理为</w:t>
      </w:r>
      <w:r>
        <w:rPr>
          <w:color w:val="auto"/>
          <w:highlight w:val="none"/>
        </w:rPr>
        <w:t>核心原理是逆流喷淋+酸碱中和+除雾脱水，用碱性溶液将硫酸雾转化为无害盐类，</w:t>
      </w:r>
      <w:r>
        <w:rPr>
          <w:rFonts w:hint="eastAsia"/>
          <w:color w:val="auto"/>
          <w:highlight w:val="none"/>
          <w:lang w:val="en-US" w:eastAsia="zh-CN"/>
        </w:rPr>
        <w:t>去除效率可达</w:t>
      </w:r>
      <w:r>
        <w:rPr>
          <w:color w:val="auto"/>
          <w:highlight w:val="none"/>
        </w:rPr>
        <w:t>90%～98%</w:t>
      </w:r>
      <w:r>
        <w:rPr>
          <w:rFonts w:hint="eastAsia"/>
          <w:color w:val="auto"/>
          <w:highlight w:val="none"/>
          <w:lang w:eastAsia="zh-CN"/>
        </w:rPr>
        <w:t>，</w:t>
      </w:r>
      <w:r>
        <w:rPr>
          <w:rFonts w:ascii="宋体" w:hAnsi="宋体" w:eastAsia="宋体" w:cs="宋体"/>
          <w:color w:val="auto"/>
          <w:sz w:val="24"/>
          <w:szCs w:val="24"/>
          <w:highlight w:val="none"/>
        </w:rPr>
        <w:t>是工业酸性废气治理的主流设备</w:t>
      </w:r>
      <w:r>
        <w:rPr>
          <w:color w:val="auto"/>
          <w:highlight w:val="none"/>
        </w:rPr>
        <w:t>。</w:t>
      </w:r>
    </w:p>
    <w:p w14:paraId="7A94A47E">
      <w:pPr>
        <w:bidi w:val="0"/>
        <w:rPr>
          <w:rFonts w:hint="eastAsia"/>
          <w:color w:val="auto"/>
          <w:highlight w:val="none"/>
          <w:lang w:val="en-US" w:eastAsia="zh-CN"/>
        </w:rPr>
      </w:pPr>
      <w:r>
        <w:rPr>
          <w:rFonts w:hint="eastAsia"/>
          <w:color w:val="auto"/>
          <w:highlight w:val="none"/>
          <w:lang w:val="en-US" w:eastAsia="zh-CN"/>
        </w:rPr>
        <w:t>特点：</w:t>
      </w:r>
    </w:p>
    <w:p w14:paraId="52E02993">
      <w:pPr>
        <w:bidi w:val="0"/>
        <w:rPr>
          <w:color w:val="auto"/>
          <w:highlight w:val="none"/>
        </w:rPr>
      </w:pPr>
      <w:r>
        <w:rPr>
          <w:rFonts w:hint="eastAsia"/>
          <w:color w:val="auto"/>
          <w:highlight w:val="none"/>
          <w:lang w:val="en-US" w:eastAsia="zh-CN"/>
        </w:rPr>
        <w:t>A.</w:t>
      </w:r>
      <w:r>
        <w:rPr>
          <w:color w:val="auto"/>
          <w:highlight w:val="none"/>
          <w:lang w:val="en-US" w:eastAsia="zh-CN"/>
        </w:rPr>
        <w:t>耐腐蚀性强</w:t>
      </w:r>
      <w:r>
        <w:rPr>
          <w:rFonts w:hint="eastAsia"/>
          <w:color w:val="auto"/>
          <w:highlight w:val="none"/>
          <w:lang w:val="en-US" w:eastAsia="zh-CN"/>
        </w:rPr>
        <w:t>。</w:t>
      </w:r>
      <w:r>
        <w:rPr>
          <w:color w:val="auto"/>
          <w:highlight w:val="none"/>
          <w:lang w:val="en-US" w:eastAsia="zh-CN"/>
        </w:rPr>
        <w:t>塔体、填料、管路多采用 PP、FRP 玻璃钢材质，长期耐受硫酸、碱性药液腐蚀，使用寿命长。</w:t>
      </w:r>
    </w:p>
    <w:p w14:paraId="343867E6">
      <w:pPr>
        <w:bidi w:val="0"/>
        <w:rPr>
          <w:color w:val="auto"/>
          <w:highlight w:val="none"/>
        </w:rPr>
      </w:pPr>
      <w:r>
        <w:rPr>
          <w:rFonts w:hint="eastAsia"/>
          <w:color w:val="auto"/>
          <w:highlight w:val="none"/>
          <w:lang w:val="en-US" w:eastAsia="zh-CN"/>
        </w:rPr>
        <w:t>B.</w:t>
      </w:r>
      <w:r>
        <w:rPr>
          <w:color w:val="auto"/>
          <w:highlight w:val="none"/>
          <w:lang w:val="en-US" w:eastAsia="zh-CN"/>
        </w:rPr>
        <w:t>净化效率高</w:t>
      </w:r>
      <w:r>
        <w:rPr>
          <w:rFonts w:hint="eastAsia"/>
          <w:color w:val="auto"/>
          <w:highlight w:val="none"/>
          <w:lang w:val="en-US" w:eastAsia="zh-CN"/>
        </w:rPr>
        <w:t>。</w:t>
      </w:r>
      <w:r>
        <w:rPr>
          <w:color w:val="auto"/>
          <w:highlight w:val="none"/>
          <w:lang w:val="en-US" w:eastAsia="zh-CN"/>
        </w:rPr>
        <w:t>逆流+填料结构，气液接触充分，硫酸雾去除率可达</w:t>
      </w:r>
      <w:r>
        <w:rPr>
          <w:rFonts w:hint="eastAsia"/>
          <w:color w:val="auto"/>
          <w:highlight w:val="none"/>
          <w:lang w:val="en-US" w:eastAsia="zh-CN"/>
        </w:rPr>
        <w:t>90%～98%</w:t>
      </w:r>
      <w:r>
        <w:rPr>
          <w:color w:val="auto"/>
          <w:highlight w:val="none"/>
          <w:lang w:val="en-US" w:eastAsia="zh-CN"/>
        </w:rPr>
        <w:t>，满足废气排放标准。</w:t>
      </w:r>
    </w:p>
    <w:p w14:paraId="788BA959">
      <w:pPr>
        <w:bidi w:val="0"/>
        <w:rPr>
          <w:color w:val="auto"/>
          <w:highlight w:val="none"/>
        </w:rPr>
      </w:pPr>
      <w:r>
        <w:rPr>
          <w:rFonts w:hint="eastAsia"/>
          <w:color w:val="auto"/>
          <w:highlight w:val="none"/>
          <w:lang w:val="en-US" w:eastAsia="zh-CN"/>
        </w:rPr>
        <w:t>C.</w:t>
      </w:r>
      <w:r>
        <w:rPr>
          <w:color w:val="auto"/>
          <w:highlight w:val="none"/>
          <w:lang w:val="en-US" w:eastAsia="zh-CN"/>
        </w:rPr>
        <w:t>运行稳定、阻力适中</w:t>
      </w:r>
      <w:r>
        <w:rPr>
          <w:rFonts w:hint="eastAsia"/>
          <w:color w:val="auto"/>
          <w:highlight w:val="none"/>
          <w:lang w:val="en-US" w:eastAsia="zh-CN"/>
        </w:rPr>
        <w:t>。</w:t>
      </w:r>
      <w:r>
        <w:rPr>
          <w:color w:val="auto"/>
          <w:highlight w:val="none"/>
          <w:lang w:val="en-US" w:eastAsia="zh-CN"/>
        </w:rPr>
        <w:t>内部流场合理，空塔阻力小，配套风机负荷低，连续运行不易堵塞。</w:t>
      </w:r>
    </w:p>
    <w:p w14:paraId="41FB786A">
      <w:pPr>
        <w:bidi w:val="0"/>
        <w:rPr>
          <w:color w:val="auto"/>
          <w:highlight w:val="none"/>
        </w:rPr>
      </w:pPr>
      <w:r>
        <w:rPr>
          <w:rFonts w:hint="eastAsia"/>
          <w:color w:val="auto"/>
          <w:highlight w:val="none"/>
          <w:lang w:val="en-US" w:eastAsia="zh-CN"/>
        </w:rPr>
        <w:t>D</w:t>
      </w:r>
      <w:r>
        <w:rPr>
          <w:color w:val="auto"/>
          <w:highlight w:val="none"/>
          <w:lang w:val="en-US" w:eastAsia="zh-CN"/>
        </w:rPr>
        <w:t>能耗低、药剂省</w:t>
      </w:r>
      <w:r>
        <w:rPr>
          <w:rFonts w:hint="eastAsia"/>
          <w:color w:val="auto"/>
          <w:highlight w:val="none"/>
          <w:lang w:val="en-US" w:eastAsia="zh-CN"/>
        </w:rPr>
        <w:t>。</w:t>
      </w:r>
      <w:r>
        <w:rPr>
          <w:color w:val="auto"/>
          <w:highlight w:val="none"/>
          <w:lang w:val="en-US" w:eastAsia="zh-CN"/>
        </w:rPr>
        <w:t>吸收液循环回用，仅定期补加碱液，液气比合理，水电、药剂运行成本低。</w:t>
      </w:r>
    </w:p>
    <w:p w14:paraId="253A484F">
      <w:pPr>
        <w:bidi w:val="0"/>
        <w:rPr>
          <w:color w:val="auto"/>
          <w:highlight w:val="none"/>
        </w:rPr>
      </w:pPr>
      <w:r>
        <w:rPr>
          <w:rFonts w:hint="eastAsia"/>
          <w:color w:val="auto"/>
          <w:highlight w:val="none"/>
          <w:lang w:val="en-US" w:eastAsia="zh-CN"/>
        </w:rPr>
        <w:t>E.</w:t>
      </w:r>
      <w:r>
        <w:rPr>
          <w:color w:val="auto"/>
          <w:highlight w:val="none"/>
          <w:lang w:val="en-US" w:eastAsia="zh-CN"/>
        </w:rPr>
        <w:t>结构紧凑、占地小</w:t>
      </w:r>
      <w:r>
        <w:rPr>
          <w:rFonts w:hint="eastAsia"/>
          <w:color w:val="auto"/>
          <w:highlight w:val="none"/>
          <w:lang w:val="en-US" w:eastAsia="zh-CN"/>
        </w:rPr>
        <w:t>。</w:t>
      </w:r>
      <w:r>
        <w:rPr>
          <w:color w:val="auto"/>
          <w:highlight w:val="none"/>
          <w:lang w:val="en-US" w:eastAsia="zh-CN"/>
        </w:rPr>
        <w:t>立式一体化设计，集成喷淋、填料、除雾、水箱，安装简单，场地要求低。</w:t>
      </w:r>
    </w:p>
    <w:p w14:paraId="100CB8F9">
      <w:pPr>
        <w:bidi w:val="0"/>
        <w:rPr>
          <w:color w:val="auto"/>
          <w:highlight w:val="none"/>
        </w:rPr>
      </w:pPr>
      <w:r>
        <w:rPr>
          <w:rFonts w:hint="eastAsia"/>
          <w:color w:val="auto"/>
          <w:highlight w:val="none"/>
          <w:lang w:val="en-US" w:eastAsia="zh-CN"/>
        </w:rPr>
        <w:t>F.</w:t>
      </w:r>
      <w:r>
        <w:rPr>
          <w:color w:val="auto"/>
          <w:highlight w:val="none"/>
          <w:lang w:val="en-US" w:eastAsia="zh-CN"/>
        </w:rPr>
        <w:t>操作维护简便</w:t>
      </w:r>
      <w:r>
        <w:rPr>
          <w:rFonts w:hint="eastAsia"/>
          <w:color w:val="auto"/>
          <w:highlight w:val="none"/>
          <w:lang w:val="en-US" w:eastAsia="zh-CN"/>
        </w:rPr>
        <w:t>。</w:t>
      </w:r>
      <w:r>
        <w:rPr>
          <w:color w:val="auto"/>
          <w:highlight w:val="none"/>
          <w:lang w:val="en-US" w:eastAsia="zh-CN"/>
        </w:rPr>
        <w:t>配套在线pH自动加药，日常仅需巡检、定期排废液、清洗填料，运维难度低。</w:t>
      </w:r>
    </w:p>
    <w:p w14:paraId="18716A22">
      <w:pPr>
        <w:bidi w:val="0"/>
        <w:rPr>
          <w:color w:val="auto"/>
          <w:highlight w:val="none"/>
        </w:rPr>
      </w:pPr>
      <w:r>
        <w:rPr>
          <w:rFonts w:hint="eastAsia"/>
          <w:color w:val="auto"/>
          <w:highlight w:val="none"/>
          <w:lang w:val="en-US" w:eastAsia="zh-CN"/>
        </w:rPr>
        <w:t>G.</w:t>
      </w:r>
      <w:r>
        <w:rPr>
          <w:color w:val="auto"/>
          <w:highlight w:val="none"/>
          <w:lang w:val="en-US" w:eastAsia="zh-CN"/>
        </w:rPr>
        <w:t>防带雾效果好</w:t>
      </w:r>
      <w:r>
        <w:rPr>
          <w:rFonts w:hint="eastAsia"/>
          <w:color w:val="auto"/>
          <w:highlight w:val="none"/>
          <w:lang w:val="en-US" w:eastAsia="zh-CN"/>
        </w:rPr>
        <w:t>。</w:t>
      </w:r>
      <w:r>
        <w:rPr>
          <w:color w:val="auto"/>
          <w:highlight w:val="none"/>
          <w:lang w:val="en-US" w:eastAsia="zh-CN"/>
        </w:rPr>
        <w:t>顶部配置专用除雾器，有效截留夹带液滴，无明显“白烟”，避免后端设备腐蚀。</w:t>
      </w:r>
    </w:p>
    <w:p w14:paraId="7FA8C070">
      <w:pPr>
        <w:bidi w:val="0"/>
        <w:rPr>
          <w:color w:val="auto"/>
          <w:highlight w:val="none"/>
        </w:rPr>
      </w:pPr>
      <w:r>
        <w:rPr>
          <w:rFonts w:hint="eastAsia"/>
          <w:color w:val="auto"/>
          <w:highlight w:val="none"/>
          <w:lang w:val="en-US" w:eastAsia="zh-CN"/>
        </w:rPr>
        <w:t>H.</w:t>
      </w:r>
      <w:r>
        <w:rPr>
          <w:color w:val="auto"/>
          <w:highlight w:val="none"/>
          <w:lang w:val="en-US" w:eastAsia="zh-CN"/>
        </w:rPr>
        <w:t>适用性广</w:t>
      </w:r>
      <w:r>
        <w:rPr>
          <w:rFonts w:hint="eastAsia"/>
          <w:color w:val="auto"/>
          <w:highlight w:val="none"/>
          <w:lang w:val="en-US" w:eastAsia="zh-CN"/>
        </w:rPr>
        <w:t>。</w:t>
      </w:r>
      <w:r>
        <w:rPr>
          <w:color w:val="auto"/>
          <w:highlight w:val="none"/>
          <w:lang w:val="en-US" w:eastAsia="zh-CN"/>
        </w:rPr>
        <w:t>可适配酸洗、电镀、化工、冶炼等不同浓度、风量的硫酸雾废气，工况适应性强</w:t>
      </w:r>
      <w:r>
        <w:rPr>
          <w:rFonts w:hint="eastAsia"/>
          <w:color w:val="auto"/>
          <w:highlight w:val="none"/>
          <w:lang w:val="en-US" w:eastAsia="zh-CN"/>
        </w:rPr>
        <w:t>。</w:t>
      </w:r>
    </w:p>
    <w:p w14:paraId="2B726B2E">
      <w:pPr>
        <w:bidi w:val="0"/>
        <w:rPr>
          <w:rFonts w:hint="eastAsia" w:eastAsia="宋体"/>
          <w:color w:val="auto"/>
          <w:highlight w:val="none"/>
          <w:lang w:val="en-US" w:eastAsia="zh-CN"/>
        </w:rPr>
      </w:pPr>
      <w:r>
        <w:rPr>
          <w:rFonts w:hint="default" w:ascii="Times New Roman" w:hAnsi="Times New Roman" w:cs="Times New Roman"/>
          <w:color w:val="auto"/>
          <w:highlight w:val="none"/>
        </w:rPr>
        <w:t>本项目环评要求</w:t>
      </w:r>
      <w:r>
        <w:rPr>
          <w:rFonts w:hint="eastAsia" w:cs="Times New Roman"/>
          <w:color w:val="auto"/>
          <w:highlight w:val="none"/>
          <w:lang w:val="en-US" w:eastAsia="zh-CN"/>
        </w:rPr>
        <w:t>在硫酸稀释工段设置一套吸收塔，稀释废气经管道直接通入吸收塔处理，</w:t>
      </w:r>
      <w:r>
        <w:rPr>
          <w:rFonts w:hint="default" w:ascii="Times New Roman" w:hAnsi="Times New Roman" w:cs="Times New Roman"/>
          <w:color w:val="auto"/>
          <w:highlight w:val="none"/>
        </w:rPr>
        <w:t>满足</w:t>
      </w:r>
      <w:r>
        <w:rPr>
          <w:rFonts w:hint="default" w:ascii="Times New Roman" w:hAnsi="Times New Roman" w:eastAsia="宋体" w:cs="Times New Roman"/>
          <w:color w:val="auto"/>
          <w:kern w:val="0"/>
          <w:sz w:val="24"/>
          <w:highlight w:val="none"/>
        </w:rPr>
        <w:t>《大气污染物综合排放标准》（GB16297-1996）</w:t>
      </w:r>
      <w:r>
        <w:rPr>
          <w:rFonts w:hint="default" w:ascii="Times New Roman" w:hAnsi="Times New Roman" w:cs="Times New Roman"/>
          <w:color w:val="auto"/>
          <w:highlight w:val="none"/>
        </w:rPr>
        <w:t>排放标准限值</w:t>
      </w:r>
      <w:r>
        <w:rPr>
          <w:rFonts w:hint="eastAsia" w:cs="Times New Roman"/>
          <w:color w:val="auto"/>
          <w:highlight w:val="none"/>
          <w:lang w:val="en-US" w:eastAsia="zh-CN"/>
        </w:rPr>
        <w:t>后，经15m高排气筒排放。</w:t>
      </w:r>
    </w:p>
    <w:p w14:paraId="3C0A7822">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6.2.1.2无组织粉尘污染防治措施</w:t>
      </w:r>
    </w:p>
    <w:p w14:paraId="2A98224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项目区内尾矿库、</w:t>
      </w:r>
      <w:r>
        <w:rPr>
          <w:rFonts w:hint="eastAsia" w:cs="Times New Roman"/>
          <w:color w:val="auto"/>
          <w:highlight w:val="none"/>
          <w:lang w:val="en-US" w:eastAsia="zh-CN"/>
        </w:rPr>
        <w:t>废石堆场</w:t>
      </w:r>
      <w:r>
        <w:rPr>
          <w:rFonts w:hint="default" w:ascii="Times New Roman" w:hAnsi="Times New Roman" w:cs="Times New Roman"/>
          <w:color w:val="auto"/>
          <w:highlight w:val="none"/>
        </w:rPr>
        <w:t>物料倒运、装卸等易产生扬尘。有风时项目区内扬尘严重，造成无组织面源污染问题，本环评提出如下要求：</w:t>
      </w:r>
    </w:p>
    <w:p w14:paraId="1488F1C0">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color w:val="auto"/>
          <w:highlight w:val="none"/>
          <w:lang w:val="en-US" w:eastAsia="zh-CN"/>
        </w:rPr>
        <w:t>井下作业废气处理措施</w:t>
      </w:r>
    </w:p>
    <w:p w14:paraId="481B8E52">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井下采矿生产过程中产生含粉尘和SO</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、NO</w:t>
      </w:r>
      <w:r>
        <w:rPr>
          <w:rFonts w:hint="default" w:ascii="Times New Roman" w:hAnsi="Times New Roman" w:cs="Times New Roman"/>
          <w:color w:val="auto"/>
          <w:sz w:val="24"/>
          <w:highlight w:val="none"/>
          <w:vertAlign w:val="subscript"/>
        </w:rPr>
        <w:t>X</w:t>
      </w:r>
      <w:r>
        <w:rPr>
          <w:rFonts w:hint="default" w:ascii="Times New Roman" w:hAnsi="Times New Roman" w:cs="Times New Roman"/>
          <w:color w:val="auto"/>
          <w:sz w:val="24"/>
          <w:highlight w:val="none"/>
        </w:rPr>
        <w:t>等有害污染气体，对矿工的人身安全和健康构成极大威胁，长期吸入、接触这些矿尘可引起矽肺病、皮肤病等其他疾病。为保护采矿工作面的空气质量，采用的方法就是矿井通风。矿井通风的根本任务是连续不断地向作业地点供给足够的新鲜空气，稀释和排出有害气体及粉尘，确保作业地点有良好的空气质量，保证矿工的安全和健康。</w:t>
      </w:r>
    </w:p>
    <w:p w14:paraId="5EAF0362">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井下爆破作业是矿井废气中烟（粉）尘、SO</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、CO、NO</w:t>
      </w:r>
      <w:r>
        <w:rPr>
          <w:rFonts w:hint="default" w:ascii="Times New Roman" w:hAnsi="Times New Roman" w:cs="Times New Roman"/>
          <w:color w:val="auto"/>
          <w:sz w:val="24"/>
          <w:highlight w:val="none"/>
          <w:vertAlign w:val="subscript"/>
        </w:rPr>
        <w:t>X</w:t>
      </w:r>
      <w:r>
        <w:rPr>
          <w:rFonts w:hint="default" w:ascii="Times New Roman" w:hAnsi="Times New Roman" w:cs="Times New Roman"/>
          <w:color w:val="auto"/>
          <w:sz w:val="24"/>
          <w:highlight w:val="none"/>
        </w:rPr>
        <w:t>的重要来源。为控制污染，除加强井下通风外，还</w:t>
      </w:r>
      <w:r>
        <w:rPr>
          <w:rFonts w:hint="eastAsia" w:ascii="Times New Roman" w:hAnsi="Times New Roman" w:cs="Times New Roman"/>
          <w:color w:val="auto"/>
          <w:sz w:val="24"/>
          <w:highlight w:val="none"/>
          <w:lang w:eastAsia="zh-CN"/>
        </w:rPr>
        <w:t>需</w:t>
      </w:r>
      <w:r>
        <w:rPr>
          <w:rFonts w:hint="default" w:ascii="Times New Roman" w:hAnsi="Times New Roman" w:cs="Times New Roman"/>
          <w:color w:val="auto"/>
          <w:sz w:val="24"/>
          <w:highlight w:val="none"/>
        </w:rPr>
        <w:t>采取喷雾洒水、湿式作业、定期对主要入风巷道进行洗壁等降尘措施。爆破作业后一般要通风3</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4h，再进行放矿等作业。严格实行班末定时爆破制度，采用先进的爆破技术，减少爆破次数和炸药使用量。</w:t>
      </w:r>
    </w:p>
    <w:p w14:paraId="2C807459">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目前世界各国对矿山开采过程中废气的防治措施基本相同，主要采用密闭抽尘、净化、通风、湿式作业和提高设备的防尘防毒效率等措施。我国对井下废气的治理起步较早，并积累了丰富的经验，具体措施一是通风排尘、排气，二是抑尘。矿井通风系统一般设有中央对角式、对角式、分区通风和折返式四种类型，可以根据实际情况选用不同的通风方式，效果基本一致。</w:t>
      </w:r>
      <w:r>
        <w:rPr>
          <w:rFonts w:hint="default" w:ascii="Times New Roman" w:hAnsi="Times New Roman" w:cs="Times New Roman"/>
          <w:color w:val="auto"/>
          <w:sz w:val="24"/>
          <w:szCs w:val="24"/>
          <w:highlight w:val="none"/>
        </w:rPr>
        <w:t>本项目</w:t>
      </w:r>
      <w:r>
        <w:rPr>
          <w:rFonts w:hint="default" w:ascii="Times New Roman" w:hAnsi="Times New Roman" w:cs="Times New Roman"/>
          <w:color w:val="auto"/>
          <w:highlight w:val="none"/>
        </w:rPr>
        <w:t>2950米中段以上采用侧翼对角式通风系统，2950米中段以下采用中央对角式通风系统</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highlight w:val="none"/>
        </w:rPr>
        <w:t>另外，在掘进工作面和局部硐室采用局部加强通风的措施，确保通风效果。在抑尘方面，采用湿式凿岩作业，矿岩提升、机车运输采用喷雾洒水、洗壁等措施，从产尘源头加强控制以达到抑尘的目的。本项目采取的措施可使采场厂界空气含尘浓度控制在1.0mg/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以下，确保作业点有良好的空气环境，保证矿工的健康与安全。上述措施在各矿山广泛采用，效果显著，措施切实可行。</w:t>
      </w:r>
    </w:p>
    <w:p w14:paraId="52670962">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井下抽出的废气经风井排放到大气，由前面工程分析的内容可知，矿井废气中的主要污染物浓度均符合《大气污染物综合排放标准》（GB16297-1996）厂界无组织排放标准的要求，对环境影响不大。</w:t>
      </w:r>
    </w:p>
    <w:p w14:paraId="584CAE4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eastAsia" w:cs="Times New Roman"/>
          <w:color w:val="auto"/>
          <w:highlight w:val="none"/>
          <w:lang w:val="en-US" w:eastAsia="zh-CN"/>
        </w:rPr>
        <w:t>车间未</w:t>
      </w:r>
      <w:r>
        <w:rPr>
          <w:rFonts w:hint="default" w:ascii="Times New Roman" w:hAnsi="Times New Roman" w:cs="Times New Roman"/>
          <w:color w:val="auto"/>
          <w:highlight w:val="none"/>
        </w:rPr>
        <w:t>收集粉尘</w:t>
      </w:r>
      <w:r>
        <w:rPr>
          <w:rFonts w:hint="eastAsia"/>
          <w:color w:val="auto"/>
          <w:highlight w:val="none"/>
          <w:lang w:val="en-US" w:eastAsia="zh-CN"/>
        </w:rPr>
        <w:t>处理措施</w:t>
      </w:r>
    </w:p>
    <w:p w14:paraId="769D0ACF">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本项目各生产</w:t>
      </w:r>
      <w:r>
        <w:rPr>
          <w:rFonts w:hint="default" w:ascii="Times New Roman" w:hAnsi="Times New Roman" w:cs="Times New Roman"/>
          <w:color w:val="auto"/>
          <w:highlight w:val="none"/>
        </w:rPr>
        <w:t>车间为全封闭状态，</w:t>
      </w:r>
      <w:r>
        <w:rPr>
          <w:rFonts w:hint="eastAsia" w:cs="Times New Roman"/>
          <w:color w:val="auto"/>
          <w:highlight w:val="none"/>
          <w:lang w:val="en-US" w:eastAsia="zh-CN"/>
        </w:rPr>
        <w:t>能有效抑制无组织粉尘逸散</w:t>
      </w:r>
      <w:r>
        <w:rPr>
          <w:rFonts w:hint="default" w:ascii="Times New Roman" w:hAnsi="Times New Roman" w:cs="Times New Roman"/>
          <w:color w:val="auto"/>
          <w:highlight w:val="none"/>
        </w:rPr>
        <w:t>，粉尘</w:t>
      </w:r>
      <w:r>
        <w:rPr>
          <w:rFonts w:hint="default" w:ascii="Times New Roman" w:hAnsi="Times New Roman" w:cs="Times New Roman"/>
          <w:color w:val="auto"/>
          <w:highlight w:val="none"/>
          <w:lang w:eastAsia="zh-CN"/>
        </w:rPr>
        <w:t>及氟化物</w:t>
      </w:r>
      <w:r>
        <w:rPr>
          <w:rFonts w:hint="default" w:ascii="Times New Roman" w:hAnsi="Times New Roman" w:cs="Times New Roman"/>
          <w:color w:val="auto"/>
          <w:highlight w:val="none"/>
        </w:rPr>
        <w:t>产生量很少。</w:t>
      </w:r>
      <w:r>
        <w:rPr>
          <w:rFonts w:hint="default" w:ascii="Times New Roman" w:hAnsi="Times New Roman" w:cs="Times New Roman"/>
          <w:color w:val="auto"/>
          <w:kern w:val="0"/>
          <w:highlight w:val="none"/>
          <w:lang w:eastAsia="zh-CN"/>
        </w:rPr>
        <w:t>精矿仓采取密闭仓储，并且设置喷雾装置，粉尘排放忽略不计。</w:t>
      </w:r>
    </w:p>
    <w:p w14:paraId="754C9989">
      <w:pPr>
        <w:overflowPunct w:val="0"/>
        <w:topLinePunct/>
        <w:ind w:firstLine="480"/>
        <w:rPr>
          <w:rFonts w:hint="default"/>
          <w:color w:val="auto"/>
          <w:highlight w:val="none"/>
          <w:lang w:val="en-US" w:eastAsia="zh-CN"/>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r>
        <w:rPr>
          <w:rFonts w:hint="default"/>
          <w:color w:val="auto"/>
          <w:highlight w:val="none"/>
          <w:lang w:val="en-US" w:eastAsia="zh-CN"/>
        </w:rPr>
        <w:t>充填</w:t>
      </w:r>
      <w:r>
        <w:rPr>
          <w:rFonts w:hint="eastAsia"/>
          <w:color w:val="auto"/>
          <w:highlight w:val="none"/>
          <w:lang w:val="en-US" w:eastAsia="zh-CN"/>
        </w:rPr>
        <w:t>站</w:t>
      </w:r>
      <w:r>
        <w:rPr>
          <w:rFonts w:hint="default"/>
          <w:color w:val="auto"/>
          <w:highlight w:val="none"/>
          <w:lang w:val="en-US" w:eastAsia="zh-CN"/>
        </w:rPr>
        <w:t>粉尘</w:t>
      </w:r>
      <w:r>
        <w:rPr>
          <w:rFonts w:hint="eastAsia"/>
          <w:color w:val="auto"/>
          <w:highlight w:val="none"/>
          <w:lang w:val="en-US" w:eastAsia="zh-CN"/>
        </w:rPr>
        <w:t>处理措施</w:t>
      </w:r>
    </w:p>
    <w:p w14:paraId="408961B8">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当</w:t>
      </w:r>
      <w:r>
        <w:rPr>
          <w:rFonts w:hint="eastAsia" w:ascii="Times New Roman" w:hAnsi="Times New Roman" w:eastAsia="宋体" w:cs="Times New Roman"/>
          <w:color w:val="auto"/>
          <w:sz w:val="24"/>
          <w:highlight w:val="none"/>
          <w:lang w:val="en-US" w:eastAsia="zh-CN"/>
        </w:rPr>
        <w:t>水泥由</w:t>
      </w:r>
      <w:r>
        <w:rPr>
          <w:rFonts w:hint="default" w:ascii="Times New Roman" w:hAnsi="Times New Roman" w:eastAsia="宋体" w:cs="Times New Roman"/>
          <w:color w:val="auto"/>
          <w:sz w:val="24"/>
          <w:highlight w:val="none"/>
        </w:rPr>
        <w:t>汽车运送至充填站卸料时，由于受气流冲击，料仓中的</w:t>
      </w:r>
      <w:r>
        <w:rPr>
          <w:rFonts w:hint="eastAsia" w:ascii="Times New Roman" w:hAnsi="Times New Roman" w:eastAsia="宋体" w:cs="Times New Roman"/>
          <w:color w:val="auto"/>
          <w:sz w:val="24"/>
          <w:highlight w:val="none"/>
          <w:lang w:val="en-US" w:eastAsia="zh-CN"/>
        </w:rPr>
        <w:t>水泥</w:t>
      </w:r>
      <w:r>
        <w:rPr>
          <w:rFonts w:hint="default" w:ascii="Times New Roman" w:hAnsi="Times New Roman" w:eastAsia="宋体" w:cs="Times New Roman"/>
          <w:color w:val="auto"/>
          <w:sz w:val="24"/>
          <w:highlight w:val="none"/>
        </w:rPr>
        <w:t>可从料仓顶气孔排至大气中。因此环评要求在料仓顶部气孔处</w:t>
      </w:r>
      <w:r>
        <w:rPr>
          <w:rFonts w:hint="eastAsia" w:cs="Times New Roman"/>
          <w:color w:val="auto"/>
          <w:sz w:val="24"/>
          <w:highlight w:val="none"/>
          <w:lang w:eastAsia="zh-CN"/>
        </w:rPr>
        <w:t>各</w:t>
      </w:r>
      <w:r>
        <w:rPr>
          <w:rFonts w:hint="default" w:ascii="Times New Roman" w:hAnsi="Times New Roman" w:eastAsia="宋体" w:cs="Times New Roman"/>
          <w:color w:val="auto"/>
          <w:sz w:val="24"/>
          <w:highlight w:val="none"/>
        </w:rPr>
        <w:t>配套安装一套脉冲布袋除尘器处理产生的粉尘，且圆筒仓与加料设备密封连接，避免粉尘外泄，布袋除尘器处理效率为99%，</w:t>
      </w:r>
      <w:r>
        <w:rPr>
          <w:rFonts w:hint="default" w:ascii="Times New Roman" w:hAnsi="Times New Roman" w:eastAsia="宋体" w:cs="Times New Roman"/>
          <w:color w:val="auto"/>
          <w:sz w:val="24"/>
          <w:highlight w:val="none"/>
          <w:lang w:val="en-US" w:eastAsia="zh-CN"/>
        </w:rPr>
        <w:t>粉尘经</w:t>
      </w:r>
      <w:r>
        <w:rPr>
          <w:rFonts w:hint="default" w:ascii="Times New Roman" w:hAnsi="Times New Roman" w:eastAsia="宋体" w:cs="Times New Roman"/>
          <w:color w:val="auto"/>
          <w:sz w:val="24"/>
          <w:highlight w:val="none"/>
        </w:rPr>
        <w:t>布袋除尘器</w:t>
      </w:r>
      <w:r>
        <w:rPr>
          <w:rFonts w:hint="default" w:ascii="Times New Roman" w:hAnsi="Times New Roman" w:eastAsia="宋体" w:cs="Times New Roman"/>
          <w:color w:val="auto"/>
          <w:sz w:val="24"/>
          <w:highlight w:val="none"/>
          <w:lang w:val="en-US" w:eastAsia="zh-CN"/>
        </w:rPr>
        <w:t>处理达标后通过</w:t>
      </w:r>
      <w:r>
        <w:rPr>
          <w:rFonts w:hint="eastAsia" w:ascii="Times New Roman" w:hAnsi="Times New Roman" w:eastAsia="宋体" w:cs="Times New Roman"/>
          <w:color w:val="auto"/>
          <w:sz w:val="24"/>
          <w:highlight w:val="none"/>
          <w:lang w:val="en-US" w:eastAsia="zh-CN"/>
        </w:rPr>
        <w:t>仓顶</w:t>
      </w:r>
      <w:r>
        <w:rPr>
          <w:rFonts w:hint="default" w:ascii="Times New Roman" w:hAnsi="Times New Roman" w:eastAsia="宋体" w:cs="Times New Roman"/>
          <w:color w:val="auto"/>
          <w:sz w:val="24"/>
          <w:highlight w:val="none"/>
          <w:lang w:val="en-US" w:eastAsia="zh-CN"/>
        </w:rPr>
        <w:t>排放</w:t>
      </w:r>
      <w:r>
        <w:rPr>
          <w:rFonts w:hint="default" w:ascii="Times New Roman" w:hAnsi="Times New Roman" w:eastAsia="宋体" w:cs="Times New Roman"/>
          <w:color w:val="auto"/>
          <w:sz w:val="24"/>
          <w:highlight w:val="none"/>
        </w:rPr>
        <w:t>，</w:t>
      </w:r>
      <w:r>
        <w:rPr>
          <w:rFonts w:hint="default" w:ascii="Times New Roman" w:hAnsi="Times New Roman" w:cs="Times New Roman"/>
          <w:color w:val="auto"/>
          <w:sz w:val="24"/>
          <w:highlight w:val="none"/>
        </w:rPr>
        <w:t>对环境影响不大。</w:t>
      </w:r>
    </w:p>
    <w:p w14:paraId="61DEF7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eastAsia" w:cs="Times New Roman"/>
          <w:color w:val="auto"/>
          <w:highlight w:val="none"/>
          <w:lang w:val="en-US" w:eastAsia="zh-CN"/>
        </w:rPr>
        <w:t>（4）</w:t>
      </w:r>
      <w:r>
        <w:rPr>
          <w:rFonts w:hint="default" w:ascii="Times New Roman" w:hAnsi="Times New Roman" w:eastAsia="宋体" w:cs="Times New Roman"/>
          <w:color w:val="auto"/>
          <w:sz w:val="24"/>
          <w:highlight w:val="none"/>
        </w:rPr>
        <w:t>运输</w:t>
      </w:r>
      <w:r>
        <w:rPr>
          <w:rFonts w:hint="eastAsia" w:ascii="Times New Roman" w:hAnsi="Times New Roman" w:eastAsia="宋体" w:cs="Times New Roman"/>
          <w:color w:val="auto"/>
          <w:sz w:val="24"/>
          <w:highlight w:val="none"/>
          <w:lang w:val="en-US" w:eastAsia="zh-CN"/>
        </w:rPr>
        <w:t>废气</w:t>
      </w:r>
      <w:r>
        <w:rPr>
          <w:rFonts w:hint="default" w:ascii="Times New Roman" w:hAnsi="Times New Roman" w:eastAsia="宋体" w:cs="Times New Roman"/>
          <w:color w:val="auto"/>
          <w:sz w:val="24"/>
          <w:highlight w:val="none"/>
        </w:rPr>
        <w:t>污染防治措施</w:t>
      </w:r>
    </w:p>
    <w:p w14:paraId="3A4737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 1 \* GB3 \* MERGEFORMAT </w:instrText>
      </w:r>
      <w:r>
        <w:rPr>
          <w:rFonts w:hint="default" w:ascii="Times New Roman" w:hAnsi="Times New Roman" w:eastAsia="宋体" w:cs="Times New Roman"/>
          <w:color w:val="auto"/>
          <w:sz w:val="24"/>
          <w:highlight w:val="none"/>
        </w:rPr>
        <w:fldChar w:fldCharType="separate"/>
      </w:r>
      <w:r>
        <w:rPr>
          <w:rFonts w:hint="default" w:ascii="Times New Roman" w:hAnsi="Times New Roman" w:eastAsia="宋体" w:cs="Times New Roman"/>
          <w:color w:val="auto"/>
          <w:sz w:val="24"/>
          <w:highlight w:val="none"/>
        </w:rPr>
        <w:t>①</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对运输道路路面</w:t>
      </w:r>
      <w:r>
        <w:rPr>
          <w:rFonts w:hint="eastAsia" w:ascii="Times New Roman" w:hAnsi="Times New Roman" w:cs="Times New Roman"/>
          <w:color w:val="auto"/>
          <w:sz w:val="24"/>
          <w:highlight w:val="none"/>
          <w:lang w:eastAsia="zh-CN"/>
        </w:rPr>
        <w:t>尽量</w:t>
      </w:r>
      <w:r>
        <w:rPr>
          <w:rFonts w:hint="default" w:ascii="Times New Roman" w:hAnsi="Times New Roman" w:eastAsia="宋体" w:cs="Times New Roman"/>
          <w:color w:val="auto"/>
          <w:sz w:val="24"/>
          <w:highlight w:val="none"/>
        </w:rPr>
        <w:t>进行硬化，进行定期及时清扫，采取洒水措施，并控制车辆行驶速度。</w:t>
      </w:r>
    </w:p>
    <w:p w14:paraId="284962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 2 \* GB3 \* MERGEFORMAT </w:instrText>
      </w:r>
      <w:r>
        <w:rPr>
          <w:rFonts w:hint="default" w:ascii="Times New Roman" w:hAnsi="Times New Roman" w:eastAsia="宋体" w:cs="Times New Roman"/>
          <w:color w:val="auto"/>
          <w:sz w:val="24"/>
          <w:highlight w:val="none"/>
        </w:rPr>
        <w:fldChar w:fldCharType="separate"/>
      </w:r>
      <w:r>
        <w:rPr>
          <w:rFonts w:hint="default" w:ascii="Times New Roman" w:hAnsi="Times New Roman" w:eastAsia="宋体" w:cs="Times New Roman"/>
          <w:color w:val="auto"/>
          <w:sz w:val="24"/>
          <w:highlight w:val="none"/>
        </w:rPr>
        <w:t>②</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进出场车辆在工业场地入口设置洗车区，车辆经过洗车区时，可去除车辆轮胎上的泥沙。对运输物料覆盖及产品压实措施，控制车速，并专人负责，及时</w:t>
      </w:r>
      <w:r>
        <w:rPr>
          <w:rFonts w:hint="eastAsia" w:ascii="Times New Roman" w:hAnsi="Times New Roman" w:eastAsia="宋体" w:cs="Times New Roman"/>
          <w:color w:val="auto"/>
          <w:sz w:val="24"/>
          <w:highlight w:val="none"/>
          <w:lang w:eastAsia="zh-CN"/>
        </w:rPr>
        <w:t>清扫</w:t>
      </w:r>
      <w:r>
        <w:rPr>
          <w:rFonts w:hint="default" w:ascii="Times New Roman" w:hAnsi="Times New Roman" w:eastAsia="宋体" w:cs="Times New Roman"/>
          <w:color w:val="auto"/>
          <w:sz w:val="24"/>
          <w:highlight w:val="none"/>
        </w:rPr>
        <w:t>路面渣土，保持交通道路清洁。</w:t>
      </w:r>
    </w:p>
    <w:p w14:paraId="2D2786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 3 \* GB3 \* MERGEFORMAT </w:instrText>
      </w:r>
      <w:r>
        <w:rPr>
          <w:rFonts w:hint="default" w:ascii="Times New Roman" w:hAnsi="Times New Roman" w:eastAsia="宋体" w:cs="Times New Roman"/>
          <w:color w:val="auto"/>
          <w:sz w:val="24"/>
          <w:highlight w:val="none"/>
        </w:rPr>
        <w:fldChar w:fldCharType="separate"/>
      </w:r>
      <w:r>
        <w:rPr>
          <w:rFonts w:hint="default" w:ascii="Times New Roman" w:hAnsi="Times New Roman" w:eastAsia="宋体" w:cs="Times New Roman"/>
          <w:color w:val="auto"/>
          <w:sz w:val="24"/>
          <w:highlight w:val="none"/>
        </w:rPr>
        <w:t>③</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加强对道路的维护，保证其路面处于完好状态，平整完好的路面可以大大减少汽车尾气和扬尘量。</w:t>
      </w:r>
    </w:p>
    <w:p w14:paraId="7B4D6A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 4 \* GB3 \* MERGEFORMAT </w:instrText>
      </w:r>
      <w:r>
        <w:rPr>
          <w:rFonts w:hint="default" w:ascii="Times New Roman" w:hAnsi="Times New Roman" w:eastAsia="宋体" w:cs="Times New Roman"/>
          <w:color w:val="auto"/>
          <w:sz w:val="24"/>
          <w:highlight w:val="none"/>
        </w:rPr>
        <w:fldChar w:fldCharType="separate"/>
      </w:r>
      <w:r>
        <w:rPr>
          <w:rFonts w:hint="default" w:ascii="Times New Roman" w:hAnsi="Times New Roman" w:eastAsia="宋体" w:cs="Times New Roman"/>
          <w:color w:val="auto"/>
          <w:sz w:val="24"/>
          <w:highlight w:val="none"/>
        </w:rPr>
        <w:t>④</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选用国家有关标准的施工机械和运输工具，使用优质动力燃料，对耗油多、效率低、尾气超标严重的老、旧车辆，应及时报废和更新。</w:t>
      </w:r>
    </w:p>
    <w:p w14:paraId="56C486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⑤运输车辆应当严格采取限速、限载、覆盖篷布等措施，并严格要求车辆沿规划道路行驶，严禁随意开辟便道；对出矿区运输车辆轮胎进行清洗，降低运输车辆对外部运输道路造成扬尘污染。</w:t>
      </w:r>
    </w:p>
    <w:p w14:paraId="53BE12FF">
      <w:pPr>
        <w:overflowPunct w:val="0"/>
        <w:topLinePunct/>
        <w:ind w:firstLine="480"/>
        <w:rPr>
          <w:rFonts w:hint="default" w:cs="Times New Roman"/>
          <w:color w:val="auto"/>
          <w:highlight w:val="none"/>
          <w:lang w:val="en-US" w:eastAsia="zh-CN"/>
        </w:rPr>
      </w:pPr>
      <w:r>
        <w:rPr>
          <w:rFonts w:hint="eastAsia" w:cs="Times New Roman"/>
          <w:color w:val="auto"/>
          <w:highlight w:val="none"/>
          <w:lang w:val="en-US" w:eastAsia="zh-CN"/>
        </w:rPr>
        <w:t>（5）废石堆场扬尘治理</w:t>
      </w:r>
    </w:p>
    <w:p w14:paraId="361BD7B4">
      <w:pPr>
        <w:overflowPunct w:val="0"/>
        <w:topLinePunct/>
        <w:ind w:firstLine="480"/>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rPr>
        <w:t>定期进行洒水降尘</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加大洒水降尘频率</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pacing w:val="-4"/>
          <w:kern w:val="0"/>
          <w:sz w:val="24"/>
          <w:szCs w:val="24"/>
          <w:highlight w:val="none"/>
        </w:rPr>
        <w:t>同时</w:t>
      </w:r>
      <w:r>
        <w:rPr>
          <w:rFonts w:hint="default" w:ascii="Times New Roman" w:hAnsi="Times New Roman" w:eastAsia="宋体" w:cs="Times New Roman"/>
          <w:color w:val="auto"/>
          <w:sz w:val="24"/>
          <w:highlight w:val="none"/>
        </w:rPr>
        <w:t>在矿石堆放、装卸过程中尽量降低落差，加强调度管理，</w:t>
      </w:r>
      <w:r>
        <w:rPr>
          <w:rFonts w:hint="default" w:ascii="Times New Roman" w:hAnsi="Times New Roman" w:cs="Times New Roman"/>
          <w:color w:val="auto"/>
          <w:highlight w:val="none"/>
        </w:rPr>
        <w:t>粉尘</w:t>
      </w:r>
      <w:r>
        <w:rPr>
          <w:rFonts w:hint="default" w:ascii="Times New Roman" w:hAnsi="Times New Roman" w:cs="Times New Roman"/>
          <w:color w:val="auto"/>
          <w:highlight w:val="none"/>
          <w:lang w:eastAsia="zh-CN"/>
        </w:rPr>
        <w:t>及氟化物</w:t>
      </w:r>
      <w:r>
        <w:rPr>
          <w:rFonts w:hint="default" w:ascii="Times New Roman" w:hAnsi="Times New Roman" w:cs="Times New Roman"/>
          <w:color w:val="auto"/>
          <w:highlight w:val="none"/>
        </w:rPr>
        <w:t>产生量较少。</w:t>
      </w:r>
    </w:p>
    <w:p w14:paraId="642C5A95">
      <w:pPr>
        <w:overflowPunct w:val="0"/>
        <w:topLinePunct/>
        <w:ind w:firstLine="480"/>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eastAsia="zh-CN"/>
        </w:rPr>
        <w:t>（</w:t>
      </w:r>
      <w:r>
        <w:rPr>
          <w:rFonts w:hint="eastAsia" w:cs="Times New Roman"/>
          <w:color w:val="auto"/>
          <w:highlight w:val="none"/>
          <w:lang w:val="en-US" w:eastAsia="zh-CN"/>
        </w:rPr>
        <w:t>6</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尾矿库扬尘</w:t>
      </w:r>
      <w:r>
        <w:rPr>
          <w:rFonts w:hint="eastAsia" w:cs="Times New Roman"/>
          <w:color w:val="auto"/>
          <w:highlight w:val="none"/>
          <w:lang w:val="en-US" w:eastAsia="zh-CN"/>
        </w:rPr>
        <w:t>治理</w:t>
      </w:r>
    </w:p>
    <w:p w14:paraId="0996BC6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尾砂含水率约35%，水分蒸发后形成干滩，当天晴有风时，裸露在干滩上的尾矿对尾砂库周围环境有一定的影响。本环评要求运行期采取以下防护措施：</w:t>
      </w:r>
    </w:p>
    <w:p w14:paraId="53A22A3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尾矿放矿过程中必须严格遵循设计提出的方案，尾矿浆的排放必须按设计要求沿坝体内坡均匀分散放矿，严禁在坝一侧或库中放矿。尾矿在库内的分布，应保证粗粒的沉积于坝前，细粒排至库内。尾矿在坝前排放时注意调整滩面，保持沉积滩均匀上升。</w:t>
      </w:r>
    </w:p>
    <w:p w14:paraId="4289284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②环评要求采用喷洒生态高效抑制剂作为辅助抑尘手段，抑尘剂是由新型多功能高分子聚合物组合而成，通过凝并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黏结等作用能迅速捕捉并将微粒粉尘牢牢吸附，干燥后能在粉尘表面固化成膜，因而具有很强的抑尘、防尘的作用。因尾矿库扬尘区域较大，通过建设专用固定喷洒基站，将抑尘剂稀释液均匀喷洒于尾矿库扬尘区域，即可实现防尘、降尘的效果，在无暴雨及车辆碾压的情况下，在干滩上层均匀喷洒抑尘剂可产生较好抑尘效率。</w:t>
      </w:r>
    </w:p>
    <w:p w14:paraId="272ED01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③坝体外坡应保持平整紧实，按设计要求设置坝体排水沟和护坡设施，防止坡面受雨水冲刷拉沟，破坏边坡稳定和产生尾矿粉尘飞扬污染环境。</w:t>
      </w:r>
    </w:p>
    <w:p w14:paraId="6B55B6C2">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高效抑尘剂理化性质见表6.2-1。</w:t>
      </w:r>
    </w:p>
    <w:p w14:paraId="20A20BA6">
      <w:pPr>
        <w:adjustRightInd w:val="0"/>
        <w:snapToGrid w:val="0"/>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表6.2-1    高效抑尘剂理化性质特性一览表</w:t>
      </w:r>
    </w:p>
    <w:tbl>
      <w:tblPr>
        <w:tblStyle w:val="18"/>
        <w:tblW w:w="8336"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0" w:type="dxa"/>
          <w:bottom w:w="0" w:type="dxa"/>
          <w:right w:w="0" w:type="dxa"/>
        </w:tblCellMar>
      </w:tblPr>
      <w:tblGrid>
        <w:gridCol w:w="751"/>
        <w:gridCol w:w="3094"/>
        <w:gridCol w:w="1842"/>
        <w:gridCol w:w="2649"/>
      </w:tblGrid>
      <w:tr w14:paraId="6BA24E9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8336" w:type="dxa"/>
            <w:gridSpan w:val="4"/>
            <w:vAlign w:val="center"/>
          </w:tcPr>
          <w:p w14:paraId="6A5BB2DC">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b/>
                <w:bCs/>
                <w:color w:val="auto"/>
                <w:sz w:val="21"/>
                <w:szCs w:val="21"/>
                <w:highlight w:val="none"/>
                <w:lang w:eastAsia="en-US"/>
              </w:rPr>
              <w:t>理化性质</w:t>
            </w:r>
          </w:p>
        </w:tc>
      </w:tr>
      <w:tr w14:paraId="524B772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51" w:type="dxa"/>
            <w:vAlign w:val="center"/>
          </w:tcPr>
          <w:p w14:paraId="7FBB7DA3">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外观</w:t>
            </w:r>
          </w:p>
        </w:tc>
        <w:tc>
          <w:tcPr>
            <w:tcW w:w="3094" w:type="dxa"/>
            <w:vAlign w:val="center"/>
          </w:tcPr>
          <w:p w14:paraId="63C8316D">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乳白色流动液体</w:t>
            </w:r>
          </w:p>
        </w:tc>
        <w:tc>
          <w:tcPr>
            <w:tcW w:w="1842" w:type="dxa"/>
            <w:vAlign w:val="center"/>
          </w:tcPr>
          <w:p w14:paraId="27EAF412">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稀释比例</w:t>
            </w:r>
          </w:p>
        </w:tc>
        <w:tc>
          <w:tcPr>
            <w:tcW w:w="2649" w:type="dxa"/>
            <w:vAlign w:val="center"/>
          </w:tcPr>
          <w:p w14:paraId="30A3CF38">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100-300倍</w:t>
            </w:r>
          </w:p>
        </w:tc>
      </w:tr>
      <w:tr w14:paraId="5DE53AD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51" w:type="dxa"/>
            <w:vAlign w:val="center"/>
          </w:tcPr>
          <w:p w14:paraId="402FD1B6">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粘度</w:t>
            </w:r>
          </w:p>
        </w:tc>
        <w:tc>
          <w:tcPr>
            <w:tcW w:w="3094" w:type="dxa"/>
            <w:vAlign w:val="center"/>
          </w:tcPr>
          <w:p w14:paraId="33F436C5">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1500-2800cPs</w:t>
            </w:r>
          </w:p>
        </w:tc>
        <w:tc>
          <w:tcPr>
            <w:tcW w:w="1842" w:type="dxa"/>
            <w:vAlign w:val="center"/>
          </w:tcPr>
          <w:p w14:paraId="0AE0DD25">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损耗降低率</w:t>
            </w:r>
          </w:p>
        </w:tc>
        <w:tc>
          <w:tcPr>
            <w:tcW w:w="2649" w:type="dxa"/>
            <w:vAlign w:val="center"/>
          </w:tcPr>
          <w:p w14:paraId="6BF762AD">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95%以上</w:t>
            </w:r>
          </w:p>
        </w:tc>
      </w:tr>
      <w:tr w14:paraId="30BF3A0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51" w:type="dxa"/>
            <w:vAlign w:val="center"/>
          </w:tcPr>
          <w:p w14:paraId="4736211D">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密度</w:t>
            </w:r>
          </w:p>
        </w:tc>
        <w:tc>
          <w:tcPr>
            <w:tcW w:w="3094" w:type="dxa"/>
            <w:vAlign w:val="center"/>
          </w:tcPr>
          <w:p w14:paraId="5A08797A">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1.0-1.1</w:t>
            </w:r>
          </w:p>
        </w:tc>
        <w:tc>
          <w:tcPr>
            <w:tcW w:w="1842" w:type="dxa"/>
            <w:vAlign w:val="center"/>
          </w:tcPr>
          <w:p w14:paraId="33F2645B">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pH值</w:t>
            </w:r>
          </w:p>
        </w:tc>
        <w:tc>
          <w:tcPr>
            <w:tcW w:w="2649" w:type="dxa"/>
            <w:vAlign w:val="center"/>
          </w:tcPr>
          <w:p w14:paraId="583F2401">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6.0-8.5</w:t>
            </w:r>
          </w:p>
        </w:tc>
      </w:tr>
      <w:tr w14:paraId="00E5329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51" w:type="dxa"/>
            <w:vAlign w:val="center"/>
          </w:tcPr>
          <w:p w14:paraId="7F4C9768">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作用</w:t>
            </w:r>
          </w:p>
        </w:tc>
        <w:tc>
          <w:tcPr>
            <w:tcW w:w="7585" w:type="dxa"/>
            <w:gridSpan w:val="3"/>
            <w:vAlign w:val="center"/>
          </w:tcPr>
          <w:p w14:paraId="2F77F39B">
            <w:pPr>
              <w:spacing w:line="360" w:lineRule="exact"/>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由新型多功能高分子聚合物组成，该聚合物分子间有一定的交联度形成网状结构，同时聚合物分子间有各种离子基团，能与离子之间产生较强的亲合力。通过捕捉和吸附并团聚粉尘微粒紧锁在其既疏松而又不失坚固的网状结构之内，起到湿润、粘接、凝结、吸湿、防尘的作用。本产品经国家环保部相关部门测试，产品无毒无害、无污染、抗风蚀、抗雨淋、不伤害土壤和植物、不影响堆积物质量、安全可靠、使用方便、操作简单。</w:t>
            </w:r>
          </w:p>
        </w:tc>
      </w:tr>
      <w:tr w14:paraId="58EC13D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51" w:type="dxa"/>
            <w:vAlign w:val="center"/>
          </w:tcPr>
          <w:p w14:paraId="7C05D7B8">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使用</w:t>
            </w:r>
          </w:p>
          <w:p w14:paraId="2D09D77F">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方法</w:t>
            </w:r>
          </w:p>
        </w:tc>
        <w:tc>
          <w:tcPr>
            <w:tcW w:w="7585" w:type="dxa"/>
            <w:gridSpan w:val="3"/>
            <w:vAlign w:val="center"/>
          </w:tcPr>
          <w:p w14:paraId="5CE3B178">
            <w:pPr>
              <w:spacing w:line="360" w:lineRule="exact"/>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直接按比例加水稀释即可直接进行喷淋抑尘作业。可采用机械及人工喷洒的方法，均匀地喷洒在物料的表面，即可达到降尘、防尘目的。具体用量根据现场情况</w:t>
            </w:r>
            <w:r>
              <w:rPr>
                <w:rFonts w:hint="eastAsia" w:ascii="Times New Roman" w:hAnsi="Times New Roman" w:cs="Times New Roman"/>
                <w:color w:val="auto"/>
                <w:sz w:val="21"/>
                <w:szCs w:val="21"/>
                <w:highlight w:val="none"/>
                <w:lang w:eastAsia="zh-CN"/>
              </w:rPr>
              <w:t>因地制宜地</w:t>
            </w:r>
            <w:r>
              <w:rPr>
                <w:rFonts w:hint="default" w:ascii="Times New Roman" w:hAnsi="Times New Roman" w:cs="Times New Roman"/>
                <w:color w:val="auto"/>
                <w:sz w:val="21"/>
                <w:szCs w:val="21"/>
                <w:highlight w:val="none"/>
                <w:lang w:eastAsia="zh-CN"/>
              </w:rPr>
              <w:t>进行自行调节。</w:t>
            </w:r>
          </w:p>
        </w:tc>
      </w:tr>
      <w:tr w14:paraId="2529446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51" w:type="dxa"/>
            <w:vAlign w:val="center"/>
          </w:tcPr>
          <w:p w14:paraId="48FE076C">
            <w:pPr>
              <w:spacing w:line="360" w:lineRule="exact"/>
              <w:ind w:firstLine="0" w:firstLineChars="0"/>
              <w:jc w:val="center"/>
              <w:rPr>
                <w:rFonts w:hint="default" w:ascii="Times New Roman" w:hAnsi="Times New Roman" w:cs="Times New Roman"/>
                <w:color w:val="auto"/>
                <w:sz w:val="21"/>
                <w:szCs w:val="21"/>
                <w:highlight w:val="none"/>
                <w:lang w:eastAsia="en-US"/>
              </w:rPr>
            </w:pPr>
            <w:r>
              <w:rPr>
                <w:rFonts w:hint="default" w:ascii="Times New Roman" w:hAnsi="Times New Roman" w:cs="Times New Roman"/>
                <w:color w:val="auto"/>
                <w:sz w:val="21"/>
                <w:szCs w:val="21"/>
                <w:highlight w:val="none"/>
                <w:lang w:eastAsia="en-US"/>
              </w:rPr>
              <w:t>优点</w:t>
            </w:r>
          </w:p>
        </w:tc>
        <w:tc>
          <w:tcPr>
            <w:tcW w:w="7585" w:type="dxa"/>
            <w:gridSpan w:val="3"/>
            <w:vAlign w:val="center"/>
          </w:tcPr>
          <w:p w14:paraId="1EA5DFC4">
            <w:pPr>
              <w:spacing w:line="360" w:lineRule="exact"/>
              <w:ind w:firstLine="0" w:firstLineChars="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1、防尘效果好，能去除2.5微米以上的颗粒。2、固化后柔韧性好；潮湿时表面不滑。3、不会因为渗入水而从土壤中浸出，固化后也不会被雨水、其他形式的降水冲走。4、不受温度的影响，抗冻融、抗风蚀、抗雨水冲蚀。5、表层形成“硬壳”保护层后，在零下20℃的环境下不会影响其效果。6、生态环境安全，可生物降解，不损害植被。7、无腐蚀性，无毒性，水溶后呈乳白色。8、本产品属于环保型材料，使用后不会形成二次污染。</w:t>
            </w:r>
          </w:p>
        </w:tc>
      </w:tr>
    </w:tbl>
    <w:p w14:paraId="008A4F8A">
      <w:pPr>
        <w:overflowPunct w:val="0"/>
        <w:topLinePunct/>
        <w:ind w:firstLine="48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w:t>
      </w:r>
      <w:r>
        <w:rPr>
          <w:rFonts w:hint="eastAsia" w:cs="Times New Roman"/>
          <w:color w:val="auto"/>
          <w:highlight w:val="none"/>
          <w:lang w:val="en-US" w:eastAsia="zh-CN"/>
        </w:rPr>
        <w:t>燃油废气</w:t>
      </w:r>
    </w:p>
    <w:p w14:paraId="5005371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针对燃油设备和车辆运行时产生的无组织燃油废气，选用低能耗、高效率的燃油设备和车辆，对其加强日常检修及维护保养，加强对燃油设备和车辆的管理，对项目区建筑设施及场所进行合理布局，在项目区合理设置指示牌，减少燃油设备和车辆运行时间和距离。</w:t>
      </w:r>
    </w:p>
    <w:p w14:paraId="7B00A226">
      <w:pPr>
        <w:overflowPunct w:val="0"/>
        <w:topLinePunct/>
        <w:ind w:firstLine="480"/>
        <w:rPr>
          <w:rFonts w:hint="default" w:cs="Times New Roman"/>
          <w:color w:val="auto"/>
          <w:kern w:val="0"/>
          <w:highlight w:val="none"/>
          <w:lang w:val="en-US" w:eastAsia="zh-CN"/>
        </w:rPr>
      </w:pPr>
      <w:r>
        <w:rPr>
          <w:rFonts w:hint="eastAsia" w:cs="Times New Roman"/>
          <w:color w:val="auto"/>
          <w:kern w:val="0"/>
          <w:highlight w:val="none"/>
          <w:lang w:eastAsia="zh-CN"/>
        </w:rPr>
        <w:t>（</w:t>
      </w:r>
      <w:r>
        <w:rPr>
          <w:rFonts w:hint="eastAsia" w:cs="Times New Roman"/>
          <w:color w:val="auto"/>
          <w:kern w:val="0"/>
          <w:highlight w:val="none"/>
          <w:lang w:val="en-US" w:eastAsia="zh-CN"/>
        </w:rPr>
        <w:t>8）其他防治措施</w:t>
      </w:r>
    </w:p>
    <w:p w14:paraId="4FA4F2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 1 \* GB3 \* MERGEFORMAT </w:instrText>
      </w:r>
      <w:r>
        <w:rPr>
          <w:rFonts w:hint="default" w:ascii="Times New Roman" w:hAnsi="Times New Roman" w:eastAsia="宋体" w:cs="Times New Roman"/>
          <w:color w:val="auto"/>
          <w:sz w:val="24"/>
          <w:highlight w:val="none"/>
        </w:rPr>
        <w:fldChar w:fldCharType="separate"/>
      </w:r>
      <w:r>
        <w:rPr>
          <w:rFonts w:hint="default" w:ascii="Times New Roman" w:hAnsi="Times New Roman" w:eastAsia="宋体" w:cs="Times New Roman"/>
          <w:color w:val="auto"/>
          <w:sz w:val="24"/>
          <w:highlight w:val="none"/>
        </w:rPr>
        <w:t>①</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装卸时间</w:t>
      </w:r>
      <w:r>
        <w:rPr>
          <w:rFonts w:hint="eastAsia" w:ascii="Times New Roman" w:hAnsi="Times New Roman" w:eastAsia="宋体" w:cs="Times New Roman"/>
          <w:color w:val="auto"/>
          <w:sz w:val="24"/>
          <w:highlight w:val="none"/>
          <w:lang w:eastAsia="zh-CN"/>
        </w:rPr>
        <w:t>尽量</w:t>
      </w:r>
      <w:r>
        <w:rPr>
          <w:rFonts w:hint="default" w:ascii="Times New Roman" w:hAnsi="Times New Roman" w:eastAsia="宋体" w:cs="Times New Roman"/>
          <w:color w:val="auto"/>
          <w:sz w:val="24"/>
          <w:highlight w:val="none"/>
        </w:rPr>
        <w:t>避免大风及下雨天气，同时应尽量降低落差，同时要加强管理，装卸场所应采取经常洒水及清扫。</w:t>
      </w:r>
    </w:p>
    <w:p w14:paraId="2D11A7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②</w:t>
      </w:r>
      <w:r>
        <w:rPr>
          <w:rFonts w:hint="default" w:ascii="Times New Roman" w:hAnsi="Times New Roman" w:eastAsia="宋体" w:cs="Times New Roman"/>
          <w:color w:val="auto"/>
          <w:sz w:val="24"/>
          <w:highlight w:val="none"/>
        </w:rPr>
        <w:t>加强个体防护，如作业人员戴防尘口罩，加强采装、运输设备操作室的密封。</w:t>
      </w:r>
    </w:p>
    <w:p w14:paraId="530F2411">
      <w:pPr>
        <w:keepNext w:val="0"/>
        <w:keepLines w:val="0"/>
        <w:pageBreakBefore w:val="0"/>
        <w:widowControl w:val="0"/>
        <w:kinsoku/>
        <w:wordWrap/>
        <w:overflowPunct/>
        <w:topLinePunct w:val="0"/>
        <w:autoSpaceDE/>
        <w:autoSpaceDN/>
        <w:bidi w:val="0"/>
        <w:snapToGrid/>
        <w:spacing w:line="480" w:lineRule="exact"/>
        <w:ind w:firstLine="480" w:firstLineChars="200"/>
        <w:textAlignment w:val="auto"/>
        <w:outlineLvl w:val="9"/>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③柴油机采用增压中冷技术、燃油电喷技术等可提高柴油机功率、降低油耗，以减少柴油燃烧废气排放量。</w:t>
      </w:r>
      <w:r>
        <w:rPr>
          <w:rFonts w:hint="eastAsia" w:ascii="Times New Roman" w:hAnsi="Times New Roman" w:cs="Times New Roman"/>
          <w:color w:val="auto"/>
          <w:sz w:val="24"/>
          <w:highlight w:val="none"/>
          <w:lang w:val="en-US" w:eastAsia="zh-CN"/>
        </w:rPr>
        <w:t>环评要求建设单位采取双层罐，采用水泥地面底部铺设HDPE防渗膜，且</w:t>
      </w:r>
      <w:r>
        <w:rPr>
          <w:rFonts w:hint="default" w:ascii="Times New Roman" w:hAnsi="Times New Roman" w:eastAsia="宋体" w:cs="Times New Roman"/>
          <w:color w:val="auto"/>
          <w:kern w:val="0"/>
          <w:sz w:val="24"/>
          <w:highlight w:val="none"/>
        </w:rPr>
        <w:t>柴油储罐严格执行《挥发性有机物无组织排放控制标准》（GB37822-2019）中关于储罐控制的要求。</w:t>
      </w:r>
      <w:r>
        <w:rPr>
          <w:rFonts w:hint="default" w:ascii="Times New Roman" w:hAnsi="Times New Roman" w:eastAsia="宋体" w:cs="Times New Roman"/>
          <w:color w:val="auto"/>
          <w:kern w:val="0"/>
          <w:sz w:val="24"/>
          <w:highlight w:val="none"/>
          <w:lang w:val="en-US" w:eastAsia="zh-CN"/>
        </w:rPr>
        <w:t>柴油发电机采用轻质柴油等环保燃料，进一步减轻燃料的污染物排放量。针对燃油设备和车辆运行时产生的无组织燃油废气，选用低能耗、高效率的燃油设备和车辆，对其加强日常检修及维护保养，加强对燃油设备和车辆的管理，对项目区建筑设施及场所进行合理布局，在项目区合理设置指示牌，减少燃油设备和车辆运行时间和距离。</w:t>
      </w:r>
    </w:p>
    <w:p w14:paraId="219745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④采矿区尽量减少人为扰动，爆破应选择每天温度相对较低的时段进行。</w:t>
      </w:r>
    </w:p>
    <w:p w14:paraId="6D73670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baseline"/>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 5 \* GB3 \* MERGEFORMAT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⑤</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highlight w:val="none"/>
        </w:rPr>
        <w:t>为减少粉尘排放量，向预破碎矿石表面洒水，破碎时进行洒水抑尘。</w:t>
      </w:r>
    </w:p>
    <w:p w14:paraId="6F18291F">
      <w:pPr>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本项目采取的废气治理措施经济合理可行，易操作</w:t>
      </w:r>
      <w:r>
        <w:rPr>
          <w:rFonts w:hint="eastAsia" w:ascii="Times New Roman" w:hAnsi="Times New Roman" w:eastAsia="宋体" w:cs="Times New Roman"/>
          <w:color w:val="auto"/>
          <w:highlight w:val="none"/>
        </w:rPr>
        <w:t>。</w:t>
      </w:r>
      <w:r>
        <w:rPr>
          <w:rFonts w:hint="default" w:ascii="Times New Roman" w:hAnsi="Times New Roman" w:eastAsia="宋体" w:cs="Times New Roman"/>
          <w:color w:val="auto"/>
          <w:highlight w:val="none"/>
        </w:rPr>
        <w:t>对于</w:t>
      </w:r>
      <w:r>
        <w:rPr>
          <w:rFonts w:hint="eastAsia" w:ascii="Times New Roman" w:hAnsi="Times New Roman" w:eastAsia="宋体" w:cs="Times New Roman"/>
          <w:color w:val="auto"/>
          <w:highlight w:val="none"/>
        </w:rPr>
        <w:t>本项目</w:t>
      </w:r>
      <w:r>
        <w:rPr>
          <w:rFonts w:hint="default" w:ascii="Times New Roman" w:hAnsi="Times New Roman" w:eastAsia="宋体" w:cs="Times New Roman"/>
          <w:color w:val="auto"/>
          <w:highlight w:val="none"/>
        </w:rPr>
        <w:t>无组织排放能够起到较好</w:t>
      </w:r>
      <w:r>
        <w:rPr>
          <w:rFonts w:hint="eastAsia" w:ascii="Times New Roman" w:hAnsi="Times New Roman" w:eastAsia="宋体" w:cs="Times New Roman"/>
          <w:color w:val="auto"/>
          <w:highlight w:val="none"/>
          <w:lang w:eastAsia="zh-CN"/>
        </w:rPr>
        <w:t>的</w:t>
      </w:r>
      <w:r>
        <w:rPr>
          <w:rFonts w:hint="default" w:ascii="Times New Roman" w:hAnsi="Times New Roman" w:eastAsia="宋体" w:cs="Times New Roman"/>
          <w:color w:val="auto"/>
          <w:highlight w:val="none"/>
        </w:rPr>
        <w:t>控制效果。厂界粉尘也满足《大气污染物综合排放标准》（GB16297-1996）无组织排放浓度限值要求</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1.0mg/m</w:t>
      </w:r>
      <w:r>
        <w:rPr>
          <w:rFonts w:hint="eastAsia" w:ascii="Times New Roman" w:hAnsi="Times New Roman" w:eastAsia="宋体" w:cs="Times New Roman"/>
          <w:color w:val="auto"/>
          <w:highlight w:val="none"/>
          <w:vertAlign w:val="superscript"/>
          <w:lang w:val="en-US" w:eastAsia="zh-CN"/>
        </w:rPr>
        <w:t>3</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w:t>
      </w:r>
    </w:p>
    <w:p w14:paraId="4D3DF3E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本项目采取的废气治理措施经济合理可行，易操作。</w:t>
      </w:r>
      <w:r>
        <w:rPr>
          <w:rFonts w:hint="default" w:ascii="Times New Roman" w:hAnsi="Times New Roman" w:cs="Times New Roman"/>
          <w:color w:val="auto"/>
          <w:highlight w:val="none"/>
        </w:rPr>
        <w:t>对于本项目无组织排放能够起到较好</w:t>
      </w:r>
      <w:r>
        <w:rPr>
          <w:rFonts w:hint="eastAsia" w:ascii="Times New Roman" w:hAnsi="Times New Roman" w:cs="Times New Roman"/>
          <w:color w:val="auto"/>
          <w:highlight w:val="none"/>
          <w:lang w:eastAsia="zh-CN"/>
        </w:rPr>
        <w:t>的</w:t>
      </w:r>
      <w:r>
        <w:rPr>
          <w:rFonts w:hint="default" w:ascii="Times New Roman" w:hAnsi="Times New Roman" w:cs="Times New Roman"/>
          <w:color w:val="auto"/>
          <w:highlight w:val="none"/>
        </w:rPr>
        <w:t>控制效果。厂界粉尘</w:t>
      </w:r>
      <w:r>
        <w:rPr>
          <w:rFonts w:hint="default" w:ascii="Times New Roman" w:hAnsi="Times New Roman" w:cs="Times New Roman"/>
          <w:color w:val="auto"/>
          <w:highlight w:val="none"/>
          <w:lang w:eastAsia="zh-CN"/>
        </w:rPr>
        <w:t>及氟化物</w:t>
      </w:r>
      <w:r>
        <w:rPr>
          <w:rFonts w:hint="default" w:ascii="Times New Roman" w:hAnsi="Times New Roman" w:cs="Times New Roman"/>
          <w:color w:val="auto"/>
          <w:highlight w:val="none"/>
        </w:rPr>
        <w:t>也满足《大气污染物综合排放标准》（GB16297-1996）无组织排放浓度限值要求。</w:t>
      </w:r>
    </w:p>
    <w:p w14:paraId="61E08672">
      <w:pPr>
        <w:pStyle w:val="6"/>
        <w:rPr>
          <w:rFonts w:hint="default" w:ascii="Times New Roman" w:hAnsi="Times New Roman" w:cs="Times New Roman"/>
          <w:color w:val="auto"/>
          <w:highlight w:val="none"/>
        </w:rPr>
      </w:pPr>
      <w:bookmarkStart w:id="749" w:name="_Toc24608"/>
      <w:bookmarkStart w:id="750" w:name="_Toc12517"/>
      <w:bookmarkStart w:id="751" w:name="_Toc10248"/>
      <w:r>
        <w:rPr>
          <w:rFonts w:hint="default" w:ascii="Times New Roman" w:hAnsi="Times New Roman" w:cs="Times New Roman"/>
          <w:color w:val="auto"/>
          <w:highlight w:val="none"/>
        </w:rPr>
        <w:t>6.2.2地表水污染防治措施</w:t>
      </w:r>
      <w:bookmarkEnd w:id="749"/>
      <w:bookmarkEnd w:id="750"/>
      <w:bookmarkEnd w:id="751"/>
    </w:p>
    <w:p w14:paraId="0111B450">
      <w:pPr>
        <w:pStyle w:val="7"/>
        <w:ind w:firstLine="482" w:firstLineChars="200"/>
        <w:rPr>
          <w:rFonts w:hint="default" w:ascii="Times New Roman" w:hAnsi="Times New Roman" w:cs="Times New Roman"/>
          <w:color w:val="auto"/>
          <w:highlight w:val="none"/>
        </w:rPr>
      </w:pPr>
      <w:bookmarkStart w:id="752" w:name="_Toc21384"/>
      <w:r>
        <w:rPr>
          <w:rFonts w:hint="default" w:ascii="Times New Roman" w:hAnsi="Times New Roman" w:cs="Times New Roman"/>
          <w:color w:val="auto"/>
          <w:highlight w:val="none"/>
        </w:rPr>
        <w:t>6.2.2.1生活污水处置措施</w:t>
      </w:r>
    </w:p>
    <w:p w14:paraId="24FDAF3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（1）生活污水处置措施</w:t>
      </w:r>
    </w:p>
    <w:p w14:paraId="24819D14">
      <w:pPr>
        <w:overflowPunct w:val="0"/>
        <w:topLinePunct/>
        <w:ind w:firstLine="480"/>
        <w:rPr>
          <w:color w:val="auto"/>
          <w:highlight w:val="none"/>
        </w:rPr>
      </w:pPr>
      <w:r>
        <w:rPr>
          <w:rFonts w:hint="default" w:ascii="Times New Roman" w:hAnsi="Times New Roman" w:cs="Times New Roman"/>
          <w:color w:val="auto"/>
          <w:highlight w:val="none"/>
        </w:rPr>
        <w:t>本项目生活污水排入</w:t>
      </w:r>
      <w:r>
        <w:rPr>
          <w:rFonts w:hint="default" w:ascii="Times New Roman" w:hAnsi="Times New Roman" w:cs="Times New Roman"/>
          <w:color w:val="auto"/>
          <w:highlight w:val="none"/>
          <w:lang w:eastAsia="zh-CN"/>
        </w:rPr>
        <w:t>采矿生活区</w:t>
      </w:r>
      <w:r>
        <w:rPr>
          <w:rFonts w:hint="default" w:ascii="Times New Roman" w:hAnsi="Times New Roman" w:cs="Times New Roman"/>
          <w:b w:val="0"/>
          <w:bCs/>
          <w:color w:val="auto"/>
          <w:highlight w:val="none"/>
          <w:lang w:val="en-US" w:eastAsia="zh-CN"/>
        </w:rPr>
        <w:t>地埋式污水处理设施</w:t>
      </w:r>
      <w:r>
        <w:rPr>
          <w:rFonts w:hint="default" w:ascii="Times New Roman" w:hAnsi="Times New Roman" w:cs="Times New Roman"/>
          <w:color w:val="auto"/>
          <w:highlight w:val="none"/>
        </w:rPr>
        <w:t>处理。鉴于当地蒸发量较大，为节约用水，项目餐饮废水经隔油池预处理后与盥洗废水等一同排入</w:t>
      </w:r>
      <w:r>
        <w:rPr>
          <w:rFonts w:hint="default" w:ascii="Times New Roman" w:hAnsi="Times New Roman" w:cs="Times New Roman"/>
          <w:b w:val="0"/>
          <w:bCs/>
          <w:color w:val="auto"/>
          <w:highlight w:val="none"/>
          <w:lang w:val="en-US" w:eastAsia="zh-CN"/>
        </w:rPr>
        <w:t>地埋式污水处理设施</w:t>
      </w:r>
      <w:r>
        <w:rPr>
          <w:rFonts w:hint="default" w:ascii="Times New Roman" w:hAnsi="Times New Roman" w:cs="Times New Roman"/>
          <w:color w:val="auto"/>
          <w:highlight w:val="none"/>
        </w:rPr>
        <w:t>（处理规模</w:t>
      </w:r>
      <w:r>
        <w:rPr>
          <w:rFonts w:hint="eastAsia" w:cs="Times New Roman"/>
          <w:color w:val="auto"/>
          <w:highlight w:val="none"/>
          <w:lang w:val="en-US" w:eastAsia="zh-CN"/>
        </w:rPr>
        <w:t>20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/h）处理</w:t>
      </w:r>
      <w:r>
        <w:rPr>
          <w:color w:val="auto"/>
          <w:highlight w:val="none"/>
        </w:rPr>
        <w:t>达到</w:t>
      </w:r>
      <w:r>
        <w:rPr>
          <w:rFonts w:hint="default" w:ascii="Times New Roman" w:hAnsi="Times New Roman" w:eastAsia="宋体" w:cs="Times New Roman"/>
          <w:b w:val="0"/>
          <w:bCs/>
          <w:color w:val="auto"/>
          <w:sz w:val="24"/>
          <w:szCs w:val="24"/>
          <w:highlight w:val="none"/>
          <w:shd w:val="clear" w:color="auto" w:fill="auto"/>
          <w:lang w:val="en-US" w:eastAsia="zh-CN"/>
        </w:rPr>
        <w:t>《农村生活污水处理排放标准》（DB65 4275-2019）表</w:t>
      </w:r>
      <w:r>
        <w:rPr>
          <w:rFonts w:hint="eastAsia" w:cs="Times New Roman"/>
          <w:b w:val="0"/>
          <w:bCs/>
          <w:color w:val="auto"/>
          <w:sz w:val="24"/>
          <w:szCs w:val="24"/>
          <w:highlight w:val="none"/>
          <w:shd w:val="clear" w:color="auto" w:fill="auto"/>
          <w:lang w:val="en-US" w:eastAsia="zh-CN"/>
        </w:rPr>
        <w:t>2</w:t>
      </w:r>
      <w:r>
        <w:rPr>
          <w:rFonts w:hint="default" w:ascii="Times New Roman" w:hAnsi="Times New Roman" w:eastAsia="宋体" w:cs="Times New Roman"/>
          <w:b w:val="0"/>
          <w:bCs/>
          <w:color w:val="auto"/>
          <w:sz w:val="24"/>
          <w:szCs w:val="24"/>
          <w:highlight w:val="none"/>
          <w:shd w:val="clear" w:color="auto" w:fill="auto"/>
          <w:lang w:val="en-US" w:eastAsia="zh-CN"/>
        </w:rPr>
        <w:t>中</w:t>
      </w:r>
      <w:r>
        <w:rPr>
          <w:rFonts w:hint="eastAsia" w:cs="Times New Roman"/>
          <w:b w:val="0"/>
          <w:bCs/>
          <w:color w:val="auto"/>
          <w:sz w:val="24"/>
          <w:szCs w:val="24"/>
          <w:highlight w:val="none"/>
          <w:shd w:val="clear" w:color="auto" w:fill="auto"/>
          <w:lang w:val="en-US" w:eastAsia="zh-CN"/>
        </w:rPr>
        <w:t>A</w:t>
      </w:r>
      <w:r>
        <w:rPr>
          <w:rFonts w:hint="default" w:ascii="Times New Roman" w:hAnsi="Times New Roman" w:eastAsia="宋体" w:cs="Times New Roman"/>
          <w:b w:val="0"/>
          <w:bCs/>
          <w:color w:val="auto"/>
          <w:sz w:val="24"/>
          <w:szCs w:val="24"/>
          <w:highlight w:val="none"/>
          <w:shd w:val="clear" w:color="auto" w:fill="auto"/>
          <w:lang w:val="en-US" w:eastAsia="zh-CN"/>
        </w:rPr>
        <w:t>级标准限值</w:t>
      </w:r>
      <w:r>
        <w:rPr>
          <w:rFonts w:hint="eastAsia" w:cs="Times New Roman"/>
          <w:b w:val="0"/>
          <w:bCs/>
          <w:color w:val="auto"/>
          <w:sz w:val="24"/>
          <w:szCs w:val="24"/>
          <w:highlight w:val="none"/>
          <w:shd w:val="clear" w:color="auto" w:fill="auto"/>
          <w:lang w:val="en-US" w:eastAsia="zh-CN"/>
        </w:rPr>
        <w:t>后，</w:t>
      </w:r>
      <w:r>
        <w:rPr>
          <w:rFonts w:hint="eastAsia"/>
          <w:b w:val="0"/>
          <w:bCs/>
          <w:color w:val="auto"/>
          <w:highlight w:val="none"/>
          <w:lang w:val="en-US" w:eastAsia="zh-CN"/>
        </w:rPr>
        <w:t>用于项目区绿化，不外排</w:t>
      </w:r>
      <w:r>
        <w:rPr>
          <w:color w:val="auto"/>
          <w:highlight w:val="none"/>
        </w:rPr>
        <w:t>。</w:t>
      </w:r>
    </w:p>
    <w:p w14:paraId="55CE6B5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b w:val="0"/>
          <w:bCs/>
          <w:color w:val="auto"/>
          <w:highlight w:val="none"/>
          <w:lang w:val="en-US" w:eastAsia="zh-CN"/>
        </w:rPr>
        <w:t>地埋式污水处理设施</w:t>
      </w:r>
      <w:r>
        <w:rPr>
          <w:rFonts w:hint="default" w:ascii="Times New Roman" w:hAnsi="Times New Roman" w:cs="Times New Roman"/>
          <w:color w:val="auto"/>
          <w:kern w:val="0"/>
          <w:highlight w:val="none"/>
        </w:rPr>
        <w:t>可行性分析</w:t>
      </w:r>
    </w:p>
    <w:p w14:paraId="4F558B61">
      <w:pPr>
        <w:overflowPunct w:val="0"/>
        <w:topLinePunct/>
        <w:ind w:firstLine="480"/>
        <w:rPr>
          <w:rFonts w:hint="default" w:ascii="Times New Roman" w:hAnsi="Times New Roman" w:eastAsia="宋体" w:cs="Times New Roman"/>
          <w:color w:val="auto"/>
          <w:highlight w:val="none"/>
          <w:lang w:val="en-US" w:eastAsia="zh-CN"/>
        </w:rPr>
      </w:pPr>
      <w:r>
        <w:rPr>
          <w:rFonts w:hint="default" w:ascii="Times New Roman" w:hAnsi="Times New Roman" w:cs="Times New Roman"/>
          <w:bCs/>
          <w:color w:val="auto"/>
          <w:kern w:val="0"/>
          <w:highlight w:val="none"/>
          <w:lang w:eastAsia="zh-CN"/>
        </w:rPr>
        <w:t>本项目</w:t>
      </w:r>
      <w:r>
        <w:rPr>
          <w:color w:val="auto"/>
          <w:highlight w:val="none"/>
        </w:rPr>
        <w:t>生活污水产生量为</w:t>
      </w:r>
      <w:r>
        <w:rPr>
          <w:rFonts w:hint="eastAsia"/>
          <w:color w:val="auto"/>
          <w:highlight w:val="none"/>
          <w:lang w:val="en-US" w:eastAsia="zh-CN"/>
        </w:rPr>
        <w:t>22.264</w:t>
      </w:r>
      <w:r>
        <w:rPr>
          <w:color w:val="auto"/>
          <w:highlight w:val="none"/>
        </w:rPr>
        <w:t>m</w:t>
      </w:r>
      <w:r>
        <w:rPr>
          <w:color w:val="auto"/>
          <w:highlight w:val="none"/>
          <w:vertAlign w:val="superscript"/>
        </w:rPr>
        <w:t>3</w:t>
      </w:r>
      <w:r>
        <w:rPr>
          <w:color w:val="auto"/>
          <w:highlight w:val="none"/>
        </w:rPr>
        <w:t>/d（</w:t>
      </w:r>
      <w:r>
        <w:rPr>
          <w:rFonts w:hint="eastAsia"/>
          <w:color w:val="auto"/>
          <w:highlight w:val="none"/>
          <w:lang w:val="en-US" w:eastAsia="zh-CN"/>
        </w:rPr>
        <w:t>6679.2</w:t>
      </w:r>
      <w:r>
        <w:rPr>
          <w:color w:val="auto"/>
          <w:highlight w:val="none"/>
        </w:rPr>
        <w:t>m</w:t>
      </w:r>
      <w:r>
        <w:rPr>
          <w:color w:val="auto"/>
          <w:highlight w:val="none"/>
          <w:vertAlign w:val="superscript"/>
        </w:rPr>
        <w:t>3</w:t>
      </w:r>
      <w:r>
        <w:rPr>
          <w:color w:val="auto"/>
          <w:highlight w:val="none"/>
        </w:rPr>
        <w:t>/a）。</w:t>
      </w:r>
      <w:r>
        <w:rPr>
          <w:rFonts w:hint="eastAsia"/>
          <w:color w:val="auto"/>
          <w:highlight w:val="none"/>
        </w:rPr>
        <w:t>生活污水污染物浓度及产生量为</w:t>
      </w:r>
      <w:r>
        <w:rPr>
          <w:color w:val="auto"/>
          <w:highlight w:val="none"/>
        </w:rPr>
        <w:t>SS</w:t>
      </w:r>
      <w:r>
        <w:rPr>
          <w:rFonts w:hint="eastAsia"/>
          <w:color w:val="auto"/>
          <w:highlight w:val="none"/>
        </w:rPr>
        <w:t>：</w:t>
      </w:r>
      <w:r>
        <w:rPr>
          <w:color w:val="auto"/>
          <w:highlight w:val="none"/>
        </w:rPr>
        <w:t>220mg/L</w:t>
      </w:r>
      <w:r>
        <w:rPr>
          <w:rFonts w:hint="eastAsia"/>
          <w:color w:val="auto"/>
          <w:highlight w:val="none"/>
        </w:rPr>
        <w:t>（</w:t>
      </w:r>
      <w:r>
        <w:rPr>
          <w:rFonts w:hint="eastAsia"/>
          <w:color w:val="auto"/>
          <w:highlight w:val="none"/>
          <w:lang w:val="en-US" w:eastAsia="zh-CN"/>
        </w:rPr>
        <w:t>1.4694</w:t>
      </w:r>
      <w:r>
        <w:rPr>
          <w:color w:val="auto"/>
          <w:highlight w:val="none"/>
        </w:rPr>
        <w:t>t/a</w:t>
      </w:r>
      <w:r>
        <w:rPr>
          <w:rFonts w:hint="eastAsia"/>
          <w:color w:val="auto"/>
          <w:highlight w:val="none"/>
        </w:rPr>
        <w:t>）、</w:t>
      </w:r>
      <w:r>
        <w:rPr>
          <w:color w:val="auto"/>
          <w:highlight w:val="none"/>
        </w:rPr>
        <w:t>COD</w:t>
      </w:r>
      <w:r>
        <w:rPr>
          <w:rFonts w:hint="eastAsia"/>
          <w:color w:val="auto"/>
          <w:highlight w:val="none"/>
        </w:rPr>
        <w:t>：</w:t>
      </w:r>
      <w:r>
        <w:rPr>
          <w:color w:val="auto"/>
          <w:highlight w:val="none"/>
        </w:rPr>
        <w:t>300mg/L</w:t>
      </w:r>
      <w:r>
        <w:rPr>
          <w:rFonts w:hint="eastAsia"/>
          <w:color w:val="auto"/>
          <w:highlight w:val="none"/>
        </w:rPr>
        <w:t>（</w:t>
      </w:r>
      <w:r>
        <w:rPr>
          <w:rFonts w:hint="eastAsia"/>
          <w:color w:val="auto"/>
          <w:highlight w:val="none"/>
          <w:lang w:val="en-US" w:eastAsia="zh-CN"/>
        </w:rPr>
        <w:t>2.0038</w:t>
      </w:r>
      <w:r>
        <w:rPr>
          <w:color w:val="auto"/>
          <w:highlight w:val="none"/>
        </w:rPr>
        <w:t>t/a</w:t>
      </w:r>
      <w:r>
        <w:rPr>
          <w:rFonts w:hint="eastAsia"/>
          <w:color w:val="auto"/>
          <w:highlight w:val="none"/>
        </w:rPr>
        <w:t>）、</w:t>
      </w:r>
      <w:r>
        <w:rPr>
          <w:color w:val="auto"/>
          <w:highlight w:val="none"/>
        </w:rPr>
        <w:t>BOD</w:t>
      </w:r>
      <w:r>
        <w:rPr>
          <w:color w:val="auto"/>
          <w:highlight w:val="none"/>
          <w:vertAlign w:val="subscript"/>
        </w:rPr>
        <w:t>5</w:t>
      </w:r>
      <w:r>
        <w:rPr>
          <w:rFonts w:hint="eastAsia"/>
          <w:color w:val="auto"/>
          <w:highlight w:val="none"/>
        </w:rPr>
        <w:t>：</w:t>
      </w:r>
      <w:r>
        <w:rPr>
          <w:color w:val="auto"/>
          <w:highlight w:val="none"/>
        </w:rPr>
        <w:t>200mg/L</w:t>
      </w:r>
      <w:r>
        <w:rPr>
          <w:rFonts w:hint="eastAsia"/>
          <w:color w:val="auto"/>
          <w:highlight w:val="none"/>
        </w:rPr>
        <w:t>（</w:t>
      </w:r>
      <w:r>
        <w:rPr>
          <w:rFonts w:hint="eastAsia"/>
          <w:color w:val="auto"/>
          <w:highlight w:val="none"/>
          <w:lang w:val="en-US" w:eastAsia="zh-CN"/>
        </w:rPr>
        <w:t>1.3358</w:t>
      </w:r>
      <w:r>
        <w:rPr>
          <w:color w:val="auto"/>
          <w:highlight w:val="none"/>
        </w:rPr>
        <w:t>t/a</w:t>
      </w:r>
      <w:r>
        <w:rPr>
          <w:rFonts w:hint="eastAsia"/>
          <w:color w:val="auto"/>
          <w:highlight w:val="none"/>
        </w:rPr>
        <w:t>）、氨氮：</w:t>
      </w:r>
      <w:r>
        <w:rPr>
          <w:color w:val="auto"/>
          <w:highlight w:val="none"/>
        </w:rPr>
        <w:t>30mg/L</w:t>
      </w:r>
      <w:r>
        <w:rPr>
          <w:rFonts w:hint="eastAsia"/>
          <w:color w:val="auto"/>
          <w:highlight w:val="none"/>
        </w:rPr>
        <w:t>（</w:t>
      </w:r>
      <w:r>
        <w:rPr>
          <w:color w:val="auto"/>
          <w:highlight w:val="none"/>
        </w:rPr>
        <w:t>0.</w:t>
      </w:r>
      <w:r>
        <w:rPr>
          <w:rFonts w:hint="eastAsia"/>
          <w:color w:val="auto"/>
          <w:highlight w:val="none"/>
          <w:lang w:val="en-US" w:eastAsia="zh-CN"/>
        </w:rPr>
        <w:t>2004</w:t>
      </w:r>
      <w:r>
        <w:rPr>
          <w:color w:val="auto"/>
          <w:highlight w:val="none"/>
        </w:rPr>
        <w:t>t/a</w:t>
      </w:r>
      <w:r>
        <w:rPr>
          <w:rFonts w:hint="eastAsia"/>
          <w:color w:val="auto"/>
          <w:highlight w:val="none"/>
        </w:rPr>
        <w:t>）、动植物油</w:t>
      </w:r>
      <w:r>
        <w:rPr>
          <w:color w:val="auto"/>
          <w:highlight w:val="none"/>
        </w:rPr>
        <w:t>100mg/L</w:t>
      </w:r>
      <w:r>
        <w:rPr>
          <w:rFonts w:hint="eastAsia"/>
          <w:color w:val="auto"/>
          <w:highlight w:val="none"/>
        </w:rPr>
        <w:t>（</w:t>
      </w:r>
      <w:r>
        <w:rPr>
          <w:color w:val="auto"/>
          <w:highlight w:val="none"/>
        </w:rPr>
        <w:t>0.</w:t>
      </w:r>
      <w:r>
        <w:rPr>
          <w:rFonts w:hint="eastAsia"/>
          <w:color w:val="auto"/>
          <w:highlight w:val="none"/>
          <w:lang w:val="en-US" w:eastAsia="zh-CN"/>
        </w:rPr>
        <w:t>6679</w:t>
      </w:r>
      <w:r>
        <w:rPr>
          <w:color w:val="auto"/>
          <w:highlight w:val="none"/>
        </w:rPr>
        <w:t>t/a</w:t>
      </w:r>
      <w:r>
        <w:rPr>
          <w:rFonts w:hint="eastAsia"/>
          <w:color w:val="auto"/>
          <w:highlight w:val="none"/>
        </w:rPr>
        <w:t>）</w:t>
      </w:r>
      <w:r>
        <w:rPr>
          <w:color w:val="auto"/>
          <w:highlight w:val="none"/>
        </w:rPr>
        <w:t>。</w:t>
      </w:r>
      <w:r>
        <w:rPr>
          <w:rFonts w:hint="default" w:ascii="Times New Roman" w:hAnsi="Times New Roman" w:cs="Times New Roman"/>
          <w:color w:val="auto"/>
          <w:highlight w:val="none"/>
          <w:lang w:val="en-US" w:eastAsia="zh-CN"/>
        </w:rPr>
        <w:t>地埋式污水处理设施</w:t>
      </w:r>
      <w:r>
        <w:rPr>
          <w:rFonts w:hint="default" w:ascii="Times New Roman" w:hAnsi="Times New Roman" w:cs="Times New Roman"/>
          <w:color w:val="auto"/>
          <w:highlight w:val="none"/>
        </w:rPr>
        <w:t>规模</w:t>
      </w:r>
      <w:r>
        <w:rPr>
          <w:rFonts w:hint="eastAsia" w:cs="Times New Roman"/>
          <w:color w:val="auto"/>
          <w:highlight w:val="none"/>
          <w:lang w:val="en-US" w:eastAsia="zh-CN"/>
        </w:rPr>
        <w:t>20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h，</w:t>
      </w:r>
      <w:r>
        <w:rPr>
          <w:rFonts w:hint="eastAsia" w:cs="Times New Roman"/>
          <w:color w:val="auto"/>
          <w:highlight w:val="none"/>
          <w:lang w:val="en-US" w:eastAsia="zh-CN"/>
        </w:rPr>
        <w:t>满足本项目污水处理需求</w:t>
      </w:r>
      <w:r>
        <w:rPr>
          <w:rFonts w:hint="default" w:ascii="Times New Roman" w:hAnsi="Times New Roman" w:cs="Times New Roman"/>
          <w:color w:val="auto"/>
          <w:highlight w:val="none"/>
          <w:lang w:val="en-US" w:eastAsia="zh-CN"/>
        </w:rPr>
        <w:t>。</w:t>
      </w:r>
    </w:p>
    <w:p w14:paraId="1BAC9590">
      <w:pPr>
        <w:overflowPunct w:val="0"/>
        <w:topLinePunct/>
        <w:ind w:firstLine="480"/>
        <w:rPr>
          <w:rFonts w:hint="default" w:ascii="Times New Roman" w:hAnsi="Times New Roman" w:cs="Times New Roman"/>
          <w:color w:val="auto"/>
          <w:highlight w:val="none"/>
        </w:rPr>
      </w:pPr>
      <w:r>
        <w:rPr>
          <w:rFonts w:hint="default" w:ascii="Times New Roman" w:hAnsi="Times New Roman" w:eastAsia="宋体" w:cs="Times New Roman"/>
          <w:color w:val="auto"/>
          <w:spacing w:val="8"/>
          <w:sz w:val="24"/>
          <w:szCs w:val="24"/>
          <w:highlight w:val="none"/>
          <w:lang w:val="en-US" w:eastAsia="zh-CN"/>
        </w:rPr>
        <w:t>根据项目区位于高寒偏远山区的特殊情况</w:t>
      </w:r>
      <w:r>
        <w:rPr>
          <w:rFonts w:hint="default" w:ascii="Times New Roman" w:hAnsi="Times New Roman" w:cs="Times New Roman"/>
          <w:color w:val="auto"/>
          <w:spacing w:val="8"/>
          <w:sz w:val="24"/>
          <w:szCs w:val="24"/>
          <w:highlight w:val="none"/>
          <w:lang w:val="en-US" w:eastAsia="zh-CN"/>
        </w:rPr>
        <w:t>，</w:t>
      </w:r>
      <w:r>
        <w:rPr>
          <w:rFonts w:hint="default" w:ascii="Times New Roman" w:hAnsi="Times New Roman" w:eastAsia="宋体" w:cs="Times New Roman"/>
          <w:snapToGrid/>
          <w:color w:val="auto"/>
          <w:kern w:val="2"/>
          <w:sz w:val="24"/>
          <w:szCs w:val="24"/>
          <w:highlight w:val="none"/>
          <w:lang w:val="en-US" w:eastAsia="zh-CN" w:bidi="ar-SA"/>
        </w:rPr>
        <w:t>本项目生活污水处理工艺较为成熟，适宜处理</w:t>
      </w:r>
      <w:r>
        <w:rPr>
          <w:rFonts w:hint="default" w:ascii="Times New Roman" w:hAnsi="Times New Roman" w:cs="Times New Roman"/>
          <w:snapToGrid/>
          <w:color w:val="auto"/>
          <w:kern w:val="2"/>
          <w:sz w:val="24"/>
          <w:szCs w:val="24"/>
          <w:highlight w:val="none"/>
          <w:lang w:val="en-US" w:eastAsia="zh-CN" w:bidi="ar-SA"/>
        </w:rPr>
        <w:t>偏远矿山</w:t>
      </w:r>
      <w:r>
        <w:rPr>
          <w:rFonts w:hint="default" w:ascii="Times New Roman" w:hAnsi="Times New Roman" w:eastAsia="宋体" w:cs="Times New Roman"/>
          <w:snapToGrid/>
          <w:color w:val="auto"/>
          <w:kern w:val="2"/>
          <w:sz w:val="24"/>
          <w:szCs w:val="24"/>
          <w:highlight w:val="none"/>
          <w:lang w:val="en-US" w:eastAsia="zh-CN" w:bidi="ar-SA"/>
        </w:rPr>
        <w:t>生活污水中污染物成分，污水处理措施可行。</w:t>
      </w:r>
    </w:p>
    <w:bookmarkEnd w:id="752"/>
    <w:p w14:paraId="6E651BAE">
      <w:pPr>
        <w:pStyle w:val="7"/>
        <w:ind w:firstLine="482" w:firstLineChars="200"/>
        <w:rPr>
          <w:rFonts w:hint="default" w:ascii="Times New Roman" w:hAnsi="Times New Roman" w:cs="Times New Roman"/>
          <w:color w:val="auto"/>
          <w:highlight w:val="none"/>
        </w:rPr>
      </w:pPr>
      <w:bookmarkStart w:id="753" w:name="_Toc14156"/>
      <w:r>
        <w:rPr>
          <w:rFonts w:hint="default" w:ascii="Times New Roman" w:hAnsi="Times New Roman" w:cs="Times New Roman"/>
          <w:color w:val="auto"/>
          <w:highlight w:val="none"/>
        </w:rPr>
        <w:t>6.2.2.2生产废水处置措施</w:t>
      </w:r>
    </w:p>
    <w:p w14:paraId="64F1310C">
      <w:pPr>
        <w:overflowPunct w:val="0"/>
        <w:topLinePunct/>
        <w:ind w:firstLine="480"/>
        <w:rPr>
          <w:rFonts w:hint="default" w:ascii="Times New Roman" w:hAnsi="Times New Roman" w:cs="Times New Roman"/>
          <w:color w:val="auto"/>
          <w:kern w:val="0"/>
          <w:highlight w:val="none"/>
          <w:lang w:val="zh-CN"/>
        </w:rPr>
      </w:pPr>
      <w:r>
        <w:rPr>
          <w:rFonts w:hint="default" w:ascii="Times New Roman" w:hAnsi="Times New Roman" w:cs="Times New Roman"/>
          <w:color w:val="auto"/>
          <w:kern w:val="0"/>
          <w:highlight w:val="none"/>
        </w:rPr>
        <w:t>（1）选矿厂</w:t>
      </w:r>
      <w:r>
        <w:rPr>
          <w:rFonts w:hint="default" w:ascii="Times New Roman" w:hAnsi="Times New Roman" w:cs="Times New Roman"/>
          <w:color w:val="auto"/>
          <w:kern w:val="0"/>
          <w:highlight w:val="none"/>
          <w:lang w:val="zh-CN"/>
        </w:rPr>
        <w:t>精矿压滤水、尾矿浓缩溢流水</w:t>
      </w:r>
      <w:r>
        <w:rPr>
          <w:rFonts w:hint="eastAsia" w:cs="Times New Roman"/>
          <w:color w:val="auto"/>
          <w:kern w:val="0"/>
          <w:highlight w:val="none"/>
          <w:lang w:val="zh-CN"/>
        </w:rPr>
        <w:t>、</w:t>
      </w:r>
      <w:r>
        <w:rPr>
          <w:rFonts w:hint="eastAsia"/>
          <w:color w:val="auto"/>
          <w:highlight w:val="none"/>
          <w:lang w:val="en-US" w:eastAsia="zh-CN"/>
        </w:rPr>
        <w:t>填充站回水、</w:t>
      </w:r>
      <w:r>
        <w:rPr>
          <w:rFonts w:hint="eastAsia"/>
          <w:color w:val="auto"/>
          <w:highlight w:val="none"/>
        </w:rPr>
        <w:t>尾矿库回水</w:t>
      </w:r>
      <w:r>
        <w:rPr>
          <w:rFonts w:hint="eastAsia"/>
          <w:color w:val="auto"/>
          <w:highlight w:val="none"/>
          <w:lang w:val="en-US" w:eastAsia="zh-CN"/>
        </w:rPr>
        <w:t>经回水泵</w:t>
      </w:r>
      <w:r>
        <w:rPr>
          <w:rFonts w:hint="eastAsia"/>
          <w:color w:val="auto"/>
          <w:highlight w:val="none"/>
        </w:rPr>
        <w:t>通过管道泵送至选矿厂</w:t>
      </w:r>
      <w:r>
        <w:rPr>
          <w:rFonts w:hint="eastAsia"/>
          <w:color w:val="auto"/>
          <w:highlight w:val="none"/>
          <w:lang w:val="en-US" w:eastAsia="zh-CN"/>
        </w:rPr>
        <w:t>4000m</w:t>
      </w:r>
      <w:r>
        <w:rPr>
          <w:rFonts w:hint="eastAsia"/>
          <w:color w:val="auto"/>
          <w:highlight w:val="none"/>
          <w:vertAlign w:val="superscript"/>
          <w:lang w:val="en-US" w:eastAsia="zh-CN"/>
        </w:rPr>
        <w:t>3</w:t>
      </w:r>
      <w:r>
        <w:rPr>
          <w:rFonts w:hint="eastAsia"/>
          <w:color w:val="auto"/>
          <w:highlight w:val="none"/>
        </w:rPr>
        <w:t>生产回水池，供选矿循环使用，实现生产废水“闭路循环”</w:t>
      </w:r>
      <w:r>
        <w:rPr>
          <w:rFonts w:hint="default" w:ascii="Times New Roman" w:hAnsi="Times New Roman" w:cs="Times New Roman"/>
          <w:color w:val="auto"/>
          <w:kern w:val="0"/>
          <w:highlight w:val="none"/>
          <w:lang w:val="zh-CN"/>
        </w:rPr>
        <w:t>。</w:t>
      </w:r>
    </w:p>
    <w:p w14:paraId="6006BC16">
      <w:pPr>
        <w:overflowPunct w:val="0"/>
        <w:topLinePunct/>
        <w:ind w:firstLine="480"/>
        <w:rPr>
          <w:rFonts w:hint="default" w:ascii="Times New Roman" w:hAnsi="Times New Roman" w:cs="Times New Roman"/>
          <w:color w:val="auto"/>
          <w:kern w:val="0"/>
          <w:highlight w:val="none"/>
          <w:lang w:val="zh-CN"/>
        </w:rPr>
      </w:pPr>
      <w:r>
        <w:rPr>
          <w:rFonts w:hint="default" w:ascii="Times New Roman" w:hAnsi="Times New Roman" w:cs="Times New Roman"/>
          <w:color w:val="auto"/>
          <w:kern w:val="0"/>
          <w:highlight w:val="none"/>
          <w:lang w:val="zh-CN"/>
        </w:rPr>
        <w:t>（</w:t>
      </w:r>
      <w:r>
        <w:rPr>
          <w:rFonts w:hint="default" w:ascii="Times New Roman" w:hAnsi="Times New Roman" w:cs="Times New Roman"/>
          <w:color w:val="auto"/>
          <w:kern w:val="0"/>
          <w:highlight w:val="none"/>
        </w:rPr>
        <w:t>2</w:t>
      </w:r>
      <w:r>
        <w:rPr>
          <w:rFonts w:hint="default" w:ascii="Times New Roman" w:hAnsi="Times New Roman" w:cs="Times New Roman"/>
          <w:color w:val="auto"/>
          <w:kern w:val="0"/>
          <w:highlight w:val="none"/>
          <w:lang w:val="zh-CN"/>
        </w:rPr>
        <w:t>）锅炉排污水和软化废水排至沉淀池经沉淀处理后</w:t>
      </w:r>
      <w:r>
        <w:rPr>
          <w:rFonts w:hint="eastAsia"/>
          <w:color w:val="auto"/>
          <w:highlight w:val="none"/>
          <w:lang w:val="en-US" w:eastAsia="zh-CN"/>
        </w:rPr>
        <w:t>回</w:t>
      </w:r>
      <w:r>
        <w:rPr>
          <w:rFonts w:hint="eastAsia"/>
          <w:color w:val="auto"/>
          <w:highlight w:val="none"/>
        </w:rPr>
        <w:t>用于</w:t>
      </w:r>
      <w:r>
        <w:rPr>
          <w:rFonts w:hint="eastAsia"/>
          <w:color w:val="auto"/>
          <w:highlight w:val="none"/>
          <w:lang w:val="en-US" w:eastAsia="zh-CN"/>
        </w:rPr>
        <w:t>选矿</w:t>
      </w:r>
      <w:r>
        <w:rPr>
          <w:rFonts w:hint="default" w:ascii="Times New Roman" w:hAnsi="Times New Roman" w:cs="Times New Roman"/>
          <w:color w:val="auto"/>
          <w:kern w:val="0"/>
          <w:highlight w:val="none"/>
          <w:lang w:val="zh-CN"/>
        </w:rPr>
        <w:t>，不外排。</w:t>
      </w:r>
    </w:p>
    <w:p w14:paraId="34E58455">
      <w:pPr>
        <w:overflowPunct w:val="0"/>
        <w:topLinePunct/>
        <w:ind w:firstLine="480"/>
        <w:rPr>
          <w:rFonts w:hint="default" w:ascii="Times New Roman" w:hAnsi="Times New Roman" w:cs="Times New Roman"/>
          <w:color w:val="auto"/>
          <w:kern w:val="0"/>
          <w:highlight w:val="none"/>
          <w:lang w:val="zh-CN"/>
        </w:rPr>
      </w:pPr>
      <w:r>
        <w:rPr>
          <w:rFonts w:hint="default" w:ascii="Times New Roman" w:hAnsi="Times New Roman" w:cs="Times New Roman"/>
          <w:color w:val="auto"/>
          <w:kern w:val="0"/>
          <w:highlight w:val="none"/>
          <w:lang w:val="zh-CN"/>
        </w:rPr>
        <w:t>（</w:t>
      </w:r>
      <w:r>
        <w:rPr>
          <w:rFonts w:hint="default" w:ascii="Times New Roman" w:hAnsi="Times New Roman" w:cs="Times New Roman"/>
          <w:color w:val="auto"/>
          <w:kern w:val="0"/>
          <w:highlight w:val="none"/>
        </w:rPr>
        <w:t>3</w:t>
      </w:r>
      <w:r>
        <w:rPr>
          <w:rFonts w:hint="default" w:ascii="Times New Roman" w:hAnsi="Times New Roman" w:cs="Times New Roman"/>
          <w:color w:val="auto"/>
          <w:kern w:val="0"/>
          <w:highlight w:val="none"/>
          <w:lang w:val="zh-CN"/>
        </w:rPr>
        <w:t>）化验废水全部通过管路输入至选矿生产工序循环使用，做到零排放。</w:t>
      </w:r>
    </w:p>
    <w:p w14:paraId="64B42EAD">
      <w:pPr>
        <w:overflowPunct w:val="0"/>
        <w:topLinePunct/>
        <w:ind w:firstLine="480"/>
        <w:rPr>
          <w:rFonts w:hint="default" w:ascii="Times New Roman" w:hAnsi="Times New Roman" w:cs="Times New Roman"/>
          <w:color w:val="auto"/>
          <w:kern w:val="0"/>
          <w:highlight w:val="none"/>
          <w:lang w:val="zh-CN"/>
        </w:rPr>
      </w:pPr>
      <w:r>
        <w:rPr>
          <w:rFonts w:hint="default" w:ascii="Times New Roman" w:hAnsi="Times New Roman" w:cs="Times New Roman"/>
          <w:color w:val="auto"/>
          <w:kern w:val="0"/>
          <w:highlight w:val="none"/>
          <w:lang w:val="zh-CN"/>
        </w:rPr>
        <w:t>（</w:t>
      </w:r>
      <w:r>
        <w:rPr>
          <w:rFonts w:hint="default" w:ascii="Times New Roman" w:hAnsi="Times New Roman" w:cs="Times New Roman"/>
          <w:color w:val="auto"/>
          <w:kern w:val="0"/>
          <w:highlight w:val="none"/>
        </w:rPr>
        <w:t>4</w:t>
      </w:r>
      <w:r>
        <w:rPr>
          <w:rFonts w:hint="default" w:ascii="Times New Roman" w:hAnsi="Times New Roman" w:cs="Times New Roman"/>
          <w:color w:val="auto"/>
          <w:kern w:val="0"/>
          <w:highlight w:val="none"/>
          <w:lang w:val="zh-CN"/>
        </w:rPr>
        <w:t>）为防止生产废水外排对当地水环境产生影响，企业应从设计、施工到投产全过程加强生产废水的循环利用以及处理措施。</w:t>
      </w:r>
    </w:p>
    <w:p w14:paraId="0CC42ABB">
      <w:pPr>
        <w:overflowPunct w:val="0"/>
        <w:topLinePunct/>
        <w:ind w:firstLine="480"/>
        <w:rPr>
          <w:rFonts w:hint="default" w:ascii="Times New Roman" w:hAnsi="Times New Roman" w:cs="Times New Roman"/>
          <w:color w:val="auto"/>
          <w:kern w:val="0"/>
          <w:highlight w:val="none"/>
          <w:lang w:val="zh-CN"/>
        </w:rPr>
      </w:pPr>
      <w:r>
        <w:rPr>
          <w:rFonts w:hint="default" w:ascii="Times New Roman" w:hAnsi="Times New Roman" w:cs="Times New Roman"/>
          <w:color w:val="auto"/>
          <w:kern w:val="0"/>
          <w:highlight w:val="none"/>
          <w:lang w:val="zh-CN"/>
        </w:rPr>
        <w:t>（</w:t>
      </w:r>
      <w:r>
        <w:rPr>
          <w:rFonts w:hint="default" w:ascii="Times New Roman" w:hAnsi="Times New Roman" w:cs="Times New Roman"/>
          <w:color w:val="auto"/>
          <w:kern w:val="0"/>
          <w:highlight w:val="none"/>
        </w:rPr>
        <w:t>5</w:t>
      </w:r>
      <w:r>
        <w:rPr>
          <w:rFonts w:hint="default" w:ascii="Times New Roman" w:hAnsi="Times New Roman" w:cs="Times New Roman"/>
          <w:color w:val="auto"/>
          <w:kern w:val="0"/>
          <w:highlight w:val="none"/>
          <w:lang w:val="zh-CN"/>
        </w:rPr>
        <w:t>）本项目选矿工序配备有相应防渗循环水池，生产用水全部循环使用不外排。</w:t>
      </w:r>
    </w:p>
    <w:p w14:paraId="219E6A12">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lang w:val="zh-CN"/>
        </w:rPr>
        <w:t>（</w:t>
      </w:r>
      <w:r>
        <w:rPr>
          <w:rFonts w:hint="default" w:ascii="Times New Roman" w:hAnsi="Times New Roman" w:cs="Times New Roman"/>
          <w:color w:val="auto"/>
          <w:kern w:val="0"/>
          <w:highlight w:val="none"/>
        </w:rPr>
        <w:t>6</w:t>
      </w:r>
      <w:r>
        <w:rPr>
          <w:rFonts w:hint="default" w:ascii="Times New Roman" w:hAnsi="Times New Roman" w:cs="Times New Roman"/>
          <w:color w:val="auto"/>
          <w:kern w:val="0"/>
          <w:highlight w:val="none"/>
          <w:lang w:val="zh-CN"/>
        </w:rPr>
        <w:t>）加强生产管理，防止生产过程中跑、冒、滴、漏及废水四处漫延地下，对企业污水处理应加强监管及相应的维护措施，严防事故性废水外排。</w:t>
      </w:r>
    </w:p>
    <w:bookmarkEnd w:id="753"/>
    <w:p w14:paraId="120A01C8">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6.2.2.3对地表水环境敏感目标的保护措施</w:t>
      </w:r>
    </w:p>
    <w:p w14:paraId="38AA2F9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lang w:val="zh-CN"/>
        </w:rPr>
        <w:t>本项目地表水环境敏感目标为</w:t>
      </w:r>
      <w:r>
        <w:rPr>
          <w:rFonts w:hint="eastAsia" w:cs="Times New Roman"/>
          <w:color w:val="auto"/>
          <w:kern w:val="0"/>
          <w:highlight w:val="none"/>
          <w:lang w:val="en-US" w:eastAsia="zh-CN"/>
        </w:rPr>
        <w:t>流经矿区</w:t>
      </w:r>
      <w:r>
        <w:rPr>
          <w:rFonts w:hint="default" w:ascii="Times New Roman" w:hAnsi="Times New Roman" w:cs="Times New Roman"/>
          <w:bCs/>
          <w:color w:val="auto"/>
          <w:kern w:val="0"/>
          <w:szCs w:val="21"/>
          <w:highlight w:val="none"/>
          <w:lang w:eastAsia="zh-CN"/>
        </w:rPr>
        <w:t>阿克苏</w:t>
      </w:r>
      <w:r>
        <w:rPr>
          <w:rFonts w:hint="default" w:ascii="Times New Roman" w:hAnsi="Times New Roman" w:cs="Times New Roman"/>
          <w:bCs/>
          <w:color w:val="auto"/>
          <w:kern w:val="0"/>
          <w:szCs w:val="21"/>
          <w:highlight w:val="none"/>
        </w:rPr>
        <w:t>河，</w:t>
      </w:r>
      <w:r>
        <w:rPr>
          <w:rFonts w:hint="default" w:ascii="Times New Roman" w:hAnsi="Times New Roman" w:cs="Times New Roman"/>
          <w:color w:val="auto"/>
          <w:highlight w:val="none"/>
        </w:rPr>
        <w:t>地表水环境功能区划属</w:t>
      </w:r>
      <w:r>
        <w:rPr>
          <w:rFonts w:hint="default" w:ascii="Times New Roman" w:hAnsi="Times New Roman" w:cs="Times New Roman"/>
          <w:color w:val="auto"/>
          <w:highlight w:val="none"/>
          <w:lang w:eastAsia="zh-CN"/>
        </w:rPr>
        <w:t>I</w:t>
      </w:r>
      <w:r>
        <w:rPr>
          <w:rFonts w:hint="default" w:ascii="Times New Roman" w:hAnsi="Times New Roman" w:cs="Times New Roman"/>
          <w:color w:val="auto"/>
          <w:highlight w:val="none"/>
        </w:rPr>
        <w:t>类功能区。为保护</w:t>
      </w:r>
      <w:r>
        <w:rPr>
          <w:rFonts w:hint="default" w:ascii="Times New Roman" w:hAnsi="Times New Roman" w:cs="Times New Roman"/>
          <w:color w:val="auto"/>
          <w:highlight w:val="none"/>
          <w:lang w:eastAsia="zh-CN"/>
        </w:rPr>
        <w:t>阿克苏</w:t>
      </w:r>
      <w:r>
        <w:rPr>
          <w:rFonts w:hint="default" w:ascii="Times New Roman" w:hAnsi="Times New Roman" w:cs="Times New Roman"/>
          <w:bCs/>
          <w:color w:val="auto"/>
          <w:kern w:val="0"/>
          <w:szCs w:val="21"/>
          <w:highlight w:val="none"/>
        </w:rPr>
        <w:t>河水环境，本次评价提出如下保护措施：</w:t>
      </w:r>
    </w:p>
    <w:p w14:paraId="617CB0E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（1）禁止在</w:t>
      </w:r>
      <w:r>
        <w:rPr>
          <w:rFonts w:hint="default" w:ascii="Times New Roman" w:hAnsi="Times New Roman" w:cs="Times New Roman"/>
          <w:bCs/>
          <w:color w:val="auto"/>
          <w:kern w:val="0"/>
          <w:szCs w:val="21"/>
          <w:highlight w:val="none"/>
          <w:lang w:eastAsia="zh-CN"/>
        </w:rPr>
        <w:t>阿克苏</w:t>
      </w:r>
      <w:r>
        <w:rPr>
          <w:rFonts w:hint="default" w:ascii="Times New Roman" w:hAnsi="Times New Roman" w:cs="Times New Roman"/>
          <w:bCs/>
          <w:color w:val="auto"/>
          <w:kern w:val="0"/>
          <w:szCs w:val="21"/>
          <w:highlight w:val="none"/>
        </w:rPr>
        <w:t>河设置废水排放口。</w:t>
      </w:r>
    </w:p>
    <w:p w14:paraId="321E3C5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（2）本项目运营期产生的各类固体废物均妥善处置，不得向水体内倾倒任何固体废物。</w:t>
      </w:r>
    </w:p>
    <w:p w14:paraId="40A94BA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lang w:val="zh-CN"/>
        </w:rPr>
        <w:t>（3）</w:t>
      </w:r>
      <w:r>
        <w:rPr>
          <w:rFonts w:hint="default" w:ascii="Times New Roman" w:hAnsi="Times New Roman" w:cs="Times New Roman"/>
          <w:color w:val="auto"/>
          <w:highlight w:val="none"/>
        </w:rPr>
        <w:t>在尾矿库下游设置</w:t>
      </w:r>
      <w:r>
        <w:rPr>
          <w:rFonts w:hint="eastAsia" w:cs="Times New Roman"/>
          <w:color w:val="auto"/>
          <w:highlight w:val="none"/>
          <w:lang w:val="en-US" w:eastAsia="zh-CN"/>
        </w:rPr>
        <w:t>1</w:t>
      </w:r>
      <w:r>
        <w:rPr>
          <w:rFonts w:hint="default" w:ascii="Times New Roman" w:hAnsi="Times New Roman" w:cs="Times New Roman"/>
          <w:color w:val="auto"/>
          <w:highlight w:val="none"/>
          <w:lang w:eastAsia="zh-CN"/>
        </w:rPr>
        <w:t>座拦挡</w:t>
      </w:r>
      <w:r>
        <w:rPr>
          <w:rFonts w:hint="default" w:ascii="Times New Roman" w:hAnsi="Times New Roman" w:cs="Times New Roman"/>
          <w:color w:val="auto"/>
          <w:highlight w:val="none"/>
        </w:rPr>
        <w:t>坝，防止溃坝发生时尾矿砂下泄进入</w:t>
      </w:r>
      <w:r>
        <w:rPr>
          <w:rFonts w:hint="default" w:ascii="Times New Roman" w:hAnsi="Times New Roman" w:cs="Times New Roman"/>
          <w:color w:val="auto"/>
          <w:highlight w:val="none"/>
          <w:lang w:eastAsia="zh-CN"/>
        </w:rPr>
        <w:t>阿克苏</w:t>
      </w:r>
      <w:r>
        <w:rPr>
          <w:rFonts w:hint="default" w:ascii="Times New Roman" w:hAnsi="Times New Roman" w:cs="Times New Roman"/>
          <w:color w:val="auto"/>
          <w:highlight w:val="none"/>
        </w:rPr>
        <w:t>河，对水体及下游产生影响。</w:t>
      </w:r>
    </w:p>
    <w:p w14:paraId="6B3D0648">
      <w:pPr>
        <w:overflowPunct w:val="0"/>
        <w:topLinePunct/>
        <w:ind w:firstLine="480"/>
        <w:rPr>
          <w:rFonts w:hint="default" w:ascii="Times New Roman" w:hAnsi="Times New Roman" w:cs="Times New Roman"/>
          <w:color w:val="auto"/>
          <w:kern w:val="0"/>
          <w:highlight w:val="none"/>
          <w:lang w:val="zh-CN"/>
        </w:rPr>
      </w:pPr>
      <w:r>
        <w:rPr>
          <w:rFonts w:hint="default" w:ascii="Times New Roman" w:hAnsi="Times New Roman" w:cs="Times New Roman"/>
          <w:color w:val="auto"/>
          <w:highlight w:val="none"/>
        </w:rPr>
        <w:t>（4）按照设计要求，在尾矿库</w:t>
      </w:r>
      <w:r>
        <w:rPr>
          <w:rFonts w:hint="default" w:ascii="Times New Roman" w:hAnsi="Times New Roman" w:cs="Times New Roman"/>
          <w:color w:val="auto"/>
          <w:highlight w:val="none"/>
          <w:lang w:eastAsia="zh-CN"/>
        </w:rPr>
        <w:t>外</w:t>
      </w:r>
      <w:r>
        <w:rPr>
          <w:rFonts w:hint="default" w:ascii="Times New Roman" w:hAnsi="Times New Roman" w:cs="Times New Roman"/>
          <w:color w:val="auto"/>
          <w:highlight w:val="none"/>
        </w:rPr>
        <w:t>设置排洪系统，防止洪水冲刷库区，污染下游地表水体。</w:t>
      </w:r>
    </w:p>
    <w:p w14:paraId="1E1DE2DC">
      <w:pPr>
        <w:pStyle w:val="6"/>
        <w:rPr>
          <w:rFonts w:hint="default" w:ascii="Times New Roman" w:hAnsi="Times New Roman" w:cs="Times New Roman"/>
          <w:color w:val="auto"/>
          <w:highlight w:val="none"/>
        </w:rPr>
      </w:pPr>
      <w:bookmarkStart w:id="754" w:name="_Toc12575"/>
      <w:bookmarkStart w:id="755" w:name="_Toc26495"/>
      <w:bookmarkStart w:id="756" w:name="_Toc29274"/>
      <w:r>
        <w:rPr>
          <w:rFonts w:hint="default" w:ascii="Times New Roman" w:hAnsi="Times New Roman" w:cs="Times New Roman"/>
          <w:color w:val="auto"/>
          <w:highlight w:val="none"/>
        </w:rPr>
        <w:t>6.2.3地下水污染防治措施</w:t>
      </w:r>
      <w:bookmarkEnd w:id="754"/>
      <w:bookmarkEnd w:id="755"/>
      <w:bookmarkEnd w:id="756"/>
    </w:p>
    <w:p w14:paraId="11F48C35">
      <w:pPr>
        <w:pStyle w:val="7"/>
        <w:ind w:firstLine="482" w:firstLineChars="200"/>
        <w:rPr>
          <w:rFonts w:hint="default" w:ascii="Times New Roman" w:hAnsi="Times New Roman" w:cs="Times New Roman"/>
          <w:color w:val="auto"/>
          <w:highlight w:val="none"/>
        </w:rPr>
      </w:pPr>
      <w:bookmarkStart w:id="757" w:name="_Toc1278_WPSOffice_Level3"/>
      <w:r>
        <w:rPr>
          <w:rFonts w:hint="default" w:ascii="Times New Roman" w:hAnsi="Times New Roman" w:cs="Times New Roman"/>
          <w:color w:val="auto"/>
          <w:highlight w:val="none"/>
        </w:rPr>
        <w:t>6.2.3.1地下水水质监控措施</w:t>
      </w:r>
    </w:p>
    <w:p w14:paraId="1074ACF3">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（1）监测井设置：建立地下水</w:t>
      </w:r>
      <w:r>
        <w:rPr>
          <w:rFonts w:hint="eastAsia" w:ascii="Times New Roman" w:hAnsi="Times New Roman" w:cs="Times New Roman"/>
          <w:color w:val="auto"/>
          <w:highlight w:val="none"/>
          <w:lang w:eastAsia="zh-CN"/>
        </w:rPr>
        <w:t>环境</w:t>
      </w:r>
      <w:r>
        <w:rPr>
          <w:rFonts w:hint="default" w:ascii="Times New Roman" w:hAnsi="Times New Roman" w:cs="Times New Roman"/>
          <w:color w:val="auto"/>
          <w:highlight w:val="none"/>
        </w:rPr>
        <w:t>监测管理体系，配置必要的地下水监控井，以便及时准确地反馈地下水水质状况，为防止对地下水的污染采取相应的措施提供重要依据。根据《地下水环境监测技术规范》（HJ164-2020）的要求，根据本项目类型、地下水评价等级及前述地下水预测结果，本次</w:t>
      </w:r>
      <w:r>
        <w:rPr>
          <w:rFonts w:hint="default" w:ascii="Times New Roman" w:hAnsi="Times New Roman" w:cs="Times New Roman"/>
          <w:color w:val="auto"/>
          <w:highlight w:val="none"/>
          <w:lang w:eastAsia="zh-CN"/>
        </w:rPr>
        <w:t>至少</w:t>
      </w:r>
      <w:r>
        <w:rPr>
          <w:rFonts w:hint="default" w:ascii="Times New Roman" w:hAnsi="Times New Roman" w:cs="Times New Roman"/>
          <w:color w:val="auto"/>
          <w:highlight w:val="none"/>
        </w:rPr>
        <w:t>布设</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眼监控井，</w:t>
      </w:r>
      <w:r>
        <w:rPr>
          <w:rFonts w:hint="default" w:ascii="Times New Roman" w:hAnsi="Times New Roman" w:cs="Times New Roman"/>
          <w:color w:val="auto"/>
          <w:highlight w:val="none"/>
          <w:lang w:eastAsia="zh-CN"/>
        </w:rPr>
        <w:t>其中跟踪</w:t>
      </w:r>
      <w:r>
        <w:rPr>
          <w:rFonts w:hint="default" w:ascii="Times New Roman" w:hAnsi="Times New Roman" w:cs="Times New Roman"/>
          <w:color w:val="auto"/>
          <w:highlight w:val="none"/>
        </w:rPr>
        <w:t>监控井</w:t>
      </w:r>
      <w:r>
        <w:rPr>
          <w:rFonts w:hint="default" w:ascii="Times New Roman" w:hAnsi="Times New Roman" w:cs="Times New Roman"/>
          <w:color w:val="auto"/>
          <w:highlight w:val="none"/>
          <w:lang w:eastAsia="zh-CN"/>
        </w:rPr>
        <w:t>位于尾矿库下游</w:t>
      </w:r>
      <w:r>
        <w:rPr>
          <w:rFonts w:hint="default" w:ascii="Times New Roman" w:hAnsi="Times New Roman" w:cs="Times New Roman"/>
          <w:color w:val="auto"/>
          <w:highlight w:val="none"/>
        </w:rPr>
        <w:t>。</w:t>
      </w:r>
    </w:p>
    <w:p w14:paraId="3511AE4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（2）监测计划：地下水跟踪监测项目为地下水水位、水质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水温，同时还应测定气温，描述天气情况和降水情况。</w:t>
      </w:r>
    </w:p>
    <w:p w14:paraId="0A5F3BF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水质监测因子包括八大离子、基本水质因子和特征因子。本项目包括基本水质因子以pH、硝酸盐、亚硝酸盐、挥发性酚类、氰化物、砷、汞、铬（六价）、总硬度、铅、氯、镉、铁、锰、溶解性总固体、高锰酸盐指数、硫酸盐、氯化物、石油类</w:t>
      </w:r>
      <w:r>
        <w:rPr>
          <w:rFonts w:hint="default" w:ascii="Times New Roman" w:hAnsi="Times New Roman" w:cs="Times New Roman"/>
          <w:color w:val="auto"/>
          <w:highlight w:val="none"/>
          <w:lang w:eastAsia="zh-CN"/>
        </w:rPr>
        <w:t>、氟化物</w:t>
      </w:r>
      <w:r>
        <w:rPr>
          <w:rFonts w:hint="default" w:ascii="Times New Roman" w:hAnsi="Times New Roman" w:cs="Times New Roman"/>
          <w:color w:val="auto"/>
          <w:highlight w:val="none"/>
        </w:rPr>
        <w:t>等</w:t>
      </w:r>
      <w:r>
        <w:rPr>
          <w:rFonts w:hint="default" w:ascii="Times New Roman" w:hAnsi="Times New Roman" w:cs="Times New Roman"/>
          <w:color w:val="auto"/>
          <w:highlight w:val="none"/>
          <w:lang w:eastAsia="zh-CN"/>
        </w:rPr>
        <w:t>以</w:t>
      </w:r>
      <w:r>
        <w:rPr>
          <w:rFonts w:hint="default" w:ascii="Times New Roman" w:hAnsi="Times New Roman" w:cs="Times New Roman"/>
          <w:color w:val="auto"/>
          <w:highlight w:val="none"/>
        </w:rPr>
        <w:t>及背景值超标的水质因子为基础，跟踪检测因子包括环境监测的超标因子。</w:t>
      </w:r>
    </w:p>
    <w:p w14:paraId="71D1082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项目区布设监控井，监测频率宜为每年2次，监测一旦发现水质发生异常，应及时通知有关管理部门和当地居民，做好应急防范工作，同时应立即查找</w:t>
      </w:r>
      <w:r>
        <w:rPr>
          <w:rFonts w:hint="eastAsia" w:ascii="Times New Roman" w:hAnsi="Times New Roman" w:cs="Times New Roman"/>
          <w:color w:val="auto"/>
          <w:highlight w:val="none"/>
          <w:lang w:eastAsia="zh-CN"/>
        </w:rPr>
        <w:t>渗</w:t>
      </w:r>
      <w:r>
        <w:rPr>
          <w:rFonts w:hint="default" w:ascii="Times New Roman" w:hAnsi="Times New Roman" w:cs="Times New Roman"/>
          <w:color w:val="auto"/>
          <w:highlight w:val="none"/>
        </w:rPr>
        <w:t>漏点，进行修补。</w:t>
      </w:r>
    </w:p>
    <w:p w14:paraId="03274A9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（3）管理要求：</w:t>
      </w:r>
    </w:p>
    <w:p w14:paraId="23D72316">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①项目区环境保护管理部门指派专人负责防治地下水污染管理工作。</w:t>
      </w:r>
    </w:p>
    <w:p w14:paraId="266DED8C">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②企业应指派专人负责地下水环境跟踪监测工作，按上述监控措施委托具有监测资质的单位负责地下水监控工作，并按要求及时分析整理原始资料和负责监测报告的编写工作；</w:t>
      </w:r>
    </w:p>
    <w:p w14:paraId="130AEE7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企业应按时（宜每年2次）向环境保护管理部门上报生产运行记录，内容应包括地下水监测报告，排放污染物的种类、数量、浓度，生产设备、管道与管沟、原料及成品贮存与运输装置、污染物贮存与处理装置、事故应急装置等设施的运行状况、跑冒滴漏记录、维护记录等。由项目区环境保护管理部门建立地下水环境跟踪监测数据信息管理系统，编制地下水环境跟踪监测报告并在网站上公示信息，公开内容至少应包括该建设项目的特征因子及其相应的背景监测值和现状监测值。</w:t>
      </w:r>
    </w:p>
    <w:p w14:paraId="3521D716">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（4）技术措施：</w:t>
      </w:r>
    </w:p>
    <w:p w14:paraId="07F61F4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①按照《地下水环境监测技术规范》（HJ164-2020）要求，及时上报监测数据和有关表格。</w:t>
      </w:r>
    </w:p>
    <w:p w14:paraId="0DF400D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②在日常例行监测中，一旦发现地下水水质监测数据异常，应尽快核查数据，查找异常原因，确保数据的正确性。并将核查过的监测数据通告</w:t>
      </w:r>
      <w:r>
        <w:rPr>
          <w:rFonts w:hint="default" w:ascii="Times New Roman" w:hAnsi="Times New Roman" w:cs="Times New Roman"/>
          <w:color w:val="auto"/>
          <w:szCs w:val="21"/>
          <w:highlight w:val="none"/>
        </w:rPr>
        <w:t>生态环境主管部门</w:t>
      </w:r>
      <w:r>
        <w:rPr>
          <w:rFonts w:hint="default" w:ascii="Times New Roman" w:hAnsi="Times New Roman" w:cs="Times New Roman"/>
          <w:color w:val="auto"/>
          <w:highlight w:val="none"/>
        </w:rPr>
        <w:t>，由专人负责对数据进行分析、核实，并密切关注生产设施的运行情况，为防止地下污染采取措施提供正确可靠的依据、应采取的措施有：</w:t>
      </w:r>
    </w:p>
    <w:p w14:paraId="03F4F83E">
      <w:pPr>
        <w:numPr>
          <w:ilvl w:val="0"/>
          <w:numId w:val="0"/>
        </w:numPr>
        <w:overflowPunct w:val="0"/>
        <w:topLinePun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A</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了解全区生产是否出现异常情况，出现异常情况的装置、原因。加大随测密度，如监测</w:t>
      </w:r>
      <w:r>
        <w:rPr>
          <w:rFonts w:hint="eastAsia" w:ascii="Times New Roman" w:hAnsi="Times New Roman" w:cs="Times New Roman"/>
          <w:color w:val="auto"/>
          <w:highlight w:val="none"/>
          <w:lang w:eastAsia="zh-CN"/>
        </w:rPr>
        <w:t>频率</w:t>
      </w:r>
      <w:r>
        <w:rPr>
          <w:rFonts w:hint="default" w:ascii="Times New Roman" w:hAnsi="Times New Roman" w:cs="Times New Roman"/>
          <w:color w:val="auto"/>
          <w:highlight w:val="none"/>
        </w:rPr>
        <w:t>由每季一次临时加密为每</w:t>
      </w:r>
      <w:r>
        <w:rPr>
          <w:rFonts w:hint="eastAsia" w:cs="Times New Roman"/>
          <w:color w:val="auto"/>
          <w:highlight w:val="none"/>
          <w:lang w:val="en-US" w:eastAsia="zh-CN"/>
        </w:rPr>
        <w:t>天</w:t>
      </w:r>
      <w:r>
        <w:rPr>
          <w:rFonts w:hint="default" w:ascii="Times New Roman" w:hAnsi="Times New Roman" w:cs="Times New Roman"/>
          <w:color w:val="auto"/>
          <w:highlight w:val="none"/>
        </w:rPr>
        <w:t>一次，连续多</w:t>
      </w:r>
      <w:r>
        <w:rPr>
          <w:rFonts w:hint="eastAsia" w:cs="Times New Roman"/>
          <w:color w:val="auto"/>
          <w:highlight w:val="none"/>
          <w:lang w:val="en-US" w:eastAsia="zh-CN"/>
        </w:rPr>
        <w:t>天</w:t>
      </w:r>
      <w:r>
        <w:rPr>
          <w:rFonts w:hint="default" w:ascii="Times New Roman" w:hAnsi="Times New Roman" w:cs="Times New Roman"/>
          <w:color w:val="auto"/>
          <w:highlight w:val="none"/>
        </w:rPr>
        <w:t>，分析变化动向；</w:t>
      </w:r>
    </w:p>
    <w:p w14:paraId="5CABFA97">
      <w:pPr>
        <w:numPr>
          <w:ilvl w:val="0"/>
          <w:numId w:val="0"/>
        </w:numPr>
        <w:overflowPunct w:val="0"/>
        <w:topLinePunct/>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B</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定期对污染区的装置等进行检查。</w:t>
      </w:r>
    </w:p>
    <w:p w14:paraId="4CE58A0A">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6.2.3.2地下水污染事故应急预案和应急处置</w:t>
      </w:r>
      <w:bookmarkEnd w:id="757"/>
    </w:p>
    <w:p w14:paraId="4120F0C2">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在制定选厂环境管理体制的基础上，</w:t>
      </w:r>
      <w:r>
        <w:rPr>
          <w:rFonts w:hint="eastAsia" w:cs="Times New Roman"/>
          <w:color w:val="auto"/>
          <w:highlight w:val="none"/>
          <w:lang w:eastAsia="zh-CN"/>
        </w:rPr>
        <w:t>制定</w:t>
      </w:r>
      <w:r>
        <w:rPr>
          <w:rFonts w:hint="default" w:ascii="Times New Roman" w:hAnsi="Times New Roman" w:cs="Times New Roman"/>
          <w:color w:val="auto"/>
          <w:highlight w:val="none"/>
        </w:rPr>
        <w:t>专门的地下水污染事故的应急措施，并应与其它应急预案相协调。地下水应急预案应包括以下内容：</w:t>
      </w:r>
    </w:p>
    <w:p w14:paraId="74B841D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①应急预案的日常协调和指挥机构；</w:t>
      </w:r>
    </w:p>
    <w:p w14:paraId="7900E46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②相关部门在应急预案中的职责和分工；</w:t>
      </w:r>
    </w:p>
    <w:p w14:paraId="21B7735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③地下水环境保护目标的确定，采取的紧急处置措施和潜在污染源评估；</w:t>
      </w:r>
    </w:p>
    <w:p w14:paraId="62491CA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④特大事故应急救援组织状况和人员、装备情况，平常的训练和演习；</w:t>
      </w:r>
    </w:p>
    <w:p w14:paraId="384202E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⑤特大事故的社会支持和援助，应急救援的经费保障。</w:t>
      </w:r>
    </w:p>
    <w:p w14:paraId="1D9429BC">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一旦发现地下水发生异常情况，必须按照应急预案马上采取紧急措施：</w:t>
      </w:r>
    </w:p>
    <w:p w14:paraId="7D648B2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①当确定发生地下水异常情况时，按照制订的地下水应急预案，</w:t>
      </w:r>
      <w:r>
        <w:rPr>
          <w:rFonts w:hint="eastAsia" w:ascii="Times New Roman" w:hAnsi="Times New Roman" w:cs="Times New Roman"/>
          <w:color w:val="auto"/>
          <w:highlight w:val="none"/>
          <w:lang w:eastAsia="zh-CN"/>
        </w:rPr>
        <w:t>在第一时间</w:t>
      </w:r>
      <w:r>
        <w:rPr>
          <w:rFonts w:hint="default" w:ascii="Times New Roman" w:hAnsi="Times New Roman" w:cs="Times New Roman"/>
          <w:color w:val="auto"/>
          <w:highlight w:val="none"/>
        </w:rPr>
        <w:t>尽快上报公司主管领导，并及时向有关政府部门报告，密切关注地下水水质变化情况。</w:t>
      </w:r>
    </w:p>
    <w:p w14:paraId="59140AE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组织专业队伍对事故现场进行调查、监测，查找环境事故发生点、分析事故原因，尽量将紧急事件局部化，如可能应予以消除，采取包括切断生产装置或设施等措施，防止事故的扩散、蔓延及连锁反应，尽量缩小地下水污染事故对人员和财产的影响。</w:t>
      </w:r>
    </w:p>
    <w:p w14:paraId="3CC87595">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③对事故后果进行评估，并制定防止类似事件发生的措施。</w:t>
      </w:r>
    </w:p>
    <w:p w14:paraId="39E54BE8">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④必要时应请求社会应急力量协助处理。</w:t>
      </w:r>
    </w:p>
    <w:p w14:paraId="7D11983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地下水污染具有不易被发现和一旦发生污染事故很难治理的特点，因此，</w:t>
      </w:r>
      <w:r>
        <w:rPr>
          <w:rFonts w:hint="eastAsia" w:ascii="Times New Roman" w:hAnsi="Times New Roman" w:cs="Times New Roman"/>
          <w:color w:val="auto"/>
          <w:highlight w:val="none"/>
          <w:lang w:eastAsia="zh-CN"/>
        </w:rPr>
        <w:t>防治</w:t>
      </w:r>
      <w:r>
        <w:rPr>
          <w:rFonts w:hint="default" w:ascii="Times New Roman" w:hAnsi="Times New Roman" w:cs="Times New Roman"/>
          <w:color w:val="auto"/>
          <w:highlight w:val="none"/>
        </w:rPr>
        <w:t>地下水污染应遵循源头控制、分区防治、污染监测及事故应急处理的主动及被动相结合的原则。</w:t>
      </w:r>
    </w:p>
    <w:p w14:paraId="7605AF4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地下水污染调查及污染修复是一项专业性较强的工作，一旦发生污染事故，应委托具有地下水及土壤污染治理能力及污染事故处理经验的单位查明并修复污染地区地下水及土壤修复。</w:t>
      </w:r>
    </w:p>
    <w:p w14:paraId="562A8F2A">
      <w:pPr>
        <w:overflowPunct w:val="0"/>
        <w:topLinePunct/>
        <w:spacing w:line="480" w:lineRule="exa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由以上预测分析可知，在采取</w:t>
      </w:r>
      <w:r>
        <w:rPr>
          <w:rFonts w:hint="eastAsia" w:ascii="Times New Roman" w:hAnsi="Times New Roman" w:cs="Times New Roman"/>
          <w:color w:val="auto"/>
          <w:highlight w:val="none"/>
          <w:lang w:eastAsia="zh-CN"/>
        </w:rPr>
        <w:t>以上</w:t>
      </w:r>
      <w:r>
        <w:rPr>
          <w:rFonts w:hint="default" w:ascii="Times New Roman" w:hAnsi="Times New Roman" w:cs="Times New Roman"/>
          <w:color w:val="auto"/>
          <w:highlight w:val="none"/>
        </w:rPr>
        <w:t>环境保护措施的情况下，该项目不会对当地地下水产生影响。</w:t>
      </w:r>
    </w:p>
    <w:p w14:paraId="1E5FAB48">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6.2.3.3全厂分区防渗措施</w:t>
      </w:r>
    </w:p>
    <w:p w14:paraId="36E686A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地面防渗工程设计原则：</w:t>
      </w:r>
    </w:p>
    <w:p w14:paraId="4FFA1EA4">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（1）采用国际国内先进的防渗材料、技术和实施手段，确保工程建设对区域内地下水影响最小，确保地下水现有水体功能。</w:t>
      </w:r>
    </w:p>
    <w:p w14:paraId="0A87EDE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（2）坚持分区管理和控制原则，根据场址所在地的工程地质、水文地质条件和全厂可能发生泄漏的物料性质、排放量，参照相应标准要求有针对性</w:t>
      </w:r>
      <w:r>
        <w:rPr>
          <w:rFonts w:hint="eastAsia" w:ascii="Times New Roman" w:hAnsi="Times New Roman" w:cs="Times New Roman"/>
          <w:color w:val="auto"/>
          <w:highlight w:val="none"/>
          <w:lang w:eastAsia="zh-CN"/>
        </w:rPr>
        <w:t>地</w:t>
      </w:r>
      <w:r>
        <w:rPr>
          <w:rFonts w:hint="default" w:ascii="Times New Roman" w:hAnsi="Times New Roman" w:cs="Times New Roman"/>
          <w:color w:val="auto"/>
          <w:highlight w:val="none"/>
        </w:rPr>
        <w:t>分区，并分别设计地面防渗层结构。</w:t>
      </w:r>
    </w:p>
    <w:p w14:paraId="6C06BEEC">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（3）坚持“可视化”原则，在满足工程和防渗层结构标准要求的前提下，尽量在地表面实施防渗措施，便于泄漏物质的收集和及时发现破损的防渗层。</w:t>
      </w:r>
    </w:p>
    <w:p w14:paraId="099AF52D">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（4</w:t>
      </w:r>
      <w:r>
        <w:rPr>
          <w:rFonts w:hint="eastAsia" w:ascii="Times New Roman" w:hAnsi="Times New Roman" w:cs="Times New Roman"/>
          <w:color w:val="auto"/>
          <w:highlight w:val="none"/>
          <w:lang w:eastAsia="zh-CN"/>
        </w:rPr>
        <w:t>）在</w:t>
      </w:r>
      <w:r>
        <w:rPr>
          <w:rFonts w:hint="default" w:ascii="Times New Roman" w:hAnsi="Times New Roman" w:cs="Times New Roman"/>
          <w:color w:val="auto"/>
          <w:highlight w:val="none"/>
        </w:rPr>
        <w:t>可能泄漏危险废物的重点污染防治区设置检漏设施。</w:t>
      </w:r>
    </w:p>
    <w:p w14:paraId="2D3E9302">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（5）防渗层上渗漏污染物和防渗层内渗漏污染物收集系统与全厂“三废”处理措施统筹考虑，统一处理。</w:t>
      </w:r>
    </w:p>
    <w:p w14:paraId="2B6E0317">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本项目区应划分为非污染区和污染区，污染区分为简单防渗区、一般防渗区和重点防渗区。非污染区可不进行防渗处理，污染区则应按照不同分区要求，采取不同等级的防渗措施，并确保其可靠性和有效性。</w:t>
      </w:r>
    </w:p>
    <w:p w14:paraId="701A4B55">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本项目防渗分区划分、防渗措施及等级见表6.2-2。</w:t>
      </w:r>
    </w:p>
    <w:p w14:paraId="2E6DFB0F">
      <w:pPr>
        <w:ind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表6.2-2    本项目污染区划分及防渗要求一览表</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1493"/>
        <w:gridCol w:w="2260"/>
        <w:gridCol w:w="3483"/>
      </w:tblGrid>
      <w:tr w14:paraId="30CF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753" w:type="pct"/>
            <w:vAlign w:val="center"/>
          </w:tcPr>
          <w:p w14:paraId="771BFB6F">
            <w:pPr>
              <w:pStyle w:val="17"/>
              <w:bidi w:val="0"/>
              <w:rPr>
                <w:rFonts w:hint="default"/>
                <w:color w:val="auto"/>
                <w:highlight w:val="none"/>
              </w:rPr>
            </w:pPr>
            <w:r>
              <w:rPr>
                <w:rFonts w:hint="default"/>
                <w:color w:val="auto"/>
                <w:highlight w:val="none"/>
              </w:rPr>
              <w:t>防渗分区</w:t>
            </w:r>
          </w:p>
        </w:tc>
        <w:tc>
          <w:tcPr>
            <w:tcW w:w="876" w:type="pct"/>
            <w:vAlign w:val="center"/>
          </w:tcPr>
          <w:p w14:paraId="628D19CA">
            <w:pPr>
              <w:pStyle w:val="17"/>
              <w:bidi w:val="0"/>
              <w:rPr>
                <w:rFonts w:hint="default"/>
                <w:color w:val="auto"/>
                <w:highlight w:val="none"/>
              </w:rPr>
            </w:pPr>
            <w:r>
              <w:rPr>
                <w:rFonts w:hint="default"/>
                <w:color w:val="auto"/>
                <w:highlight w:val="none"/>
              </w:rPr>
              <w:t>定义</w:t>
            </w:r>
          </w:p>
        </w:tc>
        <w:tc>
          <w:tcPr>
            <w:tcW w:w="1326" w:type="pct"/>
            <w:vAlign w:val="center"/>
          </w:tcPr>
          <w:p w14:paraId="5425C3D8">
            <w:pPr>
              <w:pStyle w:val="17"/>
              <w:bidi w:val="0"/>
              <w:rPr>
                <w:rFonts w:hint="default"/>
                <w:color w:val="auto"/>
                <w:highlight w:val="none"/>
              </w:rPr>
            </w:pPr>
            <w:r>
              <w:rPr>
                <w:rFonts w:hint="default"/>
                <w:color w:val="auto"/>
                <w:highlight w:val="none"/>
              </w:rPr>
              <w:t>厂内分区</w:t>
            </w:r>
          </w:p>
        </w:tc>
        <w:tc>
          <w:tcPr>
            <w:tcW w:w="2043" w:type="pct"/>
            <w:vAlign w:val="center"/>
          </w:tcPr>
          <w:p w14:paraId="360E0729">
            <w:pPr>
              <w:pStyle w:val="17"/>
              <w:bidi w:val="0"/>
              <w:rPr>
                <w:rFonts w:hint="default"/>
                <w:color w:val="auto"/>
                <w:highlight w:val="none"/>
              </w:rPr>
            </w:pPr>
            <w:r>
              <w:rPr>
                <w:rFonts w:hint="default"/>
                <w:color w:val="auto"/>
                <w:highlight w:val="none"/>
              </w:rPr>
              <w:t>防渗要求</w:t>
            </w:r>
          </w:p>
        </w:tc>
      </w:tr>
      <w:tr w14:paraId="1E64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pct"/>
            <w:vMerge w:val="restart"/>
            <w:vAlign w:val="center"/>
          </w:tcPr>
          <w:p w14:paraId="29CB6BE4">
            <w:pPr>
              <w:pStyle w:val="17"/>
              <w:bidi w:val="0"/>
              <w:rPr>
                <w:rFonts w:hint="default"/>
                <w:color w:val="auto"/>
                <w:highlight w:val="none"/>
              </w:rPr>
            </w:pPr>
            <w:r>
              <w:rPr>
                <w:rFonts w:hint="default"/>
                <w:color w:val="auto"/>
                <w:highlight w:val="none"/>
              </w:rPr>
              <w:t>重点防渗区</w:t>
            </w:r>
          </w:p>
        </w:tc>
        <w:tc>
          <w:tcPr>
            <w:tcW w:w="876" w:type="pct"/>
            <w:vMerge w:val="restart"/>
            <w:vAlign w:val="center"/>
          </w:tcPr>
          <w:p w14:paraId="1DAEBCA5">
            <w:pPr>
              <w:pStyle w:val="17"/>
              <w:bidi w:val="0"/>
              <w:rPr>
                <w:rFonts w:hint="default"/>
                <w:color w:val="auto"/>
                <w:highlight w:val="none"/>
              </w:rPr>
            </w:pPr>
            <w:r>
              <w:rPr>
                <w:rFonts w:hint="default"/>
                <w:color w:val="auto"/>
                <w:highlight w:val="none"/>
              </w:rPr>
              <w:t>危害性大、毒性较大的生产装置区、物料储罐区、危险废物暂存区等</w:t>
            </w:r>
          </w:p>
        </w:tc>
        <w:tc>
          <w:tcPr>
            <w:tcW w:w="1326" w:type="pct"/>
            <w:vAlign w:val="center"/>
          </w:tcPr>
          <w:p w14:paraId="56DAFAE8">
            <w:pPr>
              <w:pStyle w:val="17"/>
              <w:bidi w:val="0"/>
              <w:rPr>
                <w:rFonts w:hint="default"/>
                <w:color w:val="auto"/>
                <w:highlight w:val="none"/>
                <w:lang w:val="en-US" w:eastAsia="zh-CN"/>
              </w:rPr>
            </w:pPr>
            <w:r>
              <w:rPr>
                <w:rFonts w:hint="eastAsia"/>
                <w:color w:val="auto"/>
                <w:highlight w:val="none"/>
                <w:lang w:val="en-US" w:eastAsia="zh-CN"/>
              </w:rPr>
              <w:t>硫酸罐区、柴油罐区</w:t>
            </w:r>
          </w:p>
        </w:tc>
        <w:tc>
          <w:tcPr>
            <w:tcW w:w="2043" w:type="pct"/>
            <w:vAlign w:val="center"/>
          </w:tcPr>
          <w:p w14:paraId="33B0B80B">
            <w:pPr>
              <w:pStyle w:val="17"/>
              <w:bidi w:val="0"/>
              <w:rPr>
                <w:rFonts w:hint="default"/>
                <w:color w:val="auto"/>
                <w:highlight w:val="none"/>
                <w:lang w:val="en-US" w:eastAsia="zh-CN"/>
              </w:rPr>
            </w:pPr>
            <w:r>
              <w:rPr>
                <w:rFonts w:hint="eastAsia"/>
                <w:color w:val="auto"/>
                <w:highlight w:val="none"/>
                <w:lang w:val="en-US" w:eastAsia="zh-CN"/>
              </w:rPr>
              <w:t>采用双层储罐，罐区基础采用等效粘土防渗层</w:t>
            </w:r>
            <w:r>
              <w:rPr>
                <w:rFonts w:hint="default"/>
                <w:color w:val="auto"/>
                <w:highlight w:val="none"/>
                <w:lang w:val="en-US" w:eastAsia="zh-CN"/>
              </w:rPr>
              <w:t>Mb≥6m</w:t>
            </w:r>
            <w:r>
              <w:rPr>
                <w:rFonts w:hint="eastAsia"/>
                <w:color w:val="auto"/>
                <w:highlight w:val="none"/>
                <w:lang w:val="en-US" w:eastAsia="zh-CN"/>
              </w:rPr>
              <w:t>，</w:t>
            </w:r>
            <w:r>
              <w:rPr>
                <w:rFonts w:hint="default"/>
                <w:color w:val="auto"/>
                <w:highlight w:val="none"/>
                <w:lang w:val="en-US" w:eastAsia="zh-CN"/>
              </w:rPr>
              <w:t>K≤1×10</w:t>
            </w:r>
            <w:r>
              <w:rPr>
                <w:rFonts w:hint="default"/>
                <w:color w:val="auto"/>
                <w:highlight w:val="none"/>
                <w:vertAlign w:val="superscript"/>
                <w:lang w:val="en-US" w:eastAsia="zh-CN"/>
              </w:rPr>
              <w:t>-7</w:t>
            </w:r>
            <w:r>
              <w:rPr>
                <w:rFonts w:hint="default"/>
                <w:color w:val="auto"/>
                <w:highlight w:val="none"/>
                <w:lang w:val="en-US" w:eastAsia="zh-CN"/>
              </w:rPr>
              <w:t>cm/s</w:t>
            </w:r>
          </w:p>
        </w:tc>
      </w:tr>
      <w:tr w14:paraId="5DC6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vMerge w:val="continue"/>
            <w:vAlign w:val="center"/>
          </w:tcPr>
          <w:p w14:paraId="4454C713">
            <w:pPr>
              <w:pStyle w:val="17"/>
              <w:bidi w:val="0"/>
              <w:rPr>
                <w:rFonts w:hint="default"/>
                <w:color w:val="auto"/>
                <w:highlight w:val="none"/>
              </w:rPr>
            </w:pPr>
          </w:p>
        </w:tc>
        <w:tc>
          <w:tcPr>
            <w:tcW w:w="876" w:type="pct"/>
            <w:vMerge w:val="continue"/>
            <w:vAlign w:val="center"/>
          </w:tcPr>
          <w:p w14:paraId="5FA37BFC">
            <w:pPr>
              <w:pStyle w:val="17"/>
              <w:bidi w:val="0"/>
              <w:rPr>
                <w:rFonts w:hint="default"/>
                <w:color w:val="auto"/>
                <w:highlight w:val="none"/>
              </w:rPr>
            </w:pPr>
          </w:p>
        </w:tc>
        <w:tc>
          <w:tcPr>
            <w:tcW w:w="1326" w:type="pct"/>
            <w:vAlign w:val="center"/>
          </w:tcPr>
          <w:p w14:paraId="00C3DD7D">
            <w:pPr>
              <w:pStyle w:val="17"/>
              <w:bidi w:val="0"/>
              <w:rPr>
                <w:rFonts w:hint="default"/>
                <w:color w:val="auto"/>
                <w:highlight w:val="none"/>
                <w:lang w:eastAsia="zh-CN"/>
              </w:rPr>
            </w:pPr>
            <w:r>
              <w:rPr>
                <w:rFonts w:hint="default"/>
                <w:color w:val="auto"/>
                <w:highlight w:val="none"/>
                <w:lang w:eastAsia="zh-CN"/>
              </w:rPr>
              <w:t>危废贮存库</w:t>
            </w:r>
          </w:p>
        </w:tc>
        <w:tc>
          <w:tcPr>
            <w:tcW w:w="2043" w:type="pct"/>
            <w:vAlign w:val="center"/>
          </w:tcPr>
          <w:p w14:paraId="041A489A">
            <w:pPr>
              <w:pStyle w:val="17"/>
              <w:bidi w:val="0"/>
              <w:rPr>
                <w:color w:val="auto"/>
                <w:highlight w:val="none"/>
              </w:rPr>
            </w:pPr>
            <w:r>
              <w:rPr>
                <w:rFonts w:hint="eastAsia"/>
                <w:color w:val="auto"/>
                <w:highlight w:val="none"/>
                <w:lang w:val="en-US" w:eastAsia="zh-CN"/>
              </w:rPr>
              <w:t>按照《危险废物贮存污染控制标准》（</w:t>
            </w:r>
            <w:r>
              <w:rPr>
                <w:rFonts w:hint="default"/>
                <w:color w:val="auto"/>
                <w:highlight w:val="none"/>
                <w:lang w:val="en-US" w:eastAsia="zh-CN"/>
              </w:rPr>
              <w:t>GB18597-2023</w:t>
            </w:r>
            <w:r>
              <w:rPr>
                <w:rFonts w:hint="eastAsia"/>
                <w:color w:val="auto"/>
                <w:highlight w:val="none"/>
                <w:lang w:val="en-US" w:eastAsia="zh-CN"/>
              </w:rPr>
              <w:t>）防渗层为至少1m厚黏土层（渗透系数不大于10</w:t>
            </w:r>
            <w:r>
              <w:rPr>
                <w:rFonts w:hint="eastAsia"/>
                <w:color w:val="auto"/>
                <w:highlight w:val="none"/>
                <w:vertAlign w:val="superscript"/>
                <w:lang w:val="en-US" w:eastAsia="zh-CN"/>
              </w:rPr>
              <w:t>-7</w:t>
            </w:r>
            <w:r>
              <w:rPr>
                <w:rFonts w:hint="eastAsia"/>
                <w:color w:val="auto"/>
                <w:highlight w:val="none"/>
                <w:lang w:val="en-US" w:eastAsia="zh-CN"/>
              </w:rPr>
              <w:t>cm/s），或至少2mm厚高密度聚乙烯膜等人工防渗材料（渗透系数不大于10</w:t>
            </w:r>
            <w:r>
              <w:rPr>
                <w:rFonts w:hint="eastAsia"/>
                <w:color w:val="auto"/>
                <w:highlight w:val="none"/>
                <w:vertAlign w:val="superscript"/>
                <w:lang w:val="en-US" w:eastAsia="zh-CN"/>
              </w:rPr>
              <w:t>-10</w:t>
            </w:r>
            <w:r>
              <w:rPr>
                <w:rFonts w:hint="eastAsia"/>
                <w:color w:val="auto"/>
                <w:highlight w:val="none"/>
                <w:lang w:val="en-US" w:eastAsia="zh-CN"/>
              </w:rPr>
              <w:t>cm/s），或其他防渗性能等效的材料。</w:t>
            </w:r>
          </w:p>
        </w:tc>
      </w:tr>
      <w:tr w14:paraId="7677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vMerge w:val="restart"/>
            <w:vAlign w:val="center"/>
          </w:tcPr>
          <w:p w14:paraId="7A646A0B">
            <w:pPr>
              <w:pStyle w:val="17"/>
              <w:bidi w:val="0"/>
              <w:rPr>
                <w:rFonts w:hint="default"/>
                <w:color w:val="auto"/>
                <w:highlight w:val="none"/>
              </w:rPr>
            </w:pPr>
            <w:r>
              <w:rPr>
                <w:rFonts w:hint="default"/>
                <w:color w:val="auto"/>
                <w:highlight w:val="none"/>
              </w:rPr>
              <w:t>一般防渗区</w:t>
            </w:r>
          </w:p>
        </w:tc>
        <w:tc>
          <w:tcPr>
            <w:tcW w:w="876" w:type="pct"/>
            <w:vMerge w:val="restart"/>
            <w:vAlign w:val="center"/>
          </w:tcPr>
          <w:p w14:paraId="5385990E">
            <w:pPr>
              <w:pStyle w:val="17"/>
              <w:bidi w:val="0"/>
              <w:rPr>
                <w:rFonts w:hint="default"/>
                <w:color w:val="auto"/>
                <w:highlight w:val="none"/>
              </w:rPr>
            </w:pPr>
            <w:r>
              <w:rPr>
                <w:rFonts w:hint="default"/>
                <w:color w:val="auto"/>
                <w:highlight w:val="none"/>
              </w:rPr>
              <w:t>无毒性或毒性小的生产装置区、装置区外管廊区</w:t>
            </w:r>
          </w:p>
        </w:tc>
        <w:tc>
          <w:tcPr>
            <w:tcW w:w="1326" w:type="pct"/>
            <w:vAlign w:val="center"/>
          </w:tcPr>
          <w:p w14:paraId="43761A3D">
            <w:pPr>
              <w:pStyle w:val="17"/>
              <w:bidi w:val="0"/>
              <w:rPr>
                <w:rFonts w:hint="default"/>
                <w:color w:val="auto"/>
                <w:highlight w:val="none"/>
              </w:rPr>
            </w:pPr>
            <w:r>
              <w:rPr>
                <w:rFonts w:hint="default"/>
                <w:color w:val="auto"/>
                <w:highlight w:val="none"/>
              </w:rPr>
              <w:t>尾矿库</w:t>
            </w:r>
          </w:p>
        </w:tc>
        <w:tc>
          <w:tcPr>
            <w:tcW w:w="2043" w:type="pct"/>
            <w:vAlign w:val="center"/>
          </w:tcPr>
          <w:p w14:paraId="4280A8FE">
            <w:pPr>
              <w:pStyle w:val="17"/>
              <w:bidi w:val="0"/>
              <w:rPr>
                <w:rFonts w:hint="default"/>
                <w:color w:val="auto"/>
                <w:highlight w:val="none"/>
              </w:rPr>
            </w:pPr>
            <w:r>
              <w:rPr>
                <w:rFonts w:hint="eastAsia"/>
                <w:color w:val="auto"/>
                <w:highlight w:val="none"/>
                <w:lang w:val="en-US" w:eastAsia="zh-CN"/>
              </w:rPr>
              <w:t>按照《一般工业固体废物贮存和填埋污染控制标准》（</w:t>
            </w:r>
            <w:r>
              <w:rPr>
                <w:rFonts w:hint="default"/>
                <w:color w:val="auto"/>
                <w:highlight w:val="none"/>
                <w:lang w:val="en-US" w:eastAsia="zh-CN"/>
              </w:rPr>
              <w:t>GB18599-2020</w:t>
            </w:r>
            <w:r>
              <w:rPr>
                <w:rFonts w:hint="eastAsia"/>
                <w:color w:val="auto"/>
                <w:highlight w:val="none"/>
                <w:lang w:val="en-US" w:eastAsia="zh-CN"/>
              </w:rPr>
              <w:t>）</w:t>
            </w:r>
            <w:r>
              <w:rPr>
                <w:rFonts w:hint="default"/>
                <w:color w:val="auto"/>
                <w:highlight w:val="none"/>
                <w:lang w:val="en-US" w:eastAsia="zh-CN"/>
              </w:rPr>
              <w:t>I</w:t>
            </w:r>
            <w:r>
              <w:rPr>
                <w:rFonts w:hint="eastAsia"/>
                <w:color w:val="auto"/>
                <w:highlight w:val="none"/>
                <w:lang w:val="en-US" w:eastAsia="zh-CN"/>
              </w:rPr>
              <w:t>类场标准相关要求进行建设，天然基础层饱和渗透系数不大于</w:t>
            </w:r>
            <w:r>
              <w:rPr>
                <w:rFonts w:hint="default"/>
                <w:color w:val="auto"/>
                <w:highlight w:val="none"/>
                <w:lang w:val="en-US" w:eastAsia="zh-CN"/>
              </w:rPr>
              <w:t>1.0×10</w:t>
            </w:r>
            <w:r>
              <w:rPr>
                <w:rFonts w:hint="default"/>
                <w:color w:val="auto"/>
                <w:highlight w:val="none"/>
                <w:vertAlign w:val="superscript"/>
                <w:lang w:val="en-US" w:eastAsia="zh-CN"/>
              </w:rPr>
              <w:t>-5</w:t>
            </w:r>
            <w:r>
              <w:rPr>
                <w:rFonts w:hint="default"/>
                <w:color w:val="auto"/>
                <w:highlight w:val="none"/>
                <w:lang w:val="en-US" w:eastAsia="zh-CN"/>
              </w:rPr>
              <w:t>cm/s</w:t>
            </w:r>
            <w:r>
              <w:rPr>
                <w:rFonts w:hint="eastAsia"/>
                <w:color w:val="auto"/>
                <w:highlight w:val="none"/>
                <w:lang w:val="en-US" w:eastAsia="zh-CN"/>
              </w:rPr>
              <w:t>，且厚度不小于</w:t>
            </w:r>
            <w:r>
              <w:rPr>
                <w:rFonts w:hint="default"/>
                <w:color w:val="auto"/>
                <w:highlight w:val="none"/>
                <w:lang w:val="en-US" w:eastAsia="zh-CN"/>
              </w:rPr>
              <w:t>0.75m</w:t>
            </w:r>
            <w:r>
              <w:rPr>
                <w:rFonts w:hint="eastAsia"/>
                <w:color w:val="auto"/>
                <w:highlight w:val="none"/>
                <w:lang w:val="en-US" w:eastAsia="zh-CN"/>
              </w:rPr>
              <w:t>时，可以采用天然基础层作为防渗衬层；或采用改性压实粘土类衬层或具有同等以上隔水效力的其他材料防渗衬层，其防渗性能应至少相当于渗透系数为</w:t>
            </w:r>
            <w:r>
              <w:rPr>
                <w:rFonts w:hint="default"/>
                <w:color w:val="auto"/>
                <w:highlight w:val="none"/>
                <w:lang w:val="en-US" w:eastAsia="zh-CN"/>
              </w:rPr>
              <w:t>1.0×10</w:t>
            </w:r>
            <w:r>
              <w:rPr>
                <w:rFonts w:hint="default"/>
                <w:color w:val="auto"/>
                <w:highlight w:val="none"/>
                <w:vertAlign w:val="superscript"/>
                <w:lang w:val="en-US" w:eastAsia="zh-CN"/>
              </w:rPr>
              <w:t>-5</w:t>
            </w:r>
            <w:r>
              <w:rPr>
                <w:rFonts w:hint="default"/>
                <w:color w:val="auto"/>
                <w:highlight w:val="none"/>
                <w:lang w:val="en-US" w:eastAsia="zh-CN"/>
              </w:rPr>
              <w:t>cm/s</w:t>
            </w:r>
            <w:r>
              <w:rPr>
                <w:rFonts w:hint="eastAsia"/>
                <w:color w:val="auto"/>
                <w:highlight w:val="none"/>
                <w:lang w:val="en-US" w:eastAsia="zh-CN"/>
              </w:rPr>
              <w:t>且厚度为</w:t>
            </w:r>
            <w:r>
              <w:rPr>
                <w:rFonts w:hint="default"/>
                <w:color w:val="auto"/>
                <w:highlight w:val="none"/>
                <w:lang w:val="en-US" w:eastAsia="zh-CN"/>
              </w:rPr>
              <w:t>0.75m</w:t>
            </w:r>
            <w:r>
              <w:rPr>
                <w:rFonts w:hint="eastAsia"/>
                <w:color w:val="auto"/>
                <w:highlight w:val="none"/>
                <w:lang w:val="en-US" w:eastAsia="zh-CN"/>
              </w:rPr>
              <w:t>的天然基础层。</w:t>
            </w:r>
          </w:p>
        </w:tc>
      </w:tr>
      <w:tr w14:paraId="6443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vMerge w:val="continue"/>
            <w:vAlign w:val="center"/>
          </w:tcPr>
          <w:p w14:paraId="04704D7D">
            <w:pPr>
              <w:pStyle w:val="17"/>
              <w:bidi w:val="0"/>
              <w:rPr>
                <w:rFonts w:hint="default"/>
                <w:color w:val="auto"/>
                <w:highlight w:val="none"/>
              </w:rPr>
            </w:pPr>
          </w:p>
        </w:tc>
        <w:tc>
          <w:tcPr>
            <w:tcW w:w="876" w:type="pct"/>
            <w:vMerge w:val="continue"/>
            <w:vAlign w:val="center"/>
          </w:tcPr>
          <w:p w14:paraId="136081AB">
            <w:pPr>
              <w:pStyle w:val="17"/>
              <w:bidi w:val="0"/>
              <w:rPr>
                <w:rFonts w:hint="default"/>
                <w:color w:val="auto"/>
                <w:highlight w:val="none"/>
              </w:rPr>
            </w:pPr>
          </w:p>
        </w:tc>
        <w:tc>
          <w:tcPr>
            <w:tcW w:w="1326" w:type="pct"/>
            <w:vAlign w:val="center"/>
          </w:tcPr>
          <w:p w14:paraId="04FD0BE8">
            <w:pPr>
              <w:pStyle w:val="17"/>
              <w:bidi w:val="0"/>
              <w:rPr>
                <w:rFonts w:hint="default"/>
                <w:color w:val="auto"/>
                <w:highlight w:val="none"/>
              </w:rPr>
            </w:pPr>
            <w:r>
              <w:rPr>
                <w:rFonts w:hint="eastAsia"/>
                <w:color w:val="auto"/>
                <w:highlight w:val="none"/>
                <w:lang w:val="en-US" w:eastAsia="zh-CN"/>
              </w:rPr>
              <w:t>采矿工业场地沉淀池、地埋式一体化污水处理设施、生产废水污水回用处理设备、事故池、雨水收集池、净化站；选矿工业场地柴油发电机房、药剂仓库、试化验室等</w:t>
            </w:r>
          </w:p>
        </w:tc>
        <w:tc>
          <w:tcPr>
            <w:tcW w:w="2043" w:type="pct"/>
            <w:vAlign w:val="center"/>
          </w:tcPr>
          <w:p w14:paraId="02DCC6D7">
            <w:pPr>
              <w:pStyle w:val="17"/>
              <w:bidi w:val="0"/>
              <w:rPr>
                <w:rFonts w:hint="default"/>
                <w:color w:val="auto"/>
                <w:highlight w:val="none"/>
              </w:rPr>
            </w:pPr>
            <w:r>
              <w:rPr>
                <w:rFonts w:hint="eastAsia"/>
                <w:color w:val="auto"/>
                <w:highlight w:val="none"/>
                <w:lang w:val="en-US" w:eastAsia="zh-CN"/>
              </w:rPr>
              <w:t>等效粘土防渗层</w:t>
            </w:r>
            <w:r>
              <w:rPr>
                <w:rFonts w:hint="default"/>
                <w:color w:val="auto"/>
                <w:highlight w:val="none"/>
                <w:lang w:val="en-US" w:eastAsia="zh-CN"/>
              </w:rPr>
              <w:t>Mb≥</w:t>
            </w:r>
            <w:r>
              <w:rPr>
                <w:rFonts w:hint="eastAsia"/>
                <w:color w:val="auto"/>
                <w:highlight w:val="none"/>
                <w:lang w:val="en-US" w:eastAsia="zh-CN"/>
              </w:rPr>
              <w:t>1.5</w:t>
            </w:r>
            <w:r>
              <w:rPr>
                <w:rFonts w:hint="default"/>
                <w:color w:val="auto"/>
                <w:highlight w:val="none"/>
                <w:lang w:val="en-US" w:eastAsia="zh-CN"/>
              </w:rPr>
              <w:t>m</w:t>
            </w:r>
            <w:r>
              <w:rPr>
                <w:rFonts w:hint="eastAsia"/>
                <w:color w:val="auto"/>
                <w:highlight w:val="none"/>
                <w:lang w:val="en-US" w:eastAsia="zh-CN"/>
              </w:rPr>
              <w:t>，</w:t>
            </w:r>
            <w:r>
              <w:rPr>
                <w:rFonts w:hint="default"/>
                <w:color w:val="auto"/>
                <w:highlight w:val="none"/>
                <w:lang w:val="en-US" w:eastAsia="zh-CN"/>
              </w:rPr>
              <w:t>K≤1×10</w:t>
            </w:r>
            <w:r>
              <w:rPr>
                <w:rFonts w:hint="default"/>
                <w:color w:val="auto"/>
                <w:highlight w:val="none"/>
                <w:vertAlign w:val="superscript"/>
                <w:lang w:val="en-US" w:eastAsia="zh-CN"/>
              </w:rPr>
              <w:t>-7</w:t>
            </w:r>
            <w:r>
              <w:rPr>
                <w:rFonts w:hint="default"/>
                <w:color w:val="auto"/>
                <w:highlight w:val="none"/>
                <w:lang w:val="en-US" w:eastAsia="zh-CN"/>
              </w:rPr>
              <w:t>cm/s</w:t>
            </w:r>
          </w:p>
        </w:tc>
      </w:tr>
      <w:tr w14:paraId="181B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vAlign w:val="center"/>
          </w:tcPr>
          <w:p w14:paraId="6A5358BC">
            <w:pPr>
              <w:pStyle w:val="17"/>
              <w:bidi w:val="0"/>
              <w:rPr>
                <w:rFonts w:hint="default"/>
                <w:color w:val="auto"/>
                <w:highlight w:val="none"/>
              </w:rPr>
            </w:pPr>
            <w:r>
              <w:rPr>
                <w:rFonts w:hint="default"/>
                <w:color w:val="auto"/>
                <w:highlight w:val="none"/>
              </w:rPr>
              <w:t>简单防渗区</w:t>
            </w:r>
          </w:p>
        </w:tc>
        <w:tc>
          <w:tcPr>
            <w:tcW w:w="876" w:type="pct"/>
            <w:vAlign w:val="center"/>
          </w:tcPr>
          <w:p w14:paraId="7E86EB78">
            <w:pPr>
              <w:pStyle w:val="17"/>
              <w:bidi w:val="0"/>
              <w:rPr>
                <w:rFonts w:hint="default"/>
                <w:color w:val="auto"/>
                <w:highlight w:val="none"/>
              </w:rPr>
            </w:pPr>
            <w:r>
              <w:rPr>
                <w:rFonts w:hint="default"/>
                <w:color w:val="auto"/>
                <w:highlight w:val="none"/>
              </w:rPr>
              <w:t>除污染区的其余区域</w:t>
            </w:r>
          </w:p>
        </w:tc>
        <w:tc>
          <w:tcPr>
            <w:tcW w:w="1326" w:type="pct"/>
            <w:vAlign w:val="center"/>
          </w:tcPr>
          <w:p w14:paraId="7B914FCA">
            <w:pPr>
              <w:pStyle w:val="17"/>
              <w:bidi w:val="0"/>
              <w:rPr>
                <w:rFonts w:hint="default"/>
                <w:color w:val="auto"/>
                <w:highlight w:val="none"/>
                <w:lang w:eastAsia="zh-CN"/>
              </w:rPr>
            </w:pPr>
            <w:r>
              <w:rPr>
                <w:rFonts w:hint="default"/>
                <w:color w:val="auto"/>
                <w:highlight w:val="none"/>
                <w:lang w:eastAsia="zh-CN"/>
              </w:rPr>
              <w:t>其他区域</w:t>
            </w:r>
          </w:p>
        </w:tc>
        <w:tc>
          <w:tcPr>
            <w:tcW w:w="2043" w:type="pct"/>
            <w:vAlign w:val="center"/>
          </w:tcPr>
          <w:p w14:paraId="7EE4FE04">
            <w:pPr>
              <w:pStyle w:val="17"/>
              <w:bidi w:val="0"/>
              <w:rPr>
                <w:rFonts w:hint="default"/>
                <w:color w:val="auto"/>
                <w:highlight w:val="none"/>
              </w:rPr>
            </w:pPr>
            <w:r>
              <w:rPr>
                <w:rFonts w:hint="default"/>
                <w:color w:val="auto"/>
                <w:highlight w:val="none"/>
              </w:rPr>
              <w:t>进行</w:t>
            </w:r>
            <w:r>
              <w:rPr>
                <w:rFonts w:hint="eastAsia"/>
                <w:color w:val="auto"/>
                <w:highlight w:val="none"/>
                <w:lang w:val="en-US" w:eastAsia="zh-CN"/>
              </w:rPr>
              <w:t>简单</w:t>
            </w:r>
            <w:r>
              <w:rPr>
                <w:rFonts w:hint="default"/>
                <w:color w:val="auto"/>
                <w:highlight w:val="none"/>
              </w:rPr>
              <w:t>地面硬化</w:t>
            </w:r>
          </w:p>
        </w:tc>
      </w:tr>
    </w:tbl>
    <w:p w14:paraId="1DC57279">
      <w:pPr>
        <w:pStyle w:val="6"/>
        <w:rPr>
          <w:rFonts w:hint="default" w:ascii="Times New Roman" w:hAnsi="Times New Roman" w:cs="Times New Roman"/>
          <w:color w:val="auto"/>
          <w:highlight w:val="none"/>
        </w:rPr>
      </w:pPr>
      <w:bookmarkStart w:id="758" w:name="_Toc8527"/>
      <w:bookmarkStart w:id="759" w:name="_Toc12561"/>
      <w:bookmarkStart w:id="760" w:name="_Toc20657"/>
      <w:r>
        <w:rPr>
          <w:rFonts w:hint="default" w:ascii="Times New Roman" w:hAnsi="Times New Roman" w:cs="Times New Roman"/>
          <w:color w:val="auto"/>
          <w:highlight w:val="none"/>
        </w:rPr>
        <w:t>6.2.4噪声污染防治措施</w:t>
      </w:r>
      <w:bookmarkEnd w:id="758"/>
      <w:bookmarkEnd w:id="759"/>
      <w:bookmarkEnd w:id="760"/>
    </w:p>
    <w:p w14:paraId="6598EBD4">
      <w:pPr>
        <w:overflowPunct w:val="0"/>
        <w:topLinePunct/>
        <w:ind w:firstLine="480"/>
        <w:rPr>
          <w:rFonts w:hint="eastAsia"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val="en-US" w:eastAsia="zh-CN"/>
        </w:rPr>
        <w:t>本</w:t>
      </w:r>
      <w:r>
        <w:rPr>
          <w:rFonts w:hint="eastAsia" w:ascii="Times New Roman" w:hAnsi="Times New Roman" w:cs="Times New Roman"/>
          <w:color w:val="auto"/>
          <w:kern w:val="0"/>
          <w:sz w:val="24"/>
          <w:highlight w:val="none"/>
          <w:lang w:val="en-US" w:eastAsia="zh-CN"/>
        </w:rPr>
        <w:t>项目</w:t>
      </w:r>
      <w:r>
        <w:rPr>
          <w:rFonts w:hint="eastAsia" w:ascii="Times New Roman" w:hAnsi="Times New Roman" w:eastAsia="宋体" w:cs="Times New Roman"/>
          <w:color w:val="auto"/>
          <w:kern w:val="0"/>
          <w:sz w:val="24"/>
          <w:highlight w:val="none"/>
          <w:lang w:val="en-US" w:eastAsia="zh-CN"/>
        </w:rPr>
        <w:t>井下凿岩、井下爆破作业点与地表井口的距离较远，其产生的噪声经 岩石阻隔吸声降噪、空气、距离等自然衰减后，到达井口处的噪声值较低，不会 对地表声环境产生影响。地面噪声源主要为选矿厂设备运行噪声，本项目对噪声的控制主要采取以下措施：</w:t>
      </w:r>
    </w:p>
    <w:p w14:paraId="32180BFE">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1、选用低噪声设备</w:t>
      </w:r>
    </w:p>
    <w:p w14:paraId="7CB66EFB">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1）优先选用振动小、噪声低的设备，使用吸声材料降低撞击噪声；强烈振动的设备、管道与基础、支架、建筑物及其他设备之间采用柔性连接或支撑等。</w:t>
      </w:r>
    </w:p>
    <w:p w14:paraId="3F969030">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2）采用操作机械化和运行自动化的设备工艺，实现远距离的监视操作。</w:t>
      </w:r>
    </w:p>
    <w:p w14:paraId="20059038">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2、隔声、消声、吸声</w:t>
      </w:r>
    </w:p>
    <w:p w14:paraId="1623EC98">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各噪声设备均应采用隔声、消声、吸声、隔振等综合控制技术措施。</w:t>
      </w:r>
    </w:p>
    <w:p w14:paraId="3FB069D2">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1）风机：在风机出风口加装消声器，在风机和基础之间安装基础隔振垫（如金属弹簧隔振器、橡胶隔振垫、玻璃纤维板等），减少扰动，防止共振，能有效降低源强。</w:t>
      </w:r>
    </w:p>
    <w:p w14:paraId="00747065">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2）泵类、空压机：采用单台独立基础，空压机设备加装橡胶减振、隔振措施，泵的进出口接管做挠性连接或弹性连接，并增加惰性块（钢筋混凝土基础） 的重量以增加其稳定性，从而有效地降低振动强度。</w:t>
      </w:r>
    </w:p>
    <w:p w14:paraId="200EE88F">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3、加强管理</w:t>
      </w:r>
    </w:p>
    <w:p w14:paraId="32446284">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1）加强设备的维护，确保设备处于良好的运转状态，杜绝因设备不正常运转时产生的高噪声现象；</w:t>
      </w:r>
    </w:p>
    <w:p w14:paraId="1486EF47">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2）加强职工环保意识教育，提倡文明生产，防止人为噪声；</w:t>
      </w:r>
    </w:p>
    <w:p w14:paraId="7DFBA309">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3）对于厂区流动声源，要强化行车管理制度，设置降噪标准，严禁鸣笛，进入厂区低速行驶，最大限度减少流动噪声源。</w:t>
      </w:r>
    </w:p>
    <w:p w14:paraId="724A3FC5">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4）加强车辆、机械设备的维护，使其处于良好状态；并对老化和性能降低的旧设备进行及时更换。</w:t>
      </w:r>
    </w:p>
    <w:p w14:paraId="6CAD9B6F">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5）加强出去运输车辆的管理，采取限速禁鸣，分散进出。</w:t>
      </w:r>
    </w:p>
    <w:p w14:paraId="41D30204">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6）合理安排运输频次，避开午间休息时间运输，夜间不安排运输。</w:t>
      </w:r>
    </w:p>
    <w:p w14:paraId="22BD52E4">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7）利用自然地形（如位于噪声源和敏感目标之间的山丘、土坡、地堑、围墙等），合理布局产噪设备降低噪声。</w:t>
      </w:r>
    </w:p>
    <w:p w14:paraId="760549C3">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8）结合厂区绿化，种植一些吸尘、消声能力强的树木，如常绿阔叶乔木、灌木等，组成多层次的降噪屏障，以达到消耗声能，削弱噪声目的。</w:t>
      </w:r>
    </w:p>
    <w:p w14:paraId="619B7CD1">
      <w:pPr>
        <w:overflowPunct w:val="0"/>
        <w:topLinePunct/>
        <w:ind w:firstLine="480"/>
        <w:rPr>
          <w:rFonts w:hint="default" w:ascii="Times New Roman" w:hAnsi="Times New Roman" w:cs="Times New Roman"/>
          <w:color w:val="auto"/>
          <w:kern w:val="0"/>
          <w:highlight w:val="none"/>
          <w:lang w:val="zh-CN"/>
        </w:rPr>
      </w:pPr>
      <w:r>
        <w:rPr>
          <w:rFonts w:hint="default" w:ascii="Times New Roman" w:hAnsi="Times New Roman" w:cs="Times New Roman"/>
          <w:color w:val="auto"/>
          <w:kern w:val="0"/>
          <w:highlight w:val="none"/>
          <w:lang w:val="zh-CN"/>
        </w:rPr>
        <w:t>通过以上防护措施的落实，可使项目生产运行期厂界噪声进一步下降，达到环境噪声标准的要求。</w:t>
      </w:r>
    </w:p>
    <w:p w14:paraId="08265CFA">
      <w:pPr>
        <w:pStyle w:val="6"/>
        <w:rPr>
          <w:rFonts w:hint="default" w:ascii="Times New Roman" w:hAnsi="Times New Roman" w:cs="Times New Roman"/>
          <w:color w:val="auto"/>
          <w:highlight w:val="none"/>
        </w:rPr>
      </w:pPr>
      <w:bookmarkStart w:id="761" w:name="_Toc6265"/>
      <w:bookmarkStart w:id="762" w:name="_Toc4947"/>
      <w:bookmarkStart w:id="763" w:name="_Toc7935"/>
      <w:r>
        <w:rPr>
          <w:rFonts w:hint="default" w:ascii="Times New Roman" w:hAnsi="Times New Roman" w:cs="Times New Roman"/>
          <w:color w:val="auto"/>
          <w:highlight w:val="none"/>
        </w:rPr>
        <w:t>6.2.5固体废物处理措施</w:t>
      </w:r>
      <w:bookmarkEnd w:id="761"/>
      <w:bookmarkEnd w:id="762"/>
      <w:bookmarkEnd w:id="763"/>
    </w:p>
    <w:p w14:paraId="18AAB9A9">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6.2.5.1固体废物处置措施</w:t>
      </w:r>
    </w:p>
    <w:p w14:paraId="0720BE03">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本项目运营期固体废物主要来源于选矿工序产生的尾矿砂、生活垃圾</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废机油</w:t>
      </w:r>
      <w:r>
        <w:rPr>
          <w:rFonts w:hint="default" w:ascii="Times New Roman" w:hAnsi="Times New Roman" w:cs="Times New Roman"/>
          <w:color w:val="auto"/>
          <w:kern w:val="0"/>
          <w:highlight w:val="none"/>
          <w:lang w:val="en-US" w:eastAsia="zh-CN"/>
        </w:rPr>
        <w:t>及</w:t>
      </w:r>
      <w:r>
        <w:rPr>
          <w:rFonts w:hint="default" w:ascii="Times New Roman" w:hAnsi="Times New Roman" w:cs="Times New Roman"/>
          <w:color w:val="auto"/>
          <w:kern w:val="0"/>
          <w:highlight w:val="none"/>
        </w:rPr>
        <w:t>废油桶</w:t>
      </w:r>
      <w:r>
        <w:rPr>
          <w:rFonts w:hint="default" w:ascii="Times New Roman" w:hAnsi="Times New Roman" w:cs="Times New Roman"/>
          <w:color w:val="auto"/>
          <w:kern w:val="0"/>
          <w:highlight w:val="none"/>
          <w:lang w:eastAsia="zh-CN"/>
        </w:rPr>
        <w:t>、原辅料废</w:t>
      </w:r>
      <w:r>
        <w:rPr>
          <w:rFonts w:hint="default" w:ascii="Times New Roman" w:hAnsi="Times New Roman" w:cs="Times New Roman"/>
          <w:color w:val="auto"/>
          <w:kern w:val="0"/>
          <w:highlight w:val="none"/>
        </w:rPr>
        <w:t>包装物</w:t>
      </w:r>
      <w:r>
        <w:rPr>
          <w:rFonts w:hint="default" w:ascii="Times New Roman" w:hAnsi="Times New Roman" w:cs="Times New Roman"/>
          <w:color w:val="auto"/>
          <w:kern w:val="0"/>
          <w:highlight w:val="none"/>
          <w:lang w:eastAsia="zh-CN"/>
        </w:rPr>
        <w:t>、</w:t>
      </w:r>
      <w:r>
        <w:rPr>
          <w:rFonts w:hint="default" w:ascii="Times New Roman" w:hAnsi="Times New Roman" w:cs="Times New Roman"/>
          <w:color w:val="auto"/>
          <w:kern w:val="0"/>
          <w:highlight w:val="none"/>
        </w:rPr>
        <w:t>除尘灰（除尘器收集的粉尘）、废离子交换树脂、循环水池底泥、废布袋、化验废液等。</w:t>
      </w:r>
    </w:p>
    <w:p w14:paraId="4B449ADF">
      <w:pPr>
        <w:overflowPunct w:val="0"/>
        <w:topLinePunct/>
        <w:spacing w:line="480" w:lineRule="exact"/>
        <w:ind w:firstLine="480"/>
        <w:rPr>
          <w:rFonts w:hint="default" w:ascii="Times New Roman" w:hAnsi="Times New Roman" w:cs="Times New Roman"/>
          <w:bCs/>
          <w:color w:val="auto"/>
          <w:szCs w:val="24"/>
          <w:highlight w:val="none"/>
        </w:rPr>
      </w:pPr>
      <w:r>
        <w:rPr>
          <w:rFonts w:hint="default" w:ascii="Times New Roman" w:hAnsi="Times New Roman" w:cs="Times New Roman"/>
          <w:color w:val="auto"/>
          <w:kern w:val="0"/>
          <w:highlight w:val="none"/>
        </w:rPr>
        <w:t>（1）生活垃圾</w:t>
      </w:r>
    </w:p>
    <w:p w14:paraId="282372F4">
      <w:pPr>
        <w:overflowPunct w:val="0"/>
        <w:topLinePunct/>
        <w:spacing w:line="480" w:lineRule="exact"/>
        <w:ind w:firstLine="480"/>
        <w:rPr>
          <w:rFonts w:hint="default" w:ascii="Times New Roman" w:hAnsi="Times New Roman" w:cs="Times New Roman"/>
          <w:bCs/>
          <w:color w:val="auto"/>
          <w:szCs w:val="24"/>
          <w:highlight w:val="none"/>
        </w:rPr>
      </w:pPr>
      <w:r>
        <w:rPr>
          <w:rFonts w:hint="default" w:ascii="Times New Roman" w:hAnsi="Times New Roman" w:cs="Times New Roman"/>
          <w:color w:val="auto"/>
          <w:highlight w:val="none"/>
        </w:rPr>
        <w:t>本项目</w:t>
      </w:r>
      <w:r>
        <w:rPr>
          <w:rFonts w:hint="default" w:ascii="Times New Roman" w:hAnsi="Times New Roman" w:cs="Times New Roman"/>
          <w:color w:val="auto"/>
          <w:kern w:val="0"/>
          <w:highlight w:val="none"/>
        </w:rPr>
        <w:t>生活垃圾产生量为</w:t>
      </w:r>
      <w:r>
        <w:rPr>
          <w:rFonts w:hint="eastAsia" w:cs="Times New Roman"/>
          <w:color w:val="auto"/>
          <w:kern w:val="0"/>
          <w:highlight w:val="none"/>
          <w:lang w:val="en-US" w:eastAsia="zh-CN"/>
        </w:rPr>
        <w:t>75.9</w:t>
      </w:r>
      <w:r>
        <w:rPr>
          <w:rFonts w:hint="default" w:ascii="Times New Roman" w:hAnsi="Times New Roman" w:cs="Times New Roman"/>
          <w:color w:val="auto"/>
          <w:kern w:val="0"/>
          <w:highlight w:val="none"/>
        </w:rPr>
        <w:t>t/a，生活垃圾集中收集后，</w:t>
      </w:r>
      <w:r>
        <w:rPr>
          <w:rFonts w:hint="default" w:ascii="Times New Roman" w:hAnsi="Times New Roman" w:cs="Times New Roman"/>
          <w:color w:val="auto"/>
          <w:kern w:val="0"/>
          <w:highlight w:val="none"/>
          <w:lang w:val="en-US" w:eastAsia="zh-CN"/>
        </w:rPr>
        <w:t>交</w:t>
      </w:r>
      <w:r>
        <w:rPr>
          <w:rFonts w:hint="default" w:ascii="Times New Roman" w:hAnsi="Times New Roman" w:cs="Times New Roman"/>
          <w:color w:val="auto"/>
          <w:kern w:val="0"/>
          <w:highlight w:val="none"/>
        </w:rPr>
        <w:t>由</w:t>
      </w:r>
      <w:r>
        <w:rPr>
          <w:rFonts w:hint="default" w:ascii="Times New Roman" w:hAnsi="Times New Roman" w:cs="Times New Roman"/>
          <w:color w:val="auto"/>
          <w:kern w:val="0"/>
          <w:highlight w:val="none"/>
          <w:lang w:eastAsia="zh-CN"/>
        </w:rPr>
        <w:t>若羌</w:t>
      </w:r>
      <w:r>
        <w:rPr>
          <w:rFonts w:hint="default" w:ascii="Times New Roman" w:hAnsi="Times New Roman" w:cs="Times New Roman"/>
          <w:color w:val="auto"/>
          <w:kern w:val="0"/>
          <w:highlight w:val="none"/>
        </w:rPr>
        <w:t>县</w:t>
      </w:r>
      <w:r>
        <w:rPr>
          <w:rFonts w:hint="default" w:ascii="Times New Roman" w:hAnsi="Times New Roman" w:cs="Times New Roman"/>
          <w:color w:val="auto"/>
          <w:kern w:val="0"/>
          <w:highlight w:val="none"/>
          <w:lang w:val="en-US" w:eastAsia="zh-CN"/>
        </w:rPr>
        <w:t>生活垃圾填埋场处置</w:t>
      </w:r>
      <w:r>
        <w:rPr>
          <w:rFonts w:hint="default" w:ascii="Times New Roman" w:hAnsi="Times New Roman" w:cs="Times New Roman"/>
          <w:color w:val="auto"/>
          <w:kern w:val="0"/>
          <w:highlight w:val="none"/>
        </w:rPr>
        <w:t>。本项目生活垃圾产生量较小，定期清运至</w:t>
      </w:r>
      <w:r>
        <w:rPr>
          <w:rFonts w:hint="default" w:ascii="Times New Roman" w:hAnsi="Times New Roman" w:cs="Times New Roman"/>
          <w:color w:val="auto"/>
          <w:kern w:val="0"/>
          <w:highlight w:val="none"/>
          <w:lang w:eastAsia="zh-CN"/>
        </w:rPr>
        <w:t>若羌</w:t>
      </w:r>
      <w:r>
        <w:rPr>
          <w:rFonts w:hint="default" w:ascii="Times New Roman" w:hAnsi="Times New Roman" w:cs="Times New Roman"/>
          <w:color w:val="auto"/>
          <w:kern w:val="0"/>
          <w:highlight w:val="none"/>
        </w:rPr>
        <w:t>县生活垃圾填埋场合理可行。</w:t>
      </w:r>
    </w:p>
    <w:p w14:paraId="476A25D4">
      <w:pPr>
        <w:bidi w:val="0"/>
        <w:rPr>
          <w:color w:val="auto"/>
          <w:highlight w:val="none"/>
        </w:rPr>
      </w:pPr>
      <w:r>
        <w:rPr>
          <w:rFonts w:hint="eastAsia"/>
          <w:color w:val="auto"/>
          <w:highlight w:val="none"/>
          <w:lang w:val="en-US" w:eastAsia="zh-CN"/>
        </w:rPr>
        <w:t>（2）</w:t>
      </w:r>
      <w:r>
        <w:rPr>
          <w:color w:val="auto"/>
          <w:highlight w:val="none"/>
        </w:rPr>
        <w:t>废石</w:t>
      </w:r>
    </w:p>
    <w:p w14:paraId="5A4C41B2">
      <w:pPr>
        <w:overflowPunct w:val="0"/>
        <w:topLinePunct/>
        <w:ind w:firstLine="480"/>
        <w:rPr>
          <w:rFonts w:hint="eastAsia"/>
          <w:color w:val="auto"/>
          <w:highlight w:val="none"/>
          <w:lang w:eastAsia="zh-CN"/>
        </w:rPr>
      </w:pPr>
      <w:r>
        <w:rPr>
          <w:color w:val="auto"/>
          <w:highlight w:val="none"/>
        </w:rPr>
        <w:t>项目矿区采矿过程中将产生废石，根据开发利用方案，本项目</w:t>
      </w:r>
      <w:r>
        <w:rPr>
          <w:rFonts w:hint="eastAsia"/>
          <w:color w:val="auto"/>
          <w:highlight w:val="none"/>
        </w:rPr>
        <w:t>设计生产能力120万吨/年，废石产生量</w:t>
      </w:r>
      <w:r>
        <w:rPr>
          <w:rFonts w:hint="eastAsia"/>
          <w:color w:val="auto"/>
          <w:highlight w:val="none"/>
          <w:lang w:val="en-US" w:eastAsia="zh-CN"/>
        </w:rPr>
        <w:t>37.5</w:t>
      </w:r>
      <w:r>
        <w:rPr>
          <w:rFonts w:hint="eastAsia"/>
          <w:color w:val="auto"/>
          <w:highlight w:val="none"/>
        </w:rPr>
        <w:t>万吨/年，</w:t>
      </w:r>
      <w:r>
        <w:rPr>
          <w:color w:val="auto"/>
          <w:highlight w:val="none"/>
        </w:rPr>
        <w:t>废石</w:t>
      </w:r>
      <w:r>
        <w:rPr>
          <w:rFonts w:hint="eastAsia"/>
          <w:color w:val="auto"/>
          <w:highlight w:val="none"/>
          <w:lang w:val="en-US" w:eastAsia="zh-CN"/>
        </w:rPr>
        <w:t>产生后运送至废石堆场妥善堆存，用于尾矿库筑坝或者铺路以及矿区复垦</w:t>
      </w:r>
      <w:r>
        <w:rPr>
          <w:rFonts w:hint="eastAsia"/>
          <w:color w:val="auto"/>
          <w:highlight w:val="none"/>
          <w:lang w:eastAsia="zh-CN"/>
        </w:rPr>
        <w:t>。</w:t>
      </w:r>
    </w:p>
    <w:p w14:paraId="40D3FFAD">
      <w:pPr>
        <w:overflowPunct w:val="0"/>
        <w:topLinePunct/>
        <w:ind w:firstLine="480"/>
        <w:rPr>
          <w:rFonts w:hint="default" w:ascii="Times New Roman" w:hAnsi="Times New Roman" w:cs="Times New Roman"/>
          <w:color w:val="auto"/>
          <w:kern w:val="0"/>
          <w:highlight w:val="none"/>
        </w:rPr>
      </w:pPr>
      <w:r>
        <w:rPr>
          <w:rFonts w:hint="eastAsia" w:cs="Times New Roman"/>
          <w:color w:val="auto"/>
          <w:kern w:val="0"/>
          <w:highlight w:val="none"/>
          <w:lang w:eastAsia="zh-CN"/>
        </w:rPr>
        <w:t>（</w:t>
      </w:r>
      <w:r>
        <w:rPr>
          <w:rFonts w:hint="eastAsia" w:cs="Times New Roman"/>
          <w:color w:val="auto"/>
          <w:kern w:val="0"/>
          <w:highlight w:val="none"/>
          <w:lang w:val="en-US" w:eastAsia="zh-CN"/>
        </w:rPr>
        <w:t>3）</w:t>
      </w:r>
      <w:r>
        <w:rPr>
          <w:rFonts w:hint="default" w:ascii="Times New Roman" w:hAnsi="Times New Roman" w:cs="Times New Roman"/>
          <w:color w:val="auto"/>
          <w:kern w:val="0"/>
          <w:highlight w:val="none"/>
        </w:rPr>
        <w:t>尾矿砂</w:t>
      </w:r>
    </w:p>
    <w:p w14:paraId="09A64838">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本项目尾矿砂产生量为</w:t>
      </w:r>
      <w:r>
        <w:rPr>
          <w:rFonts w:hint="default" w:ascii="Times New Roman" w:hAnsi="Times New Roman" w:cs="Times New Roman"/>
          <w:color w:val="auto"/>
          <w:kern w:val="0"/>
          <w:highlight w:val="none"/>
          <w:lang w:val="en-US" w:eastAsia="zh-CN"/>
        </w:rPr>
        <w:t>89.36</w:t>
      </w:r>
      <w:r>
        <w:rPr>
          <w:rFonts w:hint="default" w:ascii="Times New Roman" w:hAnsi="Times New Roman" w:cs="Times New Roman"/>
          <w:color w:val="auto"/>
          <w:kern w:val="0"/>
          <w:highlight w:val="none"/>
        </w:rPr>
        <w:t>万t/a。按照《</w:t>
      </w:r>
      <w:r>
        <w:rPr>
          <w:rFonts w:hint="default"/>
          <w:color w:val="auto"/>
          <w:highlight w:val="none"/>
        </w:rPr>
        <w:t>新疆维吾尔自治区重点行业生态环境准入条件</w:t>
      </w:r>
      <w:r>
        <w:rPr>
          <w:rFonts w:hint="eastAsia"/>
          <w:color w:val="auto"/>
          <w:highlight w:val="none"/>
          <w:lang w:eastAsia="zh-CN"/>
        </w:rPr>
        <w:t>（</w:t>
      </w:r>
      <w:r>
        <w:rPr>
          <w:rFonts w:hint="eastAsia"/>
          <w:color w:val="auto"/>
          <w:highlight w:val="none"/>
          <w:lang w:val="en-US" w:eastAsia="zh-CN"/>
        </w:rPr>
        <w:t>2024年）</w:t>
      </w:r>
      <w:r>
        <w:rPr>
          <w:rFonts w:hint="default" w:ascii="Times New Roman" w:hAnsi="Times New Roman" w:cs="Times New Roman"/>
          <w:color w:val="auto"/>
          <w:kern w:val="0"/>
          <w:highlight w:val="none"/>
        </w:rPr>
        <w:t>》的准入要求，尾矿砂的综合利用率达到20%以上。本次评价要求，企业将尾矿综合利用，其中约45</w:t>
      </w:r>
      <w:r>
        <w:rPr>
          <w:rFonts w:hint="default" w:ascii="Times New Roman" w:hAnsi="Times New Roman" w:cs="Times New Roman"/>
          <w:color w:val="auto"/>
          <w:kern w:val="0"/>
          <w:highlight w:val="none"/>
          <w:lang w:val="en-US" w:eastAsia="zh-CN"/>
        </w:rPr>
        <w:t>.36</w:t>
      </w:r>
      <w:r>
        <w:rPr>
          <w:rFonts w:hint="default" w:ascii="Times New Roman" w:hAnsi="Times New Roman" w:cs="Times New Roman"/>
          <w:color w:val="auto"/>
          <w:kern w:val="0"/>
          <w:highlight w:val="none"/>
        </w:rPr>
        <w:t>万t/a用于</w:t>
      </w:r>
      <w:r>
        <w:rPr>
          <w:rFonts w:hint="default" w:ascii="Times New Roman" w:hAnsi="Times New Roman" w:cs="Times New Roman"/>
          <w:color w:val="auto"/>
          <w:kern w:val="0"/>
          <w:highlight w:val="none"/>
          <w:lang w:eastAsia="zh-CN"/>
        </w:rPr>
        <w:t>采矿场地下充填</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eastAsia="zh-CN"/>
        </w:rPr>
        <w:t>约</w:t>
      </w:r>
      <w:r>
        <w:rPr>
          <w:rFonts w:hint="default" w:ascii="Times New Roman" w:hAnsi="Times New Roman" w:cs="Times New Roman"/>
          <w:color w:val="auto"/>
          <w:kern w:val="0"/>
          <w:highlight w:val="none"/>
          <w:lang w:val="en-US" w:eastAsia="zh-CN"/>
        </w:rPr>
        <w:t>10.7</w:t>
      </w:r>
      <w:r>
        <w:rPr>
          <w:rFonts w:hint="default" w:ascii="Times New Roman" w:hAnsi="Times New Roman" w:cs="Times New Roman"/>
          <w:color w:val="auto"/>
          <w:kern w:val="0"/>
          <w:highlight w:val="none"/>
        </w:rPr>
        <w:t>万t/a</w:t>
      </w:r>
      <w:r>
        <w:rPr>
          <w:rFonts w:hint="default" w:ascii="Times New Roman" w:hAnsi="Times New Roman" w:cs="Times New Roman"/>
          <w:color w:val="auto"/>
          <w:kern w:val="0"/>
          <w:highlight w:val="none"/>
          <w:lang w:eastAsia="zh-CN"/>
        </w:rPr>
        <w:t>用于堆积筑坝</w:t>
      </w:r>
      <w:r>
        <w:rPr>
          <w:rFonts w:hint="default" w:ascii="Times New Roman" w:hAnsi="Times New Roman" w:cs="Times New Roman"/>
          <w:color w:val="auto"/>
          <w:kern w:val="0"/>
          <w:highlight w:val="none"/>
        </w:rPr>
        <w:t>，尾矿砂综合利用率可达到</w:t>
      </w:r>
      <w:r>
        <w:rPr>
          <w:rFonts w:hint="default" w:ascii="Times New Roman" w:hAnsi="Times New Roman" w:cs="Times New Roman"/>
          <w:color w:val="auto"/>
          <w:kern w:val="0"/>
          <w:highlight w:val="none"/>
          <w:lang w:val="en-US" w:eastAsia="zh-CN"/>
        </w:rPr>
        <w:t>6</w:t>
      </w:r>
      <w:r>
        <w:rPr>
          <w:rFonts w:hint="default" w:ascii="Times New Roman" w:hAnsi="Times New Roman" w:cs="Times New Roman"/>
          <w:color w:val="auto"/>
          <w:kern w:val="0"/>
          <w:highlight w:val="none"/>
        </w:rPr>
        <w:t>0%，其余堆存至尾矿库内。本项目的尾砂利用措施合理可行，符合《一般工业固体废物贮存和填埋污染控制标准》（GB18599-2020）的要求。</w:t>
      </w:r>
    </w:p>
    <w:p w14:paraId="7416899B">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（4）</w:t>
      </w:r>
      <w:r>
        <w:rPr>
          <w:rFonts w:hint="default" w:ascii="Times New Roman" w:hAnsi="Times New Roman" w:cs="Times New Roman"/>
          <w:color w:val="auto"/>
          <w:kern w:val="0"/>
          <w:highlight w:val="none"/>
          <w:lang w:eastAsia="zh-CN"/>
        </w:rPr>
        <w:t>原辅料废</w:t>
      </w:r>
      <w:r>
        <w:rPr>
          <w:rFonts w:hint="default" w:ascii="Times New Roman" w:hAnsi="Times New Roman" w:cs="Times New Roman"/>
          <w:color w:val="auto"/>
          <w:kern w:val="0"/>
          <w:highlight w:val="none"/>
        </w:rPr>
        <w:t>包装物</w:t>
      </w:r>
    </w:p>
    <w:p w14:paraId="04561002">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本项目产生废包装</w:t>
      </w:r>
      <w:r>
        <w:rPr>
          <w:rFonts w:hint="eastAsia" w:cs="Times New Roman"/>
          <w:color w:val="auto"/>
          <w:kern w:val="0"/>
          <w:highlight w:val="none"/>
          <w:lang w:val="en-US" w:eastAsia="zh-CN"/>
        </w:rPr>
        <w:t>材料约202.32</w:t>
      </w:r>
      <w:r>
        <w:rPr>
          <w:rFonts w:hint="default" w:ascii="Times New Roman" w:hAnsi="Times New Roman" w:cs="Times New Roman"/>
          <w:color w:val="auto"/>
          <w:kern w:val="0"/>
          <w:highlight w:val="none"/>
        </w:rPr>
        <w:t>t/a，</w:t>
      </w:r>
      <w:r>
        <w:rPr>
          <w:rFonts w:hint="eastAsia"/>
          <w:color w:val="auto"/>
          <w:kern w:val="0"/>
          <w:highlight w:val="none"/>
          <w:lang w:val="en-US" w:eastAsia="zh-CN"/>
        </w:rPr>
        <w:t>属于一般固废，</w:t>
      </w:r>
      <w:r>
        <w:rPr>
          <w:rFonts w:hint="eastAsia" w:cs="Times New Roman"/>
          <w:color w:val="auto"/>
          <w:kern w:val="0"/>
          <w:highlight w:val="none"/>
          <w:lang w:val="en-US" w:eastAsia="zh-CN"/>
        </w:rPr>
        <w:t>定期</w:t>
      </w:r>
      <w:r>
        <w:rPr>
          <w:rFonts w:hint="default" w:ascii="Times New Roman" w:hAnsi="Times New Roman" w:cs="Times New Roman"/>
          <w:color w:val="auto"/>
          <w:kern w:val="0"/>
          <w:highlight w:val="none"/>
          <w:lang w:val="en-US" w:eastAsia="zh-CN"/>
        </w:rPr>
        <w:t>交由厂家回收处理</w:t>
      </w:r>
      <w:r>
        <w:rPr>
          <w:rFonts w:hint="default" w:ascii="Times New Roman" w:hAnsi="Times New Roman" w:cs="Times New Roman"/>
          <w:color w:val="auto"/>
          <w:kern w:val="0"/>
          <w:highlight w:val="none"/>
        </w:rPr>
        <w:t>。</w:t>
      </w:r>
    </w:p>
    <w:p w14:paraId="2A90F226">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（5）除尘灰</w:t>
      </w:r>
    </w:p>
    <w:p w14:paraId="730F9042">
      <w:pPr>
        <w:overflowPunct w:val="0"/>
        <w:topLinePunct/>
        <w:ind w:firstLine="480"/>
        <w:rPr>
          <w:color w:val="auto"/>
          <w:kern w:val="0"/>
          <w:highlight w:val="none"/>
        </w:rPr>
      </w:pPr>
      <w:r>
        <w:rPr>
          <w:rFonts w:hint="eastAsia"/>
          <w:color w:val="auto"/>
          <w:kern w:val="0"/>
          <w:highlight w:val="none"/>
          <w:lang w:val="en-US" w:eastAsia="zh-CN"/>
        </w:rPr>
        <w:t>项目</w:t>
      </w:r>
      <w:r>
        <w:rPr>
          <w:rFonts w:hint="eastAsia"/>
          <w:color w:val="auto"/>
          <w:kern w:val="0"/>
          <w:highlight w:val="none"/>
        </w:rPr>
        <w:t>除尘器收集的粉尘</w:t>
      </w:r>
      <w:r>
        <w:rPr>
          <w:rFonts w:hint="eastAsia" w:ascii="Times New Roman" w:hAnsi="Times New Roman" w:eastAsia="宋体" w:cs="Times New Roman"/>
          <w:color w:val="auto"/>
          <w:kern w:val="2"/>
          <w:sz w:val="24"/>
          <w:szCs w:val="24"/>
          <w:highlight w:val="none"/>
          <w:lang w:val="en-US" w:eastAsia="zh-CN" w:bidi="ar-SA"/>
        </w:rPr>
        <w:t>的量约为</w:t>
      </w:r>
      <w:r>
        <w:rPr>
          <w:rFonts w:hint="eastAsia" w:cs="Times New Roman"/>
          <w:color w:val="auto"/>
          <w:kern w:val="2"/>
          <w:sz w:val="24"/>
          <w:szCs w:val="24"/>
          <w:highlight w:val="none"/>
          <w:lang w:val="en-US" w:eastAsia="zh-CN" w:bidi="ar-SA"/>
        </w:rPr>
        <w:t>1186.8</w:t>
      </w:r>
      <w:r>
        <w:rPr>
          <w:rFonts w:hint="eastAsia"/>
          <w:color w:val="auto"/>
          <w:kern w:val="0"/>
          <w:highlight w:val="none"/>
        </w:rPr>
        <w:t>t/a</w:t>
      </w:r>
      <w:r>
        <w:rPr>
          <w:rFonts w:hint="eastAsia"/>
          <w:color w:val="auto"/>
          <w:kern w:val="0"/>
          <w:highlight w:val="none"/>
          <w:lang w:eastAsia="zh-CN"/>
        </w:rPr>
        <w:t>，</w:t>
      </w:r>
      <w:r>
        <w:rPr>
          <w:rFonts w:hint="eastAsia"/>
          <w:color w:val="auto"/>
          <w:kern w:val="0"/>
          <w:highlight w:val="none"/>
          <w:lang w:val="en-US" w:eastAsia="zh-CN"/>
        </w:rPr>
        <w:t>其主要成分为萤石矿粉</w:t>
      </w:r>
      <w:r>
        <w:rPr>
          <w:rFonts w:hint="eastAsia"/>
          <w:color w:val="auto"/>
          <w:kern w:val="0"/>
          <w:highlight w:val="none"/>
        </w:rPr>
        <w:t>，</w:t>
      </w:r>
      <w:r>
        <w:rPr>
          <w:color w:val="auto"/>
          <w:highlight w:val="none"/>
        </w:rPr>
        <w:t>通过除尘器灰斗</w:t>
      </w:r>
      <w:r>
        <w:rPr>
          <w:rFonts w:hint="eastAsia"/>
          <w:color w:val="auto"/>
          <w:highlight w:val="none"/>
        </w:rPr>
        <w:t>收集后</w:t>
      </w:r>
      <w:r>
        <w:rPr>
          <w:rFonts w:hint="eastAsia"/>
          <w:color w:val="auto"/>
          <w:kern w:val="0"/>
          <w:highlight w:val="none"/>
        </w:rPr>
        <w:t>回用于选矿生产</w:t>
      </w:r>
      <w:r>
        <w:rPr>
          <w:rFonts w:hint="eastAsia"/>
          <w:color w:val="auto"/>
          <w:highlight w:val="none"/>
        </w:rPr>
        <w:t>。</w:t>
      </w:r>
    </w:p>
    <w:p w14:paraId="405F1323">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val="en-US" w:eastAsia="zh-CN"/>
        </w:rPr>
        <w:t>6</w:t>
      </w:r>
      <w:r>
        <w:rPr>
          <w:rFonts w:hint="default" w:ascii="Times New Roman" w:hAnsi="Times New Roman" w:cs="Times New Roman"/>
          <w:color w:val="auto"/>
          <w:kern w:val="0"/>
          <w:highlight w:val="none"/>
        </w:rPr>
        <w:t>）废离子交换树脂</w:t>
      </w:r>
    </w:p>
    <w:p w14:paraId="132B7225">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highlight w:val="none"/>
        </w:rPr>
        <w:t>废离子交换树脂年产生量为0.</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t/3a，不属于危险废物，树脂更换由厂家负责，更换的旧树脂由厂家回收处理。</w:t>
      </w:r>
    </w:p>
    <w:p w14:paraId="60B627C6">
      <w:pPr>
        <w:overflowPunct w:val="0"/>
        <w:topLinePunct/>
        <w:ind w:firstLine="480"/>
        <w:rPr>
          <w:color w:val="auto"/>
          <w:kern w:val="0"/>
          <w:highlight w:val="none"/>
        </w:rPr>
      </w:pPr>
      <w:r>
        <w:rPr>
          <w:rFonts w:hint="eastAsia"/>
          <w:color w:val="auto"/>
          <w:kern w:val="0"/>
          <w:highlight w:val="none"/>
        </w:rPr>
        <w:t>（</w:t>
      </w:r>
      <w:r>
        <w:rPr>
          <w:rFonts w:hint="eastAsia"/>
          <w:color w:val="auto"/>
          <w:kern w:val="0"/>
          <w:highlight w:val="none"/>
          <w:lang w:val="en-US" w:eastAsia="zh-CN"/>
        </w:rPr>
        <w:t>7</w:t>
      </w:r>
      <w:r>
        <w:rPr>
          <w:rFonts w:hint="eastAsia"/>
          <w:color w:val="auto"/>
          <w:kern w:val="0"/>
          <w:highlight w:val="none"/>
        </w:rPr>
        <w:t>）</w:t>
      </w:r>
      <w:r>
        <w:rPr>
          <w:rFonts w:hint="eastAsia"/>
          <w:color w:val="auto"/>
          <w:kern w:val="0"/>
          <w:highlight w:val="none"/>
          <w:lang w:val="en-US" w:eastAsia="zh-CN"/>
        </w:rPr>
        <w:t>回水</w:t>
      </w:r>
      <w:r>
        <w:rPr>
          <w:rFonts w:hint="eastAsia"/>
          <w:color w:val="auto"/>
          <w:kern w:val="0"/>
          <w:highlight w:val="none"/>
        </w:rPr>
        <w:t>底泥</w:t>
      </w:r>
    </w:p>
    <w:p w14:paraId="1905221A">
      <w:pPr>
        <w:overflowPunct w:val="0"/>
        <w:topLinePunct/>
        <w:ind w:firstLine="480"/>
        <w:rPr>
          <w:color w:val="auto"/>
          <w:kern w:val="0"/>
          <w:highlight w:val="none"/>
        </w:rPr>
      </w:pPr>
      <w:r>
        <w:rPr>
          <w:rFonts w:hint="eastAsia"/>
          <w:color w:val="auto"/>
          <w:kern w:val="0"/>
          <w:highlight w:val="none"/>
          <w:lang w:val="en-US" w:eastAsia="zh-CN"/>
        </w:rPr>
        <w:t>项目回水池</w:t>
      </w:r>
      <w:r>
        <w:rPr>
          <w:rFonts w:hint="eastAsia"/>
          <w:color w:val="auto"/>
          <w:kern w:val="0"/>
          <w:highlight w:val="none"/>
        </w:rPr>
        <w:t>底泥产生量约</w:t>
      </w:r>
      <w:r>
        <w:rPr>
          <w:rFonts w:hint="eastAsia"/>
          <w:color w:val="auto"/>
          <w:kern w:val="0"/>
          <w:highlight w:val="none"/>
          <w:lang w:val="en-US" w:eastAsia="zh-CN"/>
        </w:rPr>
        <w:t>120</w:t>
      </w:r>
      <w:r>
        <w:rPr>
          <w:rFonts w:hint="eastAsia"/>
          <w:color w:val="auto"/>
          <w:kern w:val="0"/>
          <w:highlight w:val="none"/>
        </w:rPr>
        <w:t>t/a</w:t>
      </w:r>
      <w:r>
        <w:rPr>
          <w:rFonts w:hint="eastAsia"/>
          <w:color w:val="auto"/>
          <w:kern w:val="0"/>
          <w:highlight w:val="none"/>
          <w:lang w:eastAsia="zh-CN"/>
        </w:rPr>
        <w:t>，</w:t>
      </w:r>
      <w:r>
        <w:rPr>
          <w:rFonts w:hint="eastAsia"/>
          <w:color w:val="auto"/>
          <w:kern w:val="0"/>
          <w:highlight w:val="none"/>
        </w:rPr>
        <w:t>循环水池定期清理，返回生产工序回用于选矿。</w:t>
      </w:r>
    </w:p>
    <w:p w14:paraId="5BE5182E">
      <w:pPr>
        <w:overflowPunct w:val="0"/>
        <w:topLinePunct/>
        <w:ind w:firstLine="480"/>
        <w:rPr>
          <w:rFonts w:hint="eastAsia"/>
          <w:color w:val="auto"/>
          <w:kern w:val="0"/>
          <w:highlight w:val="none"/>
          <w:lang w:val="en-US" w:eastAsia="zh-CN"/>
        </w:rPr>
      </w:pPr>
      <w:r>
        <w:rPr>
          <w:rFonts w:hint="eastAsia"/>
          <w:color w:val="auto"/>
          <w:kern w:val="0"/>
          <w:highlight w:val="none"/>
          <w:lang w:eastAsia="zh-CN"/>
        </w:rPr>
        <w:t>（</w:t>
      </w:r>
      <w:r>
        <w:rPr>
          <w:rFonts w:hint="eastAsia"/>
          <w:color w:val="auto"/>
          <w:kern w:val="0"/>
          <w:highlight w:val="none"/>
          <w:lang w:val="en-US" w:eastAsia="zh-CN"/>
        </w:rPr>
        <w:t>8）水处理底泥</w:t>
      </w:r>
    </w:p>
    <w:p w14:paraId="1C167F69">
      <w:pPr>
        <w:overflowPunct w:val="0"/>
        <w:topLinePunct/>
        <w:ind w:firstLine="480"/>
        <w:rPr>
          <w:rFonts w:hint="default"/>
          <w:color w:val="auto"/>
          <w:kern w:val="0"/>
          <w:highlight w:val="none"/>
          <w:lang w:val="en-US" w:eastAsia="zh-CN"/>
        </w:rPr>
      </w:pPr>
      <w:r>
        <w:rPr>
          <w:rFonts w:hint="eastAsia"/>
          <w:color w:val="auto"/>
          <w:kern w:val="0"/>
          <w:highlight w:val="none"/>
          <w:lang w:val="en-US" w:eastAsia="zh-CN"/>
        </w:rPr>
        <w:t>项目坑内水、水源地生产水处理产生的底泥，主要成分为泥沙，产生量约为155t/a，</w:t>
      </w:r>
      <w:r>
        <w:rPr>
          <w:rFonts w:hint="eastAsia"/>
          <w:color w:val="auto"/>
          <w:highlight w:val="none"/>
        </w:rPr>
        <w:t>定期拉运至</w:t>
      </w:r>
      <w:r>
        <w:rPr>
          <w:rFonts w:hint="eastAsia"/>
          <w:color w:val="auto"/>
          <w:highlight w:val="none"/>
          <w:lang w:eastAsia="zh-CN"/>
        </w:rPr>
        <w:t>若羌</w:t>
      </w:r>
      <w:r>
        <w:rPr>
          <w:rFonts w:hint="eastAsia"/>
          <w:color w:val="auto"/>
          <w:highlight w:val="none"/>
        </w:rPr>
        <w:t>县一般工业固体废物填埋场进行处置</w:t>
      </w:r>
      <w:r>
        <w:rPr>
          <w:rFonts w:hint="eastAsia"/>
          <w:color w:val="auto"/>
          <w:kern w:val="0"/>
          <w:highlight w:val="none"/>
          <w:lang w:val="en-US" w:eastAsia="zh-CN"/>
        </w:rPr>
        <w:t>。</w:t>
      </w:r>
    </w:p>
    <w:p w14:paraId="083E96A9">
      <w:pPr>
        <w:overflowPunct w:val="0"/>
        <w:topLinePunct/>
        <w:ind w:firstLine="480"/>
        <w:rPr>
          <w:rFonts w:hint="default" w:eastAsia="宋体"/>
          <w:color w:val="auto"/>
          <w:kern w:val="0"/>
          <w:highlight w:val="none"/>
          <w:lang w:val="en-US" w:eastAsia="zh-CN"/>
        </w:rPr>
      </w:pPr>
      <w:r>
        <w:rPr>
          <w:rFonts w:hint="eastAsia"/>
          <w:color w:val="auto"/>
          <w:kern w:val="0"/>
          <w:highlight w:val="none"/>
          <w:lang w:val="en-US" w:eastAsia="zh-CN"/>
        </w:rPr>
        <w:t>（9</w:t>
      </w:r>
      <w:r>
        <w:rPr>
          <w:rFonts w:hint="eastAsia"/>
          <w:color w:val="auto"/>
          <w:kern w:val="0"/>
          <w:highlight w:val="none"/>
        </w:rPr>
        <w:t>）</w:t>
      </w:r>
      <w:r>
        <w:rPr>
          <w:rFonts w:hint="eastAsia"/>
          <w:color w:val="auto"/>
          <w:kern w:val="0"/>
          <w:highlight w:val="none"/>
          <w:lang w:val="en-US" w:eastAsia="zh-CN"/>
        </w:rPr>
        <w:t>废活性炭</w:t>
      </w:r>
    </w:p>
    <w:p w14:paraId="1D779040">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生活用水净化</w:t>
      </w:r>
      <w:r>
        <w:rPr>
          <w:rFonts w:hint="default"/>
          <w:color w:val="auto"/>
          <w:highlight w:val="none"/>
          <w:lang w:val="en-US" w:eastAsia="zh-CN"/>
        </w:rPr>
        <w:t>采用活性炭过滤，</w:t>
      </w:r>
      <w:r>
        <w:rPr>
          <w:rFonts w:hint="eastAsia"/>
          <w:color w:val="auto"/>
          <w:highlight w:val="none"/>
          <w:lang w:val="en-US" w:eastAsia="zh-CN"/>
        </w:rPr>
        <w:t>定期更换</w:t>
      </w:r>
      <w:r>
        <w:rPr>
          <w:rFonts w:hint="default"/>
          <w:color w:val="auto"/>
          <w:highlight w:val="none"/>
          <w:lang w:val="en-US" w:eastAsia="zh-CN"/>
        </w:rPr>
        <w:t>，废活性炭产生量为0.</w:t>
      </w:r>
      <w:r>
        <w:rPr>
          <w:rFonts w:hint="eastAsia"/>
          <w:color w:val="auto"/>
          <w:highlight w:val="none"/>
          <w:lang w:val="en-US" w:eastAsia="zh-CN"/>
        </w:rPr>
        <w:t>2</w:t>
      </w:r>
      <w:r>
        <w:rPr>
          <w:rFonts w:hint="default"/>
          <w:color w:val="auto"/>
          <w:highlight w:val="none"/>
          <w:lang w:val="en-US" w:eastAsia="zh-CN"/>
        </w:rPr>
        <w:t>t/a</w:t>
      </w:r>
      <w:r>
        <w:rPr>
          <w:rFonts w:hint="eastAsia"/>
          <w:color w:val="auto"/>
          <w:highlight w:val="none"/>
          <w:lang w:val="en-US" w:eastAsia="zh-CN"/>
        </w:rPr>
        <w:t>，外售处置利用。</w:t>
      </w:r>
    </w:p>
    <w:p w14:paraId="326FE895">
      <w:pPr>
        <w:overflowPunct w:val="0"/>
        <w:topLinePunct/>
        <w:ind w:firstLine="480"/>
        <w:rPr>
          <w:rFonts w:hint="eastAsia"/>
          <w:color w:val="auto"/>
          <w:kern w:val="0"/>
          <w:highlight w:val="none"/>
          <w:lang w:val="en-US" w:eastAsia="zh-CN"/>
        </w:rPr>
      </w:pPr>
      <w:r>
        <w:rPr>
          <w:rFonts w:hint="eastAsia"/>
          <w:color w:val="auto"/>
          <w:kern w:val="0"/>
          <w:highlight w:val="none"/>
          <w:lang w:eastAsia="zh-CN"/>
        </w:rPr>
        <w:t>（</w:t>
      </w:r>
      <w:r>
        <w:rPr>
          <w:rFonts w:hint="eastAsia"/>
          <w:color w:val="auto"/>
          <w:kern w:val="0"/>
          <w:highlight w:val="none"/>
          <w:lang w:val="en-US" w:eastAsia="zh-CN"/>
        </w:rPr>
        <w:t>10）废石英砂</w:t>
      </w:r>
    </w:p>
    <w:p w14:paraId="1E0C2096">
      <w:pPr>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生活用水净化</w:t>
      </w:r>
      <w:r>
        <w:rPr>
          <w:rFonts w:hint="default"/>
          <w:color w:val="auto"/>
          <w:highlight w:val="none"/>
          <w:lang w:val="en-US" w:eastAsia="zh-CN"/>
        </w:rPr>
        <w:t>采用石英砂过滤，</w:t>
      </w:r>
      <w:r>
        <w:rPr>
          <w:rFonts w:hint="eastAsia"/>
          <w:color w:val="auto"/>
          <w:highlight w:val="none"/>
          <w:lang w:val="en-US" w:eastAsia="zh-CN"/>
        </w:rPr>
        <w:t>定期更换</w:t>
      </w:r>
      <w:r>
        <w:rPr>
          <w:rFonts w:hint="default"/>
          <w:color w:val="auto"/>
          <w:highlight w:val="none"/>
          <w:lang w:val="en-US" w:eastAsia="zh-CN"/>
        </w:rPr>
        <w:t>，废石英砂产生量约为</w:t>
      </w:r>
      <w:r>
        <w:rPr>
          <w:rFonts w:hint="eastAsia"/>
          <w:color w:val="auto"/>
          <w:highlight w:val="none"/>
          <w:lang w:val="en-US" w:eastAsia="zh-CN"/>
        </w:rPr>
        <w:t>0.</w:t>
      </w:r>
      <w:r>
        <w:rPr>
          <w:rFonts w:hint="default"/>
          <w:color w:val="auto"/>
          <w:highlight w:val="none"/>
          <w:lang w:val="en-US" w:eastAsia="zh-CN"/>
        </w:rPr>
        <w:t>5t/a</w:t>
      </w:r>
      <w:r>
        <w:rPr>
          <w:rFonts w:hint="eastAsia"/>
          <w:color w:val="auto"/>
          <w:highlight w:val="none"/>
          <w:lang w:val="en-US" w:eastAsia="zh-CN"/>
        </w:rPr>
        <w:t>，</w:t>
      </w:r>
      <w:r>
        <w:rPr>
          <w:rFonts w:hint="default"/>
          <w:color w:val="auto"/>
          <w:highlight w:val="none"/>
          <w:lang w:val="en-US" w:eastAsia="zh-CN"/>
        </w:rPr>
        <w:t>外售处置利用。</w:t>
      </w:r>
    </w:p>
    <w:p w14:paraId="0836AFC4">
      <w:pPr>
        <w:overflowPunct w:val="0"/>
        <w:topLinePunct/>
        <w:spacing w:line="480" w:lineRule="exact"/>
        <w:ind w:firstLine="480"/>
        <w:rPr>
          <w:rFonts w:hint="default" w:ascii="Times New Roman" w:hAnsi="Times New Roman" w:cs="Times New Roman"/>
          <w:bCs/>
          <w:color w:val="auto"/>
          <w:szCs w:val="24"/>
          <w:highlight w:val="none"/>
        </w:rPr>
      </w:pPr>
      <w:r>
        <w:rPr>
          <w:rFonts w:hint="default" w:ascii="Times New Roman" w:hAnsi="Times New Roman" w:cs="Times New Roman"/>
          <w:bCs/>
          <w:color w:val="auto"/>
          <w:szCs w:val="24"/>
          <w:highlight w:val="none"/>
        </w:rPr>
        <w:t>（</w:t>
      </w:r>
      <w:r>
        <w:rPr>
          <w:rFonts w:hint="eastAsia" w:cs="Times New Roman"/>
          <w:bCs/>
          <w:color w:val="auto"/>
          <w:szCs w:val="24"/>
          <w:highlight w:val="none"/>
          <w:lang w:val="en-US" w:eastAsia="zh-CN"/>
        </w:rPr>
        <w:t>11</w:t>
      </w:r>
      <w:r>
        <w:rPr>
          <w:rFonts w:hint="default" w:ascii="Times New Roman" w:hAnsi="Times New Roman" w:cs="Times New Roman"/>
          <w:bCs/>
          <w:color w:val="auto"/>
          <w:szCs w:val="24"/>
          <w:highlight w:val="none"/>
        </w:rPr>
        <w:t>）</w:t>
      </w:r>
      <w:r>
        <w:rPr>
          <w:rFonts w:hint="default" w:ascii="Times New Roman" w:hAnsi="Times New Roman" w:cs="Times New Roman"/>
          <w:color w:val="auto"/>
          <w:kern w:val="0"/>
          <w:highlight w:val="none"/>
        </w:rPr>
        <w:t>废布袋</w:t>
      </w:r>
    </w:p>
    <w:p w14:paraId="1A898061">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本项目</w:t>
      </w:r>
      <w:r>
        <w:rPr>
          <w:rFonts w:hint="default" w:ascii="Times New Roman" w:hAnsi="Times New Roman" w:cs="Times New Roman"/>
          <w:color w:val="auto"/>
          <w:highlight w:val="none"/>
        </w:rPr>
        <w:t>运营期</w:t>
      </w:r>
      <w:r>
        <w:rPr>
          <w:rFonts w:hint="default" w:ascii="Times New Roman" w:hAnsi="Times New Roman" w:cs="Times New Roman"/>
          <w:color w:val="auto"/>
          <w:kern w:val="0"/>
          <w:highlight w:val="none"/>
        </w:rPr>
        <w:t>布袋除尘器更换下的废布袋产生量约为0.5t/a，该部分固废属于一般固体废物，集中收集后定期拉运至</w:t>
      </w:r>
      <w:r>
        <w:rPr>
          <w:rFonts w:hint="default" w:ascii="Times New Roman" w:hAnsi="Times New Roman" w:cs="Times New Roman"/>
          <w:color w:val="auto"/>
          <w:kern w:val="0"/>
          <w:highlight w:val="none"/>
          <w:lang w:eastAsia="zh-CN"/>
        </w:rPr>
        <w:t>若羌</w:t>
      </w:r>
      <w:r>
        <w:rPr>
          <w:rFonts w:hint="default" w:ascii="Times New Roman" w:hAnsi="Times New Roman" w:cs="Times New Roman"/>
          <w:color w:val="auto"/>
          <w:kern w:val="0"/>
          <w:highlight w:val="none"/>
        </w:rPr>
        <w:t>县一般工业固体废物填埋场进行处置。</w:t>
      </w:r>
    </w:p>
    <w:p w14:paraId="60C44F64">
      <w:pPr>
        <w:overflowPunct w:val="0"/>
        <w:topLinePun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w:t>
      </w:r>
      <w:r>
        <w:rPr>
          <w:rFonts w:hint="eastAsia" w:cs="Times New Roman"/>
          <w:color w:val="auto"/>
          <w:kern w:val="0"/>
          <w:highlight w:val="none"/>
          <w:lang w:val="en-US" w:eastAsia="zh-CN"/>
        </w:rPr>
        <w:t>12</w:t>
      </w:r>
      <w:r>
        <w:rPr>
          <w:rFonts w:hint="default" w:ascii="Times New Roman" w:hAnsi="Times New Roman" w:cs="Times New Roman"/>
          <w:color w:val="auto"/>
          <w:kern w:val="0"/>
          <w:highlight w:val="none"/>
        </w:rPr>
        <w:t>）化验废液</w:t>
      </w:r>
    </w:p>
    <w:p w14:paraId="09BB10B5">
      <w:pPr>
        <w:spacing w:line="480" w:lineRule="exact"/>
        <w:ind w:firstLine="480" w:firstLineChars="200"/>
        <w:textAlignment w:val="baseline"/>
        <w:rPr>
          <w:rFonts w:hint="eastAsia"/>
          <w:bCs/>
          <w:color w:val="auto"/>
          <w:sz w:val="24"/>
          <w:highlight w:val="none"/>
        </w:rPr>
      </w:pPr>
      <w:r>
        <w:rPr>
          <w:rFonts w:hint="eastAsia" w:ascii="Times New Roman" w:hAnsi="Times New Roman" w:eastAsia="宋体" w:cs="Times New Roman"/>
          <w:b w:val="0"/>
          <w:bCs w:val="0"/>
          <w:color w:val="auto"/>
          <w:kern w:val="0"/>
          <w:sz w:val="24"/>
          <w:szCs w:val="24"/>
          <w:highlight w:val="none"/>
          <w:lang w:val="en-US" w:eastAsia="zh-CN" w:bidi="ar-SA"/>
        </w:rPr>
        <w:t>本项目危险废物为实验室化验废物，包括</w:t>
      </w:r>
      <w:r>
        <w:rPr>
          <w:rFonts w:hint="eastAsia"/>
          <w:color w:val="auto"/>
          <w:sz w:val="24"/>
          <w:highlight w:val="none"/>
          <w:lang w:eastAsia="zh-CN"/>
        </w:rPr>
        <w:t>项目化验室</w:t>
      </w:r>
      <w:r>
        <w:rPr>
          <w:rFonts w:hint="eastAsia"/>
          <w:color w:val="auto"/>
          <w:sz w:val="24"/>
          <w:highlight w:val="none"/>
        </w:rPr>
        <w:t>第一次清洗废水</w:t>
      </w:r>
      <w:r>
        <w:rPr>
          <w:rFonts w:hint="eastAsia"/>
          <w:color w:val="auto"/>
          <w:sz w:val="24"/>
          <w:highlight w:val="none"/>
          <w:lang w:eastAsia="zh-CN"/>
        </w:rPr>
        <w:t>（</w:t>
      </w:r>
      <w:r>
        <w:rPr>
          <w:rFonts w:hint="eastAsia"/>
          <w:color w:val="auto"/>
          <w:sz w:val="24"/>
          <w:highlight w:val="none"/>
          <w:lang w:val="en-US" w:eastAsia="zh-CN"/>
        </w:rPr>
        <w:t>2t/a）</w:t>
      </w:r>
      <w:r>
        <w:rPr>
          <w:rFonts w:hint="eastAsia"/>
          <w:color w:val="auto"/>
          <w:sz w:val="24"/>
          <w:highlight w:val="none"/>
        </w:rPr>
        <w:t>、</w:t>
      </w:r>
      <w:r>
        <w:rPr>
          <w:rFonts w:hint="eastAsia"/>
          <w:color w:val="auto"/>
          <w:sz w:val="24"/>
          <w:highlight w:val="none"/>
          <w:lang w:eastAsia="zh-CN"/>
        </w:rPr>
        <w:t>化验</w:t>
      </w:r>
      <w:r>
        <w:rPr>
          <w:color w:val="auto"/>
          <w:sz w:val="24"/>
          <w:highlight w:val="none"/>
        </w:rPr>
        <w:t>废液</w:t>
      </w:r>
      <w:r>
        <w:rPr>
          <w:rFonts w:hint="eastAsia"/>
          <w:color w:val="auto"/>
          <w:sz w:val="24"/>
          <w:highlight w:val="none"/>
          <w:lang w:eastAsia="zh-CN"/>
        </w:rPr>
        <w:t>（</w:t>
      </w:r>
      <w:r>
        <w:rPr>
          <w:rFonts w:hint="eastAsia"/>
          <w:color w:val="auto"/>
          <w:sz w:val="24"/>
          <w:highlight w:val="none"/>
          <w:lang w:val="en-US" w:eastAsia="zh-CN"/>
        </w:rPr>
        <w:t>1t/a）</w:t>
      </w:r>
      <w:r>
        <w:rPr>
          <w:color w:val="auto"/>
          <w:sz w:val="24"/>
          <w:highlight w:val="none"/>
        </w:rPr>
        <w:t>，含重金属或有毒有害化学试剂的废试纸、废滤膜、废容器、危险化学品废弃包装物</w:t>
      </w:r>
      <w:r>
        <w:rPr>
          <w:rFonts w:hint="eastAsia"/>
          <w:color w:val="auto"/>
          <w:sz w:val="24"/>
          <w:highlight w:val="none"/>
          <w:lang w:eastAsia="zh-CN"/>
        </w:rPr>
        <w:t>（</w:t>
      </w:r>
      <w:r>
        <w:rPr>
          <w:rFonts w:hint="eastAsia"/>
          <w:color w:val="auto"/>
          <w:sz w:val="24"/>
          <w:highlight w:val="none"/>
          <w:lang w:val="en-US" w:eastAsia="zh-CN"/>
        </w:rPr>
        <w:t>0.1t/a）</w:t>
      </w:r>
      <w:r>
        <w:rPr>
          <w:color w:val="auto"/>
          <w:sz w:val="24"/>
          <w:highlight w:val="none"/>
        </w:rPr>
        <w:t>，废弃化学试剂和废弃药品</w:t>
      </w:r>
      <w:r>
        <w:rPr>
          <w:rFonts w:hint="eastAsia"/>
          <w:color w:val="auto"/>
          <w:sz w:val="24"/>
          <w:highlight w:val="none"/>
          <w:lang w:eastAsia="zh-CN"/>
        </w:rPr>
        <w:t>（</w:t>
      </w:r>
      <w:r>
        <w:rPr>
          <w:rFonts w:hint="eastAsia"/>
          <w:color w:val="auto"/>
          <w:sz w:val="24"/>
          <w:highlight w:val="none"/>
          <w:lang w:val="en-US" w:eastAsia="zh-CN"/>
        </w:rPr>
        <w:t>0.05t/a）</w:t>
      </w:r>
      <w:r>
        <w:rPr>
          <w:color w:val="auto"/>
          <w:sz w:val="24"/>
          <w:highlight w:val="none"/>
        </w:rPr>
        <w:t>等</w:t>
      </w:r>
      <w:r>
        <w:rPr>
          <w:rFonts w:hint="eastAsia"/>
          <w:color w:val="auto"/>
          <w:sz w:val="24"/>
          <w:highlight w:val="none"/>
          <w:lang w:eastAsia="zh-CN"/>
        </w:rPr>
        <w:t>，均属于危险废物，暂存在危废贮存</w:t>
      </w:r>
      <w:r>
        <w:rPr>
          <w:rFonts w:hint="eastAsia"/>
          <w:color w:val="auto"/>
          <w:sz w:val="24"/>
          <w:highlight w:val="none"/>
          <w:lang w:val="en-US" w:eastAsia="zh-CN"/>
        </w:rPr>
        <w:t>库</w:t>
      </w:r>
      <w:r>
        <w:rPr>
          <w:rFonts w:hint="eastAsia"/>
          <w:color w:val="auto"/>
          <w:sz w:val="24"/>
          <w:highlight w:val="none"/>
          <w:lang w:eastAsia="zh-CN"/>
        </w:rPr>
        <w:t>内，定期</w:t>
      </w:r>
      <w:r>
        <w:rPr>
          <w:rFonts w:hint="eastAsia"/>
          <w:bCs/>
          <w:color w:val="auto"/>
          <w:sz w:val="24"/>
          <w:highlight w:val="none"/>
        </w:rPr>
        <w:t>委托有资质的单位处置。</w:t>
      </w:r>
    </w:p>
    <w:p w14:paraId="434F37A2">
      <w:pPr>
        <w:overflowPunct w:val="0"/>
        <w:topLinePunct/>
        <w:spacing w:line="480" w:lineRule="exact"/>
        <w:ind w:firstLine="480"/>
        <w:rPr>
          <w:rFonts w:hint="default" w:ascii="Times New Roman" w:hAnsi="Times New Roman" w:cs="Times New Roman"/>
          <w:bCs/>
          <w:color w:val="auto"/>
          <w:szCs w:val="24"/>
          <w:highlight w:val="none"/>
        </w:rPr>
      </w:pPr>
      <w:r>
        <w:rPr>
          <w:rFonts w:hint="eastAsia"/>
          <w:bCs/>
          <w:color w:val="auto"/>
          <w:sz w:val="24"/>
          <w:highlight w:val="none"/>
          <w:lang w:eastAsia="zh-CN"/>
        </w:rPr>
        <w:t>（</w:t>
      </w:r>
      <w:r>
        <w:rPr>
          <w:rFonts w:hint="eastAsia"/>
          <w:bCs/>
          <w:color w:val="auto"/>
          <w:sz w:val="24"/>
          <w:highlight w:val="none"/>
          <w:lang w:val="en-US" w:eastAsia="zh-CN"/>
        </w:rPr>
        <w:t>13）</w:t>
      </w:r>
      <w:r>
        <w:rPr>
          <w:rFonts w:hint="default" w:ascii="Times New Roman" w:hAnsi="Times New Roman" w:cs="Times New Roman"/>
          <w:color w:val="auto"/>
          <w:kern w:val="0"/>
          <w:highlight w:val="none"/>
        </w:rPr>
        <w:t>废机油及废油桶</w:t>
      </w:r>
    </w:p>
    <w:p w14:paraId="7DDF7B20">
      <w:pPr>
        <w:overflowPunct w:val="0"/>
        <w:topLinePunct/>
        <w:spacing w:line="480" w:lineRule="exact"/>
        <w:ind w:firstLine="480"/>
        <w:rPr>
          <w:rFonts w:hint="eastAsia" w:cs="Times New Roman"/>
          <w:color w:val="auto"/>
          <w:highlight w:val="none"/>
          <w:lang w:eastAsia="zh-CN"/>
        </w:rPr>
      </w:pPr>
      <w:r>
        <w:rPr>
          <w:rFonts w:hint="eastAsia"/>
          <w:color w:val="auto"/>
          <w:kern w:val="0"/>
          <w:highlight w:val="none"/>
        </w:rPr>
        <w:t>项目运营过程中会产生少量废机油（</w:t>
      </w:r>
      <w:r>
        <w:rPr>
          <w:color w:val="auto"/>
          <w:kern w:val="0"/>
          <w:highlight w:val="none"/>
        </w:rPr>
        <w:t>HW08</w:t>
      </w:r>
      <w:r>
        <w:rPr>
          <w:rFonts w:hint="eastAsia"/>
          <w:color w:val="auto"/>
          <w:kern w:val="0"/>
          <w:highlight w:val="none"/>
          <w:lang w:val="en-US" w:eastAsia="zh-CN"/>
        </w:rPr>
        <w:t xml:space="preserve"> </w:t>
      </w:r>
      <w:r>
        <w:rPr>
          <w:color w:val="auto"/>
          <w:kern w:val="0"/>
          <w:highlight w:val="none"/>
        </w:rPr>
        <w:t>900-2</w:t>
      </w:r>
      <w:r>
        <w:rPr>
          <w:rFonts w:hint="eastAsia"/>
          <w:color w:val="auto"/>
          <w:kern w:val="0"/>
          <w:highlight w:val="none"/>
        </w:rPr>
        <w:t>1</w:t>
      </w:r>
      <w:r>
        <w:rPr>
          <w:color w:val="auto"/>
          <w:kern w:val="0"/>
          <w:highlight w:val="none"/>
        </w:rPr>
        <w:t>7-08</w:t>
      </w:r>
      <w:r>
        <w:rPr>
          <w:rFonts w:hint="eastAsia"/>
          <w:color w:val="auto"/>
          <w:kern w:val="0"/>
          <w:highlight w:val="none"/>
        </w:rPr>
        <w:t>）及废油桶</w:t>
      </w:r>
      <w:r>
        <w:rPr>
          <w:rFonts w:hint="eastAsia"/>
          <w:color w:val="auto"/>
          <w:kern w:val="0"/>
          <w:highlight w:val="none"/>
          <w:lang w:eastAsia="zh-CN"/>
        </w:rPr>
        <w:t>（</w:t>
      </w:r>
      <w:r>
        <w:rPr>
          <w:color w:val="auto"/>
          <w:kern w:val="0"/>
          <w:highlight w:val="none"/>
        </w:rPr>
        <w:t>HW08</w:t>
      </w:r>
      <w:r>
        <w:rPr>
          <w:rFonts w:hint="eastAsia"/>
          <w:color w:val="auto"/>
          <w:kern w:val="0"/>
          <w:highlight w:val="none"/>
          <w:lang w:val="en-US" w:eastAsia="zh-CN"/>
        </w:rPr>
        <w:t xml:space="preserve"> </w:t>
      </w:r>
      <w:r>
        <w:rPr>
          <w:color w:val="auto"/>
          <w:highlight w:val="none"/>
        </w:rPr>
        <w:t>900-2</w:t>
      </w:r>
      <w:r>
        <w:rPr>
          <w:rFonts w:hint="eastAsia"/>
          <w:color w:val="auto"/>
          <w:highlight w:val="none"/>
          <w:lang w:val="en-US" w:eastAsia="zh-CN"/>
        </w:rPr>
        <w:t>49</w:t>
      </w:r>
      <w:r>
        <w:rPr>
          <w:color w:val="auto"/>
          <w:highlight w:val="none"/>
        </w:rPr>
        <w:t>-08</w:t>
      </w:r>
      <w:r>
        <w:rPr>
          <w:rFonts w:hint="eastAsia"/>
          <w:color w:val="auto"/>
          <w:highlight w:val="none"/>
          <w:lang w:eastAsia="zh-CN"/>
        </w:rPr>
        <w:t>）</w:t>
      </w:r>
      <w:r>
        <w:rPr>
          <w:rFonts w:hint="eastAsia"/>
          <w:color w:val="auto"/>
          <w:kern w:val="0"/>
          <w:highlight w:val="none"/>
        </w:rPr>
        <w:t>，</w:t>
      </w:r>
      <w:r>
        <w:rPr>
          <w:rFonts w:hint="eastAsia"/>
          <w:color w:val="auto"/>
          <w:kern w:val="0"/>
          <w:highlight w:val="none"/>
          <w:lang w:val="en-US" w:eastAsia="zh-CN"/>
        </w:rPr>
        <w:t>均</w:t>
      </w:r>
      <w:r>
        <w:rPr>
          <w:rFonts w:hint="eastAsia"/>
          <w:color w:val="auto"/>
          <w:kern w:val="0"/>
          <w:highlight w:val="none"/>
        </w:rPr>
        <w:t>属于危险废物，主要来源于工程机械和大型设备润滑、维护、检修。</w:t>
      </w:r>
      <w:r>
        <w:rPr>
          <w:color w:val="auto"/>
          <w:highlight w:val="none"/>
        </w:rPr>
        <w:t>废油桶产生量</w:t>
      </w:r>
      <w:r>
        <w:rPr>
          <w:rFonts w:hint="eastAsia"/>
          <w:color w:val="auto"/>
          <w:highlight w:val="none"/>
          <w:lang w:val="en-US" w:eastAsia="zh-CN"/>
        </w:rPr>
        <w:t>约</w:t>
      </w:r>
      <w:r>
        <w:rPr>
          <w:color w:val="auto"/>
          <w:highlight w:val="none"/>
        </w:rPr>
        <w:t>为</w:t>
      </w:r>
      <w:r>
        <w:rPr>
          <w:rFonts w:hint="eastAsia"/>
          <w:color w:val="auto"/>
          <w:highlight w:val="none"/>
          <w:lang w:val="en-US" w:eastAsia="zh-CN"/>
        </w:rPr>
        <w:t>120个</w:t>
      </w:r>
      <w:r>
        <w:rPr>
          <w:color w:val="auto"/>
          <w:highlight w:val="none"/>
        </w:rPr>
        <w:t>/年</w:t>
      </w:r>
      <w:r>
        <w:rPr>
          <w:rFonts w:hint="eastAsia"/>
          <w:color w:val="auto"/>
          <w:highlight w:val="none"/>
        </w:rPr>
        <w:t>（约</w:t>
      </w:r>
      <w:r>
        <w:rPr>
          <w:rFonts w:hint="eastAsia"/>
          <w:color w:val="auto"/>
          <w:highlight w:val="none"/>
          <w:lang w:val="en-US" w:eastAsia="zh-CN"/>
        </w:rPr>
        <w:t>2.4</w:t>
      </w:r>
      <w:r>
        <w:rPr>
          <w:rFonts w:hint="eastAsia"/>
          <w:color w:val="auto"/>
          <w:highlight w:val="none"/>
        </w:rPr>
        <w:t>t/a）</w:t>
      </w:r>
      <w:r>
        <w:rPr>
          <w:color w:val="auto"/>
          <w:highlight w:val="none"/>
        </w:rPr>
        <w:t>，</w:t>
      </w:r>
      <w:r>
        <w:rPr>
          <w:rFonts w:hint="eastAsia"/>
          <w:color w:val="auto"/>
          <w:kern w:val="0"/>
          <w:highlight w:val="none"/>
        </w:rPr>
        <w:t>废机油产生量约2</w:t>
      </w:r>
      <w:r>
        <w:rPr>
          <w:color w:val="auto"/>
          <w:kern w:val="0"/>
          <w:highlight w:val="none"/>
        </w:rPr>
        <w:t>t/a</w:t>
      </w:r>
      <w:r>
        <w:rPr>
          <w:rFonts w:hint="eastAsia"/>
          <w:color w:val="auto"/>
          <w:kern w:val="0"/>
          <w:highlight w:val="none"/>
        </w:rPr>
        <w:t>。</w:t>
      </w:r>
      <w:r>
        <w:rPr>
          <w:rFonts w:hint="eastAsia" w:ascii="Times New Roman" w:hAnsi="Times New Roman" w:cs="Times New Roman"/>
          <w:color w:val="auto"/>
          <w:highlight w:val="none"/>
        </w:rPr>
        <w:t>暂存于</w:t>
      </w:r>
      <w:r>
        <w:rPr>
          <w:rFonts w:hint="eastAsia" w:cs="Times New Roman"/>
          <w:color w:val="auto"/>
          <w:highlight w:val="none"/>
          <w:lang w:eastAsia="zh-CN"/>
        </w:rPr>
        <w:t>危废贮存库</w:t>
      </w:r>
      <w:r>
        <w:rPr>
          <w:rFonts w:hint="eastAsia" w:ascii="Times New Roman" w:hAnsi="Times New Roman" w:cs="Times New Roman"/>
          <w:color w:val="auto"/>
          <w:highlight w:val="none"/>
        </w:rPr>
        <w:t>，</w:t>
      </w:r>
      <w:r>
        <w:rPr>
          <w:rFonts w:hint="eastAsia" w:cs="Times New Roman"/>
          <w:color w:val="auto"/>
          <w:highlight w:val="none"/>
          <w:lang w:val="en-US" w:eastAsia="zh-CN"/>
        </w:rPr>
        <w:t>定期</w:t>
      </w:r>
      <w:r>
        <w:rPr>
          <w:rFonts w:hint="eastAsia" w:ascii="Times New Roman" w:hAnsi="Times New Roman" w:cs="Times New Roman"/>
          <w:color w:val="auto"/>
          <w:highlight w:val="none"/>
        </w:rPr>
        <w:t>委托有资质单位处置</w:t>
      </w:r>
      <w:r>
        <w:rPr>
          <w:rFonts w:hint="eastAsia" w:cs="Times New Roman"/>
          <w:color w:val="auto"/>
          <w:highlight w:val="none"/>
          <w:lang w:eastAsia="zh-CN"/>
        </w:rPr>
        <w:t>。</w:t>
      </w:r>
    </w:p>
    <w:p w14:paraId="143EF425">
      <w:pPr>
        <w:bidi w:val="0"/>
        <w:rPr>
          <w:rFonts w:hint="default"/>
          <w:color w:val="auto"/>
          <w:highlight w:val="none"/>
        </w:rPr>
      </w:pPr>
      <w:r>
        <w:rPr>
          <w:rFonts w:hint="default"/>
          <w:color w:val="auto"/>
          <w:highlight w:val="none"/>
        </w:rPr>
        <w:t>综上，本项目各项固体废物均得到妥善处置，在满足以上要求的前提下，本项目各项固体废物对项目区及周边环境影响较小。</w:t>
      </w:r>
    </w:p>
    <w:p w14:paraId="67A96CC7">
      <w:pPr>
        <w:pStyle w:val="7"/>
        <w:ind w:firstLine="482"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6.2.5.2危险废物相关要求</w:t>
      </w:r>
    </w:p>
    <w:p w14:paraId="2EF6C5A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（1）暂存要求</w:t>
      </w:r>
    </w:p>
    <w:p w14:paraId="48D5422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根据《危险废物贮存污染控制标准》（GB18957-20</w:t>
      </w:r>
      <w:r>
        <w:rPr>
          <w:rFonts w:hint="eastAsia" w:cs="Times New Roman"/>
          <w:color w:val="auto"/>
          <w:highlight w:val="none"/>
          <w:lang w:val="en-US" w:eastAsia="zh-CN"/>
        </w:rPr>
        <w:t>23</w:t>
      </w:r>
      <w:r>
        <w:rPr>
          <w:rFonts w:hint="default" w:ascii="Times New Roman" w:hAnsi="Times New Roman" w:cs="Times New Roman"/>
          <w:color w:val="auto"/>
          <w:highlight w:val="none"/>
        </w:rPr>
        <w:t>）中有关规定，危险废物在</w:t>
      </w:r>
      <w:r>
        <w:rPr>
          <w:rFonts w:hint="default" w:ascii="Times New Roman" w:hAnsi="Times New Roman" w:cs="Times New Roman"/>
          <w:color w:val="auto"/>
          <w:highlight w:val="none"/>
          <w:lang w:eastAsia="zh-CN"/>
        </w:rPr>
        <w:t>危废贮存库</w:t>
      </w:r>
      <w:r>
        <w:rPr>
          <w:rFonts w:hint="default" w:ascii="Times New Roman" w:hAnsi="Times New Roman" w:cs="Times New Roman"/>
          <w:color w:val="auto"/>
          <w:highlight w:val="none"/>
        </w:rPr>
        <w:t>内存放期间，使用完好无损容器盛装；用以存放装置危险废物容器的地方，必须有耐腐蚀的硬化地面，且表面无裂痕。储存容器上必须粘贴该标准中规定的危险废物标签；容器材质与危险废物本身相容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不相互反应）；厂内设置临时安全存放场所，基础做了防渗。</w:t>
      </w:r>
    </w:p>
    <w:p w14:paraId="0170DE0E">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危险废物贮存容器应满足：</w:t>
      </w:r>
    </w:p>
    <w:p w14:paraId="5049A74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①使用符合标准的容器盛装危险废物；应定期对暂时贮存危险废物包装及设施进行检查，发现破损，及时采取措施清理更换；</w:t>
      </w:r>
    </w:p>
    <w:p w14:paraId="59CD99EB">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②装载危险废物的容器及材质要满足相应的强度要求；</w:t>
      </w:r>
    </w:p>
    <w:p w14:paraId="6CF48335">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③装载危险废物的容器必须完好无损；</w:t>
      </w:r>
    </w:p>
    <w:p w14:paraId="02B7D282">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④盛装危险废物的容器材质和衬里要与危险废物相容，不相互反应。危险废物堆放场所选址、平面布置、设计原则及危险废物的堆放要求等，必须满足GB18597-20</w:t>
      </w:r>
      <w:r>
        <w:rPr>
          <w:rFonts w:hint="eastAsia" w:cs="Times New Roman"/>
          <w:color w:val="auto"/>
          <w:highlight w:val="none"/>
          <w:lang w:val="en-US" w:eastAsia="zh-CN"/>
        </w:rPr>
        <w:t>23</w:t>
      </w:r>
      <w:r>
        <w:rPr>
          <w:rFonts w:hint="default" w:ascii="Times New Roman" w:hAnsi="Times New Roman" w:cs="Times New Roman"/>
          <w:color w:val="auto"/>
          <w:highlight w:val="none"/>
        </w:rPr>
        <w:t>的要求。危险暂存间必须按</w:t>
      </w:r>
      <w:r>
        <w:rPr>
          <w:rFonts w:hint="eastAsia" w:cs="Times New Roman"/>
          <w:color w:val="auto"/>
          <w:highlight w:val="none"/>
          <w:lang w:eastAsia="zh-CN"/>
        </w:rPr>
        <w:t>《</w:t>
      </w:r>
      <w:r>
        <w:rPr>
          <w:rFonts w:hint="default" w:ascii="Times New Roman" w:hAnsi="Times New Roman" w:cs="Times New Roman"/>
          <w:color w:val="auto"/>
          <w:highlight w:val="none"/>
        </w:rPr>
        <w:t>危险废物识别标志设置技术规范</w:t>
      </w:r>
      <w:r>
        <w:rPr>
          <w:rFonts w:hint="eastAsia" w:cs="Times New Roman"/>
          <w:color w:val="auto"/>
          <w:highlight w:val="none"/>
          <w:lang w:eastAsia="zh-CN"/>
        </w:rPr>
        <w:t>》</w:t>
      </w:r>
      <w:r>
        <w:rPr>
          <w:rFonts w:hint="default" w:ascii="Times New Roman" w:hAnsi="Times New Roman" w:cs="Times New Roman"/>
          <w:color w:val="auto"/>
          <w:highlight w:val="none"/>
        </w:rPr>
        <w:t>（HJ 1276—2022）的规定设置警示标志，周围应设置围墙或</w:t>
      </w:r>
      <w:r>
        <w:rPr>
          <w:rFonts w:hint="eastAsia" w:ascii="Times New Roman" w:hAnsi="Times New Roman" w:cs="Times New Roman"/>
          <w:color w:val="auto"/>
          <w:highlight w:val="none"/>
          <w:lang w:eastAsia="zh-CN"/>
        </w:rPr>
        <w:t>其他</w:t>
      </w:r>
      <w:r>
        <w:rPr>
          <w:rFonts w:hint="default" w:ascii="Times New Roman" w:hAnsi="Times New Roman" w:cs="Times New Roman"/>
          <w:color w:val="auto"/>
          <w:highlight w:val="none"/>
        </w:rPr>
        <w:t>防护栅栏，配备通讯设备、照明设施、安全防护服装及工具，并设有应急防护设施。</w:t>
      </w:r>
    </w:p>
    <w:p w14:paraId="576BA9B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（2）运输和转移</w:t>
      </w:r>
    </w:p>
    <w:p w14:paraId="29088F7A">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对于危险废物的运输和转移，应根据《危险废物收集、贮存、运输技术规范》以及《危险废物转移管理办法》（生态环境部令第23号）等。</w:t>
      </w:r>
    </w:p>
    <w:p w14:paraId="4E013BE7">
      <w:pPr>
        <w:bidi w:val="0"/>
        <w:rPr>
          <w:rFonts w:hint="default"/>
          <w:color w:val="auto"/>
          <w:highlight w:val="none"/>
        </w:rPr>
      </w:pPr>
      <w:r>
        <w:rPr>
          <w:rFonts w:hint="eastAsia"/>
          <w:color w:val="auto"/>
          <w:highlight w:val="none"/>
          <w:lang w:val="en-US" w:eastAsia="zh-CN"/>
        </w:rPr>
        <w:t>①</w:t>
      </w:r>
      <w:r>
        <w:rPr>
          <w:rFonts w:hint="default"/>
          <w:color w:val="auto"/>
          <w:highlight w:val="none"/>
        </w:rPr>
        <w:t>企业应按国家有关规定办理危险废物申报转移的“五联单”手续，并在贮运过程中严格执行危险化学品贮存、运输和监管的有关规定。产废单位在转移危险废物前，应当向巴音郭楞蒙古自治州生态环境局及自治区生态环境厅报送危险废物转移计划；经批准后，领取并填写危险废物转移联单。产废单位应当在危险废物转移前3日内报告移出地生态环境主管部门，并同时将预期到达时间报告</w:t>
      </w:r>
      <w:r>
        <w:rPr>
          <w:rFonts w:hint="eastAsia"/>
          <w:color w:val="auto"/>
          <w:highlight w:val="none"/>
          <w:lang w:eastAsia="zh-CN"/>
        </w:rPr>
        <w:t>接收</w:t>
      </w:r>
      <w:r>
        <w:rPr>
          <w:rFonts w:hint="default"/>
          <w:color w:val="auto"/>
          <w:highlight w:val="none"/>
        </w:rPr>
        <w:t>地生态环境主管部门；</w:t>
      </w:r>
    </w:p>
    <w:p w14:paraId="2FCAA7E1">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②从事收集、利用处置危险废物经营活动的单位应当具备与其经营活动相应的资格，禁止产废单位将危险废物提供或者委托给无经营许可证的单位；</w:t>
      </w:r>
    </w:p>
    <w:p w14:paraId="1534A690">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③所有危险废物均应按类在专用密闭容器中储存，并按规定贴标签。不得混装，废物收集和封装容器应得到接收企业及</w:t>
      </w:r>
      <w:r>
        <w:rPr>
          <w:rFonts w:hint="eastAsia" w:ascii="Times New Roman" w:hAnsi="Times New Roman" w:cs="Times New Roman"/>
          <w:color w:val="auto"/>
          <w:highlight w:val="none"/>
          <w:lang w:eastAsia="zh-CN"/>
        </w:rPr>
        <w:t>当地</w:t>
      </w:r>
      <w:r>
        <w:rPr>
          <w:rFonts w:hint="default" w:ascii="Times New Roman" w:hAnsi="Times New Roman" w:cs="Times New Roman"/>
          <w:color w:val="auto"/>
          <w:highlight w:val="none"/>
        </w:rPr>
        <w:t>生态环境主管部门的认可。收集的危废应详细列出数量和成分，并填写有关材料；</w:t>
      </w:r>
    </w:p>
    <w:p w14:paraId="71758E13">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④应指定专人负责危废的收集、贮运管理工作，运输车辆的司机和押运人员应</w:t>
      </w:r>
      <w:r>
        <w:rPr>
          <w:rFonts w:hint="eastAsia" w:ascii="Times New Roman" w:hAnsi="Times New Roman" w:cs="Times New Roman"/>
          <w:color w:val="auto"/>
          <w:highlight w:val="none"/>
          <w:lang w:eastAsia="zh-CN"/>
        </w:rPr>
        <w:t>经过</w:t>
      </w:r>
      <w:r>
        <w:rPr>
          <w:rFonts w:hint="default" w:ascii="Times New Roman" w:hAnsi="Times New Roman" w:cs="Times New Roman"/>
          <w:color w:val="auto"/>
          <w:highlight w:val="none"/>
        </w:rPr>
        <w:t>专业培训。</w:t>
      </w:r>
    </w:p>
    <w:p w14:paraId="5D0843A8">
      <w:pPr>
        <w:pStyle w:val="6"/>
        <w:rPr>
          <w:rFonts w:hint="default" w:ascii="Times New Roman" w:hAnsi="Times New Roman" w:cs="Times New Roman"/>
          <w:color w:val="auto"/>
          <w:highlight w:val="none"/>
        </w:rPr>
      </w:pPr>
      <w:bookmarkStart w:id="764" w:name="_Toc23681"/>
      <w:bookmarkStart w:id="765" w:name="_Toc30695"/>
      <w:bookmarkStart w:id="766" w:name="_Toc30777"/>
      <w:r>
        <w:rPr>
          <w:rFonts w:hint="default" w:ascii="Times New Roman" w:hAnsi="Times New Roman" w:cs="Times New Roman"/>
          <w:color w:val="auto"/>
          <w:highlight w:val="none"/>
        </w:rPr>
        <w:t>6.2.6土壤环境保护措施</w:t>
      </w:r>
      <w:bookmarkEnd w:id="764"/>
      <w:bookmarkEnd w:id="765"/>
      <w:bookmarkEnd w:id="766"/>
    </w:p>
    <w:p w14:paraId="6FB48B6B">
      <w:pPr>
        <w:pStyle w:val="7"/>
        <w:ind w:firstLine="482"/>
        <w:rPr>
          <w:rFonts w:hint="default" w:ascii="Times New Roman" w:hAnsi="Times New Roman" w:cs="Times New Roman"/>
          <w:color w:val="auto"/>
          <w:highlight w:val="none"/>
        </w:rPr>
      </w:pPr>
      <w:bookmarkStart w:id="767" w:name="_Toc21547"/>
      <w:r>
        <w:rPr>
          <w:rFonts w:hint="default" w:ascii="Times New Roman" w:hAnsi="Times New Roman" w:cs="Times New Roman"/>
          <w:color w:val="auto"/>
          <w:highlight w:val="none"/>
        </w:rPr>
        <w:t>6.2.6.1</w:t>
      </w:r>
      <w:r>
        <w:rPr>
          <w:rFonts w:hint="eastAsia" w:cs="Times New Roman"/>
          <w:color w:val="auto"/>
          <w:highlight w:val="none"/>
          <w:lang w:val="en-US" w:eastAsia="zh-CN"/>
        </w:rPr>
        <w:t>采选工程</w:t>
      </w:r>
      <w:r>
        <w:rPr>
          <w:rFonts w:hint="default" w:ascii="Times New Roman" w:hAnsi="Times New Roman" w:cs="Times New Roman"/>
          <w:color w:val="auto"/>
          <w:highlight w:val="none"/>
        </w:rPr>
        <w:t>土壤环境保护措施</w:t>
      </w:r>
    </w:p>
    <w:p w14:paraId="5DEB1B7E">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项目占地范围内的土壤环境质量无超标点位。对土壤可能产生影响的途径</w:t>
      </w:r>
      <w:r>
        <w:rPr>
          <w:rFonts w:hint="eastAsia" w:ascii="Times New Roman" w:hAnsi="Times New Roman" w:cs="Times New Roman"/>
          <w:color w:val="auto"/>
          <w:sz w:val="24"/>
          <w:highlight w:val="none"/>
          <w:lang w:eastAsia="zh-CN"/>
        </w:rPr>
        <w:t>为</w:t>
      </w:r>
      <w:r>
        <w:rPr>
          <w:rFonts w:hint="eastAsia" w:cs="Times New Roman"/>
          <w:color w:val="auto"/>
          <w:sz w:val="24"/>
          <w:highlight w:val="none"/>
          <w:lang w:val="en-US" w:eastAsia="zh-CN"/>
        </w:rPr>
        <w:t>化学品泄漏，</w:t>
      </w:r>
      <w:r>
        <w:rPr>
          <w:rFonts w:hint="default" w:ascii="Times New Roman" w:hAnsi="Times New Roman" w:cs="Times New Roman"/>
          <w:color w:val="auto"/>
          <w:sz w:val="24"/>
          <w:highlight w:val="none"/>
        </w:rPr>
        <w:t>通过入渗形式进入周边土壤。重点污染防治区均按相应标准设计、施工并做好防渗措施，能有效降低对土壤的污染影响。</w:t>
      </w:r>
    </w:p>
    <w:p w14:paraId="7435D9CC">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此外，建设单位在项目运行期还应充分重视其自身环保行为，将从源头控制、过程防控和跟踪监</w:t>
      </w:r>
      <w:r>
        <w:rPr>
          <w:rFonts w:hint="eastAsia" w:ascii="Times New Roman" w:hAnsi="Times New Roman" w:cs="Times New Roman"/>
          <w:color w:val="auto"/>
          <w:sz w:val="24"/>
          <w:highlight w:val="none"/>
          <w:lang w:eastAsia="zh-CN"/>
        </w:rPr>
        <w:t>测等</w:t>
      </w:r>
      <w:r>
        <w:rPr>
          <w:rFonts w:hint="default" w:ascii="Times New Roman" w:hAnsi="Times New Roman" w:cs="Times New Roman"/>
          <w:color w:val="auto"/>
          <w:sz w:val="24"/>
          <w:highlight w:val="none"/>
        </w:rPr>
        <w:t>方面</w:t>
      </w:r>
      <w:r>
        <w:rPr>
          <w:rFonts w:hint="eastAsia" w:ascii="Times New Roman" w:hAnsi="Times New Roman" w:cs="Times New Roman"/>
          <w:color w:val="auto"/>
          <w:sz w:val="24"/>
          <w:highlight w:val="none"/>
          <w:lang w:eastAsia="zh-CN"/>
        </w:rPr>
        <w:t>进一步加强</w:t>
      </w:r>
      <w:r>
        <w:rPr>
          <w:rFonts w:hint="default" w:ascii="Times New Roman" w:hAnsi="Times New Roman" w:cs="Times New Roman"/>
          <w:color w:val="auto"/>
          <w:sz w:val="24"/>
          <w:highlight w:val="none"/>
        </w:rPr>
        <w:t>土壤环境的保护措施。</w:t>
      </w:r>
    </w:p>
    <w:p w14:paraId="18BBB06E">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源头控制：</w:t>
      </w:r>
      <w:r>
        <w:rPr>
          <w:rFonts w:hint="eastAsia" w:ascii="Times New Roman" w:hAnsi="Times New Roman" w:cs="Times New Roman"/>
          <w:color w:val="auto"/>
          <w:sz w:val="24"/>
          <w:highlight w:val="none"/>
          <w:lang w:eastAsia="zh-CN"/>
        </w:rPr>
        <w:t>在</w:t>
      </w:r>
      <w:r>
        <w:rPr>
          <w:rFonts w:hint="eastAsia" w:cs="Times New Roman"/>
          <w:color w:val="auto"/>
          <w:sz w:val="24"/>
          <w:highlight w:val="none"/>
          <w:lang w:val="en-US" w:eastAsia="zh-CN"/>
        </w:rPr>
        <w:t>生产过程中</w:t>
      </w:r>
      <w:r>
        <w:rPr>
          <w:rFonts w:hint="default" w:ascii="Times New Roman" w:hAnsi="Times New Roman" w:cs="Times New Roman"/>
          <w:color w:val="auto"/>
          <w:sz w:val="24"/>
          <w:highlight w:val="none"/>
        </w:rPr>
        <w:t>，加强跑冒滴漏管理，降低物质泄漏和污染土壤环境的隐患。</w:t>
      </w:r>
    </w:p>
    <w:p w14:paraId="24250A06">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过程防控：做好本工程的</w:t>
      </w:r>
      <w:r>
        <w:rPr>
          <w:rFonts w:hint="eastAsia" w:cs="Times New Roman"/>
          <w:color w:val="auto"/>
          <w:sz w:val="24"/>
          <w:highlight w:val="none"/>
          <w:lang w:val="en-US" w:eastAsia="zh-CN"/>
        </w:rPr>
        <w:t>分区</w:t>
      </w:r>
      <w:r>
        <w:rPr>
          <w:rFonts w:hint="default" w:ascii="Times New Roman" w:hAnsi="Times New Roman" w:cs="Times New Roman"/>
          <w:color w:val="auto"/>
          <w:sz w:val="24"/>
          <w:highlight w:val="none"/>
        </w:rPr>
        <w:t>防渗工作，防渗措施满足《环境影响评价技术导则 地下水环境》（HJ610-2016）和《危险废物贮存污染控制标准》（GB18597-20</w:t>
      </w:r>
      <w:r>
        <w:rPr>
          <w:rFonts w:hint="eastAsia" w:cs="Times New Roman"/>
          <w:color w:val="auto"/>
          <w:sz w:val="24"/>
          <w:highlight w:val="none"/>
          <w:lang w:val="en-US" w:eastAsia="zh-CN"/>
        </w:rPr>
        <w:t>23</w:t>
      </w:r>
      <w:r>
        <w:rPr>
          <w:rFonts w:hint="default" w:ascii="Times New Roman" w:hAnsi="Times New Roman" w:cs="Times New Roman"/>
          <w:color w:val="auto"/>
          <w:sz w:val="24"/>
          <w:highlight w:val="none"/>
        </w:rPr>
        <w:t>）规定的防渗要求。</w:t>
      </w:r>
    </w:p>
    <w:p w14:paraId="1A84EE83">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跟踪监测：企业应定期进行选矿厂下游动态监测，保证项目建设不对土壤和地下水造成污染。</w:t>
      </w:r>
    </w:p>
    <w:p w14:paraId="2FABF1EF">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6.2.6.2尾矿库污染防治措施</w:t>
      </w:r>
      <w:bookmarkEnd w:id="767"/>
    </w:p>
    <w:p w14:paraId="49B5CCB6">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针对尾矿库可能发生的事故污染，本次环评提出以下防治措施：</w:t>
      </w:r>
    </w:p>
    <w:p w14:paraId="3BEA7E14">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（1）尾矿输送系统的维护管理</w:t>
      </w:r>
    </w:p>
    <w:p w14:paraId="73E11316">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回水泵必须处于良好状态，易磨损的备件按计划进行更换和检修；必须经常注意水量、电流表、电压表的变化，并及时操作调节，做到正常排送。</w:t>
      </w:r>
    </w:p>
    <w:p w14:paraId="2C1A7AB7">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（2）尾矿库的维护管理</w:t>
      </w:r>
    </w:p>
    <w:p w14:paraId="689B6282">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尾矿库日常运行应注意坝坡上下游的安全状况，在汛期前要组织工程技术人员和安检人员进行尾矿库的全面检查，发现变形、塌陷、裂缝、管涌等安全隐患，停止使用，迅速查明原因进行加固处理。遇有暴雨天气，要求运行人员坚持巡视，注意库坝内水情，以确保库坝的安全。</w:t>
      </w:r>
    </w:p>
    <w:p w14:paraId="23FC9E91">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当尾矿库达到设计堆放高度时应及时闭库，避免超量堆放。应经常对库周围地下环境进行监测，发现指标超标现象，尽快处理。</w:t>
      </w:r>
    </w:p>
    <w:p w14:paraId="0017666D">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尾矿堆坝应保证筑坝质量，尾矿堆填过程中应分层填筑，分层碾压。</w:t>
      </w:r>
    </w:p>
    <w:p w14:paraId="6ECF1C23">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尾矿库周围应设铁丝网围栏，以防牲畜以及非工作人员进入，并按要求</w:t>
      </w:r>
      <w:r>
        <w:rPr>
          <w:rFonts w:hint="eastAsia" w:ascii="Times New Roman" w:hAnsi="Times New Roman" w:cs="Times New Roman"/>
          <w:color w:val="auto"/>
          <w:sz w:val="24"/>
          <w:highlight w:val="none"/>
          <w:lang w:eastAsia="zh-CN"/>
        </w:rPr>
        <w:t>设置</w:t>
      </w:r>
      <w:r>
        <w:rPr>
          <w:rFonts w:hint="default" w:ascii="Times New Roman" w:hAnsi="Times New Roman" w:cs="Times New Roman"/>
          <w:color w:val="auto"/>
          <w:sz w:val="24"/>
          <w:highlight w:val="none"/>
        </w:rPr>
        <w:t>警示牌。</w:t>
      </w:r>
    </w:p>
    <w:p w14:paraId="3B279DCE">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（3）尾矿库的监测</w:t>
      </w:r>
    </w:p>
    <w:p w14:paraId="4068A259">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建设单位应建立健全巡坝护坝制度。</w:t>
      </w:r>
    </w:p>
    <w:p w14:paraId="7FFEEB54">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坝体竣工</w:t>
      </w:r>
      <w:r>
        <w:rPr>
          <w:rFonts w:hint="eastAsia" w:ascii="Times New Roman" w:hAnsi="Times New Roman" w:cs="Times New Roman"/>
          <w:color w:val="auto"/>
          <w:sz w:val="24"/>
          <w:highlight w:val="none"/>
          <w:lang w:eastAsia="zh-CN"/>
        </w:rPr>
        <w:t>两三年</w:t>
      </w:r>
      <w:r>
        <w:rPr>
          <w:rFonts w:hint="default" w:ascii="Times New Roman" w:hAnsi="Times New Roman" w:cs="Times New Roman"/>
          <w:color w:val="auto"/>
          <w:sz w:val="24"/>
          <w:highlight w:val="none"/>
        </w:rPr>
        <w:t>内，垂直位移和水平位移观测应每月进行一次。汛期应根据水位上升情况，增加测次。</w:t>
      </w:r>
    </w:p>
    <w:p w14:paraId="476C6B6F">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常检查下游坝面有无渗透水、渗漏现象或湿片，一经发现应立即报告，并加强监视。如果发现坝体产生裂缝或有滑坡预兆，应立即报告，并进行处理。监视坝下排水棱体渗透水量与水质，发现水量突然增大或渗透水浑浊时应立即报告，并加强监测。如发现坝坡局部塌方或雨水集中汇流冲刷坝坡，应立即处理。</w:t>
      </w:r>
    </w:p>
    <w:p w14:paraId="4DDCCBA2">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（4）尾矿库的闭库</w:t>
      </w:r>
    </w:p>
    <w:p w14:paraId="4599BCF4">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①拆除地面废弃建筑物，对项目区进行平整。</w:t>
      </w:r>
    </w:p>
    <w:p w14:paraId="26D8685C">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②尾矿库闭库应符合国家有关法律、法规、标准和技术规范。</w:t>
      </w:r>
    </w:p>
    <w:p w14:paraId="16D29CB4">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③闭库前应进行闭库前的安全评价、闭库设计与施工、闭库安全验收。</w:t>
      </w:r>
    </w:p>
    <w:p w14:paraId="1D3736B4">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④对项目区内平整后、覆盖碎石，使生态环境自然演替。</w:t>
      </w:r>
    </w:p>
    <w:p w14:paraId="5E8F8EC3">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⑤建设单位应留足够的资金，保证项目闭场时拆除地面建筑物、生态恢复、生态管理需要。</w:t>
      </w:r>
    </w:p>
    <w:p w14:paraId="3D7C493D">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⑥当尾矿库服务期满后应予以闭库封场。闭库封场前，必须编制闭库封场计划，报请巴州生态环境局核准，并采取污染防治措施。</w:t>
      </w:r>
    </w:p>
    <w:p w14:paraId="568204A7">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⑦尾矿库闭库设计和施工方案必须符合国家有关法律、法规和技术规范，确保尾矿库稳定性，尾矿库防洪能力满足《尾矿库安全规程》（GB39496-2020）要求，保证尾矿库闭库后长期安全稳定。</w:t>
      </w:r>
    </w:p>
    <w:p w14:paraId="252E9121">
      <w:pPr>
        <w:widowControl/>
        <w:overflowPunct w:val="0"/>
        <w:topLinePunct/>
        <w:spacing w:after="0"/>
        <w:ind w:left="0" w:leftChars="0"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⑧闭库后的尾矿库必须做好坝体等设施的维护，严禁在尾矿库区域附近直接取土。</w:t>
      </w:r>
    </w:p>
    <w:p w14:paraId="59957881">
      <w:pPr>
        <w:pStyle w:val="6"/>
        <w:rPr>
          <w:rFonts w:hint="default" w:ascii="Times New Roman" w:hAnsi="Times New Roman" w:cs="Times New Roman"/>
          <w:color w:val="auto"/>
          <w:highlight w:val="none"/>
        </w:rPr>
      </w:pPr>
      <w:bookmarkStart w:id="768" w:name="_Toc26073"/>
      <w:bookmarkStart w:id="769" w:name="_Toc22459"/>
      <w:bookmarkStart w:id="770" w:name="_Toc15022"/>
      <w:r>
        <w:rPr>
          <w:rFonts w:hint="default" w:ascii="Times New Roman" w:hAnsi="Times New Roman" w:cs="Times New Roman"/>
          <w:color w:val="auto"/>
          <w:highlight w:val="none"/>
        </w:rPr>
        <w:t>6.2.7生态环境保护措施</w:t>
      </w:r>
      <w:bookmarkEnd w:id="768"/>
      <w:bookmarkEnd w:id="769"/>
      <w:bookmarkEnd w:id="770"/>
    </w:p>
    <w:p w14:paraId="231DF000">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6.2.7.1</w:t>
      </w:r>
      <w:r>
        <w:rPr>
          <w:rFonts w:hint="eastAsia" w:cs="Times New Roman"/>
          <w:color w:val="auto"/>
          <w:highlight w:val="none"/>
          <w:lang w:val="en-US" w:eastAsia="zh-CN"/>
        </w:rPr>
        <w:t>矿山</w:t>
      </w:r>
      <w:r>
        <w:rPr>
          <w:rFonts w:hint="default" w:ascii="Times New Roman" w:hAnsi="Times New Roman" w:cs="Times New Roman"/>
          <w:color w:val="auto"/>
          <w:highlight w:val="none"/>
        </w:rPr>
        <w:t>生态环境保护措施</w:t>
      </w:r>
    </w:p>
    <w:p w14:paraId="6E9E476C">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（1）限定车辆行驶路线，</w:t>
      </w:r>
      <w:r>
        <w:rPr>
          <w:rFonts w:hint="default" w:ascii="Times New Roman" w:hAnsi="Times New Roman" w:eastAsia="宋体" w:cs="Times New Roman"/>
          <w:color w:val="auto"/>
          <w:kern w:val="0"/>
          <w:sz w:val="24"/>
          <w:szCs w:val="24"/>
          <w:highlight w:val="none"/>
          <w:lang w:val="en-US" w:eastAsia="zh-CN"/>
        </w:rPr>
        <w:t>尽量在原有道路范围内行驶，</w:t>
      </w:r>
      <w:r>
        <w:rPr>
          <w:rFonts w:hint="default" w:ascii="Times New Roman" w:hAnsi="Times New Roman" w:eastAsia="宋体" w:cs="Times New Roman"/>
          <w:color w:val="auto"/>
          <w:kern w:val="0"/>
          <w:sz w:val="24"/>
          <w:szCs w:val="24"/>
          <w:highlight w:val="none"/>
        </w:rPr>
        <w:t>禁止私开便道碾压破坏非施工区域原始地貌；</w:t>
      </w:r>
    </w:p>
    <w:p w14:paraId="53003E28">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kern w:val="0"/>
          <w:sz w:val="24"/>
          <w:szCs w:val="24"/>
          <w:highlight w:val="none"/>
          <w:lang w:val="en-US" w:eastAsia="zh-CN"/>
        </w:rPr>
        <w:t>2</w:t>
      </w:r>
      <w:r>
        <w:rPr>
          <w:rFonts w:hint="default" w:ascii="Times New Roman" w:hAnsi="Times New Roman" w:eastAsia="宋体" w:cs="Times New Roman"/>
          <w:color w:val="auto"/>
          <w:kern w:val="0"/>
          <w:sz w:val="24"/>
          <w:szCs w:val="24"/>
          <w:highlight w:val="none"/>
        </w:rPr>
        <w:t>）矿山开采应在矿区范围及各种采矿活动的可能影响区进行</w:t>
      </w:r>
      <w:r>
        <w:rPr>
          <w:rFonts w:hint="default" w:ascii="Times New Roman" w:hAnsi="Times New Roman" w:eastAsia="宋体" w:cs="Times New Roman"/>
          <w:color w:val="auto"/>
          <w:kern w:val="0"/>
          <w:sz w:val="24"/>
          <w:szCs w:val="24"/>
          <w:highlight w:val="none"/>
          <w:lang w:val="en-US" w:eastAsia="zh-CN"/>
        </w:rPr>
        <w:t>例行</w:t>
      </w:r>
      <w:r>
        <w:rPr>
          <w:rFonts w:hint="default" w:ascii="Times New Roman" w:hAnsi="Times New Roman" w:eastAsia="宋体" w:cs="Times New Roman"/>
          <w:color w:val="auto"/>
          <w:kern w:val="0"/>
          <w:sz w:val="24"/>
          <w:szCs w:val="24"/>
          <w:highlight w:val="none"/>
        </w:rPr>
        <w:t>生物多样性现状调查，保护矿山生物多样性。减少开采、废石和运输等活动对</w:t>
      </w:r>
      <w:r>
        <w:rPr>
          <w:rFonts w:hint="default" w:ascii="Times New Roman" w:hAnsi="Times New Roman" w:eastAsia="宋体" w:cs="Times New Roman"/>
          <w:color w:val="auto"/>
          <w:kern w:val="0"/>
          <w:sz w:val="24"/>
          <w:szCs w:val="24"/>
          <w:highlight w:val="none"/>
          <w:lang w:val="en-US" w:eastAsia="zh-CN"/>
        </w:rPr>
        <w:t>动物及植物</w:t>
      </w:r>
      <w:r>
        <w:rPr>
          <w:rFonts w:hint="default" w:ascii="Times New Roman" w:hAnsi="Times New Roman" w:eastAsia="宋体" w:cs="Times New Roman"/>
          <w:color w:val="auto"/>
          <w:kern w:val="0"/>
          <w:sz w:val="24"/>
          <w:szCs w:val="24"/>
          <w:highlight w:val="none"/>
        </w:rPr>
        <w:t>的破坏和扰动；</w:t>
      </w:r>
    </w:p>
    <w:p w14:paraId="7295B252">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kern w:val="0"/>
          <w:sz w:val="24"/>
          <w:szCs w:val="24"/>
          <w:highlight w:val="none"/>
          <w:lang w:val="en-US" w:eastAsia="zh-CN"/>
        </w:rPr>
        <w:t>3</w:t>
      </w:r>
      <w:r>
        <w:rPr>
          <w:rFonts w:hint="default" w:ascii="Times New Roman" w:hAnsi="Times New Roman" w:eastAsia="宋体" w:cs="Times New Roman"/>
          <w:color w:val="auto"/>
          <w:kern w:val="0"/>
          <w:sz w:val="24"/>
          <w:szCs w:val="24"/>
          <w:highlight w:val="none"/>
        </w:rPr>
        <w:t>）</w:t>
      </w:r>
      <w:r>
        <w:rPr>
          <w:rFonts w:hint="eastAsia" w:cs="Times New Roman"/>
          <w:color w:val="auto"/>
          <w:kern w:val="0"/>
          <w:sz w:val="24"/>
          <w:szCs w:val="24"/>
          <w:highlight w:val="none"/>
          <w:lang w:val="en-US" w:eastAsia="zh-CN"/>
        </w:rPr>
        <w:t>废石堆场</w:t>
      </w:r>
      <w:r>
        <w:rPr>
          <w:rFonts w:hint="default" w:ascii="Times New Roman" w:hAnsi="Times New Roman" w:eastAsia="宋体" w:cs="Times New Roman"/>
          <w:color w:val="auto"/>
          <w:kern w:val="0"/>
          <w:sz w:val="24"/>
          <w:szCs w:val="24"/>
          <w:highlight w:val="none"/>
        </w:rPr>
        <w:t>设置防护围栏和悬挂多种文字的警示牌，表土采取</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三分一恢复</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，采取防洪、排水、边坡防护、工程拦挡等水土保持措施；经常进行稳定性监测，避免事故的发生；采取</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先拦后弃</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，定期对</w:t>
      </w:r>
      <w:r>
        <w:rPr>
          <w:rFonts w:hint="eastAsia" w:cs="Times New Roman"/>
          <w:color w:val="auto"/>
          <w:kern w:val="0"/>
          <w:sz w:val="24"/>
          <w:szCs w:val="24"/>
          <w:highlight w:val="none"/>
          <w:lang w:val="en-US" w:eastAsia="zh-CN"/>
        </w:rPr>
        <w:t>废石堆场</w:t>
      </w:r>
      <w:r>
        <w:rPr>
          <w:rFonts w:hint="default" w:ascii="Times New Roman" w:hAnsi="Times New Roman" w:eastAsia="宋体" w:cs="Times New Roman"/>
          <w:color w:val="auto"/>
          <w:kern w:val="0"/>
          <w:sz w:val="24"/>
          <w:szCs w:val="24"/>
          <w:highlight w:val="none"/>
        </w:rPr>
        <w:t>拦渣坝进行巡检，及时发现隐患并安全处置；加强监督管理，在废石滚落范围内不允许修建道路和建筑物，竖警示牌；</w:t>
      </w:r>
    </w:p>
    <w:p w14:paraId="7DFD0AC0">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rPr>
        <w:t>（</w:t>
      </w:r>
      <w:r>
        <w:rPr>
          <w:rFonts w:hint="eastAsia" w:ascii="Times New Roman" w:hAnsi="Times New Roman" w:eastAsia="宋体" w:cs="Times New Roman"/>
          <w:color w:val="auto"/>
          <w:kern w:val="0"/>
          <w:sz w:val="24"/>
          <w:szCs w:val="24"/>
          <w:highlight w:val="none"/>
          <w:lang w:val="en-US" w:eastAsia="zh-CN"/>
        </w:rPr>
        <w:t>4</w:t>
      </w:r>
      <w:r>
        <w:rPr>
          <w:rFonts w:hint="default" w:ascii="Times New Roman" w:hAnsi="Times New Roman" w:eastAsia="宋体" w:cs="Times New Roman"/>
          <w:color w:val="auto"/>
          <w:kern w:val="0"/>
          <w:sz w:val="24"/>
          <w:szCs w:val="24"/>
          <w:highlight w:val="none"/>
        </w:rPr>
        <w:t>）沿预测塌陷区外围设置铁丝围栏、警示牌，派专人定期对采空区地表岩体移动范围进行地面变形监测，出现塌陷坑待其稳定后及时进行回填治理；塌陷区恢复治理应综合考虑景观恢复、生态功能恢复及水土流失控制，根据塌陷区稳定性采用生态环境恢复治理措施，按照《土地复垦技术标准（试行）》相关要求恢复沉陷区的土地用途和生态功能</w:t>
      </w:r>
      <w:r>
        <w:rPr>
          <w:rFonts w:hint="default" w:ascii="Times New Roman" w:hAnsi="Times New Roman" w:eastAsia="宋体" w:cs="Times New Roman"/>
          <w:color w:val="auto"/>
          <w:kern w:val="0"/>
          <w:sz w:val="24"/>
          <w:szCs w:val="24"/>
          <w:highlight w:val="none"/>
          <w:lang w:eastAsia="zh-CN"/>
        </w:rPr>
        <w:t>；</w:t>
      </w:r>
    </w:p>
    <w:p w14:paraId="30A25925">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lang w:val="en-US" w:eastAsia="zh-CN"/>
        </w:rPr>
        <w:t>）为保护区域生物多样性，建设单位应高度重视区域水资源的保护工作，同时对矿区进行合理绿化；禁止猎杀野生动物，严禁破坏占地范围外的植被，尤其是保护动植物；</w:t>
      </w:r>
    </w:p>
    <w:p w14:paraId="20B3021A">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6</w:t>
      </w:r>
      <w:r>
        <w:rPr>
          <w:rFonts w:hint="default" w:ascii="Times New Roman" w:hAnsi="Times New Roman" w:eastAsia="宋体" w:cs="Times New Roman"/>
          <w:color w:val="auto"/>
          <w:kern w:val="0"/>
          <w:sz w:val="24"/>
          <w:szCs w:val="24"/>
          <w:highlight w:val="none"/>
          <w:lang w:val="en-US" w:eastAsia="zh-CN"/>
        </w:rPr>
        <w:t>）采矿区尽量减少人为扰动，爆破应选择每天温度相对较低的时段进行。</w:t>
      </w:r>
    </w:p>
    <w:p w14:paraId="4517F7D7">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6.2.7.2选矿厂生态环境保护措施</w:t>
      </w:r>
    </w:p>
    <w:p w14:paraId="38E242B1">
      <w:pPr>
        <w:bidi w:val="0"/>
        <w:rPr>
          <w:color w:val="auto"/>
          <w:highlight w:val="none"/>
        </w:rPr>
      </w:pPr>
      <w:r>
        <w:rPr>
          <w:color w:val="auto"/>
          <w:highlight w:val="none"/>
        </w:rPr>
        <w:t>运营期严格落实全过程生态保护与污染防控，持续维护区域生态环境质量。</w:t>
      </w:r>
      <w:r>
        <w:rPr>
          <w:rFonts w:hint="eastAsia"/>
          <w:color w:val="auto"/>
          <w:highlight w:val="none"/>
          <w:lang w:val="en-US" w:eastAsia="zh-CN"/>
        </w:rPr>
        <w:t>加强</w:t>
      </w:r>
      <w:r>
        <w:rPr>
          <w:color w:val="auto"/>
          <w:highlight w:val="none"/>
        </w:rPr>
        <w:t>厂区植被管护，稳固边坡，设置截排水、护坡及拦挡设施，防范水土流失、滑坡、泥石流等地质灾害；严禁随意扩大生产占地、破坏周边原生植被。生产废水实行闭路循环回用，选矿废水、尾矿渗滤液统一收集处理后全部回用于生产，生活污水经一体化设施处理后用于厂区绿化，实现废水零外排。破碎、筛分、物料转运及堆场等产尘点位，保持密闭、除尘、喷淋</w:t>
      </w:r>
      <w:r>
        <w:rPr>
          <w:rFonts w:hint="eastAsia"/>
          <w:color w:val="auto"/>
          <w:highlight w:val="none"/>
          <w:lang w:eastAsia="zh-CN"/>
        </w:rPr>
        <w:t>等</w:t>
      </w:r>
      <w:r>
        <w:rPr>
          <w:color w:val="auto"/>
          <w:highlight w:val="none"/>
        </w:rPr>
        <w:t>抑尘设施正常运行，废气达标排放。固体废物分类规范堆存，落实防渗、防流失措施。厂区高噪声设备采取减振、隔声、消声措施，合理管控作业时间，降低噪声影响。</w:t>
      </w:r>
    </w:p>
    <w:p w14:paraId="3D5DDBC6">
      <w:pPr>
        <w:pStyle w:val="7"/>
        <w:bidi w:val="0"/>
        <w:rPr>
          <w:rFonts w:hint="default"/>
          <w:color w:val="auto"/>
          <w:highlight w:val="none"/>
        </w:rPr>
      </w:pPr>
      <w:r>
        <w:rPr>
          <w:rFonts w:hint="eastAsia"/>
          <w:color w:val="auto"/>
          <w:highlight w:val="none"/>
          <w:lang w:val="en-US" w:eastAsia="zh-CN"/>
        </w:rPr>
        <w:t>6.2.7.3</w:t>
      </w:r>
      <w:r>
        <w:rPr>
          <w:rFonts w:hint="default"/>
          <w:color w:val="auto"/>
          <w:highlight w:val="none"/>
        </w:rPr>
        <w:t>尾矿库生态环境保护措施</w:t>
      </w:r>
    </w:p>
    <w:p w14:paraId="6C1AE733">
      <w:pPr>
        <w:bidi w:val="0"/>
        <w:rPr>
          <w:color w:val="auto"/>
          <w:highlight w:val="none"/>
        </w:rPr>
      </w:pPr>
      <w:r>
        <w:rPr>
          <w:color w:val="auto"/>
          <w:highlight w:val="none"/>
        </w:rPr>
        <w:t>运营期严格落实尾矿库生态环境保护与风险防控措施。库区全域保持防渗系统完好，定期检查防渗膜、黏土垫层、截排水及渗滤液收集系统，收集的尾矿渗滤液全部输送至生产废水处理系统回用，杜绝渗滤液下渗、外溢污染土壤及地下水。完善坝体、库区周边截洪沟、排洪隧洞等排水设施，常态化清淤疏通，规范调度库内水位，严格控制干滩长度、浸润线高度，保障坝体稳定，防范洪水漫坝、溃坝风险。库区及坝坡、周边加固护坡、拦挡工程，抑制水土流失与边坡垮塌。尾矿按照设计要求规范堆存，控制堆存标高与堆存范围，严禁超库容、超设计边界排尾。定期开展坝体位移、沉降、渗流等在线及人工监测，建立完整监测台账。库区设置隔离防护设施与警示标识，严禁人员、牲畜进入。闭库前持续做好生态管护，同步规划后期土地复垦与生态修复工作。</w:t>
      </w:r>
    </w:p>
    <w:p w14:paraId="58DA9971">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6.2.7.3生态功能区保护措施</w:t>
      </w:r>
    </w:p>
    <w:p w14:paraId="631EA679">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在《新疆生态功能区划》中，</w:t>
      </w:r>
      <w:r>
        <w:rPr>
          <w:rFonts w:hint="default" w:ascii="Times New Roman" w:hAnsi="Times New Roman" w:cs="Times New Roman"/>
          <w:color w:val="auto"/>
          <w:szCs w:val="24"/>
          <w:highlight w:val="none"/>
          <w:lang w:val="zh-CN"/>
        </w:rPr>
        <w:t>项目所在地属于帕米尔</w:t>
      </w:r>
      <w:r>
        <w:rPr>
          <w:rFonts w:hint="default" w:ascii="Times New Roman" w:hAnsi="Times New Roman" w:cs="Times New Roman"/>
          <w:color w:val="auto"/>
          <w:szCs w:val="24"/>
          <w:highlight w:val="none"/>
          <w:lang w:val="en-US" w:eastAsia="zh-CN"/>
        </w:rPr>
        <w:t>-昆仑山-阿尔金山荒漠干旱草原生态区</w:t>
      </w:r>
      <w:r>
        <w:rPr>
          <w:rFonts w:hint="default" w:ascii="Times New Roman" w:hAnsi="Times New Roman" w:cs="Times New Roman"/>
          <w:color w:val="auto"/>
          <w:szCs w:val="24"/>
          <w:highlight w:val="none"/>
          <w:lang w:val="zh-CN"/>
        </w:rPr>
        <w:t>，阿尔金山荒漠草原生物多样性保护生态亚区，阿尔金山荒漠草原及野骆驼保护生态功能区</w:t>
      </w:r>
      <w:r>
        <w:rPr>
          <w:rFonts w:hint="default" w:ascii="Times New Roman" w:hAnsi="Times New Roman" w:cs="Times New Roman"/>
          <w:color w:val="auto"/>
          <w:highlight w:val="none"/>
        </w:rPr>
        <w:t>。项目建设</w:t>
      </w:r>
      <w:r>
        <w:rPr>
          <w:rFonts w:hint="eastAsia" w:ascii="Times New Roman" w:hAnsi="Times New Roman" w:cs="Times New Roman"/>
          <w:color w:val="auto"/>
          <w:highlight w:val="none"/>
          <w:lang w:eastAsia="zh-CN"/>
        </w:rPr>
        <w:t>期间</w:t>
      </w:r>
      <w:r>
        <w:rPr>
          <w:rFonts w:hint="default" w:ascii="Times New Roman" w:hAnsi="Times New Roman" w:cs="Times New Roman"/>
          <w:color w:val="auto"/>
          <w:highlight w:val="none"/>
        </w:rPr>
        <w:t>应严格按照施工范围施工，规范施工作业，尽量少占草场，避免损坏草场的行为发生。各道路及管线等施工完毕后及时洒水封育恢复植被。对占用草场造成一定经济损失的，应与当地草原部门协商予以经济补偿或采取</w:t>
      </w:r>
      <w:r>
        <w:rPr>
          <w:rFonts w:hint="eastAsia" w:ascii="Times New Roman" w:hAnsi="Times New Roman" w:cs="Times New Roman"/>
          <w:color w:val="auto"/>
          <w:highlight w:val="none"/>
          <w:lang w:eastAsia="zh-CN"/>
        </w:rPr>
        <w:t>其他</w:t>
      </w:r>
      <w:r>
        <w:rPr>
          <w:rFonts w:hint="default" w:ascii="Times New Roman" w:hAnsi="Times New Roman" w:cs="Times New Roman"/>
          <w:color w:val="auto"/>
          <w:highlight w:val="none"/>
        </w:rPr>
        <w:t>补偿措施。</w:t>
      </w:r>
    </w:p>
    <w:p w14:paraId="6913BC5E">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重视景观生态的保护，尽量避免露天作业、地面生产应尽量密闭作业避免扬尘逸散，优化项目区建筑及道路，从设计、施工、运营等各个环节充分考虑对景观的保护。运行期应大力进行项目区人工绿化，在不影响运输、消防的前提下，绿化区域主要放在未被建（构）筑物覆盖的地表及厂区道路两侧，同时包括项目区周围的场地。</w:t>
      </w:r>
    </w:p>
    <w:p w14:paraId="54B4A584">
      <w:pPr>
        <w:pStyle w:val="7"/>
        <w:ind w:firstLine="482"/>
        <w:rPr>
          <w:rFonts w:hint="default" w:ascii="Times New Roman" w:hAnsi="Times New Roman" w:cs="Times New Roman"/>
          <w:color w:val="auto"/>
          <w:highlight w:val="none"/>
        </w:rPr>
      </w:pPr>
      <w:r>
        <w:rPr>
          <w:rFonts w:hint="default" w:ascii="Times New Roman" w:hAnsi="Times New Roman" w:cs="Times New Roman"/>
          <w:color w:val="auto"/>
          <w:highlight w:val="none"/>
        </w:rPr>
        <w:t>6.2.7.</w:t>
      </w:r>
      <w:r>
        <w:rPr>
          <w:rFonts w:hint="eastAsia" w:cs="Times New Roman"/>
          <w:color w:val="auto"/>
          <w:highlight w:val="none"/>
          <w:lang w:val="en-US" w:eastAsia="zh-CN"/>
        </w:rPr>
        <w:t>4尾矿库</w:t>
      </w:r>
      <w:r>
        <w:rPr>
          <w:rFonts w:hint="default" w:ascii="Times New Roman" w:hAnsi="Times New Roman" w:cs="Times New Roman"/>
          <w:color w:val="auto"/>
          <w:highlight w:val="none"/>
        </w:rPr>
        <w:t>服务期满生态环境保护措施</w:t>
      </w:r>
    </w:p>
    <w:p w14:paraId="2F7AFE8D">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项目区选矿厂停止使用及尾矿库闭库后，应开展污染场地调查、风险评估与生态修复治理措施。项目区应修筑绿化场地，周边设置排水系统，覆土、栽种耐寒植被，形成永久植被覆盖。</w:t>
      </w:r>
    </w:p>
    <w:p w14:paraId="075B072A">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尾矿库闭库后，坝体和坝内应视尾矿库所处地区气象条件、尾矿污染物毒性、植被恢复方式、土源情况进行不同厚度进行覆土，因地制宜进行植被恢复和综合利用，恢复植被的覆土厚度应不低于10cm。</w:t>
      </w:r>
    </w:p>
    <w:p w14:paraId="312F7F0B">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项目服务期满后应进行覆土回填、平整等工程技术措施，最后种植适合当地生长的</w:t>
      </w:r>
      <w:r>
        <w:rPr>
          <w:rFonts w:hint="default" w:ascii="Times New Roman" w:hAnsi="Times New Roman" w:cs="Times New Roman"/>
          <w:color w:val="auto"/>
          <w:highlight w:val="none"/>
          <w:lang w:eastAsia="zh-CN"/>
        </w:rPr>
        <w:t>耐旱植被</w:t>
      </w:r>
      <w:r>
        <w:rPr>
          <w:rFonts w:hint="default" w:ascii="Times New Roman" w:hAnsi="Times New Roman" w:cs="Times New Roman"/>
          <w:color w:val="auto"/>
          <w:highlight w:val="none"/>
        </w:rPr>
        <w:t>。根据项目区实际情况，各复垦区主要采取以下几种工程技术措施：</w:t>
      </w:r>
    </w:p>
    <w:p w14:paraId="219583A1">
      <w:pPr>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平整：项目占压土地后，使原有的土地形态发生改变，导致原有土地的表层起伏不平，难以达到预期的土地利用方向。根据相关标准，需对区域进行土地平整，使平整后的地面坡度不超过5°。</w:t>
      </w:r>
    </w:p>
    <w:p w14:paraId="4F5EA49C">
      <w:pPr>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植被：复垦区土壤有机质含量较低、土壤改良期内，采用绿肥的种植结构，基肥以有机肥为主，最好是腐熟的堆厩肥，要合理施用化肥，提倡平衡施肥，以达到培肥土壤的目的。</w:t>
      </w:r>
    </w:p>
    <w:p w14:paraId="4C7FE839">
      <w:pPr>
        <w:pStyle w:val="6"/>
        <w:rPr>
          <w:rFonts w:hint="default" w:ascii="Times New Roman" w:hAnsi="Times New Roman" w:cs="Times New Roman"/>
          <w:color w:val="auto"/>
          <w:highlight w:val="none"/>
        </w:rPr>
      </w:pPr>
      <w:bookmarkStart w:id="771" w:name="_Toc8684"/>
      <w:bookmarkStart w:id="772" w:name="_Toc17083"/>
      <w:bookmarkStart w:id="773" w:name="_Toc3586"/>
      <w:r>
        <w:rPr>
          <w:rFonts w:hint="default" w:ascii="Times New Roman" w:hAnsi="Times New Roman" w:cs="Times New Roman"/>
          <w:color w:val="auto"/>
          <w:highlight w:val="none"/>
        </w:rPr>
        <w:t>6.2.8水土保持措施</w:t>
      </w:r>
      <w:bookmarkEnd w:id="771"/>
      <w:bookmarkEnd w:id="772"/>
      <w:bookmarkEnd w:id="773"/>
    </w:p>
    <w:p w14:paraId="26BBC3FD">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根据“谁开发，谁保护；谁破坏，谁治理”的原则，依据本工程所处区域的自然、社会环境条件和工程</w:t>
      </w:r>
      <w:r>
        <w:rPr>
          <w:rFonts w:hint="eastAsia" w:ascii="Times New Roman" w:hAnsi="Times New Roman" w:cs="Times New Roman"/>
          <w:color w:val="auto"/>
          <w:szCs w:val="24"/>
          <w:highlight w:val="none"/>
          <w:lang w:eastAsia="zh-CN"/>
        </w:rPr>
        <w:t>对</w:t>
      </w:r>
      <w:r>
        <w:rPr>
          <w:rFonts w:hint="default" w:ascii="Times New Roman" w:hAnsi="Times New Roman" w:cs="Times New Roman"/>
          <w:color w:val="auto"/>
          <w:szCs w:val="24"/>
          <w:highlight w:val="none"/>
        </w:rPr>
        <w:t>水土流失的实际影响，提出如下水土保持的方案。</w:t>
      </w:r>
    </w:p>
    <w:p w14:paraId="1249BD4F">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1</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做好施工规划及施工组织设计</w:t>
      </w:r>
    </w:p>
    <w:p w14:paraId="551CBE1C">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在项目开工前，重视做好施工规划工作，合理布设施工场地，减少占用土地，建筑物按天然地势布置，减少挖填方量。在尽量减轻生态不利影响的前提下进行有序开采。在选矿厂的厂区完善排洪工程。</w:t>
      </w:r>
    </w:p>
    <w:p w14:paraId="5D9768F7">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施工过</w:t>
      </w:r>
      <w:r>
        <w:rPr>
          <w:rFonts w:hint="eastAsia" w:ascii="Times New Roman" w:hAnsi="Times New Roman" w:cs="Times New Roman"/>
          <w:color w:val="auto"/>
          <w:szCs w:val="24"/>
          <w:highlight w:val="none"/>
          <w:lang w:eastAsia="zh-CN"/>
        </w:rPr>
        <w:t>程中</w:t>
      </w:r>
      <w:r>
        <w:rPr>
          <w:rFonts w:hint="default" w:ascii="Times New Roman" w:hAnsi="Times New Roman" w:cs="Times New Roman"/>
          <w:color w:val="auto"/>
          <w:szCs w:val="24"/>
          <w:highlight w:val="none"/>
        </w:rPr>
        <w:t>要加强施工监理，防止施工人员及施工机械超范围的活动，</w:t>
      </w:r>
      <w:r>
        <w:rPr>
          <w:rFonts w:hint="eastAsia" w:ascii="Times New Roman" w:hAnsi="Times New Roman" w:cs="Times New Roman"/>
          <w:color w:val="auto"/>
          <w:szCs w:val="24"/>
          <w:highlight w:val="none"/>
          <w:lang w:eastAsia="zh-CN"/>
        </w:rPr>
        <w:t>防止</w:t>
      </w:r>
      <w:r>
        <w:rPr>
          <w:rFonts w:hint="default" w:ascii="Times New Roman" w:hAnsi="Times New Roman" w:cs="Times New Roman"/>
          <w:color w:val="auto"/>
          <w:szCs w:val="24"/>
          <w:highlight w:val="none"/>
        </w:rPr>
        <w:t>超范围设置临时设施和堆放施工材料。对产生的弃土应合理及时进行填埋。</w:t>
      </w:r>
    </w:p>
    <w:p w14:paraId="7BEAC8E1">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施工结束后要对施工迹地进行清理平整与植被恢复工作。对无用的临时建筑应予以拆除，然后根据实施情况实施人工绿化或植被自然恢复工作。</w:t>
      </w:r>
    </w:p>
    <w:p w14:paraId="169CBD41">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2</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场地道路应沿天然地形及便道进行修筑，以减少挖填方量。在山坡上开辟路基时，要做好护坡及挡土墙，完善排水系统，并在靠山一侧设置挡雪栅栏。</w:t>
      </w:r>
    </w:p>
    <w:p w14:paraId="53282B20">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3</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做好选矿厂及场内道路两侧的绿化工作。选择适宜</w:t>
      </w:r>
      <w:r>
        <w:rPr>
          <w:rFonts w:hint="eastAsia" w:ascii="Times New Roman" w:hAnsi="Times New Roman" w:cs="Times New Roman"/>
          <w:color w:val="auto"/>
          <w:szCs w:val="24"/>
          <w:highlight w:val="none"/>
          <w:lang w:eastAsia="zh-CN"/>
        </w:rPr>
        <w:t>当地</w:t>
      </w:r>
      <w:r>
        <w:rPr>
          <w:rFonts w:hint="default" w:ascii="Times New Roman" w:hAnsi="Times New Roman" w:cs="Times New Roman"/>
          <w:color w:val="auto"/>
          <w:szCs w:val="24"/>
          <w:highlight w:val="none"/>
        </w:rPr>
        <w:t>生长的草本或灌木植被为种植对象。</w:t>
      </w:r>
    </w:p>
    <w:p w14:paraId="5A772F6C">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4</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闭库后要拆除一切无用设施，平整场地。</w:t>
      </w:r>
    </w:p>
    <w:p w14:paraId="34082647">
      <w:pPr>
        <w:overflowPunct w:val="0"/>
        <w:topLinePunct/>
        <w:spacing w:line="480" w:lineRule="exact"/>
        <w:ind w:firstLine="480"/>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lang w:val="en-US" w:eastAsia="zh-CN"/>
        </w:rPr>
        <w:t>5</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根据《中华人民共和国水土保持法</w:t>
      </w:r>
      <w:r>
        <w:rPr>
          <w:rFonts w:hint="eastAsia"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开发建设项目水土保持方案管理办法》等有关法律法规要求，尽早委托有资质相关单位编制本项目的水土保持方案。</w:t>
      </w:r>
    </w:p>
    <w:p w14:paraId="518874EB">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rPr>
        <w:t>6.2.9</w:t>
      </w:r>
      <w:r>
        <w:rPr>
          <w:rFonts w:hint="eastAsia" w:cs="Times New Roman"/>
          <w:color w:val="auto"/>
          <w:highlight w:val="none"/>
          <w:lang w:eastAsia="zh-CN"/>
        </w:rPr>
        <w:t>闭矿期</w:t>
      </w:r>
      <w:r>
        <w:rPr>
          <w:rFonts w:hint="default" w:ascii="Times New Roman" w:hAnsi="Times New Roman" w:cs="Times New Roman"/>
          <w:color w:val="auto"/>
          <w:highlight w:val="none"/>
        </w:rPr>
        <w:t>环境保护措施</w:t>
      </w:r>
    </w:p>
    <w:p w14:paraId="6382160F">
      <w:pPr>
        <w:keepNext/>
        <w:keepLines/>
        <w:ind w:firstLine="482"/>
        <w:jc w:val="left"/>
        <w:outlineLvl w:val="3"/>
        <w:rPr>
          <w:rFonts w:hint="eastAsia" w:cs="Times New Roman"/>
          <w:b/>
          <w:color w:val="auto"/>
          <w:kern w:val="0"/>
          <w:szCs w:val="22"/>
          <w:highlight w:val="none"/>
          <w:lang w:val="en-US" w:eastAsia="zh-CN"/>
        </w:rPr>
      </w:pPr>
      <w:r>
        <w:rPr>
          <w:rFonts w:hint="default" w:ascii="Times New Roman" w:hAnsi="Times New Roman" w:cs="Times New Roman"/>
          <w:b/>
          <w:color w:val="auto"/>
          <w:kern w:val="0"/>
          <w:szCs w:val="22"/>
          <w:highlight w:val="none"/>
        </w:rPr>
        <w:t>6.2.9.1</w:t>
      </w:r>
      <w:r>
        <w:rPr>
          <w:rFonts w:hint="eastAsia" w:cs="Times New Roman"/>
          <w:b/>
          <w:color w:val="auto"/>
          <w:kern w:val="0"/>
          <w:szCs w:val="22"/>
          <w:highlight w:val="none"/>
          <w:lang w:val="en-US" w:eastAsia="zh-CN"/>
        </w:rPr>
        <w:t>采场恢复措施</w:t>
      </w:r>
    </w:p>
    <w:p w14:paraId="58900942">
      <w:pPr>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地下开采期间定期对开采区域进行巡视，若出现地面塌陷区，则划为禁入范围，矿山闭</w:t>
      </w:r>
      <w:r>
        <w:rPr>
          <w:rFonts w:hint="default" w:ascii="Times New Roman" w:hAnsi="Times New Roman" w:eastAsia="宋体" w:cs="Times New Roman"/>
          <w:color w:val="auto"/>
          <w:kern w:val="0"/>
          <w:sz w:val="24"/>
          <w:szCs w:val="24"/>
          <w:highlight w:val="none"/>
          <w:lang w:val="en-US" w:eastAsia="zh-CN"/>
        </w:rPr>
        <w:t>矿</w:t>
      </w:r>
      <w:r>
        <w:rPr>
          <w:rFonts w:hint="default" w:ascii="Times New Roman" w:hAnsi="Times New Roman" w:eastAsia="宋体" w:cs="Times New Roman"/>
          <w:color w:val="auto"/>
          <w:kern w:val="0"/>
          <w:sz w:val="24"/>
          <w:szCs w:val="24"/>
          <w:highlight w:val="none"/>
        </w:rPr>
        <w:t>后如出现地面塌陷坑，利用废石进行回填，废石均回填至</w:t>
      </w:r>
      <w:r>
        <w:rPr>
          <w:rFonts w:hint="default" w:ascii="Times New Roman" w:hAnsi="Times New Roman" w:eastAsia="宋体" w:cs="Times New Roman"/>
          <w:color w:val="auto"/>
          <w:kern w:val="0"/>
          <w:sz w:val="24"/>
          <w:szCs w:val="24"/>
          <w:highlight w:val="none"/>
          <w:lang w:eastAsia="zh-CN"/>
        </w:rPr>
        <w:t>井</w:t>
      </w:r>
      <w:r>
        <w:rPr>
          <w:rFonts w:hint="default" w:ascii="Times New Roman" w:hAnsi="Times New Roman" w:eastAsia="宋体" w:cs="Times New Roman"/>
          <w:color w:val="auto"/>
          <w:kern w:val="0"/>
          <w:sz w:val="24"/>
          <w:szCs w:val="24"/>
          <w:highlight w:val="none"/>
        </w:rPr>
        <w:t>内，对回填后的高陡边坡进行削坡处理，使之与周边环境协调。</w:t>
      </w:r>
    </w:p>
    <w:p w14:paraId="314711A8">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根据各矿体开采结束时间，遵循</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边开采，边治理</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原则进行采矿工业场地的防治工程，其地形地貌景观的防治工程为：将区内地面建筑设施全部拆除，可再利用材料外运，废弃物用于封堵各风井口，对场地进行平整处理，基本恢复原有地形地貌景观。</w:t>
      </w:r>
    </w:p>
    <w:p w14:paraId="1881D374">
      <w:pPr>
        <w:pageBreakBefore w:val="0"/>
        <w:widowControl w:val="0"/>
        <w:kinsoku/>
        <w:wordWrap/>
        <w:overflowPunct/>
        <w:topLinePunct w:val="0"/>
        <w:autoSpaceDE/>
        <w:autoSpaceDN/>
        <w:bidi w:val="0"/>
        <w:adjustRightInd/>
        <w:snapToGrid/>
        <w:spacing w:line="480" w:lineRule="exact"/>
        <w:ind w:firstLine="480" w:firstLineChars="200"/>
        <w:textAlignment w:val="auto"/>
        <w:outlineLvl w:val="9"/>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①将场地内拆除的砌体废弃物全部用于封堵风井。</w:t>
      </w:r>
    </w:p>
    <w:p w14:paraId="4CAA997D">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②矿山开采完毕后，将废石回填风井。剩余废渣石，回填至可能出现的塌陷区内并对场地进行整平，与周围地形地貌相协调。</w:t>
      </w:r>
    </w:p>
    <w:p w14:paraId="195F4805">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③采场的场地整治和覆土方法根据场地坡度来确定。水平地和15°以下缓坡地可采用</w:t>
      </w:r>
      <w:r>
        <w:rPr>
          <w:rFonts w:hint="eastAsia" w:cs="Times New Roman"/>
          <w:color w:val="auto"/>
          <w:kern w:val="0"/>
          <w:sz w:val="24"/>
          <w:szCs w:val="24"/>
          <w:highlight w:val="none"/>
          <w:lang w:val="en-US" w:eastAsia="zh-CN"/>
        </w:rPr>
        <w:t>废石堆场</w:t>
      </w:r>
      <w:r>
        <w:rPr>
          <w:rFonts w:hint="default" w:ascii="Times New Roman" w:hAnsi="Times New Roman" w:eastAsia="宋体" w:cs="Times New Roman"/>
          <w:color w:val="auto"/>
          <w:kern w:val="0"/>
          <w:sz w:val="24"/>
          <w:szCs w:val="24"/>
          <w:highlight w:val="none"/>
        </w:rPr>
        <w:t>废石进行回填利用，如物料充填、底板耕松、挖高垫低等方法；15°以上陡坡地可采用挖穴填土、砌筑植生盆（槽）填土、喷混、阶梯整形覆土等方法。具体矿山恢复方案按照《地质环境保护与土地复垦方案》要求执行。</w:t>
      </w:r>
    </w:p>
    <w:p w14:paraId="2B3DF330">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color w:val="auto"/>
          <w:highlight w:val="none"/>
          <w:lang w:val="en-US" w:eastAsia="zh-CN"/>
        </w:rPr>
      </w:pPr>
      <w:r>
        <w:rPr>
          <w:rFonts w:hint="default" w:ascii="Times New Roman" w:hAnsi="Times New Roman" w:eastAsia="宋体" w:cs="Times New Roman"/>
          <w:color w:val="auto"/>
          <w:kern w:val="0"/>
          <w:sz w:val="24"/>
          <w:szCs w:val="24"/>
          <w:highlight w:val="none"/>
        </w:rPr>
        <w:t>④采场恢复与利用采场应平整、回填后进行生态恢复，并与周边地表景观相协调，恢复后的采场进行土地资源再利用时，在坡度、土层厚度、稳定性、土壤环境安全性等方面应满足相关用地要求。</w:t>
      </w:r>
    </w:p>
    <w:p w14:paraId="1D8115AA">
      <w:pPr>
        <w:keepNext/>
        <w:keepLines/>
        <w:ind w:firstLine="482"/>
        <w:jc w:val="left"/>
        <w:outlineLvl w:val="3"/>
        <w:rPr>
          <w:rFonts w:hint="default" w:ascii="Times New Roman" w:hAnsi="Times New Roman" w:cs="Times New Roman"/>
          <w:b/>
          <w:color w:val="auto"/>
          <w:kern w:val="0"/>
          <w:szCs w:val="22"/>
          <w:highlight w:val="none"/>
        </w:rPr>
      </w:pPr>
      <w:r>
        <w:rPr>
          <w:rFonts w:hint="default" w:ascii="Times New Roman" w:hAnsi="Times New Roman" w:cs="Times New Roman"/>
          <w:b/>
          <w:color w:val="auto"/>
          <w:kern w:val="0"/>
          <w:szCs w:val="22"/>
          <w:highlight w:val="none"/>
        </w:rPr>
        <w:t>6.2.9.2选矿厂恢复措施</w:t>
      </w:r>
    </w:p>
    <w:p w14:paraId="79721D4A">
      <w:pPr>
        <w:widowControl/>
        <w:ind w:firstLine="48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选矿厂拆除各建筑物、清理平整场地，</w:t>
      </w:r>
      <w:r>
        <w:rPr>
          <w:rFonts w:hint="default" w:ascii="Times New Roman" w:hAnsi="Times New Roman" w:cs="Times New Roman"/>
          <w:color w:val="auto"/>
          <w:highlight w:val="none"/>
        </w:rPr>
        <w:t>清理完毕后对场地进行平整，平整方式主要借助挖掘机、推土机进行削高填低，根据周边地形地貌特征，将土地平整后的地形起伏控制在10°以内。</w:t>
      </w:r>
      <w:r>
        <w:rPr>
          <w:rFonts w:hint="default" w:ascii="Times New Roman" w:hAnsi="Times New Roman" w:cs="Times New Roman" w:eastAsiaTheme="minorEastAsia"/>
          <w:color w:val="auto"/>
          <w:highlight w:val="none"/>
        </w:rPr>
        <w:t>可利用建筑材料全部回收利用，少量建筑垃圾送垃圾填埋场填埋。</w:t>
      </w:r>
    </w:p>
    <w:p w14:paraId="01B19935">
      <w:pPr>
        <w:keepNext/>
        <w:keepLines/>
        <w:ind w:firstLine="482"/>
        <w:jc w:val="left"/>
        <w:outlineLvl w:val="3"/>
        <w:rPr>
          <w:rFonts w:hint="default" w:ascii="Times New Roman" w:hAnsi="Times New Roman" w:cs="Times New Roman"/>
          <w:b/>
          <w:color w:val="auto"/>
          <w:kern w:val="0"/>
          <w:szCs w:val="22"/>
          <w:highlight w:val="none"/>
        </w:rPr>
      </w:pPr>
      <w:r>
        <w:rPr>
          <w:rFonts w:hint="eastAsia" w:cs="Times New Roman"/>
          <w:b/>
          <w:color w:val="auto"/>
          <w:kern w:val="0"/>
          <w:szCs w:val="22"/>
          <w:highlight w:val="none"/>
          <w:lang w:val="en-US" w:eastAsia="zh-CN"/>
        </w:rPr>
        <w:t>6.2.9.3</w:t>
      </w:r>
      <w:r>
        <w:rPr>
          <w:rFonts w:hint="default" w:ascii="Times New Roman" w:hAnsi="Times New Roman" w:cs="Times New Roman"/>
          <w:b/>
          <w:color w:val="auto"/>
          <w:kern w:val="0"/>
          <w:szCs w:val="22"/>
          <w:highlight w:val="none"/>
        </w:rPr>
        <w:t>尾矿库恢复措施</w:t>
      </w:r>
    </w:p>
    <w:p w14:paraId="286FC9EE">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（1）闭库环境管理</w:t>
      </w:r>
    </w:p>
    <w:p w14:paraId="41526D07">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在尾矿库停止使用后必须进行处置，保证坝体安全，不污染环境，消除污染事故隐患。尾矿库运行到设计最终标高或者不再进行排尾作业时，应当在一年内完成闭库。尾矿库经安全监管部门闭库验收合格后，方可对尾矿库的环境污染防治设施、生态保护工程进行闭库验收，验收时应对尾矿库中的尾砂进行环境达标监测。关闭尾矿设施必须经企业报</w:t>
      </w:r>
      <w:r>
        <w:rPr>
          <w:rFonts w:hint="default" w:ascii="Times New Roman" w:hAnsi="Times New Roman" w:cs="Times New Roman"/>
          <w:color w:val="auto"/>
          <w:highlight w:val="none"/>
          <w:lang w:eastAsia="zh-CN"/>
        </w:rPr>
        <w:t>自治区生态环境</w:t>
      </w:r>
      <w:r>
        <w:rPr>
          <w:rFonts w:hint="default" w:ascii="Times New Roman" w:hAnsi="Times New Roman" w:cs="Times New Roman"/>
          <w:color w:val="auto"/>
          <w:highlight w:val="none"/>
        </w:rPr>
        <w:t>行政</w:t>
      </w:r>
      <w:r>
        <w:rPr>
          <w:rFonts w:hint="default" w:ascii="Times New Roman" w:hAnsi="Times New Roman" w:cs="Times New Roman"/>
          <w:color w:val="auto"/>
          <w:highlight w:val="none"/>
          <w:lang w:eastAsia="zh-CN"/>
        </w:rPr>
        <w:t>主管</w:t>
      </w:r>
      <w:r>
        <w:rPr>
          <w:rFonts w:hint="default" w:ascii="Times New Roman" w:hAnsi="Times New Roman" w:cs="Times New Roman"/>
          <w:color w:val="auto"/>
          <w:highlight w:val="none"/>
        </w:rPr>
        <w:t>部门验收、批准。经验收移交后的尾矿设施其污染防治由接收单位负责。利用处置过的尾矿或其设施，需经</w:t>
      </w:r>
      <w:r>
        <w:rPr>
          <w:rFonts w:hint="default" w:ascii="Times New Roman" w:hAnsi="Times New Roman" w:cs="Times New Roman"/>
          <w:color w:val="auto"/>
          <w:highlight w:val="none"/>
          <w:lang w:eastAsia="zh-CN"/>
        </w:rPr>
        <w:t>生态环境</w:t>
      </w:r>
      <w:r>
        <w:rPr>
          <w:rFonts w:hint="default" w:ascii="Times New Roman" w:hAnsi="Times New Roman" w:cs="Times New Roman"/>
          <w:color w:val="auto"/>
          <w:highlight w:val="none"/>
        </w:rPr>
        <w:t>行政</w:t>
      </w:r>
      <w:r>
        <w:rPr>
          <w:rFonts w:hint="default" w:ascii="Times New Roman" w:hAnsi="Times New Roman" w:cs="Times New Roman"/>
          <w:color w:val="auto"/>
          <w:highlight w:val="none"/>
          <w:lang w:eastAsia="zh-CN"/>
        </w:rPr>
        <w:t>主管</w:t>
      </w:r>
      <w:r>
        <w:rPr>
          <w:rFonts w:hint="default" w:ascii="Times New Roman" w:hAnsi="Times New Roman" w:cs="Times New Roman"/>
          <w:color w:val="auto"/>
          <w:highlight w:val="none"/>
        </w:rPr>
        <w:t>部门批准，并报</w:t>
      </w:r>
      <w:r>
        <w:rPr>
          <w:rFonts w:hint="default" w:ascii="Times New Roman" w:hAnsi="Times New Roman" w:cs="Times New Roman"/>
          <w:color w:val="auto"/>
          <w:highlight w:val="none"/>
          <w:lang w:eastAsia="zh-CN"/>
        </w:rPr>
        <w:t>生态环境</w:t>
      </w:r>
      <w:r>
        <w:rPr>
          <w:rFonts w:hint="default" w:ascii="Times New Roman" w:hAnsi="Times New Roman" w:cs="Times New Roman"/>
          <w:color w:val="auto"/>
          <w:highlight w:val="none"/>
        </w:rPr>
        <w:t>行政</w:t>
      </w:r>
      <w:r>
        <w:rPr>
          <w:rFonts w:hint="default" w:ascii="Times New Roman" w:hAnsi="Times New Roman" w:cs="Times New Roman"/>
          <w:color w:val="auto"/>
          <w:highlight w:val="none"/>
          <w:lang w:eastAsia="zh-CN"/>
        </w:rPr>
        <w:t>主管</w:t>
      </w:r>
      <w:r>
        <w:rPr>
          <w:rFonts w:hint="default" w:ascii="Times New Roman" w:hAnsi="Times New Roman" w:cs="Times New Roman"/>
          <w:color w:val="auto"/>
          <w:highlight w:val="none"/>
        </w:rPr>
        <w:t>部门备案。闭库后的尾矿库，必须做好坝体及排洪设施的维护。未经论证和批准，不得蓄水、严禁在尾矿坝和库内进行乱采、滥挖、违章建筑和违章作业；未经设计论证和批准，不得重新启用或改作他用。</w:t>
      </w:r>
    </w:p>
    <w:p w14:paraId="7DFC29B3">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保留库内排水系统，闭库后尾矿库汇水面积内降水通过该系统排出库区。</w:t>
      </w:r>
    </w:p>
    <w:p w14:paraId="31015E53">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（2）闭库后的生态恢复措施</w:t>
      </w:r>
    </w:p>
    <w:p w14:paraId="6C34453F">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闭库后的尾矿库，应加强监督检查与管理。观测设施应继续维持正常运转；坝体稳定性不足的，应采取削坡、压坡、降低浸润线等措施，使坝体稳定性满足标准要求；完善坝面排水沟、覆土及植被绿化、坝肩截水沟等。闭库后尾矿库占用区域应分期绿化，宜尽量恢复至利用前土地使用功能。经批准闭库的尾矿库重新启用或改作他用时，必须按照规定进行技术论证、工程设计、环境评价及安全评价。</w:t>
      </w:r>
    </w:p>
    <w:p w14:paraId="58358B4A">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尾矿库封库后采取的生态恢复措施具体如下：</w:t>
      </w:r>
    </w:p>
    <w:p w14:paraId="3B7F7968">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（1）对尾矿库库面进行平整，使平整后的地面坡度不超过5°。</w:t>
      </w:r>
    </w:p>
    <w:p w14:paraId="09342D09">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（2）采用人工和机械相结合的方式对平整后的表土进行必要的碾压，使其达到天然土壤的干密度。</w:t>
      </w:r>
    </w:p>
    <w:p w14:paraId="558CEEE4">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（3）尾矿库生态恢复后应与周边环境相协调，尽量达到原土地使用功能。</w:t>
      </w:r>
    </w:p>
    <w:p w14:paraId="551DBF0C">
      <w:pPr>
        <w:keepNext/>
        <w:keepLines/>
        <w:ind w:firstLine="482"/>
        <w:jc w:val="left"/>
        <w:outlineLvl w:val="3"/>
        <w:rPr>
          <w:rFonts w:hint="default" w:ascii="Times New Roman" w:hAnsi="Times New Roman" w:cs="Times New Roman"/>
          <w:b/>
          <w:color w:val="auto"/>
          <w:kern w:val="0"/>
          <w:szCs w:val="22"/>
          <w:highlight w:val="none"/>
        </w:rPr>
      </w:pPr>
      <w:r>
        <w:rPr>
          <w:rFonts w:hint="default" w:ascii="Times New Roman" w:hAnsi="Times New Roman" w:cs="Times New Roman"/>
          <w:b/>
          <w:color w:val="auto"/>
          <w:kern w:val="0"/>
          <w:szCs w:val="22"/>
          <w:highlight w:val="none"/>
        </w:rPr>
        <w:t>6.2.9.</w:t>
      </w:r>
      <w:r>
        <w:rPr>
          <w:rFonts w:hint="eastAsia" w:cs="Times New Roman"/>
          <w:b/>
          <w:color w:val="auto"/>
          <w:kern w:val="0"/>
          <w:szCs w:val="22"/>
          <w:highlight w:val="none"/>
          <w:lang w:val="en-US" w:eastAsia="zh-CN"/>
        </w:rPr>
        <w:t>4</w:t>
      </w:r>
      <w:r>
        <w:rPr>
          <w:rFonts w:hint="default" w:ascii="Times New Roman" w:hAnsi="Times New Roman" w:cs="Times New Roman"/>
          <w:b/>
          <w:color w:val="auto"/>
          <w:kern w:val="0"/>
          <w:szCs w:val="22"/>
          <w:highlight w:val="none"/>
        </w:rPr>
        <w:t>尾矿再利用及尾矿闭库后再利用</w:t>
      </w:r>
    </w:p>
    <w:p w14:paraId="466891CF">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（1）在用尾矿库进行回采再利用或经批准闭库的尾矿库重新启用或改作他用时，必须按照《尾矿库安全技术规程》（AQ2006-2005）中尾矿库建设的规定进行技术论证、工程设计、安全评价。</w:t>
      </w:r>
    </w:p>
    <w:p w14:paraId="7F10CB88">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（2）在尾矿库再利用生产运行过程中必须按照《尾矿库安全技术规程》（AQ2006-2005）要求尾矿库安全生产运行的规定确保尾矿库安全。</w:t>
      </w:r>
    </w:p>
    <w:p w14:paraId="735BF0C4">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（3）对在用尾矿库或已闭库尾矿库进行回采再利用的，不得影响尾矿坝和原排洪设施的安全。</w:t>
      </w:r>
    </w:p>
    <w:p w14:paraId="27D62840">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4）尾矿库再利用生产完成后，应按照《尾矿库安全技术规程》（AQ2006-2005）第9章尾矿库闭库的规定，进行闭库。尾矿库达到正常库标准，进行闭库整治设计，确保尾矿库防洪能力和尾矿坝稳定性满足规程要求，完善坝面排水沟和土石覆盖或植被绿化、坝肩截水沟、观测设施等。</w:t>
      </w:r>
    </w:p>
    <w:p w14:paraId="534AF1FE">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（5）本项目产生的尾矿库砂后期可用于尾矿库筑坝使用，同时企业利用尾砂回填井下采空区，以减少尾砂入库量。</w:t>
      </w:r>
    </w:p>
    <w:p w14:paraId="14CA71C8">
      <w:pPr>
        <w:spacing w:after="0"/>
        <w:ind w:firstLine="48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本项目各阶段生态恢复措施详见表6.2-3。</w:t>
      </w:r>
    </w:p>
    <w:p w14:paraId="47988FF9">
      <w:pPr>
        <w:pStyle w:val="19"/>
        <w:bidi w:val="0"/>
        <w:rPr>
          <w:rFonts w:hint="default"/>
          <w:color w:val="auto"/>
          <w:highlight w:val="none"/>
        </w:rPr>
      </w:pPr>
      <w:r>
        <w:rPr>
          <w:rFonts w:hint="default"/>
          <w:color w:val="auto"/>
          <w:highlight w:val="none"/>
        </w:rPr>
        <w:t>表6.2-3    生态恢复措施一览表</w:t>
      </w:r>
    </w:p>
    <w:tbl>
      <w:tblPr>
        <w:tblStyle w:val="13"/>
        <w:tblW w:w="0" w:type="auto"/>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9"/>
        <w:gridCol w:w="5987"/>
        <w:gridCol w:w="1010"/>
      </w:tblGrid>
      <w:tr w14:paraId="3076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trPr>
        <w:tc>
          <w:tcPr>
            <w:tcW w:w="1339" w:type="dxa"/>
            <w:vAlign w:val="center"/>
          </w:tcPr>
          <w:p w14:paraId="4BC554F5">
            <w:pPr>
              <w:pStyle w:val="17"/>
              <w:bidi w:val="0"/>
              <w:rPr>
                <w:rFonts w:hint="default"/>
                <w:color w:val="auto"/>
                <w:highlight w:val="none"/>
              </w:rPr>
            </w:pPr>
            <w:r>
              <w:rPr>
                <w:rFonts w:hint="default"/>
                <w:color w:val="auto"/>
                <w:highlight w:val="none"/>
              </w:rPr>
              <w:t>环境问题</w:t>
            </w:r>
          </w:p>
        </w:tc>
        <w:tc>
          <w:tcPr>
            <w:tcW w:w="5987" w:type="dxa"/>
            <w:vAlign w:val="center"/>
          </w:tcPr>
          <w:p w14:paraId="3A40F439">
            <w:pPr>
              <w:pStyle w:val="17"/>
              <w:bidi w:val="0"/>
              <w:rPr>
                <w:rFonts w:hint="default"/>
                <w:color w:val="auto"/>
                <w:highlight w:val="none"/>
              </w:rPr>
            </w:pPr>
            <w:r>
              <w:rPr>
                <w:rFonts w:hint="default"/>
                <w:color w:val="auto"/>
                <w:highlight w:val="none"/>
              </w:rPr>
              <w:t>措施概要</w:t>
            </w:r>
          </w:p>
        </w:tc>
        <w:tc>
          <w:tcPr>
            <w:tcW w:w="1010" w:type="dxa"/>
            <w:vAlign w:val="center"/>
          </w:tcPr>
          <w:p w14:paraId="0214648E">
            <w:pPr>
              <w:pStyle w:val="17"/>
              <w:bidi w:val="0"/>
              <w:rPr>
                <w:rFonts w:hint="default"/>
                <w:color w:val="auto"/>
                <w:highlight w:val="none"/>
              </w:rPr>
            </w:pPr>
            <w:r>
              <w:rPr>
                <w:rFonts w:hint="default"/>
                <w:color w:val="auto"/>
                <w:highlight w:val="none"/>
              </w:rPr>
              <w:t>备注</w:t>
            </w:r>
          </w:p>
        </w:tc>
      </w:tr>
      <w:tr w14:paraId="1F19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339" w:type="dxa"/>
            <w:vAlign w:val="center"/>
          </w:tcPr>
          <w:p w14:paraId="7CC42D51">
            <w:pPr>
              <w:pStyle w:val="17"/>
              <w:bidi w:val="0"/>
              <w:rPr>
                <w:rFonts w:hint="default"/>
                <w:color w:val="auto"/>
                <w:highlight w:val="none"/>
              </w:rPr>
            </w:pPr>
            <w:r>
              <w:rPr>
                <w:rFonts w:hint="default"/>
                <w:color w:val="auto"/>
                <w:highlight w:val="none"/>
              </w:rPr>
              <w:t>施工期</w:t>
            </w:r>
          </w:p>
        </w:tc>
        <w:tc>
          <w:tcPr>
            <w:tcW w:w="5987" w:type="dxa"/>
            <w:vAlign w:val="center"/>
          </w:tcPr>
          <w:p w14:paraId="28C4474D">
            <w:pPr>
              <w:pStyle w:val="17"/>
              <w:bidi w:val="0"/>
              <w:rPr>
                <w:rFonts w:hint="default"/>
                <w:color w:val="auto"/>
                <w:highlight w:val="none"/>
              </w:rPr>
            </w:pPr>
            <w:r>
              <w:rPr>
                <w:rFonts w:hint="default"/>
                <w:color w:val="auto"/>
                <w:highlight w:val="none"/>
              </w:rPr>
              <w:t>环保措施实施阶段</w:t>
            </w:r>
          </w:p>
        </w:tc>
        <w:tc>
          <w:tcPr>
            <w:tcW w:w="1010" w:type="dxa"/>
            <w:vAlign w:val="center"/>
          </w:tcPr>
          <w:p w14:paraId="61C5DAB8">
            <w:pPr>
              <w:pStyle w:val="17"/>
              <w:bidi w:val="0"/>
              <w:rPr>
                <w:rFonts w:hint="default"/>
                <w:color w:val="auto"/>
                <w:highlight w:val="none"/>
              </w:rPr>
            </w:pPr>
            <w:r>
              <w:rPr>
                <w:rFonts w:hint="default"/>
                <w:color w:val="auto"/>
                <w:highlight w:val="none"/>
              </w:rPr>
              <w:t>落实单位</w:t>
            </w:r>
          </w:p>
        </w:tc>
      </w:tr>
      <w:tr w14:paraId="1E42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339" w:type="dxa"/>
            <w:vAlign w:val="center"/>
          </w:tcPr>
          <w:p w14:paraId="0614ED10">
            <w:pPr>
              <w:pStyle w:val="17"/>
              <w:bidi w:val="0"/>
              <w:rPr>
                <w:rFonts w:hint="default"/>
                <w:color w:val="auto"/>
                <w:highlight w:val="none"/>
              </w:rPr>
            </w:pPr>
            <w:r>
              <w:rPr>
                <w:rFonts w:hint="default"/>
                <w:color w:val="auto"/>
                <w:highlight w:val="none"/>
              </w:rPr>
              <w:t>生态</w:t>
            </w:r>
          </w:p>
        </w:tc>
        <w:tc>
          <w:tcPr>
            <w:tcW w:w="5987" w:type="dxa"/>
            <w:vAlign w:val="center"/>
          </w:tcPr>
          <w:p w14:paraId="7AE7F645">
            <w:pPr>
              <w:pStyle w:val="17"/>
              <w:bidi w:val="0"/>
              <w:rPr>
                <w:rFonts w:hint="default"/>
                <w:color w:val="auto"/>
                <w:highlight w:val="none"/>
              </w:rPr>
            </w:pPr>
            <w:r>
              <w:rPr>
                <w:rFonts w:hint="default"/>
                <w:color w:val="auto"/>
                <w:highlight w:val="none"/>
              </w:rPr>
              <w:t>1、施工机械和运输工具不应在工区内、外的地段随意碾压植被，应遵守“一字型”交通规划，行驶车辆走同一车辙，以减少对地表结构的破坏。</w:t>
            </w:r>
          </w:p>
          <w:p w14:paraId="26FA5131">
            <w:pPr>
              <w:pStyle w:val="17"/>
              <w:bidi w:val="0"/>
              <w:rPr>
                <w:rFonts w:hint="default"/>
                <w:color w:val="auto"/>
                <w:highlight w:val="none"/>
              </w:rPr>
            </w:pPr>
            <w:r>
              <w:rPr>
                <w:rFonts w:hint="default"/>
                <w:color w:val="auto"/>
                <w:highlight w:val="none"/>
              </w:rPr>
              <w:t>2、施工结束后，及时对施工迹地进行清理平整与复原工作，对无用的施工临时建筑应予以拆除，然后根据区域情况，恢复其原貌。</w:t>
            </w:r>
          </w:p>
        </w:tc>
        <w:tc>
          <w:tcPr>
            <w:tcW w:w="1010" w:type="dxa"/>
            <w:vAlign w:val="center"/>
          </w:tcPr>
          <w:p w14:paraId="57231273">
            <w:pPr>
              <w:pStyle w:val="17"/>
              <w:bidi w:val="0"/>
              <w:rPr>
                <w:rFonts w:hint="default"/>
                <w:color w:val="auto"/>
                <w:highlight w:val="none"/>
              </w:rPr>
            </w:pPr>
            <w:r>
              <w:rPr>
                <w:rFonts w:hint="default"/>
                <w:color w:val="auto"/>
                <w:highlight w:val="none"/>
              </w:rPr>
              <w:t>施工单位负责</w:t>
            </w:r>
          </w:p>
        </w:tc>
      </w:tr>
      <w:tr w14:paraId="3FDE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339" w:type="dxa"/>
            <w:vAlign w:val="center"/>
          </w:tcPr>
          <w:p w14:paraId="5EF63572">
            <w:pPr>
              <w:pStyle w:val="17"/>
              <w:bidi w:val="0"/>
              <w:rPr>
                <w:rFonts w:hint="default"/>
                <w:color w:val="auto"/>
                <w:highlight w:val="none"/>
              </w:rPr>
            </w:pPr>
            <w:r>
              <w:rPr>
                <w:rFonts w:hint="default"/>
                <w:color w:val="auto"/>
                <w:highlight w:val="none"/>
              </w:rPr>
              <w:t>水土保持</w:t>
            </w:r>
          </w:p>
        </w:tc>
        <w:tc>
          <w:tcPr>
            <w:tcW w:w="5987" w:type="dxa"/>
            <w:vAlign w:val="center"/>
          </w:tcPr>
          <w:p w14:paraId="52FC4388">
            <w:pPr>
              <w:pStyle w:val="17"/>
              <w:bidi w:val="0"/>
              <w:rPr>
                <w:rFonts w:hint="default"/>
                <w:color w:val="auto"/>
                <w:highlight w:val="none"/>
              </w:rPr>
            </w:pPr>
            <w:r>
              <w:rPr>
                <w:rFonts w:hint="default"/>
                <w:color w:val="auto"/>
                <w:highlight w:val="none"/>
              </w:rPr>
              <w:t>1、对建设中的施工迹地和弃方进行合理平整和清运或再利用，以减少对区域水土流失的增加。</w:t>
            </w:r>
          </w:p>
          <w:p w14:paraId="6D70F3B2">
            <w:pPr>
              <w:pStyle w:val="17"/>
              <w:bidi w:val="0"/>
              <w:rPr>
                <w:rFonts w:hint="default"/>
                <w:color w:val="auto"/>
                <w:highlight w:val="none"/>
              </w:rPr>
            </w:pPr>
            <w:r>
              <w:rPr>
                <w:rFonts w:hint="default"/>
                <w:color w:val="auto"/>
                <w:highlight w:val="none"/>
              </w:rPr>
              <w:t>2、施工过程中生产生活固体废弃物及时清运至当地环保部门指定的地点，废石及时运至废石场堆放，避免因起风引起的扬尘。</w:t>
            </w:r>
          </w:p>
          <w:p w14:paraId="3E71ABB9">
            <w:pPr>
              <w:pStyle w:val="17"/>
              <w:bidi w:val="0"/>
              <w:rPr>
                <w:rFonts w:hint="default"/>
                <w:color w:val="auto"/>
                <w:highlight w:val="none"/>
              </w:rPr>
            </w:pPr>
            <w:r>
              <w:rPr>
                <w:rFonts w:hint="default"/>
                <w:color w:val="auto"/>
                <w:highlight w:val="none"/>
              </w:rPr>
              <w:t>3、保证工业场地的地面平整。</w:t>
            </w:r>
          </w:p>
        </w:tc>
        <w:tc>
          <w:tcPr>
            <w:tcW w:w="1010" w:type="dxa"/>
            <w:vAlign w:val="center"/>
          </w:tcPr>
          <w:p w14:paraId="6766540B">
            <w:pPr>
              <w:pStyle w:val="17"/>
              <w:bidi w:val="0"/>
              <w:rPr>
                <w:rFonts w:hint="default"/>
                <w:color w:val="auto"/>
                <w:highlight w:val="none"/>
              </w:rPr>
            </w:pPr>
            <w:r>
              <w:rPr>
                <w:rFonts w:hint="default"/>
                <w:color w:val="auto"/>
                <w:highlight w:val="none"/>
              </w:rPr>
              <w:t>生产单位和管理部门负责</w:t>
            </w:r>
          </w:p>
        </w:tc>
      </w:tr>
      <w:tr w14:paraId="5833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339" w:type="dxa"/>
            <w:vAlign w:val="center"/>
          </w:tcPr>
          <w:p w14:paraId="52DFB020">
            <w:pPr>
              <w:pStyle w:val="17"/>
              <w:bidi w:val="0"/>
              <w:rPr>
                <w:rFonts w:hint="default"/>
                <w:color w:val="auto"/>
                <w:highlight w:val="none"/>
              </w:rPr>
            </w:pPr>
            <w:r>
              <w:rPr>
                <w:rFonts w:hint="default"/>
                <w:color w:val="auto"/>
                <w:highlight w:val="none"/>
              </w:rPr>
              <w:t>运营期</w:t>
            </w:r>
          </w:p>
        </w:tc>
        <w:tc>
          <w:tcPr>
            <w:tcW w:w="5987" w:type="dxa"/>
            <w:vAlign w:val="center"/>
          </w:tcPr>
          <w:p w14:paraId="24B14BAC">
            <w:pPr>
              <w:pStyle w:val="17"/>
              <w:bidi w:val="0"/>
              <w:rPr>
                <w:rFonts w:hint="default"/>
                <w:color w:val="auto"/>
                <w:highlight w:val="none"/>
              </w:rPr>
            </w:pPr>
            <w:r>
              <w:rPr>
                <w:rFonts w:hint="default"/>
                <w:color w:val="auto"/>
                <w:highlight w:val="none"/>
              </w:rPr>
              <w:t>环保措施实施阶段</w:t>
            </w:r>
          </w:p>
        </w:tc>
        <w:tc>
          <w:tcPr>
            <w:tcW w:w="1010" w:type="dxa"/>
            <w:vAlign w:val="center"/>
          </w:tcPr>
          <w:p w14:paraId="60913A94">
            <w:pPr>
              <w:pStyle w:val="17"/>
              <w:bidi w:val="0"/>
              <w:rPr>
                <w:rFonts w:hint="default"/>
                <w:color w:val="auto"/>
                <w:highlight w:val="none"/>
              </w:rPr>
            </w:pPr>
          </w:p>
        </w:tc>
      </w:tr>
      <w:tr w14:paraId="5E83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339" w:type="dxa"/>
            <w:vAlign w:val="center"/>
          </w:tcPr>
          <w:p w14:paraId="1F666305">
            <w:pPr>
              <w:pStyle w:val="17"/>
              <w:bidi w:val="0"/>
              <w:rPr>
                <w:rFonts w:hint="default"/>
                <w:color w:val="auto"/>
                <w:highlight w:val="none"/>
              </w:rPr>
            </w:pPr>
            <w:r>
              <w:rPr>
                <w:rFonts w:hint="default"/>
                <w:color w:val="auto"/>
                <w:highlight w:val="none"/>
              </w:rPr>
              <w:t>生态</w:t>
            </w:r>
          </w:p>
        </w:tc>
        <w:tc>
          <w:tcPr>
            <w:tcW w:w="5987" w:type="dxa"/>
            <w:vAlign w:val="center"/>
          </w:tcPr>
          <w:p w14:paraId="25A17528">
            <w:pPr>
              <w:pStyle w:val="17"/>
              <w:bidi w:val="0"/>
              <w:rPr>
                <w:rFonts w:hint="default"/>
                <w:color w:val="auto"/>
                <w:highlight w:val="none"/>
              </w:rPr>
            </w:pPr>
            <w:r>
              <w:rPr>
                <w:rFonts w:hint="default"/>
                <w:color w:val="auto"/>
                <w:highlight w:val="none"/>
              </w:rPr>
              <w:t>1、应做好本项目的施工组织规划工作，明确工程可能扰动和破坏的范围，要</w:t>
            </w:r>
            <w:r>
              <w:rPr>
                <w:rFonts w:hint="eastAsia"/>
                <w:color w:val="auto"/>
                <w:highlight w:val="none"/>
                <w:lang w:eastAsia="zh-CN"/>
              </w:rPr>
              <w:t>做到</w:t>
            </w:r>
            <w:r>
              <w:rPr>
                <w:rFonts w:hint="default"/>
                <w:color w:val="auto"/>
                <w:highlight w:val="none"/>
              </w:rPr>
              <w:t>少占地。</w:t>
            </w:r>
          </w:p>
          <w:p w14:paraId="43CCD457">
            <w:pPr>
              <w:pStyle w:val="17"/>
              <w:bidi w:val="0"/>
              <w:rPr>
                <w:rFonts w:hint="default"/>
                <w:color w:val="auto"/>
                <w:highlight w:val="none"/>
              </w:rPr>
            </w:pPr>
            <w:r>
              <w:rPr>
                <w:rFonts w:hint="default"/>
                <w:color w:val="auto"/>
                <w:highlight w:val="none"/>
              </w:rPr>
              <w:t>2、继续进行施工期临时占地生态恢复治理。</w:t>
            </w:r>
          </w:p>
          <w:p w14:paraId="72DA031F">
            <w:pPr>
              <w:pStyle w:val="17"/>
              <w:bidi w:val="0"/>
              <w:rPr>
                <w:rFonts w:hint="default"/>
                <w:color w:val="auto"/>
                <w:highlight w:val="none"/>
              </w:rPr>
            </w:pPr>
            <w:r>
              <w:rPr>
                <w:rFonts w:hint="default"/>
                <w:color w:val="auto"/>
                <w:highlight w:val="none"/>
              </w:rPr>
              <w:t>3、本建设项目产生的生态影响的防护和恢复应按照“避免→消减→补偿”的顺序最大限度地减少人为开发活动对自然资源和生态环境的破坏，以实现“开发中保护、保护中开发”的目标。</w:t>
            </w:r>
          </w:p>
          <w:p w14:paraId="1F672E7C">
            <w:pPr>
              <w:pStyle w:val="17"/>
              <w:bidi w:val="0"/>
              <w:rPr>
                <w:rFonts w:hint="default"/>
                <w:color w:val="auto"/>
                <w:highlight w:val="none"/>
              </w:rPr>
            </w:pPr>
            <w:r>
              <w:rPr>
                <w:rFonts w:hint="default"/>
                <w:color w:val="auto"/>
                <w:highlight w:val="none"/>
              </w:rPr>
              <w:t>4、建设单位应加强绿化与复垦意识，做好复垦规划与计划，落实措施。有条件时，即实行复垦，恢复并改善生态环境质量。</w:t>
            </w:r>
          </w:p>
        </w:tc>
        <w:tc>
          <w:tcPr>
            <w:tcW w:w="1010" w:type="dxa"/>
            <w:vAlign w:val="center"/>
          </w:tcPr>
          <w:p w14:paraId="6F050EDC">
            <w:pPr>
              <w:pStyle w:val="17"/>
              <w:bidi w:val="0"/>
              <w:rPr>
                <w:rFonts w:hint="default"/>
                <w:color w:val="auto"/>
                <w:highlight w:val="none"/>
              </w:rPr>
            </w:pPr>
            <w:r>
              <w:rPr>
                <w:rFonts w:hint="default"/>
                <w:color w:val="auto"/>
                <w:highlight w:val="none"/>
              </w:rPr>
              <w:t>生产单位和管理部门负责</w:t>
            </w:r>
          </w:p>
        </w:tc>
      </w:tr>
      <w:tr w14:paraId="6EE5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339" w:type="dxa"/>
            <w:vAlign w:val="center"/>
          </w:tcPr>
          <w:p w14:paraId="2A5F52ED">
            <w:pPr>
              <w:pStyle w:val="17"/>
              <w:bidi w:val="0"/>
              <w:rPr>
                <w:rFonts w:hint="default"/>
                <w:color w:val="auto"/>
                <w:highlight w:val="none"/>
              </w:rPr>
            </w:pPr>
            <w:r>
              <w:rPr>
                <w:rFonts w:hint="default"/>
                <w:color w:val="auto"/>
                <w:highlight w:val="none"/>
              </w:rPr>
              <w:t>服役后期</w:t>
            </w:r>
          </w:p>
        </w:tc>
        <w:tc>
          <w:tcPr>
            <w:tcW w:w="5987" w:type="dxa"/>
            <w:vAlign w:val="center"/>
          </w:tcPr>
          <w:p w14:paraId="44DC57D4">
            <w:pPr>
              <w:pStyle w:val="17"/>
              <w:bidi w:val="0"/>
              <w:rPr>
                <w:rFonts w:hint="default"/>
                <w:color w:val="auto"/>
                <w:highlight w:val="none"/>
              </w:rPr>
            </w:pPr>
            <w:r>
              <w:rPr>
                <w:rFonts w:hint="default"/>
                <w:color w:val="auto"/>
                <w:highlight w:val="none"/>
              </w:rPr>
              <w:t>环保措施实施阶段</w:t>
            </w:r>
          </w:p>
        </w:tc>
        <w:tc>
          <w:tcPr>
            <w:tcW w:w="1010" w:type="dxa"/>
            <w:vAlign w:val="center"/>
          </w:tcPr>
          <w:p w14:paraId="2C2E2BB9">
            <w:pPr>
              <w:pStyle w:val="17"/>
              <w:bidi w:val="0"/>
              <w:rPr>
                <w:rFonts w:hint="default"/>
                <w:color w:val="auto"/>
                <w:highlight w:val="none"/>
              </w:rPr>
            </w:pPr>
          </w:p>
        </w:tc>
      </w:tr>
      <w:tr w14:paraId="6939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339" w:type="dxa"/>
            <w:vAlign w:val="center"/>
          </w:tcPr>
          <w:p w14:paraId="68EE8B80">
            <w:pPr>
              <w:pStyle w:val="17"/>
              <w:bidi w:val="0"/>
              <w:rPr>
                <w:rFonts w:hint="default"/>
                <w:color w:val="auto"/>
                <w:highlight w:val="none"/>
              </w:rPr>
            </w:pPr>
            <w:r>
              <w:rPr>
                <w:rFonts w:hint="default"/>
                <w:color w:val="auto"/>
                <w:highlight w:val="none"/>
              </w:rPr>
              <w:t>生态恢复方</w:t>
            </w:r>
          </w:p>
          <w:p w14:paraId="54EE1EFC">
            <w:pPr>
              <w:pStyle w:val="17"/>
              <w:bidi w:val="0"/>
              <w:rPr>
                <w:rFonts w:hint="default"/>
                <w:color w:val="auto"/>
                <w:highlight w:val="none"/>
              </w:rPr>
            </w:pPr>
            <w:r>
              <w:rPr>
                <w:rFonts w:hint="default"/>
                <w:color w:val="auto"/>
                <w:highlight w:val="none"/>
              </w:rPr>
              <w:t>案</w:t>
            </w:r>
          </w:p>
        </w:tc>
        <w:tc>
          <w:tcPr>
            <w:tcW w:w="5987" w:type="dxa"/>
            <w:vAlign w:val="center"/>
          </w:tcPr>
          <w:p w14:paraId="3A3C3980">
            <w:pPr>
              <w:pStyle w:val="17"/>
              <w:bidi w:val="0"/>
              <w:jc w:val="left"/>
              <w:rPr>
                <w:rFonts w:hint="default"/>
                <w:color w:val="auto"/>
                <w:highlight w:val="none"/>
              </w:rPr>
            </w:pPr>
            <w:r>
              <w:rPr>
                <w:rFonts w:hint="default"/>
                <w:color w:val="auto"/>
                <w:highlight w:val="none"/>
              </w:rPr>
              <w:t>1.制定选矿厂、生活区及库区土地复垦计划，其内容包括利用土地的方式、复垦方法，且与生产建设统一规划。</w:t>
            </w:r>
          </w:p>
          <w:p w14:paraId="66A45A90">
            <w:pPr>
              <w:pStyle w:val="17"/>
              <w:bidi w:val="0"/>
              <w:rPr>
                <w:rFonts w:hint="default"/>
                <w:color w:val="auto"/>
                <w:highlight w:val="none"/>
              </w:rPr>
            </w:pPr>
            <w:r>
              <w:rPr>
                <w:rFonts w:hint="default"/>
                <w:color w:val="auto"/>
                <w:highlight w:val="none"/>
              </w:rPr>
              <w:t>2．尾矿库服务期满后开展闭矿设计，闭矿后根据当地原地貌情况，尽可能</w:t>
            </w:r>
            <w:r>
              <w:rPr>
                <w:rFonts w:hint="eastAsia"/>
                <w:color w:val="auto"/>
                <w:highlight w:val="none"/>
                <w:lang w:eastAsia="zh-CN"/>
              </w:rPr>
              <w:t>地</w:t>
            </w:r>
            <w:r>
              <w:rPr>
                <w:rFonts w:hint="default"/>
                <w:color w:val="auto"/>
                <w:highlight w:val="none"/>
              </w:rPr>
              <w:t>覆土植草，植物种类选用当地草种，尽量使尾矿库闭矿后地貌与周边环境相协调。</w:t>
            </w:r>
          </w:p>
        </w:tc>
        <w:tc>
          <w:tcPr>
            <w:tcW w:w="1010" w:type="dxa"/>
            <w:vAlign w:val="center"/>
          </w:tcPr>
          <w:p w14:paraId="298B8846">
            <w:pPr>
              <w:pStyle w:val="17"/>
              <w:bidi w:val="0"/>
              <w:rPr>
                <w:rFonts w:hint="default"/>
                <w:color w:val="auto"/>
                <w:highlight w:val="none"/>
              </w:rPr>
            </w:pPr>
            <w:r>
              <w:rPr>
                <w:rFonts w:hint="default"/>
                <w:color w:val="auto"/>
                <w:highlight w:val="none"/>
              </w:rPr>
              <w:t>生产单位</w:t>
            </w:r>
          </w:p>
          <w:p w14:paraId="2F9F4A96">
            <w:pPr>
              <w:pStyle w:val="17"/>
              <w:bidi w:val="0"/>
              <w:rPr>
                <w:rFonts w:hint="default"/>
                <w:color w:val="auto"/>
                <w:highlight w:val="none"/>
              </w:rPr>
            </w:pPr>
            <w:r>
              <w:rPr>
                <w:rFonts w:hint="default"/>
                <w:color w:val="auto"/>
                <w:highlight w:val="none"/>
              </w:rPr>
              <w:t>负责</w:t>
            </w:r>
          </w:p>
        </w:tc>
      </w:tr>
    </w:tbl>
    <w:p w14:paraId="001DB540">
      <w:pPr>
        <w:overflowPunct w:val="0"/>
        <w:topLinePunct/>
        <w:spacing w:line="480" w:lineRule="exact"/>
        <w:ind w:firstLine="480"/>
        <w:rPr>
          <w:rFonts w:hint="default" w:ascii="Times New Roman" w:hAnsi="Times New Roman" w:cs="Times New Roman"/>
          <w:color w:val="auto"/>
          <w:szCs w:val="24"/>
          <w:highlight w:val="none"/>
        </w:rPr>
      </w:pPr>
    </w:p>
    <w:p w14:paraId="0BA625C6">
      <w:pPr>
        <w:ind w:firstLine="480"/>
        <w:rPr>
          <w:rFonts w:hint="default" w:ascii="Times New Roman" w:hAnsi="Times New Roman" w:cs="Times New Roman"/>
          <w:color w:val="auto"/>
          <w:szCs w:val="24"/>
          <w:highlight w:val="none"/>
        </w:rPr>
        <w:sectPr>
          <w:headerReference r:id="rId16" w:type="default"/>
          <w:footerReference r:id="rId18" w:type="default"/>
          <w:headerReference r:id="rId17" w:type="even"/>
          <w:footerReference r:id="rId19"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D09246">
      <w:pPr>
        <w:pStyle w:val="4"/>
        <w:spacing w:line="720" w:lineRule="exact"/>
        <w:rPr>
          <w:rFonts w:hint="default" w:ascii="Times New Roman" w:hAnsi="Times New Roman" w:cs="Times New Roman"/>
          <w:color w:val="auto"/>
          <w:highlight w:val="none"/>
        </w:rPr>
      </w:pPr>
      <w:bookmarkStart w:id="774" w:name="_Toc18453"/>
      <w:bookmarkStart w:id="775" w:name="_Toc107414671"/>
      <w:bookmarkStart w:id="776" w:name="_Toc27674"/>
      <w:bookmarkStart w:id="777" w:name="_Toc28922"/>
      <w:bookmarkStart w:id="778" w:name="_Toc11356"/>
      <w:bookmarkStart w:id="779" w:name="_Toc107413904"/>
      <w:bookmarkStart w:id="780" w:name="_Toc5354"/>
      <w:bookmarkStart w:id="781" w:name="_Toc28259"/>
      <w:r>
        <w:rPr>
          <w:rFonts w:hint="default" w:ascii="Times New Roman" w:hAnsi="Times New Roman" w:cs="Times New Roman"/>
          <w:color w:val="auto"/>
          <w:highlight w:val="none"/>
        </w:rPr>
        <w:t>7环境影响经济损益分析</w:t>
      </w:r>
      <w:bookmarkEnd w:id="774"/>
      <w:bookmarkEnd w:id="775"/>
      <w:bookmarkEnd w:id="776"/>
      <w:bookmarkEnd w:id="777"/>
      <w:bookmarkEnd w:id="778"/>
      <w:bookmarkEnd w:id="779"/>
      <w:bookmarkEnd w:id="780"/>
      <w:bookmarkEnd w:id="781"/>
    </w:p>
    <w:p w14:paraId="26A45E36">
      <w:pPr>
        <w:overflowPunct w:val="0"/>
        <w:topLinePunct/>
        <w:spacing w:line="480" w:lineRule="atLeast"/>
        <w:ind w:firstLine="480"/>
        <w:rPr>
          <w:rFonts w:hint="default" w:ascii="Times New Roman" w:hAnsi="Times New Roman" w:cs="Times New Roman"/>
          <w:color w:val="auto"/>
          <w:highlight w:val="none"/>
        </w:rPr>
      </w:pPr>
      <w:bookmarkStart w:id="782" w:name="_Toc446160746"/>
      <w:bookmarkStart w:id="783" w:name="_Toc18124"/>
      <w:bookmarkStart w:id="784" w:name="_Toc426642706"/>
      <w:bookmarkStart w:id="785" w:name="_Toc447541234"/>
      <w:r>
        <w:rPr>
          <w:rFonts w:hint="default" w:ascii="Times New Roman" w:hAnsi="Times New Roman" w:cs="Times New Roman"/>
          <w:color w:val="auto"/>
          <w:highlight w:val="none"/>
        </w:rPr>
        <w:t>环境影响经济损益分析主要是衡量项目的</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"http://www.51ehs.com/anhuanguanli/"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环保</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投资所能</w:t>
      </w:r>
      <w:r>
        <w:rPr>
          <w:rFonts w:hint="eastAsia" w:ascii="Times New Roman" w:hAnsi="Times New Roman" w:cs="Times New Roman"/>
          <w:color w:val="auto"/>
          <w:highlight w:val="none"/>
          <w:lang w:val="en-US" w:eastAsia="zh-CN"/>
        </w:rPr>
        <w:t>收</w:t>
      </w:r>
      <w:r>
        <w:rPr>
          <w:rFonts w:hint="eastAsia" w:ascii="Times New Roman" w:hAnsi="Times New Roman" w:cs="Times New Roman"/>
          <w:color w:val="auto"/>
          <w:highlight w:val="none"/>
          <w:lang w:eastAsia="zh-CN"/>
        </w:rPr>
        <w:t>到</w:t>
      </w:r>
      <w:r>
        <w:rPr>
          <w:rFonts w:hint="default" w:ascii="Times New Roman" w:hAnsi="Times New Roman" w:cs="Times New Roman"/>
          <w:color w:val="auto"/>
          <w:highlight w:val="none"/>
        </w:rPr>
        <w:t>的环境效益和经济效益，建设项目应力争达到社会效益、环境效益、经济效益的统一，这样才能符合可持续发展的要求，实现经济</w:t>
      </w:r>
      <w:r>
        <w:rPr>
          <w:rFonts w:hint="eastAsia" w:ascii="Times New Roman" w:hAnsi="Times New Roman" w:cs="Times New Roman"/>
          <w:color w:val="auto"/>
          <w:highlight w:val="none"/>
          <w:lang w:eastAsia="zh-CN"/>
        </w:rPr>
        <w:t>的可</w:t>
      </w:r>
      <w:r>
        <w:rPr>
          <w:rFonts w:hint="default" w:ascii="Times New Roman" w:hAnsi="Times New Roman" w:cs="Times New Roman"/>
          <w:color w:val="auto"/>
          <w:highlight w:val="none"/>
        </w:rPr>
        <w:t>持续发展和环境质量的不断改善。</w:t>
      </w:r>
    </w:p>
    <w:p w14:paraId="77230EC9">
      <w:pPr>
        <w:pStyle w:val="5"/>
        <w:rPr>
          <w:rFonts w:hint="default" w:ascii="Times New Roman" w:hAnsi="Times New Roman" w:cs="Times New Roman" w:eastAsiaTheme="minorEastAsia"/>
          <w:color w:val="auto"/>
          <w:highlight w:val="none"/>
        </w:rPr>
      </w:pPr>
      <w:bookmarkStart w:id="786" w:name="_Toc107413905"/>
      <w:bookmarkStart w:id="787" w:name="_Toc20588"/>
      <w:bookmarkStart w:id="788" w:name="_Toc22730"/>
      <w:bookmarkStart w:id="789" w:name="_Toc27495"/>
      <w:bookmarkStart w:id="790" w:name="_Toc9141"/>
      <w:bookmarkStart w:id="791" w:name="_Toc107414672"/>
      <w:bookmarkStart w:id="792" w:name="_Toc4693"/>
      <w:bookmarkStart w:id="793" w:name="_Toc312"/>
      <w:bookmarkStart w:id="794" w:name="_Toc4868"/>
      <w:bookmarkStart w:id="795" w:name="_Toc13364"/>
      <w:r>
        <w:rPr>
          <w:rFonts w:hint="default" w:ascii="Times New Roman" w:hAnsi="Times New Roman" w:cs="Times New Roman" w:eastAsiaTheme="minorEastAsia"/>
          <w:color w:val="auto"/>
          <w:highlight w:val="none"/>
        </w:rPr>
        <w:t>7.1</w:t>
      </w:r>
      <w:bookmarkEnd w:id="782"/>
      <w:bookmarkEnd w:id="783"/>
      <w:bookmarkEnd w:id="784"/>
      <w:bookmarkEnd w:id="785"/>
      <w:r>
        <w:rPr>
          <w:rFonts w:hint="default" w:ascii="Times New Roman" w:hAnsi="Times New Roman" w:cs="Times New Roman" w:eastAsiaTheme="minorEastAsia"/>
          <w:color w:val="auto"/>
          <w:highlight w:val="none"/>
        </w:rPr>
        <w:t>经济效益分析</w:t>
      </w:r>
      <w:bookmarkEnd w:id="786"/>
      <w:bookmarkEnd w:id="787"/>
      <w:bookmarkEnd w:id="788"/>
      <w:bookmarkEnd w:id="789"/>
      <w:bookmarkEnd w:id="790"/>
      <w:bookmarkEnd w:id="791"/>
      <w:bookmarkEnd w:id="792"/>
      <w:bookmarkEnd w:id="793"/>
      <w:bookmarkEnd w:id="794"/>
      <w:bookmarkEnd w:id="795"/>
    </w:p>
    <w:p w14:paraId="59458CD9">
      <w:pPr>
        <w:pStyle w:val="6"/>
        <w:rPr>
          <w:rFonts w:hint="default" w:ascii="Times New Roman" w:hAnsi="Times New Roman" w:cs="Times New Roman"/>
          <w:color w:val="auto"/>
          <w:highlight w:val="none"/>
        </w:rPr>
      </w:pPr>
      <w:bookmarkStart w:id="796" w:name="_Toc4865"/>
      <w:bookmarkStart w:id="797" w:name="_Toc23728"/>
      <w:bookmarkStart w:id="798" w:name="_Toc20201"/>
      <w:bookmarkStart w:id="799" w:name="_Toc15786"/>
      <w:bookmarkStart w:id="800" w:name="_Toc365647381"/>
      <w:bookmarkStart w:id="801" w:name="_Toc426642707"/>
      <w:bookmarkStart w:id="802" w:name="_Toc446160747"/>
      <w:bookmarkStart w:id="803" w:name="_Toc29130"/>
      <w:bookmarkStart w:id="804" w:name="_Toc447541235"/>
      <w:bookmarkStart w:id="805" w:name="_Toc12953"/>
      <w:bookmarkStart w:id="806" w:name="_Toc355784248"/>
      <w:bookmarkStart w:id="807" w:name="_Toc23259"/>
      <w:r>
        <w:rPr>
          <w:rFonts w:hint="default" w:ascii="Times New Roman" w:hAnsi="Times New Roman" w:cs="Times New Roman"/>
          <w:color w:val="auto"/>
          <w:highlight w:val="none"/>
        </w:rPr>
        <w:t>7.1.1损益估算</w:t>
      </w:r>
      <w:bookmarkEnd w:id="796"/>
      <w:bookmarkEnd w:id="797"/>
      <w:bookmarkEnd w:id="798"/>
    </w:p>
    <w:p w14:paraId="3A0E7062">
      <w:pPr>
        <w:bidi w:val="0"/>
        <w:rPr>
          <w:rFonts w:hint="eastAsia"/>
          <w:color w:val="auto"/>
          <w:highlight w:val="none"/>
          <w:lang w:eastAsia="zh-CN"/>
        </w:rPr>
      </w:pPr>
      <w:r>
        <w:rPr>
          <w:rFonts w:hint="default"/>
          <w:color w:val="auto"/>
          <w:highlight w:val="none"/>
        </w:rPr>
        <w:t>1、</w:t>
      </w:r>
      <w:r>
        <w:rPr>
          <w:rFonts w:hint="eastAsia"/>
          <w:color w:val="auto"/>
          <w:highlight w:val="none"/>
          <w:lang w:val="en-US" w:eastAsia="zh-CN"/>
        </w:rPr>
        <w:t>营业收入</w:t>
      </w:r>
    </w:p>
    <w:p w14:paraId="78E48015">
      <w:pPr>
        <w:bidi w:val="0"/>
        <w:rPr>
          <w:rFonts w:hint="default"/>
          <w:color w:val="auto"/>
          <w:highlight w:val="none"/>
        </w:rPr>
      </w:pPr>
      <w:r>
        <w:rPr>
          <w:color w:val="auto"/>
          <w:highlight w:val="none"/>
          <w:lang w:val="en-US" w:eastAsia="zh-CN"/>
        </w:rPr>
        <w:t>本项目产品为97%品位萤石精矿。结合产品三年、五年均价以及市</w:t>
      </w:r>
      <w:r>
        <w:rPr>
          <w:rFonts w:hint="eastAsia"/>
          <w:color w:val="auto"/>
          <w:highlight w:val="none"/>
          <w:lang w:val="en-US" w:eastAsia="zh-CN"/>
        </w:rPr>
        <w:t>场走势，考虑到项目所在区域以及巴音郭楞州和若羌县产业规划，产品出厂价按2700元/t（含税价）、2389元/t（不含税价）进行计算。项目达产年平均精矿产量为29.48万t，营业收入为70434万元，</w:t>
      </w:r>
    </w:p>
    <w:p w14:paraId="50FC1209">
      <w:pPr>
        <w:bidi w:val="0"/>
        <w:rPr>
          <w:rFonts w:hint="eastAsia"/>
          <w:color w:val="auto"/>
          <w:highlight w:val="none"/>
          <w:lang w:val="en-US" w:eastAsia="zh-CN"/>
        </w:rPr>
      </w:pPr>
      <w:r>
        <w:rPr>
          <w:rFonts w:hint="default"/>
          <w:color w:val="auto"/>
          <w:highlight w:val="none"/>
        </w:rPr>
        <w:t>2、</w:t>
      </w:r>
      <w:r>
        <w:rPr>
          <w:rFonts w:hint="eastAsia"/>
          <w:color w:val="auto"/>
          <w:highlight w:val="none"/>
          <w:lang w:val="en-US" w:eastAsia="zh-CN"/>
        </w:rPr>
        <w:t>盈利能力</w:t>
      </w:r>
    </w:p>
    <w:p w14:paraId="53B5C30B">
      <w:pPr>
        <w:bidi w:val="0"/>
        <w:rPr>
          <w:color w:val="auto"/>
          <w:highlight w:val="none"/>
        </w:rPr>
      </w:pPr>
      <w:bookmarkStart w:id="808" w:name="_Toc12545"/>
      <w:bookmarkStart w:id="809" w:name="_Toc2763"/>
      <w:bookmarkStart w:id="810" w:name="_Toc10114"/>
      <w:r>
        <w:rPr>
          <w:color w:val="auto"/>
          <w:highlight w:val="none"/>
          <w:lang w:val="en-US" w:eastAsia="zh-CN"/>
        </w:rPr>
        <w:t>项目投资内部收益率为11.17%，按10%的折现率计算的财务净现</w:t>
      </w:r>
      <w:r>
        <w:rPr>
          <w:rFonts w:hint="eastAsia"/>
          <w:color w:val="auto"/>
          <w:highlight w:val="none"/>
          <w:lang w:val="en-US" w:eastAsia="zh-CN"/>
        </w:rPr>
        <w:t>值为13411万元，投资回收期为10.38年（含建设期）。资本金内部收益率为15.53%，按10%的折现计算的财务净现值为36345万元。主要静态经济指标，项目总投资利润率为12.82%，投资利润率为12.39%，投资利税率为16.95%，资本金净利润率为28.71%。</w:t>
      </w:r>
    </w:p>
    <w:p w14:paraId="5C26EE31">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rPr>
        <w:t>7.1.2建设投资</w:t>
      </w:r>
      <w:bookmarkEnd w:id="808"/>
      <w:bookmarkEnd w:id="809"/>
      <w:bookmarkEnd w:id="810"/>
    </w:p>
    <w:p w14:paraId="52AEA6AF">
      <w:pPr>
        <w:bidi w:val="0"/>
        <w:rPr>
          <w:rFonts w:hint="default"/>
          <w:color w:val="auto"/>
          <w:highlight w:val="none"/>
        </w:rPr>
      </w:pPr>
      <w:r>
        <w:rPr>
          <w:rFonts w:hint="default"/>
          <w:color w:val="auto"/>
          <w:highlight w:val="none"/>
        </w:rPr>
        <w:t>本项目总投资为</w:t>
      </w:r>
      <w:r>
        <w:rPr>
          <w:rFonts w:hint="default"/>
          <w:color w:val="auto"/>
          <w:highlight w:val="none"/>
          <w:lang w:val="en-US" w:eastAsia="zh-CN"/>
        </w:rPr>
        <w:t>161261</w:t>
      </w:r>
      <w:r>
        <w:rPr>
          <w:rFonts w:hint="default"/>
          <w:color w:val="auto"/>
          <w:highlight w:val="none"/>
        </w:rPr>
        <w:t>万元。均为企业自筹。</w:t>
      </w:r>
    </w:p>
    <w:p w14:paraId="1A459DC6">
      <w:pPr>
        <w:pStyle w:val="5"/>
        <w:rPr>
          <w:rFonts w:hint="default" w:ascii="Times New Roman" w:hAnsi="Times New Roman" w:cs="Times New Roman" w:eastAsiaTheme="minorEastAsia"/>
          <w:color w:val="auto"/>
          <w:highlight w:val="none"/>
        </w:rPr>
      </w:pPr>
      <w:bookmarkStart w:id="811" w:name="_Toc29176"/>
      <w:bookmarkStart w:id="812" w:name="_Toc16399"/>
      <w:bookmarkStart w:id="813" w:name="_Toc20542"/>
      <w:bookmarkStart w:id="814" w:name="_Toc20385"/>
      <w:bookmarkStart w:id="815" w:name="_Toc26224"/>
      <w:bookmarkStart w:id="816" w:name="_Toc19151"/>
      <w:bookmarkStart w:id="817" w:name="_Toc14827"/>
      <w:bookmarkStart w:id="818" w:name="_Toc107413906"/>
      <w:bookmarkStart w:id="819" w:name="_Toc22850"/>
      <w:bookmarkStart w:id="820" w:name="_Toc107414673"/>
      <w:r>
        <w:rPr>
          <w:rFonts w:hint="default" w:ascii="Times New Roman" w:hAnsi="Times New Roman" w:cs="Times New Roman" w:eastAsiaTheme="minorEastAsia"/>
          <w:color w:val="auto"/>
          <w:highlight w:val="none"/>
        </w:rPr>
        <w:t>7.2社会效益分析</w:t>
      </w:r>
      <w:bookmarkEnd w:id="811"/>
      <w:bookmarkEnd w:id="812"/>
      <w:bookmarkEnd w:id="813"/>
      <w:bookmarkEnd w:id="814"/>
      <w:bookmarkEnd w:id="815"/>
      <w:bookmarkEnd w:id="816"/>
      <w:bookmarkEnd w:id="817"/>
      <w:bookmarkEnd w:id="818"/>
      <w:bookmarkEnd w:id="819"/>
      <w:bookmarkEnd w:id="820"/>
    </w:p>
    <w:p w14:paraId="4D67F04A">
      <w:pPr>
        <w:bidi w:val="0"/>
        <w:rPr>
          <w:color w:val="auto"/>
          <w:highlight w:val="none"/>
        </w:rPr>
      </w:pPr>
      <w:bookmarkStart w:id="821" w:name="_Toc19156"/>
      <w:bookmarkStart w:id="822" w:name="_Toc17476"/>
      <w:r>
        <w:rPr>
          <w:color w:val="auto"/>
          <w:highlight w:val="none"/>
          <w:lang w:val="en-US" w:eastAsia="zh-CN"/>
        </w:rPr>
        <w:t>项目达产年平均精矿产量为29.48万t，营业收入为70434万元。</w:t>
      </w:r>
      <w:r>
        <w:rPr>
          <w:rFonts w:hint="eastAsia"/>
          <w:color w:val="auto"/>
          <w:highlight w:val="none"/>
          <w:lang w:val="en-US" w:eastAsia="zh-CN"/>
        </w:rPr>
        <w:t>达产年平均总成本费用为47134万元/a，折合单位矿石成本为392.78元/t。达产年平均年利润总额为20832万元，净利润为15676万元。项目投资内部收益率为11.17%，按10%的折现率计算的财务净现值为13411万元，投资回收期为10.38年（含建设期）。资本金内部收益率为15.53%，按10%的折现计算的财务净现值为36345万元。</w:t>
      </w:r>
    </w:p>
    <w:p w14:paraId="162CDBF5">
      <w:pPr>
        <w:bidi w:val="0"/>
        <w:rPr>
          <w:color w:val="auto"/>
          <w:highlight w:val="none"/>
        </w:rPr>
      </w:pPr>
      <w:r>
        <w:rPr>
          <w:color w:val="auto"/>
          <w:highlight w:val="none"/>
          <w:lang w:val="en-US" w:eastAsia="zh-CN"/>
        </w:rPr>
        <w:t>该项目的建设和实施不仅能给企业带来一定的经济效益，而且符</w:t>
      </w:r>
      <w:r>
        <w:rPr>
          <w:rFonts w:hint="eastAsia"/>
          <w:color w:val="auto"/>
          <w:highlight w:val="none"/>
          <w:lang w:val="en-US" w:eastAsia="zh-CN"/>
        </w:rPr>
        <w:t>合区域发展规划，为相关产业的发展提供资源保障。该项目可以作为地区经济发展的增长点，带动周边地区矿业资源开发建设，解决当地劳动就业，具有良好的社会效益。</w:t>
      </w:r>
    </w:p>
    <w:p w14:paraId="5A3955CC">
      <w:pPr>
        <w:pStyle w:val="5"/>
        <w:rPr>
          <w:rFonts w:hint="default" w:ascii="Times New Roman" w:hAnsi="Times New Roman" w:cs="Times New Roman" w:eastAsiaTheme="minorEastAsia"/>
          <w:color w:val="auto"/>
          <w:highlight w:val="none"/>
        </w:rPr>
      </w:pPr>
      <w:bookmarkStart w:id="823" w:name="_Toc28572"/>
      <w:bookmarkStart w:id="824" w:name="_Toc16313"/>
      <w:bookmarkStart w:id="825" w:name="_Toc14552"/>
      <w:bookmarkStart w:id="826" w:name="_Toc23700"/>
      <w:bookmarkStart w:id="827" w:name="_Toc9249"/>
      <w:bookmarkStart w:id="828" w:name="_Toc107413907"/>
      <w:bookmarkStart w:id="829" w:name="_Toc107414674"/>
      <w:bookmarkStart w:id="830" w:name="_Toc1362"/>
      <w:r>
        <w:rPr>
          <w:rFonts w:hint="default" w:ascii="Times New Roman" w:hAnsi="Times New Roman" w:cs="Times New Roman" w:eastAsiaTheme="minorEastAsia"/>
          <w:color w:val="auto"/>
          <w:highlight w:val="none"/>
        </w:rPr>
        <w:t>7.3环境效益分析</w:t>
      </w:r>
      <w:bookmarkEnd w:id="821"/>
      <w:bookmarkEnd w:id="822"/>
      <w:bookmarkEnd w:id="823"/>
      <w:bookmarkEnd w:id="824"/>
      <w:bookmarkEnd w:id="825"/>
      <w:bookmarkEnd w:id="826"/>
      <w:bookmarkEnd w:id="827"/>
      <w:bookmarkEnd w:id="828"/>
      <w:bookmarkEnd w:id="829"/>
      <w:bookmarkEnd w:id="830"/>
    </w:p>
    <w:p w14:paraId="7A73921A">
      <w:pPr>
        <w:widowControl/>
        <w:overflowPunct w:val="0"/>
        <w:topLinePunct/>
        <w:spacing w:line="480" w:lineRule="atLeas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环境效益集中体现在对生产中污染物的排放控制、资源的集中合理利用以及废物再利用，不仅可以减少企业在能源方面的投入，更重要的是使原本分散、未经任何处理的污染物得到了综合利用，并且实现达标排放。</w:t>
      </w:r>
    </w:p>
    <w:p w14:paraId="7A95FEC8">
      <w:pPr>
        <w:widowControl/>
        <w:overflowPunct w:val="0"/>
        <w:topLinePunct/>
        <w:spacing w:line="480" w:lineRule="atLeas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default" w:ascii="Times New Roman" w:hAnsi="Times New Roman" w:cs="Times New Roman"/>
          <w:color w:val="auto"/>
          <w:kern w:val="0"/>
          <w:szCs w:val="28"/>
          <w:highlight w:val="none"/>
        </w:rPr>
        <w:t>秉承绿色、高质量发展的宗旨，以建设矿业领域生态文明为目标，做到资源开发与环境保护相互协调，促进经济社会可持续发展。</w:t>
      </w:r>
      <w:r>
        <w:rPr>
          <w:rFonts w:hint="default" w:ascii="Times New Roman" w:hAnsi="Times New Roman" w:cs="Times New Roman"/>
          <w:color w:val="auto"/>
          <w:highlight w:val="none"/>
        </w:rPr>
        <w:t>本项目在采用设计和环评提出的污染治理措施后，虽仍对区域环境产生一定的负面影响，但只要确保达标排放，其环境影响则可控制在允许范围之内。</w:t>
      </w:r>
    </w:p>
    <w:p w14:paraId="0BA3CDD5">
      <w:pPr>
        <w:overflowPunct w:val="0"/>
        <w:topLinePunct/>
        <w:spacing w:line="480" w:lineRule="atLeast"/>
        <w:ind w:firstLine="48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本项目环保设施包括废水、废气、固体废物、噪声防治等，其中废气、噪声部分和工艺治理相结合，其工程内容见表7.3-1</w:t>
      </w:r>
      <w:r>
        <w:rPr>
          <w:rFonts w:hint="default" w:ascii="Times New Roman" w:hAnsi="Times New Roman" w:cs="Times New Roman"/>
          <w:color w:val="auto"/>
          <w:highlight w:val="none"/>
          <w:lang w:eastAsia="zh-CN"/>
        </w:rPr>
        <w:t>。</w:t>
      </w:r>
    </w:p>
    <w:bookmarkEnd w:id="799"/>
    <w:bookmarkEnd w:id="800"/>
    <w:bookmarkEnd w:id="801"/>
    <w:bookmarkEnd w:id="802"/>
    <w:bookmarkEnd w:id="803"/>
    <w:bookmarkEnd w:id="804"/>
    <w:bookmarkEnd w:id="805"/>
    <w:bookmarkEnd w:id="806"/>
    <w:bookmarkEnd w:id="807"/>
    <w:p w14:paraId="01113BBA">
      <w:pPr>
        <w:pStyle w:val="19"/>
        <w:bidi w:val="0"/>
        <w:rPr>
          <w:rFonts w:hint="default" w:ascii="Times New Roman" w:hAnsi="Times New Roman" w:cs="Times New Roman"/>
          <w:color w:val="auto"/>
          <w:highlight w:val="none"/>
        </w:rPr>
      </w:pPr>
      <w:bookmarkStart w:id="831" w:name="_Toc446160751"/>
      <w:bookmarkStart w:id="832" w:name="_Toc390077140"/>
      <w:bookmarkStart w:id="833" w:name="_Toc426642711"/>
      <w:bookmarkStart w:id="834" w:name="_Toc447541239"/>
      <w:bookmarkStart w:id="835" w:name="_Toc11785"/>
      <w:bookmarkStart w:id="836" w:name="_Toc10410"/>
      <w:bookmarkStart w:id="837" w:name="_Toc12153"/>
      <w:r>
        <w:rPr>
          <w:rFonts w:hint="default" w:ascii="Times New Roman" w:hAnsi="Times New Roman" w:cs="Times New Roman"/>
          <w:color w:val="auto"/>
          <w:highlight w:val="none"/>
        </w:rPr>
        <w:t>表7.3-1环保投资费用估算表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1616"/>
        <w:gridCol w:w="4569"/>
        <w:gridCol w:w="1466"/>
      </w:tblGrid>
      <w:tr w14:paraId="1021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457" w:type="pct"/>
            <w:gridSpan w:val="2"/>
            <w:tcBorders>
              <w:tl2br w:val="nil"/>
              <w:tr2bl w:val="nil"/>
            </w:tcBorders>
            <w:vAlign w:val="center"/>
          </w:tcPr>
          <w:p w14:paraId="017DFB9B">
            <w:pPr>
              <w:pStyle w:val="17"/>
              <w:bidi w:val="0"/>
              <w:rPr>
                <w:rFonts w:hint="default"/>
                <w:color w:val="auto"/>
                <w:highlight w:val="none"/>
                <w:lang w:eastAsia="zh-CN"/>
              </w:rPr>
            </w:pPr>
            <w:bookmarkStart w:id="838" w:name="_Toc30431"/>
            <w:bookmarkStart w:id="839" w:name="_Toc8535"/>
            <w:bookmarkStart w:id="840" w:name="_Toc28771"/>
            <w:r>
              <w:rPr>
                <w:rFonts w:hint="default"/>
                <w:color w:val="auto"/>
                <w:highlight w:val="none"/>
                <w:lang w:eastAsia="zh-CN"/>
              </w:rPr>
              <w:t>项目</w:t>
            </w:r>
            <w:bookmarkEnd w:id="838"/>
            <w:bookmarkEnd w:id="839"/>
            <w:bookmarkEnd w:id="840"/>
          </w:p>
        </w:tc>
        <w:tc>
          <w:tcPr>
            <w:tcW w:w="2681" w:type="pct"/>
            <w:tcBorders>
              <w:tl2br w:val="nil"/>
              <w:tr2bl w:val="nil"/>
            </w:tcBorders>
            <w:vAlign w:val="center"/>
          </w:tcPr>
          <w:p w14:paraId="7851C065">
            <w:pPr>
              <w:pStyle w:val="17"/>
              <w:bidi w:val="0"/>
              <w:rPr>
                <w:rFonts w:hint="default"/>
                <w:color w:val="auto"/>
                <w:highlight w:val="none"/>
                <w:lang w:eastAsia="zh-CN"/>
              </w:rPr>
            </w:pPr>
            <w:bookmarkStart w:id="841" w:name="_Toc13441"/>
            <w:bookmarkStart w:id="842" w:name="_Toc155"/>
            <w:bookmarkStart w:id="843" w:name="_Toc1879"/>
            <w:r>
              <w:rPr>
                <w:rFonts w:hint="default"/>
                <w:color w:val="auto"/>
                <w:highlight w:val="none"/>
                <w:lang w:eastAsia="zh-CN"/>
              </w:rPr>
              <w:t>环保措施概要</w:t>
            </w:r>
            <w:bookmarkEnd w:id="841"/>
            <w:bookmarkEnd w:id="842"/>
            <w:bookmarkEnd w:id="843"/>
          </w:p>
        </w:tc>
        <w:tc>
          <w:tcPr>
            <w:tcW w:w="860" w:type="pct"/>
            <w:tcBorders>
              <w:tl2br w:val="nil"/>
              <w:tr2bl w:val="nil"/>
            </w:tcBorders>
            <w:vAlign w:val="center"/>
          </w:tcPr>
          <w:p w14:paraId="33EB5935">
            <w:pPr>
              <w:pStyle w:val="17"/>
              <w:bidi w:val="0"/>
              <w:rPr>
                <w:rFonts w:hint="default"/>
                <w:color w:val="auto"/>
                <w:highlight w:val="none"/>
                <w:lang w:eastAsia="zh-CN"/>
              </w:rPr>
            </w:pPr>
            <w:bookmarkStart w:id="844" w:name="_Toc17765"/>
            <w:bookmarkStart w:id="845" w:name="_Toc1107"/>
            <w:bookmarkStart w:id="846" w:name="_Toc19718"/>
            <w:r>
              <w:rPr>
                <w:rFonts w:hint="default"/>
                <w:color w:val="auto"/>
                <w:highlight w:val="none"/>
                <w:lang w:eastAsia="zh-CN"/>
              </w:rPr>
              <w:t>投资（万元）</w:t>
            </w:r>
            <w:bookmarkEnd w:id="844"/>
            <w:bookmarkEnd w:id="845"/>
            <w:bookmarkEnd w:id="846"/>
          </w:p>
        </w:tc>
      </w:tr>
      <w:tr w14:paraId="5226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restart"/>
            <w:tcBorders>
              <w:tl2br w:val="nil"/>
              <w:tr2bl w:val="nil"/>
            </w:tcBorders>
            <w:vAlign w:val="center"/>
          </w:tcPr>
          <w:p w14:paraId="66AD5A62">
            <w:pPr>
              <w:pStyle w:val="17"/>
              <w:bidi w:val="0"/>
              <w:rPr>
                <w:rFonts w:hint="default"/>
                <w:color w:val="auto"/>
                <w:highlight w:val="none"/>
                <w:lang w:eastAsia="zh-CN"/>
              </w:rPr>
            </w:pPr>
            <w:bookmarkStart w:id="847" w:name="_Toc24260"/>
            <w:bookmarkStart w:id="848" w:name="_Toc25229"/>
            <w:bookmarkStart w:id="849" w:name="_Toc23697"/>
            <w:r>
              <w:rPr>
                <w:rFonts w:hint="default"/>
                <w:color w:val="auto"/>
                <w:highlight w:val="none"/>
                <w:lang w:eastAsia="zh-CN"/>
              </w:rPr>
              <w:t>施工期</w:t>
            </w:r>
            <w:bookmarkEnd w:id="847"/>
            <w:bookmarkEnd w:id="848"/>
            <w:bookmarkEnd w:id="849"/>
          </w:p>
        </w:tc>
        <w:tc>
          <w:tcPr>
            <w:tcW w:w="948" w:type="pct"/>
            <w:tcBorders>
              <w:tl2br w:val="nil"/>
              <w:tr2bl w:val="nil"/>
            </w:tcBorders>
            <w:vAlign w:val="center"/>
          </w:tcPr>
          <w:p w14:paraId="4DB52E0C">
            <w:pPr>
              <w:pStyle w:val="17"/>
              <w:bidi w:val="0"/>
              <w:rPr>
                <w:rFonts w:hint="default"/>
                <w:color w:val="auto"/>
                <w:highlight w:val="none"/>
                <w:lang w:eastAsia="zh-CN"/>
              </w:rPr>
            </w:pPr>
            <w:r>
              <w:rPr>
                <w:rFonts w:hint="default"/>
                <w:color w:val="auto"/>
                <w:highlight w:val="none"/>
                <w:lang w:eastAsia="zh-CN"/>
              </w:rPr>
              <w:t>废气</w:t>
            </w:r>
          </w:p>
        </w:tc>
        <w:tc>
          <w:tcPr>
            <w:tcW w:w="2681" w:type="pct"/>
            <w:tcBorders>
              <w:tl2br w:val="nil"/>
              <w:tr2bl w:val="nil"/>
            </w:tcBorders>
            <w:vAlign w:val="center"/>
          </w:tcPr>
          <w:p w14:paraId="2CFC83E6">
            <w:pPr>
              <w:pStyle w:val="17"/>
              <w:bidi w:val="0"/>
              <w:rPr>
                <w:rFonts w:hint="default"/>
                <w:color w:val="auto"/>
                <w:highlight w:val="none"/>
                <w:lang w:eastAsia="zh-CN"/>
              </w:rPr>
            </w:pPr>
            <w:bookmarkStart w:id="850" w:name="_Toc15200"/>
            <w:bookmarkStart w:id="851" w:name="_Toc9311"/>
            <w:bookmarkStart w:id="852" w:name="_Toc10452"/>
            <w:r>
              <w:rPr>
                <w:rFonts w:hint="default"/>
                <w:color w:val="auto"/>
                <w:highlight w:val="none"/>
                <w:lang w:eastAsia="zh-CN"/>
              </w:rPr>
              <w:t>施工场地、道路洒水，运输物料遮盖等</w:t>
            </w:r>
            <w:bookmarkEnd w:id="850"/>
            <w:bookmarkEnd w:id="851"/>
            <w:bookmarkEnd w:id="852"/>
          </w:p>
        </w:tc>
        <w:tc>
          <w:tcPr>
            <w:tcW w:w="860" w:type="pct"/>
            <w:tcBorders>
              <w:tl2br w:val="nil"/>
              <w:tr2bl w:val="nil"/>
            </w:tcBorders>
            <w:vAlign w:val="center"/>
          </w:tcPr>
          <w:p w14:paraId="3348FF20">
            <w:pPr>
              <w:pStyle w:val="17"/>
              <w:bidi w:val="0"/>
              <w:rPr>
                <w:rFonts w:hint="default"/>
                <w:color w:val="auto"/>
                <w:highlight w:val="none"/>
                <w:lang w:eastAsia="zh-CN"/>
              </w:rPr>
            </w:pPr>
            <w:r>
              <w:rPr>
                <w:rFonts w:hint="default"/>
                <w:color w:val="auto"/>
                <w:highlight w:val="none"/>
                <w:lang w:eastAsia="zh-CN"/>
              </w:rPr>
              <w:t>20</w:t>
            </w:r>
          </w:p>
        </w:tc>
      </w:tr>
      <w:tr w14:paraId="48BE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9" w:type="pct"/>
            <w:vMerge w:val="continue"/>
            <w:tcBorders>
              <w:tl2br w:val="nil"/>
              <w:tr2bl w:val="nil"/>
            </w:tcBorders>
            <w:vAlign w:val="center"/>
          </w:tcPr>
          <w:p w14:paraId="5E97E4C8">
            <w:pPr>
              <w:pStyle w:val="17"/>
              <w:bidi w:val="0"/>
              <w:rPr>
                <w:rFonts w:hint="default"/>
                <w:color w:val="auto"/>
                <w:highlight w:val="none"/>
                <w:lang w:eastAsia="zh-CN"/>
              </w:rPr>
            </w:pPr>
          </w:p>
        </w:tc>
        <w:tc>
          <w:tcPr>
            <w:tcW w:w="948" w:type="pct"/>
            <w:tcBorders>
              <w:tl2br w:val="nil"/>
              <w:tr2bl w:val="nil"/>
            </w:tcBorders>
            <w:vAlign w:val="center"/>
          </w:tcPr>
          <w:p w14:paraId="79D346F4">
            <w:pPr>
              <w:pStyle w:val="17"/>
              <w:bidi w:val="0"/>
              <w:rPr>
                <w:rFonts w:hint="default"/>
                <w:color w:val="auto"/>
                <w:highlight w:val="none"/>
                <w:lang w:eastAsia="zh-CN"/>
              </w:rPr>
            </w:pPr>
            <w:r>
              <w:rPr>
                <w:rFonts w:hint="default"/>
                <w:color w:val="auto"/>
                <w:highlight w:val="none"/>
                <w:lang w:eastAsia="zh-CN"/>
              </w:rPr>
              <w:t>废水</w:t>
            </w:r>
          </w:p>
        </w:tc>
        <w:tc>
          <w:tcPr>
            <w:tcW w:w="2681" w:type="pct"/>
            <w:tcBorders>
              <w:tl2br w:val="nil"/>
              <w:tr2bl w:val="nil"/>
            </w:tcBorders>
            <w:vAlign w:val="center"/>
          </w:tcPr>
          <w:p w14:paraId="37B03EEB">
            <w:pPr>
              <w:pStyle w:val="17"/>
              <w:bidi w:val="0"/>
              <w:rPr>
                <w:rFonts w:hint="default"/>
                <w:color w:val="auto"/>
                <w:highlight w:val="none"/>
                <w:lang w:val="en-US" w:eastAsia="zh-CN"/>
              </w:rPr>
            </w:pPr>
            <w:bookmarkStart w:id="853" w:name="_Toc4166"/>
            <w:bookmarkStart w:id="854" w:name="_Toc16332"/>
            <w:bookmarkStart w:id="855" w:name="_Toc1823"/>
            <w:r>
              <w:rPr>
                <w:rFonts w:hint="default"/>
                <w:color w:val="auto"/>
                <w:highlight w:val="none"/>
                <w:lang w:eastAsia="zh-CN"/>
              </w:rPr>
              <w:t>施工期临时沉淀池</w:t>
            </w:r>
            <w:bookmarkEnd w:id="853"/>
            <w:bookmarkEnd w:id="854"/>
            <w:bookmarkEnd w:id="855"/>
            <w:r>
              <w:rPr>
                <w:rFonts w:hint="eastAsia"/>
                <w:color w:val="auto"/>
                <w:highlight w:val="none"/>
                <w:lang w:eastAsia="zh-CN"/>
              </w:rPr>
              <w:t>、</w:t>
            </w:r>
            <w:r>
              <w:rPr>
                <w:rFonts w:hint="eastAsia"/>
                <w:color w:val="auto"/>
                <w:highlight w:val="none"/>
                <w:lang w:val="en-US" w:eastAsia="zh-CN"/>
              </w:rPr>
              <w:t>环保厕所</w:t>
            </w:r>
          </w:p>
        </w:tc>
        <w:tc>
          <w:tcPr>
            <w:tcW w:w="860" w:type="pct"/>
            <w:tcBorders>
              <w:tl2br w:val="nil"/>
              <w:tr2bl w:val="nil"/>
            </w:tcBorders>
            <w:vAlign w:val="center"/>
          </w:tcPr>
          <w:p w14:paraId="50FD4D51">
            <w:pPr>
              <w:pStyle w:val="17"/>
              <w:bidi w:val="0"/>
              <w:rPr>
                <w:rFonts w:hint="default"/>
                <w:color w:val="auto"/>
                <w:highlight w:val="none"/>
                <w:lang w:val="en-US" w:eastAsia="zh-CN"/>
              </w:rPr>
            </w:pPr>
            <w:r>
              <w:rPr>
                <w:rFonts w:hint="eastAsia"/>
                <w:color w:val="auto"/>
                <w:highlight w:val="none"/>
                <w:lang w:val="en-US" w:eastAsia="zh-CN"/>
              </w:rPr>
              <w:t>10</w:t>
            </w:r>
          </w:p>
        </w:tc>
      </w:tr>
      <w:tr w14:paraId="3506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1E0A034F">
            <w:pPr>
              <w:pStyle w:val="17"/>
              <w:bidi w:val="0"/>
              <w:rPr>
                <w:rFonts w:hint="default"/>
                <w:color w:val="auto"/>
                <w:highlight w:val="none"/>
                <w:lang w:eastAsia="zh-CN"/>
              </w:rPr>
            </w:pPr>
          </w:p>
        </w:tc>
        <w:tc>
          <w:tcPr>
            <w:tcW w:w="948" w:type="pct"/>
            <w:tcBorders>
              <w:tl2br w:val="nil"/>
              <w:tr2bl w:val="nil"/>
            </w:tcBorders>
            <w:vAlign w:val="center"/>
          </w:tcPr>
          <w:p w14:paraId="42603CE3">
            <w:pPr>
              <w:pStyle w:val="17"/>
              <w:bidi w:val="0"/>
              <w:rPr>
                <w:rFonts w:hint="default"/>
                <w:color w:val="auto"/>
                <w:highlight w:val="none"/>
                <w:lang w:eastAsia="zh-CN"/>
              </w:rPr>
            </w:pPr>
            <w:bookmarkStart w:id="856" w:name="_Toc11434"/>
            <w:bookmarkStart w:id="857" w:name="_Toc9015"/>
            <w:bookmarkStart w:id="858" w:name="_Toc31736"/>
            <w:r>
              <w:rPr>
                <w:rFonts w:hint="default"/>
                <w:color w:val="auto"/>
                <w:highlight w:val="none"/>
                <w:lang w:eastAsia="zh-CN"/>
              </w:rPr>
              <w:t>噪声</w:t>
            </w:r>
            <w:bookmarkEnd w:id="856"/>
            <w:bookmarkEnd w:id="857"/>
            <w:bookmarkEnd w:id="858"/>
          </w:p>
        </w:tc>
        <w:tc>
          <w:tcPr>
            <w:tcW w:w="2681" w:type="pct"/>
            <w:tcBorders>
              <w:tl2br w:val="nil"/>
              <w:tr2bl w:val="nil"/>
            </w:tcBorders>
            <w:vAlign w:val="center"/>
          </w:tcPr>
          <w:p w14:paraId="352F105D">
            <w:pPr>
              <w:pStyle w:val="17"/>
              <w:bidi w:val="0"/>
              <w:rPr>
                <w:rFonts w:hint="default"/>
                <w:color w:val="auto"/>
                <w:highlight w:val="none"/>
                <w:lang w:eastAsia="zh-CN"/>
              </w:rPr>
            </w:pPr>
            <w:bookmarkStart w:id="859" w:name="_Toc2332"/>
            <w:bookmarkStart w:id="860" w:name="_Toc32063"/>
            <w:bookmarkStart w:id="861" w:name="_Toc5758"/>
            <w:r>
              <w:rPr>
                <w:rFonts w:hint="default"/>
                <w:color w:val="auto"/>
                <w:highlight w:val="none"/>
                <w:lang w:eastAsia="zh-CN"/>
              </w:rPr>
              <w:t>合理布局，基础减振</w:t>
            </w:r>
            <w:bookmarkEnd w:id="859"/>
            <w:bookmarkEnd w:id="860"/>
            <w:bookmarkEnd w:id="861"/>
          </w:p>
        </w:tc>
        <w:tc>
          <w:tcPr>
            <w:tcW w:w="860" w:type="pct"/>
            <w:tcBorders>
              <w:tl2br w:val="nil"/>
              <w:tr2bl w:val="nil"/>
            </w:tcBorders>
            <w:vAlign w:val="center"/>
          </w:tcPr>
          <w:p w14:paraId="1079D8DB">
            <w:pPr>
              <w:pStyle w:val="17"/>
              <w:bidi w:val="0"/>
              <w:rPr>
                <w:rFonts w:hint="default"/>
                <w:color w:val="auto"/>
                <w:highlight w:val="none"/>
                <w:lang w:eastAsia="zh-CN"/>
              </w:rPr>
            </w:pPr>
            <w:r>
              <w:rPr>
                <w:rFonts w:hint="default"/>
                <w:color w:val="auto"/>
                <w:highlight w:val="none"/>
                <w:lang w:eastAsia="zh-CN"/>
              </w:rPr>
              <w:t>10</w:t>
            </w:r>
          </w:p>
        </w:tc>
      </w:tr>
      <w:tr w14:paraId="7330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300D7B1D">
            <w:pPr>
              <w:pStyle w:val="17"/>
              <w:bidi w:val="0"/>
              <w:rPr>
                <w:rFonts w:hint="default"/>
                <w:color w:val="auto"/>
                <w:highlight w:val="none"/>
                <w:lang w:eastAsia="zh-CN"/>
              </w:rPr>
            </w:pPr>
          </w:p>
        </w:tc>
        <w:tc>
          <w:tcPr>
            <w:tcW w:w="948" w:type="pct"/>
            <w:tcBorders>
              <w:tl2br w:val="nil"/>
              <w:tr2bl w:val="nil"/>
            </w:tcBorders>
            <w:vAlign w:val="center"/>
          </w:tcPr>
          <w:p w14:paraId="0A69482E">
            <w:pPr>
              <w:pStyle w:val="17"/>
              <w:bidi w:val="0"/>
              <w:rPr>
                <w:rFonts w:hint="default"/>
                <w:color w:val="auto"/>
                <w:highlight w:val="none"/>
                <w:lang w:eastAsia="zh-CN"/>
              </w:rPr>
            </w:pPr>
            <w:r>
              <w:rPr>
                <w:rFonts w:hint="default"/>
                <w:color w:val="auto"/>
                <w:highlight w:val="none"/>
                <w:lang w:eastAsia="zh-CN"/>
              </w:rPr>
              <w:t>固体废物</w:t>
            </w:r>
          </w:p>
        </w:tc>
        <w:tc>
          <w:tcPr>
            <w:tcW w:w="2681" w:type="pct"/>
            <w:tcBorders>
              <w:tl2br w:val="nil"/>
              <w:tr2bl w:val="nil"/>
            </w:tcBorders>
            <w:vAlign w:val="center"/>
          </w:tcPr>
          <w:p w14:paraId="562C631E">
            <w:pPr>
              <w:pStyle w:val="17"/>
              <w:bidi w:val="0"/>
              <w:rPr>
                <w:rFonts w:hint="default"/>
                <w:color w:val="auto"/>
                <w:highlight w:val="none"/>
                <w:lang w:eastAsia="zh-CN"/>
              </w:rPr>
            </w:pPr>
            <w:bookmarkStart w:id="862" w:name="_Toc8830"/>
            <w:bookmarkStart w:id="863" w:name="_Toc5161"/>
            <w:bookmarkStart w:id="864" w:name="_Toc9017"/>
            <w:r>
              <w:rPr>
                <w:rFonts w:hint="default"/>
                <w:color w:val="auto"/>
                <w:highlight w:val="none"/>
                <w:lang w:eastAsia="zh-CN"/>
              </w:rPr>
              <w:t>弃土、弃方、建筑垃圾的处置，施工期生活垃圾的处置</w:t>
            </w:r>
            <w:bookmarkEnd w:id="862"/>
            <w:bookmarkEnd w:id="863"/>
            <w:bookmarkEnd w:id="864"/>
          </w:p>
        </w:tc>
        <w:tc>
          <w:tcPr>
            <w:tcW w:w="860" w:type="pct"/>
            <w:tcBorders>
              <w:tl2br w:val="nil"/>
              <w:tr2bl w:val="nil"/>
            </w:tcBorders>
            <w:vAlign w:val="center"/>
          </w:tcPr>
          <w:p w14:paraId="066BD55C">
            <w:pPr>
              <w:pStyle w:val="17"/>
              <w:bidi w:val="0"/>
              <w:rPr>
                <w:rFonts w:hint="default"/>
                <w:color w:val="auto"/>
                <w:highlight w:val="none"/>
                <w:lang w:eastAsia="zh-CN"/>
              </w:rPr>
            </w:pPr>
            <w:r>
              <w:rPr>
                <w:rFonts w:hint="default"/>
                <w:color w:val="auto"/>
                <w:highlight w:val="none"/>
                <w:lang w:eastAsia="zh-CN"/>
              </w:rPr>
              <w:t>30</w:t>
            </w:r>
          </w:p>
        </w:tc>
      </w:tr>
      <w:tr w14:paraId="3C77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0438069B">
            <w:pPr>
              <w:pStyle w:val="17"/>
              <w:bidi w:val="0"/>
              <w:rPr>
                <w:rFonts w:hint="default"/>
                <w:color w:val="auto"/>
                <w:highlight w:val="none"/>
                <w:lang w:eastAsia="zh-CN"/>
              </w:rPr>
            </w:pPr>
          </w:p>
        </w:tc>
        <w:tc>
          <w:tcPr>
            <w:tcW w:w="948" w:type="pct"/>
            <w:tcBorders>
              <w:tl2br w:val="nil"/>
              <w:tr2bl w:val="nil"/>
            </w:tcBorders>
            <w:vAlign w:val="center"/>
          </w:tcPr>
          <w:p w14:paraId="7474E9C5">
            <w:pPr>
              <w:pStyle w:val="17"/>
              <w:bidi w:val="0"/>
              <w:rPr>
                <w:rFonts w:hint="default"/>
                <w:color w:val="auto"/>
                <w:highlight w:val="none"/>
                <w:lang w:eastAsia="zh-CN"/>
              </w:rPr>
            </w:pPr>
            <w:bookmarkStart w:id="865" w:name="_Toc12157"/>
            <w:bookmarkStart w:id="866" w:name="_Toc32678"/>
            <w:bookmarkStart w:id="867" w:name="_Toc28272"/>
            <w:r>
              <w:rPr>
                <w:rFonts w:hint="default"/>
                <w:color w:val="auto"/>
                <w:highlight w:val="none"/>
                <w:lang w:eastAsia="zh-CN"/>
              </w:rPr>
              <w:t>生态环境</w:t>
            </w:r>
            <w:bookmarkEnd w:id="865"/>
            <w:bookmarkEnd w:id="866"/>
            <w:bookmarkEnd w:id="867"/>
          </w:p>
        </w:tc>
        <w:tc>
          <w:tcPr>
            <w:tcW w:w="2681" w:type="pct"/>
            <w:tcBorders>
              <w:tl2br w:val="nil"/>
              <w:tr2bl w:val="nil"/>
            </w:tcBorders>
            <w:vAlign w:val="center"/>
          </w:tcPr>
          <w:p w14:paraId="5FA08957">
            <w:pPr>
              <w:pStyle w:val="17"/>
              <w:bidi w:val="0"/>
              <w:rPr>
                <w:rFonts w:hint="default"/>
                <w:color w:val="auto"/>
                <w:highlight w:val="none"/>
                <w:lang w:eastAsia="zh-CN"/>
              </w:rPr>
            </w:pPr>
            <w:bookmarkStart w:id="868" w:name="_Toc8876"/>
            <w:bookmarkStart w:id="869" w:name="_Toc12817"/>
            <w:bookmarkStart w:id="870" w:name="_Toc8786"/>
            <w:r>
              <w:rPr>
                <w:rFonts w:hint="default"/>
                <w:color w:val="auto"/>
                <w:highlight w:val="none"/>
                <w:lang w:eastAsia="zh-CN"/>
              </w:rPr>
              <w:t>场地平整、绿化</w:t>
            </w:r>
            <w:bookmarkEnd w:id="868"/>
            <w:bookmarkEnd w:id="869"/>
            <w:bookmarkEnd w:id="870"/>
          </w:p>
        </w:tc>
        <w:tc>
          <w:tcPr>
            <w:tcW w:w="860" w:type="pct"/>
            <w:tcBorders>
              <w:tl2br w:val="nil"/>
              <w:tr2bl w:val="nil"/>
            </w:tcBorders>
            <w:vAlign w:val="center"/>
          </w:tcPr>
          <w:p w14:paraId="07567148">
            <w:pPr>
              <w:pStyle w:val="17"/>
              <w:bidi w:val="0"/>
              <w:rPr>
                <w:rFonts w:hint="default"/>
                <w:color w:val="auto"/>
                <w:highlight w:val="none"/>
                <w:lang w:eastAsia="zh-CN"/>
              </w:rPr>
            </w:pPr>
            <w:r>
              <w:rPr>
                <w:rFonts w:hint="default"/>
                <w:color w:val="auto"/>
                <w:highlight w:val="none"/>
                <w:lang w:eastAsia="zh-CN"/>
              </w:rPr>
              <w:t>50</w:t>
            </w:r>
          </w:p>
        </w:tc>
      </w:tr>
      <w:tr w14:paraId="5F31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restart"/>
            <w:tcBorders>
              <w:tl2br w:val="nil"/>
              <w:tr2bl w:val="nil"/>
            </w:tcBorders>
            <w:vAlign w:val="center"/>
          </w:tcPr>
          <w:p w14:paraId="55EE257C">
            <w:pPr>
              <w:pStyle w:val="17"/>
              <w:bidi w:val="0"/>
              <w:rPr>
                <w:rFonts w:hint="default"/>
                <w:color w:val="auto"/>
                <w:highlight w:val="none"/>
                <w:lang w:eastAsia="zh-CN"/>
              </w:rPr>
            </w:pPr>
            <w:bookmarkStart w:id="871" w:name="_Toc20766"/>
            <w:bookmarkStart w:id="872" w:name="_Toc15459"/>
            <w:bookmarkStart w:id="873" w:name="_Toc6862"/>
            <w:r>
              <w:rPr>
                <w:rFonts w:hint="default"/>
                <w:color w:val="auto"/>
                <w:highlight w:val="none"/>
                <w:lang w:eastAsia="zh-CN"/>
              </w:rPr>
              <w:t>运营期</w:t>
            </w:r>
          </w:p>
        </w:tc>
        <w:tc>
          <w:tcPr>
            <w:tcW w:w="948" w:type="pct"/>
            <w:vMerge w:val="restart"/>
            <w:tcBorders>
              <w:tl2br w:val="nil"/>
              <w:tr2bl w:val="nil"/>
            </w:tcBorders>
            <w:vAlign w:val="center"/>
          </w:tcPr>
          <w:p w14:paraId="0C907902">
            <w:pPr>
              <w:pStyle w:val="17"/>
              <w:bidi w:val="0"/>
              <w:rPr>
                <w:rFonts w:hint="default"/>
                <w:color w:val="auto"/>
                <w:highlight w:val="none"/>
                <w:lang w:eastAsia="zh-CN"/>
              </w:rPr>
            </w:pPr>
            <w:bookmarkStart w:id="874" w:name="_Toc16526"/>
            <w:bookmarkStart w:id="875" w:name="_Toc26769"/>
            <w:bookmarkStart w:id="876" w:name="_Toc14285"/>
            <w:r>
              <w:rPr>
                <w:rFonts w:hint="default"/>
                <w:color w:val="auto"/>
                <w:highlight w:val="none"/>
                <w:lang w:eastAsia="zh-CN"/>
              </w:rPr>
              <w:t>废气</w:t>
            </w:r>
            <w:bookmarkEnd w:id="874"/>
            <w:bookmarkEnd w:id="875"/>
            <w:bookmarkEnd w:id="876"/>
          </w:p>
        </w:tc>
        <w:tc>
          <w:tcPr>
            <w:tcW w:w="2681" w:type="pct"/>
            <w:tcBorders>
              <w:tl2br w:val="nil"/>
              <w:tr2bl w:val="nil"/>
            </w:tcBorders>
            <w:vAlign w:val="center"/>
          </w:tcPr>
          <w:p w14:paraId="258D2611">
            <w:pPr>
              <w:pStyle w:val="17"/>
              <w:bidi w:val="0"/>
              <w:rPr>
                <w:rFonts w:hint="default"/>
                <w:color w:val="auto"/>
                <w:highlight w:val="none"/>
                <w:lang w:val="en-US" w:eastAsia="zh-CN"/>
              </w:rPr>
            </w:pPr>
            <w:r>
              <w:rPr>
                <w:rFonts w:hint="default"/>
                <w:color w:val="auto"/>
                <w:highlight w:val="none"/>
                <w:lang w:val="en-US" w:eastAsia="zh-CN"/>
              </w:rPr>
              <w:t>湿式凿岩，作业面洒水喷雾；废石堆场、</w:t>
            </w:r>
            <w:r>
              <w:rPr>
                <w:rFonts w:hint="eastAsia"/>
                <w:color w:val="auto"/>
                <w:highlight w:val="none"/>
                <w:lang w:val="en-US" w:eastAsia="zh-CN"/>
              </w:rPr>
              <w:t>尾矿库、</w:t>
            </w:r>
            <w:r>
              <w:rPr>
                <w:rFonts w:hint="default"/>
                <w:color w:val="auto"/>
                <w:highlight w:val="none"/>
                <w:lang w:val="en-US" w:eastAsia="zh-CN"/>
              </w:rPr>
              <w:t>道路洒水</w:t>
            </w:r>
            <w:r>
              <w:rPr>
                <w:rFonts w:hint="eastAsia"/>
                <w:color w:val="auto"/>
                <w:highlight w:val="none"/>
                <w:lang w:val="en-US" w:eastAsia="zh-CN"/>
              </w:rPr>
              <w:t>装置等</w:t>
            </w:r>
          </w:p>
        </w:tc>
        <w:tc>
          <w:tcPr>
            <w:tcW w:w="860" w:type="pct"/>
            <w:tcBorders>
              <w:tl2br w:val="nil"/>
              <w:tr2bl w:val="nil"/>
            </w:tcBorders>
            <w:vAlign w:val="center"/>
          </w:tcPr>
          <w:p w14:paraId="45525C02">
            <w:pPr>
              <w:pStyle w:val="17"/>
              <w:bidi w:val="0"/>
              <w:rPr>
                <w:rFonts w:hint="default"/>
                <w:color w:val="auto"/>
                <w:highlight w:val="none"/>
                <w:lang w:val="en-US" w:eastAsia="zh-CN"/>
              </w:rPr>
            </w:pPr>
            <w:r>
              <w:rPr>
                <w:rFonts w:hint="eastAsia"/>
                <w:color w:val="auto"/>
                <w:highlight w:val="none"/>
                <w:lang w:val="en-US" w:eastAsia="zh-CN"/>
              </w:rPr>
              <w:t>20</w:t>
            </w:r>
          </w:p>
        </w:tc>
      </w:tr>
      <w:bookmarkEnd w:id="871"/>
      <w:bookmarkEnd w:id="872"/>
      <w:bookmarkEnd w:id="873"/>
      <w:tr w14:paraId="1405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09" w:type="pct"/>
            <w:vMerge w:val="continue"/>
            <w:tcBorders>
              <w:tl2br w:val="nil"/>
              <w:tr2bl w:val="nil"/>
            </w:tcBorders>
            <w:vAlign w:val="center"/>
          </w:tcPr>
          <w:p w14:paraId="0A787BBD">
            <w:pPr>
              <w:pStyle w:val="17"/>
              <w:bidi w:val="0"/>
              <w:rPr>
                <w:rFonts w:hint="default"/>
                <w:color w:val="auto"/>
                <w:highlight w:val="none"/>
                <w:lang w:eastAsia="zh-CN"/>
              </w:rPr>
            </w:pPr>
          </w:p>
        </w:tc>
        <w:tc>
          <w:tcPr>
            <w:tcW w:w="948" w:type="pct"/>
            <w:vMerge w:val="continue"/>
            <w:tcBorders>
              <w:tl2br w:val="nil"/>
              <w:tr2bl w:val="nil"/>
            </w:tcBorders>
            <w:vAlign w:val="center"/>
          </w:tcPr>
          <w:p w14:paraId="754220D2">
            <w:pPr>
              <w:pStyle w:val="17"/>
              <w:bidi w:val="0"/>
              <w:rPr>
                <w:rFonts w:hint="default"/>
                <w:color w:val="auto"/>
                <w:highlight w:val="none"/>
                <w:lang w:eastAsia="zh-CN"/>
              </w:rPr>
            </w:pPr>
          </w:p>
        </w:tc>
        <w:tc>
          <w:tcPr>
            <w:tcW w:w="2681" w:type="pct"/>
            <w:tcBorders>
              <w:tl2br w:val="nil"/>
              <w:tr2bl w:val="nil"/>
            </w:tcBorders>
            <w:vAlign w:val="center"/>
          </w:tcPr>
          <w:p w14:paraId="113B7B35">
            <w:pPr>
              <w:pStyle w:val="17"/>
              <w:bidi w:val="0"/>
              <w:rPr>
                <w:rFonts w:hint="default"/>
                <w:color w:val="auto"/>
                <w:highlight w:val="none"/>
                <w:lang w:eastAsia="zh-CN"/>
              </w:rPr>
            </w:pPr>
            <w:bookmarkStart w:id="877" w:name="_Toc12183"/>
            <w:bookmarkStart w:id="878" w:name="_Toc24771"/>
            <w:bookmarkStart w:id="879" w:name="_Toc24893"/>
            <w:r>
              <w:rPr>
                <w:rFonts w:hint="default"/>
                <w:color w:val="auto"/>
                <w:highlight w:val="none"/>
                <w:lang w:eastAsia="zh-CN"/>
              </w:rPr>
              <w:t>布袋除尘除尘器（</w:t>
            </w:r>
            <w:r>
              <w:rPr>
                <w:rFonts w:hint="eastAsia"/>
                <w:color w:val="auto"/>
                <w:highlight w:val="none"/>
                <w:lang w:val="en-US" w:eastAsia="zh-CN"/>
              </w:rPr>
              <w:t>4</w:t>
            </w:r>
            <w:r>
              <w:rPr>
                <w:rFonts w:hint="default"/>
                <w:color w:val="auto"/>
                <w:highlight w:val="none"/>
                <w:lang w:eastAsia="zh-CN"/>
              </w:rPr>
              <w:t>套）</w:t>
            </w:r>
            <w:bookmarkEnd w:id="877"/>
            <w:bookmarkEnd w:id="878"/>
            <w:bookmarkEnd w:id="879"/>
          </w:p>
        </w:tc>
        <w:tc>
          <w:tcPr>
            <w:tcW w:w="860" w:type="pct"/>
            <w:tcBorders>
              <w:tl2br w:val="nil"/>
              <w:tr2bl w:val="nil"/>
            </w:tcBorders>
            <w:vAlign w:val="center"/>
          </w:tcPr>
          <w:p w14:paraId="173D0F0F">
            <w:pPr>
              <w:pStyle w:val="17"/>
              <w:bidi w:val="0"/>
              <w:rPr>
                <w:rFonts w:hint="default"/>
                <w:color w:val="auto"/>
                <w:highlight w:val="none"/>
                <w:lang w:val="en-US" w:eastAsia="zh-CN"/>
              </w:rPr>
            </w:pPr>
            <w:r>
              <w:rPr>
                <w:rFonts w:hint="eastAsia"/>
                <w:color w:val="auto"/>
                <w:highlight w:val="none"/>
                <w:lang w:val="en-US" w:eastAsia="zh-CN"/>
              </w:rPr>
              <w:t>200</w:t>
            </w:r>
          </w:p>
        </w:tc>
      </w:tr>
      <w:tr w14:paraId="20FB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09" w:type="pct"/>
            <w:vMerge w:val="continue"/>
            <w:tcBorders>
              <w:tl2br w:val="nil"/>
              <w:tr2bl w:val="nil"/>
            </w:tcBorders>
            <w:vAlign w:val="center"/>
          </w:tcPr>
          <w:p w14:paraId="6E8C4BFD">
            <w:pPr>
              <w:pStyle w:val="17"/>
              <w:bidi w:val="0"/>
              <w:rPr>
                <w:rFonts w:hint="default"/>
                <w:color w:val="auto"/>
                <w:highlight w:val="none"/>
                <w:lang w:eastAsia="zh-CN"/>
              </w:rPr>
            </w:pPr>
          </w:p>
        </w:tc>
        <w:tc>
          <w:tcPr>
            <w:tcW w:w="948" w:type="pct"/>
            <w:vMerge w:val="continue"/>
            <w:tcBorders>
              <w:tl2br w:val="nil"/>
              <w:tr2bl w:val="nil"/>
            </w:tcBorders>
            <w:vAlign w:val="center"/>
          </w:tcPr>
          <w:p w14:paraId="31E9BD8E">
            <w:pPr>
              <w:pStyle w:val="17"/>
              <w:bidi w:val="0"/>
              <w:rPr>
                <w:rFonts w:hint="default"/>
                <w:color w:val="auto"/>
                <w:highlight w:val="none"/>
                <w:lang w:eastAsia="zh-CN"/>
              </w:rPr>
            </w:pPr>
          </w:p>
        </w:tc>
        <w:tc>
          <w:tcPr>
            <w:tcW w:w="2681" w:type="pct"/>
            <w:tcBorders>
              <w:tl2br w:val="nil"/>
              <w:tr2bl w:val="nil"/>
            </w:tcBorders>
            <w:vAlign w:val="center"/>
          </w:tcPr>
          <w:p w14:paraId="7E83AC39">
            <w:pPr>
              <w:pStyle w:val="17"/>
              <w:bidi w:val="0"/>
              <w:rPr>
                <w:rFonts w:hint="default"/>
                <w:color w:val="auto"/>
                <w:highlight w:val="none"/>
                <w:lang w:val="en-US" w:eastAsia="zh-CN"/>
              </w:rPr>
            </w:pPr>
            <w:r>
              <w:rPr>
                <w:rFonts w:hint="eastAsia"/>
                <w:color w:val="auto"/>
                <w:highlight w:val="none"/>
                <w:lang w:val="en-US" w:eastAsia="zh-CN"/>
              </w:rPr>
              <w:t>硫酸雾吸收塔</w:t>
            </w:r>
          </w:p>
        </w:tc>
        <w:tc>
          <w:tcPr>
            <w:tcW w:w="860" w:type="pct"/>
            <w:tcBorders>
              <w:tl2br w:val="nil"/>
              <w:tr2bl w:val="nil"/>
            </w:tcBorders>
            <w:vAlign w:val="center"/>
          </w:tcPr>
          <w:p w14:paraId="174C3250">
            <w:pPr>
              <w:pStyle w:val="17"/>
              <w:bidi w:val="0"/>
              <w:rPr>
                <w:rFonts w:hint="default"/>
                <w:color w:val="auto"/>
                <w:highlight w:val="none"/>
                <w:lang w:eastAsia="zh-CN"/>
              </w:rPr>
            </w:pPr>
            <w:r>
              <w:rPr>
                <w:rFonts w:hint="default"/>
                <w:color w:val="auto"/>
                <w:highlight w:val="none"/>
                <w:lang w:eastAsia="zh-CN"/>
              </w:rPr>
              <w:t>35</w:t>
            </w:r>
          </w:p>
        </w:tc>
      </w:tr>
      <w:tr w14:paraId="4905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09" w:type="pct"/>
            <w:vMerge w:val="continue"/>
            <w:tcBorders>
              <w:tl2br w:val="nil"/>
              <w:tr2bl w:val="nil"/>
            </w:tcBorders>
            <w:vAlign w:val="center"/>
          </w:tcPr>
          <w:p w14:paraId="6F3DFFC6">
            <w:pPr>
              <w:pStyle w:val="17"/>
              <w:bidi w:val="0"/>
              <w:rPr>
                <w:rFonts w:hint="default"/>
                <w:color w:val="auto"/>
                <w:highlight w:val="none"/>
              </w:rPr>
            </w:pPr>
          </w:p>
        </w:tc>
        <w:tc>
          <w:tcPr>
            <w:tcW w:w="948" w:type="pct"/>
            <w:vMerge w:val="restart"/>
            <w:tcBorders>
              <w:tl2br w:val="nil"/>
              <w:tr2bl w:val="nil"/>
            </w:tcBorders>
            <w:vAlign w:val="center"/>
          </w:tcPr>
          <w:p w14:paraId="584AC860">
            <w:pPr>
              <w:pStyle w:val="17"/>
              <w:bidi w:val="0"/>
              <w:rPr>
                <w:rFonts w:hint="default"/>
                <w:color w:val="auto"/>
                <w:highlight w:val="none"/>
              </w:rPr>
            </w:pPr>
            <w:bookmarkStart w:id="880" w:name="_Toc17516"/>
            <w:bookmarkStart w:id="881" w:name="_Toc22041"/>
            <w:bookmarkStart w:id="882" w:name="_Toc23974"/>
            <w:r>
              <w:rPr>
                <w:rFonts w:hint="default"/>
                <w:color w:val="auto"/>
                <w:highlight w:val="none"/>
                <w:lang w:eastAsia="zh-CN"/>
              </w:rPr>
              <w:t>废水</w:t>
            </w:r>
            <w:bookmarkEnd w:id="880"/>
            <w:bookmarkEnd w:id="881"/>
            <w:bookmarkEnd w:id="882"/>
          </w:p>
        </w:tc>
        <w:tc>
          <w:tcPr>
            <w:tcW w:w="2681" w:type="pct"/>
            <w:tcBorders>
              <w:tl2br w:val="nil"/>
              <w:tr2bl w:val="nil"/>
            </w:tcBorders>
            <w:vAlign w:val="center"/>
          </w:tcPr>
          <w:p w14:paraId="50F1AB7D">
            <w:pPr>
              <w:pStyle w:val="17"/>
              <w:bidi w:val="0"/>
              <w:rPr>
                <w:rFonts w:hint="default"/>
                <w:color w:val="auto"/>
                <w:highlight w:val="none"/>
                <w:lang w:eastAsia="zh-CN"/>
              </w:rPr>
            </w:pPr>
            <w:r>
              <w:rPr>
                <w:rFonts w:hint="eastAsia"/>
                <w:color w:val="auto"/>
                <w:highlight w:val="none"/>
                <w:lang w:val="en-US" w:eastAsia="zh-CN"/>
              </w:rPr>
              <w:t>坑内水处理站</w:t>
            </w:r>
          </w:p>
        </w:tc>
        <w:tc>
          <w:tcPr>
            <w:tcW w:w="860" w:type="pct"/>
            <w:tcBorders>
              <w:tl2br w:val="nil"/>
              <w:tr2bl w:val="nil"/>
            </w:tcBorders>
            <w:vAlign w:val="center"/>
          </w:tcPr>
          <w:p w14:paraId="372125C8">
            <w:pPr>
              <w:pStyle w:val="17"/>
              <w:bidi w:val="0"/>
              <w:rPr>
                <w:rFonts w:hint="default"/>
                <w:color w:val="auto"/>
                <w:highlight w:val="none"/>
                <w:lang w:val="en-US" w:eastAsia="zh-CN"/>
              </w:rPr>
            </w:pPr>
            <w:r>
              <w:rPr>
                <w:rFonts w:hint="eastAsia"/>
                <w:color w:val="auto"/>
                <w:highlight w:val="none"/>
                <w:lang w:val="en-US" w:eastAsia="zh-CN"/>
              </w:rPr>
              <w:t>646</w:t>
            </w:r>
          </w:p>
        </w:tc>
      </w:tr>
      <w:tr w14:paraId="2877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09" w:type="pct"/>
            <w:vMerge w:val="continue"/>
            <w:tcBorders>
              <w:tl2br w:val="nil"/>
              <w:tr2bl w:val="nil"/>
            </w:tcBorders>
            <w:vAlign w:val="center"/>
          </w:tcPr>
          <w:p w14:paraId="14B13100">
            <w:pPr>
              <w:pStyle w:val="17"/>
              <w:bidi w:val="0"/>
              <w:rPr>
                <w:rFonts w:hint="default"/>
                <w:color w:val="auto"/>
                <w:highlight w:val="none"/>
              </w:rPr>
            </w:pPr>
          </w:p>
        </w:tc>
        <w:tc>
          <w:tcPr>
            <w:tcW w:w="948" w:type="pct"/>
            <w:vMerge w:val="continue"/>
            <w:tcBorders>
              <w:tl2br w:val="nil"/>
              <w:tr2bl w:val="nil"/>
            </w:tcBorders>
            <w:vAlign w:val="center"/>
          </w:tcPr>
          <w:p w14:paraId="0F689A64">
            <w:pPr>
              <w:pStyle w:val="17"/>
              <w:bidi w:val="0"/>
              <w:rPr>
                <w:rFonts w:hint="default"/>
                <w:color w:val="auto"/>
                <w:highlight w:val="none"/>
                <w:lang w:eastAsia="zh-CN"/>
              </w:rPr>
            </w:pPr>
          </w:p>
        </w:tc>
        <w:tc>
          <w:tcPr>
            <w:tcW w:w="2681" w:type="pct"/>
            <w:tcBorders>
              <w:tl2br w:val="nil"/>
              <w:tr2bl w:val="nil"/>
            </w:tcBorders>
            <w:shd w:val="clear" w:color="auto" w:fill="auto"/>
            <w:vAlign w:val="center"/>
          </w:tcPr>
          <w:p w14:paraId="4D7D49A8">
            <w:pPr>
              <w:pStyle w:val="17"/>
              <w:bidi w:val="0"/>
              <w:rPr>
                <w:rFonts w:hint="default"/>
                <w:color w:val="auto"/>
                <w:highlight w:val="none"/>
                <w:lang w:val="en-US" w:eastAsia="zh-CN"/>
              </w:rPr>
            </w:pPr>
            <w:r>
              <w:rPr>
                <w:rFonts w:hint="default"/>
                <w:color w:val="auto"/>
                <w:highlight w:val="none"/>
                <w:lang w:val="en-US" w:eastAsia="zh-CN"/>
              </w:rPr>
              <w:t>地埋式</w:t>
            </w:r>
            <w:r>
              <w:rPr>
                <w:rFonts w:hint="eastAsia"/>
                <w:color w:val="auto"/>
                <w:highlight w:val="none"/>
                <w:lang w:val="en-US" w:eastAsia="zh-CN"/>
              </w:rPr>
              <w:t>一体化</w:t>
            </w:r>
            <w:r>
              <w:rPr>
                <w:rFonts w:hint="default"/>
                <w:color w:val="auto"/>
                <w:highlight w:val="none"/>
                <w:lang w:val="en-US" w:eastAsia="zh-CN"/>
              </w:rPr>
              <w:t>污水处理设施</w:t>
            </w:r>
          </w:p>
        </w:tc>
        <w:tc>
          <w:tcPr>
            <w:tcW w:w="860" w:type="pct"/>
            <w:tcBorders>
              <w:tl2br w:val="nil"/>
              <w:tr2bl w:val="nil"/>
            </w:tcBorders>
            <w:vAlign w:val="center"/>
          </w:tcPr>
          <w:p w14:paraId="7EBDBF5F">
            <w:pPr>
              <w:pStyle w:val="17"/>
              <w:bidi w:val="0"/>
              <w:rPr>
                <w:rFonts w:hint="default"/>
                <w:color w:val="auto"/>
                <w:highlight w:val="none"/>
                <w:lang w:val="en-US" w:eastAsia="zh-CN"/>
              </w:rPr>
            </w:pPr>
            <w:r>
              <w:rPr>
                <w:rFonts w:hint="eastAsia"/>
                <w:color w:val="auto"/>
                <w:highlight w:val="none"/>
                <w:lang w:val="en-US" w:eastAsia="zh-CN"/>
              </w:rPr>
              <w:t>232</w:t>
            </w:r>
          </w:p>
        </w:tc>
      </w:tr>
      <w:tr w14:paraId="2EC1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2DE5DC6A">
            <w:pPr>
              <w:pStyle w:val="17"/>
              <w:bidi w:val="0"/>
              <w:rPr>
                <w:rFonts w:hint="default"/>
                <w:color w:val="auto"/>
                <w:highlight w:val="none"/>
                <w:lang w:eastAsia="zh-CN"/>
              </w:rPr>
            </w:pPr>
          </w:p>
        </w:tc>
        <w:tc>
          <w:tcPr>
            <w:tcW w:w="948" w:type="pct"/>
            <w:tcBorders>
              <w:tl2br w:val="nil"/>
              <w:tr2bl w:val="nil"/>
            </w:tcBorders>
            <w:vAlign w:val="center"/>
          </w:tcPr>
          <w:p w14:paraId="6FC44E82">
            <w:pPr>
              <w:pStyle w:val="17"/>
              <w:bidi w:val="0"/>
              <w:rPr>
                <w:rFonts w:hint="default"/>
                <w:color w:val="auto"/>
                <w:highlight w:val="none"/>
                <w:lang w:eastAsia="zh-CN"/>
              </w:rPr>
            </w:pPr>
            <w:r>
              <w:rPr>
                <w:rFonts w:hint="default"/>
                <w:color w:val="auto"/>
                <w:highlight w:val="none"/>
                <w:lang w:eastAsia="zh-CN"/>
              </w:rPr>
              <w:t>噪声</w:t>
            </w:r>
          </w:p>
        </w:tc>
        <w:tc>
          <w:tcPr>
            <w:tcW w:w="2681" w:type="pct"/>
            <w:tcBorders>
              <w:tl2br w:val="nil"/>
              <w:tr2bl w:val="nil"/>
            </w:tcBorders>
            <w:vAlign w:val="center"/>
          </w:tcPr>
          <w:p w14:paraId="043E232B">
            <w:pPr>
              <w:pStyle w:val="17"/>
              <w:bidi w:val="0"/>
              <w:rPr>
                <w:rFonts w:hint="default"/>
                <w:color w:val="auto"/>
                <w:highlight w:val="none"/>
                <w:lang w:eastAsia="zh-CN"/>
              </w:rPr>
            </w:pPr>
            <w:bookmarkStart w:id="883" w:name="_Toc25839"/>
            <w:bookmarkStart w:id="884" w:name="_Toc11328"/>
            <w:bookmarkStart w:id="885" w:name="_Toc20327"/>
            <w:r>
              <w:rPr>
                <w:rFonts w:hint="default"/>
                <w:color w:val="auto"/>
                <w:highlight w:val="none"/>
                <w:lang w:eastAsia="zh-CN"/>
              </w:rPr>
              <w:t>高噪声设备</w:t>
            </w:r>
            <w:r>
              <w:rPr>
                <w:rFonts w:hint="eastAsia"/>
                <w:color w:val="auto"/>
                <w:highlight w:val="none"/>
                <w:lang w:val="en-US" w:eastAsia="zh-CN"/>
              </w:rPr>
              <w:t>合理布局、</w:t>
            </w:r>
            <w:r>
              <w:rPr>
                <w:rFonts w:hint="default"/>
                <w:color w:val="auto"/>
                <w:highlight w:val="none"/>
                <w:lang w:eastAsia="zh-CN"/>
              </w:rPr>
              <w:t>基础减振，设备养护</w:t>
            </w:r>
            <w:bookmarkEnd w:id="883"/>
            <w:bookmarkEnd w:id="884"/>
            <w:bookmarkEnd w:id="885"/>
          </w:p>
        </w:tc>
        <w:tc>
          <w:tcPr>
            <w:tcW w:w="860" w:type="pct"/>
            <w:tcBorders>
              <w:tl2br w:val="nil"/>
              <w:tr2bl w:val="nil"/>
            </w:tcBorders>
            <w:vAlign w:val="center"/>
          </w:tcPr>
          <w:p w14:paraId="4ACBE44D">
            <w:pPr>
              <w:pStyle w:val="17"/>
              <w:bidi w:val="0"/>
              <w:rPr>
                <w:rFonts w:hint="default"/>
                <w:color w:val="auto"/>
                <w:highlight w:val="none"/>
                <w:lang w:val="en-US" w:eastAsia="zh-CN"/>
              </w:rPr>
            </w:pPr>
            <w:r>
              <w:rPr>
                <w:rFonts w:hint="default"/>
                <w:color w:val="auto"/>
                <w:highlight w:val="none"/>
                <w:lang w:val="en-US" w:eastAsia="zh-CN"/>
              </w:rPr>
              <w:t>14</w:t>
            </w:r>
          </w:p>
        </w:tc>
      </w:tr>
      <w:tr w14:paraId="4032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09" w:type="pct"/>
            <w:vMerge w:val="continue"/>
            <w:tcBorders>
              <w:tl2br w:val="nil"/>
              <w:tr2bl w:val="nil"/>
            </w:tcBorders>
            <w:vAlign w:val="center"/>
          </w:tcPr>
          <w:p w14:paraId="0D0F1F0D">
            <w:pPr>
              <w:pStyle w:val="17"/>
              <w:bidi w:val="0"/>
              <w:rPr>
                <w:rFonts w:hint="default"/>
                <w:color w:val="auto"/>
                <w:highlight w:val="none"/>
                <w:lang w:eastAsia="zh-CN"/>
              </w:rPr>
            </w:pPr>
          </w:p>
        </w:tc>
        <w:tc>
          <w:tcPr>
            <w:tcW w:w="948" w:type="pct"/>
            <w:vMerge w:val="restart"/>
            <w:tcBorders>
              <w:tl2br w:val="nil"/>
              <w:tr2bl w:val="nil"/>
            </w:tcBorders>
            <w:vAlign w:val="center"/>
          </w:tcPr>
          <w:p w14:paraId="59FCFCE7">
            <w:pPr>
              <w:pStyle w:val="17"/>
              <w:bidi w:val="0"/>
              <w:rPr>
                <w:rFonts w:hint="default"/>
                <w:color w:val="auto"/>
                <w:highlight w:val="none"/>
                <w:lang w:eastAsia="zh-CN"/>
              </w:rPr>
            </w:pPr>
            <w:r>
              <w:rPr>
                <w:rFonts w:hint="default"/>
                <w:color w:val="auto"/>
                <w:highlight w:val="none"/>
                <w:lang w:eastAsia="zh-CN"/>
              </w:rPr>
              <w:t>固体废物</w:t>
            </w:r>
          </w:p>
        </w:tc>
        <w:tc>
          <w:tcPr>
            <w:tcW w:w="2681" w:type="pct"/>
            <w:tcBorders>
              <w:tl2br w:val="nil"/>
              <w:tr2bl w:val="nil"/>
            </w:tcBorders>
            <w:vAlign w:val="center"/>
          </w:tcPr>
          <w:p w14:paraId="37F7B59F">
            <w:pPr>
              <w:pStyle w:val="17"/>
              <w:bidi w:val="0"/>
              <w:rPr>
                <w:rFonts w:hint="default"/>
                <w:color w:val="auto"/>
                <w:highlight w:val="none"/>
                <w:lang w:val="en-US" w:eastAsia="zh-CN"/>
              </w:rPr>
            </w:pPr>
            <w:r>
              <w:rPr>
                <w:rFonts w:hint="eastAsia"/>
                <w:color w:val="auto"/>
                <w:highlight w:val="none"/>
                <w:lang w:val="en-US" w:eastAsia="zh-CN"/>
              </w:rPr>
              <w:t>生活垃圾收集箱</w:t>
            </w:r>
          </w:p>
        </w:tc>
        <w:tc>
          <w:tcPr>
            <w:tcW w:w="860" w:type="pct"/>
            <w:tcBorders>
              <w:tl2br w:val="nil"/>
              <w:tr2bl w:val="nil"/>
            </w:tcBorders>
            <w:vAlign w:val="center"/>
          </w:tcPr>
          <w:p w14:paraId="788185A4">
            <w:pPr>
              <w:pStyle w:val="17"/>
              <w:bidi w:val="0"/>
              <w:rPr>
                <w:rFonts w:hint="default"/>
                <w:color w:val="auto"/>
                <w:highlight w:val="none"/>
                <w:lang w:val="en-US" w:eastAsia="zh-CN"/>
              </w:rPr>
            </w:pPr>
            <w:r>
              <w:rPr>
                <w:rFonts w:hint="eastAsia"/>
                <w:color w:val="auto"/>
                <w:highlight w:val="none"/>
                <w:lang w:val="en-US" w:eastAsia="zh-CN"/>
              </w:rPr>
              <w:t>2</w:t>
            </w:r>
          </w:p>
        </w:tc>
      </w:tr>
      <w:tr w14:paraId="3642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09" w:type="pct"/>
            <w:vMerge w:val="continue"/>
            <w:tcBorders>
              <w:tl2br w:val="nil"/>
              <w:tr2bl w:val="nil"/>
            </w:tcBorders>
            <w:vAlign w:val="center"/>
          </w:tcPr>
          <w:p w14:paraId="0168C475">
            <w:pPr>
              <w:pStyle w:val="17"/>
              <w:bidi w:val="0"/>
              <w:rPr>
                <w:rFonts w:hint="default"/>
                <w:color w:val="auto"/>
                <w:highlight w:val="none"/>
                <w:lang w:eastAsia="zh-CN"/>
              </w:rPr>
            </w:pPr>
          </w:p>
        </w:tc>
        <w:tc>
          <w:tcPr>
            <w:tcW w:w="948" w:type="pct"/>
            <w:vMerge w:val="continue"/>
            <w:tcBorders>
              <w:tl2br w:val="nil"/>
              <w:tr2bl w:val="nil"/>
            </w:tcBorders>
            <w:vAlign w:val="center"/>
          </w:tcPr>
          <w:p w14:paraId="112E4BBF">
            <w:pPr>
              <w:pStyle w:val="17"/>
              <w:bidi w:val="0"/>
              <w:rPr>
                <w:rFonts w:hint="default"/>
                <w:color w:val="auto"/>
                <w:highlight w:val="none"/>
                <w:lang w:eastAsia="zh-CN"/>
              </w:rPr>
            </w:pPr>
          </w:p>
        </w:tc>
        <w:tc>
          <w:tcPr>
            <w:tcW w:w="2681" w:type="pct"/>
            <w:tcBorders>
              <w:tl2br w:val="nil"/>
              <w:tr2bl w:val="nil"/>
            </w:tcBorders>
            <w:vAlign w:val="center"/>
          </w:tcPr>
          <w:p w14:paraId="618CB8E4">
            <w:pPr>
              <w:pStyle w:val="17"/>
              <w:bidi w:val="0"/>
              <w:rPr>
                <w:rFonts w:hint="default"/>
                <w:color w:val="auto"/>
                <w:highlight w:val="none"/>
                <w:lang w:eastAsia="zh-CN"/>
              </w:rPr>
            </w:pPr>
            <w:r>
              <w:rPr>
                <w:rFonts w:hint="default"/>
                <w:color w:val="auto"/>
                <w:highlight w:val="none"/>
                <w:lang w:eastAsia="zh-CN"/>
              </w:rPr>
              <w:t>尾矿库防渗系统</w:t>
            </w:r>
          </w:p>
        </w:tc>
        <w:tc>
          <w:tcPr>
            <w:tcW w:w="860" w:type="pct"/>
            <w:tcBorders>
              <w:tl2br w:val="nil"/>
              <w:tr2bl w:val="nil"/>
            </w:tcBorders>
            <w:vAlign w:val="center"/>
          </w:tcPr>
          <w:p w14:paraId="3B406970">
            <w:pPr>
              <w:pStyle w:val="17"/>
              <w:bidi w:val="0"/>
              <w:rPr>
                <w:rFonts w:hint="default"/>
                <w:color w:val="auto"/>
                <w:highlight w:val="none"/>
                <w:lang w:val="en-US" w:eastAsia="zh-CN"/>
              </w:rPr>
            </w:pPr>
            <w:r>
              <w:rPr>
                <w:rFonts w:hint="eastAsia"/>
                <w:color w:val="auto"/>
                <w:highlight w:val="none"/>
                <w:lang w:val="en-US" w:eastAsia="zh-CN"/>
              </w:rPr>
              <w:t>1954</w:t>
            </w:r>
          </w:p>
        </w:tc>
      </w:tr>
      <w:tr w14:paraId="613D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09" w:type="pct"/>
            <w:vMerge w:val="continue"/>
            <w:tcBorders>
              <w:tl2br w:val="nil"/>
              <w:tr2bl w:val="nil"/>
            </w:tcBorders>
            <w:vAlign w:val="center"/>
          </w:tcPr>
          <w:p w14:paraId="4F10D271">
            <w:pPr>
              <w:pStyle w:val="17"/>
              <w:bidi w:val="0"/>
              <w:rPr>
                <w:rFonts w:hint="default"/>
                <w:color w:val="auto"/>
                <w:highlight w:val="none"/>
                <w:lang w:eastAsia="zh-CN"/>
              </w:rPr>
            </w:pPr>
          </w:p>
        </w:tc>
        <w:tc>
          <w:tcPr>
            <w:tcW w:w="948" w:type="pct"/>
            <w:vMerge w:val="continue"/>
            <w:tcBorders>
              <w:tl2br w:val="nil"/>
              <w:tr2bl w:val="nil"/>
            </w:tcBorders>
            <w:vAlign w:val="center"/>
          </w:tcPr>
          <w:p w14:paraId="1DDECED5">
            <w:pPr>
              <w:pStyle w:val="17"/>
              <w:bidi w:val="0"/>
              <w:rPr>
                <w:rFonts w:hint="default"/>
                <w:color w:val="auto"/>
                <w:highlight w:val="none"/>
                <w:lang w:eastAsia="zh-CN"/>
              </w:rPr>
            </w:pPr>
          </w:p>
        </w:tc>
        <w:tc>
          <w:tcPr>
            <w:tcW w:w="2681" w:type="pct"/>
            <w:tcBorders>
              <w:tl2br w:val="nil"/>
              <w:tr2bl w:val="nil"/>
            </w:tcBorders>
            <w:vAlign w:val="center"/>
          </w:tcPr>
          <w:p w14:paraId="60C61670">
            <w:pPr>
              <w:pStyle w:val="17"/>
              <w:bidi w:val="0"/>
              <w:rPr>
                <w:rFonts w:hint="default"/>
                <w:color w:val="auto"/>
                <w:highlight w:val="none"/>
                <w:lang w:val="en-US" w:eastAsia="zh-CN"/>
              </w:rPr>
            </w:pPr>
            <w:r>
              <w:rPr>
                <w:rFonts w:hint="eastAsia"/>
                <w:color w:val="auto"/>
                <w:highlight w:val="none"/>
                <w:lang w:val="en-US" w:eastAsia="zh-CN"/>
              </w:rPr>
              <w:t>危废贮存库</w:t>
            </w:r>
          </w:p>
        </w:tc>
        <w:tc>
          <w:tcPr>
            <w:tcW w:w="860" w:type="pct"/>
            <w:tcBorders>
              <w:tl2br w:val="nil"/>
              <w:tr2bl w:val="nil"/>
            </w:tcBorders>
            <w:vAlign w:val="center"/>
          </w:tcPr>
          <w:p w14:paraId="40766598">
            <w:pPr>
              <w:pStyle w:val="17"/>
              <w:bidi w:val="0"/>
              <w:rPr>
                <w:rFonts w:hint="default"/>
                <w:color w:val="auto"/>
                <w:highlight w:val="none"/>
                <w:lang w:val="en-US" w:eastAsia="zh-CN"/>
              </w:rPr>
            </w:pPr>
            <w:r>
              <w:rPr>
                <w:rFonts w:hint="eastAsia"/>
                <w:color w:val="auto"/>
                <w:highlight w:val="none"/>
                <w:lang w:val="en-US" w:eastAsia="zh-CN"/>
              </w:rPr>
              <w:t>15</w:t>
            </w:r>
          </w:p>
        </w:tc>
      </w:tr>
      <w:tr w14:paraId="4D77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509" w:type="pct"/>
            <w:vMerge w:val="continue"/>
            <w:tcBorders>
              <w:tl2br w:val="nil"/>
              <w:tr2bl w:val="nil"/>
            </w:tcBorders>
            <w:vAlign w:val="center"/>
          </w:tcPr>
          <w:p w14:paraId="3A64119B">
            <w:pPr>
              <w:pStyle w:val="17"/>
              <w:bidi w:val="0"/>
              <w:rPr>
                <w:rFonts w:hint="default"/>
                <w:color w:val="auto"/>
                <w:highlight w:val="none"/>
                <w:lang w:eastAsia="zh-CN"/>
              </w:rPr>
            </w:pPr>
          </w:p>
        </w:tc>
        <w:tc>
          <w:tcPr>
            <w:tcW w:w="948" w:type="pct"/>
            <w:tcBorders>
              <w:tl2br w:val="nil"/>
              <w:tr2bl w:val="nil"/>
            </w:tcBorders>
            <w:shd w:val="clear" w:color="auto" w:fill="auto"/>
            <w:vAlign w:val="center"/>
          </w:tcPr>
          <w:p w14:paraId="62675A93">
            <w:pPr>
              <w:pStyle w:val="17"/>
              <w:bidi w:val="0"/>
              <w:rPr>
                <w:rFonts w:hint="default"/>
                <w:color w:val="auto"/>
                <w:highlight w:val="none"/>
                <w:lang w:val="en-US" w:eastAsia="zh-CN"/>
              </w:rPr>
            </w:pPr>
            <w:r>
              <w:rPr>
                <w:rFonts w:hint="default"/>
                <w:color w:val="auto"/>
                <w:highlight w:val="none"/>
                <w:lang w:eastAsia="zh-CN"/>
              </w:rPr>
              <w:t>水土保持及绿化</w:t>
            </w:r>
          </w:p>
        </w:tc>
        <w:tc>
          <w:tcPr>
            <w:tcW w:w="2681" w:type="pct"/>
            <w:tcBorders>
              <w:tl2br w:val="nil"/>
              <w:tr2bl w:val="nil"/>
            </w:tcBorders>
            <w:shd w:val="clear" w:color="auto" w:fill="auto"/>
            <w:vAlign w:val="center"/>
          </w:tcPr>
          <w:p w14:paraId="0CB5DF53">
            <w:pPr>
              <w:pStyle w:val="17"/>
              <w:bidi w:val="0"/>
              <w:rPr>
                <w:rFonts w:hint="default"/>
                <w:color w:val="auto"/>
                <w:highlight w:val="none"/>
                <w:lang w:val="en-US" w:eastAsia="zh-CN"/>
              </w:rPr>
            </w:pPr>
            <w:r>
              <w:rPr>
                <w:rFonts w:hint="eastAsia"/>
                <w:color w:val="auto"/>
                <w:highlight w:val="none"/>
                <w:lang w:val="en-US" w:eastAsia="zh-CN"/>
              </w:rPr>
              <w:t>选矿厂</w:t>
            </w:r>
            <w:r>
              <w:rPr>
                <w:rFonts w:hint="default"/>
                <w:color w:val="auto"/>
                <w:highlight w:val="none"/>
                <w:lang w:val="en-US" w:eastAsia="zh-CN"/>
              </w:rPr>
              <w:t>、道路、废石堆场建设截、排水沟，建设拦挡坝、挡土墙等工程措施</w:t>
            </w:r>
          </w:p>
        </w:tc>
        <w:tc>
          <w:tcPr>
            <w:tcW w:w="860" w:type="pct"/>
            <w:tcBorders>
              <w:tl2br w:val="nil"/>
              <w:tr2bl w:val="nil"/>
            </w:tcBorders>
            <w:shd w:val="clear" w:color="auto" w:fill="auto"/>
            <w:vAlign w:val="center"/>
          </w:tcPr>
          <w:p w14:paraId="634CE756">
            <w:pPr>
              <w:pStyle w:val="17"/>
              <w:bidi w:val="0"/>
              <w:rPr>
                <w:rFonts w:hint="default"/>
                <w:color w:val="auto"/>
                <w:highlight w:val="none"/>
                <w:lang w:val="en-US" w:eastAsia="zh-CN"/>
              </w:rPr>
            </w:pPr>
            <w:r>
              <w:rPr>
                <w:rFonts w:hint="eastAsia"/>
                <w:color w:val="auto"/>
                <w:highlight w:val="none"/>
                <w:lang w:val="en-US" w:eastAsia="zh-CN"/>
              </w:rPr>
              <w:t>800</w:t>
            </w:r>
          </w:p>
        </w:tc>
      </w:tr>
      <w:tr w14:paraId="2429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56EB0919">
            <w:pPr>
              <w:pStyle w:val="17"/>
              <w:bidi w:val="0"/>
              <w:rPr>
                <w:rFonts w:hint="default"/>
                <w:color w:val="auto"/>
                <w:highlight w:val="none"/>
                <w:lang w:eastAsia="zh-CN"/>
              </w:rPr>
            </w:pPr>
          </w:p>
        </w:tc>
        <w:tc>
          <w:tcPr>
            <w:tcW w:w="948" w:type="pct"/>
            <w:vMerge w:val="restart"/>
            <w:tcBorders>
              <w:tl2br w:val="nil"/>
              <w:tr2bl w:val="nil"/>
            </w:tcBorders>
            <w:shd w:val="clear" w:color="auto" w:fill="auto"/>
            <w:vAlign w:val="center"/>
          </w:tcPr>
          <w:p w14:paraId="03C946E3">
            <w:pPr>
              <w:pStyle w:val="17"/>
              <w:bidi w:val="0"/>
              <w:rPr>
                <w:rFonts w:hint="default"/>
                <w:color w:val="auto"/>
                <w:highlight w:val="none"/>
                <w:lang w:val="en-US" w:eastAsia="zh-CN"/>
              </w:rPr>
            </w:pPr>
            <w:r>
              <w:rPr>
                <w:rFonts w:hint="default"/>
                <w:color w:val="auto"/>
                <w:highlight w:val="none"/>
                <w:lang w:eastAsia="zh-CN"/>
              </w:rPr>
              <w:t>环境风险</w:t>
            </w:r>
          </w:p>
        </w:tc>
        <w:tc>
          <w:tcPr>
            <w:tcW w:w="2681" w:type="pct"/>
            <w:tcBorders>
              <w:tl2br w:val="nil"/>
              <w:tr2bl w:val="nil"/>
            </w:tcBorders>
            <w:shd w:val="clear" w:color="auto" w:fill="auto"/>
            <w:vAlign w:val="center"/>
          </w:tcPr>
          <w:p w14:paraId="038B91E5">
            <w:pPr>
              <w:pStyle w:val="17"/>
              <w:bidi w:val="0"/>
              <w:rPr>
                <w:color w:val="auto"/>
                <w:highlight w:val="none"/>
              </w:rPr>
            </w:pPr>
            <w:r>
              <w:rPr>
                <w:rFonts w:hint="default"/>
                <w:color w:val="auto"/>
                <w:highlight w:val="none"/>
                <w:lang w:val="en-US" w:eastAsia="zh-CN"/>
              </w:rPr>
              <w:t>2座</w:t>
            </w:r>
            <w:r>
              <w:rPr>
                <w:rFonts w:hint="default"/>
                <w:color w:val="auto"/>
                <w:highlight w:val="none"/>
                <w:lang w:eastAsia="zh-CN"/>
              </w:rPr>
              <w:t>拦挡坝</w:t>
            </w:r>
          </w:p>
        </w:tc>
        <w:tc>
          <w:tcPr>
            <w:tcW w:w="860" w:type="pct"/>
            <w:tcBorders>
              <w:tl2br w:val="nil"/>
              <w:tr2bl w:val="nil"/>
            </w:tcBorders>
            <w:shd w:val="clear" w:color="auto" w:fill="auto"/>
            <w:vAlign w:val="center"/>
          </w:tcPr>
          <w:p w14:paraId="1BC36BCF">
            <w:pPr>
              <w:pStyle w:val="17"/>
              <w:bidi w:val="0"/>
              <w:rPr>
                <w:rFonts w:hint="default"/>
                <w:color w:val="auto"/>
                <w:highlight w:val="none"/>
                <w:lang w:val="en-US" w:eastAsia="zh-CN"/>
              </w:rPr>
            </w:pPr>
            <w:r>
              <w:rPr>
                <w:rFonts w:hint="eastAsia"/>
                <w:color w:val="auto"/>
                <w:highlight w:val="none"/>
                <w:lang w:val="en-US" w:eastAsia="zh-CN"/>
              </w:rPr>
              <w:t>245</w:t>
            </w:r>
          </w:p>
        </w:tc>
      </w:tr>
      <w:tr w14:paraId="22D9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15F4AA17">
            <w:pPr>
              <w:pStyle w:val="17"/>
              <w:bidi w:val="0"/>
              <w:rPr>
                <w:rFonts w:hint="default"/>
                <w:color w:val="auto"/>
                <w:highlight w:val="none"/>
                <w:lang w:eastAsia="zh-CN"/>
              </w:rPr>
            </w:pPr>
            <w:bookmarkStart w:id="886" w:name="_Toc26669"/>
            <w:bookmarkStart w:id="887" w:name="_Toc27831"/>
            <w:bookmarkStart w:id="888" w:name="_Toc2175"/>
          </w:p>
        </w:tc>
        <w:tc>
          <w:tcPr>
            <w:tcW w:w="948" w:type="pct"/>
            <w:vMerge w:val="continue"/>
            <w:tcBorders>
              <w:tl2br w:val="nil"/>
              <w:tr2bl w:val="nil"/>
            </w:tcBorders>
            <w:vAlign w:val="center"/>
          </w:tcPr>
          <w:p w14:paraId="198B33D5">
            <w:pPr>
              <w:pStyle w:val="17"/>
              <w:bidi w:val="0"/>
              <w:rPr>
                <w:rFonts w:hint="default"/>
                <w:color w:val="auto"/>
                <w:highlight w:val="none"/>
                <w:lang w:eastAsia="zh-CN"/>
              </w:rPr>
            </w:pPr>
          </w:p>
        </w:tc>
        <w:tc>
          <w:tcPr>
            <w:tcW w:w="2681" w:type="pct"/>
            <w:tcBorders>
              <w:tl2br w:val="nil"/>
              <w:tr2bl w:val="nil"/>
            </w:tcBorders>
            <w:shd w:val="clear" w:color="auto" w:fill="auto"/>
            <w:vAlign w:val="center"/>
          </w:tcPr>
          <w:p w14:paraId="73D6B597">
            <w:pPr>
              <w:pStyle w:val="17"/>
              <w:bidi w:val="0"/>
              <w:rPr>
                <w:rFonts w:hint="default"/>
                <w:color w:val="auto"/>
                <w:highlight w:val="none"/>
                <w:lang w:val="en-US" w:eastAsia="zh-CN"/>
              </w:rPr>
            </w:pPr>
            <w:r>
              <w:rPr>
                <w:rFonts w:hint="eastAsia"/>
                <w:color w:val="auto"/>
                <w:highlight w:val="none"/>
                <w:lang w:val="en-US" w:eastAsia="zh-CN"/>
              </w:rPr>
              <w:t>尾矿浓缩尾矿</w:t>
            </w:r>
            <w:r>
              <w:rPr>
                <w:rFonts w:hint="default"/>
                <w:color w:val="auto"/>
                <w:highlight w:val="none"/>
                <w:lang w:eastAsia="zh-CN"/>
              </w:rPr>
              <w:t>事故池</w:t>
            </w:r>
          </w:p>
        </w:tc>
        <w:tc>
          <w:tcPr>
            <w:tcW w:w="860" w:type="pct"/>
            <w:tcBorders>
              <w:tl2br w:val="nil"/>
              <w:tr2bl w:val="nil"/>
            </w:tcBorders>
            <w:shd w:val="clear" w:color="auto" w:fill="auto"/>
            <w:vAlign w:val="center"/>
          </w:tcPr>
          <w:p w14:paraId="22B99BAD">
            <w:pPr>
              <w:pStyle w:val="17"/>
              <w:bidi w:val="0"/>
              <w:rPr>
                <w:rFonts w:hint="default"/>
                <w:color w:val="auto"/>
                <w:highlight w:val="none"/>
                <w:lang w:val="en-US" w:eastAsia="zh-CN"/>
              </w:rPr>
            </w:pPr>
            <w:r>
              <w:rPr>
                <w:rFonts w:hint="eastAsia"/>
                <w:color w:val="auto"/>
                <w:highlight w:val="none"/>
                <w:lang w:val="en-US" w:eastAsia="zh-CN"/>
              </w:rPr>
              <w:t>20</w:t>
            </w:r>
          </w:p>
        </w:tc>
      </w:tr>
      <w:tr w14:paraId="69F4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4CB7271C">
            <w:pPr>
              <w:pStyle w:val="17"/>
              <w:bidi w:val="0"/>
              <w:rPr>
                <w:rFonts w:hint="default"/>
                <w:color w:val="auto"/>
                <w:highlight w:val="none"/>
                <w:lang w:eastAsia="zh-CN"/>
              </w:rPr>
            </w:pPr>
          </w:p>
        </w:tc>
        <w:tc>
          <w:tcPr>
            <w:tcW w:w="948" w:type="pct"/>
            <w:vMerge w:val="continue"/>
            <w:tcBorders>
              <w:tl2br w:val="nil"/>
              <w:tr2bl w:val="nil"/>
            </w:tcBorders>
            <w:vAlign w:val="center"/>
          </w:tcPr>
          <w:p w14:paraId="17C7D5E3">
            <w:pPr>
              <w:pStyle w:val="17"/>
              <w:bidi w:val="0"/>
              <w:rPr>
                <w:rFonts w:hint="default"/>
                <w:color w:val="auto"/>
                <w:highlight w:val="none"/>
                <w:lang w:eastAsia="zh-CN"/>
              </w:rPr>
            </w:pPr>
          </w:p>
        </w:tc>
        <w:tc>
          <w:tcPr>
            <w:tcW w:w="2681" w:type="pct"/>
            <w:tcBorders>
              <w:tl2br w:val="nil"/>
              <w:tr2bl w:val="nil"/>
            </w:tcBorders>
            <w:shd w:val="clear" w:color="auto" w:fill="auto"/>
            <w:vAlign w:val="center"/>
          </w:tcPr>
          <w:p w14:paraId="4FA44963">
            <w:pPr>
              <w:pStyle w:val="17"/>
              <w:bidi w:val="0"/>
              <w:rPr>
                <w:rFonts w:hint="default"/>
                <w:color w:val="auto"/>
                <w:highlight w:val="none"/>
                <w:lang w:val="en-US" w:eastAsia="zh-CN"/>
              </w:rPr>
            </w:pPr>
            <w:r>
              <w:rPr>
                <w:rFonts w:hint="eastAsia"/>
                <w:color w:val="auto"/>
                <w:highlight w:val="none"/>
                <w:lang w:val="en-US" w:eastAsia="zh-CN"/>
              </w:rPr>
              <w:t>硫酸车间围堰</w:t>
            </w:r>
          </w:p>
        </w:tc>
        <w:tc>
          <w:tcPr>
            <w:tcW w:w="860" w:type="pct"/>
            <w:tcBorders>
              <w:tl2br w:val="nil"/>
              <w:tr2bl w:val="nil"/>
            </w:tcBorders>
            <w:shd w:val="clear" w:color="auto" w:fill="auto"/>
            <w:vAlign w:val="center"/>
          </w:tcPr>
          <w:p w14:paraId="24363E07">
            <w:pPr>
              <w:pStyle w:val="17"/>
              <w:bidi w:val="0"/>
              <w:rPr>
                <w:rFonts w:hint="default"/>
                <w:color w:val="auto"/>
                <w:highlight w:val="none"/>
                <w:lang w:val="en-US" w:eastAsia="zh-CN"/>
              </w:rPr>
            </w:pPr>
            <w:r>
              <w:rPr>
                <w:rFonts w:hint="eastAsia"/>
                <w:color w:val="auto"/>
                <w:highlight w:val="none"/>
                <w:lang w:val="en-US" w:eastAsia="zh-CN"/>
              </w:rPr>
              <w:t>10</w:t>
            </w:r>
          </w:p>
        </w:tc>
      </w:tr>
      <w:tr w14:paraId="7FE9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restart"/>
            <w:tcBorders>
              <w:tl2br w:val="nil"/>
              <w:tr2bl w:val="nil"/>
            </w:tcBorders>
            <w:vAlign w:val="center"/>
          </w:tcPr>
          <w:p w14:paraId="49D29B96">
            <w:pPr>
              <w:pStyle w:val="17"/>
              <w:bidi w:val="0"/>
              <w:rPr>
                <w:rFonts w:hint="default"/>
                <w:color w:val="auto"/>
                <w:highlight w:val="none"/>
                <w:lang w:eastAsia="zh-CN"/>
              </w:rPr>
            </w:pPr>
            <w:r>
              <w:rPr>
                <w:rFonts w:hint="default"/>
                <w:color w:val="auto"/>
                <w:highlight w:val="none"/>
                <w:lang w:eastAsia="zh-CN"/>
              </w:rPr>
              <w:t>闭矿期</w:t>
            </w:r>
            <w:bookmarkEnd w:id="886"/>
            <w:bookmarkEnd w:id="887"/>
            <w:bookmarkEnd w:id="888"/>
          </w:p>
        </w:tc>
        <w:tc>
          <w:tcPr>
            <w:tcW w:w="948" w:type="pct"/>
            <w:tcBorders>
              <w:tl2br w:val="nil"/>
              <w:tr2bl w:val="nil"/>
            </w:tcBorders>
            <w:vAlign w:val="center"/>
          </w:tcPr>
          <w:p w14:paraId="0EADCF9E">
            <w:pPr>
              <w:pStyle w:val="17"/>
              <w:bidi w:val="0"/>
              <w:rPr>
                <w:rFonts w:hint="default"/>
                <w:color w:val="auto"/>
                <w:highlight w:val="none"/>
                <w:lang w:eastAsia="zh-CN"/>
              </w:rPr>
            </w:pPr>
            <w:bookmarkStart w:id="889" w:name="_Toc11086"/>
            <w:bookmarkStart w:id="890" w:name="_Toc31788"/>
            <w:bookmarkStart w:id="891" w:name="_Toc15959"/>
            <w:r>
              <w:rPr>
                <w:rFonts w:hint="default"/>
                <w:color w:val="auto"/>
                <w:highlight w:val="none"/>
                <w:lang w:eastAsia="zh-CN"/>
              </w:rPr>
              <w:t>地面隐患区</w:t>
            </w:r>
            <w:bookmarkEnd w:id="889"/>
            <w:bookmarkEnd w:id="890"/>
            <w:bookmarkEnd w:id="891"/>
          </w:p>
        </w:tc>
        <w:tc>
          <w:tcPr>
            <w:tcW w:w="2681" w:type="pct"/>
            <w:tcBorders>
              <w:tl2br w:val="nil"/>
              <w:tr2bl w:val="nil"/>
            </w:tcBorders>
            <w:vAlign w:val="center"/>
          </w:tcPr>
          <w:p w14:paraId="6FB50180">
            <w:pPr>
              <w:pStyle w:val="17"/>
              <w:bidi w:val="0"/>
              <w:rPr>
                <w:rFonts w:hint="default"/>
                <w:color w:val="auto"/>
                <w:highlight w:val="none"/>
                <w:lang w:eastAsia="zh-CN"/>
              </w:rPr>
            </w:pPr>
            <w:bookmarkStart w:id="892" w:name="_Toc9987"/>
            <w:bookmarkStart w:id="893" w:name="_Toc30722"/>
            <w:bookmarkStart w:id="894" w:name="_Toc26876"/>
            <w:r>
              <w:rPr>
                <w:rFonts w:hint="default"/>
                <w:color w:val="auto"/>
                <w:highlight w:val="none"/>
                <w:lang w:eastAsia="zh-CN"/>
              </w:rPr>
              <w:t>外围铁丝网围栏、外围设置警示牌</w:t>
            </w:r>
            <w:bookmarkEnd w:id="892"/>
            <w:bookmarkEnd w:id="893"/>
            <w:bookmarkEnd w:id="894"/>
          </w:p>
        </w:tc>
        <w:tc>
          <w:tcPr>
            <w:tcW w:w="860" w:type="pct"/>
            <w:tcBorders>
              <w:tl2br w:val="nil"/>
              <w:tr2bl w:val="nil"/>
            </w:tcBorders>
            <w:vAlign w:val="center"/>
          </w:tcPr>
          <w:p w14:paraId="6237D99D">
            <w:pPr>
              <w:pStyle w:val="17"/>
              <w:bidi w:val="0"/>
              <w:rPr>
                <w:rFonts w:hint="default"/>
                <w:color w:val="auto"/>
                <w:highlight w:val="none"/>
                <w:lang w:eastAsia="zh-CN"/>
              </w:rPr>
            </w:pPr>
            <w:r>
              <w:rPr>
                <w:rFonts w:hint="default"/>
                <w:color w:val="auto"/>
                <w:highlight w:val="none"/>
                <w:lang w:eastAsia="zh-CN"/>
              </w:rPr>
              <w:t>20</w:t>
            </w:r>
          </w:p>
        </w:tc>
      </w:tr>
      <w:tr w14:paraId="6423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66371A8B">
            <w:pPr>
              <w:pStyle w:val="17"/>
              <w:bidi w:val="0"/>
              <w:rPr>
                <w:rFonts w:hint="default"/>
                <w:color w:val="auto"/>
                <w:highlight w:val="none"/>
                <w:lang w:eastAsia="zh-CN"/>
              </w:rPr>
            </w:pPr>
          </w:p>
        </w:tc>
        <w:tc>
          <w:tcPr>
            <w:tcW w:w="948" w:type="pct"/>
            <w:tcBorders>
              <w:tl2br w:val="nil"/>
              <w:tr2bl w:val="nil"/>
            </w:tcBorders>
            <w:shd w:val="clear" w:color="auto" w:fill="auto"/>
            <w:vAlign w:val="center"/>
          </w:tcPr>
          <w:p w14:paraId="5A7224AF">
            <w:pPr>
              <w:pStyle w:val="17"/>
              <w:bidi w:val="0"/>
              <w:rPr>
                <w:rFonts w:hint="default"/>
                <w:color w:val="auto"/>
                <w:highlight w:val="none"/>
                <w:lang w:val="en-US" w:eastAsia="zh-CN"/>
              </w:rPr>
            </w:pPr>
            <w:r>
              <w:rPr>
                <w:rFonts w:hint="default"/>
                <w:color w:val="auto"/>
                <w:highlight w:val="none"/>
                <w:lang w:val="en-US" w:eastAsia="en-US"/>
              </w:rPr>
              <w:t>生态恢复措施</w:t>
            </w:r>
          </w:p>
        </w:tc>
        <w:tc>
          <w:tcPr>
            <w:tcW w:w="2681" w:type="pct"/>
            <w:tcBorders>
              <w:tl2br w:val="nil"/>
              <w:tr2bl w:val="nil"/>
            </w:tcBorders>
            <w:shd w:val="clear" w:color="auto" w:fill="auto"/>
            <w:vAlign w:val="center"/>
          </w:tcPr>
          <w:p w14:paraId="4FDF5864">
            <w:pPr>
              <w:pStyle w:val="17"/>
              <w:bidi w:val="0"/>
              <w:rPr>
                <w:rFonts w:hint="default"/>
                <w:color w:val="auto"/>
                <w:highlight w:val="none"/>
                <w:lang w:val="en-US" w:eastAsia="zh-CN"/>
              </w:rPr>
            </w:pPr>
            <w:r>
              <w:rPr>
                <w:rFonts w:hint="eastAsia"/>
                <w:color w:val="auto"/>
                <w:highlight w:val="none"/>
                <w:lang w:val="en-US" w:eastAsia="zh-CN"/>
              </w:rPr>
              <w:t>采场、</w:t>
            </w:r>
            <w:r>
              <w:rPr>
                <w:rFonts w:hint="default"/>
                <w:color w:val="auto"/>
                <w:highlight w:val="none"/>
                <w:lang w:val="en-US" w:eastAsia="zh-CN"/>
              </w:rPr>
              <w:t>废石堆场、</w:t>
            </w:r>
            <w:r>
              <w:rPr>
                <w:rFonts w:hint="eastAsia"/>
                <w:color w:val="auto"/>
                <w:highlight w:val="none"/>
                <w:lang w:val="en-US" w:eastAsia="zh-CN"/>
              </w:rPr>
              <w:t>选矿厂</w:t>
            </w:r>
            <w:r>
              <w:rPr>
                <w:rFonts w:hint="default"/>
                <w:color w:val="auto"/>
                <w:highlight w:val="none"/>
                <w:lang w:val="en-US" w:eastAsia="zh-CN"/>
              </w:rPr>
              <w:t>等土地复垦</w:t>
            </w:r>
          </w:p>
        </w:tc>
        <w:tc>
          <w:tcPr>
            <w:tcW w:w="860" w:type="pct"/>
            <w:tcBorders>
              <w:tl2br w:val="nil"/>
              <w:tr2bl w:val="nil"/>
            </w:tcBorders>
            <w:shd w:val="clear" w:color="auto" w:fill="auto"/>
            <w:vAlign w:val="center"/>
          </w:tcPr>
          <w:p w14:paraId="2BF8B99E">
            <w:pPr>
              <w:pStyle w:val="17"/>
              <w:bidi w:val="0"/>
              <w:rPr>
                <w:rFonts w:hint="default"/>
                <w:color w:val="auto"/>
                <w:highlight w:val="none"/>
                <w:lang w:val="en-US" w:eastAsia="zh-CN"/>
              </w:rPr>
            </w:pPr>
            <w:r>
              <w:rPr>
                <w:rFonts w:hint="default"/>
                <w:color w:val="auto"/>
                <w:highlight w:val="none"/>
                <w:lang w:val="en-US" w:eastAsia="en-US"/>
              </w:rPr>
              <w:t>3</w:t>
            </w:r>
            <w:r>
              <w:rPr>
                <w:rFonts w:hint="default"/>
                <w:color w:val="auto"/>
                <w:highlight w:val="none"/>
                <w:lang w:val="en-US" w:eastAsia="zh-CN"/>
              </w:rPr>
              <w:t>82</w:t>
            </w:r>
          </w:p>
        </w:tc>
      </w:tr>
      <w:tr w14:paraId="595E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9" w:type="pct"/>
            <w:vMerge w:val="continue"/>
            <w:tcBorders>
              <w:tl2br w:val="nil"/>
              <w:tr2bl w:val="nil"/>
            </w:tcBorders>
            <w:vAlign w:val="center"/>
          </w:tcPr>
          <w:p w14:paraId="3DB5BDA3">
            <w:pPr>
              <w:pStyle w:val="17"/>
              <w:bidi w:val="0"/>
              <w:rPr>
                <w:rFonts w:hint="default"/>
                <w:color w:val="auto"/>
                <w:highlight w:val="none"/>
                <w:lang w:eastAsia="zh-CN"/>
              </w:rPr>
            </w:pPr>
          </w:p>
        </w:tc>
        <w:tc>
          <w:tcPr>
            <w:tcW w:w="948" w:type="pct"/>
            <w:tcBorders>
              <w:tl2br w:val="nil"/>
              <w:tr2bl w:val="nil"/>
            </w:tcBorders>
            <w:vAlign w:val="center"/>
          </w:tcPr>
          <w:p w14:paraId="373539AE">
            <w:pPr>
              <w:pStyle w:val="17"/>
              <w:bidi w:val="0"/>
              <w:rPr>
                <w:rFonts w:hint="default"/>
                <w:color w:val="auto"/>
                <w:highlight w:val="none"/>
                <w:lang w:eastAsia="zh-CN"/>
              </w:rPr>
            </w:pPr>
            <w:bookmarkStart w:id="895" w:name="_Toc8873"/>
            <w:bookmarkStart w:id="896" w:name="_Toc29309"/>
            <w:bookmarkStart w:id="897" w:name="_Toc23140"/>
            <w:r>
              <w:rPr>
                <w:rFonts w:hint="default"/>
                <w:color w:val="auto"/>
                <w:highlight w:val="none"/>
                <w:lang w:eastAsia="zh-CN"/>
              </w:rPr>
              <w:t>矿山闭矿后地面治理</w:t>
            </w:r>
            <w:bookmarkEnd w:id="895"/>
            <w:bookmarkEnd w:id="896"/>
            <w:bookmarkEnd w:id="897"/>
          </w:p>
        </w:tc>
        <w:tc>
          <w:tcPr>
            <w:tcW w:w="2681" w:type="pct"/>
            <w:tcBorders>
              <w:tl2br w:val="nil"/>
              <w:tr2bl w:val="nil"/>
            </w:tcBorders>
            <w:vAlign w:val="center"/>
          </w:tcPr>
          <w:p w14:paraId="0B816D12">
            <w:pPr>
              <w:pStyle w:val="17"/>
              <w:bidi w:val="0"/>
              <w:rPr>
                <w:rFonts w:hint="default"/>
                <w:color w:val="auto"/>
                <w:highlight w:val="none"/>
                <w:lang w:eastAsia="zh-CN"/>
              </w:rPr>
            </w:pPr>
            <w:bookmarkStart w:id="898" w:name="_Toc10132"/>
            <w:bookmarkStart w:id="899" w:name="_Toc14480"/>
            <w:bookmarkStart w:id="900" w:name="_Toc17436"/>
            <w:r>
              <w:rPr>
                <w:rFonts w:hint="default"/>
                <w:color w:val="auto"/>
                <w:highlight w:val="none"/>
                <w:lang w:eastAsia="zh-CN"/>
              </w:rPr>
              <w:t>尾矿库闭库，</w:t>
            </w:r>
            <w:r>
              <w:rPr>
                <w:rFonts w:hint="eastAsia"/>
                <w:color w:val="auto"/>
                <w:highlight w:val="none"/>
                <w:lang w:val="en-US" w:eastAsia="zh-CN"/>
              </w:rPr>
              <w:t>选矿厂</w:t>
            </w:r>
            <w:r>
              <w:rPr>
                <w:rFonts w:hint="default"/>
                <w:color w:val="auto"/>
                <w:highlight w:val="none"/>
                <w:lang w:eastAsia="zh-CN"/>
              </w:rPr>
              <w:t>建筑设施拆除、清理</w:t>
            </w:r>
            <w:bookmarkEnd w:id="898"/>
            <w:bookmarkEnd w:id="899"/>
            <w:bookmarkEnd w:id="900"/>
          </w:p>
        </w:tc>
        <w:tc>
          <w:tcPr>
            <w:tcW w:w="860" w:type="pct"/>
            <w:tcBorders>
              <w:tl2br w:val="nil"/>
              <w:tr2bl w:val="nil"/>
            </w:tcBorders>
            <w:vAlign w:val="center"/>
          </w:tcPr>
          <w:p w14:paraId="71386BAA">
            <w:pPr>
              <w:pStyle w:val="17"/>
              <w:bidi w:val="0"/>
              <w:rPr>
                <w:rFonts w:hint="default"/>
                <w:color w:val="auto"/>
                <w:highlight w:val="none"/>
                <w:lang w:eastAsia="zh-CN"/>
              </w:rPr>
            </w:pPr>
            <w:r>
              <w:rPr>
                <w:rFonts w:hint="default"/>
                <w:color w:val="auto"/>
                <w:highlight w:val="none"/>
                <w:lang w:eastAsia="zh-CN"/>
              </w:rPr>
              <w:t>300</w:t>
            </w:r>
          </w:p>
        </w:tc>
      </w:tr>
      <w:tr w14:paraId="08D0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7" w:type="pct"/>
            <w:gridSpan w:val="2"/>
            <w:tcBorders>
              <w:tl2br w:val="nil"/>
              <w:tr2bl w:val="nil"/>
            </w:tcBorders>
            <w:vAlign w:val="center"/>
          </w:tcPr>
          <w:p w14:paraId="65DD312B">
            <w:pPr>
              <w:pStyle w:val="17"/>
              <w:bidi w:val="0"/>
              <w:rPr>
                <w:rFonts w:hint="default"/>
                <w:color w:val="auto"/>
                <w:highlight w:val="none"/>
                <w:lang w:eastAsia="zh-CN"/>
              </w:rPr>
            </w:pPr>
            <w:bookmarkStart w:id="901" w:name="_Toc29484"/>
            <w:bookmarkStart w:id="902" w:name="_Toc28636"/>
            <w:bookmarkStart w:id="903" w:name="_Toc25323"/>
            <w:r>
              <w:rPr>
                <w:rFonts w:hint="default"/>
                <w:color w:val="auto"/>
                <w:highlight w:val="none"/>
                <w:lang w:eastAsia="zh-CN"/>
              </w:rPr>
              <w:t>合计</w:t>
            </w:r>
            <w:bookmarkEnd w:id="901"/>
            <w:bookmarkEnd w:id="902"/>
            <w:bookmarkEnd w:id="903"/>
          </w:p>
        </w:tc>
        <w:tc>
          <w:tcPr>
            <w:tcW w:w="2681" w:type="pct"/>
            <w:tcBorders>
              <w:tl2br w:val="nil"/>
              <w:tr2bl w:val="nil"/>
            </w:tcBorders>
            <w:vAlign w:val="center"/>
          </w:tcPr>
          <w:p w14:paraId="616AD6ED">
            <w:pPr>
              <w:pStyle w:val="17"/>
              <w:bidi w:val="0"/>
              <w:rPr>
                <w:rFonts w:hint="default"/>
                <w:color w:val="auto"/>
                <w:highlight w:val="none"/>
                <w:lang w:eastAsia="zh-CN"/>
              </w:rPr>
            </w:pPr>
            <w:bookmarkStart w:id="904" w:name="_Toc31786"/>
            <w:bookmarkStart w:id="905" w:name="_Toc24750"/>
            <w:bookmarkStart w:id="906" w:name="_Toc6568"/>
            <w:r>
              <w:rPr>
                <w:rFonts w:hint="default"/>
                <w:color w:val="auto"/>
                <w:highlight w:val="none"/>
                <w:lang w:eastAsia="zh-CN"/>
              </w:rPr>
              <w:t>/</w:t>
            </w:r>
            <w:bookmarkEnd w:id="904"/>
            <w:bookmarkEnd w:id="905"/>
            <w:bookmarkEnd w:id="906"/>
          </w:p>
        </w:tc>
        <w:tc>
          <w:tcPr>
            <w:tcW w:w="860" w:type="pct"/>
            <w:tcBorders>
              <w:tl2br w:val="nil"/>
              <w:tr2bl w:val="nil"/>
            </w:tcBorders>
            <w:vAlign w:val="center"/>
          </w:tcPr>
          <w:p w14:paraId="23E301C5">
            <w:pPr>
              <w:pStyle w:val="17"/>
              <w:bidi w:val="0"/>
              <w:rPr>
                <w:rFonts w:hint="default"/>
                <w:color w:val="auto"/>
                <w:highlight w:val="none"/>
                <w:lang w:val="en-US" w:eastAsia="zh-CN"/>
              </w:rPr>
            </w:pPr>
            <w:r>
              <w:rPr>
                <w:rFonts w:hint="eastAsia"/>
                <w:color w:val="auto"/>
                <w:highlight w:val="none"/>
                <w:lang w:val="en-US" w:eastAsia="zh-CN"/>
              </w:rPr>
              <w:t>5015</w:t>
            </w:r>
          </w:p>
        </w:tc>
      </w:tr>
    </w:tbl>
    <w:p w14:paraId="0585F85F">
      <w:pPr>
        <w:overflowPunct w:val="0"/>
        <w:topLinePunct/>
        <w:spacing w:line="480" w:lineRule="atLeas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本项目建设总投资</w:t>
      </w:r>
      <w:r>
        <w:rPr>
          <w:rFonts w:hint="default" w:ascii="Times New Roman" w:hAnsi="Times New Roman" w:cs="Times New Roman"/>
          <w:color w:val="auto"/>
          <w:highlight w:val="none"/>
          <w:lang w:val="en-US" w:eastAsia="zh-CN"/>
        </w:rPr>
        <w:t>161261</w:t>
      </w:r>
      <w:r>
        <w:rPr>
          <w:rFonts w:hint="default" w:ascii="Times New Roman" w:hAnsi="Times New Roman" w:cs="Times New Roman"/>
          <w:color w:val="auto"/>
          <w:highlight w:val="none"/>
        </w:rPr>
        <w:t>万元。其中环保投资为</w:t>
      </w:r>
      <w:r>
        <w:rPr>
          <w:rFonts w:hint="eastAsia" w:cs="Times New Roman"/>
          <w:color w:val="auto"/>
          <w:highlight w:val="none"/>
          <w:lang w:val="en-US" w:eastAsia="zh-CN"/>
        </w:rPr>
        <w:t>5015</w:t>
      </w:r>
      <w:r>
        <w:rPr>
          <w:rFonts w:hint="default" w:ascii="Times New Roman" w:hAnsi="Times New Roman" w:cs="Times New Roman"/>
          <w:color w:val="auto"/>
          <w:highlight w:val="none"/>
        </w:rPr>
        <w:t>万元，占总投资的</w:t>
      </w:r>
      <w:r>
        <w:rPr>
          <w:rFonts w:hint="eastAsia" w:cs="Times New Roman"/>
          <w:color w:val="auto"/>
          <w:highlight w:val="none"/>
          <w:lang w:val="en-US" w:eastAsia="zh-CN"/>
        </w:rPr>
        <w:t>3.1</w:t>
      </w:r>
      <w:r>
        <w:rPr>
          <w:rFonts w:hint="default" w:ascii="Times New Roman" w:hAnsi="Times New Roman" w:cs="Times New Roman"/>
          <w:color w:val="auto"/>
          <w:highlight w:val="none"/>
        </w:rPr>
        <w:t>%。</w:t>
      </w:r>
    </w:p>
    <w:p w14:paraId="335DDB12">
      <w:pPr>
        <w:pStyle w:val="5"/>
        <w:rPr>
          <w:rFonts w:hint="default" w:ascii="Times New Roman" w:hAnsi="Times New Roman" w:cs="Times New Roman" w:eastAsiaTheme="minorEastAsia"/>
          <w:color w:val="auto"/>
          <w:highlight w:val="none"/>
        </w:rPr>
      </w:pPr>
      <w:bookmarkStart w:id="907" w:name="_Toc107413908"/>
      <w:bookmarkStart w:id="908" w:name="_Toc9241"/>
      <w:bookmarkStart w:id="909" w:name="_Toc1610"/>
      <w:bookmarkStart w:id="910" w:name="_Toc11263"/>
      <w:bookmarkStart w:id="911" w:name="_Toc20785"/>
      <w:bookmarkStart w:id="912" w:name="_Toc107414675"/>
      <w:bookmarkStart w:id="913" w:name="_Toc20963"/>
      <w:bookmarkStart w:id="914" w:name="_Toc12992"/>
      <w:r>
        <w:rPr>
          <w:rFonts w:hint="default" w:ascii="Times New Roman" w:hAnsi="Times New Roman" w:cs="Times New Roman" w:eastAsiaTheme="minorEastAsia"/>
          <w:color w:val="auto"/>
          <w:highlight w:val="none"/>
        </w:rPr>
        <w:t>7.4</w:t>
      </w:r>
      <w:bookmarkEnd w:id="831"/>
      <w:bookmarkEnd w:id="832"/>
      <w:bookmarkEnd w:id="833"/>
      <w:bookmarkEnd w:id="834"/>
      <w:bookmarkEnd w:id="835"/>
      <w:r>
        <w:rPr>
          <w:rFonts w:hint="default" w:ascii="Times New Roman" w:hAnsi="Times New Roman" w:cs="Times New Roman" w:eastAsiaTheme="minorEastAsia"/>
          <w:color w:val="auto"/>
          <w:highlight w:val="none"/>
        </w:rPr>
        <w:t>结论</w:t>
      </w:r>
      <w:bookmarkEnd w:id="836"/>
      <w:bookmarkEnd w:id="837"/>
      <w:bookmarkEnd w:id="907"/>
      <w:bookmarkEnd w:id="908"/>
      <w:bookmarkEnd w:id="909"/>
      <w:bookmarkEnd w:id="910"/>
      <w:bookmarkEnd w:id="911"/>
      <w:bookmarkEnd w:id="912"/>
      <w:bookmarkEnd w:id="913"/>
      <w:bookmarkEnd w:id="914"/>
    </w:p>
    <w:p w14:paraId="6B7228F8">
      <w:pPr>
        <w:bidi w:val="0"/>
        <w:rPr>
          <w:rFonts w:hint="default"/>
          <w:color w:val="auto"/>
          <w:highlight w:val="none"/>
        </w:rPr>
      </w:pPr>
      <w:r>
        <w:rPr>
          <w:rFonts w:hint="default"/>
          <w:color w:val="auto"/>
          <w:highlight w:val="none"/>
        </w:rPr>
        <w:t>在认真落实本环评提出的各项环境保护措施，保证项目环境管理制度严格执行</w:t>
      </w:r>
      <w:r>
        <w:rPr>
          <w:rFonts w:hint="eastAsia"/>
          <w:color w:val="auto"/>
          <w:highlight w:val="none"/>
          <w:lang w:val="en-US" w:eastAsia="zh-CN"/>
        </w:rPr>
        <w:t>的情况下</w:t>
      </w:r>
      <w:r>
        <w:rPr>
          <w:rFonts w:hint="default"/>
          <w:color w:val="auto"/>
          <w:highlight w:val="none"/>
        </w:rPr>
        <w:t>，项目将具有较为良好的社会效益、经济效益及环境效益。项目的建设运行，有利于增强地方经济实力、增加就业机会，改善当地环境资源的利用效率。在社会效益、经济效益和环境效益三个方面都是可行的。此外，在生产过程中加强设备的管理、职工培训、严格操作规程，保证生产设备和环保设施的正常运行，确保环境保护要求的工程措施得到实施。这样，本项目的环境经济效益才能达到预期的效果</w:t>
      </w:r>
    </w:p>
    <w:p w14:paraId="40E98466">
      <w:pPr>
        <w:overflowPunct w:val="0"/>
        <w:topLinePunct/>
        <w:spacing w:line="480" w:lineRule="atLeast"/>
        <w:ind w:firstLine="480"/>
        <w:rPr>
          <w:rFonts w:hint="default" w:ascii="Times New Roman" w:hAnsi="Times New Roman" w:cs="Times New Roman"/>
          <w:color w:val="auto"/>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096C591">
      <w:pPr>
        <w:pStyle w:val="4"/>
        <w:spacing w:line="720" w:lineRule="exact"/>
        <w:rPr>
          <w:rFonts w:hint="default" w:ascii="Times New Roman" w:hAnsi="Times New Roman" w:cs="Times New Roman"/>
          <w:color w:val="auto"/>
          <w:highlight w:val="none"/>
        </w:rPr>
      </w:pPr>
      <w:bookmarkStart w:id="915" w:name="_Toc4463"/>
      <w:bookmarkStart w:id="916" w:name="_Toc17678"/>
      <w:bookmarkStart w:id="917" w:name="_Toc107414676"/>
      <w:bookmarkStart w:id="918" w:name="_Toc10256"/>
      <w:bookmarkStart w:id="919" w:name="_Toc25365"/>
      <w:bookmarkStart w:id="920" w:name="_Toc8512"/>
      <w:bookmarkStart w:id="921" w:name="_Toc107413909"/>
      <w:bookmarkStart w:id="922" w:name="_Toc32202"/>
      <w:r>
        <w:rPr>
          <w:rFonts w:hint="default" w:ascii="Times New Roman" w:hAnsi="Times New Roman" w:cs="Times New Roman"/>
          <w:color w:val="auto"/>
          <w:highlight w:val="none"/>
        </w:rPr>
        <w:t>8环境管理与监测计划</w:t>
      </w:r>
      <w:bookmarkEnd w:id="915"/>
      <w:bookmarkEnd w:id="916"/>
      <w:bookmarkEnd w:id="917"/>
      <w:bookmarkEnd w:id="918"/>
      <w:bookmarkEnd w:id="919"/>
      <w:bookmarkEnd w:id="920"/>
      <w:bookmarkEnd w:id="921"/>
      <w:bookmarkEnd w:id="922"/>
    </w:p>
    <w:p w14:paraId="6B156EA4">
      <w:pPr>
        <w:pStyle w:val="5"/>
        <w:rPr>
          <w:rFonts w:hint="default" w:ascii="Times New Roman" w:hAnsi="Times New Roman" w:cs="Times New Roman"/>
          <w:color w:val="auto"/>
          <w:highlight w:val="none"/>
        </w:rPr>
      </w:pPr>
      <w:bookmarkStart w:id="923" w:name="_Toc107413910"/>
      <w:bookmarkStart w:id="924" w:name="_Toc483589667"/>
      <w:bookmarkStart w:id="925" w:name="_Toc29094"/>
      <w:bookmarkStart w:id="926" w:name="_Toc22224"/>
      <w:bookmarkStart w:id="927" w:name="_Toc21186"/>
      <w:bookmarkStart w:id="928" w:name="_Toc2909"/>
      <w:bookmarkStart w:id="929" w:name="_Toc107414677"/>
      <w:bookmarkStart w:id="930" w:name="_Toc15335"/>
      <w:bookmarkStart w:id="931" w:name="_Toc31363"/>
      <w:bookmarkStart w:id="932" w:name="_Toc30117"/>
      <w:bookmarkStart w:id="933" w:name="_Toc20113"/>
      <w:r>
        <w:rPr>
          <w:rFonts w:hint="default" w:ascii="Times New Roman" w:hAnsi="Times New Roman" w:cs="Times New Roman"/>
          <w:color w:val="auto"/>
          <w:highlight w:val="none"/>
        </w:rPr>
        <w:t>8.1建设项目环境管理</w:t>
      </w:r>
      <w:bookmarkEnd w:id="923"/>
      <w:bookmarkEnd w:id="924"/>
      <w:bookmarkEnd w:id="925"/>
      <w:bookmarkEnd w:id="926"/>
      <w:bookmarkEnd w:id="927"/>
      <w:bookmarkEnd w:id="928"/>
      <w:bookmarkEnd w:id="929"/>
      <w:bookmarkEnd w:id="930"/>
      <w:bookmarkEnd w:id="931"/>
      <w:bookmarkEnd w:id="932"/>
      <w:bookmarkEnd w:id="933"/>
    </w:p>
    <w:p w14:paraId="626D7AD1">
      <w:pPr>
        <w:overflowPunct w:val="0"/>
        <w:topLinePunct/>
        <w:ind w:firstLine="48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环境管理是现代企业管理制度的重要内容之一。通过实行全面、系统的环境管理使企业的各环境因素得到有效控制，更重要的是通过落实环境计划和环境政策对企业的环境状况进行调控，以达到改善环境绩效的目的。</w:t>
      </w:r>
    </w:p>
    <w:p w14:paraId="7DDDB8B1">
      <w:pPr>
        <w:pStyle w:val="6"/>
        <w:rPr>
          <w:rFonts w:hint="default" w:ascii="Times New Roman" w:hAnsi="Times New Roman" w:cs="Times New Roman"/>
          <w:color w:val="auto"/>
          <w:highlight w:val="none"/>
        </w:rPr>
      </w:pPr>
      <w:bookmarkStart w:id="934" w:name="_Toc12770"/>
      <w:bookmarkStart w:id="935" w:name="_Toc21330"/>
      <w:bookmarkStart w:id="936" w:name="_Toc11179"/>
      <w:bookmarkStart w:id="937" w:name="_Toc25378"/>
      <w:r>
        <w:rPr>
          <w:rFonts w:hint="default" w:ascii="Times New Roman" w:hAnsi="Times New Roman" w:cs="Times New Roman"/>
          <w:color w:val="auto"/>
          <w:highlight w:val="none"/>
        </w:rPr>
        <w:t>8.1.</w:t>
      </w:r>
      <w:r>
        <w:rPr>
          <w:rFonts w:hint="eastAsia" w:cs="Times New Roman"/>
          <w:color w:val="auto"/>
          <w:highlight w:val="none"/>
          <w:lang w:val="en-US" w:eastAsia="zh-CN"/>
        </w:rPr>
        <w:t>1</w:t>
      </w:r>
      <w:r>
        <w:rPr>
          <w:rFonts w:hint="default" w:ascii="Times New Roman" w:hAnsi="Times New Roman" w:cs="Times New Roman"/>
          <w:color w:val="auto"/>
          <w:highlight w:val="none"/>
        </w:rPr>
        <w:t>环境管理的目的及任务</w:t>
      </w:r>
      <w:bookmarkEnd w:id="934"/>
      <w:bookmarkEnd w:id="935"/>
      <w:bookmarkEnd w:id="936"/>
      <w:bookmarkEnd w:id="937"/>
    </w:p>
    <w:p w14:paraId="734DEC7C">
      <w:pPr>
        <w:widowControl/>
        <w:overflowPunct w:val="0"/>
        <w:topLinePunct/>
        <w:ind w:firstLine="480"/>
        <w:jc w:val="left"/>
        <w:rPr>
          <w:rFonts w:hint="default" w:ascii="Times New Roman" w:hAnsi="Times New Roman" w:cs="Times New Roman"/>
          <w:color w:val="auto"/>
          <w:kern w:val="0"/>
          <w:szCs w:val="21"/>
          <w:highlight w:val="none"/>
        </w:rPr>
      </w:pPr>
      <w:bookmarkStart w:id="938" w:name="_Toc99950977"/>
      <w:bookmarkStart w:id="939" w:name="_Toc99975509"/>
      <w:bookmarkStart w:id="940" w:name="_Toc12054"/>
      <w:bookmarkStart w:id="941" w:name="_Toc21951"/>
      <w:bookmarkStart w:id="942" w:name="_Toc179653310"/>
      <w:bookmarkStart w:id="943" w:name="_Toc164774412"/>
      <w:bookmarkStart w:id="944" w:name="_Toc168317239"/>
      <w:bookmarkStart w:id="945" w:name="_Toc170869098"/>
      <w:bookmarkStart w:id="946" w:name="_Toc149680597"/>
      <w:bookmarkStart w:id="947" w:name="_Toc179522850"/>
      <w:bookmarkStart w:id="948" w:name="_Toc170970694"/>
      <w:bookmarkStart w:id="949" w:name="_Toc149680834"/>
      <w:bookmarkStart w:id="950" w:name="_Toc180891809"/>
      <w:bookmarkStart w:id="951" w:name="_Toc153689586"/>
      <w:bookmarkStart w:id="952" w:name="_Toc172698697"/>
      <w:bookmarkStart w:id="953" w:name="_Toc187800072"/>
      <w:bookmarkStart w:id="954" w:name="_Toc245882805"/>
      <w:r>
        <w:rPr>
          <w:rFonts w:hint="default" w:ascii="Times New Roman" w:hAnsi="Times New Roman" w:cs="Times New Roman"/>
          <w:color w:val="auto"/>
          <w:kern w:val="0"/>
          <w:szCs w:val="21"/>
          <w:highlight w:val="none"/>
        </w:rPr>
        <w:t>1、环境管理的目的</w:t>
      </w:r>
    </w:p>
    <w:p w14:paraId="593D9275">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环境管理是环境保护工作的重要内容之一，是现代企业管理的重要组成部分，与企业内部生产管理、劳动管理、财务管理、安全管理同等重要。</w:t>
      </w:r>
      <w:bookmarkEnd w:id="938"/>
      <w:bookmarkEnd w:id="939"/>
    </w:p>
    <w:p w14:paraId="5A2160A2">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随着国家环境管理力度的加强，环保法律、法规的完善及全民环境意识的增强，对企业环境保护工作要求也不断提高，这就</w:t>
      </w:r>
      <w:r>
        <w:rPr>
          <w:rFonts w:hint="eastAsia" w:ascii="Times New Roman" w:hAnsi="Times New Roman" w:cs="Times New Roman"/>
          <w:color w:val="auto"/>
          <w:kern w:val="0"/>
          <w:szCs w:val="21"/>
          <w:highlight w:val="none"/>
          <w:lang w:eastAsia="zh-CN"/>
        </w:rPr>
        <w:t>要求</w:t>
      </w:r>
      <w:r>
        <w:rPr>
          <w:rFonts w:hint="default" w:ascii="Times New Roman" w:hAnsi="Times New Roman" w:cs="Times New Roman"/>
          <w:color w:val="auto"/>
          <w:kern w:val="0"/>
          <w:szCs w:val="21"/>
          <w:highlight w:val="none"/>
        </w:rPr>
        <w:t>企业要加强自身环境管理机构建设，健全环境管理制度，制定环境管理职责，并将其列入企业议事日程，对企业内部生产、经营过程中发生或可能发生的环境问题进行深入细致</w:t>
      </w:r>
      <w:r>
        <w:rPr>
          <w:rFonts w:hint="eastAsia" w:ascii="Times New Roman" w:hAnsi="Times New Roman" w:cs="Times New Roman"/>
          <w:color w:val="auto"/>
          <w:kern w:val="0"/>
          <w:szCs w:val="21"/>
          <w:highlight w:val="none"/>
          <w:lang w:eastAsia="zh-CN"/>
        </w:rPr>
        <w:t>地</w:t>
      </w:r>
      <w:r>
        <w:rPr>
          <w:rFonts w:hint="default" w:ascii="Times New Roman" w:hAnsi="Times New Roman" w:cs="Times New Roman"/>
          <w:color w:val="auto"/>
          <w:kern w:val="0"/>
          <w:szCs w:val="21"/>
          <w:highlight w:val="none"/>
        </w:rPr>
        <w:t>研究，制定合理污染防治方案以达到既发展生产，增加经济效益，又保护环境的目的。</w:t>
      </w:r>
    </w:p>
    <w:p w14:paraId="6F4B72A7">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2、环境管理的任务</w:t>
      </w:r>
    </w:p>
    <w:p w14:paraId="121E10A3">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对于项目来说，环境管理的基本任务是：控制污染物排放量，避免污染物对环境质量的损害。</w:t>
      </w:r>
    </w:p>
    <w:p w14:paraId="0D4BF46B">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为了控制污染物的排放，就需要加强计划、生产、技术、质量、设备、劳动、财务等方面的管理，把环境管理渗透到整个企业管理中，将环境管理融合在一起，以减少从生产过程中各环节排出的污染物。</w:t>
      </w:r>
    </w:p>
    <w:p w14:paraId="0045082F">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项目应该将环境管理作为工业企业管理的重要组成部分，建立环境污染管理系统、制度、环境规划、协调发展生</w:t>
      </w:r>
      <w:r>
        <w:rPr>
          <w:rFonts w:hint="eastAsia" w:ascii="Times New Roman" w:hAnsi="Times New Roman" w:cs="Times New Roman"/>
          <w:color w:val="auto"/>
          <w:kern w:val="0"/>
          <w:szCs w:val="21"/>
          <w:highlight w:val="none"/>
          <w:lang w:eastAsia="zh-CN"/>
        </w:rPr>
        <w:t>产和</w:t>
      </w:r>
      <w:r>
        <w:rPr>
          <w:rFonts w:hint="default" w:ascii="Times New Roman" w:hAnsi="Times New Roman" w:cs="Times New Roman"/>
          <w:color w:val="auto"/>
          <w:kern w:val="0"/>
          <w:szCs w:val="21"/>
          <w:highlight w:val="none"/>
        </w:rPr>
        <w:t>保护环境的关系，使生产管理系统、制度、环境污染规划协调生产与保护环境的关系，使生产目标与环境目标统一起来，经济效益与环境效益统一起来。</w:t>
      </w:r>
    </w:p>
    <w:p w14:paraId="618BF9EE">
      <w:pPr>
        <w:pStyle w:val="6"/>
        <w:rPr>
          <w:rFonts w:hint="default" w:ascii="Times New Roman" w:hAnsi="Times New Roman" w:cs="Times New Roman"/>
          <w:color w:val="auto"/>
          <w:highlight w:val="none"/>
        </w:rPr>
      </w:pPr>
      <w:bookmarkStart w:id="955" w:name="_Toc2616"/>
      <w:bookmarkStart w:id="956" w:name="_Toc13368"/>
      <w:bookmarkStart w:id="957" w:name="_Toc25678"/>
      <w:bookmarkStart w:id="958" w:name="_Toc21074"/>
      <w:r>
        <w:rPr>
          <w:rFonts w:hint="default" w:ascii="Times New Roman" w:hAnsi="Times New Roman" w:cs="Times New Roman"/>
          <w:color w:val="auto"/>
          <w:highlight w:val="none"/>
        </w:rPr>
        <w:t>8.1.</w:t>
      </w:r>
      <w:r>
        <w:rPr>
          <w:rFonts w:hint="eastAsia" w:cs="Times New Roman"/>
          <w:color w:val="auto"/>
          <w:highlight w:val="none"/>
          <w:lang w:val="en-US" w:eastAsia="zh-CN"/>
        </w:rPr>
        <w:t>2</w:t>
      </w:r>
      <w:r>
        <w:rPr>
          <w:rFonts w:hint="default" w:ascii="Times New Roman" w:hAnsi="Times New Roman" w:cs="Times New Roman"/>
          <w:color w:val="auto"/>
          <w:highlight w:val="none"/>
        </w:rPr>
        <w:t>环境管理机构</w:t>
      </w:r>
      <w:bookmarkEnd w:id="940"/>
      <w:bookmarkEnd w:id="941"/>
      <w:bookmarkEnd w:id="955"/>
      <w:bookmarkEnd w:id="956"/>
      <w:bookmarkEnd w:id="957"/>
      <w:bookmarkEnd w:id="958"/>
    </w:p>
    <w:p w14:paraId="3A428613">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要求建设单位设置专门的环境管理机构，配备专职的环保技术人员，负责日常环保管理工作，主要职责有：</w:t>
      </w:r>
    </w:p>
    <w:p w14:paraId="2E7DBA4F">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（1）贯彻执行环境污染保护法和标准；</w:t>
      </w:r>
    </w:p>
    <w:p w14:paraId="1707FC2A">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（2）组织制定和修改企业的环境污染保护管理体</w:t>
      </w:r>
      <w:r>
        <w:rPr>
          <w:rFonts w:hint="eastAsia" w:ascii="Times New Roman" w:hAnsi="Times New Roman" w:cs="Times New Roman"/>
          <w:color w:val="auto"/>
          <w:kern w:val="0"/>
          <w:szCs w:val="21"/>
          <w:highlight w:val="none"/>
          <w:lang w:eastAsia="zh-CN"/>
        </w:rPr>
        <w:t>制和</w:t>
      </w:r>
      <w:r>
        <w:rPr>
          <w:rFonts w:hint="default" w:ascii="Times New Roman" w:hAnsi="Times New Roman" w:cs="Times New Roman"/>
          <w:color w:val="auto"/>
          <w:kern w:val="0"/>
          <w:szCs w:val="21"/>
          <w:highlight w:val="none"/>
        </w:rPr>
        <w:t>规章制度，并监督执行；</w:t>
      </w:r>
    </w:p>
    <w:p w14:paraId="4F378C35">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（3）制定并组织实施环境保护规划和标准；</w:t>
      </w:r>
    </w:p>
    <w:p w14:paraId="185C14A7">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（4）检查企业环境保护规划和计划；</w:t>
      </w:r>
    </w:p>
    <w:p w14:paraId="10171577">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（5）建立资料库，管理污染源监测数据及资料的收集与存档；</w:t>
      </w:r>
    </w:p>
    <w:p w14:paraId="7594746F">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（6）加强安全生产教育，制定定期维修机器设备制度；</w:t>
      </w:r>
    </w:p>
    <w:p w14:paraId="3407079A">
      <w:pPr>
        <w:widowControl/>
        <w:overflowPunct w:val="0"/>
        <w:topLinePunct/>
        <w:ind w:firstLine="480"/>
        <w:jc w:val="left"/>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rPr>
        <w:t>（7）监督“三同时”的执行情况，尤其重视污染处理措施的运行效果</w:t>
      </w:r>
      <w:r>
        <w:rPr>
          <w:rFonts w:hint="default" w:ascii="Times New Roman" w:hAnsi="Times New Roman" w:cs="Times New Roman"/>
          <w:color w:val="auto"/>
          <w:kern w:val="0"/>
          <w:szCs w:val="21"/>
          <w:highlight w:val="none"/>
          <w:lang w:eastAsia="zh-CN"/>
        </w:rPr>
        <w:t>；</w:t>
      </w:r>
    </w:p>
    <w:p w14:paraId="7421193B">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（8）监督检查环保处理设施和环保设备的运行情况；</w:t>
      </w:r>
    </w:p>
    <w:p w14:paraId="17634967">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（9）负责企业生产过程中发生的各种环境污染事故的调查及应急处理；</w:t>
      </w:r>
    </w:p>
    <w:p w14:paraId="46C927C0">
      <w:pPr>
        <w:widowControl/>
        <w:overflowPunct w:val="0"/>
        <w:topLinePunct/>
        <w:ind w:firstLine="480"/>
        <w:jc w:val="left"/>
        <w:rPr>
          <w:rFonts w:hint="default" w:ascii="Times New Roman" w:hAnsi="Times New Roman" w:eastAsia="宋体" w:cs="Times New Roman"/>
          <w:color w:val="auto"/>
          <w:kern w:val="0"/>
          <w:szCs w:val="21"/>
          <w:highlight w:val="none"/>
          <w:lang w:eastAsia="zh-CN"/>
        </w:rPr>
      </w:pPr>
      <w:r>
        <w:rPr>
          <w:rFonts w:hint="default" w:ascii="Times New Roman" w:hAnsi="Times New Roman" w:cs="Times New Roman"/>
          <w:color w:val="auto"/>
          <w:kern w:val="0"/>
          <w:szCs w:val="21"/>
          <w:highlight w:val="none"/>
        </w:rPr>
        <w:t>（10）负责企业其他日常环境管理工作</w:t>
      </w:r>
      <w:r>
        <w:rPr>
          <w:rFonts w:hint="default" w:ascii="Times New Roman" w:hAnsi="Times New Roman" w:cs="Times New Roman"/>
          <w:color w:val="auto"/>
          <w:kern w:val="0"/>
          <w:szCs w:val="21"/>
          <w:highlight w:val="none"/>
          <w:lang w:eastAsia="zh-CN"/>
        </w:rPr>
        <w:t>；</w:t>
      </w:r>
    </w:p>
    <w:p w14:paraId="1B4BF014">
      <w:pPr>
        <w:widowControl/>
        <w:overflowPunct w:val="0"/>
        <w:topLinePunct/>
        <w:ind w:firstLine="48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（11）积极配合当地</w:t>
      </w:r>
      <w:r>
        <w:rPr>
          <w:rFonts w:hint="default" w:ascii="Times New Roman" w:hAnsi="Times New Roman" w:cs="Times New Roman"/>
          <w:color w:val="auto"/>
          <w:szCs w:val="21"/>
          <w:highlight w:val="none"/>
        </w:rPr>
        <w:t>生态环境主管部门</w:t>
      </w:r>
      <w:r>
        <w:rPr>
          <w:rFonts w:hint="default" w:ascii="Times New Roman" w:hAnsi="Times New Roman" w:cs="Times New Roman"/>
          <w:color w:val="auto"/>
          <w:kern w:val="0"/>
          <w:szCs w:val="21"/>
          <w:highlight w:val="none"/>
        </w:rPr>
        <w:t>的环境管理和环境监测工作。</w:t>
      </w:r>
    </w:p>
    <w:p w14:paraId="7B60667A">
      <w:pPr>
        <w:pStyle w:val="6"/>
        <w:rPr>
          <w:rFonts w:hint="default" w:ascii="Times New Roman" w:hAnsi="Times New Roman" w:cs="Times New Roman"/>
          <w:color w:val="auto"/>
          <w:highlight w:val="none"/>
        </w:rPr>
      </w:pPr>
      <w:bookmarkStart w:id="959" w:name="_Toc1073"/>
      <w:bookmarkStart w:id="960" w:name="_Toc22883"/>
      <w:bookmarkStart w:id="961" w:name="_Toc26018"/>
      <w:bookmarkStart w:id="962" w:name="_Toc9743"/>
      <w:r>
        <w:rPr>
          <w:rFonts w:hint="default" w:ascii="Times New Roman" w:hAnsi="Times New Roman" w:cs="Times New Roman"/>
          <w:color w:val="auto"/>
          <w:highlight w:val="none"/>
        </w:rPr>
        <w:t>8.1.</w:t>
      </w:r>
      <w:r>
        <w:rPr>
          <w:rFonts w:hint="eastAsia" w:cs="Times New Roman"/>
          <w:color w:val="auto"/>
          <w:highlight w:val="none"/>
          <w:lang w:val="en-US" w:eastAsia="zh-CN"/>
        </w:rPr>
        <w:t>3</w:t>
      </w:r>
      <w:r>
        <w:rPr>
          <w:rFonts w:hint="default" w:ascii="Times New Roman" w:hAnsi="Times New Roman" w:cs="Times New Roman"/>
          <w:color w:val="auto"/>
          <w:highlight w:val="none"/>
        </w:rPr>
        <w:t>环境管理内容</w:t>
      </w:r>
      <w:bookmarkEnd w:id="959"/>
      <w:bookmarkEnd w:id="960"/>
      <w:bookmarkEnd w:id="961"/>
      <w:bookmarkEnd w:id="962"/>
    </w:p>
    <w:p w14:paraId="325DFD95">
      <w:pPr>
        <w:overflowPunct w:val="0"/>
        <w:topLinePunct/>
        <w:ind w:firstLine="48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1、施工期环境管理内容</w:t>
      </w:r>
    </w:p>
    <w:p w14:paraId="5A47E81E">
      <w:pPr>
        <w:overflowPunct w:val="0"/>
        <w:topLinePunct/>
        <w:ind w:firstLine="48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t>（1）</w:t>
      </w:r>
      <w:r>
        <w:rPr>
          <w:rFonts w:hint="default" w:ascii="Times New Roman" w:hAnsi="Times New Roman" w:cs="Times New Roman"/>
          <w:snapToGrid w:val="0"/>
          <w:color w:val="auto"/>
          <w:highlight w:val="none"/>
          <w:lang w:eastAsia="zh-CN"/>
        </w:rPr>
        <w:t>新疆华瓯矿业有限公司</w:t>
      </w:r>
      <w:r>
        <w:rPr>
          <w:rFonts w:hint="default" w:ascii="Times New Roman" w:hAnsi="Times New Roman" w:cs="Times New Roman"/>
          <w:snapToGrid w:val="0"/>
          <w:color w:val="auto"/>
          <w:highlight w:val="none"/>
        </w:rPr>
        <w:t>应与拟建项目的施工单位协商，将施工期环境保护责任纳入双方合同文本，要求施工单位认真落实施工的环境保护措施。</w:t>
      </w:r>
    </w:p>
    <w:p w14:paraId="247038C2">
      <w:pPr>
        <w:overflowPunct w:val="0"/>
        <w:topLinePunct/>
        <w:ind w:firstLine="48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t>（2）项目建设区生态环境较为脆弱，施工单位严格按照环评报告书及批复要求优化施工方案，优化施工道路建设方案，尽最大可能地减少地表扰动面积。</w:t>
      </w:r>
    </w:p>
    <w:p w14:paraId="0E6A60FB">
      <w:pPr>
        <w:overflowPunct w:val="0"/>
        <w:topLinePunct/>
        <w:ind w:firstLine="48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t>（3）施工单位应配备专职环境管理人员，负责各类污染源的现场监控和管理，尤其是应严格控制高噪声、高振动施工设备的施工时间；严格限制粉状物料的露天堆放；严格控制进出施工场地车辆物料遗撒。</w:t>
      </w:r>
    </w:p>
    <w:p w14:paraId="479393D8">
      <w:pPr>
        <w:overflowPunct w:val="0"/>
        <w:topLinePunct/>
        <w:ind w:firstLine="48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t>（4）专职环境管理人员应做好文明施工的宣传工作，借助宣传栏等工具对施工工人进行环境保护教育。</w:t>
      </w:r>
    </w:p>
    <w:p w14:paraId="6CCEE23A">
      <w:pPr>
        <w:overflowPunct w:val="0"/>
        <w:topLinePunct/>
        <w:ind w:firstLine="48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t>（5）工程施工单位应自觉接受</w:t>
      </w:r>
      <w:r>
        <w:rPr>
          <w:rFonts w:hint="default" w:ascii="Times New Roman" w:hAnsi="Times New Roman" w:cs="Times New Roman"/>
          <w:color w:val="auto"/>
          <w:szCs w:val="21"/>
          <w:highlight w:val="none"/>
        </w:rPr>
        <w:t>生态环境主管部门</w:t>
      </w:r>
      <w:r>
        <w:rPr>
          <w:rFonts w:hint="default" w:ascii="Times New Roman" w:hAnsi="Times New Roman" w:cs="Times New Roman"/>
          <w:snapToGrid w:val="0"/>
          <w:color w:val="auto"/>
          <w:highlight w:val="none"/>
        </w:rPr>
        <w:t>的监督指导，主动配合环境保护主管部门搞好项目施工期的环境保护工作。</w:t>
      </w:r>
    </w:p>
    <w:p w14:paraId="57EAF2AB">
      <w:pPr>
        <w:overflowPunct w:val="0"/>
        <w:topLinePunct/>
        <w:ind w:firstLine="480"/>
        <w:rPr>
          <w:rFonts w:hint="default" w:ascii="Times New Roman" w:hAnsi="Times New Roman" w:cs="Times New Roman"/>
          <w:snapToGrid w:val="0"/>
          <w:color w:val="auto"/>
          <w:highlight w:val="none"/>
        </w:rPr>
      </w:pPr>
      <w:r>
        <w:rPr>
          <w:rFonts w:hint="default" w:ascii="Times New Roman" w:hAnsi="Times New Roman" w:cs="Times New Roman"/>
          <w:snapToGrid w:val="0"/>
          <w:color w:val="auto"/>
          <w:highlight w:val="none"/>
        </w:rPr>
        <w:t>（6）建设单位应按有关施工招标程序设置环境监理，并在当地</w:t>
      </w:r>
      <w:r>
        <w:rPr>
          <w:rFonts w:hint="default" w:ascii="Times New Roman" w:hAnsi="Times New Roman" w:cs="Times New Roman"/>
          <w:color w:val="auto"/>
          <w:szCs w:val="21"/>
          <w:highlight w:val="none"/>
        </w:rPr>
        <w:t>生态环境主管部门</w:t>
      </w:r>
      <w:r>
        <w:rPr>
          <w:rFonts w:hint="default" w:ascii="Times New Roman" w:hAnsi="Times New Roman" w:cs="Times New Roman"/>
          <w:snapToGrid w:val="0"/>
          <w:color w:val="auto"/>
          <w:highlight w:val="none"/>
        </w:rPr>
        <w:t>的监督指导下，全面、规范地进行施工期的环境监理，以确保将施工期的生态环境影响降到最低。</w:t>
      </w:r>
    </w:p>
    <w:p w14:paraId="105F4345">
      <w:pPr>
        <w:overflowPunct w:val="0"/>
        <w:topLinePunct/>
        <w:ind w:firstLine="480"/>
        <w:jc w:val="left"/>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2、运营期环境管理内容</w:t>
      </w:r>
    </w:p>
    <w:p w14:paraId="19B38074">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（1）公司领导管理内容</w:t>
      </w:r>
    </w:p>
    <w:p w14:paraId="65B4C849">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①负责贯彻国家环境保护法、环境保护方针和政策。</w:t>
      </w:r>
    </w:p>
    <w:p w14:paraId="07BE2279">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②负责建立完整的环保机构，保证人员的落实。</w:t>
      </w:r>
    </w:p>
    <w:p w14:paraId="77BB2C05">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（2）安全环保处管理内容</w:t>
      </w:r>
    </w:p>
    <w:p w14:paraId="70B5147B">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①贯彻公司或上级</w:t>
      </w:r>
      <w:r>
        <w:rPr>
          <w:rFonts w:hint="default" w:ascii="Times New Roman" w:hAnsi="Times New Roman" w:cs="Times New Roman"/>
          <w:color w:val="auto"/>
          <w:szCs w:val="21"/>
          <w:highlight w:val="none"/>
        </w:rPr>
        <w:t>生态环境主管部门</w:t>
      </w:r>
      <w:r>
        <w:rPr>
          <w:rFonts w:hint="default" w:ascii="Times New Roman" w:hAnsi="Times New Roman" w:cs="Times New Roman"/>
          <w:snapToGrid w:val="0"/>
          <w:color w:val="auto"/>
          <w:kern w:val="24"/>
          <w:highlight w:val="none"/>
        </w:rPr>
        <w:t>有关的环保制度和规定。</w:t>
      </w:r>
    </w:p>
    <w:p w14:paraId="59E30B21">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②汇总、编报环保年度计划及规划，并监督、检查执行情况。</w:t>
      </w:r>
    </w:p>
    <w:p w14:paraId="7E33285B">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③制定环境质量控制指标，提出环保考核项目和经济承包有关奖罚规定。</w:t>
      </w:r>
    </w:p>
    <w:p w14:paraId="72326433">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④参与污染事故调查，并向上级主管部门提出书面报告。</w:t>
      </w:r>
    </w:p>
    <w:p w14:paraId="3D27CE89">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⑤对污染源进行监督管理，贯彻预防为主的方针，发现问题，及时向上级主管部门汇报，下达环保整改通知书，强化管理。</w:t>
      </w:r>
    </w:p>
    <w:p w14:paraId="47BF7983">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⑥对环境保护的先进经验、先进技术进行推广和应用。</w:t>
      </w:r>
    </w:p>
    <w:p w14:paraId="43C36A49">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⑦对环境监测技术资料进行整理、统计、上报和存档。</w:t>
      </w:r>
    </w:p>
    <w:p w14:paraId="3C0343E1">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⑧监督公司内环保设备的日常运行情况，包括收尘设备、噪声控制设备等，每月考核一次设备的运行情况，并负责对环保设备大、中修的质量验收。</w:t>
      </w:r>
    </w:p>
    <w:p w14:paraId="1F06CC7D">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（3）环卫办管理内容</w:t>
      </w:r>
    </w:p>
    <w:p w14:paraId="09B5412C">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①在公司领导下，做好生产区、办公区及其所属道路的绿化、美化工作。</w:t>
      </w:r>
    </w:p>
    <w:p w14:paraId="6EF5826D">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②组织安排职工参加植树、种草等绿化及生态恢复工作。</w:t>
      </w:r>
    </w:p>
    <w:p w14:paraId="52DA8FEC">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③按“门前三包卫生责任制”，检查、督促各车间、处室做好卫生、绿化工作。</w:t>
      </w:r>
    </w:p>
    <w:p w14:paraId="02915D10">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④组织做好垃圾的定点堆放和清运工作。</w:t>
      </w:r>
    </w:p>
    <w:p w14:paraId="68ADBA01">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⑤保证清洁人员按指定地段每日将道路清扫干净，控制路面扬尘、减少无组织排放。</w:t>
      </w:r>
    </w:p>
    <w:p w14:paraId="7EF98FC1">
      <w:pPr>
        <w:overflowPunct w:val="0"/>
        <w:topLinePunct/>
        <w:ind w:firstLine="480"/>
        <w:jc w:val="left"/>
        <w:rPr>
          <w:rFonts w:hint="default" w:ascii="Times New Roman" w:hAnsi="Times New Roman" w:cs="Times New Roman"/>
          <w:snapToGrid w:val="0"/>
          <w:color w:val="auto"/>
          <w:kern w:val="24"/>
          <w:highlight w:val="none"/>
        </w:rPr>
      </w:pPr>
      <w:bookmarkStart w:id="963" w:name="_Toc8987"/>
      <w:bookmarkStart w:id="964" w:name="_Toc19637"/>
      <w:bookmarkStart w:id="965" w:name="_Toc321501717"/>
      <w:r>
        <w:rPr>
          <w:rFonts w:hint="default" w:ascii="Times New Roman" w:hAnsi="Times New Roman" w:cs="Times New Roman"/>
          <w:snapToGrid w:val="0"/>
          <w:color w:val="auto"/>
          <w:kern w:val="24"/>
          <w:highlight w:val="none"/>
        </w:rPr>
        <w:t>（4）车间环保员管理内容</w:t>
      </w:r>
    </w:p>
    <w:p w14:paraId="7FF55AC2">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①各处、室、车间主管生产的领导及环保监督员，负责本单位环境保护工作。</w:t>
      </w:r>
    </w:p>
    <w:p w14:paraId="16EBD2CA">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②按公司管理部门统一部署，提出本单位环保治理项目计划，报安全环保处及各职能部门。</w:t>
      </w:r>
    </w:p>
    <w:p w14:paraId="18AD13ED">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③负责本单位环保设施使用、管理和检查，保证环保设施处于最佳状态。每半月车间主管环保的领导和环保员最少应对所辖范围内的环保设备工作情况进行一次巡回检查。</w:t>
      </w:r>
    </w:p>
    <w:p w14:paraId="3DA9EA1D">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④负责本单位各生产岗位文明生产的严格管理，为员工创造良好的工作、劳动环境。</w:t>
      </w:r>
    </w:p>
    <w:p w14:paraId="39784C28">
      <w:pPr>
        <w:overflowPunct w:val="0"/>
        <w:topLinePunct/>
        <w:ind w:firstLine="480"/>
        <w:jc w:val="left"/>
        <w:rPr>
          <w:rFonts w:hint="default" w:ascii="Times New Roman" w:hAnsi="Times New Roman" w:cs="Times New Roman"/>
          <w:snapToGrid w:val="0"/>
          <w:color w:val="auto"/>
          <w:kern w:val="24"/>
          <w:highlight w:val="none"/>
        </w:rPr>
      </w:pPr>
      <w:r>
        <w:rPr>
          <w:rFonts w:hint="default" w:ascii="Times New Roman" w:hAnsi="Times New Roman" w:cs="Times New Roman"/>
          <w:snapToGrid w:val="0"/>
          <w:color w:val="auto"/>
          <w:kern w:val="24"/>
          <w:highlight w:val="none"/>
        </w:rPr>
        <w:t>⑤参加公司环保会议和污染事故调查，并提出本单位出现的污染事故报告。</w:t>
      </w:r>
    </w:p>
    <w:p w14:paraId="76A2E895">
      <w:pPr>
        <w:overflowPunct w:val="0"/>
        <w:topLinePunct/>
        <w:ind w:firstLine="480"/>
        <w:jc w:val="left"/>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3、</w:t>
      </w:r>
      <w:r>
        <w:rPr>
          <w:rFonts w:hint="eastAsia" w:cs="Times New Roman" w:eastAsiaTheme="minorEastAsia"/>
          <w:color w:val="auto"/>
          <w:szCs w:val="21"/>
          <w:highlight w:val="none"/>
          <w:lang w:eastAsia="zh-CN"/>
        </w:rPr>
        <w:t>闭矿期</w:t>
      </w:r>
      <w:r>
        <w:rPr>
          <w:rFonts w:hint="default" w:ascii="Times New Roman" w:hAnsi="Times New Roman" w:cs="Times New Roman" w:eastAsiaTheme="minorEastAsia"/>
          <w:color w:val="auto"/>
          <w:szCs w:val="21"/>
          <w:highlight w:val="none"/>
        </w:rPr>
        <w:t>环境管理内容</w:t>
      </w:r>
    </w:p>
    <w:p w14:paraId="13C584B9">
      <w:pPr>
        <w:overflowPunct w:val="0"/>
        <w:topLinePunct/>
        <w:ind w:firstLine="480"/>
        <w:jc w:val="left"/>
        <w:rPr>
          <w:rFonts w:hint="default" w:ascii="Times New Roman" w:hAnsi="Times New Roman" w:cs="Times New Roman" w:eastAsiaTheme="minorEastAsia"/>
          <w:color w:val="auto"/>
          <w:szCs w:val="21"/>
          <w:highlight w:val="none"/>
        </w:rPr>
      </w:pPr>
      <w:r>
        <w:rPr>
          <w:rFonts w:hint="eastAsia" w:cs="Times New Roman" w:eastAsiaTheme="minorEastAsia"/>
          <w:color w:val="auto"/>
          <w:szCs w:val="21"/>
          <w:highlight w:val="none"/>
          <w:lang w:eastAsia="zh-CN"/>
        </w:rPr>
        <w:t>闭矿期</w:t>
      </w:r>
      <w:r>
        <w:rPr>
          <w:rFonts w:hint="default" w:ascii="Times New Roman" w:hAnsi="Times New Roman" w:cs="Times New Roman" w:eastAsiaTheme="minorEastAsia"/>
          <w:color w:val="auto"/>
          <w:szCs w:val="21"/>
          <w:highlight w:val="none"/>
        </w:rPr>
        <w:t>各管理机构主要的管理内容是监督生态恢复工作的落实，选厂、尾矿库必须按照矿山安全、地质恢复、环境保护工作的有关规定拆除无用的地面建筑物，将破坏的地表推平，对受破坏的地表恢复原貌等工作。</w:t>
      </w:r>
    </w:p>
    <w:p w14:paraId="5835F7CD">
      <w:pPr>
        <w:pStyle w:val="6"/>
        <w:rPr>
          <w:rFonts w:hint="default" w:ascii="Times New Roman" w:hAnsi="Times New Roman" w:cs="Times New Roman"/>
          <w:color w:val="auto"/>
          <w:highlight w:val="none"/>
        </w:rPr>
      </w:pPr>
      <w:bookmarkStart w:id="966" w:name="_Toc3798"/>
      <w:bookmarkStart w:id="967" w:name="_Toc3930"/>
      <w:bookmarkStart w:id="968" w:name="_Toc23561"/>
      <w:bookmarkStart w:id="969" w:name="_Toc4499"/>
      <w:r>
        <w:rPr>
          <w:rFonts w:hint="default" w:ascii="Times New Roman" w:hAnsi="Times New Roman" w:cs="Times New Roman"/>
          <w:color w:val="auto"/>
          <w:highlight w:val="none"/>
        </w:rPr>
        <w:t>8.1.</w:t>
      </w:r>
      <w:r>
        <w:rPr>
          <w:rFonts w:hint="eastAsia" w:cs="Times New Roman"/>
          <w:color w:val="auto"/>
          <w:highlight w:val="none"/>
          <w:lang w:val="en-US" w:eastAsia="zh-CN"/>
        </w:rPr>
        <w:t>4</w:t>
      </w:r>
      <w:r>
        <w:rPr>
          <w:rFonts w:hint="default" w:ascii="Times New Roman" w:hAnsi="Times New Roman" w:cs="Times New Roman"/>
          <w:color w:val="auto"/>
          <w:highlight w:val="none"/>
        </w:rPr>
        <w:t>环境管理</w:t>
      </w:r>
      <w:bookmarkEnd w:id="942"/>
      <w:bookmarkEnd w:id="943"/>
      <w:bookmarkEnd w:id="944"/>
      <w:bookmarkEnd w:id="945"/>
      <w:bookmarkEnd w:id="946"/>
      <w:bookmarkEnd w:id="947"/>
      <w:bookmarkEnd w:id="948"/>
      <w:bookmarkEnd w:id="949"/>
      <w:bookmarkEnd w:id="950"/>
      <w:bookmarkEnd w:id="951"/>
      <w:bookmarkEnd w:id="952"/>
      <w:r>
        <w:rPr>
          <w:rFonts w:hint="default" w:ascii="Times New Roman" w:hAnsi="Times New Roman" w:cs="Times New Roman"/>
          <w:color w:val="auto"/>
          <w:highlight w:val="none"/>
        </w:rPr>
        <w:t>制度</w:t>
      </w:r>
      <w:bookmarkEnd w:id="953"/>
      <w:bookmarkEnd w:id="954"/>
      <w:bookmarkEnd w:id="963"/>
      <w:bookmarkEnd w:id="964"/>
      <w:bookmarkEnd w:id="965"/>
      <w:bookmarkEnd w:id="966"/>
      <w:bookmarkEnd w:id="967"/>
      <w:bookmarkEnd w:id="968"/>
      <w:bookmarkEnd w:id="969"/>
    </w:p>
    <w:p w14:paraId="1D5FF403">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bookmarkStart w:id="970" w:name="_Toc762"/>
      <w:bookmarkStart w:id="971" w:name="_Toc27111"/>
      <w:bookmarkStart w:id="972" w:name="_Toc26711"/>
      <w:bookmarkStart w:id="973" w:name="_Toc26322"/>
      <w:bookmarkStart w:id="974" w:name="_Toc149680835"/>
      <w:bookmarkStart w:id="975" w:name="_Toc149680598"/>
      <w:bookmarkStart w:id="976" w:name="_Toc164774413"/>
      <w:bookmarkStart w:id="977" w:name="_Toc168317240"/>
      <w:bookmarkStart w:id="978" w:name="_Toc153689587"/>
      <w:bookmarkStart w:id="979" w:name="_Toc170970695"/>
      <w:bookmarkStart w:id="980" w:name="_Toc170869099"/>
      <w:bookmarkStart w:id="981" w:name="_Toc180891810"/>
      <w:bookmarkStart w:id="982" w:name="_Toc172698698"/>
      <w:bookmarkStart w:id="983" w:name="_Toc179653311"/>
      <w:bookmarkStart w:id="984" w:name="_Toc179522851"/>
      <w:r>
        <w:rPr>
          <w:rFonts w:hint="eastAsia" w:ascii="Times New Roman" w:hAnsi="Times New Roman" w:cs="Times New Roman" w:eastAsiaTheme="minorEastAsia"/>
          <w:color w:val="auto"/>
          <w:sz w:val="24"/>
          <w:highlight w:val="none"/>
          <w:lang w:val="en-US" w:eastAsia="zh-CN"/>
        </w:rPr>
        <w:t>要求建设单位结合国家有关环保</w:t>
      </w:r>
      <w:r>
        <w:rPr>
          <w:rFonts w:hint="eastAsia" w:ascii="Times New Roman" w:hAnsi="Times New Roman" w:cs="Times New Roman"/>
          <w:color w:val="auto"/>
          <w:sz w:val="24"/>
          <w:highlight w:val="none"/>
          <w:lang w:val="en-US" w:eastAsia="zh-CN"/>
        </w:rPr>
        <w:t>法律法规</w:t>
      </w:r>
      <w:r>
        <w:rPr>
          <w:rFonts w:hint="eastAsia" w:ascii="Times New Roman" w:hAnsi="Times New Roman" w:cs="Times New Roman" w:eastAsiaTheme="minorEastAsia"/>
          <w:color w:val="auto"/>
          <w:sz w:val="24"/>
          <w:highlight w:val="none"/>
          <w:lang w:val="en-US" w:eastAsia="zh-CN"/>
        </w:rPr>
        <w:t>，以及各级环境主管部门的规章制度、管理条例，建立相应的环保管理制度，主要内容有：</w:t>
      </w:r>
    </w:p>
    <w:p w14:paraId="66651B43">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（1）严格执行“三同时”的管理制度。确保污染处理设施能够和生产工艺“同时设计、同时施工、同时投入使用”。</w:t>
      </w:r>
    </w:p>
    <w:p w14:paraId="7D345393">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（2）建立报告制度。对排放的废气、废水等污染物实行排污许可证登记，按照地方生态环境主管部门的要求执行排污证申报。</w:t>
      </w:r>
    </w:p>
    <w:p w14:paraId="1DD00EC5">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3）健全污染治理设施管理制度。保证处理设施能够长期、稳定、有效运行。污染治理设施的操作管理与生产经营活动一起纳入日常管理工作的范畴，落实责任人、操作人员、维修人员、运行经费、设备的备品备件和其他原辅材料。制定各级岗位责任制，编制操作规程，建立管理台账。</w:t>
      </w:r>
    </w:p>
    <w:p w14:paraId="2E76D316">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（4）环保奖惩制度。各级管理人员应树立环境保护意识，对爱护环保设施，遵照环保制度执行的工作者实施奖励；对环保意识弱，不按照环保管理操作、破坏环保设施及造成环境污染者予以处罚。</w:t>
      </w:r>
    </w:p>
    <w:p w14:paraId="4F32E711">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rPr>
        <w:t>8.1.</w:t>
      </w:r>
      <w:r>
        <w:rPr>
          <w:rFonts w:hint="eastAsia" w:cs="Times New Roman"/>
          <w:color w:val="auto"/>
          <w:highlight w:val="none"/>
          <w:lang w:val="en-US" w:eastAsia="zh-CN"/>
        </w:rPr>
        <w:t>5</w:t>
      </w:r>
      <w:r>
        <w:rPr>
          <w:rFonts w:hint="default" w:ascii="Times New Roman" w:hAnsi="Times New Roman" w:cs="Times New Roman"/>
          <w:color w:val="auto"/>
          <w:highlight w:val="none"/>
        </w:rPr>
        <w:t>排污口规范化</w:t>
      </w:r>
      <w:bookmarkEnd w:id="970"/>
      <w:bookmarkEnd w:id="971"/>
      <w:bookmarkEnd w:id="972"/>
      <w:bookmarkEnd w:id="973"/>
    </w:p>
    <w:p w14:paraId="753452D1">
      <w:pPr>
        <w:bidi w:val="0"/>
        <w:rPr>
          <w:rFonts w:hint="default"/>
          <w:color w:val="auto"/>
          <w:highlight w:val="none"/>
          <w:lang w:val="en-US" w:eastAsia="zh-CN"/>
        </w:rPr>
      </w:pPr>
      <w:bookmarkStart w:id="985" w:name="_Toc68"/>
      <w:bookmarkStart w:id="986" w:name="_Toc2850"/>
      <w:bookmarkStart w:id="987" w:name="_Toc32723"/>
      <w:bookmarkStart w:id="988" w:name="_Toc483589668"/>
      <w:bookmarkStart w:id="989" w:name="_Toc6368"/>
      <w:bookmarkStart w:id="990" w:name="_Toc9074"/>
      <w:bookmarkStart w:id="991" w:name="_Toc394997398"/>
      <w:bookmarkStart w:id="992" w:name="_Toc351735261"/>
      <w:bookmarkStart w:id="993" w:name="_Toc245882806"/>
      <w:bookmarkStart w:id="994" w:name="_Toc28920"/>
      <w:bookmarkStart w:id="995" w:name="_Toc187800073"/>
      <w:bookmarkStart w:id="996" w:name="_Toc321501718"/>
      <w:bookmarkStart w:id="997" w:name="_Toc22210"/>
      <w:r>
        <w:rPr>
          <w:rFonts w:hint="default"/>
          <w:color w:val="auto"/>
          <w:highlight w:val="none"/>
          <w:lang w:val="en-US" w:eastAsia="zh-CN"/>
        </w:rPr>
        <w:t>（1）排污口管理</w:t>
      </w:r>
    </w:p>
    <w:p w14:paraId="10822843">
      <w:pPr>
        <w:bidi w:val="0"/>
        <w:rPr>
          <w:rFonts w:hint="default"/>
          <w:color w:val="auto"/>
          <w:highlight w:val="none"/>
          <w:lang w:val="en-US" w:eastAsia="zh-CN"/>
        </w:rPr>
      </w:pPr>
      <w:r>
        <w:rPr>
          <w:rFonts w:hint="default"/>
          <w:color w:val="auto"/>
          <w:highlight w:val="none"/>
          <w:lang w:val="en-US" w:eastAsia="zh-CN"/>
        </w:rPr>
        <w:t>根据《关于开展排放口规范化整治工作的通知》（国家环境保护总局环发〔1999〕24号）文件的要求，一切新建、改建的排污单位以及限期治理的排污单位，必须在建设污染治理设施的同时，建设规范化排污口。因此，建设单位在投产时，各类排污口必须规范化建设和管理，而且规范化工作应与污染治理同步实施，即治理设施完工时，规范化工作必须同时完成，并列入污染物治理设施的验收内容。建设单位应按以下内容建立排污口管理的专门档案：排污口性质和编号；位置；排放主要污染物种类、数量、浓度；排放去向；达标情况；治理设施运行情况及整改意见。</w:t>
      </w:r>
    </w:p>
    <w:p w14:paraId="1AD4C9CC">
      <w:pPr>
        <w:bidi w:val="0"/>
        <w:rPr>
          <w:rFonts w:hint="default"/>
          <w:color w:val="auto"/>
          <w:highlight w:val="none"/>
          <w:lang w:val="en-US" w:eastAsia="zh-CN"/>
        </w:rPr>
      </w:pPr>
      <w:r>
        <w:rPr>
          <w:rFonts w:hint="default"/>
          <w:color w:val="auto"/>
          <w:highlight w:val="none"/>
          <w:lang w:val="en-US" w:eastAsia="zh-CN"/>
        </w:rPr>
        <w:t>（2）环境保护图形标志</w:t>
      </w:r>
    </w:p>
    <w:p w14:paraId="37C35DD9">
      <w:pPr>
        <w:bidi w:val="0"/>
        <w:rPr>
          <w:rFonts w:hint="default"/>
          <w:color w:val="auto"/>
          <w:highlight w:val="none"/>
          <w:lang w:val="en-US" w:eastAsia="zh-CN"/>
        </w:rPr>
      </w:pPr>
      <w:r>
        <w:rPr>
          <w:rFonts w:hint="default"/>
          <w:color w:val="auto"/>
          <w:highlight w:val="none"/>
          <w:lang w:val="en-US" w:eastAsia="zh-CN"/>
        </w:rPr>
        <w:t>排污口标志牌的图形标志、图形颜色及装置颜色、标志牌材质、表面处理、外观质量以及字体等要求应符合《环境保护图形标志－排放口（源）》（GB 15562.1-1995）、《排污单位污染物排放口二维码标识技术规范》（HJ 1297—2023）</w:t>
      </w:r>
      <w:r>
        <w:rPr>
          <w:rFonts w:hint="eastAsia"/>
          <w:color w:val="auto"/>
          <w:highlight w:val="none"/>
          <w:lang w:val="en-US" w:eastAsia="zh-CN"/>
        </w:rPr>
        <w:t>、</w:t>
      </w:r>
      <w:r>
        <w:rPr>
          <w:rFonts w:hint="default"/>
          <w:color w:val="auto"/>
          <w:highlight w:val="none"/>
          <w:lang w:val="en-US" w:eastAsia="zh-CN"/>
        </w:rPr>
        <w:t>《环境保护图形标志—固体废物贮存（处置）场》（GB15562.2-1995）及修改单</w:t>
      </w:r>
      <w:r>
        <w:rPr>
          <w:rFonts w:hint="eastAsia"/>
          <w:color w:val="auto"/>
          <w:highlight w:val="none"/>
          <w:lang w:val="en-US" w:eastAsia="zh-CN"/>
        </w:rPr>
        <w:t>、</w:t>
      </w:r>
      <w:r>
        <w:rPr>
          <w:rFonts w:hint="default"/>
          <w:color w:val="auto"/>
          <w:highlight w:val="none"/>
          <w:lang w:val="en-US" w:eastAsia="zh-CN"/>
        </w:rPr>
        <w:t>《危险废物识别标志设置技术规范》（HJ1276-2022）的有关规定。</w:t>
      </w:r>
    </w:p>
    <w:p w14:paraId="356F67E7">
      <w:pPr>
        <w:pStyle w:val="19"/>
        <w:bidi w:val="0"/>
        <w:rPr>
          <w:rFonts w:hint="default"/>
          <w:color w:val="auto"/>
          <w:highlight w:val="none"/>
          <w:lang w:val="en-US" w:eastAsia="zh-CN"/>
        </w:rPr>
      </w:pPr>
      <w:r>
        <w:rPr>
          <w:rFonts w:hint="default"/>
          <w:color w:val="auto"/>
          <w:highlight w:val="none"/>
          <w:lang w:val="en-US" w:eastAsia="zh-CN"/>
        </w:rPr>
        <w:t>表</w:t>
      </w:r>
      <w:r>
        <w:rPr>
          <w:rFonts w:hint="eastAsia"/>
          <w:color w:val="auto"/>
          <w:highlight w:val="none"/>
          <w:lang w:val="en-US" w:eastAsia="zh-CN"/>
        </w:rPr>
        <w:t>8.1</w:t>
      </w:r>
      <w:r>
        <w:rPr>
          <w:rFonts w:hint="default"/>
          <w:color w:val="auto"/>
          <w:highlight w:val="none"/>
          <w:lang w:val="en-US" w:eastAsia="zh-CN"/>
        </w:rPr>
        <w:t>-1   环境保护图形符号一览表</w:t>
      </w:r>
    </w:p>
    <w:tbl>
      <w:tblPr>
        <w:tblStyle w:val="13"/>
        <w:tblW w:w="5004"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455"/>
        <w:gridCol w:w="1803"/>
        <w:gridCol w:w="1858"/>
        <w:gridCol w:w="1378"/>
        <w:gridCol w:w="2829"/>
      </w:tblGrid>
      <w:tr w14:paraId="51D1F4A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641" w:hRule="atLeast"/>
          <w:jc w:val="center"/>
        </w:trPr>
        <w:tc>
          <w:tcPr>
            <w:tcW w:w="273" w:type="pct"/>
            <w:tcBorders>
              <w:tl2br w:val="nil"/>
              <w:tr2bl w:val="nil"/>
            </w:tcBorders>
            <w:noWrap w:val="0"/>
            <w:vAlign w:val="center"/>
          </w:tcPr>
          <w:p w14:paraId="26BEA56A">
            <w:pPr>
              <w:pStyle w:val="17"/>
              <w:bidi w:val="0"/>
              <w:rPr>
                <w:rFonts w:hint="default"/>
                <w:color w:val="auto"/>
                <w:highlight w:val="none"/>
                <w:lang w:val="en-US" w:eastAsia="zh-CN"/>
              </w:rPr>
            </w:pPr>
            <w:r>
              <w:rPr>
                <w:rFonts w:hint="default"/>
                <w:color w:val="auto"/>
                <w:highlight w:val="none"/>
                <w:lang w:val="en-US" w:eastAsia="zh-CN"/>
              </w:rPr>
              <w:t>序号</w:t>
            </w:r>
          </w:p>
        </w:tc>
        <w:tc>
          <w:tcPr>
            <w:tcW w:w="1083" w:type="pct"/>
            <w:tcBorders>
              <w:tl2br w:val="nil"/>
              <w:tr2bl w:val="nil"/>
            </w:tcBorders>
            <w:noWrap w:val="0"/>
            <w:vAlign w:val="center"/>
          </w:tcPr>
          <w:p w14:paraId="750B382D">
            <w:pPr>
              <w:pStyle w:val="17"/>
              <w:bidi w:val="0"/>
              <w:rPr>
                <w:rFonts w:hint="default"/>
                <w:color w:val="auto"/>
                <w:highlight w:val="none"/>
                <w:lang w:val="en-US" w:eastAsia="zh-CN"/>
              </w:rPr>
            </w:pPr>
            <w:r>
              <w:rPr>
                <w:rFonts w:hint="default"/>
                <w:color w:val="auto"/>
                <w:highlight w:val="none"/>
                <w:lang w:val="en-US" w:eastAsia="zh-CN"/>
              </w:rPr>
              <w:t>提示图形符号</w:t>
            </w:r>
          </w:p>
        </w:tc>
        <w:tc>
          <w:tcPr>
            <w:tcW w:w="1116" w:type="pct"/>
            <w:tcBorders>
              <w:tl2br w:val="nil"/>
              <w:tr2bl w:val="nil"/>
            </w:tcBorders>
            <w:noWrap w:val="0"/>
            <w:vAlign w:val="center"/>
          </w:tcPr>
          <w:p w14:paraId="38EDB902">
            <w:pPr>
              <w:pStyle w:val="17"/>
              <w:bidi w:val="0"/>
              <w:rPr>
                <w:rFonts w:hint="default"/>
                <w:color w:val="auto"/>
                <w:highlight w:val="none"/>
                <w:lang w:val="en-US" w:eastAsia="zh-CN"/>
              </w:rPr>
            </w:pPr>
            <w:r>
              <w:rPr>
                <w:rFonts w:hint="default"/>
                <w:color w:val="auto"/>
                <w:highlight w:val="none"/>
                <w:lang w:val="en-US" w:eastAsia="zh-CN"/>
              </w:rPr>
              <w:t>警告图形符号</w:t>
            </w:r>
          </w:p>
        </w:tc>
        <w:tc>
          <w:tcPr>
            <w:tcW w:w="827" w:type="pct"/>
            <w:tcBorders>
              <w:tl2br w:val="nil"/>
              <w:tr2bl w:val="nil"/>
            </w:tcBorders>
            <w:noWrap w:val="0"/>
            <w:vAlign w:val="center"/>
          </w:tcPr>
          <w:p w14:paraId="1AAFB81A">
            <w:pPr>
              <w:pStyle w:val="17"/>
              <w:bidi w:val="0"/>
              <w:rPr>
                <w:rFonts w:hint="default"/>
                <w:color w:val="auto"/>
                <w:highlight w:val="none"/>
                <w:lang w:val="en-US" w:eastAsia="zh-CN"/>
              </w:rPr>
            </w:pPr>
            <w:r>
              <w:rPr>
                <w:rFonts w:hint="default"/>
                <w:color w:val="auto"/>
                <w:highlight w:val="none"/>
                <w:lang w:val="en-US" w:eastAsia="zh-CN"/>
              </w:rPr>
              <w:t>名称</w:t>
            </w:r>
          </w:p>
        </w:tc>
        <w:tc>
          <w:tcPr>
            <w:tcW w:w="1699" w:type="pct"/>
            <w:tcBorders>
              <w:tl2br w:val="nil"/>
              <w:tr2bl w:val="nil"/>
            </w:tcBorders>
            <w:noWrap w:val="0"/>
            <w:vAlign w:val="center"/>
          </w:tcPr>
          <w:p w14:paraId="7FD68590">
            <w:pPr>
              <w:pStyle w:val="17"/>
              <w:bidi w:val="0"/>
              <w:rPr>
                <w:rFonts w:hint="default"/>
                <w:color w:val="auto"/>
                <w:highlight w:val="none"/>
                <w:lang w:val="en-US" w:eastAsia="zh-CN"/>
              </w:rPr>
            </w:pPr>
            <w:r>
              <w:rPr>
                <w:rFonts w:hint="default"/>
                <w:color w:val="auto"/>
                <w:highlight w:val="none"/>
                <w:lang w:val="en-US" w:eastAsia="zh-CN"/>
              </w:rPr>
              <w:t>功能</w:t>
            </w:r>
          </w:p>
        </w:tc>
      </w:tr>
      <w:tr w14:paraId="6F2C7B2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432" w:hRule="atLeast"/>
          <w:jc w:val="center"/>
        </w:trPr>
        <w:tc>
          <w:tcPr>
            <w:tcW w:w="273" w:type="pct"/>
            <w:tcBorders>
              <w:tl2br w:val="nil"/>
              <w:tr2bl w:val="nil"/>
            </w:tcBorders>
            <w:noWrap w:val="0"/>
            <w:vAlign w:val="center"/>
          </w:tcPr>
          <w:p w14:paraId="231938C8">
            <w:pPr>
              <w:pStyle w:val="17"/>
              <w:bidi w:val="0"/>
              <w:rPr>
                <w:rFonts w:hint="default"/>
                <w:color w:val="auto"/>
                <w:highlight w:val="none"/>
                <w:lang w:val="en-US" w:eastAsia="zh-CN"/>
              </w:rPr>
            </w:pPr>
            <w:r>
              <w:rPr>
                <w:rFonts w:hint="default"/>
                <w:color w:val="auto"/>
                <w:highlight w:val="none"/>
                <w:lang w:val="en-US" w:eastAsia="zh-CN"/>
              </w:rPr>
              <w:t>1</w:t>
            </w:r>
          </w:p>
        </w:tc>
        <w:tc>
          <w:tcPr>
            <w:tcW w:w="1083" w:type="pct"/>
            <w:tcBorders>
              <w:tl2br w:val="nil"/>
              <w:tr2bl w:val="nil"/>
            </w:tcBorders>
            <w:noWrap w:val="0"/>
            <w:vAlign w:val="center"/>
          </w:tcPr>
          <w:p w14:paraId="7A95C585">
            <w:pPr>
              <w:pStyle w:val="17"/>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897255" cy="912495"/>
                  <wp:effectExtent l="0" t="0" r="17145" b="190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65"/>
                          <a:stretch>
                            <a:fillRect/>
                          </a:stretch>
                        </pic:blipFill>
                        <pic:spPr>
                          <a:xfrm>
                            <a:off x="0" y="0"/>
                            <a:ext cx="897255" cy="912495"/>
                          </a:xfrm>
                          <a:prstGeom prst="rect">
                            <a:avLst/>
                          </a:prstGeom>
                          <a:noFill/>
                          <a:ln>
                            <a:noFill/>
                          </a:ln>
                        </pic:spPr>
                      </pic:pic>
                    </a:graphicData>
                  </a:graphic>
                </wp:inline>
              </w:drawing>
            </w:r>
          </w:p>
        </w:tc>
        <w:tc>
          <w:tcPr>
            <w:tcW w:w="1116" w:type="pct"/>
            <w:tcBorders>
              <w:tl2br w:val="nil"/>
              <w:tr2bl w:val="nil"/>
            </w:tcBorders>
            <w:noWrap w:val="0"/>
            <w:vAlign w:val="center"/>
          </w:tcPr>
          <w:p w14:paraId="2B5C641B">
            <w:pPr>
              <w:pStyle w:val="17"/>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1035050" cy="877570"/>
                  <wp:effectExtent l="0" t="0" r="12700" b="1778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66"/>
                          <a:stretch>
                            <a:fillRect/>
                          </a:stretch>
                        </pic:blipFill>
                        <pic:spPr>
                          <a:xfrm>
                            <a:off x="0" y="0"/>
                            <a:ext cx="1035050" cy="877570"/>
                          </a:xfrm>
                          <a:prstGeom prst="rect">
                            <a:avLst/>
                          </a:prstGeom>
                          <a:noFill/>
                          <a:ln>
                            <a:noFill/>
                          </a:ln>
                        </pic:spPr>
                      </pic:pic>
                    </a:graphicData>
                  </a:graphic>
                </wp:inline>
              </w:drawing>
            </w:r>
          </w:p>
        </w:tc>
        <w:tc>
          <w:tcPr>
            <w:tcW w:w="827" w:type="pct"/>
            <w:tcBorders>
              <w:tl2br w:val="nil"/>
              <w:tr2bl w:val="nil"/>
            </w:tcBorders>
            <w:noWrap w:val="0"/>
            <w:vAlign w:val="center"/>
          </w:tcPr>
          <w:p w14:paraId="17D2A80B">
            <w:pPr>
              <w:pStyle w:val="17"/>
              <w:bidi w:val="0"/>
              <w:rPr>
                <w:rFonts w:hint="default"/>
                <w:color w:val="auto"/>
                <w:highlight w:val="none"/>
                <w:lang w:val="en-US" w:eastAsia="zh-CN"/>
              </w:rPr>
            </w:pPr>
            <w:r>
              <w:rPr>
                <w:rFonts w:hint="default"/>
                <w:color w:val="auto"/>
                <w:highlight w:val="none"/>
                <w:lang w:val="en-US" w:eastAsia="zh-CN"/>
              </w:rPr>
              <w:t>污水排放口</w:t>
            </w:r>
          </w:p>
        </w:tc>
        <w:tc>
          <w:tcPr>
            <w:tcW w:w="1699" w:type="pct"/>
            <w:tcBorders>
              <w:tl2br w:val="nil"/>
              <w:tr2bl w:val="nil"/>
            </w:tcBorders>
            <w:noWrap w:val="0"/>
            <w:vAlign w:val="center"/>
          </w:tcPr>
          <w:p w14:paraId="4911D299">
            <w:pPr>
              <w:pStyle w:val="17"/>
              <w:bidi w:val="0"/>
              <w:rPr>
                <w:rFonts w:hint="default"/>
                <w:color w:val="auto"/>
                <w:highlight w:val="none"/>
                <w:lang w:val="en-US" w:eastAsia="zh-CN"/>
              </w:rPr>
            </w:pPr>
            <w:r>
              <w:rPr>
                <w:rFonts w:hint="default"/>
                <w:color w:val="auto"/>
                <w:highlight w:val="none"/>
                <w:lang w:val="en-US" w:eastAsia="zh-CN"/>
              </w:rPr>
              <w:t>表示污水向外环境排放</w:t>
            </w:r>
          </w:p>
        </w:tc>
      </w:tr>
      <w:tr w14:paraId="569AB03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573" w:hRule="atLeast"/>
          <w:jc w:val="center"/>
        </w:trPr>
        <w:tc>
          <w:tcPr>
            <w:tcW w:w="273" w:type="pct"/>
            <w:tcBorders>
              <w:tl2br w:val="nil"/>
              <w:tr2bl w:val="nil"/>
            </w:tcBorders>
            <w:noWrap w:val="0"/>
            <w:vAlign w:val="center"/>
          </w:tcPr>
          <w:p w14:paraId="66927EE0">
            <w:pPr>
              <w:pStyle w:val="17"/>
              <w:bidi w:val="0"/>
              <w:rPr>
                <w:rFonts w:hint="default"/>
                <w:color w:val="auto"/>
                <w:highlight w:val="none"/>
                <w:lang w:val="en-US" w:eastAsia="zh-CN"/>
              </w:rPr>
            </w:pPr>
            <w:r>
              <w:rPr>
                <w:rFonts w:hint="default"/>
                <w:color w:val="auto"/>
                <w:highlight w:val="none"/>
                <w:lang w:val="en-US" w:eastAsia="zh-CN"/>
              </w:rPr>
              <w:t>2</w:t>
            </w:r>
          </w:p>
        </w:tc>
        <w:tc>
          <w:tcPr>
            <w:tcW w:w="1083" w:type="pct"/>
            <w:tcBorders>
              <w:tl2br w:val="nil"/>
              <w:tr2bl w:val="nil"/>
            </w:tcBorders>
            <w:noWrap w:val="0"/>
            <w:vAlign w:val="center"/>
          </w:tcPr>
          <w:p w14:paraId="001A3DB1">
            <w:pPr>
              <w:pStyle w:val="17"/>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1006475" cy="1005840"/>
                  <wp:effectExtent l="0" t="0" r="3175" b="381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67"/>
                          <a:stretch>
                            <a:fillRect/>
                          </a:stretch>
                        </pic:blipFill>
                        <pic:spPr>
                          <a:xfrm>
                            <a:off x="0" y="0"/>
                            <a:ext cx="1006475" cy="1005840"/>
                          </a:xfrm>
                          <a:prstGeom prst="rect">
                            <a:avLst/>
                          </a:prstGeom>
                          <a:noFill/>
                          <a:ln>
                            <a:noFill/>
                          </a:ln>
                        </pic:spPr>
                      </pic:pic>
                    </a:graphicData>
                  </a:graphic>
                </wp:inline>
              </w:drawing>
            </w:r>
          </w:p>
        </w:tc>
        <w:tc>
          <w:tcPr>
            <w:tcW w:w="1116" w:type="pct"/>
            <w:tcBorders>
              <w:tl2br w:val="nil"/>
              <w:tr2bl w:val="nil"/>
            </w:tcBorders>
            <w:noWrap w:val="0"/>
            <w:vAlign w:val="center"/>
          </w:tcPr>
          <w:p w14:paraId="1732FD00">
            <w:pPr>
              <w:pStyle w:val="17"/>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1008380" cy="817880"/>
                  <wp:effectExtent l="0" t="0" r="1270" b="127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68"/>
                          <a:stretch>
                            <a:fillRect/>
                          </a:stretch>
                        </pic:blipFill>
                        <pic:spPr>
                          <a:xfrm>
                            <a:off x="0" y="0"/>
                            <a:ext cx="1008380" cy="817880"/>
                          </a:xfrm>
                          <a:prstGeom prst="rect">
                            <a:avLst/>
                          </a:prstGeom>
                          <a:noFill/>
                          <a:ln>
                            <a:noFill/>
                          </a:ln>
                        </pic:spPr>
                      </pic:pic>
                    </a:graphicData>
                  </a:graphic>
                </wp:inline>
              </w:drawing>
            </w:r>
          </w:p>
        </w:tc>
        <w:tc>
          <w:tcPr>
            <w:tcW w:w="827" w:type="pct"/>
            <w:tcBorders>
              <w:tl2br w:val="nil"/>
              <w:tr2bl w:val="nil"/>
            </w:tcBorders>
            <w:noWrap w:val="0"/>
            <w:vAlign w:val="center"/>
          </w:tcPr>
          <w:p w14:paraId="33D46697">
            <w:pPr>
              <w:pStyle w:val="17"/>
              <w:bidi w:val="0"/>
              <w:rPr>
                <w:rFonts w:hint="default"/>
                <w:color w:val="auto"/>
                <w:highlight w:val="none"/>
                <w:lang w:val="en-US" w:eastAsia="zh-CN"/>
              </w:rPr>
            </w:pPr>
            <w:r>
              <w:rPr>
                <w:rFonts w:hint="default"/>
                <w:color w:val="auto"/>
                <w:highlight w:val="none"/>
                <w:lang w:val="en-US" w:eastAsia="zh-CN"/>
              </w:rPr>
              <w:t>一般固体废物</w:t>
            </w:r>
          </w:p>
        </w:tc>
        <w:tc>
          <w:tcPr>
            <w:tcW w:w="1699" w:type="pct"/>
            <w:tcBorders>
              <w:tl2br w:val="nil"/>
              <w:tr2bl w:val="nil"/>
            </w:tcBorders>
            <w:noWrap w:val="0"/>
            <w:vAlign w:val="center"/>
          </w:tcPr>
          <w:p w14:paraId="74943908">
            <w:pPr>
              <w:pStyle w:val="17"/>
              <w:bidi w:val="0"/>
              <w:rPr>
                <w:rFonts w:hint="default"/>
                <w:color w:val="auto"/>
                <w:highlight w:val="none"/>
                <w:lang w:val="en-US" w:eastAsia="zh-CN"/>
              </w:rPr>
            </w:pPr>
            <w:r>
              <w:rPr>
                <w:rFonts w:hint="default"/>
                <w:color w:val="auto"/>
                <w:highlight w:val="none"/>
                <w:lang w:val="en-US" w:eastAsia="zh-CN"/>
              </w:rPr>
              <w:t>表示一般固体废物贮存、处置场</w:t>
            </w:r>
          </w:p>
        </w:tc>
      </w:tr>
      <w:tr w14:paraId="4AE147A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426" w:hRule="atLeast"/>
          <w:jc w:val="center"/>
        </w:trPr>
        <w:tc>
          <w:tcPr>
            <w:tcW w:w="273" w:type="pct"/>
            <w:tcBorders>
              <w:tl2br w:val="nil"/>
              <w:tr2bl w:val="nil"/>
            </w:tcBorders>
            <w:noWrap w:val="0"/>
            <w:vAlign w:val="center"/>
          </w:tcPr>
          <w:p w14:paraId="1BBB2BDA">
            <w:pPr>
              <w:pStyle w:val="17"/>
              <w:bidi w:val="0"/>
              <w:rPr>
                <w:rFonts w:hint="default"/>
                <w:color w:val="auto"/>
                <w:highlight w:val="none"/>
                <w:lang w:val="en-US" w:eastAsia="zh-CN"/>
              </w:rPr>
            </w:pPr>
            <w:r>
              <w:rPr>
                <w:rFonts w:hint="default"/>
                <w:color w:val="auto"/>
                <w:highlight w:val="none"/>
                <w:lang w:val="en-US" w:eastAsia="zh-CN"/>
              </w:rPr>
              <w:t>3</w:t>
            </w:r>
          </w:p>
        </w:tc>
        <w:tc>
          <w:tcPr>
            <w:tcW w:w="1083" w:type="pct"/>
            <w:tcBorders>
              <w:tl2br w:val="nil"/>
              <w:tr2bl w:val="nil"/>
            </w:tcBorders>
            <w:noWrap w:val="0"/>
            <w:vAlign w:val="center"/>
          </w:tcPr>
          <w:p w14:paraId="2248FAB2">
            <w:pPr>
              <w:pStyle w:val="17"/>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1005840" cy="914400"/>
                  <wp:effectExtent l="0" t="0" r="3810" b="0"/>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69"/>
                          <a:stretch>
                            <a:fillRect/>
                          </a:stretch>
                        </pic:blipFill>
                        <pic:spPr>
                          <a:xfrm>
                            <a:off x="0" y="0"/>
                            <a:ext cx="1005840" cy="914400"/>
                          </a:xfrm>
                          <a:prstGeom prst="rect">
                            <a:avLst/>
                          </a:prstGeom>
                          <a:noFill/>
                          <a:ln>
                            <a:noFill/>
                          </a:ln>
                        </pic:spPr>
                      </pic:pic>
                    </a:graphicData>
                  </a:graphic>
                </wp:inline>
              </w:drawing>
            </w:r>
          </w:p>
        </w:tc>
        <w:tc>
          <w:tcPr>
            <w:tcW w:w="1116" w:type="pct"/>
            <w:tcBorders>
              <w:tl2br w:val="nil"/>
              <w:tr2bl w:val="nil"/>
            </w:tcBorders>
            <w:noWrap w:val="0"/>
            <w:vAlign w:val="center"/>
          </w:tcPr>
          <w:p w14:paraId="653AACB3">
            <w:pPr>
              <w:pStyle w:val="17"/>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1003935" cy="821690"/>
                  <wp:effectExtent l="0" t="0" r="5715" b="1651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70"/>
                          <a:stretch>
                            <a:fillRect/>
                          </a:stretch>
                        </pic:blipFill>
                        <pic:spPr>
                          <a:xfrm>
                            <a:off x="0" y="0"/>
                            <a:ext cx="1003935" cy="821690"/>
                          </a:xfrm>
                          <a:prstGeom prst="rect">
                            <a:avLst/>
                          </a:prstGeom>
                          <a:noFill/>
                          <a:ln>
                            <a:noFill/>
                          </a:ln>
                        </pic:spPr>
                      </pic:pic>
                    </a:graphicData>
                  </a:graphic>
                </wp:inline>
              </w:drawing>
            </w:r>
          </w:p>
        </w:tc>
        <w:tc>
          <w:tcPr>
            <w:tcW w:w="827" w:type="pct"/>
            <w:tcBorders>
              <w:tl2br w:val="nil"/>
              <w:tr2bl w:val="nil"/>
            </w:tcBorders>
            <w:noWrap w:val="0"/>
            <w:vAlign w:val="center"/>
          </w:tcPr>
          <w:p w14:paraId="08CC48E7">
            <w:pPr>
              <w:pStyle w:val="17"/>
              <w:bidi w:val="0"/>
              <w:rPr>
                <w:rFonts w:hint="default"/>
                <w:color w:val="auto"/>
                <w:highlight w:val="none"/>
                <w:lang w:val="en-US" w:eastAsia="zh-CN"/>
              </w:rPr>
            </w:pPr>
            <w:r>
              <w:rPr>
                <w:rFonts w:hint="default"/>
                <w:color w:val="auto"/>
                <w:highlight w:val="none"/>
                <w:lang w:val="en-US" w:eastAsia="zh-CN"/>
              </w:rPr>
              <w:t>噪声源</w:t>
            </w:r>
          </w:p>
        </w:tc>
        <w:tc>
          <w:tcPr>
            <w:tcW w:w="1699" w:type="pct"/>
            <w:tcBorders>
              <w:tl2br w:val="nil"/>
              <w:tr2bl w:val="nil"/>
            </w:tcBorders>
            <w:noWrap w:val="0"/>
            <w:vAlign w:val="center"/>
          </w:tcPr>
          <w:p w14:paraId="52B40027">
            <w:pPr>
              <w:pStyle w:val="17"/>
              <w:bidi w:val="0"/>
              <w:rPr>
                <w:rFonts w:hint="default"/>
                <w:color w:val="auto"/>
                <w:highlight w:val="none"/>
                <w:lang w:val="en-US" w:eastAsia="zh-CN"/>
              </w:rPr>
            </w:pPr>
            <w:r>
              <w:rPr>
                <w:rFonts w:hint="default"/>
                <w:color w:val="auto"/>
                <w:highlight w:val="none"/>
                <w:lang w:val="en-US" w:eastAsia="zh-CN"/>
              </w:rPr>
              <w:t>表示噪声向外环境排放</w:t>
            </w:r>
          </w:p>
        </w:tc>
      </w:tr>
      <w:tr w14:paraId="4D101A5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868" w:hRule="atLeast"/>
          <w:jc w:val="center"/>
        </w:trPr>
        <w:tc>
          <w:tcPr>
            <w:tcW w:w="273" w:type="pct"/>
            <w:tcBorders>
              <w:tl2br w:val="nil"/>
              <w:tr2bl w:val="nil"/>
            </w:tcBorders>
            <w:noWrap w:val="0"/>
            <w:vAlign w:val="center"/>
          </w:tcPr>
          <w:p w14:paraId="46C1E744">
            <w:pPr>
              <w:pStyle w:val="17"/>
              <w:bidi w:val="0"/>
              <w:rPr>
                <w:rFonts w:hint="default"/>
                <w:color w:val="auto"/>
                <w:highlight w:val="none"/>
                <w:lang w:val="en-US" w:eastAsia="zh-CN"/>
              </w:rPr>
            </w:pPr>
            <w:r>
              <w:rPr>
                <w:rFonts w:hint="default"/>
                <w:color w:val="auto"/>
                <w:highlight w:val="none"/>
                <w:lang w:val="en-US" w:eastAsia="zh-CN"/>
              </w:rPr>
              <w:t>4</w:t>
            </w:r>
          </w:p>
        </w:tc>
        <w:tc>
          <w:tcPr>
            <w:tcW w:w="1083" w:type="pct"/>
            <w:tcBorders>
              <w:tl2br w:val="nil"/>
              <w:tr2bl w:val="nil"/>
            </w:tcBorders>
            <w:noWrap w:val="0"/>
            <w:vAlign w:val="center"/>
          </w:tcPr>
          <w:p w14:paraId="31047045">
            <w:pPr>
              <w:pStyle w:val="17"/>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962025" cy="1200150"/>
                  <wp:effectExtent l="0" t="0" r="9525" b="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71"/>
                          <a:stretch>
                            <a:fillRect/>
                          </a:stretch>
                        </pic:blipFill>
                        <pic:spPr>
                          <a:xfrm>
                            <a:off x="0" y="0"/>
                            <a:ext cx="962025" cy="1200150"/>
                          </a:xfrm>
                          <a:prstGeom prst="rect">
                            <a:avLst/>
                          </a:prstGeom>
                          <a:noFill/>
                          <a:ln>
                            <a:noFill/>
                          </a:ln>
                        </pic:spPr>
                      </pic:pic>
                    </a:graphicData>
                  </a:graphic>
                </wp:inline>
              </w:drawing>
            </w:r>
          </w:p>
        </w:tc>
        <w:tc>
          <w:tcPr>
            <w:tcW w:w="1116" w:type="pct"/>
            <w:tcBorders>
              <w:tl2br w:val="nil"/>
              <w:tr2bl w:val="nil"/>
            </w:tcBorders>
            <w:noWrap w:val="0"/>
            <w:vAlign w:val="center"/>
          </w:tcPr>
          <w:p w14:paraId="361BDE1E">
            <w:pPr>
              <w:pStyle w:val="17"/>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1019175" cy="1171575"/>
                  <wp:effectExtent l="0" t="0" r="9525" b="9525"/>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72"/>
                          <a:stretch>
                            <a:fillRect/>
                          </a:stretch>
                        </pic:blipFill>
                        <pic:spPr>
                          <a:xfrm>
                            <a:off x="0" y="0"/>
                            <a:ext cx="1019175" cy="1171575"/>
                          </a:xfrm>
                          <a:prstGeom prst="rect">
                            <a:avLst/>
                          </a:prstGeom>
                          <a:noFill/>
                          <a:ln>
                            <a:noFill/>
                          </a:ln>
                        </pic:spPr>
                      </pic:pic>
                    </a:graphicData>
                  </a:graphic>
                </wp:inline>
              </w:drawing>
            </w:r>
          </w:p>
        </w:tc>
        <w:tc>
          <w:tcPr>
            <w:tcW w:w="827" w:type="pct"/>
            <w:tcBorders>
              <w:tl2br w:val="nil"/>
              <w:tr2bl w:val="nil"/>
            </w:tcBorders>
            <w:noWrap w:val="0"/>
            <w:vAlign w:val="center"/>
          </w:tcPr>
          <w:p w14:paraId="4F6A4E50">
            <w:pPr>
              <w:pStyle w:val="17"/>
              <w:bidi w:val="0"/>
              <w:rPr>
                <w:rFonts w:hint="default"/>
                <w:color w:val="auto"/>
                <w:highlight w:val="none"/>
                <w:lang w:val="en-US" w:eastAsia="zh-CN"/>
              </w:rPr>
            </w:pPr>
            <w:r>
              <w:rPr>
                <w:rFonts w:hint="default"/>
                <w:color w:val="auto"/>
                <w:highlight w:val="none"/>
                <w:lang w:val="en-US" w:eastAsia="zh-CN"/>
              </w:rPr>
              <w:t>废气排放口</w:t>
            </w:r>
          </w:p>
        </w:tc>
        <w:tc>
          <w:tcPr>
            <w:tcW w:w="1699" w:type="pct"/>
            <w:tcBorders>
              <w:tl2br w:val="nil"/>
              <w:tr2bl w:val="nil"/>
            </w:tcBorders>
            <w:noWrap w:val="0"/>
            <w:vAlign w:val="center"/>
          </w:tcPr>
          <w:p w14:paraId="616E1F34">
            <w:pPr>
              <w:pStyle w:val="17"/>
              <w:bidi w:val="0"/>
              <w:rPr>
                <w:rFonts w:hint="default"/>
                <w:color w:val="auto"/>
                <w:highlight w:val="none"/>
                <w:lang w:val="en-US" w:eastAsia="zh-CN"/>
              </w:rPr>
            </w:pPr>
            <w:r>
              <w:rPr>
                <w:rFonts w:hint="default"/>
                <w:color w:val="auto"/>
                <w:highlight w:val="none"/>
                <w:lang w:val="en-US" w:eastAsia="zh-CN"/>
              </w:rPr>
              <w:t>表示废气向外环境排放</w:t>
            </w:r>
          </w:p>
        </w:tc>
      </w:tr>
      <w:tr w14:paraId="7DA7132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632" w:hRule="atLeast"/>
          <w:jc w:val="center"/>
        </w:trPr>
        <w:tc>
          <w:tcPr>
            <w:tcW w:w="273" w:type="pct"/>
            <w:tcBorders>
              <w:tl2br w:val="nil"/>
              <w:tr2bl w:val="nil"/>
            </w:tcBorders>
            <w:noWrap w:val="0"/>
            <w:vAlign w:val="center"/>
          </w:tcPr>
          <w:p w14:paraId="163A0AC1">
            <w:pPr>
              <w:pStyle w:val="17"/>
              <w:bidi w:val="0"/>
              <w:rPr>
                <w:rFonts w:hint="default"/>
                <w:color w:val="auto"/>
                <w:highlight w:val="none"/>
                <w:lang w:val="en-US" w:eastAsia="zh-CN"/>
              </w:rPr>
            </w:pPr>
            <w:r>
              <w:rPr>
                <w:rFonts w:hint="default"/>
                <w:color w:val="auto"/>
                <w:highlight w:val="none"/>
                <w:lang w:val="en-US" w:eastAsia="zh-CN"/>
              </w:rPr>
              <w:t>5</w:t>
            </w:r>
          </w:p>
        </w:tc>
        <w:tc>
          <w:tcPr>
            <w:tcW w:w="2199" w:type="pct"/>
            <w:gridSpan w:val="2"/>
            <w:tcBorders>
              <w:tl2br w:val="nil"/>
              <w:tr2bl w:val="nil"/>
            </w:tcBorders>
            <w:noWrap w:val="0"/>
            <w:vAlign w:val="center"/>
          </w:tcPr>
          <w:p w14:paraId="7226739F">
            <w:pPr>
              <w:pStyle w:val="17"/>
              <w:bidi w:val="0"/>
              <w:jc w:val="center"/>
              <w:rPr>
                <w:rFonts w:hint="default"/>
                <w:color w:val="auto"/>
                <w:highlight w:val="none"/>
                <w:lang w:val="en-US" w:eastAsia="zh-CN"/>
              </w:rPr>
            </w:pPr>
            <w:r>
              <w:rPr>
                <w:rFonts w:hint="default"/>
                <w:color w:val="auto"/>
                <w:highlight w:val="none"/>
                <w:lang w:val="en-US" w:eastAsia="zh-CN"/>
              </w:rPr>
              <w:drawing>
                <wp:inline distT="0" distB="0" distL="114300" distR="114300">
                  <wp:extent cx="1701800" cy="1088390"/>
                  <wp:effectExtent l="0" t="0" r="12700" b="16510"/>
                  <wp:docPr id="28" name="图片 136" descr="1682660754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6" descr="1682660754571"/>
                          <pic:cNvPicPr>
                            <a:picLocks noChangeAspect="1"/>
                          </pic:cNvPicPr>
                        </pic:nvPicPr>
                        <pic:blipFill>
                          <a:blip r:embed="rId73"/>
                          <a:stretch>
                            <a:fillRect/>
                          </a:stretch>
                        </pic:blipFill>
                        <pic:spPr>
                          <a:xfrm>
                            <a:off x="0" y="0"/>
                            <a:ext cx="1701800" cy="1088390"/>
                          </a:xfrm>
                          <a:prstGeom prst="rect">
                            <a:avLst/>
                          </a:prstGeom>
                          <a:noFill/>
                          <a:ln>
                            <a:noFill/>
                          </a:ln>
                        </pic:spPr>
                      </pic:pic>
                    </a:graphicData>
                  </a:graphic>
                </wp:inline>
              </w:drawing>
            </w:r>
          </w:p>
        </w:tc>
        <w:tc>
          <w:tcPr>
            <w:tcW w:w="827" w:type="pct"/>
            <w:tcBorders>
              <w:tl2br w:val="nil"/>
              <w:tr2bl w:val="nil"/>
            </w:tcBorders>
            <w:noWrap w:val="0"/>
            <w:vAlign w:val="center"/>
          </w:tcPr>
          <w:p w14:paraId="115B78FD">
            <w:pPr>
              <w:pStyle w:val="17"/>
              <w:bidi w:val="0"/>
              <w:rPr>
                <w:rFonts w:hint="default"/>
                <w:color w:val="auto"/>
                <w:highlight w:val="none"/>
                <w:lang w:val="en-US" w:eastAsia="zh-CN"/>
              </w:rPr>
            </w:pPr>
            <w:r>
              <w:rPr>
                <w:rFonts w:hint="default"/>
                <w:color w:val="auto"/>
                <w:highlight w:val="none"/>
                <w:lang w:val="en-US" w:eastAsia="zh-CN"/>
              </w:rPr>
              <w:t>危废</w:t>
            </w:r>
            <w:r>
              <w:rPr>
                <w:rFonts w:hint="eastAsia"/>
                <w:color w:val="auto"/>
                <w:highlight w:val="none"/>
                <w:lang w:val="en-US" w:eastAsia="zh-CN"/>
              </w:rPr>
              <w:t>贮存设施</w:t>
            </w:r>
          </w:p>
        </w:tc>
        <w:tc>
          <w:tcPr>
            <w:tcW w:w="1699" w:type="pct"/>
            <w:tcBorders>
              <w:tl2br w:val="nil"/>
              <w:tr2bl w:val="nil"/>
            </w:tcBorders>
            <w:noWrap w:val="0"/>
            <w:vAlign w:val="center"/>
          </w:tcPr>
          <w:p w14:paraId="1249BF56">
            <w:pPr>
              <w:pStyle w:val="17"/>
              <w:bidi w:val="0"/>
              <w:rPr>
                <w:rFonts w:hint="default"/>
                <w:color w:val="auto"/>
                <w:highlight w:val="none"/>
                <w:lang w:val="en-US" w:eastAsia="zh-CN"/>
              </w:rPr>
            </w:pPr>
            <w:r>
              <w:rPr>
                <w:rFonts w:hint="default"/>
                <w:color w:val="auto"/>
                <w:highlight w:val="none"/>
                <w:lang w:val="en-US" w:eastAsia="zh-CN"/>
              </w:rPr>
              <w:t>表示危险废物贮存、处置场</w:t>
            </w:r>
          </w:p>
        </w:tc>
      </w:tr>
    </w:tbl>
    <w:p w14:paraId="030CF5BF">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rPr>
        <w:t>8.1.</w:t>
      </w:r>
      <w:r>
        <w:rPr>
          <w:rFonts w:hint="eastAsia" w:cs="Times New Roman"/>
          <w:color w:val="auto"/>
          <w:highlight w:val="none"/>
          <w:lang w:val="en-US" w:eastAsia="zh-CN"/>
        </w:rPr>
        <w:t>6</w:t>
      </w:r>
      <w:r>
        <w:rPr>
          <w:rFonts w:hint="default" w:ascii="Times New Roman" w:hAnsi="Times New Roman" w:cs="Times New Roman"/>
          <w:color w:val="auto"/>
          <w:highlight w:val="none"/>
        </w:rPr>
        <w:t>排污许可证制度</w:t>
      </w:r>
      <w:bookmarkEnd w:id="985"/>
      <w:bookmarkEnd w:id="986"/>
      <w:bookmarkEnd w:id="987"/>
    </w:p>
    <w:p w14:paraId="66F1F9F2">
      <w:pPr>
        <w:bidi w:val="0"/>
        <w:rPr>
          <w:rFonts w:hint="default"/>
          <w:color w:val="auto"/>
          <w:highlight w:val="none"/>
          <w:lang w:val="en-US" w:eastAsia="zh-CN"/>
        </w:rPr>
      </w:pPr>
      <w:r>
        <w:rPr>
          <w:rFonts w:hint="default"/>
          <w:color w:val="auto"/>
          <w:highlight w:val="none"/>
          <w:lang w:val="en-US" w:eastAsia="zh-CN"/>
        </w:rPr>
        <w:t>根据《新疆维吾尔自治区排污许可证管理暂行办法》要求，排污单位应当依法持有排污许可证，并按照排污许可证的规定排放污染物。</w:t>
      </w:r>
    </w:p>
    <w:p w14:paraId="71BE10CC">
      <w:pPr>
        <w:bidi w:val="0"/>
        <w:rPr>
          <w:rFonts w:hint="default"/>
          <w:color w:val="auto"/>
          <w:highlight w:val="none"/>
          <w:lang w:val="en-US" w:eastAsia="zh-CN"/>
        </w:rPr>
      </w:pPr>
      <w:r>
        <w:rPr>
          <w:rFonts w:hint="default"/>
          <w:color w:val="auto"/>
          <w:highlight w:val="none"/>
          <w:lang w:val="en-US" w:eastAsia="zh-CN"/>
        </w:rPr>
        <w:t>根据《固定污染源排污许可分类管理名录（2019年版）》（生态环境部令第11号，2019年12月20日），本项目为</w:t>
      </w:r>
      <w:r>
        <w:rPr>
          <w:rFonts w:hint="eastAsia"/>
          <w:color w:val="auto"/>
          <w:highlight w:val="none"/>
          <w:lang w:val="en-US" w:eastAsia="zh-CN"/>
        </w:rPr>
        <w:t>“六、非金属矿采选业 10”</w:t>
      </w:r>
      <w:r>
        <w:rPr>
          <w:rFonts w:hint="default"/>
          <w:color w:val="auto"/>
          <w:highlight w:val="none"/>
          <w:lang w:val="en-US" w:eastAsia="zh-CN"/>
        </w:rPr>
        <w:t>中</w:t>
      </w:r>
      <w:r>
        <w:rPr>
          <w:rFonts w:hint="eastAsia"/>
          <w:color w:val="auto"/>
          <w:highlight w:val="none"/>
          <w:lang w:val="en-US" w:eastAsia="zh-CN"/>
        </w:rPr>
        <w:t>“石棉及其他非金属矿采选 109 -其他”</w:t>
      </w:r>
      <w:r>
        <w:rPr>
          <w:rFonts w:hint="default"/>
          <w:color w:val="auto"/>
          <w:highlight w:val="none"/>
          <w:lang w:val="en-US" w:eastAsia="zh-CN"/>
        </w:rPr>
        <w:t>，属于</w:t>
      </w:r>
      <w:r>
        <w:rPr>
          <w:rFonts w:hint="eastAsia"/>
          <w:color w:val="auto"/>
          <w:highlight w:val="none"/>
          <w:lang w:val="en-US" w:eastAsia="zh-CN"/>
        </w:rPr>
        <w:t>登记</w:t>
      </w:r>
      <w:r>
        <w:rPr>
          <w:rFonts w:hint="default"/>
          <w:color w:val="auto"/>
          <w:highlight w:val="none"/>
          <w:lang w:val="en-US" w:eastAsia="zh-CN"/>
        </w:rPr>
        <w:t>管理类。本项目在取得环评批复后，在启动生产设施或者发生实际排污之前须在全国排污许可证管理信息平台</w:t>
      </w:r>
      <w:r>
        <w:rPr>
          <w:rFonts w:hint="eastAsia"/>
          <w:color w:val="auto"/>
          <w:highlight w:val="none"/>
          <w:lang w:val="en-US" w:eastAsia="zh-CN"/>
        </w:rPr>
        <w:t>变更</w:t>
      </w:r>
      <w:r>
        <w:rPr>
          <w:rFonts w:hint="default"/>
          <w:color w:val="auto"/>
          <w:highlight w:val="none"/>
          <w:lang w:val="en-US" w:eastAsia="zh-CN"/>
        </w:rPr>
        <w:t>排污许可证，</w:t>
      </w:r>
      <w:r>
        <w:rPr>
          <w:rFonts w:hint="eastAsia"/>
          <w:color w:val="auto"/>
          <w:highlight w:val="none"/>
          <w:lang w:val="en-US" w:eastAsia="zh-CN"/>
        </w:rPr>
        <w:t>变更完成</w:t>
      </w:r>
      <w:r>
        <w:rPr>
          <w:rFonts w:hint="default"/>
          <w:color w:val="auto"/>
          <w:highlight w:val="none"/>
          <w:lang w:val="en-US" w:eastAsia="zh-CN"/>
        </w:rPr>
        <w:t>排污许可证后方能正式投入生产，严禁无证排污。</w:t>
      </w:r>
    </w:p>
    <w:p w14:paraId="129CED85">
      <w:pPr>
        <w:pStyle w:val="6"/>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8.1.</w:t>
      </w:r>
      <w:r>
        <w:rPr>
          <w:rFonts w:hint="eastAsia" w:cs="Times New Roman"/>
          <w:color w:val="auto"/>
          <w:highlight w:val="none"/>
          <w:lang w:val="en-US" w:eastAsia="zh-CN"/>
        </w:rPr>
        <w:t>7</w:t>
      </w:r>
      <w:r>
        <w:rPr>
          <w:rFonts w:hint="default" w:ascii="Times New Roman" w:hAnsi="Times New Roman" w:cs="Times New Roman"/>
          <w:color w:val="auto"/>
          <w:highlight w:val="none"/>
          <w:lang w:val="en-US" w:eastAsia="zh-CN"/>
        </w:rPr>
        <w:t>环境信息披露</w:t>
      </w:r>
    </w:p>
    <w:bookmarkEnd w:id="988"/>
    <w:bookmarkEnd w:id="989"/>
    <w:bookmarkEnd w:id="990"/>
    <w:bookmarkEnd w:id="991"/>
    <w:bookmarkEnd w:id="992"/>
    <w:p w14:paraId="4D10A9C7">
      <w:pPr>
        <w:bidi w:val="0"/>
        <w:rPr>
          <w:rFonts w:hint="eastAsia"/>
          <w:color w:val="auto"/>
          <w:highlight w:val="none"/>
          <w:lang w:val="en-US" w:eastAsia="zh-CN"/>
        </w:rPr>
      </w:pPr>
      <w:bookmarkStart w:id="998" w:name="_Toc2036"/>
      <w:bookmarkStart w:id="999" w:name="_Toc29524"/>
      <w:bookmarkStart w:id="1000" w:name="_Toc483589669"/>
      <w:bookmarkStart w:id="1001" w:name="_Toc31539"/>
      <w:bookmarkStart w:id="1002" w:name="_Toc107414679"/>
      <w:bookmarkStart w:id="1003" w:name="_Toc22196"/>
      <w:bookmarkStart w:id="1004" w:name="_Toc107413912"/>
      <w:bookmarkStart w:id="1005" w:name="_Toc8157"/>
      <w:bookmarkStart w:id="1006" w:name="_Toc13805"/>
      <w:bookmarkStart w:id="1007" w:name="_Toc23506"/>
      <w:r>
        <w:rPr>
          <w:rFonts w:hint="default"/>
          <w:color w:val="auto"/>
          <w:highlight w:val="none"/>
          <w:lang w:val="en-US" w:eastAsia="zh-CN"/>
        </w:rPr>
        <w:t>根据《</w:t>
      </w:r>
      <w:r>
        <w:rPr>
          <w:rFonts w:hint="eastAsia"/>
          <w:color w:val="auto"/>
          <w:highlight w:val="none"/>
          <w:lang w:val="en-US" w:eastAsia="zh-CN"/>
        </w:rPr>
        <w:t>企业环境信息依法披露管理办法</w:t>
      </w:r>
      <w:r>
        <w:rPr>
          <w:rFonts w:hint="default"/>
          <w:color w:val="auto"/>
          <w:highlight w:val="none"/>
          <w:lang w:val="en-US" w:eastAsia="zh-CN"/>
        </w:rPr>
        <w:t>》（环境保护部第</w:t>
      </w:r>
      <w:r>
        <w:rPr>
          <w:rFonts w:hint="eastAsia"/>
          <w:color w:val="auto"/>
          <w:highlight w:val="none"/>
          <w:lang w:val="en-US" w:eastAsia="zh-CN"/>
        </w:rPr>
        <w:t>24</w:t>
      </w:r>
      <w:r>
        <w:rPr>
          <w:rFonts w:hint="default"/>
          <w:color w:val="auto"/>
          <w:highlight w:val="none"/>
          <w:lang w:val="en-US" w:eastAsia="zh-CN"/>
        </w:rPr>
        <w:t>号令）</w:t>
      </w:r>
      <w:r>
        <w:rPr>
          <w:rFonts w:hint="eastAsia"/>
          <w:color w:val="auto"/>
          <w:highlight w:val="none"/>
          <w:lang w:val="en-US" w:eastAsia="zh-CN"/>
        </w:rPr>
        <w:t>。</w:t>
      </w:r>
    </w:p>
    <w:p w14:paraId="2E8DDA10">
      <w:pPr>
        <w:bidi w:val="0"/>
        <w:rPr>
          <w:rFonts w:hint="default"/>
          <w:color w:val="auto"/>
          <w:highlight w:val="none"/>
          <w:lang w:val="en-US" w:eastAsia="zh-CN"/>
        </w:rPr>
      </w:pPr>
      <w:r>
        <w:rPr>
          <w:rFonts w:hint="default"/>
          <w:color w:val="auto"/>
          <w:highlight w:val="none"/>
          <w:lang w:val="en-US" w:eastAsia="zh-CN"/>
        </w:rPr>
        <w:t>生态环境部负责制定企业环境信息依法披露格式准则</w:t>
      </w:r>
      <w:r>
        <w:rPr>
          <w:rFonts w:hint="eastAsia"/>
          <w:color w:val="auto"/>
          <w:highlight w:val="none"/>
          <w:lang w:val="en-US" w:eastAsia="zh-CN"/>
        </w:rPr>
        <w:t>（</w:t>
      </w:r>
      <w:r>
        <w:rPr>
          <w:rFonts w:hint="default"/>
          <w:color w:val="auto"/>
          <w:highlight w:val="none"/>
          <w:lang w:val="en-US" w:eastAsia="zh-CN"/>
        </w:rPr>
        <w:t>以下简称准则</w:t>
      </w:r>
      <w:r>
        <w:rPr>
          <w:rFonts w:hint="eastAsia"/>
          <w:color w:val="auto"/>
          <w:highlight w:val="none"/>
          <w:lang w:val="en-US" w:eastAsia="zh-CN"/>
        </w:rPr>
        <w:t>）</w:t>
      </w:r>
      <w:r>
        <w:rPr>
          <w:rFonts w:hint="default"/>
          <w:color w:val="auto"/>
          <w:highlight w:val="none"/>
          <w:lang w:val="en-US" w:eastAsia="zh-CN"/>
        </w:rPr>
        <w:t>，并根据生态环境管理需要适时进行调整。</w:t>
      </w:r>
    </w:p>
    <w:p w14:paraId="088EB88D">
      <w:pPr>
        <w:bidi w:val="0"/>
        <w:rPr>
          <w:rFonts w:hint="default"/>
          <w:color w:val="auto"/>
          <w:highlight w:val="none"/>
          <w:lang w:val="en-US" w:eastAsia="zh-CN"/>
        </w:rPr>
      </w:pPr>
      <w:r>
        <w:rPr>
          <w:rFonts w:hint="default"/>
          <w:color w:val="auto"/>
          <w:highlight w:val="none"/>
          <w:lang w:val="en-US" w:eastAsia="zh-CN"/>
        </w:rPr>
        <w:t>企业应当按照准则编制年度环境信息依法披露报告和临时环境信息依法披露报告，并上传至企业环境信息依法披露系统。</w:t>
      </w:r>
    </w:p>
    <w:p w14:paraId="7043C3FC">
      <w:pPr>
        <w:bidi w:val="0"/>
        <w:rPr>
          <w:rFonts w:hint="default"/>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企业年度环境信息依法披露报告应当包括以下内容：</w:t>
      </w:r>
    </w:p>
    <w:p w14:paraId="3E225F69">
      <w:pPr>
        <w:bidi w:val="0"/>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一</w:t>
      </w:r>
      <w:r>
        <w:rPr>
          <w:rFonts w:hint="eastAsia"/>
          <w:color w:val="auto"/>
          <w:highlight w:val="none"/>
          <w:lang w:val="en-US" w:eastAsia="zh-CN"/>
        </w:rPr>
        <w:t>）</w:t>
      </w:r>
      <w:r>
        <w:rPr>
          <w:rFonts w:hint="default"/>
          <w:color w:val="auto"/>
          <w:highlight w:val="none"/>
          <w:lang w:val="en-US" w:eastAsia="zh-CN"/>
        </w:rPr>
        <w:t>企业基本信息，包括企业生产和生态环境保护等方面的基础信息</w:t>
      </w:r>
      <w:r>
        <w:rPr>
          <w:rFonts w:hint="eastAsia"/>
          <w:color w:val="auto"/>
          <w:highlight w:val="none"/>
          <w:lang w:val="en-US" w:eastAsia="zh-CN"/>
        </w:rPr>
        <w:t>；</w:t>
      </w:r>
    </w:p>
    <w:p w14:paraId="212BDFF4">
      <w:pPr>
        <w:bidi w:val="0"/>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二</w:t>
      </w:r>
      <w:r>
        <w:rPr>
          <w:rFonts w:hint="eastAsia"/>
          <w:color w:val="auto"/>
          <w:highlight w:val="none"/>
          <w:lang w:val="en-US" w:eastAsia="zh-CN"/>
        </w:rPr>
        <w:t>）</w:t>
      </w:r>
      <w:r>
        <w:rPr>
          <w:rFonts w:hint="default"/>
          <w:color w:val="auto"/>
          <w:highlight w:val="none"/>
          <w:lang w:val="en-US" w:eastAsia="zh-CN"/>
        </w:rPr>
        <w:t>企业环境管理信息，包括生态环境行政许可、环境保护税、环境污染责任保险、环保信用评价等方面的信息</w:t>
      </w:r>
      <w:r>
        <w:rPr>
          <w:rFonts w:hint="eastAsia"/>
          <w:color w:val="auto"/>
          <w:highlight w:val="none"/>
          <w:lang w:val="en-US" w:eastAsia="zh-CN"/>
        </w:rPr>
        <w:t>；</w:t>
      </w:r>
    </w:p>
    <w:p w14:paraId="34108A9E">
      <w:pPr>
        <w:bidi w:val="0"/>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三</w:t>
      </w:r>
      <w:r>
        <w:rPr>
          <w:rFonts w:hint="eastAsia"/>
          <w:color w:val="auto"/>
          <w:highlight w:val="none"/>
          <w:lang w:val="en-US" w:eastAsia="zh-CN"/>
        </w:rPr>
        <w:t>）</w:t>
      </w:r>
      <w:r>
        <w:rPr>
          <w:rFonts w:hint="default"/>
          <w:color w:val="auto"/>
          <w:highlight w:val="none"/>
          <w:lang w:val="en-US" w:eastAsia="zh-CN"/>
        </w:rPr>
        <w:t>污染物产生、治理与排放信息，包括污染防治设施，污染物排放，有毒有害物质排放，工业固体废物和危险废物产生、贮存、流向、利用、处置，自行监测等方面的信息</w:t>
      </w:r>
      <w:r>
        <w:rPr>
          <w:rFonts w:hint="eastAsia"/>
          <w:color w:val="auto"/>
          <w:highlight w:val="none"/>
          <w:lang w:val="en-US" w:eastAsia="zh-CN"/>
        </w:rPr>
        <w:t>；</w:t>
      </w:r>
    </w:p>
    <w:p w14:paraId="1A89E290">
      <w:pPr>
        <w:bidi w:val="0"/>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四</w:t>
      </w:r>
      <w:r>
        <w:rPr>
          <w:rFonts w:hint="eastAsia"/>
          <w:color w:val="auto"/>
          <w:highlight w:val="none"/>
          <w:lang w:val="en-US" w:eastAsia="zh-CN"/>
        </w:rPr>
        <w:t>）</w:t>
      </w:r>
      <w:r>
        <w:rPr>
          <w:rFonts w:hint="default"/>
          <w:color w:val="auto"/>
          <w:highlight w:val="none"/>
          <w:lang w:val="en-US" w:eastAsia="zh-CN"/>
        </w:rPr>
        <w:t>碳排放信息，包括排放量、排放设施等方面的信息</w:t>
      </w:r>
      <w:r>
        <w:rPr>
          <w:rFonts w:hint="eastAsia"/>
          <w:color w:val="auto"/>
          <w:highlight w:val="none"/>
          <w:lang w:val="en-US" w:eastAsia="zh-CN"/>
        </w:rPr>
        <w:t>；</w:t>
      </w:r>
    </w:p>
    <w:p w14:paraId="29B105DA">
      <w:pPr>
        <w:bidi w:val="0"/>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五</w:t>
      </w:r>
      <w:r>
        <w:rPr>
          <w:rFonts w:hint="eastAsia"/>
          <w:color w:val="auto"/>
          <w:highlight w:val="none"/>
          <w:lang w:val="en-US" w:eastAsia="zh-CN"/>
        </w:rPr>
        <w:t>）</w:t>
      </w:r>
      <w:r>
        <w:rPr>
          <w:rFonts w:hint="default"/>
          <w:color w:val="auto"/>
          <w:highlight w:val="none"/>
          <w:lang w:val="en-US" w:eastAsia="zh-CN"/>
        </w:rPr>
        <w:t>生态环境应急信息，包括突发环境事件应急预案、重污染天气应急响应等方面的信息</w:t>
      </w:r>
      <w:r>
        <w:rPr>
          <w:rFonts w:hint="eastAsia"/>
          <w:color w:val="auto"/>
          <w:highlight w:val="none"/>
          <w:lang w:val="en-US" w:eastAsia="zh-CN"/>
        </w:rPr>
        <w:t>；</w:t>
      </w:r>
    </w:p>
    <w:p w14:paraId="3FFBB701">
      <w:pPr>
        <w:bidi w:val="0"/>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六</w:t>
      </w:r>
      <w:r>
        <w:rPr>
          <w:rFonts w:hint="eastAsia"/>
          <w:color w:val="auto"/>
          <w:highlight w:val="none"/>
          <w:lang w:val="en-US" w:eastAsia="zh-CN"/>
        </w:rPr>
        <w:t>）</w:t>
      </w:r>
      <w:r>
        <w:rPr>
          <w:rFonts w:hint="default"/>
          <w:color w:val="auto"/>
          <w:highlight w:val="none"/>
          <w:lang w:val="en-US" w:eastAsia="zh-CN"/>
        </w:rPr>
        <w:t>生态环境违法信息</w:t>
      </w:r>
      <w:r>
        <w:rPr>
          <w:rFonts w:hint="eastAsia"/>
          <w:color w:val="auto"/>
          <w:highlight w:val="none"/>
          <w:lang w:val="en-US" w:eastAsia="zh-CN"/>
        </w:rPr>
        <w:t>；</w:t>
      </w:r>
    </w:p>
    <w:p w14:paraId="1AD95CA9">
      <w:pPr>
        <w:bidi w:val="0"/>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七</w:t>
      </w:r>
      <w:r>
        <w:rPr>
          <w:rFonts w:hint="eastAsia"/>
          <w:color w:val="auto"/>
          <w:highlight w:val="none"/>
          <w:lang w:val="en-US" w:eastAsia="zh-CN"/>
        </w:rPr>
        <w:t>）</w:t>
      </w:r>
      <w:r>
        <w:rPr>
          <w:rFonts w:hint="default"/>
          <w:color w:val="auto"/>
          <w:highlight w:val="none"/>
          <w:lang w:val="en-US" w:eastAsia="zh-CN"/>
        </w:rPr>
        <w:t>本年度临时环境信息依法披露情况</w:t>
      </w:r>
      <w:r>
        <w:rPr>
          <w:rFonts w:hint="eastAsia"/>
          <w:color w:val="auto"/>
          <w:highlight w:val="none"/>
          <w:lang w:val="en-US" w:eastAsia="zh-CN"/>
        </w:rPr>
        <w:t>；</w:t>
      </w:r>
    </w:p>
    <w:p w14:paraId="04004C91">
      <w:pPr>
        <w:bidi w:val="0"/>
        <w:rPr>
          <w:rFonts w:hint="default"/>
          <w:color w:val="auto"/>
          <w:highlight w:val="none"/>
          <w:lang w:val="en-US" w:eastAsia="zh-CN"/>
        </w:rPr>
      </w:pPr>
      <w:r>
        <w:rPr>
          <w:rFonts w:hint="eastAsia"/>
          <w:color w:val="auto"/>
          <w:highlight w:val="none"/>
          <w:lang w:val="en-US" w:eastAsia="zh-CN"/>
        </w:rPr>
        <w:t>（八）</w:t>
      </w:r>
      <w:r>
        <w:rPr>
          <w:rFonts w:hint="default"/>
          <w:color w:val="auto"/>
          <w:highlight w:val="none"/>
          <w:lang w:val="en-US" w:eastAsia="zh-CN"/>
        </w:rPr>
        <w:t>法律法规规定的其他环境信息。</w:t>
      </w:r>
    </w:p>
    <w:p w14:paraId="079D44FF">
      <w:pPr>
        <w:bidi w:val="0"/>
        <w:rPr>
          <w:rFonts w:hint="eastAsia"/>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实施强制性清洁生产审核的企业披露年度环境信息时，除了披露本办法第十二条规定的环境信息外，还应当披露以下信息</w:t>
      </w:r>
      <w:r>
        <w:rPr>
          <w:rFonts w:hint="eastAsia"/>
          <w:color w:val="auto"/>
          <w:highlight w:val="none"/>
          <w:lang w:val="en-US" w:eastAsia="zh-CN"/>
        </w:rPr>
        <w:t>：</w:t>
      </w:r>
    </w:p>
    <w:p w14:paraId="35C1696C">
      <w:pPr>
        <w:bidi w:val="0"/>
        <w:rPr>
          <w:rFonts w:hint="eastAsia"/>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一</w:t>
      </w:r>
      <w:r>
        <w:rPr>
          <w:rFonts w:hint="eastAsia"/>
          <w:color w:val="auto"/>
          <w:highlight w:val="none"/>
          <w:lang w:val="en-US" w:eastAsia="zh-CN"/>
        </w:rPr>
        <w:t>）</w:t>
      </w:r>
      <w:r>
        <w:rPr>
          <w:rFonts w:hint="default"/>
          <w:color w:val="auto"/>
          <w:highlight w:val="none"/>
          <w:lang w:val="en-US" w:eastAsia="zh-CN"/>
        </w:rPr>
        <w:t>实施强制性清洁生产审核的原因</w:t>
      </w:r>
      <w:r>
        <w:rPr>
          <w:rFonts w:hint="eastAsia"/>
          <w:color w:val="auto"/>
          <w:highlight w:val="none"/>
          <w:lang w:val="en-US" w:eastAsia="zh-CN"/>
        </w:rPr>
        <w:t>；</w:t>
      </w:r>
    </w:p>
    <w:p w14:paraId="67AF6F87">
      <w:pPr>
        <w:bidi w:val="0"/>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二</w:t>
      </w:r>
      <w:r>
        <w:rPr>
          <w:rFonts w:hint="eastAsia"/>
          <w:color w:val="auto"/>
          <w:highlight w:val="none"/>
          <w:lang w:val="en-US" w:eastAsia="zh-CN"/>
        </w:rPr>
        <w:t>）</w:t>
      </w:r>
      <w:r>
        <w:rPr>
          <w:rFonts w:hint="default"/>
          <w:color w:val="auto"/>
          <w:highlight w:val="none"/>
          <w:lang w:val="en-US" w:eastAsia="zh-CN"/>
        </w:rPr>
        <w:t>强制性清洁生产审核的实施情况、评估与验收结果。</w:t>
      </w:r>
    </w:p>
    <w:p w14:paraId="51123BEE">
      <w:pPr>
        <w:bidi w:val="0"/>
        <w:rPr>
          <w:rFonts w:hint="eastAsia"/>
          <w:color w:val="auto"/>
          <w:highlight w:val="none"/>
          <w:lang w:val="en-US" w:eastAsia="zh-CN"/>
        </w:rPr>
      </w:pPr>
      <w:r>
        <w:rPr>
          <w:rFonts w:hint="eastAsia"/>
          <w:color w:val="auto"/>
          <w:highlight w:val="none"/>
          <w:lang w:val="en-US" w:eastAsia="zh-CN"/>
        </w:rPr>
        <w:t>（3）上市公司和发债企业披露年度环境信息时，除了披露本办法第十二条规定的环境信息外，还应当按照以下规定披露相关信息：</w:t>
      </w:r>
    </w:p>
    <w:p w14:paraId="555C2F61">
      <w:pPr>
        <w:bidi w:val="0"/>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一</w:t>
      </w:r>
      <w:r>
        <w:rPr>
          <w:rFonts w:hint="eastAsia"/>
          <w:color w:val="auto"/>
          <w:highlight w:val="none"/>
          <w:lang w:val="en-US" w:eastAsia="zh-CN"/>
        </w:rPr>
        <w:t>）</w:t>
      </w:r>
      <w:r>
        <w:rPr>
          <w:rFonts w:hint="default"/>
          <w:color w:val="auto"/>
          <w:highlight w:val="none"/>
          <w:lang w:val="en-US" w:eastAsia="zh-CN"/>
        </w:rPr>
        <w:t>上市公司通过发行股票、债券、存托凭证、中期票据、短期融资券、超短期融资券、资产证券化、银行贷款等形式进行融资的，应当披露年度融资形式、金额、投向等信息，以及融资所投项目的应对气候变化、生态环境保护等相关信息</w:t>
      </w:r>
      <w:r>
        <w:rPr>
          <w:rFonts w:hint="eastAsia"/>
          <w:color w:val="auto"/>
          <w:highlight w:val="none"/>
          <w:lang w:val="en-US" w:eastAsia="zh-CN"/>
        </w:rPr>
        <w:t>；</w:t>
      </w:r>
    </w:p>
    <w:p w14:paraId="6B46DD82">
      <w:pPr>
        <w:bidi w:val="0"/>
        <w:rPr>
          <w:rFonts w:hint="default"/>
          <w:color w:val="auto"/>
          <w:highlight w:val="none"/>
          <w:lang w:val="en-US" w:eastAsia="zh-CN"/>
        </w:rPr>
      </w:pPr>
      <w:r>
        <w:rPr>
          <w:rFonts w:hint="eastAsia"/>
          <w:color w:val="auto"/>
          <w:highlight w:val="none"/>
          <w:lang w:val="en-US" w:eastAsia="zh-CN"/>
        </w:rPr>
        <w:t>（</w:t>
      </w:r>
      <w:r>
        <w:rPr>
          <w:rFonts w:hint="default"/>
          <w:color w:val="auto"/>
          <w:highlight w:val="none"/>
          <w:lang w:val="en-US" w:eastAsia="zh-CN"/>
        </w:rPr>
        <w:t>二</w:t>
      </w:r>
      <w:r>
        <w:rPr>
          <w:rFonts w:hint="eastAsia"/>
          <w:color w:val="auto"/>
          <w:highlight w:val="none"/>
          <w:lang w:val="en-US" w:eastAsia="zh-CN"/>
        </w:rPr>
        <w:t>）</w:t>
      </w:r>
      <w:r>
        <w:rPr>
          <w:rFonts w:hint="default"/>
          <w:color w:val="auto"/>
          <w:highlight w:val="none"/>
          <w:lang w:val="en-US" w:eastAsia="zh-CN"/>
        </w:rPr>
        <w:t>发债企业通过发行股票、债券、存托凭证、可交换债、中期票据、短期融资券、超短期融资券、资产证券化、银行贷款等形式融资的，应当披露年度融资形式、金额、投向等信息，以及融资所投项目的应对气候变化、生态环境保护等相关信息。</w:t>
      </w:r>
    </w:p>
    <w:p w14:paraId="31B5CC86">
      <w:pPr>
        <w:bidi w:val="0"/>
        <w:rPr>
          <w:rFonts w:hint="default"/>
          <w:color w:val="auto"/>
          <w:highlight w:val="none"/>
          <w:lang w:val="en-US" w:eastAsia="zh-CN"/>
        </w:rPr>
      </w:pPr>
      <w:r>
        <w:rPr>
          <w:rFonts w:hint="default"/>
          <w:color w:val="auto"/>
          <w:highlight w:val="none"/>
          <w:lang w:val="en-US" w:eastAsia="zh-CN"/>
        </w:rPr>
        <w:t>上市公司和发债企业属于强制性清洁生产审核企业的，还应当按照本办法第十四条的规定披露相关环境信息。</w:t>
      </w:r>
    </w:p>
    <w:p w14:paraId="4FAB9D7F">
      <w:pPr>
        <w:bidi w:val="0"/>
        <w:rPr>
          <w:rFonts w:hint="eastAsia"/>
          <w:color w:val="auto"/>
          <w:highlight w:val="none"/>
          <w:lang w:val="en-US" w:eastAsia="zh-CN"/>
        </w:rPr>
      </w:pPr>
      <w:r>
        <w:rPr>
          <w:rFonts w:hint="eastAsia"/>
          <w:color w:val="auto"/>
          <w:highlight w:val="none"/>
          <w:lang w:val="en-US" w:eastAsia="zh-CN"/>
        </w:rPr>
        <w:t>（4）企业未产生本办法规定的环境信息的，可以不予披露。</w:t>
      </w:r>
    </w:p>
    <w:p w14:paraId="039BA9B3">
      <w:pPr>
        <w:bidi w:val="0"/>
        <w:rPr>
          <w:rFonts w:hint="eastAsia"/>
          <w:color w:val="auto"/>
          <w:highlight w:val="none"/>
          <w:lang w:val="en-US" w:eastAsia="zh-CN"/>
        </w:rPr>
      </w:pPr>
      <w:r>
        <w:rPr>
          <w:rFonts w:hint="eastAsia"/>
          <w:color w:val="auto"/>
          <w:highlight w:val="none"/>
          <w:lang w:val="en-US" w:eastAsia="zh-CN"/>
        </w:rPr>
        <w:t>（5）企业应当自收到相关法律文书之日起五个工作日内，以临时环境信息依法披露报告的形式，披露以下环境信息：</w:t>
      </w:r>
    </w:p>
    <w:p w14:paraId="012ABA44">
      <w:pPr>
        <w:bidi w:val="0"/>
        <w:rPr>
          <w:rFonts w:hint="eastAsia"/>
          <w:color w:val="auto"/>
          <w:highlight w:val="none"/>
          <w:lang w:val="en-US" w:eastAsia="zh-CN"/>
        </w:rPr>
      </w:pPr>
      <w:r>
        <w:rPr>
          <w:rFonts w:hint="eastAsia"/>
          <w:color w:val="auto"/>
          <w:highlight w:val="none"/>
          <w:lang w:val="en-US" w:eastAsia="zh-CN"/>
        </w:rPr>
        <w:t>（一）生态环境行政许可准予、变更、延续、撤销等信息；</w:t>
      </w:r>
    </w:p>
    <w:p w14:paraId="1A449AF1">
      <w:pPr>
        <w:bidi w:val="0"/>
        <w:rPr>
          <w:rFonts w:hint="eastAsia"/>
          <w:color w:val="auto"/>
          <w:highlight w:val="none"/>
          <w:lang w:val="en-US" w:eastAsia="zh-CN"/>
        </w:rPr>
      </w:pPr>
      <w:r>
        <w:rPr>
          <w:rFonts w:hint="eastAsia"/>
          <w:color w:val="auto"/>
          <w:highlight w:val="none"/>
          <w:lang w:val="en-US" w:eastAsia="zh-CN"/>
        </w:rPr>
        <w:t>（二）因生态环境违法行为受到行政处罚的信息；</w:t>
      </w:r>
    </w:p>
    <w:p w14:paraId="36367F07">
      <w:pPr>
        <w:bidi w:val="0"/>
        <w:rPr>
          <w:rFonts w:hint="eastAsia"/>
          <w:color w:val="auto"/>
          <w:highlight w:val="none"/>
          <w:lang w:val="en-US" w:eastAsia="zh-CN"/>
        </w:rPr>
      </w:pPr>
      <w:r>
        <w:rPr>
          <w:rFonts w:hint="eastAsia"/>
          <w:color w:val="auto"/>
          <w:highlight w:val="none"/>
          <w:lang w:val="en-US" w:eastAsia="zh-CN"/>
        </w:rPr>
        <w:t>（三）因生态环境违法行为，其法定代表人、主要负责人、直接负责的主管人员和其他直接责任人员被依法处以行政拘留的信息；</w:t>
      </w:r>
    </w:p>
    <w:p w14:paraId="47192298">
      <w:pPr>
        <w:bidi w:val="0"/>
        <w:rPr>
          <w:rFonts w:hint="eastAsia"/>
          <w:color w:val="auto"/>
          <w:highlight w:val="none"/>
          <w:lang w:val="en-US" w:eastAsia="zh-CN"/>
        </w:rPr>
      </w:pPr>
      <w:r>
        <w:rPr>
          <w:rFonts w:hint="eastAsia"/>
          <w:color w:val="auto"/>
          <w:highlight w:val="none"/>
          <w:lang w:val="en-US" w:eastAsia="zh-CN"/>
        </w:rPr>
        <w:t>（四）因生态环境违法行为，企业或者其法定代表人、主要负责人、直接负责的主管人员和其他直接责任人员被追究刑事责任的信息；</w:t>
      </w:r>
    </w:p>
    <w:p w14:paraId="426BD857">
      <w:pPr>
        <w:bidi w:val="0"/>
        <w:rPr>
          <w:rFonts w:hint="eastAsia"/>
          <w:color w:val="auto"/>
          <w:highlight w:val="none"/>
          <w:lang w:val="en-US" w:eastAsia="zh-CN"/>
        </w:rPr>
      </w:pPr>
      <w:r>
        <w:rPr>
          <w:rFonts w:hint="eastAsia"/>
          <w:color w:val="auto"/>
          <w:highlight w:val="none"/>
          <w:lang w:val="en-US" w:eastAsia="zh-CN"/>
        </w:rPr>
        <w:t>（五）生态环境损害赔偿及协议信息。</w:t>
      </w:r>
    </w:p>
    <w:p w14:paraId="6CBD42C8">
      <w:pPr>
        <w:bidi w:val="0"/>
        <w:rPr>
          <w:rFonts w:hint="eastAsia"/>
          <w:color w:val="auto"/>
          <w:highlight w:val="none"/>
          <w:lang w:val="en-US" w:eastAsia="zh-CN"/>
        </w:rPr>
      </w:pPr>
      <w:r>
        <w:rPr>
          <w:rFonts w:hint="eastAsia"/>
          <w:color w:val="auto"/>
          <w:highlight w:val="none"/>
          <w:lang w:val="en-US" w:eastAsia="zh-CN"/>
        </w:rPr>
        <w:t>企业发生突发环境事件的，应当依照有关法律法规规定披露相关信息。</w:t>
      </w:r>
    </w:p>
    <w:p w14:paraId="7F79E32A">
      <w:pPr>
        <w:bidi w:val="0"/>
        <w:rPr>
          <w:rFonts w:hint="eastAsia"/>
          <w:color w:val="auto"/>
          <w:highlight w:val="none"/>
          <w:lang w:val="en-US" w:eastAsia="zh-CN"/>
        </w:rPr>
      </w:pPr>
      <w:r>
        <w:rPr>
          <w:rFonts w:hint="eastAsia"/>
          <w:color w:val="auto"/>
          <w:highlight w:val="none"/>
          <w:lang w:val="en-US" w:eastAsia="zh-CN"/>
        </w:rPr>
        <w:t>（6）企业可以根据实际情况对已披露的环境信息进行变更；进行变更的，应当以临时环境信息依法披露报告的形式变更，并说明变更事项和理由。</w:t>
      </w:r>
    </w:p>
    <w:p w14:paraId="1645ED71">
      <w:pPr>
        <w:bidi w:val="0"/>
        <w:rPr>
          <w:rFonts w:hint="eastAsia"/>
          <w:color w:val="auto"/>
          <w:highlight w:val="none"/>
          <w:lang w:val="en-US" w:eastAsia="zh-CN"/>
        </w:rPr>
      </w:pPr>
      <w:r>
        <w:rPr>
          <w:rFonts w:hint="eastAsia"/>
          <w:color w:val="auto"/>
          <w:highlight w:val="none"/>
          <w:lang w:val="en-US" w:eastAsia="zh-CN"/>
        </w:rPr>
        <w:t>（7）企业应当于每年3月15日前披露上一年度1月1日至12月31日的环境信息。</w:t>
      </w:r>
    </w:p>
    <w:p w14:paraId="5441984F">
      <w:pPr>
        <w:bidi w:val="0"/>
        <w:rPr>
          <w:rFonts w:hint="eastAsia"/>
          <w:color w:val="auto"/>
          <w:highlight w:val="none"/>
          <w:lang w:val="en-US" w:eastAsia="zh-CN"/>
        </w:rPr>
      </w:pPr>
      <w:r>
        <w:rPr>
          <w:rFonts w:hint="eastAsia"/>
          <w:color w:val="auto"/>
          <w:highlight w:val="none"/>
          <w:lang w:val="en-US" w:eastAsia="zh-CN"/>
        </w:rPr>
        <w:t>（8）企业在企业名单公布前存在本办法第十七条规定的环境信息的，应当于企业名单公布后十个工作日内以临时环境信息依法披露报告的形式披露本年度企业名单公布前的相关信息。</w:t>
      </w:r>
    </w:p>
    <w:p w14:paraId="2F7F5404">
      <w:pPr>
        <w:pStyle w:val="5"/>
        <w:rPr>
          <w:rFonts w:hint="default" w:ascii="Times New Roman" w:hAnsi="Times New Roman" w:cs="Times New Roman"/>
          <w:color w:val="auto"/>
          <w:highlight w:val="none"/>
        </w:rPr>
      </w:pPr>
      <w:bookmarkStart w:id="1008" w:name="_Toc7337"/>
      <w:r>
        <w:rPr>
          <w:rFonts w:hint="default" w:ascii="Times New Roman" w:hAnsi="Times New Roman" w:cs="Times New Roman"/>
          <w:color w:val="auto"/>
          <w:highlight w:val="none"/>
        </w:rPr>
        <w:t>8.</w:t>
      </w:r>
      <w:r>
        <w:rPr>
          <w:rFonts w:hint="eastAsia" w:cs="Times New Roman"/>
          <w:color w:val="auto"/>
          <w:highlight w:val="none"/>
          <w:lang w:val="en-US" w:eastAsia="zh-CN"/>
        </w:rPr>
        <w:t>2</w:t>
      </w:r>
      <w:r>
        <w:rPr>
          <w:rFonts w:hint="default" w:ascii="Times New Roman" w:hAnsi="Times New Roman" w:cs="Times New Roman"/>
          <w:color w:val="auto"/>
          <w:highlight w:val="none"/>
        </w:rPr>
        <w:t>环境</w:t>
      </w:r>
      <w:bookmarkEnd w:id="974"/>
      <w:bookmarkEnd w:id="975"/>
      <w:bookmarkEnd w:id="976"/>
      <w:bookmarkEnd w:id="977"/>
      <w:bookmarkEnd w:id="978"/>
      <w:r>
        <w:rPr>
          <w:rFonts w:hint="default" w:ascii="Times New Roman" w:hAnsi="Times New Roman" w:cs="Times New Roman"/>
          <w:color w:val="auto"/>
          <w:highlight w:val="none"/>
        </w:rPr>
        <w:t>监测计划</w:t>
      </w:r>
      <w:bookmarkEnd w:id="979"/>
      <w:bookmarkEnd w:id="980"/>
      <w:bookmarkEnd w:id="981"/>
      <w:bookmarkEnd w:id="982"/>
      <w:bookmarkEnd w:id="983"/>
      <w:bookmarkEnd w:id="984"/>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14:paraId="5A963F76">
      <w:pPr>
        <w:widowControl/>
        <w:overflowPunct w:val="0"/>
        <w:topLinePunct/>
        <w:ind w:firstLine="48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监测制度是为环境管理服务的一项重要制度，通过环境监测，及时了解企业的环境状况，不断完善、改进防治措施，清洁生产，不断适应环境保护的发展要求，是实现企业环境管理定量化、规范化的重要技术支持。建立一套完善而行之有效的环境监测制度是企业环境保护工作的重要组成部分。</w:t>
      </w:r>
    </w:p>
    <w:p w14:paraId="69503AA2">
      <w:pPr>
        <w:keepNext/>
        <w:keepLines/>
        <w:spacing w:before="60" w:after="60"/>
        <w:ind w:firstLine="0" w:firstLineChars="0"/>
        <w:outlineLvl w:val="2"/>
        <w:rPr>
          <w:rFonts w:hint="default" w:ascii="Times New Roman" w:hAnsi="Times New Roman" w:cs="Times New Roman"/>
          <w:b/>
          <w:bCs/>
          <w:color w:val="auto"/>
          <w:sz w:val="30"/>
          <w:szCs w:val="32"/>
          <w:highlight w:val="none"/>
        </w:rPr>
      </w:pPr>
      <w:bookmarkStart w:id="1009" w:name="_Toc15274"/>
      <w:bookmarkStart w:id="1010" w:name="_Toc32240"/>
      <w:bookmarkStart w:id="1011" w:name="_Toc15111"/>
      <w:bookmarkStart w:id="1012" w:name="_Toc18597"/>
      <w:bookmarkStart w:id="1013" w:name="_Toc16163"/>
      <w:bookmarkStart w:id="1014" w:name="_Toc5506"/>
      <w:r>
        <w:rPr>
          <w:rFonts w:hint="default" w:ascii="Times New Roman" w:hAnsi="Times New Roman" w:cs="Times New Roman"/>
          <w:b/>
          <w:bCs/>
          <w:color w:val="auto"/>
          <w:sz w:val="30"/>
          <w:szCs w:val="32"/>
          <w:highlight w:val="none"/>
        </w:rPr>
        <w:t>8.</w:t>
      </w:r>
      <w:r>
        <w:rPr>
          <w:rFonts w:hint="eastAsia" w:cs="Times New Roman"/>
          <w:b/>
          <w:bCs/>
          <w:color w:val="auto"/>
          <w:sz w:val="30"/>
          <w:szCs w:val="32"/>
          <w:highlight w:val="none"/>
          <w:lang w:val="en-US" w:eastAsia="zh-CN"/>
        </w:rPr>
        <w:t>2</w:t>
      </w:r>
      <w:r>
        <w:rPr>
          <w:rFonts w:hint="default" w:ascii="Times New Roman" w:hAnsi="Times New Roman" w:cs="Times New Roman"/>
          <w:b/>
          <w:bCs/>
          <w:color w:val="auto"/>
          <w:sz w:val="30"/>
          <w:szCs w:val="32"/>
          <w:highlight w:val="none"/>
        </w:rPr>
        <w:t>.1监测机构</w:t>
      </w:r>
      <w:bookmarkEnd w:id="1009"/>
      <w:bookmarkEnd w:id="1010"/>
      <w:bookmarkEnd w:id="1011"/>
      <w:bookmarkEnd w:id="1012"/>
      <w:bookmarkEnd w:id="1013"/>
      <w:bookmarkEnd w:id="1014"/>
    </w:p>
    <w:p w14:paraId="5CF059FC">
      <w:pPr>
        <w:widowControl/>
        <w:overflowPunct w:val="0"/>
        <w:topLinePunct/>
        <w:ind w:firstLine="48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考虑到厂区的实际条件，厂区可不设监测机构，有关的环境监测工作可委托第三方环境监测公司承担，确保监测计划的顺利实施。</w:t>
      </w:r>
    </w:p>
    <w:p w14:paraId="6ABA2E4A">
      <w:pPr>
        <w:keepNext/>
        <w:keepLines/>
        <w:spacing w:before="60" w:after="60"/>
        <w:ind w:firstLine="0" w:firstLineChars="0"/>
        <w:outlineLvl w:val="2"/>
        <w:rPr>
          <w:rFonts w:hint="default" w:ascii="Times New Roman" w:hAnsi="Times New Roman" w:cs="Times New Roman"/>
          <w:b/>
          <w:bCs/>
          <w:color w:val="auto"/>
          <w:sz w:val="30"/>
          <w:szCs w:val="32"/>
          <w:highlight w:val="none"/>
        </w:rPr>
      </w:pPr>
      <w:bookmarkStart w:id="1015" w:name="_Toc9548"/>
      <w:bookmarkStart w:id="1016" w:name="_Toc11984"/>
      <w:bookmarkStart w:id="1017" w:name="_Toc15947"/>
      <w:bookmarkStart w:id="1018" w:name="_Toc1751"/>
      <w:bookmarkStart w:id="1019" w:name="_Toc11465"/>
      <w:bookmarkStart w:id="1020" w:name="_Toc3635"/>
      <w:r>
        <w:rPr>
          <w:rFonts w:hint="default" w:ascii="Times New Roman" w:hAnsi="Times New Roman" w:cs="Times New Roman"/>
          <w:b/>
          <w:bCs/>
          <w:color w:val="auto"/>
          <w:sz w:val="30"/>
          <w:szCs w:val="32"/>
          <w:highlight w:val="none"/>
        </w:rPr>
        <w:t>8.</w:t>
      </w:r>
      <w:r>
        <w:rPr>
          <w:rFonts w:hint="eastAsia" w:cs="Times New Roman"/>
          <w:b/>
          <w:bCs/>
          <w:color w:val="auto"/>
          <w:sz w:val="30"/>
          <w:szCs w:val="32"/>
          <w:highlight w:val="none"/>
          <w:lang w:val="en-US" w:eastAsia="zh-CN"/>
        </w:rPr>
        <w:t>2</w:t>
      </w:r>
      <w:r>
        <w:rPr>
          <w:rFonts w:hint="default" w:ascii="Times New Roman" w:hAnsi="Times New Roman" w:cs="Times New Roman"/>
          <w:b/>
          <w:bCs/>
          <w:color w:val="auto"/>
          <w:sz w:val="30"/>
          <w:szCs w:val="32"/>
          <w:highlight w:val="none"/>
        </w:rPr>
        <w:t>.2监测内容</w:t>
      </w:r>
      <w:bookmarkEnd w:id="1015"/>
      <w:bookmarkEnd w:id="1016"/>
      <w:bookmarkEnd w:id="1017"/>
      <w:bookmarkEnd w:id="1018"/>
      <w:bookmarkEnd w:id="1019"/>
      <w:bookmarkEnd w:id="1020"/>
    </w:p>
    <w:p w14:paraId="11F228B5">
      <w:pPr>
        <w:pStyle w:val="7"/>
        <w:bidi w:val="0"/>
        <w:rPr>
          <w:rFonts w:hint="default"/>
          <w:color w:val="auto"/>
          <w:highlight w:val="none"/>
          <w:lang w:val="en-US" w:eastAsia="zh-CN"/>
        </w:rPr>
      </w:pPr>
      <w:r>
        <w:rPr>
          <w:rFonts w:hint="eastAsia"/>
          <w:color w:val="auto"/>
          <w:highlight w:val="none"/>
          <w:lang w:val="en-US" w:eastAsia="zh-CN"/>
        </w:rPr>
        <w:t>8.2.2.1污染物自行监测计划</w:t>
      </w:r>
    </w:p>
    <w:p w14:paraId="7869410E">
      <w:pPr>
        <w:overflowPunct w:val="0"/>
        <w:topLinePunct/>
        <w:ind w:firstLine="482"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本项目运营期环境监测计划见下表。</w:t>
      </w:r>
    </w:p>
    <w:p w14:paraId="490194DB">
      <w:pPr>
        <w:pStyle w:val="19"/>
        <w:bidi w:val="0"/>
        <w:rPr>
          <w:rFonts w:hint="default"/>
          <w:color w:val="auto"/>
          <w:highlight w:val="none"/>
        </w:rPr>
      </w:pPr>
      <w:r>
        <w:rPr>
          <w:rFonts w:hint="default"/>
          <w:color w:val="auto"/>
          <w:highlight w:val="none"/>
        </w:rPr>
        <w:t>表8.</w:t>
      </w:r>
      <w:r>
        <w:rPr>
          <w:rFonts w:hint="eastAsia"/>
          <w:color w:val="auto"/>
          <w:highlight w:val="none"/>
          <w:lang w:val="en-US" w:eastAsia="zh-CN"/>
        </w:rPr>
        <w:t>2</w:t>
      </w:r>
      <w:r>
        <w:rPr>
          <w:rFonts w:hint="default"/>
          <w:color w:val="auto"/>
          <w:highlight w:val="none"/>
        </w:rPr>
        <w:t>-</w:t>
      </w:r>
      <w:r>
        <w:rPr>
          <w:rFonts w:hint="eastAsia"/>
          <w:color w:val="auto"/>
          <w:highlight w:val="none"/>
          <w:lang w:val="en-US" w:eastAsia="zh-CN"/>
        </w:rPr>
        <w:t>1</w:t>
      </w:r>
      <w:r>
        <w:rPr>
          <w:rFonts w:hint="default"/>
          <w:color w:val="auto"/>
          <w:highlight w:val="none"/>
        </w:rPr>
        <w:t xml:space="preserve">    运营期环境监测计划表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605"/>
        <w:gridCol w:w="1935"/>
        <w:gridCol w:w="1868"/>
        <w:gridCol w:w="1952"/>
        <w:gridCol w:w="1999"/>
      </w:tblGrid>
      <w:tr w14:paraId="69A667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40" w:hRule="atLeast"/>
          <w:tblHeader/>
          <w:jc w:val="center"/>
        </w:trPr>
        <w:tc>
          <w:tcPr>
            <w:tcW w:w="362" w:type="pct"/>
            <w:vAlign w:val="center"/>
          </w:tcPr>
          <w:p w14:paraId="361F79A5">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类型</w:t>
            </w:r>
          </w:p>
        </w:tc>
        <w:tc>
          <w:tcPr>
            <w:tcW w:w="1157" w:type="pct"/>
            <w:vAlign w:val="center"/>
          </w:tcPr>
          <w:p w14:paraId="26DB92C5">
            <w:pPr>
              <w:pStyle w:val="17"/>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监测位置</w:t>
            </w:r>
          </w:p>
        </w:tc>
        <w:tc>
          <w:tcPr>
            <w:tcW w:w="1117" w:type="pct"/>
            <w:vAlign w:val="center"/>
          </w:tcPr>
          <w:p w14:paraId="10AE86C1">
            <w:pPr>
              <w:pStyle w:val="1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监测因子</w:t>
            </w:r>
          </w:p>
        </w:tc>
        <w:tc>
          <w:tcPr>
            <w:tcW w:w="1167" w:type="pct"/>
            <w:vAlign w:val="center"/>
          </w:tcPr>
          <w:p w14:paraId="1CA281DD">
            <w:pPr>
              <w:pStyle w:val="17"/>
              <w:bidi w:val="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监测</w:t>
            </w:r>
            <w:r>
              <w:rPr>
                <w:rFonts w:hint="default" w:ascii="Times New Roman" w:hAnsi="Times New Roman" w:cs="Times New Roman"/>
                <w:color w:val="auto"/>
                <w:highlight w:val="none"/>
              </w:rPr>
              <w:t>频率</w:t>
            </w:r>
          </w:p>
        </w:tc>
        <w:tc>
          <w:tcPr>
            <w:tcW w:w="1195" w:type="pct"/>
            <w:vAlign w:val="center"/>
          </w:tcPr>
          <w:p w14:paraId="28B5A872">
            <w:pPr>
              <w:pStyle w:val="17"/>
              <w:bidi w:val="0"/>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标准</w:t>
            </w:r>
          </w:p>
        </w:tc>
      </w:tr>
      <w:tr w14:paraId="652337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62" w:type="pct"/>
            <w:vMerge w:val="restart"/>
            <w:vAlign w:val="center"/>
          </w:tcPr>
          <w:p w14:paraId="523EE9FD">
            <w:pPr>
              <w:pStyle w:val="1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废气</w:t>
            </w:r>
          </w:p>
        </w:tc>
        <w:tc>
          <w:tcPr>
            <w:tcW w:w="1157" w:type="pct"/>
            <w:vAlign w:val="center"/>
          </w:tcPr>
          <w:p w14:paraId="5AC50E8F">
            <w:pPr>
              <w:pStyle w:val="17"/>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DA001~DA004</w:t>
            </w:r>
          </w:p>
        </w:tc>
        <w:tc>
          <w:tcPr>
            <w:tcW w:w="1117" w:type="pct"/>
            <w:vAlign w:val="center"/>
          </w:tcPr>
          <w:p w14:paraId="6E9F4A79">
            <w:pPr>
              <w:pStyle w:val="17"/>
              <w:bidi w:val="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颗粒物</w:t>
            </w:r>
            <w:r>
              <w:rPr>
                <w:rFonts w:hint="default" w:ascii="Times New Roman" w:hAnsi="Times New Roman" w:cs="Times New Roman"/>
                <w:color w:val="auto"/>
                <w:highlight w:val="none"/>
                <w:lang w:eastAsia="zh-CN"/>
              </w:rPr>
              <w:t>、氟化物</w:t>
            </w:r>
          </w:p>
        </w:tc>
        <w:tc>
          <w:tcPr>
            <w:tcW w:w="1167" w:type="pct"/>
            <w:vAlign w:val="center"/>
          </w:tcPr>
          <w:p w14:paraId="414075AC">
            <w:pPr>
              <w:pStyle w:val="17"/>
              <w:bidi w:val="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年/次</w:t>
            </w:r>
          </w:p>
        </w:tc>
        <w:tc>
          <w:tcPr>
            <w:tcW w:w="1195" w:type="pct"/>
            <w:vAlign w:val="center"/>
          </w:tcPr>
          <w:p w14:paraId="34D68086">
            <w:pPr>
              <w:pStyle w:val="17"/>
              <w:bidi w:val="0"/>
              <w:rPr>
                <w:rFonts w:hint="default" w:ascii="Times New Roman" w:hAnsi="Times New Roman" w:cs="Times New Roman"/>
                <w:color w:val="auto"/>
                <w:highlight w:val="none"/>
              </w:rPr>
            </w:pPr>
            <w:r>
              <w:rPr>
                <w:rFonts w:hint="eastAsia" w:ascii="Times New Roman" w:hAnsi="Times New Roman" w:cs="Times New Roman" w:eastAsiaTheme="minorEastAsia"/>
                <w:color w:val="auto"/>
                <w:szCs w:val="21"/>
                <w:highlight w:val="none"/>
                <w:lang w:val="en-US" w:eastAsia="zh-CN"/>
              </w:rPr>
              <w:t>《大气污染物综合排放标准》（</w:t>
            </w:r>
            <w:r>
              <w:rPr>
                <w:rFonts w:hint="default" w:ascii="Times New Roman" w:hAnsi="Times New Roman" w:cs="Times New Roman" w:eastAsiaTheme="minorEastAsia"/>
                <w:color w:val="auto"/>
                <w:szCs w:val="21"/>
                <w:highlight w:val="none"/>
                <w:lang w:val="en-US" w:eastAsia="zh-CN"/>
              </w:rPr>
              <w:t>GB16297-1996</w:t>
            </w:r>
            <w:r>
              <w:rPr>
                <w:rFonts w:hint="eastAsia" w:ascii="Times New Roman" w:hAnsi="Times New Roman" w:cs="Times New Roman" w:eastAsiaTheme="minorEastAsia"/>
                <w:color w:val="auto"/>
                <w:szCs w:val="21"/>
                <w:highlight w:val="none"/>
                <w:lang w:val="en-US" w:eastAsia="zh-CN"/>
              </w:rPr>
              <w:t>）</w:t>
            </w:r>
          </w:p>
        </w:tc>
      </w:tr>
      <w:tr w14:paraId="5B416B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62" w:type="pct"/>
            <w:vMerge w:val="continue"/>
            <w:vAlign w:val="center"/>
          </w:tcPr>
          <w:p w14:paraId="6CFEA0B5">
            <w:pPr>
              <w:pStyle w:val="17"/>
              <w:bidi w:val="0"/>
              <w:rPr>
                <w:rFonts w:hint="default" w:ascii="Times New Roman" w:hAnsi="Times New Roman" w:cs="Times New Roman"/>
                <w:color w:val="auto"/>
                <w:highlight w:val="none"/>
              </w:rPr>
            </w:pPr>
          </w:p>
        </w:tc>
        <w:tc>
          <w:tcPr>
            <w:tcW w:w="1157" w:type="pct"/>
            <w:vAlign w:val="center"/>
          </w:tcPr>
          <w:p w14:paraId="6EF22BDD">
            <w:pPr>
              <w:pStyle w:val="17"/>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DA005</w:t>
            </w:r>
          </w:p>
        </w:tc>
        <w:tc>
          <w:tcPr>
            <w:tcW w:w="1117" w:type="pct"/>
            <w:vAlign w:val="center"/>
          </w:tcPr>
          <w:p w14:paraId="41D5BD6D">
            <w:pPr>
              <w:pStyle w:val="17"/>
              <w:bidi w:val="0"/>
              <w:rPr>
                <w:rFonts w:hint="eastAsia"/>
                <w:color w:val="auto"/>
                <w:highlight w:val="none"/>
                <w:lang w:eastAsia="zh-CN"/>
              </w:rPr>
            </w:pPr>
            <w:r>
              <w:rPr>
                <w:rFonts w:hint="eastAsia"/>
                <w:color w:val="auto"/>
                <w:highlight w:val="none"/>
                <w:lang w:val="en-US" w:eastAsia="zh-CN"/>
              </w:rPr>
              <w:t>硫酸雾</w:t>
            </w:r>
          </w:p>
        </w:tc>
        <w:tc>
          <w:tcPr>
            <w:tcW w:w="1167" w:type="pct"/>
            <w:vAlign w:val="center"/>
          </w:tcPr>
          <w:p w14:paraId="4D546C9D">
            <w:pPr>
              <w:pStyle w:val="17"/>
              <w:bidi w:val="0"/>
              <w:rPr>
                <w:rFonts w:hint="default"/>
                <w:color w:val="auto"/>
                <w:highlight w:val="none"/>
              </w:rPr>
            </w:pPr>
            <w:r>
              <w:rPr>
                <w:rFonts w:hint="eastAsia"/>
                <w:color w:val="auto"/>
                <w:highlight w:val="none"/>
                <w:lang w:val="en-US" w:eastAsia="zh-CN"/>
              </w:rPr>
              <w:t>年/次</w:t>
            </w:r>
          </w:p>
        </w:tc>
        <w:tc>
          <w:tcPr>
            <w:tcW w:w="1195" w:type="pct"/>
            <w:vAlign w:val="center"/>
          </w:tcPr>
          <w:p w14:paraId="7DF7A773">
            <w:pPr>
              <w:pStyle w:val="17"/>
              <w:bidi w:val="0"/>
              <w:rPr>
                <w:rFonts w:hint="default"/>
                <w:color w:val="auto"/>
                <w:highlight w:val="none"/>
              </w:rPr>
            </w:pPr>
            <w:r>
              <w:rPr>
                <w:rFonts w:hint="eastAsia"/>
                <w:color w:val="auto"/>
                <w:highlight w:val="none"/>
                <w:lang w:val="en-US" w:eastAsia="zh-CN"/>
              </w:rPr>
              <w:t>《大气污染物综合排放标准》（</w:t>
            </w:r>
            <w:r>
              <w:rPr>
                <w:rFonts w:hint="default"/>
                <w:color w:val="auto"/>
                <w:highlight w:val="none"/>
                <w:lang w:val="en-US" w:eastAsia="zh-CN"/>
              </w:rPr>
              <w:t>GB16297-1996</w:t>
            </w:r>
            <w:r>
              <w:rPr>
                <w:rFonts w:hint="eastAsia"/>
                <w:color w:val="auto"/>
                <w:highlight w:val="none"/>
                <w:lang w:val="en-US" w:eastAsia="zh-CN"/>
              </w:rPr>
              <w:t>）</w:t>
            </w:r>
          </w:p>
        </w:tc>
      </w:tr>
      <w:tr w14:paraId="3C576B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62" w:type="pct"/>
            <w:vMerge w:val="continue"/>
            <w:vAlign w:val="center"/>
          </w:tcPr>
          <w:p w14:paraId="5EEF4BCA">
            <w:pPr>
              <w:pStyle w:val="17"/>
              <w:bidi w:val="0"/>
              <w:rPr>
                <w:rFonts w:hint="default" w:ascii="Times New Roman" w:hAnsi="Times New Roman" w:cs="Times New Roman"/>
                <w:color w:val="auto"/>
                <w:highlight w:val="none"/>
              </w:rPr>
            </w:pPr>
          </w:p>
        </w:tc>
        <w:tc>
          <w:tcPr>
            <w:tcW w:w="1157" w:type="pct"/>
            <w:vAlign w:val="center"/>
          </w:tcPr>
          <w:p w14:paraId="2413D2FF">
            <w:pPr>
              <w:pStyle w:val="17"/>
              <w:bidi w:val="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厂界</w:t>
            </w:r>
          </w:p>
        </w:tc>
        <w:tc>
          <w:tcPr>
            <w:tcW w:w="1117" w:type="pct"/>
            <w:vAlign w:val="center"/>
          </w:tcPr>
          <w:p w14:paraId="14624CED">
            <w:pPr>
              <w:pStyle w:val="17"/>
              <w:bidi w:val="0"/>
              <w:rPr>
                <w:rFonts w:hint="default"/>
                <w:color w:val="auto"/>
                <w:highlight w:val="none"/>
              </w:rPr>
            </w:pPr>
            <w:r>
              <w:rPr>
                <w:rFonts w:hint="eastAsia"/>
                <w:color w:val="auto"/>
                <w:highlight w:val="none"/>
                <w:lang w:val="en-US" w:eastAsia="zh-CN"/>
              </w:rPr>
              <w:t>颗粒物</w:t>
            </w:r>
            <w:r>
              <w:rPr>
                <w:rFonts w:hint="default"/>
                <w:color w:val="auto"/>
                <w:highlight w:val="none"/>
                <w:lang w:eastAsia="zh-CN"/>
              </w:rPr>
              <w:t>、氟化物</w:t>
            </w:r>
          </w:p>
        </w:tc>
        <w:tc>
          <w:tcPr>
            <w:tcW w:w="1167" w:type="pct"/>
            <w:vAlign w:val="center"/>
          </w:tcPr>
          <w:p w14:paraId="2DCC188C">
            <w:pPr>
              <w:pStyle w:val="17"/>
              <w:bidi w:val="0"/>
              <w:rPr>
                <w:rFonts w:hint="default"/>
                <w:color w:val="auto"/>
                <w:highlight w:val="none"/>
              </w:rPr>
            </w:pPr>
            <w:r>
              <w:rPr>
                <w:rFonts w:hint="eastAsia"/>
                <w:color w:val="auto"/>
                <w:highlight w:val="none"/>
                <w:lang w:val="en-US" w:eastAsia="zh-CN"/>
              </w:rPr>
              <w:t>年/次</w:t>
            </w:r>
          </w:p>
        </w:tc>
        <w:tc>
          <w:tcPr>
            <w:tcW w:w="1195" w:type="pct"/>
            <w:vAlign w:val="center"/>
          </w:tcPr>
          <w:p w14:paraId="190C6239">
            <w:pPr>
              <w:pStyle w:val="17"/>
              <w:bidi w:val="0"/>
              <w:rPr>
                <w:rFonts w:hint="default"/>
                <w:color w:val="auto"/>
                <w:highlight w:val="none"/>
              </w:rPr>
            </w:pPr>
            <w:r>
              <w:rPr>
                <w:rFonts w:hint="eastAsia"/>
                <w:color w:val="auto"/>
                <w:highlight w:val="none"/>
                <w:lang w:val="en-US" w:eastAsia="zh-CN"/>
              </w:rPr>
              <w:t>《大气污染物综合排放标准》（</w:t>
            </w:r>
            <w:r>
              <w:rPr>
                <w:rFonts w:hint="default"/>
                <w:color w:val="auto"/>
                <w:highlight w:val="none"/>
                <w:lang w:val="en-US" w:eastAsia="zh-CN"/>
              </w:rPr>
              <w:t>GB16297-1996</w:t>
            </w:r>
            <w:r>
              <w:rPr>
                <w:rFonts w:hint="eastAsia"/>
                <w:color w:val="auto"/>
                <w:highlight w:val="none"/>
                <w:lang w:val="en-US" w:eastAsia="zh-CN"/>
              </w:rPr>
              <w:t>）</w:t>
            </w:r>
          </w:p>
        </w:tc>
      </w:tr>
      <w:tr w14:paraId="68F88E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362" w:type="pct"/>
            <w:vAlign w:val="center"/>
          </w:tcPr>
          <w:p w14:paraId="680312BF">
            <w:pPr>
              <w:pStyle w:val="17"/>
              <w:bidi w:val="0"/>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噪声</w:t>
            </w:r>
          </w:p>
        </w:tc>
        <w:tc>
          <w:tcPr>
            <w:tcW w:w="1157" w:type="pct"/>
            <w:vAlign w:val="center"/>
          </w:tcPr>
          <w:p w14:paraId="1B6E784B">
            <w:pPr>
              <w:pStyle w:val="17"/>
              <w:bidi w:val="0"/>
              <w:rPr>
                <w:rFonts w:hint="default" w:ascii="Times New Roman" w:hAnsi="Times New Roman" w:cs="Times New Roman"/>
                <w:color w:val="auto"/>
                <w:highlight w:val="none"/>
              </w:rPr>
            </w:pPr>
            <w:r>
              <w:rPr>
                <w:rFonts w:hint="eastAsia" w:ascii="Times New Roman" w:hAnsi="Times New Roman" w:cs="Times New Roman" w:eastAsiaTheme="minorEastAsia"/>
                <w:color w:val="auto"/>
                <w:szCs w:val="21"/>
                <w:highlight w:val="none"/>
                <w:lang w:val="en-US" w:eastAsia="zh-CN"/>
              </w:rPr>
              <w:t>厂界</w:t>
            </w:r>
          </w:p>
        </w:tc>
        <w:tc>
          <w:tcPr>
            <w:tcW w:w="1117" w:type="pct"/>
            <w:vAlign w:val="center"/>
          </w:tcPr>
          <w:p w14:paraId="6CE455F8">
            <w:pPr>
              <w:pStyle w:val="17"/>
              <w:bidi w:val="0"/>
              <w:rPr>
                <w:rFonts w:hint="default"/>
                <w:color w:val="auto"/>
                <w:highlight w:val="none"/>
              </w:rPr>
            </w:pPr>
            <w:r>
              <w:rPr>
                <w:rFonts w:hint="eastAsia"/>
                <w:color w:val="auto"/>
                <w:highlight w:val="none"/>
                <w:lang w:val="en-US" w:eastAsia="zh-CN"/>
              </w:rPr>
              <w:t>等效连续</w:t>
            </w:r>
            <w:r>
              <w:rPr>
                <w:rFonts w:hint="default"/>
                <w:color w:val="auto"/>
                <w:highlight w:val="none"/>
                <w:lang w:val="en-US" w:eastAsia="zh-CN"/>
              </w:rPr>
              <w:t>A</w:t>
            </w:r>
            <w:r>
              <w:rPr>
                <w:rFonts w:hint="eastAsia"/>
                <w:color w:val="auto"/>
                <w:highlight w:val="none"/>
                <w:lang w:val="en-US" w:eastAsia="zh-CN"/>
              </w:rPr>
              <w:t>声级</w:t>
            </w:r>
          </w:p>
        </w:tc>
        <w:tc>
          <w:tcPr>
            <w:tcW w:w="1167" w:type="pct"/>
            <w:vAlign w:val="center"/>
          </w:tcPr>
          <w:p w14:paraId="4F47CF53">
            <w:pPr>
              <w:pStyle w:val="17"/>
              <w:bidi w:val="0"/>
              <w:rPr>
                <w:rFonts w:hint="default"/>
                <w:color w:val="auto"/>
                <w:highlight w:val="none"/>
              </w:rPr>
            </w:pPr>
            <w:r>
              <w:rPr>
                <w:rFonts w:hint="eastAsia"/>
                <w:color w:val="auto"/>
                <w:highlight w:val="none"/>
                <w:lang w:val="en-US" w:eastAsia="zh-CN"/>
              </w:rPr>
              <w:t>1次/季</w:t>
            </w:r>
          </w:p>
        </w:tc>
        <w:tc>
          <w:tcPr>
            <w:tcW w:w="1195" w:type="pct"/>
            <w:vAlign w:val="center"/>
          </w:tcPr>
          <w:p w14:paraId="0509F31D">
            <w:pPr>
              <w:pStyle w:val="17"/>
              <w:bidi w:val="0"/>
              <w:rPr>
                <w:rFonts w:hint="default"/>
                <w:color w:val="auto"/>
                <w:highlight w:val="none"/>
              </w:rPr>
            </w:pPr>
            <w:r>
              <w:rPr>
                <w:rFonts w:hint="eastAsia"/>
                <w:color w:val="auto"/>
                <w:highlight w:val="none"/>
                <w:lang w:val="en-US" w:eastAsia="zh-CN"/>
              </w:rPr>
              <w:t>《工业企业厂界环境噪声排放标准》（</w:t>
            </w:r>
            <w:r>
              <w:rPr>
                <w:rFonts w:hint="default"/>
                <w:color w:val="auto"/>
                <w:highlight w:val="none"/>
                <w:lang w:val="en-US" w:eastAsia="zh-CN"/>
              </w:rPr>
              <w:t>GB12348-2008</w:t>
            </w:r>
            <w:r>
              <w:rPr>
                <w:rFonts w:hint="eastAsia"/>
                <w:color w:val="auto"/>
                <w:highlight w:val="none"/>
                <w:lang w:val="en-US" w:eastAsia="zh-CN"/>
              </w:rPr>
              <w:t>）</w:t>
            </w:r>
          </w:p>
        </w:tc>
      </w:tr>
      <w:tr w14:paraId="04B77E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605" w:type="dxa"/>
            <w:vAlign w:val="center"/>
          </w:tcPr>
          <w:p w14:paraId="5FCEB374">
            <w:pPr>
              <w:pStyle w:val="17"/>
              <w:bidi w:val="0"/>
              <w:ind w:firstLine="0" w:firstLineChars="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废水</w:t>
            </w:r>
          </w:p>
        </w:tc>
        <w:tc>
          <w:tcPr>
            <w:tcW w:w="1935" w:type="dxa"/>
            <w:vAlign w:val="center"/>
          </w:tcPr>
          <w:p w14:paraId="7FB0E557">
            <w:pPr>
              <w:pStyle w:val="17"/>
              <w:bidi w:val="0"/>
              <w:ind w:firstLine="0" w:firstLineChars="0"/>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一体化污水处理设施出口</w:t>
            </w:r>
          </w:p>
        </w:tc>
        <w:tc>
          <w:tcPr>
            <w:tcW w:w="1117" w:type="pct"/>
            <w:vAlign w:val="center"/>
          </w:tcPr>
          <w:p w14:paraId="55171D5D">
            <w:pPr>
              <w:pStyle w:val="17"/>
              <w:bidi w:val="0"/>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color w:val="auto"/>
                <w:highlight w:val="none"/>
                <w:lang w:val="en-US" w:eastAsia="zh-CN"/>
              </w:rPr>
              <w:t>pH值、化学需氧量、五日生化需氧量、悬浮物、动植物油、大肠菌群数、氨氮</w:t>
            </w:r>
            <w:r>
              <w:rPr>
                <w:rFonts w:hint="eastAsia" w:ascii="Times New Roman" w:hAnsi="Times New Roman" w:cs="Times New Roman"/>
                <w:color w:val="auto"/>
                <w:highlight w:val="none"/>
                <w:lang w:val="en-US" w:eastAsia="zh-CN"/>
              </w:rPr>
              <w:t>等</w:t>
            </w:r>
          </w:p>
        </w:tc>
        <w:tc>
          <w:tcPr>
            <w:tcW w:w="1167" w:type="pct"/>
            <w:vAlign w:val="center"/>
          </w:tcPr>
          <w:p w14:paraId="701748DE">
            <w:pPr>
              <w:pStyle w:val="17"/>
              <w:bidi w:val="0"/>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color w:val="auto"/>
                <w:highlight w:val="none"/>
                <w:lang w:val="en-US" w:eastAsia="zh-CN"/>
              </w:rPr>
              <w:t>年/次</w:t>
            </w:r>
          </w:p>
        </w:tc>
        <w:tc>
          <w:tcPr>
            <w:tcW w:w="1195" w:type="pct"/>
            <w:vAlign w:val="center"/>
          </w:tcPr>
          <w:p w14:paraId="09ED623E">
            <w:pPr>
              <w:pStyle w:val="17"/>
              <w:bidi w:val="0"/>
              <w:rPr>
                <w:rFonts w:hint="eastAsia"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《农村生活污水处理排放标准》（DB65 4275-2019）</w:t>
            </w:r>
          </w:p>
        </w:tc>
      </w:tr>
    </w:tbl>
    <w:p w14:paraId="59FCC21F">
      <w:pPr>
        <w:pStyle w:val="7"/>
        <w:bidi w:val="0"/>
        <w:rPr>
          <w:rFonts w:hint="eastAsia"/>
          <w:color w:val="auto"/>
          <w:highlight w:val="none"/>
          <w:lang w:val="en-US" w:eastAsia="zh-CN"/>
        </w:rPr>
      </w:pPr>
      <w:bookmarkStart w:id="1021" w:name="_Toc10835"/>
      <w:bookmarkStart w:id="1022" w:name="_Toc107413913"/>
      <w:bookmarkStart w:id="1023" w:name="_Toc107414680"/>
      <w:r>
        <w:rPr>
          <w:rFonts w:hint="eastAsia"/>
          <w:color w:val="auto"/>
          <w:highlight w:val="none"/>
          <w:lang w:val="en-US" w:eastAsia="zh-CN"/>
        </w:rPr>
        <w:t>8.2.2.2环境质量监测</w:t>
      </w:r>
    </w:p>
    <w:p w14:paraId="3B1F5B2E">
      <w:pPr>
        <w:adjustRightInd w:val="0"/>
        <w:snapToGrid w:val="0"/>
        <w:spacing w:line="500" w:lineRule="exact"/>
        <w:ind w:firstLine="480" w:firstLineChars="200"/>
        <w:jc w:val="left"/>
        <w:rPr>
          <w:rFonts w:hint="eastAsia" w:ascii="Times New Roman" w:hAnsi="Times New Roman" w:cs="Times New Roman" w:eastAsiaTheme="minorEastAsia"/>
          <w:color w:val="auto"/>
          <w:sz w:val="24"/>
          <w:highlight w:val="none"/>
          <w:lang w:val="en-US" w:eastAsia="zh-CN"/>
        </w:rPr>
      </w:pPr>
      <w:r>
        <w:rPr>
          <w:rFonts w:hint="eastAsia" w:ascii="Times New Roman" w:hAnsi="Times New Roman" w:cs="Times New Roman" w:eastAsiaTheme="minorEastAsia"/>
          <w:color w:val="auto"/>
          <w:sz w:val="24"/>
          <w:highlight w:val="none"/>
          <w:lang w:val="en-US" w:eastAsia="zh-CN"/>
        </w:rPr>
        <w:t>根据《排污单位自行监测技术指南 总则》</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eastAsiaTheme="minorEastAsia"/>
          <w:color w:val="auto"/>
          <w:sz w:val="24"/>
          <w:highlight w:val="none"/>
          <w:lang w:val="en-US" w:eastAsia="zh-CN"/>
        </w:rPr>
        <w:t>HJ819-2017</w:t>
      </w:r>
      <w:r>
        <w:rPr>
          <w:rFonts w:hint="eastAsia" w:ascii="Times New Roman" w:hAnsi="Times New Roman" w:cs="Times New Roman"/>
          <w:color w:val="auto"/>
          <w:sz w:val="24"/>
          <w:highlight w:val="none"/>
          <w:lang w:val="en-US" w:eastAsia="zh-CN"/>
        </w:rPr>
        <w:t>）</w:t>
      </w:r>
      <w:r>
        <w:rPr>
          <w:rFonts w:hint="eastAsia" w:ascii="Times New Roman" w:hAnsi="Times New Roman" w:cs="Times New Roman" w:eastAsiaTheme="minorEastAsia"/>
          <w:color w:val="auto"/>
          <w:sz w:val="24"/>
          <w:highlight w:val="none"/>
          <w:lang w:val="en-US" w:eastAsia="zh-CN"/>
        </w:rPr>
        <w:t>要求，企业应定期开展周边环境质量影响的监测，监测方案如表</w:t>
      </w:r>
      <w:r>
        <w:rPr>
          <w:rFonts w:hint="default" w:ascii="Times New Roman" w:hAnsi="Times New Roman" w:cs="Times New Roman" w:eastAsiaTheme="minorEastAsia"/>
          <w:color w:val="auto"/>
          <w:sz w:val="24"/>
          <w:highlight w:val="none"/>
          <w:lang w:val="en-US" w:eastAsia="zh-CN"/>
        </w:rPr>
        <w:t>8.</w:t>
      </w:r>
      <w:r>
        <w:rPr>
          <w:rFonts w:hint="eastAsia" w:ascii="Times New Roman" w:hAnsi="Times New Roman" w:cs="Times New Roman" w:eastAsiaTheme="minorEastAsia"/>
          <w:color w:val="auto"/>
          <w:sz w:val="24"/>
          <w:highlight w:val="none"/>
          <w:lang w:val="en-US" w:eastAsia="zh-CN"/>
        </w:rPr>
        <w:t>2</w:t>
      </w:r>
      <w:r>
        <w:rPr>
          <w:rFonts w:hint="default" w:ascii="Times New Roman" w:hAnsi="Times New Roman" w:cs="Times New Roman" w:eastAsiaTheme="minorEastAsia"/>
          <w:color w:val="auto"/>
          <w:sz w:val="24"/>
          <w:highlight w:val="none"/>
          <w:lang w:val="en-US" w:eastAsia="zh-CN"/>
        </w:rPr>
        <w:t>-2</w:t>
      </w:r>
      <w:r>
        <w:rPr>
          <w:rFonts w:hint="eastAsia" w:ascii="Times New Roman" w:hAnsi="Times New Roman" w:cs="Times New Roman" w:eastAsiaTheme="minorEastAsia"/>
          <w:color w:val="auto"/>
          <w:sz w:val="24"/>
          <w:highlight w:val="none"/>
          <w:lang w:val="en-US" w:eastAsia="zh-CN"/>
        </w:rPr>
        <w:t>所示。</w:t>
      </w:r>
    </w:p>
    <w:p w14:paraId="783DCD31">
      <w:pPr>
        <w:snapToGrid w:val="0"/>
        <w:spacing w:before="241" w:beforeLines="50"/>
        <w:jc w:val="center"/>
        <w:rPr>
          <w:rFonts w:hint="eastAsia" w:ascii="Times New Roman" w:hAnsi="Times New Roman" w:cs="Times New Roman" w:eastAsiaTheme="minorEastAsia"/>
          <w:b/>
          <w:color w:val="auto"/>
          <w:szCs w:val="21"/>
          <w:highlight w:val="none"/>
          <w:lang w:val="en-US" w:eastAsia="zh-CN"/>
        </w:rPr>
      </w:pPr>
      <w:r>
        <w:rPr>
          <w:rFonts w:hint="eastAsia" w:ascii="Times New Roman" w:hAnsi="Times New Roman" w:cs="Times New Roman" w:eastAsiaTheme="minorEastAsia"/>
          <w:b/>
          <w:color w:val="auto"/>
          <w:szCs w:val="21"/>
          <w:highlight w:val="none"/>
          <w:lang w:val="en-US" w:eastAsia="zh-CN"/>
        </w:rPr>
        <w:t>表8.2-</w:t>
      </w:r>
      <w:r>
        <w:rPr>
          <w:rFonts w:hint="eastAsia" w:ascii="Times New Roman" w:hAnsi="Times New Roman" w:cs="Times New Roman"/>
          <w:b/>
          <w:color w:val="auto"/>
          <w:szCs w:val="21"/>
          <w:highlight w:val="none"/>
          <w:lang w:val="en-US" w:eastAsia="zh-CN"/>
        </w:rPr>
        <w:t>2</w:t>
      </w:r>
      <w:r>
        <w:rPr>
          <w:rFonts w:hint="eastAsia" w:ascii="Times New Roman" w:hAnsi="Times New Roman" w:cs="Times New Roman" w:eastAsiaTheme="minorEastAsia"/>
          <w:b/>
          <w:color w:val="auto"/>
          <w:szCs w:val="21"/>
          <w:highlight w:val="none"/>
          <w:lang w:val="en-US" w:eastAsia="zh-CN"/>
        </w:rPr>
        <w:t xml:space="preserve">  周边环境影响企业自行监测计划一览表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87"/>
        <w:gridCol w:w="4034"/>
        <w:gridCol w:w="896"/>
        <w:gridCol w:w="2001"/>
      </w:tblGrid>
      <w:tr w14:paraId="4CB4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E6BC7CF">
            <w:pPr>
              <w:pStyle w:val="17"/>
              <w:bidi w:val="0"/>
              <w:rPr>
                <w:rFonts w:hint="default"/>
                <w:color w:val="auto"/>
                <w:highlight w:val="none"/>
                <w:lang w:val="en-US" w:eastAsia="zh-CN"/>
              </w:rPr>
            </w:pPr>
            <w:r>
              <w:rPr>
                <w:rFonts w:hint="eastAsia"/>
                <w:color w:val="auto"/>
                <w:highlight w:val="none"/>
                <w:lang w:val="en-US" w:eastAsia="zh-CN"/>
              </w:rPr>
              <w:t>类型</w:t>
            </w:r>
          </w:p>
        </w:tc>
        <w:tc>
          <w:tcPr>
            <w:tcW w:w="887" w:type="dxa"/>
            <w:vAlign w:val="center"/>
          </w:tcPr>
          <w:p w14:paraId="11491449">
            <w:pPr>
              <w:pStyle w:val="17"/>
              <w:bidi w:val="0"/>
              <w:rPr>
                <w:rFonts w:hint="default"/>
                <w:color w:val="auto"/>
                <w:highlight w:val="none"/>
                <w:lang w:val="en-US" w:eastAsia="zh-CN"/>
              </w:rPr>
            </w:pPr>
            <w:r>
              <w:rPr>
                <w:rFonts w:hint="eastAsia"/>
                <w:color w:val="auto"/>
                <w:highlight w:val="none"/>
                <w:lang w:val="en-US" w:eastAsia="zh-CN"/>
              </w:rPr>
              <w:t>监测点位置</w:t>
            </w:r>
          </w:p>
        </w:tc>
        <w:tc>
          <w:tcPr>
            <w:tcW w:w="4034" w:type="dxa"/>
            <w:vAlign w:val="center"/>
          </w:tcPr>
          <w:p w14:paraId="48C403BC">
            <w:pPr>
              <w:pStyle w:val="17"/>
              <w:bidi w:val="0"/>
              <w:rPr>
                <w:rFonts w:hint="default"/>
                <w:color w:val="auto"/>
                <w:highlight w:val="none"/>
                <w:lang w:val="en-US" w:eastAsia="zh-CN"/>
              </w:rPr>
            </w:pPr>
            <w:r>
              <w:rPr>
                <w:rFonts w:hint="eastAsia"/>
                <w:color w:val="auto"/>
                <w:highlight w:val="none"/>
                <w:lang w:val="en-US" w:eastAsia="zh-CN"/>
              </w:rPr>
              <w:t>监测因子</w:t>
            </w:r>
          </w:p>
        </w:tc>
        <w:tc>
          <w:tcPr>
            <w:tcW w:w="896" w:type="dxa"/>
            <w:vAlign w:val="center"/>
          </w:tcPr>
          <w:p w14:paraId="0EB6BBAE">
            <w:pPr>
              <w:pStyle w:val="17"/>
              <w:bidi w:val="0"/>
              <w:rPr>
                <w:rFonts w:hint="default"/>
                <w:color w:val="auto"/>
                <w:highlight w:val="none"/>
                <w:lang w:val="en-US" w:eastAsia="zh-CN"/>
              </w:rPr>
            </w:pPr>
            <w:r>
              <w:rPr>
                <w:rFonts w:hint="eastAsia"/>
                <w:color w:val="auto"/>
                <w:highlight w:val="none"/>
                <w:lang w:val="en-US" w:eastAsia="zh-CN"/>
              </w:rPr>
              <w:t>监测频次</w:t>
            </w:r>
          </w:p>
        </w:tc>
        <w:tc>
          <w:tcPr>
            <w:tcW w:w="2001" w:type="dxa"/>
            <w:vAlign w:val="center"/>
          </w:tcPr>
          <w:p w14:paraId="5E23907C">
            <w:pPr>
              <w:pStyle w:val="17"/>
              <w:bidi w:val="0"/>
              <w:rPr>
                <w:rFonts w:hint="default"/>
                <w:color w:val="auto"/>
                <w:highlight w:val="none"/>
                <w:lang w:val="en-US" w:eastAsia="zh-CN"/>
              </w:rPr>
            </w:pPr>
            <w:r>
              <w:rPr>
                <w:rFonts w:hint="eastAsia"/>
                <w:color w:val="auto"/>
                <w:highlight w:val="none"/>
                <w:lang w:val="en-US" w:eastAsia="zh-CN"/>
              </w:rPr>
              <w:t>标准</w:t>
            </w:r>
          </w:p>
        </w:tc>
      </w:tr>
      <w:tr w14:paraId="41EF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auto"/>
            <w:vAlign w:val="center"/>
          </w:tcPr>
          <w:p w14:paraId="1DBF536B">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地下水</w:t>
            </w:r>
          </w:p>
        </w:tc>
        <w:tc>
          <w:tcPr>
            <w:tcW w:w="887" w:type="dxa"/>
            <w:shd w:val="clear" w:color="auto" w:fill="auto"/>
            <w:vAlign w:val="center"/>
          </w:tcPr>
          <w:p w14:paraId="645A1DF8">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上游1个点位，下游2个点位</w:t>
            </w:r>
          </w:p>
        </w:tc>
        <w:tc>
          <w:tcPr>
            <w:tcW w:w="4034" w:type="dxa"/>
            <w:shd w:val="clear" w:color="auto" w:fill="auto"/>
            <w:vAlign w:val="center"/>
          </w:tcPr>
          <w:p w14:paraId="216AE483">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色、嗅和味、浑浊度、肉眼可见物、pH、总硬度、溶解性总固体、硫酸盐、氯化物、铁、锰、铜、锌、铝、挥发性酚类（以苯酚计）、阴离子表面活性剂、耗氧量、氨氮、钠、总大肠菌群、菌落总数、硝酸盐氮（以N计）、亚硝酸盐氮（以N计）、氰化物、氟化物、碘化物、砷、汞、硒、镉、铬（六价）、铅、石油类、硫化物</w:t>
            </w:r>
          </w:p>
        </w:tc>
        <w:tc>
          <w:tcPr>
            <w:tcW w:w="896" w:type="dxa"/>
            <w:shd w:val="clear" w:color="auto" w:fill="auto"/>
            <w:vAlign w:val="center"/>
          </w:tcPr>
          <w:p w14:paraId="758A58F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每年监测一次</w:t>
            </w:r>
          </w:p>
        </w:tc>
        <w:tc>
          <w:tcPr>
            <w:tcW w:w="2001" w:type="dxa"/>
            <w:shd w:val="clear" w:color="auto" w:fill="auto"/>
            <w:vAlign w:val="center"/>
          </w:tcPr>
          <w:p w14:paraId="4F53DBC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《地下水质量标准》（GB/T14848-2017）Ⅲ类水体标准</w:t>
            </w:r>
          </w:p>
        </w:tc>
      </w:tr>
    </w:tbl>
    <w:p w14:paraId="3F1595AC">
      <w:pPr>
        <w:pStyle w:val="5"/>
        <w:rPr>
          <w:rFonts w:hint="default" w:ascii="Times New Roman" w:hAnsi="Times New Roman" w:cs="Times New Roman"/>
          <w:color w:val="auto"/>
          <w:highlight w:val="none"/>
        </w:rPr>
      </w:pPr>
      <w:bookmarkStart w:id="1024" w:name="_Toc9560"/>
      <w:r>
        <w:rPr>
          <w:rFonts w:hint="default" w:ascii="Times New Roman" w:hAnsi="Times New Roman" w:cs="Times New Roman"/>
          <w:color w:val="auto"/>
          <w:highlight w:val="none"/>
        </w:rPr>
        <w:t>8.</w:t>
      </w:r>
      <w:r>
        <w:rPr>
          <w:rFonts w:hint="eastAsia" w:cs="Times New Roman"/>
          <w:color w:val="auto"/>
          <w:highlight w:val="none"/>
          <w:lang w:val="en-US" w:eastAsia="zh-CN"/>
        </w:rPr>
        <w:t>3</w:t>
      </w:r>
      <w:r>
        <w:rPr>
          <w:rFonts w:hint="default" w:ascii="Times New Roman" w:hAnsi="Times New Roman" w:cs="Times New Roman"/>
          <w:color w:val="auto"/>
          <w:highlight w:val="none"/>
        </w:rPr>
        <w:t>环境管理措施及环保行动计划</w:t>
      </w:r>
      <w:bookmarkEnd w:id="1021"/>
      <w:bookmarkEnd w:id="1022"/>
      <w:bookmarkEnd w:id="1023"/>
      <w:bookmarkEnd w:id="1024"/>
    </w:p>
    <w:p w14:paraId="503C9C0F">
      <w:pPr>
        <w:overflowPunct w:val="0"/>
        <w:topLinePunct/>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本项目环境管理措施及环保行动计划见表8.</w:t>
      </w:r>
      <w:r>
        <w:rPr>
          <w:rFonts w:hint="eastAsia" w:cs="Times New Roman"/>
          <w:color w:val="auto"/>
          <w:highlight w:val="none"/>
          <w:lang w:val="en-US" w:eastAsia="zh-CN"/>
        </w:rPr>
        <w:t>3</w:t>
      </w:r>
      <w:r>
        <w:rPr>
          <w:rFonts w:hint="default" w:ascii="Times New Roman" w:hAnsi="Times New Roman" w:cs="Times New Roman"/>
          <w:color w:val="auto"/>
          <w:highlight w:val="none"/>
        </w:rPr>
        <w:t>-</w:t>
      </w:r>
      <w:r>
        <w:rPr>
          <w:rFonts w:hint="eastAsia" w:cs="Times New Roman"/>
          <w:color w:val="auto"/>
          <w:highlight w:val="none"/>
          <w:lang w:val="en-US" w:eastAsia="zh-CN"/>
        </w:rPr>
        <w:t>1</w:t>
      </w:r>
      <w:r>
        <w:rPr>
          <w:rFonts w:hint="default" w:ascii="Times New Roman" w:hAnsi="Times New Roman" w:cs="Times New Roman"/>
          <w:color w:val="auto"/>
          <w:highlight w:val="none"/>
        </w:rPr>
        <w:t>、8.</w:t>
      </w:r>
      <w:r>
        <w:rPr>
          <w:rFonts w:hint="eastAsia" w:cs="Times New Roman"/>
          <w:color w:val="auto"/>
          <w:highlight w:val="none"/>
          <w:lang w:val="en-US" w:eastAsia="zh-CN"/>
        </w:rPr>
        <w:t>3</w:t>
      </w:r>
      <w:r>
        <w:rPr>
          <w:rFonts w:hint="default" w:ascii="Times New Roman" w:hAnsi="Times New Roman" w:cs="Times New Roman"/>
          <w:color w:val="auto"/>
          <w:highlight w:val="none"/>
        </w:rPr>
        <w:t>-</w:t>
      </w:r>
      <w:r>
        <w:rPr>
          <w:rFonts w:hint="eastAsia" w:cs="Times New Roman"/>
          <w:color w:val="auto"/>
          <w:highlight w:val="none"/>
          <w:lang w:val="en-US" w:eastAsia="zh-CN"/>
        </w:rPr>
        <w:t>2</w:t>
      </w:r>
      <w:r>
        <w:rPr>
          <w:rFonts w:hint="default" w:ascii="Times New Roman" w:hAnsi="Times New Roman" w:cs="Times New Roman"/>
          <w:color w:val="auto"/>
          <w:highlight w:val="none"/>
        </w:rPr>
        <w:t>。</w:t>
      </w:r>
    </w:p>
    <w:p w14:paraId="5B1BB4A3">
      <w:pPr>
        <w:ind w:firstLine="0" w:firstLineChars="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表8.</w:t>
      </w:r>
      <w:r>
        <w:rPr>
          <w:rFonts w:hint="eastAsia" w:cs="Times New Roman" w:eastAsiaTheme="minorEastAsia"/>
          <w:b/>
          <w:color w:val="auto"/>
          <w:highlight w:val="none"/>
          <w:lang w:val="en-US" w:eastAsia="zh-CN"/>
        </w:rPr>
        <w:t>3-1</w:t>
      </w:r>
      <w:r>
        <w:rPr>
          <w:rFonts w:hint="default" w:ascii="Times New Roman" w:hAnsi="Times New Roman" w:cs="Times New Roman" w:eastAsiaTheme="minorEastAsia"/>
          <w:b/>
          <w:color w:val="auto"/>
          <w:highlight w:val="none"/>
        </w:rPr>
        <w:t xml:space="preserve">    运营期环境管理措施</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626"/>
        <w:gridCol w:w="1147"/>
        <w:gridCol w:w="1747"/>
      </w:tblGrid>
      <w:tr w14:paraId="6DB03D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3301" w:type="pct"/>
            <w:vAlign w:val="center"/>
          </w:tcPr>
          <w:p w14:paraId="25A044A5">
            <w:pPr>
              <w:pStyle w:val="17"/>
              <w:bidi w:val="0"/>
              <w:rPr>
                <w:rFonts w:hint="default"/>
                <w:color w:val="auto"/>
                <w:highlight w:val="none"/>
              </w:rPr>
            </w:pPr>
            <w:r>
              <w:rPr>
                <w:rFonts w:hint="default"/>
                <w:color w:val="auto"/>
                <w:highlight w:val="none"/>
              </w:rPr>
              <w:t>环境监控管理措施</w:t>
            </w:r>
          </w:p>
        </w:tc>
        <w:tc>
          <w:tcPr>
            <w:tcW w:w="673" w:type="pct"/>
            <w:vAlign w:val="center"/>
          </w:tcPr>
          <w:p w14:paraId="01651335">
            <w:pPr>
              <w:pStyle w:val="17"/>
              <w:bidi w:val="0"/>
              <w:rPr>
                <w:rFonts w:hint="default"/>
                <w:color w:val="auto"/>
                <w:highlight w:val="none"/>
              </w:rPr>
            </w:pPr>
            <w:r>
              <w:rPr>
                <w:rFonts w:hint="default"/>
                <w:color w:val="auto"/>
                <w:highlight w:val="none"/>
              </w:rPr>
              <w:t>实施方</w:t>
            </w:r>
          </w:p>
        </w:tc>
        <w:tc>
          <w:tcPr>
            <w:tcW w:w="1025" w:type="pct"/>
            <w:vAlign w:val="center"/>
          </w:tcPr>
          <w:p w14:paraId="392C33A6">
            <w:pPr>
              <w:pStyle w:val="17"/>
              <w:bidi w:val="0"/>
              <w:rPr>
                <w:rFonts w:hint="default"/>
                <w:color w:val="auto"/>
                <w:highlight w:val="none"/>
              </w:rPr>
            </w:pPr>
            <w:r>
              <w:rPr>
                <w:rFonts w:hint="default"/>
                <w:color w:val="auto"/>
                <w:highlight w:val="none"/>
              </w:rPr>
              <w:t>监督管理</w:t>
            </w:r>
          </w:p>
        </w:tc>
      </w:tr>
      <w:tr w14:paraId="36D55A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301" w:type="pct"/>
            <w:vAlign w:val="center"/>
          </w:tcPr>
          <w:p w14:paraId="58136A08">
            <w:pPr>
              <w:pStyle w:val="17"/>
              <w:bidi w:val="0"/>
              <w:jc w:val="left"/>
              <w:rPr>
                <w:rFonts w:hint="default"/>
                <w:color w:val="auto"/>
                <w:highlight w:val="none"/>
              </w:rPr>
            </w:pPr>
            <w:r>
              <w:rPr>
                <w:rFonts w:hint="default"/>
                <w:color w:val="auto"/>
                <w:highlight w:val="none"/>
              </w:rPr>
              <w:t>（1）废气</w:t>
            </w:r>
          </w:p>
          <w:p w14:paraId="3E656A63">
            <w:pPr>
              <w:pStyle w:val="17"/>
              <w:bidi w:val="0"/>
              <w:jc w:val="left"/>
              <w:rPr>
                <w:rFonts w:hint="default"/>
                <w:color w:val="auto"/>
                <w:highlight w:val="none"/>
              </w:rPr>
            </w:pPr>
            <w:r>
              <w:rPr>
                <w:rFonts w:hint="default"/>
                <w:color w:val="auto"/>
                <w:highlight w:val="none"/>
              </w:rPr>
              <w:t>①工作面和</w:t>
            </w:r>
            <w:r>
              <w:rPr>
                <w:rFonts w:hint="default"/>
                <w:color w:val="auto"/>
                <w:highlight w:val="none"/>
                <w:lang w:val="en-US" w:eastAsia="zh-CN"/>
              </w:rPr>
              <w:t>产尘</w:t>
            </w:r>
            <w:r>
              <w:rPr>
                <w:rFonts w:hint="default"/>
                <w:color w:val="auto"/>
                <w:highlight w:val="none"/>
              </w:rPr>
              <w:t>点喷雾洒水降尘。</w:t>
            </w:r>
          </w:p>
          <w:p w14:paraId="73E12946">
            <w:pPr>
              <w:pStyle w:val="17"/>
              <w:bidi w:val="0"/>
              <w:jc w:val="left"/>
              <w:rPr>
                <w:rFonts w:hint="default"/>
                <w:color w:val="auto"/>
                <w:highlight w:val="none"/>
              </w:rPr>
            </w:pPr>
            <w:r>
              <w:rPr>
                <w:rFonts w:hint="default"/>
                <w:color w:val="auto"/>
                <w:highlight w:val="none"/>
              </w:rPr>
              <w:t>②矿石装卸过程控制落差，降低扬尘量。</w:t>
            </w:r>
          </w:p>
          <w:p w14:paraId="1CEE653F">
            <w:pPr>
              <w:pStyle w:val="17"/>
              <w:bidi w:val="0"/>
              <w:jc w:val="left"/>
              <w:rPr>
                <w:rFonts w:hint="default"/>
                <w:color w:val="auto"/>
                <w:highlight w:val="none"/>
              </w:rPr>
            </w:pPr>
            <w:r>
              <w:rPr>
                <w:rFonts w:hint="default"/>
                <w:color w:val="auto"/>
                <w:highlight w:val="none"/>
              </w:rPr>
              <w:t>③矿区道路路面</w:t>
            </w:r>
            <w:r>
              <w:rPr>
                <w:rFonts w:hint="eastAsia"/>
                <w:color w:val="auto"/>
                <w:highlight w:val="none"/>
                <w:lang w:eastAsia="zh-CN"/>
              </w:rPr>
              <w:t>做</w:t>
            </w:r>
            <w:r>
              <w:rPr>
                <w:rFonts w:hint="default"/>
                <w:color w:val="auto"/>
                <w:highlight w:val="none"/>
              </w:rPr>
              <w:t>硬化处理及运输道路洒水。</w:t>
            </w:r>
          </w:p>
          <w:p w14:paraId="30E2417D">
            <w:pPr>
              <w:pStyle w:val="17"/>
              <w:bidi w:val="0"/>
              <w:jc w:val="left"/>
              <w:rPr>
                <w:rFonts w:hint="default"/>
                <w:color w:val="auto"/>
                <w:highlight w:val="none"/>
              </w:rPr>
            </w:pPr>
            <w:r>
              <w:rPr>
                <w:rFonts w:hint="default"/>
                <w:color w:val="auto"/>
                <w:highlight w:val="none"/>
              </w:rPr>
              <w:t>④加强工人的个人防护。</w:t>
            </w:r>
          </w:p>
          <w:p w14:paraId="14F7437E">
            <w:pPr>
              <w:pStyle w:val="17"/>
              <w:bidi w:val="0"/>
              <w:jc w:val="left"/>
              <w:rPr>
                <w:rFonts w:hint="default"/>
                <w:color w:val="auto"/>
                <w:highlight w:val="none"/>
              </w:rPr>
            </w:pPr>
            <w:r>
              <w:rPr>
                <w:rFonts w:hint="default"/>
                <w:color w:val="auto"/>
                <w:highlight w:val="none"/>
              </w:rPr>
              <w:t>⑤定期进行监测。</w:t>
            </w:r>
          </w:p>
        </w:tc>
        <w:tc>
          <w:tcPr>
            <w:tcW w:w="673" w:type="pct"/>
            <w:vAlign w:val="center"/>
          </w:tcPr>
          <w:p w14:paraId="54B9AF2D">
            <w:pPr>
              <w:pStyle w:val="17"/>
              <w:bidi w:val="0"/>
              <w:rPr>
                <w:rFonts w:hint="default"/>
                <w:color w:val="auto"/>
                <w:highlight w:val="none"/>
              </w:rPr>
            </w:pPr>
            <w:r>
              <w:rPr>
                <w:rFonts w:hint="default"/>
                <w:color w:val="auto"/>
                <w:highlight w:val="none"/>
              </w:rPr>
              <w:t>建设单位</w:t>
            </w:r>
          </w:p>
        </w:tc>
        <w:tc>
          <w:tcPr>
            <w:tcW w:w="1025" w:type="pct"/>
            <w:vAlign w:val="center"/>
          </w:tcPr>
          <w:p w14:paraId="4071EA94">
            <w:pPr>
              <w:pStyle w:val="17"/>
              <w:bidi w:val="0"/>
              <w:rPr>
                <w:rFonts w:hint="default"/>
                <w:color w:val="auto"/>
                <w:highlight w:val="none"/>
              </w:rPr>
            </w:pPr>
            <w:r>
              <w:rPr>
                <w:rFonts w:hint="default"/>
                <w:color w:val="auto"/>
                <w:highlight w:val="none"/>
              </w:rPr>
              <w:t>巴州生态环境局</w:t>
            </w:r>
            <w:r>
              <w:rPr>
                <w:rFonts w:hint="default"/>
                <w:color w:val="auto"/>
                <w:highlight w:val="none"/>
                <w:lang w:eastAsia="zh-CN"/>
              </w:rPr>
              <w:t>若羌</w:t>
            </w:r>
            <w:r>
              <w:rPr>
                <w:rFonts w:hint="default"/>
                <w:color w:val="auto"/>
                <w:highlight w:val="none"/>
              </w:rPr>
              <w:t>县分局</w:t>
            </w:r>
          </w:p>
        </w:tc>
      </w:tr>
      <w:tr w14:paraId="2E0F64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301" w:type="pct"/>
            <w:vAlign w:val="center"/>
          </w:tcPr>
          <w:p w14:paraId="0FD4A68E">
            <w:pPr>
              <w:pStyle w:val="17"/>
              <w:bidi w:val="0"/>
              <w:jc w:val="left"/>
              <w:rPr>
                <w:rFonts w:hint="default"/>
                <w:color w:val="auto"/>
                <w:highlight w:val="none"/>
              </w:rPr>
            </w:pPr>
            <w:r>
              <w:rPr>
                <w:rFonts w:hint="default"/>
                <w:color w:val="auto"/>
                <w:highlight w:val="none"/>
              </w:rPr>
              <w:t>（2）废水</w:t>
            </w:r>
          </w:p>
          <w:p w14:paraId="555428FD">
            <w:pPr>
              <w:pStyle w:val="17"/>
              <w:bidi w:val="0"/>
              <w:jc w:val="left"/>
              <w:rPr>
                <w:rFonts w:hint="default"/>
                <w:color w:val="auto"/>
                <w:highlight w:val="none"/>
              </w:rPr>
            </w:pPr>
            <w:r>
              <w:rPr>
                <w:rFonts w:hint="default"/>
                <w:color w:val="auto"/>
                <w:highlight w:val="none"/>
              </w:rPr>
              <w:t>①本项目生产废水闭路循环，不外排。</w:t>
            </w:r>
          </w:p>
          <w:p w14:paraId="59431A74">
            <w:pPr>
              <w:pStyle w:val="17"/>
              <w:bidi w:val="0"/>
              <w:jc w:val="left"/>
              <w:rPr>
                <w:rFonts w:hint="default"/>
                <w:color w:val="auto"/>
                <w:highlight w:val="none"/>
              </w:rPr>
            </w:pPr>
            <w:r>
              <w:rPr>
                <w:rFonts w:hint="default"/>
                <w:color w:val="auto"/>
                <w:highlight w:val="none"/>
              </w:rPr>
              <w:t>②生活污水排入</w:t>
            </w:r>
            <w:r>
              <w:rPr>
                <w:rFonts w:hint="default"/>
                <w:color w:val="auto"/>
                <w:highlight w:val="none"/>
                <w:lang w:val="en-US" w:eastAsia="zh-CN"/>
              </w:rPr>
              <w:t>地埋式污水处理设施</w:t>
            </w:r>
            <w:r>
              <w:rPr>
                <w:rFonts w:hint="default"/>
                <w:color w:val="auto"/>
                <w:highlight w:val="none"/>
              </w:rPr>
              <w:t>处理。</w:t>
            </w:r>
          </w:p>
        </w:tc>
        <w:tc>
          <w:tcPr>
            <w:tcW w:w="673" w:type="pct"/>
            <w:vAlign w:val="center"/>
          </w:tcPr>
          <w:p w14:paraId="1770F818">
            <w:pPr>
              <w:pStyle w:val="17"/>
              <w:bidi w:val="0"/>
              <w:rPr>
                <w:rFonts w:hint="default"/>
                <w:color w:val="auto"/>
                <w:highlight w:val="none"/>
              </w:rPr>
            </w:pPr>
            <w:r>
              <w:rPr>
                <w:rFonts w:hint="default"/>
                <w:color w:val="auto"/>
                <w:highlight w:val="none"/>
              </w:rPr>
              <w:t>建设单位</w:t>
            </w:r>
          </w:p>
        </w:tc>
        <w:tc>
          <w:tcPr>
            <w:tcW w:w="1025" w:type="pct"/>
            <w:vAlign w:val="center"/>
          </w:tcPr>
          <w:p w14:paraId="51F381C0">
            <w:pPr>
              <w:pStyle w:val="17"/>
              <w:bidi w:val="0"/>
              <w:rPr>
                <w:rFonts w:hint="default"/>
                <w:color w:val="auto"/>
                <w:highlight w:val="none"/>
              </w:rPr>
            </w:pPr>
            <w:r>
              <w:rPr>
                <w:rFonts w:hint="default"/>
                <w:color w:val="auto"/>
                <w:highlight w:val="none"/>
              </w:rPr>
              <w:t>巴州生态环境局</w:t>
            </w:r>
            <w:r>
              <w:rPr>
                <w:rFonts w:hint="default"/>
                <w:color w:val="auto"/>
                <w:highlight w:val="none"/>
                <w:lang w:eastAsia="zh-CN"/>
              </w:rPr>
              <w:t>若羌</w:t>
            </w:r>
            <w:r>
              <w:rPr>
                <w:rFonts w:hint="default"/>
                <w:color w:val="auto"/>
                <w:highlight w:val="none"/>
              </w:rPr>
              <w:t>县分局</w:t>
            </w:r>
          </w:p>
        </w:tc>
      </w:tr>
      <w:tr w14:paraId="7EC81E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301" w:type="pct"/>
            <w:vAlign w:val="center"/>
          </w:tcPr>
          <w:p w14:paraId="337B4F3B">
            <w:pPr>
              <w:pStyle w:val="17"/>
              <w:bidi w:val="0"/>
              <w:jc w:val="left"/>
              <w:rPr>
                <w:rFonts w:hint="default"/>
                <w:color w:val="auto"/>
                <w:highlight w:val="none"/>
              </w:rPr>
            </w:pPr>
            <w:r>
              <w:rPr>
                <w:rFonts w:hint="default"/>
                <w:color w:val="auto"/>
                <w:highlight w:val="none"/>
              </w:rPr>
              <w:t>（3）固体废物</w:t>
            </w:r>
          </w:p>
          <w:p w14:paraId="53FF4CD5">
            <w:pPr>
              <w:pStyle w:val="17"/>
              <w:bidi w:val="0"/>
              <w:jc w:val="left"/>
              <w:rPr>
                <w:rFonts w:hint="default"/>
                <w:color w:val="auto"/>
                <w:highlight w:val="none"/>
              </w:rPr>
            </w:pPr>
            <w:r>
              <w:rPr>
                <w:rFonts w:hint="default"/>
                <w:color w:val="auto"/>
                <w:highlight w:val="none"/>
              </w:rPr>
              <w:t>①一般固废合理堆放，尽量综合利用。</w:t>
            </w:r>
          </w:p>
          <w:p w14:paraId="2B98623D">
            <w:pPr>
              <w:pStyle w:val="17"/>
              <w:bidi w:val="0"/>
              <w:jc w:val="left"/>
              <w:rPr>
                <w:rFonts w:hint="default"/>
                <w:color w:val="auto"/>
                <w:highlight w:val="none"/>
              </w:rPr>
            </w:pPr>
            <w:r>
              <w:rPr>
                <w:rFonts w:hint="default"/>
                <w:color w:val="auto"/>
                <w:highlight w:val="none"/>
              </w:rPr>
              <w:t>②生活垃圾集中收集清运。</w:t>
            </w:r>
          </w:p>
          <w:p w14:paraId="36672A88">
            <w:pPr>
              <w:pStyle w:val="17"/>
              <w:bidi w:val="0"/>
              <w:jc w:val="left"/>
              <w:rPr>
                <w:rFonts w:hint="default"/>
                <w:color w:val="auto"/>
                <w:highlight w:val="none"/>
              </w:rPr>
            </w:pPr>
            <w:r>
              <w:rPr>
                <w:rFonts w:hint="default"/>
                <w:color w:val="auto"/>
                <w:highlight w:val="none"/>
              </w:rPr>
              <w:t>③危废暂存于</w:t>
            </w:r>
            <w:r>
              <w:rPr>
                <w:rFonts w:hint="default"/>
                <w:color w:val="auto"/>
                <w:highlight w:val="none"/>
                <w:lang w:eastAsia="zh-CN"/>
              </w:rPr>
              <w:t>危废贮存库</w:t>
            </w:r>
            <w:r>
              <w:rPr>
                <w:rFonts w:hint="default"/>
                <w:color w:val="auto"/>
                <w:highlight w:val="none"/>
              </w:rPr>
              <w:t>，定期委托有资质的单位处置。</w:t>
            </w:r>
          </w:p>
        </w:tc>
        <w:tc>
          <w:tcPr>
            <w:tcW w:w="673" w:type="pct"/>
            <w:vAlign w:val="center"/>
          </w:tcPr>
          <w:p w14:paraId="199E2F49">
            <w:pPr>
              <w:pStyle w:val="17"/>
              <w:bidi w:val="0"/>
              <w:rPr>
                <w:rFonts w:hint="default"/>
                <w:color w:val="auto"/>
                <w:highlight w:val="none"/>
              </w:rPr>
            </w:pPr>
            <w:r>
              <w:rPr>
                <w:rFonts w:hint="default"/>
                <w:color w:val="auto"/>
                <w:highlight w:val="none"/>
              </w:rPr>
              <w:t>建设单位</w:t>
            </w:r>
          </w:p>
        </w:tc>
        <w:tc>
          <w:tcPr>
            <w:tcW w:w="1025" w:type="pct"/>
            <w:vAlign w:val="center"/>
          </w:tcPr>
          <w:p w14:paraId="16689444">
            <w:pPr>
              <w:pStyle w:val="17"/>
              <w:bidi w:val="0"/>
              <w:rPr>
                <w:rFonts w:hint="default"/>
                <w:color w:val="auto"/>
                <w:highlight w:val="none"/>
              </w:rPr>
            </w:pPr>
            <w:r>
              <w:rPr>
                <w:rFonts w:hint="default"/>
                <w:color w:val="auto"/>
                <w:highlight w:val="none"/>
              </w:rPr>
              <w:t>巴州生态环境局</w:t>
            </w:r>
            <w:r>
              <w:rPr>
                <w:rFonts w:hint="default"/>
                <w:color w:val="auto"/>
                <w:highlight w:val="none"/>
                <w:lang w:eastAsia="zh-CN"/>
              </w:rPr>
              <w:t>若羌</w:t>
            </w:r>
            <w:r>
              <w:rPr>
                <w:rFonts w:hint="default"/>
                <w:color w:val="auto"/>
                <w:highlight w:val="none"/>
              </w:rPr>
              <w:t>县分局</w:t>
            </w:r>
          </w:p>
        </w:tc>
      </w:tr>
      <w:tr w14:paraId="2D24E2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301" w:type="pct"/>
            <w:vAlign w:val="center"/>
          </w:tcPr>
          <w:p w14:paraId="0C2FBDF3">
            <w:pPr>
              <w:pStyle w:val="17"/>
              <w:bidi w:val="0"/>
              <w:jc w:val="left"/>
              <w:rPr>
                <w:rFonts w:hint="default"/>
                <w:color w:val="auto"/>
                <w:highlight w:val="none"/>
              </w:rPr>
            </w:pPr>
            <w:r>
              <w:rPr>
                <w:rFonts w:hint="default"/>
                <w:color w:val="auto"/>
                <w:highlight w:val="none"/>
              </w:rPr>
              <w:t>（4）噪声</w:t>
            </w:r>
          </w:p>
          <w:p w14:paraId="216FF3B5">
            <w:pPr>
              <w:pStyle w:val="17"/>
              <w:bidi w:val="0"/>
              <w:jc w:val="left"/>
              <w:rPr>
                <w:rFonts w:hint="default"/>
                <w:color w:val="auto"/>
                <w:highlight w:val="none"/>
              </w:rPr>
            </w:pPr>
            <w:r>
              <w:rPr>
                <w:rFonts w:hint="default"/>
                <w:color w:val="auto"/>
                <w:highlight w:val="none"/>
              </w:rPr>
              <w:t>①选用低噪声设备及必要的消声措施。</w:t>
            </w:r>
          </w:p>
          <w:p w14:paraId="7527C95C">
            <w:pPr>
              <w:pStyle w:val="17"/>
              <w:bidi w:val="0"/>
              <w:jc w:val="left"/>
              <w:rPr>
                <w:rFonts w:hint="default"/>
                <w:color w:val="auto"/>
                <w:highlight w:val="none"/>
              </w:rPr>
            </w:pPr>
            <w:r>
              <w:rPr>
                <w:rFonts w:hint="default"/>
                <w:color w:val="auto"/>
                <w:highlight w:val="none"/>
              </w:rPr>
              <w:t>②保持设备良好的运营工况，及时维修检修。</w:t>
            </w:r>
          </w:p>
          <w:p w14:paraId="476B5341">
            <w:pPr>
              <w:pStyle w:val="17"/>
              <w:bidi w:val="0"/>
              <w:jc w:val="left"/>
              <w:rPr>
                <w:rFonts w:hint="default"/>
                <w:color w:val="auto"/>
                <w:highlight w:val="none"/>
              </w:rPr>
            </w:pPr>
            <w:r>
              <w:rPr>
                <w:rFonts w:hint="default"/>
                <w:color w:val="auto"/>
                <w:highlight w:val="none"/>
              </w:rPr>
              <w:t>③加强个人防护。</w:t>
            </w:r>
          </w:p>
        </w:tc>
        <w:tc>
          <w:tcPr>
            <w:tcW w:w="673" w:type="pct"/>
            <w:vAlign w:val="center"/>
          </w:tcPr>
          <w:p w14:paraId="341DD5B1">
            <w:pPr>
              <w:pStyle w:val="17"/>
              <w:bidi w:val="0"/>
              <w:rPr>
                <w:rFonts w:hint="default"/>
                <w:color w:val="auto"/>
                <w:highlight w:val="none"/>
              </w:rPr>
            </w:pPr>
            <w:r>
              <w:rPr>
                <w:rFonts w:hint="default"/>
                <w:color w:val="auto"/>
                <w:highlight w:val="none"/>
              </w:rPr>
              <w:t>建设单位</w:t>
            </w:r>
          </w:p>
        </w:tc>
        <w:tc>
          <w:tcPr>
            <w:tcW w:w="1025" w:type="pct"/>
            <w:vAlign w:val="center"/>
          </w:tcPr>
          <w:p w14:paraId="67A5C1E4">
            <w:pPr>
              <w:pStyle w:val="17"/>
              <w:bidi w:val="0"/>
              <w:rPr>
                <w:rFonts w:hint="default"/>
                <w:color w:val="auto"/>
                <w:highlight w:val="none"/>
              </w:rPr>
            </w:pPr>
            <w:r>
              <w:rPr>
                <w:rFonts w:hint="default"/>
                <w:color w:val="auto"/>
                <w:highlight w:val="none"/>
              </w:rPr>
              <w:t>巴州生态环境局</w:t>
            </w:r>
            <w:r>
              <w:rPr>
                <w:rFonts w:hint="default"/>
                <w:color w:val="auto"/>
                <w:highlight w:val="none"/>
                <w:lang w:eastAsia="zh-CN"/>
              </w:rPr>
              <w:t>若羌</w:t>
            </w:r>
            <w:r>
              <w:rPr>
                <w:rFonts w:hint="default"/>
                <w:color w:val="auto"/>
                <w:highlight w:val="none"/>
              </w:rPr>
              <w:t>县分局</w:t>
            </w:r>
          </w:p>
        </w:tc>
      </w:tr>
      <w:tr w14:paraId="40C826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37" w:hRule="atLeast"/>
          <w:jc w:val="center"/>
        </w:trPr>
        <w:tc>
          <w:tcPr>
            <w:tcW w:w="3301" w:type="pct"/>
            <w:vAlign w:val="center"/>
          </w:tcPr>
          <w:p w14:paraId="76F10C86">
            <w:pPr>
              <w:pStyle w:val="17"/>
              <w:bidi w:val="0"/>
              <w:jc w:val="left"/>
              <w:rPr>
                <w:rFonts w:hint="default"/>
                <w:color w:val="auto"/>
                <w:highlight w:val="none"/>
              </w:rPr>
            </w:pPr>
            <w:r>
              <w:rPr>
                <w:rFonts w:hint="default"/>
                <w:color w:val="auto"/>
                <w:highlight w:val="none"/>
              </w:rPr>
              <w:t>（5）生态保护</w:t>
            </w:r>
          </w:p>
          <w:p w14:paraId="081AF24B">
            <w:pPr>
              <w:pStyle w:val="17"/>
              <w:bidi w:val="0"/>
              <w:jc w:val="left"/>
              <w:rPr>
                <w:rFonts w:hint="default"/>
                <w:color w:val="auto"/>
                <w:highlight w:val="none"/>
              </w:rPr>
            </w:pPr>
            <w:r>
              <w:rPr>
                <w:rFonts w:hint="default"/>
                <w:color w:val="auto"/>
                <w:highlight w:val="none"/>
              </w:rPr>
              <w:t>①控制地表扰动面积。</w:t>
            </w:r>
          </w:p>
          <w:p w14:paraId="506882B9">
            <w:pPr>
              <w:pStyle w:val="17"/>
              <w:bidi w:val="0"/>
              <w:jc w:val="left"/>
              <w:rPr>
                <w:rFonts w:hint="default"/>
                <w:color w:val="auto"/>
                <w:highlight w:val="none"/>
              </w:rPr>
            </w:pPr>
            <w:r>
              <w:rPr>
                <w:rFonts w:hint="default"/>
                <w:color w:val="auto"/>
                <w:highlight w:val="none"/>
              </w:rPr>
              <w:t>②限制车辆行驶路线，减小影响范围。</w:t>
            </w:r>
          </w:p>
          <w:p w14:paraId="5E98EFDD">
            <w:pPr>
              <w:pStyle w:val="17"/>
              <w:bidi w:val="0"/>
              <w:jc w:val="left"/>
              <w:rPr>
                <w:rFonts w:hint="default"/>
                <w:color w:val="auto"/>
                <w:highlight w:val="none"/>
              </w:rPr>
            </w:pPr>
            <w:r>
              <w:rPr>
                <w:rFonts w:hint="default"/>
                <w:color w:val="auto"/>
                <w:highlight w:val="none"/>
              </w:rPr>
              <w:t>③做好水土保持工作。</w:t>
            </w:r>
          </w:p>
          <w:p w14:paraId="3533631F">
            <w:pPr>
              <w:pStyle w:val="17"/>
              <w:bidi w:val="0"/>
              <w:jc w:val="left"/>
              <w:rPr>
                <w:rFonts w:hint="default"/>
                <w:color w:val="auto"/>
                <w:highlight w:val="none"/>
              </w:rPr>
            </w:pPr>
            <w:r>
              <w:rPr>
                <w:rFonts w:hint="default"/>
                <w:color w:val="auto"/>
                <w:highlight w:val="none"/>
              </w:rPr>
              <w:t>④</w:t>
            </w:r>
            <w:r>
              <w:rPr>
                <w:rFonts w:hint="eastAsia"/>
                <w:color w:val="auto"/>
                <w:highlight w:val="none"/>
                <w:lang w:eastAsia="zh-CN"/>
              </w:rPr>
              <w:t>闭矿期</w:t>
            </w:r>
            <w:r>
              <w:rPr>
                <w:rFonts w:hint="default"/>
                <w:color w:val="auto"/>
                <w:highlight w:val="none"/>
              </w:rPr>
              <w:t>尽快开展生态恢复建设工作。</w:t>
            </w:r>
          </w:p>
        </w:tc>
        <w:tc>
          <w:tcPr>
            <w:tcW w:w="673" w:type="pct"/>
            <w:vAlign w:val="center"/>
          </w:tcPr>
          <w:p w14:paraId="64BA55E5">
            <w:pPr>
              <w:pStyle w:val="17"/>
              <w:bidi w:val="0"/>
              <w:rPr>
                <w:rFonts w:hint="default"/>
                <w:color w:val="auto"/>
                <w:highlight w:val="none"/>
              </w:rPr>
            </w:pPr>
            <w:r>
              <w:rPr>
                <w:rFonts w:hint="default"/>
                <w:color w:val="auto"/>
                <w:highlight w:val="none"/>
              </w:rPr>
              <w:t>建设单位</w:t>
            </w:r>
          </w:p>
        </w:tc>
        <w:tc>
          <w:tcPr>
            <w:tcW w:w="1025" w:type="pct"/>
            <w:vAlign w:val="center"/>
          </w:tcPr>
          <w:p w14:paraId="0C82433D">
            <w:pPr>
              <w:pStyle w:val="17"/>
              <w:bidi w:val="0"/>
              <w:rPr>
                <w:rFonts w:hint="default"/>
                <w:color w:val="auto"/>
                <w:highlight w:val="none"/>
              </w:rPr>
            </w:pPr>
            <w:r>
              <w:rPr>
                <w:rFonts w:hint="default"/>
                <w:color w:val="auto"/>
                <w:highlight w:val="none"/>
              </w:rPr>
              <w:t>巴州生态环境局</w:t>
            </w:r>
            <w:r>
              <w:rPr>
                <w:rFonts w:hint="default"/>
                <w:color w:val="auto"/>
                <w:highlight w:val="none"/>
                <w:lang w:eastAsia="zh-CN"/>
              </w:rPr>
              <w:t>若羌</w:t>
            </w:r>
            <w:r>
              <w:rPr>
                <w:rFonts w:hint="default"/>
                <w:color w:val="auto"/>
                <w:highlight w:val="none"/>
              </w:rPr>
              <w:t>县分局</w:t>
            </w:r>
          </w:p>
        </w:tc>
      </w:tr>
      <w:tr w14:paraId="3B9600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301" w:type="pct"/>
            <w:vAlign w:val="center"/>
          </w:tcPr>
          <w:p w14:paraId="50453D07">
            <w:pPr>
              <w:pStyle w:val="17"/>
              <w:bidi w:val="0"/>
              <w:jc w:val="left"/>
              <w:rPr>
                <w:rFonts w:hint="default"/>
                <w:color w:val="auto"/>
                <w:highlight w:val="none"/>
              </w:rPr>
            </w:pPr>
            <w:r>
              <w:rPr>
                <w:rFonts w:hint="default"/>
                <w:color w:val="auto"/>
                <w:highlight w:val="none"/>
              </w:rPr>
              <w:t>（6）安全措施</w:t>
            </w:r>
          </w:p>
          <w:p w14:paraId="0C066478">
            <w:pPr>
              <w:pStyle w:val="17"/>
              <w:bidi w:val="0"/>
              <w:jc w:val="left"/>
              <w:rPr>
                <w:rFonts w:hint="default"/>
                <w:color w:val="auto"/>
                <w:highlight w:val="none"/>
                <w:lang w:eastAsia="zh-CN"/>
              </w:rPr>
            </w:pPr>
            <w:r>
              <w:rPr>
                <w:rFonts w:hint="default"/>
                <w:color w:val="auto"/>
                <w:highlight w:val="none"/>
              </w:rPr>
              <w:t>尾矿库周边设置相应标识（安全警示牌、铁丝围栏等），避免事故发生。</w:t>
            </w:r>
            <w:r>
              <w:rPr>
                <w:rFonts w:hint="default"/>
                <w:color w:val="auto"/>
                <w:highlight w:val="none"/>
                <w:lang w:eastAsia="zh-CN"/>
              </w:rPr>
              <w:t>定期监测</w:t>
            </w:r>
            <w:r>
              <w:rPr>
                <w:rFonts w:hint="default"/>
                <w:color w:val="auto"/>
                <w:highlight w:val="none"/>
                <w:lang w:val="en-US" w:eastAsia="zh-CN"/>
              </w:rPr>
              <w:t>应监测位移、浸润线、干滩、库水位、降水量。尾矿坝安全检查内容包括坝的轮廓尺寸，变形，裂缝、滑坡和渗漏，坝面保护等。尾矿坝的位移监测可采用视准线法和前方交汇法；尾矿坝的位移监测每月监测，位移异常变化时应增加监测次数；尾矿坝的水位监测包括洪水位监测和地下水浸润线监测；水位监测每季度不少于1次，暴雨期间和水位异常波动时应增加监测次数。</w:t>
            </w:r>
          </w:p>
        </w:tc>
        <w:tc>
          <w:tcPr>
            <w:tcW w:w="673" w:type="pct"/>
            <w:vAlign w:val="center"/>
          </w:tcPr>
          <w:p w14:paraId="44FB8BDD">
            <w:pPr>
              <w:pStyle w:val="17"/>
              <w:bidi w:val="0"/>
              <w:rPr>
                <w:rFonts w:hint="default"/>
                <w:color w:val="auto"/>
                <w:highlight w:val="none"/>
              </w:rPr>
            </w:pPr>
            <w:r>
              <w:rPr>
                <w:rFonts w:hint="default"/>
                <w:color w:val="auto"/>
                <w:highlight w:val="none"/>
              </w:rPr>
              <w:t>建设单位</w:t>
            </w:r>
          </w:p>
        </w:tc>
        <w:tc>
          <w:tcPr>
            <w:tcW w:w="1025" w:type="pct"/>
            <w:vAlign w:val="center"/>
          </w:tcPr>
          <w:p w14:paraId="7DCAF059">
            <w:pPr>
              <w:pStyle w:val="17"/>
              <w:bidi w:val="0"/>
              <w:rPr>
                <w:rFonts w:hint="default"/>
                <w:color w:val="auto"/>
                <w:highlight w:val="none"/>
                <w:lang w:eastAsia="zh-CN"/>
              </w:rPr>
            </w:pPr>
            <w:r>
              <w:rPr>
                <w:rFonts w:hint="default"/>
                <w:color w:val="auto"/>
                <w:highlight w:val="none"/>
              </w:rPr>
              <w:t>巴州生态环境局</w:t>
            </w:r>
            <w:r>
              <w:rPr>
                <w:rFonts w:hint="default"/>
                <w:color w:val="auto"/>
                <w:highlight w:val="none"/>
                <w:lang w:eastAsia="zh-CN"/>
              </w:rPr>
              <w:t>若羌</w:t>
            </w:r>
            <w:r>
              <w:rPr>
                <w:rFonts w:hint="default"/>
                <w:color w:val="auto"/>
                <w:highlight w:val="none"/>
              </w:rPr>
              <w:t>县分局</w:t>
            </w:r>
            <w:r>
              <w:rPr>
                <w:rFonts w:hint="default"/>
                <w:color w:val="auto"/>
                <w:highlight w:val="none"/>
                <w:lang w:eastAsia="zh-CN"/>
              </w:rPr>
              <w:t>、应急管理局</w:t>
            </w:r>
          </w:p>
        </w:tc>
      </w:tr>
      <w:tr w14:paraId="262D62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301" w:type="pct"/>
            <w:vAlign w:val="center"/>
          </w:tcPr>
          <w:p w14:paraId="7F8A302B">
            <w:pPr>
              <w:pStyle w:val="17"/>
              <w:bidi w:val="0"/>
              <w:jc w:val="left"/>
              <w:rPr>
                <w:rFonts w:hint="default"/>
                <w:color w:val="auto"/>
                <w:highlight w:val="none"/>
              </w:rPr>
            </w:pPr>
            <w:r>
              <w:rPr>
                <w:rFonts w:hint="default"/>
                <w:color w:val="auto"/>
                <w:highlight w:val="none"/>
              </w:rPr>
              <w:t>（7）环境管理</w:t>
            </w:r>
          </w:p>
          <w:p w14:paraId="6BB362D6">
            <w:pPr>
              <w:pStyle w:val="17"/>
              <w:bidi w:val="0"/>
              <w:jc w:val="left"/>
              <w:rPr>
                <w:rFonts w:hint="default"/>
                <w:color w:val="auto"/>
                <w:highlight w:val="none"/>
              </w:rPr>
            </w:pPr>
            <w:r>
              <w:rPr>
                <w:rFonts w:hint="default"/>
                <w:color w:val="auto"/>
                <w:highlight w:val="none"/>
              </w:rPr>
              <w:t>建立环境管理，制定环境管理手段，按要求开展环境监测，完善矿区环境管理工作。按照《生态环境档案管理规范 生态环境监测》（HJ8.2-2020）中相关要求，建立生态环境档案。</w:t>
            </w:r>
          </w:p>
        </w:tc>
        <w:tc>
          <w:tcPr>
            <w:tcW w:w="673" w:type="pct"/>
            <w:vAlign w:val="center"/>
          </w:tcPr>
          <w:p w14:paraId="1377749A">
            <w:pPr>
              <w:pStyle w:val="17"/>
              <w:bidi w:val="0"/>
              <w:rPr>
                <w:rFonts w:hint="default"/>
                <w:color w:val="auto"/>
                <w:highlight w:val="none"/>
              </w:rPr>
            </w:pPr>
            <w:r>
              <w:rPr>
                <w:rFonts w:hint="default"/>
                <w:color w:val="auto"/>
                <w:highlight w:val="none"/>
              </w:rPr>
              <w:t>建设单位</w:t>
            </w:r>
          </w:p>
        </w:tc>
        <w:tc>
          <w:tcPr>
            <w:tcW w:w="1025" w:type="pct"/>
            <w:vAlign w:val="center"/>
          </w:tcPr>
          <w:p w14:paraId="13B3A5D0">
            <w:pPr>
              <w:pStyle w:val="17"/>
              <w:bidi w:val="0"/>
              <w:rPr>
                <w:rFonts w:hint="default"/>
                <w:color w:val="auto"/>
                <w:highlight w:val="none"/>
              </w:rPr>
            </w:pPr>
            <w:r>
              <w:rPr>
                <w:rFonts w:hint="default"/>
                <w:color w:val="auto"/>
                <w:highlight w:val="none"/>
              </w:rPr>
              <w:t>巴州生态环境局</w:t>
            </w:r>
            <w:r>
              <w:rPr>
                <w:rFonts w:hint="default"/>
                <w:color w:val="auto"/>
                <w:highlight w:val="none"/>
                <w:lang w:eastAsia="zh-CN"/>
              </w:rPr>
              <w:t>若羌</w:t>
            </w:r>
            <w:r>
              <w:rPr>
                <w:rFonts w:hint="default"/>
                <w:color w:val="auto"/>
                <w:highlight w:val="none"/>
              </w:rPr>
              <w:t>县分局</w:t>
            </w:r>
          </w:p>
        </w:tc>
      </w:tr>
    </w:tbl>
    <w:p w14:paraId="3E01CB46">
      <w:pPr>
        <w:ind w:firstLine="0" w:firstLineChars="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表8.</w:t>
      </w:r>
      <w:r>
        <w:rPr>
          <w:rFonts w:hint="eastAsia" w:cs="Times New Roman" w:eastAsiaTheme="minorEastAsia"/>
          <w:b/>
          <w:color w:val="auto"/>
          <w:highlight w:val="none"/>
          <w:lang w:val="en-US" w:eastAsia="zh-CN"/>
        </w:rPr>
        <w:t>3-2</w:t>
      </w:r>
      <w:r>
        <w:rPr>
          <w:rFonts w:hint="default" w:ascii="Times New Roman" w:hAnsi="Times New Roman" w:cs="Times New Roman" w:eastAsiaTheme="minorEastAsia"/>
          <w:b/>
          <w:color w:val="auto"/>
          <w:highlight w:val="none"/>
        </w:rPr>
        <w:t xml:space="preserve">    环保行动计划</w:t>
      </w:r>
    </w:p>
    <w:tbl>
      <w:tblPr>
        <w:tblStyle w:val="1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080"/>
        <w:gridCol w:w="4485"/>
        <w:gridCol w:w="1144"/>
        <w:gridCol w:w="962"/>
      </w:tblGrid>
      <w:tr w14:paraId="003A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3863E81B">
            <w:pPr>
              <w:pStyle w:val="17"/>
              <w:bidi w:val="0"/>
              <w:rPr>
                <w:rFonts w:hint="default"/>
                <w:color w:val="auto"/>
                <w:highlight w:val="none"/>
              </w:rPr>
            </w:pPr>
            <w:r>
              <w:rPr>
                <w:rFonts w:hint="default"/>
                <w:color w:val="auto"/>
                <w:highlight w:val="none"/>
              </w:rPr>
              <w:t>时段</w:t>
            </w:r>
          </w:p>
        </w:tc>
        <w:tc>
          <w:tcPr>
            <w:tcW w:w="1080" w:type="dxa"/>
            <w:vAlign w:val="center"/>
          </w:tcPr>
          <w:p w14:paraId="63F62FA5">
            <w:pPr>
              <w:pStyle w:val="17"/>
              <w:bidi w:val="0"/>
              <w:rPr>
                <w:rFonts w:hint="default"/>
                <w:color w:val="auto"/>
                <w:highlight w:val="none"/>
              </w:rPr>
            </w:pPr>
            <w:r>
              <w:rPr>
                <w:rFonts w:hint="default"/>
                <w:color w:val="auto"/>
                <w:highlight w:val="none"/>
              </w:rPr>
              <w:t>环境问题</w:t>
            </w:r>
          </w:p>
        </w:tc>
        <w:tc>
          <w:tcPr>
            <w:tcW w:w="4485" w:type="dxa"/>
            <w:vAlign w:val="center"/>
          </w:tcPr>
          <w:p w14:paraId="3CF473AC">
            <w:pPr>
              <w:pStyle w:val="17"/>
              <w:bidi w:val="0"/>
              <w:rPr>
                <w:rFonts w:hint="default"/>
                <w:color w:val="auto"/>
                <w:highlight w:val="none"/>
              </w:rPr>
            </w:pPr>
            <w:r>
              <w:rPr>
                <w:rFonts w:hint="default"/>
                <w:color w:val="auto"/>
                <w:highlight w:val="none"/>
              </w:rPr>
              <w:t>环境保护措施</w:t>
            </w:r>
          </w:p>
        </w:tc>
        <w:tc>
          <w:tcPr>
            <w:tcW w:w="1144" w:type="dxa"/>
            <w:vAlign w:val="center"/>
          </w:tcPr>
          <w:p w14:paraId="34967DB5">
            <w:pPr>
              <w:pStyle w:val="17"/>
              <w:bidi w:val="0"/>
              <w:rPr>
                <w:rFonts w:hint="default"/>
                <w:color w:val="auto"/>
                <w:highlight w:val="none"/>
              </w:rPr>
            </w:pPr>
            <w:r>
              <w:rPr>
                <w:rFonts w:hint="default"/>
                <w:color w:val="auto"/>
                <w:highlight w:val="none"/>
              </w:rPr>
              <w:t>实施责任单位</w:t>
            </w:r>
          </w:p>
        </w:tc>
        <w:tc>
          <w:tcPr>
            <w:tcW w:w="962" w:type="dxa"/>
            <w:vAlign w:val="center"/>
          </w:tcPr>
          <w:p w14:paraId="660FDCD7">
            <w:pPr>
              <w:pStyle w:val="17"/>
              <w:bidi w:val="0"/>
              <w:rPr>
                <w:rFonts w:hint="default"/>
                <w:color w:val="auto"/>
                <w:highlight w:val="none"/>
              </w:rPr>
            </w:pPr>
            <w:r>
              <w:rPr>
                <w:rFonts w:hint="default"/>
                <w:color w:val="auto"/>
                <w:highlight w:val="none"/>
              </w:rPr>
              <w:t>监督责任单位</w:t>
            </w:r>
          </w:p>
        </w:tc>
      </w:tr>
      <w:tr w14:paraId="24BB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5F418728">
            <w:pPr>
              <w:pStyle w:val="17"/>
              <w:bidi w:val="0"/>
              <w:rPr>
                <w:rFonts w:hint="default"/>
                <w:color w:val="auto"/>
                <w:highlight w:val="none"/>
              </w:rPr>
            </w:pPr>
            <w:r>
              <w:rPr>
                <w:rFonts w:hint="default"/>
                <w:color w:val="auto"/>
                <w:highlight w:val="none"/>
              </w:rPr>
              <w:t>运营期</w:t>
            </w:r>
          </w:p>
        </w:tc>
        <w:tc>
          <w:tcPr>
            <w:tcW w:w="1080" w:type="dxa"/>
            <w:vAlign w:val="center"/>
          </w:tcPr>
          <w:p w14:paraId="42D90754">
            <w:pPr>
              <w:pStyle w:val="17"/>
              <w:bidi w:val="0"/>
              <w:rPr>
                <w:rFonts w:hint="default"/>
                <w:color w:val="auto"/>
                <w:highlight w:val="none"/>
              </w:rPr>
            </w:pPr>
            <w:r>
              <w:rPr>
                <w:rFonts w:hint="default"/>
                <w:color w:val="auto"/>
                <w:highlight w:val="none"/>
              </w:rPr>
              <w:t>生态保护</w:t>
            </w:r>
          </w:p>
        </w:tc>
        <w:tc>
          <w:tcPr>
            <w:tcW w:w="4485" w:type="dxa"/>
            <w:vAlign w:val="center"/>
          </w:tcPr>
          <w:p w14:paraId="2FED7564">
            <w:pPr>
              <w:pStyle w:val="17"/>
              <w:bidi w:val="0"/>
              <w:rPr>
                <w:rFonts w:hint="default"/>
                <w:color w:val="auto"/>
                <w:highlight w:val="none"/>
              </w:rPr>
            </w:pPr>
            <w:r>
              <w:rPr>
                <w:rFonts w:hint="default"/>
                <w:color w:val="auto"/>
                <w:highlight w:val="none"/>
              </w:rPr>
              <w:t>1.对进入厂区的一切人员严格要求，不得随意乱扔垃圾；</w:t>
            </w:r>
          </w:p>
          <w:p w14:paraId="39988BCD">
            <w:pPr>
              <w:pStyle w:val="17"/>
              <w:bidi w:val="0"/>
              <w:rPr>
                <w:rFonts w:hint="default"/>
                <w:color w:val="auto"/>
                <w:highlight w:val="none"/>
              </w:rPr>
            </w:pPr>
            <w:r>
              <w:rPr>
                <w:rFonts w:hint="default"/>
                <w:color w:val="auto"/>
                <w:highlight w:val="none"/>
              </w:rPr>
              <w:t>2.对于工程运营期产生的固废和生活垃圾等都要进行定点处理排放，最大限度</w:t>
            </w:r>
            <w:r>
              <w:rPr>
                <w:rFonts w:hint="eastAsia"/>
                <w:color w:val="auto"/>
                <w:highlight w:val="none"/>
                <w:lang w:eastAsia="zh-CN"/>
              </w:rPr>
              <w:t>地</w:t>
            </w:r>
            <w:r>
              <w:rPr>
                <w:rFonts w:hint="default"/>
                <w:color w:val="auto"/>
                <w:highlight w:val="none"/>
              </w:rPr>
              <w:t>保护</w:t>
            </w:r>
            <w:r>
              <w:rPr>
                <w:rFonts w:hint="eastAsia"/>
                <w:color w:val="auto"/>
                <w:highlight w:val="none"/>
                <w:lang w:eastAsia="zh-CN"/>
              </w:rPr>
              <w:t>项目区</w:t>
            </w:r>
            <w:r>
              <w:rPr>
                <w:rFonts w:hint="default"/>
                <w:color w:val="auto"/>
                <w:highlight w:val="none"/>
              </w:rPr>
              <w:t>的周围环境；</w:t>
            </w:r>
          </w:p>
        </w:tc>
        <w:tc>
          <w:tcPr>
            <w:tcW w:w="1144" w:type="dxa"/>
            <w:vAlign w:val="center"/>
          </w:tcPr>
          <w:p w14:paraId="42E24391">
            <w:pPr>
              <w:pStyle w:val="17"/>
              <w:bidi w:val="0"/>
              <w:rPr>
                <w:rFonts w:hint="default"/>
                <w:color w:val="auto"/>
                <w:highlight w:val="none"/>
              </w:rPr>
            </w:pPr>
            <w:r>
              <w:rPr>
                <w:rFonts w:hint="default"/>
                <w:color w:val="auto"/>
                <w:highlight w:val="none"/>
              </w:rPr>
              <w:t>建设单位</w:t>
            </w:r>
          </w:p>
        </w:tc>
        <w:tc>
          <w:tcPr>
            <w:tcW w:w="962" w:type="dxa"/>
            <w:vMerge w:val="restart"/>
            <w:vAlign w:val="center"/>
          </w:tcPr>
          <w:p w14:paraId="1FE00E16">
            <w:pPr>
              <w:pStyle w:val="17"/>
              <w:bidi w:val="0"/>
              <w:rPr>
                <w:rFonts w:hint="default"/>
                <w:color w:val="auto"/>
                <w:highlight w:val="none"/>
              </w:rPr>
            </w:pPr>
            <w:r>
              <w:rPr>
                <w:rFonts w:hint="default"/>
                <w:color w:val="auto"/>
                <w:highlight w:val="none"/>
                <w:lang w:val="en-US" w:eastAsia="zh-CN"/>
              </w:rPr>
              <w:t>巴州生态环境局若羌县分局</w:t>
            </w:r>
          </w:p>
        </w:tc>
      </w:tr>
      <w:tr w14:paraId="1994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1E50E225">
            <w:pPr>
              <w:pStyle w:val="17"/>
              <w:bidi w:val="0"/>
              <w:rPr>
                <w:rFonts w:hint="eastAsia"/>
                <w:color w:val="auto"/>
                <w:highlight w:val="none"/>
                <w:lang w:eastAsia="zh-CN"/>
              </w:rPr>
            </w:pPr>
            <w:r>
              <w:rPr>
                <w:rFonts w:hint="eastAsia"/>
                <w:color w:val="auto"/>
                <w:highlight w:val="none"/>
                <w:lang w:eastAsia="zh-CN"/>
              </w:rPr>
              <w:t>闭矿期</w:t>
            </w:r>
          </w:p>
        </w:tc>
        <w:tc>
          <w:tcPr>
            <w:tcW w:w="1080" w:type="dxa"/>
            <w:vAlign w:val="center"/>
          </w:tcPr>
          <w:p w14:paraId="31ABF88E">
            <w:pPr>
              <w:pStyle w:val="17"/>
              <w:bidi w:val="0"/>
              <w:rPr>
                <w:rFonts w:hint="default"/>
                <w:color w:val="auto"/>
                <w:highlight w:val="none"/>
              </w:rPr>
            </w:pPr>
            <w:r>
              <w:rPr>
                <w:rFonts w:hint="default"/>
                <w:color w:val="auto"/>
                <w:highlight w:val="none"/>
              </w:rPr>
              <w:t>生态保护</w:t>
            </w:r>
          </w:p>
        </w:tc>
        <w:tc>
          <w:tcPr>
            <w:tcW w:w="4485" w:type="dxa"/>
            <w:vAlign w:val="center"/>
          </w:tcPr>
          <w:p w14:paraId="7286ADD4">
            <w:pPr>
              <w:pStyle w:val="17"/>
              <w:bidi w:val="0"/>
              <w:rPr>
                <w:rFonts w:hint="default"/>
                <w:color w:val="auto"/>
                <w:highlight w:val="none"/>
              </w:rPr>
            </w:pPr>
            <w:r>
              <w:rPr>
                <w:rFonts w:hint="eastAsia"/>
                <w:color w:val="auto"/>
                <w:highlight w:val="none"/>
                <w:lang w:val="en-US" w:eastAsia="zh-CN"/>
              </w:rPr>
              <w:t>矿山生态修复</w:t>
            </w:r>
            <w:r>
              <w:rPr>
                <w:rFonts w:hint="default"/>
                <w:color w:val="auto"/>
                <w:highlight w:val="none"/>
              </w:rPr>
              <w:t>及绿化</w:t>
            </w:r>
          </w:p>
        </w:tc>
        <w:tc>
          <w:tcPr>
            <w:tcW w:w="1144" w:type="dxa"/>
            <w:vAlign w:val="center"/>
          </w:tcPr>
          <w:p w14:paraId="14BB36D6">
            <w:pPr>
              <w:pStyle w:val="17"/>
              <w:bidi w:val="0"/>
              <w:rPr>
                <w:rFonts w:hint="default"/>
                <w:color w:val="auto"/>
                <w:highlight w:val="none"/>
              </w:rPr>
            </w:pPr>
            <w:r>
              <w:rPr>
                <w:rFonts w:hint="default"/>
                <w:color w:val="auto"/>
                <w:highlight w:val="none"/>
              </w:rPr>
              <w:t>建设单位</w:t>
            </w:r>
          </w:p>
        </w:tc>
        <w:tc>
          <w:tcPr>
            <w:tcW w:w="962" w:type="dxa"/>
            <w:vMerge w:val="continue"/>
            <w:vAlign w:val="center"/>
          </w:tcPr>
          <w:p w14:paraId="2AF0CD88">
            <w:pPr>
              <w:pStyle w:val="17"/>
              <w:bidi w:val="0"/>
              <w:rPr>
                <w:rFonts w:hint="default"/>
                <w:color w:val="auto"/>
                <w:highlight w:val="none"/>
              </w:rPr>
            </w:pPr>
          </w:p>
        </w:tc>
      </w:tr>
    </w:tbl>
    <w:p w14:paraId="6F7026F7">
      <w:pPr>
        <w:pStyle w:val="5"/>
        <w:rPr>
          <w:rFonts w:hint="default" w:ascii="Times New Roman" w:hAnsi="Times New Roman" w:cs="Times New Roman"/>
          <w:color w:val="auto"/>
          <w:highlight w:val="none"/>
        </w:rPr>
      </w:pPr>
      <w:bookmarkStart w:id="1025" w:name="_Toc107414681"/>
      <w:bookmarkStart w:id="1026" w:name="_Toc3106"/>
      <w:bookmarkStart w:id="1027" w:name="_Toc107413914"/>
      <w:bookmarkStart w:id="1028" w:name="_Toc26628"/>
      <w:r>
        <w:rPr>
          <w:rFonts w:hint="default" w:ascii="Times New Roman" w:hAnsi="Times New Roman" w:cs="Times New Roman"/>
          <w:color w:val="auto"/>
          <w:highlight w:val="none"/>
        </w:rPr>
        <w:t>8.</w:t>
      </w:r>
      <w:r>
        <w:rPr>
          <w:rFonts w:hint="eastAsia" w:cs="Times New Roman"/>
          <w:color w:val="auto"/>
          <w:highlight w:val="none"/>
          <w:lang w:val="en-US" w:eastAsia="zh-CN"/>
        </w:rPr>
        <w:t>4</w:t>
      </w:r>
      <w:r>
        <w:rPr>
          <w:rFonts w:hint="default" w:ascii="Times New Roman" w:hAnsi="Times New Roman" w:cs="Times New Roman"/>
          <w:color w:val="auto"/>
          <w:highlight w:val="none"/>
        </w:rPr>
        <w:t>环境保护竣工验收计划</w:t>
      </w:r>
      <w:bookmarkEnd w:id="1025"/>
      <w:bookmarkEnd w:id="1026"/>
      <w:bookmarkEnd w:id="1027"/>
      <w:bookmarkEnd w:id="1028"/>
    </w:p>
    <w:p w14:paraId="484BFDEF">
      <w:pPr>
        <w:overflowPunct w:val="0"/>
        <w:topLinePunct/>
        <w:ind w:firstLine="480"/>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“三同时”验收针对本项目环保设施进行验收，验收内容见表8.</w:t>
      </w:r>
      <w:r>
        <w:rPr>
          <w:rFonts w:hint="eastAsia" w:cs="Times New Roman" w:eastAsiaTheme="minorEastAsia"/>
          <w:color w:val="auto"/>
          <w:szCs w:val="21"/>
          <w:highlight w:val="none"/>
          <w:lang w:val="en-US" w:eastAsia="zh-CN"/>
        </w:rPr>
        <w:t>4</w:t>
      </w:r>
      <w:r>
        <w:rPr>
          <w:rFonts w:hint="default" w:ascii="Times New Roman" w:hAnsi="Times New Roman" w:cs="Times New Roman" w:eastAsiaTheme="minorEastAsia"/>
          <w:color w:val="auto"/>
          <w:szCs w:val="21"/>
          <w:highlight w:val="none"/>
        </w:rPr>
        <w:t>-1。</w:t>
      </w:r>
    </w:p>
    <w:p w14:paraId="4FA8C559">
      <w:pPr>
        <w:pStyle w:val="19"/>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表8.</w:t>
      </w:r>
      <w:r>
        <w:rPr>
          <w:rFonts w:hint="eastAsia" w:cs="Times New Roman"/>
          <w:color w:val="auto"/>
          <w:highlight w:val="none"/>
          <w:lang w:val="en-US" w:eastAsia="zh-CN"/>
        </w:rPr>
        <w:t>4</w:t>
      </w:r>
      <w:r>
        <w:rPr>
          <w:rFonts w:hint="default" w:ascii="Times New Roman" w:hAnsi="Times New Roman" w:cs="Times New Roman"/>
          <w:color w:val="auto"/>
          <w:highlight w:val="none"/>
        </w:rPr>
        <w:t>-1    环境保护“三同时”验收一览表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
        <w:gridCol w:w="443"/>
        <w:gridCol w:w="1466"/>
        <w:gridCol w:w="1447"/>
        <w:gridCol w:w="2357"/>
        <w:gridCol w:w="2363"/>
      </w:tblGrid>
      <w:tr w14:paraId="79EA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60" w:type="pct"/>
            <w:tcBorders>
              <w:tl2br w:val="nil"/>
              <w:tr2bl w:val="nil"/>
            </w:tcBorders>
            <w:vAlign w:val="center"/>
          </w:tcPr>
          <w:p w14:paraId="33940042">
            <w:pPr>
              <w:pStyle w:val="17"/>
              <w:bidi w:val="0"/>
              <w:rPr>
                <w:rFonts w:hint="default"/>
                <w:color w:val="auto"/>
                <w:highlight w:val="none"/>
              </w:rPr>
            </w:pPr>
            <w:r>
              <w:rPr>
                <w:rFonts w:hint="default"/>
                <w:color w:val="auto"/>
                <w:highlight w:val="none"/>
              </w:rPr>
              <w:t>工段</w:t>
            </w:r>
          </w:p>
        </w:tc>
        <w:tc>
          <w:tcPr>
            <w:tcW w:w="260" w:type="pct"/>
            <w:tcBorders>
              <w:tl2br w:val="nil"/>
              <w:tr2bl w:val="nil"/>
            </w:tcBorders>
            <w:vAlign w:val="center"/>
          </w:tcPr>
          <w:p w14:paraId="64536C12">
            <w:pPr>
              <w:pStyle w:val="17"/>
              <w:bidi w:val="0"/>
              <w:rPr>
                <w:rFonts w:hint="default"/>
                <w:color w:val="auto"/>
                <w:highlight w:val="none"/>
              </w:rPr>
            </w:pPr>
            <w:r>
              <w:rPr>
                <w:rFonts w:hint="default"/>
                <w:color w:val="auto"/>
                <w:highlight w:val="none"/>
              </w:rPr>
              <w:t>类别</w:t>
            </w:r>
          </w:p>
        </w:tc>
        <w:tc>
          <w:tcPr>
            <w:tcW w:w="860" w:type="pct"/>
            <w:tcBorders>
              <w:tl2br w:val="nil"/>
              <w:tr2bl w:val="nil"/>
            </w:tcBorders>
            <w:vAlign w:val="center"/>
          </w:tcPr>
          <w:p w14:paraId="0BC359D0">
            <w:pPr>
              <w:pStyle w:val="17"/>
              <w:bidi w:val="0"/>
              <w:rPr>
                <w:rFonts w:hint="default"/>
                <w:color w:val="auto"/>
                <w:highlight w:val="none"/>
              </w:rPr>
            </w:pPr>
            <w:r>
              <w:rPr>
                <w:rFonts w:hint="default"/>
                <w:color w:val="auto"/>
                <w:highlight w:val="none"/>
              </w:rPr>
              <w:t>污染源</w:t>
            </w:r>
          </w:p>
        </w:tc>
        <w:tc>
          <w:tcPr>
            <w:tcW w:w="849" w:type="pct"/>
            <w:tcBorders>
              <w:tl2br w:val="nil"/>
              <w:tr2bl w:val="nil"/>
            </w:tcBorders>
            <w:vAlign w:val="center"/>
          </w:tcPr>
          <w:p w14:paraId="1FF20018">
            <w:pPr>
              <w:pStyle w:val="17"/>
              <w:bidi w:val="0"/>
              <w:rPr>
                <w:rFonts w:hint="default"/>
                <w:color w:val="auto"/>
                <w:highlight w:val="none"/>
              </w:rPr>
            </w:pPr>
            <w:r>
              <w:rPr>
                <w:rFonts w:hint="eastAsia"/>
                <w:color w:val="auto"/>
                <w:highlight w:val="none"/>
                <w:lang w:val="en-US" w:eastAsia="zh-CN"/>
              </w:rPr>
              <w:t>污染因子</w:t>
            </w:r>
          </w:p>
        </w:tc>
        <w:tc>
          <w:tcPr>
            <w:tcW w:w="1383" w:type="pct"/>
            <w:tcBorders>
              <w:tl2br w:val="nil"/>
              <w:tr2bl w:val="nil"/>
            </w:tcBorders>
            <w:vAlign w:val="center"/>
          </w:tcPr>
          <w:p w14:paraId="002A4D63">
            <w:pPr>
              <w:pStyle w:val="17"/>
              <w:bidi w:val="0"/>
              <w:rPr>
                <w:rFonts w:hint="eastAsia"/>
                <w:color w:val="auto"/>
                <w:highlight w:val="none"/>
                <w:lang w:eastAsia="zh-CN"/>
              </w:rPr>
            </w:pPr>
            <w:r>
              <w:rPr>
                <w:rFonts w:hint="eastAsia"/>
                <w:color w:val="auto"/>
                <w:highlight w:val="none"/>
                <w:lang w:val="en-US" w:eastAsia="zh-CN"/>
              </w:rPr>
              <w:t>治理措施</w:t>
            </w:r>
          </w:p>
        </w:tc>
        <w:tc>
          <w:tcPr>
            <w:tcW w:w="1386" w:type="pct"/>
            <w:tcBorders>
              <w:tl2br w:val="nil"/>
              <w:tr2bl w:val="nil"/>
            </w:tcBorders>
            <w:vAlign w:val="center"/>
          </w:tcPr>
          <w:p w14:paraId="513E0B0E">
            <w:pPr>
              <w:pStyle w:val="17"/>
              <w:bidi w:val="0"/>
              <w:rPr>
                <w:rFonts w:hint="default"/>
                <w:color w:val="auto"/>
                <w:highlight w:val="none"/>
                <w:lang w:val="en-US" w:eastAsia="zh-CN"/>
              </w:rPr>
            </w:pPr>
            <w:r>
              <w:rPr>
                <w:rFonts w:hint="eastAsia"/>
                <w:color w:val="auto"/>
                <w:highlight w:val="none"/>
                <w:lang w:val="en-US" w:eastAsia="zh-CN"/>
              </w:rPr>
              <w:t>验收要求</w:t>
            </w:r>
          </w:p>
        </w:tc>
      </w:tr>
      <w:tr w14:paraId="1C1D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restart"/>
            <w:tcBorders>
              <w:tl2br w:val="nil"/>
              <w:tr2bl w:val="nil"/>
            </w:tcBorders>
            <w:vAlign w:val="center"/>
          </w:tcPr>
          <w:p w14:paraId="78CDFD74">
            <w:pPr>
              <w:pStyle w:val="17"/>
              <w:bidi w:val="0"/>
              <w:rPr>
                <w:rFonts w:hint="default"/>
                <w:color w:val="auto"/>
                <w:highlight w:val="none"/>
              </w:rPr>
            </w:pPr>
            <w:r>
              <w:rPr>
                <w:rFonts w:hint="default"/>
                <w:color w:val="auto"/>
                <w:highlight w:val="none"/>
              </w:rPr>
              <w:t>运营期</w:t>
            </w:r>
          </w:p>
        </w:tc>
        <w:tc>
          <w:tcPr>
            <w:tcW w:w="260" w:type="pct"/>
            <w:vMerge w:val="restart"/>
            <w:tcBorders>
              <w:tl2br w:val="nil"/>
              <w:tr2bl w:val="nil"/>
            </w:tcBorders>
            <w:vAlign w:val="center"/>
          </w:tcPr>
          <w:p w14:paraId="2DE8D137">
            <w:pPr>
              <w:pStyle w:val="17"/>
              <w:bidi w:val="0"/>
              <w:rPr>
                <w:rFonts w:hint="default"/>
                <w:color w:val="auto"/>
                <w:highlight w:val="none"/>
              </w:rPr>
            </w:pPr>
            <w:r>
              <w:rPr>
                <w:rFonts w:hint="default"/>
                <w:color w:val="auto"/>
                <w:highlight w:val="none"/>
              </w:rPr>
              <w:t>废气</w:t>
            </w:r>
          </w:p>
        </w:tc>
        <w:tc>
          <w:tcPr>
            <w:tcW w:w="860" w:type="pct"/>
            <w:tcBorders>
              <w:tl2br w:val="nil"/>
              <w:tr2bl w:val="nil"/>
            </w:tcBorders>
            <w:vAlign w:val="center"/>
          </w:tcPr>
          <w:p w14:paraId="027D71A2">
            <w:pPr>
              <w:pStyle w:val="17"/>
              <w:bidi w:val="0"/>
              <w:rPr>
                <w:rFonts w:hint="default"/>
                <w:color w:val="auto"/>
                <w:highlight w:val="none"/>
                <w:lang w:val="en-US" w:eastAsia="zh-CN"/>
              </w:rPr>
            </w:pPr>
            <w:r>
              <w:rPr>
                <w:rFonts w:hint="eastAsia"/>
                <w:color w:val="auto"/>
                <w:highlight w:val="none"/>
                <w:lang w:val="en-US" w:eastAsia="zh-CN"/>
              </w:rPr>
              <w:t>粗矿仓排气筒</w:t>
            </w:r>
          </w:p>
        </w:tc>
        <w:tc>
          <w:tcPr>
            <w:tcW w:w="849" w:type="pct"/>
            <w:vMerge w:val="restart"/>
            <w:tcBorders>
              <w:tl2br w:val="nil"/>
              <w:tr2bl w:val="nil"/>
            </w:tcBorders>
            <w:vAlign w:val="center"/>
          </w:tcPr>
          <w:p w14:paraId="47C3ABEB">
            <w:pPr>
              <w:pStyle w:val="17"/>
              <w:bidi w:val="0"/>
              <w:rPr>
                <w:rFonts w:hint="eastAsia"/>
                <w:color w:val="auto"/>
                <w:highlight w:val="none"/>
                <w:lang w:val="en-US" w:eastAsia="zh-CN"/>
              </w:rPr>
            </w:pPr>
            <w:r>
              <w:rPr>
                <w:rFonts w:hint="eastAsia"/>
                <w:color w:val="auto"/>
                <w:highlight w:val="none"/>
                <w:lang w:val="en-US" w:eastAsia="zh-CN"/>
              </w:rPr>
              <w:t>颗粒物、氟化物</w:t>
            </w:r>
          </w:p>
        </w:tc>
        <w:tc>
          <w:tcPr>
            <w:tcW w:w="1383" w:type="pct"/>
            <w:tcBorders>
              <w:tl2br w:val="nil"/>
              <w:tr2bl w:val="nil"/>
            </w:tcBorders>
            <w:vAlign w:val="center"/>
          </w:tcPr>
          <w:p w14:paraId="663BF4E8">
            <w:pPr>
              <w:pStyle w:val="17"/>
              <w:bidi w:val="0"/>
              <w:rPr>
                <w:rFonts w:hint="default"/>
                <w:color w:val="auto"/>
                <w:highlight w:val="none"/>
              </w:rPr>
            </w:pPr>
            <w:r>
              <w:rPr>
                <w:rFonts w:hint="default"/>
                <w:color w:val="auto"/>
                <w:highlight w:val="none"/>
              </w:rPr>
              <w:t>布袋除尘器+</w:t>
            </w:r>
            <w:r>
              <w:rPr>
                <w:rFonts w:hint="eastAsia"/>
                <w:color w:val="auto"/>
                <w:highlight w:val="none"/>
                <w:lang w:val="en-US" w:eastAsia="zh-CN"/>
              </w:rPr>
              <w:t>15m</w:t>
            </w:r>
            <w:r>
              <w:rPr>
                <w:rFonts w:hint="default"/>
                <w:color w:val="auto"/>
                <w:highlight w:val="none"/>
              </w:rPr>
              <w:t>排气筒</w:t>
            </w:r>
          </w:p>
        </w:tc>
        <w:tc>
          <w:tcPr>
            <w:tcW w:w="1386" w:type="pct"/>
            <w:vMerge w:val="restart"/>
            <w:tcBorders>
              <w:tl2br w:val="nil"/>
              <w:tr2bl w:val="nil"/>
            </w:tcBorders>
            <w:vAlign w:val="center"/>
          </w:tcPr>
          <w:p w14:paraId="32FD40FB">
            <w:pPr>
              <w:pStyle w:val="17"/>
              <w:bidi w:val="0"/>
              <w:rPr>
                <w:rFonts w:hint="default"/>
                <w:color w:val="auto"/>
                <w:highlight w:val="none"/>
              </w:rPr>
            </w:pPr>
            <w:r>
              <w:rPr>
                <w:rFonts w:hint="default"/>
                <w:color w:val="auto"/>
                <w:highlight w:val="none"/>
                <w:lang w:val="en-US" w:eastAsia="zh-CN"/>
              </w:rPr>
              <w:t>《大气污染物综合排放标准》（GB16297-1996）要求</w:t>
            </w:r>
          </w:p>
        </w:tc>
      </w:tr>
      <w:tr w14:paraId="20E4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78DC7E78">
            <w:pPr>
              <w:pStyle w:val="17"/>
              <w:bidi w:val="0"/>
              <w:rPr>
                <w:rFonts w:hint="default"/>
                <w:color w:val="auto"/>
                <w:highlight w:val="none"/>
              </w:rPr>
            </w:pPr>
          </w:p>
        </w:tc>
        <w:tc>
          <w:tcPr>
            <w:tcW w:w="260" w:type="pct"/>
            <w:vMerge w:val="continue"/>
            <w:tcBorders>
              <w:tl2br w:val="nil"/>
              <w:tr2bl w:val="nil"/>
            </w:tcBorders>
            <w:vAlign w:val="center"/>
          </w:tcPr>
          <w:p w14:paraId="50D2130B">
            <w:pPr>
              <w:pStyle w:val="17"/>
              <w:bidi w:val="0"/>
              <w:rPr>
                <w:rFonts w:hint="default"/>
                <w:color w:val="auto"/>
                <w:highlight w:val="none"/>
              </w:rPr>
            </w:pPr>
          </w:p>
        </w:tc>
        <w:tc>
          <w:tcPr>
            <w:tcW w:w="860" w:type="pct"/>
            <w:tcBorders>
              <w:tl2br w:val="nil"/>
              <w:tr2bl w:val="nil"/>
            </w:tcBorders>
            <w:vAlign w:val="center"/>
          </w:tcPr>
          <w:p w14:paraId="3E6FB342">
            <w:pPr>
              <w:pStyle w:val="17"/>
              <w:bidi w:val="0"/>
              <w:rPr>
                <w:rFonts w:hint="default"/>
                <w:color w:val="auto"/>
                <w:highlight w:val="none"/>
                <w:lang w:val="en-US" w:eastAsia="zh-CN"/>
              </w:rPr>
            </w:pPr>
            <w:r>
              <w:rPr>
                <w:rFonts w:hint="eastAsia"/>
                <w:color w:val="auto"/>
                <w:highlight w:val="none"/>
                <w:lang w:val="en-US" w:eastAsia="zh-CN"/>
              </w:rPr>
              <w:t>中细碎厂房排气筒</w:t>
            </w:r>
          </w:p>
        </w:tc>
        <w:tc>
          <w:tcPr>
            <w:tcW w:w="849" w:type="pct"/>
            <w:vMerge w:val="continue"/>
            <w:tcBorders>
              <w:tl2br w:val="nil"/>
              <w:tr2bl w:val="nil"/>
            </w:tcBorders>
            <w:vAlign w:val="center"/>
          </w:tcPr>
          <w:p w14:paraId="4497A299">
            <w:pPr>
              <w:pStyle w:val="17"/>
              <w:bidi w:val="0"/>
              <w:rPr>
                <w:rFonts w:hint="eastAsia"/>
                <w:color w:val="auto"/>
                <w:highlight w:val="none"/>
                <w:lang w:val="en-US" w:eastAsia="zh-CN"/>
              </w:rPr>
            </w:pPr>
          </w:p>
        </w:tc>
        <w:tc>
          <w:tcPr>
            <w:tcW w:w="1383" w:type="pct"/>
            <w:tcBorders>
              <w:tl2br w:val="nil"/>
              <w:tr2bl w:val="nil"/>
            </w:tcBorders>
            <w:vAlign w:val="center"/>
          </w:tcPr>
          <w:p w14:paraId="2ADED785">
            <w:pPr>
              <w:pStyle w:val="17"/>
              <w:bidi w:val="0"/>
              <w:rPr>
                <w:rFonts w:hint="default"/>
                <w:color w:val="auto"/>
                <w:highlight w:val="none"/>
              </w:rPr>
            </w:pPr>
            <w:r>
              <w:rPr>
                <w:rFonts w:hint="default"/>
                <w:color w:val="auto"/>
                <w:highlight w:val="none"/>
              </w:rPr>
              <w:t>布袋除尘器+</w:t>
            </w:r>
            <w:r>
              <w:rPr>
                <w:rFonts w:hint="eastAsia"/>
                <w:color w:val="auto"/>
                <w:highlight w:val="none"/>
                <w:lang w:val="en-US" w:eastAsia="zh-CN"/>
              </w:rPr>
              <w:t>15m</w:t>
            </w:r>
            <w:r>
              <w:rPr>
                <w:rFonts w:hint="default"/>
                <w:color w:val="auto"/>
                <w:highlight w:val="none"/>
              </w:rPr>
              <w:t>排气筒</w:t>
            </w:r>
          </w:p>
        </w:tc>
        <w:tc>
          <w:tcPr>
            <w:tcW w:w="1386" w:type="pct"/>
            <w:vMerge w:val="continue"/>
            <w:tcBorders>
              <w:tl2br w:val="nil"/>
              <w:tr2bl w:val="nil"/>
            </w:tcBorders>
            <w:vAlign w:val="center"/>
          </w:tcPr>
          <w:p w14:paraId="3605F5D3">
            <w:pPr>
              <w:pStyle w:val="17"/>
              <w:bidi w:val="0"/>
              <w:rPr>
                <w:rFonts w:hint="default"/>
                <w:color w:val="auto"/>
                <w:highlight w:val="none"/>
              </w:rPr>
            </w:pPr>
          </w:p>
        </w:tc>
      </w:tr>
      <w:tr w14:paraId="6ECB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076336E4">
            <w:pPr>
              <w:pStyle w:val="17"/>
              <w:bidi w:val="0"/>
              <w:rPr>
                <w:rFonts w:hint="default"/>
                <w:color w:val="auto"/>
                <w:highlight w:val="none"/>
              </w:rPr>
            </w:pPr>
          </w:p>
        </w:tc>
        <w:tc>
          <w:tcPr>
            <w:tcW w:w="260" w:type="pct"/>
            <w:vMerge w:val="continue"/>
            <w:tcBorders>
              <w:tl2br w:val="nil"/>
              <w:tr2bl w:val="nil"/>
            </w:tcBorders>
            <w:vAlign w:val="center"/>
          </w:tcPr>
          <w:p w14:paraId="79915CD4">
            <w:pPr>
              <w:pStyle w:val="17"/>
              <w:bidi w:val="0"/>
              <w:rPr>
                <w:rFonts w:hint="default"/>
                <w:color w:val="auto"/>
                <w:highlight w:val="none"/>
              </w:rPr>
            </w:pPr>
          </w:p>
        </w:tc>
        <w:tc>
          <w:tcPr>
            <w:tcW w:w="860" w:type="pct"/>
            <w:tcBorders>
              <w:tl2br w:val="nil"/>
              <w:tr2bl w:val="nil"/>
            </w:tcBorders>
            <w:vAlign w:val="center"/>
          </w:tcPr>
          <w:p w14:paraId="3FCE8598">
            <w:pPr>
              <w:pStyle w:val="17"/>
              <w:bidi w:val="0"/>
              <w:rPr>
                <w:rFonts w:hint="default"/>
                <w:color w:val="auto"/>
                <w:highlight w:val="none"/>
                <w:lang w:val="en-US" w:eastAsia="zh-CN"/>
              </w:rPr>
            </w:pPr>
            <w:r>
              <w:rPr>
                <w:rFonts w:hint="eastAsia"/>
                <w:color w:val="auto"/>
                <w:highlight w:val="none"/>
                <w:lang w:val="en-US" w:eastAsia="zh-CN"/>
              </w:rPr>
              <w:t>筛分厂房排气筒</w:t>
            </w:r>
          </w:p>
        </w:tc>
        <w:tc>
          <w:tcPr>
            <w:tcW w:w="849" w:type="pct"/>
            <w:vMerge w:val="continue"/>
            <w:tcBorders>
              <w:tl2br w:val="nil"/>
              <w:tr2bl w:val="nil"/>
            </w:tcBorders>
            <w:vAlign w:val="center"/>
          </w:tcPr>
          <w:p w14:paraId="73BAF57B">
            <w:pPr>
              <w:pStyle w:val="17"/>
              <w:bidi w:val="0"/>
              <w:rPr>
                <w:rFonts w:hint="eastAsia"/>
                <w:color w:val="auto"/>
                <w:highlight w:val="none"/>
                <w:lang w:val="en-US" w:eastAsia="zh-CN"/>
              </w:rPr>
            </w:pPr>
          </w:p>
        </w:tc>
        <w:tc>
          <w:tcPr>
            <w:tcW w:w="1383" w:type="pct"/>
            <w:tcBorders>
              <w:tl2br w:val="nil"/>
              <w:tr2bl w:val="nil"/>
            </w:tcBorders>
            <w:vAlign w:val="center"/>
          </w:tcPr>
          <w:p w14:paraId="19EF2D70">
            <w:pPr>
              <w:pStyle w:val="17"/>
              <w:bidi w:val="0"/>
              <w:rPr>
                <w:rFonts w:hint="default"/>
                <w:color w:val="auto"/>
                <w:highlight w:val="none"/>
                <w:lang w:val="en-US" w:eastAsia="zh-CN"/>
              </w:rPr>
            </w:pPr>
            <w:r>
              <w:rPr>
                <w:rFonts w:hint="default"/>
                <w:color w:val="auto"/>
                <w:highlight w:val="none"/>
              </w:rPr>
              <w:t>布袋除尘器+</w:t>
            </w:r>
            <w:r>
              <w:rPr>
                <w:rFonts w:hint="eastAsia"/>
                <w:color w:val="auto"/>
                <w:highlight w:val="none"/>
                <w:lang w:val="en-US" w:eastAsia="zh-CN"/>
              </w:rPr>
              <w:t>15m</w:t>
            </w:r>
            <w:r>
              <w:rPr>
                <w:rFonts w:hint="default"/>
                <w:color w:val="auto"/>
                <w:highlight w:val="none"/>
              </w:rPr>
              <w:t>排气筒</w:t>
            </w:r>
          </w:p>
        </w:tc>
        <w:tc>
          <w:tcPr>
            <w:tcW w:w="1386" w:type="pct"/>
            <w:vMerge w:val="continue"/>
            <w:tcBorders>
              <w:tl2br w:val="nil"/>
              <w:tr2bl w:val="nil"/>
            </w:tcBorders>
            <w:vAlign w:val="center"/>
          </w:tcPr>
          <w:p w14:paraId="1EE33827">
            <w:pPr>
              <w:pStyle w:val="17"/>
              <w:bidi w:val="0"/>
              <w:rPr>
                <w:rFonts w:hint="default"/>
                <w:color w:val="auto"/>
                <w:highlight w:val="none"/>
              </w:rPr>
            </w:pPr>
          </w:p>
        </w:tc>
      </w:tr>
      <w:tr w14:paraId="158E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15B1C0D2">
            <w:pPr>
              <w:pStyle w:val="17"/>
              <w:bidi w:val="0"/>
              <w:rPr>
                <w:rFonts w:hint="default"/>
                <w:color w:val="auto"/>
                <w:highlight w:val="none"/>
              </w:rPr>
            </w:pPr>
          </w:p>
        </w:tc>
        <w:tc>
          <w:tcPr>
            <w:tcW w:w="260" w:type="pct"/>
            <w:vMerge w:val="continue"/>
            <w:tcBorders>
              <w:tl2br w:val="nil"/>
              <w:tr2bl w:val="nil"/>
            </w:tcBorders>
            <w:vAlign w:val="center"/>
          </w:tcPr>
          <w:p w14:paraId="1A15C63F">
            <w:pPr>
              <w:pStyle w:val="17"/>
              <w:bidi w:val="0"/>
              <w:rPr>
                <w:rFonts w:hint="default"/>
                <w:color w:val="auto"/>
                <w:highlight w:val="none"/>
              </w:rPr>
            </w:pPr>
          </w:p>
        </w:tc>
        <w:tc>
          <w:tcPr>
            <w:tcW w:w="860" w:type="pct"/>
            <w:tcBorders>
              <w:tl2br w:val="nil"/>
              <w:tr2bl w:val="nil"/>
            </w:tcBorders>
            <w:shd w:val="clear" w:color="auto" w:fill="auto"/>
            <w:vAlign w:val="center"/>
          </w:tcPr>
          <w:p w14:paraId="5307AA1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粉矿仓排气筒</w:t>
            </w:r>
          </w:p>
        </w:tc>
        <w:tc>
          <w:tcPr>
            <w:tcW w:w="849" w:type="pct"/>
            <w:vMerge w:val="continue"/>
            <w:tcBorders>
              <w:tl2br w:val="nil"/>
              <w:tr2bl w:val="nil"/>
            </w:tcBorders>
            <w:shd w:val="clear" w:color="auto" w:fill="auto"/>
            <w:vAlign w:val="center"/>
          </w:tcPr>
          <w:p w14:paraId="7293407F">
            <w:pPr>
              <w:pStyle w:val="17"/>
              <w:bidi w:val="0"/>
              <w:ind w:firstLine="0" w:firstLineChars="0"/>
              <w:rPr>
                <w:rFonts w:hint="eastAsia"/>
                <w:color w:val="auto"/>
                <w:highlight w:val="none"/>
                <w:lang w:val="en-US" w:eastAsia="zh-CN"/>
              </w:rPr>
            </w:pPr>
          </w:p>
        </w:tc>
        <w:tc>
          <w:tcPr>
            <w:tcW w:w="1383" w:type="pct"/>
            <w:tcBorders>
              <w:tl2br w:val="nil"/>
              <w:tr2bl w:val="nil"/>
            </w:tcBorders>
            <w:shd w:val="clear" w:color="auto" w:fill="auto"/>
            <w:vAlign w:val="center"/>
          </w:tcPr>
          <w:p w14:paraId="4F4E6B0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rPr>
              <w:t>布袋除尘器+</w:t>
            </w:r>
            <w:r>
              <w:rPr>
                <w:rFonts w:hint="eastAsia"/>
                <w:color w:val="auto"/>
                <w:highlight w:val="none"/>
                <w:lang w:val="en-US" w:eastAsia="zh-CN"/>
              </w:rPr>
              <w:t>15m</w:t>
            </w:r>
            <w:r>
              <w:rPr>
                <w:rFonts w:hint="default"/>
                <w:color w:val="auto"/>
                <w:highlight w:val="none"/>
              </w:rPr>
              <w:t>排气筒</w:t>
            </w:r>
          </w:p>
        </w:tc>
        <w:tc>
          <w:tcPr>
            <w:tcW w:w="1386" w:type="pct"/>
            <w:vMerge w:val="continue"/>
            <w:tcBorders>
              <w:tl2br w:val="nil"/>
              <w:tr2bl w:val="nil"/>
            </w:tcBorders>
            <w:vAlign w:val="center"/>
          </w:tcPr>
          <w:p w14:paraId="79636E7F">
            <w:pPr>
              <w:pStyle w:val="17"/>
              <w:bidi w:val="0"/>
              <w:rPr>
                <w:rFonts w:hint="default"/>
                <w:color w:val="auto"/>
                <w:highlight w:val="none"/>
              </w:rPr>
            </w:pPr>
          </w:p>
        </w:tc>
      </w:tr>
      <w:tr w14:paraId="6A29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0B9B52C9">
            <w:pPr>
              <w:pStyle w:val="17"/>
              <w:bidi w:val="0"/>
              <w:rPr>
                <w:rFonts w:hint="default"/>
                <w:color w:val="auto"/>
                <w:highlight w:val="none"/>
              </w:rPr>
            </w:pPr>
          </w:p>
        </w:tc>
        <w:tc>
          <w:tcPr>
            <w:tcW w:w="260" w:type="pct"/>
            <w:vMerge w:val="continue"/>
            <w:tcBorders>
              <w:tl2br w:val="nil"/>
              <w:tr2bl w:val="nil"/>
            </w:tcBorders>
            <w:vAlign w:val="center"/>
          </w:tcPr>
          <w:p w14:paraId="2728C4FF">
            <w:pPr>
              <w:pStyle w:val="17"/>
              <w:bidi w:val="0"/>
              <w:rPr>
                <w:rFonts w:hint="default"/>
                <w:color w:val="auto"/>
                <w:highlight w:val="none"/>
              </w:rPr>
            </w:pPr>
          </w:p>
        </w:tc>
        <w:tc>
          <w:tcPr>
            <w:tcW w:w="860" w:type="pct"/>
            <w:tcBorders>
              <w:tl2br w:val="nil"/>
              <w:tr2bl w:val="nil"/>
            </w:tcBorders>
            <w:vAlign w:val="center"/>
          </w:tcPr>
          <w:p w14:paraId="67807DE6">
            <w:pPr>
              <w:pStyle w:val="17"/>
              <w:bidi w:val="0"/>
              <w:rPr>
                <w:rFonts w:hint="default"/>
                <w:color w:val="auto"/>
                <w:highlight w:val="none"/>
                <w:lang w:val="en-US" w:eastAsia="zh-CN"/>
              </w:rPr>
            </w:pPr>
            <w:r>
              <w:rPr>
                <w:rFonts w:hint="eastAsia"/>
                <w:color w:val="auto"/>
                <w:highlight w:val="none"/>
                <w:lang w:val="en-US" w:eastAsia="zh-CN"/>
              </w:rPr>
              <w:t>爆破废气</w:t>
            </w:r>
          </w:p>
        </w:tc>
        <w:tc>
          <w:tcPr>
            <w:tcW w:w="849" w:type="pct"/>
            <w:tcBorders>
              <w:tl2br w:val="nil"/>
              <w:tr2bl w:val="nil"/>
            </w:tcBorders>
            <w:vAlign w:val="center"/>
          </w:tcPr>
          <w:p w14:paraId="3703E0D5">
            <w:pPr>
              <w:pStyle w:val="17"/>
              <w:bidi w:val="0"/>
              <w:rPr>
                <w:rFonts w:hint="default"/>
                <w:color w:val="auto"/>
                <w:highlight w:val="none"/>
                <w:lang w:val="en-US" w:eastAsia="zh-CN"/>
              </w:rPr>
            </w:pPr>
            <w:r>
              <w:rPr>
                <w:rFonts w:hint="eastAsia"/>
                <w:color w:val="auto"/>
                <w:highlight w:val="none"/>
                <w:lang w:val="en-US" w:eastAsia="zh-CN"/>
              </w:rPr>
              <w:t>CO、</w:t>
            </w:r>
            <w:r>
              <w:rPr>
                <w:rFonts w:hint="eastAsia"/>
                <w:color w:val="auto"/>
                <w:sz w:val="21"/>
                <w:szCs w:val="21"/>
                <w:highlight w:val="none"/>
              </w:rPr>
              <w:t>NO</w:t>
            </w:r>
            <w:r>
              <w:rPr>
                <w:rFonts w:hint="eastAsia"/>
                <w:color w:val="auto"/>
                <w:sz w:val="21"/>
                <w:szCs w:val="21"/>
                <w:highlight w:val="none"/>
                <w:vertAlign w:val="subscript"/>
              </w:rPr>
              <w:t>x</w:t>
            </w:r>
          </w:p>
        </w:tc>
        <w:tc>
          <w:tcPr>
            <w:tcW w:w="1383" w:type="pct"/>
            <w:vMerge w:val="restart"/>
            <w:tcBorders>
              <w:tl2br w:val="nil"/>
              <w:tr2bl w:val="nil"/>
            </w:tcBorders>
            <w:vAlign w:val="center"/>
          </w:tcPr>
          <w:p w14:paraId="00004FE4">
            <w:pPr>
              <w:pStyle w:val="17"/>
              <w:bidi w:val="0"/>
              <w:rPr>
                <w:rFonts w:hint="default"/>
                <w:color w:val="auto"/>
                <w:highlight w:val="none"/>
              </w:rPr>
            </w:pPr>
            <w:r>
              <w:rPr>
                <w:rFonts w:hint="default" w:ascii="Times New Roman" w:hAnsi="Times New Roman" w:eastAsia="宋体" w:cs="Times New Roman"/>
                <w:snapToGrid/>
                <w:color w:val="auto"/>
                <w:kern w:val="2"/>
                <w:sz w:val="21"/>
                <w:szCs w:val="21"/>
                <w:highlight w:val="none"/>
                <w:lang w:val="en-US" w:eastAsia="zh-CN" w:bidi="ar-SA"/>
              </w:rPr>
              <w:t>采用湿式凿岩、爆破后作业面洒水喷雾除尘、风机井下通风</w:t>
            </w:r>
          </w:p>
        </w:tc>
        <w:tc>
          <w:tcPr>
            <w:tcW w:w="1386" w:type="pct"/>
            <w:vMerge w:val="restart"/>
            <w:tcBorders>
              <w:tl2br w:val="nil"/>
              <w:tr2bl w:val="nil"/>
            </w:tcBorders>
            <w:vAlign w:val="center"/>
          </w:tcPr>
          <w:p w14:paraId="633813A1">
            <w:pPr>
              <w:pStyle w:val="17"/>
              <w:bidi w:val="0"/>
              <w:rPr>
                <w:rFonts w:hint="default"/>
                <w:color w:val="auto"/>
                <w:highlight w:val="none"/>
              </w:rPr>
            </w:pPr>
            <w:r>
              <w:rPr>
                <w:rFonts w:hint="default"/>
                <w:color w:val="auto"/>
                <w:highlight w:val="none"/>
                <w:lang w:val="en-US" w:eastAsia="zh-CN"/>
              </w:rPr>
              <w:t>《大气污染物综合排放标准》（GB16297-1996）要求</w:t>
            </w:r>
          </w:p>
        </w:tc>
      </w:tr>
      <w:tr w14:paraId="27E9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3A5D45A4">
            <w:pPr>
              <w:pStyle w:val="17"/>
              <w:bidi w:val="0"/>
              <w:rPr>
                <w:rFonts w:hint="default"/>
                <w:color w:val="auto"/>
                <w:highlight w:val="none"/>
              </w:rPr>
            </w:pPr>
          </w:p>
        </w:tc>
        <w:tc>
          <w:tcPr>
            <w:tcW w:w="260" w:type="pct"/>
            <w:vMerge w:val="continue"/>
            <w:tcBorders>
              <w:tl2br w:val="nil"/>
              <w:tr2bl w:val="nil"/>
            </w:tcBorders>
            <w:vAlign w:val="center"/>
          </w:tcPr>
          <w:p w14:paraId="07CF5E48">
            <w:pPr>
              <w:pStyle w:val="17"/>
              <w:bidi w:val="0"/>
              <w:rPr>
                <w:rFonts w:hint="default"/>
                <w:color w:val="auto"/>
                <w:highlight w:val="none"/>
              </w:rPr>
            </w:pPr>
          </w:p>
        </w:tc>
        <w:tc>
          <w:tcPr>
            <w:tcW w:w="860" w:type="pct"/>
            <w:tcBorders>
              <w:tl2br w:val="nil"/>
              <w:tr2bl w:val="nil"/>
            </w:tcBorders>
            <w:vAlign w:val="center"/>
          </w:tcPr>
          <w:p w14:paraId="14E4118B">
            <w:pPr>
              <w:pStyle w:val="17"/>
              <w:bidi w:val="0"/>
              <w:rPr>
                <w:rFonts w:hint="default"/>
                <w:color w:val="auto"/>
                <w:highlight w:val="none"/>
                <w:lang w:val="en-US" w:eastAsia="zh-CN"/>
              </w:rPr>
            </w:pPr>
            <w:r>
              <w:rPr>
                <w:rFonts w:hint="eastAsia"/>
                <w:color w:val="auto"/>
                <w:highlight w:val="none"/>
                <w:lang w:val="en-US" w:eastAsia="zh-CN"/>
              </w:rPr>
              <w:t>凿岩废气</w:t>
            </w:r>
          </w:p>
        </w:tc>
        <w:tc>
          <w:tcPr>
            <w:tcW w:w="849" w:type="pct"/>
            <w:tcBorders>
              <w:tl2br w:val="nil"/>
              <w:tr2bl w:val="nil"/>
            </w:tcBorders>
            <w:vAlign w:val="center"/>
          </w:tcPr>
          <w:p w14:paraId="3743224E">
            <w:pPr>
              <w:pStyle w:val="17"/>
              <w:bidi w:val="0"/>
              <w:rPr>
                <w:rFonts w:hint="eastAsia"/>
                <w:color w:val="auto"/>
                <w:highlight w:val="none"/>
                <w:lang w:val="en-US" w:eastAsia="zh-CN"/>
              </w:rPr>
            </w:pPr>
            <w:r>
              <w:rPr>
                <w:rFonts w:hint="eastAsia"/>
                <w:color w:val="auto"/>
                <w:highlight w:val="none"/>
                <w:lang w:val="en-US" w:eastAsia="zh-CN"/>
              </w:rPr>
              <w:t>颗粒物、氟化物</w:t>
            </w:r>
          </w:p>
        </w:tc>
        <w:tc>
          <w:tcPr>
            <w:tcW w:w="1383" w:type="pct"/>
            <w:vMerge w:val="continue"/>
            <w:tcBorders>
              <w:tl2br w:val="nil"/>
              <w:tr2bl w:val="nil"/>
            </w:tcBorders>
            <w:vAlign w:val="center"/>
          </w:tcPr>
          <w:p w14:paraId="2AAA1D58">
            <w:pPr>
              <w:pStyle w:val="17"/>
              <w:bidi w:val="0"/>
              <w:rPr>
                <w:rFonts w:hint="default"/>
                <w:color w:val="auto"/>
                <w:highlight w:val="none"/>
              </w:rPr>
            </w:pPr>
          </w:p>
        </w:tc>
        <w:tc>
          <w:tcPr>
            <w:tcW w:w="1386" w:type="pct"/>
            <w:vMerge w:val="continue"/>
            <w:tcBorders>
              <w:tl2br w:val="nil"/>
              <w:tr2bl w:val="nil"/>
            </w:tcBorders>
            <w:vAlign w:val="center"/>
          </w:tcPr>
          <w:p w14:paraId="68E5CE62">
            <w:pPr>
              <w:pStyle w:val="17"/>
              <w:bidi w:val="0"/>
              <w:rPr>
                <w:rFonts w:hint="default"/>
                <w:color w:val="auto"/>
                <w:highlight w:val="none"/>
              </w:rPr>
            </w:pPr>
          </w:p>
        </w:tc>
      </w:tr>
      <w:tr w14:paraId="4853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00C94EE2">
            <w:pPr>
              <w:pStyle w:val="17"/>
              <w:bidi w:val="0"/>
              <w:rPr>
                <w:rFonts w:hint="default"/>
                <w:color w:val="auto"/>
                <w:highlight w:val="none"/>
              </w:rPr>
            </w:pPr>
          </w:p>
        </w:tc>
        <w:tc>
          <w:tcPr>
            <w:tcW w:w="260" w:type="pct"/>
            <w:vMerge w:val="continue"/>
            <w:tcBorders>
              <w:tl2br w:val="nil"/>
              <w:tr2bl w:val="nil"/>
            </w:tcBorders>
            <w:vAlign w:val="center"/>
          </w:tcPr>
          <w:p w14:paraId="0C6959A0">
            <w:pPr>
              <w:pStyle w:val="17"/>
              <w:bidi w:val="0"/>
              <w:rPr>
                <w:rFonts w:hint="default"/>
                <w:color w:val="auto"/>
                <w:highlight w:val="none"/>
              </w:rPr>
            </w:pPr>
          </w:p>
        </w:tc>
        <w:tc>
          <w:tcPr>
            <w:tcW w:w="860" w:type="pct"/>
            <w:tcBorders>
              <w:tl2br w:val="nil"/>
              <w:tr2bl w:val="nil"/>
            </w:tcBorders>
            <w:vAlign w:val="center"/>
          </w:tcPr>
          <w:p w14:paraId="4CD4B46A">
            <w:pPr>
              <w:pStyle w:val="17"/>
              <w:bidi w:val="0"/>
              <w:rPr>
                <w:rFonts w:hint="default"/>
                <w:color w:val="auto"/>
                <w:highlight w:val="none"/>
                <w:lang w:val="en-US" w:eastAsia="zh-CN"/>
              </w:rPr>
            </w:pPr>
            <w:r>
              <w:rPr>
                <w:rFonts w:hint="eastAsia"/>
                <w:color w:val="auto"/>
                <w:highlight w:val="none"/>
                <w:lang w:val="en-US" w:eastAsia="zh-CN"/>
              </w:rPr>
              <w:t>充填站水泥筒仓</w:t>
            </w:r>
          </w:p>
        </w:tc>
        <w:tc>
          <w:tcPr>
            <w:tcW w:w="849" w:type="pct"/>
            <w:tcBorders>
              <w:tl2br w:val="nil"/>
              <w:tr2bl w:val="nil"/>
            </w:tcBorders>
            <w:vAlign w:val="center"/>
          </w:tcPr>
          <w:p w14:paraId="17A31E86">
            <w:pPr>
              <w:pStyle w:val="17"/>
              <w:bidi w:val="0"/>
              <w:rPr>
                <w:rFonts w:hint="eastAsia"/>
                <w:color w:val="auto"/>
                <w:highlight w:val="none"/>
                <w:lang w:val="en-US" w:eastAsia="zh-CN"/>
              </w:rPr>
            </w:pPr>
            <w:r>
              <w:rPr>
                <w:rFonts w:hint="eastAsia"/>
                <w:color w:val="auto"/>
                <w:highlight w:val="none"/>
                <w:lang w:val="en-US" w:eastAsia="zh-CN"/>
              </w:rPr>
              <w:t>颗粒物</w:t>
            </w:r>
          </w:p>
        </w:tc>
        <w:tc>
          <w:tcPr>
            <w:tcW w:w="1383" w:type="pct"/>
            <w:tcBorders>
              <w:tl2br w:val="nil"/>
              <w:tr2bl w:val="nil"/>
            </w:tcBorders>
            <w:vAlign w:val="center"/>
          </w:tcPr>
          <w:p w14:paraId="18EDA7AB">
            <w:pPr>
              <w:pStyle w:val="17"/>
              <w:bidi w:val="0"/>
              <w:rPr>
                <w:rFonts w:hint="default" w:eastAsia="宋体"/>
                <w:color w:val="auto"/>
                <w:highlight w:val="none"/>
                <w:lang w:val="en-US" w:eastAsia="zh-CN"/>
              </w:rPr>
            </w:pPr>
            <w:r>
              <w:rPr>
                <w:rFonts w:hint="eastAsia"/>
                <w:color w:val="auto"/>
                <w:highlight w:val="none"/>
                <w:lang w:val="en-US" w:eastAsia="zh-CN"/>
              </w:rPr>
              <w:t>筒仓仓顶自带脉冲式布袋除尘器</w:t>
            </w:r>
          </w:p>
        </w:tc>
        <w:tc>
          <w:tcPr>
            <w:tcW w:w="1386" w:type="pct"/>
            <w:vMerge w:val="continue"/>
            <w:tcBorders>
              <w:tl2br w:val="nil"/>
              <w:tr2bl w:val="nil"/>
            </w:tcBorders>
            <w:vAlign w:val="center"/>
          </w:tcPr>
          <w:p w14:paraId="62F657CA">
            <w:pPr>
              <w:pStyle w:val="17"/>
              <w:bidi w:val="0"/>
              <w:rPr>
                <w:rFonts w:hint="default"/>
                <w:color w:val="auto"/>
                <w:highlight w:val="none"/>
              </w:rPr>
            </w:pPr>
          </w:p>
        </w:tc>
      </w:tr>
      <w:tr w14:paraId="605A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665FC0BB">
            <w:pPr>
              <w:pStyle w:val="17"/>
              <w:bidi w:val="0"/>
              <w:rPr>
                <w:rFonts w:hint="default"/>
                <w:color w:val="auto"/>
                <w:highlight w:val="none"/>
              </w:rPr>
            </w:pPr>
          </w:p>
        </w:tc>
        <w:tc>
          <w:tcPr>
            <w:tcW w:w="260" w:type="pct"/>
            <w:vMerge w:val="continue"/>
            <w:tcBorders>
              <w:tl2br w:val="nil"/>
              <w:tr2bl w:val="nil"/>
            </w:tcBorders>
            <w:vAlign w:val="center"/>
          </w:tcPr>
          <w:p w14:paraId="716FC2C9">
            <w:pPr>
              <w:pStyle w:val="17"/>
              <w:bidi w:val="0"/>
              <w:rPr>
                <w:rFonts w:hint="default"/>
                <w:color w:val="auto"/>
                <w:highlight w:val="none"/>
              </w:rPr>
            </w:pPr>
          </w:p>
        </w:tc>
        <w:tc>
          <w:tcPr>
            <w:tcW w:w="860" w:type="pct"/>
            <w:tcBorders>
              <w:tl2br w:val="nil"/>
              <w:tr2bl w:val="nil"/>
            </w:tcBorders>
            <w:vAlign w:val="center"/>
          </w:tcPr>
          <w:p w14:paraId="641AB5EA">
            <w:pPr>
              <w:pStyle w:val="17"/>
              <w:bidi w:val="0"/>
              <w:rPr>
                <w:rFonts w:hint="default"/>
                <w:color w:val="auto"/>
                <w:highlight w:val="none"/>
                <w:lang w:val="en-US" w:eastAsia="zh-CN"/>
              </w:rPr>
            </w:pPr>
            <w:r>
              <w:rPr>
                <w:rFonts w:hint="eastAsia"/>
                <w:color w:val="auto"/>
                <w:highlight w:val="none"/>
                <w:lang w:val="en-US" w:eastAsia="zh-CN"/>
              </w:rPr>
              <w:t>废石堆场</w:t>
            </w:r>
          </w:p>
        </w:tc>
        <w:tc>
          <w:tcPr>
            <w:tcW w:w="849" w:type="pct"/>
            <w:tcBorders>
              <w:tl2br w:val="nil"/>
              <w:tr2bl w:val="nil"/>
            </w:tcBorders>
            <w:vAlign w:val="center"/>
          </w:tcPr>
          <w:p w14:paraId="68AE470D">
            <w:pPr>
              <w:pStyle w:val="17"/>
              <w:bidi w:val="0"/>
              <w:rPr>
                <w:rFonts w:hint="eastAsia"/>
                <w:color w:val="auto"/>
                <w:highlight w:val="none"/>
                <w:lang w:val="en-US" w:eastAsia="zh-CN"/>
              </w:rPr>
            </w:pPr>
            <w:r>
              <w:rPr>
                <w:rFonts w:hint="eastAsia"/>
                <w:color w:val="auto"/>
                <w:highlight w:val="none"/>
                <w:lang w:val="en-US" w:eastAsia="zh-CN"/>
              </w:rPr>
              <w:t>颗粒物</w:t>
            </w:r>
          </w:p>
        </w:tc>
        <w:tc>
          <w:tcPr>
            <w:tcW w:w="1383" w:type="pct"/>
            <w:tcBorders>
              <w:tl2br w:val="nil"/>
              <w:tr2bl w:val="nil"/>
            </w:tcBorders>
            <w:vAlign w:val="center"/>
          </w:tcPr>
          <w:p w14:paraId="68A47A1B">
            <w:pPr>
              <w:pStyle w:val="17"/>
              <w:bidi w:val="0"/>
              <w:rPr>
                <w:rFonts w:hint="default"/>
                <w:color w:val="auto"/>
                <w:highlight w:val="none"/>
                <w:lang w:val="en-US" w:eastAsia="zh-CN"/>
              </w:rPr>
            </w:pPr>
            <w:r>
              <w:rPr>
                <w:rFonts w:hint="default"/>
                <w:color w:val="auto"/>
                <w:highlight w:val="none"/>
                <w:lang w:val="en-US" w:eastAsia="zh-CN"/>
              </w:rPr>
              <w:t>洒水降尘</w:t>
            </w:r>
          </w:p>
        </w:tc>
        <w:tc>
          <w:tcPr>
            <w:tcW w:w="1386" w:type="pct"/>
            <w:vMerge w:val="continue"/>
            <w:tcBorders>
              <w:tl2br w:val="nil"/>
              <w:tr2bl w:val="nil"/>
            </w:tcBorders>
            <w:vAlign w:val="center"/>
          </w:tcPr>
          <w:p w14:paraId="39D9970D">
            <w:pPr>
              <w:pStyle w:val="17"/>
              <w:bidi w:val="0"/>
              <w:rPr>
                <w:rFonts w:hint="default"/>
                <w:color w:val="auto"/>
                <w:highlight w:val="none"/>
              </w:rPr>
            </w:pPr>
          </w:p>
        </w:tc>
      </w:tr>
      <w:tr w14:paraId="7670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6A7895F1">
            <w:pPr>
              <w:pStyle w:val="17"/>
              <w:bidi w:val="0"/>
              <w:rPr>
                <w:rFonts w:hint="default"/>
                <w:color w:val="auto"/>
                <w:highlight w:val="none"/>
              </w:rPr>
            </w:pPr>
          </w:p>
        </w:tc>
        <w:tc>
          <w:tcPr>
            <w:tcW w:w="260" w:type="pct"/>
            <w:vMerge w:val="continue"/>
            <w:tcBorders>
              <w:tl2br w:val="nil"/>
              <w:tr2bl w:val="nil"/>
            </w:tcBorders>
            <w:vAlign w:val="center"/>
          </w:tcPr>
          <w:p w14:paraId="44034D76">
            <w:pPr>
              <w:pStyle w:val="17"/>
              <w:bidi w:val="0"/>
              <w:rPr>
                <w:rFonts w:hint="default"/>
                <w:color w:val="auto"/>
                <w:highlight w:val="none"/>
              </w:rPr>
            </w:pPr>
          </w:p>
        </w:tc>
        <w:tc>
          <w:tcPr>
            <w:tcW w:w="860" w:type="pct"/>
            <w:tcBorders>
              <w:tl2br w:val="nil"/>
              <w:tr2bl w:val="nil"/>
            </w:tcBorders>
            <w:vAlign w:val="center"/>
          </w:tcPr>
          <w:p w14:paraId="2F558D3C">
            <w:pPr>
              <w:pStyle w:val="17"/>
              <w:bidi w:val="0"/>
              <w:rPr>
                <w:rFonts w:hint="default"/>
                <w:color w:val="auto"/>
                <w:highlight w:val="none"/>
                <w:lang w:val="en-US" w:eastAsia="zh-CN"/>
              </w:rPr>
            </w:pPr>
            <w:r>
              <w:rPr>
                <w:rFonts w:hint="default"/>
                <w:color w:val="auto"/>
                <w:highlight w:val="none"/>
                <w:lang w:val="en-US" w:eastAsia="zh-CN"/>
              </w:rPr>
              <w:t>尾矿库扬尘</w:t>
            </w:r>
          </w:p>
        </w:tc>
        <w:tc>
          <w:tcPr>
            <w:tcW w:w="849" w:type="pct"/>
            <w:tcBorders>
              <w:tl2br w:val="nil"/>
              <w:tr2bl w:val="nil"/>
            </w:tcBorders>
            <w:vAlign w:val="center"/>
          </w:tcPr>
          <w:p w14:paraId="55E70A6E">
            <w:pPr>
              <w:pStyle w:val="17"/>
              <w:bidi w:val="0"/>
              <w:rPr>
                <w:rFonts w:hint="default"/>
                <w:color w:val="auto"/>
                <w:highlight w:val="none"/>
                <w:lang w:val="en-US" w:eastAsia="zh-CN"/>
              </w:rPr>
            </w:pPr>
            <w:r>
              <w:rPr>
                <w:rFonts w:hint="eastAsia"/>
                <w:color w:val="auto"/>
                <w:highlight w:val="none"/>
                <w:lang w:val="en-US" w:eastAsia="zh-CN"/>
              </w:rPr>
              <w:t>颗粒物</w:t>
            </w:r>
          </w:p>
        </w:tc>
        <w:tc>
          <w:tcPr>
            <w:tcW w:w="1383" w:type="pct"/>
            <w:tcBorders>
              <w:tl2br w:val="nil"/>
              <w:tr2bl w:val="nil"/>
            </w:tcBorders>
            <w:vAlign w:val="center"/>
          </w:tcPr>
          <w:p w14:paraId="48D34CFB">
            <w:pPr>
              <w:pStyle w:val="17"/>
              <w:bidi w:val="0"/>
              <w:rPr>
                <w:rFonts w:hint="default"/>
                <w:color w:val="auto"/>
                <w:highlight w:val="none"/>
                <w:lang w:val="en-US" w:eastAsia="zh-CN"/>
              </w:rPr>
            </w:pPr>
            <w:r>
              <w:rPr>
                <w:rFonts w:hint="default"/>
                <w:color w:val="auto"/>
                <w:highlight w:val="none"/>
                <w:lang w:val="en-US" w:eastAsia="zh-CN"/>
              </w:rPr>
              <w:t>尾矿湿式排放</w:t>
            </w:r>
          </w:p>
        </w:tc>
        <w:tc>
          <w:tcPr>
            <w:tcW w:w="1386" w:type="pct"/>
            <w:vMerge w:val="continue"/>
            <w:tcBorders>
              <w:tl2br w:val="nil"/>
              <w:tr2bl w:val="nil"/>
            </w:tcBorders>
            <w:vAlign w:val="center"/>
          </w:tcPr>
          <w:p w14:paraId="1A252D59">
            <w:pPr>
              <w:pStyle w:val="17"/>
              <w:bidi w:val="0"/>
              <w:rPr>
                <w:rFonts w:hint="default"/>
                <w:color w:val="auto"/>
                <w:highlight w:val="none"/>
              </w:rPr>
            </w:pPr>
          </w:p>
        </w:tc>
      </w:tr>
      <w:tr w14:paraId="5E39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34892A62">
            <w:pPr>
              <w:pStyle w:val="17"/>
              <w:bidi w:val="0"/>
              <w:rPr>
                <w:rFonts w:hint="default"/>
                <w:color w:val="auto"/>
                <w:highlight w:val="none"/>
              </w:rPr>
            </w:pPr>
          </w:p>
        </w:tc>
        <w:tc>
          <w:tcPr>
            <w:tcW w:w="260" w:type="pct"/>
            <w:vMerge w:val="continue"/>
            <w:tcBorders>
              <w:tl2br w:val="nil"/>
              <w:tr2bl w:val="nil"/>
            </w:tcBorders>
            <w:vAlign w:val="center"/>
          </w:tcPr>
          <w:p w14:paraId="12D9D8B4">
            <w:pPr>
              <w:pStyle w:val="17"/>
              <w:bidi w:val="0"/>
              <w:rPr>
                <w:rFonts w:hint="default"/>
                <w:color w:val="auto"/>
                <w:highlight w:val="none"/>
              </w:rPr>
            </w:pPr>
          </w:p>
        </w:tc>
        <w:tc>
          <w:tcPr>
            <w:tcW w:w="860" w:type="pct"/>
            <w:tcBorders>
              <w:tl2br w:val="nil"/>
              <w:tr2bl w:val="nil"/>
            </w:tcBorders>
            <w:vAlign w:val="center"/>
          </w:tcPr>
          <w:p w14:paraId="6F289C48">
            <w:pPr>
              <w:pStyle w:val="17"/>
              <w:bidi w:val="0"/>
              <w:rPr>
                <w:rFonts w:hint="default"/>
                <w:color w:val="auto"/>
                <w:highlight w:val="none"/>
                <w:lang w:val="en-US" w:eastAsia="zh-CN"/>
              </w:rPr>
            </w:pPr>
            <w:r>
              <w:rPr>
                <w:rFonts w:hint="eastAsia"/>
                <w:color w:val="auto"/>
                <w:highlight w:val="none"/>
                <w:lang w:val="en-US" w:eastAsia="zh-CN"/>
              </w:rPr>
              <w:t>柴油燃烧</w:t>
            </w:r>
          </w:p>
        </w:tc>
        <w:tc>
          <w:tcPr>
            <w:tcW w:w="849" w:type="pct"/>
            <w:tcBorders>
              <w:tl2br w:val="nil"/>
              <w:tr2bl w:val="nil"/>
            </w:tcBorders>
            <w:vAlign w:val="center"/>
          </w:tcPr>
          <w:p w14:paraId="3743E137">
            <w:pPr>
              <w:pStyle w:val="17"/>
              <w:bidi w:val="0"/>
              <w:rPr>
                <w:rFonts w:hint="eastAsia" w:eastAsia="宋体"/>
                <w:color w:val="auto"/>
                <w:highlight w:val="none"/>
                <w:lang w:val="en-US" w:eastAsia="zh-CN"/>
              </w:rPr>
            </w:pPr>
            <w:r>
              <w:rPr>
                <w:rFonts w:hint="eastAsia"/>
                <w:color w:val="auto"/>
                <w:sz w:val="21"/>
                <w:szCs w:val="21"/>
                <w:highlight w:val="none"/>
              </w:rPr>
              <w:t>NO</w:t>
            </w:r>
            <w:r>
              <w:rPr>
                <w:rFonts w:hint="eastAsia"/>
                <w:color w:val="auto"/>
                <w:sz w:val="21"/>
                <w:szCs w:val="21"/>
                <w:highlight w:val="none"/>
                <w:vertAlign w:val="subscript"/>
              </w:rPr>
              <w:t>x</w:t>
            </w:r>
            <w:r>
              <w:rPr>
                <w:rFonts w:hint="eastAsia"/>
                <w:color w:val="auto"/>
                <w:sz w:val="21"/>
                <w:szCs w:val="21"/>
                <w:highlight w:val="none"/>
                <w:vertAlign w:val="baseline"/>
                <w:lang w:eastAsia="zh-CN"/>
              </w:rPr>
              <w:t>、</w:t>
            </w:r>
            <w:r>
              <w:rPr>
                <w:rFonts w:hint="eastAsia"/>
                <w:color w:val="auto"/>
                <w:highlight w:val="none"/>
                <w:lang w:val="en-US" w:eastAsia="zh-CN"/>
              </w:rPr>
              <w:t>烟尘</w:t>
            </w:r>
            <w:r>
              <w:rPr>
                <w:rFonts w:hint="eastAsia"/>
                <w:color w:val="auto"/>
                <w:highlight w:val="none"/>
                <w:lang w:eastAsia="zh-CN"/>
              </w:rPr>
              <w:t>、</w:t>
            </w:r>
            <w:r>
              <w:rPr>
                <w:color w:val="auto"/>
                <w:highlight w:val="none"/>
              </w:rPr>
              <w:t>SO</w:t>
            </w:r>
            <w:r>
              <w:rPr>
                <w:color w:val="auto"/>
                <w:highlight w:val="none"/>
                <w:vertAlign w:val="subscript"/>
              </w:rPr>
              <w:t>2</w:t>
            </w:r>
          </w:p>
        </w:tc>
        <w:tc>
          <w:tcPr>
            <w:tcW w:w="1383" w:type="pct"/>
            <w:tcBorders>
              <w:tl2br w:val="nil"/>
              <w:tr2bl w:val="nil"/>
            </w:tcBorders>
            <w:vAlign w:val="center"/>
          </w:tcPr>
          <w:p w14:paraId="3149B2D4">
            <w:pPr>
              <w:pStyle w:val="17"/>
              <w:bidi w:val="0"/>
              <w:rPr>
                <w:rFonts w:hint="default"/>
                <w:color w:val="auto"/>
                <w:highlight w:val="none"/>
                <w:lang w:val="en-US" w:eastAsia="zh-CN"/>
              </w:rPr>
            </w:pPr>
            <w:r>
              <w:rPr>
                <w:rFonts w:hint="eastAsia"/>
                <w:color w:val="auto"/>
                <w:highlight w:val="none"/>
                <w:lang w:val="en-US" w:eastAsia="zh-CN"/>
              </w:rPr>
              <w:t>自然扩散</w:t>
            </w:r>
          </w:p>
        </w:tc>
        <w:tc>
          <w:tcPr>
            <w:tcW w:w="1386" w:type="pct"/>
            <w:vMerge w:val="continue"/>
            <w:tcBorders>
              <w:tl2br w:val="nil"/>
              <w:tr2bl w:val="nil"/>
            </w:tcBorders>
            <w:vAlign w:val="center"/>
          </w:tcPr>
          <w:p w14:paraId="38ABD652">
            <w:pPr>
              <w:pStyle w:val="17"/>
              <w:bidi w:val="0"/>
              <w:rPr>
                <w:rFonts w:hint="default"/>
                <w:color w:val="auto"/>
                <w:highlight w:val="none"/>
              </w:rPr>
            </w:pPr>
          </w:p>
        </w:tc>
      </w:tr>
      <w:tr w14:paraId="5665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664BCCC7">
            <w:pPr>
              <w:pStyle w:val="17"/>
              <w:bidi w:val="0"/>
              <w:rPr>
                <w:rFonts w:hint="default"/>
                <w:color w:val="auto"/>
                <w:highlight w:val="none"/>
              </w:rPr>
            </w:pPr>
          </w:p>
        </w:tc>
        <w:tc>
          <w:tcPr>
            <w:tcW w:w="260" w:type="pct"/>
            <w:vMerge w:val="continue"/>
            <w:tcBorders>
              <w:tl2br w:val="nil"/>
              <w:tr2bl w:val="nil"/>
            </w:tcBorders>
            <w:vAlign w:val="center"/>
          </w:tcPr>
          <w:p w14:paraId="15B2D063">
            <w:pPr>
              <w:pStyle w:val="17"/>
              <w:bidi w:val="0"/>
              <w:rPr>
                <w:rFonts w:hint="default"/>
                <w:color w:val="auto"/>
                <w:highlight w:val="none"/>
              </w:rPr>
            </w:pPr>
          </w:p>
        </w:tc>
        <w:tc>
          <w:tcPr>
            <w:tcW w:w="860" w:type="pct"/>
            <w:tcBorders>
              <w:tl2br w:val="nil"/>
              <w:tr2bl w:val="nil"/>
            </w:tcBorders>
            <w:vAlign w:val="center"/>
          </w:tcPr>
          <w:p w14:paraId="5BC171E7">
            <w:pPr>
              <w:pStyle w:val="17"/>
              <w:bidi w:val="0"/>
              <w:rPr>
                <w:rFonts w:hint="default"/>
                <w:color w:val="auto"/>
                <w:highlight w:val="none"/>
                <w:lang w:val="en-US" w:eastAsia="zh-CN"/>
              </w:rPr>
            </w:pPr>
            <w:r>
              <w:rPr>
                <w:rFonts w:hint="default"/>
                <w:color w:val="auto"/>
                <w:highlight w:val="none"/>
                <w:lang w:val="en-US" w:eastAsia="zh-CN"/>
              </w:rPr>
              <w:t>道路运输扬尘</w:t>
            </w:r>
          </w:p>
        </w:tc>
        <w:tc>
          <w:tcPr>
            <w:tcW w:w="849" w:type="pct"/>
            <w:tcBorders>
              <w:tl2br w:val="nil"/>
              <w:tr2bl w:val="nil"/>
            </w:tcBorders>
            <w:vAlign w:val="center"/>
          </w:tcPr>
          <w:p w14:paraId="0B96FC0A">
            <w:pPr>
              <w:pStyle w:val="17"/>
              <w:bidi w:val="0"/>
              <w:rPr>
                <w:rFonts w:hint="default"/>
                <w:color w:val="auto"/>
                <w:highlight w:val="none"/>
                <w:lang w:val="en-US" w:eastAsia="zh-CN"/>
              </w:rPr>
            </w:pPr>
            <w:r>
              <w:rPr>
                <w:rFonts w:hint="eastAsia"/>
                <w:color w:val="auto"/>
                <w:highlight w:val="none"/>
                <w:lang w:val="en-US" w:eastAsia="zh-CN"/>
              </w:rPr>
              <w:t>颗粒物</w:t>
            </w:r>
          </w:p>
        </w:tc>
        <w:tc>
          <w:tcPr>
            <w:tcW w:w="1383" w:type="pct"/>
            <w:tcBorders>
              <w:tl2br w:val="nil"/>
              <w:tr2bl w:val="nil"/>
            </w:tcBorders>
            <w:vAlign w:val="center"/>
          </w:tcPr>
          <w:p w14:paraId="070ECB0B">
            <w:pPr>
              <w:pStyle w:val="17"/>
              <w:bidi w:val="0"/>
              <w:rPr>
                <w:rFonts w:hint="default"/>
                <w:color w:val="auto"/>
                <w:highlight w:val="none"/>
              </w:rPr>
            </w:pPr>
            <w:r>
              <w:rPr>
                <w:rFonts w:hint="default"/>
                <w:color w:val="auto"/>
                <w:highlight w:val="none"/>
              </w:rPr>
              <w:t>路面硬化、道路洒水降尘</w:t>
            </w:r>
          </w:p>
        </w:tc>
        <w:tc>
          <w:tcPr>
            <w:tcW w:w="1386" w:type="pct"/>
            <w:vMerge w:val="continue"/>
            <w:tcBorders>
              <w:tl2br w:val="nil"/>
              <w:tr2bl w:val="nil"/>
            </w:tcBorders>
            <w:vAlign w:val="center"/>
          </w:tcPr>
          <w:p w14:paraId="33C8BA6E">
            <w:pPr>
              <w:pStyle w:val="17"/>
              <w:bidi w:val="0"/>
              <w:rPr>
                <w:rFonts w:hint="default"/>
                <w:color w:val="auto"/>
                <w:highlight w:val="none"/>
              </w:rPr>
            </w:pPr>
          </w:p>
        </w:tc>
      </w:tr>
      <w:tr w14:paraId="0FCC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60" w:type="pct"/>
            <w:vMerge w:val="continue"/>
            <w:tcBorders>
              <w:tl2br w:val="nil"/>
              <w:tr2bl w:val="nil"/>
            </w:tcBorders>
            <w:vAlign w:val="center"/>
          </w:tcPr>
          <w:p w14:paraId="3A34DAAC">
            <w:pPr>
              <w:pStyle w:val="17"/>
              <w:bidi w:val="0"/>
              <w:rPr>
                <w:rFonts w:hint="default"/>
                <w:color w:val="auto"/>
                <w:highlight w:val="none"/>
              </w:rPr>
            </w:pPr>
          </w:p>
        </w:tc>
        <w:tc>
          <w:tcPr>
            <w:tcW w:w="260" w:type="pct"/>
            <w:vMerge w:val="restart"/>
            <w:tcBorders>
              <w:tl2br w:val="nil"/>
              <w:tr2bl w:val="nil"/>
            </w:tcBorders>
            <w:vAlign w:val="center"/>
          </w:tcPr>
          <w:p w14:paraId="7E17EFBE">
            <w:pPr>
              <w:pStyle w:val="17"/>
              <w:bidi w:val="0"/>
              <w:rPr>
                <w:rFonts w:hint="default"/>
                <w:color w:val="auto"/>
                <w:highlight w:val="none"/>
              </w:rPr>
            </w:pPr>
            <w:r>
              <w:rPr>
                <w:rFonts w:hint="default"/>
                <w:color w:val="auto"/>
                <w:highlight w:val="none"/>
              </w:rPr>
              <w:t>废水</w:t>
            </w:r>
          </w:p>
        </w:tc>
        <w:tc>
          <w:tcPr>
            <w:tcW w:w="860" w:type="pct"/>
            <w:tcBorders>
              <w:tl2br w:val="nil"/>
              <w:tr2bl w:val="nil"/>
            </w:tcBorders>
            <w:vAlign w:val="center"/>
          </w:tcPr>
          <w:p w14:paraId="5FD4235E">
            <w:pPr>
              <w:pStyle w:val="17"/>
              <w:bidi w:val="0"/>
              <w:ind w:firstLine="0" w:firstLineChars="0"/>
              <w:rPr>
                <w:rFonts w:hint="default"/>
                <w:color w:val="auto"/>
                <w:highlight w:val="none"/>
              </w:rPr>
            </w:pPr>
            <w:r>
              <w:rPr>
                <w:rFonts w:hint="eastAsia"/>
                <w:color w:val="auto"/>
                <w:highlight w:val="none"/>
                <w:lang w:val="en-US" w:eastAsia="zh-CN"/>
              </w:rPr>
              <w:t>采矿涌水</w:t>
            </w:r>
          </w:p>
        </w:tc>
        <w:tc>
          <w:tcPr>
            <w:tcW w:w="849" w:type="pct"/>
            <w:tcBorders>
              <w:tl2br w:val="nil"/>
              <w:tr2bl w:val="nil"/>
            </w:tcBorders>
            <w:vAlign w:val="center"/>
          </w:tcPr>
          <w:p w14:paraId="661172AD">
            <w:pPr>
              <w:pStyle w:val="17"/>
              <w:bidi w:val="0"/>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SS</w:t>
            </w:r>
          </w:p>
        </w:tc>
        <w:tc>
          <w:tcPr>
            <w:tcW w:w="1383" w:type="pct"/>
            <w:tcBorders>
              <w:tl2br w:val="nil"/>
              <w:tr2bl w:val="nil"/>
            </w:tcBorders>
            <w:vAlign w:val="center"/>
          </w:tcPr>
          <w:p w14:paraId="1D5EE235">
            <w:pPr>
              <w:pStyle w:val="17"/>
              <w:bidi w:val="0"/>
              <w:ind w:firstLine="0" w:firstLineChars="0"/>
              <w:rPr>
                <w:rFonts w:hint="default"/>
                <w:color w:val="auto"/>
                <w:highlight w:val="none"/>
              </w:rPr>
            </w:pPr>
            <w:r>
              <w:rPr>
                <w:rFonts w:hint="eastAsia"/>
                <w:color w:val="auto"/>
                <w:highlight w:val="none"/>
                <w:lang w:val="en-US" w:eastAsia="zh-CN"/>
              </w:rPr>
              <w:t>经坑内水处理站处理后全部回用于选矿，不外排</w:t>
            </w:r>
          </w:p>
        </w:tc>
        <w:tc>
          <w:tcPr>
            <w:tcW w:w="1386" w:type="pct"/>
            <w:tcBorders>
              <w:tl2br w:val="nil"/>
              <w:tr2bl w:val="nil"/>
            </w:tcBorders>
            <w:vAlign w:val="center"/>
          </w:tcPr>
          <w:p w14:paraId="6E806278">
            <w:pPr>
              <w:pStyle w:val="17"/>
              <w:bidi w:val="0"/>
              <w:rPr>
                <w:rFonts w:hint="eastAsia" w:eastAsia="宋体"/>
                <w:color w:val="auto"/>
                <w:highlight w:val="none"/>
                <w:lang w:val="en-US" w:eastAsia="zh-CN"/>
              </w:rPr>
            </w:pPr>
            <w:r>
              <w:rPr>
                <w:rFonts w:hint="eastAsia"/>
                <w:color w:val="auto"/>
                <w:highlight w:val="none"/>
                <w:lang w:val="en-US" w:eastAsia="zh-CN"/>
              </w:rPr>
              <w:t>/</w:t>
            </w:r>
          </w:p>
        </w:tc>
      </w:tr>
      <w:tr w14:paraId="15B0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60" w:type="pct"/>
            <w:vMerge w:val="continue"/>
            <w:tcBorders>
              <w:tl2br w:val="nil"/>
              <w:tr2bl w:val="nil"/>
            </w:tcBorders>
            <w:vAlign w:val="center"/>
          </w:tcPr>
          <w:p w14:paraId="509BDDB8">
            <w:pPr>
              <w:pStyle w:val="17"/>
              <w:bidi w:val="0"/>
              <w:rPr>
                <w:rFonts w:hint="default"/>
                <w:color w:val="auto"/>
                <w:highlight w:val="none"/>
              </w:rPr>
            </w:pPr>
          </w:p>
        </w:tc>
        <w:tc>
          <w:tcPr>
            <w:tcW w:w="260" w:type="pct"/>
            <w:vMerge w:val="continue"/>
            <w:tcBorders>
              <w:tl2br w:val="nil"/>
              <w:tr2bl w:val="nil"/>
            </w:tcBorders>
            <w:vAlign w:val="center"/>
          </w:tcPr>
          <w:p w14:paraId="2185FFAE">
            <w:pPr>
              <w:pStyle w:val="17"/>
              <w:bidi w:val="0"/>
              <w:rPr>
                <w:rFonts w:hint="default"/>
                <w:color w:val="auto"/>
                <w:highlight w:val="none"/>
              </w:rPr>
            </w:pPr>
          </w:p>
        </w:tc>
        <w:tc>
          <w:tcPr>
            <w:tcW w:w="1466" w:type="dxa"/>
            <w:tcBorders>
              <w:tl2br w:val="nil"/>
              <w:tr2bl w:val="nil"/>
            </w:tcBorders>
            <w:vAlign w:val="center"/>
          </w:tcPr>
          <w:p w14:paraId="298F1D56">
            <w:pPr>
              <w:pStyle w:val="17"/>
              <w:bidi w:val="0"/>
              <w:ind w:firstLine="0" w:firstLineChars="0"/>
              <w:rPr>
                <w:rFonts w:hint="default"/>
                <w:color w:val="auto"/>
                <w:highlight w:val="none"/>
              </w:rPr>
            </w:pPr>
            <w:r>
              <w:rPr>
                <w:rFonts w:hint="default"/>
                <w:color w:val="auto"/>
                <w:highlight w:val="none"/>
              </w:rPr>
              <w:t>选矿废水</w:t>
            </w:r>
          </w:p>
        </w:tc>
        <w:tc>
          <w:tcPr>
            <w:tcW w:w="1447" w:type="dxa"/>
            <w:tcBorders>
              <w:tl2br w:val="nil"/>
              <w:tr2bl w:val="nil"/>
            </w:tcBorders>
            <w:vAlign w:val="center"/>
          </w:tcPr>
          <w:p w14:paraId="0D1635B9">
            <w:pPr>
              <w:pStyle w:val="17"/>
              <w:bidi w:val="0"/>
              <w:ind w:firstLine="0" w:firstLineChars="0"/>
              <w:rPr>
                <w:rFonts w:hint="default"/>
                <w:color w:val="auto"/>
                <w:highlight w:val="none"/>
              </w:rPr>
            </w:pPr>
            <w:r>
              <w:rPr>
                <w:rFonts w:hint="default" w:ascii="Times New Roman" w:hAnsi="Times New Roman" w:eastAsia="宋体" w:cs="Times New Roman"/>
                <w:color w:val="auto"/>
                <w:szCs w:val="21"/>
                <w:highlight w:val="none"/>
                <w:lang w:val="en-US" w:eastAsia="zh-CN"/>
              </w:rPr>
              <w:t>SS</w:t>
            </w:r>
          </w:p>
        </w:tc>
        <w:tc>
          <w:tcPr>
            <w:tcW w:w="1383" w:type="pct"/>
            <w:tcBorders>
              <w:tl2br w:val="nil"/>
              <w:tr2bl w:val="nil"/>
            </w:tcBorders>
            <w:vAlign w:val="center"/>
          </w:tcPr>
          <w:p w14:paraId="414A5F3F">
            <w:pPr>
              <w:pStyle w:val="17"/>
              <w:bidi w:val="0"/>
              <w:rPr>
                <w:rFonts w:hint="default"/>
                <w:color w:val="auto"/>
                <w:highlight w:val="none"/>
              </w:rPr>
            </w:pPr>
            <w:r>
              <w:rPr>
                <w:rFonts w:hint="default"/>
                <w:color w:val="auto"/>
                <w:highlight w:val="none"/>
              </w:rPr>
              <w:t>闭路循环不外排</w:t>
            </w:r>
          </w:p>
        </w:tc>
        <w:tc>
          <w:tcPr>
            <w:tcW w:w="1386" w:type="pct"/>
            <w:tcBorders>
              <w:tl2br w:val="nil"/>
              <w:tr2bl w:val="nil"/>
            </w:tcBorders>
            <w:vAlign w:val="center"/>
          </w:tcPr>
          <w:p w14:paraId="607DEBD3">
            <w:pPr>
              <w:pStyle w:val="17"/>
              <w:bidi w:val="0"/>
              <w:rPr>
                <w:rFonts w:hint="default"/>
                <w:color w:val="auto"/>
                <w:highlight w:val="none"/>
              </w:rPr>
            </w:pPr>
            <w:r>
              <w:rPr>
                <w:rFonts w:hint="default"/>
                <w:color w:val="auto"/>
                <w:highlight w:val="none"/>
              </w:rPr>
              <w:t>/</w:t>
            </w:r>
          </w:p>
        </w:tc>
      </w:tr>
      <w:tr w14:paraId="20DE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3DDA08FB">
            <w:pPr>
              <w:pStyle w:val="17"/>
              <w:bidi w:val="0"/>
              <w:rPr>
                <w:rFonts w:hint="default"/>
                <w:color w:val="auto"/>
                <w:highlight w:val="none"/>
              </w:rPr>
            </w:pPr>
          </w:p>
        </w:tc>
        <w:tc>
          <w:tcPr>
            <w:tcW w:w="260" w:type="pct"/>
            <w:vMerge w:val="continue"/>
            <w:tcBorders>
              <w:tl2br w:val="nil"/>
              <w:tr2bl w:val="nil"/>
            </w:tcBorders>
            <w:vAlign w:val="center"/>
          </w:tcPr>
          <w:p w14:paraId="1B65A6C4">
            <w:pPr>
              <w:pStyle w:val="17"/>
              <w:bidi w:val="0"/>
              <w:rPr>
                <w:rFonts w:hint="default"/>
                <w:color w:val="auto"/>
                <w:highlight w:val="none"/>
              </w:rPr>
            </w:pPr>
          </w:p>
        </w:tc>
        <w:tc>
          <w:tcPr>
            <w:tcW w:w="860" w:type="pct"/>
            <w:tcBorders>
              <w:tl2br w:val="nil"/>
              <w:tr2bl w:val="nil"/>
            </w:tcBorders>
            <w:vAlign w:val="center"/>
          </w:tcPr>
          <w:p w14:paraId="629A3574">
            <w:pPr>
              <w:pStyle w:val="17"/>
              <w:bidi w:val="0"/>
              <w:rPr>
                <w:rFonts w:hint="default"/>
                <w:color w:val="auto"/>
                <w:highlight w:val="none"/>
                <w:lang w:val="en-US" w:eastAsia="zh-CN"/>
              </w:rPr>
            </w:pPr>
            <w:r>
              <w:rPr>
                <w:rFonts w:hint="default"/>
                <w:color w:val="auto"/>
                <w:highlight w:val="none"/>
                <w:lang w:val="en-US" w:eastAsia="zh-CN"/>
              </w:rPr>
              <w:t>锅炉房废水</w:t>
            </w:r>
          </w:p>
        </w:tc>
        <w:tc>
          <w:tcPr>
            <w:tcW w:w="849" w:type="pct"/>
            <w:tcBorders>
              <w:tl2br w:val="nil"/>
              <w:tr2bl w:val="nil"/>
            </w:tcBorders>
            <w:vAlign w:val="center"/>
          </w:tcPr>
          <w:p w14:paraId="4FA2DA10">
            <w:pPr>
              <w:pStyle w:val="17"/>
              <w:bidi w:val="0"/>
              <w:rPr>
                <w:rFonts w:hint="default"/>
                <w:color w:val="auto"/>
                <w:highlight w:val="none"/>
                <w:lang w:val="en-US" w:eastAsia="zh-CN"/>
              </w:rPr>
            </w:pPr>
            <w:r>
              <w:rPr>
                <w:rFonts w:hint="default" w:ascii="Times New Roman" w:hAnsi="Times New Roman" w:eastAsia="宋体" w:cs="Times New Roman"/>
                <w:color w:val="auto"/>
                <w:szCs w:val="21"/>
                <w:highlight w:val="none"/>
                <w:lang w:val="en-US" w:eastAsia="zh-CN"/>
              </w:rPr>
              <w:t>SS</w:t>
            </w:r>
          </w:p>
        </w:tc>
        <w:tc>
          <w:tcPr>
            <w:tcW w:w="1383" w:type="pct"/>
            <w:tcBorders>
              <w:tl2br w:val="nil"/>
              <w:tr2bl w:val="nil"/>
            </w:tcBorders>
            <w:vAlign w:val="center"/>
          </w:tcPr>
          <w:p w14:paraId="695113CF">
            <w:pPr>
              <w:pStyle w:val="17"/>
              <w:bidi w:val="0"/>
              <w:rPr>
                <w:rFonts w:hint="default"/>
                <w:color w:val="auto"/>
                <w:highlight w:val="none"/>
              </w:rPr>
            </w:pPr>
            <w:r>
              <w:rPr>
                <w:rFonts w:hint="default"/>
                <w:color w:val="auto"/>
                <w:highlight w:val="none"/>
              </w:rPr>
              <w:t>锅炉排污水和软化废水排入选矿生产工序循环使用，</w:t>
            </w:r>
            <w:r>
              <w:rPr>
                <w:rFonts w:hint="default"/>
                <w:color w:val="auto"/>
                <w:highlight w:val="none"/>
                <w:lang w:val="en-US" w:eastAsia="zh-CN"/>
              </w:rPr>
              <w:t>不外排</w:t>
            </w:r>
          </w:p>
        </w:tc>
        <w:tc>
          <w:tcPr>
            <w:tcW w:w="1386" w:type="pct"/>
            <w:tcBorders>
              <w:tl2br w:val="nil"/>
              <w:tr2bl w:val="nil"/>
            </w:tcBorders>
            <w:vAlign w:val="center"/>
          </w:tcPr>
          <w:p w14:paraId="60BCFBA8">
            <w:pPr>
              <w:pStyle w:val="17"/>
              <w:bidi w:val="0"/>
              <w:rPr>
                <w:rFonts w:hint="eastAsia" w:eastAsia="宋体"/>
                <w:color w:val="auto"/>
                <w:highlight w:val="none"/>
                <w:lang w:eastAsia="zh-CN"/>
              </w:rPr>
            </w:pPr>
            <w:r>
              <w:rPr>
                <w:rFonts w:hint="eastAsia"/>
                <w:color w:val="auto"/>
                <w:highlight w:val="none"/>
                <w:lang w:val="en-US" w:eastAsia="zh-CN"/>
              </w:rPr>
              <w:t>/</w:t>
            </w:r>
          </w:p>
        </w:tc>
      </w:tr>
      <w:tr w14:paraId="635A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6C25F050">
            <w:pPr>
              <w:pStyle w:val="17"/>
              <w:bidi w:val="0"/>
              <w:rPr>
                <w:rFonts w:hint="default"/>
                <w:color w:val="auto"/>
                <w:highlight w:val="none"/>
              </w:rPr>
            </w:pPr>
          </w:p>
        </w:tc>
        <w:tc>
          <w:tcPr>
            <w:tcW w:w="260" w:type="pct"/>
            <w:vMerge w:val="continue"/>
            <w:tcBorders>
              <w:tl2br w:val="nil"/>
              <w:tr2bl w:val="nil"/>
            </w:tcBorders>
            <w:vAlign w:val="center"/>
          </w:tcPr>
          <w:p w14:paraId="646BDFAB">
            <w:pPr>
              <w:pStyle w:val="17"/>
              <w:bidi w:val="0"/>
              <w:rPr>
                <w:rFonts w:hint="default"/>
                <w:color w:val="auto"/>
                <w:highlight w:val="none"/>
              </w:rPr>
            </w:pPr>
          </w:p>
        </w:tc>
        <w:tc>
          <w:tcPr>
            <w:tcW w:w="860" w:type="pct"/>
            <w:tcBorders>
              <w:tl2br w:val="nil"/>
              <w:tr2bl w:val="nil"/>
            </w:tcBorders>
            <w:vAlign w:val="center"/>
          </w:tcPr>
          <w:p w14:paraId="2E8D57CB">
            <w:pPr>
              <w:pStyle w:val="17"/>
              <w:bidi w:val="0"/>
              <w:rPr>
                <w:rFonts w:hint="default"/>
                <w:color w:val="auto"/>
                <w:highlight w:val="none"/>
                <w:lang w:val="en-US" w:eastAsia="zh-CN"/>
              </w:rPr>
            </w:pPr>
            <w:r>
              <w:rPr>
                <w:rFonts w:hint="default"/>
                <w:color w:val="auto"/>
                <w:highlight w:val="none"/>
                <w:lang w:val="en-US" w:eastAsia="zh-CN"/>
              </w:rPr>
              <w:t>化验废水</w:t>
            </w:r>
          </w:p>
        </w:tc>
        <w:tc>
          <w:tcPr>
            <w:tcW w:w="849" w:type="pct"/>
            <w:tcBorders>
              <w:tl2br w:val="nil"/>
              <w:tr2bl w:val="nil"/>
            </w:tcBorders>
            <w:vAlign w:val="center"/>
          </w:tcPr>
          <w:p w14:paraId="2FA3FE45">
            <w:pPr>
              <w:pStyle w:val="17"/>
              <w:bidi w:val="0"/>
              <w:rPr>
                <w:rFonts w:hint="default"/>
                <w:color w:val="auto"/>
                <w:highlight w:val="none"/>
                <w:lang w:val="en-US" w:eastAsia="zh-CN"/>
              </w:rPr>
            </w:pPr>
            <w:r>
              <w:rPr>
                <w:rFonts w:hint="default" w:ascii="Times New Roman" w:hAnsi="Times New Roman" w:eastAsia="宋体" w:cs="Times New Roman"/>
                <w:color w:val="auto"/>
                <w:szCs w:val="21"/>
                <w:highlight w:val="none"/>
                <w:lang w:val="en-US" w:eastAsia="zh-CN"/>
              </w:rPr>
              <w:t>SS</w:t>
            </w:r>
          </w:p>
        </w:tc>
        <w:tc>
          <w:tcPr>
            <w:tcW w:w="1383" w:type="pct"/>
            <w:tcBorders>
              <w:tl2br w:val="nil"/>
              <w:tr2bl w:val="nil"/>
            </w:tcBorders>
            <w:vAlign w:val="center"/>
          </w:tcPr>
          <w:p w14:paraId="3218FC39">
            <w:pPr>
              <w:pStyle w:val="17"/>
              <w:bidi w:val="0"/>
              <w:rPr>
                <w:rFonts w:hint="default"/>
                <w:color w:val="auto"/>
                <w:highlight w:val="none"/>
              </w:rPr>
            </w:pPr>
            <w:r>
              <w:rPr>
                <w:rFonts w:hint="default"/>
                <w:color w:val="auto"/>
                <w:highlight w:val="none"/>
              </w:rPr>
              <w:t>经</w:t>
            </w:r>
            <w:r>
              <w:rPr>
                <w:rFonts w:hint="default"/>
                <w:color w:val="auto"/>
                <w:highlight w:val="none"/>
                <w:lang w:eastAsia="zh-CN"/>
              </w:rPr>
              <w:t>沉淀</w:t>
            </w:r>
            <w:r>
              <w:rPr>
                <w:rFonts w:hint="default"/>
                <w:color w:val="auto"/>
                <w:highlight w:val="none"/>
              </w:rPr>
              <w:t>处理后通过排水管道输入选矿生产工序循环使用，</w:t>
            </w:r>
            <w:r>
              <w:rPr>
                <w:rFonts w:hint="default"/>
                <w:color w:val="auto"/>
                <w:highlight w:val="none"/>
                <w:lang w:val="en-US" w:eastAsia="zh-CN"/>
              </w:rPr>
              <w:t>不外排</w:t>
            </w:r>
          </w:p>
        </w:tc>
        <w:tc>
          <w:tcPr>
            <w:tcW w:w="1386" w:type="pct"/>
            <w:tcBorders>
              <w:tl2br w:val="nil"/>
              <w:tr2bl w:val="nil"/>
            </w:tcBorders>
            <w:vAlign w:val="center"/>
          </w:tcPr>
          <w:p w14:paraId="600E39FB">
            <w:pPr>
              <w:pStyle w:val="17"/>
              <w:bidi w:val="0"/>
              <w:rPr>
                <w:rFonts w:hint="eastAsia" w:eastAsia="宋体"/>
                <w:color w:val="auto"/>
                <w:highlight w:val="none"/>
                <w:lang w:eastAsia="zh-CN"/>
              </w:rPr>
            </w:pPr>
            <w:r>
              <w:rPr>
                <w:rFonts w:hint="eastAsia"/>
                <w:color w:val="auto"/>
                <w:highlight w:val="none"/>
                <w:lang w:val="en-US" w:eastAsia="zh-CN"/>
              </w:rPr>
              <w:t>/</w:t>
            </w:r>
          </w:p>
        </w:tc>
      </w:tr>
      <w:tr w14:paraId="7B81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6410EF86">
            <w:pPr>
              <w:pStyle w:val="17"/>
              <w:bidi w:val="0"/>
              <w:rPr>
                <w:rFonts w:hint="default"/>
                <w:color w:val="auto"/>
                <w:highlight w:val="none"/>
              </w:rPr>
            </w:pPr>
          </w:p>
        </w:tc>
        <w:tc>
          <w:tcPr>
            <w:tcW w:w="260" w:type="pct"/>
            <w:vMerge w:val="continue"/>
            <w:tcBorders>
              <w:tl2br w:val="nil"/>
              <w:tr2bl w:val="nil"/>
            </w:tcBorders>
            <w:vAlign w:val="center"/>
          </w:tcPr>
          <w:p w14:paraId="58BBB273">
            <w:pPr>
              <w:pStyle w:val="17"/>
              <w:bidi w:val="0"/>
              <w:rPr>
                <w:rFonts w:hint="default"/>
                <w:color w:val="auto"/>
                <w:highlight w:val="none"/>
              </w:rPr>
            </w:pPr>
          </w:p>
        </w:tc>
        <w:tc>
          <w:tcPr>
            <w:tcW w:w="860" w:type="pct"/>
            <w:tcBorders>
              <w:tl2br w:val="nil"/>
              <w:tr2bl w:val="nil"/>
            </w:tcBorders>
            <w:vAlign w:val="center"/>
          </w:tcPr>
          <w:p w14:paraId="1B7C3AB4">
            <w:pPr>
              <w:pStyle w:val="17"/>
              <w:bidi w:val="0"/>
              <w:rPr>
                <w:rFonts w:hint="default"/>
                <w:color w:val="auto"/>
                <w:highlight w:val="none"/>
                <w:lang w:val="en-US" w:eastAsia="zh-CN"/>
              </w:rPr>
            </w:pPr>
            <w:r>
              <w:rPr>
                <w:rFonts w:hint="eastAsia"/>
                <w:color w:val="auto"/>
                <w:highlight w:val="none"/>
                <w:lang w:val="en-US" w:eastAsia="zh-CN"/>
              </w:rPr>
              <w:t>喷淋塔废水</w:t>
            </w:r>
          </w:p>
        </w:tc>
        <w:tc>
          <w:tcPr>
            <w:tcW w:w="849" w:type="pct"/>
            <w:tcBorders>
              <w:tl2br w:val="nil"/>
              <w:tr2bl w:val="nil"/>
            </w:tcBorders>
            <w:vAlign w:val="center"/>
          </w:tcPr>
          <w:p w14:paraId="4B899CD0">
            <w:pPr>
              <w:pStyle w:val="17"/>
              <w:bidi w:val="0"/>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含盐量</w:t>
            </w:r>
          </w:p>
        </w:tc>
        <w:tc>
          <w:tcPr>
            <w:tcW w:w="1383" w:type="pct"/>
            <w:tcBorders>
              <w:tl2br w:val="nil"/>
              <w:tr2bl w:val="nil"/>
            </w:tcBorders>
            <w:vAlign w:val="center"/>
          </w:tcPr>
          <w:p w14:paraId="41D77851">
            <w:pPr>
              <w:pStyle w:val="17"/>
              <w:bidi w:val="0"/>
              <w:rPr>
                <w:rFonts w:hint="default"/>
                <w:color w:val="auto"/>
                <w:highlight w:val="none"/>
              </w:rPr>
            </w:pPr>
            <w:r>
              <w:rPr>
                <w:rFonts w:hint="default"/>
                <w:color w:val="auto"/>
                <w:highlight w:val="none"/>
              </w:rPr>
              <w:t>排入选矿生产工序循环使用，</w:t>
            </w:r>
            <w:r>
              <w:rPr>
                <w:rFonts w:hint="default"/>
                <w:color w:val="auto"/>
                <w:highlight w:val="none"/>
                <w:lang w:val="en-US" w:eastAsia="zh-CN"/>
              </w:rPr>
              <w:t>不外排</w:t>
            </w:r>
          </w:p>
        </w:tc>
        <w:tc>
          <w:tcPr>
            <w:tcW w:w="1386" w:type="pct"/>
            <w:tcBorders>
              <w:tl2br w:val="nil"/>
              <w:tr2bl w:val="nil"/>
            </w:tcBorders>
            <w:vAlign w:val="center"/>
          </w:tcPr>
          <w:p w14:paraId="10B331CC">
            <w:pPr>
              <w:pStyle w:val="17"/>
              <w:bidi w:val="0"/>
              <w:rPr>
                <w:rFonts w:hint="default"/>
                <w:color w:val="auto"/>
                <w:highlight w:val="none"/>
                <w:lang w:val="en-US" w:eastAsia="zh-CN"/>
              </w:rPr>
            </w:pPr>
            <w:r>
              <w:rPr>
                <w:rFonts w:hint="eastAsia"/>
                <w:color w:val="auto"/>
                <w:highlight w:val="none"/>
                <w:lang w:val="en-US" w:eastAsia="zh-CN"/>
              </w:rPr>
              <w:t>/</w:t>
            </w:r>
          </w:p>
        </w:tc>
      </w:tr>
      <w:tr w14:paraId="042F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008518BE">
            <w:pPr>
              <w:pStyle w:val="17"/>
              <w:bidi w:val="0"/>
              <w:rPr>
                <w:rFonts w:hint="default"/>
                <w:color w:val="auto"/>
                <w:highlight w:val="none"/>
              </w:rPr>
            </w:pPr>
          </w:p>
        </w:tc>
        <w:tc>
          <w:tcPr>
            <w:tcW w:w="260" w:type="pct"/>
            <w:vMerge w:val="continue"/>
            <w:tcBorders>
              <w:tl2br w:val="nil"/>
              <w:tr2bl w:val="nil"/>
            </w:tcBorders>
            <w:vAlign w:val="center"/>
          </w:tcPr>
          <w:p w14:paraId="4057B863">
            <w:pPr>
              <w:pStyle w:val="17"/>
              <w:bidi w:val="0"/>
              <w:rPr>
                <w:rFonts w:hint="default"/>
                <w:color w:val="auto"/>
                <w:highlight w:val="none"/>
              </w:rPr>
            </w:pPr>
          </w:p>
        </w:tc>
        <w:tc>
          <w:tcPr>
            <w:tcW w:w="860" w:type="pct"/>
            <w:tcBorders>
              <w:tl2br w:val="nil"/>
              <w:tr2bl w:val="nil"/>
            </w:tcBorders>
            <w:vAlign w:val="center"/>
          </w:tcPr>
          <w:p w14:paraId="456471D3">
            <w:pPr>
              <w:pStyle w:val="17"/>
              <w:bidi w:val="0"/>
              <w:rPr>
                <w:rFonts w:hint="default"/>
                <w:color w:val="auto"/>
                <w:highlight w:val="none"/>
                <w:lang w:val="en-US" w:eastAsia="zh-CN"/>
              </w:rPr>
            </w:pPr>
            <w:r>
              <w:rPr>
                <w:rFonts w:hint="eastAsia"/>
                <w:color w:val="auto"/>
                <w:highlight w:val="none"/>
                <w:lang w:val="en-US" w:eastAsia="zh-CN"/>
              </w:rPr>
              <w:t>生活污水</w:t>
            </w:r>
          </w:p>
        </w:tc>
        <w:tc>
          <w:tcPr>
            <w:tcW w:w="849" w:type="pct"/>
            <w:tcBorders>
              <w:tl2br w:val="nil"/>
              <w:tr2bl w:val="nil"/>
            </w:tcBorders>
            <w:vAlign w:val="center"/>
          </w:tcPr>
          <w:p w14:paraId="008B6558">
            <w:pPr>
              <w:pStyle w:val="17"/>
              <w:bidi w:val="0"/>
              <w:rPr>
                <w:rFonts w:hint="eastAsia"/>
                <w:color w:val="auto"/>
                <w:highlight w:val="none"/>
                <w:lang w:val="en-US" w:eastAsia="zh-CN"/>
              </w:rPr>
            </w:pPr>
            <w:r>
              <w:rPr>
                <w:rFonts w:hint="default" w:ascii="Times New Roman" w:hAnsi="Times New Roman" w:cs="Times New Roman"/>
                <w:color w:val="auto"/>
                <w:highlight w:val="none"/>
              </w:rPr>
              <w:t>SS、COD、BOD</w:t>
            </w:r>
            <w:r>
              <w:rPr>
                <w:rFonts w:hint="default" w:ascii="Times New Roman" w:hAnsi="Times New Roman" w:cs="Times New Roman"/>
                <w:color w:val="auto"/>
                <w:highlight w:val="none"/>
                <w:vertAlign w:val="subscript"/>
                <w:lang w:val="en-US" w:eastAsia="zh-CN"/>
              </w:rPr>
              <w:t>5</w:t>
            </w:r>
            <w:r>
              <w:rPr>
                <w:rFonts w:hint="default" w:ascii="Times New Roman" w:hAnsi="Times New Roman" w:cs="Times New Roman"/>
                <w:color w:val="auto"/>
                <w:highlight w:val="none"/>
              </w:rPr>
              <w:t>、氨氮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动植物油</w:t>
            </w:r>
          </w:p>
        </w:tc>
        <w:tc>
          <w:tcPr>
            <w:tcW w:w="1383" w:type="pct"/>
            <w:tcBorders>
              <w:tl2br w:val="nil"/>
              <w:tr2bl w:val="nil"/>
            </w:tcBorders>
            <w:vAlign w:val="center"/>
          </w:tcPr>
          <w:p w14:paraId="5DE4CC43">
            <w:pPr>
              <w:pStyle w:val="17"/>
              <w:bidi w:val="0"/>
              <w:rPr>
                <w:rFonts w:hint="default"/>
                <w:color w:val="auto"/>
                <w:highlight w:val="none"/>
                <w:lang w:val="en-US" w:eastAsia="zh-CN"/>
              </w:rPr>
            </w:pPr>
            <w:r>
              <w:rPr>
                <w:rFonts w:hint="eastAsia"/>
                <w:color w:val="auto"/>
                <w:highlight w:val="none"/>
                <w:lang w:val="en-US" w:eastAsia="zh-CN"/>
              </w:rPr>
              <w:t>经一体化污水处理设施处理后回用</w:t>
            </w:r>
          </w:p>
        </w:tc>
        <w:tc>
          <w:tcPr>
            <w:tcW w:w="1386" w:type="pct"/>
            <w:tcBorders>
              <w:tl2br w:val="nil"/>
              <w:tr2bl w:val="nil"/>
            </w:tcBorders>
            <w:vAlign w:val="center"/>
          </w:tcPr>
          <w:p w14:paraId="766DB895">
            <w:pPr>
              <w:pStyle w:val="17"/>
              <w:bidi w:val="0"/>
              <w:rPr>
                <w:rFonts w:hint="default"/>
                <w:color w:val="auto"/>
                <w:highlight w:val="none"/>
              </w:rPr>
            </w:pPr>
            <w:r>
              <w:rPr>
                <w:rFonts w:hint="default"/>
                <w:color w:val="auto"/>
                <w:highlight w:val="none"/>
                <w:lang w:val="en-US" w:eastAsia="zh-CN"/>
              </w:rPr>
              <w:t>《农村生活污水处理排放标准》（DB65 4275-2019）</w:t>
            </w:r>
          </w:p>
        </w:tc>
      </w:tr>
      <w:tr w14:paraId="679E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4A2DA858">
            <w:pPr>
              <w:pStyle w:val="17"/>
              <w:bidi w:val="0"/>
              <w:rPr>
                <w:rFonts w:hint="default"/>
                <w:color w:val="auto"/>
                <w:highlight w:val="none"/>
              </w:rPr>
            </w:pPr>
          </w:p>
        </w:tc>
        <w:tc>
          <w:tcPr>
            <w:tcW w:w="260" w:type="pct"/>
            <w:tcBorders>
              <w:tl2br w:val="nil"/>
              <w:tr2bl w:val="nil"/>
            </w:tcBorders>
            <w:vAlign w:val="center"/>
          </w:tcPr>
          <w:p w14:paraId="594FAFC1">
            <w:pPr>
              <w:pStyle w:val="17"/>
              <w:bidi w:val="0"/>
              <w:rPr>
                <w:rFonts w:hint="default"/>
                <w:color w:val="auto"/>
                <w:highlight w:val="none"/>
              </w:rPr>
            </w:pPr>
            <w:r>
              <w:rPr>
                <w:rFonts w:hint="default"/>
                <w:color w:val="auto"/>
                <w:highlight w:val="none"/>
              </w:rPr>
              <w:t>噪声</w:t>
            </w:r>
          </w:p>
        </w:tc>
        <w:tc>
          <w:tcPr>
            <w:tcW w:w="860" w:type="pct"/>
            <w:tcBorders>
              <w:tl2br w:val="nil"/>
              <w:tr2bl w:val="nil"/>
            </w:tcBorders>
            <w:vAlign w:val="center"/>
          </w:tcPr>
          <w:p w14:paraId="516C795F">
            <w:pPr>
              <w:pStyle w:val="17"/>
              <w:bidi w:val="0"/>
              <w:rPr>
                <w:rFonts w:hint="default"/>
                <w:color w:val="auto"/>
                <w:highlight w:val="none"/>
                <w:lang w:val="en-US"/>
              </w:rPr>
            </w:pPr>
            <w:r>
              <w:rPr>
                <w:rFonts w:hint="eastAsia"/>
                <w:color w:val="auto"/>
                <w:highlight w:val="none"/>
                <w:lang w:val="en-US" w:eastAsia="zh-CN"/>
              </w:rPr>
              <w:t>选矿设备</w:t>
            </w:r>
          </w:p>
        </w:tc>
        <w:tc>
          <w:tcPr>
            <w:tcW w:w="849" w:type="pct"/>
            <w:tcBorders>
              <w:tl2br w:val="nil"/>
              <w:tr2bl w:val="nil"/>
            </w:tcBorders>
            <w:vAlign w:val="center"/>
          </w:tcPr>
          <w:p w14:paraId="3A4F3189">
            <w:pPr>
              <w:pStyle w:val="17"/>
              <w:bidi w:val="0"/>
              <w:rPr>
                <w:rFonts w:hint="default"/>
                <w:color w:val="auto"/>
                <w:highlight w:val="none"/>
                <w:lang w:val="en-US" w:eastAsia="zh-CN"/>
              </w:rPr>
            </w:pPr>
            <w:r>
              <w:rPr>
                <w:rFonts w:hint="eastAsia"/>
                <w:color w:val="auto"/>
                <w:highlight w:val="none"/>
                <w:lang w:val="en-US" w:eastAsia="zh-CN"/>
              </w:rPr>
              <w:t>设备运行噪声</w:t>
            </w:r>
          </w:p>
        </w:tc>
        <w:tc>
          <w:tcPr>
            <w:tcW w:w="1383" w:type="pct"/>
            <w:tcBorders>
              <w:tl2br w:val="nil"/>
              <w:tr2bl w:val="nil"/>
            </w:tcBorders>
            <w:vAlign w:val="center"/>
          </w:tcPr>
          <w:p w14:paraId="57DD9065">
            <w:pPr>
              <w:pStyle w:val="17"/>
              <w:bidi w:val="0"/>
              <w:rPr>
                <w:rFonts w:hint="default"/>
                <w:color w:val="auto"/>
                <w:highlight w:val="none"/>
              </w:rPr>
            </w:pPr>
            <w:r>
              <w:rPr>
                <w:rFonts w:hint="default"/>
                <w:color w:val="auto"/>
                <w:highlight w:val="none"/>
              </w:rPr>
              <w:t>置于室内隔声，出口安装消声器、基础减振，室内隔声</w:t>
            </w:r>
          </w:p>
        </w:tc>
        <w:tc>
          <w:tcPr>
            <w:tcW w:w="1386" w:type="pct"/>
            <w:tcBorders>
              <w:tl2br w:val="nil"/>
              <w:tr2bl w:val="nil"/>
            </w:tcBorders>
            <w:vAlign w:val="center"/>
          </w:tcPr>
          <w:p w14:paraId="3B61E601">
            <w:pPr>
              <w:pStyle w:val="17"/>
              <w:bidi w:val="0"/>
              <w:rPr>
                <w:rFonts w:hint="default"/>
                <w:color w:val="auto"/>
                <w:highlight w:val="none"/>
              </w:rPr>
            </w:pPr>
            <w:r>
              <w:rPr>
                <w:rFonts w:hint="default"/>
                <w:color w:val="auto"/>
                <w:highlight w:val="none"/>
              </w:rPr>
              <w:t>厂界噪声达到《工业企业厂界环境噪声排放标准》</w:t>
            </w:r>
            <w:r>
              <w:rPr>
                <w:rFonts w:hint="default"/>
                <w:color w:val="auto"/>
                <w:highlight w:val="none"/>
                <w:lang w:val="zh-CN"/>
              </w:rPr>
              <w:t>（GB12348-2008）</w:t>
            </w:r>
            <w:r>
              <w:rPr>
                <w:rFonts w:hint="default"/>
                <w:color w:val="auto"/>
                <w:highlight w:val="none"/>
                <w:lang w:val="en-US" w:eastAsia="zh-CN"/>
              </w:rPr>
              <w:t>2</w:t>
            </w:r>
            <w:r>
              <w:rPr>
                <w:rFonts w:hint="default"/>
                <w:color w:val="auto"/>
                <w:highlight w:val="none"/>
              </w:rPr>
              <w:t>类标准</w:t>
            </w:r>
          </w:p>
        </w:tc>
      </w:tr>
      <w:tr w14:paraId="161C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065426AB">
            <w:pPr>
              <w:pStyle w:val="17"/>
              <w:bidi w:val="0"/>
              <w:rPr>
                <w:rFonts w:hint="default"/>
                <w:color w:val="auto"/>
                <w:highlight w:val="none"/>
              </w:rPr>
            </w:pPr>
          </w:p>
        </w:tc>
        <w:tc>
          <w:tcPr>
            <w:tcW w:w="260" w:type="pct"/>
            <w:vMerge w:val="restart"/>
            <w:tcBorders>
              <w:tl2br w:val="nil"/>
              <w:tr2bl w:val="nil"/>
            </w:tcBorders>
            <w:vAlign w:val="center"/>
          </w:tcPr>
          <w:p w14:paraId="0FE775AC">
            <w:pPr>
              <w:pStyle w:val="17"/>
              <w:bidi w:val="0"/>
              <w:rPr>
                <w:rFonts w:hint="default"/>
                <w:color w:val="auto"/>
                <w:highlight w:val="none"/>
              </w:rPr>
            </w:pPr>
            <w:r>
              <w:rPr>
                <w:rFonts w:hint="default"/>
                <w:color w:val="auto"/>
                <w:highlight w:val="none"/>
              </w:rPr>
              <w:t>固废</w:t>
            </w:r>
          </w:p>
        </w:tc>
        <w:tc>
          <w:tcPr>
            <w:tcW w:w="860" w:type="pct"/>
            <w:tcBorders>
              <w:tl2br w:val="nil"/>
              <w:tr2bl w:val="nil"/>
            </w:tcBorders>
            <w:vAlign w:val="center"/>
          </w:tcPr>
          <w:p w14:paraId="42815FE7">
            <w:pPr>
              <w:pStyle w:val="17"/>
              <w:bidi w:val="0"/>
              <w:rPr>
                <w:rFonts w:hint="default"/>
                <w:color w:val="auto"/>
                <w:highlight w:val="none"/>
                <w:lang w:val="en-US" w:eastAsia="zh-CN"/>
              </w:rPr>
            </w:pPr>
            <w:r>
              <w:rPr>
                <w:rFonts w:hint="eastAsia"/>
                <w:color w:val="auto"/>
                <w:highlight w:val="none"/>
                <w:lang w:val="en-US" w:eastAsia="zh-CN"/>
              </w:rPr>
              <w:t>生活垃圾</w:t>
            </w:r>
          </w:p>
        </w:tc>
        <w:tc>
          <w:tcPr>
            <w:tcW w:w="849" w:type="pct"/>
            <w:tcBorders>
              <w:tl2br w:val="nil"/>
              <w:tr2bl w:val="nil"/>
            </w:tcBorders>
            <w:vAlign w:val="center"/>
          </w:tcPr>
          <w:p w14:paraId="4C377C08">
            <w:pPr>
              <w:pStyle w:val="17"/>
              <w:bidi w:val="0"/>
              <w:rPr>
                <w:rFonts w:hint="default"/>
                <w:color w:val="auto"/>
                <w:highlight w:val="none"/>
                <w:lang w:val="en-US" w:eastAsia="zh-CN"/>
              </w:rPr>
            </w:pPr>
            <w:r>
              <w:rPr>
                <w:rFonts w:hint="eastAsia"/>
                <w:color w:val="auto"/>
                <w:highlight w:val="none"/>
                <w:lang w:val="en-US" w:eastAsia="zh-CN"/>
              </w:rPr>
              <w:t>/</w:t>
            </w:r>
          </w:p>
        </w:tc>
        <w:tc>
          <w:tcPr>
            <w:tcW w:w="1383" w:type="pct"/>
            <w:tcBorders>
              <w:tl2br w:val="nil"/>
              <w:tr2bl w:val="nil"/>
            </w:tcBorders>
            <w:vAlign w:val="center"/>
          </w:tcPr>
          <w:p w14:paraId="175EC7BE">
            <w:pPr>
              <w:pStyle w:val="17"/>
              <w:bidi w:val="0"/>
              <w:rPr>
                <w:rFonts w:hint="default"/>
                <w:color w:val="auto"/>
                <w:highlight w:val="none"/>
              </w:rPr>
            </w:pPr>
            <w:r>
              <w:rPr>
                <w:rFonts w:hint="default"/>
                <w:color w:val="auto"/>
                <w:highlight w:val="none"/>
                <w:lang w:val="en-US" w:eastAsia="zh-CN"/>
              </w:rPr>
              <w:t>集中收集，定期拉运至若羌县生活垃圾填埋场处理</w:t>
            </w:r>
          </w:p>
        </w:tc>
        <w:tc>
          <w:tcPr>
            <w:tcW w:w="1386" w:type="pct"/>
            <w:tcBorders>
              <w:tl2br w:val="nil"/>
              <w:tr2bl w:val="nil"/>
            </w:tcBorders>
            <w:vAlign w:val="center"/>
          </w:tcPr>
          <w:p w14:paraId="0F10F63F">
            <w:pPr>
              <w:pStyle w:val="17"/>
              <w:bidi w:val="0"/>
              <w:rPr>
                <w:rFonts w:hint="default"/>
                <w:color w:val="auto"/>
                <w:highlight w:val="none"/>
              </w:rPr>
            </w:pPr>
            <w:r>
              <w:rPr>
                <w:rFonts w:hint="eastAsia" w:ascii="Times New Roman" w:hAnsi="Times New Roman" w:eastAsia="宋体" w:cs="Times New Roman"/>
                <w:snapToGrid/>
                <w:color w:val="auto"/>
                <w:kern w:val="2"/>
                <w:sz w:val="21"/>
                <w:szCs w:val="21"/>
                <w:highlight w:val="none"/>
                <w:lang w:val="en-US" w:eastAsia="zh-CN" w:bidi="ar"/>
              </w:rPr>
              <w:t>合理处置</w:t>
            </w:r>
          </w:p>
        </w:tc>
      </w:tr>
      <w:tr w14:paraId="4EC9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7A8358D1">
            <w:pPr>
              <w:pStyle w:val="17"/>
              <w:bidi w:val="0"/>
              <w:rPr>
                <w:rFonts w:hint="default"/>
                <w:color w:val="auto"/>
                <w:highlight w:val="none"/>
              </w:rPr>
            </w:pPr>
          </w:p>
        </w:tc>
        <w:tc>
          <w:tcPr>
            <w:tcW w:w="260" w:type="pct"/>
            <w:vMerge w:val="continue"/>
            <w:tcBorders>
              <w:tl2br w:val="nil"/>
              <w:tr2bl w:val="nil"/>
            </w:tcBorders>
            <w:vAlign w:val="center"/>
          </w:tcPr>
          <w:p w14:paraId="22FE3E5C">
            <w:pPr>
              <w:pStyle w:val="17"/>
              <w:bidi w:val="0"/>
              <w:rPr>
                <w:rFonts w:hint="default"/>
                <w:color w:val="auto"/>
                <w:highlight w:val="none"/>
              </w:rPr>
            </w:pPr>
          </w:p>
        </w:tc>
        <w:tc>
          <w:tcPr>
            <w:tcW w:w="860" w:type="pct"/>
            <w:vMerge w:val="restart"/>
            <w:tcBorders>
              <w:tl2br w:val="nil"/>
              <w:tr2bl w:val="nil"/>
            </w:tcBorders>
            <w:vAlign w:val="center"/>
          </w:tcPr>
          <w:p w14:paraId="1522043F">
            <w:pPr>
              <w:pStyle w:val="17"/>
              <w:bidi w:val="0"/>
              <w:rPr>
                <w:rFonts w:hint="eastAsia" w:eastAsia="宋体"/>
                <w:color w:val="auto"/>
                <w:highlight w:val="none"/>
                <w:lang w:val="en-US" w:eastAsia="zh-CN"/>
              </w:rPr>
            </w:pPr>
            <w:r>
              <w:rPr>
                <w:rFonts w:hint="eastAsia"/>
                <w:color w:val="auto"/>
                <w:highlight w:val="none"/>
                <w:lang w:val="en-US" w:eastAsia="zh-CN"/>
              </w:rPr>
              <w:t>一般固废</w:t>
            </w:r>
          </w:p>
        </w:tc>
        <w:tc>
          <w:tcPr>
            <w:tcW w:w="849" w:type="pct"/>
            <w:tcBorders>
              <w:tl2br w:val="nil"/>
              <w:tr2bl w:val="nil"/>
            </w:tcBorders>
            <w:shd w:val="clear" w:color="auto" w:fill="auto"/>
            <w:vAlign w:val="center"/>
          </w:tcPr>
          <w:p w14:paraId="45F8A42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尾矿砂</w:t>
            </w:r>
          </w:p>
        </w:tc>
        <w:tc>
          <w:tcPr>
            <w:tcW w:w="1383" w:type="pct"/>
            <w:tcBorders>
              <w:tl2br w:val="nil"/>
              <w:tr2bl w:val="nil"/>
            </w:tcBorders>
            <w:vAlign w:val="center"/>
          </w:tcPr>
          <w:p w14:paraId="7083BEDE">
            <w:pPr>
              <w:pStyle w:val="17"/>
              <w:bidi w:val="0"/>
              <w:rPr>
                <w:rFonts w:hint="default"/>
                <w:color w:val="auto"/>
                <w:highlight w:val="none"/>
              </w:rPr>
            </w:pPr>
            <w:r>
              <w:rPr>
                <w:rFonts w:hint="default"/>
                <w:color w:val="auto"/>
                <w:highlight w:val="none"/>
              </w:rPr>
              <w:t>尾矿砂</w:t>
            </w:r>
            <w:r>
              <w:rPr>
                <w:rFonts w:hint="default"/>
                <w:color w:val="auto"/>
                <w:highlight w:val="none"/>
                <w:lang w:val="en-US" w:eastAsia="zh-CN"/>
              </w:rPr>
              <w:t>部分</w:t>
            </w:r>
            <w:r>
              <w:rPr>
                <w:rFonts w:hint="default"/>
                <w:color w:val="auto"/>
                <w:highlight w:val="none"/>
              </w:rPr>
              <w:t>经管线输送至尾矿库，部分用于采场地下充填，综合利用率可达到</w:t>
            </w:r>
            <w:r>
              <w:rPr>
                <w:rFonts w:hint="default"/>
                <w:color w:val="auto"/>
                <w:highlight w:val="none"/>
                <w:lang w:val="en-US" w:eastAsia="zh-CN"/>
              </w:rPr>
              <w:t>6</w:t>
            </w:r>
            <w:r>
              <w:rPr>
                <w:rFonts w:hint="default"/>
                <w:color w:val="auto"/>
                <w:highlight w:val="none"/>
              </w:rPr>
              <w:t>0%。</w:t>
            </w:r>
          </w:p>
        </w:tc>
        <w:tc>
          <w:tcPr>
            <w:tcW w:w="1386" w:type="pct"/>
            <w:tcBorders>
              <w:tl2br w:val="nil"/>
              <w:tr2bl w:val="nil"/>
            </w:tcBorders>
            <w:vAlign w:val="center"/>
          </w:tcPr>
          <w:p w14:paraId="14593647">
            <w:pPr>
              <w:pStyle w:val="17"/>
              <w:bidi w:val="0"/>
              <w:rPr>
                <w:rFonts w:hint="eastAsia" w:eastAsia="宋体"/>
                <w:color w:val="auto"/>
                <w:highlight w:val="none"/>
                <w:lang w:eastAsia="zh-CN"/>
              </w:rPr>
            </w:pPr>
            <w:r>
              <w:rPr>
                <w:rFonts w:hint="default"/>
                <w:color w:val="auto"/>
                <w:highlight w:val="none"/>
              </w:rPr>
              <w:t>《一般工业固体废物贮存和填埋污染控制标准》（GB18599-2020）</w:t>
            </w:r>
          </w:p>
        </w:tc>
      </w:tr>
      <w:tr w14:paraId="36C6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18F0B522">
            <w:pPr>
              <w:pStyle w:val="17"/>
              <w:bidi w:val="0"/>
              <w:rPr>
                <w:rFonts w:hint="default"/>
                <w:color w:val="auto"/>
                <w:highlight w:val="none"/>
              </w:rPr>
            </w:pPr>
          </w:p>
        </w:tc>
        <w:tc>
          <w:tcPr>
            <w:tcW w:w="260" w:type="pct"/>
            <w:vMerge w:val="continue"/>
            <w:tcBorders>
              <w:tl2br w:val="nil"/>
              <w:tr2bl w:val="nil"/>
            </w:tcBorders>
            <w:vAlign w:val="center"/>
          </w:tcPr>
          <w:p w14:paraId="5FA19236">
            <w:pPr>
              <w:pStyle w:val="17"/>
              <w:bidi w:val="0"/>
              <w:rPr>
                <w:rFonts w:hint="default"/>
                <w:color w:val="auto"/>
                <w:highlight w:val="none"/>
              </w:rPr>
            </w:pPr>
          </w:p>
        </w:tc>
        <w:tc>
          <w:tcPr>
            <w:tcW w:w="860" w:type="pct"/>
            <w:vMerge w:val="continue"/>
            <w:tcBorders>
              <w:tl2br w:val="nil"/>
              <w:tr2bl w:val="nil"/>
            </w:tcBorders>
            <w:shd w:val="clear" w:color="auto" w:fill="auto"/>
            <w:vAlign w:val="center"/>
          </w:tcPr>
          <w:p w14:paraId="67AB0BE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p>
        </w:tc>
        <w:tc>
          <w:tcPr>
            <w:tcW w:w="849" w:type="pct"/>
            <w:tcBorders>
              <w:tl2br w:val="nil"/>
              <w:tr2bl w:val="nil"/>
            </w:tcBorders>
            <w:shd w:val="clear" w:color="auto" w:fill="auto"/>
            <w:vAlign w:val="center"/>
          </w:tcPr>
          <w:p w14:paraId="60B64F8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废离子交换树脂</w:t>
            </w:r>
            <w:r>
              <w:rPr>
                <w:rFonts w:hint="default"/>
                <w:color w:val="auto"/>
                <w:highlight w:val="none"/>
                <w:lang w:eastAsia="zh-CN"/>
              </w:rPr>
              <w:t>、废</w:t>
            </w:r>
            <w:r>
              <w:rPr>
                <w:rFonts w:hint="default"/>
                <w:color w:val="auto"/>
                <w:highlight w:val="none"/>
              </w:rPr>
              <w:t>包装物</w:t>
            </w:r>
          </w:p>
        </w:tc>
        <w:tc>
          <w:tcPr>
            <w:tcW w:w="1383" w:type="pct"/>
            <w:tcBorders>
              <w:tl2br w:val="nil"/>
              <w:tr2bl w:val="nil"/>
            </w:tcBorders>
            <w:shd w:val="clear" w:color="auto" w:fill="auto"/>
            <w:vAlign w:val="center"/>
          </w:tcPr>
          <w:p w14:paraId="2BE212BA">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厂家回收处理</w:t>
            </w:r>
          </w:p>
        </w:tc>
        <w:tc>
          <w:tcPr>
            <w:tcW w:w="1386" w:type="pct"/>
            <w:tcBorders>
              <w:tl2br w:val="nil"/>
              <w:tr2bl w:val="nil"/>
            </w:tcBorders>
            <w:vAlign w:val="center"/>
          </w:tcPr>
          <w:p w14:paraId="52C05787">
            <w:pPr>
              <w:pStyle w:val="17"/>
              <w:bidi w:val="0"/>
              <w:rPr>
                <w:rFonts w:hint="eastAsia" w:eastAsia="宋体"/>
                <w:color w:val="auto"/>
                <w:highlight w:val="none"/>
                <w:lang w:val="en-US" w:eastAsia="zh-CN"/>
              </w:rPr>
            </w:pPr>
            <w:r>
              <w:rPr>
                <w:rFonts w:hint="eastAsia"/>
                <w:color w:val="auto"/>
                <w:highlight w:val="none"/>
                <w:lang w:val="en-US" w:eastAsia="zh-CN"/>
              </w:rPr>
              <w:t>/</w:t>
            </w:r>
          </w:p>
        </w:tc>
      </w:tr>
      <w:tr w14:paraId="67CF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0E73816D">
            <w:pPr>
              <w:pStyle w:val="17"/>
              <w:bidi w:val="0"/>
              <w:rPr>
                <w:rFonts w:hint="default"/>
                <w:color w:val="auto"/>
                <w:highlight w:val="none"/>
              </w:rPr>
            </w:pPr>
          </w:p>
        </w:tc>
        <w:tc>
          <w:tcPr>
            <w:tcW w:w="260" w:type="pct"/>
            <w:vMerge w:val="continue"/>
            <w:tcBorders>
              <w:tl2br w:val="nil"/>
              <w:tr2bl w:val="nil"/>
            </w:tcBorders>
            <w:vAlign w:val="center"/>
          </w:tcPr>
          <w:p w14:paraId="6E56A10C">
            <w:pPr>
              <w:pStyle w:val="17"/>
              <w:bidi w:val="0"/>
              <w:rPr>
                <w:rFonts w:hint="default"/>
                <w:color w:val="auto"/>
                <w:highlight w:val="none"/>
              </w:rPr>
            </w:pPr>
          </w:p>
        </w:tc>
        <w:tc>
          <w:tcPr>
            <w:tcW w:w="860" w:type="pct"/>
            <w:vMerge w:val="continue"/>
            <w:tcBorders>
              <w:tl2br w:val="nil"/>
              <w:tr2bl w:val="nil"/>
            </w:tcBorders>
            <w:shd w:val="clear" w:color="auto" w:fill="auto"/>
            <w:vAlign w:val="center"/>
          </w:tcPr>
          <w:p w14:paraId="1041C337">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p>
        </w:tc>
        <w:tc>
          <w:tcPr>
            <w:tcW w:w="849" w:type="pct"/>
            <w:tcBorders>
              <w:tl2br w:val="nil"/>
              <w:tr2bl w:val="nil"/>
            </w:tcBorders>
            <w:shd w:val="clear" w:color="auto" w:fill="auto"/>
            <w:vAlign w:val="center"/>
          </w:tcPr>
          <w:p w14:paraId="5FF575A3">
            <w:pPr>
              <w:pStyle w:val="17"/>
              <w:bidi w:val="0"/>
              <w:ind w:firstLine="0" w:firstLineChars="0"/>
              <w:rPr>
                <w:rFonts w:hint="default" w:eastAsia="宋体"/>
                <w:color w:val="auto"/>
                <w:highlight w:val="none"/>
                <w:lang w:val="en-US" w:eastAsia="zh-CN"/>
              </w:rPr>
            </w:pPr>
            <w:r>
              <w:rPr>
                <w:rFonts w:hint="eastAsia"/>
                <w:color w:val="auto"/>
                <w:highlight w:val="none"/>
                <w:lang w:val="en-US" w:eastAsia="zh-CN"/>
              </w:rPr>
              <w:t>废石英砂、废活性炭</w:t>
            </w:r>
          </w:p>
        </w:tc>
        <w:tc>
          <w:tcPr>
            <w:tcW w:w="1383" w:type="pct"/>
            <w:tcBorders>
              <w:tl2br w:val="nil"/>
              <w:tr2bl w:val="nil"/>
            </w:tcBorders>
            <w:shd w:val="clear" w:color="auto" w:fill="auto"/>
            <w:vAlign w:val="center"/>
          </w:tcPr>
          <w:p w14:paraId="5DAD47EF">
            <w:pPr>
              <w:pStyle w:val="17"/>
              <w:bidi w:val="0"/>
              <w:ind w:firstLine="0" w:firstLineChars="0"/>
              <w:rPr>
                <w:rFonts w:hint="default" w:eastAsia="宋体"/>
                <w:color w:val="auto"/>
                <w:highlight w:val="none"/>
                <w:lang w:val="en-US" w:eastAsia="zh-CN"/>
              </w:rPr>
            </w:pPr>
            <w:r>
              <w:rPr>
                <w:rFonts w:hint="eastAsia"/>
                <w:color w:val="auto"/>
                <w:highlight w:val="none"/>
                <w:lang w:val="en-US" w:eastAsia="zh-CN"/>
              </w:rPr>
              <w:t>外售处置</w:t>
            </w:r>
          </w:p>
        </w:tc>
        <w:tc>
          <w:tcPr>
            <w:tcW w:w="1386" w:type="pct"/>
            <w:tcBorders>
              <w:tl2br w:val="nil"/>
              <w:tr2bl w:val="nil"/>
            </w:tcBorders>
            <w:vAlign w:val="center"/>
          </w:tcPr>
          <w:p w14:paraId="367CDA2C">
            <w:pPr>
              <w:pStyle w:val="17"/>
              <w:bidi w:val="0"/>
              <w:rPr>
                <w:rFonts w:hint="default"/>
                <w:color w:val="auto"/>
                <w:highlight w:val="none"/>
                <w:lang w:val="en-US" w:eastAsia="zh-CN"/>
              </w:rPr>
            </w:pPr>
            <w:r>
              <w:rPr>
                <w:rFonts w:hint="eastAsia"/>
                <w:color w:val="auto"/>
                <w:highlight w:val="none"/>
                <w:lang w:val="en-US" w:eastAsia="zh-CN"/>
              </w:rPr>
              <w:t>/</w:t>
            </w:r>
          </w:p>
        </w:tc>
      </w:tr>
      <w:tr w14:paraId="1D5F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1D260A7C">
            <w:pPr>
              <w:pStyle w:val="17"/>
              <w:bidi w:val="0"/>
              <w:rPr>
                <w:rFonts w:hint="default"/>
                <w:color w:val="auto"/>
                <w:highlight w:val="none"/>
              </w:rPr>
            </w:pPr>
          </w:p>
        </w:tc>
        <w:tc>
          <w:tcPr>
            <w:tcW w:w="260" w:type="pct"/>
            <w:vMerge w:val="continue"/>
            <w:tcBorders>
              <w:tl2br w:val="nil"/>
              <w:tr2bl w:val="nil"/>
            </w:tcBorders>
            <w:vAlign w:val="center"/>
          </w:tcPr>
          <w:p w14:paraId="2A2B595B">
            <w:pPr>
              <w:pStyle w:val="17"/>
              <w:bidi w:val="0"/>
              <w:rPr>
                <w:rFonts w:hint="default"/>
                <w:color w:val="auto"/>
                <w:highlight w:val="none"/>
              </w:rPr>
            </w:pPr>
          </w:p>
        </w:tc>
        <w:tc>
          <w:tcPr>
            <w:tcW w:w="860" w:type="pct"/>
            <w:vMerge w:val="continue"/>
            <w:tcBorders>
              <w:tl2br w:val="nil"/>
              <w:tr2bl w:val="nil"/>
            </w:tcBorders>
            <w:shd w:val="clear" w:color="auto" w:fill="auto"/>
            <w:vAlign w:val="center"/>
          </w:tcPr>
          <w:p w14:paraId="5F17B242">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p>
        </w:tc>
        <w:tc>
          <w:tcPr>
            <w:tcW w:w="849" w:type="pct"/>
            <w:tcBorders>
              <w:tl2br w:val="nil"/>
              <w:tr2bl w:val="nil"/>
            </w:tcBorders>
            <w:shd w:val="clear" w:color="auto" w:fill="auto"/>
            <w:vAlign w:val="center"/>
          </w:tcPr>
          <w:p w14:paraId="2B8D3F5E">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eastAsia="zh-CN"/>
              </w:rPr>
              <w:t>除尘灰、</w:t>
            </w:r>
            <w:r>
              <w:rPr>
                <w:rFonts w:hint="eastAsia"/>
                <w:color w:val="auto"/>
                <w:highlight w:val="none"/>
                <w:lang w:val="en-US" w:eastAsia="zh-CN"/>
              </w:rPr>
              <w:t>回水</w:t>
            </w:r>
            <w:r>
              <w:rPr>
                <w:rFonts w:hint="default"/>
                <w:color w:val="auto"/>
                <w:highlight w:val="none"/>
              </w:rPr>
              <w:t>底泥</w:t>
            </w:r>
          </w:p>
        </w:tc>
        <w:tc>
          <w:tcPr>
            <w:tcW w:w="1383" w:type="pct"/>
            <w:tcBorders>
              <w:tl2br w:val="nil"/>
              <w:tr2bl w:val="nil"/>
            </w:tcBorders>
            <w:shd w:val="clear" w:color="auto" w:fill="auto"/>
            <w:vAlign w:val="center"/>
          </w:tcPr>
          <w:p w14:paraId="2456A627">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定期清理，返回生产工序回用于选矿</w:t>
            </w:r>
          </w:p>
        </w:tc>
        <w:tc>
          <w:tcPr>
            <w:tcW w:w="1386" w:type="pct"/>
            <w:tcBorders>
              <w:tl2br w:val="nil"/>
              <w:tr2bl w:val="nil"/>
            </w:tcBorders>
            <w:vAlign w:val="center"/>
          </w:tcPr>
          <w:p w14:paraId="4ED1BC61">
            <w:pPr>
              <w:pStyle w:val="17"/>
              <w:bidi w:val="0"/>
              <w:rPr>
                <w:rFonts w:hint="eastAsia" w:eastAsia="宋体"/>
                <w:color w:val="auto"/>
                <w:highlight w:val="none"/>
                <w:lang w:val="en-US" w:eastAsia="zh-CN"/>
              </w:rPr>
            </w:pPr>
            <w:r>
              <w:rPr>
                <w:rFonts w:hint="eastAsia"/>
                <w:color w:val="auto"/>
                <w:highlight w:val="none"/>
                <w:lang w:val="en-US" w:eastAsia="zh-CN"/>
              </w:rPr>
              <w:t>/</w:t>
            </w:r>
          </w:p>
        </w:tc>
      </w:tr>
      <w:tr w14:paraId="0FC0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3245284B">
            <w:pPr>
              <w:pStyle w:val="17"/>
              <w:bidi w:val="0"/>
              <w:rPr>
                <w:rFonts w:hint="default"/>
                <w:color w:val="auto"/>
                <w:highlight w:val="none"/>
              </w:rPr>
            </w:pPr>
          </w:p>
        </w:tc>
        <w:tc>
          <w:tcPr>
            <w:tcW w:w="260" w:type="pct"/>
            <w:vMerge w:val="continue"/>
            <w:tcBorders>
              <w:tl2br w:val="nil"/>
              <w:tr2bl w:val="nil"/>
            </w:tcBorders>
            <w:vAlign w:val="center"/>
          </w:tcPr>
          <w:p w14:paraId="60998BCB">
            <w:pPr>
              <w:pStyle w:val="17"/>
              <w:bidi w:val="0"/>
              <w:rPr>
                <w:rFonts w:hint="default"/>
                <w:color w:val="auto"/>
                <w:highlight w:val="none"/>
              </w:rPr>
            </w:pPr>
          </w:p>
        </w:tc>
        <w:tc>
          <w:tcPr>
            <w:tcW w:w="860" w:type="pct"/>
            <w:vMerge w:val="continue"/>
            <w:tcBorders>
              <w:tl2br w:val="nil"/>
              <w:tr2bl w:val="nil"/>
            </w:tcBorders>
            <w:shd w:val="clear" w:color="auto" w:fill="auto"/>
            <w:vAlign w:val="center"/>
          </w:tcPr>
          <w:p w14:paraId="68646C2A">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p>
        </w:tc>
        <w:tc>
          <w:tcPr>
            <w:tcW w:w="849" w:type="pct"/>
            <w:tcBorders>
              <w:tl2br w:val="nil"/>
              <w:tr2bl w:val="nil"/>
            </w:tcBorders>
            <w:shd w:val="clear" w:color="auto" w:fill="auto"/>
            <w:vAlign w:val="center"/>
          </w:tcPr>
          <w:p w14:paraId="5E0EB583">
            <w:pPr>
              <w:pStyle w:val="17"/>
              <w:bidi w:val="0"/>
              <w:ind w:firstLine="0" w:firstLineChars="0"/>
              <w:rPr>
                <w:rFonts w:hint="default"/>
                <w:color w:val="auto"/>
                <w:highlight w:val="none"/>
                <w:lang w:val="en-US" w:eastAsia="zh-CN"/>
              </w:rPr>
            </w:pPr>
            <w:r>
              <w:rPr>
                <w:rFonts w:hint="eastAsia"/>
                <w:color w:val="auto"/>
                <w:highlight w:val="none"/>
                <w:lang w:val="en-US" w:eastAsia="zh-CN"/>
              </w:rPr>
              <w:t>水处理底泥</w:t>
            </w:r>
          </w:p>
        </w:tc>
        <w:tc>
          <w:tcPr>
            <w:tcW w:w="1383" w:type="pct"/>
            <w:tcBorders>
              <w:tl2br w:val="nil"/>
              <w:tr2bl w:val="nil"/>
            </w:tcBorders>
            <w:shd w:val="clear" w:color="auto" w:fill="auto"/>
            <w:vAlign w:val="center"/>
          </w:tcPr>
          <w:p w14:paraId="70CE66A8">
            <w:pPr>
              <w:pStyle w:val="17"/>
              <w:bidi w:val="0"/>
              <w:ind w:firstLine="0" w:firstLineChars="0"/>
              <w:rPr>
                <w:rFonts w:hint="default" w:eastAsia="宋体"/>
                <w:color w:val="auto"/>
                <w:highlight w:val="none"/>
                <w:lang w:val="en-US" w:eastAsia="zh-CN"/>
              </w:rPr>
            </w:pPr>
            <w:r>
              <w:rPr>
                <w:rFonts w:hint="eastAsia"/>
                <w:color w:val="auto"/>
                <w:highlight w:val="none"/>
              </w:rPr>
              <w:t>定期拉运至</w:t>
            </w:r>
            <w:r>
              <w:rPr>
                <w:rFonts w:hint="eastAsia"/>
                <w:color w:val="auto"/>
                <w:highlight w:val="none"/>
                <w:lang w:eastAsia="zh-CN"/>
              </w:rPr>
              <w:t>若羌</w:t>
            </w:r>
            <w:r>
              <w:rPr>
                <w:rFonts w:hint="eastAsia"/>
                <w:color w:val="auto"/>
                <w:highlight w:val="none"/>
              </w:rPr>
              <w:t>县一般工业固体废物填埋场进行处置</w:t>
            </w:r>
          </w:p>
        </w:tc>
        <w:tc>
          <w:tcPr>
            <w:tcW w:w="1386" w:type="pct"/>
            <w:tcBorders>
              <w:tl2br w:val="nil"/>
              <w:tr2bl w:val="nil"/>
            </w:tcBorders>
            <w:vAlign w:val="center"/>
          </w:tcPr>
          <w:p w14:paraId="483CD0FB">
            <w:pPr>
              <w:pStyle w:val="17"/>
              <w:bidi w:val="0"/>
              <w:rPr>
                <w:rFonts w:hint="default"/>
                <w:color w:val="auto"/>
                <w:highlight w:val="none"/>
                <w:lang w:val="en-US" w:eastAsia="zh-CN"/>
              </w:rPr>
            </w:pPr>
            <w:r>
              <w:rPr>
                <w:rFonts w:hint="eastAsia"/>
                <w:color w:val="auto"/>
                <w:highlight w:val="none"/>
                <w:lang w:val="en-US" w:eastAsia="zh-CN"/>
              </w:rPr>
              <w:t>/</w:t>
            </w:r>
          </w:p>
        </w:tc>
      </w:tr>
      <w:tr w14:paraId="56F5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7089B421">
            <w:pPr>
              <w:pStyle w:val="17"/>
              <w:bidi w:val="0"/>
              <w:rPr>
                <w:rFonts w:hint="default"/>
                <w:color w:val="auto"/>
                <w:highlight w:val="none"/>
              </w:rPr>
            </w:pPr>
          </w:p>
        </w:tc>
        <w:tc>
          <w:tcPr>
            <w:tcW w:w="260" w:type="pct"/>
            <w:vMerge w:val="continue"/>
            <w:tcBorders>
              <w:tl2br w:val="nil"/>
              <w:tr2bl w:val="nil"/>
            </w:tcBorders>
            <w:vAlign w:val="center"/>
          </w:tcPr>
          <w:p w14:paraId="40ED0EC9">
            <w:pPr>
              <w:pStyle w:val="17"/>
              <w:bidi w:val="0"/>
              <w:rPr>
                <w:rFonts w:hint="default"/>
                <w:color w:val="auto"/>
                <w:highlight w:val="none"/>
              </w:rPr>
            </w:pPr>
          </w:p>
        </w:tc>
        <w:tc>
          <w:tcPr>
            <w:tcW w:w="860" w:type="pct"/>
            <w:vMerge w:val="continue"/>
            <w:tcBorders>
              <w:tl2br w:val="nil"/>
              <w:tr2bl w:val="nil"/>
            </w:tcBorders>
            <w:shd w:val="clear" w:color="auto" w:fill="auto"/>
            <w:vAlign w:val="center"/>
          </w:tcPr>
          <w:p w14:paraId="3DDDEDBB">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p>
        </w:tc>
        <w:tc>
          <w:tcPr>
            <w:tcW w:w="849" w:type="pct"/>
            <w:tcBorders>
              <w:tl2br w:val="nil"/>
              <w:tr2bl w:val="nil"/>
            </w:tcBorders>
            <w:shd w:val="clear" w:color="auto" w:fill="auto"/>
            <w:vAlign w:val="center"/>
          </w:tcPr>
          <w:p w14:paraId="6FE30574">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废布袋</w:t>
            </w:r>
          </w:p>
        </w:tc>
        <w:tc>
          <w:tcPr>
            <w:tcW w:w="1383" w:type="pct"/>
            <w:tcBorders>
              <w:tl2br w:val="nil"/>
              <w:tr2bl w:val="nil"/>
            </w:tcBorders>
            <w:shd w:val="clear" w:color="auto" w:fill="auto"/>
            <w:vAlign w:val="center"/>
          </w:tcPr>
          <w:p w14:paraId="36376E4F">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集中收集后定期拉运至</w:t>
            </w:r>
            <w:r>
              <w:rPr>
                <w:rFonts w:hint="default"/>
                <w:color w:val="auto"/>
                <w:highlight w:val="none"/>
                <w:lang w:eastAsia="zh-CN"/>
              </w:rPr>
              <w:t>若羌</w:t>
            </w:r>
            <w:r>
              <w:rPr>
                <w:rFonts w:hint="default"/>
                <w:color w:val="auto"/>
                <w:highlight w:val="none"/>
              </w:rPr>
              <w:t>县一般工业固体废物填埋场进行处置</w:t>
            </w:r>
          </w:p>
        </w:tc>
        <w:tc>
          <w:tcPr>
            <w:tcW w:w="1386" w:type="pct"/>
            <w:tcBorders>
              <w:tl2br w:val="nil"/>
              <w:tr2bl w:val="nil"/>
            </w:tcBorders>
            <w:vAlign w:val="center"/>
          </w:tcPr>
          <w:p w14:paraId="174B140B">
            <w:pPr>
              <w:pStyle w:val="17"/>
              <w:bidi w:val="0"/>
              <w:rPr>
                <w:rFonts w:hint="eastAsia" w:eastAsia="宋体"/>
                <w:color w:val="auto"/>
                <w:highlight w:val="none"/>
                <w:lang w:val="en-US" w:eastAsia="zh-CN"/>
              </w:rPr>
            </w:pPr>
            <w:r>
              <w:rPr>
                <w:rFonts w:hint="eastAsia"/>
                <w:color w:val="auto"/>
                <w:highlight w:val="none"/>
                <w:lang w:val="en-US" w:eastAsia="zh-CN"/>
              </w:rPr>
              <w:t>/</w:t>
            </w:r>
          </w:p>
        </w:tc>
      </w:tr>
      <w:tr w14:paraId="7FCE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1DD9CF10">
            <w:pPr>
              <w:pStyle w:val="17"/>
              <w:bidi w:val="0"/>
              <w:rPr>
                <w:rFonts w:hint="default"/>
                <w:color w:val="auto"/>
                <w:highlight w:val="none"/>
              </w:rPr>
            </w:pPr>
          </w:p>
        </w:tc>
        <w:tc>
          <w:tcPr>
            <w:tcW w:w="260" w:type="pct"/>
            <w:vMerge w:val="continue"/>
            <w:tcBorders>
              <w:tl2br w:val="nil"/>
              <w:tr2bl w:val="nil"/>
            </w:tcBorders>
            <w:vAlign w:val="center"/>
          </w:tcPr>
          <w:p w14:paraId="7CFBF1DF">
            <w:pPr>
              <w:pStyle w:val="17"/>
              <w:bidi w:val="0"/>
              <w:rPr>
                <w:rFonts w:hint="default"/>
                <w:color w:val="auto"/>
                <w:highlight w:val="none"/>
              </w:rPr>
            </w:pPr>
          </w:p>
        </w:tc>
        <w:tc>
          <w:tcPr>
            <w:tcW w:w="860" w:type="pct"/>
            <w:vMerge w:val="continue"/>
            <w:tcBorders>
              <w:tl2br w:val="nil"/>
              <w:tr2bl w:val="nil"/>
            </w:tcBorders>
            <w:shd w:val="clear" w:color="auto" w:fill="auto"/>
            <w:vAlign w:val="center"/>
          </w:tcPr>
          <w:p w14:paraId="37EDDC79">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p>
        </w:tc>
        <w:tc>
          <w:tcPr>
            <w:tcW w:w="849" w:type="pct"/>
            <w:tcBorders>
              <w:tl2br w:val="nil"/>
              <w:tr2bl w:val="nil"/>
            </w:tcBorders>
            <w:shd w:val="clear" w:color="auto" w:fill="auto"/>
            <w:vAlign w:val="center"/>
          </w:tcPr>
          <w:p w14:paraId="039CC6B5">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废石</w:t>
            </w:r>
          </w:p>
        </w:tc>
        <w:tc>
          <w:tcPr>
            <w:tcW w:w="1383" w:type="pct"/>
            <w:tcBorders>
              <w:tl2br w:val="nil"/>
              <w:tr2bl w:val="nil"/>
            </w:tcBorders>
            <w:shd w:val="clear" w:color="auto" w:fill="auto"/>
            <w:vAlign w:val="center"/>
          </w:tcPr>
          <w:p w14:paraId="679FD68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废石堆场暂存</w:t>
            </w:r>
          </w:p>
        </w:tc>
        <w:tc>
          <w:tcPr>
            <w:tcW w:w="1386" w:type="pct"/>
            <w:tcBorders>
              <w:tl2br w:val="nil"/>
              <w:tr2bl w:val="nil"/>
            </w:tcBorders>
            <w:vAlign w:val="center"/>
          </w:tcPr>
          <w:p w14:paraId="21248471">
            <w:pPr>
              <w:pStyle w:val="17"/>
              <w:bidi w:val="0"/>
              <w:rPr>
                <w:rFonts w:hint="eastAsia" w:eastAsia="宋体"/>
                <w:color w:val="auto"/>
                <w:highlight w:val="none"/>
                <w:lang w:val="en-US" w:eastAsia="zh-CN"/>
              </w:rPr>
            </w:pPr>
            <w:r>
              <w:rPr>
                <w:rFonts w:hint="eastAsia"/>
                <w:color w:val="auto"/>
                <w:highlight w:val="none"/>
                <w:lang w:val="en-US" w:eastAsia="zh-CN"/>
              </w:rPr>
              <w:t>/</w:t>
            </w:r>
          </w:p>
        </w:tc>
      </w:tr>
      <w:tr w14:paraId="710D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60" w:type="pct"/>
            <w:vMerge w:val="continue"/>
            <w:tcBorders>
              <w:tl2br w:val="nil"/>
              <w:tr2bl w:val="nil"/>
            </w:tcBorders>
            <w:vAlign w:val="center"/>
          </w:tcPr>
          <w:p w14:paraId="51D7F983">
            <w:pPr>
              <w:pStyle w:val="17"/>
              <w:bidi w:val="0"/>
              <w:rPr>
                <w:rFonts w:hint="default"/>
                <w:color w:val="auto"/>
                <w:highlight w:val="none"/>
              </w:rPr>
            </w:pPr>
          </w:p>
        </w:tc>
        <w:tc>
          <w:tcPr>
            <w:tcW w:w="260" w:type="pct"/>
            <w:vMerge w:val="continue"/>
            <w:tcBorders>
              <w:tl2br w:val="nil"/>
              <w:tr2bl w:val="nil"/>
            </w:tcBorders>
            <w:vAlign w:val="center"/>
          </w:tcPr>
          <w:p w14:paraId="22B0238B">
            <w:pPr>
              <w:pStyle w:val="17"/>
              <w:bidi w:val="0"/>
              <w:rPr>
                <w:rFonts w:hint="default"/>
                <w:color w:val="auto"/>
                <w:highlight w:val="none"/>
              </w:rPr>
            </w:pPr>
          </w:p>
        </w:tc>
        <w:tc>
          <w:tcPr>
            <w:tcW w:w="860" w:type="pct"/>
            <w:vMerge w:val="restart"/>
            <w:tcBorders>
              <w:tl2br w:val="nil"/>
              <w:tr2bl w:val="nil"/>
            </w:tcBorders>
            <w:vAlign w:val="center"/>
          </w:tcPr>
          <w:p w14:paraId="0B8E9136">
            <w:pPr>
              <w:pStyle w:val="17"/>
              <w:bidi w:val="0"/>
              <w:rPr>
                <w:rFonts w:hint="eastAsia" w:eastAsia="宋体"/>
                <w:color w:val="auto"/>
                <w:highlight w:val="none"/>
                <w:lang w:val="en-US" w:eastAsia="zh-CN"/>
              </w:rPr>
            </w:pPr>
            <w:r>
              <w:rPr>
                <w:rFonts w:hint="eastAsia"/>
                <w:color w:val="auto"/>
                <w:highlight w:val="none"/>
                <w:lang w:val="en-US" w:eastAsia="zh-CN"/>
              </w:rPr>
              <w:t>危险废物</w:t>
            </w:r>
          </w:p>
        </w:tc>
        <w:tc>
          <w:tcPr>
            <w:tcW w:w="849" w:type="pct"/>
            <w:tcBorders>
              <w:tl2br w:val="nil"/>
              <w:tr2bl w:val="nil"/>
            </w:tcBorders>
            <w:shd w:val="clear" w:color="auto" w:fill="auto"/>
            <w:vAlign w:val="center"/>
          </w:tcPr>
          <w:p w14:paraId="0818AD22">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废机油及油桶</w:t>
            </w:r>
          </w:p>
        </w:tc>
        <w:tc>
          <w:tcPr>
            <w:tcW w:w="1383" w:type="pct"/>
            <w:vMerge w:val="restart"/>
            <w:tcBorders>
              <w:tl2br w:val="nil"/>
              <w:tr2bl w:val="nil"/>
            </w:tcBorders>
            <w:vAlign w:val="center"/>
          </w:tcPr>
          <w:p w14:paraId="419876B7">
            <w:pPr>
              <w:pStyle w:val="17"/>
              <w:bidi w:val="0"/>
              <w:rPr>
                <w:rFonts w:hint="default"/>
                <w:color w:val="auto"/>
                <w:highlight w:val="none"/>
                <w:lang w:val="en-US" w:eastAsia="zh-CN"/>
              </w:rPr>
            </w:pPr>
            <w:r>
              <w:rPr>
                <w:rFonts w:hint="default"/>
                <w:color w:val="auto"/>
                <w:highlight w:val="none"/>
                <w:lang w:eastAsia="zh-CN"/>
              </w:rPr>
              <w:t>危废贮存库</w:t>
            </w:r>
            <w:r>
              <w:rPr>
                <w:rFonts w:hint="eastAsia"/>
                <w:color w:val="auto"/>
                <w:highlight w:val="none"/>
                <w:lang w:val="en-US" w:eastAsia="zh-CN"/>
              </w:rPr>
              <w:t>暂存，</w:t>
            </w:r>
            <w:r>
              <w:rPr>
                <w:rFonts w:hint="default"/>
                <w:color w:val="auto"/>
                <w:highlight w:val="none"/>
              </w:rPr>
              <w:t>定期交由有资质单位处置</w:t>
            </w:r>
          </w:p>
        </w:tc>
        <w:tc>
          <w:tcPr>
            <w:tcW w:w="1386" w:type="pct"/>
            <w:vMerge w:val="restart"/>
            <w:tcBorders>
              <w:tl2br w:val="nil"/>
              <w:tr2bl w:val="nil"/>
            </w:tcBorders>
            <w:vAlign w:val="center"/>
          </w:tcPr>
          <w:p w14:paraId="329D43D2">
            <w:pPr>
              <w:pStyle w:val="17"/>
              <w:bidi w:val="0"/>
              <w:rPr>
                <w:rFonts w:hint="default"/>
                <w:color w:val="auto"/>
                <w:highlight w:val="none"/>
              </w:rPr>
            </w:pPr>
            <w:r>
              <w:rPr>
                <w:rFonts w:hint="eastAsia" w:ascii="Times New Roman" w:hAnsi="Times New Roman" w:eastAsia="宋体" w:cs="Times New Roman"/>
                <w:snapToGrid/>
                <w:color w:val="auto"/>
                <w:kern w:val="2"/>
                <w:sz w:val="21"/>
                <w:szCs w:val="21"/>
                <w:highlight w:val="none"/>
                <w:lang w:val="en-US" w:eastAsia="zh-CN" w:bidi="ar"/>
              </w:rPr>
              <w:t>《危险废物贮存污染控制标准》（</w:t>
            </w:r>
            <w:r>
              <w:rPr>
                <w:rFonts w:hint="default" w:ascii="Times New Roman" w:hAnsi="Times New Roman" w:eastAsia="宋体" w:cs="Times New Roman"/>
                <w:snapToGrid/>
                <w:color w:val="auto"/>
                <w:kern w:val="2"/>
                <w:sz w:val="21"/>
                <w:szCs w:val="21"/>
                <w:highlight w:val="none"/>
                <w:lang w:val="en-US" w:eastAsia="zh-CN" w:bidi="ar"/>
              </w:rPr>
              <w:t>GB18597-20</w:t>
            </w:r>
            <w:r>
              <w:rPr>
                <w:rFonts w:hint="eastAsia" w:ascii="Times New Roman" w:hAnsi="Times New Roman" w:eastAsia="宋体" w:cs="Times New Roman"/>
                <w:snapToGrid/>
                <w:color w:val="auto"/>
                <w:kern w:val="2"/>
                <w:sz w:val="21"/>
                <w:szCs w:val="21"/>
                <w:highlight w:val="none"/>
                <w:lang w:val="en-US" w:eastAsia="zh-CN" w:bidi="ar"/>
              </w:rPr>
              <w:t>23）</w:t>
            </w:r>
          </w:p>
        </w:tc>
      </w:tr>
      <w:tr w14:paraId="2898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1C262CF8">
            <w:pPr>
              <w:pStyle w:val="17"/>
              <w:bidi w:val="0"/>
              <w:rPr>
                <w:rFonts w:hint="default"/>
                <w:color w:val="auto"/>
                <w:highlight w:val="none"/>
              </w:rPr>
            </w:pPr>
          </w:p>
        </w:tc>
        <w:tc>
          <w:tcPr>
            <w:tcW w:w="260" w:type="pct"/>
            <w:vMerge w:val="continue"/>
            <w:tcBorders>
              <w:tl2br w:val="nil"/>
              <w:tr2bl w:val="nil"/>
            </w:tcBorders>
            <w:vAlign w:val="center"/>
          </w:tcPr>
          <w:p w14:paraId="2E2FAFEA">
            <w:pPr>
              <w:pStyle w:val="17"/>
              <w:bidi w:val="0"/>
              <w:rPr>
                <w:rFonts w:hint="default"/>
                <w:color w:val="auto"/>
                <w:highlight w:val="none"/>
              </w:rPr>
            </w:pPr>
          </w:p>
        </w:tc>
        <w:tc>
          <w:tcPr>
            <w:tcW w:w="860" w:type="pct"/>
            <w:vMerge w:val="continue"/>
            <w:tcBorders>
              <w:tl2br w:val="nil"/>
              <w:tr2bl w:val="nil"/>
            </w:tcBorders>
            <w:vAlign w:val="center"/>
          </w:tcPr>
          <w:p w14:paraId="509396C7">
            <w:pPr>
              <w:pStyle w:val="17"/>
              <w:bidi w:val="0"/>
              <w:rPr>
                <w:rFonts w:hint="default"/>
                <w:color w:val="auto"/>
                <w:highlight w:val="none"/>
                <w:lang w:val="en-US" w:eastAsia="zh-CN"/>
              </w:rPr>
            </w:pPr>
          </w:p>
        </w:tc>
        <w:tc>
          <w:tcPr>
            <w:tcW w:w="849" w:type="pct"/>
            <w:tcBorders>
              <w:tl2br w:val="nil"/>
              <w:tr2bl w:val="nil"/>
            </w:tcBorders>
            <w:shd w:val="clear" w:color="auto" w:fill="auto"/>
            <w:vAlign w:val="center"/>
          </w:tcPr>
          <w:p w14:paraId="124C5120">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化验废物</w:t>
            </w:r>
          </w:p>
        </w:tc>
        <w:tc>
          <w:tcPr>
            <w:tcW w:w="1383" w:type="pct"/>
            <w:vMerge w:val="continue"/>
            <w:tcBorders>
              <w:tl2br w:val="nil"/>
              <w:tr2bl w:val="nil"/>
            </w:tcBorders>
            <w:vAlign w:val="center"/>
          </w:tcPr>
          <w:p w14:paraId="3553A4AC">
            <w:pPr>
              <w:pStyle w:val="17"/>
              <w:bidi w:val="0"/>
              <w:rPr>
                <w:rFonts w:hint="default"/>
                <w:color w:val="auto"/>
                <w:highlight w:val="none"/>
              </w:rPr>
            </w:pPr>
          </w:p>
        </w:tc>
        <w:tc>
          <w:tcPr>
            <w:tcW w:w="1386" w:type="pct"/>
            <w:vMerge w:val="continue"/>
            <w:tcBorders>
              <w:tl2br w:val="nil"/>
              <w:tr2bl w:val="nil"/>
            </w:tcBorders>
            <w:vAlign w:val="center"/>
          </w:tcPr>
          <w:p w14:paraId="2D60C27E">
            <w:pPr>
              <w:pStyle w:val="17"/>
              <w:bidi w:val="0"/>
              <w:rPr>
                <w:rFonts w:hint="default"/>
                <w:color w:val="auto"/>
                <w:highlight w:val="none"/>
              </w:rPr>
            </w:pPr>
          </w:p>
        </w:tc>
      </w:tr>
      <w:tr w14:paraId="70C1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34056785">
            <w:pPr>
              <w:pStyle w:val="17"/>
              <w:bidi w:val="0"/>
              <w:rPr>
                <w:rFonts w:hint="default"/>
                <w:color w:val="auto"/>
                <w:highlight w:val="none"/>
              </w:rPr>
            </w:pPr>
          </w:p>
        </w:tc>
        <w:tc>
          <w:tcPr>
            <w:tcW w:w="260" w:type="pct"/>
            <w:tcBorders>
              <w:tl2br w:val="nil"/>
              <w:tr2bl w:val="nil"/>
            </w:tcBorders>
            <w:vAlign w:val="center"/>
          </w:tcPr>
          <w:p w14:paraId="6FD6B36A">
            <w:pPr>
              <w:pStyle w:val="17"/>
              <w:bidi w:val="0"/>
              <w:rPr>
                <w:rFonts w:hint="default"/>
                <w:color w:val="auto"/>
                <w:highlight w:val="none"/>
              </w:rPr>
            </w:pPr>
            <w:r>
              <w:rPr>
                <w:rFonts w:hint="default"/>
                <w:color w:val="auto"/>
                <w:highlight w:val="none"/>
              </w:rPr>
              <w:t>环境风险</w:t>
            </w:r>
          </w:p>
        </w:tc>
        <w:tc>
          <w:tcPr>
            <w:tcW w:w="860" w:type="pct"/>
            <w:tcBorders>
              <w:tl2br w:val="nil"/>
              <w:tr2bl w:val="nil"/>
            </w:tcBorders>
            <w:shd w:val="clear" w:color="auto" w:fill="auto"/>
            <w:vAlign w:val="center"/>
          </w:tcPr>
          <w:p w14:paraId="0ACEC346">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default"/>
                <w:color w:val="auto"/>
                <w:highlight w:val="none"/>
              </w:rPr>
              <w:t>尾矿库溃坝</w:t>
            </w:r>
          </w:p>
        </w:tc>
        <w:tc>
          <w:tcPr>
            <w:tcW w:w="849" w:type="pct"/>
            <w:tcBorders>
              <w:tl2br w:val="nil"/>
              <w:tr2bl w:val="nil"/>
            </w:tcBorders>
            <w:shd w:val="clear" w:color="auto" w:fill="auto"/>
            <w:vAlign w:val="center"/>
          </w:tcPr>
          <w:p w14:paraId="0AD13F3C">
            <w:pPr>
              <w:pStyle w:val="17"/>
              <w:bidi w:val="0"/>
              <w:ind w:firstLine="0" w:firstLine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溃坝</w:t>
            </w:r>
            <w:r>
              <w:rPr>
                <w:rFonts w:hint="default"/>
                <w:color w:val="auto"/>
                <w:highlight w:val="none"/>
              </w:rPr>
              <w:t>废水</w:t>
            </w:r>
          </w:p>
        </w:tc>
        <w:tc>
          <w:tcPr>
            <w:tcW w:w="1383" w:type="pct"/>
            <w:tcBorders>
              <w:tl2br w:val="nil"/>
              <w:tr2bl w:val="nil"/>
            </w:tcBorders>
            <w:shd w:val="clear" w:color="auto" w:fill="auto"/>
            <w:vAlign w:val="center"/>
          </w:tcPr>
          <w:p w14:paraId="59E32936">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尾矿库上游设置截洪沟，在尾矿库下游设置</w:t>
            </w:r>
            <w:r>
              <w:rPr>
                <w:rFonts w:hint="default"/>
                <w:color w:val="auto"/>
                <w:highlight w:val="none"/>
                <w:lang w:eastAsia="zh-CN"/>
              </w:rPr>
              <w:t>拦挡</w:t>
            </w:r>
            <w:r>
              <w:rPr>
                <w:rFonts w:hint="default"/>
                <w:color w:val="auto"/>
                <w:highlight w:val="none"/>
              </w:rPr>
              <w:t>坝</w:t>
            </w:r>
          </w:p>
        </w:tc>
        <w:tc>
          <w:tcPr>
            <w:tcW w:w="1386" w:type="pct"/>
            <w:tcBorders>
              <w:tl2br w:val="nil"/>
              <w:tr2bl w:val="nil"/>
            </w:tcBorders>
            <w:shd w:val="clear" w:color="auto" w:fill="auto"/>
            <w:vAlign w:val="center"/>
          </w:tcPr>
          <w:p w14:paraId="39AF99CD">
            <w:pPr>
              <w:pStyle w:val="17"/>
              <w:bidi w:val="0"/>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rPr>
              <w:t>确保在发生溃坝情况下，对周边环境的影响降到最低</w:t>
            </w:r>
          </w:p>
        </w:tc>
      </w:tr>
      <w:tr w14:paraId="031C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restart"/>
            <w:tcBorders>
              <w:tl2br w:val="nil"/>
              <w:tr2bl w:val="nil"/>
            </w:tcBorders>
            <w:vAlign w:val="center"/>
          </w:tcPr>
          <w:p w14:paraId="0A81B1F7">
            <w:pPr>
              <w:pStyle w:val="17"/>
              <w:bidi w:val="0"/>
              <w:rPr>
                <w:rFonts w:hint="eastAsia" w:eastAsia="宋体"/>
                <w:color w:val="auto"/>
                <w:highlight w:val="none"/>
                <w:lang w:val="en-US" w:eastAsia="zh-CN"/>
              </w:rPr>
            </w:pPr>
            <w:r>
              <w:rPr>
                <w:rFonts w:hint="eastAsia"/>
                <w:color w:val="auto"/>
                <w:highlight w:val="none"/>
                <w:lang w:val="en-US" w:eastAsia="zh-CN"/>
              </w:rPr>
              <w:t>闭矿期</w:t>
            </w:r>
          </w:p>
        </w:tc>
        <w:tc>
          <w:tcPr>
            <w:tcW w:w="260" w:type="pct"/>
            <w:vMerge w:val="restart"/>
            <w:tcBorders>
              <w:tl2br w:val="nil"/>
              <w:tr2bl w:val="nil"/>
            </w:tcBorders>
            <w:vAlign w:val="center"/>
          </w:tcPr>
          <w:p w14:paraId="241DFFCC">
            <w:pPr>
              <w:pStyle w:val="17"/>
              <w:bidi w:val="0"/>
              <w:rPr>
                <w:rFonts w:hint="default"/>
                <w:color w:val="auto"/>
                <w:highlight w:val="none"/>
              </w:rPr>
            </w:pPr>
            <w:r>
              <w:rPr>
                <w:color w:val="auto"/>
                <w:sz w:val="21"/>
                <w:szCs w:val="21"/>
                <w:highlight w:val="none"/>
              </w:rPr>
              <w:t>生态</w:t>
            </w:r>
          </w:p>
        </w:tc>
        <w:tc>
          <w:tcPr>
            <w:tcW w:w="860" w:type="pct"/>
            <w:tcBorders>
              <w:tl2br w:val="nil"/>
              <w:tr2bl w:val="nil"/>
            </w:tcBorders>
            <w:vAlign w:val="center"/>
          </w:tcPr>
          <w:p w14:paraId="4C972DD2">
            <w:pPr>
              <w:pStyle w:val="17"/>
              <w:bidi w:val="0"/>
              <w:rPr>
                <w:rFonts w:hint="eastAsia" w:eastAsia="宋体"/>
                <w:color w:val="auto"/>
                <w:highlight w:val="none"/>
                <w:lang w:val="en-US" w:eastAsia="zh-CN"/>
              </w:rPr>
            </w:pPr>
            <w:r>
              <w:rPr>
                <w:rFonts w:hint="eastAsia"/>
                <w:color w:val="auto"/>
                <w:highlight w:val="none"/>
                <w:lang w:val="en-US" w:eastAsia="zh-CN"/>
              </w:rPr>
              <w:t>/</w:t>
            </w:r>
          </w:p>
        </w:tc>
        <w:tc>
          <w:tcPr>
            <w:tcW w:w="849" w:type="pct"/>
            <w:tcBorders>
              <w:tl2br w:val="nil"/>
              <w:tr2bl w:val="nil"/>
            </w:tcBorders>
            <w:vAlign w:val="center"/>
          </w:tcPr>
          <w:p w14:paraId="3DBF77AF">
            <w:pPr>
              <w:pStyle w:val="17"/>
              <w:bidi w:val="0"/>
              <w:rPr>
                <w:rFonts w:hint="default" w:eastAsia="宋体"/>
                <w:color w:val="auto"/>
                <w:highlight w:val="none"/>
                <w:lang w:val="en-US" w:eastAsia="zh-CN"/>
              </w:rPr>
            </w:pPr>
            <w:r>
              <w:rPr>
                <w:rFonts w:hint="eastAsia"/>
                <w:color w:val="auto"/>
                <w:highlight w:val="none"/>
                <w:lang w:val="en-US" w:eastAsia="zh-CN"/>
              </w:rPr>
              <w:t>土地占用、景观破坏</w:t>
            </w:r>
          </w:p>
        </w:tc>
        <w:tc>
          <w:tcPr>
            <w:tcW w:w="1383" w:type="pct"/>
            <w:tcBorders>
              <w:tl2br w:val="nil"/>
              <w:tr2bl w:val="nil"/>
            </w:tcBorders>
            <w:vAlign w:val="center"/>
          </w:tcPr>
          <w:p w14:paraId="37253CB0">
            <w:pPr>
              <w:pStyle w:val="17"/>
              <w:bidi w:val="0"/>
              <w:rPr>
                <w:rFonts w:hint="eastAsia" w:eastAsia="宋体"/>
                <w:color w:val="auto"/>
                <w:highlight w:val="none"/>
                <w:lang w:eastAsia="zh-CN"/>
              </w:rPr>
            </w:pPr>
            <w:r>
              <w:rPr>
                <w:color w:val="auto"/>
                <w:sz w:val="21"/>
                <w:szCs w:val="21"/>
                <w:highlight w:val="none"/>
              </w:rPr>
              <w:t>拆除不用的建筑，恢复土地原有功能</w:t>
            </w:r>
          </w:p>
        </w:tc>
        <w:tc>
          <w:tcPr>
            <w:tcW w:w="1386" w:type="pct"/>
            <w:tcBorders>
              <w:tl2br w:val="nil"/>
              <w:tr2bl w:val="nil"/>
            </w:tcBorders>
            <w:vAlign w:val="center"/>
          </w:tcPr>
          <w:p w14:paraId="443B6288">
            <w:pPr>
              <w:pStyle w:val="17"/>
              <w:bidi w:val="0"/>
              <w:rPr>
                <w:rFonts w:hint="default"/>
                <w:color w:val="auto"/>
                <w:highlight w:val="none"/>
              </w:rPr>
            </w:pPr>
            <w:r>
              <w:rPr>
                <w:rFonts w:hint="eastAsia"/>
                <w:color w:val="auto"/>
                <w:sz w:val="21"/>
                <w:szCs w:val="21"/>
                <w:highlight w:val="none"/>
                <w:lang w:val="en-US" w:eastAsia="zh-CN"/>
              </w:rPr>
              <w:t>做好</w:t>
            </w:r>
            <w:r>
              <w:rPr>
                <w:rFonts w:hint="eastAsia"/>
                <w:color w:val="auto"/>
                <w:sz w:val="21"/>
                <w:szCs w:val="21"/>
                <w:highlight w:val="none"/>
              </w:rPr>
              <w:t>土地复垦及生态恢复</w:t>
            </w:r>
          </w:p>
        </w:tc>
      </w:tr>
      <w:tr w14:paraId="28E0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0" w:type="pct"/>
            <w:vMerge w:val="continue"/>
            <w:tcBorders>
              <w:tl2br w:val="nil"/>
              <w:tr2bl w:val="nil"/>
            </w:tcBorders>
            <w:vAlign w:val="center"/>
          </w:tcPr>
          <w:p w14:paraId="1F104268">
            <w:pPr>
              <w:pStyle w:val="17"/>
              <w:bidi w:val="0"/>
              <w:rPr>
                <w:rFonts w:hint="eastAsia"/>
                <w:color w:val="auto"/>
                <w:highlight w:val="none"/>
                <w:lang w:val="en-US" w:eastAsia="zh-CN"/>
              </w:rPr>
            </w:pPr>
          </w:p>
        </w:tc>
        <w:tc>
          <w:tcPr>
            <w:tcW w:w="260" w:type="pct"/>
            <w:vMerge w:val="continue"/>
            <w:tcBorders>
              <w:tl2br w:val="nil"/>
              <w:tr2bl w:val="nil"/>
            </w:tcBorders>
            <w:vAlign w:val="center"/>
          </w:tcPr>
          <w:p w14:paraId="59BE316C">
            <w:pPr>
              <w:pStyle w:val="17"/>
              <w:bidi w:val="0"/>
              <w:rPr>
                <w:color w:val="auto"/>
                <w:sz w:val="21"/>
                <w:szCs w:val="21"/>
                <w:highlight w:val="none"/>
              </w:rPr>
            </w:pPr>
          </w:p>
        </w:tc>
        <w:tc>
          <w:tcPr>
            <w:tcW w:w="860" w:type="pct"/>
            <w:tcBorders>
              <w:tl2br w:val="nil"/>
              <w:tr2bl w:val="nil"/>
            </w:tcBorders>
            <w:vAlign w:val="center"/>
          </w:tcPr>
          <w:p w14:paraId="6E742A80">
            <w:pPr>
              <w:pStyle w:val="17"/>
              <w:bidi w:val="0"/>
              <w:rPr>
                <w:rFonts w:hint="default"/>
                <w:color w:val="auto"/>
                <w:highlight w:val="none"/>
                <w:lang w:val="en-US" w:eastAsia="zh-CN"/>
              </w:rPr>
            </w:pPr>
            <w:r>
              <w:rPr>
                <w:rFonts w:hint="eastAsia"/>
                <w:color w:val="auto"/>
                <w:highlight w:val="none"/>
                <w:lang w:val="en-US" w:eastAsia="zh-CN"/>
              </w:rPr>
              <w:t>/</w:t>
            </w:r>
          </w:p>
        </w:tc>
        <w:tc>
          <w:tcPr>
            <w:tcW w:w="849" w:type="pct"/>
            <w:tcBorders>
              <w:tl2br w:val="nil"/>
              <w:tr2bl w:val="nil"/>
            </w:tcBorders>
            <w:vAlign w:val="center"/>
          </w:tcPr>
          <w:p w14:paraId="78075215">
            <w:pPr>
              <w:pStyle w:val="17"/>
              <w:bidi w:val="0"/>
              <w:rPr>
                <w:rFonts w:hint="default"/>
                <w:color w:val="auto"/>
                <w:highlight w:val="none"/>
                <w:lang w:val="en-US" w:eastAsia="zh-CN"/>
              </w:rPr>
            </w:pPr>
            <w:r>
              <w:rPr>
                <w:rFonts w:hint="eastAsia"/>
                <w:color w:val="auto"/>
                <w:highlight w:val="none"/>
                <w:lang w:val="en-US" w:eastAsia="zh-CN"/>
              </w:rPr>
              <w:t>采空区</w:t>
            </w:r>
          </w:p>
        </w:tc>
        <w:tc>
          <w:tcPr>
            <w:tcW w:w="1383" w:type="pct"/>
            <w:tcBorders>
              <w:tl2br w:val="nil"/>
              <w:tr2bl w:val="nil"/>
            </w:tcBorders>
            <w:vAlign w:val="center"/>
          </w:tcPr>
          <w:p w14:paraId="3604B76B">
            <w:pPr>
              <w:keepNext w:val="0"/>
              <w:keepLines w:val="0"/>
              <w:widowControl w:val="0"/>
              <w:suppressLineNumbers w:val="0"/>
              <w:kinsoku/>
              <w:autoSpaceDE/>
              <w:autoSpaceDN/>
              <w:adjustRightInd/>
              <w:snapToGrid/>
              <w:spacing w:before="0" w:beforeAutospacing="0" w:after="0" w:afterAutospacing="0" w:line="240" w:lineRule="auto"/>
              <w:ind w:left="0" w:right="0" w:firstLine="0" w:firstLineChars="0"/>
              <w:jc w:val="center"/>
              <w:textAlignment w:val="auto"/>
              <w:rPr>
                <w:color w:val="auto"/>
                <w:sz w:val="21"/>
                <w:szCs w:val="21"/>
                <w:highlight w:val="none"/>
              </w:rPr>
            </w:pPr>
            <w:r>
              <w:rPr>
                <w:rFonts w:hint="eastAsia" w:ascii="Times New Roman" w:hAnsi="Times New Roman" w:eastAsia="宋体" w:cs="Times New Roman"/>
                <w:snapToGrid/>
                <w:color w:val="auto"/>
                <w:kern w:val="2"/>
                <w:sz w:val="21"/>
                <w:szCs w:val="21"/>
                <w:highlight w:val="none"/>
                <w:lang w:val="en-US" w:eastAsia="zh-CN" w:bidi="ar"/>
              </w:rPr>
              <w:t>井口封堵</w:t>
            </w:r>
          </w:p>
        </w:tc>
        <w:tc>
          <w:tcPr>
            <w:tcW w:w="1386" w:type="pct"/>
            <w:tcBorders>
              <w:tl2br w:val="nil"/>
              <w:tr2bl w:val="nil"/>
            </w:tcBorders>
            <w:vAlign w:val="center"/>
          </w:tcPr>
          <w:p w14:paraId="72A26FEA">
            <w:pPr>
              <w:keepNext w:val="0"/>
              <w:keepLines w:val="0"/>
              <w:widowControl w:val="0"/>
              <w:suppressLineNumbers w:val="0"/>
              <w:kinsoku/>
              <w:autoSpaceDE/>
              <w:autoSpaceDN/>
              <w:adjustRightInd/>
              <w:snapToGrid/>
              <w:spacing w:before="0" w:beforeAutospacing="0" w:after="0" w:afterAutospacing="0" w:line="240" w:lineRule="auto"/>
              <w:ind w:left="0" w:leftChars="0" w:right="0" w:rightChars="0" w:firstLine="0" w:firstLineChars="0"/>
              <w:jc w:val="center"/>
              <w:textAlignment w:val="auto"/>
              <w:rPr>
                <w:rFonts w:hint="eastAsia"/>
                <w:color w:val="auto"/>
                <w:sz w:val="21"/>
                <w:szCs w:val="21"/>
                <w:highlight w:val="none"/>
                <w:lang w:val="en-US" w:eastAsia="zh-CN"/>
              </w:rPr>
            </w:pPr>
            <w:r>
              <w:rPr>
                <w:rFonts w:hint="eastAsia" w:ascii="Times New Roman" w:hAnsi="Times New Roman" w:eastAsia="宋体" w:cs="Times New Roman"/>
                <w:snapToGrid/>
                <w:color w:val="auto"/>
                <w:spacing w:val="6"/>
                <w:kern w:val="2"/>
                <w:sz w:val="21"/>
                <w:szCs w:val="21"/>
                <w:highlight w:val="none"/>
                <w:lang w:val="en-US" w:eastAsia="zh-CN" w:bidi="ar"/>
              </w:rPr>
              <w:t>井口封堵完整，错动区充填或者设置围栏采取遮挡和防护措施，并设立警示牌</w:t>
            </w:r>
          </w:p>
        </w:tc>
      </w:tr>
    </w:tbl>
    <w:p w14:paraId="65E41CBC">
      <w:pPr>
        <w:bidi w:val="0"/>
        <w:rPr>
          <w:rFonts w:hint="default"/>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C55B34B">
      <w:pPr>
        <w:pStyle w:val="4"/>
        <w:spacing w:line="720" w:lineRule="exact"/>
        <w:rPr>
          <w:rFonts w:hint="default" w:ascii="Times New Roman" w:hAnsi="Times New Roman" w:cs="Times New Roman"/>
          <w:color w:val="auto"/>
          <w:highlight w:val="none"/>
        </w:rPr>
      </w:pPr>
      <w:bookmarkStart w:id="1029" w:name="_Toc107414684"/>
      <w:bookmarkStart w:id="1030" w:name="_Toc18436"/>
      <w:bookmarkStart w:id="1031" w:name="_Toc107413917"/>
      <w:bookmarkStart w:id="1032" w:name="_Toc19312"/>
      <w:bookmarkStart w:id="1033" w:name="_Toc20735"/>
      <w:bookmarkStart w:id="1034" w:name="_Toc1997"/>
      <w:bookmarkStart w:id="1035" w:name="_Toc13936"/>
      <w:bookmarkStart w:id="1036" w:name="_Toc32718"/>
      <w:r>
        <w:rPr>
          <w:rFonts w:hint="default" w:ascii="Times New Roman" w:hAnsi="Times New Roman" w:cs="Times New Roman"/>
          <w:color w:val="auto"/>
          <w:highlight w:val="none"/>
        </w:rPr>
        <w:t>9环境影响评价结论</w:t>
      </w:r>
      <w:bookmarkEnd w:id="1029"/>
      <w:bookmarkEnd w:id="1030"/>
      <w:bookmarkEnd w:id="1031"/>
      <w:bookmarkEnd w:id="1032"/>
      <w:bookmarkEnd w:id="1033"/>
      <w:bookmarkEnd w:id="1034"/>
      <w:bookmarkEnd w:id="1035"/>
      <w:bookmarkEnd w:id="1036"/>
    </w:p>
    <w:p w14:paraId="6F253A74">
      <w:pPr>
        <w:pStyle w:val="5"/>
        <w:spacing w:line="560" w:lineRule="atLeast"/>
        <w:rPr>
          <w:rFonts w:hint="default" w:ascii="Times New Roman" w:hAnsi="Times New Roman" w:cs="Times New Roman"/>
          <w:color w:val="auto"/>
          <w:highlight w:val="none"/>
        </w:rPr>
      </w:pPr>
      <w:bookmarkStart w:id="1037" w:name="_Toc107413918"/>
      <w:bookmarkStart w:id="1038" w:name="_Toc107414685"/>
      <w:bookmarkStart w:id="1039" w:name="_Toc16689"/>
      <w:bookmarkStart w:id="1040" w:name="_Toc2440"/>
      <w:bookmarkStart w:id="1041" w:name="_Toc26917"/>
      <w:bookmarkStart w:id="1042" w:name="_Toc12518"/>
      <w:bookmarkStart w:id="1043" w:name="_Toc13676"/>
      <w:bookmarkStart w:id="1044" w:name="_Toc8755"/>
      <w:r>
        <w:rPr>
          <w:rFonts w:hint="default" w:ascii="Times New Roman" w:hAnsi="Times New Roman" w:cs="Times New Roman"/>
          <w:color w:val="auto"/>
          <w:highlight w:val="none"/>
        </w:rPr>
        <w:t>9.1项目概况</w:t>
      </w:r>
      <w:bookmarkEnd w:id="1037"/>
      <w:bookmarkEnd w:id="1038"/>
      <w:bookmarkEnd w:id="1039"/>
      <w:bookmarkEnd w:id="1040"/>
      <w:bookmarkEnd w:id="1041"/>
      <w:bookmarkEnd w:id="1042"/>
      <w:bookmarkEnd w:id="1043"/>
      <w:bookmarkEnd w:id="1044"/>
    </w:p>
    <w:p w14:paraId="497C4DC3">
      <w:pPr>
        <w:overflowPunct w:val="0"/>
        <w:topLinePunct/>
        <w:snapToGrid w:val="0"/>
        <w:ind w:firstLine="480" w:firstLineChars="200"/>
        <w:rPr>
          <w:rFonts w:hint="eastAsia" w:eastAsia="宋体"/>
          <w:color w:val="auto"/>
          <w:highlight w:val="none"/>
          <w:lang w:eastAsia="zh-CN"/>
        </w:rPr>
      </w:pPr>
      <w:bookmarkStart w:id="1045" w:name="_Toc15679"/>
      <w:bookmarkStart w:id="1046" w:name="_Toc5604"/>
      <w:bookmarkStart w:id="1047" w:name="_Toc13836"/>
      <w:bookmarkStart w:id="1048" w:name="_Toc23250"/>
      <w:bookmarkStart w:id="1049" w:name="_Toc107414686"/>
      <w:bookmarkStart w:id="1050" w:name="_Toc16927"/>
      <w:bookmarkStart w:id="1051" w:name="_Toc1618"/>
      <w:bookmarkStart w:id="1052" w:name="_Toc8222"/>
      <w:bookmarkStart w:id="1053" w:name="_Toc27524"/>
      <w:bookmarkStart w:id="1054" w:name="_Toc2326"/>
      <w:bookmarkStart w:id="1055" w:name="_Toc107413919"/>
      <w:bookmarkStart w:id="1056" w:name="_Toc789"/>
      <w:bookmarkStart w:id="1057" w:name="_Toc3962"/>
      <w:bookmarkStart w:id="1058" w:name="_Toc4550"/>
      <w:bookmarkStart w:id="1059" w:name="_Toc7960"/>
      <w:bookmarkStart w:id="1060" w:name="_Toc5630"/>
      <w:bookmarkStart w:id="1061" w:name="_Toc492457108"/>
      <w:bookmarkStart w:id="1062" w:name="_Toc10277"/>
      <w:bookmarkStart w:id="1063" w:name="_Toc18333"/>
      <w:bookmarkStart w:id="1064" w:name="_Toc482784728"/>
      <w:r>
        <w:rPr>
          <w:color w:val="auto"/>
          <w:highlight w:val="none"/>
        </w:rPr>
        <w:t>项目名称</w:t>
      </w:r>
      <w:r>
        <w:rPr>
          <w:rFonts w:hint="eastAsia"/>
          <w:color w:val="auto"/>
          <w:highlight w:val="none"/>
          <w:lang w:eastAsia="zh-CN"/>
        </w:rPr>
        <w:t>新疆若羌县卡尔恰尔萤石矿采选项目（</w:t>
      </w:r>
      <w:r>
        <w:rPr>
          <w:rFonts w:hint="eastAsia"/>
          <w:color w:val="auto"/>
          <w:highlight w:val="none"/>
          <w:lang w:val="en-US" w:eastAsia="zh-CN"/>
        </w:rPr>
        <w:t>重大变动</w:t>
      </w:r>
      <w:r>
        <w:rPr>
          <w:rFonts w:hint="eastAsia"/>
          <w:color w:val="auto"/>
          <w:highlight w:val="none"/>
          <w:lang w:eastAsia="zh-CN"/>
        </w:rPr>
        <w:t>）</w:t>
      </w:r>
    </w:p>
    <w:p w14:paraId="6B0A12EC">
      <w:pPr>
        <w:overflowPunct w:val="0"/>
        <w:topLinePunct/>
        <w:snapToGrid w:val="0"/>
        <w:ind w:firstLine="480" w:firstLineChars="200"/>
        <w:rPr>
          <w:rFonts w:hint="eastAsia" w:eastAsia="宋体"/>
          <w:color w:val="auto"/>
          <w:highlight w:val="none"/>
          <w:lang w:eastAsia="zh-CN"/>
        </w:rPr>
      </w:pPr>
      <w:r>
        <w:rPr>
          <w:color w:val="auto"/>
          <w:highlight w:val="none"/>
        </w:rPr>
        <w:t>建设单位：</w:t>
      </w:r>
      <w:r>
        <w:rPr>
          <w:rFonts w:hint="eastAsia"/>
          <w:color w:val="auto"/>
          <w:highlight w:val="none"/>
          <w:lang w:eastAsia="zh-CN"/>
        </w:rPr>
        <w:t>新疆华瓯矿业有限公司</w:t>
      </w:r>
    </w:p>
    <w:p w14:paraId="3F3DE9FA">
      <w:pPr>
        <w:overflowPunct w:val="0"/>
        <w:topLinePunct/>
        <w:snapToGrid w:val="0"/>
        <w:ind w:firstLine="480" w:firstLineChars="200"/>
        <w:rPr>
          <w:rFonts w:hint="eastAsia" w:eastAsia="宋体"/>
          <w:color w:val="auto"/>
          <w:highlight w:val="none"/>
          <w:lang w:eastAsia="zh-CN"/>
        </w:rPr>
      </w:pPr>
      <w:r>
        <w:rPr>
          <w:rFonts w:hint="eastAsia"/>
          <w:color w:val="auto"/>
          <w:highlight w:val="none"/>
        </w:rPr>
        <w:t>建设性质：</w:t>
      </w:r>
      <w:r>
        <w:rPr>
          <w:rFonts w:hint="eastAsia"/>
          <w:color w:val="auto"/>
          <w:highlight w:val="none"/>
          <w:lang w:eastAsia="zh-CN"/>
        </w:rPr>
        <w:t>新建</w:t>
      </w:r>
    </w:p>
    <w:p w14:paraId="733186D2">
      <w:pPr>
        <w:overflowPunct w:val="0"/>
        <w:topLinePunct/>
        <w:snapToGrid w:val="0"/>
        <w:ind w:firstLine="480" w:firstLineChars="200"/>
        <w:rPr>
          <w:color w:val="auto"/>
          <w:highlight w:val="none"/>
        </w:rPr>
      </w:pPr>
      <w:r>
        <w:rPr>
          <w:rFonts w:hint="eastAsia"/>
          <w:color w:val="auto"/>
          <w:highlight w:val="none"/>
        </w:rPr>
        <w:t>建设规模：年</w:t>
      </w:r>
      <w:r>
        <w:rPr>
          <w:rFonts w:hint="eastAsia"/>
          <w:color w:val="auto"/>
          <w:highlight w:val="none"/>
          <w:lang w:val="en-US" w:eastAsia="zh-CN"/>
        </w:rPr>
        <w:t>采选</w:t>
      </w:r>
      <w:r>
        <w:rPr>
          <w:rFonts w:hint="eastAsia"/>
          <w:color w:val="auto"/>
          <w:highlight w:val="none"/>
          <w:lang w:eastAsia="zh-CN"/>
        </w:rPr>
        <w:t>萤石</w:t>
      </w:r>
      <w:r>
        <w:rPr>
          <w:rFonts w:hint="eastAsia"/>
          <w:color w:val="auto"/>
          <w:highlight w:val="none"/>
        </w:rPr>
        <w:t>矿石</w:t>
      </w:r>
      <w:r>
        <w:rPr>
          <w:rFonts w:hint="eastAsia"/>
          <w:color w:val="auto"/>
          <w:highlight w:val="none"/>
          <w:lang w:val="en-US" w:eastAsia="zh-CN"/>
        </w:rPr>
        <w:t>12</w:t>
      </w:r>
      <w:r>
        <w:rPr>
          <w:rFonts w:hint="eastAsia"/>
          <w:color w:val="auto"/>
          <w:highlight w:val="none"/>
        </w:rPr>
        <w:t>0万t/a。</w:t>
      </w:r>
    </w:p>
    <w:p w14:paraId="093DDDAC">
      <w:pPr>
        <w:overflowPunct w:val="0"/>
        <w:topLinePunct/>
        <w:snapToGrid w:val="0"/>
        <w:ind w:firstLine="480" w:firstLineChars="200"/>
        <w:rPr>
          <w:color w:val="auto"/>
          <w:highlight w:val="none"/>
        </w:rPr>
      </w:pPr>
      <w:r>
        <w:rPr>
          <w:rFonts w:hint="eastAsia"/>
          <w:color w:val="auto"/>
          <w:highlight w:val="none"/>
        </w:rPr>
        <w:t>建设地点：本项目位于新疆维吾尔自治区巴音郭楞蒙古自治州</w:t>
      </w:r>
      <w:r>
        <w:rPr>
          <w:rFonts w:hint="eastAsia"/>
          <w:color w:val="auto"/>
          <w:highlight w:val="none"/>
          <w:lang w:eastAsia="zh-CN"/>
        </w:rPr>
        <w:t>若羌</w:t>
      </w:r>
      <w:r>
        <w:rPr>
          <w:rFonts w:hint="eastAsia"/>
          <w:color w:val="auto"/>
          <w:highlight w:val="none"/>
        </w:rPr>
        <w:t>县</w:t>
      </w:r>
      <w:r>
        <w:rPr>
          <w:rFonts w:hint="eastAsia"/>
          <w:color w:val="auto"/>
          <w:highlight w:val="none"/>
          <w:lang w:eastAsia="zh-CN"/>
        </w:rPr>
        <w:t>东南</w:t>
      </w:r>
      <w:r>
        <w:rPr>
          <w:rFonts w:hint="eastAsia"/>
          <w:color w:val="auto"/>
          <w:highlight w:val="none"/>
          <w:lang w:val="en-US" w:eastAsia="zh-CN"/>
        </w:rPr>
        <w:t>144</w:t>
      </w:r>
      <w:r>
        <w:rPr>
          <w:rFonts w:hint="eastAsia"/>
          <w:color w:val="auto"/>
          <w:highlight w:val="none"/>
        </w:rPr>
        <w:t>°方向，距</w:t>
      </w:r>
      <w:r>
        <w:rPr>
          <w:rFonts w:hint="eastAsia"/>
          <w:color w:val="auto"/>
          <w:highlight w:val="none"/>
          <w:lang w:eastAsia="zh-CN"/>
        </w:rPr>
        <w:t>若羌</w:t>
      </w:r>
      <w:r>
        <w:rPr>
          <w:rFonts w:hint="eastAsia"/>
          <w:color w:val="auto"/>
          <w:highlight w:val="none"/>
        </w:rPr>
        <w:t>县城</w:t>
      </w:r>
      <w:r>
        <w:rPr>
          <w:rFonts w:hint="eastAsia"/>
          <w:color w:val="auto"/>
          <w:highlight w:val="none"/>
          <w:lang w:eastAsia="zh-CN"/>
        </w:rPr>
        <w:t>直线距离</w:t>
      </w:r>
      <w:r>
        <w:rPr>
          <w:rFonts w:hint="eastAsia"/>
          <w:color w:val="auto"/>
          <w:highlight w:val="none"/>
          <w:lang w:val="en-US" w:eastAsia="zh-CN"/>
        </w:rPr>
        <w:t>74</w:t>
      </w:r>
      <w:r>
        <w:rPr>
          <w:rFonts w:hint="eastAsia"/>
          <w:color w:val="auto"/>
          <w:highlight w:val="none"/>
        </w:rPr>
        <w:t>公里</w:t>
      </w:r>
      <w:r>
        <w:rPr>
          <w:rFonts w:hint="eastAsia"/>
          <w:color w:val="auto"/>
          <w:highlight w:val="none"/>
          <w:lang w:val="en-US" w:eastAsia="zh-CN"/>
        </w:rPr>
        <w:t>处</w:t>
      </w:r>
      <w:r>
        <w:rPr>
          <w:rFonts w:hint="eastAsia"/>
          <w:color w:val="auto"/>
          <w:highlight w:val="none"/>
        </w:rPr>
        <w:t>，行政区划隶属</w:t>
      </w:r>
      <w:r>
        <w:rPr>
          <w:rFonts w:hint="eastAsia"/>
          <w:color w:val="auto"/>
          <w:highlight w:val="none"/>
          <w:lang w:eastAsia="zh-CN"/>
        </w:rPr>
        <w:t>若羌</w:t>
      </w:r>
      <w:r>
        <w:rPr>
          <w:rFonts w:hint="eastAsia"/>
          <w:color w:val="auto"/>
          <w:highlight w:val="none"/>
        </w:rPr>
        <w:t>县管辖。本项目地理位置见图</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1</w:t>
      </w:r>
      <w:r>
        <w:rPr>
          <w:rFonts w:hint="eastAsia"/>
          <w:color w:val="auto"/>
          <w:highlight w:val="none"/>
        </w:rPr>
        <w:t>-1。</w:t>
      </w:r>
    </w:p>
    <w:p w14:paraId="160C0B6E">
      <w:pPr>
        <w:overflowPunct w:val="0"/>
        <w:topLinePunct/>
        <w:ind w:firstLine="480"/>
        <w:rPr>
          <w:color w:val="auto"/>
          <w:highlight w:val="none"/>
        </w:rPr>
      </w:pPr>
      <w:r>
        <w:rPr>
          <w:rFonts w:hint="eastAsia"/>
          <w:color w:val="auto"/>
          <w:highlight w:val="none"/>
        </w:rPr>
        <w:t>服务年限：</w:t>
      </w:r>
      <w:r>
        <w:rPr>
          <w:rFonts w:hint="eastAsia"/>
          <w:color w:val="auto"/>
          <w:highlight w:val="none"/>
          <w:lang w:val="en-US" w:eastAsia="zh-CN"/>
        </w:rPr>
        <w:t>矿山设计服务年限为41年，</w:t>
      </w:r>
      <w:r>
        <w:rPr>
          <w:rFonts w:hint="eastAsia"/>
          <w:color w:val="auto"/>
          <w:highlight w:val="none"/>
        </w:rPr>
        <w:t>选矿厂、尾矿库服务年限为</w:t>
      </w:r>
      <w:r>
        <w:rPr>
          <w:rFonts w:hint="eastAsia"/>
          <w:color w:val="auto"/>
          <w:highlight w:val="none"/>
          <w:lang w:val="en-US" w:eastAsia="zh-CN"/>
        </w:rPr>
        <w:t>41</w:t>
      </w:r>
      <w:r>
        <w:rPr>
          <w:rFonts w:hint="eastAsia"/>
          <w:color w:val="auto"/>
          <w:highlight w:val="none"/>
        </w:rPr>
        <w:t>年。</w:t>
      </w:r>
    </w:p>
    <w:p w14:paraId="17F41C22">
      <w:pPr>
        <w:overflowPunct w:val="0"/>
        <w:topLinePunct/>
        <w:ind w:firstLine="480"/>
        <w:rPr>
          <w:color w:val="auto"/>
          <w:highlight w:val="none"/>
        </w:rPr>
      </w:pPr>
      <w:r>
        <w:rPr>
          <w:rFonts w:hint="eastAsia"/>
          <w:color w:val="auto"/>
          <w:highlight w:val="none"/>
        </w:rPr>
        <w:t>项目建设</w:t>
      </w:r>
      <w:r>
        <w:rPr>
          <w:rFonts w:hint="eastAsia"/>
          <w:color w:val="auto"/>
          <w:highlight w:val="none"/>
          <w:lang w:val="en-US" w:eastAsia="zh-CN"/>
        </w:rPr>
        <w:t>情况</w:t>
      </w:r>
      <w:r>
        <w:rPr>
          <w:rFonts w:hint="eastAsia"/>
          <w:color w:val="auto"/>
          <w:highlight w:val="none"/>
        </w:rPr>
        <w:t>：项目建设</w:t>
      </w:r>
      <w:r>
        <w:rPr>
          <w:rFonts w:hint="eastAsia"/>
          <w:color w:val="auto"/>
          <w:highlight w:val="none"/>
          <w:lang w:val="en-US" w:eastAsia="zh-CN"/>
        </w:rPr>
        <w:t>情况</w:t>
      </w:r>
      <w:r>
        <w:rPr>
          <w:rFonts w:hint="eastAsia"/>
          <w:color w:val="auto"/>
          <w:highlight w:val="none"/>
        </w:rPr>
        <w:t>：开工时间为2</w:t>
      </w:r>
      <w:r>
        <w:rPr>
          <w:color w:val="auto"/>
          <w:highlight w:val="none"/>
        </w:rPr>
        <w:t>023</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目前</w:t>
      </w:r>
      <w:r>
        <w:rPr>
          <w:rFonts w:hint="default"/>
          <w:color w:val="auto"/>
          <w:highlight w:val="none"/>
          <w:lang w:val="zh-CN" w:eastAsia="zh-CN"/>
        </w:rPr>
        <w:t>胶带斜井（BC1</w:t>
      </w:r>
      <w:r>
        <w:rPr>
          <w:rFonts w:hint="eastAsia"/>
          <w:color w:val="auto"/>
          <w:highlight w:val="none"/>
          <w:lang w:val="zh-CN" w:eastAsia="zh-CN"/>
        </w:rPr>
        <w:t>）、</w:t>
      </w:r>
      <w:r>
        <w:rPr>
          <w:rFonts w:hint="eastAsia"/>
          <w:color w:val="auto"/>
          <w:highlight w:val="none"/>
        </w:rPr>
        <w:t>辅助斜坡道</w:t>
      </w:r>
      <w:r>
        <w:rPr>
          <w:rFonts w:hint="eastAsia"/>
          <w:color w:val="auto"/>
          <w:highlight w:val="none"/>
          <w:lang w:eastAsia="zh-CN"/>
        </w:rPr>
        <w:t>、</w:t>
      </w:r>
      <w:r>
        <w:rPr>
          <w:rFonts w:hint="default"/>
          <w:color w:val="auto"/>
          <w:highlight w:val="none"/>
          <w:lang w:val="zh-CN" w:eastAsia="zh-CN"/>
        </w:rPr>
        <w:t>进风井、东回风井</w:t>
      </w:r>
      <w:r>
        <w:rPr>
          <w:rFonts w:hint="eastAsia"/>
          <w:color w:val="auto"/>
          <w:highlight w:val="none"/>
          <w:lang w:val="zh-CN" w:eastAsia="zh-CN"/>
        </w:rPr>
        <w:t>、</w:t>
      </w:r>
      <w:r>
        <w:rPr>
          <w:rFonts w:hint="default"/>
          <w:color w:val="auto"/>
          <w:highlight w:val="none"/>
          <w:lang w:val="zh-CN" w:eastAsia="zh-CN"/>
        </w:rPr>
        <w:t>西回风井</w:t>
      </w:r>
      <w:r>
        <w:rPr>
          <w:rFonts w:hint="eastAsia"/>
          <w:color w:val="auto"/>
          <w:highlight w:val="none"/>
          <w:lang w:val="zh-CN" w:eastAsia="zh-CN"/>
        </w:rPr>
        <w:t>、</w:t>
      </w:r>
      <w:r>
        <w:rPr>
          <w:rFonts w:hint="eastAsia"/>
          <w:color w:val="auto"/>
          <w:highlight w:val="none"/>
          <w:lang w:val="en-US" w:eastAsia="zh-CN"/>
        </w:rPr>
        <w:t>选矿厂、尾矿库已建设完成</w:t>
      </w:r>
      <w:r>
        <w:rPr>
          <w:rFonts w:hint="eastAsia"/>
          <w:color w:val="auto"/>
          <w:highlight w:val="none"/>
        </w:rPr>
        <w:t>。</w:t>
      </w:r>
    </w:p>
    <w:p w14:paraId="23C30F69">
      <w:pPr>
        <w:overflowPunct w:val="0"/>
        <w:topLinePunct/>
        <w:snapToGrid w:val="0"/>
        <w:ind w:firstLine="480" w:firstLineChars="200"/>
        <w:rPr>
          <w:color w:val="auto"/>
          <w:highlight w:val="none"/>
        </w:rPr>
      </w:pPr>
      <w:r>
        <w:rPr>
          <w:color w:val="auto"/>
          <w:highlight w:val="none"/>
        </w:rPr>
        <w:t>项目</w:t>
      </w:r>
      <w:r>
        <w:rPr>
          <w:rFonts w:hint="eastAsia"/>
          <w:color w:val="auto"/>
          <w:highlight w:val="none"/>
        </w:rPr>
        <w:t>总</w:t>
      </w:r>
      <w:r>
        <w:rPr>
          <w:color w:val="auto"/>
          <w:highlight w:val="none"/>
        </w:rPr>
        <w:t>投资：</w:t>
      </w:r>
      <w:r>
        <w:rPr>
          <w:rFonts w:hint="eastAsia"/>
          <w:color w:val="auto"/>
          <w:highlight w:val="none"/>
        </w:rPr>
        <w:t>本项目总投资为</w:t>
      </w:r>
      <w:r>
        <w:rPr>
          <w:rFonts w:hint="eastAsia"/>
          <w:color w:val="auto"/>
          <w:highlight w:val="none"/>
          <w:lang w:val="en-US" w:eastAsia="zh-CN"/>
        </w:rPr>
        <w:t>161261</w:t>
      </w:r>
      <w:r>
        <w:rPr>
          <w:rFonts w:hint="eastAsia"/>
          <w:color w:val="auto"/>
          <w:highlight w:val="none"/>
        </w:rPr>
        <w:t>万元，均为企业自筹。</w:t>
      </w:r>
    </w:p>
    <w:p w14:paraId="0019EB2F">
      <w:pPr>
        <w:overflowPunct w:val="0"/>
        <w:topLinePunct/>
        <w:spacing w:line="480" w:lineRule="exact"/>
        <w:ind w:firstLine="480"/>
        <w:rPr>
          <w:rFonts w:cs="Times New Roman"/>
          <w:color w:val="auto"/>
          <w:szCs w:val="24"/>
          <w:highlight w:val="none"/>
        </w:rPr>
      </w:pPr>
      <w:r>
        <w:rPr>
          <w:rFonts w:cs="Times New Roman"/>
          <w:color w:val="auto"/>
          <w:szCs w:val="24"/>
          <w:highlight w:val="none"/>
        </w:rPr>
        <w:t>工作制度</w:t>
      </w:r>
      <w:r>
        <w:rPr>
          <w:rFonts w:hint="eastAsia" w:cs="Times New Roman"/>
          <w:color w:val="auto"/>
          <w:szCs w:val="24"/>
          <w:highlight w:val="none"/>
        </w:rPr>
        <w:t>：</w:t>
      </w:r>
      <w:r>
        <w:rPr>
          <w:rFonts w:cs="Times New Roman"/>
          <w:color w:val="auto"/>
          <w:szCs w:val="24"/>
          <w:highlight w:val="none"/>
        </w:rPr>
        <w:t>年工作3</w:t>
      </w:r>
      <w:r>
        <w:rPr>
          <w:rFonts w:hint="eastAsia" w:cs="Times New Roman"/>
          <w:color w:val="auto"/>
          <w:szCs w:val="24"/>
          <w:highlight w:val="none"/>
          <w:lang w:val="en-US" w:eastAsia="zh-CN"/>
        </w:rPr>
        <w:t>0</w:t>
      </w:r>
      <w:r>
        <w:rPr>
          <w:rFonts w:cs="Times New Roman"/>
          <w:color w:val="auto"/>
          <w:szCs w:val="24"/>
          <w:highlight w:val="none"/>
        </w:rPr>
        <w:t>0天，每天3班，每班8小时。</w:t>
      </w:r>
    </w:p>
    <w:p w14:paraId="2FE7810E">
      <w:pPr>
        <w:overflowPunct w:val="0"/>
        <w:topLinePunct/>
        <w:spacing w:line="480" w:lineRule="exact"/>
        <w:ind w:firstLine="480"/>
        <w:rPr>
          <w:rFonts w:hint="eastAsia"/>
          <w:color w:val="auto"/>
          <w:highlight w:val="none"/>
        </w:rPr>
      </w:pPr>
      <w:r>
        <w:rPr>
          <w:rFonts w:hint="eastAsia" w:cs="Times New Roman"/>
          <w:color w:val="auto"/>
          <w:szCs w:val="24"/>
          <w:highlight w:val="none"/>
        </w:rPr>
        <w:t>劳动定员：</w:t>
      </w:r>
      <w:r>
        <w:rPr>
          <w:rFonts w:hint="eastAsia"/>
          <w:color w:val="auto"/>
          <w:highlight w:val="none"/>
          <w:lang w:val="en-US" w:eastAsia="zh-CN"/>
        </w:rPr>
        <w:t>全厂总定员253</w:t>
      </w:r>
      <w:r>
        <w:rPr>
          <w:rFonts w:hint="eastAsia"/>
          <w:color w:val="auto"/>
          <w:highlight w:val="none"/>
        </w:rPr>
        <w:t>人。</w:t>
      </w:r>
    </w:p>
    <w:p w14:paraId="32B3A090">
      <w:pPr>
        <w:pStyle w:val="5"/>
        <w:spacing w:line="560" w:lineRule="atLeast"/>
        <w:rPr>
          <w:rFonts w:hint="default" w:ascii="Times New Roman" w:hAnsi="Times New Roman" w:cs="Times New Roman"/>
          <w:color w:val="auto"/>
          <w:highlight w:val="none"/>
        </w:rPr>
      </w:pPr>
      <w:bookmarkStart w:id="1065" w:name="_Toc29867"/>
      <w:r>
        <w:rPr>
          <w:rFonts w:hint="default" w:ascii="Times New Roman" w:hAnsi="Times New Roman" w:cs="Times New Roman"/>
          <w:color w:val="auto"/>
          <w:highlight w:val="none"/>
        </w:rPr>
        <w:t>9.2符合性分析</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794FE4F6">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本项目为</w:t>
      </w:r>
      <w:r>
        <w:rPr>
          <w:rFonts w:hint="default" w:ascii="Times New Roman" w:hAnsi="Times New Roman" w:cs="Times New Roman"/>
          <w:color w:val="auto"/>
          <w:kern w:val="0"/>
          <w:highlight w:val="none"/>
          <w:lang w:eastAsia="zh-CN"/>
        </w:rPr>
        <w:t>新建萤石</w:t>
      </w:r>
      <w:r>
        <w:rPr>
          <w:rFonts w:hint="eastAsia" w:cs="Times New Roman"/>
          <w:color w:val="auto"/>
          <w:kern w:val="0"/>
          <w:highlight w:val="none"/>
          <w:lang w:val="en-US" w:eastAsia="zh-CN"/>
        </w:rPr>
        <w:t>采选</w:t>
      </w:r>
      <w:r>
        <w:rPr>
          <w:rFonts w:hint="default" w:ascii="Times New Roman" w:hAnsi="Times New Roman" w:cs="Times New Roman"/>
          <w:color w:val="auto"/>
          <w:kern w:val="0"/>
          <w:highlight w:val="none"/>
          <w:lang w:eastAsia="zh-CN"/>
        </w:rPr>
        <w:t>项目</w:t>
      </w:r>
      <w:r>
        <w:rPr>
          <w:rFonts w:hint="default" w:ascii="Times New Roman" w:hAnsi="Times New Roman" w:cs="Times New Roman"/>
          <w:color w:val="auto"/>
          <w:kern w:val="0"/>
          <w:highlight w:val="none"/>
        </w:rPr>
        <w:t>，</w:t>
      </w:r>
      <w:r>
        <w:rPr>
          <w:rFonts w:hint="default" w:ascii="Times New Roman" w:hAnsi="Times New Roman" w:cs="Times New Roman"/>
          <w:color w:val="auto"/>
          <w:highlight w:val="none"/>
        </w:rPr>
        <w:t>根据《产业结构调整指导目录（</w:t>
      </w:r>
      <w:r>
        <w:rPr>
          <w:rFonts w:hint="default" w:ascii="Times New Roman" w:hAnsi="Times New Roman" w:cs="Times New Roman"/>
          <w:color w:val="auto"/>
          <w:highlight w:val="none"/>
          <w:lang w:val="en-US" w:eastAsia="zh-CN"/>
        </w:rPr>
        <w:t>2024</w:t>
      </w:r>
      <w:r>
        <w:rPr>
          <w:rFonts w:hint="default" w:ascii="Times New Roman" w:hAnsi="Times New Roman" w:cs="Times New Roman"/>
          <w:color w:val="auto"/>
          <w:highlight w:val="none"/>
        </w:rPr>
        <w:t>年本）》，本项目属于名录中</w:t>
      </w:r>
      <w:r>
        <w:rPr>
          <w:rFonts w:hint="default" w:ascii="Times New Roman" w:hAnsi="Times New Roman" w:cs="Times New Roman"/>
          <w:color w:val="auto"/>
          <w:highlight w:val="none"/>
          <w:lang w:eastAsia="zh-CN"/>
        </w:rPr>
        <w:t>“第一类</w:t>
      </w:r>
      <w:r>
        <w:rPr>
          <w:rFonts w:hint="default" w:ascii="Times New Roman" w:hAnsi="Times New Roman" w:cs="Times New Roman"/>
          <w:color w:val="auto"/>
          <w:highlight w:val="none"/>
        </w:rPr>
        <w:t>鼓励类</w:t>
      </w:r>
      <w:r>
        <w:rPr>
          <w:rFonts w:hint="default" w:ascii="Times New Roman" w:hAnsi="Times New Roman" w:cs="Times New Roman"/>
          <w:color w:val="auto"/>
          <w:highlight w:val="none"/>
          <w:lang w:val="en-US" w:eastAsia="zh-CN"/>
        </w:rPr>
        <w:t>-十一、石化化工-</w:t>
      </w: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硫、钾、硼、锂、溴等短缺化工矿产资源勘探开发及综合利用，磷矿选矿尾矿综合利用技术开发与应用，中低品位磷矿、萤石矿采选与利用，磷矿、萤石矿伴生资源综合利用”中的中低品位萤石矿采选项目，属于鼓励类项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本项目符合国家产业政策。</w:t>
      </w:r>
    </w:p>
    <w:p w14:paraId="614E427F">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项目选址与空间布局符合性及污染防治与环境影响符合性，满足《</w:t>
      </w:r>
      <w:r>
        <w:rPr>
          <w:rFonts w:hint="default"/>
          <w:color w:val="auto"/>
          <w:highlight w:val="none"/>
        </w:rPr>
        <w:t>新疆维吾尔自治区重点行业生态环境准入条件</w:t>
      </w:r>
      <w:r>
        <w:rPr>
          <w:rFonts w:hint="default" w:ascii="Times New Roman" w:hAnsi="Times New Roman" w:cs="Times New Roman"/>
          <w:color w:val="auto"/>
          <w:kern w:val="0"/>
          <w:highlight w:val="none"/>
        </w:rPr>
        <w:t>（</w:t>
      </w:r>
      <w:r>
        <w:rPr>
          <w:rFonts w:hint="default" w:ascii="Times New Roman" w:hAnsi="Times New Roman" w:cs="Times New Roman"/>
          <w:color w:val="auto"/>
          <w:kern w:val="0"/>
          <w:highlight w:val="none"/>
          <w:lang w:val="en-US" w:eastAsia="zh-CN"/>
        </w:rPr>
        <w:t>2024年</w:t>
      </w:r>
      <w:r>
        <w:rPr>
          <w:rFonts w:hint="default" w:ascii="Times New Roman" w:hAnsi="Times New Roman" w:cs="Times New Roman"/>
          <w:color w:val="auto"/>
          <w:kern w:val="0"/>
          <w:highlight w:val="none"/>
        </w:rPr>
        <w:t>）》的有关要求。</w:t>
      </w:r>
    </w:p>
    <w:p w14:paraId="41D2C301">
      <w:pPr>
        <w:pStyle w:val="5"/>
        <w:rPr>
          <w:rFonts w:hint="default" w:ascii="Times New Roman" w:hAnsi="Times New Roman" w:cs="Times New Roman"/>
          <w:color w:val="auto"/>
          <w:highlight w:val="none"/>
        </w:rPr>
      </w:pPr>
      <w:bookmarkStart w:id="1066" w:name="_Toc30278"/>
      <w:bookmarkStart w:id="1067" w:name="_Toc16233"/>
      <w:bookmarkStart w:id="1068" w:name="_Toc21105"/>
      <w:bookmarkStart w:id="1069" w:name="_Toc29814"/>
      <w:bookmarkStart w:id="1070" w:name="_Toc1072"/>
      <w:bookmarkStart w:id="1071" w:name="_Toc6144"/>
      <w:bookmarkStart w:id="1072" w:name="_Toc482784729"/>
      <w:bookmarkStart w:id="1073" w:name="_Toc26156"/>
      <w:bookmarkStart w:id="1074" w:name="_Toc27324"/>
      <w:bookmarkStart w:id="1075" w:name="_Toc28824"/>
      <w:bookmarkStart w:id="1076" w:name="_Toc2869"/>
      <w:bookmarkStart w:id="1077" w:name="_Toc18653"/>
      <w:bookmarkStart w:id="1078" w:name="_Toc492457109"/>
      <w:bookmarkStart w:id="1079" w:name="_Toc107413920"/>
      <w:bookmarkStart w:id="1080" w:name="_Toc107414687"/>
      <w:bookmarkStart w:id="1081" w:name="_Toc3682"/>
      <w:bookmarkStart w:id="1082" w:name="_Toc22747"/>
      <w:bookmarkStart w:id="1083" w:name="_Toc31142"/>
      <w:bookmarkStart w:id="1084" w:name="_Toc27854"/>
      <w:bookmarkStart w:id="1085" w:name="_Toc19452"/>
      <w:bookmarkStart w:id="1086" w:name="_Toc20855"/>
      <w:r>
        <w:rPr>
          <w:rFonts w:hint="default" w:ascii="Times New Roman" w:hAnsi="Times New Roman" w:cs="Times New Roman"/>
          <w:color w:val="auto"/>
          <w:highlight w:val="none"/>
        </w:rPr>
        <w:t>9.3环境质量现状</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14:paraId="277502A1">
      <w:pPr>
        <w:pStyle w:val="6"/>
        <w:rPr>
          <w:rFonts w:hint="default" w:ascii="Times New Roman" w:hAnsi="Times New Roman" w:cs="Times New Roman"/>
          <w:color w:val="auto"/>
          <w:highlight w:val="none"/>
        </w:rPr>
      </w:pPr>
      <w:bookmarkStart w:id="1087" w:name="_Toc30636"/>
      <w:bookmarkStart w:id="1088" w:name="_Toc10108"/>
      <w:bookmarkStart w:id="1089" w:name="_Toc32381"/>
      <w:bookmarkStart w:id="1090" w:name="_Toc14059"/>
      <w:bookmarkStart w:id="1091" w:name="_Toc16219"/>
      <w:bookmarkStart w:id="1092" w:name="_Toc15657"/>
      <w:bookmarkStart w:id="1093" w:name="_Toc7322"/>
      <w:bookmarkStart w:id="1094" w:name="_Toc18924"/>
      <w:r>
        <w:rPr>
          <w:rFonts w:hint="default" w:ascii="Times New Roman" w:hAnsi="Times New Roman" w:cs="Times New Roman"/>
          <w:color w:val="auto"/>
          <w:highlight w:val="none"/>
        </w:rPr>
        <w:t>9.3.1环境空气质量现状</w:t>
      </w:r>
      <w:bookmarkEnd w:id="1087"/>
      <w:bookmarkEnd w:id="1088"/>
      <w:bookmarkEnd w:id="1089"/>
      <w:bookmarkEnd w:id="1090"/>
      <w:bookmarkEnd w:id="1091"/>
      <w:bookmarkEnd w:id="1092"/>
      <w:bookmarkEnd w:id="1093"/>
      <w:bookmarkEnd w:id="1094"/>
    </w:p>
    <w:p w14:paraId="1787D02B">
      <w:pPr>
        <w:bidi w:val="0"/>
        <w:rPr>
          <w:rFonts w:hint="default"/>
          <w:color w:val="auto"/>
          <w:highlight w:val="none"/>
          <w:lang w:val="en-US"/>
        </w:rPr>
      </w:pPr>
      <w:r>
        <w:rPr>
          <w:rFonts w:hint="default" w:ascii="Times New Roman" w:hAnsi="Times New Roman" w:eastAsia="宋体" w:cs="Times New Roman"/>
          <w:color w:val="auto"/>
          <w:sz w:val="24"/>
          <w:szCs w:val="24"/>
          <w:highlight w:val="none"/>
          <w:lang w:eastAsia="zh-CN"/>
        </w:rPr>
        <w:t>本</w:t>
      </w:r>
      <w:r>
        <w:rPr>
          <w:rFonts w:hint="default" w:ascii="Times New Roman" w:hAnsi="Times New Roman" w:eastAsia="宋体" w:cs="Times New Roman"/>
          <w:color w:val="auto"/>
          <w:sz w:val="24"/>
          <w:szCs w:val="24"/>
          <w:highlight w:val="none"/>
        </w:rPr>
        <w:t>项目所在区域SO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、CO和O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cs="Times New Roman"/>
          <w:color w:val="auto"/>
          <w:sz w:val="24"/>
          <w:szCs w:val="24"/>
          <w:highlight w:val="none"/>
          <w:vertAlign w:val="baseline"/>
          <w:lang w:val="en-US" w:eastAsia="zh-CN"/>
        </w:rPr>
        <w:t>年</w:t>
      </w:r>
      <w:r>
        <w:rPr>
          <w:rFonts w:hint="default" w:ascii="Times New Roman" w:hAnsi="Times New Roman" w:eastAsia="宋体" w:cs="Times New Roman"/>
          <w:color w:val="auto"/>
          <w:sz w:val="24"/>
          <w:szCs w:val="24"/>
          <w:highlight w:val="none"/>
          <w:lang w:eastAsia="zh-CN"/>
        </w:rPr>
        <w:t>平均浓度</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24小时平均</w:t>
      </w:r>
      <w:r>
        <w:rPr>
          <w:rFonts w:hint="eastAsia" w:cs="Times New Roman"/>
          <w:color w:val="auto"/>
          <w:sz w:val="24"/>
          <w:szCs w:val="24"/>
          <w:highlight w:val="none"/>
          <w:lang w:val="en-US" w:eastAsia="zh-CN"/>
        </w:rPr>
        <w:t>浓度</w:t>
      </w:r>
      <w:r>
        <w:rPr>
          <w:rFonts w:hint="default" w:ascii="Times New Roman" w:hAnsi="Times New Roman" w:eastAsia="宋体" w:cs="Times New Roman"/>
          <w:color w:val="auto"/>
          <w:sz w:val="24"/>
          <w:szCs w:val="24"/>
          <w:highlight w:val="none"/>
        </w:rPr>
        <w:t>满足《环境空气质量标准》</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GB3095-20</w:t>
      </w:r>
      <w:r>
        <w:rPr>
          <w:rFonts w:hint="eastAsia" w:cs="Times New Roman"/>
          <w:color w:val="auto"/>
          <w:sz w:val="24"/>
          <w:szCs w:val="24"/>
          <w:highlight w:val="none"/>
          <w:lang w:val="en-US" w:eastAsia="zh-CN"/>
        </w:rPr>
        <w:t>26</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二级标准</w:t>
      </w:r>
      <w:r>
        <w:rPr>
          <w:rFonts w:hint="eastAsia" w:cs="Times New Roman"/>
          <w:color w:val="auto"/>
          <w:sz w:val="24"/>
          <w:highlight w:val="none"/>
          <w:lang w:eastAsia="zh-CN"/>
        </w:rPr>
        <w:t>（</w:t>
      </w:r>
      <w:r>
        <w:rPr>
          <w:rFonts w:hint="eastAsia" w:cs="Times New Roman"/>
          <w:color w:val="auto"/>
          <w:sz w:val="24"/>
          <w:highlight w:val="none"/>
          <w:lang w:val="en-US" w:eastAsia="zh-CN"/>
        </w:rPr>
        <w:t>过渡阶段浓度限值</w:t>
      </w:r>
      <w:r>
        <w:rPr>
          <w:rFonts w:hint="eastAsia" w:cs="Times New Roman"/>
          <w:color w:val="auto"/>
          <w:sz w:val="24"/>
          <w:highlight w:val="none"/>
          <w:lang w:eastAsia="zh-CN"/>
        </w:rPr>
        <w:t>）</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default" w:ascii="Times New Roman" w:hAnsi="Times New Roman" w:cs="Times New Roman"/>
          <w:color w:val="auto"/>
          <w:sz w:val="24"/>
          <w:szCs w:val="24"/>
          <w:highlight w:val="none"/>
          <w:vertAlign w:val="baseline"/>
          <w:lang w:val="en-US" w:eastAsia="zh-CN"/>
        </w:rPr>
        <w:t>年</w:t>
      </w:r>
      <w:r>
        <w:rPr>
          <w:rFonts w:hint="default" w:ascii="Times New Roman" w:hAnsi="Times New Roman" w:eastAsia="宋体" w:cs="Times New Roman"/>
          <w:color w:val="auto"/>
          <w:sz w:val="24"/>
          <w:szCs w:val="24"/>
          <w:highlight w:val="none"/>
          <w:lang w:eastAsia="zh-CN"/>
        </w:rPr>
        <w:t>平均</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日平均</w:t>
      </w:r>
      <w:r>
        <w:rPr>
          <w:rFonts w:hint="default" w:ascii="Times New Roman" w:hAnsi="Times New Roman" w:eastAsia="宋体" w:cs="Times New Roman"/>
          <w:color w:val="auto"/>
          <w:sz w:val="24"/>
          <w:szCs w:val="24"/>
          <w:highlight w:val="none"/>
          <w:lang w:eastAsia="zh-CN"/>
        </w:rPr>
        <w:t>浓度</w:t>
      </w:r>
      <w:r>
        <w:rPr>
          <w:rFonts w:hint="default" w:ascii="Times New Roman" w:hAnsi="Times New Roman" w:eastAsia="宋体" w:cs="Times New Roman"/>
          <w:color w:val="auto"/>
          <w:sz w:val="24"/>
          <w:szCs w:val="24"/>
          <w:highlight w:val="none"/>
        </w:rPr>
        <w:t>超过《环境空气质量标准》（GB3095-20</w:t>
      </w:r>
      <w:r>
        <w:rPr>
          <w:rFonts w:hint="eastAsia"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rPr>
        <w:t>）中的二级标准</w:t>
      </w:r>
      <w:r>
        <w:rPr>
          <w:rFonts w:hint="eastAsia" w:cs="Times New Roman"/>
          <w:color w:val="auto"/>
          <w:sz w:val="24"/>
          <w:highlight w:val="none"/>
          <w:lang w:eastAsia="zh-CN"/>
        </w:rPr>
        <w:t>（</w:t>
      </w:r>
      <w:r>
        <w:rPr>
          <w:rFonts w:hint="eastAsia" w:cs="Times New Roman"/>
          <w:color w:val="auto"/>
          <w:sz w:val="24"/>
          <w:highlight w:val="none"/>
          <w:lang w:val="en-US" w:eastAsia="zh-CN"/>
        </w:rPr>
        <w:t>过渡阶段浓度限值</w:t>
      </w:r>
      <w:r>
        <w:rPr>
          <w:rFonts w:hint="eastAsia" w:cs="Times New Roman"/>
          <w:color w:val="auto"/>
          <w:sz w:val="24"/>
          <w:highlight w:val="none"/>
          <w:lang w:eastAsia="zh-CN"/>
        </w:rPr>
        <w:t>）</w:t>
      </w:r>
      <w:r>
        <w:rPr>
          <w:rFonts w:hint="default" w:ascii="Times New Roman" w:hAnsi="Times New Roman" w:eastAsia="宋体" w:cs="Times New Roman"/>
          <w:color w:val="auto"/>
          <w:sz w:val="24"/>
          <w:szCs w:val="24"/>
          <w:highlight w:val="none"/>
        </w:rPr>
        <w:t>，超标原因为项目区地处南疆，位于沙漠边缘，受沙尘天气影响，</w:t>
      </w:r>
      <w:r>
        <w:rPr>
          <w:rFonts w:hint="default"/>
          <w:color w:val="auto"/>
          <w:highlight w:val="none"/>
          <w:lang w:val="en-US" w:eastAsia="zh-CN"/>
        </w:rPr>
        <w:t>根据《环境影响评价技术导则</w:t>
      </w:r>
      <w:r>
        <w:rPr>
          <w:rFonts w:hint="eastAsia"/>
          <w:color w:val="auto"/>
          <w:highlight w:val="none"/>
          <w:lang w:val="en-US" w:eastAsia="zh-CN"/>
        </w:rPr>
        <w:t xml:space="preserve"> </w:t>
      </w:r>
      <w:r>
        <w:rPr>
          <w:rFonts w:hint="default"/>
          <w:color w:val="auto"/>
          <w:highlight w:val="none"/>
          <w:lang w:val="en-US" w:eastAsia="zh-CN"/>
        </w:rPr>
        <w:t>大气环境》（HJ2.2-2018），项目所在区域属于环境空气质量为不达标区。</w:t>
      </w:r>
    </w:p>
    <w:p w14:paraId="4B260DE1">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szCs w:val="24"/>
          <w:highlight w:val="none"/>
        </w:rPr>
        <w:t>根据现场补充监测结果，本次评价项目区TSP</w:t>
      </w:r>
      <w:r>
        <w:rPr>
          <w:rFonts w:hint="eastAsia" w:cs="Times New Roman"/>
          <w:color w:val="auto"/>
          <w:szCs w:val="24"/>
          <w:highlight w:val="none"/>
          <w:lang w:eastAsia="zh-CN"/>
        </w:rPr>
        <w:t>、</w:t>
      </w:r>
      <w:r>
        <w:rPr>
          <w:rFonts w:hint="eastAsia" w:cs="Times New Roman"/>
          <w:color w:val="auto"/>
          <w:szCs w:val="24"/>
          <w:highlight w:val="none"/>
          <w:lang w:val="en-US" w:eastAsia="zh-CN"/>
        </w:rPr>
        <w:t>氟化物</w:t>
      </w:r>
      <w:r>
        <w:rPr>
          <w:rFonts w:hint="default" w:ascii="Times New Roman" w:hAnsi="Times New Roman" w:cs="Times New Roman"/>
          <w:color w:val="auto"/>
          <w:szCs w:val="24"/>
          <w:highlight w:val="none"/>
        </w:rPr>
        <w:t>日均浓度满足《环境空气质量标准》（GB3095-20</w:t>
      </w:r>
      <w:r>
        <w:rPr>
          <w:rFonts w:hint="default" w:ascii="Times New Roman" w:hAnsi="Times New Roman" w:cs="Times New Roman"/>
          <w:color w:val="auto"/>
          <w:szCs w:val="24"/>
          <w:highlight w:val="none"/>
          <w:lang w:val="en-US" w:eastAsia="zh-CN"/>
        </w:rPr>
        <w:t>26</w:t>
      </w:r>
      <w:r>
        <w:rPr>
          <w:rFonts w:hint="default" w:ascii="Times New Roman" w:hAnsi="Times New Roman" w:cs="Times New Roman"/>
          <w:color w:val="auto"/>
          <w:szCs w:val="24"/>
          <w:highlight w:val="none"/>
        </w:rPr>
        <w:t>）</w:t>
      </w:r>
      <w:r>
        <w:rPr>
          <w:rFonts w:hint="default" w:ascii="Times New Roman" w:hAnsi="Times New Roman" w:cs="Times New Roman"/>
          <w:color w:val="auto"/>
          <w:spacing w:val="-4"/>
          <w:szCs w:val="24"/>
          <w:highlight w:val="none"/>
        </w:rPr>
        <w:t>二级标准要求</w:t>
      </w:r>
      <w:r>
        <w:rPr>
          <w:rFonts w:hint="eastAsia" w:cs="Times New Roman"/>
          <w:color w:val="auto"/>
          <w:spacing w:val="-4"/>
          <w:szCs w:val="24"/>
          <w:highlight w:val="none"/>
          <w:lang w:eastAsia="zh-CN"/>
        </w:rPr>
        <w:t>，</w:t>
      </w:r>
      <w:r>
        <w:rPr>
          <w:rFonts w:hint="eastAsia" w:cs="Times New Roman"/>
          <w:color w:val="auto"/>
          <w:spacing w:val="-4"/>
          <w:szCs w:val="24"/>
          <w:highlight w:val="none"/>
          <w:lang w:val="en-US" w:eastAsia="zh-CN"/>
        </w:rPr>
        <w:t>硫酸雾</w:t>
      </w:r>
      <w:r>
        <w:rPr>
          <w:rFonts w:hint="eastAsia"/>
          <w:color w:val="auto"/>
          <w:highlight w:val="none"/>
          <w:lang w:val="en-US" w:eastAsia="zh-CN"/>
        </w:rPr>
        <w:t>小时</w:t>
      </w:r>
      <w:r>
        <w:rPr>
          <w:color w:val="auto"/>
          <w:highlight w:val="none"/>
        </w:rPr>
        <w:t>浓度</w:t>
      </w:r>
      <w:r>
        <w:rPr>
          <w:rFonts w:hint="eastAsia" w:cs="Times New Roman"/>
          <w:color w:val="auto"/>
          <w:spacing w:val="-4"/>
          <w:szCs w:val="24"/>
          <w:highlight w:val="none"/>
          <w:lang w:val="en-US" w:eastAsia="zh-CN"/>
        </w:rPr>
        <w:t>满足</w:t>
      </w:r>
      <w:r>
        <w:rPr>
          <w:rFonts w:hint="eastAsia"/>
          <w:color w:val="auto"/>
          <w:highlight w:val="none"/>
          <w:lang w:val="en-US" w:eastAsia="zh-CN"/>
        </w:rPr>
        <w:t>《环境影响评价技术导则 大气环境》（HJ2.2-2018）附录D</w:t>
      </w:r>
      <w:r>
        <w:rPr>
          <w:color w:val="auto"/>
          <w:spacing w:val="-4"/>
          <w:highlight w:val="none"/>
        </w:rPr>
        <w:t>要求</w:t>
      </w:r>
      <w:r>
        <w:rPr>
          <w:rFonts w:hint="default" w:ascii="Times New Roman" w:hAnsi="Times New Roman" w:cs="Times New Roman"/>
          <w:color w:val="auto"/>
          <w:szCs w:val="24"/>
          <w:highlight w:val="none"/>
        </w:rPr>
        <w:t>。</w:t>
      </w:r>
    </w:p>
    <w:p w14:paraId="147EB33A">
      <w:pPr>
        <w:pStyle w:val="6"/>
        <w:rPr>
          <w:rFonts w:hint="default" w:ascii="Times New Roman" w:hAnsi="Times New Roman" w:cs="Times New Roman"/>
          <w:color w:val="auto"/>
          <w:highlight w:val="none"/>
        </w:rPr>
      </w:pPr>
      <w:bookmarkStart w:id="1095" w:name="_Toc13535"/>
      <w:bookmarkStart w:id="1096" w:name="_Toc11095"/>
      <w:bookmarkStart w:id="1097" w:name="_Toc17200"/>
      <w:bookmarkStart w:id="1098" w:name="_Toc15121"/>
      <w:bookmarkStart w:id="1099" w:name="_Toc25270"/>
      <w:bookmarkStart w:id="1100" w:name="_Toc26387"/>
      <w:bookmarkStart w:id="1101" w:name="_Toc2266"/>
      <w:bookmarkStart w:id="1102" w:name="_Toc21865"/>
      <w:r>
        <w:rPr>
          <w:rFonts w:hint="default" w:ascii="Times New Roman" w:hAnsi="Times New Roman" w:cs="Times New Roman"/>
          <w:color w:val="auto"/>
          <w:highlight w:val="none"/>
        </w:rPr>
        <w:t>9.3.2水环境现状</w:t>
      </w:r>
      <w:bookmarkEnd w:id="1095"/>
      <w:bookmarkEnd w:id="1096"/>
      <w:bookmarkEnd w:id="1097"/>
      <w:bookmarkEnd w:id="1098"/>
      <w:bookmarkEnd w:id="1099"/>
      <w:bookmarkEnd w:id="1100"/>
      <w:bookmarkEnd w:id="1101"/>
      <w:bookmarkEnd w:id="1102"/>
    </w:p>
    <w:p w14:paraId="65EE78F8">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地表水环境质量现状：各监测因子中，所测因子均满足《地表水环境质量标准》（GB3838-2002）I类标准。</w:t>
      </w:r>
    </w:p>
    <w:p w14:paraId="3D3F7020">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根据评价结果，区域地下水环境各项监测指标均可达到《地下水质量标准》（GB/T14848-2017）</w:t>
      </w:r>
      <w:r>
        <w:rPr>
          <w:rFonts w:hint="default" w:ascii="Times New Roman" w:hAnsi="Times New Roman" w:cs="Times New Roman"/>
          <w:color w:val="auto"/>
          <w:kern w:val="0"/>
          <w:highlight w:val="none"/>
          <w:lang w:eastAsia="zh-CN"/>
        </w:rPr>
        <w:t>Ⅲ</w:t>
      </w:r>
      <w:r>
        <w:rPr>
          <w:rFonts w:hint="default" w:ascii="Times New Roman" w:hAnsi="Times New Roman" w:cs="Times New Roman"/>
          <w:color w:val="auto"/>
          <w:kern w:val="0"/>
          <w:highlight w:val="none"/>
        </w:rPr>
        <w:t>类标准要求。</w:t>
      </w:r>
    </w:p>
    <w:p w14:paraId="6AAC8760">
      <w:pPr>
        <w:pStyle w:val="6"/>
        <w:rPr>
          <w:rFonts w:hint="default" w:ascii="Times New Roman" w:hAnsi="Times New Roman" w:cs="Times New Roman"/>
          <w:color w:val="auto"/>
          <w:highlight w:val="none"/>
        </w:rPr>
      </w:pPr>
      <w:bookmarkStart w:id="1103" w:name="_Toc1615"/>
      <w:bookmarkStart w:id="1104" w:name="_Toc26961"/>
      <w:bookmarkStart w:id="1105" w:name="_Toc8103"/>
      <w:r>
        <w:rPr>
          <w:rFonts w:hint="default" w:ascii="Times New Roman" w:hAnsi="Times New Roman" w:cs="Times New Roman"/>
          <w:color w:val="auto"/>
          <w:highlight w:val="none"/>
        </w:rPr>
        <w:t>9.3.3声环境现状</w:t>
      </w:r>
      <w:bookmarkEnd w:id="1103"/>
      <w:bookmarkEnd w:id="1104"/>
      <w:bookmarkEnd w:id="1105"/>
    </w:p>
    <w:p w14:paraId="35D8EE2E">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项目所在区域声环境质量现状均满足《声环境质量标准》（GB3096-2008）</w:t>
      </w:r>
      <w:r>
        <w:rPr>
          <w:rFonts w:hint="default" w:ascii="Times New Roman" w:hAnsi="Times New Roman" w:cs="Times New Roman"/>
          <w:color w:val="auto"/>
          <w:kern w:val="0"/>
          <w:highlight w:val="none"/>
          <w:lang w:val="en-US" w:eastAsia="zh-CN"/>
        </w:rPr>
        <w:t>2</w:t>
      </w:r>
      <w:r>
        <w:rPr>
          <w:rFonts w:hint="default" w:ascii="Times New Roman" w:hAnsi="Times New Roman" w:cs="Times New Roman"/>
          <w:color w:val="auto"/>
          <w:kern w:val="0"/>
          <w:highlight w:val="none"/>
        </w:rPr>
        <w:t>类区标准限值，评价区域内的声环境质量较好。</w:t>
      </w:r>
    </w:p>
    <w:p w14:paraId="2F80823C">
      <w:pPr>
        <w:pStyle w:val="6"/>
        <w:rPr>
          <w:rFonts w:hint="default" w:ascii="Times New Roman" w:hAnsi="Times New Roman" w:cs="Times New Roman"/>
          <w:color w:val="auto"/>
          <w:highlight w:val="none"/>
        </w:rPr>
      </w:pPr>
      <w:bookmarkStart w:id="1106" w:name="_Toc4205"/>
      <w:bookmarkStart w:id="1107" w:name="_Toc27415"/>
      <w:bookmarkStart w:id="1108" w:name="_Toc4246"/>
      <w:r>
        <w:rPr>
          <w:rFonts w:hint="default" w:ascii="Times New Roman" w:hAnsi="Times New Roman" w:cs="Times New Roman"/>
          <w:color w:val="auto"/>
          <w:highlight w:val="none"/>
        </w:rPr>
        <w:t>9.3.4土壤环境现状</w:t>
      </w:r>
      <w:bookmarkEnd w:id="1106"/>
      <w:bookmarkEnd w:id="1107"/>
      <w:bookmarkEnd w:id="1108"/>
    </w:p>
    <w:p w14:paraId="03AC70E0">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土壤监测结果表明：常规和特征监测因子监测值均低于《土壤环境质量 建设用地土壤污染风险管控标准</w:t>
      </w:r>
      <w:r>
        <w:rPr>
          <w:rFonts w:hint="eastAsia" w:ascii="Times New Roman" w:hAnsi="Times New Roman" w:cs="Times New Roman"/>
          <w:color w:val="auto"/>
          <w:kern w:val="0"/>
          <w:highlight w:val="none"/>
          <w:lang w:eastAsia="zh-CN"/>
        </w:rPr>
        <w:t>（试行）》</w:t>
      </w:r>
      <w:r>
        <w:rPr>
          <w:rFonts w:hint="default" w:ascii="Times New Roman" w:hAnsi="Times New Roman" w:cs="Times New Roman"/>
          <w:color w:val="auto"/>
          <w:kern w:val="0"/>
          <w:highlight w:val="none"/>
        </w:rPr>
        <w:t>中的筛选值。</w:t>
      </w:r>
    </w:p>
    <w:p w14:paraId="7A307F5A">
      <w:pPr>
        <w:pStyle w:val="5"/>
        <w:rPr>
          <w:rFonts w:hint="default" w:ascii="Times New Roman" w:hAnsi="Times New Roman" w:cs="Times New Roman"/>
          <w:color w:val="auto"/>
          <w:highlight w:val="none"/>
        </w:rPr>
      </w:pPr>
      <w:bookmarkStart w:id="1109" w:name="_Toc360205164"/>
      <w:bookmarkStart w:id="1110" w:name="_Toc8060"/>
      <w:bookmarkStart w:id="1111" w:name="_Toc107414688"/>
      <w:bookmarkStart w:id="1112" w:name="_Toc120683074"/>
      <w:bookmarkStart w:id="1113" w:name="_Toc338153326"/>
      <w:bookmarkStart w:id="1114" w:name="_Toc8118"/>
      <w:bookmarkStart w:id="1115" w:name="_Toc107413921"/>
      <w:bookmarkStart w:id="1116" w:name="_Toc16977"/>
      <w:bookmarkStart w:id="1117" w:name="_Toc15613"/>
      <w:bookmarkStart w:id="1118" w:name="_Toc278281234"/>
      <w:bookmarkStart w:id="1119" w:name="_Toc17832"/>
      <w:bookmarkStart w:id="1120" w:name="_Toc318298695"/>
      <w:bookmarkStart w:id="1121" w:name="_Toc5251"/>
      <w:bookmarkStart w:id="1122" w:name="_Toc10848"/>
      <w:bookmarkStart w:id="1123" w:name="_Toc31043"/>
      <w:bookmarkStart w:id="1124" w:name="_Toc30815"/>
      <w:bookmarkStart w:id="1125" w:name="_Toc492457110"/>
      <w:bookmarkStart w:id="1126" w:name="_Toc17148"/>
      <w:bookmarkStart w:id="1127" w:name="_Toc27089"/>
      <w:bookmarkStart w:id="1128" w:name="_Toc6310"/>
      <w:bookmarkStart w:id="1129" w:name="_Toc355715735"/>
      <w:bookmarkStart w:id="1130" w:name="_Toc31690"/>
      <w:bookmarkStart w:id="1131" w:name="_Toc282074159"/>
      <w:bookmarkStart w:id="1132" w:name="_Toc4197"/>
      <w:bookmarkStart w:id="1133" w:name="_Toc361840113"/>
      <w:bookmarkStart w:id="1134" w:name="_Toc482784730"/>
      <w:bookmarkStart w:id="1135" w:name="_Toc28962"/>
      <w:bookmarkStart w:id="1136" w:name="_Toc25951"/>
      <w:bookmarkStart w:id="1137" w:name="_Toc242"/>
      <w:r>
        <w:rPr>
          <w:rFonts w:hint="default" w:ascii="Times New Roman" w:hAnsi="Times New Roman" w:cs="Times New Roman"/>
          <w:color w:val="auto"/>
          <w:highlight w:val="none"/>
        </w:rPr>
        <w:t>9.4环境影响评价</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14:paraId="461B0582">
      <w:pPr>
        <w:pStyle w:val="6"/>
        <w:rPr>
          <w:rFonts w:hint="default" w:ascii="Times New Roman" w:hAnsi="Times New Roman" w:cs="Times New Roman"/>
          <w:color w:val="auto"/>
          <w:highlight w:val="none"/>
        </w:rPr>
      </w:pPr>
      <w:bookmarkStart w:id="1138" w:name="_Toc2287"/>
      <w:bookmarkStart w:id="1139" w:name="_Toc2073"/>
      <w:bookmarkStart w:id="1140" w:name="_Toc12680"/>
      <w:bookmarkStart w:id="1141" w:name="_Toc6124"/>
      <w:bookmarkStart w:id="1142" w:name="_Toc12184"/>
      <w:bookmarkStart w:id="1143" w:name="_Toc31433"/>
      <w:bookmarkStart w:id="1144" w:name="_Toc28282"/>
      <w:bookmarkStart w:id="1145" w:name="_Toc14678"/>
      <w:r>
        <w:rPr>
          <w:rFonts w:hint="default" w:ascii="Times New Roman" w:hAnsi="Times New Roman" w:cs="Times New Roman"/>
          <w:color w:val="auto"/>
          <w:highlight w:val="none"/>
        </w:rPr>
        <w:t>9.4.1大气环境影响评价</w:t>
      </w:r>
      <w:bookmarkEnd w:id="1138"/>
      <w:bookmarkEnd w:id="1139"/>
      <w:bookmarkEnd w:id="1140"/>
      <w:bookmarkEnd w:id="1141"/>
      <w:bookmarkEnd w:id="1142"/>
      <w:bookmarkEnd w:id="1143"/>
      <w:bookmarkEnd w:id="1144"/>
      <w:bookmarkEnd w:id="1145"/>
    </w:p>
    <w:p w14:paraId="0A5EE2B1">
      <w:pPr>
        <w:overflowPunct w:val="0"/>
        <w:topLinePunct/>
        <w:ind w:firstLine="480"/>
        <w:rPr>
          <w:rFonts w:hint="default" w:ascii="Times New Roman" w:hAnsi="Times New Roman" w:cs="Times New Roman"/>
          <w:color w:val="auto"/>
          <w:highlight w:val="none"/>
          <w:shd w:val="clear" w:color="auto" w:fill="FFFFFF"/>
        </w:rPr>
      </w:pPr>
      <w:r>
        <w:rPr>
          <w:rFonts w:hint="default" w:ascii="Times New Roman" w:hAnsi="Times New Roman" w:eastAsia="宋体" w:cs="Times New Roman"/>
          <w:color w:val="auto"/>
          <w:sz w:val="24"/>
          <w:highlight w:val="none"/>
          <w:lang w:val="en-US" w:eastAsia="zh-CN"/>
        </w:rPr>
        <w:t>根据AERSCREEN模式估算，项目</w:t>
      </w:r>
      <w:r>
        <w:rPr>
          <w:rFonts w:hint="eastAsia" w:cs="Times New Roman"/>
          <w:color w:val="auto"/>
          <w:sz w:val="24"/>
          <w:highlight w:val="none"/>
          <w:lang w:val="en-US" w:eastAsia="zh-CN"/>
        </w:rPr>
        <w:t>颗粒物</w:t>
      </w:r>
      <w:r>
        <w:rPr>
          <w:rFonts w:hint="default" w:ascii="Times New Roman" w:hAnsi="Times New Roman" w:eastAsia="宋体" w:cs="Times New Roman"/>
          <w:color w:val="auto"/>
          <w:sz w:val="24"/>
          <w:highlight w:val="none"/>
          <w:lang w:val="en-US" w:eastAsia="zh-CN"/>
        </w:rPr>
        <w:t>最大1h地面空气质量浓度为</w:t>
      </w:r>
      <w:r>
        <w:rPr>
          <w:rFonts w:hint="eastAsia" w:cs="Times New Roman"/>
          <w:color w:val="auto"/>
          <w:sz w:val="24"/>
          <w:highlight w:val="none"/>
          <w:lang w:val="en-US" w:eastAsia="zh-CN"/>
        </w:rPr>
        <w:t>9.504</w:t>
      </w:r>
      <w:r>
        <w:rPr>
          <w:rFonts w:hint="default" w:ascii="Times New Roman" w:hAnsi="Times New Roman" w:eastAsia="宋体" w:cs="Times New Roman"/>
          <w:color w:val="auto"/>
          <w:sz w:val="24"/>
          <w:highlight w:val="none"/>
          <w:lang w:val="en-US" w:eastAsia="zh-CN"/>
        </w:rPr>
        <w:t>mg/m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color w:val="auto"/>
          <w:sz w:val="24"/>
          <w:highlight w:val="none"/>
          <w:lang w:val="en-US" w:eastAsia="zh-CN"/>
        </w:rPr>
        <w:t>，占标率</w:t>
      </w:r>
      <w:r>
        <w:rPr>
          <w:rFonts w:hint="eastAsia" w:cs="Times New Roman"/>
          <w:color w:val="auto"/>
          <w:sz w:val="24"/>
          <w:highlight w:val="none"/>
          <w:lang w:val="en-US" w:eastAsia="zh-CN"/>
        </w:rPr>
        <w:t>2.64</w:t>
      </w:r>
      <w:r>
        <w:rPr>
          <w:rFonts w:hint="default" w:ascii="Times New Roman" w:hAnsi="Times New Roman" w:eastAsia="宋体" w:cs="Times New Roman"/>
          <w:color w:val="auto"/>
          <w:sz w:val="24"/>
          <w:highlight w:val="none"/>
          <w:lang w:val="en-US" w:eastAsia="zh-CN"/>
        </w:rPr>
        <w:t>%。本</w:t>
      </w:r>
      <w:r>
        <w:rPr>
          <w:rFonts w:hint="default" w:ascii="Times New Roman" w:hAnsi="Times New Roman" w:cs="Times New Roman"/>
          <w:color w:val="auto"/>
          <w:sz w:val="24"/>
          <w:highlight w:val="none"/>
          <w:lang w:val="en-US" w:eastAsia="zh-CN"/>
        </w:rPr>
        <w:t>项目</w:t>
      </w:r>
      <w:r>
        <w:rPr>
          <w:rFonts w:hint="default" w:ascii="Times New Roman" w:hAnsi="Times New Roman" w:eastAsia="宋体" w:cs="Times New Roman"/>
          <w:color w:val="auto"/>
          <w:sz w:val="24"/>
          <w:highlight w:val="none"/>
          <w:lang w:val="en-US" w:eastAsia="zh-CN"/>
        </w:rPr>
        <w:t>大气污染物厂界贡献浓度无超标点，对周边大气环境影响较小。</w:t>
      </w:r>
    </w:p>
    <w:p w14:paraId="7FC1C033">
      <w:pPr>
        <w:pStyle w:val="6"/>
        <w:rPr>
          <w:rFonts w:hint="default" w:ascii="Times New Roman" w:hAnsi="Times New Roman" w:cs="Times New Roman"/>
          <w:color w:val="auto"/>
          <w:highlight w:val="none"/>
        </w:rPr>
      </w:pPr>
      <w:bookmarkStart w:id="1146" w:name="_Toc24973"/>
      <w:bookmarkStart w:id="1147" w:name="_Toc10434"/>
      <w:bookmarkStart w:id="1148" w:name="_Toc22647"/>
      <w:bookmarkStart w:id="1149" w:name="_Toc5891"/>
      <w:bookmarkStart w:id="1150" w:name="_Toc6154"/>
      <w:bookmarkStart w:id="1151" w:name="_Toc10249"/>
      <w:bookmarkStart w:id="1152" w:name="_Toc12705"/>
      <w:bookmarkStart w:id="1153" w:name="_Toc32573"/>
      <w:r>
        <w:rPr>
          <w:rFonts w:hint="default" w:ascii="Times New Roman" w:hAnsi="Times New Roman" w:cs="Times New Roman"/>
          <w:color w:val="auto"/>
          <w:highlight w:val="none"/>
        </w:rPr>
        <w:t>9.4.2</w:t>
      </w:r>
      <w:r>
        <w:rPr>
          <w:rFonts w:hint="eastAsia" w:cs="Times New Roman"/>
          <w:color w:val="auto"/>
          <w:highlight w:val="none"/>
          <w:lang w:val="en-US" w:eastAsia="zh-CN"/>
        </w:rPr>
        <w:t>地表水</w:t>
      </w:r>
      <w:r>
        <w:rPr>
          <w:rFonts w:hint="default" w:ascii="Times New Roman" w:hAnsi="Times New Roman" w:cs="Times New Roman"/>
          <w:color w:val="auto"/>
          <w:highlight w:val="none"/>
        </w:rPr>
        <w:t>水环境影响评价</w:t>
      </w:r>
      <w:bookmarkEnd w:id="1146"/>
      <w:bookmarkEnd w:id="1147"/>
      <w:bookmarkEnd w:id="1148"/>
      <w:bookmarkEnd w:id="1149"/>
      <w:bookmarkEnd w:id="1150"/>
      <w:bookmarkEnd w:id="1151"/>
      <w:bookmarkEnd w:id="1152"/>
      <w:bookmarkEnd w:id="1153"/>
    </w:p>
    <w:p w14:paraId="0E013141">
      <w:pPr>
        <w:widowControl w:val="0"/>
        <w:bidi w:val="0"/>
        <w:adjustRightInd/>
        <w:snapToGrid/>
        <w:ind w:firstLine="472" w:firstLineChars="200"/>
        <w:textAlignment w:val="auto"/>
        <w:rPr>
          <w:rFonts w:hint="eastAsia" w:ascii="Times New Roman" w:hAnsi="Times New Roman" w:eastAsia="宋体" w:cs="Times New Roman"/>
          <w:snapToGrid/>
          <w:color w:val="auto"/>
          <w:spacing w:val="-2"/>
          <w:kern w:val="2"/>
          <w:sz w:val="24"/>
          <w:szCs w:val="24"/>
          <w:highlight w:val="none"/>
          <w:lang w:val="en-US" w:eastAsia="zh-CN" w:bidi="ar-SA"/>
        </w:rPr>
      </w:pPr>
      <w:r>
        <w:rPr>
          <w:rFonts w:hint="default" w:ascii="Times New Roman" w:hAnsi="Times New Roman" w:eastAsia="宋体" w:cs="Times New Roman"/>
          <w:snapToGrid/>
          <w:color w:val="auto"/>
          <w:spacing w:val="-2"/>
          <w:kern w:val="2"/>
          <w:sz w:val="24"/>
          <w:szCs w:val="24"/>
          <w:highlight w:val="none"/>
          <w:lang w:val="en-US" w:eastAsia="zh-CN" w:bidi="ar-SA"/>
        </w:rPr>
        <w:t>前期生产时无井下涌水或井下涌水不足以采矿生产用水时取</w:t>
      </w:r>
      <w:r>
        <w:rPr>
          <w:rFonts w:hint="eastAsia" w:ascii="Times New Roman" w:hAnsi="Times New Roman" w:eastAsia="宋体" w:cs="Times New Roman"/>
          <w:snapToGrid/>
          <w:color w:val="auto"/>
          <w:spacing w:val="-2"/>
          <w:kern w:val="2"/>
          <w:sz w:val="24"/>
          <w:szCs w:val="24"/>
          <w:highlight w:val="none"/>
          <w:lang w:val="en-US" w:eastAsia="zh-CN" w:bidi="ar-SA"/>
        </w:rPr>
        <w:t>邻近</w:t>
      </w:r>
      <w:r>
        <w:rPr>
          <w:rFonts w:hint="default" w:ascii="Times New Roman" w:hAnsi="Times New Roman" w:eastAsia="宋体" w:cs="Times New Roman"/>
          <w:snapToGrid/>
          <w:color w:val="auto"/>
          <w:spacing w:val="-2"/>
          <w:kern w:val="2"/>
          <w:sz w:val="24"/>
          <w:szCs w:val="24"/>
          <w:highlight w:val="none"/>
          <w:lang w:val="en-US" w:eastAsia="zh-CN" w:bidi="ar-SA"/>
        </w:rPr>
        <w:t>矿区的阿克苏河补充生产用水，后期井下涌水对采矿生产用水充足且有剩余时，多余涌水输送至配套选矿厂用于选矿生产用水</w:t>
      </w:r>
      <w:r>
        <w:rPr>
          <w:rFonts w:hint="eastAsia" w:cs="Times New Roman"/>
          <w:snapToGrid/>
          <w:color w:val="auto"/>
          <w:spacing w:val="-2"/>
          <w:kern w:val="2"/>
          <w:sz w:val="24"/>
          <w:szCs w:val="24"/>
          <w:highlight w:val="none"/>
          <w:lang w:val="en-US" w:eastAsia="zh-CN" w:bidi="ar-SA"/>
        </w:rPr>
        <w:t>，可减少取</w:t>
      </w:r>
      <w:r>
        <w:rPr>
          <w:rFonts w:hint="eastAsia" w:ascii="Times New Roman" w:hAnsi="Times New Roman" w:eastAsia="宋体" w:cs="Times New Roman"/>
          <w:snapToGrid/>
          <w:color w:val="auto"/>
          <w:spacing w:val="-2"/>
          <w:kern w:val="2"/>
          <w:sz w:val="24"/>
          <w:szCs w:val="24"/>
          <w:highlight w:val="none"/>
          <w:lang w:val="en-US" w:eastAsia="zh-CN" w:bidi="ar-SA"/>
        </w:rPr>
        <w:t>水量，降低地表水资源消耗量</w:t>
      </w:r>
      <w:r>
        <w:rPr>
          <w:rFonts w:hint="default" w:ascii="Times New Roman" w:hAnsi="Times New Roman" w:eastAsia="宋体" w:cs="Times New Roman"/>
          <w:snapToGrid/>
          <w:color w:val="auto"/>
          <w:spacing w:val="-2"/>
          <w:kern w:val="2"/>
          <w:sz w:val="24"/>
          <w:szCs w:val="24"/>
          <w:highlight w:val="none"/>
          <w:lang w:val="en-US" w:eastAsia="zh-CN" w:bidi="ar-SA"/>
        </w:rPr>
        <w:t>。</w:t>
      </w:r>
    </w:p>
    <w:p w14:paraId="0D3D56BE">
      <w:pPr>
        <w:widowControl w:val="0"/>
        <w:bidi w:val="0"/>
        <w:adjustRightInd/>
        <w:snapToGrid/>
        <w:ind w:firstLine="472" w:firstLineChars="200"/>
        <w:textAlignment w:val="auto"/>
        <w:rPr>
          <w:rFonts w:hint="eastAsia" w:ascii="Times New Roman" w:hAnsi="Times New Roman" w:eastAsia="宋体" w:cs="Times New Roman"/>
          <w:snapToGrid/>
          <w:color w:val="auto"/>
          <w:spacing w:val="-2"/>
          <w:kern w:val="2"/>
          <w:sz w:val="24"/>
          <w:szCs w:val="24"/>
          <w:highlight w:val="none"/>
          <w:lang w:val="en-US" w:eastAsia="zh-CN" w:bidi="ar-SA"/>
        </w:rPr>
      </w:pPr>
      <w:r>
        <w:rPr>
          <w:rFonts w:hint="eastAsia" w:ascii="Times New Roman" w:hAnsi="Times New Roman" w:eastAsia="宋体" w:cs="Times New Roman"/>
          <w:snapToGrid/>
          <w:color w:val="auto"/>
          <w:spacing w:val="-2"/>
          <w:kern w:val="2"/>
          <w:sz w:val="24"/>
          <w:szCs w:val="24"/>
          <w:highlight w:val="none"/>
          <w:lang w:val="en-US" w:eastAsia="zh-CN" w:bidi="ar-SA"/>
        </w:rPr>
        <w:t>本项目矿井涌水进行利用、妥善处理后，对区域地表水环境基本无影响。</w:t>
      </w:r>
    </w:p>
    <w:p w14:paraId="28F81023">
      <w:pPr>
        <w:pStyle w:val="6"/>
        <w:rPr>
          <w:rFonts w:hint="eastAsia" w:cs="Times New Roman"/>
          <w:color w:val="auto"/>
          <w:highlight w:val="none"/>
          <w:lang w:val="en-US" w:eastAsia="zh-CN"/>
        </w:rPr>
      </w:pPr>
      <w:bookmarkStart w:id="1154" w:name="_Toc20444"/>
      <w:bookmarkStart w:id="1155" w:name="_Toc23232"/>
      <w:bookmarkStart w:id="1156" w:name="_Toc628"/>
      <w:bookmarkStart w:id="1157" w:name="_Toc26325"/>
      <w:bookmarkStart w:id="1158" w:name="_Toc113"/>
      <w:bookmarkStart w:id="1159" w:name="_Toc31320"/>
      <w:bookmarkStart w:id="1160" w:name="_Toc31165"/>
      <w:bookmarkStart w:id="1161" w:name="_Toc1867"/>
      <w:r>
        <w:rPr>
          <w:rFonts w:hint="default" w:ascii="Times New Roman" w:hAnsi="Times New Roman" w:cs="Times New Roman"/>
          <w:color w:val="auto"/>
          <w:highlight w:val="none"/>
        </w:rPr>
        <w:t>9.4.3</w:t>
      </w:r>
      <w:r>
        <w:rPr>
          <w:rFonts w:hint="eastAsia" w:cs="Times New Roman"/>
          <w:color w:val="auto"/>
          <w:highlight w:val="none"/>
          <w:lang w:val="en-US" w:eastAsia="zh-CN"/>
        </w:rPr>
        <w:t>地下水环境影响分析</w:t>
      </w:r>
    </w:p>
    <w:p w14:paraId="13AF8FBD">
      <w:pPr>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项目选矿废水“闭路循环”，全部回用，不外排；生活污水经</w:t>
      </w:r>
      <w:r>
        <w:rPr>
          <w:rFonts w:hint="default" w:ascii="Times New Roman" w:hAnsi="Times New Roman" w:eastAsia="宋体" w:cs="Times New Roman"/>
          <w:snapToGrid/>
          <w:color w:val="auto"/>
          <w:kern w:val="2"/>
          <w:sz w:val="24"/>
          <w:szCs w:val="24"/>
          <w:highlight w:val="none"/>
          <w:lang w:val="en-US" w:eastAsia="zh-CN" w:bidi="ar-SA"/>
        </w:rPr>
        <w:t>地埋式污水处理设施</w:t>
      </w:r>
      <w:r>
        <w:rPr>
          <w:rFonts w:hint="default" w:ascii="Times New Roman" w:hAnsi="Times New Roman" w:cs="Times New Roman"/>
          <w:color w:val="auto"/>
          <w:kern w:val="0"/>
          <w:highlight w:val="none"/>
        </w:rPr>
        <w:t>处理</w:t>
      </w:r>
      <w:r>
        <w:rPr>
          <w:color w:val="auto"/>
          <w:highlight w:val="none"/>
        </w:rPr>
        <w:t>达到</w:t>
      </w:r>
      <w:r>
        <w:rPr>
          <w:rFonts w:hint="default" w:ascii="Times New Roman" w:hAnsi="Times New Roman" w:eastAsia="宋体" w:cs="Times New Roman"/>
          <w:b w:val="0"/>
          <w:bCs/>
          <w:color w:val="auto"/>
          <w:sz w:val="24"/>
          <w:szCs w:val="24"/>
          <w:highlight w:val="none"/>
          <w:shd w:val="clear" w:color="auto" w:fill="auto"/>
          <w:lang w:val="en-US" w:eastAsia="zh-CN"/>
        </w:rPr>
        <w:t>《农村生活污水处理排放标准》（DB65 4275-2019）表</w:t>
      </w:r>
      <w:r>
        <w:rPr>
          <w:rFonts w:hint="eastAsia" w:cs="Times New Roman"/>
          <w:b w:val="0"/>
          <w:bCs/>
          <w:color w:val="auto"/>
          <w:sz w:val="24"/>
          <w:szCs w:val="24"/>
          <w:highlight w:val="none"/>
          <w:shd w:val="clear" w:color="auto" w:fill="auto"/>
          <w:lang w:val="en-US" w:eastAsia="zh-CN"/>
        </w:rPr>
        <w:t>2</w:t>
      </w:r>
      <w:r>
        <w:rPr>
          <w:rFonts w:hint="default" w:ascii="Times New Roman" w:hAnsi="Times New Roman" w:eastAsia="宋体" w:cs="Times New Roman"/>
          <w:b w:val="0"/>
          <w:bCs/>
          <w:color w:val="auto"/>
          <w:sz w:val="24"/>
          <w:szCs w:val="24"/>
          <w:highlight w:val="none"/>
          <w:shd w:val="clear" w:color="auto" w:fill="auto"/>
          <w:lang w:val="en-US" w:eastAsia="zh-CN"/>
        </w:rPr>
        <w:t>中</w:t>
      </w:r>
      <w:r>
        <w:rPr>
          <w:rFonts w:hint="eastAsia" w:cs="Times New Roman"/>
          <w:b w:val="0"/>
          <w:bCs/>
          <w:color w:val="auto"/>
          <w:sz w:val="24"/>
          <w:szCs w:val="24"/>
          <w:highlight w:val="none"/>
          <w:shd w:val="clear" w:color="auto" w:fill="auto"/>
          <w:lang w:val="en-US" w:eastAsia="zh-CN"/>
        </w:rPr>
        <w:t>A</w:t>
      </w:r>
      <w:r>
        <w:rPr>
          <w:rFonts w:hint="default" w:ascii="Times New Roman" w:hAnsi="Times New Roman" w:eastAsia="宋体" w:cs="Times New Roman"/>
          <w:b w:val="0"/>
          <w:bCs/>
          <w:color w:val="auto"/>
          <w:sz w:val="24"/>
          <w:szCs w:val="24"/>
          <w:highlight w:val="none"/>
          <w:shd w:val="clear" w:color="auto" w:fill="auto"/>
          <w:lang w:val="en-US" w:eastAsia="zh-CN"/>
        </w:rPr>
        <w:t>级标准限值</w:t>
      </w:r>
      <w:r>
        <w:rPr>
          <w:rFonts w:hint="eastAsia" w:cs="Times New Roman"/>
          <w:b w:val="0"/>
          <w:bCs/>
          <w:color w:val="auto"/>
          <w:sz w:val="24"/>
          <w:szCs w:val="24"/>
          <w:highlight w:val="none"/>
          <w:shd w:val="clear" w:color="auto" w:fill="auto"/>
          <w:lang w:val="en-US" w:eastAsia="zh-CN"/>
        </w:rPr>
        <w:t>后，</w:t>
      </w:r>
      <w:r>
        <w:rPr>
          <w:rFonts w:hint="eastAsia"/>
          <w:b w:val="0"/>
          <w:bCs/>
          <w:color w:val="auto"/>
          <w:highlight w:val="none"/>
          <w:lang w:val="en-US" w:eastAsia="zh-CN"/>
        </w:rPr>
        <w:t>用于项目区绿化，不外排</w:t>
      </w:r>
      <w:r>
        <w:rPr>
          <w:rFonts w:hint="default" w:ascii="Times New Roman" w:hAnsi="Times New Roman" w:cs="Times New Roman"/>
          <w:color w:val="auto"/>
          <w:kern w:val="0"/>
          <w:highlight w:val="none"/>
        </w:rPr>
        <w:t>。锅炉废水包括</w:t>
      </w:r>
      <w:r>
        <w:rPr>
          <w:rFonts w:hint="default" w:ascii="Times New Roman" w:hAnsi="Times New Roman" w:cs="Times New Roman"/>
          <w:color w:val="auto"/>
          <w:highlight w:val="none"/>
        </w:rPr>
        <w:t>锅炉排污水、软化废水，经沉淀池处理后</w:t>
      </w:r>
      <w:r>
        <w:rPr>
          <w:rFonts w:hint="eastAsia" w:cs="Times New Roman"/>
          <w:color w:val="auto"/>
          <w:highlight w:val="none"/>
          <w:lang w:val="en-US" w:eastAsia="zh-CN"/>
        </w:rPr>
        <w:t>回</w:t>
      </w:r>
      <w:r>
        <w:rPr>
          <w:rFonts w:hint="default" w:ascii="Times New Roman" w:hAnsi="Times New Roman" w:cs="Times New Roman"/>
          <w:color w:val="auto"/>
          <w:highlight w:val="none"/>
        </w:rPr>
        <w:t>用于</w:t>
      </w:r>
      <w:r>
        <w:rPr>
          <w:rFonts w:hint="eastAsia" w:cs="Times New Roman"/>
          <w:color w:val="auto"/>
          <w:highlight w:val="none"/>
          <w:lang w:val="en-US" w:eastAsia="zh-CN"/>
        </w:rPr>
        <w:t>选矿，不外排</w:t>
      </w:r>
      <w:r>
        <w:rPr>
          <w:rFonts w:hint="default" w:ascii="Times New Roman" w:hAnsi="Times New Roman" w:cs="Times New Roman"/>
          <w:color w:val="auto"/>
          <w:highlight w:val="none"/>
        </w:rPr>
        <w:t>。化验废水全部通过管路输入</w:t>
      </w:r>
      <w:r>
        <w:rPr>
          <w:rFonts w:hint="default" w:ascii="Times New Roman" w:hAnsi="Times New Roman" w:cs="Times New Roman"/>
          <w:color w:val="auto"/>
          <w:highlight w:val="none"/>
          <w:lang w:eastAsia="zh-CN"/>
        </w:rPr>
        <w:t>至</w:t>
      </w:r>
      <w:r>
        <w:rPr>
          <w:rFonts w:hint="default" w:ascii="Times New Roman" w:hAnsi="Times New Roman" w:cs="Times New Roman"/>
          <w:color w:val="auto"/>
          <w:highlight w:val="none"/>
        </w:rPr>
        <w:t>选矿生产工序循环使用，做到零排放。</w:t>
      </w:r>
    </w:p>
    <w:p w14:paraId="7E11513E">
      <w:pPr>
        <w:rPr>
          <w:rFonts w:hint="default"/>
          <w:color w:val="auto"/>
          <w:highlight w:val="none"/>
          <w:lang w:val="en-US" w:eastAsia="zh-CN"/>
        </w:rPr>
      </w:pPr>
      <w:r>
        <w:rPr>
          <w:rFonts w:hint="default" w:ascii="Times New Roman" w:hAnsi="Times New Roman" w:cs="Times New Roman"/>
          <w:color w:val="auto"/>
          <w:kern w:val="0"/>
          <w:highlight w:val="none"/>
          <w:lang w:val="en-GB"/>
        </w:rPr>
        <w:t>为防止选矿生产系统故障或事故矿浆溢流对外环境造成污染影响，选厂在</w:t>
      </w:r>
      <w:r>
        <w:rPr>
          <w:rFonts w:hint="default" w:ascii="Times New Roman" w:hAnsi="Times New Roman" w:cs="Times New Roman"/>
          <w:color w:val="auto"/>
          <w:kern w:val="0"/>
          <w:highlight w:val="none"/>
        </w:rPr>
        <w:t>发生事故时立即停止生产，溢出水排入车间排水沟，最终由车间回水泵排入防渗循环水池。</w:t>
      </w:r>
      <w:r>
        <w:rPr>
          <w:rFonts w:hint="default" w:ascii="Times New Roman" w:hAnsi="Times New Roman" w:cs="Times New Roman"/>
          <w:color w:val="auto"/>
          <w:kern w:val="0"/>
          <w:highlight w:val="none"/>
          <w:lang w:val="en-GB"/>
        </w:rPr>
        <w:t>及时维修</w:t>
      </w:r>
      <w:r>
        <w:rPr>
          <w:rFonts w:hint="default" w:ascii="Times New Roman" w:hAnsi="Times New Roman" w:cs="Times New Roman"/>
          <w:color w:val="auto"/>
          <w:kern w:val="0"/>
          <w:highlight w:val="none"/>
        </w:rPr>
        <w:t>故障设备</w:t>
      </w:r>
      <w:r>
        <w:rPr>
          <w:rFonts w:hint="default" w:ascii="Times New Roman" w:hAnsi="Times New Roman" w:cs="Times New Roman"/>
          <w:color w:val="auto"/>
          <w:kern w:val="0"/>
          <w:highlight w:val="none"/>
          <w:lang w:val="en-GB"/>
        </w:rPr>
        <w:t>，在故障或事故排除后，再泵回生产系统，不会发生外排，对外环境影响不大。</w:t>
      </w:r>
    </w:p>
    <w:p w14:paraId="762B721A">
      <w:pPr>
        <w:pStyle w:val="6"/>
        <w:rPr>
          <w:rFonts w:hint="default" w:ascii="Times New Roman" w:hAnsi="Times New Roman" w:cs="Times New Roman"/>
          <w:color w:val="auto"/>
          <w:highlight w:val="none"/>
        </w:rPr>
      </w:pPr>
      <w:r>
        <w:rPr>
          <w:rFonts w:hint="eastAsia" w:cs="Times New Roman"/>
          <w:color w:val="auto"/>
          <w:highlight w:val="none"/>
          <w:lang w:val="en-US" w:eastAsia="zh-CN"/>
        </w:rPr>
        <w:t>9.4.4</w:t>
      </w:r>
      <w:r>
        <w:rPr>
          <w:rFonts w:hint="default" w:ascii="Times New Roman" w:hAnsi="Times New Roman" w:cs="Times New Roman"/>
          <w:color w:val="auto"/>
          <w:highlight w:val="none"/>
        </w:rPr>
        <w:t>声环境影响评价</w:t>
      </w:r>
      <w:bookmarkEnd w:id="1154"/>
      <w:bookmarkEnd w:id="1155"/>
      <w:bookmarkEnd w:id="1156"/>
      <w:bookmarkEnd w:id="1157"/>
      <w:bookmarkEnd w:id="1158"/>
      <w:bookmarkEnd w:id="1159"/>
      <w:bookmarkEnd w:id="1160"/>
      <w:bookmarkEnd w:id="1161"/>
    </w:p>
    <w:p w14:paraId="241C6720">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项目投产后，本项目噪声影响预测值可以达到《工业企业厂界环境噪声排放标准》（GB12348-2008）中</w:t>
      </w:r>
      <w:r>
        <w:rPr>
          <w:rFonts w:hint="default" w:ascii="Times New Roman" w:hAnsi="Times New Roman" w:cs="Times New Roman"/>
          <w:color w:val="auto"/>
          <w:kern w:val="0"/>
          <w:highlight w:val="none"/>
          <w:lang w:val="en-US" w:eastAsia="zh-CN"/>
        </w:rPr>
        <w:t>2</w:t>
      </w:r>
      <w:r>
        <w:rPr>
          <w:rFonts w:hint="default" w:ascii="Times New Roman" w:hAnsi="Times New Roman" w:cs="Times New Roman"/>
          <w:color w:val="auto"/>
          <w:kern w:val="0"/>
          <w:highlight w:val="none"/>
        </w:rPr>
        <w:t>类标准。</w:t>
      </w:r>
    </w:p>
    <w:p w14:paraId="120D33B2">
      <w:pPr>
        <w:pStyle w:val="6"/>
        <w:rPr>
          <w:rFonts w:hint="default" w:ascii="Times New Roman" w:hAnsi="Times New Roman" w:cs="Times New Roman"/>
          <w:color w:val="auto"/>
          <w:highlight w:val="none"/>
        </w:rPr>
      </w:pPr>
      <w:bookmarkStart w:id="1162" w:name="_Toc4221"/>
      <w:bookmarkStart w:id="1163" w:name="_Toc21283"/>
      <w:bookmarkStart w:id="1164" w:name="_Toc2198"/>
      <w:bookmarkStart w:id="1165" w:name="_Toc24937"/>
      <w:bookmarkStart w:id="1166" w:name="_Toc7410"/>
      <w:bookmarkStart w:id="1167" w:name="_Toc24346"/>
      <w:bookmarkStart w:id="1168" w:name="_Toc12140"/>
      <w:bookmarkStart w:id="1169" w:name="_Toc2757"/>
      <w:r>
        <w:rPr>
          <w:rFonts w:hint="default" w:ascii="Times New Roman" w:hAnsi="Times New Roman" w:cs="Times New Roman"/>
          <w:color w:val="auto"/>
          <w:highlight w:val="none"/>
        </w:rPr>
        <w:t>9.4.</w:t>
      </w:r>
      <w:r>
        <w:rPr>
          <w:rFonts w:hint="eastAsia" w:cs="Times New Roman"/>
          <w:color w:val="auto"/>
          <w:highlight w:val="none"/>
          <w:lang w:val="en-US" w:eastAsia="zh-CN"/>
        </w:rPr>
        <w:t>5</w:t>
      </w:r>
      <w:r>
        <w:rPr>
          <w:rFonts w:hint="default" w:ascii="Times New Roman" w:hAnsi="Times New Roman" w:cs="Times New Roman"/>
          <w:color w:val="auto"/>
          <w:highlight w:val="none"/>
        </w:rPr>
        <w:t>固体废物影响评价</w:t>
      </w:r>
      <w:bookmarkEnd w:id="1162"/>
      <w:bookmarkEnd w:id="1163"/>
      <w:bookmarkEnd w:id="1164"/>
      <w:bookmarkEnd w:id="1165"/>
      <w:bookmarkEnd w:id="1166"/>
      <w:bookmarkEnd w:id="1167"/>
      <w:bookmarkEnd w:id="1168"/>
      <w:bookmarkEnd w:id="1169"/>
    </w:p>
    <w:p w14:paraId="3572CB87">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本项目运营期固体废物主要</w:t>
      </w:r>
      <w:r>
        <w:rPr>
          <w:rFonts w:hint="eastAsia" w:cs="Times New Roman"/>
          <w:color w:val="auto"/>
          <w:kern w:val="0"/>
          <w:highlight w:val="none"/>
          <w:lang w:val="en-US" w:eastAsia="zh-CN"/>
        </w:rPr>
        <w:t>为</w:t>
      </w:r>
      <w:r>
        <w:rPr>
          <w:rFonts w:hint="default" w:ascii="Times New Roman" w:hAnsi="Times New Roman" w:cs="Times New Roman"/>
          <w:color w:val="auto"/>
          <w:kern w:val="0"/>
          <w:highlight w:val="none"/>
        </w:rPr>
        <w:t>尾矿砂、</w:t>
      </w:r>
      <w:r>
        <w:rPr>
          <w:rFonts w:hint="eastAsia" w:cs="Times New Roman"/>
          <w:color w:val="auto"/>
          <w:kern w:val="0"/>
          <w:highlight w:val="none"/>
          <w:lang w:val="en-US" w:eastAsia="zh-CN"/>
        </w:rPr>
        <w:t>废石、</w:t>
      </w:r>
      <w:r>
        <w:rPr>
          <w:rFonts w:hint="default" w:ascii="Times New Roman" w:hAnsi="Times New Roman" w:cs="Times New Roman"/>
          <w:color w:val="auto"/>
          <w:kern w:val="0"/>
          <w:highlight w:val="none"/>
        </w:rPr>
        <w:t>除尘灰（除尘器收集的粉尘）、</w:t>
      </w:r>
      <w:r>
        <w:rPr>
          <w:rFonts w:hint="eastAsia" w:cs="Times New Roman"/>
          <w:color w:val="auto"/>
          <w:kern w:val="0"/>
          <w:highlight w:val="none"/>
          <w:lang w:val="en-US" w:eastAsia="zh-CN"/>
        </w:rPr>
        <w:t>废包装材料</w:t>
      </w:r>
      <w:r>
        <w:rPr>
          <w:rFonts w:hint="default" w:ascii="Times New Roman" w:hAnsi="Times New Roman" w:cs="Times New Roman"/>
          <w:color w:val="auto"/>
          <w:kern w:val="0"/>
          <w:highlight w:val="none"/>
        </w:rPr>
        <w:t>、废离子交换树脂</w:t>
      </w:r>
      <w:r>
        <w:rPr>
          <w:rFonts w:hint="default" w:ascii="Times New Roman" w:hAnsi="Times New Roman" w:cs="Times New Roman"/>
          <w:color w:val="auto"/>
          <w:highlight w:val="none"/>
        </w:rPr>
        <w:t>、</w:t>
      </w:r>
      <w:r>
        <w:rPr>
          <w:rFonts w:hint="default" w:ascii="Times New Roman" w:hAnsi="Times New Roman" w:cs="Times New Roman"/>
          <w:color w:val="auto"/>
          <w:kern w:val="0"/>
          <w:highlight w:val="none"/>
        </w:rPr>
        <w:t>废布袋、</w:t>
      </w:r>
      <w:r>
        <w:rPr>
          <w:rFonts w:hint="eastAsia" w:cs="Times New Roman"/>
          <w:color w:val="auto"/>
          <w:kern w:val="0"/>
          <w:highlight w:val="none"/>
          <w:lang w:val="en-US" w:eastAsia="zh-CN"/>
        </w:rPr>
        <w:t>回水</w:t>
      </w:r>
      <w:r>
        <w:rPr>
          <w:rFonts w:hint="default" w:ascii="Times New Roman" w:hAnsi="Times New Roman" w:cs="Times New Roman"/>
          <w:color w:val="auto"/>
          <w:kern w:val="0"/>
          <w:highlight w:val="none"/>
        </w:rPr>
        <w:t>底泥、</w:t>
      </w:r>
      <w:r>
        <w:rPr>
          <w:rFonts w:hint="eastAsia" w:cs="Times New Roman"/>
          <w:color w:val="auto"/>
          <w:kern w:val="0"/>
          <w:highlight w:val="none"/>
          <w:lang w:val="en-US" w:eastAsia="zh-CN"/>
        </w:rPr>
        <w:t>水处理底泥、</w:t>
      </w:r>
      <w:r>
        <w:rPr>
          <w:rFonts w:hint="default" w:ascii="Times New Roman" w:hAnsi="Times New Roman" w:cs="Times New Roman"/>
          <w:color w:val="auto"/>
          <w:kern w:val="0"/>
          <w:highlight w:val="none"/>
        </w:rPr>
        <w:t>生活垃圾及少量废机油、废油桶、化验</w:t>
      </w:r>
      <w:r>
        <w:rPr>
          <w:rFonts w:hint="eastAsia" w:cs="Times New Roman"/>
          <w:color w:val="auto"/>
          <w:kern w:val="0"/>
          <w:highlight w:val="none"/>
          <w:lang w:val="en-US" w:eastAsia="zh-CN"/>
        </w:rPr>
        <w:t>废物</w:t>
      </w:r>
      <w:r>
        <w:rPr>
          <w:rFonts w:hint="default" w:ascii="Times New Roman" w:hAnsi="Times New Roman" w:cs="Times New Roman"/>
          <w:color w:val="auto"/>
          <w:kern w:val="0"/>
          <w:highlight w:val="none"/>
        </w:rPr>
        <w:t>等。</w:t>
      </w:r>
    </w:p>
    <w:p w14:paraId="29FAD3E9">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各项固体废物均得到妥善处置，在满足以上要求的前提下，本项目各项固体废物对项目区及周边环境影响较小。</w:t>
      </w:r>
    </w:p>
    <w:p w14:paraId="1364CC13">
      <w:pPr>
        <w:pStyle w:val="6"/>
        <w:rPr>
          <w:rFonts w:hint="default" w:ascii="Times New Roman" w:hAnsi="Times New Roman" w:cs="Times New Roman"/>
          <w:color w:val="auto"/>
          <w:highlight w:val="none"/>
        </w:rPr>
      </w:pPr>
      <w:bookmarkStart w:id="1170" w:name="_Toc26466"/>
      <w:bookmarkStart w:id="1171" w:name="_Toc10374"/>
      <w:bookmarkStart w:id="1172" w:name="_Toc25544"/>
      <w:bookmarkStart w:id="1173" w:name="_Toc13287"/>
      <w:bookmarkStart w:id="1174" w:name="_Toc30868"/>
      <w:bookmarkStart w:id="1175" w:name="_Toc24505"/>
      <w:bookmarkStart w:id="1176" w:name="_Toc779"/>
      <w:bookmarkStart w:id="1177" w:name="_Toc23843"/>
      <w:r>
        <w:rPr>
          <w:rFonts w:hint="default" w:ascii="Times New Roman" w:hAnsi="Times New Roman" w:cs="Times New Roman"/>
          <w:color w:val="auto"/>
          <w:highlight w:val="none"/>
        </w:rPr>
        <w:t>9.4.</w:t>
      </w:r>
      <w:r>
        <w:rPr>
          <w:rFonts w:hint="eastAsia" w:cs="Times New Roman"/>
          <w:color w:val="auto"/>
          <w:highlight w:val="none"/>
          <w:lang w:val="en-US" w:eastAsia="zh-CN"/>
        </w:rPr>
        <w:t>6</w:t>
      </w:r>
      <w:r>
        <w:rPr>
          <w:rFonts w:hint="default" w:ascii="Times New Roman" w:hAnsi="Times New Roman" w:cs="Times New Roman"/>
          <w:color w:val="auto"/>
          <w:highlight w:val="none"/>
        </w:rPr>
        <w:t>环境风险分析结论</w:t>
      </w:r>
      <w:bookmarkEnd w:id="1170"/>
      <w:bookmarkEnd w:id="1171"/>
      <w:bookmarkEnd w:id="1172"/>
      <w:bookmarkEnd w:id="1173"/>
      <w:bookmarkEnd w:id="1174"/>
      <w:bookmarkEnd w:id="1175"/>
      <w:bookmarkEnd w:id="1176"/>
      <w:bookmarkEnd w:id="1177"/>
    </w:p>
    <w:p w14:paraId="1335559A">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在落实本报告书中提出的环境保护措施的前提下，因地制宜地进行环境优化，本项目的环境风险在采取本次评价提出的各项措施并加强管理及风险防范措施得当的情况下，项目风险是可以接受的。</w:t>
      </w:r>
    </w:p>
    <w:p w14:paraId="3675A7B5">
      <w:pPr>
        <w:pStyle w:val="5"/>
        <w:rPr>
          <w:rFonts w:hint="default" w:ascii="Times New Roman" w:hAnsi="Times New Roman" w:cs="Times New Roman"/>
          <w:color w:val="auto"/>
          <w:highlight w:val="none"/>
        </w:rPr>
      </w:pPr>
      <w:bookmarkStart w:id="1178" w:name="_Toc107413922"/>
      <w:bookmarkStart w:id="1179" w:name="_Toc107414689"/>
      <w:bookmarkStart w:id="1180" w:name="_Toc22173"/>
      <w:bookmarkStart w:id="1181" w:name="_Toc25296"/>
      <w:r>
        <w:rPr>
          <w:rFonts w:hint="default" w:ascii="Times New Roman" w:hAnsi="Times New Roman" w:cs="Times New Roman"/>
          <w:color w:val="auto"/>
          <w:highlight w:val="none"/>
        </w:rPr>
        <w:t>9.5</w:t>
      </w:r>
      <w:bookmarkEnd w:id="1178"/>
      <w:bookmarkEnd w:id="1179"/>
      <w:r>
        <w:rPr>
          <w:rFonts w:hint="default" w:ascii="Times New Roman" w:hAnsi="Times New Roman" w:cs="Times New Roman"/>
          <w:color w:val="auto"/>
          <w:highlight w:val="none"/>
        </w:rPr>
        <w:t>总量控制</w:t>
      </w:r>
      <w:bookmarkEnd w:id="1180"/>
      <w:bookmarkEnd w:id="1181"/>
    </w:p>
    <w:p w14:paraId="6B0CF9A1">
      <w:pPr>
        <w:overflowPunct w:val="0"/>
        <w:topLinePunct/>
        <w:spacing w:line="480" w:lineRule="exact"/>
        <w:ind w:firstLine="480"/>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项目大气污染物主要为颗粒物</w:t>
      </w:r>
      <w:r>
        <w:rPr>
          <w:rFonts w:hint="eastAsia" w:cs="Times New Roman"/>
          <w:color w:val="auto"/>
          <w:kern w:val="0"/>
          <w:highlight w:val="none"/>
          <w:lang w:eastAsia="zh-CN"/>
        </w:rPr>
        <w:t>、</w:t>
      </w:r>
      <w:r>
        <w:rPr>
          <w:rFonts w:hint="eastAsia" w:cs="Times New Roman"/>
          <w:color w:val="auto"/>
          <w:kern w:val="0"/>
          <w:highlight w:val="none"/>
          <w:lang w:val="en-US" w:eastAsia="zh-CN"/>
        </w:rPr>
        <w:t>氟化物、硫酸雾</w:t>
      </w:r>
      <w:r>
        <w:rPr>
          <w:rFonts w:hint="default" w:ascii="Times New Roman" w:hAnsi="Times New Roman" w:cs="Times New Roman"/>
          <w:color w:val="auto"/>
          <w:kern w:val="0"/>
          <w:highlight w:val="none"/>
        </w:rPr>
        <w:t>；生产废水“闭路循环”不外排，</w:t>
      </w:r>
      <w:r>
        <w:rPr>
          <w:rFonts w:hint="default" w:ascii="Times New Roman" w:hAnsi="Times New Roman" w:cs="Times New Roman"/>
          <w:color w:val="auto"/>
          <w:highlight w:val="none"/>
        </w:rPr>
        <w:t>因此，本项目可不申请总量控制指标。</w:t>
      </w:r>
    </w:p>
    <w:p w14:paraId="573DAE42">
      <w:pPr>
        <w:pStyle w:val="5"/>
        <w:bidi w:val="0"/>
        <w:rPr>
          <w:color w:val="auto"/>
          <w:highlight w:val="none"/>
        </w:rPr>
      </w:pPr>
      <w:bookmarkStart w:id="1182" w:name="_Toc107414690"/>
      <w:bookmarkStart w:id="1183" w:name="_Toc15329"/>
      <w:bookmarkStart w:id="1184" w:name="_Toc107413923"/>
      <w:bookmarkStart w:id="1185" w:name="_Toc147"/>
      <w:bookmarkStart w:id="1186" w:name="_Toc4796"/>
      <w:r>
        <w:rPr>
          <w:rFonts w:hint="default" w:ascii="Times New Roman" w:hAnsi="Times New Roman" w:cs="Times New Roman"/>
          <w:color w:val="auto"/>
          <w:highlight w:val="none"/>
          <w:lang w:eastAsia="zh-TW"/>
        </w:rPr>
        <w:t>9.6</w:t>
      </w:r>
      <w:r>
        <w:rPr>
          <w:rFonts w:hint="default" w:ascii="Times New Roman" w:hAnsi="Times New Roman" w:cs="Times New Roman"/>
          <w:bCs w:val="0"/>
          <w:color w:val="auto"/>
          <w:highlight w:val="none"/>
          <w:lang w:eastAsia="zh-TW"/>
        </w:rPr>
        <w:t>公众参与</w:t>
      </w:r>
      <w:bookmarkEnd w:id="1182"/>
      <w:bookmarkEnd w:id="1183"/>
      <w:bookmarkEnd w:id="1184"/>
      <w:bookmarkEnd w:id="1185"/>
      <w:bookmarkEnd w:id="1186"/>
    </w:p>
    <w:p w14:paraId="1A8C2780">
      <w:pPr>
        <w:overflowPunct w:val="0"/>
        <w:topLinePunct/>
        <w:spacing w:line="480" w:lineRule="exact"/>
        <w:ind w:firstLine="480"/>
        <w:rPr>
          <w:rFonts w:hint="default" w:ascii="Times New Roman" w:hAnsi="Times New Roman" w:eastAsia="PMingLiU" w:cs="Times New Roman"/>
          <w:color w:val="auto"/>
          <w:szCs w:val="24"/>
          <w:highlight w:val="none"/>
          <w:lang w:eastAsia="zh-TW"/>
        </w:rPr>
      </w:pPr>
      <w:r>
        <w:rPr>
          <w:rFonts w:hint="default" w:ascii="Times New Roman" w:hAnsi="Times New Roman" w:cs="Times New Roman"/>
          <w:color w:val="auto"/>
          <w:highlight w:val="none"/>
          <w:lang w:eastAsia="zh-CN"/>
        </w:rPr>
        <w:t>新疆华瓯矿业有限公司</w:t>
      </w:r>
      <w:r>
        <w:rPr>
          <w:rFonts w:hint="default" w:ascii="Times New Roman" w:hAnsi="Times New Roman" w:cs="Times New Roman"/>
          <w:color w:val="auto"/>
          <w:szCs w:val="24"/>
          <w:highlight w:val="none"/>
          <w:lang w:eastAsia="zh-TW"/>
        </w:rPr>
        <w:t>按照《环境影响评价公众参与办法》（生态环境部令第4号）的要求进行了本项目环境影响报告书的公众参与调查</w:t>
      </w:r>
      <w:r>
        <w:rPr>
          <w:rFonts w:hint="default" w:ascii="Times New Roman" w:hAnsi="Times New Roman" w:cs="Times New Roman"/>
          <w:color w:val="auto"/>
          <w:highlight w:val="none"/>
        </w:rPr>
        <w:t>。在确定本项目环境影响报告书编制单位后，</w:t>
      </w:r>
      <w:r>
        <w:rPr>
          <w:rFonts w:hint="default" w:ascii="Times New Roman" w:hAnsi="Times New Roman" w:cs="Times New Roman"/>
          <w:color w:val="auto"/>
          <w:szCs w:val="24"/>
          <w:highlight w:val="none"/>
          <w:lang w:eastAsia="zh-TW"/>
        </w:rPr>
        <w:t>于</w:t>
      </w:r>
      <w:r>
        <w:rPr>
          <w:rFonts w:hint="default" w:ascii="Times New Roman" w:hAnsi="Times New Roman" w:cs="Times New Roman"/>
          <w:color w:val="auto"/>
          <w:szCs w:val="24"/>
          <w:highlight w:val="none"/>
          <w:lang w:val="en-US" w:eastAsia="zh-CN"/>
        </w:rPr>
        <w:t>2025</w:t>
      </w:r>
      <w:r>
        <w:rPr>
          <w:rFonts w:hint="default" w:ascii="Times New Roman" w:hAnsi="Times New Roman" w:cs="Times New Roman"/>
          <w:color w:val="auto"/>
          <w:szCs w:val="24"/>
          <w:highlight w:val="none"/>
          <w:lang w:eastAsia="zh-TW"/>
        </w:rPr>
        <w:t>年</w:t>
      </w:r>
      <w:r>
        <w:rPr>
          <w:rFonts w:hint="default" w:ascii="Times New Roman" w:hAnsi="Times New Roman" w:cs="Times New Roman"/>
          <w:color w:val="auto"/>
          <w:szCs w:val="24"/>
          <w:highlight w:val="none"/>
          <w:lang w:val="en-US" w:eastAsia="zh-CN"/>
        </w:rPr>
        <w:t>11</w:t>
      </w:r>
      <w:r>
        <w:rPr>
          <w:rFonts w:hint="default" w:ascii="Times New Roman" w:hAnsi="Times New Roman" w:cs="Times New Roman"/>
          <w:color w:val="auto"/>
          <w:szCs w:val="24"/>
          <w:highlight w:val="none"/>
          <w:lang w:eastAsia="zh-TW"/>
        </w:rPr>
        <w:t>月</w:t>
      </w:r>
      <w:r>
        <w:rPr>
          <w:rFonts w:hint="default" w:ascii="Times New Roman" w:hAnsi="Times New Roman" w:cs="Times New Roman"/>
          <w:color w:val="auto"/>
          <w:szCs w:val="24"/>
          <w:highlight w:val="none"/>
          <w:lang w:val="en-US" w:eastAsia="zh-CN"/>
        </w:rPr>
        <w:t>28</w:t>
      </w:r>
      <w:r>
        <w:rPr>
          <w:rFonts w:hint="default" w:ascii="Times New Roman" w:hAnsi="Times New Roman" w:cs="Times New Roman"/>
          <w:color w:val="auto"/>
          <w:szCs w:val="24"/>
          <w:highlight w:val="none"/>
          <w:lang w:eastAsia="zh-TW"/>
        </w:rPr>
        <w:t>日在</w:t>
      </w:r>
      <w:r>
        <w:rPr>
          <w:rFonts w:hint="default" w:ascii="Times New Roman" w:hAnsi="Times New Roman" w:cs="Times New Roman"/>
          <w:color w:val="auto"/>
          <w:szCs w:val="24"/>
          <w:highlight w:val="none"/>
          <w:lang w:val="en-US" w:eastAsia="zh-CN"/>
        </w:rPr>
        <w:t>全国建设项目信息公示平台</w:t>
      </w:r>
      <w:r>
        <w:rPr>
          <w:rFonts w:hint="default" w:ascii="Times New Roman" w:hAnsi="Times New Roman" w:cs="Times New Roman"/>
          <w:color w:val="auto"/>
          <w:szCs w:val="24"/>
          <w:highlight w:val="none"/>
          <w:lang w:eastAsia="zh-TW"/>
        </w:rPr>
        <w:t>（https://www.eiacloud.com/gs/detail/3?id=511282MBKz）</w:t>
      </w:r>
      <w:r>
        <w:rPr>
          <w:rFonts w:hint="default" w:ascii="Times New Roman" w:hAnsi="Times New Roman" w:cs="Times New Roman"/>
          <w:color w:val="auto"/>
          <w:szCs w:val="24"/>
          <w:highlight w:val="none"/>
          <w:lang w:val="en-US" w:eastAsia="zh-CN"/>
        </w:rPr>
        <w:t>进行了公示</w:t>
      </w:r>
      <w:r>
        <w:rPr>
          <w:rFonts w:hint="default" w:ascii="Times New Roman" w:hAnsi="Times New Roman" w:cs="Times New Roman"/>
          <w:color w:val="auto"/>
          <w:szCs w:val="24"/>
          <w:highlight w:val="none"/>
        </w:rPr>
        <w:t>。</w:t>
      </w:r>
      <w:r>
        <w:rPr>
          <w:rFonts w:hint="default" w:ascii="Times New Roman" w:hAnsi="Times New Roman" w:cs="Times New Roman"/>
          <w:color w:val="auto"/>
          <w:highlight w:val="none"/>
        </w:rPr>
        <w:t>在本项目环境影响报告书征求意见稿形成后，于</w:t>
      </w:r>
      <w:r>
        <w:rPr>
          <w:rFonts w:hint="default" w:ascii="Times New Roman" w:hAnsi="Times New Roman" w:cs="Times New Roman"/>
          <w:color w:val="auto"/>
          <w:szCs w:val="24"/>
          <w:highlight w:val="none"/>
          <w:lang w:val="en-US" w:eastAsia="zh-CN"/>
        </w:rPr>
        <w:t>2026</w:t>
      </w:r>
      <w:r>
        <w:rPr>
          <w:rFonts w:hint="default" w:ascii="Times New Roman" w:hAnsi="Times New Roman" w:cs="Times New Roman"/>
          <w:color w:val="auto"/>
          <w:szCs w:val="24"/>
          <w:highlight w:val="none"/>
          <w:lang w:eastAsia="zh-TW"/>
        </w:rPr>
        <w:t>年</w:t>
      </w:r>
      <w:r>
        <w:rPr>
          <w:rFonts w:hint="default" w:ascii="Times New Roman" w:hAnsi="Times New Roman" w:cs="Times New Roman"/>
          <w:color w:val="auto"/>
          <w:szCs w:val="24"/>
          <w:highlight w:val="none"/>
          <w:lang w:val="en-US" w:eastAsia="zh-CN"/>
        </w:rPr>
        <w:t>4</w:t>
      </w:r>
      <w:r>
        <w:rPr>
          <w:rFonts w:hint="default" w:ascii="Times New Roman" w:hAnsi="Times New Roman" w:cs="Times New Roman"/>
          <w:color w:val="auto"/>
          <w:szCs w:val="24"/>
          <w:highlight w:val="none"/>
          <w:lang w:eastAsia="zh-TW"/>
        </w:rPr>
        <w:t>月</w:t>
      </w:r>
      <w:r>
        <w:rPr>
          <w:rFonts w:hint="default" w:ascii="Times New Roman" w:hAnsi="Times New Roman" w:cs="Times New Roman"/>
          <w:color w:val="auto"/>
          <w:szCs w:val="24"/>
          <w:highlight w:val="none"/>
          <w:lang w:val="en-US" w:eastAsia="zh-CN"/>
        </w:rPr>
        <w:t>28</w:t>
      </w:r>
      <w:r>
        <w:rPr>
          <w:rFonts w:hint="default" w:ascii="Times New Roman" w:hAnsi="Times New Roman" w:cs="Times New Roman"/>
          <w:color w:val="auto"/>
          <w:szCs w:val="24"/>
          <w:highlight w:val="none"/>
          <w:lang w:eastAsia="zh-TW"/>
        </w:rPr>
        <w:t>日在新疆维吾尔自治区生态环境保护产业协会网站进行了第二次信息公示（http://www.xjhbcy.cn/articles/show/17378）</w:t>
      </w:r>
      <w:r>
        <w:rPr>
          <w:rFonts w:hint="default" w:ascii="Times New Roman" w:hAnsi="Times New Roman" w:cs="Times New Roman"/>
          <w:color w:val="auto"/>
          <w:szCs w:val="24"/>
          <w:highlight w:val="none"/>
        </w:rPr>
        <w:t>，</w:t>
      </w:r>
      <w:r>
        <w:rPr>
          <w:rFonts w:hint="default" w:ascii="Times New Roman" w:hAnsi="Times New Roman" w:cs="Times New Roman"/>
          <w:color w:val="auto"/>
          <w:szCs w:val="24"/>
          <w:highlight w:val="none"/>
          <w:lang w:eastAsia="zh-TW"/>
        </w:rPr>
        <w:t>公示期为10个工作日，并在公示期间以登报和张贴公告的方式进行同步公开。</w:t>
      </w:r>
      <w:r>
        <w:rPr>
          <w:rFonts w:hint="eastAsia" w:cs="Times New Roman"/>
          <w:color w:val="auto"/>
          <w:szCs w:val="21"/>
          <w:highlight w:val="none"/>
          <w:lang w:val="en-US" w:eastAsia="zh-CN"/>
        </w:rPr>
        <w:t>2026</w:t>
      </w:r>
      <w:r>
        <w:rPr>
          <w:rFonts w:hint="default" w:ascii="Times New Roman" w:hAnsi="Times New Roman" w:cs="Times New Roman"/>
          <w:color w:val="auto"/>
          <w:szCs w:val="21"/>
          <w:highlight w:val="none"/>
          <w:lang w:eastAsia="zh-TW"/>
        </w:rPr>
        <w:t>年</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lang w:eastAsia="zh-TW"/>
        </w:rPr>
        <w:t>月</w:t>
      </w:r>
      <w:r>
        <w:rPr>
          <w:rFonts w:hint="eastAsia" w:cs="Times New Roman"/>
          <w:color w:val="auto"/>
          <w:szCs w:val="21"/>
          <w:highlight w:val="none"/>
          <w:lang w:val="en-US" w:eastAsia="zh-CN"/>
        </w:rPr>
        <w:t>1</w:t>
      </w:r>
      <w:r>
        <w:rPr>
          <w:rFonts w:hint="default" w:ascii="Times New Roman" w:hAnsi="Times New Roman" w:cs="Times New Roman"/>
          <w:color w:val="auto"/>
          <w:szCs w:val="21"/>
          <w:highlight w:val="none"/>
          <w:lang w:eastAsia="zh-TW"/>
        </w:rPr>
        <w:t>日</w:t>
      </w:r>
      <w:r>
        <w:rPr>
          <w:rFonts w:hint="default" w:ascii="Times New Roman" w:hAnsi="Times New Roman" w:cs="Times New Roman"/>
          <w:color w:val="auto"/>
          <w:highlight w:val="none"/>
          <w:lang w:eastAsia="zh-TW"/>
        </w:rPr>
        <w:t>在本项目环境影响报告书</w:t>
      </w:r>
      <w:r>
        <w:rPr>
          <w:rFonts w:hint="default" w:ascii="Times New Roman" w:hAnsi="Times New Roman" w:cs="Times New Roman"/>
          <w:color w:val="auto"/>
          <w:highlight w:val="none"/>
          <w:lang w:eastAsia="zh-CN"/>
        </w:rPr>
        <w:t>报</w:t>
      </w:r>
      <w:r>
        <w:rPr>
          <w:rFonts w:hint="default" w:ascii="Times New Roman" w:hAnsi="Times New Roman" w:cs="Times New Roman"/>
          <w:color w:val="auto"/>
          <w:highlight w:val="none"/>
          <w:lang w:val="en-US" w:eastAsia="zh-CN"/>
        </w:rPr>
        <w:t>新疆维吾尔自治区生态环境厅</w:t>
      </w:r>
      <w:r>
        <w:rPr>
          <w:rFonts w:hint="default" w:ascii="Times New Roman" w:hAnsi="Times New Roman" w:cs="Times New Roman"/>
          <w:color w:val="auto"/>
          <w:highlight w:val="none"/>
          <w:lang w:eastAsia="zh-TW"/>
        </w:rPr>
        <w:t>前，</w:t>
      </w:r>
      <w:r>
        <w:rPr>
          <w:rFonts w:hint="default" w:ascii="Times New Roman" w:hAnsi="Times New Roman" w:cs="Times New Roman"/>
          <w:color w:val="auto"/>
          <w:highlight w:val="none"/>
          <w:lang w:eastAsia="zh-CN"/>
        </w:rPr>
        <w:t>新疆华瓯矿业有限公司</w:t>
      </w:r>
      <w:r>
        <w:rPr>
          <w:rFonts w:hint="default" w:ascii="Times New Roman" w:hAnsi="Times New Roman" w:cs="Times New Roman"/>
          <w:color w:val="auto"/>
          <w:highlight w:val="none"/>
          <w:lang w:eastAsia="zh-TW"/>
        </w:rPr>
        <w:t>在</w:t>
      </w:r>
      <w:r>
        <w:rPr>
          <w:rFonts w:hint="default" w:ascii="Times New Roman" w:hAnsi="Times New Roman" w:cs="Times New Roman"/>
          <w:color w:val="auto"/>
          <w:szCs w:val="24"/>
          <w:highlight w:val="none"/>
          <w:lang w:eastAsia="zh-TW"/>
        </w:rPr>
        <w:t>新疆维吾尔自治区生态环境保护产业协会网站</w:t>
      </w:r>
      <w:r>
        <w:rPr>
          <w:rFonts w:hint="default" w:ascii="Times New Roman" w:hAnsi="Times New Roman" w:cs="Times New Roman"/>
          <w:color w:val="auto"/>
          <w:highlight w:val="none"/>
          <w:lang w:eastAsia="zh-TW"/>
        </w:rPr>
        <w:t>（</w:t>
      </w:r>
      <w:r>
        <w:rPr>
          <w:rFonts w:hint="default" w:ascii="Times New Roman" w:hAnsi="Times New Roman" w:eastAsia="宋体" w:cs="Times New Roman"/>
          <w:bCs/>
          <w:color w:val="auto"/>
          <w:kern w:val="0"/>
          <w:sz w:val="24"/>
          <w:szCs w:val="24"/>
          <w:highlight w:val="none"/>
          <w:lang w:val="en-US" w:eastAsia="zh-CN" w:bidi="ar"/>
        </w:rPr>
        <w:t>http://www.xjhbcy.cn/articles/show/17535</w:t>
      </w:r>
      <w:r>
        <w:rPr>
          <w:rFonts w:hint="default" w:ascii="Times New Roman" w:hAnsi="Times New Roman" w:cs="Times New Roman"/>
          <w:color w:val="auto"/>
          <w:highlight w:val="none"/>
          <w:lang w:eastAsia="zh-TW"/>
        </w:rPr>
        <w:t>）进行拟报批公示。</w:t>
      </w:r>
    </w:p>
    <w:p w14:paraId="66E0B850">
      <w:pPr>
        <w:overflowPunct w:val="0"/>
        <w:topLinePunct/>
        <w:spacing w:line="480" w:lineRule="exact"/>
        <w:ind w:firstLine="480"/>
        <w:rPr>
          <w:rFonts w:hint="default" w:ascii="Times New Roman" w:hAnsi="Times New Roman" w:cs="Times New Roman"/>
          <w:color w:val="auto"/>
          <w:kern w:val="0"/>
          <w:highlight w:val="none"/>
          <w:lang w:eastAsia="zh-TW"/>
        </w:rPr>
      </w:pPr>
      <w:r>
        <w:rPr>
          <w:rFonts w:hint="default" w:ascii="Times New Roman" w:hAnsi="Times New Roman" w:cs="Times New Roman"/>
          <w:color w:val="auto"/>
          <w:szCs w:val="24"/>
          <w:highlight w:val="none"/>
          <w:lang w:eastAsia="zh-TW"/>
        </w:rPr>
        <w:t>本项目在公示期间未收到公众通过网络、电话及书信等方式提出的意见。</w:t>
      </w:r>
    </w:p>
    <w:p w14:paraId="73CF9432">
      <w:pPr>
        <w:pStyle w:val="5"/>
        <w:bidi w:val="0"/>
        <w:rPr>
          <w:rFonts w:hint="default"/>
          <w:color w:val="auto"/>
          <w:highlight w:val="none"/>
          <w:lang w:val="en-US" w:eastAsia="zh-CN"/>
        </w:rPr>
      </w:pPr>
      <w:bookmarkStart w:id="1187" w:name="_Toc29299"/>
      <w:bookmarkStart w:id="1188" w:name="_Toc1523"/>
      <w:bookmarkStart w:id="1189" w:name="_Toc18905"/>
      <w:bookmarkStart w:id="1190" w:name="_Toc24706"/>
      <w:bookmarkStart w:id="1191" w:name="_Toc26314"/>
      <w:bookmarkStart w:id="1192" w:name="_Toc3273"/>
      <w:bookmarkStart w:id="1193" w:name="_Toc107413924"/>
      <w:bookmarkStart w:id="1194" w:name="_Toc360205168"/>
      <w:bookmarkStart w:id="1195" w:name="_Toc29976"/>
      <w:bookmarkStart w:id="1196" w:name="_Toc1723"/>
      <w:bookmarkStart w:id="1197" w:name="_Toc107414691"/>
      <w:bookmarkStart w:id="1198" w:name="_Toc361840117"/>
      <w:bookmarkStart w:id="1199" w:name="_Toc14829"/>
      <w:bookmarkStart w:id="1200" w:name="_Toc21963"/>
      <w:bookmarkStart w:id="1201" w:name="_Toc492457115"/>
      <w:bookmarkStart w:id="1202" w:name="_Toc21279"/>
      <w:bookmarkStart w:id="1203" w:name="_Toc12938"/>
      <w:bookmarkStart w:id="1204" w:name="_Toc355715739"/>
      <w:bookmarkStart w:id="1205" w:name="_Toc22263"/>
      <w:bookmarkStart w:id="1206" w:name="_Toc6109"/>
      <w:bookmarkStart w:id="1207" w:name="_Toc2218"/>
      <w:bookmarkStart w:id="1208" w:name="_Toc18341"/>
      <w:bookmarkStart w:id="1209" w:name="_Toc6101"/>
      <w:bookmarkStart w:id="1210" w:name="_Toc482784735"/>
      <w:bookmarkStart w:id="1211" w:name="_Toc6314"/>
      <w:bookmarkStart w:id="1212" w:name="_Toc353"/>
      <w:r>
        <w:rPr>
          <w:rFonts w:hint="default"/>
          <w:color w:val="auto"/>
          <w:highlight w:val="none"/>
          <w:lang w:val="en-US" w:eastAsia="zh-CN"/>
        </w:rPr>
        <w:t>9.7环境影响经济损益分析</w:t>
      </w:r>
      <w:bookmarkEnd w:id="1187"/>
      <w:bookmarkEnd w:id="1188"/>
      <w:bookmarkEnd w:id="1189"/>
    </w:p>
    <w:p w14:paraId="6AF588AB">
      <w:pPr>
        <w:bidi w:val="0"/>
        <w:rPr>
          <w:rFonts w:hint="default"/>
          <w:color w:val="auto"/>
          <w:highlight w:val="none"/>
          <w:lang w:val="en-US" w:eastAsia="zh-CN"/>
        </w:rPr>
      </w:pPr>
      <w:r>
        <w:rPr>
          <w:rFonts w:hint="default"/>
          <w:color w:val="auto"/>
          <w:highlight w:val="none"/>
          <w:lang w:val="en-US" w:eastAsia="zh-CN"/>
        </w:rPr>
        <w:t>项目总投资为</w:t>
      </w:r>
      <w:r>
        <w:rPr>
          <w:rFonts w:hint="default" w:ascii="Times New Roman" w:hAnsi="Times New Roman" w:cs="Times New Roman"/>
          <w:color w:val="auto"/>
          <w:highlight w:val="none"/>
          <w:lang w:val="en-US" w:eastAsia="zh-CN"/>
        </w:rPr>
        <w:t>161261</w:t>
      </w:r>
      <w:r>
        <w:rPr>
          <w:rFonts w:hint="default"/>
          <w:color w:val="auto"/>
          <w:highlight w:val="none"/>
          <w:lang w:val="en-US" w:eastAsia="zh-CN"/>
        </w:rPr>
        <w:t>万元，其中环保投资额为</w:t>
      </w:r>
      <w:r>
        <w:rPr>
          <w:rFonts w:hint="eastAsia" w:cs="Times New Roman"/>
          <w:color w:val="auto"/>
          <w:highlight w:val="none"/>
          <w:lang w:val="en-US" w:eastAsia="zh-CN"/>
        </w:rPr>
        <w:t>5015</w:t>
      </w:r>
      <w:r>
        <w:rPr>
          <w:rFonts w:hint="default"/>
          <w:color w:val="auto"/>
          <w:highlight w:val="none"/>
          <w:lang w:val="en-US" w:eastAsia="zh-CN"/>
        </w:rPr>
        <w:t>万元。综合分析显示，项目环保投资合理，环境治理效益明显，环保措施经济效益为正效益，项目环境经济效益大于环境损失，从环境经济学角度来看，项目建设是可行的。</w:t>
      </w:r>
    </w:p>
    <w:p w14:paraId="040F687F">
      <w:pPr>
        <w:pStyle w:val="5"/>
        <w:bidi w:val="0"/>
        <w:rPr>
          <w:rFonts w:hint="default"/>
          <w:color w:val="auto"/>
          <w:highlight w:val="none"/>
          <w:lang w:val="en-US" w:eastAsia="zh-CN"/>
        </w:rPr>
      </w:pPr>
      <w:bookmarkStart w:id="1213" w:name="_Toc21929"/>
      <w:bookmarkStart w:id="1214" w:name="_Toc29725"/>
      <w:r>
        <w:rPr>
          <w:rFonts w:hint="default"/>
          <w:color w:val="auto"/>
          <w:highlight w:val="none"/>
          <w:lang w:val="en-US" w:eastAsia="zh-CN"/>
        </w:rPr>
        <w:t>9.8环境管理与监测计划</w:t>
      </w:r>
      <w:bookmarkEnd w:id="1213"/>
      <w:bookmarkEnd w:id="1214"/>
    </w:p>
    <w:p w14:paraId="4F340C48">
      <w:pPr>
        <w:bidi w:val="0"/>
        <w:rPr>
          <w:rFonts w:hint="default"/>
          <w:color w:val="auto"/>
          <w:highlight w:val="none"/>
          <w:lang w:val="en-US" w:eastAsia="zh-CN"/>
        </w:rPr>
      </w:pPr>
      <w:r>
        <w:rPr>
          <w:rFonts w:hint="default"/>
          <w:color w:val="auto"/>
          <w:highlight w:val="none"/>
          <w:lang w:val="en-US" w:eastAsia="zh-CN"/>
        </w:rPr>
        <w:t>项目成立环保管理部门，建立健全的环境管理制度和管理体系，明确责任主体、管理重点，确保各项环境保护设施和措施的建设、运行及维护费用的保障。</w:t>
      </w:r>
      <w:r>
        <w:rPr>
          <w:rFonts w:hint="eastAsia"/>
          <w:color w:val="auto"/>
          <w:highlight w:val="none"/>
          <w:lang w:val="en-US" w:eastAsia="zh-CN"/>
        </w:rPr>
        <w:t>民丰县万水源矿业有限责任公司</w:t>
      </w:r>
      <w:r>
        <w:rPr>
          <w:rFonts w:hint="default"/>
          <w:color w:val="auto"/>
          <w:highlight w:val="none"/>
          <w:lang w:val="en-US" w:eastAsia="zh-CN"/>
        </w:rPr>
        <w:t>作为本项目环境管理的责任主体</w:t>
      </w:r>
      <w:r>
        <w:rPr>
          <w:rFonts w:hint="eastAsia"/>
          <w:color w:val="auto"/>
          <w:highlight w:val="none"/>
          <w:lang w:val="en-US" w:eastAsia="zh-CN"/>
        </w:rPr>
        <w:t>，在</w:t>
      </w:r>
      <w:r>
        <w:rPr>
          <w:rFonts w:hint="default"/>
          <w:color w:val="auto"/>
          <w:highlight w:val="none"/>
          <w:lang w:val="en-US" w:eastAsia="zh-CN"/>
        </w:rPr>
        <w:t>日常生产中，要做好相关环境管理的台账记录，定期按照环境监测计划对本项目和周边环境质量进行监测。</w:t>
      </w:r>
    </w:p>
    <w:p w14:paraId="58248852">
      <w:pPr>
        <w:pStyle w:val="5"/>
        <w:rPr>
          <w:rFonts w:hint="default" w:ascii="Times New Roman" w:hAnsi="Times New Roman" w:cs="Times New Roman"/>
          <w:color w:val="auto"/>
          <w:highlight w:val="none"/>
        </w:rPr>
      </w:pPr>
      <w:bookmarkStart w:id="1215" w:name="_Toc8174"/>
      <w:r>
        <w:rPr>
          <w:rFonts w:hint="default" w:ascii="Times New Roman" w:hAnsi="Times New Roman" w:cs="Times New Roman"/>
          <w:color w:val="auto"/>
          <w:highlight w:val="none"/>
        </w:rPr>
        <w:t>9.</w:t>
      </w:r>
      <w:r>
        <w:rPr>
          <w:rFonts w:hint="eastAsia" w:cs="Times New Roman"/>
          <w:color w:val="auto"/>
          <w:highlight w:val="none"/>
          <w:lang w:val="en-US" w:eastAsia="zh-CN"/>
        </w:rPr>
        <w:t>9</w:t>
      </w:r>
      <w:r>
        <w:rPr>
          <w:rFonts w:hint="default" w:ascii="Times New Roman" w:hAnsi="Times New Roman" w:cs="Times New Roman"/>
          <w:color w:val="auto"/>
          <w:highlight w:val="none"/>
        </w:rPr>
        <w:t>总体结论</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5"/>
    </w:p>
    <w:p w14:paraId="074E2BE0">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szCs w:val="24"/>
          <w:highlight w:val="none"/>
        </w:rPr>
        <w:t>根据</w:t>
      </w:r>
      <w:r>
        <w:rPr>
          <w:rFonts w:hint="default" w:ascii="Times New Roman" w:hAnsi="Times New Roman" w:cs="Times New Roman"/>
          <w:color w:val="auto"/>
          <w:highlight w:val="none"/>
        </w:rPr>
        <w:t>《产业结构调整指导目录（</w:t>
      </w:r>
      <w:r>
        <w:rPr>
          <w:rFonts w:hint="default" w:ascii="Times New Roman" w:hAnsi="Times New Roman" w:cs="Times New Roman"/>
          <w:color w:val="auto"/>
          <w:highlight w:val="none"/>
          <w:lang w:val="en-US" w:eastAsia="zh-CN"/>
        </w:rPr>
        <w:t>2024</w:t>
      </w:r>
      <w:r>
        <w:rPr>
          <w:rFonts w:hint="default" w:ascii="Times New Roman" w:hAnsi="Times New Roman" w:cs="Times New Roman"/>
          <w:color w:val="auto"/>
          <w:highlight w:val="none"/>
        </w:rPr>
        <w:t>年本）》</w:t>
      </w:r>
      <w:r>
        <w:rPr>
          <w:rFonts w:hint="default" w:ascii="Times New Roman" w:hAnsi="Times New Roman" w:cs="Times New Roman"/>
          <w:color w:val="auto"/>
          <w:kern w:val="0"/>
          <w:szCs w:val="24"/>
          <w:highlight w:val="none"/>
        </w:rPr>
        <w:t>，</w:t>
      </w:r>
      <w:r>
        <w:rPr>
          <w:rFonts w:hint="default" w:ascii="Times New Roman" w:hAnsi="Times New Roman" w:cs="Times New Roman"/>
          <w:color w:val="auto"/>
          <w:highlight w:val="none"/>
        </w:rPr>
        <w:t>本项目属于名录中</w:t>
      </w:r>
      <w:r>
        <w:rPr>
          <w:rFonts w:hint="default" w:ascii="Times New Roman" w:hAnsi="Times New Roman" w:cs="Times New Roman"/>
          <w:color w:val="auto"/>
          <w:highlight w:val="none"/>
          <w:lang w:val="en-US" w:eastAsia="zh-CN"/>
        </w:rPr>
        <w:t>鼓励类项目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本项目符合国家产业政策。</w:t>
      </w:r>
      <w:r>
        <w:rPr>
          <w:rFonts w:hint="default" w:ascii="Times New Roman" w:hAnsi="Times New Roman" w:cs="Times New Roman"/>
          <w:color w:val="auto"/>
          <w:kern w:val="0"/>
          <w:szCs w:val="24"/>
          <w:highlight w:val="none"/>
        </w:rPr>
        <w:t>本项目选矿工艺属于目前国内较成熟应用较广的工艺技术，尾矿砂为第I类一般固体废物，排入尾矿库，工艺路线符合清洁生产的要求，项目建设得到了当地公众的支持。本项目符合国家产业政策和环保政策要求，具有良好的经济效益和社会效益，可满足当地环境保护目标要求，在严格落实本报告提出的环保、节能降耗措施，特别是污染防治和风险防范措施后，从保护环境的角度出发，本项目的建设是可行的。</w:t>
      </w:r>
    </w:p>
    <w:p w14:paraId="018A8C19">
      <w:pPr>
        <w:pStyle w:val="5"/>
        <w:rPr>
          <w:rFonts w:hint="default" w:ascii="Times New Roman" w:hAnsi="Times New Roman" w:cs="Times New Roman"/>
          <w:color w:val="auto"/>
          <w:highlight w:val="none"/>
        </w:rPr>
      </w:pPr>
      <w:bookmarkStart w:id="1216" w:name="_Toc14571"/>
      <w:bookmarkStart w:id="1217" w:name="_Toc518"/>
      <w:bookmarkStart w:id="1218" w:name="_Toc107413925"/>
      <w:bookmarkStart w:id="1219" w:name="_Toc26427"/>
      <w:bookmarkStart w:id="1220" w:name="_Toc492457116"/>
      <w:bookmarkStart w:id="1221" w:name="_Toc9825"/>
      <w:bookmarkStart w:id="1222" w:name="_Toc1518"/>
      <w:bookmarkStart w:id="1223" w:name="_Toc16527"/>
      <w:bookmarkStart w:id="1224" w:name="_Toc13052"/>
      <w:bookmarkStart w:id="1225" w:name="_Toc5843"/>
      <w:bookmarkStart w:id="1226" w:name="_Toc14092"/>
      <w:bookmarkStart w:id="1227" w:name="_Toc13147"/>
      <w:bookmarkStart w:id="1228" w:name="_Toc16762"/>
      <w:bookmarkStart w:id="1229" w:name="_Toc6306"/>
      <w:bookmarkStart w:id="1230" w:name="_Toc18295"/>
      <w:bookmarkStart w:id="1231" w:name="_Toc20840"/>
      <w:bookmarkStart w:id="1232" w:name="_Toc5124"/>
      <w:bookmarkStart w:id="1233" w:name="_Toc107414692"/>
      <w:bookmarkStart w:id="1234" w:name="_Toc482784736"/>
      <w:bookmarkStart w:id="1235" w:name="_Toc21537"/>
      <w:bookmarkStart w:id="1236" w:name="_Toc271"/>
      <w:r>
        <w:rPr>
          <w:rFonts w:hint="default" w:ascii="Times New Roman" w:hAnsi="Times New Roman" w:cs="Times New Roman"/>
          <w:color w:val="auto"/>
          <w:highlight w:val="none"/>
        </w:rPr>
        <w:t>9.</w:t>
      </w:r>
      <w:r>
        <w:rPr>
          <w:rFonts w:hint="eastAsia" w:cs="Times New Roman"/>
          <w:color w:val="auto"/>
          <w:highlight w:val="none"/>
          <w:lang w:val="en-US" w:eastAsia="zh-CN"/>
        </w:rPr>
        <w:t>10</w:t>
      </w:r>
      <w:r>
        <w:rPr>
          <w:rFonts w:hint="default" w:ascii="Times New Roman" w:hAnsi="Times New Roman" w:cs="Times New Roman"/>
          <w:color w:val="auto"/>
          <w:highlight w:val="none"/>
        </w:rPr>
        <w:t>建议</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14:paraId="02010307">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（1）企业应加强环保设施的日常管理、维护，建立健全环保设施的运行管理制度、定期检查制度、设备维护和检修制度，确保环保设施高效运行，尽量减少和避免事故排放情况发生。</w:t>
      </w:r>
    </w:p>
    <w:p w14:paraId="466BD4BB">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（2）工程在生产过程中应按国家规定实施严格管理，确保安全性，避免事故发生时对环境产生破坏性影响。</w:t>
      </w:r>
    </w:p>
    <w:p w14:paraId="0FFFFB5A">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（3）公司应当搞好日常环境监督管理，使</w:t>
      </w:r>
      <w:r>
        <w:rPr>
          <w:rFonts w:hint="eastAsia" w:ascii="Times New Roman" w:hAnsi="Times New Roman" w:cs="Times New Roman"/>
          <w:color w:val="auto"/>
          <w:kern w:val="0"/>
          <w:highlight w:val="none"/>
          <w:lang w:eastAsia="zh-CN"/>
        </w:rPr>
        <w:t>环境治理</w:t>
      </w:r>
      <w:r>
        <w:rPr>
          <w:rFonts w:hint="default" w:ascii="Times New Roman" w:hAnsi="Times New Roman" w:cs="Times New Roman"/>
          <w:color w:val="auto"/>
          <w:kern w:val="0"/>
          <w:highlight w:val="none"/>
        </w:rPr>
        <w:t>设施长期正常运行，</w:t>
      </w:r>
      <w:r>
        <w:rPr>
          <w:rFonts w:hint="eastAsia" w:ascii="Times New Roman" w:hAnsi="Times New Roman" w:cs="Times New Roman"/>
          <w:color w:val="auto"/>
          <w:kern w:val="0"/>
          <w:highlight w:val="none"/>
          <w:lang w:eastAsia="zh-CN"/>
        </w:rPr>
        <w:t>防止</w:t>
      </w:r>
      <w:r>
        <w:rPr>
          <w:rFonts w:hint="default" w:ascii="Times New Roman" w:hAnsi="Times New Roman" w:cs="Times New Roman"/>
          <w:color w:val="auto"/>
          <w:kern w:val="0"/>
          <w:highlight w:val="none"/>
        </w:rPr>
        <w:t>各类污染物非正常排放，确保各项污染物达标排放。规范各排污口管理、按环保部门要求设置相应标准等。</w:t>
      </w:r>
    </w:p>
    <w:p w14:paraId="6F1F4060">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（4）注意风险防范措施，及时修编相应的应急预案，并制定相应的风险防范演练。</w:t>
      </w:r>
    </w:p>
    <w:p w14:paraId="4526729D">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（5）生产区工作人员严格按防疫等部门落实生产过程中的防护措施，保护工作人员</w:t>
      </w:r>
      <w:r>
        <w:rPr>
          <w:rFonts w:hint="eastAsia" w:ascii="Times New Roman" w:hAnsi="Times New Roman" w:cs="Times New Roman"/>
          <w:color w:val="auto"/>
          <w:kern w:val="0"/>
          <w:highlight w:val="none"/>
          <w:lang w:eastAsia="zh-CN"/>
        </w:rPr>
        <w:t>的</w:t>
      </w:r>
      <w:r>
        <w:rPr>
          <w:rFonts w:hint="default" w:ascii="Times New Roman" w:hAnsi="Times New Roman" w:cs="Times New Roman"/>
          <w:color w:val="auto"/>
          <w:kern w:val="0"/>
          <w:highlight w:val="none"/>
        </w:rPr>
        <w:t>身体健康。</w:t>
      </w:r>
    </w:p>
    <w:p w14:paraId="74B8D910">
      <w:pPr>
        <w:overflowPunct w:val="0"/>
        <w:topLinePunct/>
        <w:spacing w:line="480" w:lineRule="exact"/>
        <w:ind w:firstLine="48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（6）项目必须严格执行“三同时”规定，有关环保设施必须与主体工程同时设计，同时施工，同时使用。</w:t>
      </w:r>
    </w:p>
    <w:p w14:paraId="7011173D">
      <w:pPr>
        <w:rPr>
          <w:color w:val="auto"/>
          <w:highlight w:val="none"/>
        </w:rPr>
      </w:pPr>
    </w:p>
    <w:p w14:paraId="41265064">
      <w:pPr>
        <w:rPr>
          <w:color w:val="auto"/>
          <w:highlight w:val="none"/>
        </w:rPr>
      </w:pPr>
    </w:p>
    <w:p w14:paraId="4C72B41B">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A344A10-4C10-4FFB-8B62-B26777AA5EB7}"/>
  </w:font>
  <w:font w:name="黑体">
    <w:panose1 w:val="02010609060101010101"/>
    <w:charset w:val="86"/>
    <w:family w:val="auto"/>
    <w:pitch w:val="default"/>
    <w:sig w:usb0="800002BF" w:usb1="38CF7CFA" w:usb2="00000016" w:usb3="00000000" w:csb0="00040001" w:csb1="00000000"/>
    <w:embedRegular r:id="rId2" w:fontKey="{925541EE-9BE2-475B-B8DB-FF7673B1429C}"/>
  </w:font>
  <w:font w:name="Courier New">
    <w:panose1 w:val="02070309020205020404"/>
    <w:charset w:val="01"/>
    <w:family w:val="modern"/>
    <w:pitch w:val="default"/>
    <w:sig w:usb0="E0002EFF" w:usb1="C0007843" w:usb2="00000009" w:usb3="00000000" w:csb0="400001FF" w:csb1="FFFF0000"/>
    <w:embedRegular r:id="rId3" w:fontKey="{9D92BFA0-3A59-4873-AB8A-71964918C08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4" w:fontKey="{7B8BBD69-BB1D-4F91-9860-8691F6956BFD}"/>
  </w:font>
  <w:font w:name="华文中宋">
    <w:panose1 w:val="02010600040101010101"/>
    <w:charset w:val="86"/>
    <w:family w:val="auto"/>
    <w:pitch w:val="default"/>
    <w:sig w:usb0="00000287" w:usb1="080F0000" w:usb2="00000000" w:usb3="00000000" w:csb0="0004009F" w:csb1="DFD70000"/>
    <w:embedRegular r:id="rId5" w:fontKey="{7D5715F7-913E-4EFD-8696-DEE5C56F22B7}"/>
  </w:font>
  <w:font w:name="Cambria Math">
    <w:panose1 w:val="02040503050406030204"/>
    <w:charset w:val="00"/>
    <w:family w:val="roman"/>
    <w:pitch w:val="default"/>
    <w:sig w:usb0="E00006FF" w:usb1="420024FF" w:usb2="02000000" w:usb3="00000000" w:csb0="2000019F" w:csb1="00000000"/>
    <w:embedRegular r:id="rId6" w:fontKey="{514AEC62-D7A7-45A6-9957-2CE7625AABAB}"/>
  </w:font>
  <w:font w:name="PMingLiU">
    <w:altName w:val="PMingLiU-ExtB"/>
    <w:panose1 w:val="02020500000000000000"/>
    <w:charset w:val="88"/>
    <w:family w:val="auto"/>
    <w:pitch w:val="default"/>
    <w:sig w:usb0="00000000" w:usb1="00000000" w:usb2="00000016" w:usb3="00000000" w:csb0="00100001" w:csb1="00000000"/>
    <w:embedRegular r:id="rId7" w:fontKey="{3F95E496-D567-4FBC-9EFC-80F8B9E34EFE}"/>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D78B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F436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43F436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94216">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4715E">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FD4715E">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ACE61">
    <w:pPr>
      <w:pStyle w:val="9"/>
      <w:rPr>
        <w:rFonts w:hint="eastAsia"/>
        <w:lang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36B56">
    <w:pPr>
      <w:pStyle w:val="9"/>
      <w:rPr>
        <w:rFonts w:hint="eastAsia"/>
        <w:lang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71B8C">
    <w:pPr>
      <w:pStyle w:val="9"/>
      <w:rPr>
        <w:rFonts w:hint="eastAsia"/>
        <w:lang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48748">
                          <w:pPr>
                            <w:pStyle w:val="9"/>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5048748">
                    <w:pPr>
                      <w:pStyle w:val="9"/>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E85F9">
    <w:pPr>
      <w:pStyle w:val="9"/>
      <w:rPr>
        <w:rFonts w:hint="eastAsia"/>
        <w:lang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BF60E">
                          <w:pPr>
                            <w:pStyle w:val="9"/>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19BF60E">
                    <w:pPr>
                      <w:pStyle w:val="9"/>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81A06">
    <w:pPr>
      <w:pBdr>
        <w:bottom w:val="none" w:color="auto" w:sz="0" w:space="1"/>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6BAC0">
    <w:pPr>
      <w:pBdr>
        <w:bottom w:val="none" w:color="auto" w:sz="0" w:space="1"/>
      </w:pBd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47286">
    <w:pPr>
      <w:pBdr>
        <w:bottom w:val="none" w:color="auto" w:sz="0" w:space="1"/>
      </w:pBdr>
      <w:tabs>
        <w:tab w:val="center" w:pos="4153"/>
        <w:tab w:val="right"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AF178">
    <w:pPr>
      <w:pBdr>
        <w:bottom w:val="none" w:color="auto" w:sz="0" w:space="1"/>
      </w:pBdr>
      <w:tabs>
        <w:tab w:val="center" w:pos="4153"/>
        <w:tab w:val="right" w:pos="8306"/>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4FB96">
    <w:pPr>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29A48">
    <w:pPr>
      <w:pBdr>
        <w:bottom w:val="none" w:color="auto" w:sz="0" w:space="1"/>
      </w:pBdr>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E2E7A">
    <w:pPr>
      <w:pBdr>
        <w:bottom w:val="none" w:color="auto" w:sz="0" w:space="1"/>
      </w:pBdr>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B9C1E">
    <w:pPr>
      <w:pBdr>
        <w:bottom w:val="none" w:color="auto" w:sz="0" w:space="1"/>
      </w:pBdr>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1462B">
    <w:pPr>
      <w:pBdr>
        <w:bottom w:val="none" w:color="auto" w:sz="0" w:space="1"/>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E67EE4"/>
    <w:rsid w:val="046F34E0"/>
    <w:rsid w:val="04A12049"/>
    <w:rsid w:val="075E34F6"/>
    <w:rsid w:val="093B5A55"/>
    <w:rsid w:val="0D17549D"/>
    <w:rsid w:val="0E2A2A1C"/>
    <w:rsid w:val="0EA22218"/>
    <w:rsid w:val="11066666"/>
    <w:rsid w:val="115C0855"/>
    <w:rsid w:val="11C26E22"/>
    <w:rsid w:val="140D5A28"/>
    <w:rsid w:val="17B9582D"/>
    <w:rsid w:val="17C5633F"/>
    <w:rsid w:val="1D823F25"/>
    <w:rsid w:val="1E152104"/>
    <w:rsid w:val="21330A85"/>
    <w:rsid w:val="21E67EE4"/>
    <w:rsid w:val="22687193"/>
    <w:rsid w:val="242A1B42"/>
    <w:rsid w:val="24C86606"/>
    <w:rsid w:val="262C1828"/>
    <w:rsid w:val="271A3F96"/>
    <w:rsid w:val="27662224"/>
    <w:rsid w:val="2A520056"/>
    <w:rsid w:val="2AE72F36"/>
    <w:rsid w:val="2B533204"/>
    <w:rsid w:val="2C3B0740"/>
    <w:rsid w:val="2C432C52"/>
    <w:rsid w:val="2C940562"/>
    <w:rsid w:val="2CB17F74"/>
    <w:rsid w:val="2EEB6874"/>
    <w:rsid w:val="2F8901C7"/>
    <w:rsid w:val="31732C6E"/>
    <w:rsid w:val="3821426A"/>
    <w:rsid w:val="3A2B3303"/>
    <w:rsid w:val="3E2C534C"/>
    <w:rsid w:val="3FC045AC"/>
    <w:rsid w:val="41082ECF"/>
    <w:rsid w:val="434D5E82"/>
    <w:rsid w:val="465A688A"/>
    <w:rsid w:val="46790A80"/>
    <w:rsid w:val="46BB18DE"/>
    <w:rsid w:val="4743001F"/>
    <w:rsid w:val="47E143C3"/>
    <w:rsid w:val="48305E79"/>
    <w:rsid w:val="4D005A38"/>
    <w:rsid w:val="4EBF0BAC"/>
    <w:rsid w:val="4FA730CE"/>
    <w:rsid w:val="502250BE"/>
    <w:rsid w:val="515131E5"/>
    <w:rsid w:val="51CB1B28"/>
    <w:rsid w:val="520D0F67"/>
    <w:rsid w:val="52A650BC"/>
    <w:rsid w:val="52A91BF1"/>
    <w:rsid w:val="5447611C"/>
    <w:rsid w:val="55254858"/>
    <w:rsid w:val="599B1691"/>
    <w:rsid w:val="5A0507C0"/>
    <w:rsid w:val="5AD42BA0"/>
    <w:rsid w:val="5B243716"/>
    <w:rsid w:val="5DAE1F36"/>
    <w:rsid w:val="616A625A"/>
    <w:rsid w:val="61D06F5C"/>
    <w:rsid w:val="629F5AF9"/>
    <w:rsid w:val="62FD7324"/>
    <w:rsid w:val="644C5CDE"/>
    <w:rsid w:val="6B9A08A6"/>
    <w:rsid w:val="6D6E7C26"/>
    <w:rsid w:val="6D883F76"/>
    <w:rsid w:val="70243B12"/>
    <w:rsid w:val="70B94D19"/>
    <w:rsid w:val="71FE4677"/>
    <w:rsid w:val="72A810E2"/>
    <w:rsid w:val="74725A15"/>
    <w:rsid w:val="7A335AAF"/>
    <w:rsid w:val="7F755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4">
    <w:name w:val="heading 1"/>
    <w:basedOn w:val="1"/>
    <w:next w:val="1"/>
    <w:qFormat/>
    <w:uiPriority w:val="0"/>
    <w:pPr>
      <w:keepNext/>
      <w:keepLines/>
      <w:spacing w:line="520" w:lineRule="exact"/>
      <w:ind w:firstLine="0" w:firstLineChars="0"/>
      <w:outlineLvl w:val="0"/>
    </w:pPr>
    <w:rPr>
      <w:rFonts w:ascii="Times New Roman" w:hAnsi="Times New Roman" w:eastAsia="宋体"/>
      <w:b/>
      <w:bCs/>
      <w:kern w:val="44"/>
      <w:sz w:val="32"/>
      <w:szCs w:val="36"/>
    </w:rPr>
  </w:style>
  <w:style w:type="paragraph" w:styleId="5">
    <w:name w:val="heading 2"/>
    <w:basedOn w:val="1"/>
    <w:next w:val="1"/>
    <w:qFormat/>
    <w:uiPriority w:val="0"/>
    <w:pPr>
      <w:keepNext/>
      <w:keepLines/>
      <w:adjustRightInd w:val="0"/>
      <w:snapToGrid w:val="0"/>
      <w:spacing w:line="520" w:lineRule="exact"/>
      <w:ind w:firstLine="0" w:firstLineChars="0"/>
      <w:outlineLvl w:val="1"/>
    </w:pPr>
    <w:rPr>
      <w:rFonts w:ascii="Times New Roman" w:hAnsi="Times New Roman" w:eastAsia="宋体"/>
      <w:b/>
      <w:bCs/>
      <w:sz w:val="30"/>
      <w:szCs w:val="32"/>
    </w:rPr>
  </w:style>
  <w:style w:type="paragraph" w:styleId="6">
    <w:name w:val="heading 3"/>
    <w:basedOn w:val="1"/>
    <w:next w:val="1"/>
    <w:unhideWhenUsed/>
    <w:qFormat/>
    <w:uiPriority w:val="0"/>
    <w:pPr>
      <w:keepNext/>
      <w:keepLines/>
      <w:spacing w:before="60" w:after="60"/>
      <w:ind w:firstLine="0" w:firstLineChars="0"/>
      <w:outlineLvl w:val="2"/>
    </w:pPr>
    <w:rPr>
      <w:rFonts w:ascii="Times New Roman" w:hAnsi="Times New Roman" w:eastAsia="宋体"/>
      <w:b/>
      <w:bCs/>
      <w:sz w:val="28"/>
      <w:szCs w:val="32"/>
    </w:rPr>
  </w:style>
  <w:style w:type="paragraph" w:styleId="7">
    <w:name w:val="heading 4"/>
    <w:basedOn w:val="1"/>
    <w:next w:val="1"/>
    <w:unhideWhenUsed/>
    <w:qFormat/>
    <w:uiPriority w:val="0"/>
    <w:pPr>
      <w:keepNext/>
      <w:keepLines/>
      <w:ind w:firstLine="723" w:firstLineChars="200"/>
      <w:outlineLvl w:val="3"/>
    </w:pPr>
    <w:rPr>
      <w:rFonts w:ascii="Times New Roman" w:hAnsi="Times New Roman" w:eastAsia="宋体"/>
      <w:b/>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pacing w:after="200"/>
      <w:jc w:val="center"/>
    </w:pPr>
    <w:rPr>
      <w:kern w:val="0"/>
      <w:sz w:val="20"/>
      <w:szCs w:val="20"/>
      <w:lang w:eastAsia="en-US" w:bidi="en-US"/>
    </w:rPr>
  </w:style>
  <w:style w:type="paragraph" w:styleId="3">
    <w:name w:val="Body Text 2"/>
    <w:basedOn w:val="1"/>
    <w:qFormat/>
    <w:uiPriority w:val="0"/>
    <w:pPr>
      <w:widowControl/>
      <w:spacing w:after="200"/>
      <w:jc w:val="left"/>
    </w:pPr>
    <w:rPr>
      <w:kern w:val="0"/>
      <w:sz w:val="22"/>
      <w:szCs w:val="20"/>
      <w:lang w:eastAsia="en-US" w:bidi="en-US"/>
    </w:rPr>
  </w:style>
  <w:style w:type="paragraph" w:styleId="8">
    <w:name w:val="annotation text"/>
    <w:basedOn w:val="1"/>
    <w:qFormat/>
    <w:uiPriority w:val="0"/>
    <w:pPr>
      <w:jc w:val="left"/>
    </w:pPr>
  </w:style>
  <w:style w:type="paragraph" w:styleId="9">
    <w:name w:val="footer"/>
    <w:basedOn w:val="1"/>
    <w:link w:val="20"/>
    <w:qFormat/>
    <w:uiPriority w:val="0"/>
    <w:pPr>
      <w:tabs>
        <w:tab w:val="center" w:pos="4153"/>
        <w:tab w:val="right" w:pos="8306"/>
      </w:tabs>
      <w:adjustRightInd w:val="0"/>
      <w:snapToGrid w:val="0"/>
      <w:spacing w:line="240" w:lineRule="auto"/>
      <w:ind w:firstLine="0" w:firstLineChars="0"/>
      <w:jc w:val="left"/>
    </w:pPr>
    <w:rPr>
      <w:rFonts w:ascii="Times New Roman" w:hAnsi="Times New Roman" w:eastAsia="宋体"/>
      <w:sz w:val="21"/>
    </w:rPr>
  </w:style>
  <w:style w:type="paragraph" w:styleId="10">
    <w:name w:val="toc 1"/>
    <w:basedOn w:val="1"/>
    <w:next w:val="1"/>
    <w:qFormat/>
    <w:uiPriority w:val="0"/>
  </w:style>
  <w:style w:type="paragraph" w:styleId="11">
    <w:name w:val="List"/>
    <w:basedOn w:val="1"/>
    <w:qFormat/>
    <w:uiPriority w:val="0"/>
    <w:pPr>
      <w:ind w:firstLine="1044"/>
    </w:pPr>
  </w:style>
  <w:style w:type="paragraph" w:styleId="12">
    <w:name w:val="toc 2"/>
    <w:basedOn w:val="1"/>
    <w:next w:val="1"/>
    <w:qFormat/>
    <w:uiPriority w:val="0"/>
    <w:pPr>
      <w:ind w:left="420" w:left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表内文字"/>
    <w:basedOn w:val="1"/>
    <w:qFormat/>
    <w:uiPriority w:val="0"/>
    <w:pPr>
      <w:adjustRightInd w:val="0"/>
      <w:snapToGrid w:val="0"/>
      <w:spacing w:line="240" w:lineRule="auto"/>
      <w:ind w:firstLine="0" w:firstLineChars="0"/>
      <w:jc w:val="center"/>
    </w:pPr>
    <w:rPr>
      <w:rFonts w:ascii="Times New Roman" w:hAnsi="Times New Roman" w:eastAsia="宋体"/>
      <w:sz w:val="21"/>
      <w:szCs w:val="21"/>
    </w:rPr>
  </w:style>
  <w:style w:type="table" w:customStyle="1" w:styleId="18">
    <w:name w:val="Table Normal"/>
    <w:semiHidden/>
    <w:qFormat/>
    <w:uiPriority w:val="2"/>
    <w:pPr>
      <w:widowControl w:val="0"/>
    </w:pPr>
    <w:rPr>
      <w:rFonts w:eastAsia="Times New Roman"/>
      <w:sz w:val="22"/>
      <w:szCs w:val="22"/>
      <w:lang w:eastAsia="en-US"/>
    </w:rPr>
    <w:tblPr>
      <w:tblCellMar>
        <w:top w:w="0" w:type="dxa"/>
        <w:left w:w="0" w:type="dxa"/>
        <w:bottom w:w="0" w:type="dxa"/>
        <w:right w:w="0" w:type="dxa"/>
      </w:tblCellMar>
    </w:tblPr>
  </w:style>
  <w:style w:type="paragraph" w:customStyle="1" w:styleId="19">
    <w:name w:val="表头"/>
    <w:next w:val="1"/>
    <w:qFormat/>
    <w:uiPriority w:val="0"/>
    <w:pPr>
      <w:spacing w:beforeLines="0" w:afterLines="0" w:line="480" w:lineRule="exact"/>
      <w:ind w:firstLine="0" w:firstLineChars="0"/>
      <w:jc w:val="center"/>
    </w:pPr>
    <w:rPr>
      <w:rFonts w:ascii="Times New Roman" w:hAnsi="Times New Roman" w:eastAsia="宋体" w:cs="Times New Roman"/>
      <w:b/>
      <w:sz w:val="24"/>
    </w:rPr>
  </w:style>
  <w:style w:type="character" w:customStyle="1" w:styleId="20">
    <w:name w:val="页脚 Char"/>
    <w:link w:val="9"/>
    <w:qFormat/>
    <w:uiPriority w:val="0"/>
    <w:rPr>
      <w:rFonts w:ascii="Times New Roman" w:hAnsi="Times New Roman" w:eastAsia="宋体"/>
      <w:sz w:val="21"/>
    </w:rPr>
  </w:style>
  <w:style w:type="paragraph" w:customStyle="1" w:styleId="21">
    <w:name w:val="表格内容"/>
    <w:basedOn w:val="1"/>
    <w:qFormat/>
    <w:uiPriority w:val="0"/>
    <w:pPr>
      <w:overflowPunct w:val="0"/>
      <w:spacing w:line="240" w:lineRule="auto"/>
      <w:ind w:firstLine="0" w:firstLineChars="0"/>
      <w:jc w:val="center"/>
      <w:textAlignment w:val="baseline"/>
    </w:pPr>
    <w:rPr>
      <w:rFonts w:ascii="Times New Roman" w:hAnsi="Times New Roman" w:eastAsia="宋体"/>
      <w:kern w:val="0"/>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4.xml"/><Relationship Id="rId76" Type="http://schemas.openxmlformats.org/officeDocument/2006/relationships/fontTable" Target="fontTable.xml"/><Relationship Id="rId75" Type="http://schemas.openxmlformats.org/officeDocument/2006/relationships/customXml" Target="../customXml/item2.xml"/><Relationship Id="rId74" Type="http://schemas.openxmlformats.org/officeDocument/2006/relationships/customXml" Target="../customXml/item1.xml"/><Relationship Id="rId73" Type="http://schemas.openxmlformats.org/officeDocument/2006/relationships/image" Target="media/image40.png"/><Relationship Id="rId72" Type="http://schemas.openxmlformats.org/officeDocument/2006/relationships/image" Target="media/image39.png"/><Relationship Id="rId71" Type="http://schemas.openxmlformats.org/officeDocument/2006/relationships/image" Target="media/image38.png"/><Relationship Id="rId70" Type="http://schemas.openxmlformats.org/officeDocument/2006/relationships/image" Target="media/image37.jpeg"/><Relationship Id="rId7" Type="http://schemas.openxmlformats.org/officeDocument/2006/relationships/header" Target="header3.xml"/><Relationship Id="rId69" Type="http://schemas.openxmlformats.org/officeDocument/2006/relationships/image" Target="media/image36.jpeg"/><Relationship Id="rId68" Type="http://schemas.openxmlformats.org/officeDocument/2006/relationships/image" Target="media/image35.jpeg"/><Relationship Id="rId67" Type="http://schemas.openxmlformats.org/officeDocument/2006/relationships/image" Target="media/image34.jpeg"/><Relationship Id="rId66" Type="http://schemas.openxmlformats.org/officeDocument/2006/relationships/image" Target="media/image33.jpeg"/><Relationship Id="rId65" Type="http://schemas.openxmlformats.org/officeDocument/2006/relationships/image" Target="media/image32.jpeg"/><Relationship Id="rId64" Type="http://schemas.openxmlformats.org/officeDocument/2006/relationships/image" Target="media/image31.wmf"/><Relationship Id="rId63" Type="http://schemas.openxmlformats.org/officeDocument/2006/relationships/image" Target="media/image30.wmf"/><Relationship Id="rId62" Type="http://schemas.openxmlformats.org/officeDocument/2006/relationships/oleObject" Target="embeddings/oleObject13.bin"/><Relationship Id="rId61" Type="http://schemas.openxmlformats.org/officeDocument/2006/relationships/image" Target="media/image29.wmf"/><Relationship Id="rId60" Type="http://schemas.openxmlformats.org/officeDocument/2006/relationships/oleObject" Target="embeddings/oleObject12.bin"/><Relationship Id="rId6" Type="http://schemas.openxmlformats.org/officeDocument/2006/relationships/header" Target="header2.xml"/><Relationship Id="rId59" Type="http://schemas.openxmlformats.org/officeDocument/2006/relationships/image" Target="media/image28.emf"/><Relationship Id="rId58" Type="http://schemas.openxmlformats.org/officeDocument/2006/relationships/oleObject" Target="embeddings/oleObject11.bin"/><Relationship Id="rId57" Type="http://schemas.openxmlformats.org/officeDocument/2006/relationships/image" Target="media/image27.png"/><Relationship Id="rId56" Type="http://schemas.openxmlformats.org/officeDocument/2006/relationships/image" Target="media/image26.wmf"/><Relationship Id="rId55" Type="http://schemas.openxmlformats.org/officeDocument/2006/relationships/oleObject" Target="embeddings/oleObject10.bin"/><Relationship Id="rId54" Type="http://schemas.openxmlformats.org/officeDocument/2006/relationships/image" Target="media/image25.wmf"/><Relationship Id="rId53" Type="http://schemas.openxmlformats.org/officeDocument/2006/relationships/oleObject" Target="embeddings/oleObject9.bin"/><Relationship Id="rId52" Type="http://schemas.openxmlformats.org/officeDocument/2006/relationships/image" Target="media/image24.wmf"/><Relationship Id="rId51" Type="http://schemas.openxmlformats.org/officeDocument/2006/relationships/oleObject" Target="embeddings/oleObject8.bin"/><Relationship Id="rId50" Type="http://schemas.openxmlformats.org/officeDocument/2006/relationships/image" Target="media/image23.wmf"/><Relationship Id="rId5" Type="http://schemas.openxmlformats.org/officeDocument/2006/relationships/header" Target="header1.xml"/><Relationship Id="rId49" Type="http://schemas.openxmlformats.org/officeDocument/2006/relationships/oleObject" Target="embeddings/oleObject7.bin"/><Relationship Id="rId48" Type="http://schemas.openxmlformats.org/officeDocument/2006/relationships/image" Target="media/image22.wmf"/><Relationship Id="rId47" Type="http://schemas.openxmlformats.org/officeDocument/2006/relationships/oleObject" Target="embeddings/oleObject6.bin"/><Relationship Id="rId46" Type="http://schemas.openxmlformats.org/officeDocument/2006/relationships/image" Target="media/image21.wmf"/><Relationship Id="rId45" Type="http://schemas.openxmlformats.org/officeDocument/2006/relationships/oleObject" Target="embeddings/oleObject5.bin"/><Relationship Id="rId44" Type="http://schemas.openxmlformats.org/officeDocument/2006/relationships/image" Target="media/image20.wmf"/><Relationship Id="rId43" Type="http://schemas.openxmlformats.org/officeDocument/2006/relationships/oleObject" Target="embeddings/oleObject4.bin"/><Relationship Id="rId42" Type="http://schemas.openxmlformats.org/officeDocument/2006/relationships/image" Target="media/image19.png"/><Relationship Id="rId41" Type="http://schemas.openxmlformats.org/officeDocument/2006/relationships/image" Target="media/image18.png"/><Relationship Id="rId40" Type="http://schemas.openxmlformats.org/officeDocument/2006/relationships/image" Target="media/image17.png"/><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emf"/><Relationship Id="rId37" Type="http://schemas.openxmlformats.org/officeDocument/2006/relationships/image" Target="media/image14.wmf"/><Relationship Id="rId36" Type="http://schemas.openxmlformats.org/officeDocument/2006/relationships/oleObject" Target="embeddings/oleObject3.bin"/><Relationship Id="rId35" Type="http://schemas.openxmlformats.org/officeDocument/2006/relationships/image" Target="media/image13.wmf"/><Relationship Id="rId34" Type="http://schemas.openxmlformats.org/officeDocument/2006/relationships/oleObject" Target="embeddings/oleObject2.bin"/><Relationship Id="rId33" Type="http://schemas.openxmlformats.org/officeDocument/2006/relationships/image" Target="media/image12.wmf"/><Relationship Id="rId32" Type="http://schemas.openxmlformats.org/officeDocument/2006/relationships/oleObject" Target="embeddings/oleObject1.bin"/><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6.xml"/><Relationship Id="rId18" Type="http://schemas.openxmlformats.org/officeDocument/2006/relationships/footer" Target="footer5.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4.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textRotate="1"/>
  </customShpExts>
  <extobjs>
    <extobj name="ECB019B1-382A-4266-B25C-5B523AA43C14-1">
      <extobjdata type="ECB019B1-382A-4266-B25C-5B523AA43C14" data="ewoJIkZpbGVJZCIgOiAiNTI2MDczMzM0NjE0IiwKCSJHcm91cElkIiA6ICIxMDQzNTE2OTM4IiwKCSJJbWFnZSIgOiAiIiwKCSJUaGVtZSIgOiAiIiwKCSJUeXBlIiA6ICJmbG93IiwKCSJVc2VySWQiIDogIiIsCgkiVmVyc2lvbiIgOiAiIgp9Cg=="/>
    </extobj>
    <extobj name="E657119C-6982-421D-8BA7-E74DEB70A7D9-2">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ek5EQWxNa01sTWpKemFHOTNSM0pwWkNVeU1pVXpRWFJ5ZFdVbE1rTWxNakp5YVdOb1ZHVjRkQ1V5TWlVelFYUnlkV1VsTWtNbE1qSm9aV2xuYUhRbE1qSWxNMEV4TURBd0pUZEVKVEpESlRJeVpXeGxiV1Z1ZEhNbE1qSWxNMEVsTjBJbE1qSlFlRUpCU2xWR1IwSlNPVFUwTWpZeEpUSXlKVE5CSlRkQ0pUSXlhV1FsTWpJbE0wRWxNakpRZUVKQlNsVkdSMEpTT1RVME1qWXh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rYzJ4MVRtVm9XazlSTmpNM05UTTBKVEl5SlRkRUpUSkRKVGRDSlRJeWJtRnRaU1V5TWlVelFTVXlNaVZGTlNVNU1DVTRSQ1ZGTnlWQk55VkNNQ1V5TWlVeVF5VXlNblI1Y0dVbE1qSWxNMEVsTWpKemRISnBibWNsTWpJbE1rTWxNakoyWVd4MVpTVXlNaVV6UVNVeU1pVXlNaVV5UXlVeU1tTmhkR1ZuYjNKNUpUSXlKVE5CSlRJeVpHVm1ZWFZzZENVeU1pVXlReVV5TW1sa0pUSXlKVE5CSlRJeWFXaEJaMlpLUVZWSGNEQTJOamcyTl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d0pUSkRKVEl5ZVNVeU1pVXpRVEFsTWtNbE1qSjNKVEl5SlROQkpUSXlkeVV5TWlVeVF5VXlNbWdsTWpJbE0wRWxNakpvSlRJeUpUZEVKVEpESlRJeWRHVjRkQ1V5TWlVelFTVXlNaVZGTlNWQ055VkJOU1ZGTkNWQ09DVTVRU1ZGTmlWQ01DVkNOQ1ZGTnlVNFJTVkNRaVZGTnlVNU1pVTRNeVZGTXlVNE1DVTRNU1ZGTmlWQ01DVkN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sVlpTVlpFYzJ0SFIyZzJNREV3TkRNbE1qSWxNMEVsTjBJbE1qSnBaQ1V5TWlVelFTVXlNbFZaU1ZaRWMydEhSMmcyTURFd05ETWxNaklsTWtNbE1qSnVZVzFsSlRJeUpUTkJKVEl5ZEdWNGRDVXlNaVV5UXlVeU1uUnBkR3hsSlRJeUpUTkJKVEl5SlVVMkpUazJKVGczSlVVMkpUbERKVUZE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mhvWWtkRGQwTmpkbU16TlRFME5qa2xNaklsTjBRbE1rTWxOMElsTWpKdVlXMWxKVEl5SlROQkpUSXlKVVUxSlRrd0pUaEVKVVUzSlVFM0pVSXdKVEl5SlRKREpUSXlkSGx3WlNVeU1pVXpRU1V5TW5OMGNtbHVaeVV5TWlVeVF5VXlNblpoYkhWbEpUSXlKVE5CSlRJeUpUSXlKVEpESlRJeVkyRjBaV2R2Y25rbE1qSWxNMEVsTWpKa1pXWmhkV3gwSlRJeUpUSkRKVEl5YVdRbE1qSWxNMEVsTWpKc1QxZExiV1pHVkdaME5URXhNakl6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zYVc1bFUzUjViR1VsTWpJbE0wRWxOMElsTWpKc2FXNWxWMmxrZEdnbE1qSWxNMEV3SlRkRUpUSkRKVEl5Wm1sc2JGTjBlV3hsSlRJeUpUTkJKVGRDSlRJeWRIbHdaU1V5TWlVelFTVXlNbTV2Ym1VbE1qSWxOMFFsTWtN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BbE1rTWxNako1SlRJeUpUTkJNQ1V5UXlVeU1uY2xNaklsTTBFbE1qSjNKVEl5SlRKREpUSXlhQ1V5TWlVelFTVXlNbWdsTWpJbE4wUWxNa01sTWpKMFpYaDBKVEl5SlROQkpUSXlPVE1sTWpVbFJUWWxRalVsT1RNbFJUY2xRVEVsUVVJbFJUa2xPRFVsUWpnbFJUTWxPREFsT0RFbFJUWWxRakFsUWp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zWkZObmVFbEVSRnBKTnpneE9UVXpKVEl5SlROQkpUZENKVEl5YVdRbE1qSWxNMEVsTWpKc1pGTm5lRWxFUkZwSk56Z3hPVFV6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3hvUVdSTVZGaE5SWGN6TVRNd01UY2xNaklsTjBRbE1rTWxOMElsTWpKdVlXMWxKVEl5SlROQkpUSXlKVVUxSlRrd0pUaEVKVVUzSlVFM0pVSXdKVEl5SlRKREpUSXlkSGx3WlNVeU1pVXpRU1V5TW5OMGNtbHVaeVV5TWlVeVF5VXlNblpoYkhWbEpUSXlKVE5CSlRJeUpUSXlKVEpESlRJeVkyRjBaV2R2Y25rbE1qSWxNMEVsTWpKa1pXWmhkV3gwSlRJeUpUSkRKVEl5YVdRbE1qSWxNMEVsTWpKUWNYRmlRM054ZW5Odk1EUXdOemc0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GNsUVRnbE9EQWxSVGtsT0RjbE9FR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SWIzRmlia3hIVW1aU05EQTBPVFl5SlRJeUpUTkJKVGRDSlRJeWFXUWxNaklsTTBFbE1qSkliM0ZpYmt4SFVtWlNOREEwT1RZeU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1wQ1ZVUnVZVnBaYkVNME5EVTNNakFsTWpJbE4wUWxNa01sTjBJbE1qSnVZVzFsSlRJeUpUTkJKVEl5SlVVMUpUa3dKVGhFSlVVM0pVRTNKVUl3SlRJeUpUSkRKVEl5ZEhsd1pTVXlNaVV6UVNVeU1uTjBjbWx1WnlVeU1pVXlReVV5TW5aaGJIVmxKVEl5SlROQkpUSXlKVEl5SlRKREpUSXlZMkYwWldkdmNua2xNaklsTTBFbE1qSmtaV1poZFd4MEpUSXlKVEpESlRJeWFXUWxNaklsTTBFbE1qSldRbXh1YlVocVUyaEpNekF6TnpBMk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jbFFUZ2xPREFsUlRrbE9EY2xPRUV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VjSEZWYzFkWVQxQjVPREl5TURNMkpUSXlKVE5CSlRkQ0pUSXlhV1FsTWpJbE0wRWxNakpFY0hGVmMxZFlUMUI1T0RJeU1ETTJ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QlRRbVprUVVaa1RXUTNNelUxTVRrbE1qSWxOMFFsTWtNbE4wSWxNakp1WVcxbEpUSXlKVE5CSlRJeUpVVTFKVGt3SlRoRUpVVTNKVUUzSlVJd0pUSXlKVEpESlRJeWRIbHdaU1V5TWlVelFTVXlNbk4wY21sdVp5VXlNaVV5UXlVeU1uWmhiSFZsSlRJeUpUTkJKVEl5SlRJeUpUSkRKVEl5WTJGMFpXZHZjbmtsTWpJbE0wRWxNakprWldaaGRXeDBKVEl5SlRKREpUSXlhV1FsTWpJbE0wRWxNakpJVmxGdWVVdENhRlJIT1RZeU1qSTV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Ua3dKVGcxSlVVMkpUaENKVGhE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jWGgwWldOM1ZHSkJUamczTnpjMU5TVXlNaVV6UVNVM1FpVXlNbWxrSlRJeUpUTkJKVEl5Y1hoMFpXTjNWR0pCVGpnM056YzFO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mpka0pCVFVaMFRuWnhOemcxT0RJNUpUSXlKVGRFSlRKREpUZENKVEl5Ym1GdFpTVXlNaVV6UVNVeU1pVkZOU1U1TUNVNFJDVkZOeVZCTnlWQ01DVXlNaVV5UXlVeU1uUjVjR1VsTWpJbE0wRWxNakp6ZEhKcGJtY2xNaklsTWtNbE1qSjJZV3gxWlNVeU1pVXpRU1V5TWlVeU1pVXlReVV5TW1OaGRHVm5iM0o1SlRJeUpUTkJKVEl5WkdWbVlYVnNkQ1V5TWlVeVF5VXlNbWxrSlRJeUpUTkJKVEl5VjFGeGQweHdkbkpuUmpJeU5URXhN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VKVGxFSlRrNUpVVTNKVUpFSlVG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ZDFCT1JWVkVjbmxXUmpFME5UZzBOU1V5TWlVelFTVTNRaVV5TW1sa0pUSXlKVE5CSlRJeWQxQk9SVlZFY25sV1JqRTBOVGcwTlN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NrWk1lRWxSWVZKdGJUZzVNVGN6TUNVeU1pVTNSQ1V5UXlVM1FpVXlNbTVoYldVbE1qSWxNMEVsTWpJbFJUVWxPVEFsT0VRbFJUY2xRVGNsUWpBbE1qSWxNa01sTWpKMGVYQmxKVEl5SlROQkpUSXljM1J5YVc1bkpUSXlKVEpESlRJeWRtRnNkV1VsTWpJbE0wRWxNaklsTWpJbE1rTWxNakpqWVhSbFoyOXllU1V5TWlVelFTVXlNbVJsWm1GMWJIUWxNaklsTWtNbE1qSnBaQ1V5TWlVelFTVXlNa05JWm0xUWJHbFRSMVkxTnpFM01E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3SlRKREpUSXllU1V5TWlVelFUQWxNa01sTWpKM0pUSXlKVE5CSlRJeWR5VXlNaVV5UXlVeU1tZ2xNaklsTTBFbE1qSm9KVEl5SlRkRUpUSkRKVEl5ZEdWNGRDVXlNaVV6UVNVeU1pVkZOaVZDTlNWQlJTVkZPU1U0TUNVNE9TVkZOU1ZDTnlWQk5TVkZOU1ZDUVNVNFJ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oSmMyZDBkbTlMUWxvMk5qZzRORElsTWpJbE0wRWxOMElsTWpKd1lYSmxiblFsTWpJbE0wRWxNaklsTWpJbE1rT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VZGTlNVNVFpVkNSU1ZGTkNWQ1JTVTRRaVV6UTJScGRpVXpSVWNsUlRJbE9EQWxPVFFsUlRVbFFrRWxPVVlsUlRZbFFqQWxPVFFsTTBNbE1rWmthWFlsTTBVbE0wTmthWFlsTTBWWEpVVXlKVGd3SlRrMEpVVTFKVUpCSlRsR0pVVTJKVUl3SlVJMEpUTkRKVEpHWkdsMkpUTkZKVE5EWkdsMkpUTkZUaVZGTWlVNE1DVTVOQ1ZGTlNVNU9TVkJRU1ZGTlNWQk15VkNNQ1V6UXlVeVJtUnBkaVV6UlNVelEyUnBkaVV6UlZNbFJUSWxPREFsT1RRbFJUVWxPVUlsUWtFbFJUVWxRa0VsT1VZbE0wTWxNa1prYVhZbE0w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VjJsa2RHZ2xNaklsTTBFeExqV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jBRbE1rTWxNakowYUdWdFpTVXlNaVV6UVNVM1FpVTNSQ1V5UXlVeU1tbGtKVEl5SlROQkpUSXllRWx6WjNSMmIwdENXalkyT0RnME1p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nlaVVZrY0c1TlQxRmtOalE1TkRJMEpUSXlKVE5CSlRkQ0pUSXlhV1FsTWpJbE0wRWxNakp5WlVWa2NHNU5UMUZrTmpRNU5ESTBKVEl5SlRKREpUSXlibUZ0WlNVeU1pVXpRU1V5TW5SbGVIUWxNaklsTWtNbE1qSjBhWFJzWlNVeU1pVXpRU1V5TWlWRk5pVTVOaVU0TnlWRk5pVTVReVZCUX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xVDBwUGFYZHBkM05hT1RRMU5EZzFKVEl5SlRkRUpUSkRKVGRDSlRJeWJtRnRaU1V5TWlVelFTVXlNaVZGTlNVNU1DVTRSQ1ZGTnlWQk55VkNNQ1V5TWlVeVF5VXlNblI1Y0dVbE1qSWxNMEVsTWpKemRISnBibWNsTWpJbE1rTWxNakoyWVd4MVpTVXlNaVV6UVNVeU1pVXlNaVV5UXlVeU1tTmhkR1ZuYjNKNUpUSXlKVE5CSlRJeVpHVm1ZWFZzZENVeU1pVXlReVV5TW1sa0pUSXlKVE5CSlRJeVUyNU5lVXQyV0ZOd1pESXpOakV4TU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Q1V5UXlVeU1ua2xNaklsTTBFd0pUSkRKVEl5ZHlVeU1pVXpRU1V5TW5jbE1qSWxNa01sTWpKb0pUSXlKVE5CSlRJeWFDVXlNaVUzUkNVeVF5VXlNblJsZUhRbE1qSWxNMEVsTWpKT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Ylc5TVkySjRVMlpsVlRRNU16VXdNaVV5TWlVelFTVTNRaVV5TW1sa0pUSXlKVE5CSlRJeWJXOU1ZMko0VTJabFZUUTVNelV3TWlVeU1pVXlReVV5TW01aGJXVWxNaklsTTBFbE1qSjBaWGgwSlRJeUpUSkRKVEl5ZEdsMGJHVWxNaklsTTBFbE1qSWxSVFlsT1RZbE9EY2xSVFlsT1VNbFFVT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RHWmpjVWhHVDJkVlRUUTJOelF3TWlVeU1pVTNSQ1V5UXlVM1FpVXlNbTVoYldVbE1qSWxNMEVsTWpJbFJUVWxPVEFsT0VRbFJUY2xRVGNsUWpBbE1qSWxNa01sTWpKMGVYQmxKVEl5SlROQkpUSXljM1J5YVc1bkpUSXlKVEpESlRJeWRtRnNkV1VsTWpJbE0wRWxNaklsTWpJbE1rTWxNakpqWVhSbFoyOXllU1V5TWlVelFTVXlNbVJsWm1GMWJIUWxNaklsTWtNbE1qSnBaQ1V5TWlVelFTVXlNbkp1YW5GMlIxaFdURUV5TVRBME1E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XhwYm1WVGRIbHNaU1V5TWlVelFTVTNRaVV5TW14cGJtVlhhV1IwYUNVeU1pVXpRVEFsTjBRbE1rTWxNakptYVd4c1UzUjViR1VsTWpJbE0wRWxOMElsTWpKMGVYQmxKVEl5SlROQkpUSXlibTl1WlNVeU1pVTNSQ1V5UX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UNVeVF5VXlNbmtsTWpJbE0wRXdKVEpESlRJeWR5VXlNaVV6UVNVeU1uY2xNaklsTWtNbE1qSm9KVEl5SlROQkpUSXlhQ1V5TWlVM1JDVXlReVV5TW5SbGVIUWxNaklsTTBFbE1qSkhKVVV6SlRnd0pUZ3hU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aFNXRTlXU1VSd1FtRXdOamcyTWpVbE1qSWxNMEVsTjBJbE1qSnBaQ1V5TWlVelFTVXlNbmhTV0U5V1NVUndRbUV3TmpnMk1qVWxNaklsTWtNbE1qSnVZVzFsSlRJeUpUTkJKVEl5ZEdWNGRDVXlNaVV5UXlVeU1uUnBkR3hsSlRJeUpUTkJKVEl5SlVVMkpUazJKVGczSlVVMkpUbERKVUZE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HB2ZGxKV1ZuSk1ha1F4T0RrMU5UY2xNaklsTjBRbE1rTWxOMElsTWpKdVlXMWxKVEl5SlROQkpUSXlKVVUxSlRrd0pUaEVKVVUzSlVFM0pVSXdKVEl5SlRKREpUSXlkSGx3WlNVeU1pVXpRU1V5TW5OMGNtbHVaeVV5TWlVeVF5VXlNblpoYkhWbEpUSXlKVE5CSlRJeUpUSXlKVEpESlRJeVkyRjBaV2R2Y25rbE1qSWxNMEVsTWpKa1pXWmhkV3gwSlRJeUpUSkRKVEl5YVdRbE1qSWxNMEVsTWpKaVRtbDBTRXBFYjJSTE9URXhNRFEx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WJHbHVaVk4wZVd4bEpUSXlKVE5CSlRkQ0pUSXliR2x1WlZkcFpIUm9KVEl5SlROQk1DVTNSQ1V5UXlVeU1tWnBiR3hUZEhsc1pTVXlNaVV6UVNVM1FpVXlNblI1Y0dVbE1qSWxNMEVsTWpKdWIyNWxKVEl5SlRkRUpUSkR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dKVEpESlRJeWVTVXlNaVV6UVRBbE1rTWxNakozSlRJeUpUTkJKVEl5ZHlVeU1pVXlReVV5TW1nbE1qSWxNMEVsTWpKb0pUSXlKVGRFSlRKREpUSXlkR1Y0ZENVeU1pVXpRU1V5TWs0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"/>
    </extobj>
    <extobj name="ECB019B1-382A-4266-B25C-5B523AA43C14-3">
      <extobjdata type="ECB019B1-382A-4266-B25C-5B523AA43C14" data="ewoJIkZpbGVJZCIgOiAiNTE5MTU3MDEyODYwIiwKCSJHcm91cElkIiA6ICIxMDQzNTE2OTM4IiwKCSJJbWFnZSIgOiAiIiwKCSJUaGVtZSIgOiAiIiwKCSJUeXBlIiA6ICJmbG93IiwKCSJVc2VySWQiIDogIiIsCgkiVmVyc2lvbiIgOiAiIgp9Cg=="/>
    </extobj>
  </extobjs>
</s:customData>
</file>

<file path=customXml/item2.xml><?xml version="1.0" encoding="utf-8"?>
<contractReview xmlns="http://schemas.wps.cn/vas-ai-hub/contract-review">
  <reviewItems>
    <reviewItem>
      <errorID>f1b64798-fcbe-4c7c-97a9-f9d4f3db319a</errorID>
      <errorWord>~</errorWord>
      <group>L1_Format</group>
      <groupName>格式问题</groupName>
      <ability>L2_HalfPunc_CN</ability>
      <abilityName>全半角问题</abilityName>
      <candidateList>
        <item>～</item>
      </candidateList>
      <explain>文本全半角错误。</explain>
      <paraID>7C686E1D</paraID>
      <start>286</start>
      <end>287</end>
      <status>unmodified</status>
      <modifiedWord/>
      <trackRevisions>false</trackRevisions>
    </reviewItem>
    <reviewItem>
      <errorID>56e51a01-a6c0-4d35-9dc0-403eb8f17acc</errorID>
      <errorWord> </errorWord>
      <group>L1_Word</group>
      <groupName>字词问题</groupName>
      <ability>L2_Typo</ability>
      <abilityName>字词错误</abilityName>
      <candidateList>
        <item>°</item>
      </candidateList>
      <explain/>
      <paraID>587E0958</paraID>
      <start>122</start>
      <end>123</end>
      <status>unmodified</status>
      <modifiedWord/>
      <trackRevisions>false</trackRevisions>
    </reviewItem>
    <reviewItem>
      <errorID>573c1e5a-c668-4245-8dcf-1184c5ff6dac</errorID>
      <errorWord>SiO2</errorWord>
      <group>L1_Word</group>
      <groupName>字词问题</groupName>
      <ability>L2_Typo</ability>
      <abilityName>字词错误</abilityName>
      <candidateList>
        <item>（SiO₂</item>
      </candidateList>
      <explain/>
      <paraID>2FD07286</paraID>
      <start>47</start>
      <end>51</end>
      <status>unmodified</status>
      <modifiedWord/>
      <trackRevisions>false</trackRevisions>
    </reviewItem>
    <reviewItem>
      <errorID>173206b9-e387-4115-ad10-e223ed71ca57</errorID>
      <errorWord>CaCO3</errorWord>
      <group>L1_Word</group>
      <groupName>字词问题</groupName>
      <ability>L2_Typo</ability>
      <abilityName>字词错误</abilityName>
      <candidateList>
        <item>CaCO₃</item>
      </candidateList>
      <explain/>
      <paraID>2FD07286</paraID>
      <start>52</start>
      <end>57</end>
      <status>unmodified</status>
      <modifiedWord/>
      <trackRevisions>false</trackRevisions>
    </reviewItem>
    <reviewItem>
      <errorID>404118a6-327c-4046-9dbd-f8dfd658ebc4</errorID>
      <errorWord>均</errorWord>
      <group>L1_Punc</group>
      <groupName>标点问题</groupName>
      <ability>L2_Punc_CN</ability>
      <abilityName>标点符号问题</abilityName>
      <candidateList>
        <item>）均</item>
      </candidateList>
      <explain/>
      <paraID>2FD07286</paraID>
      <start>65</start>
      <end>66</end>
      <status>unmodified</status>
      <modifiedWord/>
      <trackRevisions>false</trackRevisions>
    </reviewItem>
    <reviewItem>
      <errorID>1d8da1f3-ca17-4dc8-a477-dc8b02306a7d</errorID>
      <errorWord>T5217</errorWord>
      <group>L1_Word</group>
      <groupName>字词问题</groupName>
      <ability>L2_Typo</ability>
      <abilityName>字词错误</abilityName>
      <candidateList>
        <item>T 5217</item>
      </candidateList>
      <explain/>
      <paraID>2FD07286</paraID>
      <start>75</start>
      <end>80</end>
      <status>unmodified</status>
      <modifiedWord/>
      <trackRevisions>false</trackRevisions>
    </reviewItem>
    <reviewItem>
      <errorID>c00e59b4-eff1-4c88-968c-cd628c449731</errorID>
      <errorWord>m3，有效库容1443.67万m3</errorWord>
      <group>L1_Word</group>
      <groupName>字词问题</groupName>
      <ability>L2_Typo</ability>
      <abilityName>字词错误</abilityName>
      <candidateList>
        <item>m³，有效库容1443.67万m³</item>
      </candidateList>
      <explain/>
      <paraID>1FBD47AE</paraID>
      <start>46</start>
      <end>63</end>
      <status>unmodified</status>
      <modifiedWord/>
      <trackRevisions>false</trackRevisions>
    </reviewItem>
    <reviewItem>
      <errorID>126eb175-cf54-4254-8dd8-169543167a78</errorID>
      <errorWord>78hm2</errorWord>
      <group>L1_Word</group>
      <groupName>字词问题</groupName>
      <ability>L2_Typo</ability>
      <abilityName>字词错误</abilityName>
      <candidateList>
        <item>78hm²</item>
      </candidateList>
      <explain/>
      <paraID>1FBD47AE</paraID>
      <start>76</start>
      <end>81</end>
      <status>unmodified</status>
      <modifiedWord/>
      <trackRevisions>false</trackRevisions>
    </reviewItem>
    <reviewItem>
      <errorID>b367ca6b-4cf6-46f3-ac29-db6e20915540</errorID>
      <errorWord>》</errorWord>
      <group>L1_Word</group>
      <groupName>字词问题</groupName>
      <ability>L2_Typo</ability>
      <abilityName>字词错误</abilityName>
      <candidateList>
        <item>》和</item>
      </candidateList>
      <explain/>
      <paraID>299CF2BB</paraID>
      <start>16</start>
      <end>18</end>
      <status>modified</status>
      <modifiedWord>》和</modifiedWord>
      <trackRevisions>false</trackRevisions>
    </reviewItem>
    <reviewItem>
      <errorID>8f8b0315-8e63-40ba-98a6-29c3a50ea228</errorID>
      <errorWord>及</errorWord>
      <group>L1_Word</group>
      <groupName>字词问题</groupName>
      <ability>L2_Typo</ability>
      <abilityName>字词错误</abilityName>
      <candidateList>
        <item>以及</item>
      </candidateList>
      <explain/>
      <paraID>299CF2BB</paraID>
      <start>46</start>
      <end>48</end>
      <status>modified</status>
      <modifiedWord>以及</modifiedWord>
      <trackRevisions>false</trackRevisions>
    </reviewItem>
    <reviewItem>
      <errorID>874f111d-a590-42bb-9679-a9ac5e0e8881</errorID>
      <errorWord>、</errorWord>
      <group>L1_Word</group>
      <groupName>字词问题</groupName>
      <ability>L2_Typo</ability>
      <abilityName>字词错误</abilityName>
      <candidateList>
        <item>以及</item>
      </candidateList>
      <explain/>
      <paraID> B8C07C6</paraID>
      <start>47</start>
      <end>49</end>
      <status>modified</status>
      <modifiedWord>以及</modifiedWord>
      <trackRevisions>false</trackRevisions>
    </reviewItem>
    <reviewItem>
      <errorID>2f24e427-0685-416b-9d18-f5012a64cbaa</errorID>
      <errorWord>-</errorWord>
      <group>L1_Format</group>
      <groupName>格式问题</groupName>
      <ability>L2_HalfPunc_CN</ability>
      <abilityName>全半角问题</abilityName>
      <candidateList>
        <item>－</item>
      </candidateList>
      <explain>文本全半角错误。</explain>
      <paraID>2CAF49C6</paraID>
      <start>38</start>
      <end>39</end>
      <status>unmodified</status>
      <modifiedWord/>
      <trackRevisions>false</trackRevisions>
    </reviewItem>
    <reviewItem>
      <errorID>b77ac3ba-e0d1-4e7c-b0c5-8735e497eafa</errorID>
      <errorWord>2025</errorWord>
      <group>L1_Word</group>
      <groupName>字词问题</groupName>
      <ability>L2_Typo</ability>
      <abilityName>字词错误</abilityName>
      <candidateList>
        <item>2022</item>
      </candidateList>
      <explain/>
      <paraID>7D8320EB</paraID>
      <start>44</start>
      <end>48</end>
      <status>unmodified</status>
      <modifiedWord/>
      <trackRevisions>false</trackRevisions>
    </reviewItem>
    <reviewItem>
      <errorID>6b386cad-de90-4eb2-9190-11b7eb10f8f3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7DFBAA81</paraID>
      <start>82</start>
      <end>83</end>
      <status>unmodified</status>
      <modifiedWord/>
      <trackRevisions>false</trackRevisions>
    </reviewItem>
    <reviewItem>
      <errorID>98fa4809-81aa-4923-9894-7d1a381aaeb9</errorID>
      <errorWord>系统</errorWord>
      <group>L1_Word</group>
      <groupName>字词问题</groupName>
      <ability>L2_Typo</ability>
      <abilityName>字词错误</abilityName>
      <candidateList>
        <item>体系</item>
      </candidateList>
      <explain/>
      <paraID> F007DD3</paraID>
      <start>75</start>
      <end>77</end>
      <status>unmodified</status>
      <modifiedWord/>
      <trackRevisions>false</trackRevisions>
    </reviewItem>
    <reviewItem>
      <errorID>38daa7fe-d941-4c80-8a0f-00243de027e0</errorID>
      <errorWord>〔A4.5-1〕</errorWord>
      <group>L1_Punc</group>
      <groupName>标点问题</groupName>
      <ability>L2_Punc_CN</ability>
      <abilityName>标点符号问题</abilityName>
      <candidateList>
        <item>[A4.5-1]</item>
      </candidateList>
      <explain/>
      <paraID>6F464E6F</paraID>
      <start>0</start>
      <end>8</end>
      <status>unmodified</status>
      <modifiedWord/>
      <trackRevisions>false</trackRevisions>
    </reviewItem>
    <reviewItem>
      <errorID>30e10262-5e41-4a66-9747-e0982427ed1d</errorID>
      <errorWord>生态红线</errorWord>
      <group>L1_Political</group>
      <groupName>政治性问题</groupName>
      <ability>L2_Unpolitical</ability>
      <abilityName>政治敏感错误</abilityName>
      <candidateList>
        <item>生态保护红线</item>
      </candidateList>
      <explain/>
      <paraID>389D87B8</paraID>
      <start>5</start>
      <end>9</end>
      <status>unmodified</status>
      <modifiedWord/>
      <trackRevisions>false</trackRevisions>
    </reviewItem>
    <reviewItem>
      <errorID>09665ee6-0259-42ef-a4dc-ad355ba6a685</errorID>
      <errorWord>（</errorWord>
      <group>L1_Format</group>
      <groupName>格式问题</groupName>
      <ability>L2_HalfPunc_CN</ability>
      <abilityName>全半角问题</abilityName>
      <candidateList>
        <item>(</item>
      </candidateList>
      <explain>文本全半角错误。</explain>
      <paraID>5CDBDB74</paraID>
      <start>0</start>
      <end>1</end>
      <status>unmodified</status>
      <modifiedWord/>
      <trackRevisions>false</trackRevisions>
    </reviewItem>
    <reviewItem>
      <errorID>b596e44d-d39f-44c8-ad49-7d7f57fcfc2a</errorID>
      <errorWord>）</errorWord>
      <group>L1_Format</group>
      <groupName>格式问题</groupName>
      <ability>L2_HalfPunc_CN</ability>
      <abilityName>全半角问题</abilityName>
      <candidateList>
        <item>)</item>
      </candidateList>
      <explain>文本全半角错误。</explain>
      <paraID>5CDBDB74</paraID>
      <start>14</start>
      <end>15</end>
      <status>unmodified</status>
      <modifiedWord/>
      <trackRevisions>false</trackRevisions>
    </reviewItem>
    <reviewItem>
      <errorID>566bdf34-2b37-41a5-84d2-8f5f2f71db43</errorID>
      <errorWord>运用</errorWord>
      <group>L1_Word</group>
      <groupName>字词问题</groupName>
      <ability>L2_Typo</ability>
      <abilityName>字词错误</abilityName>
      <candidateList>
        <item>利用</item>
      </candidateList>
      <explain/>
      <paraID>10C976B7</paraID>
      <start>132</start>
      <end>134</end>
      <status>unmodified</status>
      <modifiedWord/>
      <trackRevisions>false</trackRevisions>
    </reviewItem>
    <reviewItem>
      <errorID>518ecbcc-d309-413c-b41f-d989f1d18ab7</errorID>
      <errorWord> </errorWord>
      <group>L1_Punc</group>
      <groupName>标点问题</groupName>
      <ability>L2_Punc_CN</ability>
      <abilityName>标点符号问题</abilityName>
      <candidateList>
        <item>/</item>
      </candidateList>
      <explain/>
      <paraID>5E5B0D72</paraID>
      <start>138</start>
      <end>139</end>
      <status>unmodified</status>
      <modifiedWord/>
      <trackRevisions>false</trackRevisions>
    </reviewItem>
    <reviewItem>
      <errorID>d9997395-b145-4175-b016-428b759854cf</errorID>
      <errorWord>-</errorWord>
      <group>L1_Format</group>
      <groupName>格式问题</groupName>
      <ability>L2_HalfPunc_CN</ability>
      <abilityName>全半角问题</abilityName>
      <candidateList>
        <item>－</item>
      </candidateList>
      <explain>文本全半角错误。</explain>
      <paraID>6AB4F4AE</paraID>
      <start>63</start>
      <end>64</end>
      <status>unmodified</status>
      <modifiedWord/>
      <trackRevisions>false</trackRevisions>
    </reviewItem>
    <reviewItem>
      <errorID>ec04ad27-40e2-4929-b25e-8b07bdf5ebd6</errorID>
      <errorWord>-</errorWord>
      <group>L1_Format</group>
      <groupName>格式问题</groupName>
      <ability>L2_HalfPunc_CN</ability>
      <abilityName>全半角问题</abilityName>
      <candidateList>
        <item>－</item>
      </candidateList>
      <explain>文本全半角错误。</explain>
      <paraID>6AB4F4AE</paraID>
      <start>67</start>
      <end>68</end>
      <status>unmodified</status>
      <modifiedWord/>
      <trackRevisions>false</trackRevisions>
    </reviewItem>
    <reviewItem>
      <errorID>a0c1c900-6851-44aa-97b8-0c1d93f2aa58</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5D5CBC1A</paraID>
      <start>5</start>
      <end>12</end>
      <status>unmodified</status>
      <modifiedWord/>
      <trackRevisions>false</trackRevisions>
    </reviewItem>
    <reviewItem>
      <errorID>3065039b-3c61-40b6-b7f8-962c49155f09</errorID>
      <errorWord> </errorWord>
      <group>L1_Word</group>
      <groupName>字词问题</groupName>
      <ability>L2_Typo</ability>
      <abilityName>字词错误</abilityName>
      <candidateList>
        <item>°</item>
      </candidateList>
      <explain/>
      <paraID>566243A8</paraID>
      <start>24</start>
      <end>25</end>
      <status>unmodified</status>
      <modifiedWord/>
      <trackRevisions>false</trackRevisions>
    </reviewItem>
    <reviewItem>
      <errorID>c5258d58-543e-4cfb-aaf7-d02050589d82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25E08044</paraID>
      <start>30</start>
      <end>31</end>
      <status>unmodified</status>
      <modifiedWord/>
      <trackRevisions>false</trackRevisions>
    </reviewItem>
    <reviewItem>
      <errorID>c21b29fa-2efa-4d46-b796-a24470a3a9f8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76326FA4</paraID>
      <start>24</start>
      <end>25</end>
      <status>unmodified</status>
      <modifiedWord/>
      <trackRevisions>false</trackRevisions>
    </reviewItem>
    <reviewItem>
      <errorID>b26f9913-37d9-45c6-821a-4d9be2071994</errorID>
      <errorWord> </errorWord>
      <group>L1_Word</group>
      <groupName>字词问题</groupName>
      <ability>L2_Typo</ability>
      <abilityName>字词错误</abilityName>
      <candidateList>
        <item>°</item>
      </candidateList>
      <explain/>
      <paraID>76326FA4</paraID>
      <start>167</start>
      <end>168</end>
      <status>unmodified</status>
      <modifiedWord/>
      <trackRevisions>false</trackRevisions>
    </reviewItem>
    <reviewItem>
      <errorID>ec657be2-2d49-40fa-b034-ab2a124135b3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76326FA4</paraID>
      <start>219</start>
      <end>220</end>
      <status>unmodified</status>
      <modifiedWord/>
      <trackRevisions>false</trackRevisions>
    </reviewItem>
    <reviewItem>
      <errorID>209e105a-c956-4508-ae82-10ecd7c7f25c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C2FDEAC</paraID>
      <start>22</start>
      <end>23</end>
      <status>unmodified</status>
      <modifiedWord/>
      <trackRevisions>false</trackRevisions>
    </reviewItem>
    <reviewItem>
      <errorID>5ca23ac8-7dd2-4eb3-aebe-fe7a6718f6be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D272B13</paraID>
      <start>54</start>
      <end>55</end>
      <status>unmodified</status>
      <modifiedWord/>
      <trackRevisions>false</trackRevisions>
    </reviewItem>
    <reviewItem>
      <errorID>82c75bdb-2e44-4165-b13a-af6c1e1fd736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D272B13</paraID>
      <start>187</start>
      <end>188</end>
      <status>unmodified</status>
      <modifiedWord/>
      <trackRevisions>false</trackRevisions>
    </reviewItem>
    <reviewItem>
      <errorID>0f9cc810-9274-46cf-b547-d6a98c72169c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D6E40FE</paraID>
      <start>30</start>
      <end>31</end>
      <status>unmodified</status>
      <modifiedWord/>
      <trackRevisions>false</trackRevisions>
    </reviewItem>
    <reviewItem>
      <errorID>e1021f93-a224-428c-9ef8-4cc030cf6949</errorID>
      <errorWord>均匀</errorWord>
      <group>L1_Grammar</group>
      <groupName>语法问题</groupName>
      <ability>L2_Grammar</ability>
      <abilityName>语法错误</abilityName>
      <candidateList>
        <item>采用均匀</item>
      </candidateList>
      <explain/>
      <paraID>39229A14</paraID>
      <start>91</start>
      <end>93</end>
      <status>unmodified</status>
      <modifiedWord/>
      <trackRevisions>false</trackRevisions>
    </reviewItem>
    <reviewItem>
      <errorID>8bbf23a3-8943-4169-af8f-839ff1a92d94</errorID>
      <errorWord>，</errorWord>
      <group>L1_Grammar</group>
      <groupName>语法问题</groupName>
      <ability>L2_Grammar</ability>
      <abilityName>语法错误</abilityName>
      <candidateList>
        <item>方式，</item>
      </candidateList>
      <explain/>
      <paraID>39229A14</paraID>
      <start>97</start>
      <end>98</end>
      <status>unmodified</status>
      <modifiedWord/>
      <trackRevisions>false</trackRevisions>
    </reviewItem>
    <reviewItem>
      <errorID>36e72e4d-cc95-407a-9e91-3403d97015e2</errorID>
      <errorWord>矿山生态恢复</errorWord>
      <group>L1_Political</group>
      <groupName>政治性问题</groupName>
      <ability>L2_Keyword</ability>
      <abilityName>固定表述</abilityName>
      <candidateList>
        <item>矿山生态修复</item>
      </candidateList>
      <explain>词汇“矿山生态修复”在特定场景下为固定表述形式，请确认此处的“矿山生态恢复”是否存在不当。</explain>
      <paraID>577205DB</paraID>
      <start>28</start>
      <end>34</end>
      <status>unmodified</status>
      <modifiedWord/>
      <trackRevisions>false</trackRevisions>
    </reviewItem>
    <reviewItem>
      <errorID>4e4465be-710e-4cae-a0e2-c9e458a807d0</errorID>
      <errorWord> </errorWord>
      <group>L1_Word</group>
      <groupName>字词问题</groupName>
      <ability>L2_Typo</ability>
      <abilityName>字词错误</abilityName>
      <candidateList>
        <item>°</item>
      </candidateList>
      <explain/>
      <paraID>479807CE</paraID>
      <start>45</start>
      <end>46</end>
      <status>unmodified</status>
      <modifiedWord/>
      <trackRevisions>false</trackRevisions>
    </reviewItem>
    <reviewItem>
      <errorID>d91f9671-d1f6-4996-9f5d-9c536ee1fa05</errorID>
      <errorWord>：</errorWord>
      <group>L1_Punc</group>
      <groupName>标点问题</groupName>
      <ability>L2_Punc_CN</ability>
      <abilityName>标点符号问题</abilityName>
      <candidateList>
        <item>，</item>
      </candidateList>
      <explain/>
      <paraID>6F7DCBF6</paraID>
      <start>46</start>
      <end>47</end>
      <status>unmodified</status>
      <modifiedWord/>
      <trackRevisions>false</trackRevisions>
    </reviewItem>
    <reviewItem>
      <errorID>36d89f41-86ca-4596-8eec-4e6a29f36494</errorID>
      <errorWord>：</errorWord>
      <group>L1_Punc</group>
      <groupName>标点问题</groupName>
      <ability>L2_Punc_CN</ability>
      <abilityName>标点符号问题</abilityName>
      <candidateList>
        <item>，</item>
      </candidateList>
      <explain/>
      <paraID>6F7DCBF6</paraID>
      <start>164</start>
      <end>165</end>
      <status>unmodified</status>
      <modifiedWord/>
      <trackRevisions>false</trackRevisions>
    </reviewItem>
    <reviewItem>
      <errorID>7c835a69-2a56-4af8-b647-195b6f0e9bef</errorID>
      <errorWord> </errorWord>
      <group>L1_Word</group>
      <groupName>字词问题</groupName>
      <ability>L2_Typo</ability>
      <abilityName>字词错误</abilityName>
      <candidateList>
        <item>°</item>
      </candidateList>
      <explain/>
      <paraID>16F06139</paraID>
      <start>13</start>
      <end>14</end>
      <status>unmodified</status>
      <modifiedWord/>
      <trackRevisions>false</trackRevisions>
    </reviewItem>
    <reviewItem>
      <errorID>5173ec81-ef7b-465a-85da-236ba002b883</errorID>
      <errorWord>评价</errorWord>
      <group>L1_Word</group>
      <groupName>字词问题</groupName>
      <ability>L2_Typo</ability>
      <abilityName>字词错误</abilityName>
      <candidateList>
        <item> 评价</item>
      </candidateList>
      <explain/>
      <paraID>6F5B2120</paraID>
      <start>3</start>
      <end>5</end>
      <status>unmodified</status>
      <modifiedWord/>
      <trackRevisions>false</trackRevisions>
    </reviewItem>
    <reviewItem>
      <errorID>958456b7-32f1-4aad-ab0b-10e17f057ffe</errorID>
      <errorWord>评价</errorWord>
      <group>L1_Word</group>
      <groupName>字词问题</groupName>
      <ability>L2_Typo</ability>
      <abilityName>字词错误</abilityName>
      <candidateList>
        <item> 评价</item>
      </candidateList>
      <explain/>
      <paraID>1071DD26</paraID>
      <start>5</start>
      <end>7</end>
      <status>unmodified</status>
      <modifiedWord/>
      <trackRevisions>false</trackRevisions>
    </reviewItem>
    <reviewItem>
      <errorID>dcc6eeb4-7e7d-429f-8608-5cae89f76f25</errorID>
      <errorWord>编制</errorWord>
      <group>L1_Word</group>
      <groupName>字词问题</groupName>
      <ability>L2_Typo</ability>
      <abilityName>字词错误</abilityName>
      <candidateList>
        <item> 编制</item>
      </candidateList>
      <explain/>
      <paraID>3A33153B</paraID>
      <start>3</start>
      <end>5</end>
      <status>unmodified</status>
      <modifiedWord/>
      <trackRevisions>false</trackRevisions>
    </reviewItem>
    <reviewItem>
      <errorID>bf0dab23-d092-408f-97be-a8e83aaa24ad</errorID>
      <errorWord>国家</errorWord>
      <group>L1_Word</group>
      <groupName>字词问题</groupName>
      <ability>L2_Typo</ability>
      <abilityName>字词错误</abilityName>
      <candidateList>
        <item> 国家</item>
      </candidateList>
      <explain/>
      <paraID>395EA744</paraID>
      <start>5</start>
      <end>7</end>
      <status>unmodified</status>
      <modifiedWord/>
      <trackRevisions>false</trackRevisions>
    </reviewItem>
    <reviewItem>
      <errorID>fe8f0d75-c310-4577-84a1-50a874d8a888</errorID>
      <errorWord>法律、法规</errorWord>
      <group>L1_Word</group>
      <groupName>字词问题</groupName>
      <ability>L2_Typo</ability>
      <abilityName>字词错误</abilityName>
      <candidateList>
        <item>法律法规</item>
      </candidateList>
      <explain/>
      <paraID>395EA744</paraID>
      <start>12</start>
      <end>17</end>
      <status>unmodified</status>
      <modifiedWord/>
      <trackRevisions>false</trackRevisions>
    </reviewItem>
    <reviewItem>
      <errorID>5d402c01-c16a-4580-b33f-a3ea8203582a</errorID>
      <errorWord>14届</errorWord>
      <group>L1_Word</group>
      <groupName>字词问题</groupName>
      <ability>L2_Typo</ability>
      <abilityName>字词错误</abilityName>
      <candidateList>
        <item>十四届</item>
      </candidateList>
      <explain/>
      <paraID> B57783E</paraID>
      <start>0</start>
      <end>3</end>
      <status>unmodified</status>
      <modifiedWord/>
      <trackRevisions>false</trackRevisions>
    </reviewItem>
    <reviewItem>
      <errorID>2b96fa52-8ac0-4b7a-8d28-1a84bba7a410</errorID>
      <errorWord>第4次</errorWord>
      <group>L1_Word</group>
      <groupName>字词问题</groupName>
      <ability>L2_Typo</ability>
      <abilityName>字词错误</abilityName>
      <candidateList>
        <item>第四次</item>
      </candidateList>
      <explain/>
      <paraID> B57783E</paraID>
      <start>5</start>
      <end>8</end>
      <status>unmodified</status>
      <modifiedWord/>
      <trackRevisions>false</trackRevisions>
    </reviewItem>
    <reviewItem>
      <errorID>ff605678-b3c0-4f54-841f-1700931a5b6f</errorID>
      <errorWord>12届</errorWord>
      <group>L1_Word</group>
      <groupName>字词问题</groupName>
      <ability>L2_Typo</ability>
      <abilityName>字词错误</abilityName>
      <candidateList>
        <item>十二届</item>
      </candidateList>
      <explain/>
      <paraID>74944AC0</paraID>
      <start>0</start>
      <end>3</end>
      <status>unmodified</status>
      <modifiedWord/>
      <trackRevisions>false</trackRevisions>
    </reviewItem>
    <reviewItem>
      <errorID>6ec408d0-d542-4ca8-8da1-82ce8fa9499c</errorID>
      <errorWord>第21次</errorWord>
      <group>L1_Word</group>
      <groupName>字词问题</groupName>
      <ability>L2_Typo</ability>
      <abilityName>字词错误</abilityName>
      <candidateList>
        <item>第二十一次</item>
      </candidateList>
      <explain/>
      <paraID>74944AC0</paraID>
      <start>5</start>
      <end>9</end>
      <status>unmodified</status>
      <modifiedWord/>
      <trackRevisions>false</trackRevisions>
    </reviewItem>
    <reviewItem>
      <errorID>8ff0315c-74b5-4a17-ac10-122f0b767669</errorID>
      <errorWord>11届</errorWord>
      <group>L1_Word</group>
      <groupName>字词问题</groupName>
      <ability>L2_Typo</ability>
      <abilityName>字词错误</abilityName>
      <candidateList>
        <item>十一届</item>
      </candidateList>
      <explain/>
      <paraID>650990DE</paraID>
      <start>0</start>
      <end>3</end>
      <status>unmodified</status>
      <modifiedWord/>
      <trackRevisions>false</trackRevisions>
    </reviewItem>
    <reviewItem>
      <errorID>112fabe0-5cf0-4298-93e1-7cae4464632c</errorID>
      <errorWord>第18次</errorWord>
      <group>L1_Word</group>
      <groupName>字词问题</groupName>
      <ability>L2_Typo</ability>
      <abilityName>字词错误</abilityName>
      <candidateList>
        <item>第十八次</item>
      </candidateList>
      <explain/>
      <paraID>650990DE</paraID>
      <start>5</start>
      <end>9</end>
      <status>unmodified</status>
      <modifiedWord/>
      <trackRevisions>false</trackRevisions>
    </reviewItem>
    <reviewItem>
      <errorID>174c138d-6219-4c9a-bdcb-24ad7b3ac155</errorID>
      <errorWord>13届</errorWord>
      <group>L1_Word</group>
      <groupName>字词问题</groupName>
      <ability>L2_Typo</ability>
      <abilityName>字词错误</abilityName>
      <candidateList>
        <item>十三届</item>
      </candidateList>
      <explain/>
      <paraID> C11BDB7</paraID>
      <start>0</start>
      <end>3</end>
      <status>unmodified</status>
      <modifiedWord/>
      <trackRevisions>false</trackRevisions>
    </reviewItem>
    <reviewItem>
      <errorID>1fa0191c-dfd8-4a4e-83f7-d3cb8e20fb2f</errorID>
      <errorWord>第6次</errorWord>
      <group>L1_Word</group>
      <groupName>字词问题</groupName>
      <ability>L2_Typo</ability>
      <abilityName>字词错误</abilityName>
      <candidateList>
        <item>第六次</item>
      </candidateList>
      <explain/>
      <paraID> C11BDB7</paraID>
      <start>5</start>
      <end>8</end>
      <status>unmodified</status>
      <modifiedWord/>
      <trackRevisions>false</trackRevisions>
    </reviewItem>
    <reviewItem>
      <errorID>cfd67a31-750a-4d4f-b600-0fbaaf103d4f</errorID>
      <errorWord>13届</errorWord>
      <group>L1_Word</group>
      <groupName>字词问题</groupName>
      <ability>L2_Typo</ability>
      <abilityName>字词错误</abilityName>
      <candidateList>
        <item>十三届</item>
      </candidateList>
      <explain/>
      <paraID>1D2F2FEA</paraID>
      <start>0</start>
      <end>3</end>
      <status>unmodified</status>
      <modifiedWord/>
      <trackRevisions>false</trackRevisions>
    </reviewItem>
    <reviewItem>
      <errorID>1f15c70f-aa67-403f-be73-015858eb42c2</errorID>
      <errorWord>第10次</errorWord>
      <group>L1_Word</group>
      <groupName>字词问题</groupName>
      <ability>L2_Typo</ability>
      <abilityName>字词错误</abilityName>
      <candidateList>
        <item>第十次</item>
      </candidateList>
      <explain/>
      <paraID>1D2F2FEA</paraID>
      <start>5</start>
      <end>9</end>
      <status>unmodified</status>
      <modifiedWord/>
      <trackRevisions>false</trackRevisions>
    </reviewItem>
    <reviewItem>
      <errorID>0c8048f8-512e-4d48-8f37-05c04afd282a</errorID>
      <errorWord>14届</errorWord>
      <group>L1_Word</group>
      <groupName>字词问题</groupName>
      <ability>L2_Typo</ability>
      <abilityName>字词错误</abilityName>
      <candidateList>
        <item>十四届</item>
      </candidateList>
      <explain/>
      <paraID>2ADFAA64</paraID>
      <start>0</start>
      <end>3</end>
      <status>unmodified</status>
      <modifiedWord/>
      <trackRevisions>false</trackRevisions>
    </reviewItem>
    <reviewItem>
      <errorID>11514a9f-7416-42f6-8447-a68a6712ff5c</errorID>
      <errorWord>第12次</errorWord>
      <group>L1_Word</group>
      <groupName>字词问题</groupName>
      <ability>L2_Typo</ability>
      <abilityName>字词错误</abilityName>
      <candidateList>
        <item>第十二次</item>
      </candidateList>
      <explain/>
      <paraID>2ADFAA64</paraID>
      <start>5</start>
      <end>9</end>
      <status>unmodified</status>
      <modifiedWord/>
      <trackRevisions>false</trackRevisions>
    </reviewItem>
    <reviewItem>
      <errorID>eaac4d0f-b64c-46b5-ac41-d30c1f785fc4</errorID>
      <errorWord>13届</errorWord>
      <group>L1_Word</group>
      <groupName>字词问题</groupName>
      <ability>L2_Typo</ability>
      <abilityName>字词错误</abilityName>
      <candidateList>
        <item>十三届</item>
      </candidateList>
      <explain/>
      <paraID> E9FAD79</paraID>
      <start>0</start>
      <end>3</end>
      <status>unmodified</status>
      <modifiedWord/>
      <trackRevisions>false</trackRevisions>
    </reviewItem>
    <reviewItem>
      <errorID>fd99368b-a29f-4226-82d1-4d25a30df1ef</errorID>
      <errorWord>第29次</errorWord>
      <group>L1_Word</group>
      <groupName>字词问题</groupName>
      <ability>L2_Typo</ability>
      <abilityName>字词错误</abilityName>
      <candidateList>
        <item>第二十九次</item>
      </candidateList>
      <explain/>
      <paraID> E9FAD79</paraID>
      <start>5</start>
      <end>9</end>
      <status>unmodified</status>
      <modifiedWord/>
      <trackRevisions>false</trackRevisions>
    </reviewItem>
    <reviewItem>
      <errorID>3dc4e17c-a907-43a5-8d7c-9c9b38fe489e</errorID>
      <errorWord>14届</errorWord>
      <group>L1_Word</group>
      <groupName>字词问题</groupName>
      <ability>L2_Typo</ability>
      <abilityName>字词错误</abilityName>
      <candidateList>
        <item>十四届</item>
      </candidateList>
      <explain/>
      <paraID>3036BAAB</paraID>
      <start>0</start>
      <end>3</end>
      <status>unmodified</status>
      <modifiedWord/>
      <trackRevisions>false</trackRevisions>
    </reviewItem>
    <reviewItem>
      <errorID>38695763-a63d-4095-9e74-d42aa3b34c77</errorID>
      <errorWord>第10次</errorWord>
      <group>L1_Word</group>
      <groupName>字词问题</groupName>
      <ability>L2_Typo</ability>
      <abilityName>字词错误</abilityName>
      <candidateList>
        <item>第十次</item>
      </candidateList>
      <explain/>
      <paraID>3036BAAB</paraID>
      <start>5</start>
      <end>9</end>
      <status>unmodified</status>
      <modifiedWord/>
      <trackRevisions>false</trackRevisions>
    </reviewItem>
    <reviewItem>
      <errorID>77dd5cbb-7341-4495-9ad1-0a3e111e65d5</errorID>
      <errorWord>13届</errorWord>
      <group>L1_Word</group>
      <groupName>字词问题</groupName>
      <ability>L2_Typo</ability>
      <abilityName>字词错误</abilityName>
      <candidateList>
        <item>十三届</item>
      </candidateList>
      <explain/>
      <paraID>1066A242</paraID>
      <start>0</start>
      <end>3</end>
      <status>unmodified</status>
      <modifiedWord/>
      <trackRevisions>false</trackRevisions>
    </reviewItem>
    <reviewItem>
      <errorID>cd90026b-d9a2-4bd0-bce6-c4353499c228</errorID>
      <errorWord>第28</errorWord>
      <group>L1_Word</group>
      <groupName>字词问题</groupName>
      <ability>L2_Typo</ability>
      <abilityName>字词错误</abilityName>
      <candidateList>
        <item>第二十八</item>
      </candidateList>
      <explain/>
      <paraID>1066A242</paraID>
      <start>5</start>
      <end>8</end>
      <status>unmodified</status>
      <modifiedWord/>
      <trackRevisions>false</trackRevisions>
    </reviewItem>
    <reviewItem>
      <errorID>0db14b92-5ee3-4b8f-af8f-fad6205447c4</errorID>
      <errorWord>13届</errorWord>
      <group>L1_Word</group>
      <groupName>字词问题</groupName>
      <ability>L2_Typo</ability>
      <abilityName>字词错误</abilityName>
      <candidateList>
        <item>十三届</item>
      </candidateList>
      <explain/>
      <paraID>1E6B72FF</paraID>
      <start>0</start>
      <end>3</end>
      <status>unmodified</status>
      <modifiedWord/>
      <trackRevisions>false</trackRevisions>
    </reviewItem>
    <reviewItem>
      <errorID>2894ba33-c7dc-418e-b6c2-cc19c4706b9e</errorID>
      <errorWord>第38</errorWord>
      <group>L1_Word</group>
      <groupName>字词问题</groupName>
      <ability>L2_Typo</ability>
      <abilityName>字词错误</abilityName>
      <candidateList>
        <item>第三十八</item>
      </candidateList>
      <explain/>
      <paraID>1E6B72FF</paraID>
      <start>5</start>
      <end>8</end>
      <status>unmodified</status>
      <modifiedWord/>
      <trackRevisions>false</trackRevisions>
    </reviewItem>
    <reviewItem>
      <errorID>1a2c3daa-9fbd-4386-94c3-6b94cbe632ef</errorID>
      <errorWord>《中共中央办公厅 国务院办公厅印发</errorWord>
      <group>L1_Political</group>
      <groupName>政治性问题</groupName>
      <ability>L2_Keyword</ability>
      <abilityName>固定表述</abilityName>
      <candidateList>
        <item>《中共中央办公厅 国务院办公厅</item>
      </candidateList>
      <explain>此处内容疑似含有固定表述相关错误，建议核查。</explain>
      <paraID>7724782A</paraID>
      <start>0</start>
      <end>17</end>
      <status>unmodified</status>
      <modifiedWord/>
      <trackRevisions>false</trackRevisions>
    </reviewItem>
    <reviewItem>
      <errorID>cd87bd7a-502a-4179-807c-85ca482eb08f</errorID>
      <errorWord>发布</errorWord>
      <group>L1_Word</group>
      <groupName>字词问题</groupName>
      <ability>L2_Typo</ability>
      <abilityName>字词错误</abilityName>
      <candidateList>
        <item>印发</item>
      </candidateList>
      <explain/>
      <paraID>61060BE4</paraID>
      <start>8</start>
      <end>10</end>
      <status>unmodified</status>
      <modifiedWord/>
      <trackRevisions>false</trackRevisions>
    </reviewItem>
    <reviewItem>
      <errorID>b5880350-cbb1-4fe5-8f23-8e17a4ca922c</errorID>
      <errorWord>地方法规</errorWord>
      <group>L1_Political</group>
      <groupName>政治性问题</groupName>
      <ability>L2_Unpolitical</ability>
      <abilityName>政治敏感错误</abilityName>
      <candidateList>
        <item>地方性法规</item>
      </candidateList>
      <explain/>
      <paraID>  BF46ED</paraID>
      <start>0</start>
      <end>5</end>
      <status>modified</status>
      <modifiedWord>地方性法规</modifiedWord>
      <trackRevisions>false</trackRevisions>
    </reviewItem>
    <reviewItem>
      <errorID>a6cd7e78-f586-4251-8c4c-8c00fd91c7c6</errorID>
      <errorWord>13届</errorWord>
      <group>L1_Word</group>
      <groupName>字词问题</groupName>
      <ability>L2_Typo</ability>
      <abilityName>字词错误</abilityName>
      <candidateList>
        <item>十三届</item>
      </candidateList>
      <explain/>
      <paraID>7410A32E</paraID>
      <start>0</start>
      <end>3</end>
      <status>unmodified</status>
      <modifiedWord/>
      <trackRevisions>false</trackRevisions>
    </reviewItem>
    <reviewItem>
      <errorID>e19bfa94-6d64-4fa1-811b-9f2364410466</errorID>
      <errorWord>13届</errorWord>
      <group>L1_Word</group>
      <groupName>字词问题</groupName>
      <ability>L2_Typo</ability>
      <abilityName>字词错误</abilityName>
      <candidateList>
        <item>十三届</item>
      </candidateList>
      <explain/>
      <paraID>7EEEAB30</paraID>
      <start>0</start>
      <end>3</end>
      <status>unmodified</status>
      <modifiedWord/>
      <trackRevisions>false</trackRevisions>
    </reviewItem>
    <reviewItem>
      <errorID>fc97d54b-a63b-4eb5-8d63-1be38bd3506c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795919ED</paraID>
      <start>22</start>
      <end>23</end>
      <status>unmodified</status>
      <modifiedWord/>
      <trackRevisions>false</trackRevisions>
    </reviewItem>
    <reviewItem>
      <errorID>a27550a3-0781-40b8-88d0-f28ed76cb0b2</errorID>
      <errorWord>GB309</errorWord>
      <group>L1_Word</group>
      <groupName>字词问题</groupName>
      <ability>L2_Typo</ability>
      <abilityName>字词错误</abilityName>
      <candidateList>
        <item>GB3096</item>
      </candidateList>
      <explain/>
      <paraID>3D4A0243</paraID>
      <start>0</start>
      <end>5</end>
      <status>unmodified</status>
      <modifiedWord/>
      <trackRevisions>false</trackRevisions>
    </reviewItem>
    <reviewItem>
      <errorID>0a198932-d3eb-454d-8625-510498191074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43BDEBB8</paraID>
      <start>0</start>
      <end>2</end>
      <status>unmodified</status>
      <modifiedWord/>
      <trackRevisions>false</trackRevisions>
    </reviewItem>
    <reviewItem>
      <errorID>284c7f79-8a26-4079-b045-3f34613fe896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4995250A</paraID>
      <start>0</start>
      <end>2</end>
      <status>unmodified</status>
      <modifiedWord/>
      <trackRevisions>false</trackRevisions>
    </reviewItem>
    <reviewItem>
      <errorID>fa468ba6-5067-49f1-bbbb-b767e739039a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65865040</paraID>
      <start>0</start>
      <end>2</end>
      <status>unmodified</status>
      <modifiedWord/>
      <trackRevisions>false</trackRevisions>
    </reviewItem>
    <reviewItem>
      <errorID>0b4b5093-e4f6-49f9-9097-be533742ec73</errorID>
      <errorWord>-</errorWord>
      <group>L1_Format</group>
      <groupName>格式问题</groupName>
      <ability>L2_HalfPunc_CN</ability>
      <abilityName>全半角问题</abilityName>
      <candidateList>
        <item>－</item>
      </candidateList>
      <explain>文本全半角错误。</explain>
      <paraID>1D19F3C0</paraID>
      <start>24</start>
      <end>25</end>
      <status>unmodified</status>
      <modifiedWord/>
      <trackRevisions>false</trackRevisions>
    </reviewItem>
    <reviewItem>
      <errorID>383300af-c0d3-47cc-8199-e1ba97abb05c</errorID>
      <errorWord>-</errorWord>
      <group>L1_Format</group>
      <groupName>格式问题</groupName>
      <ability>L2_HalfPunc_CN</ability>
      <abilityName>全半角问题</abilityName>
      <candidateList>
        <item>－</item>
      </candidateList>
      <explain>文本全半角错误。</explain>
      <paraID>1D19F3C0</paraID>
      <start>28</start>
      <end>29</end>
      <status>unmodified</status>
      <modifiedWord/>
      <trackRevisions>false</trackRevisions>
    </reviewItem>
    <reviewItem>
      <errorID>3ed1e79b-fe5a-44b8-8015-e67b092f9c29</errorID>
      <errorWord>厂</errorWord>
      <group>L1_Word</group>
      <groupName>字词问题</groupName>
      <ability>L2_Typo</ability>
      <abilityName>字词错误</abilityName>
      <candidateList>
        <item>场</item>
      </candidateList>
      <explain/>
      <paraID>4682D5EE</paraID>
      <start>32</start>
      <end>33</end>
      <status>unmodified</status>
      <modifiedWord/>
      <trackRevisions>false</trackRevisions>
    </reviewItem>
    <reviewItem>
      <errorID>0e037c89-5980-45ec-bf82-cff8f04748da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7232C68C</paraID>
      <start>0</start>
      <end>2</end>
      <status>unmodified</status>
      <modifiedWord/>
      <trackRevisions>false</trackRevisions>
    </reviewItem>
    <reviewItem>
      <errorID>9d19ac0e-711a-4769-8007-5205e47deb15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45EC1060</paraID>
      <start>0</start>
      <end>2</end>
      <status>unmodified</status>
      <modifiedWord/>
      <trackRevisions>false</trackRevisions>
    </reviewItem>
    <reviewItem>
      <errorID>1a05794d-21f6-4847-b2df-bbb4f4e85708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F57EFE0</paraID>
      <start>0</start>
      <end>2</end>
      <status>unmodified</status>
      <modifiedWord/>
      <trackRevisions>false</trackRevisions>
    </reviewItem>
    <reviewItem>
      <errorID>b1dc9b8e-a787-4b13-bd3f-246615d963a3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32BEA727</paraID>
      <start>0</start>
      <end>2</end>
      <status>unmodified</status>
      <modifiedWord/>
      <trackRevisions>false</trackRevisions>
    </reviewItem>
    <reviewItem>
      <errorID>478823f3-d61b-461f-9f69-7645a722298f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7C528374</paraID>
      <start>0</start>
      <end>2</end>
      <status>unmodified</status>
      <modifiedWord/>
      <trackRevisions>false</trackRevisions>
    </reviewItem>
    <reviewItem>
      <errorID>d23c821f-2dde-42d8-ba35-9648acf4ac8b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141BBDDB</paraID>
      <start>0</start>
      <end>2</end>
      <status>unmodified</status>
      <modifiedWord/>
      <trackRevisions>false</trackRevisions>
    </reviewItem>
    <reviewItem>
      <errorID>638c8ab7-e3fd-495d-99f1-92a9abd6ba74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73C3882B</paraID>
      <start>0</start>
      <end>2</end>
      <status>unmodified</status>
      <modifiedWord/>
      <trackRevisions>false</trackRevisions>
    </reviewItem>
    <reviewItem>
      <errorID>0e2b2949-b69f-49c8-81c6-6eacf639ef9a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3A67214A</paraID>
      <start>0</start>
      <end>2</end>
      <status>unmodified</status>
      <modifiedWord/>
      <trackRevisions>false</trackRevisions>
    </reviewItem>
    <reviewItem>
      <errorID>01ed7499-f377-4bc1-bd05-071fb4445836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835E4FE</paraID>
      <start>0</start>
      <end>2</end>
      <status>unmodified</status>
      <modifiedWord/>
      <trackRevisions>false</trackRevisions>
    </reviewItem>
    <reviewItem>
      <errorID>2abeb16e-2057-4685-be4d-14f0f9363410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167FFDA4</paraID>
      <start>0</start>
      <end>2</end>
      <status>unmodified</status>
      <modifiedWord/>
      <trackRevisions>false</trackRevisions>
    </reviewItem>
    <reviewItem>
      <errorID>5b5578a2-0f02-4775-913a-058aecbdbd64</errorID>
      <errorWord>～</errorWord>
      <group>L1_Format</group>
      <groupName>格式问题</groupName>
      <ability>L2_HalfPunc_CN</ability>
      <abilityName>全半角问题</abilityName>
      <candidateList>
        <item>~</item>
      </candidateList>
      <explain>文本全半角错误。</explain>
      <paraID>4D1F7D01</paraID>
      <start>1</start>
      <end>2</end>
      <status>unmodified</status>
      <modifiedWord/>
      <trackRevisions>false</trackRevisions>
    </reviewItem>
    <reviewItem>
      <errorID>61dde0a2-f08f-4f72-856f-e966e8fb04f1</errorID>
      <errorWord>-</errorWord>
      <group>L1_Format</group>
      <groupName>格式问题</groupName>
      <ability>L2_HalfPunc_CN</ability>
      <abilityName>全半角问题</abilityName>
      <candidateList>
        <item>－</item>
      </candidateList>
      <explain>文本全半角错误。</explain>
      <paraID>512882E9</paraID>
      <start>137</start>
      <end>138</end>
      <status>unmodified</status>
      <modifiedWord/>
      <trackRevisions>false</trackRevisions>
    </reviewItem>
    <reviewItem>
      <errorID>588444f8-8896-472f-be6c-fd94b5d57013</errorID>
      <errorWord>II类</errorWord>
      <group>L1_Knowledge</group>
      <groupName>知识性问题</groupName>
      <ability>L2_Knowledge</ability>
      <abilityName>其他知识</abilityName>
      <candidateList>
        <item>Ⅱ类</item>
      </candidateList>
      <explain>中文环境下罗马数字格式错误。</explain>
      <paraID>3287808C</paraID>
      <start>2</start>
      <end>5</end>
      <status>unmodified</status>
      <modifiedWord/>
      <trackRevisions>false</trackRevisions>
    </reviewItem>
    <reviewItem>
      <errorID>9b612913-7330-4e39-9074-19d9f19cf64f</errorID>
      <errorWord>（</errorWord>
      <group>L1_Format</group>
      <groupName>格式问题</groupName>
      <ability>L2_HalfPunc_CN</ability>
      <abilityName>全半角问题</abilityName>
      <candidateList>
        <item>(</item>
      </candidateList>
      <explain>文本全半角错误。</explain>
      <paraID>2E4FBC01</paraID>
      <start>0</start>
      <end>1</end>
      <status>unmodified</status>
      <modifiedWord/>
      <trackRevisions>false</trackRevisions>
    </reviewItem>
    <reviewItem>
      <errorID>0717009b-6df4-4787-9553-58e174bd0ba9</errorID>
      <errorWord>）</errorWord>
      <group>L1_Format</group>
      <groupName>格式问题</groupName>
      <ability>L2_HalfPunc_CN</ability>
      <abilityName>全半角问题</abilityName>
      <candidateList>
        <item>)</item>
      </candidateList>
      <explain>文本全半角错误。</explain>
      <paraID>2E4FBC01</paraID>
      <start>5</start>
      <end>6</end>
      <status>unmodified</status>
      <modifiedWord/>
      <trackRevisions>false</trackRevisions>
    </reviewItem>
    <reviewItem>
      <errorID>33d7d428-001c-40e6-8051-1e46fb7cf37b</errorID>
      <errorWord>（</errorWord>
      <group>L1_Format</group>
      <groupName>格式问题</groupName>
      <ability>L2_HalfPunc_CN</ability>
      <abilityName>全半角问题</abilityName>
      <candidateList>
        <item>(</item>
      </candidateList>
      <explain>文本全半角错误。</explain>
      <paraID>329F68BC</paraID>
      <start>0</start>
      <end>1</end>
      <status>unmodified</status>
      <modifiedWord/>
      <trackRevisions>false</trackRevisions>
    </reviewItem>
    <reviewItem>
      <errorID>937b2730-cfc1-4e75-a92c-018387ed2cd4</errorID>
      <errorWord>）</errorWord>
      <group>L1_Format</group>
      <groupName>格式问题</groupName>
      <ability>L2_HalfPunc_CN</ability>
      <abilityName>全半角问题</abilityName>
      <candidateList>
        <item>)</item>
      </candidateList>
      <explain>文本全半角错误。</explain>
      <paraID>329F68BC</paraID>
      <start>2</start>
      <end>3</end>
      <status>unmodified</status>
      <modifiedWord/>
      <trackRevisions>false</trackRevisions>
    </reviewItem>
    <reviewItem>
      <errorID>c6830018-de6f-4f2d-ace7-a3b1d3799612</errorID>
      <errorWord>II类</errorWord>
      <group>L1_Knowledge</group>
      <groupName>知识性问题</groupName>
      <ability>L2_Knowledge</ability>
      <abilityName>其他知识</abilityName>
      <candidateList>
        <item>Ⅱ类</item>
      </candidateList>
      <explain>中文环境下罗马数字格式错误。</explain>
      <paraID>522D137B</paraID>
      <start>0</start>
      <end>3</end>
      <status>unmodified</status>
      <modifiedWord/>
      <trackRevisions>false</trackRevisions>
    </reviewItem>
    <reviewItem>
      <errorID>1755274c-dd15-450d-91db-7bd33acf2e0c</errorID>
      <errorWord>II</errorWord>
      <group>L1_Knowledge</group>
      <groupName>知识性问题</groupName>
      <ability>L2_Knowledge</ability>
      <abilityName>其他知识</abilityName>
      <candidateList>
        <item>Ⅱ</item>
      </candidateList>
      <explain>中文环境下罗马数字格式错误。</explain>
      <paraID>3D8119EB</paraID>
      <start>0</start>
      <end>2</end>
      <status>unmodified</status>
      <modifiedWord/>
      <trackRevisions>false</trackRevisions>
    </reviewItem>
    <reviewItem>
      <errorID>26d8bf3b-6bb9-4e75-8038-f991d05c870a</errorID>
      <errorWord>IV</errorWord>
      <group>L1_Knowledge</group>
      <groupName>知识性问题</groupName>
      <ability>L2_Knowledge</ability>
      <abilityName>其他知识</abilityName>
      <candidateList>
        <item>Ⅳ</item>
      </candidateList>
      <explain>中文环境下罗马数字格式错误。</explain>
      <paraID>45E75AC4</paraID>
      <start>121</start>
      <end>123</end>
      <status>unmodified</status>
      <modifiedWord/>
      <trackRevisions>false</trackRevisions>
    </reviewItem>
    <reviewItem>
      <errorID>75af29b3-dbbc-4f35-82de-2b00bcface93</errorID>
      <errorWord>II</errorWord>
      <group>L1_Knowledge</group>
      <groupName>知识性问题</groupName>
      <ability>L2_Knowledge</ability>
      <abilityName>其他知识</abilityName>
      <candidateList>
        <item>Ⅱ</item>
      </candidateList>
      <explain>中文环境下罗马数字格式错误。</explain>
      <paraID>45E75AC4</paraID>
      <start>217</start>
      <end>219</end>
      <status>unmodified</status>
      <modifiedWord/>
      <trackRevisions>false</trackRevisions>
    </reviewItem>
    <reviewItem>
      <errorID>7b1e19cb-b2e0-4ff1-90b9-4921c7615bdf</errorID>
      <errorWord>IV</errorWord>
      <group>L1_Knowledge</group>
      <groupName>知识性问题</groupName>
      <ability>L2_Knowledge</ability>
      <abilityName>其他知识</abilityName>
      <candidateList>
        <item>Ⅳ</item>
      </candidateList>
      <explain>中文环境下罗马数字格式错误。</explain>
      <paraID> 5823949</paraID>
      <start>31</start>
      <end>33</end>
      <status>unmodified</status>
      <modifiedWord/>
      <trackRevisions>false</trackRevisions>
    </reviewItem>
    <reviewItem>
      <errorID>903c9e33-d8dc-418f-bf65-5413d4b2db95</errorID>
      <errorWord>II</errorWord>
      <group>L1_Knowledge</group>
      <groupName>知识性问题</groupName>
      <ability>L2_Knowledge</ability>
      <abilityName>其他知识</abilityName>
      <candidateList>
        <item>Ⅱ</item>
      </candidateList>
      <explain>中文环境下罗马数字格式错误。</explain>
      <paraID>4D7C0B7A</paraID>
      <start>15</start>
      <end>17</end>
      <status>unmodified</status>
      <modifiedWord/>
      <trackRevisions>false</trackRevisions>
    </reviewItem>
    <reviewItem>
      <errorID>cfbe7bf4-46b7-4baf-a7ec-936c66a0dbab</errorID>
      <errorWord>IV</errorWord>
      <group>L1_Knowledge</group>
      <groupName>知识性问题</groupName>
      <ability>L2_Knowledge</ability>
      <abilityName>其他知识</abilityName>
      <candidateList>
        <item>Ⅳ</item>
      </candidateList>
      <explain>中文环境下罗马数字格式错误。</explain>
      <paraID>4DD98325</paraID>
      <start>2</start>
      <end>4</end>
      <status>unmodified</status>
      <modifiedWord/>
      <trackRevisions>false</trackRevisions>
    </reviewItem>
    <reviewItem>
      <errorID>4d319be2-b653-4667-b223-dd84afd5e37e</errorID>
      <errorWord>贮存库</errorWord>
      <group>L1_Word</group>
      <groupName>字词问题</groupName>
      <ability>L2_Typo</ability>
      <abilityName>字词错误</abilityName>
      <candidateList>
        <item>储存库</item>
      </candidateList>
      <explain/>
      <paraID>1F39CA80</paraID>
      <start>25</start>
      <end>28</end>
      <status>unmodified</status>
      <modifiedWord/>
      <trackRevisions>false</trackRevisions>
    </reviewItem>
    <reviewItem>
      <errorID>79647acf-a465-48f5-9f6d-04a553558d01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6D9C27AA</paraID>
      <start>26</start>
      <end>27</end>
      <status>unmodified</status>
      <modifiedWord/>
      <trackRevisions>false</trackRevisions>
    </reviewItem>
    <reviewItem>
      <errorID>1c072704-ca72-4023-9825-6f31dfbd5bda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4959925E</paraID>
      <start>193</start>
      <end>194</end>
      <status>unmodified</status>
      <modifiedWord/>
      <trackRevisions>false</trackRevisions>
    </reviewItem>
    <reviewItem>
      <errorID>ffc70b69-cd92-4220-a497-bed36123f485</errorID>
      <errorWord>-</errorWord>
      <group>L1_Format</group>
      <groupName>格式问题</groupName>
      <ability>L2_HalfPunc_CN</ability>
      <abilityName>全半角问题</abilityName>
      <candidateList>
        <item>－</item>
      </candidateList>
      <explain>文本全半角错误。</explain>
      <paraID>7C93D547</paraID>
      <start>42</start>
      <end>43</end>
      <status>unmodified</status>
      <modifiedWord/>
      <trackRevisions>false</trackRevisions>
    </reviewItem>
    <reviewItem>
      <errorID>6fd59678-1d8d-4992-af41-a5f84b41fa49</errorID>
      <errorWord>-</errorWord>
      <group>L1_Format</group>
      <groupName>格式问题</groupName>
      <ability>L2_HalfPunc_CN</ability>
      <abilityName>全半角问题</abilityName>
      <candidateList>
        <item>－</item>
      </candidateList>
      <explain>文本全半角错误。</explain>
      <paraID>2C7A0A96</paraID>
      <start>17</start>
      <end>18</end>
      <status>unmodified</status>
      <modifiedWord/>
      <trackRevisions>false</trackRevisions>
    </reviewItem>
    <reviewItem>
      <errorID>793f5e42-0318-436d-bdf7-c110e5999343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E25B86B</paraID>
      <start>90</start>
      <end>91</end>
      <status>unmodified</status>
      <modifiedWord/>
      <trackRevisions>false</trackRevisions>
    </reviewItem>
    <reviewItem>
      <errorID>0271b9f0-5e3a-47dd-8567-808017aa85e9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E25B86B</paraID>
      <start>114</start>
      <end>115</end>
      <status>unmodified</status>
      <modifiedWord/>
      <trackRevisions>false</trackRevisions>
    </reviewItem>
    <reviewItem>
      <errorID>956fd0e2-e531-417b-88d2-17fce45e9804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E25B86B</paraID>
      <start>167</start>
      <end>168</end>
      <status>unmodified</status>
      <modifiedWord/>
      <trackRevisions>false</trackRevisions>
    </reviewItem>
    <reviewItem>
      <errorID>dcf67841-d16c-4d37-83a1-c0b73ea5cac9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3C47F6CE</paraID>
      <start>22</start>
      <end>23</end>
      <status>unmodified</status>
      <modifiedWord/>
      <trackRevisions>false</trackRevisions>
    </reviewItem>
    <reviewItem>
      <errorID>24612392-2d52-4129-ab1c-67feae418722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3C47F6CE</paraID>
      <start>46</start>
      <end>47</end>
      <status>unmodified</status>
      <modifiedWord/>
      <trackRevisions>false</trackRevisions>
    </reviewItem>
    <reviewItem>
      <errorID>2c72093b-9802-4d72-8b92-bdf48041c9b5</errorID>
      <errorWord>-</errorWord>
      <group>L1_Format</group>
      <groupName>格式问题</groupName>
      <ability>L2_HalfPunc_CN</ability>
      <abilityName>全半角问题</abilityName>
      <candidateList>
        <item>－</item>
      </candidateList>
      <explain>文本全半角错误。</explain>
      <paraID>173316C8</paraID>
      <start>37</start>
      <end>38</end>
      <status>unmodified</status>
      <modifiedWord/>
      <trackRevisions>false</trackRevisions>
    </reviewItem>
    <reviewItem>
      <errorID>f828a3b8-ce46-4de0-a718-5c777a76fa63</errorID>
      <errorWord>-</errorWord>
      <group>L1_Format</group>
      <groupName>格式问题</groupName>
      <ability>L2_HalfPunc_CN</ability>
      <abilityName>全半角问题</abilityName>
      <candidateList>
        <item>－</item>
      </candidateList>
      <explain>文本全半角错误。</explain>
      <paraID>186568E7</paraID>
      <start>17</start>
      <end>18</end>
      <status>unmodified</status>
      <modifiedWord/>
      <trackRevisions>false</trackRevisions>
    </reviewItem>
    <reviewItem>
      <errorID>5e778afa-bf7b-492e-9ddb-b93de09671b3</errorID>
      <errorWord>：</errorWord>
      <group>L1_Format</group>
      <groupName>格式问题</groupName>
      <ability>L2_HalfPunc_CN</ability>
      <abilityName>全半角问题</abilityName>
      <candidateList>
        <item>:</item>
      </candidateList>
      <explain>文本全半角错误。</explain>
      <paraID> 5F48082</paraID>
      <start>54</start>
      <end>55</end>
      <status>unmodified</status>
      <modifiedWord/>
      <trackRevisions>false</trackRevisions>
    </reviewItem>
    <reviewItem>
      <errorID>d060aaad-9b49-429e-a5d2-84577f6a81da</errorID>
      <errorWord>：</errorWord>
      <group>L1_Format</group>
      <groupName>格式问题</groupName>
      <ability>L2_HalfPunc_CN</ability>
      <abilityName>全半角问题</abilityName>
      <candidateList>
        <item>:</item>
      </candidateList>
      <explain>文本全半角错误。</explain>
      <paraID> 5F48082</paraID>
      <start>60</start>
      <end>61</end>
      <status>unmodified</status>
      <modifiedWord/>
      <trackRevisions>false</trackRevisions>
    </reviewItem>
    <reviewItem>
      <errorID>e17dbc72-eec9-46d3-957e-f0d1bbed29a3</errorID>
      <errorWord>：</errorWord>
      <group>L1_Format</group>
      <groupName>格式问题</groupName>
      <ability>L2_HalfPunc_CN</ability>
      <abilityName>全半角问题</abilityName>
      <candidateList>
        <item>:</item>
      </candidateList>
      <explain>文本全半角错误。</explain>
      <paraID> 5F48082</paraID>
      <start>156</start>
      <end>157</end>
      <status>unmodified</status>
      <modifiedWord/>
      <trackRevisions>false</trackRevisions>
    </reviewItem>
    <reviewItem>
      <errorID>3c9c3b41-234c-46d6-b926-3f749744a7a3</errorID>
      <errorWord>：</errorWord>
      <group>L1_Format</group>
      <groupName>格式问题</groupName>
      <ability>L2_HalfPunc_CN</ability>
      <abilityName>全半角问题</abilityName>
      <candidateList>
        <item>:</item>
      </candidateList>
      <explain>文本全半角错误。</explain>
      <paraID> 5F48082</paraID>
      <start>163</start>
      <end>164</end>
      <status>unmodified</status>
      <modifiedWord/>
      <trackRevisions>false</trackRevisions>
    </reviewItem>
    <reviewItem>
      <errorID>87284710-7f5c-4eaf-8609-c8fe98bf33f2</errorID>
      <errorWord>：</errorWord>
      <group>L1_Format</group>
      <groupName>格式问题</groupName>
      <ability>L2_HalfPunc_CN</ability>
      <abilityName>全半角问题</abilityName>
      <candidateList>
        <item>:</item>
      </candidateList>
      <explain>文本全半角错误。</explain>
      <paraID>35908012</paraID>
      <start>54</start>
      <end>55</end>
      <status>unmodified</status>
      <modifiedWord/>
      <trackRevisions>false</trackRevisions>
    </reviewItem>
    <reviewItem>
      <errorID>cb99ea8c-047d-4203-92ff-cdb5258b2502</errorID>
      <errorWord>：</errorWord>
      <group>L1_Format</group>
      <groupName>格式问题</groupName>
      <ability>L2_HalfPunc_CN</ability>
      <abilityName>全半角问题</abilityName>
      <candidateList>
        <item>:</item>
      </candidateList>
      <explain>文本全半角错误。</explain>
      <paraID>35908012</paraID>
      <start>60</start>
      <end>61</end>
      <status>unmodified</status>
      <modifiedWord/>
      <trackRevisions>false</trackRevisions>
    </reviewItem>
    <reviewItem>
      <errorID>22444baa-7b71-47c9-9401-95826e61f7c5</errorID>
      <errorWord>：</errorWord>
      <group>L1_Format</group>
      <groupName>格式问题</groupName>
      <ability>L2_HalfPunc_CN</ability>
      <abilityName>全半角问题</abilityName>
      <candidateList>
        <item>:</item>
      </candidateList>
      <explain>文本全半角错误。</explain>
      <paraID>35908012</paraID>
      <start>156</start>
      <end>157</end>
      <status>unmodified</status>
      <modifiedWord/>
      <trackRevisions>false</trackRevisions>
    </reviewItem>
    <reviewItem>
      <errorID>94bf0c58-c0e8-4cd7-bede-08e9b7d930f0</errorID>
      <errorWord>：</errorWord>
      <group>L1_Format</group>
      <groupName>格式问题</groupName>
      <ability>L2_HalfPunc_CN</ability>
      <abilityName>全半角问题</abilityName>
      <candidateList>
        <item>:</item>
      </candidateList>
      <explain>文本全半角错误。</explain>
      <paraID>35908012</paraID>
      <start>163</start>
      <end>164</end>
      <status>unmodified</status>
      <modifiedWord/>
      <trackRevisions>false</trackRevisions>
    </reviewItem>
    <reviewItem>
      <errorID>1cfa37c7-fa3c-4aff-9046-6f4b33ee8e63</errorID>
      <errorWord>，</errorWord>
      <group>L1_Format</group>
      <groupName>格式问题</groupName>
      <ability>L2_HalfPunc_CN</ability>
      <abilityName>全半角问题</abilityName>
      <candidateList>
        <item>, </item>
      </candidateList>
      <explain>文本全半角错误。</explain>
      <paraID>3B44340C</paraID>
      <start>6</start>
      <end>7</end>
      <status>unmodified</status>
      <modifiedWord/>
      <trackRevisions>false</trackRevisions>
    </reviewItem>
    <reviewItem>
      <errorID>625295e5-faab-4ae3-af15-d8ad47e60e57</errorID>
      <errorWord>供风</errorWord>
      <group>L1_Word</group>
      <groupName>字词问题</groupName>
      <ability>L2_Typo</ability>
      <abilityName>字词错误</abilityName>
      <candidateList>
        <item>通风</item>
      </candidateList>
      <explain/>
      <paraID>40BC54AF</paraID>
      <start>2</start>
      <end>4</end>
      <status>unmodified</status>
      <modifiedWord/>
      <trackRevisions>false</trackRevisions>
    </reviewItem>
    <reviewItem>
      <errorID>a365aead-d357-490d-ae41-1984513343c4</errorID>
      <errorWord>,</errorWord>
      <group>L1_Format</group>
      <groupName>格式问题</groupName>
      <ability>L2_HalfPunc_CN</ability>
      <abilityName>全半角问题</abilityName>
      <candidateList>
        <item>，</item>
      </candidateList>
      <explain>文本全半角错误。</explain>
      <paraID>2444150D</paraID>
      <start>6</start>
      <end>7</end>
      <status>unmodified</status>
      <modifiedWord/>
      <trackRevisions>false</trackRevisions>
    </reviewItem>
    <reviewItem>
      <errorID>d99bf44f-37bb-47f1-9e93-242bf9244240</errorID>
      <errorWord>，</errorWord>
      <group>L1_Format</group>
      <groupName>格式问题</groupName>
      <ability>L2_HalfPunc_CN</ability>
      <abilityName>全半角问题</abilityName>
      <candidateList>
        <item>, </item>
      </candidateList>
      <explain>文本全半角错误。</explain>
      <paraID>35F8900C</paraID>
      <start>3</start>
      <end>4</end>
      <status>unmodified</status>
      <modifiedWord/>
      <trackRevisions>false</trackRevisions>
    </reviewItem>
    <reviewItem>
      <errorID>0f71c350-9d45-459e-9e22-e7632801da13</errorID>
      <errorWord>，</errorWord>
      <group>L1_Format</group>
      <groupName>格式问题</groupName>
      <ability>L2_HalfPunc_CN</ability>
      <abilityName>全半角问题</abilityName>
      <candidateList>
        <item>,</item>
      </candidateList>
      <explain>文本全半角错误。</explain>
      <paraID>1647739E</paraID>
      <start>5</start>
      <end>6</end>
      <status>unmodified</status>
      <modifiedWord/>
      <trackRevisions>false</trackRevisions>
    </reviewItem>
    <reviewItem>
      <errorID>d9c8f1d8-32ad-4715-8614-0e5a52c2b11c</errorID>
      <errorWord>，</errorWord>
      <group>L1_Format</group>
      <groupName>格式问题</groupName>
      <ability>L2_HalfPunc_CN</ability>
      <abilityName>全半角问题</abilityName>
      <candidateList>
        <item>, </item>
      </candidateList>
      <explain>文本全半角错误。</explain>
      <paraID>45822E8A</paraID>
      <start>5</start>
      <end>6</end>
      <status>unmodified</status>
      <modifiedWord/>
      <trackRevisions>false</trackRevisions>
    </reviewItem>
    <reviewItem>
      <errorID>fe7a13cf-adc8-4eb6-9696-0509aa9c60b5</errorID>
      <errorWord>，</errorWord>
      <group>L1_Format</group>
      <groupName>格式问题</groupName>
      <ability>L2_HalfPunc_CN</ability>
      <abilityName>全半角问题</abilityName>
      <candidateList>
        <item>, </item>
      </candidateList>
      <explain>文本全半角错误。</explain>
      <paraID>45822E8A</paraID>
      <start>10</start>
      <end>11</end>
      <status>unmodified</status>
      <modifiedWord/>
      <trackRevisions>false</trackRevisions>
    </reviewItem>
    <reviewItem>
      <errorID>1e65e122-4b2e-48f5-aedc-71d26d948bf6</errorID>
      <errorWord>，</errorWord>
      <group>L1_Format</group>
      <groupName>格式问题</groupName>
      <ability>L2_HalfPunc_CN</ability>
      <abilityName>全半角问题</abilityName>
      <candidateList>
        <item>, </item>
      </candidateList>
      <explain>文本全半角错误。</explain>
      <paraID>4B26BEE5</paraID>
      <start>7</start>
      <end>8</end>
      <status>unmodified</status>
      <modifiedWord/>
      <trackRevisions>false</trackRevisions>
    </reviewItem>
    <reviewItem>
      <errorID>53ad9509-85d3-4186-a22b-5c30e7794e7e</errorID>
      <errorWord>,</errorWord>
      <group>L1_Format</group>
      <groupName>格式问题</groupName>
      <ability>L2_HalfPunc_CN</ability>
      <abilityName>全半角问题</abilityName>
      <candidateList>
        <item>，</item>
      </candidateList>
      <explain>文本全半角错误。</explain>
      <paraID>34A969CB</paraID>
      <start>5</start>
      <end>6</end>
      <status>unmodified</status>
      <modifiedWord/>
      <trackRevisions>false</trackRevisions>
    </reviewItem>
    <reviewItem>
      <errorID>0f6c11ac-5759-4681-bdb9-c153bb8331e1</errorID>
      <errorWord>,</errorWord>
      <group>L1_Format</group>
      <groupName>格式问题</groupName>
      <ability>L2_HalfPunc_CN</ability>
      <abilityName>全半角问题</abilityName>
      <candidateList>
        <item>，</item>
      </candidateList>
      <explain>文本全半角错误。</explain>
      <paraID>34A969CB</paraID>
      <start>10</start>
      <end>11</end>
      <status>unmodified</status>
      <modifiedWord/>
      <trackRevisions>false</trackRevisions>
    </reviewItem>
    <reviewItem>
      <errorID>cf99222b-b78a-49ff-9c30-ebfca0f638ee</errorID>
      <errorWord>,</errorWord>
      <group>L1_Format</group>
      <groupName>格式问题</groupName>
      <ability>L2_HalfPunc_CN</ability>
      <abilityName>全半角问题</abilityName>
      <candidateList>
        <item>，</item>
      </candidateList>
      <explain>文本全半角错误。</explain>
      <paraID>4E94C865</paraID>
      <start>5</start>
      <end>6</end>
      <status>unmodified</status>
      <modifiedWord/>
      <trackRevisions>false</trackRevisions>
    </reviewItem>
    <reviewItem>
      <errorID>75967636-b12c-4b0d-8f50-2b6ff80ac37c</errorID>
      <errorWord>,</errorWord>
      <group>L1_Format</group>
      <groupName>格式问题</groupName>
      <ability>L2_HalfPunc_CN</ability>
      <abilityName>全半角问题</abilityName>
      <candidateList>
        <item>，</item>
      </candidateList>
      <explain>文本全半角错误。</explain>
      <paraID>4E94C865</paraID>
      <start>10</start>
      <end>11</end>
      <status>unmodified</status>
      <modifiedWord/>
      <trackRevisions>false</trackRevisions>
    </reviewItem>
    <reviewItem>
      <errorID>31e6d9cd-4161-48df-a71a-c9b69361b2bf</errorID>
      <errorWord>，</errorWord>
      <group>L1_Format</group>
      <groupName>格式问题</groupName>
      <ability>L2_HalfPunc_CN</ability>
      <abilityName>全半角问题</abilityName>
      <candidateList>
        <item>, </item>
      </candidateList>
      <explain>文本全半角错误。</explain>
      <paraID>27D6B27E</paraID>
      <start>7</start>
      <end>8</end>
      <status>unmodified</status>
      <modifiedWord/>
      <trackRevisions>false</trackRevisions>
    </reviewItem>
    <reviewItem>
      <errorID>0f39499e-7234-4e36-9613-abea6da9b3ef</errorID>
      <errorWord>，</errorWord>
      <group>L1_Format</group>
      <groupName>格式问题</groupName>
      <ability>L2_HalfPunc_CN</ability>
      <abilityName>全半角问题</abilityName>
      <candidateList>
        <item>, </item>
      </candidateList>
      <explain>文本全半角错误。</explain>
      <paraID> 8BF7690</paraID>
      <start>7</start>
      <end>8</end>
      <status>unmodified</status>
      <modifiedWord/>
      <trackRevisions>false</trackRevisions>
    </reviewItem>
    <reviewItem>
      <errorID>49ac7299-89e4-4df9-a6ea-ec91d6bc08ce</errorID>
      <errorWord>，</errorWord>
      <group>L1_Format</group>
      <groupName>格式问题</groupName>
      <ability>L2_HalfPunc_CN</ability>
      <abilityName>全半角问题</abilityName>
      <candidateList>
        <item>, </item>
      </candidateList>
      <explain>文本全半角错误。</explain>
      <paraID>5EFC5786</paraID>
      <start>5</start>
      <end>6</end>
      <status>unmodified</status>
      <modifiedWord/>
      <trackRevisions>false</trackRevisions>
    </reviewItem>
    <reviewItem>
      <errorID>be5352e6-3574-4f3a-904e-1f733db9b66c</errorID>
      <errorWord>，</errorWord>
      <group>L1_Format</group>
      <groupName>格式问题</groupName>
      <ability>L2_HalfPunc_CN</ability>
      <abilityName>全半角问题</abilityName>
      <candidateList>
        <item>, </item>
      </candidateList>
      <explain>文本全半角错误。</explain>
      <paraID>5EFC5786</paraID>
      <start>10</start>
      <end>11</end>
      <status>unmodified</status>
      <modifiedWord/>
      <trackRevisions>false</trackRevisions>
    </reviewItem>
    <reviewItem>
      <errorID>a12a3fe7-16f7-42e1-b12c-87a45d8824c7</errorID>
      <errorWord>，</errorWord>
      <group>L1_Format</group>
      <groupName>格式问题</groupName>
      <ability>L2_HalfPunc_CN</ability>
      <abilityName>全半角问题</abilityName>
      <candidateList>
        <item>, </item>
      </candidateList>
      <explain>文本全半角错误。</explain>
      <paraID>2568F02E</paraID>
      <start>7</start>
      <end>8</end>
      <status>unmodified</status>
      <modifiedWord/>
      <trackRevisions>false</trackRevisions>
    </reviewItem>
    <reviewItem>
      <errorID>02578d36-371c-4129-8d0f-941722ef8ec4</errorID>
      <errorWord>，</errorWord>
      <group>L1_Format</group>
      <groupName>格式问题</groupName>
      <ability>L2_HalfPunc_CN</ability>
      <abilityName>全半角问题</abilityName>
      <candidateList>
        <item>, </item>
      </candidateList>
      <explain>文本全半角错误。</explain>
      <paraID>6207452B</paraID>
      <start>6</start>
      <end>7</end>
      <status>unmodified</status>
      <modifiedWord/>
      <trackRevisions>false</trackRevisions>
    </reviewItem>
    <reviewItem>
      <errorID>d972f0c2-5322-4345-9de8-069ee247e58c</errorID>
      <errorWord>，</errorWord>
      <group>L1_Format</group>
      <groupName>格式问题</groupName>
      <ability>L2_HalfPunc_CN</ability>
      <abilityName>全半角问题</abilityName>
      <candidateList>
        <item>, </item>
      </candidateList>
      <explain>文本全半角错误。</explain>
      <paraID>651DF514</paraID>
      <start>6</start>
      <end>7</end>
      <status>unmodified</status>
      <modifiedWord/>
      <trackRevisions>false</trackRevisions>
    </reviewItem>
    <reviewItem>
      <errorID>438a6278-447d-4053-9371-c3cf4868cb90</errorID>
      <errorWord>，</errorWord>
      <group>L1_Format</group>
      <groupName>格式问题</groupName>
      <ability>L2_HalfPunc_CN</ability>
      <abilityName>全半角问题</abilityName>
      <candidateList>
        <item>, </item>
      </candidateList>
      <explain>文本全半角错误。</explain>
      <paraID>5A9BFB1B</paraID>
      <start>6</start>
      <end>7</end>
      <status>unmodified</status>
      <modifiedWord/>
      <trackRevisions>false</trackRevisions>
    </reviewItem>
    <reviewItem>
      <errorID>d20832a3-a9d1-424b-a122-ae8c4db2c8ea</errorID>
      <errorWord>，</errorWord>
      <group>L1_Format</group>
      <groupName>格式问题</groupName>
      <ability>L2_HalfPunc_CN</ability>
      <abilityName>全半角问题</abilityName>
      <candidateList>
        <item>, </item>
      </candidateList>
      <explain>文本全半角错误。</explain>
      <paraID>7EB8CDDB</paraID>
      <start>6</start>
      <end>7</end>
      <status>unmodified</status>
      <modifiedWord/>
      <trackRevisions>false</trackRevisions>
    </reviewItem>
    <reviewItem>
      <errorID>956bf1b0-8c1b-4305-801a-9c380daeb22c</errorID>
      <errorWord>，</errorWord>
      <group>L1_Format</group>
      <groupName>格式问题</groupName>
      <ability>L2_HalfPunc_CN</ability>
      <abilityName>全半角问题</abilityName>
      <candidateList>
        <item>, </item>
      </candidateList>
      <explain>文本全半角错误。</explain>
      <paraID>400D6B50</paraID>
      <start>6</start>
      <end>7</end>
      <status>unmodified</status>
      <modifiedWord/>
      <trackRevisions>false</trackRevisions>
    </reviewItem>
    <reviewItem>
      <errorID>af39bd80-fad7-4242-982f-27fd48575641</errorID>
      <errorWord>，</errorWord>
      <group>L1_Format</group>
      <groupName>格式问题</groupName>
      <ability>L2_HalfPunc_CN</ability>
      <abilityName>全半角问题</abilityName>
      <candidateList>
        <item>, </item>
      </candidateList>
      <explain>文本全半角错误。</explain>
      <paraID>599DB779</paraID>
      <start>6</start>
      <end>7</end>
      <status>unmodified</status>
      <modifiedWord/>
      <trackRevisions>false</trackRevisions>
    </reviewItem>
    <reviewItem>
      <errorID>fad49863-2b5d-4275-be53-5ca3c2dea32f</errorID>
      <errorWord>，</errorWord>
      <group>L1_Format</group>
      <groupName>格式问题</groupName>
      <ability>L2_HalfPunc_CN</ability>
      <abilityName>全半角问题</abilityName>
      <candidateList>
        <item>, </item>
      </candidateList>
      <explain>文本全半角错误。</explain>
      <paraID>1E14CAD9</paraID>
      <start>6</start>
      <end>7</end>
      <status>unmodified</status>
      <modifiedWord/>
      <trackRevisions>false</trackRevisions>
    </reviewItem>
    <reviewItem>
      <errorID>f9d374ca-e1b7-4356-8e43-da1e0f5a9f93</errorID>
      <errorWord>，</errorWord>
      <group>L1_Format</group>
      <groupName>格式问题</groupName>
      <ability>L2_HalfPunc_CN</ability>
      <abilityName>全半角问题</abilityName>
      <candidateList>
        <item>, </item>
      </candidateList>
      <explain>文本全半角错误。</explain>
      <paraID> FF71201</paraID>
      <start>8</start>
      <end>9</end>
      <status>unmodified</status>
      <modifiedWord/>
      <trackRevisions>false</trackRevisions>
    </reviewItem>
    <reviewItem>
      <errorID>e80869ff-6392-4694-a0ac-0bd1ecbbd3fb</errorID>
      <errorWord>，</errorWord>
      <group>L1_Format</group>
      <groupName>格式问题</groupName>
      <ability>L2_HalfPunc_CN</ability>
      <abilityName>全半角问题</abilityName>
      <candidateList>
        <item>, </item>
      </candidateList>
      <explain>文本全半角错误。</explain>
      <paraID>6668801A</paraID>
      <start>8</start>
      <end>9</end>
      <status>unmodified</status>
      <modifiedWord/>
      <trackRevisions>false</trackRevisions>
    </reviewItem>
    <reviewItem>
      <errorID>835fef0c-9e70-4f1b-896d-81f4c6e448cf</errorID>
      <errorWord>，</errorWord>
      <group>L1_Format</group>
      <groupName>格式问题</groupName>
      <ability>L2_HalfPunc_CN</ability>
      <abilityName>全半角问题</abilityName>
      <candidateList>
        <item>, </item>
      </candidateList>
      <explain>文本全半角错误。</explain>
      <paraID>6E57F611</paraID>
      <start>8</start>
      <end>9</end>
      <status>unmodified</status>
      <modifiedWord/>
      <trackRevisions>false</trackRevisions>
    </reviewItem>
    <reviewItem>
      <errorID>a698f16a-6ea3-40b6-b936-1ff575094209</errorID>
      <errorWord>，</errorWord>
      <group>L1_Format</group>
      <groupName>格式问题</groupName>
      <ability>L2_HalfPunc_CN</ability>
      <abilityName>全半角问题</abilityName>
      <candidateList>
        <item>, </item>
      </candidateList>
      <explain>文本全半角错误。</explain>
      <paraID>2C14CDDE</paraID>
      <start>7</start>
      <end>8</end>
      <status>unmodified</status>
      <modifiedWord/>
      <trackRevisions>false</trackRevisions>
    </reviewItem>
    <reviewItem>
      <errorID>1a8dfdbf-5098-4314-b616-71536b0d4cb6</errorID>
      <errorWord>，</errorWord>
      <group>L1_Format</group>
      <groupName>格式问题</groupName>
      <ability>L2_HalfPunc_CN</ability>
      <abilityName>全半角问题</abilityName>
      <candidateList>
        <item>, </item>
      </candidateList>
      <explain>文本全半角错误。</explain>
      <paraID>2617664E</paraID>
      <start>8</start>
      <end>9</end>
      <status>unmodified</status>
      <modifiedWord/>
      <trackRevisions>false</trackRevisions>
    </reviewItem>
    <reviewItem>
      <errorID>34d5b0e1-1834-452e-84c4-b42ff6e478b0</errorID>
      <errorWord>，</errorWord>
      <group>L1_Format</group>
      <groupName>格式问题</groupName>
      <ability>L2_HalfPunc_CN</ability>
      <abilityName>全半角问题</abilityName>
      <candidateList>
        <item>, </item>
      </candidateList>
      <explain>文本全半角错误。</explain>
      <paraID>6FEC39C1</paraID>
      <start>7</start>
      <end>8</end>
      <status>unmodified</status>
      <modifiedWord/>
      <trackRevisions>false</trackRevisions>
    </reviewItem>
    <reviewItem>
      <errorID>a736c9ee-ee47-478c-ab15-065f39fffe54</errorID>
      <errorWord>，</errorWord>
      <group>L1_Format</group>
      <groupName>格式问题</groupName>
      <ability>L2_HalfPunc_CN</ability>
      <abilityName>全半角问题</abilityName>
      <candidateList>
        <item>, </item>
      </candidateList>
      <explain>文本全半角错误。</explain>
      <paraID>6C3928E8</paraID>
      <start>4</start>
      <end>5</end>
      <status>unmodified</status>
      <modifiedWord/>
      <trackRevisions>false</trackRevisions>
    </reviewItem>
    <reviewItem>
      <errorID>5fc57286-586a-4659-88e3-954103760aba</errorID>
      <errorWord>，</errorWord>
      <group>L1_Format</group>
      <groupName>格式问题</groupName>
      <ability>L2_HalfPunc_CN</ability>
      <abilityName>全半角问题</abilityName>
      <candidateList>
        <item>, </item>
      </candidateList>
      <explain>文本全半角错误。</explain>
      <paraID>76F73224</paraID>
      <start>5</start>
      <end>6</end>
      <status>unmodified</status>
      <modifiedWord/>
      <trackRevisions>false</trackRevisions>
    </reviewItem>
    <reviewItem>
      <errorID>77b01e59-c0f6-422f-abf9-aa68a92949f6</errorID>
      <errorWord>，</errorWord>
      <group>L1_Format</group>
      <groupName>格式问题</groupName>
      <ability>L2_HalfPunc_CN</ability>
      <abilityName>全半角问题</abilityName>
      <candidateList>
        <item>, </item>
      </candidateList>
      <explain>文本全半角错误。</explain>
      <paraID>2DC1BD68</paraID>
      <start>7</start>
      <end>8</end>
      <status>unmodified</status>
      <modifiedWord/>
      <trackRevisions>false</trackRevisions>
    </reviewItem>
    <reviewItem>
      <errorID>32ba1b6c-cbe4-4c79-a0d5-d7d8f70e58b3</errorID>
      <errorWord>，</errorWord>
      <group>L1_Format</group>
      <groupName>格式问题</groupName>
      <ability>L2_HalfPunc_CN</ability>
      <abilityName>全半角问题</abilityName>
      <candidateList>
        <item>, </item>
      </candidateList>
      <explain>文本全半角错误。</explain>
      <paraID>1DD79863</paraID>
      <start>6</start>
      <end>7</end>
      <status>unmodified</status>
      <modifiedWord/>
      <trackRevisions>false</trackRevisions>
    </reviewItem>
    <reviewItem>
      <errorID>2d4c81b7-33e5-4951-bb82-4514187143af</errorID>
      <errorWord>，</errorWord>
      <group>L1_Format</group>
      <groupName>格式问题</groupName>
      <ability>L2_HalfPunc_CN</ability>
      <abilityName>全半角问题</abilityName>
      <candidateList>
        <item>, </item>
      </candidateList>
      <explain>文本全半角错误。</explain>
      <paraID>3034F389</paraID>
      <start>4</start>
      <end>5</end>
      <status>unmodified</status>
      <modifiedWord/>
      <trackRevisions>false</trackRevisions>
    </reviewItem>
    <reviewItem>
      <errorID>ca3df7fe-ff68-4412-b37e-7535dd8cdbeb</errorID>
      <errorWord>，</errorWord>
      <group>L1_Format</group>
      <groupName>格式问题</groupName>
      <ability>L2_HalfPunc_CN</ability>
      <abilityName>全半角问题</abilityName>
      <candidateList>
        <item>, </item>
      </candidateList>
      <explain>文本全半角错误。</explain>
      <paraID>7CF6E4D5</paraID>
      <start>5</start>
      <end>6</end>
      <status>unmodified</status>
      <modifiedWord/>
      <trackRevisions>false</trackRevisions>
    </reviewItem>
    <reviewItem>
      <errorID>be7aa01d-4593-4bdc-904d-4274638ec7c6</errorID>
      <errorWord>，</errorWord>
      <group>L1_Format</group>
      <groupName>格式问题</groupName>
      <ability>L2_HalfPunc_CN</ability>
      <abilityName>全半角问题</abilityName>
      <candidateList>
        <item>, </item>
      </candidateList>
      <explain>文本全半角错误。</explain>
      <paraID>7FF61085</paraID>
      <start>7</start>
      <end>8</end>
      <status>unmodified</status>
      <modifiedWord/>
      <trackRevisions>false</trackRevisions>
    </reviewItem>
    <reviewItem>
      <errorID>65138b37-9b08-48d4-a1e2-5da44561f5ee</errorID>
      <errorWord>，</errorWord>
      <group>L1_Format</group>
      <groupName>格式问题</groupName>
      <ability>L2_HalfPunc_CN</ability>
      <abilityName>全半角问题</abilityName>
      <candidateList>
        <item>, </item>
      </candidateList>
      <explain>文本全半角错误。</explain>
      <paraID>34BA83A9</paraID>
      <start>9</start>
      <end>10</end>
      <status>unmodified</status>
      <modifiedWord/>
      <trackRevisions>false</trackRevisions>
    </reviewItem>
    <reviewItem>
      <errorID>518427be-70e0-4451-80c1-8d6325dcca5b</errorID>
      <errorWord>，</errorWord>
      <group>L1_Format</group>
      <groupName>格式问题</groupName>
      <ability>L2_HalfPunc_CN</ability>
      <abilityName>全半角问题</abilityName>
      <candidateList>
        <item>, </item>
      </candidateList>
      <explain>文本全半角错误。</explain>
      <paraID>520FF712</paraID>
      <start>9</start>
      <end>10</end>
      <status>unmodified</status>
      <modifiedWord/>
      <trackRevisions>false</trackRevisions>
    </reviewItem>
    <reviewItem>
      <errorID>f044b693-c106-4a24-a784-ba5cc45f950c</errorID>
      <errorWord>，</errorWord>
      <group>L1_Format</group>
      <groupName>格式问题</groupName>
      <ability>L2_HalfPunc_CN</ability>
      <abilityName>全半角问题</abilityName>
      <candidateList>
        <item>, </item>
      </candidateList>
      <explain>文本全半角错误。</explain>
      <paraID>22CE5020</paraID>
      <start>9</start>
      <end>10</end>
      <status>unmodified</status>
      <modifiedWord/>
      <trackRevisions>false</trackRevisions>
    </reviewItem>
    <reviewItem>
      <errorID>fb1b9a89-f7fd-4533-a09e-442697b67a37</errorID>
      <errorWord>，</errorWord>
      <group>L1_Format</group>
      <groupName>格式问题</groupName>
      <ability>L2_HalfPunc_CN</ability>
      <abilityName>全半角问题</abilityName>
      <candidateList>
        <item>, </item>
      </candidateList>
      <explain>文本全半角错误。</explain>
      <paraID>6E94B49C</paraID>
      <start>8</start>
      <end>9</end>
      <status>unmodified</status>
      <modifiedWord/>
      <trackRevisions>false</trackRevisions>
    </reviewItem>
    <reviewItem>
      <errorID>d05f8050-ba59-41ba-ad29-813094d0fb5e</errorID>
      <errorWord>砂子</errorWord>
      <group>L1_Word</group>
      <groupName>字词问题</groupName>
      <ability>L2_Typo</ability>
      <abilityName>字词错误</abilityName>
      <candidateList>
        <item>沙子</item>
      </candidateList>
      <explain>存在发音相同字词的误用。</explain>
      <paraID>15B368CF</paraID>
      <start>0</start>
      <end>2</end>
      <status>unmodified</status>
      <modifiedWord/>
      <trackRevisions>false</trackRevisions>
    </reviewItem>
    <reviewItem>
      <errorID>ab5d4eea-aaa2-4e3f-b3f4-66713a88e823</errorID>
      <errorWord>：</errorWord>
      <group>L1_Format</group>
      <groupName>格式问题</groupName>
      <ability>L2_HalfPunc_CN</ability>
      <abilityName>全半角问题</abilityName>
      <candidateList>
        <item>:</item>
      </candidateList>
      <explain>文本全半角错误。</explain>
      <paraID>5CA4DEE7</paraID>
      <start>2</start>
      <end>3</end>
      <status>unmodified</status>
      <modifiedWord/>
      <trackRevisions>false</trackRevisions>
    </reviewItem>
    <reviewItem>
      <errorID>87e81e38-2ef4-4a7b-ad0c-12330b2ae751</errorID>
      <errorWord>：</errorWord>
      <group>L1_Format</group>
      <groupName>格式问题</groupName>
      <ability>L2_HalfPunc_CN</ability>
      <abilityName>全半角问题</abilityName>
      <candidateList>
        <item>:</item>
      </candidateList>
      <explain>文本全半角错误。</explain>
      <paraID>7EA59FDC</paraID>
      <start>4</start>
      <end>5</end>
      <status>unmodified</status>
      <modifiedWord/>
      <trackRevisions>false</trackRevisions>
    </reviewItem>
    <reviewItem>
      <errorID>b5aa0331-7d02-4070-a92f-00f9bfa8d7f8</errorID>
      <errorWord>：</errorWord>
      <group>L1_Format</group>
      <groupName>格式问题</groupName>
      <ability>L2_HalfPunc_CN</ability>
      <abilityName>全半角问题</abilityName>
      <candidateList>
        <item>:</item>
      </candidateList>
      <explain>文本全半角错误。</explain>
      <paraID>7EA59FDC</paraID>
      <start>25</start>
      <end>26</end>
      <status>unmodified</status>
      <modifiedWord/>
      <trackRevisions>false</trackRevisions>
    </reviewItem>
    <reviewItem>
      <errorID>754518e2-f263-4cdc-a55b-4324d94cf414</errorID>
      <errorWord>：</errorWord>
      <group>L1_Format</group>
      <groupName>格式问题</groupName>
      <ability>L2_HalfPunc_CN</ability>
      <abilityName>全半角问题</abilityName>
      <candidateList>
        <item>:</item>
      </candidateList>
      <explain>文本全半角错误。</explain>
      <paraID>7166E195</paraID>
      <start>8</start>
      <end>9</end>
      <status>unmodified</status>
      <modifiedWord/>
      <trackRevisions>false</trackRevisions>
    </reviewItem>
    <reviewItem>
      <errorID>4b1dc806-0aed-4fb0-bd9f-b2b4104159b6</errorID>
      <errorWord>：</errorWord>
      <group>L1_Format</group>
      <groupName>格式问题</groupName>
      <ability>L2_HalfPunc_CN</ability>
      <abilityName>全半角问题</abilityName>
      <candidateList>
        <item>:</item>
      </candidateList>
      <explain>文本全半角错误。</explain>
      <paraID>7166E195</paraID>
      <start>27</start>
      <end>28</end>
      <status>unmodified</status>
      <modifiedWord/>
      <trackRevisions>false</trackRevisions>
    </reviewItem>
    <reviewItem>
      <errorID>8ce42720-003f-482e-9186-86c9b3b680ce</errorID>
      <errorWord>：/</errorWord>
      <group>L1_Punc</group>
      <groupName>标点问题</groupName>
      <ability>L2_Punc_CN</ability>
      <abilityName>标点符号问题</abilityName>
      <candidateList>
        <item>：</item>
      </candidateList>
      <explain/>
      <paraID>53553A1A</paraID>
      <start>11</start>
      <end>13</end>
      <status>unmodified</status>
      <modifiedWord/>
      <trackRevisions>false</trackRevisions>
    </reviewItem>
    <reviewItem>
      <errorID>c5dacfb1-8887-4b8b-930a-c12e19ac39bd</errorID>
      <errorWord>：/</errorWord>
      <group>L1_Punc</group>
      <groupName>标点问题</groupName>
      <ability>L2_Punc_CN</ability>
      <abilityName>标点符号问题</abilityName>
      <candidateList>
        <item>：</item>
      </candidateList>
      <explain/>
      <paraID>3C9ABE8F</paraID>
      <start>7</start>
      <end>9</end>
      <status>unmodified</status>
      <modifiedWord/>
      <trackRevisions>false</trackRevisions>
    </reviewItem>
    <reviewItem>
      <errorID>027918d0-b4b3-4623-8462-d7c0e85deaa2</errorID>
      <errorWord>：/</errorWord>
      <group>L1_Punc</group>
      <groupName>标点问题</groupName>
      <ability>L2_Punc_CN</ability>
      <abilityName>标点符号问题</abilityName>
      <candidateList>
        <item>：</item>
      </candidateList>
      <explain/>
      <paraID>76F94106</paraID>
      <start>7</start>
      <end>9</end>
      <status>unmodified</status>
      <modifiedWord/>
      <trackRevisions>false</trackRevisions>
    </reviewItem>
    <reviewItem>
      <errorID>67a907fb-e62d-46f5-a3ca-1c5907ffa665</errorID>
      <errorWord>：/</errorWord>
      <group>L1_Punc</group>
      <groupName>标点问题</groupName>
      <ability>L2_Punc_CN</ability>
      <abilityName>标点符号问题</abilityName>
      <candidateList>
        <item>：</item>
      </candidateList>
      <explain/>
      <paraID>2163DEFC</paraID>
      <start>7</start>
      <end>9</end>
      <status>unmodified</status>
      <modifiedWord/>
      <trackRevisions>false</trackRevisions>
    </reviewItem>
    <reviewItem>
      <errorID>fa85b014-cf95-4e1e-8a3e-e2a7a6db48e8</errorID>
      <errorWord>：/</errorWord>
      <group>L1_Punc</group>
      <groupName>标点问题</groupName>
      <ability>L2_Punc_CN</ability>
      <abilityName>标点符号问题</abilityName>
      <candidateList>
        <item>：</item>
      </candidateList>
      <explain/>
      <paraID>40269826</paraID>
      <start>7</start>
      <end>9</end>
      <status>unmodified</status>
      <modifiedWord/>
      <trackRevisions>false</trackRevisions>
    </reviewItem>
    <reviewItem>
      <errorID>85ad31e7-6f34-45d5-9b65-b732dd6030fc</errorID>
      <errorWord>会放</errorWord>
      <group>L1_Word</group>
      <groupName>字词问题</groupName>
      <ability>L2_Typo</ability>
      <abilityName>字词错误</abilityName>
      <candidateList>
        <item>释放</item>
      </candidateList>
      <explain/>
      <paraID>180C004A</paraID>
      <start>82</start>
      <end>84</end>
      <status>unmodified</status>
      <modifiedWord/>
      <trackRevisions>false</trackRevisions>
    </reviewItem>
    <reviewItem>
      <errorID>17f146d4-3cd7-43f5-b17d-3b6cbe2b404c</errorID>
      <errorWord>-</errorWord>
      <group>L1_Format</group>
      <groupName>格式问题</groupName>
      <ability>L2_HalfPunc_CN</ability>
      <abilityName>全半角问题</abilityName>
      <candidateList>
        <item>－</item>
      </candidateList>
      <explain>文本全半角错误。</explain>
      <paraID>401B6316</paraID>
      <start>60</start>
      <end>61</end>
      <status>unmodified</status>
      <modifiedWord/>
      <trackRevisions>false</trackRevisions>
    </reviewItem>
    <reviewItem>
      <errorID>ef2ee469-6278-4645-9e81-9931d61252f7</errorID>
      <errorWord>-</errorWord>
      <group>L1_Format</group>
      <groupName>格式问题</groupName>
      <ability>L2_HalfPunc_CN</ability>
      <abilityName>全半角问题</abilityName>
      <candidateList>
        <item>－</item>
      </candidateList>
      <explain>文本全半角错误。</explain>
      <paraID>26FA0BD0</paraID>
      <start>22</start>
      <end>23</end>
      <status>unmodified</status>
      <modifiedWord/>
      <trackRevisions>false</trackRevisions>
    </reviewItem>
    <reviewItem>
      <errorID>c10b405a-9c06-4ce7-878e-8b7304db0ee8</errorID>
      <errorWord>，</errorWord>
      <group>L1_Format</group>
      <groupName>格式问题</groupName>
      <ability>L2_HalfPunc_CN</ability>
      <abilityName>全半角问题</abilityName>
      <candidateList>
        <item>, </item>
      </candidateList>
      <explain>文本全半角错误。</explain>
      <paraID>356516CE</paraID>
      <start>38</start>
      <end>39</end>
      <status>unmodified</status>
      <modifiedWord/>
      <trackRevisions>false</trackRevisions>
    </reviewItem>
    <reviewItem>
      <errorID>a360ed0d-ad53-41ab-b4ce-4fb943ddcf22</errorID>
      <errorWord>，</errorWord>
      <group>L1_Format</group>
      <groupName>格式问题</groupName>
      <ability>L2_HalfPunc_CN</ability>
      <abilityName>全半角问题</abilityName>
      <candidateList>
        <item>, </item>
      </candidateList>
      <explain>文本全半角错误。</explain>
      <paraID>356516CE</paraID>
      <start>44</start>
      <end>45</end>
      <status>unmodified</status>
      <modifiedWord/>
      <trackRevisions>false</trackRevisions>
    </reviewItem>
    <reviewItem>
      <errorID>9abca795-2104-4185-9786-02734bb36cca</errorID>
      <errorWord>。</errorWord>
      <group>L1_Format</group>
      <groupName>格式问题</groupName>
      <ability>L2_HalfPunc_CN</ability>
      <abilityName>全半角问题</abilityName>
      <candidateList>
        <item>.</item>
      </candidateList>
      <explain>文本全半角错误。</explain>
      <paraID>356516CE</paraID>
      <start>52</start>
      <end>53</end>
      <status>unmodified</status>
      <modifiedWord/>
      <trackRevisions>false</trackRevisions>
    </reviewItem>
    <reviewItem>
      <errorID>381abc0e-5f71-4651-90e1-1981651e5354</errorID>
      <errorWord>到达</errorWord>
      <group>L1_Word</group>
      <groupName>字词问题</groupName>
      <ability>L2_Typo</ability>
      <abilityName>字词错误</abilityName>
      <candidateList>
        <item>到</item>
      </candidateList>
      <explain/>
      <paraID>26641222</paraID>
      <start>132</start>
      <end>134</end>
      <status>unmodified</status>
      <modifiedWord/>
      <trackRevisions>false</trackRevisions>
    </reviewItem>
    <reviewItem>
      <errorID>860d6c66-2530-49aa-a7c9-2adc366752f8</errorID>
      <errorWord>矿</errorWord>
      <group>L1_Word</group>
      <groupName>字词问题</groupName>
      <ability>L2_Typo</ability>
      <abilityName>字词错误</abilityName>
      <candidateList>
        <item>料</item>
      </candidateList>
      <explain/>
      <paraID> E845051</paraID>
      <start>44</start>
      <end>45</end>
      <status>unmodified</status>
      <modifiedWord/>
      <trackRevisions>false</trackRevisions>
    </reviewItem>
    <reviewItem>
      <errorID>261885ac-80b1-42bb-ae34-1fed9d0d282f</errorID>
      <errorWord>II</errorWord>
      <group>L1_Knowledge</group>
      <groupName>知识性问题</groupName>
      <ability>L2_Knowledge</ability>
      <abilityName>其他知识</abilityName>
      <candidateList>
        <item>Ⅱ</item>
      </candidateList>
      <explain>中文环境下罗马数字格式错误。</explain>
      <paraID>6B832478</paraID>
      <start>2</start>
      <end>4</end>
      <status>unmodified</status>
      <modifiedWord/>
      <trackRevisions>false</trackRevisions>
    </reviewItem>
    <reviewItem>
      <errorID>4266b997-fa54-420f-b890-2d054e1efc41</errorID>
      <errorWord>II</errorWord>
      <group>L1_Knowledge</group>
      <groupName>知识性问题</groupName>
      <ability>L2_Knowledge</ability>
      <abilityName>其他知识</abilityName>
      <candidateList>
        <item>Ⅱ</item>
      </candidateList>
      <explain>中文环境下罗马数字格式错误。</explain>
      <paraID>6B832478</paraID>
      <start>98</start>
      <end>100</end>
      <status>unmodified</status>
      <modifiedWord/>
      <trackRevisions>false</trackRevisions>
    </reviewItem>
    <reviewItem>
      <errorID>cc9c1f56-552d-49ee-b77a-a5beab1b1ed1</errorID>
      <errorWord>II</errorWord>
      <group>L1_Knowledge</group>
      <groupName>知识性问题</groupName>
      <ability>L2_Knowledge</ability>
      <abilityName>其他知识</abilityName>
      <candidateList>
        <item>Ⅱ</item>
      </candidateList>
      <explain>中文环境下罗马数字格式错误。</explain>
      <paraID>6B832478</paraID>
      <start>105</start>
      <end>107</end>
      <status>unmodified</status>
      <modifiedWord/>
      <trackRevisions>false</trackRevisions>
    </reviewItem>
    <reviewItem>
      <errorID>26c03912-28de-4876-a193-dde02728b434</errorID>
      <errorWord>III</errorWord>
      <group>L1_Knowledge</group>
      <groupName>知识性问题</groupName>
      <ability>L2_Knowledge</ability>
      <abilityName>其他知识</abilityName>
      <candidateList>
        <item>Ⅲ</item>
      </candidateList>
      <explain>中文环境下罗马数字格式错误。</explain>
      <paraID>6B832478</paraID>
      <start>152</start>
      <end>155</end>
      <status>unmodified</status>
      <modifiedWord/>
      <trackRevisions>false</trackRevisions>
    </reviewItem>
    <reviewItem>
      <errorID>e69dde4f-3f1d-42bd-836f-ebc02bac7271</errorID>
      <errorWord>III</errorWord>
      <group>L1_Knowledge</group>
      <groupName>知识性问题</groupName>
      <ability>L2_Knowledge</ability>
      <abilityName>其他知识</abilityName>
      <candidateList>
        <item>Ⅲ</item>
      </candidateList>
      <explain>中文环境下罗马数字格式错误。</explain>
      <paraID>6B832478</paraID>
      <start>181</start>
      <end>184</end>
      <status>unmodified</status>
      <modifiedWord/>
      <trackRevisions>false</trackRevisions>
    </reviewItem>
    <reviewItem>
      <errorID>aed3dcb2-590d-4287-8ad0-eb84c9998d8d</errorID>
      <errorWord>II</errorWord>
      <group>L1_Knowledge</group>
      <groupName>知识性问题</groupName>
      <ability>L2_Knowledge</ability>
      <abilityName>其他知识</abilityName>
      <candidateList>
        <item>Ⅱ</item>
      </candidateList>
      <explain>中文环境下罗马数字格式错误。</explain>
      <paraID>6B832478</paraID>
      <start>192</start>
      <end>194</end>
      <status>unmodified</status>
      <modifiedWord/>
      <trackRevisions>false</trackRevisions>
    </reviewItem>
    <reviewItem>
      <errorID>d4ed7ab7-6ed7-4399-a396-eb785983afbc</errorID>
      <errorWord>II</errorWord>
      <group>L1_Knowledge</group>
      <groupName>知识性问题</groupName>
      <ability>L2_Knowledge</ability>
      <abilityName>其他知识</abilityName>
      <candidateList>
        <item>Ⅱ</item>
      </candidateList>
      <explain>中文环境下罗马数字格式错误。</explain>
      <paraID>6D2FEEEF</paraID>
      <start>159</start>
      <end>161</end>
      <status>unmodified</status>
      <modifiedWord/>
      <trackRevisions>false</trackRevisions>
    </reviewItem>
    <reviewItem>
      <errorID>aab697e5-6fae-4cf0-bafe-43258c29d746</errorID>
      <errorWord>II</errorWord>
      <group>L1_Knowledge</group>
      <groupName>知识性问题</groupName>
      <ability>L2_Knowledge</ability>
      <abilityName>其他知识</abilityName>
      <candidateList>
        <item>Ⅱ</item>
      </candidateList>
      <explain>中文环境下罗马数字格式错误。</explain>
      <paraID>6D2FEEEF</paraID>
      <start>252</start>
      <end>254</end>
      <status>unmodified</status>
      <modifiedWord/>
      <trackRevisions>false</trackRevisions>
    </reviewItem>
    <reviewItem>
      <errorID>ba7f4946-851e-4cdc-b742-95538eeece54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CEC1569</paraID>
      <start>0</start>
      <end>2</end>
      <status>unmodified</status>
      <modifiedWord/>
      <trackRevisions>false</trackRevisions>
    </reviewItem>
    <reviewItem>
      <errorID>718cb1fc-046d-4a50-b4b1-ed8cbd8a3730</errorID>
      <errorWord>＋</errorWord>
      <group>L1_Format</group>
      <groupName>格式问题</groupName>
      <ability>L2_HalfPunc_CN</ability>
      <abilityName>全半角问题</abilityName>
      <candidateList>
        <item>+</item>
      </candidateList>
      <explain>文本全半角错误。</explain>
      <paraID>5609D048</paraID>
      <start>11</start>
      <end>12</end>
      <status>unmodified</status>
      <modifiedWord/>
      <trackRevisions>false</trackRevisions>
    </reviewItem>
    <reviewItem>
      <errorID>a6b57897-47b3-4682-a2c0-4978aedae93b</errorID>
      <errorWord>＋</errorWord>
      <group>L1_Format</group>
      <groupName>格式问题</groupName>
      <ability>L2_HalfPunc_CN</ability>
      <abilityName>全半角问题</abilityName>
      <candidateList>
        <item>+</item>
      </candidateList>
      <explain>文本全半角错误。</explain>
      <paraID>5609D048</paraID>
      <start>16</start>
      <end>17</end>
      <status>unmodified</status>
      <modifiedWord/>
      <trackRevisions>false</trackRevisions>
    </reviewItem>
    <reviewItem>
      <errorID>08965f74-3562-4b98-9e50-850b4bd180ed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7137597D</paraID>
      <start>0</start>
      <end>2</end>
      <status>unmodified</status>
      <modifiedWord/>
      <trackRevisions>false</trackRevisions>
    </reviewItem>
    <reviewItem>
      <errorID>9ee9b9a0-30df-424a-a0fd-7c34868bd0ec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65C4CEFF</paraID>
      <start>0</start>
      <end>2</end>
      <status>unmodified</status>
      <modifiedWord/>
      <trackRevisions>false</trackRevisions>
    </reviewItem>
    <reviewItem>
      <errorID>a06b667b-cc76-4505-ba68-041d93a00216</errorID>
      <errorWord>（</errorWord>
      <group>L1_Format</group>
      <groupName>格式问题</groupName>
      <ability>L2_HalfPunc_CN</ability>
      <abilityName>全半角问题</abilityName>
      <candidateList>
        <item>(</item>
      </candidateList>
      <explain>文本全半角错误。</explain>
      <paraID>2FA01655</paraID>
      <start>27</start>
      <end>28</end>
      <status>unmodified</status>
      <modifiedWord/>
      <trackRevisions>false</trackRevisions>
    </reviewItem>
    <reviewItem>
      <errorID>36c3134a-93ff-4cba-a25a-d582170cef3c</errorID>
      <errorWord>）</errorWord>
      <group>L1_Format</group>
      <groupName>格式问题</groupName>
      <ability>L2_HalfPunc_CN</ability>
      <abilityName>全半角问题</abilityName>
      <candidateList>
        <item>)</item>
      </candidateList>
      <explain>文本全半角错误。</explain>
      <paraID>2FA01655</paraID>
      <start>33</start>
      <end>34</end>
      <status>unmodified</status>
      <modifiedWord/>
      <trackRevisions>false</trackRevisions>
    </reviewItem>
    <reviewItem>
      <errorID>f65d816d-e1d2-4610-b1fd-fb2ff0764686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41D1F3A2</paraID>
      <start>0</start>
      <end>2</end>
      <status>unmodified</status>
      <modifiedWord/>
      <trackRevisions>false</trackRevisions>
    </reviewItem>
    <reviewItem>
      <errorID>8ebdc03a-c725-40a7-bbbd-e8a7bb6c1ece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5C8233CE</paraID>
      <start>0</start>
      <end>2</end>
      <status>unmodified</status>
      <modifiedWord/>
      <trackRevisions>false</trackRevisions>
    </reviewItem>
    <reviewItem>
      <errorID>12ec5a43-e262-4d37-aaf9-81e618014fe0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BEABFA3</paraID>
      <start>0</start>
      <end>2</end>
      <status>unmodified</status>
      <modifiedWord/>
      <trackRevisions>false</trackRevisions>
    </reviewItem>
    <reviewItem>
      <errorID>cd22d785-b035-4a14-a599-341e90e997ba</errorID>
      <errorWord>：</errorWord>
      <group>L1_Format</group>
      <groupName>格式问题</groupName>
      <ability>L2_HalfPunc_CN</ability>
      <abilityName>全半角问题</abilityName>
      <candidateList>
        <item>:</item>
      </candidateList>
      <explain>文本全半角错误。</explain>
      <paraID>1C4DF245</paraID>
      <start>118</start>
      <end>119</end>
      <status>unmodified</status>
      <modifiedWord/>
      <trackRevisions>false</trackRevisions>
    </reviewItem>
    <reviewItem>
      <errorID>b476e0e2-fdf3-4bc4-80ba-df83135004f1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7790A27C</paraID>
      <start>0</start>
      <end>2</end>
      <status>unmodified</status>
      <modifiedWord/>
      <trackRevisions>false</trackRevisions>
    </reviewItem>
    <reviewItem>
      <errorID>7eae8225-5dc1-471a-b113-83a83f4fb8ff</errorID>
      <errorWord>（</errorWord>
      <group>L1_Format</group>
      <groupName>格式问题</groupName>
      <ability>L2_HalfPunc_CN</ability>
      <abilityName>全半角问题</abilityName>
      <candidateList>
        <item>(</item>
      </candidateList>
      <explain>文本全半角错误。</explain>
      <paraID>73F8FC4B</paraID>
      <start>0</start>
      <end>1</end>
      <status>unmodified</status>
      <modifiedWord/>
      <trackRevisions>false</trackRevisions>
    </reviewItem>
    <reviewItem>
      <errorID>58099dc0-92b9-4dfe-9cb9-84ea42f1386f</errorID>
      <errorWord>）</errorWord>
      <group>L1_Format</group>
      <groupName>格式问题</groupName>
      <ability>L2_HalfPunc_CN</ability>
      <abilityName>全半角问题</abilityName>
      <candidateList>
        <item>)</item>
      </candidateList>
      <explain>文本全半角错误。</explain>
      <paraID>73F8FC4B</paraID>
      <start>4</start>
      <end>5</end>
      <status>unmodified</status>
      <modifiedWord/>
      <trackRevisions>false</trackRevisions>
    </reviewItem>
    <reviewItem>
      <errorID>4055529e-7bb1-4189-915c-bcc40eb27bbb</errorID>
      <errorWord>：</errorWord>
      <group>L1_Format</group>
      <groupName>格式问题</groupName>
      <ability>L2_HalfPunc_CN</ability>
      <abilityName>全半角问题</abilityName>
      <candidateList>
        <item>:</item>
      </candidateList>
      <explain>文本全半角错误。</explain>
      <paraID>45A598DA</paraID>
      <start>158</start>
      <end>159</end>
      <status>unmodified</status>
      <modifiedWord/>
      <trackRevisions>false</trackRevisions>
    </reviewItem>
    <reviewItem>
      <errorID>b18b5572-8a1e-489a-87a3-e5332bea1520</errorID>
      <errorWord>，</errorWord>
      <group>L1_Format</group>
      <groupName>格式问题</groupName>
      <ability>L2_HalfPunc_CN</ability>
      <abilityName>全半角问题</abilityName>
      <candidateList>
        <item>, </item>
      </candidateList>
      <explain>文本全半角错误。</explain>
      <paraID>542AC558</paraID>
      <start>6</start>
      <end>7</end>
      <status>unmodified</status>
      <modifiedWord/>
      <trackRevisions>false</trackRevisions>
    </reviewItem>
    <reviewItem>
      <errorID>0142e4b7-1d55-4d60-b825-1126bb8ddb6b</errorID>
      <errorWord>，</errorWord>
      <group>L1_Format</group>
      <groupName>格式问题</groupName>
      <ability>L2_HalfPunc_CN</ability>
      <abilityName>全半角问题</abilityName>
      <candidateList>
        <item>, </item>
      </candidateList>
      <explain>文本全半角错误。</explain>
      <paraID>3E72D76A</paraID>
      <start>6</start>
      <end>7</end>
      <status>unmodified</status>
      <modifiedWord/>
      <trackRevisions>false</trackRevisions>
    </reviewItem>
    <reviewItem>
      <errorID>e7d214dc-5218-4e9b-8fc7-dc39ba615f58</errorID>
      <errorWord>，</errorWord>
      <group>L1_Format</group>
      <groupName>格式问题</groupName>
      <ability>L2_HalfPunc_CN</ability>
      <abilityName>全半角问题</abilityName>
      <candidateList>
        <item>, </item>
      </candidateList>
      <explain>文本全半角错误。</explain>
      <paraID>4FAC3E70</paraID>
      <start>6</start>
      <end>7</end>
      <status>unmodified</status>
      <modifiedWord/>
      <trackRevisions>false</trackRevisions>
    </reviewItem>
    <reviewItem>
      <errorID>7d657209-6cf0-4556-a208-3cb9b6856355</errorID>
      <errorWord>，</errorWord>
      <group>L1_Format</group>
      <groupName>格式问题</groupName>
      <ability>L2_HalfPunc_CN</ability>
      <abilityName>全半角问题</abilityName>
      <candidateList>
        <item>, </item>
      </candidateList>
      <explain>文本全半角错误。</explain>
      <paraID>7E84AFFE</paraID>
      <start>6</start>
      <end>7</end>
      <status>unmodified</status>
      <modifiedWord/>
      <trackRevisions>false</trackRevisions>
    </reviewItem>
    <reviewItem>
      <errorID>1c414c96-3812-4eb1-bfb9-ac9007fd74ee</errorID>
      <errorWord>，</errorWord>
      <group>L1_Format</group>
      <groupName>格式问题</groupName>
      <ability>L2_HalfPunc_CN</ability>
      <abilityName>全半角问题</abilityName>
      <candidateList>
        <item>, </item>
      </candidateList>
      <explain>文本全半角错误。</explain>
      <paraID>78F46392</paraID>
      <start>6</start>
      <end>7</end>
      <status>unmodified</status>
      <modifiedWord/>
      <trackRevisions>false</trackRevisions>
    </reviewItem>
    <reviewItem>
      <errorID>d8b1ab52-1a47-4898-ac1a-0987d2f8d96a</errorID>
      <errorWord>，</errorWord>
      <group>L1_Format</group>
      <groupName>格式问题</groupName>
      <ability>L2_HalfPunc_CN</ability>
      <abilityName>全半角问题</abilityName>
      <candidateList>
        <item>, </item>
      </candidateList>
      <explain>文本全半角错误。</explain>
      <paraID>520A026A</paraID>
      <start>6</start>
      <end>7</end>
      <status>unmodified</status>
      <modifiedWord/>
      <trackRevisions>false</trackRevisions>
    </reviewItem>
    <reviewItem>
      <errorID>c3333a5c-3640-4ad2-9d10-cf33f01f4b4e</errorID>
      <errorWord>,</errorWord>
      <group>L1_Format</group>
      <groupName>格式问题</groupName>
      <ability>L2_HalfPunc_CN</ability>
      <abilityName>全半角问题</abilityName>
      <candidateList>
        <item>，</item>
      </candidateList>
      <explain>文本全半角错误。</explain>
      <paraID>29E69139</paraID>
      <start>7</start>
      <end>8</end>
      <status>unmodified</status>
      <modifiedWord/>
      <trackRevisions>false</trackRevisions>
    </reviewItem>
    <reviewItem>
      <errorID>c20bc37e-9246-4597-858c-201d21c5f8c9</errorID>
      <errorWord>,</errorWord>
      <group>L1_Format</group>
      <groupName>格式问题</groupName>
      <ability>L2_HalfPunc_CN</ability>
      <abilityName>全半角问题</abilityName>
      <candidateList>
        <item>，</item>
      </candidateList>
      <explain>文本全半角错误。</explain>
      <paraID> 8CE539C</paraID>
      <start>6</start>
      <end>7</end>
      <status>unmodified</status>
      <modifiedWord/>
      <trackRevisions>false</trackRevisions>
    </reviewItem>
    <reviewItem>
      <errorID>40d21755-9dc0-4dea-aa43-3b7e242d6ee2</errorID>
      <errorWord>,</errorWord>
      <group>L1_Format</group>
      <groupName>格式问题</groupName>
      <ability>L2_HalfPunc_CN</ability>
      <abilityName>全半角问题</abilityName>
      <candidateList>
        <item>，</item>
      </candidateList>
      <explain>文本全半角错误。</explain>
      <paraID>2A579676</paraID>
      <start>3</start>
      <end>4</end>
      <status>unmodified</status>
      <modifiedWord/>
      <trackRevisions>false</trackRevisions>
    </reviewItem>
    <reviewItem>
      <errorID>182640e3-0761-47bc-af5a-0fbc11be06d0</errorID>
      <errorWord>,</errorWord>
      <group>L1_Format</group>
      <groupName>格式问题</groupName>
      <ability>L2_HalfPunc_CN</ability>
      <abilityName>全半角问题</abilityName>
      <candidateList>
        <item>，</item>
      </candidateList>
      <explain>文本全半角错误。</explain>
      <paraID> B56CF28</paraID>
      <start>8</start>
      <end>9</end>
      <status>unmodified</status>
      <modifiedWord/>
      <trackRevisions>false</trackRevisions>
    </reviewItem>
    <reviewItem>
      <errorID>703bf7a1-4f30-4fb3-af28-180c583227c0</errorID>
      <errorWord>,</errorWord>
      <group>L1_Format</group>
      <groupName>格式问题</groupName>
      <ability>L2_HalfPunc_CN</ability>
      <abilityName>全半角问题</abilityName>
      <candidateList>
        <item>，</item>
      </candidateList>
      <explain>文本全半角错误。</explain>
      <paraID>1321CE59</paraID>
      <start>3</start>
      <end>4</end>
      <status>unmodified</status>
      <modifiedWord/>
      <trackRevisions>false</trackRevisions>
    </reviewItem>
    <reviewItem>
      <errorID>a27e4ccc-ba5c-425f-b7eb-167e855d0d59</errorID>
      <errorWord>,</errorWord>
      <group>L1_Format</group>
      <groupName>格式问题</groupName>
      <ability>L2_HalfPunc_CN</ability>
      <abilityName>全半角问题</abilityName>
      <candidateList>
        <item>，</item>
      </candidateList>
      <explain>文本全半角错误。</explain>
      <paraID> 870B120</paraID>
      <start>7</start>
      <end>8</end>
      <status>unmodified</status>
      <modifiedWord/>
      <trackRevisions>false</trackRevisions>
    </reviewItem>
    <reviewItem>
      <errorID>9f87e39a-f115-4292-9a5b-5d54af966617</errorID>
      <errorWord>,</errorWord>
      <group>L1_Format</group>
      <groupName>格式问题</groupName>
      <ability>L2_HalfPunc_CN</ability>
      <abilityName>全半角问题</abilityName>
      <candidateList>
        <item>，</item>
      </candidateList>
      <explain>文本全半角错误。</explain>
      <paraID> 6628A46</paraID>
      <start>8</start>
      <end>9</end>
      <status>unmodified</status>
      <modifiedWord/>
      <trackRevisions>false</trackRevisions>
    </reviewItem>
    <reviewItem>
      <errorID>d22a796c-aedf-44dd-8c71-438e2ed38e63</errorID>
      <errorWord>,</errorWord>
      <group>L1_Format</group>
      <groupName>格式问题</groupName>
      <ability>L2_HalfPunc_CN</ability>
      <abilityName>全半角问题</abilityName>
      <candidateList>
        <item>，</item>
      </candidateList>
      <explain>文本全半角错误。</explain>
      <paraID>568830A8</paraID>
      <start>7</start>
      <end>8</end>
      <status>unmodified</status>
      <modifiedWord/>
      <trackRevisions>false</trackRevisions>
    </reviewItem>
    <reviewItem>
      <errorID>50df6449-e788-4709-838f-d77f925dbf31</errorID>
      <errorWord>,</errorWord>
      <group>L1_Format</group>
      <groupName>格式问题</groupName>
      <ability>L2_HalfPunc_CN</ability>
      <abilityName>全半角问题</abilityName>
      <candidateList>
        <item>，</item>
      </candidateList>
      <explain>文本全半角错误。</explain>
      <paraID>4AB5F9B5</paraID>
      <start>3</start>
      <end>4</end>
      <status>unmodified</status>
      <modifiedWord/>
      <trackRevisions>false</trackRevisions>
    </reviewItem>
    <reviewItem>
      <errorID>2c59eaf7-e58a-4044-a330-ed8cf5ee7544</errorID>
      <errorWord>,</errorWord>
      <group>L1_Format</group>
      <groupName>格式问题</groupName>
      <ability>L2_HalfPunc_CN</ability>
      <abilityName>全半角问题</abilityName>
      <candidateList>
        <item>，</item>
      </candidateList>
      <explain>文本全半角错误。</explain>
      <paraID>14A33F47</paraID>
      <start>7</start>
      <end>8</end>
      <status>unmodified</status>
      <modifiedWord/>
      <trackRevisions>false</trackRevisions>
    </reviewItem>
    <reviewItem>
      <errorID>de9d21af-7ea4-4727-9fe2-fac5f3ef7d70</errorID>
      <errorWord>,</errorWord>
      <group>L1_Format</group>
      <groupName>格式问题</groupName>
      <ability>L2_HalfPunc_CN</ability>
      <abilityName>全半角问题</abilityName>
      <candidateList>
        <item>，</item>
      </candidateList>
      <explain>文本全半角错误。</explain>
      <paraID>41A06BEA</paraID>
      <start>5</start>
      <end>6</end>
      <status>unmodified</status>
      <modifiedWord/>
      <trackRevisions>false</trackRevisions>
    </reviewItem>
    <reviewItem>
      <errorID>3fd8b8ba-8618-4609-aeff-76490c6265ca</errorID>
      <errorWord>,</errorWord>
      <group>L1_Format</group>
      <groupName>格式问题</groupName>
      <ability>L2_HalfPunc_CN</ability>
      <abilityName>全半角问题</abilityName>
      <candidateList>
        <item>，</item>
      </candidateList>
      <explain>文本全半角错误。</explain>
      <paraID>53F286FB</paraID>
      <start>3</start>
      <end>4</end>
      <status>unmodified</status>
      <modifiedWord/>
      <trackRevisions>false</trackRevisions>
    </reviewItem>
    <reviewItem>
      <errorID>cb76a4a6-6fc5-4213-950f-704b9f38a46b</errorID>
      <errorWord>,</errorWord>
      <group>L1_Format</group>
      <groupName>格式问题</groupName>
      <ability>L2_HalfPunc_CN</ability>
      <abilityName>全半角问题</abilityName>
      <candidateList>
        <item>，</item>
      </candidateList>
      <explain>文本全半角错误。</explain>
      <paraID>  E77A84</paraID>
      <start>5</start>
      <end>6</end>
      <status>unmodified</status>
      <modifiedWord/>
      <trackRevisions>false</trackRevisions>
    </reviewItem>
    <reviewItem>
      <errorID>e888540d-9294-4535-9877-c8f28e0e4183</errorID>
      <errorWord>,</errorWord>
      <group>L1_Format</group>
      <groupName>格式问题</groupName>
      <ability>L2_HalfPunc_CN</ability>
      <abilityName>全半角问题</abilityName>
      <candidateList>
        <item>，</item>
      </candidateList>
      <explain>文本全半角错误。</explain>
      <paraID> E8D9288</paraID>
      <start>3</start>
      <end>4</end>
      <status>unmodified</status>
      <modifiedWord/>
      <trackRevisions>false</trackRevisions>
    </reviewItem>
    <reviewItem>
      <errorID>e2dae230-eb82-4104-8a32-e8113b67c061</errorID>
      <errorWord>,</errorWord>
      <group>L1_Format</group>
      <groupName>格式问题</groupName>
      <ability>L2_HalfPunc_CN</ability>
      <abilityName>全半角问题</abilityName>
      <candidateList>
        <item>，</item>
      </candidateList>
      <explain>文本全半角错误。</explain>
      <paraID>46F8B798</paraID>
      <start>3</start>
      <end>4</end>
      <status>unmodified</status>
      <modifiedWord/>
      <trackRevisions>false</trackRevisions>
    </reviewItem>
    <reviewItem>
      <errorID>8d464559-38fd-4564-9993-0b8bfd6f988a</errorID>
      <errorWord>,</errorWord>
      <group>L1_Format</group>
      <groupName>格式问题</groupName>
      <ability>L2_HalfPunc_CN</ability>
      <abilityName>全半角问题</abilityName>
      <candidateList>
        <item>，</item>
      </candidateList>
      <explain>文本全半角错误。</explain>
      <paraID> F24E841</paraID>
      <start>3</start>
      <end>4</end>
      <status>unmodified</status>
      <modifiedWord/>
      <trackRevisions>false</trackRevisions>
    </reviewItem>
    <reviewItem>
      <errorID>9a53fd0c-10c5-40ce-b7fe-1702c277fd1c</errorID>
      <errorWord>,</errorWord>
      <group>L1_Format</group>
      <groupName>格式问题</groupName>
      <ability>L2_HalfPunc_CN</ability>
      <abilityName>全半角问题</abilityName>
      <candidateList>
        <item>，</item>
      </candidateList>
      <explain>文本全半角错误。</explain>
      <paraID>7721CA72</paraID>
      <start>5</start>
      <end>6</end>
      <status>unmodified</status>
      <modifiedWord/>
      <trackRevisions>false</trackRevisions>
    </reviewItem>
    <reviewItem>
      <errorID>f488a4f7-6589-470f-b252-c8afaa920bbe</errorID>
      <errorWord>,</errorWord>
      <group>L1_Format</group>
      <groupName>格式问题</groupName>
      <ability>L2_HalfPunc_CN</ability>
      <abilityName>全半角问题</abilityName>
      <candidateList>
        <item>，</item>
      </candidateList>
      <explain>文本全半角错误。</explain>
      <paraID>4B93A193</paraID>
      <start>3</start>
      <end>4</end>
      <status>unmodified</status>
      <modifiedWord/>
      <trackRevisions>false</trackRevisions>
    </reviewItem>
    <reviewItem>
      <errorID>b68029f2-d0bf-4e1f-83dd-3037ddc30144</errorID>
      <errorWord>,</errorWord>
      <group>L1_Format</group>
      <groupName>格式问题</groupName>
      <ability>L2_HalfPunc_CN</ability>
      <abilityName>全半角问题</abilityName>
      <candidateList>
        <item>，</item>
      </candidateList>
      <explain>文本全半角错误。</explain>
      <paraID>53C8264F</paraID>
      <start>3</start>
      <end>4</end>
      <status>unmodified</status>
      <modifiedWord/>
      <trackRevisions>false</trackRevisions>
    </reviewItem>
    <reviewItem>
      <errorID>602acad2-d7d8-4b94-99b1-33b9aad96b63</errorID>
      <errorWord>,</errorWord>
      <group>L1_Format</group>
      <groupName>格式问题</groupName>
      <ability>L2_HalfPunc_CN</ability>
      <abilityName>全半角问题</abilityName>
      <candidateList>
        <item>，</item>
      </candidateList>
      <explain>文本全半角错误。</explain>
      <paraID>7BABF8A5</paraID>
      <start>5</start>
      <end>6</end>
      <status>unmodified</status>
      <modifiedWord/>
      <trackRevisions>false</trackRevisions>
    </reviewItem>
    <reviewItem>
      <errorID>c86bee33-bf88-480c-a223-b46686898760</errorID>
      <errorWord>,</errorWord>
      <group>L1_Format</group>
      <groupName>格式问题</groupName>
      <ability>L2_HalfPunc_CN</ability>
      <abilityName>全半角问题</abilityName>
      <candidateList>
        <item>，</item>
      </candidateList>
      <explain>文本全半角错误。</explain>
      <paraID>46F6C80E</paraID>
      <start>3</start>
      <end>4</end>
      <status>unmodified</status>
      <modifiedWord/>
      <trackRevisions>false</trackRevisions>
    </reviewItem>
    <reviewItem>
      <errorID>1918a7f3-4c71-41fb-9068-b2cc76428234</errorID>
      <errorWord>,</errorWord>
      <group>L1_Format</group>
      <groupName>格式问题</groupName>
      <ability>L2_HalfPunc_CN</ability>
      <abilityName>全半角问题</abilityName>
      <candidateList>
        <item>，</item>
      </candidateList>
      <explain>文本全半角错误。</explain>
      <paraID>7A2BB97E</paraID>
      <start>8</start>
      <end>9</end>
      <status>unmodified</status>
      <modifiedWord/>
      <trackRevisions>false</trackRevisions>
    </reviewItem>
    <reviewItem>
      <errorID>aca576ac-3539-4627-b81f-4c942160ef3c</errorID>
      <errorWord>,</errorWord>
      <group>L1_Format</group>
      <groupName>格式问题</groupName>
      <ability>L2_HalfPunc_CN</ability>
      <abilityName>全半角问题</abilityName>
      <candidateList>
        <item>，</item>
      </candidateList>
      <explain>文本全半角错误。</explain>
      <paraID>4BEF0171</paraID>
      <start>8</start>
      <end>9</end>
      <status>unmodified</status>
      <modifiedWord/>
      <trackRevisions>false</trackRevisions>
    </reviewItem>
    <reviewItem>
      <errorID>a176c649-6af1-49c7-9f20-1b5a30692745</errorID>
      <errorWord>,</errorWord>
      <group>L1_Format</group>
      <groupName>格式问题</groupName>
      <ability>L2_HalfPunc_CN</ability>
      <abilityName>全半角问题</abilityName>
      <candidateList>
        <item>，</item>
      </candidateList>
      <explain>文本全半角错误。</explain>
      <paraID>5645C3D0</paraID>
      <start>6</start>
      <end>7</end>
      <status>unmodified</status>
      <modifiedWord/>
      <trackRevisions>false</trackRevisions>
    </reviewItem>
    <reviewItem>
      <errorID>0c2fd576-629e-4dc9-8ad2-0929a009072c</errorID>
      <errorWord>,</errorWord>
      <group>L1_Format</group>
      <groupName>格式问题</groupName>
      <ability>L2_HalfPunc_CN</ability>
      <abilityName>全半角问题</abilityName>
      <candidateList>
        <item>，</item>
      </candidateList>
      <explain>文本全半角错误。</explain>
      <paraID> FBC0EFA</paraID>
      <start>3</start>
      <end>4</end>
      <status>unmodified</status>
      <modifiedWord/>
      <trackRevisions>false</trackRevisions>
    </reviewItem>
    <reviewItem>
      <errorID>2d45705d-73bf-4990-9c4b-9b9c94ea4608</errorID>
      <errorWord>,</errorWord>
      <group>L1_Format</group>
      <groupName>格式问题</groupName>
      <ability>L2_HalfPunc_CN</ability>
      <abilityName>全半角问题</abilityName>
      <candidateList>
        <item>，</item>
      </candidateList>
      <explain>文本全半角错误。</explain>
      <paraID>748B1CAA</paraID>
      <start>3</start>
      <end>4</end>
      <status>unmodified</status>
      <modifiedWord/>
      <trackRevisions>false</trackRevisions>
    </reviewItem>
    <reviewItem>
      <errorID>bd67549c-b36d-425e-b617-15a0c2bfd038</errorID>
      <errorWord>,</errorWord>
      <group>L1_Format</group>
      <groupName>格式问题</groupName>
      <ability>L2_HalfPunc_CN</ability>
      <abilityName>全半角问题</abilityName>
      <candidateList>
        <item>，</item>
      </candidateList>
      <explain>文本全半角错误。</explain>
      <paraID>5DB2D6F0</paraID>
      <start>4</start>
      <end>5</end>
      <status>unmodified</status>
      <modifiedWord/>
      <trackRevisions>false</trackRevisions>
    </reviewItem>
    <reviewItem>
      <errorID>1b9d065e-f172-489c-9085-3b909f510950</errorID>
      <errorWord>,</errorWord>
      <group>L1_Format</group>
      <groupName>格式问题</groupName>
      <ability>L2_HalfPunc_CN</ability>
      <abilityName>全半角问题</abilityName>
      <candidateList>
        <item>，</item>
      </candidateList>
      <explain>文本全半角错误。</explain>
      <paraID>6807F027</paraID>
      <start>3</start>
      <end>4</end>
      <status>unmodified</status>
      <modifiedWord/>
      <trackRevisions>false</trackRevisions>
    </reviewItem>
    <reviewItem>
      <errorID>81601b2a-09bf-4737-996c-de3c1f6e2209</errorID>
      <errorWord>提高</errorWord>
      <group>L1_Grammar</group>
      <groupName>语法问题</groupName>
      <ability>L2_Grammar</ability>
      <abilityName>语法错误</abilityName>
      <candidateList>
        <item>增强</item>
      </candidateList>
      <explain>“提高～意识”搭配不当，建议修改为“增强～意识”。</explain>
      <paraID>12BAF55B</paraID>
      <start>145</start>
      <end>147</end>
      <status>unmodified</status>
      <modifiedWord/>
      <trackRevisions>false</trackRevisions>
    </reviewItem>
    <reviewItem>
      <errorID>5d152c5d-7adc-44c6-b779-b828639150fe</errorID>
      <errorWord>，可</errorWord>
      <group>L1_Word</group>
      <groupName>字词问题</groupName>
      <ability>L2_Typo</ability>
      <abilityName>字词错误</abilityName>
      <candidateList>
        <item>，</item>
      </candidateList>
      <explain/>
      <paraID>49537868</paraID>
      <start>30</start>
      <end>32</end>
      <status>unmodified</status>
      <modifiedWord/>
      <trackRevisions>false</trackRevisions>
    </reviewItem>
    <reviewItem>
      <errorID>5345a627-c35d-4ab0-936f-ac90ae96d320</errorID>
      <errorWord>焉耆县</errorWord>
      <group>L1_Knowledge</group>
      <groupName>知识性问题</groupName>
      <ability>L2_Location</ability>
      <abilityName>地名检查</abilityName>
      <candidateList>
        <item>焉耆回族自治县</item>
      </candidateList>
      <explain>自治区州县缩写不规范。《地名管理条例》第十八条规定，标识牌、公共平台发布的信息、各类公文证件、学习类公开出版物、地图、法律法规规定等场景范围内必须使用标准地名。</explain>
      <paraID>6BE07F1B</paraID>
      <start>119</start>
      <end>122</end>
      <status>unmodified</status>
      <modifiedWord/>
      <trackRevisions>false</trackRevisions>
    </reviewItem>
    <reviewItem>
      <errorID>75da86de-63b6-4435-a51a-86f3132321bf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3F851893</paraID>
      <start>58</start>
      <end>59</end>
      <status>unmodified</status>
      <modifiedWord/>
      <trackRevisions>false</trackRevisions>
    </reviewItem>
    <reviewItem>
      <errorID>55a7ca20-29eb-48af-af74-89958ebef31b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3F851893</paraID>
      <start>72</start>
      <end>73</end>
      <status>unmodified</status>
      <modifiedWord/>
      <trackRevisions>false</trackRevisions>
    </reviewItem>
    <reviewItem>
      <errorID>2bbfcd40-3a26-4654-b33f-dbc31878cf28</errorID>
      <errorWord>-</errorWord>
      <group>L1_Format</group>
      <groupName>格式问题</groupName>
      <ability>L2_HalfPunc_CN</ability>
      <abilityName>全半角问题</abilityName>
      <candidateList>
        <item>－</item>
      </candidateList>
      <explain>文本全半角错误。</explain>
      <paraID>6B8ABF61</paraID>
      <start>26</start>
      <end>27</end>
      <status>unmodified</status>
      <modifiedWord/>
      <trackRevisions>false</trackRevisions>
    </reviewItem>
    <reviewItem>
      <errorID>cb01175c-7856-4177-bdea-498811d73d43</errorID>
      <errorWord>“U”型</errorWord>
      <group>L1_Word</group>
      <groupName>字词问题</groupName>
      <ability>L2_Typo</ability>
      <abilityName>字词错误</abilityName>
      <candidateList>
        <item>“U”形</item>
      </candidateList>
      <explain/>
      <paraID>6B8ABF61</paraID>
      <start>98</start>
      <end>102</end>
      <status>unmodified</status>
      <modifiedWord/>
      <trackRevisions>false</trackRevisions>
    </reviewItem>
    <reviewItem>
      <errorID>73fb79ff-bead-4875-8d2f-7dadd4eb1a66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3EA205FD</paraID>
      <start>111</start>
      <end>112</end>
      <status>unmodified</status>
      <modifiedWord/>
      <trackRevisions>false</trackRevisions>
    </reviewItem>
    <reviewItem>
      <errorID>556c1ef1-bbf0-4719-ba3f-6c8813914a80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3EA205FD</paraID>
      <start>127</start>
      <end>128</end>
      <status>unmodified</status>
      <modifiedWord/>
      <trackRevisions>false</trackRevisions>
    </reviewItem>
    <reviewItem>
      <errorID>09eac89f-1e5b-4037-9ab0-d9d9ca5d9b4f</errorID>
      <errorWord>-</errorWord>
      <group>L1_Format</group>
      <groupName>格式问题</groupName>
      <ability>L2_HalfPunc_CN</ability>
      <abilityName>全半角问题</abilityName>
      <candidateList>
        <item>－</item>
      </candidateList>
      <explain>文本全半角错误。</explain>
      <paraID>542DDBD1</paraID>
      <start>300</start>
      <end>301</end>
      <status>unmodified</status>
      <modifiedWord/>
      <trackRevisions>false</trackRevisions>
    </reviewItem>
    <reviewItem>
      <errorID>b0b68e1f-5edd-4655-b664-633d00bd30ea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2EF6BB12</paraID>
      <start>131</start>
      <end>132</end>
      <status>unmodified</status>
      <modifiedWord/>
      <trackRevisions>false</trackRevisions>
    </reviewItem>
    <reviewItem>
      <errorID>e27ccf5e-0089-48e0-b5a5-e52aced7188b</errorID>
      <errorWord>-</errorWord>
      <group>L1_Format</group>
      <groupName>格式问题</groupName>
      <ability>L2_HalfPunc_CN</ability>
      <abilityName>全半角问题</abilityName>
      <candidateList>
        <item>－</item>
      </candidateList>
      <explain>文本全半角错误。</explain>
      <paraID>387BD0D6</paraID>
      <start>95</start>
      <end>96</end>
      <status>unmodified</status>
      <modifiedWord/>
      <trackRevisions>false</trackRevisions>
    </reviewItem>
    <reviewItem>
      <errorID>90e178af-6eda-48c4-aeaa-623517618516</errorID>
      <errorWord>-</errorWord>
      <group>L1_Format</group>
      <groupName>格式问题</groupName>
      <ability>L2_HalfPunc_CN</ability>
      <abilityName>全半角问题</abilityName>
      <candidateList>
        <item>－</item>
      </candidateList>
      <explain>文本全半角错误。</explain>
      <paraID>387BD0D6</paraID>
      <start>312</start>
      <end>313</end>
      <status>unmodified</status>
      <modifiedWord/>
      <trackRevisions>false</trackRevisions>
    </reviewItem>
    <reviewItem>
      <errorID>d1376fa6-f9c4-4c20-bc46-eb8cc5bcb8df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2FCB89DE</paraID>
      <start>0</start>
      <end>2</end>
      <status>unmodified</status>
      <modifiedWord/>
      <trackRevisions>false</trackRevisions>
    </reviewItem>
    <reviewItem>
      <errorID>cec52520-ade6-4c38-b3fb-f05d7c7f0145</errorID>
      <errorWord>-</errorWord>
      <group>L1_Format</group>
      <groupName>格式问题</groupName>
      <ability>L2_HalfPunc_CN</ability>
      <abilityName>全半角问题</abilityName>
      <candidateList>
        <item>－</item>
      </candidateList>
      <explain>文本全半角错误。</explain>
      <paraID>2FCB89DE</paraID>
      <start>8</start>
      <end>9</end>
      <status>unmodified</status>
      <modifiedWord/>
      <trackRevisions>false</trackRevisions>
    </reviewItem>
    <reviewItem>
      <errorID>eba7d8de-237b-435d-a78d-5bb0d4c46aae</errorID>
      <errorWord>-</errorWord>
      <group>L1_Format</group>
      <groupName>格式问题</groupName>
      <ability>L2_HalfPunc_CN</ability>
      <abilityName>全半角问题</abilityName>
      <candidateList>
        <item>－</item>
      </candidateList>
      <explain>文本全半角错误。</explain>
      <paraID>2FCB89DE</paraID>
      <start>11</start>
      <end>12</end>
      <status>unmodified</status>
      <modifiedWord/>
      <trackRevisions>false</trackRevisions>
    </reviewItem>
    <reviewItem>
      <errorID>59597394-94ec-4445-993d-24984b6eec14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1CD699BD</paraID>
      <start>0</start>
      <end>2</end>
      <status>unmodified</status>
      <modifiedWord/>
      <trackRevisions>false</trackRevisions>
    </reviewItem>
    <reviewItem>
      <errorID>0902c723-c540-470b-b48a-b115c5c3408e</errorID>
      <errorWord>-</errorWord>
      <group>L1_Format</group>
      <groupName>格式问题</groupName>
      <ability>L2_HalfPunc_CN</ability>
      <abilityName>全半角问题</abilityName>
      <candidateList>
        <item>－</item>
      </candidateList>
      <explain>文本全半角错误。</explain>
      <paraID>1CD699BD</paraID>
      <start>11</start>
      <end>12</end>
      <status>unmodified</status>
      <modifiedWord/>
      <trackRevisions>false</trackRevisions>
    </reviewItem>
    <reviewItem>
      <errorID>a84ebc92-b24f-4e5b-ac0d-b50459d1719c</errorID>
      <errorWord>（&gt;</errorWord>
      <group>L1_Punc</group>
      <groupName>标点问题</groupName>
      <ability>L2_Punc_CN</ability>
      <abilityName>标点符号问题</abilityName>
      <candidateList>
        <item>（</item>
      </candidateList>
      <explain/>
      <paraID>1C21E937</paraID>
      <start>282</start>
      <end>284</end>
      <status>unmodified</status>
      <modifiedWord/>
      <trackRevisions>false</trackRevisions>
    </reviewItem>
    <reviewItem>
      <errorID>fb33bddd-76bc-49e6-8cc3-838e3c7927f7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69223C3A</paraID>
      <start>65</start>
      <end>66</end>
      <status>unmodified</status>
      <modifiedWord/>
      <trackRevisions>false</trackRevisions>
    </reviewItem>
    <reviewItem>
      <errorID>f9f7b9f9-8e37-4a75-b0e7-9c241d0f220e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3036A374</paraID>
      <start>25</start>
      <end>26</end>
      <status>unmodified</status>
      <modifiedWord/>
      <trackRevisions>false</trackRevisions>
    </reviewItem>
    <reviewItem>
      <errorID>6f0b5943-8f6f-4c51-ad76-dbd0cbb10ad5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3036A374</paraID>
      <start>42</start>
      <end>43</end>
      <status>unmodified</status>
      <modifiedWord/>
      <trackRevisions>false</trackRevisions>
    </reviewItem>
    <reviewItem>
      <errorID>8dd37dd7-9648-4204-a855-a05cacaa3ff6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3036A374</paraID>
      <start>69</start>
      <end>70</end>
      <status>unmodified</status>
      <modifiedWord/>
      <trackRevisions>false</trackRevisions>
    </reviewItem>
    <reviewItem>
      <errorID>f2590ba0-bb7b-4e03-8326-42e74a12b514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619FC846</paraID>
      <start>127</start>
      <end>128</end>
      <status>unmodified</status>
      <modifiedWord/>
      <trackRevisions>false</trackRevisions>
    </reviewItem>
    <reviewItem>
      <errorID>d4774124-2964-4231-8dbf-e58786cbbaf6</errorID>
      <errorWord>-</errorWord>
      <group>L1_Format</group>
      <groupName>格式问题</groupName>
      <ability>L2_HalfPunc_CN</ability>
      <abilityName>全半角问题</abilityName>
      <candidateList>
        <item>－</item>
      </candidateList>
      <explain>文本全半角错误。</explain>
      <paraID>3BF70A0D</paraID>
      <start>20</start>
      <end>21</end>
      <status>unmodified</status>
      <modifiedWord/>
      <trackRevisions>false</trackRevisions>
    </reviewItem>
    <reviewItem>
      <errorID>513eeaad-4497-4237-bf9e-e545d95adcf4</errorID>
      <errorWord>-</errorWord>
      <group>L1_Format</group>
      <groupName>格式问题</groupName>
      <ability>L2_HalfPunc_CN</ability>
      <abilityName>全半角问题</abilityName>
      <candidateList>
        <item>－</item>
      </candidateList>
      <explain>文本全半角错误。</explain>
      <paraID>3BF70A0D</paraID>
      <start>93</start>
      <end>94</end>
      <status>unmodified</status>
      <modifiedWord/>
      <trackRevisions>false</trackRevisions>
    </reviewItem>
    <reviewItem>
      <errorID>0573f492-0553-4ec8-a3ab-a6759ec6aa9a</errorID>
      <errorWord>-</errorWord>
      <group>L1_Format</group>
      <groupName>格式问题</groupName>
      <ability>L2_HalfPunc_CN</ability>
      <abilityName>全半角问题</abilityName>
      <candidateList>
        <item>－</item>
      </candidateList>
      <explain>文本全半角错误。</explain>
      <paraID>3BF70A0D</paraID>
      <start>125</start>
      <end>126</end>
      <status>unmodified</status>
      <modifiedWord/>
      <trackRevisions>false</trackRevisions>
    </reviewItem>
    <reviewItem>
      <errorID>ca1d2c2b-13c9-4acc-a8b0-430060b3306c</errorID>
      <errorWord>-</errorWord>
      <group>L1_Format</group>
      <groupName>格式问题</groupName>
      <ability>L2_HalfPunc_CN</ability>
      <abilityName>全半角问题</abilityName>
      <candidateList>
        <item>－</item>
      </candidateList>
      <explain>文本全半角错误。</explain>
      <paraID> 125BA17</paraID>
      <start>53</start>
      <end>54</end>
      <status>unmodified</status>
      <modifiedWord/>
      <trackRevisions>false</trackRevisions>
    </reviewItem>
    <reviewItem>
      <errorID>547ad2f5-fb26-4621-8ea9-d0d34ad53bad</errorID>
      <errorWord>-</errorWord>
      <group>L1_Format</group>
      <groupName>格式问题</groupName>
      <ability>L2_HalfPunc_CN</ability>
      <abilityName>全半角问题</abilityName>
      <candidateList>
        <item>－</item>
      </candidateList>
      <explain>文本全半角错误。</explain>
      <paraID> 125BA17</paraID>
      <start>60</start>
      <end>61</end>
      <status>unmodified</status>
      <modifiedWord/>
      <trackRevisions>false</trackRevisions>
    </reviewItem>
    <reviewItem>
      <errorID>743d8ca2-d13e-41d6-9392-e0f7a70c8bf1</errorID>
      <errorWord>（</errorWord>
      <group>L1_Format</group>
      <groupName>格式问题</groupName>
      <ability>L2_HalfPunc_CN</ability>
      <abilityName>全半角问题</abilityName>
      <candidateList>
        <item>(</item>
      </candidateList>
      <explain>文本全半角错误。</explain>
      <paraID>5A7C1686</paraID>
      <start>2</start>
      <end>3</end>
      <status>unmodified</status>
      <modifiedWord/>
      <trackRevisions>false</trackRevisions>
    </reviewItem>
    <reviewItem>
      <errorID>5edcd5f4-2581-4777-aee7-9ce2fe87ae33</errorID>
      <errorWord>）</errorWord>
      <group>L1_Format</group>
      <groupName>格式问题</groupName>
      <ability>L2_HalfPunc_CN</ability>
      <abilityName>全半角问题</abilityName>
      <candidateList>
        <item>)</item>
      </candidateList>
      <explain>文本全半角错误。</explain>
      <paraID>5A7C1686</paraID>
      <start>8</start>
      <end>9</end>
      <status>unmodified</status>
      <modifiedWord/>
      <trackRevisions>false</trackRevisions>
    </reviewItem>
    <reviewItem>
      <errorID>981470ea-158e-49f5-8801-9b828858042e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3B8D6B9E</paraID>
      <start>15</start>
      <end>16</end>
      <status>unmodified</status>
      <modifiedWord/>
      <trackRevisions>false</trackRevisions>
    </reviewItem>
    <reviewItem>
      <errorID>464d6890-5bc8-4944-a130-45c0683e2c21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2A850B2</paraID>
      <start>10</start>
      <end>11</end>
      <status>unmodified</status>
      <modifiedWord/>
      <trackRevisions>false</trackRevisions>
    </reviewItem>
    <reviewItem>
      <errorID>67844cba-16e4-40c8-8224-823ee9c6db61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327F3C91</paraID>
      <start>10</start>
      <end>11</end>
      <status>unmodified</status>
      <modifiedWord/>
      <trackRevisions>false</trackRevisions>
    </reviewItem>
    <reviewItem>
      <errorID>d7144135-0b6e-49cc-ab11-412655d6c346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52A198ED</paraID>
      <start>9</start>
      <end>10</end>
      <status>unmodified</status>
      <modifiedWord/>
      <trackRevisions>false</trackRevisions>
    </reviewItem>
    <reviewItem>
      <errorID>f71b1128-1450-42b6-a9a6-85c7e56b70eb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3386E35A</paraID>
      <start>9</start>
      <end>10</end>
      <status>unmodified</status>
      <modifiedWord/>
      <trackRevisions>false</trackRevisions>
    </reviewItem>
    <reviewItem>
      <errorID>6e300f22-7744-495c-a762-5ad201d4b9ee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1B770CB</paraID>
      <start>9</start>
      <end>10</end>
      <status>unmodified</status>
      <modifiedWord/>
      <trackRevisions>false</trackRevisions>
    </reviewItem>
    <reviewItem>
      <errorID>398cbbb5-7d91-470b-be1d-0d05b2fd9761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7A6181F8</paraID>
      <start>9</start>
      <end>10</end>
      <status>unmodified</status>
      <modifiedWord/>
      <trackRevisions>false</trackRevisions>
    </reviewItem>
    <reviewItem>
      <errorID>396f250b-7d92-4c6b-8aea-fbe97b04160d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13283869</paraID>
      <start>9</start>
      <end>10</end>
      <status>unmodified</status>
      <modifiedWord/>
      <trackRevisions>false</trackRevisions>
    </reviewItem>
    <reviewItem>
      <errorID>71671bfb-05b0-45f0-8dc4-eb7c5c301c50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711E27B0</paraID>
      <start>10</start>
      <end>11</end>
      <status>unmodified</status>
      <modifiedWord/>
      <trackRevisions>false</trackRevisions>
    </reviewItem>
    <reviewItem>
      <errorID>c672e703-c7a0-46b6-a34f-e6a6df2c195c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48135318</paraID>
      <start>10</start>
      <end>11</end>
      <status>unmodified</status>
      <modifiedWord/>
      <trackRevisions>false</trackRevisions>
    </reviewItem>
    <reviewItem>
      <errorID>a509bc89-1a56-4ffb-ba9d-c152309a6c6c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76F98DB8</paraID>
      <start>9</start>
      <end>10</end>
      <status>unmodified</status>
      <modifiedWord/>
      <trackRevisions>false</trackRevisions>
    </reviewItem>
    <reviewItem>
      <errorID>cfcbe1ac-be2e-4a02-9393-89145100b25d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41B8296C</paraID>
      <start>9</start>
      <end>10</end>
      <status>unmodified</status>
      <modifiedWord/>
      <trackRevisions>false</trackRevisions>
    </reviewItem>
    <reviewItem>
      <errorID>ba7fd726-0b8a-40e1-8e85-69ddb8e3fdeb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FFD27ED</paraID>
      <start>9</start>
      <end>10</end>
      <status>unmodified</status>
      <modifiedWord/>
      <trackRevisions>false</trackRevisions>
    </reviewItem>
    <reviewItem>
      <errorID>48b9d13b-49f4-4d54-a125-2a46d853b98b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336D537C</paraID>
      <start>9</start>
      <end>10</end>
      <status>unmodified</status>
      <modifiedWord/>
      <trackRevisions>false</trackRevisions>
    </reviewItem>
    <reviewItem>
      <errorID>e80bd2a8-854c-4e56-a76c-56d0501745ac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1A135559</paraID>
      <start>9</start>
      <end>10</end>
      <status>unmodified</status>
      <modifiedWord/>
      <trackRevisions>false</trackRevisions>
    </reviewItem>
    <reviewItem>
      <errorID>e80ecb14-d075-4249-acda-7f53558cd284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44758683</paraID>
      <start>10</start>
      <end>11</end>
      <status>unmodified</status>
      <modifiedWord/>
      <trackRevisions>false</trackRevisions>
    </reviewItem>
    <reviewItem>
      <errorID>7cad9823-70b3-4775-b342-311243dafb1c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AAE7F9</paraID>
      <start>10</start>
      <end>11</end>
      <status>unmodified</status>
      <modifiedWord/>
      <trackRevisions>false</trackRevisions>
    </reviewItem>
    <reviewItem>
      <errorID>ae1e4210-43b7-4b31-ae5a-b3adf118bf1b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45C019A5</paraID>
      <start>9</start>
      <end>10</end>
      <status>unmodified</status>
      <modifiedWord/>
      <trackRevisions>false</trackRevisions>
    </reviewItem>
    <reviewItem>
      <errorID>59eeffd9-48b1-4be3-8cfc-089889c9d3fd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5FB0AE6</paraID>
      <start>9</start>
      <end>10</end>
      <status>unmodified</status>
      <modifiedWord/>
      <trackRevisions>false</trackRevisions>
    </reviewItem>
    <reviewItem>
      <errorID>632fb1ee-834f-49e9-8743-33e9d1e387cc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6D1C7CFE</paraID>
      <start>9</start>
      <end>10</end>
      <status>unmodified</status>
      <modifiedWord/>
      <trackRevisions>false</trackRevisions>
    </reviewItem>
    <reviewItem>
      <errorID>58ff3df4-d089-4a05-90f9-76f47a78097a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30264382</paraID>
      <start>9</start>
      <end>10</end>
      <status>unmodified</status>
      <modifiedWord/>
      <trackRevisions>false</trackRevisions>
    </reviewItem>
    <reviewItem>
      <errorID>b9ed7e8c-618f-4405-b7be-f2f4a4fd471c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7A477F92</paraID>
      <start>9</start>
      <end>10</end>
      <status>unmodified</status>
      <modifiedWord/>
      <trackRevisions>false</trackRevisions>
    </reviewItem>
    <reviewItem>
      <errorID>a3b78f93-1df2-41f0-b81c-eafc3ad5796f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542E32EB</paraID>
      <start>10</start>
      <end>11</end>
      <status>unmodified</status>
      <modifiedWord/>
      <trackRevisions>false</trackRevisions>
    </reviewItem>
    <reviewItem>
      <errorID>4e1903f7-4798-4de0-9115-47d14cf66471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3A2ED56D</paraID>
      <start>10</start>
      <end>11</end>
      <status>unmodified</status>
      <modifiedWord/>
      <trackRevisions>false</trackRevisions>
    </reviewItem>
    <reviewItem>
      <errorID>e9aa3e48-165e-41e6-b54b-bf4af52c9703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3B0DFC66</paraID>
      <start>9</start>
      <end>10</end>
      <status>unmodified</status>
      <modifiedWord/>
      <trackRevisions>false</trackRevisions>
    </reviewItem>
    <reviewItem>
      <errorID>0e545467-f478-477c-9602-e6730ba6cb04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8FEACA3</paraID>
      <start>9</start>
      <end>10</end>
      <status>unmodified</status>
      <modifiedWord/>
      <trackRevisions>false</trackRevisions>
    </reviewItem>
    <reviewItem>
      <errorID>c3fcfbb8-a41b-484a-a013-c4377ddff92e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35CCA052</paraID>
      <start>9</start>
      <end>10</end>
      <status>unmodified</status>
      <modifiedWord/>
      <trackRevisions>false</trackRevisions>
    </reviewItem>
    <reviewItem>
      <errorID>62de5d4a-4ebe-4377-b0d7-c682143b6bdf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58C5C9E6</paraID>
      <start>9</start>
      <end>10</end>
      <status>unmodified</status>
      <modifiedWord/>
      <trackRevisions>false</trackRevisions>
    </reviewItem>
    <reviewItem>
      <errorID>d9cbc7b8-8d3a-45cd-a8fb-434a387ae583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4C1D7552</paraID>
      <start>9</start>
      <end>10</end>
      <status>unmodified</status>
      <modifiedWord/>
      <trackRevisions>false</trackRevisions>
    </reviewItem>
    <reviewItem>
      <errorID>13d64c51-104b-402a-bdfe-333107eec89f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4AFB3EAB</paraID>
      <start>10</start>
      <end>11</end>
      <status>unmodified</status>
      <modifiedWord/>
      <trackRevisions>false</trackRevisions>
    </reviewItem>
    <reviewItem>
      <errorID>7959ab27-891f-41bf-8b3e-3689156bfa85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70CFE7BA</paraID>
      <start>10</start>
      <end>11</end>
      <status>unmodified</status>
      <modifiedWord/>
      <trackRevisions>false</trackRevisions>
    </reviewItem>
    <reviewItem>
      <errorID>33e861e7-327d-46e4-bb48-5249e1b1a029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67C086C</paraID>
      <start>9</start>
      <end>10</end>
      <status>unmodified</status>
      <modifiedWord/>
      <trackRevisions>false</trackRevisions>
    </reviewItem>
    <reviewItem>
      <errorID>6ba3f525-8829-477b-bf6a-67b6db0a2d65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557CCE62</paraID>
      <start>9</start>
      <end>10</end>
      <status>unmodified</status>
      <modifiedWord/>
      <trackRevisions>false</trackRevisions>
    </reviewItem>
    <reviewItem>
      <errorID>b078c1d9-a1ec-48ef-91ae-2f7c95f950c9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775EB477</paraID>
      <start>9</start>
      <end>10</end>
      <status>unmodified</status>
      <modifiedWord/>
      <trackRevisions>false</trackRevisions>
    </reviewItem>
    <reviewItem>
      <errorID>3a86df29-0c4e-4c6c-9e73-4a8e6a12ee20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B1167D6</paraID>
      <start>9</start>
      <end>10</end>
      <status>unmodified</status>
      <modifiedWord/>
      <trackRevisions>false</trackRevisions>
    </reviewItem>
    <reviewItem>
      <errorID>4f6a0ef6-ddfe-4dba-8470-aa07bc31f231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4761D3F3</paraID>
      <start>9</start>
      <end>10</end>
      <status>unmodified</status>
      <modifiedWord/>
      <trackRevisions>false</trackRevisions>
    </reviewItem>
    <reviewItem>
      <errorID>c4f0df81-d1ac-4fb6-a432-c9c534d0dee3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271C0529</paraID>
      <start>10</start>
      <end>11</end>
      <status>unmodified</status>
      <modifiedWord/>
      <trackRevisions>false</trackRevisions>
    </reviewItem>
    <reviewItem>
      <errorID>0540155e-b8d2-44a1-becb-948250b5a766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27682493</paraID>
      <start>10</start>
      <end>11</end>
      <status>unmodified</status>
      <modifiedWord/>
      <trackRevisions>false</trackRevisions>
    </reviewItem>
    <reviewItem>
      <errorID>d6344321-e45a-448d-bdbb-a8518f76e1cc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61B8A726</paraID>
      <start>9</start>
      <end>10</end>
      <status>unmodified</status>
      <modifiedWord/>
      <trackRevisions>false</trackRevisions>
    </reviewItem>
    <reviewItem>
      <errorID>b4c4ed86-2c86-485f-9814-e83c9590728c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7C66AA37</paraID>
      <start>9</start>
      <end>10</end>
      <status>unmodified</status>
      <modifiedWord/>
      <trackRevisions>false</trackRevisions>
    </reviewItem>
    <reviewItem>
      <errorID>107bceeb-daa5-460d-9ed7-95a4516cf337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304AE839</paraID>
      <start>9</start>
      <end>10</end>
      <status>unmodified</status>
      <modifiedWord/>
      <trackRevisions>false</trackRevisions>
    </reviewItem>
    <reviewItem>
      <errorID>9243b1fb-6aff-4015-b6e0-637f5cbea96f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2E0BAE9</paraID>
      <start>9</start>
      <end>10</end>
      <status>unmodified</status>
      <modifiedWord/>
      <trackRevisions>false</trackRevisions>
    </reviewItem>
    <reviewItem>
      <errorID>3f4eea69-3217-4832-acd0-35bda888c392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4A9D475E</paraID>
      <start>9</start>
      <end>10</end>
      <status>unmodified</status>
      <modifiedWord/>
      <trackRevisions>false</trackRevisions>
    </reviewItem>
    <reviewItem>
      <errorID>7c8ad40d-789a-43e2-b9d4-d76343771708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3767B0BA</paraID>
      <start>14</start>
      <end>15</end>
      <status>unmodified</status>
      <modifiedWord/>
      <trackRevisions>false</trackRevisions>
    </reviewItem>
    <reviewItem>
      <errorID>590af9fe-4934-44e0-b7c9-10a79ac1572f</errorID>
      <errorWord>（</errorWord>
      <group>L1_Format</group>
      <groupName>格式问题</groupName>
      <ability>L2_HalfPunc_CN</ability>
      <abilityName>全半角问题</abilityName>
      <candidateList>
        <item>(</item>
      </candidateList>
      <explain>文本全半角错误。</explain>
      <paraID> E27375D</paraID>
      <start>38</start>
      <end>39</end>
      <status>unmodified</status>
      <modifiedWord/>
      <trackRevisions>false</trackRevisions>
    </reviewItem>
    <reviewItem>
      <errorID>cd880b6d-7947-4ae2-913c-0dfb95fd1879</errorID>
      <errorWord>）；</errorWord>
      <group>L1_Format</group>
      <groupName>格式问题</groupName>
      <ability>L2_HalfPunc_CN</ability>
      <abilityName>全半角问题</abilityName>
      <candidateList>
        <item>);</item>
      </candidateList>
      <explain>文本全半角错误。</explain>
      <paraID> E27375D</paraID>
      <start>45</start>
      <end>47</end>
      <status>unmodified</status>
      <modifiedWord/>
      <trackRevisions>false</trackRevisions>
    </reviewItem>
    <reviewItem>
      <errorID>b34dde2c-7e42-4211-912b-034042effad8</errorID>
      <errorWord>；</errorWord>
      <group>L1_Format</group>
      <groupName>格式问题</groupName>
      <ability>L2_HalfPunc_CN</ability>
      <abilityName>全半角问题</abilityName>
      <candidateList>
        <item>;</item>
      </candidateList>
      <explain>文本全半角错误。</explain>
      <paraID>77664EE7</paraID>
      <start>51</start>
      <end>52</end>
      <status>unmodified</status>
      <modifiedWord/>
      <trackRevisions>false</trackRevisions>
    </reviewItem>
    <reviewItem>
      <errorID>05a9ee7a-5714-4aff-b24f-8ec2cfcdaf9e</errorID>
      <errorWord>III类</errorWord>
      <group>L1_Knowledge</group>
      <groupName>知识性问题</groupName>
      <ability>L2_Knowledge</ability>
      <abilityName>其他知识</abilityName>
      <candidateList>
        <item>Ⅲ类</item>
      </candidateList>
      <explain>中文环境下罗马数字格式错误。</explain>
      <paraID>4BE0EC6A</paraID>
      <start>43</start>
      <end>47</end>
      <status>unmodified</status>
      <modifiedWord/>
      <trackRevisions>false</trackRevisions>
    </reviewItem>
    <reviewItem>
      <errorID>f0cfe191-1257-4e8a-97fa-18ff59bc4f6e</errorID>
      <errorWord>＜</errorWord>
      <group>L1_Format</group>
      <groupName>格式问题</groupName>
      <ability>L2_HalfPunc_CN</ability>
      <abilityName>全半角问题</abilityName>
      <candidateList>
        <item>&lt;</item>
      </candidateList>
      <explain>文本全半角错误。</explain>
      <paraID> 4DE03DE</paraID>
      <start>0</start>
      <end>1</end>
      <status>unmodified</status>
      <modifiedWord/>
      <trackRevisions>false</trackRevisions>
    </reviewItem>
    <reviewItem>
      <errorID>3ba33603-fc1d-48ef-8cf2-eaaf38ed5557</errorID>
      <errorWord>＜</errorWord>
      <group>L1_Format</group>
      <groupName>格式问题</groupName>
      <ability>L2_HalfPunc_CN</ability>
      <abilityName>全半角问题</abilityName>
      <candidateList>
        <item>&lt;</item>
      </candidateList>
      <explain>文本全半角错误。</explain>
      <paraID>45E4E33A</paraID>
      <start>0</start>
      <end>1</end>
      <status>unmodified</status>
      <modifiedWord/>
      <trackRevisions>false</trackRevisions>
    </reviewItem>
    <reviewItem>
      <errorID>7a7fe7c6-db98-4847-ad0c-69ea408b63f7</errorID>
      <errorWord>＜</errorWord>
      <group>L1_Format</group>
      <groupName>格式问题</groupName>
      <ability>L2_HalfPunc_CN</ability>
      <abilityName>全半角问题</abilityName>
      <candidateList>
        <item>&lt;</item>
      </candidateList>
      <explain>文本全半角错误。</explain>
      <paraID>4768E0A5</paraID>
      <start>0</start>
      <end>1</end>
      <status>unmodified</status>
      <modifiedWord/>
      <trackRevisions>false</trackRevisions>
    </reviewItem>
    <reviewItem>
      <errorID>a9613a8e-43f7-4645-a27d-57d8da095204</errorID>
      <errorWord>＜</errorWord>
      <group>L1_Format</group>
      <groupName>格式问题</groupName>
      <ability>L2_HalfPunc_CN</ability>
      <abilityName>全半角问题</abilityName>
      <candidateList>
        <item>&lt;</item>
      </candidateList>
      <explain>文本全半角错误。</explain>
      <paraID>73EB97D2</paraID>
      <start>0</start>
      <end>1</end>
      <status>unmodified</status>
      <modifiedWord/>
      <trackRevisions>false</trackRevisions>
    </reviewItem>
    <reviewItem>
      <errorID>0a70c752-5d76-4661-bf4b-e0d17198f5dc</errorID>
      <errorWord>＜</errorWord>
      <group>L1_Format</group>
      <groupName>格式问题</groupName>
      <ability>L2_HalfPunc_CN</ability>
      <abilityName>全半角问题</abilityName>
      <candidateList>
        <item>&lt;</item>
      </candidateList>
      <explain>文本全半角错误。</explain>
      <paraID>7D349AD0</paraID>
      <start>0</start>
      <end>1</end>
      <status>unmodified</status>
      <modifiedWord/>
      <trackRevisions>false</trackRevisions>
    </reviewItem>
    <reviewItem>
      <errorID>aa5dd6ac-b7c7-4105-b15c-f96da0ab241c</errorID>
      <errorWord>＜</errorWord>
      <group>L1_Format</group>
      <groupName>格式问题</groupName>
      <ability>L2_HalfPunc_CN</ability>
      <abilityName>全半角问题</abilityName>
      <candidateList>
        <item>&lt;</item>
      </candidateList>
      <explain>文本全半角错误。</explain>
      <paraID> 60C02F9</paraID>
      <start>0</start>
      <end>1</end>
      <status>unmodified</status>
      <modifiedWord/>
      <trackRevisions>false</trackRevisions>
    </reviewItem>
    <reviewItem>
      <errorID>4aef4ad5-c834-4904-acf9-9a35e81c2ad4</errorID>
      <errorWord>＜</errorWord>
      <group>L1_Format</group>
      <groupName>格式问题</groupName>
      <ability>L2_HalfPunc_CN</ability>
      <abilityName>全半角问题</abilityName>
      <candidateList>
        <item>&lt;</item>
      </candidateList>
      <explain>文本全半角错误。</explain>
      <paraID>4D492111</paraID>
      <start>0</start>
      <end>1</end>
      <status>unmodified</status>
      <modifiedWord/>
      <trackRevisions>false</trackRevisions>
    </reviewItem>
    <reviewItem>
      <errorID>4f822175-6e3d-4364-8d15-f9f77b8aeddb</errorID>
      <errorWord>＜</errorWord>
      <group>L1_Format</group>
      <groupName>格式问题</groupName>
      <ability>L2_HalfPunc_CN</ability>
      <abilityName>全半角问题</abilityName>
      <candidateList>
        <item>&lt;</item>
      </candidateList>
      <explain>文本全半角错误。</explain>
      <paraID>76C6727C</paraID>
      <start>0</start>
      <end>1</end>
      <status>unmodified</status>
      <modifiedWord/>
      <trackRevisions>false</trackRevisions>
    </reviewItem>
    <reviewItem>
      <errorID>537bdd3f-7b35-4939-87fd-b2e3471ebb17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543C05B8</paraID>
      <start>71</start>
      <end>72</end>
      <status>unmodified</status>
      <modifiedWord/>
      <trackRevisions>false</trackRevisions>
    </reviewItem>
    <reviewItem>
      <errorID>cfc33c75-3461-4970-89e3-46829a06c185</errorID>
      <errorWord>（</errorWord>
      <group>L1_Format</group>
      <groupName>格式问题</groupName>
      <ability>L2_HalfPunc_CN</ability>
      <abilityName>全半角问题</abilityName>
      <candidateList>
        <item>(</item>
      </candidateList>
      <explain>文本全半角错误。</explain>
      <paraID>15E2D8FD</paraID>
      <start>6</start>
      <end>7</end>
      <status>unmodified</status>
      <modifiedWord/>
      <trackRevisions>false</trackRevisions>
    </reviewItem>
    <reviewItem>
      <errorID>82ef19ce-200e-45ef-b39a-0632b9cdc3e5</errorID>
      <errorWord>）</errorWord>
      <group>L1_Format</group>
      <groupName>格式问题</groupName>
      <ability>L2_HalfPunc_CN</ability>
      <abilityName>全半角问题</abilityName>
      <candidateList>
        <item>)</item>
      </candidateList>
      <explain>文本全半角错误。</explain>
      <paraID>15E2D8FD</paraID>
      <start>8</start>
      <end>9</end>
      <status>unmodified</status>
      <modifiedWord/>
      <trackRevisions>false</trackRevisions>
    </reviewItem>
    <reviewItem>
      <errorID>ef316a2e-60a9-4c65-8977-1c3eda720354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5900E4D6</paraID>
      <start>15</start>
      <end>16</end>
      <status>unmodified</status>
      <modifiedWord/>
      <trackRevisions>false</trackRevisions>
    </reviewItem>
    <reviewItem>
      <errorID>61b32389-d232-47a1-afc9-aba28ec41fc4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7F482E2F</paraID>
      <start>0</start>
      <end>2</end>
      <status>unmodified</status>
      <modifiedWord/>
      <trackRevisions>false</trackRevisions>
    </reviewItem>
    <reviewItem>
      <errorID>622ebcb5-6966-4190-9499-9034ac8ba96c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2A6F41D6</paraID>
      <start>0</start>
      <end>2</end>
      <status>unmodified</status>
      <modifiedWord/>
      <trackRevisions>false</trackRevisions>
    </reviewItem>
    <reviewItem>
      <errorID>087f7777-5d51-4eaa-9a12-8417f94159b0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42AE269</paraID>
      <start>0</start>
      <end>2</end>
      <status>unmodified</status>
      <modifiedWord/>
      <trackRevisions>false</trackRevisions>
    </reviewItem>
    <reviewItem>
      <errorID>3250eb2e-5fc4-4311-b08c-281f298c4d78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3201C7F9</paraID>
      <start>0</start>
      <end>2</end>
      <status>unmodified</status>
      <modifiedWord/>
      <trackRevisions>false</trackRevisions>
    </reviewItem>
    <reviewItem>
      <errorID>9a81f5bf-483a-48aa-9825-0235fe3f1087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46B7A36D</paraID>
      <start>0</start>
      <end>2</end>
      <status>unmodified</status>
      <modifiedWord/>
      <trackRevisions>false</trackRevisions>
    </reviewItem>
    <reviewItem>
      <errorID>e6981a87-7142-4b6c-8a3c-93f1c830deb4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5E147D4D</paraID>
      <start>0</start>
      <end>2</end>
      <status>unmodified</status>
      <modifiedWord/>
      <trackRevisions>false</trackRevisions>
    </reviewItem>
    <reviewItem>
      <errorID>1cde2094-5463-48ab-b5d2-4dfac8b77b7c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71E27A74</paraID>
      <start>0</start>
      <end>2</end>
      <status>unmodified</status>
      <modifiedWord/>
      <trackRevisions>false</trackRevisions>
    </reviewItem>
    <reviewItem>
      <errorID>e3db4cfe-ec5e-497c-a3a5-285b28efeb74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16BC7E7A</paraID>
      <start>0</start>
      <end>2</end>
      <status>unmodified</status>
      <modifiedWord/>
      <trackRevisions>false</trackRevisions>
    </reviewItem>
    <reviewItem>
      <errorID>57c930b1-efff-49ac-988f-0313eb10e032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7A01D206</paraID>
      <start>0</start>
      <end>2</end>
      <status>unmodified</status>
      <modifiedWord/>
      <trackRevisions>false</trackRevisions>
    </reviewItem>
    <reviewItem>
      <errorID>4e0e7c57-75d4-4ec4-a7b0-cc9aa2205154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6486F641</paraID>
      <start>0</start>
      <end>2</end>
      <status>unmodified</status>
      <modifiedWord/>
      <trackRevisions>false</trackRevisions>
    </reviewItem>
    <reviewItem>
      <errorID>902160a7-d3ca-41dd-9bc9-a81dec008f7d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2DC380CB</paraID>
      <start>0</start>
      <end>2</end>
      <status>unmodified</status>
      <modifiedWord/>
      <trackRevisions>false</trackRevisions>
    </reviewItem>
    <reviewItem>
      <errorID>ea1545bb-22fc-4ef1-84af-933630fced1e</errorID>
      <errorWord>,</errorWord>
      <group>L1_Format</group>
      <groupName>格式问题</groupName>
      <ability>L2_HalfPunc_CN</ability>
      <abilityName>全半角问题</abilityName>
      <candidateList>
        <item>，</item>
      </candidateList>
      <explain>文本全半角错误。</explain>
      <paraID>5D157ACB</paraID>
      <start>1</start>
      <end>2</end>
      <status>unmodified</status>
      <modifiedWord/>
      <trackRevisions>false</trackRevisions>
    </reviewItem>
    <reviewItem>
      <errorID>bb54b691-672d-4df4-9f75-26c522612fba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76FCF458</paraID>
      <start>0</start>
      <end>2</end>
      <status>unmodified</status>
      <modifiedWord/>
      <trackRevisions>false</trackRevisions>
    </reviewItem>
    <reviewItem>
      <errorID>e651cf01-b840-4fe2-a31b-ca67c32950f9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7E679ED9</paraID>
      <start>0</start>
      <end>2</end>
      <status>unmodified</status>
      <modifiedWord/>
      <trackRevisions>false</trackRevisions>
    </reviewItem>
    <reviewItem>
      <errorID>e0a2ba2b-c884-449c-ab82-fdfed2b8190c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1DA20AAA</paraID>
      <start>0</start>
      <end>2</end>
      <status>unmodified</status>
      <modifiedWord/>
      <trackRevisions>false</trackRevisions>
    </reviewItem>
    <reviewItem>
      <errorID>bfc46391-ac0b-471e-af0b-eb0a7a4c5adf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95FB795</paraID>
      <start>0</start>
      <end>2</end>
      <status>unmodified</status>
      <modifiedWord/>
      <trackRevisions>false</trackRevisions>
    </reviewItem>
    <reviewItem>
      <errorID>06eb20a0-c543-415d-8789-44f5f4ed5cfd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4CF199E6</paraID>
      <start>0</start>
      <end>2</end>
      <status>unmodified</status>
      <modifiedWord/>
      <trackRevisions>false</trackRevisions>
    </reviewItem>
    <reviewItem>
      <errorID>3ea5f328-0338-4cc8-90ab-85af52021eb8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4F428321</paraID>
      <start>0</start>
      <end>2</end>
      <status>unmodified</status>
      <modifiedWord/>
      <trackRevisions>false</trackRevisions>
    </reviewItem>
    <reviewItem>
      <errorID>8ed99f89-f6f6-45dc-b2ee-43c0d01a2acb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2222E411</paraID>
      <start>0</start>
      <end>2</end>
      <status>unmodified</status>
      <modifiedWord/>
      <trackRevisions>false</trackRevisions>
    </reviewItem>
    <reviewItem>
      <errorID>01ec7a58-a0a9-4cbd-8e48-47044a97b8bc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35F54999</paraID>
      <start>0</start>
      <end>2</end>
      <status>unmodified</status>
      <modifiedWord/>
      <trackRevisions>false</trackRevisions>
    </reviewItem>
    <reviewItem>
      <errorID>e73c4900-722f-484e-865a-504b39c9ecc5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50E2A987</paraID>
      <start>0</start>
      <end>2</end>
      <status>unmodified</status>
      <modifiedWord/>
      <trackRevisions>false</trackRevisions>
    </reviewItem>
    <reviewItem>
      <errorID>950f8322-93a2-481a-bcf8-1f284eaa248d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440AB8E8</paraID>
      <start>0</start>
      <end>2</end>
      <status>unmodified</status>
      <modifiedWord/>
      <trackRevisions>false</trackRevisions>
    </reviewItem>
    <reviewItem>
      <errorID>faf74e0b-9792-438a-acf4-01cd0d410c04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67119ACD</paraID>
      <start>0</start>
      <end>2</end>
      <status>unmodified</status>
      <modifiedWord/>
      <trackRevisions>false</trackRevisions>
    </reviewItem>
    <reviewItem>
      <errorID>9fc74fe0-bf8d-4f57-a0ed-1ca2dd28da80</errorID>
      <errorWord>,</errorWord>
      <group>L1_Format</group>
      <groupName>格式问题</groupName>
      <ability>L2_HalfPunc_CN</ability>
      <abilityName>全半角问题</abilityName>
      <candidateList>
        <item>，</item>
      </candidateList>
      <explain>文本全半角错误。</explain>
      <paraID> 5E90816</paraID>
      <start>1</start>
      <end>2</end>
      <status>unmodified</status>
      <modifiedWord/>
      <trackRevisions>false</trackRevisions>
    </reviewItem>
    <reviewItem>
      <errorID>7c98beca-51ca-4f86-85be-9e6332f92a2e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2719EE41</paraID>
      <start>9</start>
      <end>10</end>
      <status>unmodified</status>
      <modifiedWord/>
      <trackRevisions>false</trackRevisions>
    </reviewItem>
    <reviewItem>
      <errorID>7235c288-2d2f-4760-afbd-041dbaf9c724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1E18493F</paraID>
      <start>9</start>
      <end>10</end>
      <status>unmodified</status>
      <modifiedWord/>
      <trackRevisions>false</trackRevisions>
    </reviewItem>
    <reviewItem>
      <errorID>902715ff-40b1-4b01-8eb1-b08609c72140</errorID>
      <errorWord>-</errorWord>
      <group>L1_Format</group>
      <groupName>格式问题</groupName>
      <ability>L2_HalfPunc_CN</ability>
      <abilityName>全半角问题</abilityName>
      <candidateList>
        <item>－</item>
      </candidateList>
      <explain>文本全半角错误。</explain>
      <paraID>  F6481A</paraID>
      <start>22</start>
      <end>23</end>
      <status>unmodified</status>
      <modifiedWord/>
      <trackRevisions>false</trackRevisions>
    </reviewItem>
    <reviewItem>
      <errorID>a04bd1ea-79d2-4ca8-b351-beef9e655f08</errorID>
      <errorWord>-</errorWord>
      <group>L1_Format</group>
      <groupName>格式问题</groupName>
      <ability>L2_HalfPunc_CN</ability>
      <abilityName>全半角问题</abilityName>
      <candidateList>
        <item>－</item>
      </candidateList>
      <explain>文本全半角错误。</explain>
      <paraID>  F6481A</paraID>
      <start>26</start>
      <end>27</end>
      <status>unmodified</status>
      <modifiedWord/>
      <trackRevisions>false</trackRevisions>
    </reviewItem>
    <reviewItem>
      <errorID>21120655-696b-471d-ae24-dfbb280818b0</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 8BF67FC</paraID>
      <start>5</start>
      <end>12</end>
      <status>unmodified</status>
      <modifiedWord/>
      <trackRevisions>false</trackRevisions>
    </reviewItem>
    <reviewItem>
      <errorID>42bbb018-f114-4b84-aed4-7bf35beceff8</errorID>
      <errorWord>-</errorWord>
      <group>L1_Format</group>
      <groupName>格式问题</groupName>
      <ability>L2_HalfPunc_CN</ability>
      <abilityName>全半角问题</abilityName>
      <candidateList>
        <item>－</item>
      </candidateList>
      <explain>文本全半角错误。</explain>
      <paraID>7C33F025</paraID>
      <start>2</start>
      <end>3</end>
      <status>unmodified</status>
      <modifiedWord/>
      <trackRevisions>false</trackRevisions>
    </reviewItem>
    <reviewItem>
      <errorID>c9988e75-741d-410f-a1d2-f340d1b0235f</errorID>
      <errorWord>-</errorWord>
      <group>L1_Format</group>
      <groupName>格式问题</groupName>
      <ability>L2_HalfPunc_CN</ability>
      <abilityName>全半角问题</abilityName>
      <candidateList>
        <item>－</item>
      </candidateList>
      <explain>文本全半角错误。</explain>
      <paraID>3D89E167</paraID>
      <start>3</start>
      <end>4</end>
      <status>unmodified</status>
      <modifiedWord/>
      <trackRevisions>false</trackRevisions>
    </reviewItem>
    <reviewItem>
      <errorID>67979dcc-033d-4e77-a6f6-4dd7beb2623f</errorID>
      <errorWord>-</errorWord>
      <group>L1_Format</group>
      <groupName>格式问题</groupName>
      <ability>L2_HalfPunc_CN</ability>
      <abilityName>全半角问题</abilityName>
      <candidateList>
        <item>－</item>
      </candidateList>
      <explain>文本全半角错误。</explain>
      <paraID> 2431F83</paraID>
      <start>6</start>
      <end>7</end>
      <status>unmodified</status>
      <modifiedWord/>
      <trackRevisions>false</trackRevisions>
    </reviewItem>
    <reviewItem>
      <errorID>5e5f55e6-b8d9-4e6a-8a73-4e646117ebd2</errorID>
      <errorWord>Cucudidae</errorWord>
      <group>L1_English</group>
      <groupName>英文问题</groupName>
      <ability>L2_Other_Grammar</ability>
      <abilityName>其他语法问题</abilityName>
      <candidateList>
        <item>Cucurbitaceae</item>
      </candidateList>
      <explain>名词使用不当, 建议将Cucudidae修改为Cucurbitaceae</explain>
      <paraID>1D561D65</paraID>
      <start>3</start>
      <end>12</end>
      <status>unmodified</status>
      <modifiedWord/>
      <trackRevisions>false</trackRevisions>
    </reviewItem>
    <reviewItem>
      <errorID>0ac1a234-ca47-499a-ad00-27b4be43f2d4</errorID>
      <errorWord>（</errorWord>
      <group>L1_Format</group>
      <groupName>格式问题</groupName>
      <ability>L2_HalfPunc_CN</ability>
      <abilityName>全半角问题</abilityName>
      <candidateList>
        <item>(</item>
      </candidateList>
      <explain>文本全半角错误。</explain>
      <paraID>5A33FFF8</paraID>
      <start>0</start>
      <end>1</end>
      <status>unmodified</status>
      <modifiedWord/>
      <trackRevisions>false</trackRevisions>
    </reviewItem>
    <reviewItem>
      <errorID>64a408e9-1bb4-4af6-8601-c547a0393920</errorID>
      <errorWord>）</errorWord>
      <group>L1_Format</group>
      <groupName>格式问题</groupName>
      <ability>L2_HalfPunc_CN</ability>
      <abilityName>全半角问题</abilityName>
      <candidateList>
        <item>)</item>
      </candidateList>
      <explain>文本全半角错误。</explain>
      <paraID>5A33FFF8</paraID>
      <start>5</start>
      <end>6</end>
      <status>unmodified</status>
      <modifiedWord/>
      <trackRevisions>false</trackRevisions>
    </reviewItem>
    <reviewItem>
      <errorID>c4717110-e43c-479a-b2d4-1c0e9207e94a</errorID>
      <errorWord>（</errorWord>
      <group>L1_Format</group>
      <groupName>格式问题</groupName>
      <ability>L2_HalfPunc_CN</ability>
      <abilityName>全半角问题</abilityName>
      <candidateList>
        <item>(</item>
      </candidateList>
      <explain>文本全半角错误。</explain>
      <paraID> 5A2146B</paraID>
      <start>0</start>
      <end>1</end>
      <status>unmodified</status>
      <modifiedWord/>
      <trackRevisions>false</trackRevisions>
    </reviewItem>
    <reviewItem>
      <errorID>5770cc99-9f2c-4ac8-9a60-71c6cd29a688</errorID>
      <errorWord>）</errorWord>
      <group>L1_Format</group>
      <groupName>格式问题</groupName>
      <ability>L2_HalfPunc_CN</ability>
      <abilityName>全半角问题</abilityName>
      <candidateList>
        <item>)</item>
      </candidateList>
      <explain>文本全半角错误。</explain>
      <paraID> 5A2146B</paraID>
      <start>2</start>
      <end>3</end>
      <status>unmodified</status>
      <modifiedWord/>
      <trackRevisions>false</trackRevisions>
    </reviewItem>
    <reviewItem>
      <errorID>d8d95be9-6e13-47c7-845f-63b0f14b1b2e</errorID>
      <errorWord>~</errorWord>
      <group>L1_Format</group>
      <groupName>格式问题</groupName>
      <ability>L2_HalfPunc_CN</ability>
      <abilityName>全半角问题</abilityName>
      <candidateList>
        <item>～</item>
      </candidateList>
      <explain>文本全半角错误。</explain>
      <paraID>1D7120F5</paraID>
      <start>3</start>
      <end>4</end>
      <status>unmodified</status>
      <modifiedWord/>
      <trackRevisions>false</trackRevisions>
    </reviewItem>
    <reviewItem>
      <errorID>63cdaf36-0e1f-4461-8434-8cbaab263e4a</errorID>
      <errorWord>（）</errorWord>
      <group>L1_Format</group>
      <groupName>格式问题</groupName>
      <ability>L2_HalfPunc_CN</ability>
      <abilityName>全半角问题</abilityName>
      <candidateList>
        <item>()</item>
      </candidateList>
      <explain>文本全半角错误。</explain>
      <paraID>443EA4FE</paraID>
      <start>0</start>
      <end>2</end>
      <status>unmodified</status>
      <modifiedWord/>
      <trackRevisions>false</trackRevisions>
    </reviewItem>
    <reviewItem>
      <errorID>67d010a5-e313-43c7-9496-6129a8cb0037</errorID>
      <errorWord>厂</errorWord>
      <group>L1_Word</group>
      <groupName>字词问题</groupName>
      <ability>L2_Typo</ability>
      <abilityName>字词错误</abilityName>
      <candidateList>
        <item>场</item>
      </candidateList>
      <explain/>
      <paraID>2BE5D97C</paraID>
      <start>5</start>
      <end>6</end>
      <status>unmodified</status>
      <modifiedWord/>
      <trackRevisions>false</trackRevisions>
    </reviewItem>
    <reviewItem>
      <errorID>ab8d5438-846c-42fd-a7a9-6e1b809529fe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6978A0AD</paraID>
      <start>0</start>
      <end>2</end>
      <status>unmodified</status>
      <modifiedWord/>
      <trackRevisions>false</trackRevisions>
    </reviewItem>
    <reviewItem>
      <errorID>0a9880f7-441c-4895-bd5a-04fda6e3fae7</errorID>
      <errorWord>：</errorWord>
      <group>L1_Format</group>
      <groupName>格式问题</groupName>
      <ability>L2_HalfPunc_CN</ability>
      <abilityName>全半角问题</abilityName>
      <candidateList>
        <item>:</item>
      </candidateList>
      <explain>文本全半角错误。</explain>
      <paraID>43313307</paraID>
      <start>156</start>
      <end>157</end>
      <status>unmodified</status>
      <modifiedWord/>
      <trackRevisions>false</trackRevisions>
    </reviewItem>
    <reviewItem>
      <errorID>1ea442ee-b763-4f0a-bd75-27d9f0591592</errorID>
      <errorWord>-</errorWord>
      <group>L1_Format</group>
      <groupName>格式问题</groupName>
      <ability>L2_HalfPunc_CN</ability>
      <abilityName>全半角问题</abilityName>
      <candidateList>
        <item>－</item>
      </candidateList>
      <explain>文本全半角错误。</explain>
      <paraID>39644213</paraID>
      <start>12</start>
      <end>13</end>
      <status>unmodified</status>
      <modifiedWord/>
      <trackRevisions>false</trackRevisions>
    </reviewItem>
    <reviewItem>
      <errorID>0e255fbd-36be-4dd6-bc7f-ac118b62ef1c</errorID>
      <errorWord>测</errorWord>
      <group>L1_Word</group>
      <groupName>字词问题</groupName>
      <ability>L2_Typo</ability>
      <abilityName>字词错误</abilityName>
      <candidateList>
        <item>的</item>
      </candidateList>
      <explain/>
      <paraID>1F318115</paraID>
      <start>0</start>
      <end>1</end>
      <status>unmodified</status>
      <modifiedWord/>
      <trackRevisions>false</trackRevisions>
    </reviewItem>
    <reviewItem>
      <errorID>e92ab75b-7af1-4e90-bc07-88eef5985e68</errorID>
      <errorWord>-</errorWord>
      <group>L1_Format</group>
      <groupName>格式问题</groupName>
      <ability>L2_HalfPunc_CN</ability>
      <abilityName>全半角问题</abilityName>
      <candidateList>
        <item>－</item>
      </candidateList>
      <explain>文本全半角错误。</explain>
      <paraID>68CD3DD4</paraID>
      <start>126</start>
      <end>127</end>
      <status>unmodified</status>
      <modifiedWord/>
      <trackRevisions>false</trackRevisions>
    </reviewItem>
    <reviewItem>
      <errorID>e300479c-b575-477e-9173-86b5a053b3a6</errorID>
      <errorWord>-</errorWord>
      <group>L1_Format</group>
      <groupName>格式问题</groupName>
      <ability>L2_HalfPunc_CN</ability>
      <abilityName>全半角问题</abilityName>
      <candidateList>
        <item>－</item>
      </candidateList>
      <explain>文本全半角错误。</explain>
      <paraID>715C71B8</paraID>
      <start>301</start>
      <end>302</end>
      <status>unmodified</status>
      <modifiedWord/>
      <trackRevisions>false</trackRevisions>
    </reviewItem>
    <reviewItem>
      <errorID>618edd2e-0443-46d6-a492-1ec2b2167ed6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2CE2902E</paraID>
      <start>131</start>
      <end>132</end>
      <status>unmodified</status>
      <modifiedWord/>
      <trackRevisions>false</trackRevisions>
    </reviewItem>
    <reviewItem>
      <errorID>14540d5f-a872-47de-8db1-ad873ef59015</errorID>
      <errorWord>-</errorWord>
      <group>L1_Format</group>
      <groupName>格式问题</groupName>
      <ability>L2_HalfPunc_CN</ability>
      <abilityName>全半角问题</abilityName>
      <candidateList>
        <item>－</item>
      </candidateList>
      <explain>文本全半角错误。</explain>
      <paraID>1F746BDC</paraID>
      <start>95</start>
      <end>96</end>
      <status>unmodified</status>
      <modifiedWord/>
      <trackRevisions>false</trackRevisions>
    </reviewItem>
    <reviewItem>
      <errorID>365e3839-e117-4a8e-8803-eaad11fbc76a</errorID>
      <errorWord>-</errorWord>
      <group>L1_Format</group>
      <groupName>格式问题</groupName>
      <ability>L2_HalfPunc_CN</ability>
      <abilityName>全半角问题</abilityName>
      <candidateList>
        <item>－</item>
      </candidateList>
      <explain>文本全半角错误。</explain>
      <paraID>1F746BDC</paraID>
      <start>312</start>
      <end>313</end>
      <status>unmodified</status>
      <modifiedWord/>
      <trackRevisions>false</trackRevisions>
    </reviewItem>
    <reviewItem>
      <errorID>7ca3de04-6cff-4504-8664-3474c46852ff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54B8C887</paraID>
      <start>0</start>
      <end>2</end>
      <status>unmodified</status>
      <modifiedWord/>
      <trackRevisions>false</trackRevisions>
    </reviewItem>
    <reviewItem>
      <errorID>cb595f53-a3ba-48df-aae6-0236b3532dfb</errorID>
      <errorWord>-</errorWord>
      <group>L1_Format</group>
      <groupName>格式问题</groupName>
      <ability>L2_HalfPunc_CN</ability>
      <abilityName>全半角问题</abilityName>
      <candidateList>
        <item>－</item>
      </candidateList>
      <explain>文本全半角错误。</explain>
      <paraID>54B8C887</paraID>
      <start>8</start>
      <end>9</end>
      <status>unmodified</status>
      <modifiedWord/>
      <trackRevisions>false</trackRevisions>
    </reviewItem>
    <reviewItem>
      <errorID>5e217415-a6e0-49c4-be50-b27d2d194364</errorID>
      <errorWord>-</errorWord>
      <group>L1_Format</group>
      <groupName>格式问题</groupName>
      <ability>L2_HalfPunc_CN</ability>
      <abilityName>全半角问题</abilityName>
      <candidateList>
        <item>－</item>
      </candidateList>
      <explain>文本全半角错误。</explain>
      <paraID>54B8C887</paraID>
      <start>11</start>
      <end>12</end>
      <status>unmodified</status>
      <modifiedWord/>
      <trackRevisions>false</trackRevisions>
    </reviewItem>
    <reviewItem>
      <errorID>13272661-1457-4860-869b-a05698768e44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50D0D717</paraID>
      <start>0</start>
      <end>2</end>
      <status>unmodified</status>
      <modifiedWord/>
      <trackRevisions>false</trackRevisions>
    </reviewItem>
    <reviewItem>
      <errorID>4008c172-f5b1-4c33-bd3e-76f23ed9ae7d</errorID>
      <errorWord>-</errorWord>
      <group>L1_Format</group>
      <groupName>格式问题</groupName>
      <ability>L2_HalfPunc_CN</ability>
      <abilityName>全半角问题</abilityName>
      <candidateList>
        <item>－</item>
      </candidateList>
      <explain>文本全半角错误。</explain>
      <paraID>50D0D717</paraID>
      <start>11</start>
      <end>12</end>
      <status>unmodified</status>
      <modifiedWord/>
      <trackRevisions>false</trackRevisions>
    </reviewItem>
    <reviewItem>
      <errorID>0bcae451-efd4-4621-880f-86a69f506b23</errorID>
      <errorWord>（&gt;</errorWord>
      <group>L1_Punc</group>
      <groupName>标点问题</groupName>
      <ability>L2_Punc_CN</ability>
      <abilityName>标点符号问题</abilityName>
      <candidateList>
        <item>（</item>
      </candidateList>
      <explain/>
      <paraID>5A331E22</paraID>
      <start>284</start>
      <end>286</end>
      <status>unmodified</status>
      <modifiedWord/>
      <trackRevisions>false</trackRevisions>
    </reviewItem>
    <reviewItem>
      <errorID>bab700e8-8dcb-4000-b1c8-c95917e0ee82</errorID>
      <errorWord>（</errorWord>
      <group>L1_Format</group>
      <groupName>格式问题</groupName>
      <ability>L2_HalfPunc_CN</ability>
      <abilityName>全半角问题</abilityName>
      <candidateList>
        <item>(</item>
      </candidateList>
      <explain>文本全半角错误。</explain>
      <paraID>4C263540</paraID>
      <start>0</start>
      <end>1</end>
      <status>unmodified</status>
      <modifiedWord/>
      <trackRevisions>false</trackRevisions>
    </reviewItem>
    <reviewItem>
      <errorID>5cfbabc1-ac9a-4efe-a510-286034a9d1f2</errorID>
      <errorWord>）</errorWord>
      <group>L1_Format</group>
      <groupName>格式问题</groupName>
      <ability>L2_HalfPunc_CN</ability>
      <abilityName>全半角问题</abilityName>
      <candidateList>
        <item>)</item>
      </candidateList>
      <explain>文本全半角错误。</explain>
      <paraID>4C263540</paraID>
      <start>5</start>
      <end>6</end>
      <status>unmodified</status>
      <modifiedWord/>
      <trackRevisions>false</trackRevisions>
    </reviewItem>
    <reviewItem>
      <errorID>c6eaacaa-5f8b-4457-83bc-470ffe42dc7c</errorID>
      <errorWord>（</errorWord>
      <group>L1_Format</group>
      <groupName>格式问题</groupName>
      <ability>L2_HalfPunc_CN</ability>
      <abilityName>全半角问题</abilityName>
      <candidateList>
        <item>(</item>
      </candidateList>
      <explain>文本全半角错误。</explain>
      <paraID>4D8907D3</paraID>
      <start>0</start>
      <end>1</end>
      <status>unmodified</status>
      <modifiedWord/>
      <trackRevisions>false</trackRevisions>
    </reviewItem>
    <reviewItem>
      <errorID>10f0b212-2890-4c44-a40d-5cac7d734b3f</errorID>
      <errorWord>）</errorWord>
      <group>L1_Format</group>
      <groupName>格式问题</groupName>
      <ability>L2_HalfPunc_CN</ability>
      <abilityName>全半角问题</abilityName>
      <candidateList>
        <item>)</item>
      </candidateList>
      <explain>文本全半角错误。</explain>
      <paraID>4D8907D3</paraID>
      <start>5</start>
      <end>6</end>
      <status>unmodified</status>
      <modifiedWord/>
      <trackRevisions>false</trackRevisions>
    </reviewItem>
    <reviewItem>
      <errorID>d4ca1e0f-249b-48f5-bd86-720c7e4c529b</errorID>
      <errorWord>一端</errorWord>
      <group>L1_Word</group>
      <groupName>字词问题</groupName>
      <ability>L2_Typo</ability>
      <abilityName>字词错误</abilityName>
      <candidateList>
        <item>一</item>
      </candidateList>
      <explain/>
      <paraID>289315AF</paraID>
      <start>56</start>
      <end>58</end>
      <status>unmodified</status>
      <modifiedWord/>
      <trackRevisions>false</trackRevisions>
    </reviewItem>
    <reviewItem>
      <errorID>9ff2c6eb-aeae-4446-a94f-7cb6aa5d9692</errorID>
      <errorWord>（</errorWord>
      <group>L1_Format</group>
      <groupName>格式问题</groupName>
      <ability>L2_HalfPunc_CN</ability>
      <abilityName>全半角问题</abilityName>
      <candidateList>
        <item>(</item>
      </candidateList>
      <explain>文本全半角错误。</explain>
      <paraID> 9B1757E</paraID>
      <start>2</start>
      <end>3</end>
      <status>unmodified</status>
      <modifiedWord/>
      <trackRevisions>false</trackRevisions>
    </reviewItem>
    <reviewItem>
      <errorID>bc8011fb-f8c3-4347-b3c1-61ea68d6a482</errorID>
      <errorWord>）</errorWord>
      <group>L1_Format</group>
      <groupName>格式问题</groupName>
      <ability>L2_HalfPunc_CN</ability>
      <abilityName>全半角问题</abilityName>
      <candidateList>
        <item>)</item>
      </candidateList>
      <explain>文本全半角错误。</explain>
      <paraID> 9B1757E</paraID>
      <start>7</start>
      <end>8</end>
      <status>unmodified</status>
      <modifiedWord/>
      <trackRevisions>false</trackRevisions>
    </reviewItem>
    <reviewItem>
      <errorID>f61a7b2f-07a5-4fd1-b753-a2a02fc683e5</errorID>
      <errorWord>（</errorWord>
      <group>L1_Format</group>
      <groupName>格式问题</groupName>
      <ability>L2_HalfPunc_CN</ability>
      <abilityName>全半角问题</abilityName>
      <candidateList>
        <item>(</item>
      </candidateList>
      <explain>文本全半角错误。</explain>
      <paraID> 3A68C65</paraID>
      <start>1</start>
      <end>2</end>
      <status>unmodified</status>
      <modifiedWord/>
      <trackRevisions>false</trackRevisions>
    </reviewItem>
    <reviewItem>
      <errorID>91b7edaa-73e2-47f0-98e9-c0ced8d1fb04</errorID>
      <errorWord>）</errorWord>
      <group>L1_Format</group>
      <groupName>格式问题</groupName>
      <ability>L2_HalfPunc_CN</ability>
      <abilityName>全半角问题</abilityName>
      <candidateList>
        <item>)</item>
      </candidateList>
      <explain>文本全半角错误。</explain>
      <paraID> 3A68C65</paraID>
      <start>5</start>
      <end>6</end>
      <status>unmodified</status>
      <modifiedWord/>
      <trackRevisions>false</trackRevisions>
    </reviewItem>
    <reviewItem>
      <errorID>ed4310a5-f9ad-48e4-a045-dd99bf64f18f</errorID>
      <errorWord>（</errorWord>
      <group>L1_Format</group>
      <groupName>格式问题</groupName>
      <ability>L2_HalfPunc_CN</ability>
      <abilityName>全半角问题</abilityName>
      <candidateList>
        <item>(</item>
      </candidateList>
      <explain>文本全半角错误。</explain>
      <paraID>36F99CDC</paraID>
      <start>2</start>
      <end>3</end>
      <status>unmodified</status>
      <modifiedWord/>
      <trackRevisions>false</trackRevisions>
    </reviewItem>
    <reviewItem>
      <errorID>f1fa2e77-9667-42db-ad0f-7cb9c11ba91b</errorID>
      <errorWord>）</errorWord>
      <group>L1_Format</group>
      <groupName>格式问题</groupName>
      <ability>L2_HalfPunc_CN</ability>
      <abilityName>全半角问题</abilityName>
      <candidateList>
        <item>)</item>
      </candidateList>
      <explain>文本全半角错误。</explain>
      <paraID>36F99CDC</paraID>
      <start>7</start>
      <end>8</end>
      <status>unmodified</status>
      <modifiedWord/>
      <trackRevisions>false</trackRevisions>
    </reviewItem>
    <reviewItem>
      <errorID>a6d9f9a9-4676-4365-a039-fbd7aa2a6519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29B1383D</paraID>
      <start>3</start>
      <end>4</end>
      <status>unmodified</status>
      <modifiedWord/>
      <trackRevisions>false</trackRevisions>
    </reviewItem>
    <reviewItem>
      <errorID>1052911c-cc32-40a9-b132-3d5b57f2998a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B9B01EE</paraID>
      <start>0</start>
      <end>2</end>
      <status>unmodified</status>
      <modifiedWord/>
      <trackRevisions>false</trackRevisions>
    </reviewItem>
    <reviewItem>
      <errorID>84a6e700-9e13-4a9a-b165-3c9f232d7c05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7888FD1E</paraID>
      <start>0</start>
      <end>2</end>
      <status>unmodified</status>
      <modifiedWord/>
      <trackRevisions>false</trackRevisions>
    </reviewItem>
    <reviewItem>
      <errorID>c2d7ddf2-433a-4a08-85d5-8e38020a18d8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7E3421A8</paraID>
      <start>0</start>
      <end>2</end>
      <status>unmodified</status>
      <modifiedWord/>
      <trackRevisions>false</trackRevisions>
    </reviewItem>
    <reviewItem>
      <errorID>878d3981-6ffe-4ab1-b1b6-19a852bb2600</errorID>
      <errorWord>，</errorWord>
      <group>L1_Format</group>
      <groupName>格式问题</groupName>
      <ability>L2_HalfPunc_CN</ability>
      <abilityName>全半角问题</abilityName>
      <candidateList>
        <item>, </item>
      </candidateList>
      <explain>文本全半角错误。</explain>
      <paraID>30046366</paraID>
      <start>6</start>
      <end>7</end>
      <status>unmodified</status>
      <modifiedWord/>
      <trackRevisions>false</trackRevisions>
    </reviewItem>
    <reviewItem>
      <errorID>f60bd4dc-b7a9-4887-989d-8193221a88ea</errorID>
      <errorWord>，</errorWord>
      <group>L1_Format</group>
      <groupName>格式问题</groupName>
      <ability>L2_HalfPunc_CN</ability>
      <abilityName>全半角问题</abilityName>
      <candidateList>
        <item>, </item>
      </candidateList>
      <explain>文本全半角错误。</explain>
      <paraID>1B50EFD9</paraID>
      <start>6</start>
      <end>7</end>
      <status>unmodified</status>
      <modifiedWord/>
      <trackRevisions>false</trackRevisions>
    </reviewItem>
    <reviewItem>
      <errorID>ea5f53e8-1c7c-401a-9c0c-e00d6b0c1a5d</errorID>
      <errorWord>，</errorWord>
      <group>L1_Format</group>
      <groupName>格式问题</groupName>
      <ability>L2_HalfPunc_CN</ability>
      <abilityName>全半角问题</abilityName>
      <candidateList>
        <item>, </item>
      </candidateList>
      <explain>文本全半角错误。</explain>
      <paraID>74CC6FBF</paraID>
      <start>6</start>
      <end>7</end>
      <status>unmodified</status>
      <modifiedWord/>
      <trackRevisions>false</trackRevisions>
    </reviewItem>
    <reviewItem>
      <errorID>149b2bea-2eae-4328-a17a-bcc8e22ee3bd</errorID>
      <errorWord>，</errorWord>
      <group>L1_Format</group>
      <groupName>格式问题</groupName>
      <ability>L2_HalfPunc_CN</ability>
      <abilityName>全半角问题</abilityName>
      <candidateList>
        <item>, </item>
      </candidateList>
      <explain>文本全半角错误。</explain>
      <paraID> B441321</paraID>
      <start>6</start>
      <end>7</end>
      <status>unmodified</status>
      <modifiedWord/>
      <trackRevisions>false</trackRevisions>
    </reviewItem>
    <reviewItem>
      <errorID>92348ddd-dfb9-4fee-8575-9f8345d4c7ac</errorID>
      <errorWord>，</errorWord>
      <group>L1_Format</group>
      <groupName>格式问题</groupName>
      <ability>L2_HalfPunc_CN</ability>
      <abilityName>全半角问题</abilityName>
      <candidateList>
        <item>, </item>
      </candidateList>
      <explain>文本全半角错误。</explain>
      <paraID> ED7E19A</paraID>
      <start>6</start>
      <end>7</end>
      <status>unmodified</status>
      <modifiedWord/>
      <trackRevisions>false</trackRevisions>
    </reviewItem>
    <reviewItem>
      <errorID>1febf034-fcce-4bda-9e39-cc101fb1e6bd</errorID>
      <errorWord>，</errorWord>
      <group>L1_Format</group>
      <groupName>格式问题</groupName>
      <ability>L2_HalfPunc_CN</ability>
      <abilityName>全半角问题</abilityName>
      <candidateList>
        <item>, </item>
      </candidateList>
      <explain>文本全半角错误。</explain>
      <paraID>403765C2</paraID>
      <start>6</start>
      <end>7</end>
      <status>unmodified</status>
      <modifiedWord/>
      <trackRevisions>false</trackRevisions>
    </reviewItem>
    <reviewItem>
      <errorID>0ad87435-0980-4167-89e0-c738ea6a6a1a</errorID>
      <errorWord>,</errorWord>
      <group>L1_Format</group>
      <groupName>格式问题</groupName>
      <ability>L2_HalfPunc_CN</ability>
      <abilityName>全半角问题</abilityName>
      <candidateList>
        <item>，</item>
      </candidateList>
      <explain>文本全半角错误。</explain>
      <paraID>1B7C756E</paraID>
      <start>7</start>
      <end>8</end>
      <status>unmodified</status>
      <modifiedWord/>
      <trackRevisions>false</trackRevisions>
    </reviewItem>
    <reviewItem>
      <errorID>751c6900-7120-47f6-8025-dc8830a02a63</errorID>
      <errorWord>,</errorWord>
      <group>L1_Format</group>
      <groupName>格式问题</groupName>
      <ability>L2_HalfPunc_CN</ability>
      <abilityName>全半角问题</abilityName>
      <candidateList>
        <item>，</item>
      </candidateList>
      <explain>文本全半角错误。</explain>
      <paraID> 9FEA804</paraID>
      <start>6</start>
      <end>7</end>
      <status>unmodified</status>
      <modifiedWord/>
      <trackRevisions>false</trackRevisions>
    </reviewItem>
    <reviewItem>
      <errorID>803369df-ebeb-4867-8671-d70260f5f991</errorID>
      <errorWord>,</errorWord>
      <group>L1_Format</group>
      <groupName>格式问题</groupName>
      <ability>L2_HalfPunc_CN</ability>
      <abilityName>全半角问题</abilityName>
      <candidateList>
        <item>，</item>
      </candidateList>
      <explain>文本全半角错误。</explain>
      <paraID>4D7E5E8B</paraID>
      <start>3</start>
      <end>4</end>
      <status>unmodified</status>
      <modifiedWord/>
      <trackRevisions>false</trackRevisions>
    </reviewItem>
    <reviewItem>
      <errorID>830fe45d-d1a7-4e05-9a70-09a83fe7d0cd</errorID>
      <errorWord>,</errorWord>
      <group>L1_Format</group>
      <groupName>格式问题</groupName>
      <ability>L2_HalfPunc_CN</ability>
      <abilityName>全半角问题</abilityName>
      <candidateList>
        <item>，</item>
      </candidateList>
      <explain>文本全半角错误。</explain>
      <paraID>3966B84E</paraID>
      <start>8</start>
      <end>9</end>
      <status>unmodified</status>
      <modifiedWord/>
      <trackRevisions>false</trackRevisions>
    </reviewItem>
    <reviewItem>
      <errorID>f42ba571-9079-4d83-8e83-874cba0fe93d</errorID>
      <errorWord>,</errorWord>
      <group>L1_Format</group>
      <groupName>格式问题</groupName>
      <ability>L2_HalfPunc_CN</ability>
      <abilityName>全半角问题</abilityName>
      <candidateList>
        <item>，</item>
      </candidateList>
      <explain>文本全半角错误。</explain>
      <paraID>558FE44D</paraID>
      <start>3</start>
      <end>4</end>
      <status>unmodified</status>
      <modifiedWord/>
      <trackRevisions>false</trackRevisions>
    </reviewItem>
    <reviewItem>
      <errorID>c7d33826-460b-4a26-a090-cd537cf77c9f</errorID>
      <errorWord>,</errorWord>
      <group>L1_Format</group>
      <groupName>格式问题</groupName>
      <ability>L2_HalfPunc_CN</ability>
      <abilityName>全半角问题</abilityName>
      <candidateList>
        <item>，</item>
      </candidateList>
      <explain>文本全半角错误。</explain>
      <paraID> 55A071E</paraID>
      <start>7</start>
      <end>8</end>
      <status>unmodified</status>
      <modifiedWord/>
      <trackRevisions>false</trackRevisions>
    </reviewItem>
    <reviewItem>
      <errorID>fe5a91ee-ca39-4cea-b3f6-8d71973f9728</errorID>
      <errorWord>,</errorWord>
      <group>L1_Format</group>
      <groupName>格式问题</groupName>
      <ability>L2_HalfPunc_CN</ability>
      <abilityName>全半角问题</abilityName>
      <candidateList>
        <item>，</item>
      </candidateList>
      <explain>文本全半角错误。</explain>
      <paraID>71507D4C</paraID>
      <start>8</start>
      <end>9</end>
      <status>unmodified</status>
      <modifiedWord/>
      <trackRevisions>false</trackRevisions>
    </reviewItem>
    <reviewItem>
      <errorID>469fd56d-30d3-401c-a32f-38157ffff746</errorID>
      <errorWord>,</errorWord>
      <group>L1_Format</group>
      <groupName>格式问题</groupName>
      <ability>L2_HalfPunc_CN</ability>
      <abilityName>全半角问题</abilityName>
      <candidateList>
        <item>，</item>
      </candidateList>
      <explain>文本全半角错误。</explain>
      <paraID>6EF91B4F</paraID>
      <start>7</start>
      <end>8</end>
      <status>unmodified</status>
      <modifiedWord/>
      <trackRevisions>false</trackRevisions>
    </reviewItem>
    <reviewItem>
      <errorID>fe5761dd-7cfc-4292-9f49-aae2417634e2</errorID>
      <errorWord>,</errorWord>
      <group>L1_Format</group>
      <groupName>格式问题</groupName>
      <ability>L2_HalfPunc_CN</ability>
      <abilityName>全半角问题</abilityName>
      <candidateList>
        <item>，</item>
      </candidateList>
      <explain>文本全半角错误。</explain>
      <paraID>17C408C1</paraID>
      <start>3</start>
      <end>4</end>
      <status>unmodified</status>
      <modifiedWord/>
      <trackRevisions>false</trackRevisions>
    </reviewItem>
    <reviewItem>
      <errorID>80f99c86-c7e4-4b00-b06c-5fcf7c43e6df</errorID>
      <errorWord>,</errorWord>
      <group>L1_Format</group>
      <groupName>格式问题</groupName>
      <ability>L2_HalfPunc_CN</ability>
      <abilityName>全半角问题</abilityName>
      <candidateList>
        <item>，</item>
      </candidateList>
      <explain>文本全半角错误。</explain>
      <paraID>2154584D</paraID>
      <start>7</start>
      <end>8</end>
      <status>unmodified</status>
      <modifiedWord/>
      <trackRevisions>false</trackRevisions>
    </reviewItem>
    <reviewItem>
      <errorID>55ec9870-8e18-4c91-ba95-3bd8be980d63</errorID>
      <errorWord>,</errorWord>
      <group>L1_Format</group>
      <groupName>格式问题</groupName>
      <ability>L2_HalfPunc_CN</ability>
      <abilityName>全半角问题</abilityName>
      <candidateList>
        <item>，</item>
      </candidateList>
      <explain>文本全半角错误。</explain>
      <paraID>457D3032</paraID>
      <start>5</start>
      <end>6</end>
      <status>unmodified</status>
      <modifiedWord/>
      <trackRevisions>false</trackRevisions>
    </reviewItem>
    <reviewItem>
      <errorID>6d224a66-1dac-4814-b023-36c13ed6c3e0</errorID>
      <errorWord>,</errorWord>
      <group>L1_Format</group>
      <groupName>格式问题</groupName>
      <ability>L2_HalfPunc_CN</ability>
      <abilityName>全半角问题</abilityName>
      <candidateList>
        <item>，</item>
      </candidateList>
      <explain>文本全半角错误。</explain>
      <paraID>18D5A5FE</paraID>
      <start>3</start>
      <end>4</end>
      <status>unmodified</status>
      <modifiedWord/>
      <trackRevisions>false</trackRevisions>
    </reviewItem>
    <reviewItem>
      <errorID>ef70e457-3dd9-49cf-91c6-9d8567afd117</errorID>
      <errorWord>,</errorWord>
      <group>L1_Format</group>
      <groupName>格式问题</groupName>
      <ability>L2_HalfPunc_CN</ability>
      <abilityName>全半角问题</abilityName>
      <candidateList>
        <item>，</item>
      </candidateList>
      <explain>文本全半角错误。</explain>
      <paraID>731B2561</paraID>
      <start>5</start>
      <end>6</end>
      <status>unmodified</status>
      <modifiedWord/>
      <trackRevisions>false</trackRevisions>
    </reviewItem>
    <reviewItem>
      <errorID>363d9cf5-287d-4d52-8a23-4d03117bb9c0</errorID>
      <errorWord>,</errorWord>
      <group>L1_Format</group>
      <groupName>格式问题</groupName>
      <ability>L2_HalfPunc_CN</ability>
      <abilityName>全半角问题</abilityName>
      <candidateList>
        <item>，</item>
      </candidateList>
      <explain>文本全半角错误。</explain>
      <paraID> CF9CDF5</paraID>
      <start>3</start>
      <end>4</end>
      <status>unmodified</status>
      <modifiedWord/>
      <trackRevisions>false</trackRevisions>
    </reviewItem>
    <reviewItem>
      <errorID>32265af2-a22b-42e3-a03c-aae30d6a357b</errorID>
      <errorWord>,</errorWord>
      <group>L1_Format</group>
      <groupName>格式问题</groupName>
      <ability>L2_HalfPunc_CN</ability>
      <abilityName>全半角问题</abilityName>
      <candidateList>
        <item>，</item>
      </candidateList>
      <explain>文本全半角错误。</explain>
      <paraID>3EF9DB64</paraID>
      <start>3</start>
      <end>4</end>
      <status>unmodified</status>
      <modifiedWord/>
      <trackRevisions>false</trackRevisions>
    </reviewItem>
    <reviewItem>
      <errorID>2a75ed73-e375-4e08-99bd-dddf205b098f</errorID>
      <errorWord>,</errorWord>
      <group>L1_Format</group>
      <groupName>格式问题</groupName>
      <ability>L2_HalfPunc_CN</ability>
      <abilityName>全半角问题</abilityName>
      <candidateList>
        <item>，</item>
      </candidateList>
      <explain>文本全半角错误。</explain>
      <paraID>59E2B651</paraID>
      <start>3</start>
      <end>4</end>
      <status>unmodified</status>
      <modifiedWord/>
      <trackRevisions>false</trackRevisions>
    </reviewItem>
    <reviewItem>
      <errorID>09433dc8-be04-4e5a-8af3-99e9319ed16e</errorID>
      <errorWord>,</errorWord>
      <group>L1_Format</group>
      <groupName>格式问题</groupName>
      <ability>L2_HalfPunc_CN</ability>
      <abilityName>全半角问题</abilityName>
      <candidateList>
        <item>，</item>
      </candidateList>
      <explain>文本全半角错误。</explain>
      <paraID>636363B3</paraID>
      <start>5</start>
      <end>6</end>
      <status>unmodified</status>
      <modifiedWord/>
      <trackRevisions>false</trackRevisions>
    </reviewItem>
    <reviewItem>
      <errorID>184c0871-fee2-4fa8-b8a3-64e7c6919858</errorID>
      <errorWord>,</errorWord>
      <group>L1_Format</group>
      <groupName>格式问题</groupName>
      <ability>L2_HalfPunc_CN</ability>
      <abilityName>全半角问题</abilityName>
      <candidateList>
        <item>，</item>
      </candidateList>
      <explain>文本全半角错误。</explain>
      <paraID>6EDA9B55</paraID>
      <start>3</start>
      <end>4</end>
      <status>unmodified</status>
      <modifiedWord/>
      <trackRevisions>false</trackRevisions>
    </reviewItem>
    <reviewItem>
      <errorID>879b8a62-218b-449d-a081-1201b1f65337</errorID>
      <errorWord>,</errorWord>
      <group>L1_Format</group>
      <groupName>格式问题</groupName>
      <ability>L2_HalfPunc_CN</ability>
      <abilityName>全半角问题</abilityName>
      <candidateList>
        <item>，</item>
      </candidateList>
      <explain>文本全半角错误。</explain>
      <paraID>2B7EFA09</paraID>
      <start>3</start>
      <end>4</end>
      <status>unmodified</status>
      <modifiedWord/>
      <trackRevisions>false</trackRevisions>
    </reviewItem>
    <reviewItem>
      <errorID>61d5a794-be61-4f51-a2c8-a6668a2818ca</errorID>
      <errorWord>,</errorWord>
      <group>L1_Format</group>
      <groupName>格式问题</groupName>
      <ability>L2_HalfPunc_CN</ability>
      <abilityName>全半角问题</abilityName>
      <candidateList>
        <item>，</item>
      </candidateList>
      <explain>文本全半角错误。</explain>
      <paraID>1E865AE3</paraID>
      <start>5</start>
      <end>6</end>
      <status>unmodified</status>
      <modifiedWord/>
      <trackRevisions>false</trackRevisions>
    </reviewItem>
    <reviewItem>
      <errorID>82edcc24-0b52-4f41-865c-30f2f16b4a90</errorID>
      <errorWord>,</errorWord>
      <group>L1_Format</group>
      <groupName>格式问题</groupName>
      <ability>L2_HalfPunc_CN</ability>
      <abilityName>全半角问题</abilityName>
      <candidateList>
        <item>，</item>
      </candidateList>
      <explain>文本全半角错误。</explain>
      <paraID>5553F5C5</paraID>
      <start>3</start>
      <end>4</end>
      <status>unmodified</status>
      <modifiedWord/>
      <trackRevisions>false</trackRevisions>
    </reviewItem>
    <reviewItem>
      <errorID>4fa88bea-8180-4459-b399-21746ae616fd</errorID>
      <errorWord>,</errorWord>
      <group>L1_Format</group>
      <groupName>格式问题</groupName>
      <ability>L2_HalfPunc_CN</ability>
      <abilityName>全半角问题</abilityName>
      <candidateList>
        <item>，</item>
      </candidateList>
      <explain>文本全半角错误。</explain>
      <paraID>3A676701</paraID>
      <start>8</start>
      <end>9</end>
      <status>unmodified</status>
      <modifiedWord/>
      <trackRevisions>false</trackRevisions>
    </reviewItem>
    <reviewItem>
      <errorID>8a787c1c-90ad-43e8-9325-739a562d7436</errorID>
      <errorWord>,</errorWord>
      <group>L1_Format</group>
      <groupName>格式问题</groupName>
      <ability>L2_HalfPunc_CN</ability>
      <abilityName>全半角问题</abilityName>
      <candidateList>
        <item>，</item>
      </candidateList>
      <explain>文本全半角错误。</explain>
      <paraID>7713829A</paraID>
      <start>8</start>
      <end>9</end>
      <status>unmodified</status>
      <modifiedWord/>
      <trackRevisions>false</trackRevisions>
    </reviewItem>
    <reviewItem>
      <errorID>090798f1-6b43-42eb-b7e5-cf21dabd64e4</errorID>
      <errorWord>,</errorWord>
      <group>L1_Format</group>
      <groupName>格式问题</groupName>
      <ability>L2_HalfPunc_CN</ability>
      <abilityName>全半角问题</abilityName>
      <candidateList>
        <item>，</item>
      </candidateList>
      <explain>文本全半角错误。</explain>
      <paraID> 9AD912A</paraID>
      <start>6</start>
      <end>7</end>
      <status>unmodified</status>
      <modifiedWord/>
      <trackRevisions>false</trackRevisions>
    </reviewItem>
    <reviewItem>
      <errorID>2a1dec9f-0811-4407-8393-63fb6c50d294</errorID>
      <errorWord>,</errorWord>
      <group>L1_Format</group>
      <groupName>格式问题</groupName>
      <ability>L2_HalfPunc_CN</ability>
      <abilityName>全半角问题</abilityName>
      <candidateList>
        <item>，</item>
      </candidateList>
      <explain>文本全半角错误。</explain>
      <paraID>6FE2C601</paraID>
      <start>3</start>
      <end>4</end>
      <status>unmodified</status>
      <modifiedWord/>
      <trackRevisions>false</trackRevisions>
    </reviewItem>
    <reviewItem>
      <errorID>23ea782d-2eb9-4d92-8d61-ef813c6fc9bf</errorID>
      <errorWord>,</errorWord>
      <group>L1_Format</group>
      <groupName>格式问题</groupName>
      <ability>L2_HalfPunc_CN</ability>
      <abilityName>全半角问题</abilityName>
      <candidateList>
        <item>，</item>
      </candidateList>
      <explain>文本全半角错误。</explain>
      <paraID>233B6900</paraID>
      <start>3</start>
      <end>4</end>
      <status>unmodified</status>
      <modifiedWord/>
      <trackRevisions>false</trackRevisions>
    </reviewItem>
    <reviewItem>
      <errorID>938e6dab-df4c-4699-8404-7c876a8db144</errorID>
      <errorWord>,</errorWord>
      <group>L1_Format</group>
      <groupName>格式问题</groupName>
      <ability>L2_HalfPunc_CN</ability>
      <abilityName>全半角问题</abilityName>
      <candidateList>
        <item>，</item>
      </candidateList>
      <explain>文本全半角错误。</explain>
      <paraID>331177FA</paraID>
      <start>4</start>
      <end>5</end>
      <status>unmodified</status>
      <modifiedWord/>
      <trackRevisions>false</trackRevisions>
    </reviewItem>
    <reviewItem>
      <errorID>4af1ddd1-626c-44cf-bb2e-fb73c09b0066</errorID>
      <errorWord>,</errorWord>
      <group>L1_Format</group>
      <groupName>格式问题</groupName>
      <ability>L2_HalfPunc_CN</ability>
      <abilityName>全半角问题</abilityName>
      <candidateList>
        <item>，</item>
      </candidateList>
      <explain>文本全半角错误。</explain>
      <paraID>2EBC8672</paraID>
      <start>3</start>
      <end>4</end>
      <status>unmodified</status>
      <modifiedWord/>
      <trackRevisions>false</trackRevisions>
    </reviewItem>
    <reviewItem>
      <errorID>bdac8718-8929-46b3-8835-bfeb5f88f909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69F52D87</paraID>
      <start>0</start>
      <end>2</end>
      <status>unmodified</status>
      <modifiedWord/>
      <trackRevisions>false</trackRevisions>
    </reviewItem>
    <reviewItem>
      <errorID>768fe291-e38d-4b94-b92d-ddd0763f2d3b</errorID>
      <errorWord>II</errorWord>
      <group>L1_Knowledge</group>
      <groupName>知识性问题</groupName>
      <ability>L2_Knowledge</ability>
      <abilityName>其他知识</abilityName>
      <candidateList>
        <item>Ⅱ</item>
      </candidateList>
      <explain>中文环境下罗马数字格式错误。</explain>
      <paraID>32EA0060</paraID>
      <start>0</start>
      <end>2</end>
      <status>unmodified</status>
      <modifiedWord/>
      <trackRevisions>false</trackRevisions>
    </reviewItem>
    <reviewItem>
      <errorID>a975643e-adce-456d-b658-0e0dcc0d8dd0</errorID>
      <errorWord>III</errorWord>
      <group>L1_Knowledge</group>
      <groupName>知识性问题</groupName>
      <ability>L2_Knowledge</ability>
      <abilityName>其他知识</abilityName>
      <candidateList>
        <item>Ⅲ</item>
      </candidateList>
      <explain>中文环境下罗马数字格式错误。</explain>
      <paraID>1C788B16</paraID>
      <start>0</start>
      <end>3</end>
      <status>unmodified</status>
      <modifiedWord/>
      <trackRevisions>false</trackRevisions>
    </reviewItem>
    <reviewItem>
      <errorID>93be89b8-8637-4d68-9e4e-07440d8ca719</errorID>
      <errorWord>IV</errorWord>
      <group>L1_Knowledge</group>
      <groupName>知识性问题</groupName>
      <ability>L2_Knowledge</ability>
      <abilityName>其他知识</abilityName>
      <candidateList>
        <item>Ⅳ</item>
      </candidateList>
      <explain>中文环境下罗马数字格式错误。</explain>
      <paraID>427C12FB</paraID>
      <start>0</start>
      <end>2</end>
      <status>unmodified</status>
      <modifiedWord/>
      <trackRevisions>false</trackRevisions>
    </reviewItem>
    <reviewItem>
      <errorID>5fede14c-a989-4c7e-b540-f84215726ca7</errorID>
      <errorWord>（</errorWord>
      <group>L1_Format</group>
      <groupName>格式问题</groupName>
      <ability>L2_HalfPunc_CN</ability>
      <abilityName>全半角问题</abilityName>
      <candidateList>
        <item>(</item>
      </candidateList>
      <explain>文本全半角错误。</explain>
      <paraID>4D18A286</paraID>
      <start>2</start>
      <end>3</end>
      <status>unmodified</status>
      <modifiedWord/>
      <trackRevisions>false</trackRevisions>
    </reviewItem>
    <reviewItem>
      <errorID>5201e51f-c127-4a30-95e6-4638a94602aa</errorID>
      <errorWord>）</errorWord>
      <group>L1_Format</group>
      <groupName>格式问题</groupName>
      <ability>L2_HalfPunc_CN</ability>
      <abilityName>全半角问题</abilityName>
      <candidateList>
        <item>)</item>
      </candidateList>
      <explain>文本全半角错误。</explain>
      <paraID>4D18A286</paraID>
      <start>6</start>
      <end>7</end>
      <status>unmodified</status>
      <modifiedWord/>
      <trackRevisions>false</trackRevisions>
    </reviewItem>
    <reviewItem>
      <errorID>cee49e91-1672-4fb3-ae18-25b3167d4470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64A7D25A</paraID>
      <start>0</start>
      <end>2</end>
      <status>unmodified</status>
      <modifiedWord/>
      <trackRevisions>false</trackRevisions>
    </reviewItem>
    <reviewItem>
      <errorID>10d67cd1-e44b-4c5f-8950-898314b92c5b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487D60AF</paraID>
      <start>0</start>
      <end>2</end>
      <status>unmodified</status>
      <modifiedWord/>
      <trackRevisions>false</trackRevisions>
    </reviewItem>
    <reviewItem>
      <errorID>4b1ced66-0969-4b56-9dba-3e816d71db97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2347EEE2</paraID>
      <start>13</start>
      <end>14</end>
      <status>unmodified</status>
      <modifiedWord/>
      <trackRevisions>false</trackRevisions>
    </reviewItem>
    <reviewItem>
      <errorID>5fd22e06-22c2-4bd0-8644-df3b65833699</errorID>
      <errorWord>（</errorWord>
      <group>L1_Format</group>
      <groupName>格式问题</groupName>
      <ability>L2_HalfPunc_CN</ability>
      <abilityName>全半角问题</abilityName>
      <candidateList>
        <item>(</item>
      </candidateList>
      <explain>文本全半角错误。</explain>
      <paraID>67B50368</paraID>
      <start>7</start>
      <end>8</end>
      <status>unmodified</status>
      <modifiedWord/>
      <trackRevisions>false</trackRevisions>
    </reviewItem>
    <reviewItem>
      <errorID>0938602d-383e-4db2-a49d-0a33b3e6e318</errorID>
      <errorWord>）</errorWord>
      <group>L1_Format</group>
      <groupName>格式问题</groupName>
      <ability>L2_HalfPunc_CN</ability>
      <abilityName>全半角问题</abilityName>
      <candidateList>
        <item>)</item>
      </candidateList>
      <explain>文本全半角错误。</explain>
      <paraID>67B50368</paraID>
      <start>22</start>
      <end>23</end>
      <status>unmodified</status>
      <modifiedWord/>
      <trackRevisions>false</trackRevisions>
    </reviewItem>
    <reviewItem>
      <errorID>5fb60a9b-7581-4b2f-a14a-c8b462278ae3</errorID>
      <errorWord>（</errorWord>
      <group>L1_Format</group>
      <groupName>格式问题</groupName>
      <ability>L2_HalfPunc_CN</ability>
      <abilityName>全半角问题</abilityName>
      <candidateList>
        <item>(</item>
      </candidateList>
      <explain>文本全半角错误。</explain>
      <paraID>73DE9F18</paraID>
      <start>7</start>
      <end>8</end>
      <status>unmodified</status>
      <modifiedWord/>
      <trackRevisions>false</trackRevisions>
    </reviewItem>
    <reviewItem>
      <errorID>7a4af2d4-b34d-4b84-bb21-7f8b626ea2a5</errorID>
      <errorWord>）</errorWord>
      <group>L1_Format</group>
      <groupName>格式问题</groupName>
      <ability>L2_HalfPunc_CN</ability>
      <abilityName>全半角问题</abilityName>
      <candidateList>
        <item>)</item>
      </candidateList>
      <explain>文本全半角错误。</explain>
      <paraID>73DE9F18</paraID>
      <start>21</start>
      <end>22</end>
      <status>unmodified</status>
      <modifiedWord/>
      <trackRevisions>false</trackRevisions>
    </reviewItem>
    <reviewItem>
      <errorID>cc236eee-7b68-4ab4-a86d-7045f33a6364</errorID>
      <errorWord>（</errorWord>
      <group>L1_Format</group>
      <groupName>格式问题</groupName>
      <ability>L2_HalfPunc_CN</ability>
      <abilityName>全半角问题</abilityName>
      <candidateList>
        <item>(</item>
      </candidateList>
      <explain>文本全半角错误。</explain>
      <paraID>15E5645F</paraID>
      <start>7</start>
      <end>8</end>
      <status>unmodified</status>
      <modifiedWord/>
      <trackRevisions>false</trackRevisions>
    </reviewItem>
    <reviewItem>
      <errorID>9998542b-e339-473b-ad59-9ef54bf10f0d</errorID>
      <errorWord>）</errorWord>
      <group>L1_Format</group>
      <groupName>格式问题</groupName>
      <ability>L2_HalfPunc_CN</ability>
      <abilityName>全半角问题</abilityName>
      <candidateList>
        <item>)</item>
      </candidateList>
      <explain>文本全半角错误。</explain>
      <paraID>15E5645F</paraID>
      <start>21</start>
      <end>22</end>
      <status>unmodified</status>
      <modifiedWord/>
      <trackRevisions>false</trackRevisions>
    </reviewItem>
    <reviewItem>
      <errorID>6f381d10-5ebe-4cdc-ad82-04bcd01c93a0</errorID>
      <errorWord>（</errorWord>
      <group>L1_Format</group>
      <groupName>格式问题</groupName>
      <ability>L2_HalfPunc_CN</ability>
      <abilityName>全半角问题</abilityName>
      <candidateList>
        <item>(</item>
      </candidateList>
      <explain>文本全半角错误。</explain>
      <paraID> E3A4193</paraID>
      <start>7</start>
      <end>8</end>
      <status>unmodified</status>
      <modifiedWord/>
      <trackRevisions>false</trackRevisions>
    </reviewItem>
    <reviewItem>
      <errorID>475b7b84-450e-4acf-83d3-905d551b9ded</errorID>
      <errorWord>）</errorWord>
      <group>L1_Format</group>
      <groupName>格式问题</groupName>
      <ability>L2_HalfPunc_CN</ability>
      <abilityName>全半角问题</abilityName>
      <candidateList>
        <item>)</item>
      </candidateList>
      <explain>文本全半角错误。</explain>
      <paraID> E3A4193</paraID>
      <start>21</start>
      <end>22</end>
      <status>unmodified</status>
      <modifiedWord/>
      <trackRevisions>false</trackRevisions>
    </reviewItem>
    <reviewItem>
      <errorID>4c0cbf44-0d1f-4cc2-b0d5-265bd00b245c</errorID>
      <errorWord>（</errorWord>
      <group>L1_Format</group>
      <groupName>格式问题</groupName>
      <ability>L2_HalfPunc_CN</ability>
      <abilityName>全半角问题</abilityName>
      <candidateList>
        <item>(</item>
      </candidateList>
      <explain>文本全半角错误。</explain>
      <paraID>6AF2B6A0</paraID>
      <start>7</start>
      <end>8</end>
      <status>unmodified</status>
      <modifiedWord/>
      <trackRevisions>false</trackRevisions>
    </reviewItem>
    <reviewItem>
      <errorID>0de92042-6c69-46c6-b9fd-9c2a7a37b074</errorID>
      <errorWord>）</errorWord>
      <group>L1_Format</group>
      <groupName>格式问题</groupName>
      <ability>L2_HalfPunc_CN</ability>
      <abilityName>全半角问题</abilityName>
      <candidateList>
        <item>)</item>
      </candidateList>
      <explain>文本全半角错误。</explain>
      <paraID>6AF2B6A0</paraID>
      <start>21</start>
      <end>22</end>
      <status>unmodified</status>
      <modifiedWord/>
      <trackRevisions>false</trackRevisions>
    </reviewItem>
    <reviewItem>
      <errorID>51027b94-2527-40a7-949f-8940cac11909</errorID>
      <errorWord>~</errorWord>
      <group>L1_Format</group>
      <groupName>格式问题</groupName>
      <ability>L2_HalfPunc_CN</ability>
      <abilityName>全半角问题</abilityName>
      <candidateList>
        <item>～</item>
      </candidateList>
      <explain>文本全半角错误。</explain>
      <paraID>2F0DDDDC</paraID>
      <start>28</start>
      <end>29</end>
      <status>unmodified</status>
      <modifiedWord/>
      <trackRevisions>false</trackRevisions>
    </reviewItem>
    <reviewItem>
      <errorID>42befbb9-80e0-4285-b69d-a853c2e4e03a</errorID>
      <errorWord>~</errorWord>
      <group>L1_Format</group>
      <groupName>格式问题</groupName>
      <ability>L2_HalfPunc_CN</ability>
      <abilityName>全半角问题</abilityName>
      <candidateList>
        <item>～</item>
      </candidateList>
      <explain>文本全半角错误。</explain>
      <paraID>2F0DDDDC</paraID>
      <start>109</start>
      <end>110</end>
      <status>unmodified</status>
      <modifiedWord/>
      <trackRevisions>false</trackRevisions>
    </reviewItem>
    <reviewItem>
      <errorID>51df4788-06c9-4f63-b9a7-6dce46a464de</errorID>
      <errorWord>，则</errorWord>
      <group>L1_Word</group>
      <groupName>字词问题</groupName>
      <ability>L2_Typo</ability>
      <abilityName>字词错误</abilityName>
      <candidateList>
        <item>，</item>
      </candidateList>
      <explain/>
      <paraID>5C590A6C</paraID>
      <start>44</start>
      <end>46</end>
      <status>unmodified</status>
      <modifiedWord/>
      <trackRevisions>false</trackRevisions>
    </reviewItem>
    <reviewItem>
      <errorID>06bf3624-ab8a-427c-9670-315e9366bfd1</errorID>
      <errorWord>（</errorWord>
      <group>L1_Format</group>
      <groupName>格式问题</groupName>
      <ability>L2_HalfPunc_CN</ability>
      <abilityName>全半角问题</abilityName>
      <candidateList>
        <item>(</item>
      </candidateList>
      <explain>文本全半角错误。</explain>
      <paraID>7E5474F1</paraID>
      <start>0</start>
      <end>1</end>
      <status>unmodified</status>
      <modifiedWord/>
      <trackRevisions>false</trackRevisions>
    </reviewItem>
    <reviewItem>
      <errorID>e2165f94-b02c-4683-b557-e9e174108482</errorID>
      <errorWord>）</errorWord>
      <group>L1_Format</group>
      <groupName>格式问题</groupName>
      <ability>L2_HalfPunc_CN</ability>
      <abilityName>全半角问题</abilityName>
      <candidateList>
        <item>)</item>
      </candidateList>
      <explain>文本全半角错误。</explain>
      <paraID>7E5474F1</paraID>
      <start>7</start>
      <end>8</end>
      <status>unmodified</status>
      <modifiedWord/>
      <trackRevisions>false</trackRevisions>
    </reviewItem>
    <reviewItem>
      <errorID>637fbd63-132e-42d6-9b38-f9b129037883</errorID>
      <errorWord>II类</errorWord>
      <group>L1_Knowledge</group>
      <groupName>知识性问题</groupName>
      <ability>L2_Knowledge</ability>
      <abilityName>其他知识</abilityName>
      <candidateList>
        <item>Ⅱ类</item>
      </candidateList>
      <explain>中文环境下罗马数字格式错误。</explain>
      <paraID>150E18A1</paraID>
      <start>35</start>
      <end>38</end>
      <status>unmodified</status>
      <modifiedWord/>
      <trackRevisions>false</trackRevisions>
    </reviewItem>
    <reviewItem>
      <errorID>8cec44a3-214f-4d8c-9b99-e0aea54c3850</errorID>
      <errorWord>IV类</errorWord>
      <group>L1_Knowledge</group>
      <groupName>知识性问题</groupName>
      <ability>L2_Knowledge</ability>
      <abilityName>其他知识</abilityName>
      <candidateList>
        <item>Ⅳ类</item>
      </candidateList>
      <explain>中文环境下罗马数字格式错误。</explain>
      <paraID>150E18A1</paraID>
      <start>76</start>
      <end>79</end>
      <status>unmodified</status>
      <modifiedWord/>
      <trackRevisions>false</trackRevisions>
    </reviewItem>
    <reviewItem>
      <errorID>def9e2f5-aaed-4bdd-a92e-acfbcc8b6c76</errorID>
      <errorWord>）</errorWord>
      <group>L1_Format</group>
      <groupName>格式问题</groupName>
      <ability>L2_HalfPunc_CN</ability>
      <abilityName>全半角问题</abilityName>
      <candidateList>
        <item>)</item>
      </candidateList>
      <explain>文本全半角错误。</explain>
      <paraID>678999C8</paraID>
      <start>1</start>
      <end>2</end>
      <status>unmodified</status>
      <modifiedWord/>
      <trackRevisions>false</trackRevisions>
    </reviewItem>
    <reviewItem>
      <errorID>d77186e0-1986-4e55-b52c-3d40a0c6d6e6</errorID>
      <errorWord>；</errorWord>
      <group>L1_Format</group>
      <groupName>格式问题</groupName>
      <ability>L2_HalfPunc_CN</ability>
      <abilityName>全半角问题</abilityName>
      <candidateList>
        <item>; </item>
      </candidateList>
      <explain>文本全半角错误。</explain>
      <paraID>678999C8</paraID>
      <start>3</start>
      <end>4</end>
      <status>unmodified</status>
      <modifiedWord/>
      <trackRevisions>false</trackRevisions>
    </reviewItem>
    <reviewItem>
      <errorID>8d3cf3ad-6631-488c-92c6-b29f568a872c</errorID>
      <errorWord>）</errorWord>
      <group>L1_Format</group>
      <groupName>格式问题</groupName>
      <ability>L2_HalfPunc_CN</ability>
      <abilityName>全半角问题</abilityName>
      <candidateList>
        <item>)</item>
      </candidateList>
      <explain>文本全半角错误。</explain>
      <paraID>678999C8</paraID>
      <start>5</start>
      <end>6</end>
      <status>unmodified</status>
      <modifiedWord/>
      <trackRevisions>false</trackRevisions>
    </reviewItem>
    <reviewItem>
      <errorID>16d6d17d-110a-40bd-8439-9dad04240150</errorID>
      <errorWord>；</errorWord>
      <group>L1_Format</group>
      <groupName>格式问题</groupName>
      <ability>L2_HalfPunc_CN</ability>
      <abilityName>全半角问题</abilityName>
      <candidateList>
        <item>; </item>
      </candidateList>
      <explain>文本全半角错误。</explain>
      <paraID>678999C8</paraID>
      <start>7</start>
      <end>8</end>
      <status>unmodified</status>
      <modifiedWord/>
      <trackRevisions>false</trackRevisions>
    </reviewItem>
    <reviewItem>
      <errorID>a983382f-61b1-4e70-9987-26f54c213e6e</errorID>
      <errorWord>）</errorWord>
      <group>L1_Format</group>
      <groupName>格式问题</groupName>
      <ability>L2_HalfPunc_CN</ability>
      <abilityName>全半角问题</abilityName>
      <candidateList>
        <item>)</item>
      </candidateList>
      <explain>文本全半角错误。</explain>
      <paraID>678999C8</paraID>
      <start>9</start>
      <end>10</end>
      <status>unmodified</status>
      <modifiedWord/>
      <trackRevisions>false</trackRevisions>
    </reviewItem>
    <reviewItem>
      <errorID>b20885be-97a1-4e03-b947-6d8eb25b43e6</errorID>
      <errorWord>；</errorWord>
      <group>L1_Format</group>
      <groupName>格式问题</groupName>
      <ability>L2_HalfPunc_CN</ability>
      <abilityName>全半角问题</abilityName>
      <candidateList>
        <item>; </item>
      </candidateList>
      <explain>文本全半角错误。</explain>
      <paraID>678999C8</paraID>
      <start>11</start>
      <end>12</end>
      <status>unmodified</status>
      <modifiedWord/>
      <trackRevisions>false</trackRevisions>
    </reviewItem>
    <reviewItem>
      <errorID>ae6fa7c0-660c-4959-a6c5-360d8db16eb4</errorID>
      <errorWord>）</errorWord>
      <group>L1_Format</group>
      <groupName>格式问题</groupName>
      <ability>L2_HalfPunc_CN</ability>
      <abilityName>全半角问题</abilityName>
      <candidateList>
        <item>)</item>
      </candidateList>
      <explain>文本全半角错误。</explain>
      <paraID>678999C8</paraID>
      <start>13</start>
      <end>14</end>
      <status>unmodified</status>
      <modifiedWord/>
      <trackRevisions>false</trackRevisions>
    </reviewItem>
    <reviewItem>
      <errorID>6165d888-726b-42f3-98a8-f9d0ae2e83d8</errorID>
      <errorWord>响预</errorWord>
      <group>L1_Word</group>
      <groupName>字词问题</groupName>
      <ability>L2_Typo</ability>
      <abilityName>字词错误</abilityName>
      <candidateList>
        <item>响应</item>
      </candidateList>
      <explain/>
      <paraID>3E98383B</paraID>
      <start>0</start>
      <end>2</end>
      <status>unmodified</status>
      <modifiedWord/>
      <trackRevisions>false</trackRevisions>
    </reviewItem>
    <reviewItem>
      <errorID>25dcd937-59e7-4ccc-a2ed-042f7b1fedd3</errorID>
      <errorWord>测</errorWord>
      <group>L1_Word</group>
      <groupName>字词问题</groupName>
      <ability>L2_Typo</ability>
      <abilityName>字词错误</abilityName>
      <candidateList>
        <item>的</item>
      </candidateList>
      <explain/>
      <paraID>3B141DB8</paraID>
      <start>0</start>
      <end>1</end>
      <status>unmodified</status>
      <modifiedWord/>
      <trackRevisions>false</trackRevisions>
    </reviewItem>
    <reviewItem>
      <errorID>2eadfdc6-14e4-4932-aacf-ac3c49f9f1af</errorID>
      <errorWord>环境影响评级</errorWord>
      <group>L1_Knowledge</group>
      <groupName>知识性问题</groupName>
      <ability>L2_Term</ability>
      <abilityName>专业术语</abilityName>
      <candidateList>
        <item>环境影响评价</item>
      </candidateList>
      <explain/>
      <paraID>24B2670C</paraID>
      <start>12</start>
      <end>18</end>
      <status>unmodified</status>
      <modifiedWord/>
      <trackRevisions>false</trackRevisions>
    </reviewItem>
    <reviewItem>
      <errorID>6eea9256-0338-4980-8a2b-fc99d6614bb4</errorID>
      <errorWord>KW</errorWord>
      <group>L1_Word</group>
      <groupName>字词问题</groupName>
      <ability>L2_Typo</ability>
      <abilityName>字词错误</abilityName>
      <candidateList>
        <item>kW</item>
      </candidateList>
      <explain/>
      <paraID>329EAA05</paraID>
      <start>5</start>
      <end>7</end>
      <status>unmodified</status>
      <modifiedWord/>
      <trackRevisions>false</trackRevisions>
    </reviewItem>
    <reviewItem>
      <errorID>dc15ec8c-fe7d-43ca-8657-b48dbf70d2ee</errorID>
      <errorWord>的粘度</errorWord>
      <group>L1_Word</group>
      <groupName>字词问题</groupName>
      <ability>L2_Alias</ability>
      <abilityName>也作/曾用词</abilityName>
      <candidateList>
        <item>的黏度</item>
      </candidateList>
      <explain>词汇[的粘度]为不规范表述或旧称，其规范书面表述为[的黏度]。</explain>
      <paraID>2D60E4E4</paraID>
      <start>4</start>
      <end>7</end>
      <status>unmodified</status>
      <modifiedWord/>
      <trackRevisions>false</trackRevisions>
    </reviewItem>
    <reviewItem>
      <errorID>5e4fdbf1-58b9-474c-8599-6f2629d95d10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6A57FFF4</paraID>
      <start>0</start>
      <end>2</end>
      <status>unmodified</status>
      <modifiedWord/>
      <trackRevisions>false</trackRevisions>
    </reviewItem>
    <reviewItem>
      <errorID>4d196390-4dc6-4330-97d0-6ce0951c99c6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59D0069A</paraID>
      <start>0</start>
      <end>2</end>
      <status>unmodified</status>
      <modifiedWord/>
      <trackRevisions>false</trackRevisions>
    </reviewItem>
    <reviewItem>
      <errorID>9c5fec42-34ed-4646-a876-b8167baec08e</errorID>
      <errorWord>组织实施和演练</errorWord>
      <group>L1_Word</group>
      <groupName>字词问题</groupName>
      <ability>L2_Typo</ability>
      <abilityName>字词错误</abilityName>
      <candidateList>
        <item>组织实施演练</item>
      </candidateList>
      <explain/>
      <paraID> BD4C75E</paraID>
      <start>13</start>
      <end>20</end>
      <status>unmodified</status>
      <modifiedWord/>
      <trackRevisions>false</trackRevisions>
    </reviewItem>
    <reviewItem>
      <errorID>334cbc63-96b7-4021-a489-b55f81b2f244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672EF83A</paraID>
      <start>0</start>
      <end>2</end>
      <status>unmodified</status>
      <modifiedWord/>
      <trackRevisions>false</trackRevisions>
    </reviewItem>
    <reviewItem>
      <errorID>c061dc22-d489-4d79-a706-30d1bf4db926</errorID>
      <errorWord>II级</errorWord>
      <group>L1_Knowledge</group>
      <groupName>知识性问题</groupName>
      <ability>L2_Knowledge</ability>
      <abilityName>其他知识</abilityName>
      <candidateList>
        <item>Ⅱ级</item>
      </candidateList>
      <explain>中文环境下罗马数字格式错误。</explain>
      <paraID>6365B829</paraID>
      <start>19</start>
      <end>22</end>
      <status>unmodified</status>
      <modifiedWord/>
      <trackRevisions>false</trackRevisions>
    </reviewItem>
    <reviewItem>
      <errorID>21e1ae1b-0a4c-44d2-8cc2-83ecd3359c91</errorID>
      <errorWord>II级</errorWord>
      <group>L1_Knowledge</group>
      <groupName>知识性问题</groupName>
      <ability>L2_Knowledge</ability>
      <abilityName>其他知识</abilityName>
      <candidateList>
        <item>Ⅱ级</item>
      </candidateList>
      <explain>中文环境下罗马数字格式错误。</explain>
      <paraID>202B6EB9</paraID>
      <start>20</start>
      <end>23</end>
      <status>unmodified</status>
      <modifiedWord/>
      <trackRevisions>false</trackRevisions>
    </reviewItem>
    <reviewItem>
      <errorID>6fec425e-9342-4674-8cba-2cede92744e3</errorID>
      <errorWord>II级</errorWord>
      <group>L1_Knowledge</group>
      <groupName>知识性问题</groupName>
      <ability>L2_Knowledge</ability>
      <abilityName>其他知识</abilityName>
      <candidateList>
        <item>Ⅱ级</item>
      </candidateList>
      <explain>中文环境下罗马数字格式错误。</explain>
      <paraID>202B6EB9</paraID>
      <start>64</start>
      <end>67</end>
      <status>unmodified</status>
      <modifiedWord/>
      <trackRevisions>false</trackRevisions>
    </reviewItem>
    <reviewItem>
      <errorID>962067fe-4c20-4036-bb3d-87cae6acbc30</errorID>
      <errorWord>古</errorWord>
      <group>L1_Word</group>
      <groupName>字词问题</groupName>
      <ability>L2_Typo</ability>
      <abilityName>字词错误</abilityName>
      <candidateList>
        <item>古族</item>
      </candidateList>
      <explain/>
      <paraID>202B6EB9</paraID>
      <start>80</start>
      <end>81</end>
      <status>unmodified</status>
      <modifiedWord/>
      <trackRevisions>false</trackRevisions>
    </reviewItem>
    <reviewItem>
      <errorID>9905f3f5-711e-4b26-9fd6-426ca20edd0c</errorID>
      <errorWord>救援和</errorWord>
      <group>L1_Word</group>
      <groupName>字词问题</groupName>
      <ability>L2_Typo</ability>
      <abilityName>字词错误</abilityName>
      <candidateList>
        <item>救援</item>
      </candidateList>
      <explain/>
      <paraID>19C29757</paraID>
      <start>88</start>
      <end>91</end>
      <status>unmodified</status>
      <modifiedWord/>
      <trackRevisions>false</trackRevisions>
    </reviewItem>
    <reviewItem>
      <errorID>a0bae20a-872b-4f4d-8e29-e03959c6c69f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21F74349</paraID>
      <start>0</start>
      <end>2</end>
      <status>unmodified</status>
      <modifiedWord/>
      <trackRevisions>false</trackRevisions>
    </reviewItem>
    <reviewItem>
      <errorID>0d05a9dd-d895-4792-8e3b-07cc7db9d13c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1F2DD26A</paraID>
      <start>0</start>
      <end>2</end>
      <status>unmodified</status>
      <modifiedWord/>
      <trackRevisions>false</trackRevisions>
    </reviewItem>
    <reviewItem>
      <errorID>8ce90371-50d0-4f37-a937-9155fa121258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29254CF2</paraID>
      <start>0</start>
      <end>2</end>
      <status>unmodified</status>
      <modifiedWord/>
      <trackRevisions>false</trackRevisions>
    </reviewItem>
    <reviewItem>
      <errorID>b161a5d5-2312-47f8-b421-ecc409745655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7425553C</paraID>
      <start>0</start>
      <end>2</end>
      <status>unmodified</status>
      <modifiedWord/>
      <trackRevisions>false</trackRevisions>
    </reviewItem>
    <reviewItem>
      <errorID>072dcaf8-c2c5-4ff2-9324-92a4d38faada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7E111A5F</paraID>
      <start>0</start>
      <end>2</end>
      <status>unmodified</status>
      <modifiedWord/>
      <trackRevisions>false</trackRevisions>
    </reviewItem>
    <reviewItem>
      <errorID>c256edfd-3d89-473f-9a0b-1ac6f7e021a5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5FF2B854</paraID>
      <start>0</start>
      <end>2</end>
      <status>unmodified</status>
      <modifiedWord/>
      <trackRevisions>false</trackRevisions>
    </reviewItem>
    <reviewItem>
      <errorID>06f4f821-7263-4d59-bc7a-4128ad8f721a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1042ACB</paraID>
      <start>0</start>
      <end>3</end>
      <status>unmodified</status>
      <modifiedWord/>
      <trackRevisions>false</trackRevisions>
    </reviewItem>
    <reviewItem>
      <errorID>a94f98b2-8fc4-4603-8a68-78cc48b88e78</errorID>
      <errorWord>粘度</errorWord>
      <group>L1_Word</group>
      <groupName>字词问题</groupName>
      <ability>L2_Alias</ability>
      <abilityName>也作/曾用词</abilityName>
      <candidateList>
        <item>黏度</item>
      </candidateList>
      <explain>词汇[粘度]为不规范表述或旧称，其规范书面表述为[黏度]。</explain>
      <paraID>402FD1B6</paraID>
      <start>0</start>
      <end>2</end>
      <status>unmodified</status>
      <modifiedWord/>
      <trackRevisions>false</trackRevisions>
    </reviewItem>
    <reviewItem>
      <errorID>3a90b386-8d98-4ee1-955d-5b0c4b6d80f7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1EA5DFC4</paraID>
      <start>0</start>
      <end>2</end>
      <status>unmodified</status>
      <modifiedWord/>
      <trackRevisions>false</trackRevisions>
    </reviewItem>
    <reviewItem>
      <errorID>21a3d657-5d76-4243-a9b4-a67cd2d77033</errorID>
      <errorWord>：</errorWord>
      <group>L1_Format</group>
      <groupName>格式问题</groupName>
      <ability>L2_HalfPunc_CN</ability>
      <abilityName>全半角问题</abilityName>
      <candidateList>
        <item>:</item>
      </candidateList>
      <explain>文本全半角错误。</explain>
      <paraID>4F558B61</paraID>
      <start>97</start>
      <end>98</end>
      <status>unmodified</status>
      <modifiedWord/>
      <trackRevisions>false</trackRevisions>
    </reviewItem>
    <reviewItem>
      <errorID>111e82df-f976-47c1-9765-6967c0c028a1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41A489A</paraID>
      <start>52</start>
      <end>53</end>
      <status>unmodified</status>
      <modifiedWord/>
      <trackRevisions>false</trackRevisions>
    </reviewItem>
    <reviewItem>
      <errorID>038aa69b-4e1d-4d99-893b-f0f3f6d19495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41A489A</paraID>
      <start>91</start>
      <end>92</end>
      <status>unmodified</status>
      <modifiedWord/>
      <trackRevisions>false</trackRevisions>
    </reviewItem>
    <reviewItem>
      <errorID>180d9a50-6533-4ebf-a247-4955a71da817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4280A8FE</paraID>
      <start>71</start>
      <end>72</end>
      <status>unmodified</status>
      <modifiedWord/>
      <trackRevisions>false</trackRevisions>
    </reviewItem>
    <reviewItem>
      <errorID>8ec3ff45-f5eb-45c4-af07-29529f927d24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4280A8FE</paraID>
      <start>162</start>
      <end>163</end>
      <status>unmodified</status>
      <modifiedWord/>
      <trackRevisions>false</trackRevisions>
    </reviewItem>
    <reviewItem>
      <errorID>a37253fc-01fe-4444-83d5-2329009fa2f3</errorID>
      <errorWord>地表声环境</errorWord>
      <group>L1_Word</group>
      <groupName>字词问题</groupName>
      <ability>L2_Typo</ability>
      <abilityName>字词错误</abilityName>
      <candidateList>
        <item>地表水环境</item>
      </candidateList>
      <explain/>
      <paraID>6598EBD4</paraID>
      <start>71</start>
      <end>76</end>
      <status>unmodified</status>
      <modifiedWord/>
      <trackRevisions>false</trackRevisions>
    </reviewItem>
    <reviewItem>
      <errorID>c7d0b234-f32b-4a23-a738-5aa7eeada399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32180BFE</paraID>
      <start>0</start>
      <end>2</end>
      <status>unmodified</status>
      <modifiedWord/>
      <trackRevisions>false</trackRevisions>
    </reviewItem>
    <reviewItem>
      <errorID>f187224e-d1b4-4ab9-9684-5bac3819efbf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20059038</paraID>
      <start>0</start>
      <end>2</end>
      <status>unmodified</status>
      <modifiedWord/>
      <trackRevisions>false</trackRevisions>
    </reviewItem>
    <reviewItem>
      <errorID>eee00c84-0569-4892-9461-38d1a2c99c14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200EE88F</paraID>
      <start>0</start>
      <end>2</end>
      <status>unmodified</status>
      <modifiedWord/>
      <trackRevisions>false</trackRevisions>
    </reviewItem>
    <reviewItem>
      <errorID>e3241933-95b6-48dd-9795-b73f29e1fa21</errorID>
      <errorWord>法律、法规</errorWord>
      <group>L1_Word</group>
      <groupName>字词问题</groupName>
      <ability>L2_Typo</ability>
      <abilityName>字词错误</abilityName>
      <candidateList>
        <item>法律法规</item>
      </candidateList>
      <explain/>
      <paraID>26D8685C</paraID>
      <start>13</start>
      <end>18</end>
      <status>unmodified</status>
      <modifiedWord/>
      <trackRevisions>false</trackRevisions>
    </reviewItem>
    <reviewItem>
      <errorID>9b4d1ffd-b322-4f8e-b807-50067eb0ffb1</errorID>
      <errorWord>法律、法规</errorWord>
      <group>L1_Word</group>
      <groupName>字词问题</groupName>
      <ability>L2_Typo</ability>
      <abilityName>字词错误</abilityName>
      <candidateList>
        <item>法律法规</item>
      </candidateList>
      <explain/>
      <paraID>568204A7</paraID>
      <start>21</start>
      <end>26</end>
      <status>unmodified</status>
      <modifiedWord/>
      <trackRevisions>false</trackRevisions>
    </reviewItem>
    <reviewItem>
      <errorID>07c8a2ce-809d-4f62-b49a-f26ba218431d</errorID>
      <errorWord>-</errorWord>
      <group>L1_Format</group>
      <groupName>格式问题</groupName>
      <ability>L2_HalfPunc_CN</ability>
      <abilityName>全半角问题</abilityName>
      <candidateList>
        <item>－</item>
      </candidateList>
      <explain>文本全半角错误。</explain>
      <paraID>631EA679</paraID>
      <start>23</start>
      <end>24</end>
      <status>unmodified</status>
      <modifiedWord/>
      <trackRevisions>false</trackRevisions>
    </reviewItem>
    <reviewItem>
      <errorID>19a15464-dc85-4e57-8780-82d90e528e6f</errorID>
      <errorWord>-</errorWord>
      <group>L1_Format</group>
      <groupName>格式问题</groupName>
      <ability>L2_HalfPunc_CN</ability>
      <abilityName>全半角问题</abilityName>
      <candidateList>
        <item>－</item>
      </candidateList>
      <explain>文本全半角错误。</explain>
      <paraID>631EA679</paraID>
      <start>27</start>
      <end>28</end>
      <status>unmodified</status>
      <modifiedWord/>
      <trackRevisions>false</trackRevisions>
    </reviewItem>
    <reviewItem>
      <errorID>b205c115-c864-4c36-95fa-0264d4e7a9fa</errorID>
      <errorWord>厂</errorWord>
      <group>L1_Word</group>
      <groupName>字词问题</groupName>
      <ability>L2_Typo</ability>
      <abilityName>字词错误</abilityName>
      <candidateList>
        <item>场</item>
      </candidateList>
      <explain/>
      <paraID>53282B20</paraID>
      <start>7</start>
      <end>8</end>
      <status>unmodified</status>
      <modifiedWord/>
      <trackRevisions>false</trackRevisions>
    </reviewItem>
    <reviewItem>
      <errorID>b39f3865-9cce-4c98-80a2-f53716d76b02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7AE7F645</paraID>
      <start>0</start>
      <end>2</end>
      <status>unmodified</status>
      <modifiedWord/>
      <trackRevisions>false</trackRevisions>
    </reviewItem>
    <reviewItem>
      <errorID>d9295622-3c57-4737-bc7b-5442c926ff71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26FA5131</paraID>
      <start>0</start>
      <end>2</end>
      <status>unmodified</status>
      <modifiedWord/>
      <trackRevisions>false</trackRevisions>
    </reviewItem>
    <reviewItem>
      <errorID>2f9da120-6215-45ac-be50-b48546f86866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52FC4388</paraID>
      <start>0</start>
      <end>2</end>
      <status>unmodified</status>
      <modifiedWord/>
      <trackRevisions>false</trackRevisions>
    </reviewItem>
    <reviewItem>
      <errorID>5bb1c888-6475-4760-9bd9-907f87591189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6D70F3B2</paraID>
      <start>0</start>
      <end>2</end>
      <status>unmodified</status>
      <modifiedWord/>
      <trackRevisions>false</trackRevisions>
    </reviewItem>
    <reviewItem>
      <errorID>da754806-aa7a-4f95-b741-aa7b1ed4949d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3E71ABB9</paraID>
      <start>0</start>
      <end>2</end>
      <status>unmodified</status>
      <modifiedWord/>
      <trackRevisions>false</trackRevisions>
    </reviewItem>
    <reviewItem>
      <errorID>8014c8ab-caf1-4220-bfde-413abb066fbf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25A17528</paraID>
      <start>0</start>
      <end>2</end>
      <status>unmodified</status>
      <modifiedWord/>
      <trackRevisions>false</trackRevisions>
    </reviewItem>
    <reviewItem>
      <errorID>4b59a8c6-9e22-4b58-857f-f0f3af19e115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43CCD457</paraID>
      <start>0</start>
      <end>2</end>
      <status>unmodified</status>
      <modifiedWord/>
      <trackRevisions>false</trackRevisions>
    </reviewItem>
    <reviewItem>
      <errorID>13732f24-b485-4c4a-8486-25ac3e3dbb09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72DA031F</paraID>
      <start>0</start>
      <end>2</end>
      <status>unmodified</status>
      <modifiedWord/>
      <trackRevisions>false</trackRevisions>
    </reviewItem>
    <reviewItem>
      <errorID>c7b9ab4d-3c12-4b2e-8f4f-c95aa6d7bcac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1F672E7C</paraID>
      <start>0</start>
      <end>2</end>
      <status>unmodified</status>
      <modifiedWord/>
      <trackRevisions>false</trackRevisions>
    </reviewItem>
    <reviewItem>
      <errorID>9ddf161e-9985-4808-bbda-6a9567669a01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66A45A90</paraID>
      <start>0</start>
      <end>2</end>
      <status>unmodified</status>
      <modifiedWord/>
      <trackRevisions>false</trackRevisions>
    </reviewItem>
    <reviewItem>
      <errorID>127db278-cd8d-431d-8bba-8720d4283d59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3A0E7062</paraID>
      <start>0</start>
      <end>2</end>
      <status>unmodified</status>
      <modifiedWord/>
      <trackRevisions>false</trackRevisions>
    </reviewItem>
    <reviewItem>
      <errorID>b16c6345-4cd2-4a26-8c23-cb99c8464f2e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50FC1209</paraID>
      <start>0</start>
      <end>2</end>
      <status>unmodified</status>
      <modifiedWord/>
      <trackRevisions>false</trackRevisions>
    </reviewItem>
    <reviewItem>
      <errorID>edff3f41-354e-4252-b9e1-cba357f7624f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734DEC7C</paraID>
      <start>0</start>
      <end>2</end>
      <status>unmodified</status>
      <modifiedWord/>
      <trackRevisions>false</trackRevisions>
    </reviewItem>
    <reviewItem>
      <errorID>247086e1-eb3c-47d7-9968-b19ceffaf2ac</errorID>
      <errorWord>法律、法规</errorWord>
      <group>L1_Word</group>
      <groupName>字词问题</groupName>
      <ability>L2_Typo</ability>
      <abilityName>字词错误</abilityName>
      <candidateList>
        <item>法律法规</item>
      </candidateList>
      <explain/>
      <paraID>5A2160A2</paraID>
      <start>16</start>
      <end>21</end>
      <status>unmodified</status>
      <modifiedWord/>
      <trackRevisions>false</trackRevisions>
    </reviewItem>
    <reviewItem>
      <errorID>ab96fe43-4e03-4d2d-9484-1913e9d06de4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6F4B72A7</paraID>
      <start>0</start>
      <end>2</end>
      <status>unmodified</status>
      <modifiedWord/>
      <trackRevisions>false</trackRevisions>
    </reviewItem>
    <reviewItem>
      <errorID>ad434a82-e12d-48d2-a29a-09b34c88c9af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325DFD95</paraID>
      <start>0</start>
      <end>2</end>
      <status>unmodified</status>
      <modifiedWord/>
      <trackRevisions>false</trackRevisions>
    </reviewItem>
    <reviewItem>
      <errorID>30508d49-0847-476d-811b-887bd545026e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105F4345</paraID>
      <start>0</start>
      <end>2</end>
      <status>unmodified</status>
      <modifiedWord/>
      <trackRevisions>false</trackRevisions>
    </reviewItem>
    <reviewItem>
      <errorID>385a645e-840d-43ad-a30a-36551a7c6d30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76A2E895</paraID>
      <start>0</start>
      <end>2</end>
      <status>unmodified</status>
      <modifiedWord/>
      <trackRevisions>false</trackRevisions>
    </reviewItem>
    <reviewItem>
      <errorID>bcfdace0-5409-4900-a297-fd13761657c0</errorID>
      <errorWord>-</errorWord>
      <group>L1_Format</group>
      <groupName>格式问题</groupName>
      <ability>L2_HalfPunc_CN</ability>
      <abilityName>全半角问题</abilityName>
      <candidateList>
        <item>－</item>
      </candidateList>
      <explain>文本全半角错误。</explain>
      <paraID>71BE10CC</paraID>
      <start>88</start>
      <end>89</end>
      <status>unmodified</status>
      <modifiedWord/>
      <trackRevisions>false</trackRevisions>
    </reviewItem>
    <reviewItem>
      <errorID>156c7fe4-08c9-424c-ac03-f56f97af1cb1</errorID>
      <errorWord>如</errorWord>
      <group>L1_Word</group>
      <groupName>字词问题</groupName>
      <ability>L2_Typo</ability>
      <abilityName>字词错误</abilityName>
      <candidateList>
        <item>如下</item>
      </candidateList>
      <explain/>
      <paraID>3B1F5B2E</paraID>
      <start>57</start>
      <end>58</end>
      <status>unmodified</status>
      <modifiedWord/>
      <trackRevisions>false</trackRevisions>
    </reviewItem>
    <reviewItem>
      <errorID>a577c1de-3d51-4e03-8892-9ea2b54edaeb</errorID>
      <errorWord>-</errorWord>
      <group>L1_Format</group>
      <groupName>格式问题</groupName>
      <ability>L2_HalfPunc_CN</ability>
      <abilityName>全半角问题</abilityName>
      <candidateList>
        <item>－</item>
      </candidateList>
      <explain>文本全半角错误。</explain>
      <paraID>794FE4F6</paraID>
      <start>51</start>
      <end>52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da7580-1501-4628-b42a-10fc73062766}">
  <ds:schemaRefs/>
</ds:datastoreItem>
</file>

<file path=docProps/app.xml><?xml version="1.0" encoding="utf-8"?>
<Properties xmlns="http://schemas.openxmlformats.org/officeDocument/2006/extended-properties" xmlns:vt="http://schemas.openxmlformats.org/officeDocument/2006/docPropsVTypes">
  <Template>Normal.dotm</Template>
  <Pages>61</Pages>
  <Words>5754</Words>
  <Characters>6396</Characters>
  <Lines>0</Lines>
  <Paragraphs>0</Paragraphs>
  <TotalTime>6</TotalTime>
  <ScaleCrop>false</ScaleCrop>
  <LinksUpToDate>false</LinksUpToDate>
  <CharactersWithSpaces>6464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2026-05-29T03:42:00Z</dcterms:created>
  <dc:creator>白歇</dc:creator>
  <cp:lastModifiedBy>白歇</cp:lastModifiedBy>
  <dcterms:modified xsi:type="dcterms:W3CDTF">2026-08-20T07:23:59Z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396F3CD3067145C0BB7F4D7DBC33EBB6_13</vt:lpwstr>
  </property>
  <property fmtid="{D5CDD505-2E9C-101B-9397-08002B2CF9AE}" pid="4" name="KSOTemplateDocerSaveRecord">
    <vt:lpwstr>eyJoZGlkIjoiNmRiYzg0YjA3NGI3MjVkMWJiNDZmMzMxM2JmYjM0MGQiLCJ1c2VySWQiOiI0MzMyMzUzMDkifQ==</vt:lpwstr>
  </property>
</Properties>
</file>